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FFEFA9D" w14:textId="77777777" w:rsidR="00FF507D" w:rsidRPr="003726FE" w:rsidRDefault="00FF507D" w:rsidP="004D6ABC">
      <w:pPr>
        <w:spacing w:after="101"/>
        <w:jc w:val="center"/>
      </w:pPr>
      <w:bookmarkStart w:id="0" w:name="_Toc487456806"/>
      <w:bookmarkStart w:id="1" w:name="_Toc487811186"/>
      <w:bookmarkStart w:id="2" w:name="_Toc488147529"/>
      <w:r w:rsidRPr="003726FE">
        <w:rPr>
          <w:noProof/>
          <w:lang w:eastAsia="en-GB"/>
        </w:rPr>
        <w:drawing>
          <wp:inline distT="0" distB="0" distL="0" distR="0" wp14:anchorId="34013141" wp14:editId="2CCB686D">
            <wp:extent cx="3036567" cy="1104264"/>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stretch>
                      <a:fillRect/>
                    </a:stretch>
                  </pic:blipFill>
                  <pic:spPr>
                    <a:xfrm>
                      <a:off x="0" y="0"/>
                      <a:ext cx="3036567" cy="1104264"/>
                    </a:xfrm>
                    <a:prstGeom prst="rect">
                      <a:avLst/>
                    </a:prstGeom>
                  </pic:spPr>
                </pic:pic>
              </a:graphicData>
            </a:graphic>
          </wp:inline>
        </w:drawing>
      </w:r>
    </w:p>
    <w:p w14:paraId="73E16765" w14:textId="1DBE331D" w:rsidR="00FF507D" w:rsidRPr="003726FE" w:rsidRDefault="00FF507D" w:rsidP="004D6ABC">
      <w:pPr>
        <w:spacing w:after="0"/>
        <w:jc w:val="center"/>
      </w:pPr>
    </w:p>
    <w:p w14:paraId="29489264" w14:textId="24BBA8F8" w:rsidR="00FF507D" w:rsidRPr="003726FE" w:rsidRDefault="00FF507D" w:rsidP="004D6ABC">
      <w:pPr>
        <w:spacing w:after="0"/>
        <w:jc w:val="center"/>
      </w:pPr>
    </w:p>
    <w:p w14:paraId="6024D42D" w14:textId="4E4DE5DE" w:rsidR="00FF507D" w:rsidRPr="003726FE" w:rsidRDefault="00FF507D" w:rsidP="004D6ABC">
      <w:pPr>
        <w:spacing w:after="0"/>
        <w:jc w:val="center"/>
      </w:pPr>
    </w:p>
    <w:p w14:paraId="7FECB7FB" w14:textId="1D786332" w:rsidR="00FF507D" w:rsidRPr="003726FE" w:rsidRDefault="00FF507D" w:rsidP="004D6ABC">
      <w:pPr>
        <w:spacing w:after="0"/>
        <w:jc w:val="center"/>
      </w:pPr>
    </w:p>
    <w:p w14:paraId="375B1F21" w14:textId="2E823E12" w:rsidR="00FF507D" w:rsidRPr="003726FE" w:rsidRDefault="00FF507D" w:rsidP="004D6ABC">
      <w:pPr>
        <w:spacing w:after="0"/>
        <w:jc w:val="center"/>
      </w:pPr>
    </w:p>
    <w:p w14:paraId="3DC61413" w14:textId="55940843" w:rsidR="00FF507D" w:rsidRPr="003726FE" w:rsidRDefault="00FF507D" w:rsidP="004D6ABC">
      <w:pPr>
        <w:spacing w:after="19"/>
        <w:jc w:val="center"/>
      </w:pPr>
    </w:p>
    <w:p w14:paraId="6AB5A9AC" w14:textId="058B48F5" w:rsidR="00FF507D" w:rsidRPr="003726FE" w:rsidRDefault="000D373C" w:rsidP="004D6ABC">
      <w:pPr>
        <w:spacing w:after="0"/>
        <w:jc w:val="center"/>
      </w:pPr>
      <w:r>
        <w:rPr>
          <w:rFonts w:eastAsia="Times New Roman" w:cs="Times New Roman"/>
          <w:b/>
          <w:color w:val="1A1A1A"/>
          <w:sz w:val="28"/>
        </w:rPr>
        <w:t>T</w:t>
      </w:r>
      <w:r w:rsidR="00EC010E" w:rsidRPr="00EC010E">
        <w:rPr>
          <w:rFonts w:eastAsia="Times New Roman" w:cs="Times New Roman"/>
          <w:b/>
          <w:color w:val="1A1A1A"/>
          <w:sz w:val="28"/>
        </w:rPr>
        <w:t xml:space="preserve">he impact of </w:t>
      </w:r>
      <w:r>
        <w:rPr>
          <w:rFonts w:eastAsia="Times New Roman" w:cs="Times New Roman"/>
          <w:b/>
          <w:color w:val="1A1A1A"/>
          <w:sz w:val="28"/>
        </w:rPr>
        <w:t>two different</w:t>
      </w:r>
      <w:r w:rsidR="00EC010E" w:rsidRPr="00EC010E">
        <w:rPr>
          <w:rFonts w:eastAsia="Times New Roman" w:cs="Times New Roman"/>
          <w:b/>
          <w:color w:val="1A1A1A"/>
          <w:sz w:val="28"/>
        </w:rPr>
        <w:t xml:space="preserve"> feedback</w:t>
      </w:r>
      <w:r w:rsidR="00EC010E">
        <w:rPr>
          <w:rFonts w:eastAsia="Times New Roman" w:cs="Times New Roman"/>
          <w:b/>
          <w:color w:val="1A1A1A"/>
          <w:sz w:val="28"/>
        </w:rPr>
        <w:t xml:space="preserve"> models</w:t>
      </w:r>
      <w:r w:rsidR="00EC010E" w:rsidRPr="00EC010E">
        <w:rPr>
          <w:rFonts w:eastAsia="Times New Roman" w:cs="Times New Roman"/>
          <w:b/>
          <w:color w:val="1A1A1A"/>
          <w:sz w:val="28"/>
        </w:rPr>
        <w:t xml:space="preserve"> on the immediate and </w:t>
      </w:r>
      <w:r>
        <w:rPr>
          <w:rFonts w:eastAsia="Times New Roman" w:cs="Times New Roman"/>
          <w:b/>
          <w:color w:val="1A1A1A"/>
          <w:sz w:val="28"/>
        </w:rPr>
        <w:t>future</w:t>
      </w:r>
      <w:r w:rsidR="00EC010E" w:rsidRPr="00EC010E">
        <w:rPr>
          <w:rFonts w:eastAsia="Times New Roman" w:cs="Times New Roman"/>
          <w:b/>
          <w:color w:val="1A1A1A"/>
          <w:sz w:val="28"/>
        </w:rPr>
        <w:t xml:space="preserve"> learning strategies of </w:t>
      </w:r>
      <w:r w:rsidR="003F7656">
        <w:rPr>
          <w:rFonts w:eastAsia="Times New Roman" w:cs="Times New Roman"/>
          <w:b/>
          <w:color w:val="1A1A1A"/>
          <w:sz w:val="28"/>
        </w:rPr>
        <w:t>medical undergraduates</w:t>
      </w:r>
      <w:r w:rsidR="00EC010E">
        <w:rPr>
          <w:rFonts w:eastAsia="Times New Roman" w:cs="Times New Roman"/>
          <w:b/>
          <w:color w:val="1A1A1A"/>
          <w:sz w:val="28"/>
        </w:rPr>
        <w:t>.</w:t>
      </w:r>
    </w:p>
    <w:p w14:paraId="563B1402" w14:textId="4CE5C0CB" w:rsidR="00FF507D" w:rsidRPr="003726FE" w:rsidRDefault="00FF507D" w:rsidP="004D6ABC">
      <w:pPr>
        <w:spacing w:after="0"/>
        <w:jc w:val="center"/>
      </w:pPr>
    </w:p>
    <w:p w14:paraId="337B797A" w14:textId="25221420" w:rsidR="00FF507D" w:rsidRPr="003726FE" w:rsidRDefault="00FF507D" w:rsidP="004D6ABC">
      <w:pPr>
        <w:spacing w:after="0"/>
        <w:jc w:val="center"/>
      </w:pPr>
    </w:p>
    <w:p w14:paraId="22F0149D" w14:textId="276AC414" w:rsidR="00FF507D" w:rsidRPr="003726FE" w:rsidRDefault="00FF507D" w:rsidP="004D6ABC">
      <w:pPr>
        <w:spacing w:after="0"/>
        <w:jc w:val="center"/>
      </w:pPr>
    </w:p>
    <w:p w14:paraId="6F5395F6" w14:textId="45F0EC70" w:rsidR="00FF507D" w:rsidRPr="003726FE" w:rsidRDefault="00FF507D" w:rsidP="004D6ABC">
      <w:pPr>
        <w:spacing w:after="0"/>
        <w:jc w:val="center"/>
      </w:pPr>
    </w:p>
    <w:p w14:paraId="74ACF0C8" w14:textId="46AB4EDE" w:rsidR="00FF507D" w:rsidRPr="003726FE" w:rsidRDefault="00FF507D" w:rsidP="004D6ABC">
      <w:pPr>
        <w:spacing w:after="0"/>
        <w:jc w:val="center"/>
      </w:pPr>
      <w:r w:rsidRPr="003726FE">
        <w:rPr>
          <w:rFonts w:eastAsia="Times New Roman" w:cs="Times New Roman"/>
          <w:b/>
        </w:rPr>
        <w:t>By:</w:t>
      </w:r>
    </w:p>
    <w:p w14:paraId="299E1095" w14:textId="34FD6DBF" w:rsidR="00FF507D" w:rsidRPr="003726FE" w:rsidRDefault="00FF507D" w:rsidP="004D6ABC">
      <w:pPr>
        <w:spacing w:after="14"/>
        <w:jc w:val="center"/>
      </w:pPr>
    </w:p>
    <w:p w14:paraId="2FEEFB92" w14:textId="07096C9E" w:rsidR="00FF507D" w:rsidRPr="003726FE" w:rsidRDefault="00FF507D" w:rsidP="004D6ABC">
      <w:pPr>
        <w:spacing w:after="0"/>
        <w:jc w:val="center"/>
      </w:pPr>
      <w:r w:rsidRPr="003726FE">
        <w:rPr>
          <w:rFonts w:eastAsia="Times New Roman" w:cs="Times New Roman"/>
          <w:sz w:val="28"/>
        </w:rPr>
        <w:t>Billy Bryan</w:t>
      </w:r>
    </w:p>
    <w:p w14:paraId="7E35E8E7" w14:textId="7967FCB8" w:rsidR="00FF507D" w:rsidRPr="003726FE" w:rsidRDefault="00FF507D" w:rsidP="004D6ABC">
      <w:pPr>
        <w:spacing w:after="0"/>
        <w:jc w:val="center"/>
      </w:pPr>
    </w:p>
    <w:p w14:paraId="7534D017" w14:textId="255711DC" w:rsidR="00FF507D" w:rsidRPr="003726FE" w:rsidRDefault="00FF507D" w:rsidP="004D6ABC">
      <w:pPr>
        <w:spacing w:after="0"/>
        <w:jc w:val="center"/>
      </w:pPr>
    </w:p>
    <w:p w14:paraId="061FEB09" w14:textId="1854F7DF" w:rsidR="00FF507D" w:rsidRPr="003726FE" w:rsidRDefault="00FF507D" w:rsidP="004D6ABC">
      <w:pPr>
        <w:spacing w:after="0"/>
        <w:jc w:val="center"/>
      </w:pPr>
    </w:p>
    <w:p w14:paraId="1188624F" w14:textId="0EB5DC6A" w:rsidR="00FF507D" w:rsidRPr="003726FE" w:rsidRDefault="00FF507D" w:rsidP="004D6ABC">
      <w:pPr>
        <w:spacing w:after="0"/>
        <w:jc w:val="center"/>
      </w:pPr>
    </w:p>
    <w:p w14:paraId="3830205B" w14:textId="6B70FE6F" w:rsidR="00FF507D" w:rsidRPr="003726FE" w:rsidRDefault="00FF507D" w:rsidP="004D6ABC">
      <w:pPr>
        <w:spacing w:after="228" w:line="249" w:lineRule="auto"/>
        <w:ind w:hanging="10"/>
        <w:jc w:val="center"/>
      </w:pPr>
      <w:r w:rsidRPr="003726FE">
        <w:rPr>
          <w:rFonts w:eastAsia="Times New Roman" w:cs="Times New Roman"/>
        </w:rPr>
        <w:t xml:space="preserve">A thesis submitted in partial </w:t>
      </w:r>
      <w:r w:rsidRPr="00950528">
        <w:rPr>
          <w:rFonts w:eastAsia="Times New Roman" w:cs="Times New Roman"/>
          <w:noProof/>
        </w:rPr>
        <w:t>fulfilment</w:t>
      </w:r>
      <w:r w:rsidRPr="003726FE">
        <w:rPr>
          <w:rFonts w:eastAsia="Times New Roman" w:cs="Times New Roman"/>
        </w:rPr>
        <w:t xml:space="preserve"> of the requirements for the degree of Doctor of Philosophy.</w:t>
      </w:r>
    </w:p>
    <w:p w14:paraId="29560A9E" w14:textId="71D57D09" w:rsidR="00FF507D" w:rsidRPr="003726FE" w:rsidRDefault="00FF507D" w:rsidP="004D6ABC">
      <w:pPr>
        <w:spacing w:after="218"/>
        <w:jc w:val="center"/>
      </w:pPr>
    </w:p>
    <w:p w14:paraId="64E214C8" w14:textId="262ABAC2" w:rsidR="00FF507D" w:rsidRPr="003726FE" w:rsidRDefault="00FF507D" w:rsidP="004D6ABC">
      <w:pPr>
        <w:spacing w:after="216"/>
        <w:jc w:val="center"/>
      </w:pPr>
    </w:p>
    <w:p w14:paraId="50441E23" w14:textId="504B5AF3" w:rsidR="00FF507D" w:rsidRPr="003726FE" w:rsidRDefault="00FF507D" w:rsidP="004D6ABC">
      <w:pPr>
        <w:spacing w:after="216"/>
        <w:jc w:val="center"/>
      </w:pPr>
    </w:p>
    <w:p w14:paraId="51FAB0C9" w14:textId="77777777" w:rsidR="001260FB" w:rsidRDefault="00FF507D" w:rsidP="004D6ABC">
      <w:pPr>
        <w:spacing w:after="0" w:line="249" w:lineRule="auto"/>
        <w:jc w:val="center"/>
        <w:rPr>
          <w:rFonts w:eastAsia="Times New Roman" w:cs="Times New Roman"/>
        </w:rPr>
      </w:pPr>
      <w:r w:rsidRPr="003726FE">
        <w:rPr>
          <w:rFonts w:eastAsia="Times New Roman" w:cs="Times New Roman"/>
        </w:rPr>
        <w:t>The Universit</w:t>
      </w:r>
      <w:r w:rsidR="004D6ABC" w:rsidRPr="003726FE">
        <w:rPr>
          <w:rFonts w:eastAsia="Times New Roman" w:cs="Times New Roman"/>
        </w:rPr>
        <w:t xml:space="preserve">y of Sheffield </w:t>
      </w:r>
    </w:p>
    <w:p w14:paraId="1B5B5D3C" w14:textId="77777777" w:rsidR="001260FB" w:rsidRDefault="001260FB" w:rsidP="004D6ABC">
      <w:pPr>
        <w:spacing w:after="0" w:line="249" w:lineRule="auto"/>
        <w:jc w:val="center"/>
        <w:rPr>
          <w:rFonts w:eastAsia="Times New Roman" w:cs="Times New Roman"/>
        </w:rPr>
      </w:pPr>
    </w:p>
    <w:p w14:paraId="60450A9E" w14:textId="195CE21E" w:rsidR="00FF507D" w:rsidRPr="003726FE" w:rsidRDefault="004D6ABC" w:rsidP="004D6ABC">
      <w:pPr>
        <w:spacing w:after="0" w:line="249" w:lineRule="auto"/>
        <w:jc w:val="center"/>
        <w:rPr>
          <w:rFonts w:eastAsia="Times New Roman" w:cs="Times New Roman"/>
        </w:rPr>
      </w:pPr>
      <w:r w:rsidRPr="003726FE">
        <w:rPr>
          <w:rFonts w:eastAsia="Times New Roman" w:cs="Times New Roman"/>
        </w:rPr>
        <w:t>Faculty of Medicine, Dentistry, and Health.</w:t>
      </w:r>
    </w:p>
    <w:p w14:paraId="1E706B64" w14:textId="77777777" w:rsidR="004D6ABC" w:rsidRPr="003726FE" w:rsidRDefault="004D6ABC" w:rsidP="004D6ABC">
      <w:pPr>
        <w:spacing w:after="0" w:line="249" w:lineRule="auto"/>
        <w:jc w:val="center"/>
      </w:pPr>
    </w:p>
    <w:p w14:paraId="53B52A6F" w14:textId="5CC9C10F" w:rsidR="00FF507D" w:rsidRPr="003726FE" w:rsidRDefault="00AE32F8" w:rsidP="004D6ABC">
      <w:pPr>
        <w:spacing w:after="228" w:line="249" w:lineRule="auto"/>
        <w:jc w:val="center"/>
      </w:pPr>
      <w:r>
        <w:rPr>
          <w:rFonts w:eastAsia="Times New Roman" w:cs="Times New Roman"/>
        </w:rPr>
        <w:t>Academic Unit</w:t>
      </w:r>
      <w:r w:rsidR="004D6ABC" w:rsidRPr="003726FE">
        <w:rPr>
          <w:rFonts w:eastAsia="Times New Roman" w:cs="Times New Roman"/>
        </w:rPr>
        <w:t xml:space="preserve"> of Medical Education</w:t>
      </w:r>
      <w:r>
        <w:rPr>
          <w:rFonts w:eastAsia="Times New Roman" w:cs="Times New Roman"/>
        </w:rPr>
        <w:t xml:space="preserve"> (AUME)</w:t>
      </w:r>
    </w:p>
    <w:p w14:paraId="6829D8C3" w14:textId="75ECF823" w:rsidR="00FF507D" w:rsidRPr="003726FE" w:rsidRDefault="00FF507D" w:rsidP="004D6ABC">
      <w:pPr>
        <w:spacing w:after="218"/>
        <w:jc w:val="center"/>
      </w:pPr>
    </w:p>
    <w:p w14:paraId="0EFAB50A" w14:textId="36651B8D" w:rsidR="00FF507D" w:rsidRPr="003726FE" w:rsidRDefault="00FF507D" w:rsidP="004D6ABC">
      <w:pPr>
        <w:spacing w:after="216"/>
        <w:jc w:val="center"/>
      </w:pPr>
    </w:p>
    <w:p w14:paraId="71361CFA" w14:textId="01CC700C" w:rsidR="00FF507D" w:rsidRPr="003726FE" w:rsidRDefault="00FF507D" w:rsidP="004D6ABC">
      <w:pPr>
        <w:spacing w:after="216"/>
        <w:jc w:val="center"/>
      </w:pPr>
    </w:p>
    <w:p w14:paraId="4402A1AD" w14:textId="76448073" w:rsidR="00FF507D" w:rsidRPr="003726FE" w:rsidRDefault="000D373C" w:rsidP="004D6ABC">
      <w:pPr>
        <w:spacing w:after="228" w:line="249" w:lineRule="auto"/>
        <w:ind w:hanging="10"/>
        <w:jc w:val="center"/>
      </w:pPr>
      <w:r>
        <w:rPr>
          <w:rFonts w:eastAsia="Times New Roman" w:cs="Times New Roman"/>
        </w:rPr>
        <w:t>August 2017</w:t>
      </w:r>
    </w:p>
    <w:p w14:paraId="22AA4CDA" w14:textId="77777777" w:rsidR="003E3774" w:rsidRPr="003726FE" w:rsidRDefault="003E3774">
      <w:pPr>
        <w:rPr>
          <w:rFonts w:eastAsiaTheme="majorEastAsia" w:cstheme="majorBidi"/>
          <w:b/>
          <w:color w:val="000000" w:themeColor="text1"/>
          <w:sz w:val="32"/>
          <w:szCs w:val="32"/>
        </w:rPr>
      </w:pPr>
      <w:bookmarkStart w:id="3" w:name="_Toc487456807"/>
      <w:bookmarkStart w:id="4" w:name="_Toc487811187"/>
      <w:bookmarkStart w:id="5" w:name="_Toc488147530"/>
      <w:bookmarkEnd w:id="0"/>
      <w:bookmarkEnd w:id="1"/>
      <w:bookmarkEnd w:id="2"/>
      <w:r w:rsidRPr="003726FE">
        <w:br w:type="page"/>
      </w:r>
    </w:p>
    <w:p w14:paraId="470A77DD" w14:textId="25F77E05" w:rsidR="004D2A4D" w:rsidRPr="003726FE" w:rsidRDefault="004D2A4D" w:rsidP="00426FCB">
      <w:pPr>
        <w:pStyle w:val="Heading1"/>
      </w:pPr>
      <w:bookmarkStart w:id="6" w:name="_Toc488309143"/>
      <w:bookmarkStart w:id="7" w:name="_Toc488930103"/>
      <w:bookmarkStart w:id="8" w:name="_Toc489017317"/>
      <w:bookmarkStart w:id="9" w:name="_Toc489447671"/>
      <w:bookmarkStart w:id="10" w:name="_Toc490650158"/>
      <w:bookmarkStart w:id="11" w:name="_Toc500319300"/>
      <w:bookmarkStart w:id="12" w:name="_Toc500319520"/>
      <w:r w:rsidRPr="003726FE">
        <w:lastRenderedPageBreak/>
        <w:t>Acknowledgements</w:t>
      </w:r>
      <w:bookmarkEnd w:id="3"/>
      <w:bookmarkEnd w:id="4"/>
      <w:bookmarkEnd w:id="5"/>
      <w:bookmarkEnd w:id="6"/>
      <w:bookmarkEnd w:id="7"/>
      <w:bookmarkEnd w:id="8"/>
      <w:bookmarkEnd w:id="9"/>
      <w:bookmarkEnd w:id="10"/>
      <w:bookmarkEnd w:id="11"/>
      <w:bookmarkEnd w:id="12"/>
    </w:p>
    <w:p w14:paraId="1806495C" w14:textId="77777777" w:rsidR="008B163C" w:rsidRPr="003726FE" w:rsidRDefault="008B163C" w:rsidP="0018145E">
      <w:pPr>
        <w:pStyle w:val="Normal1"/>
        <w:rPr>
          <w:lang w:val="en-GB"/>
        </w:rPr>
      </w:pPr>
    </w:p>
    <w:p w14:paraId="0066688C" w14:textId="4E3FB1DB" w:rsidR="0018145E" w:rsidRPr="003726FE" w:rsidRDefault="0018145E" w:rsidP="0018145E">
      <w:pPr>
        <w:pStyle w:val="Normal1"/>
        <w:rPr>
          <w:lang w:val="en-GB"/>
        </w:rPr>
      </w:pPr>
      <w:bookmarkStart w:id="13" w:name="_Toc487456808"/>
      <w:bookmarkStart w:id="14" w:name="_Toc487811188"/>
      <w:r w:rsidRPr="003726FE">
        <w:rPr>
          <w:lang w:val="en-GB"/>
        </w:rPr>
        <w:t xml:space="preserve">I would first like to thank my supervisors. Prof Murdoch Eaton saw my potential and cultivated it over three short years into the medical education researcher I have become. Debbie’s patience and willingness to spend hours challenging me to wrestle with the problems in my research have helped me take ownership of it. I am proud to have had such an </w:t>
      </w:r>
      <w:r w:rsidR="00BF7479">
        <w:rPr>
          <w:lang w:val="en-GB"/>
        </w:rPr>
        <w:t>expert</w:t>
      </w:r>
      <w:r w:rsidRPr="003726FE">
        <w:rPr>
          <w:lang w:val="en-GB"/>
        </w:rPr>
        <w:t xml:space="preserve"> in supervision. I have always found a staunch and attentive friend in Dr Denise Bee. She has fought m</w:t>
      </w:r>
      <w:r w:rsidR="00BF7479">
        <w:rPr>
          <w:lang w:val="en-GB"/>
        </w:rPr>
        <w:t>y corner at every instance;</w:t>
      </w:r>
      <w:r w:rsidRPr="003726FE">
        <w:rPr>
          <w:lang w:val="en-GB"/>
        </w:rPr>
        <w:t xml:space="preserve"> lifting my spirits with kind words and kinder actions. Never one to refuse an impromptu catch-up she has been there when I needed her, able to provide guidance on my research and to act effectively as a life-coach. Prof John Sandars was pivotal in helping to carve out the </w:t>
      </w:r>
      <w:r w:rsidR="00BF7479">
        <w:rPr>
          <w:lang w:val="en-GB"/>
        </w:rPr>
        <w:t>direction</w:t>
      </w:r>
      <w:r w:rsidRPr="003726FE">
        <w:rPr>
          <w:lang w:val="en-GB"/>
        </w:rPr>
        <w:t xml:space="preserve"> for my research. His cutting-edge knowledge and unending supply of new ideas </w:t>
      </w:r>
      <w:r w:rsidR="00BF7479">
        <w:rPr>
          <w:lang w:val="en-GB"/>
        </w:rPr>
        <w:t>rendered</w:t>
      </w:r>
      <w:r w:rsidRPr="003726FE">
        <w:rPr>
          <w:lang w:val="en-GB"/>
        </w:rPr>
        <w:t xml:space="preserve"> me both perplexed and inspired throughout the time I spent with him at Sheffield.</w:t>
      </w:r>
    </w:p>
    <w:p w14:paraId="73C5823F" w14:textId="77777777" w:rsidR="0018145E" w:rsidRPr="003726FE" w:rsidRDefault="0018145E" w:rsidP="0018145E">
      <w:pPr>
        <w:pStyle w:val="Normal1"/>
        <w:rPr>
          <w:lang w:val="en-GB"/>
        </w:rPr>
      </w:pPr>
    </w:p>
    <w:p w14:paraId="7CEE52A2" w14:textId="4F2ECA43" w:rsidR="0018145E" w:rsidRPr="003726FE" w:rsidRDefault="0018145E" w:rsidP="0018145E">
      <w:pPr>
        <w:pStyle w:val="Normal1"/>
        <w:rPr>
          <w:lang w:val="en-GB"/>
        </w:rPr>
      </w:pPr>
      <w:r w:rsidRPr="003726FE">
        <w:rPr>
          <w:lang w:val="en-GB"/>
        </w:rPr>
        <w:t xml:space="preserve">Dr Joanne Thompson was another critical actor in my doctoral journey as my personal tutor. When circumstances felt heavy or overwhelming, her counsel raised my spirits and </w:t>
      </w:r>
      <w:r w:rsidR="001260FB">
        <w:rPr>
          <w:lang w:val="en-GB"/>
        </w:rPr>
        <w:t>gave</w:t>
      </w:r>
      <w:r w:rsidRPr="003726FE">
        <w:rPr>
          <w:lang w:val="en-GB"/>
        </w:rPr>
        <w:t xml:space="preserve"> me the motivation to keep moving forward. Her commitment to my wellbeing has shown me how to empower others. The list of valued academics and professional services staff is too long to list here but each one has made my time at Sheffield both productive and entertaining. Particularly, Dr Trevor Austin and Dr Emanuele Fino who gave me meaningful academic support and many philosophical evenings in Sheffield’s famous public houses.</w:t>
      </w:r>
    </w:p>
    <w:p w14:paraId="656EDFF7" w14:textId="77777777" w:rsidR="0018145E" w:rsidRPr="003726FE" w:rsidRDefault="0018145E" w:rsidP="0018145E">
      <w:pPr>
        <w:pStyle w:val="Normal1"/>
        <w:rPr>
          <w:lang w:val="en-GB"/>
        </w:rPr>
      </w:pPr>
    </w:p>
    <w:p w14:paraId="69930150" w14:textId="4F136BBA" w:rsidR="0018145E" w:rsidRPr="003726FE" w:rsidRDefault="0018145E" w:rsidP="0018145E">
      <w:pPr>
        <w:pStyle w:val="Normal1"/>
        <w:rPr>
          <w:lang w:val="en-GB"/>
        </w:rPr>
      </w:pPr>
      <w:r w:rsidRPr="003726FE">
        <w:rPr>
          <w:lang w:val="en-GB"/>
        </w:rPr>
        <w:t>My partner and best friend Rebecca Teague is perhaps the most longstanding sufferer in this list, responding to my PhD woes with kindness and high-calorie treats. Set to begin her own doctoral journey soon I hope to repay the favour. I could not have asked for a more loving and committed ally, for her I am always grateful.</w:t>
      </w:r>
    </w:p>
    <w:p w14:paraId="5DE4FD6C" w14:textId="77777777" w:rsidR="0018145E" w:rsidRPr="003726FE" w:rsidRDefault="0018145E" w:rsidP="0018145E">
      <w:pPr>
        <w:pStyle w:val="Normal1"/>
        <w:rPr>
          <w:lang w:val="en-GB"/>
        </w:rPr>
      </w:pPr>
    </w:p>
    <w:p w14:paraId="5E85FE5F" w14:textId="26CAB8C0" w:rsidR="00026163" w:rsidRPr="003726FE" w:rsidRDefault="0018145E" w:rsidP="0018145E">
      <w:pPr>
        <w:pStyle w:val="Normal1"/>
        <w:rPr>
          <w:lang w:val="en-GB"/>
        </w:rPr>
      </w:pPr>
      <w:r w:rsidRPr="003726FE">
        <w:rPr>
          <w:lang w:val="en-GB"/>
        </w:rPr>
        <w:t xml:space="preserve">Fellow doctoral students became my </w:t>
      </w:r>
      <w:r w:rsidR="001260FB">
        <w:rPr>
          <w:lang w:val="en-GB"/>
        </w:rPr>
        <w:t>close</w:t>
      </w:r>
      <w:r w:rsidRPr="003726FE">
        <w:rPr>
          <w:lang w:val="en-GB"/>
        </w:rPr>
        <w:t xml:space="preserve"> friends and colleagues, of which again there are too many to name here. They provided camaraderie and often cathartic support when I needed it, I hope I reciprocated this for them too. My family were also able to keep my feet </w:t>
      </w:r>
      <w:r w:rsidR="0066125A">
        <w:rPr>
          <w:lang w:val="en-GB"/>
        </w:rPr>
        <w:t xml:space="preserve">firmly </w:t>
      </w:r>
      <w:r w:rsidRPr="003726FE">
        <w:rPr>
          <w:lang w:val="en-GB"/>
        </w:rPr>
        <w:t>on the ground at times where it was hard to do so, I am indebted to them for their support.</w:t>
      </w:r>
      <w:r w:rsidR="00026163" w:rsidRPr="003726FE">
        <w:rPr>
          <w:lang w:val="en-GB"/>
        </w:rPr>
        <w:br w:type="page"/>
      </w:r>
    </w:p>
    <w:p w14:paraId="19D7AB15" w14:textId="674BB5B0" w:rsidR="004D2A4D" w:rsidRPr="003726FE" w:rsidRDefault="004D2A4D" w:rsidP="00426FCB">
      <w:pPr>
        <w:pStyle w:val="Heading1"/>
      </w:pPr>
      <w:bookmarkStart w:id="15" w:name="_Toc488147531"/>
      <w:bookmarkStart w:id="16" w:name="_Toc488309144"/>
      <w:bookmarkStart w:id="17" w:name="_Toc488930104"/>
      <w:bookmarkStart w:id="18" w:name="_Toc489017318"/>
      <w:bookmarkStart w:id="19" w:name="_Toc489447672"/>
      <w:bookmarkStart w:id="20" w:name="_Toc490650159"/>
      <w:bookmarkStart w:id="21" w:name="_Toc500319301"/>
      <w:bookmarkStart w:id="22" w:name="_Toc500319521"/>
      <w:r w:rsidRPr="003726FE">
        <w:lastRenderedPageBreak/>
        <w:t>Abstract</w:t>
      </w:r>
      <w:bookmarkEnd w:id="13"/>
      <w:bookmarkEnd w:id="14"/>
      <w:bookmarkEnd w:id="15"/>
      <w:bookmarkEnd w:id="16"/>
      <w:bookmarkEnd w:id="17"/>
      <w:bookmarkEnd w:id="18"/>
      <w:bookmarkEnd w:id="19"/>
      <w:bookmarkEnd w:id="20"/>
      <w:bookmarkEnd w:id="21"/>
      <w:bookmarkEnd w:id="22"/>
    </w:p>
    <w:p w14:paraId="235527C0" w14:textId="77777777" w:rsidR="00B6196A" w:rsidRPr="003726FE" w:rsidRDefault="00B6196A" w:rsidP="00026049">
      <w:pPr>
        <w:pStyle w:val="Normal1"/>
        <w:rPr>
          <w:lang w:val="en-GB"/>
        </w:rPr>
      </w:pPr>
    </w:p>
    <w:p w14:paraId="6A461D8A" w14:textId="09D9519B" w:rsidR="00B6196A" w:rsidRPr="003726FE" w:rsidRDefault="00B6196A" w:rsidP="00026049">
      <w:pPr>
        <w:pStyle w:val="Normal1"/>
        <w:rPr>
          <w:lang w:val="en-GB"/>
        </w:rPr>
      </w:pPr>
      <w:r w:rsidRPr="003726FE">
        <w:rPr>
          <w:lang w:val="en-GB"/>
        </w:rPr>
        <w:t xml:space="preserve">Empowering medical </w:t>
      </w:r>
      <w:r w:rsidR="00BF7479">
        <w:rPr>
          <w:lang w:val="en-GB"/>
        </w:rPr>
        <w:t>students’</w:t>
      </w:r>
      <w:r w:rsidRPr="003726FE">
        <w:rPr>
          <w:lang w:val="en-GB"/>
        </w:rPr>
        <w:t xml:space="preserve"> Self-Regulated Learning (SRL) is vital to the development of key graduate attributes, </w:t>
      </w:r>
      <w:r w:rsidR="00483DED">
        <w:rPr>
          <w:lang w:val="en-GB"/>
        </w:rPr>
        <w:t>including</w:t>
      </w:r>
      <w:r w:rsidRPr="003726FE">
        <w:rPr>
          <w:lang w:val="en-GB"/>
        </w:rPr>
        <w:t xml:space="preserve"> self-assessment and reflective practice. Feedback is integral to this development yet SRL informed feedback has not been explored in medical education</w:t>
      </w:r>
      <w:r w:rsidR="001C502B">
        <w:rPr>
          <w:lang w:val="en-GB"/>
        </w:rPr>
        <w:t>.</w:t>
      </w:r>
      <w:r w:rsidR="009402E4" w:rsidRPr="003726FE">
        <w:rPr>
          <w:lang w:val="en-GB"/>
        </w:rPr>
        <w:t xml:space="preserve"> </w:t>
      </w:r>
      <w:r w:rsidR="001C502B">
        <w:rPr>
          <w:lang w:val="en-GB"/>
        </w:rPr>
        <w:t>F</w:t>
      </w:r>
      <w:r w:rsidR="00AD206B" w:rsidRPr="003726FE">
        <w:rPr>
          <w:lang w:val="en-GB"/>
        </w:rPr>
        <w:t xml:space="preserve">eedback may not have a significant impact on students’ future learning </w:t>
      </w:r>
      <w:r w:rsidR="001C502B">
        <w:rPr>
          <w:lang w:val="en-GB"/>
        </w:rPr>
        <w:t>as a consequence of</w:t>
      </w:r>
      <w:r w:rsidR="00AD206B" w:rsidRPr="003726FE">
        <w:rPr>
          <w:lang w:val="en-GB"/>
        </w:rPr>
        <w:t xml:space="preserve"> key underlying factors, </w:t>
      </w:r>
      <w:r w:rsidR="0021662A">
        <w:rPr>
          <w:lang w:val="en-GB"/>
        </w:rPr>
        <w:t>including</w:t>
      </w:r>
      <w:r w:rsidR="00AD206B" w:rsidRPr="003726FE">
        <w:rPr>
          <w:lang w:val="en-GB"/>
        </w:rPr>
        <w:t xml:space="preserve"> teacher centred approaches</w:t>
      </w:r>
      <w:r w:rsidRPr="003726FE">
        <w:rPr>
          <w:lang w:val="en-GB"/>
        </w:rPr>
        <w:t>.</w:t>
      </w:r>
      <w:r w:rsidR="00AD206B" w:rsidRPr="003726FE">
        <w:rPr>
          <w:lang w:val="en-GB"/>
        </w:rPr>
        <w:t xml:space="preserve"> </w:t>
      </w:r>
      <w:r w:rsidR="009402E4" w:rsidRPr="003726FE">
        <w:rPr>
          <w:lang w:val="en-GB"/>
        </w:rPr>
        <w:t>T</w:t>
      </w:r>
      <w:r w:rsidRPr="003726FE">
        <w:rPr>
          <w:lang w:val="en-GB"/>
        </w:rPr>
        <w:t>he purpose of this study was to explore the impact of two feedback</w:t>
      </w:r>
      <w:r w:rsidR="009402E4" w:rsidRPr="003726FE">
        <w:rPr>
          <w:lang w:val="en-GB"/>
        </w:rPr>
        <w:t xml:space="preserve"> models</w:t>
      </w:r>
      <w:r w:rsidRPr="003726FE">
        <w:rPr>
          <w:lang w:val="en-GB"/>
        </w:rPr>
        <w:t xml:space="preserve"> on medical undergraduates</w:t>
      </w:r>
      <w:r w:rsidR="00AC634B">
        <w:rPr>
          <w:lang w:val="en-GB"/>
        </w:rPr>
        <w:t>’</w:t>
      </w:r>
      <w:r w:rsidRPr="003726FE">
        <w:rPr>
          <w:lang w:val="en-GB"/>
        </w:rPr>
        <w:t xml:space="preserve"> SRL </w:t>
      </w:r>
      <w:r w:rsidR="00BF7479">
        <w:rPr>
          <w:lang w:val="en-GB"/>
        </w:rPr>
        <w:t>and feedback behaviours</w:t>
      </w:r>
      <w:r w:rsidR="001C502B">
        <w:rPr>
          <w:lang w:val="en-GB"/>
        </w:rPr>
        <w:t xml:space="preserve"> both</w:t>
      </w:r>
      <w:r w:rsidRPr="003726FE">
        <w:rPr>
          <w:lang w:val="en-GB"/>
        </w:rPr>
        <w:t xml:space="preserve"> in the </w:t>
      </w:r>
      <w:r w:rsidR="001C502B">
        <w:rPr>
          <w:lang w:val="en-GB"/>
        </w:rPr>
        <w:t>immediate</w:t>
      </w:r>
      <w:r w:rsidRPr="003726FE">
        <w:rPr>
          <w:lang w:val="en-GB"/>
        </w:rPr>
        <w:t xml:space="preserve"> and </w:t>
      </w:r>
      <w:r w:rsidR="00826050">
        <w:rPr>
          <w:lang w:val="en-GB"/>
        </w:rPr>
        <w:t>longer-term</w:t>
      </w:r>
      <w:r w:rsidR="001C502B">
        <w:rPr>
          <w:lang w:val="en-GB"/>
        </w:rPr>
        <w:t xml:space="preserve"> in clinical learning environments</w:t>
      </w:r>
      <w:r w:rsidRPr="003726FE">
        <w:rPr>
          <w:lang w:val="en-GB"/>
        </w:rPr>
        <w:t xml:space="preserve">. </w:t>
      </w:r>
    </w:p>
    <w:p w14:paraId="759AFDF0" w14:textId="77777777" w:rsidR="00862FBE" w:rsidRPr="003726FE" w:rsidRDefault="00862FBE" w:rsidP="00026049">
      <w:pPr>
        <w:pStyle w:val="Normal1"/>
        <w:rPr>
          <w:lang w:val="en-GB"/>
        </w:rPr>
      </w:pPr>
    </w:p>
    <w:p w14:paraId="4B8EC7B6" w14:textId="0BC622A9" w:rsidR="00B6196A" w:rsidRPr="003726FE" w:rsidRDefault="009720D5" w:rsidP="00026049">
      <w:pPr>
        <w:pStyle w:val="Normal1"/>
        <w:rPr>
          <w:lang w:val="en-GB"/>
        </w:rPr>
      </w:pPr>
      <w:r>
        <w:rPr>
          <w:lang w:val="en-GB"/>
        </w:rPr>
        <w:t>Experienced and novice t</w:t>
      </w:r>
      <w:r w:rsidR="00BF7479">
        <w:rPr>
          <w:lang w:val="en-GB"/>
        </w:rPr>
        <w:t xml:space="preserve">eachers (n=14) </w:t>
      </w:r>
      <w:r w:rsidR="008C46CD">
        <w:rPr>
          <w:lang w:val="en-GB"/>
        </w:rPr>
        <w:t>received</w:t>
      </w:r>
      <w:r w:rsidR="00BF7479">
        <w:rPr>
          <w:lang w:val="en-GB"/>
        </w:rPr>
        <w:t xml:space="preserve"> </w:t>
      </w:r>
      <w:r w:rsidR="00B6196A" w:rsidRPr="003726FE">
        <w:rPr>
          <w:lang w:val="en-GB"/>
        </w:rPr>
        <w:t xml:space="preserve">refresher training in </w:t>
      </w:r>
      <w:r w:rsidR="004761E4" w:rsidRPr="003726FE">
        <w:rPr>
          <w:lang w:val="en-GB"/>
        </w:rPr>
        <w:t>Best Practice Feedback (BPF)</w:t>
      </w:r>
      <w:r w:rsidR="00B6196A" w:rsidRPr="003726FE">
        <w:rPr>
          <w:lang w:val="en-GB"/>
        </w:rPr>
        <w:t>,</w:t>
      </w:r>
      <w:r w:rsidR="001C502B">
        <w:rPr>
          <w:lang w:val="en-GB"/>
        </w:rPr>
        <w:t xml:space="preserve"> with</w:t>
      </w:r>
      <w:r w:rsidR="00B6196A" w:rsidRPr="003726FE">
        <w:rPr>
          <w:lang w:val="en-GB"/>
        </w:rPr>
        <w:t xml:space="preserve"> half</w:t>
      </w:r>
      <w:r w:rsidR="001C502B">
        <w:rPr>
          <w:lang w:val="en-GB"/>
        </w:rPr>
        <w:t xml:space="preserve"> subsequently</w:t>
      </w:r>
      <w:r w:rsidR="00AC634B">
        <w:rPr>
          <w:lang w:val="en-GB"/>
        </w:rPr>
        <w:t xml:space="preserve"> </w:t>
      </w:r>
      <w:r w:rsidR="00B6196A" w:rsidRPr="003726FE">
        <w:rPr>
          <w:lang w:val="en-GB"/>
        </w:rPr>
        <w:t>randomly allocated to receive additional training</w:t>
      </w:r>
      <w:r w:rsidR="004761E4" w:rsidRPr="003726FE">
        <w:rPr>
          <w:lang w:val="en-GB"/>
        </w:rPr>
        <w:t xml:space="preserve"> in SRL </w:t>
      </w:r>
      <w:r w:rsidR="007040AC" w:rsidRPr="003726FE">
        <w:rPr>
          <w:lang w:val="en-GB"/>
        </w:rPr>
        <w:t>M</w:t>
      </w:r>
      <w:r w:rsidR="008C46CD">
        <w:rPr>
          <w:lang w:val="en-GB"/>
        </w:rPr>
        <w:t>icr</w:t>
      </w:r>
      <w:r w:rsidR="00F537BB">
        <w:rPr>
          <w:lang w:val="en-GB"/>
        </w:rPr>
        <w:t>oanalysis</w:t>
      </w:r>
      <w:r w:rsidR="004761E4" w:rsidRPr="003726FE">
        <w:rPr>
          <w:lang w:val="en-GB"/>
        </w:rPr>
        <w:t xml:space="preserve"> to give SRL </w:t>
      </w:r>
      <w:r w:rsidR="00BF7479">
        <w:rPr>
          <w:lang w:val="en-GB"/>
        </w:rPr>
        <w:t>F</w:t>
      </w:r>
      <w:r w:rsidR="004761E4" w:rsidRPr="003726FE">
        <w:rPr>
          <w:lang w:val="en-GB"/>
        </w:rPr>
        <w:t>eedback (SRLF)</w:t>
      </w:r>
      <w:r w:rsidR="00B6196A" w:rsidRPr="003726FE">
        <w:rPr>
          <w:lang w:val="en-GB"/>
        </w:rPr>
        <w:t xml:space="preserve">. </w:t>
      </w:r>
      <w:r w:rsidR="004761E4" w:rsidRPr="003726FE">
        <w:rPr>
          <w:lang w:val="en-GB"/>
        </w:rPr>
        <w:t>M</w:t>
      </w:r>
      <w:r w:rsidR="00B6196A" w:rsidRPr="003726FE">
        <w:rPr>
          <w:lang w:val="en-GB"/>
        </w:rPr>
        <w:t xml:space="preserve">edical undergraduates were randomly allocated to </w:t>
      </w:r>
      <w:r w:rsidR="004761E4" w:rsidRPr="003726FE">
        <w:rPr>
          <w:lang w:val="en-GB"/>
        </w:rPr>
        <w:t xml:space="preserve">receive </w:t>
      </w:r>
      <w:r w:rsidR="00B6196A" w:rsidRPr="003726FE">
        <w:rPr>
          <w:lang w:val="en-GB"/>
        </w:rPr>
        <w:t xml:space="preserve">BPF or </w:t>
      </w:r>
      <w:r w:rsidR="004761E4" w:rsidRPr="003726FE">
        <w:rPr>
          <w:lang w:val="en-GB"/>
        </w:rPr>
        <w:t>SRLF</w:t>
      </w:r>
      <w:r w:rsidR="009402E4" w:rsidRPr="003726FE">
        <w:rPr>
          <w:lang w:val="en-GB"/>
        </w:rPr>
        <w:t xml:space="preserve"> </w:t>
      </w:r>
      <w:r w:rsidR="001C502B">
        <w:rPr>
          <w:lang w:val="en-GB"/>
        </w:rPr>
        <w:t>within simulated, structured</w:t>
      </w:r>
      <w:r w:rsidR="009402E4" w:rsidRPr="003726FE">
        <w:rPr>
          <w:lang w:val="en-GB"/>
        </w:rPr>
        <w:t xml:space="preserve"> teaching sessions</w:t>
      </w:r>
      <w:r w:rsidR="00B6196A" w:rsidRPr="003726FE">
        <w:rPr>
          <w:lang w:val="en-GB"/>
        </w:rPr>
        <w:t xml:space="preserve">. </w:t>
      </w:r>
      <w:r>
        <w:rPr>
          <w:lang w:val="en-GB"/>
        </w:rPr>
        <w:t>Questionnaire</w:t>
      </w:r>
      <w:r w:rsidR="009402E4" w:rsidRPr="003726FE">
        <w:rPr>
          <w:lang w:val="en-GB"/>
        </w:rPr>
        <w:t xml:space="preserve"> d</w:t>
      </w:r>
      <w:r w:rsidR="00B6196A" w:rsidRPr="003726FE">
        <w:rPr>
          <w:lang w:val="en-GB"/>
        </w:rPr>
        <w:t xml:space="preserve">ata was collected </w:t>
      </w:r>
      <w:r w:rsidR="008317C6" w:rsidRPr="003726FE">
        <w:rPr>
          <w:lang w:val="en-GB"/>
        </w:rPr>
        <w:t xml:space="preserve">(n=171) </w:t>
      </w:r>
      <w:r>
        <w:rPr>
          <w:lang w:val="en-GB"/>
        </w:rPr>
        <w:t>pre and post-</w:t>
      </w:r>
      <w:r w:rsidR="001C502B">
        <w:rPr>
          <w:lang w:val="en-GB"/>
        </w:rPr>
        <w:t>teaching</w:t>
      </w:r>
      <w:r w:rsidR="009402E4" w:rsidRPr="003726FE">
        <w:rPr>
          <w:lang w:val="en-GB"/>
        </w:rPr>
        <w:t xml:space="preserve"> as well as after clinical placements</w:t>
      </w:r>
      <w:r w:rsidR="00862FBE" w:rsidRPr="003726FE">
        <w:rPr>
          <w:lang w:val="en-GB"/>
        </w:rPr>
        <w:t xml:space="preserve">. Teachers </w:t>
      </w:r>
      <w:r w:rsidR="008317C6" w:rsidRPr="003726FE">
        <w:rPr>
          <w:lang w:val="en-GB"/>
        </w:rPr>
        <w:t xml:space="preserve">(n=13) </w:t>
      </w:r>
      <w:r w:rsidR="00862FBE" w:rsidRPr="003726FE">
        <w:rPr>
          <w:lang w:val="en-GB"/>
        </w:rPr>
        <w:t xml:space="preserve">were interviewed to </w:t>
      </w:r>
      <w:r w:rsidR="009A1184">
        <w:rPr>
          <w:lang w:val="en-GB"/>
        </w:rPr>
        <w:t>evaluate</w:t>
      </w:r>
      <w:r w:rsidR="00862FBE" w:rsidRPr="003726FE">
        <w:rPr>
          <w:lang w:val="en-GB"/>
        </w:rPr>
        <w:t xml:space="preserve"> the impact of the intervention on </w:t>
      </w:r>
      <w:r w:rsidR="009402E4" w:rsidRPr="003726FE">
        <w:rPr>
          <w:lang w:val="en-GB"/>
        </w:rPr>
        <w:t>their</w:t>
      </w:r>
      <w:r w:rsidR="00862FBE" w:rsidRPr="003726FE">
        <w:rPr>
          <w:lang w:val="en-GB"/>
        </w:rPr>
        <w:t xml:space="preserve"> practices. </w:t>
      </w:r>
      <w:r w:rsidR="009402E4" w:rsidRPr="003726FE">
        <w:rPr>
          <w:lang w:val="en-GB"/>
        </w:rPr>
        <w:t>Focus group and interview d</w:t>
      </w:r>
      <w:r w:rsidR="00862FBE" w:rsidRPr="003726FE">
        <w:rPr>
          <w:lang w:val="en-GB"/>
        </w:rPr>
        <w:t xml:space="preserve">ata </w:t>
      </w:r>
      <w:r w:rsidR="00F537BB">
        <w:rPr>
          <w:lang w:val="en-GB"/>
        </w:rPr>
        <w:t>were</w:t>
      </w:r>
      <w:r w:rsidR="00862FBE" w:rsidRPr="003726FE">
        <w:rPr>
          <w:lang w:val="en-GB"/>
        </w:rPr>
        <w:t xml:space="preserve"> collected from students</w:t>
      </w:r>
      <w:r w:rsidR="008317C6" w:rsidRPr="003726FE">
        <w:rPr>
          <w:lang w:val="en-GB"/>
        </w:rPr>
        <w:t xml:space="preserve"> (n=7</w:t>
      </w:r>
      <w:r w:rsidR="000E70DA">
        <w:rPr>
          <w:lang w:val="en-GB"/>
        </w:rPr>
        <w:t>3</w:t>
      </w:r>
      <w:r w:rsidR="008317C6" w:rsidRPr="003726FE">
        <w:rPr>
          <w:lang w:val="en-GB"/>
        </w:rPr>
        <w:t>)</w:t>
      </w:r>
      <w:r w:rsidR="00862FBE" w:rsidRPr="003726FE">
        <w:rPr>
          <w:lang w:val="en-GB"/>
        </w:rPr>
        <w:t xml:space="preserve"> </w:t>
      </w:r>
      <w:r w:rsidR="001C502B">
        <w:rPr>
          <w:lang w:val="en-GB"/>
        </w:rPr>
        <w:t xml:space="preserve">whilst they </w:t>
      </w:r>
      <w:r w:rsidR="001260FB">
        <w:rPr>
          <w:lang w:val="en-GB"/>
        </w:rPr>
        <w:t>attended</w:t>
      </w:r>
      <w:r w:rsidR="00862FBE" w:rsidRPr="003726FE">
        <w:rPr>
          <w:lang w:val="en-GB"/>
        </w:rPr>
        <w:t xml:space="preserve"> clinical placements to </w:t>
      </w:r>
      <w:r w:rsidR="009A1184">
        <w:rPr>
          <w:lang w:val="en-GB"/>
        </w:rPr>
        <w:t>evaluate</w:t>
      </w:r>
      <w:r w:rsidR="00862FBE" w:rsidRPr="003726FE">
        <w:rPr>
          <w:lang w:val="en-GB"/>
        </w:rPr>
        <w:t xml:space="preserve"> how the feedback models </w:t>
      </w:r>
      <w:r w:rsidR="001C502B">
        <w:rPr>
          <w:lang w:val="en-GB"/>
        </w:rPr>
        <w:t xml:space="preserve">may have </w:t>
      </w:r>
      <w:r w:rsidR="00862FBE" w:rsidRPr="003726FE">
        <w:rPr>
          <w:lang w:val="en-GB"/>
        </w:rPr>
        <w:t>impacted upon their SRL and feedback behaviours.</w:t>
      </w:r>
    </w:p>
    <w:p w14:paraId="560CC75D" w14:textId="77777777" w:rsidR="00862FBE" w:rsidRPr="003726FE" w:rsidRDefault="00862FBE" w:rsidP="00026049">
      <w:pPr>
        <w:pStyle w:val="Normal1"/>
        <w:rPr>
          <w:lang w:val="en-GB"/>
        </w:rPr>
      </w:pPr>
    </w:p>
    <w:p w14:paraId="20F9DAF9" w14:textId="4147767E" w:rsidR="00B6196A" w:rsidRPr="003726FE" w:rsidRDefault="001C502B" w:rsidP="00026049">
      <w:pPr>
        <w:pStyle w:val="Normal1"/>
        <w:rPr>
          <w:lang w:val="en-GB"/>
        </w:rPr>
      </w:pPr>
      <w:r w:rsidRPr="003726FE">
        <w:rPr>
          <w:lang w:val="en-GB"/>
        </w:rPr>
        <w:t xml:space="preserve">Teachers </w:t>
      </w:r>
      <w:r>
        <w:rPr>
          <w:lang w:val="en-GB"/>
        </w:rPr>
        <w:t>considered</w:t>
      </w:r>
      <w:r w:rsidRPr="003726FE">
        <w:rPr>
          <w:lang w:val="en-GB"/>
        </w:rPr>
        <w:t xml:space="preserve"> the SRLF model a feasible and </w:t>
      </w:r>
      <w:r>
        <w:rPr>
          <w:lang w:val="en-GB"/>
        </w:rPr>
        <w:t>useful</w:t>
      </w:r>
      <w:r w:rsidRPr="003726FE">
        <w:rPr>
          <w:lang w:val="en-GB"/>
        </w:rPr>
        <w:t xml:space="preserve"> addition to their practice. </w:t>
      </w:r>
      <w:r>
        <w:rPr>
          <w:lang w:val="en-GB"/>
        </w:rPr>
        <w:t>They</w:t>
      </w:r>
      <w:r w:rsidRPr="003726FE">
        <w:rPr>
          <w:lang w:val="en-GB"/>
        </w:rPr>
        <w:t xml:space="preserve"> described how their </w:t>
      </w:r>
      <w:r>
        <w:rPr>
          <w:lang w:val="en-GB"/>
        </w:rPr>
        <w:t>conceptualisation</w:t>
      </w:r>
      <w:r w:rsidRPr="003726FE">
        <w:rPr>
          <w:lang w:val="en-GB"/>
        </w:rPr>
        <w:t>s of feedback and teaching influenced their practice and that challenges to th</w:t>
      </w:r>
      <w:r>
        <w:rPr>
          <w:lang w:val="en-GB"/>
        </w:rPr>
        <w:t>ese</w:t>
      </w:r>
      <w:r w:rsidRPr="003726FE">
        <w:rPr>
          <w:lang w:val="en-GB"/>
        </w:rPr>
        <w:t xml:space="preserve"> encouraged practice change. </w:t>
      </w:r>
      <w:r w:rsidR="00862FBE" w:rsidRPr="003726FE">
        <w:rPr>
          <w:lang w:val="en-GB"/>
        </w:rPr>
        <w:t>S</w:t>
      </w:r>
      <w:r w:rsidR="00B6196A" w:rsidRPr="003726FE">
        <w:rPr>
          <w:lang w:val="en-GB"/>
        </w:rPr>
        <w:t xml:space="preserve">tudents </w:t>
      </w:r>
      <w:r>
        <w:rPr>
          <w:lang w:val="en-GB"/>
        </w:rPr>
        <w:t>from</w:t>
      </w:r>
      <w:r w:rsidR="00B6196A" w:rsidRPr="003726FE">
        <w:rPr>
          <w:lang w:val="en-GB"/>
        </w:rPr>
        <w:t xml:space="preserve"> the SRLF group scored higher in both SRL capacity and self-efficacy beliefs in the </w:t>
      </w:r>
      <w:r>
        <w:rPr>
          <w:lang w:val="en-GB"/>
        </w:rPr>
        <w:t>immediate</w:t>
      </w:r>
      <w:r w:rsidR="00B6196A" w:rsidRPr="003726FE">
        <w:rPr>
          <w:lang w:val="en-GB"/>
        </w:rPr>
        <w:t xml:space="preserve"> and </w:t>
      </w:r>
      <w:r w:rsidR="00826050">
        <w:rPr>
          <w:lang w:val="en-GB"/>
        </w:rPr>
        <w:t>longer-term</w:t>
      </w:r>
      <w:r w:rsidR="00B6196A" w:rsidRPr="003726FE">
        <w:rPr>
          <w:lang w:val="en-GB"/>
        </w:rPr>
        <w:t xml:space="preserve"> compared </w:t>
      </w:r>
      <w:r>
        <w:rPr>
          <w:lang w:val="en-GB"/>
        </w:rPr>
        <w:t>with</w:t>
      </w:r>
      <w:r w:rsidR="00B6196A" w:rsidRPr="003726FE">
        <w:rPr>
          <w:lang w:val="en-GB"/>
        </w:rPr>
        <w:t xml:space="preserve"> the BPF group. </w:t>
      </w:r>
      <w:r w:rsidR="008317C6" w:rsidRPr="003726FE">
        <w:rPr>
          <w:lang w:val="en-GB"/>
        </w:rPr>
        <w:t>In focus groups and interviews</w:t>
      </w:r>
      <w:r w:rsidR="00116C36">
        <w:rPr>
          <w:lang w:val="en-GB"/>
        </w:rPr>
        <w:t>,</w:t>
      </w:r>
      <w:r w:rsidR="008317C6" w:rsidRPr="003726FE">
        <w:rPr>
          <w:lang w:val="en-GB"/>
        </w:rPr>
        <w:t xml:space="preserve"> those in the SRLF group were more likely to articulate positive SRL </w:t>
      </w:r>
      <w:r w:rsidR="009402E4" w:rsidRPr="003726FE">
        <w:rPr>
          <w:lang w:val="en-GB"/>
        </w:rPr>
        <w:t>behaviours</w:t>
      </w:r>
      <w:r w:rsidR="00BF7479">
        <w:rPr>
          <w:lang w:val="en-GB"/>
        </w:rPr>
        <w:t xml:space="preserve"> than the BPF group</w:t>
      </w:r>
      <w:r w:rsidR="009402E4" w:rsidRPr="003726FE">
        <w:rPr>
          <w:lang w:val="en-GB"/>
        </w:rPr>
        <w:t>.</w:t>
      </w:r>
    </w:p>
    <w:p w14:paraId="2F81240C" w14:textId="77777777" w:rsidR="008317C6" w:rsidRPr="003726FE" w:rsidRDefault="008317C6" w:rsidP="00026049">
      <w:pPr>
        <w:pStyle w:val="Normal1"/>
        <w:rPr>
          <w:lang w:val="en-GB"/>
        </w:rPr>
      </w:pPr>
    </w:p>
    <w:p w14:paraId="01CAF9C2" w14:textId="698C5A3C" w:rsidR="00B43CBC" w:rsidRPr="003726FE" w:rsidRDefault="00B6196A" w:rsidP="00026049">
      <w:pPr>
        <w:pStyle w:val="Normal1"/>
        <w:rPr>
          <w:rFonts w:asciiTheme="majorHAnsi" w:eastAsiaTheme="majorEastAsia" w:hAnsiTheme="majorHAnsi" w:cstheme="majorBidi"/>
          <w:color w:val="2E74B5" w:themeColor="accent1" w:themeShade="BF"/>
          <w:sz w:val="32"/>
          <w:szCs w:val="32"/>
          <w:lang w:val="en-GB"/>
        </w:rPr>
      </w:pPr>
      <w:r w:rsidRPr="003726FE">
        <w:rPr>
          <w:lang w:val="en-GB"/>
        </w:rPr>
        <w:t>The</w:t>
      </w:r>
      <w:r w:rsidR="00AC634B">
        <w:rPr>
          <w:lang w:val="en-GB"/>
        </w:rPr>
        <w:t>se</w:t>
      </w:r>
      <w:r w:rsidRPr="003726FE">
        <w:rPr>
          <w:lang w:val="en-GB"/>
        </w:rPr>
        <w:t xml:space="preserve"> findings suggest that </w:t>
      </w:r>
      <w:r w:rsidR="008317C6" w:rsidRPr="003726FE">
        <w:rPr>
          <w:lang w:val="en-GB"/>
        </w:rPr>
        <w:t xml:space="preserve">an </w:t>
      </w:r>
      <w:r w:rsidR="004761E4" w:rsidRPr="003726FE">
        <w:rPr>
          <w:lang w:val="en-GB"/>
        </w:rPr>
        <w:t>SRLF</w:t>
      </w:r>
      <w:r w:rsidRPr="003726FE">
        <w:rPr>
          <w:lang w:val="en-GB"/>
        </w:rPr>
        <w:t xml:space="preserve"> approach</w:t>
      </w:r>
      <w:r w:rsidR="008317C6" w:rsidRPr="003726FE">
        <w:rPr>
          <w:lang w:val="en-GB"/>
        </w:rPr>
        <w:t xml:space="preserve"> </w:t>
      </w:r>
      <w:r w:rsidR="001C502B">
        <w:rPr>
          <w:lang w:val="en-GB"/>
        </w:rPr>
        <w:t xml:space="preserve">embedded within teaching sessions </w:t>
      </w:r>
      <w:r w:rsidR="009F6B5A">
        <w:rPr>
          <w:lang w:val="en-GB"/>
        </w:rPr>
        <w:t>may</w:t>
      </w:r>
      <w:r w:rsidRPr="003726FE">
        <w:rPr>
          <w:lang w:val="en-GB"/>
        </w:rPr>
        <w:t xml:space="preserve"> provide a method of </w:t>
      </w:r>
      <w:r w:rsidR="008317C6" w:rsidRPr="003726FE">
        <w:rPr>
          <w:lang w:val="en-GB"/>
        </w:rPr>
        <w:t>empowering</w:t>
      </w:r>
      <w:r w:rsidRPr="003726FE">
        <w:rPr>
          <w:lang w:val="en-GB"/>
        </w:rPr>
        <w:t xml:space="preserve"> students</w:t>
      </w:r>
      <w:r w:rsidR="00BF7479">
        <w:rPr>
          <w:lang w:val="en-GB"/>
        </w:rPr>
        <w:t>’</w:t>
      </w:r>
      <w:r w:rsidRPr="003726FE">
        <w:rPr>
          <w:lang w:val="en-GB"/>
        </w:rPr>
        <w:t xml:space="preserve"> </w:t>
      </w:r>
      <w:r w:rsidR="001C502B">
        <w:rPr>
          <w:lang w:val="en-GB"/>
        </w:rPr>
        <w:t xml:space="preserve">subsequent </w:t>
      </w:r>
      <w:r w:rsidRPr="003726FE">
        <w:rPr>
          <w:lang w:val="en-GB"/>
        </w:rPr>
        <w:t xml:space="preserve">SRL </w:t>
      </w:r>
      <w:r w:rsidR="004761E4" w:rsidRPr="003726FE">
        <w:rPr>
          <w:lang w:val="en-GB"/>
        </w:rPr>
        <w:t>development</w:t>
      </w:r>
      <w:r w:rsidRPr="003726FE">
        <w:rPr>
          <w:lang w:val="en-GB"/>
        </w:rPr>
        <w:t xml:space="preserve"> in </w:t>
      </w:r>
      <w:r w:rsidR="001C502B">
        <w:rPr>
          <w:lang w:val="en-GB"/>
        </w:rPr>
        <w:t xml:space="preserve">later </w:t>
      </w:r>
      <w:r w:rsidRPr="003726FE">
        <w:rPr>
          <w:lang w:val="en-GB"/>
        </w:rPr>
        <w:t>authentic learning environments.</w:t>
      </w:r>
      <w:r w:rsidR="008317C6" w:rsidRPr="003726FE">
        <w:rPr>
          <w:lang w:val="en-GB"/>
        </w:rPr>
        <w:t xml:space="preserve"> </w:t>
      </w:r>
      <w:r w:rsidR="001C502B">
        <w:rPr>
          <w:lang w:val="en-GB"/>
        </w:rPr>
        <w:t>This</w:t>
      </w:r>
      <w:r w:rsidR="008317C6" w:rsidRPr="003726FE">
        <w:rPr>
          <w:lang w:val="en-GB"/>
        </w:rPr>
        <w:t xml:space="preserve"> offers new insights for faculty developers to </w:t>
      </w:r>
      <w:r w:rsidR="001C502B">
        <w:rPr>
          <w:lang w:val="en-GB"/>
        </w:rPr>
        <w:t>enhance</w:t>
      </w:r>
      <w:r w:rsidR="008317C6" w:rsidRPr="003726FE">
        <w:rPr>
          <w:lang w:val="en-GB"/>
        </w:rPr>
        <w:t xml:space="preserve"> their offering of SRL </w:t>
      </w:r>
      <w:r w:rsidR="001C502B">
        <w:rPr>
          <w:lang w:val="en-GB"/>
        </w:rPr>
        <w:t>approaches within teaching sessions</w:t>
      </w:r>
      <w:r w:rsidR="008317C6" w:rsidRPr="003726FE">
        <w:rPr>
          <w:lang w:val="en-GB"/>
        </w:rPr>
        <w:t>. It may also be of interest to students, teachers, and academics involved in he</w:t>
      </w:r>
      <w:r w:rsidR="009F6B5A">
        <w:rPr>
          <w:lang w:val="en-GB"/>
        </w:rPr>
        <w:t>alth education</w:t>
      </w:r>
      <w:r w:rsidR="00592E55" w:rsidRPr="003726FE">
        <w:rPr>
          <w:lang w:val="en-GB"/>
        </w:rPr>
        <w:t>.</w:t>
      </w:r>
      <w:r w:rsidR="00B43CBC" w:rsidRPr="003726FE">
        <w:rPr>
          <w:lang w:val="en-GB"/>
        </w:rPr>
        <w:br w:type="page"/>
      </w:r>
    </w:p>
    <w:p w14:paraId="34E336AA" w14:textId="1DAFFD90" w:rsidR="004740E9" w:rsidRPr="003726FE" w:rsidRDefault="004740E9" w:rsidP="0049059B">
      <w:pPr>
        <w:pStyle w:val="Heading1"/>
        <w:jc w:val="center"/>
      </w:pPr>
      <w:bookmarkStart w:id="23" w:name="_Toc487456811"/>
      <w:bookmarkStart w:id="24" w:name="_Toc487811191"/>
      <w:bookmarkStart w:id="25" w:name="_Toc488147534"/>
      <w:bookmarkStart w:id="26" w:name="_Toc488309146"/>
      <w:bookmarkStart w:id="27" w:name="_Toc488930105"/>
      <w:bookmarkStart w:id="28" w:name="_Toc489017319"/>
      <w:bookmarkStart w:id="29" w:name="_Toc489447673"/>
      <w:bookmarkStart w:id="30" w:name="_Toc490650160"/>
      <w:bookmarkStart w:id="31" w:name="_Toc500319302"/>
      <w:bookmarkStart w:id="32" w:name="_Toc500319522"/>
      <w:r w:rsidRPr="003726FE">
        <w:lastRenderedPageBreak/>
        <w:t>Thesis Structure</w:t>
      </w:r>
      <w:bookmarkEnd w:id="23"/>
      <w:bookmarkEnd w:id="24"/>
      <w:bookmarkEnd w:id="25"/>
      <w:bookmarkEnd w:id="26"/>
      <w:bookmarkEnd w:id="27"/>
      <w:bookmarkEnd w:id="28"/>
      <w:bookmarkEnd w:id="29"/>
      <w:bookmarkEnd w:id="30"/>
      <w:bookmarkEnd w:id="31"/>
      <w:bookmarkEnd w:id="32"/>
    </w:p>
    <w:p w14:paraId="0BB4ED1B" w14:textId="77777777" w:rsidR="004740E9" w:rsidRPr="003726FE" w:rsidRDefault="004740E9" w:rsidP="004740E9"/>
    <w:p w14:paraId="36F8EB04" w14:textId="268C9F99" w:rsidR="004740E9" w:rsidRPr="003726FE" w:rsidRDefault="004740E9" w:rsidP="00026049">
      <w:pPr>
        <w:pStyle w:val="Normal1"/>
        <w:rPr>
          <w:lang w:val="en-GB"/>
        </w:rPr>
      </w:pPr>
      <w:r w:rsidRPr="003726FE">
        <w:rPr>
          <w:lang w:val="en-GB"/>
        </w:rPr>
        <w:t xml:space="preserve">This thesis is structured into </w:t>
      </w:r>
      <w:r w:rsidR="00116C36">
        <w:rPr>
          <w:lang w:val="en-GB"/>
        </w:rPr>
        <w:t>four</w:t>
      </w:r>
      <w:r w:rsidRPr="003726FE">
        <w:rPr>
          <w:lang w:val="en-GB"/>
        </w:rPr>
        <w:t xml:space="preserve"> </w:t>
      </w:r>
      <w:r w:rsidR="00AA1CE5" w:rsidRPr="003726FE">
        <w:rPr>
          <w:lang w:val="en-GB"/>
        </w:rPr>
        <w:t xml:space="preserve">sections: </w:t>
      </w:r>
      <w:r w:rsidR="00116C36">
        <w:rPr>
          <w:lang w:val="en-GB"/>
        </w:rPr>
        <w:t xml:space="preserve">(A) </w:t>
      </w:r>
      <w:r w:rsidR="00AA1CE5" w:rsidRPr="003726FE">
        <w:rPr>
          <w:lang w:val="en-GB"/>
        </w:rPr>
        <w:t>Introduction and m</w:t>
      </w:r>
      <w:r w:rsidR="00116C36">
        <w:rPr>
          <w:lang w:val="en-GB"/>
        </w:rPr>
        <w:t>ethodology;</w:t>
      </w:r>
      <w:r w:rsidR="00EB423B" w:rsidRPr="003726FE">
        <w:rPr>
          <w:lang w:val="en-GB"/>
        </w:rPr>
        <w:t xml:space="preserve"> </w:t>
      </w:r>
      <w:r w:rsidR="00116C36">
        <w:rPr>
          <w:lang w:val="en-GB"/>
        </w:rPr>
        <w:t>(B) T</w:t>
      </w:r>
      <w:r w:rsidR="00EB423B" w:rsidRPr="003726FE">
        <w:rPr>
          <w:lang w:val="en-GB"/>
        </w:rPr>
        <w:t>he</w:t>
      </w:r>
      <w:r w:rsidRPr="003726FE">
        <w:rPr>
          <w:lang w:val="en-GB"/>
        </w:rPr>
        <w:t xml:space="preserve"> </w:t>
      </w:r>
      <w:r w:rsidR="00EB423B" w:rsidRPr="003726FE">
        <w:rPr>
          <w:lang w:val="en-GB"/>
        </w:rPr>
        <w:t>dev</w:t>
      </w:r>
      <w:r w:rsidR="00116C36">
        <w:rPr>
          <w:lang w:val="en-GB"/>
        </w:rPr>
        <w:t>elopment and intervention phase; (C) T</w:t>
      </w:r>
      <w:r w:rsidR="00EB423B" w:rsidRPr="003726FE">
        <w:rPr>
          <w:lang w:val="en-GB"/>
        </w:rPr>
        <w:t>he follow-up evaluation phase</w:t>
      </w:r>
      <w:r w:rsidR="00116C36">
        <w:rPr>
          <w:lang w:val="en-GB"/>
        </w:rPr>
        <w:t>; (D) D</w:t>
      </w:r>
      <w:r w:rsidR="00E93DB3" w:rsidRPr="003726FE">
        <w:rPr>
          <w:lang w:val="en-GB"/>
        </w:rPr>
        <w:t>iscussion</w:t>
      </w:r>
      <w:r w:rsidRPr="003726FE">
        <w:rPr>
          <w:lang w:val="en-GB"/>
        </w:rPr>
        <w:t>.</w:t>
      </w:r>
      <w:r w:rsidR="00116C36">
        <w:rPr>
          <w:lang w:val="en-GB"/>
        </w:rPr>
        <w:t xml:space="preserve"> These consist</w:t>
      </w:r>
      <w:r w:rsidRPr="003726FE">
        <w:rPr>
          <w:lang w:val="en-GB"/>
        </w:rPr>
        <w:t xml:space="preserve"> of chapters which are numbered in sequence</w:t>
      </w:r>
      <w:r w:rsidR="00116C36">
        <w:rPr>
          <w:lang w:val="en-GB"/>
        </w:rPr>
        <w:t xml:space="preserve"> and both</w:t>
      </w:r>
      <w:r w:rsidR="00116C36" w:rsidRPr="003726FE">
        <w:rPr>
          <w:lang w:val="en-GB"/>
        </w:rPr>
        <w:t xml:space="preserve"> section</w:t>
      </w:r>
      <w:r w:rsidR="00116C36">
        <w:rPr>
          <w:lang w:val="en-GB"/>
        </w:rPr>
        <w:t>s and chapters include</w:t>
      </w:r>
      <w:r w:rsidR="00116C36" w:rsidRPr="003726FE">
        <w:rPr>
          <w:lang w:val="en-GB"/>
        </w:rPr>
        <w:t xml:space="preserve"> introductions and summaries</w:t>
      </w:r>
      <w:r w:rsidR="00C74413">
        <w:rPr>
          <w:lang w:val="en-GB"/>
        </w:rPr>
        <w:t xml:space="preserve"> where appropriate</w:t>
      </w:r>
      <w:r w:rsidRPr="003726FE">
        <w:rPr>
          <w:lang w:val="en-GB"/>
        </w:rPr>
        <w:t>.</w:t>
      </w:r>
      <w:r w:rsidR="00A564D1">
        <w:rPr>
          <w:lang w:val="en-GB"/>
        </w:rPr>
        <w:t xml:space="preserve"> Chapters containing results are presented chronologically, as opposed to quantitative then qualitative.</w:t>
      </w:r>
    </w:p>
    <w:p w14:paraId="065CD9DD" w14:textId="77777777" w:rsidR="004740E9" w:rsidRPr="003726FE" w:rsidRDefault="004740E9" w:rsidP="00026049">
      <w:pPr>
        <w:pStyle w:val="Normal1"/>
        <w:rPr>
          <w:lang w:val="en-GB"/>
        </w:rPr>
      </w:pPr>
    </w:p>
    <w:p w14:paraId="331EABDB" w14:textId="77777777" w:rsidR="004740E9" w:rsidRPr="003726FE" w:rsidRDefault="004740E9" w:rsidP="00EF11DC">
      <w:pPr>
        <w:pStyle w:val="Normal1"/>
        <w:jc w:val="center"/>
        <w:rPr>
          <w:b/>
          <w:lang w:val="en-GB"/>
        </w:rPr>
      </w:pPr>
      <w:r w:rsidRPr="003726FE">
        <w:rPr>
          <w:b/>
          <w:lang w:val="en-GB"/>
        </w:rPr>
        <w:t>Section A: Introduction and Methodology</w:t>
      </w:r>
    </w:p>
    <w:p w14:paraId="65C1DAD0" w14:textId="77777777" w:rsidR="00D418CC" w:rsidRPr="003726FE" w:rsidRDefault="00D418CC" w:rsidP="00026049">
      <w:pPr>
        <w:pStyle w:val="Normal1"/>
        <w:rPr>
          <w:lang w:val="en-GB"/>
        </w:rPr>
      </w:pPr>
    </w:p>
    <w:p w14:paraId="3AB3CFB8" w14:textId="4439D587" w:rsidR="004740E9" w:rsidRPr="003726FE" w:rsidRDefault="004411FA" w:rsidP="00026049">
      <w:pPr>
        <w:pStyle w:val="Normal1"/>
        <w:rPr>
          <w:lang w:val="en-GB"/>
        </w:rPr>
      </w:pPr>
      <w:r>
        <w:rPr>
          <w:lang w:val="en-GB"/>
        </w:rPr>
        <w:t>T</w:t>
      </w:r>
      <w:r w:rsidR="004740E9" w:rsidRPr="003726FE">
        <w:rPr>
          <w:lang w:val="en-GB"/>
        </w:rPr>
        <w:t>his section introduces the thesis</w:t>
      </w:r>
      <w:r w:rsidR="00C74413">
        <w:rPr>
          <w:lang w:val="en-GB"/>
        </w:rPr>
        <w:t>,</w:t>
      </w:r>
      <w:r w:rsidR="004740E9" w:rsidRPr="003726FE">
        <w:rPr>
          <w:lang w:val="en-GB"/>
        </w:rPr>
        <w:t xml:space="preserve"> giving the context in which the research sits within the larger educational research area. </w:t>
      </w:r>
      <w:r>
        <w:rPr>
          <w:lang w:val="en-GB"/>
        </w:rPr>
        <w:t>It</w:t>
      </w:r>
      <w:r w:rsidR="00AA1CE5" w:rsidRPr="003726FE">
        <w:rPr>
          <w:lang w:val="en-GB"/>
        </w:rPr>
        <w:t xml:space="preserve"> articulates </w:t>
      </w:r>
      <w:r w:rsidR="004740E9" w:rsidRPr="003726FE">
        <w:rPr>
          <w:lang w:val="en-GB"/>
        </w:rPr>
        <w:t>the research</w:t>
      </w:r>
      <w:r w:rsidR="00AA1CE5" w:rsidRPr="003726FE">
        <w:rPr>
          <w:lang w:val="en-GB"/>
        </w:rPr>
        <w:t xml:space="preserve"> focus</w:t>
      </w:r>
      <w:r w:rsidR="004740E9" w:rsidRPr="003726FE">
        <w:rPr>
          <w:lang w:val="en-GB"/>
        </w:rPr>
        <w:t xml:space="preserve"> and </w:t>
      </w:r>
      <w:r w:rsidR="00AA1CE5" w:rsidRPr="003726FE">
        <w:rPr>
          <w:lang w:val="en-GB"/>
        </w:rPr>
        <w:t xml:space="preserve">how it is </w:t>
      </w:r>
      <w:r w:rsidR="004740E9" w:rsidRPr="003726FE">
        <w:rPr>
          <w:lang w:val="en-GB"/>
        </w:rPr>
        <w:t>situate</w:t>
      </w:r>
      <w:r w:rsidR="00AA1CE5" w:rsidRPr="003726FE">
        <w:rPr>
          <w:lang w:val="en-GB"/>
        </w:rPr>
        <w:t>d</w:t>
      </w:r>
      <w:r w:rsidR="00116C36">
        <w:rPr>
          <w:lang w:val="en-GB"/>
        </w:rPr>
        <w:t xml:space="preserve"> within medical education. Finally, the methodology is outlined.</w:t>
      </w:r>
    </w:p>
    <w:p w14:paraId="30187C06" w14:textId="77777777" w:rsidR="00D418CC" w:rsidRPr="003726FE" w:rsidRDefault="00D418CC" w:rsidP="00026049">
      <w:pPr>
        <w:pStyle w:val="Normal1"/>
        <w:rPr>
          <w:lang w:val="en-GB"/>
        </w:rPr>
      </w:pPr>
    </w:p>
    <w:p w14:paraId="1F34938C" w14:textId="25D6674D" w:rsidR="004740E9" w:rsidRPr="003726FE" w:rsidRDefault="004740E9" w:rsidP="00026049">
      <w:pPr>
        <w:pStyle w:val="Normal1"/>
        <w:rPr>
          <w:lang w:val="en-GB"/>
        </w:rPr>
      </w:pPr>
      <w:r w:rsidRPr="003726FE">
        <w:rPr>
          <w:b/>
          <w:lang w:val="en-GB"/>
        </w:rPr>
        <w:t>Chapter A1.</w:t>
      </w:r>
      <w:r w:rsidRPr="003726FE">
        <w:rPr>
          <w:lang w:val="en-GB"/>
        </w:rPr>
        <w:t xml:space="preserve"> </w:t>
      </w:r>
      <w:r w:rsidR="00AA1CE5" w:rsidRPr="003726FE">
        <w:rPr>
          <w:lang w:val="en-GB"/>
        </w:rPr>
        <w:t>The main topics to be</w:t>
      </w:r>
      <w:r w:rsidRPr="003726FE">
        <w:rPr>
          <w:lang w:val="en-GB"/>
        </w:rPr>
        <w:t xml:space="preserve"> explored </w:t>
      </w:r>
      <w:r w:rsidR="00AA1CE5" w:rsidRPr="003726FE">
        <w:rPr>
          <w:lang w:val="en-GB"/>
        </w:rPr>
        <w:t>are introduced</w:t>
      </w:r>
      <w:r w:rsidRPr="003726FE">
        <w:rPr>
          <w:lang w:val="en-GB"/>
        </w:rPr>
        <w:t>. This provide</w:t>
      </w:r>
      <w:r w:rsidR="007F7A4B" w:rsidRPr="003726FE">
        <w:rPr>
          <w:lang w:val="en-GB"/>
        </w:rPr>
        <w:t>s</w:t>
      </w:r>
      <w:r w:rsidRPr="003726FE">
        <w:rPr>
          <w:lang w:val="en-GB"/>
        </w:rPr>
        <w:t xml:space="preserve"> a historical context</w:t>
      </w:r>
      <w:r w:rsidR="004411FA">
        <w:rPr>
          <w:lang w:val="en-GB"/>
        </w:rPr>
        <w:t xml:space="preserve"> of</w:t>
      </w:r>
      <w:r w:rsidRPr="003726FE">
        <w:rPr>
          <w:lang w:val="en-GB"/>
        </w:rPr>
        <w:t xml:space="preserve"> the key developments to date</w:t>
      </w:r>
      <w:r w:rsidR="00A32CDD">
        <w:rPr>
          <w:lang w:val="en-GB"/>
        </w:rPr>
        <w:t>,</w:t>
      </w:r>
      <w:r w:rsidRPr="003726FE">
        <w:rPr>
          <w:lang w:val="en-GB"/>
        </w:rPr>
        <w:t xml:space="preserve"> including the specific specialisat</w:t>
      </w:r>
      <w:r w:rsidR="004411FA">
        <w:rPr>
          <w:lang w:val="en-GB"/>
        </w:rPr>
        <w:t xml:space="preserve">ions </w:t>
      </w:r>
      <w:r w:rsidR="00A564D1">
        <w:rPr>
          <w:lang w:val="en-GB"/>
        </w:rPr>
        <w:t>that</w:t>
      </w:r>
      <w:r w:rsidR="00AA1CE5" w:rsidRPr="003726FE">
        <w:rPr>
          <w:lang w:val="en-GB"/>
        </w:rPr>
        <w:t xml:space="preserve"> this research</w:t>
      </w:r>
      <w:r w:rsidRPr="003726FE">
        <w:rPr>
          <w:lang w:val="en-GB"/>
        </w:rPr>
        <w:t xml:space="preserve"> covers. These </w:t>
      </w:r>
      <w:r w:rsidR="00AA1CE5" w:rsidRPr="003726FE">
        <w:rPr>
          <w:lang w:val="en-GB"/>
        </w:rPr>
        <w:t>include</w:t>
      </w:r>
      <w:r w:rsidRPr="003726FE">
        <w:rPr>
          <w:lang w:val="en-GB"/>
        </w:rPr>
        <w:t xml:space="preserve">: feedback, </w:t>
      </w:r>
      <w:r w:rsidR="00A564D1">
        <w:rPr>
          <w:lang w:val="en-GB"/>
        </w:rPr>
        <w:t>SRL</w:t>
      </w:r>
      <w:r w:rsidRPr="003726FE">
        <w:rPr>
          <w:lang w:val="en-GB"/>
        </w:rPr>
        <w:t xml:space="preserve">, and skills development in medical education with a focus on clinical education. </w:t>
      </w:r>
      <w:r w:rsidR="00AA1CE5" w:rsidRPr="003726FE">
        <w:rPr>
          <w:lang w:val="en-GB"/>
        </w:rPr>
        <w:t>A</w:t>
      </w:r>
      <w:r w:rsidRPr="003726FE">
        <w:rPr>
          <w:lang w:val="en-GB"/>
        </w:rPr>
        <w:t xml:space="preserve"> discussion on simulated clinical skills and clinical placements to describe the study</w:t>
      </w:r>
      <w:r w:rsidR="007F7A4B" w:rsidRPr="003726FE">
        <w:rPr>
          <w:lang w:val="en-GB"/>
        </w:rPr>
        <w:t>’s</w:t>
      </w:r>
      <w:r w:rsidRPr="003726FE">
        <w:rPr>
          <w:lang w:val="en-GB"/>
        </w:rPr>
        <w:t xml:space="preserve"> </w:t>
      </w:r>
      <w:r w:rsidR="007F7A4B" w:rsidRPr="003726FE">
        <w:rPr>
          <w:lang w:val="en-GB"/>
        </w:rPr>
        <w:t>setting</w:t>
      </w:r>
      <w:r w:rsidR="00AA1CE5" w:rsidRPr="003726FE">
        <w:rPr>
          <w:lang w:val="en-GB"/>
        </w:rPr>
        <w:t xml:space="preserve"> is included</w:t>
      </w:r>
      <w:r w:rsidRPr="003726FE">
        <w:rPr>
          <w:lang w:val="en-GB"/>
        </w:rPr>
        <w:t>.</w:t>
      </w:r>
    </w:p>
    <w:p w14:paraId="3F0D2332" w14:textId="1F5F5976" w:rsidR="004740E9" w:rsidRPr="003726FE" w:rsidRDefault="004740E9" w:rsidP="00026049">
      <w:pPr>
        <w:pStyle w:val="Normal1"/>
        <w:rPr>
          <w:lang w:val="en-GB"/>
        </w:rPr>
      </w:pPr>
      <w:r w:rsidRPr="003726FE">
        <w:rPr>
          <w:b/>
          <w:lang w:val="en-GB"/>
        </w:rPr>
        <w:t>Chapter A2.</w:t>
      </w:r>
      <w:r w:rsidRPr="003726FE">
        <w:rPr>
          <w:lang w:val="en-GB"/>
        </w:rPr>
        <w:t xml:space="preserve"> </w:t>
      </w:r>
      <w:r w:rsidR="00AA1CE5" w:rsidRPr="003726FE">
        <w:rPr>
          <w:lang w:val="en-GB"/>
        </w:rPr>
        <w:t>A</w:t>
      </w:r>
      <w:r w:rsidRPr="003726FE">
        <w:rPr>
          <w:lang w:val="en-GB"/>
        </w:rPr>
        <w:t xml:space="preserve"> systematic literature review</w:t>
      </w:r>
      <w:r w:rsidR="00AA1CE5" w:rsidRPr="003726FE">
        <w:rPr>
          <w:lang w:val="en-GB"/>
        </w:rPr>
        <w:t xml:space="preserve"> </w:t>
      </w:r>
      <w:r w:rsidR="004411FA">
        <w:rPr>
          <w:lang w:val="en-GB"/>
        </w:rPr>
        <w:t>that</w:t>
      </w:r>
      <w:r w:rsidRPr="003726FE">
        <w:rPr>
          <w:lang w:val="en-GB"/>
        </w:rPr>
        <w:t xml:space="preserve"> explore</w:t>
      </w:r>
      <w:r w:rsidR="00A564D1">
        <w:rPr>
          <w:lang w:val="en-GB"/>
        </w:rPr>
        <w:t>s</w:t>
      </w:r>
      <w:r w:rsidRPr="003726FE">
        <w:rPr>
          <w:lang w:val="en-GB"/>
        </w:rPr>
        <w:t xml:space="preserve"> existing </w:t>
      </w:r>
      <w:r w:rsidR="00A564D1">
        <w:rPr>
          <w:lang w:val="en-GB"/>
        </w:rPr>
        <w:t>SRL</w:t>
      </w:r>
      <w:r w:rsidR="004411FA">
        <w:rPr>
          <w:lang w:val="en-GB"/>
        </w:rPr>
        <w:t xml:space="preserve"> interventions including</w:t>
      </w:r>
      <w:r w:rsidRPr="003726FE">
        <w:rPr>
          <w:lang w:val="en-GB"/>
        </w:rPr>
        <w:t xml:space="preserve"> feedback</w:t>
      </w:r>
      <w:r w:rsidR="00A32CDD">
        <w:rPr>
          <w:lang w:val="en-GB"/>
        </w:rPr>
        <w:t xml:space="preserve"> is reported</w:t>
      </w:r>
      <w:r w:rsidRPr="003726FE">
        <w:rPr>
          <w:lang w:val="en-GB"/>
        </w:rPr>
        <w:t>. This ha</w:t>
      </w:r>
      <w:r w:rsidR="00AA1CE5" w:rsidRPr="003726FE">
        <w:rPr>
          <w:lang w:val="en-GB"/>
        </w:rPr>
        <w:t>d</w:t>
      </w:r>
      <w:r w:rsidRPr="003726FE">
        <w:rPr>
          <w:lang w:val="en-GB"/>
        </w:rPr>
        <w:t xml:space="preserve"> the function of identifying gaps in the literature and </w:t>
      </w:r>
      <w:r w:rsidR="00AA1CE5" w:rsidRPr="003726FE">
        <w:rPr>
          <w:lang w:val="en-GB"/>
        </w:rPr>
        <w:t>informing the research questions</w:t>
      </w:r>
      <w:r w:rsidRPr="003726FE">
        <w:rPr>
          <w:lang w:val="en-GB"/>
        </w:rPr>
        <w:t>.</w:t>
      </w:r>
    </w:p>
    <w:p w14:paraId="760C1DFC" w14:textId="0E115C2A" w:rsidR="004740E9" w:rsidRPr="003726FE" w:rsidRDefault="004740E9" w:rsidP="00026049">
      <w:pPr>
        <w:pStyle w:val="Normal1"/>
        <w:rPr>
          <w:lang w:val="en-GB"/>
        </w:rPr>
      </w:pPr>
      <w:r w:rsidRPr="003726FE">
        <w:rPr>
          <w:b/>
          <w:lang w:val="en-GB"/>
        </w:rPr>
        <w:t>Chapter A3.</w:t>
      </w:r>
      <w:r w:rsidRPr="003726FE">
        <w:rPr>
          <w:lang w:val="en-GB"/>
        </w:rPr>
        <w:t xml:space="preserve"> </w:t>
      </w:r>
      <w:r w:rsidR="00D418CC" w:rsidRPr="003726FE">
        <w:rPr>
          <w:lang w:val="en-GB"/>
        </w:rPr>
        <w:t>T</w:t>
      </w:r>
      <w:r w:rsidRPr="003726FE">
        <w:rPr>
          <w:lang w:val="en-GB"/>
        </w:rPr>
        <w:t>he research design, philosophical and theoretical frameworks, and the methodology used in this research</w:t>
      </w:r>
      <w:r w:rsidR="00D418CC" w:rsidRPr="003726FE">
        <w:rPr>
          <w:lang w:val="en-GB"/>
        </w:rPr>
        <w:t xml:space="preserve"> is outlined</w:t>
      </w:r>
      <w:r w:rsidRPr="003726FE">
        <w:rPr>
          <w:lang w:val="en-GB"/>
        </w:rPr>
        <w:t>. The methodology for eac</w:t>
      </w:r>
      <w:r w:rsidR="00D418CC" w:rsidRPr="003726FE">
        <w:rPr>
          <w:lang w:val="en-GB"/>
        </w:rPr>
        <w:t xml:space="preserve">h method used </w:t>
      </w:r>
      <w:r w:rsidR="00A564D1" w:rsidRPr="003726FE">
        <w:rPr>
          <w:lang w:val="en-GB"/>
        </w:rPr>
        <w:t xml:space="preserve">and measures taken to improve the quality and rigor of the research </w:t>
      </w:r>
      <w:r w:rsidR="00A564D1">
        <w:rPr>
          <w:lang w:val="en-GB"/>
        </w:rPr>
        <w:t>are</w:t>
      </w:r>
      <w:r w:rsidR="00D418CC" w:rsidRPr="003726FE">
        <w:rPr>
          <w:lang w:val="en-GB"/>
        </w:rPr>
        <w:t xml:space="preserve"> described</w:t>
      </w:r>
      <w:r w:rsidRPr="003726FE">
        <w:rPr>
          <w:lang w:val="en-GB"/>
        </w:rPr>
        <w:t>.</w:t>
      </w:r>
    </w:p>
    <w:p w14:paraId="49E7512B" w14:textId="77777777" w:rsidR="004740E9" w:rsidRPr="003726FE" w:rsidRDefault="004740E9" w:rsidP="00026049">
      <w:pPr>
        <w:pStyle w:val="Normal1"/>
        <w:rPr>
          <w:lang w:val="en-GB"/>
        </w:rPr>
      </w:pPr>
    </w:p>
    <w:p w14:paraId="4A21CBF1" w14:textId="11A8672B" w:rsidR="004740E9" w:rsidRPr="003726FE" w:rsidRDefault="004740E9" w:rsidP="00EF11DC">
      <w:pPr>
        <w:pStyle w:val="Normal1"/>
        <w:jc w:val="center"/>
        <w:rPr>
          <w:b/>
          <w:lang w:val="en-GB"/>
        </w:rPr>
      </w:pPr>
      <w:r w:rsidRPr="003726FE">
        <w:rPr>
          <w:b/>
          <w:lang w:val="en-GB"/>
        </w:rPr>
        <w:t xml:space="preserve">Section B: </w:t>
      </w:r>
      <w:r w:rsidR="007F7A4B" w:rsidRPr="003726FE">
        <w:rPr>
          <w:b/>
          <w:lang w:val="en-GB"/>
        </w:rPr>
        <w:t>Design, Implementation, and Evaluation</w:t>
      </w:r>
    </w:p>
    <w:p w14:paraId="53299ACF" w14:textId="77777777" w:rsidR="00D418CC" w:rsidRPr="003726FE" w:rsidRDefault="00D418CC" w:rsidP="00026049">
      <w:pPr>
        <w:pStyle w:val="Normal1"/>
        <w:rPr>
          <w:lang w:val="en-GB"/>
        </w:rPr>
      </w:pPr>
    </w:p>
    <w:p w14:paraId="0D99B6EB" w14:textId="0E9E41F7" w:rsidR="004740E9" w:rsidRPr="003726FE" w:rsidRDefault="004740E9" w:rsidP="00026049">
      <w:pPr>
        <w:pStyle w:val="Normal1"/>
        <w:rPr>
          <w:lang w:val="en-GB"/>
        </w:rPr>
      </w:pPr>
      <w:r w:rsidRPr="003726FE">
        <w:rPr>
          <w:lang w:val="en-GB"/>
        </w:rPr>
        <w:t xml:space="preserve">This section </w:t>
      </w:r>
      <w:r w:rsidR="00D418CC" w:rsidRPr="003726FE">
        <w:rPr>
          <w:lang w:val="en-GB"/>
        </w:rPr>
        <w:t>describes</w:t>
      </w:r>
      <w:r w:rsidRPr="003726FE">
        <w:rPr>
          <w:lang w:val="en-GB"/>
        </w:rPr>
        <w:t xml:space="preserve"> the steps taken to develop the </w:t>
      </w:r>
      <w:r w:rsidR="00A564D1">
        <w:rPr>
          <w:lang w:val="en-GB"/>
        </w:rPr>
        <w:t>SRL</w:t>
      </w:r>
      <w:r w:rsidRPr="003726FE">
        <w:rPr>
          <w:lang w:val="en-GB"/>
        </w:rPr>
        <w:t xml:space="preserve"> </w:t>
      </w:r>
      <w:r w:rsidR="004411FA">
        <w:rPr>
          <w:lang w:val="en-GB"/>
        </w:rPr>
        <w:t>F</w:t>
      </w:r>
      <w:r w:rsidRPr="003726FE">
        <w:rPr>
          <w:lang w:val="en-GB"/>
        </w:rPr>
        <w:t>eedback</w:t>
      </w:r>
      <w:r w:rsidR="004411FA">
        <w:rPr>
          <w:lang w:val="en-GB"/>
        </w:rPr>
        <w:t xml:space="preserve"> (SRLF)</w:t>
      </w:r>
      <w:r w:rsidRPr="003726FE">
        <w:rPr>
          <w:lang w:val="en-GB"/>
        </w:rPr>
        <w:t xml:space="preserve"> and </w:t>
      </w:r>
      <w:r w:rsidR="004411FA" w:rsidRPr="003726FE">
        <w:rPr>
          <w:lang w:val="en-GB"/>
        </w:rPr>
        <w:t>Best Practice Feedback</w:t>
      </w:r>
      <w:r w:rsidR="004411FA">
        <w:rPr>
          <w:lang w:val="en-GB"/>
        </w:rPr>
        <w:t xml:space="preserve"> (BPF)</w:t>
      </w:r>
      <w:r w:rsidRPr="003726FE">
        <w:rPr>
          <w:lang w:val="en-GB"/>
        </w:rPr>
        <w:t xml:space="preserve"> model</w:t>
      </w:r>
      <w:r w:rsidR="00D418CC" w:rsidRPr="003726FE">
        <w:rPr>
          <w:lang w:val="en-GB"/>
        </w:rPr>
        <w:t>s</w:t>
      </w:r>
      <w:r w:rsidRPr="003726FE">
        <w:rPr>
          <w:lang w:val="en-GB"/>
        </w:rPr>
        <w:t xml:space="preserve">. </w:t>
      </w:r>
      <w:r w:rsidR="00D418CC" w:rsidRPr="003726FE">
        <w:rPr>
          <w:lang w:val="en-GB"/>
        </w:rPr>
        <w:t>R</w:t>
      </w:r>
      <w:r w:rsidR="007F7A4B" w:rsidRPr="003726FE">
        <w:rPr>
          <w:lang w:val="en-GB"/>
        </w:rPr>
        <w:t>esults</w:t>
      </w:r>
      <w:r w:rsidR="00D418CC" w:rsidRPr="003726FE">
        <w:rPr>
          <w:lang w:val="en-GB"/>
        </w:rPr>
        <w:t xml:space="preserve"> are presented</w:t>
      </w:r>
      <w:r w:rsidR="007F7A4B" w:rsidRPr="003726FE">
        <w:rPr>
          <w:lang w:val="en-GB"/>
        </w:rPr>
        <w:t xml:space="preserve"> from both the evaluation of how the feedback models impacted upon teachers’ pr</w:t>
      </w:r>
      <w:r w:rsidR="00A564D1">
        <w:rPr>
          <w:lang w:val="en-GB"/>
        </w:rPr>
        <w:t xml:space="preserve">actices, and the </w:t>
      </w:r>
      <w:r w:rsidR="00923E9D">
        <w:rPr>
          <w:lang w:val="en-GB"/>
        </w:rPr>
        <w:t>immediate</w:t>
      </w:r>
      <w:r w:rsidR="00A564D1">
        <w:rPr>
          <w:lang w:val="en-GB"/>
        </w:rPr>
        <w:t xml:space="preserve"> and </w:t>
      </w:r>
      <w:r w:rsidR="00826050">
        <w:rPr>
          <w:lang w:val="en-GB"/>
        </w:rPr>
        <w:t>longer-term</w:t>
      </w:r>
      <w:r w:rsidR="007F7A4B" w:rsidRPr="003726FE">
        <w:rPr>
          <w:lang w:val="en-GB"/>
        </w:rPr>
        <w:t xml:space="preserve"> impact of the feedback models on students SRL and self-efficacy perceptions.</w:t>
      </w:r>
    </w:p>
    <w:p w14:paraId="23FB1EB8" w14:textId="77777777" w:rsidR="00D418CC" w:rsidRPr="003726FE" w:rsidRDefault="00D418CC" w:rsidP="00026049">
      <w:pPr>
        <w:pStyle w:val="Normal1"/>
        <w:rPr>
          <w:lang w:val="en-GB"/>
        </w:rPr>
      </w:pPr>
    </w:p>
    <w:p w14:paraId="5D0B0B18" w14:textId="552EE8A2" w:rsidR="004740E9" w:rsidRPr="003726FE" w:rsidRDefault="004740E9" w:rsidP="00026049">
      <w:pPr>
        <w:pStyle w:val="Normal1"/>
        <w:rPr>
          <w:lang w:val="en-GB"/>
        </w:rPr>
      </w:pPr>
      <w:r w:rsidRPr="003726FE">
        <w:rPr>
          <w:b/>
          <w:lang w:val="en-GB"/>
        </w:rPr>
        <w:lastRenderedPageBreak/>
        <w:t xml:space="preserve">Chapter B1. </w:t>
      </w:r>
      <w:r w:rsidR="00D418CC" w:rsidRPr="003726FE">
        <w:rPr>
          <w:lang w:val="en-GB"/>
        </w:rPr>
        <w:t>Descriptions are given of</w:t>
      </w:r>
      <w:r w:rsidRPr="003726FE">
        <w:rPr>
          <w:lang w:val="en-GB"/>
        </w:rPr>
        <w:t xml:space="preserve"> how both feedback methods were developed, how the facilities and teaching team were accessed, the training and development, and </w:t>
      </w:r>
      <w:r w:rsidR="00A564D1">
        <w:rPr>
          <w:lang w:val="en-GB"/>
        </w:rPr>
        <w:t>the</w:t>
      </w:r>
      <w:r w:rsidRPr="003726FE">
        <w:rPr>
          <w:lang w:val="en-GB"/>
        </w:rPr>
        <w:t xml:space="preserve"> pilot study.</w:t>
      </w:r>
    </w:p>
    <w:p w14:paraId="538D37D4" w14:textId="2F5CF838" w:rsidR="007F7A4B" w:rsidRPr="003726FE" w:rsidRDefault="007F7A4B" w:rsidP="00026049">
      <w:pPr>
        <w:pStyle w:val="Normal1"/>
        <w:rPr>
          <w:lang w:val="en-GB"/>
        </w:rPr>
      </w:pPr>
      <w:r w:rsidRPr="003726FE">
        <w:rPr>
          <w:b/>
          <w:lang w:val="en-GB"/>
        </w:rPr>
        <w:t>Chapter B2.</w:t>
      </w:r>
      <w:r w:rsidRPr="003726FE">
        <w:rPr>
          <w:lang w:val="en-GB"/>
        </w:rPr>
        <w:t xml:space="preserve"> </w:t>
      </w:r>
      <w:r w:rsidR="00D418CC" w:rsidRPr="003726FE">
        <w:rPr>
          <w:lang w:val="en-GB"/>
        </w:rPr>
        <w:t>T</w:t>
      </w:r>
      <w:r w:rsidRPr="003726FE">
        <w:rPr>
          <w:lang w:val="en-GB"/>
        </w:rPr>
        <w:t>he impact of the different feedback models on the teaching practice of the clinical skills teachers using interview data</w:t>
      </w:r>
      <w:r w:rsidR="00D418CC" w:rsidRPr="003726FE">
        <w:rPr>
          <w:lang w:val="en-GB"/>
        </w:rPr>
        <w:t xml:space="preserve"> is explored</w:t>
      </w:r>
      <w:r w:rsidRPr="003726FE">
        <w:rPr>
          <w:lang w:val="en-GB"/>
        </w:rPr>
        <w:t>.</w:t>
      </w:r>
    </w:p>
    <w:p w14:paraId="30249520" w14:textId="62D68725" w:rsidR="007F7A4B" w:rsidRPr="003726FE" w:rsidRDefault="007F7A4B" w:rsidP="00026049">
      <w:pPr>
        <w:pStyle w:val="Normal1"/>
        <w:rPr>
          <w:lang w:val="en-GB"/>
        </w:rPr>
      </w:pPr>
      <w:r w:rsidRPr="003726FE">
        <w:rPr>
          <w:b/>
          <w:lang w:val="en-GB"/>
        </w:rPr>
        <w:t>Chapter B3.</w:t>
      </w:r>
      <w:r w:rsidR="00D418CC" w:rsidRPr="003726FE">
        <w:rPr>
          <w:b/>
          <w:lang w:val="en-GB"/>
        </w:rPr>
        <w:t xml:space="preserve"> </w:t>
      </w:r>
      <w:r w:rsidR="00D418CC" w:rsidRPr="003726FE">
        <w:rPr>
          <w:lang w:val="en-GB"/>
        </w:rPr>
        <w:t>T</w:t>
      </w:r>
      <w:r w:rsidRPr="003726FE">
        <w:rPr>
          <w:lang w:val="en-GB"/>
        </w:rPr>
        <w:t>he impact of both methods of giving feedback on students’ SRL capacity and perceived self-efficacy using questionnaire data collected over three time points</w:t>
      </w:r>
      <w:r w:rsidR="00D418CC" w:rsidRPr="003726FE">
        <w:rPr>
          <w:lang w:val="en-GB"/>
        </w:rPr>
        <w:t xml:space="preserve"> is presented</w:t>
      </w:r>
      <w:r w:rsidRPr="003726FE">
        <w:rPr>
          <w:lang w:val="en-GB"/>
        </w:rPr>
        <w:t>.</w:t>
      </w:r>
    </w:p>
    <w:p w14:paraId="6F516AB3" w14:textId="77777777" w:rsidR="00D3760F" w:rsidRPr="003726FE" w:rsidRDefault="00D3760F" w:rsidP="00026049">
      <w:pPr>
        <w:pStyle w:val="Normal1"/>
        <w:rPr>
          <w:lang w:val="en-GB"/>
        </w:rPr>
      </w:pPr>
    </w:p>
    <w:p w14:paraId="0BB57AA1" w14:textId="5F8164B5" w:rsidR="004740E9" w:rsidRPr="003726FE" w:rsidRDefault="004740E9" w:rsidP="00EF11DC">
      <w:pPr>
        <w:pStyle w:val="Normal1"/>
        <w:jc w:val="center"/>
        <w:rPr>
          <w:b/>
          <w:lang w:val="en-GB"/>
        </w:rPr>
      </w:pPr>
      <w:r w:rsidRPr="003726FE">
        <w:rPr>
          <w:b/>
          <w:lang w:val="en-GB"/>
        </w:rPr>
        <w:t xml:space="preserve">Section C: </w:t>
      </w:r>
      <w:r w:rsidR="00D418CC" w:rsidRPr="003726FE">
        <w:rPr>
          <w:b/>
          <w:lang w:val="en-GB"/>
        </w:rPr>
        <w:t>Follow-up phase</w:t>
      </w:r>
    </w:p>
    <w:p w14:paraId="7E24D30F" w14:textId="77777777" w:rsidR="00D418CC" w:rsidRPr="003726FE" w:rsidRDefault="00D418CC" w:rsidP="00026049">
      <w:pPr>
        <w:pStyle w:val="Normal1"/>
        <w:rPr>
          <w:lang w:val="en-GB"/>
        </w:rPr>
      </w:pPr>
    </w:p>
    <w:p w14:paraId="4C2E1CF9" w14:textId="46CFB236" w:rsidR="004740E9" w:rsidRDefault="00D418CC" w:rsidP="00026049">
      <w:pPr>
        <w:pStyle w:val="Normal1"/>
        <w:rPr>
          <w:lang w:val="en-GB"/>
        </w:rPr>
      </w:pPr>
      <w:r w:rsidRPr="003726FE">
        <w:rPr>
          <w:lang w:val="en-GB"/>
        </w:rPr>
        <w:t>R</w:t>
      </w:r>
      <w:r w:rsidR="007F7A4B" w:rsidRPr="003726FE">
        <w:rPr>
          <w:lang w:val="en-GB"/>
        </w:rPr>
        <w:t>esults</w:t>
      </w:r>
      <w:r w:rsidRPr="003726FE">
        <w:rPr>
          <w:lang w:val="en-GB"/>
        </w:rPr>
        <w:t xml:space="preserve"> are presented</w:t>
      </w:r>
      <w:r w:rsidR="004740E9" w:rsidRPr="003726FE">
        <w:rPr>
          <w:lang w:val="en-GB"/>
        </w:rPr>
        <w:t xml:space="preserve"> from the validation </w:t>
      </w:r>
      <w:r w:rsidR="007F7A4B" w:rsidRPr="003726FE">
        <w:rPr>
          <w:lang w:val="en-GB"/>
        </w:rPr>
        <w:t xml:space="preserve">of the </w:t>
      </w:r>
      <w:r w:rsidRPr="003726FE">
        <w:rPr>
          <w:lang w:val="en-GB"/>
        </w:rPr>
        <w:t xml:space="preserve">SRL </w:t>
      </w:r>
      <w:r w:rsidR="007F7A4B" w:rsidRPr="003726FE">
        <w:rPr>
          <w:lang w:val="en-GB"/>
        </w:rPr>
        <w:t xml:space="preserve">measurement tool </w:t>
      </w:r>
      <w:r w:rsidR="004740E9" w:rsidRPr="003726FE">
        <w:rPr>
          <w:lang w:val="en-GB"/>
        </w:rPr>
        <w:t>and the qualitative exploration of the students’ feedback and SRL</w:t>
      </w:r>
      <w:r w:rsidR="007F7A4B" w:rsidRPr="003726FE">
        <w:rPr>
          <w:lang w:val="en-GB"/>
        </w:rPr>
        <w:t xml:space="preserve"> behaviours on </w:t>
      </w:r>
      <w:r w:rsidR="00483DED">
        <w:rPr>
          <w:lang w:val="en-GB"/>
        </w:rPr>
        <w:t xml:space="preserve">clinical </w:t>
      </w:r>
      <w:r w:rsidR="007F7A4B" w:rsidRPr="003726FE">
        <w:rPr>
          <w:lang w:val="en-GB"/>
        </w:rPr>
        <w:t>placement</w:t>
      </w:r>
      <w:r w:rsidR="004740E9" w:rsidRPr="003726FE">
        <w:rPr>
          <w:lang w:val="en-GB"/>
        </w:rPr>
        <w:t>.</w:t>
      </w:r>
    </w:p>
    <w:p w14:paraId="6F87D0D4" w14:textId="77777777" w:rsidR="00A564D1" w:rsidRPr="003726FE" w:rsidRDefault="00A564D1" w:rsidP="00026049">
      <w:pPr>
        <w:pStyle w:val="Normal1"/>
        <w:rPr>
          <w:lang w:val="en-GB"/>
        </w:rPr>
      </w:pPr>
    </w:p>
    <w:p w14:paraId="201A55EC" w14:textId="527F0FA3" w:rsidR="004740E9" w:rsidRPr="003726FE" w:rsidRDefault="004740E9" w:rsidP="00026049">
      <w:pPr>
        <w:pStyle w:val="Normal1"/>
        <w:rPr>
          <w:lang w:val="en-GB"/>
        </w:rPr>
      </w:pPr>
      <w:r w:rsidRPr="003726FE">
        <w:rPr>
          <w:b/>
          <w:lang w:val="en-GB"/>
        </w:rPr>
        <w:t xml:space="preserve">Chapter C1. </w:t>
      </w:r>
      <w:r w:rsidR="00D418CC" w:rsidRPr="003726FE">
        <w:rPr>
          <w:lang w:val="en-GB"/>
        </w:rPr>
        <w:t>T</w:t>
      </w:r>
      <w:r w:rsidRPr="003726FE">
        <w:rPr>
          <w:lang w:val="en-GB"/>
        </w:rPr>
        <w:t xml:space="preserve">he validation </w:t>
      </w:r>
      <w:r w:rsidR="00D418CC" w:rsidRPr="003726FE">
        <w:rPr>
          <w:lang w:val="en-GB"/>
        </w:rPr>
        <w:t>of</w:t>
      </w:r>
      <w:r w:rsidRPr="003726FE">
        <w:rPr>
          <w:lang w:val="en-GB"/>
        </w:rPr>
        <w:t xml:space="preserve"> the S</w:t>
      </w:r>
      <w:r w:rsidR="004411FA">
        <w:rPr>
          <w:lang w:val="en-GB"/>
        </w:rPr>
        <w:t xml:space="preserve">hort </w:t>
      </w:r>
      <w:r w:rsidR="00A564D1" w:rsidRPr="003726FE">
        <w:rPr>
          <w:lang w:val="en-GB"/>
        </w:rPr>
        <w:t>S</w:t>
      </w:r>
      <w:r w:rsidR="00A564D1">
        <w:rPr>
          <w:lang w:val="en-GB"/>
        </w:rPr>
        <w:t>elf-</w:t>
      </w:r>
      <w:r w:rsidR="00A564D1" w:rsidRPr="003726FE">
        <w:rPr>
          <w:lang w:val="en-GB"/>
        </w:rPr>
        <w:t>R</w:t>
      </w:r>
      <w:r w:rsidR="00A564D1">
        <w:rPr>
          <w:lang w:val="en-GB"/>
        </w:rPr>
        <w:t>egulation</w:t>
      </w:r>
      <w:r w:rsidR="004411FA">
        <w:rPr>
          <w:lang w:val="en-GB"/>
        </w:rPr>
        <w:t xml:space="preserve"> </w:t>
      </w:r>
      <w:r w:rsidRPr="003726FE">
        <w:rPr>
          <w:lang w:val="en-GB"/>
        </w:rPr>
        <w:t>Q</w:t>
      </w:r>
      <w:r w:rsidR="004411FA">
        <w:rPr>
          <w:lang w:val="en-GB"/>
        </w:rPr>
        <w:t>uestionnaire (SSRQ)</w:t>
      </w:r>
      <w:r w:rsidRPr="003726FE">
        <w:rPr>
          <w:lang w:val="en-GB"/>
        </w:rPr>
        <w:t xml:space="preserve"> tool </w:t>
      </w:r>
      <w:r w:rsidR="00D418CC" w:rsidRPr="003726FE">
        <w:rPr>
          <w:lang w:val="en-GB"/>
        </w:rPr>
        <w:t>is presented.</w:t>
      </w:r>
    </w:p>
    <w:p w14:paraId="2A42BA13" w14:textId="60074A47" w:rsidR="004740E9" w:rsidRPr="003726FE" w:rsidRDefault="007F7A4B" w:rsidP="00026049">
      <w:pPr>
        <w:pStyle w:val="Normal1"/>
        <w:rPr>
          <w:lang w:val="en-GB"/>
        </w:rPr>
      </w:pPr>
      <w:r w:rsidRPr="003726FE">
        <w:rPr>
          <w:b/>
          <w:lang w:val="en-GB"/>
        </w:rPr>
        <w:t>Chapter C2</w:t>
      </w:r>
      <w:r w:rsidR="004740E9" w:rsidRPr="003726FE">
        <w:rPr>
          <w:b/>
          <w:lang w:val="en-GB"/>
        </w:rPr>
        <w:t xml:space="preserve">. </w:t>
      </w:r>
      <w:r w:rsidR="004740E9" w:rsidRPr="003726FE">
        <w:rPr>
          <w:lang w:val="en-GB"/>
        </w:rPr>
        <w:t>The impact of the</w:t>
      </w:r>
      <w:r w:rsidR="00A564D1">
        <w:rPr>
          <w:lang w:val="en-GB"/>
        </w:rPr>
        <w:t xml:space="preserve"> feedback models on student</w:t>
      </w:r>
      <w:r w:rsidR="004740E9" w:rsidRPr="003726FE">
        <w:rPr>
          <w:lang w:val="en-GB"/>
        </w:rPr>
        <w:t>s</w:t>
      </w:r>
      <w:r w:rsidR="00A564D1">
        <w:rPr>
          <w:lang w:val="en-GB"/>
        </w:rPr>
        <w:t>’</w:t>
      </w:r>
      <w:r w:rsidR="004740E9" w:rsidRPr="003726FE">
        <w:rPr>
          <w:lang w:val="en-GB"/>
        </w:rPr>
        <w:t xml:space="preserve"> learning strategies in authentic clinical settings</w:t>
      </w:r>
      <w:r w:rsidR="00D418CC" w:rsidRPr="003726FE">
        <w:rPr>
          <w:lang w:val="en-GB"/>
        </w:rPr>
        <w:t xml:space="preserve"> using focus group and interview data</w:t>
      </w:r>
      <w:r w:rsidR="004740E9" w:rsidRPr="003726FE">
        <w:rPr>
          <w:lang w:val="en-GB"/>
        </w:rPr>
        <w:t xml:space="preserve"> is </w:t>
      </w:r>
      <w:r w:rsidR="00A564D1">
        <w:rPr>
          <w:lang w:val="en-GB"/>
        </w:rPr>
        <w:t>explored</w:t>
      </w:r>
      <w:r w:rsidR="004740E9" w:rsidRPr="003726FE">
        <w:rPr>
          <w:lang w:val="en-GB"/>
        </w:rPr>
        <w:t>.</w:t>
      </w:r>
    </w:p>
    <w:p w14:paraId="2530998F" w14:textId="77777777" w:rsidR="004740E9" w:rsidRPr="003726FE" w:rsidRDefault="004740E9" w:rsidP="00026049">
      <w:pPr>
        <w:pStyle w:val="Normal1"/>
        <w:rPr>
          <w:lang w:val="en-GB"/>
        </w:rPr>
      </w:pPr>
    </w:p>
    <w:p w14:paraId="547FD6B8" w14:textId="3210B8C6" w:rsidR="004740E9" w:rsidRPr="003726FE" w:rsidRDefault="004740E9" w:rsidP="00EF11DC">
      <w:pPr>
        <w:pStyle w:val="Normal1"/>
        <w:jc w:val="center"/>
        <w:rPr>
          <w:b/>
          <w:lang w:val="en-GB"/>
        </w:rPr>
      </w:pPr>
      <w:r w:rsidRPr="003726FE">
        <w:rPr>
          <w:b/>
          <w:lang w:val="en-GB"/>
        </w:rPr>
        <w:t xml:space="preserve">Section </w:t>
      </w:r>
      <w:r w:rsidR="00E93DB3" w:rsidRPr="003726FE">
        <w:rPr>
          <w:b/>
          <w:lang w:val="en-GB"/>
        </w:rPr>
        <w:t>D</w:t>
      </w:r>
      <w:r w:rsidRPr="003726FE">
        <w:rPr>
          <w:b/>
          <w:lang w:val="en-GB"/>
        </w:rPr>
        <w:t>: Discussion</w:t>
      </w:r>
    </w:p>
    <w:p w14:paraId="58F43AD9" w14:textId="77777777" w:rsidR="00D418CC" w:rsidRPr="003726FE" w:rsidRDefault="00D418CC" w:rsidP="00026049">
      <w:pPr>
        <w:pStyle w:val="Normal1"/>
        <w:rPr>
          <w:lang w:val="en-GB"/>
        </w:rPr>
      </w:pPr>
    </w:p>
    <w:p w14:paraId="475D2D88" w14:textId="7153A4F2" w:rsidR="004740E9" w:rsidRPr="003726FE" w:rsidRDefault="00D418CC" w:rsidP="00026049">
      <w:pPr>
        <w:pStyle w:val="Normal1"/>
        <w:rPr>
          <w:lang w:val="en-GB"/>
        </w:rPr>
      </w:pPr>
      <w:r w:rsidRPr="003726FE">
        <w:rPr>
          <w:lang w:val="en-GB"/>
        </w:rPr>
        <w:t>A</w:t>
      </w:r>
      <w:r w:rsidR="004740E9" w:rsidRPr="003726FE">
        <w:rPr>
          <w:lang w:val="en-GB"/>
        </w:rPr>
        <w:t xml:space="preserve">n in-depth discussion </w:t>
      </w:r>
      <w:r w:rsidRPr="003726FE">
        <w:rPr>
          <w:lang w:val="en-GB"/>
        </w:rPr>
        <w:t xml:space="preserve">is given </w:t>
      </w:r>
      <w:r w:rsidR="004740E9" w:rsidRPr="003726FE">
        <w:rPr>
          <w:lang w:val="en-GB"/>
        </w:rPr>
        <w:t>of the results as a whole. It include</w:t>
      </w:r>
      <w:r w:rsidRPr="003726FE">
        <w:rPr>
          <w:lang w:val="en-GB"/>
        </w:rPr>
        <w:t>s</w:t>
      </w:r>
      <w:r w:rsidR="004740E9" w:rsidRPr="003726FE">
        <w:rPr>
          <w:lang w:val="en-GB"/>
        </w:rPr>
        <w:t xml:space="preserve"> practice recommendations and situate</w:t>
      </w:r>
      <w:r w:rsidRPr="003726FE">
        <w:rPr>
          <w:lang w:val="en-GB"/>
        </w:rPr>
        <w:t>s</w:t>
      </w:r>
      <w:r w:rsidR="004740E9" w:rsidRPr="003726FE">
        <w:rPr>
          <w:lang w:val="en-GB"/>
        </w:rPr>
        <w:t xml:space="preserve"> this </w:t>
      </w:r>
      <w:r w:rsidR="00A564D1">
        <w:rPr>
          <w:lang w:val="en-GB"/>
        </w:rPr>
        <w:t>thesis in the wider research area</w:t>
      </w:r>
      <w:r w:rsidR="004740E9" w:rsidRPr="003726FE">
        <w:rPr>
          <w:lang w:val="en-GB"/>
        </w:rPr>
        <w:t xml:space="preserve">. </w:t>
      </w:r>
      <w:r w:rsidRPr="003726FE">
        <w:rPr>
          <w:lang w:val="en-GB"/>
        </w:rPr>
        <w:t>An evaluation of</w:t>
      </w:r>
      <w:r w:rsidR="00D15382" w:rsidRPr="003726FE">
        <w:rPr>
          <w:lang w:val="en-GB"/>
        </w:rPr>
        <w:t xml:space="preserve"> </w:t>
      </w:r>
      <w:r w:rsidRPr="003726FE">
        <w:rPr>
          <w:lang w:val="en-GB"/>
        </w:rPr>
        <w:t>the mixed methods design and</w:t>
      </w:r>
      <w:r w:rsidR="00D15382" w:rsidRPr="003726FE">
        <w:rPr>
          <w:lang w:val="en-GB"/>
        </w:rPr>
        <w:t xml:space="preserve"> faculty development intervention</w:t>
      </w:r>
      <w:r w:rsidRPr="003726FE">
        <w:rPr>
          <w:lang w:val="en-GB"/>
        </w:rPr>
        <w:t xml:space="preserve"> is presented</w:t>
      </w:r>
      <w:r w:rsidR="00D15382" w:rsidRPr="003726FE">
        <w:rPr>
          <w:lang w:val="en-GB"/>
        </w:rPr>
        <w:t xml:space="preserve">. </w:t>
      </w:r>
      <w:r w:rsidR="004740E9" w:rsidRPr="003726FE">
        <w:rPr>
          <w:lang w:val="en-GB"/>
        </w:rPr>
        <w:t xml:space="preserve">The significance and implications of the research </w:t>
      </w:r>
      <w:r w:rsidRPr="003726FE">
        <w:rPr>
          <w:lang w:val="en-GB"/>
        </w:rPr>
        <w:t>are</w:t>
      </w:r>
      <w:r w:rsidR="004740E9" w:rsidRPr="003726FE">
        <w:rPr>
          <w:lang w:val="en-GB"/>
        </w:rPr>
        <w:t xml:space="preserve"> discussed and </w:t>
      </w:r>
      <w:r w:rsidRPr="003726FE">
        <w:rPr>
          <w:lang w:val="en-GB"/>
        </w:rPr>
        <w:t>suggestions for further research are</w:t>
      </w:r>
      <w:r w:rsidR="004740E9" w:rsidRPr="003726FE">
        <w:rPr>
          <w:lang w:val="en-GB"/>
        </w:rPr>
        <w:t xml:space="preserve"> made.</w:t>
      </w:r>
    </w:p>
    <w:p w14:paraId="2C827624" w14:textId="77777777" w:rsidR="00D418CC" w:rsidRPr="003726FE" w:rsidRDefault="00D418CC" w:rsidP="00026049">
      <w:pPr>
        <w:pStyle w:val="Normal1"/>
        <w:rPr>
          <w:lang w:val="en-GB"/>
        </w:rPr>
      </w:pPr>
    </w:p>
    <w:p w14:paraId="62216344" w14:textId="5200E4B4" w:rsidR="00D15382" w:rsidRPr="003726FE" w:rsidRDefault="00D15382" w:rsidP="00026049">
      <w:pPr>
        <w:pStyle w:val="Normal1"/>
        <w:rPr>
          <w:lang w:val="en-GB"/>
        </w:rPr>
      </w:pPr>
      <w:r w:rsidRPr="003726FE">
        <w:rPr>
          <w:b/>
          <w:lang w:val="en-GB"/>
        </w:rPr>
        <w:t xml:space="preserve">Chapter D1. </w:t>
      </w:r>
      <w:r w:rsidR="00C42D2E" w:rsidRPr="003726FE">
        <w:rPr>
          <w:lang w:val="en-GB"/>
        </w:rPr>
        <w:t>Provides an overall evaluation of the mixed methods design in terms of effectiveness and suitability.</w:t>
      </w:r>
      <w:r w:rsidR="00C42D2E" w:rsidRPr="003726FE">
        <w:rPr>
          <w:b/>
          <w:lang w:val="en-GB"/>
        </w:rPr>
        <w:t xml:space="preserve"> </w:t>
      </w:r>
      <w:r w:rsidR="00C42D2E" w:rsidRPr="003726FE">
        <w:rPr>
          <w:lang w:val="en-GB"/>
        </w:rPr>
        <w:t>An</w:t>
      </w:r>
      <w:r w:rsidR="00C42D2E" w:rsidRPr="003726FE">
        <w:rPr>
          <w:b/>
          <w:lang w:val="en-GB"/>
        </w:rPr>
        <w:t xml:space="preserve"> </w:t>
      </w:r>
      <w:r w:rsidR="00C42D2E" w:rsidRPr="003726FE">
        <w:rPr>
          <w:lang w:val="en-GB"/>
        </w:rPr>
        <w:t>evaluation of the faculty development intervention using specific tools and rubrics is made and also includes a process evaluation.</w:t>
      </w:r>
      <w:r w:rsidR="00C42D2E">
        <w:rPr>
          <w:lang w:val="en-GB"/>
        </w:rPr>
        <w:t xml:space="preserve"> </w:t>
      </w:r>
    </w:p>
    <w:p w14:paraId="4882FB1F" w14:textId="430F0710" w:rsidR="004740E9" w:rsidRPr="0040789B" w:rsidRDefault="00D15382" w:rsidP="00026049">
      <w:pPr>
        <w:pStyle w:val="Normal1"/>
        <w:rPr>
          <w:b/>
          <w:lang w:val="en-GB"/>
        </w:rPr>
      </w:pPr>
      <w:r w:rsidRPr="003726FE">
        <w:rPr>
          <w:b/>
          <w:lang w:val="en-GB"/>
        </w:rPr>
        <w:t xml:space="preserve">Chapter </w:t>
      </w:r>
      <w:r w:rsidR="00BF6160">
        <w:rPr>
          <w:b/>
          <w:lang w:val="en-GB"/>
        </w:rPr>
        <w:t>D</w:t>
      </w:r>
      <w:r w:rsidR="00C42D2E">
        <w:rPr>
          <w:b/>
          <w:lang w:val="en-GB"/>
        </w:rPr>
        <w:t>2</w:t>
      </w:r>
      <w:r w:rsidRPr="003726FE">
        <w:rPr>
          <w:b/>
          <w:lang w:val="en-GB"/>
        </w:rPr>
        <w:t xml:space="preserve">. </w:t>
      </w:r>
      <w:r w:rsidR="00C42D2E" w:rsidRPr="003726FE">
        <w:rPr>
          <w:lang w:val="en-GB"/>
        </w:rPr>
        <w:t>Discussions on each set of data are presented in the context of the research questions and aims.</w:t>
      </w:r>
      <w:r w:rsidR="0040789B">
        <w:rPr>
          <w:lang w:val="en-GB"/>
        </w:rPr>
        <w:t xml:space="preserve"> Limitations, strengths, and the significance of the research are discussed</w:t>
      </w:r>
      <w:r w:rsidR="0040789B">
        <w:rPr>
          <w:b/>
          <w:lang w:val="en-GB"/>
        </w:rPr>
        <w:t>.</w:t>
      </w:r>
      <w:r w:rsidR="004740E9" w:rsidRPr="003726FE">
        <w:rPr>
          <w:lang w:val="en-GB"/>
        </w:rPr>
        <w:br w:type="page"/>
      </w:r>
    </w:p>
    <w:p w14:paraId="76585DF7" w14:textId="77777777" w:rsidR="0049059B" w:rsidRPr="003726FE" w:rsidRDefault="0049059B" w:rsidP="0049059B">
      <w:pPr>
        <w:pStyle w:val="Heading1"/>
      </w:pPr>
      <w:bookmarkStart w:id="33" w:name="_Toc487456810"/>
      <w:bookmarkStart w:id="34" w:name="_Toc487811190"/>
      <w:bookmarkStart w:id="35" w:name="_Toc488147533"/>
      <w:bookmarkStart w:id="36" w:name="_Toc488309145"/>
      <w:bookmarkStart w:id="37" w:name="_Toc488930106"/>
      <w:bookmarkStart w:id="38" w:name="_Toc489017320"/>
      <w:bookmarkStart w:id="39" w:name="_Toc489447674"/>
      <w:bookmarkStart w:id="40" w:name="_Toc490650161"/>
      <w:bookmarkStart w:id="41" w:name="_Toc487456812"/>
      <w:bookmarkStart w:id="42" w:name="_Toc487811192"/>
      <w:bookmarkStart w:id="43" w:name="_Toc488147535"/>
      <w:bookmarkStart w:id="44" w:name="_Toc488309147"/>
      <w:bookmarkStart w:id="45" w:name="_Toc500319303"/>
      <w:bookmarkStart w:id="46" w:name="_Toc500319523"/>
      <w:r w:rsidRPr="003726FE">
        <w:lastRenderedPageBreak/>
        <w:t>My Background and Experience</w:t>
      </w:r>
      <w:bookmarkEnd w:id="33"/>
      <w:bookmarkEnd w:id="34"/>
      <w:bookmarkEnd w:id="35"/>
      <w:bookmarkEnd w:id="36"/>
      <w:bookmarkEnd w:id="37"/>
      <w:bookmarkEnd w:id="38"/>
      <w:bookmarkEnd w:id="39"/>
      <w:bookmarkEnd w:id="40"/>
      <w:bookmarkEnd w:id="45"/>
      <w:bookmarkEnd w:id="46"/>
    </w:p>
    <w:p w14:paraId="3719B0C3" w14:textId="77777777" w:rsidR="0049059B" w:rsidRPr="003726FE" w:rsidRDefault="0049059B" w:rsidP="0049059B">
      <w:pPr>
        <w:pStyle w:val="Normal1"/>
        <w:rPr>
          <w:lang w:val="en-GB"/>
        </w:rPr>
      </w:pPr>
    </w:p>
    <w:p w14:paraId="6F9EEF32" w14:textId="4E3E30E0" w:rsidR="0049059B" w:rsidRPr="003726FE" w:rsidRDefault="0049059B" w:rsidP="0049059B">
      <w:pPr>
        <w:pStyle w:val="Normal1"/>
        <w:rPr>
          <w:lang w:val="en-GB"/>
        </w:rPr>
      </w:pPr>
      <w:r w:rsidRPr="003726FE">
        <w:rPr>
          <w:lang w:val="en-GB"/>
        </w:rPr>
        <w:t>My undergraduate degree was in sport and exercise science</w:t>
      </w:r>
      <w:r w:rsidR="00A564D1">
        <w:rPr>
          <w:lang w:val="en-GB"/>
        </w:rPr>
        <w:t xml:space="preserve"> at Sheffield Hallam University</w:t>
      </w:r>
      <w:r w:rsidRPr="003726FE">
        <w:rPr>
          <w:lang w:val="en-GB"/>
        </w:rPr>
        <w:t xml:space="preserve"> which gave me a gro</w:t>
      </w:r>
      <w:r w:rsidR="00A564D1">
        <w:rPr>
          <w:lang w:val="en-GB"/>
        </w:rPr>
        <w:t xml:space="preserve">unding in scientific </w:t>
      </w:r>
      <w:r w:rsidR="00A32CDD">
        <w:rPr>
          <w:lang w:val="en-GB"/>
        </w:rPr>
        <w:t xml:space="preserve">research </w:t>
      </w:r>
      <w:r w:rsidR="00A564D1">
        <w:rPr>
          <w:lang w:val="en-GB"/>
        </w:rPr>
        <w:t>method</w:t>
      </w:r>
      <w:r w:rsidR="00A32CDD">
        <w:rPr>
          <w:lang w:val="en-GB"/>
        </w:rPr>
        <w:t>s</w:t>
      </w:r>
      <w:r w:rsidR="00A564D1">
        <w:rPr>
          <w:lang w:val="en-GB"/>
        </w:rPr>
        <w:t>.</w:t>
      </w:r>
      <w:r w:rsidRPr="003726FE">
        <w:rPr>
          <w:lang w:val="en-GB"/>
        </w:rPr>
        <w:t xml:space="preserve"> I also gained research skills </w:t>
      </w:r>
      <w:r w:rsidR="0021662A">
        <w:rPr>
          <w:lang w:val="en-GB"/>
        </w:rPr>
        <w:t>including</w:t>
      </w:r>
      <w:r w:rsidRPr="003726FE">
        <w:rPr>
          <w:lang w:val="en-GB"/>
        </w:rPr>
        <w:t xml:space="preserve"> statistical analysis and literature searching. In addition to my studies</w:t>
      </w:r>
      <w:r w:rsidR="00A564D1">
        <w:rPr>
          <w:lang w:val="en-GB"/>
        </w:rPr>
        <w:t>,</w:t>
      </w:r>
      <w:r w:rsidRPr="003726FE">
        <w:rPr>
          <w:lang w:val="en-GB"/>
        </w:rPr>
        <w:t xml:space="preserve"> I was a part-time researcher for the university working on educational research projects. During this </w:t>
      </w:r>
      <w:r w:rsidR="00B27F0B" w:rsidRPr="003726FE">
        <w:rPr>
          <w:lang w:val="en-GB"/>
        </w:rPr>
        <w:t>time,</w:t>
      </w:r>
      <w:r w:rsidRPr="003726FE">
        <w:rPr>
          <w:lang w:val="en-GB"/>
        </w:rPr>
        <w:t xml:space="preserve"> I learned how to apply qualitative methods and analytical techniques which included interviews, focus groups, and thematic analysis. These two strands of experiences gave me an appreciation for mixed methods of inquiry, as used in this </w:t>
      </w:r>
      <w:r w:rsidR="00314C65">
        <w:rPr>
          <w:lang w:val="en-GB"/>
        </w:rPr>
        <w:t>thesis</w:t>
      </w:r>
      <w:r w:rsidRPr="003726FE">
        <w:rPr>
          <w:lang w:val="en-GB"/>
        </w:rPr>
        <w:t>.</w:t>
      </w:r>
    </w:p>
    <w:p w14:paraId="3F4B4082" w14:textId="77777777" w:rsidR="0049059B" w:rsidRPr="003726FE" w:rsidRDefault="0049059B" w:rsidP="0049059B">
      <w:pPr>
        <w:pStyle w:val="Normal1"/>
        <w:rPr>
          <w:lang w:val="en-GB"/>
        </w:rPr>
      </w:pPr>
    </w:p>
    <w:p w14:paraId="44F69212" w14:textId="42E5E5C7" w:rsidR="0049059B" w:rsidRPr="003726FE" w:rsidRDefault="0049059B" w:rsidP="0049059B">
      <w:pPr>
        <w:pStyle w:val="Normal1"/>
        <w:rPr>
          <w:lang w:val="en-GB"/>
        </w:rPr>
      </w:pPr>
      <w:r>
        <w:rPr>
          <w:lang w:val="en-GB"/>
        </w:rPr>
        <w:t>T</w:t>
      </w:r>
      <w:r w:rsidRPr="003726FE">
        <w:rPr>
          <w:lang w:val="en-GB"/>
        </w:rPr>
        <w:t xml:space="preserve">o understand and study the clinical placement learning experience, </w:t>
      </w:r>
      <w:r w:rsidR="001C502B">
        <w:rPr>
          <w:lang w:val="en-GB"/>
        </w:rPr>
        <w:t xml:space="preserve">the project team suggested that </w:t>
      </w:r>
      <w:r w:rsidRPr="003726FE">
        <w:rPr>
          <w:lang w:val="en-GB"/>
        </w:rPr>
        <w:t xml:space="preserve">I </w:t>
      </w:r>
      <w:r w:rsidR="001C502B">
        <w:rPr>
          <w:lang w:val="en-GB"/>
        </w:rPr>
        <w:t>attend</w:t>
      </w:r>
      <w:r w:rsidRPr="003726FE">
        <w:rPr>
          <w:lang w:val="en-GB"/>
        </w:rPr>
        <w:t xml:space="preserve"> two weeks of a typical</w:t>
      </w:r>
      <w:r w:rsidR="00483DED">
        <w:rPr>
          <w:lang w:val="en-GB"/>
        </w:rPr>
        <w:t xml:space="preserve"> clinical</w:t>
      </w:r>
      <w:r w:rsidRPr="003726FE">
        <w:rPr>
          <w:lang w:val="en-GB"/>
        </w:rPr>
        <w:t xml:space="preserve"> placement in Sheffield with </w:t>
      </w:r>
      <w:r w:rsidR="001C502B">
        <w:rPr>
          <w:lang w:val="en-GB"/>
        </w:rPr>
        <w:t xml:space="preserve">year </w:t>
      </w:r>
      <w:r w:rsidR="00A32CDD">
        <w:rPr>
          <w:lang w:val="en-GB"/>
        </w:rPr>
        <w:t>three</w:t>
      </w:r>
      <w:r w:rsidR="001C502B">
        <w:rPr>
          <w:lang w:val="en-GB"/>
        </w:rPr>
        <w:t xml:space="preserve"> students (from a </w:t>
      </w:r>
      <w:r w:rsidR="00B27F0B">
        <w:rPr>
          <w:lang w:val="en-GB"/>
        </w:rPr>
        <w:t>five-year</w:t>
      </w:r>
      <w:r w:rsidR="001C502B">
        <w:rPr>
          <w:lang w:val="en-GB"/>
        </w:rPr>
        <w:t xml:space="preserve"> course)</w:t>
      </w:r>
      <w:r w:rsidRPr="003726FE">
        <w:rPr>
          <w:lang w:val="en-GB"/>
        </w:rPr>
        <w:t xml:space="preserve"> at that time (</w:t>
      </w:r>
      <w:r w:rsidR="00E34247">
        <w:rPr>
          <w:lang w:val="en-GB"/>
        </w:rPr>
        <w:t>the same year of study as</w:t>
      </w:r>
      <w:r w:rsidRPr="003726FE">
        <w:rPr>
          <w:lang w:val="en-GB"/>
        </w:rPr>
        <w:t xml:space="preserve"> the cohort in this study). I experienced multiple ward environments from cardiovascular medicine to neo-natal intensive care. I made extensive noted observations </w:t>
      </w:r>
      <w:r w:rsidR="00E34247">
        <w:rPr>
          <w:lang w:val="en-GB"/>
        </w:rPr>
        <w:t>that</w:t>
      </w:r>
      <w:r w:rsidRPr="003726FE">
        <w:rPr>
          <w:lang w:val="en-GB"/>
        </w:rPr>
        <w:t xml:space="preserve"> were helpful when considering the design, recruitment, and analysis presented in Chapter C2 where I held interviews and focus groups with students.</w:t>
      </w:r>
    </w:p>
    <w:p w14:paraId="424E8405" w14:textId="77777777" w:rsidR="0049059B" w:rsidRPr="003726FE" w:rsidRDefault="0049059B" w:rsidP="0049059B">
      <w:pPr>
        <w:pStyle w:val="Normal1"/>
        <w:rPr>
          <w:lang w:val="en-GB"/>
        </w:rPr>
      </w:pPr>
    </w:p>
    <w:p w14:paraId="592B9898" w14:textId="79A33597" w:rsidR="0049059B" w:rsidRPr="003726FE" w:rsidRDefault="0049059B" w:rsidP="0049059B">
      <w:pPr>
        <w:pStyle w:val="Normal1"/>
        <w:rPr>
          <w:lang w:val="en-GB"/>
        </w:rPr>
      </w:pPr>
      <w:r w:rsidRPr="003726FE">
        <w:rPr>
          <w:lang w:val="en-GB"/>
        </w:rPr>
        <w:t xml:space="preserve">In addition to these ethnographic experiences, I engaged in many activities within the medical school </w:t>
      </w:r>
      <w:r w:rsidR="0021662A">
        <w:rPr>
          <w:lang w:val="en-GB"/>
        </w:rPr>
        <w:t>including</w:t>
      </w:r>
      <w:r w:rsidRPr="003726FE">
        <w:rPr>
          <w:lang w:val="en-GB"/>
        </w:rPr>
        <w:t xml:space="preserve"> journal club, scholarly meetings, and other working groups. This allowed me to learn from many different medical educators and practitioners about their fields and interests. This regular assimilation of practical and theoretical knowledge was of great importance in my development as a medical education researcher.</w:t>
      </w:r>
    </w:p>
    <w:p w14:paraId="7889E4D2" w14:textId="77777777" w:rsidR="0049059B" w:rsidRPr="003726FE" w:rsidRDefault="0049059B" w:rsidP="0049059B">
      <w:pPr>
        <w:pStyle w:val="Normal1"/>
        <w:rPr>
          <w:lang w:val="en-GB"/>
        </w:rPr>
      </w:pPr>
    </w:p>
    <w:p w14:paraId="5D1C31D1" w14:textId="77777777" w:rsidR="0049059B" w:rsidRPr="003726FE" w:rsidRDefault="0049059B" w:rsidP="0049059B">
      <w:pPr>
        <w:pStyle w:val="Normal1"/>
        <w:rPr>
          <w:lang w:val="en-GB"/>
        </w:rPr>
      </w:pPr>
      <w:r w:rsidRPr="003726FE">
        <w:rPr>
          <w:lang w:val="en-GB"/>
        </w:rPr>
        <w:t>I was involved in many learning, teaching, and assessment activities run as part of the Sheffield Medical School curriculum. These experiences allowed me to gain a working operational knowledge of the MBChB programme and gave me many opportunities to engage with students which benefited my understanding of their learning experiences.</w:t>
      </w:r>
      <w:r w:rsidRPr="003726FE">
        <w:rPr>
          <w:lang w:val="en-GB"/>
        </w:rPr>
        <w:br w:type="page"/>
      </w:r>
    </w:p>
    <w:bookmarkStart w:id="47" w:name="_Toc500319524" w:displacedByCustomXml="next"/>
    <w:bookmarkStart w:id="48" w:name="_Toc500319304" w:displacedByCustomXml="next"/>
    <w:bookmarkStart w:id="49" w:name="_Toc490650162" w:displacedByCustomXml="next"/>
    <w:bookmarkStart w:id="50" w:name="_Toc489017321" w:displacedByCustomXml="next"/>
    <w:bookmarkStart w:id="51" w:name="_Toc488930107" w:displacedByCustomXml="next"/>
    <w:bookmarkStart w:id="52" w:name="_Toc489447675" w:displacedByCustomXml="next"/>
    <w:sdt>
      <w:sdtPr>
        <w:rPr>
          <w:rFonts w:eastAsiaTheme="minorHAnsi" w:cstheme="minorBidi"/>
          <w:b w:val="0"/>
          <w:color w:val="auto"/>
          <w:sz w:val="24"/>
          <w:szCs w:val="22"/>
        </w:rPr>
        <w:id w:val="1366564701"/>
        <w:docPartObj>
          <w:docPartGallery w:val="Table of Contents"/>
          <w:docPartUnique/>
        </w:docPartObj>
      </w:sdtPr>
      <w:sdtEndPr>
        <w:rPr>
          <w:bCs/>
          <w:noProof/>
        </w:rPr>
      </w:sdtEndPr>
      <w:sdtContent>
        <w:p w14:paraId="71EDDEF7" w14:textId="77777777" w:rsidR="0049059B" w:rsidRPr="004119C7" w:rsidRDefault="0049059B" w:rsidP="0049059B">
          <w:pPr>
            <w:pStyle w:val="Heading1"/>
            <w:jc w:val="center"/>
            <w:rPr>
              <w:rStyle w:val="Heading1Char"/>
              <w:b/>
            </w:rPr>
          </w:pPr>
          <w:r w:rsidRPr="004119C7">
            <w:rPr>
              <w:rStyle w:val="Heading1Char"/>
              <w:b/>
            </w:rPr>
            <w:t>Table of Contents</w:t>
          </w:r>
          <w:bookmarkEnd w:id="52"/>
          <w:bookmarkEnd w:id="51"/>
          <w:bookmarkEnd w:id="50"/>
          <w:bookmarkEnd w:id="49"/>
          <w:bookmarkEnd w:id="48"/>
          <w:bookmarkEnd w:id="47"/>
        </w:p>
        <w:p w14:paraId="4D8F9E8B" w14:textId="77777777" w:rsidR="0049059B" w:rsidRPr="003726FE" w:rsidRDefault="0049059B" w:rsidP="0049059B"/>
        <w:p w14:paraId="1EF79DF1" w14:textId="77777777" w:rsidR="00B27F0B" w:rsidRDefault="0049059B">
          <w:pPr>
            <w:pStyle w:val="TOC1"/>
            <w:rPr>
              <w:rFonts w:asciiTheme="minorHAnsi" w:hAnsiTheme="minorHAnsi" w:cstheme="minorBidi"/>
              <w:noProof/>
              <w:szCs w:val="24"/>
              <w:lang w:val="en-GB" w:eastAsia="en-GB"/>
            </w:rPr>
          </w:pPr>
          <w:r w:rsidRPr="003726FE">
            <w:rPr>
              <w:lang w:val="en-GB"/>
            </w:rPr>
            <w:fldChar w:fldCharType="begin"/>
          </w:r>
          <w:r w:rsidRPr="003726FE">
            <w:rPr>
              <w:lang w:val="en-GB"/>
            </w:rPr>
            <w:instrText xml:space="preserve"> TOC \o "1-3" \h \z \u </w:instrText>
          </w:r>
          <w:r w:rsidRPr="003726FE">
            <w:rPr>
              <w:lang w:val="en-GB"/>
            </w:rPr>
            <w:fldChar w:fldCharType="separate"/>
          </w:r>
          <w:hyperlink w:anchor="_Toc500319300" w:history="1">
            <w:r w:rsidR="00B27F0B" w:rsidRPr="00DB66A8">
              <w:rPr>
                <w:rStyle w:val="Hyperlink"/>
                <w:noProof/>
              </w:rPr>
              <w:t>Acknowledgements</w:t>
            </w:r>
            <w:r w:rsidR="00B27F0B">
              <w:rPr>
                <w:noProof/>
                <w:webHidden/>
              </w:rPr>
              <w:tab/>
            </w:r>
            <w:r w:rsidR="00B27F0B">
              <w:rPr>
                <w:noProof/>
                <w:webHidden/>
              </w:rPr>
              <w:fldChar w:fldCharType="begin"/>
            </w:r>
            <w:r w:rsidR="00B27F0B">
              <w:rPr>
                <w:noProof/>
                <w:webHidden/>
              </w:rPr>
              <w:instrText xml:space="preserve"> PAGEREF _Toc500319300 \h </w:instrText>
            </w:r>
            <w:r w:rsidR="00B27F0B">
              <w:rPr>
                <w:noProof/>
                <w:webHidden/>
              </w:rPr>
            </w:r>
            <w:r w:rsidR="00B27F0B">
              <w:rPr>
                <w:noProof/>
                <w:webHidden/>
              </w:rPr>
              <w:fldChar w:fldCharType="separate"/>
            </w:r>
            <w:r w:rsidR="00B27F0B">
              <w:rPr>
                <w:noProof/>
                <w:webHidden/>
              </w:rPr>
              <w:t>II</w:t>
            </w:r>
            <w:r w:rsidR="00B27F0B">
              <w:rPr>
                <w:noProof/>
                <w:webHidden/>
              </w:rPr>
              <w:fldChar w:fldCharType="end"/>
            </w:r>
          </w:hyperlink>
        </w:p>
        <w:p w14:paraId="1C72F9A6" w14:textId="77777777" w:rsidR="00B27F0B" w:rsidRDefault="00B27F0B">
          <w:pPr>
            <w:pStyle w:val="TOC1"/>
            <w:rPr>
              <w:rFonts w:asciiTheme="minorHAnsi" w:hAnsiTheme="minorHAnsi" w:cstheme="minorBidi"/>
              <w:noProof/>
              <w:szCs w:val="24"/>
              <w:lang w:val="en-GB" w:eastAsia="en-GB"/>
            </w:rPr>
          </w:pPr>
          <w:hyperlink w:anchor="_Toc500319301" w:history="1">
            <w:r w:rsidRPr="00DB66A8">
              <w:rPr>
                <w:rStyle w:val="Hyperlink"/>
                <w:noProof/>
              </w:rPr>
              <w:t>Abstract</w:t>
            </w:r>
            <w:r>
              <w:rPr>
                <w:noProof/>
                <w:webHidden/>
              </w:rPr>
              <w:tab/>
            </w:r>
            <w:r>
              <w:rPr>
                <w:noProof/>
                <w:webHidden/>
              </w:rPr>
              <w:fldChar w:fldCharType="begin"/>
            </w:r>
            <w:r>
              <w:rPr>
                <w:noProof/>
                <w:webHidden/>
              </w:rPr>
              <w:instrText xml:space="preserve"> PAGEREF _Toc500319301 \h </w:instrText>
            </w:r>
            <w:r>
              <w:rPr>
                <w:noProof/>
                <w:webHidden/>
              </w:rPr>
            </w:r>
            <w:r>
              <w:rPr>
                <w:noProof/>
                <w:webHidden/>
              </w:rPr>
              <w:fldChar w:fldCharType="separate"/>
            </w:r>
            <w:r>
              <w:rPr>
                <w:noProof/>
                <w:webHidden/>
              </w:rPr>
              <w:t>III</w:t>
            </w:r>
            <w:r>
              <w:rPr>
                <w:noProof/>
                <w:webHidden/>
              </w:rPr>
              <w:fldChar w:fldCharType="end"/>
            </w:r>
          </w:hyperlink>
        </w:p>
        <w:p w14:paraId="01E019A5" w14:textId="77777777" w:rsidR="00B27F0B" w:rsidRDefault="00B27F0B">
          <w:pPr>
            <w:pStyle w:val="TOC1"/>
            <w:rPr>
              <w:rFonts w:asciiTheme="minorHAnsi" w:hAnsiTheme="minorHAnsi" w:cstheme="minorBidi"/>
              <w:noProof/>
              <w:szCs w:val="24"/>
              <w:lang w:val="en-GB" w:eastAsia="en-GB"/>
            </w:rPr>
          </w:pPr>
          <w:hyperlink w:anchor="_Toc500319302" w:history="1">
            <w:r w:rsidRPr="00DB66A8">
              <w:rPr>
                <w:rStyle w:val="Hyperlink"/>
                <w:noProof/>
              </w:rPr>
              <w:t>Thesis Structure</w:t>
            </w:r>
            <w:r>
              <w:rPr>
                <w:noProof/>
                <w:webHidden/>
              </w:rPr>
              <w:tab/>
            </w:r>
            <w:r>
              <w:rPr>
                <w:noProof/>
                <w:webHidden/>
              </w:rPr>
              <w:fldChar w:fldCharType="begin"/>
            </w:r>
            <w:r>
              <w:rPr>
                <w:noProof/>
                <w:webHidden/>
              </w:rPr>
              <w:instrText xml:space="preserve"> PAGEREF _Toc500319302 \h </w:instrText>
            </w:r>
            <w:r>
              <w:rPr>
                <w:noProof/>
                <w:webHidden/>
              </w:rPr>
            </w:r>
            <w:r>
              <w:rPr>
                <w:noProof/>
                <w:webHidden/>
              </w:rPr>
              <w:fldChar w:fldCharType="separate"/>
            </w:r>
            <w:r>
              <w:rPr>
                <w:noProof/>
                <w:webHidden/>
              </w:rPr>
              <w:t>IV</w:t>
            </w:r>
            <w:r>
              <w:rPr>
                <w:noProof/>
                <w:webHidden/>
              </w:rPr>
              <w:fldChar w:fldCharType="end"/>
            </w:r>
          </w:hyperlink>
        </w:p>
        <w:p w14:paraId="0D44753C" w14:textId="77777777" w:rsidR="00B27F0B" w:rsidRDefault="00B27F0B">
          <w:pPr>
            <w:pStyle w:val="TOC1"/>
            <w:rPr>
              <w:rFonts w:asciiTheme="minorHAnsi" w:hAnsiTheme="minorHAnsi" w:cstheme="minorBidi"/>
              <w:noProof/>
              <w:szCs w:val="24"/>
              <w:lang w:val="en-GB" w:eastAsia="en-GB"/>
            </w:rPr>
          </w:pPr>
          <w:hyperlink w:anchor="_Toc500319303" w:history="1">
            <w:r w:rsidRPr="00DB66A8">
              <w:rPr>
                <w:rStyle w:val="Hyperlink"/>
                <w:noProof/>
              </w:rPr>
              <w:t>My Background and Experience</w:t>
            </w:r>
            <w:r>
              <w:rPr>
                <w:noProof/>
                <w:webHidden/>
              </w:rPr>
              <w:tab/>
            </w:r>
            <w:r>
              <w:rPr>
                <w:noProof/>
                <w:webHidden/>
              </w:rPr>
              <w:fldChar w:fldCharType="begin"/>
            </w:r>
            <w:r>
              <w:rPr>
                <w:noProof/>
                <w:webHidden/>
              </w:rPr>
              <w:instrText xml:space="preserve"> PAGEREF _Toc500319303 \h </w:instrText>
            </w:r>
            <w:r>
              <w:rPr>
                <w:noProof/>
                <w:webHidden/>
              </w:rPr>
            </w:r>
            <w:r>
              <w:rPr>
                <w:noProof/>
                <w:webHidden/>
              </w:rPr>
              <w:fldChar w:fldCharType="separate"/>
            </w:r>
            <w:r>
              <w:rPr>
                <w:noProof/>
                <w:webHidden/>
              </w:rPr>
              <w:t>VI</w:t>
            </w:r>
            <w:r>
              <w:rPr>
                <w:noProof/>
                <w:webHidden/>
              </w:rPr>
              <w:fldChar w:fldCharType="end"/>
            </w:r>
          </w:hyperlink>
        </w:p>
        <w:p w14:paraId="16522B4F" w14:textId="77777777" w:rsidR="00B27F0B" w:rsidRDefault="00B27F0B">
          <w:pPr>
            <w:pStyle w:val="TOC1"/>
            <w:rPr>
              <w:rFonts w:asciiTheme="minorHAnsi" w:hAnsiTheme="minorHAnsi" w:cstheme="minorBidi"/>
              <w:noProof/>
              <w:szCs w:val="24"/>
              <w:lang w:val="en-GB" w:eastAsia="en-GB"/>
            </w:rPr>
          </w:pPr>
          <w:hyperlink w:anchor="_Toc500319304" w:history="1">
            <w:r w:rsidRPr="00DB66A8">
              <w:rPr>
                <w:rStyle w:val="Hyperlink"/>
                <w:noProof/>
              </w:rPr>
              <w:t>Table of Contents</w:t>
            </w:r>
            <w:r>
              <w:rPr>
                <w:noProof/>
                <w:webHidden/>
              </w:rPr>
              <w:tab/>
            </w:r>
            <w:r>
              <w:rPr>
                <w:noProof/>
                <w:webHidden/>
              </w:rPr>
              <w:fldChar w:fldCharType="begin"/>
            </w:r>
            <w:r>
              <w:rPr>
                <w:noProof/>
                <w:webHidden/>
              </w:rPr>
              <w:instrText xml:space="preserve"> PAGEREF _Toc500319304 \h </w:instrText>
            </w:r>
            <w:r>
              <w:rPr>
                <w:noProof/>
                <w:webHidden/>
              </w:rPr>
            </w:r>
            <w:r>
              <w:rPr>
                <w:noProof/>
                <w:webHidden/>
              </w:rPr>
              <w:fldChar w:fldCharType="separate"/>
            </w:r>
            <w:r>
              <w:rPr>
                <w:noProof/>
                <w:webHidden/>
              </w:rPr>
              <w:t>VII</w:t>
            </w:r>
            <w:r>
              <w:rPr>
                <w:noProof/>
                <w:webHidden/>
              </w:rPr>
              <w:fldChar w:fldCharType="end"/>
            </w:r>
          </w:hyperlink>
        </w:p>
        <w:p w14:paraId="69543C1F" w14:textId="77777777" w:rsidR="00B27F0B" w:rsidRDefault="00B27F0B">
          <w:pPr>
            <w:pStyle w:val="TOC1"/>
            <w:rPr>
              <w:rFonts w:asciiTheme="minorHAnsi" w:hAnsiTheme="minorHAnsi" w:cstheme="minorBidi"/>
              <w:noProof/>
              <w:szCs w:val="24"/>
              <w:lang w:val="en-GB" w:eastAsia="en-GB"/>
            </w:rPr>
          </w:pPr>
          <w:hyperlink w:anchor="_Toc500319305" w:history="1">
            <w:r w:rsidRPr="00DB66A8">
              <w:rPr>
                <w:rStyle w:val="Hyperlink"/>
                <w:noProof/>
              </w:rPr>
              <w:t>List of Tables</w:t>
            </w:r>
            <w:r>
              <w:rPr>
                <w:noProof/>
                <w:webHidden/>
              </w:rPr>
              <w:tab/>
            </w:r>
            <w:r>
              <w:rPr>
                <w:noProof/>
                <w:webHidden/>
              </w:rPr>
              <w:fldChar w:fldCharType="begin"/>
            </w:r>
            <w:r>
              <w:rPr>
                <w:noProof/>
                <w:webHidden/>
              </w:rPr>
              <w:instrText xml:space="preserve"> PAGEREF _Toc500319305 \h </w:instrText>
            </w:r>
            <w:r>
              <w:rPr>
                <w:noProof/>
                <w:webHidden/>
              </w:rPr>
            </w:r>
            <w:r>
              <w:rPr>
                <w:noProof/>
                <w:webHidden/>
              </w:rPr>
              <w:fldChar w:fldCharType="separate"/>
            </w:r>
            <w:r>
              <w:rPr>
                <w:noProof/>
                <w:webHidden/>
              </w:rPr>
              <w:t>XIV</w:t>
            </w:r>
            <w:r>
              <w:rPr>
                <w:noProof/>
                <w:webHidden/>
              </w:rPr>
              <w:fldChar w:fldCharType="end"/>
            </w:r>
          </w:hyperlink>
        </w:p>
        <w:p w14:paraId="5F935853" w14:textId="77777777" w:rsidR="00B27F0B" w:rsidRDefault="00B27F0B">
          <w:pPr>
            <w:pStyle w:val="TOC1"/>
            <w:rPr>
              <w:rFonts w:asciiTheme="minorHAnsi" w:hAnsiTheme="minorHAnsi" w:cstheme="minorBidi"/>
              <w:noProof/>
              <w:szCs w:val="24"/>
              <w:lang w:val="en-GB" w:eastAsia="en-GB"/>
            </w:rPr>
          </w:pPr>
          <w:hyperlink w:anchor="_Toc500319306" w:history="1">
            <w:r w:rsidRPr="00DB66A8">
              <w:rPr>
                <w:rStyle w:val="Hyperlink"/>
                <w:noProof/>
              </w:rPr>
              <w:t>List of Figures</w:t>
            </w:r>
            <w:r>
              <w:rPr>
                <w:noProof/>
                <w:webHidden/>
              </w:rPr>
              <w:tab/>
            </w:r>
            <w:r>
              <w:rPr>
                <w:noProof/>
                <w:webHidden/>
              </w:rPr>
              <w:fldChar w:fldCharType="begin"/>
            </w:r>
            <w:r>
              <w:rPr>
                <w:noProof/>
                <w:webHidden/>
              </w:rPr>
              <w:instrText xml:space="preserve"> PAGEREF _Toc500319306 \h </w:instrText>
            </w:r>
            <w:r>
              <w:rPr>
                <w:noProof/>
                <w:webHidden/>
              </w:rPr>
            </w:r>
            <w:r>
              <w:rPr>
                <w:noProof/>
                <w:webHidden/>
              </w:rPr>
              <w:fldChar w:fldCharType="separate"/>
            </w:r>
            <w:r>
              <w:rPr>
                <w:noProof/>
                <w:webHidden/>
              </w:rPr>
              <w:t>XV</w:t>
            </w:r>
            <w:r>
              <w:rPr>
                <w:noProof/>
                <w:webHidden/>
              </w:rPr>
              <w:fldChar w:fldCharType="end"/>
            </w:r>
          </w:hyperlink>
        </w:p>
        <w:p w14:paraId="32B04F41" w14:textId="77777777" w:rsidR="00B27F0B" w:rsidRDefault="00B27F0B">
          <w:pPr>
            <w:pStyle w:val="TOC1"/>
            <w:rPr>
              <w:rFonts w:asciiTheme="minorHAnsi" w:hAnsiTheme="minorHAnsi" w:cstheme="minorBidi"/>
              <w:noProof/>
              <w:szCs w:val="24"/>
              <w:lang w:val="en-GB" w:eastAsia="en-GB"/>
            </w:rPr>
          </w:pPr>
          <w:hyperlink w:anchor="_Toc500319307" w:history="1">
            <w:r w:rsidRPr="00DB66A8">
              <w:rPr>
                <w:rStyle w:val="Hyperlink"/>
                <w:noProof/>
              </w:rPr>
              <w:t>Abbreviations</w:t>
            </w:r>
            <w:r>
              <w:rPr>
                <w:noProof/>
                <w:webHidden/>
              </w:rPr>
              <w:tab/>
            </w:r>
            <w:r>
              <w:rPr>
                <w:noProof/>
                <w:webHidden/>
              </w:rPr>
              <w:fldChar w:fldCharType="begin"/>
            </w:r>
            <w:r>
              <w:rPr>
                <w:noProof/>
                <w:webHidden/>
              </w:rPr>
              <w:instrText xml:space="preserve"> PAGEREF _Toc500319307 \h </w:instrText>
            </w:r>
            <w:r>
              <w:rPr>
                <w:noProof/>
                <w:webHidden/>
              </w:rPr>
            </w:r>
            <w:r>
              <w:rPr>
                <w:noProof/>
                <w:webHidden/>
              </w:rPr>
              <w:fldChar w:fldCharType="separate"/>
            </w:r>
            <w:r>
              <w:rPr>
                <w:noProof/>
                <w:webHidden/>
              </w:rPr>
              <w:t>XVII</w:t>
            </w:r>
            <w:r>
              <w:rPr>
                <w:noProof/>
                <w:webHidden/>
              </w:rPr>
              <w:fldChar w:fldCharType="end"/>
            </w:r>
          </w:hyperlink>
        </w:p>
        <w:p w14:paraId="30DD480E" w14:textId="77777777" w:rsidR="00B27F0B" w:rsidRDefault="00B27F0B">
          <w:pPr>
            <w:pStyle w:val="TOC1"/>
            <w:rPr>
              <w:rFonts w:asciiTheme="minorHAnsi" w:hAnsiTheme="minorHAnsi" w:cstheme="minorBidi"/>
              <w:noProof/>
              <w:szCs w:val="24"/>
              <w:lang w:val="en-GB" w:eastAsia="en-GB"/>
            </w:rPr>
          </w:pPr>
          <w:hyperlink w:anchor="_Toc500319308" w:history="1">
            <w:r w:rsidRPr="00DB66A8">
              <w:rPr>
                <w:rStyle w:val="Hyperlink"/>
                <w:noProof/>
              </w:rPr>
              <w:t>Glossary of Terms</w:t>
            </w:r>
            <w:r>
              <w:rPr>
                <w:noProof/>
                <w:webHidden/>
              </w:rPr>
              <w:tab/>
            </w:r>
            <w:r>
              <w:rPr>
                <w:noProof/>
                <w:webHidden/>
              </w:rPr>
              <w:fldChar w:fldCharType="begin"/>
            </w:r>
            <w:r>
              <w:rPr>
                <w:noProof/>
                <w:webHidden/>
              </w:rPr>
              <w:instrText xml:space="preserve"> PAGEREF _Toc500319308 \h </w:instrText>
            </w:r>
            <w:r>
              <w:rPr>
                <w:noProof/>
                <w:webHidden/>
              </w:rPr>
            </w:r>
            <w:r>
              <w:rPr>
                <w:noProof/>
                <w:webHidden/>
              </w:rPr>
              <w:fldChar w:fldCharType="separate"/>
            </w:r>
            <w:r>
              <w:rPr>
                <w:noProof/>
                <w:webHidden/>
              </w:rPr>
              <w:t>XVIII</w:t>
            </w:r>
            <w:r>
              <w:rPr>
                <w:noProof/>
                <w:webHidden/>
              </w:rPr>
              <w:fldChar w:fldCharType="end"/>
            </w:r>
          </w:hyperlink>
        </w:p>
        <w:p w14:paraId="342219F4" w14:textId="77777777" w:rsidR="00B27F0B" w:rsidRDefault="00B27F0B">
          <w:pPr>
            <w:pStyle w:val="TOC1"/>
            <w:rPr>
              <w:rFonts w:asciiTheme="minorHAnsi" w:hAnsiTheme="minorHAnsi" w:cstheme="minorBidi"/>
              <w:noProof/>
              <w:szCs w:val="24"/>
              <w:lang w:val="en-GB" w:eastAsia="en-GB"/>
            </w:rPr>
          </w:pPr>
          <w:hyperlink w:anchor="_Toc500319309" w:history="1">
            <w:r w:rsidRPr="00DB66A8">
              <w:rPr>
                <w:rStyle w:val="Hyperlink"/>
                <w:noProof/>
              </w:rPr>
              <w:t>Section A: Introduction and Methodology</w:t>
            </w:r>
            <w:r>
              <w:rPr>
                <w:noProof/>
                <w:webHidden/>
              </w:rPr>
              <w:tab/>
            </w:r>
            <w:r>
              <w:rPr>
                <w:noProof/>
                <w:webHidden/>
              </w:rPr>
              <w:fldChar w:fldCharType="begin"/>
            </w:r>
            <w:r>
              <w:rPr>
                <w:noProof/>
                <w:webHidden/>
              </w:rPr>
              <w:instrText xml:space="preserve"> PAGEREF _Toc500319309 \h </w:instrText>
            </w:r>
            <w:r>
              <w:rPr>
                <w:noProof/>
                <w:webHidden/>
              </w:rPr>
            </w:r>
            <w:r>
              <w:rPr>
                <w:noProof/>
                <w:webHidden/>
              </w:rPr>
              <w:fldChar w:fldCharType="separate"/>
            </w:r>
            <w:r>
              <w:rPr>
                <w:noProof/>
                <w:webHidden/>
              </w:rPr>
              <w:t>1</w:t>
            </w:r>
            <w:r>
              <w:rPr>
                <w:noProof/>
                <w:webHidden/>
              </w:rPr>
              <w:fldChar w:fldCharType="end"/>
            </w:r>
          </w:hyperlink>
        </w:p>
        <w:p w14:paraId="1B4A6974" w14:textId="77777777" w:rsidR="00B27F0B" w:rsidRDefault="00B27F0B">
          <w:pPr>
            <w:pStyle w:val="TOC1"/>
            <w:rPr>
              <w:rFonts w:asciiTheme="minorHAnsi" w:hAnsiTheme="minorHAnsi" w:cstheme="minorBidi"/>
              <w:noProof/>
              <w:szCs w:val="24"/>
              <w:lang w:val="en-GB" w:eastAsia="en-GB"/>
            </w:rPr>
          </w:pPr>
          <w:hyperlink w:anchor="_Toc500319310" w:history="1">
            <w:r w:rsidRPr="00DB66A8">
              <w:rPr>
                <w:rStyle w:val="Hyperlink"/>
                <w:noProof/>
              </w:rPr>
              <w:t>Chapter A1: Introduction and Background to the Study</w:t>
            </w:r>
            <w:r>
              <w:rPr>
                <w:noProof/>
                <w:webHidden/>
              </w:rPr>
              <w:tab/>
            </w:r>
            <w:r>
              <w:rPr>
                <w:noProof/>
                <w:webHidden/>
              </w:rPr>
              <w:fldChar w:fldCharType="begin"/>
            </w:r>
            <w:r>
              <w:rPr>
                <w:noProof/>
                <w:webHidden/>
              </w:rPr>
              <w:instrText xml:space="preserve"> PAGEREF _Toc500319310 \h </w:instrText>
            </w:r>
            <w:r>
              <w:rPr>
                <w:noProof/>
                <w:webHidden/>
              </w:rPr>
            </w:r>
            <w:r>
              <w:rPr>
                <w:noProof/>
                <w:webHidden/>
              </w:rPr>
              <w:fldChar w:fldCharType="separate"/>
            </w:r>
            <w:r>
              <w:rPr>
                <w:noProof/>
                <w:webHidden/>
              </w:rPr>
              <w:t>2</w:t>
            </w:r>
            <w:r>
              <w:rPr>
                <w:noProof/>
                <w:webHidden/>
              </w:rPr>
              <w:fldChar w:fldCharType="end"/>
            </w:r>
          </w:hyperlink>
        </w:p>
        <w:p w14:paraId="10BC496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11" w:history="1">
            <w:r w:rsidRPr="00DB66A8">
              <w:rPr>
                <w:rStyle w:val="Hyperlink"/>
                <w:noProof/>
                <w:lang w:val="en-GB" w:bidi="hi-IN"/>
              </w:rPr>
              <w:t>A1.1 Feedback</w:t>
            </w:r>
            <w:r>
              <w:rPr>
                <w:noProof/>
                <w:webHidden/>
              </w:rPr>
              <w:tab/>
            </w:r>
            <w:r>
              <w:rPr>
                <w:noProof/>
                <w:webHidden/>
              </w:rPr>
              <w:fldChar w:fldCharType="begin"/>
            </w:r>
            <w:r>
              <w:rPr>
                <w:noProof/>
                <w:webHidden/>
              </w:rPr>
              <w:instrText xml:space="preserve"> PAGEREF _Toc500319311 \h </w:instrText>
            </w:r>
            <w:r>
              <w:rPr>
                <w:noProof/>
                <w:webHidden/>
              </w:rPr>
            </w:r>
            <w:r>
              <w:rPr>
                <w:noProof/>
                <w:webHidden/>
              </w:rPr>
              <w:fldChar w:fldCharType="separate"/>
            </w:r>
            <w:r>
              <w:rPr>
                <w:noProof/>
                <w:webHidden/>
              </w:rPr>
              <w:t>3</w:t>
            </w:r>
            <w:r>
              <w:rPr>
                <w:noProof/>
                <w:webHidden/>
              </w:rPr>
              <w:fldChar w:fldCharType="end"/>
            </w:r>
          </w:hyperlink>
        </w:p>
        <w:p w14:paraId="2257D79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2" w:history="1">
            <w:r w:rsidRPr="00DB66A8">
              <w:rPr>
                <w:rStyle w:val="Hyperlink"/>
                <w:noProof/>
                <w:lang w:bidi="hi-IN"/>
              </w:rPr>
              <w:t>A1.1.1 An Overview of Feedback</w:t>
            </w:r>
            <w:r>
              <w:rPr>
                <w:noProof/>
                <w:webHidden/>
              </w:rPr>
              <w:tab/>
            </w:r>
            <w:r>
              <w:rPr>
                <w:noProof/>
                <w:webHidden/>
              </w:rPr>
              <w:fldChar w:fldCharType="begin"/>
            </w:r>
            <w:r>
              <w:rPr>
                <w:noProof/>
                <w:webHidden/>
              </w:rPr>
              <w:instrText xml:space="preserve"> PAGEREF _Toc500319312 \h </w:instrText>
            </w:r>
            <w:r>
              <w:rPr>
                <w:noProof/>
                <w:webHidden/>
              </w:rPr>
            </w:r>
            <w:r>
              <w:rPr>
                <w:noProof/>
                <w:webHidden/>
              </w:rPr>
              <w:fldChar w:fldCharType="separate"/>
            </w:r>
            <w:r>
              <w:rPr>
                <w:noProof/>
                <w:webHidden/>
              </w:rPr>
              <w:t>3</w:t>
            </w:r>
            <w:r>
              <w:rPr>
                <w:noProof/>
                <w:webHidden/>
              </w:rPr>
              <w:fldChar w:fldCharType="end"/>
            </w:r>
          </w:hyperlink>
        </w:p>
        <w:p w14:paraId="1EF6B564"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3" w:history="1">
            <w:r w:rsidRPr="00DB66A8">
              <w:rPr>
                <w:rStyle w:val="Hyperlink"/>
                <w:noProof/>
                <w:lang w:bidi="hi-IN"/>
              </w:rPr>
              <w:t>A1.1.2 Perceptions and Influencers of Feedback</w:t>
            </w:r>
            <w:r>
              <w:rPr>
                <w:noProof/>
                <w:webHidden/>
              </w:rPr>
              <w:tab/>
            </w:r>
            <w:r>
              <w:rPr>
                <w:noProof/>
                <w:webHidden/>
              </w:rPr>
              <w:fldChar w:fldCharType="begin"/>
            </w:r>
            <w:r>
              <w:rPr>
                <w:noProof/>
                <w:webHidden/>
              </w:rPr>
              <w:instrText xml:space="preserve"> PAGEREF _Toc500319313 \h </w:instrText>
            </w:r>
            <w:r>
              <w:rPr>
                <w:noProof/>
                <w:webHidden/>
              </w:rPr>
            </w:r>
            <w:r>
              <w:rPr>
                <w:noProof/>
                <w:webHidden/>
              </w:rPr>
              <w:fldChar w:fldCharType="separate"/>
            </w:r>
            <w:r>
              <w:rPr>
                <w:noProof/>
                <w:webHidden/>
              </w:rPr>
              <w:t>5</w:t>
            </w:r>
            <w:r>
              <w:rPr>
                <w:noProof/>
                <w:webHidden/>
              </w:rPr>
              <w:fldChar w:fldCharType="end"/>
            </w:r>
          </w:hyperlink>
        </w:p>
        <w:p w14:paraId="799988A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14" w:history="1">
            <w:r w:rsidRPr="00DB66A8">
              <w:rPr>
                <w:rStyle w:val="Hyperlink"/>
                <w:noProof/>
                <w:lang w:val="en-GB" w:bidi="hi-IN"/>
              </w:rPr>
              <w:t>A1.2 Self-Regulated Learning Theory</w:t>
            </w:r>
            <w:r>
              <w:rPr>
                <w:noProof/>
                <w:webHidden/>
              </w:rPr>
              <w:tab/>
            </w:r>
            <w:r>
              <w:rPr>
                <w:noProof/>
                <w:webHidden/>
              </w:rPr>
              <w:fldChar w:fldCharType="begin"/>
            </w:r>
            <w:r>
              <w:rPr>
                <w:noProof/>
                <w:webHidden/>
              </w:rPr>
              <w:instrText xml:space="preserve"> PAGEREF _Toc500319314 \h </w:instrText>
            </w:r>
            <w:r>
              <w:rPr>
                <w:noProof/>
                <w:webHidden/>
              </w:rPr>
            </w:r>
            <w:r>
              <w:rPr>
                <w:noProof/>
                <w:webHidden/>
              </w:rPr>
              <w:fldChar w:fldCharType="separate"/>
            </w:r>
            <w:r>
              <w:rPr>
                <w:noProof/>
                <w:webHidden/>
              </w:rPr>
              <w:t>9</w:t>
            </w:r>
            <w:r>
              <w:rPr>
                <w:noProof/>
                <w:webHidden/>
              </w:rPr>
              <w:fldChar w:fldCharType="end"/>
            </w:r>
          </w:hyperlink>
        </w:p>
        <w:p w14:paraId="121B7763"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5" w:history="1">
            <w:r w:rsidRPr="00DB66A8">
              <w:rPr>
                <w:rStyle w:val="Hyperlink"/>
                <w:noProof/>
                <w:lang w:bidi="hi-IN"/>
              </w:rPr>
              <w:t>A1.2.1 SRL and Feedback</w:t>
            </w:r>
            <w:r>
              <w:rPr>
                <w:noProof/>
                <w:webHidden/>
              </w:rPr>
              <w:tab/>
            </w:r>
            <w:r>
              <w:rPr>
                <w:noProof/>
                <w:webHidden/>
              </w:rPr>
              <w:fldChar w:fldCharType="begin"/>
            </w:r>
            <w:r>
              <w:rPr>
                <w:noProof/>
                <w:webHidden/>
              </w:rPr>
              <w:instrText xml:space="preserve"> PAGEREF _Toc500319315 \h </w:instrText>
            </w:r>
            <w:r>
              <w:rPr>
                <w:noProof/>
                <w:webHidden/>
              </w:rPr>
            </w:r>
            <w:r>
              <w:rPr>
                <w:noProof/>
                <w:webHidden/>
              </w:rPr>
              <w:fldChar w:fldCharType="separate"/>
            </w:r>
            <w:r>
              <w:rPr>
                <w:noProof/>
                <w:webHidden/>
              </w:rPr>
              <w:t>11</w:t>
            </w:r>
            <w:r>
              <w:rPr>
                <w:noProof/>
                <w:webHidden/>
              </w:rPr>
              <w:fldChar w:fldCharType="end"/>
            </w:r>
          </w:hyperlink>
        </w:p>
        <w:p w14:paraId="42BFBDD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6" w:history="1">
            <w:r w:rsidRPr="00DB66A8">
              <w:rPr>
                <w:rStyle w:val="Hyperlink"/>
                <w:noProof/>
                <w:lang w:bidi="hi-IN"/>
              </w:rPr>
              <w:t>A1.2.1 Perspectives on SRL - A Social Cognitive View</w:t>
            </w:r>
            <w:r>
              <w:rPr>
                <w:noProof/>
                <w:webHidden/>
              </w:rPr>
              <w:tab/>
            </w:r>
            <w:r>
              <w:rPr>
                <w:noProof/>
                <w:webHidden/>
              </w:rPr>
              <w:fldChar w:fldCharType="begin"/>
            </w:r>
            <w:r>
              <w:rPr>
                <w:noProof/>
                <w:webHidden/>
              </w:rPr>
              <w:instrText xml:space="preserve"> PAGEREF _Toc500319316 \h </w:instrText>
            </w:r>
            <w:r>
              <w:rPr>
                <w:noProof/>
                <w:webHidden/>
              </w:rPr>
            </w:r>
            <w:r>
              <w:rPr>
                <w:noProof/>
                <w:webHidden/>
              </w:rPr>
              <w:fldChar w:fldCharType="separate"/>
            </w:r>
            <w:r>
              <w:rPr>
                <w:noProof/>
                <w:webHidden/>
              </w:rPr>
              <w:t>11</w:t>
            </w:r>
            <w:r>
              <w:rPr>
                <w:noProof/>
                <w:webHidden/>
              </w:rPr>
              <w:fldChar w:fldCharType="end"/>
            </w:r>
          </w:hyperlink>
        </w:p>
        <w:p w14:paraId="50E3001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7" w:history="1">
            <w:r w:rsidRPr="00DB66A8">
              <w:rPr>
                <w:rStyle w:val="Hyperlink"/>
                <w:noProof/>
                <w:lang w:bidi="hi-IN"/>
              </w:rPr>
              <w:t>A1.2.2 Models of SRL</w:t>
            </w:r>
            <w:r>
              <w:rPr>
                <w:noProof/>
                <w:webHidden/>
              </w:rPr>
              <w:tab/>
            </w:r>
            <w:r>
              <w:rPr>
                <w:noProof/>
                <w:webHidden/>
              </w:rPr>
              <w:fldChar w:fldCharType="begin"/>
            </w:r>
            <w:r>
              <w:rPr>
                <w:noProof/>
                <w:webHidden/>
              </w:rPr>
              <w:instrText xml:space="preserve"> PAGEREF _Toc500319317 \h </w:instrText>
            </w:r>
            <w:r>
              <w:rPr>
                <w:noProof/>
                <w:webHidden/>
              </w:rPr>
            </w:r>
            <w:r>
              <w:rPr>
                <w:noProof/>
                <w:webHidden/>
              </w:rPr>
              <w:fldChar w:fldCharType="separate"/>
            </w:r>
            <w:r>
              <w:rPr>
                <w:noProof/>
                <w:webHidden/>
              </w:rPr>
              <w:t>13</w:t>
            </w:r>
            <w:r>
              <w:rPr>
                <w:noProof/>
                <w:webHidden/>
              </w:rPr>
              <w:fldChar w:fldCharType="end"/>
            </w:r>
          </w:hyperlink>
        </w:p>
        <w:p w14:paraId="2F87D03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8" w:history="1">
            <w:r w:rsidRPr="00DB66A8">
              <w:rPr>
                <w:rStyle w:val="Hyperlink"/>
                <w:noProof/>
                <w:lang w:bidi="hi-IN"/>
              </w:rPr>
              <w:t>A1.2.3 Zimmerman’s Three-Phase Cyclical Model</w:t>
            </w:r>
            <w:r>
              <w:rPr>
                <w:noProof/>
                <w:webHidden/>
              </w:rPr>
              <w:tab/>
            </w:r>
            <w:r>
              <w:rPr>
                <w:noProof/>
                <w:webHidden/>
              </w:rPr>
              <w:fldChar w:fldCharType="begin"/>
            </w:r>
            <w:r>
              <w:rPr>
                <w:noProof/>
                <w:webHidden/>
              </w:rPr>
              <w:instrText xml:space="preserve"> PAGEREF _Toc500319318 \h </w:instrText>
            </w:r>
            <w:r>
              <w:rPr>
                <w:noProof/>
                <w:webHidden/>
              </w:rPr>
            </w:r>
            <w:r>
              <w:rPr>
                <w:noProof/>
                <w:webHidden/>
              </w:rPr>
              <w:fldChar w:fldCharType="separate"/>
            </w:r>
            <w:r>
              <w:rPr>
                <w:noProof/>
                <w:webHidden/>
              </w:rPr>
              <w:t>15</w:t>
            </w:r>
            <w:r>
              <w:rPr>
                <w:noProof/>
                <w:webHidden/>
              </w:rPr>
              <w:fldChar w:fldCharType="end"/>
            </w:r>
          </w:hyperlink>
        </w:p>
        <w:p w14:paraId="084BC7F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19" w:history="1">
            <w:r w:rsidRPr="00DB66A8">
              <w:rPr>
                <w:rStyle w:val="Hyperlink"/>
                <w:noProof/>
                <w:lang w:bidi="hi-IN"/>
              </w:rPr>
              <w:t>A1.2.4 Relevance of the Model in the Medical Education Context</w:t>
            </w:r>
            <w:r>
              <w:rPr>
                <w:noProof/>
                <w:webHidden/>
              </w:rPr>
              <w:tab/>
            </w:r>
            <w:r>
              <w:rPr>
                <w:noProof/>
                <w:webHidden/>
              </w:rPr>
              <w:fldChar w:fldCharType="begin"/>
            </w:r>
            <w:r>
              <w:rPr>
                <w:noProof/>
                <w:webHidden/>
              </w:rPr>
              <w:instrText xml:space="preserve"> PAGEREF _Toc500319319 \h </w:instrText>
            </w:r>
            <w:r>
              <w:rPr>
                <w:noProof/>
                <w:webHidden/>
              </w:rPr>
            </w:r>
            <w:r>
              <w:rPr>
                <w:noProof/>
                <w:webHidden/>
              </w:rPr>
              <w:fldChar w:fldCharType="separate"/>
            </w:r>
            <w:r>
              <w:rPr>
                <w:noProof/>
                <w:webHidden/>
              </w:rPr>
              <w:t>19</w:t>
            </w:r>
            <w:r>
              <w:rPr>
                <w:noProof/>
                <w:webHidden/>
              </w:rPr>
              <w:fldChar w:fldCharType="end"/>
            </w:r>
          </w:hyperlink>
        </w:p>
        <w:p w14:paraId="5E431D7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0" w:history="1">
            <w:r w:rsidRPr="00DB66A8">
              <w:rPr>
                <w:rStyle w:val="Hyperlink"/>
                <w:noProof/>
                <w:lang w:bidi="hi-IN"/>
              </w:rPr>
              <w:t>A1.2.5 Assessing SRL</w:t>
            </w:r>
            <w:r>
              <w:rPr>
                <w:noProof/>
                <w:webHidden/>
              </w:rPr>
              <w:tab/>
            </w:r>
            <w:r>
              <w:rPr>
                <w:noProof/>
                <w:webHidden/>
              </w:rPr>
              <w:fldChar w:fldCharType="begin"/>
            </w:r>
            <w:r>
              <w:rPr>
                <w:noProof/>
                <w:webHidden/>
              </w:rPr>
              <w:instrText xml:space="preserve"> PAGEREF _Toc500319320 \h </w:instrText>
            </w:r>
            <w:r>
              <w:rPr>
                <w:noProof/>
                <w:webHidden/>
              </w:rPr>
            </w:r>
            <w:r>
              <w:rPr>
                <w:noProof/>
                <w:webHidden/>
              </w:rPr>
              <w:fldChar w:fldCharType="separate"/>
            </w:r>
            <w:r>
              <w:rPr>
                <w:noProof/>
                <w:webHidden/>
              </w:rPr>
              <w:t>21</w:t>
            </w:r>
            <w:r>
              <w:rPr>
                <w:noProof/>
                <w:webHidden/>
              </w:rPr>
              <w:fldChar w:fldCharType="end"/>
            </w:r>
          </w:hyperlink>
        </w:p>
        <w:p w14:paraId="4FCECDD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1" w:history="1">
            <w:r w:rsidRPr="00DB66A8">
              <w:rPr>
                <w:rStyle w:val="Hyperlink"/>
                <w:noProof/>
                <w:lang w:bidi="hi-IN"/>
              </w:rPr>
              <w:t>A1.2.6 Self-Regulated Learning MicroAnalysis (SRL MA)</w:t>
            </w:r>
            <w:r>
              <w:rPr>
                <w:noProof/>
                <w:webHidden/>
              </w:rPr>
              <w:tab/>
            </w:r>
            <w:r>
              <w:rPr>
                <w:noProof/>
                <w:webHidden/>
              </w:rPr>
              <w:fldChar w:fldCharType="begin"/>
            </w:r>
            <w:r>
              <w:rPr>
                <w:noProof/>
                <w:webHidden/>
              </w:rPr>
              <w:instrText xml:space="preserve"> PAGEREF _Toc500319321 \h </w:instrText>
            </w:r>
            <w:r>
              <w:rPr>
                <w:noProof/>
                <w:webHidden/>
              </w:rPr>
            </w:r>
            <w:r>
              <w:rPr>
                <w:noProof/>
                <w:webHidden/>
              </w:rPr>
              <w:fldChar w:fldCharType="separate"/>
            </w:r>
            <w:r>
              <w:rPr>
                <w:noProof/>
                <w:webHidden/>
              </w:rPr>
              <w:t>24</w:t>
            </w:r>
            <w:r>
              <w:rPr>
                <w:noProof/>
                <w:webHidden/>
              </w:rPr>
              <w:fldChar w:fldCharType="end"/>
            </w:r>
          </w:hyperlink>
        </w:p>
        <w:p w14:paraId="4BBBF9B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22" w:history="1">
            <w:r w:rsidRPr="00DB66A8">
              <w:rPr>
                <w:rStyle w:val="Hyperlink"/>
                <w:noProof/>
                <w:lang w:val="en-GB" w:bidi="hi-IN"/>
              </w:rPr>
              <w:t>A1.3 Clinical Education</w:t>
            </w:r>
            <w:r>
              <w:rPr>
                <w:noProof/>
                <w:webHidden/>
              </w:rPr>
              <w:tab/>
            </w:r>
            <w:r>
              <w:rPr>
                <w:noProof/>
                <w:webHidden/>
              </w:rPr>
              <w:fldChar w:fldCharType="begin"/>
            </w:r>
            <w:r>
              <w:rPr>
                <w:noProof/>
                <w:webHidden/>
              </w:rPr>
              <w:instrText xml:space="preserve"> PAGEREF _Toc500319322 \h </w:instrText>
            </w:r>
            <w:r>
              <w:rPr>
                <w:noProof/>
                <w:webHidden/>
              </w:rPr>
            </w:r>
            <w:r>
              <w:rPr>
                <w:noProof/>
                <w:webHidden/>
              </w:rPr>
              <w:fldChar w:fldCharType="separate"/>
            </w:r>
            <w:r>
              <w:rPr>
                <w:noProof/>
                <w:webHidden/>
              </w:rPr>
              <w:t>28</w:t>
            </w:r>
            <w:r>
              <w:rPr>
                <w:noProof/>
                <w:webHidden/>
              </w:rPr>
              <w:fldChar w:fldCharType="end"/>
            </w:r>
          </w:hyperlink>
        </w:p>
        <w:p w14:paraId="0566B87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3" w:history="1">
            <w:r w:rsidRPr="00DB66A8">
              <w:rPr>
                <w:rStyle w:val="Hyperlink"/>
                <w:noProof/>
                <w:lang w:bidi="hi-IN"/>
              </w:rPr>
              <w:t>A1.3.1 Simulated Clinical Skills Training</w:t>
            </w:r>
            <w:r>
              <w:rPr>
                <w:noProof/>
                <w:webHidden/>
              </w:rPr>
              <w:tab/>
            </w:r>
            <w:r>
              <w:rPr>
                <w:noProof/>
                <w:webHidden/>
              </w:rPr>
              <w:fldChar w:fldCharType="begin"/>
            </w:r>
            <w:r>
              <w:rPr>
                <w:noProof/>
                <w:webHidden/>
              </w:rPr>
              <w:instrText xml:space="preserve"> PAGEREF _Toc500319323 \h </w:instrText>
            </w:r>
            <w:r>
              <w:rPr>
                <w:noProof/>
                <w:webHidden/>
              </w:rPr>
            </w:r>
            <w:r>
              <w:rPr>
                <w:noProof/>
                <w:webHidden/>
              </w:rPr>
              <w:fldChar w:fldCharType="separate"/>
            </w:r>
            <w:r>
              <w:rPr>
                <w:noProof/>
                <w:webHidden/>
              </w:rPr>
              <w:t>28</w:t>
            </w:r>
            <w:r>
              <w:rPr>
                <w:noProof/>
                <w:webHidden/>
              </w:rPr>
              <w:fldChar w:fldCharType="end"/>
            </w:r>
          </w:hyperlink>
        </w:p>
        <w:p w14:paraId="50BEA94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4" w:history="1">
            <w:r w:rsidRPr="00DB66A8">
              <w:rPr>
                <w:rStyle w:val="Hyperlink"/>
                <w:noProof/>
                <w:lang w:bidi="hi-IN"/>
              </w:rPr>
              <w:t>A1.3.2 Learning in the Clinical Environment</w:t>
            </w:r>
            <w:r>
              <w:rPr>
                <w:noProof/>
                <w:webHidden/>
              </w:rPr>
              <w:tab/>
            </w:r>
            <w:r>
              <w:rPr>
                <w:noProof/>
                <w:webHidden/>
              </w:rPr>
              <w:fldChar w:fldCharType="begin"/>
            </w:r>
            <w:r>
              <w:rPr>
                <w:noProof/>
                <w:webHidden/>
              </w:rPr>
              <w:instrText xml:space="preserve"> PAGEREF _Toc500319324 \h </w:instrText>
            </w:r>
            <w:r>
              <w:rPr>
                <w:noProof/>
                <w:webHidden/>
              </w:rPr>
            </w:r>
            <w:r>
              <w:rPr>
                <w:noProof/>
                <w:webHidden/>
              </w:rPr>
              <w:fldChar w:fldCharType="separate"/>
            </w:r>
            <w:r>
              <w:rPr>
                <w:noProof/>
                <w:webHidden/>
              </w:rPr>
              <w:t>30</w:t>
            </w:r>
            <w:r>
              <w:rPr>
                <w:noProof/>
                <w:webHidden/>
              </w:rPr>
              <w:fldChar w:fldCharType="end"/>
            </w:r>
          </w:hyperlink>
        </w:p>
        <w:p w14:paraId="3D710E04"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5" w:history="1">
            <w:r w:rsidRPr="00DB66A8">
              <w:rPr>
                <w:rStyle w:val="Hyperlink"/>
                <w:noProof/>
                <w:lang w:bidi="hi-IN"/>
              </w:rPr>
              <w:t>A1.3.3 Curricular Context of this Study</w:t>
            </w:r>
            <w:r>
              <w:rPr>
                <w:noProof/>
                <w:webHidden/>
              </w:rPr>
              <w:tab/>
            </w:r>
            <w:r>
              <w:rPr>
                <w:noProof/>
                <w:webHidden/>
              </w:rPr>
              <w:fldChar w:fldCharType="begin"/>
            </w:r>
            <w:r>
              <w:rPr>
                <w:noProof/>
                <w:webHidden/>
              </w:rPr>
              <w:instrText xml:space="preserve"> PAGEREF _Toc500319325 \h </w:instrText>
            </w:r>
            <w:r>
              <w:rPr>
                <w:noProof/>
                <w:webHidden/>
              </w:rPr>
            </w:r>
            <w:r>
              <w:rPr>
                <w:noProof/>
                <w:webHidden/>
              </w:rPr>
              <w:fldChar w:fldCharType="separate"/>
            </w:r>
            <w:r>
              <w:rPr>
                <w:noProof/>
                <w:webHidden/>
              </w:rPr>
              <w:t>33</w:t>
            </w:r>
            <w:r>
              <w:rPr>
                <w:noProof/>
                <w:webHidden/>
              </w:rPr>
              <w:fldChar w:fldCharType="end"/>
            </w:r>
          </w:hyperlink>
        </w:p>
        <w:p w14:paraId="353387A5"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26" w:history="1">
            <w:r w:rsidRPr="00DB66A8">
              <w:rPr>
                <w:rStyle w:val="Hyperlink"/>
                <w:noProof/>
                <w:lang w:bidi="hi-IN"/>
              </w:rPr>
              <w:t>A1.3.4 Faculty Development Interventions</w:t>
            </w:r>
            <w:r>
              <w:rPr>
                <w:noProof/>
                <w:webHidden/>
              </w:rPr>
              <w:tab/>
            </w:r>
            <w:r>
              <w:rPr>
                <w:noProof/>
                <w:webHidden/>
              </w:rPr>
              <w:fldChar w:fldCharType="begin"/>
            </w:r>
            <w:r>
              <w:rPr>
                <w:noProof/>
                <w:webHidden/>
              </w:rPr>
              <w:instrText xml:space="preserve"> PAGEREF _Toc500319326 \h </w:instrText>
            </w:r>
            <w:r>
              <w:rPr>
                <w:noProof/>
                <w:webHidden/>
              </w:rPr>
            </w:r>
            <w:r>
              <w:rPr>
                <w:noProof/>
                <w:webHidden/>
              </w:rPr>
              <w:fldChar w:fldCharType="separate"/>
            </w:r>
            <w:r>
              <w:rPr>
                <w:noProof/>
                <w:webHidden/>
              </w:rPr>
              <w:t>34</w:t>
            </w:r>
            <w:r>
              <w:rPr>
                <w:noProof/>
                <w:webHidden/>
              </w:rPr>
              <w:fldChar w:fldCharType="end"/>
            </w:r>
          </w:hyperlink>
        </w:p>
        <w:p w14:paraId="14E796C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27" w:history="1">
            <w:r w:rsidRPr="00DB66A8">
              <w:rPr>
                <w:rStyle w:val="Hyperlink"/>
                <w:noProof/>
                <w:lang w:val="en-GB" w:bidi="hi-IN"/>
              </w:rPr>
              <w:t>A1.4 The Research Aims, Objectives, and Questions</w:t>
            </w:r>
            <w:r>
              <w:rPr>
                <w:noProof/>
                <w:webHidden/>
              </w:rPr>
              <w:tab/>
            </w:r>
            <w:r>
              <w:rPr>
                <w:noProof/>
                <w:webHidden/>
              </w:rPr>
              <w:fldChar w:fldCharType="begin"/>
            </w:r>
            <w:r>
              <w:rPr>
                <w:noProof/>
                <w:webHidden/>
              </w:rPr>
              <w:instrText xml:space="preserve"> PAGEREF _Toc500319327 \h </w:instrText>
            </w:r>
            <w:r>
              <w:rPr>
                <w:noProof/>
                <w:webHidden/>
              </w:rPr>
            </w:r>
            <w:r>
              <w:rPr>
                <w:noProof/>
                <w:webHidden/>
              </w:rPr>
              <w:fldChar w:fldCharType="separate"/>
            </w:r>
            <w:r>
              <w:rPr>
                <w:noProof/>
                <w:webHidden/>
              </w:rPr>
              <w:t>37</w:t>
            </w:r>
            <w:r>
              <w:rPr>
                <w:noProof/>
                <w:webHidden/>
              </w:rPr>
              <w:fldChar w:fldCharType="end"/>
            </w:r>
          </w:hyperlink>
        </w:p>
        <w:p w14:paraId="138F9E2B" w14:textId="77777777" w:rsidR="00B27F0B" w:rsidRDefault="00B27F0B">
          <w:pPr>
            <w:pStyle w:val="TOC1"/>
            <w:rPr>
              <w:rFonts w:asciiTheme="minorHAnsi" w:hAnsiTheme="minorHAnsi" w:cstheme="minorBidi"/>
              <w:noProof/>
              <w:szCs w:val="24"/>
              <w:lang w:val="en-GB" w:eastAsia="en-GB"/>
            </w:rPr>
          </w:pPr>
          <w:hyperlink w:anchor="_Toc500319328" w:history="1">
            <w:r w:rsidRPr="00DB66A8">
              <w:rPr>
                <w:rStyle w:val="Hyperlink"/>
                <w:noProof/>
              </w:rPr>
              <w:t>Chapter A2: Self-Regulated Learning Interventions with Feedback - A Systematic Review</w:t>
            </w:r>
            <w:r>
              <w:rPr>
                <w:noProof/>
                <w:webHidden/>
              </w:rPr>
              <w:tab/>
            </w:r>
            <w:r>
              <w:rPr>
                <w:noProof/>
                <w:webHidden/>
              </w:rPr>
              <w:fldChar w:fldCharType="begin"/>
            </w:r>
            <w:r>
              <w:rPr>
                <w:noProof/>
                <w:webHidden/>
              </w:rPr>
              <w:instrText xml:space="preserve"> PAGEREF _Toc500319328 \h </w:instrText>
            </w:r>
            <w:r>
              <w:rPr>
                <w:noProof/>
                <w:webHidden/>
              </w:rPr>
            </w:r>
            <w:r>
              <w:rPr>
                <w:noProof/>
                <w:webHidden/>
              </w:rPr>
              <w:fldChar w:fldCharType="separate"/>
            </w:r>
            <w:r>
              <w:rPr>
                <w:noProof/>
                <w:webHidden/>
              </w:rPr>
              <w:t>39</w:t>
            </w:r>
            <w:r>
              <w:rPr>
                <w:noProof/>
                <w:webHidden/>
              </w:rPr>
              <w:fldChar w:fldCharType="end"/>
            </w:r>
          </w:hyperlink>
        </w:p>
        <w:p w14:paraId="07B39D9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29" w:history="1">
            <w:r w:rsidRPr="00DB66A8">
              <w:rPr>
                <w:rStyle w:val="Hyperlink"/>
                <w:noProof/>
                <w:lang w:val="en-GB" w:bidi="hi-IN"/>
              </w:rPr>
              <w:t>A2.1 Chapter Context</w:t>
            </w:r>
            <w:r>
              <w:rPr>
                <w:noProof/>
                <w:webHidden/>
              </w:rPr>
              <w:tab/>
            </w:r>
            <w:r>
              <w:rPr>
                <w:noProof/>
                <w:webHidden/>
              </w:rPr>
              <w:fldChar w:fldCharType="begin"/>
            </w:r>
            <w:r>
              <w:rPr>
                <w:noProof/>
                <w:webHidden/>
              </w:rPr>
              <w:instrText xml:space="preserve"> PAGEREF _Toc500319329 \h </w:instrText>
            </w:r>
            <w:r>
              <w:rPr>
                <w:noProof/>
                <w:webHidden/>
              </w:rPr>
            </w:r>
            <w:r>
              <w:rPr>
                <w:noProof/>
                <w:webHidden/>
              </w:rPr>
              <w:fldChar w:fldCharType="separate"/>
            </w:r>
            <w:r>
              <w:rPr>
                <w:noProof/>
                <w:webHidden/>
              </w:rPr>
              <w:t>39</w:t>
            </w:r>
            <w:r>
              <w:rPr>
                <w:noProof/>
                <w:webHidden/>
              </w:rPr>
              <w:fldChar w:fldCharType="end"/>
            </w:r>
          </w:hyperlink>
        </w:p>
        <w:p w14:paraId="10B20FD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30" w:history="1">
            <w:r w:rsidRPr="00DB66A8">
              <w:rPr>
                <w:rStyle w:val="Hyperlink"/>
                <w:noProof/>
                <w:lang w:val="en-GB" w:bidi="hi-IN"/>
              </w:rPr>
              <w:t>A2.2 Scoping Review and Systematic Review Aims</w:t>
            </w:r>
            <w:r>
              <w:rPr>
                <w:noProof/>
                <w:webHidden/>
              </w:rPr>
              <w:tab/>
            </w:r>
            <w:r>
              <w:rPr>
                <w:noProof/>
                <w:webHidden/>
              </w:rPr>
              <w:fldChar w:fldCharType="begin"/>
            </w:r>
            <w:r>
              <w:rPr>
                <w:noProof/>
                <w:webHidden/>
              </w:rPr>
              <w:instrText xml:space="preserve"> PAGEREF _Toc500319330 \h </w:instrText>
            </w:r>
            <w:r>
              <w:rPr>
                <w:noProof/>
                <w:webHidden/>
              </w:rPr>
            </w:r>
            <w:r>
              <w:rPr>
                <w:noProof/>
                <w:webHidden/>
              </w:rPr>
              <w:fldChar w:fldCharType="separate"/>
            </w:r>
            <w:r>
              <w:rPr>
                <w:noProof/>
                <w:webHidden/>
              </w:rPr>
              <w:t>40</w:t>
            </w:r>
            <w:r>
              <w:rPr>
                <w:noProof/>
                <w:webHidden/>
              </w:rPr>
              <w:fldChar w:fldCharType="end"/>
            </w:r>
          </w:hyperlink>
        </w:p>
        <w:p w14:paraId="1A15638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31" w:history="1">
            <w:r w:rsidRPr="00DB66A8">
              <w:rPr>
                <w:rStyle w:val="Hyperlink"/>
                <w:noProof/>
                <w:lang w:val="en-GB" w:bidi="hi-IN"/>
              </w:rPr>
              <w:t>A2.3 Systematic Review Methods</w:t>
            </w:r>
            <w:r>
              <w:rPr>
                <w:noProof/>
                <w:webHidden/>
              </w:rPr>
              <w:tab/>
            </w:r>
            <w:r>
              <w:rPr>
                <w:noProof/>
                <w:webHidden/>
              </w:rPr>
              <w:fldChar w:fldCharType="begin"/>
            </w:r>
            <w:r>
              <w:rPr>
                <w:noProof/>
                <w:webHidden/>
              </w:rPr>
              <w:instrText xml:space="preserve"> PAGEREF _Toc500319331 \h </w:instrText>
            </w:r>
            <w:r>
              <w:rPr>
                <w:noProof/>
                <w:webHidden/>
              </w:rPr>
            </w:r>
            <w:r>
              <w:rPr>
                <w:noProof/>
                <w:webHidden/>
              </w:rPr>
              <w:fldChar w:fldCharType="separate"/>
            </w:r>
            <w:r>
              <w:rPr>
                <w:noProof/>
                <w:webHidden/>
              </w:rPr>
              <w:t>41</w:t>
            </w:r>
            <w:r>
              <w:rPr>
                <w:noProof/>
                <w:webHidden/>
              </w:rPr>
              <w:fldChar w:fldCharType="end"/>
            </w:r>
          </w:hyperlink>
        </w:p>
        <w:p w14:paraId="4196DD2C"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2" w:history="1">
            <w:r w:rsidRPr="00DB66A8">
              <w:rPr>
                <w:rStyle w:val="Hyperlink"/>
                <w:noProof/>
                <w:lang w:bidi="hi-IN"/>
              </w:rPr>
              <w:t>A2.3.1 Search Strategy</w:t>
            </w:r>
            <w:r>
              <w:rPr>
                <w:noProof/>
                <w:webHidden/>
              </w:rPr>
              <w:tab/>
            </w:r>
            <w:r>
              <w:rPr>
                <w:noProof/>
                <w:webHidden/>
              </w:rPr>
              <w:fldChar w:fldCharType="begin"/>
            </w:r>
            <w:r>
              <w:rPr>
                <w:noProof/>
                <w:webHidden/>
              </w:rPr>
              <w:instrText xml:space="preserve"> PAGEREF _Toc500319332 \h </w:instrText>
            </w:r>
            <w:r>
              <w:rPr>
                <w:noProof/>
                <w:webHidden/>
              </w:rPr>
            </w:r>
            <w:r>
              <w:rPr>
                <w:noProof/>
                <w:webHidden/>
              </w:rPr>
              <w:fldChar w:fldCharType="separate"/>
            </w:r>
            <w:r>
              <w:rPr>
                <w:noProof/>
                <w:webHidden/>
              </w:rPr>
              <w:t>41</w:t>
            </w:r>
            <w:r>
              <w:rPr>
                <w:noProof/>
                <w:webHidden/>
              </w:rPr>
              <w:fldChar w:fldCharType="end"/>
            </w:r>
          </w:hyperlink>
        </w:p>
        <w:p w14:paraId="53AFB94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3" w:history="1">
            <w:r w:rsidRPr="00DB66A8">
              <w:rPr>
                <w:rStyle w:val="Hyperlink"/>
                <w:noProof/>
                <w:lang w:bidi="hi-IN"/>
              </w:rPr>
              <w:t>A2.3.2 Study Eligibility and Selection</w:t>
            </w:r>
            <w:r>
              <w:rPr>
                <w:noProof/>
                <w:webHidden/>
              </w:rPr>
              <w:tab/>
            </w:r>
            <w:r>
              <w:rPr>
                <w:noProof/>
                <w:webHidden/>
              </w:rPr>
              <w:fldChar w:fldCharType="begin"/>
            </w:r>
            <w:r>
              <w:rPr>
                <w:noProof/>
                <w:webHidden/>
              </w:rPr>
              <w:instrText xml:space="preserve"> PAGEREF _Toc500319333 \h </w:instrText>
            </w:r>
            <w:r>
              <w:rPr>
                <w:noProof/>
                <w:webHidden/>
              </w:rPr>
            </w:r>
            <w:r>
              <w:rPr>
                <w:noProof/>
                <w:webHidden/>
              </w:rPr>
              <w:fldChar w:fldCharType="separate"/>
            </w:r>
            <w:r>
              <w:rPr>
                <w:noProof/>
                <w:webHidden/>
              </w:rPr>
              <w:t>41</w:t>
            </w:r>
            <w:r>
              <w:rPr>
                <w:noProof/>
                <w:webHidden/>
              </w:rPr>
              <w:fldChar w:fldCharType="end"/>
            </w:r>
          </w:hyperlink>
        </w:p>
        <w:p w14:paraId="1762A50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4" w:history="1">
            <w:r w:rsidRPr="00DB66A8">
              <w:rPr>
                <w:rStyle w:val="Hyperlink"/>
                <w:noProof/>
                <w:lang w:bidi="hi-IN"/>
              </w:rPr>
              <w:t>A2.3.3 Data Extraction</w:t>
            </w:r>
            <w:r>
              <w:rPr>
                <w:noProof/>
                <w:webHidden/>
              </w:rPr>
              <w:tab/>
            </w:r>
            <w:r>
              <w:rPr>
                <w:noProof/>
                <w:webHidden/>
              </w:rPr>
              <w:fldChar w:fldCharType="begin"/>
            </w:r>
            <w:r>
              <w:rPr>
                <w:noProof/>
                <w:webHidden/>
              </w:rPr>
              <w:instrText xml:space="preserve"> PAGEREF _Toc500319334 \h </w:instrText>
            </w:r>
            <w:r>
              <w:rPr>
                <w:noProof/>
                <w:webHidden/>
              </w:rPr>
            </w:r>
            <w:r>
              <w:rPr>
                <w:noProof/>
                <w:webHidden/>
              </w:rPr>
              <w:fldChar w:fldCharType="separate"/>
            </w:r>
            <w:r>
              <w:rPr>
                <w:noProof/>
                <w:webHidden/>
              </w:rPr>
              <w:t>44</w:t>
            </w:r>
            <w:r>
              <w:rPr>
                <w:noProof/>
                <w:webHidden/>
              </w:rPr>
              <w:fldChar w:fldCharType="end"/>
            </w:r>
          </w:hyperlink>
        </w:p>
        <w:p w14:paraId="3E6253D7"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5" w:history="1">
            <w:r w:rsidRPr="00DB66A8">
              <w:rPr>
                <w:rStyle w:val="Hyperlink"/>
                <w:noProof/>
                <w:lang w:bidi="hi-IN"/>
              </w:rPr>
              <w:t>A2.3.4 Analysis</w:t>
            </w:r>
            <w:r>
              <w:rPr>
                <w:noProof/>
                <w:webHidden/>
              </w:rPr>
              <w:tab/>
            </w:r>
            <w:r>
              <w:rPr>
                <w:noProof/>
                <w:webHidden/>
              </w:rPr>
              <w:fldChar w:fldCharType="begin"/>
            </w:r>
            <w:r>
              <w:rPr>
                <w:noProof/>
                <w:webHidden/>
              </w:rPr>
              <w:instrText xml:space="preserve"> PAGEREF _Toc500319335 \h </w:instrText>
            </w:r>
            <w:r>
              <w:rPr>
                <w:noProof/>
                <w:webHidden/>
              </w:rPr>
            </w:r>
            <w:r>
              <w:rPr>
                <w:noProof/>
                <w:webHidden/>
              </w:rPr>
              <w:fldChar w:fldCharType="separate"/>
            </w:r>
            <w:r>
              <w:rPr>
                <w:noProof/>
                <w:webHidden/>
              </w:rPr>
              <w:t>44</w:t>
            </w:r>
            <w:r>
              <w:rPr>
                <w:noProof/>
                <w:webHidden/>
              </w:rPr>
              <w:fldChar w:fldCharType="end"/>
            </w:r>
          </w:hyperlink>
        </w:p>
        <w:p w14:paraId="5D37257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36" w:history="1">
            <w:r w:rsidRPr="00DB66A8">
              <w:rPr>
                <w:rStyle w:val="Hyperlink"/>
                <w:noProof/>
                <w:lang w:val="en-GB" w:bidi="hi-IN"/>
              </w:rPr>
              <w:t>A2.4 Results</w:t>
            </w:r>
            <w:r>
              <w:rPr>
                <w:noProof/>
                <w:webHidden/>
              </w:rPr>
              <w:tab/>
            </w:r>
            <w:r>
              <w:rPr>
                <w:noProof/>
                <w:webHidden/>
              </w:rPr>
              <w:fldChar w:fldCharType="begin"/>
            </w:r>
            <w:r>
              <w:rPr>
                <w:noProof/>
                <w:webHidden/>
              </w:rPr>
              <w:instrText xml:space="preserve"> PAGEREF _Toc500319336 \h </w:instrText>
            </w:r>
            <w:r>
              <w:rPr>
                <w:noProof/>
                <w:webHidden/>
              </w:rPr>
            </w:r>
            <w:r>
              <w:rPr>
                <w:noProof/>
                <w:webHidden/>
              </w:rPr>
              <w:fldChar w:fldCharType="separate"/>
            </w:r>
            <w:r>
              <w:rPr>
                <w:noProof/>
                <w:webHidden/>
              </w:rPr>
              <w:t>45</w:t>
            </w:r>
            <w:r>
              <w:rPr>
                <w:noProof/>
                <w:webHidden/>
              </w:rPr>
              <w:fldChar w:fldCharType="end"/>
            </w:r>
          </w:hyperlink>
        </w:p>
        <w:p w14:paraId="27A50F3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37" w:history="1">
            <w:r w:rsidRPr="00DB66A8">
              <w:rPr>
                <w:rStyle w:val="Hyperlink"/>
                <w:noProof/>
                <w:lang w:val="en-GB" w:bidi="hi-IN"/>
              </w:rPr>
              <w:t>A2.5 Discussion</w:t>
            </w:r>
            <w:r>
              <w:rPr>
                <w:noProof/>
                <w:webHidden/>
              </w:rPr>
              <w:tab/>
            </w:r>
            <w:r>
              <w:rPr>
                <w:noProof/>
                <w:webHidden/>
              </w:rPr>
              <w:fldChar w:fldCharType="begin"/>
            </w:r>
            <w:r>
              <w:rPr>
                <w:noProof/>
                <w:webHidden/>
              </w:rPr>
              <w:instrText xml:space="preserve"> PAGEREF _Toc500319337 \h </w:instrText>
            </w:r>
            <w:r>
              <w:rPr>
                <w:noProof/>
                <w:webHidden/>
              </w:rPr>
            </w:r>
            <w:r>
              <w:rPr>
                <w:noProof/>
                <w:webHidden/>
              </w:rPr>
              <w:fldChar w:fldCharType="separate"/>
            </w:r>
            <w:r>
              <w:rPr>
                <w:noProof/>
                <w:webHidden/>
              </w:rPr>
              <w:t>48</w:t>
            </w:r>
            <w:r>
              <w:rPr>
                <w:noProof/>
                <w:webHidden/>
              </w:rPr>
              <w:fldChar w:fldCharType="end"/>
            </w:r>
          </w:hyperlink>
        </w:p>
        <w:p w14:paraId="0245615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8" w:history="1">
            <w:r w:rsidRPr="00DB66A8">
              <w:rPr>
                <w:rStyle w:val="Hyperlink"/>
                <w:noProof/>
                <w:lang w:bidi="hi-IN"/>
              </w:rPr>
              <w:t>A2.5.1 Limitations and Strengths</w:t>
            </w:r>
            <w:r>
              <w:rPr>
                <w:noProof/>
                <w:webHidden/>
              </w:rPr>
              <w:tab/>
            </w:r>
            <w:r>
              <w:rPr>
                <w:noProof/>
                <w:webHidden/>
              </w:rPr>
              <w:fldChar w:fldCharType="begin"/>
            </w:r>
            <w:r>
              <w:rPr>
                <w:noProof/>
                <w:webHidden/>
              </w:rPr>
              <w:instrText xml:space="preserve"> PAGEREF _Toc500319338 \h </w:instrText>
            </w:r>
            <w:r>
              <w:rPr>
                <w:noProof/>
                <w:webHidden/>
              </w:rPr>
            </w:r>
            <w:r>
              <w:rPr>
                <w:noProof/>
                <w:webHidden/>
              </w:rPr>
              <w:fldChar w:fldCharType="separate"/>
            </w:r>
            <w:r>
              <w:rPr>
                <w:noProof/>
                <w:webHidden/>
              </w:rPr>
              <w:t>52</w:t>
            </w:r>
            <w:r>
              <w:rPr>
                <w:noProof/>
                <w:webHidden/>
              </w:rPr>
              <w:fldChar w:fldCharType="end"/>
            </w:r>
          </w:hyperlink>
        </w:p>
        <w:p w14:paraId="3AB2F39C"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39" w:history="1">
            <w:r w:rsidRPr="00DB66A8">
              <w:rPr>
                <w:rStyle w:val="Hyperlink"/>
                <w:noProof/>
                <w:lang w:bidi="hi-IN"/>
              </w:rPr>
              <w:t>A2.5.2 Implications for the Present Study and Future Research</w:t>
            </w:r>
            <w:r>
              <w:rPr>
                <w:noProof/>
                <w:webHidden/>
              </w:rPr>
              <w:tab/>
            </w:r>
            <w:r>
              <w:rPr>
                <w:noProof/>
                <w:webHidden/>
              </w:rPr>
              <w:fldChar w:fldCharType="begin"/>
            </w:r>
            <w:r>
              <w:rPr>
                <w:noProof/>
                <w:webHidden/>
              </w:rPr>
              <w:instrText xml:space="preserve"> PAGEREF _Toc500319339 \h </w:instrText>
            </w:r>
            <w:r>
              <w:rPr>
                <w:noProof/>
                <w:webHidden/>
              </w:rPr>
            </w:r>
            <w:r>
              <w:rPr>
                <w:noProof/>
                <w:webHidden/>
              </w:rPr>
              <w:fldChar w:fldCharType="separate"/>
            </w:r>
            <w:r>
              <w:rPr>
                <w:noProof/>
                <w:webHidden/>
              </w:rPr>
              <w:t>53</w:t>
            </w:r>
            <w:r>
              <w:rPr>
                <w:noProof/>
                <w:webHidden/>
              </w:rPr>
              <w:fldChar w:fldCharType="end"/>
            </w:r>
          </w:hyperlink>
        </w:p>
        <w:p w14:paraId="7E386E5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40" w:history="1">
            <w:r w:rsidRPr="00DB66A8">
              <w:rPr>
                <w:rStyle w:val="Hyperlink"/>
                <w:noProof/>
                <w:lang w:val="en-GB" w:bidi="hi-IN"/>
              </w:rPr>
              <w:t>A2.6 Conclusion</w:t>
            </w:r>
            <w:r>
              <w:rPr>
                <w:noProof/>
                <w:webHidden/>
              </w:rPr>
              <w:tab/>
            </w:r>
            <w:r>
              <w:rPr>
                <w:noProof/>
                <w:webHidden/>
              </w:rPr>
              <w:fldChar w:fldCharType="begin"/>
            </w:r>
            <w:r>
              <w:rPr>
                <w:noProof/>
                <w:webHidden/>
              </w:rPr>
              <w:instrText xml:space="preserve"> PAGEREF _Toc500319340 \h </w:instrText>
            </w:r>
            <w:r>
              <w:rPr>
                <w:noProof/>
                <w:webHidden/>
              </w:rPr>
            </w:r>
            <w:r>
              <w:rPr>
                <w:noProof/>
                <w:webHidden/>
              </w:rPr>
              <w:fldChar w:fldCharType="separate"/>
            </w:r>
            <w:r>
              <w:rPr>
                <w:noProof/>
                <w:webHidden/>
              </w:rPr>
              <w:t>54</w:t>
            </w:r>
            <w:r>
              <w:rPr>
                <w:noProof/>
                <w:webHidden/>
              </w:rPr>
              <w:fldChar w:fldCharType="end"/>
            </w:r>
          </w:hyperlink>
        </w:p>
        <w:p w14:paraId="55ED885F" w14:textId="77777777" w:rsidR="00B27F0B" w:rsidRDefault="00B27F0B">
          <w:pPr>
            <w:pStyle w:val="TOC1"/>
            <w:rPr>
              <w:rFonts w:asciiTheme="minorHAnsi" w:hAnsiTheme="minorHAnsi" w:cstheme="minorBidi"/>
              <w:noProof/>
              <w:szCs w:val="24"/>
              <w:lang w:val="en-GB" w:eastAsia="en-GB"/>
            </w:rPr>
          </w:pPr>
          <w:hyperlink w:anchor="_Toc500319341" w:history="1">
            <w:r w:rsidRPr="00DB66A8">
              <w:rPr>
                <w:rStyle w:val="Hyperlink"/>
                <w:noProof/>
              </w:rPr>
              <w:t>Chapter A3: Methodology</w:t>
            </w:r>
            <w:r>
              <w:rPr>
                <w:noProof/>
                <w:webHidden/>
              </w:rPr>
              <w:tab/>
            </w:r>
            <w:r>
              <w:rPr>
                <w:noProof/>
                <w:webHidden/>
              </w:rPr>
              <w:fldChar w:fldCharType="begin"/>
            </w:r>
            <w:r>
              <w:rPr>
                <w:noProof/>
                <w:webHidden/>
              </w:rPr>
              <w:instrText xml:space="preserve"> PAGEREF _Toc500319341 \h </w:instrText>
            </w:r>
            <w:r>
              <w:rPr>
                <w:noProof/>
                <w:webHidden/>
              </w:rPr>
            </w:r>
            <w:r>
              <w:rPr>
                <w:noProof/>
                <w:webHidden/>
              </w:rPr>
              <w:fldChar w:fldCharType="separate"/>
            </w:r>
            <w:r>
              <w:rPr>
                <w:noProof/>
                <w:webHidden/>
              </w:rPr>
              <w:t>55</w:t>
            </w:r>
            <w:r>
              <w:rPr>
                <w:noProof/>
                <w:webHidden/>
              </w:rPr>
              <w:fldChar w:fldCharType="end"/>
            </w:r>
          </w:hyperlink>
        </w:p>
        <w:p w14:paraId="1495881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42" w:history="1">
            <w:r w:rsidRPr="00DB66A8">
              <w:rPr>
                <w:rStyle w:val="Hyperlink"/>
                <w:noProof/>
                <w:lang w:val="en-GB" w:bidi="hi-IN"/>
              </w:rPr>
              <w:t>A3.1 Research Design</w:t>
            </w:r>
            <w:r>
              <w:rPr>
                <w:noProof/>
                <w:webHidden/>
              </w:rPr>
              <w:tab/>
            </w:r>
            <w:r>
              <w:rPr>
                <w:noProof/>
                <w:webHidden/>
              </w:rPr>
              <w:fldChar w:fldCharType="begin"/>
            </w:r>
            <w:r>
              <w:rPr>
                <w:noProof/>
                <w:webHidden/>
              </w:rPr>
              <w:instrText xml:space="preserve"> PAGEREF _Toc500319342 \h </w:instrText>
            </w:r>
            <w:r>
              <w:rPr>
                <w:noProof/>
                <w:webHidden/>
              </w:rPr>
            </w:r>
            <w:r>
              <w:rPr>
                <w:noProof/>
                <w:webHidden/>
              </w:rPr>
              <w:fldChar w:fldCharType="separate"/>
            </w:r>
            <w:r>
              <w:rPr>
                <w:noProof/>
                <w:webHidden/>
              </w:rPr>
              <w:t>55</w:t>
            </w:r>
            <w:r>
              <w:rPr>
                <w:noProof/>
                <w:webHidden/>
              </w:rPr>
              <w:fldChar w:fldCharType="end"/>
            </w:r>
          </w:hyperlink>
        </w:p>
        <w:p w14:paraId="4792C38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43" w:history="1">
            <w:r w:rsidRPr="00DB66A8">
              <w:rPr>
                <w:rStyle w:val="Hyperlink"/>
                <w:noProof/>
                <w:lang w:bidi="hi-IN"/>
              </w:rPr>
              <w:t>A3.1.1 Sequential Explanatory Mixed Methods Design</w:t>
            </w:r>
            <w:r>
              <w:rPr>
                <w:noProof/>
                <w:webHidden/>
              </w:rPr>
              <w:tab/>
            </w:r>
            <w:r>
              <w:rPr>
                <w:noProof/>
                <w:webHidden/>
              </w:rPr>
              <w:fldChar w:fldCharType="begin"/>
            </w:r>
            <w:r>
              <w:rPr>
                <w:noProof/>
                <w:webHidden/>
              </w:rPr>
              <w:instrText xml:space="preserve"> PAGEREF _Toc500319343 \h </w:instrText>
            </w:r>
            <w:r>
              <w:rPr>
                <w:noProof/>
                <w:webHidden/>
              </w:rPr>
            </w:r>
            <w:r>
              <w:rPr>
                <w:noProof/>
                <w:webHidden/>
              </w:rPr>
              <w:fldChar w:fldCharType="separate"/>
            </w:r>
            <w:r>
              <w:rPr>
                <w:noProof/>
                <w:webHidden/>
              </w:rPr>
              <w:t>56</w:t>
            </w:r>
            <w:r>
              <w:rPr>
                <w:noProof/>
                <w:webHidden/>
              </w:rPr>
              <w:fldChar w:fldCharType="end"/>
            </w:r>
          </w:hyperlink>
        </w:p>
        <w:p w14:paraId="6464F95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44" w:history="1">
            <w:r w:rsidRPr="00DB66A8">
              <w:rPr>
                <w:rStyle w:val="Hyperlink"/>
                <w:noProof/>
                <w:lang w:bidi="hi-IN"/>
              </w:rPr>
              <w:t>A3.1.2 The Design Framework for this Study</w:t>
            </w:r>
            <w:r>
              <w:rPr>
                <w:noProof/>
                <w:webHidden/>
              </w:rPr>
              <w:tab/>
            </w:r>
            <w:r>
              <w:rPr>
                <w:noProof/>
                <w:webHidden/>
              </w:rPr>
              <w:fldChar w:fldCharType="begin"/>
            </w:r>
            <w:r>
              <w:rPr>
                <w:noProof/>
                <w:webHidden/>
              </w:rPr>
              <w:instrText xml:space="preserve"> PAGEREF _Toc500319344 \h </w:instrText>
            </w:r>
            <w:r>
              <w:rPr>
                <w:noProof/>
                <w:webHidden/>
              </w:rPr>
            </w:r>
            <w:r>
              <w:rPr>
                <w:noProof/>
                <w:webHidden/>
              </w:rPr>
              <w:fldChar w:fldCharType="separate"/>
            </w:r>
            <w:r>
              <w:rPr>
                <w:noProof/>
                <w:webHidden/>
              </w:rPr>
              <w:t>59</w:t>
            </w:r>
            <w:r>
              <w:rPr>
                <w:noProof/>
                <w:webHidden/>
              </w:rPr>
              <w:fldChar w:fldCharType="end"/>
            </w:r>
          </w:hyperlink>
        </w:p>
        <w:p w14:paraId="10BDBDB9"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45" w:history="1">
            <w:r w:rsidRPr="00DB66A8">
              <w:rPr>
                <w:rStyle w:val="Hyperlink"/>
                <w:noProof/>
                <w:lang w:val="en-GB" w:bidi="hi-IN"/>
              </w:rPr>
              <w:t>A3.2 Philosophical Framework - the Pragmatic Paradigm</w:t>
            </w:r>
            <w:r>
              <w:rPr>
                <w:noProof/>
                <w:webHidden/>
              </w:rPr>
              <w:tab/>
            </w:r>
            <w:r>
              <w:rPr>
                <w:noProof/>
                <w:webHidden/>
              </w:rPr>
              <w:fldChar w:fldCharType="begin"/>
            </w:r>
            <w:r>
              <w:rPr>
                <w:noProof/>
                <w:webHidden/>
              </w:rPr>
              <w:instrText xml:space="preserve"> PAGEREF _Toc500319345 \h </w:instrText>
            </w:r>
            <w:r>
              <w:rPr>
                <w:noProof/>
                <w:webHidden/>
              </w:rPr>
            </w:r>
            <w:r>
              <w:rPr>
                <w:noProof/>
                <w:webHidden/>
              </w:rPr>
              <w:fldChar w:fldCharType="separate"/>
            </w:r>
            <w:r>
              <w:rPr>
                <w:noProof/>
                <w:webHidden/>
              </w:rPr>
              <w:t>60</w:t>
            </w:r>
            <w:r>
              <w:rPr>
                <w:noProof/>
                <w:webHidden/>
              </w:rPr>
              <w:fldChar w:fldCharType="end"/>
            </w:r>
          </w:hyperlink>
        </w:p>
        <w:p w14:paraId="5A240A2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46" w:history="1">
            <w:r w:rsidRPr="00DB66A8">
              <w:rPr>
                <w:rStyle w:val="Hyperlink"/>
                <w:noProof/>
                <w:lang w:val="en-GB" w:bidi="hi-IN"/>
              </w:rPr>
              <w:t>A3.3 Theoretical Framework - Self-Regulated Learning Theory</w:t>
            </w:r>
            <w:r>
              <w:rPr>
                <w:noProof/>
                <w:webHidden/>
              </w:rPr>
              <w:tab/>
            </w:r>
            <w:r>
              <w:rPr>
                <w:noProof/>
                <w:webHidden/>
              </w:rPr>
              <w:fldChar w:fldCharType="begin"/>
            </w:r>
            <w:r>
              <w:rPr>
                <w:noProof/>
                <w:webHidden/>
              </w:rPr>
              <w:instrText xml:space="preserve"> PAGEREF _Toc500319346 \h </w:instrText>
            </w:r>
            <w:r>
              <w:rPr>
                <w:noProof/>
                <w:webHidden/>
              </w:rPr>
            </w:r>
            <w:r>
              <w:rPr>
                <w:noProof/>
                <w:webHidden/>
              </w:rPr>
              <w:fldChar w:fldCharType="separate"/>
            </w:r>
            <w:r>
              <w:rPr>
                <w:noProof/>
                <w:webHidden/>
              </w:rPr>
              <w:t>63</w:t>
            </w:r>
            <w:r>
              <w:rPr>
                <w:noProof/>
                <w:webHidden/>
              </w:rPr>
              <w:fldChar w:fldCharType="end"/>
            </w:r>
          </w:hyperlink>
        </w:p>
        <w:p w14:paraId="33A6002A"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47" w:history="1">
            <w:r w:rsidRPr="00DB66A8">
              <w:rPr>
                <w:rStyle w:val="Hyperlink"/>
                <w:noProof/>
                <w:lang w:val="en-GB" w:bidi="hi-IN"/>
              </w:rPr>
              <w:t>A3.4 Mixed Methodology</w:t>
            </w:r>
            <w:r>
              <w:rPr>
                <w:noProof/>
                <w:webHidden/>
              </w:rPr>
              <w:tab/>
            </w:r>
            <w:r>
              <w:rPr>
                <w:noProof/>
                <w:webHidden/>
              </w:rPr>
              <w:fldChar w:fldCharType="begin"/>
            </w:r>
            <w:r>
              <w:rPr>
                <w:noProof/>
                <w:webHidden/>
              </w:rPr>
              <w:instrText xml:space="preserve"> PAGEREF _Toc500319347 \h </w:instrText>
            </w:r>
            <w:r>
              <w:rPr>
                <w:noProof/>
                <w:webHidden/>
              </w:rPr>
            </w:r>
            <w:r>
              <w:rPr>
                <w:noProof/>
                <w:webHidden/>
              </w:rPr>
              <w:fldChar w:fldCharType="separate"/>
            </w:r>
            <w:r>
              <w:rPr>
                <w:noProof/>
                <w:webHidden/>
              </w:rPr>
              <w:t>65</w:t>
            </w:r>
            <w:r>
              <w:rPr>
                <w:noProof/>
                <w:webHidden/>
              </w:rPr>
              <w:fldChar w:fldCharType="end"/>
            </w:r>
          </w:hyperlink>
        </w:p>
        <w:p w14:paraId="0261131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48" w:history="1">
            <w:r w:rsidRPr="00DB66A8">
              <w:rPr>
                <w:rStyle w:val="Hyperlink"/>
                <w:noProof/>
                <w:lang w:bidi="hi-IN"/>
              </w:rPr>
              <w:t>A3.4.1 Justifying the Use of a Mixed Methodology</w:t>
            </w:r>
            <w:r>
              <w:rPr>
                <w:noProof/>
                <w:webHidden/>
              </w:rPr>
              <w:tab/>
            </w:r>
            <w:r>
              <w:rPr>
                <w:noProof/>
                <w:webHidden/>
              </w:rPr>
              <w:fldChar w:fldCharType="begin"/>
            </w:r>
            <w:r>
              <w:rPr>
                <w:noProof/>
                <w:webHidden/>
              </w:rPr>
              <w:instrText xml:space="preserve"> PAGEREF _Toc500319348 \h </w:instrText>
            </w:r>
            <w:r>
              <w:rPr>
                <w:noProof/>
                <w:webHidden/>
              </w:rPr>
            </w:r>
            <w:r>
              <w:rPr>
                <w:noProof/>
                <w:webHidden/>
              </w:rPr>
              <w:fldChar w:fldCharType="separate"/>
            </w:r>
            <w:r>
              <w:rPr>
                <w:noProof/>
                <w:webHidden/>
              </w:rPr>
              <w:t>65</w:t>
            </w:r>
            <w:r>
              <w:rPr>
                <w:noProof/>
                <w:webHidden/>
              </w:rPr>
              <w:fldChar w:fldCharType="end"/>
            </w:r>
          </w:hyperlink>
        </w:p>
        <w:p w14:paraId="612720C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49" w:history="1">
            <w:r w:rsidRPr="00DB66A8">
              <w:rPr>
                <w:rStyle w:val="Hyperlink"/>
                <w:noProof/>
                <w:lang w:bidi="hi-IN"/>
              </w:rPr>
              <w:t>A3.4.2 Advantages and Challenges of Mixed Methods Research</w:t>
            </w:r>
            <w:r>
              <w:rPr>
                <w:noProof/>
                <w:webHidden/>
              </w:rPr>
              <w:tab/>
            </w:r>
            <w:r>
              <w:rPr>
                <w:noProof/>
                <w:webHidden/>
              </w:rPr>
              <w:fldChar w:fldCharType="begin"/>
            </w:r>
            <w:r>
              <w:rPr>
                <w:noProof/>
                <w:webHidden/>
              </w:rPr>
              <w:instrText xml:space="preserve"> PAGEREF _Toc500319349 \h </w:instrText>
            </w:r>
            <w:r>
              <w:rPr>
                <w:noProof/>
                <w:webHidden/>
              </w:rPr>
            </w:r>
            <w:r>
              <w:rPr>
                <w:noProof/>
                <w:webHidden/>
              </w:rPr>
              <w:fldChar w:fldCharType="separate"/>
            </w:r>
            <w:r>
              <w:rPr>
                <w:noProof/>
                <w:webHidden/>
              </w:rPr>
              <w:t>66</w:t>
            </w:r>
            <w:r>
              <w:rPr>
                <w:noProof/>
                <w:webHidden/>
              </w:rPr>
              <w:fldChar w:fldCharType="end"/>
            </w:r>
          </w:hyperlink>
        </w:p>
        <w:p w14:paraId="3521DCBF"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50" w:history="1">
            <w:r w:rsidRPr="00DB66A8">
              <w:rPr>
                <w:rStyle w:val="Hyperlink"/>
                <w:noProof/>
                <w:lang w:val="en-GB" w:bidi="hi-IN"/>
              </w:rPr>
              <w:t>A3.5 Survey Methodology</w:t>
            </w:r>
            <w:r>
              <w:rPr>
                <w:noProof/>
                <w:webHidden/>
              </w:rPr>
              <w:tab/>
            </w:r>
            <w:r>
              <w:rPr>
                <w:noProof/>
                <w:webHidden/>
              </w:rPr>
              <w:fldChar w:fldCharType="begin"/>
            </w:r>
            <w:r>
              <w:rPr>
                <w:noProof/>
                <w:webHidden/>
              </w:rPr>
              <w:instrText xml:space="preserve"> PAGEREF _Toc500319350 \h </w:instrText>
            </w:r>
            <w:r>
              <w:rPr>
                <w:noProof/>
                <w:webHidden/>
              </w:rPr>
            </w:r>
            <w:r>
              <w:rPr>
                <w:noProof/>
                <w:webHidden/>
              </w:rPr>
              <w:fldChar w:fldCharType="separate"/>
            </w:r>
            <w:r>
              <w:rPr>
                <w:noProof/>
                <w:webHidden/>
              </w:rPr>
              <w:t>68</w:t>
            </w:r>
            <w:r>
              <w:rPr>
                <w:noProof/>
                <w:webHidden/>
              </w:rPr>
              <w:fldChar w:fldCharType="end"/>
            </w:r>
          </w:hyperlink>
        </w:p>
        <w:p w14:paraId="6F1E636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51" w:history="1">
            <w:r w:rsidRPr="00DB66A8">
              <w:rPr>
                <w:rStyle w:val="Hyperlink"/>
                <w:noProof/>
                <w:lang w:val="en-GB" w:bidi="hi-IN"/>
              </w:rPr>
              <w:t>A3.6 Interview Methodology</w:t>
            </w:r>
            <w:r>
              <w:rPr>
                <w:noProof/>
                <w:webHidden/>
              </w:rPr>
              <w:tab/>
            </w:r>
            <w:r>
              <w:rPr>
                <w:noProof/>
                <w:webHidden/>
              </w:rPr>
              <w:fldChar w:fldCharType="begin"/>
            </w:r>
            <w:r>
              <w:rPr>
                <w:noProof/>
                <w:webHidden/>
              </w:rPr>
              <w:instrText xml:space="preserve"> PAGEREF _Toc500319351 \h </w:instrText>
            </w:r>
            <w:r>
              <w:rPr>
                <w:noProof/>
                <w:webHidden/>
              </w:rPr>
            </w:r>
            <w:r>
              <w:rPr>
                <w:noProof/>
                <w:webHidden/>
              </w:rPr>
              <w:fldChar w:fldCharType="separate"/>
            </w:r>
            <w:r>
              <w:rPr>
                <w:noProof/>
                <w:webHidden/>
              </w:rPr>
              <w:t>70</w:t>
            </w:r>
            <w:r>
              <w:rPr>
                <w:noProof/>
                <w:webHidden/>
              </w:rPr>
              <w:fldChar w:fldCharType="end"/>
            </w:r>
          </w:hyperlink>
        </w:p>
        <w:p w14:paraId="7BD936D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52" w:history="1">
            <w:r w:rsidRPr="00DB66A8">
              <w:rPr>
                <w:rStyle w:val="Hyperlink"/>
                <w:noProof/>
                <w:lang w:val="en-GB" w:bidi="hi-IN"/>
              </w:rPr>
              <w:t>A3.7 Focus Group Methodology</w:t>
            </w:r>
            <w:r>
              <w:rPr>
                <w:noProof/>
                <w:webHidden/>
              </w:rPr>
              <w:tab/>
            </w:r>
            <w:r>
              <w:rPr>
                <w:noProof/>
                <w:webHidden/>
              </w:rPr>
              <w:fldChar w:fldCharType="begin"/>
            </w:r>
            <w:r>
              <w:rPr>
                <w:noProof/>
                <w:webHidden/>
              </w:rPr>
              <w:instrText xml:space="preserve"> PAGEREF _Toc500319352 \h </w:instrText>
            </w:r>
            <w:r>
              <w:rPr>
                <w:noProof/>
                <w:webHidden/>
              </w:rPr>
            </w:r>
            <w:r>
              <w:rPr>
                <w:noProof/>
                <w:webHidden/>
              </w:rPr>
              <w:fldChar w:fldCharType="separate"/>
            </w:r>
            <w:r>
              <w:rPr>
                <w:noProof/>
                <w:webHidden/>
              </w:rPr>
              <w:t>72</w:t>
            </w:r>
            <w:r>
              <w:rPr>
                <w:noProof/>
                <w:webHidden/>
              </w:rPr>
              <w:fldChar w:fldCharType="end"/>
            </w:r>
          </w:hyperlink>
        </w:p>
        <w:p w14:paraId="5719EC3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53" w:history="1">
            <w:r w:rsidRPr="00DB66A8">
              <w:rPr>
                <w:rStyle w:val="Hyperlink"/>
                <w:noProof/>
                <w:lang w:val="en-GB" w:bidi="hi-IN"/>
              </w:rPr>
              <w:t>A3.8 Quality and Rigor</w:t>
            </w:r>
            <w:r>
              <w:rPr>
                <w:noProof/>
                <w:webHidden/>
              </w:rPr>
              <w:tab/>
            </w:r>
            <w:r>
              <w:rPr>
                <w:noProof/>
                <w:webHidden/>
              </w:rPr>
              <w:fldChar w:fldCharType="begin"/>
            </w:r>
            <w:r>
              <w:rPr>
                <w:noProof/>
                <w:webHidden/>
              </w:rPr>
              <w:instrText xml:space="preserve"> PAGEREF _Toc500319353 \h </w:instrText>
            </w:r>
            <w:r>
              <w:rPr>
                <w:noProof/>
                <w:webHidden/>
              </w:rPr>
            </w:r>
            <w:r>
              <w:rPr>
                <w:noProof/>
                <w:webHidden/>
              </w:rPr>
              <w:fldChar w:fldCharType="separate"/>
            </w:r>
            <w:r>
              <w:rPr>
                <w:noProof/>
                <w:webHidden/>
              </w:rPr>
              <w:t>73</w:t>
            </w:r>
            <w:r>
              <w:rPr>
                <w:noProof/>
                <w:webHidden/>
              </w:rPr>
              <w:fldChar w:fldCharType="end"/>
            </w:r>
          </w:hyperlink>
        </w:p>
        <w:p w14:paraId="1886C0B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54" w:history="1">
            <w:r w:rsidRPr="00DB66A8">
              <w:rPr>
                <w:rStyle w:val="Hyperlink"/>
                <w:noProof/>
                <w:lang w:bidi="hi-IN"/>
              </w:rPr>
              <w:t>A3.8.1 Trustworthiness</w:t>
            </w:r>
            <w:r>
              <w:rPr>
                <w:noProof/>
                <w:webHidden/>
              </w:rPr>
              <w:tab/>
            </w:r>
            <w:r>
              <w:rPr>
                <w:noProof/>
                <w:webHidden/>
              </w:rPr>
              <w:fldChar w:fldCharType="begin"/>
            </w:r>
            <w:r>
              <w:rPr>
                <w:noProof/>
                <w:webHidden/>
              </w:rPr>
              <w:instrText xml:space="preserve"> PAGEREF _Toc500319354 \h </w:instrText>
            </w:r>
            <w:r>
              <w:rPr>
                <w:noProof/>
                <w:webHidden/>
              </w:rPr>
            </w:r>
            <w:r>
              <w:rPr>
                <w:noProof/>
                <w:webHidden/>
              </w:rPr>
              <w:fldChar w:fldCharType="separate"/>
            </w:r>
            <w:r>
              <w:rPr>
                <w:noProof/>
                <w:webHidden/>
              </w:rPr>
              <w:t>73</w:t>
            </w:r>
            <w:r>
              <w:rPr>
                <w:noProof/>
                <w:webHidden/>
              </w:rPr>
              <w:fldChar w:fldCharType="end"/>
            </w:r>
          </w:hyperlink>
        </w:p>
        <w:p w14:paraId="049ACBD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55" w:history="1">
            <w:r w:rsidRPr="00DB66A8">
              <w:rPr>
                <w:rStyle w:val="Hyperlink"/>
                <w:noProof/>
                <w:lang w:bidi="hi-IN"/>
              </w:rPr>
              <w:t>A3.8.2 Member Checking</w:t>
            </w:r>
            <w:r>
              <w:rPr>
                <w:noProof/>
                <w:webHidden/>
              </w:rPr>
              <w:tab/>
            </w:r>
            <w:r>
              <w:rPr>
                <w:noProof/>
                <w:webHidden/>
              </w:rPr>
              <w:fldChar w:fldCharType="begin"/>
            </w:r>
            <w:r>
              <w:rPr>
                <w:noProof/>
                <w:webHidden/>
              </w:rPr>
              <w:instrText xml:space="preserve"> PAGEREF _Toc500319355 \h </w:instrText>
            </w:r>
            <w:r>
              <w:rPr>
                <w:noProof/>
                <w:webHidden/>
              </w:rPr>
            </w:r>
            <w:r>
              <w:rPr>
                <w:noProof/>
                <w:webHidden/>
              </w:rPr>
              <w:fldChar w:fldCharType="separate"/>
            </w:r>
            <w:r>
              <w:rPr>
                <w:noProof/>
                <w:webHidden/>
              </w:rPr>
              <w:t>74</w:t>
            </w:r>
            <w:r>
              <w:rPr>
                <w:noProof/>
                <w:webHidden/>
              </w:rPr>
              <w:fldChar w:fldCharType="end"/>
            </w:r>
          </w:hyperlink>
        </w:p>
        <w:p w14:paraId="418B083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56" w:history="1">
            <w:r w:rsidRPr="00DB66A8">
              <w:rPr>
                <w:rStyle w:val="Hyperlink"/>
                <w:noProof/>
                <w:lang w:bidi="hi-IN"/>
              </w:rPr>
              <w:t>A3.8.3 Peer Debriefing</w:t>
            </w:r>
            <w:r>
              <w:rPr>
                <w:noProof/>
                <w:webHidden/>
              </w:rPr>
              <w:tab/>
            </w:r>
            <w:r>
              <w:rPr>
                <w:noProof/>
                <w:webHidden/>
              </w:rPr>
              <w:fldChar w:fldCharType="begin"/>
            </w:r>
            <w:r>
              <w:rPr>
                <w:noProof/>
                <w:webHidden/>
              </w:rPr>
              <w:instrText xml:space="preserve"> PAGEREF _Toc500319356 \h </w:instrText>
            </w:r>
            <w:r>
              <w:rPr>
                <w:noProof/>
                <w:webHidden/>
              </w:rPr>
            </w:r>
            <w:r>
              <w:rPr>
                <w:noProof/>
                <w:webHidden/>
              </w:rPr>
              <w:fldChar w:fldCharType="separate"/>
            </w:r>
            <w:r>
              <w:rPr>
                <w:noProof/>
                <w:webHidden/>
              </w:rPr>
              <w:t>76</w:t>
            </w:r>
            <w:r>
              <w:rPr>
                <w:noProof/>
                <w:webHidden/>
              </w:rPr>
              <w:fldChar w:fldCharType="end"/>
            </w:r>
          </w:hyperlink>
        </w:p>
        <w:p w14:paraId="0DC8062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57" w:history="1">
            <w:r w:rsidRPr="00DB66A8">
              <w:rPr>
                <w:rStyle w:val="Hyperlink"/>
                <w:noProof/>
                <w:lang w:bidi="hi-IN"/>
              </w:rPr>
              <w:t>A3.8.4 Triangulation</w:t>
            </w:r>
            <w:r>
              <w:rPr>
                <w:noProof/>
                <w:webHidden/>
              </w:rPr>
              <w:tab/>
            </w:r>
            <w:r>
              <w:rPr>
                <w:noProof/>
                <w:webHidden/>
              </w:rPr>
              <w:fldChar w:fldCharType="begin"/>
            </w:r>
            <w:r>
              <w:rPr>
                <w:noProof/>
                <w:webHidden/>
              </w:rPr>
              <w:instrText xml:space="preserve"> PAGEREF _Toc500319357 \h </w:instrText>
            </w:r>
            <w:r>
              <w:rPr>
                <w:noProof/>
                <w:webHidden/>
              </w:rPr>
            </w:r>
            <w:r>
              <w:rPr>
                <w:noProof/>
                <w:webHidden/>
              </w:rPr>
              <w:fldChar w:fldCharType="separate"/>
            </w:r>
            <w:r>
              <w:rPr>
                <w:noProof/>
                <w:webHidden/>
              </w:rPr>
              <w:t>77</w:t>
            </w:r>
            <w:r>
              <w:rPr>
                <w:noProof/>
                <w:webHidden/>
              </w:rPr>
              <w:fldChar w:fldCharType="end"/>
            </w:r>
          </w:hyperlink>
        </w:p>
        <w:p w14:paraId="4DA0883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58" w:history="1">
            <w:r w:rsidRPr="00DB66A8">
              <w:rPr>
                <w:rStyle w:val="Hyperlink"/>
                <w:noProof/>
                <w:lang w:val="en-GB" w:bidi="hi-IN"/>
              </w:rPr>
              <w:t>A3.9 Analysis and Interpretation</w:t>
            </w:r>
            <w:r>
              <w:rPr>
                <w:noProof/>
                <w:webHidden/>
              </w:rPr>
              <w:tab/>
            </w:r>
            <w:r>
              <w:rPr>
                <w:noProof/>
                <w:webHidden/>
              </w:rPr>
              <w:fldChar w:fldCharType="begin"/>
            </w:r>
            <w:r>
              <w:rPr>
                <w:noProof/>
                <w:webHidden/>
              </w:rPr>
              <w:instrText xml:space="preserve"> PAGEREF _Toc500319358 \h </w:instrText>
            </w:r>
            <w:r>
              <w:rPr>
                <w:noProof/>
                <w:webHidden/>
              </w:rPr>
            </w:r>
            <w:r>
              <w:rPr>
                <w:noProof/>
                <w:webHidden/>
              </w:rPr>
              <w:fldChar w:fldCharType="separate"/>
            </w:r>
            <w:r>
              <w:rPr>
                <w:noProof/>
                <w:webHidden/>
              </w:rPr>
              <w:t>79</w:t>
            </w:r>
            <w:r>
              <w:rPr>
                <w:noProof/>
                <w:webHidden/>
              </w:rPr>
              <w:fldChar w:fldCharType="end"/>
            </w:r>
          </w:hyperlink>
        </w:p>
        <w:p w14:paraId="229595F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59" w:history="1">
            <w:r w:rsidRPr="00DB66A8">
              <w:rPr>
                <w:rStyle w:val="Hyperlink"/>
                <w:noProof/>
                <w:lang w:bidi="hi-IN"/>
              </w:rPr>
              <w:t>A3.9.1 Mixing and Integration</w:t>
            </w:r>
            <w:r>
              <w:rPr>
                <w:noProof/>
                <w:webHidden/>
              </w:rPr>
              <w:tab/>
            </w:r>
            <w:r>
              <w:rPr>
                <w:noProof/>
                <w:webHidden/>
              </w:rPr>
              <w:fldChar w:fldCharType="begin"/>
            </w:r>
            <w:r>
              <w:rPr>
                <w:noProof/>
                <w:webHidden/>
              </w:rPr>
              <w:instrText xml:space="preserve"> PAGEREF _Toc500319359 \h </w:instrText>
            </w:r>
            <w:r>
              <w:rPr>
                <w:noProof/>
                <w:webHidden/>
              </w:rPr>
            </w:r>
            <w:r>
              <w:rPr>
                <w:noProof/>
                <w:webHidden/>
              </w:rPr>
              <w:fldChar w:fldCharType="separate"/>
            </w:r>
            <w:r>
              <w:rPr>
                <w:noProof/>
                <w:webHidden/>
              </w:rPr>
              <w:t>79</w:t>
            </w:r>
            <w:r>
              <w:rPr>
                <w:noProof/>
                <w:webHidden/>
              </w:rPr>
              <w:fldChar w:fldCharType="end"/>
            </w:r>
          </w:hyperlink>
        </w:p>
        <w:p w14:paraId="5FA7209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60" w:history="1">
            <w:r w:rsidRPr="00DB66A8">
              <w:rPr>
                <w:rStyle w:val="Hyperlink"/>
                <w:noProof/>
                <w:lang w:bidi="hi-IN"/>
              </w:rPr>
              <w:t>A3.9.2 Quantitative Analysis</w:t>
            </w:r>
            <w:r>
              <w:rPr>
                <w:noProof/>
                <w:webHidden/>
              </w:rPr>
              <w:tab/>
            </w:r>
            <w:r>
              <w:rPr>
                <w:noProof/>
                <w:webHidden/>
              </w:rPr>
              <w:fldChar w:fldCharType="begin"/>
            </w:r>
            <w:r>
              <w:rPr>
                <w:noProof/>
                <w:webHidden/>
              </w:rPr>
              <w:instrText xml:space="preserve"> PAGEREF _Toc500319360 \h </w:instrText>
            </w:r>
            <w:r>
              <w:rPr>
                <w:noProof/>
                <w:webHidden/>
              </w:rPr>
            </w:r>
            <w:r>
              <w:rPr>
                <w:noProof/>
                <w:webHidden/>
              </w:rPr>
              <w:fldChar w:fldCharType="separate"/>
            </w:r>
            <w:r>
              <w:rPr>
                <w:noProof/>
                <w:webHidden/>
              </w:rPr>
              <w:t>80</w:t>
            </w:r>
            <w:r>
              <w:rPr>
                <w:noProof/>
                <w:webHidden/>
              </w:rPr>
              <w:fldChar w:fldCharType="end"/>
            </w:r>
          </w:hyperlink>
        </w:p>
        <w:p w14:paraId="2999FE0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61" w:history="1">
            <w:r w:rsidRPr="00DB66A8">
              <w:rPr>
                <w:rStyle w:val="Hyperlink"/>
                <w:noProof/>
                <w:lang w:bidi="hi-IN"/>
              </w:rPr>
              <w:t>A3.9.3 Qualitative Analysis</w:t>
            </w:r>
            <w:r>
              <w:rPr>
                <w:noProof/>
                <w:webHidden/>
              </w:rPr>
              <w:tab/>
            </w:r>
            <w:r>
              <w:rPr>
                <w:noProof/>
                <w:webHidden/>
              </w:rPr>
              <w:fldChar w:fldCharType="begin"/>
            </w:r>
            <w:r>
              <w:rPr>
                <w:noProof/>
                <w:webHidden/>
              </w:rPr>
              <w:instrText xml:space="preserve"> PAGEREF _Toc500319361 \h </w:instrText>
            </w:r>
            <w:r>
              <w:rPr>
                <w:noProof/>
                <w:webHidden/>
              </w:rPr>
            </w:r>
            <w:r>
              <w:rPr>
                <w:noProof/>
                <w:webHidden/>
              </w:rPr>
              <w:fldChar w:fldCharType="separate"/>
            </w:r>
            <w:r>
              <w:rPr>
                <w:noProof/>
                <w:webHidden/>
              </w:rPr>
              <w:t>80</w:t>
            </w:r>
            <w:r>
              <w:rPr>
                <w:noProof/>
                <w:webHidden/>
              </w:rPr>
              <w:fldChar w:fldCharType="end"/>
            </w:r>
          </w:hyperlink>
        </w:p>
        <w:p w14:paraId="13B201DF"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62" w:history="1">
            <w:r w:rsidRPr="00DB66A8">
              <w:rPr>
                <w:rStyle w:val="Hyperlink"/>
                <w:noProof/>
                <w:lang w:val="en-GB" w:bidi="hi-IN"/>
              </w:rPr>
              <w:t>A3.11 Ethical Approval</w:t>
            </w:r>
            <w:r>
              <w:rPr>
                <w:noProof/>
                <w:webHidden/>
              </w:rPr>
              <w:tab/>
            </w:r>
            <w:r>
              <w:rPr>
                <w:noProof/>
                <w:webHidden/>
              </w:rPr>
              <w:fldChar w:fldCharType="begin"/>
            </w:r>
            <w:r>
              <w:rPr>
                <w:noProof/>
                <w:webHidden/>
              </w:rPr>
              <w:instrText xml:space="preserve"> PAGEREF _Toc500319362 \h </w:instrText>
            </w:r>
            <w:r>
              <w:rPr>
                <w:noProof/>
                <w:webHidden/>
              </w:rPr>
            </w:r>
            <w:r>
              <w:rPr>
                <w:noProof/>
                <w:webHidden/>
              </w:rPr>
              <w:fldChar w:fldCharType="separate"/>
            </w:r>
            <w:r>
              <w:rPr>
                <w:noProof/>
                <w:webHidden/>
              </w:rPr>
              <w:t>82</w:t>
            </w:r>
            <w:r>
              <w:rPr>
                <w:noProof/>
                <w:webHidden/>
              </w:rPr>
              <w:fldChar w:fldCharType="end"/>
            </w:r>
          </w:hyperlink>
        </w:p>
        <w:p w14:paraId="2EFE8082" w14:textId="77777777" w:rsidR="00B27F0B" w:rsidRDefault="00B27F0B">
          <w:pPr>
            <w:pStyle w:val="TOC1"/>
            <w:rPr>
              <w:rFonts w:asciiTheme="minorHAnsi" w:hAnsiTheme="minorHAnsi" w:cstheme="minorBidi"/>
              <w:noProof/>
              <w:szCs w:val="24"/>
              <w:lang w:val="en-GB" w:eastAsia="en-GB"/>
            </w:rPr>
          </w:pPr>
          <w:hyperlink w:anchor="_Toc500319363" w:history="1">
            <w:r w:rsidRPr="00DB66A8">
              <w:rPr>
                <w:rStyle w:val="Hyperlink"/>
                <w:noProof/>
              </w:rPr>
              <w:t>Section A: Summary of the Introduction and Methodology</w:t>
            </w:r>
            <w:r>
              <w:rPr>
                <w:noProof/>
                <w:webHidden/>
              </w:rPr>
              <w:tab/>
            </w:r>
            <w:r>
              <w:rPr>
                <w:noProof/>
                <w:webHidden/>
              </w:rPr>
              <w:fldChar w:fldCharType="begin"/>
            </w:r>
            <w:r>
              <w:rPr>
                <w:noProof/>
                <w:webHidden/>
              </w:rPr>
              <w:instrText xml:space="preserve"> PAGEREF _Toc500319363 \h </w:instrText>
            </w:r>
            <w:r>
              <w:rPr>
                <w:noProof/>
                <w:webHidden/>
              </w:rPr>
            </w:r>
            <w:r>
              <w:rPr>
                <w:noProof/>
                <w:webHidden/>
              </w:rPr>
              <w:fldChar w:fldCharType="separate"/>
            </w:r>
            <w:r>
              <w:rPr>
                <w:noProof/>
                <w:webHidden/>
              </w:rPr>
              <w:t>83</w:t>
            </w:r>
            <w:r>
              <w:rPr>
                <w:noProof/>
                <w:webHidden/>
              </w:rPr>
              <w:fldChar w:fldCharType="end"/>
            </w:r>
          </w:hyperlink>
        </w:p>
        <w:p w14:paraId="7494D36A" w14:textId="77777777" w:rsidR="00B27F0B" w:rsidRDefault="00B27F0B">
          <w:pPr>
            <w:pStyle w:val="TOC1"/>
            <w:rPr>
              <w:rFonts w:asciiTheme="minorHAnsi" w:hAnsiTheme="minorHAnsi" w:cstheme="minorBidi"/>
              <w:noProof/>
              <w:szCs w:val="24"/>
              <w:lang w:val="en-GB" w:eastAsia="en-GB"/>
            </w:rPr>
          </w:pPr>
          <w:hyperlink w:anchor="_Toc500319364" w:history="1">
            <w:r w:rsidRPr="00DB66A8">
              <w:rPr>
                <w:rStyle w:val="Hyperlink"/>
                <w:noProof/>
              </w:rPr>
              <w:t>Section B: Intervention Phase: Development, Implementation, and Evaluation</w:t>
            </w:r>
            <w:r>
              <w:rPr>
                <w:noProof/>
                <w:webHidden/>
              </w:rPr>
              <w:tab/>
            </w:r>
            <w:r>
              <w:rPr>
                <w:noProof/>
                <w:webHidden/>
              </w:rPr>
              <w:fldChar w:fldCharType="begin"/>
            </w:r>
            <w:r>
              <w:rPr>
                <w:noProof/>
                <w:webHidden/>
              </w:rPr>
              <w:instrText xml:space="preserve"> PAGEREF _Toc500319364 \h </w:instrText>
            </w:r>
            <w:r>
              <w:rPr>
                <w:noProof/>
                <w:webHidden/>
              </w:rPr>
            </w:r>
            <w:r>
              <w:rPr>
                <w:noProof/>
                <w:webHidden/>
              </w:rPr>
              <w:fldChar w:fldCharType="separate"/>
            </w:r>
            <w:r>
              <w:rPr>
                <w:noProof/>
                <w:webHidden/>
              </w:rPr>
              <w:t>84</w:t>
            </w:r>
            <w:r>
              <w:rPr>
                <w:noProof/>
                <w:webHidden/>
              </w:rPr>
              <w:fldChar w:fldCharType="end"/>
            </w:r>
          </w:hyperlink>
        </w:p>
        <w:p w14:paraId="0C7F81B2" w14:textId="77777777" w:rsidR="00B27F0B" w:rsidRDefault="00B27F0B">
          <w:pPr>
            <w:pStyle w:val="TOC1"/>
            <w:rPr>
              <w:rFonts w:asciiTheme="minorHAnsi" w:hAnsiTheme="minorHAnsi" w:cstheme="minorBidi"/>
              <w:noProof/>
              <w:szCs w:val="24"/>
              <w:lang w:val="en-GB" w:eastAsia="en-GB"/>
            </w:rPr>
          </w:pPr>
          <w:hyperlink w:anchor="_Toc500319365" w:history="1">
            <w:r w:rsidRPr="00DB66A8">
              <w:rPr>
                <w:rStyle w:val="Hyperlink"/>
                <w:noProof/>
              </w:rPr>
              <w:t>Chapter B1: Development of the SRL Feedback (SRLF) Model and Faculty Development Intervention</w:t>
            </w:r>
            <w:r>
              <w:rPr>
                <w:noProof/>
                <w:webHidden/>
              </w:rPr>
              <w:tab/>
            </w:r>
            <w:r>
              <w:rPr>
                <w:noProof/>
                <w:webHidden/>
              </w:rPr>
              <w:fldChar w:fldCharType="begin"/>
            </w:r>
            <w:r>
              <w:rPr>
                <w:noProof/>
                <w:webHidden/>
              </w:rPr>
              <w:instrText xml:space="preserve"> PAGEREF _Toc500319365 \h </w:instrText>
            </w:r>
            <w:r>
              <w:rPr>
                <w:noProof/>
                <w:webHidden/>
              </w:rPr>
            </w:r>
            <w:r>
              <w:rPr>
                <w:noProof/>
                <w:webHidden/>
              </w:rPr>
              <w:fldChar w:fldCharType="separate"/>
            </w:r>
            <w:r>
              <w:rPr>
                <w:noProof/>
                <w:webHidden/>
              </w:rPr>
              <w:t>86</w:t>
            </w:r>
            <w:r>
              <w:rPr>
                <w:noProof/>
                <w:webHidden/>
              </w:rPr>
              <w:fldChar w:fldCharType="end"/>
            </w:r>
          </w:hyperlink>
        </w:p>
        <w:p w14:paraId="129F4AA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66" w:history="1">
            <w:r w:rsidRPr="00DB66A8">
              <w:rPr>
                <w:rStyle w:val="Hyperlink"/>
                <w:noProof/>
                <w:lang w:val="en-GB" w:bidi="hi-IN"/>
              </w:rPr>
              <w:t>B1.1 The SRL Microanalysis Protocol</w:t>
            </w:r>
            <w:r>
              <w:rPr>
                <w:noProof/>
                <w:webHidden/>
              </w:rPr>
              <w:tab/>
            </w:r>
            <w:r>
              <w:rPr>
                <w:noProof/>
                <w:webHidden/>
              </w:rPr>
              <w:fldChar w:fldCharType="begin"/>
            </w:r>
            <w:r>
              <w:rPr>
                <w:noProof/>
                <w:webHidden/>
              </w:rPr>
              <w:instrText xml:space="preserve"> PAGEREF _Toc500319366 \h </w:instrText>
            </w:r>
            <w:r>
              <w:rPr>
                <w:noProof/>
                <w:webHidden/>
              </w:rPr>
            </w:r>
            <w:r>
              <w:rPr>
                <w:noProof/>
                <w:webHidden/>
              </w:rPr>
              <w:fldChar w:fldCharType="separate"/>
            </w:r>
            <w:r>
              <w:rPr>
                <w:noProof/>
                <w:webHidden/>
              </w:rPr>
              <w:t>91</w:t>
            </w:r>
            <w:r>
              <w:rPr>
                <w:noProof/>
                <w:webHidden/>
              </w:rPr>
              <w:fldChar w:fldCharType="end"/>
            </w:r>
          </w:hyperlink>
        </w:p>
        <w:p w14:paraId="03FEC87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67" w:history="1">
            <w:r w:rsidRPr="00DB66A8">
              <w:rPr>
                <w:rStyle w:val="Hyperlink"/>
                <w:noProof/>
                <w:shd w:val="clear" w:color="auto" w:fill="FFFFFF"/>
                <w:lang w:bidi="hi-IN"/>
              </w:rPr>
              <w:t>B1.1.1 Self-efficacy</w:t>
            </w:r>
            <w:r>
              <w:rPr>
                <w:noProof/>
                <w:webHidden/>
              </w:rPr>
              <w:tab/>
            </w:r>
            <w:r>
              <w:rPr>
                <w:noProof/>
                <w:webHidden/>
              </w:rPr>
              <w:fldChar w:fldCharType="begin"/>
            </w:r>
            <w:r>
              <w:rPr>
                <w:noProof/>
                <w:webHidden/>
              </w:rPr>
              <w:instrText xml:space="preserve"> PAGEREF _Toc500319367 \h </w:instrText>
            </w:r>
            <w:r>
              <w:rPr>
                <w:noProof/>
                <w:webHidden/>
              </w:rPr>
            </w:r>
            <w:r>
              <w:rPr>
                <w:noProof/>
                <w:webHidden/>
              </w:rPr>
              <w:fldChar w:fldCharType="separate"/>
            </w:r>
            <w:r>
              <w:rPr>
                <w:noProof/>
                <w:webHidden/>
              </w:rPr>
              <w:t>92</w:t>
            </w:r>
            <w:r>
              <w:rPr>
                <w:noProof/>
                <w:webHidden/>
              </w:rPr>
              <w:fldChar w:fldCharType="end"/>
            </w:r>
          </w:hyperlink>
        </w:p>
        <w:p w14:paraId="605D9675"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68" w:history="1">
            <w:r w:rsidRPr="00DB66A8">
              <w:rPr>
                <w:rStyle w:val="Hyperlink"/>
                <w:noProof/>
                <w:shd w:val="clear" w:color="auto" w:fill="FFFFFF"/>
                <w:lang w:bidi="hi-IN"/>
              </w:rPr>
              <w:t>B1.1.2 Situational Awareness</w:t>
            </w:r>
            <w:r>
              <w:rPr>
                <w:noProof/>
                <w:webHidden/>
              </w:rPr>
              <w:tab/>
            </w:r>
            <w:r>
              <w:rPr>
                <w:noProof/>
                <w:webHidden/>
              </w:rPr>
              <w:fldChar w:fldCharType="begin"/>
            </w:r>
            <w:r>
              <w:rPr>
                <w:noProof/>
                <w:webHidden/>
              </w:rPr>
              <w:instrText xml:space="preserve"> PAGEREF _Toc500319368 \h </w:instrText>
            </w:r>
            <w:r>
              <w:rPr>
                <w:noProof/>
                <w:webHidden/>
              </w:rPr>
            </w:r>
            <w:r>
              <w:rPr>
                <w:noProof/>
                <w:webHidden/>
              </w:rPr>
              <w:fldChar w:fldCharType="separate"/>
            </w:r>
            <w:r>
              <w:rPr>
                <w:noProof/>
                <w:webHidden/>
              </w:rPr>
              <w:t>92</w:t>
            </w:r>
            <w:r>
              <w:rPr>
                <w:noProof/>
                <w:webHidden/>
              </w:rPr>
              <w:fldChar w:fldCharType="end"/>
            </w:r>
          </w:hyperlink>
        </w:p>
        <w:p w14:paraId="0161F1C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69" w:history="1">
            <w:r w:rsidRPr="00DB66A8">
              <w:rPr>
                <w:rStyle w:val="Hyperlink"/>
                <w:noProof/>
                <w:shd w:val="clear" w:color="auto" w:fill="FFFFFF"/>
                <w:lang w:bidi="hi-IN"/>
              </w:rPr>
              <w:t>B1.1.3 Strategic Planning</w:t>
            </w:r>
            <w:r>
              <w:rPr>
                <w:noProof/>
                <w:webHidden/>
              </w:rPr>
              <w:tab/>
            </w:r>
            <w:r>
              <w:rPr>
                <w:noProof/>
                <w:webHidden/>
              </w:rPr>
              <w:fldChar w:fldCharType="begin"/>
            </w:r>
            <w:r>
              <w:rPr>
                <w:noProof/>
                <w:webHidden/>
              </w:rPr>
              <w:instrText xml:space="preserve"> PAGEREF _Toc500319369 \h </w:instrText>
            </w:r>
            <w:r>
              <w:rPr>
                <w:noProof/>
                <w:webHidden/>
              </w:rPr>
            </w:r>
            <w:r>
              <w:rPr>
                <w:noProof/>
                <w:webHidden/>
              </w:rPr>
              <w:fldChar w:fldCharType="separate"/>
            </w:r>
            <w:r>
              <w:rPr>
                <w:noProof/>
                <w:webHidden/>
              </w:rPr>
              <w:t>92</w:t>
            </w:r>
            <w:r>
              <w:rPr>
                <w:noProof/>
                <w:webHidden/>
              </w:rPr>
              <w:fldChar w:fldCharType="end"/>
            </w:r>
          </w:hyperlink>
        </w:p>
        <w:p w14:paraId="2586238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0" w:history="1">
            <w:r w:rsidRPr="00DB66A8">
              <w:rPr>
                <w:rStyle w:val="Hyperlink"/>
                <w:noProof/>
                <w:shd w:val="clear" w:color="auto" w:fill="FFFFFF"/>
                <w:lang w:bidi="hi-IN"/>
              </w:rPr>
              <w:t>B1.1.4 Goal Setting</w:t>
            </w:r>
            <w:r>
              <w:rPr>
                <w:noProof/>
                <w:webHidden/>
              </w:rPr>
              <w:tab/>
            </w:r>
            <w:r>
              <w:rPr>
                <w:noProof/>
                <w:webHidden/>
              </w:rPr>
              <w:fldChar w:fldCharType="begin"/>
            </w:r>
            <w:r>
              <w:rPr>
                <w:noProof/>
                <w:webHidden/>
              </w:rPr>
              <w:instrText xml:space="preserve"> PAGEREF _Toc500319370 \h </w:instrText>
            </w:r>
            <w:r>
              <w:rPr>
                <w:noProof/>
                <w:webHidden/>
              </w:rPr>
            </w:r>
            <w:r>
              <w:rPr>
                <w:noProof/>
                <w:webHidden/>
              </w:rPr>
              <w:fldChar w:fldCharType="separate"/>
            </w:r>
            <w:r>
              <w:rPr>
                <w:noProof/>
                <w:webHidden/>
              </w:rPr>
              <w:t>93</w:t>
            </w:r>
            <w:r>
              <w:rPr>
                <w:noProof/>
                <w:webHidden/>
              </w:rPr>
              <w:fldChar w:fldCharType="end"/>
            </w:r>
          </w:hyperlink>
        </w:p>
        <w:p w14:paraId="260D0A7F"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1" w:history="1">
            <w:r w:rsidRPr="00DB66A8">
              <w:rPr>
                <w:rStyle w:val="Hyperlink"/>
                <w:noProof/>
                <w:shd w:val="clear" w:color="auto" w:fill="FFFFFF"/>
                <w:lang w:bidi="hi-IN"/>
              </w:rPr>
              <w:t>B1.1.5 Metacognitive Monitoring</w:t>
            </w:r>
            <w:r>
              <w:rPr>
                <w:noProof/>
                <w:webHidden/>
              </w:rPr>
              <w:tab/>
            </w:r>
            <w:r>
              <w:rPr>
                <w:noProof/>
                <w:webHidden/>
              </w:rPr>
              <w:fldChar w:fldCharType="begin"/>
            </w:r>
            <w:r>
              <w:rPr>
                <w:noProof/>
                <w:webHidden/>
              </w:rPr>
              <w:instrText xml:space="preserve"> PAGEREF _Toc500319371 \h </w:instrText>
            </w:r>
            <w:r>
              <w:rPr>
                <w:noProof/>
                <w:webHidden/>
              </w:rPr>
            </w:r>
            <w:r>
              <w:rPr>
                <w:noProof/>
                <w:webHidden/>
              </w:rPr>
              <w:fldChar w:fldCharType="separate"/>
            </w:r>
            <w:r>
              <w:rPr>
                <w:noProof/>
                <w:webHidden/>
              </w:rPr>
              <w:t>93</w:t>
            </w:r>
            <w:r>
              <w:rPr>
                <w:noProof/>
                <w:webHidden/>
              </w:rPr>
              <w:fldChar w:fldCharType="end"/>
            </w:r>
          </w:hyperlink>
        </w:p>
        <w:p w14:paraId="5D58681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2" w:history="1">
            <w:r w:rsidRPr="00DB66A8">
              <w:rPr>
                <w:rStyle w:val="Hyperlink"/>
                <w:noProof/>
                <w:shd w:val="clear" w:color="auto" w:fill="FFFFFF"/>
                <w:lang w:bidi="hi-IN"/>
              </w:rPr>
              <w:t>B1.1.6 Adaptive Inferences</w:t>
            </w:r>
            <w:r>
              <w:rPr>
                <w:noProof/>
                <w:webHidden/>
              </w:rPr>
              <w:tab/>
            </w:r>
            <w:r>
              <w:rPr>
                <w:noProof/>
                <w:webHidden/>
              </w:rPr>
              <w:fldChar w:fldCharType="begin"/>
            </w:r>
            <w:r>
              <w:rPr>
                <w:noProof/>
                <w:webHidden/>
              </w:rPr>
              <w:instrText xml:space="preserve"> PAGEREF _Toc500319372 \h </w:instrText>
            </w:r>
            <w:r>
              <w:rPr>
                <w:noProof/>
                <w:webHidden/>
              </w:rPr>
            </w:r>
            <w:r>
              <w:rPr>
                <w:noProof/>
                <w:webHidden/>
              </w:rPr>
              <w:fldChar w:fldCharType="separate"/>
            </w:r>
            <w:r>
              <w:rPr>
                <w:noProof/>
                <w:webHidden/>
              </w:rPr>
              <w:t>93</w:t>
            </w:r>
            <w:r>
              <w:rPr>
                <w:noProof/>
                <w:webHidden/>
              </w:rPr>
              <w:fldChar w:fldCharType="end"/>
            </w:r>
          </w:hyperlink>
        </w:p>
        <w:p w14:paraId="239D1FA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3" w:history="1">
            <w:r w:rsidRPr="00DB66A8">
              <w:rPr>
                <w:rStyle w:val="Hyperlink"/>
                <w:noProof/>
                <w:shd w:val="clear" w:color="auto" w:fill="FFFFFF"/>
                <w:lang w:bidi="hi-IN"/>
              </w:rPr>
              <w:t>B1.1.7 Causal Attributions</w:t>
            </w:r>
            <w:r>
              <w:rPr>
                <w:noProof/>
                <w:webHidden/>
              </w:rPr>
              <w:tab/>
            </w:r>
            <w:r>
              <w:rPr>
                <w:noProof/>
                <w:webHidden/>
              </w:rPr>
              <w:fldChar w:fldCharType="begin"/>
            </w:r>
            <w:r>
              <w:rPr>
                <w:noProof/>
                <w:webHidden/>
              </w:rPr>
              <w:instrText xml:space="preserve"> PAGEREF _Toc500319373 \h </w:instrText>
            </w:r>
            <w:r>
              <w:rPr>
                <w:noProof/>
                <w:webHidden/>
              </w:rPr>
            </w:r>
            <w:r>
              <w:rPr>
                <w:noProof/>
                <w:webHidden/>
              </w:rPr>
              <w:fldChar w:fldCharType="separate"/>
            </w:r>
            <w:r>
              <w:rPr>
                <w:noProof/>
                <w:webHidden/>
              </w:rPr>
              <w:t>93</w:t>
            </w:r>
            <w:r>
              <w:rPr>
                <w:noProof/>
                <w:webHidden/>
              </w:rPr>
              <w:fldChar w:fldCharType="end"/>
            </w:r>
          </w:hyperlink>
        </w:p>
        <w:p w14:paraId="5DD4A9D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4" w:history="1">
            <w:r w:rsidRPr="00DB66A8">
              <w:rPr>
                <w:rStyle w:val="Hyperlink"/>
                <w:noProof/>
                <w:shd w:val="clear" w:color="auto" w:fill="FFFFFF"/>
                <w:lang w:bidi="hi-IN"/>
              </w:rPr>
              <w:t>B1.1.8 Validity and Reliability of SRL MA</w:t>
            </w:r>
            <w:r>
              <w:rPr>
                <w:noProof/>
                <w:webHidden/>
              </w:rPr>
              <w:tab/>
            </w:r>
            <w:r>
              <w:rPr>
                <w:noProof/>
                <w:webHidden/>
              </w:rPr>
              <w:fldChar w:fldCharType="begin"/>
            </w:r>
            <w:r>
              <w:rPr>
                <w:noProof/>
                <w:webHidden/>
              </w:rPr>
              <w:instrText xml:space="preserve"> PAGEREF _Toc500319374 \h </w:instrText>
            </w:r>
            <w:r>
              <w:rPr>
                <w:noProof/>
                <w:webHidden/>
              </w:rPr>
            </w:r>
            <w:r>
              <w:rPr>
                <w:noProof/>
                <w:webHidden/>
              </w:rPr>
              <w:fldChar w:fldCharType="separate"/>
            </w:r>
            <w:r>
              <w:rPr>
                <w:noProof/>
                <w:webHidden/>
              </w:rPr>
              <w:t>94</w:t>
            </w:r>
            <w:r>
              <w:rPr>
                <w:noProof/>
                <w:webHidden/>
              </w:rPr>
              <w:fldChar w:fldCharType="end"/>
            </w:r>
          </w:hyperlink>
        </w:p>
        <w:p w14:paraId="4284FC0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75" w:history="1">
            <w:r w:rsidRPr="00DB66A8">
              <w:rPr>
                <w:rStyle w:val="Hyperlink"/>
                <w:noProof/>
                <w:lang w:val="en-GB" w:bidi="hi-IN"/>
              </w:rPr>
              <w:t>B1.2 Access and Multimedia Training</w:t>
            </w:r>
            <w:r>
              <w:rPr>
                <w:noProof/>
                <w:webHidden/>
              </w:rPr>
              <w:tab/>
            </w:r>
            <w:r>
              <w:rPr>
                <w:noProof/>
                <w:webHidden/>
              </w:rPr>
              <w:fldChar w:fldCharType="begin"/>
            </w:r>
            <w:r>
              <w:rPr>
                <w:noProof/>
                <w:webHidden/>
              </w:rPr>
              <w:instrText xml:space="preserve"> PAGEREF _Toc500319375 \h </w:instrText>
            </w:r>
            <w:r>
              <w:rPr>
                <w:noProof/>
                <w:webHidden/>
              </w:rPr>
            </w:r>
            <w:r>
              <w:rPr>
                <w:noProof/>
                <w:webHidden/>
              </w:rPr>
              <w:fldChar w:fldCharType="separate"/>
            </w:r>
            <w:r>
              <w:rPr>
                <w:noProof/>
                <w:webHidden/>
              </w:rPr>
              <w:t>95</w:t>
            </w:r>
            <w:r>
              <w:rPr>
                <w:noProof/>
                <w:webHidden/>
              </w:rPr>
              <w:fldChar w:fldCharType="end"/>
            </w:r>
          </w:hyperlink>
        </w:p>
        <w:p w14:paraId="02C50DE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76" w:history="1">
            <w:r w:rsidRPr="00DB66A8">
              <w:rPr>
                <w:rStyle w:val="Hyperlink"/>
                <w:noProof/>
                <w:lang w:val="en-GB" w:bidi="hi-IN"/>
              </w:rPr>
              <w:t>B1.3 Clinical Skills</w:t>
            </w:r>
            <w:r>
              <w:rPr>
                <w:noProof/>
                <w:webHidden/>
              </w:rPr>
              <w:tab/>
            </w:r>
            <w:r>
              <w:rPr>
                <w:noProof/>
                <w:webHidden/>
              </w:rPr>
              <w:fldChar w:fldCharType="begin"/>
            </w:r>
            <w:r>
              <w:rPr>
                <w:noProof/>
                <w:webHidden/>
              </w:rPr>
              <w:instrText xml:space="preserve"> PAGEREF _Toc500319376 \h </w:instrText>
            </w:r>
            <w:r>
              <w:rPr>
                <w:noProof/>
                <w:webHidden/>
              </w:rPr>
            </w:r>
            <w:r>
              <w:rPr>
                <w:noProof/>
                <w:webHidden/>
              </w:rPr>
              <w:fldChar w:fldCharType="separate"/>
            </w:r>
            <w:r>
              <w:rPr>
                <w:noProof/>
                <w:webHidden/>
              </w:rPr>
              <w:t>96</w:t>
            </w:r>
            <w:r>
              <w:rPr>
                <w:noProof/>
                <w:webHidden/>
              </w:rPr>
              <w:fldChar w:fldCharType="end"/>
            </w:r>
          </w:hyperlink>
        </w:p>
        <w:p w14:paraId="5CB338B3"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77" w:history="1">
            <w:r w:rsidRPr="00DB66A8">
              <w:rPr>
                <w:rStyle w:val="Hyperlink"/>
                <w:noProof/>
                <w:lang w:val="en-GB" w:bidi="hi-IN"/>
              </w:rPr>
              <w:t>B1.4 Participants</w:t>
            </w:r>
            <w:r>
              <w:rPr>
                <w:noProof/>
                <w:webHidden/>
              </w:rPr>
              <w:tab/>
            </w:r>
            <w:r>
              <w:rPr>
                <w:noProof/>
                <w:webHidden/>
              </w:rPr>
              <w:fldChar w:fldCharType="begin"/>
            </w:r>
            <w:r>
              <w:rPr>
                <w:noProof/>
                <w:webHidden/>
              </w:rPr>
              <w:instrText xml:space="preserve"> PAGEREF _Toc500319377 \h </w:instrText>
            </w:r>
            <w:r>
              <w:rPr>
                <w:noProof/>
                <w:webHidden/>
              </w:rPr>
            </w:r>
            <w:r>
              <w:rPr>
                <w:noProof/>
                <w:webHidden/>
              </w:rPr>
              <w:fldChar w:fldCharType="separate"/>
            </w:r>
            <w:r>
              <w:rPr>
                <w:noProof/>
                <w:webHidden/>
              </w:rPr>
              <w:t>97</w:t>
            </w:r>
            <w:r>
              <w:rPr>
                <w:noProof/>
                <w:webHidden/>
              </w:rPr>
              <w:fldChar w:fldCharType="end"/>
            </w:r>
          </w:hyperlink>
        </w:p>
        <w:p w14:paraId="62930671"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8" w:history="1">
            <w:r w:rsidRPr="00DB66A8">
              <w:rPr>
                <w:rStyle w:val="Hyperlink"/>
                <w:noProof/>
                <w:lang w:bidi="hi-IN"/>
              </w:rPr>
              <w:t>B1.4.1 Teachers</w:t>
            </w:r>
            <w:r>
              <w:rPr>
                <w:noProof/>
                <w:webHidden/>
              </w:rPr>
              <w:tab/>
            </w:r>
            <w:r>
              <w:rPr>
                <w:noProof/>
                <w:webHidden/>
              </w:rPr>
              <w:fldChar w:fldCharType="begin"/>
            </w:r>
            <w:r>
              <w:rPr>
                <w:noProof/>
                <w:webHidden/>
              </w:rPr>
              <w:instrText xml:space="preserve"> PAGEREF _Toc500319378 \h </w:instrText>
            </w:r>
            <w:r>
              <w:rPr>
                <w:noProof/>
                <w:webHidden/>
              </w:rPr>
            </w:r>
            <w:r>
              <w:rPr>
                <w:noProof/>
                <w:webHidden/>
              </w:rPr>
              <w:fldChar w:fldCharType="separate"/>
            </w:r>
            <w:r>
              <w:rPr>
                <w:noProof/>
                <w:webHidden/>
              </w:rPr>
              <w:t>97</w:t>
            </w:r>
            <w:r>
              <w:rPr>
                <w:noProof/>
                <w:webHidden/>
              </w:rPr>
              <w:fldChar w:fldCharType="end"/>
            </w:r>
          </w:hyperlink>
        </w:p>
        <w:p w14:paraId="3D6AFE9C"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79" w:history="1">
            <w:r w:rsidRPr="00DB66A8">
              <w:rPr>
                <w:rStyle w:val="Hyperlink"/>
                <w:noProof/>
                <w:lang w:bidi="hi-IN"/>
              </w:rPr>
              <w:t>B1.4.2 Students</w:t>
            </w:r>
            <w:r>
              <w:rPr>
                <w:noProof/>
                <w:webHidden/>
              </w:rPr>
              <w:tab/>
            </w:r>
            <w:r>
              <w:rPr>
                <w:noProof/>
                <w:webHidden/>
              </w:rPr>
              <w:fldChar w:fldCharType="begin"/>
            </w:r>
            <w:r>
              <w:rPr>
                <w:noProof/>
                <w:webHidden/>
              </w:rPr>
              <w:instrText xml:space="preserve"> PAGEREF _Toc500319379 \h </w:instrText>
            </w:r>
            <w:r>
              <w:rPr>
                <w:noProof/>
                <w:webHidden/>
              </w:rPr>
            </w:r>
            <w:r>
              <w:rPr>
                <w:noProof/>
                <w:webHidden/>
              </w:rPr>
              <w:fldChar w:fldCharType="separate"/>
            </w:r>
            <w:r>
              <w:rPr>
                <w:noProof/>
                <w:webHidden/>
              </w:rPr>
              <w:t>97</w:t>
            </w:r>
            <w:r>
              <w:rPr>
                <w:noProof/>
                <w:webHidden/>
              </w:rPr>
              <w:fldChar w:fldCharType="end"/>
            </w:r>
          </w:hyperlink>
        </w:p>
        <w:p w14:paraId="4CB66D2E"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0" w:history="1">
            <w:r w:rsidRPr="00DB66A8">
              <w:rPr>
                <w:rStyle w:val="Hyperlink"/>
                <w:noProof/>
                <w:lang w:val="en-GB" w:bidi="hi-IN"/>
              </w:rPr>
              <w:t>B1.5 Faculty Development</w:t>
            </w:r>
            <w:r>
              <w:rPr>
                <w:noProof/>
                <w:webHidden/>
              </w:rPr>
              <w:tab/>
            </w:r>
            <w:r>
              <w:rPr>
                <w:noProof/>
                <w:webHidden/>
              </w:rPr>
              <w:fldChar w:fldCharType="begin"/>
            </w:r>
            <w:r>
              <w:rPr>
                <w:noProof/>
                <w:webHidden/>
              </w:rPr>
              <w:instrText xml:space="preserve"> PAGEREF _Toc500319380 \h </w:instrText>
            </w:r>
            <w:r>
              <w:rPr>
                <w:noProof/>
                <w:webHidden/>
              </w:rPr>
            </w:r>
            <w:r>
              <w:rPr>
                <w:noProof/>
                <w:webHidden/>
              </w:rPr>
              <w:fldChar w:fldCharType="separate"/>
            </w:r>
            <w:r>
              <w:rPr>
                <w:noProof/>
                <w:webHidden/>
              </w:rPr>
              <w:t>99</w:t>
            </w:r>
            <w:r>
              <w:rPr>
                <w:noProof/>
                <w:webHidden/>
              </w:rPr>
              <w:fldChar w:fldCharType="end"/>
            </w:r>
          </w:hyperlink>
        </w:p>
        <w:p w14:paraId="0D8754A2"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1" w:history="1">
            <w:r w:rsidRPr="00DB66A8">
              <w:rPr>
                <w:rStyle w:val="Hyperlink"/>
                <w:noProof/>
                <w:lang w:val="en-GB" w:bidi="hi-IN"/>
              </w:rPr>
              <w:t>B1.6 Procedure</w:t>
            </w:r>
            <w:r>
              <w:rPr>
                <w:noProof/>
                <w:webHidden/>
              </w:rPr>
              <w:tab/>
            </w:r>
            <w:r>
              <w:rPr>
                <w:noProof/>
                <w:webHidden/>
              </w:rPr>
              <w:fldChar w:fldCharType="begin"/>
            </w:r>
            <w:r>
              <w:rPr>
                <w:noProof/>
                <w:webHidden/>
              </w:rPr>
              <w:instrText xml:space="preserve"> PAGEREF _Toc500319381 \h </w:instrText>
            </w:r>
            <w:r>
              <w:rPr>
                <w:noProof/>
                <w:webHidden/>
              </w:rPr>
            </w:r>
            <w:r>
              <w:rPr>
                <w:noProof/>
                <w:webHidden/>
              </w:rPr>
              <w:fldChar w:fldCharType="separate"/>
            </w:r>
            <w:r>
              <w:rPr>
                <w:noProof/>
                <w:webHidden/>
              </w:rPr>
              <w:t>101</w:t>
            </w:r>
            <w:r>
              <w:rPr>
                <w:noProof/>
                <w:webHidden/>
              </w:rPr>
              <w:fldChar w:fldCharType="end"/>
            </w:r>
          </w:hyperlink>
        </w:p>
        <w:p w14:paraId="1BC672F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2" w:history="1">
            <w:r w:rsidRPr="00DB66A8">
              <w:rPr>
                <w:rStyle w:val="Hyperlink"/>
                <w:noProof/>
                <w:lang w:val="en-GB" w:bidi="hi-IN"/>
              </w:rPr>
              <w:t>B1.7 A Pilot Study In Simulated Clinical Skills Training</w:t>
            </w:r>
            <w:r>
              <w:rPr>
                <w:noProof/>
                <w:webHidden/>
              </w:rPr>
              <w:tab/>
            </w:r>
            <w:r>
              <w:rPr>
                <w:noProof/>
                <w:webHidden/>
              </w:rPr>
              <w:fldChar w:fldCharType="begin"/>
            </w:r>
            <w:r>
              <w:rPr>
                <w:noProof/>
                <w:webHidden/>
              </w:rPr>
              <w:instrText xml:space="preserve"> PAGEREF _Toc500319382 \h </w:instrText>
            </w:r>
            <w:r>
              <w:rPr>
                <w:noProof/>
                <w:webHidden/>
              </w:rPr>
            </w:r>
            <w:r>
              <w:rPr>
                <w:noProof/>
                <w:webHidden/>
              </w:rPr>
              <w:fldChar w:fldCharType="separate"/>
            </w:r>
            <w:r>
              <w:rPr>
                <w:noProof/>
                <w:webHidden/>
              </w:rPr>
              <w:t>102</w:t>
            </w:r>
            <w:r>
              <w:rPr>
                <w:noProof/>
                <w:webHidden/>
              </w:rPr>
              <w:fldChar w:fldCharType="end"/>
            </w:r>
          </w:hyperlink>
        </w:p>
        <w:p w14:paraId="273441D9" w14:textId="77777777" w:rsidR="00B27F0B" w:rsidRDefault="00B27F0B">
          <w:pPr>
            <w:pStyle w:val="TOC1"/>
            <w:rPr>
              <w:rFonts w:asciiTheme="minorHAnsi" w:hAnsiTheme="minorHAnsi" w:cstheme="minorBidi"/>
              <w:noProof/>
              <w:szCs w:val="24"/>
              <w:lang w:val="en-GB" w:eastAsia="en-GB"/>
            </w:rPr>
          </w:pPr>
          <w:hyperlink w:anchor="_Toc500319383" w:history="1">
            <w:r w:rsidRPr="00DB66A8">
              <w:rPr>
                <w:rStyle w:val="Hyperlink"/>
                <w:noProof/>
              </w:rPr>
              <w:t>Chapter B2: Effective feedback giving? The impact of a training intervention on experienced and novice teachers.</w:t>
            </w:r>
            <w:r>
              <w:rPr>
                <w:noProof/>
                <w:webHidden/>
              </w:rPr>
              <w:tab/>
            </w:r>
            <w:r>
              <w:rPr>
                <w:noProof/>
                <w:webHidden/>
              </w:rPr>
              <w:fldChar w:fldCharType="begin"/>
            </w:r>
            <w:r>
              <w:rPr>
                <w:noProof/>
                <w:webHidden/>
              </w:rPr>
              <w:instrText xml:space="preserve"> PAGEREF _Toc500319383 \h </w:instrText>
            </w:r>
            <w:r>
              <w:rPr>
                <w:noProof/>
                <w:webHidden/>
              </w:rPr>
            </w:r>
            <w:r>
              <w:rPr>
                <w:noProof/>
                <w:webHidden/>
              </w:rPr>
              <w:fldChar w:fldCharType="separate"/>
            </w:r>
            <w:r>
              <w:rPr>
                <w:noProof/>
                <w:webHidden/>
              </w:rPr>
              <w:t>105</w:t>
            </w:r>
            <w:r>
              <w:rPr>
                <w:noProof/>
                <w:webHidden/>
              </w:rPr>
              <w:fldChar w:fldCharType="end"/>
            </w:r>
          </w:hyperlink>
        </w:p>
        <w:p w14:paraId="1ACEE173"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4" w:history="1">
            <w:r w:rsidRPr="00DB66A8">
              <w:rPr>
                <w:rStyle w:val="Hyperlink"/>
                <w:noProof/>
                <w:lang w:val="en-GB" w:bidi="hi-IN"/>
              </w:rPr>
              <w:t>B2.1 Chapter context</w:t>
            </w:r>
            <w:r>
              <w:rPr>
                <w:noProof/>
                <w:webHidden/>
              </w:rPr>
              <w:tab/>
            </w:r>
            <w:r>
              <w:rPr>
                <w:noProof/>
                <w:webHidden/>
              </w:rPr>
              <w:fldChar w:fldCharType="begin"/>
            </w:r>
            <w:r>
              <w:rPr>
                <w:noProof/>
                <w:webHidden/>
              </w:rPr>
              <w:instrText xml:space="preserve"> PAGEREF _Toc500319384 \h </w:instrText>
            </w:r>
            <w:r>
              <w:rPr>
                <w:noProof/>
                <w:webHidden/>
              </w:rPr>
            </w:r>
            <w:r>
              <w:rPr>
                <w:noProof/>
                <w:webHidden/>
              </w:rPr>
              <w:fldChar w:fldCharType="separate"/>
            </w:r>
            <w:r>
              <w:rPr>
                <w:noProof/>
                <w:webHidden/>
              </w:rPr>
              <w:t>105</w:t>
            </w:r>
            <w:r>
              <w:rPr>
                <w:noProof/>
                <w:webHidden/>
              </w:rPr>
              <w:fldChar w:fldCharType="end"/>
            </w:r>
          </w:hyperlink>
        </w:p>
        <w:p w14:paraId="0DABB46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5" w:history="1">
            <w:r w:rsidRPr="00DB66A8">
              <w:rPr>
                <w:rStyle w:val="Hyperlink"/>
                <w:noProof/>
                <w:lang w:val="en-GB" w:bidi="hi-IN"/>
              </w:rPr>
              <w:t>B2.2 Methods</w:t>
            </w:r>
            <w:r>
              <w:rPr>
                <w:noProof/>
                <w:webHidden/>
              </w:rPr>
              <w:tab/>
            </w:r>
            <w:r>
              <w:rPr>
                <w:noProof/>
                <w:webHidden/>
              </w:rPr>
              <w:fldChar w:fldCharType="begin"/>
            </w:r>
            <w:r>
              <w:rPr>
                <w:noProof/>
                <w:webHidden/>
              </w:rPr>
              <w:instrText xml:space="preserve"> PAGEREF _Toc500319385 \h </w:instrText>
            </w:r>
            <w:r>
              <w:rPr>
                <w:noProof/>
                <w:webHidden/>
              </w:rPr>
            </w:r>
            <w:r>
              <w:rPr>
                <w:noProof/>
                <w:webHidden/>
              </w:rPr>
              <w:fldChar w:fldCharType="separate"/>
            </w:r>
            <w:r>
              <w:rPr>
                <w:noProof/>
                <w:webHidden/>
              </w:rPr>
              <w:t>107</w:t>
            </w:r>
            <w:r>
              <w:rPr>
                <w:noProof/>
                <w:webHidden/>
              </w:rPr>
              <w:fldChar w:fldCharType="end"/>
            </w:r>
          </w:hyperlink>
        </w:p>
        <w:p w14:paraId="0F355D31"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86" w:history="1">
            <w:r w:rsidRPr="00DB66A8">
              <w:rPr>
                <w:rStyle w:val="Hyperlink"/>
                <w:noProof/>
                <w:lang w:bidi="hi-IN"/>
              </w:rPr>
              <w:t>B2.2.1 Interview Procedure</w:t>
            </w:r>
            <w:r>
              <w:rPr>
                <w:noProof/>
                <w:webHidden/>
              </w:rPr>
              <w:tab/>
            </w:r>
            <w:r>
              <w:rPr>
                <w:noProof/>
                <w:webHidden/>
              </w:rPr>
              <w:fldChar w:fldCharType="begin"/>
            </w:r>
            <w:r>
              <w:rPr>
                <w:noProof/>
                <w:webHidden/>
              </w:rPr>
              <w:instrText xml:space="preserve"> PAGEREF _Toc500319386 \h </w:instrText>
            </w:r>
            <w:r>
              <w:rPr>
                <w:noProof/>
                <w:webHidden/>
              </w:rPr>
            </w:r>
            <w:r>
              <w:rPr>
                <w:noProof/>
                <w:webHidden/>
              </w:rPr>
              <w:fldChar w:fldCharType="separate"/>
            </w:r>
            <w:r>
              <w:rPr>
                <w:noProof/>
                <w:webHidden/>
              </w:rPr>
              <w:t>107</w:t>
            </w:r>
            <w:r>
              <w:rPr>
                <w:noProof/>
                <w:webHidden/>
              </w:rPr>
              <w:fldChar w:fldCharType="end"/>
            </w:r>
          </w:hyperlink>
        </w:p>
        <w:p w14:paraId="0D44DEFF"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87" w:history="1">
            <w:r w:rsidRPr="00DB66A8">
              <w:rPr>
                <w:rStyle w:val="Hyperlink"/>
                <w:noProof/>
                <w:lang w:bidi="hi-IN"/>
              </w:rPr>
              <w:t>B2.2.2 Analysis</w:t>
            </w:r>
            <w:r>
              <w:rPr>
                <w:noProof/>
                <w:webHidden/>
              </w:rPr>
              <w:tab/>
            </w:r>
            <w:r>
              <w:rPr>
                <w:noProof/>
                <w:webHidden/>
              </w:rPr>
              <w:fldChar w:fldCharType="begin"/>
            </w:r>
            <w:r>
              <w:rPr>
                <w:noProof/>
                <w:webHidden/>
              </w:rPr>
              <w:instrText xml:space="preserve"> PAGEREF _Toc500319387 \h </w:instrText>
            </w:r>
            <w:r>
              <w:rPr>
                <w:noProof/>
                <w:webHidden/>
              </w:rPr>
            </w:r>
            <w:r>
              <w:rPr>
                <w:noProof/>
                <w:webHidden/>
              </w:rPr>
              <w:fldChar w:fldCharType="separate"/>
            </w:r>
            <w:r>
              <w:rPr>
                <w:noProof/>
                <w:webHidden/>
              </w:rPr>
              <w:t>107</w:t>
            </w:r>
            <w:r>
              <w:rPr>
                <w:noProof/>
                <w:webHidden/>
              </w:rPr>
              <w:fldChar w:fldCharType="end"/>
            </w:r>
          </w:hyperlink>
        </w:p>
        <w:p w14:paraId="262B86F9"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88" w:history="1">
            <w:r w:rsidRPr="00DB66A8">
              <w:rPr>
                <w:rStyle w:val="Hyperlink"/>
                <w:noProof/>
                <w:lang w:val="en-GB" w:bidi="hi-IN"/>
              </w:rPr>
              <w:t>B2.3 Results</w:t>
            </w:r>
            <w:r>
              <w:rPr>
                <w:noProof/>
                <w:webHidden/>
              </w:rPr>
              <w:tab/>
            </w:r>
            <w:r>
              <w:rPr>
                <w:noProof/>
                <w:webHidden/>
              </w:rPr>
              <w:fldChar w:fldCharType="begin"/>
            </w:r>
            <w:r>
              <w:rPr>
                <w:noProof/>
                <w:webHidden/>
              </w:rPr>
              <w:instrText xml:space="preserve"> PAGEREF _Toc500319388 \h </w:instrText>
            </w:r>
            <w:r>
              <w:rPr>
                <w:noProof/>
                <w:webHidden/>
              </w:rPr>
            </w:r>
            <w:r>
              <w:rPr>
                <w:noProof/>
                <w:webHidden/>
              </w:rPr>
              <w:fldChar w:fldCharType="separate"/>
            </w:r>
            <w:r>
              <w:rPr>
                <w:noProof/>
                <w:webHidden/>
              </w:rPr>
              <w:t>109</w:t>
            </w:r>
            <w:r>
              <w:rPr>
                <w:noProof/>
                <w:webHidden/>
              </w:rPr>
              <w:fldChar w:fldCharType="end"/>
            </w:r>
          </w:hyperlink>
        </w:p>
        <w:p w14:paraId="6EE5C9F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89" w:history="1">
            <w:r w:rsidRPr="00DB66A8">
              <w:rPr>
                <w:rStyle w:val="Hyperlink"/>
                <w:noProof/>
                <w:lang w:bidi="hi-IN"/>
              </w:rPr>
              <w:t>B2.3.1 Conceptualisations Informing Practice</w:t>
            </w:r>
            <w:r>
              <w:rPr>
                <w:noProof/>
                <w:webHidden/>
              </w:rPr>
              <w:tab/>
            </w:r>
            <w:r>
              <w:rPr>
                <w:noProof/>
                <w:webHidden/>
              </w:rPr>
              <w:fldChar w:fldCharType="begin"/>
            </w:r>
            <w:r>
              <w:rPr>
                <w:noProof/>
                <w:webHidden/>
              </w:rPr>
              <w:instrText xml:space="preserve"> PAGEREF _Toc500319389 \h </w:instrText>
            </w:r>
            <w:r>
              <w:rPr>
                <w:noProof/>
                <w:webHidden/>
              </w:rPr>
            </w:r>
            <w:r>
              <w:rPr>
                <w:noProof/>
                <w:webHidden/>
              </w:rPr>
              <w:fldChar w:fldCharType="separate"/>
            </w:r>
            <w:r>
              <w:rPr>
                <w:noProof/>
                <w:webHidden/>
              </w:rPr>
              <w:t>110</w:t>
            </w:r>
            <w:r>
              <w:rPr>
                <w:noProof/>
                <w:webHidden/>
              </w:rPr>
              <w:fldChar w:fldCharType="end"/>
            </w:r>
          </w:hyperlink>
        </w:p>
        <w:p w14:paraId="0082A5FD"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0" w:history="1">
            <w:r w:rsidRPr="00DB66A8">
              <w:rPr>
                <w:rStyle w:val="Hyperlink"/>
                <w:noProof/>
                <w:lang w:bidi="hi-IN"/>
              </w:rPr>
              <w:t>B2.3.2 Factors Influencing the Feedback Encounter</w:t>
            </w:r>
            <w:r>
              <w:rPr>
                <w:noProof/>
                <w:webHidden/>
              </w:rPr>
              <w:tab/>
            </w:r>
            <w:r>
              <w:rPr>
                <w:noProof/>
                <w:webHidden/>
              </w:rPr>
              <w:fldChar w:fldCharType="begin"/>
            </w:r>
            <w:r>
              <w:rPr>
                <w:noProof/>
                <w:webHidden/>
              </w:rPr>
              <w:instrText xml:space="preserve"> PAGEREF _Toc500319390 \h </w:instrText>
            </w:r>
            <w:r>
              <w:rPr>
                <w:noProof/>
                <w:webHidden/>
              </w:rPr>
            </w:r>
            <w:r>
              <w:rPr>
                <w:noProof/>
                <w:webHidden/>
              </w:rPr>
              <w:fldChar w:fldCharType="separate"/>
            </w:r>
            <w:r>
              <w:rPr>
                <w:noProof/>
                <w:webHidden/>
              </w:rPr>
              <w:t>112</w:t>
            </w:r>
            <w:r>
              <w:rPr>
                <w:noProof/>
                <w:webHidden/>
              </w:rPr>
              <w:fldChar w:fldCharType="end"/>
            </w:r>
          </w:hyperlink>
        </w:p>
        <w:p w14:paraId="2F267B81"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1" w:history="1">
            <w:r w:rsidRPr="00DB66A8">
              <w:rPr>
                <w:rStyle w:val="Hyperlink"/>
                <w:noProof/>
                <w:lang w:bidi="hi-IN"/>
              </w:rPr>
              <w:t>B2.3.3 Dynamic adjustment and reflective change</w:t>
            </w:r>
            <w:r>
              <w:rPr>
                <w:noProof/>
                <w:webHidden/>
              </w:rPr>
              <w:tab/>
            </w:r>
            <w:r>
              <w:rPr>
                <w:noProof/>
                <w:webHidden/>
              </w:rPr>
              <w:fldChar w:fldCharType="begin"/>
            </w:r>
            <w:r>
              <w:rPr>
                <w:noProof/>
                <w:webHidden/>
              </w:rPr>
              <w:instrText xml:space="preserve"> PAGEREF _Toc500319391 \h </w:instrText>
            </w:r>
            <w:r>
              <w:rPr>
                <w:noProof/>
                <w:webHidden/>
              </w:rPr>
            </w:r>
            <w:r>
              <w:rPr>
                <w:noProof/>
                <w:webHidden/>
              </w:rPr>
              <w:fldChar w:fldCharType="separate"/>
            </w:r>
            <w:r>
              <w:rPr>
                <w:noProof/>
                <w:webHidden/>
              </w:rPr>
              <w:t>114</w:t>
            </w:r>
            <w:r>
              <w:rPr>
                <w:noProof/>
                <w:webHidden/>
              </w:rPr>
              <w:fldChar w:fldCharType="end"/>
            </w:r>
          </w:hyperlink>
        </w:p>
        <w:p w14:paraId="725CDE3A"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2" w:history="1">
            <w:r w:rsidRPr="00DB66A8">
              <w:rPr>
                <w:rStyle w:val="Hyperlink"/>
                <w:noProof/>
                <w:lang w:bidi="hi-IN"/>
              </w:rPr>
              <w:t>B2.3.4 Differences between Novice and Experienced Teachers</w:t>
            </w:r>
            <w:r>
              <w:rPr>
                <w:noProof/>
                <w:webHidden/>
              </w:rPr>
              <w:tab/>
            </w:r>
            <w:r>
              <w:rPr>
                <w:noProof/>
                <w:webHidden/>
              </w:rPr>
              <w:fldChar w:fldCharType="begin"/>
            </w:r>
            <w:r>
              <w:rPr>
                <w:noProof/>
                <w:webHidden/>
              </w:rPr>
              <w:instrText xml:space="preserve"> PAGEREF _Toc500319392 \h </w:instrText>
            </w:r>
            <w:r>
              <w:rPr>
                <w:noProof/>
                <w:webHidden/>
              </w:rPr>
            </w:r>
            <w:r>
              <w:rPr>
                <w:noProof/>
                <w:webHidden/>
              </w:rPr>
              <w:fldChar w:fldCharType="separate"/>
            </w:r>
            <w:r>
              <w:rPr>
                <w:noProof/>
                <w:webHidden/>
              </w:rPr>
              <w:t>116</w:t>
            </w:r>
            <w:r>
              <w:rPr>
                <w:noProof/>
                <w:webHidden/>
              </w:rPr>
              <w:fldChar w:fldCharType="end"/>
            </w:r>
          </w:hyperlink>
        </w:p>
        <w:p w14:paraId="6FC63EA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93" w:history="1">
            <w:r w:rsidRPr="00DB66A8">
              <w:rPr>
                <w:rStyle w:val="Hyperlink"/>
                <w:noProof/>
                <w:lang w:val="en-GB" w:bidi="hi-IN"/>
              </w:rPr>
              <w:t>B2.4 Chapter summary</w:t>
            </w:r>
            <w:r>
              <w:rPr>
                <w:noProof/>
                <w:webHidden/>
              </w:rPr>
              <w:tab/>
            </w:r>
            <w:r>
              <w:rPr>
                <w:noProof/>
                <w:webHidden/>
              </w:rPr>
              <w:fldChar w:fldCharType="begin"/>
            </w:r>
            <w:r>
              <w:rPr>
                <w:noProof/>
                <w:webHidden/>
              </w:rPr>
              <w:instrText xml:space="preserve"> PAGEREF _Toc500319393 \h </w:instrText>
            </w:r>
            <w:r>
              <w:rPr>
                <w:noProof/>
                <w:webHidden/>
              </w:rPr>
            </w:r>
            <w:r>
              <w:rPr>
                <w:noProof/>
                <w:webHidden/>
              </w:rPr>
              <w:fldChar w:fldCharType="separate"/>
            </w:r>
            <w:r>
              <w:rPr>
                <w:noProof/>
                <w:webHidden/>
              </w:rPr>
              <w:t>118</w:t>
            </w:r>
            <w:r>
              <w:rPr>
                <w:noProof/>
                <w:webHidden/>
              </w:rPr>
              <w:fldChar w:fldCharType="end"/>
            </w:r>
          </w:hyperlink>
        </w:p>
        <w:p w14:paraId="235EA4B3" w14:textId="77777777" w:rsidR="00B27F0B" w:rsidRDefault="00B27F0B">
          <w:pPr>
            <w:pStyle w:val="TOC1"/>
            <w:rPr>
              <w:rFonts w:asciiTheme="minorHAnsi" w:hAnsiTheme="minorHAnsi" w:cstheme="minorBidi"/>
              <w:noProof/>
              <w:szCs w:val="24"/>
              <w:lang w:val="en-GB" w:eastAsia="en-GB"/>
            </w:rPr>
          </w:pPr>
          <w:hyperlink w:anchor="_Toc500319394" w:history="1">
            <w:r w:rsidRPr="00DB66A8">
              <w:rPr>
                <w:rStyle w:val="Hyperlink"/>
                <w:noProof/>
              </w:rPr>
              <w:t>Chapter B3: The immediate and longer-term impact of SRLF and BPF on the SRL capacity and self-efficacy beliefs of medical undergraduates</w:t>
            </w:r>
            <w:r>
              <w:rPr>
                <w:noProof/>
                <w:webHidden/>
              </w:rPr>
              <w:tab/>
            </w:r>
            <w:r>
              <w:rPr>
                <w:noProof/>
                <w:webHidden/>
              </w:rPr>
              <w:fldChar w:fldCharType="begin"/>
            </w:r>
            <w:r>
              <w:rPr>
                <w:noProof/>
                <w:webHidden/>
              </w:rPr>
              <w:instrText xml:space="preserve"> PAGEREF _Toc500319394 \h </w:instrText>
            </w:r>
            <w:r>
              <w:rPr>
                <w:noProof/>
                <w:webHidden/>
              </w:rPr>
            </w:r>
            <w:r>
              <w:rPr>
                <w:noProof/>
                <w:webHidden/>
              </w:rPr>
              <w:fldChar w:fldCharType="separate"/>
            </w:r>
            <w:r>
              <w:rPr>
                <w:noProof/>
                <w:webHidden/>
              </w:rPr>
              <w:t>119</w:t>
            </w:r>
            <w:r>
              <w:rPr>
                <w:noProof/>
                <w:webHidden/>
              </w:rPr>
              <w:fldChar w:fldCharType="end"/>
            </w:r>
          </w:hyperlink>
        </w:p>
        <w:p w14:paraId="00E12FA3"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95" w:history="1">
            <w:r w:rsidRPr="00DB66A8">
              <w:rPr>
                <w:rStyle w:val="Hyperlink"/>
                <w:noProof/>
                <w:lang w:val="en-GB" w:bidi="hi-IN"/>
              </w:rPr>
              <w:t>B3.1 Chapter Context</w:t>
            </w:r>
            <w:r>
              <w:rPr>
                <w:noProof/>
                <w:webHidden/>
              </w:rPr>
              <w:tab/>
            </w:r>
            <w:r>
              <w:rPr>
                <w:noProof/>
                <w:webHidden/>
              </w:rPr>
              <w:fldChar w:fldCharType="begin"/>
            </w:r>
            <w:r>
              <w:rPr>
                <w:noProof/>
                <w:webHidden/>
              </w:rPr>
              <w:instrText xml:space="preserve"> PAGEREF _Toc500319395 \h </w:instrText>
            </w:r>
            <w:r>
              <w:rPr>
                <w:noProof/>
                <w:webHidden/>
              </w:rPr>
            </w:r>
            <w:r>
              <w:rPr>
                <w:noProof/>
                <w:webHidden/>
              </w:rPr>
              <w:fldChar w:fldCharType="separate"/>
            </w:r>
            <w:r>
              <w:rPr>
                <w:noProof/>
                <w:webHidden/>
              </w:rPr>
              <w:t>119</w:t>
            </w:r>
            <w:r>
              <w:rPr>
                <w:noProof/>
                <w:webHidden/>
              </w:rPr>
              <w:fldChar w:fldCharType="end"/>
            </w:r>
          </w:hyperlink>
        </w:p>
        <w:p w14:paraId="59ED341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396" w:history="1">
            <w:r w:rsidRPr="00DB66A8">
              <w:rPr>
                <w:rStyle w:val="Hyperlink"/>
                <w:noProof/>
                <w:lang w:val="en-GB" w:bidi="hi-IN"/>
              </w:rPr>
              <w:t>B3.2 Method</w:t>
            </w:r>
            <w:r>
              <w:rPr>
                <w:noProof/>
                <w:webHidden/>
              </w:rPr>
              <w:tab/>
            </w:r>
            <w:r>
              <w:rPr>
                <w:noProof/>
                <w:webHidden/>
              </w:rPr>
              <w:fldChar w:fldCharType="begin"/>
            </w:r>
            <w:r>
              <w:rPr>
                <w:noProof/>
                <w:webHidden/>
              </w:rPr>
              <w:instrText xml:space="preserve"> PAGEREF _Toc500319396 \h </w:instrText>
            </w:r>
            <w:r>
              <w:rPr>
                <w:noProof/>
                <w:webHidden/>
              </w:rPr>
            </w:r>
            <w:r>
              <w:rPr>
                <w:noProof/>
                <w:webHidden/>
              </w:rPr>
              <w:fldChar w:fldCharType="separate"/>
            </w:r>
            <w:r>
              <w:rPr>
                <w:noProof/>
                <w:webHidden/>
              </w:rPr>
              <w:t>120</w:t>
            </w:r>
            <w:r>
              <w:rPr>
                <w:noProof/>
                <w:webHidden/>
              </w:rPr>
              <w:fldChar w:fldCharType="end"/>
            </w:r>
          </w:hyperlink>
        </w:p>
        <w:p w14:paraId="7BF33E53"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7" w:history="1">
            <w:r w:rsidRPr="00DB66A8">
              <w:rPr>
                <w:rStyle w:val="Hyperlink"/>
                <w:noProof/>
                <w:lang w:bidi="hi-IN"/>
              </w:rPr>
              <w:t>B3.2.1 Measures</w:t>
            </w:r>
            <w:r>
              <w:rPr>
                <w:noProof/>
                <w:webHidden/>
              </w:rPr>
              <w:tab/>
            </w:r>
            <w:r>
              <w:rPr>
                <w:noProof/>
                <w:webHidden/>
              </w:rPr>
              <w:fldChar w:fldCharType="begin"/>
            </w:r>
            <w:r>
              <w:rPr>
                <w:noProof/>
                <w:webHidden/>
              </w:rPr>
              <w:instrText xml:space="preserve"> PAGEREF _Toc500319397 \h </w:instrText>
            </w:r>
            <w:r>
              <w:rPr>
                <w:noProof/>
                <w:webHidden/>
              </w:rPr>
            </w:r>
            <w:r>
              <w:rPr>
                <w:noProof/>
                <w:webHidden/>
              </w:rPr>
              <w:fldChar w:fldCharType="separate"/>
            </w:r>
            <w:r>
              <w:rPr>
                <w:noProof/>
                <w:webHidden/>
              </w:rPr>
              <w:t>120</w:t>
            </w:r>
            <w:r>
              <w:rPr>
                <w:noProof/>
                <w:webHidden/>
              </w:rPr>
              <w:fldChar w:fldCharType="end"/>
            </w:r>
          </w:hyperlink>
        </w:p>
        <w:p w14:paraId="3DAAECC4"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8" w:history="1">
            <w:r w:rsidRPr="00DB66A8">
              <w:rPr>
                <w:rStyle w:val="Hyperlink"/>
                <w:noProof/>
                <w:lang w:bidi="hi-IN"/>
              </w:rPr>
              <w:t>B3.2.2 Procedure</w:t>
            </w:r>
            <w:r>
              <w:rPr>
                <w:noProof/>
                <w:webHidden/>
              </w:rPr>
              <w:tab/>
            </w:r>
            <w:r>
              <w:rPr>
                <w:noProof/>
                <w:webHidden/>
              </w:rPr>
              <w:fldChar w:fldCharType="begin"/>
            </w:r>
            <w:r>
              <w:rPr>
                <w:noProof/>
                <w:webHidden/>
              </w:rPr>
              <w:instrText xml:space="preserve"> PAGEREF _Toc500319398 \h </w:instrText>
            </w:r>
            <w:r>
              <w:rPr>
                <w:noProof/>
                <w:webHidden/>
              </w:rPr>
            </w:r>
            <w:r>
              <w:rPr>
                <w:noProof/>
                <w:webHidden/>
              </w:rPr>
              <w:fldChar w:fldCharType="separate"/>
            </w:r>
            <w:r>
              <w:rPr>
                <w:noProof/>
                <w:webHidden/>
              </w:rPr>
              <w:t>120</w:t>
            </w:r>
            <w:r>
              <w:rPr>
                <w:noProof/>
                <w:webHidden/>
              </w:rPr>
              <w:fldChar w:fldCharType="end"/>
            </w:r>
          </w:hyperlink>
        </w:p>
        <w:p w14:paraId="6149E35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399" w:history="1">
            <w:r w:rsidRPr="00DB66A8">
              <w:rPr>
                <w:rStyle w:val="Hyperlink"/>
                <w:noProof/>
                <w:lang w:bidi="hi-IN"/>
              </w:rPr>
              <w:t>B3.2.3 Statistical Analysis</w:t>
            </w:r>
            <w:r>
              <w:rPr>
                <w:noProof/>
                <w:webHidden/>
              </w:rPr>
              <w:tab/>
            </w:r>
            <w:r>
              <w:rPr>
                <w:noProof/>
                <w:webHidden/>
              </w:rPr>
              <w:fldChar w:fldCharType="begin"/>
            </w:r>
            <w:r>
              <w:rPr>
                <w:noProof/>
                <w:webHidden/>
              </w:rPr>
              <w:instrText xml:space="preserve"> PAGEREF _Toc500319399 \h </w:instrText>
            </w:r>
            <w:r>
              <w:rPr>
                <w:noProof/>
                <w:webHidden/>
              </w:rPr>
            </w:r>
            <w:r>
              <w:rPr>
                <w:noProof/>
                <w:webHidden/>
              </w:rPr>
              <w:fldChar w:fldCharType="separate"/>
            </w:r>
            <w:r>
              <w:rPr>
                <w:noProof/>
                <w:webHidden/>
              </w:rPr>
              <w:t>121</w:t>
            </w:r>
            <w:r>
              <w:rPr>
                <w:noProof/>
                <w:webHidden/>
              </w:rPr>
              <w:fldChar w:fldCharType="end"/>
            </w:r>
          </w:hyperlink>
        </w:p>
        <w:p w14:paraId="6AA4173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00" w:history="1">
            <w:r w:rsidRPr="00DB66A8">
              <w:rPr>
                <w:rStyle w:val="Hyperlink"/>
                <w:noProof/>
                <w:lang w:val="en-GB" w:bidi="hi-IN"/>
              </w:rPr>
              <w:t>B3.3 Results</w:t>
            </w:r>
            <w:r>
              <w:rPr>
                <w:noProof/>
                <w:webHidden/>
              </w:rPr>
              <w:tab/>
            </w:r>
            <w:r>
              <w:rPr>
                <w:noProof/>
                <w:webHidden/>
              </w:rPr>
              <w:fldChar w:fldCharType="begin"/>
            </w:r>
            <w:r>
              <w:rPr>
                <w:noProof/>
                <w:webHidden/>
              </w:rPr>
              <w:instrText xml:space="preserve"> PAGEREF _Toc500319400 \h </w:instrText>
            </w:r>
            <w:r>
              <w:rPr>
                <w:noProof/>
                <w:webHidden/>
              </w:rPr>
            </w:r>
            <w:r>
              <w:rPr>
                <w:noProof/>
                <w:webHidden/>
              </w:rPr>
              <w:fldChar w:fldCharType="separate"/>
            </w:r>
            <w:r>
              <w:rPr>
                <w:noProof/>
                <w:webHidden/>
              </w:rPr>
              <w:t>122</w:t>
            </w:r>
            <w:r>
              <w:rPr>
                <w:noProof/>
                <w:webHidden/>
              </w:rPr>
              <w:fldChar w:fldCharType="end"/>
            </w:r>
          </w:hyperlink>
        </w:p>
        <w:p w14:paraId="341A735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01" w:history="1">
            <w:r w:rsidRPr="00DB66A8">
              <w:rPr>
                <w:rStyle w:val="Hyperlink"/>
                <w:noProof/>
                <w:lang w:val="en-GB" w:bidi="hi-IN"/>
              </w:rPr>
              <w:t>B3.4 Chapter summary</w:t>
            </w:r>
            <w:r>
              <w:rPr>
                <w:noProof/>
                <w:webHidden/>
              </w:rPr>
              <w:tab/>
            </w:r>
            <w:r>
              <w:rPr>
                <w:noProof/>
                <w:webHidden/>
              </w:rPr>
              <w:fldChar w:fldCharType="begin"/>
            </w:r>
            <w:r>
              <w:rPr>
                <w:noProof/>
                <w:webHidden/>
              </w:rPr>
              <w:instrText xml:space="preserve"> PAGEREF _Toc500319401 \h </w:instrText>
            </w:r>
            <w:r>
              <w:rPr>
                <w:noProof/>
                <w:webHidden/>
              </w:rPr>
            </w:r>
            <w:r>
              <w:rPr>
                <w:noProof/>
                <w:webHidden/>
              </w:rPr>
              <w:fldChar w:fldCharType="separate"/>
            </w:r>
            <w:r>
              <w:rPr>
                <w:noProof/>
                <w:webHidden/>
              </w:rPr>
              <w:t>127</w:t>
            </w:r>
            <w:r>
              <w:rPr>
                <w:noProof/>
                <w:webHidden/>
              </w:rPr>
              <w:fldChar w:fldCharType="end"/>
            </w:r>
          </w:hyperlink>
        </w:p>
        <w:p w14:paraId="75C6ACF6" w14:textId="77777777" w:rsidR="00B27F0B" w:rsidRDefault="00B27F0B">
          <w:pPr>
            <w:pStyle w:val="TOC1"/>
            <w:rPr>
              <w:rFonts w:asciiTheme="minorHAnsi" w:hAnsiTheme="minorHAnsi" w:cstheme="minorBidi"/>
              <w:noProof/>
              <w:szCs w:val="24"/>
              <w:lang w:val="en-GB" w:eastAsia="en-GB"/>
            </w:rPr>
          </w:pPr>
          <w:hyperlink w:anchor="_Toc500319402" w:history="1">
            <w:r w:rsidRPr="00DB66A8">
              <w:rPr>
                <w:rStyle w:val="Hyperlink"/>
                <w:noProof/>
              </w:rPr>
              <w:t>Section B: Summary of the Intervention Phase: Development, Implementation, and Evaluation</w:t>
            </w:r>
            <w:r>
              <w:rPr>
                <w:noProof/>
                <w:webHidden/>
              </w:rPr>
              <w:tab/>
            </w:r>
            <w:r>
              <w:rPr>
                <w:noProof/>
                <w:webHidden/>
              </w:rPr>
              <w:fldChar w:fldCharType="begin"/>
            </w:r>
            <w:r>
              <w:rPr>
                <w:noProof/>
                <w:webHidden/>
              </w:rPr>
              <w:instrText xml:space="preserve"> PAGEREF _Toc500319402 \h </w:instrText>
            </w:r>
            <w:r>
              <w:rPr>
                <w:noProof/>
                <w:webHidden/>
              </w:rPr>
            </w:r>
            <w:r>
              <w:rPr>
                <w:noProof/>
                <w:webHidden/>
              </w:rPr>
              <w:fldChar w:fldCharType="separate"/>
            </w:r>
            <w:r>
              <w:rPr>
                <w:noProof/>
                <w:webHidden/>
              </w:rPr>
              <w:t>128</w:t>
            </w:r>
            <w:r>
              <w:rPr>
                <w:noProof/>
                <w:webHidden/>
              </w:rPr>
              <w:fldChar w:fldCharType="end"/>
            </w:r>
          </w:hyperlink>
        </w:p>
        <w:p w14:paraId="61E63E98" w14:textId="77777777" w:rsidR="00B27F0B" w:rsidRDefault="00B27F0B">
          <w:pPr>
            <w:pStyle w:val="TOC1"/>
            <w:rPr>
              <w:rFonts w:asciiTheme="minorHAnsi" w:hAnsiTheme="minorHAnsi" w:cstheme="minorBidi"/>
              <w:noProof/>
              <w:szCs w:val="24"/>
              <w:lang w:val="en-GB" w:eastAsia="en-GB"/>
            </w:rPr>
          </w:pPr>
          <w:hyperlink w:anchor="_Toc500319403" w:history="1">
            <w:r w:rsidRPr="00DB66A8">
              <w:rPr>
                <w:rStyle w:val="Hyperlink"/>
                <w:noProof/>
              </w:rPr>
              <w:t>Section C: Follow-up Evaluation Phase</w:t>
            </w:r>
            <w:r>
              <w:rPr>
                <w:noProof/>
                <w:webHidden/>
              </w:rPr>
              <w:tab/>
            </w:r>
            <w:r>
              <w:rPr>
                <w:noProof/>
                <w:webHidden/>
              </w:rPr>
              <w:fldChar w:fldCharType="begin"/>
            </w:r>
            <w:r>
              <w:rPr>
                <w:noProof/>
                <w:webHidden/>
              </w:rPr>
              <w:instrText xml:space="preserve"> PAGEREF _Toc500319403 \h </w:instrText>
            </w:r>
            <w:r>
              <w:rPr>
                <w:noProof/>
                <w:webHidden/>
              </w:rPr>
            </w:r>
            <w:r>
              <w:rPr>
                <w:noProof/>
                <w:webHidden/>
              </w:rPr>
              <w:fldChar w:fldCharType="separate"/>
            </w:r>
            <w:r>
              <w:rPr>
                <w:noProof/>
                <w:webHidden/>
              </w:rPr>
              <w:t>129</w:t>
            </w:r>
            <w:r>
              <w:rPr>
                <w:noProof/>
                <w:webHidden/>
              </w:rPr>
              <w:fldChar w:fldCharType="end"/>
            </w:r>
          </w:hyperlink>
        </w:p>
        <w:p w14:paraId="58FC3658" w14:textId="77777777" w:rsidR="00B27F0B" w:rsidRDefault="00B27F0B">
          <w:pPr>
            <w:pStyle w:val="TOC1"/>
            <w:rPr>
              <w:rFonts w:asciiTheme="minorHAnsi" w:hAnsiTheme="minorHAnsi" w:cstheme="minorBidi"/>
              <w:noProof/>
              <w:szCs w:val="24"/>
              <w:lang w:val="en-GB" w:eastAsia="en-GB"/>
            </w:rPr>
          </w:pPr>
          <w:hyperlink w:anchor="_Toc500319404" w:history="1">
            <w:r w:rsidRPr="00DB66A8">
              <w:rPr>
                <w:rStyle w:val="Hyperlink"/>
                <w:noProof/>
              </w:rPr>
              <w:t>Chapter C1: Validation of the Short Self-Regulation Questionnaire (SSRQ).</w:t>
            </w:r>
            <w:r>
              <w:rPr>
                <w:noProof/>
                <w:webHidden/>
              </w:rPr>
              <w:tab/>
            </w:r>
            <w:r>
              <w:rPr>
                <w:noProof/>
                <w:webHidden/>
              </w:rPr>
              <w:fldChar w:fldCharType="begin"/>
            </w:r>
            <w:r>
              <w:rPr>
                <w:noProof/>
                <w:webHidden/>
              </w:rPr>
              <w:instrText xml:space="preserve"> PAGEREF _Toc500319404 \h </w:instrText>
            </w:r>
            <w:r>
              <w:rPr>
                <w:noProof/>
                <w:webHidden/>
              </w:rPr>
            </w:r>
            <w:r>
              <w:rPr>
                <w:noProof/>
                <w:webHidden/>
              </w:rPr>
              <w:fldChar w:fldCharType="separate"/>
            </w:r>
            <w:r>
              <w:rPr>
                <w:noProof/>
                <w:webHidden/>
              </w:rPr>
              <w:t>130</w:t>
            </w:r>
            <w:r>
              <w:rPr>
                <w:noProof/>
                <w:webHidden/>
              </w:rPr>
              <w:fldChar w:fldCharType="end"/>
            </w:r>
          </w:hyperlink>
        </w:p>
        <w:p w14:paraId="5EBDA1B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05" w:history="1">
            <w:r w:rsidRPr="00DB66A8">
              <w:rPr>
                <w:rStyle w:val="Hyperlink"/>
                <w:noProof/>
                <w:lang w:val="en-GB" w:bidi="hi-IN"/>
              </w:rPr>
              <w:t>C1.1 Chapter Context</w:t>
            </w:r>
            <w:r>
              <w:rPr>
                <w:noProof/>
                <w:webHidden/>
              </w:rPr>
              <w:tab/>
            </w:r>
            <w:r>
              <w:rPr>
                <w:noProof/>
                <w:webHidden/>
              </w:rPr>
              <w:fldChar w:fldCharType="begin"/>
            </w:r>
            <w:r>
              <w:rPr>
                <w:noProof/>
                <w:webHidden/>
              </w:rPr>
              <w:instrText xml:space="preserve"> PAGEREF _Toc500319405 \h </w:instrText>
            </w:r>
            <w:r>
              <w:rPr>
                <w:noProof/>
                <w:webHidden/>
              </w:rPr>
            </w:r>
            <w:r>
              <w:rPr>
                <w:noProof/>
                <w:webHidden/>
              </w:rPr>
              <w:fldChar w:fldCharType="separate"/>
            </w:r>
            <w:r>
              <w:rPr>
                <w:noProof/>
                <w:webHidden/>
              </w:rPr>
              <w:t>130</w:t>
            </w:r>
            <w:r>
              <w:rPr>
                <w:noProof/>
                <w:webHidden/>
              </w:rPr>
              <w:fldChar w:fldCharType="end"/>
            </w:r>
          </w:hyperlink>
        </w:p>
        <w:p w14:paraId="2BF2AC59"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06" w:history="1">
            <w:r w:rsidRPr="00DB66A8">
              <w:rPr>
                <w:rStyle w:val="Hyperlink"/>
                <w:noProof/>
                <w:lang w:val="en-GB" w:bidi="hi-IN"/>
              </w:rPr>
              <w:t>C1.2 Ethical Approval</w:t>
            </w:r>
            <w:r>
              <w:rPr>
                <w:noProof/>
                <w:webHidden/>
              </w:rPr>
              <w:tab/>
            </w:r>
            <w:r>
              <w:rPr>
                <w:noProof/>
                <w:webHidden/>
              </w:rPr>
              <w:fldChar w:fldCharType="begin"/>
            </w:r>
            <w:r>
              <w:rPr>
                <w:noProof/>
                <w:webHidden/>
              </w:rPr>
              <w:instrText xml:space="preserve"> PAGEREF _Toc500319406 \h </w:instrText>
            </w:r>
            <w:r>
              <w:rPr>
                <w:noProof/>
                <w:webHidden/>
              </w:rPr>
            </w:r>
            <w:r>
              <w:rPr>
                <w:noProof/>
                <w:webHidden/>
              </w:rPr>
              <w:fldChar w:fldCharType="separate"/>
            </w:r>
            <w:r>
              <w:rPr>
                <w:noProof/>
                <w:webHidden/>
              </w:rPr>
              <w:t>132</w:t>
            </w:r>
            <w:r>
              <w:rPr>
                <w:noProof/>
                <w:webHidden/>
              </w:rPr>
              <w:fldChar w:fldCharType="end"/>
            </w:r>
          </w:hyperlink>
        </w:p>
        <w:p w14:paraId="17CAA043"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07" w:history="1">
            <w:r w:rsidRPr="00DB66A8">
              <w:rPr>
                <w:rStyle w:val="Hyperlink"/>
                <w:noProof/>
                <w:lang w:val="en-GB" w:bidi="hi-IN"/>
              </w:rPr>
              <w:t>C1.3 Method</w:t>
            </w:r>
            <w:r>
              <w:rPr>
                <w:noProof/>
                <w:webHidden/>
              </w:rPr>
              <w:tab/>
            </w:r>
            <w:r>
              <w:rPr>
                <w:noProof/>
                <w:webHidden/>
              </w:rPr>
              <w:fldChar w:fldCharType="begin"/>
            </w:r>
            <w:r>
              <w:rPr>
                <w:noProof/>
                <w:webHidden/>
              </w:rPr>
              <w:instrText xml:space="preserve"> PAGEREF _Toc500319407 \h </w:instrText>
            </w:r>
            <w:r>
              <w:rPr>
                <w:noProof/>
                <w:webHidden/>
              </w:rPr>
            </w:r>
            <w:r>
              <w:rPr>
                <w:noProof/>
                <w:webHidden/>
              </w:rPr>
              <w:fldChar w:fldCharType="separate"/>
            </w:r>
            <w:r>
              <w:rPr>
                <w:noProof/>
                <w:webHidden/>
              </w:rPr>
              <w:t>132</w:t>
            </w:r>
            <w:r>
              <w:rPr>
                <w:noProof/>
                <w:webHidden/>
              </w:rPr>
              <w:fldChar w:fldCharType="end"/>
            </w:r>
          </w:hyperlink>
        </w:p>
        <w:p w14:paraId="5372DA3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08" w:history="1">
            <w:r w:rsidRPr="00DB66A8">
              <w:rPr>
                <w:rStyle w:val="Hyperlink"/>
                <w:noProof/>
                <w:lang w:bidi="hi-IN"/>
              </w:rPr>
              <w:t>C1.3.1 Measures</w:t>
            </w:r>
            <w:r>
              <w:rPr>
                <w:noProof/>
                <w:webHidden/>
              </w:rPr>
              <w:tab/>
            </w:r>
            <w:r>
              <w:rPr>
                <w:noProof/>
                <w:webHidden/>
              </w:rPr>
              <w:fldChar w:fldCharType="begin"/>
            </w:r>
            <w:r>
              <w:rPr>
                <w:noProof/>
                <w:webHidden/>
              </w:rPr>
              <w:instrText xml:space="preserve"> PAGEREF _Toc500319408 \h </w:instrText>
            </w:r>
            <w:r>
              <w:rPr>
                <w:noProof/>
                <w:webHidden/>
              </w:rPr>
            </w:r>
            <w:r>
              <w:rPr>
                <w:noProof/>
                <w:webHidden/>
              </w:rPr>
              <w:fldChar w:fldCharType="separate"/>
            </w:r>
            <w:r>
              <w:rPr>
                <w:noProof/>
                <w:webHidden/>
              </w:rPr>
              <w:t>132</w:t>
            </w:r>
            <w:r>
              <w:rPr>
                <w:noProof/>
                <w:webHidden/>
              </w:rPr>
              <w:fldChar w:fldCharType="end"/>
            </w:r>
          </w:hyperlink>
        </w:p>
        <w:p w14:paraId="782A72CD"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09" w:history="1">
            <w:r w:rsidRPr="00DB66A8">
              <w:rPr>
                <w:rStyle w:val="Hyperlink"/>
                <w:noProof/>
                <w:lang w:bidi="hi-IN"/>
              </w:rPr>
              <w:t>C1.3.2 Participants and Procedure</w:t>
            </w:r>
            <w:r>
              <w:rPr>
                <w:noProof/>
                <w:webHidden/>
              </w:rPr>
              <w:tab/>
            </w:r>
            <w:r>
              <w:rPr>
                <w:noProof/>
                <w:webHidden/>
              </w:rPr>
              <w:fldChar w:fldCharType="begin"/>
            </w:r>
            <w:r>
              <w:rPr>
                <w:noProof/>
                <w:webHidden/>
              </w:rPr>
              <w:instrText xml:space="preserve"> PAGEREF _Toc500319409 \h </w:instrText>
            </w:r>
            <w:r>
              <w:rPr>
                <w:noProof/>
                <w:webHidden/>
              </w:rPr>
            </w:r>
            <w:r>
              <w:rPr>
                <w:noProof/>
                <w:webHidden/>
              </w:rPr>
              <w:fldChar w:fldCharType="separate"/>
            </w:r>
            <w:r>
              <w:rPr>
                <w:noProof/>
                <w:webHidden/>
              </w:rPr>
              <w:t>132</w:t>
            </w:r>
            <w:r>
              <w:rPr>
                <w:noProof/>
                <w:webHidden/>
              </w:rPr>
              <w:fldChar w:fldCharType="end"/>
            </w:r>
          </w:hyperlink>
        </w:p>
        <w:p w14:paraId="0F83283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10" w:history="1">
            <w:r w:rsidRPr="00DB66A8">
              <w:rPr>
                <w:rStyle w:val="Hyperlink"/>
                <w:noProof/>
                <w:lang w:bidi="hi-IN"/>
              </w:rPr>
              <w:t>C1.3.3 Statistical Analyses</w:t>
            </w:r>
            <w:r>
              <w:rPr>
                <w:noProof/>
                <w:webHidden/>
              </w:rPr>
              <w:tab/>
            </w:r>
            <w:r>
              <w:rPr>
                <w:noProof/>
                <w:webHidden/>
              </w:rPr>
              <w:fldChar w:fldCharType="begin"/>
            </w:r>
            <w:r>
              <w:rPr>
                <w:noProof/>
                <w:webHidden/>
              </w:rPr>
              <w:instrText xml:space="preserve"> PAGEREF _Toc500319410 \h </w:instrText>
            </w:r>
            <w:r>
              <w:rPr>
                <w:noProof/>
                <w:webHidden/>
              </w:rPr>
            </w:r>
            <w:r>
              <w:rPr>
                <w:noProof/>
                <w:webHidden/>
              </w:rPr>
              <w:fldChar w:fldCharType="separate"/>
            </w:r>
            <w:r>
              <w:rPr>
                <w:noProof/>
                <w:webHidden/>
              </w:rPr>
              <w:t>132</w:t>
            </w:r>
            <w:r>
              <w:rPr>
                <w:noProof/>
                <w:webHidden/>
              </w:rPr>
              <w:fldChar w:fldCharType="end"/>
            </w:r>
          </w:hyperlink>
        </w:p>
        <w:p w14:paraId="35AACF0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11" w:history="1">
            <w:r w:rsidRPr="00DB66A8">
              <w:rPr>
                <w:rStyle w:val="Hyperlink"/>
                <w:noProof/>
                <w:lang w:val="en-GB" w:bidi="hi-IN"/>
              </w:rPr>
              <w:t>C1.4 Results</w:t>
            </w:r>
            <w:r>
              <w:rPr>
                <w:noProof/>
                <w:webHidden/>
              </w:rPr>
              <w:tab/>
            </w:r>
            <w:r>
              <w:rPr>
                <w:noProof/>
                <w:webHidden/>
              </w:rPr>
              <w:fldChar w:fldCharType="begin"/>
            </w:r>
            <w:r>
              <w:rPr>
                <w:noProof/>
                <w:webHidden/>
              </w:rPr>
              <w:instrText xml:space="preserve"> PAGEREF _Toc500319411 \h </w:instrText>
            </w:r>
            <w:r>
              <w:rPr>
                <w:noProof/>
                <w:webHidden/>
              </w:rPr>
            </w:r>
            <w:r>
              <w:rPr>
                <w:noProof/>
                <w:webHidden/>
              </w:rPr>
              <w:fldChar w:fldCharType="separate"/>
            </w:r>
            <w:r>
              <w:rPr>
                <w:noProof/>
                <w:webHidden/>
              </w:rPr>
              <w:t>133</w:t>
            </w:r>
            <w:r>
              <w:rPr>
                <w:noProof/>
                <w:webHidden/>
              </w:rPr>
              <w:fldChar w:fldCharType="end"/>
            </w:r>
          </w:hyperlink>
        </w:p>
        <w:p w14:paraId="74D4FB7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12" w:history="1">
            <w:r w:rsidRPr="00DB66A8">
              <w:rPr>
                <w:rStyle w:val="Hyperlink"/>
                <w:noProof/>
                <w:lang w:val="en-GB" w:bidi="hi-IN"/>
              </w:rPr>
              <w:t>C1.5 Chapter Summary</w:t>
            </w:r>
            <w:r>
              <w:rPr>
                <w:noProof/>
                <w:webHidden/>
              </w:rPr>
              <w:tab/>
            </w:r>
            <w:r>
              <w:rPr>
                <w:noProof/>
                <w:webHidden/>
              </w:rPr>
              <w:fldChar w:fldCharType="begin"/>
            </w:r>
            <w:r>
              <w:rPr>
                <w:noProof/>
                <w:webHidden/>
              </w:rPr>
              <w:instrText xml:space="preserve"> PAGEREF _Toc500319412 \h </w:instrText>
            </w:r>
            <w:r>
              <w:rPr>
                <w:noProof/>
                <w:webHidden/>
              </w:rPr>
            </w:r>
            <w:r>
              <w:rPr>
                <w:noProof/>
                <w:webHidden/>
              </w:rPr>
              <w:fldChar w:fldCharType="separate"/>
            </w:r>
            <w:r>
              <w:rPr>
                <w:noProof/>
                <w:webHidden/>
              </w:rPr>
              <w:t>137</w:t>
            </w:r>
            <w:r>
              <w:rPr>
                <w:noProof/>
                <w:webHidden/>
              </w:rPr>
              <w:fldChar w:fldCharType="end"/>
            </w:r>
          </w:hyperlink>
        </w:p>
        <w:p w14:paraId="29C0A9E0" w14:textId="77777777" w:rsidR="00B27F0B" w:rsidRDefault="00B27F0B">
          <w:pPr>
            <w:pStyle w:val="TOC1"/>
            <w:rPr>
              <w:rFonts w:asciiTheme="minorHAnsi" w:hAnsiTheme="minorHAnsi" w:cstheme="minorBidi"/>
              <w:noProof/>
              <w:szCs w:val="24"/>
              <w:lang w:val="en-GB" w:eastAsia="en-GB"/>
            </w:rPr>
          </w:pPr>
          <w:hyperlink w:anchor="_Toc500319413" w:history="1">
            <w:r w:rsidRPr="00DB66A8">
              <w:rPr>
                <w:rStyle w:val="Hyperlink"/>
                <w:noProof/>
              </w:rPr>
              <w:t>Chapter C2: Student Focus Groups and Interviews</w:t>
            </w:r>
            <w:r>
              <w:rPr>
                <w:noProof/>
                <w:webHidden/>
              </w:rPr>
              <w:tab/>
            </w:r>
            <w:r>
              <w:rPr>
                <w:noProof/>
                <w:webHidden/>
              </w:rPr>
              <w:fldChar w:fldCharType="begin"/>
            </w:r>
            <w:r>
              <w:rPr>
                <w:noProof/>
                <w:webHidden/>
              </w:rPr>
              <w:instrText xml:space="preserve"> PAGEREF _Toc500319413 \h </w:instrText>
            </w:r>
            <w:r>
              <w:rPr>
                <w:noProof/>
                <w:webHidden/>
              </w:rPr>
            </w:r>
            <w:r>
              <w:rPr>
                <w:noProof/>
                <w:webHidden/>
              </w:rPr>
              <w:fldChar w:fldCharType="separate"/>
            </w:r>
            <w:r>
              <w:rPr>
                <w:noProof/>
                <w:webHidden/>
              </w:rPr>
              <w:t>138</w:t>
            </w:r>
            <w:r>
              <w:rPr>
                <w:noProof/>
                <w:webHidden/>
              </w:rPr>
              <w:fldChar w:fldCharType="end"/>
            </w:r>
          </w:hyperlink>
        </w:p>
        <w:p w14:paraId="5F41CA85"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14" w:history="1">
            <w:r w:rsidRPr="00DB66A8">
              <w:rPr>
                <w:rStyle w:val="Hyperlink"/>
                <w:noProof/>
                <w:lang w:val="en-GB" w:bidi="hi-IN"/>
              </w:rPr>
              <w:t>C2.1 Chapter Context</w:t>
            </w:r>
            <w:r>
              <w:rPr>
                <w:noProof/>
                <w:webHidden/>
              </w:rPr>
              <w:tab/>
            </w:r>
            <w:r>
              <w:rPr>
                <w:noProof/>
                <w:webHidden/>
              </w:rPr>
              <w:fldChar w:fldCharType="begin"/>
            </w:r>
            <w:r>
              <w:rPr>
                <w:noProof/>
                <w:webHidden/>
              </w:rPr>
              <w:instrText xml:space="preserve"> PAGEREF _Toc500319414 \h </w:instrText>
            </w:r>
            <w:r>
              <w:rPr>
                <w:noProof/>
                <w:webHidden/>
              </w:rPr>
            </w:r>
            <w:r>
              <w:rPr>
                <w:noProof/>
                <w:webHidden/>
              </w:rPr>
              <w:fldChar w:fldCharType="separate"/>
            </w:r>
            <w:r>
              <w:rPr>
                <w:noProof/>
                <w:webHidden/>
              </w:rPr>
              <w:t>138</w:t>
            </w:r>
            <w:r>
              <w:rPr>
                <w:noProof/>
                <w:webHidden/>
              </w:rPr>
              <w:fldChar w:fldCharType="end"/>
            </w:r>
          </w:hyperlink>
        </w:p>
        <w:p w14:paraId="7A03297A"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15" w:history="1">
            <w:r w:rsidRPr="00DB66A8">
              <w:rPr>
                <w:rStyle w:val="Hyperlink"/>
                <w:noProof/>
                <w:lang w:val="en-GB" w:bidi="hi-IN"/>
              </w:rPr>
              <w:t>C.2.2 Methods</w:t>
            </w:r>
            <w:r>
              <w:rPr>
                <w:noProof/>
                <w:webHidden/>
              </w:rPr>
              <w:tab/>
            </w:r>
            <w:r>
              <w:rPr>
                <w:noProof/>
                <w:webHidden/>
              </w:rPr>
              <w:fldChar w:fldCharType="begin"/>
            </w:r>
            <w:r>
              <w:rPr>
                <w:noProof/>
                <w:webHidden/>
              </w:rPr>
              <w:instrText xml:space="preserve"> PAGEREF _Toc500319415 \h </w:instrText>
            </w:r>
            <w:r>
              <w:rPr>
                <w:noProof/>
                <w:webHidden/>
              </w:rPr>
            </w:r>
            <w:r>
              <w:rPr>
                <w:noProof/>
                <w:webHidden/>
              </w:rPr>
              <w:fldChar w:fldCharType="separate"/>
            </w:r>
            <w:r>
              <w:rPr>
                <w:noProof/>
                <w:webHidden/>
              </w:rPr>
              <w:t>139</w:t>
            </w:r>
            <w:r>
              <w:rPr>
                <w:noProof/>
                <w:webHidden/>
              </w:rPr>
              <w:fldChar w:fldCharType="end"/>
            </w:r>
          </w:hyperlink>
        </w:p>
        <w:p w14:paraId="665B335D"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16" w:history="1">
            <w:r w:rsidRPr="00DB66A8">
              <w:rPr>
                <w:rStyle w:val="Hyperlink"/>
                <w:noProof/>
                <w:lang w:bidi="hi-IN"/>
              </w:rPr>
              <w:t>C2.2.1 Participants</w:t>
            </w:r>
            <w:r>
              <w:rPr>
                <w:noProof/>
                <w:webHidden/>
              </w:rPr>
              <w:tab/>
            </w:r>
            <w:r>
              <w:rPr>
                <w:noProof/>
                <w:webHidden/>
              </w:rPr>
              <w:fldChar w:fldCharType="begin"/>
            </w:r>
            <w:r>
              <w:rPr>
                <w:noProof/>
                <w:webHidden/>
              </w:rPr>
              <w:instrText xml:space="preserve"> PAGEREF _Toc500319416 \h </w:instrText>
            </w:r>
            <w:r>
              <w:rPr>
                <w:noProof/>
                <w:webHidden/>
              </w:rPr>
            </w:r>
            <w:r>
              <w:rPr>
                <w:noProof/>
                <w:webHidden/>
              </w:rPr>
              <w:fldChar w:fldCharType="separate"/>
            </w:r>
            <w:r>
              <w:rPr>
                <w:noProof/>
                <w:webHidden/>
              </w:rPr>
              <w:t>139</w:t>
            </w:r>
            <w:r>
              <w:rPr>
                <w:noProof/>
                <w:webHidden/>
              </w:rPr>
              <w:fldChar w:fldCharType="end"/>
            </w:r>
          </w:hyperlink>
        </w:p>
        <w:p w14:paraId="53CE7557"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17" w:history="1">
            <w:r w:rsidRPr="00DB66A8">
              <w:rPr>
                <w:rStyle w:val="Hyperlink"/>
                <w:noProof/>
                <w:lang w:bidi="hi-IN"/>
              </w:rPr>
              <w:t>C2.2.1 Procedure and materials</w:t>
            </w:r>
            <w:r>
              <w:rPr>
                <w:noProof/>
                <w:webHidden/>
              </w:rPr>
              <w:tab/>
            </w:r>
            <w:r>
              <w:rPr>
                <w:noProof/>
                <w:webHidden/>
              </w:rPr>
              <w:fldChar w:fldCharType="begin"/>
            </w:r>
            <w:r>
              <w:rPr>
                <w:noProof/>
                <w:webHidden/>
              </w:rPr>
              <w:instrText xml:space="preserve"> PAGEREF _Toc500319417 \h </w:instrText>
            </w:r>
            <w:r>
              <w:rPr>
                <w:noProof/>
                <w:webHidden/>
              </w:rPr>
            </w:r>
            <w:r>
              <w:rPr>
                <w:noProof/>
                <w:webHidden/>
              </w:rPr>
              <w:fldChar w:fldCharType="separate"/>
            </w:r>
            <w:r>
              <w:rPr>
                <w:noProof/>
                <w:webHidden/>
              </w:rPr>
              <w:t>139</w:t>
            </w:r>
            <w:r>
              <w:rPr>
                <w:noProof/>
                <w:webHidden/>
              </w:rPr>
              <w:fldChar w:fldCharType="end"/>
            </w:r>
          </w:hyperlink>
        </w:p>
        <w:p w14:paraId="32785C6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18" w:history="1">
            <w:r w:rsidRPr="00DB66A8">
              <w:rPr>
                <w:rStyle w:val="Hyperlink"/>
                <w:noProof/>
                <w:lang w:bidi="hi-IN"/>
              </w:rPr>
              <w:t>C2.2.2 Analysis</w:t>
            </w:r>
            <w:r>
              <w:rPr>
                <w:noProof/>
                <w:webHidden/>
              </w:rPr>
              <w:tab/>
            </w:r>
            <w:r>
              <w:rPr>
                <w:noProof/>
                <w:webHidden/>
              </w:rPr>
              <w:fldChar w:fldCharType="begin"/>
            </w:r>
            <w:r>
              <w:rPr>
                <w:noProof/>
                <w:webHidden/>
              </w:rPr>
              <w:instrText xml:space="preserve"> PAGEREF _Toc500319418 \h </w:instrText>
            </w:r>
            <w:r>
              <w:rPr>
                <w:noProof/>
                <w:webHidden/>
              </w:rPr>
            </w:r>
            <w:r>
              <w:rPr>
                <w:noProof/>
                <w:webHidden/>
              </w:rPr>
              <w:fldChar w:fldCharType="separate"/>
            </w:r>
            <w:r>
              <w:rPr>
                <w:noProof/>
                <w:webHidden/>
              </w:rPr>
              <w:t>143</w:t>
            </w:r>
            <w:r>
              <w:rPr>
                <w:noProof/>
                <w:webHidden/>
              </w:rPr>
              <w:fldChar w:fldCharType="end"/>
            </w:r>
          </w:hyperlink>
        </w:p>
        <w:p w14:paraId="4E7EA8E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19" w:history="1">
            <w:r w:rsidRPr="00DB66A8">
              <w:rPr>
                <w:rStyle w:val="Hyperlink"/>
                <w:noProof/>
                <w:lang w:val="en-GB" w:bidi="hi-IN"/>
              </w:rPr>
              <w:t>C2.3 Results</w:t>
            </w:r>
            <w:r>
              <w:rPr>
                <w:noProof/>
                <w:webHidden/>
              </w:rPr>
              <w:tab/>
            </w:r>
            <w:r>
              <w:rPr>
                <w:noProof/>
                <w:webHidden/>
              </w:rPr>
              <w:fldChar w:fldCharType="begin"/>
            </w:r>
            <w:r>
              <w:rPr>
                <w:noProof/>
                <w:webHidden/>
              </w:rPr>
              <w:instrText xml:space="preserve"> PAGEREF _Toc500319419 \h </w:instrText>
            </w:r>
            <w:r>
              <w:rPr>
                <w:noProof/>
                <w:webHidden/>
              </w:rPr>
            </w:r>
            <w:r>
              <w:rPr>
                <w:noProof/>
                <w:webHidden/>
              </w:rPr>
              <w:fldChar w:fldCharType="separate"/>
            </w:r>
            <w:r>
              <w:rPr>
                <w:noProof/>
                <w:webHidden/>
              </w:rPr>
              <w:t>145</w:t>
            </w:r>
            <w:r>
              <w:rPr>
                <w:noProof/>
                <w:webHidden/>
              </w:rPr>
              <w:fldChar w:fldCharType="end"/>
            </w:r>
          </w:hyperlink>
        </w:p>
        <w:p w14:paraId="6C235214"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20" w:history="1">
            <w:r w:rsidRPr="00DB66A8">
              <w:rPr>
                <w:rStyle w:val="Hyperlink"/>
                <w:noProof/>
                <w:lang w:bidi="hi-IN"/>
              </w:rPr>
              <w:t>C2.3.1 Contextual and cultural factors</w:t>
            </w:r>
            <w:r>
              <w:rPr>
                <w:noProof/>
                <w:webHidden/>
              </w:rPr>
              <w:tab/>
            </w:r>
            <w:r>
              <w:rPr>
                <w:noProof/>
                <w:webHidden/>
              </w:rPr>
              <w:fldChar w:fldCharType="begin"/>
            </w:r>
            <w:r>
              <w:rPr>
                <w:noProof/>
                <w:webHidden/>
              </w:rPr>
              <w:instrText xml:space="preserve"> PAGEREF _Toc500319420 \h </w:instrText>
            </w:r>
            <w:r>
              <w:rPr>
                <w:noProof/>
                <w:webHidden/>
              </w:rPr>
            </w:r>
            <w:r>
              <w:rPr>
                <w:noProof/>
                <w:webHidden/>
              </w:rPr>
              <w:fldChar w:fldCharType="separate"/>
            </w:r>
            <w:r>
              <w:rPr>
                <w:noProof/>
                <w:webHidden/>
              </w:rPr>
              <w:t>149</w:t>
            </w:r>
            <w:r>
              <w:rPr>
                <w:noProof/>
                <w:webHidden/>
              </w:rPr>
              <w:fldChar w:fldCharType="end"/>
            </w:r>
          </w:hyperlink>
        </w:p>
        <w:p w14:paraId="2210BC2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21" w:history="1">
            <w:r w:rsidRPr="00DB66A8">
              <w:rPr>
                <w:rStyle w:val="Hyperlink"/>
                <w:noProof/>
                <w:lang w:bidi="hi-IN"/>
              </w:rPr>
              <w:t>C2.3.2 Learning Behaviours</w:t>
            </w:r>
            <w:r>
              <w:rPr>
                <w:noProof/>
                <w:webHidden/>
              </w:rPr>
              <w:tab/>
            </w:r>
            <w:r>
              <w:rPr>
                <w:noProof/>
                <w:webHidden/>
              </w:rPr>
              <w:fldChar w:fldCharType="begin"/>
            </w:r>
            <w:r>
              <w:rPr>
                <w:noProof/>
                <w:webHidden/>
              </w:rPr>
              <w:instrText xml:space="preserve"> PAGEREF _Toc500319421 \h </w:instrText>
            </w:r>
            <w:r>
              <w:rPr>
                <w:noProof/>
                <w:webHidden/>
              </w:rPr>
            </w:r>
            <w:r>
              <w:rPr>
                <w:noProof/>
                <w:webHidden/>
              </w:rPr>
              <w:fldChar w:fldCharType="separate"/>
            </w:r>
            <w:r>
              <w:rPr>
                <w:noProof/>
                <w:webHidden/>
              </w:rPr>
              <w:t>155</w:t>
            </w:r>
            <w:r>
              <w:rPr>
                <w:noProof/>
                <w:webHidden/>
              </w:rPr>
              <w:fldChar w:fldCharType="end"/>
            </w:r>
          </w:hyperlink>
        </w:p>
        <w:p w14:paraId="770E295C"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22" w:history="1">
            <w:r w:rsidRPr="00DB66A8">
              <w:rPr>
                <w:rStyle w:val="Hyperlink"/>
                <w:noProof/>
                <w:lang w:bidi="hi-IN"/>
              </w:rPr>
              <w:t>C2.3.3 Feedback Behaviours</w:t>
            </w:r>
            <w:r>
              <w:rPr>
                <w:noProof/>
                <w:webHidden/>
              </w:rPr>
              <w:tab/>
            </w:r>
            <w:r>
              <w:rPr>
                <w:noProof/>
                <w:webHidden/>
              </w:rPr>
              <w:fldChar w:fldCharType="begin"/>
            </w:r>
            <w:r>
              <w:rPr>
                <w:noProof/>
                <w:webHidden/>
              </w:rPr>
              <w:instrText xml:space="preserve"> PAGEREF _Toc500319422 \h </w:instrText>
            </w:r>
            <w:r>
              <w:rPr>
                <w:noProof/>
                <w:webHidden/>
              </w:rPr>
            </w:r>
            <w:r>
              <w:rPr>
                <w:noProof/>
                <w:webHidden/>
              </w:rPr>
              <w:fldChar w:fldCharType="separate"/>
            </w:r>
            <w:r>
              <w:rPr>
                <w:noProof/>
                <w:webHidden/>
              </w:rPr>
              <w:t>163</w:t>
            </w:r>
            <w:r>
              <w:rPr>
                <w:noProof/>
                <w:webHidden/>
              </w:rPr>
              <w:fldChar w:fldCharType="end"/>
            </w:r>
          </w:hyperlink>
        </w:p>
        <w:p w14:paraId="7555936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23" w:history="1">
            <w:r w:rsidRPr="00DB66A8">
              <w:rPr>
                <w:rStyle w:val="Hyperlink"/>
                <w:noProof/>
                <w:lang w:val="en-GB" w:bidi="hi-IN"/>
              </w:rPr>
              <w:t>C2.4 Chapter summary</w:t>
            </w:r>
            <w:r>
              <w:rPr>
                <w:noProof/>
                <w:webHidden/>
              </w:rPr>
              <w:tab/>
            </w:r>
            <w:r>
              <w:rPr>
                <w:noProof/>
                <w:webHidden/>
              </w:rPr>
              <w:fldChar w:fldCharType="begin"/>
            </w:r>
            <w:r>
              <w:rPr>
                <w:noProof/>
                <w:webHidden/>
              </w:rPr>
              <w:instrText xml:space="preserve"> PAGEREF _Toc500319423 \h </w:instrText>
            </w:r>
            <w:r>
              <w:rPr>
                <w:noProof/>
                <w:webHidden/>
              </w:rPr>
            </w:r>
            <w:r>
              <w:rPr>
                <w:noProof/>
                <w:webHidden/>
              </w:rPr>
              <w:fldChar w:fldCharType="separate"/>
            </w:r>
            <w:r>
              <w:rPr>
                <w:noProof/>
                <w:webHidden/>
              </w:rPr>
              <w:t>170</w:t>
            </w:r>
            <w:r>
              <w:rPr>
                <w:noProof/>
                <w:webHidden/>
              </w:rPr>
              <w:fldChar w:fldCharType="end"/>
            </w:r>
          </w:hyperlink>
        </w:p>
        <w:p w14:paraId="6F0590BD" w14:textId="77777777" w:rsidR="00B27F0B" w:rsidRDefault="00B27F0B">
          <w:pPr>
            <w:pStyle w:val="TOC1"/>
            <w:rPr>
              <w:rFonts w:asciiTheme="minorHAnsi" w:hAnsiTheme="minorHAnsi" w:cstheme="minorBidi"/>
              <w:noProof/>
              <w:szCs w:val="24"/>
              <w:lang w:val="en-GB" w:eastAsia="en-GB"/>
            </w:rPr>
          </w:pPr>
          <w:hyperlink w:anchor="_Toc500319424" w:history="1">
            <w:r w:rsidRPr="00DB66A8">
              <w:rPr>
                <w:rStyle w:val="Hyperlink"/>
                <w:noProof/>
              </w:rPr>
              <w:t>Section C: Summary of the Follow-up Phase</w:t>
            </w:r>
            <w:r>
              <w:rPr>
                <w:noProof/>
                <w:webHidden/>
              </w:rPr>
              <w:tab/>
            </w:r>
            <w:r>
              <w:rPr>
                <w:noProof/>
                <w:webHidden/>
              </w:rPr>
              <w:fldChar w:fldCharType="begin"/>
            </w:r>
            <w:r>
              <w:rPr>
                <w:noProof/>
                <w:webHidden/>
              </w:rPr>
              <w:instrText xml:space="preserve"> PAGEREF _Toc500319424 \h </w:instrText>
            </w:r>
            <w:r>
              <w:rPr>
                <w:noProof/>
                <w:webHidden/>
              </w:rPr>
            </w:r>
            <w:r>
              <w:rPr>
                <w:noProof/>
                <w:webHidden/>
              </w:rPr>
              <w:fldChar w:fldCharType="separate"/>
            </w:r>
            <w:r>
              <w:rPr>
                <w:noProof/>
                <w:webHidden/>
              </w:rPr>
              <w:t>171</w:t>
            </w:r>
            <w:r>
              <w:rPr>
                <w:noProof/>
                <w:webHidden/>
              </w:rPr>
              <w:fldChar w:fldCharType="end"/>
            </w:r>
          </w:hyperlink>
        </w:p>
        <w:p w14:paraId="438EA243" w14:textId="77777777" w:rsidR="00B27F0B" w:rsidRDefault="00B27F0B">
          <w:pPr>
            <w:pStyle w:val="TOC1"/>
            <w:rPr>
              <w:rFonts w:asciiTheme="minorHAnsi" w:hAnsiTheme="minorHAnsi" w:cstheme="minorBidi"/>
              <w:noProof/>
              <w:szCs w:val="24"/>
              <w:lang w:val="en-GB" w:eastAsia="en-GB"/>
            </w:rPr>
          </w:pPr>
          <w:hyperlink w:anchor="_Toc500319425" w:history="1">
            <w:r w:rsidRPr="00DB66A8">
              <w:rPr>
                <w:rStyle w:val="Hyperlink"/>
                <w:noProof/>
              </w:rPr>
              <w:t>Section D: Discussion</w:t>
            </w:r>
            <w:r>
              <w:rPr>
                <w:noProof/>
                <w:webHidden/>
              </w:rPr>
              <w:tab/>
            </w:r>
            <w:r>
              <w:rPr>
                <w:noProof/>
                <w:webHidden/>
              </w:rPr>
              <w:fldChar w:fldCharType="begin"/>
            </w:r>
            <w:r>
              <w:rPr>
                <w:noProof/>
                <w:webHidden/>
              </w:rPr>
              <w:instrText xml:space="preserve"> PAGEREF _Toc500319425 \h </w:instrText>
            </w:r>
            <w:r>
              <w:rPr>
                <w:noProof/>
                <w:webHidden/>
              </w:rPr>
            </w:r>
            <w:r>
              <w:rPr>
                <w:noProof/>
                <w:webHidden/>
              </w:rPr>
              <w:fldChar w:fldCharType="separate"/>
            </w:r>
            <w:r>
              <w:rPr>
                <w:noProof/>
                <w:webHidden/>
              </w:rPr>
              <w:t>172</w:t>
            </w:r>
            <w:r>
              <w:rPr>
                <w:noProof/>
                <w:webHidden/>
              </w:rPr>
              <w:fldChar w:fldCharType="end"/>
            </w:r>
          </w:hyperlink>
        </w:p>
        <w:p w14:paraId="51F3CB11" w14:textId="77777777" w:rsidR="00B27F0B" w:rsidRDefault="00B27F0B">
          <w:pPr>
            <w:pStyle w:val="TOC1"/>
            <w:rPr>
              <w:rFonts w:asciiTheme="minorHAnsi" w:hAnsiTheme="minorHAnsi" w:cstheme="minorBidi"/>
              <w:noProof/>
              <w:szCs w:val="24"/>
              <w:lang w:val="en-GB" w:eastAsia="en-GB"/>
            </w:rPr>
          </w:pPr>
          <w:hyperlink w:anchor="_Toc500319426" w:history="1">
            <w:r w:rsidRPr="00DB66A8">
              <w:rPr>
                <w:rStyle w:val="Hyperlink"/>
                <w:noProof/>
              </w:rPr>
              <w:t>Chapter D1: Evaluation of the Research Methodology and Intervention</w:t>
            </w:r>
            <w:r>
              <w:rPr>
                <w:noProof/>
                <w:webHidden/>
              </w:rPr>
              <w:tab/>
            </w:r>
            <w:r>
              <w:rPr>
                <w:noProof/>
                <w:webHidden/>
              </w:rPr>
              <w:fldChar w:fldCharType="begin"/>
            </w:r>
            <w:r>
              <w:rPr>
                <w:noProof/>
                <w:webHidden/>
              </w:rPr>
              <w:instrText xml:space="preserve"> PAGEREF _Toc500319426 \h </w:instrText>
            </w:r>
            <w:r>
              <w:rPr>
                <w:noProof/>
                <w:webHidden/>
              </w:rPr>
            </w:r>
            <w:r>
              <w:rPr>
                <w:noProof/>
                <w:webHidden/>
              </w:rPr>
              <w:fldChar w:fldCharType="separate"/>
            </w:r>
            <w:r>
              <w:rPr>
                <w:noProof/>
                <w:webHidden/>
              </w:rPr>
              <w:t>173</w:t>
            </w:r>
            <w:r>
              <w:rPr>
                <w:noProof/>
                <w:webHidden/>
              </w:rPr>
              <w:fldChar w:fldCharType="end"/>
            </w:r>
          </w:hyperlink>
        </w:p>
        <w:p w14:paraId="10C2262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27" w:history="1">
            <w:r w:rsidRPr="00DB66A8">
              <w:rPr>
                <w:rStyle w:val="Hyperlink"/>
                <w:noProof/>
                <w:lang w:val="en-GB" w:bidi="hi-IN"/>
              </w:rPr>
              <w:t>D1.1 Evaluation of the Mixed Methodology</w:t>
            </w:r>
            <w:r>
              <w:rPr>
                <w:noProof/>
                <w:webHidden/>
              </w:rPr>
              <w:tab/>
            </w:r>
            <w:r>
              <w:rPr>
                <w:noProof/>
                <w:webHidden/>
              </w:rPr>
              <w:fldChar w:fldCharType="begin"/>
            </w:r>
            <w:r>
              <w:rPr>
                <w:noProof/>
                <w:webHidden/>
              </w:rPr>
              <w:instrText xml:space="preserve"> PAGEREF _Toc500319427 \h </w:instrText>
            </w:r>
            <w:r>
              <w:rPr>
                <w:noProof/>
                <w:webHidden/>
              </w:rPr>
            </w:r>
            <w:r>
              <w:rPr>
                <w:noProof/>
                <w:webHidden/>
              </w:rPr>
              <w:fldChar w:fldCharType="separate"/>
            </w:r>
            <w:r>
              <w:rPr>
                <w:noProof/>
                <w:webHidden/>
              </w:rPr>
              <w:t>174</w:t>
            </w:r>
            <w:r>
              <w:rPr>
                <w:noProof/>
                <w:webHidden/>
              </w:rPr>
              <w:fldChar w:fldCharType="end"/>
            </w:r>
          </w:hyperlink>
        </w:p>
        <w:p w14:paraId="033DFA3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28" w:history="1">
            <w:r w:rsidRPr="00DB66A8">
              <w:rPr>
                <w:rStyle w:val="Hyperlink"/>
                <w:noProof/>
                <w:lang w:bidi="hi-IN"/>
              </w:rPr>
              <w:t>D1.1.1 Quantitative Component</w:t>
            </w:r>
            <w:r>
              <w:rPr>
                <w:noProof/>
                <w:webHidden/>
              </w:rPr>
              <w:tab/>
            </w:r>
            <w:r>
              <w:rPr>
                <w:noProof/>
                <w:webHidden/>
              </w:rPr>
              <w:fldChar w:fldCharType="begin"/>
            </w:r>
            <w:r>
              <w:rPr>
                <w:noProof/>
                <w:webHidden/>
              </w:rPr>
              <w:instrText xml:space="preserve"> PAGEREF _Toc500319428 \h </w:instrText>
            </w:r>
            <w:r>
              <w:rPr>
                <w:noProof/>
                <w:webHidden/>
              </w:rPr>
            </w:r>
            <w:r>
              <w:rPr>
                <w:noProof/>
                <w:webHidden/>
              </w:rPr>
              <w:fldChar w:fldCharType="separate"/>
            </w:r>
            <w:r>
              <w:rPr>
                <w:noProof/>
                <w:webHidden/>
              </w:rPr>
              <w:t>175</w:t>
            </w:r>
            <w:r>
              <w:rPr>
                <w:noProof/>
                <w:webHidden/>
              </w:rPr>
              <w:fldChar w:fldCharType="end"/>
            </w:r>
          </w:hyperlink>
        </w:p>
        <w:p w14:paraId="7BB3C55F"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29" w:history="1">
            <w:r w:rsidRPr="00DB66A8">
              <w:rPr>
                <w:rStyle w:val="Hyperlink"/>
                <w:noProof/>
                <w:lang w:bidi="hi-IN"/>
              </w:rPr>
              <w:t>D1.1.2 Qualitative Component</w:t>
            </w:r>
            <w:r>
              <w:rPr>
                <w:noProof/>
                <w:webHidden/>
              </w:rPr>
              <w:tab/>
            </w:r>
            <w:r>
              <w:rPr>
                <w:noProof/>
                <w:webHidden/>
              </w:rPr>
              <w:fldChar w:fldCharType="begin"/>
            </w:r>
            <w:r>
              <w:rPr>
                <w:noProof/>
                <w:webHidden/>
              </w:rPr>
              <w:instrText xml:space="preserve"> PAGEREF _Toc500319429 \h </w:instrText>
            </w:r>
            <w:r>
              <w:rPr>
                <w:noProof/>
                <w:webHidden/>
              </w:rPr>
            </w:r>
            <w:r>
              <w:rPr>
                <w:noProof/>
                <w:webHidden/>
              </w:rPr>
              <w:fldChar w:fldCharType="separate"/>
            </w:r>
            <w:r>
              <w:rPr>
                <w:noProof/>
                <w:webHidden/>
              </w:rPr>
              <w:t>177</w:t>
            </w:r>
            <w:r>
              <w:rPr>
                <w:noProof/>
                <w:webHidden/>
              </w:rPr>
              <w:fldChar w:fldCharType="end"/>
            </w:r>
          </w:hyperlink>
        </w:p>
        <w:p w14:paraId="3AA7C7B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0" w:history="1">
            <w:r w:rsidRPr="00DB66A8">
              <w:rPr>
                <w:rStyle w:val="Hyperlink"/>
                <w:noProof/>
                <w:lang w:bidi="hi-IN"/>
              </w:rPr>
              <w:t>D1.1.3 Mixed Methods Component</w:t>
            </w:r>
            <w:r>
              <w:rPr>
                <w:noProof/>
                <w:webHidden/>
              </w:rPr>
              <w:tab/>
            </w:r>
            <w:r>
              <w:rPr>
                <w:noProof/>
                <w:webHidden/>
              </w:rPr>
              <w:fldChar w:fldCharType="begin"/>
            </w:r>
            <w:r>
              <w:rPr>
                <w:noProof/>
                <w:webHidden/>
              </w:rPr>
              <w:instrText xml:space="preserve"> PAGEREF _Toc500319430 \h </w:instrText>
            </w:r>
            <w:r>
              <w:rPr>
                <w:noProof/>
                <w:webHidden/>
              </w:rPr>
            </w:r>
            <w:r>
              <w:rPr>
                <w:noProof/>
                <w:webHidden/>
              </w:rPr>
              <w:fldChar w:fldCharType="separate"/>
            </w:r>
            <w:r>
              <w:rPr>
                <w:noProof/>
                <w:webHidden/>
              </w:rPr>
              <w:t>178</w:t>
            </w:r>
            <w:r>
              <w:rPr>
                <w:noProof/>
                <w:webHidden/>
              </w:rPr>
              <w:fldChar w:fldCharType="end"/>
            </w:r>
          </w:hyperlink>
        </w:p>
        <w:p w14:paraId="51A5D88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31" w:history="1">
            <w:r w:rsidRPr="00DB66A8">
              <w:rPr>
                <w:rStyle w:val="Hyperlink"/>
                <w:noProof/>
                <w:lang w:val="en-GB" w:bidi="hi-IN"/>
              </w:rPr>
              <w:t>D1.2 Process Evaluation of the Faculty Development Intervention</w:t>
            </w:r>
            <w:r>
              <w:rPr>
                <w:noProof/>
                <w:webHidden/>
              </w:rPr>
              <w:tab/>
            </w:r>
            <w:r>
              <w:rPr>
                <w:noProof/>
                <w:webHidden/>
              </w:rPr>
              <w:fldChar w:fldCharType="begin"/>
            </w:r>
            <w:r>
              <w:rPr>
                <w:noProof/>
                <w:webHidden/>
              </w:rPr>
              <w:instrText xml:space="preserve"> PAGEREF _Toc500319431 \h </w:instrText>
            </w:r>
            <w:r>
              <w:rPr>
                <w:noProof/>
                <w:webHidden/>
              </w:rPr>
            </w:r>
            <w:r>
              <w:rPr>
                <w:noProof/>
                <w:webHidden/>
              </w:rPr>
              <w:fldChar w:fldCharType="separate"/>
            </w:r>
            <w:r>
              <w:rPr>
                <w:noProof/>
                <w:webHidden/>
              </w:rPr>
              <w:t>179</w:t>
            </w:r>
            <w:r>
              <w:rPr>
                <w:noProof/>
                <w:webHidden/>
              </w:rPr>
              <w:fldChar w:fldCharType="end"/>
            </w:r>
          </w:hyperlink>
        </w:p>
        <w:p w14:paraId="626F8D9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2" w:history="1">
            <w:r w:rsidRPr="00DB66A8">
              <w:rPr>
                <w:rStyle w:val="Hyperlink"/>
                <w:noProof/>
                <w:lang w:bidi="hi-IN"/>
              </w:rPr>
              <w:t>D1.2.1 Implementation</w:t>
            </w:r>
            <w:r>
              <w:rPr>
                <w:noProof/>
                <w:webHidden/>
              </w:rPr>
              <w:tab/>
            </w:r>
            <w:r>
              <w:rPr>
                <w:noProof/>
                <w:webHidden/>
              </w:rPr>
              <w:fldChar w:fldCharType="begin"/>
            </w:r>
            <w:r>
              <w:rPr>
                <w:noProof/>
                <w:webHidden/>
              </w:rPr>
              <w:instrText xml:space="preserve"> PAGEREF _Toc500319432 \h </w:instrText>
            </w:r>
            <w:r>
              <w:rPr>
                <w:noProof/>
                <w:webHidden/>
              </w:rPr>
            </w:r>
            <w:r>
              <w:rPr>
                <w:noProof/>
                <w:webHidden/>
              </w:rPr>
              <w:fldChar w:fldCharType="separate"/>
            </w:r>
            <w:r>
              <w:rPr>
                <w:noProof/>
                <w:webHidden/>
              </w:rPr>
              <w:t>181</w:t>
            </w:r>
            <w:r>
              <w:rPr>
                <w:noProof/>
                <w:webHidden/>
              </w:rPr>
              <w:fldChar w:fldCharType="end"/>
            </w:r>
          </w:hyperlink>
        </w:p>
        <w:p w14:paraId="6C98246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3" w:history="1">
            <w:r w:rsidRPr="00DB66A8">
              <w:rPr>
                <w:rStyle w:val="Hyperlink"/>
                <w:noProof/>
                <w:lang w:bidi="hi-IN"/>
              </w:rPr>
              <w:t>D1.2.2 Mechanisms of Impact</w:t>
            </w:r>
            <w:r>
              <w:rPr>
                <w:noProof/>
                <w:webHidden/>
              </w:rPr>
              <w:tab/>
            </w:r>
            <w:r>
              <w:rPr>
                <w:noProof/>
                <w:webHidden/>
              </w:rPr>
              <w:fldChar w:fldCharType="begin"/>
            </w:r>
            <w:r>
              <w:rPr>
                <w:noProof/>
                <w:webHidden/>
              </w:rPr>
              <w:instrText xml:space="preserve"> PAGEREF _Toc500319433 \h </w:instrText>
            </w:r>
            <w:r>
              <w:rPr>
                <w:noProof/>
                <w:webHidden/>
              </w:rPr>
            </w:r>
            <w:r>
              <w:rPr>
                <w:noProof/>
                <w:webHidden/>
              </w:rPr>
              <w:fldChar w:fldCharType="separate"/>
            </w:r>
            <w:r>
              <w:rPr>
                <w:noProof/>
                <w:webHidden/>
              </w:rPr>
              <w:t>183</w:t>
            </w:r>
            <w:r>
              <w:rPr>
                <w:noProof/>
                <w:webHidden/>
              </w:rPr>
              <w:fldChar w:fldCharType="end"/>
            </w:r>
          </w:hyperlink>
        </w:p>
        <w:p w14:paraId="23B8C2D5"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4" w:history="1">
            <w:r w:rsidRPr="00DB66A8">
              <w:rPr>
                <w:rStyle w:val="Hyperlink"/>
                <w:noProof/>
                <w:lang w:bidi="hi-IN"/>
              </w:rPr>
              <w:t>D1.2.3 Context</w:t>
            </w:r>
            <w:r>
              <w:rPr>
                <w:noProof/>
                <w:webHidden/>
              </w:rPr>
              <w:tab/>
            </w:r>
            <w:r>
              <w:rPr>
                <w:noProof/>
                <w:webHidden/>
              </w:rPr>
              <w:fldChar w:fldCharType="begin"/>
            </w:r>
            <w:r>
              <w:rPr>
                <w:noProof/>
                <w:webHidden/>
              </w:rPr>
              <w:instrText xml:space="preserve"> PAGEREF _Toc500319434 \h </w:instrText>
            </w:r>
            <w:r>
              <w:rPr>
                <w:noProof/>
                <w:webHidden/>
              </w:rPr>
            </w:r>
            <w:r>
              <w:rPr>
                <w:noProof/>
                <w:webHidden/>
              </w:rPr>
              <w:fldChar w:fldCharType="separate"/>
            </w:r>
            <w:r>
              <w:rPr>
                <w:noProof/>
                <w:webHidden/>
              </w:rPr>
              <w:t>184</w:t>
            </w:r>
            <w:r>
              <w:rPr>
                <w:noProof/>
                <w:webHidden/>
              </w:rPr>
              <w:fldChar w:fldCharType="end"/>
            </w:r>
          </w:hyperlink>
        </w:p>
        <w:p w14:paraId="0217295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5" w:history="1">
            <w:r w:rsidRPr="00DB66A8">
              <w:rPr>
                <w:rStyle w:val="Hyperlink"/>
                <w:noProof/>
                <w:lang w:bidi="hi-IN"/>
              </w:rPr>
              <w:t>D1.2.4 Feasibility and Accessibility</w:t>
            </w:r>
            <w:r>
              <w:rPr>
                <w:noProof/>
                <w:webHidden/>
              </w:rPr>
              <w:tab/>
            </w:r>
            <w:r>
              <w:rPr>
                <w:noProof/>
                <w:webHidden/>
              </w:rPr>
              <w:fldChar w:fldCharType="begin"/>
            </w:r>
            <w:r>
              <w:rPr>
                <w:noProof/>
                <w:webHidden/>
              </w:rPr>
              <w:instrText xml:space="preserve"> PAGEREF _Toc500319435 \h </w:instrText>
            </w:r>
            <w:r>
              <w:rPr>
                <w:noProof/>
                <w:webHidden/>
              </w:rPr>
            </w:r>
            <w:r>
              <w:rPr>
                <w:noProof/>
                <w:webHidden/>
              </w:rPr>
              <w:fldChar w:fldCharType="separate"/>
            </w:r>
            <w:r>
              <w:rPr>
                <w:noProof/>
                <w:webHidden/>
              </w:rPr>
              <w:t>185</w:t>
            </w:r>
            <w:r>
              <w:rPr>
                <w:noProof/>
                <w:webHidden/>
              </w:rPr>
              <w:fldChar w:fldCharType="end"/>
            </w:r>
          </w:hyperlink>
        </w:p>
        <w:p w14:paraId="4D99BEC7" w14:textId="77777777" w:rsidR="00B27F0B" w:rsidRDefault="00B27F0B">
          <w:pPr>
            <w:pStyle w:val="TOC1"/>
            <w:rPr>
              <w:rFonts w:asciiTheme="minorHAnsi" w:hAnsiTheme="minorHAnsi" w:cstheme="minorBidi"/>
              <w:noProof/>
              <w:szCs w:val="24"/>
              <w:lang w:val="en-GB" w:eastAsia="en-GB"/>
            </w:rPr>
          </w:pPr>
          <w:hyperlink w:anchor="_Toc500319436" w:history="1">
            <w:r w:rsidRPr="00DB66A8">
              <w:rPr>
                <w:rStyle w:val="Hyperlink"/>
                <w:noProof/>
              </w:rPr>
              <w:t>Chapter D2: Discussion of the Intervention and Follow-Up Phases</w:t>
            </w:r>
            <w:r>
              <w:rPr>
                <w:noProof/>
                <w:webHidden/>
              </w:rPr>
              <w:tab/>
            </w:r>
            <w:r>
              <w:rPr>
                <w:noProof/>
                <w:webHidden/>
              </w:rPr>
              <w:fldChar w:fldCharType="begin"/>
            </w:r>
            <w:r>
              <w:rPr>
                <w:noProof/>
                <w:webHidden/>
              </w:rPr>
              <w:instrText xml:space="preserve"> PAGEREF _Toc500319436 \h </w:instrText>
            </w:r>
            <w:r>
              <w:rPr>
                <w:noProof/>
                <w:webHidden/>
              </w:rPr>
            </w:r>
            <w:r>
              <w:rPr>
                <w:noProof/>
                <w:webHidden/>
              </w:rPr>
              <w:fldChar w:fldCharType="separate"/>
            </w:r>
            <w:r>
              <w:rPr>
                <w:noProof/>
                <w:webHidden/>
              </w:rPr>
              <w:t>189</w:t>
            </w:r>
            <w:r>
              <w:rPr>
                <w:noProof/>
                <w:webHidden/>
              </w:rPr>
              <w:fldChar w:fldCharType="end"/>
            </w:r>
          </w:hyperlink>
        </w:p>
        <w:p w14:paraId="1E38BFC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37" w:history="1">
            <w:r w:rsidRPr="00DB66A8">
              <w:rPr>
                <w:rStyle w:val="Hyperlink"/>
                <w:noProof/>
                <w:lang w:val="en-GB" w:bidi="hi-IN"/>
              </w:rPr>
              <w:t>D2.1 A New Model for Changing the Practices of Medical teachers</w:t>
            </w:r>
            <w:r>
              <w:rPr>
                <w:noProof/>
                <w:webHidden/>
              </w:rPr>
              <w:tab/>
            </w:r>
            <w:r>
              <w:rPr>
                <w:noProof/>
                <w:webHidden/>
              </w:rPr>
              <w:fldChar w:fldCharType="begin"/>
            </w:r>
            <w:r>
              <w:rPr>
                <w:noProof/>
                <w:webHidden/>
              </w:rPr>
              <w:instrText xml:space="preserve"> PAGEREF _Toc500319437 \h </w:instrText>
            </w:r>
            <w:r>
              <w:rPr>
                <w:noProof/>
                <w:webHidden/>
              </w:rPr>
            </w:r>
            <w:r>
              <w:rPr>
                <w:noProof/>
                <w:webHidden/>
              </w:rPr>
              <w:fldChar w:fldCharType="separate"/>
            </w:r>
            <w:r>
              <w:rPr>
                <w:noProof/>
                <w:webHidden/>
              </w:rPr>
              <w:t>189</w:t>
            </w:r>
            <w:r>
              <w:rPr>
                <w:noProof/>
                <w:webHidden/>
              </w:rPr>
              <w:fldChar w:fldCharType="end"/>
            </w:r>
          </w:hyperlink>
        </w:p>
        <w:p w14:paraId="0221D37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8" w:history="1">
            <w:r w:rsidRPr="00DB66A8">
              <w:rPr>
                <w:rStyle w:val="Hyperlink"/>
                <w:noProof/>
                <w:lang w:bidi="hi-IN"/>
              </w:rPr>
              <w:t>D2.1.1 SRL MA Contributing to an Existing Tool-kit</w:t>
            </w:r>
            <w:r>
              <w:rPr>
                <w:noProof/>
                <w:webHidden/>
              </w:rPr>
              <w:tab/>
            </w:r>
            <w:r>
              <w:rPr>
                <w:noProof/>
                <w:webHidden/>
              </w:rPr>
              <w:fldChar w:fldCharType="begin"/>
            </w:r>
            <w:r>
              <w:rPr>
                <w:noProof/>
                <w:webHidden/>
              </w:rPr>
              <w:instrText xml:space="preserve"> PAGEREF _Toc500319438 \h </w:instrText>
            </w:r>
            <w:r>
              <w:rPr>
                <w:noProof/>
                <w:webHidden/>
              </w:rPr>
            </w:r>
            <w:r>
              <w:rPr>
                <w:noProof/>
                <w:webHidden/>
              </w:rPr>
              <w:fldChar w:fldCharType="separate"/>
            </w:r>
            <w:r>
              <w:rPr>
                <w:noProof/>
                <w:webHidden/>
              </w:rPr>
              <w:t>193</w:t>
            </w:r>
            <w:r>
              <w:rPr>
                <w:noProof/>
                <w:webHidden/>
              </w:rPr>
              <w:fldChar w:fldCharType="end"/>
            </w:r>
          </w:hyperlink>
        </w:p>
        <w:p w14:paraId="66BB43F7"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39" w:history="1">
            <w:r w:rsidRPr="00DB66A8">
              <w:rPr>
                <w:rStyle w:val="Hyperlink"/>
                <w:noProof/>
                <w:lang w:bidi="hi-IN"/>
              </w:rPr>
              <w:t>D2.1.2 Barriers in Applying SRL MA</w:t>
            </w:r>
            <w:r>
              <w:rPr>
                <w:noProof/>
                <w:webHidden/>
              </w:rPr>
              <w:tab/>
            </w:r>
            <w:r>
              <w:rPr>
                <w:noProof/>
                <w:webHidden/>
              </w:rPr>
              <w:fldChar w:fldCharType="begin"/>
            </w:r>
            <w:r>
              <w:rPr>
                <w:noProof/>
                <w:webHidden/>
              </w:rPr>
              <w:instrText xml:space="preserve"> PAGEREF _Toc500319439 \h </w:instrText>
            </w:r>
            <w:r>
              <w:rPr>
                <w:noProof/>
                <w:webHidden/>
              </w:rPr>
            </w:r>
            <w:r>
              <w:rPr>
                <w:noProof/>
                <w:webHidden/>
              </w:rPr>
              <w:fldChar w:fldCharType="separate"/>
            </w:r>
            <w:r>
              <w:rPr>
                <w:noProof/>
                <w:webHidden/>
              </w:rPr>
              <w:t>194</w:t>
            </w:r>
            <w:r>
              <w:rPr>
                <w:noProof/>
                <w:webHidden/>
              </w:rPr>
              <w:fldChar w:fldCharType="end"/>
            </w:r>
          </w:hyperlink>
        </w:p>
        <w:p w14:paraId="392B479B"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40" w:history="1">
            <w:r w:rsidRPr="00DB66A8">
              <w:rPr>
                <w:rStyle w:val="Hyperlink"/>
                <w:noProof/>
                <w:lang w:val="en-GB" w:bidi="hi-IN"/>
              </w:rPr>
              <w:t>D2.2 Improved SRL and Self-efficacy</w:t>
            </w:r>
            <w:r>
              <w:rPr>
                <w:noProof/>
                <w:webHidden/>
              </w:rPr>
              <w:tab/>
            </w:r>
            <w:r>
              <w:rPr>
                <w:noProof/>
                <w:webHidden/>
              </w:rPr>
              <w:fldChar w:fldCharType="begin"/>
            </w:r>
            <w:r>
              <w:rPr>
                <w:noProof/>
                <w:webHidden/>
              </w:rPr>
              <w:instrText xml:space="preserve"> PAGEREF _Toc500319440 \h </w:instrText>
            </w:r>
            <w:r>
              <w:rPr>
                <w:noProof/>
                <w:webHidden/>
              </w:rPr>
            </w:r>
            <w:r>
              <w:rPr>
                <w:noProof/>
                <w:webHidden/>
              </w:rPr>
              <w:fldChar w:fldCharType="separate"/>
            </w:r>
            <w:r>
              <w:rPr>
                <w:noProof/>
                <w:webHidden/>
              </w:rPr>
              <w:t>196</w:t>
            </w:r>
            <w:r>
              <w:rPr>
                <w:noProof/>
                <w:webHidden/>
              </w:rPr>
              <w:fldChar w:fldCharType="end"/>
            </w:r>
          </w:hyperlink>
        </w:p>
        <w:p w14:paraId="4C66CCD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41" w:history="1">
            <w:r w:rsidRPr="00DB66A8">
              <w:rPr>
                <w:rStyle w:val="Hyperlink"/>
                <w:noProof/>
                <w:lang w:val="en-GB" w:bidi="hi-IN"/>
              </w:rPr>
              <w:t>D2.3 The SSRQ: A Reliable Tool to Measure SRL in UK Medical Education</w:t>
            </w:r>
            <w:r>
              <w:rPr>
                <w:noProof/>
                <w:webHidden/>
              </w:rPr>
              <w:tab/>
            </w:r>
            <w:r>
              <w:rPr>
                <w:noProof/>
                <w:webHidden/>
              </w:rPr>
              <w:fldChar w:fldCharType="begin"/>
            </w:r>
            <w:r>
              <w:rPr>
                <w:noProof/>
                <w:webHidden/>
              </w:rPr>
              <w:instrText xml:space="preserve"> PAGEREF _Toc500319441 \h </w:instrText>
            </w:r>
            <w:r>
              <w:rPr>
                <w:noProof/>
                <w:webHidden/>
              </w:rPr>
            </w:r>
            <w:r>
              <w:rPr>
                <w:noProof/>
                <w:webHidden/>
              </w:rPr>
              <w:fldChar w:fldCharType="separate"/>
            </w:r>
            <w:r>
              <w:rPr>
                <w:noProof/>
                <w:webHidden/>
              </w:rPr>
              <w:t>199</w:t>
            </w:r>
            <w:r>
              <w:rPr>
                <w:noProof/>
                <w:webHidden/>
              </w:rPr>
              <w:fldChar w:fldCharType="end"/>
            </w:r>
          </w:hyperlink>
        </w:p>
        <w:p w14:paraId="1ECE2609"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42" w:history="1">
            <w:r w:rsidRPr="00DB66A8">
              <w:rPr>
                <w:rStyle w:val="Hyperlink"/>
                <w:noProof/>
                <w:lang w:val="en-GB" w:bidi="hi-IN"/>
              </w:rPr>
              <w:t>D2.4 Impact of the Feedback Models in the Clinical Learning Environment</w:t>
            </w:r>
            <w:r>
              <w:rPr>
                <w:noProof/>
                <w:webHidden/>
              </w:rPr>
              <w:tab/>
            </w:r>
            <w:r>
              <w:rPr>
                <w:noProof/>
                <w:webHidden/>
              </w:rPr>
              <w:fldChar w:fldCharType="begin"/>
            </w:r>
            <w:r>
              <w:rPr>
                <w:noProof/>
                <w:webHidden/>
              </w:rPr>
              <w:instrText xml:space="preserve"> PAGEREF _Toc500319442 \h </w:instrText>
            </w:r>
            <w:r>
              <w:rPr>
                <w:noProof/>
                <w:webHidden/>
              </w:rPr>
            </w:r>
            <w:r>
              <w:rPr>
                <w:noProof/>
                <w:webHidden/>
              </w:rPr>
              <w:fldChar w:fldCharType="separate"/>
            </w:r>
            <w:r>
              <w:rPr>
                <w:noProof/>
                <w:webHidden/>
              </w:rPr>
              <w:t>202</w:t>
            </w:r>
            <w:r>
              <w:rPr>
                <w:noProof/>
                <w:webHidden/>
              </w:rPr>
              <w:fldChar w:fldCharType="end"/>
            </w:r>
          </w:hyperlink>
        </w:p>
        <w:p w14:paraId="6595E263"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3" w:history="1">
            <w:r w:rsidRPr="00DB66A8">
              <w:rPr>
                <w:rStyle w:val="Hyperlink"/>
                <w:noProof/>
                <w:lang w:bidi="hi-IN"/>
              </w:rPr>
              <w:t>D2.4.1 Context and Culture</w:t>
            </w:r>
            <w:r>
              <w:rPr>
                <w:noProof/>
                <w:webHidden/>
              </w:rPr>
              <w:tab/>
            </w:r>
            <w:r>
              <w:rPr>
                <w:noProof/>
                <w:webHidden/>
              </w:rPr>
              <w:fldChar w:fldCharType="begin"/>
            </w:r>
            <w:r>
              <w:rPr>
                <w:noProof/>
                <w:webHidden/>
              </w:rPr>
              <w:instrText xml:space="preserve"> PAGEREF _Toc500319443 \h </w:instrText>
            </w:r>
            <w:r>
              <w:rPr>
                <w:noProof/>
                <w:webHidden/>
              </w:rPr>
            </w:r>
            <w:r>
              <w:rPr>
                <w:noProof/>
                <w:webHidden/>
              </w:rPr>
              <w:fldChar w:fldCharType="separate"/>
            </w:r>
            <w:r>
              <w:rPr>
                <w:noProof/>
                <w:webHidden/>
              </w:rPr>
              <w:t>202</w:t>
            </w:r>
            <w:r>
              <w:rPr>
                <w:noProof/>
                <w:webHidden/>
              </w:rPr>
              <w:fldChar w:fldCharType="end"/>
            </w:r>
          </w:hyperlink>
        </w:p>
        <w:p w14:paraId="421AD5DE"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4" w:history="1">
            <w:r w:rsidRPr="00DB66A8">
              <w:rPr>
                <w:rStyle w:val="Hyperlink"/>
                <w:noProof/>
                <w:lang w:bidi="hi-IN"/>
              </w:rPr>
              <w:t>D2.4.2 Learning Behaviours</w:t>
            </w:r>
            <w:r>
              <w:rPr>
                <w:noProof/>
                <w:webHidden/>
              </w:rPr>
              <w:tab/>
            </w:r>
            <w:r>
              <w:rPr>
                <w:noProof/>
                <w:webHidden/>
              </w:rPr>
              <w:fldChar w:fldCharType="begin"/>
            </w:r>
            <w:r>
              <w:rPr>
                <w:noProof/>
                <w:webHidden/>
              </w:rPr>
              <w:instrText xml:space="preserve"> PAGEREF _Toc500319444 \h </w:instrText>
            </w:r>
            <w:r>
              <w:rPr>
                <w:noProof/>
                <w:webHidden/>
              </w:rPr>
            </w:r>
            <w:r>
              <w:rPr>
                <w:noProof/>
                <w:webHidden/>
              </w:rPr>
              <w:fldChar w:fldCharType="separate"/>
            </w:r>
            <w:r>
              <w:rPr>
                <w:noProof/>
                <w:webHidden/>
              </w:rPr>
              <w:t>203</w:t>
            </w:r>
            <w:r>
              <w:rPr>
                <w:noProof/>
                <w:webHidden/>
              </w:rPr>
              <w:fldChar w:fldCharType="end"/>
            </w:r>
          </w:hyperlink>
        </w:p>
        <w:p w14:paraId="1A8B80B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5" w:history="1">
            <w:r w:rsidRPr="00DB66A8">
              <w:rPr>
                <w:rStyle w:val="Hyperlink"/>
                <w:noProof/>
                <w:lang w:bidi="hi-IN"/>
              </w:rPr>
              <w:t>D2.4.3 Feedback Behaviours</w:t>
            </w:r>
            <w:r>
              <w:rPr>
                <w:noProof/>
                <w:webHidden/>
              </w:rPr>
              <w:tab/>
            </w:r>
            <w:r>
              <w:rPr>
                <w:noProof/>
                <w:webHidden/>
              </w:rPr>
              <w:fldChar w:fldCharType="begin"/>
            </w:r>
            <w:r>
              <w:rPr>
                <w:noProof/>
                <w:webHidden/>
              </w:rPr>
              <w:instrText xml:space="preserve"> PAGEREF _Toc500319445 \h </w:instrText>
            </w:r>
            <w:r>
              <w:rPr>
                <w:noProof/>
                <w:webHidden/>
              </w:rPr>
            </w:r>
            <w:r>
              <w:rPr>
                <w:noProof/>
                <w:webHidden/>
              </w:rPr>
              <w:fldChar w:fldCharType="separate"/>
            </w:r>
            <w:r>
              <w:rPr>
                <w:noProof/>
                <w:webHidden/>
              </w:rPr>
              <w:t>206</w:t>
            </w:r>
            <w:r>
              <w:rPr>
                <w:noProof/>
                <w:webHidden/>
              </w:rPr>
              <w:fldChar w:fldCharType="end"/>
            </w:r>
          </w:hyperlink>
        </w:p>
        <w:p w14:paraId="74D4AE03"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6" w:history="1">
            <w:r w:rsidRPr="00DB66A8">
              <w:rPr>
                <w:rStyle w:val="Hyperlink"/>
                <w:noProof/>
                <w:lang w:bidi="hi-IN"/>
              </w:rPr>
              <w:t>D2.4.4 Supportive Theme</w:t>
            </w:r>
            <w:r>
              <w:rPr>
                <w:noProof/>
                <w:webHidden/>
              </w:rPr>
              <w:tab/>
            </w:r>
            <w:r>
              <w:rPr>
                <w:noProof/>
                <w:webHidden/>
              </w:rPr>
              <w:fldChar w:fldCharType="begin"/>
            </w:r>
            <w:r>
              <w:rPr>
                <w:noProof/>
                <w:webHidden/>
              </w:rPr>
              <w:instrText xml:space="preserve"> PAGEREF _Toc500319446 \h </w:instrText>
            </w:r>
            <w:r>
              <w:rPr>
                <w:noProof/>
                <w:webHidden/>
              </w:rPr>
            </w:r>
            <w:r>
              <w:rPr>
                <w:noProof/>
                <w:webHidden/>
              </w:rPr>
              <w:fldChar w:fldCharType="separate"/>
            </w:r>
            <w:r>
              <w:rPr>
                <w:noProof/>
                <w:webHidden/>
              </w:rPr>
              <w:t>208</w:t>
            </w:r>
            <w:r>
              <w:rPr>
                <w:noProof/>
                <w:webHidden/>
              </w:rPr>
              <w:fldChar w:fldCharType="end"/>
            </w:r>
          </w:hyperlink>
        </w:p>
        <w:p w14:paraId="1E248D45"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47" w:history="1">
            <w:r w:rsidRPr="00DB66A8">
              <w:rPr>
                <w:rStyle w:val="Hyperlink"/>
                <w:noProof/>
                <w:lang w:val="en-GB" w:bidi="hi-IN"/>
              </w:rPr>
              <w:t>D2.5 Outcome Evaluation</w:t>
            </w:r>
            <w:r>
              <w:rPr>
                <w:noProof/>
                <w:webHidden/>
              </w:rPr>
              <w:tab/>
            </w:r>
            <w:r>
              <w:rPr>
                <w:noProof/>
                <w:webHidden/>
              </w:rPr>
              <w:fldChar w:fldCharType="begin"/>
            </w:r>
            <w:r>
              <w:rPr>
                <w:noProof/>
                <w:webHidden/>
              </w:rPr>
              <w:instrText xml:space="preserve"> PAGEREF _Toc500319447 \h </w:instrText>
            </w:r>
            <w:r>
              <w:rPr>
                <w:noProof/>
                <w:webHidden/>
              </w:rPr>
            </w:r>
            <w:r>
              <w:rPr>
                <w:noProof/>
                <w:webHidden/>
              </w:rPr>
              <w:fldChar w:fldCharType="separate"/>
            </w:r>
            <w:r>
              <w:rPr>
                <w:noProof/>
                <w:webHidden/>
              </w:rPr>
              <w:t>210</w:t>
            </w:r>
            <w:r>
              <w:rPr>
                <w:noProof/>
                <w:webHidden/>
              </w:rPr>
              <w:fldChar w:fldCharType="end"/>
            </w:r>
          </w:hyperlink>
        </w:p>
        <w:p w14:paraId="7B4C645C"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8" w:history="1">
            <w:r w:rsidRPr="00DB66A8">
              <w:rPr>
                <w:rStyle w:val="Hyperlink"/>
                <w:noProof/>
                <w:lang w:bidi="hi-IN"/>
              </w:rPr>
              <w:t>D2.5.1 Feedback Perception, Recognition, and Use for Future Learning</w:t>
            </w:r>
            <w:r>
              <w:rPr>
                <w:noProof/>
                <w:webHidden/>
              </w:rPr>
              <w:tab/>
            </w:r>
            <w:r>
              <w:rPr>
                <w:noProof/>
                <w:webHidden/>
              </w:rPr>
              <w:fldChar w:fldCharType="begin"/>
            </w:r>
            <w:r>
              <w:rPr>
                <w:noProof/>
                <w:webHidden/>
              </w:rPr>
              <w:instrText xml:space="preserve"> PAGEREF _Toc500319448 \h </w:instrText>
            </w:r>
            <w:r>
              <w:rPr>
                <w:noProof/>
                <w:webHidden/>
              </w:rPr>
            </w:r>
            <w:r>
              <w:rPr>
                <w:noProof/>
                <w:webHidden/>
              </w:rPr>
              <w:fldChar w:fldCharType="separate"/>
            </w:r>
            <w:r>
              <w:rPr>
                <w:noProof/>
                <w:webHidden/>
              </w:rPr>
              <w:t>210</w:t>
            </w:r>
            <w:r>
              <w:rPr>
                <w:noProof/>
                <w:webHidden/>
              </w:rPr>
              <w:fldChar w:fldCharType="end"/>
            </w:r>
          </w:hyperlink>
        </w:p>
        <w:p w14:paraId="3CB3048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49" w:history="1">
            <w:r w:rsidRPr="00DB66A8">
              <w:rPr>
                <w:rStyle w:val="Hyperlink"/>
                <w:noProof/>
                <w:lang w:bidi="hi-IN"/>
              </w:rPr>
              <w:t>D2.5.2 SRL Capacity and Self-efficacy Beliefs</w:t>
            </w:r>
            <w:r>
              <w:rPr>
                <w:noProof/>
                <w:webHidden/>
              </w:rPr>
              <w:tab/>
            </w:r>
            <w:r>
              <w:rPr>
                <w:noProof/>
                <w:webHidden/>
              </w:rPr>
              <w:fldChar w:fldCharType="begin"/>
            </w:r>
            <w:r>
              <w:rPr>
                <w:noProof/>
                <w:webHidden/>
              </w:rPr>
              <w:instrText xml:space="preserve"> PAGEREF _Toc500319449 \h </w:instrText>
            </w:r>
            <w:r>
              <w:rPr>
                <w:noProof/>
                <w:webHidden/>
              </w:rPr>
            </w:r>
            <w:r>
              <w:rPr>
                <w:noProof/>
                <w:webHidden/>
              </w:rPr>
              <w:fldChar w:fldCharType="separate"/>
            </w:r>
            <w:r>
              <w:rPr>
                <w:noProof/>
                <w:webHidden/>
              </w:rPr>
              <w:t>210</w:t>
            </w:r>
            <w:r>
              <w:rPr>
                <w:noProof/>
                <w:webHidden/>
              </w:rPr>
              <w:fldChar w:fldCharType="end"/>
            </w:r>
          </w:hyperlink>
        </w:p>
        <w:p w14:paraId="3AC1601F"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0" w:history="1">
            <w:r w:rsidRPr="00DB66A8">
              <w:rPr>
                <w:rStyle w:val="Hyperlink"/>
                <w:noProof/>
                <w:lang w:bidi="hi-IN"/>
              </w:rPr>
              <w:t>D2.5.3 SRL Behaviours Relating to Clinical Learning</w:t>
            </w:r>
            <w:r>
              <w:rPr>
                <w:noProof/>
                <w:webHidden/>
              </w:rPr>
              <w:tab/>
            </w:r>
            <w:r>
              <w:rPr>
                <w:noProof/>
                <w:webHidden/>
              </w:rPr>
              <w:fldChar w:fldCharType="begin"/>
            </w:r>
            <w:r>
              <w:rPr>
                <w:noProof/>
                <w:webHidden/>
              </w:rPr>
              <w:instrText xml:space="preserve"> PAGEREF _Toc500319450 \h </w:instrText>
            </w:r>
            <w:r>
              <w:rPr>
                <w:noProof/>
                <w:webHidden/>
              </w:rPr>
            </w:r>
            <w:r>
              <w:rPr>
                <w:noProof/>
                <w:webHidden/>
              </w:rPr>
              <w:fldChar w:fldCharType="separate"/>
            </w:r>
            <w:r>
              <w:rPr>
                <w:noProof/>
                <w:webHidden/>
              </w:rPr>
              <w:t>211</w:t>
            </w:r>
            <w:r>
              <w:rPr>
                <w:noProof/>
                <w:webHidden/>
              </w:rPr>
              <w:fldChar w:fldCharType="end"/>
            </w:r>
          </w:hyperlink>
        </w:p>
        <w:p w14:paraId="27915E2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51" w:history="1">
            <w:r w:rsidRPr="00DB66A8">
              <w:rPr>
                <w:rStyle w:val="Hyperlink"/>
                <w:noProof/>
                <w:lang w:val="en-GB" w:bidi="hi-IN"/>
              </w:rPr>
              <w:t>D2.6 Limitations</w:t>
            </w:r>
            <w:r>
              <w:rPr>
                <w:noProof/>
                <w:webHidden/>
              </w:rPr>
              <w:tab/>
            </w:r>
            <w:r>
              <w:rPr>
                <w:noProof/>
                <w:webHidden/>
              </w:rPr>
              <w:fldChar w:fldCharType="begin"/>
            </w:r>
            <w:r>
              <w:rPr>
                <w:noProof/>
                <w:webHidden/>
              </w:rPr>
              <w:instrText xml:space="preserve"> PAGEREF _Toc500319451 \h </w:instrText>
            </w:r>
            <w:r>
              <w:rPr>
                <w:noProof/>
                <w:webHidden/>
              </w:rPr>
            </w:r>
            <w:r>
              <w:rPr>
                <w:noProof/>
                <w:webHidden/>
              </w:rPr>
              <w:fldChar w:fldCharType="separate"/>
            </w:r>
            <w:r>
              <w:rPr>
                <w:noProof/>
                <w:webHidden/>
              </w:rPr>
              <w:t>213</w:t>
            </w:r>
            <w:r>
              <w:rPr>
                <w:noProof/>
                <w:webHidden/>
              </w:rPr>
              <w:fldChar w:fldCharType="end"/>
            </w:r>
          </w:hyperlink>
        </w:p>
        <w:p w14:paraId="0ED4DBCD"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2" w:history="1">
            <w:r w:rsidRPr="00DB66A8">
              <w:rPr>
                <w:rStyle w:val="Hyperlink"/>
                <w:noProof/>
                <w:lang w:bidi="hi-IN"/>
              </w:rPr>
              <w:t>D2.6.1 Self-report Measures</w:t>
            </w:r>
            <w:r>
              <w:rPr>
                <w:noProof/>
                <w:webHidden/>
              </w:rPr>
              <w:tab/>
            </w:r>
            <w:r>
              <w:rPr>
                <w:noProof/>
                <w:webHidden/>
              </w:rPr>
              <w:fldChar w:fldCharType="begin"/>
            </w:r>
            <w:r>
              <w:rPr>
                <w:noProof/>
                <w:webHidden/>
              </w:rPr>
              <w:instrText xml:space="preserve"> PAGEREF _Toc500319452 \h </w:instrText>
            </w:r>
            <w:r>
              <w:rPr>
                <w:noProof/>
                <w:webHidden/>
              </w:rPr>
            </w:r>
            <w:r>
              <w:rPr>
                <w:noProof/>
                <w:webHidden/>
              </w:rPr>
              <w:fldChar w:fldCharType="separate"/>
            </w:r>
            <w:r>
              <w:rPr>
                <w:noProof/>
                <w:webHidden/>
              </w:rPr>
              <w:t>213</w:t>
            </w:r>
            <w:r>
              <w:rPr>
                <w:noProof/>
                <w:webHidden/>
              </w:rPr>
              <w:fldChar w:fldCharType="end"/>
            </w:r>
          </w:hyperlink>
        </w:p>
        <w:p w14:paraId="170109B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3" w:history="1">
            <w:r w:rsidRPr="00DB66A8">
              <w:rPr>
                <w:rStyle w:val="Hyperlink"/>
                <w:noProof/>
                <w:lang w:bidi="hi-IN"/>
              </w:rPr>
              <w:t>D2.6.2 Single Qualitative Measures</w:t>
            </w:r>
            <w:r>
              <w:rPr>
                <w:noProof/>
                <w:webHidden/>
              </w:rPr>
              <w:tab/>
            </w:r>
            <w:r>
              <w:rPr>
                <w:noProof/>
                <w:webHidden/>
              </w:rPr>
              <w:fldChar w:fldCharType="begin"/>
            </w:r>
            <w:r>
              <w:rPr>
                <w:noProof/>
                <w:webHidden/>
              </w:rPr>
              <w:instrText xml:space="preserve"> PAGEREF _Toc500319453 \h </w:instrText>
            </w:r>
            <w:r>
              <w:rPr>
                <w:noProof/>
                <w:webHidden/>
              </w:rPr>
            </w:r>
            <w:r>
              <w:rPr>
                <w:noProof/>
                <w:webHidden/>
              </w:rPr>
              <w:fldChar w:fldCharType="separate"/>
            </w:r>
            <w:r>
              <w:rPr>
                <w:noProof/>
                <w:webHidden/>
              </w:rPr>
              <w:t>213</w:t>
            </w:r>
            <w:r>
              <w:rPr>
                <w:noProof/>
                <w:webHidden/>
              </w:rPr>
              <w:fldChar w:fldCharType="end"/>
            </w:r>
          </w:hyperlink>
        </w:p>
        <w:p w14:paraId="1DDE547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4" w:history="1">
            <w:r w:rsidRPr="00DB66A8">
              <w:rPr>
                <w:rStyle w:val="Hyperlink"/>
                <w:noProof/>
                <w:lang w:bidi="hi-IN"/>
              </w:rPr>
              <w:t>D2.6.3 Level of Video Analysis</w:t>
            </w:r>
            <w:r>
              <w:rPr>
                <w:noProof/>
                <w:webHidden/>
              </w:rPr>
              <w:tab/>
            </w:r>
            <w:r>
              <w:rPr>
                <w:noProof/>
                <w:webHidden/>
              </w:rPr>
              <w:fldChar w:fldCharType="begin"/>
            </w:r>
            <w:r>
              <w:rPr>
                <w:noProof/>
                <w:webHidden/>
              </w:rPr>
              <w:instrText xml:space="preserve"> PAGEREF _Toc500319454 \h </w:instrText>
            </w:r>
            <w:r>
              <w:rPr>
                <w:noProof/>
                <w:webHidden/>
              </w:rPr>
            </w:r>
            <w:r>
              <w:rPr>
                <w:noProof/>
                <w:webHidden/>
              </w:rPr>
              <w:fldChar w:fldCharType="separate"/>
            </w:r>
            <w:r>
              <w:rPr>
                <w:noProof/>
                <w:webHidden/>
              </w:rPr>
              <w:t>213</w:t>
            </w:r>
            <w:r>
              <w:rPr>
                <w:noProof/>
                <w:webHidden/>
              </w:rPr>
              <w:fldChar w:fldCharType="end"/>
            </w:r>
          </w:hyperlink>
        </w:p>
        <w:p w14:paraId="755B792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5" w:history="1">
            <w:r w:rsidRPr="00DB66A8">
              <w:rPr>
                <w:rStyle w:val="Hyperlink"/>
                <w:noProof/>
                <w:lang w:bidi="hi-IN"/>
              </w:rPr>
              <w:t>D2.6.4 Sample Sizes</w:t>
            </w:r>
            <w:r>
              <w:rPr>
                <w:noProof/>
                <w:webHidden/>
              </w:rPr>
              <w:tab/>
            </w:r>
            <w:r>
              <w:rPr>
                <w:noProof/>
                <w:webHidden/>
              </w:rPr>
              <w:fldChar w:fldCharType="begin"/>
            </w:r>
            <w:r>
              <w:rPr>
                <w:noProof/>
                <w:webHidden/>
              </w:rPr>
              <w:instrText xml:space="preserve"> PAGEREF _Toc500319455 \h </w:instrText>
            </w:r>
            <w:r>
              <w:rPr>
                <w:noProof/>
                <w:webHidden/>
              </w:rPr>
            </w:r>
            <w:r>
              <w:rPr>
                <w:noProof/>
                <w:webHidden/>
              </w:rPr>
              <w:fldChar w:fldCharType="separate"/>
            </w:r>
            <w:r>
              <w:rPr>
                <w:noProof/>
                <w:webHidden/>
              </w:rPr>
              <w:t>214</w:t>
            </w:r>
            <w:r>
              <w:rPr>
                <w:noProof/>
                <w:webHidden/>
              </w:rPr>
              <w:fldChar w:fldCharType="end"/>
            </w:r>
          </w:hyperlink>
        </w:p>
        <w:p w14:paraId="5142B24A"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56" w:history="1">
            <w:r w:rsidRPr="00DB66A8">
              <w:rPr>
                <w:rStyle w:val="Hyperlink"/>
                <w:noProof/>
                <w:lang w:val="en-GB" w:bidi="hi-IN"/>
              </w:rPr>
              <w:t>D2.7 Strengths</w:t>
            </w:r>
            <w:r>
              <w:rPr>
                <w:noProof/>
                <w:webHidden/>
              </w:rPr>
              <w:tab/>
            </w:r>
            <w:r>
              <w:rPr>
                <w:noProof/>
                <w:webHidden/>
              </w:rPr>
              <w:fldChar w:fldCharType="begin"/>
            </w:r>
            <w:r>
              <w:rPr>
                <w:noProof/>
                <w:webHidden/>
              </w:rPr>
              <w:instrText xml:space="preserve"> PAGEREF _Toc500319456 \h </w:instrText>
            </w:r>
            <w:r>
              <w:rPr>
                <w:noProof/>
                <w:webHidden/>
              </w:rPr>
            </w:r>
            <w:r>
              <w:rPr>
                <w:noProof/>
                <w:webHidden/>
              </w:rPr>
              <w:fldChar w:fldCharType="separate"/>
            </w:r>
            <w:r>
              <w:rPr>
                <w:noProof/>
                <w:webHidden/>
              </w:rPr>
              <w:t>215</w:t>
            </w:r>
            <w:r>
              <w:rPr>
                <w:noProof/>
                <w:webHidden/>
              </w:rPr>
              <w:fldChar w:fldCharType="end"/>
            </w:r>
          </w:hyperlink>
        </w:p>
        <w:p w14:paraId="06BEAFD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7" w:history="1">
            <w:r w:rsidRPr="00DB66A8">
              <w:rPr>
                <w:rStyle w:val="Hyperlink"/>
                <w:noProof/>
                <w:lang w:bidi="hi-IN"/>
              </w:rPr>
              <w:t>D2.7.1 Novel Research Focus and Method of Inquiry</w:t>
            </w:r>
            <w:r>
              <w:rPr>
                <w:noProof/>
                <w:webHidden/>
              </w:rPr>
              <w:tab/>
            </w:r>
            <w:r>
              <w:rPr>
                <w:noProof/>
                <w:webHidden/>
              </w:rPr>
              <w:fldChar w:fldCharType="begin"/>
            </w:r>
            <w:r>
              <w:rPr>
                <w:noProof/>
                <w:webHidden/>
              </w:rPr>
              <w:instrText xml:space="preserve"> PAGEREF _Toc500319457 \h </w:instrText>
            </w:r>
            <w:r>
              <w:rPr>
                <w:noProof/>
                <w:webHidden/>
              </w:rPr>
            </w:r>
            <w:r>
              <w:rPr>
                <w:noProof/>
                <w:webHidden/>
              </w:rPr>
              <w:fldChar w:fldCharType="separate"/>
            </w:r>
            <w:r>
              <w:rPr>
                <w:noProof/>
                <w:webHidden/>
              </w:rPr>
              <w:t>215</w:t>
            </w:r>
            <w:r>
              <w:rPr>
                <w:noProof/>
                <w:webHidden/>
              </w:rPr>
              <w:fldChar w:fldCharType="end"/>
            </w:r>
          </w:hyperlink>
        </w:p>
        <w:p w14:paraId="5C6D186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8" w:history="1">
            <w:r w:rsidRPr="00DB66A8">
              <w:rPr>
                <w:rStyle w:val="Hyperlink"/>
                <w:noProof/>
                <w:lang w:bidi="hi-IN"/>
              </w:rPr>
              <w:t>D2.7.2 Authentic Settings</w:t>
            </w:r>
            <w:r>
              <w:rPr>
                <w:noProof/>
                <w:webHidden/>
              </w:rPr>
              <w:tab/>
            </w:r>
            <w:r>
              <w:rPr>
                <w:noProof/>
                <w:webHidden/>
              </w:rPr>
              <w:fldChar w:fldCharType="begin"/>
            </w:r>
            <w:r>
              <w:rPr>
                <w:noProof/>
                <w:webHidden/>
              </w:rPr>
              <w:instrText xml:space="preserve"> PAGEREF _Toc500319458 \h </w:instrText>
            </w:r>
            <w:r>
              <w:rPr>
                <w:noProof/>
                <w:webHidden/>
              </w:rPr>
            </w:r>
            <w:r>
              <w:rPr>
                <w:noProof/>
                <w:webHidden/>
              </w:rPr>
              <w:fldChar w:fldCharType="separate"/>
            </w:r>
            <w:r>
              <w:rPr>
                <w:noProof/>
                <w:webHidden/>
              </w:rPr>
              <w:t>215</w:t>
            </w:r>
            <w:r>
              <w:rPr>
                <w:noProof/>
                <w:webHidden/>
              </w:rPr>
              <w:fldChar w:fldCharType="end"/>
            </w:r>
          </w:hyperlink>
        </w:p>
        <w:p w14:paraId="604E424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59" w:history="1">
            <w:r w:rsidRPr="00DB66A8">
              <w:rPr>
                <w:rStyle w:val="Hyperlink"/>
                <w:noProof/>
                <w:lang w:bidi="hi-IN"/>
              </w:rPr>
              <w:t>D2.7.3 Structured Feedback Approach</w:t>
            </w:r>
            <w:r>
              <w:rPr>
                <w:noProof/>
                <w:webHidden/>
              </w:rPr>
              <w:tab/>
            </w:r>
            <w:r>
              <w:rPr>
                <w:noProof/>
                <w:webHidden/>
              </w:rPr>
              <w:fldChar w:fldCharType="begin"/>
            </w:r>
            <w:r>
              <w:rPr>
                <w:noProof/>
                <w:webHidden/>
              </w:rPr>
              <w:instrText xml:space="preserve"> PAGEREF _Toc500319459 \h </w:instrText>
            </w:r>
            <w:r>
              <w:rPr>
                <w:noProof/>
                <w:webHidden/>
              </w:rPr>
            </w:r>
            <w:r>
              <w:rPr>
                <w:noProof/>
                <w:webHidden/>
              </w:rPr>
              <w:fldChar w:fldCharType="separate"/>
            </w:r>
            <w:r>
              <w:rPr>
                <w:noProof/>
                <w:webHidden/>
              </w:rPr>
              <w:t>216</w:t>
            </w:r>
            <w:r>
              <w:rPr>
                <w:noProof/>
                <w:webHidden/>
              </w:rPr>
              <w:fldChar w:fldCharType="end"/>
            </w:r>
          </w:hyperlink>
        </w:p>
        <w:p w14:paraId="35522265"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0" w:history="1">
            <w:r w:rsidRPr="00DB66A8">
              <w:rPr>
                <w:rStyle w:val="Hyperlink"/>
                <w:noProof/>
                <w:lang w:bidi="hi-IN"/>
              </w:rPr>
              <w:t>D2.7.4 Conceptual and Procedural Approach of SRL MA</w:t>
            </w:r>
            <w:r>
              <w:rPr>
                <w:noProof/>
                <w:webHidden/>
              </w:rPr>
              <w:tab/>
            </w:r>
            <w:r>
              <w:rPr>
                <w:noProof/>
                <w:webHidden/>
              </w:rPr>
              <w:fldChar w:fldCharType="begin"/>
            </w:r>
            <w:r>
              <w:rPr>
                <w:noProof/>
                <w:webHidden/>
              </w:rPr>
              <w:instrText xml:space="preserve"> PAGEREF _Toc500319460 \h </w:instrText>
            </w:r>
            <w:r>
              <w:rPr>
                <w:noProof/>
                <w:webHidden/>
              </w:rPr>
            </w:r>
            <w:r>
              <w:rPr>
                <w:noProof/>
                <w:webHidden/>
              </w:rPr>
              <w:fldChar w:fldCharType="separate"/>
            </w:r>
            <w:r>
              <w:rPr>
                <w:noProof/>
                <w:webHidden/>
              </w:rPr>
              <w:t>217</w:t>
            </w:r>
            <w:r>
              <w:rPr>
                <w:noProof/>
                <w:webHidden/>
              </w:rPr>
              <w:fldChar w:fldCharType="end"/>
            </w:r>
          </w:hyperlink>
        </w:p>
        <w:p w14:paraId="2AFE4CCB"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1" w:history="1">
            <w:r w:rsidRPr="00DB66A8">
              <w:rPr>
                <w:rStyle w:val="Hyperlink"/>
                <w:noProof/>
                <w:lang w:bidi="hi-IN"/>
              </w:rPr>
              <w:t>D2.7.5 Transferability of SRL MA</w:t>
            </w:r>
            <w:r>
              <w:rPr>
                <w:noProof/>
                <w:webHidden/>
              </w:rPr>
              <w:tab/>
            </w:r>
            <w:r>
              <w:rPr>
                <w:noProof/>
                <w:webHidden/>
              </w:rPr>
              <w:fldChar w:fldCharType="begin"/>
            </w:r>
            <w:r>
              <w:rPr>
                <w:noProof/>
                <w:webHidden/>
              </w:rPr>
              <w:instrText xml:space="preserve"> PAGEREF _Toc500319461 \h </w:instrText>
            </w:r>
            <w:r>
              <w:rPr>
                <w:noProof/>
                <w:webHidden/>
              </w:rPr>
            </w:r>
            <w:r>
              <w:rPr>
                <w:noProof/>
                <w:webHidden/>
              </w:rPr>
              <w:fldChar w:fldCharType="separate"/>
            </w:r>
            <w:r>
              <w:rPr>
                <w:noProof/>
                <w:webHidden/>
              </w:rPr>
              <w:t>217</w:t>
            </w:r>
            <w:r>
              <w:rPr>
                <w:noProof/>
                <w:webHidden/>
              </w:rPr>
              <w:fldChar w:fldCharType="end"/>
            </w:r>
          </w:hyperlink>
        </w:p>
        <w:p w14:paraId="78D4C1E3"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2" w:history="1">
            <w:r w:rsidRPr="00DB66A8">
              <w:rPr>
                <w:rStyle w:val="Hyperlink"/>
                <w:noProof/>
                <w:lang w:bidi="hi-IN"/>
              </w:rPr>
              <w:t>D2.7.6 Measures of Quality and Rigour</w:t>
            </w:r>
            <w:r>
              <w:rPr>
                <w:noProof/>
                <w:webHidden/>
              </w:rPr>
              <w:tab/>
            </w:r>
            <w:r>
              <w:rPr>
                <w:noProof/>
                <w:webHidden/>
              </w:rPr>
              <w:fldChar w:fldCharType="begin"/>
            </w:r>
            <w:r>
              <w:rPr>
                <w:noProof/>
                <w:webHidden/>
              </w:rPr>
              <w:instrText xml:space="preserve"> PAGEREF _Toc500319462 \h </w:instrText>
            </w:r>
            <w:r>
              <w:rPr>
                <w:noProof/>
                <w:webHidden/>
              </w:rPr>
            </w:r>
            <w:r>
              <w:rPr>
                <w:noProof/>
                <w:webHidden/>
              </w:rPr>
              <w:fldChar w:fldCharType="separate"/>
            </w:r>
            <w:r>
              <w:rPr>
                <w:noProof/>
                <w:webHidden/>
              </w:rPr>
              <w:t>218</w:t>
            </w:r>
            <w:r>
              <w:rPr>
                <w:noProof/>
                <w:webHidden/>
              </w:rPr>
              <w:fldChar w:fldCharType="end"/>
            </w:r>
          </w:hyperlink>
        </w:p>
        <w:p w14:paraId="151F1FDF"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63" w:history="1">
            <w:r w:rsidRPr="00DB66A8">
              <w:rPr>
                <w:rStyle w:val="Hyperlink"/>
                <w:noProof/>
                <w:lang w:val="en-GB" w:bidi="hi-IN"/>
              </w:rPr>
              <w:t>D2.8 Reflective Account</w:t>
            </w:r>
            <w:r>
              <w:rPr>
                <w:noProof/>
                <w:webHidden/>
              </w:rPr>
              <w:tab/>
            </w:r>
            <w:r>
              <w:rPr>
                <w:noProof/>
                <w:webHidden/>
              </w:rPr>
              <w:fldChar w:fldCharType="begin"/>
            </w:r>
            <w:r>
              <w:rPr>
                <w:noProof/>
                <w:webHidden/>
              </w:rPr>
              <w:instrText xml:space="preserve"> PAGEREF _Toc500319463 \h </w:instrText>
            </w:r>
            <w:r>
              <w:rPr>
                <w:noProof/>
                <w:webHidden/>
              </w:rPr>
            </w:r>
            <w:r>
              <w:rPr>
                <w:noProof/>
                <w:webHidden/>
              </w:rPr>
              <w:fldChar w:fldCharType="separate"/>
            </w:r>
            <w:r>
              <w:rPr>
                <w:noProof/>
                <w:webHidden/>
              </w:rPr>
              <w:t>220</w:t>
            </w:r>
            <w:r>
              <w:rPr>
                <w:noProof/>
                <w:webHidden/>
              </w:rPr>
              <w:fldChar w:fldCharType="end"/>
            </w:r>
          </w:hyperlink>
        </w:p>
        <w:p w14:paraId="661671F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64" w:history="1">
            <w:r w:rsidRPr="00DB66A8">
              <w:rPr>
                <w:rStyle w:val="Hyperlink"/>
                <w:noProof/>
                <w:lang w:val="en-GB" w:bidi="hi-IN"/>
              </w:rPr>
              <w:t>D2.9 Significance of this Research and Recommendations for Future Work</w:t>
            </w:r>
            <w:r>
              <w:rPr>
                <w:noProof/>
                <w:webHidden/>
              </w:rPr>
              <w:tab/>
            </w:r>
            <w:r>
              <w:rPr>
                <w:noProof/>
                <w:webHidden/>
              </w:rPr>
              <w:fldChar w:fldCharType="begin"/>
            </w:r>
            <w:r>
              <w:rPr>
                <w:noProof/>
                <w:webHidden/>
              </w:rPr>
              <w:instrText xml:space="preserve"> PAGEREF _Toc500319464 \h </w:instrText>
            </w:r>
            <w:r>
              <w:rPr>
                <w:noProof/>
                <w:webHidden/>
              </w:rPr>
            </w:r>
            <w:r>
              <w:rPr>
                <w:noProof/>
                <w:webHidden/>
              </w:rPr>
              <w:fldChar w:fldCharType="separate"/>
            </w:r>
            <w:r>
              <w:rPr>
                <w:noProof/>
                <w:webHidden/>
              </w:rPr>
              <w:t>222</w:t>
            </w:r>
            <w:r>
              <w:rPr>
                <w:noProof/>
                <w:webHidden/>
              </w:rPr>
              <w:fldChar w:fldCharType="end"/>
            </w:r>
          </w:hyperlink>
        </w:p>
        <w:p w14:paraId="061F2DA2"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5" w:history="1">
            <w:r w:rsidRPr="00DB66A8">
              <w:rPr>
                <w:rStyle w:val="Hyperlink"/>
                <w:noProof/>
                <w:lang w:bidi="hi-IN"/>
              </w:rPr>
              <w:t>D2.9.1 Learning Transfer and Context</w:t>
            </w:r>
            <w:r>
              <w:rPr>
                <w:noProof/>
                <w:webHidden/>
              </w:rPr>
              <w:tab/>
            </w:r>
            <w:r>
              <w:rPr>
                <w:noProof/>
                <w:webHidden/>
              </w:rPr>
              <w:fldChar w:fldCharType="begin"/>
            </w:r>
            <w:r>
              <w:rPr>
                <w:noProof/>
                <w:webHidden/>
              </w:rPr>
              <w:instrText xml:space="preserve"> PAGEREF _Toc500319465 \h </w:instrText>
            </w:r>
            <w:r>
              <w:rPr>
                <w:noProof/>
                <w:webHidden/>
              </w:rPr>
            </w:r>
            <w:r>
              <w:rPr>
                <w:noProof/>
                <w:webHidden/>
              </w:rPr>
              <w:fldChar w:fldCharType="separate"/>
            </w:r>
            <w:r>
              <w:rPr>
                <w:noProof/>
                <w:webHidden/>
              </w:rPr>
              <w:t>222</w:t>
            </w:r>
            <w:r>
              <w:rPr>
                <w:noProof/>
                <w:webHidden/>
              </w:rPr>
              <w:fldChar w:fldCharType="end"/>
            </w:r>
          </w:hyperlink>
        </w:p>
        <w:p w14:paraId="752660F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6" w:history="1">
            <w:r w:rsidRPr="00DB66A8">
              <w:rPr>
                <w:rStyle w:val="Hyperlink"/>
                <w:noProof/>
                <w:lang w:bidi="hi-IN"/>
              </w:rPr>
              <w:t>D2.9.2 Focusing on SRL Informed Feedback</w:t>
            </w:r>
            <w:r>
              <w:rPr>
                <w:noProof/>
                <w:webHidden/>
              </w:rPr>
              <w:tab/>
            </w:r>
            <w:r>
              <w:rPr>
                <w:noProof/>
                <w:webHidden/>
              </w:rPr>
              <w:fldChar w:fldCharType="begin"/>
            </w:r>
            <w:r>
              <w:rPr>
                <w:noProof/>
                <w:webHidden/>
              </w:rPr>
              <w:instrText xml:space="preserve"> PAGEREF _Toc500319466 \h </w:instrText>
            </w:r>
            <w:r>
              <w:rPr>
                <w:noProof/>
                <w:webHidden/>
              </w:rPr>
            </w:r>
            <w:r>
              <w:rPr>
                <w:noProof/>
                <w:webHidden/>
              </w:rPr>
              <w:fldChar w:fldCharType="separate"/>
            </w:r>
            <w:r>
              <w:rPr>
                <w:noProof/>
                <w:webHidden/>
              </w:rPr>
              <w:t>223</w:t>
            </w:r>
            <w:r>
              <w:rPr>
                <w:noProof/>
                <w:webHidden/>
              </w:rPr>
              <w:fldChar w:fldCharType="end"/>
            </w:r>
          </w:hyperlink>
        </w:p>
        <w:p w14:paraId="5C62B7A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7" w:history="1">
            <w:r w:rsidRPr="00DB66A8">
              <w:rPr>
                <w:rStyle w:val="Hyperlink"/>
                <w:noProof/>
                <w:lang w:bidi="hi-IN"/>
              </w:rPr>
              <w:t>D2.9.3 Contribution of the SRL MA method and conceptual models</w:t>
            </w:r>
            <w:r>
              <w:rPr>
                <w:noProof/>
                <w:webHidden/>
              </w:rPr>
              <w:tab/>
            </w:r>
            <w:r>
              <w:rPr>
                <w:noProof/>
                <w:webHidden/>
              </w:rPr>
              <w:fldChar w:fldCharType="begin"/>
            </w:r>
            <w:r>
              <w:rPr>
                <w:noProof/>
                <w:webHidden/>
              </w:rPr>
              <w:instrText xml:space="preserve"> PAGEREF _Toc500319467 \h </w:instrText>
            </w:r>
            <w:r>
              <w:rPr>
                <w:noProof/>
                <w:webHidden/>
              </w:rPr>
            </w:r>
            <w:r>
              <w:rPr>
                <w:noProof/>
                <w:webHidden/>
              </w:rPr>
              <w:fldChar w:fldCharType="separate"/>
            </w:r>
            <w:r>
              <w:rPr>
                <w:noProof/>
                <w:webHidden/>
              </w:rPr>
              <w:t>224</w:t>
            </w:r>
            <w:r>
              <w:rPr>
                <w:noProof/>
                <w:webHidden/>
              </w:rPr>
              <w:fldChar w:fldCharType="end"/>
            </w:r>
          </w:hyperlink>
        </w:p>
        <w:p w14:paraId="522C45ED"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8" w:history="1">
            <w:r w:rsidRPr="00DB66A8">
              <w:rPr>
                <w:rStyle w:val="Hyperlink"/>
                <w:noProof/>
                <w:lang w:bidi="hi-IN"/>
              </w:rPr>
              <w:t>D2.9.4 SRL Support from Clinical Supervisors</w:t>
            </w:r>
            <w:r>
              <w:rPr>
                <w:noProof/>
                <w:webHidden/>
              </w:rPr>
              <w:tab/>
            </w:r>
            <w:r>
              <w:rPr>
                <w:noProof/>
                <w:webHidden/>
              </w:rPr>
              <w:fldChar w:fldCharType="begin"/>
            </w:r>
            <w:r>
              <w:rPr>
                <w:noProof/>
                <w:webHidden/>
              </w:rPr>
              <w:instrText xml:space="preserve"> PAGEREF _Toc500319468 \h </w:instrText>
            </w:r>
            <w:r>
              <w:rPr>
                <w:noProof/>
                <w:webHidden/>
              </w:rPr>
            </w:r>
            <w:r>
              <w:rPr>
                <w:noProof/>
                <w:webHidden/>
              </w:rPr>
              <w:fldChar w:fldCharType="separate"/>
            </w:r>
            <w:r>
              <w:rPr>
                <w:noProof/>
                <w:webHidden/>
              </w:rPr>
              <w:t>226</w:t>
            </w:r>
            <w:r>
              <w:rPr>
                <w:noProof/>
                <w:webHidden/>
              </w:rPr>
              <w:fldChar w:fldCharType="end"/>
            </w:r>
          </w:hyperlink>
        </w:p>
        <w:p w14:paraId="07838126"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469" w:history="1">
            <w:r w:rsidRPr="00DB66A8">
              <w:rPr>
                <w:rStyle w:val="Hyperlink"/>
                <w:noProof/>
                <w:lang w:bidi="hi-IN"/>
              </w:rPr>
              <w:t>D2.9.5 Final summary</w:t>
            </w:r>
            <w:r>
              <w:rPr>
                <w:noProof/>
                <w:webHidden/>
              </w:rPr>
              <w:tab/>
            </w:r>
            <w:r>
              <w:rPr>
                <w:noProof/>
                <w:webHidden/>
              </w:rPr>
              <w:fldChar w:fldCharType="begin"/>
            </w:r>
            <w:r>
              <w:rPr>
                <w:noProof/>
                <w:webHidden/>
              </w:rPr>
              <w:instrText xml:space="preserve"> PAGEREF _Toc500319469 \h </w:instrText>
            </w:r>
            <w:r>
              <w:rPr>
                <w:noProof/>
                <w:webHidden/>
              </w:rPr>
            </w:r>
            <w:r>
              <w:rPr>
                <w:noProof/>
                <w:webHidden/>
              </w:rPr>
              <w:fldChar w:fldCharType="separate"/>
            </w:r>
            <w:r>
              <w:rPr>
                <w:noProof/>
                <w:webHidden/>
              </w:rPr>
              <w:t>228</w:t>
            </w:r>
            <w:r>
              <w:rPr>
                <w:noProof/>
                <w:webHidden/>
              </w:rPr>
              <w:fldChar w:fldCharType="end"/>
            </w:r>
          </w:hyperlink>
        </w:p>
        <w:p w14:paraId="5AFE3F6F" w14:textId="77777777" w:rsidR="00B27F0B" w:rsidRDefault="00B27F0B">
          <w:pPr>
            <w:pStyle w:val="TOC1"/>
            <w:rPr>
              <w:rFonts w:asciiTheme="minorHAnsi" w:hAnsiTheme="minorHAnsi" w:cstheme="minorBidi"/>
              <w:noProof/>
              <w:szCs w:val="24"/>
              <w:lang w:val="en-GB" w:eastAsia="en-GB"/>
            </w:rPr>
          </w:pPr>
          <w:hyperlink w:anchor="_Toc500319470" w:history="1">
            <w:r w:rsidRPr="00DB66A8">
              <w:rPr>
                <w:rStyle w:val="Hyperlink"/>
                <w:noProof/>
              </w:rPr>
              <w:t>References</w:t>
            </w:r>
            <w:r>
              <w:rPr>
                <w:noProof/>
                <w:webHidden/>
              </w:rPr>
              <w:tab/>
            </w:r>
            <w:r>
              <w:rPr>
                <w:noProof/>
                <w:webHidden/>
              </w:rPr>
              <w:fldChar w:fldCharType="begin"/>
            </w:r>
            <w:r>
              <w:rPr>
                <w:noProof/>
                <w:webHidden/>
              </w:rPr>
              <w:instrText xml:space="preserve"> PAGEREF _Toc500319470 \h </w:instrText>
            </w:r>
            <w:r>
              <w:rPr>
                <w:noProof/>
                <w:webHidden/>
              </w:rPr>
            </w:r>
            <w:r>
              <w:rPr>
                <w:noProof/>
                <w:webHidden/>
              </w:rPr>
              <w:fldChar w:fldCharType="separate"/>
            </w:r>
            <w:r>
              <w:rPr>
                <w:noProof/>
                <w:webHidden/>
              </w:rPr>
              <w:t>229</w:t>
            </w:r>
            <w:r>
              <w:rPr>
                <w:noProof/>
                <w:webHidden/>
              </w:rPr>
              <w:fldChar w:fldCharType="end"/>
            </w:r>
          </w:hyperlink>
        </w:p>
        <w:p w14:paraId="66D45ABE" w14:textId="77777777" w:rsidR="00B27F0B" w:rsidRDefault="00B27F0B">
          <w:pPr>
            <w:pStyle w:val="TOC1"/>
            <w:rPr>
              <w:rFonts w:asciiTheme="minorHAnsi" w:hAnsiTheme="minorHAnsi" w:cstheme="minorBidi"/>
              <w:noProof/>
              <w:szCs w:val="24"/>
              <w:lang w:val="en-GB" w:eastAsia="en-GB"/>
            </w:rPr>
          </w:pPr>
          <w:hyperlink w:anchor="_Toc500319471" w:history="1">
            <w:r w:rsidRPr="00DB66A8">
              <w:rPr>
                <w:rStyle w:val="Hyperlink"/>
                <w:noProof/>
              </w:rPr>
              <w:t>Appendices</w:t>
            </w:r>
            <w:r>
              <w:rPr>
                <w:noProof/>
                <w:webHidden/>
              </w:rPr>
              <w:tab/>
            </w:r>
            <w:r>
              <w:rPr>
                <w:noProof/>
                <w:webHidden/>
              </w:rPr>
              <w:fldChar w:fldCharType="begin"/>
            </w:r>
            <w:r>
              <w:rPr>
                <w:noProof/>
                <w:webHidden/>
              </w:rPr>
              <w:instrText xml:space="preserve"> PAGEREF _Toc500319471 \h </w:instrText>
            </w:r>
            <w:r>
              <w:rPr>
                <w:noProof/>
                <w:webHidden/>
              </w:rPr>
            </w:r>
            <w:r>
              <w:rPr>
                <w:noProof/>
                <w:webHidden/>
              </w:rPr>
              <w:fldChar w:fldCharType="separate"/>
            </w:r>
            <w:r>
              <w:rPr>
                <w:noProof/>
                <w:webHidden/>
              </w:rPr>
              <w:t>269</w:t>
            </w:r>
            <w:r>
              <w:rPr>
                <w:noProof/>
                <w:webHidden/>
              </w:rPr>
              <w:fldChar w:fldCharType="end"/>
            </w:r>
          </w:hyperlink>
        </w:p>
        <w:p w14:paraId="7BAA078E"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2" w:history="1">
            <w:r w:rsidRPr="00DB66A8">
              <w:rPr>
                <w:rStyle w:val="Hyperlink"/>
                <w:noProof/>
                <w:lang w:val="en-GB" w:bidi="hi-IN"/>
              </w:rPr>
              <w:t>Appendix 1. Sample SRL MA Checklist and Question Sheet.</w:t>
            </w:r>
            <w:r>
              <w:rPr>
                <w:noProof/>
                <w:webHidden/>
              </w:rPr>
              <w:tab/>
            </w:r>
            <w:r>
              <w:rPr>
                <w:noProof/>
                <w:webHidden/>
              </w:rPr>
              <w:fldChar w:fldCharType="begin"/>
            </w:r>
            <w:r>
              <w:rPr>
                <w:noProof/>
                <w:webHidden/>
              </w:rPr>
              <w:instrText xml:space="preserve"> PAGEREF _Toc500319472 \h </w:instrText>
            </w:r>
            <w:r>
              <w:rPr>
                <w:noProof/>
                <w:webHidden/>
              </w:rPr>
            </w:r>
            <w:r>
              <w:rPr>
                <w:noProof/>
                <w:webHidden/>
              </w:rPr>
              <w:fldChar w:fldCharType="separate"/>
            </w:r>
            <w:r>
              <w:rPr>
                <w:noProof/>
                <w:webHidden/>
              </w:rPr>
              <w:t>269</w:t>
            </w:r>
            <w:r>
              <w:rPr>
                <w:noProof/>
                <w:webHidden/>
              </w:rPr>
              <w:fldChar w:fldCharType="end"/>
            </w:r>
          </w:hyperlink>
        </w:p>
        <w:p w14:paraId="44F0DF4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3" w:history="1">
            <w:r w:rsidRPr="00DB66A8">
              <w:rPr>
                <w:rStyle w:val="Hyperlink"/>
                <w:noProof/>
                <w:lang w:val="en-GB" w:bidi="hi-IN"/>
              </w:rPr>
              <w:t>Appendix 2. Systematic Review Search Terms.</w:t>
            </w:r>
            <w:r>
              <w:rPr>
                <w:noProof/>
                <w:webHidden/>
              </w:rPr>
              <w:tab/>
            </w:r>
            <w:r>
              <w:rPr>
                <w:noProof/>
                <w:webHidden/>
              </w:rPr>
              <w:fldChar w:fldCharType="begin"/>
            </w:r>
            <w:r>
              <w:rPr>
                <w:noProof/>
                <w:webHidden/>
              </w:rPr>
              <w:instrText xml:space="preserve"> PAGEREF _Toc500319473 \h </w:instrText>
            </w:r>
            <w:r>
              <w:rPr>
                <w:noProof/>
                <w:webHidden/>
              </w:rPr>
            </w:r>
            <w:r>
              <w:rPr>
                <w:noProof/>
                <w:webHidden/>
              </w:rPr>
              <w:fldChar w:fldCharType="separate"/>
            </w:r>
            <w:r>
              <w:rPr>
                <w:noProof/>
                <w:webHidden/>
              </w:rPr>
              <w:t>271</w:t>
            </w:r>
            <w:r>
              <w:rPr>
                <w:noProof/>
                <w:webHidden/>
              </w:rPr>
              <w:fldChar w:fldCharType="end"/>
            </w:r>
          </w:hyperlink>
        </w:p>
        <w:p w14:paraId="67B36B9B"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4" w:history="1">
            <w:r w:rsidRPr="00DB66A8">
              <w:rPr>
                <w:rStyle w:val="Hyperlink"/>
                <w:noProof/>
                <w:lang w:val="en-GB" w:bidi="hi-IN"/>
              </w:rPr>
              <w:t>Appendix 3.  The TREND Checklist.</w:t>
            </w:r>
            <w:r>
              <w:rPr>
                <w:noProof/>
                <w:webHidden/>
              </w:rPr>
              <w:tab/>
            </w:r>
            <w:r>
              <w:rPr>
                <w:noProof/>
                <w:webHidden/>
              </w:rPr>
              <w:fldChar w:fldCharType="begin"/>
            </w:r>
            <w:r>
              <w:rPr>
                <w:noProof/>
                <w:webHidden/>
              </w:rPr>
              <w:instrText xml:space="preserve"> PAGEREF _Toc500319474 \h </w:instrText>
            </w:r>
            <w:r>
              <w:rPr>
                <w:noProof/>
                <w:webHidden/>
              </w:rPr>
            </w:r>
            <w:r>
              <w:rPr>
                <w:noProof/>
                <w:webHidden/>
              </w:rPr>
              <w:fldChar w:fldCharType="separate"/>
            </w:r>
            <w:r>
              <w:rPr>
                <w:noProof/>
                <w:webHidden/>
              </w:rPr>
              <w:t>273</w:t>
            </w:r>
            <w:r>
              <w:rPr>
                <w:noProof/>
                <w:webHidden/>
              </w:rPr>
              <w:fldChar w:fldCharType="end"/>
            </w:r>
          </w:hyperlink>
        </w:p>
        <w:p w14:paraId="693402F5"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5" w:history="1">
            <w:r w:rsidRPr="00DB66A8">
              <w:rPr>
                <w:rStyle w:val="Hyperlink"/>
                <w:noProof/>
                <w:lang w:val="en-GB" w:bidi="hi-IN"/>
              </w:rPr>
              <w:t>Appendix 4. Data Extraction Summary Form.</w:t>
            </w:r>
            <w:r>
              <w:rPr>
                <w:noProof/>
                <w:webHidden/>
              </w:rPr>
              <w:tab/>
            </w:r>
            <w:r>
              <w:rPr>
                <w:noProof/>
                <w:webHidden/>
              </w:rPr>
              <w:fldChar w:fldCharType="begin"/>
            </w:r>
            <w:r>
              <w:rPr>
                <w:noProof/>
                <w:webHidden/>
              </w:rPr>
              <w:instrText xml:space="preserve"> PAGEREF _Toc500319475 \h </w:instrText>
            </w:r>
            <w:r>
              <w:rPr>
                <w:noProof/>
                <w:webHidden/>
              </w:rPr>
            </w:r>
            <w:r>
              <w:rPr>
                <w:noProof/>
                <w:webHidden/>
              </w:rPr>
              <w:fldChar w:fldCharType="separate"/>
            </w:r>
            <w:r>
              <w:rPr>
                <w:noProof/>
                <w:webHidden/>
              </w:rPr>
              <w:t>276</w:t>
            </w:r>
            <w:r>
              <w:rPr>
                <w:noProof/>
                <w:webHidden/>
              </w:rPr>
              <w:fldChar w:fldCharType="end"/>
            </w:r>
          </w:hyperlink>
        </w:p>
        <w:p w14:paraId="0B624F3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6" w:history="1">
            <w:r w:rsidRPr="00DB66A8">
              <w:rPr>
                <w:rStyle w:val="Hyperlink"/>
                <w:noProof/>
                <w:lang w:val="en-GB" w:bidi="hi-IN"/>
              </w:rPr>
              <w:t>Appendix 5. Ethical Approval Letter and Amendments.</w:t>
            </w:r>
            <w:r>
              <w:rPr>
                <w:noProof/>
                <w:webHidden/>
              </w:rPr>
              <w:tab/>
            </w:r>
            <w:r>
              <w:rPr>
                <w:noProof/>
                <w:webHidden/>
              </w:rPr>
              <w:fldChar w:fldCharType="begin"/>
            </w:r>
            <w:r>
              <w:rPr>
                <w:noProof/>
                <w:webHidden/>
              </w:rPr>
              <w:instrText xml:space="preserve"> PAGEREF _Toc500319476 \h </w:instrText>
            </w:r>
            <w:r>
              <w:rPr>
                <w:noProof/>
                <w:webHidden/>
              </w:rPr>
            </w:r>
            <w:r>
              <w:rPr>
                <w:noProof/>
                <w:webHidden/>
              </w:rPr>
              <w:fldChar w:fldCharType="separate"/>
            </w:r>
            <w:r>
              <w:rPr>
                <w:noProof/>
                <w:webHidden/>
              </w:rPr>
              <w:t>285</w:t>
            </w:r>
            <w:r>
              <w:rPr>
                <w:noProof/>
                <w:webHidden/>
              </w:rPr>
              <w:fldChar w:fldCharType="end"/>
            </w:r>
          </w:hyperlink>
        </w:p>
        <w:p w14:paraId="5584CAA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7" w:history="1">
            <w:r w:rsidRPr="00DB66A8">
              <w:rPr>
                <w:rStyle w:val="Hyperlink"/>
                <w:noProof/>
                <w:lang w:val="en-GB" w:bidi="hi-IN"/>
              </w:rPr>
              <w:t>Appendix 6. All Recruitment Material, Information Sheets, and Consent Forms for Teachers.</w:t>
            </w:r>
            <w:r>
              <w:rPr>
                <w:noProof/>
                <w:webHidden/>
              </w:rPr>
              <w:tab/>
            </w:r>
            <w:r>
              <w:rPr>
                <w:noProof/>
                <w:webHidden/>
              </w:rPr>
              <w:fldChar w:fldCharType="begin"/>
            </w:r>
            <w:r>
              <w:rPr>
                <w:noProof/>
                <w:webHidden/>
              </w:rPr>
              <w:instrText xml:space="preserve"> PAGEREF _Toc500319477 \h </w:instrText>
            </w:r>
            <w:r>
              <w:rPr>
                <w:noProof/>
                <w:webHidden/>
              </w:rPr>
            </w:r>
            <w:r>
              <w:rPr>
                <w:noProof/>
                <w:webHidden/>
              </w:rPr>
              <w:fldChar w:fldCharType="separate"/>
            </w:r>
            <w:r>
              <w:rPr>
                <w:noProof/>
                <w:webHidden/>
              </w:rPr>
              <w:t>286</w:t>
            </w:r>
            <w:r>
              <w:rPr>
                <w:noProof/>
                <w:webHidden/>
              </w:rPr>
              <w:fldChar w:fldCharType="end"/>
            </w:r>
          </w:hyperlink>
        </w:p>
        <w:p w14:paraId="625EC620"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8" w:history="1">
            <w:r w:rsidRPr="00DB66A8">
              <w:rPr>
                <w:rStyle w:val="Hyperlink"/>
                <w:noProof/>
                <w:lang w:val="en-GB" w:bidi="hi-IN"/>
              </w:rPr>
              <w:t>Appendix 7. Recruitment Material, Information Sheets, and Consent Forms for Students in the Intervention Phase.</w:t>
            </w:r>
            <w:r>
              <w:rPr>
                <w:noProof/>
                <w:webHidden/>
              </w:rPr>
              <w:tab/>
            </w:r>
            <w:r>
              <w:rPr>
                <w:noProof/>
                <w:webHidden/>
              </w:rPr>
              <w:fldChar w:fldCharType="begin"/>
            </w:r>
            <w:r>
              <w:rPr>
                <w:noProof/>
                <w:webHidden/>
              </w:rPr>
              <w:instrText xml:space="preserve"> PAGEREF _Toc500319478 \h </w:instrText>
            </w:r>
            <w:r>
              <w:rPr>
                <w:noProof/>
                <w:webHidden/>
              </w:rPr>
            </w:r>
            <w:r>
              <w:rPr>
                <w:noProof/>
                <w:webHidden/>
              </w:rPr>
              <w:fldChar w:fldCharType="separate"/>
            </w:r>
            <w:r>
              <w:rPr>
                <w:noProof/>
                <w:webHidden/>
              </w:rPr>
              <w:t>294</w:t>
            </w:r>
            <w:r>
              <w:rPr>
                <w:noProof/>
                <w:webHidden/>
              </w:rPr>
              <w:fldChar w:fldCharType="end"/>
            </w:r>
          </w:hyperlink>
        </w:p>
        <w:p w14:paraId="68E39D9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79" w:history="1">
            <w:r w:rsidRPr="00DB66A8">
              <w:rPr>
                <w:rStyle w:val="Hyperlink"/>
                <w:noProof/>
                <w:lang w:val="en-GB" w:bidi="hi-IN"/>
              </w:rPr>
              <w:t>Appendix 8. Clinical Skills Teacher Training Materials.</w:t>
            </w:r>
            <w:r>
              <w:rPr>
                <w:noProof/>
                <w:webHidden/>
              </w:rPr>
              <w:tab/>
            </w:r>
            <w:r>
              <w:rPr>
                <w:noProof/>
                <w:webHidden/>
              </w:rPr>
              <w:fldChar w:fldCharType="begin"/>
            </w:r>
            <w:r>
              <w:rPr>
                <w:noProof/>
                <w:webHidden/>
              </w:rPr>
              <w:instrText xml:space="preserve"> PAGEREF _Toc500319479 \h </w:instrText>
            </w:r>
            <w:r>
              <w:rPr>
                <w:noProof/>
                <w:webHidden/>
              </w:rPr>
            </w:r>
            <w:r>
              <w:rPr>
                <w:noProof/>
                <w:webHidden/>
              </w:rPr>
              <w:fldChar w:fldCharType="separate"/>
            </w:r>
            <w:r>
              <w:rPr>
                <w:noProof/>
                <w:webHidden/>
              </w:rPr>
              <w:t>303</w:t>
            </w:r>
            <w:r>
              <w:rPr>
                <w:noProof/>
                <w:webHidden/>
              </w:rPr>
              <w:fldChar w:fldCharType="end"/>
            </w:r>
          </w:hyperlink>
        </w:p>
        <w:p w14:paraId="7F211C7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0" w:history="1">
            <w:r w:rsidRPr="00DB66A8">
              <w:rPr>
                <w:rStyle w:val="Hyperlink"/>
                <w:noProof/>
                <w:lang w:val="en-GB" w:bidi="hi-IN"/>
              </w:rPr>
              <w:t>Appendix 9. Topic Guide – Teacher Interviews (BPF + SRL).</w:t>
            </w:r>
            <w:r>
              <w:rPr>
                <w:noProof/>
                <w:webHidden/>
              </w:rPr>
              <w:tab/>
            </w:r>
            <w:r>
              <w:rPr>
                <w:noProof/>
                <w:webHidden/>
              </w:rPr>
              <w:fldChar w:fldCharType="begin"/>
            </w:r>
            <w:r>
              <w:rPr>
                <w:noProof/>
                <w:webHidden/>
              </w:rPr>
              <w:instrText xml:space="preserve"> PAGEREF _Toc500319480 \h </w:instrText>
            </w:r>
            <w:r>
              <w:rPr>
                <w:noProof/>
                <w:webHidden/>
              </w:rPr>
            </w:r>
            <w:r>
              <w:rPr>
                <w:noProof/>
                <w:webHidden/>
              </w:rPr>
              <w:fldChar w:fldCharType="separate"/>
            </w:r>
            <w:r>
              <w:rPr>
                <w:noProof/>
                <w:webHidden/>
              </w:rPr>
              <w:t>319</w:t>
            </w:r>
            <w:r>
              <w:rPr>
                <w:noProof/>
                <w:webHidden/>
              </w:rPr>
              <w:fldChar w:fldCharType="end"/>
            </w:r>
          </w:hyperlink>
        </w:p>
        <w:p w14:paraId="344D078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1" w:history="1">
            <w:r w:rsidRPr="00DB66A8">
              <w:rPr>
                <w:rStyle w:val="Hyperlink"/>
                <w:noProof/>
                <w:lang w:val="en-GB" w:bidi="hi-IN"/>
              </w:rPr>
              <w:t>Appendix 10. Codebook – Teacher Interviews</w:t>
            </w:r>
            <w:r>
              <w:rPr>
                <w:noProof/>
                <w:webHidden/>
              </w:rPr>
              <w:tab/>
            </w:r>
            <w:r>
              <w:rPr>
                <w:noProof/>
                <w:webHidden/>
              </w:rPr>
              <w:fldChar w:fldCharType="begin"/>
            </w:r>
            <w:r>
              <w:rPr>
                <w:noProof/>
                <w:webHidden/>
              </w:rPr>
              <w:instrText xml:space="preserve"> PAGEREF _Toc500319481 \h </w:instrText>
            </w:r>
            <w:r>
              <w:rPr>
                <w:noProof/>
                <w:webHidden/>
              </w:rPr>
            </w:r>
            <w:r>
              <w:rPr>
                <w:noProof/>
                <w:webHidden/>
              </w:rPr>
              <w:fldChar w:fldCharType="separate"/>
            </w:r>
            <w:r>
              <w:rPr>
                <w:noProof/>
                <w:webHidden/>
              </w:rPr>
              <w:t>335</w:t>
            </w:r>
            <w:r>
              <w:rPr>
                <w:noProof/>
                <w:webHidden/>
              </w:rPr>
              <w:fldChar w:fldCharType="end"/>
            </w:r>
          </w:hyperlink>
        </w:p>
        <w:p w14:paraId="0A27604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2" w:history="1">
            <w:r w:rsidRPr="00DB66A8">
              <w:rPr>
                <w:rStyle w:val="Hyperlink"/>
                <w:noProof/>
                <w:lang w:val="en-GB" w:bidi="hi-IN"/>
              </w:rPr>
              <w:t>Appendix 11. Theme Review with Quotes – Teacher Interviews.</w:t>
            </w:r>
            <w:r>
              <w:rPr>
                <w:noProof/>
                <w:webHidden/>
              </w:rPr>
              <w:tab/>
            </w:r>
            <w:r>
              <w:rPr>
                <w:noProof/>
                <w:webHidden/>
              </w:rPr>
              <w:fldChar w:fldCharType="begin"/>
            </w:r>
            <w:r>
              <w:rPr>
                <w:noProof/>
                <w:webHidden/>
              </w:rPr>
              <w:instrText xml:space="preserve"> PAGEREF _Toc500319482 \h </w:instrText>
            </w:r>
            <w:r>
              <w:rPr>
                <w:noProof/>
                <w:webHidden/>
              </w:rPr>
            </w:r>
            <w:r>
              <w:rPr>
                <w:noProof/>
                <w:webHidden/>
              </w:rPr>
              <w:fldChar w:fldCharType="separate"/>
            </w:r>
            <w:r>
              <w:rPr>
                <w:noProof/>
                <w:webHidden/>
              </w:rPr>
              <w:t>342</w:t>
            </w:r>
            <w:r>
              <w:rPr>
                <w:noProof/>
                <w:webHidden/>
              </w:rPr>
              <w:fldChar w:fldCharType="end"/>
            </w:r>
          </w:hyperlink>
        </w:p>
        <w:p w14:paraId="23A626AB"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3" w:history="1">
            <w:r w:rsidRPr="00DB66A8">
              <w:rPr>
                <w:rStyle w:val="Hyperlink"/>
                <w:noProof/>
                <w:lang w:val="en-GB" w:bidi="hi-IN"/>
              </w:rPr>
              <w:t>Appendix 12. Summary of Theme Charting.</w:t>
            </w:r>
            <w:r>
              <w:rPr>
                <w:noProof/>
                <w:webHidden/>
              </w:rPr>
              <w:tab/>
            </w:r>
            <w:r>
              <w:rPr>
                <w:noProof/>
                <w:webHidden/>
              </w:rPr>
              <w:fldChar w:fldCharType="begin"/>
            </w:r>
            <w:r>
              <w:rPr>
                <w:noProof/>
                <w:webHidden/>
              </w:rPr>
              <w:instrText xml:space="preserve"> PAGEREF _Toc500319483 \h </w:instrText>
            </w:r>
            <w:r>
              <w:rPr>
                <w:noProof/>
                <w:webHidden/>
              </w:rPr>
            </w:r>
            <w:r>
              <w:rPr>
                <w:noProof/>
                <w:webHidden/>
              </w:rPr>
              <w:fldChar w:fldCharType="separate"/>
            </w:r>
            <w:r>
              <w:rPr>
                <w:noProof/>
                <w:webHidden/>
              </w:rPr>
              <w:t>357</w:t>
            </w:r>
            <w:r>
              <w:rPr>
                <w:noProof/>
                <w:webHidden/>
              </w:rPr>
              <w:fldChar w:fldCharType="end"/>
            </w:r>
          </w:hyperlink>
        </w:p>
        <w:p w14:paraId="3826268B"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4" w:history="1">
            <w:r w:rsidRPr="00DB66A8">
              <w:rPr>
                <w:rStyle w:val="Hyperlink"/>
                <w:noProof/>
                <w:lang w:val="en-GB" w:bidi="hi-IN"/>
              </w:rPr>
              <w:t>Appendix 13. Demographics of Teachers.</w:t>
            </w:r>
            <w:r>
              <w:rPr>
                <w:noProof/>
                <w:webHidden/>
              </w:rPr>
              <w:tab/>
            </w:r>
            <w:r>
              <w:rPr>
                <w:noProof/>
                <w:webHidden/>
              </w:rPr>
              <w:fldChar w:fldCharType="begin"/>
            </w:r>
            <w:r>
              <w:rPr>
                <w:noProof/>
                <w:webHidden/>
              </w:rPr>
              <w:instrText xml:space="preserve"> PAGEREF _Toc500319484 \h </w:instrText>
            </w:r>
            <w:r>
              <w:rPr>
                <w:noProof/>
                <w:webHidden/>
              </w:rPr>
            </w:r>
            <w:r>
              <w:rPr>
                <w:noProof/>
                <w:webHidden/>
              </w:rPr>
              <w:fldChar w:fldCharType="separate"/>
            </w:r>
            <w:r>
              <w:rPr>
                <w:noProof/>
                <w:webHidden/>
              </w:rPr>
              <w:t>358</w:t>
            </w:r>
            <w:r>
              <w:rPr>
                <w:noProof/>
                <w:webHidden/>
              </w:rPr>
              <w:fldChar w:fldCharType="end"/>
            </w:r>
          </w:hyperlink>
        </w:p>
        <w:p w14:paraId="2AA173B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5" w:history="1">
            <w:r w:rsidRPr="00DB66A8">
              <w:rPr>
                <w:rStyle w:val="Hyperlink"/>
                <w:noProof/>
                <w:lang w:val="en-GB" w:bidi="hi-IN"/>
              </w:rPr>
              <w:t>Appendix 14. The Short Self-Regulation Questionnaire (SSRQ).</w:t>
            </w:r>
            <w:r>
              <w:rPr>
                <w:noProof/>
                <w:webHidden/>
              </w:rPr>
              <w:tab/>
            </w:r>
            <w:r>
              <w:rPr>
                <w:noProof/>
                <w:webHidden/>
              </w:rPr>
              <w:fldChar w:fldCharType="begin"/>
            </w:r>
            <w:r>
              <w:rPr>
                <w:noProof/>
                <w:webHidden/>
              </w:rPr>
              <w:instrText xml:space="preserve"> PAGEREF _Toc500319485 \h </w:instrText>
            </w:r>
            <w:r>
              <w:rPr>
                <w:noProof/>
                <w:webHidden/>
              </w:rPr>
            </w:r>
            <w:r>
              <w:rPr>
                <w:noProof/>
                <w:webHidden/>
              </w:rPr>
              <w:fldChar w:fldCharType="separate"/>
            </w:r>
            <w:r>
              <w:rPr>
                <w:noProof/>
                <w:webHidden/>
              </w:rPr>
              <w:t>359</w:t>
            </w:r>
            <w:r>
              <w:rPr>
                <w:noProof/>
                <w:webHidden/>
              </w:rPr>
              <w:fldChar w:fldCharType="end"/>
            </w:r>
          </w:hyperlink>
        </w:p>
        <w:p w14:paraId="0EE12FCA"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6" w:history="1">
            <w:r w:rsidRPr="00DB66A8">
              <w:rPr>
                <w:rStyle w:val="Hyperlink"/>
                <w:noProof/>
                <w:lang w:val="en-GB" w:bidi="hi-IN"/>
              </w:rPr>
              <w:t>Appendix 15. The General Self-Efficacy Scale (GSE).</w:t>
            </w:r>
            <w:r>
              <w:rPr>
                <w:noProof/>
                <w:webHidden/>
              </w:rPr>
              <w:tab/>
            </w:r>
            <w:r>
              <w:rPr>
                <w:noProof/>
                <w:webHidden/>
              </w:rPr>
              <w:fldChar w:fldCharType="begin"/>
            </w:r>
            <w:r>
              <w:rPr>
                <w:noProof/>
                <w:webHidden/>
              </w:rPr>
              <w:instrText xml:space="preserve"> PAGEREF _Toc500319486 \h </w:instrText>
            </w:r>
            <w:r>
              <w:rPr>
                <w:noProof/>
                <w:webHidden/>
              </w:rPr>
            </w:r>
            <w:r>
              <w:rPr>
                <w:noProof/>
                <w:webHidden/>
              </w:rPr>
              <w:fldChar w:fldCharType="separate"/>
            </w:r>
            <w:r>
              <w:rPr>
                <w:noProof/>
                <w:webHidden/>
              </w:rPr>
              <w:t>361</w:t>
            </w:r>
            <w:r>
              <w:rPr>
                <w:noProof/>
                <w:webHidden/>
              </w:rPr>
              <w:fldChar w:fldCharType="end"/>
            </w:r>
          </w:hyperlink>
        </w:p>
        <w:p w14:paraId="6FF318F8"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7" w:history="1">
            <w:r w:rsidRPr="00DB66A8">
              <w:rPr>
                <w:rStyle w:val="Hyperlink"/>
                <w:noProof/>
                <w:lang w:val="en-GB" w:bidi="hi-IN"/>
              </w:rPr>
              <w:t>Appendix 16. Recruitment Material, Information Sheet, and Consent Form for Students Participating in the Validation of the SSRQ.</w:t>
            </w:r>
            <w:r>
              <w:rPr>
                <w:noProof/>
                <w:webHidden/>
              </w:rPr>
              <w:tab/>
            </w:r>
            <w:r>
              <w:rPr>
                <w:noProof/>
                <w:webHidden/>
              </w:rPr>
              <w:fldChar w:fldCharType="begin"/>
            </w:r>
            <w:r>
              <w:rPr>
                <w:noProof/>
                <w:webHidden/>
              </w:rPr>
              <w:instrText xml:space="preserve"> PAGEREF _Toc500319487 \h </w:instrText>
            </w:r>
            <w:r>
              <w:rPr>
                <w:noProof/>
                <w:webHidden/>
              </w:rPr>
            </w:r>
            <w:r>
              <w:rPr>
                <w:noProof/>
                <w:webHidden/>
              </w:rPr>
              <w:fldChar w:fldCharType="separate"/>
            </w:r>
            <w:r>
              <w:rPr>
                <w:noProof/>
                <w:webHidden/>
              </w:rPr>
              <w:t>362</w:t>
            </w:r>
            <w:r>
              <w:rPr>
                <w:noProof/>
                <w:webHidden/>
              </w:rPr>
              <w:fldChar w:fldCharType="end"/>
            </w:r>
          </w:hyperlink>
        </w:p>
        <w:p w14:paraId="5C11D1F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8" w:history="1">
            <w:r w:rsidRPr="00DB66A8">
              <w:rPr>
                <w:rStyle w:val="Hyperlink"/>
                <w:noProof/>
                <w:lang w:val="en-GB" w:bidi="hi-IN"/>
              </w:rPr>
              <w:t>Appendix 17. Ethical approval – Amendment Confirmation.</w:t>
            </w:r>
            <w:r>
              <w:rPr>
                <w:noProof/>
                <w:webHidden/>
              </w:rPr>
              <w:tab/>
            </w:r>
            <w:r>
              <w:rPr>
                <w:noProof/>
                <w:webHidden/>
              </w:rPr>
              <w:fldChar w:fldCharType="begin"/>
            </w:r>
            <w:r>
              <w:rPr>
                <w:noProof/>
                <w:webHidden/>
              </w:rPr>
              <w:instrText xml:space="preserve"> PAGEREF _Toc500319488 \h </w:instrText>
            </w:r>
            <w:r>
              <w:rPr>
                <w:noProof/>
                <w:webHidden/>
              </w:rPr>
            </w:r>
            <w:r>
              <w:rPr>
                <w:noProof/>
                <w:webHidden/>
              </w:rPr>
              <w:fldChar w:fldCharType="separate"/>
            </w:r>
            <w:r>
              <w:rPr>
                <w:noProof/>
                <w:webHidden/>
              </w:rPr>
              <w:t>365</w:t>
            </w:r>
            <w:r>
              <w:rPr>
                <w:noProof/>
                <w:webHidden/>
              </w:rPr>
              <w:fldChar w:fldCharType="end"/>
            </w:r>
          </w:hyperlink>
        </w:p>
        <w:p w14:paraId="32B0AB8D"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89" w:history="1">
            <w:r w:rsidRPr="00DB66A8">
              <w:rPr>
                <w:rStyle w:val="Hyperlink"/>
                <w:noProof/>
                <w:lang w:val="en-GB" w:bidi="hi-IN"/>
              </w:rPr>
              <w:t>Appendix 18. Recruitment Material, Information Sheets, and Consent Forms for Student Focus Groups and Interviews.</w:t>
            </w:r>
            <w:r>
              <w:rPr>
                <w:noProof/>
                <w:webHidden/>
              </w:rPr>
              <w:tab/>
            </w:r>
            <w:r>
              <w:rPr>
                <w:noProof/>
                <w:webHidden/>
              </w:rPr>
              <w:fldChar w:fldCharType="begin"/>
            </w:r>
            <w:r>
              <w:rPr>
                <w:noProof/>
                <w:webHidden/>
              </w:rPr>
              <w:instrText xml:space="preserve"> PAGEREF _Toc500319489 \h </w:instrText>
            </w:r>
            <w:r>
              <w:rPr>
                <w:noProof/>
                <w:webHidden/>
              </w:rPr>
            </w:r>
            <w:r>
              <w:rPr>
                <w:noProof/>
                <w:webHidden/>
              </w:rPr>
              <w:fldChar w:fldCharType="separate"/>
            </w:r>
            <w:r>
              <w:rPr>
                <w:noProof/>
                <w:webHidden/>
              </w:rPr>
              <w:t>368</w:t>
            </w:r>
            <w:r>
              <w:rPr>
                <w:noProof/>
                <w:webHidden/>
              </w:rPr>
              <w:fldChar w:fldCharType="end"/>
            </w:r>
          </w:hyperlink>
        </w:p>
        <w:p w14:paraId="3EB20A4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0" w:history="1">
            <w:r w:rsidRPr="00DB66A8">
              <w:rPr>
                <w:rStyle w:val="Hyperlink"/>
                <w:noProof/>
                <w:lang w:val="en-GB" w:bidi="hi-IN"/>
              </w:rPr>
              <w:t>Appendix 19. Participant Demographics – Focus Groups and Interviews.</w:t>
            </w:r>
            <w:r>
              <w:rPr>
                <w:noProof/>
                <w:webHidden/>
              </w:rPr>
              <w:tab/>
            </w:r>
            <w:r>
              <w:rPr>
                <w:noProof/>
                <w:webHidden/>
              </w:rPr>
              <w:fldChar w:fldCharType="begin"/>
            </w:r>
            <w:r>
              <w:rPr>
                <w:noProof/>
                <w:webHidden/>
              </w:rPr>
              <w:instrText xml:space="preserve"> PAGEREF _Toc500319490 \h </w:instrText>
            </w:r>
            <w:r>
              <w:rPr>
                <w:noProof/>
                <w:webHidden/>
              </w:rPr>
            </w:r>
            <w:r>
              <w:rPr>
                <w:noProof/>
                <w:webHidden/>
              </w:rPr>
              <w:fldChar w:fldCharType="separate"/>
            </w:r>
            <w:r>
              <w:rPr>
                <w:noProof/>
                <w:webHidden/>
              </w:rPr>
              <w:t>378</w:t>
            </w:r>
            <w:r>
              <w:rPr>
                <w:noProof/>
                <w:webHidden/>
              </w:rPr>
              <w:fldChar w:fldCharType="end"/>
            </w:r>
          </w:hyperlink>
        </w:p>
        <w:p w14:paraId="4F4024C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1" w:history="1">
            <w:r w:rsidRPr="00DB66A8">
              <w:rPr>
                <w:rStyle w:val="Hyperlink"/>
                <w:noProof/>
                <w:lang w:val="en-GB" w:bidi="hi-IN"/>
              </w:rPr>
              <w:t>Appendix 20. Stratified Sampling Frame for Focus Groups and Interviews.</w:t>
            </w:r>
            <w:r>
              <w:rPr>
                <w:noProof/>
                <w:webHidden/>
              </w:rPr>
              <w:tab/>
            </w:r>
            <w:r>
              <w:rPr>
                <w:noProof/>
                <w:webHidden/>
              </w:rPr>
              <w:fldChar w:fldCharType="begin"/>
            </w:r>
            <w:r>
              <w:rPr>
                <w:noProof/>
                <w:webHidden/>
              </w:rPr>
              <w:instrText xml:space="preserve"> PAGEREF _Toc500319491 \h </w:instrText>
            </w:r>
            <w:r>
              <w:rPr>
                <w:noProof/>
                <w:webHidden/>
              </w:rPr>
            </w:r>
            <w:r>
              <w:rPr>
                <w:noProof/>
                <w:webHidden/>
              </w:rPr>
              <w:fldChar w:fldCharType="separate"/>
            </w:r>
            <w:r>
              <w:rPr>
                <w:noProof/>
                <w:webHidden/>
              </w:rPr>
              <w:t>380</w:t>
            </w:r>
            <w:r>
              <w:rPr>
                <w:noProof/>
                <w:webHidden/>
              </w:rPr>
              <w:fldChar w:fldCharType="end"/>
            </w:r>
          </w:hyperlink>
        </w:p>
        <w:p w14:paraId="6ACF8C8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2" w:history="1">
            <w:r w:rsidRPr="00DB66A8">
              <w:rPr>
                <w:rStyle w:val="Hyperlink"/>
                <w:noProof/>
                <w:lang w:val="en-GB" w:bidi="hi-IN"/>
              </w:rPr>
              <w:t>Appendix 21. Topic Guide – Focus Groups.</w:t>
            </w:r>
            <w:r>
              <w:rPr>
                <w:noProof/>
                <w:webHidden/>
              </w:rPr>
              <w:tab/>
            </w:r>
            <w:r>
              <w:rPr>
                <w:noProof/>
                <w:webHidden/>
              </w:rPr>
              <w:fldChar w:fldCharType="begin"/>
            </w:r>
            <w:r>
              <w:rPr>
                <w:noProof/>
                <w:webHidden/>
              </w:rPr>
              <w:instrText xml:space="preserve"> PAGEREF _Toc500319492 \h </w:instrText>
            </w:r>
            <w:r>
              <w:rPr>
                <w:noProof/>
                <w:webHidden/>
              </w:rPr>
            </w:r>
            <w:r>
              <w:rPr>
                <w:noProof/>
                <w:webHidden/>
              </w:rPr>
              <w:fldChar w:fldCharType="separate"/>
            </w:r>
            <w:r>
              <w:rPr>
                <w:noProof/>
                <w:webHidden/>
              </w:rPr>
              <w:t>381</w:t>
            </w:r>
            <w:r>
              <w:rPr>
                <w:noProof/>
                <w:webHidden/>
              </w:rPr>
              <w:fldChar w:fldCharType="end"/>
            </w:r>
          </w:hyperlink>
        </w:p>
        <w:p w14:paraId="374E2321"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3" w:history="1">
            <w:r w:rsidRPr="00DB66A8">
              <w:rPr>
                <w:rStyle w:val="Hyperlink"/>
                <w:noProof/>
                <w:lang w:val="en-GB" w:bidi="hi-IN"/>
              </w:rPr>
              <w:t>Appendix 22. Day Reconstruction Diary.</w:t>
            </w:r>
            <w:r>
              <w:rPr>
                <w:noProof/>
                <w:webHidden/>
              </w:rPr>
              <w:tab/>
            </w:r>
            <w:r>
              <w:rPr>
                <w:noProof/>
                <w:webHidden/>
              </w:rPr>
              <w:fldChar w:fldCharType="begin"/>
            </w:r>
            <w:r>
              <w:rPr>
                <w:noProof/>
                <w:webHidden/>
              </w:rPr>
              <w:instrText xml:space="preserve"> PAGEREF _Toc500319493 \h </w:instrText>
            </w:r>
            <w:r>
              <w:rPr>
                <w:noProof/>
                <w:webHidden/>
              </w:rPr>
            </w:r>
            <w:r>
              <w:rPr>
                <w:noProof/>
                <w:webHidden/>
              </w:rPr>
              <w:fldChar w:fldCharType="separate"/>
            </w:r>
            <w:r>
              <w:rPr>
                <w:noProof/>
                <w:webHidden/>
              </w:rPr>
              <w:t>389</w:t>
            </w:r>
            <w:r>
              <w:rPr>
                <w:noProof/>
                <w:webHidden/>
              </w:rPr>
              <w:fldChar w:fldCharType="end"/>
            </w:r>
          </w:hyperlink>
        </w:p>
        <w:p w14:paraId="4BA682FA"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4" w:history="1">
            <w:r w:rsidRPr="00DB66A8">
              <w:rPr>
                <w:rStyle w:val="Hyperlink"/>
                <w:noProof/>
                <w:lang w:val="en-GB" w:bidi="hi-IN"/>
              </w:rPr>
              <w:t>Appendix 23. Educational Alliance Inventory (EAI).</w:t>
            </w:r>
            <w:r>
              <w:rPr>
                <w:noProof/>
                <w:webHidden/>
              </w:rPr>
              <w:tab/>
            </w:r>
            <w:r>
              <w:rPr>
                <w:noProof/>
                <w:webHidden/>
              </w:rPr>
              <w:fldChar w:fldCharType="begin"/>
            </w:r>
            <w:r>
              <w:rPr>
                <w:noProof/>
                <w:webHidden/>
              </w:rPr>
              <w:instrText xml:space="preserve"> PAGEREF _Toc500319494 \h </w:instrText>
            </w:r>
            <w:r>
              <w:rPr>
                <w:noProof/>
                <w:webHidden/>
              </w:rPr>
            </w:r>
            <w:r>
              <w:rPr>
                <w:noProof/>
                <w:webHidden/>
              </w:rPr>
              <w:fldChar w:fldCharType="separate"/>
            </w:r>
            <w:r>
              <w:rPr>
                <w:noProof/>
                <w:webHidden/>
              </w:rPr>
              <w:t>391</w:t>
            </w:r>
            <w:r>
              <w:rPr>
                <w:noProof/>
                <w:webHidden/>
              </w:rPr>
              <w:fldChar w:fldCharType="end"/>
            </w:r>
          </w:hyperlink>
        </w:p>
        <w:p w14:paraId="4DFB906E"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5" w:history="1">
            <w:r w:rsidRPr="00DB66A8">
              <w:rPr>
                <w:rStyle w:val="Hyperlink"/>
                <w:noProof/>
                <w:lang w:val="en-GB" w:bidi="hi-IN"/>
              </w:rPr>
              <w:t>Appendix 24. Topic Guide – Student Interviews.</w:t>
            </w:r>
            <w:r>
              <w:rPr>
                <w:noProof/>
                <w:webHidden/>
              </w:rPr>
              <w:tab/>
            </w:r>
            <w:r>
              <w:rPr>
                <w:noProof/>
                <w:webHidden/>
              </w:rPr>
              <w:fldChar w:fldCharType="begin"/>
            </w:r>
            <w:r>
              <w:rPr>
                <w:noProof/>
                <w:webHidden/>
              </w:rPr>
              <w:instrText xml:space="preserve"> PAGEREF _Toc500319495 \h </w:instrText>
            </w:r>
            <w:r>
              <w:rPr>
                <w:noProof/>
                <w:webHidden/>
              </w:rPr>
            </w:r>
            <w:r>
              <w:rPr>
                <w:noProof/>
                <w:webHidden/>
              </w:rPr>
              <w:fldChar w:fldCharType="separate"/>
            </w:r>
            <w:r>
              <w:rPr>
                <w:noProof/>
                <w:webHidden/>
              </w:rPr>
              <w:t>394</w:t>
            </w:r>
            <w:r>
              <w:rPr>
                <w:noProof/>
                <w:webHidden/>
              </w:rPr>
              <w:fldChar w:fldCharType="end"/>
            </w:r>
          </w:hyperlink>
        </w:p>
        <w:p w14:paraId="46E09D1C"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6" w:history="1">
            <w:r w:rsidRPr="00DB66A8">
              <w:rPr>
                <w:rStyle w:val="Hyperlink"/>
                <w:noProof/>
                <w:lang w:val="en-GB" w:bidi="hi-IN"/>
              </w:rPr>
              <w:t>Appendix 25. Codebook – Student Focus Groups and Interviews.</w:t>
            </w:r>
            <w:r>
              <w:rPr>
                <w:noProof/>
                <w:webHidden/>
              </w:rPr>
              <w:tab/>
            </w:r>
            <w:r>
              <w:rPr>
                <w:noProof/>
                <w:webHidden/>
              </w:rPr>
              <w:fldChar w:fldCharType="begin"/>
            </w:r>
            <w:r>
              <w:rPr>
                <w:noProof/>
                <w:webHidden/>
              </w:rPr>
              <w:instrText xml:space="preserve"> PAGEREF _Toc500319496 \h </w:instrText>
            </w:r>
            <w:r>
              <w:rPr>
                <w:noProof/>
                <w:webHidden/>
              </w:rPr>
            </w:r>
            <w:r>
              <w:rPr>
                <w:noProof/>
                <w:webHidden/>
              </w:rPr>
              <w:fldChar w:fldCharType="separate"/>
            </w:r>
            <w:r>
              <w:rPr>
                <w:noProof/>
                <w:webHidden/>
              </w:rPr>
              <w:t>401</w:t>
            </w:r>
            <w:r>
              <w:rPr>
                <w:noProof/>
                <w:webHidden/>
              </w:rPr>
              <w:fldChar w:fldCharType="end"/>
            </w:r>
          </w:hyperlink>
        </w:p>
        <w:p w14:paraId="31F80A26"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7" w:history="1">
            <w:r w:rsidRPr="00DB66A8">
              <w:rPr>
                <w:rStyle w:val="Hyperlink"/>
                <w:noProof/>
                <w:lang w:val="en-GB" w:bidi="hi-IN"/>
              </w:rPr>
              <w:t>Appendix 26. Thematic Framework Version 1.</w:t>
            </w:r>
            <w:r>
              <w:rPr>
                <w:noProof/>
                <w:webHidden/>
              </w:rPr>
              <w:tab/>
            </w:r>
            <w:r>
              <w:rPr>
                <w:noProof/>
                <w:webHidden/>
              </w:rPr>
              <w:fldChar w:fldCharType="begin"/>
            </w:r>
            <w:r>
              <w:rPr>
                <w:noProof/>
                <w:webHidden/>
              </w:rPr>
              <w:instrText xml:space="preserve"> PAGEREF _Toc500319497 \h </w:instrText>
            </w:r>
            <w:r>
              <w:rPr>
                <w:noProof/>
                <w:webHidden/>
              </w:rPr>
            </w:r>
            <w:r>
              <w:rPr>
                <w:noProof/>
                <w:webHidden/>
              </w:rPr>
              <w:fldChar w:fldCharType="separate"/>
            </w:r>
            <w:r>
              <w:rPr>
                <w:noProof/>
                <w:webHidden/>
              </w:rPr>
              <w:t>409</w:t>
            </w:r>
            <w:r>
              <w:rPr>
                <w:noProof/>
                <w:webHidden/>
              </w:rPr>
              <w:fldChar w:fldCharType="end"/>
            </w:r>
          </w:hyperlink>
        </w:p>
        <w:p w14:paraId="13AA188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8" w:history="1">
            <w:r w:rsidRPr="00DB66A8">
              <w:rPr>
                <w:rStyle w:val="Hyperlink"/>
                <w:noProof/>
                <w:lang w:val="en-GB" w:bidi="hi-IN"/>
              </w:rPr>
              <w:t>Appendix 27. Thematic Framework Version 2.</w:t>
            </w:r>
            <w:r>
              <w:rPr>
                <w:noProof/>
                <w:webHidden/>
              </w:rPr>
              <w:tab/>
            </w:r>
            <w:r>
              <w:rPr>
                <w:noProof/>
                <w:webHidden/>
              </w:rPr>
              <w:fldChar w:fldCharType="begin"/>
            </w:r>
            <w:r>
              <w:rPr>
                <w:noProof/>
                <w:webHidden/>
              </w:rPr>
              <w:instrText xml:space="preserve"> PAGEREF _Toc500319498 \h </w:instrText>
            </w:r>
            <w:r>
              <w:rPr>
                <w:noProof/>
                <w:webHidden/>
              </w:rPr>
            </w:r>
            <w:r>
              <w:rPr>
                <w:noProof/>
                <w:webHidden/>
              </w:rPr>
              <w:fldChar w:fldCharType="separate"/>
            </w:r>
            <w:r>
              <w:rPr>
                <w:noProof/>
                <w:webHidden/>
              </w:rPr>
              <w:t>410</w:t>
            </w:r>
            <w:r>
              <w:rPr>
                <w:noProof/>
                <w:webHidden/>
              </w:rPr>
              <w:fldChar w:fldCharType="end"/>
            </w:r>
          </w:hyperlink>
        </w:p>
        <w:p w14:paraId="7F7B4914"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499" w:history="1">
            <w:r w:rsidRPr="00DB66A8">
              <w:rPr>
                <w:rStyle w:val="Hyperlink"/>
                <w:noProof/>
                <w:lang w:val="en-GB" w:bidi="hi-IN"/>
              </w:rPr>
              <w:t>Appendix 28. Theme Review with Quotes – Student Focus Groups and Interviews.</w:t>
            </w:r>
            <w:r>
              <w:rPr>
                <w:noProof/>
                <w:webHidden/>
              </w:rPr>
              <w:tab/>
            </w:r>
            <w:r>
              <w:rPr>
                <w:noProof/>
                <w:webHidden/>
              </w:rPr>
              <w:fldChar w:fldCharType="begin"/>
            </w:r>
            <w:r>
              <w:rPr>
                <w:noProof/>
                <w:webHidden/>
              </w:rPr>
              <w:instrText xml:space="preserve"> PAGEREF _Toc500319499 \h </w:instrText>
            </w:r>
            <w:r>
              <w:rPr>
                <w:noProof/>
                <w:webHidden/>
              </w:rPr>
            </w:r>
            <w:r>
              <w:rPr>
                <w:noProof/>
                <w:webHidden/>
              </w:rPr>
              <w:fldChar w:fldCharType="separate"/>
            </w:r>
            <w:r>
              <w:rPr>
                <w:noProof/>
                <w:webHidden/>
              </w:rPr>
              <w:t>411</w:t>
            </w:r>
            <w:r>
              <w:rPr>
                <w:noProof/>
                <w:webHidden/>
              </w:rPr>
              <w:fldChar w:fldCharType="end"/>
            </w:r>
          </w:hyperlink>
        </w:p>
        <w:p w14:paraId="37AF8F42"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500" w:history="1">
            <w:r w:rsidRPr="00DB66A8">
              <w:rPr>
                <w:rStyle w:val="Hyperlink"/>
                <w:noProof/>
                <w:lang w:val="en-GB" w:bidi="hi-IN"/>
              </w:rPr>
              <w:t>Appendix 29. Full Conceptual Models – Student Focus Groups and Interviews.</w:t>
            </w:r>
            <w:r>
              <w:rPr>
                <w:noProof/>
                <w:webHidden/>
              </w:rPr>
              <w:tab/>
            </w:r>
            <w:r>
              <w:rPr>
                <w:noProof/>
                <w:webHidden/>
              </w:rPr>
              <w:fldChar w:fldCharType="begin"/>
            </w:r>
            <w:r>
              <w:rPr>
                <w:noProof/>
                <w:webHidden/>
              </w:rPr>
              <w:instrText xml:space="preserve"> PAGEREF _Toc500319500 \h </w:instrText>
            </w:r>
            <w:r>
              <w:rPr>
                <w:noProof/>
                <w:webHidden/>
              </w:rPr>
            </w:r>
            <w:r>
              <w:rPr>
                <w:noProof/>
                <w:webHidden/>
              </w:rPr>
              <w:fldChar w:fldCharType="separate"/>
            </w:r>
            <w:r>
              <w:rPr>
                <w:noProof/>
                <w:webHidden/>
              </w:rPr>
              <w:t>442</w:t>
            </w:r>
            <w:r>
              <w:rPr>
                <w:noProof/>
                <w:webHidden/>
              </w:rPr>
              <w:fldChar w:fldCharType="end"/>
            </w:r>
          </w:hyperlink>
        </w:p>
        <w:p w14:paraId="6517AEB7" w14:textId="77777777" w:rsidR="00B27F0B" w:rsidRDefault="00B27F0B">
          <w:pPr>
            <w:pStyle w:val="TOC2"/>
            <w:tabs>
              <w:tab w:val="right" w:leader="dot" w:pos="8494"/>
            </w:tabs>
            <w:rPr>
              <w:rFonts w:asciiTheme="minorHAnsi" w:hAnsiTheme="minorHAnsi" w:cstheme="minorBidi"/>
              <w:noProof/>
              <w:szCs w:val="24"/>
              <w:lang w:val="en-GB" w:eastAsia="en-GB"/>
            </w:rPr>
          </w:pPr>
          <w:hyperlink w:anchor="_Toc500319501" w:history="1">
            <w:r w:rsidRPr="00DB66A8">
              <w:rPr>
                <w:rStyle w:val="Hyperlink"/>
                <w:noProof/>
                <w:lang w:val="en-GB" w:bidi="hi-IN"/>
              </w:rPr>
              <w:t>Appendix 30. Selected External Communications/Publications/Presentations</w:t>
            </w:r>
            <w:r>
              <w:rPr>
                <w:noProof/>
                <w:webHidden/>
              </w:rPr>
              <w:tab/>
            </w:r>
            <w:r>
              <w:rPr>
                <w:noProof/>
                <w:webHidden/>
              </w:rPr>
              <w:fldChar w:fldCharType="begin"/>
            </w:r>
            <w:r>
              <w:rPr>
                <w:noProof/>
                <w:webHidden/>
              </w:rPr>
              <w:instrText xml:space="preserve"> PAGEREF _Toc500319501 \h </w:instrText>
            </w:r>
            <w:r>
              <w:rPr>
                <w:noProof/>
                <w:webHidden/>
              </w:rPr>
            </w:r>
            <w:r>
              <w:rPr>
                <w:noProof/>
                <w:webHidden/>
              </w:rPr>
              <w:fldChar w:fldCharType="separate"/>
            </w:r>
            <w:r>
              <w:rPr>
                <w:noProof/>
                <w:webHidden/>
              </w:rPr>
              <w:t>445</w:t>
            </w:r>
            <w:r>
              <w:rPr>
                <w:noProof/>
                <w:webHidden/>
              </w:rPr>
              <w:fldChar w:fldCharType="end"/>
            </w:r>
          </w:hyperlink>
        </w:p>
        <w:p w14:paraId="58969738"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502" w:history="1">
            <w:r w:rsidRPr="00DB66A8">
              <w:rPr>
                <w:rStyle w:val="Hyperlink"/>
                <w:noProof/>
                <w:lang w:bidi="hi-IN"/>
              </w:rPr>
              <w:t>Sheffield AUMPC Seminar June 2017 – to an audience of primary care researchers at Sheffield</w:t>
            </w:r>
            <w:r>
              <w:rPr>
                <w:noProof/>
                <w:webHidden/>
              </w:rPr>
              <w:tab/>
            </w:r>
            <w:r>
              <w:rPr>
                <w:noProof/>
                <w:webHidden/>
              </w:rPr>
              <w:fldChar w:fldCharType="begin"/>
            </w:r>
            <w:r>
              <w:rPr>
                <w:noProof/>
                <w:webHidden/>
              </w:rPr>
              <w:instrText xml:space="preserve"> PAGEREF _Toc500319502 \h </w:instrText>
            </w:r>
            <w:r>
              <w:rPr>
                <w:noProof/>
                <w:webHidden/>
              </w:rPr>
            </w:r>
            <w:r>
              <w:rPr>
                <w:noProof/>
                <w:webHidden/>
              </w:rPr>
              <w:fldChar w:fldCharType="separate"/>
            </w:r>
            <w:r>
              <w:rPr>
                <w:noProof/>
                <w:webHidden/>
              </w:rPr>
              <w:t>445</w:t>
            </w:r>
            <w:r>
              <w:rPr>
                <w:noProof/>
                <w:webHidden/>
              </w:rPr>
              <w:fldChar w:fldCharType="end"/>
            </w:r>
          </w:hyperlink>
        </w:p>
        <w:p w14:paraId="24341909"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503" w:history="1">
            <w:r w:rsidRPr="00DB66A8">
              <w:rPr>
                <w:rStyle w:val="Hyperlink"/>
                <w:noProof/>
                <w:lang w:bidi="hi-IN"/>
              </w:rPr>
              <w:t>ASME Researching Medical Education conference November 2016 – Masterclass poster presentation</w:t>
            </w:r>
            <w:r>
              <w:rPr>
                <w:noProof/>
                <w:webHidden/>
              </w:rPr>
              <w:tab/>
            </w:r>
            <w:r>
              <w:rPr>
                <w:noProof/>
                <w:webHidden/>
              </w:rPr>
              <w:fldChar w:fldCharType="begin"/>
            </w:r>
            <w:r>
              <w:rPr>
                <w:noProof/>
                <w:webHidden/>
              </w:rPr>
              <w:instrText xml:space="preserve"> PAGEREF _Toc500319503 \h </w:instrText>
            </w:r>
            <w:r>
              <w:rPr>
                <w:noProof/>
                <w:webHidden/>
              </w:rPr>
            </w:r>
            <w:r>
              <w:rPr>
                <w:noProof/>
                <w:webHidden/>
              </w:rPr>
              <w:fldChar w:fldCharType="separate"/>
            </w:r>
            <w:r>
              <w:rPr>
                <w:noProof/>
                <w:webHidden/>
              </w:rPr>
              <w:t>446</w:t>
            </w:r>
            <w:r>
              <w:rPr>
                <w:noProof/>
                <w:webHidden/>
              </w:rPr>
              <w:fldChar w:fldCharType="end"/>
            </w:r>
          </w:hyperlink>
        </w:p>
        <w:p w14:paraId="7DB13200"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504" w:history="1">
            <w:r w:rsidRPr="00DB66A8">
              <w:rPr>
                <w:rStyle w:val="Hyperlink"/>
                <w:noProof/>
                <w:lang w:bidi="hi-IN"/>
              </w:rPr>
              <w:t>Three Minute Thesis competition – University finalist - May 2017</w:t>
            </w:r>
            <w:r>
              <w:rPr>
                <w:noProof/>
                <w:webHidden/>
              </w:rPr>
              <w:tab/>
            </w:r>
            <w:r>
              <w:rPr>
                <w:noProof/>
                <w:webHidden/>
              </w:rPr>
              <w:fldChar w:fldCharType="begin"/>
            </w:r>
            <w:r>
              <w:rPr>
                <w:noProof/>
                <w:webHidden/>
              </w:rPr>
              <w:instrText xml:space="preserve"> PAGEREF _Toc500319504 \h </w:instrText>
            </w:r>
            <w:r>
              <w:rPr>
                <w:noProof/>
                <w:webHidden/>
              </w:rPr>
            </w:r>
            <w:r>
              <w:rPr>
                <w:noProof/>
                <w:webHidden/>
              </w:rPr>
              <w:fldChar w:fldCharType="separate"/>
            </w:r>
            <w:r>
              <w:rPr>
                <w:noProof/>
                <w:webHidden/>
              </w:rPr>
              <w:t>447</w:t>
            </w:r>
            <w:r>
              <w:rPr>
                <w:noProof/>
                <w:webHidden/>
              </w:rPr>
              <w:fldChar w:fldCharType="end"/>
            </w:r>
          </w:hyperlink>
        </w:p>
        <w:p w14:paraId="11D831FF" w14:textId="77777777" w:rsidR="00B27F0B" w:rsidRDefault="00B27F0B">
          <w:pPr>
            <w:pStyle w:val="TOC3"/>
            <w:tabs>
              <w:tab w:val="right" w:leader="dot" w:pos="8494"/>
            </w:tabs>
            <w:rPr>
              <w:rFonts w:asciiTheme="minorHAnsi" w:hAnsiTheme="minorHAnsi" w:cstheme="minorBidi"/>
              <w:noProof/>
              <w:szCs w:val="24"/>
              <w:lang w:val="en-GB" w:eastAsia="en-GB"/>
            </w:rPr>
          </w:pPr>
          <w:hyperlink w:anchor="_Toc500319505" w:history="1">
            <w:r w:rsidRPr="00DB66A8">
              <w:rPr>
                <w:rStyle w:val="Hyperlink"/>
                <w:noProof/>
                <w:lang w:bidi="hi-IN"/>
              </w:rPr>
              <w:t>Sheffield Hallam University – Institute of Education seminar – December 2016</w:t>
            </w:r>
            <w:r>
              <w:rPr>
                <w:noProof/>
                <w:webHidden/>
              </w:rPr>
              <w:tab/>
            </w:r>
            <w:r>
              <w:rPr>
                <w:noProof/>
                <w:webHidden/>
              </w:rPr>
              <w:fldChar w:fldCharType="begin"/>
            </w:r>
            <w:r>
              <w:rPr>
                <w:noProof/>
                <w:webHidden/>
              </w:rPr>
              <w:instrText xml:space="preserve"> PAGEREF _Toc500319505 \h </w:instrText>
            </w:r>
            <w:r>
              <w:rPr>
                <w:noProof/>
                <w:webHidden/>
              </w:rPr>
            </w:r>
            <w:r>
              <w:rPr>
                <w:noProof/>
                <w:webHidden/>
              </w:rPr>
              <w:fldChar w:fldCharType="separate"/>
            </w:r>
            <w:r>
              <w:rPr>
                <w:noProof/>
                <w:webHidden/>
              </w:rPr>
              <w:t>448</w:t>
            </w:r>
            <w:r>
              <w:rPr>
                <w:noProof/>
                <w:webHidden/>
              </w:rPr>
              <w:fldChar w:fldCharType="end"/>
            </w:r>
          </w:hyperlink>
        </w:p>
        <w:p w14:paraId="2259AA8C" w14:textId="77777777" w:rsidR="0049059B" w:rsidRPr="003726FE" w:rsidRDefault="0049059B" w:rsidP="0049059B">
          <w:r w:rsidRPr="003726FE">
            <w:rPr>
              <w:b/>
              <w:bCs/>
              <w:noProof/>
            </w:rPr>
            <w:fldChar w:fldCharType="end"/>
          </w:r>
        </w:p>
      </w:sdtContent>
    </w:sdt>
    <w:p w14:paraId="64F08038" w14:textId="77777777" w:rsidR="0049059B" w:rsidRPr="003726FE" w:rsidRDefault="0049059B" w:rsidP="0049059B">
      <w:pPr>
        <w:rPr>
          <w:rFonts w:asciiTheme="majorHAnsi" w:eastAsiaTheme="majorEastAsia" w:hAnsiTheme="majorHAnsi" w:cstheme="majorBidi"/>
          <w:color w:val="2E74B5" w:themeColor="accent1" w:themeShade="BF"/>
          <w:sz w:val="32"/>
          <w:szCs w:val="32"/>
        </w:rPr>
      </w:pPr>
      <w:r w:rsidRPr="003726FE">
        <w:br w:type="page"/>
      </w:r>
    </w:p>
    <w:p w14:paraId="0FBAC6B7" w14:textId="2490A623" w:rsidR="004D2A4D" w:rsidRPr="003726FE" w:rsidRDefault="004D2A4D" w:rsidP="00426FCB">
      <w:pPr>
        <w:pStyle w:val="Heading1"/>
      </w:pPr>
      <w:bookmarkStart w:id="53" w:name="_Toc488930108"/>
      <w:bookmarkStart w:id="54" w:name="_Toc489017322"/>
      <w:bookmarkStart w:id="55" w:name="_Toc489447676"/>
      <w:bookmarkStart w:id="56" w:name="_Toc490650163"/>
      <w:bookmarkStart w:id="57" w:name="_Toc500319305"/>
      <w:bookmarkStart w:id="58" w:name="_Toc500319525"/>
      <w:r w:rsidRPr="003726FE">
        <w:lastRenderedPageBreak/>
        <w:t xml:space="preserve">List </w:t>
      </w:r>
      <w:r w:rsidR="00F176D2" w:rsidRPr="003726FE">
        <w:t>of Tables</w:t>
      </w:r>
      <w:bookmarkEnd w:id="41"/>
      <w:bookmarkEnd w:id="42"/>
      <w:bookmarkEnd w:id="43"/>
      <w:bookmarkEnd w:id="44"/>
      <w:bookmarkEnd w:id="53"/>
      <w:bookmarkEnd w:id="54"/>
      <w:bookmarkEnd w:id="55"/>
      <w:bookmarkEnd w:id="56"/>
      <w:bookmarkEnd w:id="57"/>
      <w:bookmarkEnd w:id="58"/>
    </w:p>
    <w:p w14:paraId="29E283A1" w14:textId="77777777" w:rsidR="00001EE2" w:rsidRPr="003726FE" w:rsidRDefault="00001EE2" w:rsidP="00026049">
      <w:pPr>
        <w:pStyle w:val="Normal1"/>
        <w:rPr>
          <w:lang w:val="en-GB"/>
        </w:rPr>
      </w:pPr>
    </w:p>
    <w:p w14:paraId="34E95927" w14:textId="77777777" w:rsidR="00B27F0B" w:rsidRDefault="002849FA">
      <w:pPr>
        <w:pStyle w:val="TableofFigures"/>
        <w:tabs>
          <w:tab w:val="right" w:leader="dot" w:pos="8494"/>
        </w:tabs>
        <w:rPr>
          <w:rFonts w:asciiTheme="minorHAnsi" w:eastAsiaTheme="minorEastAsia" w:hAnsiTheme="minorHAnsi" w:cstheme="minorBidi"/>
          <w:noProof/>
          <w:kern w:val="0"/>
          <w:lang w:val="en-GB" w:eastAsia="en-GB" w:bidi="ar-SA"/>
        </w:rPr>
      </w:pPr>
      <w:r w:rsidRPr="003726FE">
        <w:rPr>
          <w:lang w:val="en-GB"/>
        </w:rPr>
        <w:fldChar w:fldCharType="begin"/>
      </w:r>
      <w:r w:rsidRPr="003726FE">
        <w:rPr>
          <w:lang w:val="en-GB"/>
        </w:rPr>
        <w:instrText xml:space="preserve"> TOC \h \z \t "Table list" \c </w:instrText>
      </w:r>
      <w:r w:rsidRPr="003726FE">
        <w:rPr>
          <w:lang w:val="en-GB"/>
        </w:rPr>
        <w:fldChar w:fldCharType="separate"/>
      </w:r>
      <w:hyperlink w:anchor="_Toc500319507" w:history="1">
        <w:r w:rsidR="00B27F0B" w:rsidRPr="00811FED">
          <w:rPr>
            <w:rStyle w:val="Hyperlink"/>
            <w:noProof/>
            <w:lang w:val="en-GB"/>
          </w:rPr>
          <w:t>Table A1.1 Unique aspects of SRL MA with descriptors. Information from Zimmerman (2000a); Labuhn et al. (2010); Cleary (2011).</w:t>
        </w:r>
        <w:r w:rsidR="00B27F0B">
          <w:rPr>
            <w:noProof/>
            <w:webHidden/>
          </w:rPr>
          <w:tab/>
        </w:r>
        <w:r w:rsidR="00B27F0B">
          <w:rPr>
            <w:noProof/>
            <w:webHidden/>
          </w:rPr>
          <w:fldChar w:fldCharType="begin"/>
        </w:r>
        <w:r w:rsidR="00B27F0B">
          <w:rPr>
            <w:noProof/>
            <w:webHidden/>
          </w:rPr>
          <w:instrText xml:space="preserve"> PAGEREF _Toc500319507 \h </w:instrText>
        </w:r>
        <w:r w:rsidR="00B27F0B">
          <w:rPr>
            <w:noProof/>
            <w:webHidden/>
          </w:rPr>
        </w:r>
        <w:r w:rsidR="00B27F0B">
          <w:rPr>
            <w:noProof/>
            <w:webHidden/>
          </w:rPr>
          <w:fldChar w:fldCharType="separate"/>
        </w:r>
        <w:r w:rsidR="00B27F0B">
          <w:rPr>
            <w:noProof/>
            <w:webHidden/>
          </w:rPr>
          <w:t>25</w:t>
        </w:r>
        <w:r w:rsidR="00B27F0B">
          <w:rPr>
            <w:noProof/>
            <w:webHidden/>
          </w:rPr>
          <w:fldChar w:fldCharType="end"/>
        </w:r>
      </w:hyperlink>
    </w:p>
    <w:p w14:paraId="770E0B33"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08" w:history="1">
        <w:r w:rsidRPr="00811FED">
          <w:rPr>
            <w:rStyle w:val="Hyperlink"/>
            <w:noProof/>
            <w:lang w:val="en-GB"/>
          </w:rPr>
          <w:t>Table A2.1 Inclusion and exclusion criteria used to screen evidence for this review.</w:t>
        </w:r>
        <w:r>
          <w:rPr>
            <w:noProof/>
            <w:webHidden/>
          </w:rPr>
          <w:tab/>
        </w:r>
        <w:r>
          <w:rPr>
            <w:noProof/>
            <w:webHidden/>
          </w:rPr>
          <w:fldChar w:fldCharType="begin"/>
        </w:r>
        <w:r>
          <w:rPr>
            <w:noProof/>
            <w:webHidden/>
          </w:rPr>
          <w:instrText xml:space="preserve"> PAGEREF _Toc500319508 \h </w:instrText>
        </w:r>
        <w:r>
          <w:rPr>
            <w:noProof/>
            <w:webHidden/>
          </w:rPr>
        </w:r>
        <w:r>
          <w:rPr>
            <w:noProof/>
            <w:webHidden/>
          </w:rPr>
          <w:fldChar w:fldCharType="separate"/>
        </w:r>
        <w:r>
          <w:rPr>
            <w:noProof/>
            <w:webHidden/>
          </w:rPr>
          <w:t>42</w:t>
        </w:r>
        <w:r>
          <w:rPr>
            <w:noProof/>
            <w:webHidden/>
          </w:rPr>
          <w:fldChar w:fldCharType="end"/>
        </w:r>
      </w:hyperlink>
    </w:p>
    <w:p w14:paraId="70D0A227"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09" w:history="1">
        <w:r w:rsidRPr="00811FED">
          <w:rPr>
            <w:rStyle w:val="Hyperlink"/>
            <w:noProof/>
            <w:lang w:val="en-GB"/>
          </w:rPr>
          <w:t>Table A2.2 Descriptive map of 14 studies using interventions to improve learning performance incorporating SRL and feedback.</w:t>
        </w:r>
        <w:r>
          <w:rPr>
            <w:noProof/>
            <w:webHidden/>
          </w:rPr>
          <w:tab/>
        </w:r>
        <w:r>
          <w:rPr>
            <w:noProof/>
            <w:webHidden/>
          </w:rPr>
          <w:fldChar w:fldCharType="begin"/>
        </w:r>
        <w:r>
          <w:rPr>
            <w:noProof/>
            <w:webHidden/>
          </w:rPr>
          <w:instrText xml:space="preserve"> PAGEREF _Toc500319509 \h </w:instrText>
        </w:r>
        <w:r>
          <w:rPr>
            <w:noProof/>
            <w:webHidden/>
          </w:rPr>
        </w:r>
        <w:r>
          <w:rPr>
            <w:noProof/>
            <w:webHidden/>
          </w:rPr>
          <w:fldChar w:fldCharType="separate"/>
        </w:r>
        <w:r>
          <w:rPr>
            <w:noProof/>
            <w:webHidden/>
          </w:rPr>
          <w:t>45</w:t>
        </w:r>
        <w:r>
          <w:rPr>
            <w:noProof/>
            <w:webHidden/>
          </w:rPr>
          <w:fldChar w:fldCharType="end"/>
        </w:r>
      </w:hyperlink>
    </w:p>
    <w:p w14:paraId="0EE9B179"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0" w:history="1">
        <w:r w:rsidRPr="00811FED">
          <w:rPr>
            <w:rStyle w:val="Hyperlink"/>
            <w:noProof/>
            <w:lang w:val="en-GB"/>
          </w:rPr>
          <w:t>Table B1.1 The process of intervention mapping with stages and descriptors, information from Denford et al. (2015).</w:t>
        </w:r>
        <w:r>
          <w:rPr>
            <w:noProof/>
            <w:webHidden/>
          </w:rPr>
          <w:tab/>
        </w:r>
        <w:r>
          <w:rPr>
            <w:noProof/>
            <w:webHidden/>
          </w:rPr>
          <w:fldChar w:fldCharType="begin"/>
        </w:r>
        <w:r>
          <w:rPr>
            <w:noProof/>
            <w:webHidden/>
          </w:rPr>
          <w:instrText xml:space="preserve"> PAGEREF _Toc500319510 \h </w:instrText>
        </w:r>
        <w:r>
          <w:rPr>
            <w:noProof/>
            <w:webHidden/>
          </w:rPr>
        </w:r>
        <w:r>
          <w:rPr>
            <w:noProof/>
            <w:webHidden/>
          </w:rPr>
          <w:fldChar w:fldCharType="separate"/>
        </w:r>
        <w:r>
          <w:rPr>
            <w:noProof/>
            <w:webHidden/>
          </w:rPr>
          <w:t>88</w:t>
        </w:r>
        <w:r>
          <w:rPr>
            <w:noProof/>
            <w:webHidden/>
          </w:rPr>
          <w:fldChar w:fldCharType="end"/>
        </w:r>
      </w:hyperlink>
    </w:p>
    <w:p w14:paraId="364A39D0"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1" w:history="1">
        <w:r w:rsidRPr="00811FED">
          <w:rPr>
            <w:rStyle w:val="Hyperlink"/>
            <w:noProof/>
            <w:lang w:val="en-GB"/>
          </w:rPr>
          <w:t>Table B3.1 Socio-demographic characteristics of students with statistical analysis.</w:t>
        </w:r>
        <w:r>
          <w:rPr>
            <w:noProof/>
            <w:webHidden/>
          </w:rPr>
          <w:tab/>
        </w:r>
        <w:r>
          <w:rPr>
            <w:noProof/>
            <w:webHidden/>
          </w:rPr>
          <w:fldChar w:fldCharType="begin"/>
        </w:r>
        <w:r>
          <w:rPr>
            <w:noProof/>
            <w:webHidden/>
          </w:rPr>
          <w:instrText xml:space="preserve"> PAGEREF _Toc500319511 \h </w:instrText>
        </w:r>
        <w:r>
          <w:rPr>
            <w:noProof/>
            <w:webHidden/>
          </w:rPr>
        </w:r>
        <w:r>
          <w:rPr>
            <w:noProof/>
            <w:webHidden/>
          </w:rPr>
          <w:fldChar w:fldCharType="separate"/>
        </w:r>
        <w:r>
          <w:rPr>
            <w:noProof/>
            <w:webHidden/>
          </w:rPr>
          <w:t>122</w:t>
        </w:r>
        <w:r>
          <w:rPr>
            <w:noProof/>
            <w:webHidden/>
          </w:rPr>
          <w:fldChar w:fldCharType="end"/>
        </w:r>
      </w:hyperlink>
    </w:p>
    <w:p w14:paraId="5898A5A5"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2" w:history="1">
        <w:r w:rsidRPr="00811FED">
          <w:rPr>
            <w:rStyle w:val="Hyperlink"/>
            <w:noProof/>
            <w:lang w:val="en-GB"/>
          </w:rPr>
          <w:t>Table B3.2 Analysis of SSRQ scores using pairwise comparisons.</w:t>
        </w:r>
        <w:r>
          <w:rPr>
            <w:noProof/>
            <w:webHidden/>
          </w:rPr>
          <w:tab/>
        </w:r>
        <w:r>
          <w:rPr>
            <w:noProof/>
            <w:webHidden/>
          </w:rPr>
          <w:fldChar w:fldCharType="begin"/>
        </w:r>
        <w:r>
          <w:rPr>
            <w:noProof/>
            <w:webHidden/>
          </w:rPr>
          <w:instrText xml:space="preserve"> PAGEREF _Toc500319512 \h </w:instrText>
        </w:r>
        <w:r>
          <w:rPr>
            <w:noProof/>
            <w:webHidden/>
          </w:rPr>
        </w:r>
        <w:r>
          <w:rPr>
            <w:noProof/>
            <w:webHidden/>
          </w:rPr>
          <w:fldChar w:fldCharType="separate"/>
        </w:r>
        <w:r>
          <w:rPr>
            <w:noProof/>
            <w:webHidden/>
          </w:rPr>
          <w:t>123</w:t>
        </w:r>
        <w:r>
          <w:rPr>
            <w:noProof/>
            <w:webHidden/>
          </w:rPr>
          <w:fldChar w:fldCharType="end"/>
        </w:r>
      </w:hyperlink>
    </w:p>
    <w:p w14:paraId="731796E9"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3" w:history="1">
        <w:r w:rsidRPr="00811FED">
          <w:rPr>
            <w:rStyle w:val="Hyperlink"/>
            <w:noProof/>
            <w:lang w:val="en-GB"/>
          </w:rPr>
          <w:t>Table B3.3 Analysis of GSE scores using pairwise comparisons.</w:t>
        </w:r>
        <w:r>
          <w:rPr>
            <w:noProof/>
            <w:webHidden/>
          </w:rPr>
          <w:tab/>
        </w:r>
        <w:r>
          <w:rPr>
            <w:noProof/>
            <w:webHidden/>
          </w:rPr>
          <w:fldChar w:fldCharType="begin"/>
        </w:r>
        <w:r>
          <w:rPr>
            <w:noProof/>
            <w:webHidden/>
          </w:rPr>
          <w:instrText xml:space="preserve"> PAGEREF _Toc500319513 \h </w:instrText>
        </w:r>
        <w:r>
          <w:rPr>
            <w:noProof/>
            <w:webHidden/>
          </w:rPr>
        </w:r>
        <w:r>
          <w:rPr>
            <w:noProof/>
            <w:webHidden/>
          </w:rPr>
          <w:fldChar w:fldCharType="separate"/>
        </w:r>
        <w:r>
          <w:rPr>
            <w:noProof/>
            <w:webHidden/>
          </w:rPr>
          <w:t>125</w:t>
        </w:r>
        <w:r>
          <w:rPr>
            <w:noProof/>
            <w:webHidden/>
          </w:rPr>
          <w:fldChar w:fldCharType="end"/>
        </w:r>
      </w:hyperlink>
    </w:p>
    <w:p w14:paraId="6B055F07"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4" w:history="1">
        <w:r w:rsidRPr="00811FED">
          <w:rPr>
            <w:rStyle w:val="Hyperlink"/>
            <w:noProof/>
            <w:lang w:val="en-GB"/>
          </w:rPr>
          <w:t>Table C1.1 Socio-demographic characteristics of students from two consecutive years.</w:t>
        </w:r>
        <w:r>
          <w:rPr>
            <w:noProof/>
            <w:webHidden/>
          </w:rPr>
          <w:tab/>
        </w:r>
        <w:r>
          <w:rPr>
            <w:noProof/>
            <w:webHidden/>
          </w:rPr>
          <w:fldChar w:fldCharType="begin"/>
        </w:r>
        <w:r>
          <w:rPr>
            <w:noProof/>
            <w:webHidden/>
          </w:rPr>
          <w:instrText xml:space="preserve"> PAGEREF _Toc500319514 \h </w:instrText>
        </w:r>
        <w:r>
          <w:rPr>
            <w:noProof/>
            <w:webHidden/>
          </w:rPr>
        </w:r>
        <w:r>
          <w:rPr>
            <w:noProof/>
            <w:webHidden/>
          </w:rPr>
          <w:fldChar w:fldCharType="separate"/>
        </w:r>
        <w:r>
          <w:rPr>
            <w:noProof/>
            <w:webHidden/>
          </w:rPr>
          <w:t>133</w:t>
        </w:r>
        <w:r>
          <w:rPr>
            <w:noProof/>
            <w:webHidden/>
          </w:rPr>
          <w:fldChar w:fldCharType="end"/>
        </w:r>
      </w:hyperlink>
    </w:p>
    <w:p w14:paraId="481B8F72"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5" w:history="1">
        <w:r w:rsidRPr="00811FED">
          <w:rPr>
            <w:rStyle w:val="Hyperlink"/>
            <w:noProof/>
            <w:lang w:val="en-GB"/>
          </w:rPr>
          <w:t>Table C1.2 SSRQ Component matrix including each item and its respective loading value.</w:t>
        </w:r>
        <w:r>
          <w:rPr>
            <w:noProof/>
            <w:webHidden/>
          </w:rPr>
          <w:tab/>
        </w:r>
        <w:r>
          <w:rPr>
            <w:noProof/>
            <w:webHidden/>
          </w:rPr>
          <w:fldChar w:fldCharType="begin"/>
        </w:r>
        <w:r>
          <w:rPr>
            <w:noProof/>
            <w:webHidden/>
          </w:rPr>
          <w:instrText xml:space="preserve"> PAGEREF _Toc500319515 \h </w:instrText>
        </w:r>
        <w:r>
          <w:rPr>
            <w:noProof/>
            <w:webHidden/>
          </w:rPr>
        </w:r>
        <w:r>
          <w:rPr>
            <w:noProof/>
            <w:webHidden/>
          </w:rPr>
          <w:fldChar w:fldCharType="separate"/>
        </w:r>
        <w:r>
          <w:rPr>
            <w:noProof/>
            <w:webHidden/>
          </w:rPr>
          <w:t>135</w:t>
        </w:r>
        <w:r>
          <w:rPr>
            <w:noProof/>
            <w:webHidden/>
          </w:rPr>
          <w:fldChar w:fldCharType="end"/>
        </w:r>
      </w:hyperlink>
    </w:p>
    <w:p w14:paraId="645AE4A6"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6" w:history="1">
        <w:r w:rsidRPr="00811FED">
          <w:rPr>
            <w:rStyle w:val="Hyperlink"/>
            <w:noProof/>
            <w:lang w:val="en-GB"/>
          </w:rPr>
          <w:t>Table C2.1 Socio-demographic characteristics of focus group and interview participants.</w:t>
        </w:r>
        <w:r>
          <w:rPr>
            <w:noProof/>
            <w:webHidden/>
          </w:rPr>
          <w:tab/>
        </w:r>
        <w:r>
          <w:rPr>
            <w:noProof/>
            <w:webHidden/>
          </w:rPr>
          <w:fldChar w:fldCharType="begin"/>
        </w:r>
        <w:r>
          <w:rPr>
            <w:noProof/>
            <w:webHidden/>
          </w:rPr>
          <w:instrText xml:space="preserve"> PAGEREF _Toc500319516 \h </w:instrText>
        </w:r>
        <w:r>
          <w:rPr>
            <w:noProof/>
            <w:webHidden/>
          </w:rPr>
        </w:r>
        <w:r>
          <w:rPr>
            <w:noProof/>
            <w:webHidden/>
          </w:rPr>
          <w:fldChar w:fldCharType="separate"/>
        </w:r>
        <w:r>
          <w:rPr>
            <w:noProof/>
            <w:webHidden/>
          </w:rPr>
          <w:t>145</w:t>
        </w:r>
        <w:r>
          <w:rPr>
            <w:noProof/>
            <w:webHidden/>
          </w:rPr>
          <w:fldChar w:fldCharType="end"/>
        </w:r>
      </w:hyperlink>
    </w:p>
    <w:p w14:paraId="0E02A526"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7" w:history="1">
        <w:r w:rsidRPr="00811FED">
          <w:rPr>
            <w:rStyle w:val="Hyperlink"/>
            <w:noProof/>
            <w:lang w:val="en-GB"/>
          </w:rPr>
          <w:t>Table C2.2 Interview participant key.</w:t>
        </w:r>
        <w:r>
          <w:rPr>
            <w:noProof/>
            <w:webHidden/>
          </w:rPr>
          <w:tab/>
        </w:r>
        <w:r>
          <w:rPr>
            <w:noProof/>
            <w:webHidden/>
          </w:rPr>
          <w:fldChar w:fldCharType="begin"/>
        </w:r>
        <w:r>
          <w:rPr>
            <w:noProof/>
            <w:webHidden/>
          </w:rPr>
          <w:instrText xml:space="preserve"> PAGEREF _Toc500319517 \h </w:instrText>
        </w:r>
        <w:r>
          <w:rPr>
            <w:noProof/>
            <w:webHidden/>
          </w:rPr>
        </w:r>
        <w:r>
          <w:rPr>
            <w:noProof/>
            <w:webHidden/>
          </w:rPr>
          <w:fldChar w:fldCharType="separate"/>
        </w:r>
        <w:r>
          <w:rPr>
            <w:noProof/>
            <w:webHidden/>
          </w:rPr>
          <w:t>145</w:t>
        </w:r>
        <w:r>
          <w:rPr>
            <w:noProof/>
            <w:webHidden/>
          </w:rPr>
          <w:fldChar w:fldCharType="end"/>
        </w:r>
      </w:hyperlink>
    </w:p>
    <w:p w14:paraId="16866B6A"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8" w:history="1">
        <w:r w:rsidRPr="00811FED">
          <w:rPr>
            <w:rStyle w:val="Hyperlink"/>
            <w:noProof/>
            <w:lang w:val="en-GB"/>
          </w:rPr>
          <w:t>Table C2.3 Key themes and sub-themes from focus groups and interviews affecting learning and feedback behaviours with illustrative quotes.</w:t>
        </w:r>
        <w:r>
          <w:rPr>
            <w:noProof/>
            <w:webHidden/>
          </w:rPr>
          <w:tab/>
        </w:r>
        <w:r>
          <w:rPr>
            <w:noProof/>
            <w:webHidden/>
          </w:rPr>
          <w:fldChar w:fldCharType="begin"/>
        </w:r>
        <w:r>
          <w:rPr>
            <w:noProof/>
            <w:webHidden/>
          </w:rPr>
          <w:instrText xml:space="preserve"> PAGEREF _Toc500319518 \h </w:instrText>
        </w:r>
        <w:r>
          <w:rPr>
            <w:noProof/>
            <w:webHidden/>
          </w:rPr>
        </w:r>
        <w:r>
          <w:rPr>
            <w:noProof/>
            <w:webHidden/>
          </w:rPr>
          <w:fldChar w:fldCharType="separate"/>
        </w:r>
        <w:r>
          <w:rPr>
            <w:noProof/>
            <w:webHidden/>
          </w:rPr>
          <w:t>147</w:t>
        </w:r>
        <w:r>
          <w:rPr>
            <w:noProof/>
            <w:webHidden/>
          </w:rPr>
          <w:fldChar w:fldCharType="end"/>
        </w:r>
      </w:hyperlink>
    </w:p>
    <w:p w14:paraId="3DD3755C" w14:textId="77777777" w:rsidR="00B27F0B" w:rsidRDefault="00B27F0B">
      <w:pPr>
        <w:pStyle w:val="TableofFigures"/>
        <w:tabs>
          <w:tab w:val="right" w:leader="dot" w:pos="8494"/>
        </w:tabs>
        <w:rPr>
          <w:rFonts w:asciiTheme="minorHAnsi" w:eastAsiaTheme="minorEastAsia" w:hAnsiTheme="minorHAnsi" w:cstheme="minorBidi"/>
          <w:noProof/>
          <w:kern w:val="0"/>
          <w:lang w:val="en-GB" w:eastAsia="en-GB" w:bidi="ar-SA"/>
        </w:rPr>
      </w:pPr>
      <w:hyperlink w:anchor="_Toc500319519" w:history="1">
        <w:r w:rsidRPr="00811FED">
          <w:rPr>
            <w:rStyle w:val="Hyperlink"/>
            <w:noProof/>
            <w:lang w:val="en-GB"/>
          </w:rPr>
          <w:t>Table D1.1 The mixed methods appraisal tool with design components and corresponding quality criteria, adapted from Pluye et al. (2011).</w:t>
        </w:r>
        <w:r>
          <w:rPr>
            <w:noProof/>
            <w:webHidden/>
          </w:rPr>
          <w:tab/>
        </w:r>
        <w:r>
          <w:rPr>
            <w:noProof/>
            <w:webHidden/>
          </w:rPr>
          <w:fldChar w:fldCharType="begin"/>
        </w:r>
        <w:r>
          <w:rPr>
            <w:noProof/>
            <w:webHidden/>
          </w:rPr>
          <w:instrText xml:space="preserve"> PAGEREF _Toc500319519 \h </w:instrText>
        </w:r>
        <w:r>
          <w:rPr>
            <w:noProof/>
            <w:webHidden/>
          </w:rPr>
        </w:r>
        <w:r>
          <w:rPr>
            <w:noProof/>
            <w:webHidden/>
          </w:rPr>
          <w:fldChar w:fldCharType="separate"/>
        </w:r>
        <w:r>
          <w:rPr>
            <w:noProof/>
            <w:webHidden/>
          </w:rPr>
          <w:t>175</w:t>
        </w:r>
        <w:r>
          <w:rPr>
            <w:noProof/>
            <w:webHidden/>
          </w:rPr>
          <w:fldChar w:fldCharType="end"/>
        </w:r>
      </w:hyperlink>
    </w:p>
    <w:p w14:paraId="5372D1B4" w14:textId="0ADF4E4E" w:rsidR="00001EE2" w:rsidRPr="003726FE" w:rsidRDefault="002849FA" w:rsidP="00A32CDD">
      <w:pPr>
        <w:spacing w:before="240" w:after="240" w:line="360" w:lineRule="auto"/>
        <w:rPr>
          <w:rFonts w:eastAsia="Lucida Sans Unicode" w:cs="Mangal"/>
          <w:kern w:val="1"/>
          <w:szCs w:val="24"/>
          <w:lang w:eastAsia="hi-IN" w:bidi="hi-IN"/>
        </w:rPr>
      </w:pPr>
      <w:r w:rsidRPr="003726FE">
        <w:fldChar w:fldCharType="end"/>
      </w:r>
      <w:r w:rsidR="00F176D2" w:rsidRPr="003726FE">
        <w:br w:type="page"/>
      </w:r>
    </w:p>
    <w:p w14:paraId="175DEB28" w14:textId="77777777" w:rsidR="002849FA" w:rsidRPr="003726FE" w:rsidRDefault="00001EE2" w:rsidP="00426FCB">
      <w:pPr>
        <w:pStyle w:val="Heading1"/>
      </w:pPr>
      <w:bookmarkStart w:id="59" w:name="_Toc487456813"/>
      <w:bookmarkStart w:id="60" w:name="_Toc487811193"/>
      <w:bookmarkStart w:id="61" w:name="_Toc488147536"/>
      <w:bookmarkStart w:id="62" w:name="_Toc488309148"/>
      <w:bookmarkStart w:id="63" w:name="_Toc488930109"/>
      <w:bookmarkStart w:id="64" w:name="_Toc489017323"/>
      <w:bookmarkStart w:id="65" w:name="_Toc489447677"/>
      <w:bookmarkStart w:id="66" w:name="_Toc490650164"/>
      <w:bookmarkStart w:id="67" w:name="_Toc500319306"/>
      <w:bookmarkStart w:id="68" w:name="_Toc500319526"/>
      <w:r w:rsidRPr="003726FE">
        <w:lastRenderedPageBreak/>
        <w:t>List of Figures</w:t>
      </w:r>
      <w:bookmarkEnd w:id="59"/>
      <w:bookmarkEnd w:id="60"/>
      <w:bookmarkEnd w:id="61"/>
      <w:bookmarkEnd w:id="62"/>
      <w:bookmarkEnd w:id="63"/>
      <w:bookmarkEnd w:id="64"/>
      <w:bookmarkEnd w:id="65"/>
      <w:bookmarkEnd w:id="66"/>
      <w:bookmarkEnd w:id="67"/>
      <w:bookmarkEnd w:id="68"/>
    </w:p>
    <w:p w14:paraId="4DCBFC6F" w14:textId="3E5046DB" w:rsidR="00B27F0B" w:rsidRDefault="00001EE2">
      <w:pPr>
        <w:pStyle w:val="TOC1"/>
        <w:rPr>
          <w:rFonts w:asciiTheme="minorHAnsi" w:hAnsiTheme="minorHAnsi" w:cstheme="minorBidi"/>
          <w:noProof/>
          <w:szCs w:val="24"/>
          <w:lang w:val="en-GB" w:eastAsia="en-GB"/>
        </w:rPr>
      </w:pPr>
      <w:r w:rsidRPr="003726FE">
        <w:fldChar w:fldCharType="begin"/>
      </w:r>
      <w:r w:rsidRPr="003726FE">
        <w:instrText xml:space="preserve"> TOC \o "1-1" \h \z \t "Caption,1" </w:instrText>
      </w:r>
      <w:r w:rsidRPr="003726FE">
        <w:fldChar w:fldCharType="separate"/>
      </w:r>
    </w:p>
    <w:p w14:paraId="25A017E6" w14:textId="77777777" w:rsidR="00B27F0B" w:rsidRDefault="00B27F0B">
      <w:pPr>
        <w:pStyle w:val="TOC1"/>
        <w:rPr>
          <w:rFonts w:asciiTheme="minorHAnsi" w:hAnsiTheme="minorHAnsi" w:cstheme="minorBidi"/>
          <w:noProof/>
          <w:szCs w:val="24"/>
          <w:lang w:val="en-GB" w:eastAsia="en-GB"/>
        </w:rPr>
      </w:pPr>
      <w:hyperlink w:anchor="_Toc500319531" w:history="1">
        <w:r w:rsidRPr="00E40CB2">
          <w:rPr>
            <w:rStyle w:val="Hyperlink"/>
            <w:noProof/>
          </w:rPr>
          <w:t>Figure A1.1 Pendleton’s rules of feedback practice in sequence from left to right, information from Pendleton et al. (1984).</w:t>
        </w:r>
        <w:r>
          <w:rPr>
            <w:noProof/>
            <w:webHidden/>
          </w:rPr>
          <w:tab/>
        </w:r>
        <w:r>
          <w:rPr>
            <w:noProof/>
            <w:webHidden/>
          </w:rPr>
          <w:fldChar w:fldCharType="begin"/>
        </w:r>
        <w:r>
          <w:rPr>
            <w:noProof/>
            <w:webHidden/>
          </w:rPr>
          <w:instrText xml:space="preserve"> PAGEREF _Toc500319531 \h </w:instrText>
        </w:r>
        <w:r>
          <w:rPr>
            <w:noProof/>
            <w:webHidden/>
          </w:rPr>
        </w:r>
        <w:r>
          <w:rPr>
            <w:noProof/>
            <w:webHidden/>
          </w:rPr>
          <w:fldChar w:fldCharType="separate"/>
        </w:r>
        <w:r>
          <w:rPr>
            <w:noProof/>
            <w:webHidden/>
          </w:rPr>
          <w:t>4</w:t>
        </w:r>
        <w:r>
          <w:rPr>
            <w:noProof/>
            <w:webHidden/>
          </w:rPr>
          <w:fldChar w:fldCharType="end"/>
        </w:r>
      </w:hyperlink>
    </w:p>
    <w:p w14:paraId="09C1A9C6" w14:textId="7D06D70E" w:rsidR="00B27F0B" w:rsidRDefault="00B27F0B">
      <w:pPr>
        <w:pStyle w:val="TOC1"/>
        <w:rPr>
          <w:rFonts w:asciiTheme="minorHAnsi" w:hAnsiTheme="minorHAnsi" w:cstheme="minorBidi"/>
          <w:noProof/>
          <w:szCs w:val="24"/>
          <w:lang w:val="en-GB" w:eastAsia="en-GB"/>
        </w:rPr>
      </w:pPr>
      <w:hyperlink r:id="rId9" w:anchor="_Toc500319532" w:history="1">
        <w:r w:rsidRPr="00E40CB2">
          <w:rPr>
            <w:rStyle w:val="Hyperlink"/>
            <w:noProof/>
          </w:rPr>
          <w:t>Figure A1.2 The four common core concepts of SRL theories in the educational literature. Information from Cleary et al. (2013).</w:t>
        </w:r>
        <w:r>
          <w:rPr>
            <w:noProof/>
            <w:webHidden/>
          </w:rPr>
          <w:tab/>
        </w:r>
        <w:r>
          <w:rPr>
            <w:noProof/>
            <w:webHidden/>
          </w:rPr>
          <w:fldChar w:fldCharType="begin"/>
        </w:r>
        <w:r>
          <w:rPr>
            <w:noProof/>
            <w:webHidden/>
          </w:rPr>
          <w:instrText xml:space="preserve"> PAGEREF _Toc500319532 \h </w:instrText>
        </w:r>
        <w:r>
          <w:rPr>
            <w:noProof/>
            <w:webHidden/>
          </w:rPr>
        </w:r>
        <w:r>
          <w:rPr>
            <w:noProof/>
            <w:webHidden/>
          </w:rPr>
          <w:fldChar w:fldCharType="separate"/>
        </w:r>
        <w:r>
          <w:rPr>
            <w:noProof/>
            <w:webHidden/>
          </w:rPr>
          <w:t>10</w:t>
        </w:r>
        <w:r>
          <w:rPr>
            <w:noProof/>
            <w:webHidden/>
          </w:rPr>
          <w:fldChar w:fldCharType="end"/>
        </w:r>
      </w:hyperlink>
    </w:p>
    <w:p w14:paraId="659AD4E3" w14:textId="77777777" w:rsidR="00B27F0B" w:rsidRDefault="00B27F0B">
      <w:pPr>
        <w:pStyle w:val="TOC1"/>
        <w:rPr>
          <w:rFonts w:asciiTheme="minorHAnsi" w:hAnsiTheme="minorHAnsi" w:cstheme="minorBidi"/>
          <w:noProof/>
          <w:szCs w:val="24"/>
          <w:lang w:val="en-GB" w:eastAsia="en-GB"/>
        </w:rPr>
      </w:pPr>
      <w:hyperlink w:anchor="_Toc500319533" w:history="1">
        <w:r w:rsidRPr="00E40CB2">
          <w:rPr>
            <w:rStyle w:val="Hyperlink"/>
            <w:noProof/>
          </w:rPr>
          <w:t>Figure A1.3 Zimmerman’s three phase cyclical model of SRL with corresponding processes, information from Zimmerman (2000a) and Cleary et al. (2014).</w:t>
        </w:r>
        <w:r>
          <w:rPr>
            <w:noProof/>
            <w:webHidden/>
          </w:rPr>
          <w:tab/>
        </w:r>
        <w:r>
          <w:rPr>
            <w:noProof/>
            <w:webHidden/>
          </w:rPr>
          <w:fldChar w:fldCharType="begin"/>
        </w:r>
        <w:r>
          <w:rPr>
            <w:noProof/>
            <w:webHidden/>
          </w:rPr>
          <w:instrText xml:space="preserve"> PAGEREF _Toc500319533 \h </w:instrText>
        </w:r>
        <w:r>
          <w:rPr>
            <w:noProof/>
            <w:webHidden/>
          </w:rPr>
        </w:r>
        <w:r>
          <w:rPr>
            <w:noProof/>
            <w:webHidden/>
          </w:rPr>
          <w:fldChar w:fldCharType="separate"/>
        </w:r>
        <w:r>
          <w:rPr>
            <w:noProof/>
            <w:webHidden/>
          </w:rPr>
          <w:t>15</w:t>
        </w:r>
        <w:r>
          <w:rPr>
            <w:noProof/>
            <w:webHidden/>
          </w:rPr>
          <w:fldChar w:fldCharType="end"/>
        </w:r>
      </w:hyperlink>
    </w:p>
    <w:p w14:paraId="35748A7A" w14:textId="5C603C0D" w:rsidR="00B27F0B" w:rsidRDefault="00B27F0B">
      <w:pPr>
        <w:pStyle w:val="TOC1"/>
        <w:rPr>
          <w:rFonts w:asciiTheme="minorHAnsi" w:hAnsiTheme="minorHAnsi" w:cstheme="minorBidi"/>
          <w:noProof/>
          <w:szCs w:val="24"/>
          <w:lang w:val="en-GB" w:eastAsia="en-GB"/>
        </w:rPr>
      </w:pPr>
      <w:hyperlink r:id="rId10" w:anchor="_Toc500319535" w:history="1">
        <w:r w:rsidRPr="00E40CB2">
          <w:rPr>
            <w:rStyle w:val="Hyperlink"/>
            <w:noProof/>
          </w:rPr>
          <w:t>Figure A2.1 Flow diagram outlining the identification, screening, and eligibility of records for inclusion, and reasons for records which were excluded.</w:t>
        </w:r>
        <w:r>
          <w:rPr>
            <w:noProof/>
            <w:webHidden/>
          </w:rPr>
          <w:tab/>
        </w:r>
        <w:r>
          <w:rPr>
            <w:noProof/>
            <w:webHidden/>
          </w:rPr>
          <w:fldChar w:fldCharType="begin"/>
        </w:r>
        <w:r>
          <w:rPr>
            <w:noProof/>
            <w:webHidden/>
          </w:rPr>
          <w:instrText xml:space="preserve"> PAGEREF _Toc500319535 \h </w:instrText>
        </w:r>
        <w:r>
          <w:rPr>
            <w:noProof/>
            <w:webHidden/>
          </w:rPr>
        </w:r>
        <w:r>
          <w:rPr>
            <w:noProof/>
            <w:webHidden/>
          </w:rPr>
          <w:fldChar w:fldCharType="separate"/>
        </w:r>
        <w:r>
          <w:rPr>
            <w:noProof/>
            <w:webHidden/>
          </w:rPr>
          <w:t>43</w:t>
        </w:r>
        <w:r>
          <w:rPr>
            <w:noProof/>
            <w:webHidden/>
          </w:rPr>
          <w:fldChar w:fldCharType="end"/>
        </w:r>
      </w:hyperlink>
    </w:p>
    <w:p w14:paraId="0BF074A8" w14:textId="77777777" w:rsidR="00B27F0B" w:rsidRDefault="00B27F0B">
      <w:pPr>
        <w:pStyle w:val="TOC1"/>
        <w:rPr>
          <w:rFonts w:asciiTheme="minorHAnsi" w:hAnsiTheme="minorHAnsi" w:cstheme="minorBidi"/>
          <w:noProof/>
          <w:szCs w:val="24"/>
          <w:lang w:val="en-GB" w:eastAsia="en-GB"/>
        </w:rPr>
      </w:pPr>
      <w:hyperlink w:anchor="_Toc500319537" w:history="1">
        <w:r w:rsidRPr="00E40CB2">
          <w:rPr>
            <w:rStyle w:val="Hyperlink"/>
            <w:noProof/>
          </w:rPr>
          <w:t>Figure A3.1 Conceptualisation of the present study design. Information from Crotty (1998).</w:t>
        </w:r>
        <w:r>
          <w:rPr>
            <w:noProof/>
            <w:webHidden/>
          </w:rPr>
          <w:tab/>
        </w:r>
        <w:r>
          <w:rPr>
            <w:noProof/>
            <w:webHidden/>
          </w:rPr>
          <w:fldChar w:fldCharType="begin"/>
        </w:r>
        <w:r>
          <w:rPr>
            <w:noProof/>
            <w:webHidden/>
          </w:rPr>
          <w:instrText xml:space="preserve"> PAGEREF _Toc500319537 \h </w:instrText>
        </w:r>
        <w:r>
          <w:rPr>
            <w:noProof/>
            <w:webHidden/>
          </w:rPr>
        </w:r>
        <w:r>
          <w:rPr>
            <w:noProof/>
            <w:webHidden/>
          </w:rPr>
          <w:fldChar w:fldCharType="separate"/>
        </w:r>
        <w:r>
          <w:rPr>
            <w:noProof/>
            <w:webHidden/>
          </w:rPr>
          <w:t>55</w:t>
        </w:r>
        <w:r>
          <w:rPr>
            <w:noProof/>
            <w:webHidden/>
          </w:rPr>
          <w:fldChar w:fldCharType="end"/>
        </w:r>
      </w:hyperlink>
    </w:p>
    <w:p w14:paraId="22B81298" w14:textId="77777777" w:rsidR="00B27F0B" w:rsidRDefault="00B27F0B">
      <w:pPr>
        <w:pStyle w:val="TOC1"/>
        <w:rPr>
          <w:rFonts w:asciiTheme="minorHAnsi" w:hAnsiTheme="minorHAnsi" w:cstheme="minorBidi"/>
          <w:noProof/>
          <w:szCs w:val="24"/>
          <w:lang w:val="en-GB" w:eastAsia="en-GB"/>
        </w:rPr>
      </w:pPr>
      <w:hyperlink w:anchor="_Toc500319538" w:history="1">
        <w:r w:rsidRPr="00E40CB2">
          <w:rPr>
            <w:rStyle w:val="Hyperlink"/>
            <w:noProof/>
          </w:rPr>
          <w:t>Figure A3.2 The explanatory sequential mixed methods design process, information from Bergman (2008).</w:t>
        </w:r>
        <w:r>
          <w:rPr>
            <w:noProof/>
            <w:webHidden/>
          </w:rPr>
          <w:tab/>
        </w:r>
        <w:r>
          <w:rPr>
            <w:noProof/>
            <w:webHidden/>
          </w:rPr>
          <w:fldChar w:fldCharType="begin"/>
        </w:r>
        <w:r>
          <w:rPr>
            <w:noProof/>
            <w:webHidden/>
          </w:rPr>
          <w:instrText xml:space="preserve"> PAGEREF _Toc500319538 \h </w:instrText>
        </w:r>
        <w:r>
          <w:rPr>
            <w:noProof/>
            <w:webHidden/>
          </w:rPr>
        </w:r>
        <w:r>
          <w:rPr>
            <w:noProof/>
            <w:webHidden/>
          </w:rPr>
          <w:fldChar w:fldCharType="separate"/>
        </w:r>
        <w:r>
          <w:rPr>
            <w:noProof/>
            <w:webHidden/>
          </w:rPr>
          <w:t>56</w:t>
        </w:r>
        <w:r>
          <w:rPr>
            <w:noProof/>
            <w:webHidden/>
          </w:rPr>
          <w:fldChar w:fldCharType="end"/>
        </w:r>
      </w:hyperlink>
    </w:p>
    <w:p w14:paraId="0AAE2897" w14:textId="713F51F1" w:rsidR="00B27F0B" w:rsidRDefault="00B27F0B">
      <w:pPr>
        <w:pStyle w:val="TOC1"/>
        <w:rPr>
          <w:rFonts w:asciiTheme="minorHAnsi" w:hAnsiTheme="minorHAnsi" w:cstheme="minorBidi"/>
          <w:noProof/>
          <w:szCs w:val="24"/>
          <w:lang w:val="en-GB" w:eastAsia="en-GB"/>
        </w:rPr>
      </w:pPr>
      <w:hyperlink r:id="rId11" w:anchor="_Toc500319539" w:history="1">
        <w:r w:rsidRPr="00E40CB2">
          <w:rPr>
            <w:rStyle w:val="Hyperlink"/>
            <w:noProof/>
          </w:rPr>
          <w:t>Figure A3.3 A process diagram of the sequential components, procedures, and products of the study.</w:t>
        </w:r>
        <w:r w:rsidRPr="00E40CB2">
          <w:rPr>
            <w:rStyle w:val="Hyperlink"/>
            <w:noProof/>
            <w:shd w:val="clear" w:color="auto" w:fill="FFFFFF"/>
          </w:rPr>
          <w:t xml:space="preserve"> Structure adapted from Ivankova et al. (2006).</w:t>
        </w:r>
        <w:r>
          <w:rPr>
            <w:noProof/>
            <w:webHidden/>
          </w:rPr>
          <w:tab/>
        </w:r>
        <w:r>
          <w:rPr>
            <w:noProof/>
            <w:webHidden/>
          </w:rPr>
          <w:fldChar w:fldCharType="begin"/>
        </w:r>
        <w:r>
          <w:rPr>
            <w:noProof/>
            <w:webHidden/>
          </w:rPr>
          <w:instrText xml:space="preserve"> PAGEREF _Toc500319539 \h </w:instrText>
        </w:r>
        <w:r>
          <w:rPr>
            <w:noProof/>
            <w:webHidden/>
          </w:rPr>
        </w:r>
        <w:r>
          <w:rPr>
            <w:noProof/>
            <w:webHidden/>
          </w:rPr>
          <w:fldChar w:fldCharType="separate"/>
        </w:r>
        <w:r>
          <w:rPr>
            <w:noProof/>
            <w:webHidden/>
          </w:rPr>
          <w:t>59</w:t>
        </w:r>
        <w:r>
          <w:rPr>
            <w:noProof/>
            <w:webHidden/>
          </w:rPr>
          <w:fldChar w:fldCharType="end"/>
        </w:r>
      </w:hyperlink>
    </w:p>
    <w:p w14:paraId="5657D463" w14:textId="77777777" w:rsidR="00B27F0B" w:rsidRDefault="00B27F0B">
      <w:pPr>
        <w:pStyle w:val="TOC1"/>
        <w:rPr>
          <w:rFonts w:asciiTheme="minorHAnsi" w:hAnsiTheme="minorHAnsi" w:cstheme="minorBidi"/>
          <w:noProof/>
          <w:szCs w:val="24"/>
          <w:lang w:val="en-GB" w:eastAsia="en-GB"/>
        </w:rPr>
      </w:pPr>
      <w:hyperlink w:anchor="_Toc500319540" w:history="1">
        <w:r w:rsidRPr="00E40CB2">
          <w:rPr>
            <w:rStyle w:val="Hyperlink"/>
            <w:noProof/>
          </w:rPr>
          <w:t>Figure A3.4</w:t>
        </w:r>
        <w:r w:rsidRPr="00E40CB2">
          <w:rPr>
            <w:rStyle w:val="Hyperlink"/>
            <w:b/>
            <w:noProof/>
          </w:rPr>
          <w:t xml:space="preserve"> </w:t>
        </w:r>
        <w:r w:rsidRPr="00E40CB2">
          <w:rPr>
            <w:rStyle w:val="Hyperlink"/>
            <w:noProof/>
          </w:rPr>
          <w:t>The hierarchical framework approach with stage in ascending order, information from Ritchie et al. (2003).</w:t>
        </w:r>
        <w:r>
          <w:rPr>
            <w:noProof/>
            <w:webHidden/>
          </w:rPr>
          <w:tab/>
        </w:r>
        <w:r>
          <w:rPr>
            <w:noProof/>
            <w:webHidden/>
          </w:rPr>
          <w:fldChar w:fldCharType="begin"/>
        </w:r>
        <w:r>
          <w:rPr>
            <w:noProof/>
            <w:webHidden/>
          </w:rPr>
          <w:instrText xml:space="preserve"> PAGEREF _Toc500319540 \h </w:instrText>
        </w:r>
        <w:r>
          <w:rPr>
            <w:noProof/>
            <w:webHidden/>
          </w:rPr>
        </w:r>
        <w:r>
          <w:rPr>
            <w:noProof/>
            <w:webHidden/>
          </w:rPr>
          <w:fldChar w:fldCharType="separate"/>
        </w:r>
        <w:r>
          <w:rPr>
            <w:noProof/>
            <w:webHidden/>
          </w:rPr>
          <w:t>81</w:t>
        </w:r>
        <w:r>
          <w:rPr>
            <w:noProof/>
            <w:webHidden/>
          </w:rPr>
          <w:fldChar w:fldCharType="end"/>
        </w:r>
      </w:hyperlink>
    </w:p>
    <w:p w14:paraId="627CBBC5" w14:textId="6477ED68" w:rsidR="00B27F0B" w:rsidRDefault="00B27F0B">
      <w:pPr>
        <w:pStyle w:val="TOC1"/>
        <w:rPr>
          <w:rFonts w:asciiTheme="minorHAnsi" w:hAnsiTheme="minorHAnsi" w:cstheme="minorBidi"/>
          <w:noProof/>
          <w:szCs w:val="24"/>
          <w:lang w:val="en-GB" w:eastAsia="en-GB"/>
        </w:rPr>
      </w:pPr>
      <w:hyperlink r:id="rId12" w:anchor="_Toc500319543" w:history="1">
        <w:r w:rsidRPr="00E40CB2">
          <w:rPr>
            <w:rStyle w:val="Hyperlink"/>
            <w:noProof/>
          </w:rPr>
          <w:t>Figure B1.1 Flow diagram of study operations with data collection and dates.</w:t>
        </w:r>
        <w:r>
          <w:rPr>
            <w:noProof/>
            <w:webHidden/>
          </w:rPr>
          <w:tab/>
        </w:r>
        <w:r>
          <w:rPr>
            <w:noProof/>
            <w:webHidden/>
          </w:rPr>
          <w:fldChar w:fldCharType="begin"/>
        </w:r>
        <w:r>
          <w:rPr>
            <w:noProof/>
            <w:webHidden/>
          </w:rPr>
          <w:instrText xml:space="preserve"> PAGEREF _Toc500319543 \h </w:instrText>
        </w:r>
        <w:r>
          <w:rPr>
            <w:noProof/>
            <w:webHidden/>
          </w:rPr>
        </w:r>
        <w:r>
          <w:rPr>
            <w:noProof/>
            <w:webHidden/>
          </w:rPr>
          <w:fldChar w:fldCharType="separate"/>
        </w:r>
        <w:r>
          <w:rPr>
            <w:noProof/>
            <w:webHidden/>
          </w:rPr>
          <w:t>85</w:t>
        </w:r>
        <w:r>
          <w:rPr>
            <w:noProof/>
            <w:webHidden/>
          </w:rPr>
          <w:fldChar w:fldCharType="end"/>
        </w:r>
      </w:hyperlink>
    </w:p>
    <w:p w14:paraId="32621FE9" w14:textId="77777777" w:rsidR="00B27F0B" w:rsidRDefault="00B27F0B">
      <w:pPr>
        <w:pStyle w:val="TOC1"/>
        <w:rPr>
          <w:rFonts w:asciiTheme="minorHAnsi" w:hAnsiTheme="minorHAnsi" w:cstheme="minorBidi"/>
          <w:noProof/>
          <w:szCs w:val="24"/>
          <w:lang w:val="en-GB" w:eastAsia="en-GB"/>
        </w:rPr>
      </w:pPr>
      <w:hyperlink w:anchor="_Toc500319545" w:history="1">
        <w:r w:rsidRPr="00E40CB2">
          <w:rPr>
            <w:rStyle w:val="Hyperlink"/>
            <w:noProof/>
          </w:rPr>
          <w:t>Figure B1.3</w:t>
        </w:r>
        <w:r w:rsidRPr="00E40CB2">
          <w:rPr>
            <w:rStyle w:val="Hyperlink"/>
            <w:noProof/>
            <w:shd w:val="clear" w:color="auto" w:fill="FFFFFF"/>
          </w:rPr>
          <w:t xml:space="preserve"> SRL processes assessed in the SRL MA procedure in sequential order.</w:t>
        </w:r>
        <w:r>
          <w:rPr>
            <w:noProof/>
            <w:webHidden/>
          </w:rPr>
          <w:tab/>
        </w:r>
        <w:r>
          <w:rPr>
            <w:noProof/>
            <w:webHidden/>
          </w:rPr>
          <w:fldChar w:fldCharType="begin"/>
        </w:r>
        <w:r>
          <w:rPr>
            <w:noProof/>
            <w:webHidden/>
          </w:rPr>
          <w:instrText xml:space="preserve"> PAGEREF _Toc500319545 \h </w:instrText>
        </w:r>
        <w:r>
          <w:rPr>
            <w:noProof/>
            <w:webHidden/>
          </w:rPr>
        </w:r>
        <w:r>
          <w:rPr>
            <w:noProof/>
            <w:webHidden/>
          </w:rPr>
          <w:fldChar w:fldCharType="separate"/>
        </w:r>
        <w:r>
          <w:rPr>
            <w:noProof/>
            <w:webHidden/>
          </w:rPr>
          <w:t>91</w:t>
        </w:r>
        <w:r>
          <w:rPr>
            <w:noProof/>
            <w:webHidden/>
          </w:rPr>
          <w:fldChar w:fldCharType="end"/>
        </w:r>
      </w:hyperlink>
    </w:p>
    <w:p w14:paraId="33AA0FC8" w14:textId="77777777" w:rsidR="00B27F0B" w:rsidRDefault="00B27F0B">
      <w:pPr>
        <w:pStyle w:val="TOC1"/>
        <w:rPr>
          <w:rFonts w:asciiTheme="minorHAnsi" w:hAnsiTheme="minorHAnsi" w:cstheme="minorBidi"/>
          <w:noProof/>
          <w:szCs w:val="24"/>
          <w:lang w:val="en-GB" w:eastAsia="en-GB"/>
        </w:rPr>
      </w:pPr>
      <w:hyperlink w:anchor="_Toc500319547" w:history="1">
        <w:r w:rsidRPr="00E40CB2">
          <w:rPr>
            <w:rStyle w:val="Hyperlink"/>
            <w:noProof/>
          </w:rPr>
          <w:t>Figure B2.1 Flow diagram of study operations. Teacher interviews (green) in the follow-up phase are highlighted.</w:t>
        </w:r>
        <w:r>
          <w:rPr>
            <w:noProof/>
            <w:webHidden/>
          </w:rPr>
          <w:tab/>
        </w:r>
        <w:r>
          <w:rPr>
            <w:noProof/>
            <w:webHidden/>
          </w:rPr>
          <w:fldChar w:fldCharType="begin"/>
        </w:r>
        <w:r>
          <w:rPr>
            <w:noProof/>
            <w:webHidden/>
          </w:rPr>
          <w:instrText xml:space="preserve"> PAGEREF _Toc500319547 \h </w:instrText>
        </w:r>
        <w:r>
          <w:rPr>
            <w:noProof/>
            <w:webHidden/>
          </w:rPr>
        </w:r>
        <w:r>
          <w:rPr>
            <w:noProof/>
            <w:webHidden/>
          </w:rPr>
          <w:fldChar w:fldCharType="separate"/>
        </w:r>
        <w:r>
          <w:rPr>
            <w:noProof/>
            <w:webHidden/>
          </w:rPr>
          <w:t>105</w:t>
        </w:r>
        <w:r>
          <w:rPr>
            <w:noProof/>
            <w:webHidden/>
          </w:rPr>
          <w:fldChar w:fldCharType="end"/>
        </w:r>
      </w:hyperlink>
    </w:p>
    <w:p w14:paraId="1E2C2DAC" w14:textId="77777777" w:rsidR="00B27F0B" w:rsidRDefault="00B27F0B">
      <w:pPr>
        <w:pStyle w:val="TOC1"/>
        <w:rPr>
          <w:rFonts w:asciiTheme="minorHAnsi" w:hAnsiTheme="minorHAnsi" w:cstheme="minorBidi"/>
          <w:noProof/>
          <w:szCs w:val="24"/>
          <w:lang w:val="en-GB" w:eastAsia="en-GB"/>
        </w:rPr>
      </w:pPr>
      <w:hyperlink w:anchor="_Toc500319548" w:history="1">
        <w:r w:rsidRPr="00E40CB2">
          <w:rPr>
            <w:rStyle w:val="Hyperlink"/>
            <w:noProof/>
          </w:rPr>
          <w:t>Figure B2.3 Factors influencing the feedback encounter theme and sub-themes.</w:t>
        </w:r>
        <w:r>
          <w:rPr>
            <w:noProof/>
            <w:webHidden/>
          </w:rPr>
          <w:tab/>
        </w:r>
        <w:r>
          <w:rPr>
            <w:noProof/>
            <w:webHidden/>
          </w:rPr>
          <w:fldChar w:fldCharType="begin"/>
        </w:r>
        <w:r>
          <w:rPr>
            <w:noProof/>
            <w:webHidden/>
          </w:rPr>
          <w:instrText xml:space="preserve"> PAGEREF _Toc500319548 \h </w:instrText>
        </w:r>
        <w:r>
          <w:rPr>
            <w:noProof/>
            <w:webHidden/>
          </w:rPr>
        </w:r>
        <w:r>
          <w:rPr>
            <w:noProof/>
            <w:webHidden/>
          </w:rPr>
          <w:fldChar w:fldCharType="separate"/>
        </w:r>
        <w:r>
          <w:rPr>
            <w:noProof/>
            <w:webHidden/>
          </w:rPr>
          <w:t>112</w:t>
        </w:r>
        <w:r>
          <w:rPr>
            <w:noProof/>
            <w:webHidden/>
          </w:rPr>
          <w:fldChar w:fldCharType="end"/>
        </w:r>
      </w:hyperlink>
    </w:p>
    <w:p w14:paraId="1FE0D3F0" w14:textId="77777777" w:rsidR="00B27F0B" w:rsidRDefault="00B27F0B">
      <w:pPr>
        <w:pStyle w:val="TOC1"/>
        <w:rPr>
          <w:rFonts w:asciiTheme="minorHAnsi" w:hAnsiTheme="minorHAnsi" w:cstheme="minorBidi"/>
          <w:noProof/>
          <w:szCs w:val="24"/>
          <w:lang w:val="en-GB" w:eastAsia="en-GB"/>
        </w:rPr>
      </w:pPr>
      <w:hyperlink w:anchor="_Toc500319549" w:history="1">
        <w:r w:rsidRPr="00E40CB2">
          <w:rPr>
            <w:rStyle w:val="Hyperlink"/>
            <w:noProof/>
          </w:rPr>
          <w:t>Figure B2.4 Dynamic adjustment and reflective change theme and sub-themes.</w:t>
        </w:r>
        <w:r>
          <w:rPr>
            <w:noProof/>
            <w:webHidden/>
          </w:rPr>
          <w:tab/>
        </w:r>
        <w:r>
          <w:rPr>
            <w:noProof/>
            <w:webHidden/>
          </w:rPr>
          <w:fldChar w:fldCharType="begin"/>
        </w:r>
        <w:r>
          <w:rPr>
            <w:noProof/>
            <w:webHidden/>
          </w:rPr>
          <w:instrText xml:space="preserve"> PAGEREF _Toc500319549 \h </w:instrText>
        </w:r>
        <w:r>
          <w:rPr>
            <w:noProof/>
            <w:webHidden/>
          </w:rPr>
        </w:r>
        <w:r>
          <w:rPr>
            <w:noProof/>
            <w:webHidden/>
          </w:rPr>
          <w:fldChar w:fldCharType="separate"/>
        </w:r>
        <w:r>
          <w:rPr>
            <w:noProof/>
            <w:webHidden/>
          </w:rPr>
          <w:t>114</w:t>
        </w:r>
        <w:r>
          <w:rPr>
            <w:noProof/>
            <w:webHidden/>
          </w:rPr>
          <w:fldChar w:fldCharType="end"/>
        </w:r>
      </w:hyperlink>
    </w:p>
    <w:p w14:paraId="0F2F575C" w14:textId="77777777" w:rsidR="00B27F0B" w:rsidRDefault="00B27F0B">
      <w:pPr>
        <w:pStyle w:val="TOC1"/>
        <w:rPr>
          <w:rFonts w:asciiTheme="minorHAnsi" w:hAnsiTheme="minorHAnsi" w:cstheme="minorBidi"/>
          <w:noProof/>
          <w:szCs w:val="24"/>
          <w:lang w:val="en-GB" w:eastAsia="en-GB"/>
        </w:rPr>
      </w:pPr>
      <w:hyperlink w:anchor="_Toc500319550" w:history="1">
        <w:r w:rsidRPr="00E40CB2">
          <w:rPr>
            <w:rStyle w:val="Hyperlink"/>
            <w:noProof/>
          </w:rPr>
          <w:t>Figure B2.5 Conceptual model of feedback giving processes beginning with personal espoused theory informing decisions made in the feedback encounter, then dynamic are made in response to situation or contextual demands. Beneficial changes are incorporated into personal espoused theory through a reflective critical process.</w:t>
        </w:r>
        <w:r>
          <w:rPr>
            <w:noProof/>
            <w:webHidden/>
          </w:rPr>
          <w:tab/>
        </w:r>
        <w:r>
          <w:rPr>
            <w:noProof/>
            <w:webHidden/>
          </w:rPr>
          <w:fldChar w:fldCharType="begin"/>
        </w:r>
        <w:r>
          <w:rPr>
            <w:noProof/>
            <w:webHidden/>
          </w:rPr>
          <w:instrText xml:space="preserve"> PAGEREF _Toc500319550 \h </w:instrText>
        </w:r>
        <w:r>
          <w:rPr>
            <w:noProof/>
            <w:webHidden/>
          </w:rPr>
        </w:r>
        <w:r>
          <w:rPr>
            <w:noProof/>
            <w:webHidden/>
          </w:rPr>
          <w:fldChar w:fldCharType="separate"/>
        </w:r>
        <w:r>
          <w:rPr>
            <w:noProof/>
            <w:webHidden/>
          </w:rPr>
          <w:t>116</w:t>
        </w:r>
        <w:r>
          <w:rPr>
            <w:noProof/>
            <w:webHidden/>
          </w:rPr>
          <w:fldChar w:fldCharType="end"/>
        </w:r>
      </w:hyperlink>
    </w:p>
    <w:p w14:paraId="2E039D0B" w14:textId="77777777" w:rsidR="00B27F0B" w:rsidRDefault="00B27F0B">
      <w:pPr>
        <w:pStyle w:val="TOC1"/>
        <w:rPr>
          <w:rFonts w:asciiTheme="minorHAnsi" w:hAnsiTheme="minorHAnsi" w:cstheme="minorBidi"/>
          <w:noProof/>
          <w:szCs w:val="24"/>
          <w:lang w:val="en-GB" w:eastAsia="en-GB"/>
        </w:rPr>
      </w:pPr>
      <w:hyperlink w:anchor="_Toc500319552" w:history="1">
        <w:r w:rsidRPr="00E40CB2">
          <w:rPr>
            <w:rStyle w:val="Hyperlink"/>
            <w:noProof/>
          </w:rPr>
          <w:t>Figure B3.1 Flow diagram of study operations. Questionnaires (1, 2, and 3 in green) in the intervention and follow-up phases are highlighted.</w:t>
        </w:r>
        <w:r>
          <w:rPr>
            <w:noProof/>
            <w:webHidden/>
          </w:rPr>
          <w:tab/>
        </w:r>
        <w:r>
          <w:rPr>
            <w:noProof/>
            <w:webHidden/>
          </w:rPr>
          <w:fldChar w:fldCharType="begin"/>
        </w:r>
        <w:r>
          <w:rPr>
            <w:noProof/>
            <w:webHidden/>
          </w:rPr>
          <w:instrText xml:space="preserve"> PAGEREF _Toc500319552 \h </w:instrText>
        </w:r>
        <w:r>
          <w:rPr>
            <w:noProof/>
            <w:webHidden/>
          </w:rPr>
        </w:r>
        <w:r>
          <w:rPr>
            <w:noProof/>
            <w:webHidden/>
          </w:rPr>
          <w:fldChar w:fldCharType="separate"/>
        </w:r>
        <w:r>
          <w:rPr>
            <w:noProof/>
            <w:webHidden/>
          </w:rPr>
          <w:t>119</w:t>
        </w:r>
        <w:r>
          <w:rPr>
            <w:noProof/>
            <w:webHidden/>
          </w:rPr>
          <w:fldChar w:fldCharType="end"/>
        </w:r>
      </w:hyperlink>
    </w:p>
    <w:p w14:paraId="5BAC7354" w14:textId="77777777" w:rsidR="00B27F0B" w:rsidRDefault="00B27F0B">
      <w:pPr>
        <w:pStyle w:val="TOC1"/>
        <w:rPr>
          <w:rFonts w:asciiTheme="minorHAnsi" w:hAnsiTheme="minorHAnsi" w:cstheme="minorBidi"/>
          <w:noProof/>
          <w:szCs w:val="24"/>
          <w:lang w:val="en-GB" w:eastAsia="en-GB"/>
        </w:rPr>
      </w:pPr>
      <w:hyperlink w:anchor="_Toc500319553" w:history="1">
        <w:r w:rsidRPr="00E40CB2">
          <w:rPr>
            <w:rStyle w:val="Hyperlink"/>
            <w:noProof/>
          </w:rPr>
          <w:t>Figure B3.2 SSRQ Score, Condition*Time interaction based on estimated marginal means with CI bars to distinguish significant differences between conditions. Bar positions were adjusted for clarity.</w:t>
        </w:r>
        <w:r>
          <w:rPr>
            <w:noProof/>
            <w:webHidden/>
          </w:rPr>
          <w:tab/>
        </w:r>
        <w:r>
          <w:rPr>
            <w:noProof/>
            <w:webHidden/>
          </w:rPr>
          <w:fldChar w:fldCharType="begin"/>
        </w:r>
        <w:r>
          <w:rPr>
            <w:noProof/>
            <w:webHidden/>
          </w:rPr>
          <w:instrText xml:space="preserve"> PAGEREF _Toc500319553 \h </w:instrText>
        </w:r>
        <w:r>
          <w:rPr>
            <w:noProof/>
            <w:webHidden/>
          </w:rPr>
        </w:r>
        <w:r>
          <w:rPr>
            <w:noProof/>
            <w:webHidden/>
          </w:rPr>
          <w:fldChar w:fldCharType="separate"/>
        </w:r>
        <w:r>
          <w:rPr>
            <w:noProof/>
            <w:webHidden/>
          </w:rPr>
          <w:t>124</w:t>
        </w:r>
        <w:r>
          <w:rPr>
            <w:noProof/>
            <w:webHidden/>
          </w:rPr>
          <w:fldChar w:fldCharType="end"/>
        </w:r>
      </w:hyperlink>
    </w:p>
    <w:p w14:paraId="01D15089" w14:textId="77777777" w:rsidR="00B27F0B" w:rsidRDefault="00B27F0B">
      <w:pPr>
        <w:pStyle w:val="TOC1"/>
        <w:rPr>
          <w:rFonts w:asciiTheme="minorHAnsi" w:hAnsiTheme="minorHAnsi" w:cstheme="minorBidi"/>
          <w:noProof/>
          <w:szCs w:val="24"/>
          <w:lang w:val="en-GB" w:eastAsia="en-GB"/>
        </w:rPr>
      </w:pPr>
      <w:hyperlink w:anchor="_Toc500319554" w:history="1">
        <w:r w:rsidRPr="00E40CB2">
          <w:rPr>
            <w:rStyle w:val="Hyperlink"/>
            <w:noProof/>
          </w:rPr>
          <w:t>Figure B3.3 GSE Score, Condition*Time interaction based on estimated marginal means with CI bars to distinguish significant differences between conditions. Bar positions were adjusted for clarity.</w:t>
        </w:r>
        <w:r>
          <w:rPr>
            <w:noProof/>
            <w:webHidden/>
          </w:rPr>
          <w:tab/>
        </w:r>
        <w:r>
          <w:rPr>
            <w:noProof/>
            <w:webHidden/>
          </w:rPr>
          <w:fldChar w:fldCharType="begin"/>
        </w:r>
        <w:r>
          <w:rPr>
            <w:noProof/>
            <w:webHidden/>
          </w:rPr>
          <w:instrText xml:space="preserve"> PAGEREF _Toc500319554 \h </w:instrText>
        </w:r>
        <w:r>
          <w:rPr>
            <w:noProof/>
            <w:webHidden/>
          </w:rPr>
        </w:r>
        <w:r>
          <w:rPr>
            <w:noProof/>
            <w:webHidden/>
          </w:rPr>
          <w:fldChar w:fldCharType="separate"/>
        </w:r>
        <w:r>
          <w:rPr>
            <w:noProof/>
            <w:webHidden/>
          </w:rPr>
          <w:t>126</w:t>
        </w:r>
        <w:r>
          <w:rPr>
            <w:noProof/>
            <w:webHidden/>
          </w:rPr>
          <w:fldChar w:fldCharType="end"/>
        </w:r>
      </w:hyperlink>
    </w:p>
    <w:p w14:paraId="20D54146" w14:textId="77777777" w:rsidR="00B27F0B" w:rsidRDefault="00B27F0B">
      <w:pPr>
        <w:pStyle w:val="TOC1"/>
        <w:rPr>
          <w:rFonts w:asciiTheme="minorHAnsi" w:hAnsiTheme="minorHAnsi" w:cstheme="minorBidi"/>
          <w:noProof/>
          <w:szCs w:val="24"/>
          <w:lang w:val="en-GB" w:eastAsia="en-GB"/>
        </w:rPr>
      </w:pPr>
      <w:hyperlink w:anchor="_Toc500319558" w:history="1">
        <w:r w:rsidRPr="00E40CB2">
          <w:rPr>
            <w:rStyle w:val="Hyperlink"/>
            <w:noProof/>
          </w:rPr>
          <w:t>Figure C1.1 Flow diagram of study operations. Validation of the SSRQ (in green) in the follow-up phase is highlighted.</w:t>
        </w:r>
        <w:r>
          <w:rPr>
            <w:noProof/>
            <w:webHidden/>
          </w:rPr>
          <w:tab/>
        </w:r>
        <w:r>
          <w:rPr>
            <w:noProof/>
            <w:webHidden/>
          </w:rPr>
          <w:fldChar w:fldCharType="begin"/>
        </w:r>
        <w:r>
          <w:rPr>
            <w:noProof/>
            <w:webHidden/>
          </w:rPr>
          <w:instrText xml:space="preserve"> PAGEREF _Toc500319558 \h </w:instrText>
        </w:r>
        <w:r>
          <w:rPr>
            <w:noProof/>
            <w:webHidden/>
          </w:rPr>
        </w:r>
        <w:r>
          <w:rPr>
            <w:noProof/>
            <w:webHidden/>
          </w:rPr>
          <w:fldChar w:fldCharType="separate"/>
        </w:r>
        <w:r>
          <w:rPr>
            <w:noProof/>
            <w:webHidden/>
          </w:rPr>
          <w:t>130</w:t>
        </w:r>
        <w:r>
          <w:rPr>
            <w:noProof/>
            <w:webHidden/>
          </w:rPr>
          <w:fldChar w:fldCharType="end"/>
        </w:r>
      </w:hyperlink>
    </w:p>
    <w:p w14:paraId="3035D540" w14:textId="77777777" w:rsidR="00B27F0B" w:rsidRDefault="00B27F0B">
      <w:pPr>
        <w:pStyle w:val="TOC1"/>
        <w:rPr>
          <w:rFonts w:asciiTheme="minorHAnsi" w:hAnsiTheme="minorHAnsi" w:cstheme="minorBidi"/>
          <w:noProof/>
          <w:szCs w:val="24"/>
          <w:lang w:val="en-GB" w:eastAsia="en-GB"/>
        </w:rPr>
      </w:pPr>
      <w:hyperlink w:anchor="_Toc500319559" w:history="1">
        <w:r w:rsidRPr="00E40CB2">
          <w:rPr>
            <w:rStyle w:val="Hyperlink"/>
            <w:noProof/>
          </w:rPr>
          <w:t>Figure C1.2 Exploratory Factor Analysis, Scree Plot with eigenvalues of each component number illustrating potential factor(s).</w:t>
        </w:r>
        <w:r>
          <w:rPr>
            <w:noProof/>
            <w:webHidden/>
          </w:rPr>
          <w:tab/>
        </w:r>
        <w:r>
          <w:rPr>
            <w:noProof/>
            <w:webHidden/>
          </w:rPr>
          <w:fldChar w:fldCharType="begin"/>
        </w:r>
        <w:r>
          <w:rPr>
            <w:noProof/>
            <w:webHidden/>
          </w:rPr>
          <w:instrText xml:space="preserve"> PAGEREF _Toc500319559 \h </w:instrText>
        </w:r>
        <w:r>
          <w:rPr>
            <w:noProof/>
            <w:webHidden/>
          </w:rPr>
        </w:r>
        <w:r>
          <w:rPr>
            <w:noProof/>
            <w:webHidden/>
          </w:rPr>
          <w:fldChar w:fldCharType="separate"/>
        </w:r>
        <w:r>
          <w:rPr>
            <w:noProof/>
            <w:webHidden/>
          </w:rPr>
          <w:t>134</w:t>
        </w:r>
        <w:r>
          <w:rPr>
            <w:noProof/>
            <w:webHidden/>
          </w:rPr>
          <w:fldChar w:fldCharType="end"/>
        </w:r>
      </w:hyperlink>
    </w:p>
    <w:p w14:paraId="48240951" w14:textId="77777777" w:rsidR="00B27F0B" w:rsidRDefault="00B27F0B">
      <w:pPr>
        <w:pStyle w:val="TOC1"/>
        <w:rPr>
          <w:rFonts w:asciiTheme="minorHAnsi" w:hAnsiTheme="minorHAnsi" w:cstheme="minorBidi"/>
          <w:noProof/>
          <w:szCs w:val="24"/>
          <w:lang w:val="en-GB" w:eastAsia="en-GB"/>
        </w:rPr>
      </w:pPr>
      <w:hyperlink w:anchor="_Toc500319561" w:history="1">
        <w:r w:rsidRPr="00E40CB2">
          <w:rPr>
            <w:rStyle w:val="Hyperlink"/>
            <w:noProof/>
          </w:rPr>
          <w:t>Figure C2.1 Flow diagram of study operations. Student focus groups and interviews (in green) in the follow-up phase is highlighted.</w:t>
        </w:r>
        <w:r>
          <w:rPr>
            <w:noProof/>
            <w:webHidden/>
          </w:rPr>
          <w:tab/>
        </w:r>
        <w:r>
          <w:rPr>
            <w:noProof/>
            <w:webHidden/>
          </w:rPr>
          <w:fldChar w:fldCharType="begin"/>
        </w:r>
        <w:r>
          <w:rPr>
            <w:noProof/>
            <w:webHidden/>
          </w:rPr>
          <w:instrText xml:space="preserve"> PAGEREF _Toc500319561 \h </w:instrText>
        </w:r>
        <w:r>
          <w:rPr>
            <w:noProof/>
            <w:webHidden/>
          </w:rPr>
        </w:r>
        <w:r>
          <w:rPr>
            <w:noProof/>
            <w:webHidden/>
          </w:rPr>
          <w:fldChar w:fldCharType="separate"/>
        </w:r>
        <w:r>
          <w:rPr>
            <w:noProof/>
            <w:webHidden/>
          </w:rPr>
          <w:t>138</w:t>
        </w:r>
        <w:r>
          <w:rPr>
            <w:noProof/>
            <w:webHidden/>
          </w:rPr>
          <w:fldChar w:fldCharType="end"/>
        </w:r>
      </w:hyperlink>
    </w:p>
    <w:p w14:paraId="29863501" w14:textId="0CCB49DE" w:rsidR="00B27F0B" w:rsidRDefault="00B27F0B">
      <w:pPr>
        <w:pStyle w:val="TOC1"/>
        <w:rPr>
          <w:rFonts w:asciiTheme="minorHAnsi" w:hAnsiTheme="minorHAnsi" w:cstheme="minorBidi"/>
          <w:noProof/>
          <w:szCs w:val="24"/>
          <w:lang w:val="en-GB" w:eastAsia="en-GB"/>
        </w:rPr>
      </w:pPr>
      <w:hyperlink r:id="rId13" w:anchor="_Toc500319562" w:history="1">
        <w:r w:rsidRPr="00E40CB2">
          <w:rPr>
            <w:rStyle w:val="Hyperlink"/>
            <w:noProof/>
          </w:rPr>
          <w:t>Figure C2.2 Contextual and cultural factors impacting upon learning and feedback behaviours and the relationships between them. Thickness of line indicates strength of relationship and direction indicates the linkages between factors.</w:t>
        </w:r>
        <w:r>
          <w:rPr>
            <w:noProof/>
            <w:webHidden/>
          </w:rPr>
          <w:tab/>
        </w:r>
        <w:r>
          <w:rPr>
            <w:noProof/>
            <w:webHidden/>
          </w:rPr>
          <w:fldChar w:fldCharType="begin"/>
        </w:r>
        <w:r>
          <w:rPr>
            <w:noProof/>
            <w:webHidden/>
          </w:rPr>
          <w:instrText xml:space="preserve"> PAGEREF _Toc500319562 \h </w:instrText>
        </w:r>
        <w:r>
          <w:rPr>
            <w:noProof/>
            <w:webHidden/>
          </w:rPr>
        </w:r>
        <w:r>
          <w:rPr>
            <w:noProof/>
            <w:webHidden/>
          </w:rPr>
          <w:fldChar w:fldCharType="separate"/>
        </w:r>
        <w:r>
          <w:rPr>
            <w:noProof/>
            <w:webHidden/>
          </w:rPr>
          <w:t>149</w:t>
        </w:r>
        <w:r>
          <w:rPr>
            <w:noProof/>
            <w:webHidden/>
          </w:rPr>
          <w:fldChar w:fldCharType="end"/>
        </w:r>
      </w:hyperlink>
    </w:p>
    <w:p w14:paraId="1CAC3345" w14:textId="546DD1C4" w:rsidR="00B27F0B" w:rsidRDefault="00B27F0B">
      <w:pPr>
        <w:pStyle w:val="TOC1"/>
        <w:rPr>
          <w:rFonts w:asciiTheme="minorHAnsi" w:hAnsiTheme="minorHAnsi" w:cstheme="minorBidi"/>
          <w:noProof/>
          <w:szCs w:val="24"/>
          <w:lang w:val="en-GB" w:eastAsia="en-GB"/>
        </w:rPr>
      </w:pPr>
      <w:hyperlink r:id="rId14" w:anchor="_Toc500319563" w:history="1">
        <w:r w:rsidRPr="00E40CB2">
          <w:rPr>
            <w:rStyle w:val="Hyperlink"/>
            <w:noProof/>
          </w:rPr>
          <w:t>Figure C2.3 Conceptual model of factors which impacted upon learning behaviours. Thickness of line indicates strength of relationship and direction indicates the linkages between factors.</w:t>
        </w:r>
        <w:r>
          <w:rPr>
            <w:noProof/>
            <w:webHidden/>
          </w:rPr>
          <w:tab/>
        </w:r>
        <w:r>
          <w:rPr>
            <w:noProof/>
            <w:webHidden/>
          </w:rPr>
          <w:fldChar w:fldCharType="begin"/>
        </w:r>
        <w:r>
          <w:rPr>
            <w:noProof/>
            <w:webHidden/>
          </w:rPr>
          <w:instrText xml:space="preserve"> PAGEREF _Toc500319563 \h </w:instrText>
        </w:r>
        <w:r>
          <w:rPr>
            <w:noProof/>
            <w:webHidden/>
          </w:rPr>
        </w:r>
        <w:r>
          <w:rPr>
            <w:noProof/>
            <w:webHidden/>
          </w:rPr>
          <w:fldChar w:fldCharType="separate"/>
        </w:r>
        <w:r>
          <w:rPr>
            <w:noProof/>
            <w:webHidden/>
          </w:rPr>
          <w:t>155</w:t>
        </w:r>
        <w:r>
          <w:rPr>
            <w:noProof/>
            <w:webHidden/>
          </w:rPr>
          <w:fldChar w:fldCharType="end"/>
        </w:r>
      </w:hyperlink>
    </w:p>
    <w:p w14:paraId="7B660744" w14:textId="79D443B7" w:rsidR="00001EE2" w:rsidRPr="00B27F0B" w:rsidRDefault="00B27F0B" w:rsidP="00B27F0B">
      <w:pPr>
        <w:pStyle w:val="TOC1"/>
        <w:rPr>
          <w:rFonts w:asciiTheme="minorHAnsi" w:hAnsiTheme="minorHAnsi" w:cstheme="minorBidi"/>
          <w:noProof/>
          <w:szCs w:val="24"/>
          <w:lang w:val="en-GB" w:eastAsia="en-GB"/>
        </w:rPr>
      </w:pPr>
      <w:hyperlink r:id="rId15" w:anchor="_Toc500319564" w:history="1">
        <w:r w:rsidRPr="00E40CB2">
          <w:rPr>
            <w:rStyle w:val="Hyperlink"/>
            <w:noProof/>
          </w:rPr>
          <w:t>Figure C2.4 Conceptual model of factors identified which learners identified as impacting upon learners’ feedback behaviours. Thickness of line indicates strength of relationship and direction indicates the linkages between factors.</w:t>
        </w:r>
        <w:r>
          <w:rPr>
            <w:noProof/>
            <w:webHidden/>
          </w:rPr>
          <w:tab/>
        </w:r>
        <w:r>
          <w:rPr>
            <w:noProof/>
            <w:webHidden/>
          </w:rPr>
          <w:fldChar w:fldCharType="begin"/>
        </w:r>
        <w:r>
          <w:rPr>
            <w:noProof/>
            <w:webHidden/>
          </w:rPr>
          <w:instrText xml:space="preserve"> PAGEREF _Toc500319564 \h </w:instrText>
        </w:r>
        <w:r>
          <w:rPr>
            <w:noProof/>
            <w:webHidden/>
          </w:rPr>
        </w:r>
        <w:r>
          <w:rPr>
            <w:noProof/>
            <w:webHidden/>
          </w:rPr>
          <w:fldChar w:fldCharType="separate"/>
        </w:r>
        <w:r>
          <w:rPr>
            <w:noProof/>
            <w:webHidden/>
          </w:rPr>
          <w:t>163</w:t>
        </w:r>
        <w:r>
          <w:rPr>
            <w:noProof/>
            <w:webHidden/>
          </w:rPr>
          <w:fldChar w:fldCharType="end"/>
        </w:r>
      </w:hyperlink>
      <w:r w:rsidR="00001EE2" w:rsidRPr="003726FE">
        <w:rPr>
          <w:lang w:val="en-GB"/>
        </w:rPr>
        <w:fldChar w:fldCharType="end"/>
      </w:r>
      <w:r w:rsidR="00001EE2" w:rsidRPr="003726FE">
        <w:rPr>
          <w:lang w:val="en-GB"/>
        </w:rPr>
        <w:br w:type="page"/>
      </w:r>
    </w:p>
    <w:p w14:paraId="76E3BB48" w14:textId="77777777" w:rsidR="004D2A4D" w:rsidRPr="003726FE" w:rsidRDefault="004D2A4D" w:rsidP="00426FCB">
      <w:pPr>
        <w:pStyle w:val="Heading1"/>
      </w:pPr>
      <w:bookmarkStart w:id="69" w:name="_Toc487456814"/>
      <w:bookmarkStart w:id="70" w:name="_Toc487811194"/>
      <w:bookmarkStart w:id="71" w:name="_Toc488147537"/>
      <w:bookmarkStart w:id="72" w:name="_Toc488309149"/>
      <w:bookmarkStart w:id="73" w:name="_Toc488930110"/>
      <w:bookmarkStart w:id="74" w:name="_Toc489017324"/>
      <w:bookmarkStart w:id="75" w:name="_Toc489447678"/>
      <w:bookmarkStart w:id="76" w:name="_Toc490650165"/>
      <w:bookmarkStart w:id="77" w:name="_Toc500319307"/>
      <w:bookmarkStart w:id="78" w:name="_Toc500319527"/>
      <w:r w:rsidRPr="003726FE">
        <w:lastRenderedPageBreak/>
        <w:t>Abbreviations</w:t>
      </w:r>
      <w:bookmarkEnd w:id="69"/>
      <w:bookmarkEnd w:id="70"/>
      <w:bookmarkEnd w:id="71"/>
      <w:bookmarkEnd w:id="72"/>
      <w:bookmarkEnd w:id="73"/>
      <w:bookmarkEnd w:id="74"/>
      <w:bookmarkEnd w:id="75"/>
      <w:bookmarkEnd w:id="76"/>
      <w:bookmarkEnd w:id="77"/>
      <w:bookmarkEnd w:id="78"/>
    </w:p>
    <w:p w14:paraId="78227C53" w14:textId="77777777" w:rsidR="00450DBC" w:rsidRPr="003726FE" w:rsidRDefault="00450DBC" w:rsidP="00026049">
      <w:pPr>
        <w:pStyle w:val="Normal1"/>
        <w:rPr>
          <w:lang w:val="en-GB"/>
        </w:rPr>
      </w:pPr>
    </w:p>
    <w:p w14:paraId="4C388960" w14:textId="77777777" w:rsidR="004E5A78" w:rsidRPr="003726FE" w:rsidRDefault="004E5A78" w:rsidP="00450DBC">
      <w:pPr>
        <w:pStyle w:val="Normal1"/>
        <w:spacing w:before="240"/>
        <w:rPr>
          <w:lang w:val="en-GB"/>
        </w:rPr>
      </w:pPr>
      <w:r w:rsidRPr="003726FE">
        <w:rPr>
          <w:lang w:val="en-GB"/>
        </w:rPr>
        <w:t>BB – Billy Bryan</w:t>
      </w:r>
    </w:p>
    <w:p w14:paraId="2FFB0AA2" w14:textId="77777777" w:rsidR="004E5A78" w:rsidRPr="003726FE" w:rsidRDefault="004E5A78" w:rsidP="00450DBC">
      <w:pPr>
        <w:pStyle w:val="Normal1"/>
        <w:spacing w:before="240"/>
        <w:rPr>
          <w:lang w:val="en-GB"/>
        </w:rPr>
      </w:pPr>
      <w:r w:rsidRPr="003726FE">
        <w:rPr>
          <w:lang w:val="en-GB"/>
        </w:rPr>
        <w:t>BPF – Best Practice Feedback</w:t>
      </w:r>
    </w:p>
    <w:p w14:paraId="4CD3ABC3" w14:textId="77777777" w:rsidR="004E5A78" w:rsidRPr="003726FE" w:rsidRDefault="004E5A78" w:rsidP="00450DBC">
      <w:pPr>
        <w:pStyle w:val="Normal1"/>
        <w:spacing w:before="240"/>
        <w:rPr>
          <w:lang w:val="en-GB"/>
        </w:rPr>
      </w:pPr>
      <w:r w:rsidRPr="003726FE">
        <w:rPr>
          <w:lang w:val="en-GB"/>
        </w:rPr>
        <w:t>DB – Denise Bee</w:t>
      </w:r>
    </w:p>
    <w:p w14:paraId="6F71398B" w14:textId="77777777" w:rsidR="004E5A78" w:rsidRDefault="004E5A78" w:rsidP="00450DBC">
      <w:pPr>
        <w:pStyle w:val="Normal1"/>
        <w:spacing w:before="240"/>
        <w:rPr>
          <w:lang w:val="en-GB"/>
        </w:rPr>
      </w:pPr>
      <w:r w:rsidRPr="003726FE">
        <w:rPr>
          <w:lang w:val="en-GB"/>
        </w:rPr>
        <w:t>DME – Deborah Murdoch Eaton</w:t>
      </w:r>
    </w:p>
    <w:p w14:paraId="6407925E" w14:textId="627FAB5F" w:rsidR="0049047B" w:rsidRPr="003726FE" w:rsidRDefault="0049047B" w:rsidP="00450DBC">
      <w:pPr>
        <w:pStyle w:val="Normal1"/>
        <w:spacing w:before="240"/>
        <w:rPr>
          <w:lang w:val="en-GB"/>
        </w:rPr>
      </w:pPr>
      <w:r>
        <w:rPr>
          <w:lang w:val="en-GB"/>
        </w:rPr>
        <w:t>GSE – General Self-Efficacy scale</w:t>
      </w:r>
    </w:p>
    <w:p w14:paraId="398019C7" w14:textId="77777777" w:rsidR="00D531CD" w:rsidRDefault="004E5A78" w:rsidP="00450DBC">
      <w:pPr>
        <w:pStyle w:val="Normal1"/>
        <w:spacing w:before="240"/>
        <w:rPr>
          <w:lang w:val="en-GB"/>
        </w:rPr>
      </w:pPr>
      <w:r w:rsidRPr="003726FE">
        <w:rPr>
          <w:lang w:val="en-GB"/>
        </w:rPr>
        <w:t>JS – John Sandars</w:t>
      </w:r>
    </w:p>
    <w:p w14:paraId="7F5B6043" w14:textId="1AC30F3C" w:rsidR="0049047B" w:rsidRDefault="0049047B" w:rsidP="00450DBC">
      <w:pPr>
        <w:pStyle w:val="Normal1"/>
        <w:spacing w:before="240"/>
        <w:rPr>
          <w:lang w:val="en-GB"/>
        </w:rPr>
      </w:pPr>
      <w:r>
        <w:rPr>
          <w:lang w:val="en-GB"/>
        </w:rPr>
        <w:t xml:space="preserve">MA – </w:t>
      </w:r>
      <w:r w:rsidRPr="003726FE">
        <w:rPr>
          <w:lang w:val="en-GB"/>
        </w:rPr>
        <w:t>MicroAnalysis</w:t>
      </w:r>
    </w:p>
    <w:p w14:paraId="19157317" w14:textId="0269B48C" w:rsidR="004E5A78" w:rsidRPr="003726FE" w:rsidRDefault="004E5A78" w:rsidP="00450DBC">
      <w:pPr>
        <w:pStyle w:val="Normal1"/>
        <w:spacing w:before="240"/>
        <w:rPr>
          <w:lang w:val="en-GB"/>
        </w:rPr>
      </w:pPr>
      <w:r w:rsidRPr="003726FE">
        <w:rPr>
          <w:lang w:val="en-GB"/>
        </w:rPr>
        <w:t>SRL – Self-Regulated Learning</w:t>
      </w:r>
    </w:p>
    <w:p w14:paraId="66ECE928" w14:textId="77777777" w:rsidR="004E5A78" w:rsidRPr="003726FE" w:rsidRDefault="004E5A78" w:rsidP="00450DBC">
      <w:pPr>
        <w:pStyle w:val="Normal1"/>
        <w:spacing w:before="240"/>
        <w:rPr>
          <w:lang w:val="en-GB"/>
        </w:rPr>
      </w:pPr>
      <w:r w:rsidRPr="003726FE">
        <w:rPr>
          <w:lang w:val="en-GB"/>
        </w:rPr>
        <w:t>SRL MA – Self-Regulated Learning MicroAnalysis</w:t>
      </w:r>
    </w:p>
    <w:p w14:paraId="29B99F64" w14:textId="77777777" w:rsidR="004E5A78" w:rsidRDefault="004E5A78" w:rsidP="00450DBC">
      <w:pPr>
        <w:pStyle w:val="Normal1"/>
        <w:spacing w:before="240"/>
        <w:rPr>
          <w:lang w:val="en-GB"/>
        </w:rPr>
      </w:pPr>
      <w:r w:rsidRPr="003726FE">
        <w:rPr>
          <w:lang w:val="en-GB"/>
        </w:rPr>
        <w:t>SRLF – Self-Regulated Learning Feedback</w:t>
      </w:r>
    </w:p>
    <w:p w14:paraId="6EDE3AE5" w14:textId="188959AF" w:rsidR="0049047B" w:rsidRPr="003726FE" w:rsidRDefault="0049047B" w:rsidP="00450DBC">
      <w:pPr>
        <w:pStyle w:val="Normal1"/>
        <w:spacing w:before="240"/>
        <w:rPr>
          <w:lang w:val="en-GB"/>
        </w:rPr>
      </w:pPr>
      <w:r>
        <w:rPr>
          <w:lang w:val="en-GB"/>
        </w:rPr>
        <w:t>SSRQ – Short Self-Regulation Questionnaire</w:t>
      </w:r>
    </w:p>
    <w:p w14:paraId="56D2D3EE" w14:textId="77777777" w:rsidR="004E5A78" w:rsidRPr="003726FE" w:rsidRDefault="004E5A78">
      <w:pPr>
        <w:rPr>
          <w:rFonts w:eastAsiaTheme="majorEastAsia" w:cstheme="majorBidi"/>
          <w:b/>
          <w:color w:val="000000" w:themeColor="text1"/>
          <w:sz w:val="32"/>
          <w:szCs w:val="32"/>
        </w:rPr>
      </w:pPr>
      <w:bookmarkStart w:id="79" w:name="_Toc487456815"/>
      <w:bookmarkStart w:id="80" w:name="_Toc487811195"/>
      <w:r w:rsidRPr="003726FE">
        <w:br w:type="page"/>
      </w:r>
    </w:p>
    <w:p w14:paraId="71C2675E" w14:textId="7BD1EE8E" w:rsidR="004D2A4D" w:rsidRPr="003726FE" w:rsidRDefault="00EB6578" w:rsidP="00426FCB">
      <w:pPr>
        <w:pStyle w:val="Heading1"/>
      </w:pPr>
      <w:bookmarkStart w:id="81" w:name="_Toc488147538"/>
      <w:bookmarkStart w:id="82" w:name="_Toc488309150"/>
      <w:bookmarkStart w:id="83" w:name="_Toc488930111"/>
      <w:bookmarkStart w:id="84" w:name="_Toc489017325"/>
      <w:bookmarkStart w:id="85" w:name="_Toc489447679"/>
      <w:bookmarkStart w:id="86" w:name="_Toc490650166"/>
      <w:bookmarkStart w:id="87" w:name="_Toc500319308"/>
      <w:bookmarkStart w:id="88" w:name="_Toc500319528"/>
      <w:r>
        <w:lastRenderedPageBreak/>
        <w:t>Glossary</w:t>
      </w:r>
      <w:r w:rsidR="00AB55D9" w:rsidRPr="003726FE">
        <w:t xml:space="preserve"> </w:t>
      </w:r>
      <w:r w:rsidR="00F176D2" w:rsidRPr="003726FE">
        <w:t>of Terms</w:t>
      </w:r>
      <w:bookmarkEnd w:id="79"/>
      <w:bookmarkEnd w:id="80"/>
      <w:bookmarkEnd w:id="81"/>
      <w:bookmarkEnd w:id="82"/>
      <w:bookmarkEnd w:id="83"/>
      <w:bookmarkEnd w:id="84"/>
      <w:bookmarkEnd w:id="85"/>
      <w:bookmarkEnd w:id="86"/>
      <w:bookmarkEnd w:id="87"/>
      <w:bookmarkEnd w:id="88"/>
    </w:p>
    <w:p w14:paraId="5F02235E" w14:textId="77777777" w:rsidR="00F94D4D" w:rsidRPr="003726FE" w:rsidRDefault="00F94D4D" w:rsidP="00450DBC">
      <w:pPr>
        <w:pStyle w:val="Normal1"/>
        <w:rPr>
          <w:b/>
          <w:lang w:val="en-GB"/>
        </w:rPr>
      </w:pPr>
    </w:p>
    <w:p w14:paraId="1A272A96" w14:textId="1E120634" w:rsidR="00DC493C" w:rsidRPr="003726FE" w:rsidRDefault="00DC493C" w:rsidP="00DC493C">
      <w:pPr>
        <w:pStyle w:val="Normal1"/>
        <w:rPr>
          <w:lang w:val="en-GB"/>
        </w:rPr>
      </w:pPr>
      <w:r w:rsidRPr="003726FE">
        <w:rPr>
          <w:b/>
          <w:lang w:val="en-GB"/>
        </w:rPr>
        <w:t xml:space="preserve">Authentic clinical learning </w:t>
      </w:r>
      <w:r w:rsidR="00D531CD" w:rsidRPr="003726FE">
        <w:rPr>
          <w:b/>
          <w:lang w:val="en-GB"/>
        </w:rPr>
        <w:t>environment</w:t>
      </w:r>
      <w:r w:rsidRPr="003726FE">
        <w:rPr>
          <w:b/>
          <w:lang w:val="en-GB"/>
        </w:rPr>
        <w:t xml:space="preserve">/setting: </w:t>
      </w:r>
      <w:r w:rsidRPr="003726FE">
        <w:rPr>
          <w:lang w:val="en-GB"/>
        </w:rPr>
        <w:t>This refers to the environment in which students participated in clinical placements. These were tertiary care settings in hospitals in the Yorkshire and Humber area where students were placed on departments/wards covering a wide range of me</w:t>
      </w:r>
      <w:r w:rsidR="0086424C" w:rsidRPr="003726FE">
        <w:rPr>
          <w:lang w:val="en-GB"/>
        </w:rPr>
        <w:t>dical and surgical specialities with real patients.</w:t>
      </w:r>
    </w:p>
    <w:p w14:paraId="6B997177" w14:textId="77777777" w:rsidR="00DC493C" w:rsidRPr="003726FE" w:rsidRDefault="00DC493C" w:rsidP="00426FCB">
      <w:pPr>
        <w:pStyle w:val="Normal1"/>
        <w:rPr>
          <w:b/>
          <w:lang w:val="en-GB"/>
        </w:rPr>
      </w:pPr>
    </w:p>
    <w:p w14:paraId="6D996EC4" w14:textId="235DC869" w:rsidR="00450DBC" w:rsidRPr="003726FE" w:rsidRDefault="00450DBC" w:rsidP="00426FCB">
      <w:pPr>
        <w:pStyle w:val="Normal1"/>
        <w:rPr>
          <w:lang w:val="en-GB"/>
        </w:rPr>
      </w:pPr>
      <w:r w:rsidRPr="003726FE">
        <w:rPr>
          <w:b/>
          <w:lang w:val="en-GB"/>
        </w:rPr>
        <w:t xml:space="preserve">Authentic learning and teaching </w:t>
      </w:r>
      <w:r w:rsidR="005B0CE4" w:rsidRPr="003726FE">
        <w:rPr>
          <w:b/>
          <w:lang w:val="en-GB"/>
        </w:rPr>
        <w:t>environment/</w:t>
      </w:r>
      <w:r w:rsidRPr="003726FE">
        <w:rPr>
          <w:b/>
          <w:lang w:val="en-GB"/>
        </w:rPr>
        <w:t>setting:</w:t>
      </w:r>
      <w:r w:rsidR="00AB534B" w:rsidRPr="003726FE">
        <w:rPr>
          <w:b/>
          <w:lang w:val="en-GB"/>
        </w:rPr>
        <w:t xml:space="preserve"> </w:t>
      </w:r>
      <w:r w:rsidR="00AB534B" w:rsidRPr="003726FE">
        <w:rPr>
          <w:lang w:val="en-GB"/>
        </w:rPr>
        <w:t>An environment in which students are participating in structured learning activities as part of the usual medical curriculum, as opposed to experimental settings created and directed by a research team.</w:t>
      </w:r>
    </w:p>
    <w:p w14:paraId="30D76AE5" w14:textId="77777777" w:rsidR="005B0CE4" w:rsidRPr="003726FE" w:rsidRDefault="005B0CE4" w:rsidP="00426FCB">
      <w:pPr>
        <w:pStyle w:val="Normal1"/>
        <w:rPr>
          <w:lang w:val="en-GB"/>
        </w:rPr>
      </w:pPr>
    </w:p>
    <w:p w14:paraId="4E2F1B80" w14:textId="5FF7E2BD" w:rsidR="00DC493C" w:rsidRPr="003726FE" w:rsidRDefault="00734B5C" w:rsidP="00DC493C">
      <w:pPr>
        <w:pStyle w:val="Normal1"/>
        <w:rPr>
          <w:lang w:val="en-GB"/>
        </w:rPr>
      </w:pPr>
      <w:r>
        <w:rPr>
          <w:b/>
          <w:lang w:val="en-GB"/>
        </w:rPr>
        <w:t>Clinical skills teacher</w:t>
      </w:r>
      <w:r w:rsidR="00DC493C" w:rsidRPr="003726FE">
        <w:rPr>
          <w:b/>
          <w:lang w:val="en-GB"/>
        </w:rPr>
        <w:t xml:space="preserve">: </w:t>
      </w:r>
      <w:r w:rsidR="00DC493C" w:rsidRPr="003726FE">
        <w:rPr>
          <w:lang w:val="en-GB"/>
        </w:rPr>
        <w:t xml:space="preserve">These individuals teach a range of clinical skills in simulated settings at The University of Sheffield Medical School. </w:t>
      </w:r>
      <w:r w:rsidR="009178B9">
        <w:rPr>
          <w:lang w:val="en-GB"/>
        </w:rPr>
        <w:t>They</w:t>
      </w:r>
      <w:r w:rsidR="00DC493C" w:rsidRPr="003726FE">
        <w:rPr>
          <w:lang w:val="en-GB"/>
        </w:rPr>
        <w:t xml:space="preserve"> were part-time or full-time employees with varied backgrounds in the health professions</w:t>
      </w:r>
      <w:r>
        <w:rPr>
          <w:lang w:val="en-GB"/>
        </w:rPr>
        <w:t>. Some were foundation-year-</w:t>
      </w:r>
      <w:r w:rsidR="00DC493C" w:rsidRPr="003726FE">
        <w:rPr>
          <w:lang w:val="en-GB"/>
        </w:rPr>
        <w:t>two doctors completing their medical education rotation as part of their postgraduate training.</w:t>
      </w:r>
    </w:p>
    <w:p w14:paraId="003ECBF4" w14:textId="77777777" w:rsidR="00DC493C" w:rsidRPr="003726FE" w:rsidRDefault="00DC493C" w:rsidP="00DC493C">
      <w:pPr>
        <w:pStyle w:val="Normal1"/>
        <w:rPr>
          <w:b/>
          <w:lang w:val="en-GB"/>
        </w:rPr>
      </w:pPr>
    </w:p>
    <w:p w14:paraId="042309F0" w14:textId="260BE1C7" w:rsidR="00DC493C" w:rsidRPr="003726FE" w:rsidRDefault="00DC493C" w:rsidP="00DC493C">
      <w:pPr>
        <w:pStyle w:val="Normal1"/>
        <w:rPr>
          <w:lang w:val="en-GB"/>
        </w:rPr>
      </w:pPr>
      <w:r w:rsidRPr="003726FE">
        <w:rPr>
          <w:b/>
          <w:lang w:val="en-GB"/>
        </w:rPr>
        <w:t xml:space="preserve">Feedback: </w:t>
      </w:r>
      <w:r w:rsidR="0024485D" w:rsidRPr="003726FE">
        <w:rPr>
          <w:lang w:val="en-GB"/>
        </w:rPr>
        <w:t>There are many definitions of feedbac</w:t>
      </w:r>
      <w:r w:rsidR="00734B5C">
        <w:rPr>
          <w:lang w:val="en-GB"/>
        </w:rPr>
        <w:t>k in the educational literature:</w:t>
      </w:r>
      <w:r w:rsidR="0024485D" w:rsidRPr="003726FE">
        <w:rPr>
          <w:lang w:val="en-GB"/>
        </w:rPr>
        <w:t xml:space="preserve"> for this research</w:t>
      </w:r>
      <w:r w:rsidR="00734B5C">
        <w:rPr>
          <w:lang w:val="en-GB"/>
        </w:rPr>
        <w:t>,</w:t>
      </w:r>
      <w:r w:rsidR="0024485D" w:rsidRPr="003726FE">
        <w:rPr>
          <w:lang w:val="en-GB"/>
        </w:rPr>
        <w:t xml:space="preserve"> Van </w:t>
      </w:r>
      <w:r w:rsidR="00EB6578">
        <w:rPr>
          <w:lang w:val="en-GB"/>
        </w:rPr>
        <w:t>d</w:t>
      </w:r>
      <w:r w:rsidR="0024485D" w:rsidRPr="003726FE">
        <w:rPr>
          <w:lang w:val="en-GB"/>
        </w:rPr>
        <w:t xml:space="preserve">e Ridder et al.’s </w:t>
      </w:r>
      <w:r w:rsidR="00D531CD" w:rsidRPr="003726FE">
        <w:rPr>
          <w:lang w:val="en-GB"/>
        </w:rPr>
        <w:t>definition</w:t>
      </w:r>
      <w:r w:rsidR="0024485D" w:rsidRPr="003726FE">
        <w:rPr>
          <w:lang w:val="en-GB"/>
        </w:rPr>
        <w:t xml:space="preserve"> of feedback in clinical education is used, “Specific information about the comparison between a trainee’s observed performance and a standard, given with the intent to improve the trainee’s performance." </w:t>
      </w:r>
      <w:r w:rsidR="0024485D" w:rsidRPr="003726FE">
        <w:rPr>
          <w:lang w:val="en-GB"/>
        </w:rPr>
        <w:fldChar w:fldCharType="begin"/>
      </w:r>
      <w:r w:rsidR="008B61BE">
        <w:rPr>
          <w:lang w:val="en-GB"/>
        </w:rPr>
        <w:instrText xml:space="preserve"> ADDIN EN.CITE &lt;EndNote&gt;&lt;Cite ExcludeAuth="1"&gt;&lt;Author&gt;Van de Ridder&lt;/Author&gt;&lt;Year&gt;2008&lt;/Year&gt;&lt;RecNum&gt;831&lt;/RecNum&gt;&lt;Pages&gt;193&lt;/Pages&gt;&lt;DisplayText&gt;(2008, p. 193)&lt;/DisplayText&gt;&lt;record&gt;&lt;rec-number&gt;831&lt;/rec-number&gt;&lt;foreign-keys&gt;&lt;key app="EN" db-id="xa2r2ewea92trkef5dt5arvbzafvpv2za5ft" timestamp="1496417597"&gt;831&lt;/key&gt;&lt;/foreign-keys&gt;&lt;ref-type name="Journal Article"&gt;17&lt;/ref-type&gt;&lt;contributors&gt;&lt;authors&gt;&lt;author&gt;Van de Ridder, J. M. Monica&lt;/author&gt;&lt;author&gt;Stokking, Karel M&lt;/author&gt;&lt;author&gt;McGaghie, William C&lt;/author&gt;&lt;author&gt;Ten Cate, Olle Th J&lt;/author&gt;&lt;/authors&gt;&lt;/contributors&gt;&lt;titles&gt;&lt;title&gt;What is feedback in clinical education?&lt;/title&gt;&lt;secondary-title&gt;Medical education&lt;/secondary-title&gt;&lt;/titles&gt;&lt;periodical&gt;&lt;full-title&gt;Medical education&lt;/full-title&gt;&lt;/periodical&gt;&lt;pages&gt;189-197&lt;/pages&gt;&lt;volume&gt;42&lt;/volume&gt;&lt;number&gt;2&lt;/number&gt;&lt;dates&gt;&lt;year&gt;2008&lt;/year&gt;&lt;/dates&gt;&lt;isbn&gt;1365-2923&lt;/isbn&gt;&lt;urls&gt;&lt;/urls&gt;&lt;/record&gt;&lt;/Cite&gt;&lt;/EndNote&gt;</w:instrText>
      </w:r>
      <w:r w:rsidR="0024485D" w:rsidRPr="003726FE">
        <w:rPr>
          <w:lang w:val="en-GB"/>
        </w:rPr>
        <w:fldChar w:fldCharType="separate"/>
      </w:r>
      <w:r w:rsidR="0024485D" w:rsidRPr="003726FE">
        <w:rPr>
          <w:noProof/>
          <w:lang w:val="en-GB"/>
        </w:rPr>
        <w:t>(</w:t>
      </w:r>
      <w:hyperlink w:anchor="_ENREF_417" w:tooltip="Van de Ridder, 2008 #831" w:history="1">
        <w:r w:rsidR="0094469E" w:rsidRPr="003726FE">
          <w:rPr>
            <w:noProof/>
            <w:lang w:val="en-GB"/>
          </w:rPr>
          <w:t>2008, p. 193</w:t>
        </w:r>
      </w:hyperlink>
      <w:r w:rsidR="0024485D" w:rsidRPr="003726FE">
        <w:rPr>
          <w:noProof/>
          <w:lang w:val="en-GB"/>
        </w:rPr>
        <w:t>)</w:t>
      </w:r>
      <w:r w:rsidR="0024485D" w:rsidRPr="003726FE">
        <w:rPr>
          <w:lang w:val="en-GB"/>
        </w:rPr>
        <w:fldChar w:fldCharType="end"/>
      </w:r>
      <w:r w:rsidR="0024485D" w:rsidRPr="003726FE">
        <w:rPr>
          <w:lang w:val="en-GB"/>
        </w:rPr>
        <w:t>. In addition to this, feedback is viewed here as a dialogic process between the learner and feedback giver influenced by internal and external factors.</w:t>
      </w:r>
    </w:p>
    <w:p w14:paraId="4F40FBCD" w14:textId="77777777" w:rsidR="00DC493C" w:rsidRPr="003726FE" w:rsidRDefault="00DC493C" w:rsidP="00DC493C">
      <w:pPr>
        <w:pStyle w:val="Normal1"/>
        <w:rPr>
          <w:lang w:val="en-GB"/>
        </w:rPr>
      </w:pPr>
    </w:p>
    <w:p w14:paraId="0B08D7DB" w14:textId="03C2F34A" w:rsidR="00DC493C" w:rsidRPr="003726FE" w:rsidRDefault="00DC493C" w:rsidP="00DC493C">
      <w:pPr>
        <w:pStyle w:val="Normal1"/>
        <w:rPr>
          <w:lang w:val="en-GB"/>
        </w:rPr>
      </w:pPr>
      <w:r w:rsidRPr="003726FE">
        <w:rPr>
          <w:b/>
          <w:lang w:val="en-GB"/>
        </w:rPr>
        <w:t xml:space="preserve">Learner: </w:t>
      </w:r>
      <w:r w:rsidR="0086424C" w:rsidRPr="003726FE">
        <w:rPr>
          <w:lang w:val="en-GB"/>
        </w:rPr>
        <w:t xml:space="preserve">This term is used </w:t>
      </w:r>
      <w:r w:rsidR="00EB6578">
        <w:rPr>
          <w:lang w:val="en-GB"/>
        </w:rPr>
        <w:t>i</w:t>
      </w:r>
      <w:r w:rsidR="0086424C" w:rsidRPr="003726FE">
        <w:rPr>
          <w:lang w:val="en-GB"/>
        </w:rPr>
        <w:t>n reference to medical students, although it may be used more generally when discussing learners in other educational settings from the literature.</w:t>
      </w:r>
    </w:p>
    <w:p w14:paraId="6D4D9ADD" w14:textId="77777777" w:rsidR="00DC493C" w:rsidRPr="003726FE" w:rsidRDefault="00DC493C" w:rsidP="00DC493C">
      <w:pPr>
        <w:pStyle w:val="Normal1"/>
        <w:rPr>
          <w:lang w:val="en-GB"/>
        </w:rPr>
      </w:pPr>
    </w:p>
    <w:p w14:paraId="553AF3DD" w14:textId="0DBE132C" w:rsidR="00DC493C" w:rsidRPr="003726FE" w:rsidRDefault="00DC493C" w:rsidP="00DC493C">
      <w:pPr>
        <w:pStyle w:val="Normal1"/>
        <w:rPr>
          <w:lang w:val="en-GB"/>
        </w:rPr>
      </w:pPr>
      <w:r w:rsidRPr="003726FE">
        <w:rPr>
          <w:b/>
          <w:lang w:val="en-GB"/>
        </w:rPr>
        <w:t>Medical student</w:t>
      </w:r>
      <w:r w:rsidR="004303C2" w:rsidRPr="003726FE">
        <w:rPr>
          <w:b/>
          <w:lang w:val="en-GB"/>
        </w:rPr>
        <w:t>s</w:t>
      </w:r>
      <w:r w:rsidRPr="003726FE">
        <w:rPr>
          <w:b/>
          <w:lang w:val="en-GB"/>
        </w:rPr>
        <w:t xml:space="preserve">: </w:t>
      </w:r>
      <w:r w:rsidR="004303C2" w:rsidRPr="003726FE">
        <w:rPr>
          <w:lang w:val="en-GB"/>
        </w:rPr>
        <w:t>This refers to undergraduate medical students only.</w:t>
      </w:r>
    </w:p>
    <w:p w14:paraId="4B379B1D" w14:textId="77777777" w:rsidR="003B6715" w:rsidRPr="003726FE" w:rsidRDefault="003B6715" w:rsidP="00DC493C">
      <w:pPr>
        <w:pStyle w:val="Normal1"/>
        <w:rPr>
          <w:lang w:val="en-GB"/>
        </w:rPr>
      </w:pPr>
    </w:p>
    <w:p w14:paraId="2F4676BC" w14:textId="43B0954C" w:rsidR="003B6715" w:rsidRPr="003726FE" w:rsidRDefault="003B6715" w:rsidP="00DC493C">
      <w:pPr>
        <w:pStyle w:val="Normal1"/>
        <w:rPr>
          <w:lang w:val="en-GB"/>
        </w:rPr>
      </w:pPr>
      <w:r w:rsidRPr="003726FE">
        <w:rPr>
          <w:b/>
          <w:lang w:val="en-GB"/>
        </w:rPr>
        <w:t xml:space="preserve">Research team: </w:t>
      </w:r>
      <w:r w:rsidRPr="003726FE">
        <w:rPr>
          <w:lang w:val="en-GB"/>
        </w:rPr>
        <w:t>The supervisory team and me</w:t>
      </w:r>
      <w:r w:rsidR="00E93DB3" w:rsidRPr="003726FE">
        <w:rPr>
          <w:lang w:val="en-GB"/>
        </w:rPr>
        <w:t xml:space="preserve"> collectively</w:t>
      </w:r>
      <w:r w:rsidR="00734B5C">
        <w:rPr>
          <w:lang w:val="en-GB"/>
        </w:rPr>
        <w:t xml:space="preserve"> (BB, DB, JS, DME)</w:t>
      </w:r>
      <w:r w:rsidR="00E93DB3" w:rsidRPr="003726FE">
        <w:rPr>
          <w:lang w:val="en-GB"/>
        </w:rPr>
        <w:t>.</w:t>
      </w:r>
    </w:p>
    <w:p w14:paraId="51AA4E8F" w14:textId="77777777" w:rsidR="00DC493C" w:rsidRPr="003726FE" w:rsidRDefault="00DC493C" w:rsidP="00DC493C">
      <w:pPr>
        <w:pStyle w:val="Normal1"/>
        <w:rPr>
          <w:lang w:val="en-GB"/>
        </w:rPr>
      </w:pPr>
    </w:p>
    <w:p w14:paraId="1AF5439A" w14:textId="7D0772D5" w:rsidR="00DC493C" w:rsidRPr="003726FE" w:rsidRDefault="00DC493C" w:rsidP="00426FCB">
      <w:pPr>
        <w:pStyle w:val="Normal1"/>
        <w:rPr>
          <w:lang w:val="en-GB"/>
        </w:rPr>
      </w:pPr>
      <w:r w:rsidRPr="003726FE">
        <w:rPr>
          <w:b/>
          <w:lang w:val="en-GB"/>
        </w:rPr>
        <w:t xml:space="preserve">Self-Regulated Learning (SRL): </w:t>
      </w:r>
      <w:r w:rsidR="00A432F4" w:rsidRPr="003726FE">
        <w:rPr>
          <w:lang w:val="en-GB"/>
        </w:rPr>
        <w:t>Defined as</w:t>
      </w:r>
      <w:r w:rsidR="00734B5C">
        <w:rPr>
          <w:lang w:val="en-GB"/>
        </w:rPr>
        <w:t>:</w:t>
      </w:r>
      <w:r w:rsidR="00A432F4" w:rsidRPr="003726FE">
        <w:rPr>
          <w:b/>
          <w:lang w:val="en-GB"/>
        </w:rPr>
        <w:t xml:space="preserve"> </w:t>
      </w:r>
      <w:r w:rsidR="00A432F4" w:rsidRPr="003726FE">
        <w:rPr>
          <w:lang w:val="en-GB"/>
        </w:rPr>
        <w:t xml:space="preserve">“a multidimensional process </w:t>
      </w:r>
      <w:r w:rsidR="00A432F4" w:rsidRPr="003726FE">
        <w:rPr>
          <w:lang w:val="en-GB"/>
        </w:rPr>
        <w:lastRenderedPageBreak/>
        <w:t xml:space="preserve">incorporating a set of inter-related and contextualised thoughts, actions, and feelings that a person strategically uses to reach personal goals” </w:t>
      </w:r>
      <w:r w:rsidR="00A432F4" w:rsidRPr="003726FE">
        <w:rPr>
          <w:lang w:val="en-GB"/>
        </w:rPr>
        <w:fldChar w:fldCharType="begin"/>
      </w:r>
      <w:r w:rsidR="008B61BE">
        <w:rPr>
          <w:lang w:val="en-GB"/>
        </w:rPr>
        <w:instrText xml:space="preserve"> ADDIN EN.CITE &lt;EndNote&gt;&lt;Cite&gt;&lt;Author&gt;Cleary&lt;/Author&gt;&lt;Year&gt;2013&lt;/Year&gt;&lt;RecNum&gt;593&lt;/RecNum&gt;&lt;Pages&gt;466&lt;/Pages&gt;&lt;DisplayText&gt;(Cleary et al. 2013, p. 466)&lt;/DisplayText&gt;&lt;record&gt;&lt;rec-number&gt;593&lt;/rec-number&gt;&lt;foreign-keys&gt;&lt;key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A432F4"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 p. 466</w:t>
        </w:r>
      </w:hyperlink>
      <w:r w:rsidR="004E5A78" w:rsidRPr="003726FE">
        <w:rPr>
          <w:noProof/>
          <w:lang w:val="en-GB"/>
        </w:rPr>
        <w:t>)</w:t>
      </w:r>
      <w:r w:rsidR="00A432F4" w:rsidRPr="003726FE">
        <w:rPr>
          <w:lang w:val="en-GB"/>
        </w:rPr>
        <w:fldChar w:fldCharType="end"/>
      </w:r>
      <w:r w:rsidR="00A432F4" w:rsidRPr="003726FE">
        <w:rPr>
          <w:lang w:val="en-GB"/>
        </w:rPr>
        <w:t>. The social cognitive view of SRL is adopted in this research as the theoretical model. SRL is also seen here as a crucial component of feedback giving.</w:t>
      </w:r>
    </w:p>
    <w:p w14:paraId="03B39204" w14:textId="77777777" w:rsidR="00DC493C" w:rsidRPr="003726FE" w:rsidRDefault="00DC493C" w:rsidP="00426FCB">
      <w:pPr>
        <w:pStyle w:val="Normal1"/>
        <w:rPr>
          <w:lang w:val="en-GB"/>
        </w:rPr>
      </w:pPr>
    </w:p>
    <w:p w14:paraId="7013AC88" w14:textId="486CEF0C" w:rsidR="00F94D4D" w:rsidRPr="003726FE" w:rsidRDefault="005B0CE4" w:rsidP="00426FCB">
      <w:pPr>
        <w:pStyle w:val="Normal1"/>
        <w:rPr>
          <w:lang w:val="en-GB"/>
        </w:rPr>
      </w:pPr>
      <w:r w:rsidRPr="003726FE">
        <w:rPr>
          <w:b/>
          <w:lang w:val="en-GB"/>
        </w:rPr>
        <w:t>Simulated environment/setting:</w:t>
      </w:r>
      <w:r w:rsidRPr="003726FE">
        <w:rPr>
          <w:lang w:val="en-GB"/>
        </w:rPr>
        <w:t xml:space="preserve"> </w:t>
      </w:r>
      <w:r w:rsidR="004303C2" w:rsidRPr="003726FE">
        <w:rPr>
          <w:lang w:val="en-GB"/>
        </w:rPr>
        <w:t>D</w:t>
      </w:r>
      <w:r w:rsidR="00DC493C" w:rsidRPr="003726FE">
        <w:rPr>
          <w:lang w:val="en-GB"/>
        </w:rPr>
        <w:t>efined as</w:t>
      </w:r>
      <w:r w:rsidR="00734B5C">
        <w:rPr>
          <w:lang w:val="en-GB"/>
        </w:rPr>
        <w:t>:</w:t>
      </w:r>
      <w:r w:rsidR="00DC493C" w:rsidRPr="003726FE">
        <w:rPr>
          <w:lang w:val="en-GB"/>
        </w:rPr>
        <w:t xml:space="preserve"> “an artificial representation of a real world process to achieve educational goals through experiential learning. Simulation based medical education is defined as any educational activity that utilizes simulation aides to replicate clinical scenarios.” </w:t>
      </w:r>
      <w:r w:rsidR="00DC493C" w:rsidRPr="003726FE">
        <w:rPr>
          <w:lang w:val="en-GB"/>
        </w:rPr>
        <w:fldChar w:fldCharType="begin"/>
      </w:r>
      <w:r w:rsidR="008B61BE">
        <w:rPr>
          <w:lang w:val="en-GB"/>
        </w:rPr>
        <w:instrText xml:space="preserve"> ADDIN EN.CITE &lt;EndNote&gt;&lt;Cite&gt;&lt;Author&gt;Al-Elq&lt;/Author&gt;&lt;Year&gt;2010&lt;/Year&gt;&lt;RecNum&gt;937&lt;/RecNum&gt;&lt;Pages&gt;35&lt;/Pages&gt;&lt;DisplayText&gt;(Al-Elq 2010, p. 35)&lt;/DisplayText&gt;&lt;record&gt;&lt;rec-number&gt;937&lt;/rec-number&gt;&lt;foreign-keys&gt;&lt;key app="EN" db-id="xa2r2ewea92trkef5dt5arvbzafvpv2za5ft" timestamp="1500370505"&gt;937&lt;/key&gt;&lt;/foreign-keys&gt;&lt;ref-type name="Journal Article"&gt;17&lt;/ref-type&gt;&lt;contributors&gt;&lt;authors&gt;&lt;author&gt;Al-Elq, Abdulmohsen H&lt;/author&gt;&lt;/authors&gt;&lt;/contributors&gt;&lt;titles&gt;&lt;title&gt;Simulation-based medical teaching and learning&lt;/title&gt;&lt;secondary-title&gt;Journal of family and Community Medicine&lt;/secondary-title&gt;&lt;/titles&gt;&lt;periodical&gt;&lt;full-title&gt;Journal of family and Community Medicine&lt;/full-title&gt;&lt;/periodical&gt;&lt;pages&gt;35&lt;/pages&gt;&lt;volume&gt;17&lt;/volume&gt;&lt;number&gt;1&lt;/number&gt;&lt;dates&gt;&lt;year&gt;2010&lt;/year&gt;&lt;/dates&gt;&lt;urls&gt;&lt;/urls&gt;&lt;/record&gt;&lt;/Cite&gt;&lt;/EndNote&gt;</w:instrText>
      </w:r>
      <w:r w:rsidR="00DC493C" w:rsidRPr="003726FE">
        <w:rPr>
          <w:lang w:val="en-GB"/>
        </w:rPr>
        <w:fldChar w:fldCharType="separate"/>
      </w:r>
      <w:r w:rsidR="004E5A78" w:rsidRPr="003726FE">
        <w:rPr>
          <w:noProof/>
          <w:lang w:val="en-GB"/>
        </w:rPr>
        <w:t>(</w:t>
      </w:r>
      <w:hyperlink w:anchor="_ENREF_1" w:tooltip="Al-Elq, 2010 #937" w:history="1">
        <w:r w:rsidR="0094469E" w:rsidRPr="003726FE">
          <w:rPr>
            <w:noProof/>
            <w:lang w:val="en-GB"/>
          </w:rPr>
          <w:t>Al-Elq 2010, p. 35</w:t>
        </w:r>
      </w:hyperlink>
      <w:r w:rsidR="004E5A78" w:rsidRPr="003726FE">
        <w:rPr>
          <w:noProof/>
          <w:lang w:val="en-GB"/>
        </w:rPr>
        <w:t>)</w:t>
      </w:r>
      <w:r w:rsidR="00DC493C" w:rsidRPr="003726FE">
        <w:rPr>
          <w:lang w:val="en-GB"/>
        </w:rPr>
        <w:fldChar w:fldCharType="end"/>
      </w:r>
      <w:r w:rsidR="00DC493C" w:rsidRPr="003726FE">
        <w:rPr>
          <w:lang w:val="en-GB"/>
        </w:rPr>
        <w:t>.</w:t>
      </w:r>
    </w:p>
    <w:p w14:paraId="38B4B04E" w14:textId="77777777" w:rsidR="00F94D4D" w:rsidRPr="003726FE" w:rsidRDefault="00F94D4D" w:rsidP="00426FCB">
      <w:pPr>
        <w:pStyle w:val="Normal1"/>
        <w:rPr>
          <w:b/>
          <w:lang w:val="en-GB"/>
        </w:rPr>
      </w:pPr>
    </w:p>
    <w:p w14:paraId="38519970" w14:textId="39F0A169" w:rsidR="00F94D4D" w:rsidRPr="003726FE" w:rsidRDefault="00F94D4D" w:rsidP="00426FCB">
      <w:pPr>
        <w:pStyle w:val="Normal1"/>
        <w:rPr>
          <w:lang w:val="en-GB"/>
        </w:rPr>
      </w:pPr>
      <w:r w:rsidRPr="003726FE">
        <w:rPr>
          <w:b/>
          <w:lang w:val="en-GB"/>
        </w:rPr>
        <w:t>SRL</w:t>
      </w:r>
      <w:r w:rsidR="004303C2" w:rsidRPr="003726FE">
        <w:rPr>
          <w:b/>
          <w:lang w:val="en-GB"/>
        </w:rPr>
        <w:t xml:space="preserve"> </w:t>
      </w:r>
      <w:r w:rsidRPr="003726FE">
        <w:rPr>
          <w:b/>
          <w:lang w:val="en-GB"/>
        </w:rPr>
        <w:t>F</w:t>
      </w:r>
      <w:r w:rsidR="004303C2" w:rsidRPr="003726FE">
        <w:rPr>
          <w:b/>
          <w:lang w:val="en-GB"/>
        </w:rPr>
        <w:t>eedback (SRLF)</w:t>
      </w:r>
      <w:r w:rsidRPr="003726FE">
        <w:rPr>
          <w:b/>
          <w:lang w:val="en-GB"/>
        </w:rPr>
        <w:t>:</w:t>
      </w:r>
      <w:r w:rsidR="004303C2" w:rsidRPr="003726FE">
        <w:rPr>
          <w:b/>
          <w:lang w:val="en-GB"/>
        </w:rPr>
        <w:t xml:space="preserve"> </w:t>
      </w:r>
      <w:r w:rsidR="004303C2" w:rsidRPr="003726FE">
        <w:rPr>
          <w:lang w:val="en-GB"/>
        </w:rPr>
        <w:t>This refers to any feedback given on the SRL behavioural processes outlined in this thesis. It also refers to the experimental group to which students who received SRL MA feedback were randomly allocated to.</w:t>
      </w:r>
    </w:p>
    <w:p w14:paraId="06DC7263" w14:textId="77777777" w:rsidR="00F94D4D" w:rsidRPr="003726FE" w:rsidRDefault="00F94D4D" w:rsidP="00426FCB">
      <w:pPr>
        <w:pStyle w:val="Normal1"/>
        <w:rPr>
          <w:b/>
          <w:lang w:val="en-GB"/>
        </w:rPr>
      </w:pPr>
    </w:p>
    <w:p w14:paraId="2D78276B" w14:textId="5F6D14C8" w:rsidR="00F94D4D" w:rsidRPr="003726FE" w:rsidRDefault="00F94D4D" w:rsidP="00426FCB">
      <w:pPr>
        <w:pStyle w:val="Normal1"/>
        <w:rPr>
          <w:lang w:val="en-GB"/>
        </w:rPr>
      </w:pPr>
      <w:r w:rsidRPr="003726FE">
        <w:rPr>
          <w:b/>
          <w:lang w:val="en-GB"/>
        </w:rPr>
        <w:t xml:space="preserve">SRL Microanalysis </w:t>
      </w:r>
      <w:r w:rsidR="004303C2" w:rsidRPr="003726FE">
        <w:rPr>
          <w:b/>
          <w:lang w:val="en-GB"/>
        </w:rPr>
        <w:t>(SRL MA) intervention</w:t>
      </w:r>
      <w:r w:rsidRPr="003726FE">
        <w:rPr>
          <w:b/>
          <w:lang w:val="en-GB"/>
        </w:rPr>
        <w:t>:</w:t>
      </w:r>
      <w:r w:rsidR="004303C2" w:rsidRPr="003726FE">
        <w:rPr>
          <w:b/>
          <w:lang w:val="en-GB"/>
        </w:rPr>
        <w:t xml:space="preserve"> </w:t>
      </w:r>
      <w:r w:rsidR="004303C2" w:rsidRPr="003726FE">
        <w:rPr>
          <w:lang w:val="en-GB"/>
        </w:rPr>
        <w:t xml:space="preserve">This refers to the intervention which was designed and delivered </w:t>
      </w:r>
      <w:r w:rsidR="00ED711A">
        <w:rPr>
          <w:lang w:val="en-GB"/>
        </w:rPr>
        <w:t xml:space="preserve">to teachers </w:t>
      </w:r>
      <w:r w:rsidR="004303C2" w:rsidRPr="003726FE">
        <w:rPr>
          <w:lang w:val="en-GB"/>
        </w:rPr>
        <w:t xml:space="preserve">in this </w:t>
      </w:r>
      <w:r w:rsidR="00FC0FFB" w:rsidRPr="003726FE">
        <w:rPr>
          <w:lang w:val="en-GB"/>
        </w:rPr>
        <w:t>study to</w:t>
      </w:r>
      <w:r w:rsidR="004303C2" w:rsidRPr="003726FE">
        <w:rPr>
          <w:lang w:val="en-GB"/>
        </w:rPr>
        <w:t xml:space="preserve"> enhance students’ SRL development. It used a targeted questioning technique called microanalysis to </w:t>
      </w:r>
      <w:r w:rsidR="009A1184">
        <w:rPr>
          <w:lang w:val="en-GB"/>
        </w:rPr>
        <w:t>evaluate</w:t>
      </w:r>
      <w:r w:rsidR="004303C2" w:rsidRPr="003726FE">
        <w:rPr>
          <w:lang w:val="en-GB"/>
        </w:rPr>
        <w:t xml:space="preserve"> students’ SRL processes, this information could then be used to provide developmental SRL informed feedback in real-time.</w:t>
      </w:r>
    </w:p>
    <w:p w14:paraId="3B1BAE94" w14:textId="77777777" w:rsidR="00F94D4D" w:rsidRPr="003726FE" w:rsidRDefault="00F94D4D" w:rsidP="00426FCB">
      <w:pPr>
        <w:pStyle w:val="Normal1"/>
        <w:rPr>
          <w:lang w:val="en-GB"/>
        </w:rPr>
      </w:pPr>
    </w:p>
    <w:p w14:paraId="4FF22C04" w14:textId="301AC27E" w:rsidR="004303C2" w:rsidRPr="003726FE" w:rsidRDefault="00B7178A" w:rsidP="00426FCB">
      <w:pPr>
        <w:pStyle w:val="Normal1"/>
        <w:rPr>
          <w:lang w:val="en-GB"/>
        </w:rPr>
      </w:pPr>
      <w:r w:rsidRPr="003726FE">
        <w:rPr>
          <w:b/>
          <w:lang w:val="en-GB"/>
        </w:rPr>
        <w:t>Supervisors:</w:t>
      </w:r>
      <w:r w:rsidRPr="003726FE">
        <w:rPr>
          <w:lang w:val="en-GB"/>
        </w:rPr>
        <w:t xml:space="preserve"> </w:t>
      </w:r>
      <w:r w:rsidR="004303C2" w:rsidRPr="003726FE">
        <w:rPr>
          <w:lang w:val="en-GB"/>
        </w:rPr>
        <w:t>F</w:t>
      </w:r>
      <w:r w:rsidRPr="003726FE">
        <w:rPr>
          <w:lang w:val="en-GB"/>
        </w:rPr>
        <w:t>eedback givers, teachers, facilitators, and doctors at any level of seniority who are responsible for learners. This does not include peers.</w:t>
      </w:r>
    </w:p>
    <w:p w14:paraId="52A1B6ED" w14:textId="77777777" w:rsidR="004303C2" w:rsidRPr="003726FE" w:rsidRDefault="004303C2" w:rsidP="00426FCB">
      <w:pPr>
        <w:pStyle w:val="Normal1"/>
        <w:rPr>
          <w:lang w:val="en-GB"/>
        </w:rPr>
      </w:pPr>
    </w:p>
    <w:p w14:paraId="4A0475A9" w14:textId="43C25137" w:rsidR="00B43CBC" w:rsidRPr="003726FE" w:rsidRDefault="004303C2" w:rsidP="00426FCB">
      <w:pPr>
        <w:pStyle w:val="Normal1"/>
        <w:rPr>
          <w:rFonts w:asciiTheme="majorHAnsi" w:eastAsiaTheme="majorEastAsia" w:hAnsiTheme="majorHAnsi" w:cstheme="majorBidi"/>
          <w:color w:val="2E74B5" w:themeColor="accent1" w:themeShade="BF"/>
          <w:sz w:val="32"/>
          <w:szCs w:val="32"/>
          <w:lang w:val="en-GB"/>
        </w:rPr>
      </w:pPr>
      <w:r w:rsidRPr="003726FE">
        <w:rPr>
          <w:b/>
          <w:lang w:val="en-GB"/>
        </w:rPr>
        <w:t>Trainees:</w:t>
      </w:r>
      <w:r w:rsidRPr="003726FE">
        <w:rPr>
          <w:lang w:val="en-GB"/>
        </w:rPr>
        <w:t xml:space="preserve"> Any individuals who are still in the process of training to become a doctor</w:t>
      </w:r>
      <w:r w:rsidR="009178B9">
        <w:rPr>
          <w:lang w:val="en-GB"/>
        </w:rPr>
        <w:t>.</w:t>
      </w:r>
      <w:r w:rsidR="00F176D2" w:rsidRPr="003726FE">
        <w:rPr>
          <w:lang w:val="en-GB"/>
        </w:rPr>
        <w:br w:type="page"/>
      </w:r>
    </w:p>
    <w:p w14:paraId="3913D502" w14:textId="77777777" w:rsidR="003E3774" w:rsidRPr="003726FE" w:rsidRDefault="003E3774" w:rsidP="00426FCB">
      <w:pPr>
        <w:pStyle w:val="Heading1"/>
        <w:sectPr w:rsidR="003E3774" w:rsidRPr="003726FE" w:rsidSect="003E3774">
          <w:footerReference w:type="default" r:id="rId16"/>
          <w:pgSz w:w="11906" w:h="16838"/>
          <w:pgMar w:top="1134" w:right="1134" w:bottom="1134" w:left="2268" w:header="709" w:footer="709" w:gutter="0"/>
          <w:pgNumType w:fmt="upperRoman"/>
          <w:cols w:space="708"/>
          <w:docGrid w:linePitch="360"/>
        </w:sectPr>
      </w:pPr>
      <w:bookmarkStart w:id="89" w:name="_Toc487456816"/>
      <w:bookmarkStart w:id="90" w:name="_Toc487811196"/>
      <w:bookmarkStart w:id="91" w:name="_Toc488147539"/>
    </w:p>
    <w:p w14:paraId="69D40637" w14:textId="3A17AB4F" w:rsidR="00421DDA" w:rsidRPr="003726FE" w:rsidRDefault="004D2A4D" w:rsidP="0049059B">
      <w:pPr>
        <w:pStyle w:val="Heading1"/>
        <w:jc w:val="center"/>
      </w:pPr>
      <w:bookmarkStart w:id="92" w:name="_Toc488309151"/>
      <w:bookmarkStart w:id="93" w:name="_Toc488930112"/>
      <w:bookmarkStart w:id="94" w:name="_Toc489017326"/>
      <w:bookmarkStart w:id="95" w:name="_Toc489447680"/>
      <w:bookmarkStart w:id="96" w:name="_Toc490650167"/>
      <w:bookmarkStart w:id="97" w:name="_Toc500319309"/>
      <w:bookmarkStart w:id="98" w:name="_Toc500319529"/>
      <w:r w:rsidRPr="003726FE">
        <w:lastRenderedPageBreak/>
        <w:t>Section A</w:t>
      </w:r>
      <w:r w:rsidR="00F176D2" w:rsidRPr="003726FE">
        <w:t xml:space="preserve">: </w:t>
      </w:r>
      <w:r w:rsidR="00BE3090" w:rsidRPr="003726FE">
        <w:t xml:space="preserve">Introduction </w:t>
      </w:r>
      <w:r w:rsidR="00F176D2" w:rsidRPr="003726FE">
        <w:t xml:space="preserve">and </w:t>
      </w:r>
      <w:r w:rsidR="00BE3090" w:rsidRPr="003726FE">
        <w:t>Methodology</w:t>
      </w:r>
      <w:bookmarkEnd w:id="89"/>
      <w:bookmarkEnd w:id="90"/>
      <w:bookmarkEnd w:id="91"/>
      <w:bookmarkEnd w:id="92"/>
      <w:bookmarkEnd w:id="93"/>
      <w:bookmarkEnd w:id="94"/>
      <w:bookmarkEnd w:id="95"/>
      <w:bookmarkEnd w:id="96"/>
      <w:bookmarkEnd w:id="97"/>
      <w:bookmarkEnd w:id="98"/>
    </w:p>
    <w:p w14:paraId="117F06A5" w14:textId="77777777" w:rsidR="00642AB8" w:rsidRPr="003726FE" w:rsidRDefault="00642AB8" w:rsidP="00E93DB3">
      <w:pPr>
        <w:pStyle w:val="Normal1"/>
        <w:rPr>
          <w:lang w:val="en-GB"/>
        </w:rPr>
      </w:pPr>
      <w:bookmarkStart w:id="99" w:name="_Toc487456817"/>
      <w:bookmarkStart w:id="100" w:name="_Toc487811197"/>
    </w:p>
    <w:p w14:paraId="15EBC8B2" w14:textId="632D6918" w:rsidR="00642AB8" w:rsidRPr="003726FE" w:rsidRDefault="00642AB8" w:rsidP="00E93DB3">
      <w:pPr>
        <w:pStyle w:val="Normal1"/>
        <w:rPr>
          <w:rFonts w:eastAsiaTheme="majorEastAsia" w:cstheme="majorBidi"/>
          <w:b/>
          <w:color w:val="000000" w:themeColor="text1"/>
          <w:sz w:val="32"/>
          <w:szCs w:val="32"/>
          <w:lang w:val="en-GB"/>
        </w:rPr>
      </w:pPr>
      <w:r w:rsidRPr="003726FE">
        <w:rPr>
          <w:lang w:val="en-GB"/>
        </w:rPr>
        <w:t xml:space="preserve">The topics covered in this thesis are addressed and the gaps in the </w:t>
      </w:r>
      <w:r w:rsidR="009178B9">
        <w:rPr>
          <w:lang w:val="en-GB"/>
        </w:rPr>
        <w:t>literature</w:t>
      </w:r>
      <w:r w:rsidRPr="003726FE">
        <w:rPr>
          <w:lang w:val="en-GB"/>
        </w:rPr>
        <w:t xml:space="preserve"> are defined in both the introduction and the literature review. The research questions are then outlined and the methodology used to explore them.</w:t>
      </w:r>
      <w:r w:rsidRPr="003726FE">
        <w:rPr>
          <w:lang w:val="en-GB"/>
        </w:rPr>
        <w:br w:type="page"/>
      </w:r>
      <w:bookmarkStart w:id="101" w:name="_GoBack"/>
      <w:bookmarkEnd w:id="101"/>
    </w:p>
    <w:p w14:paraId="1C685EE0" w14:textId="60BB8BB7" w:rsidR="00B07B0C" w:rsidRPr="003726FE" w:rsidRDefault="00B07B0C" w:rsidP="00426FCB">
      <w:pPr>
        <w:pStyle w:val="Heading1"/>
      </w:pPr>
      <w:bookmarkStart w:id="102" w:name="_Toc488147540"/>
      <w:bookmarkStart w:id="103" w:name="_Toc488309152"/>
      <w:bookmarkStart w:id="104" w:name="_Toc488930113"/>
      <w:bookmarkStart w:id="105" w:name="_Toc489017327"/>
      <w:bookmarkStart w:id="106" w:name="_Toc489447681"/>
      <w:bookmarkStart w:id="107" w:name="_Toc490650168"/>
      <w:bookmarkStart w:id="108" w:name="_Toc500319310"/>
      <w:bookmarkStart w:id="109" w:name="_Toc500319530"/>
      <w:r w:rsidRPr="003726FE">
        <w:lastRenderedPageBreak/>
        <w:t>Chapter A1</w:t>
      </w:r>
      <w:r w:rsidR="00F176D2" w:rsidRPr="003726FE">
        <w:t xml:space="preserve">: </w:t>
      </w:r>
      <w:r w:rsidRPr="003726FE">
        <w:t>Introduction</w:t>
      </w:r>
      <w:r w:rsidR="009C46FB" w:rsidRPr="003726FE">
        <w:t xml:space="preserve"> </w:t>
      </w:r>
      <w:r w:rsidR="00F176D2" w:rsidRPr="003726FE">
        <w:t>and Background to the Study</w:t>
      </w:r>
      <w:bookmarkEnd w:id="99"/>
      <w:bookmarkEnd w:id="100"/>
      <w:bookmarkEnd w:id="102"/>
      <w:bookmarkEnd w:id="103"/>
      <w:bookmarkEnd w:id="104"/>
      <w:bookmarkEnd w:id="105"/>
      <w:bookmarkEnd w:id="106"/>
      <w:bookmarkEnd w:id="107"/>
      <w:bookmarkEnd w:id="108"/>
      <w:bookmarkEnd w:id="109"/>
    </w:p>
    <w:p w14:paraId="5B1F8BC3" w14:textId="77777777" w:rsidR="00A24FB0" w:rsidRPr="003726FE" w:rsidRDefault="00A24FB0" w:rsidP="00026049">
      <w:pPr>
        <w:pStyle w:val="Normal1"/>
        <w:rPr>
          <w:lang w:val="en-GB"/>
        </w:rPr>
      </w:pPr>
    </w:p>
    <w:p w14:paraId="679F945F" w14:textId="66CAE838" w:rsidR="00AE17C9" w:rsidRPr="003726FE" w:rsidRDefault="00EB6578" w:rsidP="00026049">
      <w:pPr>
        <w:pStyle w:val="Normal1"/>
        <w:rPr>
          <w:lang w:val="en-GB"/>
        </w:rPr>
      </w:pPr>
      <w:r>
        <w:rPr>
          <w:lang w:val="en-GB"/>
        </w:rPr>
        <w:t>T</w:t>
      </w:r>
      <w:r w:rsidR="00AE17C9" w:rsidRPr="003726FE">
        <w:rPr>
          <w:lang w:val="en-GB"/>
        </w:rPr>
        <w:t xml:space="preserve">he core concepts of feedback and </w:t>
      </w:r>
      <w:r w:rsidR="00D017D1" w:rsidRPr="003726FE">
        <w:rPr>
          <w:lang w:val="en-GB"/>
        </w:rPr>
        <w:t>Self-Regulated Learning (SRL)</w:t>
      </w:r>
      <w:r w:rsidR="00AE17C9" w:rsidRPr="003726FE">
        <w:rPr>
          <w:lang w:val="en-GB"/>
        </w:rPr>
        <w:t xml:space="preserve"> which surround this </w:t>
      </w:r>
      <w:r w:rsidR="00FC0FFB" w:rsidRPr="003726FE">
        <w:rPr>
          <w:lang w:val="en-GB"/>
        </w:rPr>
        <w:t>study</w:t>
      </w:r>
      <w:r>
        <w:rPr>
          <w:lang w:val="en-GB"/>
        </w:rPr>
        <w:t xml:space="preserve"> are discussed</w:t>
      </w:r>
      <w:r w:rsidR="00FC0FFB" w:rsidRPr="003726FE">
        <w:rPr>
          <w:lang w:val="en-GB"/>
        </w:rPr>
        <w:t xml:space="preserve"> to</w:t>
      </w:r>
      <w:r w:rsidR="00E523FC" w:rsidRPr="003726FE">
        <w:rPr>
          <w:lang w:val="en-GB"/>
        </w:rPr>
        <w:t xml:space="preserve"> provide a perspective on how it fits within the current research landscape of medical education and the wider educational literature</w:t>
      </w:r>
      <w:r w:rsidR="00AE17C9" w:rsidRPr="003726FE">
        <w:rPr>
          <w:lang w:val="en-GB"/>
        </w:rPr>
        <w:t xml:space="preserve">. </w:t>
      </w:r>
      <w:r w:rsidR="00E523FC" w:rsidRPr="003726FE">
        <w:rPr>
          <w:lang w:val="en-GB"/>
        </w:rPr>
        <w:t>Issues and challenges in feedback a</w:t>
      </w:r>
      <w:r w:rsidR="00734B5C">
        <w:rPr>
          <w:lang w:val="en-GB"/>
        </w:rPr>
        <w:t xml:space="preserve">re presented. </w:t>
      </w:r>
      <w:r w:rsidR="00E523FC" w:rsidRPr="003726FE">
        <w:rPr>
          <w:lang w:val="en-GB"/>
        </w:rPr>
        <w:t xml:space="preserve">This leads onto an introduction to </w:t>
      </w:r>
      <w:r w:rsidR="00D017D1" w:rsidRPr="003726FE">
        <w:rPr>
          <w:lang w:val="en-GB"/>
        </w:rPr>
        <w:t>SRL</w:t>
      </w:r>
      <w:r w:rsidR="00734B5C">
        <w:rPr>
          <w:lang w:val="en-GB"/>
        </w:rPr>
        <w:t>. M</w:t>
      </w:r>
      <w:r w:rsidR="00E523FC" w:rsidRPr="003726FE">
        <w:rPr>
          <w:lang w:val="en-GB"/>
        </w:rPr>
        <w:t xml:space="preserve">ultiple perspectives on the concept are described and </w:t>
      </w:r>
      <w:r w:rsidR="00FC0FFB" w:rsidRPr="003726FE">
        <w:rPr>
          <w:lang w:val="en-GB"/>
        </w:rPr>
        <w:t>critiqued to</w:t>
      </w:r>
      <w:r w:rsidR="00E523FC" w:rsidRPr="003726FE">
        <w:rPr>
          <w:lang w:val="en-GB"/>
        </w:rPr>
        <w:t xml:space="preserve"> justify </w:t>
      </w:r>
      <w:r w:rsidR="00D017D1" w:rsidRPr="003726FE">
        <w:rPr>
          <w:lang w:val="en-GB"/>
        </w:rPr>
        <w:t>the social cognitive view of Zimmerman</w:t>
      </w:r>
      <w:r w:rsidR="003F7DE6" w:rsidRPr="003726FE">
        <w:rPr>
          <w:lang w:val="en-GB"/>
        </w:rPr>
        <w:t>’</w:t>
      </w:r>
      <w:r w:rsidR="00D017D1" w:rsidRPr="003726FE">
        <w:rPr>
          <w:lang w:val="en-GB"/>
        </w:rPr>
        <w:t>s three phase model of SRL use</w:t>
      </w:r>
      <w:r w:rsidR="00734B5C">
        <w:rPr>
          <w:lang w:val="en-GB"/>
        </w:rPr>
        <w:t>d</w:t>
      </w:r>
      <w:r w:rsidR="00D017D1" w:rsidRPr="003726FE">
        <w:rPr>
          <w:lang w:val="en-GB"/>
        </w:rPr>
        <w:t xml:space="preserve"> in this study. Methods of assessing SRL are then compared, and finally microanalysis is presented as the key method of delivering feedback.</w:t>
      </w:r>
    </w:p>
    <w:p w14:paraId="0840EAEC" w14:textId="77777777" w:rsidR="00D017D1" w:rsidRPr="003726FE" w:rsidRDefault="00D017D1" w:rsidP="00026049">
      <w:pPr>
        <w:pStyle w:val="Normal1"/>
        <w:rPr>
          <w:lang w:val="en-GB"/>
        </w:rPr>
      </w:pPr>
    </w:p>
    <w:p w14:paraId="7CE91733" w14:textId="416521FA" w:rsidR="00544848" w:rsidRPr="003726FE" w:rsidRDefault="00D017D1" w:rsidP="00026049">
      <w:pPr>
        <w:pStyle w:val="Normal1"/>
        <w:rPr>
          <w:lang w:val="en-GB"/>
        </w:rPr>
      </w:pPr>
      <w:r w:rsidRPr="003726FE">
        <w:rPr>
          <w:lang w:val="en-GB"/>
        </w:rPr>
        <w:t xml:space="preserve">Aspects of clinical learning both in simulation and in the clinical environment are then discussed in the context of feedback and SRL to outline current practices and challenges in the research. </w:t>
      </w:r>
      <w:r w:rsidR="003F7DE6" w:rsidRPr="003726FE">
        <w:rPr>
          <w:lang w:val="en-GB"/>
        </w:rPr>
        <w:t>Faculty</w:t>
      </w:r>
      <w:r w:rsidR="0079628D" w:rsidRPr="003726FE">
        <w:rPr>
          <w:lang w:val="en-GB"/>
        </w:rPr>
        <w:t xml:space="preserve"> development interventions withi</w:t>
      </w:r>
      <w:r w:rsidR="00642AB8" w:rsidRPr="003726FE">
        <w:rPr>
          <w:lang w:val="en-GB"/>
        </w:rPr>
        <w:t>n these contexts are also critiqued to inform the intervention used in this study.</w:t>
      </w:r>
      <w:r w:rsidR="00544848" w:rsidRPr="003726FE">
        <w:rPr>
          <w:lang w:val="en-GB"/>
        </w:rPr>
        <w:br w:type="page"/>
      </w:r>
    </w:p>
    <w:p w14:paraId="6B0C67A0" w14:textId="192EE0A0" w:rsidR="00B07B0C" w:rsidRPr="003726FE" w:rsidRDefault="00B07B0C" w:rsidP="00B1638D">
      <w:pPr>
        <w:pStyle w:val="Heading2"/>
        <w:rPr>
          <w:lang w:val="en-GB"/>
        </w:rPr>
      </w:pPr>
      <w:bookmarkStart w:id="110" w:name="_Toc500319311"/>
      <w:r w:rsidRPr="003726FE">
        <w:rPr>
          <w:lang w:val="en-GB"/>
        </w:rPr>
        <w:lastRenderedPageBreak/>
        <w:t>A1</w:t>
      </w:r>
      <w:r w:rsidR="00F176D2" w:rsidRPr="003726FE">
        <w:rPr>
          <w:lang w:val="en-GB"/>
        </w:rPr>
        <w:t xml:space="preserve">.1 </w:t>
      </w:r>
      <w:r w:rsidRPr="003726FE">
        <w:rPr>
          <w:lang w:val="en-GB"/>
        </w:rPr>
        <w:t>Feedback</w:t>
      </w:r>
      <w:bookmarkEnd w:id="110"/>
    </w:p>
    <w:p w14:paraId="469101B2" w14:textId="77777777" w:rsidR="00A73AB3" w:rsidRPr="003726FE" w:rsidRDefault="00A73AB3" w:rsidP="00026049">
      <w:pPr>
        <w:pStyle w:val="Normal1"/>
        <w:rPr>
          <w:lang w:val="en-GB"/>
        </w:rPr>
      </w:pPr>
    </w:p>
    <w:p w14:paraId="3D9F3D98" w14:textId="41C83AB2" w:rsidR="00E67D39" w:rsidRPr="003726FE" w:rsidRDefault="00E67D39" w:rsidP="00026049">
      <w:pPr>
        <w:pStyle w:val="Normal1"/>
        <w:rPr>
          <w:lang w:val="en-GB"/>
        </w:rPr>
      </w:pPr>
      <w:r w:rsidRPr="003726FE">
        <w:rPr>
          <w:lang w:val="en-GB"/>
        </w:rPr>
        <w:t>The feedback literature spans over many disciplines and fields</w:t>
      </w:r>
      <w:r w:rsidR="00755E8F" w:rsidRPr="003726FE">
        <w:rPr>
          <w:lang w:val="en-GB"/>
        </w:rPr>
        <w:t>.</w:t>
      </w:r>
      <w:r w:rsidRPr="003726FE">
        <w:rPr>
          <w:lang w:val="en-GB"/>
        </w:rPr>
        <w:t xml:space="preserve"> </w:t>
      </w:r>
      <w:r w:rsidR="00755E8F" w:rsidRPr="003726FE">
        <w:rPr>
          <w:lang w:val="en-GB"/>
        </w:rPr>
        <w:t>M</w:t>
      </w:r>
      <w:r w:rsidRPr="003726FE">
        <w:rPr>
          <w:lang w:val="en-GB"/>
        </w:rPr>
        <w:t xml:space="preserve">uch of the evidence outlined here is related to the field of medical </w:t>
      </w:r>
      <w:r w:rsidR="00FC0FFB" w:rsidRPr="003726FE">
        <w:rPr>
          <w:lang w:val="en-GB"/>
        </w:rPr>
        <w:t>education to</w:t>
      </w:r>
      <w:r w:rsidR="00DC6BDA" w:rsidRPr="003726FE">
        <w:rPr>
          <w:lang w:val="en-GB"/>
        </w:rPr>
        <w:t xml:space="preserve"> contextualise this study</w:t>
      </w:r>
      <w:r w:rsidR="00755E8F" w:rsidRPr="003726FE">
        <w:rPr>
          <w:lang w:val="en-GB"/>
        </w:rPr>
        <w:t>,</w:t>
      </w:r>
      <w:r w:rsidRPr="003726FE">
        <w:rPr>
          <w:lang w:val="en-GB"/>
        </w:rPr>
        <w:t xml:space="preserve"> </w:t>
      </w:r>
      <w:r w:rsidR="00DC6BDA" w:rsidRPr="003726FE">
        <w:rPr>
          <w:lang w:val="en-GB"/>
        </w:rPr>
        <w:t>although</w:t>
      </w:r>
      <w:r w:rsidRPr="003726FE">
        <w:rPr>
          <w:lang w:val="en-GB"/>
        </w:rPr>
        <w:t xml:space="preserve"> external literature is used to supplement and deepen the </w:t>
      </w:r>
      <w:r w:rsidR="00DC6BDA" w:rsidRPr="003726FE">
        <w:rPr>
          <w:lang w:val="en-GB"/>
        </w:rPr>
        <w:t>discussion</w:t>
      </w:r>
      <w:r w:rsidRPr="003726FE">
        <w:rPr>
          <w:lang w:val="en-GB"/>
        </w:rPr>
        <w:t xml:space="preserve"> around feedback.</w:t>
      </w:r>
    </w:p>
    <w:p w14:paraId="7F3F61FE" w14:textId="77777777" w:rsidR="00E67D39" w:rsidRPr="003726FE" w:rsidRDefault="00E67D39" w:rsidP="00026049">
      <w:pPr>
        <w:pStyle w:val="Normal1"/>
        <w:rPr>
          <w:lang w:val="en-GB"/>
        </w:rPr>
      </w:pPr>
    </w:p>
    <w:p w14:paraId="4B238647" w14:textId="4AEEF89B" w:rsidR="00E67D39" w:rsidRPr="003726FE" w:rsidRDefault="00C30EAF" w:rsidP="00BA4521">
      <w:pPr>
        <w:pStyle w:val="Heading3"/>
      </w:pPr>
      <w:bookmarkStart w:id="111" w:name="_Toc500319312"/>
      <w:r w:rsidRPr="003726FE">
        <w:t>A1.1.1 A</w:t>
      </w:r>
      <w:r w:rsidR="003726FE" w:rsidRPr="003726FE">
        <w:t>n</w:t>
      </w:r>
      <w:r w:rsidRPr="003726FE">
        <w:t xml:space="preserve"> </w:t>
      </w:r>
      <w:r w:rsidR="00341B7E">
        <w:t>O</w:t>
      </w:r>
      <w:r w:rsidR="00E67D39" w:rsidRPr="003726FE">
        <w:t xml:space="preserve">verview of </w:t>
      </w:r>
      <w:r w:rsidR="00341B7E">
        <w:t>F</w:t>
      </w:r>
      <w:r w:rsidR="00E67D39" w:rsidRPr="003726FE">
        <w:t>eedback</w:t>
      </w:r>
      <w:bookmarkEnd w:id="111"/>
    </w:p>
    <w:p w14:paraId="62156F84" w14:textId="77777777" w:rsidR="00E67D39" w:rsidRPr="003726FE" w:rsidRDefault="00E67D39" w:rsidP="00026049">
      <w:pPr>
        <w:pStyle w:val="Normal1"/>
        <w:rPr>
          <w:lang w:val="en-GB"/>
        </w:rPr>
      </w:pPr>
    </w:p>
    <w:p w14:paraId="5068539E" w14:textId="43712E01" w:rsidR="00C6465A" w:rsidRPr="003726FE" w:rsidRDefault="000532E2" w:rsidP="00026049">
      <w:pPr>
        <w:pStyle w:val="Normal1"/>
        <w:rPr>
          <w:lang w:val="en-GB"/>
        </w:rPr>
      </w:pPr>
      <w:hyperlink w:anchor="_ENREF_417" w:tooltip="Van de Ridder, 2008 #831" w:history="1">
        <w:r w:rsidR="0094469E" w:rsidRPr="003726FE">
          <w:rPr>
            <w:lang w:val="en-GB"/>
          </w:rPr>
          <w:fldChar w:fldCharType="begin"/>
        </w:r>
        <w:r w:rsidR="0094469E">
          <w:rPr>
            <w:lang w:val="en-GB"/>
          </w:rPr>
          <w:instrText xml:space="preserve"> ADDIN EN.CITE &lt;EndNote&gt;&lt;Cite AuthorYear="1"&gt;&lt;Author&gt;Van de Ridder&lt;/Author&gt;&lt;Year&gt;2008&lt;/Year&gt;&lt;RecNum&gt;831&lt;/RecNum&gt;&lt;Pages&gt;193&lt;/Pages&gt;&lt;DisplayText&gt;Van de Ridder et al. (2008, p. 193)&lt;/DisplayText&gt;&lt;record&gt;&lt;rec-number&gt;831&lt;/rec-number&gt;&lt;foreign-keys&gt;&lt;key app="EN" db-id="xa2r2ewea92trkef5dt5arvbzafvpv2za5ft" timestamp="1496417597"&gt;831&lt;/key&gt;&lt;/foreign-keys&gt;&lt;ref-type name="Journal Article"&gt;17&lt;/ref-type&gt;&lt;contributors&gt;&lt;authors&gt;&lt;author&gt;Van de Ridder, J. M. Monica&lt;/author&gt;&lt;author&gt;Stokking, Karel M&lt;/author&gt;&lt;author&gt;McGaghie, William C&lt;/author&gt;&lt;author&gt;Ten Cate, Olle Th J&lt;/author&gt;&lt;/authors&gt;&lt;/contributors&gt;&lt;titles&gt;&lt;title&gt;What is feedback in clinical education?&lt;/title&gt;&lt;secondary-title&gt;Medical education&lt;/secondary-title&gt;&lt;/titles&gt;&lt;periodical&gt;&lt;full-title&gt;Medical education&lt;/full-title&gt;&lt;/periodical&gt;&lt;pages&gt;189-197&lt;/pages&gt;&lt;volume&gt;42&lt;/volume&gt;&lt;number&gt;2&lt;/number&gt;&lt;dates&gt;&lt;year&gt;2008&lt;/year&gt;&lt;/dates&gt;&lt;isbn&gt;1365-2923&lt;/isbn&gt;&lt;urls&gt;&lt;/urls&gt;&lt;/record&gt;&lt;/Cite&gt;&lt;/EndNote&gt;</w:instrText>
        </w:r>
        <w:r w:rsidR="0094469E" w:rsidRPr="003726FE">
          <w:rPr>
            <w:lang w:val="en-GB"/>
          </w:rPr>
          <w:fldChar w:fldCharType="separate"/>
        </w:r>
        <w:r w:rsidR="0094469E" w:rsidRPr="003726FE">
          <w:rPr>
            <w:noProof/>
            <w:lang w:val="en-GB"/>
          </w:rPr>
          <w:t>Van de Ridder et al. (2008, p. 193)</w:t>
        </w:r>
        <w:r w:rsidR="0094469E" w:rsidRPr="003726FE">
          <w:rPr>
            <w:lang w:val="en-GB"/>
          </w:rPr>
          <w:fldChar w:fldCharType="end"/>
        </w:r>
      </w:hyperlink>
      <w:r w:rsidR="00A03641" w:rsidRPr="003726FE">
        <w:rPr>
          <w:lang w:val="en-GB"/>
        </w:rPr>
        <w:t xml:space="preserve"> define</w:t>
      </w:r>
      <w:r w:rsidR="00F66481" w:rsidRPr="003726FE">
        <w:rPr>
          <w:lang w:val="en-GB"/>
        </w:rPr>
        <w:t>d</w:t>
      </w:r>
      <w:r w:rsidR="00A03641" w:rsidRPr="003726FE">
        <w:rPr>
          <w:lang w:val="en-GB"/>
        </w:rPr>
        <w:t xml:space="preserve"> feedback in clinical education, based on their review, as “Specific information about the comparison between a trainee’s observed performance and a standard, given with the intent to impro</w:t>
      </w:r>
      <w:r w:rsidR="003F6B91" w:rsidRPr="003726FE">
        <w:rPr>
          <w:lang w:val="en-GB"/>
        </w:rPr>
        <w:t>ve the trainee’s performance."</w:t>
      </w:r>
      <w:r w:rsidR="00A03641" w:rsidRPr="003726FE">
        <w:rPr>
          <w:lang w:val="en-GB"/>
        </w:rPr>
        <w:t xml:space="preserve"> Feedback is centrally</w:t>
      </w:r>
      <w:r w:rsidR="00755E8F" w:rsidRPr="003726FE">
        <w:rPr>
          <w:lang w:val="en-GB"/>
        </w:rPr>
        <w:t xml:space="preserve"> important </w:t>
      </w:r>
      <w:r w:rsidR="0042250E">
        <w:rPr>
          <w:lang w:val="en-GB"/>
        </w:rPr>
        <w:t>to</w:t>
      </w:r>
      <w:r w:rsidR="00755E8F" w:rsidRPr="003726FE">
        <w:rPr>
          <w:lang w:val="en-GB"/>
        </w:rPr>
        <w:t xml:space="preserve"> clinical training and</w:t>
      </w:r>
      <w:r w:rsidR="00A03641" w:rsidRPr="003726FE">
        <w:rPr>
          <w:lang w:val="en-GB"/>
        </w:rPr>
        <w:t xml:space="preserve"> its significance has been formally recognised b</w:t>
      </w:r>
      <w:r w:rsidR="00C6465A" w:rsidRPr="003726FE">
        <w:rPr>
          <w:lang w:val="en-GB"/>
        </w:rPr>
        <w:t>y experts in the area for over three</w:t>
      </w:r>
      <w:r w:rsidR="00A03641" w:rsidRPr="003726FE">
        <w:rPr>
          <w:lang w:val="en-GB"/>
        </w:rPr>
        <w:t xml:space="preserve"> decades </w:t>
      </w:r>
      <w:r w:rsidR="00EF281A" w:rsidRPr="003726FE">
        <w:rPr>
          <w:lang w:val="en-GB"/>
        </w:rPr>
        <w:fldChar w:fldCharType="begin">
          <w:fldData xml:space="preserve">PEVuZE5vdGU+PENpdGU+PEF1dGhvcj5FbmRlPC9BdXRob3I+PFllYXI+MTk4MzwvWWVhcj48UmVj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</w:fldData>
        </w:fldChar>
      </w:r>
      <w:r w:rsidR="008443D6">
        <w:rPr>
          <w:lang w:val="en-GB"/>
        </w:rPr>
        <w:instrText xml:space="preserve"> ADDIN EN.CITE </w:instrText>
      </w:r>
      <w:r w:rsidR="008443D6">
        <w:rPr>
          <w:lang w:val="en-GB"/>
        </w:rPr>
        <w:fldChar w:fldCharType="begin">
          <w:fldData xml:space="preserve">PEVuZE5vdGU+PENpdGU+PEF1dGhvcj5FbmRlPC9BdXRob3I+PFllYXI+MTk4MzwvWWVhcj48UmVj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</w:fldData>
        </w:fldChar>
      </w:r>
      <w:r w:rsidR="008443D6">
        <w:rPr>
          <w:lang w:val="en-GB"/>
        </w:rPr>
        <w:instrText xml:space="preserve"> ADDIN EN.CITE.DATA </w:instrText>
      </w:r>
      <w:r w:rsidR="008443D6">
        <w:rPr>
          <w:lang w:val="en-GB"/>
        </w:rPr>
      </w:r>
      <w:r w:rsidR="008443D6">
        <w:rPr>
          <w:lang w:val="en-GB"/>
        </w:rPr>
        <w:fldChar w:fldCharType="end"/>
      </w:r>
      <w:r w:rsidR="00EF281A" w:rsidRPr="003726FE">
        <w:rPr>
          <w:lang w:val="en-GB"/>
        </w:rPr>
      </w:r>
      <w:r w:rsidR="00EF281A" w:rsidRPr="003726FE">
        <w:rPr>
          <w:lang w:val="en-GB"/>
        </w:rPr>
        <w:fldChar w:fldCharType="separate"/>
      </w:r>
      <w:r w:rsidR="00782498">
        <w:rPr>
          <w:noProof/>
          <w:lang w:val="en-GB"/>
        </w:rPr>
        <w:t>(</w:t>
      </w:r>
      <w:hyperlink w:anchor="_ENREF_139" w:tooltip="Ende, 1983 #73" w:history="1">
        <w:r w:rsidR="0094469E">
          <w:rPr>
            <w:noProof/>
            <w:lang w:val="en-GB"/>
          </w:rPr>
          <w:t>Ende 1983</w:t>
        </w:r>
      </w:hyperlink>
      <w:r w:rsidR="00782498">
        <w:rPr>
          <w:noProof/>
          <w:lang w:val="en-GB"/>
        </w:rPr>
        <w:t xml:space="preserve">; </w:t>
      </w:r>
      <w:hyperlink w:anchor="_ENREF_199" w:tooltip="Irby, 1994 #115" w:history="1">
        <w:r w:rsidR="0094469E">
          <w:rPr>
            <w:noProof/>
            <w:lang w:val="en-GB"/>
          </w:rPr>
          <w:t>Irby 1994</w:t>
        </w:r>
      </w:hyperlink>
      <w:r w:rsidR="00782498">
        <w:rPr>
          <w:noProof/>
          <w:lang w:val="en-GB"/>
        </w:rPr>
        <w:t xml:space="preserve">, </w:t>
      </w:r>
      <w:hyperlink w:anchor="_ENREF_200" w:tooltip="Irby, 1995 #114" w:history="1">
        <w:r w:rsidR="0094469E">
          <w:rPr>
            <w:noProof/>
            <w:lang w:val="en-GB"/>
          </w:rPr>
          <w:t>1995</w:t>
        </w:r>
      </w:hyperlink>
      <w:r w:rsidR="00782498">
        <w:rPr>
          <w:noProof/>
          <w:lang w:val="en-GB"/>
        </w:rPr>
        <w:t xml:space="preserve">; </w:t>
      </w:r>
      <w:hyperlink w:anchor="_ENREF_415" w:tooltip="Van de Ridder, 2014 #524" w:history="1">
        <w:r w:rsidR="0094469E">
          <w:rPr>
            <w:noProof/>
            <w:lang w:val="en-GB"/>
          </w:rPr>
          <w:t>Van de Ridder et al. 2014</w:t>
        </w:r>
      </w:hyperlink>
      <w:r w:rsidR="00782498">
        <w:rPr>
          <w:noProof/>
          <w:lang w:val="en-GB"/>
        </w:rPr>
        <w:t>)</w:t>
      </w:r>
      <w:r w:rsidR="00EF281A" w:rsidRPr="003726FE">
        <w:rPr>
          <w:lang w:val="en-GB"/>
        </w:rPr>
        <w:fldChar w:fldCharType="end"/>
      </w:r>
      <w:r w:rsidR="00A03641" w:rsidRPr="003726FE">
        <w:rPr>
          <w:lang w:val="en-GB"/>
        </w:rPr>
        <w:t xml:space="preserve">. Feedback is clearly important to educators and researchers, given the vast amount of </w:t>
      </w:r>
      <w:r w:rsidR="00755E8F" w:rsidRPr="003726FE">
        <w:rPr>
          <w:lang w:val="en-GB"/>
        </w:rPr>
        <w:t>articles</w:t>
      </w:r>
      <w:r w:rsidR="00A03641" w:rsidRPr="003726FE">
        <w:rPr>
          <w:lang w:val="en-GB"/>
        </w:rPr>
        <w:t xml:space="preserve"> and reviews published on the topic </w:t>
      </w:r>
      <w:r w:rsidR="00DB3EEA" w:rsidRPr="003726FE">
        <w:rPr>
          <w:lang w:val="en-GB"/>
        </w:rPr>
        <w:fldChar w:fldCharType="begin"/>
      </w:r>
      <w:r w:rsidR="008B61BE">
        <w:rPr>
          <w:lang w:val="en-GB"/>
        </w:rPr>
        <w:instrText xml:space="preserve"> ADDIN EN.CITE &lt;EndNote&gt;&lt;Cite&gt;&lt;Author&gt;Kluger&lt;/Author&gt;&lt;Year&gt;1996&lt;/Year&gt;&lt;RecNum&gt;134&lt;/RecNum&gt;&lt;DisplayText&gt;(Kluger and DeNisi 1996; Hattie and Timperley 2007)&lt;/DisplayText&gt;&lt;record&gt;&lt;rec-number&gt;134&lt;/rec-number&gt;&lt;foreign-keys&gt;&lt;key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Association&lt;/publisher&gt;&lt;urls&gt;&lt;/urls&gt;&lt;/record&gt;&lt;/Cite&gt;&lt;Cite&gt;&lt;Author&gt;Hattie&lt;/Author&gt;&lt;Year&gt;2007&lt;/Year&gt;&lt;RecNum&gt;109&lt;/RecNum&gt;&lt;record&gt;&lt;rec-number&gt;109&lt;/rec-number&gt;&lt;foreign-keys&gt;&lt;key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DB3EEA" w:rsidRPr="003726FE">
        <w:rPr>
          <w:lang w:val="en-GB"/>
        </w:rPr>
        <w:fldChar w:fldCharType="separate"/>
      </w:r>
      <w:r w:rsidR="004E5A78" w:rsidRPr="003726FE">
        <w:rPr>
          <w:noProof/>
          <w:lang w:val="en-GB"/>
        </w:rPr>
        <w:t>(</w:t>
      </w:r>
      <w:hyperlink w:anchor="_ENREF_221" w:tooltip="Kluger, 1996 #134" w:history="1">
        <w:r w:rsidR="0094469E" w:rsidRPr="003726FE">
          <w:rPr>
            <w:noProof/>
            <w:lang w:val="en-GB"/>
          </w:rPr>
          <w:t>Kluger and DeNisi 1996</w:t>
        </w:r>
      </w:hyperlink>
      <w:r w:rsidR="004E5A78" w:rsidRPr="003726FE">
        <w:rPr>
          <w:noProof/>
          <w:lang w:val="en-GB"/>
        </w:rPr>
        <w:t xml:space="preserve">; </w:t>
      </w:r>
      <w:hyperlink w:anchor="_ENREF_184" w:tooltip="Hattie, 2007 #109" w:history="1">
        <w:r w:rsidR="0094469E" w:rsidRPr="003726FE">
          <w:rPr>
            <w:noProof/>
            <w:lang w:val="en-GB"/>
          </w:rPr>
          <w:t>Hattie and Timperley 2007</w:t>
        </w:r>
      </w:hyperlink>
      <w:r w:rsidR="004E5A78" w:rsidRPr="003726FE">
        <w:rPr>
          <w:noProof/>
          <w:lang w:val="en-GB"/>
        </w:rPr>
        <w:t>)</w:t>
      </w:r>
      <w:r w:rsidR="00DB3EEA" w:rsidRPr="003726FE">
        <w:rPr>
          <w:lang w:val="en-GB"/>
        </w:rPr>
        <w:fldChar w:fldCharType="end"/>
      </w:r>
      <w:r w:rsidR="00DB3EEA" w:rsidRPr="003726FE">
        <w:rPr>
          <w:lang w:val="en-GB"/>
        </w:rPr>
        <w:t>.</w:t>
      </w:r>
      <w:r w:rsidR="00DF2C1B" w:rsidRPr="003726FE">
        <w:rPr>
          <w:lang w:val="en-GB"/>
        </w:rPr>
        <w:t xml:space="preserve"> The </w:t>
      </w:r>
      <w:r w:rsidR="00755E8F" w:rsidRPr="003726FE">
        <w:rPr>
          <w:lang w:val="en-GB"/>
        </w:rPr>
        <w:t>consensus</w:t>
      </w:r>
      <w:r w:rsidR="00DF2C1B" w:rsidRPr="003726FE">
        <w:rPr>
          <w:lang w:val="en-GB"/>
        </w:rPr>
        <w:t xml:space="preserve"> is that feedback helps students make sense of their learning by providing a crucial link between their performance and the desired standard </w:t>
      </w:r>
      <w:r w:rsidR="00EF281A" w:rsidRPr="003726FE">
        <w:rPr>
          <w:lang w:val="en-GB"/>
        </w:rPr>
        <w:fldChar w:fldCharType="begin"/>
      </w:r>
      <w:r w:rsidR="008B61BE">
        <w:rPr>
          <w:lang w:val="en-GB"/>
        </w:rPr>
        <w:instrText xml:space="preserve"> ADDIN EN.CITE &lt;EndNote&gt;&lt;Cite&gt;&lt;Author&gt;Sadler&lt;/Author&gt;&lt;Year&gt;2010&lt;/Year&gt;&lt;RecNum&gt;832&lt;/RecNum&gt;&lt;DisplayText&gt;(Sadler 2010)&lt;/DisplayText&gt;&lt;record&gt;&lt;rec-number&gt;832&lt;/rec-number&gt;&lt;foreign-keys&gt;&lt;key app="EN" db-id="xa2r2ewea92trkef5dt5arvbzafvpv2za5ft" timestamp="1496417597"&gt;832&lt;/key&gt;&lt;/foreign-keys&gt;&lt;ref-type name="Journal Article"&gt;17&lt;/ref-type&gt;&lt;contributors&gt;&lt;authors&gt;&lt;author&gt;Sadler, D Royce&lt;/author&gt;&lt;/authors&gt;&lt;/contributors&gt;&lt;titles&gt;&lt;title&gt;Beyond feedback: Developing student capability in complex appraisal&lt;/title&gt;&lt;secondary-title&gt;Assessment &amp;amp; Evaluation in Higher Education&lt;/secondary-title&gt;&lt;/titles&gt;&lt;periodical&gt;&lt;full-title&gt;Assessment &amp;amp; Evaluation in Higher Education&lt;/full-title&gt;&lt;/periodical&gt;&lt;pages&gt;535-550&lt;/pages&gt;&lt;volume&gt;35&lt;/volume&gt;&lt;number&gt;5&lt;/number&gt;&lt;dates&gt;&lt;year&gt;2010&lt;/year&gt;&lt;/dates&gt;&lt;isbn&gt;0260-2938&lt;/isbn&gt;&lt;urls&gt;&lt;/urls&gt;&lt;/record&gt;&lt;/Cite&gt;&lt;/EndNote&gt;</w:instrText>
      </w:r>
      <w:r w:rsidR="00EF281A" w:rsidRPr="003726FE">
        <w:rPr>
          <w:lang w:val="en-GB"/>
        </w:rPr>
        <w:fldChar w:fldCharType="separate"/>
      </w:r>
      <w:r w:rsidR="004E5A78" w:rsidRPr="003726FE">
        <w:rPr>
          <w:noProof/>
          <w:lang w:val="en-GB"/>
        </w:rPr>
        <w:t>(</w:t>
      </w:r>
      <w:hyperlink w:anchor="_ENREF_354" w:tooltip="Sadler, 2010 #832" w:history="1">
        <w:r w:rsidR="0094469E" w:rsidRPr="003726FE">
          <w:rPr>
            <w:noProof/>
            <w:lang w:val="en-GB"/>
          </w:rPr>
          <w:t>Sadler 2010</w:t>
        </w:r>
      </w:hyperlink>
      <w:r w:rsidR="004E5A78" w:rsidRPr="003726FE">
        <w:rPr>
          <w:noProof/>
          <w:lang w:val="en-GB"/>
        </w:rPr>
        <w:t>)</w:t>
      </w:r>
      <w:r w:rsidR="00EF281A" w:rsidRPr="003726FE">
        <w:rPr>
          <w:lang w:val="en-GB"/>
        </w:rPr>
        <w:fldChar w:fldCharType="end"/>
      </w:r>
      <w:r w:rsidR="00DF2C1B" w:rsidRPr="003726FE">
        <w:rPr>
          <w:lang w:val="en-GB"/>
        </w:rPr>
        <w:t xml:space="preserve">. The </w:t>
      </w:r>
      <w:r w:rsidR="00C6465A" w:rsidRPr="003726FE">
        <w:rPr>
          <w:lang w:val="en-GB"/>
        </w:rPr>
        <w:t xml:space="preserve">wider </w:t>
      </w:r>
      <w:r w:rsidR="00DF2C1B" w:rsidRPr="003726FE">
        <w:rPr>
          <w:lang w:val="en-GB"/>
        </w:rPr>
        <w:t xml:space="preserve">educational literature </w:t>
      </w:r>
      <w:r w:rsidR="00C6465A" w:rsidRPr="003726FE">
        <w:rPr>
          <w:lang w:val="en-GB"/>
        </w:rPr>
        <w:t xml:space="preserve">also </w:t>
      </w:r>
      <w:r w:rsidR="00DF2C1B" w:rsidRPr="003726FE">
        <w:rPr>
          <w:lang w:val="en-GB"/>
        </w:rPr>
        <w:t>emphasises the universal importance of feedback</w:t>
      </w:r>
      <w:r w:rsidR="00C6465A" w:rsidRPr="003726FE">
        <w:rPr>
          <w:lang w:val="en-GB"/>
        </w:rPr>
        <w:t xml:space="preserve"> for successful learning</w:t>
      </w:r>
      <w:r w:rsidR="00DF2C1B" w:rsidRPr="003726FE">
        <w:rPr>
          <w:lang w:val="en-GB"/>
        </w:rPr>
        <w:t xml:space="preserve"> </w:t>
      </w:r>
      <w:r w:rsidR="00EF281A" w:rsidRPr="003726FE">
        <w:rPr>
          <w:lang w:val="en-GB"/>
        </w:rPr>
        <w:fldChar w:fldCharType="begin"/>
      </w:r>
      <w:r w:rsidR="008B61BE">
        <w:rPr>
          <w:lang w:val="en-GB"/>
        </w:rPr>
        <w:instrText xml:space="preserve"> ADDIN EN.CITE &lt;EndNote&gt;&lt;Cite&gt;&lt;Author&gt;Kluger&lt;/Author&gt;&lt;Year&gt;1996&lt;/Year&gt;&lt;RecNum&gt;134&lt;/RecNum&gt;&lt;DisplayText&gt;(Kluger and DeNisi 1996)&lt;/DisplayText&gt;&lt;record&gt;&lt;rec-number&gt;134&lt;/rec-number&gt;&lt;foreign-keys&gt;&lt;key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Association&lt;/publisher&gt;&lt;urls&gt;&lt;/urls&gt;&lt;/record&gt;&lt;/Cite&gt;&lt;/EndNote&gt;</w:instrText>
      </w:r>
      <w:r w:rsidR="00EF281A" w:rsidRPr="003726FE">
        <w:rPr>
          <w:lang w:val="en-GB"/>
        </w:rPr>
        <w:fldChar w:fldCharType="separate"/>
      </w:r>
      <w:r w:rsidR="004E5A78" w:rsidRPr="003726FE">
        <w:rPr>
          <w:noProof/>
          <w:lang w:val="en-GB"/>
        </w:rPr>
        <w:t>(</w:t>
      </w:r>
      <w:hyperlink w:anchor="_ENREF_221" w:tooltip="Kluger, 1996 #134" w:history="1">
        <w:r w:rsidR="0094469E" w:rsidRPr="003726FE">
          <w:rPr>
            <w:noProof/>
            <w:lang w:val="en-GB"/>
          </w:rPr>
          <w:t>Kluger and DeNisi 1996</w:t>
        </w:r>
      </w:hyperlink>
      <w:r w:rsidR="004E5A78" w:rsidRPr="003726FE">
        <w:rPr>
          <w:noProof/>
          <w:lang w:val="en-GB"/>
        </w:rPr>
        <w:t>)</w:t>
      </w:r>
      <w:r w:rsidR="00EF281A" w:rsidRPr="003726FE">
        <w:rPr>
          <w:lang w:val="en-GB"/>
        </w:rPr>
        <w:fldChar w:fldCharType="end"/>
      </w:r>
      <w:r w:rsidR="00C6465A" w:rsidRPr="003726FE">
        <w:rPr>
          <w:lang w:val="en-GB"/>
        </w:rPr>
        <w:t>.</w:t>
      </w:r>
    </w:p>
    <w:p w14:paraId="28EABD2E" w14:textId="77777777" w:rsidR="00C6465A" w:rsidRPr="003726FE" w:rsidRDefault="00C6465A" w:rsidP="00026049">
      <w:pPr>
        <w:pStyle w:val="Normal1"/>
        <w:rPr>
          <w:lang w:val="en-GB"/>
        </w:rPr>
      </w:pPr>
    </w:p>
    <w:p w14:paraId="230845F0" w14:textId="0E3BD81A" w:rsidR="003F6B91" w:rsidRPr="003726FE" w:rsidRDefault="003F6B91" w:rsidP="00026049">
      <w:pPr>
        <w:pStyle w:val="Normal1"/>
        <w:rPr>
          <w:lang w:val="en-GB"/>
        </w:rPr>
      </w:pPr>
      <w:r w:rsidRPr="003726FE">
        <w:rPr>
          <w:lang w:val="en-GB"/>
        </w:rPr>
        <w:t xml:space="preserve">Ende’s </w:t>
      </w:r>
      <w:r w:rsidR="00DB3EEA" w:rsidRPr="003726FE">
        <w:rPr>
          <w:lang w:val="en-GB"/>
        </w:rPr>
        <w:t>landmark</w:t>
      </w:r>
      <w:r w:rsidRPr="003726FE">
        <w:rPr>
          <w:lang w:val="en-GB"/>
        </w:rPr>
        <w:t xml:space="preserve"> </w:t>
      </w:r>
      <w:r w:rsidR="00755E8F" w:rsidRPr="003726FE">
        <w:rPr>
          <w:lang w:val="en-GB"/>
        </w:rPr>
        <w:t>article</w:t>
      </w:r>
      <w:r w:rsidRPr="003726FE">
        <w:rPr>
          <w:lang w:val="en-GB"/>
        </w:rPr>
        <w:t xml:space="preserve"> </w:t>
      </w:r>
      <w:r w:rsidR="00EF281A" w:rsidRPr="003726FE">
        <w:rPr>
          <w:lang w:val="en-GB"/>
        </w:rPr>
        <w:fldChar w:fldCharType="begin"/>
      </w:r>
      <w:r w:rsidR="008B61BE">
        <w:rPr>
          <w:lang w:val="en-GB"/>
        </w:rPr>
        <w:instrText xml:space="preserve"> ADDIN EN.CITE &lt;EndNote&gt;&lt;Cite ExcludeAuth="1"&gt;&lt;Author&gt;Ende&lt;/Author&gt;&lt;Year&gt;1983&lt;/Year&gt;&lt;RecNum&gt;73&lt;/RecNum&gt;&lt;DisplayText&gt;(1983)&lt;/DisplayText&gt;&lt;record&gt;&lt;rec-number&gt;73&lt;/rec-number&gt;&lt;foreign-keys&gt;&lt;key app="EN" db-id="xa2r2ewea92trkef5dt5arvbzafvpv2za5ft" timestamp="1442161763"&gt;73&lt;/key&gt;&lt;/foreign-keys&gt;&lt;ref-type name="Journal Article"&gt;17&lt;/ref-type&gt;&lt;contributors&gt;&lt;authors&gt;&lt;author&gt;Ende, Jack&lt;/author&gt;&lt;/authors&gt;&lt;/contributors&gt;&lt;titles&gt;&lt;title&gt;Feedback in clinical medical education&lt;/title&gt;&lt;secondary-title&gt;Jama&lt;/secondary-title&gt;&lt;/titles&gt;&lt;periodical&gt;&lt;full-title&gt;JAMA&lt;/full-title&gt;&lt;/periodical&gt;&lt;pages&gt;777-781&lt;/pages&gt;&lt;volume&gt;250&lt;/volume&gt;&lt;number&gt;6&lt;/number&gt;&lt;dates&gt;&lt;year&gt;1983&lt;/year&gt;&lt;/dates&gt;&lt;publisher&gt;American Medical Association&lt;/publisher&gt;&lt;urls&gt;&lt;/urls&gt;&lt;/record&gt;&lt;/Cite&gt;&lt;/EndNote&gt;</w:instrText>
      </w:r>
      <w:r w:rsidR="00EF281A" w:rsidRPr="003726FE">
        <w:rPr>
          <w:lang w:val="en-GB"/>
        </w:rPr>
        <w:fldChar w:fldCharType="separate"/>
      </w:r>
      <w:r w:rsidR="00B5301C" w:rsidRPr="003726FE">
        <w:rPr>
          <w:noProof/>
          <w:lang w:val="en-GB"/>
        </w:rPr>
        <w:t>(</w:t>
      </w:r>
      <w:hyperlink w:anchor="_ENREF_139" w:tooltip="Ende, 1983 #73" w:history="1">
        <w:r w:rsidR="0094469E" w:rsidRPr="003726FE">
          <w:rPr>
            <w:noProof/>
            <w:lang w:val="en-GB"/>
          </w:rPr>
          <w:t>1983</w:t>
        </w:r>
      </w:hyperlink>
      <w:r w:rsidR="00B5301C" w:rsidRPr="003726FE">
        <w:rPr>
          <w:noProof/>
          <w:lang w:val="en-GB"/>
        </w:rPr>
        <w:t>)</w:t>
      </w:r>
      <w:r w:rsidR="00EF281A" w:rsidRPr="003726FE">
        <w:rPr>
          <w:lang w:val="en-GB"/>
        </w:rPr>
        <w:fldChar w:fldCharType="end"/>
      </w:r>
      <w:r w:rsidRPr="003726FE">
        <w:rPr>
          <w:lang w:val="en-GB"/>
        </w:rPr>
        <w:t xml:space="preserve"> set a number of guidelines for giving feedback in clinical teaching</w:t>
      </w:r>
      <w:r w:rsidR="00DB3EEA" w:rsidRPr="003726FE">
        <w:rPr>
          <w:lang w:val="en-GB"/>
        </w:rPr>
        <w:t xml:space="preserve"> settings</w:t>
      </w:r>
      <w:r w:rsidRPr="003726FE">
        <w:rPr>
          <w:lang w:val="en-GB"/>
        </w:rPr>
        <w:t>. These included instruction</w:t>
      </w:r>
      <w:r w:rsidR="00755E8F" w:rsidRPr="003726FE">
        <w:rPr>
          <w:lang w:val="en-GB"/>
        </w:rPr>
        <w:t>s</w:t>
      </w:r>
      <w:r w:rsidRPr="003726FE">
        <w:rPr>
          <w:lang w:val="en-GB"/>
        </w:rPr>
        <w:t xml:space="preserve"> on w</w:t>
      </w:r>
      <w:r w:rsidR="00DB3EEA" w:rsidRPr="003726FE">
        <w:rPr>
          <w:lang w:val="en-GB"/>
        </w:rPr>
        <w:t>orking with students as ‘allies’</w:t>
      </w:r>
      <w:r w:rsidRPr="003726FE">
        <w:rPr>
          <w:lang w:val="en-GB"/>
        </w:rPr>
        <w:t xml:space="preserve"> and what the feedback giver should base their appraisal upon. A year later, </w:t>
      </w:r>
      <w:hyperlink w:anchor="_ENREF_321" w:tooltip="Pendleton, 1984 #885" w:history="1">
        <w:r w:rsidR="0094469E" w:rsidRPr="003726FE">
          <w:rPr>
            <w:lang w:val="en-GB"/>
          </w:rPr>
          <w:fldChar w:fldCharType="begin"/>
        </w:r>
        <w:r w:rsidR="0094469E">
          <w:rPr>
            <w:lang w:val="en-GB"/>
          </w:rPr>
          <w:instrText xml:space="preserve"> ADDIN EN.CITE &lt;EndNote&gt;&lt;Cite AuthorYear="1"&gt;&lt;Author&gt;Pendleton&lt;/Author&gt;&lt;Year&gt;1984&lt;/Year&gt;&lt;RecNum&gt;885&lt;/RecNum&gt;&lt;DisplayText&gt;Pendleton et al. (1984)&lt;/DisplayText&gt;&lt;record&gt;&lt;rec-number&gt;885&lt;/rec-number&gt;&lt;foreign-keys&gt;&lt;key app="EN" db-id="xa2r2ewea92trkef5dt5arvbzafvpv2za5ft" timestamp="1496417602"&gt;885&lt;/key&gt;&lt;/foreign-keys&gt;&lt;ref-type name="Book"&gt;6&lt;/ref-type&gt;&lt;contributors&gt;&lt;authors&gt;&lt;author&gt;Pendleton, David&lt;/author&gt;&lt;author&gt;Schofield, Theo&lt;/author&gt;&lt;author&gt;Tate, Peter&lt;/author&gt;&lt;author&gt;Havelock, Peter&lt;/author&gt;&lt;/authors&gt;&lt;/contributors&gt;&lt;titles&gt;&lt;title&gt;The consultation: an approach to learning and teaching&lt;/title&gt;&lt;short-title&gt;The consultation: an approach to learning and teaching&lt;/short-title&gt;&lt;/titles&gt;&lt;volume&gt;89&lt;/volume&gt;&lt;number&gt;Book, Whole&lt;/number&gt;&lt;dates&gt;&lt;year&gt;1984&lt;/year&gt;&lt;/dates&gt;&lt;publisher&gt;Oxford University Press Oxford&lt;/publisher&gt;&lt;urls&gt;&lt;/urls&gt;&lt;/record&gt;&lt;/Cite&gt;&lt;/EndNote&gt;</w:instrText>
        </w:r>
        <w:r w:rsidR="0094469E" w:rsidRPr="003726FE">
          <w:rPr>
            <w:lang w:val="en-GB"/>
          </w:rPr>
          <w:fldChar w:fldCharType="separate"/>
        </w:r>
        <w:r w:rsidR="0094469E" w:rsidRPr="003726FE">
          <w:rPr>
            <w:noProof/>
            <w:lang w:val="en-GB"/>
          </w:rPr>
          <w:t>Pendleton et al. (1984)</w:t>
        </w:r>
        <w:r w:rsidR="0094469E" w:rsidRPr="003726FE">
          <w:rPr>
            <w:lang w:val="en-GB"/>
          </w:rPr>
          <w:fldChar w:fldCharType="end"/>
        </w:r>
      </w:hyperlink>
      <w:r w:rsidRPr="003726FE">
        <w:rPr>
          <w:lang w:val="en-GB"/>
        </w:rPr>
        <w:t xml:space="preserve"> </w:t>
      </w:r>
      <w:r w:rsidR="00DB3EEA" w:rsidRPr="003726FE">
        <w:rPr>
          <w:lang w:val="en-GB"/>
        </w:rPr>
        <w:t>outlined</w:t>
      </w:r>
      <w:r w:rsidRPr="003726FE">
        <w:rPr>
          <w:lang w:val="en-GB"/>
        </w:rPr>
        <w:t xml:space="preserve"> how teachers could involve the learner by allowing them to participate in the feedback conversation and </w:t>
      </w:r>
      <w:r w:rsidR="0042250E">
        <w:rPr>
          <w:lang w:val="en-GB"/>
        </w:rPr>
        <w:t xml:space="preserve">to </w:t>
      </w:r>
      <w:r w:rsidRPr="003726FE">
        <w:rPr>
          <w:lang w:val="en-GB"/>
        </w:rPr>
        <w:t>input what they thought they did well and what they could improve upon. Their work was later formed into a structure (</w:t>
      </w:r>
      <w:r w:rsidR="00AE17C9" w:rsidRPr="003726FE">
        <w:rPr>
          <w:lang w:val="en-GB"/>
        </w:rPr>
        <w:t>Figure</w:t>
      </w:r>
      <w:r w:rsidRPr="003726FE">
        <w:rPr>
          <w:lang w:val="en-GB"/>
        </w:rPr>
        <w:t xml:space="preserve"> </w:t>
      </w:r>
      <w:r w:rsidR="00F66481" w:rsidRPr="003726FE">
        <w:rPr>
          <w:lang w:val="en-GB"/>
        </w:rPr>
        <w:t>A1.1</w:t>
      </w:r>
      <w:r w:rsidRPr="003726FE">
        <w:rPr>
          <w:lang w:val="en-GB"/>
        </w:rPr>
        <w:t xml:space="preserve">) </w:t>
      </w:r>
      <w:r w:rsidR="0042250E">
        <w:rPr>
          <w:lang w:val="en-GB"/>
        </w:rPr>
        <w:t>that</w:t>
      </w:r>
      <w:r w:rsidRPr="003726FE">
        <w:rPr>
          <w:lang w:val="en-GB"/>
        </w:rPr>
        <w:t xml:space="preserve"> soon became known as ‘Pendleton’s rules’ of feedback practice. Th</w:t>
      </w:r>
      <w:r w:rsidR="0042250E">
        <w:rPr>
          <w:lang w:val="en-GB"/>
        </w:rPr>
        <w:t>ere was an emphasis on positive,</w:t>
      </w:r>
      <w:r w:rsidRPr="003726FE">
        <w:rPr>
          <w:lang w:val="en-GB"/>
        </w:rPr>
        <w:t xml:space="preserve"> developmental feedback and encouraging the learner to reflect on their performance which represented the first time a feedback ‘conversation’ </w:t>
      </w:r>
      <w:r w:rsidR="00755E8F" w:rsidRPr="003726FE">
        <w:rPr>
          <w:lang w:val="en-GB"/>
        </w:rPr>
        <w:t xml:space="preserve">type </w:t>
      </w:r>
      <w:r w:rsidRPr="003726FE">
        <w:rPr>
          <w:lang w:val="en-GB"/>
        </w:rPr>
        <w:t xml:space="preserve">interaction was </w:t>
      </w:r>
      <w:r w:rsidR="00292B58">
        <w:rPr>
          <w:lang w:val="en-GB"/>
        </w:rPr>
        <w:t>encouraged</w:t>
      </w:r>
      <w:r w:rsidRPr="003726FE">
        <w:rPr>
          <w:lang w:val="en-GB"/>
        </w:rPr>
        <w:t>. However, this approach of feedback deliv</w:t>
      </w:r>
      <w:r w:rsidR="0042250E">
        <w:rPr>
          <w:lang w:val="en-GB"/>
        </w:rPr>
        <w:t>ery has since received scrutiny;</w:t>
      </w:r>
      <w:r w:rsidRPr="003726FE">
        <w:rPr>
          <w:lang w:val="en-GB"/>
        </w:rPr>
        <w:t xml:space="preserve"> being described as “too rigid, formulaic and predictable” to facilitate any meaningful discussion between the participants </w:t>
      </w:r>
      <w:r w:rsidR="00EF281A" w:rsidRPr="003726FE">
        <w:rPr>
          <w:lang w:val="en-GB"/>
        </w:rPr>
        <w:fldChar w:fldCharType="begin"/>
      </w:r>
      <w:r w:rsidR="008B61BE">
        <w:rPr>
          <w:lang w:val="en-GB"/>
        </w:rPr>
        <w:instrText xml:space="preserve"> ADDIN EN.CITE &lt;EndNote&gt;&lt;Cite&gt;&lt;Author&gt;Klaber&lt;/Author&gt;&lt;Year&gt;2012&lt;/Year&gt;&lt;RecNum&gt;912&lt;/RecNum&gt;&lt;Pages&gt;187&lt;/Pages&gt;&lt;DisplayText&gt;(Klaber 2012, p. 187)&lt;/DisplayText&gt;&lt;record&gt;&lt;rec-number&gt;912&lt;/rec-number&gt;&lt;foreign-keys&gt;&lt;key app="EN" db-id="xa2r2ewea92trkef5dt5arvbzafvpv2za5ft" timestamp="1496417605"&gt;912&lt;/key&gt;&lt;/foreign-keys&gt;&lt;ref-type name="Journal Article"&gt;17&lt;/ref-type&gt;&lt;contributors&gt;&lt;authors&gt;&lt;author&gt;Klaber, Bob&lt;/author&gt;&lt;/authors&gt;&lt;/contributors&gt;&lt;titles&gt;&lt;title&gt;Effective feedback: an essential skill&lt;/title&gt;&lt;secondary-title&gt;Postgraduate Medical Journal &lt;/secondary-title&gt;&lt;/titles&gt;&lt;periodical&gt;&lt;full-title&gt;Postgraduate medical journal&lt;/full-title&gt;&lt;/periodical&gt;&lt;pages&gt;187-188&lt;/pages&gt;&lt;volume&gt;88&lt;/volume&gt;&lt;dates&gt;&lt;year&gt;2012&lt;/year&gt;&lt;/dates&gt;&lt;urls&gt;&lt;/urls&gt;&lt;/record&gt;&lt;/Cite&gt;&lt;/EndNote&gt;</w:instrText>
      </w:r>
      <w:r w:rsidR="00EF281A" w:rsidRPr="003726FE">
        <w:rPr>
          <w:lang w:val="en-GB"/>
        </w:rPr>
        <w:fldChar w:fldCharType="separate"/>
      </w:r>
      <w:r w:rsidR="004E5A78" w:rsidRPr="003726FE">
        <w:rPr>
          <w:noProof/>
          <w:lang w:val="en-GB"/>
        </w:rPr>
        <w:t>(</w:t>
      </w:r>
      <w:hyperlink w:anchor="_ENREF_219" w:tooltip="Klaber, 2012 #912" w:history="1">
        <w:r w:rsidR="0094469E" w:rsidRPr="003726FE">
          <w:rPr>
            <w:noProof/>
            <w:lang w:val="en-GB"/>
          </w:rPr>
          <w:t>Klaber 2012, p. 187</w:t>
        </w:r>
      </w:hyperlink>
      <w:r w:rsidR="004E5A78" w:rsidRPr="003726FE">
        <w:rPr>
          <w:noProof/>
          <w:lang w:val="en-GB"/>
        </w:rPr>
        <w:t>)</w:t>
      </w:r>
      <w:r w:rsidR="00EF281A" w:rsidRPr="003726FE">
        <w:rPr>
          <w:lang w:val="en-GB"/>
        </w:rPr>
        <w:fldChar w:fldCharType="end"/>
      </w:r>
      <w:r w:rsidR="00DB3EEA" w:rsidRPr="003726FE">
        <w:rPr>
          <w:lang w:val="en-GB"/>
        </w:rPr>
        <w:t>.</w:t>
      </w:r>
      <w:r w:rsidRPr="003726FE">
        <w:rPr>
          <w:lang w:val="en-GB"/>
        </w:rPr>
        <w:tab/>
      </w:r>
    </w:p>
    <w:p w14:paraId="22591CDB" w14:textId="0D28AA32" w:rsidR="003F6B91" w:rsidRPr="003726FE" w:rsidRDefault="003F6B91" w:rsidP="00026049">
      <w:pPr>
        <w:pStyle w:val="Normal1"/>
        <w:rPr>
          <w:lang w:val="en-GB"/>
        </w:rPr>
      </w:pPr>
      <w:r w:rsidRPr="003726FE">
        <w:rPr>
          <w:noProof/>
          <w:lang w:val="en-GB" w:eastAsia="en-GB" w:bidi="ar-SA"/>
        </w:rPr>
        <w:lastRenderedPageBreak/>
        <w:drawing>
          <wp:anchor distT="0" distB="0" distL="114300" distR="114300" simplePos="0" relativeHeight="251830272" behindDoc="0" locked="0" layoutInCell="1" allowOverlap="1" wp14:anchorId="769F8352" wp14:editId="0FA9CFA7">
            <wp:simplePos x="0" y="0"/>
            <wp:positionH relativeFrom="column">
              <wp:posOffset>3175</wp:posOffset>
            </wp:positionH>
            <wp:positionV relativeFrom="paragraph">
              <wp:posOffset>201930</wp:posOffset>
            </wp:positionV>
            <wp:extent cx="5382895" cy="2373630"/>
            <wp:effectExtent l="0" t="0" r="52705" b="0"/>
            <wp:wrapTopAndBottom/>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4FB4C963" w14:textId="77777777" w:rsidR="003F6B91" w:rsidRPr="003726FE" w:rsidRDefault="003F6B91" w:rsidP="00026049">
      <w:pPr>
        <w:pStyle w:val="Normal1"/>
        <w:rPr>
          <w:lang w:val="en-GB"/>
        </w:rPr>
      </w:pPr>
    </w:p>
    <w:p w14:paraId="659EADE9" w14:textId="48AFE967" w:rsidR="003F6B91" w:rsidRPr="003726FE" w:rsidRDefault="00F66481" w:rsidP="00F66481">
      <w:pPr>
        <w:pStyle w:val="Caption"/>
      </w:pPr>
      <w:bookmarkStart w:id="112" w:name="_Toc487445393"/>
      <w:bookmarkStart w:id="113" w:name="_Toc487455220"/>
      <w:bookmarkStart w:id="114" w:name="_Toc500319531"/>
      <w:r w:rsidRPr="003726FE">
        <w:t>Figure A1.</w:t>
      </w:r>
      <w:fldSimple w:instr=" SEQ Figure_A1. \* ARABIC ">
        <w:r w:rsidR="00E44881">
          <w:rPr>
            <w:noProof/>
          </w:rPr>
          <w:t>1</w:t>
        </w:r>
      </w:fldSimple>
      <w:r w:rsidR="003F6B91" w:rsidRPr="003726FE">
        <w:t xml:space="preserve"> Pendleton’s rule</w:t>
      </w:r>
      <w:r w:rsidR="00885CB3">
        <w:t>s</w:t>
      </w:r>
      <w:r w:rsidR="003F6B91" w:rsidRPr="003726FE">
        <w:t xml:space="preserve"> of feedback practice</w:t>
      </w:r>
      <w:r w:rsidR="00885CB3">
        <w:t xml:space="preserve"> in sequence from left to right</w:t>
      </w:r>
      <w:r w:rsidR="003F6B91" w:rsidRPr="003726FE">
        <w:t xml:space="preserve">, </w:t>
      </w:r>
      <w:r w:rsidR="00885CB3">
        <w:t>information</w:t>
      </w:r>
      <w:r w:rsidR="003F6B91" w:rsidRPr="003726FE">
        <w:t xml:space="preserve"> from </w:t>
      </w:r>
      <w:hyperlink w:anchor="_ENREF_321" w:tooltip="Pendleton, 1984 #885" w:history="1">
        <w:r w:rsidR="0094469E" w:rsidRPr="003726FE">
          <w:fldChar w:fldCharType="begin"/>
        </w:r>
        <w:r w:rsidR="0094469E">
          <w:instrText xml:space="preserve"> ADDIN EN.CITE &lt;EndNote&gt;&lt;Cite AuthorYear="1"&gt;&lt;Author&gt;Pendleton&lt;/Author&gt;&lt;Year&gt;1984&lt;/Year&gt;&lt;RecNum&gt;885&lt;/RecNum&gt;&lt;DisplayText&gt;Pendleton et al. (1984)&lt;/DisplayText&gt;&lt;record&gt;&lt;rec-number&gt;885&lt;/rec-number&gt;&lt;foreign-keys&gt;&lt;key app="EN" db-id="xa2r2ewea92trkef5dt5arvbzafvpv2za5ft" timestamp="1496417602"&gt;885&lt;/key&gt;&lt;/foreign-keys&gt;&lt;ref-type name="Book"&gt;6&lt;/ref-type&gt;&lt;contributors&gt;&lt;authors&gt;&lt;author&gt;Pendleton, David&lt;/author&gt;&lt;author&gt;Schofield, Theo&lt;/author&gt;&lt;author&gt;Tate, Peter&lt;/author&gt;&lt;author&gt;Havelock, Peter&lt;/author&gt;&lt;/authors&gt;&lt;/contributors&gt;&lt;titles&gt;&lt;title&gt;The consultation: an approach to learning and teaching&lt;/title&gt;&lt;short-title&gt;The consultation: an approach to learning and teaching&lt;/short-title&gt;&lt;/titles&gt;&lt;volume&gt;89&lt;/volume&gt;&lt;number&gt;Book, Whole&lt;/number&gt;&lt;dates&gt;&lt;year&gt;1984&lt;/year&gt;&lt;/dates&gt;&lt;publisher&gt;Oxford University Press Oxford&lt;/publisher&gt;&lt;urls&gt;&lt;/urls&gt;&lt;/record&gt;&lt;/Cite&gt;&lt;/EndNote&gt;</w:instrText>
        </w:r>
        <w:r w:rsidR="0094469E" w:rsidRPr="003726FE">
          <w:fldChar w:fldCharType="separate"/>
        </w:r>
        <w:r w:rsidR="0094469E" w:rsidRPr="003726FE">
          <w:rPr>
            <w:noProof/>
          </w:rPr>
          <w:t>Pendleton et al. (1984)</w:t>
        </w:r>
        <w:r w:rsidR="0094469E" w:rsidRPr="003726FE">
          <w:fldChar w:fldCharType="end"/>
        </w:r>
      </w:hyperlink>
      <w:bookmarkEnd w:id="112"/>
      <w:bookmarkEnd w:id="113"/>
      <w:r w:rsidR="00755E8F" w:rsidRPr="003726FE">
        <w:t>.</w:t>
      </w:r>
      <w:bookmarkEnd w:id="114"/>
    </w:p>
    <w:p w14:paraId="1382A069" w14:textId="77777777" w:rsidR="003F6B91" w:rsidRPr="003726FE" w:rsidRDefault="003F6B91" w:rsidP="00026049">
      <w:pPr>
        <w:pStyle w:val="Normal1"/>
        <w:rPr>
          <w:lang w:val="en-GB"/>
        </w:rPr>
      </w:pPr>
    </w:p>
    <w:p w14:paraId="3773D29C" w14:textId="73245B7C" w:rsidR="003F6B91" w:rsidRPr="003726FE" w:rsidRDefault="00DF2C1B" w:rsidP="00026049">
      <w:pPr>
        <w:pStyle w:val="Normal1"/>
        <w:rPr>
          <w:lang w:val="en-GB"/>
        </w:rPr>
      </w:pPr>
      <w:r w:rsidRPr="003726FE">
        <w:rPr>
          <w:lang w:val="en-GB"/>
        </w:rPr>
        <w:t>As a result, t</w:t>
      </w:r>
      <w:r w:rsidR="003F6B91" w:rsidRPr="003726FE">
        <w:rPr>
          <w:lang w:val="en-GB"/>
        </w:rPr>
        <w:t xml:space="preserve">he </w:t>
      </w:r>
      <w:r w:rsidR="00DC6BDA" w:rsidRPr="003726FE">
        <w:rPr>
          <w:lang w:val="en-GB"/>
        </w:rPr>
        <w:t>assumption</w:t>
      </w:r>
      <w:r w:rsidR="003F6B91" w:rsidRPr="003726FE">
        <w:rPr>
          <w:lang w:val="en-GB"/>
        </w:rPr>
        <w:t xml:space="preserve"> has been that the amount of effort put into the production and delivery of feedback will translate to performance benefits </w:t>
      </w:r>
      <w:r w:rsidR="00EF281A" w:rsidRPr="003726FE">
        <w:rPr>
          <w:lang w:val="en-GB"/>
        </w:rPr>
        <w:fldChar w:fldCharType="begin"/>
      </w:r>
      <w:r w:rsidR="008B61BE">
        <w:rPr>
          <w:lang w:val="en-GB"/>
        </w:rPr>
        <w:instrText xml:space="preserve"> ADDIN EN.CITE &lt;EndNote&gt;&lt;Cite&gt;&lt;Author&gt;Sadler&lt;/Author&gt;&lt;Year&gt;2010&lt;/Year&gt;&lt;RecNum&gt;832&lt;/RecNum&gt;&lt;DisplayText&gt;(Sadler 2010)&lt;/DisplayText&gt;&lt;record&gt;&lt;rec-number&gt;832&lt;/rec-number&gt;&lt;foreign-keys&gt;&lt;key app="EN" db-id="xa2r2ewea92trkef5dt5arvbzafvpv2za5ft" timestamp="1496417597"&gt;832&lt;/key&gt;&lt;/foreign-keys&gt;&lt;ref-type name="Journal Article"&gt;17&lt;/ref-type&gt;&lt;contributors&gt;&lt;authors&gt;&lt;author&gt;Sadler, D Royce&lt;/author&gt;&lt;/authors&gt;&lt;/contributors&gt;&lt;titles&gt;&lt;title&gt;Beyond feedback: Developing student capability in complex appraisal&lt;/title&gt;&lt;secondary-title&gt;Assessment &amp;amp; Evaluation in Higher Education&lt;/secondary-title&gt;&lt;/titles&gt;&lt;periodical&gt;&lt;full-title&gt;Assessment &amp;amp; Evaluation in Higher Education&lt;/full-title&gt;&lt;/periodical&gt;&lt;pages&gt;535-550&lt;/pages&gt;&lt;volume&gt;35&lt;/volume&gt;&lt;number&gt;5&lt;/number&gt;&lt;dates&gt;&lt;year&gt;2010&lt;/year&gt;&lt;/dates&gt;&lt;isbn&gt;0260-2938&lt;/isbn&gt;&lt;urls&gt;&lt;/urls&gt;&lt;/record&gt;&lt;/Cite&gt;&lt;/EndNote&gt;</w:instrText>
      </w:r>
      <w:r w:rsidR="00EF281A" w:rsidRPr="003726FE">
        <w:rPr>
          <w:lang w:val="en-GB"/>
        </w:rPr>
        <w:fldChar w:fldCharType="separate"/>
      </w:r>
      <w:r w:rsidR="004E5A78" w:rsidRPr="003726FE">
        <w:rPr>
          <w:noProof/>
          <w:lang w:val="en-GB"/>
        </w:rPr>
        <w:t>(</w:t>
      </w:r>
      <w:hyperlink w:anchor="_ENREF_354" w:tooltip="Sadler, 2010 #832" w:history="1">
        <w:r w:rsidR="0094469E" w:rsidRPr="003726FE">
          <w:rPr>
            <w:noProof/>
            <w:lang w:val="en-GB"/>
          </w:rPr>
          <w:t>Sadler 2010</w:t>
        </w:r>
      </w:hyperlink>
      <w:r w:rsidR="004E5A78" w:rsidRPr="003726FE">
        <w:rPr>
          <w:noProof/>
          <w:lang w:val="en-GB"/>
        </w:rPr>
        <w:t>)</w:t>
      </w:r>
      <w:r w:rsidR="00EF281A" w:rsidRPr="003726FE">
        <w:rPr>
          <w:lang w:val="en-GB"/>
        </w:rPr>
        <w:fldChar w:fldCharType="end"/>
      </w:r>
      <w:r w:rsidR="003F6B91" w:rsidRPr="003726FE">
        <w:rPr>
          <w:lang w:val="en-GB"/>
        </w:rPr>
        <w:t xml:space="preserve">. Research has concentrated on how feedback can be more effectively delivered </w:t>
      </w:r>
      <w:r w:rsidR="00EF281A" w:rsidRPr="003726FE">
        <w:rPr>
          <w:lang w:val="en-GB"/>
        </w:rPr>
        <w:fldChar w:fldCharType="begin">
          <w:fldData xml:space="preserve">PEVuZE5vdGU+PENpdGU+PEF1dGhvcj5OaWNvbDwvQXV0aG9yPjxZZWFyPjIwMDQ8L1llYXI+PFJl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</w:fldData>
        </w:fldChar>
      </w:r>
      <w:r w:rsidR="008B61BE">
        <w:rPr>
          <w:lang w:val="en-GB"/>
        </w:rPr>
        <w:instrText xml:space="preserve"> ADDIN EN.CITE </w:instrText>
      </w:r>
      <w:r w:rsidR="008B61BE">
        <w:rPr>
          <w:lang w:val="en-GB"/>
        </w:rPr>
        <w:fldChar w:fldCharType="begin">
          <w:fldData xml:space="preserve">PEVuZE5vdGU+PENpdGU+PEF1dGhvcj5OaWNvbDwvQXV0aG9yPjxZZWFyPjIwMDQ8L1llYXI+PFJl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301" w:tooltip="Nicol, 2004 #882" w:history="1">
        <w:r w:rsidR="0094469E" w:rsidRPr="003726FE">
          <w:rPr>
            <w:noProof/>
            <w:lang w:val="en-GB"/>
          </w:rPr>
          <w:t>Nicol and Macfarlane-Dick 2004</w:t>
        </w:r>
      </w:hyperlink>
      <w:r w:rsidR="004E5A78" w:rsidRPr="003726FE">
        <w:rPr>
          <w:noProof/>
          <w:lang w:val="en-GB"/>
        </w:rPr>
        <w:t xml:space="preserve">; </w:t>
      </w:r>
      <w:hyperlink w:anchor="_ENREF_302" w:tooltip="Nicol, 2006 #610" w:history="1">
        <w:r w:rsidR="0094469E" w:rsidRPr="003726FE">
          <w:rPr>
            <w:noProof/>
            <w:lang w:val="en-GB"/>
          </w:rPr>
          <w:t>Nicol and Macfarlane</w:t>
        </w:r>
        <w:r w:rsidR="0094469E" w:rsidRPr="003726FE">
          <w:rPr>
            <w:rFonts w:ascii="Cambria Math" w:hAnsi="Cambria Math" w:cs="Cambria Math"/>
            <w:noProof/>
            <w:lang w:val="en-GB"/>
          </w:rPr>
          <w:t>‐</w:t>
        </w:r>
        <w:r w:rsidR="0094469E" w:rsidRPr="003726FE">
          <w:rPr>
            <w:noProof/>
            <w:lang w:val="en-GB"/>
          </w:rPr>
          <w:t>Dick 2006</w:t>
        </w:r>
      </w:hyperlink>
      <w:r w:rsidR="004E5A78" w:rsidRPr="003726FE">
        <w:rPr>
          <w:noProof/>
          <w:lang w:val="en-GB"/>
        </w:rPr>
        <w:t xml:space="preserve">; </w:t>
      </w:r>
      <w:hyperlink w:anchor="_ENREF_194" w:tooltip="Hounsell, 2008 #913" w:history="1">
        <w:r w:rsidR="0094469E" w:rsidRPr="003726FE">
          <w:rPr>
            <w:noProof/>
            <w:lang w:val="en-GB"/>
          </w:rPr>
          <w:t>Hounsell et al. 2008</w:t>
        </w:r>
      </w:hyperlink>
      <w:r w:rsidR="004E5A78" w:rsidRPr="003726FE">
        <w:rPr>
          <w:noProof/>
          <w:lang w:val="en-GB"/>
        </w:rPr>
        <w:t>)</w:t>
      </w:r>
      <w:r w:rsidR="00EF281A" w:rsidRPr="003726FE">
        <w:rPr>
          <w:lang w:val="en-GB"/>
        </w:rPr>
        <w:fldChar w:fldCharType="end"/>
      </w:r>
      <w:r w:rsidR="003F6B91" w:rsidRPr="003726FE">
        <w:rPr>
          <w:lang w:val="en-GB"/>
        </w:rPr>
        <w:t>, resembling a simplistic ‘more must be better’ paradigm</w:t>
      </w:r>
      <w:r w:rsidR="00784BFB" w:rsidRPr="003726FE">
        <w:rPr>
          <w:lang w:val="en-GB"/>
        </w:rPr>
        <w:t>. However, previous research had already</w:t>
      </w:r>
      <w:r w:rsidR="003F6B91" w:rsidRPr="003726FE">
        <w:rPr>
          <w:lang w:val="en-GB"/>
        </w:rPr>
        <w:t xml:space="preserve"> found that students </w:t>
      </w:r>
      <w:r w:rsidR="00784BFB" w:rsidRPr="003726FE">
        <w:rPr>
          <w:lang w:val="en-GB"/>
        </w:rPr>
        <w:t>were</w:t>
      </w:r>
      <w:r w:rsidR="003F6B91" w:rsidRPr="003726FE">
        <w:rPr>
          <w:lang w:val="en-GB"/>
        </w:rPr>
        <w:t xml:space="preserve"> less likely to respond to this approach due to its linearity </w:t>
      </w:r>
      <w:r w:rsidR="00EF281A" w:rsidRPr="003726FE">
        <w:rPr>
          <w:lang w:val="en-GB"/>
        </w:rPr>
        <w:fldChar w:fldCharType="begin"/>
      </w:r>
      <w:r w:rsidR="008B61BE">
        <w:rPr>
          <w:lang w:val="en-GB"/>
        </w:rPr>
        <w:instrText xml:space="preserve"> ADDIN EN.CITE &lt;EndNote&gt;&lt;Cite&gt;&lt;Author&gt;Irby&lt;/Author&gt;&lt;Year&gt;1994&lt;/Year&gt;&lt;RecNum&gt;115&lt;/RecNum&gt;&lt;DisplayText&gt;(Irby 1994)&lt;/DisplayText&gt;&lt;record&gt;&lt;rec-number&gt;115&lt;/rec-number&gt;&lt;foreign-keys&gt;&lt;key app="EN" db-id="xa2r2ewea92trkef5dt5arvbzafvpv2za5ft" timestamp="1442161764"&gt;115&lt;/key&gt;&lt;/foreign-keys&gt;&lt;ref-type name="Journal Article"&gt;17&lt;/ref-type&gt;&lt;contributors&gt;&lt;authors&gt;&lt;author&gt;Irby, David M.&lt;/author&gt;&lt;/authors&gt;&lt;/contributors&gt;&lt;titles&gt;&lt;title&gt;What clinical teachers in medicine need to know&lt;/title&gt;&lt;secondary-title&gt;Academic medicine&lt;/secondary-title&gt;&lt;/titles&gt;&lt;periodical&gt;&lt;full-title&gt;Academic Medicine&lt;/full-title&gt;&lt;/periodical&gt;&lt;pages&gt;333-342&lt;/pages&gt;&lt;volume&gt;69&lt;/volume&gt;&lt;number&gt;5&lt;/number&gt;&lt;dates&gt;&lt;year&gt;1994&lt;/year&gt;&lt;/dates&gt;&lt;publisher&gt;LWW&lt;/publisher&gt;&lt;urls&gt;&lt;/urls&gt;&lt;/record&gt;&lt;/Cite&gt;&lt;/EndNote&gt;</w:instrText>
      </w:r>
      <w:r w:rsidR="00EF281A" w:rsidRPr="003726FE">
        <w:rPr>
          <w:lang w:val="en-GB"/>
        </w:rPr>
        <w:fldChar w:fldCharType="separate"/>
      </w:r>
      <w:r w:rsidR="004E5A78" w:rsidRPr="003726FE">
        <w:rPr>
          <w:noProof/>
          <w:lang w:val="en-GB"/>
        </w:rPr>
        <w:t>(</w:t>
      </w:r>
      <w:hyperlink w:anchor="_ENREF_199" w:tooltip="Irby, 1994 #115" w:history="1">
        <w:r w:rsidR="0094469E" w:rsidRPr="003726FE">
          <w:rPr>
            <w:noProof/>
            <w:lang w:val="en-GB"/>
          </w:rPr>
          <w:t>Irby 1994</w:t>
        </w:r>
      </w:hyperlink>
      <w:r w:rsidR="004E5A78" w:rsidRPr="003726FE">
        <w:rPr>
          <w:noProof/>
          <w:lang w:val="en-GB"/>
        </w:rPr>
        <w:t>)</w:t>
      </w:r>
      <w:r w:rsidR="00EF281A" w:rsidRPr="003726FE">
        <w:rPr>
          <w:lang w:val="en-GB"/>
        </w:rPr>
        <w:fldChar w:fldCharType="end"/>
      </w:r>
      <w:r w:rsidR="000C154A">
        <w:rPr>
          <w:lang w:val="en-GB"/>
        </w:rPr>
        <w:t>.</w:t>
      </w:r>
    </w:p>
    <w:p w14:paraId="24387B97" w14:textId="77777777" w:rsidR="00A03641" w:rsidRPr="003726FE" w:rsidRDefault="00A03641" w:rsidP="00026049">
      <w:pPr>
        <w:pStyle w:val="Normal1"/>
        <w:rPr>
          <w:lang w:val="en-GB"/>
        </w:rPr>
      </w:pPr>
    </w:p>
    <w:p w14:paraId="3E987137" w14:textId="263FE9F9" w:rsidR="00A03641" w:rsidRPr="003726FE" w:rsidRDefault="00606D35" w:rsidP="00026049">
      <w:pPr>
        <w:pStyle w:val="Normal1"/>
        <w:rPr>
          <w:lang w:val="en-GB"/>
        </w:rPr>
      </w:pPr>
      <w:r w:rsidRPr="003726FE">
        <w:rPr>
          <w:lang w:val="en-GB"/>
        </w:rPr>
        <w:t xml:space="preserve">The expansive body of research on the effects of feedback over the last </w:t>
      </w:r>
      <w:r w:rsidR="000C154A">
        <w:rPr>
          <w:lang w:val="en-GB"/>
        </w:rPr>
        <w:t>century</w:t>
      </w:r>
      <w:r w:rsidRPr="003726FE">
        <w:rPr>
          <w:lang w:val="en-GB"/>
        </w:rPr>
        <w:t xml:space="preserve"> was synthesised by </w:t>
      </w:r>
      <w:hyperlink w:anchor="_ENREF_221" w:tooltip="Kluger, 1996 #134" w:history="1">
        <w:r w:rsidR="0094469E" w:rsidRPr="003726FE">
          <w:rPr>
            <w:lang w:val="en-GB"/>
          </w:rPr>
          <w:fldChar w:fldCharType="begin"/>
        </w:r>
        <w:r w:rsidR="0094469E">
          <w:rPr>
            <w:lang w:val="en-GB"/>
          </w:rPr>
          <w:instrText xml:space="preserve"> ADDIN EN.CITE &lt;EndNote&gt;&lt;Cite AuthorYear="1"&gt;&lt;Author&gt;Kluger&lt;/Author&gt;&lt;Year&gt;1996&lt;/Year&gt;&lt;RecNum&gt;134&lt;/RecNum&gt;&lt;DisplayText&gt;Kluger and DeNisi (1996)&lt;/DisplayText&gt;&lt;record&gt;&lt;rec-number&gt;134&lt;/rec-number&gt;&lt;foreign-keys&gt;&lt;key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Association&lt;/publisher&gt;&lt;urls&gt;&lt;/urls&gt;&lt;/record&gt;&lt;/Cite&gt;&lt;/EndNote&gt;</w:instrText>
        </w:r>
        <w:r w:rsidR="0094469E" w:rsidRPr="003726FE">
          <w:rPr>
            <w:lang w:val="en-GB"/>
          </w:rPr>
          <w:fldChar w:fldCharType="separate"/>
        </w:r>
        <w:r w:rsidR="0094469E" w:rsidRPr="003726FE">
          <w:rPr>
            <w:noProof/>
            <w:lang w:val="en-GB"/>
          </w:rPr>
          <w:t>Kluger and DeNisi (1996)</w:t>
        </w:r>
        <w:r w:rsidR="0094469E" w:rsidRPr="003726FE">
          <w:rPr>
            <w:lang w:val="en-GB"/>
          </w:rPr>
          <w:fldChar w:fldCharType="end"/>
        </w:r>
      </w:hyperlink>
      <w:r w:rsidR="00A03641" w:rsidRPr="003726FE">
        <w:rPr>
          <w:lang w:val="en-GB"/>
        </w:rPr>
        <w:t xml:space="preserve"> </w:t>
      </w:r>
      <w:r w:rsidRPr="003726FE">
        <w:rPr>
          <w:lang w:val="en-GB"/>
        </w:rPr>
        <w:t xml:space="preserve">who found that </w:t>
      </w:r>
      <w:r w:rsidR="004056B3" w:rsidRPr="003726FE">
        <w:rPr>
          <w:lang w:val="en-GB"/>
        </w:rPr>
        <w:t xml:space="preserve">feedback was not as universally beneficial as many other </w:t>
      </w:r>
      <w:r w:rsidR="00784BFB" w:rsidRPr="003726FE">
        <w:rPr>
          <w:lang w:val="en-GB"/>
        </w:rPr>
        <w:t>researchers thought at the time -</w:t>
      </w:r>
      <w:r w:rsidR="004056B3" w:rsidRPr="003726FE">
        <w:rPr>
          <w:lang w:val="en-GB"/>
        </w:rPr>
        <w:t xml:space="preserve"> in fact 38% of studies reported negative effects of feedback</w:t>
      </w:r>
      <w:r w:rsidR="00A03641" w:rsidRPr="003726FE">
        <w:rPr>
          <w:lang w:val="en-GB"/>
        </w:rPr>
        <w:t>.</w:t>
      </w:r>
      <w:r w:rsidR="004056B3" w:rsidRPr="003726FE">
        <w:rPr>
          <w:lang w:val="en-GB"/>
        </w:rPr>
        <w:t xml:space="preserve"> More recently, </w:t>
      </w:r>
      <w:hyperlink w:anchor="_ENREF_184" w:tooltip="Hattie, 2007 #109" w:history="1">
        <w:r w:rsidR="0094469E" w:rsidRPr="003726FE">
          <w:rPr>
            <w:lang w:val="en-GB"/>
          </w:rPr>
          <w:fldChar w:fldCharType="begin"/>
        </w:r>
        <w:r w:rsidR="0094469E">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94469E" w:rsidRPr="003726FE">
          <w:rPr>
            <w:lang w:val="en-GB"/>
          </w:rPr>
          <w:fldChar w:fldCharType="separate"/>
        </w:r>
        <w:r w:rsidR="0094469E" w:rsidRPr="003726FE">
          <w:rPr>
            <w:noProof/>
            <w:lang w:val="en-GB"/>
          </w:rPr>
          <w:t>Hattie and Timperley (2007)</w:t>
        </w:r>
        <w:r w:rsidR="0094469E" w:rsidRPr="003726FE">
          <w:rPr>
            <w:lang w:val="en-GB"/>
          </w:rPr>
          <w:fldChar w:fldCharType="end"/>
        </w:r>
      </w:hyperlink>
      <w:r w:rsidR="004056B3" w:rsidRPr="003726FE">
        <w:rPr>
          <w:lang w:val="en-GB"/>
        </w:rPr>
        <w:t xml:space="preserve"> re-examined the evidence on feedback and found that the variation of feedback mode and method of delivery can have a significant impact on </w:t>
      </w:r>
      <w:r w:rsidR="00DC6BDA" w:rsidRPr="003726FE">
        <w:rPr>
          <w:lang w:val="en-GB"/>
        </w:rPr>
        <w:t>its</w:t>
      </w:r>
      <w:r w:rsidR="004056B3" w:rsidRPr="003726FE">
        <w:rPr>
          <w:lang w:val="en-GB"/>
        </w:rPr>
        <w:t xml:space="preserve"> effectiveness. They also identified several gaps in the literature relating to how the learner perceives, understands, and uses feedback which had not been fully considered before. These gaps and their influencing factors are outlined </w:t>
      </w:r>
      <w:r w:rsidR="00292B58">
        <w:rPr>
          <w:lang w:val="en-GB"/>
        </w:rPr>
        <w:t>in this Chapter</w:t>
      </w:r>
      <w:r w:rsidR="004056B3" w:rsidRPr="003726FE">
        <w:rPr>
          <w:lang w:val="en-GB"/>
        </w:rPr>
        <w:t xml:space="preserve"> and are explored </w:t>
      </w:r>
      <w:r w:rsidR="003F7DE6" w:rsidRPr="003726FE">
        <w:rPr>
          <w:lang w:val="en-GB"/>
        </w:rPr>
        <w:t>qualitatively</w:t>
      </w:r>
      <w:r w:rsidR="004056B3" w:rsidRPr="003726FE">
        <w:rPr>
          <w:lang w:val="en-GB"/>
        </w:rPr>
        <w:t xml:space="preserve"> in this </w:t>
      </w:r>
      <w:r w:rsidR="00DC6BDA" w:rsidRPr="003726FE">
        <w:rPr>
          <w:lang w:val="en-GB"/>
        </w:rPr>
        <w:t>study</w:t>
      </w:r>
      <w:r w:rsidR="004056B3" w:rsidRPr="003726FE">
        <w:rPr>
          <w:lang w:val="en-GB"/>
        </w:rPr>
        <w:t xml:space="preserve"> (Chapter </w:t>
      </w:r>
      <w:r w:rsidR="00611B08" w:rsidRPr="003726FE">
        <w:rPr>
          <w:lang w:val="en-GB"/>
        </w:rPr>
        <w:t>C</w:t>
      </w:r>
      <w:r w:rsidR="004056B3" w:rsidRPr="003726FE">
        <w:rPr>
          <w:lang w:val="en-GB"/>
        </w:rPr>
        <w:t>2).</w:t>
      </w:r>
      <w:r w:rsidR="00A03641" w:rsidRPr="003726FE">
        <w:rPr>
          <w:lang w:val="en-GB"/>
        </w:rPr>
        <w:t xml:space="preserve"> </w:t>
      </w:r>
    </w:p>
    <w:p w14:paraId="61A9D37E" w14:textId="77777777" w:rsidR="00E67D39" w:rsidRDefault="00E67D39" w:rsidP="00026049">
      <w:pPr>
        <w:pStyle w:val="Normal1"/>
        <w:rPr>
          <w:lang w:val="en-GB"/>
        </w:rPr>
      </w:pPr>
    </w:p>
    <w:p w14:paraId="310D118F" w14:textId="77777777" w:rsidR="00292B58" w:rsidRPr="003726FE" w:rsidRDefault="00292B58" w:rsidP="00026049">
      <w:pPr>
        <w:pStyle w:val="Normal1"/>
        <w:rPr>
          <w:lang w:val="en-GB"/>
        </w:rPr>
      </w:pPr>
    </w:p>
    <w:p w14:paraId="496F78DF" w14:textId="3BCD7F75" w:rsidR="00C40771" w:rsidRPr="003726FE" w:rsidRDefault="00E67D39" w:rsidP="00BA4521">
      <w:pPr>
        <w:pStyle w:val="Heading3"/>
      </w:pPr>
      <w:bookmarkStart w:id="115" w:name="_Toc500319313"/>
      <w:r w:rsidRPr="003726FE">
        <w:lastRenderedPageBreak/>
        <w:t>A1.1.2</w:t>
      </w:r>
      <w:r w:rsidR="00C40771" w:rsidRPr="003726FE">
        <w:t xml:space="preserve"> </w:t>
      </w:r>
      <w:r w:rsidRPr="003726FE">
        <w:t xml:space="preserve">Perceptions and </w:t>
      </w:r>
      <w:r w:rsidR="00341B7E">
        <w:t>I</w:t>
      </w:r>
      <w:r w:rsidRPr="003726FE">
        <w:t xml:space="preserve">nfluencers of </w:t>
      </w:r>
      <w:r w:rsidR="00341B7E">
        <w:t>F</w:t>
      </w:r>
      <w:r w:rsidRPr="003726FE">
        <w:t>eedback</w:t>
      </w:r>
      <w:bookmarkEnd w:id="115"/>
    </w:p>
    <w:p w14:paraId="58C645C5" w14:textId="77777777" w:rsidR="00C40771" w:rsidRPr="003726FE" w:rsidRDefault="00C40771" w:rsidP="00026049">
      <w:pPr>
        <w:pStyle w:val="Normal1"/>
        <w:rPr>
          <w:lang w:val="en-GB"/>
        </w:rPr>
      </w:pPr>
    </w:p>
    <w:p w14:paraId="39FA58FA" w14:textId="3B986AF0" w:rsidR="00784BFB" w:rsidRPr="003726FE" w:rsidRDefault="00C6465A" w:rsidP="00026049">
      <w:pPr>
        <w:pStyle w:val="Normal1"/>
        <w:rPr>
          <w:lang w:val="en-GB"/>
        </w:rPr>
      </w:pPr>
      <w:r w:rsidRPr="003726FE">
        <w:rPr>
          <w:lang w:val="en-GB"/>
        </w:rPr>
        <w:t>Every medical educator must consider a key question when engaging with the feedback process: H</w:t>
      </w:r>
      <w:r w:rsidR="00A03641" w:rsidRPr="003726FE">
        <w:rPr>
          <w:lang w:val="en-GB"/>
        </w:rPr>
        <w:t>o</w:t>
      </w:r>
      <w:r w:rsidRPr="003726FE">
        <w:rPr>
          <w:lang w:val="en-GB"/>
        </w:rPr>
        <w:t xml:space="preserve">w is </w:t>
      </w:r>
      <w:r w:rsidR="00784BFB" w:rsidRPr="003726FE">
        <w:rPr>
          <w:lang w:val="en-GB"/>
        </w:rPr>
        <w:t>the</w:t>
      </w:r>
      <w:r w:rsidRPr="003726FE">
        <w:rPr>
          <w:lang w:val="en-GB"/>
        </w:rPr>
        <w:t xml:space="preserve"> feedback</w:t>
      </w:r>
      <w:r w:rsidR="00784BFB" w:rsidRPr="003726FE">
        <w:rPr>
          <w:lang w:val="en-GB"/>
        </w:rPr>
        <w:t xml:space="preserve"> I give</w:t>
      </w:r>
      <w:r w:rsidRPr="003726FE">
        <w:rPr>
          <w:lang w:val="en-GB"/>
        </w:rPr>
        <w:t xml:space="preserve"> recognised,</w:t>
      </w:r>
      <w:r w:rsidR="00A03641" w:rsidRPr="003726FE">
        <w:rPr>
          <w:lang w:val="en-GB"/>
        </w:rPr>
        <w:t xml:space="preserve"> understood</w:t>
      </w:r>
      <w:r w:rsidRPr="003726FE">
        <w:rPr>
          <w:lang w:val="en-GB"/>
        </w:rPr>
        <w:t>, and used by my</w:t>
      </w:r>
      <w:r w:rsidR="00A03641" w:rsidRPr="003726FE">
        <w:rPr>
          <w:lang w:val="en-GB"/>
        </w:rPr>
        <w:t xml:space="preserve"> student</w:t>
      </w:r>
      <w:r w:rsidRPr="003726FE">
        <w:rPr>
          <w:lang w:val="en-GB"/>
        </w:rPr>
        <w:t>s</w:t>
      </w:r>
      <w:r w:rsidR="00A03641" w:rsidRPr="003726FE">
        <w:rPr>
          <w:lang w:val="en-GB"/>
        </w:rPr>
        <w:t xml:space="preserve">? </w:t>
      </w:r>
      <w:r w:rsidR="00EF281A" w:rsidRPr="003726FE">
        <w:rPr>
          <w:lang w:val="en-GB"/>
        </w:rPr>
        <w:fldChar w:fldCharType="begin"/>
      </w:r>
      <w:r w:rsidR="008B61BE">
        <w:rPr>
          <w:lang w:val="en-GB"/>
        </w:rPr>
        <w:instrText xml:space="preserve"> ADDIN EN.CITE &lt;EndNote&gt;&lt;Cite&gt;&lt;Author&gt;Higgins&lt;/Author&gt;&lt;Year&gt;2001&lt;/Year&gt;&lt;RecNum&gt;871&lt;/RecNum&gt;&lt;DisplayText&gt;(Higgins et al. 2001)&lt;/DisplayText&gt;&lt;record&gt;&lt;rec-number&gt;871&lt;/rec-number&gt;&lt;foreign-keys&gt;&lt;key app="EN" db-id="xa2r2ewea92trkef5dt5arvbzafvpv2za5ft" timestamp="1496417601"&gt;871&lt;/key&gt;&lt;/foreign-keys&gt;&lt;ref-type name="Journal Article"&gt;17&lt;/ref-type&gt;&lt;contributors&gt;&lt;authors&gt;&lt;author&gt;Higgins, Richard&lt;/author&gt;&lt;author&gt;Hartley, Peter&lt;/author&gt;&lt;author&gt;Skelton, Alan&lt;/author&gt;&lt;/authors&gt;&lt;/contributors&gt;&lt;titles&gt;&lt;title&gt;Getting the message across: the problem of communicating assessment feedback&lt;/title&gt;&lt;secondary-title&gt;Teaching in higher education&lt;/secondary-title&gt;&lt;short-title&gt;Getting the message across: the problem of communicating assessment feedback&lt;/short-title&gt;&lt;/titles&gt;&lt;periodical&gt;&lt;full-title&gt;Teaching in higher education&lt;/full-title&gt;&lt;/periodical&gt;&lt;pages&gt;269-274&lt;/pages&gt;&lt;volume&gt;6&lt;/volume&gt;&lt;number&gt;2&lt;/number&gt;&lt;dates&gt;&lt;year&gt;2001&lt;/year&gt;&lt;/dates&gt;&lt;urls&gt;&lt;/urls&gt;&lt;/record&gt;&lt;/Cite&gt;&lt;/EndNote&gt;</w:instrText>
      </w:r>
      <w:r w:rsidR="00EF281A" w:rsidRPr="003726FE">
        <w:rPr>
          <w:lang w:val="en-GB"/>
        </w:rPr>
        <w:fldChar w:fldCharType="separate"/>
      </w:r>
      <w:r w:rsidR="004E5A78" w:rsidRPr="003726FE">
        <w:rPr>
          <w:noProof/>
          <w:lang w:val="en-GB"/>
        </w:rPr>
        <w:t>(</w:t>
      </w:r>
      <w:hyperlink w:anchor="_ENREF_188" w:tooltip="Higgins, 2001 #871" w:history="1">
        <w:r w:rsidR="0094469E" w:rsidRPr="003726FE">
          <w:rPr>
            <w:noProof/>
            <w:lang w:val="en-GB"/>
          </w:rPr>
          <w:t>Higgins et al. 2001</w:t>
        </w:r>
      </w:hyperlink>
      <w:r w:rsidR="004E5A78" w:rsidRPr="003726FE">
        <w:rPr>
          <w:noProof/>
          <w:lang w:val="en-GB"/>
        </w:rPr>
        <w:t>)</w:t>
      </w:r>
      <w:r w:rsidR="00EF281A" w:rsidRPr="003726FE">
        <w:rPr>
          <w:lang w:val="en-GB"/>
        </w:rPr>
        <w:fldChar w:fldCharType="end"/>
      </w:r>
      <w:r w:rsidR="00A03641" w:rsidRPr="003726FE">
        <w:rPr>
          <w:lang w:val="en-GB"/>
        </w:rPr>
        <w:t xml:space="preserve">. </w:t>
      </w:r>
      <w:r w:rsidR="006312B6">
        <w:rPr>
          <w:lang w:val="en-GB"/>
        </w:rPr>
        <w:t>The learner’s perception</w:t>
      </w:r>
      <w:r w:rsidR="00A73AB3" w:rsidRPr="003726FE">
        <w:rPr>
          <w:lang w:val="en-GB"/>
        </w:rPr>
        <w:t xml:space="preserve"> of feedback can be complex </w:t>
      </w:r>
      <w:r w:rsidR="00EF281A" w:rsidRPr="003726FE">
        <w:rPr>
          <w:lang w:val="en-GB"/>
        </w:rPr>
        <w:fldChar w:fldCharType="begin"/>
      </w:r>
      <w:r w:rsidR="008B61BE">
        <w:rPr>
          <w:lang w:val="en-GB"/>
        </w:rPr>
        <w:instrText xml:space="preserve"> ADDIN EN.CITE &lt;EndNote&gt;&lt;Cite&gt;&lt;Author&gt;Murdoch</w:instrText>
      </w:r>
      <w:r w:rsidR="008B61BE">
        <w:rPr>
          <w:rFonts w:ascii="Cambria Math" w:hAnsi="Cambria Math" w:cs="Cambria Math"/>
          <w:lang w:val="en-GB"/>
        </w:rPr>
        <w:instrText>‐</w:instrText>
      </w:r>
      <w:r w:rsidR="008B61BE">
        <w:rPr>
          <w:lang w:val="en-GB"/>
        </w:rPr>
        <w:instrText>Eaton&lt;/Author&gt;&lt;Year&gt;2012&lt;/Year&gt;&lt;RecNum&gt;178&lt;/RecNum&gt;&lt;DisplayText&gt;(Murdoch</w:instrText>
      </w:r>
      <w:r w:rsidR="008B61BE">
        <w:rPr>
          <w:rFonts w:ascii="Cambria Math" w:hAnsi="Cambria Math" w:cs="Cambria Math"/>
          <w:lang w:val="en-GB"/>
        </w:rPr>
        <w:instrText>‐</w:instrText>
      </w:r>
      <w:r w:rsidR="008B61BE">
        <w:rPr>
          <w:lang w:val="en-GB"/>
        </w:rPr>
        <w:instrText>Eaton 2012)&lt;/DisplayText&gt;&lt;record&gt;&lt;rec-number&gt;178&lt;/rec-number&gt;&lt;foreign-keys&gt;&lt;key app="EN" db-id="xa2r2ewea92trkef5dt5arvbzafvpv2za5ft" timestamp="1442161765"&gt;178&lt;/key&gt;&lt;/foreign-keys&gt;&lt;ref-type name="Journal Article"&gt;17&lt;/ref-type&gt;&lt;contributors&gt;&lt;authors&gt;&lt;author&gt;Murdoch</w:instrText>
      </w:r>
      <w:r w:rsidR="008B61BE">
        <w:rPr>
          <w:rFonts w:ascii="Cambria Math" w:hAnsi="Cambria Math" w:cs="Cambria Math"/>
          <w:lang w:val="en-GB"/>
        </w:rPr>
        <w:instrText>‐</w:instrText>
      </w:r>
      <w:r w:rsidR="008B61BE">
        <w:rPr>
          <w:lang w:val="en-GB"/>
        </w:rPr>
        <w:instrText>Eaton, Deborah&lt;/author&gt;&lt;/authors&gt;&lt;/contributors&gt;&lt;titles&gt;&lt;title&gt;Feedback: the complexity of self</w:instrText>
      </w:r>
      <w:r w:rsidR="008B61BE">
        <w:rPr>
          <w:rFonts w:ascii="Cambria Math" w:hAnsi="Cambria Math" w:cs="Cambria Math"/>
          <w:lang w:val="en-GB"/>
        </w:rPr>
        <w:instrText>‐</w:instrText>
      </w:r>
      <w:r w:rsidR="008B61BE">
        <w:rPr>
          <w:lang w:val="en-GB"/>
        </w:rPr>
        <w:instrText>perception and the transition from ‘transmit’to ‘received and understood’&lt;/title&gt;&lt;secondary-title&gt;Medical education&lt;/secondary-title&gt;&lt;/titles&gt;&lt;periodical&gt;&lt;full-title&gt;Medical education&lt;/full-title&gt;&lt;/periodical&gt;&lt;pages&gt;538-540&lt;/pages&gt;&lt;volume&gt;46&lt;/volume&gt;&lt;number&gt;6&lt;/number&gt;&lt;dates&gt;&lt;year&gt;2012&lt;/year&gt;&lt;/dates&gt;&lt;publisher&gt;Wiley Online Library&lt;/publisher&gt;&lt;urls&gt;&lt;/urls&gt;&lt;/record&gt;&lt;/Cite&gt;&lt;/EndNote&gt;</w:instrText>
      </w:r>
      <w:r w:rsidR="00EF281A" w:rsidRPr="003726FE">
        <w:rPr>
          <w:lang w:val="en-GB"/>
        </w:rPr>
        <w:fldChar w:fldCharType="separate"/>
      </w:r>
      <w:r w:rsidR="004E5A78" w:rsidRPr="003726FE">
        <w:rPr>
          <w:noProof/>
          <w:lang w:val="en-GB"/>
        </w:rPr>
        <w:t>(</w:t>
      </w:r>
      <w:hyperlink w:anchor="_ENREF_293" w:tooltip="Murdoch‐Eaton, 2012 #178" w:history="1">
        <w:r w:rsidR="0094469E" w:rsidRPr="003726FE">
          <w:rPr>
            <w:noProof/>
            <w:lang w:val="en-GB"/>
          </w:rPr>
          <w:t>Murdoch</w:t>
        </w:r>
        <w:r w:rsidR="0094469E" w:rsidRPr="003726FE">
          <w:rPr>
            <w:rFonts w:ascii="Cambria Math" w:hAnsi="Cambria Math" w:cs="Cambria Math"/>
            <w:noProof/>
            <w:lang w:val="en-GB"/>
          </w:rPr>
          <w:t>‐</w:t>
        </w:r>
        <w:r w:rsidR="0094469E" w:rsidRPr="003726FE">
          <w:rPr>
            <w:noProof/>
            <w:lang w:val="en-GB"/>
          </w:rPr>
          <w:t>Eaton 2012</w:t>
        </w:r>
      </w:hyperlink>
      <w:r w:rsidR="004E5A78" w:rsidRPr="003726FE">
        <w:rPr>
          <w:noProof/>
          <w:lang w:val="en-GB"/>
        </w:rPr>
        <w:t>)</w:t>
      </w:r>
      <w:r w:rsidR="00EF281A" w:rsidRPr="003726FE">
        <w:rPr>
          <w:lang w:val="en-GB"/>
        </w:rPr>
        <w:fldChar w:fldCharType="end"/>
      </w:r>
      <w:r w:rsidR="00A73AB3" w:rsidRPr="003726FE">
        <w:rPr>
          <w:lang w:val="en-GB"/>
        </w:rPr>
        <w:t xml:space="preserve"> </w:t>
      </w:r>
      <w:r w:rsidR="00EB6578">
        <w:rPr>
          <w:lang w:val="en-GB"/>
        </w:rPr>
        <w:t xml:space="preserve">and </w:t>
      </w:r>
      <w:r w:rsidR="00A73AB3" w:rsidRPr="003726FE">
        <w:rPr>
          <w:lang w:val="en-GB"/>
        </w:rPr>
        <w:t>understanding how learners use th</w:t>
      </w:r>
      <w:r w:rsidR="00784BFB" w:rsidRPr="003726FE">
        <w:rPr>
          <w:lang w:val="en-GB"/>
        </w:rPr>
        <w:t>e message for future learning can be</w:t>
      </w:r>
      <w:r w:rsidR="00A73AB3" w:rsidRPr="003726FE">
        <w:rPr>
          <w:lang w:val="en-GB"/>
        </w:rPr>
        <w:t xml:space="preserve"> equally </w:t>
      </w:r>
      <w:r w:rsidR="00606D35" w:rsidRPr="003726FE">
        <w:rPr>
          <w:lang w:val="en-GB"/>
        </w:rPr>
        <w:t xml:space="preserve">as </w:t>
      </w:r>
      <w:r w:rsidR="00A73AB3" w:rsidRPr="003726FE">
        <w:rPr>
          <w:lang w:val="en-GB"/>
        </w:rPr>
        <w:t xml:space="preserve">challenging </w:t>
      </w:r>
      <w:r w:rsidR="00EF281A" w:rsidRPr="003726FE">
        <w:rPr>
          <w:lang w:val="en-GB"/>
        </w:rPr>
        <w:fldChar w:fldCharType="begin"/>
      </w:r>
      <w:r w:rsidR="008B61BE">
        <w:rPr>
          <w:lang w:val="en-GB"/>
        </w:rPr>
        <w:instrText xml:space="preserve"> ADDIN EN.CITE &lt;EndNote&gt;&lt;Cite&gt;&lt;Author&gt;Telio&lt;/Author&gt;&lt;Year&gt;2014&lt;/Year&gt;&lt;RecNum&gt;250&lt;/RecNum&gt;&lt;DisplayText&gt;(Telio et al. 2014)&lt;/DisplayText&gt;&lt;record&gt;&lt;rec-number&gt;250&lt;/rec-number&gt;&lt;foreign-keys&gt;&lt;key app="EN" db-id="xa2r2ewea92trkef5dt5arvbzafvpv2za5ft" timestamp="1442161766"&gt;250&lt;/key&gt;&lt;/foreign-keys&gt;&lt;ref-type name="Journal Article"&gt;17&lt;/ref-type&gt;&lt;contributors&gt;&lt;authors&gt;&lt;author&gt;Telio, S.&lt;/author&gt;&lt;author&gt;Ajjawi, R.&lt;/author&gt;&lt;author&gt;Regehr, G.&lt;/author&gt;&lt;/authors&gt;&lt;/contributors&gt;&lt;auth-address&gt;Dr. Telio is clinical instructor, Department of Psychiatry, Faculty of Medicine, University of British Columbia, Vancouver, British Columbia, Canada. Dr. Ajjawi is senior lecturer in medical education, Centre for Medical Education, Medical Educa(TRUNCATED)&lt;/auth-address&gt;&lt;titles&gt;&lt;title&gt;The &amp;quot;Educational Alliance&amp;quot; as a Framework for Reconceptualizing Feedback in Medical Education&lt;/title&gt;&lt;secondary-title&gt;Academic medicine : journal of the Association of American Medical Colleges&lt;/secondary-title&gt;&lt;/titles&gt;&lt;periodical&gt;&lt;full-title&gt;Academic medicine : journal of the Association of American Medical Colleges&lt;/full-title&gt;&lt;/periodical&gt;&lt;dates&gt;&lt;year&gt;2014&lt;/year&gt;&lt;/dates&gt;&lt;isbn&gt;1938-808X; 1040-2446&lt;/isbn&gt;&lt;urls&gt;&lt;/urls&gt;&lt;electronic-resource-num&gt;10.1097/ACM.0000000000000560 [doi]&lt;/electronic-resource-num&gt;&lt;access-date&gt;Nov 18&lt;/access-date&gt;&lt;/record&gt;&lt;/Cite&gt;&lt;/EndNote&gt;</w:instrText>
      </w:r>
      <w:r w:rsidR="00EF281A" w:rsidRPr="003726FE">
        <w:rPr>
          <w:lang w:val="en-GB"/>
        </w:rPr>
        <w:fldChar w:fldCharType="separate"/>
      </w:r>
      <w:r w:rsidR="004E5A78" w:rsidRPr="003726FE">
        <w:rPr>
          <w:noProof/>
          <w:lang w:val="en-GB"/>
        </w:rPr>
        <w:t>(</w:t>
      </w:r>
      <w:hyperlink w:anchor="_ENREF_401" w:tooltip="Telio, 2014 #250" w:history="1">
        <w:r w:rsidR="0094469E" w:rsidRPr="003726FE">
          <w:rPr>
            <w:noProof/>
            <w:lang w:val="en-GB"/>
          </w:rPr>
          <w:t>Telio et al. 2014</w:t>
        </w:r>
      </w:hyperlink>
      <w:r w:rsidR="004E5A78" w:rsidRPr="003726FE">
        <w:rPr>
          <w:noProof/>
          <w:lang w:val="en-GB"/>
        </w:rPr>
        <w:t>)</w:t>
      </w:r>
      <w:r w:rsidR="00EF281A" w:rsidRPr="003726FE">
        <w:rPr>
          <w:lang w:val="en-GB"/>
        </w:rPr>
        <w:fldChar w:fldCharType="end"/>
      </w:r>
      <w:r w:rsidR="00A73AB3" w:rsidRPr="003726FE">
        <w:rPr>
          <w:lang w:val="en-GB"/>
        </w:rPr>
        <w:t xml:space="preserve">. Feedback practices used by medical educators are not always optimal </w:t>
      </w:r>
      <w:r w:rsidR="00EF281A" w:rsidRPr="003726FE">
        <w:rPr>
          <w:lang w:val="en-GB"/>
        </w:rPr>
        <w:fldChar w:fldCharType="begin"/>
      </w:r>
      <w:r w:rsidR="008B61BE">
        <w:rPr>
          <w:lang w:val="en-GB"/>
        </w:rPr>
        <w:instrText xml:space="preserve"> ADDIN EN.CITE &lt;EndNote&gt;&lt;Cite&gt;&lt;Author&gt;Bing-You&lt;/Author&gt;&lt;Year&gt;2009&lt;/Year&gt;&lt;RecNum&gt;13&lt;/RecNum&gt;&lt;DisplayText&gt;(Bing-You and Trowbridge 2009)&lt;/DisplayText&gt;&lt;record&gt;&lt;rec-number&gt;13&lt;/rec-number&gt;&lt;foreign-keys&gt;&lt;key app="EN" db-id="xa2r2ewea92trkef5dt5arvbzafvpv2za5ft" timestamp="1442161763"&gt;13&lt;/key&gt;&lt;/foreign-keys&gt;&lt;ref-type name="Journal Article"&gt;17&lt;/ref-type&gt;&lt;contributors&gt;&lt;authors&gt;&lt;author&gt;Bing-You, Robert G.&lt;/author&gt;&lt;author&gt;Trowbridge, Robert L.&lt;/author&gt;&lt;/authors&gt;&lt;/contributors&gt;&lt;titles&gt;&lt;title&gt;Why medical educators may be failing at feedback&lt;/title&gt;&lt;secondary-title&gt;JAMA&lt;/secondary-title&gt;&lt;/titles&gt;&lt;periodical&gt;&lt;full-title&gt;JAMA&lt;/full-title&gt;&lt;/periodical&gt;&lt;pages&gt;1330-1331&lt;/pages&gt;&lt;volume&gt;302&lt;/volume&gt;&lt;number&gt;12&lt;/number&gt;&lt;dates&gt;&lt;year&gt;2009&lt;/year&gt;&lt;/dates&gt;&lt;publisher&gt;American Medical Association&lt;/publisher&gt;&lt;urls&gt;&lt;related-urls&gt;&lt;url&gt;http://jama.jamanetwork.com/article.aspx?articleid=184609&lt;/url&gt;&lt;/related-urls&gt;&lt;/urls&gt;&lt;/record&gt;&lt;/Cite&gt;&lt;/EndNote&gt;</w:instrText>
      </w:r>
      <w:r w:rsidR="00EF281A" w:rsidRPr="003726FE">
        <w:rPr>
          <w:lang w:val="en-GB"/>
        </w:rPr>
        <w:fldChar w:fldCharType="separate"/>
      </w:r>
      <w:r w:rsidR="004E5A78" w:rsidRPr="003726FE">
        <w:rPr>
          <w:noProof/>
          <w:lang w:val="en-GB"/>
        </w:rPr>
        <w:t>(</w:t>
      </w:r>
      <w:hyperlink w:anchor="_ENREF_33" w:tooltip="Bing-You, 2009 #13" w:history="1">
        <w:r w:rsidR="0094469E" w:rsidRPr="003726FE">
          <w:rPr>
            <w:noProof/>
            <w:lang w:val="en-GB"/>
          </w:rPr>
          <w:t>Bing-You and Trowbridge 2009</w:t>
        </w:r>
      </w:hyperlink>
      <w:r w:rsidR="004E5A78" w:rsidRPr="003726FE">
        <w:rPr>
          <w:noProof/>
          <w:lang w:val="en-GB"/>
        </w:rPr>
        <w:t>)</w:t>
      </w:r>
      <w:r w:rsidR="00EF281A" w:rsidRPr="003726FE">
        <w:rPr>
          <w:lang w:val="en-GB"/>
        </w:rPr>
        <w:fldChar w:fldCharType="end"/>
      </w:r>
      <w:r w:rsidR="00A73AB3" w:rsidRPr="003726FE">
        <w:rPr>
          <w:lang w:val="en-GB"/>
        </w:rPr>
        <w:t xml:space="preserve"> and feedback interventions </w:t>
      </w:r>
      <w:r w:rsidR="00C61BAF">
        <w:rPr>
          <w:lang w:val="en-GB"/>
        </w:rPr>
        <w:t>can be</w:t>
      </w:r>
      <w:r w:rsidR="00A73AB3" w:rsidRPr="003726FE">
        <w:rPr>
          <w:lang w:val="en-GB"/>
        </w:rPr>
        <w:t xml:space="preserve"> ineffective for academic performance </w:t>
      </w:r>
      <w:r w:rsidR="00EF281A" w:rsidRPr="003726FE">
        <w:rPr>
          <w:lang w:val="en-GB"/>
        </w:rPr>
        <w:fldChar w:fldCharType="begin"/>
      </w:r>
      <w:r w:rsidR="008B61BE">
        <w:rPr>
          <w:lang w:val="en-GB"/>
        </w:rPr>
        <w:instrText xml:space="preserve"> ADDIN EN.CITE &lt;EndNote&gt;&lt;Cite&gt;&lt;Author&gt;Kluger&lt;/Author&gt;&lt;Year&gt;1996&lt;/Year&gt;&lt;RecNum&gt;134&lt;/RecNum&gt;&lt;DisplayText&gt;(Kluger and DeNisi 1996)&lt;/DisplayText&gt;&lt;record&gt;&lt;rec-number&gt;134&lt;/rec-number&gt;&lt;foreign-keys&gt;&lt;key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Association&lt;/publisher&gt;&lt;urls&gt;&lt;/urls&gt;&lt;/record&gt;&lt;/Cite&gt;&lt;/EndNote&gt;</w:instrText>
      </w:r>
      <w:r w:rsidR="00EF281A" w:rsidRPr="003726FE">
        <w:rPr>
          <w:lang w:val="en-GB"/>
        </w:rPr>
        <w:fldChar w:fldCharType="separate"/>
      </w:r>
      <w:r w:rsidR="004E5A78" w:rsidRPr="003726FE">
        <w:rPr>
          <w:noProof/>
          <w:lang w:val="en-GB"/>
        </w:rPr>
        <w:t>(</w:t>
      </w:r>
      <w:hyperlink w:anchor="_ENREF_221" w:tooltip="Kluger, 1996 #134" w:history="1">
        <w:r w:rsidR="0094469E" w:rsidRPr="003726FE">
          <w:rPr>
            <w:noProof/>
            <w:lang w:val="en-GB"/>
          </w:rPr>
          <w:t>Kluger and DeNisi 1996</w:t>
        </w:r>
      </w:hyperlink>
      <w:r w:rsidR="004E5A78" w:rsidRPr="003726FE">
        <w:rPr>
          <w:noProof/>
          <w:lang w:val="en-GB"/>
        </w:rPr>
        <w:t>)</w:t>
      </w:r>
      <w:r w:rsidR="00EF281A" w:rsidRPr="003726FE">
        <w:rPr>
          <w:lang w:val="en-GB"/>
        </w:rPr>
        <w:fldChar w:fldCharType="end"/>
      </w:r>
      <w:r w:rsidR="00A73AB3" w:rsidRPr="003726FE">
        <w:rPr>
          <w:lang w:val="en-GB"/>
        </w:rPr>
        <w:t xml:space="preserve"> and behaviour change </w:t>
      </w:r>
      <w:r w:rsidR="00EB6578">
        <w:rPr>
          <w:lang w:val="en-GB"/>
        </w:rPr>
        <w:fldChar w:fldCharType="begin"/>
      </w:r>
      <w:r w:rsidR="008B61BE">
        <w:rPr>
          <w:lang w:val="en-GB"/>
        </w:rPr>
        <w:instrText xml:space="preserve"> ADDIN EN.CITE &lt;EndNote&gt;&lt;Cite&gt;&lt;Author&gt;Boehler&lt;/Author&gt;&lt;Year&gt;2006&lt;/Year&gt;&lt;RecNum&gt;15&lt;/RecNum&gt;&lt;DisplayText&gt;(Boehler et al. 2006)&lt;/DisplayText&gt;&lt;record&gt;&lt;rec-number&gt;15&lt;/rec-number&gt;&lt;foreign-keys&gt;&lt;key app="EN" db-id="xa2r2ewea92trkef5dt5arvbzafvpv2za5ft" timestamp="1442161763"&gt;15&lt;/key&gt;&lt;/foreign-keys&gt;&lt;ref-type name="Journal Article"&gt;17&lt;/ref-type&gt;&lt;contributors&gt;&lt;authors&gt;&lt;author&gt;Boehler, Margaret L.&lt;/author&gt;&lt;author&gt;Rogers, David A.&lt;/author&gt;&lt;author&gt;Schwind, Cathy J.&lt;/author&gt;&lt;author&gt;Mayforth, Ruth&lt;/author&gt;&lt;author&gt;Quin, Jacquelyn&lt;/author&gt;&lt;author&gt;Williams, Reed G.&lt;/author&gt;&lt;author&gt;Dunnington, Gary&lt;/author&gt;&lt;/authors&gt;&lt;/contributors&gt;&lt;titles&gt;&lt;title&gt;An investigation of medical student reactions to feedback: a randomised controlled trial&lt;/title&gt;&lt;secondary-title&gt;Medical education&lt;/secondary-title&gt;&lt;/titles&gt;&lt;periodical&gt;&lt;full-title&gt;Medical education&lt;/full-title&gt;&lt;/periodical&gt;&lt;pages&gt;746-749&lt;/pages&gt;&lt;volume&gt;40&lt;/volume&gt;&lt;number&gt;8&lt;/number&gt;&lt;dates&gt;&lt;year&gt;2006&lt;/year&gt;&lt;/dates&gt;&lt;publisher&gt;Wiley Online Library&lt;/publisher&gt;&lt;urls&gt;&lt;related-urls&gt;&lt;url&gt;http://onlinelibrary.wiley.com/doi/10.1111/j.1365-2929.2006.02503.x/abstract&lt;/url&gt;&lt;/related-urls&gt;&lt;/urls&gt;&lt;/record&gt;&lt;/Cite&gt;&lt;/EndNote&gt;</w:instrText>
      </w:r>
      <w:r w:rsidR="00EB6578">
        <w:rPr>
          <w:lang w:val="en-GB"/>
        </w:rPr>
        <w:fldChar w:fldCharType="separate"/>
      </w:r>
      <w:r w:rsidR="00EB6578">
        <w:rPr>
          <w:noProof/>
          <w:lang w:val="en-GB"/>
        </w:rPr>
        <w:t>(</w:t>
      </w:r>
      <w:hyperlink w:anchor="_ENREF_38" w:tooltip="Boehler, 2006 #15" w:history="1">
        <w:r w:rsidR="0094469E">
          <w:rPr>
            <w:noProof/>
            <w:lang w:val="en-GB"/>
          </w:rPr>
          <w:t>Boehler et al. 2006</w:t>
        </w:r>
      </w:hyperlink>
      <w:r w:rsidR="00EB6578">
        <w:rPr>
          <w:noProof/>
          <w:lang w:val="en-GB"/>
        </w:rPr>
        <w:t>)</w:t>
      </w:r>
      <w:r w:rsidR="00EB6578">
        <w:rPr>
          <w:lang w:val="en-GB"/>
        </w:rPr>
        <w:fldChar w:fldCharType="end"/>
      </w:r>
      <w:r w:rsidR="00A73AB3" w:rsidRPr="003726FE">
        <w:rPr>
          <w:lang w:val="en-GB"/>
        </w:rPr>
        <w:t xml:space="preserve">. </w:t>
      </w:r>
      <w:r w:rsidRPr="003726FE">
        <w:rPr>
          <w:lang w:val="en-GB"/>
        </w:rPr>
        <w:t xml:space="preserve">Research on the effectiveness of conventional teaching practices has revealed that feedback may not have a significant impact on students’ future learning due to key underlying factors, </w:t>
      </w:r>
      <w:r w:rsidR="0021662A">
        <w:rPr>
          <w:lang w:val="en-GB"/>
        </w:rPr>
        <w:t>including</w:t>
      </w:r>
      <w:r w:rsidRPr="003726FE">
        <w:rPr>
          <w:lang w:val="en-GB"/>
        </w:rPr>
        <w:t>:</w:t>
      </w:r>
      <w:r w:rsidR="00A73AB3" w:rsidRPr="003726FE">
        <w:rPr>
          <w:lang w:val="en-GB"/>
        </w:rPr>
        <w:t xml:space="preserve"> credibility of the giver </w:t>
      </w:r>
      <w:r w:rsidR="00782498">
        <w:rPr>
          <w:lang w:val="en-GB"/>
        </w:rPr>
        <w:fldChar w:fldCharType="begin"/>
      </w:r>
      <w:r w:rsidR="008443D6">
        <w:rPr>
          <w:lang w:val="en-GB"/>
        </w:rPr>
        <w:instrText xml:space="preserve"> ADDIN EN.CITE &lt;EndNote&gt;&lt;Cite&gt;&lt;Author&gt;Van de Ridder&lt;/Author&gt;&lt;Year&gt;2014&lt;/Year&gt;&lt;RecNum&gt;524&lt;/RecNum&gt;&lt;DisplayText&gt;(Van de Ridder et al. 2014)&lt;/DisplayText&gt;&lt;record&gt;&lt;rec-number&gt;524&lt;/rec-number&gt;&lt;foreign-keys&gt;&lt;key app="EN" db-id="xa2r2ewea92trkef5dt5arvbzafvpv2za5ft" timestamp="1496417551"&gt;524&lt;/key&gt;&lt;/foreign-keys&gt;&lt;ref-type name="Journal Article"&gt;17&lt;/ref-type&gt;&lt;contributors&gt;&lt;authors&gt;&lt;author&gt;Van de Ridder, J. M. Monica&lt;/author&gt;&lt;author&gt;Berk, Francisca C. J.&lt;/author&gt;&lt;author&gt;Stokking, Karel M.&lt;/author&gt;&lt;author&gt;Ten Cate, Olle Th J.&lt;/author&gt;&lt;/authors&gt;&lt;/contributors&gt;&lt;titles&gt;&lt;title&gt;Feedback providers&amp;apos; credibility impacts students&amp;apos; satisfaction with feedback and delayed performance&lt;/title&gt;&lt;secondary-title&gt;Medical teacher&lt;/secondary-title&gt;&lt;/titles&gt;&lt;periodical&gt;&lt;full-title&gt;Medical teacher&lt;/full-title&gt;&lt;/periodical&gt;&lt;pages&gt;1-8&lt;/pages&gt;&lt;volume&gt;37&lt;/volume&gt;&lt;number&gt;8&lt;/number&gt;&lt;dates&gt;&lt;year&gt;2014&lt;/year&gt;&lt;/dates&gt;&lt;publisher&gt;Informa UK Ltd. London&lt;/publisher&gt;&lt;urls&gt;&lt;/urls&gt;&lt;/record&gt;&lt;/Cite&gt;&lt;/EndNote&gt;</w:instrText>
      </w:r>
      <w:r w:rsidR="00782498">
        <w:rPr>
          <w:lang w:val="en-GB"/>
        </w:rPr>
        <w:fldChar w:fldCharType="separate"/>
      </w:r>
      <w:r w:rsidR="00782498">
        <w:rPr>
          <w:noProof/>
          <w:lang w:val="en-GB"/>
        </w:rPr>
        <w:t>(</w:t>
      </w:r>
      <w:hyperlink w:anchor="_ENREF_415" w:tooltip="Van de Ridder, 2014 #524" w:history="1">
        <w:r w:rsidR="0094469E">
          <w:rPr>
            <w:noProof/>
            <w:lang w:val="en-GB"/>
          </w:rPr>
          <w:t>Van de Ridder et al. 2014</w:t>
        </w:r>
      </w:hyperlink>
      <w:r w:rsidR="00782498">
        <w:rPr>
          <w:noProof/>
          <w:lang w:val="en-GB"/>
        </w:rPr>
        <w:t>)</w:t>
      </w:r>
      <w:r w:rsidR="00782498">
        <w:rPr>
          <w:lang w:val="en-GB"/>
        </w:rPr>
        <w:fldChar w:fldCharType="end"/>
      </w:r>
      <w:r w:rsidR="00A73AB3" w:rsidRPr="003726FE">
        <w:rPr>
          <w:lang w:val="en-GB"/>
        </w:rPr>
        <w:t xml:space="preserve">, timing of the feedback </w:t>
      </w:r>
      <w:r w:rsidR="00EB6578">
        <w:rPr>
          <w:lang w:val="en-GB"/>
        </w:rPr>
        <w:fldChar w:fldCharType="begin"/>
      </w:r>
      <w:r w:rsidR="008B61BE">
        <w:rPr>
          <w:lang w:val="en-GB"/>
        </w:rPr>
        <w:instrText xml:space="preserve"> ADDIN EN.CITE &lt;EndNote&gt;&lt;Cite&gt;&lt;Author&gt;Huxham&lt;/Author&gt;&lt;Year&gt;2007&lt;/Year&gt;&lt;RecNum&gt;113&lt;/RecNum&gt;&lt;DisplayText&gt;(Huxham 2007)&lt;/DisplayText&gt;&lt;record&gt;&lt;rec-number&gt;113&lt;/rec-number&gt;&lt;foreign-keys&gt;&lt;key app="EN" db-id="xa2r2ewea92trkef5dt5arvbzafvpv2za5ft" timestamp="1442161764"&gt;113&lt;/key&gt;&lt;/foreign-keys&gt;&lt;ref-type name="Journal Article"&gt;17&lt;/ref-type&gt;&lt;contributors&gt;&lt;authors&gt;&lt;author&gt;Huxham, Mark&lt;/author&gt;&lt;/authors&gt;&lt;/contributors&gt;&lt;titles&gt;&lt;title&gt;Fast and effective feedback: are model answers the answer?&lt;/title&gt;&lt;secondary-title&gt;Assessment &amp;amp; Evaluation in Higher Education&lt;/secondary-title&gt;&lt;/titles&gt;&lt;periodical&gt;&lt;full-title&gt;Assessment &amp;amp; Evaluation in Higher Education&lt;/full-title&gt;&lt;/periodical&gt;&lt;pages&gt;601-611&lt;/pages&gt;&lt;volume&gt;32&lt;/volume&gt;&lt;number&gt;6&lt;/number&gt;&lt;dates&gt;&lt;year&gt;2007&lt;/year&gt;&lt;/dates&gt;&lt;publisher&gt;Taylor &amp;amp; Francis&lt;/publisher&gt;&lt;urls&gt;&lt;/urls&gt;&lt;/record&gt;&lt;/Cite&gt;&lt;/EndNote&gt;</w:instrText>
      </w:r>
      <w:r w:rsidR="00EB6578">
        <w:rPr>
          <w:lang w:val="en-GB"/>
        </w:rPr>
        <w:fldChar w:fldCharType="separate"/>
      </w:r>
      <w:r w:rsidR="00EB6578">
        <w:rPr>
          <w:noProof/>
          <w:lang w:val="en-GB"/>
        </w:rPr>
        <w:t>(</w:t>
      </w:r>
      <w:hyperlink w:anchor="_ENREF_197" w:tooltip="Huxham, 2007 #113" w:history="1">
        <w:r w:rsidR="0094469E">
          <w:rPr>
            <w:noProof/>
            <w:lang w:val="en-GB"/>
          </w:rPr>
          <w:t>Huxham 2007</w:t>
        </w:r>
      </w:hyperlink>
      <w:r w:rsidR="00EB6578">
        <w:rPr>
          <w:noProof/>
          <w:lang w:val="en-GB"/>
        </w:rPr>
        <w:t>)</w:t>
      </w:r>
      <w:r w:rsidR="00EB6578">
        <w:rPr>
          <w:lang w:val="en-GB"/>
        </w:rPr>
        <w:fldChar w:fldCharType="end"/>
      </w:r>
      <w:r w:rsidR="00A73AB3" w:rsidRPr="003726FE">
        <w:rPr>
          <w:lang w:val="en-GB"/>
        </w:rPr>
        <w:t xml:space="preserve">, and stage of learning </w:t>
      </w:r>
      <w:r w:rsidR="00782498">
        <w:rPr>
          <w:lang w:val="en-GB"/>
        </w:rPr>
        <w:fldChar w:fldCharType="begin"/>
      </w:r>
      <w:r w:rsidR="008B61BE">
        <w:rPr>
          <w:lang w:val="en-GB"/>
        </w:rPr>
        <w:instrText xml:space="preserve"> ADDIN EN.CITE &lt;EndNote&gt;&lt;Cite&gt;&lt;Author&gt;Murdoch</w:instrText>
      </w:r>
      <w:r w:rsidR="008B61BE">
        <w:rPr>
          <w:rFonts w:ascii="Cambria Math" w:hAnsi="Cambria Math" w:cs="Cambria Math"/>
          <w:lang w:val="en-GB"/>
        </w:rPr>
        <w:instrText>‐</w:instrText>
      </w:r>
      <w:r w:rsidR="008B61BE">
        <w:rPr>
          <w:lang w:val="en-GB"/>
        </w:rPr>
        <w:instrText>Eaton&lt;/Author&gt;&lt;Year&gt;2012&lt;/Year&gt;&lt;RecNum&gt;179&lt;/RecNum&gt;&lt;DisplayText&gt;(Murdoch</w:instrText>
      </w:r>
      <w:r w:rsidR="008B61BE">
        <w:rPr>
          <w:rFonts w:ascii="Cambria Math" w:hAnsi="Cambria Math" w:cs="Cambria Math"/>
          <w:lang w:val="en-GB"/>
        </w:rPr>
        <w:instrText>‐</w:instrText>
      </w:r>
      <w:r w:rsidR="008B61BE">
        <w:rPr>
          <w:lang w:val="en-GB"/>
        </w:rPr>
        <w:instrText>Eaton and Sargeant 2012)&lt;/DisplayText&gt;&lt;record&gt;&lt;rec-number&gt;179&lt;/rec-number&gt;&lt;foreign-keys&gt;&lt;key app="EN" db-id="xa2r2ewea92trkef5dt5arvbzafvpv2za5ft" timestamp="1442161765"&gt;179&lt;/key&gt;&lt;/foreign-keys&gt;&lt;ref-type name="Journal Article"&gt;17&lt;/ref-type&gt;&lt;contributors&gt;&lt;authors&gt;&lt;author&gt;Murdoch</w:instrText>
      </w:r>
      <w:r w:rsidR="008B61BE">
        <w:rPr>
          <w:rFonts w:ascii="Cambria Math" w:hAnsi="Cambria Math" w:cs="Cambria Math"/>
          <w:lang w:val="en-GB"/>
        </w:rPr>
        <w:instrText>‐</w:instrText>
      </w:r>
      <w:r w:rsidR="008B61BE">
        <w:rPr>
          <w:lang w:val="en-GB"/>
        </w:rPr>
        <w:instrText>Eaton, Deborah&lt;/author&gt;&lt;author&gt;Sargeant, Joan&lt;/author&gt;&lt;/authors&gt;&lt;/contributors&gt;&lt;titles&gt;&lt;title&gt;Maturational differences in undergraduate medical students</w:instrText>
      </w:r>
      <w:r w:rsidR="008B61BE">
        <w:rPr>
          <w:rFonts w:cs="Times New Roman"/>
          <w:lang w:val="en-GB"/>
        </w:rPr>
        <w:instrText>’</w:instrText>
      </w:r>
      <w:r w:rsidR="008B61BE">
        <w:rPr>
          <w:lang w:val="en-GB"/>
        </w:rPr>
        <w:instrText xml:space="preserve"> perceptions about feedback&lt;/title&gt;&lt;secondary-title&gt;Medical education&lt;/secondary-title&gt;&lt;/titles&gt;&lt;periodical&gt;&lt;full-title&gt;Medical education&lt;/full-title&gt;&lt;/periodical&gt;&lt;pages&gt;711-721&lt;/pages&gt;&lt;volume&gt;46&lt;/volume&gt;&lt;number&gt;7&lt;/number&gt;&lt;dates&gt;&lt;year&gt;2012&lt;/year&gt;&lt;/dates&gt;&lt;publisher&gt;Wiley Online Library&lt;/publisher&gt;&lt;urls&gt;&lt;related-urls&gt;&lt;url&gt;http://onlinelibrary.wiley.com/store/10.1111/j.1365-2923.2012.04291.x/asset/j.1365-2923.2012.04291.x.pdf?v=1&amp;amp;t=ieiq1535&amp;amp;s=3d2031e70f9574ede859e51689081ca984a5b52e&lt;/url&gt;&lt;/related-urls&gt;&lt;/urls&gt;&lt;/record&gt;&lt;/Cite&gt;&lt;/EndNote&gt;</w:instrText>
      </w:r>
      <w:r w:rsidR="00782498">
        <w:rPr>
          <w:lang w:val="en-GB"/>
        </w:rPr>
        <w:fldChar w:fldCharType="separate"/>
      </w:r>
      <w:r w:rsidR="00782498">
        <w:rPr>
          <w:noProof/>
          <w:lang w:val="en-GB"/>
        </w:rPr>
        <w:t>(</w:t>
      </w:r>
      <w:hyperlink w:anchor="_ENREF_294" w:tooltip="Murdoch‐Eaton, 2012 #179" w:history="1">
        <w:r w:rsidR="0094469E">
          <w:rPr>
            <w:noProof/>
            <w:lang w:val="en-GB"/>
          </w:rPr>
          <w:t>Murdoch</w:t>
        </w:r>
        <w:r w:rsidR="0094469E">
          <w:rPr>
            <w:rFonts w:ascii="Cambria Math" w:hAnsi="Cambria Math" w:cs="Cambria Math"/>
            <w:noProof/>
            <w:lang w:val="en-GB"/>
          </w:rPr>
          <w:t>‐</w:t>
        </w:r>
        <w:r w:rsidR="0094469E">
          <w:rPr>
            <w:noProof/>
            <w:lang w:val="en-GB"/>
          </w:rPr>
          <w:t>Eaton and Sargeant 2012</w:t>
        </w:r>
      </w:hyperlink>
      <w:r w:rsidR="00782498">
        <w:rPr>
          <w:noProof/>
          <w:lang w:val="en-GB"/>
        </w:rPr>
        <w:t>)</w:t>
      </w:r>
      <w:r w:rsidR="00782498">
        <w:rPr>
          <w:lang w:val="en-GB"/>
        </w:rPr>
        <w:fldChar w:fldCharType="end"/>
      </w:r>
      <w:r w:rsidR="00A73AB3" w:rsidRPr="003726FE">
        <w:rPr>
          <w:lang w:val="en-GB"/>
        </w:rPr>
        <w:t xml:space="preserve">. </w:t>
      </w:r>
    </w:p>
    <w:p w14:paraId="75B482FA" w14:textId="77777777" w:rsidR="00784BFB" w:rsidRPr="003726FE" w:rsidRDefault="00784BFB" w:rsidP="00026049">
      <w:pPr>
        <w:pStyle w:val="Normal1"/>
        <w:rPr>
          <w:lang w:val="en-GB"/>
        </w:rPr>
      </w:pPr>
    </w:p>
    <w:p w14:paraId="5D4611FA" w14:textId="04B1C067" w:rsidR="00C6465A" w:rsidRPr="003726FE" w:rsidRDefault="00A73AB3" w:rsidP="00026049">
      <w:pPr>
        <w:pStyle w:val="Normal1"/>
        <w:rPr>
          <w:lang w:val="en-GB"/>
        </w:rPr>
      </w:pPr>
      <w:r w:rsidRPr="003726FE">
        <w:rPr>
          <w:lang w:val="en-GB"/>
        </w:rPr>
        <w:t xml:space="preserve">Other researchers have identified factors within the self which </w:t>
      </w:r>
      <w:r w:rsidR="006312B6">
        <w:rPr>
          <w:lang w:val="en-GB"/>
        </w:rPr>
        <w:t>impact upon</w:t>
      </w:r>
      <w:r w:rsidRPr="003726FE">
        <w:rPr>
          <w:lang w:val="en-GB"/>
        </w:rPr>
        <w:t xml:space="preserve"> feedback recognition. Learners who receive feedback wh</w:t>
      </w:r>
      <w:r w:rsidR="00784BFB" w:rsidRPr="003726FE">
        <w:rPr>
          <w:lang w:val="en-GB"/>
        </w:rPr>
        <w:t>ich contradicts their own self-perception</w:t>
      </w:r>
      <w:r w:rsidR="006312B6">
        <w:rPr>
          <w:lang w:val="en-GB"/>
        </w:rPr>
        <w:t>s</w:t>
      </w:r>
      <w:r w:rsidRPr="003726FE">
        <w:rPr>
          <w:lang w:val="en-GB"/>
        </w:rPr>
        <w:t xml:space="preserve">, or harms their self-esteem, tend to avoid further feedback situations and engage less with the feedback process </w:t>
      </w:r>
      <w:r w:rsidR="00782498">
        <w:rPr>
          <w:lang w:val="en-GB"/>
        </w:rPr>
        <w:fldChar w:fldCharType="begin"/>
      </w:r>
      <w:r w:rsidR="008B61BE">
        <w:rPr>
          <w:lang w:val="en-GB"/>
        </w:rPr>
        <w:instrText xml:space="preserve"> ADDIN EN.CITE &lt;EndNote&gt;&lt;Cite&gt;&lt;Author&gt;Vohs&lt;/Author&gt;&lt;Year&gt;2011&lt;/Year&gt;&lt;RecNum&gt;258&lt;/RecNum&gt;&lt;DisplayText&gt;(Vohs and Baumeister 2011)&lt;/DisplayText&gt;&lt;record&gt;&lt;rec-number&gt;258&lt;/rec-number&gt;&lt;foreign-keys&gt;&lt;key app="EN" db-id="xa2r2ewea92trkef5dt5arvbzafvpv2za5ft" timestamp="1442161766"&gt;258&lt;/key&gt;&lt;/foreign-keys&gt;&lt;ref-type name="Book"&gt;6&lt;/ref-type&gt;&lt;contributors&gt;&lt;authors&gt;&lt;author&gt;Vohs, Kathleen D.&lt;/author&gt;&lt;author&gt;Baumeister, Roy F.&lt;/author&gt;&lt;/authors&gt;&lt;/contributors&gt;&lt;titles&gt;&lt;title&gt;Handbook of self-regulation: Research, theory, and applications&lt;/title&gt;&lt;/titles&gt;&lt;number&gt;Book, Whole&lt;/number&gt;&lt;dates&gt;&lt;year&gt;2011&lt;/year&gt;&lt;/dates&gt;&lt;publisher&gt;Guilford Press&lt;/publisher&gt;&lt;urls&gt;&lt;/urls&gt;&lt;/record&gt;&lt;/Cite&gt;&lt;/EndNote&gt;</w:instrText>
      </w:r>
      <w:r w:rsidR="00782498">
        <w:rPr>
          <w:lang w:val="en-GB"/>
        </w:rPr>
        <w:fldChar w:fldCharType="separate"/>
      </w:r>
      <w:r w:rsidR="00782498">
        <w:rPr>
          <w:noProof/>
          <w:lang w:val="en-GB"/>
        </w:rPr>
        <w:t>(</w:t>
      </w:r>
      <w:hyperlink w:anchor="_ENREF_422" w:tooltip="Vohs, 2011 #258" w:history="1">
        <w:r w:rsidR="0094469E">
          <w:rPr>
            <w:noProof/>
            <w:lang w:val="en-GB"/>
          </w:rPr>
          <w:t>Vohs and Baumeister 2011</w:t>
        </w:r>
      </w:hyperlink>
      <w:r w:rsidR="00782498">
        <w:rPr>
          <w:noProof/>
          <w:lang w:val="en-GB"/>
        </w:rPr>
        <w:t>)</w:t>
      </w:r>
      <w:r w:rsidR="00782498">
        <w:rPr>
          <w:lang w:val="en-GB"/>
        </w:rPr>
        <w:fldChar w:fldCharType="end"/>
      </w:r>
      <w:r w:rsidRPr="003726FE">
        <w:rPr>
          <w:lang w:val="en-GB"/>
        </w:rPr>
        <w:t xml:space="preserve">. Factors of the self directly affect student learning and feedback perceptions </w:t>
      </w:r>
      <w:r w:rsidR="00782498">
        <w:rPr>
          <w:lang w:val="en-GB"/>
        </w:rPr>
        <w:fldChar w:fldCharType="begin"/>
      </w:r>
      <w:r w:rsidR="008443D6">
        <w:rPr>
          <w:lang w:val="en-GB"/>
        </w:rPr>
        <w:instrText xml:space="preserve"> ADDIN EN.CITE &lt;EndNote&gt;&lt;Cite&gt;&lt;Author&gt;Van de Ridder&lt;/Author&gt;&lt;Year&gt;2015&lt;/Year&gt;&lt;RecNum&gt;211&lt;/RecNum&gt;&lt;DisplayText&gt;(Van de Ridder et al. 2015)&lt;/DisplayText&gt;&lt;record&gt;&lt;rec-number&gt;211&lt;/rec-number&gt;&lt;foreign-keys&gt;&lt;key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Pr>
          <w:rFonts w:ascii="Cambria Math" w:hAnsi="Cambria Math" w:cs="Cambria Math"/>
          <w:lang w:val="en-GB"/>
        </w:rPr>
        <w:instrText>‐</w:instrText>
      </w:r>
      <w:r w:rsidR="008443D6">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00782498">
        <w:rPr>
          <w:lang w:val="en-GB"/>
        </w:rPr>
        <w:fldChar w:fldCharType="separate"/>
      </w:r>
      <w:r w:rsidR="00782498">
        <w:rPr>
          <w:noProof/>
          <w:lang w:val="en-GB"/>
        </w:rPr>
        <w:t>(</w:t>
      </w:r>
      <w:hyperlink w:anchor="_ENREF_416" w:tooltip="Van de Ridder, 2015 #211" w:history="1">
        <w:r w:rsidR="0094469E">
          <w:rPr>
            <w:noProof/>
            <w:lang w:val="en-GB"/>
          </w:rPr>
          <w:t>Van de Ridder et al. 2015</w:t>
        </w:r>
      </w:hyperlink>
      <w:r w:rsidR="00782498">
        <w:rPr>
          <w:noProof/>
          <w:lang w:val="en-GB"/>
        </w:rPr>
        <w:t>)</w:t>
      </w:r>
      <w:r w:rsidR="00782498">
        <w:rPr>
          <w:lang w:val="en-GB"/>
        </w:rPr>
        <w:fldChar w:fldCharType="end"/>
      </w:r>
      <w:r w:rsidR="00782498">
        <w:rPr>
          <w:lang w:val="en-GB"/>
        </w:rPr>
        <w:t>.</w:t>
      </w:r>
      <w:r w:rsidRPr="003726FE">
        <w:rPr>
          <w:lang w:val="en-GB"/>
        </w:rPr>
        <w:t xml:space="preserve"> </w:t>
      </w:r>
      <w:r w:rsidR="00782498">
        <w:rPr>
          <w:lang w:val="en-GB"/>
        </w:rPr>
        <w:t>T</w:t>
      </w:r>
      <w:r w:rsidRPr="003726FE">
        <w:rPr>
          <w:lang w:val="en-GB"/>
        </w:rPr>
        <w:t>his is prevalent in a</w:t>
      </w:r>
      <w:r w:rsidR="00782498">
        <w:rPr>
          <w:lang w:val="en-GB"/>
        </w:rPr>
        <w:t xml:space="preserve">ll learning contexts, including </w:t>
      </w:r>
      <w:r w:rsidRPr="003726FE">
        <w:rPr>
          <w:lang w:val="en-GB"/>
        </w:rPr>
        <w:t xml:space="preserve">clinical skills education </w:t>
      </w:r>
      <w:r w:rsidR="00782498">
        <w:rPr>
          <w:lang w:val="en-GB"/>
        </w:rPr>
        <w:fldChar w:fldCharType="begin"/>
      </w:r>
      <w:r w:rsidR="008B61BE">
        <w:rPr>
          <w:lang w:val="en-GB"/>
        </w:rPr>
        <w:instrText xml:space="preserve"> ADDIN EN.CITE &lt;EndNote&gt;&lt;Cite&gt;&lt;Author&gt;Branch&lt;/Author&gt;&lt;Year&gt;2002&lt;/Year&gt;&lt;RecNum&gt;17&lt;/RecNum&gt;&lt;DisplayText&gt;(Branch and Paranjape 2002)&lt;/DisplayText&gt;&lt;record&gt;&lt;rec-number&gt;17&lt;/rec-number&gt;&lt;foreign-keys&gt;&lt;key app="EN" db-id="xa2r2ewea92trkef5dt5arvbzafvpv2za5ft" timestamp="1442161763"&gt;17&lt;/key&gt;&lt;/foreign-keys&gt;&lt;ref-type name="Journal Article"&gt;17&lt;/ref-type&gt;&lt;contributors&gt;&lt;authors&gt;&lt;author&gt;Branch, William T.&lt;/author&gt;&lt;author&gt;Paranjape, Anuradha&lt;/author&gt;&lt;/authors&gt;&lt;/contributors&gt;&lt;titles&gt;&lt;title&gt;Feedback and reflection: teaching methods for clinical settings&lt;/title&gt;&lt;secondary-title&gt;Academic Medicine&lt;/secondary-title&gt;&lt;/titles&gt;&lt;periodical&gt;&lt;full-title&gt;Academic Medicine&lt;/full-title&gt;&lt;/periodical&gt;&lt;pages&gt;1185-1188&lt;/pages&gt;&lt;volume&gt;77&lt;/volume&gt;&lt;number&gt;12, Part 1&lt;/number&gt;&lt;dates&gt;&lt;year&gt;2002&lt;/year&gt;&lt;/dates&gt;&lt;publisher&gt;LWW&lt;/publisher&gt;&lt;urls&gt;&lt;/urls&gt;&lt;/record&gt;&lt;/Cite&gt;&lt;/EndNote&gt;</w:instrText>
      </w:r>
      <w:r w:rsidR="00782498">
        <w:rPr>
          <w:lang w:val="en-GB"/>
        </w:rPr>
        <w:fldChar w:fldCharType="separate"/>
      </w:r>
      <w:r w:rsidR="00782498">
        <w:rPr>
          <w:noProof/>
          <w:lang w:val="en-GB"/>
        </w:rPr>
        <w:t>(</w:t>
      </w:r>
      <w:hyperlink w:anchor="_ENREF_52" w:tooltip="Branch, 2002 #17" w:history="1">
        <w:r w:rsidR="0094469E">
          <w:rPr>
            <w:noProof/>
            <w:lang w:val="en-GB"/>
          </w:rPr>
          <w:t>Branch and Paranjape 2002</w:t>
        </w:r>
      </w:hyperlink>
      <w:r w:rsidR="00782498">
        <w:rPr>
          <w:noProof/>
          <w:lang w:val="en-GB"/>
        </w:rPr>
        <w:t>)</w:t>
      </w:r>
      <w:r w:rsidR="00782498">
        <w:rPr>
          <w:lang w:val="en-GB"/>
        </w:rPr>
        <w:fldChar w:fldCharType="end"/>
      </w:r>
      <w:r w:rsidRPr="003726FE">
        <w:rPr>
          <w:lang w:val="en-GB"/>
        </w:rPr>
        <w:t>.</w:t>
      </w:r>
    </w:p>
    <w:p w14:paraId="1A47E949" w14:textId="77777777" w:rsidR="00C6465A" w:rsidRPr="003726FE" w:rsidRDefault="00C6465A" w:rsidP="00026049">
      <w:pPr>
        <w:pStyle w:val="Normal1"/>
        <w:rPr>
          <w:lang w:val="en-GB"/>
        </w:rPr>
      </w:pPr>
    </w:p>
    <w:p w14:paraId="45573365" w14:textId="19741423" w:rsidR="00223E22" w:rsidRPr="003726FE" w:rsidRDefault="00223E22" w:rsidP="00026049">
      <w:pPr>
        <w:pStyle w:val="Normal1"/>
        <w:rPr>
          <w:lang w:val="en-GB"/>
        </w:rPr>
      </w:pPr>
      <w:r w:rsidRPr="003726FE">
        <w:rPr>
          <w:lang w:val="en-GB"/>
        </w:rPr>
        <w:t xml:space="preserve">The credibility of the feedback giver has been found to have a major impact upon how learners perceive feedback in many situations and contexts </w:t>
      </w:r>
      <w:r w:rsidR="00EF281A" w:rsidRPr="003726FE">
        <w:rPr>
          <w:lang w:val="en-GB"/>
        </w:rPr>
        <w:fldChar w:fldCharType="begin">
          <w:fldData xml:space="preserve">PEVuZE5vdGU+PENpdGU+PEF1dGhvcj5CaW5nLVlvdTwvQXV0aG9yPjxZZWFyPjE5OTc8L1llYXI+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</w:fldData>
        </w:fldChar>
      </w:r>
      <w:r w:rsidR="008B61BE">
        <w:rPr>
          <w:lang w:val="en-GB"/>
        </w:rPr>
        <w:instrText xml:space="preserve"> ADDIN EN.CITE </w:instrText>
      </w:r>
      <w:r w:rsidR="008B61BE">
        <w:rPr>
          <w:lang w:val="en-GB"/>
        </w:rPr>
        <w:fldChar w:fldCharType="begin">
          <w:fldData xml:space="preserve">PEVuZE5vdGU+PENpdGU+PEF1dGhvcj5CaW5nLVlvdTwvQXV0aG9yPjxZZWFyPjE5OTc8L1llYXI+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32" w:tooltip="Bing-You, 1997 #855" w:history="1">
        <w:r w:rsidR="0094469E" w:rsidRPr="003726FE">
          <w:rPr>
            <w:noProof/>
            <w:lang w:val="en-GB"/>
          </w:rPr>
          <w:t>Bing-You et al. 1997</w:t>
        </w:r>
      </w:hyperlink>
      <w:r w:rsidR="004E5A78" w:rsidRPr="003726FE">
        <w:rPr>
          <w:noProof/>
          <w:lang w:val="en-GB"/>
        </w:rPr>
        <w:t xml:space="preserve">; </w:t>
      </w:r>
      <w:hyperlink w:anchor="_ENREF_359" w:tooltip="Sargeant, 2005 #889" w:history="1">
        <w:r w:rsidR="0094469E" w:rsidRPr="003726FE">
          <w:rPr>
            <w:noProof/>
            <w:lang w:val="en-GB"/>
          </w:rPr>
          <w:t>Sargeant et al. 2005</w:t>
        </w:r>
      </w:hyperlink>
      <w:r w:rsidR="004E5A78" w:rsidRPr="003726FE">
        <w:rPr>
          <w:noProof/>
          <w:lang w:val="en-GB"/>
        </w:rPr>
        <w:t xml:space="preserve">; </w:t>
      </w:r>
      <w:hyperlink w:anchor="_ENREF_425" w:tooltip="Watling, 2012 #901" w:history="1">
        <w:r w:rsidR="0094469E" w:rsidRPr="003726FE">
          <w:rPr>
            <w:noProof/>
            <w:lang w:val="en-GB"/>
          </w:rPr>
          <w:t>Watling et al. 2012a</w:t>
        </w:r>
      </w:hyperlink>
      <w:r w:rsidR="004E5A78" w:rsidRPr="003726FE">
        <w:rPr>
          <w:noProof/>
          <w:lang w:val="en-GB"/>
        </w:rPr>
        <w:t xml:space="preserve">; </w:t>
      </w:r>
      <w:hyperlink w:anchor="_ENREF_402" w:tooltip="Telio, 2016 #616" w:history="1">
        <w:r w:rsidR="0094469E" w:rsidRPr="003726FE">
          <w:rPr>
            <w:noProof/>
            <w:lang w:val="en-GB"/>
          </w:rPr>
          <w:t>Telio et al. 2016</w:t>
        </w:r>
      </w:hyperlink>
      <w:r w:rsidR="004E5A78" w:rsidRPr="003726FE">
        <w:rPr>
          <w:noProof/>
          <w:lang w:val="en-GB"/>
        </w:rPr>
        <w:t>)</w:t>
      </w:r>
      <w:r w:rsidR="00EF281A" w:rsidRPr="003726FE">
        <w:rPr>
          <w:lang w:val="en-GB"/>
        </w:rPr>
        <w:fldChar w:fldCharType="end"/>
      </w:r>
      <w:r w:rsidRPr="003726FE">
        <w:rPr>
          <w:lang w:val="en-GB"/>
        </w:rPr>
        <w:t xml:space="preserve">. In the context of this study, </w:t>
      </w:r>
      <w:r w:rsidR="00C61BAF">
        <w:rPr>
          <w:lang w:val="en-GB"/>
        </w:rPr>
        <w:t>students</w:t>
      </w:r>
      <w:r w:rsidRPr="003726FE">
        <w:rPr>
          <w:lang w:val="en-GB"/>
        </w:rPr>
        <w:t xml:space="preserve"> received feedback from many different sources as they transitioned from classroom based </w:t>
      </w:r>
      <w:r w:rsidR="006312B6">
        <w:rPr>
          <w:lang w:val="en-GB"/>
        </w:rPr>
        <w:t>activities</w:t>
      </w:r>
      <w:r w:rsidRPr="003726FE">
        <w:rPr>
          <w:lang w:val="en-GB"/>
        </w:rPr>
        <w:t xml:space="preserve"> to the clinical </w:t>
      </w:r>
      <w:r w:rsidR="001D6EAB" w:rsidRPr="003726FE">
        <w:rPr>
          <w:lang w:val="en-GB"/>
        </w:rPr>
        <w:t>learning</w:t>
      </w:r>
      <w:r w:rsidRPr="003726FE">
        <w:rPr>
          <w:lang w:val="en-GB"/>
        </w:rPr>
        <w:t xml:space="preserve"> environment (</w:t>
      </w:r>
      <w:r w:rsidR="00784BFB" w:rsidRPr="003726FE">
        <w:rPr>
          <w:lang w:val="en-GB"/>
        </w:rPr>
        <w:t>clinical</w:t>
      </w:r>
      <w:r w:rsidRPr="003726FE">
        <w:rPr>
          <w:lang w:val="en-GB"/>
        </w:rPr>
        <w:t xml:space="preserve"> skills </w:t>
      </w:r>
      <w:r w:rsidR="00C61BAF">
        <w:rPr>
          <w:lang w:val="en-GB"/>
        </w:rPr>
        <w:t>teachers</w:t>
      </w:r>
      <w:r w:rsidRPr="003726FE">
        <w:rPr>
          <w:lang w:val="en-GB"/>
        </w:rPr>
        <w:t xml:space="preserve">, peers, consultants, junior doctors, phlebotomists etc.), all with differing levels of perceived credibility. </w:t>
      </w:r>
      <w:hyperlink w:anchor="_ENREF_415" w:tooltip="Van de Ridder, 2014 #524" w:history="1">
        <w:r w:rsidR="0094469E" w:rsidRPr="003726FE">
          <w:rPr>
            <w:lang w:val="en-GB"/>
          </w:rPr>
          <w:fldChar w:fldCharType="begin"/>
        </w:r>
        <w:r w:rsidR="0094469E">
          <w:rPr>
            <w:lang w:val="en-GB"/>
          </w:rPr>
          <w:instrText xml:space="preserve"> ADDIN EN.CITE &lt;EndNote&gt;&lt;Cite AuthorYear="1"&gt;&lt;Author&gt;Van De Ridder&lt;/Author&gt;&lt;Year&gt;2014&lt;/Year&gt;&lt;RecNum&gt;255&lt;/RecNum&gt;&lt;DisplayText&gt;Van de Ridder et al. (2014)&lt;/DisplayText&gt;&lt;record&gt;&lt;rec-number&gt;255&lt;/rec-number&gt;&lt;foreign-keys&gt;&lt;key app="EN" db-id="xa2r2ewea92trkef5dt5arvbzafvpv2za5ft" timestamp="1442161766"&gt;255&lt;/key&gt;&lt;/foreign-keys&gt;&lt;ref-type name="Journal Article"&gt;17&lt;/ref-type&gt;&lt;contributors&gt;&lt;authors&gt;&lt;author&gt;Van de Ridder, J. M. Monica&lt;/author&gt;&lt;author&gt;Berk, Francisca C. J.&lt;/author&gt;&lt;author&gt;Stokking, Karel M.&lt;/author&gt;&lt;author&gt;Ten Cate, Olle Th J.&lt;/author&gt;&lt;/authors&gt;&lt;/contributors&gt;&lt;titles&gt;&lt;title&gt;Feedback providers&amp;apos; credibility impacts students&amp;apos; satisfaction with feedback and delayed performance&lt;/title&gt;&lt;secondary-title&gt;Medical teacher&lt;/secondary-title&gt;&lt;/titles&gt;&lt;periodical&gt;&lt;full-title&gt;Medical teacher&lt;/full-title&gt;&lt;/periodical&gt;&lt;pages&gt;1-8&lt;/pages&gt;&lt;volume&gt;37&lt;/volume&gt;&lt;number&gt;8&lt;/number&gt;&lt;dates&gt;&lt;year&gt;2014&lt;/year&gt;&lt;/dates&gt;&lt;publisher&gt;Informa UK Ltd. London&lt;/publisher&gt;&lt;urls&gt;&lt;/urls&gt;&lt;/record&gt;&lt;/Cite&gt;&lt;/EndNote&gt;</w:instrText>
        </w:r>
        <w:r w:rsidR="0094469E" w:rsidRPr="003726FE">
          <w:rPr>
            <w:lang w:val="en-GB"/>
          </w:rPr>
          <w:fldChar w:fldCharType="separate"/>
        </w:r>
        <w:r w:rsidR="0094469E">
          <w:rPr>
            <w:noProof/>
            <w:lang w:val="en-GB"/>
          </w:rPr>
          <w:t>Van de Ridder et al. (2014)</w:t>
        </w:r>
        <w:r w:rsidR="0094469E" w:rsidRPr="003726FE">
          <w:rPr>
            <w:lang w:val="en-GB"/>
          </w:rPr>
          <w:fldChar w:fldCharType="end"/>
        </w:r>
      </w:hyperlink>
      <w:r w:rsidR="009C5D71" w:rsidRPr="003726FE">
        <w:rPr>
          <w:lang w:val="en-GB"/>
        </w:rPr>
        <w:t xml:space="preserve"> directly explored </w:t>
      </w:r>
      <w:r w:rsidR="001C6826" w:rsidRPr="003726FE">
        <w:rPr>
          <w:lang w:val="en-GB"/>
        </w:rPr>
        <w:t xml:space="preserve">this by testing </w:t>
      </w:r>
      <w:r w:rsidR="009C5D71" w:rsidRPr="003726FE">
        <w:rPr>
          <w:lang w:val="en-GB"/>
        </w:rPr>
        <w:t xml:space="preserve">the </w:t>
      </w:r>
      <w:r w:rsidR="00784BFB" w:rsidRPr="003726FE">
        <w:rPr>
          <w:lang w:val="en-GB"/>
        </w:rPr>
        <w:t>impact</w:t>
      </w:r>
      <w:r w:rsidR="009C5D71" w:rsidRPr="003726FE">
        <w:rPr>
          <w:lang w:val="en-GB"/>
        </w:rPr>
        <w:t xml:space="preserve"> of feedback giver credibility in </w:t>
      </w:r>
      <w:r w:rsidR="001C6826" w:rsidRPr="003726FE">
        <w:rPr>
          <w:lang w:val="en-GB"/>
        </w:rPr>
        <w:t xml:space="preserve">a clinical skills context </w:t>
      </w:r>
      <w:r w:rsidR="00C61BAF">
        <w:rPr>
          <w:lang w:val="en-GB"/>
        </w:rPr>
        <w:t>on</w:t>
      </w:r>
      <w:r w:rsidR="001C6826" w:rsidRPr="003726FE">
        <w:rPr>
          <w:lang w:val="en-GB"/>
        </w:rPr>
        <w:t xml:space="preserve"> 68 medical students’ self-efficacy, satisfaction, and performance. They found that the credibility of the feedback giver did not impact upon self-efficacy significantly</w:t>
      </w:r>
      <w:r w:rsidR="003B3728">
        <w:rPr>
          <w:lang w:val="en-GB"/>
        </w:rPr>
        <w:t>,</w:t>
      </w:r>
      <w:r w:rsidR="001C6826" w:rsidRPr="003726FE">
        <w:rPr>
          <w:lang w:val="en-GB"/>
        </w:rPr>
        <w:t xml:space="preserve"> but those receiving feedback from a high credibility source rated their satisfaction higher than their interactions with low credibility sources. Performance was not affected until three </w:t>
      </w:r>
      <w:r w:rsidR="001C6826" w:rsidRPr="003726FE">
        <w:rPr>
          <w:lang w:val="en-GB"/>
        </w:rPr>
        <w:lastRenderedPageBreak/>
        <w:t xml:space="preserve">weeks after the interaction where those receiving feedback from high credibility sources performed better than their peers. Despite the limitations of this study </w:t>
      </w:r>
      <w:r w:rsidR="002A1C63" w:rsidRPr="003726FE">
        <w:rPr>
          <w:lang w:val="en-GB"/>
        </w:rPr>
        <w:t>in regard to</w:t>
      </w:r>
      <w:r w:rsidR="001C6826" w:rsidRPr="003726FE">
        <w:rPr>
          <w:lang w:val="en-GB"/>
        </w:rPr>
        <w:t xml:space="preserve"> its use of actors rather than real medical professionals in authentic settings, their results are indicative of the significant </w:t>
      </w:r>
      <w:r w:rsidR="00784BFB" w:rsidRPr="003726FE">
        <w:rPr>
          <w:lang w:val="en-GB"/>
        </w:rPr>
        <w:t>impact</w:t>
      </w:r>
      <w:r w:rsidR="001C6826" w:rsidRPr="003726FE">
        <w:rPr>
          <w:lang w:val="en-GB"/>
        </w:rPr>
        <w:t xml:space="preserve"> that perceived credibility has upon students’ perceptions of the feedback message. In the present study, credibility was found to be a major theme within learners’ articulation of their feedback and </w:t>
      </w:r>
      <w:r w:rsidR="001D6EAB" w:rsidRPr="003726FE">
        <w:rPr>
          <w:lang w:val="en-GB"/>
        </w:rPr>
        <w:t>learning</w:t>
      </w:r>
      <w:r w:rsidR="001C6826" w:rsidRPr="003726FE">
        <w:rPr>
          <w:lang w:val="en-GB"/>
        </w:rPr>
        <w:t xml:space="preserve"> behaviours, relating closely to the </w:t>
      </w:r>
      <w:r w:rsidR="00784BFB" w:rsidRPr="003726FE">
        <w:rPr>
          <w:lang w:val="en-GB"/>
        </w:rPr>
        <w:t>educational</w:t>
      </w:r>
      <w:r w:rsidR="001C6826" w:rsidRPr="003726FE">
        <w:rPr>
          <w:lang w:val="en-GB"/>
        </w:rPr>
        <w:t xml:space="preserve"> relationship they</w:t>
      </w:r>
      <w:r w:rsidR="006312B6">
        <w:rPr>
          <w:lang w:val="en-GB"/>
        </w:rPr>
        <w:t xml:space="preserve"> had with their supervisors</w:t>
      </w:r>
      <w:r w:rsidR="001C6826" w:rsidRPr="003726FE">
        <w:rPr>
          <w:lang w:val="en-GB"/>
        </w:rPr>
        <w:t>.</w:t>
      </w:r>
    </w:p>
    <w:p w14:paraId="4C6E7A50" w14:textId="77777777" w:rsidR="00223E22" w:rsidRPr="003726FE" w:rsidRDefault="00223E22" w:rsidP="00026049">
      <w:pPr>
        <w:pStyle w:val="Normal1"/>
        <w:rPr>
          <w:lang w:val="en-GB"/>
        </w:rPr>
      </w:pPr>
    </w:p>
    <w:p w14:paraId="570310D3" w14:textId="4D601886" w:rsidR="0085367F" w:rsidRPr="003726FE" w:rsidRDefault="00C6465A" w:rsidP="00026049">
      <w:pPr>
        <w:pStyle w:val="Normal1"/>
        <w:rPr>
          <w:lang w:val="en-GB"/>
        </w:rPr>
      </w:pPr>
      <w:r w:rsidRPr="003726FE">
        <w:rPr>
          <w:lang w:val="en-GB"/>
        </w:rPr>
        <w:t xml:space="preserve">Knowles </w:t>
      </w:r>
      <w:r w:rsidR="007056FA" w:rsidRPr="003726FE">
        <w:rPr>
          <w:lang w:val="en-GB"/>
        </w:rPr>
        <w:fldChar w:fldCharType="begin"/>
      </w:r>
      <w:r w:rsidR="008B61BE">
        <w:rPr>
          <w:lang w:val="en-GB"/>
        </w:rPr>
        <w:instrText xml:space="preserve"> ADDIN EN.CITE &lt;EndNote&gt;&lt;Cite ExcludeAuth="1"&gt;&lt;Author&gt;Knowles&lt;/Author&gt;&lt;Year&gt;1975&lt;/Year&gt;&lt;RecNum&gt;873&lt;/RecNum&gt;&lt;Pages&gt;15&lt;/Pages&gt;&lt;DisplayText&gt;(1975, p. 15; 1984, p. 12)&lt;/DisplayText&gt;&lt;record&gt;&lt;rec-number&gt;873&lt;/rec-number&gt;&lt;foreign-keys&gt;&lt;key app="EN" db-id="xa2r2ewea92trkef5dt5arvbzafvpv2za5ft" timestamp="1496417601"&gt;873&lt;/key&gt;&lt;/foreign-keys&gt;&lt;ref-type name="Book"&gt;6&lt;/ref-type&gt;&lt;contributors&gt;&lt;authors&gt;&lt;author&gt;Knowles, Malcolm Shepherd&lt;/author&gt;&lt;/authors&gt;&lt;/contributors&gt;&lt;titles&gt;&lt;title&gt;Self-directed learning&lt;/title&gt;&lt;short-title&gt;Self-directed learning&lt;/short-title&gt;&lt;/titles&gt;&lt;number&gt;Book, Whole&lt;/number&gt;&lt;dates&gt;&lt;year&gt;1975&lt;/year&gt;&lt;/dates&gt;&lt;publisher&gt;association Press New York&lt;/publisher&gt;&lt;urls&gt;&lt;/urls&gt;&lt;/record&gt;&lt;/Cite&gt;&lt;Cite ExcludeAuth="1"&gt;&lt;Author&gt;Knowles&lt;/Author&gt;&lt;Year&gt;1984&lt;/Year&gt;&lt;RecNum&gt;874&lt;/RecNum&gt;&lt;Pages&gt;12&lt;/Pages&gt;&lt;record&gt;&lt;rec-number&gt;874&lt;/rec-number&gt;&lt;foreign-keys&gt;&lt;key app="EN" db-id="xa2r2ewea92trkef5dt5arvbzafvpv2za5ft" timestamp="1496417601"&gt;874&lt;/key&gt;&lt;/foreign-keys&gt;&lt;ref-type name="Book"&gt;6&lt;/ref-type&gt;&lt;contributors&gt;&lt;authors&gt;&lt;author&gt;Knowles, Malcolm Shepherd&lt;/author&gt;&lt;/authors&gt;&lt;/contributors&gt;&lt;titles&gt;&lt;title&gt;Andragogy in action: Applying modern principles of adult education&lt;/title&gt;&lt;/titles&gt;&lt;dates&gt;&lt;year&gt;1984&lt;/year&gt;&lt;/dates&gt;&lt;pub-location&gt;San Francisco&lt;/pub-location&gt;&lt;publisher&gt;Jossey Bass&lt;/publisher&gt;&lt;urls&gt;&lt;/urls&gt;&lt;/record&gt;&lt;/Cite&gt;&lt;/EndNote&gt;</w:instrText>
      </w:r>
      <w:r w:rsidR="007056FA" w:rsidRPr="003726FE">
        <w:rPr>
          <w:lang w:val="en-GB"/>
        </w:rPr>
        <w:fldChar w:fldCharType="separate"/>
      </w:r>
      <w:r w:rsidR="005E380F" w:rsidRPr="003726FE">
        <w:rPr>
          <w:noProof/>
          <w:lang w:val="en-GB"/>
        </w:rPr>
        <w:t>(</w:t>
      </w:r>
      <w:hyperlink w:anchor="_ENREF_223" w:tooltip="Knowles, 1975 #873" w:history="1">
        <w:r w:rsidR="0094469E" w:rsidRPr="003726FE">
          <w:rPr>
            <w:noProof/>
            <w:lang w:val="en-GB"/>
          </w:rPr>
          <w:t>1975, p. 15</w:t>
        </w:r>
      </w:hyperlink>
      <w:r w:rsidR="005E380F" w:rsidRPr="003726FE">
        <w:rPr>
          <w:noProof/>
          <w:lang w:val="en-GB"/>
        </w:rPr>
        <w:t xml:space="preserve">; </w:t>
      </w:r>
      <w:hyperlink w:anchor="_ENREF_224" w:tooltip="Knowles, 1984 #874" w:history="1">
        <w:r w:rsidR="0094469E" w:rsidRPr="003726FE">
          <w:rPr>
            <w:noProof/>
            <w:lang w:val="en-GB"/>
          </w:rPr>
          <w:t>1984, p. 12</w:t>
        </w:r>
      </w:hyperlink>
      <w:r w:rsidR="005E380F" w:rsidRPr="003726FE">
        <w:rPr>
          <w:noProof/>
          <w:lang w:val="en-GB"/>
        </w:rPr>
        <w:t>)</w:t>
      </w:r>
      <w:r w:rsidR="007056FA" w:rsidRPr="003726FE">
        <w:rPr>
          <w:lang w:val="en-GB"/>
        </w:rPr>
        <w:fldChar w:fldCharType="end"/>
      </w:r>
      <w:r w:rsidRPr="003726FE">
        <w:rPr>
          <w:lang w:val="en-GB"/>
        </w:rPr>
        <w:t xml:space="preserve"> suggested that as learners mature they desire to learn more for a particular reason or need, they become </w:t>
      </w:r>
      <w:r w:rsidR="003B3728">
        <w:rPr>
          <w:lang w:val="en-GB"/>
        </w:rPr>
        <w:t>‘</w:t>
      </w:r>
      <w:r w:rsidRPr="003726FE">
        <w:rPr>
          <w:lang w:val="en-GB"/>
        </w:rPr>
        <w:t>self-directing learners</w:t>
      </w:r>
      <w:r w:rsidR="003B3728">
        <w:rPr>
          <w:lang w:val="en-GB"/>
        </w:rPr>
        <w:t>’</w:t>
      </w:r>
      <w:r w:rsidRPr="003726FE">
        <w:rPr>
          <w:lang w:val="en-GB"/>
        </w:rPr>
        <w:t xml:space="preserve"> as opposed to </w:t>
      </w:r>
      <w:r w:rsidR="003B3728">
        <w:rPr>
          <w:lang w:val="en-GB"/>
        </w:rPr>
        <w:t>‘</w:t>
      </w:r>
      <w:r w:rsidRPr="003726FE">
        <w:rPr>
          <w:lang w:val="en-GB"/>
        </w:rPr>
        <w:t>reactive</w:t>
      </w:r>
      <w:r w:rsidR="003B3728">
        <w:rPr>
          <w:lang w:val="en-GB"/>
        </w:rPr>
        <w:t xml:space="preserve"> learners’</w:t>
      </w:r>
      <w:r w:rsidRPr="003726FE">
        <w:rPr>
          <w:lang w:val="en-GB"/>
        </w:rPr>
        <w:t xml:space="preserve">. This maturation effect also impacts </w:t>
      </w:r>
      <w:r w:rsidR="00B97993" w:rsidRPr="003726FE">
        <w:rPr>
          <w:lang w:val="en-GB"/>
        </w:rPr>
        <w:t xml:space="preserve">upon </w:t>
      </w:r>
      <w:r w:rsidRPr="003726FE">
        <w:rPr>
          <w:lang w:val="en-GB"/>
        </w:rPr>
        <w:t xml:space="preserve">feedback recognition. </w:t>
      </w:r>
      <w:hyperlink w:anchor="_ENREF_294" w:tooltip="Murdoch‐Eaton, 2012 #179" w:history="1">
        <w:r w:rsidR="0094469E">
          <w:rPr>
            <w:lang w:val="en-GB"/>
          </w:rPr>
          <w:fldChar w:fldCharType="begin"/>
        </w:r>
        <w:r w:rsidR="0094469E">
          <w:rPr>
            <w:lang w:val="en-GB"/>
          </w:rPr>
          <w:instrText xml:space="preserve"> ADDIN EN.CITE &lt;EndNote&gt;&lt;Cite AuthorYear="1"&gt;&lt;Author&gt;Murdoch</w:instrText>
        </w:r>
        <w:r w:rsidR="0094469E">
          <w:rPr>
            <w:rFonts w:ascii="Cambria Math" w:hAnsi="Cambria Math" w:cs="Cambria Math"/>
            <w:lang w:val="en-GB"/>
          </w:rPr>
          <w:instrText>‐</w:instrText>
        </w:r>
        <w:r w:rsidR="0094469E">
          <w:rPr>
            <w:lang w:val="en-GB"/>
          </w:rPr>
          <w:instrText>Eaton&lt;/Author&gt;&lt;Year&gt;2012&lt;/Year&gt;&lt;RecNum&gt;179&lt;/RecNum&gt;&lt;DisplayText&gt;Murdoch</w:instrText>
        </w:r>
        <w:r w:rsidR="0094469E">
          <w:rPr>
            <w:rFonts w:ascii="Cambria Math" w:hAnsi="Cambria Math" w:cs="Cambria Math"/>
            <w:lang w:val="en-GB"/>
          </w:rPr>
          <w:instrText>‐</w:instrText>
        </w:r>
        <w:r w:rsidR="0094469E">
          <w:rPr>
            <w:lang w:val="en-GB"/>
          </w:rPr>
          <w:instrText>Eaton and Sargeant (2012)&lt;/DisplayText&gt;&lt;record&gt;&lt;rec-number&gt;179&lt;/rec-number&gt;&lt;foreign-keys&gt;&lt;key app="EN" db-id="xa2r2ewea92trkef5dt5arvbzafvpv2za5ft" timestamp="1442161765"&gt;179&lt;/key&gt;&lt;/foreign-keys&gt;&lt;ref-type name="Journal Article"&gt;17&lt;/ref-type&gt;&lt;contributors&gt;&lt;authors&gt;&lt;author&gt;Murdoch</w:instrText>
        </w:r>
        <w:r w:rsidR="0094469E">
          <w:rPr>
            <w:rFonts w:ascii="Cambria Math" w:hAnsi="Cambria Math" w:cs="Cambria Math"/>
            <w:lang w:val="en-GB"/>
          </w:rPr>
          <w:instrText>‐</w:instrText>
        </w:r>
        <w:r w:rsidR="0094469E">
          <w:rPr>
            <w:lang w:val="en-GB"/>
          </w:rPr>
          <w:instrText>Eaton, Deborah&lt;/author&gt;&lt;author&gt;Sargeant, Joan&lt;/author&gt;&lt;/authors&gt;&lt;/contributors&gt;&lt;titles&gt;&lt;title&gt;Maturational differences in undergraduate medical students’ perceptions about feedback&lt;/title&gt;&lt;secondary-title&gt;Medical education&lt;/secondary-title&gt;&lt;/titles&gt;&lt;periodical&gt;&lt;full-title&gt;Medical education&lt;/full-title&gt;&lt;/periodical&gt;&lt;pages&gt;711-721&lt;/pages&gt;&lt;volume&gt;46&lt;/volume&gt;&lt;number&gt;7&lt;/number&gt;&lt;dates&gt;&lt;year&gt;2012&lt;/year&gt;&lt;/dates&gt;&lt;publisher&gt;Wiley Online Library&lt;/publisher&gt;&lt;urls&gt;&lt;related-urls&gt;&lt;url&gt;http://onlinelibrary.wiley.com/store/10.1111/j.1365-2923.2012.04291.x/asset/j.1365-2923.2012.04291.x.pdf?v=1&amp;amp;t=ieiq1535&amp;amp;s=3d2031e70f9574ede859e51689081ca984a5b52e&lt;/url&gt;&lt;/related-urls&gt;&lt;/urls&gt;&lt;/record&gt;&lt;/Cite&gt;&lt;/EndNote&gt;</w:instrText>
        </w:r>
        <w:r w:rsidR="0094469E">
          <w:rPr>
            <w:lang w:val="en-GB"/>
          </w:rPr>
          <w:fldChar w:fldCharType="separate"/>
        </w:r>
        <w:r w:rsidR="0094469E">
          <w:rPr>
            <w:noProof/>
            <w:lang w:val="en-GB"/>
          </w:rPr>
          <w:t>Murdoch</w:t>
        </w:r>
        <w:r w:rsidR="0094469E">
          <w:rPr>
            <w:rFonts w:ascii="Cambria Math" w:hAnsi="Cambria Math" w:cs="Cambria Math"/>
            <w:noProof/>
            <w:lang w:val="en-GB"/>
          </w:rPr>
          <w:t>‐</w:t>
        </w:r>
        <w:r w:rsidR="0094469E">
          <w:rPr>
            <w:noProof/>
            <w:lang w:val="en-GB"/>
          </w:rPr>
          <w:t>Eaton and Sargeant (2012)</w:t>
        </w:r>
        <w:r w:rsidR="0094469E">
          <w:rPr>
            <w:lang w:val="en-GB"/>
          </w:rPr>
          <w:fldChar w:fldCharType="end"/>
        </w:r>
      </w:hyperlink>
      <w:r w:rsidRPr="003726FE">
        <w:rPr>
          <w:lang w:val="en-GB"/>
        </w:rPr>
        <w:t xml:space="preserve"> conducted a mixed methods study (focus group and questionnaire) on 68 students across five years of study at one UK medical school</w:t>
      </w:r>
      <w:r w:rsidR="006312B6">
        <w:rPr>
          <w:lang w:val="en-GB"/>
        </w:rPr>
        <w:t xml:space="preserve">. They </w:t>
      </w:r>
      <w:r w:rsidRPr="003726FE">
        <w:rPr>
          <w:lang w:val="en-GB"/>
        </w:rPr>
        <w:t xml:space="preserve">found that </w:t>
      </w:r>
      <w:r w:rsidR="00710893">
        <w:rPr>
          <w:lang w:val="en-GB"/>
        </w:rPr>
        <w:t>junior</w:t>
      </w:r>
      <w:r w:rsidR="00B97993" w:rsidRPr="003726FE">
        <w:rPr>
          <w:lang w:val="en-GB"/>
        </w:rPr>
        <w:t xml:space="preserve"> students preferred positive</w:t>
      </w:r>
      <w:r w:rsidRPr="003726FE">
        <w:rPr>
          <w:lang w:val="en-GB"/>
        </w:rPr>
        <w:t xml:space="preserve"> self-verifying feedback whereas senio</w:t>
      </w:r>
      <w:r w:rsidR="00B97993" w:rsidRPr="003726FE">
        <w:rPr>
          <w:lang w:val="en-GB"/>
        </w:rPr>
        <w:t>r students preferred corrective</w:t>
      </w:r>
      <w:r w:rsidRPr="003726FE">
        <w:rPr>
          <w:lang w:val="en-GB"/>
        </w:rPr>
        <w:t xml:space="preserve"> informal feedback. </w:t>
      </w:r>
      <w:r w:rsidR="00223E22" w:rsidRPr="003726FE">
        <w:rPr>
          <w:lang w:val="en-GB"/>
        </w:rPr>
        <w:t xml:space="preserve">The learners in </w:t>
      </w:r>
      <w:r w:rsidR="00B97993" w:rsidRPr="003726FE">
        <w:rPr>
          <w:lang w:val="en-GB"/>
        </w:rPr>
        <w:t>the present</w:t>
      </w:r>
      <w:r w:rsidR="00223E22" w:rsidRPr="003726FE">
        <w:rPr>
          <w:lang w:val="en-GB"/>
        </w:rPr>
        <w:t xml:space="preserve"> study could be classed as </w:t>
      </w:r>
      <w:r w:rsidR="00710893">
        <w:rPr>
          <w:lang w:val="en-GB"/>
        </w:rPr>
        <w:t>junior</w:t>
      </w:r>
      <w:r w:rsidR="00223E22" w:rsidRPr="003726FE">
        <w:rPr>
          <w:lang w:val="en-GB"/>
        </w:rPr>
        <w:t xml:space="preserve"> students, embarking upon their first clinical placement experiences</w:t>
      </w:r>
      <w:r w:rsidR="00BF407C" w:rsidRPr="003726FE">
        <w:rPr>
          <w:lang w:val="en-GB"/>
        </w:rPr>
        <w:t xml:space="preserve"> which can be a transformative experience for many in which their learning and feedback needs evolve </w:t>
      </w:r>
      <w:r w:rsidR="00EF281A" w:rsidRPr="003726FE">
        <w:rPr>
          <w:lang w:val="en-GB"/>
        </w:rPr>
        <w:fldChar w:fldCharType="begin"/>
      </w:r>
      <w:r w:rsidR="008B61BE">
        <w:rPr>
          <w:lang w:val="en-GB"/>
        </w:rPr>
        <w:instrText xml:space="preserve"> ADDIN EN.CITE &lt;EndNote&gt;&lt;Cite&gt;&lt;Author&gt;Treadway&lt;/Author&gt;&lt;Year&gt;2011&lt;/Year&gt;&lt;RecNum&gt;676&lt;/RecNum&gt;&lt;DisplayText&gt;(Treadway and Chatterjee 2011)&lt;/DisplayText&gt;&lt;record&gt;&lt;rec-number&gt;676&lt;/rec-number&gt;&lt;foreign-keys&gt;&lt;key app="EN" db-id="xa2r2ewea92trkef5dt5arvbzafvpv2za5ft" timestamp="1496417566"&gt;676&lt;/key&gt;&lt;/foreign-keys&gt;&lt;ref-type name="Journal Article"&gt;17&lt;/ref-type&gt;&lt;contributors&gt;&lt;authors&gt;&lt;author&gt;Treadway, Katharine&lt;/author&gt;&lt;author&gt;Chatterjee, Neal&lt;/author&gt;&lt;/authors&gt;&lt;/contributors&gt;&lt;titles&gt;&lt;title&gt;Into the water—the clinical clerkships&lt;/title&gt;&lt;secondary-title&gt;New England Journal of Medicine&lt;/secondary-title&gt;&lt;/titles&gt;&lt;periodical&gt;&lt;full-title&gt;New England Journal of Medicine&lt;/full-title&gt;&lt;/periodical&gt;&lt;pages&gt;1190-1193&lt;/pages&gt;&lt;volume&gt;364&lt;/volume&gt;&lt;number&gt;13&lt;/number&gt;&lt;dates&gt;&lt;year&gt;2011&lt;/year&gt;&lt;/dates&gt;&lt;isbn&gt;0028-4793&lt;/isbn&gt;&lt;urls&gt;&lt;/urls&gt;&lt;/record&gt;&lt;/Cite&gt;&lt;/EndNote&gt;</w:instrText>
      </w:r>
      <w:r w:rsidR="00EF281A" w:rsidRPr="003726FE">
        <w:rPr>
          <w:lang w:val="en-GB"/>
        </w:rPr>
        <w:fldChar w:fldCharType="separate"/>
      </w:r>
      <w:r w:rsidR="004E5A78" w:rsidRPr="003726FE">
        <w:rPr>
          <w:noProof/>
          <w:lang w:val="en-GB"/>
        </w:rPr>
        <w:t>(</w:t>
      </w:r>
      <w:hyperlink w:anchor="_ENREF_406" w:tooltip="Treadway, 2011 #676" w:history="1">
        <w:r w:rsidR="0094469E" w:rsidRPr="003726FE">
          <w:rPr>
            <w:noProof/>
            <w:lang w:val="en-GB"/>
          </w:rPr>
          <w:t>Treadway and Chatterjee 2011</w:t>
        </w:r>
      </w:hyperlink>
      <w:r w:rsidR="004E5A78" w:rsidRPr="003726FE">
        <w:rPr>
          <w:noProof/>
          <w:lang w:val="en-GB"/>
        </w:rPr>
        <w:t>)</w:t>
      </w:r>
      <w:r w:rsidR="00EF281A" w:rsidRPr="003726FE">
        <w:rPr>
          <w:lang w:val="en-GB"/>
        </w:rPr>
        <w:fldChar w:fldCharType="end"/>
      </w:r>
      <w:r w:rsidR="00BF407C" w:rsidRPr="003726FE">
        <w:rPr>
          <w:lang w:val="en-GB"/>
        </w:rPr>
        <w:t xml:space="preserve">. </w:t>
      </w:r>
      <w:r w:rsidR="003B3728">
        <w:rPr>
          <w:lang w:val="en-GB"/>
        </w:rPr>
        <w:t>T</w:t>
      </w:r>
      <w:r w:rsidR="00BF407C" w:rsidRPr="003726FE">
        <w:rPr>
          <w:lang w:val="en-GB"/>
        </w:rPr>
        <w:t xml:space="preserve">heir stage of learning was an important consideration when exploring their learning and feedback behaviours whilst on </w:t>
      </w:r>
      <w:r w:rsidR="00483DED">
        <w:rPr>
          <w:lang w:val="en-GB"/>
        </w:rPr>
        <w:t xml:space="preserve">clinical </w:t>
      </w:r>
      <w:r w:rsidR="00BF407C" w:rsidRPr="003726FE">
        <w:rPr>
          <w:lang w:val="en-GB"/>
        </w:rPr>
        <w:t>placement, having a direct impact upon their learning priorities a</w:t>
      </w:r>
      <w:r w:rsidR="006312B6">
        <w:rPr>
          <w:lang w:val="en-GB"/>
        </w:rPr>
        <w:t>nd engagement with supervisors</w:t>
      </w:r>
      <w:r w:rsidR="00BF407C" w:rsidRPr="003726FE">
        <w:rPr>
          <w:lang w:val="en-GB"/>
        </w:rPr>
        <w:t>.</w:t>
      </w:r>
    </w:p>
    <w:p w14:paraId="1B6557E2" w14:textId="77777777" w:rsidR="0085367F" w:rsidRPr="003726FE" w:rsidRDefault="0085367F" w:rsidP="00026049">
      <w:pPr>
        <w:pStyle w:val="Normal1"/>
        <w:rPr>
          <w:lang w:val="en-GB"/>
        </w:rPr>
      </w:pPr>
    </w:p>
    <w:p w14:paraId="6EEA4E08" w14:textId="1535518B" w:rsidR="000A7331" w:rsidRPr="003726FE" w:rsidRDefault="000A7331" w:rsidP="00026049">
      <w:pPr>
        <w:pStyle w:val="Normal1"/>
        <w:rPr>
          <w:lang w:val="en-GB"/>
        </w:rPr>
      </w:pPr>
      <w:r w:rsidRPr="003726FE">
        <w:rPr>
          <w:lang w:val="en-GB"/>
        </w:rPr>
        <w:t xml:space="preserve">Motivation and the level of interest in </w:t>
      </w:r>
      <w:r w:rsidR="006312B6">
        <w:rPr>
          <w:lang w:val="en-GB"/>
        </w:rPr>
        <w:t>a</w:t>
      </w:r>
      <w:r w:rsidRPr="003726FE">
        <w:rPr>
          <w:lang w:val="en-GB"/>
        </w:rPr>
        <w:t xml:space="preserve"> task have also been identified </w:t>
      </w:r>
      <w:r w:rsidR="000803FF" w:rsidRPr="003726FE">
        <w:rPr>
          <w:lang w:val="en-GB"/>
        </w:rPr>
        <w:t xml:space="preserve">as key influencers in feedback interactions and behaviours. </w:t>
      </w:r>
      <w:r w:rsidR="00710893">
        <w:rPr>
          <w:lang w:val="en-GB"/>
        </w:rPr>
        <w:t>Some</w:t>
      </w:r>
      <w:r w:rsidR="006312B6">
        <w:rPr>
          <w:lang w:val="en-GB"/>
        </w:rPr>
        <w:t xml:space="preserve"> evidence suggests that</w:t>
      </w:r>
      <w:r w:rsidR="000803FF" w:rsidRPr="003726FE">
        <w:rPr>
          <w:lang w:val="en-GB"/>
        </w:rPr>
        <w:t xml:space="preserve"> to protect self-esteem learners ‘switch-off’ to the feedback, therefore </w:t>
      </w:r>
      <w:r w:rsidR="006312B6">
        <w:rPr>
          <w:lang w:val="en-GB"/>
        </w:rPr>
        <w:t>limiting its</w:t>
      </w:r>
      <w:r w:rsidR="000803FF" w:rsidRPr="003726FE">
        <w:rPr>
          <w:lang w:val="en-GB"/>
        </w:rPr>
        <w:t xml:space="preserve"> effect upon performance </w:t>
      </w:r>
      <w:r w:rsidR="000803FF" w:rsidRPr="003726FE">
        <w:rPr>
          <w:lang w:val="en-GB"/>
        </w:rPr>
        <w:fldChar w:fldCharType="begin"/>
      </w:r>
      <w:r w:rsidR="008B61BE">
        <w:rPr>
          <w:lang w:val="en-GB"/>
        </w:rPr>
        <w:instrText xml:space="preserve"> ADDIN EN.CITE &lt;EndNote&gt;&lt;Cite&gt;&lt;Author&gt;Kluger&lt;/Author&gt;&lt;Year&gt;1996&lt;/Year&gt;&lt;RecNum&gt;134&lt;/RecNum&gt;&lt;DisplayText&gt;(Kluger and DeNisi 1996; Higgins 1997)&lt;/DisplayText&gt;&lt;record&gt;&lt;rec-number&gt;134&lt;/rec-number&gt;&lt;foreign-keys&gt;&lt;key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Association&lt;/publisher&gt;&lt;urls&gt;&lt;/urls&gt;&lt;/record&gt;&lt;/Cite&gt;&lt;Cite&gt;&lt;Author&gt;Higgins&lt;/Author&gt;&lt;Year&gt;1997&lt;/Year&gt;&lt;RecNum&gt;919&lt;/RecNum&gt;&lt;record&gt;&lt;rec-number&gt;919&lt;/rec-number&gt;&lt;foreign-keys&gt;&lt;key app="EN" db-id="xa2r2ewea92trkef5dt5arvbzafvpv2za5ft" timestamp="1496417606"&gt;919&lt;/key&gt;&lt;/foreign-keys&gt;&lt;ref-type name="Journal Article"&gt;17&lt;/ref-type&gt;&lt;contributors&gt;&lt;authors&gt;&lt;author&gt;Higgins, E Tory&lt;/author&gt;&lt;/authors&gt;&lt;/contributors&gt;&lt;titles&gt;&lt;title&gt;Beyond pleasure and pain&lt;/title&gt;&lt;secondary-title&gt;American psychologist&lt;/secondary-title&gt;&lt;/titles&gt;&lt;periodical&gt;&lt;full-title&gt;American psychologist&lt;/full-title&gt;&lt;/periodical&gt;&lt;pages&gt;1280&lt;/pages&gt;&lt;volume&gt;52&lt;/volume&gt;&lt;number&gt;12&lt;/number&gt;&lt;dates&gt;&lt;year&gt;1997&lt;/year&gt;&lt;/dates&gt;&lt;isbn&gt;1935-990X&lt;/isbn&gt;&lt;urls&gt;&lt;/urls&gt;&lt;/record&gt;&lt;/Cite&gt;&lt;/EndNote&gt;</w:instrText>
      </w:r>
      <w:r w:rsidR="000803FF" w:rsidRPr="003726FE">
        <w:rPr>
          <w:lang w:val="en-GB"/>
        </w:rPr>
        <w:fldChar w:fldCharType="separate"/>
      </w:r>
      <w:r w:rsidR="004E5A78" w:rsidRPr="003726FE">
        <w:rPr>
          <w:noProof/>
          <w:lang w:val="en-GB"/>
        </w:rPr>
        <w:t>(</w:t>
      </w:r>
      <w:hyperlink w:anchor="_ENREF_221" w:tooltip="Kluger, 1996 #134" w:history="1">
        <w:r w:rsidR="0094469E" w:rsidRPr="003726FE">
          <w:rPr>
            <w:noProof/>
            <w:lang w:val="en-GB"/>
          </w:rPr>
          <w:t>Kluger and DeNisi 1996</w:t>
        </w:r>
      </w:hyperlink>
      <w:r w:rsidR="004E5A78" w:rsidRPr="003726FE">
        <w:rPr>
          <w:noProof/>
          <w:lang w:val="en-GB"/>
        </w:rPr>
        <w:t xml:space="preserve">; </w:t>
      </w:r>
      <w:hyperlink w:anchor="_ENREF_187" w:tooltip="Higgins, 1997 #919" w:history="1">
        <w:r w:rsidR="0094469E" w:rsidRPr="003726FE">
          <w:rPr>
            <w:noProof/>
            <w:lang w:val="en-GB"/>
          </w:rPr>
          <w:t>Higgins 1997</w:t>
        </w:r>
      </w:hyperlink>
      <w:r w:rsidR="004E5A78" w:rsidRPr="003726FE">
        <w:rPr>
          <w:noProof/>
          <w:lang w:val="en-GB"/>
        </w:rPr>
        <w:t>)</w:t>
      </w:r>
      <w:r w:rsidR="000803FF" w:rsidRPr="003726FE">
        <w:rPr>
          <w:lang w:val="en-GB"/>
        </w:rPr>
        <w:fldChar w:fldCharType="end"/>
      </w:r>
      <w:r w:rsidR="000803FF" w:rsidRPr="003726FE">
        <w:rPr>
          <w:lang w:val="en-GB"/>
        </w:rPr>
        <w:t xml:space="preserve">. This </w:t>
      </w:r>
      <w:r w:rsidR="00710893">
        <w:rPr>
          <w:lang w:val="en-GB"/>
        </w:rPr>
        <w:t xml:space="preserve">is a </w:t>
      </w:r>
      <w:r w:rsidR="000803FF" w:rsidRPr="003726FE">
        <w:rPr>
          <w:lang w:val="en-GB"/>
        </w:rPr>
        <w:t xml:space="preserve">form of self-perception theory </w:t>
      </w:r>
      <w:r w:rsidR="00710893">
        <w:rPr>
          <w:lang w:val="en-GB"/>
        </w:rPr>
        <w:t xml:space="preserve">called </w:t>
      </w:r>
      <w:r w:rsidR="000803FF" w:rsidRPr="003726FE">
        <w:rPr>
          <w:lang w:val="en-GB"/>
        </w:rPr>
        <w:t xml:space="preserve">regulatory focus theory </w:t>
      </w:r>
      <w:r w:rsidR="00710893">
        <w:rPr>
          <w:lang w:val="en-GB"/>
        </w:rPr>
        <w:t xml:space="preserve">which </w:t>
      </w:r>
      <w:r w:rsidR="000803FF" w:rsidRPr="003726FE">
        <w:rPr>
          <w:lang w:val="en-GB"/>
        </w:rPr>
        <w:t xml:space="preserve">explores how motivation for specific tasks influences feedback responses </w:t>
      </w:r>
      <w:r w:rsidR="00EF281A" w:rsidRPr="003726FE">
        <w:rPr>
          <w:lang w:val="en-GB"/>
        </w:rPr>
        <w:fldChar w:fldCharType="begin"/>
      </w:r>
      <w:r w:rsidR="008B61BE">
        <w:rPr>
          <w:lang w:val="en-GB"/>
        </w:rPr>
        <w:instrText xml:space="preserve"> ADDIN EN.CITE &lt;EndNote&gt;&lt;Cite&gt;&lt;Author&gt;Watling&lt;/Author&gt;&lt;Year&gt;2014&lt;/Year&gt;&lt;RecNum&gt;918&lt;/RecNum&gt;&lt;DisplayText&gt;(Watling et al. 2014)&lt;/DisplayText&gt;&lt;record&gt;&lt;rec-number&gt;918&lt;/rec-number&gt;&lt;foreign-keys&gt;&lt;key app="EN" db-id="xa2r2ewea92trkef5dt5arvbzafvpv2za5ft" timestamp="1496417606"&gt;918&lt;/key&gt;&lt;/foreign-keys&gt;&lt;ref-type name="Journal Article"&gt;17&lt;/ref-type&gt;&lt;contributors&gt;&lt;authors&gt;&lt;author&gt;Watling, Christopher&lt;/author&gt;&lt;author&gt;Driessen, Erik&lt;/author&gt;&lt;author&gt;Vleuten, Cees PM&lt;/author&gt;&lt;author&gt;Lingard, Lorelei&lt;/author&gt;&lt;/authors&gt;&lt;/contributors&gt;&lt;titles&gt;&lt;title&gt;Learning culture and feedback: an international study of medical athletes and musicians&lt;/title&gt;&lt;secondary-title&gt;Medical education&lt;/secondary-title&gt;&lt;/titles&gt;&lt;periodical&gt;&lt;full-title&gt;Medical education&lt;/full-title&gt;&lt;/periodical&gt;&lt;pages&gt;713-723&lt;/pages&gt;&lt;volume&gt;48&lt;/volume&gt;&lt;number&gt;7&lt;/number&gt;&lt;dates&gt;&lt;year&gt;2014&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427" w:tooltip="Watling, 2014 #918" w:history="1">
        <w:r w:rsidR="0094469E" w:rsidRPr="003726FE">
          <w:rPr>
            <w:noProof/>
            <w:lang w:val="en-GB"/>
          </w:rPr>
          <w:t>Watling et al. 2014</w:t>
        </w:r>
      </w:hyperlink>
      <w:r w:rsidR="004E5A78" w:rsidRPr="003726FE">
        <w:rPr>
          <w:noProof/>
          <w:lang w:val="en-GB"/>
        </w:rPr>
        <w:t>)</w:t>
      </w:r>
      <w:r w:rsidR="00EF281A" w:rsidRPr="003726FE">
        <w:rPr>
          <w:lang w:val="en-GB"/>
        </w:rPr>
        <w:fldChar w:fldCharType="end"/>
      </w:r>
      <w:r w:rsidR="000803FF" w:rsidRPr="003726FE">
        <w:rPr>
          <w:lang w:val="en-GB"/>
        </w:rPr>
        <w:t>.</w:t>
      </w:r>
      <w:r w:rsidR="00E170D4" w:rsidRPr="003726FE">
        <w:rPr>
          <w:lang w:val="en-GB"/>
        </w:rPr>
        <w:t xml:space="preserve"> There was evidence that learners’ regulatory focus may have some impact </w:t>
      </w:r>
      <w:r w:rsidR="003B3728">
        <w:rPr>
          <w:lang w:val="en-GB"/>
        </w:rPr>
        <w:t xml:space="preserve">in </w:t>
      </w:r>
      <w:r w:rsidR="002A1C63">
        <w:rPr>
          <w:lang w:val="en-GB"/>
        </w:rPr>
        <w:t xml:space="preserve">the present </w:t>
      </w:r>
      <w:r w:rsidR="003B3728">
        <w:rPr>
          <w:lang w:val="en-GB"/>
        </w:rPr>
        <w:t xml:space="preserve">study </w:t>
      </w:r>
      <w:r w:rsidR="00E170D4" w:rsidRPr="003726FE">
        <w:rPr>
          <w:lang w:val="en-GB"/>
        </w:rPr>
        <w:t xml:space="preserve">but was deemed unsuitable as an explanatory framework, </w:t>
      </w:r>
      <w:r w:rsidR="00710893">
        <w:rPr>
          <w:lang w:val="en-GB"/>
        </w:rPr>
        <w:t>whereas</w:t>
      </w:r>
      <w:r w:rsidR="006A0B05" w:rsidRPr="003726FE">
        <w:rPr>
          <w:lang w:val="en-GB"/>
        </w:rPr>
        <w:t xml:space="preserve"> learning culture and contextual factors</w:t>
      </w:r>
      <w:r w:rsidR="00E170D4" w:rsidRPr="003726FE">
        <w:rPr>
          <w:lang w:val="en-GB"/>
        </w:rPr>
        <w:t xml:space="preserve"> were more likely to significantly impact upon responses to feedback </w:t>
      </w:r>
      <w:r w:rsidR="00E170D4" w:rsidRPr="003726FE">
        <w:rPr>
          <w:lang w:val="en-GB"/>
        </w:rPr>
        <w:fldChar w:fldCharType="begin"/>
      </w:r>
      <w:r w:rsidR="008B61BE">
        <w:rPr>
          <w:lang w:val="en-GB"/>
        </w:rPr>
        <w:instrText xml:space="preserve"> ADDIN EN.CITE &lt;EndNote&gt;&lt;Cite&gt;&lt;Author&gt;Watling&lt;/Author&gt;&lt;Year&gt;2012&lt;/Year&gt;&lt;RecNum&gt;902&lt;/RecNum&gt;&lt;DisplayText&gt;(Watling et al. 2012b; Watling et al. 2014)&lt;/DisplayText&gt;&lt;record&gt;&lt;rec-number&gt;902&lt;/rec-number&gt;&lt;foreign-keys&gt;&lt;key app="EN" db-id="xa2r2ewea92trkef5dt5arvbzafvpv2za5ft" timestamp="1496417604"&gt;902&lt;/key&gt;&lt;/foreign-keys&gt;&lt;ref-type name="Journal Article"&gt;17&lt;/ref-type&gt;&lt;contributors&gt;&lt;authors&gt;&lt;author&gt;Watling, Christopher&lt;/author&gt;&lt;author&gt;Driessen, Erik&lt;/author&gt;&lt;author&gt;van der Vleuten, Cees P. M.&lt;/author&gt;&lt;author&gt;Vanstone, Meredith&lt;/author&gt;&lt;author&gt;Lingard, Lorelei&lt;/author&gt;&lt;/authors&gt;&lt;/contributors&gt;&lt;titles&gt;&lt;title&gt;Understanding responses to feedback: the potential and limitations of regulatory focus theory&lt;/title&gt;&lt;secondary-title&gt;Medical education&lt;/secondary-title&gt;&lt;short-title&gt;Understanding responses to feedback: the potential and limitations of regulatory focus theory&lt;/short-title&gt;&lt;/titles&gt;&lt;periodical&gt;&lt;full-title&gt;Medical education&lt;/full-title&gt;&lt;/periodical&gt;&lt;pages&gt;593-603&lt;/pages&gt;&lt;volume&gt;46&lt;/volume&gt;&lt;number&gt;6&lt;/number&gt;&lt;dates&gt;&lt;year&gt;2012&lt;/year&gt;&lt;/dates&gt;&lt;urls&gt;&lt;/urls&gt;&lt;/record&gt;&lt;/Cite&gt;&lt;Cite&gt;&lt;Author&gt;Watling&lt;/Author&gt;&lt;Year&gt;2014&lt;/Year&gt;&lt;RecNum&gt;918&lt;/RecNum&gt;&lt;record&gt;&lt;rec-number&gt;918&lt;/rec-number&gt;&lt;foreign-keys&gt;&lt;key app="EN" db-id="xa2r2ewea92trkef5dt5arvbzafvpv2za5ft" timestamp="1496417606"&gt;918&lt;/key&gt;&lt;/foreign-keys&gt;&lt;ref-type name="Journal Article"&gt;17&lt;/ref-type&gt;&lt;contributors&gt;&lt;authors&gt;&lt;author&gt;Watling, Christopher&lt;/author&gt;&lt;author&gt;Driessen, Erik&lt;/author&gt;&lt;author&gt;Vleuten, Cees PM&lt;/author&gt;&lt;author&gt;Lingard, Lorelei&lt;/author&gt;&lt;/authors&gt;&lt;/contributors&gt;&lt;titles&gt;&lt;title&gt;Learning culture and feedback: an international study of medical athletes and musicians&lt;/title&gt;&lt;secondary-title&gt;Medical education&lt;/secondary-title&gt;&lt;/titles&gt;&lt;periodical&gt;&lt;full-title&gt;Medical education&lt;/full-title&gt;&lt;/periodical&gt;&lt;pages&gt;713-723&lt;/pages&gt;&lt;volume&gt;48&lt;/volume&gt;&lt;number&gt;7&lt;/number&gt;&lt;dates&gt;&lt;year&gt;2014&lt;/year&gt;&lt;/dates&gt;&lt;isbn&gt;1365-2923&lt;/isbn&gt;&lt;urls&gt;&lt;/urls&gt;&lt;/record&gt;&lt;/Cite&gt;&lt;/EndNote&gt;</w:instrText>
      </w:r>
      <w:r w:rsidR="00E170D4" w:rsidRPr="003726FE">
        <w:rPr>
          <w:lang w:val="en-GB"/>
        </w:rPr>
        <w:fldChar w:fldCharType="separate"/>
      </w:r>
      <w:r w:rsidR="004E5A78" w:rsidRPr="003726FE">
        <w:rPr>
          <w:noProof/>
          <w:lang w:val="en-GB"/>
        </w:rPr>
        <w:t>(</w:t>
      </w:r>
      <w:hyperlink w:anchor="_ENREF_426" w:tooltip="Watling, 2012 #902" w:history="1">
        <w:r w:rsidR="0094469E" w:rsidRPr="003726FE">
          <w:rPr>
            <w:noProof/>
            <w:lang w:val="en-GB"/>
          </w:rPr>
          <w:t>Watling et al. 2012b</w:t>
        </w:r>
      </w:hyperlink>
      <w:r w:rsidR="004E5A78" w:rsidRPr="003726FE">
        <w:rPr>
          <w:noProof/>
          <w:lang w:val="en-GB"/>
        </w:rPr>
        <w:t xml:space="preserve">; </w:t>
      </w:r>
      <w:hyperlink w:anchor="_ENREF_427" w:tooltip="Watling, 2014 #918" w:history="1">
        <w:r w:rsidR="0094469E" w:rsidRPr="003726FE">
          <w:rPr>
            <w:noProof/>
            <w:lang w:val="en-GB"/>
          </w:rPr>
          <w:t>Watling et al. 2014</w:t>
        </w:r>
      </w:hyperlink>
      <w:r w:rsidR="004E5A78" w:rsidRPr="003726FE">
        <w:rPr>
          <w:noProof/>
          <w:lang w:val="en-GB"/>
        </w:rPr>
        <w:t>)</w:t>
      </w:r>
      <w:r w:rsidR="00E170D4" w:rsidRPr="003726FE">
        <w:rPr>
          <w:lang w:val="en-GB"/>
        </w:rPr>
        <w:fldChar w:fldCharType="end"/>
      </w:r>
      <w:r w:rsidR="00E170D4" w:rsidRPr="003726FE">
        <w:rPr>
          <w:lang w:val="en-GB"/>
        </w:rPr>
        <w:t>.</w:t>
      </w:r>
    </w:p>
    <w:p w14:paraId="2DC06B97" w14:textId="77777777" w:rsidR="000A7331" w:rsidRPr="003726FE" w:rsidRDefault="000A7331" w:rsidP="00026049">
      <w:pPr>
        <w:pStyle w:val="Normal1"/>
        <w:rPr>
          <w:lang w:val="en-GB"/>
        </w:rPr>
      </w:pPr>
    </w:p>
    <w:p w14:paraId="2D182687" w14:textId="03356D54" w:rsidR="00E96408" w:rsidRPr="003726FE" w:rsidRDefault="00E96408" w:rsidP="00026049">
      <w:pPr>
        <w:pStyle w:val="Normal1"/>
        <w:rPr>
          <w:lang w:val="en-GB"/>
        </w:rPr>
      </w:pPr>
      <w:r w:rsidRPr="003726FE">
        <w:rPr>
          <w:lang w:val="en-GB"/>
        </w:rPr>
        <w:t xml:space="preserve">Surrounding the </w:t>
      </w:r>
      <w:r w:rsidR="00947FF1" w:rsidRPr="003726FE">
        <w:rPr>
          <w:lang w:val="en-GB"/>
        </w:rPr>
        <w:t xml:space="preserve">factors impacting upon the learner’s perception of the feedback message is the </w:t>
      </w:r>
      <w:r w:rsidR="003B3728">
        <w:rPr>
          <w:lang w:val="en-GB"/>
        </w:rPr>
        <w:t>impact</w:t>
      </w:r>
      <w:r w:rsidR="00947FF1" w:rsidRPr="003726FE">
        <w:rPr>
          <w:lang w:val="en-GB"/>
        </w:rPr>
        <w:t xml:space="preserve"> of culture and context. </w:t>
      </w:r>
      <w:hyperlink w:anchor="_ENREF_424" w:tooltip="Watling, 2014 #899" w:history="1">
        <w:r w:rsidR="0094469E" w:rsidRPr="003726FE">
          <w:rPr>
            <w:lang w:val="en-GB"/>
          </w:rPr>
          <w:fldChar w:fldCharType="begin"/>
        </w:r>
        <w:r w:rsidR="0094469E">
          <w:rPr>
            <w:lang w:val="en-GB"/>
          </w:rPr>
          <w:instrText xml:space="preserve"> ADDIN EN.CITE &lt;EndNote&gt;&lt;Cite AuthorYear="1"&gt;&lt;Author&gt;Watling&lt;/Author&gt;&lt;Year&gt;2014&lt;/Year&gt;&lt;RecNum&gt;899&lt;/RecNum&gt;&lt;DisplayText&gt;Watling (2014)&lt;/DisplayText&gt;&lt;record&gt;&lt;rec-number&gt;899&lt;/rec-number&gt;&lt;foreign-keys&gt;&lt;key app="EN" db-id="xa2r2ewea92trkef5dt5arvbzafvpv2za5ft" timestamp="1496417604"&gt;899&lt;/key&gt;&lt;/foreign-keys&gt;&lt;ref-type name="Journal Article"&gt;17&lt;/ref-type&gt;&lt;contributors&gt;&lt;authors&gt;&lt;author&gt;Watling, C.&lt;/author&gt;&lt;/authors&gt;&lt;/contributors&gt;&lt;auth-address&gt;Postgraduate Medical Education, Schulich School of Medicine and Dentistry, Western University, Medical Sciences Building Room M103, London, ON, N6A 5C1, Canada, chris.watling@schulich.uwo.ca.&lt;/auth-address&gt;&lt;titles&gt;&lt;title&gt;Cognition, culture, and credibility: deconstructing feedback in medical education&lt;/title&gt;&lt;secondary-title&gt;Perspectives on medical education&lt;/secondary-title&gt;&lt;short-title&gt;Cognition, culture, and credibility: deconstructing feedback in medical education&lt;/short-title&gt;&lt;/titles&gt;&lt;periodical&gt;&lt;full-title&gt;Perspectives on Medical Education&lt;/full-title&gt;&lt;/periodical&gt;&lt;pages&gt;124-128&lt;/pages&gt;&lt;volume&gt;3&lt;/volume&gt;&lt;number&gt;2&lt;/number&gt;&lt;dates&gt;&lt;year&gt;2014&lt;/year&gt;&lt;/dates&gt;&lt;isbn&gt;2212-2761; 2212-2761&lt;/isbn&gt;&lt;urls&gt;&lt;/urls&gt;&lt;electronic-resource-num&gt;10.1007/s40037-014-0115-2 [doi]&lt;/electronic-resource-num&gt;&lt;access-date&gt;Apr&lt;/access-date&gt;&lt;/record&gt;&lt;/Cite&gt;&lt;/EndNote&gt;</w:instrText>
        </w:r>
        <w:r w:rsidR="0094469E" w:rsidRPr="003726FE">
          <w:rPr>
            <w:lang w:val="en-GB"/>
          </w:rPr>
          <w:fldChar w:fldCharType="separate"/>
        </w:r>
        <w:r w:rsidR="0094469E" w:rsidRPr="003726FE">
          <w:rPr>
            <w:noProof/>
            <w:lang w:val="en-GB"/>
          </w:rPr>
          <w:t>Watling (2014)</w:t>
        </w:r>
        <w:r w:rsidR="0094469E" w:rsidRPr="003726FE">
          <w:rPr>
            <w:lang w:val="en-GB"/>
          </w:rPr>
          <w:fldChar w:fldCharType="end"/>
        </w:r>
      </w:hyperlink>
      <w:r w:rsidR="00947FF1" w:rsidRPr="003726FE">
        <w:rPr>
          <w:lang w:val="en-GB"/>
        </w:rPr>
        <w:t xml:space="preserve"> explored this </w:t>
      </w:r>
      <w:r w:rsidR="003B3728">
        <w:rPr>
          <w:lang w:val="en-GB"/>
        </w:rPr>
        <w:t>impact</w:t>
      </w:r>
      <w:r w:rsidR="00ED3F88" w:rsidRPr="003726FE">
        <w:rPr>
          <w:lang w:val="en-GB"/>
        </w:rPr>
        <w:t xml:space="preserve"> in </w:t>
      </w:r>
      <w:r w:rsidR="00ED3F88" w:rsidRPr="003726FE">
        <w:rPr>
          <w:lang w:val="en-GB"/>
        </w:rPr>
        <w:lastRenderedPageBreak/>
        <w:t>their short thesis of collected studies</w:t>
      </w:r>
      <w:r w:rsidR="00947FF1" w:rsidRPr="003726FE">
        <w:rPr>
          <w:lang w:val="en-GB"/>
        </w:rPr>
        <w:t>, aiming to understand how learners and their learning environments interact</w:t>
      </w:r>
      <w:r w:rsidR="003B3728">
        <w:rPr>
          <w:lang w:val="en-GB"/>
        </w:rPr>
        <w:t>ed</w:t>
      </w:r>
      <w:r w:rsidR="00947FF1" w:rsidRPr="003726FE">
        <w:rPr>
          <w:lang w:val="en-GB"/>
        </w:rPr>
        <w:t xml:space="preserve"> with the feedback message and subsequent interpretation. </w:t>
      </w:r>
      <w:r w:rsidR="00E61859" w:rsidRPr="003726FE">
        <w:rPr>
          <w:lang w:val="en-GB"/>
        </w:rPr>
        <w:t xml:space="preserve">In one of their studies, </w:t>
      </w:r>
      <w:hyperlink w:anchor="_ENREF_425" w:tooltip="Watling, 2012 #901" w:history="1">
        <w:r w:rsidR="0094469E">
          <w:rPr>
            <w:lang w:val="en-GB"/>
          </w:rPr>
          <w:fldChar w:fldCharType="begin"/>
        </w:r>
        <w:r w:rsidR="0094469E">
          <w:rPr>
            <w:lang w:val="en-GB"/>
          </w:rPr>
          <w:instrText xml:space="preserve"> ADDIN EN.CITE &lt;EndNote&gt;&lt;Cite AuthorYear="1"&gt;&lt;Author&gt;Watling&lt;/Author&gt;&lt;Year&gt;2012&lt;/Year&gt;&lt;RecNum&gt;901&lt;/RecNum&gt;&lt;DisplayText&gt;Watling et al. (2012a)&lt;/DisplayText&gt;&lt;record&gt;&lt;rec-number&gt;901&lt;/rec-number&gt;&lt;foreign-keys&gt;&lt;key app="EN" db-id="xa2r2ewea92trkef5dt5arvbzafvpv2za5ft" timestamp="1496417604"&gt;901&lt;/key&gt;&lt;/foreign-keys&gt;&lt;ref-type name="Journal Article"&gt;17&lt;/ref-type&gt;&lt;contributors&gt;&lt;authors&gt;&lt;author&gt;Watling, Christopher&lt;/author&gt;&lt;author&gt;Driessen, Erik&lt;/author&gt;&lt;author&gt;van der Vleuten, Cees P. M.&lt;/author&gt;&lt;author&gt;Lingard, Lorelei&lt;/author&gt;&lt;/authors&gt;&lt;/contributors&gt;&lt;titles&gt;&lt;title&gt;Learning from clinical work: the roles of learning cues and credibility judgements&lt;/title&gt;&lt;secondary-title&gt;Medical education&lt;/secondary-title&gt;&lt;short-title&gt;Learning from clinical work: the roles of learning cues and credibility judgements&lt;/short-title&gt;&lt;/titles&gt;&lt;periodical&gt;&lt;full-title&gt;Medical education&lt;/full-title&gt;&lt;/periodical&gt;&lt;pages&gt;192-200&lt;/pages&gt;&lt;volume&gt;46&lt;/volume&gt;&lt;number&gt;2&lt;/number&gt;&lt;dates&gt;&lt;year&gt;2012&lt;/year&gt;&lt;/dates&gt;&lt;urls&gt;&lt;/urls&gt;&lt;/record&gt;&lt;/Cite&gt;&lt;/EndNote&gt;</w:instrText>
        </w:r>
        <w:r w:rsidR="0094469E">
          <w:rPr>
            <w:lang w:val="en-GB"/>
          </w:rPr>
          <w:fldChar w:fldCharType="separate"/>
        </w:r>
        <w:r w:rsidR="0094469E">
          <w:rPr>
            <w:noProof/>
            <w:lang w:val="en-GB"/>
          </w:rPr>
          <w:t>Watling et al. (2012a)</w:t>
        </w:r>
        <w:r w:rsidR="0094469E">
          <w:rPr>
            <w:lang w:val="en-GB"/>
          </w:rPr>
          <w:fldChar w:fldCharType="end"/>
        </w:r>
      </w:hyperlink>
      <w:r w:rsidR="00ED3F88" w:rsidRPr="003726FE">
        <w:rPr>
          <w:lang w:val="en-GB"/>
        </w:rPr>
        <w:t xml:space="preserve"> identified how learning cues (information points) influence how the learner perceives feedback</w:t>
      </w:r>
      <w:r w:rsidR="00710893">
        <w:rPr>
          <w:lang w:val="en-GB"/>
        </w:rPr>
        <w:t>;</w:t>
      </w:r>
      <w:r w:rsidR="00ED3F88" w:rsidRPr="003726FE">
        <w:rPr>
          <w:lang w:val="en-GB"/>
        </w:rPr>
        <w:t xml:space="preserve"> examples are given </w:t>
      </w:r>
      <w:r w:rsidR="0021662A">
        <w:rPr>
          <w:lang w:val="en-GB"/>
        </w:rPr>
        <w:t>including</w:t>
      </w:r>
      <w:r w:rsidR="00FC0BE7" w:rsidRPr="003726FE">
        <w:rPr>
          <w:lang w:val="en-GB"/>
        </w:rPr>
        <w:t>:</w:t>
      </w:r>
      <w:r w:rsidR="00ED3F88" w:rsidRPr="003726FE">
        <w:rPr>
          <w:lang w:val="en-GB"/>
        </w:rPr>
        <w:t xml:space="preserve"> learning priorities, su</w:t>
      </w:r>
      <w:r w:rsidR="003B3728">
        <w:rPr>
          <w:lang w:val="en-GB"/>
        </w:rPr>
        <w:t>pervisors, and patient responses</w:t>
      </w:r>
      <w:r w:rsidR="00FC0BE7" w:rsidRPr="003726FE">
        <w:rPr>
          <w:lang w:val="en-GB"/>
        </w:rPr>
        <w:t>. They recommend</w:t>
      </w:r>
      <w:r w:rsidR="006312B6">
        <w:rPr>
          <w:lang w:val="en-GB"/>
        </w:rPr>
        <w:t>ed</w:t>
      </w:r>
      <w:r w:rsidR="00FC0BE7" w:rsidRPr="003726FE">
        <w:rPr>
          <w:lang w:val="en-GB"/>
        </w:rPr>
        <w:t xml:space="preserve"> that</w:t>
      </w:r>
      <w:r w:rsidR="006312B6">
        <w:rPr>
          <w:lang w:val="en-GB"/>
        </w:rPr>
        <w:t>:</w:t>
      </w:r>
      <w:r w:rsidR="00ED3F88" w:rsidRPr="003726FE">
        <w:rPr>
          <w:lang w:val="en-GB"/>
        </w:rPr>
        <w:t xml:space="preserve"> “To win a learner’s attention and become influential, feedback must survive a critical judgement of its credibility” </w:t>
      </w:r>
      <w:r w:rsidR="00EF281A" w:rsidRPr="003726FE">
        <w:rPr>
          <w:lang w:val="en-GB"/>
        </w:rPr>
        <w:fldChar w:fldCharType="begin"/>
      </w:r>
      <w:r w:rsidR="008B61BE">
        <w:rPr>
          <w:lang w:val="en-GB"/>
        </w:rPr>
        <w:instrText xml:space="preserve"> ADDIN EN.CITE &lt;EndNote&gt;&lt;Cite&gt;&lt;Author&gt;Watling&lt;/Author&gt;&lt;Year&gt;2014&lt;/Year&gt;&lt;RecNum&gt;899&lt;/RecNum&gt;&lt;Pages&gt;125&lt;/Pages&gt;&lt;DisplayText&gt;(Watling 2014, p. 125)&lt;/DisplayText&gt;&lt;record&gt;&lt;rec-number&gt;899&lt;/rec-number&gt;&lt;foreign-keys&gt;&lt;key app="EN" db-id="xa2r2ewea92trkef5dt5arvbzafvpv2za5ft" timestamp="1496417604"&gt;899&lt;/key&gt;&lt;/foreign-keys&gt;&lt;ref-type name="Journal Article"&gt;17&lt;/ref-type&gt;&lt;contributors&gt;&lt;authors&gt;&lt;author&gt;Watling, C.&lt;/author&gt;&lt;/authors&gt;&lt;/contributors&gt;&lt;auth-address&gt;Postgraduate Medical Education, Schulich School of Medicine and Dentistry, Western University, Medical Sciences Building Room M103, London, ON, N6A 5C1, Canada, chris.watling@schulich.uwo.ca.&lt;/auth-address&gt;&lt;titles&gt;&lt;title&gt;Cognition, culture, and credibility: deconstructing feedback in medical education&lt;/title&gt;&lt;secondary-title&gt;Perspectives on medical education&lt;/secondary-title&gt;&lt;short-title&gt;Cognition, culture, and credibility: deconstructing feedback in medical education&lt;/short-title&gt;&lt;/titles&gt;&lt;periodical&gt;&lt;full-title&gt;Perspectives on Medical Education&lt;/full-title&gt;&lt;/periodical&gt;&lt;pages&gt;124-128&lt;/pages&gt;&lt;volume&gt;3&lt;/volume&gt;&lt;number&gt;2&lt;/number&gt;&lt;dates&gt;&lt;year&gt;2014&lt;/year&gt;&lt;/dates&gt;&lt;isbn&gt;2212-2761; 2212-2761&lt;/isbn&gt;&lt;urls&gt;&lt;/urls&gt;&lt;electronic-resource-num&gt;10.1007/s40037-014-0115-2 [doi]&lt;/electronic-resource-num&gt;&lt;access-date&gt;Apr&lt;/access-date&gt;&lt;/record&gt;&lt;/Cite&gt;&lt;/EndNote&gt;</w:instrText>
      </w:r>
      <w:r w:rsidR="00EF281A" w:rsidRPr="003726FE">
        <w:rPr>
          <w:lang w:val="en-GB"/>
        </w:rPr>
        <w:fldChar w:fldCharType="separate"/>
      </w:r>
      <w:r w:rsidR="004E5A78" w:rsidRPr="003726FE">
        <w:rPr>
          <w:noProof/>
          <w:lang w:val="en-GB"/>
        </w:rPr>
        <w:t>(</w:t>
      </w:r>
      <w:hyperlink w:anchor="_ENREF_424" w:tooltip="Watling, 2014 #899" w:history="1">
        <w:r w:rsidR="0094469E" w:rsidRPr="003726FE">
          <w:rPr>
            <w:noProof/>
            <w:lang w:val="en-GB"/>
          </w:rPr>
          <w:t>Watling 2014, p. 125</w:t>
        </w:r>
      </w:hyperlink>
      <w:r w:rsidR="004E5A78" w:rsidRPr="003726FE">
        <w:rPr>
          <w:noProof/>
          <w:lang w:val="en-GB"/>
        </w:rPr>
        <w:t>)</w:t>
      </w:r>
      <w:r w:rsidR="00EF281A" w:rsidRPr="003726FE">
        <w:rPr>
          <w:lang w:val="en-GB"/>
        </w:rPr>
        <w:fldChar w:fldCharType="end"/>
      </w:r>
      <w:r w:rsidR="00E61859" w:rsidRPr="003726FE">
        <w:rPr>
          <w:lang w:val="en-GB"/>
        </w:rPr>
        <w:t xml:space="preserve">. The summary of their </w:t>
      </w:r>
      <w:r w:rsidR="001A38C9" w:rsidRPr="003726FE">
        <w:rPr>
          <w:lang w:val="en-GB"/>
        </w:rPr>
        <w:t>thesis outline</w:t>
      </w:r>
      <w:r w:rsidR="00FC0BE7" w:rsidRPr="003726FE">
        <w:rPr>
          <w:lang w:val="en-GB"/>
        </w:rPr>
        <w:t>d</w:t>
      </w:r>
      <w:r w:rsidR="006312B6">
        <w:rPr>
          <w:lang w:val="en-GB"/>
        </w:rPr>
        <w:t xml:space="preserve"> the</w:t>
      </w:r>
      <w:r w:rsidR="001A38C9" w:rsidRPr="003726FE">
        <w:rPr>
          <w:lang w:val="en-GB"/>
        </w:rPr>
        <w:t xml:space="preserve"> argument</w:t>
      </w:r>
      <w:r w:rsidR="00E61859" w:rsidRPr="003726FE">
        <w:rPr>
          <w:lang w:val="en-GB"/>
        </w:rPr>
        <w:t xml:space="preserve"> for </w:t>
      </w:r>
      <w:r w:rsidR="00FC0BE7" w:rsidRPr="003726FE">
        <w:rPr>
          <w:lang w:val="en-GB"/>
        </w:rPr>
        <w:t>a feedback model which</w:t>
      </w:r>
      <w:r w:rsidR="001A38C9" w:rsidRPr="003726FE">
        <w:rPr>
          <w:lang w:val="en-GB"/>
        </w:rPr>
        <w:t xml:space="preserve"> “considers both the individual learner and the learning culture as essential and inseparable elements of the process.” </w:t>
      </w:r>
      <w:r w:rsidR="00EF281A" w:rsidRPr="003726FE">
        <w:rPr>
          <w:lang w:val="en-GB"/>
        </w:rPr>
        <w:fldChar w:fldCharType="begin"/>
      </w:r>
      <w:r w:rsidR="008B61BE">
        <w:rPr>
          <w:lang w:val="en-GB"/>
        </w:rPr>
        <w:instrText xml:space="preserve"> ADDIN EN.CITE &lt;EndNote&gt;&lt;Cite&gt;&lt;Author&gt;Watling&lt;/Author&gt;&lt;Year&gt;2014&lt;/Year&gt;&lt;RecNum&gt;899&lt;/RecNum&gt;&lt;Pages&gt;127&lt;/Pages&gt;&lt;DisplayText&gt;(Watling 2014, p. 127)&lt;/DisplayText&gt;&lt;record&gt;&lt;rec-number&gt;899&lt;/rec-number&gt;&lt;foreign-keys&gt;&lt;key app="EN" db-id="xa2r2ewea92trkef5dt5arvbzafvpv2za5ft" timestamp="1496417604"&gt;899&lt;/key&gt;&lt;/foreign-keys&gt;&lt;ref-type name="Journal Article"&gt;17&lt;/ref-type&gt;&lt;contributors&gt;&lt;authors&gt;&lt;author&gt;Watling, C.&lt;/author&gt;&lt;/authors&gt;&lt;/contributors&gt;&lt;auth-address&gt;Postgraduate Medical Education, Schulich School of Medicine and Dentistry, Western University, Medical Sciences Building Room M103, London, ON, N6A 5C1, Canada, chris.watling@schulich.uwo.ca.&lt;/auth-address&gt;&lt;titles&gt;&lt;title&gt;Cognition, culture, and credibility: deconstructing feedback in medical education&lt;/title&gt;&lt;secondary-title&gt;Perspectives on medical education&lt;/secondary-title&gt;&lt;short-title&gt;Cognition, culture, and credibility: deconstructing feedback in medical education&lt;/short-title&gt;&lt;/titles&gt;&lt;periodical&gt;&lt;full-title&gt;Perspectives on Medical Education&lt;/full-title&gt;&lt;/periodical&gt;&lt;pages&gt;124-128&lt;/pages&gt;&lt;volume&gt;3&lt;/volume&gt;&lt;number&gt;2&lt;/number&gt;&lt;dates&gt;&lt;year&gt;2014&lt;/year&gt;&lt;/dates&gt;&lt;isbn&gt;2212-2761; 2212-2761&lt;/isbn&gt;&lt;urls&gt;&lt;/urls&gt;&lt;electronic-resource-num&gt;10.1007/s40037-014-0115-2 [doi]&lt;/electronic-resource-num&gt;&lt;access-date&gt;Apr&lt;/access-date&gt;&lt;/record&gt;&lt;/Cite&gt;&lt;/EndNote&gt;</w:instrText>
      </w:r>
      <w:r w:rsidR="00EF281A" w:rsidRPr="003726FE">
        <w:rPr>
          <w:lang w:val="en-GB"/>
        </w:rPr>
        <w:fldChar w:fldCharType="separate"/>
      </w:r>
      <w:r w:rsidR="004E5A78" w:rsidRPr="003726FE">
        <w:rPr>
          <w:noProof/>
          <w:lang w:val="en-GB"/>
        </w:rPr>
        <w:t>(</w:t>
      </w:r>
      <w:hyperlink w:anchor="_ENREF_424" w:tooltip="Watling, 2014 #899" w:history="1">
        <w:r w:rsidR="0094469E" w:rsidRPr="003726FE">
          <w:rPr>
            <w:noProof/>
            <w:lang w:val="en-GB"/>
          </w:rPr>
          <w:t>Watling 2014, p. 127</w:t>
        </w:r>
      </w:hyperlink>
      <w:r w:rsidR="004E5A78" w:rsidRPr="003726FE">
        <w:rPr>
          <w:noProof/>
          <w:lang w:val="en-GB"/>
        </w:rPr>
        <w:t>)</w:t>
      </w:r>
      <w:r w:rsidR="00EF281A" w:rsidRPr="003726FE">
        <w:rPr>
          <w:lang w:val="en-GB"/>
        </w:rPr>
        <w:fldChar w:fldCharType="end"/>
      </w:r>
      <w:r w:rsidR="001A38C9" w:rsidRPr="003726FE">
        <w:rPr>
          <w:lang w:val="en-GB"/>
        </w:rPr>
        <w:t xml:space="preserve">. </w:t>
      </w:r>
      <w:r w:rsidR="00C65F22" w:rsidRPr="003726FE">
        <w:rPr>
          <w:lang w:val="en-GB"/>
        </w:rPr>
        <w:t>A social cognitive view was adopted for</w:t>
      </w:r>
      <w:r w:rsidR="001A38C9" w:rsidRPr="003726FE">
        <w:rPr>
          <w:lang w:val="en-GB"/>
        </w:rPr>
        <w:t xml:space="preserve"> the present study</w:t>
      </w:r>
      <w:r w:rsidR="00C65F22" w:rsidRPr="003726FE">
        <w:rPr>
          <w:lang w:val="en-GB"/>
        </w:rPr>
        <w:t xml:space="preserve"> in an attempt to directly consider these issues;</w:t>
      </w:r>
      <w:r w:rsidR="001A38C9" w:rsidRPr="003726FE">
        <w:rPr>
          <w:lang w:val="en-GB"/>
        </w:rPr>
        <w:t xml:space="preserve"> situational and contextual influences were identified as a standalone theme in Chapter C2 as well as a component in feedback behaviours, filling a gap identified by </w:t>
      </w:r>
      <w:hyperlink w:anchor="_ENREF_425" w:tooltip="Watling, 2012 #901" w:history="1">
        <w:r w:rsidR="0094469E" w:rsidRPr="003726FE">
          <w:rPr>
            <w:lang w:val="en-GB"/>
          </w:rPr>
          <w:fldChar w:fldCharType="begin"/>
        </w:r>
        <w:r w:rsidR="0094469E">
          <w:rPr>
            <w:lang w:val="en-GB"/>
          </w:rPr>
          <w:instrText xml:space="preserve"> ADDIN EN.CITE &lt;EndNote&gt;&lt;Cite AuthorYear="1"&gt;&lt;Author&gt;Watling&lt;/Author&gt;&lt;Year&gt;2012&lt;/Year&gt;&lt;RecNum&gt;901&lt;/RecNum&gt;&lt;DisplayText&gt;Watling et al. (2012a)&lt;/DisplayText&gt;&lt;record&gt;&lt;rec-number&gt;901&lt;/rec-number&gt;&lt;foreign-keys&gt;&lt;key app="EN" db-id="xa2r2ewea92trkef5dt5arvbzafvpv2za5ft" timestamp="1496417604"&gt;901&lt;/key&gt;&lt;/foreign-keys&gt;&lt;ref-type name="Journal Article"&gt;17&lt;/ref-type&gt;&lt;contributors&gt;&lt;authors&gt;&lt;author&gt;Watling, Christopher&lt;/author&gt;&lt;author&gt;Driessen, Erik&lt;/author&gt;&lt;author&gt;van der Vleuten, Cees P. M.&lt;/author&gt;&lt;author&gt;Lingard, Lorelei&lt;/author&gt;&lt;/authors&gt;&lt;/contributors&gt;&lt;titles&gt;&lt;title&gt;Learning from clinical work: the roles of learning cues and credibility judgements&lt;/title&gt;&lt;secondary-title&gt;Medical education&lt;/secondary-title&gt;&lt;short-title&gt;Learning from clinical work: the roles of learning cues and credibility judgements&lt;/short-title&gt;&lt;/titles&gt;&lt;periodical&gt;&lt;full-title&gt;Medical education&lt;/full-title&gt;&lt;/periodical&gt;&lt;pages&gt;192-200&lt;/pages&gt;&lt;volume&gt;46&lt;/volume&gt;&lt;number&gt;2&lt;/number&gt;&lt;dates&gt;&lt;year&gt;2012&lt;/year&gt;&lt;/dates&gt;&lt;urls&gt;&lt;/urls&gt;&lt;/record&gt;&lt;/Cite&gt;&lt;/EndNote&gt;</w:instrText>
        </w:r>
        <w:r w:rsidR="0094469E" w:rsidRPr="003726FE">
          <w:rPr>
            <w:lang w:val="en-GB"/>
          </w:rPr>
          <w:fldChar w:fldCharType="separate"/>
        </w:r>
        <w:r w:rsidR="0094469E" w:rsidRPr="003726FE">
          <w:rPr>
            <w:noProof/>
            <w:lang w:val="en-GB"/>
          </w:rPr>
          <w:t>Watling et al. (2012a)</w:t>
        </w:r>
        <w:r w:rsidR="0094469E" w:rsidRPr="003726FE">
          <w:rPr>
            <w:lang w:val="en-GB"/>
          </w:rPr>
          <w:fldChar w:fldCharType="end"/>
        </w:r>
      </w:hyperlink>
      <w:r w:rsidR="001A38C9" w:rsidRPr="003726FE">
        <w:rPr>
          <w:lang w:val="en-GB"/>
        </w:rPr>
        <w:t>.</w:t>
      </w:r>
    </w:p>
    <w:p w14:paraId="128AE761" w14:textId="77777777" w:rsidR="00E96408" w:rsidRPr="003726FE" w:rsidRDefault="00E96408" w:rsidP="00026049">
      <w:pPr>
        <w:pStyle w:val="Normal1"/>
        <w:rPr>
          <w:lang w:val="en-GB"/>
        </w:rPr>
      </w:pPr>
    </w:p>
    <w:p w14:paraId="3D443221" w14:textId="28C3F146" w:rsidR="00C6465A" w:rsidRPr="003726FE" w:rsidRDefault="000532E2" w:rsidP="00026049">
      <w:pPr>
        <w:pStyle w:val="Normal1"/>
        <w:rPr>
          <w:lang w:val="en-GB"/>
        </w:rPr>
      </w:pPr>
      <w:hyperlink w:anchor="_ENREF_49" w:tooltip="Boud, 2013 #714" w:history="1">
        <w:r w:rsidR="0094469E" w:rsidRPr="003726FE">
          <w:rPr>
            <w:lang w:val="en-GB"/>
          </w:rPr>
          <w:fldChar w:fldCharType="begin"/>
        </w:r>
        <w:r w:rsidR="0094469E">
          <w:rPr>
            <w:lang w:val="en-GB"/>
          </w:rPr>
          <w:instrText xml:space="preserve"> ADDIN EN.CITE &lt;EndNote&gt;&lt;Cite AuthorYear="1"&gt;&lt;Author&gt;Boud&lt;/Author&gt;&lt;Year&gt;2013&lt;/Year&gt;&lt;RecNum&gt;714&lt;/RecNum&gt;&lt;DisplayText&gt;Boud and Molloy (2013)&lt;/DisplayText&gt;&lt;record&gt;&lt;rec-number&gt;714&lt;/rec-number&gt;&lt;foreign-keys&gt;&lt;key app="EN" db-id="xa2r2ewea92trkef5dt5arvbzafvpv2za5ft" timestamp="1496417569"&gt;714&lt;/key&gt;&lt;/foreign-keys&gt;&lt;ref-type name="Journal Article"&gt;17&lt;/ref-type&gt;&lt;contributors&gt;&lt;authors&gt;&lt;author&gt;Boud, David&lt;/author&gt;&lt;author&gt;Molloy, Elizabeth&lt;/author&gt;&lt;/authors&gt;&lt;/contributors&gt;&lt;titles&gt;&lt;title&gt;Rethinking models of feedback for learning: the challenge of design&lt;/title&gt;&lt;secondary-title&gt;Assessment &amp;amp; Evaluation in Higher Education&lt;/secondary-title&gt;&lt;/titles&gt;&lt;periodical&gt;&lt;full-title&gt;Assessment &amp;amp; Evaluation in Higher Education&lt;/full-title&gt;&lt;/periodical&gt;&lt;pages&gt;698-712&lt;/pages&gt;&lt;volume&gt;38&lt;/volume&gt;&lt;number&gt;6&lt;/number&gt;&lt;dates&gt;&lt;year&gt;2013&lt;/year&gt;&lt;/dates&gt;&lt;isbn&gt;0260-2938&lt;/isbn&gt;&lt;urls&gt;&lt;/urls&gt;&lt;/record&gt;&lt;/Cite&gt;&lt;/EndNote&gt;</w:instrText>
        </w:r>
        <w:r w:rsidR="0094469E" w:rsidRPr="003726FE">
          <w:rPr>
            <w:lang w:val="en-GB"/>
          </w:rPr>
          <w:fldChar w:fldCharType="separate"/>
        </w:r>
        <w:r w:rsidR="0094469E" w:rsidRPr="003726FE">
          <w:rPr>
            <w:noProof/>
            <w:lang w:val="en-GB"/>
          </w:rPr>
          <w:t>Boud and Molloy (2013)</w:t>
        </w:r>
        <w:r w:rsidR="0094469E" w:rsidRPr="003726FE">
          <w:rPr>
            <w:lang w:val="en-GB"/>
          </w:rPr>
          <w:fldChar w:fldCharType="end"/>
        </w:r>
      </w:hyperlink>
      <w:r w:rsidR="0085367F" w:rsidRPr="003726FE">
        <w:rPr>
          <w:lang w:val="en-GB"/>
        </w:rPr>
        <w:t xml:space="preserve"> encouraged researchers to consider how students use feedback for future </w:t>
      </w:r>
      <w:r w:rsidR="00FC0FFB" w:rsidRPr="003726FE">
        <w:rPr>
          <w:lang w:val="en-GB"/>
        </w:rPr>
        <w:t>learning to</w:t>
      </w:r>
      <w:r w:rsidR="0085367F" w:rsidRPr="003726FE">
        <w:rPr>
          <w:lang w:val="en-GB"/>
        </w:rPr>
        <w:t xml:space="preserve"> truly understand the effectiveness of delivered feedback. However, the link between feedback and its use for improving performance in specific assessments has been difficult to establish </w:t>
      </w:r>
      <w:r w:rsidR="00EF281A" w:rsidRPr="003726FE">
        <w:rPr>
          <w:lang w:val="en-GB"/>
        </w:rPr>
        <w:fldChar w:fldCharType="begin"/>
      </w:r>
      <w:r w:rsidR="008B61BE">
        <w:rPr>
          <w:lang w:val="en-GB"/>
        </w:rPr>
        <w:instrText xml:space="preserve"> ADDIN EN.CITE &lt;EndNote&gt;&lt;Cite&gt;&lt;Author&gt;Jonsson&lt;/Author&gt;&lt;Year&gt;2013&lt;/Year&gt;&lt;RecNum&gt;914&lt;/RecNum&gt;&lt;DisplayText&gt;(Jonsson 2013)&lt;/DisplayText&gt;&lt;record&gt;&lt;rec-number&gt;914&lt;/rec-number&gt;&lt;foreign-keys&gt;&lt;key app="EN" db-id="xa2r2ewea92trkef5dt5arvbzafvpv2za5ft" timestamp="1496417606"&gt;914&lt;/key&gt;&lt;/foreign-keys&gt;&lt;ref-type name="Journal Article"&gt;17&lt;/ref-type&gt;&lt;contributors&gt;&lt;authors&gt;&lt;author&gt;Jonsson, Anders&lt;/author&gt;&lt;/authors&gt;&lt;/contributors&gt;&lt;titles&gt;&lt;title&gt;Facilitating productive use of feedback in higher education&lt;/title&gt;&lt;secondary-title&gt;Active learning in higher education&lt;/secondary-title&gt;&lt;/titles&gt;&lt;periodical&gt;&lt;full-title&gt;Active learning in higher education&lt;/full-title&gt;&lt;/periodical&gt;&lt;pages&gt;63-76&lt;/pages&gt;&lt;volume&gt;14&lt;/volume&gt;&lt;number&gt;1&lt;/number&gt;&lt;dates&gt;&lt;year&gt;2013&lt;/year&gt;&lt;/dates&gt;&lt;isbn&gt;1469-7874&lt;/isbn&gt;&lt;urls&gt;&lt;/urls&gt;&lt;/record&gt;&lt;/Cite&gt;&lt;/EndNote&gt;</w:instrText>
      </w:r>
      <w:r w:rsidR="00EF281A" w:rsidRPr="003726FE">
        <w:rPr>
          <w:lang w:val="en-GB"/>
        </w:rPr>
        <w:fldChar w:fldCharType="separate"/>
      </w:r>
      <w:r w:rsidR="004E5A78" w:rsidRPr="003726FE">
        <w:rPr>
          <w:noProof/>
          <w:lang w:val="en-GB"/>
        </w:rPr>
        <w:t>(</w:t>
      </w:r>
      <w:hyperlink w:anchor="_ENREF_208" w:tooltip="Jonsson, 2013 #914" w:history="1">
        <w:r w:rsidR="0094469E" w:rsidRPr="003726FE">
          <w:rPr>
            <w:noProof/>
            <w:lang w:val="en-GB"/>
          </w:rPr>
          <w:t>Jonsson 2013</w:t>
        </w:r>
      </w:hyperlink>
      <w:r w:rsidR="004E5A78" w:rsidRPr="003726FE">
        <w:rPr>
          <w:noProof/>
          <w:lang w:val="en-GB"/>
        </w:rPr>
        <w:t>)</w:t>
      </w:r>
      <w:r w:rsidR="00EF281A" w:rsidRPr="003726FE">
        <w:rPr>
          <w:lang w:val="en-GB"/>
        </w:rPr>
        <w:fldChar w:fldCharType="end"/>
      </w:r>
      <w:r w:rsidR="0085367F" w:rsidRPr="003726FE">
        <w:rPr>
          <w:lang w:val="en-GB"/>
        </w:rPr>
        <w:t xml:space="preserve">. In fact, there </w:t>
      </w:r>
      <w:r w:rsidR="006312B6">
        <w:rPr>
          <w:lang w:val="en-GB"/>
        </w:rPr>
        <w:t>are</w:t>
      </w:r>
      <w:r w:rsidR="0085367F" w:rsidRPr="003726FE">
        <w:rPr>
          <w:lang w:val="en-GB"/>
        </w:rPr>
        <w:t xml:space="preserve"> studies that indicate students may</w:t>
      </w:r>
      <w:r w:rsidR="00C6465A" w:rsidRPr="003726FE">
        <w:rPr>
          <w:lang w:val="en-GB"/>
        </w:rPr>
        <w:t xml:space="preserve"> </w:t>
      </w:r>
      <w:r w:rsidR="00013DDC" w:rsidRPr="003726FE">
        <w:rPr>
          <w:lang w:val="en-GB"/>
        </w:rPr>
        <w:t xml:space="preserve">not engage, or have the tools to engage, with received feedback that is written or must be collected and stored </w:t>
      </w:r>
      <w:r w:rsidR="00013DDC" w:rsidRPr="003726FE">
        <w:rPr>
          <w:lang w:val="en-GB"/>
        </w:rPr>
        <w:fldChar w:fldCharType="begin"/>
      </w:r>
      <w:r w:rsidR="008B61BE">
        <w:rPr>
          <w:lang w:val="en-GB"/>
        </w:rPr>
        <w:instrText xml:space="preserve"> ADDIN EN.CITE &lt;EndNote&gt;&lt;Cite&gt;&lt;Author&gt;Sinclair&lt;/Author&gt;&lt;Year&gt;2007&lt;/Year&gt;&lt;RecNum&gt;915&lt;/RecNum&gt;&lt;DisplayText&gt;(Sinclair and Cleland 2007; Furnborough and Truman 2009)&lt;/DisplayText&gt;&lt;record&gt;&lt;rec-number&gt;915&lt;/rec-number&gt;&lt;foreign-keys&gt;&lt;key app="EN" db-id="xa2r2ewea92trkef5dt5arvbzafvpv2za5ft" timestamp="1496417606"&gt;915&lt;/key&gt;&lt;/foreign-keys&gt;&lt;ref-type name="Journal Article"&gt;17&lt;/ref-type&gt;&lt;contributors&gt;&lt;authors&gt;&lt;author&gt;Sinclair, Hazel K&lt;/author&gt;&lt;author&gt;Cleland, Jennifer A&lt;/author&gt;&lt;/authors&gt;&lt;/contributors&gt;&lt;titles&gt;&lt;title&gt;Undergraduate medical students: who seeks formative feedback?&lt;/title&gt;&lt;secondary-title&gt;Medical education&lt;/secondary-title&gt;&lt;/titles&gt;&lt;periodical&gt;&lt;full-title&gt;Medical education&lt;/full-title&gt;&lt;/periodical&gt;&lt;pages&gt;580-582&lt;/pages&gt;&lt;volume&gt;41&lt;/volume&gt;&lt;number&gt;6&lt;/number&gt;&lt;dates&gt;&lt;year&gt;2007&lt;/year&gt;&lt;/dates&gt;&lt;isbn&gt;1365-2923&lt;/isbn&gt;&lt;urls&gt;&lt;/urls&gt;&lt;/record&gt;&lt;/Cite&gt;&lt;Cite&gt;&lt;Author&gt;Furnborough&lt;/Author&gt;&lt;Year&gt;2009&lt;/Year&gt;&lt;RecNum&gt;916&lt;/RecNum&gt;&lt;record&gt;&lt;rec-number&gt;916&lt;/rec-number&gt;&lt;foreign-keys&gt;&lt;key app="EN" db-id="xa2r2ewea92trkef5dt5arvbzafvpv2za5ft" timestamp="1496417606"&gt;916&lt;/key&gt;&lt;/foreign-keys&gt;&lt;ref-type name="Journal Article"&gt;17&lt;/ref-type&gt;&lt;contributors&gt;&lt;authors&gt;&lt;author&gt;Furnborough, Concha&lt;/author&gt;&lt;author&gt;Truman, Mike&lt;/author&gt;&lt;/authors&gt;&lt;/contributors&gt;&lt;titles&gt;&lt;title&gt;Adult beginner distance language learner perceptions and use of assignment feedback&lt;/title&gt;&lt;secondary-title&gt;Distance Education&lt;/secondary-title&gt;&lt;/titles&gt;&lt;periodical&gt;&lt;full-title&gt;Distance Education&lt;/full-title&gt;&lt;/periodical&gt;&lt;pages&gt;399-418&lt;/pages&gt;&lt;volume&gt;30&lt;/volume&gt;&lt;number&gt;3&lt;/number&gt;&lt;dates&gt;&lt;year&gt;2009&lt;/year&gt;&lt;/dates&gt;&lt;isbn&gt;0158-7919&lt;/isbn&gt;&lt;urls&gt;&lt;/urls&gt;&lt;/record&gt;&lt;/Cite&gt;&lt;/EndNote&gt;</w:instrText>
      </w:r>
      <w:r w:rsidR="00013DDC" w:rsidRPr="003726FE">
        <w:rPr>
          <w:lang w:val="en-GB"/>
        </w:rPr>
        <w:fldChar w:fldCharType="separate"/>
      </w:r>
      <w:r w:rsidR="004E5A78" w:rsidRPr="003726FE">
        <w:rPr>
          <w:noProof/>
          <w:lang w:val="en-GB"/>
        </w:rPr>
        <w:t>(</w:t>
      </w:r>
      <w:hyperlink w:anchor="_ENREF_387" w:tooltip="Sinclair, 2007 #915" w:history="1">
        <w:r w:rsidR="0094469E" w:rsidRPr="003726FE">
          <w:rPr>
            <w:noProof/>
            <w:lang w:val="en-GB"/>
          </w:rPr>
          <w:t>Sinclair and Cleland 2007</w:t>
        </w:r>
      </w:hyperlink>
      <w:r w:rsidR="004E5A78" w:rsidRPr="003726FE">
        <w:rPr>
          <w:noProof/>
          <w:lang w:val="en-GB"/>
        </w:rPr>
        <w:t xml:space="preserve">; </w:t>
      </w:r>
      <w:hyperlink w:anchor="_ENREF_154" w:tooltip="Furnborough, 2009 #916" w:history="1">
        <w:r w:rsidR="0094469E" w:rsidRPr="003726FE">
          <w:rPr>
            <w:noProof/>
            <w:lang w:val="en-GB"/>
          </w:rPr>
          <w:t>Furnborough and Truman 2009</w:t>
        </w:r>
      </w:hyperlink>
      <w:r w:rsidR="004E5A78" w:rsidRPr="003726FE">
        <w:rPr>
          <w:noProof/>
          <w:lang w:val="en-GB"/>
        </w:rPr>
        <w:t>)</w:t>
      </w:r>
      <w:r w:rsidR="00013DDC" w:rsidRPr="003726FE">
        <w:rPr>
          <w:lang w:val="en-GB"/>
        </w:rPr>
        <w:fldChar w:fldCharType="end"/>
      </w:r>
      <w:r w:rsidR="00013DDC" w:rsidRPr="003726FE">
        <w:rPr>
          <w:lang w:val="en-GB"/>
        </w:rPr>
        <w:t xml:space="preserve">. </w:t>
      </w:r>
      <w:hyperlink w:anchor="_ENREF_453" w:tooltip="Zimbardi, 2017 #917" w:history="1">
        <w:r w:rsidR="0094469E" w:rsidRPr="003726FE">
          <w:rPr>
            <w:lang w:val="en-GB"/>
          </w:rPr>
          <w:fldChar w:fldCharType="begin"/>
        </w:r>
        <w:r w:rsidR="0094469E">
          <w:rPr>
            <w:lang w:val="en-GB"/>
          </w:rPr>
          <w:instrText xml:space="preserve"> ADDIN EN.CITE &lt;EndNote&gt;&lt;Cite AuthorYear="1"&gt;&lt;Author&gt;Zimbardi&lt;/Author&gt;&lt;Year&gt;2017&lt;/Year&gt;&lt;RecNum&gt;917&lt;/RecNum&gt;&lt;DisplayText&gt;Zimbardi et al. (2017)&lt;/DisplayText&gt;&lt;record&gt;&lt;rec-number&gt;917&lt;/rec-number&gt;&lt;foreign-keys&gt;&lt;key app="EN" db-id="xa2r2ewea92trkef5dt5arvbzafvpv2za5ft" timestamp="1496417606"&gt;917&lt;/key&gt;&lt;/foreign-keys&gt;&lt;ref-type name="Journal Article"&gt;17&lt;/ref-type&gt;&lt;contributors&gt;&lt;authors&gt;&lt;author&gt;Zimbardi, Kirsten&lt;/author&gt;&lt;author&gt;Colthorpe, Kay&lt;/author&gt;&lt;author&gt;Dekker, Andrew&lt;/author&gt;&lt;author&gt;Engstrom, Craig&lt;/author&gt;&lt;author&gt;Bugarcic, Andrea&lt;/author&gt;&lt;author&gt;Worthy, Peter&lt;/author&gt;&lt;author&gt;Victor, Ruban&lt;/author&gt;&lt;author&gt;Chunduri, Prasad&lt;/author&gt;&lt;author&gt;Lluka, Lesley&lt;/author&gt;&lt;author&gt;Long, Phil&lt;/author&gt;&lt;/authors&gt;&lt;/contributors&gt;&lt;titles&gt;&lt;title&gt;Are they using my feedback? The extent of students’ feedback use has a large impact on subsequent academic performance&lt;/title&gt;&lt;secondary-title&gt;Assessment &amp;amp; Evaluation in Higher Education&lt;/secondary-title&gt;&lt;/titles&gt;&lt;periodical&gt;&lt;full-title&gt;Assessment &amp;amp; Evaluation in Higher Education&lt;/full-title&gt;&lt;/periodical&gt;&lt;pages&gt;625-644&lt;/pages&gt;&lt;volume&gt;42&lt;/volume&gt;&lt;number&gt;4&lt;/number&gt;&lt;dates&gt;&lt;year&gt;2017&lt;/year&gt;&lt;/dates&gt;&lt;isbn&gt;0260-2938&lt;/isbn&gt;&lt;urls&gt;&lt;/urls&gt;&lt;/record&gt;&lt;/Cite&gt;&lt;/EndNote&gt;</w:instrText>
        </w:r>
        <w:r w:rsidR="0094469E" w:rsidRPr="003726FE">
          <w:rPr>
            <w:lang w:val="en-GB"/>
          </w:rPr>
          <w:fldChar w:fldCharType="separate"/>
        </w:r>
        <w:r w:rsidR="0094469E" w:rsidRPr="003726FE">
          <w:rPr>
            <w:noProof/>
            <w:lang w:val="en-GB"/>
          </w:rPr>
          <w:t>Zimbardi et al. (2017)</w:t>
        </w:r>
        <w:r w:rsidR="0094469E" w:rsidRPr="003726FE">
          <w:rPr>
            <w:lang w:val="en-GB"/>
          </w:rPr>
          <w:fldChar w:fldCharType="end"/>
        </w:r>
      </w:hyperlink>
      <w:r w:rsidR="00013DDC" w:rsidRPr="003726FE">
        <w:rPr>
          <w:lang w:val="en-GB"/>
        </w:rPr>
        <w:t xml:space="preserve"> attempted to challenge these assumptions by using an online system to collect data on </w:t>
      </w:r>
      <w:r w:rsidR="00EC010E">
        <w:rPr>
          <w:lang w:val="en-GB"/>
        </w:rPr>
        <w:t>given</w:t>
      </w:r>
      <w:r w:rsidR="00013DDC" w:rsidRPr="003726FE">
        <w:rPr>
          <w:lang w:val="en-GB"/>
        </w:rPr>
        <w:t xml:space="preserve"> feedback and the extent to which </w:t>
      </w:r>
      <w:r w:rsidR="00EC010E">
        <w:rPr>
          <w:lang w:val="en-GB"/>
        </w:rPr>
        <w:t>it</w:t>
      </w:r>
      <w:r w:rsidR="00013DDC" w:rsidRPr="003726FE">
        <w:rPr>
          <w:lang w:val="en-GB"/>
        </w:rPr>
        <w:t xml:space="preserve"> was engaged with by 2048 higher education students. They measured feedback engagement by how many times students accessed their feedback and for how long, comparing this to subsequent academic assessment performance. They found that students who opened their feedback reports</w:t>
      </w:r>
      <w:r w:rsidR="00EC010E">
        <w:rPr>
          <w:lang w:val="en-GB"/>
        </w:rPr>
        <w:t xml:space="preserve"> more frequently</w:t>
      </w:r>
      <w:r w:rsidR="00013DDC" w:rsidRPr="003726FE">
        <w:rPr>
          <w:lang w:val="en-GB"/>
        </w:rPr>
        <w:t xml:space="preserve"> and viewed them for longer than their colleagues performed better in assessments. Their results </w:t>
      </w:r>
      <w:r w:rsidR="00EC010E">
        <w:rPr>
          <w:lang w:val="en-GB"/>
        </w:rPr>
        <w:t>were</w:t>
      </w:r>
      <w:r w:rsidR="00013DDC" w:rsidRPr="003726FE">
        <w:rPr>
          <w:lang w:val="en-GB"/>
        </w:rPr>
        <w:t xml:space="preserve"> the first to empirically measure feedback use to this extent but</w:t>
      </w:r>
      <w:r w:rsidR="00A957E8" w:rsidRPr="003726FE">
        <w:rPr>
          <w:lang w:val="en-GB"/>
        </w:rPr>
        <w:t xml:space="preserve"> neglect</w:t>
      </w:r>
      <w:r w:rsidR="00EC010E">
        <w:rPr>
          <w:lang w:val="en-GB"/>
        </w:rPr>
        <w:t>ed to assess</w:t>
      </w:r>
      <w:r w:rsidR="00A957E8" w:rsidRPr="003726FE">
        <w:rPr>
          <w:lang w:val="en-GB"/>
        </w:rPr>
        <w:t xml:space="preserve"> the many aforementioned underlying mechanisms and influences at play in feedback interactions</w:t>
      </w:r>
      <w:r w:rsidR="006C6D4D" w:rsidRPr="003726FE">
        <w:rPr>
          <w:lang w:val="en-GB"/>
        </w:rPr>
        <w:t xml:space="preserve"> </w:t>
      </w:r>
      <w:r w:rsidR="00EF281A" w:rsidRPr="003726FE">
        <w:rPr>
          <w:lang w:val="en-GB"/>
        </w:rPr>
        <w:fldChar w:fldCharType="begin"/>
      </w:r>
      <w:r w:rsidR="008443D6">
        <w:rPr>
          <w:lang w:val="en-GB"/>
        </w:rPr>
        <w:instrText xml:space="preserve"> ADDIN EN.CITE &lt;EndNote&gt;&lt;Cite&gt;&lt;Author&gt;Ridder&lt;/Author&gt;&lt;Year&gt;2015&lt;/Year&gt;&lt;RecNum&gt;211&lt;/RecNum&gt;&lt;DisplayText&gt;(Van de Ridder et al. 2015)&lt;/DisplayText&gt;&lt;record&gt;&lt;rec-number&gt;211&lt;/rec-number&gt;&lt;foreign-keys&gt;&lt;key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Pr>
          <w:rFonts w:ascii="Cambria Math" w:hAnsi="Cambria Math" w:cs="Cambria Math"/>
          <w:lang w:val="en-GB"/>
        </w:rPr>
        <w:instrText>‐</w:instrText>
      </w:r>
      <w:r w:rsidR="008443D6">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00EF281A" w:rsidRPr="003726FE">
        <w:rPr>
          <w:lang w:val="en-GB"/>
        </w:rPr>
        <w:fldChar w:fldCharType="separate"/>
      </w:r>
      <w:r w:rsidR="00782498">
        <w:rPr>
          <w:noProof/>
          <w:lang w:val="en-GB"/>
        </w:rPr>
        <w:t>(</w:t>
      </w:r>
      <w:hyperlink w:anchor="_ENREF_416" w:tooltip="Van de Ridder, 2015 #211" w:history="1">
        <w:r w:rsidR="0094469E">
          <w:rPr>
            <w:noProof/>
            <w:lang w:val="en-GB"/>
          </w:rPr>
          <w:t>Van de Ridder et al. 2015</w:t>
        </w:r>
      </w:hyperlink>
      <w:r w:rsidR="00782498">
        <w:rPr>
          <w:noProof/>
          <w:lang w:val="en-GB"/>
        </w:rPr>
        <w:t>)</w:t>
      </w:r>
      <w:r w:rsidR="00EF281A" w:rsidRPr="003726FE">
        <w:rPr>
          <w:lang w:val="en-GB"/>
        </w:rPr>
        <w:fldChar w:fldCharType="end"/>
      </w:r>
      <w:r w:rsidR="00A957E8" w:rsidRPr="003726FE">
        <w:rPr>
          <w:lang w:val="en-GB"/>
        </w:rPr>
        <w:t>.</w:t>
      </w:r>
    </w:p>
    <w:p w14:paraId="124BFB6D" w14:textId="77777777" w:rsidR="00C6465A" w:rsidRPr="003726FE" w:rsidRDefault="00C6465A" w:rsidP="00026049">
      <w:pPr>
        <w:pStyle w:val="Normal1"/>
        <w:rPr>
          <w:lang w:val="en-GB"/>
        </w:rPr>
      </w:pPr>
    </w:p>
    <w:p w14:paraId="0955D04B" w14:textId="5A2F9E32" w:rsidR="00A73AB3" w:rsidRPr="003726FE" w:rsidRDefault="00C6465A" w:rsidP="00026049">
      <w:pPr>
        <w:pStyle w:val="Normal1"/>
        <w:rPr>
          <w:lang w:val="en-GB"/>
        </w:rPr>
      </w:pPr>
      <w:r w:rsidRPr="003726FE">
        <w:rPr>
          <w:lang w:val="en-GB"/>
        </w:rPr>
        <w:t>These factors have plagued feedback interactions in all learning and teaching settings</w:t>
      </w:r>
      <w:r w:rsidR="00C40771" w:rsidRPr="003726FE">
        <w:rPr>
          <w:lang w:val="en-GB"/>
        </w:rPr>
        <w:t xml:space="preserve">, creating a disparity between the transmitted </w:t>
      </w:r>
      <w:r w:rsidRPr="003726FE">
        <w:rPr>
          <w:lang w:val="en-GB"/>
        </w:rPr>
        <w:t xml:space="preserve">feedback </w:t>
      </w:r>
      <w:r w:rsidR="00C40771" w:rsidRPr="003726FE">
        <w:rPr>
          <w:lang w:val="en-GB"/>
        </w:rPr>
        <w:t>message and what is understood</w:t>
      </w:r>
      <w:r w:rsidR="00EC010E">
        <w:rPr>
          <w:lang w:val="en-GB"/>
        </w:rPr>
        <w:t>,</w:t>
      </w:r>
      <w:r w:rsidR="00C40771" w:rsidRPr="003726FE">
        <w:rPr>
          <w:lang w:val="en-GB"/>
        </w:rPr>
        <w:t xml:space="preserve"> leading to student dissatisfaction with feedback </w:t>
      </w:r>
      <w:r w:rsidR="00EF281A" w:rsidRPr="003726FE">
        <w:rPr>
          <w:lang w:val="en-GB"/>
        </w:rPr>
        <w:fldChar w:fldCharType="begin"/>
      </w:r>
      <w:r w:rsidR="008B61BE">
        <w:rPr>
          <w:lang w:val="en-GB"/>
        </w:rPr>
        <w:instrText xml:space="preserve"> ADDIN EN.CITE &lt;EndNote&gt;&lt;Cite&gt;&lt;Author&gt;Murdoch</w:instrText>
      </w:r>
      <w:r w:rsidR="008B61BE">
        <w:rPr>
          <w:rFonts w:ascii="Cambria Math" w:hAnsi="Cambria Math" w:cs="Cambria Math"/>
          <w:lang w:val="en-GB"/>
        </w:rPr>
        <w:instrText>‐</w:instrText>
      </w:r>
      <w:r w:rsidR="008B61BE">
        <w:rPr>
          <w:lang w:val="en-GB"/>
        </w:rPr>
        <w:instrText>Eaton&lt;/Author&gt;&lt;Year&gt;2012&lt;/Year&gt;&lt;RecNum&gt;178&lt;/RecNum&gt;&lt;DisplayText&gt;(Murdoch</w:instrText>
      </w:r>
      <w:r w:rsidR="008B61BE">
        <w:rPr>
          <w:rFonts w:ascii="Cambria Math" w:hAnsi="Cambria Math" w:cs="Cambria Math"/>
          <w:lang w:val="en-GB"/>
        </w:rPr>
        <w:instrText>‐</w:instrText>
      </w:r>
      <w:r w:rsidR="008B61BE">
        <w:rPr>
          <w:lang w:val="en-GB"/>
        </w:rPr>
        <w:instrText>Eaton 2012)&lt;/DisplayText&gt;&lt;record&gt;&lt;rec-number&gt;178&lt;/rec-number&gt;&lt;foreign-keys&gt;&lt;key app="EN" db-id="xa2r2ewea92trkef5dt5arvbzafvpv2za5ft" timestamp="1442161765"&gt;178&lt;/key&gt;&lt;/foreign-keys&gt;&lt;ref-type name="Journal Article"&gt;17&lt;/ref-type&gt;&lt;contributors&gt;&lt;authors&gt;&lt;author&gt;Murdoch</w:instrText>
      </w:r>
      <w:r w:rsidR="008B61BE">
        <w:rPr>
          <w:rFonts w:ascii="Cambria Math" w:hAnsi="Cambria Math" w:cs="Cambria Math"/>
          <w:lang w:val="en-GB"/>
        </w:rPr>
        <w:instrText>‐</w:instrText>
      </w:r>
      <w:r w:rsidR="008B61BE">
        <w:rPr>
          <w:lang w:val="en-GB"/>
        </w:rPr>
        <w:instrText>Eaton, Deborah&lt;/author&gt;&lt;/authors&gt;&lt;/contributors&gt;&lt;titles&gt;&lt;title&gt;Feedback: the complexity of self</w:instrText>
      </w:r>
      <w:r w:rsidR="008B61BE">
        <w:rPr>
          <w:rFonts w:ascii="Cambria Math" w:hAnsi="Cambria Math" w:cs="Cambria Math"/>
          <w:lang w:val="en-GB"/>
        </w:rPr>
        <w:instrText>‐</w:instrText>
      </w:r>
      <w:r w:rsidR="008B61BE">
        <w:rPr>
          <w:lang w:val="en-GB"/>
        </w:rPr>
        <w:instrText xml:space="preserve">perception and the transition from </w:instrText>
      </w:r>
      <w:r w:rsidR="008B61BE">
        <w:rPr>
          <w:rFonts w:cs="Times New Roman"/>
          <w:lang w:val="en-GB"/>
        </w:rPr>
        <w:instrText>‘</w:instrText>
      </w:r>
      <w:r w:rsidR="008B61BE">
        <w:rPr>
          <w:lang w:val="en-GB"/>
        </w:rPr>
        <w:instrText>transmit</w:instrText>
      </w:r>
      <w:r w:rsidR="008B61BE">
        <w:rPr>
          <w:rFonts w:cs="Times New Roman"/>
          <w:lang w:val="en-GB"/>
        </w:rPr>
        <w:instrText>’</w:instrText>
      </w:r>
      <w:r w:rsidR="008B61BE">
        <w:rPr>
          <w:lang w:val="en-GB"/>
        </w:rPr>
        <w:instrText xml:space="preserve">to </w:instrText>
      </w:r>
      <w:r w:rsidR="008B61BE">
        <w:rPr>
          <w:rFonts w:cs="Times New Roman"/>
          <w:lang w:val="en-GB"/>
        </w:rPr>
        <w:instrText>‘</w:instrText>
      </w:r>
      <w:r w:rsidR="008B61BE">
        <w:rPr>
          <w:lang w:val="en-GB"/>
        </w:rPr>
        <w:instrText>received and understood</w:instrText>
      </w:r>
      <w:r w:rsidR="008B61BE">
        <w:rPr>
          <w:rFonts w:cs="Times New Roman"/>
          <w:lang w:val="en-GB"/>
        </w:rPr>
        <w:instrText>’</w:instrText>
      </w:r>
      <w:r w:rsidR="008B61BE">
        <w:rPr>
          <w:lang w:val="en-GB"/>
        </w:rPr>
        <w:instrText>&lt;/title&gt;&lt;secondary-title&gt;Medical education&lt;/secondary-title&gt;&lt;/titles&gt;&lt;periodical&gt;&lt;full-title&gt;Medical education&lt;/full-title&gt;&lt;/periodical&gt;&lt;pages&gt;538-540&lt;/pages&gt;&lt;volume&gt;46&lt;/volume&gt;&lt;number&gt;6&lt;/number&gt;&lt;dates&gt;&lt;year&gt;2012&lt;/year&gt;&lt;/dates&gt;&lt;publisher&gt;Wiley Online Library&lt;/publisher&gt;&lt;urls&gt;&lt;/urls&gt;&lt;/record&gt;&lt;/Cite&gt;&lt;/EndNote&gt;</w:instrText>
      </w:r>
      <w:r w:rsidR="00EF281A" w:rsidRPr="003726FE">
        <w:rPr>
          <w:lang w:val="en-GB"/>
        </w:rPr>
        <w:fldChar w:fldCharType="separate"/>
      </w:r>
      <w:r w:rsidR="004E5A78" w:rsidRPr="003726FE">
        <w:rPr>
          <w:noProof/>
          <w:lang w:val="en-GB"/>
        </w:rPr>
        <w:t>(</w:t>
      </w:r>
      <w:hyperlink w:anchor="_ENREF_293" w:tooltip="Murdoch‐Eaton, 2012 #178" w:history="1">
        <w:r w:rsidR="0094469E" w:rsidRPr="003726FE">
          <w:rPr>
            <w:noProof/>
            <w:lang w:val="en-GB"/>
          </w:rPr>
          <w:t>Murdoch</w:t>
        </w:r>
        <w:r w:rsidR="0094469E" w:rsidRPr="003726FE">
          <w:rPr>
            <w:rFonts w:ascii="Cambria Math" w:hAnsi="Cambria Math" w:cs="Cambria Math"/>
            <w:noProof/>
            <w:lang w:val="en-GB"/>
          </w:rPr>
          <w:t>‐</w:t>
        </w:r>
        <w:r w:rsidR="0094469E" w:rsidRPr="003726FE">
          <w:rPr>
            <w:noProof/>
            <w:lang w:val="en-GB"/>
          </w:rPr>
          <w:t>Eaton 2012</w:t>
        </w:r>
      </w:hyperlink>
      <w:r w:rsidR="004E5A78" w:rsidRPr="003726FE">
        <w:rPr>
          <w:noProof/>
          <w:lang w:val="en-GB"/>
        </w:rPr>
        <w:t>)</w:t>
      </w:r>
      <w:r w:rsidR="00EF281A" w:rsidRPr="003726FE">
        <w:rPr>
          <w:lang w:val="en-GB"/>
        </w:rPr>
        <w:fldChar w:fldCharType="end"/>
      </w:r>
      <w:r w:rsidR="00C40771" w:rsidRPr="003726FE">
        <w:rPr>
          <w:lang w:val="en-GB"/>
        </w:rPr>
        <w:t xml:space="preserve">. The </w:t>
      </w:r>
      <w:r w:rsidR="008E7D00">
        <w:rPr>
          <w:lang w:val="en-GB"/>
        </w:rPr>
        <w:t>conceptualisation</w:t>
      </w:r>
      <w:r w:rsidR="00C40771" w:rsidRPr="003726FE">
        <w:rPr>
          <w:lang w:val="en-GB"/>
        </w:rPr>
        <w:t xml:space="preserve"> of the feedback message </w:t>
      </w:r>
      <w:r w:rsidRPr="003726FE">
        <w:rPr>
          <w:lang w:val="en-GB"/>
        </w:rPr>
        <w:t>is</w:t>
      </w:r>
      <w:r w:rsidR="00C40771" w:rsidRPr="003726FE">
        <w:rPr>
          <w:lang w:val="en-GB"/>
        </w:rPr>
        <w:t xml:space="preserve"> important, </w:t>
      </w:r>
      <w:r w:rsidRPr="003726FE">
        <w:rPr>
          <w:lang w:val="en-GB"/>
        </w:rPr>
        <w:t>it</w:t>
      </w:r>
      <w:r w:rsidR="00C40771" w:rsidRPr="003726FE">
        <w:rPr>
          <w:lang w:val="en-GB"/>
        </w:rPr>
        <w:t xml:space="preserve"> relate</w:t>
      </w:r>
      <w:r w:rsidRPr="003726FE">
        <w:rPr>
          <w:lang w:val="en-GB"/>
        </w:rPr>
        <w:t>s</w:t>
      </w:r>
      <w:r w:rsidR="00C40771" w:rsidRPr="003726FE">
        <w:rPr>
          <w:lang w:val="en-GB"/>
        </w:rPr>
        <w:t xml:space="preserve"> to an individual’s personal beliefs and understanding about the feedback phenomenon </w:t>
      </w:r>
      <w:r w:rsidR="006C6D4D" w:rsidRPr="003726FE">
        <w:rPr>
          <w:lang w:val="en-GB"/>
        </w:rPr>
        <w:fldChar w:fldCharType="begin"/>
      </w:r>
      <w:r w:rsidR="008B61BE">
        <w:rPr>
          <w:lang w:val="en-GB"/>
        </w:rPr>
        <w:instrText xml:space="preserve"> ADDIN EN.CITE &lt;EndNote&gt;&lt;Cite&gt;&lt;Author&gt;Marton&lt;/Author&gt;&lt;Year&gt;2005&lt;/Year&gt;&lt;RecNum&gt;156&lt;/RecNum&gt;&lt;DisplayText&gt;(Marton and Pong 2005; McLean et al. 2015)&lt;/DisplayText&gt;&lt;record&gt;&lt;rec-number&gt;156&lt;/rec-number&gt;&lt;foreign-keys&gt;&lt;key app="EN" db-id="xa2r2ewea92trkef5dt5arvbzafvpv2za5ft" timestamp="1442161764"&gt;156&lt;/key&gt;&lt;/foreign-keys&gt;&lt;ref-type name="Journal Article"&gt;17&lt;/ref-type&gt;&lt;contributors&gt;&lt;authors&gt;&lt;author&gt;Marton, Ference&lt;/author&gt;&lt;author&gt;Pong, Wing Yan&lt;/author&gt;&lt;/authors&gt;&lt;/contributors&gt;&lt;titles&gt;&lt;title&gt;On the unit of description in phenomenography&lt;/title&gt;&lt;secondary-title&gt;Higher education research &amp;amp; development&lt;/secondary-title&gt;&lt;/titles&gt;&lt;periodical&gt;&lt;full-title&gt;Higher education research &amp;amp; development&lt;/full-title&gt;&lt;/periodical&gt;&lt;pages&gt;335-348&lt;/pages&gt;&lt;volume&gt;24&lt;/volume&gt;&lt;number&gt;4&lt;/number&gt;&lt;dates&gt;&lt;year&gt;2005&lt;/year&gt;&lt;/dates&gt;&lt;publisher&gt;Taylor &amp;amp; Francis&lt;/publisher&gt;&lt;urls&gt;&lt;/urls&gt;&lt;/record&gt;&lt;/Cite&gt;&lt;Cite&gt;&lt;Author&gt;McLean&lt;/Author&gt;&lt;Year&gt;2015&lt;/Year&gt;&lt;RecNum&gt;163&lt;/RecNum&gt;&lt;record&gt;&lt;rec-number&gt;163&lt;/rec-number&gt;&lt;foreign-keys&gt;&lt;key app="EN" db-id="xa2r2ewea92trkef5dt5arvbzafvpv2za5ft" timestamp="1442161765"&gt;163&lt;/key&gt;&lt;/foreign-keys&gt;&lt;ref-type name="Journal Article"&gt;17&lt;/ref-type&gt;&lt;contributors&gt;&lt;authors&gt;&lt;author&gt;McLean, Angela J.&lt;/author&gt;&lt;author&gt;Bond, Carol H.&lt;/author&gt;&lt;author&gt;Nicholson, Helen D.&lt;/author&gt;&lt;/authors&gt;&lt;/contributors&gt;&lt;titles&gt;&lt;title&gt;An anatomy of feedback: a phenomenographic investigation of undergraduate students&amp;apos; conceptions of feedback&lt;/title&gt;&lt;secondary-title&gt;Studies in Higher Education&lt;/secondary-title&gt;&lt;/titles&gt;&lt;periodical&gt;&lt;full-title&gt;Studies in Higher Education&lt;/full-title&gt;&lt;/periodical&gt;&lt;pages&gt;921-932&lt;/pages&gt;&lt;volume&gt;40&lt;/volume&gt;&lt;number&gt;5&lt;/number&gt;&lt;dates&gt;&lt;year&gt;2015&lt;/year&gt;&lt;/dates&gt;&lt;publisher&gt;Taylor &amp;amp; Francis&lt;/publisher&gt;&lt;urls&gt;&lt;/urls&gt;&lt;/record&gt;&lt;/Cite&gt;&lt;/EndNote&gt;</w:instrText>
      </w:r>
      <w:r w:rsidR="006C6D4D" w:rsidRPr="003726FE">
        <w:rPr>
          <w:lang w:val="en-GB"/>
        </w:rPr>
        <w:fldChar w:fldCharType="separate"/>
      </w:r>
      <w:r w:rsidR="004E5A78" w:rsidRPr="003726FE">
        <w:rPr>
          <w:noProof/>
          <w:lang w:val="en-GB"/>
        </w:rPr>
        <w:t>(</w:t>
      </w:r>
      <w:hyperlink w:anchor="_ENREF_257" w:tooltip="Marton, 2005 #156" w:history="1">
        <w:r w:rsidR="0094469E" w:rsidRPr="003726FE">
          <w:rPr>
            <w:noProof/>
            <w:lang w:val="en-GB"/>
          </w:rPr>
          <w:t xml:space="preserve">Marton and Pong </w:t>
        </w:r>
        <w:r w:rsidR="0094469E" w:rsidRPr="003726FE">
          <w:rPr>
            <w:noProof/>
            <w:lang w:val="en-GB"/>
          </w:rPr>
          <w:lastRenderedPageBreak/>
          <w:t>2005</w:t>
        </w:r>
      </w:hyperlink>
      <w:r w:rsidR="004E5A78" w:rsidRPr="003726FE">
        <w:rPr>
          <w:noProof/>
          <w:lang w:val="en-GB"/>
        </w:rPr>
        <w:t xml:space="preserve">; </w:t>
      </w:r>
      <w:hyperlink w:anchor="_ENREF_269" w:tooltip="McLean, 2015 #163" w:history="1">
        <w:r w:rsidR="0094469E" w:rsidRPr="003726FE">
          <w:rPr>
            <w:noProof/>
            <w:lang w:val="en-GB"/>
          </w:rPr>
          <w:t>McLean et al. 2015</w:t>
        </w:r>
      </w:hyperlink>
      <w:r w:rsidR="004E5A78" w:rsidRPr="003726FE">
        <w:rPr>
          <w:noProof/>
          <w:lang w:val="en-GB"/>
        </w:rPr>
        <w:t>)</w:t>
      </w:r>
      <w:r w:rsidR="006C6D4D" w:rsidRPr="003726FE">
        <w:rPr>
          <w:lang w:val="en-GB"/>
        </w:rPr>
        <w:fldChar w:fldCharType="end"/>
      </w:r>
      <w:r w:rsidR="00C40771" w:rsidRPr="003726FE">
        <w:rPr>
          <w:lang w:val="en-GB"/>
        </w:rPr>
        <w:t xml:space="preserve">. </w:t>
      </w:r>
      <w:hyperlink w:anchor="_ENREF_302" w:tooltip="Nicol, 2006 #610" w:history="1">
        <w:r w:rsidR="0094469E" w:rsidRPr="003726FE">
          <w:rPr>
            <w:lang w:val="en-GB"/>
          </w:rPr>
          <w:fldChar w:fldCharType="begin"/>
        </w:r>
        <w:r w:rsidR="0094469E">
          <w:rPr>
            <w:lang w:val="en-GB"/>
          </w:rPr>
          <w:instrText xml:space="preserve"> ADDIN EN.CITE &lt;EndNote&gt;&lt;Cite AuthorYear="1"&gt;&lt;Author&gt;Nicol&lt;/Author&gt;&lt;Year&gt;2006&lt;/Year&gt;&lt;RecNum&gt;610&lt;/RecNum&gt;&lt;DisplayText&gt;Nicol and Macfarlane</w:instrText>
        </w:r>
        <w:r w:rsidR="0094469E">
          <w:rPr>
            <w:rFonts w:ascii="Cambria Math" w:hAnsi="Cambria Math" w:cs="Cambria Math"/>
            <w:lang w:val="en-GB"/>
          </w:rPr>
          <w:instrText>‐</w:instrText>
        </w:r>
        <w:r w:rsidR="0094469E">
          <w:rPr>
            <w:lang w:val="en-GB"/>
          </w:rPr>
          <w:instrText>Dick (2006)&lt;/DisplayText&gt;&lt;record&gt;&lt;rec-number&gt;610&lt;/rec-number&gt;&lt;foreign-keys&gt;&lt;key app="EN" db-id="xa2r2ewea92trkef5dt5arvbzafvpv2za5ft" timestamp="1496417559"&gt;610&lt;/key&gt;&lt;/foreign-keys&gt;&lt;ref-type name="Journal Article"&gt;17&lt;/ref-type&gt;&lt;contributors&gt;&lt;authors&gt;&lt;author&gt;Nicol, David J&lt;/author&gt;&lt;author&gt;Macfarlane</w:instrText>
        </w:r>
        <w:r w:rsidR="0094469E">
          <w:rPr>
            <w:rFonts w:ascii="Cambria Math" w:hAnsi="Cambria Math" w:cs="Cambria Math"/>
            <w:lang w:val="en-GB"/>
          </w:rPr>
          <w:instrText>‐</w:instrText>
        </w:r>
        <w:r w:rsidR="0094469E">
          <w:rPr>
            <w:lang w:val="en-GB"/>
          </w:rPr>
          <w:instrText>Dick, Debra&lt;/author&gt;&lt;/authors&gt;&lt;/contributors&gt;&lt;titles&gt;&lt;title&gt;Formative assessment and self</w:instrText>
        </w:r>
        <w:r w:rsidR="0094469E">
          <w:rPr>
            <w:rFonts w:ascii="Cambria Math" w:hAnsi="Cambria Math" w:cs="Cambria Math"/>
            <w:lang w:val="en-GB"/>
          </w:rPr>
          <w:instrText>‐</w:instrText>
        </w:r>
        <w:r w:rsidR="0094469E">
          <w:rPr>
            <w:lang w:val="en-GB"/>
          </w:rPr>
          <w:instrText>regulated learning: A model and seven principles of good feedback practice&lt;/title&gt;&lt;secondary-title&gt;Studies in higher education&lt;/secondary-title&gt;&lt;/titles&gt;&lt;periodical&gt;&lt;full-title&gt;Studies in Higher Education&lt;/full-title&gt;&lt;/periodical&gt;&lt;pages&gt;199-218&lt;/pages&gt;&lt;volume&gt;31&lt;/volume&gt;&lt;number&gt;2&lt;/number&gt;&lt;dates&gt;&lt;year&gt;2006&lt;/year&gt;&lt;/dates&gt;&lt;isbn&gt;0307-5079&lt;/isbn&gt;&lt;urls&gt;&lt;/urls&gt;&lt;/record&gt;&lt;/Cite&gt;&lt;/EndNote&gt;</w:instrText>
        </w:r>
        <w:r w:rsidR="0094469E" w:rsidRPr="003726FE">
          <w:rPr>
            <w:lang w:val="en-GB"/>
          </w:rPr>
          <w:fldChar w:fldCharType="separate"/>
        </w:r>
        <w:r w:rsidR="0094469E" w:rsidRPr="003726FE">
          <w:rPr>
            <w:noProof/>
            <w:lang w:val="en-GB"/>
          </w:rPr>
          <w:t>Nicol and Macfarlane</w:t>
        </w:r>
        <w:r w:rsidR="0094469E" w:rsidRPr="003726FE">
          <w:rPr>
            <w:rFonts w:ascii="Cambria Math" w:hAnsi="Cambria Math" w:cs="Cambria Math"/>
            <w:noProof/>
            <w:lang w:val="en-GB"/>
          </w:rPr>
          <w:t>‐</w:t>
        </w:r>
        <w:r w:rsidR="0094469E" w:rsidRPr="003726FE">
          <w:rPr>
            <w:noProof/>
            <w:lang w:val="en-GB"/>
          </w:rPr>
          <w:t>Dick (2006)</w:t>
        </w:r>
        <w:r w:rsidR="0094469E" w:rsidRPr="003726FE">
          <w:rPr>
            <w:lang w:val="en-GB"/>
          </w:rPr>
          <w:fldChar w:fldCharType="end"/>
        </w:r>
      </w:hyperlink>
      <w:r w:rsidR="00C40771" w:rsidRPr="003726FE">
        <w:rPr>
          <w:lang w:val="en-GB"/>
        </w:rPr>
        <w:t xml:space="preserve"> </w:t>
      </w:r>
      <w:r w:rsidRPr="003726FE">
        <w:rPr>
          <w:lang w:val="en-GB"/>
        </w:rPr>
        <w:t>expand</w:t>
      </w:r>
      <w:r w:rsidR="00EC010E">
        <w:rPr>
          <w:lang w:val="en-GB"/>
        </w:rPr>
        <w:t>ed</w:t>
      </w:r>
      <w:r w:rsidRPr="003726FE">
        <w:rPr>
          <w:lang w:val="en-GB"/>
        </w:rPr>
        <w:t xml:space="preserve"> upon</w:t>
      </w:r>
      <w:r w:rsidR="00C40771" w:rsidRPr="003726FE">
        <w:rPr>
          <w:lang w:val="en-GB"/>
        </w:rPr>
        <w:t xml:space="preserve"> this point and suggest</w:t>
      </w:r>
      <w:r w:rsidR="00EC010E">
        <w:rPr>
          <w:lang w:val="en-GB"/>
        </w:rPr>
        <w:t>ed</w:t>
      </w:r>
      <w:r w:rsidR="00C40771" w:rsidRPr="003726FE">
        <w:rPr>
          <w:lang w:val="en-GB"/>
        </w:rPr>
        <w:t xml:space="preserve"> </w:t>
      </w:r>
      <w:r w:rsidR="00FC0FFB" w:rsidRPr="003726FE">
        <w:rPr>
          <w:lang w:val="en-GB"/>
        </w:rPr>
        <w:t>that to</w:t>
      </w:r>
      <w:r w:rsidR="00C40771" w:rsidRPr="003726FE">
        <w:rPr>
          <w:lang w:val="en-GB"/>
        </w:rPr>
        <w:t xml:space="preserve"> understand student perceptions of feedback, they must be situated in a centralised and active role in the feedback process. </w:t>
      </w:r>
    </w:p>
    <w:p w14:paraId="21449063" w14:textId="77777777" w:rsidR="00A03641" w:rsidRPr="003726FE" w:rsidRDefault="00A03641" w:rsidP="00026049">
      <w:pPr>
        <w:pStyle w:val="Normal1"/>
        <w:rPr>
          <w:lang w:val="en-GB"/>
        </w:rPr>
      </w:pPr>
    </w:p>
    <w:p w14:paraId="65B812C7" w14:textId="0C8BA5BF" w:rsidR="004A447E" w:rsidRPr="003726FE" w:rsidRDefault="00C40771" w:rsidP="00026049">
      <w:pPr>
        <w:pStyle w:val="Normal1"/>
        <w:rPr>
          <w:lang w:val="en-GB"/>
        </w:rPr>
      </w:pPr>
      <w:r w:rsidRPr="003726FE">
        <w:rPr>
          <w:lang w:val="en-GB"/>
        </w:rPr>
        <w:t>Feedback has been conceptualised mechanistically in previous research, representing a one-way didactic system of transmission</w:t>
      </w:r>
      <w:r w:rsidR="00FC0BE7" w:rsidRPr="003726FE">
        <w:rPr>
          <w:lang w:val="en-GB"/>
        </w:rPr>
        <w:t xml:space="preserve"> from the teacher</w:t>
      </w:r>
      <w:r w:rsidRPr="003726FE">
        <w:rPr>
          <w:lang w:val="en-GB"/>
        </w:rPr>
        <w:t xml:space="preserve"> to the learner, this model is generally viewed as ineffective for </w:t>
      </w:r>
      <w:r w:rsidR="00FC0BE7" w:rsidRPr="003726FE">
        <w:rPr>
          <w:lang w:val="en-GB"/>
        </w:rPr>
        <w:t>optimal</w:t>
      </w:r>
      <w:r w:rsidRPr="003726FE">
        <w:rPr>
          <w:lang w:val="en-GB"/>
        </w:rPr>
        <w:t xml:space="preserve"> learning </w:t>
      </w:r>
      <w:r w:rsidR="00EF281A" w:rsidRPr="003726FE">
        <w:rPr>
          <w:lang w:val="en-GB"/>
        </w:rPr>
        <w:fldChar w:fldCharType="begin"/>
      </w:r>
      <w:r w:rsidR="008B61BE">
        <w:rPr>
          <w:lang w:val="en-GB"/>
        </w:rPr>
        <w:instrText xml:space="preserve"> ADDIN EN.CITE &lt;EndNote&gt;&lt;Cite&gt;&lt;Author&gt;Murdoch</w:instrText>
      </w:r>
      <w:r w:rsidR="008B61BE">
        <w:rPr>
          <w:rFonts w:ascii="Cambria Math" w:hAnsi="Cambria Math" w:cs="Cambria Math"/>
          <w:lang w:val="en-GB"/>
        </w:rPr>
        <w:instrText>‐</w:instrText>
      </w:r>
      <w:r w:rsidR="008B61BE">
        <w:rPr>
          <w:lang w:val="en-GB"/>
        </w:rPr>
        <w:instrText>Eaton&lt;/Author&gt;&lt;Year&gt;2012&lt;/Year&gt;&lt;RecNum&gt;178&lt;/RecNum&gt;&lt;DisplayText&gt;(Murdoch</w:instrText>
      </w:r>
      <w:r w:rsidR="008B61BE">
        <w:rPr>
          <w:rFonts w:ascii="Cambria Math" w:hAnsi="Cambria Math" w:cs="Cambria Math"/>
          <w:lang w:val="en-GB"/>
        </w:rPr>
        <w:instrText>‐</w:instrText>
      </w:r>
      <w:r w:rsidR="008B61BE">
        <w:rPr>
          <w:lang w:val="en-GB"/>
        </w:rPr>
        <w:instrText>Eaton 2012)&lt;/DisplayText&gt;&lt;record&gt;&lt;rec-number&gt;178&lt;/rec-number&gt;&lt;foreign-keys&gt;&lt;key app="EN" db-id="xa2r2ewea92trkef5dt5arvbzafvpv2za5ft" timestamp="1442161765"&gt;178&lt;/key&gt;&lt;/foreign-keys&gt;&lt;ref-type name="Journal Article"&gt;17&lt;/ref-type&gt;&lt;contributors&gt;&lt;authors&gt;&lt;author&gt;Murdoch</w:instrText>
      </w:r>
      <w:r w:rsidR="008B61BE">
        <w:rPr>
          <w:rFonts w:ascii="Cambria Math" w:hAnsi="Cambria Math" w:cs="Cambria Math"/>
          <w:lang w:val="en-GB"/>
        </w:rPr>
        <w:instrText>‐</w:instrText>
      </w:r>
      <w:r w:rsidR="008B61BE">
        <w:rPr>
          <w:lang w:val="en-GB"/>
        </w:rPr>
        <w:instrText>Eaton, Deborah&lt;/author&gt;&lt;/authors&gt;&lt;/contributors&gt;&lt;titles&gt;&lt;title&gt;Feedback: the complexity of self</w:instrText>
      </w:r>
      <w:r w:rsidR="008B61BE">
        <w:rPr>
          <w:rFonts w:ascii="Cambria Math" w:hAnsi="Cambria Math" w:cs="Cambria Math"/>
          <w:lang w:val="en-GB"/>
        </w:rPr>
        <w:instrText>‐</w:instrText>
      </w:r>
      <w:r w:rsidR="008B61BE">
        <w:rPr>
          <w:lang w:val="en-GB"/>
        </w:rPr>
        <w:instrText>perception and the transition from ‘transmit’to ‘received and understood’&lt;/title&gt;&lt;secondary-title&gt;Medical education&lt;/secondary-title&gt;&lt;/titles&gt;&lt;periodical&gt;&lt;full-title&gt;Medical education&lt;/full-title&gt;&lt;/periodical&gt;&lt;pages&gt;538-540&lt;/pages&gt;&lt;volume&gt;46&lt;/volume&gt;&lt;number&gt;6&lt;/number&gt;&lt;dates&gt;&lt;year&gt;2012&lt;/year&gt;&lt;/dates&gt;&lt;publisher&gt;Wiley Online Library&lt;/publisher&gt;&lt;urls&gt;&lt;/urls&gt;&lt;/record&gt;&lt;/Cite&gt;&lt;/EndNote&gt;</w:instrText>
      </w:r>
      <w:r w:rsidR="00EF281A" w:rsidRPr="003726FE">
        <w:rPr>
          <w:lang w:val="en-GB"/>
        </w:rPr>
        <w:fldChar w:fldCharType="separate"/>
      </w:r>
      <w:r w:rsidR="004E5A78" w:rsidRPr="003726FE">
        <w:rPr>
          <w:noProof/>
          <w:lang w:val="en-GB"/>
        </w:rPr>
        <w:t>(</w:t>
      </w:r>
      <w:hyperlink w:anchor="_ENREF_293" w:tooltip="Murdoch‐Eaton, 2012 #178" w:history="1">
        <w:r w:rsidR="0094469E" w:rsidRPr="003726FE">
          <w:rPr>
            <w:noProof/>
            <w:lang w:val="en-GB"/>
          </w:rPr>
          <w:t>Murdoch</w:t>
        </w:r>
        <w:r w:rsidR="0094469E" w:rsidRPr="003726FE">
          <w:rPr>
            <w:rFonts w:ascii="Cambria Math" w:hAnsi="Cambria Math" w:cs="Cambria Math"/>
            <w:noProof/>
            <w:lang w:val="en-GB"/>
          </w:rPr>
          <w:t>‐</w:t>
        </w:r>
        <w:r w:rsidR="0094469E" w:rsidRPr="003726FE">
          <w:rPr>
            <w:noProof/>
            <w:lang w:val="en-GB"/>
          </w:rPr>
          <w:t>Eaton 2012</w:t>
        </w:r>
      </w:hyperlink>
      <w:r w:rsidR="004E5A78" w:rsidRPr="003726FE">
        <w:rPr>
          <w:noProof/>
          <w:lang w:val="en-GB"/>
        </w:rPr>
        <w:t>)</w:t>
      </w:r>
      <w:r w:rsidR="00EF281A" w:rsidRPr="003726FE">
        <w:rPr>
          <w:lang w:val="en-GB"/>
        </w:rPr>
        <w:fldChar w:fldCharType="end"/>
      </w:r>
      <w:r w:rsidRPr="003726FE">
        <w:rPr>
          <w:lang w:val="en-GB"/>
        </w:rPr>
        <w:t xml:space="preserve">. Dialogic approaches have been encouraged in all areas of medical education, but so far only the ‘educational alliance’ model reconceptualises feedback as a true collaborative effort </w:t>
      </w:r>
      <w:r w:rsidR="00EF281A" w:rsidRPr="003726FE">
        <w:rPr>
          <w:lang w:val="en-GB"/>
        </w:rPr>
        <w:fldChar w:fldCharType="begin"/>
      </w:r>
      <w:r w:rsidR="008B61BE">
        <w:rPr>
          <w:lang w:val="en-GB"/>
        </w:rPr>
        <w:instrText xml:space="preserve"> ADDIN EN.CITE &lt;EndNote&gt;&lt;Cite&gt;&lt;Author&gt;Bowen&lt;/Author&gt;&lt;Year&gt;2017&lt;/Year&gt;&lt;RecNum&gt;591&lt;/RecNum&gt;&lt;DisplayText&gt;(Bowen et al. 2017)&lt;/DisplayText&gt;&lt;record&gt;&lt;rec-number&gt;591&lt;/rec-number&gt;&lt;foreign-keys&gt;&lt;key app="EN" db-id="xa2r2ewea92trkef5dt5arvbzafvpv2za5ft" timestamp="1496417558"&gt;591&lt;/key&gt;&lt;/foreign-keys&gt;&lt;ref-type name="Journal Article"&gt;17&lt;/ref-type&gt;&lt;contributors&gt;&lt;authors&gt;&lt;author&gt;Bowen, Lucy&lt;/author&gt;&lt;author&gt;Marshall, Michelle&lt;/author&gt;&lt;author&gt;Murdoch-Eaton, Deborah&lt;/author&gt;&lt;/authors&gt;&lt;/contributors&gt;&lt;titles&gt;&lt;title&gt;Medical Student Perceptions of Feedback and Feedback Behaviors Within the Context of the&amp;quot; Educational Alliance&amp;quot;&lt;/title&gt;&lt;secondary-title&gt;Academic Medicine&lt;/secondary-title&gt;&lt;/titles&gt;&lt;periodical&gt;&lt;full-title&gt;Academic Medicine&lt;/full-title&gt;&lt;/periodical&gt;&lt;dates&gt;&lt;year&gt;2017&lt;/year&gt;&lt;/dates&gt;&lt;isbn&gt;1040-2446&lt;/isbn&gt;&lt;urls&gt;&lt;/urls&gt;&lt;/record&gt;&lt;/Cite&gt;&lt;/EndNote&gt;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51" w:tooltip="Bowen, 2017 #591" w:history="1">
        <w:r w:rsidR="0094469E" w:rsidRPr="003726FE">
          <w:rPr>
            <w:noProof/>
            <w:lang w:val="en-GB"/>
          </w:rPr>
          <w:t>Bowen et al. 2017</w:t>
        </w:r>
      </w:hyperlink>
      <w:r w:rsidR="004E5A78" w:rsidRPr="003726FE">
        <w:rPr>
          <w:noProof/>
          <w:lang w:val="en-GB"/>
        </w:rPr>
        <w:t>)</w:t>
      </w:r>
      <w:r w:rsidR="00EF281A" w:rsidRPr="003726FE">
        <w:rPr>
          <w:lang w:val="en-GB"/>
        </w:rPr>
        <w:fldChar w:fldCharType="end"/>
      </w:r>
      <w:r w:rsidRPr="003726FE">
        <w:rPr>
          <w:lang w:val="en-GB"/>
        </w:rPr>
        <w:t>.</w:t>
      </w:r>
      <w:r w:rsidR="00C65F22" w:rsidRPr="003726FE">
        <w:rPr>
          <w:lang w:val="en-GB"/>
        </w:rPr>
        <w:t xml:space="preserve"> Their position is supported by </w:t>
      </w:r>
      <w:hyperlink w:anchor="_ENREF_427" w:tooltip="Watling, 2014 #918" w:history="1">
        <w:r w:rsidR="0094469E" w:rsidRPr="003726FE">
          <w:rPr>
            <w:lang w:val="en-GB"/>
          </w:rPr>
          <w:fldChar w:fldCharType="begin"/>
        </w:r>
        <w:r w:rsidR="0094469E">
          <w:rPr>
            <w:lang w:val="en-GB"/>
          </w:rPr>
          <w:instrText xml:space="preserve"> ADDIN EN.CITE &lt;EndNote&gt;&lt;Cite AuthorYear="1"&gt;&lt;Author&gt;Watling&lt;/Author&gt;&lt;Year&gt;2014&lt;/Year&gt;&lt;RecNum&gt;918&lt;/RecNum&gt;&lt;DisplayText&gt;Watling et al. (2014)&lt;/DisplayText&gt;&lt;record&gt;&lt;rec-number&gt;918&lt;/rec-number&gt;&lt;foreign-keys&gt;&lt;key app="EN" db-id="xa2r2ewea92trkef5dt5arvbzafvpv2za5ft" timestamp="1496417606"&gt;918&lt;/key&gt;&lt;/foreign-keys&gt;&lt;ref-type name="Journal Article"&gt;17&lt;/ref-type&gt;&lt;contributors&gt;&lt;authors&gt;&lt;author&gt;Watling, Christopher&lt;/author&gt;&lt;author&gt;Driessen, Erik&lt;/author&gt;&lt;author&gt;Vleuten, Cees PM&lt;/author&gt;&lt;author&gt;Lingard, Lorelei&lt;/author&gt;&lt;/authors&gt;&lt;/contributors&gt;&lt;titles&gt;&lt;title&gt;Learning culture and feedback: an international study of medical athletes and musicians&lt;/title&gt;&lt;secondary-title&gt;Medical education&lt;/secondary-title&gt;&lt;/titles&gt;&lt;periodical&gt;&lt;full-title&gt;Medical education&lt;/full-title&gt;&lt;/periodical&gt;&lt;pages&gt;713-723&lt;/pages&gt;&lt;volume&gt;48&lt;/volume&gt;&lt;number&gt;7&lt;/number&gt;&lt;dates&gt;&lt;year&gt;2014&lt;/year&gt;&lt;/dates&gt;&lt;isbn&gt;1365-2923&lt;/isbn&gt;&lt;urls&gt;&lt;/urls&gt;&lt;/record&gt;&lt;/Cite&gt;&lt;/EndNote&gt;</w:instrText>
        </w:r>
        <w:r w:rsidR="0094469E" w:rsidRPr="003726FE">
          <w:rPr>
            <w:lang w:val="en-GB"/>
          </w:rPr>
          <w:fldChar w:fldCharType="separate"/>
        </w:r>
        <w:r w:rsidR="0094469E" w:rsidRPr="003726FE">
          <w:rPr>
            <w:noProof/>
            <w:lang w:val="en-GB"/>
          </w:rPr>
          <w:t>Watling et al. (2014)</w:t>
        </w:r>
        <w:r w:rsidR="0094469E" w:rsidRPr="003726FE">
          <w:rPr>
            <w:lang w:val="en-GB"/>
          </w:rPr>
          <w:fldChar w:fldCharType="end"/>
        </w:r>
      </w:hyperlink>
      <w:r w:rsidR="00C65F22" w:rsidRPr="003726FE">
        <w:rPr>
          <w:lang w:val="en-GB"/>
        </w:rPr>
        <w:t xml:space="preserve"> who recommend</w:t>
      </w:r>
      <w:r w:rsidR="00402B44">
        <w:rPr>
          <w:lang w:val="en-GB"/>
        </w:rPr>
        <w:t>ed</w:t>
      </w:r>
      <w:r w:rsidR="00C65F22" w:rsidRPr="003726FE">
        <w:rPr>
          <w:lang w:val="en-GB"/>
        </w:rPr>
        <w:t xml:space="preserve"> that the learning culture in medical education should encourage more trusting learner-supervisor</w:t>
      </w:r>
      <w:r w:rsidR="00402B44">
        <w:rPr>
          <w:lang w:val="en-GB"/>
        </w:rPr>
        <w:t xml:space="preserve"> partnerships where both parties’</w:t>
      </w:r>
      <w:r w:rsidR="00C65F22" w:rsidRPr="003726FE">
        <w:rPr>
          <w:lang w:val="en-GB"/>
        </w:rPr>
        <w:t xml:space="preserve"> goals are co-created and aligned.</w:t>
      </w:r>
      <w:r w:rsidRPr="003726FE">
        <w:rPr>
          <w:lang w:val="en-GB"/>
        </w:rPr>
        <w:t xml:space="preserve"> Regardless of this recent proposal, a practical method of faculty development to give feedback in this way has not yet been tested. Additionally, despite feedback having a moderate positive effect for skills outcomes in simulated procedural skills training, there is little conclusive evidence about the underlying mechanisms and theories underpinning optimal feedback practice </w:t>
      </w:r>
      <w:r w:rsidR="00EF281A" w:rsidRPr="003726FE">
        <w:rPr>
          <w:lang w:val="en-GB"/>
        </w:rPr>
        <w:fldChar w:fldCharType="begin"/>
      </w:r>
      <w:r w:rsidR="008B61BE">
        <w:rPr>
          <w:lang w:val="en-GB"/>
        </w:rPr>
        <w:instrText xml:space="preserve"> ADDIN EN.CITE &lt;EndNote&gt;&lt;Cite&gt;&lt;Author&gt;Hatala&lt;/Author&gt;&lt;Year&gt;2014&lt;/Year&gt;&lt;RecNum&gt;107&lt;/RecNum&gt;&lt;DisplayText&gt;(Hatala et al. 2014)&lt;/DisplayText&gt;&lt;record&gt;&lt;rec-number&gt;107&lt;/rec-number&gt;&lt;foreign-keys&gt;&lt;key app="EN" db-id="xa2r2ewea92trkef5dt5arvbzafvpv2za5ft" timestamp="1442161764"&gt;107&lt;/key&gt;&lt;/foreign-keys&gt;&lt;ref-type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00EF281A" w:rsidRPr="003726FE">
        <w:rPr>
          <w:lang w:val="en-GB"/>
        </w:rPr>
        <w:fldChar w:fldCharType="separate"/>
      </w:r>
      <w:r w:rsidR="004E5A78" w:rsidRPr="003726FE">
        <w:rPr>
          <w:noProof/>
          <w:lang w:val="en-GB"/>
        </w:rPr>
        <w:t>(</w:t>
      </w:r>
      <w:hyperlink w:anchor="_ENREF_183" w:tooltip="Hatala, 2014 #108" w:history="1">
        <w:r w:rsidR="0094469E" w:rsidRPr="003726FE">
          <w:rPr>
            <w:noProof/>
            <w:lang w:val="en-GB"/>
          </w:rPr>
          <w:t>Hatala et al. 2014</w:t>
        </w:r>
      </w:hyperlink>
      <w:r w:rsidR="004E5A78" w:rsidRPr="003726FE">
        <w:rPr>
          <w:noProof/>
          <w:lang w:val="en-GB"/>
        </w:rPr>
        <w:t>)</w:t>
      </w:r>
      <w:r w:rsidR="00EF281A" w:rsidRPr="003726FE">
        <w:rPr>
          <w:lang w:val="en-GB"/>
        </w:rPr>
        <w:fldChar w:fldCharType="end"/>
      </w:r>
      <w:r w:rsidR="00A03641" w:rsidRPr="003726FE">
        <w:rPr>
          <w:lang w:val="en-GB"/>
        </w:rPr>
        <w:t xml:space="preserve">. </w:t>
      </w:r>
    </w:p>
    <w:p w14:paraId="43FAD8A3" w14:textId="77777777" w:rsidR="00A73AB3" w:rsidRPr="003726FE" w:rsidRDefault="00A73AB3" w:rsidP="00026049">
      <w:pPr>
        <w:pStyle w:val="Normal1"/>
        <w:rPr>
          <w:lang w:val="en-GB"/>
        </w:rPr>
      </w:pPr>
    </w:p>
    <w:p w14:paraId="60B4C062" w14:textId="77777777" w:rsidR="0049047B" w:rsidRDefault="0049047B">
      <w:pPr>
        <w:rPr>
          <w:rFonts w:eastAsia="Lucida Sans Unicode" w:cs="Mangal"/>
          <w:b/>
          <w:kern w:val="1"/>
          <w:sz w:val="28"/>
          <w:szCs w:val="24"/>
          <w:lang w:eastAsia="hi-IN" w:bidi="hi-IN"/>
        </w:rPr>
      </w:pPr>
      <w:r>
        <w:br w:type="page"/>
      </w:r>
    </w:p>
    <w:p w14:paraId="55F0646D" w14:textId="482C25D9" w:rsidR="00B07B0C" w:rsidRPr="003726FE" w:rsidRDefault="00B07B0C" w:rsidP="00B1638D">
      <w:pPr>
        <w:pStyle w:val="Heading2"/>
        <w:rPr>
          <w:lang w:val="en-GB"/>
        </w:rPr>
      </w:pPr>
      <w:bookmarkStart w:id="116" w:name="_Toc500319314"/>
      <w:r w:rsidRPr="003726FE">
        <w:rPr>
          <w:lang w:val="en-GB"/>
        </w:rPr>
        <w:lastRenderedPageBreak/>
        <w:t>A1</w:t>
      </w:r>
      <w:r w:rsidR="00F176D2" w:rsidRPr="003726FE">
        <w:rPr>
          <w:lang w:val="en-GB"/>
        </w:rPr>
        <w:t xml:space="preserve">.2 </w:t>
      </w:r>
      <w:r w:rsidRPr="003726FE">
        <w:rPr>
          <w:lang w:val="en-GB"/>
        </w:rPr>
        <w:t>Self</w:t>
      </w:r>
      <w:r w:rsidR="00F176D2" w:rsidRPr="003726FE">
        <w:rPr>
          <w:lang w:val="en-GB"/>
        </w:rPr>
        <w:t>-Regulated Learning Theory</w:t>
      </w:r>
      <w:bookmarkEnd w:id="116"/>
    </w:p>
    <w:p w14:paraId="4BC4A3E0" w14:textId="77777777" w:rsidR="004A447E" w:rsidRPr="003726FE" w:rsidRDefault="004A447E" w:rsidP="00026049">
      <w:pPr>
        <w:pStyle w:val="Normal1"/>
        <w:rPr>
          <w:lang w:val="en-GB"/>
        </w:rPr>
      </w:pPr>
    </w:p>
    <w:p w14:paraId="5E20E12E" w14:textId="2B0208A9" w:rsidR="004208F0" w:rsidRPr="003726FE" w:rsidRDefault="007F5702" w:rsidP="00026049">
      <w:pPr>
        <w:pStyle w:val="Normal1"/>
        <w:rPr>
          <w:lang w:val="en-GB"/>
        </w:rPr>
      </w:pPr>
      <w:r w:rsidRPr="003726FE">
        <w:rPr>
          <w:lang w:val="en-GB"/>
        </w:rPr>
        <w:t xml:space="preserve">“Self-Regulated Learning (SRL) is a multidimensional process incorporating a set of inter-related and contextualised thoughts, actions, and feelings that a person strategically uses to reach personal goals” </w:t>
      </w:r>
      <w:r w:rsidR="00EF281A" w:rsidRPr="003726FE">
        <w:rPr>
          <w:lang w:val="en-GB"/>
        </w:rPr>
        <w:fldChar w:fldCharType="begin"/>
      </w:r>
      <w:r w:rsidR="008B61BE">
        <w:rPr>
          <w:lang w:val="en-GB"/>
        </w:rPr>
        <w:instrText xml:space="preserve"> ADDIN EN.CITE &lt;EndNote&gt;&lt;Cite&gt;&lt;Author&gt;Cleary&lt;/Author&gt;&lt;Year&gt;2013&lt;/Year&gt;&lt;RecNum&gt;593&lt;/RecNum&gt;&lt;Pages&gt;466&lt;/Pages&gt;&lt;DisplayText&gt;(Cleary et al. 2013, p. 466)&lt;/DisplayText&gt;&lt;record&gt;&lt;rec-number&gt;593&lt;/rec-number&gt;&lt;foreign-keys&gt;&lt;key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 p. 466</w:t>
        </w:r>
      </w:hyperlink>
      <w:r w:rsidR="004E5A78" w:rsidRPr="003726FE">
        <w:rPr>
          <w:noProof/>
          <w:lang w:val="en-GB"/>
        </w:rPr>
        <w:t>)</w:t>
      </w:r>
      <w:r w:rsidR="00EF281A" w:rsidRPr="003726FE">
        <w:rPr>
          <w:lang w:val="en-GB"/>
        </w:rPr>
        <w:fldChar w:fldCharType="end"/>
      </w:r>
      <w:r w:rsidRPr="003726FE">
        <w:rPr>
          <w:lang w:val="en-GB"/>
        </w:rPr>
        <w:t xml:space="preserve">. </w:t>
      </w:r>
      <w:r w:rsidR="00052D8F" w:rsidRPr="003726FE">
        <w:rPr>
          <w:lang w:val="en-GB"/>
        </w:rPr>
        <w:t>SRL theory</w:t>
      </w:r>
      <w:r w:rsidR="008C1960" w:rsidRPr="003726FE">
        <w:rPr>
          <w:lang w:val="en-GB"/>
        </w:rPr>
        <w:t xml:space="preserve"> views the learner as the active participant responsible for driving their thoughts and actions towards their goals. </w:t>
      </w:r>
      <w:hyperlink w:anchor="_ENREF_7" w:tooltip="Artino Jr, 2015 #778" w:history="1">
        <w:r w:rsidR="0094469E" w:rsidRPr="003726FE">
          <w:rPr>
            <w:lang w:val="en-GB"/>
          </w:rPr>
          <w:fldChar w:fldCharType="begin"/>
        </w:r>
        <w:r w:rsidR="0094469E">
          <w:rPr>
            <w:lang w:val="en-GB"/>
          </w:rPr>
          <w:instrText xml:space="preserve"> ADDIN EN.CITE &lt;EndNote&gt;&lt;Cite AuthorYear="1"&gt;&lt;Author&gt;Artino Jr&lt;/Author&gt;&lt;Year&gt;2015&lt;/Year&gt;&lt;RecNum&gt;778&lt;/RecNum&gt;&lt;Pages&gt;155&lt;/Pages&gt;&lt;DisplayText&gt;Artino Jr et al. (2015, p. 155)&lt;/DisplayText&gt;&lt;record&gt;&lt;rec-number&gt;778&lt;/rec-number&gt;&lt;foreign-keys&gt;&lt;key app="EN" db-id="xa2r2ewea92trkef5dt5arvbzafvpv2za5ft" timestamp="1496417593"&gt;778&lt;/key&gt;&lt;/foreign-keys&gt;&lt;ref-type name="Dictionary"&gt;52&lt;/ref-type&gt;&lt;contributors&gt;&lt;authors&gt;&lt;author&gt;Artino Jr, Anthony R&lt;/author&gt;&lt;author&gt;Brydges, Ryan&lt;/author&gt;&lt;author&gt;Gruppen, Larry D&lt;/author&gt;&lt;/authors&gt;&lt;/contributors&gt;&lt;titles&gt;&lt;title&gt;Self</w:instrText>
        </w:r>
        <w:r w:rsidR="0094469E">
          <w:rPr>
            <w:rFonts w:ascii="Cambria Math" w:hAnsi="Cambria Math" w:cs="Cambria Math"/>
            <w:lang w:val="en-GB"/>
          </w:rPr>
          <w:instrText>‐</w:instrText>
        </w:r>
        <w:r w:rsidR="0094469E">
          <w:rPr>
            <w:lang w:val="en-GB"/>
          </w:rPr>
          <w:instrText>regulated learning in healthcare profession education: theoretical perspectives and research methods&lt;/title&gt;&lt;secondary-title&gt;Researching Medical Education&lt;/secondary-title&gt;&lt;/titles&gt;&lt;periodical&gt;&lt;full-title&gt;Researching Medical Education&lt;/full-title&gt;&lt;/periodical&gt;&lt;pages&gt;155-166&lt;/pages&gt;&lt;dates&gt;&lt;year&gt;2015&lt;/year&gt;&lt;/dates&gt;&lt;isbn&gt;111883898X&lt;/isbn&gt;&lt;urls&gt;&lt;/urls&gt;&lt;/record&gt;&lt;/Cite&gt;&lt;/EndNote&gt;</w:instrText>
        </w:r>
        <w:r w:rsidR="0094469E" w:rsidRPr="003726FE">
          <w:rPr>
            <w:lang w:val="en-GB"/>
          </w:rPr>
          <w:fldChar w:fldCharType="separate"/>
        </w:r>
        <w:r w:rsidR="0094469E" w:rsidRPr="003726FE">
          <w:rPr>
            <w:noProof/>
            <w:lang w:val="en-GB"/>
          </w:rPr>
          <w:t>Artino Jr et al. (2015, p. 155)</w:t>
        </w:r>
        <w:r w:rsidR="0094469E" w:rsidRPr="003726FE">
          <w:rPr>
            <w:lang w:val="en-GB"/>
          </w:rPr>
          <w:fldChar w:fldCharType="end"/>
        </w:r>
      </w:hyperlink>
      <w:r w:rsidR="00CE265B" w:rsidRPr="003726FE">
        <w:rPr>
          <w:lang w:val="en-GB"/>
        </w:rPr>
        <w:t xml:space="preserve"> expand </w:t>
      </w:r>
      <w:r w:rsidR="008C1960" w:rsidRPr="003726FE">
        <w:rPr>
          <w:lang w:val="en-GB"/>
        </w:rPr>
        <w:t>on this</w:t>
      </w:r>
      <w:r w:rsidR="00CE265B" w:rsidRPr="003726FE">
        <w:rPr>
          <w:lang w:val="en-GB"/>
        </w:rPr>
        <w:t>,</w:t>
      </w:r>
      <w:r w:rsidR="005A1A00" w:rsidRPr="003726FE">
        <w:rPr>
          <w:lang w:val="en-GB"/>
        </w:rPr>
        <w:t xml:space="preserve"> “SRL is not a mental ability, </w:t>
      </w:r>
      <w:r w:rsidR="0021662A">
        <w:rPr>
          <w:lang w:val="en-GB"/>
        </w:rPr>
        <w:t>including</w:t>
      </w:r>
      <w:r w:rsidR="005A1A00" w:rsidRPr="003726FE">
        <w:rPr>
          <w:lang w:val="en-GB"/>
        </w:rPr>
        <w:t xml:space="preserve"> </w:t>
      </w:r>
      <w:r w:rsidR="00CE265B" w:rsidRPr="003726FE">
        <w:rPr>
          <w:lang w:val="en-GB"/>
        </w:rPr>
        <w:t>intelligence</w:t>
      </w:r>
      <w:r w:rsidR="005A1A00" w:rsidRPr="003726FE">
        <w:rPr>
          <w:lang w:val="en-GB"/>
        </w:rPr>
        <w:t xml:space="preserve">, nor is it an academic skill, such as reading proficiency; instead </w:t>
      </w:r>
      <w:r w:rsidR="00CE265B" w:rsidRPr="003726FE">
        <w:rPr>
          <w:lang w:val="en-GB"/>
        </w:rPr>
        <w:t xml:space="preserve">it is a set of processes requiring a proactive learner.” Since SRL was </w:t>
      </w:r>
      <w:r w:rsidR="008C1960" w:rsidRPr="003726FE">
        <w:rPr>
          <w:lang w:val="en-GB"/>
        </w:rPr>
        <w:t xml:space="preserve">first </w:t>
      </w:r>
      <w:r w:rsidR="00CE265B" w:rsidRPr="003726FE">
        <w:rPr>
          <w:lang w:val="en-GB"/>
        </w:rPr>
        <w:t xml:space="preserve">established as a concept by </w:t>
      </w:r>
      <w:hyperlink w:anchor="_ENREF_465" w:tooltip="Zimmerman, 1986 #621" w:history="1">
        <w:r w:rsidR="0094469E" w:rsidRPr="003726FE">
          <w:rPr>
            <w:lang w:val="en-GB"/>
          </w:rPr>
          <w:fldChar w:fldCharType="begin"/>
        </w:r>
        <w:r w:rsidR="0094469E">
          <w:rPr>
            <w:lang w:val="en-GB"/>
          </w:rPr>
          <w:instrText xml:space="preserve"> ADDIN EN.CITE &lt;EndNote&gt;&lt;Cite AuthorYear="1"&gt;&lt;Author&gt;Zimmerman&lt;/Author&gt;&lt;Year&gt;1986&lt;/Year&gt;&lt;RecNum&gt;621&lt;/RecNum&gt;&lt;DisplayText&gt;Zimmerman and Pons (1986)&lt;/DisplayText&gt;&lt;record&gt;&lt;rec-number&gt;621&lt;/rec-number&gt;&lt;foreign-keys&gt;&lt;key app="EN" db-id="xa2r2ewea92trkef5dt5arvbzafvpv2za5ft" timestamp="1496417561"&gt;621&lt;/key&gt;&lt;/foreign-keys&gt;&lt;ref-type name="Journal Article"&gt;17&lt;/ref-type&gt;&lt;contributors&gt;&lt;authors&gt;&lt;author&gt;Zimmerman, Barry J&lt;/author&gt;&lt;author&gt;Pons, Manuel Martinez&lt;/author&gt;&lt;/authors&gt;&lt;/contributors&gt;&lt;titles&gt;&lt;title&gt;Development of a structured interview for assessing student use of self-regulated learning strategies&lt;/title&gt;&lt;secondary-title&gt;American educational research journal&lt;/secondary-title&gt;&lt;/titles&gt;&lt;periodical&gt;&lt;full-title&gt;American Educational Research Journal&lt;/full-title&gt;&lt;/periodical&gt;&lt;pages&gt;614-628&lt;/pages&gt;&lt;volume&gt;23&lt;/volume&gt;&lt;number&gt;4&lt;/number&gt;&lt;dates&gt;&lt;year&gt;1986&lt;/year&gt;&lt;/dates&gt;&lt;isbn&gt;0002-8312&lt;/isbn&gt;&lt;urls&gt;&lt;/urls&gt;&lt;/record&gt;&lt;/Cite&gt;&lt;/EndNote&gt;</w:instrText>
        </w:r>
        <w:r w:rsidR="0094469E" w:rsidRPr="003726FE">
          <w:rPr>
            <w:lang w:val="en-GB"/>
          </w:rPr>
          <w:fldChar w:fldCharType="separate"/>
        </w:r>
        <w:r w:rsidR="0094469E" w:rsidRPr="003726FE">
          <w:rPr>
            <w:noProof/>
            <w:lang w:val="en-GB"/>
          </w:rPr>
          <w:t>Zimmerman and Pons (1986)</w:t>
        </w:r>
        <w:r w:rsidR="0094469E" w:rsidRPr="003726FE">
          <w:rPr>
            <w:lang w:val="en-GB"/>
          </w:rPr>
          <w:fldChar w:fldCharType="end"/>
        </w:r>
      </w:hyperlink>
      <w:r w:rsidR="008C1960" w:rsidRPr="003726FE">
        <w:rPr>
          <w:lang w:val="en-GB"/>
        </w:rPr>
        <w:t xml:space="preserve"> it has become an important framework, </w:t>
      </w:r>
      <w:r w:rsidR="0066150D" w:rsidRPr="003726FE">
        <w:rPr>
          <w:lang w:val="en-GB"/>
        </w:rPr>
        <w:t>primarily in</w:t>
      </w:r>
      <w:r w:rsidR="008C1960" w:rsidRPr="003726FE">
        <w:rPr>
          <w:lang w:val="en-GB"/>
        </w:rPr>
        <w:t xml:space="preserve"> educational psychology, for studying learning</w:t>
      </w:r>
      <w:r w:rsidR="0066150D" w:rsidRPr="003726FE">
        <w:rPr>
          <w:lang w:val="en-GB"/>
        </w:rPr>
        <w:t xml:space="preserve"> and behaviour</w:t>
      </w:r>
      <w:r w:rsidR="008C1960" w:rsidRPr="003726FE">
        <w:rPr>
          <w:lang w:val="en-GB"/>
        </w:rPr>
        <w:t xml:space="preserve"> from the emotional and cognitive perspectives </w:t>
      </w:r>
      <w:r w:rsidR="00EF281A" w:rsidRPr="003726FE">
        <w:rPr>
          <w:lang w:val="en-GB"/>
        </w:rPr>
        <w:fldChar w:fldCharType="begin"/>
      </w:r>
      <w:r w:rsidR="008B61BE">
        <w:rPr>
          <w:lang w:val="en-GB"/>
        </w:rPr>
        <w:instrText xml:space="preserve"> ADDIN EN.CITE &lt;EndNote&gt;&lt;Cite&gt;&lt;Author&gt;Panadero&lt;/Author&gt;&lt;Year&gt;2017&lt;/Year&gt;&lt;RecNum&gt;620&lt;/RecNum&gt;&lt;DisplayText&gt;(Panadero 2017)&lt;/DisplayText&gt;&lt;record&gt;&lt;rec-number&gt;620&lt;/rec-number&gt;&lt;foreign-keys&gt;&lt;key app="EN" db-id="xa2r2ewea92trkef5dt5arvbzafvpv2za5ft" timestamp="1496417560"&gt;620&lt;/key&gt;&lt;/foreign-keys&gt;&lt;ref-type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Psychology&lt;/secondary-title&gt;&lt;/titles&gt;&lt;periodical&gt;&lt;full-title&gt;Frontiers in Psychology&lt;/full-title&gt;&lt;/periodical&gt;&lt;pages&gt;1-28&lt;/pages&gt;&lt;volume&gt;8&lt;/volume&gt;&lt;number&gt;422&lt;/number&gt;&lt;section&gt;1&lt;/section&gt;&lt;dates&gt;&lt;year&gt;2017&lt;/year&gt;&lt;/dates&gt;&lt;urls&gt;&lt;/urls&gt;&lt;electronic-resource-num&gt;10.3389/fpsyg.2017.00422&lt;/electronic-resource-num&gt;&lt;/record&gt;&lt;/Cite&gt;&lt;/EndNote&gt;</w:instrText>
      </w:r>
      <w:r w:rsidR="00EF281A" w:rsidRPr="003726FE">
        <w:rPr>
          <w:lang w:val="en-GB"/>
        </w:rPr>
        <w:fldChar w:fldCharType="separate"/>
      </w:r>
      <w:r w:rsidR="004E5A78" w:rsidRPr="003726FE">
        <w:rPr>
          <w:noProof/>
          <w:lang w:val="en-GB"/>
        </w:rPr>
        <w:t>(</w:t>
      </w:r>
      <w:hyperlink w:anchor="_ENREF_314" w:tooltip="Panadero, 2017 #620" w:history="1">
        <w:r w:rsidR="0094469E" w:rsidRPr="003726FE">
          <w:rPr>
            <w:noProof/>
            <w:lang w:val="en-GB"/>
          </w:rPr>
          <w:t>Panadero 2017</w:t>
        </w:r>
      </w:hyperlink>
      <w:r w:rsidR="004E5A78" w:rsidRPr="003726FE">
        <w:rPr>
          <w:noProof/>
          <w:lang w:val="en-GB"/>
        </w:rPr>
        <w:t>)</w:t>
      </w:r>
      <w:r w:rsidR="00EF281A" w:rsidRPr="003726FE">
        <w:rPr>
          <w:lang w:val="en-GB"/>
        </w:rPr>
        <w:fldChar w:fldCharType="end"/>
      </w:r>
      <w:r w:rsidR="008C1960" w:rsidRPr="003726FE">
        <w:rPr>
          <w:lang w:val="en-GB"/>
        </w:rPr>
        <w:t xml:space="preserve">. </w:t>
      </w:r>
      <w:r w:rsidR="00762137" w:rsidRPr="003726FE">
        <w:rPr>
          <w:lang w:val="en-GB"/>
        </w:rPr>
        <w:t>The consensus is that the most effective learners are</w:t>
      </w:r>
      <w:r w:rsidR="00052D8F" w:rsidRPr="003726FE">
        <w:rPr>
          <w:lang w:val="en-GB"/>
        </w:rPr>
        <w:t xml:space="preserve"> the most proficient</w:t>
      </w:r>
      <w:r w:rsidR="00762137" w:rsidRPr="003726FE">
        <w:rPr>
          <w:lang w:val="en-GB"/>
        </w:rPr>
        <w:t xml:space="preserve"> self-regulators </w:t>
      </w:r>
      <w:r w:rsidR="00EF281A" w:rsidRPr="003726FE">
        <w:rPr>
          <w:lang w:val="en-GB"/>
        </w:rPr>
        <w:fldChar w:fldCharType="begin"/>
      </w:r>
      <w:r w:rsidR="008B61BE">
        <w:rPr>
          <w:lang w:val="en-GB"/>
        </w:rPr>
        <w:instrText xml:space="preserve"> ADDIN EN.CITE &lt;EndNote&gt;&lt;Cite&gt;&lt;Author&gt;Zimmerman&lt;/Author&gt;&lt;Year&gt;2011&lt;/Year&gt;&lt;RecNum&gt;282&lt;/RecNum&gt;&lt;DisplayText&gt;(Zimmerman and Schunk 2011)&lt;/DisplayText&gt;&lt;record&gt;&lt;rec-number&gt;282&lt;/rec-number&gt;&lt;foreign-keys&gt;&lt;key app="EN" db-id="xa2r2ewea92trkef5dt5arvbzafvpv2za5ft" timestamp="1442161766"&gt;282&lt;/key&gt;&lt;/foreign-keys&gt;&lt;ref-type name="Book"&gt;6&lt;/ref-type&gt;&lt;contributors&gt;&lt;authors&gt;&lt;author&gt;Zimmerman, Barry J.&lt;/author&gt;&lt;author&gt;Schunk, Dale H.&lt;/author&gt;&lt;/authors&gt;&lt;/contributors&gt;&lt;titles&gt;&lt;title&gt;Handbook of self-regulation of learning and performance&lt;/title&gt;&lt;/titles&gt;&lt;number&gt;Book, Whole&lt;/number&gt;&lt;dates&gt;&lt;year&gt;2011&lt;/year&gt;&lt;/dates&gt;&lt;publisher&gt;Taylor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466" w:tooltip="Zimmerman, 2011 #282" w:history="1">
        <w:r w:rsidR="0094469E" w:rsidRPr="003726FE">
          <w:rPr>
            <w:noProof/>
            <w:lang w:val="en-GB"/>
          </w:rPr>
          <w:t>Zimmerman and Schunk 2011</w:t>
        </w:r>
      </w:hyperlink>
      <w:r w:rsidR="004E5A78" w:rsidRPr="003726FE">
        <w:rPr>
          <w:noProof/>
          <w:lang w:val="en-GB"/>
        </w:rPr>
        <w:t>)</w:t>
      </w:r>
      <w:r w:rsidR="00EF281A" w:rsidRPr="003726FE">
        <w:rPr>
          <w:lang w:val="en-GB"/>
        </w:rPr>
        <w:fldChar w:fldCharType="end"/>
      </w:r>
      <w:r w:rsidR="00762137" w:rsidRPr="003726FE">
        <w:rPr>
          <w:lang w:val="en-GB"/>
        </w:rPr>
        <w:t xml:space="preserve">. Others have attributed SRL to be a critical determinant </w:t>
      </w:r>
      <w:r w:rsidR="002F4E5C" w:rsidRPr="003726FE">
        <w:rPr>
          <w:lang w:val="en-GB"/>
        </w:rPr>
        <w:t>of</w:t>
      </w:r>
      <w:r w:rsidR="00762137" w:rsidRPr="003726FE">
        <w:rPr>
          <w:lang w:val="en-GB"/>
        </w:rPr>
        <w:t xml:space="preserve"> academic success </w:t>
      </w:r>
      <w:r w:rsidR="00762137" w:rsidRPr="003726FE">
        <w:rPr>
          <w:lang w:val="en-GB"/>
        </w:rPr>
        <w:fldChar w:fldCharType="begin"/>
      </w:r>
      <w:r w:rsidR="008B61BE">
        <w:rPr>
          <w:lang w:val="en-GB"/>
        </w:rPr>
        <w:instrText xml:space="preserve"> ADDIN EN.CITE &lt;EndNote&gt;&lt;Cite&gt;&lt;Author&gt;De Corte&lt;/Author&gt;&lt;Year&gt;2011&lt;/Year&gt;&lt;RecNum&gt;59&lt;/RecNum&gt;&lt;DisplayText&gt;(Fuchs and Fuchs 2003; De Corte et al. 2011)&lt;/DisplayText&gt;&lt;record&gt;&lt;rec-number&gt;59&lt;/rec-number&gt;&lt;foreign-keys&gt;&lt;key app="EN" db-id="xa2r2ewea92trkef5dt5arvbzafvpv2za5ft" timestamp="1442161763"&gt;59&lt;/key&gt;&lt;/foreign-keys&gt;&lt;ref-type name="Journal Article"&gt;17&lt;/ref-type&gt;&lt;contributors&gt;&lt;authors&gt;&lt;author&gt;De Corte, Erik&lt;/author&gt;&lt;author&gt;Mason, Lucia&lt;/author&gt;&lt;author&gt;Depaepe, Fien&lt;/author&gt;&lt;author&gt;Verschaffel, Lieven&lt;/author&gt;&lt;/authors&gt;&lt;/contributors&gt;&lt;titles&gt;&lt;title&gt;Self-regulation of mathematical knowledge and skills&lt;/title&gt;&lt;secondary-title&gt;Handbook of self-regulation of learning and performance&lt;/secondary-title&gt;&lt;/titles&gt;&lt;periodical&gt;&lt;full-title&gt;Handbook of self-regulation of learning and performance&lt;/full-title&gt;&lt;/periodical&gt;&lt;pages&gt;155-172&lt;/pages&gt;&lt;dates&gt;&lt;year&gt;2011&lt;/year&gt;&lt;/dates&gt;&lt;publisher&gt;Routledge/Taylor &amp;amp; Francis New York&lt;/publisher&gt;&lt;urls&gt;&lt;/urls&gt;&lt;/record&gt;&lt;/Cite&gt;&lt;Cite&gt;&lt;Author&gt;Fuchs&lt;/Author&gt;&lt;Year&gt;2003&lt;/Year&gt;&lt;RecNum&gt;84&lt;/RecNum&gt;&lt;record&gt;&lt;rec-number&gt;84&lt;/rec-number&gt;&lt;foreign-keys&gt;&lt;key app="EN" db-id="xa2r2ewea92trkef5dt5arvbzafvpv2za5ft" timestamp="1442161764"&gt;84&lt;/key&gt;&lt;/foreign-keys&gt;&lt;ref-type name="Journal Article"&gt;17&lt;/ref-type&gt;&lt;contributors&gt;&lt;authors&gt;&lt;author&gt;Fuchs, Lynn S.&lt;/author&gt;&lt;author&gt;Fuchs, Douglas&lt;/author&gt;&lt;/authors&gt;&lt;/contributors&gt;&lt;titles&gt;&lt;title&gt;Enhancing the mathematical problem solving of students with mathematics disabilities&lt;/title&gt;&lt;/titles&gt;&lt;dates&gt;&lt;year&gt;2003&lt;/year&gt;&lt;/dates&gt;&lt;publisher&gt;Guilford Press&lt;/publisher&gt;&lt;urls&gt;&lt;/urls&gt;&lt;/record&gt;&lt;/Cite&gt;&lt;/EndNote&gt;</w:instrText>
      </w:r>
      <w:r w:rsidR="00762137" w:rsidRPr="003726FE">
        <w:rPr>
          <w:lang w:val="en-GB"/>
        </w:rPr>
        <w:fldChar w:fldCharType="separate"/>
      </w:r>
      <w:r w:rsidR="004E5A78" w:rsidRPr="003726FE">
        <w:rPr>
          <w:noProof/>
          <w:lang w:val="en-GB"/>
        </w:rPr>
        <w:t>(</w:t>
      </w:r>
      <w:hyperlink w:anchor="_ENREF_153" w:tooltip="Fuchs, 2003 #84" w:history="1">
        <w:r w:rsidR="0094469E" w:rsidRPr="003726FE">
          <w:rPr>
            <w:noProof/>
            <w:lang w:val="en-GB"/>
          </w:rPr>
          <w:t>Fuchs and Fuchs 2003</w:t>
        </w:r>
      </w:hyperlink>
      <w:r w:rsidR="004E5A78" w:rsidRPr="003726FE">
        <w:rPr>
          <w:noProof/>
          <w:lang w:val="en-GB"/>
        </w:rPr>
        <w:t xml:space="preserve">; </w:t>
      </w:r>
      <w:hyperlink w:anchor="_ENREF_112" w:tooltip="De Corte, 2011 #59" w:history="1">
        <w:r w:rsidR="0094469E" w:rsidRPr="003726FE">
          <w:rPr>
            <w:noProof/>
            <w:lang w:val="en-GB"/>
          </w:rPr>
          <w:t>De Corte et al. 2011</w:t>
        </w:r>
      </w:hyperlink>
      <w:r w:rsidR="004E5A78" w:rsidRPr="003726FE">
        <w:rPr>
          <w:noProof/>
          <w:lang w:val="en-GB"/>
        </w:rPr>
        <w:t>)</w:t>
      </w:r>
      <w:r w:rsidR="00762137" w:rsidRPr="003726FE">
        <w:rPr>
          <w:lang w:val="en-GB"/>
        </w:rPr>
        <w:fldChar w:fldCharType="end"/>
      </w:r>
      <w:r w:rsidR="00762137" w:rsidRPr="003726FE">
        <w:rPr>
          <w:lang w:val="en-GB"/>
        </w:rPr>
        <w:t xml:space="preserve">. SRL is </w:t>
      </w:r>
      <w:r w:rsidR="002F4E5C" w:rsidRPr="003726FE">
        <w:rPr>
          <w:lang w:val="en-GB"/>
        </w:rPr>
        <w:t xml:space="preserve">recognised as </w:t>
      </w:r>
      <w:r w:rsidR="00762137" w:rsidRPr="003726FE">
        <w:rPr>
          <w:lang w:val="en-GB"/>
        </w:rPr>
        <w:t xml:space="preserve">a concept </w:t>
      </w:r>
      <w:r w:rsidR="002F4E5C" w:rsidRPr="003726FE">
        <w:rPr>
          <w:lang w:val="en-GB"/>
        </w:rPr>
        <w:t>relating</w:t>
      </w:r>
      <w:r w:rsidR="00762137" w:rsidRPr="003726FE">
        <w:rPr>
          <w:lang w:val="en-GB"/>
        </w:rPr>
        <w:t xml:space="preserve"> to lifelong learning and reflexivity in</w:t>
      </w:r>
      <w:r w:rsidR="00224AF0" w:rsidRPr="003726FE">
        <w:rPr>
          <w:lang w:val="en-GB"/>
        </w:rPr>
        <w:t xml:space="preserve"> the</w:t>
      </w:r>
      <w:r w:rsidR="00762137" w:rsidRPr="003726FE">
        <w:rPr>
          <w:lang w:val="en-GB"/>
        </w:rPr>
        <w:t xml:space="preserve"> health professions </w:t>
      </w:r>
      <w:r w:rsidR="00224AF0" w:rsidRPr="003726FE">
        <w:rPr>
          <w:lang w:val="en-GB"/>
        </w:rPr>
        <w:fldChar w:fldCharType="begin"/>
      </w:r>
      <w:r w:rsidR="008B61BE">
        <w:rPr>
          <w:lang w:val="en-GB"/>
        </w:rPr>
        <w:instrText xml:space="preserve"> ADDIN EN.CITE &lt;EndNote&gt;&lt;Cite&gt;&lt;Author&gt;Brydges&lt;/Author&gt;&lt;Year&gt;2015&lt;/Year&gt;&lt;RecNum&gt;19&lt;/RecNum&gt;&lt;DisplayText&gt;(Embo et al. 2014; Brydges et al. 2015)&lt;/DisplayText&gt;&lt;record&gt;&lt;rec-number&gt;19&lt;/rec-number&gt;&lt;foreign-keys&gt;&lt;key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Pr>
          <w:rFonts w:ascii="Cambria Math" w:hAnsi="Cambria Math" w:cs="Cambria Math"/>
          <w:lang w:val="en-GB"/>
        </w:rPr>
        <w:instrText>‐</w:instrText>
      </w:r>
      <w:r w:rsidR="008B61BE">
        <w:rPr>
          <w:lang w:val="en-GB"/>
        </w:rPr>
        <w:instrText>regulated learning in simulation</w:instrText>
      </w:r>
      <w:r w:rsidR="008B61BE">
        <w:rPr>
          <w:rFonts w:ascii="Cambria Math" w:hAnsi="Cambria Math" w:cs="Cambria Math"/>
          <w:lang w:val="en-GB"/>
        </w:rPr>
        <w:instrText>‐</w:instrText>
      </w:r>
      <w:r w:rsidR="008B61BE">
        <w:rPr>
          <w:lang w:val="en-GB"/>
        </w:rPr>
        <w:instrText>based training: a systematic review and meta</w:instrText>
      </w:r>
      <w:r w:rsidR="008B61BE">
        <w:rPr>
          <w:rFonts w:ascii="Cambria Math" w:hAnsi="Cambria Math" w:cs="Cambria Math"/>
          <w:lang w:val="en-GB"/>
        </w:rPr>
        <w:instrText>‐</w:instrText>
      </w:r>
      <w:r w:rsidR="008B61BE">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Cite&gt;&lt;Author&gt;Embo&lt;/Author&gt;&lt;Year&gt;2014&lt;/Year&gt;&lt;RecNum&gt;72&lt;/RecNum&gt;&lt;record&gt;&lt;rec-number&gt;72&lt;/rec-number&gt;&lt;foreign-keys&gt;&lt;key app="EN" db-id="xa2r2ewea92trkef5dt5arvbzafvpv2za5ft" timestamp="1442161763"&gt;72&lt;/key&gt;&lt;/foreign-keys&gt;&lt;ref-type name="Journal Article"&gt;17&lt;/ref-type&gt;&lt;contributors&gt;&lt;authors&gt;&lt;author&gt;Embo, M. P. C.&lt;/author&gt;&lt;author&gt;Driessen, E.&lt;/author&gt;&lt;author&gt;Valcke, Martin&lt;/author&gt;&lt;author&gt;Van Der Vleuten, Cees P. M.&lt;/author&gt;&lt;/authors&gt;&lt;/contributors&gt;&lt;titles&gt;&lt;title&gt;Scaffolding reflective learning in clinical practice: A comparison of two types of reflective activities&lt;/title&gt;&lt;secondary-title&gt;Medical teacher&lt;/secondary-title&gt;&lt;/titles&gt;&lt;periodical&gt;&lt;full-title&gt;Medical teacher&lt;/full-title&gt;&lt;/periodical&gt;&lt;pages&gt;602-607&lt;/pages&gt;&lt;volume&gt;36&lt;/volume&gt;&lt;number&gt;7&lt;/number&gt;&lt;dates&gt;&lt;year&gt;2014&lt;/year&gt;&lt;/dates&gt;&lt;publisher&gt;Taylor &amp;amp; Francis&lt;/publisher&gt;&lt;urls&gt;&lt;/urls&gt;&lt;/record&gt;&lt;/Cite&gt;&lt;/EndNote&gt;</w:instrText>
      </w:r>
      <w:r w:rsidR="00224AF0" w:rsidRPr="003726FE">
        <w:rPr>
          <w:lang w:val="en-GB"/>
        </w:rPr>
        <w:fldChar w:fldCharType="separate"/>
      </w:r>
      <w:r w:rsidR="004E5A78" w:rsidRPr="003726FE">
        <w:rPr>
          <w:noProof/>
          <w:lang w:val="en-GB"/>
        </w:rPr>
        <w:t>(</w:t>
      </w:r>
      <w:hyperlink w:anchor="_ENREF_138" w:tooltip="Embo, 2014 #72" w:history="1">
        <w:r w:rsidR="0094469E" w:rsidRPr="003726FE">
          <w:rPr>
            <w:noProof/>
            <w:lang w:val="en-GB"/>
          </w:rPr>
          <w:t>Embo et al. 2014</w:t>
        </w:r>
      </w:hyperlink>
      <w:r w:rsidR="004E5A78" w:rsidRPr="003726FE">
        <w:rPr>
          <w:noProof/>
          <w:lang w:val="en-GB"/>
        </w:rPr>
        <w:t xml:space="preserve">; </w:t>
      </w:r>
      <w:hyperlink w:anchor="_ENREF_56" w:tooltip="Brydges, 2015 #18" w:history="1">
        <w:r w:rsidR="0094469E" w:rsidRPr="003726FE">
          <w:rPr>
            <w:noProof/>
            <w:lang w:val="en-GB"/>
          </w:rPr>
          <w:t>Brydges et al. 2015</w:t>
        </w:r>
      </w:hyperlink>
      <w:r w:rsidR="004E5A78" w:rsidRPr="003726FE">
        <w:rPr>
          <w:noProof/>
          <w:lang w:val="en-GB"/>
        </w:rPr>
        <w:t>)</w:t>
      </w:r>
      <w:r w:rsidR="00224AF0" w:rsidRPr="003726FE">
        <w:rPr>
          <w:lang w:val="en-GB"/>
        </w:rPr>
        <w:fldChar w:fldCharType="end"/>
      </w:r>
      <w:r w:rsidR="00762137" w:rsidRPr="003726FE">
        <w:rPr>
          <w:lang w:val="en-GB"/>
        </w:rPr>
        <w:t>.</w:t>
      </w:r>
    </w:p>
    <w:p w14:paraId="2E6B7B8D" w14:textId="77777777" w:rsidR="004208F0" w:rsidRPr="003726FE" w:rsidRDefault="004208F0" w:rsidP="00026049">
      <w:pPr>
        <w:pStyle w:val="Normal1"/>
        <w:rPr>
          <w:lang w:val="en-GB"/>
        </w:rPr>
      </w:pPr>
    </w:p>
    <w:p w14:paraId="61CF7FE1" w14:textId="58E5E9F5" w:rsidR="00C63772" w:rsidRPr="003726FE" w:rsidRDefault="00946A04" w:rsidP="00026049">
      <w:pPr>
        <w:pStyle w:val="Normal1"/>
        <w:rPr>
          <w:lang w:val="en-GB"/>
        </w:rPr>
      </w:pPr>
      <w:r w:rsidRPr="003726FE">
        <w:rPr>
          <w:lang w:val="en-GB"/>
        </w:rPr>
        <w:t>More widely, SRL frameworks have been used to understand mechanisms underlying how individuals regulate their learning</w:t>
      </w:r>
      <w:r w:rsidR="00EC3A8E">
        <w:rPr>
          <w:lang w:val="en-GB"/>
        </w:rPr>
        <w:t>,</w:t>
      </w:r>
      <w:r w:rsidRPr="003726FE">
        <w:rPr>
          <w:lang w:val="en-GB"/>
        </w:rPr>
        <w:t xml:space="preserve"> </w:t>
      </w:r>
      <w:r w:rsidR="002F4E5C" w:rsidRPr="003726FE">
        <w:rPr>
          <w:lang w:val="en-GB"/>
        </w:rPr>
        <w:t xml:space="preserve">mainly </w:t>
      </w:r>
      <w:r w:rsidRPr="003726FE">
        <w:rPr>
          <w:lang w:val="en-GB"/>
        </w:rPr>
        <w:t xml:space="preserve">in </w:t>
      </w:r>
      <w:r w:rsidR="00651811" w:rsidRPr="003726FE">
        <w:rPr>
          <w:lang w:val="en-GB"/>
        </w:rPr>
        <w:t>medical</w:t>
      </w:r>
      <w:r w:rsidRPr="003726FE">
        <w:rPr>
          <w:lang w:val="en-GB"/>
        </w:rPr>
        <w:t xml:space="preserve">, mathematics, </w:t>
      </w:r>
      <w:r w:rsidR="00232187">
        <w:rPr>
          <w:lang w:val="en-GB"/>
        </w:rPr>
        <w:t>health psychology</w:t>
      </w:r>
      <w:r w:rsidR="002F4E5C" w:rsidRPr="003726FE">
        <w:rPr>
          <w:lang w:val="en-GB"/>
        </w:rPr>
        <w:t xml:space="preserve">, and sports performance contexts </w:t>
      </w:r>
      <w:r w:rsidR="00EF281A" w:rsidRPr="003726FE">
        <w:rPr>
          <w:lang w:val="en-GB"/>
        </w:rPr>
        <w:fldChar w:fldCharType="begin">
          <w:fldData xml:space="preserve">PEVuZE5vdGU+PENpdGU+PEF1dGhvcj5LaXRzYW50YXM8L0F1dGhvcj48WWVhcj4yMDAyPC9ZZWFy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</w:fldData>
        </w:fldChar>
      </w:r>
      <w:r w:rsidR="008B61BE">
        <w:rPr>
          <w:lang w:val="en-GB"/>
        </w:rPr>
        <w:instrText xml:space="preserve"> ADDIN EN.CITE </w:instrText>
      </w:r>
      <w:r w:rsidR="008B61BE">
        <w:rPr>
          <w:lang w:val="en-GB"/>
        </w:rPr>
        <w:fldChar w:fldCharType="begin">
          <w:fldData xml:space="preserve">PEVuZE5vdGU+PENpdGU+PEF1dGhvcj5LaXRzYW50YXM8L0F1dGhvcj48WWVhcj4yMDAyPC9ZZWFy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217" w:tooltip="Kitsantas, 2002 #129" w:history="1">
        <w:r w:rsidR="0094469E" w:rsidRPr="003726FE">
          <w:rPr>
            <w:noProof/>
            <w:lang w:val="en-GB"/>
          </w:rPr>
          <w:t>Kitsantas and Zimmerman 2002</w:t>
        </w:r>
      </w:hyperlink>
      <w:r w:rsidR="004E5A78" w:rsidRPr="003726FE">
        <w:rPr>
          <w:noProof/>
          <w:lang w:val="en-GB"/>
        </w:rPr>
        <w:t xml:space="preserve">; </w:t>
      </w:r>
      <w:hyperlink w:anchor="_ENREF_70" w:tooltip="Carey, 2004 #839" w:history="1">
        <w:r w:rsidR="0094469E" w:rsidRPr="003726FE">
          <w:rPr>
            <w:noProof/>
            <w:lang w:val="en-GB"/>
          </w:rPr>
          <w:t>Carey et al. 2004</w:t>
        </w:r>
      </w:hyperlink>
      <w:r w:rsidR="004E5A78" w:rsidRPr="003726FE">
        <w:rPr>
          <w:noProof/>
          <w:lang w:val="en-GB"/>
        </w:rPr>
        <w:t xml:space="preserve">; </w:t>
      </w:r>
      <w:hyperlink w:anchor="_ENREF_232" w:tooltip="Labuhn, 2010 #139" w:history="1">
        <w:r w:rsidR="0094469E" w:rsidRPr="003726FE">
          <w:rPr>
            <w:noProof/>
            <w:lang w:val="en-GB"/>
          </w:rPr>
          <w:t>Labuhn et al. 2010</w:t>
        </w:r>
      </w:hyperlink>
      <w:r w:rsidR="004E5A78" w:rsidRPr="003726FE">
        <w:rPr>
          <w:noProof/>
          <w:lang w:val="en-GB"/>
        </w:rPr>
        <w:t xml:space="preserve">; </w:t>
      </w:r>
      <w:hyperlink w:anchor="_ENREF_134" w:tooltip="Durning, 2011 #71" w:history="1">
        <w:r w:rsidR="0094469E" w:rsidRPr="003726FE">
          <w:rPr>
            <w:noProof/>
            <w:lang w:val="en-GB"/>
          </w:rPr>
          <w:t>Durning et al. 2011</w:t>
        </w:r>
      </w:hyperlink>
      <w:r w:rsidR="004E5A78" w:rsidRPr="003726FE">
        <w:rPr>
          <w:noProof/>
          <w:lang w:val="en-GB"/>
        </w:rPr>
        <w:t>)</w:t>
      </w:r>
      <w:r w:rsidR="00EF281A" w:rsidRPr="003726FE">
        <w:rPr>
          <w:lang w:val="en-GB"/>
        </w:rPr>
        <w:fldChar w:fldCharType="end"/>
      </w:r>
      <w:r w:rsidR="00651811" w:rsidRPr="003726FE">
        <w:rPr>
          <w:lang w:val="en-GB"/>
        </w:rPr>
        <w:t xml:space="preserve">. </w:t>
      </w:r>
      <w:r w:rsidR="00C63772" w:rsidRPr="003726FE">
        <w:rPr>
          <w:lang w:val="en-GB"/>
        </w:rPr>
        <w:t xml:space="preserve">In education, the implications of SRL are extensive. Key indicators of educational attainment (e.g. self-efficacy and behavioural regulation) are core tenets of all models of SRL, which in turn </w:t>
      </w:r>
      <w:r w:rsidR="00EE44E4" w:rsidRPr="003726FE">
        <w:rPr>
          <w:lang w:val="en-GB"/>
        </w:rPr>
        <w:t>have made</w:t>
      </w:r>
      <w:r w:rsidR="00C63772" w:rsidRPr="003726FE">
        <w:rPr>
          <w:lang w:val="en-GB"/>
        </w:rPr>
        <w:t xml:space="preserve"> interventions targeting SRL processes successful in improving academic performance </w:t>
      </w:r>
      <w:r w:rsidR="00EF281A" w:rsidRPr="003726FE">
        <w:rPr>
          <w:lang w:val="en-GB"/>
        </w:rPr>
        <w:fldChar w:fldCharType="begin"/>
      </w:r>
      <w:r w:rsidR="008B61BE">
        <w:rPr>
          <w:lang w:val="en-GB"/>
        </w:rPr>
        <w:instrText xml:space="preserve"> ADDIN EN.CITE &lt;EndNote&gt;&lt;Cite&gt;&lt;Author&gt;Panadero&lt;/Author&gt;&lt;Year&gt;2017&lt;/Year&gt;&lt;RecNum&gt;620&lt;/RecNum&gt;&lt;DisplayText&gt;(Panadero 2017)&lt;/DisplayText&gt;&lt;record&gt;&lt;rec-number&gt;620&lt;/rec-number&gt;&lt;foreign-keys&gt;&lt;key app="EN" db-id="xa2r2ewea92trkef5dt5arvbzafvpv2za5ft" timestamp="1496417560"&gt;620&lt;/key&gt;&lt;/foreign-keys&gt;&lt;ref-type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Psychology&lt;/secondary-title&gt;&lt;/titles&gt;&lt;periodical&gt;&lt;full-title&gt;Frontiers in Psychology&lt;/full-title&gt;&lt;/periodical&gt;&lt;pages&gt;1-28&lt;/pages&gt;&lt;volume&gt;8&lt;/volume&gt;&lt;number&gt;422&lt;/number&gt;&lt;section&gt;1&lt;/section&gt;&lt;dates&gt;&lt;year&gt;2017&lt;/year&gt;&lt;/dates&gt;&lt;urls&gt;&lt;/urls&gt;&lt;electronic-resource-num&gt;10.3389/fpsyg.2017.00422&lt;/electronic-resource-num&gt;&lt;/record&gt;&lt;/Cite&gt;&lt;/EndNote&gt;</w:instrText>
      </w:r>
      <w:r w:rsidR="00EF281A" w:rsidRPr="003726FE">
        <w:rPr>
          <w:lang w:val="en-GB"/>
        </w:rPr>
        <w:fldChar w:fldCharType="separate"/>
      </w:r>
      <w:r w:rsidR="004E5A78" w:rsidRPr="003726FE">
        <w:rPr>
          <w:noProof/>
          <w:lang w:val="en-GB"/>
        </w:rPr>
        <w:t>(</w:t>
      </w:r>
      <w:hyperlink w:anchor="_ENREF_314" w:tooltip="Panadero, 2017 #620" w:history="1">
        <w:r w:rsidR="0094469E" w:rsidRPr="003726FE">
          <w:rPr>
            <w:noProof/>
            <w:lang w:val="en-GB"/>
          </w:rPr>
          <w:t>Panadero 2017</w:t>
        </w:r>
      </w:hyperlink>
      <w:r w:rsidR="004E5A78" w:rsidRPr="003726FE">
        <w:rPr>
          <w:noProof/>
          <w:lang w:val="en-GB"/>
        </w:rPr>
        <w:t>)</w:t>
      </w:r>
      <w:r w:rsidR="00EF281A" w:rsidRPr="003726FE">
        <w:rPr>
          <w:lang w:val="en-GB"/>
        </w:rPr>
        <w:fldChar w:fldCharType="end"/>
      </w:r>
      <w:r w:rsidR="00762137" w:rsidRPr="003726FE">
        <w:rPr>
          <w:lang w:val="en-GB"/>
        </w:rPr>
        <w:t xml:space="preserve">. As SRL can be developed with guidance, feedback, and practice, teachers should themselves be aware of their own SRL and how they can create environments for developing </w:t>
      </w:r>
      <w:r w:rsidR="00291AD2">
        <w:rPr>
          <w:lang w:val="en-GB"/>
        </w:rPr>
        <w:t xml:space="preserve">their </w:t>
      </w:r>
      <w:r w:rsidR="002F4E5C" w:rsidRPr="003726FE">
        <w:rPr>
          <w:lang w:val="en-GB"/>
        </w:rPr>
        <w:t>students’ SRL</w:t>
      </w:r>
      <w:r w:rsidR="00762137" w:rsidRPr="003726FE">
        <w:rPr>
          <w:lang w:val="en-GB"/>
        </w:rPr>
        <w:t xml:space="preserve"> at different </w:t>
      </w:r>
      <w:r w:rsidR="002F4E5C" w:rsidRPr="003726FE">
        <w:rPr>
          <w:lang w:val="en-GB"/>
        </w:rPr>
        <w:t>stages</w:t>
      </w:r>
      <w:r w:rsidR="00762137" w:rsidRPr="003726FE">
        <w:rPr>
          <w:lang w:val="en-GB"/>
        </w:rPr>
        <w:t xml:space="preserve"> </w:t>
      </w:r>
      <w:r w:rsidR="00762137" w:rsidRPr="003726FE">
        <w:rPr>
          <w:lang w:val="en-GB"/>
        </w:rPr>
        <w:fldChar w:fldCharType="begin"/>
      </w:r>
      <w:r w:rsidR="008B61BE">
        <w:rPr>
          <w:lang w:val="en-GB"/>
        </w:rPr>
        <w:instrText xml:space="preserve"> ADDIN EN.CITE &lt;EndNote&gt;&lt;Cite&gt;&lt;Author&gt;Zimmerman&lt;/Author&gt;&lt;Year&gt;2005&lt;/Year&gt;&lt;RecNum&gt;277&lt;/RecNum&gt;&lt;DisplayText&gt;(Zimmerman and Kitsantas 2005; Moos and Ringdal 2012)&lt;/DisplayText&gt;&lt;record&gt;&lt;rec-number&gt;277&lt;/rec-number&gt;&lt;foreign-keys&gt;&lt;key app="EN" db-id="xa2r2ewea92trkef5dt5arvbzafvpv2za5ft" timestamp="1442161766"&gt;277&lt;/key&gt;&lt;/foreign-keys&gt;&lt;ref-type name="Journal Article"&gt;17&lt;/ref-type&gt;&lt;contributors&gt;&lt;authors&gt;&lt;author&gt;Zimmerman, Barry J.&lt;/author&gt;&lt;author&gt;Kitsantas, Anastasia&lt;/author&gt;&lt;/authors&gt;&lt;/contributors&gt;&lt;titles&gt;&lt;title&gt;Homework practices and academic achievement: The mediating role of self-efficacy and perceived responsibility beliefs&lt;/title&gt;&lt;secondary-title&gt;Contemporary educational psychology&lt;/secondary-title&gt;&lt;/titles&gt;&lt;periodical&gt;&lt;full-title&gt;Contemporary educational psychology&lt;/full-title&gt;&lt;/periodical&gt;&lt;pages&gt;397-417&lt;/pages&gt;&lt;volume&gt;30&lt;/volume&gt;&lt;number&gt;4&lt;/number&gt;&lt;dates&gt;&lt;year&gt;2005&lt;/year&gt;&lt;/dates&gt;&lt;publisher&gt;Elsevier&lt;/publisher&gt;&lt;urls&gt;&lt;/urls&gt;&lt;/record&gt;&lt;/Cite&gt;&lt;Cite&gt;&lt;Author&gt;Moos&lt;/Author&gt;&lt;Year&gt;2012&lt;/Year&gt;&lt;RecNum&gt;622&lt;/RecNum&gt;&lt;record&gt;&lt;rec-number&gt;622&lt;/rec-number&gt;&lt;foreign-keys&gt;&lt;key app="EN" db-id="xa2r2ewea92trkef5dt5arvbzafvpv2za5ft" timestamp="1496417561"&gt;622&lt;/key&gt;&lt;/foreign-keys&gt;&lt;ref-type name="Journal Article"&gt;17&lt;/ref-type&gt;&lt;contributors&gt;&lt;authors&gt;&lt;author&gt;Moos, Daniel C&lt;/author&gt;&lt;author&gt;Ringdal, Alyssa&lt;/author&gt;&lt;/authors&gt;&lt;/contributors&gt;&lt;titles&gt;&lt;title&gt;Self-regulated learning in the classroom: A literature review on the teacher’s role&lt;/title&gt;&lt;secondary-title&gt;Education Research International&lt;/secondary-title&gt;&lt;/titles&gt;&lt;periodical&gt;&lt;full-title&gt;Education Research International&lt;/full-title&gt;&lt;/periodical&gt;&lt;volume&gt;2012&lt;/volume&gt;&lt;dates&gt;&lt;year&gt;2012&lt;/year&gt;&lt;/dates&gt;&lt;isbn&gt;2090-4002&lt;/isbn&gt;&lt;urls&gt;&lt;/urls&gt;&lt;/record&gt;&lt;/Cite&gt;&lt;/EndNote&gt;</w:instrText>
      </w:r>
      <w:r w:rsidR="00762137" w:rsidRPr="003726FE">
        <w:rPr>
          <w:lang w:val="en-GB"/>
        </w:rPr>
        <w:fldChar w:fldCharType="separate"/>
      </w:r>
      <w:r w:rsidR="004E5A78" w:rsidRPr="003726FE">
        <w:rPr>
          <w:noProof/>
          <w:lang w:val="en-GB"/>
        </w:rPr>
        <w:t>(</w:t>
      </w:r>
      <w:hyperlink w:anchor="_ENREF_461" w:tooltip="Zimmerman, 2005 #277" w:history="1">
        <w:r w:rsidR="0094469E" w:rsidRPr="003726FE">
          <w:rPr>
            <w:noProof/>
            <w:lang w:val="en-GB"/>
          </w:rPr>
          <w:t>Zimmerman and Kitsantas 2005</w:t>
        </w:r>
      </w:hyperlink>
      <w:r w:rsidR="004E5A78" w:rsidRPr="003726FE">
        <w:rPr>
          <w:noProof/>
          <w:lang w:val="en-GB"/>
        </w:rPr>
        <w:t xml:space="preserve">; </w:t>
      </w:r>
      <w:hyperlink w:anchor="_ENREF_280" w:tooltip="Moos, 2012 #622" w:history="1">
        <w:r w:rsidR="0094469E" w:rsidRPr="003726FE">
          <w:rPr>
            <w:noProof/>
            <w:lang w:val="en-GB"/>
          </w:rPr>
          <w:t>Moos and Ringdal 2012</w:t>
        </w:r>
      </w:hyperlink>
      <w:r w:rsidR="004E5A78" w:rsidRPr="003726FE">
        <w:rPr>
          <w:noProof/>
          <w:lang w:val="en-GB"/>
        </w:rPr>
        <w:t>)</w:t>
      </w:r>
      <w:r w:rsidR="00762137" w:rsidRPr="003726FE">
        <w:rPr>
          <w:lang w:val="en-GB"/>
        </w:rPr>
        <w:fldChar w:fldCharType="end"/>
      </w:r>
      <w:r w:rsidR="00224AF0" w:rsidRPr="003726FE">
        <w:rPr>
          <w:lang w:val="en-GB"/>
        </w:rPr>
        <w:t xml:space="preserve">. However, teacher supported SRL interventions are scarce and there are currently no guides available for implementing faculty strategies to create SRL </w:t>
      </w:r>
      <w:r w:rsidR="002F4E5C" w:rsidRPr="003726FE">
        <w:rPr>
          <w:lang w:val="en-GB"/>
        </w:rPr>
        <w:t xml:space="preserve">supporting </w:t>
      </w:r>
      <w:r w:rsidR="00224AF0" w:rsidRPr="003726FE">
        <w:rPr>
          <w:lang w:val="en-GB"/>
        </w:rPr>
        <w:t xml:space="preserve">environments </w:t>
      </w:r>
      <w:r w:rsidR="00EF281A" w:rsidRPr="003726FE">
        <w:rPr>
          <w:lang w:val="en-GB"/>
        </w:rPr>
        <w:fldChar w:fldCharType="begin"/>
      </w:r>
      <w:r w:rsidR="008B61BE">
        <w:rPr>
          <w:lang w:val="en-GB"/>
        </w:rPr>
        <w:instrText xml:space="preserve"> ADDIN EN.CITE &lt;EndNote&gt;&lt;Cite&gt;&lt;Author&gt;Brydges&lt;/Author&gt;&lt;Year&gt;2015&lt;/Year&gt;&lt;RecNum&gt;19&lt;/RecNum&gt;&lt;DisplayText&gt;(Brydges et al. 2015)&lt;/DisplayText&gt;&lt;record&gt;&lt;rec-number&gt;19&lt;/rec-number&gt;&lt;foreign-keys&gt;&lt;key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Pr>
          <w:rFonts w:ascii="Cambria Math" w:hAnsi="Cambria Math" w:cs="Cambria Math"/>
          <w:lang w:val="en-GB"/>
        </w:rPr>
        <w:instrText>‐</w:instrText>
      </w:r>
      <w:r w:rsidR="008B61BE">
        <w:rPr>
          <w:lang w:val="en-GB"/>
        </w:rPr>
        <w:instrText>regulated learning in simulation</w:instrText>
      </w:r>
      <w:r w:rsidR="008B61BE">
        <w:rPr>
          <w:rFonts w:ascii="Cambria Math" w:hAnsi="Cambria Math" w:cs="Cambria Math"/>
          <w:lang w:val="en-GB"/>
        </w:rPr>
        <w:instrText>‐</w:instrText>
      </w:r>
      <w:r w:rsidR="008B61BE">
        <w:rPr>
          <w:lang w:val="en-GB"/>
        </w:rPr>
        <w:instrText>based training: a systematic review and meta</w:instrText>
      </w:r>
      <w:r w:rsidR="008B61BE">
        <w:rPr>
          <w:rFonts w:ascii="Cambria Math" w:hAnsi="Cambria Math" w:cs="Cambria Math"/>
          <w:lang w:val="en-GB"/>
        </w:rPr>
        <w:instrText>‐</w:instrText>
      </w:r>
      <w:r w:rsidR="008B61BE">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3726FE">
        <w:rPr>
          <w:lang w:val="en-GB"/>
        </w:rPr>
        <w:fldChar w:fldCharType="separate"/>
      </w:r>
      <w:r w:rsidR="004E5A78" w:rsidRPr="003726FE">
        <w:rPr>
          <w:noProof/>
          <w:lang w:val="en-GB"/>
        </w:rPr>
        <w:t>(</w:t>
      </w:r>
      <w:hyperlink w:anchor="_ENREF_56" w:tooltip="Brydges, 2015 #18" w:history="1">
        <w:r w:rsidR="0094469E" w:rsidRPr="003726FE">
          <w:rPr>
            <w:noProof/>
            <w:lang w:val="en-GB"/>
          </w:rPr>
          <w:t>Brydges et al. 2015</w:t>
        </w:r>
      </w:hyperlink>
      <w:r w:rsidR="004E5A78" w:rsidRPr="003726FE">
        <w:rPr>
          <w:noProof/>
          <w:lang w:val="en-GB"/>
        </w:rPr>
        <w:t>)</w:t>
      </w:r>
      <w:r w:rsidR="00EF281A" w:rsidRPr="003726FE">
        <w:rPr>
          <w:lang w:val="en-GB"/>
        </w:rPr>
        <w:fldChar w:fldCharType="end"/>
      </w:r>
      <w:r w:rsidR="00224AF0" w:rsidRPr="003726FE">
        <w:rPr>
          <w:lang w:val="en-GB"/>
        </w:rPr>
        <w:t>.</w:t>
      </w:r>
    </w:p>
    <w:p w14:paraId="25D93A0E" w14:textId="77777777" w:rsidR="00C63772" w:rsidRPr="003726FE" w:rsidRDefault="00C63772" w:rsidP="00026049">
      <w:pPr>
        <w:pStyle w:val="Normal1"/>
        <w:rPr>
          <w:lang w:val="en-GB"/>
        </w:rPr>
      </w:pPr>
    </w:p>
    <w:p w14:paraId="0961CA25" w14:textId="423558A8" w:rsidR="008C1960" w:rsidRPr="003726FE" w:rsidRDefault="002F4E5C" w:rsidP="00026049">
      <w:pPr>
        <w:pStyle w:val="Normal1"/>
        <w:rPr>
          <w:lang w:val="en-GB"/>
        </w:rPr>
      </w:pPr>
      <w:r w:rsidRPr="003726FE">
        <w:rPr>
          <w:lang w:val="en-GB"/>
        </w:rPr>
        <w:t>Despite the many models of SRL</w:t>
      </w:r>
      <w:r w:rsidR="0066150D" w:rsidRPr="003726FE">
        <w:rPr>
          <w:lang w:val="en-GB"/>
        </w:rPr>
        <w:t xml:space="preserve">, some key characteristics and features endure across </w:t>
      </w:r>
      <w:r w:rsidR="00132246" w:rsidRPr="003726FE">
        <w:rPr>
          <w:lang w:val="en-GB"/>
        </w:rPr>
        <w:t xml:space="preserve">different </w:t>
      </w:r>
      <w:r w:rsidR="0066150D" w:rsidRPr="003726FE">
        <w:rPr>
          <w:lang w:val="en-GB"/>
        </w:rPr>
        <w:t>fields of study</w:t>
      </w:r>
      <w:r w:rsidR="00132246" w:rsidRPr="003726FE">
        <w:rPr>
          <w:lang w:val="en-GB"/>
        </w:rPr>
        <w:t xml:space="preserve"> and methods of inquiry</w:t>
      </w:r>
      <w:r w:rsidR="00F37B44" w:rsidRPr="003726FE">
        <w:rPr>
          <w:lang w:val="en-GB"/>
        </w:rPr>
        <w:t xml:space="preserve"> (see </w:t>
      </w:r>
      <w:r w:rsidR="00AE17C9" w:rsidRPr="003726FE">
        <w:rPr>
          <w:lang w:val="en-GB"/>
        </w:rPr>
        <w:t>Figure</w:t>
      </w:r>
      <w:r w:rsidR="00F66481" w:rsidRPr="003726FE">
        <w:rPr>
          <w:lang w:val="en-GB"/>
        </w:rPr>
        <w:t xml:space="preserve"> A1.2</w:t>
      </w:r>
      <w:r w:rsidR="00F37B44" w:rsidRPr="003726FE">
        <w:rPr>
          <w:lang w:val="en-GB"/>
        </w:rPr>
        <w:t>)</w:t>
      </w:r>
      <w:r w:rsidR="0066150D" w:rsidRPr="003726FE">
        <w:rPr>
          <w:lang w:val="en-GB"/>
        </w:rPr>
        <w:t>.</w:t>
      </w:r>
      <w:r w:rsidR="00132246" w:rsidRPr="003726FE">
        <w:rPr>
          <w:lang w:val="en-GB"/>
        </w:rPr>
        <w:t xml:space="preserve"> </w:t>
      </w:r>
      <w:r w:rsidR="00777BD0" w:rsidRPr="003726FE">
        <w:rPr>
          <w:lang w:val="en-GB"/>
        </w:rPr>
        <w:t xml:space="preserve">The major theories of SRL describe the process of self-regulation as a cyclical feedback loop; there are </w:t>
      </w:r>
      <w:r w:rsidR="00777BD0" w:rsidRPr="003726FE">
        <w:rPr>
          <w:lang w:val="en-GB"/>
        </w:rPr>
        <w:lastRenderedPageBreak/>
        <w:t xml:space="preserve">processes and sub-processes an individual goes through as they perform a skill </w:t>
      </w:r>
      <w:r w:rsidR="00232187">
        <w:rPr>
          <w:lang w:val="en-GB"/>
        </w:rPr>
        <w:t>that</w:t>
      </w:r>
      <w:r w:rsidR="00777BD0" w:rsidRPr="003726FE">
        <w:rPr>
          <w:lang w:val="en-GB"/>
        </w:rPr>
        <w:t xml:space="preserve"> continuously loop back to inform their subsequent performance </w:t>
      </w:r>
      <w:r w:rsidR="00777BD0" w:rsidRPr="003726FE">
        <w:rPr>
          <w:lang w:val="en-GB"/>
        </w:rPr>
        <w:fldChar w:fldCharType="begin"/>
      </w:r>
      <w:r w:rsidR="008B61BE">
        <w:rPr>
          <w:lang w:val="en-GB"/>
        </w:rPr>
        <w:instrText xml:space="preserve"> ADDIN EN.CITE &lt;EndNote&gt;&lt;Cite&gt;&lt;Author&gt;Winne&lt;/Author&gt;&lt;Year&gt;2001&lt;/Year&gt;&lt;RecNum&gt;623&lt;/RecNum&gt;&lt;DisplayText&gt;(Winne and Zimmerman 2001; Carver and Scheier 2004)&lt;/DisplayText&gt;&lt;record&gt;&lt;rec-number&gt;623&lt;/rec-number&gt;&lt;foreign-keys&gt;&lt;key app="EN" db-id="xa2r2ewea92trkef5dt5arvbzafvpv2za5ft" timestamp="1496417561"&gt;623&lt;/key&gt;&lt;/foreign-keys&gt;&lt;ref-type name="Journal Article"&gt;17&lt;/ref-type&gt;&lt;contributors&gt;&lt;authors&gt;&lt;author&gt;Winne, Phillip H&lt;/author&gt;&lt;author&gt;Zimmerman, Barry J&lt;/author&gt;&lt;/authors&gt;&lt;/contributors&gt;&lt;titles&gt;&lt;title&gt;Self-regulated learning viewed from models of information processing&lt;/title&gt;&lt;secondary-title&gt;Self-regulated learning and academic achievement: Theoretical perspectives&lt;/secondary-title&gt;&lt;/titles&gt;&lt;periodical&gt;&lt;full-title&gt;Self-regulated learning and academic achievement: Theoretical perspectives&lt;/full-title&gt;&lt;/periodical&gt;&lt;pages&gt;153-189&lt;/pages&gt;&lt;volume&gt;2&lt;/volume&gt;&lt;dates&gt;&lt;year&gt;2001&lt;/year&gt;&lt;/dates&gt;&lt;urls&gt;&lt;/urls&gt;&lt;/record&gt;&lt;/Cite&gt;&lt;Cite&gt;&lt;Author&gt;Carver&lt;/Author&gt;&lt;Year&gt;2004&lt;/Year&gt;&lt;RecNum&gt;624&lt;/RecNum&gt;&lt;record&gt;&lt;rec-number&gt;624&lt;/rec-number&gt;&lt;foreign-keys&gt;&lt;key app="EN" db-id="xa2r2ewea92trkef5dt5arvbzafvpv2za5ft" timestamp="1496417561"&gt;624&lt;/key&gt;&lt;/foreign-keys&gt;&lt;ref-type name="Journal Article"&gt;17&lt;/ref-type&gt;&lt;contributors&gt;&lt;authors&gt;&lt;author&gt;Carver, Charles S&lt;/author&gt;&lt;author&gt;Scheier, Michael F&lt;/author&gt;&lt;/authors&gt;&lt;/contributors&gt;&lt;titles&gt;&lt;title&gt;Self-regulation of action and affect&lt;/title&gt;&lt;secondary-title&gt;Handbook of self-regulation: Research, theory, and applications&lt;/secondary-title&gt;&lt;/titles&gt;&lt;periodical&gt;&lt;full-title&gt;Handbook of self-regulation: Research, theory, and applications&lt;/full-title&gt;&lt;/periodical&gt;&lt;pages&gt;13-39&lt;/pages&gt;&lt;dates&gt;&lt;year&gt;2004&lt;/year&gt;&lt;/dates&gt;&lt;urls&gt;&lt;/urls&gt;&lt;/record&gt;&lt;/Cite&gt;&lt;/EndNote&gt;</w:instrText>
      </w:r>
      <w:r w:rsidR="00777BD0" w:rsidRPr="003726FE">
        <w:rPr>
          <w:lang w:val="en-GB"/>
        </w:rPr>
        <w:fldChar w:fldCharType="separate"/>
      </w:r>
      <w:r w:rsidR="004E5A78" w:rsidRPr="003726FE">
        <w:rPr>
          <w:noProof/>
          <w:lang w:val="en-GB"/>
        </w:rPr>
        <w:t>(</w:t>
      </w:r>
      <w:hyperlink w:anchor="_ENREF_447" w:tooltip="Winne, 2001 #623" w:history="1">
        <w:r w:rsidR="0094469E" w:rsidRPr="003726FE">
          <w:rPr>
            <w:noProof/>
            <w:lang w:val="en-GB"/>
          </w:rPr>
          <w:t>Winne and Zimmerman 2001</w:t>
        </w:r>
      </w:hyperlink>
      <w:r w:rsidR="004E5A78" w:rsidRPr="003726FE">
        <w:rPr>
          <w:noProof/>
          <w:lang w:val="en-GB"/>
        </w:rPr>
        <w:t xml:space="preserve">; </w:t>
      </w:r>
      <w:hyperlink w:anchor="_ENREF_72" w:tooltip="Carver, 2004 #624" w:history="1">
        <w:r w:rsidR="0094469E" w:rsidRPr="003726FE">
          <w:rPr>
            <w:noProof/>
            <w:lang w:val="en-GB"/>
          </w:rPr>
          <w:t>Carver and Scheier 2004</w:t>
        </w:r>
      </w:hyperlink>
      <w:r w:rsidR="004E5A78" w:rsidRPr="003726FE">
        <w:rPr>
          <w:noProof/>
          <w:lang w:val="en-GB"/>
        </w:rPr>
        <w:t>)</w:t>
      </w:r>
      <w:r w:rsidR="00777BD0" w:rsidRPr="003726FE">
        <w:rPr>
          <w:lang w:val="en-GB"/>
        </w:rPr>
        <w:fldChar w:fldCharType="end"/>
      </w:r>
      <w:r w:rsidR="00777BD0" w:rsidRPr="003726FE">
        <w:rPr>
          <w:lang w:val="en-GB"/>
        </w:rPr>
        <w:t xml:space="preserve">. </w:t>
      </w:r>
      <w:r w:rsidR="009D1C50" w:rsidRPr="003726FE">
        <w:rPr>
          <w:lang w:val="en-GB"/>
        </w:rPr>
        <w:t xml:space="preserve">Motivation is another core concept, SRL theories include motivation in an attempt to understand why learners approach certain activities using specific SRL strategies </w:t>
      </w:r>
      <w:r w:rsidR="00EF281A" w:rsidRPr="003726FE">
        <w:rPr>
          <w:lang w:val="en-GB"/>
        </w:rPr>
        <w:fldChar w:fldCharType="begin"/>
      </w:r>
      <w:r w:rsidR="008B61BE">
        <w:rPr>
          <w:lang w:val="en-GB"/>
        </w:rPr>
        <w:instrText xml:space="preserve"> ADDIN EN.CITE &lt;EndNote&gt;&lt;Cite&gt;&lt;Author&gt;Pintrich&lt;/Author&gt;&lt;Year&gt;2000&lt;/Year&gt;&lt;RecNum&gt;625&lt;/RecNum&gt;&lt;DisplayText&gt;(Pintrich 2000)&lt;/DisplayText&gt;&lt;record&gt;&lt;rec-number&gt;625&lt;/rec-number&gt;&lt;foreign-keys&gt;&lt;key app="EN" db-id="xa2r2ewea92trkef5dt5arvbzafvpv2za5ft" timestamp="1496417561"&gt;625&lt;/key&gt;&lt;/foreign-keys&gt;&lt;ref-type name="Book Section"&gt;5&lt;/ref-type&gt;&lt;contributors&gt;&lt;authors&gt;&lt;author&gt;Pintrich, Paul R&lt;/author&gt;&lt;/authors&gt;&lt;/contributors&gt;&lt;titles&gt;&lt;title&gt;The role of goal orientation in self-regulated learning&lt;/title&gt;&lt;secondary-title&gt;Handbook of self-regulation&lt;/secondary-title&gt;&lt;/titles&gt;&lt;pages&gt;451-502&lt;/pages&gt;&lt;dates&gt;&lt;year&gt;2000&lt;/year&gt;&lt;/dates&gt;&lt;publisher&gt;Academic Press&lt;/publisher&gt;&lt;isbn&gt;0121098907&lt;/isbn&gt;&lt;urls&gt;&lt;/urls&gt;&lt;/record&gt;&lt;/Cite&gt;&lt;/EndNote&gt;</w:instrText>
      </w:r>
      <w:r w:rsidR="00EF281A" w:rsidRPr="003726FE">
        <w:rPr>
          <w:lang w:val="en-GB"/>
        </w:rPr>
        <w:fldChar w:fldCharType="separate"/>
      </w:r>
      <w:r w:rsidR="004E5A78" w:rsidRPr="003726FE">
        <w:rPr>
          <w:noProof/>
          <w:lang w:val="en-GB"/>
        </w:rPr>
        <w:t>(</w:t>
      </w:r>
      <w:hyperlink w:anchor="_ENREF_325" w:tooltip="Pintrich, 2000 #625" w:history="1">
        <w:r w:rsidR="0094469E" w:rsidRPr="003726FE">
          <w:rPr>
            <w:noProof/>
            <w:lang w:val="en-GB"/>
          </w:rPr>
          <w:t>Pintrich 2000</w:t>
        </w:r>
      </w:hyperlink>
      <w:r w:rsidR="004E5A78" w:rsidRPr="003726FE">
        <w:rPr>
          <w:noProof/>
          <w:lang w:val="en-GB"/>
        </w:rPr>
        <w:t>)</w:t>
      </w:r>
      <w:r w:rsidR="00EF281A" w:rsidRPr="003726FE">
        <w:rPr>
          <w:lang w:val="en-GB"/>
        </w:rPr>
        <w:fldChar w:fldCharType="end"/>
      </w:r>
      <w:r w:rsidR="009D1C50" w:rsidRPr="003726FE">
        <w:rPr>
          <w:lang w:val="en-GB"/>
        </w:rPr>
        <w:t xml:space="preserve">. </w:t>
      </w:r>
      <w:r w:rsidR="001F5220" w:rsidRPr="003726FE">
        <w:rPr>
          <w:lang w:val="en-GB"/>
        </w:rPr>
        <w:t xml:space="preserve">Motivational beliefs can provide insight into how confident a learner is, if they enjoy certain activities more than others, and their perceptions of why they are successful or not, all of which can be acted upon by teachers </w:t>
      </w:r>
      <w:r w:rsidR="00EF281A" w:rsidRPr="003726FE">
        <w:rPr>
          <w:lang w:val="en-GB"/>
        </w:rPr>
        <w:fldChar w:fldCharType="begin"/>
      </w:r>
      <w:r w:rsidR="008B61BE">
        <w:rPr>
          <w:lang w:val="en-GB"/>
        </w:rPr>
        <w:instrText xml:space="preserve"> ADDIN EN.CITE &lt;EndNote&gt;&lt;Cite&gt;&lt;Author&gt;Cleary&lt;/Author&gt;&lt;Year&gt;2013&lt;/Year&gt;&lt;RecNum&gt;593&lt;/RecNum&gt;&lt;Pages&gt;466&lt;/Pages&gt;&lt;DisplayText&gt;(Cleary et al. 2013, p. 466)&lt;/DisplayText&gt;&lt;record&gt;&lt;rec-number&gt;593&lt;/rec-number&gt;&lt;foreign-keys&gt;&lt;key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 p. 466</w:t>
        </w:r>
      </w:hyperlink>
      <w:r w:rsidR="004E5A78" w:rsidRPr="003726FE">
        <w:rPr>
          <w:noProof/>
          <w:lang w:val="en-GB"/>
        </w:rPr>
        <w:t>)</w:t>
      </w:r>
      <w:r w:rsidR="00EF281A" w:rsidRPr="003726FE">
        <w:rPr>
          <w:lang w:val="en-GB"/>
        </w:rPr>
        <w:fldChar w:fldCharType="end"/>
      </w:r>
      <w:r w:rsidR="001F5220" w:rsidRPr="003726FE">
        <w:rPr>
          <w:lang w:val="en-GB"/>
        </w:rPr>
        <w:t>.</w:t>
      </w:r>
      <w:r w:rsidR="003B2607" w:rsidRPr="003726FE">
        <w:rPr>
          <w:lang w:val="en-GB"/>
        </w:rPr>
        <w:t xml:space="preserve"> </w:t>
      </w:r>
      <w:r w:rsidR="008610B9" w:rsidRPr="003726FE">
        <w:rPr>
          <w:lang w:val="en-GB"/>
        </w:rPr>
        <w:t>SRL theories view learners engaged in self-regulation as operating according to strategies and goal-directed behaviour</w:t>
      </w:r>
      <w:r w:rsidR="00291AD2">
        <w:rPr>
          <w:lang w:val="en-GB"/>
        </w:rPr>
        <w:t>,</w:t>
      </w:r>
      <w:r w:rsidR="008610B9" w:rsidRPr="003726FE">
        <w:rPr>
          <w:lang w:val="en-GB"/>
        </w:rPr>
        <w:t xml:space="preserve"> towards which they focus their efforts </w:t>
      </w:r>
      <w:r w:rsidR="00EF281A" w:rsidRPr="003726FE">
        <w:rPr>
          <w:lang w:val="en-GB"/>
        </w:rPr>
        <w:fldChar w:fldCharType="begin"/>
      </w:r>
      <w:r w:rsidR="008B61BE">
        <w:rPr>
          <w:lang w:val="en-GB"/>
        </w:rPr>
        <w:instrText xml:space="preserve"> ADDIN EN.CITE &lt;EndNote&gt;&lt;Cite&gt;&lt;Author&gt;Schunk&lt;/Author&gt;&lt;Year&gt;2012&lt;/Year&gt;&lt;RecNum&gt;626&lt;/RecNum&gt;&lt;DisplayText&gt;(Schunk and Zimmerman 2012)&lt;/DisplayText&gt;&lt;record&gt;&lt;rec-number&gt;626&lt;/rec-number&gt;&lt;foreign-keys&gt;&lt;key app="EN" db-id="xa2r2ewea92trkef5dt5arvbzafvpv2za5ft" timestamp="1496417561"&gt;626&lt;/key&gt;&lt;/foreign-keys&gt;&lt;ref-type name="Book"&gt;6&lt;/ref-type&gt;&lt;contributors&gt;&lt;authors&gt;&lt;author&gt;Schunk, Dale H&lt;/author&gt;&lt;author&gt;Zimmerman, Barry J&lt;/author&gt;&lt;/authors&gt;&lt;/contributors&gt;&lt;titles&gt;&lt;title&gt;Motivation and self-regulated learning: Theory, research, and applications&lt;/title&gt;&lt;/titles&gt;&lt;dates&gt;&lt;year&gt;2012&lt;/year&gt;&lt;/dates&gt;&lt;publisher&gt;Routledge&lt;/publisher&gt;&lt;isbn&gt;1136826777&lt;/isbn&gt;&lt;urls&gt;&lt;/urls&gt;&lt;/record&gt;&lt;/Cite&gt;&lt;/EndNote&gt;</w:instrText>
      </w:r>
      <w:r w:rsidR="00EF281A" w:rsidRPr="003726FE">
        <w:rPr>
          <w:lang w:val="en-GB"/>
        </w:rPr>
        <w:fldChar w:fldCharType="separate"/>
      </w:r>
      <w:r w:rsidR="004E5A78" w:rsidRPr="003726FE">
        <w:rPr>
          <w:noProof/>
          <w:lang w:val="en-GB"/>
        </w:rPr>
        <w:t>(</w:t>
      </w:r>
      <w:hyperlink w:anchor="_ENREF_372" w:tooltip="Schunk, 2012 #626" w:history="1">
        <w:r w:rsidR="0094469E" w:rsidRPr="003726FE">
          <w:rPr>
            <w:noProof/>
            <w:lang w:val="en-GB"/>
          </w:rPr>
          <w:t>Schunk and Zimmerman 2012</w:t>
        </w:r>
      </w:hyperlink>
      <w:r w:rsidR="004E5A78" w:rsidRPr="003726FE">
        <w:rPr>
          <w:noProof/>
          <w:lang w:val="en-GB"/>
        </w:rPr>
        <w:t>)</w:t>
      </w:r>
      <w:r w:rsidR="00EF281A" w:rsidRPr="003726FE">
        <w:rPr>
          <w:lang w:val="en-GB"/>
        </w:rPr>
        <w:fldChar w:fldCharType="end"/>
      </w:r>
      <w:r w:rsidR="008610B9" w:rsidRPr="003726FE">
        <w:rPr>
          <w:lang w:val="en-GB"/>
        </w:rPr>
        <w:t xml:space="preserve">. Learners are able to use goals to dynamically assess their progress and adjust as necessary, and when achieved they can act as motivators for further SRL behaviours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8610B9" w:rsidRPr="003726FE">
        <w:rPr>
          <w:lang w:val="en-GB"/>
        </w:rPr>
        <w:t xml:space="preserve">. The final common feature is the process of self-monitoring which involves the active </w:t>
      </w:r>
      <w:r w:rsidR="00F37B44" w:rsidRPr="003726FE">
        <w:rPr>
          <w:lang w:val="en-GB"/>
        </w:rPr>
        <w:t xml:space="preserve">checking of their own cognitive processes and using that as feedback leading to improved SRL processes </w:t>
      </w:r>
      <w:r w:rsidR="00F37B44" w:rsidRPr="003726FE">
        <w:rPr>
          <w:lang w:val="en-GB"/>
        </w:rPr>
        <w:fldChar w:fldCharType="begin"/>
      </w:r>
      <w:r w:rsidR="008B61BE">
        <w:rPr>
          <w:lang w:val="en-GB"/>
        </w:rPr>
        <w:instrText xml:space="preserve"> ADDIN EN.CITE &lt;EndNote&gt;&lt;Cite&gt;&lt;Author&gt;Artino Jr&lt;/Author&gt;&lt;Year&gt;2015&lt;/Year&gt;&lt;RecNum&gt;778&lt;/RecNum&gt;&lt;DisplayText&gt;(Sitzmann and Ely 2011; Artino Jr et al. 2015)&lt;/DisplayText&gt;&lt;record&gt;&lt;rec-number&gt;778&lt;/rec-number&gt;&lt;foreign-keys&gt;&lt;key app="EN" db-id="xa2r2ewea92trkef5dt5arvbzafvpv2za5ft" timestamp="1496417593"&gt;778&lt;/key&gt;&lt;/foreign-keys&gt;&lt;ref-type name="Dictionary"&gt;52&lt;/ref-type&gt;&lt;contributors&gt;&lt;authors&gt;&lt;author&gt;Artino Jr, Anthony R&lt;/author&gt;&lt;author&gt;Brydges, Ryan&lt;/author&gt;&lt;author&gt;Gruppen, Larry D&lt;/author&gt;&lt;/authors&gt;&lt;/contributors&gt;&lt;titles&gt;&lt;title&gt;Self</w:instrText>
      </w:r>
      <w:r w:rsidR="008B61BE">
        <w:rPr>
          <w:rFonts w:ascii="Cambria Math" w:hAnsi="Cambria Math" w:cs="Cambria Math"/>
          <w:lang w:val="en-GB"/>
        </w:rPr>
        <w:instrText>‐</w:instrText>
      </w:r>
      <w:r w:rsidR="008B61BE">
        <w:rPr>
          <w:lang w:val="en-GB"/>
        </w:rPr>
        <w:instrText>regulated learning in healthcare profession education: theoretical perspectives and research methods&lt;/title&gt;&lt;secondary-title&gt;Researching Medical Education&lt;/secondary-title&gt;&lt;/titles&gt;&lt;periodical&gt;&lt;full-title&gt;Researching Medical Education&lt;/full-title&gt;&lt;/periodical&gt;&lt;pages&gt;155-166&lt;/pages&gt;&lt;dates&gt;&lt;year&gt;2015&lt;/year&gt;&lt;/dates&gt;&lt;isbn&gt;111883898X&lt;/isbn&gt;&lt;urls&gt;&lt;/urls&gt;&lt;/record&gt;&lt;/Cite&gt;&lt;Cite&gt;&lt;Author&gt;Sitzmann&lt;/Author&gt;&lt;Year&gt;2011&lt;/Year&gt;&lt;RecNum&gt;627&lt;/RecNum&gt;&lt;record&gt;&lt;rec-number&gt;627&lt;/rec-number&gt;&lt;foreign-keys&gt;&lt;key app="EN" db-id="xa2r2ewea92trkef5dt5arvbzafvpv2za5ft" timestamp="1496417561"&gt;627&lt;/key&gt;&lt;/foreign-keys&gt;&lt;ref-type name="Generic"&gt;13&lt;/ref-type&gt;&lt;contributors&gt;&lt;authors&gt;&lt;author&gt;Sitzmann, Traci&lt;/author&gt;&lt;author&gt;Ely, Katherine&lt;/author&gt;&lt;/authors&gt;&lt;/contributors&gt;&lt;titles&gt;&lt;title&gt;A meta-analysis of self-regulated learning in work-related training and educational attainment: What we know and where we need to go&lt;/title&gt;&lt;/titles&gt;&lt;dates&gt;&lt;year&gt;2011&lt;/year&gt;&lt;/dates&gt;&lt;publisher&gt;American Psychological Association&lt;/publisher&gt;&lt;isbn&gt;1939-1455&lt;/isbn&gt;&lt;urls&gt;&lt;/urls&gt;&lt;/record&gt;&lt;/Cite&gt;&lt;/EndNote&gt;</w:instrText>
      </w:r>
      <w:r w:rsidR="00F37B44" w:rsidRPr="003726FE">
        <w:rPr>
          <w:lang w:val="en-GB"/>
        </w:rPr>
        <w:fldChar w:fldCharType="separate"/>
      </w:r>
      <w:r w:rsidR="004E5A78" w:rsidRPr="003726FE">
        <w:rPr>
          <w:noProof/>
          <w:lang w:val="en-GB"/>
        </w:rPr>
        <w:t>(</w:t>
      </w:r>
      <w:hyperlink w:anchor="_ENREF_389" w:tooltip="Sitzmann, 2011 #627" w:history="1">
        <w:r w:rsidR="0094469E" w:rsidRPr="003726FE">
          <w:rPr>
            <w:noProof/>
            <w:lang w:val="en-GB"/>
          </w:rPr>
          <w:t>Sitzmann and Ely 2011</w:t>
        </w:r>
      </w:hyperlink>
      <w:r w:rsidR="004E5A78" w:rsidRPr="003726FE">
        <w:rPr>
          <w:noProof/>
          <w:lang w:val="en-GB"/>
        </w:rPr>
        <w:t xml:space="preserve">; </w:t>
      </w:r>
      <w:hyperlink w:anchor="_ENREF_7" w:tooltip="Artino Jr, 2015 #778" w:history="1">
        <w:r w:rsidR="0094469E" w:rsidRPr="003726FE">
          <w:rPr>
            <w:noProof/>
            <w:lang w:val="en-GB"/>
          </w:rPr>
          <w:t>Artino Jr et al. 2015</w:t>
        </w:r>
      </w:hyperlink>
      <w:r w:rsidR="004E5A78" w:rsidRPr="003726FE">
        <w:rPr>
          <w:noProof/>
          <w:lang w:val="en-GB"/>
        </w:rPr>
        <w:t>)</w:t>
      </w:r>
      <w:r w:rsidR="00F37B44" w:rsidRPr="003726FE">
        <w:rPr>
          <w:lang w:val="en-GB"/>
        </w:rPr>
        <w:fldChar w:fldCharType="end"/>
      </w:r>
      <w:r w:rsidR="00F37B44" w:rsidRPr="003726FE">
        <w:rPr>
          <w:lang w:val="en-GB"/>
        </w:rPr>
        <w:t>.</w:t>
      </w:r>
    </w:p>
    <w:p w14:paraId="55825116" w14:textId="6DC9021D" w:rsidR="00F37B44" w:rsidRPr="003726FE" w:rsidRDefault="00C74413" w:rsidP="004208F0">
      <w:pPr>
        <w:spacing w:line="276" w:lineRule="auto"/>
        <w:rPr>
          <w:rFonts w:cs="Times New Roman"/>
          <w:szCs w:val="24"/>
        </w:rPr>
      </w:pPr>
      <w:r w:rsidRPr="003726FE">
        <w:rPr>
          <w:noProof/>
          <w:lang w:eastAsia="en-GB"/>
        </w:rPr>
        <w:drawing>
          <wp:anchor distT="0" distB="0" distL="114300" distR="114300" simplePos="0" relativeHeight="251701248" behindDoc="0" locked="0" layoutInCell="1" allowOverlap="1" wp14:anchorId="7718F5B9" wp14:editId="7BC17AF1">
            <wp:simplePos x="0" y="0"/>
            <wp:positionH relativeFrom="column">
              <wp:posOffset>-635</wp:posOffset>
            </wp:positionH>
            <wp:positionV relativeFrom="paragraph">
              <wp:posOffset>306705</wp:posOffset>
            </wp:positionV>
            <wp:extent cx="5347970" cy="3590925"/>
            <wp:effectExtent l="0" t="50800" r="0" b="66675"/>
            <wp:wrapTopAndBottom/>
            <wp:docPr id="331" name="Diagram 3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anchor>
        </w:drawing>
      </w:r>
      <w:r w:rsidR="00F66481" w:rsidRPr="003726FE">
        <w:rPr>
          <w:noProof/>
          <w:lang w:eastAsia="en-GB"/>
        </w:rPr>
        <mc:AlternateContent>
          <mc:Choice Requires="wps">
            <w:drawing>
              <wp:anchor distT="0" distB="0" distL="114300" distR="114300" simplePos="0" relativeHeight="251877376" behindDoc="0" locked="0" layoutInCell="1" allowOverlap="1" wp14:anchorId="215326B7" wp14:editId="53631609">
                <wp:simplePos x="0" y="0"/>
                <wp:positionH relativeFrom="column">
                  <wp:posOffset>2540</wp:posOffset>
                </wp:positionH>
                <wp:positionV relativeFrom="paragraph">
                  <wp:posOffset>4002405</wp:posOffset>
                </wp:positionV>
                <wp:extent cx="5347970" cy="652780"/>
                <wp:effectExtent l="0" t="0" r="5080" b="0"/>
                <wp:wrapTopAndBottom/>
                <wp:docPr id="33" name="Text Box 33"/>
                <wp:cNvGraphicFramePr/>
                <a:graphic xmlns:a="http://schemas.openxmlformats.org/drawingml/2006/main">
                  <a:graphicData uri="http://schemas.microsoft.com/office/word/2010/wordprocessingShape">
                    <wps:wsp>
                      <wps:cNvSpPr txBox="1"/>
                      <wps:spPr>
                        <a:xfrm>
                          <a:off x="0" y="0"/>
                          <a:ext cx="5347970" cy="652780"/>
                        </a:xfrm>
                        <a:prstGeom prst="rect">
                          <a:avLst/>
                        </a:prstGeom>
                        <a:solidFill>
                          <a:prstClr val="white"/>
                        </a:solidFill>
                        <a:ln>
                          <a:noFill/>
                        </a:ln>
                        <a:effectLst/>
                      </wps:spPr>
                      <wps:txbx>
                        <w:txbxContent>
                          <w:p w14:paraId="74E62C22" w14:textId="4E0C7569" w:rsidR="00C8402C" w:rsidRPr="00204D2A" w:rsidRDefault="00C8402C" w:rsidP="00F66481">
                            <w:pPr>
                              <w:pStyle w:val="Caption"/>
                              <w:rPr>
                                <w:rFonts w:cs="Times New Roman"/>
                                <w:noProof/>
                                <w:szCs w:val="24"/>
                              </w:rPr>
                            </w:pPr>
                            <w:bookmarkStart w:id="117" w:name="_Toc487445394"/>
                            <w:bookmarkStart w:id="118" w:name="_Toc487455221"/>
                            <w:bookmarkStart w:id="119" w:name="_Toc500319532"/>
                            <w:r>
                              <w:t>Figure A1.</w:t>
                            </w:r>
                            <w:fldSimple w:instr=" SEQ Figure_A1. \* ARABIC ">
                              <w:r>
                                <w:rPr>
                                  <w:noProof/>
                                </w:rPr>
                                <w:t>2</w:t>
                              </w:r>
                            </w:fldSimple>
                            <w:r>
                              <w:t xml:space="preserve"> The four common core concepts of SRL theories in the educational literature. </w:t>
                            </w:r>
                            <w:r w:rsidRPr="00DA0913">
                              <w:t xml:space="preserve">Information from </w:t>
                            </w:r>
                            <w:hyperlink w:anchor="_ENREF_87" w:tooltip="Cleary, 2013 #593" w:history="1">
                              <w:r w:rsidRPr="00DA0913">
                                <w:fldChar w:fldCharType="begin"/>
                              </w:r>
                              <w:r>
                                <w:instrText xml:space="preserve"> ADDIN EN.CITE &lt;EndNote&gt;&lt;Cite AuthorYear="1"&gt;&lt;Author&gt;Cleary&lt;/Author&gt;&lt;Year&gt;2013&lt;/Year&gt;&lt;RecNum&gt;593&lt;/RecNum&gt;&lt;DisplayText&gt;Cleary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Pr="00DA0913">
                                <w:fldChar w:fldCharType="separate"/>
                              </w:r>
                              <w:r>
                                <w:rPr>
                                  <w:noProof/>
                                </w:rPr>
                                <w:t>Cleary et al. (2013)</w:t>
                              </w:r>
                              <w:r w:rsidRPr="00DA0913">
                                <w:fldChar w:fldCharType="end"/>
                              </w:r>
                            </w:hyperlink>
                            <w:r>
                              <w:t>.</w:t>
                            </w:r>
                            <w:bookmarkEnd w:id="117"/>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5326B7" id="_x0000_t202" coordsize="21600,21600" o:spt="202" path="m0,0l0,21600,21600,21600,21600,0xe">
                <v:stroke joinstyle="miter"/>
                <v:path gradientshapeok="t" o:connecttype="rect"/>
              </v:shapetype>
              <v:shape id="Text Box 33" o:spid="_x0000_s1026" type="#_x0000_t202" style="position:absolute;margin-left:.2pt;margin-top:315.15pt;width:421.1pt;height:51.4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" stroked="f">
                <v:textbox style="mso-fit-shape-to-text:t" inset="0,0,0,0">
                  <w:txbxContent>
                    <w:p w14:paraId="74E62C22" w14:textId="4E0C7569" w:rsidR="00C8402C" w:rsidRPr="00204D2A" w:rsidRDefault="00C8402C" w:rsidP="00F66481">
                      <w:pPr>
                        <w:pStyle w:val="Caption"/>
                        <w:rPr>
                          <w:rFonts w:cs="Times New Roman"/>
                          <w:noProof/>
                          <w:szCs w:val="24"/>
                        </w:rPr>
                      </w:pPr>
                      <w:bookmarkStart w:id="120" w:name="_Toc487445394"/>
                      <w:bookmarkStart w:id="121" w:name="_Toc487455221"/>
                      <w:bookmarkStart w:id="122" w:name="_Toc500319532"/>
                      <w:r>
                        <w:t>Figure A1.</w:t>
                      </w:r>
                      <w:fldSimple w:instr=" SEQ Figure_A1. \* ARABIC ">
                        <w:r>
                          <w:rPr>
                            <w:noProof/>
                          </w:rPr>
                          <w:t>2</w:t>
                        </w:r>
                      </w:fldSimple>
                      <w:r>
                        <w:t xml:space="preserve"> The four common core concepts of SRL theories in the educational literature. </w:t>
                      </w:r>
                      <w:r w:rsidRPr="00DA0913">
                        <w:t xml:space="preserve">Information from </w:t>
                      </w:r>
                      <w:hyperlink w:anchor="_ENREF_87" w:tooltip="Cleary, 2013 #593" w:history="1">
                        <w:r w:rsidRPr="00DA0913">
                          <w:fldChar w:fldCharType="begin"/>
                        </w:r>
                        <w:r>
                          <w:instrText xml:space="preserve"> ADDIN EN.CITE &lt;EndNote&gt;&lt;Cite AuthorYear="1"&gt;&lt;Author&gt;Cleary&lt;/Author&gt;&lt;Year&gt;2013&lt;/Year&gt;&lt;RecNum&gt;593&lt;/RecNum&gt;&lt;DisplayText&gt;Cleary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Pr="00DA0913">
                          <w:fldChar w:fldCharType="separate"/>
                        </w:r>
                        <w:r>
                          <w:rPr>
                            <w:noProof/>
                          </w:rPr>
                          <w:t>Cleary et al. (2013)</w:t>
                        </w:r>
                        <w:r w:rsidRPr="00DA0913">
                          <w:fldChar w:fldCharType="end"/>
                        </w:r>
                      </w:hyperlink>
                      <w:r>
                        <w:t>.</w:t>
                      </w:r>
                      <w:bookmarkEnd w:id="120"/>
                      <w:bookmarkEnd w:id="121"/>
                      <w:bookmarkEnd w:id="122"/>
                    </w:p>
                  </w:txbxContent>
                </v:textbox>
                <w10:wrap type="topAndBottom"/>
              </v:shape>
            </w:pict>
          </mc:Fallback>
        </mc:AlternateContent>
      </w:r>
    </w:p>
    <w:p w14:paraId="346B09C0" w14:textId="0DEE1395" w:rsidR="008C1960" w:rsidRPr="003726FE" w:rsidRDefault="008C1960" w:rsidP="00026049">
      <w:pPr>
        <w:pStyle w:val="Normal1"/>
        <w:rPr>
          <w:lang w:val="en-GB"/>
        </w:rPr>
      </w:pPr>
    </w:p>
    <w:p w14:paraId="0DF42AE5" w14:textId="7DC2EAD6" w:rsidR="00A03641" w:rsidRPr="003726FE" w:rsidRDefault="00A03641" w:rsidP="00BA4521">
      <w:pPr>
        <w:pStyle w:val="Heading3"/>
      </w:pPr>
      <w:bookmarkStart w:id="123" w:name="_Toc500319315"/>
      <w:r w:rsidRPr="003726FE">
        <w:lastRenderedPageBreak/>
        <w:t>A1.2.1 SRL and Feedback</w:t>
      </w:r>
      <w:bookmarkEnd w:id="123"/>
    </w:p>
    <w:p w14:paraId="6B1E508E" w14:textId="44F04334" w:rsidR="00A03641" w:rsidRPr="003726FE" w:rsidRDefault="00A03641" w:rsidP="00026049">
      <w:pPr>
        <w:pStyle w:val="Normal1"/>
        <w:rPr>
          <w:lang w:val="en-GB"/>
        </w:rPr>
      </w:pPr>
    </w:p>
    <w:p w14:paraId="4F634EDA" w14:textId="35449F3F" w:rsidR="000D2D14" w:rsidRPr="003726FE" w:rsidRDefault="000D2D14" w:rsidP="00026049">
      <w:pPr>
        <w:pStyle w:val="Normal1"/>
        <w:rPr>
          <w:lang w:val="en-GB"/>
        </w:rPr>
      </w:pPr>
      <w:r w:rsidRPr="003726FE">
        <w:rPr>
          <w:lang w:val="en-GB"/>
        </w:rPr>
        <w:t>There is an established relationship between feedback and SRL in education</w:t>
      </w:r>
      <w:r w:rsidR="008559CD" w:rsidRPr="003726FE">
        <w:rPr>
          <w:lang w:val="en-GB"/>
        </w:rPr>
        <w:t>al</w:t>
      </w:r>
      <w:r w:rsidRPr="003726FE">
        <w:rPr>
          <w:lang w:val="en-GB"/>
        </w:rPr>
        <w:t xml:space="preserve"> research and practice </w:t>
      </w:r>
      <w:r w:rsidRPr="003726FE">
        <w:rPr>
          <w:lang w:val="en-GB"/>
        </w:rPr>
        <w:fldChar w:fldCharType="begin"/>
      </w:r>
      <w:r w:rsidR="008B61BE">
        <w:rPr>
          <w:lang w:val="en-GB"/>
        </w:rPr>
        <w:instrText xml:space="preserve"> ADDIN EN.CITE &lt;EndNote&gt;&lt;Cite&gt;&lt;Author&gt;Butler&lt;/Author&gt;&lt;Year&gt;1995&lt;/Year&gt;&lt;RecNum&gt;590&lt;/RecNum&gt;&lt;DisplayText&gt;(Butler and Winne 1995; Hattie and Timperley 2007)&lt;/DisplayText&gt;&lt;record&gt;&lt;rec-number&gt;590&lt;/rec-number&gt;&lt;foreign-keys&gt;&lt;key app="EN" db-id="xa2r2ewea92trkef5dt5arvbzafvpv2za5ft" timestamp="1496417558"&gt;590&lt;/key&gt;&lt;/foreign-keys&gt;&lt;ref-type name="Journal Article"&gt;17&lt;/ref-type&gt;&lt;contributors&gt;&lt;authors&gt;&lt;author&gt;Butler, Deborah L&lt;/author&gt;&lt;author&gt;Winne, Philip H&lt;/author&gt;&lt;/authors&gt;&lt;/contributors&gt;&lt;titles&gt;&lt;title&gt;Feedback and self-regulated learning: A theoretical synthesis&lt;/title&gt;&lt;secondary-title&gt;Review of educational research&lt;/secondary-title&gt;&lt;/titles&gt;&lt;periodical&gt;&lt;full-title&gt;Review of educational research&lt;/full-title&gt;&lt;/periodical&gt;&lt;pages&gt;245-281&lt;/pages&gt;&lt;volume&gt;65&lt;/volume&gt;&lt;number&gt;3&lt;/number&gt;&lt;dates&gt;&lt;year&gt;1995&lt;/year&gt;&lt;/dates&gt;&lt;isbn&gt;0034-6543&lt;/isbn&gt;&lt;urls&gt;&lt;/urls&gt;&lt;/record&gt;&lt;/Cite&gt;&lt;Cite&gt;&lt;Author&gt;Hattie&lt;/Author&gt;&lt;Year&gt;2007&lt;/Year&gt;&lt;RecNum&gt;109&lt;/RecNum&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Pr="003726FE">
        <w:rPr>
          <w:lang w:val="en-GB"/>
        </w:rPr>
        <w:fldChar w:fldCharType="separate"/>
      </w:r>
      <w:r w:rsidR="004E5A78" w:rsidRPr="003726FE">
        <w:rPr>
          <w:noProof/>
          <w:lang w:val="en-GB"/>
        </w:rPr>
        <w:t>(</w:t>
      </w:r>
      <w:hyperlink w:anchor="_ENREF_66" w:tooltip="Butler, 1995 #590" w:history="1">
        <w:r w:rsidR="0094469E" w:rsidRPr="003726FE">
          <w:rPr>
            <w:noProof/>
            <w:lang w:val="en-GB"/>
          </w:rPr>
          <w:t>Butler and Winne 1995</w:t>
        </w:r>
      </w:hyperlink>
      <w:r w:rsidR="004E5A78" w:rsidRPr="003726FE">
        <w:rPr>
          <w:noProof/>
          <w:lang w:val="en-GB"/>
        </w:rPr>
        <w:t xml:space="preserve">; </w:t>
      </w:r>
      <w:hyperlink w:anchor="_ENREF_184" w:tooltip="Hattie, 2007 #109" w:history="1">
        <w:r w:rsidR="0094469E" w:rsidRPr="003726FE">
          <w:rPr>
            <w:noProof/>
            <w:lang w:val="en-GB"/>
          </w:rPr>
          <w:t>Hattie and Timperley 2007</w:t>
        </w:r>
      </w:hyperlink>
      <w:r w:rsidR="004E5A78" w:rsidRPr="003726FE">
        <w:rPr>
          <w:noProof/>
          <w:lang w:val="en-GB"/>
        </w:rPr>
        <w:t>)</w:t>
      </w:r>
      <w:r w:rsidRPr="003726FE">
        <w:rPr>
          <w:lang w:val="en-GB"/>
        </w:rPr>
        <w:fldChar w:fldCharType="end"/>
      </w:r>
      <w:r w:rsidRPr="003726FE">
        <w:rPr>
          <w:lang w:val="en-GB"/>
        </w:rPr>
        <w:t xml:space="preserve">. Feedback supports the underpinning processes of SRL and is considered essential to its development in pre-clinical training </w:t>
      </w:r>
      <w:r w:rsidRPr="003726FE">
        <w:rPr>
          <w:lang w:val="en-GB"/>
        </w:rPr>
        <w:fldChar w:fldCharType="begin"/>
      </w:r>
      <w:r w:rsidR="008B61BE">
        <w:rPr>
          <w:lang w:val="en-GB"/>
        </w:rPr>
        <w:instrText xml:space="preserve"> ADDIN EN.CITE &lt;EndNote&gt;&lt;Cite&gt;&lt;Author&gt;Murdoch</w:instrText>
      </w:r>
      <w:r w:rsidR="008B61BE">
        <w:rPr>
          <w:rFonts w:ascii="Cambria Math" w:hAnsi="Cambria Math" w:cs="Cambria Math"/>
          <w:lang w:val="en-GB"/>
        </w:rPr>
        <w:instrText>‐</w:instrText>
      </w:r>
      <w:r w:rsidR="008B61BE">
        <w:rPr>
          <w:lang w:val="en-GB"/>
        </w:rPr>
        <w:instrText>Eaton&lt;/Author&gt;&lt;Year&gt;2012&lt;/Year&gt;&lt;RecNum&gt;179&lt;/RecNum&gt;&lt;DisplayText&gt;(Hirsh et al. 2007; Murdoch</w:instrText>
      </w:r>
      <w:r w:rsidR="008B61BE">
        <w:rPr>
          <w:rFonts w:ascii="Cambria Math" w:hAnsi="Cambria Math" w:cs="Cambria Math"/>
          <w:lang w:val="en-GB"/>
        </w:rPr>
        <w:instrText>‐</w:instrText>
      </w:r>
      <w:r w:rsidR="008B61BE">
        <w:rPr>
          <w:lang w:val="en-GB"/>
        </w:rPr>
        <w:instrText>Eaton and Sargeant 2012)&lt;/DisplayText&gt;&lt;record&gt;&lt;rec-number&gt;179&lt;/rec-number&gt;&lt;foreign-keys&gt;&lt;key app="EN" db-id="xa2r2ewea92trkef5dt5arvbzafvpv2za5ft" timestamp="1442161765"&gt;179&lt;/key&gt;&lt;/foreign-keys&gt;&lt;ref-type name="Journal Article"&gt;17&lt;/ref-type&gt;&lt;contributors&gt;&lt;authors&gt;&lt;author&gt;Murdoch</w:instrText>
      </w:r>
      <w:r w:rsidR="008B61BE">
        <w:rPr>
          <w:rFonts w:ascii="Cambria Math" w:hAnsi="Cambria Math" w:cs="Cambria Math"/>
          <w:lang w:val="en-GB"/>
        </w:rPr>
        <w:instrText>‐</w:instrText>
      </w:r>
      <w:r w:rsidR="008B61BE">
        <w:rPr>
          <w:lang w:val="en-GB"/>
        </w:rPr>
        <w:instrText>Eaton, Deborah&lt;/author&gt;&lt;author&gt;Sargeant, Joan&lt;/author&gt;&lt;/authors&gt;&lt;/contributors&gt;&lt;titles&gt;&lt;title&gt;Maturational differences in undergraduate medical students’ perceptions about feedback&lt;/title&gt;&lt;secondary-title&gt;Medical education&lt;/secondary-title&gt;&lt;/titles&gt;&lt;periodical&gt;&lt;full-title&gt;Medical education&lt;/full-title&gt;&lt;/periodical&gt;&lt;pages&gt;711-721&lt;/pages&gt;&lt;volume&gt;46&lt;/volume&gt;&lt;number&gt;7&lt;/number&gt;&lt;dates&gt;&lt;year&gt;2012&lt;/year&gt;&lt;/dates&gt;&lt;publisher&gt;Wiley Online Library&lt;/publisher&gt;&lt;urls&gt;&lt;related-urls&gt;&lt;url&gt;http://onlinelibrary.wiley.com/store/10.1111/j.1365-2923.2012.04291.x/asset/j.1365-2923.2012.04291.x.pdf?v=1&amp;amp;t=ieiq1535&amp;amp;s=3d2031e70f9574ede859e51689081ca984a5b52e&lt;/url&gt;&lt;/related-urls&gt;&lt;/urls&gt;&lt;/record&gt;&lt;/Cite&gt;&lt;Cite&gt;&lt;Author&gt;Hirsh&lt;/Author&gt;&lt;Year&gt;2007&lt;/Year&gt;&lt;RecNum&gt;690&lt;/RecNum&gt;&lt;record&gt;&lt;rec-number&gt;690&lt;/rec-number&gt;&lt;foreign-keys&gt;&lt;key app="EN" db-id="xa2r2ewea92trkef5dt5arvbzafvpv2za5ft" timestamp="1496417567"&gt;690&lt;/key&gt;&lt;/foreign-keys&gt;&lt;ref-type name="Journal Article"&gt;17&lt;/ref-type&gt;&lt;contributors&gt;&lt;authors&gt;&lt;author&gt;Hirsh, David A&lt;/author&gt;&lt;author&gt;Ogur, Barbara&lt;/author&gt;&lt;author&gt;Thibault, George E&lt;/author&gt;&lt;author&gt;Cox, Malcolm&lt;/author&gt;&lt;/authors&gt;&lt;/contributors&gt;&lt;titles&gt;&lt;title&gt;&amp;quot; Continuity&amp;quot; as an Organizing Principle for Clinical Education ReformMedical Education&lt;/title&gt;&lt;secondary-title&gt;The New England journal of medicine&lt;/secondary-title&gt;&lt;/titles&gt;&lt;periodical&gt;&lt;full-title&gt;The New England journal of medicine&lt;/full-title&gt;&lt;/periodical&gt;&lt;pages&gt;858&lt;/pages&gt;&lt;volume&gt;356&lt;/volume&gt;&lt;number&gt;8&lt;/number&gt;&lt;dates&gt;&lt;year&gt;2007&lt;/year&gt;&lt;/dates&gt;&lt;isbn&gt;0028-4793&lt;/isbn&gt;&lt;urls&gt;&lt;/urls&gt;&lt;/record&gt;&lt;/Cite&gt;&lt;/EndNote&gt;</w:instrText>
      </w:r>
      <w:r w:rsidRPr="003726FE">
        <w:rPr>
          <w:lang w:val="en-GB"/>
        </w:rPr>
        <w:fldChar w:fldCharType="separate"/>
      </w:r>
      <w:r w:rsidR="004E5A78" w:rsidRPr="003726FE">
        <w:rPr>
          <w:noProof/>
          <w:lang w:val="en-GB"/>
        </w:rPr>
        <w:t>(</w:t>
      </w:r>
      <w:hyperlink w:anchor="_ENREF_189" w:tooltip="Hirsh, 2007 #690" w:history="1">
        <w:r w:rsidR="0094469E" w:rsidRPr="003726FE">
          <w:rPr>
            <w:noProof/>
            <w:lang w:val="en-GB"/>
          </w:rPr>
          <w:t>Hirsh et al. 2007</w:t>
        </w:r>
      </w:hyperlink>
      <w:r w:rsidR="004E5A78" w:rsidRPr="003726FE">
        <w:rPr>
          <w:noProof/>
          <w:lang w:val="en-GB"/>
        </w:rPr>
        <w:t xml:space="preserve">; </w:t>
      </w:r>
      <w:hyperlink w:anchor="_ENREF_294" w:tooltip="Murdoch‐Eaton, 2012 #179" w:history="1">
        <w:r w:rsidR="0094469E" w:rsidRPr="003726FE">
          <w:rPr>
            <w:noProof/>
            <w:lang w:val="en-GB"/>
          </w:rPr>
          <w:t>Murdoch</w:t>
        </w:r>
        <w:r w:rsidR="0094469E" w:rsidRPr="003726FE">
          <w:rPr>
            <w:rFonts w:ascii="Cambria Math" w:hAnsi="Cambria Math" w:cs="Cambria Math"/>
            <w:noProof/>
            <w:lang w:val="en-GB"/>
          </w:rPr>
          <w:t>‐</w:t>
        </w:r>
        <w:r w:rsidR="0094469E" w:rsidRPr="003726FE">
          <w:rPr>
            <w:noProof/>
            <w:lang w:val="en-GB"/>
          </w:rPr>
          <w:t>Eaton and Sargeant 2012</w:t>
        </w:r>
      </w:hyperlink>
      <w:r w:rsidR="004E5A78" w:rsidRPr="003726FE">
        <w:rPr>
          <w:noProof/>
          <w:lang w:val="en-GB"/>
        </w:rPr>
        <w:t>)</w:t>
      </w:r>
      <w:r w:rsidRPr="003726FE">
        <w:rPr>
          <w:lang w:val="en-GB"/>
        </w:rPr>
        <w:fldChar w:fldCharType="end"/>
      </w:r>
      <w:r w:rsidRPr="003726FE">
        <w:rPr>
          <w:lang w:val="en-GB"/>
        </w:rPr>
        <w:t xml:space="preserve">. In medical education, both concepts have separately been linked to increased academic and clinical performance </w:t>
      </w:r>
      <w:r w:rsidRPr="003726FE">
        <w:rPr>
          <w:lang w:val="en-GB"/>
        </w:rPr>
        <w:fldChar w:fldCharType="begin"/>
      </w:r>
      <w:r w:rsidR="008B61BE">
        <w:rPr>
          <w:lang w:val="en-GB"/>
        </w:rPr>
        <w:instrText xml:space="preserve"> ADDIN EN.CITE &lt;EndNote&gt;&lt;Cite&gt;&lt;Author&gt;Myhre&lt;/Author&gt;&lt;Year&gt;2014&lt;/Year&gt;&lt;RecNum&gt;684&lt;/RecNum&gt;&lt;DisplayText&gt;(Datta 1994; Myhre et al. 2014)&lt;/DisplayText&gt;&lt;record&gt;&lt;rec-number&gt;684&lt;/rec-number&gt;&lt;foreign-keys&gt;&lt;key app="EN" db-id="xa2r2ewea92trkef5dt5arvbzafvpv2za5ft" timestamp="1496417566"&gt;684&lt;/key&gt;&lt;/foreign-keys&gt;&lt;ref-type name="Journal Article"&gt;17&lt;/ref-type&gt;&lt;contributors&gt;&lt;authors&gt;&lt;author&gt;Myhre, Douglas L&lt;/author&gt;&lt;author&gt;Woloschuk, Wayne&lt;/author&gt;&lt;author&gt;Jackson, Wesley&lt;/author&gt;&lt;author&gt;McLaughlin, Kevin&lt;/author&gt;&lt;/authors&gt;&lt;/contributors&gt;&lt;titles&gt;&lt;title&gt;Academic performance of longitudinal integrated clerkship versus rotation-based clerkship students: a matched-cohort study&lt;/title&gt;&lt;secondary-title&gt;Academic Medicine&lt;/secondary-title&gt;&lt;/titles&gt;&lt;periodical&gt;&lt;full-title&gt;Academic Medicine&lt;/full-title&gt;&lt;/periodical&gt;&lt;pages&gt;292-295&lt;/pages&gt;&lt;volume&gt;89&lt;/volume&gt;&lt;number&gt;2&lt;/number&gt;&lt;dates&gt;&lt;year&gt;2014&lt;/year&gt;&lt;/dates&gt;&lt;isbn&gt;1040-2446&lt;/isbn&gt;&lt;urls&gt;&lt;/urls&gt;&lt;/record&gt;&lt;/Cite&gt;&lt;Cite&gt;&lt;Author&gt;Datta&lt;/Author&gt;&lt;Year&gt;1994&lt;/Year&gt;&lt;RecNum&gt;574&lt;/RecNum&gt;&lt;record&gt;&lt;rec-number&gt;574&lt;/rec-number&gt;&lt;foreign-keys&gt;&lt;key app="EN" db-id="xa2r2ewea92trkef5dt5arvbzafvpv2za5ft" timestamp="1496417556"&gt;574&lt;/key&gt;&lt;/foreign-keys&gt;&lt;ref-type name="Journal Article"&gt;17&lt;/ref-type&gt;&lt;contributors&gt;&lt;authors&gt;&lt;author&gt;Datta, Lois</w:instrText>
      </w:r>
      <w:r w:rsidR="008B61BE">
        <w:rPr>
          <w:rFonts w:ascii="Cambria Math" w:hAnsi="Cambria Math" w:cs="Cambria Math"/>
          <w:lang w:val="en-GB"/>
        </w:rPr>
        <w:instrText>‐</w:instrText>
      </w:r>
      <w:r w:rsidR="008B61BE">
        <w:rPr>
          <w:lang w:val="en-GB"/>
        </w:rPr>
        <w:instrText>ellin&lt;/author&gt;&lt;/authors&gt;&lt;/contributors&gt;&lt;titles&gt;&lt;title&gt;Paradigm wars: A basis for peaceful coexistence and beyond&lt;/title&gt;&lt;secondary-title&gt;New directions for program evaluation&lt;/secondary-title&gt;&lt;/titles&gt;&lt;periodical&gt;&lt;full-title&gt;New directions for program evaluation&lt;/full-title&gt;&lt;/periodical&gt;&lt;pages&gt;53-70&lt;/pages&gt;&lt;volume&gt;1994&lt;/volume&gt;&lt;number&gt;61&lt;/number&gt;&lt;dates&gt;&lt;year&gt;1994&lt;/year&gt;&lt;/dates&gt;&lt;isbn&gt;1551-2371&lt;/isbn&gt;&lt;urls&gt;&lt;/urls&gt;&lt;/record&gt;&lt;/Cite&gt;&lt;/EndNote&gt;</w:instrText>
      </w:r>
      <w:r w:rsidRPr="003726FE">
        <w:rPr>
          <w:lang w:val="en-GB"/>
        </w:rPr>
        <w:fldChar w:fldCharType="separate"/>
      </w:r>
      <w:r w:rsidR="004E5A78" w:rsidRPr="003726FE">
        <w:rPr>
          <w:noProof/>
          <w:lang w:val="en-GB"/>
        </w:rPr>
        <w:t>(</w:t>
      </w:r>
      <w:hyperlink w:anchor="_ENREF_109" w:tooltip="Datta, 1994 #574" w:history="1">
        <w:r w:rsidR="0094469E" w:rsidRPr="003726FE">
          <w:rPr>
            <w:noProof/>
            <w:lang w:val="en-GB"/>
          </w:rPr>
          <w:t>Datta 1994</w:t>
        </w:r>
      </w:hyperlink>
      <w:r w:rsidR="004E5A78" w:rsidRPr="003726FE">
        <w:rPr>
          <w:noProof/>
          <w:lang w:val="en-GB"/>
        </w:rPr>
        <w:t xml:space="preserve">; </w:t>
      </w:r>
      <w:hyperlink w:anchor="_ENREF_296" w:tooltip="Myhre, 2014 #684" w:history="1">
        <w:r w:rsidR="0094469E" w:rsidRPr="003726FE">
          <w:rPr>
            <w:noProof/>
            <w:lang w:val="en-GB"/>
          </w:rPr>
          <w:t>Myhre et al. 2014</w:t>
        </w:r>
      </w:hyperlink>
      <w:r w:rsidR="004E5A78" w:rsidRPr="003726FE">
        <w:rPr>
          <w:noProof/>
          <w:lang w:val="en-GB"/>
        </w:rPr>
        <w:t>)</w:t>
      </w:r>
      <w:r w:rsidRPr="003726FE">
        <w:rPr>
          <w:lang w:val="en-GB"/>
        </w:rPr>
        <w:fldChar w:fldCharType="end"/>
      </w:r>
      <w:r w:rsidRPr="003726FE">
        <w:rPr>
          <w:lang w:val="en-GB"/>
        </w:rPr>
        <w:t xml:space="preserve">. Medical students and professionals are encouraged to self-regulate their learning and seek feedback through constant reflection and monitoring to address gaps in their knowledge </w:t>
      </w:r>
      <w:r w:rsidR="00EF281A" w:rsidRPr="003726FE">
        <w:rPr>
          <w:lang w:val="en-GB"/>
        </w:rPr>
        <w:fldChar w:fldCharType="begin"/>
      </w:r>
      <w:r w:rsidR="008B61BE">
        <w:rPr>
          <w:lang w:val="en-GB"/>
        </w:rPr>
        <w:instrText xml:space="preserve"> ADDIN EN.CITE &lt;EndNote&gt;&lt;Cite&gt;&lt;Author&gt;Worley&lt;/Author&gt;&lt;Year&gt;2016&lt;/Year&gt;&lt;RecNum&gt;686&lt;/RecNum&gt;&lt;DisplayText&gt;(Worley et al. 2016)&lt;/DisplayText&gt;&lt;record&gt;&lt;rec-number&gt;686&lt;/rec-number&gt;&lt;foreign-keys&gt;&lt;key app="EN" db-id="xa2r2ewea92trkef5dt5arvbzafvpv2za5ft" timestamp="1496417566"&gt;686&lt;/key&gt;&lt;/foreign-keys&gt;&lt;ref-type name="Journal Article"&gt;17&lt;/ref-type&gt;&lt;contributors&gt;&lt;authors&gt;&lt;author&gt;Worley, Paul&lt;/author&gt;&lt;author&gt;Couper, Ian&lt;/author&gt;&lt;author&gt;Strasser, Roger&lt;/author&gt;&lt;author&gt;Graves, Lisa&lt;/author&gt;&lt;author&gt;Cummings, Beth</w:instrText>
      </w:r>
      <w:r w:rsidR="008B61BE">
        <w:rPr>
          <w:rFonts w:ascii="Cambria Math" w:hAnsi="Cambria Math" w:cs="Cambria Math"/>
          <w:lang w:val="en-GB"/>
        </w:rPr>
        <w:instrText>‐</w:instrText>
      </w:r>
      <w:r w:rsidR="008B61BE">
        <w:rPr>
          <w:lang w:val="en-GB"/>
        </w:rPr>
        <w:instrText>Ann&lt;/author&gt;&lt;author&gt;Woodman, Richard&lt;/author&gt;&lt;author&gt;Stagg, Pamela&lt;/author&gt;&lt;author&gt;Hirsh, David&lt;/author&gt;&lt;/authors&gt;&lt;/contributors&gt;&lt;titles&gt;&lt;title&gt;A typology of longitudinal integrated clerkships&lt;/title&gt;&lt;secondary-title&gt;Medical Education&lt;/secondary-title&gt;&lt;/titles&gt;&lt;periodical&gt;&lt;full-title&gt;Medical education&lt;/full-title&gt;&lt;/periodical&gt;&lt;pages&gt;922-932&lt;/pages&gt;&lt;volume&gt;50&lt;/volume&gt;&lt;number&gt;9&lt;/number&gt;&lt;dates&gt;&lt;year&gt;2016&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449" w:tooltip="Worley, 2016 #686" w:history="1">
        <w:r w:rsidR="0094469E" w:rsidRPr="003726FE">
          <w:rPr>
            <w:noProof/>
            <w:lang w:val="en-GB"/>
          </w:rPr>
          <w:t>Worley et al. 2016</w:t>
        </w:r>
      </w:hyperlink>
      <w:r w:rsidR="004E5A78" w:rsidRPr="003726FE">
        <w:rPr>
          <w:noProof/>
          <w:lang w:val="en-GB"/>
        </w:rPr>
        <w:t>)</w:t>
      </w:r>
      <w:r w:rsidR="00EF281A" w:rsidRPr="003726FE">
        <w:rPr>
          <w:lang w:val="en-GB"/>
        </w:rPr>
        <w:fldChar w:fldCharType="end"/>
      </w:r>
      <w:r w:rsidRPr="003726FE">
        <w:rPr>
          <w:lang w:val="en-GB"/>
        </w:rPr>
        <w:t xml:space="preserve">. </w:t>
      </w:r>
    </w:p>
    <w:p w14:paraId="1DD3B704" w14:textId="77777777" w:rsidR="004208F0" w:rsidRPr="003726FE" w:rsidRDefault="004208F0" w:rsidP="00026049">
      <w:pPr>
        <w:pStyle w:val="Normal1"/>
        <w:rPr>
          <w:lang w:val="en-GB"/>
        </w:rPr>
      </w:pPr>
    </w:p>
    <w:p w14:paraId="27D94F46" w14:textId="3F100AC8" w:rsidR="004A447E" w:rsidRPr="003726FE" w:rsidRDefault="00A03641" w:rsidP="00026049">
      <w:pPr>
        <w:pStyle w:val="Normal1"/>
        <w:rPr>
          <w:lang w:val="en-GB"/>
        </w:rPr>
      </w:pPr>
      <w:r w:rsidRPr="003726FE">
        <w:rPr>
          <w:lang w:val="en-GB"/>
        </w:rPr>
        <w:t xml:space="preserve">Hattie and Timperley’s </w:t>
      </w:r>
      <w:r w:rsidR="00291AD2">
        <w:rPr>
          <w:lang w:val="en-GB"/>
        </w:rPr>
        <w:fldChar w:fldCharType="begin"/>
      </w:r>
      <w:r w:rsidR="00EC3A8E">
        <w:rPr>
          <w:lang w:val="en-GB"/>
        </w:rPr>
        <w:instrText xml:space="preserve"> ADDIN EN.CITE &lt;EndNote&gt;&lt;Cite ExcludeAuth="1"&gt;&lt;Author&gt;Hattie&lt;/Author&gt;&lt;Year&gt;2007&lt;/Year&gt;&lt;RecNum&gt;109&lt;/RecNum&gt;&lt;DisplayText&gt;(2007)&lt;/DisplayText&gt;&lt;record&gt;&lt;rec-number&gt;109&lt;/rec-number&gt;&lt;foreign-keys&gt;&lt;key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291AD2">
        <w:rPr>
          <w:lang w:val="en-GB"/>
        </w:rPr>
        <w:fldChar w:fldCharType="separate"/>
      </w:r>
      <w:r w:rsidR="00EC3A8E">
        <w:rPr>
          <w:noProof/>
          <w:lang w:val="en-GB"/>
        </w:rPr>
        <w:t>(</w:t>
      </w:r>
      <w:hyperlink w:anchor="_ENREF_184" w:tooltip="Hattie, 2007 #109" w:history="1">
        <w:r w:rsidR="0094469E">
          <w:rPr>
            <w:noProof/>
            <w:lang w:val="en-GB"/>
          </w:rPr>
          <w:t>2007</w:t>
        </w:r>
      </w:hyperlink>
      <w:r w:rsidR="00EC3A8E">
        <w:rPr>
          <w:noProof/>
          <w:lang w:val="en-GB"/>
        </w:rPr>
        <w:t>)</w:t>
      </w:r>
      <w:r w:rsidR="00291AD2">
        <w:rPr>
          <w:lang w:val="en-GB"/>
        </w:rPr>
        <w:fldChar w:fldCharType="end"/>
      </w:r>
      <w:r w:rsidRPr="003726FE">
        <w:rPr>
          <w:lang w:val="en-GB"/>
        </w:rPr>
        <w:t xml:space="preserve"> conceptual model of feedback provides a guide for enhancing learning, they suggest that feedback works at </w:t>
      </w:r>
      <w:r w:rsidR="00EC3A8E">
        <w:rPr>
          <w:lang w:val="en-GB"/>
        </w:rPr>
        <w:t>four</w:t>
      </w:r>
      <w:r w:rsidRPr="003726FE">
        <w:rPr>
          <w:lang w:val="en-GB"/>
        </w:rPr>
        <w:t xml:space="preserve"> levels </w:t>
      </w:r>
      <w:r w:rsidR="00EC3A8E">
        <w:rPr>
          <w:lang w:val="en-GB"/>
        </w:rPr>
        <w:t>–</w:t>
      </w:r>
      <w:r w:rsidRPr="003726FE">
        <w:rPr>
          <w:lang w:val="en-GB"/>
        </w:rPr>
        <w:t xml:space="preserve"> </w:t>
      </w:r>
      <w:r w:rsidR="00EC3A8E">
        <w:rPr>
          <w:lang w:val="en-GB"/>
        </w:rPr>
        <w:t xml:space="preserve">self, </w:t>
      </w:r>
      <w:r w:rsidRPr="003726FE">
        <w:rPr>
          <w:lang w:val="en-GB"/>
        </w:rPr>
        <w:t xml:space="preserve">task, process, </w:t>
      </w:r>
      <w:r w:rsidR="00EC3A8E">
        <w:rPr>
          <w:lang w:val="en-GB"/>
        </w:rPr>
        <w:t xml:space="preserve">and </w:t>
      </w:r>
      <w:r w:rsidRPr="003726FE">
        <w:rPr>
          <w:lang w:val="en-GB"/>
        </w:rPr>
        <w:t>self-re</w:t>
      </w:r>
      <w:r w:rsidR="00EC3A8E">
        <w:rPr>
          <w:lang w:val="en-GB"/>
        </w:rPr>
        <w:t>gulation -</w:t>
      </w:r>
      <w:r w:rsidRPr="003726FE">
        <w:rPr>
          <w:lang w:val="en-GB"/>
        </w:rPr>
        <w:t xml:space="preserve"> describing ‘self-regulation’ and ‘process’ as the most crucial. They argue that educators should “create a learning environment in which students develop self-regulation and error detection skills”</w:t>
      </w:r>
      <w:r w:rsidR="00EC3A8E">
        <w:rPr>
          <w:lang w:val="en-GB"/>
        </w:rPr>
        <w:t xml:space="preserve"> </w:t>
      </w:r>
      <w:r w:rsidR="00EC3A8E">
        <w:rPr>
          <w:lang w:val="en-GB"/>
        </w:rPr>
        <w:fldChar w:fldCharType="begin"/>
      </w:r>
      <w:r w:rsidR="00EC3A8E">
        <w:rPr>
          <w:lang w:val="en-GB"/>
        </w:rPr>
        <w:instrText xml:space="preserve"> ADDIN EN.CITE &lt;EndNote&gt;&lt;Cite ExcludeAuth="1"&gt;&lt;Author&gt;Hattie&lt;/Author&gt;&lt;Year&gt;2007&lt;/Year&gt;&lt;RecNum&gt;109&lt;/RecNum&gt;&lt;Pages&gt;87&lt;/Pages&gt;&lt;DisplayText&gt;(2007, p. 87)&lt;/DisplayText&gt;&lt;record&gt;&lt;rec-number&gt;109&lt;/rec-number&gt;&lt;foreign-keys&gt;&lt;key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EC3A8E">
        <w:rPr>
          <w:lang w:val="en-GB"/>
        </w:rPr>
        <w:fldChar w:fldCharType="separate"/>
      </w:r>
      <w:r w:rsidR="00EC3A8E">
        <w:rPr>
          <w:noProof/>
          <w:lang w:val="en-GB"/>
        </w:rPr>
        <w:t>(</w:t>
      </w:r>
      <w:hyperlink w:anchor="_ENREF_184" w:tooltip="Hattie, 2007 #109" w:history="1">
        <w:r w:rsidR="0094469E">
          <w:rPr>
            <w:noProof/>
            <w:lang w:val="en-GB"/>
          </w:rPr>
          <w:t>2007, p. 87</w:t>
        </w:r>
      </w:hyperlink>
      <w:r w:rsidR="00EC3A8E">
        <w:rPr>
          <w:noProof/>
          <w:lang w:val="en-GB"/>
        </w:rPr>
        <w:t>)</w:t>
      </w:r>
      <w:r w:rsidR="00EC3A8E">
        <w:rPr>
          <w:lang w:val="en-GB"/>
        </w:rPr>
        <w:fldChar w:fldCharType="end"/>
      </w:r>
      <w:r w:rsidRPr="003726FE">
        <w:rPr>
          <w:lang w:val="en-GB"/>
        </w:rPr>
        <w:t xml:space="preserve">. </w:t>
      </w:r>
      <w:r w:rsidR="000D2D14" w:rsidRPr="003726FE">
        <w:rPr>
          <w:lang w:val="en-GB"/>
        </w:rPr>
        <w:t xml:space="preserve">Researchers </w:t>
      </w:r>
      <w:r w:rsidR="00254159">
        <w:rPr>
          <w:lang w:val="en-GB"/>
        </w:rPr>
        <w:t xml:space="preserve">have </w:t>
      </w:r>
      <w:r w:rsidR="000D2D14" w:rsidRPr="003726FE">
        <w:rPr>
          <w:lang w:val="en-GB"/>
        </w:rPr>
        <w:t>recommend</w:t>
      </w:r>
      <w:r w:rsidR="00254159">
        <w:rPr>
          <w:lang w:val="en-GB"/>
        </w:rPr>
        <w:t>ed</w:t>
      </w:r>
      <w:r w:rsidR="000D2D14" w:rsidRPr="003726FE">
        <w:rPr>
          <w:lang w:val="en-GB"/>
        </w:rPr>
        <w:t xml:space="preserve"> that medical undergraduates should receive SRL learning supports, leading to the development of important related professional competencies </w:t>
      </w:r>
      <w:r w:rsidR="0021662A">
        <w:rPr>
          <w:lang w:val="en-GB"/>
        </w:rPr>
        <w:t>including</w:t>
      </w:r>
      <w:r w:rsidR="000D2D14" w:rsidRPr="003726FE">
        <w:rPr>
          <w:lang w:val="en-GB"/>
        </w:rPr>
        <w:t xml:space="preserve"> self-assessment, reflective practice, and self-efficacy </w:t>
      </w:r>
      <w:r w:rsidR="000D2D14" w:rsidRPr="003726FE">
        <w:rPr>
          <w:lang w:val="en-GB"/>
        </w:rPr>
        <w:fldChar w:fldCharType="begin">
          <w:fldData xml:space="preserve">PEVuZE5vdGU+PENpdGU+PEF1dGhvcj5HbGFzczwvQXV0aG9yPjxZZWFyPjE5NzI8L1llYXI+PFJl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</w:fldData>
        </w:fldChar>
      </w:r>
      <w:r w:rsidR="008B61BE">
        <w:rPr>
          <w:lang w:val="en-GB"/>
        </w:rPr>
        <w:instrText xml:space="preserve"> ADDIN EN.CITE </w:instrText>
      </w:r>
      <w:r w:rsidR="008B61BE">
        <w:rPr>
          <w:lang w:val="en-GB"/>
        </w:rPr>
        <w:fldChar w:fldCharType="begin">
          <w:fldData xml:space="preserve">PEVuZE5vdGU+PENpdGU+PEF1dGhvcj5HbGFzczwvQXV0aG9yPjxZZWFyPjE5NzI8L1llYXI+PFJl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0D2D14" w:rsidRPr="003726FE">
        <w:rPr>
          <w:lang w:val="en-GB"/>
        </w:rPr>
      </w:r>
      <w:r w:rsidR="000D2D14" w:rsidRPr="003726FE">
        <w:rPr>
          <w:lang w:val="en-GB"/>
        </w:rPr>
        <w:fldChar w:fldCharType="separate"/>
      </w:r>
      <w:r w:rsidR="004E5A78" w:rsidRPr="003726FE">
        <w:rPr>
          <w:noProof/>
          <w:lang w:val="en-GB"/>
        </w:rPr>
        <w:t>(</w:t>
      </w:r>
      <w:hyperlink w:anchor="_ENREF_161" w:tooltip="Glass, 1972 #579" w:history="1">
        <w:r w:rsidR="0094469E" w:rsidRPr="003726FE">
          <w:rPr>
            <w:noProof/>
            <w:lang w:val="en-GB"/>
          </w:rPr>
          <w:t>Glass et al. 1972</w:t>
        </w:r>
      </w:hyperlink>
      <w:r w:rsidR="004E5A78" w:rsidRPr="003726FE">
        <w:rPr>
          <w:noProof/>
          <w:lang w:val="en-GB"/>
        </w:rPr>
        <w:t xml:space="preserve">; </w:t>
      </w:r>
      <w:hyperlink w:anchor="_ENREF_145" w:tooltip="Eva, 2005 #592" w:history="1">
        <w:r w:rsidR="0094469E" w:rsidRPr="003726FE">
          <w:rPr>
            <w:noProof/>
            <w:lang w:val="en-GB"/>
          </w:rPr>
          <w:t>Eva and Regehr 2005</w:t>
        </w:r>
      </w:hyperlink>
      <w:r w:rsidR="004E5A78" w:rsidRPr="003726FE">
        <w:rPr>
          <w:noProof/>
          <w:lang w:val="en-GB"/>
        </w:rPr>
        <w:t xml:space="preserve">; </w:t>
      </w:r>
      <w:hyperlink w:anchor="_ENREF_138" w:tooltip="Embo, 2014 #72" w:history="1">
        <w:r w:rsidR="0094469E" w:rsidRPr="003726FE">
          <w:rPr>
            <w:noProof/>
            <w:lang w:val="en-GB"/>
          </w:rPr>
          <w:t>Embo et al. 2014</w:t>
        </w:r>
      </w:hyperlink>
      <w:r w:rsidR="004E5A78" w:rsidRPr="003726FE">
        <w:rPr>
          <w:noProof/>
          <w:lang w:val="en-GB"/>
        </w:rPr>
        <w:t>)</w:t>
      </w:r>
      <w:r w:rsidR="000D2D14" w:rsidRPr="003726FE">
        <w:rPr>
          <w:lang w:val="en-GB"/>
        </w:rPr>
        <w:fldChar w:fldCharType="end"/>
      </w:r>
      <w:r w:rsidR="000D2D14" w:rsidRPr="003726FE">
        <w:rPr>
          <w:lang w:val="en-GB"/>
        </w:rPr>
        <w:t xml:space="preserve">. Feedback can provide learners with information on their SRL behaviours related to specific skills and can give them the tools to improve their performance in the future </w:t>
      </w:r>
      <w:r w:rsidR="00EF281A" w:rsidRPr="003726FE">
        <w:rPr>
          <w:lang w:val="en-GB"/>
        </w:rPr>
        <w:fldChar w:fldCharType="begin"/>
      </w:r>
      <w:r w:rsidR="008B61BE">
        <w:rPr>
          <w:lang w:val="en-GB"/>
        </w:rPr>
        <w:instrText xml:space="preserve"> ADDIN EN.CITE &lt;EndNote&gt;&lt;Cite&gt;&lt;Author&gt;Hattie&lt;/Author&gt;&lt;Year&gt;2007&lt;/Year&gt;&lt;RecNum&gt;109&lt;/RecNum&gt;&lt;DisplayText&gt;(Hattie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184" w:tooltip="Hattie, 2007 #109" w:history="1">
        <w:r w:rsidR="0094469E" w:rsidRPr="003726FE">
          <w:rPr>
            <w:noProof/>
            <w:lang w:val="en-GB"/>
          </w:rPr>
          <w:t>Hattie and Timperley 2007</w:t>
        </w:r>
      </w:hyperlink>
      <w:r w:rsidR="004E5A78" w:rsidRPr="003726FE">
        <w:rPr>
          <w:noProof/>
          <w:lang w:val="en-GB"/>
        </w:rPr>
        <w:t>)</w:t>
      </w:r>
      <w:r w:rsidR="00EF281A" w:rsidRPr="003726FE">
        <w:rPr>
          <w:lang w:val="en-GB"/>
        </w:rPr>
        <w:fldChar w:fldCharType="end"/>
      </w:r>
      <w:r w:rsidR="000D2D14" w:rsidRPr="003726FE">
        <w:rPr>
          <w:lang w:val="en-GB"/>
        </w:rPr>
        <w:t xml:space="preserve">. A synthesis of these concepts has been encouraged by experts in the field, citing feedback as a catalyst to SRL </w:t>
      </w:r>
      <w:r w:rsidR="00EF281A" w:rsidRPr="003726FE">
        <w:rPr>
          <w:lang w:val="en-GB"/>
        </w:rPr>
        <w:fldChar w:fldCharType="begin"/>
      </w:r>
      <w:r w:rsidR="008B61BE">
        <w:rPr>
          <w:lang w:val="en-GB"/>
        </w:rPr>
        <w:instrText xml:space="preserve"> ADDIN EN.CITE &lt;EndNote&gt;&lt;Cite&gt;&lt;Author&gt;Butler&lt;/Author&gt;&lt;Year&gt;1995&lt;/Year&gt;&lt;RecNum&gt;590&lt;/RecNum&gt;&lt;DisplayText&gt;(Butler and Winne 1995)&lt;/DisplayText&gt;&lt;record&gt;&lt;rec-number&gt;590&lt;/rec-number&gt;&lt;foreign-keys&gt;&lt;key app="EN" db-id="xa2r2ewea92trkef5dt5arvbzafvpv2za5ft" timestamp="1496417558"&gt;590&lt;/key&gt;&lt;/foreign-keys&gt;&lt;ref-type name="Journal Article"&gt;17&lt;/ref-type&gt;&lt;contributors&gt;&lt;authors&gt;&lt;author&gt;Butler, Deborah L&lt;/author&gt;&lt;author&gt;Winne, Philip H&lt;/author&gt;&lt;/authors&gt;&lt;/contributors&gt;&lt;titles&gt;&lt;title&gt;Feedback and self-regulated learning: A theoretical synthesis&lt;/title&gt;&lt;secondary-title&gt;Review of educational research&lt;/secondary-title&gt;&lt;/titles&gt;&lt;periodical&gt;&lt;full-title&gt;Review of educational research&lt;/full-title&gt;&lt;/periodical&gt;&lt;pages&gt;245-281&lt;/pages&gt;&lt;volume&gt;65&lt;/volume&gt;&lt;number&gt;3&lt;/number&gt;&lt;dates&gt;&lt;year&gt;1995&lt;/year&gt;&lt;/dates&gt;&lt;isbn&gt;0034-6543&lt;/isbn&gt;&lt;urls&gt;&lt;/urls&gt;&lt;/record&gt;&lt;/Cite&gt;&lt;/EndNote&gt;</w:instrText>
      </w:r>
      <w:r w:rsidR="00EF281A" w:rsidRPr="003726FE">
        <w:rPr>
          <w:lang w:val="en-GB"/>
        </w:rPr>
        <w:fldChar w:fldCharType="separate"/>
      </w:r>
      <w:r w:rsidR="004E5A78" w:rsidRPr="003726FE">
        <w:rPr>
          <w:noProof/>
          <w:lang w:val="en-GB"/>
        </w:rPr>
        <w:t>(</w:t>
      </w:r>
      <w:hyperlink w:anchor="_ENREF_66" w:tooltip="Butler, 1995 #590" w:history="1">
        <w:r w:rsidR="0094469E" w:rsidRPr="003726FE">
          <w:rPr>
            <w:noProof/>
            <w:lang w:val="en-GB"/>
          </w:rPr>
          <w:t>Butler and Winne 1995</w:t>
        </w:r>
      </w:hyperlink>
      <w:r w:rsidR="004E5A78" w:rsidRPr="003726FE">
        <w:rPr>
          <w:noProof/>
          <w:lang w:val="en-GB"/>
        </w:rPr>
        <w:t>)</w:t>
      </w:r>
      <w:r w:rsidR="00EF281A" w:rsidRPr="003726FE">
        <w:rPr>
          <w:lang w:val="en-GB"/>
        </w:rPr>
        <w:fldChar w:fldCharType="end"/>
      </w:r>
      <w:r w:rsidR="000D2D14" w:rsidRPr="003726FE">
        <w:rPr>
          <w:lang w:val="en-GB"/>
        </w:rPr>
        <w:t>, yet no research exists in which they have been successfully combined and utilise</w:t>
      </w:r>
      <w:r w:rsidR="004208F0" w:rsidRPr="003726FE">
        <w:rPr>
          <w:lang w:val="en-GB"/>
        </w:rPr>
        <w:t>d in medical learning contexts.</w:t>
      </w:r>
    </w:p>
    <w:p w14:paraId="3C289B8F" w14:textId="77777777" w:rsidR="004A447E" w:rsidRPr="003726FE" w:rsidRDefault="004A447E" w:rsidP="00026049">
      <w:pPr>
        <w:pStyle w:val="Normal1"/>
        <w:rPr>
          <w:lang w:val="en-GB"/>
        </w:rPr>
      </w:pPr>
    </w:p>
    <w:p w14:paraId="51CFB180" w14:textId="2F5CA4D3" w:rsidR="004A447E" w:rsidRPr="003726FE" w:rsidRDefault="004A447E" w:rsidP="00BA4521">
      <w:pPr>
        <w:pStyle w:val="Heading3"/>
      </w:pPr>
      <w:bookmarkStart w:id="124" w:name="_Toc500319316"/>
      <w:r w:rsidRPr="003726FE">
        <w:t xml:space="preserve">A1.2.1 </w:t>
      </w:r>
      <w:r w:rsidR="003D6516" w:rsidRPr="003726FE">
        <w:t xml:space="preserve">Perspectives on SRL - </w:t>
      </w:r>
      <w:r w:rsidR="00BF2833" w:rsidRPr="003726FE">
        <w:t xml:space="preserve">A Social </w:t>
      </w:r>
      <w:r w:rsidRPr="003726FE">
        <w:t>Cognitive View</w:t>
      </w:r>
      <w:bookmarkEnd w:id="124"/>
    </w:p>
    <w:p w14:paraId="203BE18F" w14:textId="77777777" w:rsidR="00E67D39" w:rsidRPr="003726FE" w:rsidRDefault="00E67D39" w:rsidP="00026049">
      <w:pPr>
        <w:pStyle w:val="Normal1"/>
        <w:rPr>
          <w:lang w:val="en-GB"/>
        </w:rPr>
      </w:pPr>
    </w:p>
    <w:p w14:paraId="28FE9930" w14:textId="0593C4B4" w:rsidR="00991150" w:rsidRPr="003726FE" w:rsidRDefault="00060D36" w:rsidP="00026049">
      <w:pPr>
        <w:pStyle w:val="Normal1"/>
        <w:rPr>
          <w:lang w:val="en-GB"/>
        </w:rPr>
      </w:pPr>
      <w:r w:rsidRPr="003726FE">
        <w:rPr>
          <w:lang w:val="en-GB"/>
        </w:rPr>
        <w:t xml:space="preserve">The core concepts of SRL can be viewed from different theoretical perspectives that inform their methodological use and interpretation when put into practice. </w:t>
      </w:r>
      <w:hyperlink w:anchor="_ENREF_372" w:tooltip="Schunk, 2012 #626" w:history="1">
        <w:r w:rsidR="0094469E" w:rsidRPr="003726FE">
          <w:rPr>
            <w:lang w:val="en-GB"/>
          </w:rPr>
          <w:fldChar w:fldCharType="begin"/>
        </w:r>
        <w:r w:rsidR="0094469E">
          <w:rPr>
            <w:lang w:val="en-GB"/>
          </w:rPr>
          <w:instrText xml:space="preserve"> ADDIN EN.CITE &lt;EndNote&gt;&lt;Cite AuthorYear="1"&gt;&lt;Author&gt;Schunk&lt;/Author&gt;&lt;Year&gt;2012&lt;/Year&gt;&lt;RecNum&gt;626&lt;/RecNum&gt;&lt;DisplayText&gt;Schunk and Zimmerman (2012)&lt;/DisplayText&gt;&lt;record&gt;&lt;rec-number&gt;626&lt;/rec-number&gt;&lt;foreign-keys&gt;&lt;key app="EN" db-id="xa2r2ewea92trkef5dt5arvbzafvpv2za5ft" timestamp="1496417561"&gt;626&lt;/key&gt;&lt;/foreign-keys&gt;&lt;ref-type name="Book"&gt;6&lt;/ref-type&gt;&lt;contributors&gt;&lt;authors&gt;&lt;author&gt;Schunk, Dale H&lt;/author&gt;&lt;author&gt;Zimmerman, Barry J&lt;/author&gt;&lt;/authors&gt;&lt;/contributors&gt;&lt;titles&gt;&lt;title&gt;Motivation and self-regulated learning: Theory, research, and applications&lt;/title&gt;&lt;/titles&gt;&lt;dates&gt;&lt;year&gt;2012&lt;/year&gt;&lt;/dates&gt;&lt;publisher&gt;Routledge&lt;/publisher&gt;&lt;isbn&gt;1136826777&lt;/isbn&gt;&lt;urls&gt;&lt;/urls&gt;&lt;/record&gt;&lt;/Cite&gt;&lt;/EndNote&gt;</w:instrText>
        </w:r>
        <w:r w:rsidR="0094469E" w:rsidRPr="003726FE">
          <w:rPr>
            <w:lang w:val="en-GB"/>
          </w:rPr>
          <w:fldChar w:fldCharType="separate"/>
        </w:r>
        <w:r w:rsidR="0094469E" w:rsidRPr="003726FE">
          <w:rPr>
            <w:noProof/>
            <w:lang w:val="en-GB"/>
          </w:rPr>
          <w:t>Schunk and Zimmerman (2012)</w:t>
        </w:r>
        <w:r w:rsidR="0094469E" w:rsidRPr="003726FE">
          <w:rPr>
            <w:lang w:val="en-GB"/>
          </w:rPr>
          <w:fldChar w:fldCharType="end"/>
        </w:r>
      </w:hyperlink>
      <w:r w:rsidR="007C77D5" w:rsidRPr="003726FE">
        <w:rPr>
          <w:lang w:val="en-GB"/>
        </w:rPr>
        <w:t xml:space="preserve"> </w:t>
      </w:r>
      <w:r w:rsidRPr="003726FE">
        <w:rPr>
          <w:lang w:val="en-GB"/>
        </w:rPr>
        <w:t xml:space="preserve">and others </w:t>
      </w:r>
      <w:r w:rsidR="00EF281A" w:rsidRPr="003726FE">
        <w:rPr>
          <w:lang w:val="en-GB"/>
        </w:rPr>
        <w:fldChar w:fldCharType="begin"/>
      </w:r>
      <w:r w:rsidR="008B61BE">
        <w:rPr>
          <w:lang w:val="en-GB"/>
        </w:rPr>
        <w:instrText xml:space="preserve"> ADDIN EN.CITE &lt;EndNote&gt;&lt;Cite&gt;&lt;Author&gt;Sitzmann&lt;/Author&gt;&lt;Year&gt;2011&lt;/Year&gt;&lt;RecNum&gt;627&lt;/RecNum&gt;&lt;DisplayText&gt;(Sitzmann and Ely 2011)&lt;/DisplayText&gt;&lt;record&gt;&lt;rec-number&gt;627&lt;/rec-number&gt;&lt;foreign-keys&gt;&lt;key app="EN" db-id="xa2r2ewea92trkef5dt5arvbzafvpv2za5ft" timestamp="1496417561"&gt;627&lt;/key&gt;&lt;/foreign-keys&gt;&lt;ref-type name="Generic"&gt;13&lt;/ref-type&gt;&lt;contributors&gt;&lt;authors&gt;&lt;author&gt;Sitzmann, Traci&lt;/author&gt;&lt;author&gt;Ely, Katherine&lt;/author&gt;&lt;/authors&gt;&lt;/contributors&gt;&lt;titles&gt;&lt;title&gt;A meta-analysis of self-regulated learning in work-related training and educational attainment: What we know and where we need to go&lt;/title&gt;&lt;/titles&gt;&lt;dates&gt;&lt;year&gt;2011&lt;/year&gt;&lt;/dates&gt;&lt;publisher&gt;American Psychological Association&lt;/publisher&gt;&lt;isbn&gt;1939-1455&lt;/isbn&gt;&lt;urls&gt;&lt;/urls&gt;&lt;/record&gt;&lt;/Cite&gt;&lt;/EndNote&gt;</w:instrText>
      </w:r>
      <w:r w:rsidR="00EF281A" w:rsidRPr="003726FE">
        <w:rPr>
          <w:lang w:val="en-GB"/>
        </w:rPr>
        <w:fldChar w:fldCharType="separate"/>
      </w:r>
      <w:r w:rsidR="004E5A78" w:rsidRPr="003726FE">
        <w:rPr>
          <w:noProof/>
          <w:lang w:val="en-GB"/>
        </w:rPr>
        <w:t>(</w:t>
      </w:r>
      <w:hyperlink w:anchor="_ENREF_389" w:tooltip="Sitzmann, 2011 #627" w:history="1">
        <w:r w:rsidR="0094469E" w:rsidRPr="003726FE">
          <w:rPr>
            <w:noProof/>
            <w:lang w:val="en-GB"/>
          </w:rPr>
          <w:t>Sitzmann and Ely 2011</w:t>
        </w:r>
      </w:hyperlink>
      <w:r w:rsidR="004E5A78" w:rsidRPr="003726FE">
        <w:rPr>
          <w:noProof/>
          <w:lang w:val="en-GB"/>
        </w:rPr>
        <w:t>)</w:t>
      </w:r>
      <w:r w:rsidR="00EF281A" w:rsidRPr="003726FE">
        <w:rPr>
          <w:lang w:val="en-GB"/>
        </w:rPr>
        <w:fldChar w:fldCharType="end"/>
      </w:r>
      <w:r w:rsidRPr="003726FE">
        <w:rPr>
          <w:lang w:val="en-GB"/>
        </w:rPr>
        <w:t xml:space="preserve"> identif</w:t>
      </w:r>
      <w:r w:rsidR="00DE1CFD" w:rsidRPr="003726FE">
        <w:rPr>
          <w:lang w:val="en-GB"/>
        </w:rPr>
        <w:t>ied</w:t>
      </w:r>
      <w:r w:rsidRPr="003726FE">
        <w:rPr>
          <w:lang w:val="en-GB"/>
        </w:rPr>
        <w:t xml:space="preserve"> a full range of perspectives in their r</w:t>
      </w:r>
      <w:r w:rsidR="00DE1CFD" w:rsidRPr="003726FE">
        <w:rPr>
          <w:lang w:val="en-GB"/>
        </w:rPr>
        <w:t>eviews, the most prevalent were:</w:t>
      </w:r>
      <w:r w:rsidRPr="003726FE">
        <w:rPr>
          <w:lang w:val="en-GB"/>
        </w:rPr>
        <w:t xml:space="preserve"> information processing th</w:t>
      </w:r>
      <w:r w:rsidR="00991150" w:rsidRPr="003726FE">
        <w:rPr>
          <w:lang w:val="en-GB"/>
        </w:rPr>
        <w:t xml:space="preserve">eories, constructivist models, and the social </w:t>
      </w:r>
      <w:r w:rsidR="00BF2833" w:rsidRPr="003726FE">
        <w:rPr>
          <w:lang w:val="en-GB"/>
        </w:rPr>
        <w:t>cognitive</w:t>
      </w:r>
      <w:r w:rsidR="00991150" w:rsidRPr="003726FE">
        <w:rPr>
          <w:lang w:val="en-GB"/>
        </w:rPr>
        <w:t xml:space="preserve"> view. </w:t>
      </w:r>
    </w:p>
    <w:p w14:paraId="339E31DC" w14:textId="77777777" w:rsidR="00991150" w:rsidRPr="003726FE" w:rsidRDefault="00991150" w:rsidP="00026049">
      <w:pPr>
        <w:pStyle w:val="Normal1"/>
        <w:rPr>
          <w:lang w:val="en-GB"/>
        </w:rPr>
      </w:pPr>
    </w:p>
    <w:p w14:paraId="7CB41A26" w14:textId="5CA2C916" w:rsidR="007C77D5" w:rsidRPr="003726FE" w:rsidRDefault="00991150" w:rsidP="00026049">
      <w:pPr>
        <w:pStyle w:val="Normal1"/>
        <w:rPr>
          <w:lang w:val="en-GB"/>
        </w:rPr>
      </w:pPr>
      <w:r w:rsidRPr="003726FE">
        <w:rPr>
          <w:lang w:val="en-GB"/>
        </w:rPr>
        <w:t xml:space="preserve">Information processing </w:t>
      </w:r>
      <w:r w:rsidR="00B03260" w:rsidRPr="003726FE">
        <w:rPr>
          <w:lang w:val="en-GB"/>
        </w:rPr>
        <w:t>theories of SRL stem</w:t>
      </w:r>
      <w:r w:rsidRPr="003726FE">
        <w:rPr>
          <w:lang w:val="en-GB"/>
        </w:rPr>
        <w:t xml:space="preserve"> </w:t>
      </w:r>
      <w:r w:rsidR="00B03260" w:rsidRPr="003726FE">
        <w:rPr>
          <w:lang w:val="en-GB"/>
        </w:rPr>
        <w:t xml:space="preserve">from control theory which was primarily </w:t>
      </w:r>
      <w:r w:rsidR="00B03260" w:rsidRPr="003726FE">
        <w:rPr>
          <w:lang w:val="en-GB"/>
        </w:rPr>
        <w:lastRenderedPageBreak/>
        <w:t xml:space="preserve">used in cybernetic engineering </w:t>
      </w:r>
      <w:r w:rsidR="00EF281A" w:rsidRPr="003726FE">
        <w:rPr>
          <w:lang w:val="en-GB"/>
        </w:rPr>
        <w:fldChar w:fldCharType="begin"/>
      </w:r>
      <w:r w:rsidR="008B61BE">
        <w:rPr>
          <w:lang w:val="en-GB"/>
        </w:rPr>
        <w:instrText xml:space="preserve"> ADDIN EN.CITE &lt;EndNote&gt;&lt;Cite&gt;&lt;Author&gt;Carver&lt;/Author&gt;&lt;Year&gt;1981&lt;/Year&gt;&lt;RecNum&gt;628&lt;/RecNum&gt;&lt;DisplayText&gt;(Carver and Scheier 1981)&lt;/DisplayText&gt;&lt;record&gt;&lt;rec-number&gt;628&lt;/rec-number&gt;&lt;foreign-keys&gt;&lt;key app="EN" db-id="xa2r2ewea92trkef5dt5arvbzafvpv2za5ft" timestamp="1496417561"&gt;628&lt;/key&gt;&lt;/foreign-keys&gt;&lt;ref-type name="Book"&gt;6&lt;/ref-type&gt;&lt;contributors&gt;&lt;authors&gt;&lt;author&gt;Carver, Charles S&lt;/author&gt;&lt;author&gt;Scheier, Michael F&lt;/author&gt;&lt;/authors&gt;&lt;/contributors&gt;&lt;titles&gt;&lt;title&gt;Attention and self-regulation: A control-theory approach to human behavior&lt;/title&gt;&lt;/titles&gt;&lt;dates&gt;&lt;year&gt;1981&lt;/year&gt;&lt;/dates&gt;&lt;pub-location&gt;New York&lt;/pub-location&gt;&lt;publisher&gt;Springer-Verlag&lt;/publisher&gt;&lt;urls&gt;&lt;/urls&gt;&lt;/record&gt;&lt;/Cite&gt;&lt;/EndNote&gt;</w:instrText>
      </w:r>
      <w:r w:rsidR="00EF281A" w:rsidRPr="003726FE">
        <w:rPr>
          <w:lang w:val="en-GB"/>
        </w:rPr>
        <w:fldChar w:fldCharType="separate"/>
      </w:r>
      <w:r w:rsidR="004E5A78" w:rsidRPr="003726FE">
        <w:rPr>
          <w:noProof/>
          <w:lang w:val="en-GB"/>
        </w:rPr>
        <w:t>(</w:t>
      </w:r>
      <w:hyperlink w:anchor="_ENREF_71" w:tooltip="Carver, 1981 #628" w:history="1">
        <w:r w:rsidR="0094469E" w:rsidRPr="003726FE">
          <w:rPr>
            <w:noProof/>
            <w:lang w:val="en-GB"/>
          </w:rPr>
          <w:t>Carver and Scheier 1981</w:t>
        </w:r>
      </w:hyperlink>
      <w:r w:rsidR="004E5A78" w:rsidRPr="003726FE">
        <w:rPr>
          <w:noProof/>
          <w:lang w:val="en-GB"/>
        </w:rPr>
        <w:t>)</w:t>
      </w:r>
      <w:r w:rsidR="00EF281A" w:rsidRPr="003726FE">
        <w:rPr>
          <w:lang w:val="en-GB"/>
        </w:rPr>
        <w:fldChar w:fldCharType="end"/>
      </w:r>
      <w:r w:rsidR="00B03260" w:rsidRPr="003726FE">
        <w:rPr>
          <w:lang w:val="en-GB"/>
        </w:rPr>
        <w:t xml:space="preserve">. These theories are used to understand cognitive </w:t>
      </w:r>
      <w:r w:rsidR="00BF2833" w:rsidRPr="003726FE">
        <w:rPr>
          <w:lang w:val="en-GB"/>
        </w:rPr>
        <w:t>functioning</w:t>
      </w:r>
      <w:r w:rsidR="00B03260" w:rsidRPr="003726FE">
        <w:rPr>
          <w:lang w:val="en-GB"/>
        </w:rPr>
        <w:t>; practitioners adopt the view that learners have a cyclical feedback loop which triggers processes in a</w:t>
      </w:r>
      <w:r w:rsidR="00232187">
        <w:rPr>
          <w:lang w:val="en-GB"/>
        </w:rPr>
        <w:t>n</w:t>
      </w:r>
      <w:r w:rsidR="00B03260" w:rsidRPr="003726FE">
        <w:rPr>
          <w:lang w:val="en-GB"/>
        </w:rPr>
        <w:t xml:space="preserve"> ‘if-then-else’ structure</w:t>
      </w:r>
      <w:r w:rsidRPr="003726FE">
        <w:rPr>
          <w:lang w:val="en-GB"/>
        </w:rPr>
        <w:t xml:space="preserve"> </w:t>
      </w:r>
      <w:r w:rsidR="00B03260" w:rsidRPr="003726FE">
        <w:rPr>
          <w:lang w:val="en-GB"/>
        </w:rPr>
        <w:t xml:space="preserve">in response to stimuli, leading to the development of multiple strategies called ‘schema’ </w:t>
      </w:r>
      <w:r w:rsidR="00B03260" w:rsidRPr="003726FE">
        <w:rPr>
          <w:lang w:val="en-GB"/>
        </w:rPr>
        <w:fldChar w:fldCharType="begin"/>
      </w:r>
      <w:r w:rsidR="008B61BE">
        <w:rPr>
          <w:lang w:val="en-GB"/>
        </w:rPr>
        <w:instrText xml:space="preserve"> ADDIN EN.CITE &lt;EndNote&gt;&lt;Cite&gt;&lt;Author&gt;Artino Jr&lt;/Author&gt;&lt;Year&gt;2015&lt;/Year&gt;&lt;RecNum&gt;778&lt;/RecNum&gt;&lt;DisplayText&gt;(Winne and Zimmerman 2001; Artino Jr et al. 2015)&lt;/DisplayText&gt;&lt;record&gt;&lt;rec-number&gt;778&lt;/rec-number&gt;&lt;foreign-keys&gt;&lt;key app="EN" db-id="xa2r2ewea92trkef5dt5arvbzafvpv2za5ft" timestamp="1496417593"&gt;778&lt;/key&gt;&lt;/foreign-keys&gt;&lt;ref-type name="Dictionary"&gt;52&lt;/ref-type&gt;&lt;contributors&gt;&lt;authors&gt;&lt;author&gt;Artino Jr, Anthony R&lt;/author&gt;&lt;author&gt;Brydges, Ryan&lt;/author&gt;&lt;author&gt;Gruppen, Larry D&lt;/author&gt;&lt;/authors&gt;&lt;/contributors&gt;&lt;titles&gt;&lt;title&gt;Self</w:instrText>
      </w:r>
      <w:r w:rsidR="008B61BE">
        <w:rPr>
          <w:rFonts w:ascii="Cambria Math" w:hAnsi="Cambria Math" w:cs="Cambria Math"/>
          <w:lang w:val="en-GB"/>
        </w:rPr>
        <w:instrText>‐</w:instrText>
      </w:r>
      <w:r w:rsidR="008B61BE">
        <w:rPr>
          <w:lang w:val="en-GB"/>
        </w:rPr>
        <w:instrText>regulated learning in healthcare profession education: theoretical perspectives and research methods&lt;/title&gt;&lt;secondary-title&gt;Researching Medical Education&lt;/secondary-title&gt;&lt;/titles&gt;&lt;periodical&gt;&lt;full-title&gt;Researching Medical Education&lt;/full-title&gt;&lt;/periodical&gt;&lt;pages&gt;155-166&lt;/pages&gt;&lt;dates&gt;&lt;year&gt;2015&lt;/year&gt;&lt;/dates&gt;&lt;isbn&gt;111883898X&lt;/isbn&gt;&lt;urls&gt;&lt;/urls&gt;&lt;/record&gt;&lt;/Cite&gt;&lt;Cite&gt;&lt;Author&gt;Winne&lt;/Author&gt;&lt;Year&gt;2001&lt;/Year&gt;&lt;RecNum&gt;623&lt;/RecNum&gt;&lt;record&gt;&lt;rec-number&gt;623&lt;/rec-number&gt;&lt;foreign-keys&gt;&lt;key app="EN" db-id="xa2r2ewea92trkef5dt5arvbzafvpv2za5ft" timestamp="1496417561"&gt;623&lt;/key&gt;&lt;/foreign-keys&gt;&lt;ref-type name="Journal Article"&gt;17&lt;/ref-type&gt;&lt;contributors&gt;&lt;authors&gt;&lt;author&gt;Winne, Phillip H&lt;/author&gt;&lt;author&gt;Zimmerman, Barry J&lt;/author&gt;&lt;/authors&gt;&lt;/contributors&gt;&lt;titles&gt;&lt;title&gt;Self-regulated learning viewed from models of information processing&lt;/title&gt;&lt;secondary-title&gt;Self-regulated learning and academic achievement: Theoretical perspectives&lt;/secondary-title&gt;&lt;/titles&gt;&lt;periodical&gt;&lt;full-title&gt;Self-regulated learning and academic achievement: Theoretical perspectives&lt;/full-title&gt;&lt;/periodical&gt;&lt;pages&gt;153-189&lt;/pages&gt;&lt;volume&gt;2&lt;/volume&gt;&lt;dates&gt;&lt;year&gt;2001&lt;/year&gt;&lt;/dates&gt;&lt;urls&gt;&lt;/urls&gt;&lt;/record&gt;&lt;/Cite&gt;&lt;/EndNote&gt;</w:instrText>
      </w:r>
      <w:r w:rsidR="00B03260" w:rsidRPr="003726FE">
        <w:rPr>
          <w:lang w:val="en-GB"/>
        </w:rPr>
        <w:fldChar w:fldCharType="separate"/>
      </w:r>
      <w:r w:rsidR="004E5A78" w:rsidRPr="003726FE">
        <w:rPr>
          <w:noProof/>
          <w:lang w:val="en-GB"/>
        </w:rPr>
        <w:t>(</w:t>
      </w:r>
      <w:hyperlink w:anchor="_ENREF_447" w:tooltip="Winne, 2001 #623" w:history="1">
        <w:r w:rsidR="0094469E" w:rsidRPr="003726FE">
          <w:rPr>
            <w:noProof/>
            <w:lang w:val="en-GB"/>
          </w:rPr>
          <w:t>Winne and Zimmerman 2001</w:t>
        </w:r>
      </w:hyperlink>
      <w:r w:rsidR="004E5A78" w:rsidRPr="003726FE">
        <w:rPr>
          <w:noProof/>
          <w:lang w:val="en-GB"/>
        </w:rPr>
        <w:t xml:space="preserve">; </w:t>
      </w:r>
      <w:hyperlink w:anchor="_ENREF_7" w:tooltip="Artino Jr, 2015 #778" w:history="1">
        <w:r w:rsidR="0094469E" w:rsidRPr="003726FE">
          <w:rPr>
            <w:noProof/>
            <w:lang w:val="en-GB"/>
          </w:rPr>
          <w:t>Artino Jr et al. 2015</w:t>
        </w:r>
      </w:hyperlink>
      <w:r w:rsidR="004E5A78" w:rsidRPr="003726FE">
        <w:rPr>
          <w:noProof/>
          <w:lang w:val="en-GB"/>
        </w:rPr>
        <w:t>)</w:t>
      </w:r>
      <w:r w:rsidR="00B03260" w:rsidRPr="003726FE">
        <w:rPr>
          <w:lang w:val="en-GB"/>
        </w:rPr>
        <w:fldChar w:fldCharType="end"/>
      </w:r>
      <w:r w:rsidR="00B03260" w:rsidRPr="003726FE">
        <w:rPr>
          <w:lang w:val="en-GB"/>
        </w:rPr>
        <w:t xml:space="preserve">. Despite the recent move to consider social influences, these models remain limited to positivistic </w:t>
      </w:r>
      <w:r w:rsidR="00DE1CFD" w:rsidRPr="003726FE">
        <w:rPr>
          <w:lang w:val="en-GB"/>
        </w:rPr>
        <w:t>approaches of assessing</w:t>
      </w:r>
      <w:r w:rsidR="00B03260" w:rsidRPr="003726FE">
        <w:rPr>
          <w:lang w:val="en-GB"/>
        </w:rPr>
        <w:t xml:space="preserve"> SRL</w:t>
      </w:r>
      <w:r w:rsidR="006D0581" w:rsidRPr="003726FE">
        <w:rPr>
          <w:lang w:val="en-GB"/>
        </w:rPr>
        <w:t xml:space="preserve"> </w:t>
      </w:r>
      <w:r w:rsidR="00EF281A" w:rsidRPr="003726FE">
        <w:rPr>
          <w:lang w:val="en-GB"/>
        </w:rPr>
        <w:fldChar w:fldCharType="begin"/>
      </w:r>
      <w:r w:rsidR="008B61BE">
        <w:rPr>
          <w:lang w:val="en-GB"/>
        </w:rPr>
        <w:instrText xml:space="preserve"> ADDIN EN.CITE &lt;EndNote&gt;&lt;Cite&gt;&lt;Author&gt;Winne&lt;/Author&gt;&lt;Year&gt;1998&lt;/Year&gt;&lt;RecNum&gt;629&lt;/RecNum&gt;&lt;DisplayText&gt;(Winne and Hadwin 1998)&lt;/DisplayText&gt;&lt;record&gt;&lt;rec-number&gt;629&lt;/rec-number&gt;&lt;foreign-keys&gt;&lt;key app="EN" db-id="xa2r2ewea92trkef5dt5arvbzafvpv2za5ft" timestamp="1496417561"&gt;629&lt;/key&gt;&lt;/foreign-keys&gt;&lt;ref-type name="Journal Article"&gt;17&lt;/ref-type&gt;&lt;contributors&gt;&lt;authors&gt;&lt;author&gt;Winne, Philip H&lt;/author&gt;&lt;author&gt;Hadwin, Allyson F&lt;/author&gt;&lt;/authors&gt;&lt;/contributors&gt;&lt;titles&gt;&lt;title&gt;Studying as self-regulated learning&lt;/title&gt;&lt;secondary-title&gt;Metacognition in educational theory and practice&lt;/secondary-title&gt;&lt;/titles&gt;&lt;periodical&gt;&lt;full-title&gt;Metacognition in educational theory and practice&lt;/full-title&gt;&lt;/periodical&gt;&lt;pages&gt;27-30&lt;/pages&gt;&lt;volume&gt;93&lt;/volume&gt;&lt;dates&gt;&lt;year&gt;1998&lt;/year&gt;&lt;/dates&gt;&lt;urls&gt;&lt;/urls&gt;&lt;/record&gt;&lt;/Cite&gt;&lt;/EndNote&gt;</w:instrText>
      </w:r>
      <w:r w:rsidR="00EF281A" w:rsidRPr="003726FE">
        <w:rPr>
          <w:lang w:val="en-GB"/>
        </w:rPr>
        <w:fldChar w:fldCharType="separate"/>
      </w:r>
      <w:r w:rsidR="004E5A78" w:rsidRPr="003726FE">
        <w:rPr>
          <w:noProof/>
          <w:lang w:val="en-GB"/>
        </w:rPr>
        <w:t>(</w:t>
      </w:r>
      <w:hyperlink w:anchor="_ENREF_443" w:tooltip="Winne, 1998 #629" w:history="1">
        <w:r w:rsidR="0094469E" w:rsidRPr="003726FE">
          <w:rPr>
            <w:noProof/>
            <w:lang w:val="en-GB"/>
          </w:rPr>
          <w:t>Winne and Hadwin 1998</w:t>
        </w:r>
      </w:hyperlink>
      <w:r w:rsidR="004E5A78" w:rsidRPr="003726FE">
        <w:rPr>
          <w:noProof/>
          <w:lang w:val="en-GB"/>
        </w:rPr>
        <w:t>)</w:t>
      </w:r>
      <w:r w:rsidR="00EF281A" w:rsidRPr="003726FE">
        <w:rPr>
          <w:lang w:val="en-GB"/>
        </w:rPr>
        <w:fldChar w:fldCharType="end"/>
      </w:r>
      <w:r w:rsidR="001A2BBE" w:rsidRPr="003726FE">
        <w:rPr>
          <w:lang w:val="en-GB"/>
        </w:rPr>
        <w:t>. They</w:t>
      </w:r>
      <w:r w:rsidR="006D0581" w:rsidRPr="003726FE">
        <w:rPr>
          <w:lang w:val="en-GB"/>
        </w:rPr>
        <w:t xml:space="preserve"> have been useful in e-learning contexts but would be problematic in this study where authentic learning </w:t>
      </w:r>
      <w:r w:rsidR="00BF2833" w:rsidRPr="003726FE">
        <w:rPr>
          <w:lang w:val="en-GB"/>
        </w:rPr>
        <w:t>environments</w:t>
      </w:r>
      <w:r w:rsidR="006D0581" w:rsidRPr="003726FE">
        <w:rPr>
          <w:lang w:val="en-GB"/>
        </w:rPr>
        <w:t xml:space="preserve"> and social effects </w:t>
      </w:r>
      <w:r w:rsidR="00DE1CFD" w:rsidRPr="003726FE">
        <w:rPr>
          <w:lang w:val="en-GB"/>
        </w:rPr>
        <w:t>were</w:t>
      </w:r>
      <w:r w:rsidR="006D0581" w:rsidRPr="003726FE">
        <w:rPr>
          <w:lang w:val="en-GB"/>
        </w:rPr>
        <w:t xml:space="preserve"> key features</w:t>
      </w:r>
      <w:r w:rsidR="007A7EF3">
        <w:rPr>
          <w:lang w:val="en-GB"/>
        </w:rPr>
        <w:t xml:space="preserve"> for consideration</w:t>
      </w:r>
      <w:r w:rsidR="006D0581" w:rsidRPr="003726FE">
        <w:rPr>
          <w:lang w:val="en-GB"/>
        </w:rPr>
        <w:t>.</w:t>
      </w:r>
    </w:p>
    <w:p w14:paraId="7E029AC7" w14:textId="77777777" w:rsidR="001A2BBE" w:rsidRPr="003726FE" w:rsidRDefault="001A2BBE" w:rsidP="00026049">
      <w:pPr>
        <w:pStyle w:val="Normal1"/>
        <w:rPr>
          <w:lang w:val="en-GB"/>
        </w:rPr>
      </w:pPr>
    </w:p>
    <w:p w14:paraId="44F8B369" w14:textId="2C21424A" w:rsidR="001A2BBE" w:rsidRPr="003726FE" w:rsidRDefault="008D0F7C" w:rsidP="00026049">
      <w:pPr>
        <w:pStyle w:val="Normal1"/>
        <w:rPr>
          <w:lang w:val="en-GB"/>
        </w:rPr>
      </w:pPr>
      <w:r w:rsidRPr="003726FE">
        <w:rPr>
          <w:lang w:val="en-GB"/>
        </w:rPr>
        <w:t>From the con</w:t>
      </w:r>
      <w:r w:rsidR="00BF2833" w:rsidRPr="003726FE">
        <w:rPr>
          <w:lang w:val="en-GB"/>
        </w:rPr>
        <w:t>s</w:t>
      </w:r>
      <w:r w:rsidRPr="003726FE">
        <w:rPr>
          <w:lang w:val="en-GB"/>
        </w:rPr>
        <w:t>tru</w:t>
      </w:r>
      <w:r w:rsidR="00BF2833" w:rsidRPr="003726FE">
        <w:rPr>
          <w:lang w:val="en-GB"/>
        </w:rPr>
        <w:t>ct</w:t>
      </w:r>
      <w:r w:rsidRPr="003726FE">
        <w:rPr>
          <w:lang w:val="en-GB"/>
        </w:rPr>
        <w:t xml:space="preserve">ivist perspective, SRL is embedded in social contexts meaning that the behaviours learners attempt to regulate are directly influenced by </w:t>
      </w:r>
      <w:r w:rsidR="003D6516" w:rsidRPr="003726FE">
        <w:rPr>
          <w:lang w:val="en-GB"/>
        </w:rPr>
        <w:t xml:space="preserve">contextual </w:t>
      </w:r>
      <w:r w:rsidRPr="003726FE">
        <w:rPr>
          <w:lang w:val="en-GB"/>
        </w:rPr>
        <w:t>factors</w:t>
      </w:r>
      <w:r w:rsidR="00DE1CFD" w:rsidRPr="003726FE">
        <w:rPr>
          <w:lang w:val="en-GB"/>
        </w:rPr>
        <w:t>,</w:t>
      </w:r>
      <w:r w:rsidRPr="003726FE">
        <w:rPr>
          <w:lang w:val="en-GB"/>
        </w:rPr>
        <w:t xml:space="preserve"> </w:t>
      </w:r>
      <w:r w:rsidR="0021662A">
        <w:rPr>
          <w:lang w:val="en-GB"/>
        </w:rPr>
        <w:t>including</w:t>
      </w:r>
      <w:r w:rsidR="00DE1CFD" w:rsidRPr="003726FE">
        <w:rPr>
          <w:lang w:val="en-GB"/>
        </w:rPr>
        <w:t>:</w:t>
      </w:r>
      <w:r w:rsidRPr="003726FE">
        <w:rPr>
          <w:lang w:val="en-GB"/>
        </w:rPr>
        <w:t xml:space="preserve"> social norms, community pressures, and self-identity </w:t>
      </w:r>
      <w:r w:rsidR="00EF281A" w:rsidRPr="003726FE">
        <w:rPr>
          <w:lang w:val="en-GB"/>
        </w:rPr>
        <w:fldChar w:fldCharType="begin">
          <w:fldData xml:space="preserve">PEVuZE5vdGU+PENpdGU+PEF1dGhvcj5MYXZlPC9BdXRob3I+PFllYXI+MTk5MzwvWWVhcj48UmVj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</w:fldData>
        </w:fldChar>
      </w:r>
      <w:r w:rsidR="008B61BE">
        <w:rPr>
          <w:lang w:val="en-GB"/>
        </w:rPr>
        <w:instrText xml:space="preserve"> ADDIN EN.CITE </w:instrText>
      </w:r>
      <w:r w:rsidR="008B61BE">
        <w:rPr>
          <w:lang w:val="en-GB"/>
        </w:rPr>
        <w:fldChar w:fldCharType="begin">
          <w:fldData xml:space="preserve">PEVuZE5vdGU+PENpdGU+PEF1dGhvcj5MYXZlPC9BdXRob3I+PFllYXI+MTk5MzwvWWVhcj48UmVj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348" w:tooltip="Rogoff, 1990 #631" w:history="1">
        <w:r w:rsidR="0094469E" w:rsidRPr="003726FE">
          <w:rPr>
            <w:noProof/>
            <w:lang w:val="en-GB"/>
          </w:rPr>
          <w:t>Rogoff 1990</w:t>
        </w:r>
      </w:hyperlink>
      <w:r w:rsidR="004E5A78" w:rsidRPr="003726FE">
        <w:rPr>
          <w:noProof/>
          <w:lang w:val="en-GB"/>
        </w:rPr>
        <w:t xml:space="preserve">; </w:t>
      </w:r>
      <w:hyperlink w:anchor="_ENREF_235" w:tooltip="Lave, 1993 #632" w:history="1">
        <w:r w:rsidR="0094469E" w:rsidRPr="003726FE">
          <w:rPr>
            <w:noProof/>
            <w:lang w:val="en-GB"/>
          </w:rPr>
          <w:t>Lave 1993</w:t>
        </w:r>
      </w:hyperlink>
      <w:r w:rsidR="004E5A78" w:rsidRPr="003726FE">
        <w:rPr>
          <w:noProof/>
          <w:lang w:val="en-GB"/>
        </w:rPr>
        <w:t xml:space="preserve">; </w:t>
      </w:r>
      <w:hyperlink w:anchor="_ENREF_316" w:tooltip="Paris, 2001 #630" w:history="1">
        <w:r w:rsidR="0094469E" w:rsidRPr="003726FE">
          <w:rPr>
            <w:noProof/>
            <w:lang w:val="en-GB"/>
          </w:rPr>
          <w:t>Paris et al. 2001</w:t>
        </w:r>
      </w:hyperlink>
      <w:r w:rsidR="004E5A78" w:rsidRPr="003726FE">
        <w:rPr>
          <w:noProof/>
          <w:lang w:val="en-GB"/>
        </w:rPr>
        <w:t>)</w:t>
      </w:r>
      <w:r w:rsidR="00EF281A" w:rsidRPr="003726FE">
        <w:rPr>
          <w:lang w:val="en-GB"/>
        </w:rPr>
        <w:fldChar w:fldCharType="end"/>
      </w:r>
      <w:r w:rsidR="006F2A46" w:rsidRPr="003726FE">
        <w:rPr>
          <w:lang w:val="en-GB"/>
        </w:rPr>
        <w:t>.</w:t>
      </w:r>
      <w:r w:rsidR="003D6516" w:rsidRPr="003726FE">
        <w:rPr>
          <w:lang w:val="en-GB"/>
        </w:rPr>
        <w:t xml:space="preserve"> In practice, researchers using this </w:t>
      </w:r>
      <w:r w:rsidR="00BF2833" w:rsidRPr="003726FE">
        <w:rPr>
          <w:lang w:val="en-GB"/>
        </w:rPr>
        <w:t>perspective</w:t>
      </w:r>
      <w:r w:rsidR="003D6516" w:rsidRPr="003726FE">
        <w:rPr>
          <w:lang w:val="en-GB"/>
        </w:rPr>
        <w:t xml:space="preserve"> treat SRL behaviours in one context as independent from those behaviours </w:t>
      </w:r>
      <w:r w:rsidR="00232187">
        <w:rPr>
          <w:lang w:val="en-GB"/>
        </w:rPr>
        <w:t xml:space="preserve">whilst </w:t>
      </w:r>
      <w:r w:rsidR="003D6516" w:rsidRPr="003726FE">
        <w:rPr>
          <w:lang w:val="en-GB"/>
        </w:rPr>
        <w:t xml:space="preserve">in another context, </w:t>
      </w:r>
      <w:r w:rsidR="00232187">
        <w:rPr>
          <w:lang w:val="en-GB"/>
        </w:rPr>
        <w:t>they aim</w:t>
      </w:r>
      <w:r w:rsidR="003D6516" w:rsidRPr="003726FE">
        <w:rPr>
          <w:lang w:val="en-GB"/>
        </w:rPr>
        <w:t xml:space="preserve"> to explore environmental and social supports to encourage SRL </w:t>
      </w:r>
      <w:r w:rsidR="00EF281A" w:rsidRPr="003726FE">
        <w:rPr>
          <w:lang w:val="en-GB"/>
        </w:rPr>
        <w:fldChar w:fldCharType="begin"/>
      </w:r>
      <w:r w:rsidR="008B61BE">
        <w:rPr>
          <w:lang w:val="en-GB"/>
        </w:rPr>
        <w:instrText xml:space="preserve"> ADDIN EN.CITE &lt;EndNote&gt;&lt;Cite&gt;&lt;Author&gt;Butler&lt;/Author&gt;&lt;Year&gt;2004&lt;/Year&gt;&lt;RecNum&gt;633&lt;/RecNum&gt;&lt;DisplayText&gt;(Butler and Cartier 2004)&lt;/DisplayText&gt;&lt;record&gt;&lt;rec-number&gt;633&lt;/rec-number&gt;&lt;foreign-keys&gt;&lt;key app="EN" db-id="xa2r2ewea92trkef5dt5arvbzafvpv2za5ft" timestamp="1496417562"&gt;633&lt;/key&gt;&lt;/foreign-keys&gt;&lt;ref-type name="Journal Article"&gt;17&lt;/ref-type&gt;&lt;contributors&gt;&lt;authors&gt;&lt;author&gt;Butler, Deborah L&lt;/author&gt;&lt;author&gt;Cartier, Sylvie C&lt;/author&gt;&lt;/authors&gt;&lt;/contributors&gt;&lt;titles&gt;&lt;title&gt;Promoting effective task interpretation as an important work habit: A key to successful teaching and learning&lt;/title&gt;&lt;secondary-title&gt;Teachers College Record&lt;/secondary-title&gt;&lt;/titles&gt;&lt;periodical&gt;&lt;full-title&gt;Teachers College Record&lt;/full-title&gt;&lt;/periodical&gt;&lt;pages&gt;1729-1758&lt;/pages&gt;&lt;volume&gt;106&lt;/volume&gt;&lt;number&gt;9&lt;/number&gt;&lt;dates&gt;&lt;year&gt;2004&lt;/year&gt;&lt;/dates&gt;&lt;isbn&gt;0161-4681&lt;/isbn&gt;&lt;urls&gt;&lt;/urls&gt;&lt;/record&gt;&lt;/Cite&gt;&lt;/EndNote&gt;</w:instrText>
      </w:r>
      <w:r w:rsidR="00EF281A" w:rsidRPr="003726FE">
        <w:rPr>
          <w:lang w:val="en-GB"/>
        </w:rPr>
        <w:fldChar w:fldCharType="separate"/>
      </w:r>
      <w:r w:rsidR="004E5A78" w:rsidRPr="003726FE">
        <w:rPr>
          <w:noProof/>
          <w:lang w:val="en-GB"/>
        </w:rPr>
        <w:t>(</w:t>
      </w:r>
      <w:hyperlink w:anchor="_ENREF_65" w:tooltip="Butler, 2004 #633" w:history="1">
        <w:r w:rsidR="0094469E" w:rsidRPr="003726FE">
          <w:rPr>
            <w:noProof/>
            <w:lang w:val="en-GB"/>
          </w:rPr>
          <w:t>Butler and Cartier 2004</w:t>
        </w:r>
      </w:hyperlink>
      <w:r w:rsidR="004E5A78" w:rsidRPr="003726FE">
        <w:rPr>
          <w:noProof/>
          <w:lang w:val="en-GB"/>
        </w:rPr>
        <w:t>)</w:t>
      </w:r>
      <w:r w:rsidR="00EF281A" w:rsidRPr="003726FE">
        <w:rPr>
          <w:lang w:val="en-GB"/>
        </w:rPr>
        <w:fldChar w:fldCharType="end"/>
      </w:r>
      <w:r w:rsidR="003D6516" w:rsidRPr="003726FE">
        <w:rPr>
          <w:lang w:val="en-GB"/>
        </w:rPr>
        <w:t xml:space="preserve">. </w:t>
      </w:r>
      <w:r w:rsidR="00066C29" w:rsidRPr="003726FE">
        <w:rPr>
          <w:lang w:val="en-GB"/>
        </w:rPr>
        <w:t>This practice is closer than information processing to the aims of this study in that it situates SRL in social contexts and explores their impact</w:t>
      </w:r>
      <w:r w:rsidR="00D67403">
        <w:rPr>
          <w:lang w:val="en-GB"/>
        </w:rPr>
        <w:t>.</w:t>
      </w:r>
      <w:r w:rsidR="00066C29" w:rsidRPr="003726FE">
        <w:rPr>
          <w:lang w:val="en-GB"/>
        </w:rPr>
        <w:t xml:space="preserve"> </w:t>
      </w:r>
      <w:r w:rsidR="00D67403" w:rsidRPr="003726FE">
        <w:rPr>
          <w:lang w:val="en-GB"/>
        </w:rPr>
        <w:t>Although</w:t>
      </w:r>
      <w:r w:rsidR="00066C29" w:rsidRPr="003726FE">
        <w:rPr>
          <w:lang w:val="en-GB"/>
        </w:rPr>
        <w:t xml:space="preserve"> SRL transfer is an important factor to consider</w:t>
      </w:r>
      <w:r w:rsidR="00D67403">
        <w:rPr>
          <w:lang w:val="en-GB"/>
        </w:rPr>
        <w:t>,</w:t>
      </w:r>
      <w:r w:rsidR="00066C29" w:rsidRPr="003726FE">
        <w:rPr>
          <w:lang w:val="en-GB"/>
        </w:rPr>
        <w:t xml:space="preserve"> the strict context specific view of </w:t>
      </w:r>
      <w:r w:rsidR="00232187">
        <w:rPr>
          <w:lang w:val="en-GB"/>
        </w:rPr>
        <w:t>constructivism</w:t>
      </w:r>
      <w:r w:rsidR="00D67403">
        <w:rPr>
          <w:lang w:val="en-GB"/>
        </w:rPr>
        <w:t xml:space="preserve"> is not compatible with the aims of this study</w:t>
      </w:r>
      <w:r w:rsidR="00066C29" w:rsidRPr="003726FE">
        <w:rPr>
          <w:lang w:val="en-GB"/>
        </w:rPr>
        <w:t>.</w:t>
      </w:r>
    </w:p>
    <w:p w14:paraId="245C2F19" w14:textId="77777777" w:rsidR="007C77D5" w:rsidRPr="003726FE" w:rsidRDefault="007C77D5" w:rsidP="00026049">
      <w:pPr>
        <w:pStyle w:val="Normal1"/>
        <w:rPr>
          <w:lang w:val="en-GB"/>
        </w:rPr>
      </w:pPr>
    </w:p>
    <w:p w14:paraId="78867582" w14:textId="68073063" w:rsidR="00F35C06" w:rsidRPr="003726FE" w:rsidRDefault="001A2BBE" w:rsidP="00026049">
      <w:pPr>
        <w:pStyle w:val="Normal1"/>
        <w:rPr>
          <w:lang w:val="en-GB"/>
        </w:rPr>
      </w:pPr>
      <w:r w:rsidRPr="003726FE">
        <w:rPr>
          <w:lang w:val="en-GB"/>
        </w:rPr>
        <w:t>The most</w:t>
      </w:r>
      <w:r w:rsidR="001D6618" w:rsidRPr="003726FE">
        <w:rPr>
          <w:lang w:val="en-GB"/>
        </w:rPr>
        <w:t xml:space="preserve"> established model of SRL is </w:t>
      </w:r>
      <w:r w:rsidR="00F35C06" w:rsidRPr="003726FE">
        <w:rPr>
          <w:lang w:val="en-GB"/>
        </w:rPr>
        <w:t xml:space="preserve">from </w:t>
      </w:r>
      <w:r w:rsidR="004A06C2" w:rsidRPr="003726FE">
        <w:rPr>
          <w:lang w:val="en-GB"/>
        </w:rPr>
        <w:t xml:space="preserve">the social </w:t>
      </w:r>
      <w:r w:rsidR="001D6618" w:rsidRPr="003726FE">
        <w:rPr>
          <w:lang w:val="en-GB"/>
        </w:rPr>
        <w:t>cognit</w:t>
      </w:r>
      <w:r w:rsidR="00163BA1" w:rsidRPr="003726FE">
        <w:rPr>
          <w:lang w:val="en-GB"/>
        </w:rPr>
        <w:t>ive view</w:t>
      </w:r>
      <w:r w:rsidR="007A7EF3">
        <w:rPr>
          <w:lang w:val="en-GB"/>
        </w:rPr>
        <w:t>. F</w:t>
      </w:r>
      <w:r w:rsidR="00163BA1" w:rsidRPr="003726FE">
        <w:rPr>
          <w:lang w:val="en-GB"/>
        </w:rPr>
        <w:t>rom this perspective</w:t>
      </w:r>
      <w:r w:rsidR="007A7EF3">
        <w:rPr>
          <w:lang w:val="en-GB"/>
        </w:rPr>
        <w:t>,</w:t>
      </w:r>
      <w:r w:rsidR="001D6618" w:rsidRPr="003726FE">
        <w:rPr>
          <w:lang w:val="en-GB"/>
        </w:rPr>
        <w:t xml:space="preserve"> SRL is characterised as the collection of contextualised cognitive processes and actions an individual uses to achieve a particular goal </w:t>
      </w:r>
      <w:r w:rsidR="001D6618" w:rsidRPr="003726FE">
        <w:rPr>
          <w:lang w:val="en-GB"/>
        </w:rPr>
        <w:fldChar w:fldCharType="begin"/>
      </w:r>
      <w:r w:rsidR="008B61BE">
        <w:rPr>
          <w:lang w:val="en-GB"/>
        </w:rPr>
        <w:instrText xml:space="preserve"> ADDIN EN.CITE &lt;EndNote&gt;&lt;Cite&gt;&lt;Author&gt;Bandura&lt;/Author&gt;&lt;Year&gt;1986&lt;/Year&gt;&lt;RecNum&gt;6&lt;/RecNum&gt;&lt;DisplayText&gt;(Bandura 1986; Zimmerman 1989)&lt;/DisplayText&gt;&lt;record&gt;&lt;rec-number&gt;6&lt;/rec-number&gt;&lt;foreign-keys&gt;&lt;key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Hall&lt;/publisher&gt;&lt;urls&gt;&lt;/urls&gt;&lt;/record&gt;&lt;/Cite&gt;&lt;Cite&gt;&lt;Author&gt;Zimmerman&lt;/Author&gt;&lt;Year&gt;1989&lt;/Year&gt;&lt;RecNum&gt;275&lt;/RecNum&gt;&lt;record&gt;&lt;rec-number&gt;275&lt;/rec-number&gt;&lt;foreign-keys&gt;&lt;key app="EN" db-id="xa2r2ewea92trkef5dt5arvbzafvpv2za5ft" timestamp="1442161766"&gt;275&lt;/key&gt;&lt;/foreign-keys&gt;&lt;ref-type name="Journal Article"&gt;17&lt;/ref-type&gt;&lt;contributors&gt;&lt;authors&gt;&lt;author&gt;Zimmerman, Barry J.&lt;/author&gt;&lt;/authors&gt;&lt;/contributors&gt;&lt;titles&gt;&lt;title&gt;A social cognitive view of self-regulated academic learning&lt;/title&gt;&lt;secondary-title&gt;Journal of educational psychology&lt;/secondary-title&gt;&lt;/titles&gt;&lt;periodical&gt;&lt;full-title&gt;Journal of educational psychology&lt;/full-title&gt;&lt;/periodical&gt;&lt;pages&gt;329&lt;/pages&gt;&lt;volume&gt;81&lt;/volume&gt;&lt;number&gt;3&lt;/number&gt;&lt;dates&gt;&lt;year&gt;1989&lt;/year&gt;&lt;/dates&gt;&lt;publisher&gt;American Psychological Association&lt;/publisher&gt;&lt;urls&gt;&lt;/urls&gt;&lt;/record&gt;&lt;/Cite&gt;&lt;/EndNote&gt;</w:instrText>
      </w:r>
      <w:r w:rsidR="001D6618" w:rsidRPr="003726FE">
        <w:rPr>
          <w:lang w:val="en-GB"/>
        </w:rPr>
        <w:fldChar w:fldCharType="separate"/>
      </w:r>
      <w:r w:rsidR="004E5A78" w:rsidRPr="003726FE">
        <w:rPr>
          <w:noProof/>
          <w:lang w:val="en-GB"/>
        </w:rPr>
        <w:t>(</w:t>
      </w:r>
      <w:hyperlink w:anchor="_ENREF_14" w:tooltip="Bandura, 1986 #6" w:history="1">
        <w:r w:rsidR="0094469E" w:rsidRPr="003726FE">
          <w:rPr>
            <w:noProof/>
            <w:lang w:val="en-GB"/>
          </w:rPr>
          <w:t>Bandura 1986</w:t>
        </w:r>
      </w:hyperlink>
      <w:r w:rsidR="004E5A78" w:rsidRPr="003726FE">
        <w:rPr>
          <w:noProof/>
          <w:lang w:val="en-GB"/>
        </w:rPr>
        <w:t xml:space="preserve">; </w:t>
      </w:r>
      <w:hyperlink w:anchor="_ENREF_454" w:tooltip="Zimmerman, 1989 #275" w:history="1">
        <w:r w:rsidR="0094469E" w:rsidRPr="003726FE">
          <w:rPr>
            <w:noProof/>
            <w:lang w:val="en-GB"/>
          </w:rPr>
          <w:t>Zimmerman 1989</w:t>
        </w:r>
      </w:hyperlink>
      <w:r w:rsidR="004E5A78" w:rsidRPr="003726FE">
        <w:rPr>
          <w:noProof/>
          <w:lang w:val="en-GB"/>
        </w:rPr>
        <w:t>)</w:t>
      </w:r>
      <w:r w:rsidR="001D6618" w:rsidRPr="003726FE">
        <w:rPr>
          <w:lang w:val="en-GB"/>
        </w:rPr>
        <w:fldChar w:fldCharType="end"/>
      </w:r>
      <w:r w:rsidR="001D6618" w:rsidRPr="003726FE">
        <w:rPr>
          <w:lang w:val="en-GB"/>
        </w:rPr>
        <w:t xml:space="preserve">. </w:t>
      </w:r>
      <w:r w:rsidR="00061925" w:rsidRPr="003726FE">
        <w:rPr>
          <w:lang w:val="en-GB"/>
        </w:rPr>
        <w:t xml:space="preserve">It views </w:t>
      </w:r>
      <w:r w:rsidR="00741FA4" w:rsidRPr="003726FE">
        <w:rPr>
          <w:lang w:val="en-GB"/>
        </w:rPr>
        <w:t>SRL</w:t>
      </w:r>
      <w:r w:rsidR="00061925" w:rsidRPr="003726FE">
        <w:rPr>
          <w:lang w:val="en-GB"/>
        </w:rPr>
        <w:t xml:space="preserve"> as situate</w:t>
      </w:r>
      <w:r w:rsidR="00163BA1" w:rsidRPr="003726FE">
        <w:rPr>
          <w:lang w:val="en-GB"/>
        </w:rPr>
        <w:t>d in and across social contexts</w:t>
      </w:r>
      <w:r w:rsidR="00061925" w:rsidRPr="003726FE">
        <w:rPr>
          <w:lang w:val="en-GB"/>
        </w:rPr>
        <w:t xml:space="preserve"> influenced by personal, environmental, and behavioural factors in a developmental structure </w:t>
      </w:r>
      <w:r w:rsidR="00EF281A" w:rsidRPr="003726FE">
        <w:rPr>
          <w:lang w:val="en-GB"/>
        </w:rPr>
        <w:fldChar w:fldCharType="begin"/>
      </w:r>
      <w:r w:rsidR="008B61BE">
        <w:rPr>
          <w:lang w:val="en-GB"/>
        </w:rPr>
        <w:instrText xml:space="preserve"> ADDIN EN.CITE &lt;EndNote&gt;&lt;Cite&gt;&lt;Author&gt;Torre&lt;/Author&gt;&lt;Year&gt;2015&lt;/Year&gt;&lt;RecNum&gt;634&lt;/RecNum&gt;&lt;DisplayText&gt;(Torre and Durning 2015)&lt;/DisplayText&gt;&lt;record&gt;&lt;rec-number&gt;634&lt;/rec-number&gt;&lt;foreign-keys&gt;&lt;key app="EN" db-id="xa2r2ewea92trkef5dt5arvbzafvpv2za5ft" timestamp="1496417562"&gt;634&lt;/key&gt;&lt;/foreign-keys&gt;&lt;ref-type name="Journal Article"&gt;17&lt;/ref-type&gt;&lt;contributors&gt;&lt;authors&gt;&lt;author&gt;Torre, Dario&lt;/author&gt;&lt;author&gt;Durning, Steven J&lt;/author&gt;&lt;/authors&gt;&lt;/contributors&gt;&lt;titles&gt;&lt;title&gt;10 Social cognitive theory: thinking and learning in social settings&lt;/title&gt;&lt;secondary-title&gt;Researching Medical Education&lt;/secondary-title&gt;&lt;/titles&gt;&lt;periodical&gt;&lt;full-title&gt;Researching Medical Education&lt;/full-title&gt;&lt;/periodical&gt;&lt;pages&gt;105&lt;/pages&gt;&lt;dates&gt;&lt;year&gt;2015&lt;/year&gt;&lt;/dates&gt;&lt;isbn&gt;1118838998&lt;/isbn&gt;&lt;urls&gt;&lt;/urls&gt;&lt;/record&gt;&lt;/Cite&gt;&lt;/EndNote&gt;</w:instrText>
      </w:r>
      <w:r w:rsidR="00EF281A" w:rsidRPr="003726FE">
        <w:rPr>
          <w:lang w:val="en-GB"/>
        </w:rPr>
        <w:fldChar w:fldCharType="separate"/>
      </w:r>
      <w:r w:rsidR="004E5A78" w:rsidRPr="003726FE">
        <w:rPr>
          <w:noProof/>
          <w:lang w:val="en-GB"/>
        </w:rPr>
        <w:t>(</w:t>
      </w:r>
      <w:hyperlink w:anchor="_ENREF_405" w:tooltip="Torre, 2015 #634" w:history="1">
        <w:r w:rsidR="0094469E" w:rsidRPr="003726FE">
          <w:rPr>
            <w:noProof/>
            <w:lang w:val="en-GB"/>
          </w:rPr>
          <w:t>Torre and Durning 2015</w:t>
        </w:r>
      </w:hyperlink>
      <w:r w:rsidR="004E5A78" w:rsidRPr="003726FE">
        <w:rPr>
          <w:noProof/>
          <w:lang w:val="en-GB"/>
        </w:rPr>
        <w:t>)</w:t>
      </w:r>
      <w:r w:rsidR="00EF281A" w:rsidRPr="003726FE">
        <w:rPr>
          <w:lang w:val="en-GB"/>
        </w:rPr>
        <w:fldChar w:fldCharType="end"/>
      </w:r>
      <w:r w:rsidR="00061925" w:rsidRPr="003726FE">
        <w:rPr>
          <w:lang w:val="en-GB"/>
        </w:rPr>
        <w:t>.</w:t>
      </w:r>
      <w:r w:rsidR="00741FA4" w:rsidRPr="003726FE">
        <w:rPr>
          <w:lang w:val="en-GB"/>
        </w:rPr>
        <w:t xml:space="preserve"> This structure describes the learner moving from social influences on SRL where behaviour is modelled by observing others, to their independent performance of skills</w:t>
      </w:r>
      <w:r w:rsidR="00D67403">
        <w:rPr>
          <w:lang w:val="en-GB"/>
        </w:rPr>
        <w:t>,</w:t>
      </w:r>
      <w:r w:rsidR="00741FA4" w:rsidRPr="003726FE">
        <w:rPr>
          <w:lang w:val="en-GB"/>
        </w:rPr>
        <w:t xml:space="preserve"> and eventually to their modification and mastery of </w:t>
      </w:r>
      <w:r w:rsidR="00163BA1" w:rsidRPr="003726FE">
        <w:rPr>
          <w:lang w:val="en-GB"/>
        </w:rPr>
        <w:t>their behaviours</w:t>
      </w:r>
      <w:r w:rsidR="00741FA4" w:rsidRPr="003726FE">
        <w:rPr>
          <w:lang w:val="en-GB"/>
        </w:rPr>
        <w:t xml:space="preserve"> using SRL strategies </w:t>
      </w:r>
      <w:r w:rsidR="00EF281A" w:rsidRPr="003726FE">
        <w:rPr>
          <w:lang w:val="en-GB"/>
        </w:rPr>
        <w:fldChar w:fldCharType="begin"/>
      </w:r>
      <w:r w:rsidR="008B61BE">
        <w:rPr>
          <w:lang w:val="en-GB"/>
        </w:rPr>
        <w:instrText xml:space="preserve"> ADDIN EN.CITE &lt;EndNote&gt;&lt;Cite&gt;&lt;Author&gt;Schunk&lt;/Author&gt;&lt;Year&gt;2001&lt;/Year&gt;&lt;RecNum&gt;635&lt;/RecNum&gt;&lt;DisplayText&gt;(Schunk 2001)&lt;/DisplayText&gt;&lt;record&gt;&lt;rec-number&gt;635&lt;/rec-number&gt;&lt;foreign-keys&gt;&lt;key app="EN" db-id="xa2r2ewea92trkef5dt5arvbzafvpv2za5ft" timestamp="1496417562"&gt;635&lt;/key&gt;&lt;/foreign-keys&gt;&lt;ref-type name="Generic"&gt;13&lt;/ref-type&gt;&lt;contributors&gt;&lt;authors&gt;&lt;author&gt;Schunk, D&lt;/author&gt;&lt;/authors&gt;&lt;/contributors&gt;&lt;titles&gt;&lt;title&gt;Social cognitive theory and self regulated learning in Zimmerman, J. and Schunk, D.(Eds) Self regulated learning and academic achievement: theoretical perspectives (pp. 125-151)&lt;/title&gt;&lt;/titles&gt;&lt;dates&gt;&lt;year&gt;2001&lt;/year&gt;&lt;/dates&gt;&lt;publisher&gt;Mahwah: Lawrence Erlbaum Associates&lt;/publisher&gt;&lt;urls&gt;&lt;/urls&gt;&lt;/record&gt;&lt;/Cite&gt;&lt;/EndNote&gt;</w:instrText>
      </w:r>
      <w:r w:rsidR="00EF281A" w:rsidRPr="003726FE">
        <w:rPr>
          <w:lang w:val="en-GB"/>
        </w:rPr>
        <w:fldChar w:fldCharType="separate"/>
      </w:r>
      <w:r w:rsidR="004E5A78" w:rsidRPr="003726FE">
        <w:rPr>
          <w:noProof/>
          <w:lang w:val="en-GB"/>
        </w:rPr>
        <w:t>(</w:t>
      </w:r>
      <w:hyperlink w:anchor="_ENREF_366" w:tooltip="Schunk, 2001 #635" w:history="1">
        <w:r w:rsidR="0094469E" w:rsidRPr="003726FE">
          <w:rPr>
            <w:noProof/>
            <w:lang w:val="en-GB"/>
          </w:rPr>
          <w:t>Schunk 2001</w:t>
        </w:r>
      </w:hyperlink>
      <w:r w:rsidR="004E5A78" w:rsidRPr="003726FE">
        <w:rPr>
          <w:noProof/>
          <w:lang w:val="en-GB"/>
        </w:rPr>
        <w:t>)</w:t>
      </w:r>
      <w:r w:rsidR="00EF281A" w:rsidRPr="003726FE">
        <w:rPr>
          <w:lang w:val="en-GB"/>
        </w:rPr>
        <w:fldChar w:fldCharType="end"/>
      </w:r>
      <w:r w:rsidR="00741FA4" w:rsidRPr="003726FE">
        <w:rPr>
          <w:lang w:val="en-GB"/>
        </w:rPr>
        <w:t xml:space="preserve">. </w:t>
      </w:r>
    </w:p>
    <w:p w14:paraId="79BCF2AB" w14:textId="77777777" w:rsidR="00F35C06" w:rsidRPr="003726FE" w:rsidRDefault="00F35C06" w:rsidP="00026049">
      <w:pPr>
        <w:pStyle w:val="Normal1"/>
        <w:rPr>
          <w:lang w:val="en-GB"/>
        </w:rPr>
      </w:pPr>
    </w:p>
    <w:p w14:paraId="39C2DCC5" w14:textId="539BBA23" w:rsidR="001D6618" w:rsidRPr="003726FE" w:rsidRDefault="00163BA1" w:rsidP="00026049">
      <w:pPr>
        <w:pStyle w:val="Normal1"/>
        <w:rPr>
          <w:lang w:val="en-GB"/>
        </w:rPr>
      </w:pPr>
      <w:r w:rsidRPr="003726FE">
        <w:rPr>
          <w:lang w:val="en-GB"/>
        </w:rPr>
        <w:t xml:space="preserve">From the social </w:t>
      </w:r>
      <w:r w:rsidR="00D531CD" w:rsidRPr="003726FE">
        <w:rPr>
          <w:lang w:val="en-GB"/>
        </w:rPr>
        <w:t>cognitive</w:t>
      </w:r>
      <w:r w:rsidRPr="003726FE">
        <w:rPr>
          <w:lang w:val="en-GB"/>
        </w:rPr>
        <w:t xml:space="preserve"> </w:t>
      </w:r>
      <w:r w:rsidR="00D531CD" w:rsidRPr="003726FE">
        <w:rPr>
          <w:lang w:val="en-GB"/>
        </w:rPr>
        <w:t>perspective</w:t>
      </w:r>
      <w:r w:rsidR="001D6618" w:rsidRPr="003726FE">
        <w:rPr>
          <w:lang w:val="en-GB"/>
        </w:rPr>
        <w:t xml:space="preserve">, SRL is viewed as a contextualised skill which can be developed in </w:t>
      </w:r>
      <w:r w:rsidRPr="003726FE">
        <w:rPr>
          <w:lang w:val="en-GB"/>
        </w:rPr>
        <w:t>any</w:t>
      </w:r>
      <w:r w:rsidR="00D67403">
        <w:rPr>
          <w:lang w:val="en-GB"/>
        </w:rPr>
        <w:t xml:space="preserve"> individual</w:t>
      </w:r>
      <w:r w:rsidR="001D6618" w:rsidRPr="003726FE">
        <w:rPr>
          <w:lang w:val="en-GB"/>
        </w:rPr>
        <w:t xml:space="preserve"> over time with structured </w:t>
      </w:r>
      <w:r w:rsidRPr="003726FE">
        <w:rPr>
          <w:lang w:val="en-GB"/>
        </w:rPr>
        <w:t>support</w:t>
      </w:r>
      <w:r w:rsidR="001D6618" w:rsidRPr="003726FE">
        <w:rPr>
          <w:lang w:val="en-GB"/>
        </w:rPr>
        <w:t xml:space="preserve"> and practice </w:t>
      </w:r>
      <w:r w:rsidR="00EF281A" w:rsidRPr="003726FE">
        <w:rPr>
          <w:lang w:val="en-GB"/>
        </w:rPr>
        <w:fldChar w:fldCharType="begin"/>
      </w:r>
      <w:r w:rsidR="008B61BE">
        <w:rPr>
          <w:lang w:val="en-GB"/>
        </w:rPr>
        <w:instrText xml:space="preserve"> ADDIN EN.CITE &lt;EndNote&gt;&lt;Cite&gt;&lt;Author&gt;Graham&lt;/Author&gt;&lt;Year&gt;2009&lt;/Year&gt;&lt;RecNum&gt;594&lt;/RecNum&gt;&lt;DisplayText&gt;(Graham and Harris 2009)&lt;/DisplayText&gt;&lt;record&gt;&lt;rec-number&gt;594&lt;/rec-number&gt;&lt;foreign-keys&gt;&lt;key app="EN" db-id="xa2r2ewea92trkef5dt5arvbzafvpv2za5ft" timestamp="1496417558"&gt;594&lt;/key&gt;&lt;/foreign-keys&gt;&lt;ref-type name="Journal Article"&gt;17&lt;/ref-type&gt;&lt;contributors&gt;&lt;authors&gt;&lt;author&gt;Graham, Steve&lt;/author&gt;&lt;author&gt;Harris, Karen R&lt;/author&gt;&lt;/authors&gt;&lt;/contributors&gt;&lt;titles&gt;&lt;title&gt;Almost 30 years of writing research: Making sense of it all with The Wrath of Khan&lt;/title&gt;&lt;secondary-title&gt;Learning Disabilities Research &amp;amp; Practice&lt;/secondary-title&gt;&lt;/titles&gt;&lt;periodical&gt;&lt;full-title&gt;Learning Disabilities Research &amp;amp; Practice&lt;/full-title&gt;&lt;/periodical&gt;&lt;pages&gt;58-68&lt;/pages&gt;&lt;volume&gt;24&lt;/volume&gt;&lt;number&gt;2&lt;/number&gt;&lt;dates&gt;&lt;year&gt;2009&lt;/year&gt;&lt;/dates&gt;&lt;isbn&gt;1540-5826&lt;/isbn&gt;&lt;urls&gt;&lt;/urls&gt;&lt;/record&gt;&lt;/Cite&gt;&lt;/EndNote&gt;</w:instrText>
      </w:r>
      <w:r w:rsidR="00EF281A" w:rsidRPr="003726FE">
        <w:rPr>
          <w:lang w:val="en-GB"/>
        </w:rPr>
        <w:fldChar w:fldCharType="separate"/>
      </w:r>
      <w:r w:rsidR="004E5A78" w:rsidRPr="003726FE">
        <w:rPr>
          <w:noProof/>
          <w:lang w:val="en-GB"/>
        </w:rPr>
        <w:t>(</w:t>
      </w:r>
      <w:hyperlink w:anchor="_ENREF_165" w:tooltip="Graham, 2009 #594" w:history="1">
        <w:r w:rsidR="0094469E" w:rsidRPr="003726FE">
          <w:rPr>
            <w:noProof/>
            <w:lang w:val="en-GB"/>
          </w:rPr>
          <w:t>Graham and Harris 2009</w:t>
        </w:r>
      </w:hyperlink>
      <w:r w:rsidR="004E5A78" w:rsidRPr="003726FE">
        <w:rPr>
          <w:noProof/>
          <w:lang w:val="en-GB"/>
        </w:rPr>
        <w:t>)</w:t>
      </w:r>
      <w:r w:rsidR="00EF281A" w:rsidRPr="003726FE">
        <w:rPr>
          <w:lang w:val="en-GB"/>
        </w:rPr>
        <w:fldChar w:fldCharType="end"/>
      </w:r>
      <w:r w:rsidR="001D6618" w:rsidRPr="003726FE">
        <w:rPr>
          <w:lang w:val="en-GB"/>
        </w:rPr>
        <w:t xml:space="preserve">. There is evidence </w:t>
      </w:r>
      <w:r w:rsidR="00D67403">
        <w:rPr>
          <w:lang w:val="en-GB"/>
        </w:rPr>
        <w:t>that</w:t>
      </w:r>
      <w:r w:rsidR="001D6618" w:rsidRPr="003726FE">
        <w:rPr>
          <w:lang w:val="en-GB"/>
        </w:rPr>
        <w:t xml:space="preserve"> </w:t>
      </w:r>
      <w:r w:rsidR="00F35C06" w:rsidRPr="003726FE">
        <w:rPr>
          <w:lang w:val="en-GB"/>
        </w:rPr>
        <w:t>supports this view, suggesting</w:t>
      </w:r>
      <w:r w:rsidR="001D6618" w:rsidRPr="003726FE">
        <w:rPr>
          <w:lang w:val="en-GB"/>
        </w:rPr>
        <w:t xml:space="preserve"> that SRL behaviours vary over contexts in response to comparable tasks </w:t>
      </w:r>
      <w:r w:rsidR="00EF281A" w:rsidRPr="003726FE">
        <w:rPr>
          <w:lang w:val="en-GB"/>
        </w:rPr>
        <w:fldChar w:fldCharType="begin"/>
      </w:r>
      <w:r w:rsidR="008B61BE">
        <w:rPr>
          <w:lang w:val="en-GB"/>
        </w:rPr>
        <w:instrText xml:space="preserve"> ADDIN EN.CITE &lt;EndNote&gt;&lt;Cite&gt;&lt;Author&gt;Hadwin&lt;/Author&gt;&lt;Year&gt;2001&lt;/Year&gt;&lt;RecNum&gt;599&lt;/RecNum&gt;&lt;DisplayText&gt;(Hadwin et al. 2001)&lt;/DisplayText&gt;&lt;record&gt;&lt;rec-number&gt;599&lt;/rec-number&gt;&lt;foreign-keys&gt;&lt;key app="EN" db-id="xa2r2ewea92trkef5dt5arvbzafvpv2za5ft" timestamp="1496417558"&gt;599&lt;/key&gt;&lt;/foreign-keys&gt;&lt;ref-type name="Journal Article"&gt;17&lt;/ref-type&gt;&lt;contributors&gt;&lt;authors&gt;&lt;author&gt;Hadwin, Allyson Fiona&lt;/author&gt;&lt;author&gt;Winne, Philip H&lt;/author&gt;&lt;author&gt;Stockley, Denise B&lt;/author&gt;&lt;author&gt;Nesbit, John C&lt;/author&gt;&lt;author&gt;Woszczyna, Carolyn&lt;/author&gt;&lt;/authors&gt;&lt;/contributors&gt;&lt;titles&gt;&lt;title&gt;Context moderates students&amp;apos; self-reports about how they study&lt;/title&gt;&lt;secondary-title&gt;Journal of educational psychology&lt;/secondary-title&gt;&lt;/titles&gt;&lt;periodical&gt;&lt;full-title&gt;Journal of educational psychology&lt;/full-title&gt;&lt;/periodical&gt;&lt;pages&gt;477&lt;/pages&gt;&lt;volume&gt;93&lt;/volume&gt;&lt;number&gt;3&lt;/number&gt;&lt;dates&gt;&lt;year&gt;2001&lt;/year&gt;&lt;/dates&gt;&lt;isbn&gt;1939-2176&lt;/isbn&gt;&lt;urls&gt;&lt;/urls&gt;&lt;/record&gt;&lt;/Cite&gt;&lt;/EndNote&gt;</w:instrText>
      </w:r>
      <w:r w:rsidR="00EF281A" w:rsidRPr="003726FE">
        <w:rPr>
          <w:lang w:val="en-GB"/>
        </w:rPr>
        <w:fldChar w:fldCharType="separate"/>
      </w:r>
      <w:r w:rsidR="004E5A78" w:rsidRPr="003726FE">
        <w:rPr>
          <w:noProof/>
          <w:lang w:val="en-GB"/>
        </w:rPr>
        <w:t>(</w:t>
      </w:r>
      <w:hyperlink w:anchor="_ENREF_178" w:tooltip="Hadwin, 2001 #599" w:history="1">
        <w:r w:rsidR="0094469E" w:rsidRPr="003726FE">
          <w:rPr>
            <w:noProof/>
            <w:lang w:val="en-GB"/>
          </w:rPr>
          <w:t xml:space="preserve">Hadwin et al. </w:t>
        </w:r>
        <w:r w:rsidR="0094469E" w:rsidRPr="003726FE">
          <w:rPr>
            <w:noProof/>
            <w:lang w:val="en-GB"/>
          </w:rPr>
          <w:lastRenderedPageBreak/>
          <w:t>2001</w:t>
        </w:r>
      </w:hyperlink>
      <w:r w:rsidR="004E5A78" w:rsidRPr="003726FE">
        <w:rPr>
          <w:noProof/>
          <w:lang w:val="en-GB"/>
        </w:rPr>
        <w:t>)</w:t>
      </w:r>
      <w:r w:rsidR="00EF281A" w:rsidRPr="003726FE">
        <w:rPr>
          <w:lang w:val="en-GB"/>
        </w:rPr>
        <w:fldChar w:fldCharType="end"/>
      </w:r>
      <w:r w:rsidR="001D6618" w:rsidRPr="003726FE">
        <w:rPr>
          <w:lang w:val="en-GB"/>
        </w:rPr>
        <w:t xml:space="preserve">, reflecting the complex contexts in which medical and clinical education occurs </w:t>
      </w:r>
      <w:r w:rsidR="00EF281A" w:rsidRPr="003726FE">
        <w:rPr>
          <w:lang w:val="en-GB"/>
        </w:rPr>
        <w:fldChar w:fldCharType="begin"/>
      </w:r>
      <w:r w:rsidR="008B61BE">
        <w:rPr>
          <w:lang w:val="en-GB"/>
        </w:rPr>
        <w:instrText xml:space="preserve"> ADDIN EN.CITE &lt;EndNote&gt;&lt;Cite&gt;&lt;Author&gt;Bleakley&lt;/Author&gt;&lt;Year&gt;2011&lt;/Year&gt;&lt;RecNum&gt;14&lt;/RecNum&gt;&lt;DisplayText&gt;(Bleakley et al. 2011)&lt;/DisplayText&gt;&lt;record&gt;&lt;rec-number&gt;14&lt;/rec-number&gt;&lt;foreign-keys&gt;&lt;key app="EN" db-id="xa2r2ewea92trkef5dt5arvbzafvpv2za5ft" timestamp="1442161763"&gt;14&lt;/key&gt;&lt;/foreign-keys&gt;&lt;ref-type name="Book"&gt;6&lt;/ref-type&gt;&lt;contributors&gt;&lt;authors&gt;&lt;author&gt;Bleakley, Alan&lt;/author&gt;&lt;author&gt;Bligh, John&lt;/author&gt;&lt;author&gt;Browne, Julie&lt;/author&gt;&lt;/authors&gt;&lt;/contributors&gt;&lt;titles&gt;&lt;title&gt;Medical education for the future: Identity, power and location&lt;/title&gt;&lt;/titles&gt;&lt;number&gt;Book, Whole&lt;/number&gt;&lt;dates&gt;&lt;year&gt;2011&lt;/year&gt;&lt;/dates&gt;&lt;pub-location&gt;New York&lt;/pub-location&gt;&lt;publisher&gt;Springer&lt;/publisher&gt;&lt;urls&gt;&lt;/urls&gt;&lt;/record&gt;&lt;/Cite&gt;&lt;/EndNote&gt;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36" w:tooltip="Bleakley, 2011 #14" w:history="1">
        <w:r w:rsidR="0094469E" w:rsidRPr="003726FE">
          <w:rPr>
            <w:noProof/>
            <w:lang w:val="en-GB"/>
          </w:rPr>
          <w:t>Bleakley et al. 2011</w:t>
        </w:r>
      </w:hyperlink>
      <w:r w:rsidR="004E5A78" w:rsidRPr="003726FE">
        <w:rPr>
          <w:noProof/>
          <w:lang w:val="en-GB"/>
        </w:rPr>
        <w:t>)</w:t>
      </w:r>
      <w:r w:rsidR="00EF281A" w:rsidRPr="003726FE">
        <w:rPr>
          <w:lang w:val="en-GB"/>
        </w:rPr>
        <w:fldChar w:fldCharType="end"/>
      </w:r>
      <w:r w:rsidR="001D6618" w:rsidRPr="003726FE">
        <w:rPr>
          <w:lang w:val="en-GB"/>
        </w:rPr>
        <w:t>.</w:t>
      </w:r>
      <w:r w:rsidR="00F35C06" w:rsidRPr="003726FE">
        <w:rPr>
          <w:lang w:val="en-GB"/>
        </w:rPr>
        <w:t xml:space="preserve"> </w:t>
      </w:r>
      <w:r w:rsidR="001D6618" w:rsidRPr="003726FE">
        <w:rPr>
          <w:lang w:val="en-GB"/>
        </w:rPr>
        <w:t xml:space="preserve">Contextual factors affecting students’ SRL behaviours and performances can be better understood using this SRL theoretical lens, as opposed to focusing on deficit models of </w:t>
      </w:r>
      <w:r w:rsidR="00F35C06" w:rsidRPr="003726FE">
        <w:rPr>
          <w:lang w:val="en-GB"/>
        </w:rPr>
        <w:t>academic learning</w:t>
      </w:r>
      <w:r w:rsidR="001D6618" w:rsidRPr="003726FE">
        <w:rPr>
          <w:lang w:val="en-GB"/>
        </w:rPr>
        <w:t xml:space="preserve"> which elimina</w:t>
      </w:r>
      <w:r w:rsidR="004A06C2" w:rsidRPr="003726FE">
        <w:rPr>
          <w:lang w:val="en-GB"/>
        </w:rPr>
        <w:t xml:space="preserve">te the impact of important social </w:t>
      </w:r>
      <w:r w:rsidR="001D6618" w:rsidRPr="003726FE">
        <w:rPr>
          <w:lang w:val="en-GB"/>
        </w:rPr>
        <w:t xml:space="preserve">cognitive factors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1D6618" w:rsidRPr="003726FE">
        <w:rPr>
          <w:lang w:val="en-GB"/>
        </w:rPr>
        <w:t>.</w:t>
      </w:r>
    </w:p>
    <w:p w14:paraId="32BAD937" w14:textId="77777777" w:rsidR="00C808DD" w:rsidRPr="003726FE" w:rsidRDefault="00C808DD" w:rsidP="00026049">
      <w:pPr>
        <w:pStyle w:val="Normal1"/>
        <w:rPr>
          <w:lang w:val="en-GB"/>
        </w:rPr>
      </w:pPr>
    </w:p>
    <w:p w14:paraId="452BE46D" w14:textId="2AC3B7D4" w:rsidR="00C808DD" w:rsidRPr="003726FE" w:rsidRDefault="004A06C2" w:rsidP="00026049">
      <w:pPr>
        <w:pStyle w:val="Normal1"/>
        <w:rPr>
          <w:lang w:val="en-GB"/>
        </w:rPr>
      </w:pPr>
      <w:r w:rsidRPr="003726FE">
        <w:rPr>
          <w:lang w:val="en-GB"/>
        </w:rPr>
        <w:t xml:space="preserve">This study adopts the social </w:t>
      </w:r>
      <w:r w:rsidR="00C808DD" w:rsidRPr="003726FE">
        <w:rPr>
          <w:lang w:val="en-GB"/>
        </w:rPr>
        <w:t xml:space="preserve">cognitive view of SRL because of the importance it affords to the influence of social and contextual factors whilst also considering </w:t>
      </w:r>
      <w:r w:rsidR="00BF2833" w:rsidRPr="003726FE">
        <w:rPr>
          <w:lang w:val="en-GB"/>
        </w:rPr>
        <w:t>cognitive</w:t>
      </w:r>
      <w:r w:rsidR="00C808DD" w:rsidRPr="003726FE">
        <w:rPr>
          <w:lang w:val="en-GB"/>
        </w:rPr>
        <w:t xml:space="preserve"> factors </w:t>
      </w:r>
      <w:r w:rsidR="007A7EF3">
        <w:rPr>
          <w:lang w:val="en-GB"/>
        </w:rPr>
        <w:t>that</w:t>
      </w:r>
      <w:r w:rsidR="00C808DD" w:rsidRPr="003726FE">
        <w:rPr>
          <w:lang w:val="en-GB"/>
        </w:rPr>
        <w:t xml:space="preserve"> are inextricably linked to the </w:t>
      </w:r>
      <w:r w:rsidR="00732DEC" w:rsidRPr="003726FE">
        <w:rPr>
          <w:lang w:val="en-GB"/>
        </w:rPr>
        <w:t xml:space="preserve">individual and </w:t>
      </w:r>
      <w:r w:rsidR="00C808DD" w:rsidRPr="003726FE">
        <w:rPr>
          <w:lang w:val="en-GB"/>
        </w:rPr>
        <w:t xml:space="preserve">environment. This model is the most widely studied in medical education and provides the foundation of the cyclical nature of SRL used in this study, </w:t>
      </w:r>
      <w:r w:rsidR="00781214" w:rsidRPr="003726FE">
        <w:rPr>
          <w:lang w:val="en-GB"/>
        </w:rPr>
        <w:t xml:space="preserve">and </w:t>
      </w:r>
      <w:r w:rsidR="00C808DD" w:rsidRPr="003726FE">
        <w:rPr>
          <w:lang w:val="en-GB"/>
        </w:rPr>
        <w:t xml:space="preserve">leading directly to the use of SRL microanalysis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C808DD" w:rsidRPr="003726FE">
        <w:rPr>
          <w:lang w:val="en-GB"/>
        </w:rPr>
        <w:t>.</w:t>
      </w:r>
    </w:p>
    <w:p w14:paraId="3B1E7FC4" w14:textId="77777777" w:rsidR="00741FA4" w:rsidRPr="003726FE" w:rsidRDefault="00741FA4" w:rsidP="00026049">
      <w:pPr>
        <w:pStyle w:val="Normal1"/>
        <w:rPr>
          <w:lang w:val="en-GB"/>
        </w:rPr>
      </w:pPr>
    </w:p>
    <w:p w14:paraId="1E61A251" w14:textId="5B34CFEF" w:rsidR="001D6618" w:rsidRPr="003726FE" w:rsidRDefault="00797155" w:rsidP="00BA4521">
      <w:pPr>
        <w:pStyle w:val="Heading3"/>
      </w:pPr>
      <w:bookmarkStart w:id="125" w:name="_Toc500319317"/>
      <w:r w:rsidRPr="003726FE">
        <w:t>A1.2.2 Models of SRL</w:t>
      </w:r>
      <w:bookmarkEnd w:id="125"/>
    </w:p>
    <w:p w14:paraId="45647A0D" w14:textId="77777777" w:rsidR="00797155" w:rsidRPr="003726FE" w:rsidRDefault="00797155" w:rsidP="00026049">
      <w:pPr>
        <w:pStyle w:val="Normal1"/>
        <w:rPr>
          <w:lang w:val="en-GB"/>
        </w:rPr>
      </w:pPr>
    </w:p>
    <w:p w14:paraId="2DC3C825" w14:textId="6F8FEA71" w:rsidR="00797155" w:rsidRPr="003726FE" w:rsidRDefault="004C0DFA" w:rsidP="00026049">
      <w:pPr>
        <w:pStyle w:val="Normal1"/>
        <w:rPr>
          <w:lang w:val="en-GB"/>
        </w:rPr>
      </w:pPr>
      <w:r w:rsidRPr="003726FE">
        <w:rPr>
          <w:lang w:val="en-GB"/>
        </w:rPr>
        <w:t>Two</w:t>
      </w:r>
      <w:r w:rsidR="00EE01D0" w:rsidRPr="003726FE">
        <w:rPr>
          <w:lang w:val="en-GB"/>
        </w:rPr>
        <w:t xml:space="preserve"> key</w:t>
      </w:r>
      <w:r w:rsidRPr="003726FE">
        <w:rPr>
          <w:lang w:val="en-GB"/>
        </w:rPr>
        <w:t xml:space="preserve"> reviews of SRL theoretical models have been conducted in the last</w:t>
      </w:r>
      <w:r w:rsidR="00EE01D0" w:rsidRPr="003726FE">
        <w:rPr>
          <w:lang w:val="en-GB"/>
        </w:rPr>
        <w:t xml:space="preserve"> two decades </w:t>
      </w:r>
      <w:r w:rsidR="007A7EF3">
        <w:rPr>
          <w:lang w:val="en-GB"/>
        </w:rPr>
        <w:t>that</w:t>
      </w:r>
      <w:r w:rsidR="00EE01D0" w:rsidRPr="003726FE">
        <w:rPr>
          <w:lang w:val="en-GB"/>
        </w:rPr>
        <w:t xml:space="preserve"> have identified</w:t>
      </w:r>
      <w:r w:rsidRPr="003726FE">
        <w:rPr>
          <w:lang w:val="en-GB"/>
        </w:rPr>
        <w:t xml:space="preserve"> and critique</w:t>
      </w:r>
      <w:r w:rsidR="00EE01D0" w:rsidRPr="003726FE">
        <w:rPr>
          <w:lang w:val="en-GB"/>
        </w:rPr>
        <w:t>d</w:t>
      </w:r>
      <w:r w:rsidRPr="003726FE">
        <w:rPr>
          <w:lang w:val="en-GB"/>
        </w:rPr>
        <w:t xml:space="preserve"> the prevailing models</w:t>
      </w:r>
      <w:r w:rsidR="00EE01D0" w:rsidRPr="003726FE">
        <w:rPr>
          <w:lang w:val="en-GB"/>
        </w:rPr>
        <w:t xml:space="preserve"> used in the literature, indicating that there is no </w:t>
      </w:r>
      <w:r w:rsidR="007A7EF3">
        <w:rPr>
          <w:lang w:val="en-GB"/>
        </w:rPr>
        <w:t>universal</w:t>
      </w:r>
      <w:r w:rsidR="00EE01D0" w:rsidRPr="003726FE">
        <w:rPr>
          <w:lang w:val="en-GB"/>
        </w:rPr>
        <w:t xml:space="preserve"> model </w:t>
      </w:r>
      <w:r w:rsidR="00006A8F" w:rsidRPr="003726FE">
        <w:rPr>
          <w:lang w:val="en-GB"/>
        </w:rPr>
        <w:t xml:space="preserve">used </w:t>
      </w:r>
      <w:r w:rsidR="00EE01D0" w:rsidRPr="003726FE">
        <w:rPr>
          <w:lang w:val="en-GB"/>
        </w:rPr>
        <w:t xml:space="preserve">across research disciplines </w:t>
      </w:r>
      <w:r w:rsidR="00EE01D0" w:rsidRPr="003726FE">
        <w:rPr>
          <w:lang w:val="en-GB"/>
        </w:rPr>
        <w:fldChar w:fldCharType="begin"/>
      </w:r>
      <w:r w:rsidR="008B61BE">
        <w:rPr>
          <w:lang w:val="en-GB"/>
        </w:rPr>
        <w:instrText xml:space="preserve"> ADDIN EN.CITE &lt;EndNote&gt;&lt;Cite&gt;&lt;Author&gt;Puustinen&lt;/Author&gt;&lt;Year&gt;2001&lt;/Year&gt;&lt;RecNum&gt;636&lt;/RecNum&gt;&lt;DisplayText&gt;(Puustinen and Pulkkinen 2001; Panadero 2017)&lt;/DisplayText&gt;&lt;record&gt;&lt;rec-number&gt;636&lt;/rec-number&gt;&lt;foreign-keys&gt;&lt;key app="EN" db-id="xa2r2ewea92trkef5dt5arvbzafvpv2za5ft" timestamp="1496417562"&gt;636&lt;/key&gt;&lt;/foreign-keys&gt;&lt;ref-type name="Journal Article"&gt;17&lt;/ref-type&gt;&lt;contributors&gt;&lt;authors&gt;&lt;author&gt;Puustinen, Minna&lt;/author&gt;&lt;author&gt;Pulkkinen, Lea&lt;/author&gt;&lt;/authors&gt;&lt;/contributors&gt;&lt;titles&gt;&lt;title&gt;Models of self-regulated learning: A review&lt;/title&gt;&lt;secondary-title&gt;Scandinavian Journal of Educational Research&lt;/secondary-title&gt;&lt;/titles&gt;&lt;periodical&gt;&lt;full-title&gt;Scandinavian Journal of Educational Research&lt;/full-title&gt;&lt;/periodical&gt;&lt;pages&gt;269-286&lt;/pages&gt;&lt;volume&gt;45&lt;/volume&gt;&lt;number&gt;3&lt;/number&gt;&lt;dates&gt;&lt;year&gt;2001&lt;/year&gt;&lt;/dates&gt;&lt;isbn&gt;0031-3831&lt;/isbn&gt;&lt;urls&gt;&lt;/urls&gt;&lt;/record&gt;&lt;/Cite&gt;&lt;Cite&gt;&lt;Author&gt;Panadero&lt;/Author&gt;&lt;Year&gt;2017&lt;/Year&gt;&lt;RecNum&gt;620&lt;/RecNum&gt;&lt;record&gt;&lt;rec-number&gt;620&lt;/rec-number&gt;&lt;foreign-keys&gt;&lt;key app="EN" db-id="xa2r2ewea92trkef5dt5arvbzafvpv2za5ft" timestamp="1496417560"&gt;620&lt;/key&gt;&lt;/foreign-keys&gt;&lt;ref-type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Psychology&lt;/secondary-title&gt;&lt;/titles&gt;&lt;periodical&gt;&lt;full-title&gt;Frontiers in Psychology&lt;/full-title&gt;&lt;/periodical&gt;&lt;pages&gt;1-28&lt;/pages&gt;&lt;volume&gt;8&lt;/volume&gt;&lt;number&gt;422&lt;/number&gt;&lt;section&gt;1&lt;/section&gt;&lt;dates&gt;&lt;year&gt;2017&lt;/year&gt;&lt;/dates&gt;&lt;urls&gt;&lt;/urls&gt;&lt;electronic-resource-num&gt;10.3389/fpsyg.2017.00422&lt;/electronic-resource-num&gt;&lt;/record&gt;&lt;/Cite&gt;&lt;/EndNote&gt;</w:instrText>
      </w:r>
      <w:r w:rsidR="00EE01D0" w:rsidRPr="003726FE">
        <w:rPr>
          <w:lang w:val="en-GB"/>
        </w:rPr>
        <w:fldChar w:fldCharType="separate"/>
      </w:r>
      <w:r w:rsidR="004E5A78" w:rsidRPr="003726FE">
        <w:rPr>
          <w:noProof/>
          <w:lang w:val="en-GB"/>
        </w:rPr>
        <w:t>(</w:t>
      </w:r>
      <w:hyperlink w:anchor="_ENREF_337" w:tooltip="Puustinen, 2001 #636" w:history="1">
        <w:r w:rsidR="0094469E" w:rsidRPr="003726FE">
          <w:rPr>
            <w:noProof/>
            <w:lang w:val="en-GB"/>
          </w:rPr>
          <w:t>Puustinen and Pulkkinen 2001</w:t>
        </w:r>
      </w:hyperlink>
      <w:r w:rsidR="004E5A78" w:rsidRPr="003726FE">
        <w:rPr>
          <w:noProof/>
          <w:lang w:val="en-GB"/>
        </w:rPr>
        <w:t xml:space="preserve">; </w:t>
      </w:r>
      <w:hyperlink w:anchor="_ENREF_314" w:tooltip="Panadero, 2017 #620" w:history="1">
        <w:r w:rsidR="0094469E" w:rsidRPr="003726FE">
          <w:rPr>
            <w:noProof/>
            <w:lang w:val="en-GB"/>
          </w:rPr>
          <w:t>Panadero 2017</w:t>
        </w:r>
      </w:hyperlink>
      <w:r w:rsidR="004E5A78" w:rsidRPr="003726FE">
        <w:rPr>
          <w:noProof/>
          <w:lang w:val="en-GB"/>
        </w:rPr>
        <w:t>)</w:t>
      </w:r>
      <w:r w:rsidR="00EE01D0" w:rsidRPr="003726FE">
        <w:rPr>
          <w:lang w:val="en-GB"/>
        </w:rPr>
        <w:fldChar w:fldCharType="end"/>
      </w:r>
      <w:r w:rsidR="00D45845">
        <w:rPr>
          <w:lang w:val="en-GB"/>
        </w:rPr>
        <w:t>.</w:t>
      </w:r>
      <w:r w:rsidR="00EE01D0" w:rsidRPr="003726FE">
        <w:rPr>
          <w:lang w:val="en-GB"/>
        </w:rPr>
        <w:t xml:space="preserve"> </w:t>
      </w:r>
      <w:r w:rsidR="00D45845">
        <w:rPr>
          <w:lang w:val="en-GB"/>
        </w:rPr>
        <w:t>Thus</w:t>
      </w:r>
      <w:r w:rsidR="00EE01D0" w:rsidRPr="003726FE">
        <w:rPr>
          <w:lang w:val="en-GB"/>
        </w:rPr>
        <w:t xml:space="preserve"> careful consideration of which SRL model to use in this study was crucial.</w:t>
      </w:r>
      <w:r w:rsidR="00412423" w:rsidRPr="003726FE">
        <w:rPr>
          <w:lang w:val="en-GB"/>
        </w:rPr>
        <w:t xml:space="preserve"> The three</w:t>
      </w:r>
      <w:r w:rsidR="00705FBC" w:rsidRPr="003726FE">
        <w:rPr>
          <w:lang w:val="en-GB"/>
        </w:rPr>
        <w:t xml:space="preserve"> most prevalent models in the literature are </w:t>
      </w:r>
      <w:r w:rsidR="00006A8F" w:rsidRPr="003726FE">
        <w:rPr>
          <w:lang w:val="en-GB"/>
        </w:rPr>
        <w:t>outlined</w:t>
      </w:r>
      <w:r w:rsidR="00705FBC" w:rsidRPr="003726FE">
        <w:rPr>
          <w:lang w:val="en-GB"/>
        </w:rPr>
        <w:t xml:space="preserve"> here: (1) Boekaerts’ dual processing model</w:t>
      </w:r>
      <w:r w:rsidR="00232187">
        <w:rPr>
          <w:lang w:val="en-GB"/>
        </w:rPr>
        <w:t xml:space="preserve"> </w:t>
      </w:r>
      <w:r w:rsidR="00232187">
        <w:rPr>
          <w:lang w:val="en-GB"/>
        </w:rPr>
        <w:fldChar w:fldCharType="begin"/>
      </w:r>
      <w:r w:rsidR="008B61BE">
        <w:rPr>
          <w:lang w:val="en-GB"/>
        </w:rPr>
        <w:instrText xml:space="preserve"> ADDIN EN.CITE &lt;EndNote&gt;&lt;Cite&gt;&lt;Author&gt;Boekaerts&lt;/Author&gt;&lt;Year&gt;1996&lt;/Year&gt;&lt;RecNum&gt;639&lt;/RecNum&gt;&lt;DisplayText&gt;(Boekaerts 1996)&lt;/DisplayText&gt;&lt;record&gt;&lt;rec-number&gt;639&lt;/rec-number&gt;&lt;foreign-keys&gt;&lt;key app="EN" db-id="xa2r2ewea92trkef5dt5arvbzafvpv2za5ft" timestamp="1496417562"&gt;639&lt;/key&gt;&lt;/foreign-keys&gt;&lt;ref-type name="Journal Article"&gt;17&lt;/ref-type&gt;&lt;contributors&gt;&lt;authors&gt;&lt;author&gt;Boekaerts, Monique&lt;/author&gt;&lt;/authors&gt;&lt;/contributors&gt;&lt;titles&gt;&lt;title&gt;Self-regulated learning at the junction of cognition and motivation&lt;/title&gt;&lt;secondary-title&gt;European psychologist&lt;/secondary-title&gt;&lt;/titles&gt;&lt;periodical&gt;&lt;full-title&gt;European psychologist&lt;/full-title&gt;&lt;/periodical&gt;&lt;pages&gt;100-112&lt;/pages&gt;&lt;volume&gt;1&lt;/volume&gt;&lt;number&gt;2&lt;/number&gt;&lt;dates&gt;&lt;year&gt;1996&lt;/year&gt;&lt;/dates&gt;&lt;isbn&gt;1016-9040&lt;/isbn&gt;&lt;urls&gt;&lt;/urls&gt;&lt;/record&gt;&lt;/Cite&gt;&lt;/EndNote&gt;</w:instrText>
      </w:r>
      <w:r w:rsidR="00232187">
        <w:rPr>
          <w:lang w:val="en-GB"/>
        </w:rPr>
        <w:fldChar w:fldCharType="separate"/>
      </w:r>
      <w:r w:rsidR="00232187">
        <w:rPr>
          <w:noProof/>
          <w:lang w:val="en-GB"/>
        </w:rPr>
        <w:t>(</w:t>
      </w:r>
      <w:hyperlink w:anchor="_ENREF_41" w:tooltip="Boekaerts, 1996 #639" w:history="1">
        <w:r w:rsidR="0094469E">
          <w:rPr>
            <w:noProof/>
            <w:lang w:val="en-GB"/>
          </w:rPr>
          <w:t>Boekaerts 1996</w:t>
        </w:r>
      </w:hyperlink>
      <w:r w:rsidR="00232187">
        <w:rPr>
          <w:noProof/>
          <w:lang w:val="en-GB"/>
        </w:rPr>
        <w:t>)</w:t>
      </w:r>
      <w:r w:rsidR="00232187">
        <w:rPr>
          <w:lang w:val="en-GB"/>
        </w:rPr>
        <w:fldChar w:fldCharType="end"/>
      </w:r>
      <w:r w:rsidR="00705FBC" w:rsidRPr="003726FE">
        <w:rPr>
          <w:lang w:val="en-GB"/>
        </w:rPr>
        <w:t xml:space="preserve"> (2) Winne and Hadwin’s metacognitive model</w:t>
      </w:r>
      <w:r w:rsidR="00232187">
        <w:rPr>
          <w:lang w:val="en-GB"/>
        </w:rPr>
        <w:t xml:space="preserve"> </w:t>
      </w:r>
      <w:r w:rsidR="00232187">
        <w:rPr>
          <w:lang w:val="en-GB"/>
        </w:rPr>
        <w:fldChar w:fldCharType="begin"/>
      </w:r>
      <w:r w:rsidR="008B61BE">
        <w:rPr>
          <w:lang w:val="en-GB"/>
        </w:rPr>
        <w:instrText xml:space="preserve"> ADDIN EN.CITE &lt;EndNote&gt;&lt;Cite&gt;&lt;Author&gt;Winne&lt;/Author&gt;&lt;Year&gt;1998&lt;/Year&gt;&lt;RecNum&gt;629&lt;/RecNum&gt;&lt;DisplayText&gt;(Winne and Hadwin 1998, 2008)&lt;/DisplayText&gt;&lt;record&gt;&lt;rec-number&gt;629&lt;/rec-number&gt;&lt;foreign-keys&gt;&lt;key app="EN" db-id="xa2r2ewea92trkef5dt5arvbzafvpv2za5ft" timestamp="1496417561"&gt;629&lt;/key&gt;&lt;/foreign-keys&gt;&lt;ref-type name="Journal Article"&gt;17&lt;/ref-type&gt;&lt;contributors&gt;&lt;authors&gt;&lt;author&gt;Winne, Philip H&lt;/author&gt;&lt;author&gt;Hadwin, Allyson F&lt;/author&gt;&lt;/authors&gt;&lt;/contributors&gt;&lt;titles&gt;&lt;title&gt;Studying as self-regulated learning&lt;/title&gt;&lt;secondary-title&gt;Metacognition in educational theory and practice&lt;/secondary-title&gt;&lt;/titles&gt;&lt;periodical&gt;&lt;full-title&gt;Metacognition in educational theory and practice&lt;/full-title&gt;&lt;/periodical&gt;&lt;pages&gt;27-30&lt;/pages&gt;&lt;volume&gt;93&lt;/volume&gt;&lt;dates&gt;&lt;year&gt;1998&lt;/year&gt;&lt;/dates&gt;&lt;urls&gt;&lt;/urls&gt;&lt;/record&gt;&lt;/Cite&gt;&lt;Cite&gt;&lt;Author&gt;Winne&lt;/Author&gt;&lt;Year&gt;2008&lt;/Year&gt;&lt;RecNum&gt;645&lt;/RecNum&gt;&lt;record&gt;&lt;rec-number&gt;645&lt;/rec-number&gt;&lt;foreign-keys&gt;&lt;key app="EN" db-id="xa2r2ewea92trkef5dt5arvbzafvpv2za5ft" timestamp="1496417563"&gt;645&lt;/key&gt;&lt;/foreign-keys&gt;&lt;ref-type name="Journal Article"&gt;17&lt;/ref-type&gt;&lt;contributors&gt;&lt;authors&gt;&lt;author&gt;Winne, Philip H&lt;/author&gt;&lt;author&gt;Hadwin, Allyson F&lt;/author&gt;&lt;/authors&gt;&lt;/contributors&gt;&lt;titles&gt;&lt;title&gt;The weave of motivation and self-regulated learning&lt;/title&gt;&lt;secondary-title&gt;Motivation and self-regulated learning: Theory, research, and applications&lt;/secondary-title&gt;&lt;/titles&gt;&lt;periodical&gt;&lt;full-title&gt;Motivation and self-regulated learning: Theory, research, and applications&lt;/full-title&gt;&lt;/periodical&gt;&lt;pages&gt;297-314&lt;/pages&gt;&lt;dates&gt;&lt;year&gt;2008&lt;/year&gt;&lt;/dates&gt;&lt;urls&gt;&lt;/urls&gt;&lt;/record&gt;&lt;/Cite&gt;&lt;/EndNote&gt;</w:instrText>
      </w:r>
      <w:r w:rsidR="00232187">
        <w:rPr>
          <w:lang w:val="en-GB"/>
        </w:rPr>
        <w:fldChar w:fldCharType="separate"/>
      </w:r>
      <w:r w:rsidR="00232187">
        <w:rPr>
          <w:noProof/>
          <w:lang w:val="en-GB"/>
        </w:rPr>
        <w:t>(</w:t>
      </w:r>
      <w:hyperlink w:anchor="_ENREF_443" w:tooltip="Winne, 1998 #629" w:history="1">
        <w:r w:rsidR="0094469E">
          <w:rPr>
            <w:noProof/>
            <w:lang w:val="en-GB"/>
          </w:rPr>
          <w:t>Winne and Hadwin 1998</w:t>
        </w:r>
      </w:hyperlink>
      <w:r w:rsidR="00232187">
        <w:rPr>
          <w:noProof/>
          <w:lang w:val="en-GB"/>
        </w:rPr>
        <w:t xml:space="preserve">, </w:t>
      </w:r>
      <w:hyperlink w:anchor="_ENREF_444" w:tooltip="Winne, 2008 #645" w:history="1">
        <w:r w:rsidR="0094469E">
          <w:rPr>
            <w:noProof/>
            <w:lang w:val="en-GB"/>
          </w:rPr>
          <w:t>2008</w:t>
        </w:r>
      </w:hyperlink>
      <w:r w:rsidR="00232187">
        <w:rPr>
          <w:noProof/>
          <w:lang w:val="en-GB"/>
        </w:rPr>
        <w:t>)</w:t>
      </w:r>
      <w:r w:rsidR="00232187">
        <w:rPr>
          <w:lang w:val="en-GB"/>
        </w:rPr>
        <w:fldChar w:fldCharType="end"/>
      </w:r>
      <w:r w:rsidR="00705FBC" w:rsidRPr="003726FE">
        <w:rPr>
          <w:lang w:val="en-GB"/>
        </w:rPr>
        <w:t xml:space="preserve"> (3) Zimmerman’s three phase cyclical </w:t>
      </w:r>
      <w:r w:rsidR="00006A8F" w:rsidRPr="003726FE">
        <w:rPr>
          <w:lang w:val="en-GB"/>
        </w:rPr>
        <w:t>model</w:t>
      </w:r>
      <w:r w:rsidR="00232187">
        <w:rPr>
          <w:lang w:val="en-GB"/>
        </w:rPr>
        <w:t xml:space="preserve"> </w:t>
      </w:r>
      <w:r w:rsidR="00232187">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232187">
        <w:rPr>
          <w:lang w:val="en-GB"/>
        </w:rPr>
        <w:fldChar w:fldCharType="separate"/>
      </w:r>
      <w:r w:rsidR="00232187">
        <w:rPr>
          <w:noProof/>
          <w:lang w:val="en-GB"/>
        </w:rPr>
        <w:t>(</w:t>
      </w:r>
      <w:hyperlink w:anchor="_ENREF_455" w:tooltip="Zimmerman, 2000 #595" w:history="1">
        <w:r w:rsidR="0094469E">
          <w:rPr>
            <w:noProof/>
            <w:lang w:val="en-GB"/>
          </w:rPr>
          <w:t>Zimmerman 2000a</w:t>
        </w:r>
      </w:hyperlink>
      <w:r w:rsidR="00232187">
        <w:rPr>
          <w:noProof/>
          <w:lang w:val="en-GB"/>
        </w:rPr>
        <w:t>)</w:t>
      </w:r>
      <w:r w:rsidR="00232187">
        <w:rPr>
          <w:lang w:val="en-GB"/>
        </w:rPr>
        <w:fldChar w:fldCharType="end"/>
      </w:r>
      <w:r w:rsidR="00705FBC" w:rsidRPr="003726FE">
        <w:rPr>
          <w:lang w:val="en-GB"/>
        </w:rPr>
        <w:t>.</w:t>
      </w:r>
    </w:p>
    <w:p w14:paraId="0E983906" w14:textId="77777777" w:rsidR="00705FBC" w:rsidRPr="003726FE" w:rsidRDefault="00705FBC" w:rsidP="00026049">
      <w:pPr>
        <w:pStyle w:val="Normal1"/>
        <w:rPr>
          <w:lang w:val="en-GB"/>
        </w:rPr>
      </w:pPr>
    </w:p>
    <w:p w14:paraId="57238117" w14:textId="6D35ADF8" w:rsidR="00801568" w:rsidRPr="003726FE" w:rsidRDefault="00536735" w:rsidP="00026049">
      <w:pPr>
        <w:pStyle w:val="Normal1"/>
        <w:rPr>
          <w:lang w:val="en-GB"/>
        </w:rPr>
      </w:pPr>
      <w:r w:rsidRPr="003726FE">
        <w:rPr>
          <w:lang w:val="en-GB"/>
        </w:rPr>
        <w:t>Boekaerts</w:t>
      </w:r>
      <w:r w:rsidR="00A86A82" w:rsidRPr="003726FE">
        <w:rPr>
          <w:lang w:val="en-GB"/>
        </w:rPr>
        <w:t>’</w:t>
      </w:r>
      <w:r w:rsidRPr="003726FE">
        <w:rPr>
          <w:lang w:val="en-GB"/>
        </w:rPr>
        <w:t xml:space="preserve"> work focuse</w:t>
      </w:r>
      <w:r w:rsidR="00F66481" w:rsidRPr="003726FE">
        <w:rPr>
          <w:lang w:val="en-GB"/>
        </w:rPr>
        <w:t>d</w:t>
      </w:r>
      <w:r w:rsidR="009E0542" w:rsidRPr="003726FE">
        <w:rPr>
          <w:lang w:val="en-GB"/>
        </w:rPr>
        <w:t xml:space="preserve"> upon SRL related goals </w:t>
      </w:r>
      <w:r w:rsidRPr="003726FE">
        <w:rPr>
          <w:lang w:val="en-GB"/>
        </w:rPr>
        <w:t>and what processes learners use</w:t>
      </w:r>
      <w:r w:rsidR="009E0542" w:rsidRPr="003726FE">
        <w:rPr>
          <w:lang w:val="en-GB"/>
        </w:rPr>
        <w:t xml:space="preserve"> to engage in goal directed behaviours, mostly in the con</w:t>
      </w:r>
      <w:r w:rsidR="00F44C3A" w:rsidRPr="003726FE">
        <w:rPr>
          <w:lang w:val="en-GB"/>
        </w:rPr>
        <w:t xml:space="preserve">text of clinical psychology </w:t>
      </w:r>
      <w:r w:rsidR="00F44C3A" w:rsidRPr="003726FE">
        <w:rPr>
          <w:lang w:val="en-GB"/>
        </w:rPr>
        <w:fldChar w:fldCharType="begin"/>
      </w:r>
      <w:r w:rsidR="008B61BE">
        <w:rPr>
          <w:lang w:val="en-GB"/>
        </w:rPr>
        <w:instrText xml:space="preserve"> ADDIN EN.CITE &lt;EndNote&gt;&lt;Cite&gt;&lt;Author&gt;Boekaerts&lt;/Author&gt;&lt;Year&gt;1988&lt;/Year&gt;&lt;RecNum&gt;637&lt;/RecNum&gt;&lt;DisplayText&gt;(Boekaerts 1988, 2011)&lt;/DisplayText&gt;&lt;record&gt;&lt;rec-number&gt;637&lt;/rec-number&gt;&lt;foreign-keys&gt;&lt;key app="EN" db-id="xa2r2ewea92trkef5dt5arvbzafvpv2za5ft" timestamp="1496417562"&gt;637&lt;/key&gt;&lt;/foreign-keys&gt;&lt;ref-type name="Journal Article"&gt;17&lt;/ref-type&gt;&lt;contributors&gt;&lt;authors&gt;&lt;author&gt;Boekaerts, Monique&lt;/author&gt;&lt;/authors&gt;&lt;/contributors&gt;&lt;titles&gt;&lt;title&gt;Motivated learning: Bias in appraisals&lt;/title&gt;&lt;secondary-title&gt;International journal of educational research&lt;/secondary-title&gt;&lt;/titles&gt;&lt;periodical&gt;&lt;full-title&gt;International journal of educational research&lt;/full-title&gt;&lt;/periodical&gt;&lt;pages&gt;267-280&lt;/pages&gt;&lt;volume&gt;12&lt;/volume&gt;&lt;number&gt;3&lt;/number&gt;&lt;dates&gt;&lt;year&gt;1988&lt;/year&gt;&lt;/dates&gt;&lt;isbn&gt;0883-0355&lt;/isbn&gt;&lt;urls&gt;&lt;/urls&gt;&lt;/record&gt;&lt;/Cite&gt;&lt;Cite&gt;&lt;Author&gt;Boekaerts&lt;/Author&gt;&lt;Year&gt;2011&lt;/Year&gt;&lt;RecNum&gt;638&lt;/RecNum&gt;&lt;record&gt;&lt;rec-number&gt;638&lt;/rec-number&gt;&lt;foreign-keys&gt;&lt;key app="EN" db-id="xa2r2ewea92trkef5dt5arvbzafvpv2za5ft" timestamp="1496417562"&gt;638&lt;/key&gt;&lt;/foreign-keys&gt;&lt;ref-type name="Book Section"&gt;5&lt;/ref-type&gt;&lt;contributors&gt;&lt;authors&gt;&lt;author&gt;Boekaerts, Monique&lt;/author&gt;&lt;/authors&gt;&lt;/contributors&gt;&lt;titles&gt;&lt;title&gt;Emotions, emotion regulation, and self-regulation of learning&lt;/title&gt;&lt;secondary-title&gt;Handbook of self-regulation of learning and performance&lt;/secondary-title&gt;&lt;/titles&gt;&lt;periodical&gt;&lt;full-title&gt;Handbook of self-regulation of learning and performance&lt;/full-title&gt;&lt;/periodical&gt;&lt;pages&gt;408-425&lt;/pages&gt;&lt;dates&gt;&lt;year&gt;2011&lt;/year&gt;&lt;/dates&gt;&lt;urls&gt;&lt;/urls&gt;&lt;/record&gt;&lt;/Cite&gt;&lt;/EndNote&gt;</w:instrText>
      </w:r>
      <w:r w:rsidR="00F44C3A" w:rsidRPr="003726FE">
        <w:rPr>
          <w:lang w:val="en-GB"/>
        </w:rPr>
        <w:fldChar w:fldCharType="separate"/>
      </w:r>
      <w:r w:rsidR="004E5A78" w:rsidRPr="003726FE">
        <w:rPr>
          <w:noProof/>
          <w:lang w:val="en-GB"/>
        </w:rPr>
        <w:t>(</w:t>
      </w:r>
      <w:hyperlink w:anchor="_ENREF_40" w:tooltip="Boekaerts, 1988 #637" w:history="1">
        <w:r w:rsidR="0094469E" w:rsidRPr="003726FE">
          <w:rPr>
            <w:noProof/>
            <w:lang w:val="en-GB"/>
          </w:rPr>
          <w:t>Boekaerts 1988</w:t>
        </w:r>
      </w:hyperlink>
      <w:r w:rsidR="004E5A78" w:rsidRPr="003726FE">
        <w:rPr>
          <w:noProof/>
          <w:lang w:val="en-GB"/>
        </w:rPr>
        <w:t xml:space="preserve">, </w:t>
      </w:r>
      <w:hyperlink w:anchor="_ENREF_43" w:tooltip="Boekaerts, 2011 #638" w:history="1">
        <w:r w:rsidR="0094469E" w:rsidRPr="003726FE">
          <w:rPr>
            <w:noProof/>
            <w:lang w:val="en-GB"/>
          </w:rPr>
          <w:t>2011</w:t>
        </w:r>
      </w:hyperlink>
      <w:r w:rsidR="004E5A78" w:rsidRPr="003726FE">
        <w:rPr>
          <w:noProof/>
          <w:lang w:val="en-GB"/>
        </w:rPr>
        <w:t>)</w:t>
      </w:r>
      <w:r w:rsidR="00F44C3A" w:rsidRPr="003726FE">
        <w:rPr>
          <w:lang w:val="en-GB"/>
        </w:rPr>
        <w:fldChar w:fldCharType="end"/>
      </w:r>
      <w:r w:rsidR="00F44C3A" w:rsidRPr="003726FE">
        <w:rPr>
          <w:lang w:val="en-GB"/>
        </w:rPr>
        <w:t>.</w:t>
      </w:r>
      <w:r w:rsidR="009E0542" w:rsidRPr="003726FE">
        <w:rPr>
          <w:lang w:val="en-GB"/>
        </w:rPr>
        <w:t xml:space="preserve"> Boekaerts</w:t>
      </w:r>
      <w:r w:rsidR="00F66481" w:rsidRPr="003726FE">
        <w:rPr>
          <w:lang w:val="en-GB"/>
        </w:rPr>
        <w:t>’</w:t>
      </w:r>
      <w:r w:rsidR="009E0542" w:rsidRPr="003726FE">
        <w:rPr>
          <w:lang w:val="en-GB"/>
        </w:rPr>
        <w:t xml:space="preserve"> </w:t>
      </w:r>
      <w:r w:rsidR="00F44C3A" w:rsidRPr="003726FE">
        <w:rPr>
          <w:lang w:val="en-GB"/>
        </w:rPr>
        <w:t xml:space="preserve">final </w:t>
      </w:r>
      <w:r w:rsidR="009E0542" w:rsidRPr="003726FE">
        <w:rPr>
          <w:lang w:val="en-GB"/>
        </w:rPr>
        <w:t>dual processing model was developed</w:t>
      </w:r>
      <w:r w:rsidR="00F44C3A" w:rsidRPr="003726FE">
        <w:rPr>
          <w:lang w:val="en-GB"/>
        </w:rPr>
        <w:t xml:space="preserve"> </w:t>
      </w:r>
      <w:r w:rsidR="00232187">
        <w:rPr>
          <w:lang w:val="en-GB"/>
        </w:rPr>
        <w:t>from the</w:t>
      </w:r>
      <w:r w:rsidR="009E0542" w:rsidRPr="003726FE">
        <w:rPr>
          <w:lang w:val="en-GB"/>
        </w:rPr>
        <w:t xml:space="preserve"> e</w:t>
      </w:r>
      <w:r w:rsidR="00F44C3A" w:rsidRPr="003726FE">
        <w:rPr>
          <w:lang w:val="en-GB"/>
        </w:rPr>
        <w:t xml:space="preserve">arliest model which organised SRL components around cognitive and motivational factors, this was </w:t>
      </w:r>
      <w:r w:rsidR="00006A8F" w:rsidRPr="003726FE">
        <w:rPr>
          <w:lang w:val="en-GB"/>
        </w:rPr>
        <w:t xml:space="preserve">then </w:t>
      </w:r>
      <w:r w:rsidR="00F44C3A" w:rsidRPr="003726FE">
        <w:rPr>
          <w:lang w:val="en-GB"/>
        </w:rPr>
        <w:t xml:space="preserve">used as a platform to further understand domain specific SRL and create educational interventions </w:t>
      </w:r>
      <w:r w:rsidR="00F44C3A" w:rsidRPr="003726FE">
        <w:rPr>
          <w:lang w:val="en-GB"/>
        </w:rPr>
        <w:fldChar w:fldCharType="begin"/>
      </w:r>
      <w:r w:rsidR="008B61BE">
        <w:rPr>
          <w:lang w:val="en-GB"/>
        </w:rPr>
        <w:instrText xml:space="preserve"> ADDIN EN.CITE &lt;EndNote&gt;&lt;Cite&gt;&lt;Author&gt;Boekaerts&lt;/Author&gt;&lt;Year&gt;1996&lt;/Year&gt;&lt;RecNum&gt;639&lt;/RecNum&gt;&lt;DisplayText&gt;(Boekaerts 1996; Panadero 2017)&lt;/DisplayText&gt;&lt;record&gt;&lt;rec-number&gt;639&lt;/rec-number&gt;&lt;foreign-keys&gt;&lt;key app="EN" db-id="xa2r2ewea92trkef5dt5arvbzafvpv2za5ft" timestamp="1496417562"&gt;639&lt;/key&gt;&lt;/foreign-keys&gt;&lt;ref-type name="Journal Article"&gt;17&lt;/ref-type&gt;&lt;contributors&gt;&lt;authors&gt;&lt;author&gt;Boekaerts, Monique&lt;/author&gt;&lt;/authors&gt;&lt;/contributors&gt;&lt;titles&gt;&lt;title&gt;Self-regulated learning at the junction of cognition and motivation&lt;/title&gt;&lt;secondary-title&gt;European psychologist&lt;/secondary-title&gt;&lt;/titles&gt;&lt;periodical&gt;&lt;full-title&gt;European psychologist&lt;/full-title&gt;&lt;/periodical&gt;&lt;pages&gt;100-112&lt;/pages&gt;&lt;volume&gt;1&lt;/volume&gt;&lt;number&gt;2&lt;/number&gt;&lt;dates&gt;&lt;year&gt;1996&lt;/year&gt;&lt;/dates&gt;&lt;isbn&gt;1016-9040&lt;/isbn&gt;&lt;urls&gt;&lt;/urls&gt;&lt;/record&gt;&lt;/Cite&gt;&lt;Cite&gt;&lt;Author&gt;Panadero&lt;/Author&gt;&lt;Year&gt;2017&lt;/Year&gt;&lt;RecNum&gt;620&lt;/RecNum&gt;&lt;record&gt;&lt;rec-number&gt;620&lt;/rec-number&gt;&lt;foreign-keys&gt;&lt;key app="EN" db-id="xa2r2ewea92trkef5dt5arvbzafvpv2za5ft" timestamp="1496417560"&gt;620&lt;/key&gt;&lt;/foreign-keys&gt;&lt;ref-type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Psychology&lt;/secondary-title&gt;&lt;/titles&gt;&lt;periodical&gt;&lt;full-title&gt;Frontiers in Psychology&lt;/full-title&gt;&lt;/periodical&gt;&lt;pages&gt;1-28&lt;/pages&gt;&lt;volume&gt;8&lt;/volume&gt;&lt;number&gt;422&lt;/number&gt;&lt;section&gt;1&lt;/section&gt;&lt;dates&gt;&lt;year&gt;2017&lt;/year&gt;&lt;/dates&gt;&lt;urls&gt;&lt;/urls&gt;&lt;electronic-resource-num&gt;10.3389/fpsyg.2017.00422&lt;/electronic-resource-num&gt;&lt;/record&gt;&lt;/Cite&gt;&lt;/EndNote&gt;</w:instrText>
      </w:r>
      <w:r w:rsidR="00F44C3A" w:rsidRPr="003726FE">
        <w:rPr>
          <w:lang w:val="en-GB"/>
        </w:rPr>
        <w:fldChar w:fldCharType="separate"/>
      </w:r>
      <w:r w:rsidR="004E5A78" w:rsidRPr="003726FE">
        <w:rPr>
          <w:noProof/>
          <w:lang w:val="en-GB"/>
        </w:rPr>
        <w:t>(</w:t>
      </w:r>
      <w:hyperlink w:anchor="_ENREF_41" w:tooltip="Boekaerts, 1996 #639" w:history="1">
        <w:r w:rsidR="0094469E" w:rsidRPr="003726FE">
          <w:rPr>
            <w:noProof/>
            <w:lang w:val="en-GB"/>
          </w:rPr>
          <w:t>Boekaerts 1996</w:t>
        </w:r>
      </w:hyperlink>
      <w:r w:rsidR="004E5A78" w:rsidRPr="003726FE">
        <w:rPr>
          <w:noProof/>
          <w:lang w:val="en-GB"/>
        </w:rPr>
        <w:t xml:space="preserve">; </w:t>
      </w:r>
      <w:hyperlink w:anchor="_ENREF_314" w:tooltip="Panadero, 2017 #620" w:history="1">
        <w:r w:rsidR="0094469E" w:rsidRPr="003726FE">
          <w:rPr>
            <w:noProof/>
            <w:lang w:val="en-GB"/>
          </w:rPr>
          <w:t>Panadero 2017</w:t>
        </w:r>
      </w:hyperlink>
      <w:r w:rsidR="004E5A78" w:rsidRPr="003726FE">
        <w:rPr>
          <w:noProof/>
          <w:lang w:val="en-GB"/>
        </w:rPr>
        <w:t>)</w:t>
      </w:r>
      <w:r w:rsidR="00F44C3A" w:rsidRPr="003726FE">
        <w:rPr>
          <w:lang w:val="en-GB"/>
        </w:rPr>
        <w:fldChar w:fldCharType="end"/>
      </w:r>
      <w:r w:rsidR="00F44C3A" w:rsidRPr="003726FE">
        <w:rPr>
          <w:lang w:val="en-GB"/>
        </w:rPr>
        <w:t xml:space="preserve">. </w:t>
      </w:r>
      <w:r w:rsidR="002115E3" w:rsidRPr="003726FE">
        <w:rPr>
          <w:lang w:val="en-GB"/>
        </w:rPr>
        <w:t>The</w:t>
      </w:r>
      <w:r w:rsidR="00006A8F" w:rsidRPr="003726FE">
        <w:rPr>
          <w:lang w:val="en-GB"/>
        </w:rPr>
        <w:t>ir</w:t>
      </w:r>
      <w:r w:rsidR="002115E3" w:rsidRPr="003726FE">
        <w:rPr>
          <w:lang w:val="en-GB"/>
        </w:rPr>
        <w:t xml:space="preserve"> dual processing model views the student’s evaluation of the task as the main influencer on t</w:t>
      </w:r>
      <w:r w:rsidR="00006A8F" w:rsidRPr="003726FE">
        <w:rPr>
          <w:lang w:val="en-GB"/>
        </w:rPr>
        <w:t>heir choice of goal pathway;</w:t>
      </w:r>
      <w:r w:rsidR="002115E3" w:rsidRPr="003726FE">
        <w:rPr>
          <w:lang w:val="en-GB"/>
        </w:rPr>
        <w:t xml:space="preserve"> these two pathways are the ‘growth pathway’ or the </w:t>
      </w:r>
      <w:r w:rsidR="00006A8F" w:rsidRPr="003726FE">
        <w:rPr>
          <w:lang w:val="en-GB"/>
        </w:rPr>
        <w:t>‘</w:t>
      </w:r>
      <w:r w:rsidR="002115E3" w:rsidRPr="003726FE">
        <w:rPr>
          <w:lang w:val="en-GB"/>
        </w:rPr>
        <w:t xml:space="preserve">wellbeing pathway’ </w:t>
      </w:r>
      <w:r w:rsidR="00EF281A" w:rsidRPr="003726FE">
        <w:rPr>
          <w:lang w:val="en-GB"/>
        </w:rPr>
        <w:fldChar w:fldCharType="begin"/>
      </w:r>
      <w:r w:rsidR="008B61BE">
        <w:rPr>
          <w:lang w:val="en-GB"/>
        </w:rPr>
        <w:instrText xml:space="preserve"> ADDIN EN.CITE &lt;EndNote&gt;&lt;Cite&gt;&lt;Author&gt;Boekaerts&lt;/Author&gt;&lt;Year&gt;2006&lt;/Year&gt;&lt;RecNum&gt;640&lt;/RecNum&gt;&lt;DisplayText&gt;(Boekaerts and Cascallar 2006)&lt;/DisplayText&gt;&lt;record&gt;&lt;rec-number&gt;640&lt;/rec-number&gt;&lt;foreign-keys&gt;&lt;key app="EN" db-id="xa2r2ewea92trkef5dt5arvbzafvpv2za5ft" timestamp="1496417562"&gt;640&lt;/key&gt;&lt;/foreign-keys&gt;&lt;ref-type name="Journal Article"&gt;17&lt;/ref-type&gt;&lt;contributors&gt;&lt;authors&gt;&lt;author&gt;Boekaerts, Monique&lt;/author&gt;&lt;author&gt;Cascallar, Eduardo&lt;/author&gt;&lt;/authors&gt;&lt;/contributors&gt;&lt;titles&gt;&lt;title&gt;How far have we moved toward the integration of theory and practice in self-regulation?&lt;/title&gt;&lt;secondary-title&gt;Educational Psychology Review&lt;/secondary-title&gt;&lt;/titles&gt;&lt;periodical&gt;&lt;full-title&gt;Educational Psychology Review&lt;/full-title&gt;&lt;/periodical&gt;&lt;pages&gt;199-210&lt;/pages&gt;&lt;volume&gt;18&lt;/volume&gt;&lt;number&gt;3&lt;/number&gt;&lt;dates&gt;&lt;year&gt;2006&lt;/year&gt;&lt;/dates&gt;&lt;isbn&gt;1040-726X&lt;/isbn&gt;&lt;urls&gt;&lt;/urls&gt;&lt;/record&gt;&lt;/Cite&gt;&lt;/EndNote&gt;</w:instrText>
      </w:r>
      <w:r w:rsidR="00EF281A" w:rsidRPr="003726FE">
        <w:rPr>
          <w:lang w:val="en-GB"/>
        </w:rPr>
        <w:fldChar w:fldCharType="separate"/>
      </w:r>
      <w:r w:rsidR="004E5A78" w:rsidRPr="003726FE">
        <w:rPr>
          <w:noProof/>
          <w:lang w:val="en-GB"/>
        </w:rPr>
        <w:t>(</w:t>
      </w:r>
      <w:hyperlink w:anchor="_ENREF_44" w:tooltip="Boekaerts, 2006 #640" w:history="1">
        <w:r w:rsidR="0094469E" w:rsidRPr="003726FE">
          <w:rPr>
            <w:noProof/>
            <w:lang w:val="en-GB"/>
          </w:rPr>
          <w:t>Boekaerts and Cascallar 2006</w:t>
        </w:r>
      </w:hyperlink>
      <w:r w:rsidR="004E5A78" w:rsidRPr="003726FE">
        <w:rPr>
          <w:noProof/>
          <w:lang w:val="en-GB"/>
        </w:rPr>
        <w:t>)</w:t>
      </w:r>
      <w:r w:rsidR="00EF281A" w:rsidRPr="003726FE">
        <w:rPr>
          <w:lang w:val="en-GB"/>
        </w:rPr>
        <w:fldChar w:fldCharType="end"/>
      </w:r>
      <w:r w:rsidRPr="003726FE">
        <w:rPr>
          <w:lang w:val="en-GB"/>
        </w:rPr>
        <w:t xml:space="preserve">. Students who perceive a task to align with their personal goals and perceived ability follows the growth pathway which brings about positive emotions and a developmental approach. Tasks which may </w:t>
      </w:r>
      <w:r w:rsidRPr="003726FE">
        <w:rPr>
          <w:lang w:val="en-GB"/>
        </w:rPr>
        <w:lastRenderedPageBreak/>
        <w:t>threaten the student’s self-perception lead them onto the wellbeing pathway where they are concerned with using protective strategies. These pathways are emotionally driven so crossover between pathways is likely</w:t>
      </w:r>
      <w:r w:rsidR="002019FC" w:rsidRPr="003726FE">
        <w:rPr>
          <w:lang w:val="en-GB"/>
        </w:rPr>
        <w:t>.</w:t>
      </w:r>
      <w:r w:rsidR="00633671" w:rsidRPr="003726FE">
        <w:rPr>
          <w:lang w:val="en-GB"/>
        </w:rPr>
        <w:t xml:space="preserve"> The dual processing model has been empirically supported and measurement tools have been validated</w:t>
      </w:r>
      <w:r w:rsidR="00F66481" w:rsidRPr="003726FE">
        <w:rPr>
          <w:lang w:val="en-GB"/>
        </w:rPr>
        <w:t xml:space="preserve"> using the model as a foundation</w:t>
      </w:r>
      <w:r w:rsidR="00633671" w:rsidRPr="003726FE">
        <w:rPr>
          <w:lang w:val="en-GB"/>
        </w:rPr>
        <w:t xml:space="preserve"> </w:t>
      </w:r>
      <w:r w:rsidR="00633671" w:rsidRPr="003726FE">
        <w:rPr>
          <w:lang w:val="en-GB"/>
        </w:rPr>
        <w:fldChar w:fldCharType="begin"/>
      </w:r>
      <w:r w:rsidR="008B61BE">
        <w:rPr>
          <w:lang w:val="en-GB"/>
        </w:rPr>
        <w:instrText xml:space="preserve"> ADDIN EN.CITE &lt;EndNote&gt;&lt;Cite&gt;&lt;Author&gt;Boekaerts&lt;/Author&gt;&lt;Year&gt;2002&lt;/Year&gt;&lt;RecNum&gt;642&lt;/RecNum&gt;&lt;DisplayText&gt;(Boekaerts 2002; Boekaerts and Corno 2005)&lt;/DisplayText&gt;&lt;record&gt;&lt;rec-number&gt;642&lt;/rec-number&gt;&lt;foreign-keys&gt;&lt;key app="EN" db-id="xa2r2ewea92trkef5dt5arvbzafvpv2za5ft" timestamp="1496417562"&gt;642&lt;/key&gt;&lt;/foreign-keys&gt;&lt;ref-type name="Journal Article"&gt;17&lt;/ref-type&gt;&lt;contributors&gt;&lt;authors&gt;&lt;author&gt;Boekaerts, Monique&lt;/author&gt;&lt;/authors&gt;&lt;/contributors&gt;&lt;titles&gt;&lt;title&gt;The on-line motivation questionnaire: A self-report instrument to assess students’ context sensitivity&lt;/title&gt;&lt;secondary-title&gt;Advances in motivation and achievement&lt;/secondary-title&gt;&lt;/titles&gt;&lt;periodical&gt;&lt;full-title&gt;Advances in motivation and achievement&lt;/full-title&gt;&lt;/periodical&gt;&lt;pages&gt;77-120&lt;/pages&gt;&lt;volume&gt;12&lt;/volume&gt;&lt;dates&gt;&lt;year&gt;2002&lt;/year&gt;&lt;/dates&gt;&lt;urls&gt;&lt;/urls&gt;&lt;/record&gt;&lt;/Cite&gt;&lt;Cite&gt;&lt;Author&gt;Boekaerts&lt;/Author&gt;&lt;Year&gt;2005&lt;/Year&gt;&lt;RecNum&gt;641&lt;/RecNum&gt;&lt;record&gt;&lt;rec-number&gt;641&lt;/rec-number&gt;&lt;foreign-keys&gt;&lt;key app="EN" db-id="xa2r2ewea92trkef5dt5arvbzafvpv2za5ft" timestamp="1496417562"&gt;641&lt;/key&gt;&lt;/foreign-keys&gt;&lt;ref-type name="Journal Article"&gt;17&lt;/ref-type&gt;&lt;contributors&gt;&lt;authors&gt;&lt;author&gt;Boekaerts, Monique&lt;/author&gt;&lt;author&gt;Corno, Lyn&lt;/author&gt;&lt;/authors&gt;&lt;/contributors&gt;&lt;titles&gt;&lt;title&gt;Self</w:instrText>
      </w:r>
      <w:r w:rsidR="008B61BE">
        <w:rPr>
          <w:rFonts w:ascii="Cambria Math" w:hAnsi="Cambria Math" w:cs="Cambria Math"/>
          <w:lang w:val="en-GB"/>
        </w:rPr>
        <w:instrText>‐</w:instrText>
      </w:r>
      <w:r w:rsidR="008B61BE">
        <w:rPr>
          <w:lang w:val="en-GB"/>
        </w:rPr>
        <w:instrText>regulation in the classroom: A perspective on assessment and intervention&lt;/title&gt;&lt;secondary-title&gt;Applied Psychology&lt;/secondary-title&gt;&lt;/titles&gt;&lt;periodical&gt;&lt;full-title&gt;Applied Psychology&lt;/full-title&gt;&lt;/periodical&gt;&lt;pages&gt;199-231&lt;/pages&gt;&lt;volume&gt;54&lt;/volume&gt;&lt;number&gt;2&lt;/number&gt;&lt;dates&gt;&lt;year&gt;2005&lt;/year&gt;&lt;/dates&gt;&lt;isbn&gt;1464-0597&lt;/isbn&gt;&lt;urls&gt;&lt;/urls&gt;&lt;/record&gt;&lt;/Cite&gt;&lt;/EndNote&gt;</w:instrText>
      </w:r>
      <w:r w:rsidR="00633671" w:rsidRPr="003726FE">
        <w:rPr>
          <w:lang w:val="en-GB"/>
        </w:rPr>
        <w:fldChar w:fldCharType="separate"/>
      </w:r>
      <w:r w:rsidR="004E5A78" w:rsidRPr="003726FE">
        <w:rPr>
          <w:noProof/>
          <w:lang w:val="en-GB"/>
        </w:rPr>
        <w:t>(</w:t>
      </w:r>
      <w:hyperlink w:anchor="_ENREF_42" w:tooltip="Boekaerts, 2002 #642" w:history="1">
        <w:r w:rsidR="0094469E" w:rsidRPr="003726FE">
          <w:rPr>
            <w:noProof/>
            <w:lang w:val="en-GB"/>
          </w:rPr>
          <w:t>Boekaerts 2002</w:t>
        </w:r>
      </w:hyperlink>
      <w:r w:rsidR="004E5A78" w:rsidRPr="003726FE">
        <w:rPr>
          <w:noProof/>
          <w:lang w:val="en-GB"/>
        </w:rPr>
        <w:t xml:space="preserve">; </w:t>
      </w:r>
      <w:hyperlink w:anchor="_ENREF_45" w:tooltip="Boekaerts, 2005 #641" w:history="1">
        <w:r w:rsidR="0094469E" w:rsidRPr="003726FE">
          <w:rPr>
            <w:noProof/>
            <w:lang w:val="en-GB"/>
          </w:rPr>
          <w:t>Boekaerts and Corno 2005</w:t>
        </w:r>
      </w:hyperlink>
      <w:r w:rsidR="004E5A78" w:rsidRPr="003726FE">
        <w:rPr>
          <w:noProof/>
          <w:lang w:val="en-GB"/>
        </w:rPr>
        <w:t>)</w:t>
      </w:r>
      <w:r w:rsidR="00633671" w:rsidRPr="003726FE">
        <w:rPr>
          <w:lang w:val="en-GB"/>
        </w:rPr>
        <w:fldChar w:fldCharType="end"/>
      </w:r>
      <w:r w:rsidR="00633671" w:rsidRPr="003726FE">
        <w:rPr>
          <w:lang w:val="en-GB"/>
        </w:rPr>
        <w:t xml:space="preserve">. </w:t>
      </w:r>
    </w:p>
    <w:p w14:paraId="3BB5B137" w14:textId="77777777" w:rsidR="00801568" w:rsidRPr="003726FE" w:rsidRDefault="00801568" w:rsidP="00026049">
      <w:pPr>
        <w:pStyle w:val="Normal1"/>
        <w:rPr>
          <w:lang w:val="en-GB"/>
        </w:rPr>
      </w:pPr>
    </w:p>
    <w:p w14:paraId="20D4E214" w14:textId="55F8FFF0" w:rsidR="00DF10C6" w:rsidRPr="003726FE" w:rsidRDefault="00633671" w:rsidP="00026049">
      <w:pPr>
        <w:pStyle w:val="Normal1"/>
        <w:rPr>
          <w:lang w:val="en-GB"/>
        </w:rPr>
      </w:pPr>
      <w:r w:rsidRPr="003726FE">
        <w:rPr>
          <w:lang w:val="en-GB"/>
        </w:rPr>
        <w:t>In the context of this study, Boekaerts</w:t>
      </w:r>
      <w:r w:rsidR="00A86A82" w:rsidRPr="003726FE">
        <w:rPr>
          <w:lang w:val="en-GB"/>
        </w:rPr>
        <w:t>’</w:t>
      </w:r>
      <w:r w:rsidR="00801568" w:rsidRPr="003726FE">
        <w:rPr>
          <w:lang w:val="en-GB"/>
        </w:rPr>
        <w:t xml:space="preserve"> model would </w:t>
      </w:r>
      <w:r w:rsidR="0040163D" w:rsidRPr="003726FE">
        <w:rPr>
          <w:lang w:val="en-GB"/>
        </w:rPr>
        <w:t xml:space="preserve">have </w:t>
      </w:r>
      <w:r w:rsidR="00801568" w:rsidRPr="003726FE">
        <w:rPr>
          <w:lang w:val="en-GB"/>
        </w:rPr>
        <w:t>be</w:t>
      </w:r>
      <w:r w:rsidR="0040163D" w:rsidRPr="003726FE">
        <w:rPr>
          <w:lang w:val="en-GB"/>
        </w:rPr>
        <w:t>en</w:t>
      </w:r>
      <w:r w:rsidR="00F0464F" w:rsidRPr="003726FE">
        <w:rPr>
          <w:lang w:val="en-GB"/>
        </w:rPr>
        <w:t xml:space="preserve"> useful in conceptualising</w:t>
      </w:r>
      <w:r w:rsidR="00801568" w:rsidRPr="003726FE">
        <w:rPr>
          <w:lang w:val="en-GB"/>
        </w:rPr>
        <w:t xml:space="preserve"> and identify</w:t>
      </w:r>
      <w:r w:rsidR="00F0464F" w:rsidRPr="003726FE">
        <w:rPr>
          <w:lang w:val="en-GB"/>
        </w:rPr>
        <w:t>ing</w:t>
      </w:r>
      <w:r w:rsidR="00801568" w:rsidRPr="003726FE">
        <w:rPr>
          <w:lang w:val="en-GB"/>
        </w:rPr>
        <w:t xml:space="preserve"> students’ motivational and emotional strategies for learning. This perspective could </w:t>
      </w:r>
      <w:r w:rsidR="00F0464F" w:rsidRPr="003726FE">
        <w:rPr>
          <w:lang w:val="en-GB"/>
        </w:rPr>
        <w:t>have been</w:t>
      </w:r>
      <w:r w:rsidR="00801568" w:rsidRPr="003726FE">
        <w:rPr>
          <w:lang w:val="en-GB"/>
        </w:rPr>
        <w:t xml:space="preserve"> helpful in understanding SRL goal</w:t>
      </w:r>
      <w:r w:rsidR="00F0464F" w:rsidRPr="003726FE">
        <w:rPr>
          <w:lang w:val="en-GB"/>
        </w:rPr>
        <w:t>-</w:t>
      </w:r>
      <w:r w:rsidR="00801568" w:rsidRPr="003726FE">
        <w:rPr>
          <w:lang w:val="en-GB"/>
        </w:rPr>
        <w:t xml:space="preserve">directed behaviour in relation to supervisory relationships. However, this model has typically been used in primary and secondary education contexts, concentrating on purely academic learning activities </w:t>
      </w:r>
      <w:r w:rsidR="0021662A">
        <w:rPr>
          <w:lang w:val="en-GB"/>
        </w:rPr>
        <w:t>including</w:t>
      </w:r>
      <w:r w:rsidR="00801568" w:rsidRPr="003726FE">
        <w:rPr>
          <w:lang w:val="en-GB"/>
        </w:rPr>
        <w:t xml:space="preserve"> writing performance and mathematical problem solving </w:t>
      </w:r>
      <w:r w:rsidR="00801568" w:rsidRPr="003726FE">
        <w:rPr>
          <w:lang w:val="en-GB"/>
        </w:rPr>
        <w:fldChar w:fldCharType="begin"/>
      </w:r>
      <w:r w:rsidR="008B61BE">
        <w:rPr>
          <w:lang w:val="en-GB"/>
        </w:rPr>
        <w:instrText xml:space="preserve"> ADDIN EN.CITE &lt;EndNote&gt;&lt;Cite&gt;&lt;Author&gt;Vermeer&lt;/Author&gt;&lt;Year&gt;2000&lt;/Year&gt;&lt;RecNum&gt;644&lt;/RecNum&gt;&lt;DisplayText&gt;(Vermeer et al. 2000; Boekaerts and Rozendaal 2007)&lt;/DisplayText&gt;&lt;record&gt;&lt;rec-number&gt;644&lt;/rec-number&gt;&lt;foreign-keys&gt;&lt;key app="EN" db-id="xa2r2ewea92trkef5dt5arvbzafvpv2za5ft" timestamp="1496417563"&gt;644&lt;/key&gt;&lt;/foreign-keys&gt;&lt;ref-type name="Journal Article"&gt;17&lt;/ref-type&gt;&lt;contributors&gt;&lt;authors&gt;&lt;author&gt;Vermeer, Harriet J&lt;/author&gt;&lt;author&gt;Boekaerts, Monique&lt;/author&gt;&lt;author&gt;Seegers, Gerard&lt;/author&gt;&lt;/authors&gt;&lt;/contributors&gt;&lt;titles&gt;&lt;title&gt;Motivational and gender differences: Sixth-grade students&amp;apos; mathematical problem-solving behavior&lt;/title&gt;&lt;secondary-title&gt;Journal of educational psychology&lt;/secondary-title&gt;&lt;/titles&gt;&lt;periodical&gt;&lt;full-title&gt;Journal of educational psychology&lt;/full-title&gt;&lt;/periodical&gt;&lt;pages&gt;308&lt;/pages&gt;&lt;volume&gt;92&lt;/volume&gt;&lt;number&gt;2&lt;/number&gt;&lt;dates&gt;&lt;year&gt;2000&lt;/year&gt;&lt;/dates&gt;&lt;isbn&gt;1939-2176&lt;/isbn&gt;&lt;urls&gt;&lt;/urls&gt;&lt;/record&gt;&lt;/Cite&gt;&lt;Cite&gt;&lt;Author&gt;Boekaerts&lt;/Author&gt;&lt;Year&gt;2007&lt;/Year&gt;&lt;RecNum&gt;643&lt;/RecNum&gt;&lt;record&gt;&lt;rec-number&gt;643&lt;/rec-number&gt;&lt;foreign-keys&gt;&lt;key app="EN" db-id="xa2r2ewea92trkef5dt5arvbzafvpv2za5ft" timestamp="1496417563"&gt;643&lt;/key&gt;&lt;/foreign-keys&gt;&lt;ref-type name="Journal Article"&gt;17&lt;/ref-type&gt;&lt;contributors&gt;&lt;authors&gt;&lt;author&gt;Boekaerts, Monique&lt;/author&gt;&lt;author&gt;Rozendaal, Jeroen S&lt;/author&gt;&lt;/authors&gt;&lt;/contributors&gt;&lt;titles&gt;&lt;title&gt;New insights into the self-regulation of writing skills in secondary vocational education&lt;/title&gt;&lt;secondary-title&gt;Zeitschrift für Psychologie/Journal of Psychology&lt;/secondary-title&gt;&lt;/titles&gt;&lt;periodical&gt;&lt;full-title&gt;Zeitschrift für Psychologie/Journal of Psychology&lt;/full-title&gt;&lt;/periodical&gt;&lt;pages&gt;164-173&lt;/pages&gt;&lt;volume&gt;215&lt;/volume&gt;&lt;number&gt;3&lt;/number&gt;&lt;dates&gt;&lt;year&gt;2007&lt;/year&gt;&lt;/dates&gt;&lt;isbn&gt;0044-3409&lt;/isbn&gt;&lt;urls&gt;&lt;/urls&gt;&lt;/record&gt;&lt;/Cite&gt;&lt;/EndNote&gt;</w:instrText>
      </w:r>
      <w:r w:rsidR="00801568" w:rsidRPr="003726FE">
        <w:rPr>
          <w:lang w:val="en-GB"/>
        </w:rPr>
        <w:fldChar w:fldCharType="separate"/>
      </w:r>
      <w:r w:rsidR="004E5A78" w:rsidRPr="003726FE">
        <w:rPr>
          <w:noProof/>
          <w:lang w:val="en-GB"/>
        </w:rPr>
        <w:t>(</w:t>
      </w:r>
      <w:hyperlink w:anchor="_ENREF_421" w:tooltip="Vermeer, 2000 #644" w:history="1">
        <w:r w:rsidR="0094469E" w:rsidRPr="003726FE">
          <w:rPr>
            <w:noProof/>
            <w:lang w:val="en-GB"/>
          </w:rPr>
          <w:t>Vermeer et al. 2000</w:t>
        </w:r>
      </w:hyperlink>
      <w:r w:rsidR="004E5A78" w:rsidRPr="003726FE">
        <w:rPr>
          <w:noProof/>
          <w:lang w:val="en-GB"/>
        </w:rPr>
        <w:t xml:space="preserve">; </w:t>
      </w:r>
      <w:hyperlink w:anchor="_ENREF_46" w:tooltip="Boekaerts, 2007 #643" w:history="1">
        <w:r w:rsidR="0094469E" w:rsidRPr="003726FE">
          <w:rPr>
            <w:noProof/>
            <w:lang w:val="en-GB"/>
          </w:rPr>
          <w:t>Boekaerts and Rozendaal 2007</w:t>
        </w:r>
      </w:hyperlink>
      <w:r w:rsidR="004E5A78" w:rsidRPr="003726FE">
        <w:rPr>
          <w:noProof/>
          <w:lang w:val="en-GB"/>
        </w:rPr>
        <w:t>)</w:t>
      </w:r>
      <w:r w:rsidR="00801568" w:rsidRPr="003726FE">
        <w:rPr>
          <w:lang w:val="en-GB"/>
        </w:rPr>
        <w:fldChar w:fldCharType="end"/>
      </w:r>
      <w:r w:rsidR="00801568" w:rsidRPr="003726FE">
        <w:rPr>
          <w:lang w:val="en-GB"/>
        </w:rPr>
        <w:t>. As this study focuses on both clinical skills and academic SRL behaviours, Boekaerts</w:t>
      </w:r>
      <w:r w:rsidR="00232187">
        <w:rPr>
          <w:lang w:val="en-GB"/>
        </w:rPr>
        <w:t>’</w:t>
      </w:r>
      <w:r w:rsidR="00801568" w:rsidRPr="003726FE">
        <w:rPr>
          <w:lang w:val="en-GB"/>
        </w:rPr>
        <w:t xml:space="preserve"> model lacks the granularity of SRL strategies to fully explore the spectrum of activities students might engage in across classroom and workplace contexts.</w:t>
      </w:r>
    </w:p>
    <w:p w14:paraId="57186F60" w14:textId="77777777" w:rsidR="00633671" w:rsidRPr="003726FE" w:rsidRDefault="00633671" w:rsidP="00026049">
      <w:pPr>
        <w:pStyle w:val="Normal1"/>
        <w:rPr>
          <w:lang w:val="en-GB"/>
        </w:rPr>
      </w:pPr>
    </w:p>
    <w:p w14:paraId="5F758991" w14:textId="22F1DE54" w:rsidR="00633671" w:rsidRPr="003726FE" w:rsidRDefault="00684B75" w:rsidP="00026049">
      <w:pPr>
        <w:pStyle w:val="Normal1"/>
        <w:rPr>
          <w:lang w:val="en-GB"/>
        </w:rPr>
      </w:pPr>
      <w:r w:rsidRPr="003726FE">
        <w:rPr>
          <w:lang w:val="en-GB"/>
        </w:rPr>
        <w:t>Winne and Hadwin’s model of SRL differs from Boekaerts</w:t>
      </w:r>
      <w:r w:rsidR="003B6715" w:rsidRPr="003726FE">
        <w:rPr>
          <w:lang w:val="en-GB"/>
        </w:rPr>
        <w:t>’ model</w:t>
      </w:r>
      <w:r w:rsidRPr="003726FE">
        <w:rPr>
          <w:lang w:val="en-GB"/>
        </w:rPr>
        <w:t xml:space="preserve"> in that</w:t>
      </w:r>
      <w:r w:rsidR="009C6C1A" w:rsidRPr="003726FE">
        <w:rPr>
          <w:lang w:val="en-GB"/>
        </w:rPr>
        <w:t xml:space="preserve"> whil</w:t>
      </w:r>
      <w:r w:rsidR="00232187">
        <w:rPr>
          <w:lang w:val="en-GB"/>
        </w:rPr>
        <w:t>st</w:t>
      </w:r>
      <w:r w:rsidR="009C6C1A" w:rsidRPr="003726FE">
        <w:rPr>
          <w:lang w:val="en-GB"/>
        </w:rPr>
        <w:t xml:space="preserve"> motivational and goal directed </w:t>
      </w:r>
      <w:r w:rsidR="007A7EF3">
        <w:rPr>
          <w:lang w:val="en-GB"/>
        </w:rPr>
        <w:t xml:space="preserve">behaviours </w:t>
      </w:r>
      <w:r w:rsidR="009C6C1A" w:rsidRPr="003726FE">
        <w:rPr>
          <w:lang w:val="en-GB"/>
        </w:rPr>
        <w:t>are key foundations,</w:t>
      </w:r>
      <w:r w:rsidRPr="003726FE">
        <w:rPr>
          <w:lang w:val="en-GB"/>
        </w:rPr>
        <w:t xml:space="preserve"> they </w:t>
      </w:r>
      <w:r w:rsidR="009C6C1A" w:rsidRPr="003726FE">
        <w:rPr>
          <w:lang w:val="en-GB"/>
        </w:rPr>
        <w:t xml:space="preserve">consider the learner as active participants in SRL behaviours through a focus on metacognitive learning strategies </w:t>
      </w:r>
      <w:r w:rsidR="009C6C1A" w:rsidRPr="003726FE">
        <w:rPr>
          <w:lang w:val="en-GB"/>
        </w:rPr>
        <w:fldChar w:fldCharType="begin"/>
      </w:r>
      <w:r w:rsidR="008B61BE">
        <w:rPr>
          <w:lang w:val="en-GB"/>
        </w:rPr>
        <w:instrText xml:space="preserve"> ADDIN EN.CITE &lt;EndNote&gt;&lt;Cite&gt;&lt;Author&gt;Winne&lt;/Author&gt;&lt;Year&gt;1998&lt;/Year&gt;&lt;RecNum&gt;629&lt;/RecNum&gt;&lt;DisplayText&gt;(Winne and Hadwin 1998, 2008)&lt;/DisplayText&gt;&lt;record&gt;&lt;rec-number&gt;629&lt;/rec-number&gt;&lt;foreign-keys&gt;&lt;key app="EN" db-id="xa2r2ewea92trkef5dt5arvbzafvpv2za5ft" timestamp="1496417561"&gt;629&lt;/key&gt;&lt;/foreign-keys&gt;&lt;ref-type name="Journal Article"&gt;17&lt;/ref-type&gt;&lt;contributors&gt;&lt;authors&gt;&lt;author&gt;Winne, Philip H&lt;/author&gt;&lt;author&gt;Hadwin, Allyson F&lt;/author&gt;&lt;/authors&gt;&lt;/contributors&gt;&lt;titles&gt;&lt;title&gt;Studying as self-regulated learning&lt;/title&gt;&lt;secondary-title&gt;Metacognition in educational theory and practice&lt;/secondary-title&gt;&lt;/titles&gt;&lt;periodical&gt;&lt;full-title&gt;Metacognition in educational theory and practice&lt;/full-title&gt;&lt;/periodical&gt;&lt;pages&gt;27-30&lt;/pages&gt;&lt;volume&gt;93&lt;/volume&gt;&lt;dates&gt;&lt;year&gt;1998&lt;/year&gt;&lt;/dates&gt;&lt;urls&gt;&lt;/urls&gt;&lt;/record&gt;&lt;/Cite&gt;&lt;Cite&gt;&lt;Author&gt;Winne&lt;/Author&gt;&lt;Year&gt;2008&lt;/Year&gt;&lt;RecNum&gt;645&lt;/RecNum&gt;&lt;record&gt;&lt;rec-number&gt;645&lt;/rec-number&gt;&lt;foreign-keys&gt;&lt;key app="EN" db-id="xa2r2ewea92trkef5dt5arvbzafvpv2za5ft" timestamp="1496417563"&gt;645&lt;/key&gt;&lt;/foreign-keys&gt;&lt;ref-type name="Journal Article"&gt;17&lt;/ref-type&gt;&lt;contributors&gt;&lt;authors&gt;&lt;author&gt;Winne, Philip H&lt;/author&gt;&lt;author&gt;Hadwin, Allyson F&lt;/author&gt;&lt;/authors&gt;&lt;/contributors&gt;&lt;titles&gt;&lt;title&gt;The weave of motivation and self-regulated learning&lt;/title&gt;&lt;secondary-title&gt;Motivation and self-regulated learning: Theory, research, and applications&lt;/secondary-title&gt;&lt;/titles&gt;&lt;periodical&gt;&lt;full-title&gt;Motivation and self-regulated learning: Theory, research, and applications&lt;/full-title&gt;&lt;/periodical&gt;&lt;pages&gt;297-314&lt;/pages&gt;&lt;dates&gt;&lt;year&gt;2008&lt;/year&gt;&lt;/dates&gt;&lt;urls&gt;&lt;/urls&gt;&lt;/record&gt;&lt;/Cite&gt;&lt;/EndNote&gt;</w:instrText>
      </w:r>
      <w:r w:rsidR="009C6C1A" w:rsidRPr="003726FE">
        <w:rPr>
          <w:lang w:val="en-GB"/>
        </w:rPr>
        <w:fldChar w:fldCharType="separate"/>
      </w:r>
      <w:r w:rsidR="004E5A78" w:rsidRPr="003726FE">
        <w:rPr>
          <w:noProof/>
          <w:lang w:val="en-GB"/>
        </w:rPr>
        <w:t>(</w:t>
      </w:r>
      <w:hyperlink w:anchor="_ENREF_443" w:tooltip="Winne, 1998 #629" w:history="1">
        <w:r w:rsidR="0094469E" w:rsidRPr="003726FE">
          <w:rPr>
            <w:noProof/>
            <w:lang w:val="en-GB"/>
          </w:rPr>
          <w:t>Winne and Hadwin 1998</w:t>
        </w:r>
      </w:hyperlink>
      <w:r w:rsidR="004E5A78" w:rsidRPr="003726FE">
        <w:rPr>
          <w:noProof/>
          <w:lang w:val="en-GB"/>
        </w:rPr>
        <w:t xml:space="preserve">, </w:t>
      </w:r>
      <w:hyperlink w:anchor="_ENREF_444" w:tooltip="Winne, 2008 #645" w:history="1">
        <w:r w:rsidR="0094469E" w:rsidRPr="003726FE">
          <w:rPr>
            <w:noProof/>
            <w:lang w:val="en-GB"/>
          </w:rPr>
          <w:t>2008</w:t>
        </w:r>
      </w:hyperlink>
      <w:r w:rsidR="004E5A78" w:rsidRPr="003726FE">
        <w:rPr>
          <w:noProof/>
          <w:lang w:val="en-GB"/>
        </w:rPr>
        <w:t>)</w:t>
      </w:r>
      <w:r w:rsidR="009C6C1A" w:rsidRPr="003726FE">
        <w:rPr>
          <w:lang w:val="en-GB"/>
        </w:rPr>
        <w:fldChar w:fldCharType="end"/>
      </w:r>
      <w:r w:rsidR="007712AE" w:rsidRPr="003726FE">
        <w:rPr>
          <w:lang w:val="en-GB"/>
        </w:rPr>
        <w:t xml:space="preserve">. </w:t>
      </w:r>
      <w:hyperlink w:anchor="_ENREF_441" w:tooltip="Winne, 2011 #647" w:history="1">
        <w:r w:rsidR="0094469E" w:rsidRPr="003726FE">
          <w:rPr>
            <w:lang w:val="en-GB"/>
          </w:rPr>
          <w:fldChar w:fldCharType="begin"/>
        </w:r>
        <w:r w:rsidR="0094469E">
          <w:rPr>
            <w:lang w:val="en-GB"/>
          </w:rPr>
          <w:instrText xml:space="preserve"> ADDIN EN.CITE &lt;EndNote&gt;&lt;Cite AuthorYear="1"&gt;&lt;Author&gt;Winne&lt;/Author&gt;&lt;Year&gt;2011&lt;/Year&gt;&lt;RecNum&gt;647&lt;/RecNum&gt;&lt;DisplayText&gt;Winne (2011)&lt;/DisplayText&gt;&lt;record&gt;&lt;rec-number&gt;647&lt;/rec-number&gt;&lt;foreign-keys&gt;&lt;key app="EN" db-id="xa2r2ewea92trkef5dt5arvbzafvpv2za5ft" timestamp="1496417563"&gt;647&lt;/key&gt;&lt;/foreign-keys&gt;&lt;ref-type name="Journal Article"&gt;17&lt;/ref-type&gt;&lt;contributors&gt;&lt;authors&gt;&lt;author&gt;Winne, Philip H&lt;/author&gt;&lt;/authors&gt;&lt;/contributors&gt;&lt;titles&gt;&lt;title&gt;A cognitive and metacognitive analysis of self-regulated learning&lt;/title&gt;&lt;secondary-title&gt;Handbook of self-regulation of learning and performance&lt;/secondary-title&gt;&lt;/titles&gt;&lt;periodical&gt;&lt;full-title&gt;Handbook of self-regulation of learning and performance&lt;/full-title&gt;&lt;/periodical&gt;&lt;pages&gt;15-32&lt;/pages&gt;&lt;dates&gt;&lt;year&gt;2011&lt;/year&gt;&lt;/dates&gt;&lt;urls&gt;&lt;/urls&gt;&lt;/record&gt;&lt;/Cite&gt;&lt;/EndNote&gt;</w:instrText>
        </w:r>
        <w:r w:rsidR="0094469E" w:rsidRPr="003726FE">
          <w:rPr>
            <w:lang w:val="en-GB"/>
          </w:rPr>
          <w:fldChar w:fldCharType="separate"/>
        </w:r>
        <w:r w:rsidR="0094469E" w:rsidRPr="003726FE">
          <w:rPr>
            <w:noProof/>
            <w:lang w:val="en-GB"/>
          </w:rPr>
          <w:t>Winne (2011)</w:t>
        </w:r>
        <w:r w:rsidR="0094469E" w:rsidRPr="003726FE">
          <w:rPr>
            <w:lang w:val="en-GB"/>
          </w:rPr>
          <w:fldChar w:fldCharType="end"/>
        </w:r>
      </w:hyperlink>
      <w:r w:rsidR="000654C7" w:rsidRPr="003726FE">
        <w:rPr>
          <w:lang w:val="en-GB"/>
        </w:rPr>
        <w:t xml:space="preserve"> describe</w:t>
      </w:r>
      <w:r w:rsidR="00E93DB3" w:rsidRPr="003726FE">
        <w:rPr>
          <w:lang w:val="en-GB"/>
        </w:rPr>
        <w:t>d</w:t>
      </w:r>
      <w:r w:rsidR="000654C7" w:rsidRPr="003726FE">
        <w:rPr>
          <w:lang w:val="en-GB"/>
        </w:rPr>
        <w:t xml:space="preserve"> SRL in academic learning contexts using four open linked phases within a feedback loop. Firstly, learners identify the task, they set goals and plans related to the task, </w:t>
      </w:r>
      <w:r w:rsidR="00FC0FFB" w:rsidRPr="003726FE">
        <w:rPr>
          <w:lang w:val="en-GB"/>
        </w:rPr>
        <w:t>and then</w:t>
      </w:r>
      <w:r w:rsidR="000654C7" w:rsidRPr="003726FE">
        <w:rPr>
          <w:lang w:val="en-GB"/>
        </w:rPr>
        <w:t xml:space="preserve"> they perform the strategies needed t</w:t>
      </w:r>
      <w:r w:rsidR="00E93DB3" w:rsidRPr="003726FE">
        <w:rPr>
          <w:lang w:val="en-GB"/>
        </w:rPr>
        <w:t>o achieve their goals and plans. F</w:t>
      </w:r>
      <w:r w:rsidR="000654C7" w:rsidRPr="003726FE">
        <w:rPr>
          <w:lang w:val="en-GB"/>
        </w:rPr>
        <w:t xml:space="preserve">inally they metacognitively adapt to perform better in subsequent </w:t>
      </w:r>
      <w:r w:rsidR="007A7EF3">
        <w:rPr>
          <w:lang w:val="en-GB"/>
        </w:rPr>
        <w:t>attempts</w:t>
      </w:r>
      <w:r w:rsidR="000654C7" w:rsidRPr="003726FE">
        <w:rPr>
          <w:lang w:val="en-GB"/>
        </w:rPr>
        <w:t xml:space="preserve">. </w:t>
      </w:r>
      <w:r w:rsidR="00785F30" w:rsidRPr="003726FE">
        <w:rPr>
          <w:lang w:val="en-GB"/>
        </w:rPr>
        <w:t>Learners</w:t>
      </w:r>
      <w:r w:rsidR="004B27C7" w:rsidRPr="003726FE">
        <w:rPr>
          <w:lang w:val="en-GB"/>
        </w:rPr>
        <w:t xml:space="preserve"> monitor their cognitions and performance</w:t>
      </w:r>
      <w:r w:rsidR="00785F30" w:rsidRPr="003726FE">
        <w:rPr>
          <w:lang w:val="en-GB"/>
        </w:rPr>
        <w:t xml:space="preserve"> in relation to both internal and external factors, </w:t>
      </w:r>
      <w:r w:rsidR="0021662A">
        <w:rPr>
          <w:lang w:val="en-GB"/>
        </w:rPr>
        <w:t>including</w:t>
      </w:r>
      <w:r w:rsidR="00785F30" w:rsidRPr="003726FE">
        <w:rPr>
          <w:lang w:val="en-GB"/>
        </w:rPr>
        <w:t xml:space="preserve"> teacher feedback</w:t>
      </w:r>
      <w:r w:rsidR="004B27C7" w:rsidRPr="003726FE">
        <w:rPr>
          <w:lang w:val="en-GB"/>
        </w:rPr>
        <w:t xml:space="preserve"> and assessment criteria, which precede task identification and planning activities. This feature would be advantageous in the present study as it explicitly considers the interplay between internal and external factors. The model has been reviewed and tested with some success in the context of e-learning and has provided useful insights into how student self-regulate their online learning using simple trace logs and more complex activity tracking tools </w:t>
      </w:r>
      <w:r w:rsidR="00EF281A" w:rsidRPr="003726FE">
        <w:rPr>
          <w:lang w:val="en-GB"/>
        </w:rPr>
        <w:fldChar w:fldCharType="begin"/>
      </w:r>
      <w:r w:rsidR="008B61BE">
        <w:rPr>
          <w:lang w:val="en-GB"/>
        </w:rPr>
        <w:instrText xml:space="preserve"> ADDIN EN.CITE &lt;EndNote&gt;&lt;Cite&gt;&lt;Author&gt;Winne&lt;/Author&gt;&lt;Year&gt;2010&lt;/Year&gt;&lt;RecNum&gt;648&lt;/RecNum&gt;&lt;DisplayText&gt;(Winne et al. 2010)&lt;/DisplayText&gt;&lt;record&gt;&lt;rec-number&gt;648&lt;/rec-number&gt;&lt;foreign-keys&gt;&lt;key app="EN" db-id="xa2r2ewea92trkef5dt5arvbzafvpv2za5ft" timestamp="1496417563"&gt;648&lt;/key&gt;&lt;/foreign-keys&gt;&lt;ref-type name="Journal Article"&gt;17&lt;/ref-type&gt;&lt;contributors&gt;&lt;authors&gt;&lt;author&gt;Winne, Philip H&lt;/author&gt;&lt;author&gt;Hadwin, Allyson Fiona&lt;/author&gt;&lt;author&gt;Gress, Carmen&lt;/author&gt;&lt;/authors&gt;&lt;/contributors&gt;&lt;titles&gt;&lt;title&gt;The learning kit project: Software tools for supporting and researching regulation of collaborative learning&lt;/title&gt;&lt;secondary-title&gt;Computers in Human Behavior&lt;/secondary-title&gt;&lt;/titles&gt;&lt;periodical&gt;&lt;full-title&gt;Computers in Human Behavior&lt;/full-title&gt;&lt;/periodical&gt;&lt;pages&gt;787-793&lt;/pages&gt;&lt;volume&gt;26&lt;/volume&gt;&lt;number&gt;5&lt;/number&gt;&lt;dates&gt;&lt;year&gt;2010&lt;/year&gt;&lt;/dates&gt;&lt;isbn&gt;0747-5632&lt;/isbn&gt;&lt;urls&gt;&lt;/urls&gt;&lt;/record&gt;&lt;/Cite&gt;&lt;/EndNote&gt;</w:instrText>
      </w:r>
      <w:r w:rsidR="00EF281A" w:rsidRPr="003726FE">
        <w:rPr>
          <w:lang w:val="en-GB"/>
        </w:rPr>
        <w:fldChar w:fldCharType="separate"/>
      </w:r>
      <w:r w:rsidR="004E5A78" w:rsidRPr="003726FE">
        <w:rPr>
          <w:noProof/>
          <w:lang w:val="en-GB"/>
        </w:rPr>
        <w:t>(</w:t>
      </w:r>
      <w:hyperlink w:anchor="_ENREF_445" w:tooltip="Winne, 2010 #648" w:history="1">
        <w:r w:rsidR="0094469E" w:rsidRPr="003726FE">
          <w:rPr>
            <w:noProof/>
            <w:lang w:val="en-GB"/>
          </w:rPr>
          <w:t>Winne et al. 2010</w:t>
        </w:r>
      </w:hyperlink>
      <w:r w:rsidR="004E5A78" w:rsidRPr="003726FE">
        <w:rPr>
          <w:noProof/>
          <w:lang w:val="en-GB"/>
        </w:rPr>
        <w:t>)</w:t>
      </w:r>
      <w:r w:rsidR="00EF281A" w:rsidRPr="003726FE">
        <w:rPr>
          <w:lang w:val="en-GB"/>
        </w:rPr>
        <w:fldChar w:fldCharType="end"/>
      </w:r>
      <w:r w:rsidR="004B27C7" w:rsidRPr="003726FE">
        <w:rPr>
          <w:lang w:val="en-GB"/>
        </w:rPr>
        <w:t>.</w:t>
      </w:r>
    </w:p>
    <w:p w14:paraId="4BC4F407" w14:textId="77777777" w:rsidR="00684B75" w:rsidRPr="003726FE" w:rsidRDefault="00684B75" w:rsidP="00026049">
      <w:pPr>
        <w:pStyle w:val="Normal1"/>
        <w:rPr>
          <w:lang w:val="en-GB"/>
        </w:rPr>
      </w:pPr>
    </w:p>
    <w:p w14:paraId="722D5699" w14:textId="76330C9C" w:rsidR="00684B75" w:rsidRPr="003726FE" w:rsidRDefault="00684B75" w:rsidP="00026049">
      <w:pPr>
        <w:pStyle w:val="Normal1"/>
        <w:rPr>
          <w:lang w:val="en-GB"/>
        </w:rPr>
      </w:pPr>
      <w:r w:rsidRPr="003726FE">
        <w:rPr>
          <w:lang w:val="en-GB"/>
        </w:rPr>
        <w:t xml:space="preserve">Despite </w:t>
      </w:r>
      <w:r w:rsidR="00E93DB3" w:rsidRPr="003726FE">
        <w:rPr>
          <w:lang w:val="en-GB"/>
        </w:rPr>
        <w:t xml:space="preserve">the </w:t>
      </w:r>
      <w:r w:rsidRPr="003726FE">
        <w:rPr>
          <w:lang w:val="en-GB"/>
        </w:rPr>
        <w:t>advanta</w:t>
      </w:r>
      <w:r w:rsidR="007712AE" w:rsidRPr="003726FE">
        <w:rPr>
          <w:lang w:val="en-GB"/>
        </w:rPr>
        <w:t>ges of the metacognitive model</w:t>
      </w:r>
      <w:r w:rsidR="004B27C7" w:rsidRPr="003726FE">
        <w:rPr>
          <w:lang w:val="en-GB"/>
        </w:rPr>
        <w:t>,</w:t>
      </w:r>
      <w:r w:rsidR="007712AE" w:rsidRPr="003726FE">
        <w:rPr>
          <w:lang w:val="en-GB"/>
        </w:rPr>
        <w:t xml:space="preserve"> it was developed from </w:t>
      </w:r>
      <w:r w:rsidRPr="003726FE">
        <w:rPr>
          <w:lang w:val="en-GB"/>
        </w:rPr>
        <w:t>the information processing theory</w:t>
      </w:r>
      <w:r w:rsidR="00EE6EA9" w:rsidRPr="003726FE">
        <w:rPr>
          <w:lang w:val="en-GB"/>
        </w:rPr>
        <w:t xml:space="preserve"> and </w:t>
      </w:r>
      <w:r w:rsidR="004B27C7" w:rsidRPr="003726FE">
        <w:rPr>
          <w:lang w:val="en-GB"/>
        </w:rPr>
        <w:t xml:space="preserve">retains </w:t>
      </w:r>
      <w:r w:rsidR="00E673A6" w:rsidRPr="003726FE">
        <w:rPr>
          <w:lang w:val="en-GB"/>
        </w:rPr>
        <w:t xml:space="preserve">characteristics which view SRL as </w:t>
      </w:r>
      <w:r w:rsidR="00E673A6" w:rsidRPr="003726FE">
        <w:rPr>
          <w:lang w:val="en-GB"/>
        </w:rPr>
        <w:lastRenderedPageBreak/>
        <w:t>transactional behaviours as opposed to situated in social contexts</w:t>
      </w:r>
      <w:r w:rsidR="00EE6EA9" w:rsidRPr="003726FE">
        <w:rPr>
          <w:lang w:val="en-GB"/>
        </w:rPr>
        <w:t xml:space="preserve"> </w:t>
      </w:r>
      <w:r w:rsidR="00EE6EA9" w:rsidRPr="003726FE">
        <w:rPr>
          <w:lang w:val="en-GB"/>
        </w:rPr>
        <w:fldChar w:fldCharType="begin"/>
      </w:r>
      <w:r w:rsidR="008B61BE">
        <w:rPr>
          <w:lang w:val="en-GB"/>
        </w:rPr>
        <w:instrText xml:space="preserve"> ADDIN EN.CITE &lt;EndNote&gt;&lt;Cite&gt;&lt;Author&gt;Winne&lt;/Author&gt;&lt;Year&gt;1998&lt;/Year&gt;&lt;RecNum&gt;629&lt;/RecNum&gt;&lt;DisplayText&gt;(Winne and Hadwin 1998; Panadero et al. 2016)&lt;/DisplayText&gt;&lt;record&gt;&lt;rec-number&gt;629&lt;/rec-number&gt;&lt;foreign-keys&gt;&lt;key app="EN" db-id="xa2r2ewea92trkef5dt5arvbzafvpv2za5ft" timestamp="1496417561"&gt;629&lt;/key&gt;&lt;/foreign-keys&gt;&lt;ref-type name="Journal Article"&gt;17&lt;/ref-type&gt;&lt;contributors&gt;&lt;authors&gt;&lt;author&gt;Winne, Philip H&lt;/author&gt;&lt;author&gt;Hadwin, Allyson F&lt;/author&gt;&lt;/authors&gt;&lt;/contributors&gt;&lt;titles&gt;&lt;title&gt;Studying as self-regulated learning&lt;/title&gt;&lt;secondary-title&gt;Metacognition in educational theory and practice&lt;/secondary-title&gt;&lt;/titles&gt;&lt;periodical&gt;&lt;full-title&gt;Metacognition in educational theory and practice&lt;/full-title&gt;&lt;/periodical&gt;&lt;pages&gt;27-30&lt;/pages&gt;&lt;volume&gt;93&lt;/volume&gt;&lt;dates&gt;&lt;year&gt;1998&lt;/year&gt;&lt;/dates&gt;&lt;urls&gt;&lt;/urls&gt;&lt;/record&gt;&lt;/Cite&gt;&lt;Cite&gt;&lt;Author&gt;Panadero&lt;/Author&gt;&lt;Year&gt;2016&lt;/Year&gt;&lt;RecNum&gt;646&lt;/RecNum&gt;&lt;record&gt;&lt;rec-number&gt;646&lt;/rec-number&gt;&lt;foreign-keys&gt;&lt;key app="EN" db-id="xa2r2ewea92trkef5dt5arvbzafvpv2za5ft" timestamp="1496417563"&gt;646&lt;/key&gt;&lt;/foreign-keys&gt;&lt;ref-type name="Journal Article"&gt;17&lt;/ref-type&gt;&lt;contributors&gt;&lt;authors&gt;&lt;author&gt;Panadero, Ernesto&lt;/author&gt;&lt;author&gt;Klug, Julia&lt;/author&gt;&lt;author&gt;Järvelä, Sanna&lt;/author&gt;&lt;/authors&gt;&lt;/contributors&gt;&lt;titles&gt;&lt;title&gt;Third wave of measurement in the self-regulated learning field: When measurement and intervention come hand in hand&lt;/title&gt;&lt;secondary-title&gt;Scandinavian Journal of Educational Research&lt;/secondary-title&gt;&lt;/titles&gt;&lt;periodical&gt;&lt;full-title&gt;Scandinavian Journal of Educational Research&lt;/full-title&gt;&lt;/periodical&gt;&lt;pages&gt;723-735&lt;/pages&gt;&lt;volume&gt;60&lt;/volume&gt;&lt;number&gt;6&lt;/number&gt;&lt;dates&gt;&lt;year&gt;2016&lt;/year&gt;&lt;/dates&gt;&lt;isbn&gt;0031-3831&lt;/isbn&gt;&lt;urls&gt;&lt;/urls&gt;&lt;/record&gt;&lt;/Cite&gt;&lt;/EndNote&gt;</w:instrText>
      </w:r>
      <w:r w:rsidR="00EE6EA9" w:rsidRPr="003726FE">
        <w:rPr>
          <w:lang w:val="en-GB"/>
        </w:rPr>
        <w:fldChar w:fldCharType="separate"/>
      </w:r>
      <w:r w:rsidR="004E5A78" w:rsidRPr="003726FE">
        <w:rPr>
          <w:noProof/>
          <w:lang w:val="en-GB"/>
        </w:rPr>
        <w:t>(</w:t>
      </w:r>
      <w:hyperlink w:anchor="_ENREF_443" w:tooltip="Winne, 1998 #629" w:history="1">
        <w:r w:rsidR="0094469E" w:rsidRPr="003726FE">
          <w:rPr>
            <w:noProof/>
            <w:lang w:val="en-GB"/>
          </w:rPr>
          <w:t>Winne and Hadwin 1998</w:t>
        </w:r>
      </w:hyperlink>
      <w:r w:rsidR="004E5A78" w:rsidRPr="003726FE">
        <w:rPr>
          <w:noProof/>
          <w:lang w:val="en-GB"/>
        </w:rPr>
        <w:t xml:space="preserve">; </w:t>
      </w:r>
      <w:hyperlink w:anchor="_ENREF_315" w:tooltip="Panadero, 2016 #646" w:history="1">
        <w:r w:rsidR="0094469E" w:rsidRPr="003726FE">
          <w:rPr>
            <w:noProof/>
            <w:lang w:val="en-GB"/>
          </w:rPr>
          <w:t>Panadero et al. 2016</w:t>
        </w:r>
      </w:hyperlink>
      <w:r w:rsidR="004E5A78" w:rsidRPr="003726FE">
        <w:rPr>
          <w:noProof/>
          <w:lang w:val="en-GB"/>
        </w:rPr>
        <w:t>)</w:t>
      </w:r>
      <w:r w:rsidR="00EE6EA9" w:rsidRPr="003726FE">
        <w:rPr>
          <w:lang w:val="en-GB"/>
        </w:rPr>
        <w:fldChar w:fldCharType="end"/>
      </w:r>
      <w:r w:rsidR="00785F30" w:rsidRPr="003726FE">
        <w:rPr>
          <w:lang w:val="en-GB"/>
        </w:rPr>
        <w:t xml:space="preserve">. Additionally, the model neglects emotional regulation over a brief mention of motivational beliefs </w:t>
      </w:r>
      <w:r w:rsidR="00EF281A" w:rsidRPr="003726FE">
        <w:rPr>
          <w:lang w:val="en-GB"/>
        </w:rPr>
        <w:fldChar w:fldCharType="begin"/>
      </w:r>
      <w:r w:rsidR="008B61BE">
        <w:rPr>
          <w:lang w:val="en-GB"/>
        </w:rPr>
        <w:instrText xml:space="preserve"> ADDIN EN.CITE &lt;EndNote&gt;&lt;Cite&gt;&lt;Author&gt;Panadero&lt;/Author&gt;&lt;Year&gt;2017&lt;/Year&gt;&lt;RecNum&gt;620&lt;/RecNum&gt;&lt;DisplayText&gt;(Panadero 2017)&lt;/DisplayText&gt;&lt;record&gt;&lt;rec-number&gt;620&lt;/rec-number&gt;&lt;foreign-keys&gt;&lt;key app="EN" db-id="xa2r2ewea92trkef5dt5arvbzafvpv2za5ft" timestamp="1496417560"&gt;620&lt;/key&gt;&lt;/foreign-keys&gt;&lt;ref-type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Psychology&lt;/secondary-title&gt;&lt;/titles&gt;&lt;periodical&gt;&lt;full-title&gt;Frontiers in Psychology&lt;/full-title&gt;&lt;/periodical&gt;&lt;pages&gt;1-28&lt;/pages&gt;&lt;volume&gt;8&lt;/volume&gt;&lt;number&gt;422&lt;/number&gt;&lt;section&gt;1&lt;/section&gt;&lt;dates&gt;&lt;year&gt;2017&lt;/year&gt;&lt;/dates&gt;&lt;urls&gt;&lt;/urls&gt;&lt;electronic-resource-num&gt;10.3389/fpsyg.2017.00422&lt;/electronic-resource-num&gt;&lt;/record&gt;&lt;/Cite&gt;&lt;/EndNote&gt;</w:instrText>
      </w:r>
      <w:r w:rsidR="00EF281A" w:rsidRPr="003726FE">
        <w:rPr>
          <w:lang w:val="en-GB"/>
        </w:rPr>
        <w:fldChar w:fldCharType="separate"/>
      </w:r>
      <w:r w:rsidR="004E5A78" w:rsidRPr="003726FE">
        <w:rPr>
          <w:noProof/>
          <w:lang w:val="en-GB"/>
        </w:rPr>
        <w:t>(</w:t>
      </w:r>
      <w:hyperlink w:anchor="_ENREF_314" w:tooltip="Panadero, 2017 #620" w:history="1">
        <w:r w:rsidR="0094469E" w:rsidRPr="003726FE">
          <w:rPr>
            <w:noProof/>
            <w:lang w:val="en-GB"/>
          </w:rPr>
          <w:t>Panadero 2017</w:t>
        </w:r>
      </w:hyperlink>
      <w:r w:rsidR="004E5A78" w:rsidRPr="003726FE">
        <w:rPr>
          <w:noProof/>
          <w:lang w:val="en-GB"/>
        </w:rPr>
        <w:t>)</w:t>
      </w:r>
      <w:r w:rsidR="00EF281A" w:rsidRPr="003726FE">
        <w:rPr>
          <w:lang w:val="en-GB"/>
        </w:rPr>
        <w:fldChar w:fldCharType="end"/>
      </w:r>
      <w:r w:rsidR="00785F30" w:rsidRPr="003726FE">
        <w:rPr>
          <w:lang w:val="en-GB"/>
        </w:rPr>
        <w:t xml:space="preserve">. This model would hinder the exploration of self-efficacy which plays an important role in the social cognitive view of SRL as well as within medical education </w:t>
      </w:r>
      <w:r w:rsidR="00EF281A" w:rsidRPr="003726FE">
        <w:rPr>
          <w:lang w:val="en-GB"/>
        </w:rPr>
        <w:fldChar w:fldCharType="begin"/>
      </w:r>
      <w:r w:rsidR="008B61BE">
        <w:rPr>
          <w:lang w:val="en-GB"/>
        </w:rPr>
        <w:instrText xml:space="preserve"> ADDIN EN.CITE &lt;EndNote&gt;&lt;Cite&gt;&lt;Author&gt;Turan&lt;/Author&gt;&lt;Year&gt;2013&lt;/Year&gt;&lt;RecNum&gt;596&lt;/RecNum&gt;&lt;DisplayText&gt;(Turan et al. 2013)&lt;/DisplayText&gt;&lt;record&gt;&lt;rec-number&gt;596&lt;/rec-number&gt;&lt;foreign-keys&gt;&lt;key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00EF281A" w:rsidRPr="003726FE">
        <w:rPr>
          <w:lang w:val="en-GB"/>
        </w:rPr>
        <w:fldChar w:fldCharType="separate"/>
      </w:r>
      <w:r w:rsidR="004E5A78" w:rsidRPr="003726FE">
        <w:rPr>
          <w:noProof/>
          <w:lang w:val="en-GB"/>
        </w:rPr>
        <w:t>(</w:t>
      </w:r>
      <w:hyperlink w:anchor="_ENREF_410" w:tooltip="Turan, 2013 #596" w:history="1">
        <w:r w:rsidR="0094469E" w:rsidRPr="003726FE">
          <w:rPr>
            <w:noProof/>
            <w:lang w:val="en-GB"/>
          </w:rPr>
          <w:t>Turan et al. 2013</w:t>
        </w:r>
      </w:hyperlink>
      <w:r w:rsidR="004E5A78" w:rsidRPr="003726FE">
        <w:rPr>
          <w:noProof/>
          <w:lang w:val="en-GB"/>
        </w:rPr>
        <w:t>)</w:t>
      </w:r>
      <w:r w:rsidR="00EF281A" w:rsidRPr="003726FE">
        <w:rPr>
          <w:lang w:val="en-GB"/>
        </w:rPr>
        <w:fldChar w:fldCharType="end"/>
      </w:r>
      <w:r w:rsidR="00785F30" w:rsidRPr="003726FE">
        <w:rPr>
          <w:lang w:val="en-GB"/>
        </w:rPr>
        <w:t xml:space="preserve">, thus </w:t>
      </w:r>
      <w:r w:rsidR="00C5683A">
        <w:rPr>
          <w:lang w:val="en-GB"/>
        </w:rPr>
        <w:t xml:space="preserve">it </w:t>
      </w:r>
      <w:r w:rsidR="00785F30" w:rsidRPr="003726FE">
        <w:rPr>
          <w:lang w:val="en-GB"/>
        </w:rPr>
        <w:t>would not</w:t>
      </w:r>
      <w:r w:rsidR="00E93DB3" w:rsidRPr="003726FE">
        <w:rPr>
          <w:lang w:val="en-GB"/>
        </w:rPr>
        <w:t xml:space="preserve"> have been</w:t>
      </w:r>
      <w:r w:rsidR="00785F30" w:rsidRPr="003726FE">
        <w:rPr>
          <w:lang w:val="en-GB"/>
        </w:rPr>
        <w:t xml:space="preserve"> appropriate for the objectives of this study.</w:t>
      </w:r>
    </w:p>
    <w:p w14:paraId="5258A521" w14:textId="02207F68" w:rsidR="00797155" w:rsidRPr="003726FE" w:rsidRDefault="00797155" w:rsidP="00026049">
      <w:pPr>
        <w:pStyle w:val="Normal1"/>
        <w:rPr>
          <w:lang w:val="en-GB"/>
        </w:rPr>
      </w:pPr>
    </w:p>
    <w:p w14:paraId="3C466A9A" w14:textId="07DCB37E" w:rsidR="00AA7B7E" w:rsidRPr="003726FE" w:rsidRDefault="00797155" w:rsidP="00BA4521">
      <w:pPr>
        <w:pStyle w:val="Heading3"/>
      </w:pPr>
      <w:bookmarkStart w:id="126" w:name="_Toc500319318"/>
      <w:r w:rsidRPr="003726FE">
        <w:t>A1.2.3</w:t>
      </w:r>
      <w:r w:rsidR="00AA7B7E" w:rsidRPr="003726FE">
        <w:t xml:space="preserve"> Zimmerman’s Three-Phase Cyclical </w:t>
      </w:r>
      <w:r w:rsidR="00C5683A">
        <w:t>Model</w:t>
      </w:r>
      <w:bookmarkEnd w:id="126"/>
    </w:p>
    <w:p w14:paraId="74747088" w14:textId="04FB9632" w:rsidR="00AA7B7E" w:rsidRPr="003726FE" w:rsidRDefault="00AA7B7E" w:rsidP="00026049">
      <w:pPr>
        <w:pStyle w:val="Normal1"/>
        <w:rPr>
          <w:lang w:val="en-GB"/>
        </w:rPr>
      </w:pPr>
    </w:p>
    <w:p w14:paraId="320E0266" w14:textId="6B60F650" w:rsidR="00AA7B7E" w:rsidRPr="003726FE" w:rsidRDefault="00216AD2" w:rsidP="00026049">
      <w:pPr>
        <w:pStyle w:val="Normal1"/>
        <w:rPr>
          <w:lang w:val="en-GB"/>
        </w:rPr>
      </w:pPr>
      <w:r w:rsidRPr="003726FE">
        <w:rPr>
          <w:lang w:val="en-GB"/>
        </w:rPr>
        <w:t>Work on t</w:t>
      </w:r>
      <w:r w:rsidR="00741FA4" w:rsidRPr="003726FE">
        <w:rPr>
          <w:lang w:val="en-GB"/>
        </w:rPr>
        <w:t>he social cognitive mode</w:t>
      </w:r>
      <w:r w:rsidRPr="003726FE">
        <w:rPr>
          <w:lang w:val="en-GB"/>
        </w:rPr>
        <w:t xml:space="preserve">l </w:t>
      </w:r>
      <w:r w:rsidR="00980502" w:rsidRPr="003726FE">
        <w:rPr>
          <w:lang w:val="en-GB"/>
        </w:rPr>
        <w:t>led to the development of</w:t>
      </w:r>
      <w:r w:rsidR="00741FA4" w:rsidRPr="003726FE">
        <w:rPr>
          <w:lang w:val="en-GB"/>
        </w:rPr>
        <w:t xml:space="preserve"> </w:t>
      </w:r>
      <w:r w:rsidR="00AA7B7E" w:rsidRPr="003726FE">
        <w:rPr>
          <w:lang w:val="en-GB"/>
        </w:rPr>
        <w:t xml:space="preserve">Zimmerman’s </w:t>
      </w:r>
      <w:r w:rsidRPr="003726FE">
        <w:rPr>
          <w:lang w:val="en-GB"/>
        </w:rPr>
        <w:t xml:space="preserve">SRL </w:t>
      </w:r>
      <w:r w:rsidR="00AA7B7E" w:rsidRPr="003726FE">
        <w:rPr>
          <w:lang w:val="en-GB"/>
        </w:rPr>
        <w:t>model</w:t>
      </w:r>
      <w:r w:rsidR="007B2B66" w:rsidRPr="003726FE">
        <w:rPr>
          <w:lang w:val="en-GB"/>
        </w:rPr>
        <w:t xml:space="preserve"> </w:t>
      </w:r>
      <w:r w:rsidR="00EF281A" w:rsidRPr="003726FE">
        <w:rPr>
          <w:lang w:val="en-GB"/>
        </w:rPr>
        <w:fldChar w:fldCharType="begin"/>
      </w:r>
      <w:r w:rsidR="008B61BE">
        <w:rPr>
          <w:lang w:val="en-GB"/>
        </w:rPr>
        <w:instrText xml:space="preserve"> ADDIN EN.CITE &lt;EndNote&gt;&lt;Cite ExcludeAuth="1"&gt;&lt;Author&gt;Zimmerman&lt;/Author&gt;&lt;Year&gt;2000&lt;/Year&gt;&lt;RecNum&gt;595&lt;/RecNum&gt;&lt;DisplayText&gt;(2000a)&lt;/DisplayText&gt;&lt;record&gt;&lt;rec-number&gt;595&lt;/rec-number&gt;&lt;foreign-keys&gt;&lt;key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E04EC9" w:rsidRPr="003726FE">
        <w:rPr>
          <w:noProof/>
          <w:lang w:val="en-GB"/>
        </w:rPr>
        <w:t>(</w:t>
      </w:r>
      <w:hyperlink w:anchor="_ENREF_455" w:tooltip="Zimmerman, 2000 #595" w:history="1">
        <w:r w:rsidR="0094469E" w:rsidRPr="003726FE">
          <w:rPr>
            <w:noProof/>
            <w:lang w:val="en-GB"/>
          </w:rPr>
          <w:t>2000a</w:t>
        </w:r>
      </w:hyperlink>
      <w:r w:rsidR="00E04EC9" w:rsidRPr="003726FE">
        <w:rPr>
          <w:noProof/>
          <w:lang w:val="en-GB"/>
        </w:rPr>
        <w:t>)</w:t>
      </w:r>
      <w:r w:rsidR="00EF281A" w:rsidRPr="003726FE">
        <w:rPr>
          <w:lang w:val="en-GB"/>
        </w:rPr>
        <w:fldChar w:fldCharType="end"/>
      </w:r>
      <w:r w:rsidR="00AA7B7E" w:rsidRPr="003726FE">
        <w:rPr>
          <w:lang w:val="en-GB"/>
        </w:rPr>
        <w:t xml:space="preserve"> </w:t>
      </w:r>
      <w:r w:rsidR="00741FA4" w:rsidRPr="003726FE">
        <w:rPr>
          <w:lang w:val="en-GB"/>
        </w:rPr>
        <w:t xml:space="preserve">which </w:t>
      </w:r>
      <w:r w:rsidR="00AA7B7E" w:rsidRPr="003726FE">
        <w:rPr>
          <w:lang w:val="en-GB"/>
        </w:rPr>
        <w:t>depict</w:t>
      </w:r>
      <w:r w:rsidR="00E93DB3" w:rsidRPr="003726FE">
        <w:rPr>
          <w:lang w:val="en-GB"/>
        </w:rPr>
        <w:t>ed</w:t>
      </w:r>
      <w:r w:rsidR="00AA7B7E" w:rsidRPr="003726FE">
        <w:rPr>
          <w:lang w:val="en-GB"/>
        </w:rPr>
        <w:t xml:space="preserve"> SRL cyclically in three phases forming a feedback loop consisting of forethought (prior to the task), performance (during the task), and self-reflection (after t</w:t>
      </w:r>
      <w:r w:rsidRPr="003726FE">
        <w:rPr>
          <w:lang w:val="en-GB"/>
        </w:rPr>
        <w:t xml:space="preserve">ask completion) (See </w:t>
      </w:r>
      <w:r w:rsidR="00AE17C9" w:rsidRPr="003726FE">
        <w:rPr>
          <w:lang w:val="en-GB"/>
        </w:rPr>
        <w:t>Figure</w:t>
      </w:r>
      <w:r w:rsidRPr="003726FE">
        <w:rPr>
          <w:lang w:val="en-GB"/>
        </w:rPr>
        <w:t xml:space="preserve"> </w:t>
      </w:r>
      <w:r w:rsidR="005D20F7" w:rsidRPr="003726FE">
        <w:rPr>
          <w:lang w:val="en-GB"/>
        </w:rPr>
        <w:t>A1.3</w:t>
      </w:r>
      <w:r w:rsidRPr="003726FE">
        <w:rPr>
          <w:lang w:val="en-GB"/>
        </w:rPr>
        <w:t>). Forethought processes influence performance processes and performance processes influence</w:t>
      </w:r>
      <w:r w:rsidR="007B2B66" w:rsidRPr="003726FE">
        <w:rPr>
          <w:lang w:val="en-GB"/>
        </w:rPr>
        <w:t xml:space="preserve"> reflection processes in a cyclical manner. Most crucially, the self-reflection phase directly influences the forethought phase creating the cyclical feedback loop to inform subsequent learning and practice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007B2B66" w:rsidRPr="003726FE">
        <w:rPr>
          <w:lang w:val="en-GB"/>
        </w:rPr>
        <w:t xml:space="preserve">. These phases are </w:t>
      </w:r>
      <w:r w:rsidR="00BF2833" w:rsidRPr="003726FE">
        <w:rPr>
          <w:lang w:val="en-GB"/>
        </w:rPr>
        <w:t>discussed</w:t>
      </w:r>
      <w:r w:rsidR="007B2B66" w:rsidRPr="003726FE">
        <w:rPr>
          <w:lang w:val="en-GB"/>
        </w:rPr>
        <w:t xml:space="preserve"> below outlining the most prevalent SRL processes in the literature</w:t>
      </w:r>
      <w:r w:rsidR="00182109" w:rsidRPr="003726FE">
        <w:rPr>
          <w:lang w:val="en-GB"/>
        </w:rPr>
        <w:t xml:space="preserve">, and thus </w:t>
      </w:r>
      <w:r w:rsidR="00E93DB3" w:rsidRPr="003726FE">
        <w:rPr>
          <w:lang w:val="en-GB"/>
        </w:rPr>
        <w:t xml:space="preserve">were </w:t>
      </w:r>
      <w:r w:rsidR="00182109" w:rsidRPr="003726FE">
        <w:rPr>
          <w:lang w:val="en-GB"/>
        </w:rPr>
        <w:t>considered for exploration in this study</w:t>
      </w:r>
      <w:r w:rsidR="007B2B66" w:rsidRPr="003726FE">
        <w:rPr>
          <w:lang w:val="en-GB"/>
        </w:rPr>
        <w:t>.</w:t>
      </w:r>
    </w:p>
    <w:p w14:paraId="5E7ED998" w14:textId="77085234" w:rsidR="00AA7B7E" w:rsidRPr="003726FE" w:rsidRDefault="00D45845" w:rsidP="00AA7B7E">
      <w:r w:rsidRPr="003726FE">
        <w:rPr>
          <w:rFonts w:ascii="TUOS Blake" w:hAnsi="TUOS Blake"/>
          <w:noProof/>
          <w:szCs w:val="24"/>
          <w:lang w:eastAsia="en-GB"/>
        </w:rPr>
        <w:drawing>
          <wp:anchor distT="0" distB="0" distL="114300" distR="114300" simplePos="0" relativeHeight="251643904" behindDoc="0" locked="0" layoutInCell="1" allowOverlap="1" wp14:anchorId="32F6C7FE" wp14:editId="5081144C">
            <wp:simplePos x="0" y="0"/>
            <wp:positionH relativeFrom="margin">
              <wp:posOffset>684530</wp:posOffset>
            </wp:positionH>
            <wp:positionV relativeFrom="paragraph">
              <wp:posOffset>198967</wp:posOffset>
            </wp:positionV>
            <wp:extent cx="3818255" cy="347154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255" cy="347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E948E" w14:textId="328655E5" w:rsidR="00AA7B7E" w:rsidRPr="003726FE" w:rsidRDefault="00AA7B7E" w:rsidP="00AA7B7E"/>
    <w:p w14:paraId="0445DA7D" w14:textId="77777777" w:rsidR="00AA7B7E" w:rsidRPr="003726FE" w:rsidRDefault="00AA7B7E" w:rsidP="00AA7B7E"/>
    <w:p w14:paraId="06DBAB28" w14:textId="77777777" w:rsidR="00AA7B7E" w:rsidRPr="003726FE" w:rsidRDefault="00AA7B7E" w:rsidP="00AA7B7E">
      <w:pPr>
        <w:rPr>
          <w:b/>
        </w:rPr>
      </w:pPr>
    </w:p>
    <w:p w14:paraId="3441C46C" w14:textId="77777777" w:rsidR="00AA7B7E" w:rsidRPr="003726FE" w:rsidRDefault="00AA7B7E" w:rsidP="00AA7B7E">
      <w:pPr>
        <w:rPr>
          <w:i/>
        </w:rPr>
      </w:pPr>
    </w:p>
    <w:p w14:paraId="5A192120" w14:textId="77777777" w:rsidR="00AA7B7E" w:rsidRPr="003726FE" w:rsidRDefault="00AA7B7E" w:rsidP="00AA7B7E">
      <w:pPr>
        <w:rPr>
          <w:i/>
        </w:rPr>
      </w:pPr>
    </w:p>
    <w:p w14:paraId="1118A3D1" w14:textId="77777777" w:rsidR="00AA7B7E" w:rsidRPr="003726FE" w:rsidRDefault="00AA7B7E" w:rsidP="00AA7B7E">
      <w:pPr>
        <w:rPr>
          <w:i/>
        </w:rPr>
      </w:pPr>
    </w:p>
    <w:p w14:paraId="79513E92" w14:textId="77777777" w:rsidR="00AA7B7E" w:rsidRPr="003726FE" w:rsidRDefault="00AA7B7E" w:rsidP="00AA7B7E">
      <w:pPr>
        <w:rPr>
          <w:i/>
        </w:rPr>
      </w:pPr>
    </w:p>
    <w:p w14:paraId="3CDA6957" w14:textId="77777777" w:rsidR="00AA7B7E" w:rsidRPr="003726FE" w:rsidRDefault="00AA7B7E" w:rsidP="00AA7B7E">
      <w:pPr>
        <w:rPr>
          <w:i/>
        </w:rPr>
      </w:pPr>
    </w:p>
    <w:p w14:paraId="220803A7" w14:textId="77777777" w:rsidR="00AA7B7E" w:rsidRPr="003726FE" w:rsidRDefault="00AA7B7E" w:rsidP="00AA7B7E">
      <w:pPr>
        <w:rPr>
          <w:i/>
        </w:rPr>
      </w:pPr>
    </w:p>
    <w:p w14:paraId="2880D75D" w14:textId="77777777" w:rsidR="00AA7B7E" w:rsidRPr="003726FE" w:rsidRDefault="00AA7B7E" w:rsidP="00AA7B7E">
      <w:pPr>
        <w:rPr>
          <w:i/>
        </w:rPr>
      </w:pPr>
    </w:p>
    <w:p w14:paraId="71D2DF60" w14:textId="77777777" w:rsidR="00AA7B7E" w:rsidRPr="003726FE" w:rsidRDefault="00AA7B7E" w:rsidP="00AA7B7E">
      <w:pPr>
        <w:rPr>
          <w:i/>
        </w:rPr>
      </w:pPr>
    </w:p>
    <w:p w14:paraId="564E916B" w14:textId="77777777" w:rsidR="00AA7B7E" w:rsidRPr="003726FE" w:rsidRDefault="00AA7B7E" w:rsidP="00AA7B7E">
      <w:pPr>
        <w:rPr>
          <w:i/>
        </w:rPr>
      </w:pPr>
    </w:p>
    <w:p w14:paraId="1F2DA4FE" w14:textId="04BE4057" w:rsidR="00AA7B7E" w:rsidRPr="003726FE" w:rsidRDefault="005D20F7" w:rsidP="00A86A82">
      <w:pPr>
        <w:pStyle w:val="Caption"/>
      </w:pPr>
      <w:bookmarkStart w:id="127" w:name="_Toc487455222"/>
      <w:bookmarkStart w:id="128" w:name="_Toc500319533"/>
      <w:r w:rsidRPr="003726FE">
        <w:t>Figure A1.</w:t>
      </w:r>
      <w:fldSimple w:instr=" SEQ Figure_A1. \* ARABIC ">
        <w:r w:rsidR="00E44881">
          <w:rPr>
            <w:noProof/>
          </w:rPr>
          <w:t>3</w:t>
        </w:r>
      </w:fldSimple>
      <w:r w:rsidR="00216AD2" w:rsidRPr="003726FE">
        <w:t xml:space="preserve"> Zimmerman’s</w:t>
      </w:r>
      <w:r w:rsidR="00AA7B7E" w:rsidRPr="003726FE">
        <w:t xml:space="preserve"> three phase cyclical model</w:t>
      </w:r>
      <w:r w:rsidR="00216AD2" w:rsidRPr="003726FE">
        <w:t xml:space="preserve"> of </w:t>
      </w:r>
      <w:r w:rsidR="00642AB8" w:rsidRPr="003726FE">
        <w:t>SRL</w:t>
      </w:r>
      <w:r w:rsidR="00E52DD2">
        <w:t xml:space="preserve"> with corresponding processes</w:t>
      </w:r>
      <w:r w:rsidR="00AA7B7E" w:rsidRPr="003726FE">
        <w:t xml:space="preserve">, </w:t>
      </w:r>
      <w:r w:rsidR="00E52DD2">
        <w:t>information</w:t>
      </w:r>
      <w:r w:rsidR="00AA7B7E" w:rsidRPr="003726FE">
        <w:t xml:space="preserve"> from </w:t>
      </w:r>
      <w:hyperlink w:anchor="_ENREF_455" w:tooltip="Zimmerman, 2000 #595" w:history="1">
        <w:r w:rsidR="0094469E" w:rsidRPr="003726FE">
          <w:fldChar w:fldCharType="begin"/>
        </w:r>
        <w:r w:rsidR="0094469E">
          <w:instrText xml:space="preserve"> ADDIN EN.CITE &lt;EndNote&gt;&lt;Cite AuthorYear="1"&gt;&lt;Author&gt;Zimmerman&lt;/Author&gt;&lt;Year&gt;2000&lt;/Year&gt;&lt;RecNum&gt;595&lt;/RecNum&gt;&lt;DisplayText&gt;Zimmerman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94469E" w:rsidRPr="003726FE">
          <w:fldChar w:fldCharType="separate"/>
        </w:r>
        <w:r w:rsidR="0094469E" w:rsidRPr="003726FE">
          <w:rPr>
            <w:noProof/>
          </w:rPr>
          <w:t>Zimmerman (2000a)</w:t>
        </w:r>
        <w:r w:rsidR="0094469E" w:rsidRPr="003726FE">
          <w:fldChar w:fldCharType="end"/>
        </w:r>
      </w:hyperlink>
      <w:r w:rsidR="00AA7B7E" w:rsidRPr="003726FE">
        <w:t xml:space="preserve"> and </w:t>
      </w:r>
      <w:hyperlink w:anchor="_ENREF_85" w:tooltip="Cleary, 2014 #36" w:history="1">
        <w:r w:rsidR="0094469E" w:rsidRPr="003726FE">
          <w:fldChar w:fldCharType="begin"/>
        </w:r>
        <w:r w:rsidR="0094469E">
          <w:instrText xml:space="preserve"> ADDIN EN.CITE &lt;EndNote&gt;&lt;Cite AuthorYear="1"&gt;&lt;Author&gt;Cleary&lt;/Author&gt;&lt;Year&gt;2014&lt;/Year&gt;&lt;RecNum&gt;312&lt;/RecNum&gt;&lt;DisplayText&gt;Cleary et al. (2014)&lt;/DisplayText&gt;&lt;record&gt;&lt;rec-number&gt;312&lt;/rec-number&gt;&lt;foreign-keys&gt;&lt;key app="EN" db-id="xa2r2ewea92trkef5dt5arvbzafvpv2za5ft" timestamp="1496417534"&gt;312&lt;/key&gt;&lt;/foreign-keys&gt;&lt;ref-type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94469E" w:rsidRPr="003726FE">
          <w:fldChar w:fldCharType="separate"/>
        </w:r>
        <w:r w:rsidR="0094469E" w:rsidRPr="003726FE">
          <w:rPr>
            <w:noProof/>
          </w:rPr>
          <w:t>Cleary et al. (2014)</w:t>
        </w:r>
        <w:r w:rsidR="0094469E" w:rsidRPr="003726FE">
          <w:fldChar w:fldCharType="end"/>
        </w:r>
      </w:hyperlink>
      <w:r w:rsidR="00AA7B7E" w:rsidRPr="003726FE">
        <w:t>.</w:t>
      </w:r>
      <w:bookmarkEnd w:id="127"/>
      <w:bookmarkEnd w:id="128"/>
    </w:p>
    <w:p w14:paraId="351F6610" w14:textId="77777777" w:rsidR="00AA7B7E" w:rsidRPr="003726FE" w:rsidRDefault="00AA7B7E" w:rsidP="00AA7B7E"/>
    <w:p w14:paraId="5CA02A20" w14:textId="4ECDFDD5" w:rsidR="00715ECC" w:rsidRPr="003726FE" w:rsidRDefault="00C74413" w:rsidP="00426FCB">
      <w:pPr>
        <w:pStyle w:val="Heading4"/>
      </w:pPr>
      <w:r>
        <w:t xml:space="preserve">A1.2.3.1 </w:t>
      </w:r>
      <w:r w:rsidR="00715ECC" w:rsidRPr="003726FE">
        <w:t>Forethought Phase</w:t>
      </w:r>
    </w:p>
    <w:p w14:paraId="2677CA7F" w14:textId="77777777" w:rsidR="00715ECC" w:rsidRPr="003726FE" w:rsidRDefault="00715ECC" w:rsidP="00026049">
      <w:pPr>
        <w:pStyle w:val="Normal1"/>
        <w:rPr>
          <w:lang w:val="en-GB"/>
        </w:rPr>
      </w:pPr>
    </w:p>
    <w:p w14:paraId="4250AA30" w14:textId="5EE4EA13" w:rsidR="00715ECC" w:rsidRPr="003726FE" w:rsidRDefault="00AA7B7E" w:rsidP="00026049">
      <w:pPr>
        <w:pStyle w:val="Normal1"/>
        <w:rPr>
          <w:lang w:val="en-GB"/>
        </w:rPr>
      </w:pPr>
      <w:r w:rsidRPr="003726FE">
        <w:rPr>
          <w:lang w:val="en-GB"/>
        </w:rPr>
        <w:t xml:space="preserve">Using the example of a student performing a clinical skill, the forethought phase involves setting goals and the planning of strategies for the procedure (task analysis). This phase also involves establishing motivational beliefs in relation to the specific task. The learner sets specific or general goals to strive for particular outcomes </w:t>
      </w:r>
      <w:r w:rsidR="00402AF2" w:rsidRPr="003726FE">
        <w:rPr>
          <w:lang w:val="en-GB"/>
        </w:rPr>
        <w:t>in</w:t>
      </w:r>
      <w:r w:rsidRPr="003726FE">
        <w:rPr>
          <w:lang w:val="en-GB"/>
        </w:rPr>
        <w:t xml:space="preserve"> the</w:t>
      </w:r>
      <w:r w:rsidR="005D20F7" w:rsidRPr="003726FE">
        <w:rPr>
          <w:lang w:val="en-GB"/>
        </w:rPr>
        <w:t>ir</w:t>
      </w:r>
      <w:r w:rsidRPr="003726FE">
        <w:rPr>
          <w:lang w:val="en-GB"/>
        </w:rPr>
        <w:t xml:space="preserve"> task</w:t>
      </w:r>
      <w:r w:rsidR="005D20F7" w:rsidRPr="003726FE">
        <w:rPr>
          <w:lang w:val="en-GB"/>
        </w:rPr>
        <w:t xml:space="preserve"> performance</w:t>
      </w:r>
      <w:r w:rsidRPr="003726FE">
        <w:rPr>
          <w:lang w:val="en-GB"/>
        </w:rPr>
        <w:t xml:space="preserve"> (to successfully catheterise the patient within 15 minutes) and chooses strategies and techniques which will help achieve their self-set goals (</w:t>
      </w:r>
      <w:r w:rsidR="00232187">
        <w:rPr>
          <w:lang w:val="en-GB"/>
        </w:rPr>
        <w:t xml:space="preserve">e.g. </w:t>
      </w:r>
      <w:r w:rsidRPr="003726FE">
        <w:rPr>
          <w:lang w:val="en-GB"/>
        </w:rPr>
        <w:t xml:space="preserve">“I will prep the area using a sterile technique quickly and efficiently and maintain this throughout the procedure”). </w:t>
      </w:r>
    </w:p>
    <w:p w14:paraId="659DF050" w14:textId="77777777" w:rsidR="00715ECC" w:rsidRPr="003726FE" w:rsidRDefault="00715ECC" w:rsidP="00026049">
      <w:pPr>
        <w:pStyle w:val="Normal1"/>
        <w:rPr>
          <w:lang w:val="en-GB"/>
        </w:rPr>
      </w:pPr>
    </w:p>
    <w:p w14:paraId="48FFBC93" w14:textId="004D8D0A" w:rsidR="006B053B" w:rsidRPr="003726FE" w:rsidRDefault="006B053B" w:rsidP="00026049">
      <w:pPr>
        <w:pStyle w:val="Normal1"/>
        <w:rPr>
          <w:lang w:val="en-GB"/>
        </w:rPr>
      </w:pPr>
      <w:r w:rsidRPr="003726FE">
        <w:rPr>
          <w:i/>
          <w:lang w:val="en-GB"/>
        </w:rPr>
        <w:t>Goal Setting</w:t>
      </w:r>
      <w:r w:rsidR="00967265" w:rsidRPr="003726FE">
        <w:rPr>
          <w:i/>
          <w:lang w:val="en-GB"/>
        </w:rPr>
        <w:t xml:space="preserve"> </w:t>
      </w:r>
      <w:r w:rsidR="00967265" w:rsidRPr="003726FE">
        <w:rPr>
          <w:lang w:val="en-GB"/>
        </w:rPr>
        <w:t>is the first SRL process</w:t>
      </w:r>
      <w:r w:rsidR="00414029" w:rsidRPr="003726FE">
        <w:rPr>
          <w:lang w:val="en-GB"/>
        </w:rPr>
        <w:t xml:space="preserve"> in task analysis</w:t>
      </w:r>
      <w:r w:rsidR="00967265" w:rsidRPr="003726FE">
        <w:rPr>
          <w:lang w:val="en-GB"/>
        </w:rPr>
        <w:t xml:space="preserve"> and involves choosing an outcome to be used as a measure of performance </w:t>
      </w:r>
      <w:r w:rsidR="00232187">
        <w:rPr>
          <w:lang w:val="en-GB"/>
        </w:rPr>
        <w:t xml:space="preserve">towards </w:t>
      </w:r>
      <w:r w:rsidR="00967265" w:rsidRPr="003726FE">
        <w:rPr>
          <w:lang w:val="en-GB"/>
        </w:rPr>
        <w:t>which the learner</w:t>
      </w:r>
      <w:r w:rsidR="00232187">
        <w:rPr>
          <w:lang w:val="en-GB"/>
        </w:rPr>
        <w:t xml:space="preserve"> dedicates their efforts</w:t>
      </w:r>
      <w:r w:rsidR="00967265" w:rsidRPr="003726FE">
        <w:rPr>
          <w:lang w:val="en-GB"/>
        </w:rPr>
        <w:t xml:space="preserve">. It is linked to the self-reflection stage in that the outcome is measured against whether the goal is reached or not, whereupon changes can be made which inform how </w:t>
      </w:r>
      <w:r w:rsidR="00730709" w:rsidRPr="003726FE">
        <w:rPr>
          <w:lang w:val="en-GB"/>
        </w:rPr>
        <w:t>future</w:t>
      </w:r>
      <w:r w:rsidR="00967265" w:rsidRPr="003726FE">
        <w:rPr>
          <w:lang w:val="en-GB"/>
        </w:rPr>
        <w:t xml:space="preserve"> goals are set. It also r</w:t>
      </w:r>
      <w:r w:rsidR="00730709" w:rsidRPr="003726FE">
        <w:rPr>
          <w:lang w:val="en-GB"/>
        </w:rPr>
        <w:t>elates to the performance phase;</w:t>
      </w:r>
      <w:r w:rsidR="00967265" w:rsidRPr="003726FE">
        <w:rPr>
          <w:lang w:val="en-GB"/>
        </w:rPr>
        <w:t xml:space="preserve"> goals can be monitored during performance to measure progress towards attaining them and individuals may alter their performance in real time according to that progress. </w:t>
      </w:r>
      <w:hyperlink w:anchor="_ENREF_457" w:tooltip="Zimmerman, 2002 #651" w:history="1">
        <w:r w:rsidR="0094469E" w:rsidRPr="003726FE">
          <w:rPr>
            <w:lang w:val="en-GB"/>
          </w:rPr>
          <w:fldChar w:fldCharType="begin"/>
        </w:r>
        <w:r w:rsidR="0094469E">
          <w:rPr>
            <w:lang w:val="en-GB"/>
          </w:rPr>
          <w:instrText xml:space="preserve"> ADDIN EN.CITE &lt;EndNote&gt;&lt;Cite AuthorYear="1"&gt;&lt;Author&gt;Zimmerman&lt;/Author&gt;&lt;Year&gt;2002&lt;/Year&gt;&lt;RecNum&gt;651&lt;/RecNum&gt;&lt;DisplayText&gt;Zimmerman (2002)&lt;/DisplayText&gt;&lt;record&gt;&lt;rec-number&gt;651&lt;/rec-number&gt;&lt;foreign-keys&gt;&lt;key app="EN" db-id="xa2r2ewea92trkef5dt5arvbzafvpv2za5ft" timestamp="1496417563"&gt;651&lt;/key&gt;&lt;/foreign-keys&gt;&lt;ref-type name="Book Section"&gt;5&lt;/ref-type&gt;&lt;contributors&gt;&lt;authors&gt;&lt;author&gt;Zimmerman, Barry J&lt;/author&gt;&lt;/authors&gt;&lt;tertiary-authors&gt;&lt;author&gt;Pajares, F&lt;/author&gt;&lt;author&gt;Urdan, T.&lt;/author&gt;&lt;/tertiary-authors&gt;&lt;/contributors&gt;&lt;titles&gt;&lt;title&gt;Achieving self-regulation: The trial and triump of adolescence&lt;/title&gt;&lt;secondary-title&gt;Academic motivation of adolescents&lt;/secondary-title&gt;&lt;/titles&gt;&lt;pages&gt;1-27&lt;/pages&gt;&lt;volume&gt;2&lt;/volume&gt;&lt;dates&gt;&lt;year&gt;2002&lt;/year&gt;&lt;/dates&gt;&lt;pub-location&gt;Greenwich, CT&lt;/pub-location&gt;&lt;publisher&gt;Information Age&lt;/publisher&gt;&lt;isbn&gt;1931576637&lt;/isbn&gt;&lt;urls&gt;&lt;/urls&gt;&lt;/record&gt;&lt;/Cite&gt;&lt;/EndNote&gt;</w:instrText>
        </w:r>
        <w:r w:rsidR="0094469E" w:rsidRPr="003726FE">
          <w:rPr>
            <w:lang w:val="en-GB"/>
          </w:rPr>
          <w:fldChar w:fldCharType="separate"/>
        </w:r>
        <w:r w:rsidR="0094469E" w:rsidRPr="003726FE">
          <w:rPr>
            <w:noProof/>
            <w:lang w:val="en-GB"/>
          </w:rPr>
          <w:t>Zimmerman (2002)</w:t>
        </w:r>
        <w:r w:rsidR="0094469E" w:rsidRPr="003726FE">
          <w:rPr>
            <w:lang w:val="en-GB"/>
          </w:rPr>
          <w:fldChar w:fldCharType="end"/>
        </w:r>
      </w:hyperlink>
      <w:r w:rsidR="00CD0E28" w:rsidRPr="003726FE">
        <w:rPr>
          <w:lang w:val="en-GB"/>
        </w:rPr>
        <w:t xml:space="preserve"> </w:t>
      </w:r>
      <w:r w:rsidR="00BF2833" w:rsidRPr="003726FE">
        <w:rPr>
          <w:lang w:val="en-GB"/>
        </w:rPr>
        <w:t>identified</w:t>
      </w:r>
      <w:r w:rsidR="00CD0E28" w:rsidRPr="003726FE">
        <w:rPr>
          <w:lang w:val="en-GB"/>
        </w:rPr>
        <w:t xml:space="preserve"> two types of goals relevant to SRL</w:t>
      </w:r>
      <w:r w:rsidR="00730709" w:rsidRPr="003726FE">
        <w:rPr>
          <w:lang w:val="en-GB"/>
        </w:rPr>
        <w:t>:</w:t>
      </w:r>
      <w:r w:rsidR="00CD0E28" w:rsidRPr="003726FE">
        <w:rPr>
          <w:lang w:val="en-GB"/>
        </w:rPr>
        <w:t xml:space="preserve"> process and outcome. Process goals are set in relation to spe</w:t>
      </w:r>
      <w:r w:rsidR="00730709" w:rsidRPr="003726FE">
        <w:rPr>
          <w:lang w:val="en-GB"/>
        </w:rPr>
        <w:t>cific components of performance</w:t>
      </w:r>
      <w:r w:rsidR="00C5683A">
        <w:rPr>
          <w:lang w:val="en-GB"/>
        </w:rPr>
        <w:t>,</w:t>
      </w:r>
      <w:r w:rsidR="00CD0E28" w:rsidRPr="003726FE">
        <w:rPr>
          <w:lang w:val="en-GB"/>
        </w:rPr>
        <w:t xml:space="preserve"> as opposed to overall results which are </w:t>
      </w:r>
      <w:r w:rsidR="00C5683A">
        <w:rPr>
          <w:lang w:val="en-GB"/>
        </w:rPr>
        <w:t xml:space="preserve">the object of </w:t>
      </w:r>
      <w:r w:rsidR="00CD0E28" w:rsidRPr="003726FE">
        <w:rPr>
          <w:lang w:val="en-GB"/>
        </w:rPr>
        <w:t xml:space="preserve">outcome goals. A mix of these are encouraged at all levels of development, although process goals are particularly encouraged when first learning a new skill before moving onto predominantly outcome goals when mastery is reached </w:t>
      </w:r>
      <w:r w:rsidR="00EF281A" w:rsidRPr="003726FE">
        <w:rPr>
          <w:lang w:val="en-GB"/>
        </w:rPr>
        <w:fldChar w:fldCharType="begin"/>
      </w:r>
      <w:r w:rsidR="008B61BE">
        <w:rPr>
          <w:lang w:val="en-GB"/>
        </w:rPr>
        <w:instrText xml:space="preserve"> ADDIN EN.CITE &lt;EndNote&gt;&lt;Cite&gt;&lt;Author&gt;Dweck&lt;/Author&gt;&lt;Year&gt;1986&lt;/Year&gt;&lt;RecNum&gt;652&lt;/RecNum&gt;&lt;DisplayText&gt;(Dweck 1986)&lt;/DisplayText&gt;&lt;record&gt;&lt;rec-number&gt;652&lt;/rec-number&gt;&lt;foreign-keys&gt;&lt;key app="EN" db-id="xa2r2ewea92trkef5dt5arvbzafvpv2za5ft" timestamp="1496417563"&gt;652&lt;/key&gt;&lt;/foreign-keys&gt;&lt;ref-type name="Journal Article"&gt;17&lt;/ref-type&gt;&lt;contributors&gt;&lt;authors&gt;&lt;author&gt;Dweck, Carol S&lt;/author&gt;&lt;/authors&gt;&lt;/contributors&gt;&lt;titles&gt;&lt;title&gt;Motivational processes affecting learning&lt;/title&gt;&lt;secondary-title&gt;American psychologist&lt;/secondary-title&gt;&lt;/titles&gt;&lt;periodical&gt;&lt;full-title&gt;American psychologist&lt;/full-title&gt;&lt;/periodical&gt;&lt;pages&gt;1040&lt;/pages&gt;&lt;volume&gt;41&lt;/volume&gt;&lt;number&gt;10&lt;/number&gt;&lt;dates&gt;&lt;year&gt;1986&lt;/year&gt;&lt;/dates&gt;&lt;isbn&gt;1935-990X&lt;/isbn&gt;&lt;urls&gt;&lt;/urls&gt;&lt;/record&gt;&lt;/Cite&gt;&lt;/EndNote&gt;</w:instrText>
      </w:r>
      <w:r w:rsidR="00EF281A" w:rsidRPr="003726FE">
        <w:rPr>
          <w:lang w:val="en-GB"/>
        </w:rPr>
        <w:fldChar w:fldCharType="separate"/>
      </w:r>
      <w:r w:rsidR="004E5A78" w:rsidRPr="003726FE">
        <w:rPr>
          <w:noProof/>
          <w:lang w:val="en-GB"/>
        </w:rPr>
        <w:t>(</w:t>
      </w:r>
      <w:hyperlink w:anchor="_ENREF_135" w:tooltip="Dweck, 1986 #652" w:history="1">
        <w:r w:rsidR="0094469E" w:rsidRPr="003726FE">
          <w:rPr>
            <w:noProof/>
            <w:lang w:val="en-GB"/>
          </w:rPr>
          <w:t>Dweck 1986</w:t>
        </w:r>
      </w:hyperlink>
      <w:r w:rsidR="004E5A78" w:rsidRPr="003726FE">
        <w:rPr>
          <w:noProof/>
          <w:lang w:val="en-GB"/>
        </w:rPr>
        <w:t>)</w:t>
      </w:r>
      <w:r w:rsidR="00EF281A" w:rsidRPr="003726FE">
        <w:rPr>
          <w:lang w:val="en-GB"/>
        </w:rPr>
        <w:fldChar w:fldCharType="end"/>
      </w:r>
      <w:r w:rsidR="00CD0E28" w:rsidRPr="003726FE">
        <w:rPr>
          <w:lang w:val="en-GB"/>
        </w:rPr>
        <w:t xml:space="preserve">. Increases </w:t>
      </w:r>
      <w:r w:rsidR="00730709" w:rsidRPr="003726FE">
        <w:rPr>
          <w:lang w:val="en-GB"/>
        </w:rPr>
        <w:t>in</w:t>
      </w:r>
      <w:r w:rsidR="00CD0E28" w:rsidRPr="003726FE">
        <w:rPr>
          <w:lang w:val="en-GB"/>
        </w:rPr>
        <w:t xml:space="preserve"> self-</w:t>
      </w:r>
      <w:r w:rsidR="00C44F10" w:rsidRPr="003726FE">
        <w:rPr>
          <w:lang w:val="en-GB"/>
        </w:rPr>
        <w:t>efficacy</w:t>
      </w:r>
      <w:r w:rsidR="00CD0E28" w:rsidRPr="003726FE">
        <w:rPr>
          <w:lang w:val="en-GB"/>
        </w:rPr>
        <w:t xml:space="preserve"> may also occur when g</w:t>
      </w:r>
      <w:r w:rsidR="00C44F10" w:rsidRPr="003726FE">
        <w:rPr>
          <w:lang w:val="en-GB"/>
        </w:rPr>
        <w:t xml:space="preserve">oals are achieved, this boost may also reciprocate in giving confidence to the goal setting process for the future, leading to more </w:t>
      </w:r>
      <w:r w:rsidR="00826050">
        <w:rPr>
          <w:lang w:val="en-GB"/>
        </w:rPr>
        <w:t>longer-term</w:t>
      </w:r>
      <w:r w:rsidR="00C44F10" w:rsidRPr="003726FE">
        <w:rPr>
          <w:lang w:val="en-GB"/>
        </w:rPr>
        <w:t xml:space="preserve"> and ambitious goals</w:t>
      </w:r>
      <w:r w:rsidR="00CD0E28" w:rsidRPr="003726FE">
        <w:rPr>
          <w:lang w:val="en-GB"/>
        </w:rPr>
        <w:t xml:space="preserve"> </w:t>
      </w:r>
      <w:r w:rsidR="00EF281A" w:rsidRPr="003726FE">
        <w:rPr>
          <w:lang w:val="en-GB"/>
        </w:rPr>
        <w:fldChar w:fldCharType="begin"/>
      </w:r>
      <w:r w:rsidR="008B61BE">
        <w:rPr>
          <w:lang w:val="en-GB"/>
        </w:rPr>
        <w:instrText xml:space="preserve"> ADDIN EN.CITE &lt;EndNote&gt;&lt;Cite&gt;&lt;Author&gt;Schunk&lt;/Author&gt;&lt;Year&gt;1990&lt;/Year&gt;&lt;RecNum&gt;653&lt;/RecNum&gt;&lt;DisplayText&gt;(Schunk 1990)&lt;/DisplayText&gt;&lt;record&gt;&lt;rec-number&gt;653&lt;/rec-number&gt;&lt;foreign-keys&gt;&lt;key app="EN" db-id="xa2r2ewea92trkef5dt5arvbzafvpv2za5ft" timestamp="1496417563"&gt;653&lt;/key&gt;&lt;/foreign-keys&gt;&lt;ref-type name="Journal Article"&gt;17&lt;/ref-type&gt;&lt;contributors&gt;&lt;authors&gt;&lt;author&gt;Schunk, Dale H&lt;/author&gt;&lt;/authors&gt;&lt;/contributors&gt;&lt;titles&gt;&lt;title&gt;Goal setting and self-efficacy during self-regulated learning&lt;/title&gt;&lt;secondary-title&gt;Educational psychologist&lt;/secondary-title&gt;&lt;/titles&gt;&lt;periodical&gt;&lt;full-title&gt;Educational Psychologist&lt;/full-title&gt;&lt;/periodical&gt;&lt;pages&gt;71-86&lt;/pages&gt;&lt;volume&gt;25&lt;/volume&gt;&lt;number&gt;1&lt;/number&gt;&lt;dates&gt;&lt;year&gt;1990&lt;/year&gt;&lt;/dates&gt;&lt;isbn&gt;0046-1520&lt;/isbn&gt;&lt;urls&gt;&lt;/urls&gt;&lt;/record&gt;&lt;/Cite&gt;&lt;/EndNote&gt;</w:instrText>
      </w:r>
      <w:r w:rsidR="00EF281A" w:rsidRPr="003726FE">
        <w:rPr>
          <w:lang w:val="en-GB"/>
        </w:rPr>
        <w:fldChar w:fldCharType="separate"/>
      </w:r>
      <w:r w:rsidR="004E5A78" w:rsidRPr="003726FE">
        <w:rPr>
          <w:noProof/>
          <w:lang w:val="en-GB"/>
        </w:rPr>
        <w:t>(</w:t>
      </w:r>
      <w:hyperlink w:anchor="_ENREF_368" w:tooltip="Schunk, 1990 #653" w:history="1">
        <w:r w:rsidR="0094469E" w:rsidRPr="003726FE">
          <w:rPr>
            <w:noProof/>
            <w:lang w:val="en-GB"/>
          </w:rPr>
          <w:t>Schunk 1990</w:t>
        </w:r>
      </w:hyperlink>
      <w:r w:rsidR="004E5A78" w:rsidRPr="003726FE">
        <w:rPr>
          <w:noProof/>
          <w:lang w:val="en-GB"/>
        </w:rPr>
        <w:t>)</w:t>
      </w:r>
      <w:r w:rsidR="00EF281A" w:rsidRPr="003726FE">
        <w:rPr>
          <w:lang w:val="en-GB"/>
        </w:rPr>
        <w:fldChar w:fldCharType="end"/>
      </w:r>
      <w:r w:rsidR="00C44F10" w:rsidRPr="003726FE">
        <w:rPr>
          <w:lang w:val="en-GB"/>
        </w:rPr>
        <w:t>.</w:t>
      </w:r>
    </w:p>
    <w:p w14:paraId="15F21D22" w14:textId="77777777" w:rsidR="006B053B" w:rsidRPr="003726FE" w:rsidRDefault="006B053B" w:rsidP="00026049">
      <w:pPr>
        <w:pStyle w:val="Normal1"/>
        <w:rPr>
          <w:lang w:val="en-GB"/>
        </w:rPr>
      </w:pPr>
    </w:p>
    <w:p w14:paraId="367FEA10" w14:textId="17E49DFF" w:rsidR="006B053B" w:rsidRPr="003726FE" w:rsidRDefault="007572DB" w:rsidP="00026049">
      <w:pPr>
        <w:pStyle w:val="Normal1"/>
        <w:rPr>
          <w:lang w:val="en-GB"/>
        </w:rPr>
      </w:pPr>
      <w:r w:rsidRPr="003726FE">
        <w:rPr>
          <w:i/>
          <w:lang w:val="en-GB"/>
        </w:rPr>
        <w:t>Strategic</w:t>
      </w:r>
      <w:r w:rsidR="006B053B" w:rsidRPr="003726FE">
        <w:rPr>
          <w:i/>
          <w:lang w:val="en-GB"/>
        </w:rPr>
        <w:t xml:space="preserve"> Planning</w:t>
      </w:r>
      <w:r w:rsidRPr="003726FE">
        <w:rPr>
          <w:i/>
          <w:lang w:val="en-GB"/>
        </w:rPr>
        <w:t xml:space="preserve"> </w:t>
      </w:r>
      <w:r w:rsidR="00414029" w:rsidRPr="003726FE">
        <w:rPr>
          <w:lang w:val="en-GB"/>
        </w:rPr>
        <w:t>is the second major process in task analysis and describes how the learner chooses their app</w:t>
      </w:r>
      <w:r w:rsidR="00BF2833" w:rsidRPr="003726FE">
        <w:rPr>
          <w:lang w:val="en-GB"/>
        </w:rPr>
        <w:t>roach</w:t>
      </w:r>
      <w:r w:rsidR="00414029" w:rsidRPr="003726FE">
        <w:rPr>
          <w:lang w:val="en-GB"/>
        </w:rPr>
        <w:t xml:space="preserve"> to the task</w:t>
      </w:r>
      <w:r w:rsidR="00730709" w:rsidRPr="003726FE">
        <w:rPr>
          <w:lang w:val="en-GB"/>
        </w:rPr>
        <w:t>. T</w:t>
      </w:r>
      <w:r w:rsidR="00414029" w:rsidRPr="003726FE">
        <w:rPr>
          <w:lang w:val="en-GB"/>
        </w:rPr>
        <w:t xml:space="preserve">hese tactics are specific to the task and contextual demands </w:t>
      </w:r>
      <w:r w:rsidR="00730709" w:rsidRPr="003726FE">
        <w:rPr>
          <w:lang w:val="en-GB"/>
        </w:rPr>
        <w:t>on</w:t>
      </w:r>
      <w:r w:rsidR="00414029" w:rsidRPr="003726FE">
        <w:rPr>
          <w:lang w:val="en-GB"/>
        </w:rPr>
        <w:t xml:space="preserve"> the learner at that time </w:t>
      </w:r>
      <w:r w:rsidR="00EF281A" w:rsidRPr="003726FE">
        <w:rPr>
          <w:lang w:val="en-GB"/>
        </w:rPr>
        <w:fldChar w:fldCharType="begin"/>
      </w:r>
      <w:r w:rsidR="008B61BE">
        <w:rPr>
          <w:lang w:val="en-GB"/>
        </w:rPr>
        <w:instrText xml:space="preserve"> ADDIN EN.CITE &lt;EndNote&gt;&lt;Cite&gt;&lt;Author&gt;Zimmerman&lt;/Author&gt;&lt;Year&gt;1989&lt;/Year&gt;&lt;RecNum&gt;276&lt;/RecNum&gt;&lt;DisplayText&gt;(Zimmerman 1989)&lt;/DisplayText&gt;&lt;record&gt;&lt;rec-number&gt;276&lt;/rec-number&gt;&lt;foreign-keys&gt;&lt;key app="EN" db-id="xa2r2ewea92trkef5dt5arvbzafvpv2za5ft" timestamp="1442161766"&gt;276&lt;/key&gt;&lt;/foreign-keys&gt;&lt;ref-type name="Journal Article"&gt;17&lt;/ref-type&gt;&lt;contributors&gt;&lt;authors&gt;&lt;author&gt;Zimmerman, Barry J.&lt;/author&gt;&lt;/authors&gt;&lt;/contributors&gt;&lt;titles&gt;&lt;title&gt;A social cognitive view of self-regulated academic learning&lt;/title&gt;&lt;secondary-title&gt;Journal of educational psychology&lt;/secondary-title&gt;&lt;/titles&gt;&lt;periodical&gt;&lt;full-title&gt;Journal of educational psychology&lt;/full-title&gt;&lt;/periodical&gt;&lt;pages&gt;329&lt;/pages&gt;&lt;volume&gt;81&lt;/volume&gt;&lt;number&gt;3&lt;/number&gt;&lt;dates&gt;&lt;year&gt;1989&lt;/year&gt;&lt;/dates&gt;&lt;publisher&gt;American Psychological Association&lt;/publisher&gt;&lt;urls&gt;&lt;/urls&gt;&lt;/record&gt;&lt;/Cite&gt;&lt;/EndNote&gt;</w:instrText>
      </w:r>
      <w:r w:rsidR="00EF281A" w:rsidRPr="003726FE">
        <w:rPr>
          <w:lang w:val="en-GB"/>
        </w:rPr>
        <w:fldChar w:fldCharType="separate"/>
      </w:r>
      <w:r w:rsidR="004E5A78" w:rsidRPr="003726FE">
        <w:rPr>
          <w:noProof/>
          <w:lang w:val="en-GB"/>
        </w:rPr>
        <w:t>(</w:t>
      </w:r>
      <w:hyperlink w:anchor="_ENREF_454" w:tooltip="Zimmerman, 1989 #275" w:history="1">
        <w:r w:rsidR="0094469E" w:rsidRPr="003726FE">
          <w:rPr>
            <w:noProof/>
            <w:lang w:val="en-GB"/>
          </w:rPr>
          <w:t>Zimmerman 1989</w:t>
        </w:r>
      </w:hyperlink>
      <w:r w:rsidR="004E5A78" w:rsidRPr="003726FE">
        <w:rPr>
          <w:noProof/>
          <w:lang w:val="en-GB"/>
        </w:rPr>
        <w:t>)</w:t>
      </w:r>
      <w:r w:rsidR="00EF281A" w:rsidRPr="003726FE">
        <w:rPr>
          <w:lang w:val="en-GB"/>
        </w:rPr>
        <w:fldChar w:fldCharType="end"/>
      </w:r>
      <w:r w:rsidR="00414029" w:rsidRPr="003726FE">
        <w:rPr>
          <w:lang w:val="en-GB"/>
        </w:rPr>
        <w:t>. These plans may include specific SRL processes in the subsequent stages of the cyclical loop; visualisation may be a pre-defined strategy, or m</w:t>
      </w:r>
      <w:r w:rsidR="008F6949" w:rsidRPr="003726FE">
        <w:rPr>
          <w:lang w:val="en-GB"/>
        </w:rPr>
        <w:t>onitoring and recording of in</w:t>
      </w:r>
      <w:r w:rsidR="00414029" w:rsidRPr="003726FE">
        <w:rPr>
          <w:lang w:val="en-GB"/>
        </w:rPr>
        <w:t xml:space="preserve">formation may be purposefully collected to be evaluated in the final phase. The evaluation of the performance can then be used to inform future planning and strategy. Learners who are </w:t>
      </w:r>
      <w:r w:rsidR="00414029" w:rsidRPr="003726FE">
        <w:rPr>
          <w:lang w:val="en-GB"/>
        </w:rPr>
        <w:lastRenderedPageBreak/>
        <w:t>able to successfully develop strategies using regulatory processes</w:t>
      </w:r>
      <w:r w:rsidR="008F6949" w:rsidRPr="003726FE">
        <w:rPr>
          <w:lang w:val="en-GB"/>
        </w:rPr>
        <w:t xml:space="preserve"> are often more successful in academic performance than those who do not actively use strategic planning </w:t>
      </w:r>
      <w:r w:rsidR="00EF281A" w:rsidRPr="003726FE">
        <w:rPr>
          <w:lang w:val="en-GB"/>
        </w:rPr>
        <w:fldChar w:fldCharType="begin"/>
      </w:r>
      <w:r w:rsidR="008B61BE">
        <w:rPr>
          <w:lang w:val="en-GB"/>
        </w:rPr>
        <w:instrText xml:space="preserve"> ADDIN EN.CITE &lt;EndNote&gt;&lt;Cite&gt;&lt;Author&gt;Kitsantas&lt;/Author&gt;&lt;Year&gt;2002&lt;/Year&gt;&lt;RecNum&gt;130&lt;/RecNum&gt;&lt;DisplayText&gt;(Kitsantas and Zimmerman 2002)&lt;/DisplayText&gt;&lt;record&gt;&lt;rec-number&gt;130&lt;/rec-number&gt;&lt;foreign-keys&gt;&lt;key app="EN" db-id="xa2r2ewea92trkef5dt5arvbzafvpv2za5ft" timestamp="1442161764"&gt;130&lt;/key&gt;&lt;/foreign-keys&gt;&lt;ref-type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217" w:tooltip="Kitsantas, 2002 #129" w:history="1">
        <w:r w:rsidR="0094469E" w:rsidRPr="003726FE">
          <w:rPr>
            <w:noProof/>
            <w:lang w:val="en-GB"/>
          </w:rPr>
          <w:t>Kitsantas and Zimmerman 2002</w:t>
        </w:r>
      </w:hyperlink>
      <w:r w:rsidR="004E5A78" w:rsidRPr="003726FE">
        <w:rPr>
          <w:noProof/>
          <w:lang w:val="en-GB"/>
        </w:rPr>
        <w:t>)</w:t>
      </w:r>
      <w:r w:rsidR="00EF281A" w:rsidRPr="003726FE">
        <w:rPr>
          <w:lang w:val="en-GB"/>
        </w:rPr>
        <w:fldChar w:fldCharType="end"/>
      </w:r>
      <w:r w:rsidR="008F6949" w:rsidRPr="003726FE">
        <w:rPr>
          <w:lang w:val="en-GB"/>
        </w:rPr>
        <w:t>.</w:t>
      </w:r>
    </w:p>
    <w:p w14:paraId="530D86F8" w14:textId="77777777" w:rsidR="006B053B" w:rsidRPr="003726FE" w:rsidRDefault="006B053B" w:rsidP="00026049">
      <w:pPr>
        <w:pStyle w:val="Normal1"/>
        <w:rPr>
          <w:lang w:val="en-GB"/>
        </w:rPr>
      </w:pPr>
    </w:p>
    <w:p w14:paraId="77191655" w14:textId="5DE67794" w:rsidR="00715ECC" w:rsidRPr="003726FE" w:rsidRDefault="00715ECC" w:rsidP="00026049">
      <w:pPr>
        <w:pStyle w:val="Normal1"/>
        <w:rPr>
          <w:lang w:val="en-GB"/>
        </w:rPr>
      </w:pPr>
      <w:r w:rsidRPr="003726FE">
        <w:rPr>
          <w:i/>
          <w:lang w:val="en-GB"/>
        </w:rPr>
        <w:t>Self-efficacy</w:t>
      </w:r>
      <w:r w:rsidRPr="003726FE">
        <w:rPr>
          <w:lang w:val="en-GB"/>
        </w:rPr>
        <w:t xml:space="preserve"> is a key compo</w:t>
      </w:r>
      <w:r w:rsidR="00414029" w:rsidRPr="003726FE">
        <w:rPr>
          <w:lang w:val="en-GB"/>
        </w:rPr>
        <w:t xml:space="preserve">nent of Zimmerman’s model in motivational </w:t>
      </w:r>
      <w:r w:rsidR="008F6949" w:rsidRPr="003726FE">
        <w:rPr>
          <w:lang w:val="en-GB"/>
        </w:rPr>
        <w:t>beliefs</w:t>
      </w:r>
      <w:r w:rsidR="00414029" w:rsidRPr="003726FE">
        <w:rPr>
          <w:lang w:val="en-GB"/>
        </w:rPr>
        <w:t xml:space="preserve"> </w:t>
      </w:r>
      <w:r w:rsidRPr="003726FE">
        <w:rPr>
          <w:lang w:val="en-GB"/>
        </w:rPr>
        <w:t xml:space="preserve">and is associated with academic achievement and motivation </w:t>
      </w:r>
      <w:r w:rsidRPr="003726FE">
        <w:rPr>
          <w:lang w:val="en-GB"/>
        </w:rPr>
        <w:fldChar w:fldCharType="begin"/>
      </w:r>
      <w:r w:rsidR="008B61BE">
        <w:rPr>
          <w:lang w:val="en-GB"/>
        </w:rPr>
        <w:instrText xml:space="preserve"> ADDIN EN.CITE &lt;EndNote&gt;&lt;Cite&gt;&lt;Author&gt;Pajares&lt;/Author&gt;&lt;Year&gt;2001&lt;/Year&gt;&lt;RecNum&gt;598&lt;/RecNum&gt;&lt;DisplayText&gt;(Pajares and Schunk 2001; Turan et al. 2013)&lt;/DisplayText&gt;&lt;record&gt;&lt;rec-number&gt;598&lt;/rec-number&gt;&lt;foreign-keys&gt;&lt;key app="EN" db-id="xa2r2ewea92trkef5dt5arvbzafvpv2za5ft" timestamp="1496417558"&gt;598&lt;/key&gt;&lt;/foreign-keys&gt;&lt;ref-type name="Journal Article"&gt;17&lt;/ref-type&gt;&lt;contributors&gt;&lt;authors&gt;&lt;author&gt;Pajares, Frank&lt;/author&gt;&lt;author&gt;Schunk, Dale&lt;/author&gt;&lt;/authors&gt;&lt;/contributors&gt;&lt;titles&gt;&lt;title&gt;The development of academic self-efficacy&lt;/title&gt;&lt;secondary-title&gt;Development of achievement motivation. United States&lt;/secondary-title&gt;&lt;/titles&gt;&lt;periodical&gt;&lt;full-title&gt;Development of achievement motivation. United States&lt;/full-title&gt;&lt;/periodical&gt;&lt;volume&gt;7&lt;/volume&gt;&lt;dates&gt;&lt;year&gt;2001&lt;/year&gt;&lt;/dates&gt;&lt;urls&gt;&lt;/urls&gt;&lt;/record&gt;&lt;/Cite&gt;&lt;Cite&gt;&lt;Author&gt;Turan&lt;/Author&gt;&lt;Year&gt;2013&lt;/Year&gt;&lt;RecNum&gt;596&lt;/RecNum&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Pr="003726FE">
        <w:rPr>
          <w:lang w:val="en-GB"/>
        </w:rPr>
        <w:fldChar w:fldCharType="separate"/>
      </w:r>
      <w:r w:rsidR="004E5A78" w:rsidRPr="003726FE">
        <w:rPr>
          <w:noProof/>
          <w:lang w:val="en-GB"/>
        </w:rPr>
        <w:t>(</w:t>
      </w:r>
      <w:hyperlink w:anchor="_ENREF_313" w:tooltip="Pajares, 2001 #598" w:history="1">
        <w:r w:rsidR="0094469E" w:rsidRPr="003726FE">
          <w:rPr>
            <w:noProof/>
            <w:lang w:val="en-GB"/>
          </w:rPr>
          <w:t>Pajares and Schunk 2001</w:t>
        </w:r>
      </w:hyperlink>
      <w:r w:rsidR="004E5A78" w:rsidRPr="003726FE">
        <w:rPr>
          <w:noProof/>
          <w:lang w:val="en-GB"/>
        </w:rPr>
        <w:t xml:space="preserve">; </w:t>
      </w:r>
      <w:hyperlink w:anchor="_ENREF_410" w:tooltip="Turan, 2013 #596" w:history="1">
        <w:r w:rsidR="0094469E" w:rsidRPr="003726FE">
          <w:rPr>
            <w:noProof/>
            <w:lang w:val="en-GB"/>
          </w:rPr>
          <w:t>Turan et al. 2013</w:t>
        </w:r>
      </w:hyperlink>
      <w:r w:rsidR="004E5A78" w:rsidRPr="003726FE">
        <w:rPr>
          <w:noProof/>
          <w:lang w:val="en-GB"/>
        </w:rPr>
        <w:t>)</w:t>
      </w:r>
      <w:r w:rsidRPr="003726FE">
        <w:rPr>
          <w:lang w:val="en-GB"/>
        </w:rPr>
        <w:fldChar w:fldCharType="end"/>
      </w:r>
      <w:r w:rsidRPr="003726FE">
        <w:rPr>
          <w:lang w:val="en-GB"/>
        </w:rPr>
        <w:t xml:space="preserve">. </w:t>
      </w:r>
      <w:r w:rsidR="006B053B" w:rsidRPr="003726FE">
        <w:rPr>
          <w:lang w:val="en-GB"/>
        </w:rPr>
        <w:t xml:space="preserve">Self-efficacy can be defined as an individual’s motivational belief about their ability to perform a specific task or behaviour to a </w:t>
      </w:r>
      <w:r w:rsidR="00730709" w:rsidRPr="003726FE">
        <w:rPr>
          <w:lang w:val="en-GB"/>
        </w:rPr>
        <w:t>desired</w:t>
      </w:r>
      <w:r w:rsidR="006B053B" w:rsidRPr="003726FE">
        <w:rPr>
          <w:lang w:val="en-GB"/>
        </w:rPr>
        <w:t xml:space="preserve"> competency level </w:t>
      </w:r>
      <w:r w:rsidR="00EF281A" w:rsidRPr="003726FE">
        <w:rPr>
          <w:lang w:val="en-GB"/>
        </w:rPr>
        <w:fldChar w:fldCharType="begin"/>
      </w:r>
      <w:r w:rsidR="008B61BE">
        <w:rPr>
          <w:lang w:val="en-GB"/>
        </w:rPr>
        <w:instrText xml:space="preserve"> ADDIN EN.CITE &lt;EndNote&gt;&lt;Cite&gt;&lt;Author&gt;Bandura&lt;/Author&gt;&lt;Year&gt;1986&lt;/Year&gt;&lt;RecNum&gt;6&lt;/RecNum&gt;&lt;DisplayText&gt;(Bandura 1986)&lt;/DisplayText&gt;&lt;record&gt;&lt;rec-number&gt;6&lt;/rec-number&gt;&lt;foreign-keys&gt;&lt;key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00EF281A" w:rsidRPr="003726FE">
        <w:rPr>
          <w:lang w:val="en-GB"/>
        </w:rPr>
        <w:fldChar w:fldCharType="separate"/>
      </w:r>
      <w:r w:rsidR="004E5A78" w:rsidRPr="003726FE">
        <w:rPr>
          <w:noProof/>
          <w:lang w:val="en-GB"/>
        </w:rPr>
        <w:t>(</w:t>
      </w:r>
      <w:hyperlink w:anchor="_ENREF_14" w:tooltip="Bandura, 1986 #6" w:history="1">
        <w:r w:rsidR="0094469E" w:rsidRPr="003726FE">
          <w:rPr>
            <w:noProof/>
            <w:lang w:val="en-GB"/>
          </w:rPr>
          <w:t>Bandura 1986</w:t>
        </w:r>
      </w:hyperlink>
      <w:r w:rsidR="004E5A78" w:rsidRPr="003726FE">
        <w:rPr>
          <w:noProof/>
          <w:lang w:val="en-GB"/>
        </w:rPr>
        <w:t>)</w:t>
      </w:r>
      <w:r w:rsidR="00EF281A" w:rsidRPr="003726FE">
        <w:rPr>
          <w:lang w:val="en-GB"/>
        </w:rPr>
        <w:fldChar w:fldCharType="end"/>
      </w:r>
      <w:r w:rsidR="006B053B" w:rsidRPr="003726FE">
        <w:rPr>
          <w:lang w:val="en-GB"/>
        </w:rPr>
        <w:t xml:space="preserve">. This is a contextualised belief which is variable across different iterations across the skill </w:t>
      </w:r>
      <w:r w:rsidR="00EF281A" w:rsidRPr="003726FE">
        <w:rPr>
          <w:lang w:val="en-GB"/>
        </w:rPr>
        <w:fldChar w:fldCharType="begin"/>
      </w:r>
      <w:r w:rsidR="008B61BE">
        <w:rPr>
          <w:lang w:val="en-GB"/>
        </w:rPr>
        <w:instrText xml:space="preserve"> ADDIN EN.CITE &lt;EndNote&gt;&lt;Cite&gt;&lt;Author&gt;Bandura&lt;/Author&gt;&lt;Year&gt;1997&lt;/Year&gt;&lt;RecNum&gt;5&lt;/RecNum&gt;&lt;DisplayText&gt;(Bandura 1997)&lt;/DisplayText&gt;&lt;record&gt;&lt;rec-number&gt;5&lt;/rec-number&gt;&lt;foreign-keys&gt;&lt;key app="EN" db-id="xa2r2ewea92trkef5dt5arvbzafvpv2za5ft" timestamp="1442161763"&gt;5&lt;/key&gt;&lt;/foreign-keys&gt;&lt;ref-type name="Book"&gt;6&lt;/ref-type&gt;&lt;contributors&gt;&lt;authors&gt;&lt;author&gt;Bandura, Albert&lt;/author&gt;&lt;/authors&gt;&lt;/contributors&gt;&lt;titles&gt;&lt;title&gt;Self-efficacy: The exercise of control&lt;/title&gt;&lt;/titles&gt;&lt;number&gt;Book, Whole&lt;/number&gt;&lt;dates&gt;&lt;year&gt;1997&lt;/year&gt;&lt;/dates&gt;&lt;pub-location&gt;New York&lt;/pub-location&gt;&lt;publisher&gt;Freeman&lt;/publisher&gt;&lt;urls&gt;&lt;/urls&gt;&lt;/record&gt;&lt;/Cite&gt;&lt;/EndNote&gt;</w:instrText>
      </w:r>
      <w:r w:rsidR="00EF281A" w:rsidRPr="003726FE">
        <w:rPr>
          <w:lang w:val="en-GB"/>
        </w:rPr>
        <w:fldChar w:fldCharType="separate"/>
      </w:r>
      <w:r w:rsidR="004E5A78" w:rsidRPr="003726FE">
        <w:rPr>
          <w:noProof/>
          <w:lang w:val="en-GB"/>
        </w:rPr>
        <w:t>(</w:t>
      </w:r>
      <w:hyperlink w:anchor="_ENREF_15" w:tooltip="Bandura, 1997 #5" w:history="1">
        <w:r w:rsidR="0094469E" w:rsidRPr="003726FE">
          <w:rPr>
            <w:noProof/>
            <w:lang w:val="en-GB"/>
          </w:rPr>
          <w:t>Bandura 1997</w:t>
        </w:r>
      </w:hyperlink>
      <w:r w:rsidR="004E5A78" w:rsidRPr="003726FE">
        <w:rPr>
          <w:noProof/>
          <w:lang w:val="en-GB"/>
        </w:rPr>
        <w:t>)</w:t>
      </w:r>
      <w:r w:rsidR="00EF281A" w:rsidRPr="003726FE">
        <w:rPr>
          <w:lang w:val="en-GB"/>
        </w:rPr>
        <w:fldChar w:fldCharType="end"/>
      </w:r>
      <w:r w:rsidR="006B053B" w:rsidRPr="003726FE">
        <w:rPr>
          <w:lang w:val="en-GB"/>
        </w:rPr>
        <w:t xml:space="preserve">. </w:t>
      </w:r>
      <w:r w:rsidRPr="003726FE">
        <w:rPr>
          <w:lang w:val="en-GB"/>
        </w:rPr>
        <w:t xml:space="preserve">Students with high self-efficacy have been found to seek feedback more readily than students with low self-efficacy </w:t>
      </w:r>
      <w:r w:rsidR="00EF281A" w:rsidRPr="003726FE">
        <w:rPr>
          <w:lang w:val="en-GB"/>
        </w:rPr>
        <w:fldChar w:fldCharType="begin"/>
      </w:r>
      <w:r w:rsidR="008B61BE">
        <w:rPr>
          <w:lang w:val="en-GB"/>
        </w:rPr>
        <w:instrText xml:space="preserve"> ADDIN EN.CITE &lt;EndNote&gt;&lt;Cite&gt;&lt;Author&gt;McSwiggan&lt;/Author&gt;&lt;Year&gt;2017&lt;/Year&gt;&lt;RecNum&gt;604&lt;/RecNum&gt;&lt;DisplayText&gt;(McSwiggan and Campbell 2017)&lt;/DisplayText&gt;&lt;record&gt;&lt;rec-number&gt;604&lt;/rec-number&gt;&lt;foreign-keys&gt;&lt;key app="EN" db-id="xa2r2ewea92trkef5dt5arvbzafvpv2za5ft" timestamp="1496417559"&gt;604&lt;/key&gt;&lt;/foreign-keys&gt;&lt;ref-type name="Journal Article"&gt;17&lt;/ref-type&gt;&lt;contributors&gt;&lt;authors&gt;&lt;author&gt;McSwiggan, Linda C&lt;/author&gt;&lt;author&gt;Campbell, Maureen&lt;/author&gt;&lt;/authors&gt;&lt;/contributors&gt;&lt;titles&gt;&lt;title&gt;Can podcasts for assessment guidance and feedback promote self-efficacy among undergraduate nursing students? A qualitative study&lt;/title&gt;&lt;secondary-title&gt;Nurse Education Today&lt;/secondary-title&gt;&lt;/titles&gt;&lt;periodical&gt;&lt;full-title&gt;Nurse Education Today&lt;/full-title&gt;&lt;/periodical&gt;&lt;pages&gt;115-121&lt;/pages&gt;&lt;volume&gt;49&lt;/volume&gt;&lt;dates&gt;&lt;year&gt;2017&lt;/year&gt;&lt;/dates&gt;&lt;isbn&gt;0260-6917&lt;/isbn&gt;&lt;urls&gt;&lt;/urls&gt;&lt;/record&gt;&lt;/Cite&gt;&lt;/EndNote&gt;</w:instrText>
      </w:r>
      <w:r w:rsidR="00EF281A" w:rsidRPr="003726FE">
        <w:rPr>
          <w:lang w:val="en-GB"/>
        </w:rPr>
        <w:fldChar w:fldCharType="separate"/>
      </w:r>
      <w:r w:rsidR="004E5A78" w:rsidRPr="003726FE">
        <w:rPr>
          <w:noProof/>
          <w:lang w:val="en-GB"/>
        </w:rPr>
        <w:t>(</w:t>
      </w:r>
      <w:hyperlink w:anchor="_ENREF_272" w:tooltip="McSwiggan, 2017 #604" w:history="1">
        <w:r w:rsidR="0094469E" w:rsidRPr="003726FE">
          <w:rPr>
            <w:noProof/>
            <w:lang w:val="en-GB"/>
          </w:rPr>
          <w:t>McSwiggan and Campbell 2017</w:t>
        </w:r>
      </w:hyperlink>
      <w:r w:rsidR="004E5A78" w:rsidRPr="003726FE">
        <w:rPr>
          <w:noProof/>
          <w:lang w:val="en-GB"/>
        </w:rPr>
        <w:t>)</w:t>
      </w:r>
      <w:r w:rsidR="00EF281A" w:rsidRPr="003726FE">
        <w:rPr>
          <w:lang w:val="en-GB"/>
        </w:rPr>
        <w:fldChar w:fldCharType="end"/>
      </w:r>
      <w:r w:rsidRPr="003726FE">
        <w:rPr>
          <w:lang w:val="en-GB"/>
        </w:rPr>
        <w:t>.</w:t>
      </w:r>
      <w:r w:rsidR="006B053B" w:rsidRPr="003726FE">
        <w:rPr>
          <w:lang w:val="en-GB"/>
        </w:rPr>
        <w:t xml:space="preserve"> Since the 1980s </w:t>
      </w:r>
      <w:r w:rsidR="006B053B" w:rsidRPr="003726FE">
        <w:rPr>
          <w:color w:val="000000" w:themeColor="text1"/>
          <w:shd w:val="clear" w:color="auto" w:fill="FFFFFF"/>
          <w:lang w:val="en-GB"/>
        </w:rPr>
        <w:t>the importance of self-</w:t>
      </w:r>
      <w:r w:rsidR="00332450" w:rsidRPr="003726FE">
        <w:rPr>
          <w:color w:val="000000" w:themeColor="text1"/>
          <w:shd w:val="clear" w:color="auto" w:fill="FFFFFF"/>
          <w:lang w:val="en-GB"/>
        </w:rPr>
        <w:t>efficacy</w:t>
      </w:r>
      <w:r w:rsidR="006B053B" w:rsidRPr="003726FE">
        <w:rPr>
          <w:color w:val="000000" w:themeColor="text1"/>
          <w:shd w:val="clear" w:color="auto" w:fill="FFFFFF"/>
          <w:lang w:val="en-GB"/>
        </w:rPr>
        <w:t xml:space="preserve"> has been recognised in ensuring the success of academic interventions, which is of importance to this study </w:t>
      </w:r>
      <w:r w:rsidR="00EF281A" w:rsidRPr="003726FE">
        <w:rPr>
          <w:color w:val="000000" w:themeColor="text1"/>
          <w:shd w:val="clear" w:color="auto" w:fill="FFFFFF"/>
          <w:lang w:val="en-GB"/>
        </w:rPr>
        <w:fldChar w:fldCharType="begin"/>
      </w:r>
      <w:r w:rsidR="008B61BE">
        <w:rPr>
          <w:color w:val="000000" w:themeColor="text1"/>
          <w:shd w:val="clear" w:color="auto" w:fill="FFFFFF"/>
          <w:lang w:val="en-GB"/>
        </w:rPr>
        <w:instrText xml:space="preserve"> ADDIN EN.CITE &lt;EndNote&gt;&lt;Cite&gt;&lt;Author&gt;Schunk&lt;/Author&gt;&lt;Year&gt;1981&lt;/Year&gt;&lt;RecNum&gt;224&lt;/RecNum&gt;&lt;DisplayText&gt;(Schunk 1981)&lt;/DisplayText&gt;&lt;record&gt;&lt;rec-number&gt;224&lt;/rec-number&gt;&lt;foreign-keys&gt;&lt;key app="EN" db-id="xa2r2ewea92trkef5dt5arvbzafvpv2za5ft" timestamp="1442161765"&gt;224&lt;/key&gt;&lt;/foreign-keys&gt;&lt;ref-type name="Journal Article"&gt;17&lt;/ref-type&gt;&lt;contributors&gt;&lt;authors&gt;&lt;author&gt;Schunk, Dale H.&lt;/author&gt;&lt;/authors&gt;&lt;/contributors&gt;&lt;titles&gt;&lt;title&gt;Modeling and attributional effects on children&amp;apos;s achievement: A self-efficacy analysis&lt;/title&gt;&lt;secondary-title&gt;Journal of educational psychology&lt;/secondary-title&gt;&lt;/titles&gt;&lt;periodical&gt;&lt;full-title&gt;Journal of educational psychology&lt;/full-title&gt;&lt;/periodical&gt;&lt;pages&gt;93&lt;/pages&gt;&lt;volume&gt;73&lt;/volume&gt;&lt;number&gt;1&lt;/number&gt;&lt;dates&gt;&lt;year&gt;1981&lt;/year&gt;&lt;/dates&gt;&lt;publisher&gt;American Psychological Association&lt;/publisher&gt;&lt;urls&gt;&lt;/urls&gt;&lt;/record&gt;&lt;/Cite&gt;&lt;/EndNote&gt;</w:instrText>
      </w:r>
      <w:r w:rsidR="00EF281A" w:rsidRPr="003726FE">
        <w:rPr>
          <w:color w:val="000000" w:themeColor="text1"/>
          <w:shd w:val="clear" w:color="auto" w:fill="FFFFFF"/>
          <w:lang w:val="en-GB"/>
        </w:rPr>
        <w:fldChar w:fldCharType="separate"/>
      </w:r>
      <w:r w:rsidR="004E5A78" w:rsidRPr="003726FE">
        <w:rPr>
          <w:noProof/>
          <w:color w:val="000000" w:themeColor="text1"/>
          <w:shd w:val="clear" w:color="auto" w:fill="FFFFFF"/>
          <w:lang w:val="en-GB"/>
        </w:rPr>
        <w:t>(</w:t>
      </w:r>
      <w:hyperlink w:anchor="_ENREF_367" w:tooltip="Schunk, 1981 #224" w:history="1">
        <w:r w:rsidR="0094469E" w:rsidRPr="003726FE">
          <w:rPr>
            <w:noProof/>
            <w:color w:val="000000" w:themeColor="text1"/>
            <w:shd w:val="clear" w:color="auto" w:fill="FFFFFF"/>
            <w:lang w:val="en-GB"/>
          </w:rPr>
          <w:t>Schunk 1981</w:t>
        </w:r>
      </w:hyperlink>
      <w:r w:rsidR="004E5A78" w:rsidRPr="003726FE">
        <w:rPr>
          <w:noProof/>
          <w:color w:val="000000" w:themeColor="text1"/>
          <w:shd w:val="clear" w:color="auto" w:fill="FFFFFF"/>
          <w:lang w:val="en-GB"/>
        </w:rPr>
        <w:t>)</w:t>
      </w:r>
      <w:r w:rsidR="00EF281A" w:rsidRPr="003726FE">
        <w:rPr>
          <w:color w:val="000000" w:themeColor="text1"/>
          <w:shd w:val="clear" w:color="auto" w:fill="FFFFFF"/>
          <w:lang w:val="en-GB"/>
        </w:rPr>
        <w:fldChar w:fldCharType="end"/>
      </w:r>
      <w:r w:rsidR="006B053B" w:rsidRPr="003726FE">
        <w:rPr>
          <w:lang w:val="en-GB"/>
        </w:rPr>
        <w:t>.</w:t>
      </w:r>
      <w:r w:rsidR="00A25BFD" w:rsidRPr="003726FE">
        <w:rPr>
          <w:lang w:val="en-GB"/>
        </w:rPr>
        <w:t xml:space="preserve"> In the medical education context,</w:t>
      </w:r>
      <w:r w:rsidR="00332450" w:rsidRPr="003726FE">
        <w:rPr>
          <w:lang w:val="en-GB"/>
        </w:rPr>
        <w:t xml:space="preserve"> </w:t>
      </w:r>
      <w:hyperlink w:anchor="_ENREF_410" w:tooltip="Turan, 2013 #596" w:history="1">
        <w:r w:rsidR="0094469E" w:rsidRPr="003726FE">
          <w:rPr>
            <w:rFonts w:cs="Times New Roman"/>
            <w:lang w:val="en-GB"/>
          </w:rPr>
          <w:fldChar w:fldCharType="begin"/>
        </w:r>
        <w:r w:rsidR="0094469E">
          <w:rPr>
            <w:rFonts w:cs="Times New Roman"/>
            <w:lang w:val="en-GB"/>
          </w:rPr>
          <w:instrText xml:space="preserve"> ADDIN EN.CITE &lt;EndNote&gt;&lt;Cite AuthorYear="1"&gt;&lt;Author&gt;Turan&lt;/Author&gt;&lt;Year&gt;2013&lt;/Year&gt;&lt;RecNum&gt;596&lt;/RecNum&gt;&lt;Pages&gt;1313&lt;/Pages&gt;&lt;DisplayText&gt;Turan et al. (2013, p. 1313)&lt;/DisplayText&gt;&lt;record&gt;&lt;rec-number&gt;596&lt;/rec-number&gt;&lt;foreign-keys&gt;&lt;key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0094469E" w:rsidRPr="003726FE">
          <w:rPr>
            <w:rFonts w:cs="Times New Roman"/>
            <w:lang w:val="en-GB"/>
          </w:rPr>
          <w:fldChar w:fldCharType="separate"/>
        </w:r>
        <w:r w:rsidR="0094469E" w:rsidRPr="003726FE">
          <w:rPr>
            <w:rFonts w:cs="Times New Roman"/>
            <w:noProof/>
            <w:lang w:val="en-GB"/>
          </w:rPr>
          <w:t>Turan et al. (2013, p. 1313)</w:t>
        </w:r>
        <w:r w:rsidR="0094469E" w:rsidRPr="003726FE">
          <w:rPr>
            <w:rFonts w:cs="Times New Roman"/>
            <w:lang w:val="en-GB"/>
          </w:rPr>
          <w:fldChar w:fldCharType="end"/>
        </w:r>
      </w:hyperlink>
      <w:r w:rsidR="00332450" w:rsidRPr="003726FE">
        <w:rPr>
          <w:rFonts w:cs="Times New Roman"/>
          <w:lang w:val="en-GB"/>
        </w:rPr>
        <w:t xml:space="preserve"> recommended that “medical teachers and researchers should direct more attention to the study of medical students’ self-efficacy beliefs”.</w:t>
      </w:r>
      <w:r w:rsidR="00182109" w:rsidRPr="003726FE">
        <w:rPr>
          <w:rFonts w:cs="Times New Roman"/>
          <w:lang w:val="en-GB"/>
        </w:rPr>
        <w:t xml:space="preserve"> </w:t>
      </w:r>
      <w:r w:rsidR="00730709" w:rsidRPr="003726FE">
        <w:rPr>
          <w:rFonts w:cs="Times New Roman"/>
          <w:lang w:val="en-GB"/>
        </w:rPr>
        <w:t>S</w:t>
      </w:r>
      <w:r w:rsidR="00DB7A1A" w:rsidRPr="003726FE">
        <w:rPr>
          <w:rFonts w:cs="Times New Roman"/>
          <w:lang w:val="en-GB"/>
        </w:rPr>
        <w:t xml:space="preserve">elf-regulation and self-efficacy can have a significant impact on academic achievement, and previous research </w:t>
      </w:r>
      <w:r w:rsidR="00910D41" w:rsidRPr="003726FE">
        <w:rPr>
          <w:rFonts w:cs="Times New Roman"/>
          <w:lang w:val="en-GB"/>
        </w:rPr>
        <w:t xml:space="preserve">has </w:t>
      </w:r>
      <w:r w:rsidR="00DB7A1A" w:rsidRPr="003726FE">
        <w:rPr>
          <w:rFonts w:cs="Times New Roman"/>
          <w:lang w:val="en-GB"/>
        </w:rPr>
        <w:t xml:space="preserve">identified correlations between the two constructs </w:t>
      </w:r>
      <w:r w:rsidR="00DB7A1A" w:rsidRPr="003726FE">
        <w:rPr>
          <w:rFonts w:cs="Times New Roman"/>
          <w:lang w:val="en-GB"/>
        </w:rPr>
        <w:fldChar w:fldCharType="begin"/>
      </w:r>
      <w:r w:rsidR="008B61BE">
        <w:rPr>
          <w:rFonts w:cs="Times New Roman"/>
          <w:lang w:val="en-GB"/>
        </w:rPr>
        <w:instrText xml:space="preserve"> ADDIN EN.CITE &lt;EndNote&gt;&lt;Cite&gt;&lt;Author&gt;Bouffard&lt;/Author&gt;&lt;Year&gt;2005&lt;/Year&gt;&lt;RecNum&gt;671&lt;/RecNum&gt;&lt;DisplayText&gt;(Bidjerano 2005; Bouffard et al. 2005)&lt;/DisplayText&gt;&lt;record&gt;&lt;rec-number&gt;671&lt;/rec-number&gt;&lt;foreign-keys&gt;&lt;key app="EN" db-id="xa2r2ewea92trkef5dt5arvbzafvpv2za5ft" timestamp="1496417565"&gt;671&lt;/key&gt;&lt;/foreign-keys&gt;&lt;ref-type name="Journal Article"&gt;17&lt;/ref-type&gt;&lt;contributors&gt;&lt;authors&gt;&lt;author&gt;Bouffard, Thérèse&lt;/author&gt;&lt;author&gt;Bouchard, Maryse&lt;/author&gt;&lt;author&gt;Goulet, Geneviève&lt;/author&gt;&lt;author&gt;Denoncourt, Isabelle&lt;/author&gt;&lt;author&gt;Couture, Nathalie&lt;/author&gt;&lt;/authors&gt;&lt;/contributors&gt;&lt;titles&gt;&lt;title&gt;Influence of achievement goals and self</w:instrText>
      </w:r>
      <w:r w:rsidR="008B61BE">
        <w:rPr>
          <w:rFonts w:ascii="Cambria Math" w:hAnsi="Cambria Math" w:cs="Cambria Math"/>
          <w:lang w:val="en-GB"/>
        </w:rPr>
        <w:instrText>‐</w:instrText>
      </w:r>
      <w:r w:rsidR="008B61BE">
        <w:rPr>
          <w:rFonts w:cs="Times New Roman"/>
          <w:lang w:val="en-GB"/>
        </w:rPr>
        <w:instrText>efficacy on students&amp;apos; self</w:instrText>
      </w:r>
      <w:r w:rsidR="008B61BE">
        <w:rPr>
          <w:rFonts w:ascii="Cambria Math" w:hAnsi="Cambria Math" w:cs="Cambria Math"/>
          <w:lang w:val="en-GB"/>
        </w:rPr>
        <w:instrText>‐</w:instrText>
      </w:r>
      <w:r w:rsidR="008B61BE">
        <w:rPr>
          <w:rFonts w:cs="Times New Roman"/>
          <w:lang w:val="en-GB"/>
        </w:rPr>
        <w:instrText>regulation and performance&lt;/title&gt;&lt;secondary-title&gt;International journal of psychology&lt;/secondary-title&gt;&lt;/titles&gt;&lt;periodical&gt;&lt;full-title&gt;International journal of psychology&lt;/full-title&gt;&lt;/periodical&gt;&lt;pages&gt;373-384&lt;/pages&gt;&lt;volume&gt;40&lt;/volume&gt;&lt;number&gt;6&lt;/number&gt;&lt;dates&gt;&lt;year&gt;2005&lt;/year&gt;&lt;/dates&gt;&lt;isbn&gt;1464-066X&lt;/isbn&gt;&lt;urls&gt;&lt;/urls&gt;&lt;/record&gt;&lt;/Cite&gt;&lt;Cite&gt;&lt;Author&gt;Bidjerano&lt;/Author&gt;&lt;Year&gt;2005&lt;/Year&gt;&lt;RecNum&gt;672&lt;/RecNum&gt;&lt;record&gt;&lt;rec-number&gt;672&lt;/rec-number&gt;&lt;foreign-keys&gt;&lt;key app="EN" db-id="xa2r2ewea92trkef5dt5arvbzafvpv2za5ft" timestamp="1496417565"&gt;672&lt;/key&gt;&lt;/foreign-keys&gt;&lt;ref-type name="Conference Paper"&gt;47&lt;/ref-type&gt;&lt;contributors&gt;&lt;authors&gt;&lt;author&gt;Bidjerano, Temi&lt;/author&gt;&lt;/authors&gt;&lt;/contributors&gt;&lt;titles&gt;&lt;title&gt;Gender Differences in Self-Regulated Learning&lt;/title&gt;&lt;secondary-title&gt;Annual Meeting of the Northeastern Educational Research Association&lt;/secondary-title&gt;&lt;/titles&gt;&lt;dates&gt;&lt;year&gt;2005&lt;/year&gt;&lt;/dates&gt;&lt;pub-location&gt;Kerhonkson, NY&lt;/pub-location&gt;&lt;publisher&gt;ERIC&lt;/publisher&gt;&lt;urls&gt;&lt;/urls&gt;&lt;/record&gt;&lt;/Cite&gt;&lt;/EndNote&gt;</w:instrText>
      </w:r>
      <w:r w:rsidR="00DB7A1A" w:rsidRPr="003726FE">
        <w:rPr>
          <w:rFonts w:cs="Times New Roman"/>
          <w:lang w:val="en-GB"/>
        </w:rPr>
        <w:fldChar w:fldCharType="separate"/>
      </w:r>
      <w:r w:rsidR="004E5A78" w:rsidRPr="003726FE">
        <w:rPr>
          <w:rFonts w:cs="Times New Roman"/>
          <w:noProof/>
          <w:lang w:val="en-GB"/>
        </w:rPr>
        <w:t>(</w:t>
      </w:r>
      <w:hyperlink w:anchor="_ENREF_30" w:tooltip="Bidjerano, 2005 #672" w:history="1">
        <w:r w:rsidR="0094469E" w:rsidRPr="003726FE">
          <w:rPr>
            <w:rFonts w:cs="Times New Roman"/>
            <w:noProof/>
            <w:lang w:val="en-GB"/>
          </w:rPr>
          <w:t>Bidjerano 2005</w:t>
        </w:r>
      </w:hyperlink>
      <w:r w:rsidR="004E5A78" w:rsidRPr="003726FE">
        <w:rPr>
          <w:rFonts w:cs="Times New Roman"/>
          <w:noProof/>
          <w:lang w:val="en-GB"/>
        </w:rPr>
        <w:t xml:space="preserve">; </w:t>
      </w:r>
      <w:hyperlink w:anchor="_ENREF_50" w:tooltip="Bouffard, 2005 #671" w:history="1">
        <w:r w:rsidR="0094469E" w:rsidRPr="003726FE">
          <w:rPr>
            <w:rFonts w:cs="Times New Roman"/>
            <w:noProof/>
            <w:lang w:val="en-GB"/>
          </w:rPr>
          <w:t>Bouffard et al. 2005</w:t>
        </w:r>
      </w:hyperlink>
      <w:r w:rsidR="004E5A78" w:rsidRPr="003726FE">
        <w:rPr>
          <w:rFonts w:cs="Times New Roman"/>
          <w:noProof/>
          <w:lang w:val="en-GB"/>
        </w:rPr>
        <w:t>)</w:t>
      </w:r>
      <w:r w:rsidR="00DB7A1A" w:rsidRPr="003726FE">
        <w:rPr>
          <w:rFonts w:cs="Times New Roman"/>
          <w:lang w:val="en-GB"/>
        </w:rPr>
        <w:fldChar w:fldCharType="end"/>
      </w:r>
      <w:r w:rsidR="00DB7A1A" w:rsidRPr="003726FE">
        <w:rPr>
          <w:rFonts w:cs="Times New Roman"/>
          <w:lang w:val="en-GB"/>
        </w:rPr>
        <w:t xml:space="preserve">. </w:t>
      </w:r>
      <w:r w:rsidR="00182109" w:rsidRPr="003726FE">
        <w:rPr>
          <w:rFonts w:cs="Times New Roman"/>
          <w:lang w:val="en-GB"/>
        </w:rPr>
        <w:t xml:space="preserve">Given the importance of this process and its predictive power of other concepts in medical education learning, perceived self-efficacy is measured </w:t>
      </w:r>
      <w:r w:rsidR="00232187">
        <w:rPr>
          <w:rFonts w:cs="Times New Roman"/>
          <w:lang w:val="en-GB"/>
        </w:rPr>
        <w:t>separately</w:t>
      </w:r>
      <w:r w:rsidR="00182109" w:rsidRPr="003726FE">
        <w:rPr>
          <w:rFonts w:cs="Times New Roman"/>
          <w:lang w:val="en-GB"/>
        </w:rPr>
        <w:t xml:space="preserve"> in this study </w:t>
      </w:r>
      <w:r w:rsidR="00232187">
        <w:rPr>
          <w:rFonts w:cs="Times New Roman"/>
          <w:lang w:val="en-GB"/>
        </w:rPr>
        <w:t xml:space="preserve">but </w:t>
      </w:r>
      <w:r w:rsidR="00182109" w:rsidRPr="003726FE">
        <w:rPr>
          <w:rFonts w:cs="Times New Roman"/>
          <w:lang w:val="en-GB"/>
        </w:rPr>
        <w:t xml:space="preserve">alongside a tool that measures overall SRL capacity. This has two </w:t>
      </w:r>
      <w:r w:rsidR="00C063DD" w:rsidRPr="003726FE">
        <w:rPr>
          <w:rFonts w:cs="Times New Roman"/>
          <w:lang w:val="en-GB"/>
        </w:rPr>
        <w:t>purposes</w:t>
      </w:r>
      <w:r w:rsidR="00182109" w:rsidRPr="003726FE">
        <w:rPr>
          <w:rFonts w:cs="Times New Roman"/>
          <w:lang w:val="en-GB"/>
        </w:rPr>
        <w:t xml:space="preserve">: to provide a </w:t>
      </w:r>
      <w:r w:rsidR="00E63B05">
        <w:rPr>
          <w:rFonts w:cs="Times New Roman"/>
          <w:lang w:val="en-GB"/>
        </w:rPr>
        <w:t>better</w:t>
      </w:r>
      <w:r w:rsidR="00182109" w:rsidRPr="003726FE">
        <w:rPr>
          <w:rFonts w:cs="Times New Roman"/>
          <w:lang w:val="en-GB"/>
        </w:rPr>
        <w:t xml:space="preserve"> validated measure to compare SRL capacity to and to test its predictive validity, and to </w:t>
      </w:r>
      <w:r w:rsidR="00C063DD" w:rsidRPr="003726FE">
        <w:rPr>
          <w:rFonts w:cs="Times New Roman"/>
          <w:lang w:val="en-GB"/>
        </w:rPr>
        <w:t xml:space="preserve">better understand how learners’ self-efficacy beliefs change in response to </w:t>
      </w:r>
      <w:r w:rsidR="00E63B05">
        <w:rPr>
          <w:rFonts w:cs="Times New Roman"/>
          <w:lang w:val="en-GB"/>
        </w:rPr>
        <w:t xml:space="preserve">(1) </w:t>
      </w:r>
      <w:r w:rsidR="00C063DD" w:rsidRPr="003726FE">
        <w:rPr>
          <w:rFonts w:cs="Times New Roman"/>
          <w:lang w:val="en-GB"/>
        </w:rPr>
        <w:t xml:space="preserve">an intervention and </w:t>
      </w:r>
      <w:r w:rsidR="00E63B05">
        <w:rPr>
          <w:rFonts w:cs="Times New Roman"/>
          <w:lang w:val="en-GB"/>
        </w:rPr>
        <w:t xml:space="preserve">(2) </w:t>
      </w:r>
      <w:r w:rsidR="00C063DD" w:rsidRPr="003726FE">
        <w:rPr>
          <w:rFonts w:cs="Times New Roman"/>
          <w:lang w:val="en-GB"/>
        </w:rPr>
        <w:t>over time.</w:t>
      </w:r>
    </w:p>
    <w:p w14:paraId="2E0233BE" w14:textId="380B2E85" w:rsidR="00AA7B7E" w:rsidRPr="003726FE" w:rsidRDefault="00AA7B7E" w:rsidP="00026049">
      <w:pPr>
        <w:pStyle w:val="Normal1"/>
        <w:rPr>
          <w:lang w:val="en-GB"/>
        </w:rPr>
      </w:pPr>
    </w:p>
    <w:p w14:paraId="5E7AC9E2" w14:textId="60563E10" w:rsidR="00715ECC" w:rsidRPr="003726FE" w:rsidRDefault="00C74413" w:rsidP="00426FCB">
      <w:pPr>
        <w:pStyle w:val="Heading4"/>
      </w:pPr>
      <w:r>
        <w:t xml:space="preserve">A1.2.3.2 </w:t>
      </w:r>
      <w:r w:rsidR="00715ECC" w:rsidRPr="003726FE">
        <w:t xml:space="preserve">Performance </w:t>
      </w:r>
      <w:r w:rsidR="002F655D">
        <w:t>P</w:t>
      </w:r>
      <w:r w:rsidR="00715ECC" w:rsidRPr="003726FE">
        <w:t>hase</w:t>
      </w:r>
    </w:p>
    <w:p w14:paraId="6BC250BA" w14:textId="77777777" w:rsidR="00715ECC" w:rsidRPr="003726FE" w:rsidRDefault="00715ECC" w:rsidP="00026049">
      <w:pPr>
        <w:pStyle w:val="Normal1"/>
        <w:rPr>
          <w:lang w:val="en-GB"/>
        </w:rPr>
      </w:pPr>
    </w:p>
    <w:p w14:paraId="2587C915" w14:textId="5C7DE916" w:rsidR="00AA7B7E" w:rsidRPr="003726FE" w:rsidRDefault="00AA7B7E" w:rsidP="00026049">
      <w:pPr>
        <w:pStyle w:val="Normal1"/>
        <w:rPr>
          <w:lang w:val="en-GB"/>
        </w:rPr>
      </w:pPr>
      <w:r w:rsidRPr="003726FE">
        <w:rPr>
          <w:lang w:val="en-GB"/>
        </w:rPr>
        <w:t xml:space="preserve">During </w:t>
      </w:r>
      <w:r w:rsidR="00730709" w:rsidRPr="003726FE">
        <w:rPr>
          <w:lang w:val="en-GB"/>
        </w:rPr>
        <w:t>a</w:t>
      </w:r>
      <w:r w:rsidRPr="003726FE">
        <w:rPr>
          <w:lang w:val="en-GB"/>
        </w:rPr>
        <w:t xml:space="preserve"> skill, proficient self-regulators are able to actively monitor and control their behaviours and cognitions and make adjustments where necessary (self-control). </w:t>
      </w:r>
      <w:r w:rsidR="00E63B05">
        <w:rPr>
          <w:lang w:val="en-GB"/>
        </w:rPr>
        <w:t>They</w:t>
      </w:r>
      <w:r w:rsidRPr="003726FE">
        <w:rPr>
          <w:lang w:val="en-GB"/>
        </w:rPr>
        <w:t xml:space="preserve"> </w:t>
      </w:r>
      <w:r w:rsidR="00A52728" w:rsidRPr="003726FE">
        <w:rPr>
          <w:lang w:val="en-GB"/>
        </w:rPr>
        <w:t>are</w:t>
      </w:r>
      <w:r w:rsidRPr="003726FE">
        <w:rPr>
          <w:lang w:val="en-GB"/>
        </w:rPr>
        <w:t xml:space="preserve"> also able to implement their strategies set out in the forethought stage and m</w:t>
      </w:r>
      <w:r w:rsidR="00E63B05">
        <w:rPr>
          <w:lang w:val="en-GB"/>
        </w:rPr>
        <w:t>onitor their progress accordingly</w:t>
      </w:r>
      <w:r w:rsidRPr="003726FE">
        <w:rPr>
          <w:lang w:val="en-GB"/>
        </w:rPr>
        <w:t xml:space="preserve"> (self-observation) using processes and techniques, </w:t>
      </w:r>
      <w:r w:rsidR="0021662A">
        <w:rPr>
          <w:lang w:val="en-GB"/>
        </w:rPr>
        <w:t>including</w:t>
      </w:r>
      <w:r w:rsidRPr="003726FE">
        <w:rPr>
          <w:lang w:val="en-GB"/>
        </w:rPr>
        <w:t xml:space="preserve"> meta-cognitive monitoring and self-talk (Cleary et al., 2014). </w:t>
      </w:r>
      <w:r w:rsidR="00402AF2" w:rsidRPr="003726FE">
        <w:rPr>
          <w:lang w:val="en-GB"/>
        </w:rPr>
        <w:t>This typically manifests as a form of constant checking and adjusting (“</w:t>
      </w:r>
      <w:r w:rsidR="00730709" w:rsidRPr="003726FE">
        <w:rPr>
          <w:lang w:val="en-GB"/>
        </w:rPr>
        <w:t>I</w:t>
      </w:r>
      <w:r w:rsidR="00402AF2" w:rsidRPr="003726FE">
        <w:rPr>
          <w:lang w:val="en-GB"/>
        </w:rPr>
        <w:t xml:space="preserve">’m not going quickly enough, </w:t>
      </w:r>
      <w:r w:rsidR="00730709" w:rsidRPr="003726FE">
        <w:rPr>
          <w:lang w:val="en-GB"/>
        </w:rPr>
        <w:t>I’</w:t>
      </w:r>
      <w:r w:rsidR="00402AF2" w:rsidRPr="003726FE">
        <w:rPr>
          <w:lang w:val="en-GB"/>
        </w:rPr>
        <w:t>ll speed up” or “</w:t>
      </w:r>
      <w:r w:rsidR="00730709" w:rsidRPr="003726FE">
        <w:rPr>
          <w:lang w:val="en-GB"/>
        </w:rPr>
        <w:t>I</w:t>
      </w:r>
      <w:r w:rsidR="00402AF2" w:rsidRPr="003726FE">
        <w:rPr>
          <w:lang w:val="en-GB"/>
        </w:rPr>
        <w:t xml:space="preserve"> forgot to ask about the patient’s living situation, </w:t>
      </w:r>
      <w:r w:rsidR="00730709" w:rsidRPr="003726FE">
        <w:rPr>
          <w:lang w:val="en-GB"/>
        </w:rPr>
        <w:t>I</w:t>
      </w:r>
      <w:r w:rsidR="00402AF2" w:rsidRPr="003726FE">
        <w:rPr>
          <w:lang w:val="en-GB"/>
        </w:rPr>
        <w:t xml:space="preserve">’ll </w:t>
      </w:r>
      <w:r w:rsidR="00730709" w:rsidRPr="003726FE">
        <w:rPr>
          <w:lang w:val="en-GB"/>
        </w:rPr>
        <w:t>make a note to ask them before they leave</w:t>
      </w:r>
      <w:r w:rsidR="00402AF2" w:rsidRPr="003726FE">
        <w:rPr>
          <w:lang w:val="en-GB"/>
        </w:rPr>
        <w:t>”)</w:t>
      </w:r>
      <w:r w:rsidR="00730709" w:rsidRPr="003726FE">
        <w:rPr>
          <w:lang w:val="en-GB"/>
        </w:rPr>
        <w:t>.</w:t>
      </w:r>
    </w:p>
    <w:p w14:paraId="6539E1ED" w14:textId="77777777" w:rsidR="00AA7B7E" w:rsidRPr="003726FE" w:rsidRDefault="00AA7B7E" w:rsidP="00026049">
      <w:pPr>
        <w:pStyle w:val="Normal1"/>
        <w:rPr>
          <w:lang w:val="en-GB"/>
        </w:rPr>
      </w:pPr>
    </w:p>
    <w:p w14:paraId="2C87FDF7" w14:textId="40D67623" w:rsidR="008F6949" w:rsidRPr="003726FE" w:rsidRDefault="00F7363F" w:rsidP="00026049">
      <w:pPr>
        <w:pStyle w:val="Normal1"/>
        <w:rPr>
          <w:lang w:val="en-GB"/>
        </w:rPr>
      </w:pPr>
      <w:r w:rsidRPr="003726FE">
        <w:rPr>
          <w:i/>
          <w:lang w:val="en-GB"/>
        </w:rPr>
        <w:t xml:space="preserve">Self-control </w:t>
      </w:r>
      <w:r w:rsidR="00CD0C19" w:rsidRPr="003726FE">
        <w:rPr>
          <w:lang w:val="en-GB"/>
        </w:rPr>
        <w:t xml:space="preserve">is a sub-process of the performance phase which includes four regulatory processes: self-instruction, imagery, attention focusing, and task strategies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00CD0C19" w:rsidRPr="003726FE">
        <w:rPr>
          <w:lang w:val="en-GB"/>
        </w:rPr>
        <w:t>. Attention focusing</w:t>
      </w:r>
      <w:r w:rsidR="005953D0" w:rsidRPr="003726FE">
        <w:rPr>
          <w:lang w:val="en-GB"/>
        </w:rPr>
        <w:t xml:space="preserve"> is of interest to this study as it involves how learners concentrate and filter internal and external influences </w:t>
      </w:r>
      <w:r w:rsidR="00EF281A" w:rsidRPr="003726FE">
        <w:rPr>
          <w:lang w:val="en-GB"/>
        </w:rPr>
        <w:fldChar w:fldCharType="begin"/>
      </w:r>
      <w:r w:rsidR="008B61BE">
        <w:rPr>
          <w:lang w:val="en-GB"/>
        </w:rPr>
        <w:instrText xml:space="preserve"> ADDIN EN.CITE &lt;EndNote&gt;&lt;Cite&gt;&lt;Author&gt;Zimmerman&lt;/Author&gt;&lt;Year&gt;2000&lt;/Year&gt;&lt;RecNum&gt;595&lt;/RecNum&gt;&lt;Pages&gt;19&lt;/Pages&gt;&lt;DisplayText&gt;(Zimmerman 2000a, p. 19)&lt;/DisplayText&gt;&lt;record&gt;&lt;rec-number&gt;595&lt;/rec-number&gt;&lt;foreign-keys&gt;&lt;key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 p. 19</w:t>
        </w:r>
      </w:hyperlink>
      <w:r w:rsidR="004E5A78" w:rsidRPr="003726FE">
        <w:rPr>
          <w:noProof/>
          <w:lang w:val="en-GB"/>
        </w:rPr>
        <w:t>)</w:t>
      </w:r>
      <w:r w:rsidR="00EF281A" w:rsidRPr="003726FE">
        <w:rPr>
          <w:lang w:val="en-GB"/>
        </w:rPr>
        <w:fldChar w:fldCharType="end"/>
      </w:r>
      <w:r w:rsidR="005953D0" w:rsidRPr="003726FE">
        <w:rPr>
          <w:lang w:val="en-GB"/>
        </w:rPr>
        <w:t>. Thus, studying this particular process allows for the exploration of the effect of personal and contextual factors upon learning, an important consideration for those adopting the social cognitive view. Environmental cues</w:t>
      </w:r>
      <w:r w:rsidR="00DA4CF2" w:rsidRPr="003726FE">
        <w:rPr>
          <w:lang w:val="en-GB"/>
        </w:rPr>
        <w:t xml:space="preserve"> affecting the attention may influence the strategic planning stage, employing a specific attention focusing strategy to lessen the impact of the cue if it is detrimental to performance.</w:t>
      </w:r>
    </w:p>
    <w:p w14:paraId="01FBA7F5" w14:textId="77777777" w:rsidR="008F6949" w:rsidRPr="003726FE" w:rsidRDefault="008F6949" w:rsidP="00026049">
      <w:pPr>
        <w:pStyle w:val="Normal1"/>
        <w:rPr>
          <w:lang w:val="en-GB"/>
        </w:rPr>
      </w:pPr>
    </w:p>
    <w:p w14:paraId="70D81419" w14:textId="2F122838" w:rsidR="008F6949" w:rsidRPr="003726FE" w:rsidRDefault="008F6949" w:rsidP="00026049">
      <w:pPr>
        <w:pStyle w:val="Normal1"/>
        <w:rPr>
          <w:lang w:val="en-GB"/>
        </w:rPr>
      </w:pPr>
      <w:r w:rsidRPr="003726FE">
        <w:rPr>
          <w:i/>
          <w:lang w:val="en-GB"/>
        </w:rPr>
        <w:t>Meta-cognitive monitoring</w:t>
      </w:r>
      <w:r w:rsidR="00C90150" w:rsidRPr="003726FE">
        <w:rPr>
          <w:i/>
          <w:lang w:val="en-GB"/>
        </w:rPr>
        <w:t xml:space="preserve"> </w:t>
      </w:r>
      <w:r w:rsidR="00C90150" w:rsidRPr="003726FE">
        <w:rPr>
          <w:lang w:val="en-GB"/>
        </w:rPr>
        <w:t>is the key p</w:t>
      </w:r>
      <w:r w:rsidR="00C5683A">
        <w:rPr>
          <w:lang w:val="en-GB"/>
        </w:rPr>
        <w:t>rocess in the performance phase. L</w:t>
      </w:r>
      <w:r w:rsidR="00C90150" w:rsidRPr="003726FE">
        <w:rPr>
          <w:lang w:val="en-GB"/>
        </w:rPr>
        <w:t>earners use it to monitor their regulatory processes not only during the task but across all phases</w:t>
      </w:r>
      <w:r w:rsidR="009929CB" w:rsidRPr="003726FE">
        <w:rPr>
          <w:lang w:val="en-GB"/>
        </w:rPr>
        <w:t xml:space="preserve"> </w:t>
      </w:r>
      <w:r w:rsidR="00EF281A" w:rsidRPr="003726FE">
        <w:rPr>
          <w:lang w:val="en-GB"/>
        </w:rPr>
        <w:fldChar w:fldCharType="begin"/>
      </w:r>
      <w:r w:rsidR="008B61BE">
        <w:rPr>
          <w:lang w:val="en-GB"/>
        </w:rPr>
        <w:instrText xml:space="preserve"> ADDIN EN.CITE &lt;EndNote&gt;&lt;Cite&gt;&lt;Author&gt;Dinsmore&lt;/Author&gt;&lt;Year&gt;2008&lt;/Year&gt;&lt;RecNum&gt;68&lt;/RecNum&gt;&lt;DisplayText&gt;(Dinsmore et al. 2008)&lt;/DisplayText&gt;&lt;record&gt;&lt;rec-number&gt;68&lt;/rec-number&gt;&lt;foreign-keys&gt;&lt;key app="EN" db-id="xa2r2ewea92trkef5dt5arvbzafvpv2za5ft" timestamp="1442161763"&gt;68&lt;/key&gt;&lt;/foreign-keys&gt;&lt;ref-type name="Journal Article"&gt;17&lt;/ref-type&gt;&lt;contributors&gt;&lt;authors&gt;&lt;author&gt;Dinsmore, Daniel L.&lt;/author&gt;&lt;author&gt;Alexander, Patricia A.&lt;/author&gt;&lt;author&gt;Loughlin, Sandra M.&lt;/author&gt;&lt;/authors&gt;&lt;/contributors&gt;&lt;titles&gt;&lt;title&gt;Focusing the conceptual lens on metacognition, self-regulation, and self-regulated learning&lt;/title&gt;&lt;secondary-title&gt;Educational Psychology Review&lt;/secondary-title&gt;&lt;/titles&gt;&lt;periodical&gt;&lt;full-title&gt;Educational Psychology Review&lt;/full-title&gt;&lt;/periodical&gt;&lt;pages&gt;391-409&lt;/pages&gt;&lt;volume&gt;20&lt;/volume&gt;&lt;number&gt;4&lt;/number&gt;&lt;dates&gt;&lt;year&gt;2008&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126" w:tooltip="Dinsmore, 2008 #68" w:history="1">
        <w:r w:rsidR="0094469E" w:rsidRPr="003726FE">
          <w:rPr>
            <w:noProof/>
            <w:lang w:val="en-GB"/>
          </w:rPr>
          <w:t>Dinsmore et al. 2008</w:t>
        </w:r>
      </w:hyperlink>
      <w:r w:rsidR="004E5A78" w:rsidRPr="003726FE">
        <w:rPr>
          <w:noProof/>
          <w:lang w:val="en-GB"/>
        </w:rPr>
        <w:t>)</w:t>
      </w:r>
      <w:r w:rsidR="00EF281A" w:rsidRPr="003726FE">
        <w:rPr>
          <w:lang w:val="en-GB"/>
        </w:rPr>
        <w:fldChar w:fldCharType="end"/>
      </w:r>
      <w:r w:rsidR="00C90150" w:rsidRPr="003726FE">
        <w:rPr>
          <w:lang w:val="en-GB"/>
        </w:rPr>
        <w:t xml:space="preserve">. </w:t>
      </w:r>
      <w:r w:rsidR="009929CB" w:rsidRPr="003726FE">
        <w:rPr>
          <w:lang w:val="en-GB"/>
        </w:rPr>
        <w:t xml:space="preserve">It was developed as a tool for controlling thoughts in a self-regulation context after </w:t>
      </w:r>
      <w:r w:rsidR="00C5683A">
        <w:rPr>
          <w:lang w:val="en-GB"/>
        </w:rPr>
        <w:t>originating</w:t>
      </w:r>
      <w:r w:rsidR="009929CB" w:rsidRPr="003726FE">
        <w:rPr>
          <w:lang w:val="en-GB"/>
        </w:rPr>
        <w:t xml:space="preserve"> in the philosophy and psychology fields </w:t>
      </w:r>
      <w:r w:rsidR="00EF281A" w:rsidRPr="003726FE">
        <w:rPr>
          <w:lang w:val="en-GB"/>
        </w:rPr>
        <w:fldChar w:fldCharType="begin"/>
      </w:r>
      <w:r w:rsidR="008B61BE">
        <w:rPr>
          <w:lang w:val="en-GB"/>
        </w:rPr>
        <w:instrText xml:space="preserve"> ADDIN EN.CITE &lt;EndNote&gt;&lt;Cite&gt;&lt;Author&gt;Baker&lt;/Author&gt;&lt;Year&gt;1984&lt;/Year&gt;&lt;RecNum&gt;654&lt;/RecNum&gt;&lt;DisplayText&gt;(Baker and Brown 1984)&lt;/DisplayText&gt;&lt;record&gt;&lt;rec-number&gt;654&lt;/rec-number&gt;&lt;foreign-keys&gt;&lt;key app="EN" db-id="xa2r2ewea92trkef5dt5arvbzafvpv2za5ft" timestamp="1496417563"&gt;654&lt;/key&gt;&lt;/foreign-keys&gt;&lt;ref-type name="Journal Article"&gt;17&lt;/ref-type&gt;&lt;contributors&gt;&lt;authors&gt;&lt;author&gt;Baker, Linda&lt;/author&gt;&lt;author&gt;Brown, Ann L&lt;/author&gt;&lt;/authors&gt;&lt;/contributors&gt;&lt;titles&gt;&lt;title&gt;Metacognitive skills and reading&lt;/title&gt;&lt;secondary-title&gt;Handbook of reading research&lt;/secondary-title&gt;&lt;/titles&gt;&lt;periodical&gt;&lt;full-title&gt;Handbook of reading research&lt;/full-title&gt;&lt;/periodical&gt;&lt;pages&gt;V394&lt;/pages&gt;&lt;volume&gt;1&lt;/volume&gt;&lt;number&gt;353&lt;/number&gt;&lt;dates&gt;&lt;year&gt;1984&lt;/year&gt;&lt;/dates&gt;&lt;urls&gt;&lt;/urls&gt;&lt;/record&gt;&lt;/Cite&gt;&lt;/EndNote&gt;</w:instrText>
      </w:r>
      <w:r w:rsidR="00EF281A" w:rsidRPr="003726FE">
        <w:rPr>
          <w:lang w:val="en-GB"/>
        </w:rPr>
        <w:fldChar w:fldCharType="separate"/>
      </w:r>
      <w:r w:rsidR="004E5A78" w:rsidRPr="003726FE">
        <w:rPr>
          <w:noProof/>
          <w:lang w:val="en-GB"/>
        </w:rPr>
        <w:t>(</w:t>
      </w:r>
      <w:hyperlink w:anchor="_ENREF_13" w:tooltip="Baker, 1984 #654" w:history="1">
        <w:r w:rsidR="0094469E" w:rsidRPr="003726FE">
          <w:rPr>
            <w:noProof/>
            <w:lang w:val="en-GB"/>
          </w:rPr>
          <w:t>Baker and Brown 1984</w:t>
        </w:r>
      </w:hyperlink>
      <w:r w:rsidR="004E5A78" w:rsidRPr="003726FE">
        <w:rPr>
          <w:noProof/>
          <w:lang w:val="en-GB"/>
        </w:rPr>
        <w:t>)</w:t>
      </w:r>
      <w:r w:rsidR="00EF281A" w:rsidRPr="003726FE">
        <w:rPr>
          <w:lang w:val="en-GB"/>
        </w:rPr>
        <w:fldChar w:fldCharType="end"/>
      </w:r>
      <w:r w:rsidR="009929CB" w:rsidRPr="003726FE">
        <w:rPr>
          <w:lang w:val="en-GB"/>
        </w:rPr>
        <w:t>. Using metacognitive monitoring, learners</w:t>
      </w:r>
      <w:r w:rsidR="00C90150" w:rsidRPr="003726FE">
        <w:rPr>
          <w:lang w:val="en-GB"/>
        </w:rPr>
        <w:t xml:space="preserve"> are able to gather information for the</w:t>
      </w:r>
      <w:r w:rsidR="00730709" w:rsidRPr="003726FE">
        <w:rPr>
          <w:lang w:val="en-GB"/>
        </w:rPr>
        <w:t>ir</w:t>
      </w:r>
      <w:r w:rsidR="00C90150" w:rsidRPr="003726FE">
        <w:rPr>
          <w:lang w:val="en-GB"/>
        </w:rPr>
        <w:t xml:space="preserve"> internal feedback loop which informs the other regulatory processes and consequently performance adjustments.</w:t>
      </w:r>
      <w:r w:rsidR="00A52728" w:rsidRPr="003726FE">
        <w:rPr>
          <w:i/>
          <w:lang w:val="en-GB"/>
        </w:rPr>
        <w:t xml:space="preserve"> </w:t>
      </w:r>
      <w:r w:rsidR="00A52728" w:rsidRPr="003726FE">
        <w:rPr>
          <w:lang w:val="en-GB"/>
        </w:rPr>
        <w:t xml:space="preserve">The learner may regularly check to ensure they are maintaining a sterile field throughout a procedure by </w:t>
      </w:r>
      <w:r w:rsidR="00C5683A">
        <w:rPr>
          <w:lang w:val="en-GB"/>
        </w:rPr>
        <w:t>regularly questioning themselves:</w:t>
      </w:r>
      <w:r w:rsidR="00A52728" w:rsidRPr="003726FE">
        <w:rPr>
          <w:lang w:val="en-GB"/>
        </w:rPr>
        <w:t xml:space="preserve"> “am I being careful not to contaminate the field? Should I slow down to make sure?” The learner interprets internal feedback gathered from within using monitoring processes or from external sources to help refine their performance </w:t>
      </w:r>
      <w:r w:rsidR="00EF281A" w:rsidRPr="003726FE">
        <w:rPr>
          <w:lang w:val="en-GB"/>
        </w:rPr>
        <w:fldChar w:fldCharType="begin"/>
      </w:r>
      <w:r w:rsidR="008B61BE">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3726FE">
        <w:rPr>
          <w:lang w:val="en-GB"/>
        </w:rPr>
        <w:fldChar w:fldCharType="separate"/>
      </w:r>
      <w:r w:rsidR="004E5A78" w:rsidRPr="003726FE">
        <w:rPr>
          <w:noProof/>
          <w:lang w:val="en-GB"/>
        </w:rPr>
        <w:t>(</w:t>
      </w:r>
      <w:hyperlink w:anchor="_ENREF_83" w:tooltip="Cleary, 2012 #35" w:history="1">
        <w:r w:rsidR="0094469E" w:rsidRPr="003726FE">
          <w:rPr>
            <w:noProof/>
            <w:lang w:val="en-GB"/>
          </w:rPr>
          <w:t>Cleary et al. 2012</w:t>
        </w:r>
      </w:hyperlink>
      <w:r w:rsidR="004E5A78" w:rsidRPr="003726FE">
        <w:rPr>
          <w:noProof/>
          <w:lang w:val="en-GB"/>
        </w:rPr>
        <w:t>)</w:t>
      </w:r>
      <w:r w:rsidR="00EF281A" w:rsidRPr="003726FE">
        <w:rPr>
          <w:lang w:val="en-GB"/>
        </w:rPr>
        <w:fldChar w:fldCharType="end"/>
      </w:r>
      <w:r w:rsidR="00A52728" w:rsidRPr="003726FE">
        <w:rPr>
          <w:lang w:val="en-GB"/>
        </w:rPr>
        <w:t>.</w:t>
      </w:r>
    </w:p>
    <w:p w14:paraId="4D9EEA79" w14:textId="77777777" w:rsidR="00A52728" w:rsidRPr="003726FE" w:rsidRDefault="00A52728" w:rsidP="00026049">
      <w:pPr>
        <w:pStyle w:val="Normal1"/>
        <w:rPr>
          <w:lang w:val="en-GB"/>
        </w:rPr>
      </w:pPr>
    </w:p>
    <w:p w14:paraId="46EFDC71" w14:textId="56188C25" w:rsidR="00715ECC" w:rsidRPr="003726FE" w:rsidRDefault="00C74413" w:rsidP="00426FCB">
      <w:pPr>
        <w:pStyle w:val="Heading4"/>
      </w:pPr>
      <w:r>
        <w:t xml:space="preserve">A1.2.3.3 </w:t>
      </w:r>
      <w:r w:rsidR="00715ECC" w:rsidRPr="003726FE">
        <w:t>Self-reflection Phase</w:t>
      </w:r>
    </w:p>
    <w:p w14:paraId="189FD660" w14:textId="77777777" w:rsidR="00715ECC" w:rsidRPr="003726FE" w:rsidRDefault="00715ECC" w:rsidP="00026049">
      <w:pPr>
        <w:pStyle w:val="Normal1"/>
        <w:rPr>
          <w:lang w:val="en-GB"/>
        </w:rPr>
      </w:pPr>
    </w:p>
    <w:p w14:paraId="55820176" w14:textId="0F856301" w:rsidR="00F4244E" w:rsidRPr="003726FE" w:rsidRDefault="00AA7B7E" w:rsidP="00026049">
      <w:pPr>
        <w:pStyle w:val="Normal1"/>
        <w:rPr>
          <w:lang w:val="en-GB"/>
        </w:rPr>
      </w:pPr>
      <w:r w:rsidRPr="003726FE">
        <w:rPr>
          <w:lang w:val="en-GB"/>
        </w:rPr>
        <w:t>The self-reflection phase involves the learner using internally and externally generated feedback to evaluate the success of their employed strategic plan (</w:t>
      </w:r>
      <w:r w:rsidR="004E14F1" w:rsidRPr="003726FE">
        <w:rPr>
          <w:lang w:val="en-GB"/>
        </w:rPr>
        <w:t>self-judgement</w:t>
      </w:r>
      <w:r w:rsidRPr="003726FE">
        <w:rPr>
          <w:lang w:val="en-GB"/>
        </w:rPr>
        <w:t>), why it was successful or not, and how they can improve their performance for next time (</w:t>
      </w:r>
      <w:r w:rsidR="004E14F1" w:rsidRPr="003726FE">
        <w:rPr>
          <w:lang w:val="en-GB"/>
        </w:rPr>
        <w:t>self-reaction</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Pr="003726FE">
        <w:rPr>
          <w:lang w:val="en-GB"/>
        </w:rPr>
        <w:t>. For example, the student notices that their aseptic technique wasn’t perfect</w:t>
      </w:r>
      <w:r w:rsidR="00E63B05">
        <w:rPr>
          <w:lang w:val="en-GB"/>
        </w:rPr>
        <w:t>, on</w:t>
      </w:r>
      <w:r w:rsidRPr="003726FE">
        <w:rPr>
          <w:lang w:val="en-GB"/>
        </w:rPr>
        <w:t xml:space="preserve"> which the teacher also gave feedback on, the student recognises that they are responsible for the error in their performance and decides to prioritise thi</w:t>
      </w:r>
      <w:r w:rsidR="00715ECC" w:rsidRPr="003726FE">
        <w:rPr>
          <w:lang w:val="en-GB"/>
        </w:rPr>
        <w:t xml:space="preserve">s goal for their next attempt. </w:t>
      </w:r>
    </w:p>
    <w:p w14:paraId="0248A479" w14:textId="77777777" w:rsidR="00AA7B7E" w:rsidRPr="003726FE" w:rsidRDefault="00AA7B7E" w:rsidP="00026049">
      <w:pPr>
        <w:pStyle w:val="Normal1"/>
        <w:rPr>
          <w:lang w:val="en-GB"/>
        </w:rPr>
      </w:pPr>
    </w:p>
    <w:p w14:paraId="6797D60F" w14:textId="77777777" w:rsidR="002F655D" w:rsidRDefault="002F655D" w:rsidP="00026049">
      <w:pPr>
        <w:pStyle w:val="Normal1"/>
        <w:rPr>
          <w:i/>
          <w:lang w:val="en-GB"/>
        </w:rPr>
      </w:pPr>
    </w:p>
    <w:p w14:paraId="3F331003" w14:textId="52830562" w:rsidR="004E14F1" w:rsidRPr="003726FE" w:rsidRDefault="004E14F1" w:rsidP="00026049">
      <w:pPr>
        <w:pStyle w:val="Normal1"/>
        <w:rPr>
          <w:lang w:val="en-GB"/>
        </w:rPr>
      </w:pPr>
      <w:r w:rsidRPr="003726FE">
        <w:rPr>
          <w:i/>
          <w:lang w:val="en-GB"/>
        </w:rPr>
        <w:lastRenderedPageBreak/>
        <w:t>Causal attributions</w:t>
      </w:r>
      <w:r w:rsidR="0047180F" w:rsidRPr="003726FE">
        <w:rPr>
          <w:i/>
          <w:lang w:val="en-GB"/>
        </w:rPr>
        <w:t xml:space="preserve"> </w:t>
      </w:r>
      <w:r w:rsidR="0047180F" w:rsidRPr="003726FE">
        <w:rPr>
          <w:lang w:val="en-GB"/>
        </w:rPr>
        <w:t xml:space="preserve">are the reasons learners believe </w:t>
      </w:r>
      <w:r w:rsidR="00C5683A">
        <w:rPr>
          <w:lang w:val="en-GB"/>
        </w:rPr>
        <w:t>caused</w:t>
      </w:r>
      <w:r w:rsidR="0047180F" w:rsidRPr="003726FE">
        <w:rPr>
          <w:lang w:val="en-GB"/>
        </w:rPr>
        <w:t xml:space="preserve"> their performance outcomes</w:t>
      </w:r>
      <w:r w:rsidR="00E97E85" w:rsidRPr="003726FE">
        <w:rPr>
          <w:lang w:val="en-GB"/>
        </w:rPr>
        <w:t>. I</w:t>
      </w:r>
      <w:r w:rsidR="0047180F" w:rsidRPr="003726FE">
        <w:rPr>
          <w:lang w:val="en-GB"/>
        </w:rPr>
        <w:t xml:space="preserve">t is an important self-judgement process which has been studied in educational and sporting contexts </w:t>
      </w:r>
      <w:r w:rsidR="0047180F" w:rsidRPr="003726FE">
        <w:rPr>
          <w:lang w:val="en-GB"/>
        </w:rPr>
        <w:fldChar w:fldCharType="begin"/>
      </w:r>
      <w:r w:rsidR="008B61BE">
        <w:rPr>
          <w:lang w:val="en-GB"/>
        </w:rPr>
        <w:instrText xml:space="preserve"> ADDIN EN.CITE &lt;EndNote&gt;&lt;Cite&gt;&lt;Author&gt;Schunk&lt;/Author&gt;&lt;Year&gt;1990&lt;/Year&gt;&lt;RecNum&gt;653&lt;/RecNum&gt;&lt;DisplayText&gt;(Schunk 1990; Kitsantas and Zimmerman 2002)&lt;/DisplayText&gt;&lt;record&gt;&lt;rec-number&gt;653&lt;/rec-number&gt;&lt;foreign-keys&gt;&lt;key app="EN" db-id="xa2r2ewea92trkef5dt5arvbzafvpv2za5ft" timestamp="1496417563"&gt;653&lt;/key&gt;&lt;/foreign-keys&gt;&lt;ref-type name="Journal Article"&gt;17&lt;/ref-type&gt;&lt;contributors&gt;&lt;authors&gt;&lt;author&gt;Schunk, Dale H&lt;/author&gt;&lt;/authors&gt;&lt;/contributors&gt;&lt;titles&gt;&lt;title&gt;Goal setting and self-efficacy during self-regulated learning&lt;/title&gt;&lt;secondary-title&gt;Educational psychologist&lt;/secondary-title&gt;&lt;/titles&gt;&lt;periodical&gt;&lt;full-title&gt;Educational Psychologist&lt;/full-title&gt;&lt;/periodical&gt;&lt;pages&gt;71-86&lt;/pages&gt;&lt;volume&gt;25&lt;/volume&gt;&lt;number&gt;1&lt;/number&gt;&lt;dates&gt;&lt;year&gt;1990&lt;/year&gt;&lt;/dates&gt;&lt;isbn&gt;0046-1520&lt;/isbn&gt;&lt;urls&gt;&lt;/urls&gt;&lt;/record&gt;&lt;/Cite&gt;&lt;Cite&gt;&lt;Author&gt;Kitsantas&lt;/Author&gt;&lt;Year&gt;2002&lt;/Year&gt;&lt;RecNum&gt;129&lt;/RecNum&gt;&lt;record&gt;&lt;rec-number&gt;129&lt;/rec-number&gt;&lt;foreign-keys&gt;&lt;key app="EN" db-id="xa2r2ewea92trkef5dt5arvbzafvpv2za5ft" timestamp="1442161764"&gt;129&lt;/key&gt;&lt;/foreign-keys&gt;&lt;ref-type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0047180F" w:rsidRPr="003726FE">
        <w:rPr>
          <w:lang w:val="en-GB"/>
        </w:rPr>
        <w:fldChar w:fldCharType="separate"/>
      </w:r>
      <w:r w:rsidR="004E5A78" w:rsidRPr="003726FE">
        <w:rPr>
          <w:noProof/>
          <w:lang w:val="en-GB"/>
        </w:rPr>
        <w:t>(</w:t>
      </w:r>
      <w:hyperlink w:anchor="_ENREF_368" w:tooltip="Schunk, 1990 #653" w:history="1">
        <w:r w:rsidR="0094469E" w:rsidRPr="003726FE">
          <w:rPr>
            <w:noProof/>
            <w:lang w:val="en-GB"/>
          </w:rPr>
          <w:t>Schunk 1990</w:t>
        </w:r>
      </w:hyperlink>
      <w:r w:rsidR="004E5A78" w:rsidRPr="003726FE">
        <w:rPr>
          <w:noProof/>
          <w:lang w:val="en-GB"/>
        </w:rPr>
        <w:t xml:space="preserve">; </w:t>
      </w:r>
      <w:hyperlink w:anchor="_ENREF_217" w:tooltip="Kitsantas, 2002 #129" w:history="1">
        <w:r w:rsidR="0094469E" w:rsidRPr="003726FE">
          <w:rPr>
            <w:noProof/>
            <w:lang w:val="en-GB"/>
          </w:rPr>
          <w:t>Kitsantas and Zimmerman 2002</w:t>
        </w:r>
      </w:hyperlink>
      <w:r w:rsidR="004E5A78" w:rsidRPr="003726FE">
        <w:rPr>
          <w:noProof/>
          <w:lang w:val="en-GB"/>
        </w:rPr>
        <w:t>)</w:t>
      </w:r>
      <w:r w:rsidR="0047180F" w:rsidRPr="003726FE">
        <w:rPr>
          <w:lang w:val="en-GB"/>
        </w:rPr>
        <w:fldChar w:fldCharType="end"/>
      </w:r>
      <w:r w:rsidR="0047180F" w:rsidRPr="003726FE">
        <w:rPr>
          <w:lang w:val="en-GB"/>
        </w:rPr>
        <w:t xml:space="preserve">. Attributions which are correct can have a significant impact on future performance because they help to identify faulty regulatory processes, although </w:t>
      </w:r>
      <w:r w:rsidR="007E6EDB" w:rsidRPr="003726FE">
        <w:rPr>
          <w:lang w:val="en-GB"/>
        </w:rPr>
        <w:t>inaccurate</w:t>
      </w:r>
      <w:r w:rsidR="0047180F" w:rsidRPr="003726FE">
        <w:rPr>
          <w:lang w:val="en-GB"/>
        </w:rPr>
        <w:t xml:space="preserve"> attributions have the opposite effect of reinforcing these maladaptive behaviours </w:t>
      </w:r>
      <w:r w:rsidR="00EF281A" w:rsidRPr="003726FE">
        <w:rPr>
          <w:lang w:val="en-GB"/>
        </w:rPr>
        <w:fldChar w:fldCharType="begin"/>
      </w:r>
      <w:r w:rsidR="008B61BE">
        <w:rPr>
          <w:lang w:val="en-GB"/>
        </w:rPr>
        <w:instrText xml:space="preserve"> ADDIN EN.CITE &lt;EndNote&gt;&lt;Cite&gt;&lt;Author&gt;Weiner&lt;/Author&gt;&lt;Year&gt;1979&lt;/Year&gt;&lt;RecNum&gt;264&lt;/RecNum&gt;&lt;DisplayText&gt;(Weiner 1979)&lt;/DisplayText&gt;&lt;record&gt;&lt;rec-number&gt;264&lt;/rec-number&gt;&lt;foreign-keys&gt;&lt;key app="EN" db-id="xa2r2ewea92trkef5dt5arvbzafvpv2za5ft" timestamp="1442161766"&gt;264&lt;/key&gt;&lt;/foreign-keys&gt;&lt;ref-type name="Journal Article"&gt;17&lt;/ref-type&gt;&lt;contributors&gt;&lt;authors&gt;&lt;author&gt;Weiner, Bernard&lt;/author&gt;&lt;/authors&gt;&lt;/contributors&gt;&lt;titles&gt;&lt;title&gt;A theory of motivation for some classroom experiences&lt;/title&gt;&lt;secondary-title&gt;Journal of educational psychology&lt;/secondary-title&gt;&lt;/titles&gt;&lt;periodical&gt;&lt;full-title&gt;Journal of educational psychology&lt;/full-title&gt;&lt;/periodical&gt;&lt;pages&gt;3&lt;/pages&gt;&lt;volume&gt;71&lt;/volume&gt;&lt;number&gt;1&lt;/number&gt;&lt;dates&gt;&lt;year&gt;1979&lt;/year&gt;&lt;/dates&gt;&lt;publisher&gt;American Psychological Association&lt;/publisher&gt;&lt;urls&gt;&lt;/urls&gt;&lt;/record&gt;&lt;/Cite&gt;&lt;/EndNote&gt;</w:instrText>
      </w:r>
      <w:r w:rsidR="00EF281A" w:rsidRPr="003726FE">
        <w:rPr>
          <w:lang w:val="en-GB"/>
        </w:rPr>
        <w:fldChar w:fldCharType="separate"/>
      </w:r>
      <w:r w:rsidR="004E5A78" w:rsidRPr="003726FE">
        <w:rPr>
          <w:noProof/>
          <w:lang w:val="en-GB"/>
        </w:rPr>
        <w:t>(</w:t>
      </w:r>
      <w:hyperlink w:anchor="_ENREF_432" w:tooltip="Weiner, 1979 #264" w:history="1">
        <w:r w:rsidR="0094469E" w:rsidRPr="003726FE">
          <w:rPr>
            <w:noProof/>
            <w:lang w:val="en-GB"/>
          </w:rPr>
          <w:t>Weiner 1979</w:t>
        </w:r>
      </w:hyperlink>
      <w:r w:rsidR="004E5A78" w:rsidRPr="003726FE">
        <w:rPr>
          <w:noProof/>
          <w:lang w:val="en-GB"/>
        </w:rPr>
        <w:t>)</w:t>
      </w:r>
      <w:r w:rsidR="00EF281A" w:rsidRPr="003726FE">
        <w:rPr>
          <w:lang w:val="en-GB"/>
        </w:rPr>
        <w:fldChar w:fldCharType="end"/>
      </w:r>
      <w:r w:rsidR="0047180F" w:rsidRPr="003726FE">
        <w:rPr>
          <w:lang w:val="en-GB"/>
        </w:rPr>
        <w:t xml:space="preserve">. </w:t>
      </w:r>
      <w:r w:rsidR="007E6EDB" w:rsidRPr="003726FE">
        <w:rPr>
          <w:lang w:val="en-GB"/>
        </w:rPr>
        <w:t xml:space="preserve">Learners may attribute their performance to internal and external factors </w:t>
      </w:r>
      <w:r w:rsidR="00E63B05">
        <w:rPr>
          <w:lang w:val="en-GB"/>
        </w:rPr>
        <w:t>that</w:t>
      </w:r>
      <w:r w:rsidR="007E6EDB" w:rsidRPr="003726FE">
        <w:rPr>
          <w:lang w:val="en-GB"/>
        </w:rPr>
        <w:t xml:space="preserve"> are</w:t>
      </w:r>
      <w:r w:rsidR="00E97E85" w:rsidRPr="003726FE">
        <w:rPr>
          <w:lang w:val="en-GB"/>
        </w:rPr>
        <w:t xml:space="preserve"> controllable or uncontrollable. C</w:t>
      </w:r>
      <w:r w:rsidR="007E6EDB" w:rsidRPr="003726FE">
        <w:rPr>
          <w:lang w:val="en-GB"/>
        </w:rPr>
        <w:t xml:space="preserve">ontrollable attributions that can be actioned by the learner have been linked to </w:t>
      </w:r>
      <w:r w:rsidR="00E97E85" w:rsidRPr="003726FE">
        <w:rPr>
          <w:lang w:val="en-GB"/>
        </w:rPr>
        <w:t>individuals</w:t>
      </w:r>
      <w:r w:rsidR="007E6EDB" w:rsidRPr="003726FE">
        <w:rPr>
          <w:lang w:val="en-GB"/>
        </w:rPr>
        <w:t xml:space="preserve"> with higher SRL capacity </w:t>
      </w:r>
      <w:r w:rsidR="00EF281A" w:rsidRPr="003726FE">
        <w:rPr>
          <w:lang w:val="en-GB"/>
        </w:rPr>
        <w:fldChar w:fldCharType="begin"/>
      </w:r>
      <w:r w:rsidR="008B61BE">
        <w:rPr>
          <w:lang w:val="en-GB"/>
        </w:rPr>
        <w:instrText xml:space="preserve"> ADDIN EN.CITE &lt;EndNote&gt;&lt;Cite&gt;&lt;Author&gt;Dweck&lt;/Author&gt;&lt;Year&gt;1986&lt;/Year&gt;&lt;RecNum&gt;652&lt;/RecNum&gt;&lt;DisplayText&gt;(Dweck 1986)&lt;/DisplayText&gt;&lt;record&gt;&lt;rec-number&gt;652&lt;/rec-number&gt;&lt;foreign-keys&gt;&lt;key app="EN" db-id="xa2r2ewea92trkef5dt5arvbzafvpv2za5ft" timestamp="1496417563"&gt;652&lt;/key&gt;&lt;/foreign-keys&gt;&lt;ref-type name="Journal Article"&gt;17&lt;/ref-type&gt;&lt;contributors&gt;&lt;authors&gt;&lt;author&gt;Dweck, Carol S&lt;/author&gt;&lt;/authors&gt;&lt;/contributors&gt;&lt;titles&gt;&lt;title&gt;Motivational processes affecting learning&lt;/title&gt;&lt;secondary-title&gt;American psychologist&lt;/secondary-title&gt;&lt;/titles&gt;&lt;periodical&gt;&lt;full-title&gt;American psychologist&lt;/full-title&gt;&lt;/periodical&gt;&lt;pages&gt;1040&lt;/pages&gt;&lt;volume&gt;41&lt;/volume&gt;&lt;number&gt;10&lt;/number&gt;&lt;dates&gt;&lt;year&gt;1986&lt;/year&gt;&lt;/dates&gt;&lt;isbn&gt;1935-990X&lt;/isbn&gt;&lt;urls&gt;&lt;/urls&gt;&lt;/record&gt;&lt;/Cite&gt;&lt;/EndNote&gt;</w:instrText>
      </w:r>
      <w:r w:rsidR="00EF281A" w:rsidRPr="003726FE">
        <w:rPr>
          <w:lang w:val="en-GB"/>
        </w:rPr>
        <w:fldChar w:fldCharType="separate"/>
      </w:r>
      <w:r w:rsidR="004E5A78" w:rsidRPr="003726FE">
        <w:rPr>
          <w:noProof/>
          <w:lang w:val="en-GB"/>
        </w:rPr>
        <w:t>(</w:t>
      </w:r>
      <w:hyperlink w:anchor="_ENREF_135" w:tooltip="Dweck, 1986 #652" w:history="1">
        <w:r w:rsidR="0094469E" w:rsidRPr="003726FE">
          <w:rPr>
            <w:noProof/>
            <w:lang w:val="en-GB"/>
          </w:rPr>
          <w:t>Dweck 1986</w:t>
        </w:r>
      </w:hyperlink>
      <w:r w:rsidR="004E5A78" w:rsidRPr="003726FE">
        <w:rPr>
          <w:noProof/>
          <w:lang w:val="en-GB"/>
        </w:rPr>
        <w:t>)</w:t>
      </w:r>
      <w:r w:rsidR="00EF281A" w:rsidRPr="003726FE">
        <w:rPr>
          <w:lang w:val="en-GB"/>
        </w:rPr>
        <w:fldChar w:fldCharType="end"/>
      </w:r>
      <w:r w:rsidR="007E6EDB" w:rsidRPr="003726FE">
        <w:rPr>
          <w:lang w:val="en-GB"/>
        </w:rPr>
        <w:t>. Understanding who or what is in control of a learners success is important in this</w:t>
      </w:r>
      <w:r w:rsidR="001C29AC" w:rsidRPr="003726FE">
        <w:rPr>
          <w:lang w:val="en-GB"/>
        </w:rPr>
        <w:t xml:space="preserve"> </w:t>
      </w:r>
      <w:r w:rsidR="00FC0FFB" w:rsidRPr="003726FE">
        <w:rPr>
          <w:lang w:val="en-GB"/>
        </w:rPr>
        <w:t>study to</w:t>
      </w:r>
      <w:r w:rsidR="001C29AC" w:rsidRPr="003726FE">
        <w:rPr>
          <w:lang w:val="en-GB"/>
        </w:rPr>
        <w:t xml:space="preserve"> understand the underlying factors which support or hinder the development of SRL in medical students across contexts.</w:t>
      </w:r>
      <w:r w:rsidR="005F594D" w:rsidRPr="003726FE">
        <w:rPr>
          <w:lang w:val="en-GB"/>
        </w:rPr>
        <w:t xml:space="preserve"> </w:t>
      </w:r>
    </w:p>
    <w:p w14:paraId="18FD0EF2" w14:textId="77777777" w:rsidR="004E14F1" w:rsidRPr="003726FE" w:rsidRDefault="004E14F1" w:rsidP="00026049">
      <w:pPr>
        <w:pStyle w:val="Normal1"/>
        <w:rPr>
          <w:lang w:val="en-GB"/>
        </w:rPr>
      </w:pPr>
    </w:p>
    <w:p w14:paraId="09F9767F" w14:textId="23D73620" w:rsidR="008F6949" w:rsidRPr="003726FE" w:rsidRDefault="000D4FF2" w:rsidP="00026049">
      <w:pPr>
        <w:pStyle w:val="Normal1"/>
        <w:rPr>
          <w:lang w:val="en-GB"/>
        </w:rPr>
      </w:pPr>
      <w:r w:rsidRPr="003726FE">
        <w:rPr>
          <w:i/>
          <w:lang w:val="en-GB"/>
        </w:rPr>
        <w:t xml:space="preserve">Adaptive inferences </w:t>
      </w:r>
      <w:r w:rsidRPr="003726FE">
        <w:rPr>
          <w:lang w:val="en-GB"/>
        </w:rPr>
        <w:t xml:space="preserve">are </w:t>
      </w:r>
      <w:r w:rsidR="00E97E85" w:rsidRPr="003726FE">
        <w:rPr>
          <w:lang w:val="en-GB"/>
        </w:rPr>
        <w:t xml:space="preserve">the </w:t>
      </w:r>
      <w:r w:rsidRPr="003726FE">
        <w:rPr>
          <w:lang w:val="en-GB"/>
        </w:rPr>
        <w:t xml:space="preserve">changes made to performance based upon information gathered by the preceding regulatory processes in self-judgement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Pr="003726FE">
        <w:rPr>
          <w:lang w:val="en-GB"/>
        </w:rPr>
        <w:t xml:space="preserve">. This self-reaction phase activity encompasses all the points at which modifications are made in the cyclical feedback loop leading to enhanced performance for learners who make positive adaptions at this crucial point in the model </w:t>
      </w:r>
      <w:r w:rsidR="00EF281A" w:rsidRPr="003726FE">
        <w:rPr>
          <w:lang w:val="en-GB"/>
        </w:rPr>
        <w:fldChar w:fldCharType="begin"/>
      </w:r>
      <w:r w:rsidR="008B61BE">
        <w:rPr>
          <w:lang w:val="en-GB"/>
        </w:rPr>
        <w:instrText xml:space="preserve"> ADDIN EN.CITE &lt;EndNote&gt;&lt;Cite&gt;&lt;Author&gt;Zimmerman&lt;/Author&gt;&lt;Year&gt;1992&lt;/Year&gt;&lt;RecNum&gt;655&lt;/RecNum&gt;&lt;DisplayText&gt;(Zimmerman and Martinez-Pons 1992)&lt;/DisplayText&gt;&lt;record&gt;&lt;rec-number&gt;655&lt;/rec-number&gt;&lt;foreign-keys&gt;&lt;key app="EN" db-id="xa2r2ewea92trkef5dt5arvbzafvpv2za5ft" timestamp="1496417564"&gt;655&lt;/key&gt;&lt;/foreign-keys&gt;&lt;ref-type name="Journal Article"&gt;17&lt;/ref-type&gt;&lt;contributors&gt;&lt;authors&gt;&lt;author&gt;Zimmerman, Barry J&lt;/author&gt;&lt;author&gt;Martinez-Pons, MANGEL&lt;/author&gt;&lt;/authors&gt;&lt;/contributors&gt;&lt;titles&gt;&lt;title&gt;Perceptions of efficacy and strategy use in the self-regulation of learning&lt;/title&gt;&lt;secondary-title&gt;Student perceptions in the classroom&lt;/secondary-title&gt;&lt;/titles&gt;&lt;periodical&gt;&lt;full-title&gt;Student perceptions in the classroom&lt;/full-title&gt;&lt;/periodical&gt;&lt;pages&gt;185-207&lt;/pages&gt;&lt;dates&gt;&lt;year&gt;1992&lt;/year&gt;&lt;/dates&gt;&lt;urls&gt;&lt;/urls&gt;&lt;/record&gt;&lt;/Cite&gt;&lt;/EndNote&gt;</w:instrText>
      </w:r>
      <w:r w:rsidR="00EF281A" w:rsidRPr="003726FE">
        <w:rPr>
          <w:lang w:val="en-GB"/>
        </w:rPr>
        <w:fldChar w:fldCharType="separate"/>
      </w:r>
      <w:r w:rsidR="004E5A78" w:rsidRPr="003726FE">
        <w:rPr>
          <w:noProof/>
          <w:lang w:val="en-GB"/>
        </w:rPr>
        <w:t>(</w:t>
      </w:r>
      <w:hyperlink w:anchor="_ENREF_464" w:tooltip="Zimmerman, 1992 #655" w:history="1">
        <w:r w:rsidR="0094469E" w:rsidRPr="003726FE">
          <w:rPr>
            <w:noProof/>
            <w:lang w:val="en-GB"/>
          </w:rPr>
          <w:t>Zimmerman and Martinez-Pons 1992</w:t>
        </w:r>
      </w:hyperlink>
      <w:r w:rsidR="004E5A78" w:rsidRPr="003726FE">
        <w:rPr>
          <w:noProof/>
          <w:lang w:val="en-GB"/>
        </w:rPr>
        <w:t>)</w:t>
      </w:r>
      <w:r w:rsidR="00EF281A" w:rsidRPr="003726FE">
        <w:rPr>
          <w:lang w:val="en-GB"/>
        </w:rPr>
        <w:fldChar w:fldCharType="end"/>
      </w:r>
      <w:r w:rsidRPr="003726FE">
        <w:rPr>
          <w:lang w:val="en-GB"/>
        </w:rPr>
        <w:t>.</w:t>
      </w:r>
      <w:r w:rsidR="00E97E85" w:rsidRPr="003726FE">
        <w:rPr>
          <w:lang w:val="en-GB"/>
        </w:rPr>
        <w:t xml:space="preserve"> ‘D</w:t>
      </w:r>
      <w:r w:rsidR="005F594D" w:rsidRPr="003726FE">
        <w:rPr>
          <w:lang w:val="en-GB"/>
        </w:rPr>
        <w:t xml:space="preserve">efensive inferences’ occur when a learner wishes to protect themselves from dissatisfying experiences where their self-perceptions may be challenged or are found to be false, therefore limiting SRL improvement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005F594D" w:rsidRPr="003726FE">
        <w:rPr>
          <w:lang w:val="en-GB"/>
        </w:rPr>
        <w:t>.</w:t>
      </w:r>
      <w:r w:rsidRPr="003726FE">
        <w:rPr>
          <w:lang w:val="en-GB"/>
        </w:rPr>
        <w:t xml:space="preserve"> This crucial process </w:t>
      </w:r>
      <w:r w:rsidR="00E97E85" w:rsidRPr="003726FE">
        <w:rPr>
          <w:lang w:val="en-GB"/>
        </w:rPr>
        <w:t>was a focus in analysing student</w:t>
      </w:r>
      <w:r w:rsidRPr="003726FE">
        <w:rPr>
          <w:lang w:val="en-GB"/>
        </w:rPr>
        <w:t>s</w:t>
      </w:r>
      <w:r w:rsidR="00E97E85" w:rsidRPr="003726FE">
        <w:rPr>
          <w:lang w:val="en-GB"/>
        </w:rPr>
        <w:t>’</w:t>
      </w:r>
      <w:r w:rsidRPr="003726FE">
        <w:rPr>
          <w:lang w:val="en-GB"/>
        </w:rPr>
        <w:t xml:space="preserve"> SRL processes in this study</w:t>
      </w:r>
      <w:r w:rsidR="00E97E85" w:rsidRPr="003726FE">
        <w:rPr>
          <w:lang w:val="en-GB"/>
        </w:rPr>
        <w:t xml:space="preserve"> and</w:t>
      </w:r>
      <w:r w:rsidR="00077A5B" w:rsidRPr="003726FE">
        <w:rPr>
          <w:lang w:val="en-GB"/>
        </w:rPr>
        <w:t xml:space="preserve"> </w:t>
      </w:r>
      <w:r w:rsidR="00E97E85" w:rsidRPr="003726FE">
        <w:rPr>
          <w:lang w:val="en-GB"/>
        </w:rPr>
        <w:t>wa</w:t>
      </w:r>
      <w:r w:rsidR="00077A5B" w:rsidRPr="003726FE">
        <w:rPr>
          <w:lang w:val="en-GB"/>
        </w:rPr>
        <w:t xml:space="preserve">s directly </w:t>
      </w:r>
      <w:r w:rsidR="005F594D" w:rsidRPr="003726FE">
        <w:rPr>
          <w:lang w:val="en-GB"/>
        </w:rPr>
        <w:t>explored</w:t>
      </w:r>
      <w:r w:rsidR="00077A5B" w:rsidRPr="003726FE">
        <w:rPr>
          <w:lang w:val="en-GB"/>
        </w:rPr>
        <w:t xml:space="preserve"> using qualitative methods.</w:t>
      </w:r>
    </w:p>
    <w:p w14:paraId="714865C0" w14:textId="77777777" w:rsidR="008F6949" w:rsidRPr="003726FE" w:rsidRDefault="008F6949" w:rsidP="00026049">
      <w:pPr>
        <w:pStyle w:val="Normal1"/>
        <w:rPr>
          <w:lang w:val="en-GB"/>
        </w:rPr>
      </w:pPr>
    </w:p>
    <w:p w14:paraId="37DA678F" w14:textId="38D5EE3A" w:rsidR="00AA7B7E" w:rsidRPr="003726FE" w:rsidRDefault="00AC3EF6" w:rsidP="00BA4521">
      <w:pPr>
        <w:pStyle w:val="Heading3"/>
      </w:pPr>
      <w:bookmarkStart w:id="129" w:name="_Toc500319319"/>
      <w:r w:rsidRPr="003726FE">
        <w:t>A1.2.4</w:t>
      </w:r>
      <w:r w:rsidR="00AA7B7E" w:rsidRPr="003726FE">
        <w:t xml:space="preserve"> </w:t>
      </w:r>
      <w:r w:rsidR="00216AD2" w:rsidRPr="003726FE">
        <w:t>Relevance of the Model</w:t>
      </w:r>
      <w:r w:rsidR="00AA7B7E" w:rsidRPr="003726FE">
        <w:t xml:space="preserve"> in </w:t>
      </w:r>
      <w:r w:rsidR="00A73AB3" w:rsidRPr="003726FE">
        <w:t xml:space="preserve">the </w:t>
      </w:r>
      <w:r w:rsidR="00AA7B7E" w:rsidRPr="003726FE">
        <w:t>Medical Education</w:t>
      </w:r>
      <w:r w:rsidRPr="003726FE">
        <w:t xml:space="preserve"> Context</w:t>
      </w:r>
      <w:bookmarkEnd w:id="129"/>
    </w:p>
    <w:p w14:paraId="50C3BC3B" w14:textId="77777777" w:rsidR="00AA7B7E" w:rsidRPr="003726FE" w:rsidRDefault="00AA7B7E" w:rsidP="00026049">
      <w:pPr>
        <w:pStyle w:val="Normal1"/>
        <w:rPr>
          <w:lang w:val="en-GB"/>
        </w:rPr>
      </w:pPr>
    </w:p>
    <w:p w14:paraId="68A3B967" w14:textId="27388B4E" w:rsidR="000D2D14" w:rsidRPr="003726FE" w:rsidRDefault="000D2D14" w:rsidP="00026049">
      <w:pPr>
        <w:pStyle w:val="Normal1"/>
        <w:rPr>
          <w:rFonts w:cs="Times New Roman"/>
          <w:lang w:val="en-GB"/>
        </w:rPr>
      </w:pPr>
      <w:r w:rsidRPr="003726FE">
        <w:rPr>
          <w:lang w:val="en-GB"/>
        </w:rPr>
        <w:t>A proficient self-regulated healthcare professional is able to</w:t>
      </w:r>
      <w:r w:rsidR="00107905">
        <w:rPr>
          <w:lang w:val="en-GB"/>
        </w:rPr>
        <w:t>:</w:t>
      </w:r>
      <w:r w:rsidRPr="003726FE">
        <w:rPr>
          <w:lang w:val="en-GB"/>
        </w:rPr>
        <w:t xml:space="preserve"> accurately self-assess their performance using monitoring and evaluation, to critically reflect in understanding their own behaviours, and </w:t>
      </w:r>
      <w:r w:rsidR="005F3A52" w:rsidRPr="003726FE">
        <w:rPr>
          <w:lang w:val="en-GB"/>
        </w:rPr>
        <w:t>is</w:t>
      </w:r>
      <w:r w:rsidRPr="003726FE">
        <w:rPr>
          <w:lang w:val="en-GB"/>
        </w:rPr>
        <w:t xml:space="preserve"> independent in </w:t>
      </w:r>
      <w:r w:rsidR="00E938C8" w:rsidRPr="003726FE">
        <w:rPr>
          <w:lang w:val="en-GB"/>
        </w:rPr>
        <w:t>pursuing</w:t>
      </w:r>
      <w:r w:rsidRPr="003726FE">
        <w:rPr>
          <w:lang w:val="en-GB"/>
        </w:rPr>
        <w:t xml:space="preserve"> continued professional development goals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Pr="003726FE">
        <w:rPr>
          <w:lang w:val="en-GB"/>
        </w:rPr>
        <w:t>.</w:t>
      </w:r>
      <w:r w:rsidR="00216AD2" w:rsidRPr="003726FE">
        <w:rPr>
          <w:lang w:val="en-GB"/>
        </w:rPr>
        <w:t xml:space="preserve"> </w:t>
      </w:r>
      <w:r w:rsidR="00FB1388" w:rsidRPr="003726FE">
        <w:rPr>
          <w:rFonts w:cs="Times New Roman"/>
          <w:lang w:val="en-GB"/>
        </w:rPr>
        <w:t xml:space="preserve">SRL </w:t>
      </w:r>
      <w:r w:rsidR="00E63B05">
        <w:rPr>
          <w:rFonts w:cs="Times New Roman"/>
          <w:lang w:val="en-GB"/>
        </w:rPr>
        <w:t xml:space="preserve">support </w:t>
      </w:r>
      <w:r w:rsidR="00FB1388" w:rsidRPr="003726FE">
        <w:rPr>
          <w:rFonts w:cs="Times New Roman"/>
          <w:lang w:val="en-GB"/>
        </w:rPr>
        <w:t>is essential in trai</w:t>
      </w:r>
      <w:r w:rsidR="00E63B05">
        <w:rPr>
          <w:rFonts w:cs="Times New Roman"/>
          <w:lang w:val="en-GB"/>
        </w:rPr>
        <w:t>ning healthcare professionals in</w:t>
      </w:r>
      <w:r w:rsidR="00FB1388" w:rsidRPr="003726FE">
        <w:rPr>
          <w:rFonts w:cs="Times New Roman"/>
          <w:lang w:val="en-GB"/>
        </w:rPr>
        <w:t xml:space="preserve"> the development of professional competencies </w:t>
      </w:r>
      <w:r w:rsidR="0021662A">
        <w:rPr>
          <w:lang w:val="en-GB"/>
        </w:rPr>
        <w:t>including</w:t>
      </w:r>
      <w:r w:rsidR="00FB1388" w:rsidRPr="003726FE">
        <w:rPr>
          <w:rFonts w:cs="Times New Roman"/>
          <w:lang w:val="en-GB"/>
        </w:rPr>
        <w:t xml:space="preserve"> reflective practice, self-assessment, and self-directed learning </w:t>
      </w:r>
      <w:r w:rsidR="00FB1388" w:rsidRPr="003726FE">
        <w:rPr>
          <w:rFonts w:cs="Times New Roman"/>
          <w:lang w:val="en-GB"/>
        </w:rPr>
        <w:fldChar w:fldCharType="begin">
          <w:fldData xml:space="preserve">PEVuZE5vdGU+PENpdGU+PEF1dGhvcj5aaW1tZXJtYW48L0F1dGhvcj48WWVhcj4yMDAwPC9ZZWFy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</w:fldData>
        </w:fldChar>
      </w:r>
      <w:r w:rsidR="008B61BE">
        <w:rPr>
          <w:rFonts w:cs="Times New Roman"/>
          <w:lang w:val="en-GB"/>
        </w:rPr>
        <w:instrText xml:space="preserve"> ADDIN EN.CITE </w:instrText>
      </w:r>
      <w:r w:rsidR="008B61BE">
        <w:rPr>
          <w:rFonts w:cs="Times New Roman"/>
          <w:lang w:val="en-GB"/>
        </w:rPr>
        <w:fldChar w:fldCharType="begin">
          <w:fldData xml:space="preserve">PEVuZE5vdGU+PENpdGU+PEF1dGhvcj5aaW1tZXJtYW48L0F1dGhvcj48WWVhcj4yMDAwPC9ZZWFy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</w:fldData>
        </w:fldChar>
      </w:r>
      <w:r w:rsidR="008B61BE">
        <w:rPr>
          <w:rFonts w:cs="Times New Roman"/>
          <w:lang w:val="en-GB"/>
        </w:rPr>
        <w:instrText xml:space="preserve"> ADDIN EN.CITE.DATA </w:instrText>
      </w:r>
      <w:r w:rsidR="008B61BE">
        <w:rPr>
          <w:rFonts w:cs="Times New Roman"/>
          <w:lang w:val="en-GB"/>
        </w:rPr>
      </w:r>
      <w:r w:rsidR="008B61BE">
        <w:rPr>
          <w:rFonts w:cs="Times New Roman"/>
          <w:lang w:val="en-GB"/>
        </w:rPr>
        <w:fldChar w:fldCharType="end"/>
      </w:r>
      <w:r w:rsidR="00FB1388" w:rsidRPr="003726FE">
        <w:rPr>
          <w:rFonts w:cs="Times New Roman"/>
          <w:lang w:val="en-GB"/>
        </w:rPr>
      </w:r>
      <w:r w:rsidR="00FB1388" w:rsidRPr="003726FE">
        <w:rPr>
          <w:rFonts w:cs="Times New Roman"/>
          <w:lang w:val="en-GB"/>
        </w:rPr>
        <w:fldChar w:fldCharType="separate"/>
      </w:r>
      <w:r w:rsidR="004E5A78" w:rsidRPr="003726FE">
        <w:rPr>
          <w:rFonts w:cs="Times New Roman"/>
          <w:noProof/>
          <w:lang w:val="en-GB"/>
        </w:rPr>
        <w:t>(</w:t>
      </w:r>
      <w:hyperlink w:anchor="_ENREF_318" w:tooltip="Patel, 1985 #709" w:history="1">
        <w:r w:rsidR="0094469E" w:rsidRPr="003726FE">
          <w:rPr>
            <w:rFonts w:cs="Times New Roman"/>
            <w:noProof/>
            <w:lang w:val="en-GB"/>
          </w:rPr>
          <w:t>Patel and Dauphinee 1985</w:t>
        </w:r>
      </w:hyperlink>
      <w:r w:rsidR="004E5A78" w:rsidRPr="003726FE">
        <w:rPr>
          <w:rFonts w:cs="Times New Roman"/>
          <w:noProof/>
          <w:lang w:val="en-GB"/>
        </w:rPr>
        <w:t xml:space="preserve">; </w:t>
      </w:r>
      <w:hyperlink w:anchor="_ENREF_462" w:tooltip="Zimmerman, 2000 #956" w:history="1">
        <w:r w:rsidR="0094469E" w:rsidRPr="003726FE">
          <w:rPr>
            <w:rFonts w:cs="Times New Roman"/>
            <w:noProof/>
            <w:lang w:val="en-GB"/>
          </w:rPr>
          <w:t>Zimmerman and Lebeau 2000</w:t>
        </w:r>
      </w:hyperlink>
      <w:r w:rsidR="004E5A78" w:rsidRPr="003726FE">
        <w:rPr>
          <w:rFonts w:cs="Times New Roman"/>
          <w:noProof/>
          <w:lang w:val="en-GB"/>
        </w:rPr>
        <w:t xml:space="preserve">; </w:t>
      </w:r>
      <w:hyperlink w:anchor="_ENREF_130" w:tooltip="Duffy, 2008 #957" w:history="1">
        <w:r w:rsidR="0094469E" w:rsidRPr="003726FE">
          <w:rPr>
            <w:rFonts w:cs="Times New Roman"/>
            <w:noProof/>
            <w:lang w:val="en-GB"/>
          </w:rPr>
          <w:t>Duffy et al. 2008</w:t>
        </w:r>
      </w:hyperlink>
      <w:r w:rsidR="004E5A78" w:rsidRPr="003726FE">
        <w:rPr>
          <w:rFonts w:cs="Times New Roman"/>
          <w:noProof/>
          <w:lang w:val="en-GB"/>
        </w:rPr>
        <w:t xml:space="preserve">; </w:t>
      </w:r>
      <w:hyperlink w:anchor="_ENREF_436" w:tooltip="White, 2010 #266" w:history="1">
        <w:r w:rsidR="0094469E" w:rsidRPr="003726FE">
          <w:rPr>
            <w:rFonts w:cs="Times New Roman"/>
            <w:noProof/>
            <w:lang w:val="en-GB"/>
          </w:rPr>
          <w:t>White et al. 2010</w:t>
        </w:r>
      </w:hyperlink>
      <w:r w:rsidR="004E5A78" w:rsidRPr="003726FE">
        <w:rPr>
          <w:rFonts w:cs="Times New Roman"/>
          <w:noProof/>
          <w:lang w:val="en-GB"/>
        </w:rPr>
        <w:t xml:space="preserve">; </w:t>
      </w:r>
      <w:hyperlink w:anchor="_ENREF_138" w:tooltip="Embo, 2014 #72" w:history="1">
        <w:r w:rsidR="0094469E" w:rsidRPr="003726FE">
          <w:rPr>
            <w:rFonts w:cs="Times New Roman"/>
            <w:noProof/>
            <w:lang w:val="en-GB"/>
          </w:rPr>
          <w:t>Embo et al. 2014</w:t>
        </w:r>
      </w:hyperlink>
      <w:r w:rsidR="004E5A78" w:rsidRPr="003726FE">
        <w:rPr>
          <w:rFonts w:cs="Times New Roman"/>
          <w:noProof/>
          <w:lang w:val="en-GB"/>
        </w:rPr>
        <w:t>)</w:t>
      </w:r>
      <w:r w:rsidR="00FB1388" w:rsidRPr="003726FE">
        <w:rPr>
          <w:rFonts w:cs="Times New Roman"/>
          <w:lang w:val="en-GB"/>
        </w:rPr>
        <w:fldChar w:fldCharType="end"/>
      </w:r>
      <w:r w:rsidR="00FB1388" w:rsidRPr="003726FE">
        <w:rPr>
          <w:rFonts w:cs="Times New Roman"/>
          <w:lang w:val="en-GB"/>
        </w:rPr>
        <w:t xml:space="preserve">. A significant body of SRL research within various disciplines articulates the concept with theoretical pedigree </w:t>
      </w:r>
      <w:r w:rsidR="00EF281A" w:rsidRPr="003726FE">
        <w:rPr>
          <w:rFonts w:cs="Times New Roman"/>
          <w:lang w:val="en-GB"/>
        </w:rPr>
        <w:fldChar w:fldCharType="begin"/>
      </w:r>
      <w:r w:rsidR="008B61BE">
        <w:rPr>
          <w:rFonts w:cs="Times New Roman"/>
          <w:lang w:val="en-GB"/>
        </w:rPr>
        <w:instrText xml:space="preserve"> ADDIN EN.CITE &lt;EndNote&gt;&lt;Cite&gt;&lt;Author&gt;Pintrich&lt;/Author&gt;&lt;Year&gt;2000&lt;/Year&gt;&lt;RecNum&gt;625&lt;/RecNum&gt;&lt;DisplayText&gt;(Pintrich 2000)&lt;/DisplayText&gt;&lt;record&gt;&lt;rec-number&gt;625&lt;/rec-number&gt;&lt;foreign-keys&gt;&lt;key app="EN" db-id="xa2r2ewea92trkef5dt5arvbzafvpv2za5ft" timestamp="1496417561"&gt;625&lt;/key&gt;&lt;/foreign-keys&gt;&lt;ref-type name="Book Section"&gt;5&lt;/ref-type&gt;&lt;contributors&gt;&lt;authors&gt;&lt;author&gt;Pintrich, Paul R&lt;/author&gt;&lt;/authors&gt;&lt;/contributors&gt;&lt;titles&gt;&lt;title&gt;The role of goal orientation in self-regulated learning&lt;/title&gt;&lt;secondary-title&gt;Handbook of self-regulation&lt;/secondary-title&gt;&lt;/titles&gt;&lt;pages&gt;451-502&lt;/pages&gt;&lt;dates&gt;&lt;year&gt;2000&lt;/year&gt;&lt;/dates&gt;&lt;publisher&gt;Academic Press&lt;/publisher&gt;&lt;isbn&gt;0121098907&lt;/isbn&gt;&lt;urls&gt;&lt;/urls&gt;&lt;/record&gt;&lt;/Cite&gt;&lt;/EndNote&gt;</w:instrText>
      </w:r>
      <w:r w:rsidR="00EF281A" w:rsidRPr="003726FE">
        <w:rPr>
          <w:rFonts w:cs="Times New Roman"/>
          <w:lang w:val="en-GB"/>
        </w:rPr>
        <w:fldChar w:fldCharType="separate"/>
      </w:r>
      <w:r w:rsidR="004E5A78" w:rsidRPr="003726FE">
        <w:rPr>
          <w:rFonts w:cs="Times New Roman"/>
          <w:noProof/>
          <w:lang w:val="en-GB"/>
        </w:rPr>
        <w:t>(</w:t>
      </w:r>
      <w:hyperlink w:anchor="_ENREF_325" w:tooltip="Pintrich, 2000 #625" w:history="1">
        <w:r w:rsidR="0094469E" w:rsidRPr="003726FE">
          <w:rPr>
            <w:rFonts w:cs="Times New Roman"/>
            <w:noProof/>
            <w:lang w:val="en-GB"/>
          </w:rPr>
          <w:t>Pintrich 2000</w:t>
        </w:r>
      </w:hyperlink>
      <w:r w:rsidR="004E5A78" w:rsidRPr="003726FE">
        <w:rPr>
          <w:rFonts w:cs="Times New Roman"/>
          <w:noProof/>
          <w:lang w:val="en-GB"/>
        </w:rPr>
        <w:t>)</w:t>
      </w:r>
      <w:r w:rsidR="00EF281A" w:rsidRPr="003726FE">
        <w:rPr>
          <w:rFonts w:cs="Times New Roman"/>
          <w:lang w:val="en-GB"/>
        </w:rPr>
        <w:fldChar w:fldCharType="end"/>
      </w:r>
      <w:r w:rsidR="00FE06BA" w:rsidRPr="003726FE">
        <w:rPr>
          <w:rFonts w:cs="Times New Roman"/>
          <w:lang w:val="en-GB"/>
        </w:rPr>
        <w:t>. H</w:t>
      </w:r>
      <w:r w:rsidR="00FB1388" w:rsidRPr="003726FE">
        <w:rPr>
          <w:rFonts w:cs="Times New Roman"/>
          <w:lang w:val="en-GB"/>
        </w:rPr>
        <w:t>owever</w:t>
      </w:r>
      <w:r w:rsidR="00FE06BA" w:rsidRPr="003726FE">
        <w:rPr>
          <w:rFonts w:cs="Times New Roman"/>
          <w:lang w:val="en-GB"/>
        </w:rPr>
        <w:t>,</w:t>
      </w:r>
      <w:r w:rsidR="00FB1388" w:rsidRPr="003726FE">
        <w:rPr>
          <w:rFonts w:cs="Times New Roman"/>
          <w:lang w:val="en-GB"/>
        </w:rPr>
        <w:t xml:space="preserve"> this is relatively new in health education research </w:t>
      </w:r>
      <w:r w:rsidR="00FB1388" w:rsidRPr="003726FE">
        <w:rPr>
          <w:rFonts w:cs="Times New Roman"/>
          <w:lang w:val="en-GB"/>
        </w:rPr>
        <w:lastRenderedPageBreak/>
        <w:fldChar w:fldCharType="begin">
          <w:fldData xml:space="preserve">PEVuZE5vdGU+PENpdGU+PEF1dGhvcj5EdXJuaW5nPC9BdXRob3I+PFllYXI+MjAxMTwvWWVhcj48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</w:fldData>
        </w:fldChar>
      </w:r>
      <w:r w:rsidR="008B61BE">
        <w:rPr>
          <w:rFonts w:cs="Times New Roman"/>
          <w:lang w:val="en-GB"/>
        </w:rPr>
        <w:instrText xml:space="preserve"> ADDIN EN.CITE </w:instrText>
      </w:r>
      <w:r w:rsidR="008B61BE">
        <w:rPr>
          <w:rFonts w:cs="Times New Roman"/>
          <w:lang w:val="en-GB"/>
        </w:rPr>
        <w:fldChar w:fldCharType="begin">
          <w:fldData xml:space="preserve">PEVuZE5vdGU+PENpdGU+PEF1dGhvcj5EdXJuaW5nPC9BdXRob3I+PFllYXI+MjAxMTwvWWVhcj48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</w:fldData>
        </w:fldChar>
      </w:r>
      <w:r w:rsidR="008B61BE">
        <w:rPr>
          <w:rFonts w:cs="Times New Roman"/>
          <w:lang w:val="en-GB"/>
        </w:rPr>
        <w:instrText xml:space="preserve"> ADDIN EN.CITE.DATA </w:instrText>
      </w:r>
      <w:r w:rsidR="008B61BE">
        <w:rPr>
          <w:rFonts w:cs="Times New Roman"/>
          <w:lang w:val="en-GB"/>
        </w:rPr>
      </w:r>
      <w:r w:rsidR="008B61BE">
        <w:rPr>
          <w:rFonts w:cs="Times New Roman"/>
          <w:lang w:val="en-GB"/>
        </w:rPr>
        <w:fldChar w:fldCharType="end"/>
      </w:r>
      <w:r w:rsidR="00FB1388" w:rsidRPr="003726FE">
        <w:rPr>
          <w:rFonts w:cs="Times New Roman"/>
          <w:lang w:val="en-GB"/>
        </w:rPr>
      </w:r>
      <w:r w:rsidR="00FB1388" w:rsidRPr="003726FE">
        <w:rPr>
          <w:rFonts w:cs="Times New Roman"/>
          <w:lang w:val="en-GB"/>
        </w:rPr>
        <w:fldChar w:fldCharType="separate"/>
      </w:r>
      <w:r w:rsidR="004E5A78" w:rsidRPr="003726FE">
        <w:rPr>
          <w:rFonts w:cs="Times New Roman"/>
          <w:noProof/>
          <w:lang w:val="en-GB"/>
        </w:rPr>
        <w:t>(</w:t>
      </w:r>
      <w:hyperlink w:anchor="_ENREF_134" w:tooltip="Durning, 2011 #71" w:history="1">
        <w:r w:rsidR="0094469E" w:rsidRPr="003726FE">
          <w:rPr>
            <w:rFonts w:cs="Times New Roman"/>
            <w:noProof/>
            <w:lang w:val="en-GB"/>
          </w:rPr>
          <w:t>Durning et al. 2011</w:t>
        </w:r>
      </w:hyperlink>
      <w:r w:rsidR="004E5A78" w:rsidRPr="003726FE">
        <w:rPr>
          <w:rFonts w:cs="Times New Roman"/>
          <w:noProof/>
          <w:lang w:val="en-GB"/>
        </w:rPr>
        <w:t xml:space="preserve">; </w:t>
      </w:r>
      <w:hyperlink w:anchor="_ENREF_56" w:tooltip="Brydges, 2015 #18" w:history="1">
        <w:r w:rsidR="0094469E" w:rsidRPr="003726FE">
          <w:rPr>
            <w:rFonts w:cs="Times New Roman"/>
            <w:noProof/>
            <w:lang w:val="en-GB"/>
          </w:rPr>
          <w:t>Brydges et al. 2015</w:t>
        </w:r>
      </w:hyperlink>
      <w:r w:rsidR="004E5A78" w:rsidRPr="003726FE">
        <w:rPr>
          <w:rFonts w:cs="Times New Roman"/>
          <w:noProof/>
          <w:lang w:val="en-GB"/>
        </w:rPr>
        <w:t>)</w:t>
      </w:r>
      <w:r w:rsidR="00FB1388" w:rsidRPr="003726FE">
        <w:rPr>
          <w:rFonts w:cs="Times New Roman"/>
          <w:lang w:val="en-GB"/>
        </w:rPr>
        <w:fldChar w:fldCharType="end"/>
      </w:r>
      <w:r w:rsidR="00FB1388" w:rsidRPr="003726FE">
        <w:rPr>
          <w:rFonts w:cs="Times New Roman"/>
          <w:lang w:val="en-GB"/>
        </w:rPr>
        <w:t xml:space="preserve">. SRL applied theory has been of interest to medical education researchers aiming to identify SRL processes in diagnostic decision making and procedural skills performance </w:t>
      </w:r>
      <w:r w:rsidR="00FB1388" w:rsidRPr="003726FE">
        <w:rPr>
          <w:rFonts w:cs="Times New Roman"/>
          <w:lang w:val="en-GB"/>
        </w:rPr>
        <w:fldChar w:fldCharType="begin"/>
      </w:r>
      <w:r w:rsidR="008B61BE">
        <w:rPr>
          <w:rFonts w:cs="Times New Roman"/>
          <w:lang w:val="en-GB"/>
        </w:rPr>
        <w:instrText xml:space="preserve"> ADDIN EN.CITE &lt;EndNote&gt;&lt;Cite&gt;&lt;Author&gt;Cleary&lt;/Author&gt;&lt;Year&gt;2011&lt;/Year&gt;&lt;RecNum&gt;39&lt;/RecNum&gt;&lt;DisplayText&gt;(Cleary and Sandars 2011; Cleary et al. 2014)&lt;/DisplayText&gt;&lt;record&gt;&lt;rec-number&gt;39&lt;/rec-number&gt;&lt;foreign-keys&gt;&lt;key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Francis&lt;/publisher&gt;&lt;urls&gt;&lt;/urls&gt;&lt;/record&gt;&lt;/Cite&gt;&lt;Cite&gt;&lt;Author&gt;Cleary&lt;/Author&gt;&lt;Year&gt;2014&lt;/Year&gt;&lt;RecNum&gt;37&lt;/RecNum&gt;&lt;record&gt;&lt;rec-number&gt;37&lt;/rec-number&gt;&lt;foreign-keys&gt;&lt;key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FB1388" w:rsidRPr="003726FE">
        <w:rPr>
          <w:rFonts w:cs="Times New Roman"/>
          <w:lang w:val="en-GB"/>
        </w:rPr>
        <w:fldChar w:fldCharType="separate"/>
      </w:r>
      <w:r w:rsidR="004E5A78" w:rsidRPr="003726FE">
        <w:rPr>
          <w:rFonts w:cs="Times New Roman"/>
          <w:noProof/>
          <w:lang w:val="en-GB"/>
        </w:rPr>
        <w:t>(</w:t>
      </w:r>
      <w:hyperlink w:anchor="_ENREF_89" w:tooltip="Cleary, 2011 #39" w:history="1">
        <w:r w:rsidR="0094469E" w:rsidRPr="003726FE">
          <w:rPr>
            <w:rFonts w:cs="Times New Roman"/>
            <w:noProof/>
            <w:lang w:val="en-GB"/>
          </w:rPr>
          <w:t>Cleary and Sandars 2011</w:t>
        </w:r>
      </w:hyperlink>
      <w:r w:rsidR="004E5A78" w:rsidRPr="003726FE">
        <w:rPr>
          <w:rFonts w:cs="Times New Roman"/>
          <w:noProof/>
          <w:lang w:val="en-GB"/>
        </w:rPr>
        <w:t xml:space="preserve">; </w:t>
      </w:r>
      <w:hyperlink w:anchor="_ENREF_85" w:tooltip="Cleary, 2014 #36" w:history="1">
        <w:r w:rsidR="0094469E" w:rsidRPr="003726FE">
          <w:rPr>
            <w:rFonts w:cs="Times New Roman"/>
            <w:noProof/>
            <w:lang w:val="en-GB"/>
          </w:rPr>
          <w:t>Cleary et al. 2014</w:t>
        </w:r>
      </w:hyperlink>
      <w:r w:rsidR="004E5A78" w:rsidRPr="003726FE">
        <w:rPr>
          <w:rFonts w:cs="Times New Roman"/>
          <w:noProof/>
          <w:lang w:val="en-GB"/>
        </w:rPr>
        <w:t>)</w:t>
      </w:r>
      <w:r w:rsidR="00FB1388" w:rsidRPr="003726FE">
        <w:rPr>
          <w:rFonts w:cs="Times New Roman"/>
          <w:lang w:val="en-GB"/>
        </w:rPr>
        <w:fldChar w:fldCharType="end"/>
      </w:r>
      <w:r w:rsidR="00FB1388" w:rsidRPr="003726FE">
        <w:rPr>
          <w:rFonts w:cs="Times New Roman"/>
          <w:lang w:val="en-GB"/>
        </w:rPr>
        <w:t xml:space="preserve">. The studies highlight the need for health professionals to be self-regulating in response to the complexity </w:t>
      </w:r>
      <w:r w:rsidR="00FE06BA" w:rsidRPr="003726FE">
        <w:rPr>
          <w:rFonts w:cs="Times New Roman"/>
          <w:lang w:val="en-GB"/>
        </w:rPr>
        <w:t xml:space="preserve">and </w:t>
      </w:r>
      <w:r w:rsidR="00FB1388" w:rsidRPr="003726FE">
        <w:rPr>
          <w:rFonts w:cs="Times New Roman"/>
          <w:lang w:val="en-GB"/>
        </w:rPr>
        <w:t xml:space="preserve">constantly changing culture of the medical profession </w:t>
      </w:r>
      <w:r w:rsidR="00FB1388" w:rsidRPr="003726FE">
        <w:rPr>
          <w:rFonts w:cs="Times New Roman"/>
          <w:lang w:val="en-GB"/>
        </w:rPr>
        <w:fldChar w:fldCharType="begin"/>
      </w:r>
      <w:r w:rsidR="008B61BE">
        <w:rPr>
          <w:rFonts w:cs="Times New Roman"/>
          <w:lang w:val="en-GB"/>
        </w:rPr>
        <w:instrText xml:space="preserve"> ADDIN EN.CITE &lt;EndNote&gt;&lt;Cite&gt;&lt;Author&gt;Bjork&lt;/Author&gt;&lt;Year&gt;2013&lt;/Year&gt;&lt;RecNum&gt;603&lt;/RecNum&gt;&lt;DisplayText&gt;(Bjork et al. 2013; Lucieer et al. 2015)&lt;/DisplayText&gt;&lt;record&gt;&lt;rec-number&gt;603&lt;/rec-number&gt;&lt;foreign-keys&gt;&lt;key app="EN" db-id="xa2r2ewea92trkef5dt5arvbzafvpv2za5ft" timestamp="1496417559"&gt;603&lt;/key&gt;&lt;/foreign-keys&gt;&lt;ref-type name="Journal Article"&gt;17&lt;/ref-type&gt;&lt;contributors&gt;&lt;authors&gt;&lt;author&gt;Bjork, Robert A&lt;/author&gt;&lt;author&gt;Dunlosky, John&lt;/author&gt;&lt;author&gt;Kornell, Nate&lt;/author&gt;&lt;/authors&gt;&lt;/contributors&gt;&lt;titles&gt;&lt;title&gt;Self-regulated learning: Beliefs, techniques, and illusions&lt;/title&gt;&lt;secondary-title&gt;Annual review of psychology&lt;/secondary-title&gt;&lt;/titles&gt;&lt;periodical&gt;&lt;full-title&gt;Annual review of psychology&lt;/full-title&gt;&lt;/periodical&gt;&lt;pages&gt;417-444&lt;/pages&gt;&lt;volume&gt;64&lt;/volume&gt;&lt;dates&gt;&lt;year&gt;2013&lt;/year&gt;&lt;/dates&gt;&lt;isbn&gt;0066-4308&lt;/isbn&gt;&lt;urls&gt;&lt;/urls&gt;&lt;/record&gt;&lt;/Cite&gt;&lt;Cite&gt;&lt;Author&gt;Lucieer&lt;/Author&gt;&lt;Year&gt;2015&lt;/Year&gt;&lt;RecNum&gt;958&lt;/RecNum&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teacher&lt;/full-title&gt;&lt;/periodical&gt;&lt;pages&gt;1-9&lt;/pages&gt;&lt;dates&gt;&lt;year&gt;2015&lt;/year&gt;&lt;/dates&gt;&lt;isbn&gt;0142-159X&lt;/isbn&gt;&lt;urls&gt;&lt;/urls&gt;&lt;/record&gt;&lt;/Cite&gt;&lt;/EndNote&gt;</w:instrText>
      </w:r>
      <w:r w:rsidR="00FB1388" w:rsidRPr="003726FE">
        <w:rPr>
          <w:rFonts w:cs="Times New Roman"/>
          <w:lang w:val="en-GB"/>
        </w:rPr>
        <w:fldChar w:fldCharType="separate"/>
      </w:r>
      <w:r w:rsidR="004E5A78" w:rsidRPr="003726FE">
        <w:rPr>
          <w:rFonts w:cs="Times New Roman"/>
          <w:noProof/>
          <w:lang w:val="en-GB"/>
        </w:rPr>
        <w:t>(</w:t>
      </w:r>
      <w:hyperlink w:anchor="_ENREF_34" w:tooltip="Bjork, 2013 #603" w:history="1">
        <w:r w:rsidR="0094469E" w:rsidRPr="003726FE">
          <w:rPr>
            <w:rFonts w:cs="Times New Roman"/>
            <w:noProof/>
            <w:lang w:val="en-GB"/>
          </w:rPr>
          <w:t>Bjork et al. 2013</w:t>
        </w:r>
      </w:hyperlink>
      <w:r w:rsidR="004E5A78" w:rsidRPr="003726FE">
        <w:rPr>
          <w:rFonts w:cs="Times New Roman"/>
          <w:noProof/>
          <w:lang w:val="en-GB"/>
        </w:rPr>
        <w:t xml:space="preserve">; </w:t>
      </w:r>
      <w:hyperlink w:anchor="_ENREF_249" w:tooltip="Lucieer, 2015 #958" w:history="1">
        <w:r w:rsidR="0094469E" w:rsidRPr="003726FE">
          <w:rPr>
            <w:rFonts w:cs="Times New Roman"/>
            <w:noProof/>
            <w:lang w:val="en-GB"/>
          </w:rPr>
          <w:t>Lucieer et al. 2015</w:t>
        </w:r>
      </w:hyperlink>
      <w:r w:rsidR="004E5A78" w:rsidRPr="003726FE">
        <w:rPr>
          <w:rFonts w:cs="Times New Roman"/>
          <w:noProof/>
          <w:lang w:val="en-GB"/>
        </w:rPr>
        <w:t>)</w:t>
      </w:r>
      <w:r w:rsidR="00FB1388" w:rsidRPr="003726FE">
        <w:rPr>
          <w:rFonts w:cs="Times New Roman"/>
          <w:lang w:val="en-GB"/>
        </w:rPr>
        <w:fldChar w:fldCharType="end"/>
      </w:r>
      <w:r w:rsidR="00FB1388" w:rsidRPr="003726FE">
        <w:rPr>
          <w:rFonts w:cs="Times New Roman"/>
          <w:lang w:val="en-GB"/>
        </w:rPr>
        <w:t xml:space="preserve">. </w:t>
      </w:r>
      <w:r w:rsidR="00405CB8" w:rsidRPr="003726FE">
        <w:rPr>
          <w:rFonts w:cs="Times New Roman"/>
          <w:color w:val="000000" w:themeColor="text1"/>
          <w:shd w:val="clear" w:color="auto" w:fill="FFFFFF"/>
          <w:lang w:val="en-GB"/>
        </w:rPr>
        <w:t xml:space="preserve">Undergraduate medical students </w:t>
      </w:r>
      <w:r w:rsidR="00FE06BA" w:rsidRPr="003726FE">
        <w:rPr>
          <w:rFonts w:cs="Times New Roman"/>
          <w:color w:val="000000" w:themeColor="text1"/>
          <w:shd w:val="clear" w:color="auto" w:fill="FFFFFF"/>
          <w:lang w:val="en-GB"/>
        </w:rPr>
        <w:t>have been identified as</w:t>
      </w:r>
      <w:r w:rsidR="00405CB8" w:rsidRPr="003726FE">
        <w:rPr>
          <w:rFonts w:cs="Times New Roman"/>
          <w:color w:val="000000" w:themeColor="text1"/>
          <w:shd w:val="clear" w:color="auto" w:fill="FFFFFF"/>
          <w:lang w:val="en-GB"/>
        </w:rPr>
        <w:t xml:space="preserve"> a group in need of support in specific domains of SRL, </w:t>
      </w:r>
      <w:r w:rsidR="0021662A">
        <w:rPr>
          <w:lang w:val="en-GB"/>
        </w:rPr>
        <w:t>including</w:t>
      </w:r>
      <w:r w:rsidR="00FE06BA" w:rsidRPr="003726FE">
        <w:rPr>
          <w:rFonts w:cs="Times New Roman"/>
          <w:color w:val="000000" w:themeColor="text1"/>
          <w:shd w:val="clear" w:color="auto" w:fill="FFFFFF"/>
          <w:lang w:val="en-GB"/>
        </w:rPr>
        <w:t>:</w:t>
      </w:r>
      <w:r w:rsidR="00405CB8" w:rsidRPr="003726FE">
        <w:rPr>
          <w:rFonts w:cs="Times New Roman"/>
          <w:color w:val="000000" w:themeColor="text1"/>
          <w:shd w:val="clear" w:color="auto" w:fill="FFFFFF"/>
          <w:lang w:val="en-GB"/>
        </w:rPr>
        <w:t xml:space="preserve"> self-efficacy, decision making, goal setting</w:t>
      </w:r>
      <w:r w:rsidR="00FE06BA" w:rsidRPr="003726FE">
        <w:rPr>
          <w:rFonts w:cs="Times New Roman"/>
          <w:color w:val="000000" w:themeColor="text1"/>
          <w:shd w:val="clear" w:color="auto" w:fill="FFFFFF"/>
          <w:lang w:val="en-GB"/>
        </w:rPr>
        <w:t>,</w:t>
      </w:r>
      <w:r w:rsidR="00405CB8" w:rsidRPr="003726FE">
        <w:rPr>
          <w:rFonts w:cs="Times New Roman"/>
          <w:color w:val="000000" w:themeColor="text1"/>
          <w:shd w:val="clear" w:color="auto" w:fill="FFFFFF"/>
          <w:lang w:val="en-GB"/>
        </w:rPr>
        <w:t xml:space="preserve"> and self-directed learning </w:t>
      </w:r>
      <w:r w:rsidR="00405CB8" w:rsidRPr="003726FE">
        <w:rPr>
          <w:rFonts w:cs="Times New Roman"/>
          <w:color w:val="000000" w:themeColor="text1"/>
          <w:shd w:val="clear" w:color="auto" w:fill="FFFFFF"/>
          <w:lang w:val="en-GB"/>
        </w:rPr>
        <w:fldChar w:fldCharType="begin">
          <w:fldData xml:space="preserve">PEVuZE5vdGU+PENpdGU+PEF1dGhvcj5KZW5uaW5nczwvQXV0aG9yPjxZZWFyPjIwMDc8L1llYXI+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</w:fldData>
        </w:fldChar>
      </w:r>
      <w:r w:rsidR="008B61BE">
        <w:rPr>
          <w:rFonts w:cs="Times New Roman"/>
          <w:color w:val="000000" w:themeColor="text1"/>
          <w:shd w:val="clear" w:color="auto" w:fill="FFFFFF"/>
          <w:lang w:val="en-GB"/>
        </w:rPr>
        <w:instrText xml:space="preserve"> ADDIN EN.CITE </w:instrText>
      </w:r>
      <w:r w:rsidR="008B61BE">
        <w:rPr>
          <w:rFonts w:cs="Times New Roman"/>
          <w:color w:val="000000" w:themeColor="text1"/>
          <w:shd w:val="clear" w:color="auto" w:fill="FFFFFF"/>
          <w:lang w:val="en-GB"/>
        </w:rPr>
        <w:fldChar w:fldCharType="begin">
          <w:fldData xml:space="preserve">PEVuZE5vdGU+PENpdGU+PEF1dGhvcj5KZW5uaW5nczwvQXV0aG9yPjxZZWFyPjIwMDc8L1llYXI+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</w:fldData>
        </w:fldChar>
      </w:r>
      <w:r w:rsidR="008B61BE">
        <w:rPr>
          <w:rFonts w:cs="Times New Roman"/>
          <w:color w:val="000000" w:themeColor="text1"/>
          <w:shd w:val="clear" w:color="auto" w:fill="FFFFFF"/>
          <w:lang w:val="en-GB"/>
        </w:rPr>
        <w:instrText xml:space="preserve"> ADDIN EN.CITE.DATA </w:instrText>
      </w:r>
      <w:r w:rsidR="008B61BE">
        <w:rPr>
          <w:rFonts w:cs="Times New Roman"/>
          <w:color w:val="000000" w:themeColor="text1"/>
          <w:shd w:val="clear" w:color="auto" w:fill="FFFFFF"/>
          <w:lang w:val="en-GB"/>
        </w:rPr>
      </w:r>
      <w:r w:rsidR="008B61BE">
        <w:rPr>
          <w:rFonts w:cs="Times New Roman"/>
          <w:color w:val="000000" w:themeColor="text1"/>
          <w:shd w:val="clear" w:color="auto" w:fill="FFFFFF"/>
          <w:lang w:val="en-GB"/>
        </w:rPr>
        <w:fldChar w:fldCharType="end"/>
      </w:r>
      <w:r w:rsidR="00405CB8" w:rsidRPr="003726FE">
        <w:rPr>
          <w:rFonts w:cs="Times New Roman"/>
          <w:color w:val="000000" w:themeColor="text1"/>
          <w:shd w:val="clear" w:color="auto" w:fill="FFFFFF"/>
          <w:lang w:val="en-GB"/>
        </w:rPr>
      </w:r>
      <w:r w:rsidR="00405CB8"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205" w:tooltip="Jennings, 2007 #650" w:history="1">
        <w:r w:rsidR="0094469E" w:rsidRPr="003726FE">
          <w:rPr>
            <w:rFonts w:cs="Times New Roman"/>
            <w:noProof/>
            <w:color w:val="000000" w:themeColor="text1"/>
            <w:shd w:val="clear" w:color="auto" w:fill="FFFFFF"/>
            <w:lang w:val="en-GB"/>
          </w:rPr>
          <w:t>Jennings 2007</w:t>
        </w:r>
      </w:hyperlink>
      <w:r w:rsidR="004E5A78" w:rsidRPr="003726FE">
        <w:rPr>
          <w:rFonts w:cs="Times New Roman"/>
          <w:noProof/>
          <w:color w:val="000000" w:themeColor="text1"/>
          <w:shd w:val="clear" w:color="auto" w:fill="FFFFFF"/>
          <w:lang w:val="en-GB"/>
        </w:rPr>
        <w:t xml:space="preserve">; </w:t>
      </w:r>
      <w:hyperlink w:anchor="_ENREF_410" w:tooltip="Turan, 2013 #596" w:history="1">
        <w:r w:rsidR="0094469E" w:rsidRPr="003726FE">
          <w:rPr>
            <w:rFonts w:cs="Times New Roman"/>
            <w:noProof/>
            <w:color w:val="000000" w:themeColor="text1"/>
            <w:shd w:val="clear" w:color="auto" w:fill="FFFFFF"/>
            <w:lang w:val="en-GB"/>
          </w:rPr>
          <w:t>Turan et al. 2013</w:t>
        </w:r>
      </w:hyperlink>
      <w:r w:rsidR="004E5A78" w:rsidRPr="003726FE">
        <w:rPr>
          <w:rFonts w:cs="Times New Roman"/>
          <w:noProof/>
          <w:color w:val="000000" w:themeColor="text1"/>
          <w:shd w:val="clear" w:color="auto" w:fill="FFFFFF"/>
          <w:lang w:val="en-GB"/>
        </w:rPr>
        <w:t xml:space="preserve">; </w:t>
      </w:r>
      <w:hyperlink w:anchor="_ENREF_220" w:tooltip="Klemenc-Ketis, 2014 #649" w:history="1">
        <w:r w:rsidR="0094469E" w:rsidRPr="003726FE">
          <w:rPr>
            <w:rFonts w:cs="Times New Roman"/>
            <w:noProof/>
            <w:color w:val="000000" w:themeColor="text1"/>
            <w:shd w:val="clear" w:color="auto" w:fill="FFFFFF"/>
            <w:lang w:val="en-GB"/>
          </w:rPr>
          <w:t>Klemenc-Ketis and Kersnik 2014</w:t>
        </w:r>
      </w:hyperlink>
      <w:r w:rsidR="004E5A78" w:rsidRPr="003726FE">
        <w:rPr>
          <w:rFonts w:cs="Times New Roman"/>
          <w:noProof/>
          <w:color w:val="000000" w:themeColor="text1"/>
          <w:shd w:val="clear" w:color="auto" w:fill="FFFFFF"/>
          <w:lang w:val="en-GB"/>
        </w:rPr>
        <w:t>)</w:t>
      </w:r>
      <w:r w:rsidR="00405CB8" w:rsidRPr="003726FE">
        <w:rPr>
          <w:rFonts w:cs="Times New Roman"/>
          <w:color w:val="000000" w:themeColor="text1"/>
          <w:shd w:val="clear" w:color="auto" w:fill="FFFFFF"/>
          <w:lang w:val="en-GB"/>
        </w:rPr>
        <w:fldChar w:fldCharType="end"/>
      </w:r>
      <w:r w:rsidR="00405CB8" w:rsidRPr="003726FE">
        <w:rPr>
          <w:rFonts w:cs="Times New Roman"/>
          <w:color w:val="000000" w:themeColor="text1"/>
          <w:shd w:val="clear" w:color="auto" w:fill="FFFFFF"/>
          <w:lang w:val="en-GB"/>
        </w:rPr>
        <w:t>. Assessment and feedback is critical in identifying students</w:t>
      </w:r>
      <w:r w:rsidR="00107905">
        <w:rPr>
          <w:rFonts w:cs="Times New Roman"/>
          <w:color w:val="000000" w:themeColor="text1"/>
          <w:shd w:val="clear" w:color="auto" w:fill="FFFFFF"/>
          <w:lang w:val="en-GB"/>
        </w:rPr>
        <w:t>’</w:t>
      </w:r>
      <w:r w:rsidR="00405CB8" w:rsidRPr="003726FE">
        <w:rPr>
          <w:rFonts w:cs="Times New Roman"/>
          <w:color w:val="000000" w:themeColor="text1"/>
          <w:shd w:val="clear" w:color="auto" w:fill="FFFFFF"/>
          <w:lang w:val="en-GB"/>
        </w:rPr>
        <w:t xml:space="preserve"> SRL support needs, informing both the development of appropriate learning skills for advancing in health education and the acquisition of relevant knowledge and skills to deliver effective future medical practice.</w:t>
      </w:r>
    </w:p>
    <w:p w14:paraId="6C0C92EF" w14:textId="77777777" w:rsidR="000D2D14" w:rsidRPr="003726FE" w:rsidRDefault="000D2D14" w:rsidP="00026049">
      <w:pPr>
        <w:pStyle w:val="Normal1"/>
        <w:rPr>
          <w:lang w:val="en-GB"/>
        </w:rPr>
      </w:pPr>
    </w:p>
    <w:p w14:paraId="001907C4" w14:textId="7FEEC8C0" w:rsidR="00AA7B7E" w:rsidRPr="003726FE" w:rsidRDefault="00AC3EF6" w:rsidP="00026049">
      <w:pPr>
        <w:pStyle w:val="Normal1"/>
        <w:rPr>
          <w:lang w:val="en-GB"/>
        </w:rPr>
      </w:pPr>
      <w:r w:rsidRPr="003726FE">
        <w:rPr>
          <w:lang w:val="en-GB"/>
        </w:rPr>
        <w:t>Zimmerman’s</w:t>
      </w:r>
      <w:r w:rsidR="00AA7B7E" w:rsidRPr="003726FE">
        <w:rPr>
          <w:lang w:val="en-GB"/>
        </w:rPr>
        <w:t xml:space="preserve"> SRL model was adopted </w:t>
      </w:r>
      <w:r w:rsidR="00E938C8" w:rsidRPr="003726FE">
        <w:rPr>
          <w:lang w:val="en-GB"/>
        </w:rPr>
        <w:t xml:space="preserve">in this study </w:t>
      </w:r>
      <w:r w:rsidR="00AA7B7E" w:rsidRPr="003726FE">
        <w:rPr>
          <w:lang w:val="en-GB"/>
        </w:rPr>
        <w:t xml:space="preserve">as it is generally aligned with key objectives in medical education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4A06C2" w:rsidRPr="003726FE">
        <w:rPr>
          <w:lang w:val="en-GB"/>
        </w:rPr>
        <w:t xml:space="preserve">. The social </w:t>
      </w:r>
      <w:r w:rsidR="00AA7B7E" w:rsidRPr="003726FE">
        <w:rPr>
          <w:lang w:val="en-GB"/>
        </w:rPr>
        <w:t xml:space="preserve">cognitive model views SRL as a contextualised skill which can be improved through taught practice </w:t>
      </w:r>
      <w:r w:rsidR="00EF281A" w:rsidRPr="003726FE">
        <w:rPr>
          <w:lang w:val="en-GB"/>
        </w:rPr>
        <w:fldChar w:fldCharType="begin"/>
      </w:r>
      <w:r w:rsidR="008B61BE">
        <w:rPr>
          <w:lang w:val="en-GB"/>
        </w:rPr>
        <w:instrText xml:space="preserve"> ADDIN EN.CITE &lt;EndNote&gt;&lt;Cite&gt;&lt;Author&gt;Bandura&lt;/Author&gt;&lt;Year&gt;1986&lt;/Year&gt;&lt;RecNum&gt;6&lt;/RecNum&gt;&lt;DisplayText&gt;(Bandura 1986)&lt;/DisplayText&gt;&lt;record&gt;&lt;rec-number&gt;6&lt;/rec-number&gt;&lt;foreign-keys&gt;&lt;key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00EF281A" w:rsidRPr="003726FE">
        <w:rPr>
          <w:lang w:val="en-GB"/>
        </w:rPr>
        <w:fldChar w:fldCharType="separate"/>
      </w:r>
      <w:r w:rsidR="004E5A78" w:rsidRPr="003726FE">
        <w:rPr>
          <w:noProof/>
          <w:lang w:val="en-GB"/>
        </w:rPr>
        <w:t>(</w:t>
      </w:r>
      <w:hyperlink w:anchor="_ENREF_14" w:tooltip="Bandura, 1986 #6" w:history="1">
        <w:r w:rsidR="0094469E" w:rsidRPr="003726FE">
          <w:rPr>
            <w:noProof/>
            <w:lang w:val="en-GB"/>
          </w:rPr>
          <w:t>Bandura 1986</w:t>
        </w:r>
      </w:hyperlink>
      <w:r w:rsidR="004E5A78" w:rsidRPr="003726FE">
        <w:rPr>
          <w:noProof/>
          <w:lang w:val="en-GB"/>
        </w:rPr>
        <w:t>)</w:t>
      </w:r>
      <w:r w:rsidR="00EF281A" w:rsidRPr="003726FE">
        <w:rPr>
          <w:lang w:val="en-GB"/>
        </w:rPr>
        <w:fldChar w:fldCharType="end"/>
      </w:r>
      <w:r w:rsidR="00AA7B7E" w:rsidRPr="003726FE">
        <w:rPr>
          <w:lang w:val="en-GB"/>
        </w:rPr>
        <w:t xml:space="preserve">. This relates directly to the complexity of contexts in which medical education is situated, </w:t>
      </w:r>
      <w:r w:rsidR="0021662A">
        <w:rPr>
          <w:lang w:val="en-GB"/>
        </w:rPr>
        <w:t>including</w:t>
      </w:r>
      <w:r w:rsidR="00AA7B7E" w:rsidRPr="003726FE">
        <w:rPr>
          <w:lang w:val="en-GB"/>
        </w:rPr>
        <w:t xml:space="preserve"> the clinical environment </w:t>
      </w:r>
      <w:r w:rsidR="00EF281A" w:rsidRPr="003726FE">
        <w:rPr>
          <w:lang w:val="en-GB"/>
        </w:rPr>
        <w:fldChar w:fldCharType="begin"/>
      </w:r>
      <w:r w:rsidR="008B61BE">
        <w:rPr>
          <w:lang w:val="en-GB"/>
        </w:rPr>
        <w:instrText xml:space="preserve"> ADDIN EN.CITE &lt;EndNote&gt;&lt;Cite&gt;&lt;Author&gt;Bleakley&lt;/Author&gt;&lt;Year&gt;2011&lt;/Year&gt;&lt;RecNum&gt;14&lt;/RecNum&gt;&lt;DisplayText&gt;(Bleakley et al. 2011)&lt;/DisplayText&gt;&lt;record&gt;&lt;rec-number&gt;14&lt;/rec-number&gt;&lt;foreign-keys&gt;&lt;key app="EN" db-id="xa2r2ewea92trkef5dt5arvbzafvpv2za5ft" timestamp="1442161763"&gt;14&lt;/key&gt;&lt;/foreign-keys&gt;&lt;ref-type name="Book"&gt;6&lt;/ref-type&gt;&lt;contributors&gt;&lt;authors&gt;&lt;author&gt;Bleakley, Alan&lt;/author&gt;&lt;author&gt;Bligh, John&lt;/author&gt;&lt;author&gt;Browne, Julie&lt;/author&gt;&lt;/authors&gt;&lt;/contributors&gt;&lt;titles&gt;&lt;title&gt;Medical education for the future: Identity, power and location&lt;/title&gt;&lt;/titles&gt;&lt;number&gt;Book, Whole&lt;/number&gt;&lt;dates&gt;&lt;year&gt;2011&lt;/year&gt;&lt;/dates&gt;&lt;pub-location&gt;New York&lt;/pub-location&gt;&lt;publisher&gt;Springer&lt;/publisher&gt;&lt;urls&gt;&lt;/urls&gt;&lt;/record&gt;&lt;/Cite&gt;&lt;/EndNote&gt;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36" w:tooltip="Bleakley, 2011 #14" w:history="1">
        <w:r w:rsidR="0094469E" w:rsidRPr="003726FE">
          <w:rPr>
            <w:noProof/>
            <w:lang w:val="en-GB"/>
          </w:rPr>
          <w:t>Bleakley et al. 2011</w:t>
        </w:r>
      </w:hyperlink>
      <w:r w:rsidR="004E5A78" w:rsidRPr="003726FE">
        <w:rPr>
          <w:noProof/>
          <w:lang w:val="en-GB"/>
        </w:rPr>
        <w:t>)</w:t>
      </w:r>
      <w:r w:rsidR="00EF281A" w:rsidRPr="003726FE">
        <w:rPr>
          <w:lang w:val="en-GB"/>
        </w:rPr>
        <w:fldChar w:fldCharType="end"/>
      </w:r>
      <w:r w:rsidR="00AA7B7E" w:rsidRPr="003726FE">
        <w:rPr>
          <w:lang w:val="en-GB"/>
        </w:rPr>
        <w:t>.</w:t>
      </w:r>
      <w:r w:rsidR="00216AD2" w:rsidRPr="003726FE">
        <w:rPr>
          <w:lang w:val="en-GB"/>
        </w:rPr>
        <w:t xml:space="preserve"> This model of SRL is relevant for medical education as it allows for the specific measurement and improvement of SRL processes relevant for clinical practice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216AD2" w:rsidRPr="003726FE">
        <w:rPr>
          <w:lang w:val="en-GB"/>
        </w:rPr>
        <w:t>.</w:t>
      </w:r>
      <w:r w:rsidR="00107905">
        <w:rPr>
          <w:lang w:val="en-GB"/>
        </w:rPr>
        <w:t xml:space="preserve"> The emphasis that the social </w:t>
      </w:r>
      <w:r w:rsidR="00AA7B7E" w:rsidRPr="003726FE">
        <w:rPr>
          <w:lang w:val="en-GB"/>
        </w:rPr>
        <w:t xml:space="preserve">cognitive perspective places on the role of the environment echoes the previous point; vicarious experiences, the observation of others in a learning environment, play a significant part in the social construction of knowledge purported by this theory </w:t>
      </w:r>
      <w:r w:rsidR="00EF281A" w:rsidRPr="003726FE">
        <w:rPr>
          <w:lang w:val="en-GB"/>
        </w:rPr>
        <w:fldChar w:fldCharType="begin"/>
      </w:r>
      <w:r w:rsidR="008B61BE">
        <w:rPr>
          <w:lang w:val="en-GB"/>
        </w:rPr>
        <w:instrText xml:space="preserve"> ADDIN EN.CITE &lt;EndNote&gt;&lt;Cite&gt;&lt;Author&gt;Schunk&lt;/Author&gt;&lt;Year&gt;2008&lt;/Year&gt;&lt;RecNum&gt;225&lt;/RecNum&gt;&lt;DisplayText&gt;(Schunk et al. 2008)&lt;/DisplayText&gt;&lt;record&gt;&lt;rec-number&gt;225&lt;/rec-number&gt;&lt;foreign-keys&gt;&lt;key app="EN" db-id="xa2r2ewea92trkef5dt5arvbzafvpv2za5ft" timestamp="1442161765"&gt;225&lt;/key&gt;&lt;/foreign-keys&gt;&lt;ref-type name="Journal Article"&gt;17&lt;/ref-type&gt;&lt;contributors&gt;&lt;authors&gt;&lt;author&gt;Schunk, Dale H.&lt;/author&gt;&lt;author&gt;Pintrich, Paul R.&lt;/author&gt;&lt;author&gt;Meece, Judith L.&lt;/author&gt;&lt;/authors&gt;&lt;/contributors&gt;&lt;titles&gt;&lt;title&gt;Motivation in education: Theory, research, and applications&lt;/title&gt;&lt;/titles&gt;&lt;dates&gt;&lt;year&gt;2008&lt;/year&gt;&lt;/dates&gt;&lt;publisher&gt;Pearson/Merrill Prentice Hall Upper Saddle River, NJ&lt;/publisher&gt;&lt;urls&gt;&lt;/urls&gt;&lt;/record&gt;&lt;/Cite&gt;&lt;/EndNote&gt;</w:instrText>
      </w:r>
      <w:r w:rsidR="00EF281A" w:rsidRPr="003726FE">
        <w:rPr>
          <w:lang w:val="en-GB"/>
        </w:rPr>
        <w:fldChar w:fldCharType="separate"/>
      </w:r>
      <w:r w:rsidR="004E5A78" w:rsidRPr="003726FE">
        <w:rPr>
          <w:noProof/>
          <w:lang w:val="en-GB"/>
        </w:rPr>
        <w:t>(</w:t>
      </w:r>
      <w:hyperlink w:anchor="_ENREF_370" w:tooltip="Schunk, 2008 #225" w:history="1">
        <w:r w:rsidR="0094469E" w:rsidRPr="003726FE">
          <w:rPr>
            <w:noProof/>
            <w:lang w:val="en-GB"/>
          </w:rPr>
          <w:t>Schunk et al. 2008</w:t>
        </w:r>
      </w:hyperlink>
      <w:r w:rsidR="004E5A78" w:rsidRPr="003726FE">
        <w:rPr>
          <w:noProof/>
          <w:lang w:val="en-GB"/>
        </w:rPr>
        <w:t>)</w:t>
      </w:r>
      <w:r w:rsidR="00EF281A" w:rsidRPr="003726FE">
        <w:rPr>
          <w:lang w:val="en-GB"/>
        </w:rPr>
        <w:fldChar w:fldCharType="end"/>
      </w:r>
      <w:r w:rsidR="00AA7B7E" w:rsidRPr="003726FE">
        <w:rPr>
          <w:lang w:val="en-GB"/>
        </w:rPr>
        <w:t xml:space="preserve">. Similarly, the effects of context and environment in medical education </w:t>
      </w:r>
      <w:r w:rsidR="00761422" w:rsidRPr="003726FE">
        <w:rPr>
          <w:lang w:val="en-GB"/>
        </w:rPr>
        <w:t>are</w:t>
      </w:r>
      <w:r w:rsidR="00AA7B7E" w:rsidRPr="003726FE">
        <w:rPr>
          <w:lang w:val="en-GB"/>
        </w:rPr>
        <w:t xml:space="preserve"> significant, and ha</w:t>
      </w:r>
      <w:r w:rsidR="00761422" w:rsidRPr="003726FE">
        <w:rPr>
          <w:lang w:val="en-GB"/>
        </w:rPr>
        <w:t>ve</w:t>
      </w:r>
      <w:r w:rsidR="00AA7B7E" w:rsidRPr="003726FE">
        <w:rPr>
          <w:lang w:val="en-GB"/>
        </w:rPr>
        <w:t xml:space="preserve"> been found to impact upon SRL behaviours in clinical skills </w:t>
      </w:r>
      <w:r w:rsidR="003E4B96" w:rsidRPr="003726FE">
        <w:rPr>
          <w:lang w:val="en-GB"/>
        </w:rPr>
        <w:fldChar w:fldCharType="begin"/>
      </w:r>
      <w:r w:rsidR="008B61BE">
        <w:rPr>
          <w:lang w:val="en-GB"/>
        </w:rPr>
        <w:instrText xml:space="preserve"> ADDIN EN.CITE &lt;EndNote&gt;&lt;Cite&gt;&lt;Author&gt;Kennedy&lt;/Author&gt;&lt;Year&gt;2009&lt;/Year&gt;&lt;RecNum&gt;126&lt;/RecNum&gt;&lt;DisplayText&gt;(Eva 2003; Kennedy et al. 2009)&lt;/DisplayText&gt;&lt;record&gt;&lt;rec-number&gt;126&lt;/rec-number&gt;&lt;foreign-keys&gt;&lt;key app="EN" db-id="xa2r2ewea92trkef5dt5arvbzafvpv2za5ft" timestamp="1442161764"&gt;126&lt;/key&gt;&lt;/foreign-keys&gt;&lt;ref-type name="Journal Article"&gt;17&lt;/ref-type&gt;&lt;contributors&gt;&lt;authors&gt;&lt;author&gt;Kennedy, Tara J. T.&lt;/author&gt;&lt;author&gt;Regehr, Glenn&lt;/author&gt;&lt;author&gt;Baker, G. Ross&lt;/author&gt;&lt;author&gt;Lingard, Lorelei A.&lt;/author&gt;&lt;/authors&gt;&lt;/contributors&gt;&lt;titles&gt;&lt;title&gt;‘It’sa cultural expectation…’The pressure on medical trainees to work independently in clinical practice&lt;/title&gt;&lt;secondary-title&gt;Medical education&lt;/secondary-title&gt;&lt;/titles&gt;&lt;periodical&gt;&lt;full-title&gt;Medical education&lt;/full-title&gt;&lt;/periodical&gt;&lt;pages&gt;645-653&lt;/pages&gt;&lt;volume&gt;43&lt;/volume&gt;&lt;number&gt;7&lt;/number&gt;&lt;dates&gt;&lt;year&gt;2009&lt;/year&gt;&lt;/dates&gt;&lt;publisher&gt;Wiley Online Library&lt;/publisher&gt;&lt;urls&gt;&lt;related-urls&gt;&lt;url&gt;http://onlinelibrary.wiley.com/doi/10.1111/j.1365-2923.2009.03382.x/abstract&lt;/url&gt;&lt;/related-urls&gt;&lt;/urls&gt;&lt;/record&gt;&lt;/Cite&gt;&lt;Cite&gt;&lt;Author&gt;Eva&lt;/Author&gt;&lt;Year&gt;2003&lt;/Year&gt;&lt;RecNum&gt;78&lt;/RecNum&gt;&lt;record&gt;&lt;rec-number&gt;78&lt;/rec-number&gt;&lt;foreign-keys&gt;&lt;key app="EN" db-id="xa2r2ewea92trkef5dt5arvbzafvpv2za5ft" timestamp="1442161763"&gt;78&lt;/key&gt;&lt;/foreign-keys&gt;&lt;ref-type name="Journal Article"&gt;17&lt;/ref-type&gt;&lt;contributors&gt;&lt;authors&gt;&lt;author&gt;Eva, Kevin W.&lt;/author&gt;&lt;/authors&gt;&lt;/contributors&gt;&lt;titles&gt;&lt;title&gt;On the generality of specificity&lt;/title&gt;&lt;secondary-title&gt;Medical education&lt;/secondary-title&gt;&lt;/titles&gt;&lt;periodical&gt;&lt;full-title&gt;Medical education&lt;/full-title&gt;&lt;/periodical&gt;&lt;pages&gt;587-588&lt;/pages&gt;&lt;volume&gt;37&lt;/volume&gt;&lt;number&gt;7&lt;/number&gt;&lt;dates&gt;&lt;year&gt;2003&lt;/year&gt;&lt;/dates&gt;&lt;publisher&gt;Wiley Online Library&lt;/publisher&gt;&lt;urls&gt;&lt;related-urls&gt;&lt;url&gt;http://onlinelibrary.wiley.com/doi/10.1046/j.1365-2923.2003.01563.x/abstract&lt;/url&gt;&lt;/related-urls&gt;&lt;/urls&gt;&lt;/record&gt;&lt;/Cite&gt;&lt;/EndNote&gt;</w:instrText>
      </w:r>
      <w:r w:rsidR="003E4B96" w:rsidRPr="003726FE">
        <w:rPr>
          <w:lang w:val="en-GB"/>
        </w:rPr>
        <w:fldChar w:fldCharType="separate"/>
      </w:r>
      <w:r w:rsidR="004E5A78" w:rsidRPr="003726FE">
        <w:rPr>
          <w:noProof/>
          <w:lang w:val="en-GB"/>
        </w:rPr>
        <w:t>(</w:t>
      </w:r>
      <w:hyperlink w:anchor="_ENREF_144" w:tooltip="Eva, 2003 #78" w:history="1">
        <w:r w:rsidR="0094469E" w:rsidRPr="003726FE">
          <w:rPr>
            <w:noProof/>
            <w:lang w:val="en-GB"/>
          </w:rPr>
          <w:t>Eva 2003</w:t>
        </w:r>
      </w:hyperlink>
      <w:r w:rsidR="004E5A78" w:rsidRPr="003726FE">
        <w:rPr>
          <w:noProof/>
          <w:lang w:val="en-GB"/>
        </w:rPr>
        <w:t xml:space="preserve">; </w:t>
      </w:r>
      <w:hyperlink w:anchor="_ENREF_214" w:tooltip="Kennedy, 2009 #126" w:history="1">
        <w:r w:rsidR="0094469E" w:rsidRPr="003726FE">
          <w:rPr>
            <w:noProof/>
            <w:lang w:val="en-GB"/>
          </w:rPr>
          <w:t>Kennedy et al. 2009</w:t>
        </w:r>
      </w:hyperlink>
      <w:r w:rsidR="004E5A78" w:rsidRPr="003726FE">
        <w:rPr>
          <w:noProof/>
          <w:lang w:val="en-GB"/>
        </w:rPr>
        <w:t>)</w:t>
      </w:r>
      <w:r w:rsidR="003E4B96" w:rsidRPr="003726FE">
        <w:rPr>
          <w:lang w:val="en-GB"/>
        </w:rPr>
        <w:fldChar w:fldCharType="end"/>
      </w:r>
      <w:r w:rsidR="003E4B96" w:rsidRPr="003726FE">
        <w:rPr>
          <w:lang w:val="en-GB"/>
        </w:rPr>
        <w:t>.</w:t>
      </w:r>
      <w:r w:rsidR="00761422" w:rsidRPr="003726FE">
        <w:rPr>
          <w:lang w:val="en-GB"/>
        </w:rPr>
        <w:t xml:space="preserve"> </w:t>
      </w:r>
      <w:r w:rsidR="00E76600" w:rsidRPr="003726FE">
        <w:rPr>
          <w:lang w:val="en-GB"/>
        </w:rPr>
        <w:t xml:space="preserve">Consequently </w:t>
      </w:r>
      <w:r w:rsidR="000A58AA" w:rsidRPr="003726FE">
        <w:rPr>
          <w:lang w:val="en-GB"/>
        </w:rPr>
        <w:t xml:space="preserve">SRL interventions which </w:t>
      </w:r>
      <w:r w:rsidR="00761422" w:rsidRPr="003726FE">
        <w:rPr>
          <w:lang w:val="en-GB"/>
        </w:rPr>
        <w:t xml:space="preserve">have </w:t>
      </w:r>
      <w:r w:rsidR="000A58AA" w:rsidRPr="003726FE">
        <w:rPr>
          <w:lang w:val="en-GB"/>
        </w:rPr>
        <w:t>adopt</w:t>
      </w:r>
      <w:r w:rsidR="00761422" w:rsidRPr="003726FE">
        <w:rPr>
          <w:lang w:val="en-GB"/>
        </w:rPr>
        <w:t>ed</w:t>
      </w:r>
      <w:r w:rsidR="000A58AA" w:rsidRPr="003726FE">
        <w:rPr>
          <w:lang w:val="en-GB"/>
        </w:rPr>
        <w:t xml:space="preserve"> contextual and task specific strategies </w:t>
      </w:r>
      <w:r w:rsidR="00761422" w:rsidRPr="003726FE">
        <w:rPr>
          <w:lang w:val="en-GB"/>
        </w:rPr>
        <w:t xml:space="preserve">have been </w:t>
      </w:r>
      <w:r w:rsidR="000A58AA" w:rsidRPr="003726FE">
        <w:rPr>
          <w:lang w:val="en-GB"/>
        </w:rPr>
        <w:t xml:space="preserve">more effective, meaning that a learner is taught both within the context that the skill is performed and that they are given unique practical strategies related to each specific skill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9328AC" w:rsidRPr="003726FE">
        <w:rPr>
          <w:lang w:val="en-GB"/>
        </w:rPr>
        <w:t>.</w:t>
      </w:r>
      <w:r w:rsidR="00E76600" w:rsidRPr="003726FE">
        <w:rPr>
          <w:lang w:val="en-GB"/>
        </w:rPr>
        <w:t xml:space="preserve"> In this study, the interven</w:t>
      </w:r>
      <w:r w:rsidR="007040AC" w:rsidRPr="003726FE">
        <w:rPr>
          <w:lang w:val="en-GB"/>
        </w:rPr>
        <w:t>tion method (microanalysis) used</w:t>
      </w:r>
      <w:r w:rsidR="00E76600" w:rsidRPr="003726FE">
        <w:rPr>
          <w:lang w:val="en-GB"/>
        </w:rPr>
        <w:t xml:space="preserve"> task specific strategy </w:t>
      </w:r>
      <w:r w:rsidR="00761422" w:rsidRPr="003726FE">
        <w:rPr>
          <w:lang w:val="en-GB"/>
        </w:rPr>
        <w:t>information</w:t>
      </w:r>
      <w:r w:rsidR="00E76600" w:rsidRPr="003726FE">
        <w:rPr>
          <w:lang w:val="en-GB"/>
        </w:rPr>
        <w:t xml:space="preserve"> collected in </w:t>
      </w:r>
      <w:r w:rsidR="00FC0FFB" w:rsidRPr="003726FE">
        <w:rPr>
          <w:lang w:val="en-GB"/>
        </w:rPr>
        <w:t>context to</w:t>
      </w:r>
      <w:r w:rsidR="00E76600" w:rsidRPr="003726FE">
        <w:rPr>
          <w:lang w:val="en-GB"/>
        </w:rPr>
        <w:t xml:space="preserve"> maximise this effect.</w:t>
      </w:r>
      <w:r w:rsidR="00583576" w:rsidRPr="003726FE">
        <w:rPr>
          <w:lang w:val="en-GB"/>
        </w:rPr>
        <w:t xml:space="preserve"> </w:t>
      </w:r>
    </w:p>
    <w:p w14:paraId="5B4BA5FF" w14:textId="77777777" w:rsidR="00AA7B7E" w:rsidRPr="003726FE" w:rsidRDefault="00AA7B7E" w:rsidP="00026049">
      <w:pPr>
        <w:pStyle w:val="Normal1"/>
        <w:rPr>
          <w:lang w:val="en-GB"/>
        </w:rPr>
      </w:pPr>
    </w:p>
    <w:p w14:paraId="2E7E6575" w14:textId="230518F8" w:rsidR="00555B76" w:rsidRPr="003726FE" w:rsidRDefault="00761422" w:rsidP="00026049">
      <w:pPr>
        <w:pStyle w:val="Normal1"/>
        <w:rPr>
          <w:lang w:val="en-GB"/>
        </w:rPr>
      </w:pPr>
      <w:r w:rsidRPr="003726FE">
        <w:rPr>
          <w:lang w:val="en-GB"/>
        </w:rPr>
        <w:t>M</w:t>
      </w:r>
      <w:r w:rsidR="00AA7B7E" w:rsidRPr="003726FE">
        <w:rPr>
          <w:lang w:val="en-GB"/>
        </w:rPr>
        <w:t>ost crucially, the cyclical nature of the model combines strategy use, motivation, a</w:t>
      </w:r>
      <w:r w:rsidRPr="003726FE">
        <w:rPr>
          <w:lang w:val="en-GB"/>
        </w:rPr>
        <w:t>nd metacognition which address</w:t>
      </w:r>
      <w:r w:rsidR="00AA7B7E" w:rsidRPr="003726FE">
        <w:rPr>
          <w:lang w:val="en-GB"/>
        </w:rPr>
        <w:t xml:space="preserve"> key underlying concepts in medical education </w:t>
      </w:r>
      <w:r w:rsidR="00EF281A" w:rsidRPr="003726FE">
        <w:rPr>
          <w:lang w:val="en-GB"/>
        </w:rPr>
        <w:fldChar w:fldCharType="begin"/>
      </w:r>
      <w:r w:rsidR="008B61BE">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3726FE">
        <w:rPr>
          <w:lang w:val="en-GB"/>
        </w:rPr>
        <w:fldChar w:fldCharType="separate"/>
      </w:r>
      <w:r w:rsidR="004E5A78" w:rsidRPr="003726FE">
        <w:rPr>
          <w:noProof/>
          <w:lang w:val="en-GB"/>
        </w:rPr>
        <w:t>(</w:t>
      </w:r>
      <w:hyperlink w:anchor="_ENREF_87" w:tooltip="Cleary, 2013 #593" w:history="1">
        <w:r w:rsidR="0094469E" w:rsidRPr="003726FE">
          <w:rPr>
            <w:noProof/>
            <w:lang w:val="en-GB"/>
          </w:rPr>
          <w:t>Cleary et al. 2013</w:t>
        </w:r>
      </w:hyperlink>
      <w:r w:rsidR="004E5A78" w:rsidRPr="003726FE">
        <w:rPr>
          <w:noProof/>
          <w:lang w:val="en-GB"/>
        </w:rPr>
        <w:t>)</w:t>
      </w:r>
      <w:r w:rsidR="00EF281A" w:rsidRPr="003726FE">
        <w:rPr>
          <w:lang w:val="en-GB"/>
        </w:rPr>
        <w:fldChar w:fldCharType="end"/>
      </w:r>
      <w:r w:rsidR="00107905">
        <w:rPr>
          <w:lang w:val="en-GB"/>
        </w:rPr>
        <w:t>,</w:t>
      </w:r>
      <w:r w:rsidR="00AA7B7E" w:rsidRPr="003726FE">
        <w:rPr>
          <w:lang w:val="en-GB"/>
        </w:rPr>
        <w:t xml:space="preserve"> and in this study: </w:t>
      </w:r>
      <w:r w:rsidR="00E938C8" w:rsidRPr="003726FE">
        <w:rPr>
          <w:lang w:val="en-GB"/>
        </w:rPr>
        <w:t>What do learners do to regulate their feedback behaviours</w:t>
      </w:r>
      <w:r w:rsidR="00AA7B7E" w:rsidRPr="003726FE">
        <w:rPr>
          <w:lang w:val="en-GB"/>
        </w:rPr>
        <w:t xml:space="preserve">? </w:t>
      </w:r>
      <w:r w:rsidR="00E938C8" w:rsidRPr="003726FE">
        <w:rPr>
          <w:lang w:val="en-GB"/>
        </w:rPr>
        <w:lastRenderedPageBreak/>
        <w:t xml:space="preserve">Why do learners engage in adaptive or maladaptive learning behaviours? </w:t>
      </w:r>
      <w:r w:rsidR="00AA7B7E" w:rsidRPr="003726FE">
        <w:rPr>
          <w:lang w:val="en-GB"/>
        </w:rPr>
        <w:t xml:space="preserve">How do </w:t>
      </w:r>
      <w:r w:rsidR="00E938C8" w:rsidRPr="003726FE">
        <w:rPr>
          <w:lang w:val="en-GB"/>
        </w:rPr>
        <w:t>they</w:t>
      </w:r>
      <w:r w:rsidR="00AA7B7E" w:rsidRPr="003726FE">
        <w:rPr>
          <w:lang w:val="en-GB"/>
        </w:rPr>
        <w:t xml:space="preserve"> approach, monitor, and reflect upon their clinical </w:t>
      </w:r>
      <w:r w:rsidR="00E938C8" w:rsidRPr="003726FE">
        <w:rPr>
          <w:lang w:val="en-GB"/>
        </w:rPr>
        <w:t>learning</w:t>
      </w:r>
      <w:r w:rsidR="00AA7B7E" w:rsidRPr="003726FE">
        <w:rPr>
          <w:lang w:val="en-GB"/>
        </w:rPr>
        <w:t xml:space="preserve">? This SRL model has helped to achieve empirical significance when used in SRL interventions </w:t>
      </w:r>
      <w:r w:rsidR="00555B76" w:rsidRPr="003726FE">
        <w:rPr>
          <w:lang w:val="en-GB"/>
        </w:rPr>
        <w:fldChar w:fldCharType="begin"/>
      </w:r>
      <w:r w:rsidR="008B61BE">
        <w:rPr>
          <w:lang w:val="en-GB"/>
        </w:rPr>
        <w:instrText xml:space="preserve"> ADDIN EN.CITE &lt;EndNote&gt;&lt;Cite&gt;&lt;Author&gt;Zimmerman&lt;/Author&gt;&lt;Year&gt;2002&lt;/Year&gt;&lt;RecNum&gt;278&lt;/RecNum&gt;&lt;DisplayText&gt;(Schunk and Swartz 1993; Zimmerman and Kitsantas 2002)&lt;/DisplayText&gt;&lt;record&gt;&lt;rec-number&gt;278&lt;/rec-number&gt;&lt;foreign-keys&gt;&lt;key app="EN" db-id="xa2r2ewea92trkef5dt5arvbzafvpv2za5ft" timestamp="1442161766"&gt;278&lt;/key&gt;&lt;/foreign-keys&gt;&lt;ref-type name="Journal Article"&gt;17&lt;/ref-type&gt;&lt;contributors&gt;&lt;authors&gt;&lt;author&gt;Zimmerman, Barry J.&lt;/author&gt;&lt;author&gt;Kitsantas, Anastasia&lt;/author&gt;&lt;/authors&gt;&lt;/contributors&gt;&lt;titles&gt;&lt;title&gt;Acquiring writing revision and self-regulatory skill through observation and emulation&lt;/title&gt;&lt;secondary-title&gt;Journal of educational psychology&lt;/secondary-title&gt;&lt;/titles&gt;&lt;periodical&gt;&lt;full-title&gt;Journal of educational psychology&lt;/full-title&gt;&lt;/periodical&gt;&lt;pages&gt;660&lt;/pages&gt;&lt;volume&gt;94&lt;/volume&gt;&lt;number&gt;4&lt;/number&gt;&lt;dates&gt;&lt;year&gt;2002&lt;/year&gt;&lt;/dates&gt;&lt;publisher&gt;American Psychological Association&lt;/publisher&gt;&lt;urls&gt;&lt;/urls&gt;&lt;/record&gt;&lt;/Cite&gt;&lt;Cite&gt;&lt;Author&gt;Schunk&lt;/Author&gt;&lt;Year&gt;1993&lt;/Year&gt;&lt;RecNum&gt;656&lt;/RecNum&gt;&lt;record&gt;&lt;rec-number&gt;656&lt;/rec-number&gt;&lt;foreign-keys&gt;&lt;key app="EN" db-id="xa2r2ewea92trkef5dt5arvbzafvpv2za5ft" timestamp="1496417564"&gt;656&lt;/key&gt;&lt;/foreign-keys&gt;&lt;ref-type name="Journal Article"&gt;17&lt;/ref-type&gt;&lt;contributors&gt;&lt;authors&gt;&lt;author&gt;Schunk, Dale H&lt;/author&gt;&lt;author&gt;Swartz, Carl W&lt;/author&gt;&lt;/authors&gt;&lt;/contributors&gt;&lt;titles&gt;&lt;title&gt;Goals and progress feedback: Effects on self-efficacy and writing achievement&lt;/title&gt;&lt;secondary-title&gt;Contemporary Educational Psychology&lt;/secondary-title&gt;&lt;/titles&gt;&lt;periodical&gt;&lt;full-title&gt;Contemporary educational psychology&lt;/full-title&gt;&lt;/periodical&gt;&lt;pages&gt;337-354&lt;/pages&gt;&lt;volume&gt;18&lt;/volume&gt;&lt;number&gt;3&lt;/number&gt;&lt;dates&gt;&lt;year&gt;1993&lt;/year&gt;&lt;/dates&gt;&lt;isbn&gt;0361-476X&lt;/isbn&gt;&lt;urls&gt;&lt;/urls&gt;&lt;/record&gt;&lt;/Cite&gt;&lt;/EndNote&gt;</w:instrText>
      </w:r>
      <w:r w:rsidR="00555B76" w:rsidRPr="003726FE">
        <w:rPr>
          <w:lang w:val="en-GB"/>
        </w:rPr>
        <w:fldChar w:fldCharType="separate"/>
      </w:r>
      <w:r w:rsidR="004E5A78" w:rsidRPr="003726FE">
        <w:rPr>
          <w:noProof/>
          <w:lang w:val="en-GB"/>
        </w:rPr>
        <w:t>(</w:t>
      </w:r>
      <w:hyperlink w:anchor="_ENREF_371" w:tooltip="Schunk, 1993 #656" w:history="1">
        <w:r w:rsidR="0094469E" w:rsidRPr="003726FE">
          <w:rPr>
            <w:noProof/>
            <w:lang w:val="en-GB"/>
          </w:rPr>
          <w:t>Schunk and Swartz 1993</w:t>
        </w:r>
      </w:hyperlink>
      <w:r w:rsidR="004E5A78" w:rsidRPr="003726FE">
        <w:rPr>
          <w:noProof/>
          <w:lang w:val="en-GB"/>
        </w:rPr>
        <w:t xml:space="preserve">; </w:t>
      </w:r>
      <w:hyperlink w:anchor="_ENREF_460" w:tooltip="Zimmerman, 2002 #278" w:history="1">
        <w:r w:rsidR="0094469E" w:rsidRPr="003726FE">
          <w:rPr>
            <w:noProof/>
            <w:lang w:val="en-GB"/>
          </w:rPr>
          <w:t>Zimmerman and Kitsantas 2002</w:t>
        </w:r>
      </w:hyperlink>
      <w:r w:rsidR="004E5A78" w:rsidRPr="003726FE">
        <w:rPr>
          <w:noProof/>
          <w:lang w:val="en-GB"/>
        </w:rPr>
        <w:t>)</w:t>
      </w:r>
      <w:r w:rsidR="00555B76" w:rsidRPr="003726FE">
        <w:rPr>
          <w:lang w:val="en-GB"/>
        </w:rPr>
        <w:fldChar w:fldCharType="end"/>
      </w:r>
      <w:r w:rsidR="00AA7B7E" w:rsidRPr="003726FE">
        <w:rPr>
          <w:lang w:val="en-GB"/>
        </w:rPr>
        <w:t xml:space="preserve">. </w:t>
      </w:r>
      <w:r w:rsidR="00E938C8" w:rsidRPr="003726FE">
        <w:rPr>
          <w:lang w:val="en-GB"/>
        </w:rPr>
        <w:t>More widely</w:t>
      </w:r>
      <w:r w:rsidR="00AA7B7E" w:rsidRPr="003726FE">
        <w:rPr>
          <w:lang w:val="en-GB"/>
        </w:rPr>
        <w:t xml:space="preserve">, this </w:t>
      </w:r>
      <w:r w:rsidR="00107905">
        <w:rPr>
          <w:lang w:val="en-GB"/>
        </w:rPr>
        <w:t>model</w:t>
      </w:r>
      <w:r w:rsidR="00AA7B7E" w:rsidRPr="003726FE">
        <w:rPr>
          <w:lang w:val="en-GB"/>
        </w:rPr>
        <w:t xml:space="preserve"> has been applied in many </w:t>
      </w:r>
      <w:r w:rsidR="00E938C8" w:rsidRPr="003726FE">
        <w:rPr>
          <w:lang w:val="en-GB"/>
        </w:rPr>
        <w:t>fields</w:t>
      </w:r>
      <w:r w:rsidR="00AA7B7E" w:rsidRPr="003726FE">
        <w:rPr>
          <w:lang w:val="en-GB"/>
        </w:rPr>
        <w:t xml:space="preserve"> including clinical skills</w:t>
      </w:r>
      <w:r w:rsidR="00555B76" w:rsidRPr="003726FE">
        <w:rPr>
          <w:lang w:val="en-GB"/>
        </w:rPr>
        <w:t xml:space="preserve"> interventions</w:t>
      </w:r>
      <w:r w:rsidR="00AA7B7E" w:rsidRPr="003726FE">
        <w:rPr>
          <w:lang w:val="en-GB"/>
        </w:rPr>
        <w:t xml:space="preserve"> </w:t>
      </w:r>
      <w:r w:rsidR="00555B76" w:rsidRPr="003726FE">
        <w:rPr>
          <w:lang w:val="en-GB"/>
        </w:rPr>
        <w:fldChar w:fldCharType="begin"/>
      </w:r>
      <w:r w:rsidR="008B61BE">
        <w:rPr>
          <w:lang w:val="en-GB"/>
        </w:rPr>
        <w:instrText xml:space="preserve"> ADDIN EN.CITE &lt;EndNote&gt;&lt;Cite&gt;&lt;Author&gt;Cleary&lt;/Author&gt;&lt;Year&gt;2011&lt;/Year&gt;&lt;RecNum&gt;39&lt;/RecNum&gt;&lt;DisplayText&gt;(Cleary and Sandars 2011; Cleary et al. 2014)&lt;/DisplayText&gt;&lt;record&gt;&lt;rec-number&gt;39&lt;/rec-number&gt;&lt;foreign-keys&gt;&lt;key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Francis&lt;/publisher&gt;&lt;urls&gt;&lt;/urls&gt;&lt;/record&gt;&lt;/Cite&gt;&lt;Cite&gt;&lt;Author&gt;Cleary&lt;/Author&gt;&lt;Year&gt;2014&lt;/Year&gt;&lt;RecNum&gt;36&lt;/RecNum&gt;&lt;record&gt;&lt;rec-number&gt;36&lt;/rec-number&gt;&lt;foreign-keys&gt;&lt;key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555B76" w:rsidRPr="003726FE">
        <w:rPr>
          <w:lang w:val="en-GB"/>
        </w:rPr>
        <w:fldChar w:fldCharType="separate"/>
      </w:r>
      <w:r w:rsidR="004E5A78" w:rsidRPr="003726FE">
        <w:rPr>
          <w:noProof/>
          <w:lang w:val="en-GB"/>
        </w:rPr>
        <w:t>(</w:t>
      </w:r>
      <w:hyperlink w:anchor="_ENREF_89" w:tooltip="Cleary, 2011 #39" w:history="1">
        <w:r w:rsidR="0094469E" w:rsidRPr="003726FE">
          <w:rPr>
            <w:noProof/>
            <w:lang w:val="en-GB"/>
          </w:rPr>
          <w:t>Cleary and Sandars 2011</w:t>
        </w:r>
      </w:hyperlink>
      <w:r w:rsidR="004E5A78" w:rsidRPr="003726FE">
        <w:rPr>
          <w:noProof/>
          <w:lang w:val="en-GB"/>
        </w:rPr>
        <w:t xml:space="preserve">; </w:t>
      </w:r>
      <w:hyperlink w:anchor="_ENREF_85" w:tooltip="Cleary, 2014 #36" w:history="1">
        <w:r w:rsidR="0094469E" w:rsidRPr="003726FE">
          <w:rPr>
            <w:noProof/>
            <w:lang w:val="en-GB"/>
          </w:rPr>
          <w:t>Cleary et al. 2014</w:t>
        </w:r>
      </w:hyperlink>
      <w:r w:rsidR="004E5A78" w:rsidRPr="003726FE">
        <w:rPr>
          <w:noProof/>
          <w:lang w:val="en-GB"/>
        </w:rPr>
        <w:t>)</w:t>
      </w:r>
      <w:r w:rsidR="00555B76" w:rsidRPr="003726FE">
        <w:rPr>
          <w:lang w:val="en-GB"/>
        </w:rPr>
        <w:fldChar w:fldCharType="end"/>
      </w:r>
      <w:r w:rsidR="00AA7B7E" w:rsidRPr="003726FE">
        <w:rPr>
          <w:lang w:val="en-GB"/>
        </w:rPr>
        <w:t xml:space="preserve">, athletics </w:t>
      </w:r>
      <w:r w:rsidR="00555B76" w:rsidRPr="003726FE">
        <w:rPr>
          <w:lang w:val="en-GB"/>
        </w:rPr>
        <w:fldChar w:fldCharType="begin"/>
      </w:r>
      <w:r w:rsidR="008B61BE">
        <w:rPr>
          <w:lang w:val="en-GB"/>
        </w:rPr>
        <w:instrText xml:space="preserve"> ADDIN EN.CITE &lt;EndNote&gt;&lt;Cite&gt;&lt;Author&gt;Cleary&lt;/Author&gt;&lt;Year&gt;2006&lt;/Year&gt;&lt;RecNum&gt;44&lt;/RecNum&gt;&lt;DisplayText&gt;(Cleary et al. 2006; Gano</w:instrText>
      </w:r>
      <w:r w:rsidR="008B61BE">
        <w:rPr>
          <w:rFonts w:ascii="Cambria Math" w:hAnsi="Cambria Math" w:cs="Cambria Math"/>
          <w:lang w:val="en-GB"/>
        </w:rPr>
        <w:instrText>‐</w:instrText>
      </w:r>
      <w:r w:rsidR="008B61BE">
        <w:rPr>
          <w:lang w:val="en-GB"/>
        </w:rPr>
        <w:instrText>Overway 2008)&lt;/DisplayText&gt;&lt;record&gt;&lt;rec-number&gt;44&lt;/rec-number&gt;&lt;foreign-keys&gt;&lt;key app="EN" db-id="xa2r2ewea92trkef5dt5arvbzafvpv2za5ft" timestamp="1442161763"&gt;44&lt;/key&gt;&lt;/foreign-keys&gt;&lt;ref-type name="Journal Article"&gt;17&lt;/ref-type&gt;&lt;contributors&gt;&lt;authors&gt;&lt;author&gt;Cleary, Timothy J.&lt;/author&gt;&lt;author&gt;Zimmerman, Barry J.&lt;/author&gt;&lt;author&gt;Keating, Tedd&lt;/author&gt;&lt;/authors&gt;&lt;/contributors&gt;&lt;titles&gt;&lt;title&gt;Training physical education students to self-regulate during basketball free throw practice&lt;/title&gt;&lt;secondary-title&gt;Research quarterly for exercise and sport&lt;/secondary-title&gt;&lt;/titles&gt;&lt;periodical&gt;&lt;full-title&gt;Research quarterly for exercise and sport&lt;/full-title&gt;&lt;/periodical&gt;&lt;pages&gt;251-262&lt;/pages&gt;&lt;volume&gt;77&lt;/volume&gt;&lt;number&gt;2&lt;/number&gt;&lt;dates&gt;&lt;year&gt;2006&lt;/year&gt;&lt;/dates&gt;&lt;publisher&gt;Taylor &amp;amp; Francis&lt;/publisher&gt;&lt;urls&gt;&lt;related-urls&gt;&lt;url&gt;http://www.tandfonline.com/doi/abs/10.1080/02701367.2006.10599358?url_ver=Z39.88-2003&amp;amp;rfr_id=ori:rid:crossref.org&amp;amp;rfr_dat=cr_pub%3dpubmed&lt;/url&gt;&lt;/related-urls&gt;&lt;/urls&gt;&lt;/record&gt;&lt;/Cite&gt;&lt;Cite&gt;&lt;Author&gt;Gano</w:instrText>
      </w:r>
      <w:r w:rsidR="008B61BE">
        <w:rPr>
          <w:rFonts w:ascii="Cambria Math" w:hAnsi="Cambria Math" w:cs="Cambria Math"/>
          <w:lang w:val="en-GB"/>
        </w:rPr>
        <w:instrText>‐</w:instrText>
      </w:r>
      <w:r w:rsidR="008B61BE">
        <w:rPr>
          <w:lang w:val="en-GB"/>
        </w:rPr>
        <w:instrText>Overway&lt;/Author&gt;&lt;Year&gt;2008&lt;/Year&gt;&lt;RecNum&gt;87&lt;/RecNum&gt;&lt;record&gt;&lt;rec-number&gt;87&lt;/rec-number&gt;&lt;foreign-keys&gt;&lt;key app="EN" db-id="xa2r2ewea92trkef5dt5arvbzafvpv2za5ft" timestamp="1442161764"&gt;87&lt;/key&gt;&lt;/foreign-keys&gt;&lt;ref-type name="Journal Article"&gt;17&lt;/ref-type&gt;&lt;contributors&gt;&lt;authors&gt;&lt;author&gt;Gano</w:instrText>
      </w:r>
      <w:r w:rsidR="008B61BE">
        <w:rPr>
          <w:rFonts w:ascii="Cambria Math" w:hAnsi="Cambria Math" w:cs="Cambria Math"/>
          <w:lang w:val="en-GB"/>
        </w:rPr>
        <w:instrText>‐</w:instrText>
      </w:r>
      <w:r w:rsidR="008B61BE">
        <w:rPr>
          <w:lang w:val="en-GB"/>
        </w:rPr>
        <w:instrText>Overway, Lori A.&lt;/author&gt;&lt;/authors&gt;&lt;/contributors&gt;&lt;titles&gt;&lt;title&gt;The effect of goal involvement on self</w:instrText>
      </w:r>
      <w:r w:rsidR="008B61BE">
        <w:rPr>
          <w:rFonts w:ascii="Cambria Math" w:hAnsi="Cambria Math" w:cs="Cambria Math"/>
          <w:lang w:val="en-GB"/>
        </w:rPr>
        <w:instrText>‐</w:instrText>
      </w:r>
      <w:r w:rsidR="008B61BE">
        <w:rPr>
          <w:lang w:val="en-GB"/>
        </w:rPr>
        <w:instrText>regulatory processes&lt;/title&gt;&lt;secondary-title&gt;International Journal of Sport and Exercise Psychology&lt;/secondary-title&gt;&lt;/titles&gt;&lt;periodical&gt;&lt;full-title&gt;International Journal of Sport and Exercise Psychology&lt;/full-title&gt;&lt;/periodical&gt;&lt;pages&gt;132-156&lt;/pages&gt;&lt;volume&gt;6&lt;/volume&gt;&lt;number&gt;2&lt;/number&gt;&lt;dates&gt;&lt;year&gt;2008&lt;/year&gt;&lt;/dates&gt;&lt;publisher&gt;Taylor &amp;amp; Francis&lt;/publisher&gt;&lt;urls&gt;&lt;/urls&gt;&lt;/record&gt;&lt;/Cite&gt;&lt;/EndNote&gt;</w:instrText>
      </w:r>
      <w:r w:rsidR="00555B76" w:rsidRPr="003726FE">
        <w:rPr>
          <w:lang w:val="en-GB"/>
        </w:rPr>
        <w:fldChar w:fldCharType="separate"/>
      </w:r>
      <w:r w:rsidR="004E5A78" w:rsidRPr="003726FE">
        <w:rPr>
          <w:noProof/>
          <w:lang w:val="en-GB"/>
        </w:rPr>
        <w:t>(</w:t>
      </w:r>
      <w:hyperlink w:anchor="_ENREF_93" w:tooltip="Cleary, 2006 #44" w:history="1">
        <w:r w:rsidR="0094469E" w:rsidRPr="003726FE">
          <w:rPr>
            <w:noProof/>
            <w:lang w:val="en-GB"/>
          </w:rPr>
          <w:t>Cleary et al. 2006</w:t>
        </w:r>
      </w:hyperlink>
      <w:r w:rsidR="004E5A78" w:rsidRPr="003726FE">
        <w:rPr>
          <w:noProof/>
          <w:lang w:val="en-GB"/>
        </w:rPr>
        <w:t xml:space="preserve">; </w:t>
      </w:r>
      <w:hyperlink w:anchor="_ENREF_157" w:tooltip="Gano‐Overway, 2008 #87" w:history="1">
        <w:r w:rsidR="0094469E" w:rsidRPr="003726FE">
          <w:rPr>
            <w:noProof/>
            <w:lang w:val="en-GB"/>
          </w:rPr>
          <w:t>Gano</w:t>
        </w:r>
        <w:r w:rsidR="0094469E" w:rsidRPr="003726FE">
          <w:rPr>
            <w:rFonts w:ascii="Cambria Math" w:hAnsi="Cambria Math" w:cs="Cambria Math"/>
            <w:noProof/>
            <w:lang w:val="en-GB"/>
          </w:rPr>
          <w:t>‐</w:t>
        </w:r>
        <w:r w:rsidR="0094469E" w:rsidRPr="003726FE">
          <w:rPr>
            <w:noProof/>
            <w:lang w:val="en-GB"/>
          </w:rPr>
          <w:t>Overway 2008</w:t>
        </w:r>
      </w:hyperlink>
      <w:r w:rsidR="004E5A78" w:rsidRPr="003726FE">
        <w:rPr>
          <w:noProof/>
          <w:lang w:val="en-GB"/>
        </w:rPr>
        <w:t>)</w:t>
      </w:r>
      <w:r w:rsidR="00555B76" w:rsidRPr="003726FE">
        <w:rPr>
          <w:lang w:val="en-GB"/>
        </w:rPr>
        <w:fldChar w:fldCharType="end"/>
      </w:r>
      <w:r w:rsidR="00AA7B7E" w:rsidRPr="003726FE">
        <w:rPr>
          <w:lang w:val="en-GB"/>
        </w:rPr>
        <w:t xml:space="preserve">, mathematics </w:t>
      </w:r>
      <w:r w:rsidR="000B53B0" w:rsidRPr="003726FE">
        <w:rPr>
          <w:lang w:val="en-GB"/>
        </w:rPr>
        <w:fldChar w:fldCharType="begin"/>
      </w:r>
      <w:r w:rsidR="008B61BE">
        <w:rPr>
          <w:lang w:val="en-GB"/>
        </w:rPr>
        <w:instrText xml:space="preserve"> ADDIN EN.CITE &lt;EndNote&gt;&lt;Cite&gt;&lt;Author&gt;Kramarski&lt;/Author&gt;&lt;Year&gt;2001&lt;/Year&gt;&lt;RecNum&gt;136&lt;/RecNum&gt;&lt;DisplayText&gt;(Kramarski and Zeichner 2001; Labuhn et al. 2010)&lt;/DisplayText&gt;&lt;record&gt;&lt;rec-number&gt;136&lt;/rec-number&gt;&lt;foreign-keys&gt;&lt;key app="EN" db-id="xa2r2ewea92trkef5dt5arvbzafvpv2za5ft" timestamp="1442161764"&gt;136&lt;/key&gt;&lt;/foreign-keys&gt;&lt;ref-type name="Journal Article"&gt;17&lt;/ref-type&gt;&lt;contributors&gt;&lt;authors&gt;&lt;author&gt;Kramarski, Bracha&lt;/author&gt;&lt;author&gt;Zeichner, Orit&lt;/author&gt;&lt;/authors&gt;&lt;/contributors&gt;&lt;titles&gt;&lt;title&gt;Using technology to enhance mathematical reasoning: Effects of feedback and self-regulation learning&lt;/title&gt;&lt;secondary-title&gt;Educational Media International&lt;/secondary-title&gt;&lt;/titles&gt;&lt;periodical&gt;&lt;full-title&gt;Educational Media International&lt;/full-title&gt;&lt;/periodical&gt;&lt;pages&gt;77-82&lt;/pages&gt;&lt;volume&gt;38&lt;/volume&gt;&lt;number&gt;2-3&lt;/number&gt;&lt;dates&gt;&lt;year&gt;2001&lt;/year&gt;&lt;/dates&gt;&lt;publisher&gt;Taylor &amp;amp; Francis&lt;/publisher&gt;&lt;urls&gt;&lt;/urls&gt;&lt;/record&gt;&lt;/Cite&gt;&lt;Cite&gt;&lt;Author&gt;Labuhn&lt;/Author&gt;&lt;Year&gt;2010&lt;/Year&gt;&lt;RecNum&gt;139&lt;/RecNum&gt;&lt;record&gt;&lt;rec-number&gt;139&lt;/rec-number&gt;&lt;foreign-keys&gt;&lt;key app="EN" db-id="xa2r2ewea92trkef5dt5arvbzafvpv2za5ft" timestamp="1442161764"&gt;139&lt;/key&gt;&lt;/foreign-keys&gt;&lt;ref-type name="Journal Article"&gt;17&lt;/ref-type&gt;&lt;contributors&gt;&lt;authors&gt;&lt;author&gt;Labuhn, Andju Sara&lt;/author&gt;&lt;author&gt;Zimmerman, Barry J.&lt;/author&gt;&lt;author&gt;Hasselhorn, Marcus&lt;/author&gt;&lt;/authors&gt;&lt;/contributors&gt;&lt;titles&gt;&lt;title&gt;Enhancing students’ self-regulation and mathematics performance: the influence of feedback and self-evaluative standards&lt;/title&gt;&lt;secondary-title&gt;Metacognition and Learning&lt;/secondary-title&gt;&lt;/titles&gt;&lt;periodical&gt;&lt;full-title&gt;Metacognition and Learning&lt;/full-title&gt;&lt;/periodical&gt;&lt;pages&gt;173-194&lt;/pages&gt;&lt;volume&gt;5&lt;/volume&gt;&lt;number&gt;2&lt;/number&gt;&lt;dates&gt;&lt;year&gt;2010&lt;/year&gt;&lt;/dates&gt;&lt;publisher&gt;Springer&lt;/publisher&gt;&lt;urls&gt;&lt;/urls&gt;&lt;/record&gt;&lt;/Cite&gt;&lt;/EndNote&gt;</w:instrText>
      </w:r>
      <w:r w:rsidR="000B53B0" w:rsidRPr="003726FE">
        <w:rPr>
          <w:lang w:val="en-GB"/>
        </w:rPr>
        <w:fldChar w:fldCharType="separate"/>
      </w:r>
      <w:r w:rsidR="004E5A78" w:rsidRPr="003726FE">
        <w:rPr>
          <w:noProof/>
          <w:lang w:val="en-GB"/>
        </w:rPr>
        <w:t>(</w:t>
      </w:r>
      <w:hyperlink w:anchor="_ENREF_225" w:tooltip="Kramarski, 2001 #414" w:history="1">
        <w:r w:rsidR="0094469E" w:rsidRPr="003726FE">
          <w:rPr>
            <w:noProof/>
            <w:lang w:val="en-GB"/>
          </w:rPr>
          <w:t>Kramarski and Zeichner 2001</w:t>
        </w:r>
      </w:hyperlink>
      <w:r w:rsidR="004E5A78" w:rsidRPr="003726FE">
        <w:rPr>
          <w:noProof/>
          <w:lang w:val="en-GB"/>
        </w:rPr>
        <w:t xml:space="preserve">; </w:t>
      </w:r>
      <w:hyperlink w:anchor="_ENREF_232" w:tooltip="Labuhn, 2010 #139" w:history="1">
        <w:r w:rsidR="0094469E" w:rsidRPr="003726FE">
          <w:rPr>
            <w:noProof/>
            <w:lang w:val="en-GB"/>
          </w:rPr>
          <w:t>Labuhn et al. 2010</w:t>
        </w:r>
      </w:hyperlink>
      <w:r w:rsidR="004E5A78" w:rsidRPr="003726FE">
        <w:rPr>
          <w:noProof/>
          <w:lang w:val="en-GB"/>
        </w:rPr>
        <w:t>)</w:t>
      </w:r>
      <w:r w:rsidR="000B53B0" w:rsidRPr="003726FE">
        <w:rPr>
          <w:lang w:val="en-GB"/>
        </w:rPr>
        <w:fldChar w:fldCharType="end"/>
      </w:r>
      <w:r w:rsidR="00AA7B7E" w:rsidRPr="003726FE">
        <w:rPr>
          <w:lang w:val="en-GB"/>
        </w:rPr>
        <w:t xml:space="preserve"> and education </w:t>
      </w:r>
      <w:r w:rsidR="00EF281A" w:rsidRPr="003726FE">
        <w:rPr>
          <w:lang w:val="en-GB"/>
        </w:rPr>
        <w:fldChar w:fldCharType="begin"/>
      </w:r>
      <w:r w:rsidR="008B61BE">
        <w:rPr>
          <w:lang w:val="en-GB"/>
        </w:rPr>
        <w:instrText xml:space="preserve"> ADDIN EN.CITE &lt;EndNote&gt;&lt;Cite&gt;&lt;Author&gt;Soederberg Miller&lt;/Author&gt;&lt;Year&gt;2009&lt;/Year&gt;&lt;RecNum&gt;241&lt;/RecNum&gt;&lt;DisplayText&gt;(Soederberg Miller and West 2009)&lt;/DisplayText&gt;&lt;record&gt;&lt;rec-number&gt;241&lt;/rec-number&gt;&lt;foreign-keys&gt;&lt;key app="EN" db-id="xa2r2ewea92trkef5dt5arvbzafvpv2za5ft" timestamp="1442161766"&gt;241&lt;/key&gt;&lt;/foreign-keys&gt;&lt;ref-type name="Journal Article"&gt;17&lt;/ref-type&gt;&lt;contributors&gt;&lt;authors&gt;&lt;author&gt;Soederberg Miller, Lisa M.&lt;/author&gt;&lt;author&gt;West, Robin L.&lt;/author&gt;&lt;/authors&gt;&lt;/contributors&gt;&lt;titles&gt;&lt;title&gt;The effects of age, control beliefs, and feedback on self-regulation of reading and problem solving&lt;/title&gt;&lt;secondary-title&gt;Experimental aging research&lt;/secondary-title&gt;&lt;/titles&gt;&lt;periodical&gt;&lt;full-title&gt;Experimental aging research&lt;/full-title&gt;&lt;/periodical&gt;&lt;pages&gt;40-63&lt;/pages&gt;&lt;volume&gt;36&lt;/volume&gt;&lt;number&gt;1&lt;/number&gt;&lt;dates&gt;&lt;year&gt;2009&lt;/year&gt;&lt;/dates&gt;&lt;publisher&gt;Taylor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390" w:tooltip="Soederberg Miller, 2009 #511" w:history="1">
        <w:r w:rsidR="0094469E" w:rsidRPr="003726FE">
          <w:rPr>
            <w:noProof/>
            <w:lang w:val="en-GB"/>
          </w:rPr>
          <w:t>Soederberg Miller and West 2009</w:t>
        </w:r>
      </w:hyperlink>
      <w:r w:rsidR="004E5A78" w:rsidRPr="003726FE">
        <w:rPr>
          <w:noProof/>
          <w:lang w:val="en-GB"/>
        </w:rPr>
        <w:t>)</w:t>
      </w:r>
      <w:r w:rsidR="00EF281A" w:rsidRPr="003726FE">
        <w:rPr>
          <w:lang w:val="en-GB"/>
        </w:rPr>
        <w:fldChar w:fldCharType="end"/>
      </w:r>
      <w:r w:rsidR="000B53B0" w:rsidRPr="003726FE">
        <w:rPr>
          <w:lang w:val="en-GB"/>
        </w:rPr>
        <w:t>.</w:t>
      </w:r>
      <w:r w:rsidR="00AA7B7E" w:rsidRPr="003726FE">
        <w:rPr>
          <w:lang w:val="en-GB"/>
        </w:rPr>
        <w:t xml:space="preserve"> </w:t>
      </w:r>
    </w:p>
    <w:p w14:paraId="6215C649" w14:textId="77777777" w:rsidR="00DF0BE7" w:rsidRPr="003726FE" w:rsidRDefault="00DF0BE7" w:rsidP="00026049">
      <w:pPr>
        <w:pStyle w:val="Normal1"/>
        <w:rPr>
          <w:lang w:val="en-GB"/>
        </w:rPr>
      </w:pPr>
    </w:p>
    <w:p w14:paraId="4206F705" w14:textId="11B0FA0F" w:rsidR="00555B76" w:rsidRPr="003726FE" w:rsidRDefault="00555B76" w:rsidP="00026049">
      <w:pPr>
        <w:pStyle w:val="Normal1"/>
        <w:rPr>
          <w:lang w:val="en-GB"/>
        </w:rPr>
      </w:pPr>
      <w:r w:rsidRPr="003726FE">
        <w:rPr>
          <w:lang w:val="en-GB"/>
        </w:rPr>
        <w:t xml:space="preserve">Zimmerman’s model is </w:t>
      </w:r>
      <w:r w:rsidR="004F6256" w:rsidRPr="003726FE">
        <w:rPr>
          <w:lang w:val="en-GB"/>
        </w:rPr>
        <w:t xml:space="preserve">multi-phase in that there are several </w:t>
      </w:r>
      <w:r w:rsidRPr="003726FE">
        <w:rPr>
          <w:lang w:val="en-GB"/>
        </w:rPr>
        <w:t>defined elements of SRL that are temporal in nature</w:t>
      </w:r>
      <w:r w:rsidR="004F6256" w:rsidRPr="003726FE">
        <w:rPr>
          <w:lang w:val="en-GB"/>
        </w:rPr>
        <w:t xml:space="preserve"> and feed into each other</w:t>
      </w:r>
      <w:r w:rsidRPr="003726FE">
        <w:rPr>
          <w:lang w:val="en-GB"/>
        </w:rPr>
        <w:t xml:space="preserve"> (pre-performance, during, and post-performance)</w:t>
      </w:r>
      <w:r w:rsidR="004F6256" w:rsidRPr="003726FE">
        <w:rPr>
          <w:lang w:val="en-GB"/>
        </w:rPr>
        <w:t xml:space="preserve">. A multiphase </w:t>
      </w:r>
      <w:r w:rsidR="00ED711A">
        <w:rPr>
          <w:lang w:val="en-GB"/>
        </w:rPr>
        <w:t>method</w:t>
      </w:r>
      <w:r w:rsidR="004F6256" w:rsidRPr="003726FE">
        <w:rPr>
          <w:lang w:val="en-GB"/>
        </w:rPr>
        <w:t xml:space="preserve"> was used in this study aiming to </w:t>
      </w:r>
      <w:r w:rsidR="00761422" w:rsidRPr="003726FE">
        <w:rPr>
          <w:lang w:val="en-GB"/>
        </w:rPr>
        <w:t>empower</w:t>
      </w:r>
      <w:r w:rsidR="004F6256" w:rsidRPr="003726FE">
        <w:rPr>
          <w:lang w:val="en-GB"/>
        </w:rPr>
        <w:t xml:space="preserve"> students’ SRL, this multiphase approach has led to improvements in SRL, motivation, and achievement in other contexts</w:t>
      </w:r>
      <w:r w:rsidR="000A58AA" w:rsidRPr="003726FE">
        <w:rPr>
          <w:lang w:val="en-GB"/>
        </w:rPr>
        <w:t xml:space="preserve"> compared to single phase approaches</w:t>
      </w:r>
      <w:r w:rsidR="004F6256" w:rsidRPr="003726FE">
        <w:rPr>
          <w:lang w:val="en-GB"/>
        </w:rPr>
        <w:t xml:space="preserve"> </w:t>
      </w:r>
      <w:r w:rsidR="004F6256" w:rsidRPr="003726FE">
        <w:rPr>
          <w:lang w:val="en-GB"/>
        </w:rPr>
        <w:fldChar w:fldCharType="begin">
          <w:fldData xml:space="preserve">PEVuZE5vdGU+PENpdGU+PEF1dGhvcj5DbGVhcnk8L0F1dGhvcj48WWVhcj4yMDA2PC9ZZWFyPjxS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</w:fldData>
        </w:fldChar>
      </w:r>
      <w:r w:rsidR="008B61BE">
        <w:rPr>
          <w:lang w:val="en-GB"/>
        </w:rPr>
        <w:instrText xml:space="preserve"> ADDIN EN.CITE </w:instrText>
      </w:r>
      <w:r w:rsidR="008B61BE">
        <w:rPr>
          <w:lang w:val="en-GB"/>
        </w:rPr>
        <w:fldChar w:fldCharType="begin">
          <w:fldData xml:space="preserve">PEVuZE5vdGU+PENpdGU+PEF1dGhvcj5DbGVhcnk8L0F1dGhvcj48WWVhcj4yMDA2PC9ZZWFyPjxS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4F6256" w:rsidRPr="003726FE">
        <w:rPr>
          <w:lang w:val="en-GB"/>
        </w:rPr>
      </w:r>
      <w:r w:rsidR="004F6256" w:rsidRPr="003726FE">
        <w:rPr>
          <w:lang w:val="en-GB"/>
        </w:rPr>
        <w:fldChar w:fldCharType="separate"/>
      </w:r>
      <w:r w:rsidR="004E5A78" w:rsidRPr="003726FE">
        <w:rPr>
          <w:noProof/>
          <w:lang w:val="en-GB"/>
        </w:rPr>
        <w:t>(</w:t>
      </w:r>
      <w:hyperlink w:anchor="_ENREF_371" w:tooltip="Schunk, 1993 #656" w:history="1">
        <w:r w:rsidR="0094469E" w:rsidRPr="003726FE">
          <w:rPr>
            <w:noProof/>
            <w:lang w:val="en-GB"/>
          </w:rPr>
          <w:t>Schunk and Swartz 1993</w:t>
        </w:r>
      </w:hyperlink>
      <w:r w:rsidR="004E5A78" w:rsidRPr="003726FE">
        <w:rPr>
          <w:noProof/>
          <w:lang w:val="en-GB"/>
        </w:rPr>
        <w:t xml:space="preserve">; </w:t>
      </w:r>
      <w:hyperlink w:anchor="_ENREF_459" w:tooltip="Zimmerman, 1997 #657" w:history="1">
        <w:r w:rsidR="0094469E" w:rsidRPr="003726FE">
          <w:rPr>
            <w:noProof/>
            <w:lang w:val="en-GB"/>
          </w:rPr>
          <w:t>Zimmerman and Kitsantas 1997</w:t>
        </w:r>
      </w:hyperlink>
      <w:r w:rsidR="004E5A78" w:rsidRPr="003726FE">
        <w:rPr>
          <w:noProof/>
          <w:lang w:val="en-GB"/>
        </w:rPr>
        <w:t xml:space="preserve">; </w:t>
      </w:r>
      <w:hyperlink w:anchor="_ENREF_369" w:tooltip="Schunk, 1999 #658" w:history="1">
        <w:r w:rsidR="0094469E" w:rsidRPr="003726FE">
          <w:rPr>
            <w:noProof/>
            <w:lang w:val="en-GB"/>
          </w:rPr>
          <w:t>Schunk and Ertmer 1999</w:t>
        </w:r>
      </w:hyperlink>
      <w:r w:rsidR="004E5A78" w:rsidRPr="003726FE">
        <w:rPr>
          <w:noProof/>
          <w:lang w:val="en-GB"/>
        </w:rPr>
        <w:t xml:space="preserve">; </w:t>
      </w:r>
      <w:hyperlink w:anchor="_ENREF_93" w:tooltip="Cleary, 2006 #44" w:history="1">
        <w:r w:rsidR="0094469E" w:rsidRPr="003726FE">
          <w:rPr>
            <w:noProof/>
            <w:lang w:val="en-GB"/>
          </w:rPr>
          <w:t>Cleary et al. 2006</w:t>
        </w:r>
      </w:hyperlink>
      <w:r w:rsidR="004E5A78" w:rsidRPr="003726FE">
        <w:rPr>
          <w:noProof/>
          <w:lang w:val="en-GB"/>
        </w:rPr>
        <w:t>)</w:t>
      </w:r>
      <w:r w:rsidR="004F6256" w:rsidRPr="003726FE">
        <w:rPr>
          <w:lang w:val="en-GB"/>
        </w:rPr>
        <w:fldChar w:fldCharType="end"/>
      </w:r>
      <w:r w:rsidR="000A58AA" w:rsidRPr="003726FE">
        <w:rPr>
          <w:lang w:val="en-GB"/>
        </w:rPr>
        <w:t xml:space="preserve">. This is perhaps due to the cyclical model allowing for reflective change based upon information collected in earlier phases informing subsequent attempts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004F6256" w:rsidRPr="003726FE">
        <w:rPr>
          <w:lang w:val="en-GB"/>
        </w:rPr>
        <w:t xml:space="preserve"> For this study, adopting this perspective mean</w:t>
      </w:r>
      <w:r w:rsidR="00107905">
        <w:rPr>
          <w:lang w:val="en-GB"/>
        </w:rPr>
        <w:t>t</w:t>
      </w:r>
      <w:r w:rsidR="004F6256" w:rsidRPr="003726FE">
        <w:rPr>
          <w:lang w:val="en-GB"/>
        </w:rPr>
        <w:t xml:space="preserve"> that each phase </w:t>
      </w:r>
      <w:r w:rsidR="00761422" w:rsidRPr="003726FE">
        <w:rPr>
          <w:lang w:val="en-GB"/>
        </w:rPr>
        <w:t>was</w:t>
      </w:r>
      <w:r w:rsidR="004F6256" w:rsidRPr="003726FE">
        <w:rPr>
          <w:lang w:val="en-GB"/>
        </w:rPr>
        <w:t xml:space="preserve"> studied both independently and as part of overall SRL behaviours in terms of what impacts upon them, as is explored qualitatively in Chapter C2. </w:t>
      </w:r>
    </w:p>
    <w:p w14:paraId="23510F92" w14:textId="77777777" w:rsidR="000A58AA" w:rsidRPr="003726FE" w:rsidRDefault="000A58AA" w:rsidP="00026049">
      <w:pPr>
        <w:pStyle w:val="Normal1"/>
        <w:rPr>
          <w:lang w:val="en-GB"/>
        </w:rPr>
      </w:pPr>
    </w:p>
    <w:p w14:paraId="5B2AC3E3" w14:textId="25EB049C" w:rsidR="00A62D19" w:rsidRPr="003726FE" w:rsidRDefault="00A62D19" w:rsidP="00BA4521">
      <w:pPr>
        <w:pStyle w:val="Heading3"/>
      </w:pPr>
      <w:bookmarkStart w:id="130" w:name="_Toc500319320"/>
      <w:r w:rsidRPr="003726FE">
        <w:t>A1.2.5 Assessing SRL</w:t>
      </w:r>
      <w:bookmarkEnd w:id="130"/>
    </w:p>
    <w:p w14:paraId="2BCF9104" w14:textId="77777777" w:rsidR="003B44AF" w:rsidRPr="003726FE" w:rsidRDefault="003B44AF" w:rsidP="00026049">
      <w:pPr>
        <w:pStyle w:val="Normal1"/>
        <w:rPr>
          <w:lang w:val="en-GB"/>
        </w:rPr>
      </w:pPr>
    </w:p>
    <w:p w14:paraId="29C3A518" w14:textId="5F57936A" w:rsidR="00934AB0" w:rsidRPr="003726FE" w:rsidRDefault="00934AB0" w:rsidP="00026049">
      <w:pPr>
        <w:pStyle w:val="Normal1"/>
        <w:rPr>
          <w:rFonts w:cs="Times New Roman"/>
          <w:color w:val="000000" w:themeColor="text1"/>
          <w:shd w:val="clear" w:color="auto" w:fill="FFFFFF"/>
          <w:lang w:val="en-GB"/>
        </w:rPr>
      </w:pPr>
      <w:r w:rsidRPr="003726FE">
        <w:rPr>
          <w:lang w:val="en-GB"/>
        </w:rPr>
        <w:t>Assessment and feedback is critical in identifying students</w:t>
      </w:r>
      <w:r w:rsidR="00107905">
        <w:rPr>
          <w:lang w:val="en-GB"/>
        </w:rPr>
        <w:t>’</w:t>
      </w:r>
      <w:r w:rsidRPr="003726FE">
        <w:rPr>
          <w:lang w:val="en-GB"/>
        </w:rPr>
        <w:t xml:space="preserve"> SRL support needs, informing both the development of appropriate learning skills for advancing health education and the acquisition of relevant knowledge and skills to deliver effective future medical practice. </w:t>
      </w:r>
      <w:r w:rsidR="00002D08" w:rsidRPr="003726FE">
        <w:rPr>
          <w:rFonts w:cs="Times New Roman"/>
          <w:lang w:val="en-GB"/>
        </w:rPr>
        <w:t>Those wishing to assess SRL in practice and research have an extensive toolkit of subjective and objective measurement tools to choose from</w:t>
      </w:r>
      <w:r w:rsidR="00002D08" w:rsidRPr="003726FE">
        <w:rPr>
          <w:rFonts w:cs="Times New Roman"/>
          <w:color w:val="000000" w:themeColor="text1"/>
          <w:shd w:val="clear" w:color="auto" w:fill="FFFFFF"/>
          <w:lang w:val="en-GB"/>
        </w:rPr>
        <w:t xml:space="preserve">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&lt;EndNote&gt;&lt;Cite&gt;&lt;Author&gt;Zimmerman&lt;/Author&gt;&lt;Year&gt;2011&lt;/Year&gt;&lt;RecNum&gt;282&lt;/RecNum&gt;&lt;DisplayText&gt;(Zimmerman and Schunk 2011)&lt;/DisplayText&gt;&lt;record&gt;&lt;rec-number&gt;282&lt;/rec-number&gt;&lt;foreign-keys&gt;&lt;key app="EN" db-id="xa2r2ewea92trkef5dt5arvbzafvpv2za5ft" timestamp="1442161766"&gt;282&lt;/key&gt;&lt;/foreign-keys&gt;&lt;ref-type name="Book"&gt;6&lt;/ref-type&gt;&lt;contributors&gt;&lt;authors&gt;&lt;author&gt;Zimmerman, Barry J.&lt;/author&gt;&lt;author&gt;Schunk, Dale H.&lt;/author&gt;&lt;/authors&gt;&lt;/contributors&gt;&lt;titles&gt;&lt;title&gt;Handbook of self-regulation of learning and performance&lt;/title&gt;&lt;/titles&gt;&lt;number&gt;Book, Whole&lt;/number&gt;&lt;dates&gt;&lt;year&gt;2011&lt;/year&gt;&lt;/dates&gt;&lt;publisher&gt;Taylor &amp;amp; Francis&lt;/publisher&gt;&lt;urls&gt;&lt;/urls&gt;&lt;/record&gt;&lt;/Cite&gt;&lt;/EndNote&gt;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466" w:tooltip="Zimmerman, 2011 #282" w:history="1">
        <w:r w:rsidR="0094469E" w:rsidRPr="003726FE">
          <w:rPr>
            <w:rFonts w:cs="Times New Roman"/>
            <w:noProof/>
            <w:color w:val="000000" w:themeColor="text1"/>
            <w:shd w:val="clear" w:color="auto" w:fill="FFFFFF"/>
            <w:lang w:val="en-GB"/>
          </w:rPr>
          <w:t>Zimmerman and Schunk 2011</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 These include</w:t>
      </w:r>
      <w:r w:rsidR="00761422" w:rsidRPr="003726FE">
        <w:rPr>
          <w:rFonts w:cs="Times New Roman"/>
          <w:color w:val="000000" w:themeColor="text1"/>
          <w:shd w:val="clear" w:color="auto" w:fill="FFFFFF"/>
          <w:lang w:val="en-GB"/>
        </w:rPr>
        <w:t>:</w:t>
      </w:r>
      <w:r w:rsidR="00002D08" w:rsidRPr="003726FE">
        <w:rPr>
          <w:rFonts w:cs="Times New Roman"/>
          <w:color w:val="000000" w:themeColor="text1"/>
          <w:shd w:val="clear" w:color="auto" w:fill="FFFFFF"/>
          <w:lang w:val="en-GB"/>
        </w:rPr>
        <w:t xml:space="preserve"> teacher rating scales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&lt;EndNote&gt;&lt;Cite&gt;&lt;Author&gt;Cleary&lt;/Author&gt;&lt;Year&gt;2013&lt;/Year&gt;&lt;RecNum&gt;960&lt;/RecNum&gt;&lt;DisplayText&gt;(Cleary and Callan 2013)&lt;/DisplayText&gt;&lt;record&gt;&lt;rec-number&gt;960&lt;/rec-number&gt;&lt;foreign-keys&gt;&lt;key app="EN" db-id="xa2r2ewea92trkef5dt5arvbzafvpv2za5ft" timestamp="1501167122"&gt;960&lt;/key&gt;&lt;/foreign-keys&gt;&lt;ref-type name="Journal Article"&gt;17&lt;/ref-type&gt;&lt;contributors&gt;&lt;authors&gt;&lt;author&gt;Cleary, Timothy J&lt;/author&gt;&lt;author&gt;Callan, Gregory L&lt;/author&gt;&lt;/authors&gt;&lt;/contributors&gt;&lt;titles&gt;&lt;title&gt;Student self-regulated learning in an urban high school: Predictive validity and relations between teacher ratings and student self-reports&lt;/title&gt;&lt;secondary-title&gt;Journal of Psychoeducational Assessment&lt;/secondary-title&gt;&lt;/titles&gt;&lt;periodical&gt;&lt;full-title&gt;Journal of Psychoeducational Assessment&lt;/full-title&gt;&lt;/periodical&gt;&lt;pages&gt;0734282913507653&lt;/pages&gt;&lt;dates&gt;&lt;year&gt;2013&lt;/year&gt;&lt;/dates&gt;&lt;isbn&gt;0734-2829&lt;/isbn&gt;&lt;urls&gt;&lt;/urls&gt;&lt;/record&gt;&lt;/Cite&gt;&lt;/EndNote&gt;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81" w:tooltip="Cleary, 2013 #960" w:history="1">
        <w:r w:rsidR="0094469E" w:rsidRPr="003726FE">
          <w:rPr>
            <w:rFonts w:cs="Times New Roman"/>
            <w:noProof/>
            <w:color w:val="000000" w:themeColor="text1"/>
            <w:shd w:val="clear" w:color="auto" w:fill="FFFFFF"/>
            <w:lang w:val="en-GB"/>
          </w:rPr>
          <w:t>Cleary and Callan 2013</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 xml:space="preserve">, think-aloud protocols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&lt;EndNote&gt;&lt;Cite&gt;&lt;Author&gt;Azevedo&lt;/Author&gt;&lt;Year&gt;2007&lt;/Year&gt;&lt;RecNum&gt;961&lt;/RecNum&gt;&lt;DisplayText&gt;(Azevedo et al. 2007)&lt;/DisplayText&gt;&lt;record&gt;&lt;rec-number&gt;961&lt;/rec-number&gt;&lt;foreign-keys&gt;&lt;key app="EN" db-id="xa2r2ewea92trkef5dt5arvbzafvpv2za5ft" timestamp="1501167122"&gt;961&lt;/key&gt;&lt;/foreign-keys&gt;&lt;ref-type name="Journal Article"&gt;17&lt;/ref-type&gt;&lt;contributors&gt;&lt;authors&gt;&lt;author&gt;Azevedo, Roger&lt;/author&gt;&lt;author&gt;Greene, Jeffrey A&lt;/author&gt;&lt;author&gt;Moos, Daniel C&lt;/author&gt;&lt;/authors&gt;&lt;/contributors&gt;&lt;titles&gt;&lt;title&gt;The effect of a human agent’s external regulation upon college students’ hypermedia learning&lt;/title&gt;&lt;secondary-title&gt;Metacognition and learning&lt;/secondary-title&gt;&lt;/titles&gt;&lt;periodical&gt;&lt;full-title&gt;Metacognition and Learning&lt;/full-title&gt;&lt;/periodical&gt;&lt;pages&gt;67-87&lt;/pages&gt;&lt;volume&gt;2&lt;/volume&gt;&lt;number&gt;2-3&lt;/number&gt;&lt;dates&gt;&lt;year&gt;2007&lt;/year&gt;&lt;/dates&gt;&lt;isbn&gt;1556-1623&lt;/isbn&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11" w:tooltip="Azevedo, 2007 #961" w:history="1">
        <w:r w:rsidR="0094469E" w:rsidRPr="003726FE">
          <w:rPr>
            <w:rFonts w:cs="Times New Roman"/>
            <w:noProof/>
            <w:color w:val="000000" w:themeColor="text1"/>
            <w:shd w:val="clear" w:color="auto" w:fill="FFFFFF"/>
            <w:lang w:val="en-GB"/>
          </w:rPr>
          <w:t>Azevedo et al. 2007</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 xml:space="preserve">, SRL </w:t>
      </w:r>
      <w:r w:rsidR="00D7663D" w:rsidRPr="003726FE">
        <w:rPr>
          <w:rFonts w:cs="Times New Roman"/>
          <w:color w:val="000000" w:themeColor="text1"/>
          <w:shd w:val="clear" w:color="auto" w:fill="FFFFFF"/>
          <w:lang w:val="en-GB"/>
        </w:rPr>
        <w:t>Micro</w:t>
      </w:r>
      <w:r w:rsidR="00107905">
        <w:rPr>
          <w:rFonts w:cs="Times New Roman"/>
          <w:color w:val="000000" w:themeColor="text1"/>
          <w:shd w:val="clear" w:color="auto" w:fill="FFFFFF"/>
          <w:lang w:val="en-GB"/>
        </w:rPr>
        <w:t>A</w:t>
      </w:r>
      <w:r w:rsidR="00D7663D" w:rsidRPr="003726FE">
        <w:rPr>
          <w:rFonts w:cs="Times New Roman"/>
          <w:color w:val="000000" w:themeColor="text1"/>
          <w:shd w:val="clear" w:color="auto" w:fill="FFFFFF"/>
          <w:lang w:val="en-GB"/>
        </w:rPr>
        <w:t>nalysis</w:t>
      </w:r>
      <w:r w:rsidR="00D323B4" w:rsidRPr="003726FE">
        <w:rPr>
          <w:rFonts w:cs="Times New Roman"/>
          <w:color w:val="000000" w:themeColor="text1"/>
          <w:shd w:val="clear" w:color="auto" w:fill="FFFFFF"/>
          <w:lang w:val="en-GB"/>
        </w:rPr>
        <w:t xml:space="preserve"> (SRL MA)</w:t>
      </w:r>
      <w:r w:rsidR="00002D08" w:rsidRPr="003726FE">
        <w:rPr>
          <w:rFonts w:cs="Times New Roman"/>
          <w:color w:val="000000" w:themeColor="text1"/>
          <w:shd w:val="clear" w:color="auto" w:fill="FFFFFF"/>
          <w:lang w:val="en-GB"/>
        </w:rPr>
        <w:t xml:space="preserve">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&lt;EndNote&gt;&lt;Cite&gt;&lt;Author&gt;Cleary&lt;/Author&gt;&lt;Year&gt;2014&lt;/Year&gt;&lt;RecNum&gt;36&lt;/RecNum&gt;&lt;DisplayText&gt;(Cleary et al. 2014)&lt;/DisplayText&gt;&lt;record&gt;&lt;rec-number&gt;36&lt;/rec-number&gt;&lt;foreign-keys&gt;&lt;key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85" w:tooltip="Cleary, 2014 #36" w:history="1">
        <w:r w:rsidR="0094469E" w:rsidRPr="003726FE">
          <w:rPr>
            <w:rFonts w:cs="Times New Roman"/>
            <w:noProof/>
            <w:color w:val="000000" w:themeColor="text1"/>
            <w:shd w:val="clear" w:color="auto" w:fill="FFFFFF"/>
            <w:lang w:val="en-GB"/>
          </w:rPr>
          <w:t>Cleary et al. 2014</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 xml:space="preserve">, and online trace logs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&lt;EndNote&gt;&lt;Cite&gt;&lt;Author&gt;Perry&lt;/Author&gt;&lt;Year&gt;2006&lt;/Year&gt;&lt;RecNum&gt;962&lt;/RecNum&gt;&lt;DisplayText&gt;(Perry and Winne 2006)&lt;/DisplayText&gt;&lt;record&gt;&lt;rec-number&gt;962&lt;/rec-number&gt;&lt;foreign-keys&gt;&lt;key app="EN" db-id="xa2r2ewea92trkef5dt5arvbzafvpv2za5ft" timestamp="1501167122"&gt;962&lt;/key&gt;&lt;/foreign-keys&gt;&lt;ref-type name="Journal Article"&gt;17&lt;/ref-type&gt;&lt;contributors&gt;&lt;authors&gt;&lt;author&gt;Perry, Nancy E&lt;/author&gt;&lt;author&gt;Winne, Philip H&lt;/author&gt;&lt;/authors&gt;&lt;/contributors&gt;&lt;titles&gt;&lt;title&gt;Learning from learning kits: gStudy traces of students’ self-regulated engagements with computerized content&lt;/title&gt;&lt;secondary-title&gt;Educational Psychology Review&lt;/secondary-title&gt;&lt;/titles&gt;&lt;periodical&gt;&lt;full-title&gt;Educational Psychology Review&lt;/full-title&gt;&lt;/periodical&gt;&lt;pages&gt;211-228&lt;/pages&gt;&lt;volume&gt;18&lt;/volume&gt;&lt;number&gt;3&lt;/number&gt;&lt;dates&gt;&lt;year&gt;2006&lt;/year&gt;&lt;/dates&gt;&lt;isbn&gt;1040-726X&lt;/isbn&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322" w:tooltip="Perry, 2006 #962" w:history="1">
        <w:r w:rsidR="0094469E" w:rsidRPr="003726FE">
          <w:rPr>
            <w:rFonts w:cs="Times New Roman"/>
            <w:noProof/>
            <w:color w:val="000000" w:themeColor="text1"/>
            <w:shd w:val="clear" w:color="auto" w:fill="FFFFFF"/>
            <w:lang w:val="en-GB"/>
          </w:rPr>
          <w:t>Perry and Winne 2006</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w:t>
      </w:r>
      <w:r w:rsidRPr="003726FE">
        <w:rPr>
          <w:rFonts w:cs="Times New Roman"/>
          <w:color w:val="000000" w:themeColor="text1"/>
          <w:shd w:val="clear" w:color="auto" w:fill="FFFFFF"/>
          <w:lang w:val="en-GB"/>
        </w:rPr>
        <w:t xml:space="preserve"> The most heavily used method</w:t>
      </w:r>
      <w:r w:rsidR="0021380B" w:rsidRPr="003726FE">
        <w:rPr>
          <w:rFonts w:cs="Times New Roman"/>
          <w:color w:val="000000" w:themeColor="text1"/>
          <w:shd w:val="clear" w:color="auto" w:fill="FFFFFF"/>
          <w:lang w:val="en-GB"/>
        </w:rPr>
        <w:t>s</w:t>
      </w:r>
      <w:r w:rsidRPr="003726FE">
        <w:rPr>
          <w:rFonts w:cs="Times New Roman"/>
          <w:color w:val="000000" w:themeColor="text1"/>
          <w:shd w:val="clear" w:color="auto" w:fill="FFFFFF"/>
          <w:lang w:val="en-GB"/>
        </w:rPr>
        <w:t xml:space="preserve"> are</w:t>
      </w:r>
      <w:r w:rsidR="00002D08" w:rsidRPr="003726FE">
        <w:rPr>
          <w:rFonts w:cs="Times New Roman"/>
          <w:color w:val="000000" w:themeColor="text1"/>
          <w:shd w:val="clear" w:color="auto" w:fill="FFFFFF"/>
          <w:lang w:val="en-GB"/>
        </w:rPr>
        <w:t xml:space="preserve"> the self-report questionnaire</w:t>
      </w:r>
      <w:r w:rsidRPr="003726FE">
        <w:rPr>
          <w:rFonts w:cs="Times New Roman"/>
          <w:color w:val="000000" w:themeColor="text1"/>
          <w:shd w:val="clear" w:color="auto" w:fill="FFFFFF"/>
          <w:lang w:val="en-GB"/>
        </w:rPr>
        <w:t xml:space="preserve"> and SRL </w:t>
      </w:r>
      <w:r w:rsidR="007040AC" w:rsidRPr="003726FE">
        <w:rPr>
          <w:rFonts w:cs="Times New Roman"/>
          <w:color w:val="000000" w:themeColor="text1"/>
          <w:shd w:val="clear" w:color="auto" w:fill="FFFFFF"/>
          <w:lang w:val="en-GB"/>
        </w:rPr>
        <w:t>MA</w:t>
      </w:r>
      <w:r w:rsidR="00002D08" w:rsidRPr="003726FE">
        <w:rPr>
          <w:rFonts w:cs="Times New Roman"/>
          <w:color w:val="000000" w:themeColor="text1"/>
          <w:shd w:val="clear" w:color="auto" w:fill="FFFFFF"/>
          <w:lang w:val="en-GB"/>
        </w:rPr>
        <w:t xml:space="preserve"> </w:t>
      </w:r>
      <w:r w:rsidR="00EF281A" w:rsidRPr="003726FE">
        <w:rPr>
          <w:rFonts w:cs="Times New Roman"/>
          <w:color w:val="000000" w:themeColor="text1"/>
          <w:shd w:val="clear" w:color="auto" w:fill="FFFFFF"/>
          <w:lang w:val="en-GB"/>
        </w:rPr>
        <w:fldChar w:fldCharType="begin">
          <w:fldData xml:space="preserve">PEVuZE5vdGU+PENpdGU+PEF1dGhvcj5HYWdub248L0F1dGhvcj48WWVhcj4yMDE2PC9ZZWFyPjxS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</w:fldData>
        </w:fldChar>
      </w:r>
      <w:r w:rsidR="008B61BE">
        <w:rPr>
          <w:rFonts w:cs="Times New Roman"/>
          <w:color w:val="000000" w:themeColor="text1"/>
          <w:shd w:val="clear" w:color="auto" w:fill="FFFFFF"/>
          <w:lang w:val="en-GB"/>
        </w:rPr>
        <w:instrText xml:space="preserve"> ADDIN EN.CITE </w:instrText>
      </w:r>
      <w:r w:rsidR="008B61BE">
        <w:rPr>
          <w:rFonts w:cs="Times New Roman"/>
          <w:color w:val="000000" w:themeColor="text1"/>
          <w:shd w:val="clear" w:color="auto" w:fill="FFFFFF"/>
          <w:lang w:val="en-GB"/>
        </w:rPr>
        <w:fldChar w:fldCharType="begin">
          <w:fldData xml:space="preserve">PEVuZE5vdGU+PENpdGU+PEF1dGhvcj5HYWdub248L0F1dGhvcj48WWVhcj4yMDE2PC9ZZWFyPjxS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</w:fldData>
        </w:fldChar>
      </w:r>
      <w:r w:rsidR="008B61BE">
        <w:rPr>
          <w:rFonts w:cs="Times New Roman"/>
          <w:color w:val="000000" w:themeColor="text1"/>
          <w:shd w:val="clear" w:color="auto" w:fill="FFFFFF"/>
          <w:lang w:val="en-GB"/>
        </w:rPr>
        <w:instrText xml:space="preserve"> ADDIN EN.CITE.DATA </w:instrText>
      </w:r>
      <w:r w:rsidR="008B61BE">
        <w:rPr>
          <w:rFonts w:cs="Times New Roman"/>
          <w:color w:val="000000" w:themeColor="text1"/>
          <w:shd w:val="clear" w:color="auto" w:fill="FFFFFF"/>
          <w:lang w:val="en-GB"/>
        </w:rPr>
      </w:r>
      <w:r w:rsidR="008B61BE">
        <w:rPr>
          <w:rFonts w:cs="Times New Roman"/>
          <w:color w:val="000000" w:themeColor="text1"/>
          <w:shd w:val="clear" w:color="auto" w:fill="FFFFFF"/>
          <w:lang w:val="en-GB"/>
        </w:rPr>
        <w:fldChar w:fldCharType="end"/>
      </w:r>
      <w:r w:rsidR="00EF281A" w:rsidRPr="003726FE">
        <w:rPr>
          <w:rFonts w:cs="Times New Roman"/>
          <w:color w:val="000000" w:themeColor="text1"/>
          <w:shd w:val="clear" w:color="auto" w:fill="FFFFFF"/>
          <w:lang w:val="en-GB"/>
        </w:rPr>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324" w:tooltip="Pintrich, 1991 #201" w:history="1">
        <w:r w:rsidR="0094469E" w:rsidRPr="003726FE">
          <w:rPr>
            <w:rFonts w:cs="Times New Roman"/>
            <w:noProof/>
            <w:color w:val="000000" w:themeColor="text1"/>
            <w:shd w:val="clear" w:color="auto" w:fill="FFFFFF"/>
            <w:lang w:val="en-GB"/>
          </w:rPr>
          <w:t>Pintrich 1991</w:t>
        </w:r>
      </w:hyperlink>
      <w:r w:rsidR="004E5A78" w:rsidRPr="003726FE">
        <w:rPr>
          <w:rFonts w:cs="Times New Roman"/>
          <w:noProof/>
          <w:color w:val="000000" w:themeColor="text1"/>
          <w:shd w:val="clear" w:color="auto" w:fill="FFFFFF"/>
          <w:lang w:val="en-GB"/>
        </w:rPr>
        <w:t xml:space="preserve">; </w:t>
      </w:r>
      <w:hyperlink w:anchor="_ENREF_79" w:tooltip="Cleary, 2009 #963" w:history="1">
        <w:r w:rsidR="0094469E" w:rsidRPr="003726FE">
          <w:rPr>
            <w:rFonts w:cs="Times New Roman"/>
            <w:noProof/>
            <w:color w:val="000000" w:themeColor="text1"/>
            <w:shd w:val="clear" w:color="auto" w:fill="FFFFFF"/>
            <w:lang w:val="en-GB"/>
          </w:rPr>
          <w:t>Cleary 2009</w:t>
        </w:r>
      </w:hyperlink>
      <w:r w:rsidR="004E5A78" w:rsidRPr="003726FE">
        <w:rPr>
          <w:rFonts w:cs="Times New Roman"/>
          <w:noProof/>
          <w:color w:val="000000" w:themeColor="text1"/>
          <w:shd w:val="clear" w:color="auto" w:fill="FFFFFF"/>
          <w:lang w:val="en-GB"/>
        </w:rPr>
        <w:t xml:space="preserve">; </w:t>
      </w:r>
      <w:hyperlink w:anchor="_ENREF_156" w:tooltip="Gagnon, 2016 #777" w:history="1">
        <w:r w:rsidR="0094469E" w:rsidRPr="003726FE">
          <w:rPr>
            <w:rFonts w:cs="Times New Roman"/>
            <w:noProof/>
            <w:color w:val="000000" w:themeColor="text1"/>
            <w:shd w:val="clear" w:color="auto" w:fill="FFFFFF"/>
            <w:lang w:val="en-GB"/>
          </w:rPr>
          <w:t>Gagnon et al. 2016</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002D08" w:rsidRPr="003726FE">
        <w:rPr>
          <w:rFonts w:cs="Times New Roman"/>
          <w:color w:val="000000" w:themeColor="text1"/>
          <w:shd w:val="clear" w:color="auto" w:fill="FFFFFF"/>
          <w:lang w:val="en-GB"/>
        </w:rPr>
        <w:t xml:space="preserve">. </w:t>
      </w:r>
    </w:p>
    <w:p w14:paraId="34CBF546" w14:textId="77777777" w:rsidR="00934AB0" w:rsidRPr="003726FE" w:rsidRDefault="00934AB0" w:rsidP="00026049">
      <w:pPr>
        <w:pStyle w:val="Normal1"/>
        <w:rPr>
          <w:shd w:val="clear" w:color="auto" w:fill="FFFFFF"/>
          <w:lang w:val="en-GB"/>
        </w:rPr>
      </w:pPr>
    </w:p>
    <w:p w14:paraId="46FBED04" w14:textId="77777777" w:rsidR="002F655D" w:rsidRDefault="002F655D" w:rsidP="00026049">
      <w:pPr>
        <w:pStyle w:val="Normal1"/>
        <w:rPr>
          <w:shd w:val="clear" w:color="auto" w:fill="FFFFFF"/>
          <w:lang w:val="en-GB"/>
        </w:rPr>
      </w:pPr>
    </w:p>
    <w:p w14:paraId="4B59C800" w14:textId="2EFBAE03" w:rsidR="002F28F4" w:rsidRDefault="00934AB0" w:rsidP="00026049">
      <w:pPr>
        <w:pStyle w:val="Normal1"/>
        <w:rPr>
          <w:lang w:val="en-GB"/>
        </w:rPr>
      </w:pPr>
      <w:r w:rsidRPr="003726FE">
        <w:rPr>
          <w:shd w:val="clear" w:color="auto" w:fill="FFFFFF"/>
          <w:lang w:val="en-GB"/>
        </w:rPr>
        <w:lastRenderedPageBreak/>
        <w:t>The</w:t>
      </w:r>
      <w:r w:rsidR="00002D08" w:rsidRPr="003726FE">
        <w:rPr>
          <w:shd w:val="clear" w:color="auto" w:fill="FFFFFF"/>
          <w:lang w:val="en-GB"/>
        </w:rPr>
        <w:t xml:space="preserve"> popularity</w:t>
      </w:r>
      <w:r w:rsidRPr="003726FE">
        <w:rPr>
          <w:shd w:val="clear" w:color="auto" w:fill="FFFFFF"/>
          <w:lang w:val="en-GB"/>
        </w:rPr>
        <w:t xml:space="preserve"> of questionnaires</w:t>
      </w:r>
      <w:r w:rsidR="0021380B" w:rsidRPr="003726FE">
        <w:rPr>
          <w:shd w:val="clear" w:color="auto" w:fill="FFFFFF"/>
          <w:lang w:val="en-GB"/>
        </w:rPr>
        <w:t xml:space="preserve"> </w:t>
      </w:r>
      <w:r w:rsidR="00761422" w:rsidRPr="003726FE">
        <w:rPr>
          <w:shd w:val="clear" w:color="auto" w:fill="FFFFFF"/>
          <w:lang w:val="en-GB"/>
        </w:rPr>
        <w:t>may</w:t>
      </w:r>
      <w:r w:rsidR="0021380B" w:rsidRPr="003726FE">
        <w:rPr>
          <w:shd w:val="clear" w:color="auto" w:fill="FFFFFF"/>
          <w:lang w:val="en-GB"/>
        </w:rPr>
        <w:t xml:space="preserve"> be</w:t>
      </w:r>
      <w:r w:rsidR="00002D08" w:rsidRPr="003726FE">
        <w:rPr>
          <w:shd w:val="clear" w:color="auto" w:fill="FFFFFF"/>
          <w:lang w:val="en-GB"/>
        </w:rPr>
        <w:t xml:space="preserve"> </w:t>
      </w:r>
      <w:r w:rsidR="00761422" w:rsidRPr="003726FE">
        <w:rPr>
          <w:shd w:val="clear" w:color="auto" w:fill="FFFFFF"/>
          <w:lang w:val="en-GB"/>
        </w:rPr>
        <w:t>linked</w:t>
      </w:r>
      <w:r w:rsidR="00002D08" w:rsidRPr="003726FE">
        <w:rPr>
          <w:shd w:val="clear" w:color="auto" w:fill="FFFFFF"/>
          <w:lang w:val="en-GB"/>
        </w:rPr>
        <w:t xml:space="preserve"> to the</w:t>
      </w:r>
      <w:r w:rsidR="0021380B" w:rsidRPr="003726FE">
        <w:rPr>
          <w:shd w:val="clear" w:color="auto" w:fill="FFFFFF"/>
          <w:lang w:val="en-GB"/>
        </w:rPr>
        <w:t>ir</w:t>
      </w:r>
      <w:r w:rsidR="00002D08" w:rsidRPr="003726FE">
        <w:rPr>
          <w:shd w:val="clear" w:color="auto" w:fill="FFFFFF"/>
          <w:lang w:val="en-GB"/>
        </w:rPr>
        <w:t xml:space="preserve"> ease of repeated use and relatively well-established link to academic success </w:t>
      </w:r>
      <w:r w:rsidR="00002D08" w:rsidRPr="003726FE">
        <w:rPr>
          <w:shd w:val="clear" w:color="auto" w:fill="FFFFFF"/>
          <w:lang w:val="en-GB"/>
        </w:rPr>
        <w:fldChar w:fldCharType="begin"/>
      </w:r>
      <w:r w:rsidR="008B61BE">
        <w:rPr>
          <w:shd w:val="clear" w:color="auto" w:fill="FFFFFF"/>
          <w:lang w:val="en-GB"/>
        </w:rPr>
        <w:instrText xml:space="preserve"> ADDIN EN.CITE &lt;EndNote&gt;&lt;Cite&gt;&lt;Author&gt;Morrison&lt;/Author&gt;&lt;Year&gt;1993&lt;/Year&gt;&lt;RecNum&gt;964&lt;/RecNum&gt;&lt;DisplayText&gt;(Morrison 1993; Cleary and Chen 2009)&lt;/DisplayText&gt;&lt;record&gt;&lt;rec-number&gt;964&lt;/rec-number&gt;&lt;foreign-keys&gt;&lt;key app="EN" db-id="xa2r2ewea92trkef5dt5arvbzafvpv2za5ft" timestamp="1501167122"&gt;964&lt;/key&gt;&lt;/foreign-keys&gt;&lt;ref-type name="Book"&gt;6&lt;/ref-type&gt;&lt;contributors&gt;&lt;authors&gt;&lt;author&gt;Morrison, Keith&lt;/author&gt;&lt;/authors&gt;&lt;/contributors&gt;&lt;titles&gt;&lt;title&gt;Planning and accomplishing school-centred evaluation&lt;/title&gt;&lt;/titles&gt;&lt;dates&gt;&lt;year&gt;1993&lt;/year&gt;&lt;/dates&gt;&lt;publisher&gt;Peter Francis&lt;/publisher&gt;&lt;isbn&gt;1870167279&lt;/isbn&gt;&lt;urls&gt;&lt;/urls&gt;&lt;/record&gt;&lt;/Cite&gt;&lt;Cite&gt;&lt;Author&gt;Cleary&lt;/Author&gt;&lt;Year&gt;2009&lt;/Year&gt;&lt;RecNum&gt;665&lt;/RecNum&gt;&lt;record&gt;&lt;rec-number&gt;665&lt;/rec-number&gt;&lt;foreign-keys&gt;&lt;key app="EN" db-id="xa2r2ewea92trkef5dt5arvbzafvpv2za5ft" timestamp="1496417564"&gt;665&lt;/key&gt;&lt;/foreign-keys&gt;&lt;ref-type name="Journal Article"&gt;17&lt;/ref-type&gt;&lt;contributors&gt;&lt;authors&gt;&lt;author&gt;Cleary, Timothy J&lt;/author&gt;&lt;author&gt;Chen, Peggy P&lt;/author&gt;&lt;/authors&gt;&lt;/contributors&gt;&lt;titles&gt;&lt;title&gt;Self-regulation, motivation, and math achievement in middle school: Variations across grade level and math context&lt;/title&gt;&lt;secondary-title&gt;Journal of school psychology&lt;/secondary-title&gt;&lt;/titles&gt;&lt;periodical&gt;&lt;full-title&gt;Journal of school psychology&lt;/full-title&gt;&lt;/periodical&gt;&lt;pages&gt;291-314&lt;/pages&gt;&lt;volume&gt;47&lt;/volume&gt;&lt;number&gt;5&lt;/number&gt;&lt;dates&gt;&lt;year&gt;2009&lt;/year&gt;&lt;/dates&gt;&lt;isbn&gt;0022-4405&lt;/isbn&gt;&lt;urls&gt;&lt;/urls&gt;&lt;/record&gt;&lt;/Cite&gt;&lt;/EndNote&gt;</w:instrText>
      </w:r>
      <w:r w:rsidR="00002D08" w:rsidRPr="003726FE">
        <w:rPr>
          <w:shd w:val="clear" w:color="auto" w:fill="FFFFFF"/>
          <w:lang w:val="en-GB"/>
        </w:rPr>
        <w:fldChar w:fldCharType="separate"/>
      </w:r>
      <w:r w:rsidR="004E5A78" w:rsidRPr="003726FE">
        <w:rPr>
          <w:noProof/>
          <w:shd w:val="clear" w:color="auto" w:fill="FFFFFF"/>
          <w:lang w:val="en-GB"/>
        </w:rPr>
        <w:t>(</w:t>
      </w:r>
      <w:hyperlink w:anchor="_ENREF_285" w:tooltip="Morrison, 1993 #964" w:history="1">
        <w:r w:rsidR="0094469E" w:rsidRPr="003726FE">
          <w:rPr>
            <w:noProof/>
            <w:shd w:val="clear" w:color="auto" w:fill="FFFFFF"/>
            <w:lang w:val="en-GB"/>
          </w:rPr>
          <w:t>Morrison 1993</w:t>
        </w:r>
      </w:hyperlink>
      <w:r w:rsidR="004E5A78" w:rsidRPr="003726FE">
        <w:rPr>
          <w:noProof/>
          <w:shd w:val="clear" w:color="auto" w:fill="FFFFFF"/>
          <w:lang w:val="en-GB"/>
        </w:rPr>
        <w:t xml:space="preserve">; </w:t>
      </w:r>
      <w:hyperlink w:anchor="_ENREF_84" w:tooltip="Cleary, 2009 #665" w:history="1">
        <w:r w:rsidR="0094469E" w:rsidRPr="003726FE">
          <w:rPr>
            <w:noProof/>
            <w:shd w:val="clear" w:color="auto" w:fill="FFFFFF"/>
            <w:lang w:val="en-GB"/>
          </w:rPr>
          <w:t>Cleary and Chen 2009</w:t>
        </w:r>
      </w:hyperlink>
      <w:r w:rsidR="004E5A78" w:rsidRPr="003726FE">
        <w:rPr>
          <w:noProof/>
          <w:shd w:val="clear" w:color="auto" w:fill="FFFFFF"/>
          <w:lang w:val="en-GB"/>
        </w:rPr>
        <w:t>)</w:t>
      </w:r>
      <w:r w:rsidR="00002D08" w:rsidRPr="003726FE">
        <w:rPr>
          <w:shd w:val="clear" w:color="auto" w:fill="FFFFFF"/>
          <w:lang w:val="en-GB"/>
        </w:rPr>
        <w:fldChar w:fldCharType="end"/>
      </w:r>
      <w:r w:rsidR="00002D08" w:rsidRPr="003726FE">
        <w:rPr>
          <w:shd w:val="clear" w:color="auto" w:fill="FFFFFF"/>
          <w:lang w:val="en-GB"/>
        </w:rPr>
        <w:t xml:space="preserve">. </w:t>
      </w:r>
      <w:r w:rsidR="00002D08" w:rsidRPr="003726FE">
        <w:rPr>
          <w:lang w:val="en-GB"/>
        </w:rPr>
        <w:t xml:space="preserve">However, </w:t>
      </w:r>
      <w:r w:rsidR="00761422" w:rsidRPr="003726FE">
        <w:rPr>
          <w:lang w:val="en-GB"/>
        </w:rPr>
        <w:t>along with most of the above</w:t>
      </w:r>
      <w:r w:rsidR="00002D08" w:rsidRPr="003726FE">
        <w:rPr>
          <w:lang w:val="en-GB"/>
        </w:rPr>
        <w:t xml:space="preserve"> measures</w:t>
      </w:r>
      <w:r w:rsidR="00761422" w:rsidRPr="003726FE">
        <w:rPr>
          <w:lang w:val="en-GB"/>
        </w:rPr>
        <w:t>, questionnaires</w:t>
      </w:r>
      <w:r w:rsidR="00002D08" w:rsidRPr="003726FE">
        <w:rPr>
          <w:lang w:val="en-GB"/>
        </w:rPr>
        <w:t xml:space="preserve"> rely on the individual making an accurate self-assessment of their skills and abilities – proven to be notoriously poor in professions education </w:t>
      </w:r>
      <w:r w:rsidR="00EF281A" w:rsidRPr="003726FE">
        <w:rPr>
          <w:lang w:val="en-GB"/>
        </w:rPr>
        <w:fldChar w:fldCharType="begin"/>
      </w:r>
      <w:r w:rsidR="008B61BE">
        <w:rPr>
          <w:lang w:val="en-GB"/>
        </w:rPr>
        <w:instrText xml:space="preserve"> ADDIN EN.CITE &lt;EndNote&gt;&lt;Cite&gt;&lt;Author&gt;Ward&lt;/Author&gt;&lt;Year&gt;2002&lt;/Year&gt;&lt;RecNum&gt;666&lt;/RecNum&gt;&lt;DisplayText&gt;(Ward et al. 2002)&lt;/DisplayText&gt;&lt;record&gt;&lt;rec-number&gt;666&lt;/rec-number&gt;&lt;foreign-keys&gt;&lt;key app="EN" db-id="xa2r2ewea92trkef5dt5arvbzafvpv2za5ft" timestamp="1496417565"&gt;666&lt;/key&gt;&lt;/foreign-keys&gt;&lt;ref-type name="Journal Article"&gt;17&lt;/ref-type&gt;&lt;contributors&gt;&lt;authors&gt;&lt;author&gt;Ward, Mylène&lt;/author&gt;&lt;author&gt;Gruppen, Larry&lt;/author&gt;&lt;author&gt;Regehr, Glenn&lt;/author&gt;&lt;/authors&gt;&lt;/contributors&gt;&lt;titles&gt;&lt;title&gt;Measuring self-assessment: current state of the art&lt;/title&gt;&lt;secondary-title&gt;Advances in Health Sciences Education&lt;/secondary-title&gt;&lt;/titles&gt;&lt;periodical&gt;&lt;full-title&gt;Advances in Health Sciences Education&lt;/full-title&gt;&lt;/periodical&gt;&lt;pages&gt;63-80&lt;/pages&gt;&lt;volume&gt;7&lt;/volume&gt;&lt;number&gt;1&lt;/number&gt;&lt;dates&gt;&lt;year&gt;2002&lt;/year&gt;&lt;/dates&gt;&lt;isbn&gt;1382-4996&lt;/isbn&gt;&lt;urls&gt;&lt;/urls&gt;&lt;/record&gt;&lt;/Cite&gt;&lt;/EndNote&gt;</w:instrText>
      </w:r>
      <w:r w:rsidR="00EF281A" w:rsidRPr="003726FE">
        <w:rPr>
          <w:lang w:val="en-GB"/>
        </w:rPr>
        <w:fldChar w:fldCharType="separate"/>
      </w:r>
      <w:r w:rsidR="004E5A78" w:rsidRPr="003726FE">
        <w:rPr>
          <w:noProof/>
          <w:lang w:val="en-GB"/>
        </w:rPr>
        <w:t>(</w:t>
      </w:r>
      <w:hyperlink w:anchor="_ENREF_423" w:tooltip="Ward, 2002 #666" w:history="1">
        <w:r w:rsidR="0094469E" w:rsidRPr="003726FE">
          <w:rPr>
            <w:noProof/>
            <w:lang w:val="en-GB"/>
          </w:rPr>
          <w:t>Ward et al. 2002</w:t>
        </w:r>
      </w:hyperlink>
      <w:r w:rsidR="004E5A78" w:rsidRPr="003726FE">
        <w:rPr>
          <w:noProof/>
          <w:lang w:val="en-GB"/>
        </w:rPr>
        <w:t>)</w:t>
      </w:r>
      <w:r w:rsidR="00EF281A" w:rsidRPr="003726FE">
        <w:rPr>
          <w:lang w:val="en-GB"/>
        </w:rPr>
        <w:fldChar w:fldCharType="end"/>
      </w:r>
      <w:r w:rsidR="00002D08" w:rsidRPr="003726FE">
        <w:rPr>
          <w:lang w:val="en-GB"/>
        </w:rPr>
        <w:t xml:space="preserve">. In this regard, </w:t>
      </w:r>
      <w:hyperlink w:anchor="_ENREF_110" w:tooltip="Davis, 2006 #667" w:history="1">
        <w:r w:rsidR="0094469E" w:rsidRPr="003726FE">
          <w:rPr>
            <w:lang w:val="en-GB"/>
          </w:rPr>
          <w:fldChar w:fldCharType="begin"/>
        </w:r>
        <w:r w:rsidR="0094469E">
          <w:rPr>
            <w:lang w:val="en-GB"/>
          </w:rPr>
          <w:instrText xml:space="preserve"> ADDIN EN.CITE &lt;EndNote&gt;&lt;Cite AuthorYear="1"&gt;&lt;Author&gt;Davis&lt;/Author&gt;&lt;Year&gt;2006&lt;/Year&gt;&lt;RecNum&gt;667&lt;/RecNum&gt;&lt;DisplayText&gt;Davis et al. (2006)&lt;/DisplayText&gt;&lt;record&gt;&lt;rec-number&gt;667&lt;/rec-number&gt;&lt;foreign-keys&gt;&lt;key app="EN" db-id="xa2r2ewea92trkef5dt5arvbzafvpv2za5ft" timestamp="1496417565"&gt;667&lt;/key&gt;&lt;/foreign-keys&gt;&lt;ref-type name="Journal Article"&gt;17&lt;/ref-type&gt;&lt;contributors&gt;&lt;authors&gt;&lt;author&gt;Davis, David A&lt;/author&gt;&lt;author&gt;Mazmanian, Paul E&lt;/author&gt;&lt;author&gt;Fordis, Michael&lt;/author&gt;&lt;author&gt;Van Harrison, RTKE&lt;/author&gt;&lt;author&gt;Thorpe, Kevin E&lt;/author&gt;&lt;author&gt;Perrier, Laure&lt;/author&gt;&lt;/authors&gt;&lt;/contributors&gt;&lt;titles&gt;&lt;title&gt;Accuracy of physician self-assessment compared with observed measures of competence: a systematic review&lt;/title&gt;&lt;secondary-title&gt;Jama&lt;/secondary-title&gt;&lt;/titles&gt;&lt;periodical&gt;&lt;full-title&gt;JAMA&lt;/full-title&gt;&lt;/periodical&gt;&lt;pages&gt;1094-1102&lt;/pages&gt;&lt;volume&gt;296&lt;/volume&gt;&lt;number&gt;9&lt;/number&gt;&lt;dates&gt;&lt;year&gt;2006&lt;/year&gt;&lt;/dates&gt;&lt;isbn&gt;0098-7484&lt;/isbn&gt;&lt;urls&gt;&lt;/urls&gt;&lt;/record&gt;&lt;/Cite&gt;&lt;/EndNote&gt;</w:instrText>
        </w:r>
        <w:r w:rsidR="0094469E" w:rsidRPr="003726FE">
          <w:rPr>
            <w:lang w:val="en-GB"/>
          </w:rPr>
          <w:fldChar w:fldCharType="separate"/>
        </w:r>
        <w:r w:rsidR="0094469E" w:rsidRPr="003726FE">
          <w:rPr>
            <w:noProof/>
            <w:lang w:val="en-GB"/>
          </w:rPr>
          <w:t>Davis et al. (2006)</w:t>
        </w:r>
        <w:r w:rsidR="0094469E" w:rsidRPr="003726FE">
          <w:rPr>
            <w:lang w:val="en-GB"/>
          </w:rPr>
          <w:fldChar w:fldCharType="end"/>
        </w:r>
      </w:hyperlink>
      <w:r w:rsidR="00002D08" w:rsidRPr="003726FE">
        <w:rPr>
          <w:lang w:val="en-GB"/>
        </w:rPr>
        <w:t xml:space="preserve"> in their systematic review found that physicians had very limited insight into their own knowledge and skills, despite their critical role in determining effective medical practice and compliance to professional requirements.</w:t>
      </w:r>
      <w:r w:rsidR="00D323B4" w:rsidRPr="003726FE">
        <w:rPr>
          <w:lang w:val="en-GB"/>
        </w:rPr>
        <w:t xml:space="preserve"> </w:t>
      </w:r>
      <w:r w:rsidR="003E3A8C" w:rsidRPr="003726FE">
        <w:rPr>
          <w:lang w:val="en-GB"/>
        </w:rPr>
        <w:t xml:space="preserve">It is important to </w:t>
      </w:r>
      <w:r w:rsidR="00761422" w:rsidRPr="003726FE">
        <w:rPr>
          <w:lang w:val="en-GB"/>
        </w:rPr>
        <w:t>mention</w:t>
      </w:r>
      <w:r w:rsidR="003E3A8C" w:rsidRPr="003726FE">
        <w:rPr>
          <w:lang w:val="en-GB"/>
        </w:rPr>
        <w:t xml:space="preserve"> that questionnaires are usually used to assess SRL more generally across large samples rather than to provide conclusive evidence about </w:t>
      </w:r>
      <w:r w:rsidR="00107905">
        <w:rPr>
          <w:lang w:val="en-GB"/>
        </w:rPr>
        <w:t>specific</w:t>
      </w:r>
      <w:r w:rsidR="003E3A8C" w:rsidRPr="003726FE">
        <w:rPr>
          <w:lang w:val="en-GB"/>
        </w:rPr>
        <w:t xml:space="preserve"> SRL behaviours (Artino Jr et al. 2015). </w:t>
      </w:r>
    </w:p>
    <w:p w14:paraId="0372CCEB" w14:textId="77777777" w:rsidR="002F28F4" w:rsidRDefault="002F28F4" w:rsidP="00026049">
      <w:pPr>
        <w:pStyle w:val="Normal1"/>
        <w:rPr>
          <w:lang w:val="en-GB"/>
        </w:rPr>
      </w:pPr>
    </w:p>
    <w:p w14:paraId="44983BC6" w14:textId="523B1AB6" w:rsidR="00002D08" w:rsidRPr="003726FE" w:rsidRDefault="003E3A8C" w:rsidP="00026049">
      <w:pPr>
        <w:pStyle w:val="Normal1"/>
        <w:rPr>
          <w:lang w:val="en-GB"/>
        </w:rPr>
      </w:pPr>
      <w:r w:rsidRPr="003726FE">
        <w:rPr>
          <w:lang w:val="en-GB"/>
        </w:rPr>
        <w:t>T</w:t>
      </w:r>
      <w:r w:rsidR="00D323B4" w:rsidRPr="003726FE">
        <w:rPr>
          <w:lang w:val="en-GB"/>
        </w:rPr>
        <w:t xml:space="preserve">here is an increasing number of researchers </w:t>
      </w:r>
      <w:r w:rsidR="00107905">
        <w:rPr>
          <w:lang w:val="en-GB"/>
        </w:rPr>
        <w:t xml:space="preserve">who </w:t>
      </w:r>
      <w:r w:rsidR="00DA1B37" w:rsidRPr="003726FE">
        <w:rPr>
          <w:lang w:val="en-GB"/>
        </w:rPr>
        <w:t>recommend that SRL should be</w:t>
      </w:r>
      <w:r w:rsidR="00D323B4" w:rsidRPr="003726FE">
        <w:rPr>
          <w:lang w:val="en-GB"/>
        </w:rPr>
        <w:t xml:space="preserve"> measured using multiple assessment methods. </w:t>
      </w:r>
      <w:hyperlink w:anchor="_ENREF_82" w:tooltip="Cleary, 2015 #668" w:history="1">
        <w:r w:rsidR="0094469E" w:rsidRPr="003726FE">
          <w:rPr>
            <w:lang w:val="en-GB"/>
          </w:rPr>
          <w:fldChar w:fldCharType="begin"/>
        </w:r>
        <w:r w:rsidR="0094469E">
          <w:rPr>
            <w:lang w:val="en-GB"/>
          </w:rPr>
          <w:instrText xml:space="preserve"> ADDIN EN.CITE &lt;EndNote&gt;&lt;Cite AuthorYear="1"&gt;&lt;Author&gt;Cleary&lt;/Author&gt;&lt;Year&gt;2015&lt;/Year&gt;&lt;RecNum&gt;668&lt;/RecNum&gt;&lt;DisplayText&gt;Cleary et al. (2015)&lt;/DisplayText&gt;&lt;record&gt;&lt;rec-number&gt;668&lt;/rec-number&gt;&lt;foreign-keys&gt;&lt;key app="EN" db-id="xa2r2ewea92trkef5dt5arvbzafvpv2za5ft" timestamp="1496417565"&gt;668&lt;/key&gt;&lt;/foreign-keys&gt;&lt;ref-type name="Journal Article"&gt;17&lt;/ref-type&gt;&lt;contributors&gt;&lt;authors&gt;&lt;author&gt;Cleary, Timothy J&lt;/author&gt;&lt;author&gt;Callan, Gregory L&lt;/author&gt;&lt;author&gt;Malatesta, Jaime&lt;/author&gt;&lt;author&gt;Adams, Tanya&lt;/author&gt;&lt;/authors&gt;&lt;/contributors&gt;&lt;titles&gt;&lt;title&gt;Examining the level of convergence among self-regulated learning microanalytic processes, achievement, and a self-report questionnaire&lt;/title&gt;&lt;secondary-title&gt;Journal of Psychoeducational Assessment&lt;/secondary-title&gt;&lt;/titles&gt;&lt;periodical&gt;&lt;full-title&gt;Journal of Psychoeducational Assessment&lt;/full-title&gt;&lt;/periodical&gt;&lt;pages&gt;439-450&lt;/pages&gt;&lt;volume&gt;33&lt;/volume&gt;&lt;number&gt;5&lt;/number&gt;&lt;dates&gt;&lt;year&gt;2015&lt;/year&gt;&lt;/dates&gt;&lt;isbn&gt;0734-2829&lt;/isbn&gt;&lt;urls&gt;&lt;/urls&gt;&lt;/record&gt;&lt;/Cite&gt;&lt;/EndNote&gt;</w:instrText>
        </w:r>
        <w:r w:rsidR="0094469E" w:rsidRPr="003726FE">
          <w:rPr>
            <w:lang w:val="en-GB"/>
          </w:rPr>
          <w:fldChar w:fldCharType="separate"/>
        </w:r>
        <w:r w:rsidR="0094469E" w:rsidRPr="003726FE">
          <w:rPr>
            <w:noProof/>
            <w:lang w:val="en-GB"/>
          </w:rPr>
          <w:t>Cleary et al. (2015)</w:t>
        </w:r>
        <w:r w:rsidR="0094469E" w:rsidRPr="003726FE">
          <w:rPr>
            <w:lang w:val="en-GB"/>
          </w:rPr>
          <w:fldChar w:fldCharType="end"/>
        </w:r>
      </w:hyperlink>
      <w:r w:rsidR="00437DF2" w:rsidRPr="003726FE">
        <w:rPr>
          <w:lang w:val="en-GB"/>
        </w:rPr>
        <w:t xml:space="preserve"> </w:t>
      </w:r>
      <w:r w:rsidR="00D323B4" w:rsidRPr="003726FE">
        <w:rPr>
          <w:lang w:val="en-GB"/>
        </w:rPr>
        <w:t xml:space="preserve">examined the convergence between SRL </w:t>
      </w:r>
      <w:r w:rsidR="007040AC" w:rsidRPr="003726FE">
        <w:rPr>
          <w:lang w:val="en-GB"/>
        </w:rPr>
        <w:t>MA</w:t>
      </w:r>
      <w:r w:rsidR="00D323B4" w:rsidRPr="003726FE">
        <w:rPr>
          <w:lang w:val="en-GB"/>
        </w:rPr>
        <w:t>, a self-report question</w:t>
      </w:r>
      <w:r w:rsidR="00437DF2" w:rsidRPr="003726FE">
        <w:rPr>
          <w:lang w:val="en-GB"/>
        </w:rPr>
        <w:t>naire, and achievement measures. T</w:t>
      </w:r>
      <w:r w:rsidR="00D323B4" w:rsidRPr="003726FE">
        <w:rPr>
          <w:lang w:val="en-GB"/>
        </w:rPr>
        <w:t>here was a significant convergence between SRL MA and self-efficacy and achievement but not with self-report measures.</w:t>
      </w:r>
      <w:r w:rsidRPr="003726FE">
        <w:rPr>
          <w:lang w:val="en-GB"/>
        </w:rPr>
        <w:t xml:space="preserve"> </w:t>
      </w:r>
      <w:r w:rsidR="00D323B4" w:rsidRPr="003726FE">
        <w:rPr>
          <w:lang w:val="en-GB"/>
        </w:rPr>
        <w:t xml:space="preserve">In the present study, SRL MA </w:t>
      </w:r>
      <w:r w:rsidR="00437DF2" w:rsidRPr="003726FE">
        <w:rPr>
          <w:lang w:val="en-GB"/>
        </w:rPr>
        <w:t>wa</w:t>
      </w:r>
      <w:r w:rsidR="00D323B4" w:rsidRPr="003726FE">
        <w:rPr>
          <w:lang w:val="en-GB"/>
        </w:rPr>
        <w:t xml:space="preserve">s not used </w:t>
      </w:r>
      <w:r w:rsidR="003D7A25">
        <w:rPr>
          <w:lang w:val="en-GB"/>
        </w:rPr>
        <w:t>to provide generalisable results</w:t>
      </w:r>
      <w:r w:rsidRPr="003726FE">
        <w:rPr>
          <w:lang w:val="en-GB"/>
        </w:rPr>
        <w:t xml:space="preserve"> but</w:t>
      </w:r>
      <w:r w:rsidR="00D323B4" w:rsidRPr="003726FE">
        <w:rPr>
          <w:lang w:val="en-GB"/>
        </w:rPr>
        <w:t xml:space="preserve"> as a way to gather information for SRL feedback, self-report measures </w:t>
      </w:r>
      <w:r w:rsidR="00437DF2" w:rsidRPr="003726FE">
        <w:rPr>
          <w:lang w:val="en-GB"/>
        </w:rPr>
        <w:t>we</w:t>
      </w:r>
      <w:r w:rsidR="00D323B4" w:rsidRPr="003726FE">
        <w:rPr>
          <w:lang w:val="en-GB"/>
        </w:rPr>
        <w:t xml:space="preserve">re used to assess SRL across time points and to </w:t>
      </w:r>
      <w:r w:rsidR="00DA1B37" w:rsidRPr="003726FE">
        <w:rPr>
          <w:lang w:val="en-GB"/>
        </w:rPr>
        <w:t xml:space="preserve">provide sampling criteria for interviews and focus groups. </w:t>
      </w:r>
      <w:r w:rsidR="000A27D4" w:rsidRPr="003726FE">
        <w:rPr>
          <w:lang w:val="en-GB"/>
        </w:rPr>
        <w:t>T</w:t>
      </w:r>
      <w:r w:rsidR="00DA1B37" w:rsidRPr="003726FE">
        <w:rPr>
          <w:lang w:val="en-GB"/>
        </w:rPr>
        <w:t xml:space="preserve">he goal of SRL </w:t>
      </w:r>
      <w:r w:rsidR="00437DF2" w:rsidRPr="003726FE">
        <w:rPr>
          <w:lang w:val="en-GB"/>
        </w:rPr>
        <w:t>assessment</w:t>
      </w:r>
      <w:r w:rsidR="00DA1B37" w:rsidRPr="003726FE">
        <w:rPr>
          <w:lang w:val="en-GB"/>
        </w:rPr>
        <w:t xml:space="preserve"> was not convergence but to indicate how students’ SRL capacity scores, impacted upon by the different feedback methods, influenced their actual learning behaviours </w:t>
      </w:r>
      <w:r w:rsidR="00437DF2" w:rsidRPr="003726FE">
        <w:rPr>
          <w:lang w:val="en-GB"/>
        </w:rPr>
        <w:t>as they transferred into</w:t>
      </w:r>
      <w:r w:rsidR="00DA1B37" w:rsidRPr="003726FE">
        <w:rPr>
          <w:lang w:val="en-GB"/>
        </w:rPr>
        <w:t xml:space="preserve"> clinical placements.</w:t>
      </w:r>
    </w:p>
    <w:p w14:paraId="1091CDFE" w14:textId="77777777" w:rsidR="00002D08" w:rsidRPr="003726FE" w:rsidRDefault="00002D08" w:rsidP="00026049">
      <w:pPr>
        <w:pStyle w:val="Normal1"/>
        <w:rPr>
          <w:lang w:val="en-GB"/>
        </w:rPr>
      </w:pPr>
    </w:p>
    <w:p w14:paraId="066E2DB1" w14:textId="414807DB" w:rsidR="001243FB" w:rsidRPr="003726FE" w:rsidRDefault="00492E67" w:rsidP="00026049">
      <w:pPr>
        <w:pStyle w:val="Normal1"/>
        <w:rPr>
          <w:lang w:val="en-GB"/>
        </w:rPr>
      </w:pPr>
      <w:r w:rsidRPr="003726FE">
        <w:rPr>
          <w:lang w:val="en-GB"/>
        </w:rPr>
        <w:t>Validated</w:t>
      </w:r>
      <w:r w:rsidR="001243FB" w:rsidRPr="003726FE">
        <w:rPr>
          <w:lang w:val="en-GB"/>
        </w:rPr>
        <w:t xml:space="preserve"> self-report questionnair</w:t>
      </w:r>
      <w:r w:rsidRPr="003726FE">
        <w:rPr>
          <w:lang w:val="en-GB"/>
        </w:rPr>
        <w:t>e tools measuring</w:t>
      </w:r>
      <w:r w:rsidR="001243FB" w:rsidRPr="003726FE">
        <w:rPr>
          <w:lang w:val="en-GB"/>
        </w:rPr>
        <w:t xml:space="preserve"> SRL that have been used most commonly in the literat</w:t>
      </w:r>
      <w:r w:rsidR="00437DF2" w:rsidRPr="003726FE">
        <w:rPr>
          <w:lang w:val="en-GB"/>
        </w:rPr>
        <w:t>ure include</w:t>
      </w:r>
      <w:r w:rsidR="001243FB" w:rsidRPr="003726FE">
        <w:rPr>
          <w:lang w:val="en-GB"/>
        </w:rPr>
        <w:t xml:space="preserve"> the Motivated Strategies for</w:t>
      </w:r>
      <w:r w:rsidR="007F16F2" w:rsidRPr="003726FE">
        <w:rPr>
          <w:lang w:val="en-GB"/>
        </w:rPr>
        <w:t xml:space="preserve"> Learning Questionnaire (MSLQ) </w:t>
      </w:r>
      <w:r w:rsidRPr="003726FE">
        <w:rPr>
          <w:lang w:val="en-GB"/>
        </w:rPr>
        <w:t>and the Short Self-Regulation Questionnaire (SSRQ)</w:t>
      </w:r>
      <w:r w:rsidR="009A64EA" w:rsidRPr="003726FE">
        <w:rPr>
          <w:lang w:val="en-GB"/>
        </w:rPr>
        <w:t xml:space="preserve"> </w:t>
      </w:r>
      <w:r w:rsidR="009A64EA" w:rsidRPr="003726FE">
        <w:rPr>
          <w:lang w:val="en-GB"/>
        </w:rPr>
        <w:fldChar w:fldCharType="begin"/>
      </w:r>
      <w:r w:rsidR="008B61BE">
        <w:rPr>
          <w:lang w:val="en-GB"/>
        </w:rPr>
        <w:instrText xml:space="preserve"> ADDIN EN.CITE &lt;EndNote&gt;&lt;Cite&gt;&lt;Author&gt;Pintrich&lt;/Author&gt;&lt;Year&gt;1993&lt;/Year&gt;&lt;RecNum&gt;669&lt;/RecNum&gt;&lt;DisplayText&gt;(Pintrich et al. 1993; Neal and Carey 2005)&lt;/DisplayText&gt;&lt;record&gt;&lt;rec-number&gt;669&lt;/rec-number&gt;&lt;foreign-keys&gt;&lt;key app="EN" db-id="xa2r2ewea92trkef5dt5arvbzafvpv2za5ft" timestamp="1496417565"&gt;669&lt;/key&gt;&lt;/foreign-keys&gt;&lt;ref-type name="Journal Article"&gt;17&lt;/ref-type&gt;&lt;contributors&gt;&lt;authors&gt;&lt;author&gt;Pintrich, Paul R&lt;/author&gt;&lt;author&gt;Smith, David AF&lt;/author&gt;&lt;author&gt;Garcia, Teresa&lt;/author&gt;&lt;author&gt;McKeachie, Wilbert J&lt;/author&gt;&lt;/authors&gt;&lt;/contributors&gt;&lt;titles&gt;&lt;title&gt;Reliability and predictive validity of the Motivated Strategies for Learning Questionnaire (MSLQ)&lt;/title&gt;&lt;secondary-title&gt;Educational and psychological measurement&lt;/secondary-title&gt;&lt;/titles&gt;&lt;periodical&gt;&lt;full-title&gt;Educational and psychological measurement&lt;/full-title&gt;&lt;/periodical&gt;&lt;pages&gt;801-813&lt;/pages&gt;&lt;volume&gt;53&lt;/volume&gt;&lt;number&gt;3&lt;/number&gt;&lt;dates&gt;&lt;year&gt;1993&lt;/year&gt;&lt;/dates&gt;&lt;isbn&gt;0013-1644&lt;/isbn&gt;&lt;urls&gt;&lt;/urls&gt;&lt;/record&gt;&lt;/Cite&gt;&lt;Cite&gt;&lt;Author&gt;Neal&lt;/Author&gt;&lt;Year&gt;2005&lt;/Year&gt;&lt;RecNum&gt;840&lt;/RecNum&gt;&lt;record&gt;&lt;rec-number&gt;840&lt;/rec-number&gt;&lt;foreign-keys&gt;&lt;key app="EN" db-id="xa2r2ewea92trkef5dt5arvbzafvpv2za5ft" timestamp="1496417598"&gt;840&lt;/key&gt;&lt;/foreign-keys&gt;&lt;ref-type name="Journal Article"&gt;17&lt;/ref-type&gt;&lt;contributors&gt;&lt;authors&gt;&lt;author&gt;Neal, Dan J&lt;/author&gt;&lt;author&gt;Carey, Kate B&lt;/author&gt;&lt;/authors&gt;&lt;/contributors&gt;&lt;titles&gt;&lt;title&gt;A follow-up psychometric analysis of the self-regulation questionnaire&lt;/title&gt;&lt;secondary-title&gt;Psychology of Addictive Behaviors&lt;/secondary-title&gt;&lt;/titles&gt;&lt;periodical&gt;&lt;full-title&gt;Psychology of Addictive Behaviors&lt;/full-title&gt;&lt;/periodical&gt;&lt;pages&gt;414&lt;/pages&gt;&lt;volume&gt;19&lt;/volume&gt;&lt;number&gt;4&lt;/number&gt;&lt;dates&gt;&lt;year&gt;2005&lt;/year&gt;&lt;/dates&gt;&lt;isbn&gt;1939-1501&lt;/isbn&gt;&lt;urls&gt;&lt;/urls&gt;&lt;/record&gt;&lt;/Cite&gt;&lt;/EndNote&gt;</w:instrText>
      </w:r>
      <w:r w:rsidR="009A64EA" w:rsidRPr="003726FE">
        <w:rPr>
          <w:lang w:val="en-GB"/>
        </w:rPr>
        <w:fldChar w:fldCharType="separate"/>
      </w:r>
      <w:r w:rsidR="004E5A78" w:rsidRPr="003726FE">
        <w:rPr>
          <w:noProof/>
          <w:lang w:val="en-GB"/>
        </w:rPr>
        <w:t>(</w:t>
      </w:r>
      <w:hyperlink w:anchor="_ENREF_327" w:tooltip="Pintrich, 1993 #669" w:history="1">
        <w:r w:rsidR="0094469E" w:rsidRPr="003726FE">
          <w:rPr>
            <w:noProof/>
            <w:lang w:val="en-GB"/>
          </w:rPr>
          <w:t>Pintrich et al. 1993</w:t>
        </w:r>
      </w:hyperlink>
      <w:r w:rsidR="004E5A78" w:rsidRPr="003726FE">
        <w:rPr>
          <w:noProof/>
          <w:lang w:val="en-GB"/>
        </w:rPr>
        <w:t xml:space="preserve">; </w:t>
      </w:r>
      <w:hyperlink w:anchor="_ENREF_297" w:tooltip="Neal, 2005 #840" w:history="1">
        <w:r w:rsidR="0094469E" w:rsidRPr="003726FE">
          <w:rPr>
            <w:noProof/>
            <w:lang w:val="en-GB"/>
          </w:rPr>
          <w:t>Neal and Carey 2005</w:t>
        </w:r>
      </w:hyperlink>
      <w:r w:rsidR="004E5A78" w:rsidRPr="003726FE">
        <w:rPr>
          <w:noProof/>
          <w:lang w:val="en-GB"/>
        </w:rPr>
        <w:t>)</w:t>
      </w:r>
      <w:r w:rsidR="009A64EA" w:rsidRPr="003726FE">
        <w:rPr>
          <w:lang w:val="en-GB"/>
        </w:rPr>
        <w:fldChar w:fldCharType="end"/>
      </w:r>
      <w:r w:rsidRPr="003726FE">
        <w:rPr>
          <w:lang w:val="en-GB"/>
        </w:rPr>
        <w:t>.</w:t>
      </w:r>
      <w:r w:rsidR="009A64EA" w:rsidRPr="003726FE">
        <w:rPr>
          <w:lang w:val="en-GB"/>
        </w:rPr>
        <w:t xml:space="preserve"> </w:t>
      </w:r>
      <w:hyperlink w:anchor="_ENREF_75" w:tooltip="Cho, 2017 #670" w:history="1">
        <w:r w:rsidR="0094469E" w:rsidRPr="003726FE">
          <w:rPr>
            <w:lang w:val="en-GB"/>
          </w:rPr>
          <w:fldChar w:fldCharType="begin"/>
        </w:r>
        <w:r w:rsidR="0094469E">
          <w:rPr>
            <w:lang w:val="en-GB"/>
          </w:rPr>
          <w:instrText xml:space="preserve"> ADDIN EN.CITE &lt;EndNote&gt;&lt;Cite AuthorYear="1"&gt;&lt;Author&gt;Cho&lt;/Author&gt;&lt;Year&gt;2017&lt;/Year&gt;&lt;RecNum&gt;670&lt;/RecNum&gt;&lt;DisplayText&gt;Cho et al. (2017)&lt;/DisplayText&gt;&lt;record&gt;&lt;rec-number&gt;670&lt;/rec-number&gt;&lt;foreign-keys&gt;&lt;key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0094469E" w:rsidRPr="003726FE">
          <w:rPr>
            <w:lang w:val="en-GB"/>
          </w:rPr>
          <w:fldChar w:fldCharType="separate"/>
        </w:r>
        <w:r w:rsidR="0094469E" w:rsidRPr="003726FE">
          <w:rPr>
            <w:noProof/>
            <w:lang w:val="en-GB"/>
          </w:rPr>
          <w:t>Cho et al. (2017)</w:t>
        </w:r>
        <w:r w:rsidR="0094469E" w:rsidRPr="003726FE">
          <w:rPr>
            <w:lang w:val="en-GB"/>
          </w:rPr>
          <w:fldChar w:fldCharType="end"/>
        </w:r>
      </w:hyperlink>
      <w:r w:rsidR="009A64EA" w:rsidRPr="003726FE">
        <w:rPr>
          <w:rFonts w:cs="Times New Roman"/>
          <w:color w:val="000000" w:themeColor="text1"/>
          <w:shd w:val="clear" w:color="auto" w:fill="FFFFFF"/>
          <w:lang w:val="en-GB"/>
        </w:rPr>
        <w:t xml:space="preserve"> found a relationship between </w:t>
      </w:r>
      <w:r w:rsidR="009A64EA" w:rsidRPr="003726FE">
        <w:rPr>
          <w:rFonts w:cs="Times New Roman"/>
          <w:lang w:val="en-GB"/>
        </w:rPr>
        <w:t>SRL</w:t>
      </w:r>
      <w:r w:rsidR="009A64EA" w:rsidRPr="003726FE">
        <w:rPr>
          <w:rFonts w:cs="Times New Roman"/>
          <w:color w:val="000000" w:themeColor="text1"/>
          <w:shd w:val="clear" w:color="auto" w:fill="FFFFFF"/>
          <w:lang w:val="en-GB"/>
        </w:rPr>
        <w:t xml:space="preserve"> measured through the MSLQ </w:t>
      </w:r>
      <w:r w:rsidR="00EF281A" w:rsidRPr="003726FE">
        <w:rPr>
          <w:rFonts w:cs="Times New Roman"/>
          <w:color w:val="000000" w:themeColor="text1"/>
          <w:shd w:val="clear" w:color="auto" w:fill="FFFFFF"/>
          <w:lang w:val="en-GB"/>
        </w:rPr>
        <w:fldChar w:fldCharType="begin"/>
      </w:r>
      <w:r w:rsidR="008B61BE">
        <w:rPr>
          <w:rFonts w:cs="Times New Roman"/>
          <w:color w:val="000000" w:themeColor="text1"/>
          <w:shd w:val="clear" w:color="auto" w:fill="FFFFFF"/>
          <w:lang w:val="en-GB"/>
        </w:rPr>
        <w:instrText xml:space="preserve"> ADDIN EN.CITE &lt;EndNote&gt;&lt;Cite&gt;&lt;Author&gt;Pintrich&lt;/Author&gt;&lt;Year&gt;1993&lt;/Year&gt;&lt;RecNum&gt;669&lt;/RecNum&gt;&lt;DisplayText&gt;(Pintrich et al. 1993)&lt;/DisplayText&gt;&lt;record&gt;&lt;rec-number&gt;669&lt;/rec-number&gt;&lt;foreign-keys&gt;&lt;key app="EN" db-id="xa2r2ewea92trkef5dt5arvbzafvpv2za5ft" timestamp="1496417565"&gt;669&lt;/key&gt;&lt;/foreign-keys&gt;&lt;ref-type name="Journal Article"&gt;17&lt;/ref-type&gt;&lt;contributors&gt;&lt;authors&gt;&lt;author&gt;Pintrich, Paul R&lt;/author&gt;&lt;author&gt;Smith, David AF&lt;/author&gt;&lt;author&gt;Garcia, Teresa&lt;/author&gt;&lt;author&gt;McKeachie, Wilbert J&lt;/author&gt;&lt;/authors&gt;&lt;/contributors&gt;&lt;titles&gt;&lt;title&gt;Reliability and predictive validity of the Motivated Strategies for Learning Questionnaire (MSLQ)&lt;/title&gt;&lt;secondary-title&gt;Educational and psychological measurement&lt;/secondary-title&gt;&lt;/titles&gt;&lt;periodical&gt;&lt;full-title&gt;Educational and psychological measurement&lt;/full-title&gt;&lt;/periodical&gt;&lt;pages&gt;801-813&lt;/pages&gt;&lt;volume&gt;53&lt;/volume&gt;&lt;number&gt;3&lt;/number&gt;&lt;dates&gt;&lt;year&gt;1993&lt;/year&gt;&lt;/dates&gt;&lt;isbn&gt;0013-1644&lt;/isbn&gt;&lt;urls&gt;&lt;/urls&gt;&lt;/record&gt;&lt;/Cite&gt;&lt;/EndNote&gt;</w:instrText>
      </w:r>
      <w:r w:rsidR="00EF281A" w:rsidRPr="003726FE">
        <w:rPr>
          <w:rFonts w:cs="Times New Roman"/>
          <w:color w:val="000000" w:themeColor="text1"/>
          <w:shd w:val="clear" w:color="auto" w:fill="FFFFFF"/>
          <w:lang w:val="en-GB"/>
        </w:rPr>
        <w:fldChar w:fldCharType="separate"/>
      </w:r>
      <w:r w:rsidR="004E5A78" w:rsidRPr="003726FE">
        <w:rPr>
          <w:rFonts w:cs="Times New Roman"/>
          <w:noProof/>
          <w:color w:val="000000" w:themeColor="text1"/>
          <w:shd w:val="clear" w:color="auto" w:fill="FFFFFF"/>
          <w:lang w:val="en-GB"/>
        </w:rPr>
        <w:t>(</w:t>
      </w:r>
      <w:hyperlink w:anchor="_ENREF_327" w:tooltip="Pintrich, 1993 #669" w:history="1">
        <w:r w:rsidR="0094469E" w:rsidRPr="003726FE">
          <w:rPr>
            <w:rFonts w:cs="Times New Roman"/>
            <w:noProof/>
            <w:color w:val="000000" w:themeColor="text1"/>
            <w:shd w:val="clear" w:color="auto" w:fill="FFFFFF"/>
            <w:lang w:val="en-GB"/>
          </w:rPr>
          <w:t>Pintrich et al. 1993</w:t>
        </w:r>
      </w:hyperlink>
      <w:r w:rsidR="004E5A78" w:rsidRPr="003726FE">
        <w:rPr>
          <w:rFonts w:cs="Times New Roman"/>
          <w:noProof/>
          <w:color w:val="000000" w:themeColor="text1"/>
          <w:shd w:val="clear" w:color="auto" w:fill="FFFFFF"/>
          <w:lang w:val="en-GB"/>
        </w:rPr>
        <w:t>)</w:t>
      </w:r>
      <w:r w:rsidR="00EF281A" w:rsidRPr="003726FE">
        <w:rPr>
          <w:rFonts w:cs="Times New Roman"/>
          <w:color w:val="000000" w:themeColor="text1"/>
          <w:shd w:val="clear" w:color="auto" w:fill="FFFFFF"/>
          <w:lang w:val="en-GB"/>
        </w:rPr>
        <w:fldChar w:fldCharType="end"/>
      </w:r>
      <w:r w:rsidR="009A64EA" w:rsidRPr="003726FE">
        <w:rPr>
          <w:rFonts w:cs="Times New Roman"/>
          <w:color w:val="000000" w:themeColor="text1"/>
          <w:shd w:val="clear" w:color="auto" w:fill="FFFFFF"/>
          <w:lang w:val="en-GB"/>
        </w:rPr>
        <w:t xml:space="preserve">, academic and clinical success, and life-long learning, in a sample of medical students. However, the MSLQ has not yet been </w:t>
      </w:r>
      <w:r w:rsidR="00CE6BA1" w:rsidRPr="003726FE">
        <w:rPr>
          <w:rFonts w:cs="Times New Roman"/>
          <w:color w:val="000000" w:themeColor="text1"/>
          <w:shd w:val="clear" w:color="auto" w:fill="FFFFFF"/>
          <w:lang w:val="en-GB"/>
        </w:rPr>
        <w:t xml:space="preserve">psychometrically </w:t>
      </w:r>
      <w:r w:rsidR="009A64EA" w:rsidRPr="003726FE">
        <w:rPr>
          <w:rFonts w:cs="Times New Roman"/>
          <w:color w:val="000000" w:themeColor="text1"/>
          <w:shd w:val="clear" w:color="auto" w:fill="FFFFFF"/>
          <w:lang w:val="en-GB"/>
        </w:rPr>
        <w:t xml:space="preserve">validated in </w:t>
      </w:r>
      <w:r w:rsidR="00A65CCA">
        <w:rPr>
          <w:rFonts w:cs="Times New Roman"/>
          <w:color w:val="000000" w:themeColor="text1"/>
          <w:shd w:val="clear" w:color="auto" w:fill="FFFFFF"/>
          <w:lang w:val="en-GB"/>
        </w:rPr>
        <w:t xml:space="preserve">UK </w:t>
      </w:r>
      <w:r w:rsidR="009A64EA" w:rsidRPr="003726FE">
        <w:rPr>
          <w:rFonts w:cs="Times New Roman"/>
          <w:color w:val="000000" w:themeColor="text1"/>
          <w:shd w:val="clear" w:color="auto" w:fill="FFFFFF"/>
          <w:lang w:val="en-GB"/>
        </w:rPr>
        <w:t>medical education contexts and despite being based upon a social cognitive learning theory, it does not cover</w:t>
      </w:r>
      <w:r w:rsidR="00CE6BA1" w:rsidRPr="003726FE">
        <w:rPr>
          <w:rFonts w:cs="Times New Roman"/>
          <w:color w:val="000000" w:themeColor="text1"/>
          <w:shd w:val="clear" w:color="auto" w:fill="FFFFFF"/>
          <w:lang w:val="en-GB"/>
        </w:rPr>
        <w:t xml:space="preserve"> all of the cyclical processes of SRL, </w:t>
      </w:r>
      <w:r w:rsidR="00437DF2" w:rsidRPr="003726FE">
        <w:rPr>
          <w:rFonts w:cs="Times New Roman"/>
          <w:color w:val="000000" w:themeColor="text1"/>
          <w:shd w:val="clear" w:color="auto" w:fill="FFFFFF"/>
          <w:lang w:val="en-GB"/>
        </w:rPr>
        <w:t>focusing instead</w:t>
      </w:r>
      <w:r w:rsidR="00CE6BA1" w:rsidRPr="003726FE">
        <w:rPr>
          <w:rFonts w:cs="Times New Roman"/>
          <w:color w:val="000000" w:themeColor="text1"/>
          <w:shd w:val="clear" w:color="auto" w:fill="FFFFFF"/>
          <w:lang w:val="en-GB"/>
        </w:rPr>
        <w:t xml:space="preserve"> on forethought and performance phases. </w:t>
      </w:r>
    </w:p>
    <w:p w14:paraId="3E34B0C4" w14:textId="77777777" w:rsidR="001243FB" w:rsidRPr="003726FE" w:rsidRDefault="001243FB" w:rsidP="00026049">
      <w:pPr>
        <w:pStyle w:val="Normal1"/>
        <w:rPr>
          <w:lang w:val="en-GB"/>
        </w:rPr>
      </w:pPr>
    </w:p>
    <w:p w14:paraId="49C09E0D" w14:textId="77777777" w:rsidR="002F655D" w:rsidRDefault="002F655D" w:rsidP="00026049">
      <w:pPr>
        <w:pStyle w:val="Normal1"/>
        <w:rPr>
          <w:lang w:val="en-GB"/>
        </w:rPr>
      </w:pPr>
    </w:p>
    <w:p w14:paraId="043C2C10" w14:textId="5DE68C77" w:rsidR="003B44AF" w:rsidRPr="003726FE" w:rsidRDefault="003B44AF" w:rsidP="00026049">
      <w:pPr>
        <w:pStyle w:val="Normal1"/>
        <w:rPr>
          <w:lang w:val="en-GB"/>
        </w:rPr>
      </w:pPr>
      <w:r w:rsidRPr="003726FE">
        <w:rPr>
          <w:lang w:val="en-GB"/>
        </w:rPr>
        <w:lastRenderedPageBreak/>
        <w:t>The Self-Regulation Questionnaire (SRQ) is a tool used to assess SRL in community and educational settings.</w:t>
      </w:r>
      <w:r w:rsidRPr="003726FE">
        <w:rPr>
          <w:shd w:val="clear" w:color="auto" w:fill="FFFFFF"/>
          <w:lang w:val="en-GB"/>
        </w:rPr>
        <w:t xml:space="preserve"> </w:t>
      </w:r>
      <w:r w:rsidRPr="003726FE">
        <w:rPr>
          <w:lang w:val="en-GB"/>
        </w:rPr>
        <w:t xml:space="preserve">This is a 63-item questionnaire developed by </w:t>
      </w:r>
      <w:hyperlink w:anchor="_ENREF_55" w:tooltip="Brown, 1999 #965" w:history="1">
        <w:r w:rsidR="0094469E" w:rsidRPr="003726FE">
          <w:rPr>
            <w:lang w:val="en-GB"/>
          </w:rPr>
          <w:fldChar w:fldCharType="begin"/>
        </w:r>
        <w:r w:rsidR="0094469E">
          <w:rPr>
            <w:lang w:val="en-GB"/>
          </w:rPr>
          <w:instrText xml:space="preserve"> ADDIN EN.CITE &lt;EndNote&gt;&lt;Cite AuthorYear="1"&gt;&lt;Author&gt;Brown&lt;/Author&gt;&lt;Year&gt;1999&lt;/Year&gt;&lt;RecNum&gt;965&lt;/RecNum&gt;&lt;DisplayText&gt;Brown et al. (1999)&lt;/DisplayText&gt;&lt;record&gt;&lt;rec-number&gt;965&lt;/rec-number&gt;&lt;foreign-keys&gt;&lt;key app="EN" db-id="xa2r2ewea92trkef5dt5arvbzafvpv2za5ft" timestamp="1501167122"&gt;965&lt;/key&gt;&lt;/foreign-keys&gt;&lt;ref-type name="Book Section"&gt;5&lt;/ref-type&gt;&lt;contributors&gt;&lt;authors&gt;&lt;author&gt;Brown, J. M.&lt;/author&gt;&lt;author&gt;Miller, W. R.&lt;/author&gt;&lt;author&gt;Lawendowski, L. A.&lt;/author&gt;&lt;/authors&gt;&lt;secondary-authors&gt;&lt;author&gt;L. Vandecreek &amp;amp; T. L. Jackson &lt;/author&gt;&lt;/secondary-authors&gt;&lt;/contributors&gt;&lt;titles&gt;&lt;title&gt;The Self-Regulation Questionnaire.&lt;/title&gt;&lt;secondary-title&gt;Innovations in clinical practice: A source book&lt;/secondary-title&gt;&lt;/titles&gt;&lt;pages&gt;281-292&lt;/pages&gt;&lt;volume&gt;17&lt;/volume&gt;&lt;dates&gt;&lt;year&gt;1999&lt;/year&gt;&lt;/dates&gt;&lt;pub-location&gt;Sarasota, FL&lt;/pub-location&gt;&lt;publisher&gt;Professional Resources Press&lt;/publisher&gt;&lt;urls&gt;&lt;/urls&gt;&lt;/record&gt;&lt;/Cite&gt;&lt;/EndNote&gt;</w:instrText>
        </w:r>
        <w:r w:rsidR="0094469E" w:rsidRPr="003726FE">
          <w:rPr>
            <w:lang w:val="en-GB"/>
          </w:rPr>
          <w:fldChar w:fldCharType="separate"/>
        </w:r>
        <w:r w:rsidR="0094469E">
          <w:rPr>
            <w:noProof/>
            <w:lang w:val="en-GB"/>
          </w:rPr>
          <w:t>Brown et al. (1999)</w:t>
        </w:r>
        <w:r w:rsidR="0094469E" w:rsidRPr="003726FE">
          <w:rPr>
            <w:lang w:val="en-GB"/>
          </w:rPr>
          <w:fldChar w:fldCharType="end"/>
        </w:r>
      </w:hyperlink>
      <w:r w:rsidRPr="003726FE">
        <w:rPr>
          <w:shd w:val="clear" w:color="auto" w:fill="FFFFFF"/>
          <w:lang w:val="en-GB"/>
        </w:rPr>
        <w:t xml:space="preserve"> based upon the seven phase model of </w:t>
      </w:r>
      <w:r w:rsidR="00605E3D">
        <w:rPr>
          <w:shd w:val="clear" w:color="auto" w:fill="FFFFFF"/>
          <w:lang w:val="en-GB"/>
        </w:rPr>
        <w:t>s</w:t>
      </w:r>
      <w:r w:rsidRPr="003726FE">
        <w:rPr>
          <w:shd w:val="clear" w:color="auto" w:fill="FFFFFF"/>
          <w:lang w:val="en-GB"/>
        </w:rPr>
        <w:t>elf-</w:t>
      </w:r>
      <w:r w:rsidR="00605E3D">
        <w:rPr>
          <w:shd w:val="clear" w:color="auto" w:fill="FFFFFF"/>
          <w:lang w:val="en-GB"/>
        </w:rPr>
        <w:t>r</w:t>
      </w:r>
      <w:r w:rsidRPr="003726FE">
        <w:rPr>
          <w:shd w:val="clear" w:color="auto" w:fill="FFFFFF"/>
          <w:lang w:val="en-GB"/>
        </w:rPr>
        <w:t xml:space="preserve">egulation proposed by </w:t>
      </w:r>
      <w:hyperlink w:anchor="_ENREF_278" w:tooltip="Miller, 1991 #966"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AuthorYear="1"&gt;&lt;Author&gt;Miller&lt;/Author&gt;&lt;Year&gt;1991&lt;/Year&gt;&lt;RecNum&gt;966&lt;/RecNum&gt;&lt;DisplayText&gt;Miller and Brown (1991)&lt;/DisplayText&gt;&lt;record&gt;&lt;rec-number&gt;966&lt;/rec-number&gt;&lt;foreign-keys&gt;&lt;key app="EN" db-id="xa2r2ewea92trkef5dt5arvbzafvpv2za5ft" timestamp="1501167122"&gt;966&lt;/key&gt;&lt;/foreign-keys&gt;&lt;ref-type name="Journal Article"&gt;17&lt;/ref-type&gt;&lt;contributors&gt;&lt;authors&gt;&lt;author&gt;Miller, W. R.&lt;/author&gt;&lt;author&gt;Brown, J. M.&lt;/author&gt;&lt;/authors&gt;&lt;/contributors&gt;&lt;titles&gt;&lt;title&gt;Self-regulation as a conceptual basis for the prevention and treatment of addictive behaviours&lt;/title&gt;&lt;secondary-title&gt;Self-control and the addictive behaviours&lt;/secondary-title&gt;&lt;/titles&gt;&lt;periodical&gt;&lt;full-title&gt;Self-control and the addictive behaviours&lt;/full-title&gt;&lt;/periodical&gt;&lt;pages&gt;3-79&lt;/pages&gt;&lt;dates&gt;&lt;year&gt;1991&lt;/year&gt;&lt;/dates&gt;&lt;urls&gt;&lt;/urls&gt;&lt;/record&gt;&lt;/Cite&gt;&lt;/EndNote&gt;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Miller and Brown (1991)</w:t>
        </w:r>
        <w:r w:rsidR="0094469E" w:rsidRPr="003726FE">
          <w:rPr>
            <w:shd w:val="clear" w:color="auto" w:fill="FFFFFF"/>
            <w:lang w:val="en-GB"/>
          </w:rPr>
          <w:fldChar w:fldCharType="end"/>
        </w:r>
      </w:hyperlink>
      <w:r w:rsidRPr="003726FE">
        <w:rPr>
          <w:shd w:val="clear" w:color="auto" w:fill="FFFFFF"/>
          <w:lang w:val="en-GB"/>
        </w:rPr>
        <w:t xml:space="preserve">. Researchers initially found that the SRQ reliably measured </w:t>
      </w:r>
      <w:r w:rsidR="00437DF2" w:rsidRPr="003726FE">
        <w:rPr>
          <w:shd w:val="clear" w:color="auto" w:fill="FFFFFF"/>
          <w:lang w:val="en-GB"/>
        </w:rPr>
        <w:t>self-regulation</w:t>
      </w:r>
      <w:r w:rsidRPr="003726FE">
        <w:rPr>
          <w:shd w:val="clear" w:color="auto" w:fill="FFFFFF"/>
          <w:lang w:val="en-GB"/>
        </w:rPr>
        <w:t>, showing high internal consistency (</w:t>
      </w:r>
      <w:r w:rsidR="00B76881" w:rsidRPr="003726FE">
        <w:rPr>
          <w:lang w:val="en-GB"/>
        </w:rPr>
        <w:t>Cronbach’s Alpha</w:t>
      </w:r>
      <w:r w:rsidR="00B76881" w:rsidRPr="003726FE">
        <w:rPr>
          <w:shd w:val="clear" w:color="auto" w:fill="FFFFFF"/>
          <w:lang w:val="en-GB"/>
        </w:rPr>
        <w:t xml:space="preserve"> </w:t>
      </w:r>
      <w:r w:rsidRPr="003726FE">
        <w:rPr>
          <w:shd w:val="clear" w:color="auto" w:fill="FFFFFF"/>
          <w:lang w:val="en-GB"/>
        </w:rPr>
        <w:t xml:space="preserve">= 0.91) in a sample of community respondents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&lt;EndNote&gt;&lt;Cite&gt;&lt;Author&gt;Umberson&lt;/Author&gt;&lt;Year&gt;1995&lt;/Year&gt;&lt;RecNum&gt;576&lt;/RecNum&gt;&lt;DisplayText&gt;(Umberson 1995)&lt;/DisplayText&gt;&lt;record&gt;&lt;rec-number&gt;576&lt;/rec-number&gt;&lt;foreign-keys&gt;&lt;key app="EN" db-id="xa2r2ewea92trkef5dt5arvbzafvpv2za5ft" timestamp="1496417556"&gt;576&lt;/key&gt;&lt;/foreign-keys&gt;&lt;ref-type name="Journal Article"&gt;17&lt;/ref-type&gt;&lt;contributors&gt;&lt;authors&gt;&lt;author&gt;Umberson, Debra&lt;/author&gt;&lt;/authors&gt;&lt;/contributors&gt;&lt;titles&gt;&lt;title&gt;Marriage as support or strain? Marital quality following the death of a parent&lt;/title&gt;&lt;secondary-title&gt;Journal of Marriage and the Family&lt;/secondary-title&gt;&lt;/titles&gt;&lt;periodical&gt;&lt;full-title&gt;Journal of Marriage and the Family&lt;/full-title&gt;&lt;/periodical&gt;&lt;pages&gt;709-723&lt;/pages&gt;&lt;dates&gt;&lt;year&gt;1995&lt;/year&gt;&lt;/dates&gt;&lt;isbn&gt;0022-2445&lt;/isbn&gt;&lt;urls&gt;&lt;/urls&gt;&lt;/record&gt;&lt;/Cite&gt;&lt;/EndNote&gt;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13" w:tooltip="Umberson, 1995 #576" w:history="1">
        <w:r w:rsidR="0094469E" w:rsidRPr="003726FE">
          <w:rPr>
            <w:noProof/>
            <w:shd w:val="clear" w:color="auto" w:fill="FFFFFF"/>
            <w:lang w:val="en-GB"/>
          </w:rPr>
          <w:t>Umberson 1995</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w:t>
      </w:r>
      <w:hyperlink w:anchor="_ENREF_70" w:tooltip="Carey, 2004 #839" w:history="1">
        <w:r w:rsidR="0094469E" w:rsidRPr="003726FE">
          <w:rPr>
            <w:lang w:val="en-GB"/>
          </w:rPr>
          <w:fldChar w:fldCharType="begin"/>
        </w:r>
        <w:r w:rsidR="0094469E">
          <w:rPr>
            <w:lang w:val="en-GB"/>
          </w:rPr>
          <w:instrText xml:space="preserve"> ADDIN EN.CITE &lt;EndNote&gt;&lt;Cite AuthorYear="1"&gt;&lt;Author&gt;Carey&lt;/Author&gt;&lt;Year&gt;2004&lt;/Year&gt;&lt;RecNum&gt;839&lt;/RecNum&gt;&lt;DisplayText&gt;Carey et al. (2004)&lt;/DisplayText&gt;&lt;record&gt;&lt;rec-number&gt;839&lt;/rec-number&gt;&lt;foreign-keys&gt;&lt;key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EndNote&gt;</w:instrText>
        </w:r>
        <w:r w:rsidR="0094469E" w:rsidRPr="003726FE">
          <w:rPr>
            <w:lang w:val="en-GB"/>
          </w:rPr>
          <w:fldChar w:fldCharType="separate"/>
        </w:r>
        <w:r w:rsidR="0094469E" w:rsidRPr="003726FE">
          <w:rPr>
            <w:noProof/>
            <w:lang w:val="en-GB"/>
          </w:rPr>
          <w:t>Carey et al. (2004)</w:t>
        </w:r>
        <w:r w:rsidR="0094469E" w:rsidRPr="003726FE">
          <w:rPr>
            <w:lang w:val="en-GB"/>
          </w:rPr>
          <w:fldChar w:fldCharType="end"/>
        </w:r>
      </w:hyperlink>
      <w:r w:rsidRPr="003726FE">
        <w:rPr>
          <w:lang w:val="en-GB"/>
        </w:rPr>
        <w:t xml:space="preserve"> further investigated the SRQ’s factor structure and internal consistency. A one-factor solution emerged, retaining 31 of the 63 original items, and showing high internal consistency </w:t>
      </w:r>
      <w:r w:rsidRPr="003726FE">
        <w:rPr>
          <w:shd w:val="clear" w:color="auto" w:fill="FFFFFF"/>
          <w:lang w:val="en-GB"/>
        </w:rPr>
        <w:t>(</w:t>
      </w:r>
      <w:r w:rsidR="00B76881" w:rsidRPr="003726FE">
        <w:rPr>
          <w:lang w:val="en-GB"/>
        </w:rPr>
        <w:t>Cronbach’s Alpha</w:t>
      </w:r>
      <w:r w:rsidRPr="003726FE">
        <w:rPr>
          <w:shd w:val="clear" w:color="auto" w:fill="FFFFFF"/>
          <w:lang w:val="en-GB"/>
        </w:rPr>
        <w:t xml:space="preserve"> = 0.92)</w:t>
      </w:r>
      <w:r w:rsidR="00437DF2" w:rsidRPr="003726FE">
        <w:rPr>
          <w:lang w:val="en-GB"/>
        </w:rPr>
        <w:t>. This S</w:t>
      </w:r>
      <w:r w:rsidRPr="003726FE">
        <w:rPr>
          <w:lang w:val="en-GB"/>
        </w:rPr>
        <w:t xml:space="preserve">hort </w:t>
      </w:r>
      <w:r w:rsidR="00437DF2" w:rsidRPr="003726FE">
        <w:rPr>
          <w:lang w:val="en-GB"/>
        </w:rPr>
        <w:t>Self-Regulation Q</w:t>
      </w:r>
      <w:r w:rsidRPr="003726FE">
        <w:rPr>
          <w:lang w:val="en-GB"/>
        </w:rPr>
        <w:t>uestionnaire</w:t>
      </w:r>
      <w:r w:rsidR="00437DF2" w:rsidRPr="003726FE">
        <w:rPr>
          <w:lang w:val="en-GB"/>
        </w:rPr>
        <w:t xml:space="preserve"> (SSRQ)</w:t>
      </w:r>
      <w:r w:rsidRPr="003726FE">
        <w:rPr>
          <w:lang w:val="en-GB"/>
        </w:rPr>
        <w:t xml:space="preserve"> highly correlated with the original 63-item SRQ (r = 0.96). A follow-up psychometric analysis showed the emergence of two distinct factors, </w:t>
      </w:r>
      <w:r w:rsidR="00437DF2" w:rsidRPr="003726FE">
        <w:rPr>
          <w:lang w:val="en-GB"/>
        </w:rPr>
        <w:t>‘</w:t>
      </w:r>
      <w:r w:rsidRPr="003726FE">
        <w:rPr>
          <w:lang w:val="en-GB"/>
        </w:rPr>
        <w:t>Impulse Control</w:t>
      </w:r>
      <w:r w:rsidR="00437DF2" w:rsidRPr="003726FE">
        <w:rPr>
          <w:lang w:val="en-GB"/>
        </w:rPr>
        <w:t>’</w:t>
      </w:r>
      <w:r w:rsidRPr="003726FE">
        <w:rPr>
          <w:lang w:val="en-GB"/>
        </w:rPr>
        <w:t xml:space="preserve"> and </w:t>
      </w:r>
      <w:r w:rsidR="00437DF2" w:rsidRPr="003726FE">
        <w:rPr>
          <w:lang w:val="en-GB"/>
        </w:rPr>
        <w:t>‘</w:t>
      </w:r>
      <w:r w:rsidRPr="003726FE">
        <w:rPr>
          <w:lang w:val="en-GB"/>
        </w:rPr>
        <w:t>Goal-Setting</w:t>
      </w:r>
      <w:r w:rsidR="00437DF2" w:rsidRPr="003726FE">
        <w:rPr>
          <w:lang w:val="en-GB"/>
        </w:rPr>
        <w:t>’</w:t>
      </w:r>
      <w:r w:rsidRPr="003726FE">
        <w:rPr>
          <w:lang w:val="en-GB"/>
        </w:rPr>
        <w:t xml:space="preserve">, with an overall internal consistency </w:t>
      </w:r>
      <w:r w:rsidR="00437DF2" w:rsidRPr="003726FE">
        <w:rPr>
          <w:shd w:val="clear" w:color="auto" w:fill="FFFFFF"/>
          <w:lang w:val="en-GB"/>
        </w:rPr>
        <w:t xml:space="preserve">of </w:t>
      </w:r>
      <w:r w:rsidR="00B76881" w:rsidRPr="003726FE">
        <w:rPr>
          <w:lang w:val="en-GB"/>
        </w:rPr>
        <w:t>Cronbach’s Alpha</w:t>
      </w:r>
      <w:r w:rsidRPr="003726FE">
        <w:rPr>
          <w:shd w:val="clear" w:color="auto" w:fill="FFFFFF"/>
          <w:lang w:val="en-GB"/>
        </w:rPr>
        <w:t xml:space="preserve"> = 0.86</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&lt;EndNote&gt;&lt;Cite&gt;&lt;Author&gt;Neal&lt;/Author&gt;&lt;Year&gt;2005&lt;/Year&gt;&lt;RecNum&gt;840&lt;/RecNum&gt;&lt;DisplayText&gt;(Neal and Carey 2005)&lt;/DisplayText&gt;&lt;record&gt;&lt;rec-number&gt;840&lt;/rec-number&gt;&lt;foreign-keys&gt;&lt;key app="EN" db-id="xa2r2ewea92trkef5dt5arvbzafvpv2za5ft" timestamp="1496417598"&gt;840&lt;/key&gt;&lt;/foreign-keys&gt;&lt;ref-type name="Journal Article"&gt;17&lt;/ref-type&gt;&lt;contributors&gt;&lt;authors&gt;&lt;author&gt;Neal, Dan J&lt;/author&gt;&lt;author&gt;Carey, Kate B&lt;/author&gt;&lt;/authors&gt;&lt;/contributors&gt;&lt;titles&gt;&lt;title&gt;A follow-up psychometric analysis of the self-regulation questionnaire&lt;/title&gt;&lt;secondary-title&gt;Psychology of Addictive Behaviors&lt;/secondary-title&gt;&lt;/titles&gt;&lt;periodical&gt;&lt;full-title&gt;Psychology of Addictive Behaviors&lt;/full-title&gt;&lt;/periodical&gt;&lt;pages&gt;414&lt;/pages&gt;&lt;volume&gt;19&lt;/volume&gt;&lt;number&gt;4&lt;/number&gt;&lt;dates&gt;&lt;year&gt;2005&lt;/year&gt;&lt;/dates&gt;&lt;isbn&gt;1939-1501&lt;/isbn&gt;&lt;urls&gt;&lt;/urls&gt;&lt;/record&gt;&lt;/Cite&gt;&lt;/EndNote&gt;</w:instrText>
      </w:r>
      <w:r w:rsidR="00EF281A" w:rsidRPr="003726FE">
        <w:rPr>
          <w:lang w:val="en-GB"/>
        </w:rPr>
        <w:fldChar w:fldCharType="separate"/>
      </w:r>
      <w:r w:rsidR="004E5A78" w:rsidRPr="003726FE">
        <w:rPr>
          <w:noProof/>
          <w:lang w:val="en-GB"/>
        </w:rPr>
        <w:t>(</w:t>
      </w:r>
      <w:hyperlink w:anchor="_ENREF_297" w:tooltip="Neal, 2005 #840" w:history="1">
        <w:r w:rsidR="0094469E" w:rsidRPr="003726FE">
          <w:rPr>
            <w:noProof/>
            <w:lang w:val="en-GB"/>
          </w:rPr>
          <w:t>Neal and Carey 2005</w:t>
        </w:r>
      </w:hyperlink>
      <w:r w:rsidR="004E5A78" w:rsidRPr="003726FE">
        <w:rPr>
          <w:noProof/>
          <w:lang w:val="en-GB"/>
        </w:rPr>
        <w:t>)</w:t>
      </w:r>
      <w:r w:rsidR="00EF281A" w:rsidRPr="003726FE">
        <w:rPr>
          <w:lang w:val="en-GB"/>
        </w:rPr>
        <w:fldChar w:fldCharType="end"/>
      </w:r>
      <w:r w:rsidRPr="003726FE">
        <w:rPr>
          <w:lang w:val="en-GB"/>
        </w:rPr>
        <w:t>. This analysis concluded that further research was needed to explore th</w:t>
      </w:r>
      <w:r w:rsidR="009E6D96" w:rsidRPr="003726FE">
        <w:rPr>
          <w:lang w:val="en-GB"/>
        </w:rPr>
        <w:t xml:space="preserve">e factor structure of the SSRQ. </w:t>
      </w:r>
      <w:r w:rsidRPr="003726FE">
        <w:rPr>
          <w:lang w:val="en-GB"/>
        </w:rPr>
        <w:t>The S</w:t>
      </w:r>
      <w:r w:rsidR="00437DF2" w:rsidRPr="003726FE">
        <w:rPr>
          <w:lang w:val="en-GB"/>
        </w:rPr>
        <w:t>S</w:t>
      </w:r>
      <w:r w:rsidRPr="003726FE">
        <w:rPr>
          <w:lang w:val="en-GB"/>
        </w:rPr>
        <w:t>RQ has been used to assess SR</w:t>
      </w:r>
      <w:r w:rsidR="009E6D96" w:rsidRPr="003726FE">
        <w:rPr>
          <w:lang w:val="en-GB"/>
        </w:rPr>
        <w:t>L</w:t>
      </w:r>
      <w:r w:rsidRPr="003726FE">
        <w:rPr>
          <w:lang w:val="en-GB"/>
        </w:rPr>
        <w:t xml:space="preserve"> behaviour in the disciplines of psychology, sociology, and education. </w:t>
      </w:r>
      <w:r w:rsidR="00EF281A" w:rsidRPr="003726FE">
        <w:rPr>
          <w:lang w:val="en-GB"/>
        </w:rPr>
        <w:fldChar w:fldCharType="begin">
          <w:fldData xml:space="preserve">PEVuZE5vdGU+PENpdGU+PEF1dGhvcj5VbWJlcnNvbjwvQXV0aG9yPjxZZWFyPjE5OTU8L1llYXI+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==
</w:fldData>
        </w:fldChar>
      </w:r>
      <w:r w:rsidR="008B61BE">
        <w:rPr>
          <w:lang w:val="en-GB"/>
        </w:rPr>
        <w:instrText xml:space="preserve"> ADDIN EN.CITE </w:instrText>
      </w:r>
      <w:r w:rsidR="008B61BE">
        <w:rPr>
          <w:lang w:val="en-GB"/>
        </w:rPr>
        <w:fldChar w:fldCharType="begin">
          <w:fldData xml:space="preserve">PEVuZE5vdGU+PENpdGU+PEF1dGhvcj5VbWJlcnNvbjwvQXV0aG9yPjxZZWFyPjE5OTU8L1llYXI+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==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413" w:tooltip="Umberson, 1995 #576" w:history="1">
        <w:r w:rsidR="0094469E" w:rsidRPr="003726FE">
          <w:rPr>
            <w:noProof/>
            <w:lang w:val="en-GB"/>
          </w:rPr>
          <w:t>Umberson 1995</w:t>
        </w:r>
      </w:hyperlink>
      <w:r w:rsidR="004E5A78" w:rsidRPr="003726FE">
        <w:rPr>
          <w:noProof/>
          <w:lang w:val="en-GB"/>
        </w:rPr>
        <w:t xml:space="preserve">; </w:t>
      </w:r>
      <w:hyperlink w:anchor="_ENREF_335" w:tooltip="Prince, 2005 #680" w:history="1">
        <w:r w:rsidR="0094469E" w:rsidRPr="003726FE">
          <w:rPr>
            <w:noProof/>
            <w:lang w:val="en-GB"/>
          </w:rPr>
          <w:t>Prince et al. 2005</w:t>
        </w:r>
      </w:hyperlink>
      <w:r w:rsidR="004E5A78" w:rsidRPr="003726FE">
        <w:rPr>
          <w:noProof/>
          <w:lang w:val="en-GB"/>
        </w:rPr>
        <w:t xml:space="preserve">; </w:t>
      </w:r>
      <w:hyperlink w:anchor="_ENREF_283" w:tooltip="Morgan, 2006 #577" w:history="1">
        <w:r w:rsidR="0094469E" w:rsidRPr="003726FE">
          <w:rPr>
            <w:noProof/>
            <w:lang w:val="en-GB"/>
          </w:rPr>
          <w:t>Morgan 2006</w:t>
        </w:r>
      </w:hyperlink>
      <w:r w:rsidR="004E5A78" w:rsidRPr="003726FE">
        <w:rPr>
          <w:noProof/>
          <w:lang w:val="en-GB"/>
        </w:rPr>
        <w:t xml:space="preserve">; </w:t>
      </w:r>
      <w:hyperlink w:anchor="_ENREF_323" w:tooltip="Pichardo, 2014 #967" w:history="1">
        <w:r w:rsidR="0094469E" w:rsidRPr="003726FE">
          <w:rPr>
            <w:noProof/>
            <w:lang w:val="en-GB"/>
          </w:rPr>
          <w:t>Pichardo et al. 2014</w:t>
        </w:r>
      </w:hyperlink>
      <w:r w:rsidR="004E5A78" w:rsidRPr="003726FE">
        <w:rPr>
          <w:noProof/>
          <w:lang w:val="en-GB"/>
        </w:rPr>
        <w:t xml:space="preserve">; </w:t>
      </w:r>
      <w:hyperlink w:anchor="_ENREF_158" w:tooltip="Gavora, 2015 #88" w:history="1">
        <w:r w:rsidR="0094469E" w:rsidRPr="003726FE">
          <w:rPr>
            <w:noProof/>
            <w:lang w:val="en-GB"/>
          </w:rPr>
          <w:t>Gavora et al. 2015</w:t>
        </w:r>
      </w:hyperlink>
      <w:r w:rsidR="004E5A78" w:rsidRPr="003726FE">
        <w:rPr>
          <w:noProof/>
          <w:lang w:val="en-GB"/>
        </w:rPr>
        <w:t>)</w:t>
      </w:r>
      <w:r w:rsidR="00EF281A" w:rsidRPr="003726FE">
        <w:rPr>
          <w:lang w:val="en-GB"/>
        </w:rPr>
        <w:fldChar w:fldCharType="end"/>
      </w:r>
      <w:r w:rsidRPr="003726FE">
        <w:rPr>
          <w:lang w:val="en-GB"/>
        </w:rPr>
        <w:t>, leading to different theoretical models and factor structures</w:t>
      </w:r>
      <w:r w:rsidR="009E6D96" w:rsidRPr="003726FE">
        <w:rPr>
          <w:lang w:val="en-GB"/>
        </w:rPr>
        <w:t>.</w:t>
      </w:r>
    </w:p>
    <w:p w14:paraId="1373022F" w14:textId="77777777" w:rsidR="003B44AF" w:rsidRPr="003726FE" w:rsidRDefault="003B44AF" w:rsidP="00026049">
      <w:pPr>
        <w:pStyle w:val="Normal1"/>
        <w:rPr>
          <w:lang w:val="en-GB"/>
        </w:rPr>
      </w:pPr>
    </w:p>
    <w:p w14:paraId="3E278A88" w14:textId="3CBF5944" w:rsidR="003B44AF" w:rsidRPr="003726FE" w:rsidRDefault="003B44AF" w:rsidP="00026049">
      <w:pPr>
        <w:pStyle w:val="Normal1"/>
        <w:rPr>
          <w:lang w:val="en-GB"/>
        </w:rPr>
      </w:pPr>
      <w:r w:rsidRPr="003726FE">
        <w:rPr>
          <w:lang w:val="en-GB"/>
        </w:rPr>
        <w:t xml:space="preserve">Most studies have used the SSRQ to measure self-control behaviours in relation to alcohol consumption and psychological wellbeing, as was the original intended function of the </w:t>
      </w:r>
      <w:r w:rsidR="008E5CB4" w:rsidRPr="003726FE">
        <w:rPr>
          <w:lang w:val="en-GB"/>
        </w:rPr>
        <w:t xml:space="preserve">SRQ </w:t>
      </w:r>
      <w:r w:rsidRPr="003726FE">
        <w:rPr>
          <w:lang w:val="en-GB"/>
        </w:rPr>
        <w:fldChar w:fldCharType="begin"/>
      </w:r>
      <w:r w:rsidR="008B61BE">
        <w:rPr>
          <w:lang w:val="en-GB"/>
        </w:rPr>
        <w:instrText xml:space="preserve"> ADDIN EN.CITE &lt;EndNote&gt;&lt;Cite&gt;&lt;Author&gt;Carey&lt;/Author&gt;&lt;Year&gt;2004&lt;/Year&gt;&lt;RecNum&gt;839&lt;/RecNum&gt;&lt;DisplayText&gt;(Carey et al. 2004; Potgieter and Botha 2009)&lt;/DisplayText&gt;&lt;record&gt;&lt;rec-number&gt;839&lt;/rec-number&gt;&lt;foreign-keys&gt;&lt;key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Cite&gt;&lt;Author&gt;Potgieter&lt;/Author&gt;&lt;Year&gt;2009&lt;/Year&gt;&lt;RecNum&gt;968&lt;/RecNum&gt;&lt;record&gt;&lt;rec-number&gt;968&lt;/rec-number&gt;&lt;foreign-keys&gt;&lt;key app="EN" db-id="xa2r2ewea92trkef5dt5arvbzafvpv2za5ft" timestamp="1501167123"&gt;968&lt;/key&gt;&lt;/foreign-keys&gt;&lt;ref-type name="Journal Article"&gt;17&lt;/ref-type&gt;&lt;contributors&gt;&lt;authors&gt;&lt;author&gt;Potgieter, Johan C&lt;/author&gt;&lt;author&gt;Botha, Karel FH&lt;/author&gt;&lt;/authors&gt;&lt;/contributors&gt;&lt;titles&gt;&lt;title&gt;Psychometric properties of the short self-regulation questionnaire (SSRQ) in a South African context&lt;/title&gt;&lt;secondary-title&gt;Journal of Psychology in Africa&lt;/secondary-title&gt;&lt;/titles&gt;&lt;periodical&gt;&lt;full-title&gt;Journal of Psychology in Africa&lt;/full-title&gt;&lt;/periodical&gt;&lt;pages&gt;321-328&lt;/pages&gt;&lt;volume&gt;19&lt;/volume&gt;&lt;number&gt;3&lt;/number&gt;&lt;dates&gt;&lt;year&gt;2009&lt;/year&gt;&lt;/dates&gt;&lt;isbn&gt;1433-0237&lt;/isbn&gt;&lt;urls&gt;&lt;/urls&gt;&lt;/record&gt;&lt;/Cite&gt;&lt;/EndNote&gt;</w:instrText>
      </w:r>
      <w:r w:rsidRPr="003726FE">
        <w:rPr>
          <w:lang w:val="en-GB"/>
        </w:rPr>
        <w:fldChar w:fldCharType="separate"/>
      </w:r>
      <w:r w:rsidR="004E5A78" w:rsidRPr="003726FE">
        <w:rPr>
          <w:noProof/>
          <w:lang w:val="en-GB"/>
        </w:rPr>
        <w:t>(</w:t>
      </w:r>
      <w:hyperlink w:anchor="_ENREF_70" w:tooltip="Carey, 2004 #839" w:history="1">
        <w:r w:rsidR="0094469E" w:rsidRPr="003726FE">
          <w:rPr>
            <w:noProof/>
            <w:lang w:val="en-GB"/>
          </w:rPr>
          <w:t>Carey et al. 2004</w:t>
        </w:r>
      </w:hyperlink>
      <w:r w:rsidR="004E5A78" w:rsidRPr="003726FE">
        <w:rPr>
          <w:noProof/>
          <w:lang w:val="en-GB"/>
        </w:rPr>
        <w:t xml:space="preserve">; </w:t>
      </w:r>
      <w:hyperlink w:anchor="_ENREF_333" w:tooltip="Potgieter, 2009 #968" w:history="1">
        <w:r w:rsidR="0094469E" w:rsidRPr="003726FE">
          <w:rPr>
            <w:noProof/>
            <w:lang w:val="en-GB"/>
          </w:rPr>
          <w:t>Potgieter and Botha 2009</w:t>
        </w:r>
      </w:hyperlink>
      <w:r w:rsidR="004E5A78" w:rsidRPr="003726FE">
        <w:rPr>
          <w:noProof/>
          <w:lang w:val="en-GB"/>
        </w:rPr>
        <w:t>)</w:t>
      </w:r>
      <w:r w:rsidRPr="003726FE">
        <w:rPr>
          <w:lang w:val="en-GB"/>
        </w:rPr>
        <w:fldChar w:fldCharType="end"/>
      </w:r>
      <w:r w:rsidRPr="003726FE">
        <w:rPr>
          <w:lang w:val="en-GB"/>
        </w:rPr>
        <w:t xml:space="preserve">. </w:t>
      </w:r>
      <w:hyperlink w:anchor="_ENREF_335" w:tooltip="Prince, 2005 #680" w:history="1">
        <w:r w:rsidR="0094469E" w:rsidRPr="003726FE">
          <w:rPr>
            <w:lang w:val="en-GB"/>
          </w:rPr>
          <w:fldChar w:fldCharType="begin"/>
        </w:r>
        <w:r w:rsidR="0094469E">
          <w:rPr>
            <w:lang w:val="en-GB"/>
          </w:rPr>
          <w:instrText xml:space="preserve"> ADDIN EN.CITE &lt;EndNote&gt;&lt;Cite AuthorYear="1"&gt;&lt;Author&gt;Prince&lt;/Author&gt;&lt;Year&gt;2005&lt;/Year&gt;&lt;RecNum&gt;680&lt;/RecNum&gt;&lt;DisplayText&gt;Prince et al. (2005)&lt;/DisplayText&gt;&lt;record&gt;&lt;rec-number&gt;680&lt;/rec-number&gt;&lt;foreign-keys&gt;&lt;key app="EN" db-id="xa2r2ewea92trkef5dt5arvbzafvpv2za5ft" timestamp="1496417566"&gt;680&lt;/key&gt;&lt;/foreign-keys&gt;&lt;ref-type name="Journal Article"&gt;17&lt;/ref-type&gt;&lt;contributors&gt;&lt;authors&gt;&lt;author&gt;Prince, Katinka JAH&lt;/author&gt;&lt;author&gt;Boshuizen, Henny&lt;/author&gt;&lt;author&gt;Van Der Vleuten, Cees PM&lt;/author&gt;&lt;author&gt;Scherpbier, Albert JJA&lt;/author&gt;&lt;/authors&gt;&lt;/contributors&gt;&lt;titles&gt;&lt;title&gt;Students&amp;apos; opinions about their preparation for clinical practice&lt;/title&gt;&lt;secondary-title&gt;Medical education&lt;/secondary-title&gt;&lt;/titles&gt;&lt;periodical&gt;&lt;full-title&gt;Medical education&lt;/full-title&gt;&lt;/periodical&gt;&lt;pages&gt;704-712&lt;/pages&gt;&lt;volume&gt;39&lt;/volume&gt;&lt;number&gt;7&lt;/number&gt;&lt;dates&gt;&lt;year&gt;2005&lt;/year&gt;&lt;/dates&gt;&lt;isbn&gt;1365-2923&lt;/isbn&gt;&lt;urls&gt;&lt;/urls&gt;&lt;/record&gt;&lt;/Cite&gt;&lt;/EndNote&gt;</w:instrText>
        </w:r>
        <w:r w:rsidR="0094469E" w:rsidRPr="003726FE">
          <w:rPr>
            <w:lang w:val="en-GB"/>
          </w:rPr>
          <w:fldChar w:fldCharType="separate"/>
        </w:r>
        <w:r w:rsidR="0094469E" w:rsidRPr="003726FE">
          <w:rPr>
            <w:noProof/>
            <w:lang w:val="en-GB"/>
          </w:rPr>
          <w:t>Prince et al. (2005)</w:t>
        </w:r>
        <w:r w:rsidR="0094469E" w:rsidRPr="003726FE">
          <w:rPr>
            <w:lang w:val="en-GB"/>
          </w:rPr>
          <w:fldChar w:fldCharType="end"/>
        </w:r>
      </w:hyperlink>
      <w:r w:rsidRPr="003726FE">
        <w:rPr>
          <w:lang w:val="en-GB"/>
        </w:rPr>
        <w:t xml:space="preserve"> tested the</w:t>
      </w:r>
      <w:r w:rsidRPr="003726FE">
        <w:rPr>
          <w:noProof/>
          <w:shd w:val="clear" w:color="auto" w:fill="FFFFFF"/>
          <w:lang w:val="en-GB"/>
        </w:rPr>
        <w:t xml:space="preserve"> hypothesis that SSRQ scores predict</w:t>
      </w:r>
      <w:r w:rsidR="00107905">
        <w:rPr>
          <w:noProof/>
          <w:shd w:val="clear" w:color="auto" w:fill="FFFFFF"/>
          <w:lang w:val="en-GB"/>
        </w:rPr>
        <w:t>ed</w:t>
      </w:r>
      <w:r w:rsidRPr="003726FE">
        <w:rPr>
          <w:noProof/>
          <w:shd w:val="clear" w:color="auto" w:fill="FFFFFF"/>
          <w:lang w:val="en-GB"/>
        </w:rPr>
        <w:t xml:space="preserve"> psychological well-</w:t>
      </w:r>
      <w:r w:rsidR="008E5CB4" w:rsidRPr="003726FE">
        <w:rPr>
          <w:noProof/>
          <w:shd w:val="clear" w:color="auto" w:fill="FFFFFF"/>
          <w:lang w:val="en-GB"/>
        </w:rPr>
        <w:t>being in a sample of physicians</w:t>
      </w:r>
      <w:r w:rsidRPr="003726FE">
        <w:rPr>
          <w:noProof/>
          <w:shd w:val="clear" w:color="auto" w:fill="FFFFFF"/>
          <w:lang w:val="en-GB"/>
        </w:rPr>
        <w:t xml:space="preserve"> and conducted a factor analysis of the SSRQ. The final model included 19 of the original 31 items, loading onto a one-factor solution. The authors commented that “the absence of other conceptually relevant measures of general self-regulation warranted the use of this single factor” </w:t>
      </w:r>
      <w:r w:rsidR="00EF281A" w:rsidRPr="003726FE">
        <w:rPr>
          <w:noProof/>
          <w:shd w:val="clear" w:color="auto" w:fill="FFFFFF"/>
          <w:lang w:val="en-GB"/>
        </w:rPr>
        <w:fldChar w:fldCharType="begin"/>
      </w:r>
      <w:r w:rsidR="008B61BE">
        <w:rPr>
          <w:noProof/>
          <w:shd w:val="clear" w:color="auto" w:fill="FFFFFF"/>
          <w:lang w:val="en-GB"/>
        </w:rPr>
        <w:instrText xml:space="preserve"> ADDIN EN.CITE &lt;EndNote&gt;&lt;Cite&gt;&lt;Author&gt;Prince&lt;/Author&gt;&lt;Year&gt;2005&lt;/Year&gt;&lt;RecNum&gt;680&lt;/RecNum&gt;&lt;Pages&gt;316&lt;/Pages&gt;&lt;DisplayText&gt;(Prince et al. 2005, p. 316)&lt;/DisplayText&gt;&lt;record&gt;&lt;rec-number&gt;680&lt;/rec-number&gt;&lt;foreign-keys&gt;&lt;key app="EN" db-id="xa2r2ewea92trkef5dt5arvbzafvpv2za5ft" timestamp="1496417566"&gt;680&lt;/key&gt;&lt;/foreign-keys&gt;&lt;ref-type name="Journal Article"&gt;17&lt;/ref-type&gt;&lt;contributors&gt;&lt;authors&gt;&lt;author&gt;Prince, Katinka JAH&lt;/author&gt;&lt;author&gt;Boshuizen, Henny&lt;/author&gt;&lt;author&gt;Van Der Vleuten, Cees PM&lt;/author&gt;&lt;author&gt;Scherpbier, Albert JJA&lt;/author&gt;&lt;/authors&gt;&lt;/contributors&gt;&lt;titles&gt;&lt;title&gt;Students&amp;apos; opinions about their preparation for clinical practice&lt;/title&gt;&lt;secondary-title&gt;Medical education&lt;/secondary-title&gt;&lt;/titles&gt;&lt;periodical&gt;&lt;full-title&gt;Medical education&lt;/full-title&gt;&lt;/periodical&gt;&lt;pages&gt;704-712&lt;/pages&gt;&lt;volume&gt;39&lt;/volume&gt;&lt;number&gt;7&lt;/number&gt;&lt;dates&gt;&lt;year&gt;2005&lt;/year&gt;&lt;/dates&gt;&lt;isbn&gt;1365-2923&lt;/isbn&gt;&lt;urls&gt;&lt;/urls&gt;&lt;/record&gt;&lt;/Cite&gt;&lt;/EndNote&gt;</w:instrText>
      </w:r>
      <w:r w:rsidR="00EF281A" w:rsidRPr="003726FE">
        <w:rPr>
          <w:noProof/>
          <w:shd w:val="clear" w:color="auto" w:fill="FFFFFF"/>
          <w:lang w:val="en-GB"/>
        </w:rPr>
        <w:fldChar w:fldCharType="separate"/>
      </w:r>
      <w:r w:rsidR="004E5A78" w:rsidRPr="003726FE">
        <w:rPr>
          <w:noProof/>
          <w:shd w:val="clear" w:color="auto" w:fill="FFFFFF"/>
          <w:lang w:val="en-GB"/>
        </w:rPr>
        <w:t>(</w:t>
      </w:r>
      <w:hyperlink w:anchor="_ENREF_335" w:tooltip="Prince, 2005 #680" w:history="1">
        <w:r w:rsidR="0094469E" w:rsidRPr="003726FE">
          <w:rPr>
            <w:noProof/>
            <w:shd w:val="clear" w:color="auto" w:fill="FFFFFF"/>
            <w:lang w:val="en-GB"/>
          </w:rPr>
          <w:t>Prince et al. 2005, p. 316</w:t>
        </w:r>
      </w:hyperlink>
      <w:r w:rsidR="004E5A78" w:rsidRPr="003726FE">
        <w:rPr>
          <w:noProof/>
          <w:shd w:val="clear" w:color="auto" w:fill="FFFFFF"/>
          <w:lang w:val="en-GB"/>
        </w:rPr>
        <w:t>)</w:t>
      </w:r>
      <w:r w:rsidR="00EF281A" w:rsidRPr="003726FE">
        <w:rPr>
          <w:noProof/>
          <w:shd w:val="clear" w:color="auto" w:fill="FFFFFF"/>
          <w:lang w:val="en-GB"/>
        </w:rPr>
        <w:fldChar w:fldCharType="end"/>
      </w:r>
      <w:r w:rsidRPr="003726FE">
        <w:rPr>
          <w:noProof/>
          <w:shd w:val="clear" w:color="auto" w:fill="FFFFFF"/>
          <w:lang w:val="en-GB"/>
        </w:rPr>
        <w:t xml:space="preserve">. </w:t>
      </w:r>
      <w:r w:rsidRPr="003726FE">
        <w:rPr>
          <w:lang w:val="en-GB"/>
        </w:rPr>
        <w:t xml:space="preserve">Only one study to date has used the SSRQ to measure </w:t>
      </w:r>
      <w:r w:rsidR="00D531CD" w:rsidRPr="003726FE">
        <w:rPr>
          <w:lang w:val="en-GB"/>
        </w:rPr>
        <w:t>self-regulation</w:t>
      </w:r>
      <w:r w:rsidRPr="003726FE">
        <w:rPr>
          <w:lang w:val="en-GB"/>
        </w:rPr>
        <w:t xml:space="preserve"> in medical undergraduates, with the aim of predicting rates of burnout, as opposed to SRL for academic and educational development purposes </w:t>
      </w:r>
      <w:r w:rsidR="008E5CB4" w:rsidRPr="003726FE">
        <w:rPr>
          <w:lang w:val="en-GB"/>
        </w:rPr>
        <w:fldChar w:fldCharType="begin"/>
      </w:r>
      <w:r w:rsidR="008B61BE">
        <w:rPr>
          <w:lang w:val="en-GB"/>
        </w:rPr>
        <w:instrText xml:space="preserve"> ADDIN EN.CITE &lt;EndNote&gt;&lt;Cite&gt;&lt;Author&gt;Gagnon&lt;/Author&gt;&lt;Year&gt;2016&lt;/Year&gt;&lt;RecNum&gt;777&lt;/RecNum&gt;&lt;DisplayText&gt;(Gagnon et al. 2016)&lt;/DisplayText&gt;&lt;record&gt;&lt;rec-number&gt;777&lt;/rec-number&gt;&lt;foreign-keys&gt;&lt;key app="EN" db-id="xa2r2ewea92trkef5dt5arvbzafvpv2za5ft" timestamp="1496417593"&gt;777&lt;/key&gt;&lt;/foreign-keys&gt;&lt;ref-type name="Journal Article"&gt;17&lt;/ref-type&gt;&lt;contributors&gt;&lt;authors&gt;&lt;author&gt;Gagnon, Marie-Claude J&lt;/author&gt;&lt;author&gt;Durand-Bush, Natalie&lt;/author&gt;&lt;author&gt;Young, Bradley W&lt;/author&gt;&lt;/authors&gt;&lt;/contributors&gt;&lt;titles&gt;&lt;title&gt;Self-regulation capacity is linked to wellbeing and burnout in physicians and medical students: Implications for nurturing self-help skills&lt;/title&gt;&lt;secondary-title&gt;International Journal of Wellbeing&lt;/secondary-title&gt;&lt;/titles&gt;&lt;periodical&gt;&lt;full-title&gt;International Journal of Wellbeing&lt;/full-title&gt;&lt;/periodical&gt;&lt;volume&gt;6&lt;/volume&gt;&lt;number&gt;1&lt;/number&gt;&lt;dates&gt;&lt;year&gt;2016&lt;/year&gt;&lt;/dates&gt;&lt;isbn&gt;1179-8602&lt;/isbn&gt;&lt;urls&gt;&lt;/urls&gt;&lt;/record&gt;&lt;/Cite&gt;&lt;/EndNote&gt;</w:instrText>
      </w:r>
      <w:r w:rsidR="008E5CB4" w:rsidRPr="003726FE">
        <w:rPr>
          <w:lang w:val="en-GB"/>
        </w:rPr>
        <w:fldChar w:fldCharType="separate"/>
      </w:r>
      <w:r w:rsidR="008E5CB4" w:rsidRPr="003726FE">
        <w:rPr>
          <w:noProof/>
          <w:lang w:val="en-GB"/>
        </w:rPr>
        <w:t>(</w:t>
      </w:r>
      <w:hyperlink w:anchor="_ENREF_156" w:tooltip="Gagnon, 2016 #777" w:history="1">
        <w:r w:rsidR="0094469E" w:rsidRPr="003726FE">
          <w:rPr>
            <w:noProof/>
            <w:lang w:val="en-GB"/>
          </w:rPr>
          <w:t>Gagnon et al. 2016</w:t>
        </w:r>
      </w:hyperlink>
      <w:r w:rsidR="008E5CB4" w:rsidRPr="003726FE">
        <w:rPr>
          <w:noProof/>
          <w:lang w:val="en-GB"/>
        </w:rPr>
        <w:t>)</w:t>
      </w:r>
      <w:r w:rsidR="008E5CB4" w:rsidRPr="003726FE">
        <w:rPr>
          <w:lang w:val="en-GB"/>
        </w:rPr>
        <w:fldChar w:fldCharType="end"/>
      </w:r>
      <w:r w:rsidRPr="003726FE">
        <w:rPr>
          <w:lang w:val="en-GB"/>
        </w:rPr>
        <w:t>. Whilst this study demonstrated the SSRQ was internally consistent (</w:t>
      </w:r>
      <w:r w:rsidR="00B76881" w:rsidRPr="003726FE">
        <w:rPr>
          <w:lang w:val="en-GB"/>
        </w:rPr>
        <w:t>Cronbach’s Alpha</w:t>
      </w:r>
      <w:r w:rsidR="00107905" w:rsidRPr="003726FE">
        <w:rPr>
          <w:lang w:val="en-GB"/>
        </w:rPr>
        <w:t xml:space="preserve"> </w:t>
      </w:r>
      <w:r w:rsidRPr="003726FE">
        <w:rPr>
          <w:lang w:val="en-GB"/>
        </w:rPr>
        <w:t>= 0.92), the authors did not further investigate</w:t>
      </w:r>
      <w:r w:rsidR="00107905">
        <w:rPr>
          <w:lang w:val="en-GB"/>
        </w:rPr>
        <w:t xml:space="preserve"> its</w:t>
      </w:r>
      <w:r w:rsidRPr="003726FE">
        <w:rPr>
          <w:lang w:val="en-GB"/>
        </w:rPr>
        <w:t xml:space="preserve"> factor structure and psychometric properties.</w:t>
      </w:r>
    </w:p>
    <w:p w14:paraId="0DFA6BDC" w14:textId="77777777" w:rsidR="003B44AF" w:rsidRPr="003726FE" w:rsidRDefault="003B44AF" w:rsidP="00026049">
      <w:pPr>
        <w:pStyle w:val="Normal1"/>
        <w:rPr>
          <w:lang w:val="en-GB"/>
        </w:rPr>
      </w:pPr>
    </w:p>
    <w:p w14:paraId="54FB186C" w14:textId="249F579B" w:rsidR="003B44AF" w:rsidRPr="003726FE" w:rsidRDefault="00CE6BA1" w:rsidP="00026049">
      <w:pPr>
        <w:pStyle w:val="Normal1"/>
        <w:rPr>
          <w:lang w:val="en-GB"/>
        </w:rPr>
      </w:pPr>
      <w:r w:rsidRPr="003726FE">
        <w:rPr>
          <w:lang w:val="en-GB"/>
        </w:rPr>
        <w:t xml:space="preserve">Like the </w:t>
      </w:r>
      <w:r w:rsidR="00F6565B" w:rsidRPr="003726FE">
        <w:rPr>
          <w:lang w:val="en-GB"/>
        </w:rPr>
        <w:t>MSLQ and all other SRL questionnaire tools</w:t>
      </w:r>
      <w:r w:rsidRPr="003726FE">
        <w:rPr>
          <w:lang w:val="en-GB"/>
        </w:rPr>
        <w:t xml:space="preserve">, the SSRQ has not been psychometrically validated in </w:t>
      </w:r>
      <w:r w:rsidR="00107905">
        <w:rPr>
          <w:lang w:val="en-GB"/>
        </w:rPr>
        <w:t xml:space="preserve">UK </w:t>
      </w:r>
      <w:r w:rsidRPr="003726FE">
        <w:rPr>
          <w:lang w:val="en-GB"/>
        </w:rPr>
        <w:t>medical edu</w:t>
      </w:r>
      <w:r w:rsidR="008E5CB4" w:rsidRPr="003726FE">
        <w:rPr>
          <w:lang w:val="en-GB"/>
        </w:rPr>
        <w:t>cation contexts. However,</w:t>
      </w:r>
      <w:r w:rsidRPr="003726FE">
        <w:rPr>
          <w:lang w:val="en-GB"/>
        </w:rPr>
        <w:t xml:space="preserve"> the SSRQ most reflects the SRL processes which are of interest in this study. </w:t>
      </w:r>
      <w:r w:rsidR="008E5CB4" w:rsidRPr="003726FE">
        <w:rPr>
          <w:lang w:val="en-GB"/>
        </w:rPr>
        <w:t>The SSRQ wa</w:t>
      </w:r>
      <w:r w:rsidR="009E6D96" w:rsidRPr="003726FE">
        <w:rPr>
          <w:lang w:val="en-GB"/>
        </w:rPr>
        <w:t xml:space="preserve">s used </w:t>
      </w:r>
      <w:r w:rsidR="009E6D96" w:rsidRPr="003726FE">
        <w:rPr>
          <w:lang w:val="en-GB"/>
        </w:rPr>
        <w:lastRenderedPageBreak/>
        <w:t>to measure SRL capacity over thr</w:t>
      </w:r>
      <w:r w:rsidR="00775E80">
        <w:rPr>
          <w:lang w:val="en-GB"/>
        </w:rPr>
        <w:t>ee time-points</w:t>
      </w:r>
      <w:r w:rsidR="009E6D96" w:rsidRPr="003726FE">
        <w:rPr>
          <w:lang w:val="en-GB"/>
        </w:rPr>
        <w:t xml:space="preserve"> </w:t>
      </w:r>
      <w:r w:rsidR="00107905">
        <w:rPr>
          <w:lang w:val="en-GB"/>
        </w:rPr>
        <w:t>(see</w:t>
      </w:r>
      <w:r w:rsidR="009E6D96" w:rsidRPr="003726FE">
        <w:rPr>
          <w:lang w:val="en-GB"/>
        </w:rPr>
        <w:t xml:space="preserve"> Chapter B3</w:t>
      </w:r>
      <w:r w:rsidR="00775E80">
        <w:rPr>
          <w:lang w:val="en-GB"/>
        </w:rPr>
        <w:t>),</w:t>
      </w:r>
      <w:r w:rsidR="009E6D96" w:rsidRPr="003726FE">
        <w:rPr>
          <w:lang w:val="en-GB"/>
        </w:rPr>
        <w:t xml:space="preserve"> it </w:t>
      </w:r>
      <w:r w:rsidR="00775E80">
        <w:rPr>
          <w:lang w:val="en-GB"/>
        </w:rPr>
        <w:t>was</w:t>
      </w:r>
      <w:r w:rsidR="009E6D96" w:rsidRPr="003726FE">
        <w:rPr>
          <w:lang w:val="en-GB"/>
        </w:rPr>
        <w:t xml:space="preserve"> subsequently validated using exploratory factor analysis i</w:t>
      </w:r>
      <w:r w:rsidRPr="003726FE">
        <w:rPr>
          <w:lang w:val="en-GB"/>
        </w:rPr>
        <w:t>n Chapter C1.</w:t>
      </w:r>
    </w:p>
    <w:p w14:paraId="3747721F" w14:textId="77777777" w:rsidR="00AA7B7E" w:rsidRPr="003726FE" w:rsidRDefault="00AA7B7E" w:rsidP="00026049">
      <w:pPr>
        <w:pStyle w:val="Normal1"/>
        <w:rPr>
          <w:lang w:val="en-GB"/>
        </w:rPr>
      </w:pPr>
    </w:p>
    <w:p w14:paraId="3F0E9839" w14:textId="15BC8205" w:rsidR="004A447E" w:rsidRPr="003726FE" w:rsidRDefault="00A62D19" w:rsidP="00BA4521">
      <w:pPr>
        <w:pStyle w:val="Heading3"/>
      </w:pPr>
      <w:bookmarkStart w:id="131" w:name="_Toc500319321"/>
      <w:r w:rsidRPr="003726FE">
        <w:t>A1.2.6</w:t>
      </w:r>
      <w:r w:rsidR="004A447E" w:rsidRPr="003726FE">
        <w:t xml:space="preserve"> </w:t>
      </w:r>
      <w:r w:rsidR="00A44504" w:rsidRPr="003726FE">
        <w:t xml:space="preserve">Self-Regulated Learning </w:t>
      </w:r>
      <w:r w:rsidR="004A447E" w:rsidRPr="003726FE">
        <w:t>Micro</w:t>
      </w:r>
      <w:r w:rsidR="00642AB8" w:rsidRPr="003726FE">
        <w:t>A</w:t>
      </w:r>
      <w:r w:rsidR="004A447E" w:rsidRPr="003726FE">
        <w:t>nalysis</w:t>
      </w:r>
      <w:r w:rsidR="00A44504" w:rsidRPr="003726FE">
        <w:t xml:space="preserve"> (SRL MA)</w:t>
      </w:r>
      <w:bookmarkEnd w:id="131"/>
    </w:p>
    <w:p w14:paraId="666F3499" w14:textId="77777777" w:rsidR="004A447E" w:rsidRPr="003726FE" w:rsidRDefault="004A447E" w:rsidP="00026049">
      <w:pPr>
        <w:pStyle w:val="Normal1"/>
        <w:rPr>
          <w:lang w:val="en-GB"/>
        </w:rPr>
      </w:pPr>
    </w:p>
    <w:p w14:paraId="120202AD" w14:textId="58C063A8" w:rsidR="00A10990" w:rsidRPr="003726FE" w:rsidRDefault="004A447E" w:rsidP="00026049">
      <w:pPr>
        <w:pStyle w:val="Normal1"/>
        <w:rPr>
          <w:lang w:val="en-GB"/>
        </w:rPr>
      </w:pPr>
      <w:r w:rsidRPr="003726FE">
        <w:rPr>
          <w:lang w:val="en-GB"/>
        </w:rPr>
        <w:t>One approach to giving feedback on SRL in highly contextualised and authentic teaching environments</w:t>
      </w:r>
      <w:r w:rsidR="00A62D19" w:rsidRPr="003726FE">
        <w:rPr>
          <w:lang w:val="en-GB"/>
        </w:rPr>
        <w:t xml:space="preserve"> is</w:t>
      </w:r>
      <w:r w:rsidRPr="003726FE">
        <w:rPr>
          <w:lang w:val="en-GB"/>
        </w:rPr>
        <w:t xml:space="preserve"> </w:t>
      </w:r>
      <w:r w:rsidR="00775E80">
        <w:rPr>
          <w:lang w:val="en-GB"/>
        </w:rPr>
        <w:t>M</w:t>
      </w:r>
      <w:r w:rsidRPr="003726FE">
        <w:rPr>
          <w:lang w:val="en-GB"/>
        </w:rPr>
        <w:t>icro</w:t>
      </w:r>
      <w:r w:rsidR="00775E80">
        <w:rPr>
          <w:lang w:val="en-GB"/>
        </w:rPr>
        <w:t>A</w:t>
      </w:r>
      <w:r w:rsidRPr="003726FE">
        <w:rPr>
          <w:lang w:val="en-GB"/>
        </w:rPr>
        <w:t>nalysis</w:t>
      </w:r>
      <w:r w:rsidR="007040AC" w:rsidRPr="003726FE">
        <w:rPr>
          <w:lang w:val="en-GB"/>
        </w:rPr>
        <w:t xml:space="preserve"> (MA)</w:t>
      </w:r>
      <w:r w:rsidRPr="003726FE">
        <w:rPr>
          <w:lang w:val="en-GB"/>
        </w:rPr>
        <w:t xml:space="preserve"> - a targeted questioning technique used to assess SRL processes </w:t>
      </w:r>
      <w:r w:rsidRPr="003726FE">
        <w:rPr>
          <w:lang w:val="en-GB"/>
        </w:rPr>
        <w:fldChar w:fldCharType="begin"/>
      </w:r>
      <w:r w:rsidR="00E80034">
        <w:rPr>
          <w:lang w:val="en-GB"/>
        </w:rPr>
        <w:instrText xml:space="preserve"> ADDIN EN.CITE &lt;EndNote&gt;&lt;Cite&gt;&lt;Author&gt;Cleary&lt;/Author&gt;&lt;Year&gt;2012&lt;/Year&gt;&lt;RecNum&gt;35&lt;/RecNum&gt;&lt;DisplayText&gt;(Cleary et al. 2012; Artino Jr et al. 2014a)&lt;/DisplayText&gt;&lt;record&gt;&lt;rec-number&gt;35&lt;/rec-number&gt;&lt;foreign-keys&gt;&lt;key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Corporation&lt;/publisher&gt;&lt;urls&gt;&lt;/urls&gt;&lt;/record&gt;&lt;/Cite&gt;&lt;Cite&gt;&lt;Author&gt;Artino&lt;/Author&gt;&lt;Year&gt;2014&lt;/Year&gt;&lt;RecNum&gt;3&lt;/RecNum&gt;&lt;record&gt;&lt;rec-number&gt;3&lt;/rec-number&gt;&lt;foreign-keys&gt;&lt;key app="EN" db-id="xa2r2ewea92trkef5dt5arvbzafvpv2za5ft" timestamp="1442161763"&gt;3&lt;/key&gt;&lt;/foreign-keys&gt;&lt;ref-type name="Journal Article"&gt;17&lt;/ref-type&gt;&lt;contributors&gt;&lt;authors&gt;&lt;author&gt;Artino Jr, Anthony R.&lt;/author&gt;&lt;author&gt;Cleary, Timothy J.&lt;/author&gt;&lt;author&gt;Dong, Ting&lt;/author&gt;&lt;author&gt;Hemmer, Paul A.&lt;/author&gt;&lt;author&gt;Durning, Steven J.&lt;/author&gt;&lt;/authors&gt;&lt;/contributors&gt;&lt;titles&gt;&lt;title&gt;Exploring clinical reasoning in novices: a self</w:instrText>
      </w:r>
      <w:r w:rsidR="00E80034">
        <w:rPr>
          <w:rFonts w:ascii="Cambria Math" w:hAnsi="Cambria Math" w:cs="Cambria Math"/>
          <w:lang w:val="en-GB"/>
        </w:rPr>
        <w:instrText>‐</w:instrText>
      </w:r>
      <w:r w:rsidR="00E80034">
        <w:rPr>
          <w:lang w:val="en-GB"/>
        </w:rPr>
        <w:instrText>regulated learning microanalytic assessment approach&lt;/title&gt;&lt;secondary-title&gt;Medical education&lt;/secondary-title&gt;&lt;/titles&gt;&lt;periodical&gt;&lt;full-title&gt;Medical education&lt;/full-title&gt;&lt;/periodical&gt;&lt;pages&gt;280-291&lt;/pages&gt;&lt;volume&gt;48&lt;/volume&gt;&lt;number&gt;3&lt;/number&gt;&lt;dates&gt;&lt;year&gt;2014&lt;/year&gt;&lt;/dates&gt;&lt;publisher&gt;Wiley Online Library&lt;/publisher&gt;&lt;urls&gt;&lt;related-urls&gt;&lt;url&gt;&lt;style face="underline" font="default" size="100%"&gt;http://www.ncbi.nlm.nih.gov/pmc/articles/PMC4235424/pdf/medu0048-0280.pdf&lt;/style&gt;&lt;/url&gt;&lt;/related-urls&gt;&lt;/urls&gt;&lt;/record&gt;&lt;/Cite&gt;&lt;/EndNote&gt;</w:instrText>
      </w:r>
      <w:r w:rsidRPr="003726FE">
        <w:rPr>
          <w:lang w:val="en-GB"/>
        </w:rPr>
        <w:fldChar w:fldCharType="separate"/>
      </w:r>
      <w:r w:rsidR="00E80034">
        <w:rPr>
          <w:noProof/>
          <w:lang w:val="en-GB"/>
        </w:rPr>
        <w:t>(</w:t>
      </w:r>
      <w:hyperlink w:anchor="_ENREF_83" w:tooltip="Cleary, 2012 #35" w:history="1">
        <w:r w:rsidR="0094469E">
          <w:rPr>
            <w:noProof/>
            <w:lang w:val="en-GB"/>
          </w:rPr>
          <w:t>Cleary et al. 2012</w:t>
        </w:r>
      </w:hyperlink>
      <w:r w:rsidR="00E80034">
        <w:rPr>
          <w:noProof/>
          <w:lang w:val="en-GB"/>
        </w:rPr>
        <w:t xml:space="preserve">; </w:t>
      </w:r>
      <w:hyperlink w:anchor="_ENREF_8" w:tooltip="Artino Jr, 2014 #3" w:history="1">
        <w:r w:rsidR="0094469E">
          <w:rPr>
            <w:noProof/>
            <w:lang w:val="en-GB"/>
          </w:rPr>
          <w:t>Artino Jr et al. 2014a</w:t>
        </w:r>
      </w:hyperlink>
      <w:r w:rsidR="00E80034">
        <w:rPr>
          <w:noProof/>
          <w:lang w:val="en-GB"/>
        </w:rPr>
        <w:t>)</w:t>
      </w:r>
      <w:r w:rsidRPr="003726FE">
        <w:rPr>
          <w:lang w:val="en-GB"/>
        </w:rPr>
        <w:fldChar w:fldCharType="end"/>
      </w:r>
      <w:r w:rsidRPr="003726FE">
        <w:rPr>
          <w:lang w:val="en-GB"/>
        </w:rPr>
        <w:t xml:space="preserve">. The developers of the method </w:t>
      </w:r>
      <w:r w:rsidR="008E5CB4" w:rsidRPr="003726FE">
        <w:rPr>
          <w:lang w:val="en-GB"/>
        </w:rPr>
        <w:t>go further and describe it as a</w:t>
      </w:r>
      <w:r w:rsidRPr="003726FE">
        <w:rPr>
          <w:lang w:val="en-GB"/>
        </w:rPr>
        <w:t xml:space="preserve"> “strategic, coordinated plan of administering context-specific questions targeting multiple cyclical phase processes as trainees engage in authentic activities.” </w:t>
      </w:r>
      <w:r w:rsidR="00EF281A" w:rsidRPr="003726FE">
        <w:rPr>
          <w:lang w:val="en-GB"/>
        </w:rPr>
        <w:fldChar w:fldCharType="begin"/>
      </w:r>
      <w:r w:rsidR="008B61BE">
        <w:rPr>
          <w:lang w:val="en-GB"/>
        </w:rPr>
        <w:instrText xml:space="preserve"> ADDIN EN.CITE &lt;EndNote&gt;&lt;Cite&gt;&lt;Author&gt;Cleary&lt;/Author&gt;&lt;Year&gt;2012&lt;/Year&gt;&lt;RecNum&gt;35&lt;/RecNum&gt;&lt;Pages&gt;4&lt;/Pages&gt;&lt;DisplayText&gt;(Cleary et al. 2012, p. 4)&lt;/DisplayText&gt;&lt;record&gt;&lt;rec-number&gt;35&lt;/rec-number&gt;&lt;foreign-keys&gt;&lt;key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3726FE">
        <w:rPr>
          <w:lang w:val="en-GB"/>
        </w:rPr>
        <w:fldChar w:fldCharType="separate"/>
      </w:r>
      <w:r w:rsidR="004E5A78" w:rsidRPr="003726FE">
        <w:rPr>
          <w:noProof/>
          <w:lang w:val="en-GB"/>
        </w:rPr>
        <w:t>(</w:t>
      </w:r>
      <w:hyperlink w:anchor="_ENREF_83" w:tooltip="Cleary, 2012 #35" w:history="1">
        <w:r w:rsidR="0094469E" w:rsidRPr="003726FE">
          <w:rPr>
            <w:noProof/>
            <w:lang w:val="en-GB"/>
          </w:rPr>
          <w:t>Cleary et al. 2012, p. 4</w:t>
        </w:r>
      </w:hyperlink>
      <w:r w:rsidR="004E5A78" w:rsidRPr="003726FE">
        <w:rPr>
          <w:noProof/>
          <w:lang w:val="en-GB"/>
        </w:rPr>
        <w:t>)</w:t>
      </w:r>
      <w:r w:rsidR="00EF281A" w:rsidRPr="003726FE">
        <w:rPr>
          <w:lang w:val="en-GB"/>
        </w:rPr>
        <w:fldChar w:fldCharType="end"/>
      </w:r>
      <w:r w:rsidRPr="003726FE">
        <w:rPr>
          <w:lang w:val="en-GB"/>
        </w:rPr>
        <w:t xml:space="preserve">. </w:t>
      </w:r>
      <w:r w:rsidR="00A10990" w:rsidRPr="003726FE">
        <w:rPr>
          <w:color w:val="000000" w:themeColor="text1"/>
          <w:shd w:val="clear" w:color="auto" w:fill="FFFFFF"/>
          <w:lang w:val="en-GB"/>
        </w:rPr>
        <w:t xml:space="preserve">SRL </w:t>
      </w:r>
      <w:r w:rsidR="007040AC" w:rsidRPr="003726FE">
        <w:rPr>
          <w:color w:val="000000" w:themeColor="text1"/>
          <w:shd w:val="clear" w:color="auto" w:fill="FFFFFF"/>
          <w:lang w:val="en-GB"/>
        </w:rPr>
        <w:t>MA</w:t>
      </w:r>
      <w:r w:rsidR="00A10990" w:rsidRPr="003726FE">
        <w:rPr>
          <w:color w:val="000000" w:themeColor="text1"/>
          <w:shd w:val="clear" w:color="auto" w:fill="FFFFFF"/>
          <w:lang w:val="en-GB"/>
        </w:rPr>
        <w:t xml:space="preserve"> is conducted in authentic contexts in real time and assesses SRL processes using targeted theoretically-grounded questions </w:t>
      </w:r>
      <w:r w:rsidR="00EF281A" w:rsidRPr="003726FE">
        <w:rPr>
          <w:color w:val="000000" w:themeColor="text1"/>
          <w:shd w:val="clear" w:color="auto" w:fill="FFFFFF"/>
          <w:lang w:val="en-GB"/>
        </w:rPr>
        <w:fldChar w:fldCharType="begin"/>
      </w:r>
      <w:r w:rsidR="008B61BE">
        <w:rPr>
          <w:color w:val="000000" w:themeColor="text1"/>
          <w:shd w:val="clear" w:color="auto" w:fill="FFFFFF"/>
          <w:lang w:val="en-GB"/>
        </w:rPr>
        <w:instrText xml:space="preserve"> ADDIN EN.CITE &lt;EndNote&gt;&lt;Cite&gt;&lt;Author&gt;Cleary&lt;/Author&gt;&lt;Year&gt;2011&lt;/Year&gt;&lt;RecNum&gt;606&lt;/RecNum&gt;&lt;DisplayText&gt;(Cleary 2011)&lt;/DisplayText&gt;&lt;record&gt;&lt;rec-number&gt;606&lt;/rec-number&gt;&lt;foreign-keys&gt;&lt;key app="EN" db-id="xa2r2ewea92trkef5dt5arvbzafvpv2za5ft" timestamp="1496417559"&gt;606&lt;/key&gt;&lt;/foreign-keys&gt;&lt;ref-type name="Journal Article"&gt;17&lt;/ref-type&gt;&lt;contributors&gt;&lt;authors&gt;&lt;author&gt;Cleary, Timothy J&lt;/author&gt;&lt;/authors&gt;&lt;/contributors&gt;&lt;titles&gt;&lt;title&gt;Emergence of self-regulated learning microanalysis&lt;/title&gt;&lt;secondary-title&gt;Handbook of self-regulation of learning and performance&lt;/secondary-title&gt;&lt;/titles&gt;&lt;periodical&gt;&lt;full-title&gt;Handbook of self-regulation of learning and performance&lt;/full-title&gt;&lt;/periodical&gt;&lt;pages&gt;329-345&lt;/pages&gt;&lt;dates&gt;&lt;year&gt;2011&lt;/year&gt;&lt;/dates&gt;&lt;urls&gt;&lt;/urls&gt;&lt;/record&gt;&lt;/Cite&gt;&lt;/EndNote&gt;</w:instrText>
      </w:r>
      <w:r w:rsidR="00EF281A" w:rsidRPr="003726FE">
        <w:rPr>
          <w:color w:val="000000" w:themeColor="text1"/>
          <w:shd w:val="clear" w:color="auto" w:fill="FFFFFF"/>
          <w:lang w:val="en-GB"/>
        </w:rPr>
        <w:fldChar w:fldCharType="separate"/>
      </w:r>
      <w:r w:rsidR="004E5A78" w:rsidRPr="003726FE">
        <w:rPr>
          <w:noProof/>
          <w:color w:val="000000" w:themeColor="text1"/>
          <w:shd w:val="clear" w:color="auto" w:fill="FFFFFF"/>
          <w:lang w:val="en-GB"/>
        </w:rPr>
        <w:t>(</w:t>
      </w:r>
      <w:hyperlink w:anchor="_ENREF_80" w:tooltip="Cleary, 2011 #606" w:history="1">
        <w:r w:rsidR="0094469E" w:rsidRPr="003726FE">
          <w:rPr>
            <w:noProof/>
            <w:color w:val="000000" w:themeColor="text1"/>
            <w:shd w:val="clear" w:color="auto" w:fill="FFFFFF"/>
            <w:lang w:val="en-GB"/>
          </w:rPr>
          <w:t>Cleary 2011</w:t>
        </w:r>
      </w:hyperlink>
      <w:r w:rsidR="004E5A78" w:rsidRPr="003726FE">
        <w:rPr>
          <w:noProof/>
          <w:color w:val="000000" w:themeColor="text1"/>
          <w:shd w:val="clear" w:color="auto" w:fill="FFFFFF"/>
          <w:lang w:val="en-GB"/>
        </w:rPr>
        <w:t>)</w:t>
      </w:r>
      <w:r w:rsidR="00EF281A" w:rsidRPr="003726FE">
        <w:rPr>
          <w:color w:val="000000" w:themeColor="text1"/>
          <w:shd w:val="clear" w:color="auto" w:fill="FFFFFF"/>
          <w:lang w:val="en-GB"/>
        </w:rPr>
        <w:fldChar w:fldCharType="end"/>
      </w:r>
      <w:r w:rsidR="00A10990" w:rsidRPr="003726FE">
        <w:rPr>
          <w:color w:val="000000" w:themeColor="text1"/>
          <w:shd w:val="clear" w:color="auto" w:fill="FFFFFF"/>
          <w:lang w:val="en-GB"/>
        </w:rPr>
        <w:t>. It is important to note that SRL MA is a ‘state’ measure of SRL</w:t>
      </w:r>
      <w:r w:rsidR="00605E3D">
        <w:rPr>
          <w:color w:val="000000" w:themeColor="text1"/>
          <w:shd w:val="clear" w:color="auto" w:fill="FFFFFF"/>
          <w:lang w:val="en-GB"/>
        </w:rPr>
        <w:t>, meaning that the SRL approach used is specific to the individual</w:t>
      </w:r>
      <w:r w:rsidR="00775E80">
        <w:rPr>
          <w:color w:val="000000" w:themeColor="text1"/>
          <w:shd w:val="clear" w:color="auto" w:fill="FFFFFF"/>
          <w:lang w:val="en-GB"/>
        </w:rPr>
        <w:t>, the context, and</w:t>
      </w:r>
      <w:r w:rsidR="00605E3D">
        <w:rPr>
          <w:color w:val="000000" w:themeColor="text1"/>
          <w:shd w:val="clear" w:color="auto" w:fill="FFFFFF"/>
          <w:lang w:val="en-GB"/>
        </w:rPr>
        <w:t xml:space="preserve"> the task. T</w:t>
      </w:r>
      <w:r w:rsidR="00A10990" w:rsidRPr="003726FE">
        <w:rPr>
          <w:color w:val="000000" w:themeColor="text1"/>
          <w:shd w:val="clear" w:color="auto" w:fill="FFFFFF"/>
          <w:lang w:val="en-GB"/>
        </w:rPr>
        <w:t xml:space="preserve">his state aspect is how experts recommend SRL to be viewed </w:t>
      </w:r>
      <w:r w:rsidR="0052774D" w:rsidRPr="003726FE">
        <w:rPr>
          <w:color w:val="000000" w:themeColor="text1"/>
          <w:shd w:val="clear" w:color="auto" w:fill="FFFFFF"/>
          <w:lang w:val="en-GB"/>
        </w:rPr>
        <w:fldChar w:fldCharType="begin"/>
      </w:r>
      <w:r w:rsidR="008B61BE">
        <w:rPr>
          <w:color w:val="000000" w:themeColor="text1"/>
          <w:shd w:val="clear" w:color="auto" w:fill="FFFFFF"/>
          <w:lang w:val="en-GB"/>
        </w:rPr>
        <w:instrText xml:space="preserve"> ADDIN EN.CITE &lt;EndNote&gt;&lt;Cite&gt;&lt;Author&gt;Zimmerman&lt;/Author&gt;&lt;Year&gt;2008&lt;/Year&gt;&lt;RecNum&gt;273&lt;/RecNum&gt;&lt;DisplayText&gt;(Zimmerman 2008; Sandars and Patel 2015)&lt;/DisplayText&gt;&lt;record&gt;&lt;rec-number&gt;273&lt;/rec-number&gt;&lt;foreign-keys&gt;&lt;key app="EN" db-id="xa2r2ewea92trkef5dt5arvbzafvpv2za5ft" timestamp="1442161766"&gt;273&lt;/key&gt;&lt;/foreign-keys&gt;&lt;ref-type name="Journal Article"&gt;17&lt;/ref-type&gt;&lt;contributors&gt;&lt;authors&gt;&lt;author&gt;Zimmerman, Barry J.&lt;/author&gt;&lt;/authors&gt;&lt;/contributors&gt;&lt;titles&gt;&lt;title&gt;Investigating self-regulation and motivation: Historical background, methodological developments, and future prospects&lt;/title&gt;&lt;secondary-title&gt;American Educational Research Journal&lt;/secondary-title&gt;&lt;/titles&gt;&lt;periodical&gt;&lt;full-title&gt;American Educational Research Journal&lt;/full-title&gt;&lt;/periodical&gt;&lt;pages&gt;166-183&lt;/pages&gt;&lt;volume&gt;45&lt;/volume&gt;&lt;number&gt;1&lt;/number&gt;&lt;dates&gt;&lt;year&gt;2008&lt;/year&gt;&lt;/dates&gt;&lt;publisher&gt;SAGE Publications&lt;/publisher&gt;&lt;urls&gt;&lt;/urls&gt;&lt;/record&gt;&lt;/Cite&gt;&lt;Cite&gt;&lt;Author&gt;Sandars&lt;/Author&gt;&lt;Year&gt;2015&lt;/Year&gt;&lt;RecNum&gt;219&lt;/RecNum&gt;&lt;record&gt;&lt;rec-number&gt;219&lt;/rec-number&gt;&lt;foreign-keys&gt;&lt;key app="EN" db-id="xa2r2ewea92trkef5dt5arvbzafvpv2za5ft" timestamp="1442161765"&gt;219&lt;/key&gt;&lt;/foreign-keys&gt;&lt;ref-type name="Journal Article"&gt;17&lt;/ref-type&gt;&lt;contributors&gt;&lt;authors&gt;&lt;author&gt;Sandars, John&lt;/author&gt;&lt;author&gt;Patel, Rakesh&lt;/author&gt;&lt;/authors&gt;&lt;/contributors&gt;&lt;titles&gt;&lt;title&gt;Self-regulated learning: the challenge of learning in clinical settings&lt;/title&gt;&lt;secondary-title&gt;Medical education&lt;/secondary-title&gt;&lt;/titles&gt;&lt;periodical&gt;&lt;full-title&gt;Medical education&lt;/full-title&gt;&lt;/periodical&gt;&lt;pages&gt;554-555&lt;/pages&gt;&lt;volume&gt;49&lt;/volume&gt;&lt;number&gt;6&lt;/number&gt;&lt;dates&gt;&lt;year&gt;2015&lt;/year&gt;&lt;/dates&gt;&lt;urls&gt;&lt;related-urls&gt;&lt;url&gt;http://onlinelibrary.wiley.com/doi/10.1111/medu.12695/abstract&lt;/url&gt;&lt;/related-urls&gt;&lt;/urls&gt;&lt;/record&gt;&lt;/Cite&gt;&lt;/EndNote&gt;</w:instrText>
      </w:r>
      <w:r w:rsidR="0052774D" w:rsidRPr="003726FE">
        <w:rPr>
          <w:color w:val="000000" w:themeColor="text1"/>
          <w:shd w:val="clear" w:color="auto" w:fill="FFFFFF"/>
          <w:lang w:val="en-GB"/>
        </w:rPr>
        <w:fldChar w:fldCharType="separate"/>
      </w:r>
      <w:r w:rsidR="004E5A78" w:rsidRPr="003726FE">
        <w:rPr>
          <w:noProof/>
          <w:color w:val="000000" w:themeColor="text1"/>
          <w:shd w:val="clear" w:color="auto" w:fill="FFFFFF"/>
          <w:lang w:val="en-GB"/>
        </w:rPr>
        <w:t>(</w:t>
      </w:r>
      <w:hyperlink w:anchor="_ENREF_458" w:tooltip="Zimmerman, 2008 #273" w:history="1">
        <w:r w:rsidR="0094469E" w:rsidRPr="003726FE">
          <w:rPr>
            <w:noProof/>
            <w:color w:val="000000" w:themeColor="text1"/>
            <w:shd w:val="clear" w:color="auto" w:fill="FFFFFF"/>
            <w:lang w:val="en-GB"/>
          </w:rPr>
          <w:t>Zimmerman 2008</w:t>
        </w:r>
      </w:hyperlink>
      <w:r w:rsidR="004E5A78" w:rsidRPr="003726FE">
        <w:rPr>
          <w:noProof/>
          <w:color w:val="000000" w:themeColor="text1"/>
          <w:shd w:val="clear" w:color="auto" w:fill="FFFFFF"/>
          <w:lang w:val="en-GB"/>
        </w:rPr>
        <w:t xml:space="preserve">; </w:t>
      </w:r>
      <w:hyperlink w:anchor="_ENREF_357" w:tooltip="Sandars, 2015 #219" w:history="1">
        <w:r w:rsidR="0094469E" w:rsidRPr="003726FE">
          <w:rPr>
            <w:noProof/>
            <w:color w:val="000000" w:themeColor="text1"/>
            <w:shd w:val="clear" w:color="auto" w:fill="FFFFFF"/>
            <w:lang w:val="en-GB"/>
          </w:rPr>
          <w:t>Sandars and Patel 2015</w:t>
        </w:r>
      </w:hyperlink>
      <w:r w:rsidR="004E5A78" w:rsidRPr="003726FE">
        <w:rPr>
          <w:noProof/>
          <w:color w:val="000000" w:themeColor="text1"/>
          <w:shd w:val="clear" w:color="auto" w:fill="FFFFFF"/>
          <w:lang w:val="en-GB"/>
        </w:rPr>
        <w:t>)</w:t>
      </w:r>
      <w:r w:rsidR="0052774D" w:rsidRPr="003726FE">
        <w:rPr>
          <w:color w:val="000000" w:themeColor="text1"/>
          <w:shd w:val="clear" w:color="auto" w:fill="FFFFFF"/>
          <w:lang w:val="en-GB"/>
        </w:rPr>
        <w:fldChar w:fldCharType="end"/>
      </w:r>
      <w:r w:rsidR="00A10990" w:rsidRPr="003726FE">
        <w:rPr>
          <w:color w:val="000000" w:themeColor="text1"/>
          <w:shd w:val="clear" w:color="auto" w:fill="FFFFFF"/>
          <w:lang w:val="en-GB"/>
        </w:rPr>
        <w:t xml:space="preserve">. </w:t>
      </w:r>
      <w:r w:rsidRPr="003726FE">
        <w:rPr>
          <w:lang w:val="en-GB"/>
        </w:rPr>
        <w:t xml:space="preserve">This technique was developed based upon Zimmerman’s </w:t>
      </w:r>
      <w:r w:rsidR="008E5CB4" w:rsidRPr="003726FE">
        <w:rPr>
          <w:lang w:val="en-GB"/>
        </w:rPr>
        <w:t xml:space="preserve">model </w:t>
      </w:r>
      <w:r w:rsidRPr="003726FE">
        <w:rPr>
          <w:lang w:val="en-GB"/>
        </w:rPr>
        <w:t xml:space="preserve">of SRL </w:t>
      </w:r>
      <w:r w:rsidR="00A44504" w:rsidRPr="003726FE">
        <w:rPr>
          <w:lang w:val="en-GB"/>
        </w:rPr>
        <w:t>and is thus directly influenced by</w:t>
      </w:r>
      <w:r w:rsidRPr="003726FE">
        <w:rPr>
          <w:lang w:val="en-GB"/>
        </w:rPr>
        <w:t xml:space="preserve"> the </w:t>
      </w:r>
      <w:r w:rsidR="00775E80">
        <w:rPr>
          <w:lang w:val="en-GB"/>
        </w:rPr>
        <w:t xml:space="preserve">social </w:t>
      </w:r>
      <w:r w:rsidRPr="003726FE">
        <w:rPr>
          <w:lang w:val="en-GB"/>
        </w:rPr>
        <w:t xml:space="preserve">cognitive view </w:t>
      </w:r>
      <w:r w:rsidRPr="003726FE">
        <w:rPr>
          <w:lang w:val="en-GB"/>
        </w:rPr>
        <w:fldChar w:fldCharType="begin"/>
      </w:r>
      <w:r w:rsidR="008B61BE">
        <w:rPr>
          <w:lang w:val="en-GB"/>
        </w:rPr>
        <w:instrText xml:space="preserve"> ADDIN EN.CITE &lt;EndNote&gt;&lt;Cite&gt;&lt;Author&gt;Zimmerman&lt;/Author&gt;&lt;Year&gt;1989&lt;/Year&gt;&lt;RecNum&gt;275&lt;/RecNum&gt;&lt;DisplayText&gt;(Bandura 1986; Zimmerman 1989)&lt;/DisplayText&gt;&lt;record&gt;&lt;rec-number&gt;275&lt;/rec-number&gt;&lt;foreign-keys&gt;&lt;key app="EN" db-id="xa2r2ewea92trkef5dt5arvbzafvpv2za5ft" timestamp="1442161766"&gt;275&lt;/key&gt;&lt;/foreign-keys&gt;&lt;ref-type name="Journal Article"&gt;17&lt;/ref-type&gt;&lt;contributors&gt;&lt;authors&gt;&lt;author&gt;Zimmerman, Barry J.&lt;/author&gt;&lt;/authors&gt;&lt;/contributors&gt;&lt;titles&gt;&lt;title&gt;A social cognitive view of self-regulated academic learning&lt;/title&gt;&lt;secondary-title&gt;Journal of educational psychology&lt;/secondary-title&gt;&lt;/titles&gt;&lt;periodical&gt;&lt;full-title&gt;Journal of educational psychology&lt;/full-title&gt;&lt;/periodical&gt;&lt;pages&gt;329&lt;/pages&gt;&lt;volume&gt;81&lt;/volume&gt;&lt;number&gt;3&lt;/number&gt;&lt;dates&gt;&lt;year&gt;1989&lt;/year&gt;&lt;/dates&gt;&lt;publisher&gt;American Psychological Association&lt;/publisher&gt;&lt;urls&gt;&lt;/urls&gt;&lt;/record&gt;&lt;/Cite&gt;&lt;Cite&gt;&lt;Author&gt;Bandura&lt;/Author&gt;&lt;Year&gt;1986&lt;/Year&gt;&lt;RecNum&gt;6&lt;/RecNum&gt;&lt;record&gt;&lt;rec-number&gt;6&lt;/rec-number&gt;&lt;foreign-keys&gt;&lt;key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Pr="003726FE">
        <w:rPr>
          <w:lang w:val="en-GB"/>
        </w:rPr>
        <w:fldChar w:fldCharType="separate"/>
      </w:r>
      <w:r w:rsidR="004E5A78" w:rsidRPr="003726FE">
        <w:rPr>
          <w:noProof/>
          <w:lang w:val="en-GB"/>
        </w:rPr>
        <w:t>(</w:t>
      </w:r>
      <w:hyperlink w:anchor="_ENREF_14" w:tooltip="Bandura, 1986 #6" w:history="1">
        <w:r w:rsidR="0094469E" w:rsidRPr="003726FE">
          <w:rPr>
            <w:noProof/>
            <w:lang w:val="en-GB"/>
          </w:rPr>
          <w:t>Bandura 1986</w:t>
        </w:r>
      </w:hyperlink>
      <w:r w:rsidR="004E5A78" w:rsidRPr="003726FE">
        <w:rPr>
          <w:noProof/>
          <w:lang w:val="en-GB"/>
        </w:rPr>
        <w:t xml:space="preserve">; </w:t>
      </w:r>
      <w:hyperlink w:anchor="_ENREF_454" w:tooltip="Zimmerman, 1989 #275" w:history="1">
        <w:r w:rsidR="0094469E" w:rsidRPr="003726FE">
          <w:rPr>
            <w:noProof/>
            <w:lang w:val="en-GB"/>
          </w:rPr>
          <w:t>Zimmerman 1989</w:t>
        </w:r>
      </w:hyperlink>
      <w:r w:rsidR="004E5A78" w:rsidRPr="003726FE">
        <w:rPr>
          <w:noProof/>
          <w:lang w:val="en-GB"/>
        </w:rPr>
        <w:t>)</w:t>
      </w:r>
      <w:r w:rsidRPr="003726FE">
        <w:rPr>
          <w:lang w:val="en-GB"/>
        </w:rPr>
        <w:fldChar w:fldCharType="end"/>
      </w:r>
      <w:r w:rsidRPr="003726FE">
        <w:rPr>
          <w:lang w:val="en-GB"/>
        </w:rPr>
        <w:t xml:space="preserve">. </w:t>
      </w:r>
      <w:r w:rsidR="007040AC" w:rsidRPr="003726FE">
        <w:rPr>
          <w:lang w:val="en-GB"/>
        </w:rPr>
        <w:t>MA</w:t>
      </w:r>
      <w:r w:rsidR="00C74E5A" w:rsidRPr="003726FE">
        <w:rPr>
          <w:lang w:val="en-GB"/>
        </w:rPr>
        <w:t xml:space="preserve"> has been used to assess and improve per</w:t>
      </w:r>
      <w:r w:rsidR="008E5CB4" w:rsidRPr="003726FE">
        <w:rPr>
          <w:lang w:val="en-GB"/>
        </w:rPr>
        <w:t>formance in diverse contexts -</w:t>
      </w:r>
      <w:r w:rsidR="00C74E5A" w:rsidRPr="003726FE">
        <w:rPr>
          <w:lang w:val="en-GB"/>
        </w:rPr>
        <w:t xml:space="preserve"> from basketball free-throwing to medical standardised test taking </w:t>
      </w:r>
      <w:r w:rsidR="00C74E5A" w:rsidRPr="003726FE">
        <w:rPr>
          <w:lang w:val="en-GB"/>
        </w:rPr>
        <w:fldChar w:fldCharType="begin"/>
      </w:r>
      <w:r w:rsidR="008B61BE">
        <w:rPr>
          <w:lang w:val="en-GB"/>
        </w:rPr>
        <w:instrText xml:space="preserve"> ADDIN EN.CITE &lt;EndNote&gt;&lt;Cite&gt;&lt;Author&gt;Cleary&lt;/Author&gt;&lt;Year&gt;2006&lt;/Year&gt;&lt;RecNum&gt;43&lt;/RecNum&gt;&lt;DisplayText&gt;(Cleary et al. 2006; Andrews et al. 2017)&lt;/DisplayText&gt;&lt;record&gt;&lt;rec-number&gt;43&lt;/rec-number&gt;&lt;foreign-keys&gt;&lt;key app="EN" db-id="xa2r2ewea92trkef5dt5arvbzafvpv2za5ft" timestamp="1442161763"&gt;43&lt;/key&gt;&lt;/foreign-keys&gt;&lt;ref-type name="Journal Article"&gt;17&lt;/ref-type&gt;&lt;contributors&gt;&lt;authors&gt;&lt;author&gt;Cleary, Timothy J.&lt;/author&gt;&lt;author&gt;Zimmerman, Barry J.&lt;/author&gt;&lt;author&gt;Keating, Tedd&lt;/author&gt;&lt;/authors&gt;&lt;/contributors&gt;&lt;titles&gt;&lt;title&gt;Training physical education students to self-regulate during basketball free throw practice&lt;/title&gt;&lt;secondary-title&gt;Research quarterly for exercise and sport&lt;/secondary-title&gt;&lt;/titles&gt;&lt;periodical&gt;&lt;full-title&gt;Research quarterly for exercise and sport&lt;/full-title&gt;&lt;/periodical&gt;&lt;pages&gt;251-262&lt;/pages&gt;&lt;volume&gt;77&lt;/volume&gt;&lt;number&gt;2&lt;/number&gt;&lt;dates&gt;&lt;year&gt;2006&lt;/year&gt;&lt;/dates&gt;&lt;publisher&gt;Taylor &amp;amp; Francis&lt;/publisher&gt;&lt;urls&gt;&lt;related-urls&gt;&lt;url&gt;http://www.tandfonline.com/doi/abs/10.1080/02701367.2006.10599358?url_ver=Z39.88-2003&amp;amp;rfr_id=ori:rid:crossref.org&amp;amp;rfr_dat=cr_pub%3dpubmed&lt;/url&gt;&lt;/related-urls&gt;&lt;/urls&gt;&lt;/record&gt;&lt;/Cite&gt;&lt;Cite&gt;&lt;Author&gt;Andrews&lt;/Author&gt;&lt;Year&gt;2017&lt;/Year&gt;&lt;RecNum&gt;588&lt;/RecNum&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C74E5A" w:rsidRPr="003726FE">
        <w:rPr>
          <w:lang w:val="en-GB"/>
        </w:rPr>
        <w:fldChar w:fldCharType="separate"/>
      </w:r>
      <w:r w:rsidR="004E5A78" w:rsidRPr="003726FE">
        <w:rPr>
          <w:noProof/>
          <w:lang w:val="en-GB"/>
        </w:rPr>
        <w:t>(</w:t>
      </w:r>
      <w:hyperlink w:anchor="_ENREF_93" w:tooltip="Cleary, 2006 #44" w:history="1">
        <w:r w:rsidR="0094469E" w:rsidRPr="003726FE">
          <w:rPr>
            <w:noProof/>
            <w:lang w:val="en-GB"/>
          </w:rPr>
          <w:t>Cleary et al. 2006</w:t>
        </w:r>
      </w:hyperlink>
      <w:r w:rsidR="004E5A78" w:rsidRPr="003726FE">
        <w:rPr>
          <w:noProof/>
          <w:lang w:val="en-GB"/>
        </w:rPr>
        <w:t xml:space="preserve">; </w:t>
      </w:r>
      <w:hyperlink w:anchor="_ENREF_2" w:tooltip="Andrews, 2017 #588" w:history="1">
        <w:r w:rsidR="0094469E" w:rsidRPr="003726FE">
          <w:rPr>
            <w:noProof/>
            <w:lang w:val="en-GB"/>
          </w:rPr>
          <w:t>Andrews et al. 2017</w:t>
        </w:r>
      </w:hyperlink>
      <w:r w:rsidR="004E5A78" w:rsidRPr="003726FE">
        <w:rPr>
          <w:noProof/>
          <w:lang w:val="en-GB"/>
        </w:rPr>
        <w:t>)</w:t>
      </w:r>
      <w:r w:rsidR="00C74E5A" w:rsidRPr="003726FE">
        <w:rPr>
          <w:lang w:val="en-GB"/>
        </w:rPr>
        <w:fldChar w:fldCharType="end"/>
      </w:r>
      <w:r w:rsidR="00C74E5A" w:rsidRPr="003726FE">
        <w:rPr>
          <w:lang w:val="en-GB"/>
        </w:rPr>
        <w:t xml:space="preserve">. The psychometrics of the approach are generally robust </w:t>
      </w:r>
      <w:r w:rsidR="00EF281A" w:rsidRPr="003726FE">
        <w:rPr>
          <w:lang w:val="en-GB"/>
        </w:rPr>
        <w:fldChar w:fldCharType="begin"/>
      </w:r>
      <w:r w:rsidR="008B61BE">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3726FE">
        <w:rPr>
          <w:lang w:val="en-GB"/>
        </w:rPr>
        <w:fldChar w:fldCharType="separate"/>
      </w:r>
      <w:r w:rsidR="004E5A78" w:rsidRPr="003726FE">
        <w:rPr>
          <w:noProof/>
          <w:lang w:val="en-GB"/>
        </w:rPr>
        <w:t>(</w:t>
      </w:r>
      <w:hyperlink w:anchor="_ENREF_83" w:tooltip="Cleary, 2012 #35" w:history="1">
        <w:r w:rsidR="0094469E" w:rsidRPr="003726FE">
          <w:rPr>
            <w:noProof/>
            <w:lang w:val="en-GB"/>
          </w:rPr>
          <w:t>Cleary et al. 2012</w:t>
        </w:r>
      </w:hyperlink>
      <w:r w:rsidR="004E5A78" w:rsidRPr="003726FE">
        <w:rPr>
          <w:noProof/>
          <w:lang w:val="en-GB"/>
        </w:rPr>
        <w:t>)</w:t>
      </w:r>
      <w:r w:rsidR="00EF281A" w:rsidRPr="003726FE">
        <w:rPr>
          <w:lang w:val="en-GB"/>
        </w:rPr>
        <w:fldChar w:fldCharType="end"/>
      </w:r>
      <w:r w:rsidR="00C74E5A" w:rsidRPr="003726FE">
        <w:rPr>
          <w:lang w:val="en-GB"/>
        </w:rPr>
        <w:t>, but experts in the field have recommended taking a step further in ex</w:t>
      </w:r>
      <w:r w:rsidR="00775E80">
        <w:rPr>
          <w:lang w:val="en-GB"/>
        </w:rPr>
        <w:t xml:space="preserve">plicitly applying theory to SRL </w:t>
      </w:r>
      <w:r w:rsidR="00C74E5A" w:rsidRPr="003726FE">
        <w:rPr>
          <w:lang w:val="en-GB"/>
        </w:rPr>
        <w:t xml:space="preserve">MA practices in authentic learning and teaching environments </w:t>
      </w:r>
      <w:r w:rsidR="00EF281A" w:rsidRPr="003726FE">
        <w:rPr>
          <w:lang w:val="en-GB"/>
        </w:rPr>
        <w:fldChar w:fldCharType="begin"/>
      </w:r>
      <w:r w:rsidR="008B61BE">
        <w:rPr>
          <w:lang w:val="en-GB"/>
        </w:rPr>
        <w:instrText xml:space="preserve"> ADDIN EN.CITE &lt;EndNote&gt;&lt;Cite&gt;&lt;Author&gt;Cleary&lt;/Author&gt;&lt;Year&gt;2016&lt;/Year&gt;&lt;RecNum&gt;605&lt;/RecNum&gt;&lt;DisplayText&gt;(Cleary et al. 2016)&lt;/DisplayText&gt;&lt;record&gt;&lt;rec-number&gt;605&lt;/rec-number&gt;&lt;foreign-keys&gt;&lt;key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86" w:tooltip="Cleary, 2016 #605" w:history="1">
        <w:r w:rsidR="0094469E" w:rsidRPr="003726FE">
          <w:rPr>
            <w:noProof/>
            <w:lang w:val="en-GB"/>
          </w:rPr>
          <w:t>Cleary et al. 2016</w:t>
        </w:r>
      </w:hyperlink>
      <w:r w:rsidR="004E5A78" w:rsidRPr="003726FE">
        <w:rPr>
          <w:noProof/>
          <w:lang w:val="en-GB"/>
        </w:rPr>
        <w:t>)</w:t>
      </w:r>
      <w:r w:rsidR="00EF281A" w:rsidRPr="003726FE">
        <w:rPr>
          <w:lang w:val="en-GB"/>
        </w:rPr>
        <w:fldChar w:fldCharType="end"/>
      </w:r>
      <w:r w:rsidR="00C74E5A" w:rsidRPr="003726FE">
        <w:rPr>
          <w:lang w:val="en-GB"/>
        </w:rPr>
        <w:t xml:space="preserve">. </w:t>
      </w:r>
      <w:r w:rsidR="00A44504" w:rsidRPr="003726FE">
        <w:rPr>
          <w:color w:val="000000" w:themeColor="text1"/>
          <w:shd w:val="clear" w:color="auto" w:fill="FFFFFF"/>
          <w:lang w:val="en-GB"/>
        </w:rPr>
        <w:t xml:space="preserve">Researchers suggest that this event protocol conducted ‘in the moment’ reduces response biases and issues relating to retrospective accounts of an individual’s behaviour </w:t>
      </w:r>
      <w:r w:rsidR="00EF281A" w:rsidRPr="003726FE">
        <w:rPr>
          <w:color w:val="000000" w:themeColor="text1"/>
          <w:shd w:val="clear" w:color="auto" w:fill="FFFFFF"/>
          <w:lang w:val="en-GB"/>
        </w:rPr>
        <w:fldChar w:fldCharType="begin"/>
      </w:r>
      <w:r w:rsidR="008B61BE">
        <w:rPr>
          <w:color w:val="000000" w:themeColor="text1"/>
          <w:shd w:val="clear" w:color="auto" w:fill="FFFFFF"/>
          <w:lang w:val="en-GB"/>
        </w:rPr>
        <w:instrText xml:space="preserve"> ADDIN EN.CITE &lt;EndNote&gt;&lt;Cite&gt;&lt;Author&gt;Cleary&lt;/Author&gt;&lt;Year&gt;2011&lt;/Year&gt;&lt;RecNum&gt;39&lt;/RecNum&gt;&lt;DisplayText&gt;(Cleary and Sandars 2011)&lt;/DisplayText&gt;&lt;record&gt;&lt;rec-number&gt;39&lt;/rec-number&gt;&lt;foreign-keys&gt;&lt;key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Francis&lt;/publisher&gt;&lt;urls&gt;&lt;/urls&gt;&lt;/record&gt;&lt;/Cite&gt;&lt;/EndNote&gt;</w:instrText>
      </w:r>
      <w:r w:rsidR="00EF281A" w:rsidRPr="003726FE">
        <w:rPr>
          <w:color w:val="000000" w:themeColor="text1"/>
          <w:shd w:val="clear" w:color="auto" w:fill="FFFFFF"/>
          <w:lang w:val="en-GB"/>
        </w:rPr>
        <w:fldChar w:fldCharType="separate"/>
      </w:r>
      <w:r w:rsidR="004E5A78" w:rsidRPr="003726FE">
        <w:rPr>
          <w:noProof/>
          <w:color w:val="000000" w:themeColor="text1"/>
          <w:shd w:val="clear" w:color="auto" w:fill="FFFFFF"/>
          <w:lang w:val="en-GB"/>
        </w:rPr>
        <w:t>(</w:t>
      </w:r>
      <w:hyperlink w:anchor="_ENREF_89" w:tooltip="Cleary, 2011 #39" w:history="1">
        <w:r w:rsidR="0094469E" w:rsidRPr="003726FE">
          <w:rPr>
            <w:noProof/>
            <w:color w:val="000000" w:themeColor="text1"/>
            <w:shd w:val="clear" w:color="auto" w:fill="FFFFFF"/>
            <w:lang w:val="en-GB"/>
          </w:rPr>
          <w:t>Cleary and Sandars 2011</w:t>
        </w:r>
      </w:hyperlink>
      <w:r w:rsidR="004E5A78" w:rsidRPr="003726FE">
        <w:rPr>
          <w:noProof/>
          <w:color w:val="000000" w:themeColor="text1"/>
          <w:shd w:val="clear" w:color="auto" w:fill="FFFFFF"/>
          <w:lang w:val="en-GB"/>
        </w:rPr>
        <w:t>)</w:t>
      </w:r>
      <w:r w:rsidR="00EF281A" w:rsidRPr="003726FE">
        <w:rPr>
          <w:color w:val="000000" w:themeColor="text1"/>
          <w:shd w:val="clear" w:color="auto" w:fill="FFFFFF"/>
          <w:lang w:val="en-GB"/>
        </w:rPr>
        <w:fldChar w:fldCharType="end"/>
      </w:r>
      <w:r w:rsidR="00A44504" w:rsidRPr="003726FE">
        <w:rPr>
          <w:color w:val="000000" w:themeColor="text1"/>
          <w:shd w:val="clear" w:color="auto" w:fill="FFFFFF"/>
          <w:lang w:val="en-GB"/>
        </w:rPr>
        <w:t xml:space="preserve">. </w:t>
      </w:r>
      <w:r w:rsidR="00C74E5A" w:rsidRPr="003726FE">
        <w:rPr>
          <w:lang w:val="en-GB"/>
        </w:rPr>
        <w:t>This technique is conversational by design and allows facilitators to assess students’ SRL processes and to focus their feedback on improving SRL be</w:t>
      </w:r>
      <w:r w:rsidR="00A10990" w:rsidRPr="003726FE">
        <w:rPr>
          <w:lang w:val="en-GB"/>
        </w:rPr>
        <w:t xml:space="preserve">haviours which has not </w:t>
      </w:r>
      <w:r w:rsidR="00775E80">
        <w:rPr>
          <w:lang w:val="en-GB"/>
        </w:rPr>
        <w:t xml:space="preserve">yet </w:t>
      </w:r>
      <w:r w:rsidR="00A10990" w:rsidRPr="003726FE">
        <w:rPr>
          <w:lang w:val="en-GB"/>
        </w:rPr>
        <w:t>b</w:t>
      </w:r>
      <w:r w:rsidR="008E5CB4" w:rsidRPr="003726FE">
        <w:rPr>
          <w:lang w:val="en-GB"/>
        </w:rPr>
        <w:t>een explored in the literature</w:t>
      </w:r>
      <w:r w:rsidR="00357640" w:rsidRPr="003726FE">
        <w:rPr>
          <w:lang w:val="en-GB"/>
        </w:rPr>
        <w:t xml:space="preserve">. </w:t>
      </w:r>
      <w:r w:rsidR="00A10990" w:rsidRPr="003726FE">
        <w:rPr>
          <w:shd w:val="clear" w:color="auto" w:fill="FFFFFF"/>
          <w:lang w:val="en-GB"/>
        </w:rPr>
        <w:t>SRL MA can be distinguished from other SRL assessment methods by s</w:t>
      </w:r>
      <w:r w:rsidR="00A44504" w:rsidRPr="003726FE">
        <w:rPr>
          <w:shd w:val="clear" w:color="auto" w:fill="FFFFFF"/>
          <w:lang w:val="en-GB"/>
        </w:rPr>
        <w:t>everal hallmark characteristics</w:t>
      </w:r>
      <w:r w:rsidR="00775E80">
        <w:rPr>
          <w:shd w:val="clear" w:color="auto" w:fill="FFFFFF"/>
          <w:lang w:val="en-GB"/>
        </w:rPr>
        <w:t xml:space="preserve"> (</w:t>
      </w:r>
      <w:r w:rsidR="005D20F7" w:rsidRPr="003726FE">
        <w:rPr>
          <w:shd w:val="clear" w:color="auto" w:fill="FFFFFF"/>
          <w:lang w:val="en-GB"/>
        </w:rPr>
        <w:t>Table A1.1</w:t>
      </w:r>
      <w:r w:rsidR="00775E80">
        <w:rPr>
          <w:shd w:val="clear" w:color="auto" w:fill="FFFFFF"/>
          <w:lang w:val="en-GB"/>
        </w:rPr>
        <w:t>)</w:t>
      </w:r>
      <w:r w:rsidR="00A10990" w:rsidRPr="003726FE">
        <w:rPr>
          <w:shd w:val="clear" w:color="auto" w:fill="FFFFFF"/>
          <w:lang w:val="en-GB"/>
        </w:rPr>
        <w:t>.</w:t>
      </w:r>
    </w:p>
    <w:p w14:paraId="722D664F" w14:textId="77777777" w:rsidR="00A10990" w:rsidRDefault="00A10990" w:rsidP="00026049">
      <w:pPr>
        <w:pStyle w:val="Normal1"/>
        <w:rPr>
          <w:shd w:val="clear" w:color="auto" w:fill="FFFFFF"/>
          <w:lang w:val="en-GB"/>
        </w:rPr>
      </w:pPr>
    </w:p>
    <w:p w14:paraId="1145658B" w14:textId="77777777" w:rsidR="0049047B" w:rsidRDefault="0049047B" w:rsidP="00026049">
      <w:pPr>
        <w:pStyle w:val="Normal1"/>
        <w:rPr>
          <w:shd w:val="clear" w:color="auto" w:fill="FFFFFF"/>
          <w:lang w:val="en-GB"/>
        </w:rPr>
      </w:pPr>
    </w:p>
    <w:p w14:paraId="2E55353A" w14:textId="77777777" w:rsidR="0049047B" w:rsidRDefault="0049047B" w:rsidP="00026049">
      <w:pPr>
        <w:pStyle w:val="Normal1"/>
        <w:rPr>
          <w:shd w:val="clear" w:color="auto" w:fill="FFFFFF"/>
          <w:lang w:val="en-GB"/>
        </w:rPr>
      </w:pPr>
    </w:p>
    <w:p w14:paraId="15E7C099" w14:textId="77777777" w:rsidR="0049047B" w:rsidRDefault="0049047B" w:rsidP="00026049">
      <w:pPr>
        <w:pStyle w:val="Normal1"/>
        <w:rPr>
          <w:shd w:val="clear" w:color="auto" w:fill="FFFFFF"/>
          <w:lang w:val="en-GB"/>
        </w:rPr>
      </w:pPr>
    </w:p>
    <w:p w14:paraId="76D46ED7" w14:textId="77777777" w:rsidR="0049047B" w:rsidRDefault="0049047B" w:rsidP="00026049">
      <w:pPr>
        <w:pStyle w:val="Normal1"/>
        <w:rPr>
          <w:shd w:val="clear" w:color="auto" w:fill="FFFFFF"/>
          <w:lang w:val="en-GB"/>
        </w:rPr>
      </w:pPr>
    </w:p>
    <w:p w14:paraId="73DEC181" w14:textId="77777777" w:rsidR="00B76881" w:rsidRDefault="00B76881" w:rsidP="00026049">
      <w:pPr>
        <w:pStyle w:val="Normal1"/>
        <w:rPr>
          <w:shd w:val="clear" w:color="auto" w:fill="FFFFFF"/>
          <w:lang w:val="en-GB"/>
        </w:rPr>
      </w:pPr>
    </w:p>
    <w:p w14:paraId="43B2615B" w14:textId="77777777" w:rsidR="00B76881" w:rsidRDefault="00B76881" w:rsidP="00026049">
      <w:pPr>
        <w:pStyle w:val="Normal1"/>
        <w:rPr>
          <w:shd w:val="clear" w:color="auto" w:fill="FFFFFF"/>
          <w:lang w:val="en-GB"/>
        </w:rPr>
      </w:pPr>
    </w:p>
    <w:p w14:paraId="2D4DC4B0" w14:textId="77777777" w:rsidR="00B76881" w:rsidRDefault="00B76881" w:rsidP="00026049">
      <w:pPr>
        <w:pStyle w:val="Normal1"/>
        <w:rPr>
          <w:shd w:val="clear" w:color="auto" w:fill="FFFFFF"/>
          <w:lang w:val="en-GB"/>
        </w:rPr>
      </w:pPr>
    </w:p>
    <w:p w14:paraId="6609F0AE" w14:textId="77777777" w:rsidR="0049047B" w:rsidRPr="003726FE" w:rsidRDefault="0049047B" w:rsidP="00026049">
      <w:pPr>
        <w:pStyle w:val="Normal1"/>
        <w:rPr>
          <w:shd w:val="clear" w:color="auto" w:fill="FFFFFF"/>
          <w:lang w:val="en-GB"/>
        </w:rPr>
      </w:pPr>
    </w:p>
    <w:p w14:paraId="52BADF22" w14:textId="27FEBB82" w:rsidR="00A10990" w:rsidRPr="003726FE" w:rsidRDefault="00C94B43" w:rsidP="00026049">
      <w:pPr>
        <w:pStyle w:val="Tablelist"/>
        <w:rPr>
          <w:lang w:val="en-GB"/>
        </w:rPr>
      </w:pPr>
      <w:bookmarkStart w:id="132" w:name="_Toc487454812"/>
      <w:bookmarkStart w:id="133" w:name="_Toc487456788"/>
      <w:bookmarkStart w:id="134" w:name="_Toc500319507"/>
      <w:r w:rsidRPr="003726FE">
        <w:rPr>
          <w:lang w:val="en-GB"/>
        </w:rPr>
        <w:t>Table A1.</w:t>
      </w:r>
      <w:r w:rsidR="007038CD" w:rsidRPr="003726FE">
        <w:rPr>
          <w:lang w:val="en-GB"/>
        </w:rPr>
        <w:fldChar w:fldCharType="begin"/>
      </w:r>
      <w:r w:rsidR="007038CD" w:rsidRPr="003726FE">
        <w:rPr>
          <w:lang w:val="en-GB"/>
        </w:rPr>
        <w:instrText xml:space="preserve"> SEQ Table_A1. \* ARABIC </w:instrText>
      </w:r>
      <w:r w:rsidR="007038CD" w:rsidRPr="003726FE">
        <w:rPr>
          <w:lang w:val="en-GB"/>
        </w:rPr>
        <w:fldChar w:fldCharType="separate"/>
      </w:r>
      <w:r w:rsidR="00E44881">
        <w:rPr>
          <w:noProof/>
          <w:lang w:val="en-GB"/>
        </w:rPr>
        <w:t>1</w:t>
      </w:r>
      <w:r w:rsidR="007038CD" w:rsidRPr="003726FE">
        <w:rPr>
          <w:lang w:val="en-GB"/>
        </w:rPr>
        <w:fldChar w:fldCharType="end"/>
      </w:r>
      <w:r w:rsidRPr="003726FE">
        <w:rPr>
          <w:lang w:val="en-GB"/>
        </w:rPr>
        <w:t xml:space="preserve"> </w:t>
      </w:r>
      <w:r w:rsidR="00A10990" w:rsidRPr="003726FE">
        <w:rPr>
          <w:lang w:val="en-GB"/>
        </w:rPr>
        <w:t xml:space="preserve">Unique </w:t>
      </w:r>
      <w:r w:rsidR="00885CB3">
        <w:rPr>
          <w:lang w:val="en-GB"/>
        </w:rPr>
        <w:t>aspects</w:t>
      </w:r>
      <w:r w:rsidR="00A10990" w:rsidRPr="003726FE">
        <w:rPr>
          <w:lang w:val="en-GB"/>
        </w:rPr>
        <w:t xml:space="preserve"> of SRL MA</w:t>
      </w:r>
      <w:r w:rsidR="00885CB3">
        <w:rPr>
          <w:lang w:val="en-GB"/>
        </w:rPr>
        <w:t xml:space="preserve"> with descriptors</w:t>
      </w:r>
      <w:r w:rsidR="00A10990" w:rsidRPr="003726FE">
        <w:rPr>
          <w:lang w:val="en-GB"/>
        </w:rPr>
        <w:t xml:space="preserve">. Information from </w:t>
      </w:r>
      <w:hyperlink w:anchor="_ENREF_455" w:tooltip="Zimmerman, 2000 #595" w:history="1">
        <w:r w:rsidR="0094469E" w:rsidRPr="003726FE">
          <w:rPr>
            <w:lang w:val="en-GB"/>
          </w:rPr>
          <w:fldChar w:fldCharType="begin"/>
        </w:r>
        <w:r w:rsidR="0094469E">
          <w:rPr>
            <w:lang w:val="en-GB"/>
          </w:rPr>
          <w:instrText xml:space="preserve"> ADDIN EN.CITE &lt;EndNote&gt;&lt;Cite AuthorYear="1"&gt;&lt;Author&gt;Zimmerman&lt;/Author&gt;&lt;Year&gt;2000&lt;/Year&gt;&lt;RecNum&gt;595&lt;/RecNum&gt;&lt;DisplayText&gt;Zimmerman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94469E" w:rsidRPr="003726FE">
          <w:rPr>
            <w:lang w:val="en-GB"/>
          </w:rPr>
          <w:fldChar w:fldCharType="separate"/>
        </w:r>
        <w:r w:rsidR="0094469E" w:rsidRPr="003726FE">
          <w:rPr>
            <w:noProof/>
            <w:lang w:val="en-GB"/>
          </w:rPr>
          <w:t>Zimmerman (2000a)</w:t>
        </w:r>
        <w:r w:rsidR="0094469E" w:rsidRPr="003726FE">
          <w:rPr>
            <w:lang w:val="en-GB"/>
          </w:rPr>
          <w:fldChar w:fldCharType="end"/>
        </w:r>
      </w:hyperlink>
      <w:r w:rsidR="002B1852" w:rsidRPr="003726FE">
        <w:rPr>
          <w:lang w:val="en-GB"/>
        </w:rPr>
        <w:t xml:space="preserve">; </w:t>
      </w:r>
      <w:hyperlink w:anchor="_ENREF_232" w:tooltip="Labuhn, 2010 #139" w:history="1">
        <w:r w:rsidR="0094469E" w:rsidRPr="003726FE">
          <w:rPr>
            <w:lang w:val="en-GB"/>
          </w:rPr>
          <w:fldChar w:fldCharType="begin"/>
        </w:r>
        <w:r w:rsidR="0094469E">
          <w:rPr>
            <w:lang w:val="en-GB"/>
          </w:rPr>
          <w:instrText xml:space="preserve"> ADDIN EN.CITE &lt;EndNote&gt;&lt;Cite AuthorYear="1"&gt;&lt;Author&gt;Labuhn&lt;/Author&gt;&lt;Year&gt;2010&lt;/Year&gt;&lt;RecNum&gt;140&lt;/RecNum&gt;&lt;DisplayText&gt;Labuhn et al. (2010)&lt;/DisplayText&gt;&lt;record&gt;&lt;rec-number&gt;140&lt;/rec-number&gt;&lt;foreign-keys&gt;&lt;key app="EN" db-id="xa2r2ewea92trkef5dt5arvbzafvpv2za5ft" timestamp="1442161764"&gt;140&lt;/key&gt;&lt;/foreign-keys&gt;&lt;ref-type name="Journal Article"&gt;17&lt;/ref-type&gt;&lt;contributors&gt;&lt;authors&gt;&lt;author&gt;Labuhn, Andju Sara&lt;/author&gt;&lt;author&gt;Zimmerman, Barry J.&lt;/author&gt;&lt;author&gt;Hasselhorn, Marcus&lt;/author&gt;&lt;/authors&gt;&lt;/contributors&gt;&lt;titles&gt;&lt;title&gt;Enhancing students’ self-regulation and mathematics performance: the influence of feedback and self-evaluative standards&lt;/title&gt;&lt;secondary-title&gt;Metacognition and Learning&lt;/secondary-title&gt;&lt;/titles&gt;&lt;periodical&gt;&lt;full-title&gt;Metacognition and Learning&lt;/full-title&gt;&lt;/periodical&gt;&lt;pages&gt;173-194&lt;/pages&gt;&lt;volume&gt;5&lt;/volume&gt;&lt;number&gt;2&lt;/number&gt;&lt;dates&gt;&lt;year&gt;2010&lt;/year&gt;&lt;/dates&gt;&lt;publisher&gt;Springer&lt;/publisher&gt;&lt;urls&gt;&lt;/urls&gt;&lt;/record&gt;&lt;/Cite&gt;&lt;/EndNote&gt;</w:instrText>
        </w:r>
        <w:r w:rsidR="0094469E" w:rsidRPr="003726FE">
          <w:rPr>
            <w:lang w:val="en-GB"/>
          </w:rPr>
          <w:fldChar w:fldCharType="separate"/>
        </w:r>
        <w:r w:rsidR="0094469E" w:rsidRPr="003726FE">
          <w:rPr>
            <w:noProof/>
            <w:lang w:val="en-GB"/>
          </w:rPr>
          <w:t>Labuhn et al. (2010)</w:t>
        </w:r>
        <w:r w:rsidR="0094469E" w:rsidRPr="003726FE">
          <w:rPr>
            <w:lang w:val="en-GB"/>
          </w:rPr>
          <w:fldChar w:fldCharType="end"/>
        </w:r>
      </w:hyperlink>
      <w:r w:rsidR="002B1852" w:rsidRPr="003726FE">
        <w:rPr>
          <w:lang w:val="en-GB"/>
        </w:rPr>
        <w:t xml:space="preserve">; </w:t>
      </w:r>
      <w:hyperlink w:anchor="_ENREF_80" w:tooltip="Cleary, 2011 #606" w:history="1">
        <w:r w:rsidR="0094469E" w:rsidRPr="003726FE">
          <w:rPr>
            <w:lang w:val="en-GB"/>
          </w:rPr>
          <w:fldChar w:fldCharType="begin"/>
        </w:r>
        <w:r w:rsidR="0094469E">
          <w:rPr>
            <w:lang w:val="en-GB"/>
          </w:rPr>
          <w:instrText xml:space="preserve"> ADDIN EN.CITE &lt;EndNote&gt;&lt;Cite AuthorYear="1"&gt;&lt;Author&gt;Cleary&lt;/Author&gt;&lt;Year&gt;2011&lt;/Year&gt;&lt;RecNum&gt;606&lt;/RecNum&gt;&lt;DisplayText&gt;Cleary (2011)&lt;/DisplayText&gt;&lt;record&gt;&lt;rec-number&gt;606&lt;/rec-number&gt;&lt;foreign-keys&gt;&lt;key app="EN" db-id="xa2r2ewea92trkef5dt5arvbzafvpv2za5ft" timestamp="1496417559"&gt;606&lt;/key&gt;&lt;/foreign-keys&gt;&lt;ref-type name="Journal Article"&gt;17&lt;/ref-type&gt;&lt;contributors&gt;&lt;authors&gt;&lt;author&gt;Cleary, Timothy J&lt;/author&gt;&lt;/authors&gt;&lt;/contributors&gt;&lt;titles&gt;&lt;title&gt;Emergence of self-regulated learning microanalysis&lt;/title&gt;&lt;secondary-title&gt;Handbook of self-regulation of learning and performance&lt;/secondary-title&gt;&lt;/titles&gt;&lt;periodical&gt;&lt;full-title&gt;Handbook of self-regulation of learning and performance&lt;/full-title&gt;&lt;/periodical&gt;&lt;pages&gt;329-345&lt;/pages&gt;&lt;dates&gt;&lt;year&gt;2011&lt;/year&gt;&lt;/dates&gt;&lt;urls&gt;&lt;/urls&gt;&lt;/record&gt;&lt;/Cite&gt;&lt;/EndNote&gt;</w:instrText>
        </w:r>
        <w:r w:rsidR="0094469E" w:rsidRPr="003726FE">
          <w:rPr>
            <w:lang w:val="en-GB"/>
          </w:rPr>
          <w:fldChar w:fldCharType="separate"/>
        </w:r>
        <w:r w:rsidR="0094469E" w:rsidRPr="003726FE">
          <w:rPr>
            <w:noProof/>
            <w:lang w:val="en-GB"/>
          </w:rPr>
          <w:t>Cleary (2011)</w:t>
        </w:r>
        <w:r w:rsidR="0094469E" w:rsidRPr="003726FE">
          <w:rPr>
            <w:lang w:val="en-GB"/>
          </w:rPr>
          <w:fldChar w:fldCharType="end"/>
        </w:r>
      </w:hyperlink>
      <w:r w:rsidR="002B1852" w:rsidRPr="003726FE">
        <w:rPr>
          <w:lang w:val="en-GB"/>
        </w:rPr>
        <w:t>.</w:t>
      </w:r>
      <w:bookmarkEnd w:id="132"/>
      <w:bookmarkEnd w:id="133"/>
      <w:bookmarkEnd w:id="134"/>
    </w:p>
    <w:tbl>
      <w:tblPr>
        <w:tblStyle w:val="TableGrid"/>
        <w:tblW w:w="8500" w:type="dxa"/>
        <w:tblLook w:val="04A0" w:firstRow="1" w:lastRow="0" w:firstColumn="1" w:lastColumn="0" w:noHBand="0" w:noVBand="1"/>
      </w:tblPr>
      <w:tblGrid>
        <w:gridCol w:w="2263"/>
        <w:gridCol w:w="6237"/>
      </w:tblGrid>
      <w:tr w:rsidR="008E5CB4" w:rsidRPr="003726FE" w14:paraId="0153B016" w14:textId="77777777" w:rsidTr="00357640">
        <w:tc>
          <w:tcPr>
            <w:tcW w:w="2263" w:type="dxa"/>
            <w:shd w:val="clear" w:color="auto" w:fill="FFFFFF" w:themeFill="background1"/>
            <w:vAlign w:val="center"/>
          </w:tcPr>
          <w:p w14:paraId="6698B419" w14:textId="0296EF8C" w:rsidR="008E5CB4" w:rsidRPr="003726FE" w:rsidRDefault="008E5CB4" w:rsidP="008E5CB4">
            <w:pPr>
              <w:spacing w:line="360" w:lineRule="auto"/>
              <w:jc w:val="center"/>
              <w:rPr>
                <w:b/>
                <w:color w:val="000000" w:themeColor="text1"/>
                <w:shd w:val="clear" w:color="auto" w:fill="FFFFFF"/>
              </w:rPr>
            </w:pPr>
            <w:r w:rsidRPr="003726FE">
              <w:rPr>
                <w:b/>
                <w:color w:val="000000" w:themeColor="text1"/>
                <w:shd w:val="clear" w:color="auto" w:fill="FFFFFF"/>
              </w:rPr>
              <w:t>Aspect</w:t>
            </w:r>
          </w:p>
        </w:tc>
        <w:tc>
          <w:tcPr>
            <w:tcW w:w="6237" w:type="dxa"/>
            <w:shd w:val="clear" w:color="auto" w:fill="FFFFFF" w:themeFill="background1"/>
            <w:vAlign w:val="center"/>
          </w:tcPr>
          <w:p w14:paraId="0B421607" w14:textId="5D6E1850" w:rsidR="008E5CB4" w:rsidRPr="003726FE" w:rsidRDefault="008E5CB4" w:rsidP="008E5CB4">
            <w:pPr>
              <w:spacing w:line="360" w:lineRule="auto"/>
              <w:jc w:val="center"/>
              <w:rPr>
                <w:b/>
                <w:color w:val="000000" w:themeColor="text1"/>
                <w:shd w:val="clear" w:color="auto" w:fill="FFFFFF"/>
              </w:rPr>
            </w:pPr>
            <w:r w:rsidRPr="003726FE">
              <w:rPr>
                <w:b/>
                <w:color w:val="000000" w:themeColor="text1"/>
                <w:shd w:val="clear" w:color="auto" w:fill="FFFFFF"/>
              </w:rPr>
              <w:t>Description</w:t>
            </w:r>
          </w:p>
        </w:tc>
      </w:tr>
      <w:tr w:rsidR="00A10990" w:rsidRPr="003726FE" w14:paraId="25A0CCBA" w14:textId="77777777" w:rsidTr="00357640">
        <w:tc>
          <w:tcPr>
            <w:tcW w:w="2263" w:type="dxa"/>
            <w:vAlign w:val="center"/>
          </w:tcPr>
          <w:p w14:paraId="1D99F948" w14:textId="77777777" w:rsidR="00A10990" w:rsidRPr="003726FE" w:rsidRDefault="00A10990" w:rsidP="00BF765F">
            <w:pPr>
              <w:spacing w:line="360" w:lineRule="auto"/>
              <w:jc w:val="center"/>
              <w:rPr>
                <w:color w:val="000000" w:themeColor="text1"/>
                <w:shd w:val="clear" w:color="auto" w:fill="FFFFFF"/>
              </w:rPr>
            </w:pPr>
            <w:r w:rsidRPr="003726FE">
              <w:rPr>
                <w:color w:val="000000" w:themeColor="text1"/>
                <w:shd w:val="clear" w:color="auto" w:fill="FFFFFF"/>
              </w:rPr>
              <w:t>Theoretical grounding</w:t>
            </w:r>
          </w:p>
        </w:tc>
        <w:tc>
          <w:tcPr>
            <w:tcW w:w="6237" w:type="dxa"/>
          </w:tcPr>
          <w:p w14:paraId="36FD11CE" w14:textId="59B9E733" w:rsidR="00A10990" w:rsidRPr="003726FE" w:rsidRDefault="00A10990" w:rsidP="00B52FBE">
            <w:pPr>
              <w:pStyle w:val="ListParagraph"/>
              <w:numPr>
                <w:ilvl w:val="0"/>
                <w:numId w:val="5"/>
              </w:numPr>
              <w:spacing w:line="360" w:lineRule="auto"/>
              <w:ind w:left="318"/>
              <w:rPr>
                <w:color w:val="000000" w:themeColor="text1"/>
                <w:shd w:val="clear" w:color="auto" w:fill="FFFFFF"/>
              </w:rPr>
            </w:pPr>
            <w:r w:rsidRPr="003726FE">
              <w:rPr>
                <w:color w:val="000000" w:themeColor="text1"/>
                <w:shd w:val="clear" w:color="auto" w:fill="FFFFFF"/>
              </w:rPr>
              <w:t>Zimmerman’s model</w:t>
            </w:r>
            <w:r w:rsidR="002B1852" w:rsidRPr="003726FE">
              <w:rPr>
                <w:color w:val="000000" w:themeColor="text1"/>
                <w:shd w:val="clear" w:color="auto" w:fill="FFFFFF"/>
              </w:rPr>
              <w:t xml:space="preserve"> is used as a theoretical base</w:t>
            </w:r>
            <w:r w:rsidRPr="003726FE">
              <w:rPr>
                <w:color w:val="000000" w:themeColor="text1"/>
                <w:shd w:val="clear" w:color="auto" w:fill="FFFFFF"/>
              </w:rPr>
              <w:t xml:space="preserve">, this is maintained by the </w:t>
            </w:r>
            <w:r w:rsidR="000B1BAA" w:rsidRPr="003726FE">
              <w:rPr>
                <w:color w:val="000000" w:themeColor="text1"/>
                <w:shd w:val="clear" w:color="auto" w:fill="FFFFFF"/>
              </w:rPr>
              <w:t>remaining aspects in this table.</w:t>
            </w:r>
          </w:p>
        </w:tc>
      </w:tr>
      <w:tr w:rsidR="00A10990" w:rsidRPr="003726FE" w14:paraId="164F7C99" w14:textId="77777777" w:rsidTr="00357640">
        <w:trPr>
          <w:trHeight w:val="1727"/>
        </w:trPr>
        <w:tc>
          <w:tcPr>
            <w:tcW w:w="2263" w:type="dxa"/>
            <w:vAlign w:val="center"/>
          </w:tcPr>
          <w:p w14:paraId="24DABA96" w14:textId="77777777" w:rsidR="00A10990" w:rsidRPr="003726FE" w:rsidRDefault="00A10990" w:rsidP="00BF765F">
            <w:pPr>
              <w:spacing w:line="360" w:lineRule="auto"/>
              <w:jc w:val="center"/>
              <w:rPr>
                <w:color w:val="000000" w:themeColor="text1"/>
                <w:shd w:val="clear" w:color="auto" w:fill="FFFFFF"/>
              </w:rPr>
            </w:pPr>
            <w:r w:rsidRPr="003726FE">
              <w:rPr>
                <w:color w:val="000000" w:themeColor="text1"/>
                <w:shd w:val="clear" w:color="auto" w:fill="FFFFFF"/>
              </w:rPr>
              <w:t>Task specific questions</w:t>
            </w:r>
          </w:p>
        </w:tc>
        <w:tc>
          <w:tcPr>
            <w:tcW w:w="6237" w:type="dxa"/>
          </w:tcPr>
          <w:p w14:paraId="7634DD1D" w14:textId="77777777" w:rsidR="00A10990" w:rsidRPr="003726FE" w:rsidRDefault="00A10990" w:rsidP="000B7C1A">
            <w:pPr>
              <w:pStyle w:val="ListParagraph"/>
              <w:numPr>
                <w:ilvl w:val="0"/>
                <w:numId w:val="5"/>
              </w:numPr>
              <w:spacing w:line="360" w:lineRule="auto"/>
              <w:ind w:left="318"/>
              <w:rPr>
                <w:color w:val="000000" w:themeColor="text1"/>
                <w:shd w:val="clear" w:color="auto" w:fill="FFFFFF"/>
              </w:rPr>
            </w:pPr>
            <w:r w:rsidRPr="003726FE">
              <w:rPr>
                <w:color w:val="000000" w:themeColor="text1"/>
                <w:shd w:val="clear" w:color="auto" w:fill="FFFFFF"/>
              </w:rPr>
              <w:t>Assumes SRL is context specific and questions are designed to assess in one specific context.</w:t>
            </w:r>
          </w:p>
          <w:p w14:paraId="65138C75" w14:textId="77777777" w:rsidR="00A10990" w:rsidRPr="003726FE" w:rsidRDefault="00A10990" w:rsidP="000B7C1A">
            <w:pPr>
              <w:pStyle w:val="ListParagraph"/>
              <w:numPr>
                <w:ilvl w:val="0"/>
                <w:numId w:val="5"/>
              </w:numPr>
              <w:spacing w:line="360" w:lineRule="auto"/>
              <w:ind w:left="318"/>
              <w:rPr>
                <w:color w:val="000000" w:themeColor="text1"/>
                <w:shd w:val="clear" w:color="auto" w:fill="FFFFFF"/>
              </w:rPr>
            </w:pPr>
            <w:r w:rsidRPr="003726FE">
              <w:rPr>
                <w:color w:val="000000" w:themeColor="text1"/>
                <w:shd w:val="clear" w:color="auto" w:fill="FFFFFF"/>
              </w:rPr>
              <w:t>Produces fine grained SRL data situated in a specific context.</w:t>
            </w:r>
          </w:p>
          <w:p w14:paraId="378F7A31" w14:textId="21EAC8D3" w:rsidR="00A10990" w:rsidRPr="003726FE" w:rsidRDefault="00A10990" w:rsidP="000B7C1A">
            <w:pPr>
              <w:pStyle w:val="ListParagraph"/>
              <w:numPr>
                <w:ilvl w:val="0"/>
                <w:numId w:val="5"/>
              </w:numPr>
              <w:spacing w:line="360" w:lineRule="auto"/>
              <w:ind w:left="318"/>
              <w:rPr>
                <w:color w:val="000000" w:themeColor="text1"/>
                <w:shd w:val="clear" w:color="auto" w:fill="FFFFFF"/>
              </w:rPr>
            </w:pPr>
            <w:r w:rsidRPr="003726FE">
              <w:rPr>
                <w:color w:val="000000" w:themeColor="text1"/>
                <w:shd w:val="clear" w:color="auto" w:fill="FFFFFF"/>
              </w:rPr>
              <w:t xml:space="preserve">The single measure items </w:t>
            </w:r>
            <w:r w:rsidR="000B1BAA" w:rsidRPr="003726FE">
              <w:rPr>
                <w:color w:val="000000" w:themeColor="text1"/>
                <w:shd w:val="clear" w:color="auto" w:fill="FFFFFF"/>
              </w:rPr>
              <w:t xml:space="preserve">measuring one process at a time </w:t>
            </w:r>
            <w:r w:rsidRPr="003726FE">
              <w:rPr>
                <w:color w:val="000000" w:themeColor="text1"/>
                <w:shd w:val="clear" w:color="auto" w:fill="FFFFFF"/>
              </w:rPr>
              <w:t>minimises aggregation and loss of contextual factors – as opposed to questionnaires using multiple items</w:t>
            </w:r>
            <w:r w:rsidR="000B1BAA" w:rsidRPr="003726FE">
              <w:rPr>
                <w:color w:val="000000" w:themeColor="text1"/>
                <w:shd w:val="clear" w:color="auto" w:fill="FFFFFF"/>
              </w:rPr>
              <w:t>.</w:t>
            </w:r>
          </w:p>
        </w:tc>
      </w:tr>
      <w:tr w:rsidR="00A10990" w:rsidRPr="003726FE" w14:paraId="3624959D" w14:textId="77777777" w:rsidTr="00357640">
        <w:tc>
          <w:tcPr>
            <w:tcW w:w="2263" w:type="dxa"/>
            <w:vAlign w:val="center"/>
          </w:tcPr>
          <w:p w14:paraId="0CA6C5FC" w14:textId="77777777" w:rsidR="00A10990" w:rsidRPr="003726FE" w:rsidRDefault="00A10990" w:rsidP="00BF765F">
            <w:pPr>
              <w:spacing w:line="360" w:lineRule="auto"/>
              <w:jc w:val="center"/>
              <w:rPr>
                <w:color w:val="000000" w:themeColor="text1"/>
                <w:shd w:val="clear" w:color="auto" w:fill="FFFFFF"/>
              </w:rPr>
            </w:pPr>
            <w:r w:rsidRPr="003726FE">
              <w:rPr>
                <w:color w:val="000000" w:themeColor="text1"/>
                <w:shd w:val="clear" w:color="auto" w:fill="FFFFFF"/>
              </w:rPr>
              <w:t>Specific SRL processes</w:t>
            </w:r>
          </w:p>
        </w:tc>
        <w:tc>
          <w:tcPr>
            <w:tcW w:w="6237" w:type="dxa"/>
          </w:tcPr>
          <w:p w14:paraId="75060ACB" w14:textId="77777777"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Questions in the protocol specifically target processes directly from the theoretical model.</w:t>
            </w:r>
          </w:p>
          <w:p w14:paraId="03D8FB12" w14:textId="37438216"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The wording of each question directly correspond</w:t>
            </w:r>
            <w:r w:rsidR="000B1BAA" w:rsidRPr="003726FE">
              <w:rPr>
                <w:color w:val="000000" w:themeColor="text1"/>
                <w:shd w:val="clear" w:color="auto" w:fill="FFFFFF"/>
              </w:rPr>
              <w:t>s</w:t>
            </w:r>
            <w:r w:rsidRPr="003726FE">
              <w:rPr>
                <w:color w:val="000000" w:themeColor="text1"/>
                <w:shd w:val="clear" w:color="auto" w:fill="FFFFFF"/>
              </w:rPr>
              <w:t xml:space="preserve"> to the definitions of the processes being assessed. </w:t>
            </w:r>
          </w:p>
        </w:tc>
      </w:tr>
      <w:tr w:rsidR="00A10990" w:rsidRPr="003726FE" w14:paraId="43AD4DEA" w14:textId="77777777" w:rsidTr="00357640">
        <w:tc>
          <w:tcPr>
            <w:tcW w:w="2263" w:type="dxa"/>
            <w:vAlign w:val="center"/>
          </w:tcPr>
          <w:p w14:paraId="348C8B17" w14:textId="77777777" w:rsidR="00A10990" w:rsidRPr="003726FE" w:rsidRDefault="00A10990" w:rsidP="00BF765F">
            <w:pPr>
              <w:spacing w:line="360" w:lineRule="auto"/>
              <w:jc w:val="center"/>
              <w:rPr>
                <w:color w:val="000000" w:themeColor="text1"/>
                <w:shd w:val="clear" w:color="auto" w:fill="FFFFFF"/>
              </w:rPr>
            </w:pPr>
            <w:r w:rsidRPr="003726FE">
              <w:rPr>
                <w:color w:val="000000" w:themeColor="text1"/>
                <w:shd w:val="clear" w:color="auto" w:fill="FFFFFF"/>
              </w:rPr>
              <w:t>Timing of application</w:t>
            </w:r>
          </w:p>
        </w:tc>
        <w:tc>
          <w:tcPr>
            <w:tcW w:w="6237" w:type="dxa"/>
          </w:tcPr>
          <w:p w14:paraId="0EC0D025" w14:textId="33E246E2"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SRL MA is a real time measure, this allows the interviewer to assess an individual’s cognitions and behaviours during a specific task</w:t>
            </w:r>
            <w:r w:rsidR="000B1BAA" w:rsidRPr="003726FE">
              <w:rPr>
                <w:color w:val="000000" w:themeColor="text1"/>
                <w:shd w:val="clear" w:color="auto" w:fill="FFFFFF"/>
              </w:rPr>
              <w:t>.</w:t>
            </w:r>
          </w:p>
          <w:p w14:paraId="15FDC64E" w14:textId="77777777"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 xml:space="preserve">Questions can be linked temporally according to the 3 cyclical processes (before, during and after) precisely, unaffected by recall errors. This allows for better identification of these processes. </w:t>
            </w:r>
          </w:p>
        </w:tc>
      </w:tr>
      <w:tr w:rsidR="00A10990" w:rsidRPr="003726FE" w14:paraId="66130A52" w14:textId="77777777" w:rsidTr="00357640">
        <w:tc>
          <w:tcPr>
            <w:tcW w:w="2263" w:type="dxa"/>
            <w:vAlign w:val="center"/>
          </w:tcPr>
          <w:p w14:paraId="6A92F0F5" w14:textId="77777777" w:rsidR="00A10990" w:rsidRPr="003726FE" w:rsidRDefault="00A10990" w:rsidP="00BF765F">
            <w:pPr>
              <w:spacing w:line="360" w:lineRule="auto"/>
              <w:jc w:val="center"/>
              <w:rPr>
                <w:color w:val="000000" w:themeColor="text1"/>
                <w:shd w:val="clear" w:color="auto" w:fill="FFFFFF"/>
              </w:rPr>
            </w:pPr>
            <w:r w:rsidRPr="003726FE">
              <w:rPr>
                <w:color w:val="000000" w:themeColor="text1"/>
                <w:shd w:val="clear" w:color="auto" w:fill="FFFFFF"/>
              </w:rPr>
              <w:t>Recording verbatim and coding</w:t>
            </w:r>
          </w:p>
        </w:tc>
        <w:tc>
          <w:tcPr>
            <w:tcW w:w="6237" w:type="dxa"/>
          </w:tcPr>
          <w:p w14:paraId="2232D6E0" w14:textId="0AC60B1F"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The questioning style is brief and direct allowing for the prompt recording of responses, therefore minimising response bias</w:t>
            </w:r>
            <w:r w:rsidR="000B1BAA" w:rsidRPr="003726FE">
              <w:rPr>
                <w:color w:val="000000" w:themeColor="text1"/>
                <w:shd w:val="clear" w:color="auto" w:fill="FFFFFF"/>
              </w:rPr>
              <w:t>.</w:t>
            </w:r>
          </w:p>
          <w:p w14:paraId="136A0A1F" w14:textId="3A2D82FE" w:rsidR="00A10990" w:rsidRPr="003726FE" w:rsidRDefault="00A10990" w:rsidP="000B7C1A">
            <w:pPr>
              <w:pStyle w:val="ListParagraph"/>
              <w:numPr>
                <w:ilvl w:val="0"/>
                <w:numId w:val="6"/>
              </w:numPr>
              <w:spacing w:line="360" w:lineRule="auto"/>
              <w:ind w:left="318"/>
              <w:rPr>
                <w:color w:val="000000" w:themeColor="text1"/>
                <w:shd w:val="clear" w:color="auto" w:fill="FFFFFF"/>
              </w:rPr>
            </w:pPr>
            <w:r w:rsidRPr="003726FE">
              <w:rPr>
                <w:color w:val="000000" w:themeColor="text1"/>
                <w:shd w:val="clear" w:color="auto" w:fill="FFFFFF"/>
              </w:rPr>
              <w:t xml:space="preserve">Responses can be coded into meaningful categories, then </w:t>
            </w:r>
            <w:r w:rsidR="002B1852" w:rsidRPr="003726FE">
              <w:rPr>
                <w:color w:val="000000" w:themeColor="text1"/>
                <w:shd w:val="clear" w:color="auto" w:fill="FFFFFF"/>
              </w:rPr>
              <w:t>given feedback on immediately</w:t>
            </w:r>
            <w:r w:rsidRPr="003726FE">
              <w:rPr>
                <w:color w:val="000000" w:themeColor="text1"/>
                <w:shd w:val="clear" w:color="auto" w:fill="FFFFFF"/>
              </w:rPr>
              <w:t xml:space="preserve">. </w:t>
            </w:r>
          </w:p>
        </w:tc>
      </w:tr>
    </w:tbl>
    <w:p w14:paraId="037FDB70" w14:textId="77777777" w:rsidR="00A10990" w:rsidRPr="003726FE" w:rsidRDefault="00A10990" w:rsidP="00A10990">
      <w:pPr>
        <w:rPr>
          <w:color w:val="000000" w:themeColor="text1"/>
          <w:shd w:val="clear" w:color="auto" w:fill="FFFFFF"/>
        </w:rPr>
      </w:pPr>
    </w:p>
    <w:p w14:paraId="1FBB1ADA" w14:textId="77777777" w:rsidR="002F655D" w:rsidRDefault="002F655D">
      <w:pPr>
        <w:rPr>
          <w:rFonts w:eastAsia="Lucida Sans Unicode" w:cs="Mangal"/>
          <w:kern w:val="1"/>
          <w:szCs w:val="24"/>
          <w:shd w:val="clear" w:color="auto" w:fill="FFFFFF"/>
          <w:lang w:eastAsia="hi-IN" w:bidi="hi-IN"/>
        </w:rPr>
      </w:pPr>
      <w:r>
        <w:rPr>
          <w:shd w:val="clear" w:color="auto" w:fill="FFFFFF"/>
        </w:rPr>
        <w:br w:type="page"/>
      </w:r>
    </w:p>
    <w:p w14:paraId="5B11FD86" w14:textId="3045A8AA" w:rsidR="00A10990" w:rsidRPr="003726FE" w:rsidRDefault="00A10990" w:rsidP="00026049">
      <w:pPr>
        <w:pStyle w:val="Normal1"/>
        <w:rPr>
          <w:shd w:val="clear" w:color="auto" w:fill="FFFFFF"/>
          <w:lang w:val="en-GB"/>
        </w:rPr>
      </w:pPr>
      <w:r w:rsidRPr="003726FE">
        <w:rPr>
          <w:shd w:val="clear" w:color="auto" w:fill="FFFFFF"/>
          <w:lang w:val="en-GB"/>
        </w:rPr>
        <w:lastRenderedPageBreak/>
        <w:t xml:space="preserve">Building upon this illustration, SRL MA can be classified as an “event focused self-report” approach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&lt;EndNote&gt;&lt;Cite&gt;&lt;Author&gt;McCardle&lt;/Author&gt;&lt;Year&gt;2015&lt;/Year&gt;&lt;RecNum&gt;160&lt;/RecNum&gt;&lt;Pages&gt;46&lt;/Pages&gt;&lt;DisplayText&gt;(McCardle and Hadwin 2015, p. 46)&lt;/DisplayText&gt;&lt;record&gt;&lt;rec-number&gt;160&lt;/rec-number&gt;&lt;foreign-keys&gt;&lt;key app="EN" db-id="xa2r2ewea92trkef5dt5arvbzafvpv2za5ft" timestamp="1442161765"&gt;160&lt;/key&gt;&lt;/foreign-keys&gt;&lt;ref-type name="Journal Article"&gt;17&lt;/ref-type&gt;&lt;contributors&gt;&lt;authors&gt;&lt;author&gt;McCardle, Lindsay&lt;/author&gt;&lt;author&gt;Hadwin, Allyson F.&lt;/author&gt;&lt;/authors&gt;&lt;/contributors&gt;&lt;titles&gt;&lt;title&gt;Using multiple, contextualized data sources to measure learners’ perceptions of their self-regulated learning&lt;/title&gt;&lt;secondary-title&gt;Metacognition and Learning&lt;/secondary-title&gt;&lt;/titles&gt;&lt;periodical&gt;&lt;full-title&gt;Metacognition and Learning&lt;/full-title&gt;&lt;/periodical&gt;&lt;pages&gt;1-33&lt;/pages&gt;&lt;dates&gt;&lt;year&gt;2015&lt;/year&gt;&lt;/dates&gt;&lt;publisher&gt;Springer&lt;/publisher&gt;&lt;urls&gt;&lt;/urls&gt;&lt;/record&gt;&lt;/Cite&gt;&lt;/EndNote&gt;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63" w:tooltip="McCardle, 2015 #160" w:history="1">
        <w:r w:rsidR="0094469E" w:rsidRPr="003726FE">
          <w:rPr>
            <w:noProof/>
            <w:shd w:val="clear" w:color="auto" w:fill="FFFFFF"/>
            <w:lang w:val="en-GB"/>
          </w:rPr>
          <w:t>McCardle and Hadwin 2015, p. 46</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meaning that the </w:t>
      </w:r>
      <w:r w:rsidR="000B1BAA" w:rsidRPr="003726FE">
        <w:rPr>
          <w:shd w:val="clear" w:color="auto" w:fill="FFFFFF"/>
          <w:lang w:val="en-GB"/>
        </w:rPr>
        <w:t>teacher</w:t>
      </w:r>
      <w:r w:rsidRPr="003726FE">
        <w:rPr>
          <w:shd w:val="clear" w:color="auto" w:fill="FFFFFF"/>
          <w:lang w:val="en-GB"/>
        </w:rPr>
        <w:t xml:space="preserve"> can get an accurate and instant view of the participant’s SRL processes. Proponents of SRL MA argue that other self-report measures, </w:t>
      </w:r>
      <w:r w:rsidR="0021662A">
        <w:rPr>
          <w:lang w:val="en-GB"/>
        </w:rPr>
        <w:t>including</w:t>
      </w:r>
      <w:r w:rsidRPr="003726FE">
        <w:rPr>
          <w:shd w:val="clear" w:color="auto" w:fill="FFFFFF"/>
          <w:lang w:val="en-GB"/>
        </w:rPr>
        <w:t xml:space="preserve"> questionnaires, are limited by a number of factors</w:t>
      </w:r>
      <w:r w:rsidR="00BF765F" w:rsidRPr="003726FE">
        <w:rPr>
          <w:shd w:val="clear" w:color="auto" w:fill="FFFFFF"/>
          <w:lang w:val="en-GB"/>
        </w:rPr>
        <w:t>, including</w:t>
      </w:r>
      <w:r w:rsidRPr="003726FE">
        <w:rPr>
          <w:shd w:val="clear" w:color="auto" w:fill="FFFFFF"/>
          <w:lang w:val="en-GB"/>
        </w:rPr>
        <w:t xml:space="preserve">: inaccurate recall of SRL processes, responses based on multiple contexts and experiences, report of desired rather than actual strategies/behaviours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&lt;EndNote&gt;&lt;Cite&gt;&lt;Author&gt;Winne&lt;/Author&gt;&lt;Year&gt;2011&lt;/Year&gt;&lt;RecNum&gt;268&lt;/RecNum&gt;&lt;DisplayText&gt;(Winne et al. 2011)&lt;/DisplayText&gt;&lt;record&gt;&lt;rec-number&gt;268&lt;/rec-number&gt;&lt;foreign-keys&gt;&lt;key app="EN" db-id="xa2r2ewea92trkef5dt5arvbzafvpv2za5ft" timestamp="1442161766"&gt;268&lt;/key&gt;&lt;/foreign-keys&gt;&lt;ref-type name="Journal Article"&gt;17&lt;/ref-type&gt;&lt;contributors&gt;&lt;authors&gt;&lt;author&gt;Winne, P. H.&lt;/author&gt;&lt;author&gt;Zhou, M.&lt;/author&gt;&lt;author&gt;Egan, R.&lt;/author&gt;&lt;/authors&gt;&lt;/contributors&gt;&lt;titles&gt;&lt;title&gt;Designing assessments of self-regulated learning&lt;/title&gt;&lt;secondary-title&gt;Assessment of higher order thinking skills&lt;/secondary-title&gt;&lt;/titles&gt;&lt;periodical&gt;&lt;full-title&gt;Assessment of higher order thinking skills&lt;/full-title&gt;&lt;/periodical&gt;&lt;pages&gt;89-118&lt;/pages&gt;&lt;dates&gt;&lt;year&gt;2011&lt;/year&gt;&lt;/dates&gt;&lt;publisher&gt;IAP Charlotte, NC&lt;/publisher&gt;&lt;urls&gt;&lt;/urls&gt;&lt;/record&gt;&lt;/Cite&gt;&lt;/EndNote&gt;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46" w:tooltip="Winne, 2011 #268" w:history="1">
        <w:r w:rsidR="0094469E" w:rsidRPr="003726FE">
          <w:rPr>
            <w:noProof/>
            <w:shd w:val="clear" w:color="auto" w:fill="FFFFFF"/>
            <w:lang w:val="en-GB"/>
          </w:rPr>
          <w:t>Winne et al. 2011</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SRL MA allows for the observation of the evolution of learner perceptions during tasks and between study sessions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&lt;EndNote&gt;&lt;Cite&gt;&lt;Author&gt;McCardle&lt;/Author&gt;&lt;Year&gt;2015&lt;/Year&gt;&lt;RecNum&gt;160&lt;/RecNum&gt;&lt;DisplayText&gt;(McCardle and Hadwin 2015)&lt;/DisplayText&gt;&lt;record&gt;&lt;rec-number&gt;160&lt;/rec-number&gt;&lt;foreign-keys&gt;&lt;key app="EN" db-id="xa2r2ewea92trkef5dt5arvbzafvpv2za5ft" timestamp="1442161765"&gt;160&lt;/key&gt;&lt;/foreign-keys&gt;&lt;ref-type name="Journal Article"&gt;17&lt;/ref-type&gt;&lt;contributors&gt;&lt;authors&gt;&lt;author&gt;McCardle, Lindsay&lt;/author&gt;&lt;author&gt;Hadwin, Allyson F.&lt;/author&gt;&lt;/authors&gt;&lt;/contributors&gt;&lt;titles&gt;&lt;title&gt;Using multiple, contextualized data sources to measure learners’ perceptions of their self-regulated learning&lt;/title&gt;&lt;secondary-title&gt;Metacognition and Learning&lt;/secondary-title&gt;&lt;/titles&gt;&lt;periodical&gt;&lt;full-title&gt;Metacognition and Learning&lt;/full-title&gt;&lt;/periodical&gt;&lt;pages&gt;1-33&lt;/pages&gt;&lt;dates&gt;&lt;year&gt;2015&lt;/year&gt;&lt;/dates&gt;&lt;publisher&gt;Springer&lt;/publisher&gt;&lt;urls&gt;&lt;/urls&gt;&lt;/record&gt;&lt;/Cite&gt;&lt;/EndNote&gt;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63" w:tooltip="McCardle, 2015 #160" w:history="1">
        <w:r w:rsidR="0094469E" w:rsidRPr="003726FE">
          <w:rPr>
            <w:noProof/>
            <w:shd w:val="clear" w:color="auto" w:fill="FFFFFF"/>
            <w:lang w:val="en-GB"/>
          </w:rPr>
          <w:t>McCardle and Hadwin 2015</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A similar event measure known as ‘think-aloud’ protocols </w:t>
      </w:r>
      <w:r w:rsidR="00E80034">
        <w:rPr>
          <w:shd w:val="clear" w:color="auto" w:fill="FFFFFF"/>
          <w:lang w:val="en-GB"/>
        </w:rPr>
        <w:fldChar w:fldCharType="begin"/>
      </w:r>
      <w:r w:rsidR="00E80034">
        <w:rPr>
          <w:shd w:val="clear" w:color="auto" w:fill="FFFFFF"/>
          <w:lang w:val="en-GB"/>
        </w:rPr>
        <w:instrText xml:space="preserve"> ADDIN EN.CITE &lt;EndNote&gt;&lt;Cite&gt;&lt;Author&gt;Ericsson&lt;/Author&gt;&lt;Year&gt;2006&lt;/Year&gt;&lt;RecNum&gt;74&lt;/RecNum&gt;&lt;DisplayText&gt;(Ericsson 2006)&lt;/DisplayText&gt;&lt;record&gt;&lt;rec-number&gt;74&lt;/rec-number&gt;&lt;foreign-keys&gt;&lt;key app="EN" db-id="xa2r2ewea92trkef5dt5arvbzafvpv2za5ft" timestamp="1442161763"&gt;74&lt;/key&gt;&lt;/foreign-keys&gt;&lt;ref-type name="Journal Article"&gt;17&lt;/ref-type&gt;&lt;contributors&gt;&lt;authors&gt;&lt;author&gt;Ericsson, K. Anders&lt;/author&gt;&lt;/authors&gt;&lt;/contributors&gt;&lt;titles&gt;&lt;title&gt;Protocol analysis and expert thought: Concurrent verbalizations of thinking during experts’ performance on representative tasks&lt;/title&gt;&lt;secondary-title&gt;The Cambridge handbook of expertise and expert performance&lt;/secondary-title&gt;&lt;/titles&gt;&lt;periodical&gt;&lt;full-title&gt;The Cambridge handbook of expertise and expert performance&lt;/full-title&gt;&lt;/periodical&gt;&lt;pages&gt;223-241&lt;/pages&gt;&lt;dates&gt;&lt;year&gt;2006&lt;/year&gt;&lt;/dates&gt;&lt;publisher&gt;Cambridge University Press New York&lt;/publisher&gt;&lt;urls&gt;&lt;/urls&gt;&lt;/record&gt;&lt;/Cite&gt;&lt;/EndNote&gt;</w:instrText>
      </w:r>
      <w:r w:rsidR="00E80034">
        <w:rPr>
          <w:shd w:val="clear" w:color="auto" w:fill="FFFFFF"/>
          <w:lang w:val="en-GB"/>
        </w:rPr>
        <w:fldChar w:fldCharType="separate"/>
      </w:r>
      <w:r w:rsidR="00E80034">
        <w:rPr>
          <w:noProof/>
          <w:shd w:val="clear" w:color="auto" w:fill="FFFFFF"/>
          <w:lang w:val="en-GB"/>
        </w:rPr>
        <w:t>(</w:t>
      </w:r>
      <w:hyperlink w:anchor="_ENREF_140" w:tooltip="Ericsson, 2006 #74" w:history="1">
        <w:r w:rsidR="0094469E">
          <w:rPr>
            <w:noProof/>
            <w:shd w:val="clear" w:color="auto" w:fill="FFFFFF"/>
            <w:lang w:val="en-GB"/>
          </w:rPr>
          <w:t>Ericsson 2006</w:t>
        </w:r>
      </w:hyperlink>
      <w:r w:rsidR="00E80034">
        <w:rPr>
          <w:noProof/>
          <w:shd w:val="clear" w:color="auto" w:fill="FFFFFF"/>
          <w:lang w:val="en-GB"/>
        </w:rPr>
        <w:t>)</w:t>
      </w:r>
      <w:r w:rsidR="00E80034">
        <w:rPr>
          <w:shd w:val="clear" w:color="auto" w:fill="FFFFFF"/>
          <w:lang w:val="en-GB"/>
        </w:rPr>
        <w:fldChar w:fldCharType="end"/>
      </w:r>
      <w:r w:rsidRPr="003726FE">
        <w:rPr>
          <w:shd w:val="clear" w:color="auto" w:fill="FFFFFF"/>
          <w:lang w:val="en-GB"/>
        </w:rPr>
        <w:t xml:space="preserve"> use</w:t>
      </w:r>
      <w:r w:rsidR="00775E80">
        <w:rPr>
          <w:shd w:val="clear" w:color="auto" w:fill="FFFFFF"/>
          <w:lang w:val="en-GB"/>
        </w:rPr>
        <w:t>s</w:t>
      </w:r>
      <w:r w:rsidRPr="003726FE">
        <w:rPr>
          <w:shd w:val="clear" w:color="auto" w:fill="FFFFFF"/>
          <w:lang w:val="en-GB"/>
        </w:rPr>
        <w:t xml:space="preserve"> a similar framework and involve</w:t>
      </w:r>
      <w:r w:rsidR="00775E80">
        <w:rPr>
          <w:shd w:val="clear" w:color="auto" w:fill="FFFFFF"/>
          <w:lang w:val="en-GB"/>
        </w:rPr>
        <w:t>s</w:t>
      </w:r>
      <w:r w:rsidRPr="003726FE">
        <w:rPr>
          <w:shd w:val="clear" w:color="auto" w:fill="FFFFFF"/>
          <w:lang w:val="en-GB"/>
        </w:rPr>
        <w:t xml:space="preserve"> the individual verbalising their thoughts in real time to assess SRL </w:t>
      </w:r>
      <w:r w:rsidR="00775E80">
        <w:rPr>
          <w:shd w:val="clear" w:color="auto" w:fill="FFFFFF"/>
          <w:lang w:val="en-GB"/>
        </w:rPr>
        <w:t>in</w:t>
      </w:r>
      <w:r w:rsidRPr="003726FE">
        <w:rPr>
          <w:shd w:val="clear" w:color="auto" w:fill="FFFFFF"/>
          <w:lang w:val="en-GB"/>
        </w:rPr>
        <w:t xml:space="preserve"> a specific task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&lt;EndNote&gt;&lt;Cite&gt;&lt;Author&gt;Greene&lt;/Author&gt;&lt;Year&gt;2007&lt;/Year&gt;&lt;RecNum&gt;94&lt;/RecNum&gt;&lt;DisplayText&gt;(Greene and Azevedo 2007)&lt;/DisplayText&gt;&lt;record&gt;&lt;rec-number&gt;94&lt;/rec-number&gt;&lt;foreign-keys&gt;&lt;key app="EN" db-id="xa2r2ewea92trkef5dt5arvbzafvpv2za5ft" timestamp="1442161764"&gt;94&lt;/key&gt;&lt;/foreign-keys&gt;&lt;ref-type name="Journal Article"&gt;17&lt;/ref-type&gt;&lt;contributors&gt;&lt;authors&gt;&lt;author&gt;Greene, Jeffrey Alan&lt;/author&gt;&lt;author&gt;Azevedo, Roger&lt;/author&gt;&lt;/authors&gt;&lt;/contributors&gt;&lt;titles&gt;&lt;title&gt;Adolescents&amp;apos; use of self-regulatory processes and their relation to qualitative mental model shifts while using hypermedia&lt;/title&gt;&lt;secondary-title&gt;Journal of Educational Computing Research&lt;/secondary-title&gt;&lt;/titles&gt;&lt;periodical&gt;&lt;full-title&gt;Journal of Educational Computing Research&lt;/full-title&gt;&lt;/periodical&gt;&lt;pages&gt;125-148&lt;/pages&gt;&lt;volume&gt;36&lt;/volume&gt;&lt;number&gt;2&lt;/number&gt;&lt;dates&gt;&lt;year&gt;2007&lt;/year&gt;&lt;/dates&gt;&lt;publisher&gt;SAGE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67" w:tooltip="Greene, 2007 #94" w:history="1">
        <w:r w:rsidR="0094469E" w:rsidRPr="003726FE">
          <w:rPr>
            <w:noProof/>
            <w:shd w:val="clear" w:color="auto" w:fill="FFFFFF"/>
            <w:lang w:val="en-GB"/>
          </w:rPr>
          <w:t>Greene and Azevedo 2007</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This type of protocol is vague and may misrepresent one’s thoughts when asked such a broad and singular question as “what are you thinking about?”</w:t>
      </w:r>
      <w:r w:rsidR="00E80034">
        <w:rPr>
          <w:shd w:val="clear" w:color="auto" w:fill="FFFFFF"/>
          <w:lang w:val="en-GB"/>
        </w:rPr>
        <w:t>,</w:t>
      </w:r>
      <w:r w:rsidRPr="003726FE">
        <w:rPr>
          <w:shd w:val="clear" w:color="auto" w:fill="FFFFFF"/>
          <w:lang w:val="en-GB"/>
        </w:rPr>
        <w:t xml:space="preserve"> which is invariably used in this type of protocol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&lt;EndNote&gt;&lt;Cite&gt;&lt;Author&gt;Bandura&lt;/Author&gt;&lt;Year&gt;1986&lt;/Year&gt;&lt;RecNum&gt;6&lt;/RecNum&gt;&lt;DisplayText&gt;(Bandura 1986)&lt;/DisplayText&gt;&lt;record&gt;&lt;rec-number&gt;6&lt;/rec-number&gt;&lt;foreign-keys&gt;&lt;key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4" w:tooltip="Bandura, 1986 #6" w:history="1">
        <w:r w:rsidR="0094469E" w:rsidRPr="003726FE">
          <w:rPr>
            <w:noProof/>
            <w:shd w:val="clear" w:color="auto" w:fill="FFFFFF"/>
            <w:lang w:val="en-GB"/>
          </w:rPr>
          <w:t>Bandura 1986</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A framework of </w:t>
      </w:r>
      <w:r w:rsidR="00775E80">
        <w:rPr>
          <w:shd w:val="clear" w:color="auto" w:fill="FFFFFF"/>
          <w:lang w:val="en-GB"/>
        </w:rPr>
        <w:t xml:space="preserve">SRL </w:t>
      </w:r>
      <w:r w:rsidR="007040AC" w:rsidRPr="003726FE">
        <w:rPr>
          <w:shd w:val="clear" w:color="auto" w:fill="FFFFFF"/>
          <w:lang w:val="en-GB"/>
        </w:rPr>
        <w:t>MA</w:t>
      </w:r>
      <w:r w:rsidRPr="003726FE">
        <w:rPr>
          <w:shd w:val="clear" w:color="auto" w:fill="FFFFFF"/>
          <w:lang w:val="en-GB"/>
        </w:rPr>
        <w:t xml:space="preserve"> questions</w:t>
      </w:r>
      <w:r w:rsidR="000B1BAA" w:rsidRPr="003726FE">
        <w:rPr>
          <w:shd w:val="clear" w:color="auto" w:fill="FFFFFF"/>
          <w:lang w:val="en-GB"/>
        </w:rPr>
        <w:t xml:space="preserve"> used in this study</w:t>
      </w:r>
      <w:r w:rsidRPr="003726FE">
        <w:rPr>
          <w:shd w:val="clear" w:color="auto" w:fill="FFFFFF"/>
          <w:lang w:val="en-GB"/>
        </w:rPr>
        <w:t xml:space="preserve">, including the chosen sub-processes, can be found in </w:t>
      </w:r>
      <w:r w:rsidR="00C6465A" w:rsidRPr="003726FE">
        <w:rPr>
          <w:shd w:val="clear" w:color="auto" w:fill="FFFFFF"/>
          <w:lang w:val="en-GB"/>
        </w:rPr>
        <w:t>Appendix</w:t>
      </w:r>
      <w:r w:rsidRPr="003726FE">
        <w:rPr>
          <w:shd w:val="clear" w:color="auto" w:fill="FFFFFF"/>
          <w:lang w:val="en-GB"/>
        </w:rPr>
        <w:t xml:space="preserve"> </w:t>
      </w:r>
      <w:r w:rsidR="009528DB" w:rsidRPr="003726FE">
        <w:rPr>
          <w:shd w:val="clear" w:color="auto" w:fill="FFFFFF"/>
          <w:lang w:val="en-GB"/>
        </w:rPr>
        <w:t>1</w:t>
      </w:r>
      <w:r w:rsidRPr="003726FE">
        <w:rPr>
          <w:shd w:val="clear" w:color="auto" w:fill="FFFFFF"/>
          <w:lang w:val="en-GB"/>
        </w:rPr>
        <w:t>.</w:t>
      </w:r>
    </w:p>
    <w:p w14:paraId="5C37F377" w14:textId="77777777" w:rsidR="00A10990" w:rsidRPr="003726FE" w:rsidRDefault="00A10990" w:rsidP="00026049">
      <w:pPr>
        <w:pStyle w:val="Normal1"/>
        <w:rPr>
          <w:shd w:val="clear" w:color="auto" w:fill="FFFFFF"/>
          <w:lang w:val="en-GB"/>
        </w:rPr>
      </w:pPr>
    </w:p>
    <w:p w14:paraId="1B3317D0" w14:textId="4B2003A1" w:rsidR="00A10990" w:rsidRPr="003726FE" w:rsidRDefault="000B1BAA" w:rsidP="00026049">
      <w:pPr>
        <w:pStyle w:val="Normal1"/>
        <w:rPr>
          <w:shd w:val="clear" w:color="auto" w:fill="FFFFFF"/>
          <w:lang w:val="en-GB"/>
        </w:rPr>
      </w:pPr>
      <w:r w:rsidRPr="003726FE">
        <w:rPr>
          <w:shd w:val="clear" w:color="auto" w:fill="FFFFFF"/>
          <w:lang w:val="en-GB"/>
        </w:rPr>
        <w:t>SRL MA has been used to successfully assess SRL</w:t>
      </w:r>
      <w:r w:rsidR="00A10990" w:rsidRPr="003726FE">
        <w:rPr>
          <w:shd w:val="clear" w:color="auto" w:fill="FFFFFF"/>
          <w:lang w:val="en-GB"/>
        </w:rPr>
        <w:t xml:space="preserve"> in the same field as </w:t>
      </w:r>
      <w:r w:rsidR="00B76881">
        <w:rPr>
          <w:shd w:val="clear" w:color="auto" w:fill="FFFFFF"/>
          <w:lang w:val="en-GB"/>
        </w:rPr>
        <w:t>the present study, specifically</w:t>
      </w:r>
      <w:r w:rsidR="00A10990" w:rsidRPr="003726FE">
        <w:rPr>
          <w:shd w:val="clear" w:color="auto" w:fill="FFFFFF"/>
          <w:lang w:val="en-GB"/>
        </w:rPr>
        <w:t xml:space="preserve"> venepuncture in simulated clinical skills </w:t>
      </w:r>
      <w:r w:rsidR="00775E80">
        <w:rPr>
          <w:shd w:val="clear" w:color="auto" w:fill="FFFFFF"/>
          <w:lang w:val="en-GB"/>
        </w:rPr>
        <w:t>learning</w:t>
      </w:r>
      <w:r w:rsidR="00A10990"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&lt;EndNote&gt;&lt;Cite&gt;&lt;Author&gt;Cleary&lt;/Author&gt;&lt;Year&gt;2011&lt;/Year&gt;&lt;RecNum&gt;39&lt;/RecNum&gt;&lt;DisplayText&gt;(Cleary and Sandars 2011)&lt;/DisplayText&gt;&lt;record&gt;&lt;rec-number&gt;39&lt;/rec-number&gt;&lt;foreign-keys&gt;&lt;key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89" w:tooltip="Cleary, 2011 #39" w:history="1">
        <w:r w:rsidR="0094469E" w:rsidRPr="003726FE">
          <w:rPr>
            <w:noProof/>
            <w:shd w:val="clear" w:color="auto" w:fill="FFFFFF"/>
            <w:lang w:val="en-GB"/>
          </w:rPr>
          <w:t>Cleary and Sandars 2011</w:t>
        </w:r>
      </w:hyperlink>
      <w:r w:rsidR="004E5A78" w:rsidRPr="003726FE">
        <w:rPr>
          <w:noProof/>
          <w:shd w:val="clear" w:color="auto" w:fill="FFFFFF"/>
          <w:lang w:val="en-GB"/>
        </w:rPr>
        <w:t>)</w:t>
      </w:r>
      <w:r w:rsidR="00EF281A" w:rsidRPr="003726FE">
        <w:rPr>
          <w:shd w:val="clear" w:color="auto" w:fill="FFFFFF"/>
          <w:lang w:val="en-GB"/>
        </w:rPr>
        <w:fldChar w:fldCharType="end"/>
      </w:r>
      <w:r w:rsidR="00A10990" w:rsidRPr="003726FE">
        <w:rPr>
          <w:shd w:val="clear" w:color="auto" w:fill="FFFFFF"/>
          <w:lang w:val="en-GB"/>
        </w:rPr>
        <w:t>. SRL MA’s integration into a mixed methods des</w:t>
      </w:r>
      <w:r w:rsidRPr="003726FE">
        <w:rPr>
          <w:shd w:val="clear" w:color="auto" w:fill="FFFFFF"/>
          <w:lang w:val="en-GB"/>
        </w:rPr>
        <w:t>ign, such as the present study</w:t>
      </w:r>
      <w:r w:rsidR="00A10990" w:rsidRPr="003726FE">
        <w:rPr>
          <w:shd w:val="clear" w:color="auto" w:fill="FFFFFF"/>
          <w:lang w:val="en-GB"/>
        </w:rPr>
        <w:t xml:space="preserve">, is supported by </w:t>
      </w:r>
      <w:hyperlink w:anchor="_ENREF_83" w:tooltip="Cleary, 2012 #35"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AuthorYear="1"&gt;&lt;Author&gt;Cleary&lt;/Author&gt;&lt;Year&gt;2012&lt;/Year&gt;&lt;RecNum&gt;35&lt;/RecNum&gt;&lt;Pages&gt;4&lt;/Pages&gt;&lt;DisplayText&gt;Cleary et al. (2012, p. 4)&lt;/DisplayText&gt;&lt;record&gt;&lt;rec-number&gt;35&lt;/rec-number&gt;&lt;foreign-keys&gt;&lt;key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Cleary et al. (2012, p. 4)</w:t>
        </w:r>
        <w:r w:rsidR="0094469E" w:rsidRPr="003726FE">
          <w:rPr>
            <w:shd w:val="clear" w:color="auto" w:fill="FFFFFF"/>
            <w:lang w:val="en-GB"/>
          </w:rPr>
          <w:fldChar w:fldCharType="end"/>
        </w:r>
      </w:hyperlink>
      <w:r w:rsidR="00A10990" w:rsidRPr="003726FE">
        <w:rPr>
          <w:shd w:val="clear" w:color="auto" w:fill="FFFFFF"/>
          <w:lang w:val="en-GB"/>
        </w:rPr>
        <w:t xml:space="preserve"> who advise that SRL MA is ideal to “compliment or supplement” the assessment of SRL. There is also a clear need for a contextualised protocol</w:t>
      </w:r>
      <w:r w:rsidR="00BF765F" w:rsidRPr="003726FE">
        <w:rPr>
          <w:shd w:val="clear" w:color="auto" w:fill="FFFFFF"/>
          <w:lang w:val="en-GB"/>
        </w:rPr>
        <w:t xml:space="preserve"> as environmental and cultural factors were explored</w:t>
      </w:r>
      <w:r w:rsidR="00A10990" w:rsidRPr="003726FE">
        <w:rPr>
          <w:shd w:val="clear" w:color="auto" w:fill="FFFFFF"/>
          <w:lang w:val="en-GB"/>
        </w:rPr>
        <w:t xml:space="preserve"> in this study</w:t>
      </w:r>
      <w:r w:rsidR="00BF765F" w:rsidRPr="003726FE">
        <w:rPr>
          <w:shd w:val="clear" w:color="auto" w:fill="FFFFFF"/>
          <w:lang w:val="en-GB"/>
        </w:rPr>
        <w:t xml:space="preserve"> in relation to how the teachers use</w:t>
      </w:r>
      <w:r w:rsidR="00775E80">
        <w:rPr>
          <w:shd w:val="clear" w:color="auto" w:fill="FFFFFF"/>
          <w:lang w:val="en-GB"/>
        </w:rPr>
        <w:t>d</w:t>
      </w:r>
      <w:r w:rsidR="00BF765F" w:rsidRPr="003726FE">
        <w:rPr>
          <w:shd w:val="clear" w:color="auto" w:fill="FFFFFF"/>
          <w:lang w:val="en-GB"/>
        </w:rPr>
        <w:t xml:space="preserve"> the </w:t>
      </w:r>
      <w:r w:rsidR="00ED711A">
        <w:rPr>
          <w:shd w:val="clear" w:color="auto" w:fill="FFFFFF"/>
          <w:lang w:val="en-GB"/>
        </w:rPr>
        <w:t>feedback models</w:t>
      </w:r>
      <w:r w:rsidR="00A10990" w:rsidRPr="003726FE">
        <w:rPr>
          <w:shd w:val="clear" w:color="auto" w:fill="FFFFFF"/>
          <w:lang w:val="en-GB"/>
        </w:rPr>
        <w:t xml:space="preserve">. In addition to the uses and advantages of SRL MA outlined above, </w:t>
      </w:r>
      <w:r w:rsidR="005D20F7" w:rsidRPr="003726FE">
        <w:rPr>
          <w:shd w:val="clear" w:color="auto" w:fill="FFFFFF"/>
          <w:lang w:val="en-GB"/>
        </w:rPr>
        <w:t>the use of</w:t>
      </w:r>
      <w:r w:rsidR="00A10990" w:rsidRPr="003726FE">
        <w:rPr>
          <w:shd w:val="clear" w:color="auto" w:fill="FFFFFF"/>
          <w:lang w:val="en-GB"/>
        </w:rPr>
        <w:t xml:space="preserve"> the technique</w:t>
      </w:r>
      <w:r w:rsidR="005D20F7" w:rsidRPr="003726FE">
        <w:rPr>
          <w:shd w:val="clear" w:color="auto" w:fill="FFFFFF"/>
          <w:lang w:val="en-GB"/>
        </w:rPr>
        <w:t xml:space="preserve"> in this study </w:t>
      </w:r>
      <w:r w:rsidR="00BF765F" w:rsidRPr="003726FE">
        <w:rPr>
          <w:shd w:val="clear" w:color="auto" w:fill="FFFFFF"/>
          <w:lang w:val="en-GB"/>
        </w:rPr>
        <w:t>was</w:t>
      </w:r>
      <w:r w:rsidR="005D20F7" w:rsidRPr="003726FE">
        <w:rPr>
          <w:shd w:val="clear" w:color="auto" w:fill="FFFFFF"/>
          <w:lang w:val="en-GB"/>
        </w:rPr>
        <w:t xml:space="preserve"> based upon</w:t>
      </w:r>
      <w:r w:rsidR="00A10990" w:rsidRPr="003726FE">
        <w:rPr>
          <w:shd w:val="clear" w:color="auto" w:fill="FFFFFF"/>
          <w:lang w:val="en-GB"/>
        </w:rPr>
        <w:t xml:space="preserve"> on an emerging body of literature on psychomet</w:t>
      </w:r>
      <w:r w:rsidRPr="003726FE">
        <w:rPr>
          <w:shd w:val="clear" w:color="auto" w:fill="FFFFFF"/>
          <w:lang w:val="en-GB"/>
        </w:rPr>
        <w:t xml:space="preserve">ric evidence advocating its use </w:t>
      </w:r>
      <w:r w:rsidR="00BF765F" w:rsidRPr="003726FE">
        <w:rPr>
          <w:shd w:val="clear" w:color="auto" w:fill="FFFFFF"/>
          <w:lang w:val="en-GB"/>
        </w:rPr>
        <w:t>(</w:t>
      </w:r>
      <w:r w:rsidR="00775E80">
        <w:rPr>
          <w:shd w:val="clear" w:color="auto" w:fill="FFFFFF"/>
          <w:lang w:val="en-GB"/>
        </w:rPr>
        <w:t>see</w:t>
      </w:r>
      <w:r w:rsidRPr="003726FE">
        <w:rPr>
          <w:shd w:val="clear" w:color="auto" w:fill="FFFFFF"/>
          <w:lang w:val="en-GB"/>
        </w:rPr>
        <w:t xml:space="preserve"> B1</w:t>
      </w:r>
      <w:r w:rsidR="00775E80">
        <w:rPr>
          <w:shd w:val="clear" w:color="auto" w:fill="FFFFFF"/>
          <w:lang w:val="en-GB"/>
        </w:rPr>
        <w:t>.1.8</w:t>
      </w:r>
      <w:r w:rsidR="00BF765F" w:rsidRPr="003726FE">
        <w:rPr>
          <w:shd w:val="clear" w:color="auto" w:fill="FFFFFF"/>
          <w:lang w:val="en-GB"/>
        </w:rPr>
        <w:t>)</w:t>
      </w:r>
      <w:r w:rsidRPr="003726FE">
        <w:rPr>
          <w:shd w:val="clear" w:color="auto" w:fill="FFFFFF"/>
          <w:lang w:val="en-GB"/>
        </w:rPr>
        <w:t>.</w:t>
      </w:r>
    </w:p>
    <w:p w14:paraId="1B9BE5EA" w14:textId="77777777" w:rsidR="004A447E" w:rsidRPr="003726FE" w:rsidRDefault="004A447E" w:rsidP="00026049">
      <w:pPr>
        <w:pStyle w:val="Normal1"/>
        <w:rPr>
          <w:lang w:val="en-GB"/>
        </w:rPr>
      </w:pPr>
    </w:p>
    <w:p w14:paraId="7C2F564C" w14:textId="6C29412D" w:rsidR="004A447E" w:rsidRPr="003726FE" w:rsidRDefault="00A92FA9" w:rsidP="00026049">
      <w:pPr>
        <w:pStyle w:val="Normal1"/>
        <w:rPr>
          <w:lang w:val="en-GB"/>
        </w:rPr>
      </w:pPr>
      <w:r w:rsidRPr="003726FE">
        <w:rPr>
          <w:lang w:val="en-GB"/>
        </w:rPr>
        <w:t xml:space="preserve">There are some key limitations to SRL MA </w:t>
      </w:r>
      <w:r w:rsidR="00775E80">
        <w:rPr>
          <w:lang w:val="en-GB"/>
        </w:rPr>
        <w:t>that</w:t>
      </w:r>
      <w:r w:rsidRPr="003726FE">
        <w:rPr>
          <w:lang w:val="en-GB"/>
        </w:rPr>
        <w:t xml:space="preserve"> mirror the advantages of the method somewhat. As the questions are task specific and cover all three phases of the cyclical model, the design, procedure, and evaluation process can be time consuming when done in authentic settings, as in this study </w:t>
      </w:r>
      <w:r w:rsidR="00EF281A" w:rsidRPr="003726FE">
        <w:rPr>
          <w:lang w:val="en-GB"/>
        </w:rPr>
        <w:fldChar w:fldCharType="begin"/>
      </w:r>
      <w:r w:rsidR="00E80034">
        <w:rPr>
          <w:lang w:val="en-GB"/>
        </w:rPr>
        <w:instrText xml:space="preserve"> ADDIN EN.CITE &lt;EndNote&gt;&lt;Cite&gt;&lt;Author&gt;Artino&lt;/Author&gt;&lt;Year&gt;2014&lt;/Year&gt;&lt;RecNum&gt;3&lt;/RecNum&gt;&lt;DisplayText&gt;(Artino Jr et al. 2014a)&lt;/DisplayText&gt;&lt;record&gt;&lt;rec-number&gt;3&lt;/rec-number&gt;&lt;foreign-keys&gt;&lt;key app="EN" db-id="xa2r2ewea92trkef5dt5arvbzafvpv2za5ft" timestamp="1442161763"&gt;3&lt;/key&gt;&lt;/foreign-keys&gt;&lt;ref-type name="Journal Article"&gt;17&lt;/ref-type&gt;&lt;contributors&gt;&lt;authors&gt;&lt;author&gt;Artino Jr, Anthony R.&lt;/author&gt;&lt;author&gt;Cleary, Timothy J.&lt;/author&gt;&lt;author&gt;Dong, Ting&lt;/author&gt;&lt;author&gt;Hemmer, Paul A.&lt;/author&gt;&lt;author&gt;Durning, Steven J.&lt;/author&gt;&lt;/authors&gt;&lt;/contributors&gt;&lt;titles&gt;&lt;title&gt;Exploring clinical reasoning in novices: a self</w:instrText>
      </w:r>
      <w:r w:rsidR="00E80034">
        <w:rPr>
          <w:rFonts w:ascii="Cambria Math" w:hAnsi="Cambria Math" w:cs="Cambria Math"/>
          <w:lang w:val="en-GB"/>
        </w:rPr>
        <w:instrText>‐</w:instrText>
      </w:r>
      <w:r w:rsidR="00E80034">
        <w:rPr>
          <w:lang w:val="en-GB"/>
        </w:rPr>
        <w:instrText>regulated learning microanalytic assessment approach&lt;/title&gt;&lt;secondary-title&gt;Medical education&lt;/secondary-title&gt;&lt;/titles&gt;&lt;periodical&gt;&lt;full-title&gt;Medical education&lt;/full-title&gt;&lt;/periodical&gt;&lt;pages&gt;280-291&lt;/pages&gt;&lt;volume&gt;48&lt;/volume&gt;&lt;number&gt;3&lt;/number&gt;&lt;dates&gt;&lt;year&gt;2014&lt;/year&gt;&lt;/dates&gt;&lt;publisher&gt;Wiley Online Library&lt;/publisher&gt;&lt;urls&gt;&lt;related-urls&gt;&lt;url&gt;&lt;style face="underline" font="default" size="100%"&gt;http://www.ncbi.nlm.nih.gov/pmc/articles/PMC4235424/pdf/medu0048-0280.pdf&lt;/style&gt;&lt;/url&gt;&lt;/related-urls&gt;&lt;/urls&gt;&lt;/record&gt;&lt;/Cite&gt;&lt;/EndNote&gt;</w:instrText>
      </w:r>
      <w:r w:rsidR="00EF281A" w:rsidRPr="003726FE">
        <w:rPr>
          <w:lang w:val="en-GB"/>
        </w:rPr>
        <w:fldChar w:fldCharType="separate"/>
      </w:r>
      <w:r w:rsidR="00E80034">
        <w:rPr>
          <w:noProof/>
          <w:lang w:val="en-GB"/>
        </w:rPr>
        <w:t>(</w:t>
      </w:r>
      <w:hyperlink w:anchor="_ENREF_8" w:tooltip="Artino Jr, 2014 #3" w:history="1">
        <w:r w:rsidR="0094469E">
          <w:rPr>
            <w:noProof/>
            <w:lang w:val="en-GB"/>
          </w:rPr>
          <w:t>Artino Jr et al. 2014a</w:t>
        </w:r>
      </w:hyperlink>
      <w:r w:rsidR="00E80034">
        <w:rPr>
          <w:noProof/>
          <w:lang w:val="en-GB"/>
        </w:rPr>
        <w:t>)</w:t>
      </w:r>
      <w:r w:rsidR="00EF281A" w:rsidRPr="003726FE">
        <w:rPr>
          <w:lang w:val="en-GB"/>
        </w:rPr>
        <w:fldChar w:fldCharType="end"/>
      </w:r>
      <w:r w:rsidRPr="003726FE">
        <w:rPr>
          <w:lang w:val="en-GB"/>
        </w:rPr>
        <w:t xml:space="preserve">. This is in contrast to self-report questionnaires which can be comparatively much more economical. In this study, SRL MA </w:t>
      </w:r>
      <w:r w:rsidR="00BF765F" w:rsidRPr="003726FE">
        <w:rPr>
          <w:lang w:val="en-GB"/>
        </w:rPr>
        <w:t>wa</w:t>
      </w:r>
      <w:r w:rsidRPr="003726FE">
        <w:rPr>
          <w:lang w:val="en-GB"/>
        </w:rPr>
        <w:t xml:space="preserve">s not used to collect data to be analysed, it </w:t>
      </w:r>
      <w:r w:rsidR="00BF765F" w:rsidRPr="003726FE">
        <w:rPr>
          <w:lang w:val="en-GB"/>
        </w:rPr>
        <w:t>wa</w:t>
      </w:r>
      <w:r w:rsidRPr="003726FE">
        <w:rPr>
          <w:lang w:val="en-GB"/>
        </w:rPr>
        <w:t>s used as a tool to</w:t>
      </w:r>
      <w:r w:rsidR="00775E80">
        <w:rPr>
          <w:lang w:val="en-GB"/>
        </w:rPr>
        <w:t xml:space="preserve"> assess SRL and</w:t>
      </w:r>
      <w:r w:rsidRPr="003726FE">
        <w:rPr>
          <w:lang w:val="en-GB"/>
        </w:rPr>
        <w:t xml:space="preserve"> give feedback and </w:t>
      </w:r>
      <w:r w:rsidR="00BF765F" w:rsidRPr="003726FE">
        <w:rPr>
          <w:lang w:val="en-GB"/>
        </w:rPr>
        <w:t>did</w:t>
      </w:r>
      <w:r w:rsidRPr="003726FE">
        <w:rPr>
          <w:lang w:val="en-GB"/>
        </w:rPr>
        <w:t xml:space="preserve"> not include questi</w:t>
      </w:r>
      <w:r w:rsidR="00BF765F" w:rsidRPr="003726FE">
        <w:rPr>
          <w:lang w:val="en-GB"/>
        </w:rPr>
        <w:t>ons on all sub-processes of SRL. T</w:t>
      </w:r>
      <w:r w:rsidRPr="003726FE">
        <w:rPr>
          <w:lang w:val="en-GB"/>
        </w:rPr>
        <w:t>his attempt</w:t>
      </w:r>
      <w:r w:rsidR="00BF765F" w:rsidRPr="003726FE">
        <w:rPr>
          <w:lang w:val="en-GB"/>
        </w:rPr>
        <w:t>ed</w:t>
      </w:r>
      <w:r w:rsidRPr="003726FE">
        <w:rPr>
          <w:lang w:val="en-GB"/>
        </w:rPr>
        <w:t xml:space="preserve"> to streamline the procedure</w:t>
      </w:r>
      <w:r w:rsidR="001A3AA1" w:rsidRPr="003726FE">
        <w:rPr>
          <w:lang w:val="en-GB"/>
        </w:rPr>
        <w:t xml:space="preserve"> along with the training provided. </w:t>
      </w:r>
      <w:hyperlink w:anchor="_ENREF_7" w:tooltip="Artino Jr, 2015 #778" w:history="1">
        <w:r w:rsidR="0094469E" w:rsidRPr="003726FE">
          <w:rPr>
            <w:lang w:val="en-GB"/>
          </w:rPr>
          <w:fldChar w:fldCharType="begin"/>
        </w:r>
        <w:r w:rsidR="0094469E">
          <w:rPr>
            <w:lang w:val="en-GB"/>
          </w:rPr>
          <w:instrText xml:space="preserve"> ADDIN EN.CITE &lt;EndNote&gt;&lt;Cite AuthorYear="1"&gt;&lt;Author&gt;Artino Jr&lt;/Author&gt;&lt;Year&gt;2015&lt;/Year&gt;&lt;RecNum&gt;778&lt;/RecNum&gt;&lt;DisplayText&gt;Artino Jr et al. (2015)&lt;/DisplayText&gt;&lt;record&gt;&lt;rec-number&gt;778&lt;/rec-number&gt;&lt;foreign-keys&gt;&lt;key app="EN" db-id="xa2r2ewea92trkef5dt5arvbzafvpv2za5ft" timestamp="1496417593"&gt;778&lt;/key&gt;&lt;/foreign-keys&gt;&lt;ref-type name="Dictionary"&gt;52&lt;/ref-type&gt;&lt;contributors&gt;&lt;authors&gt;&lt;author&gt;Artino Jr, Anthony R&lt;/author&gt;&lt;author&gt;Brydges, Ryan&lt;/author&gt;&lt;author&gt;Gruppen, Larry D&lt;/author&gt;&lt;/authors&gt;&lt;/contributors&gt;&lt;titles&gt;&lt;title&gt;Self</w:instrText>
        </w:r>
        <w:r w:rsidR="0094469E">
          <w:rPr>
            <w:rFonts w:ascii="Cambria Math" w:hAnsi="Cambria Math" w:cs="Cambria Math"/>
            <w:lang w:val="en-GB"/>
          </w:rPr>
          <w:instrText>‐</w:instrText>
        </w:r>
        <w:r w:rsidR="0094469E">
          <w:rPr>
            <w:lang w:val="en-GB"/>
          </w:rPr>
          <w:instrText>regulated learning in healthcare profession education: theoretical perspectives and research methods&lt;/title&gt;&lt;secondary-title&gt;Researching Medical Education&lt;/secondary-title&gt;&lt;/titles&gt;&lt;periodical&gt;&lt;full-title&gt;Researching Medical Education&lt;/full-title&gt;&lt;/periodical&gt;&lt;pages&gt;155-166&lt;/pages&gt;&lt;dates&gt;&lt;year&gt;2015&lt;/year&gt;&lt;/dates&gt;&lt;isbn&gt;111883898X&lt;/isbn&gt;&lt;urls&gt;&lt;/urls&gt;&lt;/record&gt;&lt;/Cite&gt;&lt;/EndNote&gt;</w:instrText>
        </w:r>
        <w:r w:rsidR="0094469E" w:rsidRPr="003726FE">
          <w:rPr>
            <w:lang w:val="en-GB"/>
          </w:rPr>
          <w:fldChar w:fldCharType="separate"/>
        </w:r>
        <w:r w:rsidR="0094469E" w:rsidRPr="003726FE">
          <w:rPr>
            <w:noProof/>
            <w:lang w:val="en-GB"/>
          </w:rPr>
          <w:t xml:space="preserve">Artino Jr et al. </w:t>
        </w:r>
        <w:r w:rsidR="0094469E" w:rsidRPr="003726FE">
          <w:rPr>
            <w:noProof/>
            <w:lang w:val="en-GB"/>
          </w:rPr>
          <w:lastRenderedPageBreak/>
          <w:t>(2015)</w:t>
        </w:r>
        <w:r w:rsidR="0094469E" w:rsidRPr="003726FE">
          <w:rPr>
            <w:lang w:val="en-GB"/>
          </w:rPr>
          <w:fldChar w:fldCharType="end"/>
        </w:r>
      </w:hyperlink>
      <w:r w:rsidR="003B249B" w:rsidRPr="003726FE">
        <w:rPr>
          <w:lang w:val="en-GB"/>
        </w:rPr>
        <w:t xml:space="preserve"> identified that </w:t>
      </w:r>
      <w:r w:rsidR="00837586" w:rsidRPr="003726FE">
        <w:rPr>
          <w:lang w:val="en-GB"/>
        </w:rPr>
        <w:t xml:space="preserve">the SRL MA protocol can be intrusive and unnatural for both teachers and students, interrupting the flow of the skill and therefore influencing SRL behaviours. </w:t>
      </w:r>
      <w:r w:rsidR="00BF765F" w:rsidRPr="003726FE">
        <w:rPr>
          <w:lang w:val="en-GB"/>
        </w:rPr>
        <w:t>I</w:t>
      </w:r>
      <w:r w:rsidR="00837586" w:rsidRPr="003726FE">
        <w:rPr>
          <w:lang w:val="en-GB"/>
        </w:rPr>
        <w:t>n this study</w:t>
      </w:r>
      <w:r w:rsidR="00BF765F" w:rsidRPr="003726FE">
        <w:rPr>
          <w:lang w:val="en-GB"/>
        </w:rPr>
        <w:t>,</w:t>
      </w:r>
      <w:r w:rsidR="00837586" w:rsidRPr="003726FE">
        <w:rPr>
          <w:lang w:val="en-GB"/>
        </w:rPr>
        <w:t xml:space="preserve"> the protocol was piloted and </w:t>
      </w:r>
      <w:r w:rsidR="00B76881">
        <w:rPr>
          <w:lang w:val="en-GB"/>
        </w:rPr>
        <w:t>refined to reduce these issues and t</w:t>
      </w:r>
      <w:r w:rsidR="00837586" w:rsidRPr="003726FE">
        <w:rPr>
          <w:lang w:val="en-GB"/>
        </w:rPr>
        <w:t xml:space="preserve">he process evaluation discusses the </w:t>
      </w:r>
      <w:r w:rsidR="00B76881">
        <w:rPr>
          <w:lang w:val="en-GB"/>
        </w:rPr>
        <w:t>intervention flow and impact</w:t>
      </w:r>
      <w:r w:rsidR="005D20F7" w:rsidRPr="003726FE">
        <w:rPr>
          <w:lang w:val="en-GB"/>
        </w:rPr>
        <w:t xml:space="preserve"> (Chapter </w:t>
      </w:r>
      <w:r w:rsidR="00BF6160">
        <w:rPr>
          <w:lang w:val="en-GB"/>
        </w:rPr>
        <w:t>D1</w:t>
      </w:r>
      <w:r w:rsidR="005D20F7" w:rsidRPr="003726FE">
        <w:rPr>
          <w:lang w:val="en-GB"/>
        </w:rPr>
        <w:t>)</w:t>
      </w:r>
      <w:r w:rsidR="00837586" w:rsidRPr="003726FE">
        <w:rPr>
          <w:lang w:val="en-GB"/>
        </w:rPr>
        <w:t>.</w:t>
      </w:r>
    </w:p>
    <w:p w14:paraId="5CAFB077" w14:textId="77777777" w:rsidR="00B76881" w:rsidRDefault="00B76881">
      <w:pPr>
        <w:rPr>
          <w:rFonts w:eastAsia="Lucida Sans Unicode" w:cs="Mangal"/>
          <w:b/>
          <w:kern w:val="1"/>
          <w:sz w:val="28"/>
          <w:szCs w:val="24"/>
          <w:lang w:eastAsia="hi-IN" w:bidi="hi-IN"/>
        </w:rPr>
      </w:pPr>
      <w:r>
        <w:br w:type="page"/>
      </w:r>
    </w:p>
    <w:p w14:paraId="02499AD2" w14:textId="5CCDC29C" w:rsidR="00B07B0C" w:rsidRPr="003726FE" w:rsidRDefault="00B07B0C" w:rsidP="00B1638D">
      <w:pPr>
        <w:pStyle w:val="Heading2"/>
        <w:rPr>
          <w:lang w:val="en-GB"/>
        </w:rPr>
      </w:pPr>
      <w:bookmarkStart w:id="135" w:name="_Toc500319322"/>
      <w:r w:rsidRPr="003726FE">
        <w:rPr>
          <w:lang w:val="en-GB"/>
        </w:rPr>
        <w:lastRenderedPageBreak/>
        <w:t>A1</w:t>
      </w:r>
      <w:r w:rsidR="00F176D2" w:rsidRPr="003726FE">
        <w:rPr>
          <w:lang w:val="en-GB"/>
        </w:rPr>
        <w:t xml:space="preserve">.3 </w:t>
      </w:r>
      <w:r w:rsidRPr="003726FE">
        <w:rPr>
          <w:lang w:val="en-GB"/>
        </w:rPr>
        <w:t xml:space="preserve">Clinical </w:t>
      </w:r>
      <w:r w:rsidR="00F176D2" w:rsidRPr="003726FE">
        <w:rPr>
          <w:lang w:val="en-GB"/>
        </w:rPr>
        <w:t>Education</w:t>
      </w:r>
      <w:bookmarkEnd w:id="135"/>
    </w:p>
    <w:p w14:paraId="785723F2" w14:textId="77777777" w:rsidR="0033070E" w:rsidRPr="003726FE" w:rsidRDefault="0033070E" w:rsidP="00026049">
      <w:pPr>
        <w:pStyle w:val="Normal1"/>
        <w:rPr>
          <w:lang w:val="en-GB"/>
        </w:rPr>
      </w:pPr>
    </w:p>
    <w:p w14:paraId="5CC50902" w14:textId="5C57A4F4" w:rsidR="0039477A" w:rsidRPr="003726FE" w:rsidRDefault="0039477A" w:rsidP="00BA4521">
      <w:pPr>
        <w:pStyle w:val="Heading3"/>
      </w:pPr>
      <w:bookmarkStart w:id="136" w:name="_Toc500319323"/>
      <w:r w:rsidRPr="003726FE">
        <w:t>A1</w:t>
      </w:r>
      <w:r w:rsidR="00F176D2" w:rsidRPr="003726FE">
        <w:t xml:space="preserve">.3.1 </w:t>
      </w:r>
      <w:r w:rsidRPr="003726FE">
        <w:t xml:space="preserve">Simulated </w:t>
      </w:r>
      <w:r w:rsidR="00F176D2" w:rsidRPr="003726FE">
        <w:t>Clinical Skills Training</w:t>
      </w:r>
      <w:bookmarkEnd w:id="136"/>
    </w:p>
    <w:p w14:paraId="420B0322" w14:textId="77777777" w:rsidR="0033070E" w:rsidRPr="003726FE" w:rsidRDefault="0033070E" w:rsidP="00026049">
      <w:pPr>
        <w:pStyle w:val="Normal1"/>
        <w:rPr>
          <w:lang w:val="en-GB"/>
        </w:rPr>
      </w:pPr>
    </w:p>
    <w:p w14:paraId="142FE4BE" w14:textId="6011D60D" w:rsidR="002E3AD7" w:rsidRPr="003726FE" w:rsidRDefault="002E3AD7" w:rsidP="00026049">
      <w:pPr>
        <w:pStyle w:val="Normal1"/>
        <w:rPr>
          <w:lang w:val="en-GB"/>
        </w:rPr>
      </w:pPr>
      <w:r w:rsidRPr="003726FE">
        <w:rPr>
          <w:lang w:val="en-GB"/>
        </w:rPr>
        <w:t xml:space="preserve">Feedback in clinical education is integral to the development of effective clinical skills, competencies, and behaviours </w:t>
      </w:r>
      <w:r w:rsidR="00EF281A" w:rsidRPr="003726FE">
        <w:rPr>
          <w:lang w:val="en-GB"/>
        </w:rPr>
        <w:fldChar w:fldCharType="begin"/>
      </w:r>
      <w:r w:rsidR="008B61BE">
        <w:rPr>
          <w:lang w:val="en-GB"/>
        </w:rPr>
        <w:instrText xml:space="preserve"> ADDIN EN.CITE &lt;EndNote&gt;&lt;Cite&gt;&lt;Author&gt;Ende&lt;/Author&gt;&lt;Year&gt;1983&lt;/Year&gt;&lt;RecNum&gt;73&lt;/RecNum&gt;&lt;DisplayText&gt;(Ende 1983)&lt;/DisplayText&gt;&lt;record&gt;&lt;rec-number&gt;73&lt;/rec-number&gt;&lt;foreign-keys&gt;&lt;key app="EN" db-id="xa2r2ewea92trkef5dt5arvbzafvpv2za5ft" timestamp="1442161763"&gt;73&lt;/key&gt;&lt;/foreign-keys&gt;&lt;ref-type name="Journal Article"&gt;17&lt;/ref-type&gt;&lt;contributors&gt;&lt;authors&gt;&lt;author&gt;Ende, Jack&lt;/author&gt;&lt;/authors&gt;&lt;/contributors&gt;&lt;titles&gt;&lt;title&gt;Feedback in clinical medical education&lt;/title&gt;&lt;secondary-title&gt;Jama&lt;/secondary-title&gt;&lt;/titles&gt;&lt;periodical&gt;&lt;full-title&gt;JAMA&lt;/full-title&gt;&lt;/periodical&gt;&lt;pages&gt;777-781&lt;/pages&gt;&lt;volume&gt;250&lt;/volume&gt;&lt;number&gt;6&lt;/number&gt;&lt;dates&gt;&lt;year&gt;1983&lt;/year&gt;&lt;/dates&gt;&lt;publisher&gt;American Medical Association&lt;/publisher&gt;&lt;urls&gt;&lt;/urls&gt;&lt;/record&gt;&lt;/Cite&gt;&lt;/EndNote&gt;</w:instrText>
      </w:r>
      <w:r w:rsidR="00EF281A" w:rsidRPr="003726FE">
        <w:rPr>
          <w:lang w:val="en-GB"/>
        </w:rPr>
        <w:fldChar w:fldCharType="separate"/>
      </w:r>
      <w:r w:rsidR="004E5A78" w:rsidRPr="003726FE">
        <w:rPr>
          <w:noProof/>
          <w:lang w:val="en-GB"/>
        </w:rPr>
        <w:t>(</w:t>
      </w:r>
      <w:hyperlink w:anchor="_ENREF_139" w:tooltip="Ende, 1983 #73" w:history="1">
        <w:r w:rsidR="0094469E" w:rsidRPr="003726FE">
          <w:rPr>
            <w:noProof/>
            <w:lang w:val="en-GB"/>
          </w:rPr>
          <w:t>Ende 1983</w:t>
        </w:r>
      </w:hyperlink>
      <w:r w:rsidR="004E5A78" w:rsidRPr="003726FE">
        <w:rPr>
          <w:noProof/>
          <w:lang w:val="en-GB"/>
        </w:rPr>
        <w:t>)</w:t>
      </w:r>
      <w:r w:rsidR="00EF281A" w:rsidRPr="003726FE">
        <w:rPr>
          <w:lang w:val="en-GB"/>
        </w:rPr>
        <w:fldChar w:fldCharType="end"/>
      </w:r>
      <w:r w:rsidRPr="003726FE">
        <w:rPr>
          <w:lang w:val="en-GB"/>
        </w:rPr>
        <w:t xml:space="preserve">. In simulated clinical education, feedback is a well-established tenet in the design of procedural skills programmes </w:t>
      </w:r>
      <w:r w:rsidR="00EF281A" w:rsidRPr="003726FE">
        <w:rPr>
          <w:lang w:val="en-GB"/>
        </w:rPr>
        <w:fldChar w:fldCharType="begin"/>
      </w:r>
      <w:r w:rsidR="008B61BE">
        <w:rPr>
          <w:lang w:val="en-GB"/>
        </w:rPr>
        <w:instrText xml:space="preserve"> ADDIN EN.CITE &lt;EndNote&gt;&lt;Cite&gt;&lt;Author&gt;McGaghie&lt;/Author&gt;&lt;Year&gt;2010&lt;/Year&gt;&lt;RecNum&gt;161&lt;/RecNum&gt;&lt;DisplayText&gt;(McGaghie et al. 2010)&lt;/DisplayText&gt;&lt;record&gt;&lt;rec-number&gt;161&lt;/rec-number&gt;&lt;foreign-keys&gt;&lt;key app="EN" db-id="xa2r2ewea92trkef5dt5arvbzafvpv2za5ft" timestamp="1442161765"&gt;161&lt;/key&gt;&lt;/foreign-keys&gt;&lt;ref-type name="Journal Article"&gt;17&lt;/ref-type&gt;&lt;contributors&gt;&lt;authors&gt;&lt;author&gt;McGaghie, William C.&lt;/author&gt;&lt;author&gt;Issenberg, S. Barry&lt;/author&gt;&lt;author&gt;Petrusa, Emil R.&lt;/author&gt;&lt;author&gt;Scalese, Ross J.&lt;/author&gt;&lt;/authors&gt;&lt;/contributors&gt;&lt;titles&gt;&lt;title&gt;A critical review of simulation</w:instrText>
      </w:r>
      <w:r w:rsidR="008B61BE">
        <w:rPr>
          <w:rFonts w:ascii="Cambria Math" w:hAnsi="Cambria Math" w:cs="Cambria Math"/>
          <w:lang w:val="en-GB"/>
        </w:rPr>
        <w:instrText>‐</w:instrText>
      </w:r>
      <w:r w:rsidR="008B61BE">
        <w:rPr>
          <w:lang w:val="en-GB"/>
        </w:rPr>
        <w:instrText>based medical education research: 2003</w:instrText>
      </w:r>
      <w:r w:rsidR="008B61BE">
        <w:rPr>
          <w:rFonts w:cs="Times New Roman"/>
          <w:lang w:val="en-GB"/>
        </w:rPr>
        <w:instrText>–</w:instrText>
      </w:r>
      <w:r w:rsidR="008B61BE">
        <w:rPr>
          <w:lang w:val="en-GB"/>
        </w:rPr>
        <w:instrText>2009&lt;/title&gt;&lt;secondary-title&gt;Medical education&lt;/secondary-title&gt;&lt;/titles&gt;&lt;periodical&gt;&lt;full-title&gt;Medical education&lt;/full-title&gt;&lt;/periodical&gt;&lt;pages&gt;50-63&lt;/pages&gt;&lt;volume&gt;44&lt;/volume&gt;&lt;number&gt;1&lt;/number&gt;&lt;dates&gt;&lt;year&gt;2010&lt;/year&gt;&lt;/dates&gt;&lt;publisher&gt;Wiley Online Library&lt;/publisher&gt;&lt;urls&gt;&lt;related-urls&gt;&lt;url&gt;http://onlinelibrary.wiley.com/store/10.1111/j.1365-2923.2009.03547.x/asset/j.1365-2923.2009.03547.x.pdf?v=1&amp;amp;t=ieiq0jxc&amp;amp;s=19e6b7d7777f918292cf00d8e36ccce3554c7d6d&lt;/url&gt;&lt;/related-urls&gt;&lt;/urls&gt;&lt;/record&gt;&lt;/Cite&gt;&lt;/EndNote&gt;</w:instrText>
      </w:r>
      <w:r w:rsidR="00EF281A" w:rsidRPr="003726FE">
        <w:rPr>
          <w:lang w:val="en-GB"/>
        </w:rPr>
        <w:fldChar w:fldCharType="separate"/>
      </w:r>
      <w:r w:rsidR="004E5A78" w:rsidRPr="003726FE">
        <w:rPr>
          <w:noProof/>
          <w:lang w:val="en-GB"/>
        </w:rPr>
        <w:t>(</w:t>
      </w:r>
      <w:hyperlink w:anchor="_ENREF_265" w:tooltip="McGaghie, 2010 #161" w:history="1">
        <w:r w:rsidR="0094469E" w:rsidRPr="003726FE">
          <w:rPr>
            <w:noProof/>
            <w:lang w:val="en-GB"/>
          </w:rPr>
          <w:t>McGaghie et al. 2010</w:t>
        </w:r>
      </w:hyperlink>
      <w:r w:rsidR="004E5A78" w:rsidRPr="003726FE">
        <w:rPr>
          <w:noProof/>
          <w:lang w:val="en-GB"/>
        </w:rPr>
        <w:t>)</w:t>
      </w:r>
      <w:r w:rsidR="00EF281A" w:rsidRPr="003726FE">
        <w:rPr>
          <w:lang w:val="en-GB"/>
        </w:rPr>
        <w:fldChar w:fldCharType="end"/>
      </w:r>
      <w:r w:rsidRPr="003726FE">
        <w:rPr>
          <w:lang w:val="en-GB"/>
        </w:rPr>
        <w:t xml:space="preserve">. </w:t>
      </w:r>
      <w:hyperlink w:anchor="_ENREF_183" w:tooltip="Hatala, 2014 #108" w:history="1">
        <w:r w:rsidR="0094469E" w:rsidRPr="003726FE">
          <w:rPr>
            <w:lang w:val="en-GB"/>
          </w:rPr>
          <w:fldChar w:fldCharType="begin"/>
        </w:r>
        <w:r w:rsidR="0094469E">
          <w:rPr>
            <w:lang w:val="en-GB"/>
          </w:rPr>
          <w:instrText xml:space="preserve"> ADDIN EN.CITE &lt;EndNote&gt;&lt;Cite AuthorYear="1"&gt;&lt;Author&gt;Hatala&lt;/Author&gt;&lt;Year&gt;2014&lt;/Year&gt;&lt;RecNum&gt;107&lt;/RecNum&gt;&lt;Pages&gt;252&lt;/Pages&gt;&lt;DisplayText&gt;Hatala et al. (2014, p. 252)&lt;/DisplayText&gt;&lt;record&gt;&lt;rec-number&gt;107&lt;/rec-number&gt;&lt;foreign-keys&gt;&lt;key app="EN" db-id="xa2r2ewea92trkef5dt5arvbzafvpv2za5ft" timestamp="1442161764"&gt;107&lt;/key&gt;&lt;/foreign-keys&gt;&lt;ref-type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0094469E" w:rsidRPr="003726FE">
          <w:rPr>
            <w:lang w:val="en-GB"/>
          </w:rPr>
          <w:fldChar w:fldCharType="separate"/>
        </w:r>
        <w:r w:rsidR="0094469E" w:rsidRPr="003726FE">
          <w:rPr>
            <w:noProof/>
            <w:lang w:val="en-GB"/>
          </w:rPr>
          <w:t>Hatala et al. (2014, p. 252)</w:t>
        </w:r>
        <w:r w:rsidR="0094469E" w:rsidRPr="003726FE">
          <w:rPr>
            <w:lang w:val="en-GB"/>
          </w:rPr>
          <w:fldChar w:fldCharType="end"/>
        </w:r>
      </w:hyperlink>
      <w:r w:rsidRPr="003726FE">
        <w:rPr>
          <w:lang w:val="en-GB"/>
        </w:rPr>
        <w:t xml:space="preserve"> suggested that simulated envi</w:t>
      </w:r>
      <w:r w:rsidR="0056245E" w:rsidRPr="003726FE">
        <w:rPr>
          <w:lang w:val="en-GB"/>
        </w:rPr>
        <w:t>ronments are ideal for feedback</w:t>
      </w:r>
      <w:r w:rsidRPr="003726FE">
        <w:rPr>
          <w:lang w:val="en-GB"/>
        </w:rPr>
        <w:t xml:space="preserve"> “as learners can rehearse the key physical movements, patients are not at risk, training can be structured to optimize learning, and faculty are usually present to supervise and directly observe skill acquisition.” Simulated clinical skills learning environments are also suited to the development of SRL using supervised approaches, here the teacher can identify key SRL processes affecting their students’ performances </w:t>
      </w:r>
      <w:r w:rsidR="00EF281A" w:rsidRPr="003726FE">
        <w:rPr>
          <w:lang w:val="en-GB"/>
        </w:rPr>
        <w:fldChar w:fldCharType="begin"/>
      </w:r>
      <w:r w:rsidR="008B61BE">
        <w:rPr>
          <w:lang w:val="en-GB"/>
        </w:rPr>
        <w:instrText xml:space="preserve"> ADDIN EN.CITE &lt;EndNote&gt;&lt;Cite&gt;&lt;Author&gt;Sandars&lt;/Author&gt;&lt;Year&gt;2011&lt;/Year&gt;&lt;RecNum&gt;600&lt;/RecNum&gt;&lt;DisplayText&gt;(Sandars and Cleary 2011)&lt;/DisplayText&gt;&lt;record&gt;&lt;rec-number&gt;600&lt;/rec-number&gt;&lt;foreign-keys&gt;&lt;key app="EN" db-id="xa2r2ewea92trkef5dt5arvbzafvpv2za5ft" timestamp="1496417558"&gt;600&lt;/key&gt;&lt;/foreign-keys&gt;&lt;ref-type name="Journal Article"&gt;17&lt;/ref-type&gt;&lt;contributors&gt;&lt;authors&gt;&lt;author&gt;Sandars, John&lt;/author&gt;&lt;author&gt;Cleary, Timothy J&lt;/author&gt;&lt;/authors&gt;&lt;/contributors&gt;&lt;titles&gt;&lt;title&gt;Self-regulation theory: applications to medical education: AMEE Guide No. 58&lt;/title&gt;&lt;secondary-title&gt;Medical teacher&lt;/secondary-title&gt;&lt;/titles&gt;&lt;periodical&gt;&lt;full-title&gt;Medical teacher&lt;/full-title&gt;&lt;/periodical&gt;&lt;pages&gt;875-886&lt;/pages&gt;&lt;volume&gt;33&lt;/volume&gt;&lt;number&gt;11&lt;/number&gt;&lt;dates&gt;&lt;year&gt;2011&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56" w:tooltip="Sandars, 2011 #600" w:history="1">
        <w:r w:rsidR="0094469E" w:rsidRPr="003726FE">
          <w:rPr>
            <w:noProof/>
            <w:lang w:val="en-GB"/>
          </w:rPr>
          <w:t>Sandars and Cleary 2011</w:t>
        </w:r>
      </w:hyperlink>
      <w:r w:rsidR="004E5A78" w:rsidRPr="003726FE">
        <w:rPr>
          <w:noProof/>
          <w:lang w:val="en-GB"/>
        </w:rPr>
        <w:t>)</w:t>
      </w:r>
      <w:r w:rsidR="00EF281A" w:rsidRPr="003726FE">
        <w:rPr>
          <w:lang w:val="en-GB"/>
        </w:rPr>
        <w:fldChar w:fldCharType="end"/>
      </w:r>
      <w:r w:rsidRPr="003726FE">
        <w:rPr>
          <w:lang w:val="en-GB"/>
        </w:rPr>
        <w:t xml:space="preserve">. It is important to provide SRL support at this stage before students embark upon clinical placements where their learning is heavily influenced by contextual and social factors </w:t>
      </w:r>
      <w:r w:rsidR="00EF281A" w:rsidRPr="003726FE">
        <w:rPr>
          <w:lang w:val="en-GB"/>
        </w:rPr>
        <w:fldChar w:fldCharType="begin"/>
      </w:r>
      <w:r w:rsidR="008B61BE">
        <w:rPr>
          <w:lang w:val="en-GB"/>
        </w:rPr>
        <w:instrText xml:space="preserve"> ADDIN EN.CITE &lt;EndNote&gt;&lt;Cite&gt;&lt;Author&gt;Berkhout&lt;/Author&gt;&lt;Year&gt;2015&lt;/Year&gt;&lt;RecNum&gt;602&lt;/RecNum&gt;&lt;DisplayText&gt;(Berkhout et al. 2015)&lt;/DisplayText&gt;&lt;record&gt;&lt;rec-number&gt;602&lt;/rec-number&gt;&lt;foreign-keys&gt;&lt;key app="EN" db-id="xa2r2ewea92trkef5dt5arvbzafvpv2za5ft" timestamp="1496417559"&gt;602&lt;/key&gt;&lt;/foreign-keys&gt;&lt;ref-type name="Journal Article"&gt;17&lt;/ref-type&gt;&lt;contributors&gt;&lt;authors&gt;&lt;author&gt;Berkhout, Joris J&lt;/author&gt;&lt;author&gt;Helmich, Esther&lt;/author&gt;&lt;author&gt;Teunissen, Pim W&lt;/author&gt;&lt;author&gt;Berg, Joost W&lt;/author&gt;&lt;author&gt;Vleuten, Cees PM&lt;/author&gt;&lt;author&gt;Jaarsma, A Debbie C&lt;/author&gt;&lt;/authors&gt;&lt;/contributors&gt;&lt;titles&gt;&lt;title&gt;Exploring the factors influencing clinical students’ self</w:instrText>
      </w:r>
      <w:r w:rsidR="008B61BE">
        <w:rPr>
          <w:rFonts w:ascii="Cambria Math" w:hAnsi="Cambria Math" w:cs="Cambria Math"/>
          <w:lang w:val="en-GB"/>
        </w:rPr>
        <w:instrText>‐</w:instrText>
      </w:r>
      <w:r w:rsidR="008B61BE">
        <w:rPr>
          <w:lang w:val="en-GB"/>
        </w:rPr>
        <w:instrText>regulated learning&lt;/title&gt;&lt;secondary-title&gt;Medical education&lt;/secondary-title&gt;&lt;/titles&gt;&lt;periodical&gt;&lt;full-title&gt;Medical education&lt;/full-title&gt;&lt;/periodical&gt;&lt;pages&gt;589-600&lt;/pages&gt;&lt;volume&gt;49&lt;/volume&gt;&lt;number&gt;6&lt;/number&gt;&lt;dates&gt;&lt;year&gt;2015&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29" w:tooltip="Berkhout, 2015 #602" w:history="1">
        <w:r w:rsidR="0094469E" w:rsidRPr="003726FE">
          <w:rPr>
            <w:noProof/>
            <w:lang w:val="en-GB"/>
          </w:rPr>
          <w:t>Berkhout et al. 2015</w:t>
        </w:r>
      </w:hyperlink>
      <w:r w:rsidR="004E5A78" w:rsidRPr="003726FE">
        <w:rPr>
          <w:noProof/>
          <w:lang w:val="en-GB"/>
        </w:rPr>
        <w:t>)</w:t>
      </w:r>
      <w:r w:rsidR="00EF281A" w:rsidRPr="003726FE">
        <w:rPr>
          <w:lang w:val="en-GB"/>
        </w:rPr>
        <w:fldChar w:fldCharType="end"/>
      </w:r>
      <w:r w:rsidRPr="003726FE">
        <w:rPr>
          <w:lang w:val="en-GB"/>
        </w:rPr>
        <w:t xml:space="preserve">. SRL assessment approaches have been </w:t>
      </w:r>
      <w:r w:rsidR="0056245E" w:rsidRPr="003726FE">
        <w:rPr>
          <w:lang w:val="en-GB"/>
        </w:rPr>
        <w:t>used</w:t>
      </w:r>
      <w:r w:rsidRPr="003726FE">
        <w:rPr>
          <w:lang w:val="en-GB"/>
        </w:rPr>
        <w:t xml:space="preserve"> in simulated clinical skills environments with some success, but they have not used feedback to explicitly </w:t>
      </w:r>
      <w:r w:rsidR="00E52A64">
        <w:rPr>
          <w:lang w:val="en-GB"/>
        </w:rPr>
        <w:t>enhance</w:t>
      </w:r>
      <w:r w:rsidRPr="003726FE">
        <w:rPr>
          <w:lang w:val="en-GB"/>
        </w:rPr>
        <w:t xml:space="preserve"> SRL processes </w:t>
      </w:r>
      <w:r w:rsidRPr="003726FE">
        <w:rPr>
          <w:lang w:val="en-GB"/>
        </w:rPr>
        <w:fldChar w:fldCharType="begin"/>
      </w:r>
      <w:r w:rsidR="008B61BE">
        <w:rPr>
          <w:lang w:val="en-GB"/>
        </w:rPr>
        <w:instrText xml:space="preserve"> ADDIN EN.CITE &lt;EndNote&gt;&lt;Cite&gt;&lt;Author&gt;Cleary&lt;/Author&gt;&lt;Year&gt;2014&lt;/Year&gt;&lt;RecNum&gt;36&lt;/RecNum&gt;&lt;DisplayText&gt;(Cleary and Sandars 2011; Cleary et al. 2014)&lt;/DisplayText&gt;&lt;record&gt;&lt;rec-number&gt;36&lt;/rec-number&gt;&lt;foreign-keys&gt;&lt;key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Cite&gt;&lt;Author&gt;Cleary&lt;/Author&gt;&lt;Year&gt;2011&lt;/Year&gt;&lt;RecNum&gt;39&lt;/RecNum&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Francis&lt;/publisher&gt;&lt;urls&gt;&lt;/urls&gt;&lt;/record&gt;&lt;/Cite&gt;&lt;/EndNote&gt;</w:instrText>
      </w:r>
      <w:r w:rsidRPr="003726FE">
        <w:rPr>
          <w:lang w:val="en-GB"/>
        </w:rPr>
        <w:fldChar w:fldCharType="separate"/>
      </w:r>
      <w:r w:rsidR="004E5A78" w:rsidRPr="003726FE">
        <w:rPr>
          <w:noProof/>
          <w:lang w:val="en-GB"/>
        </w:rPr>
        <w:t>(</w:t>
      </w:r>
      <w:hyperlink w:anchor="_ENREF_89" w:tooltip="Cleary, 2011 #39" w:history="1">
        <w:r w:rsidR="0094469E" w:rsidRPr="003726FE">
          <w:rPr>
            <w:noProof/>
            <w:lang w:val="en-GB"/>
          </w:rPr>
          <w:t>Cleary and Sandars 2011</w:t>
        </w:r>
      </w:hyperlink>
      <w:r w:rsidR="004E5A78" w:rsidRPr="003726FE">
        <w:rPr>
          <w:noProof/>
          <w:lang w:val="en-GB"/>
        </w:rPr>
        <w:t xml:space="preserve">; </w:t>
      </w:r>
      <w:hyperlink w:anchor="_ENREF_85" w:tooltip="Cleary, 2014 #36" w:history="1">
        <w:r w:rsidR="0094469E" w:rsidRPr="003726FE">
          <w:rPr>
            <w:noProof/>
            <w:lang w:val="en-GB"/>
          </w:rPr>
          <w:t>Cleary et al. 2014</w:t>
        </w:r>
      </w:hyperlink>
      <w:r w:rsidR="004E5A78" w:rsidRPr="003726FE">
        <w:rPr>
          <w:noProof/>
          <w:lang w:val="en-GB"/>
        </w:rPr>
        <w:t>)</w:t>
      </w:r>
      <w:r w:rsidRPr="003726FE">
        <w:rPr>
          <w:lang w:val="en-GB"/>
        </w:rPr>
        <w:fldChar w:fldCharType="end"/>
      </w:r>
      <w:r w:rsidRPr="003726FE">
        <w:rPr>
          <w:lang w:val="en-GB"/>
        </w:rPr>
        <w:t xml:space="preserve">. </w:t>
      </w:r>
    </w:p>
    <w:p w14:paraId="0C671BB4" w14:textId="77777777" w:rsidR="002E3AD7" w:rsidRPr="003726FE" w:rsidRDefault="002E3AD7" w:rsidP="00026049">
      <w:pPr>
        <w:pStyle w:val="Normal1"/>
        <w:rPr>
          <w:lang w:val="en-GB"/>
        </w:rPr>
      </w:pPr>
    </w:p>
    <w:p w14:paraId="45A2F4D5" w14:textId="6F801607" w:rsidR="00D351C2" w:rsidRPr="003726FE" w:rsidRDefault="00D351C2" w:rsidP="00026049">
      <w:pPr>
        <w:pStyle w:val="Normal1"/>
        <w:rPr>
          <w:lang w:val="en-GB"/>
        </w:rPr>
      </w:pPr>
      <w:r w:rsidRPr="003726FE">
        <w:rPr>
          <w:lang w:val="en-GB"/>
        </w:rPr>
        <w:t xml:space="preserve">Simulation based </w:t>
      </w:r>
      <w:r w:rsidR="00543646" w:rsidRPr="003726FE">
        <w:rPr>
          <w:lang w:val="en-GB"/>
        </w:rPr>
        <w:t>clinical</w:t>
      </w:r>
      <w:r w:rsidRPr="003726FE">
        <w:rPr>
          <w:lang w:val="en-GB"/>
        </w:rPr>
        <w:t xml:space="preserve"> education </w:t>
      </w:r>
      <w:r w:rsidR="00E52A64">
        <w:rPr>
          <w:lang w:val="en-GB"/>
        </w:rPr>
        <w:t>is</w:t>
      </w:r>
      <w:r w:rsidRPr="003726FE">
        <w:rPr>
          <w:lang w:val="en-GB"/>
        </w:rPr>
        <w:t xml:space="preserve"> an important feature of procedural skills training in all </w:t>
      </w:r>
      <w:r w:rsidR="00543646" w:rsidRPr="003726FE">
        <w:rPr>
          <w:lang w:val="en-GB"/>
        </w:rPr>
        <w:t>healthcare professions</w:t>
      </w:r>
      <w:r w:rsidRPr="003726FE">
        <w:rPr>
          <w:lang w:val="en-GB"/>
        </w:rPr>
        <w:t xml:space="preserve"> trainees, regardless of their level </w:t>
      </w:r>
      <w:r w:rsidR="00E74C06">
        <w:rPr>
          <w:lang w:val="en-GB"/>
        </w:rPr>
        <w:fldChar w:fldCharType="begin"/>
      </w:r>
      <w:r w:rsidR="00E74C06">
        <w:rPr>
          <w:lang w:val="en-GB"/>
        </w:rPr>
        <w:instrText xml:space="preserve"> ADDIN EN.CITE &lt;EndNote&gt;&lt;Cite&gt;&lt;Author&gt;Passiment&lt;/Author&gt;&lt;Year&gt;2011&lt;/Year&gt;&lt;RecNum&gt;196&lt;/RecNum&gt;&lt;DisplayText&gt;(Passiment et al. 2011)&lt;/DisplayText&gt;&lt;record&gt;&lt;rec-number&gt;196&lt;/rec-number&gt;&lt;foreign-keys&gt;&lt;key app="EN" db-id="xa2r2ewea92trkef5dt5arvbzafvpv2za5ft" timestamp="1442161765"&gt;196&lt;/key&gt;&lt;/foreign-keys&gt;&lt;ref-type name="Journal Article"&gt;17&lt;/ref-type&gt;&lt;contributors&gt;&lt;authors&gt;&lt;author&gt;Passiment, M.&lt;/author&gt;&lt;author&gt;Sacks, H.&lt;/author&gt;&lt;author&gt;Huang, G.&lt;/author&gt;&lt;/authors&gt;&lt;/contributors&gt;&lt;titles&gt;&lt;title&gt;Medical simulation in medical education: results of an AAMC survey&lt;/title&gt;&lt;secondary-title&gt;Washington, DC: Association of American Medical Colleges&lt;/secondary-title&gt;&lt;/titles&gt;&lt;periodical&gt;&lt;full-title&gt;Washington, DC: Association of American Medical Colleges&lt;/full-title&gt;&lt;/periodical&gt;&lt;dates&gt;&lt;year&gt;2011&lt;/year&gt;&lt;/dates&gt;&lt;urls&gt;&lt;/urls&gt;&lt;/record&gt;&lt;/Cite&gt;&lt;/EndNote&gt;</w:instrText>
      </w:r>
      <w:r w:rsidR="00E74C06">
        <w:rPr>
          <w:lang w:val="en-GB"/>
        </w:rPr>
        <w:fldChar w:fldCharType="separate"/>
      </w:r>
      <w:r w:rsidR="00E74C06">
        <w:rPr>
          <w:noProof/>
          <w:lang w:val="en-GB"/>
        </w:rPr>
        <w:t>(</w:t>
      </w:r>
      <w:hyperlink w:anchor="_ENREF_317" w:tooltip="Passiment, 2011 #196" w:history="1">
        <w:r w:rsidR="0094469E">
          <w:rPr>
            <w:noProof/>
            <w:lang w:val="en-GB"/>
          </w:rPr>
          <w:t>Passiment et al. 2011</w:t>
        </w:r>
      </w:hyperlink>
      <w:r w:rsidR="00E74C06">
        <w:rPr>
          <w:noProof/>
          <w:lang w:val="en-GB"/>
        </w:rPr>
        <w:t>)</w:t>
      </w:r>
      <w:r w:rsidR="00E74C06">
        <w:rPr>
          <w:lang w:val="en-GB"/>
        </w:rPr>
        <w:fldChar w:fldCharType="end"/>
      </w:r>
      <w:r w:rsidRPr="003726FE">
        <w:rPr>
          <w:lang w:val="en-GB"/>
        </w:rPr>
        <w:t>, and most</w:t>
      </w:r>
      <w:r w:rsidR="00543646" w:rsidRPr="003726FE">
        <w:rPr>
          <w:lang w:val="en-GB"/>
        </w:rPr>
        <w:t xml:space="preserve"> undergraduate</w:t>
      </w:r>
      <w:r w:rsidRPr="003726FE">
        <w:rPr>
          <w:lang w:val="en-GB"/>
        </w:rPr>
        <w:t xml:space="preserve"> medical education programmes offer this type of training </w:t>
      </w:r>
      <w:r w:rsidR="00E74C06">
        <w:rPr>
          <w:lang w:val="en-GB"/>
        </w:rPr>
        <w:fldChar w:fldCharType="begin"/>
      </w:r>
      <w:r w:rsidR="002A3E9B">
        <w:rPr>
          <w:lang w:val="en-GB"/>
        </w:rPr>
        <w:instrText xml:space="preserve"> ADDIN EN.CITE &lt;EndNote&gt;&lt;Cite&gt;&lt;Author&gt;Ker&lt;/Author&gt;&lt;Year&gt;2010&lt;/Year&gt;&lt;RecNum&gt;405&lt;/RecNum&gt;&lt;DisplayText&gt;(Ker and Bradley 2010)&lt;/DisplayText&gt;&lt;record&gt;&lt;rec-number&gt;405&lt;/rec-number&gt;&lt;foreign-keys&gt;&lt;key app="EN" db-id="xa2r2ewea92trkef5dt5arvbzafvpv2za5ft" timestamp="1496417543"&gt;405&lt;/key&gt;&lt;/foreign-keys&gt;&lt;ref-type name="Journal Article"&gt;17&lt;/ref-type&gt;&lt;contributors&gt;&lt;authors&gt;&lt;author&gt;Ker, Jean&lt;/author&gt;&lt;author&gt;Bradley, Paul&lt;/author&gt;&lt;/authors&gt;&lt;/contributors&gt;&lt;titles&gt;&lt;title&gt;Simulation in medical education&lt;/title&gt;&lt;secondary-title&gt;Understanding medical education: Evidence, theory and practice&lt;/secondary-title&gt;&lt;/titles&gt;&lt;periodical&gt;&lt;full-title&gt;Understanding medical education: Evidence, theory and practice&lt;/full-title&gt;&lt;/periodical&gt;&lt;pages&gt;164-180&lt;/pages&gt;&lt;dates&gt;&lt;year&gt;2010&lt;/year&gt;&lt;/dates&gt;&lt;urls&gt;&lt;/urls&gt;&lt;/record&gt;&lt;/Cite&gt;&lt;/EndNote&gt;</w:instrText>
      </w:r>
      <w:r w:rsidR="00E74C06">
        <w:rPr>
          <w:lang w:val="en-GB"/>
        </w:rPr>
        <w:fldChar w:fldCharType="separate"/>
      </w:r>
      <w:r w:rsidR="00E74C06">
        <w:rPr>
          <w:noProof/>
          <w:lang w:val="en-GB"/>
        </w:rPr>
        <w:t>(</w:t>
      </w:r>
      <w:hyperlink w:anchor="_ENREF_215" w:tooltip="Ker, 2010 #405" w:history="1">
        <w:r w:rsidR="0094469E">
          <w:rPr>
            <w:noProof/>
            <w:lang w:val="en-GB"/>
          </w:rPr>
          <w:t>Ker and Bradley 2010</w:t>
        </w:r>
      </w:hyperlink>
      <w:r w:rsidR="00E74C06">
        <w:rPr>
          <w:noProof/>
          <w:lang w:val="en-GB"/>
        </w:rPr>
        <w:t>)</w:t>
      </w:r>
      <w:r w:rsidR="00E74C06">
        <w:rPr>
          <w:lang w:val="en-GB"/>
        </w:rPr>
        <w:fldChar w:fldCharType="end"/>
      </w:r>
      <w:r w:rsidRPr="003726FE">
        <w:rPr>
          <w:lang w:val="en-GB"/>
        </w:rPr>
        <w:t>. Researchers suggest that simulated environments are ideal for providing effective feedback</w:t>
      </w:r>
      <w:r w:rsidR="002A3E9B">
        <w:rPr>
          <w:lang w:val="en-GB"/>
        </w:rPr>
        <w:t xml:space="preserve"> and</w:t>
      </w:r>
      <w:r w:rsidRPr="003726FE">
        <w:rPr>
          <w:lang w:val="en-GB"/>
        </w:rPr>
        <w:t xml:space="preserve"> </w:t>
      </w:r>
      <w:r w:rsidR="00E52A64">
        <w:rPr>
          <w:lang w:val="en-GB"/>
        </w:rPr>
        <w:t>are</w:t>
      </w:r>
      <w:r w:rsidRPr="003726FE">
        <w:rPr>
          <w:lang w:val="en-GB"/>
        </w:rPr>
        <w:t xml:space="preserve"> largely risk-free for the students</w:t>
      </w:r>
      <w:r w:rsidR="002A3E9B">
        <w:rPr>
          <w:lang w:val="en-GB"/>
        </w:rPr>
        <w:t>.</w:t>
      </w:r>
      <w:r w:rsidRPr="003726FE">
        <w:rPr>
          <w:lang w:val="en-GB"/>
        </w:rPr>
        <w:t xml:space="preserve"> </w:t>
      </w:r>
      <w:r w:rsidR="002A3E9B">
        <w:rPr>
          <w:lang w:val="en-GB"/>
        </w:rPr>
        <w:t>However, there are</w:t>
      </w:r>
      <w:r w:rsidR="00543646" w:rsidRPr="003726FE">
        <w:rPr>
          <w:lang w:val="en-GB"/>
        </w:rPr>
        <w:t xml:space="preserve"> the social pressures of being observed in front of peers </w:t>
      </w:r>
      <w:r w:rsidR="0056245E" w:rsidRPr="003726FE">
        <w:rPr>
          <w:lang w:val="en-GB"/>
        </w:rPr>
        <w:t xml:space="preserve">which </w:t>
      </w:r>
      <w:r w:rsidR="00543646" w:rsidRPr="003726FE">
        <w:rPr>
          <w:lang w:val="en-GB"/>
        </w:rPr>
        <w:t>can be a psychological risk</w:t>
      </w:r>
      <w:r w:rsidRPr="003726FE">
        <w:rPr>
          <w:lang w:val="en-GB"/>
        </w:rPr>
        <w:t xml:space="preserve">, </w:t>
      </w:r>
      <w:r w:rsidR="00E52A64">
        <w:rPr>
          <w:lang w:val="en-GB"/>
        </w:rPr>
        <w:t>although</w:t>
      </w:r>
      <w:r w:rsidR="002A3E9B">
        <w:rPr>
          <w:lang w:val="en-GB"/>
        </w:rPr>
        <w:t xml:space="preserve"> </w:t>
      </w:r>
      <w:r w:rsidR="00543646" w:rsidRPr="003726FE">
        <w:rPr>
          <w:lang w:val="en-GB"/>
        </w:rPr>
        <w:t>trained</w:t>
      </w:r>
      <w:r w:rsidRPr="003726FE">
        <w:rPr>
          <w:lang w:val="en-GB"/>
        </w:rPr>
        <w:t xml:space="preserve"> </w:t>
      </w:r>
      <w:r w:rsidR="00543646" w:rsidRPr="003726FE">
        <w:rPr>
          <w:lang w:val="en-GB"/>
        </w:rPr>
        <w:t xml:space="preserve">tutors are available to observe, teach, and provide support during </w:t>
      </w:r>
      <w:r w:rsidRPr="003726FE">
        <w:rPr>
          <w:lang w:val="en-GB"/>
        </w:rPr>
        <w:t xml:space="preserve">structured training sessions (Hatala et al., 2014). A recent systematic review supports this claim and has confirmed that feedback is generally effective and </w:t>
      </w:r>
      <w:r w:rsidR="002A3E9B">
        <w:rPr>
          <w:lang w:val="en-GB"/>
        </w:rPr>
        <w:t>improves performance in simulation and help</w:t>
      </w:r>
      <w:r w:rsidR="00E52A64">
        <w:rPr>
          <w:lang w:val="en-GB"/>
        </w:rPr>
        <w:t>s</w:t>
      </w:r>
      <w:r w:rsidRPr="003726FE">
        <w:rPr>
          <w:lang w:val="en-GB"/>
        </w:rPr>
        <w:t xml:space="preserve"> prepare students for clinical work (Hatala et al., 2014).</w:t>
      </w:r>
      <w:r w:rsidR="00543646" w:rsidRPr="003726FE">
        <w:rPr>
          <w:lang w:val="en-GB"/>
        </w:rPr>
        <w:t xml:space="preserve"> </w:t>
      </w:r>
      <w:hyperlink w:anchor="_ENREF_265" w:tooltip="McGaghie, 2010 #161" w:history="1">
        <w:r w:rsidR="0094469E" w:rsidRPr="003726FE">
          <w:rPr>
            <w:lang w:val="en-GB"/>
          </w:rPr>
          <w:fldChar w:fldCharType="begin"/>
        </w:r>
        <w:r w:rsidR="0094469E">
          <w:rPr>
            <w:lang w:val="en-GB"/>
          </w:rPr>
          <w:instrText xml:space="preserve"> ADDIN EN.CITE &lt;EndNote&gt;&lt;Cite AuthorYear="1"&gt;&lt;Author&gt;McGaghie&lt;/Author&gt;&lt;Year&gt;2010&lt;/Year&gt;&lt;RecNum&gt;161&lt;/RecNum&gt;&lt;Pages&gt;55&lt;/Pages&gt;&lt;DisplayText&gt;McGaghie et al. (2010, p. 55)&lt;/DisplayText&gt;&lt;record&gt;&lt;rec-number&gt;161&lt;/rec-number&gt;&lt;foreign-keys&gt;&lt;key app="EN" db-id="xa2r2ewea92trkef5dt5arvbzafvpv2za5ft" timestamp="1442161765"&gt;161&lt;/key&gt;&lt;/foreign-keys&gt;&lt;ref-type name="Journal Article"&gt;17&lt;/ref-type&gt;&lt;contributors&gt;&lt;authors&gt;&lt;author&gt;McGaghie, William C.&lt;/author&gt;&lt;author&gt;Issenberg, S. Barry&lt;/author&gt;&lt;author&gt;Petrusa, Emil R.&lt;/author&gt;&lt;author&gt;Scalese, Ross J.&lt;/author&gt;&lt;/authors&gt;&lt;/contributors&gt;&lt;titles&gt;&lt;title&gt;A critical review of simulation</w:instrText>
        </w:r>
        <w:r w:rsidR="0094469E">
          <w:rPr>
            <w:rFonts w:ascii="Cambria Math" w:hAnsi="Cambria Math" w:cs="Cambria Math"/>
            <w:lang w:val="en-GB"/>
          </w:rPr>
          <w:instrText>‐</w:instrText>
        </w:r>
        <w:r w:rsidR="0094469E">
          <w:rPr>
            <w:lang w:val="en-GB"/>
          </w:rPr>
          <w:instrText>based medical education research: 2003</w:instrText>
        </w:r>
        <w:r w:rsidR="0094469E">
          <w:rPr>
            <w:rFonts w:cs="Times New Roman"/>
            <w:lang w:val="en-GB"/>
          </w:rPr>
          <w:instrText>–</w:instrText>
        </w:r>
        <w:r w:rsidR="0094469E">
          <w:rPr>
            <w:lang w:val="en-GB"/>
          </w:rPr>
          <w:instrText>2009&lt;/title&gt;&lt;secondary-title&gt;Medical education&lt;/secondary-title&gt;&lt;/titles&gt;&lt;periodical&gt;&lt;full-title&gt;Medical education&lt;/full-title&gt;&lt;/periodical&gt;&lt;pages&gt;50-63&lt;/pages&gt;&lt;volume&gt;44&lt;/volume&gt;&lt;number&gt;1&lt;/number&gt;&lt;dates&gt;&lt;year&gt;2010&lt;/year&gt;&lt;/dates&gt;&lt;publisher&gt;Wiley Online Library&lt;/publisher&gt;&lt;urls&gt;&lt;related-urls&gt;&lt;url&gt;http://onlinelibrary.wiley.com/store/10.1111/j.1365-2923.2009.03547.x/asset/j.1365-2923.2009.03547.x.pdf?v=1&amp;amp;t=ieiq0jxc&amp;amp;s=19e6b7d7777f918292cf00d8e36ccce3554c7d6d&lt;/url&gt;&lt;/related-urls&gt;&lt;/urls&gt;&lt;/record&gt;&lt;/Cite&gt;&lt;/EndNote&gt;</w:instrText>
        </w:r>
        <w:r w:rsidR="0094469E" w:rsidRPr="003726FE">
          <w:rPr>
            <w:lang w:val="en-GB"/>
          </w:rPr>
          <w:fldChar w:fldCharType="separate"/>
        </w:r>
        <w:r w:rsidR="0094469E" w:rsidRPr="003726FE">
          <w:rPr>
            <w:noProof/>
            <w:lang w:val="en-GB"/>
          </w:rPr>
          <w:t>McGaghie et al. (2010, p. 55)</w:t>
        </w:r>
        <w:r w:rsidR="0094469E" w:rsidRPr="003726FE">
          <w:rPr>
            <w:lang w:val="en-GB"/>
          </w:rPr>
          <w:fldChar w:fldCharType="end"/>
        </w:r>
      </w:hyperlink>
      <w:r w:rsidR="003A170D" w:rsidRPr="003726FE">
        <w:rPr>
          <w:lang w:val="en-GB"/>
        </w:rPr>
        <w:t xml:space="preserve"> also name</w:t>
      </w:r>
      <w:r w:rsidR="00BA4521">
        <w:rPr>
          <w:lang w:val="en-GB"/>
        </w:rPr>
        <w:t>d</w:t>
      </w:r>
      <w:r w:rsidR="00543646" w:rsidRPr="003726FE">
        <w:rPr>
          <w:lang w:val="en-GB"/>
        </w:rPr>
        <w:t xml:space="preserve"> feedback as one of the key components of successful simulated clinical skills education, although they do raise </w:t>
      </w:r>
      <w:r w:rsidR="00A20A3D" w:rsidRPr="003726FE">
        <w:rPr>
          <w:lang w:val="en-GB"/>
        </w:rPr>
        <w:t xml:space="preserve">some issues </w:t>
      </w:r>
      <w:r w:rsidR="00B76881">
        <w:rPr>
          <w:lang w:val="en-GB"/>
        </w:rPr>
        <w:t>in</w:t>
      </w:r>
      <w:r w:rsidR="00A20A3D" w:rsidRPr="003726FE">
        <w:rPr>
          <w:lang w:val="en-GB"/>
        </w:rPr>
        <w:t xml:space="preserve"> feedback, “Feedback standards and guidelines need to be developed so that instructor competence can be measured for this critical </w:t>
      </w:r>
      <w:r w:rsidR="002A3E9B">
        <w:rPr>
          <w:lang w:val="en-GB"/>
        </w:rPr>
        <w:t>simulation based medical education</w:t>
      </w:r>
      <w:r w:rsidR="00A20A3D" w:rsidRPr="003726FE">
        <w:rPr>
          <w:lang w:val="en-GB"/>
        </w:rPr>
        <w:t xml:space="preserve"> skill”</w:t>
      </w:r>
      <w:r w:rsidR="00543646" w:rsidRPr="003726FE">
        <w:rPr>
          <w:lang w:val="en-GB"/>
        </w:rPr>
        <w:t>.</w:t>
      </w:r>
    </w:p>
    <w:p w14:paraId="17975F55" w14:textId="77777777" w:rsidR="00D351C2" w:rsidRPr="003726FE" w:rsidRDefault="00D351C2" w:rsidP="00026049">
      <w:pPr>
        <w:pStyle w:val="Normal1"/>
        <w:rPr>
          <w:lang w:val="en-GB"/>
        </w:rPr>
      </w:pPr>
    </w:p>
    <w:p w14:paraId="3D9737A8" w14:textId="178CFC52" w:rsidR="00D351C2" w:rsidRPr="003726FE" w:rsidRDefault="00E52A64" w:rsidP="00026049">
      <w:pPr>
        <w:pStyle w:val="Normal1"/>
        <w:rPr>
          <w:lang w:val="en-GB"/>
        </w:rPr>
      </w:pPr>
      <w:r>
        <w:rPr>
          <w:lang w:val="en-GB"/>
        </w:rPr>
        <w:lastRenderedPageBreak/>
        <w:t>F</w:t>
      </w:r>
      <w:r w:rsidR="00D351C2" w:rsidRPr="003726FE">
        <w:rPr>
          <w:lang w:val="en-GB"/>
        </w:rPr>
        <w:t>eedback on skills practiced in simulation is often limited to the psychom</w:t>
      </w:r>
      <w:r w:rsidR="0056245E" w:rsidRPr="003726FE">
        <w:rPr>
          <w:lang w:val="en-GB"/>
        </w:rPr>
        <w:t xml:space="preserve">otor elements of the procedure - </w:t>
      </w:r>
      <w:r w:rsidR="00D351C2" w:rsidRPr="003726FE">
        <w:rPr>
          <w:lang w:val="en-GB"/>
        </w:rPr>
        <w:t>task and process in Hat</w:t>
      </w:r>
      <w:r w:rsidR="0056245E" w:rsidRPr="003726FE">
        <w:rPr>
          <w:lang w:val="en-GB"/>
        </w:rPr>
        <w:t xml:space="preserve">tie and Timperley’s model </w:t>
      </w:r>
      <w:r w:rsidR="0056245E" w:rsidRPr="003726FE">
        <w:rPr>
          <w:lang w:val="en-GB"/>
        </w:rPr>
        <w:fldChar w:fldCharType="begin"/>
      </w:r>
      <w:r w:rsidR="008B61BE">
        <w:rPr>
          <w:lang w:val="en-GB"/>
        </w:rPr>
        <w:instrText xml:space="preserve"> ADDIN EN.CITE &lt;EndNote&gt;&lt;Cite ExcludeAuth="1"&gt;&lt;Author&gt;Hattie&lt;/Author&gt;&lt;Year&gt;2007&lt;/Year&gt;&lt;RecNum&gt;109&lt;/RecNum&gt;&lt;DisplayText&gt;(2007)&lt;/DisplayText&gt;&lt;record&gt;&lt;rec-number&gt;109&lt;/rec-number&gt;&lt;foreign-keys&gt;&lt;key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56245E" w:rsidRPr="003726FE">
        <w:rPr>
          <w:lang w:val="en-GB"/>
        </w:rPr>
        <w:fldChar w:fldCharType="separate"/>
      </w:r>
      <w:r w:rsidR="0056245E" w:rsidRPr="003726FE">
        <w:rPr>
          <w:noProof/>
          <w:lang w:val="en-GB"/>
        </w:rPr>
        <w:t>(</w:t>
      </w:r>
      <w:hyperlink w:anchor="_ENREF_184" w:tooltip="Hattie, 2007 #109" w:history="1">
        <w:r w:rsidR="0094469E" w:rsidRPr="003726FE">
          <w:rPr>
            <w:noProof/>
            <w:lang w:val="en-GB"/>
          </w:rPr>
          <w:t>2007</w:t>
        </w:r>
      </w:hyperlink>
      <w:r w:rsidR="0056245E" w:rsidRPr="003726FE">
        <w:rPr>
          <w:noProof/>
          <w:lang w:val="en-GB"/>
        </w:rPr>
        <w:t>)</w:t>
      </w:r>
      <w:r w:rsidR="0056245E" w:rsidRPr="003726FE">
        <w:rPr>
          <w:lang w:val="en-GB"/>
        </w:rPr>
        <w:fldChar w:fldCharType="end"/>
      </w:r>
      <w:r w:rsidR="0056245E" w:rsidRPr="003726FE">
        <w:rPr>
          <w:lang w:val="en-GB"/>
        </w:rPr>
        <w:t xml:space="preserve"> -</w:t>
      </w:r>
      <w:r w:rsidR="00D351C2" w:rsidRPr="003726FE">
        <w:rPr>
          <w:lang w:val="en-GB"/>
        </w:rPr>
        <w:t xml:space="preserve"> rather than on aspects of the self or SRL behaviours relating to the skill </w:t>
      </w:r>
      <w:r w:rsidR="002A3E9B">
        <w:rPr>
          <w:lang w:val="en-GB"/>
        </w:rPr>
        <w:fldChar w:fldCharType="begin"/>
      </w:r>
      <w:r w:rsidR="002A3E9B">
        <w:rPr>
          <w:lang w:val="en-GB"/>
        </w:rPr>
        <w:instrText xml:space="preserve"> ADDIN EN.CITE &lt;EndNote&gt;&lt;Cite&gt;&lt;Author&gt;Nestel&lt;/Author&gt;&lt;Year&gt;2013&lt;/Year&gt;&lt;RecNum&gt;182&lt;/RecNum&gt;&lt;DisplayText&gt;(Nestel et al. 2013)&lt;/DisplayText&gt;&lt;record&gt;&lt;rec-number&gt;182&lt;/rec-number&gt;&lt;foreign-keys&gt;&lt;key app="EN" db-id="xa2r2ewea92trkef5dt5arvbzafvpv2za5ft" timestamp="1442161765"&gt;182&lt;/key&gt;&lt;/foreign-keys&gt;&lt;ref-type name="Journal Article"&gt;17&lt;/ref-type&gt;&lt;contributors&gt;&lt;authors&gt;&lt;author&gt;Nestel, Debra&lt;/author&gt;&lt;author&gt;Bello, Fernando&lt;/author&gt;&lt;author&gt;Kneebone, Roger&lt;/author&gt;&lt;/authors&gt;&lt;/contributors&gt;&lt;titles&gt;&lt;title&gt;Feedback in clinical procedural skills simulations&lt;/title&gt;&lt;secondary-title&gt;Feedback in higher and professional education: Understanding it and doing it well&lt;/secondary-title&gt;&lt;/titles&gt;&lt;periodical&gt;&lt;full-title&gt;Feedback in higher and professional education: Understanding it and doing it well&lt;/full-title&gt;&lt;/periodical&gt;&lt;pages&gt;140-157&lt;/pages&gt;&lt;dates&gt;&lt;year&gt;2013&lt;/year&gt;&lt;/dates&gt;&lt;urls&gt;&lt;/urls&gt;&lt;/record&gt;&lt;/Cite&gt;&lt;/EndNote&gt;</w:instrText>
      </w:r>
      <w:r w:rsidR="002A3E9B">
        <w:rPr>
          <w:lang w:val="en-GB"/>
        </w:rPr>
        <w:fldChar w:fldCharType="separate"/>
      </w:r>
      <w:r w:rsidR="002A3E9B">
        <w:rPr>
          <w:noProof/>
          <w:lang w:val="en-GB"/>
        </w:rPr>
        <w:t>(</w:t>
      </w:r>
      <w:hyperlink w:anchor="_ENREF_298" w:tooltip="Nestel, 2013 #182" w:history="1">
        <w:r w:rsidR="0094469E">
          <w:rPr>
            <w:noProof/>
            <w:lang w:val="en-GB"/>
          </w:rPr>
          <w:t>Nestel et al. 2013</w:t>
        </w:r>
      </w:hyperlink>
      <w:r w:rsidR="002A3E9B">
        <w:rPr>
          <w:noProof/>
          <w:lang w:val="en-GB"/>
        </w:rPr>
        <w:t>)</w:t>
      </w:r>
      <w:r w:rsidR="002A3E9B">
        <w:rPr>
          <w:lang w:val="en-GB"/>
        </w:rPr>
        <w:fldChar w:fldCharType="end"/>
      </w:r>
      <w:r w:rsidR="00D351C2" w:rsidRPr="003726FE">
        <w:rPr>
          <w:lang w:val="en-GB"/>
        </w:rPr>
        <w:t>. This means that students are being corrected rather than taught how to actively correct themselves in real-time. Approaches to assessment, such as the OSCE (Objective Structured Clinical Ex</w:t>
      </w:r>
      <w:r w:rsidR="0056245E" w:rsidRPr="003726FE">
        <w:rPr>
          <w:lang w:val="en-GB"/>
        </w:rPr>
        <w:t>amination), worsen the issue as</w:t>
      </w:r>
      <w:r w:rsidR="00D351C2" w:rsidRPr="003726FE">
        <w:rPr>
          <w:lang w:val="en-GB"/>
        </w:rPr>
        <w:t xml:space="preserve"> “the task is rarely incrementally rebuilt into the whole as it will be performed in clinical practice.” </w:t>
      </w:r>
      <w:r w:rsidR="002A3E9B">
        <w:rPr>
          <w:lang w:val="en-GB"/>
        </w:rPr>
        <w:fldChar w:fldCharType="begin"/>
      </w:r>
      <w:r w:rsidR="002A3E9B">
        <w:rPr>
          <w:lang w:val="en-GB"/>
        </w:rPr>
        <w:instrText xml:space="preserve"> ADDIN EN.CITE &lt;EndNote&gt;&lt;Cite&gt;&lt;Author&gt;Nestel&lt;/Author&gt;&lt;Year&gt;2013&lt;/Year&gt;&lt;RecNum&gt;182&lt;/RecNum&gt;&lt;Pages&gt;142&lt;/Pages&gt;&lt;DisplayText&gt;(Nestel et al. 2013, p. 142)&lt;/DisplayText&gt;&lt;record&gt;&lt;rec-number&gt;182&lt;/rec-number&gt;&lt;foreign-keys&gt;&lt;key app="EN" db-id="xa2r2ewea92trkef5dt5arvbzafvpv2za5ft" timestamp="1442161765"&gt;182&lt;/key&gt;&lt;/foreign-keys&gt;&lt;ref-type name="Journal Article"&gt;17&lt;/ref-type&gt;&lt;contributors&gt;&lt;authors&gt;&lt;author&gt;Nestel, Debra&lt;/author&gt;&lt;author&gt;Bello, Fernando&lt;/author&gt;&lt;author&gt;Kneebone, Roger&lt;/author&gt;&lt;/authors&gt;&lt;/contributors&gt;&lt;titles&gt;&lt;title&gt;Feedback in clinical procedural skills simulations&lt;/title&gt;&lt;secondary-title&gt;Feedback in higher and professional education: Understanding it and doing it well&lt;/secondary-title&gt;&lt;/titles&gt;&lt;periodical&gt;&lt;full-title&gt;Feedback in higher and professional education: Understanding it and doing it well&lt;/full-title&gt;&lt;/periodical&gt;&lt;pages&gt;140-157&lt;/pages&gt;&lt;dates&gt;&lt;year&gt;2013&lt;/year&gt;&lt;/dates&gt;&lt;urls&gt;&lt;/urls&gt;&lt;/record&gt;&lt;/Cite&gt;&lt;/EndNote&gt;</w:instrText>
      </w:r>
      <w:r w:rsidR="002A3E9B">
        <w:rPr>
          <w:lang w:val="en-GB"/>
        </w:rPr>
        <w:fldChar w:fldCharType="separate"/>
      </w:r>
      <w:r w:rsidR="002A3E9B">
        <w:rPr>
          <w:noProof/>
          <w:lang w:val="en-GB"/>
        </w:rPr>
        <w:t>(</w:t>
      </w:r>
      <w:hyperlink w:anchor="_ENREF_298" w:tooltip="Nestel, 2013 #182" w:history="1">
        <w:r w:rsidR="0094469E">
          <w:rPr>
            <w:noProof/>
            <w:lang w:val="en-GB"/>
          </w:rPr>
          <w:t>Nestel et al. 2013, p. 142</w:t>
        </w:r>
      </w:hyperlink>
      <w:r w:rsidR="002A3E9B">
        <w:rPr>
          <w:noProof/>
          <w:lang w:val="en-GB"/>
        </w:rPr>
        <w:t>)</w:t>
      </w:r>
      <w:r w:rsidR="002A3E9B">
        <w:rPr>
          <w:lang w:val="en-GB"/>
        </w:rPr>
        <w:fldChar w:fldCharType="end"/>
      </w:r>
      <w:r w:rsidR="00D351C2" w:rsidRPr="003726FE">
        <w:rPr>
          <w:lang w:val="en-GB"/>
        </w:rPr>
        <w:t>. Feedback facilitates the development of SRL in clinical education (Watling et al., 2012), but the research shows that instructors do not typically support learner’s SRL in clinical skills contexts (Brydges et al., 2015).</w:t>
      </w:r>
    </w:p>
    <w:p w14:paraId="3B8411E2" w14:textId="77777777" w:rsidR="0033070E" w:rsidRPr="003726FE" w:rsidRDefault="0033070E" w:rsidP="00026049">
      <w:pPr>
        <w:pStyle w:val="Normal1"/>
        <w:rPr>
          <w:lang w:val="en-GB"/>
        </w:rPr>
      </w:pPr>
    </w:p>
    <w:p w14:paraId="495F163D" w14:textId="36062E28" w:rsidR="00C30ECC" w:rsidRPr="003726FE" w:rsidRDefault="00CB26CD" w:rsidP="00026049">
      <w:pPr>
        <w:pStyle w:val="Normal1"/>
        <w:rPr>
          <w:lang w:val="en-GB"/>
        </w:rPr>
      </w:pPr>
      <w:r w:rsidRPr="003726FE">
        <w:rPr>
          <w:lang w:val="en-GB"/>
        </w:rPr>
        <w:t>T</w:t>
      </w:r>
      <w:r w:rsidR="00C30ECC" w:rsidRPr="003726FE">
        <w:rPr>
          <w:lang w:val="en-GB"/>
        </w:rPr>
        <w:t xml:space="preserve">here are no studies which explicitly examine </w:t>
      </w:r>
      <w:r w:rsidR="00BA3001" w:rsidRPr="003726FE">
        <w:rPr>
          <w:lang w:val="en-GB"/>
        </w:rPr>
        <w:t xml:space="preserve">combined </w:t>
      </w:r>
      <w:r w:rsidR="00C30ECC" w:rsidRPr="003726FE">
        <w:rPr>
          <w:lang w:val="en-GB"/>
        </w:rPr>
        <w:t xml:space="preserve">SRL </w:t>
      </w:r>
      <w:r w:rsidR="00BA3001" w:rsidRPr="003726FE">
        <w:rPr>
          <w:lang w:val="en-GB"/>
        </w:rPr>
        <w:t>and</w:t>
      </w:r>
      <w:r w:rsidR="00C30ECC" w:rsidRPr="003726FE">
        <w:rPr>
          <w:lang w:val="en-GB"/>
        </w:rPr>
        <w:t xml:space="preserve"> feedback </w:t>
      </w:r>
      <w:r w:rsidR="00BA3001" w:rsidRPr="003726FE">
        <w:rPr>
          <w:lang w:val="en-GB"/>
        </w:rPr>
        <w:t xml:space="preserve">support </w:t>
      </w:r>
      <w:r w:rsidR="00C30ECC" w:rsidRPr="003726FE">
        <w:rPr>
          <w:lang w:val="en-GB"/>
        </w:rPr>
        <w:t xml:space="preserve">approaches in the educational literature, making the </w:t>
      </w:r>
      <w:r w:rsidR="00E52A64">
        <w:rPr>
          <w:lang w:val="en-GB"/>
        </w:rPr>
        <w:t>synthesis</w:t>
      </w:r>
      <w:r w:rsidR="00C30ECC" w:rsidRPr="003726FE">
        <w:rPr>
          <w:lang w:val="en-GB"/>
        </w:rPr>
        <w:t xml:space="preserve"> of these concepts in practice difficult to realise. </w:t>
      </w:r>
      <w:r w:rsidR="002E3AD7" w:rsidRPr="003726FE">
        <w:rPr>
          <w:lang w:val="en-GB"/>
        </w:rPr>
        <w:t xml:space="preserve">Recent evidence has identified flaws in the implementation of good SRL practices in procedural skills training and research. </w:t>
      </w:r>
      <w:hyperlink w:anchor="_ENREF_56" w:tooltip="Brydges, 2015 #18" w:history="1">
        <w:r w:rsidR="0094469E" w:rsidRPr="003726FE">
          <w:rPr>
            <w:lang w:val="en-GB"/>
          </w:rPr>
          <w:fldChar w:fldCharType="begin"/>
        </w:r>
        <w:r w:rsidR="0094469E">
          <w:rPr>
            <w:lang w:val="en-GB"/>
          </w:rPr>
          <w:instrText xml:space="preserve"> ADDIN EN.CITE &lt;EndNote&gt;&lt;Cite AuthorYear="1"&gt;&lt;Author&gt;Brydges&lt;/Author&gt;&lt;Year&gt;2015&lt;/Year&gt;&lt;RecNum&gt;19&lt;/RecNum&gt;&lt;DisplayText&gt;Brydges et al. (2015)&lt;/DisplayText&gt;&lt;record&gt;&lt;rec-number&gt;19&lt;/rec-number&gt;&lt;foreign-keys&gt;&lt;key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94469E">
          <w:rPr>
            <w:rFonts w:ascii="Cambria Math" w:hAnsi="Cambria Math" w:cs="Cambria Math"/>
            <w:lang w:val="en-GB"/>
          </w:rPr>
          <w:instrText>‐</w:instrText>
        </w:r>
        <w:r w:rsidR="0094469E">
          <w:rPr>
            <w:lang w:val="en-GB"/>
          </w:rPr>
          <w:instrText>regulated learning in simulation</w:instrText>
        </w:r>
        <w:r w:rsidR="0094469E">
          <w:rPr>
            <w:rFonts w:ascii="Cambria Math" w:hAnsi="Cambria Math" w:cs="Cambria Math"/>
            <w:lang w:val="en-GB"/>
          </w:rPr>
          <w:instrText>‐</w:instrText>
        </w:r>
        <w:r w:rsidR="0094469E">
          <w:rPr>
            <w:lang w:val="en-GB"/>
          </w:rPr>
          <w:instrText>based training: a systematic review and meta</w:instrText>
        </w:r>
        <w:r w:rsidR="0094469E">
          <w:rPr>
            <w:rFonts w:ascii="Cambria Math" w:hAnsi="Cambria Math" w:cs="Cambria Math"/>
            <w:lang w:val="en-GB"/>
          </w:rPr>
          <w:instrText>‐</w:instrText>
        </w:r>
        <w:r w:rsidR="0094469E">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94469E" w:rsidRPr="003726FE">
          <w:rPr>
            <w:lang w:val="en-GB"/>
          </w:rPr>
          <w:fldChar w:fldCharType="separate"/>
        </w:r>
        <w:r w:rsidR="0094469E" w:rsidRPr="003726FE">
          <w:rPr>
            <w:noProof/>
            <w:lang w:val="en-GB"/>
          </w:rPr>
          <w:t>Brydges et al. (2015)</w:t>
        </w:r>
        <w:r w:rsidR="0094469E" w:rsidRPr="003726FE">
          <w:rPr>
            <w:lang w:val="en-GB"/>
          </w:rPr>
          <w:fldChar w:fldCharType="end"/>
        </w:r>
      </w:hyperlink>
      <w:r w:rsidR="002E3AD7" w:rsidRPr="003726FE">
        <w:rPr>
          <w:lang w:val="en-GB"/>
        </w:rPr>
        <w:t xml:space="preserve"> conducted a systematic review and meta-analysis on the effectiveness of interventions supporting SRL in simulation based training. They found that very few studies had used evidenced-based SRL support interventions</w:t>
      </w:r>
      <w:r w:rsidR="00E52A64">
        <w:rPr>
          <w:lang w:val="en-GB"/>
        </w:rPr>
        <w:t>,</w:t>
      </w:r>
      <w:r w:rsidR="002E3AD7" w:rsidRPr="003726FE">
        <w:rPr>
          <w:lang w:val="en-GB"/>
        </w:rPr>
        <w:t xml:space="preserve"> but that any SRL support was more effective than none at </w:t>
      </w:r>
      <w:r w:rsidR="00E52A64">
        <w:rPr>
          <w:lang w:val="en-GB"/>
        </w:rPr>
        <w:t>all. No</w:t>
      </w:r>
      <w:r w:rsidR="002E3AD7" w:rsidRPr="003726FE">
        <w:rPr>
          <w:lang w:val="en-GB"/>
        </w:rPr>
        <w:t xml:space="preserve"> studies in this review had measured SRL as an outcome</w:t>
      </w:r>
      <w:r w:rsidR="002A3E9B">
        <w:rPr>
          <w:lang w:val="en-GB"/>
        </w:rPr>
        <w:t xml:space="preserve"> or had considered how </w:t>
      </w:r>
      <w:r w:rsidR="002E3AD7" w:rsidRPr="003726FE">
        <w:rPr>
          <w:lang w:val="en-GB"/>
        </w:rPr>
        <w:t>SRL learning transfer</w:t>
      </w:r>
      <w:r w:rsidR="00E52A64">
        <w:rPr>
          <w:lang w:val="en-GB"/>
        </w:rPr>
        <w:t>red</w:t>
      </w:r>
      <w:r w:rsidR="002E3AD7" w:rsidRPr="003726FE">
        <w:rPr>
          <w:lang w:val="en-GB"/>
        </w:rPr>
        <w:t xml:space="preserve"> </w:t>
      </w:r>
      <w:r w:rsidR="00E52A64">
        <w:rPr>
          <w:lang w:val="en-GB"/>
        </w:rPr>
        <w:t>in</w:t>
      </w:r>
      <w:r w:rsidR="002E3AD7" w:rsidRPr="003726FE">
        <w:rPr>
          <w:lang w:val="en-GB"/>
        </w:rPr>
        <w:t>to authentic environments</w:t>
      </w:r>
      <w:r w:rsidR="002A3E9B">
        <w:rPr>
          <w:lang w:val="en-GB"/>
        </w:rPr>
        <w:t>.</w:t>
      </w:r>
      <w:r w:rsidR="002E3AD7" w:rsidRPr="003726FE">
        <w:rPr>
          <w:lang w:val="en-GB"/>
        </w:rPr>
        <w:t xml:space="preserve"> </w:t>
      </w:r>
      <w:r w:rsidR="002A3E9B">
        <w:rPr>
          <w:lang w:val="en-GB"/>
        </w:rPr>
        <w:t xml:space="preserve">This </w:t>
      </w:r>
      <w:r w:rsidR="002E3AD7" w:rsidRPr="003726FE">
        <w:rPr>
          <w:lang w:val="en-GB"/>
        </w:rPr>
        <w:t>is</w:t>
      </w:r>
      <w:r w:rsidR="002A3E9B">
        <w:rPr>
          <w:lang w:val="en-GB"/>
        </w:rPr>
        <w:t xml:space="preserve"> an</w:t>
      </w:r>
      <w:r w:rsidR="002E3AD7" w:rsidRPr="003726FE">
        <w:rPr>
          <w:lang w:val="en-GB"/>
        </w:rPr>
        <w:t xml:space="preserve"> important </w:t>
      </w:r>
      <w:r w:rsidR="002A3E9B">
        <w:rPr>
          <w:lang w:val="en-GB"/>
        </w:rPr>
        <w:t>consideration as</w:t>
      </w:r>
      <w:r w:rsidR="002E3AD7" w:rsidRPr="003726FE">
        <w:rPr>
          <w:lang w:val="en-GB"/>
        </w:rPr>
        <w:t xml:space="preserve"> </w:t>
      </w:r>
      <w:r w:rsidR="00826050">
        <w:rPr>
          <w:lang w:val="en-GB"/>
        </w:rPr>
        <w:t>immediate</w:t>
      </w:r>
      <w:r w:rsidR="002E3AD7" w:rsidRPr="003726FE">
        <w:rPr>
          <w:lang w:val="en-GB"/>
        </w:rPr>
        <w:t xml:space="preserve"> SRL benefits may not transfer to </w:t>
      </w:r>
      <w:r w:rsidR="00826050">
        <w:rPr>
          <w:lang w:val="en-GB"/>
        </w:rPr>
        <w:t>longer-term</w:t>
      </w:r>
      <w:r w:rsidR="002E3AD7" w:rsidRPr="003726FE">
        <w:rPr>
          <w:lang w:val="en-GB"/>
        </w:rPr>
        <w:t xml:space="preserve"> outcomes </w:t>
      </w:r>
      <w:r w:rsidR="00EF281A" w:rsidRPr="003726FE">
        <w:rPr>
          <w:lang w:val="en-GB"/>
        </w:rPr>
        <w:fldChar w:fldCharType="begin"/>
      </w:r>
      <w:r w:rsidR="008B61BE">
        <w:rPr>
          <w:lang w:val="en-GB"/>
        </w:rPr>
        <w:instrText xml:space="preserve"> ADDIN EN.CITE &lt;EndNote&gt;&lt;Cite&gt;&lt;Author&gt;Schmidt&lt;/Author&gt;&lt;Year&gt;1992&lt;/Year&gt;&lt;RecNum&gt;223&lt;/RecNum&gt;&lt;DisplayText&gt;(Schmidt and Bjork 1992)&lt;/DisplayText&gt;&lt;record&gt;&lt;rec-number&gt;223&lt;/rec-number&gt;&lt;foreign-keys&gt;&lt;key app="EN" db-id="xa2r2ewea92trkef5dt5arvbzafvpv2za5ft" timestamp="1442161765"&gt;223&lt;/key&gt;&lt;/foreign-keys&gt;&lt;ref-type name="Journal Article"&gt;17&lt;/ref-type&gt;&lt;contributors&gt;&lt;authors&gt;&lt;author&gt;Schmidt, Richard A.&lt;/author&gt;&lt;author&gt;Bjork, Robert A.&lt;/author&gt;&lt;/authors&gt;&lt;/contributors&gt;&lt;titles&gt;&lt;title&gt;New conceptualizations of practice: Common principles in three paradigms suggest new concepts for training&lt;/title&gt;&lt;secondary-title&gt;Psychological science&lt;/secondary-title&gt;&lt;/titles&gt;&lt;periodical&gt;&lt;full-title&gt;Psychological science&lt;/full-title&gt;&lt;/periodical&gt;&lt;pages&gt;207-217&lt;/pages&gt;&lt;volume&gt;3&lt;/volume&gt;&lt;number&gt;4&lt;/number&gt;&lt;dates&gt;&lt;year&gt;1992&lt;/year&gt;&lt;/dates&gt;&lt;publisher&gt;SAGE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362" w:tooltip="Schmidt, 1992 #223" w:history="1">
        <w:r w:rsidR="0094469E" w:rsidRPr="003726FE">
          <w:rPr>
            <w:noProof/>
            <w:lang w:val="en-GB"/>
          </w:rPr>
          <w:t>Schmidt and Bjork 1992</w:t>
        </w:r>
      </w:hyperlink>
      <w:r w:rsidR="004E5A78" w:rsidRPr="003726FE">
        <w:rPr>
          <w:noProof/>
          <w:lang w:val="en-GB"/>
        </w:rPr>
        <w:t>)</w:t>
      </w:r>
      <w:r w:rsidR="00EF281A" w:rsidRPr="003726FE">
        <w:rPr>
          <w:lang w:val="en-GB"/>
        </w:rPr>
        <w:fldChar w:fldCharType="end"/>
      </w:r>
      <w:r w:rsidR="002E3AD7" w:rsidRPr="003726FE">
        <w:rPr>
          <w:lang w:val="en-GB"/>
        </w:rPr>
        <w:t>. This m</w:t>
      </w:r>
      <w:r w:rsidR="00D050A5" w:rsidRPr="003726FE">
        <w:rPr>
          <w:lang w:val="en-GB"/>
        </w:rPr>
        <w:t xml:space="preserve">ay stem from the view that SRL </w:t>
      </w:r>
      <w:r w:rsidR="002E3AD7" w:rsidRPr="003726FE">
        <w:rPr>
          <w:lang w:val="en-GB"/>
        </w:rPr>
        <w:t>is an activity that precludes the teacher and allocates responsibility</w:t>
      </w:r>
      <w:r w:rsidRPr="003726FE">
        <w:rPr>
          <w:lang w:val="en-GB"/>
        </w:rPr>
        <w:t xml:space="preserve"> for SRL development</w:t>
      </w:r>
      <w:r w:rsidR="002E3AD7" w:rsidRPr="003726FE">
        <w:rPr>
          <w:lang w:val="en-GB"/>
        </w:rPr>
        <w:t xml:space="preserve"> to the individual learner </w:t>
      </w:r>
      <w:r w:rsidR="00EF281A" w:rsidRPr="003726FE">
        <w:rPr>
          <w:lang w:val="en-GB"/>
        </w:rPr>
        <w:fldChar w:fldCharType="begin"/>
      </w:r>
      <w:r w:rsidR="008B61BE">
        <w:rPr>
          <w:lang w:val="en-GB"/>
        </w:rPr>
        <w:instrText xml:space="preserve"> ADDIN EN.CITE &lt;EndNote&gt;&lt;Cite&gt;&lt;Author&gt;Miflin&lt;/Author&gt;&lt;Year&gt;2000&lt;/Year&gt;&lt;RecNum&gt;601&lt;/RecNum&gt;&lt;DisplayText&gt;(Miflin et al. 2000)&lt;/DisplayText&gt;&lt;record&gt;&lt;rec-number&gt;601&lt;/rec-number&gt;&lt;foreign-keys&gt;&lt;key app="EN" db-id="xa2r2ewea92trkef5dt5arvbzafvpv2za5ft" timestamp="1496417559"&gt;601&lt;/key&gt;&lt;/foreign-keys&gt;&lt;ref-type name="Journal Article"&gt;17&lt;/ref-type&gt;&lt;contributors&gt;&lt;authors&gt;&lt;author&gt;Miflin, BM&lt;/author&gt;&lt;author&gt;Campbell, CB&lt;/author&gt;&lt;author&gt;Price, DA&lt;/author&gt;&lt;/authors&gt;&lt;/contributors&gt;&lt;titles&gt;&lt;title&gt;A conceptual framework to guide the development of self-directed, lifelong learning in problem-based medical curricula&lt;/title&gt;&lt;secondary-title&gt;Medical education&lt;/secondary-title&gt;&lt;/titles&gt;&lt;periodical&gt;&lt;full-title&gt;Medical education&lt;/full-title&gt;&lt;/periodical&gt;&lt;pages&gt;299-306&lt;/pages&gt;&lt;volume&gt;34&lt;/volume&gt;&lt;number&gt;4&lt;/number&gt;&lt;dates&gt;&lt;year&gt;2000&lt;/year&gt;&lt;/dates&gt;&lt;isbn&gt;0308-0110&lt;/isbn&gt;&lt;urls&gt;&lt;/urls&gt;&lt;/record&gt;&lt;/Cite&gt;&lt;/EndNote&gt;</w:instrText>
      </w:r>
      <w:r w:rsidR="00EF281A" w:rsidRPr="003726FE">
        <w:rPr>
          <w:lang w:val="en-GB"/>
        </w:rPr>
        <w:fldChar w:fldCharType="separate"/>
      </w:r>
      <w:r w:rsidR="004E5A78" w:rsidRPr="003726FE">
        <w:rPr>
          <w:noProof/>
          <w:lang w:val="en-GB"/>
        </w:rPr>
        <w:t>(</w:t>
      </w:r>
      <w:hyperlink w:anchor="_ENREF_276" w:tooltip="Miflin, 2000 #601" w:history="1">
        <w:r w:rsidR="0094469E" w:rsidRPr="003726FE">
          <w:rPr>
            <w:noProof/>
            <w:lang w:val="en-GB"/>
          </w:rPr>
          <w:t>Miflin et al. 2000</w:t>
        </w:r>
      </w:hyperlink>
      <w:r w:rsidR="004E5A78" w:rsidRPr="003726FE">
        <w:rPr>
          <w:noProof/>
          <w:lang w:val="en-GB"/>
        </w:rPr>
        <w:t>)</w:t>
      </w:r>
      <w:r w:rsidR="00EF281A" w:rsidRPr="003726FE">
        <w:rPr>
          <w:lang w:val="en-GB"/>
        </w:rPr>
        <w:fldChar w:fldCharType="end"/>
      </w:r>
      <w:r w:rsidR="002E3AD7" w:rsidRPr="003726FE">
        <w:rPr>
          <w:lang w:val="en-GB"/>
        </w:rPr>
        <w:t>. Despite the expectation for students to self-regulate, many researchers believe that students do not have the tools to do so and use faulty strategies without being aware of them</w:t>
      </w:r>
      <w:r w:rsidR="00E52A64">
        <w:rPr>
          <w:lang w:val="en-GB"/>
        </w:rPr>
        <w:t>,</w:t>
      </w:r>
      <w:r w:rsidR="002E3AD7" w:rsidRPr="003726FE">
        <w:rPr>
          <w:lang w:val="en-GB"/>
        </w:rPr>
        <w:t xml:space="preserve"> which could transfer into different learning environments </w:t>
      </w:r>
      <w:r w:rsidR="002E3AD7" w:rsidRPr="003726FE">
        <w:rPr>
          <w:lang w:val="en-GB"/>
        </w:rPr>
        <w:fldChar w:fldCharType="begin"/>
      </w:r>
      <w:r w:rsidR="008B61BE">
        <w:rPr>
          <w:lang w:val="en-GB"/>
        </w:rPr>
        <w:instrText xml:space="preserve"> ADDIN EN.CITE &lt;EndNote&gt;&lt;Cite&gt;&lt;Author&gt;Bjork&lt;/Author&gt;&lt;Year&gt;2013&lt;/Year&gt;&lt;RecNum&gt;603&lt;/RecNum&gt;&lt;DisplayText&gt;(Bjork et al. 2013; Berkhout et al. 2015)&lt;/DisplayText&gt;&lt;record&gt;&lt;rec-number&gt;603&lt;/rec-number&gt;&lt;foreign-keys&gt;&lt;key app="EN" db-id="xa2r2ewea92trkef5dt5arvbzafvpv2za5ft" timestamp="1496417559"&gt;603&lt;/key&gt;&lt;/foreign-keys&gt;&lt;ref-type name="Journal Article"&gt;17&lt;/ref-type&gt;&lt;contributors&gt;&lt;authors&gt;&lt;author&gt;Bjork, Robert A&lt;/author&gt;&lt;author&gt;Dunlosky, John&lt;/author&gt;&lt;author&gt;Kornell, Nate&lt;/author&gt;&lt;/authors&gt;&lt;/contributors&gt;&lt;titles&gt;&lt;title&gt;Self-regulated learning: Beliefs, techniques, and illusions&lt;/title&gt;&lt;secondary-title&gt;Annual review of psychology&lt;/secondary-title&gt;&lt;/titles&gt;&lt;periodical&gt;&lt;full-title&gt;Annual review of psychology&lt;/full-title&gt;&lt;/periodical&gt;&lt;pages&gt;417-444&lt;/pages&gt;&lt;volume&gt;64&lt;/volume&gt;&lt;dates&gt;&lt;year&gt;2013&lt;/year&gt;&lt;/dates&gt;&lt;isbn&gt;0066-4308&lt;/isbn&gt;&lt;urls&gt;&lt;/urls&gt;&lt;/record&gt;&lt;/Cite&gt;&lt;Cite&gt;&lt;Author&gt;Berkhout&lt;/Author&gt;&lt;Year&gt;2015&lt;/Year&gt;&lt;RecNum&gt;602&lt;/RecNum&gt;&lt;record&gt;&lt;rec-number&gt;602&lt;/rec-number&gt;&lt;foreign-keys&gt;&lt;key app="EN" db-id="xa2r2ewea92trkef5dt5arvbzafvpv2za5ft" timestamp="1496417559"&gt;602&lt;/key&gt;&lt;/foreign-keys&gt;&lt;ref-type name="Journal Article"&gt;17&lt;/ref-type&gt;&lt;contributors&gt;&lt;authors&gt;&lt;author&gt;Berkhout, Joris J&lt;/author&gt;&lt;author&gt;Helmich, Esther&lt;/author&gt;&lt;author&gt;Teunissen, Pim W&lt;/author&gt;&lt;author&gt;Berg, Joost W&lt;/author&gt;&lt;author&gt;Vleuten, Cees PM&lt;/author&gt;&lt;author&gt;Jaarsma, A Debbie C&lt;/author&gt;&lt;/authors&gt;&lt;/contributors&gt;&lt;titles&gt;&lt;title&gt;Exploring the factors influencing clinical students’ self</w:instrText>
      </w:r>
      <w:r w:rsidR="008B61BE">
        <w:rPr>
          <w:rFonts w:ascii="Cambria Math" w:hAnsi="Cambria Math" w:cs="Cambria Math"/>
          <w:lang w:val="en-GB"/>
        </w:rPr>
        <w:instrText>‐</w:instrText>
      </w:r>
      <w:r w:rsidR="008B61BE">
        <w:rPr>
          <w:lang w:val="en-GB"/>
        </w:rPr>
        <w:instrText>regulated learning&lt;/title&gt;&lt;secondary-title&gt;Medical education&lt;/secondary-title&gt;&lt;/titles&gt;&lt;periodical&gt;&lt;full-title&gt;Medical education&lt;/full-title&gt;&lt;/periodical&gt;&lt;pages&gt;589-600&lt;/pages&gt;&lt;volume&gt;49&lt;/volume&gt;&lt;number&gt;6&lt;/number&gt;&lt;dates&gt;&lt;year&gt;2015&lt;/year&gt;&lt;/dates&gt;&lt;isbn&gt;1365-2923&lt;/isbn&gt;&lt;urls&gt;&lt;/urls&gt;&lt;/record&gt;&lt;/Cite&gt;&lt;/EndNote&gt;</w:instrText>
      </w:r>
      <w:r w:rsidR="002E3AD7" w:rsidRPr="003726FE">
        <w:rPr>
          <w:lang w:val="en-GB"/>
        </w:rPr>
        <w:fldChar w:fldCharType="separate"/>
      </w:r>
      <w:r w:rsidR="004E5A78" w:rsidRPr="003726FE">
        <w:rPr>
          <w:noProof/>
          <w:lang w:val="en-GB"/>
        </w:rPr>
        <w:t>(</w:t>
      </w:r>
      <w:hyperlink w:anchor="_ENREF_34" w:tooltip="Bjork, 2013 #603" w:history="1">
        <w:r w:rsidR="0094469E" w:rsidRPr="003726FE">
          <w:rPr>
            <w:noProof/>
            <w:lang w:val="en-GB"/>
          </w:rPr>
          <w:t>Bjork et al. 2013</w:t>
        </w:r>
      </w:hyperlink>
      <w:r w:rsidR="004E5A78" w:rsidRPr="003726FE">
        <w:rPr>
          <w:noProof/>
          <w:lang w:val="en-GB"/>
        </w:rPr>
        <w:t xml:space="preserve">; </w:t>
      </w:r>
      <w:hyperlink w:anchor="_ENREF_29" w:tooltip="Berkhout, 2015 #602" w:history="1">
        <w:r w:rsidR="0094469E" w:rsidRPr="003726FE">
          <w:rPr>
            <w:noProof/>
            <w:lang w:val="en-GB"/>
          </w:rPr>
          <w:t>Berkhout et al. 2015</w:t>
        </w:r>
      </w:hyperlink>
      <w:r w:rsidR="004E5A78" w:rsidRPr="003726FE">
        <w:rPr>
          <w:noProof/>
          <w:lang w:val="en-GB"/>
        </w:rPr>
        <w:t>)</w:t>
      </w:r>
      <w:r w:rsidR="002E3AD7" w:rsidRPr="003726FE">
        <w:rPr>
          <w:lang w:val="en-GB"/>
        </w:rPr>
        <w:fldChar w:fldCharType="end"/>
      </w:r>
      <w:r w:rsidR="001D6618" w:rsidRPr="003726FE">
        <w:rPr>
          <w:lang w:val="en-GB"/>
        </w:rPr>
        <w:t xml:space="preserve">. </w:t>
      </w:r>
      <w:hyperlink w:anchor="_ENREF_449" w:tooltip="Worley, 2016 #686" w:history="1">
        <w:r w:rsidR="0094469E" w:rsidRPr="003726FE">
          <w:rPr>
            <w:lang w:val="en-GB"/>
          </w:rPr>
          <w:fldChar w:fldCharType="begin"/>
        </w:r>
        <w:r w:rsidR="0094469E">
          <w:rPr>
            <w:lang w:val="en-GB"/>
          </w:rPr>
          <w:instrText xml:space="preserve"> ADDIN EN.CITE &lt;EndNote&gt;&lt;Cite AuthorYear="1"&gt;&lt;Author&gt;Worley&lt;/Author&gt;&lt;Year&gt;2016&lt;/Year&gt;&lt;RecNum&gt;686&lt;/RecNum&gt;&lt;Pages&gt;77&lt;/Pages&gt;&lt;DisplayText&gt;Worley et al. (2016, p. 77)&lt;/DisplayText&gt;&lt;record&gt;&lt;rec-number&gt;686&lt;/rec-number&gt;&lt;foreign-keys&gt;&lt;key app="EN" db-id="xa2r2ewea92trkef5dt5arvbzafvpv2za5ft" timestamp="1496417566"&gt;686&lt;/key&gt;&lt;/foreign-keys&gt;&lt;ref-type name="Journal Article"&gt;17&lt;/ref-type&gt;&lt;contributors&gt;&lt;authors&gt;&lt;author&gt;Worley, Paul&lt;/author&gt;&lt;author&gt;Couper, Ian&lt;/author&gt;&lt;author&gt;Strasser, Roger&lt;/author&gt;&lt;author&gt;Graves, Lisa&lt;/author&gt;&lt;author&gt;Cummings, Beth</w:instrText>
        </w:r>
        <w:r w:rsidR="0094469E">
          <w:rPr>
            <w:rFonts w:ascii="Cambria Math" w:hAnsi="Cambria Math" w:cs="Cambria Math"/>
            <w:lang w:val="en-GB"/>
          </w:rPr>
          <w:instrText>‐</w:instrText>
        </w:r>
        <w:r w:rsidR="0094469E">
          <w:rPr>
            <w:lang w:val="en-GB"/>
          </w:rPr>
          <w:instrText>Ann&lt;/author&gt;&lt;author&gt;Woodman, Richard&lt;/author&gt;&lt;author&gt;Stagg, Pamela&lt;/author&gt;&lt;author&gt;Hirsh, David&lt;/author&gt;&lt;/authors&gt;&lt;/contributors&gt;&lt;titles&gt;&lt;title&gt;A typology of longitudinal integrated clerkships&lt;/title&gt;&lt;secondary-title&gt;Medical Education&lt;/secondary-title&gt;&lt;/titles&gt;&lt;periodical&gt;&lt;full-title&gt;Medical education&lt;/full-title&gt;&lt;/periodical&gt;&lt;pages&gt;922-932&lt;/pages&gt;&lt;volume&gt;50&lt;/volume&gt;&lt;number&gt;9&lt;/number&gt;&lt;dates&gt;&lt;year&gt;2016&lt;/year&gt;&lt;/dates&gt;&lt;isbn&gt;1365-2923&lt;/isbn&gt;&lt;urls&gt;&lt;/urls&gt;&lt;/record&gt;&lt;/Cite&gt;&lt;/EndNote&gt;</w:instrText>
        </w:r>
        <w:r w:rsidR="0094469E" w:rsidRPr="003726FE">
          <w:rPr>
            <w:lang w:val="en-GB"/>
          </w:rPr>
          <w:fldChar w:fldCharType="separate"/>
        </w:r>
        <w:r w:rsidR="0094469E" w:rsidRPr="003726FE">
          <w:rPr>
            <w:noProof/>
            <w:lang w:val="en-GB"/>
          </w:rPr>
          <w:t>Worley et al. (2016, p. 77)</w:t>
        </w:r>
        <w:r w:rsidR="0094469E" w:rsidRPr="003726FE">
          <w:rPr>
            <w:lang w:val="en-GB"/>
          </w:rPr>
          <w:fldChar w:fldCharType="end"/>
        </w:r>
      </w:hyperlink>
      <w:r w:rsidR="00C30ECC" w:rsidRPr="003726FE">
        <w:rPr>
          <w:lang w:val="en-GB"/>
        </w:rPr>
        <w:t xml:space="preserve"> </w:t>
      </w:r>
      <w:r w:rsidRPr="003726FE">
        <w:rPr>
          <w:lang w:val="en-GB"/>
        </w:rPr>
        <w:t>recommend</w:t>
      </w:r>
      <w:r w:rsidR="00BA4521">
        <w:rPr>
          <w:lang w:val="en-GB"/>
        </w:rPr>
        <w:t>ed</w:t>
      </w:r>
      <w:r w:rsidRPr="003726FE">
        <w:rPr>
          <w:lang w:val="en-GB"/>
        </w:rPr>
        <w:t xml:space="preserve"> </w:t>
      </w:r>
      <w:r w:rsidR="00BA4521" w:rsidRPr="003726FE">
        <w:rPr>
          <w:lang w:val="en-GB"/>
        </w:rPr>
        <w:t>that “</w:t>
      </w:r>
      <w:r w:rsidR="00C30ECC" w:rsidRPr="003726FE">
        <w:rPr>
          <w:lang w:val="en-GB"/>
        </w:rPr>
        <w:t xml:space="preserve">medical educators must assume responsibility, not just for designing environments that afford the opportunity for self-regulation, but also for providing support for the self-regulating processes”. </w:t>
      </w:r>
    </w:p>
    <w:p w14:paraId="16B21868" w14:textId="77777777" w:rsidR="00C30ECC" w:rsidRPr="003726FE" w:rsidRDefault="00C30ECC" w:rsidP="00026049">
      <w:pPr>
        <w:pStyle w:val="Normal1"/>
        <w:rPr>
          <w:lang w:val="en-GB"/>
        </w:rPr>
      </w:pPr>
    </w:p>
    <w:p w14:paraId="2AB16FE3" w14:textId="63924070" w:rsidR="00B345D8" w:rsidRPr="003726FE" w:rsidRDefault="00D7663D" w:rsidP="00026049">
      <w:pPr>
        <w:pStyle w:val="Normal1"/>
        <w:rPr>
          <w:lang w:val="en-GB"/>
        </w:rPr>
      </w:pPr>
      <w:r w:rsidRPr="003726FE">
        <w:rPr>
          <w:lang w:val="en-GB"/>
        </w:rPr>
        <w:t>Simulation is embedded</w:t>
      </w:r>
      <w:r w:rsidR="008E5116" w:rsidRPr="003726FE">
        <w:rPr>
          <w:lang w:val="en-GB"/>
        </w:rPr>
        <w:t xml:space="preserve"> within the Sheffield Medical School curriculum and is used at various diff</w:t>
      </w:r>
      <w:r w:rsidR="00E52A64">
        <w:rPr>
          <w:lang w:val="en-GB"/>
        </w:rPr>
        <w:t>erent points to support student</w:t>
      </w:r>
      <w:r w:rsidR="008E5116" w:rsidRPr="003726FE">
        <w:rPr>
          <w:lang w:val="en-GB"/>
        </w:rPr>
        <w:t>s</w:t>
      </w:r>
      <w:r w:rsidR="00E52A64">
        <w:rPr>
          <w:lang w:val="en-GB"/>
        </w:rPr>
        <w:t>’</w:t>
      </w:r>
      <w:r w:rsidR="008E5116" w:rsidRPr="003726FE">
        <w:rPr>
          <w:lang w:val="en-GB"/>
        </w:rPr>
        <w:t xml:space="preserve"> clinical skills and assessment</w:t>
      </w:r>
      <w:r w:rsidR="00E52A64">
        <w:rPr>
          <w:lang w:val="en-GB"/>
        </w:rPr>
        <w:t>s</w:t>
      </w:r>
      <w:r w:rsidR="008E5116" w:rsidRPr="003726FE">
        <w:rPr>
          <w:lang w:val="en-GB"/>
        </w:rPr>
        <w:t xml:space="preserve">. </w:t>
      </w:r>
      <w:r w:rsidR="00B345D8" w:rsidRPr="003726FE">
        <w:rPr>
          <w:lang w:val="en-GB"/>
        </w:rPr>
        <w:t xml:space="preserve">In this study, </w:t>
      </w:r>
      <w:r w:rsidR="008E5116" w:rsidRPr="003726FE">
        <w:rPr>
          <w:lang w:val="en-GB"/>
        </w:rPr>
        <w:t>this</w:t>
      </w:r>
      <w:r w:rsidR="00B345D8" w:rsidRPr="003726FE">
        <w:rPr>
          <w:lang w:val="en-GB"/>
        </w:rPr>
        <w:t xml:space="preserve"> setting was </w:t>
      </w:r>
      <w:r w:rsidR="00EC60B0">
        <w:rPr>
          <w:lang w:val="en-GB"/>
        </w:rPr>
        <w:t>chosen</w:t>
      </w:r>
      <w:r w:rsidR="00B345D8" w:rsidRPr="003726FE">
        <w:rPr>
          <w:lang w:val="en-GB"/>
        </w:rPr>
        <w:t xml:space="preserve"> as </w:t>
      </w:r>
      <w:r w:rsidR="00EC60B0">
        <w:rPr>
          <w:lang w:val="en-GB"/>
        </w:rPr>
        <w:t xml:space="preserve">a </w:t>
      </w:r>
      <w:r w:rsidR="00B345D8" w:rsidRPr="003726FE">
        <w:rPr>
          <w:lang w:val="en-GB"/>
        </w:rPr>
        <w:t xml:space="preserve">structured </w:t>
      </w:r>
      <w:r w:rsidR="008E5116" w:rsidRPr="003726FE">
        <w:rPr>
          <w:lang w:val="en-GB"/>
        </w:rPr>
        <w:t>context</w:t>
      </w:r>
      <w:r w:rsidR="00B345D8" w:rsidRPr="003726FE">
        <w:rPr>
          <w:lang w:val="en-GB"/>
        </w:rPr>
        <w:t xml:space="preserve"> in which the two types of feedback</w:t>
      </w:r>
      <w:r w:rsidR="00CB26CD" w:rsidRPr="003726FE">
        <w:rPr>
          <w:lang w:val="en-GB"/>
        </w:rPr>
        <w:t xml:space="preserve"> models were used</w:t>
      </w:r>
      <w:r w:rsidR="00B345D8" w:rsidRPr="003726FE">
        <w:rPr>
          <w:lang w:val="en-GB"/>
        </w:rPr>
        <w:t xml:space="preserve">. This setting was </w:t>
      </w:r>
      <w:r w:rsidR="00EC60B0">
        <w:rPr>
          <w:lang w:val="en-GB"/>
        </w:rPr>
        <w:t>chosen</w:t>
      </w:r>
      <w:r w:rsidR="00B345D8" w:rsidRPr="003726FE">
        <w:rPr>
          <w:lang w:val="en-GB"/>
        </w:rPr>
        <w:t xml:space="preserve"> in particular </w:t>
      </w:r>
      <w:r w:rsidR="00EC60B0">
        <w:rPr>
          <w:lang w:val="en-GB"/>
        </w:rPr>
        <w:t>as</w:t>
      </w:r>
      <w:r w:rsidR="00B345D8" w:rsidRPr="003726FE">
        <w:rPr>
          <w:lang w:val="en-GB"/>
        </w:rPr>
        <w:t xml:space="preserve"> simulated environments are </w:t>
      </w:r>
      <w:r w:rsidR="00B345D8" w:rsidRPr="003726FE">
        <w:rPr>
          <w:lang w:val="en-GB"/>
        </w:rPr>
        <w:lastRenderedPageBreak/>
        <w:t>suited for effective feedback and that SRL supports could be used there to enhance skills learning.</w:t>
      </w:r>
      <w:r w:rsidR="00CB26CD" w:rsidRPr="003726FE">
        <w:rPr>
          <w:lang w:val="en-GB"/>
        </w:rPr>
        <w:t xml:space="preserve"> T</w:t>
      </w:r>
      <w:r w:rsidR="008E5116" w:rsidRPr="003726FE">
        <w:rPr>
          <w:lang w:val="en-GB"/>
        </w:rPr>
        <w:t>he training and delivery of the feedback models were integrated directly into the regular delivery</w:t>
      </w:r>
      <w:r w:rsidR="00CB26CD" w:rsidRPr="003726FE">
        <w:rPr>
          <w:lang w:val="en-GB"/>
        </w:rPr>
        <w:t xml:space="preserve"> of simulated clinical skills</w:t>
      </w:r>
      <w:r w:rsidR="008E5116" w:rsidRPr="003726FE">
        <w:rPr>
          <w:lang w:val="en-GB"/>
        </w:rPr>
        <w:t xml:space="preserve"> </w:t>
      </w:r>
      <w:r w:rsidR="00CB26CD" w:rsidRPr="003726FE">
        <w:rPr>
          <w:lang w:val="en-GB"/>
        </w:rPr>
        <w:t xml:space="preserve">teaching </w:t>
      </w:r>
      <w:r w:rsidR="0013214E">
        <w:rPr>
          <w:lang w:val="en-GB"/>
        </w:rPr>
        <w:t>so</w:t>
      </w:r>
      <w:r w:rsidR="008E5116" w:rsidRPr="003726FE">
        <w:rPr>
          <w:lang w:val="en-GB"/>
        </w:rPr>
        <w:t xml:space="preserve"> to explore the impact upon teachers’ practice</w:t>
      </w:r>
      <w:r w:rsidR="006150DC">
        <w:rPr>
          <w:lang w:val="en-GB"/>
        </w:rPr>
        <w:t>s</w:t>
      </w:r>
      <w:r w:rsidR="008E5116" w:rsidRPr="003726FE">
        <w:rPr>
          <w:lang w:val="en-GB"/>
        </w:rPr>
        <w:t xml:space="preserve"> in this </w:t>
      </w:r>
      <w:r w:rsidR="00CB26CD" w:rsidRPr="003726FE">
        <w:rPr>
          <w:lang w:val="en-GB"/>
        </w:rPr>
        <w:t>authentic</w:t>
      </w:r>
      <w:r w:rsidR="008E5116" w:rsidRPr="003726FE">
        <w:rPr>
          <w:lang w:val="en-GB"/>
        </w:rPr>
        <w:t xml:space="preserve"> setting. This authenticity was also important for ensuring that all students received the same treatment </w:t>
      </w:r>
      <w:r w:rsidR="00B56453" w:rsidRPr="003726FE">
        <w:rPr>
          <w:lang w:val="en-GB"/>
        </w:rPr>
        <w:t>in regard to</w:t>
      </w:r>
      <w:r w:rsidR="008E5116" w:rsidRPr="003726FE">
        <w:rPr>
          <w:lang w:val="en-GB"/>
        </w:rPr>
        <w:t xml:space="preserve"> the learning experience apart from the </w:t>
      </w:r>
      <w:r w:rsidR="00CB26CD" w:rsidRPr="003726FE">
        <w:rPr>
          <w:lang w:val="en-GB"/>
        </w:rPr>
        <w:t>differences</w:t>
      </w:r>
      <w:r w:rsidR="00E52A64">
        <w:rPr>
          <w:lang w:val="en-GB"/>
        </w:rPr>
        <w:t xml:space="preserve"> in feedback delivery</w:t>
      </w:r>
      <w:r w:rsidR="008E5116" w:rsidRPr="003726FE">
        <w:rPr>
          <w:lang w:val="en-GB"/>
        </w:rPr>
        <w:t>.</w:t>
      </w:r>
    </w:p>
    <w:p w14:paraId="74485A03" w14:textId="77777777" w:rsidR="00C30ECC" w:rsidRPr="003726FE" w:rsidRDefault="00C30ECC" w:rsidP="00026049">
      <w:pPr>
        <w:pStyle w:val="Normal1"/>
        <w:rPr>
          <w:lang w:val="en-GB"/>
        </w:rPr>
      </w:pPr>
    </w:p>
    <w:p w14:paraId="0DF77DB4" w14:textId="394D5434" w:rsidR="0039477A" w:rsidRPr="003726FE" w:rsidRDefault="0039477A" w:rsidP="00BA4521">
      <w:pPr>
        <w:pStyle w:val="Heading3"/>
      </w:pPr>
      <w:bookmarkStart w:id="137" w:name="_Toc500319324"/>
      <w:r w:rsidRPr="003726FE">
        <w:t>A1</w:t>
      </w:r>
      <w:r w:rsidR="00F176D2" w:rsidRPr="003726FE">
        <w:t xml:space="preserve">.3.2 </w:t>
      </w:r>
      <w:r w:rsidRPr="003726FE">
        <w:t xml:space="preserve">Learning </w:t>
      </w:r>
      <w:r w:rsidR="001312BF" w:rsidRPr="003726FE">
        <w:t>i</w:t>
      </w:r>
      <w:r w:rsidR="00F176D2" w:rsidRPr="003726FE">
        <w:t xml:space="preserve">n </w:t>
      </w:r>
      <w:r w:rsidR="001312BF" w:rsidRPr="003726FE">
        <w:t xml:space="preserve">the </w:t>
      </w:r>
      <w:r w:rsidR="00F176D2" w:rsidRPr="003726FE">
        <w:t xml:space="preserve">Clinical </w:t>
      </w:r>
      <w:r w:rsidR="001312BF" w:rsidRPr="003726FE">
        <w:t>Environment</w:t>
      </w:r>
      <w:bookmarkEnd w:id="137"/>
    </w:p>
    <w:p w14:paraId="6657B0B5" w14:textId="77777777" w:rsidR="00D351C2" w:rsidRPr="003726FE" w:rsidRDefault="00D351C2" w:rsidP="00026049">
      <w:pPr>
        <w:pStyle w:val="Normal1"/>
        <w:rPr>
          <w:lang w:val="en-GB"/>
        </w:rPr>
      </w:pPr>
    </w:p>
    <w:p w14:paraId="218AC384" w14:textId="78ADB6A4" w:rsidR="006E101B" w:rsidRPr="003726FE" w:rsidRDefault="00965E1B" w:rsidP="00026049">
      <w:pPr>
        <w:pStyle w:val="Normal1"/>
        <w:rPr>
          <w:lang w:val="en-GB"/>
        </w:rPr>
      </w:pPr>
      <w:r w:rsidRPr="003726FE">
        <w:rPr>
          <w:lang w:val="en-GB"/>
        </w:rPr>
        <w:t xml:space="preserve">Moving from preclinical or simulation to authentic clinical environments is a paradigm shifting experience for many medical undergraduates </w:t>
      </w:r>
      <w:r w:rsidRPr="003726FE">
        <w:rPr>
          <w:lang w:val="en-GB"/>
        </w:rPr>
        <w:fldChar w:fldCharType="begin"/>
      </w:r>
      <w:r w:rsidR="008B61BE">
        <w:rPr>
          <w:lang w:val="en-GB"/>
        </w:rPr>
        <w:instrText xml:space="preserve"> ADDIN EN.CITE &lt;EndNote&gt;&lt;Cite&gt;&lt;Author&gt;Treadway&lt;/Author&gt;&lt;Year&gt;2011&lt;/Year&gt;&lt;RecNum&gt;676&lt;/RecNum&gt;&lt;DisplayText&gt;(Treadway and Chatterjee 2011; Dubé et al. 2015)&lt;/DisplayText&gt;&lt;record&gt;&lt;rec-number&gt;676&lt;/rec-number&gt;&lt;foreign-keys&gt;&lt;key app="EN" db-id="xa2r2ewea92trkef5dt5arvbzafvpv2za5ft" timestamp="1496417566"&gt;676&lt;/key&gt;&lt;/foreign-keys&gt;&lt;ref-type name="Journal Article"&gt;17&lt;/ref-type&gt;&lt;contributors&gt;&lt;authors&gt;&lt;author&gt;Treadway, Katharine&lt;/author&gt;&lt;author&gt;Chatterjee, Neal&lt;/author&gt;&lt;/authors&gt;&lt;/contributors&gt;&lt;titles&gt;&lt;title&gt;Into the water—the clinical clerkships&lt;/title&gt;&lt;secondary-title&gt;New England Journal of Medicine&lt;/secondary-title&gt;&lt;/titles&gt;&lt;periodical&gt;&lt;full-title&gt;New England Journal of Medicine&lt;/full-title&gt;&lt;/periodical&gt;&lt;pages&gt;1190-1193&lt;/pages&gt;&lt;volume&gt;364&lt;/volume&gt;&lt;number&gt;13&lt;/number&gt;&lt;dates&gt;&lt;year&gt;2011&lt;/year&gt;&lt;/dates&gt;&lt;isbn&gt;0028-4793&lt;/isbn&gt;&lt;urls&gt;&lt;/urls&gt;&lt;/record&gt;&lt;/Cite&gt;&lt;Cite&gt;&lt;Author&gt;Dubé&lt;/Author&gt;&lt;Year&gt;2015&lt;/Year&gt;&lt;RecNum&gt;675&lt;/RecNum&gt;&lt;record&gt;&lt;rec-number&gt;675&lt;/rec-number&gt;&lt;foreign-keys&gt;&lt;key app="EN" db-id="xa2r2ewea92trkef5dt5arvbzafvpv2za5ft" timestamp="1496417565"&gt;675&lt;/key&gt;&lt;/foreign-keys&gt;&lt;ref-type name="Journal Article"&gt;17&lt;/ref-type&gt;&lt;contributors&gt;&lt;authors&gt;&lt;author&gt;Dubé, Timothy V&lt;/author&gt;&lt;author&gt;Schinke, Robert J&lt;/author&gt;&lt;author&gt;Strasser, Roger&lt;/author&gt;&lt;author&gt;Couper, Ian&lt;/author&gt;&lt;author&gt;Lightfoot, Nancy E&lt;/author&gt;&lt;/authors&gt;&lt;/contributors&gt;&lt;titles&gt;&lt;title&gt;Transition processes through a longitudinal integrated clerkship: a qualitative study of medical students&amp;apos; experiences&lt;/title&gt;&lt;secondary-title&gt;Medical education&lt;/secondary-title&gt;&lt;/titles&gt;&lt;periodical&gt;&lt;full-title&gt;Medical education&lt;/full-title&gt;&lt;/periodical&gt;&lt;pages&gt;1028-1037&lt;/pages&gt;&lt;volume&gt;49&lt;/volume&gt;&lt;number&gt;10&lt;/number&gt;&lt;dates&gt;&lt;year&gt;2015&lt;/year&gt;&lt;/dates&gt;&lt;isbn&gt;1365-2923&lt;/isbn&gt;&lt;urls&gt;&lt;/urls&gt;&lt;/record&gt;&lt;/Cite&gt;&lt;/EndNote&gt;</w:instrText>
      </w:r>
      <w:r w:rsidRPr="003726FE">
        <w:rPr>
          <w:lang w:val="en-GB"/>
        </w:rPr>
        <w:fldChar w:fldCharType="separate"/>
      </w:r>
      <w:r w:rsidR="004E5A78" w:rsidRPr="003726FE">
        <w:rPr>
          <w:noProof/>
          <w:lang w:val="en-GB"/>
        </w:rPr>
        <w:t>(</w:t>
      </w:r>
      <w:hyperlink w:anchor="_ENREF_406" w:tooltip="Treadway, 2011 #676" w:history="1">
        <w:r w:rsidR="0094469E" w:rsidRPr="003726FE">
          <w:rPr>
            <w:noProof/>
            <w:lang w:val="en-GB"/>
          </w:rPr>
          <w:t>Treadway and Chatterjee 2011</w:t>
        </w:r>
      </w:hyperlink>
      <w:r w:rsidR="004E5A78" w:rsidRPr="003726FE">
        <w:rPr>
          <w:noProof/>
          <w:lang w:val="en-GB"/>
        </w:rPr>
        <w:t xml:space="preserve">; </w:t>
      </w:r>
      <w:hyperlink w:anchor="_ENREF_129" w:tooltip="Dubé, 2015 #675" w:history="1">
        <w:r w:rsidR="0094469E" w:rsidRPr="003726FE">
          <w:rPr>
            <w:noProof/>
            <w:lang w:val="en-GB"/>
          </w:rPr>
          <w:t>Dubé et al. 2015</w:t>
        </w:r>
      </w:hyperlink>
      <w:r w:rsidR="004E5A78" w:rsidRPr="003726FE">
        <w:rPr>
          <w:noProof/>
          <w:lang w:val="en-GB"/>
        </w:rPr>
        <w:t>)</w:t>
      </w:r>
      <w:r w:rsidRPr="003726FE">
        <w:rPr>
          <w:lang w:val="en-GB"/>
        </w:rPr>
        <w:fldChar w:fldCharType="end"/>
      </w:r>
      <w:r w:rsidRPr="003726FE">
        <w:rPr>
          <w:lang w:val="en-GB"/>
        </w:rPr>
        <w:t xml:space="preserve">. </w:t>
      </w:r>
      <w:r w:rsidR="00E52A64">
        <w:rPr>
          <w:lang w:val="en-GB"/>
        </w:rPr>
        <w:t>Students</w:t>
      </w:r>
      <w:r w:rsidR="000A632F" w:rsidRPr="003726FE">
        <w:rPr>
          <w:lang w:val="en-GB"/>
        </w:rPr>
        <w:t xml:space="preserve"> going through this transition experience difficulties in adjusting their approach to the self-directed model </w:t>
      </w:r>
      <w:r w:rsidR="00341B7E">
        <w:rPr>
          <w:lang w:val="en-GB"/>
        </w:rPr>
        <w:t>that</w:t>
      </w:r>
      <w:r w:rsidR="000A632F" w:rsidRPr="003726FE">
        <w:rPr>
          <w:lang w:val="en-GB"/>
        </w:rPr>
        <w:t xml:space="preserve"> is required for successful clinical </w:t>
      </w:r>
      <w:r w:rsidR="00CB26CD" w:rsidRPr="003726FE">
        <w:rPr>
          <w:lang w:val="en-GB"/>
        </w:rPr>
        <w:t>learning;</w:t>
      </w:r>
      <w:r w:rsidR="000A632F" w:rsidRPr="003726FE">
        <w:rPr>
          <w:lang w:val="en-GB"/>
        </w:rPr>
        <w:t xml:space="preserve"> often instead feeling stressed, useless, and uncertain </w:t>
      </w:r>
      <w:r w:rsidR="00EF281A" w:rsidRPr="003726FE">
        <w:rPr>
          <w:lang w:val="en-GB"/>
        </w:rPr>
        <w:fldChar w:fldCharType="begin">
          <w:fldData xml:space="preserve">PEVuZE5vdGU+PENpdGU+PEF1dGhvcj5SYWRjbGlmZmU8L0F1dGhvcj48WWVhcj4yMDAzPC9ZZWFy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</w:fldData>
        </w:fldChar>
      </w:r>
      <w:r w:rsidR="008B61BE">
        <w:rPr>
          <w:lang w:val="en-GB"/>
        </w:rPr>
        <w:instrText xml:space="preserve"> ADDIN EN.CITE </w:instrText>
      </w:r>
      <w:r w:rsidR="008B61BE">
        <w:rPr>
          <w:lang w:val="en-GB"/>
        </w:rPr>
        <w:fldChar w:fldCharType="begin">
          <w:fldData xml:space="preserve">PEVuZE5vdGU+PENpdGU+PEF1dGhvcj5SYWRjbGlmZmU8L0F1dGhvcj48WWVhcj4yMDAzPC9ZZWFy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338" w:tooltip="Radcliffe, 2003 #677" w:history="1">
        <w:r w:rsidR="0094469E" w:rsidRPr="003726FE">
          <w:rPr>
            <w:noProof/>
            <w:lang w:val="en-GB"/>
          </w:rPr>
          <w:t>Radcliffe and Lester 2003</w:t>
        </w:r>
      </w:hyperlink>
      <w:r w:rsidR="004E5A78" w:rsidRPr="003726FE">
        <w:rPr>
          <w:noProof/>
          <w:lang w:val="en-GB"/>
        </w:rPr>
        <w:t xml:space="preserve">; </w:t>
      </w:r>
      <w:hyperlink w:anchor="_ENREF_378" w:tooltip="Seabrook, 2004 #678" w:history="1">
        <w:r w:rsidR="0094469E" w:rsidRPr="003726FE">
          <w:rPr>
            <w:noProof/>
            <w:lang w:val="en-GB"/>
          </w:rPr>
          <w:t>Seabrook 2004</w:t>
        </w:r>
      </w:hyperlink>
      <w:r w:rsidR="004E5A78" w:rsidRPr="003726FE">
        <w:rPr>
          <w:noProof/>
          <w:lang w:val="en-GB"/>
        </w:rPr>
        <w:t xml:space="preserve">; </w:t>
      </w:r>
      <w:hyperlink w:anchor="_ENREF_403" w:tooltip="Teunissen, 2011 #679" w:history="1">
        <w:r w:rsidR="0094469E" w:rsidRPr="003726FE">
          <w:rPr>
            <w:noProof/>
            <w:lang w:val="en-GB"/>
          </w:rPr>
          <w:t>Teunissen and Westerman 2011</w:t>
        </w:r>
      </w:hyperlink>
      <w:r w:rsidR="004E5A78" w:rsidRPr="003726FE">
        <w:rPr>
          <w:noProof/>
          <w:lang w:val="en-GB"/>
        </w:rPr>
        <w:t>)</w:t>
      </w:r>
      <w:r w:rsidR="00EF281A" w:rsidRPr="003726FE">
        <w:rPr>
          <w:lang w:val="en-GB"/>
        </w:rPr>
        <w:fldChar w:fldCharType="end"/>
      </w:r>
      <w:r w:rsidR="000A632F" w:rsidRPr="003726FE">
        <w:rPr>
          <w:lang w:val="en-GB"/>
        </w:rPr>
        <w:t xml:space="preserve">. Many attribute this to new learning and assessment demands or unexpectedly heavy workloads, leading to fatigue or </w:t>
      </w:r>
      <w:r w:rsidR="00354469" w:rsidRPr="003726FE">
        <w:rPr>
          <w:lang w:val="en-GB"/>
        </w:rPr>
        <w:t xml:space="preserve">even </w:t>
      </w:r>
      <w:r w:rsidR="000A632F" w:rsidRPr="003726FE">
        <w:rPr>
          <w:lang w:val="en-GB"/>
        </w:rPr>
        <w:t xml:space="preserve">disengagement in extreme cases </w:t>
      </w:r>
      <w:r w:rsidR="00354469" w:rsidRPr="003726FE">
        <w:rPr>
          <w:lang w:val="en-GB"/>
        </w:rPr>
        <w:fldChar w:fldCharType="begin"/>
      </w:r>
      <w:r w:rsidR="008B61BE">
        <w:rPr>
          <w:lang w:val="en-GB"/>
        </w:rPr>
        <w:instrText xml:space="preserve"> ADDIN EN.CITE &lt;EndNote&gt;&lt;Cite&gt;&lt;Author&gt;Prince&lt;/Author&gt;&lt;Year&gt;2000&lt;/Year&gt;&lt;RecNum&gt;681&lt;/RecNum&gt;&lt;DisplayText&gt;(Prince et al. 2000; Prince et al. 2005)&lt;/DisplayText&gt;&lt;record&gt;&lt;rec-number&gt;681&lt;/rec-number&gt;&lt;foreign-keys&gt;&lt;key app="EN" db-id="xa2r2ewea92trkef5dt5arvbzafvpv2za5ft" timestamp="1496417566"&gt;681&lt;/key&gt;&lt;/foreign-keys&gt;&lt;ref-type name="Journal Article"&gt;17&lt;/ref-type&gt;&lt;contributors&gt;&lt;authors&gt;&lt;author&gt;Prince, Katinka JAH&lt;/author&gt;&lt;author&gt;van de Wiel, Margaretha&lt;/author&gt;&lt;author&gt;Scherpbier, Albert JJA&lt;/author&gt;&lt;author&gt;can der Vleuten, Cess PM&lt;/author&gt;&lt;author&gt;Boshuizen, Henny PA&lt;/author&gt;&lt;/authors&gt;&lt;/contributors&gt;&lt;titles&gt;&lt;title&gt;A qualitative analysis of the transition from theory to practice in undergraduate training in a PBL-medical school&lt;/title&gt;&lt;secondary-title&gt;Advances in Health Sciences Education&lt;/secondary-title&gt;&lt;/titles&gt;&lt;periodical&gt;&lt;full-title&gt;Advances in Health Sciences Education&lt;/full-title&gt;&lt;/periodical&gt;&lt;pages&gt;105-116&lt;/pages&gt;&lt;volume&gt;5&lt;/volume&gt;&lt;number&gt;2&lt;/number&gt;&lt;dates&gt;&lt;year&gt;2000&lt;/year&gt;&lt;/dates&gt;&lt;isbn&gt;1382-4996&lt;/isbn&gt;&lt;urls&gt;&lt;/urls&gt;&lt;/record&gt;&lt;/Cite&gt;&lt;Cite&gt;&lt;Author&gt;Prince&lt;/Author&gt;&lt;Year&gt;2005&lt;/Year&gt;&lt;RecNum&gt;680&lt;/RecNum&gt;&lt;record&gt;&lt;rec-number&gt;680&lt;/rec-number&gt;&lt;foreign-keys&gt;&lt;key app="EN" db-id="xa2r2ewea92trkef5dt5arvbzafvpv2za5ft" timestamp="1496417566"&gt;680&lt;/key&gt;&lt;/foreign-keys&gt;&lt;ref-type name="Journal Article"&gt;17&lt;/ref-type&gt;&lt;contributors&gt;&lt;authors&gt;&lt;author&gt;Prince, Katinka JAH&lt;/author&gt;&lt;author&gt;Boshuizen, Henny&lt;/author&gt;&lt;author&gt;Van Der Vleuten, Cees PM&lt;/author&gt;&lt;author&gt;Scherpbier, Albert JJA&lt;/author&gt;&lt;/authors&gt;&lt;/contributors&gt;&lt;titles&gt;&lt;title&gt;Students&amp;apos; opinions about their preparation for clinical practice&lt;/title&gt;&lt;secondary-title&gt;Medical education&lt;/secondary-title&gt;&lt;/titles&gt;&lt;periodical&gt;&lt;full-title&gt;Medical education&lt;/full-title&gt;&lt;/periodical&gt;&lt;pages&gt;704-712&lt;/pages&gt;&lt;volume&gt;39&lt;/volume&gt;&lt;number&gt;7&lt;/number&gt;&lt;dates&gt;&lt;year&gt;2005&lt;/year&gt;&lt;/dates&gt;&lt;isbn&gt;1365-2923&lt;/isbn&gt;&lt;urls&gt;&lt;/urls&gt;&lt;/record&gt;&lt;/Cite&gt;&lt;/EndNote&gt;</w:instrText>
      </w:r>
      <w:r w:rsidR="00354469" w:rsidRPr="003726FE">
        <w:rPr>
          <w:lang w:val="en-GB"/>
        </w:rPr>
        <w:fldChar w:fldCharType="separate"/>
      </w:r>
      <w:r w:rsidR="004E5A78" w:rsidRPr="003726FE">
        <w:rPr>
          <w:noProof/>
          <w:lang w:val="en-GB"/>
        </w:rPr>
        <w:t>(</w:t>
      </w:r>
      <w:hyperlink w:anchor="_ENREF_336" w:tooltip="Prince, 2000 #681" w:history="1">
        <w:r w:rsidR="0094469E" w:rsidRPr="003726FE">
          <w:rPr>
            <w:noProof/>
            <w:lang w:val="en-GB"/>
          </w:rPr>
          <w:t>Prince et al. 2000</w:t>
        </w:r>
      </w:hyperlink>
      <w:r w:rsidR="004E5A78" w:rsidRPr="003726FE">
        <w:rPr>
          <w:noProof/>
          <w:lang w:val="en-GB"/>
        </w:rPr>
        <w:t xml:space="preserve">; </w:t>
      </w:r>
      <w:hyperlink w:anchor="_ENREF_335" w:tooltip="Prince, 2005 #680" w:history="1">
        <w:r w:rsidR="0094469E" w:rsidRPr="003726FE">
          <w:rPr>
            <w:noProof/>
            <w:lang w:val="en-GB"/>
          </w:rPr>
          <w:t>Prince et al. 2005</w:t>
        </w:r>
      </w:hyperlink>
      <w:r w:rsidR="004E5A78" w:rsidRPr="003726FE">
        <w:rPr>
          <w:noProof/>
          <w:lang w:val="en-GB"/>
        </w:rPr>
        <w:t>)</w:t>
      </w:r>
      <w:r w:rsidR="00354469" w:rsidRPr="003726FE">
        <w:rPr>
          <w:lang w:val="en-GB"/>
        </w:rPr>
        <w:fldChar w:fldCharType="end"/>
      </w:r>
      <w:r w:rsidR="00354469" w:rsidRPr="003726FE">
        <w:rPr>
          <w:lang w:val="en-GB"/>
        </w:rPr>
        <w:t>.</w:t>
      </w:r>
      <w:r w:rsidR="00596F49" w:rsidRPr="003726FE">
        <w:rPr>
          <w:lang w:val="en-GB"/>
        </w:rPr>
        <w:t xml:space="preserve"> </w:t>
      </w:r>
      <w:r w:rsidR="006E101B" w:rsidRPr="003726FE">
        <w:rPr>
          <w:lang w:val="en-GB"/>
        </w:rPr>
        <w:t>This transition is first and foremost a process, after this uncertainly and turmoil</w:t>
      </w:r>
      <w:r w:rsidR="00CB26CD" w:rsidRPr="003726FE">
        <w:rPr>
          <w:lang w:val="en-GB"/>
        </w:rPr>
        <w:t xml:space="preserve"> most </w:t>
      </w:r>
      <w:r w:rsidR="006E101B" w:rsidRPr="003726FE">
        <w:rPr>
          <w:lang w:val="en-GB"/>
        </w:rPr>
        <w:t xml:space="preserve">learners eventually gain confidence and adjust to their clinical roles, although it is clear that </w:t>
      </w:r>
      <w:r w:rsidR="0013214E">
        <w:rPr>
          <w:lang w:val="en-GB"/>
        </w:rPr>
        <w:t xml:space="preserve">there </w:t>
      </w:r>
      <w:r w:rsidR="006E101B" w:rsidRPr="003726FE">
        <w:rPr>
          <w:lang w:val="en-GB"/>
        </w:rPr>
        <w:t>are factors that help and hinder the</w:t>
      </w:r>
      <w:r w:rsidR="00341B7E">
        <w:rPr>
          <w:lang w:val="en-GB"/>
        </w:rPr>
        <w:t>ir progression</w:t>
      </w:r>
      <w:r w:rsidR="006E101B" w:rsidRPr="003726FE">
        <w:rPr>
          <w:lang w:val="en-GB"/>
        </w:rPr>
        <w:t xml:space="preserve"> </w:t>
      </w:r>
      <w:r w:rsidR="00EF281A" w:rsidRPr="003726FE">
        <w:rPr>
          <w:lang w:val="en-GB"/>
        </w:rPr>
        <w:fldChar w:fldCharType="begin"/>
      </w:r>
      <w:r w:rsidR="008B61BE">
        <w:rPr>
          <w:lang w:val="en-GB"/>
        </w:rPr>
        <w:instrText xml:space="preserve"> ADDIN EN.CITE &lt;EndNote&gt;&lt;Cite&gt;&lt;Author&gt;Dubé&lt;/Author&gt;&lt;Year&gt;2015&lt;/Year&gt;&lt;RecNum&gt;675&lt;/RecNum&gt;&lt;DisplayText&gt;(Dubé et al. 2015)&lt;/DisplayText&gt;&lt;record&gt;&lt;rec-number&gt;675&lt;/rec-number&gt;&lt;foreign-keys&gt;&lt;key app="EN" db-id="xa2r2ewea92trkef5dt5arvbzafvpv2za5ft" timestamp="1496417565"&gt;675&lt;/key&gt;&lt;/foreign-keys&gt;&lt;ref-type name="Journal Article"&gt;17&lt;/ref-type&gt;&lt;contributors&gt;&lt;authors&gt;&lt;author&gt;Dubé, Timothy V&lt;/author&gt;&lt;author&gt;Schinke, Robert J&lt;/author&gt;&lt;author&gt;Strasser, Roger&lt;/author&gt;&lt;author&gt;Couper, Ian&lt;/author&gt;&lt;author&gt;Lightfoot, Nancy E&lt;/author&gt;&lt;/authors&gt;&lt;/contributors&gt;&lt;titles&gt;&lt;title&gt;Transition processes through a longitudinal integrated clerkship: a qualitative study of medical students&amp;apos; experiences&lt;/title&gt;&lt;secondary-title&gt;Medical education&lt;/secondary-title&gt;&lt;/titles&gt;&lt;periodical&gt;&lt;full-title&gt;Medical education&lt;/full-title&gt;&lt;/periodical&gt;&lt;pages&gt;1028-1037&lt;/pages&gt;&lt;volume&gt;49&lt;/volume&gt;&lt;number&gt;10&lt;/number&gt;&lt;dates&gt;&lt;year&gt;2015&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29" w:tooltip="Dubé, 2015 #675" w:history="1">
        <w:r w:rsidR="0094469E" w:rsidRPr="003726FE">
          <w:rPr>
            <w:noProof/>
            <w:lang w:val="en-GB"/>
          </w:rPr>
          <w:t>Dubé et al. 2015</w:t>
        </w:r>
      </w:hyperlink>
      <w:r w:rsidR="004E5A78" w:rsidRPr="003726FE">
        <w:rPr>
          <w:noProof/>
          <w:lang w:val="en-GB"/>
        </w:rPr>
        <w:t>)</w:t>
      </w:r>
      <w:r w:rsidR="00EF281A" w:rsidRPr="003726FE">
        <w:rPr>
          <w:lang w:val="en-GB"/>
        </w:rPr>
        <w:fldChar w:fldCharType="end"/>
      </w:r>
      <w:r w:rsidR="006E101B" w:rsidRPr="003726FE">
        <w:rPr>
          <w:lang w:val="en-GB"/>
        </w:rPr>
        <w:t>.</w:t>
      </w:r>
    </w:p>
    <w:p w14:paraId="0D01F88B" w14:textId="77777777" w:rsidR="006E101B" w:rsidRPr="003726FE" w:rsidRDefault="006E101B" w:rsidP="00026049">
      <w:pPr>
        <w:pStyle w:val="Normal1"/>
        <w:rPr>
          <w:lang w:val="en-GB"/>
        </w:rPr>
      </w:pPr>
    </w:p>
    <w:p w14:paraId="1EBC74A6" w14:textId="7BD65574" w:rsidR="00680181" w:rsidRPr="003726FE" w:rsidRDefault="00156662" w:rsidP="00026049">
      <w:pPr>
        <w:pStyle w:val="Normal1"/>
        <w:rPr>
          <w:lang w:val="en-GB"/>
        </w:rPr>
      </w:pPr>
      <w:r w:rsidRPr="003726FE">
        <w:rPr>
          <w:lang w:val="en-GB"/>
        </w:rPr>
        <w:t xml:space="preserve">A key issue for learners transitioning into </w:t>
      </w:r>
      <w:r w:rsidR="00EC60B0">
        <w:rPr>
          <w:lang w:val="en-GB"/>
        </w:rPr>
        <w:t>authentic learning</w:t>
      </w:r>
      <w:r w:rsidRPr="003726FE">
        <w:rPr>
          <w:lang w:val="en-GB"/>
        </w:rPr>
        <w:t xml:space="preserve"> </w:t>
      </w:r>
      <w:r w:rsidR="00E22A2A" w:rsidRPr="003726FE">
        <w:rPr>
          <w:lang w:val="en-GB"/>
        </w:rPr>
        <w:t>environments</w:t>
      </w:r>
      <w:r w:rsidRPr="003726FE">
        <w:rPr>
          <w:lang w:val="en-GB"/>
        </w:rPr>
        <w:t xml:space="preserve"> is how they develop relationships with the supervisory team, whom are often incredibly busy and change</w:t>
      </w:r>
      <w:r w:rsidR="00EC60B0">
        <w:rPr>
          <w:lang w:val="en-GB"/>
        </w:rPr>
        <w:t xml:space="preserve"> frequently</w:t>
      </w:r>
      <w:r w:rsidR="00CB26CD" w:rsidRPr="003726FE">
        <w:rPr>
          <w:lang w:val="en-GB"/>
        </w:rPr>
        <w:t>,</w:t>
      </w:r>
      <w:r w:rsidRPr="003726FE">
        <w:rPr>
          <w:lang w:val="en-GB"/>
        </w:rPr>
        <w:t xml:space="preserve"> creating instability for </w:t>
      </w:r>
      <w:r w:rsidR="00341B7E">
        <w:rPr>
          <w:lang w:val="en-GB"/>
        </w:rPr>
        <w:t>junior</w:t>
      </w:r>
      <w:r w:rsidRPr="003726FE">
        <w:rPr>
          <w:lang w:val="en-GB"/>
        </w:rPr>
        <w:t xml:space="preserve"> </w:t>
      </w:r>
      <w:r w:rsidR="00341B7E">
        <w:rPr>
          <w:lang w:val="en-GB"/>
        </w:rPr>
        <w:t>medical students</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&lt;EndNote&gt;&lt;Cite&gt;&lt;Author&gt;Hauer&lt;/Author&gt;&lt;Year&gt;2012&lt;/Year&gt;&lt;RecNum&gt;704&lt;/RecNum&gt;&lt;DisplayText&gt;(Hauer et al. 2012)&lt;/DisplayText&gt;&lt;record&gt;&lt;rec-number&gt;704&lt;/rec-number&gt;&lt;foreign-keys&gt;&lt;key app="EN" db-id="xa2r2ewea92trkef5dt5arvbzafvpv2za5ft" timestamp="1496417568"&gt;704&lt;/key&gt;&lt;/foreign-keys&gt;&lt;ref-type name="Journal Article"&gt;17&lt;/ref-type&gt;&lt;contributors&gt;&lt;authors&gt;&lt;author&gt;Hauer, Karen E&lt;/author&gt;&lt;author&gt;Hirsh, David&lt;/author&gt;&lt;author&gt;Ma, Iris&lt;/author&gt;&lt;author&gt;Hansen, Lori&lt;/author&gt;&lt;author&gt;Ogur, Barbara&lt;/author&gt;&lt;author&gt;Poncelet, Ann N&lt;/author&gt;&lt;author&gt;Alexander, Erik K&lt;/author&gt;&lt;author&gt;O’Brien, Bridget C&lt;/author&gt;&lt;/authors&gt;&lt;/contributors&gt;&lt;titles&gt;&lt;title&gt;The role of role: learning in longitudinal integrated and traditional block clerkships&lt;/title&gt;&lt;secondary-title&gt;Medical education&lt;/secondary-title&gt;&lt;/titles&gt;&lt;periodical&gt;&lt;full-title&gt;Medical education&lt;/full-title&gt;&lt;/periodical&gt;&lt;pages&gt;698-710&lt;/pages&gt;&lt;volume&gt;46&lt;/volume&gt;&lt;number&gt;7&lt;/number&gt;&lt;dates&gt;&lt;year&gt;2012&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85" w:tooltip="Hauer, 2012 #704" w:history="1">
        <w:r w:rsidR="0094469E" w:rsidRPr="003726FE">
          <w:rPr>
            <w:noProof/>
            <w:lang w:val="en-GB"/>
          </w:rPr>
          <w:t>Hauer et al. 2012</w:t>
        </w:r>
      </w:hyperlink>
      <w:r w:rsidR="004E5A78" w:rsidRPr="003726FE">
        <w:rPr>
          <w:noProof/>
          <w:lang w:val="en-GB"/>
        </w:rPr>
        <w:t>)</w:t>
      </w:r>
      <w:r w:rsidR="00EF281A" w:rsidRPr="003726FE">
        <w:rPr>
          <w:lang w:val="en-GB"/>
        </w:rPr>
        <w:fldChar w:fldCharType="end"/>
      </w:r>
      <w:r w:rsidRPr="003726FE">
        <w:rPr>
          <w:lang w:val="en-GB"/>
        </w:rPr>
        <w:t xml:space="preserve">. Their challenge is to adapt to this environment in which </w:t>
      </w:r>
      <w:r w:rsidR="00EC60B0">
        <w:rPr>
          <w:lang w:val="en-GB"/>
        </w:rPr>
        <w:t xml:space="preserve">particularly </w:t>
      </w:r>
      <w:r w:rsidRPr="003726FE">
        <w:rPr>
          <w:lang w:val="en-GB"/>
        </w:rPr>
        <w:t xml:space="preserve">the culture </w:t>
      </w:r>
      <w:r w:rsidR="00EC60B0">
        <w:rPr>
          <w:lang w:val="en-GB"/>
        </w:rPr>
        <w:t>may change, both within and</w:t>
      </w:r>
      <w:r w:rsidRPr="003726FE">
        <w:rPr>
          <w:lang w:val="en-GB"/>
        </w:rPr>
        <w:t xml:space="preserve"> across each rotation and may not always provide approp</w:t>
      </w:r>
      <w:r w:rsidR="00CB26CD" w:rsidRPr="003726FE">
        <w:rPr>
          <w:lang w:val="en-GB"/>
        </w:rPr>
        <w:t>riate learning supports for their individual needs</w:t>
      </w:r>
      <w:r w:rsidRPr="003726FE">
        <w:rPr>
          <w:lang w:val="en-GB"/>
        </w:rPr>
        <w:t xml:space="preserve"> </w:t>
      </w:r>
      <w:r w:rsidR="00EF281A" w:rsidRPr="003726FE">
        <w:rPr>
          <w:lang w:val="en-GB"/>
        </w:rPr>
        <w:fldChar w:fldCharType="begin"/>
      </w:r>
      <w:r w:rsidR="008E7D00">
        <w:rPr>
          <w:lang w:val="en-GB"/>
        </w:rPr>
        <w:instrText xml:space="preserve"> ADDIN EN.CITE &lt;EndNote&gt;&lt;Cite&gt;&lt;Author&gt;O&amp;apos;brien&lt;/Author&gt;&lt;Year&gt;2007&lt;/Year&gt;&lt;RecNum&gt;708&lt;/RecNum&gt;&lt;DisplayText&gt;(O&amp;apos;Brien et al. 2007)&lt;/DisplayText&gt;&lt;record&gt;&lt;rec-number&gt;708&lt;/rec-number&gt;&lt;foreign-keys&gt;&lt;key app="EN" db-id="xa2r2ewea92trkef5dt5arvbzafvpv2za5ft" timestamp="1496417569"&gt;708&lt;/key&gt;&lt;/foreign-keys&gt;&lt;ref-type name="Journal Article"&gt;17&lt;/ref-type&gt;&lt;contributors&gt;&lt;authors&gt;&lt;author&gt;O&amp;apos;Brien, Bridget&lt;/author&gt;&lt;author&gt;Cooke, Molly&lt;/author&gt;&lt;author&gt;Irby, David M&lt;/author&gt;&lt;/authors&gt;&lt;/contributors&gt;&lt;titles&gt;&lt;title&gt;Perceptions and attributions of third-year student struggles in clerkships: do students and clerkship directors agree?&lt;/title&gt;&lt;secondary-title&gt;Academic Medicine&lt;/secondary-title&gt;&lt;/titles&gt;&lt;periodical&gt;&lt;full-title&gt;Academic Medicine&lt;/full-title&gt;&lt;/periodical&gt;&lt;pages&gt;970-978&lt;/pages&gt;&lt;volume&gt;82&lt;/volume&gt;&lt;number&gt;10&lt;/number&gt;&lt;dates&gt;&lt;year&gt;2007&lt;/year&gt;&lt;/dates&gt;&lt;isbn&gt;1040-2446&lt;/isbn&gt;&lt;urls&gt;&lt;/urls&gt;&lt;/record&gt;&lt;/Cite&gt;&lt;/EndNote&gt;</w:instrText>
      </w:r>
      <w:r w:rsidR="00EF281A" w:rsidRPr="003726FE">
        <w:rPr>
          <w:lang w:val="en-GB"/>
        </w:rPr>
        <w:fldChar w:fldCharType="separate"/>
      </w:r>
      <w:r w:rsidR="008E7D00">
        <w:rPr>
          <w:noProof/>
          <w:lang w:val="en-GB"/>
        </w:rPr>
        <w:t>(</w:t>
      </w:r>
      <w:hyperlink w:anchor="_ENREF_306" w:tooltip="O'Brien, 2007 #708" w:history="1">
        <w:r w:rsidR="0094469E">
          <w:rPr>
            <w:noProof/>
            <w:lang w:val="en-GB"/>
          </w:rPr>
          <w:t>O'Brien et al. 2007</w:t>
        </w:r>
      </w:hyperlink>
      <w:r w:rsidR="008E7D00">
        <w:rPr>
          <w:noProof/>
          <w:lang w:val="en-GB"/>
        </w:rPr>
        <w:t>)</w:t>
      </w:r>
      <w:r w:rsidR="00EF281A" w:rsidRPr="003726FE">
        <w:rPr>
          <w:lang w:val="en-GB"/>
        </w:rPr>
        <w:fldChar w:fldCharType="end"/>
      </w:r>
      <w:r w:rsidRPr="003726FE">
        <w:rPr>
          <w:lang w:val="en-GB"/>
        </w:rPr>
        <w:t xml:space="preserve">. Learning transfer </w:t>
      </w:r>
      <w:r w:rsidR="00EC60B0">
        <w:rPr>
          <w:lang w:val="en-GB"/>
        </w:rPr>
        <w:t xml:space="preserve">both within and </w:t>
      </w:r>
      <w:r w:rsidRPr="003726FE">
        <w:rPr>
          <w:lang w:val="en-GB"/>
        </w:rPr>
        <w:t xml:space="preserve">across rotations can therefore be </w:t>
      </w:r>
      <w:r w:rsidR="00EC60B0">
        <w:rPr>
          <w:lang w:val="en-GB"/>
        </w:rPr>
        <w:t>impeded if the learner struggles in response to these changes,</w:t>
      </w:r>
      <w:r w:rsidRPr="003726FE">
        <w:rPr>
          <w:lang w:val="en-GB"/>
        </w:rPr>
        <w:t xml:space="preserve"> and </w:t>
      </w:r>
      <w:r w:rsidR="00EC60B0">
        <w:rPr>
          <w:lang w:val="en-GB"/>
        </w:rPr>
        <w:t>they</w:t>
      </w:r>
      <w:r w:rsidRPr="003726FE">
        <w:rPr>
          <w:lang w:val="en-GB"/>
        </w:rPr>
        <w:t xml:space="preserve"> may find themselves </w:t>
      </w:r>
      <w:r w:rsidR="00E22A2A" w:rsidRPr="003726FE">
        <w:rPr>
          <w:lang w:val="en-GB"/>
        </w:rPr>
        <w:t>defaulting</w:t>
      </w:r>
      <w:r w:rsidR="00E05853" w:rsidRPr="003726FE">
        <w:rPr>
          <w:lang w:val="en-GB"/>
        </w:rPr>
        <w:t xml:space="preserve"> to a base skill level at the start of each new rotation </w:t>
      </w:r>
      <w:r w:rsidR="00EF281A" w:rsidRPr="003726FE">
        <w:rPr>
          <w:lang w:val="en-GB"/>
        </w:rPr>
        <w:fldChar w:fldCharType="begin"/>
      </w:r>
      <w:r w:rsidR="008B61BE">
        <w:rPr>
          <w:lang w:val="en-GB"/>
        </w:rPr>
        <w:instrText xml:space="preserve"> ADDIN EN.CITE &lt;EndNote&gt;&lt;Cite&gt;&lt;Author&gt;Patel&lt;/Author&gt;&lt;Year&gt;1985&lt;/Year&gt;&lt;RecNum&gt;709&lt;/RecNum&gt;&lt;DisplayText&gt;(Patel and Dauphinee 1985)&lt;/DisplayText&gt;&lt;record&gt;&lt;rec-number&gt;709&lt;/rec-number&gt;&lt;foreign-keys&gt;&lt;key app="EN" db-id="xa2r2ewea92trkef5dt5arvbzafvpv2za5ft" timestamp="1496417569"&gt;709&lt;/key&gt;&lt;/foreign-keys&gt;&lt;ref-type name="Journal Article"&gt;17&lt;/ref-type&gt;&lt;contributors&gt;&lt;authors&gt;&lt;author&gt;Patel, Vimla L&lt;/author&gt;&lt;author&gt;Dauphinee, WD&lt;/author&gt;&lt;/authors&gt;&lt;/contributors&gt;&lt;titles&gt;&lt;title&gt;The clinical learning environments in medicine, paediatrics and surgery clerkships&lt;/title&gt;&lt;secondary-title&gt;Medical Education&lt;/secondary-title&gt;&lt;/titles&gt;&lt;periodical&gt;&lt;full-title&gt;Medical education&lt;/full-title&gt;&lt;/periodical&gt;&lt;pages&gt;54-60&lt;/pages&gt;&lt;volume&gt;19&lt;/volume&gt;&lt;number&gt;1&lt;/number&gt;&lt;dates&gt;&lt;year&gt;1985&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318" w:tooltip="Patel, 1985 #709" w:history="1">
        <w:r w:rsidR="0094469E" w:rsidRPr="003726FE">
          <w:rPr>
            <w:noProof/>
            <w:lang w:val="en-GB"/>
          </w:rPr>
          <w:t>Patel and Dauphinee 1985</w:t>
        </w:r>
      </w:hyperlink>
      <w:r w:rsidR="004E5A78" w:rsidRPr="003726FE">
        <w:rPr>
          <w:noProof/>
          <w:lang w:val="en-GB"/>
        </w:rPr>
        <w:t>)</w:t>
      </w:r>
      <w:r w:rsidR="00EF281A" w:rsidRPr="003726FE">
        <w:rPr>
          <w:lang w:val="en-GB"/>
        </w:rPr>
        <w:fldChar w:fldCharType="end"/>
      </w:r>
      <w:r w:rsidR="00E05853" w:rsidRPr="003726FE">
        <w:rPr>
          <w:lang w:val="en-GB"/>
        </w:rPr>
        <w:t>.</w:t>
      </w:r>
    </w:p>
    <w:p w14:paraId="3ED3BEF9" w14:textId="77777777" w:rsidR="00680181" w:rsidRPr="003726FE" w:rsidRDefault="00680181" w:rsidP="00026049">
      <w:pPr>
        <w:pStyle w:val="Normal1"/>
        <w:rPr>
          <w:shd w:val="clear" w:color="auto" w:fill="FFFFFF"/>
          <w:lang w:val="en-GB"/>
        </w:rPr>
      </w:pPr>
    </w:p>
    <w:p w14:paraId="5C5238E9" w14:textId="30B5CC5E" w:rsidR="00680181" w:rsidRPr="003726FE" w:rsidRDefault="000532E2" w:rsidP="00026049">
      <w:pPr>
        <w:pStyle w:val="Normal1"/>
        <w:rPr>
          <w:shd w:val="clear" w:color="auto" w:fill="FFFFFF"/>
          <w:lang w:val="en-GB"/>
        </w:rPr>
      </w:pPr>
      <w:hyperlink w:anchor="_ENREF_75" w:tooltip="Cho, 2017 #670"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AuthorYear="1"&gt;&lt;Author&gt;Cho&lt;/Author&gt;&lt;Year&gt;2017&lt;/Year&gt;&lt;RecNum&gt;670&lt;/RecNum&gt;&lt;DisplayText&gt;Cho et al. (2017)&lt;/DisplayText&gt;&lt;record&gt;&lt;rec-number&gt;670&lt;/rec-number&gt;&lt;foreign-keys&gt;&lt;key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Cho et al. (2017)</w:t>
        </w:r>
        <w:r w:rsidR="0094469E" w:rsidRPr="003726FE">
          <w:rPr>
            <w:shd w:val="clear" w:color="auto" w:fill="FFFFFF"/>
            <w:lang w:val="en-GB"/>
          </w:rPr>
          <w:fldChar w:fldCharType="end"/>
        </w:r>
      </w:hyperlink>
      <w:r w:rsidR="00680181" w:rsidRPr="003726FE">
        <w:rPr>
          <w:shd w:val="clear" w:color="auto" w:fill="FFFFFF"/>
          <w:lang w:val="en-GB"/>
        </w:rPr>
        <w:t xml:space="preserve"> explored how 72 medical undergraduates’ SRL changed from preclinical to clinical learning environments using the MSLQ before and after the transition and found significant changes in goal orientation and metacognition. They suggested that the main factors impacting upon SRL were gender, previous clinical </w:t>
      </w:r>
      <w:r w:rsidR="00680181" w:rsidRPr="003726FE">
        <w:rPr>
          <w:shd w:val="clear" w:color="auto" w:fill="FFFFFF"/>
          <w:lang w:val="en-GB"/>
        </w:rPr>
        <w:lastRenderedPageBreak/>
        <w:t xml:space="preserve">experience, and domain of first attachment (e.g. surgical vs. community). This study was the first to explore differences in SRL in the transition between preclinical and clinical contexts, providing a first look at what could be influencing SRL at this crucial point in medical education. However, these results were limited by the small sample size which </w:t>
      </w:r>
      <w:r w:rsidR="00725D3C">
        <w:rPr>
          <w:shd w:val="clear" w:color="auto" w:fill="FFFFFF"/>
          <w:lang w:val="en-GB"/>
        </w:rPr>
        <w:t>was</w:t>
      </w:r>
      <w:r w:rsidR="00680181" w:rsidRPr="003726FE">
        <w:rPr>
          <w:shd w:val="clear" w:color="auto" w:fill="FFFFFF"/>
          <w:lang w:val="en-GB"/>
        </w:rPr>
        <w:t xml:space="preserve"> </w:t>
      </w:r>
      <w:r w:rsidR="0013214E">
        <w:rPr>
          <w:shd w:val="clear" w:color="auto" w:fill="FFFFFF"/>
          <w:lang w:val="en-GB"/>
        </w:rPr>
        <w:t xml:space="preserve">far </w:t>
      </w:r>
      <w:r w:rsidR="00680181" w:rsidRPr="003726FE">
        <w:rPr>
          <w:shd w:val="clear" w:color="auto" w:fill="FFFFFF"/>
          <w:lang w:val="en-GB"/>
        </w:rPr>
        <w:t xml:space="preserve">less </w:t>
      </w:r>
      <w:r w:rsidR="0013214E">
        <w:rPr>
          <w:shd w:val="clear" w:color="auto" w:fill="FFFFFF"/>
          <w:lang w:val="en-GB"/>
        </w:rPr>
        <w:t>than</w:t>
      </w:r>
      <w:r w:rsidR="00680181" w:rsidRPr="003726FE">
        <w:rPr>
          <w:shd w:val="clear" w:color="auto" w:fill="FFFFFF"/>
          <w:lang w:val="en-GB"/>
        </w:rPr>
        <w:t xml:space="preserve"> the average yearly cohorts explored in the present study (n=237). Their use of the MSLQ as the sole measurement tool also limits what can be inferred from their results, more underlying mechanisms of change could be understood if the tool was used over more time points or in combination with qualitative methods. Despite these limitations much can be taken away from their insights which </w:t>
      </w:r>
      <w:r w:rsidR="00725D3C">
        <w:rPr>
          <w:shd w:val="clear" w:color="auto" w:fill="FFFFFF"/>
          <w:lang w:val="en-GB"/>
        </w:rPr>
        <w:t>were</w:t>
      </w:r>
      <w:r w:rsidR="00680181" w:rsidRPr="003726FE">
        <w:rPr>
          <w:shd w:val="clear" w:color="auto" w:fill="FFFFFF"/>
          <w:lang w:val="en-GB"/>
        </w:rPr>
        <w:t xml:space="preserve"> of interest to the present study</w:t>
      </w:r>
      <w:r w:rsidR="00E22A2A" w:rsidRPr="003726FE">
        <w:rPr>
          <w:shd w:val="clear" w:color="auto" w:fill="FFFFFF"/>
          <w:lang w:val="en-GB"/>
        </w:rPr>
        <w:t>.</w:t>
      </w:r>
      <w:r w:rsidR="00680181" w:rsidRPr="003726FE">
        <w:rPr>
          <w:shd w:val="clear" w:color="auto" w:fill="FFFFFF"/>
          <w:lang w:val="en-GB"/>
        </w:rPr>
        <w:t xml:space="preserve"> </w:t>
      </w:r>
      <w:r w:rsidR="00E22A2A" w:rsidRPr="003726FE">
        <w:rPr>
          <w:shd w:val="clear" w:color="auto" w:fill="FFFFFF"/>
          <w:lang w:val="en-GB"/>
        </w:rPr>
        <w:t>T</w:t>
      </w:r>
      <w:r w:rsidR="00680181" w:rsidRPr="003726FE">
        <w:rPr>
          <w:shd w:val="clear" w:color="auto" w:fill="FFFFFF"/>
          <w:lang w:val="en-GB"/>
        </w:rPr>
        <w:t>hey argue</w:t>
      </w:r>
      <w:r w:rsidR="00725D3C">
        <w:rPr>
          <w:shd w:val="clear" w:color="auto" w:fill="FFFFFF"/>
          <w:lang w:val="en-GB"/>
        </w:rPr>
        <w:t>d</w:t>
      </w:r>
      <w:r w:rsidR="00680181" w:rsidRPr="003726FE">
        <w:rPr>
          <w:shd w:val="clear" w:color="auto" w:fill="FFFFFF"/>
          <w:lang w:val="en-GB"/>
        </w:rPr>
        <w:t xml:space="preserve"> that because the process of learning in the clinical environment poses a number of challenges and potential disruption of consolidated strategies, assessing and filling the gap of SRL in the transitional phase is crucial to determining effective academic and professional achievements. They also recommend the use of interventions targeting SRL processes, particularly metacognition, to optimise learning before or during clinical placements. Interventions used in other contexts could provide some direction which include metacognitive supports and feedback </w:t>
      </w:r>
      <w:r w:rsidR="00680181" w:rsidRPr="003726FE">
        <w:rPr>
          <w:shd w:val="clear" w:color="auto" w:fill="FFFFFF"/>
          <w:lang w:val="en-GB"/>
        </w:rPr>
        <w:fldChar w:fldCharType="begin"/>
      </w:r>
      <w:r w:rsidR="008B61BE">
        <w:rPr>
          <w:shd w:val="clear" w:color="auto" w:fill="FFFFFF"/>
          <w:lang w:val="en-GB"/>
        </w:rPr>
        <w:instrText xml:space="preserve"> ADDIN EN.CITE &lt;EndNote&gt;&lt;Cite&gt;&lt;Author&gt;Cutting&lt;/Author&gt;&lt;Year&gt;2012&lt;/Year&gt;&lt;RecNum&gt;674&lt;/RecNum&gt;&lt;DisplayText&gt;(Cutting and Saks 2012; Chew et al. 2016)&lt;/DisplayText&gt;&lt;record&gt;&lt;rec-number&gt;674&lt;/rec-number&gt;&lt;foreign-keys&gt;&lt;key app="EN" db-id="xa2r2ewea92trkef5dt5arvbzafvpv2za5ft" timestamp="1496417565"&gt;674&lt;/key&gt;&lt;/foreign-keys&gt;&lt;ref-type name="Journal Article"&gt;17&lt;/ref-type&gt;&lt;contributors&gt;&lt;authors&gt;&lt;author&gt;Cutting, Maris F&lt;/author&gt;&lt;author&gt;Saks, Norma Susswein&lt;/author&gt;&lt;/authors&gt;&lt;/contributors&gt;&lt;titles&gt;&lt;title&gt;Twelve tips for utilizing principles of learning to support medical education&lt;/title&gt;&lt;secondary-title&gt;Medical teacher&lt;/secondary-title&gt;&lt;/titles&gt;&lt;periodical&gt;&lt;full-title&gt;Medical teacher&lt;/full-title&gt;&lt;/periodical&gt;&lt;pages&gt;20-24&lt;/pages&gt;&lt;volume&gt;34&lt;/volume&gt;&lt;number&gt;1&lt;/number&gt;&lt;dates&gt;&lt;year&gt;2012&lt;/year&gt;&lt;/dates&gt;&lt;isbn&gt;0142-159X&lt;/isbn&gt;&lt;urls&gt;&lt;/urls&gt;&lt;/record&gt;&lt;/Cite&gt;&lt;Cite&gt;&lt;Author&gt;Chew&lt;/Author&gt;&lt;Year&gt;2016&lt;/Year&gt;&lt;RecNum&gt;673&lt;/RecNum&gt;&lt;record&gt;&lt;rec-number&gt;673&lt;/rec-number&gt;&lt;foreign-keys&gt;&lt;key app="EN" db-id="xa2r2ewea92trkef5dt5arvbzafvpv2za5ft" timestamp="1496417565"&gt;673&lt;/key&gt;&lt;/foreign-keys&gt;&lt;ref-type name="Journal Article"&gt;17&lt;/ref-type&gt;&lt;contributors&gt;&lt;authors&gt;&lt;author&gt;Chew, Keng Sheng&lt;/author&gt;&lt;author&gt;Durning, Steven J&lt;/author&gt;&lt;author&gt;van Merriënboer, Jeroen JG&lt;/author&gt;&lt;/authors&gt;&lt;/contributors&gt;&lt;titles&gt;&lt;title&gt;Teaching metacognition in clinical decision-making using a novel mnemonic checklist: an exploratory study&lt;/title&gt;&lt;secondary-title&gt;Singapore medical journal&lt;/secondary-title&gt;&lt;/titles&gt;&lt;periodical&gt;&lt;full-title&gt;Singapore medical journal&lt;/full-title&gt;&lt;/periodical&gt;&lt;pages&gt;694&lt;/pages&gt;&lt;volume&gt;57&lt;/volume&gt;&lt;number&gt;12&lt;/number&gt;&lt;dates&gt;&lt;year&gt;2016&lt;/year&gt;&lt;/dates&gt;&lt;urls&gt;&lt;/urls&gt;&lt;/record&gt;&lt;/Cite&gt;&lt;/EndNote&gt;</w:instrText>
      </w:r>
      <w:r w:rsidR="00680181" w:rsidRPr="003726FE">
        <w:rPr>
          <w:shd w:val="clear" w:color="auto" w:fill="FFFFFF"/>
          <w:lang w:val="en-GB"/>
        </w:rPr>
        <w:fldChar w:fldCharType="separate"/>
      </w:r>
      <w:r w:rsidR="004E5A78" w:rsidRPr="003726FE">
        <w:rPr>
          <w:noProof/>
          <w:shd w:val="clear" w:color="auto" w:fill="FFFFFF"/>
          <w:lang w:val="en-GB"/>
        </w:rPr>
        <w:t>(</w:t>
      </w:r>
      <w:hyperlink w:anchor="_ENREF_108" w:tooltip="Cutting, 2012 #674" w:history="1">
        <w:r w:rsidR="0094469E" w:rsidRPr="003726FE">
          <w:rPr>
            <w:noProof/>
            <w:shd w:val="clear" w:color="auto" w:fill="FFFFFF"/>
            <w:lang w:val="en-GB"/>
          </w:rPr>
          <w:t>Cutting and Saks 2012</w:t>
        </w:r>
      </w:hyperlink>
      <w:r w:rsidR="004E5A78" w:rsidRPr="003726FE">
        <w:rPr>
          <w:noProof/>
          <w:shd w:val="clear" w:color="auto" w:fill="FFFFFF"/>
          <w:lang w:val="en-GB"/>
        </w:rPr>
        <w:t xml:space="preserve">; </w:t>
      </w:r>
      <w:hyperlink w:anchor="_ENREF_74" w:tooltip="Chew, 2016 #673" w:history="1">
        <w:r w:rsidR="0094469E" w:rsidRPr="003726FE">
          <w:rPr>
            <w:noProof/>
            <w:shd w:val="clear" w:color="auto" w:fill="FFFFFF"/>
            <w:lang w:val="en-GB"/>
          </w:rPr>
          <w:t>Chew et al. 2016</w:t>
        </w:r>
      </w:hyperlink>
      <w:r w:rsidR="004E5A78" w:rsidRPr="003726FE">
        <w:rPr>
          <w:noProof/>
          <w:shd w:val="clear" w:color="auto" w:fill="FFFFFF"/>
          <w:lang w:val="en-GB"/>
        </w:rPr>
        <w:t>)</w:t>
      </w:r>
      <w:r w:rsidR="00680181" w:rsidRPr="003726FE">
        <w:rPr>
          <w:shd w:val="clear" w:color="auto" w:fill="FFFFFF"/>
          <w:lang w:val="en-GB"/>
        </w:rPr>
        <w:fldChar w:fldCharType="end"/>
      </w:r>
      <w:r w:rsidR="00680181" w:rsidRPr="003726FE">
        <w:rPr>
          <w:shd w:val="clear" w:color="auto" w:fill="FFFFFF"/>
          <w:lang w:val="en-GB"/>
        </w:rPr>
        <w:t xml:space="preserve">. The present study </w:t>
      </w:r>
      <w:r w:rsidR="0013214E">
        <w:rPr>
          <w:shd w:val="clear" w:color="auto" w:fill="FFFFFF"/>
          <w:lang w:val="en-GB"/>
        </w:rPr>
        <w:t>test</w:t>
      </w:r>
      <w:r w:rsidR="00725D3C">
        <w:rPr>
          <w:shd w:val="clear" w:color="auto" w:fill="FFFFFF"/>
          <w:lang w:val="en-GB"/>
        </w:rPr>
        <w:t>ed</w:t>
      </w:r>
      <w:r w:rsidR="00680181" w:rsidRPr="003726FE">
        <w:rPr>
          <w:shd w:val="clear" w:color="auto" w:fill="FFFFFF"/>
          <w:lang w:val="en-GB"/>
        </w:rPr>
        <w:t xml:space="preserve"> this by providing explicit SRL support using feedback to explore whether this might have an effect over this transitional period.</w:t>
      </w:r>
    </w:p>
    <w:p w14:paraId="37E79035" w14:textId="77777777" w:rsidR="00923F89" w:rsidRPr="003726FE" w:rsidRDefault="00923F89" w:rsidP="00026049">
      <w:pPr>
        <w:pStyle w:val="Normal1"/>
        <w:rPr>
          <w:shd w:val="clear" w:color="auto" w:fill="FFFFFF"/>
          <w:lang w:val="en-GB"/>
        </w:rPr>
      </w:pPr>
    </w:p>
    <w:p w14:paraId="49941DDD" w14:textId="2F52B032" w:rsidR="00923F89" w:rsidRPr="003726FE" w:rsidRDefault="00923F89" w:rsidP="00026049">
      <w:pPr>
        <w:pStyle w:val="Normal1"/>
        <w:rPr>
          <w:lang w:val="en-GB"/>
        </w:rPr>
      </w:pPr>
      <w:r w:rsidRPr="003726FE">
        <w:rPr>
          <w:shd w:val="clear" w:color="auto" w:fill="FFFFFF"/>
          <w:lang w:val="en-GB"/>
        </w:rPr>
        <w:t xml:space="preserve">Teaching in clinical environments for </w:t>
      </w:r>
      <w:r w:rsidR="009C1827">
        <w:rPr>
          <w:shd w:val="clear" w:color="auto" w:fill="FFFFFF"/>
          <w:lang w:val="en-GB"/>
        </w:rPr>
        <w:t>medical students</w:t>
      </w:r>
      <w:r w:rsidRPr="003726FE">
        <w:rPr>
          <w:shd w:val="clear" w:color="auto" w:fill="FFFFFF"/>
          <w:lang w:val="en-GB"/>
        </w:rPr>
        <w:t xml:space="preserve"> tends to come most from the junior doctors, </w:t>
      </w:r>
      <w:r w:rsidR="000B4A06" w:rsidRPr="003726FE">
        <w:rPr>
          <w:shd w:val="clear" w:color="auto" w:fill="FFFFFF"/>
          <w:lang w:val="en-GB"/>
        </w:rPr>
        <w:t>consequently,</w:t>
      </w:r>
      <w:r w:rsidRPr="003726FE">
        <w:rPr>
          <w:shd w:val="clear" w:color="auto" w:fill="FFFFFF"/>
          <w:lang w:val="en-GB"/>
        </w:rPr>
        <w:t xml:space="preserve"> learners develop more collegial relationships with these doctors and take on small responsibilities to aid them</w:t>
      </w:r>
      <w:r w:rsidR="000B4A06" w:rsidRPr="003726FE">
        <w:rPr>
          <w:shd w:val="clear" w:color="auto" w:fill="FFFFFF"/>
          <w:lang w:val="en-GB"/>
        </w:rPr>
        <w:t>,</w:t>
      </w:r>
      <w:r w:rsidRPr="003726FE">
        <w:rPr>
          <w:shd w:val="clear" w:color="auto" w:fill="FFFFFF"/>
          <w:lang w:val="en-GB"/>
        </w:rPr>
        <w:t xml:space="preserve"> </w:t>
      </w:r>
      <w:r w:rsidR="0021662A">
        <w:rPr>
          <w:lang w:val="en-GB"/>
        </w:rPr>
        <w:t>including</w:t>
      </w:r>
      <w:r w:rsidRPr="003726FE">
        <w:rPr>
          <w:shd w:val="clear" w:color="auto" w:fill="FFFFFF"/>
          <w:lang w:val="en-GB"/>
        </w:rPr>
        <w:t xml:space="preserve"> paperwork or </w:t>
      </w:r>
      <w:r w:rsidR="0013214E">
        <w:rPr>
          <w:shd w:val="clear" w:color="auto" w:fill="FFFFFF"/>
          <w:lang w:val="en-GB"/>
        </w:rPr>
        <w:t>low-risk</w:t>
      </w:r>
      <w:r w:rsidRPr="003726FE">
        <w:rPr>
          <w:shd w:val="clear" w:color="auto" w:fill="FFFFFF"/>
          <w:lang w:val="en-GB"/>
        </w:rPr>
        <w:t xml:space="preserve"> clinical skills tasks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&lt;EndNote&gt;&lt;Cite&gt;&lt;Author&gt;Shahi&lt;/Author&gt;&lt;Year&gt;2015&lt;/Year&gt;&lt;RecNum&gt;695&lt;/RecNum&gt;&lt;DisplayText&gt;(Shahi et al. 2015)&lt;/DisplayText&gt;&lt;record&gt;&lt;rec-number&gt;695&lt;/rec-number&gt;&lt;foreign-keys&gt;&lt;key app="EN" db-id="xa2r2ewea92trkef5dt5arvbzafvpv2za5ft" timestamp="1496417567"&gt;695&lt;/key&gt;&lt;/foreign-keys&gt;&lt;ref-type name="Journal Article"&gt;17&lt;/ref-type&gt;&lt;contributors&gt;&lt;authors&gt;&lt;author&gt;Shahi, Rashmi&lt;/author&gt;&lt;author&gt;Walters, Lucie&lt;/author&gt;&lt;author&gt;Ward, Helena&lt;/author&gt;&lt;author&gt;Woodman, Richard J&lt;/author&gt;&lt;author&gt;Prideaux, David&lt;/author&gt;&lt;/authors&gt;&lt;/contributors&gt;&lt;titles&gt;&lt;title&gt;Clinical participation of medical students in three contemporary training models&lt;/title&gt;&lt;secondary-title&gt;Medical education&lt;/secondary-title&gt;&lt;/titles&gt;&lt;periodical&gt;&lt;full-title&gt;Medical education&lt;/full-title&gt;&lt;/periodical&gt;&lt;pages&gt;1219-1228&lt;/pages&gt;&lt;volume&gt;49&lt;/volume&gt;&lt;number&gt;12&lt;/number&gt;&lt;dates&gt;&lt;year&gt;2015&lt;/year&gt;&lt;/dates&gt;&lt;isbn&gt;1365-2923&lt;/isbn&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383" w:tooltip="Shahi, 2015 #695" w:history="1">
        <w:r w:rsidR="0094469E" w:rsidRPr="003726FE">
          <w:rPr>
            <w:noProof/>
            <w:shd w:val="clear" w:color="auto" w:fill="FFFFFF"/>
            <w:lang w:val="en-GB"/>
          </w:rPr>
          <w:t>Shahi et al. 2015</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In the context of this study, learners on </w:t>
      </w:r>
      <w:r w:rsidR="00483DED">
        <w:rPr>
          <w:lang w:val="en-GB"/>
        </w:rPr>
        <w:t xml:space="preserve">clinical </w:t>
      </w:r>
      <w:r w:rsidRPr="003726FE">
        <w:rPr>
          <w:shd w:val="clear" w:color="auto" w:fill="FFFFFF"/>
          <w:lang w:val="en-GB"/>
        </w:rPr>
        <w:t xml:space="preserve">placement were encouraged </w:t>
      </w:r>
      <w:r w:rsidR="0013214E">
        <w:rPr>
          <w:shd w:val="clear" w:color="auto" w:fill="FFFFFF"/>
          <w:lang w:val="en-GB"/>
        </w:rPr>
        <w:t>in the assigned learning</w:t>
      </w:r>
      <w:r w:rsidRPr="003726FE">
        <w:rPr>
          <w:shd w:val="clear" w:color="auto" w:fill="FFFFFF"/>
          <w:lang w:val="en-GB"/>
        </w:rPr>
        <w:t xml:space="preserve"> </w:t>
      </w:r>
      <w:r w:rsidR="0013214E">
        <w:rPr>
          <w:shd w:val="clear" w:color="auto" w:fill="FFFFFF"/>
          <w:lang w:val="en-GB"/>
        </w:rPr>
        <w:t>outcomes to engage</w:t>
      </w:r>
      <w:r w:rsidRPr="003726FE">
        <w:rPr>
          <w:shd w:val="clear" w:color="auto" w:fill="FFFFFF"/>
          <w:lang w:val="en-GB"/>
        </w:rPr>
        <w:t xml:space="preserve"> with the senior doctors and with core clinical competencies. A more detailed account of how this dynamic was explored from the students’ perspective can be found in Chapter C2. </w:t>
      </w:r>
    </w:p>
    <w:p w14:paraId="595E3668" w14:textId="77777777" w:rsidR="00680181" w:rsidRPr="003726FE" w:rsidRDefault="00680181" w:rsidP="00026049">
      <w:pPr>
        <w:pStyle w:val="Normal1"/>
        <w:rPr>
          <w:lang w:val="en-GB"/>
        </w:rPr>
      </w:pPr>
    </w:p>
    <w:p w14:paraId="0E5A25FA" w14:textId="03DEEBDA" w:rsidR="00680181" w:rsidRPr="003726FE" w:rsidRDefault="00680181" w:rsidP="00026049">
      <w:pPr>
        <w:pStyle w:val="Normal1"/>
        <w:rPr>
          <w:lang w:val="en-GB"/>
        </w:rPr>
      </w:pPr>
      <w:r w:rsidRPr="003726FE">
        <w:rPr>
          <w:lang w:val="en-GB"/>
        </w:rPr>
        <w:t xml:space="preserve">The contextual relevance of SRL development must also be considered in real clinical environments. Berkhout et al., (2015) conducted a qualitative study using semi-structured interviews with medical students on </w:t>
      </w:r>
      <w:r w:rsidR="00483DED">
        <w:rPr>
          <w:lang w:val="en-GB"/>
        </w:rPr>
        <w:t xml:space="preserve">clinical </w:t>
      </w:r>
      <w:r w:rsidR="00725D3C">
        <w:rPr>
          <w:lang w:val="en-GB"/>
        </w:rPr>
        <w:t>placements</w:t>
      </w:r>
      <w:r w:rsidRPr="003726FE">
        <w:rPr>
          <w:lang w:val="en-GB"/>
        </w:rPr>
        <w:t xml:space="preserve"> to explore factors influencing their views of SRL. They found that students’ SRL </w:t>
      </w:r>
      <w:r w:rsidR="000B4A06" w:rsidRPr="003726FE">
        <w:rPr>
          <w:lang w:val="en-GB"/>
        </w:rPr>
        <w:t>wa</w:t>
      </w:r>
      <w:r w:rsidRPr="003726FE">
        <w:rPr>
          <w:lang w:val="en-GB"/>
        </w:rPr>
        <w:t xml:space="preserve">s affected by personal, social, and contextual factors unique to the clinical environment, </w:t>
      </w:r>
      <w:r w:rsidR="0021662A">
        <w:rPr>
          <w:lang w:val="en-GB"/>
        </w:rPr>
        <w:t>including</w:t>
      </w:r>
      <w:r w:rsidRPr="003726FE">
        <w:rPr>
          <w:lang w:val="en-GB"/>
        </w:rPr>
        <w:t xml:space="preserve"> developing relationships with staff and patients. They recommend that</w:t>
      </w:r>
      <w:r w:rsidR="000B4A06" w:rsidRPr="003726FE">
        <w:rPr>
          <w:lang w:val="en-GB"/>
        </w:rPr>
        <w:t xml:space="preserve"> to better support student</w:t>
      </w:r>
      <w:r w:rsidRPr="003726FE">
        <w:rPr>
          <w:lang w:val="en-GB"/>
        </w:rPr>
        <w:t>s</w:t>
      </w:r>
      <w:r w:rsidR="000B4A06" w:rsidRPr="003726FE">
        <w:rPr>
          <w:lang w:val="en-GB"/>
        </w:rPr>
        <w:t>’</w:t>
      </w:r>
      <w:r w:rsidRPr="003726FE">
        <w:rPr>
          <w:lang w:val="en-GB"/>
        </w:rPr>
        <w:t xml:space="preserve"> SRL, efforts should be made to increase their meta-cognitive awareness to </w:t>
      </w:r>
      <w:r w:rsidRPr="003726FE">
        <w:rPr>
          <w:lang w:val="en-GB"/>
        </w:rPr>
        <w:lastRenderedPageBreak/>
        <w:t>better prepare them for authentic clinical situations. Other researchers also emphasise the importance of contextual factors for the development of SRL (Ben-Eliyahu et al., 2015; Sandars and Patel, 2015).</w:t>
      </w:r>
    </w:p>
    <w:p w14:paraId="62B1FC1F" w14:textId="77777777" w:rsidR="00A617EF" w:rsidRPr="003726FE" w:rsidRDefault="00A617EF" w:rsidP="00026049">
      <w:pPr>
        <w:pStyle w:val="Normal1"/>
        <w:rPr>
          <w:lang w:val="en-GB"/>
        </w:rPr>
      </w:pPr>
    </w:p>
    <w:p w14:paraId="10A26267" w14:textId="40A5D35F" w:rsidR="00A617EF" w:rsidRPr="003726FE" w:rsidRDefault="00A617EF" w:rsidP="00426FCB">
      <w:pPr>
        <w:pStyle w:val="Heading4"/>
      </w:pPr>
      <w:r w:rsidRPr="003726FE">
        <w:t>A1.3.2.1 Impact of the Clinical Placement Model</w:t>
      </w:r>
    </w:p>
    <w:p w14:paraId="2FB011AA" w14:textId="77777777" w:rsidR="00A617EF" w:rsidRPr="003726FE" w:rsidRDefault="00A617EF" w:rsidP="00026049">
      <w:pPr>
        <w:pStyle w:val="Normal1"/>
        <w:rPr>
          <w:lang w:val="en-GB"/>
        </w:rPr>
      </w:pPr>
    </w:p>
    <w:p w14:paraId="20625EEB" w14:textId="5176C87A" w:rsidR="00923F89" w:rsidRPr="003726FE" w:rsidRDefault="00596F49" w:rsidP="00026049">
      <w:pPr>
        <w:pStyle w:val="Normal1"/>
        <w:rPr>
          <w:lang w:val="en-GB"/>
        </w:rPr>
      </w:pPr>
      <w:r w:rsidRPr="003726FE">
        <w:rPr>
          <w:lang w:val="en-GB"/>
        </w:rPr>
        <w:t xml:space="preserve">The type of </w:t>
      </w:r>
      <w:r w:rsidR="00483DED">
        <w:rPr>
          <w:lang w:val="en-GB"/>
        </w:rPr>
        <w:t xml:space="preserve">clinical </w:t>
      </w:r>
      <w:r w:rsidRPr="003726FE">
        <w:rPr>
          <w:lang w:val="en-GB"/>
        </w:rPr>
        <w:t xml:space="preserve">placement model may also have an effect on this transition </w:t>
      </w:r>
      <w:r w:rsidR="006E101B" w:rsidRPr="003726FE">
        <w:rPr>
          <w:lang w:val="en-GB"/>
        </w:rPr>
        <w:t>and</w:t>
      </w:r>
      <w:r w:rsidRPr="003726FE">
        <w:rPr>
          <w:lang w:val="en-GB"/>
        </w:rPr>
        <w:t xml:space="preserve"> on learning behaviours.</w:t>
      </w:r>
      <w:r w:rsidR="00F3120C" w:rsidRPr="003726FE">
        <w:rPr>
          <w:lang w:val="en-GB"/>
        </w:rPr>
        <w:t xml:space="preserve"> The mode</w:t>
      </w:r>
      <w:r w:rsidR="00BF2833" w:rsidRPr="003726FE">
        <w:rPr>
          <w:lang w:val="en-GB"/>
        </w:rPr>
        <w:t>l</w:t>
      </w:r>
      <w:r w:rsidR="00F3120C" w:rsidRPr="003726FE">
        <w:rPr>
          <w:lang w:val="en-GB"/>
        </w:rPr>
        <w:t xml:space="preserve"> </w:t>
      </w:r>
      <w:r w:rsidR="00BF2833" w:rsidRPr="003726FE">
        <w:rPr>
          <w:lang w:val="en-GB"/>
        </w:rPr>
        <w:t>in which this research takes place is</w:t>
      </w:r>
      <w:r w:rsidR="00F3120C" w:rsidRPr="003726FE">
        <w:rPr>
          <w:lang w:val="en-GB"/>
        </w:rPr>
        <w:t xml:space="preserve"> </w:t>
      </w:r>
      <w:r w:rsidR="00CC3ECE" w:rsidRPr="003726FE">
        <w:rPr>
          <w:lang w:val="en-GB"/>
        </w:rPr>
        <w:t>a</w:t>
      </w:r>
      <w:r w:rsidR="00F3120C" w:rsidRPr="003726FE">
        <w:rPr>
          <w:lang w:val="en-GB"/>
        </w:rPr>
        <w:t xml:space="preserve"> Traditional Placement Model (TPM). TPMs </w:t>
      </w:r>
      <w:r w:rsidR="00CC3ECE" w:rsidRPr="003726FE">
        <w:rPr>
          <w:lang w:val="en-GB"/>
        </w:rPr>
        <w:t>are formed of many short</w:t>
      </w:r>
      <w:r w:rsidR="00F3120C" w:rsidRPr="003726FE">
        <w:rPr>
          <w:lang w:val="en-GB"/>
        </w:rPr>
        <w:t xml:space="preserve"> blocks in different disciplines where students rotate around in groups </w:t>
      </w:r>
      <w:r w:rsidR="00EF281A" w:rsidRPr="003726FE">
        <w:rPr>
          <w:lang w:val="en-GB"/>
        </w:rPr>
        <w:fldChar w:fldCharType="begin"/>
      </w:r>
      <w:r w:rsidR="008B61BE">
        <w:rPr>
          <w:lang w:val="en-GB"/>
        </w:rPr>
        <w:instrText xml:space="preserve"> ADDIN EN.CITE &lt;EndNote&gt;&lt;Cite&gt;&lt;Author&gt;Ellaway&lt;/Author&gt;&lt;Year&gt;2016&lt;/Year&gt;&lt;RecNum&gt;691&lt;/RecNum&gt;&lt;DisplayText&gt;(Ellaway et al. 2016)&lt;/DisplayText&gt;&lt;record&gt;&lt;rec-number&gt;691&lt;/rec-number&gt;&lt;foreign-keys&gt;&lt;key app="EN" db-id="xa2r2ewea92trkef5dt5arvbzafvpv2za5ft" timestamp="1496417567"&gt;691&lt;/key&gt;&lt;/foreign-keys&gt;&lt;ref-type name="Journal Article"&gt;17&lt;/ref-type&gt;&lt;contributors&gt;&lt;authors&gt;&lt;author&gt;Ellaway, Rachel H&lt;/author&gt;&lt;author&gt;Graves, Lisa&lt;/author&gt;&lt;author&gt;Cummings, Beth</w:instrText>
      </w:r>
      <w:r w:rsidR="008B61BE">
        <w:rPr>
          <w:rFonts w:ascii="Cambria Math" w:hAnsi="Cambria Math" w:cs="Cambria Math"/>
          <w:lang w:val="en-GB"/>
        </w:rPr>
        <w:instrText>‐</w:instrText>
      </w:r>
      <w:r w:rsidR="008B61BE">
        <w:rPr>
          <w:lang w:val="en-GB"/>
        </w:rPr>
        <w:instrText>Ann&lt;/author&gt;&lt;/authors&gt;&lt;/contributors&gt;&lt;titles&gt;&lt;title&gt;Dimensions of integration, continuity and longitudinality in clinical clerkships&lt;/title&gt;&lt;secondary-title&gt;Medical Education&lt;/secondary-title&gt;&lt;/titles&gt;&lt;periodical&gt;&lt;full-title&gt;Medical education&lt;/full-title&gt;&lt;/periodical&gt;&lt;pages&gt;912-921&lt;/pages&gt;&lt;volume&gt;50&lt;/volume&gt;&lt;number&gt;9&lt;/number&gt;&lt;dates&gt;&lt;year&gt;2016&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37" w:tooltip="Ellaway, 2016 #691" w:history="1">
        <w:r w:rsidR="0094469E" w:rsidRPr="003726FE">
          <w:rPr>
            <w:noProof/>
            <w:lang w:val="en-GB"/>
          </w:rPr>
          <w:t>Ellaway et al. 2016</w:t>
        </w:r>
      </w:hyperlink>
      <w:r w:rsidR="004E5A78" w:rsidRPr="003726FE">
        <w:rPr>
          <w:noProof/>
          <w:lang w:val="en-GB"/>
        </w:rPr>
        <w:t>)</w:t>
      </w:r>
      <w:r w:rsidR="00EF281A" w:rsidRPr="003726FE">
        <w:rPr>
          <w:lang w:val="en-GB"/>
        </w:rPr>
        <w:fldChar w:fldCharType="end"/>
      </w:r>
      <w:r w:rsidR="00BF2833" w:rsidRPr="003726FE">
        <w:rPr>
          <w:lang w:val="en-GB"/>
        </w:rPr>
        <w:t xml:space="preserve">. </w:t>
      </w:r>
      <w:r w:rsidR="00725D3C">
        <w:rPr>
          <w:lang w:val="en-GB"/>
        </w:rPr>
        <w:t>They</w:t>
      </w:r>
      <w:r w:rsidR="004F4284" w:rsidRPr="003726FE">
        <w:rPr>
          <w:lang w:val="en-GB"/>
        </w:rPr>
        <w:t xml:space="preserve"> </w:t>
      </w:r>
      <w:r w:rsidR="00BD6AC2" w:rsidRPr="003726FE">
        <w:rPr>
          <w:lang w:val="en-GB"/>
        </w:rPr>
        <w:t xml:space="preserve">consist of rotational blocks of weeks in which learners spend chunked amounts of time at different </w:t>
      </w:r>
      <w:r w:rsidR="00483DED">
        <w:rPr>
          <w:lang w:val="en-GB"/>
        </w:rPr>
        <w:t xml:space="preserve">clinical </w:t>
      </w:r>
      <w:r w:rsidR="00BD6AC2" w:rsidRPr="003726FE">
        <w:rPr>
          <w:lang w:val="en-GB"/>
        </w:rPr>
        <w:t xml:space="preserve">placement providers, ranging from general practice to surgical </w:t>
      </w:r>
      <w:r w:rsidR="00725D3C">
        <w:rPr>
          <w:lang w:val="en-GB"/>
        </w:rPr>
        <w:t>specialities</w:t>
      </w:r>
      <w:r w:rsidR="00B92C43" w:rsidRPr="003726FE">
        <w:rPr>
          <w:lang w:val="en-GB"/>
        </w:rPr>
        <w:t xml:space="preserve"> </w:t>
      </w:r>
      <w:r w:rsidR="009C1827">
        <w:rPr>
          <w:lang w:val="en-GB"/>
        </w:rPr>
        <w:t>that</w:t>
      </w:r>
      <w:r w:rsidR="00B92C43" w:rsidRPr="003726FE">
        <w:rPr>
          <w:lang w:val="en-GB"/>
        </w:rPr>
        <w:t xml:space="preserve"> expose</w:t>
      </w:r>
      <w:r w:rsidR="009C1827">
        <w:rPr>
          <w:lang w:val="en-GB"/>
        </w:rPr>
        <w:t>s</w:t>
      </w:r>
      <w:r w:rsidR="00B92C43" w:rsidRPr="003726FE">
        <w:rPr>
          <w:lang w:val="en-GB"/>
        </w:rPr>
        <w:t xml:space="preserve"> learners to a variety of disciplines and </w:t>
      </w:r>
      <w:r w:rsidR="009C1827">
        <w:rPr>
          <w:lang w:val="en-GB"/>
        </w:rPr>
        <w:t>may</w:t>
      </w:r>
      <w:r w:rsidR="00B92C43" w:rsidRPr="003726FE">
        <w:rPr>
          <w:lang w:val="en-GB"/>
        </w:rPr>
        <w:t xml:space="preserve"> inform their future specialisation choices </w:t>
      </w:r>
      <w:r w:rsidR="00EF281A" w:rsidRPr="003726FE">
        <w:rPr>
          <w:lang w:val="en-GB"/>
        </w:rPr>
        <w:fldChar w:fldCharType="begin"/>
      </w:r>
      <w:r w:rsidR="008B61BE">
        <w:rPr>
          <w:lang w:val="en-GB"/>
        </w:rPr>
        <w:instrText xml:space="preserve"> ADDIN EN.CITE &lt;EndNote&gt;&lt;Cite&gt;&lt;Author&gt;Holmboe&lt;/Author&gt;&lt;Year&gt;2011&lt;/Year&gt;&lt;RecNum&gt;702&lt;/RecNum&gt;&lt;DisplayText&gt;(Holmboe et al. 2011)&lt;/DisplayText&gt;&lt;record&gt;&lt;rec-number&gt;702&lt;/rec-number&gt;&lt;foreign-keys&gt;&lt;key app="EN" db-id="xa2r2ewea92trkef5dt5arvbzafvpv2za5ft" timestamp="1496417568"&gt;702&lt;/key&gt;&lt;/foreign-keys&gt;&lt;ref-type name="Journal Article"&gt;17&lt;/ref-type&gt;&lt;contributors&gt;&lt;authors&gt;&lt;author&gt;Holmboe, Eric&lt;/author&gt;&lt;author&gt;Ginsburg, Shiphra&lt;/author&gt;&lt;author&gt;Bernabeo, Elizabeth&lt;/author&gt;&lt;/authors&gt;&lt;/contributors&gt;&lt;titles&gt;&lt;title&gt;The rotational approach to medical education: time to confront our assumptions?&lt;/title&gt;&lt;secondary-title&gt;Medical education&lt;/secondary-title&gt;&lt;/titles&gt;&lt;periodical&gt;&lt;full-title&gt;Medical education&lt;/full-title&gt;&lt;/periodical&gt;&lt;pages&gt;69-80&lt;/pages&gt;&lt;volume&gt;45&lt;/volume&gt;&lt;number&gt;1&lt;/number&gt;&lt;dates&gt;&lt;year&gt;2011&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92" w:tooltip="Holmboe, 2011 #702" w:history="1">
        <w:r w:rsidR="0094469E" w:rsidRPr="003726FE">
          <w:rPr>
            <w:noProof/>
            <w:lang w:val="en-GB"/>
          </w:rPr>
          <w:t>Holmboe et al. 2011</w:t>
        </w:r>
      </w:hyperlink>
      <w:r w:rsidR="004E5A78" w:rsidRPr="003726FE">
        <w:rPr>
          <w:noProof/>
          <w:lang w:val="en-GB"/>
        </w:rPr>
        <w:t>)</w:t>
      </w:r>
      <w:r w:rsidR="00EF281A" w:rsidRPr="003726FE">
        <w:rPr>
          <w:lang w:val="en-GB"/>
        </w:rPr>
        <w:fldChar w:fldCharType="end"/>
      </w:r>
      <w:r w:rsidR="004F4284" w:rsidRPr="003726FE">
        <w:rPr>
          <w:lang w:val="en-GB"/>
        </w:rPr>
        <w:t xml:space="preserve">. A need for this exposure originated in part from the report by </w:t>
      </w:r>
      <w:hyperlink w:anchor="_ENREF_149" w:tooltip="Flexner, 1912 #703" w:history="1">
        <w:r w:rsidR="0094469E" w:rsidRPr="003726FE">
          <w:rPr>
            <w:lang w:val="en-GB"/>
          </w:rPr>
          <w:fldChar w:fldCharType="begin"/>
        </w:r>
        <w:r w:rsidR="0094469E">
          <w:rPr>
            <w:lang w:val="en-GB"/>
          </w:rPr>
          <w:instrText xml:space="preserve"> ADDIN EN.CITE &lt;EndNote&gt;&lt;Cite AuthorYear="1"&gt;&lt;Author&gt;Flexner&lt;/Author&gt;&lt;Year&gt;1912&lt;/Year&gt;&lt;RecNum&gt;703&lt;/RecNum&gt;&lt;DisplayText&gt;Flexner (1912)&lt;/DisplayText&gt;&lt;record&gt;&lt;rec-number&gt;703&lt;/rec-number&gt;&lt;foreign-keys&gt;&lt;key app="EN" db-id="xa2r2ewea92trkef5dt5arvbzafvpv2za5ft" timestamp="1496417568"&gt;703&lt;/key&gt;&lt;/foreign-keys&gt;&lt;ref-type name="Book"&gt;6&lt;/ref-type&gt;&lt;contributors&gt;&lt;authors&gt;&lt;author&gt;Flexner, Abraham&lt;/author&gt;&lt;/authors&gt;&lt;/contributors&gt;&lt;titles&gt;&lt;title&gt;Medical education in Europe: a report to the Carnegie Foundation for the Advancement of Teaching&lt;/title&gt;&lt;/titles&gt;&lt;number&gt;6&lt;/number&gt;&lt;dates&gt;&lt;year&gt;1912&lt;/year&gt;&lt;/dates&gt;&lt;publisher&gt;Carnegie Foundation for the Advancement of Teaching&lt;/publisher&gt;&lt;urls&gt;&lt;/urls&gt;&lt;/record&gt;&lt;/Cite&gt;&lt;/EndNote&gt;</w:instrText>
        </w:r>
        <w:r w:rsidR="0094469E" w:rsidRPr="003726FE">
          <w:rPr>
            <w:lang w:val="en-GB"/>
          </w:rPr>
          <w:fldChar w:fldCharType="separate"/>
        </w:r>
        <w:r w:rsidR="0094469E" w:rsidRPr="003726FE">
          <w:rPr>
            <w:noProof/>
            <w:lang w:val="en-GB"/>
          </w:rPr>
          <w:t>Flexner (1912)</w:t>
        </w:r>
        <w:r w:rsidR="0094469E" w:rsidRPr="003726FE">
          <w:rPr>
            <w:lang w:val="en-GB"/>
          </w:rPr>
          <w:fldChar w:fldCharType="end"/>
        </w:r>
      </w:hyperlink>
      <w:r w:rsidR="004F4284" w:rsidRPr="003726FE">
        <w:rPr>
          <w:lang w:val="en-GB"/>
        </w:rPr>
        <w:t xml:space="preserve"> </w:t>
      </w:r>
      <w:r w:rsidR="00725D3C">
        <w:rPr>
          <w:lang w:val="en-GB"/>
        </w:rPr>
        <w:t>that</w:t>
      </w:r>
      <w:r w:rsidR="004F4284" w:rsidRPr="003726FE">
        <w:rPr>
          <w:lang w:val="en-GB"/>
        </w:rPr>
        <w:t xml:space="preserve"> generated reform</w:t>
      </w:r>
      <w:r w:rsidR="00603781" w:rsidRPr="003726FE">
        <w:rPr>
          <w:lang w:val="en-GB"/>
        </w:rPr>
        <w:t>s</w:t>
      </w:r>
      <w:r w:rsidR="004F4284" w:rsidRPr="003726FE">
        <w:rPr>
          <w:lang w:val="en-GB"/>
        </w:rPr>
        <w:t xml:space="preserve"> in medical education</w:t>
      </w:r>
      <w:r w:rsidR="009C1827">
        <w:rPr>
          <w:lang w:val="en-GB"/>
        </w:rPr>
        <w:t>. This report eventually led</w:t>
      </w:r>
      <w:r w:rsidR="004F4284" w:rsidRPr="003726FE">
        <w:rPr>
          <w:lang w:val="en-GB"/>
        </w:rPr>
        <w:t xml:space="preserve"> to a focus on expanding and diversifying the amount of clinical workplace experiences in medical training </w:t>
      </w:r>
      <w:r w:rsidR="00EF281A" w:rsidRPr="003726FE">
        <w:rPr>
          <w:lang w:val="en-GB"/>
        </w:rPr>
        <w:fldChar w:fldCharType="begin"/>
      </w:r>
      <w:r w:rsidR="008B61BE">
        <w:rPr>
          <w:lang w:val="en-GB"/>
        </w:rPr>
        <w:instrText xml:space="preserve"> ADDIN EN.CITE &lt;EndNote&gt;&lt;Cite&gt;&lt;Author&gt;Holmboe&lt;/Author&gt;&lt;Year&gt;2011&lt;/Year&gt;&lt;RecNum&gt;702&lt;/RecNum&gt;&lt;DisplayText&gt;(Holmboe et al. 2011)&lt;/DisplayText&gt;&lt;record&gt;&lt;rec-number&gt;702&lt;/rec-number&gt;&lt;foreign-keys&gt;&lt;key app="EN" db-id="xa2r2ewea92trkef5dt5arvbzafvpv2za5ft" timestamp="1496417568"&gt;702&lt;/key&gt;&lt;/foreign-keys&gt;&lt;ref-type name="Journal Article"&gt;17&lt;/ref-type&gt;&lt;contributors&gt;&lt;authors&gt;&lt;author&gt;Holmboe, Eric&lt;/author&gt;&lt;author&gt;Ginsburg, Shiphra&lt;/author&gt;&lt;author&gt;Bernabeo, Elizabeth&lt;/author&gt;&lt;/authors&gt;&lt;/contributors&gt;&lt;titles&gt;&lt;title&gt;The rotational approach to medical education: time to confront our assumptions?&lt;/title&gt;&lt;secondary-title&gt;Medical education&lt;/secondary-title&gt;&lt;/titles&gt;&lt;periodical&gt;&lt;full-title&gt;Medical education&lt;/full-title&gt;&lt;/periodical&gt;&lt;pages&gt;69-80&lt;/pages&gt;&lt;volume&gt;45&lt;/volume&gt;&lt;number&gt;1&lt;/number&gt;&lt;dates&gt;&lt;year&gt;2011&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92" w:tooltip="Holmboe, 2011 #702" w:history="1">
        <w:r w:rsidR="0094469E" w:rsidRPr="003726FE">
          <w:rPr>
            <w:noProof/>
            <w:lang w:val="en-GB"/>
          </w:rPr>
          <w:t>Holmboe et al. 2011</w:t>
        </w:r>
      </w:hyperlink>
      <w:r w:rsidR="004E5A78" w:rsidRPr="003726FE">
        <w:rPr>
          <w:noProof/>
          <w:lang w:val="en-GB"/>
        </w:rPr>
        <w:t>)</w:t>
      </w:r>
      <w:r w:rsidR="00EF281A" w:rsidRPr="003726FE">
        <w:rPr>
          <w:lang w:val="en-GB"/>
        </w:rPr>
        <w:fldChar w:fldCharType="end"/>
      </w:r>
      <w:r w:rsidR="004F4284" w:rsidRPr="003726FE">
        <w:rPr>
          <w:lang w:val="en-GB"/>
        </w:rPr>
        <w:t xml:space="preserve">. </w:t>
      </w:r>
      <w:r w:rsidR="00603781" w:rsidRPr="003726FE">
        <w:rPr>
          <w:lang w:val="en-GB"/>
        </w:rPr>
        <w:t xml:space="preserve">There was and still is a need for increased and varied patient care experiences, </w:t>
      </w:r>
      <w:hyperlink w:anchor="_ENREF_185" w:tooltip="Hauer, 2012 #704" w:history="1">
        <w:r w:rsidR="0094469E" w:rsidRPr="003726FE">
          <w:rPr>
            <w:lang w:val="en-GB"/>
          </w:rPr>
          <w:fldChar w:fldCharType="begin"/>
        </w:r>
        <w:r w:rsidR="0094469E">
          <w:rPr>
            <w:lang w:val="en-GB"/>
          </w:rPr>
          <w:instrText xml:space="preserve"> ADDIN EN.CITE &lt;EndNote&gt;&lt;Cite AuthorYear="1"&gt;&lt;Author&gt;Hauer&lt;/Author&gt;&lt;Year&gt;2012&lt;/Year&gt;&lt;RecNum&gt;704&lt;/RecNum&gt;&lt;Pages&gt;699&lt;/Pages&gt;&lt;DisplayText&gt;Hauer et al. (2012, p. 699)&lt;/DisplayText&gt;&lt;record&gt;&lt;rec-number&gt;704&lt;/rec-number&gt;&lt;foreign-keys&gt;&lt;key app="EN" db-id="xa2r2ewea92trkef5dt5arvbzafvpv2za5ft" timestamp="1496417568"&gt;704&lt;/key&gt;&lt;/foreign-keys&gt;&lt;ref-type name="Journal Article"&gt;17&lt;/ref-type&gt;&lt;contributors&gt;&lt;authors&gt;&lt;author&gt;Hauer, Karen E&lt;/author&gt;&lt;author&gt;Hirsh, David&lt;/author&gt;&lt;author&gt;Ma, Iris&lt;/author&gt;&lt;author&gt;Hansen, Lori&lt;/author&gt;&lt;author&gt;Ogur, Barbara&lt;/author&gt;&lt;author&gt;Poncelet, Ann N&lt;/author&gt;&lt;author&gt;Alexander, Erik K&lt;/author&gt;&lt;author&gt;O’Brien, Bridget C&lt;/author&gt;&lt;/authors&gt;&lt;/contributors&gt;&lt;titles&gt;&lt;title&gt;The role of role: learning in longitudinal integrated and traditional block clerkships&lt;/title&gt;&lt;secondary-title&gt;Medical education&lt;/secondary-title&gt;&lt;/titles&gt;&lt;periodical&gt;&lt;full-title&gt;Medical education&lt;/full-title&gt;&lt;/periodical&gt;&lt;pages&gt;698-710&lt;/pages&gt;&lt;volume&gt;46&lt;/volume&gt;&lt;number&gt;7&lt;/number&gt;&lt;dates&gt;&lt;year&gt;2012&lt;/year&gt;&lt;/dates&gt;&lt;isbn&gt;1365-2923&lt;/isbn&gt;&lt;urls&gt;&lt;/urls&gt;&lt;/record&gt;&lt;/Cite&gt;&lt;/EndNote&gt;</w:instrText>
        </w:r>
        <w:r w:rsidR="0094469E" w:rsidRPr="003726FE">
          <w:rPr>
            <w:lang w:val="en-GB"/>
          </w:rPr>
          <w:fldChar w:fldCharType="separate"/>
        </w:r>
        <w:r w:rsidR="0094469E" w:rsidRPr="003726FE">
          <w:rPr>
            <w:noProof/>
            <w:lang w:val="en-GB"/>
          </w:rPr>
          <w:t>Hauer et al. (2012, p. 699)</w:t>
        </w:r>
        <w:r w:rsidR="0094469E" w:rsidRPr="003726FE">
          <w:rPr>
            <w:lang w:val="en-GB"/>
          </w:rPr>
          <w:fldChar w:fldCharType="end"/>
        </w:r>
      </w:hyperlink>
      <w:r w:rsidR="00CC3ECE" w:rsidRPr="003726FE">
        <w:rPr>
          <w:lang w:val="en-GB"/>
        </w:rPr>
        <w:t xml:space="preserve"> state that</w:t>
      </w:r>
      <w:r w:rsidR="00725D3C">
        <w:rPr>
          <w:lang w:val="en-GB"/>
        </w:rPr>
        <w:t>:</w:t>
      </w:r>
      <w:r w:rsidR="00603781" w:rsidRPr="003726FE">
        <w:rPr>
          <w:lang w:val="en-GB"/>
        </w:rPr>
        <w:t xml:space="preserve"> “medical students need rich opportunities to engage actively in the workplace to learn the practices, norms and values essential for their development into doctors.” </w:t>
      </w:r>
      <w:r w:rsidR="00725D3C">
        <w:rPr>
          <w:lang w:val="en-GB"/>
        </w:rPr>
        <w:t>Students</w:t>
      </w:r>
      <w:r w:rsidR="00603781" w:rsidRPr="003726FE">
        <w:rPr>
          <w:lang w:val="en-GB"/>
        </w:rPr>
        <w:t xml:space="preserve"> are able to learn through authentic participation within these structured workplace environments by developing relationships with doctors and learning about cultural norms, working towards the shared goal of excellent patient care </w:t>
      </w:r>
      <w:r w:rsidR="00603781" w:rsidRPr="003726FE">
        <w:rPr>
          <w:lang w:val="en-GB"/>
        </w:rPr>
        <w:fldChar w:fldCharType="begin">
          <w:fldData xml:space="preserve">PEVuZE5vdGU+PENpdGU+PEF1dGhvcj5CaWxsZXR0PC9BdXRob3I+PFllYXI+MjAwMDwvWWVhcj48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</w:fldData>
        </w:fldChar>
      </w:r>
      <w:r w:rsidR="008B61BE">
        <w:rPr>
          <w:lang w:val="en-GB"/>
        </w:rPr>
        <w:instrText xml:space="preserve"> ADDIN EN.CITE </w:instrText>
      </w:r>
      <w:r w:rsidR="008B61BE">
        <w:rPr>
          <w:lang w:val="en-GB"/>
        </w:rPr>
        <w:fldChar w:fldCharType="begin">
          <w:fldData xml:space="preserve">PEVuZE5vdGU+PENpdGU+PEF1dGhvcj5CaWxsZXR0PC9BdXRob3I+PFllYXI+MjAwMDwvWWVhcj48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</w:fldData>
        </w:fldChar>
      </w:r>
      <w:r w:rsidR="008B61BE">
        <w:rPr>
          <w:lang w:val="en-GB"/>
        </w:rPr>
        <w:instrText xml:space="preserve"> ADDIN EN.CITE.DATA </w:instrText>
      </w:r>
      <w:r w:rsidR="008B61BE">
        <w:rPr>
          <w:lang w:val="en-GB"/>
        </w:rPr>
      </w:r>
      <w:r w:rsidR="008B61BE">
        <w:rPr>
          <w:lang w:val="en-GB"/>
        </w:rPr>
        <w:fldChar w:fldCharType="end"/>
      </w:r>
      <w:r w:rsidR="00603781" w:rsidRPr="003726FE">
        <w:rPr>
          <w:lang w:val="en-GB"/>
        </w:rPr>
      </w:r>
      <w:r w:rsidR="00603781" w:rsidRPr="003726FE">
        <w:rPr>
          <w:lang w:val="en-GB"/>
        </w:rPr>
        <w:fldChar w:fldCharType="separate"/>
      </w:r>
      <w:r w:rsidR="004E5A78" w:rsidRPr="003726FE">
        <w:rPr>
          <w:noProof/>
          <w:lang w:val="en-GB"/>
        </w:rPr>
        <w:t>(</w:t>
      </w:r>
      <w:hyperlink w:anchor="_ENREF_31" w:tooltip="Billett, 2000 #706" w:history="1">
        <w:r w:rsidR="0094469E" w:rsidRPr="003726FE">
          <w:rPr>
            <w:noProof/>
            <w:lang w:val="en-GB"/>
          </w:rPr>
          <w:t>Billett 2000</w:t>
        </w:r>
      </w:hyperlink>
      <w:r w:rsidR="004E5A78" w:rsidRPr="003726FE">
        <w:rPr>
          <w:noProof/>
          <w:lang w:val="en-GB"/>
        </w:rPr>
        <w:t xml:space="preserve">; </w:t>
      </w:r>
      <w:hyperlink w:anchor="_ENREF_35" w:tooltip="Bleakley, 2006 #707" w:history="1">
        <w:r w:rsidR="0094469E" w:rsidRPr="003726FE">
          <w:rPr>
            <w:noProof/>
            <w:lang w:val="en-GB"/>
          </w:rPr>
          <w:t>Bleakley 2006</w:t>
        </w:r>
      </w:hyperlink>
      <w:r w:rsidR="004E5A78" w:rsidRPr="003726FE">
        <w:rPr>
          <w:noProof/>
          <w:lang w:val="en-GB"/>
        </w:rPr>
        <w:t xml:space="preserve">; </w:t>
      </w:r>
      <w:hyperlink w:anchor="_ENREF_127" w:tooltip="Dornan, 2007 #705" w:history="1">
        <w:r w:rsidR="0094469E" w:rsidRPr="003726FE">
          <w:rPr>
            <w:noProof/>
            <w:lang w:val="en-GB"/>
          </w:rPr>
          <w:t>Dornan et al. 2007</w:t>
        </w:r>
      </w:hyperlink>
      <w:r w:rsidR="004E5A78" w:rsidRPr="003726FE">
        <w:rPr>
          <w:noProof/>
          <w:lang w:val="en-GB"/>
        </w:rPr>
        <w:t>)</w:t>
      </w:r>
      <w:r w:rsidR="00603781" w:rsidRPr="003726FE">
        <w:rPr>
          <w:lang w:val="en-GB"/>
        </w:rPr>
        <w:fldChar w:fldCharType="end"/>
      </w:r>
      <w:r w:rsidR="00603781" w:rsidRPr="003726FE">
        <w:rPr>
          <w:lang w:val="en-GB"/>
        </w:rPr>
        <w:t>.</w:t>
      </w:r>
    </w:p>
    <w:p w14:paraId="48A2531B" w14:textId="77777777" w:rsidR="00923F89" w:rsidRPr="003726FE" w:rsidRDefault="00923F89" w:rsidP="00026049">
      <w:pPr>
        <w:pStyle w:val="Normal1"/>
        <w:rPr>
          <w:lang w:val="en-GB"/>
        </w:rPr>
      </w:pPr>
    </w:p>
    <w:p w14:paraId="63B05FAD" w14:textId="0B60A14E" w:rsidR="005D7505" w:rsidRPr="003726FE" w:rsidRDefault="00CC3ECE" w:rsidP="00026049">
      <w:pPr>
        <w:pStyle w:val="Normal1"/>
        <w:rPr>
          <w:lang w:val="en-GB"/>
        </w:rPr>
      </w:pPr>
      <w:r w:rsidRPr="003726FE">
        <w:rPr>
          <w:lang w:val="en-GB"/>
        </w:rPr>
        <w:t>T</w:t>
      </w:r>
      <w:r w:rsidR="00141E56" w:rsidRPr="003726FE">
        <w:rPr>
          <w:lang w:val="en-GB"/>
        </w:rPr>
        <w:t xml:space="preserve">eaching from supervisors has </w:t>
      </w:r>
      <w:r w:rsidR="0013214E">
        <w:rPr>
          <w:lang w:val="en-GB"/>
        </w:rPr>
        <w:t xml:space="preserve">a </w:t>
      </w:r>
      <w:r w:rsidR="00141E56" w:rsidRPr="003726FE">
        <w:rPr>
          <w:lang w:val="en-GB"/>
        </w:rPr>
        <w:t xml:space="preserve">significant impact in clinical environments no matter what </w:t>
      </w:r>
      <w:r w:rsidR="00483DED">
        <w:rPr>
          <w:lang w:val="en-GB"/>
        </w:rPr>
        <w:t xml:space="preserve">clinical </w:t>
      </w:r>
      <w:r w:rsidR="00141E56" w:rsidRPr="003726FE">
        <w:rPr>
          <w:lang w:val="en-GB"/>
        </w:rPr>
        <w:t>pl</w:t>
      </w:r>
      <w:r w:rsidR="00341B7E">
        <w:rPr>
          <w:lang w:val="en-GB"/>
        </w:rPr>
        <w:t>acement model the learner is in.</w:t>
      </w:r>
      <w:r w:rsidR="00141E56" w:rsidRPr="003726FE">
        <w:rPr>
          <w:lang w:val="en-GB"/>
        </w:rPr>
        <w:t xml:space="preserve"> </w:t>
      </w:r>
      <w:r w:rsidR="00341B7E">
        <w:rPr>
          <w:lang w:val="en-GB"/>
        </w:rPr>
        <w:t>S</w:t>
      </w:r>
      <w:r w:rsidR="00141E56" w:rsidRPr="003726FE">
        <w:rPr>
          <w:lang w:val="en-GB"/>
        </w:rPr>
        <w:t xml:space="preserve">upervision needs to be continuous over extended periods of time leading to the development of mutually beneficial relationships </w:t>
      </w:r>
      <w:r w:rsidR="00725D3C">
        <w:rPr>
          <w:lang w:val="en-GB"/>
        </w:rPr>
        <w:t>that</w:t>
      </w:r>
      <w:r w:rsidR="00141E56" w:rsidRPr="003726FE">
        <w:rPr>
          <w:lang w:val="en-GB"/>
        </w:rPr>
        <w:t xml:space="preserve"> can be difficult to achieve in TPMs </w:t>
      </w:r>
      <w:r w:rsidR="00141E56" w:rsidRPr="003726FE">
        <w:rPr>
          <w:lang w:val="en-GB"/>
        </w:rPr>
        <w:fldChar w:fldCharType="begin">
          <w:fldData xml:space="preserve">PEVuZE5vdGU+PENpdGU+PEF1dGhvcj5XaWxrZXJzb248L0F1dGhvcj48WWVhcj4xOTk4PC9ZZWFy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</w:fldData>
        </w:fldChar>
      </w:r>
      <w:r w:rsidR="008B61BE">
        <w:rPr>
          <w:lang w:val="en-GB"/>
        </w:rPr>
        <w:instrText xml:space="preserve"> ADDIN EN.CITE </w:instrText>
      </w:r>
      <w:r w:rsidR="008B61BE">
        <w:rPr>
          <w:lang w:val="en-GB"/>
        </w:rPr>
        <w:fldChar w:fldCharType="begin">
          <w:fldData xml:space="preserve">PEVuZE5vdGU+PENpdGU+PEF1dGhvcj5XaWxrZXJzb248L0F1dGhvcj48WWVhcj4xOTk4PC9ZZWFy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141E56" w:rsidRPr="003726FE">
        <w:rPr>
          <w:lang w:val="en-GB"/>
        </w:rPr>
      </w:r>
      <w:r w:rsidR="00141E56" w:rsidRPr="003726FE">
        <w:rPr>
          <w:lang w:val="en-GB"/>
        </w:rPr>
        <w:fldChar w:fldCharType="separate"/>
      </w:r>
      <w:r w:rsidR="004E5A78" w:rsidRPr="003726FE">
        <w:rPr>
          <w:noProof/>
          <w:lang w:val="en-GB"/>
        </w:rPr>
        <w:t>(</w:t>
      </w:r>
      <w:hyperlink w:anchor="_ENREF_438" w:tooltip="Wilkerson, 1998 #696" w:history="1">
        <w:r w:rsidR="0094469E" w:rsidRPr="003726FE">
          <w:rPr>
            <w:noProof/>
            <w:lang w:val="en-GB"/>
          </w:rPr>
          <w:t>Wilkerson and Irby 1998</w:t>
        </w:r>
      </w:hyperlink>
      <w:r w:rsidR="004E5A78" w:rsidRPr="003726FE">
        <w:rPr>
          <w:noProof/>
          <w:lang w:val="en-GB"/>
        </w:rPr>
        <w:t xml:space="preserve">; </w:t>
      </w:r>
      <w:hyperlink w:anchor="_ENREF_4" w:tooltip="Archer, 2010 #697" w:history="1">
        <w:r w:rsidR="0094469E" w:rsidRPr="003726FE">
          <w:rPr>
            <w:noProof/>
            <w:lang w:val="en-GB"/>
          </w:rPr>
          <w:t>Archer 2010</w:t>
        </w:r>
      </w:hyperlink>
      <w:r w:rsidR="004E5A78" w:rsidRPr="003726FE">
        <w:rPr>
          <w:noProof/>
          <w:lang w:val="en-GB"/>
        </w:rPr>
        <w:t xml:space="preserve">; </w:t>
      </w:r>
      <w:hyperlink w:anchor="_ENREF_383" w:tooltip="Shahi, 2015 #695" w:history="1">
        <w:r w:rsidR="0094469E" w:rsidRPr="003726FE">
          <w:rPr>
            <w:noProof/>
            <w:lang w:val="en-GB"/>
          </w:rPr>
          <w:t>Shahi et al. 2015</w:t>
        </w:r>
      </w:hyperlink>
      <w:r w:rsidR="004E5A78" w:rsidRPr="003726FE">
        <w:rPr>
          <w:noProof/>
          <w:lang w:val="en-GB"/>
        </w:rPr>
        <w:t>)</w:t>
      </w:r>
      <w:r w:rsidR="00141E56" w:rsidRPr="003726FE">
        <w:rPr>
          <w:lang w:val="en-GB"/>
        </w:rPr>
        <w:fldChar w:fldCharType="end"/>
      </w:r>
      <w:r w:rsidR="00141E56" w:rsidRPr="003726FE">
        <w:rPr>
          <w:lang w:val="en-GB"/>
        </w:rPr>
        <w:t>.</w:t>
      </w:r>
      <w:r w:rsidR="00923F89" w:rsidRPr="003726FE">
        <w:rPr>
          <w:lang w:val="en-GB"/>
        </w:rPr>
        <w:t xml:space="preserve"> </w:t>
      </w:r>
      <w:r w:rsidR="00E236F6" w:rsidRPr="003726FE">
        <w:rPr>
          <w:lang w:val="en-GB"/>
        </w:rPr>
        <w:t xml:space="preserve">As a potential result, </w:t>
      </w:r>
      <w:r w:rsidR="009C1827">
        <w:rPr>
          <w:lang w:val="en-GB"/>
        </w:rPr>
        <w:t>assessments of learners’ performance whilst on clinical placements</w:t>
      </w:r>
      <w:r w:rsidR="00E236F6" w:rsidRPr="003726FE">
        <w:rPr>
          <w:lang w:val="en-GB"/>
        </w:rPr>
        <w:t xml:space="preserve"> could be completed by doctors who have not personally observed the students </w:t>
      </w:r>
      <w:r w:rsidR="009C1827">
        <w:rPr>
          <w:lang w:val="en-GB"/>
        </w:rPr>
        <w:t>undertaking</w:t>
      </w:r>
      <w:r w:rsidR="00E236F6" w:rsidRPr="003726FE">
        <w:rPr>
          <w:lang w:val="en-GB"/>
        </w:rPr>
        <w:t xml:space="preserve"> clinical skills or know little about them having not sufficiently developed a relationship </w:t>
      </w:r>
      <w:r w:rsidR="00EF281A" w:rsidRPr="003726FE">
        <w:rPr>
          <w:lang w:val="en-GB"/>
        </w:rPr>
        <w:fldChar w:fldCharType="begin"/>
      </w:r>
      <w:r w:rsidR="008E7D00">
        <w:rPr>
          <w:lang w:val="en-GB"/>
        </w:rPr>
        <w:instrText xml:space="preserve"> ADDIN EN.CITE &lt;EndNote&gt;&lt;Cite&gt;&lt;Author&gt;Mclaughlin&lt;/Author&gt;&lt;Year&gt;2009&lt;/Year&gt;&lt;RecNum&gt;698&lt;/RecNum&gt;&lt;DisplayText&gt;(McLaughlin et al. 2009)&lt;/DisplayText&gt;&lt;record&gt;&lt;rec-number&gt;698&lt;/rec-number&gt;&lt;foreign-keys&gt;&lt;key app="EN" db-id="xa2r2ewea92trkef5dt5arvbzafvpv2za5ft" timestamp="1496417568"&gt;698&lt;/key&gt;&lt;/foreign-keys&gt;&lt;ref-type name="Journal Article"&gt;17&lt;/ref-type&gt;&lt;contributors&gt;&lt;authors&gt;&lt;author&gt;McLaughlin, Kevin&lt;/author&gt;&lt;author&gt;Vitale, George&lt;/author&gt;&lt;author&gt;Coderre, Sylvain&lt;/author&gt;&lt;author&gt;Violato, Claudio&lt;/author&gt;&lt;author&gt;Wright, Bruce&lt;/author&gt;&lt;/authors&gt;&lt;/contributors&gt;&lt;titles&gt;&lt;title&gt;Clerkship evaluation–what are we measuring?&lt;/title&gt;&lt;secondary-title&gt;Medical teacher&lt;/secondary-title&gt;&lt;/titles&gt;&lt;periodical&gt;&lt;full-title&gt;Medical teacher&lt;/full-title&gt;&lt;/periodical&gt;&lt;pages&gt;36-39&lt;/pages&gt;&lt;volume&gt;31&lt;/volume&gt;&lt;number&gt;2&lt;/number&gt;&lt;dates&gt;&lt;year&gt;2009&lt;/year&gt;&lt;/dates&gt;&lt;isbn&gt;0142-159X&lt;/isbn&gt;&lt;urls&gt;&lt;/urls&gt;&lt;/record&gt;&lt;/Cite&gt;&lt;/EndNote&gt;</w:instrText>
      </w:r>
      <w:r w:rsidR="00EF281A" w:rsidRPr="003726FE">
        <w:rPr>
          <w:lang w:val="en-GB"/>
        </w:rPr>
        <w:fldChar w:fldCharType="separate"/>
      </w:r>
      <w:r w:rsidR="008E7D00">
        <w:rPr>
          <w:noProof/>
          <w:lang w:val="en-GB"/>
        </w:rPr>
        <w:t>(</w:t>
      </w:r>
      <w:hyperlink w:anchor="_ENREF_268" w:tooltip="McLaughlin, 2009 #698" w:history="1">
        <w:r w:rsidR="0094469E">
          <w:rPr>
            <w:noProof/>
            <w:lang w:val="en-GB"/>
          </w:rPr>
          <w:t>McLaughlin et al. 2009</w:t>
        </w:r>
      </w:hyperlink>
      <w:r w:rsidR="008E7D00">
        <w:rPr>
          <w:noProof/>
          <w:lang w:val="en-GB"/>
        </w:rPr>
        <w:t>)</w:t>
      </w:r>
      <w:r w:rsidR="00EF281A" w:rsidRPr="003726FE">
        <w:rPr>
          <w:lang w:val="en-GB"/>
        </w:rPr>
        <w:fldChar w:fldCharType="end"/>
      </w:r>
      <w:r w:rsidR="00E236F6" w:rsidRPr="003726FE">
        <w:rPr>
          <w:lang w:val="en-GB"/>
        </w:rPr>
        <w:t xml:space="preserve">. </w:t>
      </w:r>
      <w:r w:rsidR="005E07D3" w:rsidRPr="003726FE">
        <w:rPr>
          <w:lang w:val="en-GB"/>
        </w:rPr>
        <w:t xml:space="preserve">In these instances, feedback may not accurately reflect </w:t>
      </w:r>
      <w:r w:rsidR="009C1827">
        <w:rPr>
          <w:lang w:val="en-GB"/>
        </w:rPr>
        <w:t>individual learning</w:t>
      </w:r>
      <w:r w:rsidR="005E07D3" w:rsidRPr="003726FE">
        <w:rPr>
          <w:lang w:val="en-GB"/>
        </w:rPr>
        <w:t xml:space="preserve"> needs of the students</w:t>
      </w:r>
      <w:r w:rsidR="0013214E">
        <w:rPr>
          <w:lang w:val="en-GB"/>
        </w:rPr>
        <w:t>,</w:t>
      </w:r>
      <w:r w:rsidR="005E07D3" w:rsidRPr="003726FE">
        <w:rPr>
          <w:lang w:val="en-GB"/>
        </w:rPr>
        <w:t xml:space="preserve"> leading to maladaptive performance changes or </w:t>
      </w:r>
      <w:r w:rsidR="0013214E">
        <w:rPr>
          <w:lang w:val="en-GB"/>
        </w:rPr>
        <w:t xml:space="preserve">their </w:t>
      </w:r>
      <w:r w:rsidRPr="003726FE">
        <w:rPr>
          <w:lang w:val="en-GB"/>
        </w:rPr>
        <w:t>rejection of the feedback</w:t>
      </w:r>
      <w:r w:rsidR="005E07D3" w:rsidRPr="003726FE">
        <w:rPr>
          <w:lang w:val="en-GB"/>
        </w:rPr>
        <w:t xml:space="preserve"> </w:t>
      </w:r>
      <w:r w:rsidR="005E07D3" w:rsidRPr="003726FE">
        <w:rPr>
          <w:lang w:val="en-GB"/>
        </w:rPr>
        <w:fldChar w:fldCharType="begin"/>
      </w:r>
      <w:r w:rsidR="008B61BE">
        <w:rPr>
          <w:lang w:val="en-GB"/>
        </w:rPr>
        <w:instrText xml:space="preserve"> ADDIN EN.CITE &lt;EndNote&gt;&lt;Cite&gt;&lt;Author&gt;De Cremer&lt;/Author&gt;&lt;Year&gt;2005&lt;/Year&gt;&lt;RecNum&gt;699&lt;/RecNum&gt;&lt;DisplayText&gt;(Barclay et al. 2005; De Cremer et al. 2005)&lt;/DisplayText&gt;&lt;record&gt;&lt;rec-number&gt;699&lt;/rec-number&gt;&lt;foreign-keys&gt;&lt;key app="EN" db-id="xa2r2ewea92trkef5dt5arvbzafvpv2za5ft" timestamp="1496417568"&gt;699&lt;/key&gt;&lt;/foreign-keys&gt;&lt;ref-type name="Journal Article"&gt;17&lt;/ref-type&gt;&lt;contributors&gt;&lt;authors&gt;&lt;author&gt;De Cremer, David&lt;/author&gt;&lt;author&gt;Van Knippenberg, Barbara&lt;/author&gt;&lt;author&gt;Van Knippenberg, Daan&lt;/author&gt;&lt;author&gt;Mullenders, Danny&lt;/author&gt;&lt;author&gt;Stinglhamber, Florence&lt;/author&gt;&lt;/authors&gt;&lt;/contributors&gt;&lt;titles&gt;&lt;title&gt;Rewarding leadership and fair procedures as determinants of self-esteem&lt;/title&gt;&lt;secondary-title&gt;Journal of Applied Psychology&lt;/secondary-title&gt;&lt;/titles&gt;&lt;periodical&gt;&lt;full-title&gt;Journal of Applied Psychology&lt;/full-title&gt;&lt;/periodical&gt;&lt;pages&gt;3&lt;/pages&gt;&lt;volume&gt;90&lt;/volume&gt;&lt;number&gt;1&lt;/number&gt;&lt;dates&gt;&lt;year&gt;2005&lt;/year&gt;&lt;/dates&gt;&lt;isbn&gt;1939-1854&lt;/isbn&gt;&lt;urls&gt;&lt;/urls&gt;&lt;/record&gt;&lt;/Cite&gt;&lt;Cite&gt;&lt;Author&gt;Barclay&lt;/Author&gt;&lt;Year&gt;2005&lt;/Year&gt;&lt;RecNum&gt;700&lt;/RecNum&gt;&lt;record&gt;&lt;rec-number&gt;700&lt;/rec-number&gt;&lt;foreign-keys&gt;&lt;key app="EN" db-id="xa2r2ewea92trkef5dt5arvbzafvpv2za5ft" timestamp="1496417568"&gt;700&lt;/key&gt;&lt;/foreign-keys&gt;&lt;ref-type name="Journal Article"&gt;17&lt;/ref-type&gt;&lt;contributors&gt;&lt;authors&gt;&lt;author&gt;Barclay, Laurie J&lt;/author&gt;&lt;author&gt;Skarlicki, Daniel P&lt;/author&gt;&lt;author&gt;Pugh, S Douglas&lt;/author&gt;&lt;/authors&gt;&lt;/contributors&gt;&lt;titles&gt;&lt;title&gt;Exploring the role of emotions in injustice perceptions and retaliation&lt;/title&gt;&lt;secondary-title&gt;Journal of Applied Psychology&lt;/secondary-title&gt;&lt;/titles&gt;&lt;periodical&gt;&lt;full-title&gt;Journal of Applied Psychology&lt;/full-title&gt;&lt;/periodical&gt;&lt;pages&gt;629&lt;/pages&gt;&lt;volume&gt;90&lt;/volume&gt;&lt;number&gt;4&lt;/number&gt;&lt;dates&gt;&lt;year&gt;2005&lt;/year&gt;&lt;/dates&gt;&lt;isbn&gt;1939-1854&lt;/isbn&gt;&lt;urls&gt;&lt;/urls&gt;&lt;/record&gt;&lt;/Cite&gt;&lt;/EndNote&gt;</w:instrText>
      </w:r>
      <w:r w:rsidR="005E07D3" w:rsidRPr="003726FE">
        <w:rPr>
          <w:lang w:val="en-GB"/>
        </w:rPr>
        <w:fldChar w:fldCharType="separate"/>
      </w:r>
      <w:r w:rsidR="004E5A78" w:rsidRPr="003726FE">
        <w:rPr>
          <w:noProof/>
          <w:lang w:val="en-GB"/>
        </w:rPr>
        <w:t>(</w:t>
      </w:r>
      <w:hyperlink w:anchor="_ENREF_22" w:tooltip="Barclay, 2005 #700" w:history="1">
        <w:r w:rsidR="0094469E" w:rsidRPr="003726FE">
          <w:rPr>
            <w:noProof/>
            <w:lang w:val="en-GB"/>
          </w:rPr>
          <w:t>Barclay et al. 2005</w:t>
        </w:r>
      </w:hyperlink>
      <w:r w:rsidR="004E5A78" w:rsidRPr="003726FE">
        <w:rPr>
          <w:noProof/>
          <w:lang w:val="en-GB"/>
        </w:rPr>
        <w:t xml:space="preserve">; </w:t>
      </w:r>
      <w:hyperlink w:anchor="_ENREF_113" w:tooltip="De Cremer, 2005 #699" w:history="1">
        <w:r w:rsidR="0094469E" w:rsidRPr="003726FE">
          <w:rPr>
            <w:noProof/>
            <w:lang w:val="en-GB"/>
          </w:rPr>
          <w:t>De Cremer et al. 2005</w:t>
        </w:r>
      </w:hyperlink>
      <w:r w:rsidR="004E5A78" w:rsidRPr="003726FE">
        <w:rPr>
          <w:noProof/>
          <w:lang w:val="en-GB"/>
        </w:rPr>
        <w:t>)</w:t>
      </w:r>
      <w:r w:rsidR="005E07D3" w:rsidRPr="003726FE">
        <w:rPr>
          <w:lang w:val="en-GB"/>
        </w:rPr>
        <w:fldChar w:fldCharType="end"/>
      </w:r>
      <w:r w:rsidR="005E07D3" w:rsidRPr="003726FE">
        <w:rPr>
          <w:lang w:val="en-GB"/>
        </w:rPr>
        <w:t xml:space="preserve">. </w:t>
      </w:r>
      <w:hyperlink w:anchor="_ENREF_262" w:tooltip="Mazotti, 2011 #701" w:history="1">
        <w:r w:rsidR="0094469E" w:rsidRPr="003726FE">
          <w:rPr>
            <w:lang w:val="en-GB"/>
          </w:rPr>
          <w:fldChar w:fldCharType="begin"/>
        </w:r>
        <w:r w:rsidR="0094469E">
          <w:rPr>
            <w:lang w:val="en-GB"/>
          </w:rPr>
          <w:instrText xml:space="preserve"> ADDIN EN.CITE &lt;EndNote&gt;&lt;Cite AuthorYear="1"&gt;&lt;Author&gt;Mazotti&lt;/Author&gt;&lt;Year&gt;2011&lt;/Year&gt;&lt;RecNum&gt;701&lt;/RecNum&gt;&lt;DisplayText&gt;Mazotti et al. (2011)&lt;/DisplayText&gt;&lt;record&gt;&lt;rec-number&gt;701&lt;/rec-number&gt;&lt;foreign-keys&gt;&lt;key app="EN" db-id="xa2r2ewea92trkef5dt5arvbzafvpv2za5ft" timestamp="1496417568"&gt;701&lt;/key&gt;&lt;/foreign-keys&gt;&lt;ref-type name="Journal Article"&gt;17&lt;/ref-type&gt;&lt;contributors&gt;&lt;authors&gt;&lt;author&gt;Mazotti, Lindsay&lt;/author&gt;&lt;author&gt;O’Brien, Bridget&lt;/author&gt;&lt;author&gt;Tong, Lowell&lt;/author&gt;&lt;author&gt;Hauer, Karen E&lt;/author&gt;&lt;/authors&gt;&lt;/contributors&gt;&lt;titles&gt;&lt;title&gt;Perceptions of evaluation in longitudinal versus traditional clerkships&lt;/title&gt;&lt;secondary-title&gt;Medical education&lt;/secondary-title&gt;&lt;/titles&gt;&lt;periodical&gt;&lt;full-title&gt;Medical education&lt;/full-title&gt;&lt;/periodical&gt;&lt;pages&gt;464-470&lt;/pages&gt;&lt;volume&gt;45&lt;/volume&gt;&lt;number&gt;5&lt;/number&gt;&lt;dates&gt;&lt;year&gt;2011&lt;/year&gt;&lt;/dates&gt;&lt;isbn&gt;1365-2923&lt;/isbn&gt;&lt;urls&gt;&lt;/urls&gt;&lt;/record&gt;&lt;/Cite&gt;&lt;/EndNote&gt;</w:instrText>
        </w:r>
        <w:r w:rsidR="0094469E" w:rsidRPr="003726FE">
          <w:rPr>
            <w:lang w:val="en-GB"/>
          </w:rPr>
          <w:fldChar w:fldCharType="separate"/>
        </w:r>
        <w:r w:rsidR="0094469E" w:rsidRPr="003726FE">
          <w:rPr>
            <w:noProof/>
            <w:lang w:val="en-GB"/>
          </w:rPr>
          <w:t>Mazotti et al. (2011)</w:t>
        </w:r>
        <w:r w:rsidR="0094469E" w:rsidRPr="003726FE">
          <w:rPr>
            <w:lang w:val="en-GB"/>
          </w:rPr>
          <w:fldChar w:fldCharType="end"/>
        </w:r>
      </w:hyperlink>
      <w:r w:rsidR="00321E0E" w:rsidRPr="003726FE">
        <w:rPr>
          <w:lang w:val="en-GB"/>
        </w:rPr>
        <w:t xml:space="preserve"> compared learners perceptions of evaluations on TPMs and </w:t>
      </w:r>
      <w:r w:rsidR="00D7663D" w:rsidRPr="003726FE">
        <w:rPr>
          <w:lang w:val="en-GB"/>
        </w:rPr>
        <w:t>longer placements</w:t>
      </w:r>
      <w:r w:rsidR="00321E0E" w:rsidRPr="003726FE">
        <w:rPr>
          <w:lang w:val="en-GB"/>
        </w:rPr>
        <w:t xml:space="preserve"> using surveys, they found that learners on TPMs perceived evaluations less favourably than their colleagues on </w:t>
      </w:r>
      <w:r w:rsidR="00BF2833" w:rsidRPr="003726FE">
        <w:rPr>
          <w:lang w:val="en-GB"/>
        </w:rPr>
        <w:t>longer placement</w:t>
      </w:r>
      <w:r w:rsidR="00321E0E" w:rsidRPr="003726FE">
        <w:rPr>
          <w:lang w:val="en-GB"/>
        </w:rPr>
        <w:t>s.</w:t>
      </w:r>
      <w:r w:rsidRPr="003726FE">
        <w:rPr>
          <w:lang w:val="en-GB"/>
        </w:rPr>
        <w:t xml:space="preserve"> These issues may spill-over into how students deal with the transition into clinical settings at this early stage.</w:t>
      </w:r>
    </w:p>
    <w:p w14:paraId="3A535323" w14:textId="77777777" w:rsidR="004A447E" w:rsidRPr="003726FE" w:rsidRDefault="004A447E" w:rsidP="00026049">
      <w:pPr>
        <w:pStyle w:val="Normal1"/>
        <w:rPr>
          <w:lang w:val="en-GB"/>
        </w:rPr>
      </w:pPr>
    </w:p>
    <w:p w14:paraId="3155AF81" w14:textId="06C01FC7" w:rsidR="00F537BB" w:rsidRPr="003726FE" w:rsidRDefault="00F537BB" w:rsidP="00F537BB">
      <w:pPr>
        <w:pStyle w:val="Heading3"/>
      </w:pPr>
      <w:bookmarkStart w:id="138" w:name="_Toc500319325"/>
      <w:r w:rsidRPr="003726FE">
        <w:t>A</w:t>
      </w:r>
      <w:r>
        <w:t>1</w:t>
      </w:r>
      <w:r w:rsidRPr="003726FE">
        <w:t>.</w:t>
      </w:r>
      <w:r>
        <w:t>3.3</w:t>
      </w:r>
      <w:r w:rsidRPr="003726FE">
        <w:t xml:space="preserve"> Curricular Context of this </w:t>
      </w:r>
      <w:r w:rsidR="00725D3C">
        <w:t>S</w:t>
      </w:r>
      <w:r w:rsidRPr="003726FE">
        <w:t>tudy</w:t>
      </w:r>
      <w:bookmarkEnd w:id="138"/>
    </w:p>
    <w:p w14:paraId="3F3AB9D6" w14:textId="77777777" w:rsidR="00F537BB" w:rsidRPr="003726FE" w:rsidRDefault="00F537BB" w:rsidP="00F537BB">
      <w:pPr>
        <w:pStyle w:val="Normal1"/>
        <w:rPr>
          <w:lang w:val="en-GB"/>
        </w:rPr>
      </w:pPr>
    </w:p>
    <w:p w14:paraId="4AF815A4" w14:textId="03547C96" w:rsidR="00F537BB" w:rsidRPr="003726FE" w:rsidRDefault="00F537BB" w:rsidP="00F537BB">
      <w:pPr>
        <w:pStyle w:val="Normal1"/>
        <w:rPr>
          <w:lang w:val="en-GB"/>
        </w:rPr>
      </w:pPr>
      <w:r w:rsidRPr="003726FE">
        <w:rPr>
          <w:lang w:val="en-GB"/>
        </w:rPr>
        <w:t>This study took place at The University of Sheffield (a UK medical school)</w:t>
      </w:r>
      <w:r>
        <w:rPr>
          <w:lang w:val="en-GB"/>
        </w:rPr>
        <w:t xml:space="preserve"> and studied a</w:t>
      </w:r>
      <w:r w:rsidRPr="003726FE">
        <w:rPr>
          <w:lang w:val="en-GB"/>
        </w:rPr>
        <w:t xml:space="preserve"> target sample of 237 students over a 12 month period which spanned across two of their academic years (November 2015 – November 2016). Students were typically admitted into the medical school immediately following their </w:t>
      </w:r>
      <w:r>
        <w:rPr>
          <w:lang w:val="en-GB"/>
        </w:rPr>
        <w:t>secondary</w:t>
      </w:r>
      <w:r w:rsidRPr="003726FE">
        <w:rPr>
          <w:lang w:val="en-GB"/>
        </w:rPr>
        <w:t xml:space="preserve">-school education with around 7% having completed prior qualifications at university level. Of this cohort, some </w:t>
      </w:r>
      <w:r>
        <w:rPr>
          <w:lang w:val="en-GB"/>
        </w:rPr>
        <w:t>were</w:t>
      </w:r>
      <w:r w:rsidRPr="003726FE">
        <w:rPr>
          <w:lang w:val="en-GB"/>
        </w:rPr>
        <w:t xml:space="preserve"> from widening participation backgrounds (5%) and </w:t>
      </w:r>
      <w:r>
        <w:rPr>
          <w:lang w:val="en-GB"/>
        </w:rPr>
        <w:t xml:space="preserve">of </w:t>
      </w:r>
      <w:r w:rsidRPr="003726FE">
        <w:rPr>
          <w:lang w:val="en-GB"/>
        </w:rPr>
        <w:t>international status (</w:t>
      </w:r>
      <w:r w:rsidR="009C1827">
        <w:rPr>
          <w:lang w:val="en-GB"/>
        </w:rPr>
        <w:t>7</w:t>
      </w:r>
      <w:r w:rsidRPr="003726FE">
        <w:rPr>
          <w:lang w:val="en-GB"/>
        </w:rPr>
        <w:t>%). This cohort was found to be representative of the general characteristics of previous cohorts at the medical school. More detailed participant characteristics in relation to each part of this study are detailed in Chapter B2 and C2.</w:t>
      </w:r>
    </w:p>
    <w:p w14:paraId="2A6318AF" w14:textId="77777777" w:rsidR="00F537BB" w:rsidRPr="003726FE" w:rsidRDefault="00F537BB" w:rsidP="00F537BB">
      <w:pPr>
        <w:pStyle w:val="Normal1"/>
        <w:rPr>
          <w:lang w:val="en-GB"/>
        </w:rPr>
      </w:pPr>
    </w:p>
    <w:p w14:paraId="36B6BED4" w14:textId="77777777" w:rsidR="00F537BB" w:rsidRPr="003726FE" w:rsidRDefault="00F537BB" w:rsidP="00F537BB">
      <w:pPr>
        <w:pStyle w:val="Normal1"/>
        <w:rPr>
          <w:lang w:val="en-GB"/>
        </w:rPr>
      </w:pPr>
      <w:r w:rsidRPr="003726FE">
        <w:rPr>
          <w:lang w:val="en-GB"/>
        </w:rPr>
        <w:t xml:space="preserve">The full course is delivered over five years as an integrated hybrid curriculum split into distinct phases of study. </w:t>
      </w:r>
      <w:r>
        <w:rPr>
          <w:lang w:val="en-GB"/>
        </w:rPr>
        <w:t>T</w:t>
      </w:r>
      <w:r w:rsidRPr="003726FE">
        <w:rPr>
          <w:lang w:val="en-GB"/>
        </w:rPr>
        <w:t>wo</w:t>
      </w:r>
      <w:r>
        <w:rPr>
          <w:lang w:val="en-GB"/>
        </w:rPr>
        <w:t xml:space="preserve"> academic years</w:t>
      </w:r>
      <w:r w:rsidRPr="003726FE">
        <w:rPr>
          <w:lang w:val="en-GB"/>
        </w:rPr>
        <w:t xml:space="preserve"> (phases 1 and 2a) are largely campus based covering clinical and medical sciences as well as introductions to basic clinical skills. They gain some clinical exposure during the first two phases but these are not structured workplace learning activities. In the </w:t>
      </w:r>
      <w:r>
        <w:rPr>
          <w:lang w:val="en-GB"/>
        </w:rPr>
        <w:t>third</w:t>
      </w:r>
      <w:r w:rsidRPr="003726FE">
        <w:rPr>
          <w:lang w:val="en-GB"/>
        </w:rPr>
        <w:t xml:space="preserve"> year (phase 2b), students undertake their first clinical placements where they are supervised and taught by clinicians from a wide variety of specialities as they progress through block rotations. Learning activities transition to more self-directed clinically based environments thereon into the second half of year three to year five.</w:t>
      </w:r>
    </w:p>
    <w:p w14:paraId="1BC388E9" w14:textId="77777777" w:rsidR="00F537BB" w:rsidRPr="003726FE" w:rsidRDefault="00F537BB" w:rsidP="00F537BB">
      <w:pPr>
        <w:pStyle w:val="Normal1"/>
        <w:rPr>
          <w:lang w:val="en-GB"/>
        </w:rPr>
      </w:pPr>
    </w:p>
    <w:p w14:paraId="38ACBED0" w14:textId="2777546B" w:rsidR="00725D3C" w:rsidRDefault="00F537BB" w:rsidP="00F537BB">
      <w:pPr>
        <w:pStyle w:val="Normal1"/>
        <w:rPr>
          <w:lang w:val="en-GB"/>
        </w:rPr>
      </w:pPr>
      <w:r w:rsidRPr="003726FE">
        <w:rPr>
          <w:lang w:val="en-GB"/>
        </w:rPr>
        <w:t xml:space="preserve">The cohort in this study were followed from the beginning of </w:t>
      </w:r>
      <w:r w:rsidR="009C1827">
        <w:rPr>
          <w:lang w:val="en-GB"/>
        </w:rPr>
        <w:t>year two</w:t>
      </w:r>
      <w:r w:rsidRPr="003726FE">
        <w:rPr>
          <w:lang w:val="en-GB"/>
        </w:rPr>
        <w:t xml:space="preserve"> to the end of </w:t>
      </w:r>
      <w:r w:rsidR="009C1827">
        <w:rPr>
          <w:lang w:val="en-GB"/>
        </w:rPr>
        <w:t>mid-year three</w:t>
      </w:r>
      <w:r>
        <w:rPr>
          <w:lang w:val="en-GB"/>
        </w:rPr>
        <w:t xml:space="preserve"> (September 2015 – November 2016)</w:t>
      </w:r>
      <w:r w:rsidRPr="003726FE">
        <w:rPr>
          <w:lang w:val="en-GB"/>
        </w:rPr>
        <w:t xml:space="preserve">. Students in </w:t>
      </w:r>
      <w:r w:rsidR="009C1827">
        <w:rPr>
          <w:lang w:val="en-GB"/>
        </w:rPr>
        <w:t>year two</w:t>
      </w:r>
      <w:r w:rsidRPr="003726FE">
        <w:rPr>
          <w:lang w:val="en-GB"/>
        </w:rPr>
        <w:t xml:space="preserve"> experience largely lecture and small group tutorial learning activities as well as clinical skills training in simulated environments. They are assessed at different points throughout the year on their theoretical and practical knowledge and skills in the form of structured clinical skills assessments as well as written examinations towards the end of phase 2a. Students begin phase 2b w</w:t>
      </w:r>
      <w:r>
        <w:rPr>
          <w:lang w:val="en-GB"/>
        </w:rPr>
        <w:t>ith foundation</w:t>
      </w:r>
      <w:r w:rsidRPr="003726FE">
        <w:rPr>
          <w:lang w:val="en-GB"/>
        </w:rPr>
        <w:t xml:space="preserve"> clinical skills teaching specifically to prepare </w:t>
      </w:r>
      <w:r w:rsidRPr="003726FE">
        <w:rPr>
          <w:lang w:val="en-GB"/>
        </w:rPr>
        <w:lastRenderedPageBreak/>
        <w:t>them for practicing these skills w</w:t>
      </w:r>
      <w:r w:rsidR="00725D3C">
        <w:rPr>
          <w:lang w:val="en-GB"/>
        </w:rPr>
        <w:t xml:space="preserve">hilst on their first </w:t>
      </w:r>
      <w:r w:rsidR="00483DED">
        <w:rPr>
          <w:lang w:val="en-GB"/>
        </w:rPr>
        <w:t xml:space="preserve">clinical </w:t>
      </w:r>
      <w:r w:rsidR="00725D3C">
        <w:rPr>
          <w:lang w:val="en-GB"/>
        </w:rPr>
        <w:t>placements.</w:t>
      </w:r>
    </w:p>
    <w:p w14:paraId="4C8B826B" w14:textId="77777777" w:rsidR="00725D3C" w:rsidRDefault="00725D3C" w:rsidP="00F537BB">
      <w:pPr>
        <w:pStyle w:val="Normal1"/>
        <w:rPr>
          <w:lang w:val="en-GB"/>
        </w:rPr>
      </w:pPr>
    </w:p>
    <w:p w14:paraId="37680778" w14:textId="7D99E04C" w:rsidR="00F537BB" w:rsidRPr="00725D3C" w:rsidRDefault="00725D3C" w:rsidP="00F537BB">
      <w:pPr>
        <w:pStyle w:val="Normal1"/>
        <w:rPr>
          <w:b/>
          <w:lang w:val="en-GB"/>
        </w:rPr>
      </w:pPr>
      <w:r w:rsidRPr="003726FE">
        <w:rPr>
          <w:lang w:val="en-GB"/>
        </w:rPr>
        <w:t xml:space="preserve">The TPM for these specific </w:t>
      </w:r>
      <w:r>
        <w:rPr>
          <w:lang w:val="en-GB"/>
        </w:rPr>
        <w:t>students</w:t>
      </w:r>
      <w:r w:rsidRPr="003726FE">
        <w:rPr>
          <w:lang w:val="en-GB"/>
        </w:rPr>
        <w:t xml:space="preserve"> took the form of four </w:t>
      </w:r>
      <w:r w:rsidR="00483DED">
        <w:rPr>
          <w:lang w:val="en-GB"/>
        </w:rPr>
        <w:t xml:space="preserve">clinical </w:t>
      </w:r>
      <w:r w:rsidRPr="003726FE">
        <w:rPr>
          <w:lang w:val="en-GB"/>
        </w:rPr>
        <w:t xml:space="preserve">placement blocks of </w:t>
      </w:r>
      <w:r>
        <w:rPr>
          <w:lang w:val="en-GB"/>
        </w:rPr>
        <w:t>three</w:t>
      </w:r>
      <w:r w:rsidRPr="003726FE">
        <w:rPr>
          <w:lang w:val="en-GB"/>
        </w:rPr>
        <w:t xml:space="preserve"> weeks</w:t>
      </w:r>
      <w:r>
        <w:rPr>
          <w:lang w:val="en-GB"/>
        </w:rPr>
        <w:t>,</w:t>
      </w:r>
      <w:r w:rsidRPr="003726FE">
        <w:rPr>
          <w:lang w:val="en-GB"/>
        </w:rPr>
        <w:t xml:space="preserve"> each on a random allocation of medical and surgical placements. Students at this point in the course had some clinical exposure, largely in the form of primary care experiences. The difference from those early</w:t>
      </w:r>
      <w:r w:rsidR="00483DED">
        <w:rPr>
          <w:lang w:val="en-GB"/>
        </w:rPr>
        <w:t xml:space="preserve"> clinical</w:t>
      </w:r>
      <w:r w:rsidRPr="003726FE">
        <w:rPr>
          <w:lang w:val="en-GB"/>
        </w:rPr>
        <w:t xml:space="preserve"> placements and the block rotations was that the students were expected to take a more active role in their learning, primarily to begin to learn how to integrate into the workplace while practicing core clinical skills. These skills were core competencies and chiefly included: history taking, various examinations, inserting cannulas, and venepuncture. This learning in clinical environments was then assessed formally using Observed Structured Clinical Examinations (OSCEs)</w:t>
      </w:r>
      <w:r>
        <w:rPr>
          <w:lang w:val="en-GB"/>
        </w:rPr>
        <w:t>,</w:t>
      </w:r>
      <w:r w:rsidRPr="003726FE">
        <w:rPr>
          <w:lang w:val="en-GB"/>
        </w:rPr>
        <w:t xml:space="preserve"> as was usual practice. The implications of these learning, teaching, and assessment structure</w:t>
      </w:r>
      <w:r>
        <w:rPr>
          <w:lang w:val="en-GB"/>
        </w:rPr>
        <w:t>s</w:t>
      </w:r>
      <w:r w:rsidRPr="003726FE">
        <w:rPr>
          <w:lang w:val="en-GB"/>
        </w:rPr>
        <w:t xml:space="preserve"> are presented and discussed in Chapter C2.</w:t>
      </w:r>
    </w:p>
    <w:p w14:paraId="2CF3629B" w14:textId="77777777" w:rsidR="00F537BB" w:rsidRPr="003726FE" w:rsidRDefault="00F537BB" w:rsidP="00F537BB">
      <w:pPr>
        <w:pStyle w:val="Normal1"/>
        <w:rPr>
          <w:lang w:val="en-GB"/>
        </w:rPr>
      </w:pPr>
    </w:p>
    <w:p w14:paraId="360DC2D6" w14:textId="68D2749E" w:rsidR="004A447E" w:rsidRPr="003726FE" w:rsidRDefault="004A447E" w:rsidP="00BA4521">
      <w:pPr>
        <w:pStyle w:val="Heading3"/>
      </w:pPr>
      <w:bookmarkStart w:id="139" w:name="_Toc500319326"/>
      <w:r w:rsidRPr="003726FE">
        <w:t>A1.3.</w:t>
      </w:r>
      <w:r w:rsidR="00F537BB">
        <w:t>4</w:t>
      </w:r>
      <w:r w:rsidRPr="003726FE">
        <w:t xml:space="preserve"> Faculty </w:t>
      </w:r>
      <w:r w:rsidR="00341B7E" w:rsidRPr="003726FE">
        <w:t>Development Interventions</w:t>
      </w:r>
      <w:bookmarkEnd w:id="139"/>
    </w:p>
    <w:p w14:paraId="5DF31489" w14:textId="77777777" w:rsidR="00236D46" w:rsidRPr="003726FE" w:rsidRDefault="00236D46" w:rsidP="00026049">
      <w:pPr>
        <w:pStyle w:val="Normal1"/>
        <w:rPr>
          <w:lang w:val="en-GB"/>
        </w:rPr>
      </w:pPr>
    </w:p>
    <w:p w14:paraId="622D0984" w14:textId="719056A2" w:rsidR="00025DA1" w:rsidRPr="003726FE" w:rsidRDefault="00145CF6" w:rsidP="00026049">
      <w:pPr>
        <w:pStyle w:val="Normal1"/>
        <w:rPr>
          <w:lang w:val="en-GB"/>
        </w:rPr>
      </w:pPr>
      <w:r w:rsidRPr="003726FE">
        <w:rPr>
          <w:lang w:val="en-GB"/>
        </w:rPr>
        <w:t xml:space="preserve">Faculty development interventions are usually situated within programmes that take place in individual or group settings where health professionals gather to engage in activities designed to improve their skills and behaviours in teaching, research, or management </w:t>
      </w:r>
      <w:r w:rsidR="00EF281A" w:rsidRPr="003726FE">
        <w:rPr>
          <w:lang w:val="en-GB"/>
        </w:rPr>
        <w:fldChar w:fldCharType="begin"/>
      </w:r>
      <w:r w:rsidR="008B61BE">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95" w:tooltip="Steinert, 2016 #719" w:history="1">
        <w:r w:rsidR="0094469E" w:rsidRPr="003726FE">
          <w:rPr>
            <w:noProof/>
            <w:lang w:val="en-GB"/>
          </w:rPr>
          <w:t>Steinert et al. 2016</w:t>
        </w:r>
      </w:hyperlink>
      <w:r w:rsidR="004E5A78" w:rsidRPr="003726FE">
        <w:rPr>
          <w:noProof/>
          <w:lang w:val="en-GB"/>
        </w:rPr>
        <w:t>)</w:t>
      </w:r>
      <w:r w:rsidR="00EF281A" w:rsidRPr="003726FE">
        <w:rPr>
          <w:lang w:val="en-GB"/>
        </w:rPr>
        <w:fldChar w:fldCharType="end"/>
      </w:r>
      <w:r w:rsidR="00BB1FA9" w:rsidRPr="003726FE">
        <w:rPr>
          <w:lang w:val="en-GB"/>
        </w:rPr>
        <w:t>.</w:t>
      </w:r>
      <w:r w:rsidRPr="003726FE">
        <w:rPr>
          <w:lang w:val="en-GB"/>
        </w:rPr>
        <w:t xml:space="preserve"> </w:t>
      </w:r>
      <w:r w:rsidR="001C3420">
        <w:rPr>
          <w:lang w:val="en-GB"/>
        </w:rPr>
        <w:t>R</w:t>
      </w:r>
      <w:r w:rsidRPr="003726FE">
        <w:rPr>
          <w:lang w:val="en-GB"/>
        </w:rPr>
        <w:t>ecent reviews have found that a growing number of medical schools worldwide have formal and unstructured</w:t>
      </w:r>
      <w:r w:rsidR="00EC7909">
        <w:rPr>
          <w:lang w:val="en-GB"/>
        </w:rPr>
        <w:t xml:space="preserve"> faculty development programmes</w:t>
      </w:r>
      <w:r w:rsidRPr="003726FE">
        <w:rPr>
          <w:lang w:val="en-GB"/>
        </w:rPr>
        <w:t xml:space="preserve"> to improve teaching skills and </w:t>
      </w:r>
      <w:r w:rsidR="00BB1FA9" w:rsidRPr="003726FE">
        <w:rPr>
          <w:lang w:val="en-GB"/>
        </w:rPr>
        <w:t>pedagogical knowledge</w:t>
      </w:r>
      <w:r w:rsidRPr="003726FE">
        <w:rPr>
          <w:lang w:val="en-GB"/>
        </w:rPr>
        <w:t xml:space="preserve"> </w:t>
      </w:r>
      <w:r w:rsidR="00BB1FA9" w:rsidRPr="003726FE">
        <w:rPr>
          <w:lang w:val="en-GB"/>
        </w:rPr>
        <w:t>within</w:t>
      </w:r>
      <w:r w:rsidRPr="003726FE">
        <w:rPr>
          <w:lang w:val="en-GB"/>
        </w:rPr>
        <w:t xml:space="preserve"> their faculty </w:t>
      </w:r>
      <w:r w:rsidRPr="003726FE">
        <w:rPr>
          <w:lang w:val="en-GB"/>
        </w:rPr>
        <w:fldChar w:fldCharType="begin">
          <w:fldData xml:space="preserve">PEVuZE5vdGU+PENpdGU+PEF1dGhvcj5TdGVpbmVydDwvQXV0aG9yPjxZZWFyPjIwMDY8L1llYXI+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</w:fldData>
        </w:fldChar>
      </w:r>
      <w:r w:rsidR="008B61BE">
        <w:rPr>
          <w:lang w:val="en-GB"/>
        </w:rPr>
        <w:instrText xml:space="preserve"> ADDIN EN.CITE </w:instrText>
      </w:r>
      <w:r w:rsidR="008B61BE">
        <w:rPr>
          <w:lang w:val="en-GB"/>
        </w:rPr>
        <w:fldChar w:fldCharType="begin">
          <w:fldData xml:space="preserve">PEVuZE5vdGU+PENpdGU+PEF1dGhvcj5TdGVpbmVydDwvQXV0aG9yPjxZZWFyPjIwMDY8L1llYXI+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</w:fldData>
        </w:fldChar>
      </w:r>
      <w:r w:rsidR="008B61BE">
        <w:rPr>
          <w:lang w:val="en-GB"/>
        </w:rPr>
        <w:instrText xml:space="preserve"> ADDIN EN.CITE.DATA </w:instrText>
      </w:r>
      <w:r w:rsidR="008B61BE">
        <w:rPr>
          <w:lang w:val="en-GB"/>
        </w:rPr>
      </w:r>
      <w:r w:rsidR="008B61BE">
        <w:rPr>
          <w:lang w:val="en-GB"/>
        </w:rPr>
        <w:fldChar w:fldCharType="end"/>
      </w:r>
      <w:r w:rsidRPr="003726FE">
        <w:rPr>
          <w:lang w:val="en-GB"/>
        </w:rPr>
      </w:r>
      <w:r w:rsidRPr="003726FE">
        <w:rPr>
          <w:lang w:val="en-GB"/>
        </w:rPr>
        <w:fldChar w:fldCharType="separate"/>
      </w:r>
      <w:r w:rsidR="004E5A78" w:rsidRPr="003726FE">
        <w:rPr>
          <w:noProof/>
          <w:lang w:val="en-GB"/>
        </w:rPr>
        <w:t>(</w:t>
      </w:r>
      <w:hyperlink w:anchor="_ENREF_396" w:tooltip="Steinert, 2006 #720" w:history="1">
        <w:r w:rsidR="0094469E" w:rsidRPr="003726FE">
          <w:rPr>
            <w:noProof/>
            <w:lang w:val="en-GB"/>
          </w:rPr>
          <w:t>Steinert et al. 2006</w:t>
        </w:r>
      </w:hyperlink>
      <w:r w:rsidR="004E5A78" w:rsidRPr="003726FE">
        <w:rPr>
          <w:noProof/>
          <w:lang w:val="en-GB"/>
        </w:rPr>
        <w:t xml:space="preserve">; </w:t>
      </w:r>
      <w:hyperlink w:anchor="_ENREF_395" w:tooltip="Steinert, 2016 #719" w:history="1">
        <w:r w:rsidR="0094469E" w:rsidRPr="003726FE">
          <w:rPr>
            <w:noProof/>
            <w:lang w:val="en-GB"/>
          </w:rPr>
          <w:t>Steinert et al. 2016</w:t>
        </w:r>
      </w:hyperlink>
      <w:r w:rsidR="004E5A78" w:rsidRPr="003726FE">
        <w:rPr>
          <w:noProof/>
          <w:lang w:val="en-GB"/>
        </w:rPr>
        <w:t>)</w:t>
      </w:r>
      <w:r w:rsidRPr="003726FE">
        <w:rPr>
          <w:lang w:val="en-GB"/>
        </w:rPr>
        <w:fldChar w:fldCharType="end"/>
      </w:r>
      <w:r w:rsidRPr="003726FE">
        <w:rPr>
          <w:lang w:val="en-GB"/>
        </w:rPr>
        <w:t xml:space="preserve">. </w:t>
      </w:r>
      <w:hyperlink w:anchor="_ENREF_394" w:tooltip="Steinert, 2010 #723" w:history="1">
        <w:r w:rsidR="0094469E" w:rsidRPr="003726FE">
          <w:rPr>
            <w:lang w:val="en-GB"/>
          </w:rPr>
          <w:fldChar w:fldCharType="begin"/>
        </w:r>
        <w:r w:rsidR="0094469E">
          <w:rPr>
            <w:lang w:val="en-GB"/>
          </w:rPr>
          <w:instrText xml:space="preserve"> ADDIN EN.CITE &lt;EndNote&gt;&lt;Cite AuthorYear="1"&gt;&lt;Author&gt;Steinert&lt;/Author&gt;&lt;Year&gt;2010&lt;/Year&gt;&lt;RecNum&gt;723&lt;/RecNum&gt;&lt;DisplayText&gt;Steinert (2010)&lt;/DisplayText&gt;&lt;record&gt;&lt;rec-number&gt;723&lt;/rec-number&gt;&lt;foreign-keys&gt;&lt;key app="EN" db-id="xa2r2ewea92trkef5dt5arvbzafvpv2za5ft" timestamp="1496417570"&gt;723&lt;/key&gt;&lt;/foreign-keys&gt;&lt;ref-type name="Journal Article"&gt;17&lt;/ref-type&gt;&lt;contributors&gt;&lt;authors&gt;&lt;author&gt;Steinert, Y&lt;/author&gt;&lt;/authors&gt;&lt;/contributors&gt;&lt;titles&gt;&lt;title&gt;Becoming a better teacher: From intuition to intent&lt;/title&gt;&lt;secondary-title&gt;Theory and Practice of Teaching Medicine. Philadelphia, Pa: American College of Physicians&lt;/secondary-title&gt;&lt;/titles&gt;&lt;periodical&gt;&lt;full-title&gt;Theory and Practice of Teaching Medicine. Philadelphia, Pa: American College of Physicians&lt;/full-title&gt;&lt;/periodical&gt;&lt;dates&gt;&lt;year&gt;2010&lt;/year&gt;&lt;/dates&gt;&lt;urls&gt;&lt;/urls&gt;&lt;/record&gt;&lt;/Cite&gt;&lt;/EndNote&gt;</w:instrText>
        </w:r>
        <w:r w:rsidR="0094469E" w:rsidRPr="003726FE">
          <w:rPr>
            <w:lang w:val="en-GB"/>
          </w:rPr>
          <w:fldChar w:fldCharType="separate"/>
        </w:r>
        <w:r w:rsidR="0094469E" w:rsidRPr="003726FE">
          <w:rPr>
            <w:noProof/>
            <w:lang w:val="en-GB"/>
          </w:rPr>
          <w:t>Steinert (2010)</w:t>
        </w:r>
        <w:r w:rsidR="0094469E" w:rsidRPr="003726FE">
          <w:rPr>
            <w:lang w:val="en-GB"/>
          </w:rPr>
          <w:fldChar w:fldCharType="end"/>
        </w:r>
      </w:hyperlink>
      <w:r w:rsidR="002F484F" w:rsidRPr="003726FE">
        <w:rPr>
          <w:lang w:val="en-GB"/>
        </w:rPr>
        <w:t xml:space="preserve"> identifie</w:t>
      </w:r>
      <w:r w:rsidR="00EC7909">
        <w:rPr>
          <w:lang w:val="en-GB"/>
        </w:rPr>
        <w:t>d</w:t>
      </w:r>
      <w:r w:rsidR="002F484F" w:rsidRPr="003726FE">
        <w:rPr>
          <w:lang w:val="en-GB"/>
        </w:rPr>
        <w:t xml:space="preserve"> the different approaches that can be used for faculty development: peer coaching and feedback, formal courses and fellowships, vocational workplace learning, and through observation and reflection. Most programmes in health professions education focus on clinicians in the domains of skills acquisition and assessment of learners </w:t>
      </w:r>
      <w:r w:rsidR="00EF281A" w:rsidRPr="003726FE">
        <w:rPr>
          <w:lang w:val="en-GB"/>
        </w:rPr>
        <w:fldChar w:fldCharType="begin"/>
      </w:r>
      <w:r w:rsidR="008B61BE">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95" w:tooltip="Steinert, 2016 #719" w:history="1">
        <w:r w:rsidR="0094469E" w:rsidRPr="003726FE">
          <w:rPr>
            <w:noProof/>
            <w:lang w:val="en-GB"/>
          </w:rPr>
          <w:t>Steinert et al. 2016</w:t>
        </w:r>
      </w:hyperlink>
      <w:r w:rsidR="004E5A78" w:rsidRPr="003726FE">
        <w:rPr>
          <w:noProof/>
          <w:lang w:val="en-GB"/>
        </w:rPr>
        <w:t>)</w:t>
      </w:r>
      <w:r w:rsidR="00EF281A" w:rsidRPr="003726FE">
        <w:rPr>
          <w:lang w:val="en-GB"/>
        </w:rPr>
        <w:fldChar w:fldCharType="end"/>
      </w:r>
      <w:r w:rsidR="00011568" w:rsidRPr="003726FE">
        <w:rPr>
          <w:lang w:val="en-GB"/>
        </w:rPr>
        <w:t>.</w:t>
      </w:r>
      <w:r w:rsidR="002F484F" w:rsidRPr="003726FE">
        <w:rPr>
          <w:lang w:val="en-GB"/>
        </w:rPr>
        <w:t xml:space="preserve"> </w:t>
      </w:r>
      <w:r w:rsidR="00011568" w:rsidRPr="003726FE">
        <w:rPr>
          <w:lang w:val="en-GB"/>
        </w:rPr>
        <w:t>They</w:t>
      </w:r>
      <w:r w:rsidR="00F34ED8" w:rsidRPr="003726FE">
        <w:rPr>
          <w:lang w:val="en-GB"/>
        </w:rPr>
        <w:t xml:space="preserve"> </w:t>
      </w:r>
      <w:r w:rsidR="004A447E" w:rsidRPr="003726FE">
        <w:rPr>
          <w:lang w:val="en-GB"/>
        </w:rPr>
        <w:t>are often rated highly in terms of</w:t>
      </w:r>
      <w:r w:rsidR="001C3420">
        <w:rPr>
          <w:lang w:val="en-GB"/>
        </w:rPr>
        <w:t>:</w:t>
      </w:r>
      <w:r w:rsidR="004A447E" w:rsidRPr="003726FE">
        <w:rPr>
          <w:lang w:val="en-GB"/>
        </w:rPr>
        <w:t xml:space="preserve"> satisfaction, changing attitudes to teaching, and elicit some changes in subsequent practice </w:t>
      </w:r>
      <w:r w:rsidR="00EF281A" w:rsidRPr="003726FE">
        <w:rPr>
          <w:lang w:val="en-GB"/>
        </w:rPr>
        <w:fldChar w:fldCharType="begin"/>
      </w:r>
      <w:r w:rsidR="008B61BE">
        <w:rPr>
          <w:lang w:val="en-GB"/>
        </w:rPr>
        <w:instrText xml:space="preserve"> ADDIN EN.CITE &lt;EndNote&gt;&lt;Cite&gt;&lt;Author&gt;Steinert&lt;/Author&gt;&lt;Year&gt;2006&lt;/Year&gt;&lt;RecNum&gt;720&lt;/RecNum&gt;&lt;DisplayText&gt;(Steinert et al. 2006)&lt;/DisplayText&gt;&lt;record&gt;&lt;rec-number&gt;720&lt;/rec-number&gt;&lt;foreign-keys&gt;&lt;key app="EN" db-id="xa2r2ewea92trkef5dt5arvbzafvpv2za5ft" timestamp="1496417570"&gt;720&lt;/key&gt;&lt;/foreign-keys&gt;&lt;ref-type name="Journal Article"&gt;17&lt;/ref-type&gt;&lt;contributors&gt;&lt;authors&gt;&lt;author&gt;Steinert, Yvonne&lt;/author&gt;&lt;author&gt;Mann, Karen&lt;/author&gt;&lt;author&gt;Centeno, Angel&lt;/author&gt;&lt;author&gt;Dolmans, Diana&lt;/author&gt;&lt;author&gt;Spencer, John&lt;/author&gt;&lt;author&gt;Gelula, Mark&lt;/author&gt;&lt;author&gt;Prideaux, David&lt;/author&gt;&lt;/authors&gt;&lt;/contributors&gt;&lt;titles&gt;&lt;title&gt;A systematic review of faculty development initiatives designed to improve teaching effectiveness in medical education: BEME Guide No. 8&lt;/title&gt;&lt;secondary-title&gt;Medical teacher&lt;/secondary-title&gt;&lt;/titles&gt;&lt;periodical&gt;&lt;full-title&gt;Medical teacher&lt;/full-title&gt;&lt;/periodical&gt;&lt;pages&gt;497-526&lt;/pages&gt;&lt;volume&gt;28&lt;/volume&gt;&lt;number&gt;6&lt;/number&gt;&lt;dates&gt;&lt;year&gt;2006&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96" w:tooltip="Steinert, 2006 #720" w:history="1">
        <w:r w:rsidR="0094469E" w:rsidRPr="003726FE">
          <w:rPr>
            <w:noProof/>
            <w:lang w:val="en-GB"/>
          </w:rPr>
          <w:t>Steinert et al. 2006</w:t>
        </w:r>
      </w:hyperlink>
      <w:r w:rsidR="004E5A78" w:rsidRPr="003726FE">
        <w:rPr>
          <w:noProof/>
          <w:lang w:val="en-GB"/>
        </w:rPr>
        <w:t>)</w:t>
      </w:r>
      <w:r w:rsidR="00EF281A" w:rsidRPr="003726FE">
        <w:rPr>
          <w:lang w:val="en-GB"/>
        </w:rPr>
        <w:fldChar w:fldCharType="end"/>
      </w:r>
      <w:r w:rsidR="004A447E" w:rsidRPr="003726FE">
        <w:rPr>
          <w:lang w:val="en-GB"/>
        </w:rPr>
        <w:t>.</w:t>
      </w:r>
      <w:r w:rsidR="002F484F" w:rsidRPr="003726FE">
        <w:rPr>
          <w:lang w:val="en-GB"/>
        </w:rPr>
        <w:t xml:space="preserve"> </w:t>
      </w:r>
      <w:r w:rsidR="00025DA1" w:rsidRPr="003726FE">
        <w:rPr>
          <w:lang w:val="en-GB"/>
        </w:rPr>
        <w:t xml:space="preserve">Faculty development can encourage teachers to evaluate their own </w:t>
      </w:r>
      <w:r w:rsidR="008E7D00">
        <w:rPr>
          <w:lang w:val="en-GB"/>
        </w:rPr>
        <w:t>conceptualisation</w:t>
      </w:r>
      <w:r w:rsidR="00025DA1" w:rsidRPr="003726FE">
        <w:rPr>
          <w:lang w:val="en-GB"/>
        </w:rPr>
        <w:t xml:space="preserve">s of teaching using a critical approach, leading to better learning and teaching outcomes </w:t>
      </w:r>
      <w:r w:rsidR="00EF281A" w:rsidRPr="003726FE">
        <w:rPr>
          <w:lang w:val="en-GB"/>
        </w:rPr>
        <w:fldChar w:fldCharType="begin"/>
      </w:r>
      <w:r w:rsidR="008B61BE">
        <w:rPr>
          <w:lang w:val="en-GB"/>
        </w:rPr>
        <w:instrText xml:space="preserve"> ADDIN EN.CITE &lt;EndNote&gt;&lt;Cite&gt;&lt;Author&gt;Trigwell&lt;/Author&gt;&lt;Year&gt;1996&lt;/Year&gt;&lt;RecNum&gt;722&lt;/RecNum&gt;&lt;DisplayText&gt;(Trigwell and Prosser 1996)&lt;/DisplayText&gt;&lt;record&gt;&lt;rec-number&gt;722&lt;/rec-number&gt;&lt;foreign-keys&gt;&lt;key app="EN" db-id="xa2r2ewea92trkef5dt5arvbzafvpv2za5ft" timestamp="1496417570"&gt;722&lt;/key&gt;&lt;/foreign-keys&gt;&lt;ref-type name="Journal Article"&gt;17&lt;/ref-type&gt;&lt;contributors&gt;&lt;authors&gt;&lt;author&gt;Trigwell, Keith&lt;/author&gt;&lt;author&gt;Prosser, Michael&lt;/author&gt;&lt;/authors&gt;&lt;/contributors&gt;&lt;titles&gt;&lt;title&gt;Changing approaches to teaching: A relational perspective&lt;/title&gt;&lt;secondary-title&gt;Studies in Higher Education&lt;/secondary-title&gt;&lt;/titles&gt;&lt;periodical&gt;&lt;full-title&gt;Studies in Higher Education&lt;/full-title&gt;&lt;/periodical&gt;&lt;pages&gt;275-284&lt;/pages&gt;&lt;volume&gt;21&lt;/volume&gt;&lt;number&gt;3&lt;/number&gt;&lt;dates&gt;&lt;year&gt;1996&lt;/year&gt;&lt;/dates&gt;&lt;isbn&gt;0307-5079&lt;/isbn&gt;&lt;urls&gt;&lt;/urls&gt;&lt;/record&gt;&lt;/Cite&gt;&lt;/EndNote&gt;</w:instrText>
      </w:r>
      <w:r w:rsidR="00EF281A" w:rsidRPr="003726FE">
        <w:rPr>
          <w:lang w:val="en-GB"/>
        </w:rPr>
        <w:fldChar w:fldCharType="separate"/>
      </w:r>
      <w:r w:rsidR="004E5A78" w:rsidRPr="003726FE">
        <w:rPr>
          <w:noProof/>
          <w:lang w:val="en-GB"/>
        </w:rPr>
        <w:t>(</w:t>
      </w:r>
      <w:hyperlink w:anchor="_ENREF_407" w:tooltip="Trigwell, 1996 #722" w:history="1">
        <w:r w:rsidR="0094469E" w:rsidRPr="003726FE">
          <w:rPr>
            <w:noProof/>
            <w:lang w:val="en-GB"/>
          </w:rPr>
          <w:t>Trigwell and Prosser 1996</w:t>
        </w:r>
      </w:hyperlink>
      <w:r w:rsidR="004E5A78" w:rsidRPr="003726FE">
        <w:rPr>
          <w:noProof/>
          <w:lang w:val="en-GB"/>
        </w:rPr>
        <w:t>)</w:t>
      </w:r>
      <w:r w:rsidR="00EF281A" w:rsidRPr="003726FE">
        <w:rPr>
          <w:lang w:val="en-GB"/>
        </w:rPr>
        <w:fldChar w:fldCharType="end"/>
      </w:r>
      <w:r w:rsidR="00025DA1" w:rsidRPr="003726FE">
        <w:rPr>
          <w:lang w:val="en-GB"/>
        </w:rPr>
        <w:t xml:space="preserve">. Consequently, when evaluating faculty development interventions it can be useful to explore the supervisors’ </w:t>
      </w:r>
      <w:r w:rsidR="008E7D00">
        <w:rPr>
          <w:lang w:val="en-GB"/>
        </w:rPr>
        <w:t>conceptualisation</w:t>
      </w:r>
      <w:r w:rsidR="00025DA1" w:rsidRPr="003726FE">
        <w:rPr>
          <w:lang w:val="en-GB"/>
        </w:rPr>
        <w:t>s</w:t>
      </w:r>
      <w:r w:rsidR="008E7D00">
        <w:rPr>
          <w:lang w:val="en-GB"/>
        </w:rPr>
        <w:t xml:space="preserve"> (ideas, beliefs, theories)</w:t>
      </w:r>
      <w:r w:rsidR="00025DA1" w:rsidRPr="003726FE">
        <w:rPr>
          <w:lang w:val="en-GB"/>
        </w:rPr>
        <w:t xml:space="preserve"> of teaching in the classroom or clinical environment </w:t>
      </w:r>
      <w:r w:rsidR="00EF281A" w:rsidRPr="003726FE">
        <w:rPr>
          <w:lang w:val="en-GB"/>
        </w:rPr>
        <w:fldChar w:fldCharType="begin"/>
      </w:r>
      <w:r w:rsidR="008B61BE">
        <w:rPr>
          <w:lang w:val="en-GB"/>
        </w:rPr>
        <w:instrText xml:space="preserve"> ADDIN EN.CITE &lt;EndNote&gt;&lt;Cite&gt;&lt;Author&gt;Ross&lt;/Author&gt;&lt;Year&gt;2017&lt;/Year&gt;&lt;RecNum&gt;717&lt;/RecNum&gt;&lt;DisplayText&gt;(Ross 2017)&lt;/DisplayText&gt;&lt;record&gt;&lt;rec-number&gt;717&lt;/rec-number&gt;&lt;foreign-keys&gt;&lt;key app="EN" db-id="xa2r2ewea92trkef5dt5arvbzafvpv2za5ft" timestamp="1496417570"&gt;717&lt;/key&gt;&lt;/foreign-keys&gt;&lt;ref-type name="Journal Article"&gt;17&lt;/ref-type&gt;&lt;contributors&gt;&lt;authors&gt;&lt;author&gt;Ross, Michael&lt;/author&gt;&lt;/authors&gt;&lt;/contributors&gt;&lt;titles&gt;&lt;title&gt;Conceptions of teaching: an illustrated review&lt;/title&gt;&lt;secondary-title&gt;The clinical teacher&lt;/secondary-title&gt;&lt;/titles&gt;&lt;periodical&gt;&lt;full-title&gt;The clinical teacher&lt;/full-title&gt;&lt;/periodical&gt;&lt;pages&gt;8-14&lt;/pages&gt;&lt;volume&gt;14&lt;/volume&gt;&lt;number&gt;1&lt;/number&gt;&lt;dates&gt;&lt;year&gt;2017&lt;/year&gt;&lt;/dates&gt;&lt;isbn&gt;1743-498X&lt;/isbn&gt;&lt;urls&gt;&lt;/urls&gt;&lt;/record&gt;&lt;/Cite&gt;&lt;/EndNote&gt;</w:instrText>
      </w:r>
      <w:r w:rsidR="00EF281A" w:rsidRPr="003726FE">
        <w:rPr>
          <w:lang w:val="en-GB"/>
        </w:rPr>
        <w:fldChar w:fldCharType="separate"/>
      </w:r>
      <w:r w:rsidR="004E5A78" w:rsidRPr="003726FE">
        <w:rPr>
          <w:noProof/>
          <w:lang w:val="en-GB"/>
        </w:rPr>
        <w:t>(</w:t>
      </w:r>
      <w:hyperlink w:anchor="_ENREF_350" w:tooltip="Ross, 2017 #717" w:history="1">
        <w:r w:rsidR="0094469E" w:rsidRPr="003726FE">
          <w:rPr>
            <w:noProof/>
            <w:lang w:val="en-GB"/>
          </w:rPr>
          <w:t>Ross 2017</w:t>
        </w:r>
      </w:hyperlink>
      <w:r w:rsidR="004E5A78" w:rsidRPr="003726FE">
        <w:rPr>
          <w:noProof/>
          <w:lang w:val="en-GB"/>
        </w:rPr>
        <w:t>)</w:t>
      </w:r>
      <w:r w:rsidR="00EF281A" w:rsidRPr="003726FE">
        <w:rPr>
          <w:lang w:val="en-GB"/>
        </w:rPr>
        <w:fldChar w:fldCharType="end"/>
      </w:r>
      <w:r w:rsidR="00025DA1" w:rsidRPr="003726FE">
        <w:rPr>
          <w:lang w:val="en-GB"/>
        </w:rPr>
        <w:t>.</w:t>
      </w:r>
    </w:p>
    <w:p w14:paraId="2AA8D3B8" w14:textId="6B20B30D" w:rsidR="002F484F" w:rsidRPr="003726FE" w:rsidRDefault="002F484F" w:rsidP="00026049">
      <w:pPr>
        <w:pStyle w:val="Normal1"/>
        <w:rPr>
          <w:lang w:val="en-GB"/>
        </w:rPr>
      </w:pPr>
    </w:p>
    <w:p w14:paraId="53FF92AA" w14:textId="43683DAD" w:rsidR="002E282C" w:rsidRPr="003726FE" w:rsidRDefault="00086D15" w:rsidP="00026049">
      <w:pPr>
        <w:pStyle w:val="Normal1"/>
        <w:rPr>
          <w:lang w:val="en-GB"/>
        </w:rPr>
      </w:pPr>
      <w:r w:rsidRPr="003726FE">
        <w:rPr>
          <w:lang w:val="en-GB"/>
        </w:rPr>
        <w:lastRenderedPageBreak/>
        <w:t xml:space="preserve">However, there are some key issues in interventions used within faculty development programmes in terms of design, delivery, and evaluation that were considered </w:t>
      </w:r>
      <w:r w:rsidR="007441B9" w:rsidRPr="003726FE">
        <w:rPr>
          <w:lang w:val="en-GB"/>
        </w:rPr>
        <w:t xml:space="preserve">in designing </w:t>
      </w:r>
      <w:r w:rsidR="001C3420">
        <w:rPr>
          <w:lang w:val="en-GB"/>
        </w:rPr>
        <w:t xml:space="preserve">the intervention in </w:t>
      </w:r>
      <w:r w:rsidR="007441B9" w:rsidRPr="003726FE">
        <w:rPr>
          <w:lang w:val="en-GB"/>
        </w:rPr>
        <w:t xml:space="preserve">this </w:t>
      </w:r>
      <w:r w:rsidR="00FC0FFB" w:rsidRPr="003726FE">
        <w:rPr>
          <w:lang w:val="en-GB"/>
        </w:rPr>
        <w:t>study to</w:t>
      </w:r>
      <w:r w:rsidRPr="003726FE">
        <w:rPr>
          <w:lang w:val="en-GB"/>
        </w:rPr>
        <w:t xml:space="preserve"> avoid their replication. </w:t>
      </w:r>
      <w:r w:rsidR="008E7D00">
        <w:rPr>
          <w:lang w:val="en-GB"/>
        </w:rPr>
        <w:t>Changing conceptualisation</w:t>
      </w:r>
      <w:r w:rsidR="008E496F" w:rsidRPr="003726FE">
        <w:rPr>
          <w:lang w:val="en-GB"/>
        </w:rPr>
        <w:t>s and motivations for teaching are rarely the aim of interventions or are evaluated as outcomes, despite the growing body of evidence which suggests these factors play a major role in health educators’ practice</w:t>
      </w:r>
      <w:r w:rsidR="002E282C" w:rsidRPr="003726FE">
        <w:rPr>
          <w:lang w:val="en-GB"/>
        </w:rPr>
        <w:t>s</w:t>
      </w:r>
      <w:r w:rsidR="008E496F" w:rsidRPr="003726FE">
        <w:rPr>
          <w:lang w:val="en-GB"/>
        </w:rPr>
        <w:t xml:space="preserve"> </w:t>
      </w:r>
      <w:r w:rsidR="008E496F" w:rsidRPr="003726FE">
        <w:rPr>
          <w:lang w:val="en-GB"/>
        </w:rPr>
        <w:fldChar w:fldCharType="begin"/>
      </w:r>
      <w:r w:rsidR="008B61BE">
        <w:rPr>
          <w:lang w:val="en-GB"/>
        </w:rPr>
        <w:instrText xml:space="preserve"> ADDIN EN.CITE &lt;EndNote&gt;&lt;Cite&gt;&lt;Author&gt;O’Sullivan&lt;/Author&gt;&lt;Year&gt;2014&lt;/Year&gt;&lt;RecNum&gt;721&lt;/RecNum&gt;&lt;DisplayText&gt;(O’Sullivan and Irby 2014; Ross 2017)&lt;/DisplayText&gt;&lt;record&gt;&lt;rec-number&gt;721&lt;/rec-number&gt;&lt;foreign-keys&gt;&lt;key app="EN" db-id="xa2r2ewea92trkef5dt5arvbzafvpv2za5ft" timestamp="1496417570"&gt;721&lt;/key&gt;&lt;/foreign-keys&gt;&lt;ref-type name="Book Section"&gt;5&lt;/ref-type&gt;&lt;contributors&gt;&lt;authors&gt;&lt;author&gt;O’Sullivan, Patricia S&lt;/author&gt;&lt;author&gt;Irby, David M&lt;/author&gt;&lt;/authors&gt;&lt;/contributors&gt;&lt;titles&gt;&lt;title&gt;Promoting scholarship in faculty development: relevant research paradigms and methodologies&lt;/title&gt;&lt;secondary-title&gt;Faculty Development in the Health Professions&lt;/secondary-title&gt;&lt;/titles&gt;&lt;pages&gt;375-398&lt;/pages&gt;&lt;dates&gt;&lt;year&gt;2014&lt;/year&gt;&lt;/dates&gt;&lt;publisher&gt;Springer&lt;/publisher&gt;&lt;urls&gt;&lt;/urls&gt;&lt;/record&gt;&lt;/Cite&gt;&lt;Cite&gt;&lt;Author&gt;Ross&lt;/Author&gt;&lt;Year&gt;2017&lt;/Year&gt;&lt;RecNum&gt;717&lt;/RecNum&gt;&lt;record&gt;&lt;rec-number&gt;717&lt;/rec-number&gt;&lt;foreign-keys&gt;&lt;key app="EN" db-id="xa2r2ewea92trkef5dt5arvbzafvpv2za5ft" timestamp="1496417570"&gt;717&lt;/key&gt;&lt;/foreign-keys&gt;&lt;ref-type name="Journal Article"&gt;17&lt;/ref-type&gt;&lt;contributors&gt;&lt;authors&gt;&lt;author&gt;Ross, Michael&lt;/author&gt;&lt;/authors&gt;&lt;/contributors&gt;&lt;titles&gt;&lt;title&gt;Conceptions of teaching: an illustrated review&lt;/title&gt;&lt;secondary-title&gt;The clinical teacher&lt;/secondary-title&gt;&lt;/titles&gt;&lt;periodical&gt;&lt;full-title&gt;The clinical teacher&lt;/full-title&gt;&lt;/periodical&gt;&lt;pages&gt;8-14&lt;/pages&gt;&lt;volume&gt;14&lt;/volume&gt;&lt;number&gt;1&lt;/number&gt;&lt;dates&gt;&lt;year&gt;2017&lt;/year&gt;&lt;/dates&gt;&lt;isbn&gt;1743-498X&lt;/isbn&gt;&lt;urls&gt;&lt;/urls&gt;&lt;/record&gt;&lt;/Cite&gt;&lt;/EndNote&gt;</w:instrText>
      </w:r>
      <w:r w:rsidR="008E496F" w:rsidRPr="003726FE">
        <w:rPr>
          <w:lang w:val="en-GB"/>
        </w:rPr>
        <w:fldChar w:fldCharType="separate"/>
      </w:r>
      <w:r w:rsidR="004E5A78" w:rsidRPr="003726FE">
        <w:rPr>
          <w:noProof/>
          <w:lang w:val="en-GB"/>
        </w:rPr>
        <w:t>(</w:t>
      </w:r>
      <w:hyperlink w:anchor="_ENREF_308" w:tooltip="O’Sullivan, 2014 #721" w:history="1">
        <w:r w:rsidR="0094469E" w:rsidRPr="003726FE">
          <w:rPr>
            <w:noProof/>
            <w:lang w:val="en-GB"/>
          </w:rPr>
          <w:t>O’Sullivan and Irby 2014</w:t>
        </w:r>
      </w:hyperlink>
      <w:r w:rsidR="004E5A78" w:rsidRPr="003726FE">
        <w:rPr>
          <w:noProof/>
          <w:lang w:val="en-GB"/>
        </w:rPr>
        <w:t xml:space="preserve">; </w:t>
      </w:r>
      <w:hyperlink w:anchor="_ENREF_350" w:tooltip="Ross, 2017 #717" w:history="1">
        <w:r w:rsidR="0094469E" w:rsidRPr="003726FE">
          <w:rPr>
            <w:noProof/>
            <w:lang w:val="en-GB"/>
          </w:rPr>
          <w:t>Ross 2017</w:t>
        </w:r>
      </w:hyperlink>
      <w:r w:rsidR="004E5A78" w:rsidRPr="003726FE">
        <w:rPr>
          <w:noProof/>
          <w:lang w:val="en-GB"/>
        </w:rPr>
        <w:t>)</w:t>
      </w:r>
      <w:r w:rsidR="008E496F" w:rsidRPr="003726FE">
        <w:rPr>
          <w:lang w:val="en-GB"/>
        </w:rPr>
        <w:fldChar w:fldCharType="end"/>
      </w:r>
      <w:r w:rsidR="008E496F" w:rsidRPr="003726FE">
        <w:rPr>
          <w:lang w:val="en-GB"/>
        </w:rPr>
        <w:t xml:space="preserve">. Most studies employing faculty development interventions are usually quantitative in design and employ self-report surveys or other numerical outcome measures to assess impact </w:t>
      </w:r>
      <w:r w:rsidR="00EF281A" w:rsidRPr="003726FE">
        <w:rPr>
          <w:lang w:val="en-GB"/>
        </w:rPr>
        <w:fldChar w:fldCharType="begin"/>
      </w:r>
      <w:r w:rsidR="008B61BE">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95" w:tooltip="Steinert, 2016 #719" w:history="1">
        <w:r w:rsidR="0094469E" w:rsidRPr="003726FE">
          <w:rPr>
            <w:noProof/>
            <w:lang w:val="en-GB"/>
          </w:rPr>
          <w:t>Steinert et al. 2016</w:t>
        </w:r>
      </w:hyperlink>
      <w:r w:rsidR="004E5A78" w:rsidRPr="003726FE">
        <w:rPr>
          <w:noProof/>
          <w:lang w:val="en-GB"/>
        </w:rPr>
        <w:t>)</w:t>
      </w:r>
      <w:r w:rsidR="00EF281A" w:rsidRPr="003726FE">
        <w:rPr>
          <w:lang w:val="en-GB"/>
        </w:rPr>
        <w:fldChar w:fldCharType="end"/>
      </w:r>
      <w:r w:rsidR="008E496F" w:rsidRPr="003726FE">
        <w:rPr>
          <w:lang w:val="en-GB"/>
        </w:rPr>
        <w:t xml:space="preserve">. </w:t>
      </w:r>
      <w:r w:rsidR="00EE5777" w:rsidRPr="003726FE">
        <w:rPr>
          <w:lang w:val="en-GB"/>
        </w:rPr>
        <w:t>Qualitative or mixed approac</w:t>
      </w:r>
      <w:r w:rsidR="00854088">
        <w:rPr>
          <w:lang w:val="en-GB"/>
        </w:rPr>
        <w:t xml:space="preserve">hes are now recommended </w:t>
      </w:r>
      <w:r w:rsidR="00EE5777" w:rsidRPr="003726FE">
        <w:rPr>
          <w:lang w:val="en-GB"/>
        </w:rPr>
        <w:t xml:space="preserve">to better understand the mechanisms of change and specific processes that teachers go through and to better understand the underlying causes behind the success or failure of interventions </w:t>
      </w:r>
      <w:r w:rsidR="00EF281A" w:rsidRPr="003726FE">
        <w:rPr>
          <w:lang w:val="en-GB"/>
        </w:rPr>
        <w:fldChar w:fldCharType="begin"/>
      </w:r>
      <w:r w:rsidR="008B61BE">
        <w:rPr>
          <w:lang w:val="en-GB"/>
        </w:rPr>
        <w:instrText xml:space="preserve"> ADDIN EN.CITE &lt;EndNote&gt;&lt;Cite&gt;&lt;Author&gt;Drescher&lt;/Author&gt;&lt;Year&gt;2004&lt;/Year&gt;&lt;RecNum&gt;724&lt;/RecNum&gt;&lt;DisplayText&gt;(Drescher et al. 2004)&lt;/DisplayText&gt;&lt;record&gt;&lt;rec-number&gt;724&lt;/rec-number&gt;&lt;foreign-keys&gt;&lt;key app="EN" db-id="xa2r2ewea92trkef5dt5arvbzafvpv2za5ft" timestamp="1496417570"&gt;724&lt;/key&gt;&lt;/foreign-keys&gt;&lt;ref-type name="Journal Article"&gt;17&lt;/ref-type&gt;&lt;contributors&gt;&lt;authors&gt;&lt;author&gt;Drescher, Uta&lt;/author&gt;&lt;author&gt;Warren, Fiona&lt;/author&gt;&lt;author&gt;Norton, Kingsley&lt;/author&gt;&lt;/authors&gt;&lt;/contributors&gt;&lt;titles&gt;&lt;title&gt;Towards evidence</w:instrText>
      </w:r>
      <w:r w:rsidR="008B61BE">
        <w:rPr>
          <w:rFonts w:ascii="Cambria Math" w:hAnsi="Cambria Math" w:cs="Cambria Math"/>
          <w:lang w:val="en-GB"/>
        </w:rPr>
        <w:instrText>‐</w:instrText>
      </w:r>
      <w:r w:rsidR="008B61BE">
        <w:rPr>
          <w:lang w:val="en-GB"/>
        </w:rPr>
        <w:instrText>based practice in medical training: making evaluations more meaningful&lt;/title&gt;&lt;secondary-title&gt;Medical Education&lt;/secondary-title&gt;&lt;/titles&gt;&lt;periodical&gt;&lt;full-title&gt;Medical education&lt;/full-title&gt;&lt;/periodical&gt;&lt;pages&gt;1288-1294&lt;/pages&gt;&lt;volume&gt;38&lt;/volume&gt;&lt;number&gt;12&lt;/number&gt;&lt;dates&gt;&lt;year&gt;2004&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128" w:tooltip="Drescher, 2004 #724" w:history="1">
        <w:r w:rsidR="0094469E" w:rsidRPr="003726FE">
          <w:rPr>
            <w:noProof/>
            <w:lang w:val="en-GB"/>
          </w:rPr>
          <w:t>Drescher et al. 2004</w:t>
        </w:r>
      </w:hyperlink>
      <w:r w:rsidR="004E5A78" w:rsidRPr="003726FE">
        <w:rPr>
          <w:noProof/>
          <w:lang w:val="en-GB"/>
        </w:rPr>
        <w:t>)</w:t>
      </w:r>
      <w:r w:rsidR="00EF281A" w:rsidRPr="003726FE">
        <w:rPr>
          <w:lang w:val="en-GB"/>
        </w:rPr>
        <w:fldChar w:fldCharType="end"/>
      </w:r>
      <w:r w:rsidR="00EE5777" w:rsidRPr="003726FE">
        <w:rPr>
          <w:lang w:val="en-GB"/>
        </w:rPr>
        <w:t>.</w:t>
      </w:r>
      <w:r w:rsidR="005B111D" w:rsidRPr="003726FE">
        <w:rPr>
          <w:lang w:val="en-GB"/>
        </w:rPr>
        <w:t xml:space="preserve"> </w:t>
      </w:r>
      <w:hyperlink w:anchor="_ENREF_240" w:tooltip="Leslie, 2013 #718" w:history="1">
        <w:r w:rsidR="0094469E" w:rsidRPr="003726FE">
          <w:rPr>
            <w:lang w:val="en-GB"/>
          </w:rPr>
          <w:fldChar w:fldCharType="begin"/>
        </w:r>
        <w:r w:rsidR="0094469E">
          <w:rPr>
            <w:lang w:val="en-GB"/>
          </w:rPr>
          <w:instrText xml:space="preserve"> ADDIN EN.CITE &lt;EndNote&gt;&lt;Cite AuthorYear="1"&gt;&lt;Author&gt;Leslie&lt;/Author&gt;&lt;Year&gt;2013&lt;/Year&gt;&lt;RecNum&gt;718&lt;/RecNum&gt;&lt;DisplayText&gt;Leslie et al. (2013)&lt;/DisplayText&gt;&lt;record&gt;&lt;rec-number&gt;718&lt;/rec-number&gt;&lt;foreign-keys&gt;&lt;key app="EN" db-id="xa2r2ewea92trkef5dt5arvbzafvpv2za5ft" timestamp="1496417570"&gt;718&lt;/key&gt;&lt;/foreign-keys&gt;&lt;ref-type name="Journal Article"&gt;17&lt;/ref-type&gt;&lt;contributors&gt;&lt;authors&gt;&lt;author&gt;Leslie, Karen&lt;/author&gt;&lt;author&gt;Baker, Lindsay&lt;/author&gt;&lt;author&gt;Egan-Lee, Eileen&lt;/author&gt;&lt;author&gt;Esdaile, Martina&lt;/author&gt;&lt;author&gt;Reeves, Scott&lt;/author&gt;&lt;/authors&gt;&lt;/contributors&gt;&lt;titles&gt;&lt;title&gt;Advancing faculty development in medical education: a systematic review&lt;/title&gt;&lt;secondary-title&gt;Academic medicine&lt;/secondary-title&gt;&lt;/titles&gt;&lt;periodical&gt;&lt;full-title&gt;Academic Medicine&lt;/full-title&gt;&lt;/periodical&gt;&lt;pages&gt;1038-1045&lt;/pages&gt;&lt;volume&gt;88&lt;/volume&gt;&lt;number&gt;7&lt;/number&gt;&lt;dates&gt;&lt;year&gt;2013&lt;/year&gt;&lt;/dates&gt;&lt;isbn&gt;1040-2446&lt;/isbn&gt;&lt;urls&gt;&lt;/urls&gt;&lt;/record&gt;&lt;/Cite&gt;&lt;/EndNote&gt;</w:instrText>
        </w:r>
        <w:r w:rsidR="0094469E" w:rsidRPr="003726FE">
          <w:rPr>
            <w:lang w:val="en-GB"/>
          </w:rPr>
          <w:fldChar w:fldCharType="separate"/>
        </w:r>
        <w:r w:rsidR="0094469E" w:rsidRPr="003726FE">
          <w:rPr>
            <w:noProof/>
            <w:lang w:val="en-GB"/>
          </w:rPr>
          <w:t>Leslie et al. (2013)</w:t>
        </w:r>
        <w:r w:rsidR="0094469E" w:rsidRPr="003726FE">
          <w:rPr>
            <w:lang w:val="en-GB"/>
          </w:rPr>
          <w:fldChar w:fldCharType="end"/>
        </w:r>
      </w:hyperlink>
      <w:r w:rsidR="005B111D" w:rsidRPr="003726FE">
        <w:rPr>
          <w:lang w:val="en-GB"/>
        </w:rPr>
        <w:t xml:space="preserve"> reviewed the literature on intervention design and found that very few studies used comparison or control groups, limiting the inferences that could be made about the effectiveness of </w:t>
      </w:r>
      <w:r w:rsidR="002E282C" w:rsidRPr="003726FE">
        <w:rPr>
          <w:lang w:val="en-GB"/>
        </w:rPr>
        <w:t xml:space="preserve">those </w:t>
      </w:r>
      <w:r w:rsidR="005B111D" w:rsidRPr="003726FE">
        <w:rPr>
          <w:lang w:val="en-GB"/>
        </w:rPr>
        <w:t>interventions.</w:t>
      </w:r>
      <w:r w:rsidR="002E282C" w:rsidRPr="003726FE">
        <w:rPr>
          <w:lang w:val="en-GB"/>
        </w:rPr>
        <w:t xml:space="preserve"> </w:t>
      </w:r>
      <w:hyperlink w:anchor="_ENREF_395" w:tooltip="Steinert, 2016 #719" w:history="1">
        <w:r w:rsidR="0094469E" w:rsidRPr="003726FE">
          <w:rPr>
            <w:lang w:val="en-GB"/>
          </w:rPr>
          <w:fldChar w:fldCharType="begin"/>
        </w:r>
        <w:r w:rsidR="0094469E">
          <w:rPr>
            <w:lang w:val="en-GB"/>
          </w:rPr>
          <w:instrText xml:space="preserve"> ADDIN EN.CITE &lt;EndNote&gt;&lt;Cite AuthorYear="1"&gt;&lt;Author&gt;Steinert&lt;/Author&gt;&lt;Year&gt;2016&lt;/Year&gt;&lt;RecNum&gt;719&lt;/RecNum&gt;&lt;DisplayText&gt;Steinert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0094469E" w:rsidRPr="003726FE">
          <w:rPr>
            <w:lang w:val="en-GB"/>
          </w:rPr>
          <w:fldChar w:fldCharType="separate"/>
        </w:r>
        <w:r w:rsidR="0094469E" w:rsidRPr="003726FE">
          <w:rPr>
            <w:noProof/>
            <w:lang w:val="en-GB"/>
          </w:rPr>
          <w:t>Steinert et al. (2016)</w:t>
        </w:r>
        <w:r w:rsidR="0094469E" w:rsidRPr="003726FE">
          <w:rPr>
            <w:lang w:val="en-GB"/>
          </w:rPr>
          <w:fldChar w:fldCharType="end"/>
        </w:r>
      </w:hyperlink>
      <w:r w:rsidR="004A447E" w:rsidRPr="003726FE">
        <w:rPr>
          <w:lang w:val="en-GB"/>
        </w:rPr>
        <w:t xml:space="preserve"> and </w:t>
      </w:r>
      <w:hyperlink w:anchor="_ENREF_240" w:tooltip="Leslie, 2013 #718" w:history="1">
        <w:r w:rsidR="0094469E" w:rsidRPr="003726FE">
          <w:rPr>
            <w:lang w:val="en-GB"/>
          </w:rPr>
          <w:fldChar w:fldCharType="begin"/>
        </w:r>
        <w:r w:rsidR="0094469E">
          <w:rPr>
            <w:lang w:val="en-GB"/>
          </w:rPr>
          <w:instrText xml:space="preserve"> ADDIN EN.CITE &lt;EndNote&gt;&lt;Cite AuthorYear="1"&gt;&lt;Author&gt;Leslie&lt;/Author&gt;&lt;Year&gt;2013&lt;/Year&gt;&lt;RecNum&gt;718&lt;/RecNum&gt;&lt;DisplayText&gt;Leslie et al. (2013)&lt;/DisplayText&gt;&lt;record&gt;&lt;rec-number&gt;718&lt;/rec-number&gt;&lt;foreign-keys&gt;&lt;key app="EN" db-id="xa2r2ewea92trkef5dt5arvbzafvpv2za5ft" timestamp="1496417570"&gt;718&lt;/key&gt;&lt;/foreign-keys&gt;&lt;ref-type name="Journal Article"&gt;17&lt;/ref-type&gt;&lt;contributors&gt;&lt;authors&gt;&lt;author&gt;Leslie, Karen&lt;/author&gt;&lt;author&gt;Baker, Lindsay&lt;/author&gt;&lt;author&gt;Egan-Lee, Eileen&lt;/author&gt;&lt;author&gt;Esdaile, Martina&lt;/author&gt;&lt;author&gt;Reeves, Scott&lt;/author&gt;&lt;/authors&gt;&lt;/contributors&gt;&lt;titles&gt;&lt;title&gt;Advancing faculty development in medical education: a systematic review&lt;/title&gt;&lt;secondary-title&gt;Academic medicine&lt;/secondary-title&gt;&lt;/titles&gt;&lt;periodical&gt;&lt;full-title&gt;Academic Medicine&lt;/full-title&gt;&lt;/periodical&gt;&lt;pages&gt;1038-1045&lt;/pages&gt;&lt;volume&gt;88&lt;/volume&gt;&lt;number&gt;7&lt;/number&gt;&lt;dates&gt;&lt;year&gt;2013&lt;/year&gt;&lt;/dates&gt;&lt;isbn&gt;1040-2446&lt;/isbn&gt;&lt;urls&gt;&lt;/urls&gt;&lt;/record&gt;&lt;/Cite&gt;&lt;/EndNote&gt;</w:instrText>
        </w:r>
        <w:r w:rsidR="0094469E" w:rsidRPr="003726FE">
          <w:rPr>
            <w:lang w:val="en-GB"/>
          </w:rPr>
          <w:fldChar w:fldCharType="separate"/>
        </w:r>
        <w:r w:rsidR="0094469E" w:rsidRPr="003726FE">
          <w:rPr>
            <w:noProof/>
            <w:lang w:val="en-GB"/>
          </w:rPr>
          <w:t>Leslie et al. (2013)</w:t>
        </w:r>
        <w:r w:rsidR="0094469E" w:rsidRPr="003726FE">
          <w:rPr>
            <w:lang w:val="en-GB"/>
          </w:rPr>
          <w:fldChar w:fldCharType="end"/>
        </w:r>
      </w:hyperlink>
      <w:r w:rsidR="004A447E" w:rsidRPr="003726FE">
        <w:rPr>
          <w:lang w:val="en-GB"/>
        </w:rPr>
        <w:t xml:space="preserve"> recommend</w:t>
      </w:r>
      <w:r w:rsidR="00854088">
        <w:rPr>
          <w:lang w:val="en-GB"/>
        </w:rPr>
        <w:t>ed</w:t>
      </w:r>
      <w:r w:rsidR="004A447E" w:rsidRPr="003726FE">
        <w:rPr>
          <w:lang w:val="en-GB"/>
        </w:rPr>
        <w:t xml:space="preserve"> that faculty development intervention designs should be informed by a theoretical or conceptual framework</w:t>
      </w:r>
      <w:r w:rsidR="006D6006" w:rsidRPr="003726FE">
        <w:rPr>
          <w:lang w:val="en-GB"/>
        </w:rPr>
        <w:t>.</w:t>
      </w:r>
      <w:r w:rsidR="002E282C" w:rsidRPr="003726FE">
        <w:rPr>
          <w:lang w:val="en-GB"/>
        </w:rPr>
        <w:t xml:space="preserve"> </w:t>
      </w:r>
      <w:r w:rsidR="004A447E" w:rsidRPr="003726FE">
        <w:rPr>
          <w:lang w:val="en-GB"/>
        </w:rPr>
        <w:t xml:space="preserve">Understanding these factors, as well as </w:t>
      </w:r>
      <w:r w:rsidR="008E7D00">
        <w:rPr>
          <w:lang w:val="en-GB"/>
        </w:rPr>
        <w:t>conceptualisation</w:t>
      </w:r>
      <w:r w:rsidR="004A447E" w:rsidRPr="003726FE">
        <w:rPr>
          <w:lang w:val="en-GB"/>
        </w:rPr>
        <w:t xml:space="preserve">s of teaching practice, are key to faculty development and </w:t>
      </w:r>
      <w:r w:rsidR="00854088">
        <w:rPr>
          <w:lang w:val="en-GB"/>
        </w:rPr>
        <w:t>consequently</w:t>
      </w:r>
      <w:r w:rsidR="004A447E" w:rsidRPr="003726FE">
        <w:rPr>
          <w:lang w:val="en-GB"/>
        </w:rPr>
        <w:t xml:space="preserve"> impact upon student learning </w:t>
      </w:r>
      <w:r w:rsidR="004A447E" w:rsidRPr="003726FE">
        <w:rPr>
          <w:lang w:val="en-GB"/>
        </w:rPr>
        <w:fldChar w:fldCharType="begin"/>
      </w:r>
      <w:r w:rsidR="008B61BE">
        <w:rPr>
          <w:lang w:val="en-GB"/>
        </w:rPr>
        <w:instrText xml:space="preserve"> ADDIN EN.CITE &lt;EndNote&gt;&lt;Cite&gt;&lt;Author&gt;Trigwell&lt;/Author&gt;&lt;Year&gt;1996&lt;/Year&gt;&lt;RecNum&gt;722&lt;/RecNum&gt;&lt;DisplayText&gt;(Trigwell and Prosser 1996; Ross 2017)&lt;/DisplayText&gt;&lt;record&gt;&lt;rec-number&gt;722&lt;/rec-number&gt;&lt;foreign-keys&gt;&lt;key app="EN" db-id="xa2r2ewea92trkef5dt5arvbzafvpv2za5ft" timestamp="1496417570"&gt;722&lt;/key&gt;&lt;/foreign-keys&gt;&lt;ref-type name="Journal Article"&gt;17&lt;/ref-type&gt;&lt;contributors&gt;&lt;authors&gt;&lt;author&gt;Trigwell, Keith&lt;/author&gt;&lt;author&gt;Prosser, Michael&lt;/author&gt;&lt;/authors&gt;&lt;/contributors&gt;&lt;titles&gt;&lt;title&gt;Changing approaches to teaching: A relational perspective&lt;/title&gt;&lt;secondary-title&gt;Studies in Higher Education&lt;/secondary-title&gt;&lt;/titles&gt;&lt;periodical&gt;&lt;full-title&gt;Studies in Higher Education&lt;/full-title&gt;&lt;/periodical&gt;&lt;pages&gt;275-284&lt;/pages&gt;&lt;volume&gt;21&lt;/volume&gt;&lt;number&gt;3&lt;/number&gt;&lt;dates&gt;&lt;year&gt;1996&lt;/year&gt;&lt;/dates&gt;&lt;isbn&gt;0307-5079&lt;/isbn&gt;&lt;urls&gt;&lt;/urls&gt;&lt;/record&gt;&lt;/Cite&gt;&lt;Cite&gt;&lt;Author&gt;Ross&lt;/Author&gt;&lt;Year&gt;2017&lt;/Year&gt;&lt;RecNum&gt;717&lt;/RecNum&gt;&lt;record&gt;&lt;rec-number&gt;717&lt;/rec-number&gt;&lt;foreign-keys&gt;&lt;key app="EN" db-id="xa2r2ewea92trkef5dt5arvbzafvpv2za5ft" timestamp="1496417570"&gt;717&lt;/key&gt;&lt;/foreign-keys&gt;&lt;ref-type name="Journal Article"&gt;17&lt;/ref-type&gt;&lt;contributors&gt;&lt;authors&gt;&lt;author&gt;Ross, Michael&lt;/author&gt;&lt;/authors&gt;&lt;/contributors&gt;&lt;titles&gt;&lt;title&gt;Conceptions of teaching: an illustrated review&lt;/title&gt;&lt;secondary-title&gt;The clinical teacher&lt;/secondary-title&gt;&lt;/titles&gt;&lt;periodical&gt;&lt;full-title&gt;The clinical teacher&lt;/full-title&gt;&lt;/periodical&gt;&lt;pages&gt;8-14&lt;/pages&gt;&lt;volume&gt;14&lt;/volume&gt;&lt;number&gt;1&lt;/number&gt;&lt;dates&gt;&lt;year&gt;2017&lt;/year&gt;&lt;/dates&gt;&lt;isbn&gt;1743-498X&lt;/isbn&gt;&lt;urls&gt;&lt;/urls&gt;&lt;/record&gt;&lt;/Cite&gt;&lt;/EndNote&gt;</w:instrText>
      </w:r>
      <w:r w:rsidR="004A447E" w:rsidRPr="003726FE">
        <w:rPr>
          <w:lang w:val="en-GB"/>
        </w:rPr>
        <w:fldChar w:fldCharType="separate"/>
      </w:r>
      <w:r w:rsidR="004E5A78" w:rsidRPr="003726FE">
        <w:rPr>
          <w:noProof/>
          <w:lang w:val="en-GB"/>
        </w:rPr>
        <w:t>(</w:t>
      </w:r>
      <w:hyperlink w:anchor="_ENREF_407" w:tooltip="Trigwell, 1996 #722" w:history="1">
        <w:r w:rsidR="0094469E" w:rsidRPr="003726FE">
          <w:rPr>
            <w:noProof/>
            <w:lang w:val="en-GB"/>
          </w:rPr>
          <w:t>Trigwell and Prosser 1996</w:t>
        </w:r>
      </w:hyperlink>
      <w:r w:rsidR="004E5A78" w:rsidRPr="003726FE">
        <w:rPr>
          <w:noProof/>
          <w:lang w:val="en-GB"/>
        </w:rPr>
        <w:t xml:space="preserve">; </w:t>
      </w:r>
      <w:hyperlink w:anchor="_ENREF_350" w:tooltip="Ross, 2017 #717" w:history="1">
        <w:r w:rsidR="0094469E" w:rsidRPr="003726FE">
          <w:rPr>
            <w:noProof/>
            <w:lang w:val="en-GB"/>
          </w:rPr>
          <w:t>Ross 2017</w:t>
        </w:r>
      </w:hyperlink>
      <w:r w:rsidR="004E5A78" w:rsidRPr="003726FE">
        <w:rPr>
          <w:noProof/>
          <w:lang w:val="en-GB"/>
        </w:rPr>
        <w:t>)</w:t>
      </w:r>
      <w:r w:rsidR="004A447E" w:rsidRPr="003726FE">
        <w:rPr>
          <w:lang w:val="en-GB"/>
        </w:rPr>
        <w:fldChar w:fldCharType="end"/>
      </w:r>
      <w:r w:rsidR="00025DA1" w:rsidRPr="003726FE">
        <w:rPr>
          <w:lang w:val="en-GB"/>
        </w:rPr>
        <w:t>.</w:t>
      </w:r>
    </w:p>
    <w:p w14:paraId="3A0B0E1D" w14:textId="0EAA61F2" w:rsidR="002E282C" w:rsidRPr="003726FE" w:rsidRDefault="00025DA1" w:rsidP="00026049">
      <w:pPr>
        <w:pStyle w:val="Normal1"/>
        <w:rPr>
          <w:lang w:val="en-GB"/>
        </w:rPr>
      </w:pPr>
      <w:r w:rsidRPr="003726FE">
        <w:rPr>
          <w:lang w:val="en-GB"/>
        </w:rPr>
        <w:t xml:space="preserve"> </w:t>
      </w:r>
    </w:p>
    <w:p w14:paraId="1D5D7FCD" w14:textId="08D3C120" w:rsidR="00236D46" w:rsidRPr="003726FE" w:rsidRDefault="002B5431" w:rsidP="00026049">
      <w:pPr>
        <w:pStyle w:val="Normal1"/>
        <w:rPr>
          <w:lang w:val="en-GB"/>
        </w:rPr>
      </w:pPr>
      <w:r w:rsidRPr="003726FE">
        <w:rPr>
          <w:lang w:val="en-GB"/>
        </w:rPr>
        <w:t xml:space="preserve">Feedback is a popular focus of faculty development interventions to improve student learning and performance </w:t>
      </w:r>
      <w:r w:rsidR="00EF281A" w:rsidRPr="003726FE">
        <w:rPr>
          <w:lang w:val="en-GB"/>
        </w:rPr>
        <w:fldChar w:fldCharType="begin"/>
      </w:r>
      <w:r w:rsidR="008B61BE">
        <w:rPr>
          <w:lang w:val="en-GB"/>
        </w:rPr>
        <w:instrText xml:space="preserve"> ADDIN EN.CITE &lt;EndNote&gt;&lt;Cite&gt;&lt;Author&gt;Bahar-Ozvaris&lt;/Author&gt;&lt;Year&gt;2004&lt;/Year&gt;&lt;RecNum&gt;715&lt;/RecNum&gt;&lt;DisplayText&gt;(Bahar-Ozvaris et al. 2004)&lt;/DisplayText&gt;&lt;record&gt;&lt;rec-number&gt;715&lt;/rec-number&gt;&lt;foreign-keys&gt;&lt;key app="EN" db-id="xa2r2ewea92trkef5dt5arvbzafvpv2za5ft" timestamp="1496417569"&gt;715&lt;/key&gt;&lt;/foreign-keys&gt;&lt;ref-type name="Journal Article"&gt;17&lt;/ref-type&gt;&lt;contributors&gt;&lt;authors&gt;&lt;author&gt;Bahar-Ozvaris, Sevkat&lt;/author&gt;&lt;author&gt;Aslan, Dilek&lt;/author&gt;&lt;author&gt;Sahin-Hodoglugil, Nalan&lt;/author&gt;&lt;author&gt;Sayek, Iskender&lt;/author&gt;&lt;/authors&gt;&lt;/contributors&gt;&lt;titles&gt;&lt;title&gt;A faculty development program evaluation: From needs assessment to long-term effects, of the teaching skills improvement program&lt;/title&gt;&lt;secondary-title&gt;Teaching and learning in medicine&lt;/secondary-title&gt;&lt;/titles&gt;&lt;periodical&gt;&lt;full-title&gt;Teaching and learning in medicine&lt;/full-title&gt;&lt;/periodical&gt;&lt;pages&gt;368-375&lt;/pages&gt;&lt;volume&gt;16&lt;/volume&gt;&lt;number&gt;4&lt;/number&gt;&lt;dates&gt;&lt;year&gt;2004&lt;/year&gt;&lt;/dates&gt;&lt;isbn&gt;1040-1334&lt;/isbn&gt;&lt;urls&gt;&lt;/urls&gt;&lt;/record&gt;&lt;/Cite&gt;&lt;/EndNote&gt;</w:instrText>
      </w:r>
      <w:r w:rsidR="00EF281A" w:rsidRPr="003726FE">
        <w:rPr>
          <w:lang w:val="en-GB"/>
        </w:rPr>
        <w:fldChar w:fldCharType="separate"/>
      </w:r>
      <w:r w:rsidR="004E5A78" w:rsidRPr="003726FE">
        <w:rPr>
          <w:noProof/>
          <w:lang w:val="en-GB"/>
        </w:rPr>
        <w:t>(</w:t>
      </w:r>
      <w:hyperlink w:anchor="_ENREF_12" w:tooltip="Bahar-Ozvaris, 2004 #715" w:history="1">
        <w:r w:rsidR="0094469E" w:rsidRPr="003726FE">
          <w:rPr>
            <w:noProof/>
            <w:lang w:val="en-GB"/>
          </w:rPr>
          <w:t>Bahar-Ozvaris et al. 2004</w:t>
        </w:r>
      </w:hyperlink>
      <w:r w:rsidR="004E5A78" w:rsidRPr="003726FE">
        <w:rPr>
          <w:noProof/>
          <w:lang w:val="en-GB"/>
        </w:rPr>
        <w:t>)</w:t>
      </w:r>
      <w:r w:rsidR="00EF281A" w:rsidRPr="003726FE">
        <w:rPr>
          <w:lang w:val="en-GB"/>
        </w:rPr>
        <w:fldChar w:fldCharType="end"/>
      </w:r>
      <w:r w:rsidRPr="003726FE">
        <w:rPr>
          <w:lang w:val="en-GB"/>
        </w:rPr>
        <w:t xml:space="preserve">. Despite efforts to improve feedback delivery, a ‘feedback gap’ still exists where the teacher’s message is often misunderstood or not recognised by the student </w:t>
      </w:r>
      <w:r w:rsidR="00EF281A" w:rsidRPr="003726FE">
        <w:rPr>
          <w:lang w:val="en-GB"/>
        </w:rPr>
        <w:fldChar w:fldCharType="begin"/>
      </w:r>
      <w:r w:rsidR="008B61BE">
        <w:rPr>
          <w:lang w:val="en-GB"/>
        </w:rPr>
        <w:instrText xml:space="preserve"> ADDIN EN.CITE &lt;EndNote&gt;&lt;Cite&gt;&lt;Author&gt;Sender Liberman&lt;/Author&gt;&lt;Year&gt;2005&lt;/Year&gt;&lt;RecNum&gt;716&lt;/RecNum&gt;&lt;DisplayText&gt;(Sender Liberman et al. 2005)&lt;/DisplayText&gt;&lt;record&gt;&lt;rec-number&gt;716&lt;/rec-number&gt;&lt;foreign-keys&gt;&lt;key app="EN" db-id="xa2r2ewea92trkef5dt5arvbzafvpv2za5ft" timestamp="1496417569"&gt;716&lt;/key&gt;&lt;/foreign-keys&gt;&lt;ref-type name="Journal Article"&gt;17&lt;/ref-type&gt;&lt;contributors&gt;&lt;authors&gt;&lt;author&gt;Sender Liberman, A&lt;/author&gt;&lt;author&gt;Liberman, Moishe&lt;/author&gt;&lt;author&gt;Steinert, Yvonne&lt;/author&gt;&lt;author&gt;McLeod, Peter&lt;/author&gt;&lt;author&gt;Meterissian, Sarkis&lt;/author&gt;&lt;/authors&gt;&lt;/contributors&gt;&lt;titles&gt;&lt;title&gt;Surgery residents and attending surgeons have different perceptions of feedback&lt;/title&gt;&lt;secondary-title&gt;Medical teacher&lt;/secondary-title&gt;&lt;/titles&gt;&lt;periodical&gt;&lt;full-title&gt;Medical teacher&lt;/full-title&gt;&lt;/periodical&gt;&lt;pages&gt;470-472&lt;/pages&gt;&lt;volume&gt;27&lt;/volume&gt;&lt;number&gt;5&lt;/number&gt;&lt;dates&gt;&lt;year&gt;2005&lt;/year&gt;&lt;/dates&gt;&lt;isbn&gt;0142-159X&lt;/isbn&gt;&lt;urls&gt;&lt;/urls&gt;&lt;/record&gt;&lt;/Cite&gt;&lt;/EndNote&gt;</w:instrText>
      </w:r>
      <w:r w:rsidR="00EF281A" w:rsidRPr="003726FE">
        <w:rPr>
          <w:lang w:val="en-GB"/>
        </w:rPr>
        <w:fldChar w:fldCharType="separate"/>
      </w:r>
      <w:r w:rsidR="004E5A78" w:rsidRPr="003726FE">
        <w:rPr>
          <w:noProof/>
          <w:lang w:val="en-GB"/>
        </w:rPr>
        <w:t>(</w:t>
      </w:r>
      <w:hyperlink w:anchor="_ENREF_381" w:tooltip="Sender Liberman, 2005 #716" w:history="1">
        <w:r w:rsidR="0094469E" w:rsidRPr="003726FE">
          <w:rPr>
            <w:noProof/>
            <w:lang w:val="en-GB"/>
          </w:rPr>
          <w:t>Sender Liberman et al. 2005</w:t>
        </w:r>
      </w:hyperlink>
      <w:r w:rsidR="004E5A78" w:rsidRPr="003726FE">
        <w:rPr>
          <w:noProof/>
          <w:lang w:val="en-GB"/>
        </w:rPr>
        <w:t>)</w:t>
      </w:r>
      <w:r w:rsidR="00EF281A" w:rsidRPr="003726FE">
        <w:rPr>
          <w:lang w:val="en-GB"/>
        </w:rPr>
        <w:fldChar w:fldCharType="end"/>
      </w:r>
      <w:r w:rsidRPr="003726FE">
        <w:rPr>
          <w:lang w:val="en-GB"/>
        </w:rPr>
        <w:t xml:space="preserve">. This gap </w:t>
      </w:r>
      <w:r w:rsidR="002E282C" w:rsidRPr="003726FE">
        <w:rPr>
          <w:lang w:val="en-GB"/>
        </w:rPr>
        <w:t>may be</w:t>
      </w:r>
      <w:r w:rsidRPr="003726FE">
        <w:rPr>
          <w:lang w:val="en-GB"/>
        </w:rPr>
        <w:t xml:space="preserve"> caused by unidirectional approaches where the teacher simply transmits the feedback message to the student with the expectation that performance wi</w:t>
      </w:r>
      <w:r w:rsidR="008E7D00">
        <w:rPr>
          <w:lang w:val="en-GB"/>
        </w:rPr>
        <w:t>ll improve. O</w:t>
      </w:r>
      <w:r w:rsidRPr="003726FE">
        <w:rPr>
          <w:lang w:val="en-GB"/>
        </w:rPr>
        <w:t xml:space="preserve">ther factors </w:t>
      </w:r>
      <w:r w:rsidR="008E7D00">
        <w:rPr>
          <w:lang w:val="en-GB"/>
        </w:rPr>
        <w:t xml:space="preserve">also contribute, </w:t>
      </w:r>
      <w:r w:rsidR="0021662A">
        <w:rPr>
          <w:lang w:val="en-GB"/>
        </w:rPr>
        <w:t>including</w:t>
      </w:r>
      <w:r w:rsidR="008E7D00">
        <w:rPr>
          <w:lang w:val="en-GB"/>
        </w:rPr>
        <w:t xml:space="preserve"> varying</w:t>
      </w:r>
      <w:r w:rsidRPr="003726FE">
        <w:rPr>
          <w:lang w:val="en-GB"/>
        </w:rPr>
        <w:t xml:space="preserve"> credibility judgements</w:t>
      </w:r>
      <w:r w:rsidR="008E7D00">
        <w:rPr>
          <w:lang w:val="en-GB"/>
        </w:rPr>
        <w:t xml:space="preserve"> where the student judges the feedback differently depending on how credible they deem the giver</w:t>
      </w:r>
      <w:r w:rsidRPr="003726FE">
        <w:rPr>
          <w:lang w:val="en-GB"/>
        </w:rPr>
        <w:t xml:space="preserve"> </w:t>
      </w:r>
      <w:r w:rsidR="00EF281A" w:rsidRPr="003726FE">
        <w:rPr>
          <w:lang w:val="en-GB"/>
        </w:rPr>
        <w:fldChar w:fldCharType="begin"/>
      </w:r>
      <w:r w:rsidR="008443D6">
        <w:rPr>
          <w:lang w:val="en-GB"/>
        </w:rPr>
        <w:instrText xml:space="preserve"> ADDIN EN.CITE &lt;EndNote&gt;&lt;Cite&gt;&lt;Author&gt;Ridder&lt;/Author&gt;&lt;Year&gt;2015&lt;/Year&gt;&lt;RecNum&gt;211&lt;/RecNum&gt;&lt;DisplayText&gt;(Van de Ridder et al. 2015)&lt;/DisplayText&gt;&lt;record&gt;&lt;rec-number&gt;211&lt;/rec-number&gt;&lt;foreign-keys&gt;&lt;key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Pr>
          <w:rFonts w:ascii="Cambria Math" w:hAnsi="Cambria Math" w:cs="Cambria Math"/>
          <w:lang w:val="en-GB"/>
        </w:rPr>
        <w:instrText>‐</w:instrText>
      </w:r>
      <w:r w:rsidR="008443D6">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00EF281A" w:rsidRPr="003726FE">
        <w:rPr>
          <w:lang w:val="en-GB"/>
        </w:rPr>
        <w:fldChar w:fldCharType="separate"/>
      </w:r>
      <w:r w:rsidR="00782498">
        <w:rPr>
          <w:noProof/>
          <w:lang w:val="en-GB"/>
        </w:rPr>
        <w:t>(</w:t>
      </w:r>
      <w:hyperlink w:anchor="_ENREF_416" w:tooltip="Van de Ridder, 2015 #211" w:history="1">
        <w:r w:rsidR="0094469E">
          <w:rPr>
            <w:noProof/>
            <w:lang w:val="en-GB"/>
          </w:rPr>
          <w:t>Van de Ridder et al. 2015</w:t>
        </w:r>
      </w:hyperlink>
      <w:r w:rsidR="00782498">
        <w:rPr>
          <w:noProof/>
          <w:lang w:val="en-GB"/>
        </w:rPr>
        <w:t>)</w:t>
      </w:r>
      <w:r w:rsidR="00EF281A" w:rsidRPr="003726FE">
        <w:rPr>
          <w:lang w:val="en-GB"/>
        </w:rPr>
        <w:fldChar w:fldCharType="end"/>
      </w:r>
      <w:r w:rsidRPr="003726FE">
        <w:rPr>
          <w:lang w:val="en-GB"/>
        </w:rPr>
        <w:t>. Faculty development interventions rarely consider these limiting nuances within</w:t>
      </w:r>
      <w:r w:rsidR="001C3420">
        <w:rPr>
          <w:lang w:val="en-GB"/>
        </w:rPr>
        <w:t xml:space="preserve"> feedback training and delivery -</w:t>
      </w:r>
      <w:r w:rsidRPr="003726FE">
        <w:rPr>
          <w:lang w:val="en-GB"/>
        </w:rPr>
        <w:t xml:space="preserve"> a gap </w:t>
      </w:r>
      <w:r w:rsidR="00854088">
        <w:rPr>
          <w:lang w:val="en-GB"/>
        </w:rPr>
        <w:t xml:space="preserve">explored in </w:t>
      </w:r>
      <w:r w:rsidR="002E282C" w:rsidRPr="003726FE">
        <w:rPr>
          <w:lang w:val="en-GB"/>
        </w:rPr>
        <w:t>the present</w:t>
      </w:r>
      <w:r w:rsidRPr="003726FE">
        <w:rPr>
          <w:lang w:val="en-GB"/>
        </w:rPr>
        <w:t xml:space="preserve"> study.</w:t>
      </w:r>
    </w:p>
    <w:p w14:paraId="2A8AD079" w14:textId="77777777" w:rsidR="0081297F" w:rsidRPr="003726FE" w:rsidRDefault="0081297F" w:rsidP="00026049">
      <w:pPr>
        <w:pStyle w:val="Normal1"/>
        <w:rPr>
          <w:lang w:val="en-GB"/>
        </w:rPr>
      </w:pPr>
    </w:p>
    <w:p w14:paraId="6E6739E6" w14:textId="69E96B10" w:rsidR="002E282C" w:rsidRPr="003726FE" w:rsidRDefault="00854088" w:rsidP="00026049">
      <w:pPr>
        <w:pStyle w:val="Normal1"/>
        <w:rPr>
          <w:lang w:val="en-GB"/>
        </w:rPr>
      </w:pPr>
      <w:r>
        <w:rPr>
          <w:lang w:val="en-GB"/>
        </w:rPr>
        <w:t>T</w:t>
      </w:r>
      <w:r w:rsidR="006D6006" w:rsidRPr="003726FE">
        <w:rPr>
          <w:lang w:val="en-GB"/>
        </w:rPr>
        <w:t>raining teachers to support SRL using feedback could provide opportunities for SRL development across the medical curriculum and in multiple learning environments</w:t>
      </w:r>
      <w:r w:rsidR="007D13B7" w:rsidRPr="003726FE">
        <w:rPr>
          <w:lang w:val="en-GB"/>
        </w:rPr>
        <w:t>, potentially leading to stronger educational alliances</w:t>
      </w:r>
      <w:r w:rsidR="006D6006" w:rsidRPr="003726FE">
        <w:rPr>
          <w:lang w:val="en-GB"/>
        </w:rPr>
        <w:t xml:space="preserve">. </w:t>
      </w:r>
      <w:hyperlink w:anchor="_ENREF_51" w:tooltip="Bowen, 2017 #591" w:history="1">
        <w:r w:rsidR="0094469E" w:rsidRPr="003726FE">
          <w:rPr>
            <w:lang w:val="en-GB"/>
          </w:rPr>
          <w:fldChar w:fldCharType="begin"/>
        </w:r>
        <w:r w:rsidR="0094469E">
          <w:rPr>
            <w:lang w:val="en-GB"/>
          </w:rPr>
          <w:instrText xml:space="preserve"> ADDIN EN.CITE &lt;EndNote&gt;&lt;Cite AuthorYear="1"&gt;&lt;Author&gt;Bowen&lt;/Author&gt;&lt;Year&gt;2017&lt;/Year&gt;&lt;RecNum&gt;591&lt;/RecNum&gt;&lt;Pages&gt;9&lt;/Pages&gt;&lt;DisplayText&gt;Bowen et al. (2017, p. 9)&lt;/DisplayText&gt;&lt;record&gt;&lt;rec-number&gt;591&lt;/rec-number&gt;&lt;foreign-keys&gt;&lt;key app="EN" db-id="xa2r2ewea92trkef5dt5arvbzafvpv2za5ft" timestamp="1496417558"&gt;591&lt;/key&gt;&lt;/foreign-keys&gt;&lt;ref-type name="Journal Article"&gt;17&lt;/ref-type&gt;&lt;contributors&gt;&lt;authors&gt;&lt;author&gt;Bowen, Lucy&lt;/author&gt;&lt;author&gt;Marshall, Michelle&lt;/author&gt;&lt;author&gt;Murdoch-Eaton, Deborah&lt;/author&gt;&lt;/authors&gt;&lt;/contributors&gt;&lt;titles&gt;&lt;title&gt;Medical Student Perceptions of Feedback and Feedback Behaviors Within the Context of the&amp;quot; Educational Alliance&amp;quot;&lt;/title&gt;&lt;secondary-title&gt;Academic Medicine&lt;/secondary-title&gt;&lt;/titles&gt;&lt;periodical&gt;&lt;full-title&gt;Academic Medicine&lt;/full-title&gt;&lt;/periodical&gt;&lt;dates&gt;&lt;year&gt;2017&lt;/year&gt;&lt;/dates&gt;&lt;isbn&gt;1040-2446&lt;/isbn&gt;&lt;urls&gt;&lt;/urls&gt;&lt;/record&gt;&lt;/Cite&gt;&lt;/EndNote&gt;</w:instrText>
        </w:r>
        <w:r w:rsidR="0094469E" w:rsidRPr="003726FE">
          <w:rPr>
            <w:lang w:val="en-GB"/>
          </w:rPr>
          <w:fldChar w:fldCharType="separate"/>
        </w:r>
        <w:r w:rsidR="0094469E" w:rsidRPr="003726FE">
          <w:rPr>
            <w:noProof/>
            <w:lang w:val="en-GB"/>
          </w:rPr>
          <w:t>Bowen et al. (2017, p. 9)</w:t>
        </w:r>
        <w:r w:rsidR="0094469E" w:rsidRPr="003726FE">
          <w:rPr>
            <w:lang w:val="en-GB"/>
          </w:rPr>
          <w:fldChar w:fldCharType="end"/>
        </w:r>
      </w:hyperlink>
      <w:r w:rsidR="0081297F" w:rsidRPr="003726FE">
        <w:rPr>
          <w:lang w:val="en-GB"/>
        </w:rPr>
        <w:t xml:space="preserve"> </w:t>
      </w:r>
      <w:r w:rsidR="006D6006" w:rsidRPr="003726FE">
        <w:rPr>
          <w:lang w:val="en-GB"/>
        </w:rPr>
        <w:t xml:space="preserve">suggested </w:t>
      </w:r>
      <w:r w:rsidR="006D6006" w:rsidRPr="003726FE">
        <w:rPr>
          <w:lang w:val="en-GB"/>
        </w:rPr>
        <w:lastRenderedPageBreak/>
        <w:t>that there was</w:t>
      </w:r>
      <w:r w:rsidR="0081297F" w:rsidRPr="003726FE">
        <w:rPr>
          <w:lang w:val="en-GB"/>
        </w:rPr>
        <w:t xml:space="preserve"> a lack of attention to the caus</w:t>
      </w:r>
      <w:r w:rsidR="00F34ED8" w:rsidRPr="003726FE">
        <w:rPr>
          <w:lang w:val="en-GB"/>
        </w:rPr>
        <w:t>es of malad</w:t>
      </w:r>
      <w:r w:rsidR="0081297F" w:rsidRPr="003726FE">
        <w:rPr>
          <w:lang w:val="en-GB"/>
        </w:rPr>
        <w:t>aptive feedback behaviours in faculty development interventions, suggesting that “Shifting focus to enhancing learners</w:t>
      </w:r>
      <w:r w:rsidR="00D30D5F" w:rsidRPr="003726FE">
        <w:rPr>
          <w:lang w:val="en-GB"/>
        </w:rPr>
        <w:t>’</w:t>
      </w:r>
      <w:r w:rsidR="0081297F" w:rsidRPr="003726FE">
        <w:rPr>
          <w:lang w:val="en-GB"/>
        </w:rPr>
        <w:t xml:space="preserve"> feedback literacy skills, to enable them to recognize and seek out feedback relevant to their own personal learning needs, would seem to be the key aspect of the educational alliance in need of attention.”</w:t>
      </w:r>
      <w:r w:rsidR="007D13B7" w:rsidRPr="003726FE">
        <w:rPr>
          <w:lang w:val="en-GB"/>
        </w:rPr>
        <w:t xml:space="preserve"> </w:t>
      </w:r>
    </w:p>
    <w:p w14:paraId="3F6C57D0" w14:textId="77777777" w:rsidR="00700DC5" w:rsidRDefault="00700DC5" w:rsidP="00026049">
      <w:pPr>
        <w:pStyle w:val="Normal1"/>
        <w:rPr>
          <w:lang w:val="en-GB"/>
        </w:rPr>
      </w:pPr>
    </w:p>
    <w:p w14:paraId="6A9E230D" w14:textId="1C02E3DC" w:rsidR="00B43CBC" w:rsidRPr="003726FE" w:rsidRDefault="00700DC5" w:rsidP="00026049">
      <w:pPr>
        <w:pStyle w:val="Normal1"/>
        <w:rPr>
          <w:lang w:val="en-GB"/>
        </w:rPr>
      </w:pPr>
      <w:r w:rsidRPr="003726FE">
        <w:rPr>
          <w:lang w:val="en-GB"/>
        </w:rPr>
        <w:t>The faculty development intervention used in this study</w:t>
      </w:r>
      <w:r>
        <w:rPr>
          <w:lang w:val="en-GB"/>
        </w:rPr>
        <w:t xml:space="preserve"> (Chapter B1)</w:t>
      </w:r>
      <w:r w:rsidRPr="003726FE">
        <w:rPr>
          <w:lang w:val="en-GB"/>
        </w:rPr>
        <w:t xml:space="preserve"> aimed to adopt the best practice recommendations of the above literature as far as was possible. A theoretical framework (SRL theory) was used to inform the ‘active ingredient’ of the intervention, specifically SRL MA. Support was available throughout the training, delivery, and evaluation phase of the intervention. This also provided an opportunity to maintain a feedback dialogue with teachers, a key feature in successful faculty development interventions </w:t>
      </w:r>
      <w:r w:rsidRPr="003726FE">
        <w:rPr>
          <w:lang w:val="en-GB"/>
        </w:rPr>
        <w:fldChar w:fldCharType="begin"/>
      </w:r>
      <w:r>
        <w:rPr>
          <w:lang w:val="en-GB"/>
        </w:rPr>
        <w:instrText xml:space="preserve"> ADDIN EN.CITE &lt;EndNote&gt;&lt;Cite&gt;&lt;Author&gt;Coomarasamy&lt;/Author&gt;&lt;Year&gt;2004&lt;/Year&gt;&lt;RecNum&gt;730&lt;/RecNum&gt;&lt;DisplayText&gt;(Coomarasamy and Khan 2004)&lt;/DisplayText&gt;&lt;record&gt;&lt;rec-number&gt;730&lt;/rec-number&gt;&lt;foreign-keys&gt;&lt;key app="EN" db-id="xa2r2ewea92trkef5dt5arvbzafvpv2za5ft" timestamp="1496417571"&gt;730&lt;/key&gt;&lt;/foreign-keys&gt;&lt;ref-type name="Journal Article"&gt;17&lt;/ref-type&gt;&lt;contributors&gt;&lt;authors&gt;&lt;author&gt;Coomarasamy, Arri&lt;/author&gt;&lt;author&gt;Khan, Khalid S&lt;/author&gt;&lt;/authors&gt;&lt;/contributors&gt;&lt;titles&gt;&lt;title&gt;What is the evidence that postgraduate teaching in evidence based medicine changes anything? A systematic review&lt;/title&gt;&lt;secondary-title&gt;Bmj&lt;/secondary-title&gt;&lt;/titles&gt;&lt;periodical&gt;&lt;full-title&gt;BMJ&lt;/full-title&gt;&lt;/periodical&gt;&lt;pages&gt;1017&lt;/pages&gt;&lt;volume&gt;329&lt;/volume&gt;&lt;number&gt;7473&lt;/number&gt;&lt;dates&gt;&lt;year&gt;2004&lt;/year&gt;&lt;/dates&gt;&lt;isbn&gt;0959-8138&lt;/isbn&gt;&lt;urls&gt;&lt;/urls&gt;&lt;/record&gt;&lt;/Cite&gt;&lt;/EndNote&gt;</w:instrText>
      </w:r>
      <w:r w:rsidRPr="003726FE">
        <w:rPr>
          <w:lang w:val="en-GB"/>
        </w:rPr>
        <w:fldChar w:fldCharType="separate"/>
      </w:r>
      <w:r w:rsidRPr="003726FE">
        <w:rPr>
          <w:noProof/>
          <w:lang w:val="en-GB"/>
        </w:rPr>
        <w:t>(</w:t>
      </w:r>
      <w:hyperlink w:anchor="_ENREF_96" w:tooltip="Coomarasamy, 2004 #730" w:history="1">
        <w:r w:rsidR="0094469E" w:rsidRPr="003726FE">
          <w:rPr>
            <w:noProof/>
            <w:lang w:val="en-GB"/>
          </w:rPr>
          <w:t>Coomarasamy and Khan 2004</w:t>
        </w:r>
      </w:hyperlink>
      <w:r w:rsidRPr="003726FE">
        <w:rPr>
          <w:noProof/>
          <w:lang w:val="en-GB"/>
        </w:rPr>
        <w:t>)</w:t>
      </w:r>
      <w:r w:rsidRPr="003726FE">
        <w:rPr>
          <w:lang w:val="en-GB"/>
        </w:rPr>
        <w:fldChar w:fldCharType="end"/>
      </w:r>
      <w:r w:rsidRPr="003726FE">
        <w:rPr>
          <w:lang w:val="en-GB"/>
        </w:rPr>
        <w:t xml:space="preserve">. An in-depth evaluation was conducted for the intervention using qualitative methods involving interviews with the teachers that explored their motivations as well as their </w:t>
      </w:r>
      <w:r>
        <w:rPr>
          <w:lang w:val="en-GB"/>
        </w:rPr>
        <w:t>conceptualisation</w:t>
      </w:r>
      <w:r w:rsidRPr="003726FE">
        <w:rPr>
          <w:lang w:val="en-GB"/>
        </w:rPr>
        <w:t xml:space="preserve">s of teaching. The impact on the learners </w:t>
      </w:r>
      <w:r w:rsidR="00907B20">
        <w:rPr>
          <w:lang w:val="en-GB"/>
        </w:rPr>
        <w:t>was</w:t>
      </w:r>
      <w:r w:rsidRPr="003726FE">
        <w:rPr>
          <w:lang w:val="en-GB"/>
        </w:rPr>
        <w:t xml:space="preserve"> also explored in this study, an evaluation method rarely used in the intervention literature </w:t>
      </w:r>
      <w:r w:rsidRPr="003726FE">
        <w:rPr>
          <w:lang w:val="en-GB"/>
        </w:rPr>
        <w:fldChar w:fldCharType="begin"/>
      </w:r>
      <w:r>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Pr="003726FE">
        <w:rPr>
          <w:lang w:val="en-GB"/>
        </w:rPr>
        <w:fldChar w:fldCharType="separate"/>
      </w:r>
      <w:r w:rsidRPr="003726FE">
        <w:rPr>
          <w:noProof/>
          <w:lang w:val="en-GB"/>
        </w:rPr>
        <w:t>(</w:t>
      </w:r>
      <w:hyperlink w:anchor="_ENREF_395" w:tooltip="Steinert, 2016 #719" w:history="1">
        <w:r w:rsidR="0094469E" w:rsidRPr="003726FE">
          <w:rPr>
            <w:noProof/>
            <w:lang w:val="en-GB"/>
          </w:rPr>
          <w:t>Steinert et al. 2016</w:t>
        </w:r>
      </w:hyperlink>
      <w:r w:rsidRPr="003726FE">
        <w:rPr>
          <w:noProof/>
          <w:lang w:val="en-GB"/>
        </w:rPr>
        <w:t>)</w:t>
      </w:r>
      <w:r w:rsidRPr="003726FE">
        <w:rPr>
          <w:lang w:val="en-GB"/>
        </w:rPr>
        <w:fldChar w:fldCharType="end"/>
      </w:r>
      <w:r w:rsidRPr="003726FE">
        <w:rPr>
          <w:lang w:val="en-GB"/>
        </w:rPr>
        <w:t xml:space="preserve">. This study compared responses from novice and expert level teachers and mixed them equally within the </w:t>
      </w:r>
      <w:r w:rsidR="001C3420">
        <w:rPr>
          <w:lang w:val="en-GB"/>
        </w:rPr>
        <w:t>feedback conditions</w:t>
      </w:r>
      <w:r w:rsidRPr="003726FE">
        <w:rPr>
          <w:lang w:val="en-GB"/>
        </w:rPr>
        <w:t xml:space="preserve"> (SRLF</w:t>
      </w:r>
      <w:r w:rsidR="001C3420">
        <w:rPr>
          <w:lang w:val="en-GB"/>
        </w:rPr>
        <w:t xml:space="preserve"> and BPF</w:t>
      </w:r>
      <w:r w:rsidRPr="003726FE">
        <w:rPr>
          <w:lang w:val="en-GB"/>
        </w:rPr>
        <w:t>) to compare both within and between</w:t>
      </w:r>
      <w:r w:rsidR="00907B20">
        <w:rPr>
          <w:lang w:val="en-GB"/>
        </w:rPr>
        <w:t>-</w:t>
      </w:r>
      <w:r w:rsidRPr="003726FE">
        <w:rPr>
          <w:lang w:val="en-GB"/>
        </w:rPr>
        <w:t>groups based upon these factors.</w:t>
      </w:r>
      <w:r w:rsidR="00F176D2" w:rsidRPr="003726FE">
        <w:rPr>
          <w:lang w:val="en-GB"/>
        </w:rPr>
        <w:br w:type="page"/>
      </w:r>
    </w:p>
    <w:p w14:paraId="1CFC918F" w14:textId="05F4C69C" w:rsidR="00F65BA5" w:rsidRPr="003726FE" w:rsidRDefault="00F65BA5" w:rsidP="00B1638D">
      <w:pPr>
        <w:pStyle w:val="Heading2"/>
        <w:rPr>
          <w:lang w:val="en-GB"/>
        </w:rPr>
      </w:pPr>
      <w:bookmarkStart w:id="140" w:name="_Toc500319327"/>
      <w:r w:rsidRPr="003726FE">
        <w:rPr>
          <w:lang w:val="en-GB"/>
        </w:rPr>
        <w:lastRenderedPageBreak/>
        <w:t>A1.4 The Research Aims, Objectives, and Questions</w:t>
      </w:r>
      <w:bookmarkEnd w:id="140"/>
    </w:p>
    <w:p w14:paraId="2068D0C0" w14:textId="77777777" w:rsidR="00F65BA5" w:rsidRPr="003726FE" w:rsidRDefault="00F65BA5" w:rsidP="00026049">
      <w:pPr>
        <w:pStyle w:val="Normal1"/>
        <w:rPr>
          <w:lang w:val="en-GB"/>
        </w:rPr>
      </w:pPr>
    </w:p>
    <w:p w14:paraId="701D1942" w14:textId="4E30E190" w:rsidR="00F65BA5" w:rsidRPr="003726FE" w:rsidRDefault="00F65BA5" w:rsidP="00026049">
      <w:pPr>
        <w:pStyle w:val="Normal1"/>
        <w:rPr>
          <w:lang w:val="en-GB"/>
        </w:rPr>
      </w:pPr>
      <w:r w:rsidRPr="003726FE">
        <w:rPr>
          <w:lang w:val="en-GB"/>
        </w:rPr>
        <w:t xml:space="preserve">The purpose of this study was to explore the impact of two feedback giving </w:t>
      </w:r>
      <w:r w:rsidR="002E282C" w:rsidRPr="003726FE">
        <w:rPr>
          <w:lang w:val="en-GB"/>
        </w:rPr>
        <w:t>models</w:t>
      </w:r>
      <w:r w:rsidRPr="003726FE">
        <w:rPr>
          <w:lang w:val="en-GB"/>
        </w:rPr>
        <w:t xml:space="preserve"> informed by SRL</w:t>
      </w:r>
      <w:r w:rsidR="002E282C" w:rsidRPr="003726FE">
        <w:rPr>
          <w:lang w:val="en-GB"/>
        </w:rPr>
        <w:t xml:space="preserve"> and</w:t>
      </w:r>
      <w:r w:rsidRPr="003726FE">
        <w:rPr>
          <w:lang w:val="en-GB"/>
        </w:rPr>
        <w:t xml:space="preserve"> best practice principles on medical undergraduate</w:t>
      </w:r>
      <w:r w:rsidR="00907B20">
        <w:rPr>
          <w:lang w:val="en-GB"/>
        </w:rPr>
        <w:t>s</w:t>
      </w:r>
      <w:r w:rsidRPr="003726FE">
        <w:rPr>
          <w:lang w:val="en-GB"/>
        </w:rPr>
        <w:t xml:space="preserve">’ immediate and future learning and feedback behaviours. An explanatory sequential mixed methods design was used which involved the collection of quantitative data followed up by the collection of in-depth qualitative data </w:t>
      </w:r>
      <w:r w:rsidR="00EF281A" w:rsidRPr="003726FE">
        <w:rPr>
          <w:lang w:val="en-GB"/>
        </w:rPr>
        <w:fldChar w:fldCharType="begin"/>
      </w:r>
      <w:r w:rsidR="008B61BE">
        <w:rPr>
          <w:lang w:val="en-GB"/>
        </w:rPr>
        <w:instrText xml:space="preserve"> ADDIN EN.CITE &lt;EndNote&gt;&lt;Cite&gt;&lt;Author&gt;Ivankova&lt;/Author&gt;&lt;Year&gt;2006&lt;/Year&gt;&lt;RecNum&gt;116&lt;/RecNum&gt;&lt;DisplayText&gt;(Ivankova et al. 2006)&lt;/DisplayText&gt;&lt;record&gt;&lt;rec-number&gt;116&lt;/rec-number&gt;&lt;foreign-keys&gt;&lt;key app="EN" db-id="xa2r2ewea92trkef5dt5arvbzafvpv2za5ft" timestamp="1442161764"&gt;116&lt;/key&gt;&lt;/foreign-keys&gt;&lt;ref-type name="Journal Article"&gt;17&lt;/ref-type&gt;&lt;contributors&gt;&lt;authors&gt;&lt;author&gt;Ivankova, Nataliya V.&lt;/author&gt;&lt;author&gt;Creswell, John W.&lt;/author&gt;&lt;author&gt;Stick, Sheldon L.&lt;/author&gt;&lt;/authors&gt;&lt;/contributors&gt;&lt;titles&gt;&lt;title&gt;Using mixed-methods sequential explanatory design: From theory to practice&lt;/title&gt;&lt;secondary-title&gt;Field Methods&lt;/secondary-title&gt;&lt;/titles&gt;&lt;periodical&gt;&lt;full-title&gt;Field Methods&lt;/full-title&gt;&lt;/periodical&gt;&lt;pages&gt;3-20&lt;/pages&gt;&lt;volume&gt;18&lt;/volume&gt;&lt;number&gt;1&lt;/number&gt;&lt;dates&gt;&lt;year&gt;2006&lt;/year&gt;&lt;/dates&gt;&lt;publisher&gt;Sage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01" w:tooltip="Ivankova, 2006 #116" w:history="1">
        <w:r w:rsidR="0094469E" w:rsidRPr="003726FE">
          <w:rPr>
            <w:noProof/>
            <w:lang w:val="en-GB"/>
          </w:rPr>
          <w:t>Ivankova et al. 2006</w:t>
        </w:r>
      </w:hyperlink>
      <w:r w:rsidR="004E5A78" w:rsidRPr="003726FE">
        <w:rPr>
          <w:noProof/>
          <w:lang w:val="en-GB"/>
        </w:rPr>
        <w:t>)</w:t>
      </w:r>
      <w:r w:rsidR="00EF281A" w:rsidRPr="003726FE">
        <w:rPr>
          <w:lang w:val="en-GB"/>
        </w:rPr>
        <w:fldChar w:fldCharType="end"/>
      </w:r>
      <w:r w:rsidRPr="003726FE">
        <w:rPr>
          <w:lang w:val="en-GB"/>
        </w:rPr>
        <w:t xml:space="preserve">. This study was formed of three linked phases: the design and planning phase, the intervention phase, and the follow-up evaluation phase. </w:t>
      </w:r>
    </w:p>
    <w:p w14:paraId="275EEC11" w14:textId="77777777" w:rsidR="00F65BA5" w:rsidRPr="003726FE" w:rsidRDefault="00F65BA5" w:rsidP="00026049">
      <w:pPr>
        <w:pStyle w:val="Normal1"/>
        <w:rPr>
          <w:lang w:val="en-GB"/>
        </w:rPr>
      </w:pPr>
    </w:p>
    <w:p w14:paraId="7F932203" w14:textId="7C75F7DC" w:rsidR="00F65BA5" w:rsidRPr="003726FE" w:rsidRDefault="00907B20" w:rsidP="00026049">
      <w:pPr>
        <w:pStyle w:val="Normal1"/>
        <w:rPr>
          <w:lang w:val="en-GB"/>
        </w:rPr>
      </w:pPr>
      <w:r>
        <w:rPr>
          <w:lang w:val="en-GB"/>
        </w:rPr>
        <w:t>S</w:t>
      </w:r>
      <w:r w:rsidR="00F65BA5" w:rsidRPr="003726FE">
        <w:rPr>
          <w:lang w:val="en-GB"/>
        </w:rPr>
        <w:t xml:space="preserve">coping </w:t>
      </w:r>
      <w:r w:rsidR="00AF1245" w:rsidRPr="003726FE">
        <w:rPr>
          <w:lang w:val="en-GB"/>
        </w:rPr>
        <w:t xml:space="preserve">and </w:t>
      </w:r>
      <w:r w:rsidR="00F65BA5" w:rsidRPr="003726FE">
        <w:rPr>
          <w:lang w:val="en-GB"/>
        </w:rPr>
        <w:t>systematic review</w:t>
      </w:r>
      <w:r>
        <w:rPr>
          <w:lang w:val="en-GB"/>
        </w:rPr>
        <w:t>s</w:t>
      </w:r>
      <w:r w:rsidR="00F65BA5" w:rsidRPr="003726FE">
        <w:rPr>
          <w:lang w:val="en-GB"/>
        </w:rPr>
        <w:t xml:space="preserve"> of the literature were undertaken to determine the research problem and to identify gaps in the literature. Insights from these reviews led to the design of the research project and the development of the SRL informed feedback model for clinical skills teaching. Clinical skills teachers were recruited </w:t>
      </w:r>
      <w:r w:rsidR="00AF1245" w:rsidRPr="003726FE">
        <w:rPr>
          <w:lang w:val="en-GB"/>
        </w:rPr>
        <w:t>then</w:t>
      </w:r>
      <w:r w:rsidR="00F65BA5" w:rsidRPr="003726FE">
        <w:rPr>
          <w:lang w:val="en-GB"/>
        </w:rPr>
        <w:t xml:space="preserve"> trained depending upon their random allocation to the feedback models. This phase include</w:t>
      </w:r>
      <w:r w:rsidR="00AF1245" w:rsidRPr="003726FE">
        <w:rPr>
          <w:lang w:val="en-GB"/>
        </w:rPr>
        <w:t>d</w:t>
      </w:r>
      <w:r w:rsidR="00F65BA5" w:rsidRPr="003726FE">
        <w:rPr>
          <w:lang w:val="en-GB"/>
        </w:rPr>
        <w:t xml:space="preserve"> the pilot study where both SRL and best practice feedback models were trialled and modified prior </w:t>
      </w:r>
      <w:r w:rsidR="002A1C63">
        <w:rPr>
          <w:lang w:val="en-GB"/>
        </w:rPr>
        <w:t xml:space="preserve">to </w:t>
      </w:r>
      <w:r w:rsidR="00F65BA5" w:rsidRPr="003726FE">
        <w:rPr>
          <w:lang w:val="en-GB"/>
        </w:rPr>
        <w:t xml:space="preserve">the </w:t>
      </w:r>
      <w:r w:rsidR="00AF1245" w:rsidRPr="003726FE">
        <w:rPr>
          <w:lang w:val="en-GB"/>
        </w:rPr>
        <w:t>intervention</w:t>
      </w:r>
      <w:r w:rsidR="00F65BA5" w:rsidRPr="003726FE">
        <w:rPr>
          <w:lang w:val="en-GB"/>
        </w:rPr>
        <w:t xml:space="preserve"> phase.</w:t>
      </w:r>
    </w:p>
    <w:p w14:paraId="4A8CC520" w14:textId="77777777" w:rsidR="00F65BA5" w:rsidRPr="003726FE" w:rsidRDefault="00F65BA5" w:rsidP="00026049">
      <w:pPr>
        <w:pStyle w:val="Normal1"/>
        <w:rPr>
          <w:lang w:val="en-GB"/>
        </w:rPr>
      </w:pPr>
    </w:p>
    <w:p w14:paraId="1573362B" w14:textId="0FFF9F55" w:rsidR="00F65BA5" w:rsidRPr="003726FE" w:rsidRDefault="00F65BA5" w:rsidP="00026049">
      <w:pPr>
        <w:pStyle w:val="Normal1"/>
        <w:rPr>
          <w:lang w:val="en-GB"/>
        </w:rPr>
      </w:pPr>
      <w:r w:rsidRPr="003726FE">
        <w:rPr>
          <w:lang w:val="en-GB"/>
        </w:rPr>
        <w:t xml:space="preserve">These models were put into practice by the clinical skills teachers with a cohort of undergraduate medical students in the intervention phase of this study. The aim of this phase was to deliver the teaching using the feedback models, and to </w:t>
      </w:r>
      <w:r w:rsidR="009A1184">
        <w:rPr>
          <w:lang w:val="en-GB"/>
        </w:rPr>
        <w:t>evaluate</w:t>
      </w:r>
      <w:r w:rsidRPr="003726FE">
        <w:rPr>
          <w:lang w:val="en-GB"/>
        </w:rPr>
        <w:t xml:space="preserve"> the</w:t>
      </w:r>
      <w:r w:rsidR="00A47CA8" w:rsidRPr="003726FE">
        <w:rPr>
          <w:lang w:val="en-GB"/>
        </w:rPr>
        <w:t>ir</w:t>
      </w:r>
      <w:r w:rsidRPr="003726FE">
        <w:rPr>
          <w:lang w:val="en-GB"/>
        </w:rPr>
        <w:t xml:space="preserve"> imme</w:t>
      </w:r>
      <w:r w:rsidR="00A47CA8" w:rsidRPr="003726FE">
        <w:rPr>
          <w:lang w:val="en-GB"/>
        </w:rPr>
        <w:t xml:space="preserve">diate impact on </w:t>
      </w:r>
      <w:r w:rsidR="001C3420">
        <w:rPr>
          <w:lang w:val="en-GB"/>
        </w:rPr>
        <w:t xml:space="preserve">the </w:t>
      </w:r>
      <w:r w:rsidR="00A47CA8" w:rsidRPr="003726FE">
        <w:rPr>
          <w:lang w:val="en-GB"/>
        </w:rPr>
        <w:t xml:space="preserve">SRL </w:t>
      </w:r>
      <w:r w:rsidR="001C3420">
        <w:rPr>
          <w:lang w:val="en-GB"/>
        </w:rPr>
        <w:t>capacity and self-efficacy beliefs of students and the practices of teachers</w:t>
      </w:r>
      <w:r w:rsidR="00A47CA8" w:rsidRPr="003726FE">
        <w:rPr>
          <w:lang w:val="en-GB"/>
        </w:rPr>
        <w:t>.</w:t>
      </w:r>
    </w:p>
    <w:p w14:paraId="7FF1C56B" w14:textId="77777777" w:rsidR="00F65BA5" w:rsidRPr="003726FE" w:rsidRDefault="00F65BA5" w:rsidP="00026049">
      <w:pPr>
        <w:pStyle w:val="Normal1"/>
        <w:rPr>
          <w:lang w:val="en-GB"/>
        </w:rPr>
      </w:pPr>
    </w:p>
    <w:p w14:paraId="792F83BE" w14:textId="51722909" w:rsidR="00F65BA5" w:rsidRPr="003726FE" w:rsidRDefault="00F65BA5" w:rsidP="00026049">
      <w:pPr>
        <w:pStyle w:val="Normal1"/>
        <w:rPr>
          <w:lang w:val="en-GB"/>
        </w:rPr>
      </w:pPr>
      <w:r w:rsidRPr="003726FE">
        <w:rPr>
          <w:lang w:val="en-GB"/>
        </w:rPr>
        <w:t>The aim of the follow-up evaluation phase was to explore how the feedback models affected the learning strategies of students in authentic clinical environments.</w:t>
      </w:r>
      <w:r w:rsidR="00A47CA8" w:rsidRPr="003726FE">
        <w:rPr>
          <w:lang w:val="en-GB"/>
        </w:rPr>
        <w:t xml:space="preserve"> The SRL survey tool was </w:t>
      </w:r>
      <w:r w:rsidR="001C3420">
        <w:rPr>
          <w:lang w:val="en-GB"/>
        </w:rPr>
        <w:t xml:space="preserve">also </w:t>
      </w:r>
      <w:r w:rsidR="00A47CA8" w:rsidRPr="003726FE">
        <w:rPr>
          <w:lang w:val="en-GB"/>
        </w:rPr>
        <w:t>assessed and validated during this phase.</w:t>
      </w:r>
      <w:r w:rsidRPr="003726FE">
        <w:rPr>
          <w:lang w:val="en-GB"/>
        </w:rPr>
        <w:t xml:space="preserve"> Process and outcome evaluations were conducted to </w:t>
      </w:r>
      <w:r w:rsidR="009A1184">
        <w:rPr>
          <w:lang w:val="en-GB"/>
        </w:rPr>
        <w:t>evaluate</w:t>
      </w:r>
      <w:r w:rsidRPr="003726FE">
        <w:rPr>
          <w:lang w:val="en-GB"/>
        </w:rPr>
        <w:t xml:space="preserve"> the mixed methods approach as well as the impact of the two feedback methods.</w:t>
      </w:r>
    </w:p>
    <w:p w14:paraId="2EDE0331" w14:textId="77777777" w:rsidR="00F65BA5" w:rsidRDefault="00F65BA5" w:rsidP="00026049">
      <w:pPr>
        <w:pStyle w:val="Normal1"/>
        <w:rPr>
          <w:lang w:val="en-GB"/>
        </w:rPr>
      </w:pPr>
    </w:p>
    <w:p w14:paraId="2E8B8B15" w14:textId="77777777" w:rsidR="0049047B" w:rsidRDefault="0049047B" w:rsidP="00026049">
      <w:pPr>
        <w:pStyle w:val="Normal1"/>
        <w:rPr>
          <w:lang w:val="en-GB"/>
        </w:rPr>
      </w:pPr>
    </w:p>
    <w:p w14:paraId="63A621F7" w14:textId="77777777" w:rsidR="0049047B" w:rsidRDefault="0049047B" w:rsidP="00026049">
      <w:pPr>
        <w:pStyle w:val="Normal1"/>
        <w:rPr>
          <w:lang w:val="en-GB"/>
        </w:rPr>
      </w:pPr>
    </w:p>
    <w:p w14:paraId="7771F252" w14:textId="77777777" w:rsidR="0049047B" w:rsidRDefault="0049047B" w:rsidP="00026049">
      <w:pPr>
        <w:pStyle w:val="Normal1"/>
        <w:rPr>
          <w:lang w:val="en-GB"/>
        </w:rPr>
      </w:pPr>
    </w:p>
    <w:p w14:paraId="696A1BB6" w14:textId="77777777" w:rsidR="0049047B" w:rsidRDefault="0049047B" w:rsidP="00026049">
      <w:pPr>
        <w:pStyle w:val="Normal1"/>
        <w:rPr>
          <w:lang w:val="en-GB"/>
        </w:rPr>
      </w:pPr>
    </w:p>
    <w:p w14:paraId="26B612EC" w14:textId="77777777" w:rsidR="0049047B" w:rsidRDefault="0049047B" w:rsidP="00026049">
      <w:pPr>
        <w:pStyle w:val="Normal1"/>
        <w:rPr>
          <w:lang w:val="en-GB"/>
        </w:rPr>
      </w:pPr>
    </w:p>
    <w:p w14:paraId="3200C09A" w14:textId="77777777" w:rsidR="0049047B" w:rsidRPr="003726FE" w:rsidRDefault="0049047B" w:rsidP="00026049">
      <w:pPr>
        <w:pStyle w:val="Normal1"/>
        <w:rPr>
          <w:lang w:val="en-GB"/>
        </w:rPr>
      </w:pPr>
    </w:p>
    <w:p w14:paraId="162D2953" w14:textId="77777777" w:rsidR="00F65BA5" w:rsidRPr="003726FE" w:rsidRDefault="00F65BA5" w:rsidP="00026049">
      <w:pPr>
        <w:pStyle w:val="Normal1"/>
        <w:rPr>
          <w:lang w:val="en-GB"/>
        </w:rPr>
      </w:pPr>
      <w:r w:rsidRPr="003726FE">
        <w:rPr>
          <w:lang w:val="en-GB"/>
        </w:rPr>
        <w:t>A summary of the objectives for this study are listed below:</w:t>
      </w:r>
    </w:p>
    <w:p w14:paraId="5D97034F" w14:textId="491A52A0" w:rsidR="00F65BA5" w:rsidRPr="003726FE" w:rsidRDefault="00F65BA5" w:rsidP="00026049">
      <w:pPr>
        <w:pStyle w:val="Normal1"/>
        <w:numPr>
          <w:ilvl w:val="0"/>
          <w:numId w:val="16"/>
        </w:numPr>
        <w:rPr>
          <w:lang w:val="en-GB"/>
        </w:rPr>
      </w:pPr>
      <w:r w:rsidRPr="003726FE">
        <w:rPr>
          <w:lang w:val="en-GB"/>
        </w:rPr>
        <w:t>To develop and deliver feedback models informed by SRL and best practice principles to a cohort of medical undergraduate students in clinical skills teaching sessions.</w:t>
      </w:r>
    </w:p>
    <w:p w14:paraId="0566C359" w14:textId="026FA957" w:rsidR="00F65BA5" w:rsidRPr="003726FE" w:rsidRDefault="00F65BA5" w:rsidP="00026049">
      <w:pPr>
        <w:pStyle w:val="Normal1"/>
        <w:numPr>
          <w:ilvl w:val="0"/>
          <w:numId w:val="16"/>
        </w:numPr>
        <w:rPr>
          <w:lang w:val="en-GB"/>
        </w:rPr>
      </w:pPr>
      <w:r w:rsidRPr="003726FE">
        <w:rPr>
          <w:lang w:val="en-GB"/>
        </w:rPr>
        <w:t>To explore the impact of the models on the teaching practices and perceptions of the clinical skills teachers</w:t>
      </w:r>
      <w:r w:rsidR="002E282C" w:rsidRPr="003726FE">
        <w:rPr>
          <w:lang w:val="en-GB"/>
        </w:rPr>
        <w:t>.</w:t>
      </w:r>
    </w:p>
    <w:p w14:paraId="5260D20C" w14:textId="2F061738" w:rsidR="00F65BA5" w:rsidRPr="003726FE" w:rsidRDefault="00F65BA5" w:rsidP="00026049">
      <w:pPr>
        <w:pStyle w:val="Normal1"/>
        <w:numPr>
          <w:ilvl w:val="0"/>
          <w:numId w:val="16"/>
        </w:numPr>
        <w:rPr>
          <w:lang w:val="en-GB"/>
        </w:rPr>
      </w:pPr>
      <w:r w:rsidRPr="003726FE">
        <w:rPr>
          <w:lang w:val="en-GB"/>
        </w:rPr>
        <w:t xml:space="preserve">To identify how students’ SRL and feedback </w:t>
      </w:r>
      <w:r w:rsidR="00A47CA8" w:rsidRPr="003726FE">
        <w:rPr>
          <w:lang w:val="en-GB"/>
        </w:rPr>
        <w:t>behaviours</w:t>
      </w:r>
      <w:r w:rsidRPr="003726FE">
        <w:rPr>
          <w:lang w:val="en-GB"/>
        </w:rPr>
        <w:t xml:space="preserve"> </w:t>
      </w:r>
      <w:r w:rsidR="00A47CA8" w:rsidRPr="003726FE">
        <w:rPr>
          <w:lang w:val="en-GB"/>
        </w:rPr>
        <w:t xml:space="preserve">in authentic clinical learning contexts </w:t>
      </w:r>
      <w:r w:rsidRPr="003726FE">
        <w:rPr>
          <w:lang w:val="en-GB"/>
        </w:rPr>
        <w:t xml:space="preserve">changed as a result of the different ways of </w:t>
      </w:r>
      <w:r w:rsidR="00A47CA8" w:rsidRPr="003726FE">
        <w:rPr>
          <w:lang w:val="en-GB"/>
        </w:rPr>
        <w:t>giving feedback</w:t>
      </w:r>
      <w:r w:rsidRPr="003726FE">
        <w:rPr>
          <w:lang w:val="en-GB"/>
        </w:rPr>
        <w:t>.</w:t>
      </w:r>
    </w:p>
    <w:p w14:paraId="6766F059" w14:textId="50024721" w:rsidR="00F65BA5" w:rsidRPr="003726FE" w:rsidRDefault="00F65BA5" w:rsidP="00026049">
      <w:pPr>
        <w:pStyle w:val="Normal1"/>
        <w:numPr>
          <w:ilvl w:val="0"/>
          <w:numId w:val="16"/>
        </w:numPr>
        <w:rPr>
          <w:lang w:val="en-GB"/>
        </w:rPr>
      </w:pPr>
      <w:r w:rsidRPr="003726FE">
        <w:rPr>
          <w:lang w:val="en-GB"/>
        </w:rPr>
        <w:t>To evaluate the use of the feedback models and the research project as a whole</w:t>
      </w:r>
      <w:r w:rsidR="002E282C" w:rsidRPr="003726FE">
        <w:rPr>
          <w:lang w:val="en-GB"/>
        </w:rPr>
        <w:t>.</w:t>
      </w:r>
    </w:p>
    <w:p w14:paraId="16969FB3" w14:textId="77777777" w:rsidR="00F65BA5" w:rsidRPr="003726FE" w:rsidRDefault="00F65BA5" w:rsidP="00026049">
      <w:pPr>
        <w:pStyle w:val="Normal1"/>
        <w:rPr>
          <w:lang w:val="en-GB"/>
        </w:rPr>
      </w:pPr>
    </w:p>
    <w:p w14:paraId="2B796514" w14:textId="4C082D8A" w:rsidR="00F65BA5" w:rsidRDefault="000532E2" w:rsidP="00026049">
      <w:pPr>
        <w:pStyle w:val="Normal1"/>
        <w:rPr>
          <w:lang w:val="en-GB"/>
        </w:rPr>
      </w:pPr>
      <w:hyperlink w:anchor="_ENREF_399" w:tooltip="Tashakkori, 2010 #827" w:history="1">
        <w:r w:rsidR="0094469E" w:rsidRPr="003726FE">
          <w:rPr>
            <w:lang w:val="en-GB"/>
          </w:rPr>
          <w:fldChar w:fldCharType="begin"/>
        </w:r>
        <w:r w:rsidR="0094469E">
          <w:rPr>
            <w:lang w:val="en-GB"/>
          </w:rPr>
          <w:instrText xml:space="preserve"> ADDIN EN.CITE &lt;EndNote&gt;&lt;Cite AuthorYear="1"&gt;&lt;Author&gt;Tashakkori&lt;/Author&gt;&lt;Year&gt;2010&lt;/Year&gt;&lt;RecNum&gt;827&lt;/RecNum&gt;&lt;DisplayText&gt;Tashakkori and Teddlie (2010)&lt;/DisplayText&gt;&lt;record&gt;&lt;rec-number&gt;827&lt;/rec-number&gt;&lt;foreign-keys&gt;&lt;key app="EN" db-id="xa2r2ewea92trkef5dt5arvbzafvpv2za5ft" timestamp="1496417597"&gt;827&lt;/key&gt;&lt;/foreign-keys&gt;&lt;ref-type name="Book"&gt;6&lt;/ref-type&gt;&lt;contributors&gt;&lt;authors&gt;&lt;author&gt;Tashakkori, Abbas&lt;/author&gt;&lt;author&gt;Teddlie, Charles&lt;/author&gt;&lt;/authors&gt;&lt;/contributors&gt;&lt;titles&gt;&lt;title&gt;Sage handbook of mixed methods in social &amp;amp; behavioral research&lt;/title&gt;&lt;/titles&gt;&lt;dates&gt;&lt;year&gt;2010&lt;/year&gt;&lt;/dates&gt;&lt;publisher&gt;Sage&lt;/publisher&gt;&lt;isbn&gt;1412972663&lt;/isbn&gt;&lt;urls&gt;&lt;/urls&gt;&lt;/record&gt;&lt;/Cite&gt;&lt;/EndNote&gt;</w:instrText>
        </w:r>
        <w:r w:rsidR="0094469E" w:rsidRPr="003726FE">
          <w:rPr>
            <w:lang w:val="en-GB"/>
          </w:rPr>
          <w:fldChar w:fldCharType="separate"/>
        </w:r>
        <w:r w:rsidR="0094469E" w:rsidRPr="003726FE">
          <w:rPr>
            <w:noProof/>
            <w:lang w:val="en-GB"/>
          </w:rPr>
          <w:t>Tashakkori and Teddlie (2010)</w:t>
        </w:r>
        <w:r w:rsidR="0094469E" w:rsidRPr="003726FE">
          <w:rPr>
            <w:lang w:val="en-GB"/>
          </w:rPr>
          <w:fldChar w:fldCharType="end"/>
        </w:r>
      </w:hyperlink>
      <w:r w:rsidR="00F65BA5" w:rsidRPr="003726FE">
        <w:rPr>
          <w:lang w:val="en-GB"/>
        </w:rPr>
        <w:t xml:space="preserve"> suggested that the mixed methods question should come first with smaller sub-questions answerable by qualitative and quantitative methods. </w:t>
      </w:r>
      <w:hyperlink w:anchor="_ENREF_100" w:tooltip="Creswell, 2011 #54" w:history="1">
        <w:r w:rsidR="0094469E" w:rsidRPr="003726FE">
          <w:rPr>
            <w:lang w:val="en-GB"/>
          </w:rPr>
          <w:fldChar w:fldCharType="begin"/>
        </w:r>
        <w:r w:rsidR="0094469E">
          <w:rPr>
            <w:lang w:val="en-GB"/>
          </w:rPr>
          <w:instrText xml:space="preserve"> ADDIN EN.CITE &lt;EndNote&gt;&lt;Cite AuthorYear="1"&gt;&lt;Author&gt;Creswell&lt;/Author&gt;&lt;Year&gt;2011&lt;/Year&gt;&lt;RecNum&gt;54&lt;/RecNum&gt;&lt;DisplayText&gt;Creswell et al. (2011)&lt;/DisplayText&gt;&lt;record&gt;&lt;rec-number&gt;54&lt;/rec-number&gt;&lt;foreign-keys&gt;&lt;key app="EN" db-id="xa2r2ewea92trkef5dt5arvbzafvpv2za5ft" timestamp="1442161763"&gt;54&lt;/key&gt;&lt;/foreign-keys&gt;&lt;ref-type name="Journal Article"&gt;17&lt;/ref-type&gt;&lt;contributors&gt;&lt;authors&gt;&lt;author&gt;Creswell, John W.&lt;/author&gt;&lt;author&gt;Klassen, Ann Carroll&lt;/author&gt;&lt;author&gt;Plano Clark, Vicki L.&lt;/author&gt;&lt;author&gt;Smith, Katherine Clegg&lt;/author&gt;&lt;/authors&gt;&lt;/contributors&gt;&lt;titles&gt;&lt;title&gt;Best practices for mixed methods research in the health sciences&lt;/title&gt;&lt;secondary-title&gt;Bethesda (Maryland): National Institutes of Health&lt;/secondary-title&gt;&lt;/titles&gt;&lt;periodical&gt;&lt;full-title&gt;Bethesda (Maryland): National Institutes of Health&lt;/full-title&gt;&lt;/periodical&gt;&lt;pages&gt;2094-2103&lt;/pages&gt;&lt;dates&gt;&lt;year&gt;2011&lt;/year&gt;&lt;/dates&gt;&lt;urls&gt;&lt;/urls&gt;&lt;/record&gt;&lt;/Cite&gt;&lt;/EndNote&gt;</w:instrText>
        </w:r>
        <w:r w:rsidR="0094469E" w:rsidRPr="003726FE">
          <w:rPr>
            <w:lang w:val="en-GB"/>
          </w:rPr>
          <w:fldChar w:fldCharType="separate"/>
        </w:r>
        <w:r w:rsidR="0094469E" w:rsidRPr="003726FE">
          <w:rPr>
            <w:noProof/>
            <w:lang w:val="en-GB"/>
          </w:rPr>
          <w:t>Creswell et al. (2011)</w:t>
        </w:r>
        <w:r w:rsidR="0094469E" w:rsidRPr="003726FE">
          <w:rPr>
            <w:lang w:val="en-GB"/>
          </w:rPr>
          <w:fldChar w:fldCharType="end"/>
        </w:r>
      </w:hyperlink>
      <w:r w:rsidR="00F65BA5" w:rsidRPr="003726FE">
        <w:rPr>
          <w:lang w:val="en-GB"/>
        </w:rPr>
        <w:t xml:space="preserve"> opposed this, and advise</w:t>
      </w:r>
      <w:r w:rsidR="000A6EBF">
        <w:rPr>
          <w:lang w:val="en-GB"/>
        </w:rPr>
        <w:t>d</w:t>
      </w:r>
      <w:r w:rsidR="00F65BA5" w:rsidRPr="003726FE">
        <w:rPr>
          <w:lang w:val="en-GB"/>
        </w:rPr>
        <w:t xml:space="preserve"> researchers to develop questions for the specific strands first which leads to a mixed methods question to address evidence from both strands. Thus, this design enables the researcher to answer specific questions from the individual strands and also questions which address the mixing of the strands. This reflects the approach used in the present study, the research questions are </w:t>
      </w:r>
      <w:r w:rsidR="000A6EBF">
        <w:rPr>
          <w:lang w:val="en-GB"/>
        </w:rPr>
        <w:t>as</w:t>
      </w:r>
      <w:r w:rsidR="00F65BA5" w:rsidRPr="003726FE">
        <w:rPr>
          <w:lang w:val="en-GB"/>
        </w:rPr>
        <w:t xml:space="preserve"> </w:t>
      </w:r>
      <w:r w:rsidR="000A6EBF">
        <w:rPr>
          <w:lang w:val="en-GB"/>
        </w:rPr>
        <w:t>follows</w:t>
      </w:r>
      <w:r w:rsidR="00F65BA5" w:rsidRPr="003726FE">
        <w:rPr>
          <w:lang w:val="en-GB"/>
        </w:rPr>
        <w:t>:</w:t>
      </w:r>
    </w:p>
    <w:p w14:paraId="23B5A4D6" w14:textId="77777777" w:rsidR="000A6EBF" w:rsidRPr="003726FE" w:rsidRDefault="000A6EBF" w:rsidP="00026049">
      <w:pPr>
        <w:pStyle w:val="Normal1"/>
        <w:rPr>
          <w:lang w:val="en-GB"/>
        </w:rPr>
      </w:pPr>
    </w:p>
    <w:p w14:paraId="6B277BF1" w14:textId="3481FF53" w:rsidR="00F65BA5" w:rsidRPr="003726FE" w:rsidRDefault="00F65BA5" w:rsidP="00026049">
      <w:pPr>
        <w:pStyle w:val="Normal1"/>
        <w:numPr>
          <w:ilvl w:val="0"/>
          <w:numId w:val="17"/>
        </w:numPr>
        <w:rPr>
          <w:lang w:val="en-GB"/>
        </w:rPr>
      </w:pPr>
      <w:r w:rsidRPr="003726FE">
        <w:rPr>
          <w:b/>
          <w:lang w:val="en-GB"/>
        </w:rPr>
        <w:t>Quantitative phase</w:t>
      </w:r>
      <w:r w:rsidRPr="003726FE">
        <w:rPr>
          <w:lang w:val="en-GB"/>
        </w:rPr>
        <w:t xml:space="preserve"> – How does an SRL informed feedback model impact upon the SRL behaviours and self-efficacy</w:t>
      </w:r>
      <w:r w:rsidR="001C3420">
        <w:rPr>
          <w:lang w:val="en-GB"/>
        </w:rPr>
        <w:t xml:space="preserve"> beliefs</w:t>
      </w:r>
      <w:r w:rsidRPr="003726FE">
        <w:rPr>
          <w:lang w:val="en-GB"/>
        </w:rPr>
        <w:t xml:space="preserve"> of medical undergraduates in the </w:t>
      </w:r>
      <w:r w:rsidR="000470C2">
        <w:rPr>
          <w:lang w:val="en-GB"/>
        </w:rPr>
        <w:t>immediate</w:t>
      </w:r>
      <w:r w:rsidRPr="003726FE">
        <w:rPr>
          <w:lang w:val="en-GB"/>
        </w:rPr>
        <w:t xml:space="preserve"> and </w:t>
      </w:r>
      <w:r w:rsidR="00826050">
        <w:rPr>
          <w:lang w:val="en-GB"/>
        </w:rPr>
        <w:t>longer-term</w:t>
      </w:r>
      <w:r w:rsidRPr="003726FE">
        <w:rPr>
          <w:lang w:val="en-GB"/>
        </w:rPr>
        <w:t>, compared to a best practice feedback model?</w:t>
      </w:r>
    </w:p>
    <w:p w14:paraId="64CAB7EC" w14:textId="1BD2D885" w:rsidR="00F65BA5" w:rsidRPr="003726FE" w:rsidRDefault="00F65BA5" w:rsidP="00026049">
      <w:pPr>
        <w:pStyle w:val="Normal1"/>
        <w:numPr>
          <w:ilvl w:val="0"/>
          <w:numId w:val="17"/>
        </w:numPr>
        <w:rPr>
          <w:lang w:val="en-GB"/>
        </w:rPr>
      </w:pPr>
      <w:r w:rsidRPr="003726FE">
        <w:rPr>
          <w:b/>
          <w:lang w:val="en-GB"/>
        </w:rPr>
        <w:t>Qualitative phase</w:t>
      </w:r>
      <w:r w:rsidRPr="003726FE">
        <w:rPr>
          <w:lang w:val="en-GB"/>
        </w:rPr>
        <w:t xml:space="preserve"> – How have the different ways </w:t>
      </w:r>
      <w:r w:rsidR="00907B20">
        <w:rPr>
          <w:lang w:val="en-GB"/>
        </w:rPr>
        <w:t xml:space="preserve">of </w:t>
      </w:r>
      <w:r w:rsidRPr="003726FE">
        <w:rPr>
          <w:lang w:val="en-GB"/>
        </w:rPr>
        <w:t xml:space="preserve">giving feedback impacted upon </w:t>
      </w:r>
      <w:r w:rsidR="00826050">
        <w:rPr>
          <w:lang w:val="en-GB"/>
        </w:rPr>
        <w:t>longer-term</w:t>
      </w:r>
      <w:r w:rsidRPr="003726FE">
        <w:rPr>
          <w:lang w:val="en-GB"/>
        </w:rPr>
        <w:t xml:space="preserve"> learning strategies, and use of feedback for future learning, in both groups of students? How have the feedback </w:t>
      </w:r>
      <w:r w:rsidR="000A6EBF">
        <w:rPr>
          <w:lang w:val="en-GB"/>
        </w:rPr>
        <w:t>models</w:t>
      </w:r>
      <w:r w:rsidRPr="003726FE">
        <w:rPr>
          <w:lang w:val="en-GB"/>
        </w:rPr>
        <w:t xml:space="preserve"> impacted upon </w:t>
      </w:r>
      <w:r w:rsidR="000A6EBF">
        <w:rPr>
          <w:lang w:val="en-GB"/>
        </w:rPr>
        <w:t xml:space="preserve">the </w:t>
      </w:r>
      <w:r w:rsidRPr="003726FE">
        <w:rPr>
          <w:lang w:val="en-GB"/>
        </w:rPr>
        <w:t xml:space="preserve">practices of the clinical skills </w:t>
      </w:r>
      <w:r w:rsidR="000A6EBF">
        <w:rPr>
          <w:lang w:val="en-GB"/>
        </w:rPr>
        <w:t>teachers</w:t>
      </w:r>
      <w:r w:rsidRPr="003726FE">
        <w:rPr>
          <w:lang w:val="en-GB"/>
        </w:rPr>
        <w:t>?</w:t>
      </w:r>
    </w:p>
    <w:p w14:paraId="4FFEBDD0" w14:textId="52BBFC89" w:rsidR="00F65BA5" w:rsidRPr="003726FE" w:rsidRDefault="00F65BA5" w:rsidP="00026049">
      <w:pPr>
        <w:pStyle w:val="Normal1"/>
        <w:numPr>
          <w:ilvl w:val="0"/>
          <w:numId w:val="17"/>
        </w:numPr>
        <w:rPr>
          <w:lang w:val="en-GB"/>
        </w:rPr>
      </w:pPr>
      <w:r w:rsidRPr="003726FE">
        <w:rPr>
          <w:b/>
          <w:lang w:val="en-GB"/>
        </w:rPr>
        <w:t>Mixed –</w:t>
      </w:r>
      <w:r w:rsidRPr="003726FE">
        <w:rPr>
          <w:lang w:val="en-GB"/>
        </w:rPr>
        <w:t xml:space="preserve"> How do feedback models informed by SRL and best practice principles impact upon the </w:t>
      </w:r>
      <w:r w:rsidR="000470C2">
        <w:rPr>
          <w:lang w:val="en-GB"/>
        </w:rPr>
        <w:t>immediate</w:t>
      </w:r>
      <w:r w:rsidRPr="003726FE">
        <w:rPr>
          <w:lang w:val="en-GB"/>
        </w:rPr>
        <w:t xml:space="preserve"> and </w:t>
      </w:r>
      <w:r w:rsidR="00826050">
        <w:rPr>
          <w:lang w:val="en-GB"/>
        </w:rPr>
        <w:t>longer-term</w:t>
      </w:r>
      <w:r w:rsidRPr="003726FE">
        <w:rPr>
          <w:lang w:val="en-GB"/>
        </w:rPr>
        <w:t xml:space="preserve"> learning strategies of medical undergraduate students from simulated to authentic clinical learning environments?</w:t>
      </w:r>
    </w:p>
    <w:p w14:paraId="7AC4AFAC" w14:textId="77777777" w:rsidR="00F65BA5" w:rsidRPr="003726FE" w:rsidRDefault="00F65BA5" w:rsidP="00F65BA5">
      <w:pPr>
        <w:rPr>
          <w:rFonts w:asciiTheme="majorHAnsi" w:eastAsiaTheme="majorEastAsia" w:hAnsiTheme="majorHAnsi" w:cstheme="majorBidi"/>
          <w:color w:val="2E74B5" w:themeColor="accent1" w:themeShade="BF"/>
          <w:sz w:val="32"/>
          <w:szCs w:val="32"/>
        </w:rPr>
      </w:pPr>
      <w:r w:rsidRPr="003726FE">
        <w:br w:type="page"/>
      </w:r>
    </w:p>
    <w:p w14:paraId="4FB3A08F" w14:textId="5BE5BC06" w:rsidR="005765F4" w:rsidRPr="003726FE" w:rsidRDefault="005765F4" w:rsidP="00426FCB">
      <w:pPr>
        <w:pStyle w:val="Heading1"/>
      </w:pPr>
      <w:bookmarkStart w:id="141" w:name="_Toc487456821"/>
      <w:bookmarkStart w:id="142" w:name="_Toc487811201"/>
      <w:bookmarkStart w:id="143" w:name="_Toc488147544"/>
      <w:bookmarkStart w:id="144" w:name="_Toc488309156"/>
      <w:bookmarkStart w:id="145" w:name="_Toc488930117"/>
      <w:bookmarkStart w:id="146" w:name="_Toc489017331"/>
      <w:bookmarkStart w:id="147" w:name="_Toc489447685"/>
      <w:bookmarkStart w:id="148" w:name="_Toc490650172"/>
      <w:bookmarkStart w:id="149" w:name="_Toc500319328"/>
      <w:bookmarkStart w:id="150" w:name="_Toc500319534"/>
      <w:r w:rsidRPr="003726FE">
        <w:lastRenderedPageBreak/>
        <w:t>Chapter A2</w:t>
      </w:r>
      <w:r w:rsidR="00F176D2" w:rsidRPr="003726FE">
        <w:t xml:space="preserve">: </w:t>
      </w:r>
      <w:r w:rsidRPr="003726FE">
        <w:t>Self</w:t>
      </w:r>
      <w:r w:rsidR="00F176D2" w:rsidRPr="003726FE">
        <w:t xml:space="preserve">-Regulated Learning Interventions </w:t>
      </w:r>
      <w:r w:rsidR="00915EB4">
        <w:t>with</w:t>
      </w:r>
      <w:r w:rsidR="00F176D2" w:rsidRPr="003726FE">
        <w:t xml:space="preserve"> Feedback - A Systematic Review</w:t>
      </w:r>
      <w:bookmarkEnd w:id="141"/>
      <w:bookmarkEnd w:id="142"/>
      <w:bookmarkEnd w:id="143"/>
      <w:bookmarkEnd w:id="144"/>
      <w:bookmarkEnd w:id="145"/>
      <w:bookmarkEnd w:id="146"/>
      <w:bookmarkEnd w:id="147"/>
      <w:bookmarkEnd w:id="148"/>
      <w:bookmarkEnd w:id="149"/>
      <w:bookmarkEnd w:id="150"/>
    </w:p>
    <w:p w14:paraId="18A3D5AD" w14:textId="77777777" w:rsidR="00477E60" w:rsidRPr="003726FE" w:rsidRDefault="00477E60"/>
    <w:p w14:paraId="4C06E011" w14:textId="6F1902ED" w:rsidR="00B37332" w:rsidRPr="003726FE" w:rsidRDefault="00F65BA5" w:rsidP="00B1638D">
      <w:pPr>
        <w:pStyle w:val="Heading2"/>
        <w:rPr>
          <w:lang w:val="en-GB"/>
        </w:rPr>
      </w:pPr>
      <w:bookmarkStart w:id="151" w:name="_Toc500319329"/>
      <w:r w:rsidRPr="003726FE">
        <w:rPr>
          <w:lang w:val="en-GB"/>
        </w:rPr>
        <w:t xml:space="preserve">A2.1 </w:t>
      </w:r>
      <w:r w:rsidR="003726FE">
        <w:rPr>
          <w:lang w:val="en-GB"/>
        </w:rPr>
        <w:t>Chapter Context</w:t>
      </w:r>
      <w:bookmarkEnd w:id="151"/>
    </w:p>
    <w:p w14:paraId="34521546" w14:textId="77777777" w:rsidR="00B37332" w:rsidRPr="003726FE" w:rsidRDefault="00B37332" w:rsidP="00026049">
      <w:pPr>
        <w:pStyle w:val="Normal1"/>
        <w:rPr>
          <w:lang w:val="en-GB"/>
        </w:rPr>
      </w:pPr>
    </w:p>
    <w:p w14:paraId="0B916F20" w14:textId="462EF7FE" w:rsidR="003726FE" w:rsidRPr="003726FE" w:rsidRDefault="00B37332" w:rsidP="003726FE">
      <w:pPr>
        <w:pStyle w:val="Normal1"/>
        <w:rPr>
          <w:lang w:val="en-GB"/>
        </w:rPr>
      </w:pPr>
      <w:r w:rsidRPr="003726FE">
        <w:rPr>
          <w:lang w:val="en-GB"/>
        </w:rPr>
        <w:t>A</w:t>
      </w:r>
      <w:r w:rsidR="00477E60" w:rsidRPr="003726FE">
        <w:rPr>
          <w:lang w:val="en-GB"/>
        </w:rPr>
        <w:t xml:space="preserve"> scoping review</w:t>
      </w:r>
      <w:r w:rsidRPr="003726FE">
        <w:rPr>
          <w:lang w:val="en-GB"/>
        </w:rPr>
        <w:t xml:space="preserve"> was conducted</w:t>
      </w:r>
      <w:r w:rsidR="00477E60" w:rsidRPr="003726FE">
        <w:rPr>
          <w:lang w:val="en-GB"/>
        </w:rPr>
        <w:t xml:space="preserve"> which identified that there were no previous syntheses on SRL interventions using feedback in clinical skills, hence the need for a wider systematic review of the educational literature. The aim of this </w:t>
      </w:r>
      <w:r w:rsidRPr="003726FE">
        <w:rPr>
          <w:lang w:val="en-GB"/>
        </w:rPr>
        <w:t xml:space="preserve">systematic </w:t>
      </w:r>
      <w:r w:rsidR="00477E60" w:rsidRPr="003726FE">
        <w:rPr>
          <w:lang w:val="en-GB"/>
        </w:rPr>
        <w:t xml:space="preserve">review was to synthesise all available evidence on SRL interventions </w:t>
      </w:r>
      <w:r w:rsidR="004B592B">
        <w:rPr>
          <w:lang w:val="en-GB"/>
        </w:rPr>
        <w:t>with a</w:t>
      </w:r>
      <w:r w:rsidR="00477E60" w:rsidRPr="003726FE">
        <w:rPr>
          <w:lang w:val="en-GB"/>
        </w:rPr>
        <w:t xml:space="preserve"> feedback</w:t>
      </w:r>
      <w:r w:rsidR="004B592B">
        <w:rPr>
          <w:lang w:val="en-GB"/>
        </w:rPr>
        <w:t xml:space="preserve"> component</w:t>
      </w:r>
      <w:r w:rsidR="00477E60" w:rsidRPr="003726FE">
        <w:rPr>
          <w:lang w:val="en-GB"/>
        </w:rPr>
        <w:t xml:space="preserve"> from all educational contexts and assess their applicability to </w:t>
      </w:r>
      <w:r w:rsidRPr="003726FE">
        <w:rPr>
          <w:lang w:val="en-GB"/>
        </w:rPr>
        <w:t>medical education.</w:t>
      </w:r>
      <w:r w:rsidR="00DA2650">
        <w:rPr>
          <w:lang w:val="en-GB"/>
        </w:rPr>
        <w:t xml:space="preserve"> T</w:t>
      </w:r>
      <w:r w:rsidR="003726FE" w:rsidRPr="003726FE">
        <w:rPr>
          <w:lang w:val="en-GB"/>
        </w:rPr>
        <w:t>here was no work examining the potentially significant effect of a focused intervention using SRL feedback in clinical skills or the wider educational context. These</w:t>
      </w:r>
      <w:r w:rsidR="004B592B">
        <w:rPr>
          <w:lang w:val="en-GB"/>
        </w:rPr>
        <w:t xml:space="preserve"> findings informed the purpose,</w:t>
      </w:r>
      <w:r w:rsidR="003726FE" w:rsidRPr="003726FE">
        <w:rPr>
          <w:lang w:val="en-GB"/>
        </w:rPr>
        <w:t xml:space="preserve"> objectives</w:t>
      </w:r>
      <w:r w:rsidR="004B592B">
        <w:rPr>
          <w:lang w:val="en-GB"/>
        </w:rPr>
        <w:t xml:space="preserve">, and </w:t>
      </w:r>
      <w:r w:rsidR="004B592B" w:rsidRPr="003726FE">
        <w:rPr>
          <w:lang w:val="en-GB"/>
        </w:rPr>
        <w:t>questions</w:t>
      </w:r>
      <w:r w:rsidR="003726FE" w:rsidRPr="003726FE">
        <w:rPr>
          <w:lang w:val="en-GB"/>
        </w:rPr>
        <w:t xml:space="preserve"> of the present </w:t>
      </w:r>
      <w:r w:rsidR="00FC0FFB" w:rsidRPr="003726FE">
        <w:rPr>
          <w:lang w:val="en-GB"/>
        </w:rPr>
        <w:t>study</w:t>
      </w:r>
      <w:r w:rsidR="003726FE" w:rsidRPr="003726FE">
        <w:rPr>
          <w:lang w:val="en-GB"/>
        </w:rPr>
        <w:t>.</w:t>
      </w:r>
    </w:p>
    <w:p w14:paraId="6560C2BD" w14:textId="77777777" w:rsidR="003726FE" w:rsidRPr="003726FE" w:rsidRDefault="003726FE" w:rsidP="003726FE">
      <w:pPr>
        <w:pStyle w:val="Normal1"/>
        <w:rPr>
          <w:lang w:val="en-GB"/>
        </w:rPr>
      </w:pPr>
    </w:p>
    <w:p w14:paraId="4F34F201" w14:textId="25182406" w:rsidR="00477E60" w:rsidRPr="003726FE" w:rsidRDefault="003726FE" w:rsidP="00026049">
      <w:pPr>
        <w:pStyle w:val="Normal1"/>
        <w:rPr>
          <w:lang w:val="en-GB"/>
        </w:rPr>
      </w:pPr>
      <w:r w:rsidRPr="003726FE">
        <w:rPr>
          <w:lang w:val="en-GB"/>
        </w:rPr>
        <w:t xml:space="preserve">This review was originally conducted in April 2015 and was updated in July 2017 where </w:t>
      </w:r>
      <w:r w:rsidR="00915EB4">
        <w:rPr>
          <w:lang w:val="en-GB"/>
        </w:rPr>
        <w:t>three</w:t>
      </w:r>
      <w:r w:rsidRPr="003726FE">
        <w:rPr>
          <w:lang w:val="en-GB"/>
        </w:rPr>
        <w:t xml:space="preserve"> articles were added </w:t>
      </w:r>
      <w:r w:rsidR="00E12C97">
        <w:rPr>
          <w:lang w:val="en-GB"/>
        </w:rPr>
        <w:t>that</w:t>
      </w:r>
      <w:r w:rsidRPr="003726FE">
        <w:rPr>
          <w:lang w:val="en-GB"/>
        </w:rPr>
        <w:t xml:space="preserve"> had been published since the original </w:t>
      </w:r>
      <w:r w:rsidR="00E12C97">
        <w:rPr>
          <w:lang w:val="en-GB"/>
        </w:rPr>
        <w:t>review</w:t>
      </w:r>
      <w:r w:rsidRPr="003726FE">
        <w:rPr>
          <w:lang w:val="en-GB"/>
        </w:rPr>
        <w:t xml:space="preserve"> </w:t>
      </w:r>
      <w:r w:rsidRPr="003726FE">
        <w:rPr>
          <w:lang w:val="en-GB"/>
        </w:rPr>
        <w:fldChar w:fldCharType="begin">
          <w:fldData xml:space="preserve">PEVuZE5vdGU+PENpdGU+PEF1dGhvcj5BbmRyZXdzPC9BdXRob3I+PFllYXI+MjAxNzwvWWVhcj48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==
</w:fldData>
        </w:fldChar>
      </w:r>
      <w:r w:rsidR="008B61BE">
        <w:rPr>
          <w:lang w:val="en-GB"/>
        </w:rPr>
        <w:instrText xml:space="preserve"> ADDIN EN.CITE </w:instrText>
      </w:r>
      <w:r w:rsidR="008B61BE">
        <w:rPr>
          <w:lang w:val="en-GB"/>
        </w:rPr>
        <w:fldChar w:fldCharType="begin">
          <w:fldData xml:space="preserve">PEVuZE5vdGU+PENpdGU+PEF1dGhvcj5BbmRyZXdzPC9BdXRob3I+PFllYXI+MjAxNzwvWWVhcj48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==
</w:fldData>
        </w:fldChar>
      </w:r>
      <w:r w:rsidR="008B61BE">
        <w:rPr>
          <w:lang w:val="en-GB"/>
        </w:rPr>
        <w:instrText xml:space="preserve"> ADDIN EN.CITE.DATA </w:instrText>
      </w:r>
      <w:r w:rsidR="008B61BE">
        <w:rPr>
          <w:lang w:val="en-GB"/>
        </w:rPr>
      </w:r>
      <w:r w:rsidR="008B61BE">
        <w:rPr>
          <w:lang w:val="en-GB"/>
        </w:rPr>
        <w:fldChar w:fldCharType="end"/>
      </w:r>
      <w:r w:rsidRPr="003726FE">
        <w:rPr>
          <w:lang w:val="en-GB"/>
        </w:rPr>
      </w:r>
      <w:r w:rsidRPr="003726FE">
        <w:rPr>
          <w:lang w:val="en-GB"/>
        </w:rPr>
        <w:fldChar w:fldCharType="separate"/>
      </w:r>
      <w:r w:rsidRPr="003726FE">
        <w:rPr>
          <w:noProof/>
          <w:lang w:val="en-GB"/>
        </w:rPr>
        <w:t>(</w:t>
      </w:r>
      <w:hyperlink w:anchor="_ENREF_2" w:tooltip="Andrews, 2017 #588" w:history="1">
        <w:r w:rsidR="0094469E" w:rsidRPr="003726FE">
          <w:rPr>
            <w:noProof/>
            <w:lang w:val="en-GB"/>
          </w:rPr>
          <w:t>Andrews et al. 2017</w:t>
        </w:r>
      </w:hyperlink>
      <w:r w:rsidRPr="003726FE">
        <w:rPr>
          <w:noProof/>
          <w:lang w:val="en-GB"/>
        </w:rPr>
        <w:t xml:space="preserve">; </w:t>
      </w:r>
      <w:hyperlink w:anchor="_ENREF_90" w:tooltip="Cleary, 2017 #935" w:history="1">
        <w:r w:rsidR="0094469E" w:rsidRPr="003726FE">
          <w:rPr>
            <w:noProof/>
            <w:lang w:val="en-GB"/>
          </w:rPr>
          <w:t>Cleary et al. 2017</w:t>
        </w:r>
      </w:hyperlink>
      <w:r w:rsidRPr="003726FE">
        <w:rPr>
          <w:noProof/>
          <w:lang w:val="en-GB"/>
        </w:rPr>
        <w:t xml:space="preserve">; </w:t>
      </w:r>
      <w:hyperlink w:anchor="_ENREF_164" w:tooltip="Goudas, 2017 #934" w:history="1">
        <w:r w:rsidR="0094469E" w:rsidRPr="003726FE">
          <w:rPr>
            <w:noProof/>
            <w:lang w:val="en-GB"/>
          </w:rPr>
          <w:t>Goudas et al. 2017</w:t>
        </w:r>
      </w:hyperlink>
      <w:r w:rsidRPr="003726FE">
        <w:rPr>
          <w:noProof/>
          <w:lang w:val="en-GB"/>
        </w:rPr>
        <w:t>)</w:t>
      </w:r>
      <w:r w:rsidRPr="003726FE">
        <w:rPr>
          <w:lang w:val="en-GB"/>
        </w:rPr>
        <w:fldChar w:fldCharType="end"/>
      </w:r>
      <w:r w:rsidRPr="003726FE">
        <w:rPr>
          <w:lang w:val="en-GB"/>
        </w:rPr>
        <w:t>.</w:t>
      </w:r>
      <w:bookmarkStart w:id="152" w:name="_Toc429988449"/>
      <w:r w:rsidR="00477E60" w:rsidRPr="003726FE">
        <w:rPr>
          <w:b/>
          <w:lang w:val="en-GB"/>
        </w:rPr>
        <w:br w:type="page"/>
      </w:r>
    </w:p>
    <w:p w14:paraId="67958DFA" w14:textId="566BCB8F" w:rsidR="00477E60" w:rsidRPr="003726FE" w:rsidRDefault="00F65BA5" w:rsidP="00B1638D">
      <w:pPr>
        <w:pStyle w:val="Heading2"/>
        <w:rPr>
          <w:lang w:val="en-GB"/>
        </w:rPr>
      </w:pPr>
      <w:bookmarkStart w:id="153" w:name="_Toc429988450"/>
      <w:bookmarkStart w:id="154" w:name="_Toc500319330"/>
      <w:bookmarkEnd w:id="152"/>
      <w:r w:rsidRPr="003726FE">
        <w:rPr>
          <w:lang w:val="en-GB"/>
        </w:rPr>
        <w:lastRenderedPageBreak/>
        <w:t xml:space="preserve">A2.2 </w:t>
      </w:r>
      <w:r w:rsidR="00477E60" w:rsidRPr="003726FE">
        <w:rPr>
          <w:lang w:val="en-GB"/>
        </w:rPr>
        <w:t xml:space="preserve">Scoping </w:t>
      </w:r>
      <w:r w:rsidR="00915EB4">
        <w:rPr>
          <w:lang w:val="en-GB"/>
        </w:rPr>
        <w:t>R</w:t>
      </w:r>
      <w:r w:rsidR="00477E60" w:rsidRPr="003726FE">
        <w:rPr>
          <w:lang w:val="en-GB"/>
        </w:rPr>
        <w:t xml:space="preserve">eview and </w:t>
      </w:r>
      <w:r w:rsidR="00C74413">
        <w:rPr>
          <w:lang w:val="en-GB"/>
        </w:rPr>
        <w:t xml:space="preserve">Systematic Review </w:t>
      </w:r>
      <w:r w:rsidR="00915EB4">
        <w:rPr>
          <w:lang w:val="en-GB"/>
        </w:rPr>
        <w:t>A</w:t>
      </w:r>
      <w:r w:rsidR="00477E60" w:rsidRPr="003726FE">
        <w:rPr>
          <w:lang w:val="en-GB"/>
        </w:rPr>
        <w:t>ims</w:t>
      </w:r>
      <w:bookmarkEnd w:id="153"/>
      <w:bookmarkEnd w:id="154"/>
      <w:r w:rsidR="00477E60" w:rsidRPr="003726FE">
        <w:rPr>
          <w:lang w:val="en-GB"/>
        </w:rPr>
        <w:t xml:space="preserve"> </w:t>
      </w:r>
    </w:p>
    <w:p w14:paraId="6F749605" w14:textId="77777777" w:rsidR="00477E60" w:rsidRPr="003726FE" w:rsidRDefault="00477E60" w:rsidP="00026049">
      <w:pPr>
        <w:pStyle w:val="Normal1"/>
        <w:rPr>
          <w:lang w:val="en-GB"/>
        </w:rPr>
      </w:pPr>
    </w:p>
    <w:p w14:paraId="66AC34BA" w14:textId="1AED4263" w:rsidR="00477E60" w:rsidRPr="003726FE" w:rsidRDefault="00CA6423" w:rsidP="00026049">
      <w:pPr>
        <w:pStyle w:val="Normal1"/>
        <w:rPr>
          <w:color w:val="5B9BD5" w:themeColor="accent1"/>
          <w:lang w:val="en-GB"/>
        </w:rPr>
      </w:pPr>
      <w:r w:rsidRPr="003726FE">
        <w:rPr>
          <w:lang w:val="en-GB"/>
        </w:rPr>
        <w:t>A</w:t>
      </w:r>
      <w:r w:rsidR="00477E60" w:rsidRPr="003726FE">
        <w:rPr>
          <w:lang w:val="en-GB"/>
        </w:rPr>
        <w:t xml:space="preserve"> scoping review was conducted of the key texts relating to SRL and feedback, using basic search terms (Self-regulated learning AND feedback AND medical education). The purpose of this was to identify any existing syntheses</w:t>
      </w:r>
      <w:r w:rsidR="00C6680C" w:rsidRPr="003726FE">
        <w:rPr>
          <w:lang w:val="en-GB"/>
        </w:rPr>
        <w:t xml:space="preserve"> to inform the </w:t>
      </w:r>
      <w:r w:rsidR="00907B20">
        <w:rPr>
          <w:lang w:val="en-GB"/>
        </w:rPr>
        <w:t xml:space="preserve">systematic </w:t>
      </w:r>
      <w:r w:rsidR="00C6680C" w:rsidRPr="003726FE">
        <w:rPr>
          <w:lang w:val="en-GB"/>
        </w:rPr>
        <w:t>review</w:t>
      </w:r>
      <w:r w:rsidR="00477E60" w:rsidRPr="003726FE">
        <w:rPr>
          <w:lang w:val="en-GB"/>
        </w:rPr>
        <w:t>; it also provide</w:t>
      </w:r>
      <w:r w:rsidR="00810BAD">
        <w:rPr>
          <w:lang w:val="en-GB"/>
        </w:rPr>
        <w:t>d</w:t>
      </w:r>
      <w:r w:rsidR="00477E60" w:rsidRPr="003726FE">
        <w:rPr>
          <w:lang w:val="en-GB"/>
        </w:rPr>
        <w:t xml:space="preserve"> a valuable insight into the breadth of research which exist</w:t>
      </w:r>
      <w:r w:rsidR="00810BAD">
        <w:rPr>
          <w:lang w:val="en-GB"/>
        </w:rPr>
        <w:t>ed</w:t>
      </w:r>
      <w:r w:rsidR="00477E60" w:rsidRPr="003726FE">
        <w:rPr>
          <w:lang w:val="en-GB"/>
        </w:rPr>
        <w:t xml:space="preserve"> in the field </w:t>
      </w:r>
      <w:r w:rsidR="00EF281A" w:rsidRPr="003726FE">
        <w:rPr>
          <w:lang w:val="en-GB"/>
        </w:rPr>
        <w:fldChar w:fldCharType="begin"/>
      </w:r>
      <w:r w:rsidR="008B61BE">
        <w:rPr>
          <w:lang w:val="en-GB"/>
        </w:rPr>
        <w:instrText xml:space="preserve"> ADDIN EN.CITE &lt;EndNote&gt;&lt;Cite&gt;&lt;Author&gt;Sharma&lt;/Author&gt;&lt;Year&gt;2014&lt;/Year&gt;&lt;RecNum&gt;238&lt;/RecNum&gt;&lt;DisplayText&gt;(Sharma et al. 2014)&lt;/DisplayText&gt;&lt;record&gt;&lt;rec-number&gt;238&lt;/rec-number&gt;&lt;foreign-keys&gt;&lt;key app="EN" db-id="xa2r2ewea92trkef5dt5arvbzafvpv2za5ft" timestamp="1442161765"&gt;238&lt;/key&gt;&lt;/foreign-keys&gt;&lt;ref-type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London&lt;/publisher&gt;&lt;urls&gt;&lt;/urls&gt;&lt;/record&gt;&lt;/Cite&gt;&lt;Cite&gt;&lt;Author&gt;Sharma&lt;/Author&gt;&lt;Year&gt;2014&lt;/Year&gt;&lt;RecNum&gt;238&lt;/RecNum&gt;&lt;record&gt;&lt;rec-number&gt;238&lt;/rec-number&gt;&lt;foreign-keys&gt;&lt;key app="EN" db-id="xa2r2ewea92trkef5dt5arvbzafvpv2za5ft" timestamp="1442161765"&gt;238&lt;/key&gt;&lt;/foreign-keys&gt;&lt;ref-type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London&lt;/publisher&gt;&lt;urls&gt;&lt;/urls&gt;&lt;/record&gt;&lt;/Cite&gt;&lt;/EndNote&gt;</w:instrText>
      </w:r>
      <w:r w:rsidR="00EF281A" w:rsidRPr="003726FE">
        <w:rPr>
          <w:lang w:val="en-GB"/>
        </w:rPr>
        <w:fldChar w:fldCharType="separate"/>
      </w:r>
      <w:r w:rsidR="004E5A78" w:rsidRPr="003726FE">
        <w:rPr>
          <w:noProof/>
          <w:lang w:val="en-GB"/>
        </w:rPr>
        <w:t>(</w:t>
      </w:r>
      <w:hyperlink w:anchor="_ENREF_385" w:tooltip="Sharma, 2014 #508" w:history="1">
        <w:r w:rsidR="0094469E" w:rsidRPr="003726FE">
          <w:rPr>
            <w:noProof/>
            <w:lang w:val="en-GB"/>
          </w:rPr>
          <w:t>Sharma et al. 2014</w:t>
        </w:r>
      </w:hyperlink>
      <w:r w:rsidR="004E5A78" w:rsidRPr="003726FE">
        <w:rPr>
          <w:noProof/>
          <w:lang w:val="en-GB"/>
        </w:rPr>
        <w:t>)</w:t>
      </w:r>
      <w:r w:rsidR="00EF281A" w:rsidRPr="003726FE">
        <w:rPr>
          <w:lang w:val="en-GB"/>
        </w:rPr>
        <w:fldChar w:fldCharType="end"/>
      </w:r>
      <w:r w:rsidR="00477E60" w:rsidRPr="003726FE">
        <w:rPr>
          <w:lang w:val="en-GB"/>
        </w:rPr>
        <w:t xml:space="preserve">. This process also helped to identify the underpinning theoretical frameworks and methods used by practitioners when studying the relationship between feedback and SRL. </w:t>
      </w:r>
    </w:p>
    <w:p w14:paraId="776FA799" w14:textId="77777777" w:rsidR="00477E60" w:rsidRPr="003726FE" w:rsidRDefault="00477E60" w:rsidP="00026049">
      <w:pPr>
        <w:pStyle w:val="Normal1"/>
        <w:rPr>
          <w:lang w:val="en-GB"/>
        </w:rPr>
      </w:pPr>
    </w:p>
    <w:p w14:paraId="117D853B" w14:textId="783616FF" w:rsidR="00477E60" w:rsidRPr="003726FE" w:rsidRDefault="00477E60" w:rsidP="00026049">
      <w:pPr>
        <w:pStyle w:val="Normal1"/>
        <w:rPr>
          <w:lang w:val="en-GB"/>
        </w:rPr>
      </w:pPr>
      <w:r w:rsidRPr="003726FE">
        <w:rPr>
          <w:lang w:val="en-GB"/>
        </w:rPr>
        <w:t xml:space="preserve">There was little evidence </w:t>
      </w:r>
      <w:r w:rsidR="00907B20">
        <w:rPr>
          <w:lang w:val="en-GB"/>
        </w:rPr>
        <w:t>that</w:t>
      </w:r>
      <w:r w:rsidRPr="003726FE">
        <w:rPr>
          <w:lang w:val="en-GB"/>
        </w:rPr>
        <w:t xml:space="preserve"> assessed the </w:t>
      </w:r>
      <w:r w:rsidR="00C6680C" w:rsidRPr="003726FE">
        <w:rPr>
          <w:lang w:val="en-GB"/>
        </w:rPr>
        <w:t>impact</w:t>
      </w:r>
      <w:r w:rsidRPr="003726FE">
        <w:rPr>
          <w:lang w:val="en-GB"/>
        </w:rPr>
        <w:t xml:space="preserve"> of SRL</w:t>
      </w:r>
      <w:r w:rsidR="00591977">
        <w:rPr>
          <w:lang w:val="en-GB"/>
        </w:rPr>
        <w:t xml:space="preserve"> and</w:t>
      </w:r>
      <w:r w:rsidRPr="003726FE">
        <w:rPr>
          <w:lang w:val="en-GB"/>
        </w:rPr>
        <w:t xml:space="preserve"> feedback in clinical skills contexts</w:t>
      </w:r>
      <w:r w:rsidR="00C6680C" w:rsidRPr="003726FE">
        <w:rPr>
          <w:lang w:val="en-GB"/>
        </w:rPr>
        <w:t>, whic</w:t>
      </w:r>
      <w:r w:rsidR="00907B20">
        <w:rPr>
          <w:lang w:val="en-GB"/>
        </w:rPr>
        <w:t>h was the original focus of the</w:t>
      </w:r>
      <w:r w:rsidR="00C6680C" w:rsidRPr="003726FE">
        <w:rPr>
          <w:lang w:val="en-GB"/>
        </w:rPr>
        <w:t xml:space="preserve"> review</w:t>
      </w:r>
      <w:r w:rsidRPr="003726FE">
        <w:rPr>
          <w:lang w:val="en-GB"/>
        </w:rPr>
        <w:t>. The decision was made to widen the scope to</w:t>
      </w:r>
      <w:r w:rsidR="00907B20">
        <w:rPr>
          <w:lang w:val="en-GB"/>
        </w:rPr>
        <w:t xml:space="preserve"> conduct a systematic review which</w:t>
      </w:r>
      <w:r w:rsidRPr="003726FE">
        <w:rPr>
          <w:lang w:val="en-GB"/>
        </w:rPr>
        <w:t xml:space="preserve"> include</w:t>
      </w:r>
      <w:r w:rsidR="00907B20">
        <w:rPr>
          <w:lang w:val="en-GB"/>
        </w:rPr>
        <w:t>d</w:t>
      </w:r>
      <w:r w:rsidRPr="003726FE">
        <w:rPr>
          <w:lang w:val="en-GB"/>
        </w:rPr>
        <w:t xml:space="preserve"> evidence from all educational contexts </w:t>
      </w:r>
      <w:r w:rsidR="00907B20">
        <w:rPr>
          <w:lang w:val="en-GB"/>
        </w:rPr>
        <w:t>that</w:t>
      </w:r>
      <w:r w:rsidRPr="003726FE">
        <w:rPr>
          <w:lang w:val="en-GB"/>
        </w:rPr>
        <w:t xml:space="preserve"> studied SRL interventions using feedback. Research from other educational contexts provide</w:t>
      </w:r>
      <w:r w:rsidR="00907B20">
        <w:rPr>
          <w:lang w:val="en-GB"/>
        </w:rPr>
        <w:t>s</w:t>
      </w:r>
      <w:r w:rsidRPr="003726FE">
        <w:rPr>
          <w:lang w:val="en-GB"/>
        </w:rPr>
        <w:t xml:space="preserve"> excellent insight</w:t>
      </w:r>
      <w:r w:rsidR="00C6680C" w:rsidRPr="003726FE">
        <w:rPr>
          <w:lang w:val="en-GB"/>
        </w:rPr>
        <w:t>s</w:t>
      </w:r>
      <w:r w:rsidRPr="003726FE">
        <w:rPr>
          <w:lang w:val="en-GB"/>
        </w:rPr>
        <w:t xml:space="preserve"> when making decisions about implementing educational interventions which incorporate feedback </w:t>
      </w:r>
      <w:r w:rsidR="00EF281A" w:rsidRPr="003726FE">
        <w:rPr>
          <w:lang w:val="en-GB"/>
        </w:rPr>
        <w:fldChar w:fldCharType="begin"/>
      </w:r>
      <w:r w:rsidR="008B61BE">
        <w:rPr>
          <w:lang w:val="en-GB"/>
        </w:rPr>
        <w:instrText xml:space="preserve"> ADDIN EN.CITE &lt;EndNote&gt;&lt;Cite&gt;&lt;Author&gt;Sandars&lt;/Author&gt;&lt;Year&gt;2015&lt;/Year&gt;&lt;RecNum&gt;772&lt;/RecNum&gt;&lt;DisplayText&gt;(Sandars 2015)&lt;/DisplayText&gt;&lt;record&gt;&lt;rec-number&gt;772&lt;/rec-number&gt;&lt;foreign-keys&gt;&lt;key app="EN" db-id="xa2r2ewea92trkef5dt5arvbzafvpv2za5ft" timestamp="1496417585"&gt;772&lt;/key&gt;&lt;key app="ENWeb" db-id=""&gt;0&lt;/key&gt;&lt;/foreign-keys&gt;&lt;ref-type name="Journal Article"&gt;17&lt;/ref-type&gt;&lt;contributors&gt;&lt;authors&gt;&lt;author&gt;Sandars, J.&lt;/author&gt;&lt;/authors&gt;&lt;/contributors&gt;&lt;auth-address&gt;Medical Education Unit, The Medical School, The University of Sheffield, UK.&lt;/auth-address&gt;&lt;titles&gt;&lt;title&gt;The challenge of feedback-insights from non-medical educational research&lt;/title&gt;&lt;secondary-title&gt;International journal of medical education&lt;/secondary-title&gt;&lt;/titles&gt;&lt;periodical&gt;&lt;full-title&gt;International journal of medical education&lt;/full-title&gt;&lt;/periodical&gt;&lt;pages&gt;1-3&lt;/pages&gt;&lt;volume&gt;6&lt;/volume&gt;&lt;dates&gt;&lt;year&gt;2015&lt;/year&gt;&lt;/dates&gt;&lt;pub-location&gt;England&lt;/pub-location&gt;&lt;isbn&gt;2042-6372; 2042-6372&lt;/isbn&gt;&lt;urls&gt;&lt;related-urls&gt;&lt;url&gt;http://www.ncbi.nlm.nih.gov/pmc/articles/PMC4297620/pdf/ijme-6-1.pdf&lt;/url&gt;&lt;/related-urls&gt;&lt;/urls&gt;&lt;electronic-resource-num&gt;10.5116/ijme.5489.eacb [doi]&lt;/electronic-resource-num&gt;&lt;access-date&gt;Jan 2&lt;/access-date&gt;&lt;/record&gt;&lt;/Cite&gt;&lt;/EndNote&gt;</w:instrText>
      </w:r>
      <w:r w:rsidR="00EF281A" w:rsidRPr="003726FE">
        <w:rPr>
          <w:lang w:val="en-GB"/>
        </w:rPr>
        <w:fldChar w:fldCharType="separate"/>
      </w:r>
      <w:r w:rsidR="004E5A78" w:rsidRPr="003726FE">
        <w:rPr>
          <w:noProof/>
          <w:lang w:val="en-GB"/>
        </w:rPr>
        <w:t>(</w:t>
      </w:r>
      <w:hyperlink w:anchor="_ENREF_355" w:tooltip="Sandars, 2015 #772" w:history="1">
        <w:r w:rsidR="0094469E" w:rsidRPr="003726FE">
          <w:rPr>
            <w:noProof/>
            <w:lang w:val="en-GB"/>
          </w:rPr>
          <w:t>Sandars 2015</w:t>
        </w:r>
      </w:hyperlink>
      <w:r w:rsidR="004E5A78" w:rsidRPr="003726FE">
        <w:rPr>
          <w:noProof/>
          <w:lang w:val="en-GB"/>
        </w:rPr>
        <w:t>)</w:t>
      </w:r>
      <w:r w:rsidR="00EF281A" w:rsidRPr="003726FE">
        <w:rPr>
          <w:lang w:val="en-GB"/>
        </w:rPr>
        <w:fldChar w:fldCharType="end"/>
      </w:r>
      <w:r w:rsidRPr="003726FE">
        <w:rPr>
          <w:lang w:val="en-GB"/>
        </w:rPr>
        <w:t>.</w:t>
      </w:r>
    </w:p>
    <w:p w14:paraId="176CEA99" w14:textId="77777777" w:rsidR="00477E60" w:rsidRPr="003726FE" w:rsidRDefault="00477E60" w:rsidP="00026049">
      <w:pPr>
        <w:pStyle w:val="Normal1"/>
        <w:rPr>
          <w:lang w:val="en-GB"/>
        </w:rPr>
      </w:pPr>
    </w:p>
    <w:p w14:paraId="69737B3E" w14:textId="04148D2E" w:rsidR="00477E60" w:rsidRPr="003726FE" w:rsidRDefault="00C6680C" w:rsidP="00026049">
      <w:pPr>
        <w:pStyle w:val="Normal1"/>
        <w:rPr>
          <w:lang w:val="en-GB"/>
        </w:rPr>
      </w:pPr>
      <w:r w:rsidRPr="003726FE">
        <w:rPr>
          <w:lang w:val="en-GB"/>
        </w:rPr>
        <w:t>T</w:t>
      </w:r>
      <w:r w:rsidR="00477E60" w:rsidRPr="003726FE">
        <w:rPr>
          <w:lang w:val="en-GB"/>
        </w:rPr>
        <w:t>he main aim of this</w:t>
      </w:r>
      <w:r w:rsidR="00907B20">
        <w:rPr>
          <w:lang w:val="en-GB"/>
        </w:rPr>
        <w:t xml:space="preserve"> systematic</w:t>
      </w:r>
      <w:r w:rsidR="00477E60" w:rsidRPr="003726FE">
        <w:rPr>
          <w:lang w:val="en-GB"/>
        </w:rPr>
        <w:t xml:space="preserve"> review </w:t>
      </w:r>
      <w:r w:rsidRPr="003726FE">
        <w:rPr>
          <w:lang w:val="en-GB"/>
        </w:rPr>
        <w:t>wa</w:t>
      </w:r>
      <w:r w:rsidR="00477E60" w:rsidRPr="003726FE">
        <w:rPr>
          <w:lang w:val="en-GB"/>
        </w:rPr>
        <w:t xml:space="preserve">s to synthesise the evidence on SRL interventions using feedback from all educational </w:t>
      </w:r>
      <w:r w:rsidR="00FC0FFB" w:rsidRPr="003726FE">
        <w:rPr>
          <w:lang w:val="en-GB"/>
        </w:rPr>
        <w:t>contexts to</w:t>
      </w:r>
      <w:r w:rsidR="00477E60" w:rsidRPr="003726FE">
        <w:rPr>
          <w:lang w:val="en-GB"/>
        </w:rPr>
        <w:t xml:space="preserve"> evaluate their effectiveness and transferability </w:t>
      </w:r>
      <w:r w:rsidRPr="003726FE">
        <w:rPr>
          <w:lang w:val="en-GB"/>
        </w:rPr>
        <w:t xml:space="preserve">to a medical education context. </w:t>
      </w:r>
      <w:r w:rsidR="00477E60" w:rsidRPr="003726FE">
        <w:rPr>
          <w:lang w:val="en-GB"/>
        </w:rPr>
        <w:t xml:space="preserve">Moreover, to be able to explain ‘what works and why’ in their methodological </w:t>
      </w:r>
      <w:r w:rsidR="00FC0FFB" w:rsidRPr="003726FE">
        <w:rPr>
          <w:lang w:val="en-GB"/>
        </w:rPr>
        <w:t>approach to</w:t>
      </w:r>
      <w:r w:rsidR="00477E60" w:rsidRPr="003726FE">
        <w:rPr>
          <w:lang w:val="en-GB"/>
        </w:rPr>
        <w:t xml:space="preserve"> inform </w:t>
      </w:r>
      <w:r w:rsidRPr="003726FE">
        <w:rPr>
          <w:lang w:val="en-GB"/>
        </w:rPr>
        <w:t>the present</w:t>
      </w:r>
      <w:r w:rsidR="00477E60" w:rsidRPr="003726FE">
        <w:rPr>
          <w:lang w:val="en-GB"/>
        </w:rPr>
        <w:t xml:space="preserve"> research design</w:t>
      </w:r>
      <w:r w:rsidRPr="003726FE">
        <w:rPr>
          <w:lang w:val="en-GB"/>
        </w:rPr>
        <w:t>.</w:t>
      </w:r>
    </w:p>
    <w:p w14:paraId="1011F047" w14:textId="77777777" w:rsidR="00477E60" w:rsidRPr="003726FE" w:rsidRDefault="00477E60" w:rsidP="00026049">
      <w:pPr>
        <w:pStyle w:val="Normal1"/>
        <w:rPr>
          <w:lang w:val="en-GB"/>
        </w:rPr>
      </w:pPr>
    </w:p>
    <w:p w14:paraId="1B3B8373" w14:textId="0A10B20E" w:rsidR="00477E60" w:rsidRPr="003726FE" w:rsidRDefault="00907B20" w:rsidP="00026049">
      <w:pPr>
        <w:pStyle w:val="Normal1"/>
        <w:rPr>
          <w:lang w:val="en-GB"/>
        </w:rPr>
      </w:pPr>
      <w:r>
        <w:rPr>
          <w:lang w:val="en-GB"/>
        </w:rPr>
        <w:t>Aims</w:t>
      </w:r>
      <w:r w:rsidR="00477E60" w:rsidRPr="003726FE">
        <w:rPr>
          <w:lang w:val="en-GB"/>
        </w:rPr>
        <w:t xml:space="preserve"> of </w:t>
      </w:r>
      <w:r>
        <w:rPr>
          <w:lang w:val="en-GB"/>
        </w:rPr>
        <w:t xml:space="preserve">the systematic </w:t>
      </w:r>
      <w:r w:rsidR="00477E60" w:rsidRPr="003726FE">
        <w:rPr>
          <w:lang w:val="en-GB"/>
        </w:rPr>
        <w:t>review:</w:t>
      </w:r>
    </w:p>
    <w:p w14:paraId="552E9A55" w14:textId="77777777" w:rsidR="00477E60" w:rsidRPr="003726FE" w:rsidRDefault="00477E60" w:rsidP="00026049">
      <w:pPr>
        <w:pStyle w:val="Normal1"/>
        <w:rPr>
          <w:lang w:val="en-GB"/>
        </w:rPr>
      </w:pPr>
    </w:p>
    <w:p w14:paraId="5CBF22D7" w14:textId="77777777" w:rsidR="00C6680C" w:rsidRPr="003726FE" w:rsidRDefault="00C6680C" w:rsidP="00026049">
      <w:pPr>
        <w:pStyle w:val="Normal1"/>
        <w:numPr>
          <w:ilvl w:val="0"/>
          <w:numId w:val="13"/>
        </w:numPr>
        <w:rPr>
          <w:lang w:val="en-GB"/>
        </w:rPr>
      </w:pPr>
      <w:r w:rsidRPr="003726FE">
        <w:rPr>
          <w:lang w:val="en-GB"/>
        </w:rPr>
        <w:t>To inform the research questions, design, and methodology of the work presented in this thesis.</w:t>
      </w:r>
    </w:p>
    <w:p w14:paraId="77E39A9F" w14:textId="030BE34A" w:rsidR="00477E60" w:rsidRPr="003726FE" w:rsidRDefault="00477E60" w:rsidP="00026049">
      <w:pPr>
        <w:pStyle w:val="Normal1"/>
        <w:numPr>
          <w:ilvl w:val="0"/>
          <w:numId w:val="13"/>
        </w:numPr>
        <w:rPr>
          <w:lang w:val="en-GB"/>
        </w:rPr>
      </w:pPr>
      <w:r w:rsidRPr="003726FE">
        <w:rPr>
          <w:lang w:val="en-GB"/>
        </w:rPr>
        <w:t xml:space="preserve">To understand what SRL feedback interventions/practices </w:t>
      </w:r>
      <w:r w:rsidR="00591977">
        <w:rPr>
          <w:lang w:val="en-GB"/>
        </w:rPr>
        <w:t>were</w:t>
      </w:r>
      <w:r w:rsidRPr="003726FE">
        <w:rPr>
          <w:lang w:val="en-GB"/>
        </w:rPr>
        <w:t xml:space="preserve"> being used in all educational contexts</w:t>
      </w:r>
      <w:r w:rsidR="00C6680C" w:rsidRPr="003726FE">
        <w:rPr>
          <w:lang w:val="en-GB"/>
        </w:rPr>
        <w:t>.</w:t>
      </w:r>
    </w:p>
    <w:p w14:paraId="71AFCD9B" w14:textId="32F0686C" w:rsidR="00477E60" w:rsidRPr="003726FE" w:rsidRDefault="00477E60" w:rsidP="00026049">
      <w:pPr>
        <w:pStyle w:val="Normal1"/>
        <w:numPr>
          <w:ilvl w:val="0"/>
          <w:numId w:val="13"/>
        </w:numPr>
        <w:rPr>
          <w:lang w:val="en-GB"/>
        </w:rPr>
      </w:pPr>
      <w:r w:rsidRPr="003726FE">
        <w:rPr>
          <w:lang w:val="en-GB"/>
        </w:rPr>
        <w:t xml:space="preserve">To determine what characteristics of SRL </w:t>
      </w:r>
      <w:r w:rsidR="00591977">
        <w:rPr>
          <w:lang w:val="en-GB"/>
        </w:rPr>
        <w:t>were</w:t>
      </w:r>
      <w:r w:rsidRPr="003726FE">
        <w:rPr>
          <w:lang w:val="en-GB"/>
        </w:rPr>
        <w:t xml:space="preserve"> focussed upon in the literature</w:t>
      </w:r>
      <w:r w:rsidR="00C6680C" w:rsidRPr="003726FE">
        <w:rPr>
          <w:lang w:val="en-GB"/>
        </w:rPr>
        <w:t>.</w:t>
      </w:r>
    </w:p>
    <w:p w14:paraId="006F994A" w14:textId="4BE2D87E" w:rsidR="00477E60" w:rsidRPr="003726FE" w:rsidRDefault="00477E60" w:rsidP="00026049">
      <w:pPr>
        <w:pStyle w:val="Normal1"/>
        <w:numPr>
          <w:ilvl w:val="0"/>
          <w:numId w:val="13"/>
        </w:numPr>
        <w:rPr>
          <w:lang w:val="en-GB"/>
        </w:rPr>
      </w:pPr>
      <w:r w:rsidRPr="003726FE">
        <w:rPr>
          <w:lang w:val="en-GB"/>
        </w:rPr>
        <w:t>To identify the underlying theoretical framework</w:t>
      </w:r>
      <w:r w:rsidR="00C6680C" w:rsidRPr="003726FE">
        <w:rPr>
          <w:lang w:val="en-GB"/>
        </w:rPr>
        <w:t>s</w:t>
      </w:r>
      <w:r w:rsidRPr="003726FE">
        <w:rPr>
          <w:lang w:val="en-GB"/>
        </w:rPr>
        <w:t xml:space="preserve"> behind SRL feedback interventions</w:t>
      </w:r>
      <w:r w:rsidR="00CA6423" w:rsidRPr="003726FE">
        <w:rPr>
          <w:lang w:val="en-GB"/>
        </w:rPr>
        <w:t>.</w:t>
      </w:r>
    </w:p>
    <w:p w14:paraId="5BBD3AEA" w14:textId="198D9A51" w:rsidR="00477E60" w:rsidRPr="003726FE" w:rsidRDefault="00477E60" w:rsidP="00026049">
      <w:pPr>
        <w:pStyle w:val="Normal1"/>
        <w:numPr>
          <w:ilvl w:val="0"/>
          <w:numId w:val="13"/>
        </w:numPr>
        <w:rPr>
          <w:lang w:val="en-GB"/>
        </w:rPr>
      </w:pPr>
      <w:r w:rsidRPr="003726FE">
        <w:rPr>
          <w:lang w:val="en-GB"/>
        </w:rPr>
        <w:t xml:space="preserve">To analyse any further gaps in </w:t>
      </w:r>
      <w:r w:rsidR="00C6680C" w:rsidRPr="003726FE">
        <w:rPr>
          <w:lang w:val="en-GB"/>
        </w:rPr>
        <w:t>the literature</w:t>
      </w:r>
      <w:r w:rsidRPr="003726FE">
        <w:rPr>
          <w:lang w:val="en-GB"/>
        </w:rPr>
        <w:t xml:space="preserve"> and suggest further investigation</w:t>
      </w:r>
      <w:r w:rsidR="00CA6423" w:rsidRPr="003726FE">
        <w:rPr>
          <w:lang w:val="en-GB"/>
        </w:rPr>
        <w:t>.</w:t>
      </w:r>
    </w:p>
    <w:p w14:paraId="049067FB" w14:textId="77777777" w:rsidR="00C6680C" w:rsidRPr="003726FE" w:rsidRDefault="00C6680C">
      <w:pPr>
        <w:rPr>
          <w:b/>
        </w:rPr>
      </w:pPr>
      <w:bookmarkStart w:id="155" w:name="_Toc429988451"/>
      <w:r w:rsidRPr="003726FE">
        <w:br w:type="page"/>
      </w:r>
    </w:p>
    <w:p w14:paraId="6A3B5F28" w14:textId="3D4FD209" w:rsidR="00477E60" w:rsidRPr="003726FE" w:rsidRDefault="00F65BA5" w:rsidP="00B1638D">
      <w:pPr>
        <w:pStyle w:val="Heading2"/>
        <w:rPr>
          <w:lang w:val="en-GB"/>
        </w:rPr>
      </w:pPr>
      <w:bookmarkStart w:id="156" w:name="_Toc500319331"/>
      <w:r w:rsidRPr="003726FE">
        <w:rPr>
          <w:lang w:val="en-GB"/>
        </w:rPr>
        <w:lastRenderedPageBreak/>
        <w:t xml:space="preserve">A2.3 </w:t>
      </w:r>
      <w:r w:rsidR="00F537BB">
        <w:rPr>
          <w:lang w:val="en-GB"/>
        </w:rPr>
        <w:t xml:space="preserve">Systematic Review </w:t>
      </w:r>
      <w:r w:rsidR="00477E60" w:rsidRPr="003726FE">
        <w:rPr>
          <w:lang w:val="en-GB"/>
        </w:rPr>
        <w:t>Methods</w:t>
      </w:r>
      <w:bookmarkEnd w:id="155"/>
      <w:bookmarkEnd w:id="156"/>
    </w:p>
    <w:p w14:paraId="02BE7F0A" w14:textId="77777777" w:rsidR="00477E60" w:rsidRPr="003726FE" w:rsidRDefault="00477E60" w:rsidP="00026049">
      <w:pPr>
        <w:pStyle w:val="Normal1"/>
        <w:rPr>
          <w:lang w:val="en-GB"/>
        </w:rPr>
      </w:pPr>
    </w:p>
    <w:p w14:paraId="611C5F9F" w14:textId="1C5611E6" w:rsidR="00477E60" w:rsidRPr="003726FE" w:rsidRDefault="00F65BA5" w:rsidP="00BA4521">
      <w:pPr>
        <w:pStyle w:val="Heading3"/>
      </w:pPr>
      <w:bookmarkStart w:id="157" w:name="_Toc429988452"/>
      <w:bookmarkStart w:id="158" w:name="_Toc500319332"/>
      <w:r w:rsidRPr="003726FE">
        <w:t xml:space="preserve">A2.3.1 </w:t>
      </w:r>
      <w:r w:rsidR="00477E60" w:rsidRPr="003726FE">
        <w:t xml:space="preserve">Search </w:t>
      </w:r>
      <w:r w:rsidR="004B592B">
        <w:t>S</w:t>
      </w:r>
      <w:r w:rsidR="00477E60" w:rsidRPr="003726FE">
        <w:t>trategy</w:t>
      </w:r>
      <w:bookmarkEnd w:id="157"/>
      <w:bookmarkEnd w:id="158"/>
    </w:p>
    <w:p w14:paraId="188D516D" w14:textId="77777777" w:rsidR="00477E60" w:rsidRPr="003726FE" w:rsidRDefault="00477E60" w:rsidP="00026049">
      <w:pPr>
        <w:pStyle w:val="Normal1"/>
        <w:rPr>
          <w:lang w:val="en-GB"/>
        </w:rPr>
      </w:pPr>
    </w:p>
    <w:p w14:paraId="007973FB" w14:textId="09A0C383" w:rsidR="00477E60" w:rsidRPr="003726FE" w:rsidRDefault="00477E60" w:rsidP="00026049">
      <w:pPr>
        <w:pStyle w:val="Normal1"/>
        <w:rPr>
          <w:lang w:val="en-GB"/>
        </w:rPr>
      </w:pPr>
      <w:r w:rsidRPr="003726FE">
        <w:rPr>
          <w:lang w:val="en-GB"/>
        </w:rPr>
        <w:t>Three databases were utilised for this review</w:t>
      </w:r>
      <w:r w:rsidR="00810BAD">
        <w:rPr>
          <w:lang w:val="en-GB"/>
        </w:rPr>
        <w:t>,</w:t>
      </w:r>
      <w:r w:rsidRPr="003726FE">
        <w:rPr>
          <w:lang w:val="en-GB"/>
        </w:rPr>
        <w:t xml:space="preserve"> including: P</w:t>
      </w:r>
      <w:r w:rsidR="00E1536C" w:rsidRPr="003726FE">
        <w:rPr>
          <w:lang w:val="en-GB"/>
        </w:rPr>
        <w:t>ubMed (MEDLINE), ERIC (via EBSCO), and Psyc</w:t>
      </w:r>
      <w:r w:rsidRPr="003726FE">
        <w:rPr>
          <w:lang w:val="en-GB"/>
        </w:rPr>
        <w:t xml:space="preserve">Info (via Ovid SP). A list of appropriate search terms was </w:t>
      </w:r>
      <w:r w:rsidR="00FC0FFB" w:rsidRPr="003726FE">
        <w:rPr>
          <w:lang w:val="en-GB"/>
        </w:rPr>
        <w:t>utilised to</w:t>
      </w:r>
      <w:r w:rsidRPr="003726FE">
        <w:rPr>
          <w:lang w:val="en-GB"/>
        </w:rPr>
        <w:t xml:space="preserve"> effectively identify relevant literature using appropriate MeSH terms (</w:t>
      </w:r>
      <w:r w:rsidR="00C6465A" w:rsidRPr="003726FE">
        <w:rPr>
          <w:lang w:val="en-GB"/>
        </w:rPr>
        <w:t>Appendix</w:t>
      </w:r>
      <w:r w:rsidRPr="003726FE">
        <w:rPr>
          <w:lang w:val="en-GB"/>
        </w:rPr>
        <w:t xml:space="preserve"> </w:t>
      </w:r>
      <w:r w:rsidR="006C0AA7" w:rsidRPr="003726FE">
        <w:rPr>
          <w:lang w:val="en-GB"/>
        </w:rPr>
        <w:t>2</w:t>
      </w:r>
      <w:r w:rsidRPr="003726FE">
        <w:rPr>
          <w:lang w:val="en-GB"/>
        </w:rPr>
        <w:t xml:space="preserve">). Published articles from January 1999 to </w:t>
      </w:r>
      <w:r w:rsidR="00C6680C" w:rsidRPr="003726FE">
        <w:rPr>
          <w:lang w:val="en-GB"/>
        </w:rPr>
        <w:t>July 2017</w:t>
      </w:r>
      <w:r w:rsidRPr="003726FE">
        <w:rPr>
          <w:lang w:val="en-GB"/>
        </w:rPr>
        <w:t xml:space="preserve"> were included and update systems (</w:t>
      </w:r>
      <w:r w:rsidR="00591977">
        <w:rPr>
          <w:lang w:val="en-GB"/>
        </w:rPr>
        <w:t>G</w:t>
      </w:r>
      <w:r w:rsidRPr="003726FE">
        <w:rPr>
          <w:lang w:val="en-GB"/>
        </w:rPr>
        <w:t xml:space="preserve">oogle </w:t>
      </w:r>
      <w:r w:rsidR="00591977">
        <w:rPr>
          <w:lang w:val="en-GB"/>
        </w:rPr>
        <w:t>S</w:t>
      </w:r>
      <w:r w:rsidRPr="003726FE">
        <w:rPr>
          <w:lang w:val="en-GB"/>
        </w:rPr>
        <w:t xml:space="preserve">cholar alerts) were used to identify any new published articles while the review was in progress. Other relevant articles were found by the manual searching of reference lists within full text articles </w:t>
      </w:r>
      <w:r w:rsidR="00591977">
        <w:rPr>
          <w:lang w:val="en-GB"/>
        </w:rPr>
        <w:t>that</w:t>
      </w:r>
      <w:r w:rsidRPr="003726FE">
        <w:rPr>
          <w:lang w:val="en-GB"/>
        </w:rPr>
        <w:t xml:space="preserve"> were identified to be eligible for review. Relevant conference databases were searched  to identify research which may not have yet been published; this was done to guard against the possibility of the present review becoming irrelevant when completed </w:t>
      </w:r>
      <w:r w:rsidR="00EF281A" w:rsidRPr="003726FE">
        <w:rPr>
          <w:lang w:val="en-GB"/>
        </w:rPr>
        <w:fldChar w:fldCharType="begin"/>
      </w:r>
      <w:r w:rsidR="008B61BE">
        <w:rPr>
          <w:lang w:val="en-GB"/>
        </w:rPr>
        <w:instrText xml:space="preserve"> ADDIN EN.CITE &lt;EndNote&gt;&lt;Cite&gt;&lt;Author&gt;Sharma&lt;/Author&gt;&lt;Year&gt;2014&lt;/Year&gt;&lt;RecNum&gt;508&lt;/RecNum&gt;&lt;DisplayText&gt;(Sharma et al. 2014)&lt;/DisplayText&gt;&lt;record&gt;&lt;rec-number&gt;508&lt;/rec-number&gt;&lt;foreign-keys&gt;&lt;key app="EN" db-id="xa2r2ewea92trkef5dt5arvbzafvpv2za5ft" timestamp="1496417550"&gt;508&lt;/key&gt;&lt;/foreign-keys&gt;&lt;ref-type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London&lt;/publisher&gt;&lt;urls&gt;&lt;/urls&gt;&lt;/record&gt;&lt;/Cite&gt;&lt;/EndNote&gt;</w:instrText>
      </w:r>
      <w:r w:rsidR="00EF281A" w:rsidRPr="003726FE">
        <w:rPr>
          <w:lang w:val="en-GB"/>
        </w:rPr>
        <w:fldChar w:fldCharType="separate"/>
      </w:r>
      <w:r w:rsidR="004E5A78" w:rsidRPr="003726FE">
        <w:rPr>
          <w:noProof/>
          <w:lang w:val="en-GB"/>
        </w:rPr>
        <w:t>(</w:t>
      </w:r>
      <w:hyperlink w:anchor="_ENREF_385" w:tooltip="Sharma, 2014 #508" w:history="1">
        <w:r w:rsidR="0094469E" w:rsidRPr="003726FE">
          <w:rPr>
            <w:noProof/>
            <w:lang w:val="en-GB"/>
          </w:rPr>
          <w:t>Sharma et al. 2014</w:t>
        </w:r>
      </w:hyperlink>
      <w:r w:rsidR="004E5A78" w:rsidRPr="003726FE">
        <w:rPr>
          <w:noProof/>
          <w:lang w:val="en-GB"/>
        </w:rPr>
        <w:t>)</w:t>
      </w:r>
      <w:r w:rsidR="00EF281A" w:rsidRPr="003726FE">
        <w:rPr>
          <w:lang w:val="en-GB"/>
        </w:rPr>
        <w:fldChar w:fldCharType="end"/>
      </w:r>
      <w:r w:rsidR="00810BAD">
        <w:rPr>
          <w:lang w:val="en-GB"/>
        </w:rPr>
        <w:t xml:space="preserve">. </w:t>
      </w:r>
      <w:r w:rsidRPr="003726FE">
        <w:rPr>
          <w:lang w:val="en-GB"/>
        </w:rPr>
        <w:t xml:space="preserve">Conference proceedings from </w:t>
      </w:r>
      <w:r w:rsidR="00810BAD">
        <w:rPr>
          <w:lang w:val="en-GB"/>
        </w:rPr>
        <w:t xml:space="preserve">the Society for Research into Higher Education (SRHE), the </w:t>
      </w:r>
      <w:r w:rsidR="00810BAD" w:rsidRPr="00810BAD">
        <w:rPr>
          <w:lang w:val="en-GB"/>
        </w:rPr>
        <w:t>European Association for Research on Learning and Instruction (EARLI)</w:t>
      </w:r>
      <w:r w:rsidR="00810BAD">
        <w:rPr>
          <w:lang w:val="en-GB"/>
        </w:rPr>
        <w:t xml:space="preserve">, </w:t>
      </w:r>
      <w:r w:rsidR="00810BAD" w:rsidRPr="00810BAD">
        <w:rPr>
          <w:lang w:val="en-GB"/>
        </w:rPr>
        <w:t>The Association for the Study of Medical Education</w:t>
      </w:r>
      <w:r w:rsidR="00810BAD">
        <w:rPr>
          <w:lang w:val="en-GB"/>
        </w:rPr>
        <w:t xml:space="preserve"> (</w:t>
      </w:r>
      <w:r w:rsidRPr="003726FE">
        <w:rPr>
          <w:lang w:val="en-GB"/>
        </w:rPr>
        <w:t>ASME</w:t>
      </w:r>
      <w:r w:rsidR="00810BAD">
        <w:rPr>
          <w:lang w:val="en-GB"/>
        </w:rPr>
        <w:t>)</w:t>
      </w:r>
      <w:r w:rsidRPr="003726FE">
        <w:rPr>
          <w:lang w:val="en-GB"/>
        </w:rPr>
        <w:t xml:space="preserve"> and </w:t>
      </w:r>
      <w:r w:rsidR="00810BAD">
        <w:rPr>
          <w:lang w:val="en-GB"/>
        </w:rPr>
        <w:t xml:space="preserve">the </w:t>
      </w:r>
      <w:r w:rsidR="00810BAD" w:rsidRPr="00810BAD">
        <w:rPr>
          <w:lang w:val="en-GB"/>
        </w:rPr>
        <w:t>Association for Medical Education in Europe</w:t>
      </w:r>
      <w:r w:rsidR="00810BAD">
        <w:rPr>
          <w:lang w:val="en-GB"/>
        </w:rPr>
        <w:t xml:space="preserve"> (</w:t>
      </w:r>
      <w:r w:rsidRPr="003726FE">
        <w:rPr>
          <w:lang w:val="en-GB"/>
        </w:rPr>
        <w:t>AMEE</w:t>
      </w:r>
      <w:r w:rsidR="00810BAD">
        <w:rPr>
          <w:lang w:val="en-GB"/>
        </w:rPr>
        <w:t>)</w:t>
      </w:r>
      <w:r w:rsidRPr="003726FE">
        <w:rPr>
          <w:lang w:val="en-GB"/>
        </w:rPr>
        <w:t xml:space="preserve"> events were searched to identify useful sources but yielded no eligible results.</w:t>
      </w:r>
    </w:p>
    <w:p w14:paraId="4E630C32" w14:textId="77777777" w:rsidR="00477E60" w:rsidRPr="003726FE" w:rsidRDefault="00477E60" w:rsidP="00026049">
      <w:pPr>
        <w:pStyle w:val="Normal1"/>
        <w:rPr>
          <w:lang w:val="en-GB"/>
        </w:rPr>
      </w:pPr>
    </w:p>
    <w:p w14:paraId="48D7B3DB" w14:textId="1F2AEE31" w:rsidR="00477E60" w:rsidRPr="003726FE" w:rsidRDefault="00F65BA5" w:rsidP="00BA4521">
      <w:pPr>
        <w:pStyle w:val="Heading3"/>
      </w:pPr>
      <w:bookmarkStart w:id="159" w:name="_Toc429988453"/>
      <w:bookmarkStart w:id="160" w:name="_Toc500319333"/>
      <w:r w:rsidRPr="003726FE">
        <w:t>A2.3.2</w:t>
      </w:r>
      <w:r w:rsidR="005D20F7" w:rsidRPr="003726FE">
        <w:t xml:space="preserve"> </w:t>
      </w:r>
      <w:r w:rsidR="00477E60" w:rsidRPr="003726FE">
        <w:t xml:space="preserve">Study </w:t>
      </w:r>
      <w:r w:rsidR="004B592B">
        <w:t>E</w:t>
      </w:r>
      <w:r w:rsidR="00477E60" w:rsidRPr="003726FE">
        <w:t xml:space="preserve">ligibility and </w:t>
      </w:r>
      <w:r w:rsidR="004B592B">
        <w:t>S</w:t>
      </w:r>
      <w:r w:rsidR="00477E60" w:rsidRPr="003726FE">
        <w:t>election</w:t>
      </w:r>
      <w:bookmarkEnd w:id="159"/>
      <w:bookmarkEnd w:id="160"/>
    </w:p>
    <w:p w14:paraId="161BA7C3" w14:textId="77777777" w:rsidR="00477E60" w:rsidRPr="003726FE" w:rsidRDefault="00477E60" w:rsidP="00026049">
      <w:pPr>
        <w:pStyle w:val="Normal1"/>
        <w:rPr>
          <w:lang w:val="en-GB"/>
        </w:rPr>
      </w:pPr>
    </w:p>
    <w:p w14:paraId="3DFF9717" w14:textId="355FB969" w:rsidR="00477E60" w:rsidRPr="003726FE" w:rsidRDefault="00477E60" w:rsidP="00026049">
      <w:pPr>
        <w:pStyle w:val="Normal1"/>
        <w:rPr>
          <w:lang w:val="en-GB"/>
        </w:rPr>
      </w:pPr>
      <w:r w:rsidRPr="003726FE">
        <w:rPr>
          <w:lang w:val="en-GB"/>
        </w:rPr>
        <w:t>Evidence included in this review included reports and journal articles which investigated the effectiveness of interventions</w:t>
      </w:r>
      <w:r w:rsidR="00DD7C0E">
        <w:rPr>
          <w:lang w:val="en-GB"/>
        </w:rPr>
        <w:t xml:space="preserve"> including SRL and feedback components</w:t>
      </w:r>
      <w:r w:rsidRPr="003726FE">
        <w:rPr>
          <w:lang w:val="en-GB"/>
        </w:rPr>
        <w:t xml:space="preserve"> on performance/learning in any educational context. A hand search of the titles and abstracts of the studies was conducted, these were then analysed using appropriate</w:t>
      </w:r>
      <w:r w:rsidR="00AE4999" w:rsidRPr="003726FE">
        <w:rPr>
          <w:lang w:val="en-GB"/>
        </w:rPr>
        <w:t xml:space="preserve"> inclusion/exclusion criteria (T</w:t>
      </w:r>
      <w:r w:rsidRPr="003726FE">
        <w:rPr>
          <w:lang w:val="en-GB"/>
        </w:rPr>
        <w:t xml:space="preserve">able </w:t>
      </w:r>
      <w:r w:rsidR="00AE4999" w:rsidRPr="003726FE">
        <w:rPr>
          <w:lang w:val="en-GB"/>
        </w:rPr>
        <w:t>A2.1</w:t>
      </w:r>
      <w:r w:rsidRPr="003726FE">
        <w:rPr>
          <w:lang w:val="en-GB"/>
        </w:rPr>
        <w:t xml:space="preserve">). Reports </w:t>
      </w:r>
      <w:r w:rsidR="00E1536C" w:rsidRPr="003726FE">
        <w:rPr>
          <w:lang w:val="en-GB"/>
        </w:rPr>
        <w:t>that did not meet</w:t>
      </w:r>
      <w:r w:rsidRPr="003726FE">
        <w:rPr>
          <w:lang w:val="en-GB"/>
        </w:rPr>
        <w:t xml:space="preserve"> the inclusion and search criteria were excluded. A flow plan was </w:t>
      </w:r>
      <w:r w:rsidR="00FC0FFB" w:rsidRPr="003726FE">
        <w:rPr>
          <w:lang w:val="en-GB"/>
        </w:rPr>
        <w:t>developed to</w:t>
      </w:r>
      <w:r w:rsidRPr="003726FE">
        <w:rPr>
          <w:lang w:val="en-GB"/>
        </w:rPr>
        <w:t xml:space="preserve"> document the selection process and trial flow (</w:t>
      </w:r>
      <w:r w:rsidR="00AE17C9" w:rsidRPr="003726FE">
        <w:rPr>
          <w:lang w:val="en-GB"/>
        </w:rPr>
        <w:t>Figure</w:t>
      </w:r>
      <w:r w:rsidRPr="003726FE">
        <w:rPr>
          <w:lang w:val="en-GB"/>
        </w:rPr>
        <w:t xml:space="preserve"> </w:t>
      </w:r>
      <w:r w:rsidR="005D20F7" w:rsidRPr="003726FE">
        <w:rPr>
          <w:lang w:val="en-GB"/>
        </w:rPr>
        <w:t>A</w:t>
      </w:r>
      <w:r w:rsidRPr="003726FE">
        <w:rPr>
          <w:lang w:val="en-GB"/>
        </w:rPr>
        <w:t>2</w:t>
      </w:r>
      <w:r w:rsidR="005D20F7" w:rsidRPr="003726FE">
        <w:rPr>
          <w:lang w:val="en-GB"/>
        </w:rPr>
        <w:t>.1</w:t>
      </w:r>
      <w:r w:rsidRPr="003726FE">
        <w:rPr>
          <w:lang w:val="en-GB"/>
        </w:rPr>
        <w:t>).</w:t>
      </w:r>
    </w:p>
    <w:p w14:paraId="6D88A7ED" w14:textId="77777777" w:rsidR="00001EE2" w:rsidRPr="003726FE" w:rsidRDefault="00001EE2" w:rsidP="00026049">
      <w:pPr>
        <w:pStyle w:val="Normal1"/>
        <w:rPr>
          <w:lang w:val="en-GB"/>
        </w:rPr>
      </w:pPr>
    </w:p>
    <w:p w14:paraId="2E9F2F00" w14:textId="77777777" w:rsidR="00001EE2" w:rsidRPr="003726FE" w:rsidRDefault="00001EE2" w:rsidP="00026049">
      <w:pPr>
        <w:pStyle w:val="Normal1"/>
        <w:rPr>
          <w:lang w:val="en-GB"/>
        </w:rPr>
      </w:pPr>
    </w:p>
    <w:p w14:paraId="2BDAEF3D" w14:textId="77777777" w:rsidR="00001EE2" w:rsidRPr="003726FE" w:rsidRDefault="00001EE2" w:rsidP="00026049">
      <w:pPr>
        <w:pStyle w:val="Normal1"/>
        <w:rPr>
          <w:lang w:val="en-GB"/>
        </w:rPr>
      </w:pPr>
    </w:p>
    <w:p w14:paraId="0918C1A4" w14:textId="77777777" w:rsidR="00001EE2" w:rsidRPr="003726FE" w:rsidRDefault="00001EE2" w:rsidP="00026049">
      <w:pPr>
        <w:pStyle w:val="Normal1"/>
        <w:rPr>
          <w:lang w:val="en-GB"/>
        </w:rPr>
      </w:pPr>
    </w:p>
    <w:p w14:paraId="15C97930" w14:textId="77777777" w:rsidR="00001EE2" w:rsidRPr="003726FE" w:rsidRDefault="00001EE2" w:rsidP="00026049">
      <w:pPr>
        <w:pStyle w:val="Normal1"/>
        <w:rPr>
          <w:lang w:val="en-GB"/>
        </w:rPr>
      </w:pPr>
    </w:p>
    <w:p w14:paraId="6D3ADA49" w14:textId="77777777" w:rsidR="00001EE2" w:rsidRPr="003726FE" w:rsidRDefault="00001EE2" w:rsidP="00026049">
      <w:pPr>
        <w:pStyle w:val="Normal1"/>
        <w:rPr>
          <w:lang w:val="en-GB"/>
        </w:rPr>
      </w:pPr>
    </w:p>
    <w:p w14:paraId="05D51709" w14:textId="77777777" w:rsidR="00001EE2" w:rsidRPr="003726FE" w:rsidRDefault="00001EE2" w:rsidP="00026049">
      <w:pPr>
        <w:pStyle w:val="Normal1"/>
        <w:rPr>
          <w:lang w:val="en-GB"/>
        </w:rPr>
      </w:pPr>
    </w:p>
    <w:p w14:paraId="5AE17921" w14:textId="77777777" w:rsidR="00001EE2" w:rsidRPr="003726FE" w:rsidRDefault="00001EE2" w:rsidP="00026049">
      <w:pPr>
        <w:pStyle w:val="Normal1"/>
        <w:rPr>
          <w:lang w:val="en-GB"/>
        </w:rPr>
      </w:pPr>
    </w:p>
    <w:p w14:paraId="16F0BE0F" w14:textId="77777777" w:rsidR="00001EE2" w:rsidRPr="003726FE" w:rsidRDefault="00001EE2" w:rsidP="00026049">
      <w:pPr>
        <w:pStyle w:val="Normal1"/>
        <w:rPr>
          <w:lang w:val="en-GB"/>
        </w:rPr>
      </w:pPr>
    </w:p>
    <w:p w14:paraId="2CB7FB79" w14:textId="77777777" w:rsidR="00001EE2" w:rsidRPr="003726FE" w:rsidRDefault="00001EE2" w:rsidP="00026049">
      <w:pPr>
        <w:pStyle w:val="Normal1"/>
        <w:rPr>
          <w:lang w:val="en-GB"/>
        </w:rPr>
      </w:pPr>
    </w:p>
    <w:p w14:paraId="29372960" w14:textId="77777777" w:rsidR="00001EE2" w:rsidRPr="003726FE" w:rsidRDefault="00001EE2" w:rsidP="00026049">
      <w:pPr>
        <w:pStyle w:val="Normal1"/>
        <w:rPr>
          <w:lang w:val="en-GB"/>
        </w:rPr>
      </w:pPr>
    </w:p>
    <w:p w14:paraId="7633E164" w14:textId="62382D9D" w:rsidR="00001EE2" w:rsidRPr="003726FE" w:rsidRDefault="00001EE2" w:rsidP="00026049">
      <w:pPr>
        <w:pStyle w:val="Tablelist"/>
        <w:rPr>
          <w:lang w:val="en-GB"/>
        </w:rPr>
      </w:pPr>
      <w:bookmarkStart w:id="161" w:name="_Toc487454817"/>
      <w:bookmarkStart w:id="162" w:name="_Toc487456789"/>
      <w:bookmarkStart w:id="163" w:name="_Toc500319508"/>
      <w:r w:rsidRPr="003726FE">
        <w:rPr>
          <w:lang w:val="en-GB"/>
        </w:rPr>
        <w:t>Table A2.</w:t>
      </w:r>
      <w:r w:rsidRPr="003726FE">
        <w:rPr>
          <w:lang w:val="en-GB"/>
        </w:rPr>
        <w:fldChar w:fldCharType="begin"/>
      </w:r>
      <w:r w:rsidRPr="003726FE">
        <w:rPr>
          <w:lang w:val="en-GB"/>
        </w:rPr>
        <w:instrText xml:space="preserve"> SEQ Table_A2. \* ARABIC </w:instrText>
      </w:r>
      <w:r w:rsidRPr="003726FE">
        <w:rPr>
          <w:lang w:val="en-GB"/>
        </w:rPr>
        <w:fldChar w:fldCharType="separate"/>
      </w:r>
      <w:r w:rsidR="00E44881">
        <w:rPr>
          <w:noProof/>
          <w:lang w:val="en-GB"/>
        </w:rPr>
        <w:t>1</w:t>
      </w:r>
      <w:r w:rsidRPr="003726FE">
        <w:rPr>
          <w:lang w:val="en-GB"/>
        </w:rPr>
        <w:fldChar w:fldCharType="end"/>
      </w:r>
      <w:r w:rsidRPr="003726FE">
        <w:rPr>
          <w:lang w:val="en-GB"/>
        </w:rPr>
        <w:t xml:space="preserve"> Inclusion and exclusion criteria used to screen evidence for this review.</w:t>
      </w:r>
      <w:bookmarkEnd w:id="161"/>
      <w:bookmarkEnd w:id="162"/>
      <w:bookmarkEnd w:id="163"/>
    </w:p>
    <w:p w14:paraId="3F5A9DCF" w14:textId="77777777" w:rsidR="00001EE2" w:rsidRPr="003726FE" w:rsidRDefault="00001EE2" w:rsidP="00026049">
      <w:pPr>
        <w:pStyle w:val="Normal1"/>
        <w:rPr>
          <w:lang w:val="en-GB"/>
        </w:rPr>
      </w:pPr>
    </w:p>
    <w:tbl>
      <w:tblPr>
        <w:tblStyle w:val="TableGrid"/>
        <w:tblpPr w:leftFromText="180" w:rightFromText="180" w:vertAnchor="text" w:horzAnchor="margin" w:tblpY="-106"/>
        <w:tblW w:w="0" w:type="auto"/>
        <w:tblLook w:val="04A0" w:firstRow="1" w:lastRow="0" w:firstColumn="1" w:lastColumn="0" w:noHBand="0" w:noVBand="1"/>
      </w:tblPr>
      <w:tblGrid>
        <w:gridCol w:w="1617"/>
        <w:gridCol w:w="3685"/>
        <w:gridCol w:w="2789"/>
      </w:tblGrid>
      <w:tr w:rsidR="00667AA1" w:rsidRPr="003726FE" w14:paraId="6D068B63" w14:textId="77777777" w:rsidTr="00230DC4">
        <w:tc>
          <w:tcPr>
            <w:tcW w:w="1555" w:type="dxa"/>
            <w:shd w:val="clear" w:color="auto" w:fill="E7E6E6" w:themeFill="background2"/>
            <w:vAlign w:val="center"/>
          </w:tcPr>
          <w:p w14:paraId="35B073BE" w14:textId="77777777" w:rsidR="00667AA1" w:rsidRPr="003726FE" w:rsidRDefault="00667AA1" w:rsidP="00667AA1">
            <w:pPr>
              <w:spacing w:line="360" w:lineRule="auto"/>
              <w:jc w:val="center"/>
              <w:rPr>
                <w:b/>
              </w:rPr>
            </w:pPr>
            <w:r w:rsidRPr="003726FE">
              <w:rPr>
                <w:b/>
              </w:rPr>
              <w:t>Factor</w:t>
            </w:r>
          </w:p>
        </w:tc>
        <w:tc>
          <w:tcPr>
            <w:tcW w:w="3685" w:type="dxa"/>
            <w:shd w:val="clear" w:color="auto" w:fill="E7E6E6" w:themeFill="background2"/>
            <w:vAlign w:val="center"/>
          </w:tcPr>
          <w:p w14:paraId="4D551511" w14:textId="77777777" w:rsidR="00667AA1" w:rsidRPr="003726FE" w:rsidRDefault="00667AA1" w:rsidP="00667AA1">
            <w:pPr>
              <w:spacing w:line="360" w:lineRule="auto"/>
              <w:jc w:val="center"/>
              <w:rPr>
                <w:b/>
              </w:rPr>
            </w:pPr>
            <w:r w:rsidRPr="003726FE">
              <w:rPr>
                <w:b/>
              </w:rPr>
              <w:t>Inclusion</w:t>
            </w:r>
          </w:p>
        </w:tc>
        <w:tc>
          <w:tcPr>
            <w:tcW w:w="2789" w:type="dxa"/>
            <w:shd w:val="clear" w:color="auto" w:fill="E7E6E6" w:themeFill="background2"/>
            <w:vAlign w:val="center"/>
          </w:tcPr>
          <w:p w14:paraId="54160D3C" w14:textId="77777777" w:rsidR="00667AA1" w:rsidRPr="003726FE" w:rsidRDefault="00667AA1" w:rsidP="00667AA1">
            <w:pPr>
              <w:spacing w:line="360" w:lineRule="auto"/>
              <w:jc w:val="center"/>
              <w:rPr>
                <w:b/>
              </w:rPr>
            </w:pPr>
            <w:r w:rsidRPr="003726FE">
              <w:rPr>
                <w:b/>
              </w:rPr>
              <w:t>Exclusion</w:t>
            </w:r>
          </w:p>
        </w:tc>
      </w:tr>
      <w:tr w:rsidR="00667AA1" w:rsidRPr="003726FE" w14:paraId="24C714F2" w14:textId="77777777" w:rsidTr="00DD7C0E">
        <w:trPr>
          <w:trHeight w:val="1827"/>
        </w:trPr>
        <w:tc>
          <w:tcPr>
            <w:tcW w:w="1555" w:type="dxa"/>
            <w:vAlign w:val="center"/>
          </w:tcPr>
          <w:p w14:paraId="2F1E57F1" w14:textId="07F74DD2" w:rsidR="00667AA1" w:rsidRPr="00DD7C0E" w:rsidRDefault="00667AA1" w:rsidP="00230DC4">
            <w:pPr>
              <w:pStyle w:val="Normal1"/>
              <w:jc w:val="center"/>
              <w:rPr>
                <w:b/>
                <w:lang w:val="en-GB"/>
              </w:rPr>
            </w:pPr>
            <w:r w:rsidRPr="00DD7C0E">
              <w:rPr>
                <w:b/>
                <w:lang w:val="en-GB"/>
              </w:rPr>
              <w:t>Intervention</w:t>
            </w:r>
          </w:p>
        </w:tc>
        <w:tc>
          <w:tcPr>
            <w:tcW w:w="3685" w:type="dxa"/>
            <w:vAlign w:val="center"/>
          </w:tcPr>
          <w:p w14:paraId="3A207F82" w14:textId="4E9B1215" w:rsidR="00667AA1" w:rsidRPr="003726FE" w:rsidRDefault="00667AA1" w:rsidP="00DD7C0E">
            <w:pPr>
              <w:spacing w:line="360" w:lineRule="auto"/>
            </w:pPr>
            <w:r w:rsidRPr="003726FE">
              <w:t xml:space="preserve">Based on an SRL paradigm, incorporate a feedback element of any nature, skills/performance based </w:t>
            </w:r>
            <w:r w:rsidR="00DD7C0E">
              <w:t xml:space="preserve">learning </w:t>
            </w:r>
            <w:r w:rsidRPr="003726FE">
              <w:t>activities, any educational context.</w:t>
            </w:r>
          </w:p>
        </w:tc>
        <w:tc>
          <w:tcPr>
            <w:tcW w:w="2789" w:type="dxa"/>
            <w:vAlign w:val="center"/>
          </w:tcPr>
          <w:p w14:paraId="0BC87898" w14:textId="2073D6DC" w:rsidR="00667AA1" w:rsidRPr="003726FE" w:rsidRDefault="00667AA1" w:rsidP="00DD7C0E">
            <w:pPr>
              <w:spacing w:line="360" w:lineRule="auto"/>
            </w:pPr>
            <w:r w:rsidRPr="003726FE">
              <w:t>Difficult to define tasks (no success/failure criteria).</w:t>
            </w:r>
          </w:p>
        </w:tc>
      </w:tr>
      <w:tr w:rsidR="00667AA1" w:rsidRPr="003726FE" w14:paraId="65796D16" w14:textId="77777777" w:rsidTr="00DD7C0E">
        <w:trPr>
          <w:trHeight w:val="846"/>
        </w:trPr>
        <w:tc>
          <w:tcPr>
            <w:tcW w:w="1555" w:type="dxa"/>
            <w:vAlign w:val="center"/>
          </w:tcPr>
          <w:p w14:paraId="047B4476" w14:textId="77777777" w:rsidR="00667AA1" w:rsidRPr="00DD7C0E" w:rsidRDefault="00667AA1" w:rsidP="00230DC4">
            <w:pPr>
              <w:pStyle w:val="Normal1"/>
              <w:jc w:val="center"/>
              <w:rPr>
                <w:b/>
                <w:lang w:val="en-GB"/>
              </w:rPr>
            </w:pPr>
            <w:r w:rsidRPr="00DD7C0E">
              <w:rPr>
                <w:b/>
                <w:lang w:val="en-GB"/>
              </w:rPr>
              <w:t>Population</w:t>
            </w:r>
          </w:p>
        </w:tc>
        <w:tc>
          <w:tcPr>
            <w:tcW w:w="3685" w:type="dxa"/>
            <w:vAlign w:val="center"/>
          </w:tcPr>
          <w:p w14:paraId="07FE0D5B" w14:textId="0B657736" w:rsidR="00667AA1" w:rsidRPr="003726FE" w:rsidRDefault="00DD7C0E" w:rsidP="00DD7C0E">
            <w:pPr>
              <w:spacing w:line="360" w:lineRule="auto"/>
            </w:pPr>
            <w:r>
              <w:t>All l</w:t>
            </w:r>
            <w:r w:rsidR="00667AA1" w:rsidRPr="003726FE">
              <w:t>earners in all educational settings.</w:t>
            </w:r>
          </w:p>
        </w:tc>
        <w:tc>
          <w:tcPr>
            <w:tcW w:w="2789" w:type="dxa"/>
            <w:vAlign w:val="center"/>
          </w:tcPr>
          <w:p w14:paraId="38530F29" w14:textId="77777777" w:rsidR="00667AA1" w:rsidRPr="003726FE" w:rsidRDefault="00667AA1" w:rsidP="00DD7C0E">
            <w:pPr>
              <w:spacing w:line="360" w:lineRule="auto"/>
            </w:pPr>
            <w:r w:rsidRPr="003726FE">
              <w:t>Non-human, unable to consent.</w:t>
            </w:r>
          </w:p>
        </w:tc>
      </w:tr>
      <w:tr w:rsidR="00667AA1" w:rsidRPr="003726FE" w14:paraId="6FCB843F" w14:textId="77777777" w:rsidTr="00DD7C0E">
        <w:trPr>
          <w:trHeight w:val="1411"/>
        </w:trPr>
        <w:tc>
          <w:tcPr>
            <w:tcW w:w="1555" w:type="dxa"/>
            <w:vAlign w:val="center"/>
          </w:tcPr>
          <w:p w14:paraId="7E5AD2FC" w14:textId="77777777" w:rsidR="00667AA1" w:rsidRPr="00DD7C0E" w:rsidRDefault="00667AA1" w:rsidP="00230DC4">
            <w:pPr>
              <w:pStyle w:val="Normal1"/>
              <w:jc w:val="center"/>
              <w:rPr>
                <w:b/>
                <w:lang w:val="en-GB"/>
              </w:rPr>
            </w:pPr>
            <w:r w:rsidRPr="00DD7C0E">
              <w:rPr>
                <w:b/>
                <w:lang w:val="en-GB"/>
              </w:rPr>
              <w:t>Measures</w:t>
            </w:r>
          </w:p>
        </w:tc>
        <w:tc>
          <w:tcPr>
            <w:tcW w:w="3685" w:type="dxa"/>
            <w:vAlign w:val="center"/>
          </w:tcPr>
          <w:p w14:paraId="7D5D0042" w14:textId="0255E43D" w:rsidR="00667AA1" w:rsidRPr="003726FE" w:rsidRDefault="00667AA1" w:rsidP="00DD7C0E">
            <w:pPr>
              <w:spacing w:line="360" w:lineRule="auto"/>
            </w:pPr>
            <w:r w:rsidRPr="003726FE">
              <w:t>Quantitative and/or qualitative data, at least one measure of performance and/or SRL competencies.</w:t>
            </w:r>
          </w:p>
        </w:tc>
        <w:tc>
          <w:tcPr>
            <w:tcW w:w="2789" w:type="dxa"/>
            <w:vAlign w:val="center"/>
          </w:tcPr>
          <w:p w14:paraId="73DFE7C6" w14:textId="77777777" w:rsidR="00667AA1" w:rsidRPr="003726FE" w:rsidRDefault="00667AA1" w:rsidP="00DD7C0E">
            <w:pPr>
              <w:spacing w:line="360" w:lineRule="auto"/>
            </w:pPr>
            <w:r w:rsidRPr="003726FE">
              <w:t>Measures not relating to SRL/performance/learning outcomes.</w:t>
            </w:r>
          </w:p>
        </w:tc>
      </w:tr>
      <w:tr w:rsidR="00667AA1" w:rsidRPr="003726FE" w14:paraId="5FDAF86E" w14:textId="77777777" w:rsidTr="00DD7C0E">
        <w:trPr>
          <w:trHeight w:val="1700"/>
        </w:trPr>
        <w:tc>
          <w:tcPr>
            <w:tcW w:w="1555" w:type="dxa"/>
            <w:vAlign w:val="center"/>
          </w:tcPr>
          <w:p w14:paraId="6D9D65B0" w14:textId="77777777" w:rsidR="00667AA1" w:rsidRPr="00DD7C0E" w:rsidRDefault="00667AA1" w:rsidP="00230DC4">
            <w:pPr>
              <w:pStyle w:val="Normal1"/>
              <w:jc w:val="center"/>
              <w:rPr>
                <w:b/>
                <w:lang w:val="en-GB"/>
              </w:rPr>
            </w:pPr>
            <w:r w:rsidRPr="00DD7C0E">
              <w:rPr>
                <w:b/>
                <w:lang w:val="en-GB"/>
              </w:rPr>
              <w:t>Study type</w:t>
            </w:r>
          </w:p>
        </w:tc>
        <w:tc>
          <w:tcPr>
            <w:tcW w:w="3685" w:type="dxa"/>
            <w:vAlign w:val="center"/>
          </w:tcPr>
          <w:p w14:paraId="4A52F411" w14:textId="05E38241" w:rsidR="00667AA1" w:rsidRPr="003726FE" w:rsidRDefault="00C94B43" w:rsidP="00DD7C0E">
            <w:pPr>
              <w:spacing w:line="360" w:lineRule="auto"/>
            </w:pPr>
            <w:r w:rsidRPr="003726FE">
              <w:t>M</w:t>
            </w:r>
            <w:r w:rsidR="00667AA1" w:rsidRPr="003726FE">
              <w:t>ust include all data and results, journal articles, conference proceedings, must be in English.</w:t>
            </w:r>
          </w:p>
        </w:tc>
        <w:tc>
          <w:tcPr>
            <w:tcW w:w="2789" w:type="dxa"/>
            <w:vAlign w:val="center"/>
          </w:tcPr>
          <w:p w14:paraId="6B6A1600" w14:textId="77777777" w:rsidR="00667AA1" w:rsidRPr="003726FE" w:rsidRDefault="00667AA1" w:rsidP="00DD7C0E">
            <w:pPr>
              <w:spacing w:line="360" w:lineRule="auto"/>
            </w:pPr>
            <w:r w:rsidRPr="003726FE">
              <w:t>Abstracts, commentaries, non-published, posters, reviews, full text unavailable, letters, graduate theses.</w:t>
            </w:r>
          </w:p>
        </w:tc>
      </w:tr>
      <w:tr w:rsidR="00667AA1" w:rsidRPr="003726FE" w14:paraId="47225BE3" w14:textId="77777777" w:rsidTr="00DD7C0E">
        <w:trPr>
          <w:trHeight w:val="832"/>
        </w:trPr>
        <w:tc>
          <w:tcPr>
            <w:tcW w:w="1555" w:type="dxa"/>
            <w:vAlign w:val="center"/>
          </w:tcPr>
          <w:p w14:paraId="6E798CAB" w14:textId="77777777" w:rsidR="00667AA1" w:rsidRPr="00DD7C0E" w:rsidRDefault="00667AA1" w:rsidP="00230DC4">
            <w:pPr>
              <w:pStyle w:val="Normal1"/>
              <w:jc w:val="center"/>
              <w:rPr>
                <w:b/>
                <w:lang w:val="en-GB"/>
              </w:rPr>
            </w:pPr>
            <w:r w:rsidRPr="00DD7C0E">
              <w:rPr>
                <w:b/>
                <w:lang w:val="en-GB"/>
              </w:rPr>
              <w:t>Design</w:t>
            </w:r>
          </w:p>
        </w:tc>
        <w:tc>
          <w:tcPr>
            <w:tcW w:w="3685" w:type="dxa"/>
            <w:vAlign w:val="center"/>
          </w:tcPr>
          <w:p w14:paraId="48166DDD" w14:textId="77777777" w:rsidR="00667AA1" w:rsidRPr="003726FE" w:rsidRDefault="00667AA1" w:rsidP="00DD7C0E">
            <w:pPr>
              <w:spacing w:line="360" w:lineRule="auto"/>
            </w:pPr>
            <w:r w:rsidRPr="003726FE">
              <w:t>Experimental, exploratory, Randomised control trial.</w:t>
            </w:r>
          </w:p>
        </w:tc>
        <w:tc>
          <w:tcPr>
            <w:tcW w:w="2789" w:type="dxa"/>
            <w:vAlign w:val="center"/>
          </w:tcPr>
          <w:p w14:paraId="1F8186F0" w14:textId="6F89F73F" w:rsidR="00667AA1" w:rsidRPr="003726FE" w:rsidRDefault="00667AA1" w:rsidP="00DD7C0E">
            <w:pPr>
              <w:spacing w:line="360" w:lineRule="auto"/>
            </w:pPr>
            <w:r w:rsidRPr="003726FE">
              <w:t>Case study.</w:t>
            </w:r>
          </w:p>
        </w:tc>
      </w:tr>
      <w:tr w:rsidR="00667AA1" w:rsidRPr="003726FE" w14:paraId="07FE1F5E" w14:textId="77777777" w:rsidTr="00DD7C0E">
        <w:tc>
          <w:tcPr>
            <w:tcW w:w="1555" w:type="dxa"/>
            <w:tcBorders>
              <w:bottom w:val="single" w:sz="4" w:space="0" w:color="auto"/>
            </w:tcBorders>
            <w:vAlign w:val="center"/>
          </w:tcPr>
          <w:p w14:paraId="0C2BDDDF" w14:textId="35711EC6" w:rsidR="00667AA1" w:rsidRPr="00DD7C0E" w:rsidRDefault="00667AA1" w:rsidP="00230DC4">
            <w:pPr>
              <w:pStyle w:val="Normal1"/>
              <w:jc w:val="center"/>
              <w:rPr>
                <w:b/>
                <w:lang w:val="en-GB"/>
              </w:rPr>
            </w:pPr>
            <w:r w:rsidRPr="00DD7C0E">
              <w:rPr>
                <w:b/>
                <w:lang w:val="en-GB"/>
              </w:rPr>
              <w:t>Theoretical</w:t>
            </w:r>
          </w:p>
          <w:p w14:paraId="09EB75A7" w14:textId="77777777" w:rsidR="00667AA1" w:rsidRPr="00DD7C0E" w:rsidRDefault="00667AA1" w:rsidP="00230DC4">
            <w:pPr>
              <w:pStyle w:val="Normal1"/>
              <w:jc w:val="center"/>
              <w:rPr>
                <w:b/>
                <w:lang w:val="en-GB"/>
              </w:rPr>
            </w:pPr>
            <w:r w:rsidRPr="00DD7C0E">
              <w:rPr>
                <w:b/>
                <w:lang w:val="en-GB"/>
              </w:rPr>
              <w:t>underpinning</w:t>
            </w:r>
          </w:p>
        </w:tc>
        <w:tc>
          <w:tcPr>
            <w:tcW w:w="3685" w:type="dxa"/>
            <w:tcBorders>
              <w:bottom w:val="single" w:sz="4" w:space="0" w:color="auto"/>
            </w:tcBorders>
            <w:vAlign w:val="center"/>
          </w:tcPr>
          <w:p w14:paraId="290D3FA4" w14:textId="67BB75BB" w:rsidR="00667AA1" w:rsidRPr="003726FE" w:rsidRDefault="00642AB8" w:rsidP="00DD7C0E">
            <w:pPr>
              <w:spacing w:line="360" w:lineRule="auto"/>
            </w:pPr>
            <w:r w:rsidRPr="003726FE">
              <w:t>SRL</w:t>
            </w:r>
            <w:r w:rsidR="00667AA1" w:rsidRPr="003726FE">
              <w:t xml:space="preserve"> in the </w:t>
            </w:r>
            <w:r w:rsidR="00F17F73">
              <w:t>social cognitive</w:t>
            </w:r>
            <w:r w:rsidR="00667AA1" w:rsidRPr="003726FE">
              <w:t xml:space="preserve"> perspective or any other learning theory/conceptual model.</w:t>
            </w:r>
          </w:p>
        </w:tc>
        <w:tc>
          <w:tcPr>
            <w:tcW w:w="2789" w:type="dxa"/>
            <w:tcBorders>
              <w:bottom w:val="single" w:sz="4" w:space="0" w:color="auto"/>
            </w:tcBorders>
            <w:vAlign w:val="center"/>
          </w:tcPr>
          <w:p w14:paraId="7C4F445A" w14:textId="77777777" w:rsidR="00667AA1" w:rsidRPr="003726FE" w:rsidRDefault="00667AA1" w:rsidP="00DD7C0E">
            <w:pPr>
              <w:keepNext/>
              <w:spacing w:line="360" w:lineRule="auto"/>
            </w:pPr>
            <w:r w:rsidRPr="003726FE">
              <w:t>Non-learning related theories.</w:t>
            </w:r>
          </w:p>
        </w:tc>
      </w:tr>
    </w:tbl>
    <w:p w14:paraId="1154307D" w14:textId="43F00F49" w:rsidR="00477E60" w:rsidRPr="003726FE" w:rsidRDefault="00477E60" w:rsidP="00477E60">
      <w:pPr>
        <w:spacing w:line="360" w:lineRule="auto"/>
        <w:rPr>
          <w:b/>
        </w:rPr>
      </w:pPr>
    </w:p>
    <w:p w14:paraId="65D4EACC" w14:textId="77777777" w:rsidR="00477E60" w:rsidRPr="003726FE" w:rsidRDefault="00477E60" w:rsidP="00477E60">
      <w:pPr>
        <w:spacing w:line="360" w:lineRule="auto"/>
      </w:pPr>
    </w:p>
    <w:p w14:paraId="34408793" w14:textId="702D79FA" w:rsidR="00477E60" w:rsidRPr="003726FE" w:rsidRDefault="00477E60" w:rsidP="00477E60">
      <w:pPr>
        <w:spacing w:line="360" w:lineRule="auto"/>
      </w:pPr>
    </w:p>
    <w:p w14:paraId="2A9DE8B9" w14:textId="77777777" w:rsidR="00477E60" w:rsidRPr="003726FE" w:rsidRDefault="00477E60" w:rsidP="00477E60">
      <w:pPr>
        <w:spacing w:line="360" w:lineRule="auto"/>
      </w:pPr>
    </w:p>
    <w:p w14:paraId="06F5BE47" w14:textId="0D3944D2" w:rsidR="00477E60" w:rsidRPr="003726FE" w:rsidRDefault="00477E60" w:rsidP="00477E60">
      <w:pPr>
        <w:spacing w:line="360" w:lineRule="auto"/>
      </w:pPr>
    </w:p>
    <w:p w14:paraId="1C915EB2" w14:textId="61BC2E32" w:rsidR="00477E60" w:rsidRPr="003726FE" w:rsidRDefault="00477E60" w:rsidP="00477E60">
      <w:pPr>
        <w:spacing w:line="360" w:lineRule="auto"/>
      </w:pPr>
    </w:p>
    <w:p w14:paraId="0FEA8F49" w14:textId="64FE63CB" w:rsidR="00477E60" w:rsidRPr="003726FE" w:rsidRDefault="00477E60" w:rsidP="00477E60">
      <w:pPr>
        <w:spacing w:line="360" w:lineRule="auto"/>
      </w:pPr>
    </w:p>
    <w:p w14:paraId="348794F9" w14:textId="14D5A11D" w:rsidR="00477E60" w:rsidRPr="003726FE" w:rsidRDefault="00074F8B" w:rsidP="00477E60">
      <w:pPr>
        <w:spacing w:line="360" w:lineRule="auto"/>
      </w:pPr>
      <w:r w:rsidRPr="003726FE">
        <w:rPr>
          <w:noProof/>
          <w:lang w:eastAsia="en-GB"/>
        </w:rPr>
        <mc:AlternateContent>
          <mc:Choice Requires="wps">
            <w:drawing>
              <wp:anchor distT="0" distB="0" distL="114300" distR="114300" simplePos="0" relativeHeight="251879424" behindDoc="0" locked="0" layoutInCell="1" allowOverlap="1" wp14:anchorId="617F17C0" wp14:editId="500051DB">
                <wp:simplePos x="0" y="0"/>
                <wp:positionH relativeFrom="column">
                  <wp:posOffset>-60960</wp:posOffset>
                </wp:positionH>
                <wp:positionV relativeFrom="paragraph">
                  <wp:posOffset>6457950</wp:posOffset>
                </wp:positionV>
                <wp:extent cx="5458460" cy="652780"/>
                <wp:effectExtent l="0" t="0" r="8890" b="0"/>
                <wp:wrapTopAndBottom/>
                <wp:docPr id="255" name="Text Box 255"/>
                <wp:cNvGraphicFramePr/>
                <a:graphic xmlns:a="http://schemas.openxmlformats.org/drawingml/2006/main">
                  <a:graphicData uri="http://schemas.microsoft.com/office/word/2010/wordprocessingShape">
                    <wps:wsp>
                      <wps:cNvSpPr txBox="1"/>
                      <wps:spPr>
                        <a:xfrm>
                          <a:off x="0" y="0"/>
                          <a:ext cx="5458460" cy="652780"/>
                        </a:xfrm>
                        <a:prstGeom prst="rect">
                          <a:avLst/>
                        </a:prstGeom>
                        <a:solidFill>
                          <a:prstClr val="white"/>
                        </a:solidFill>
                        <a:ln>
                          <a:noFill/>
                        </a:ln>
                        <a:effectLst/>
                      </wps:spPr>
                      <wps:txbx>
                        <w:txbxContent>
                          <w:p w14:paraId="60A84199" w14:textId="378A5D8E" w:rsidR="00C8402C" w:rsidRPr="00BB6550" w:rsidRDefault="00C8402C" w:rsidP="005D20F7">
                            <w:pPr>
                              <w:pStyle w:val="Caption"/>
                              <w:rPr>
                                <w:noProof/>
                              </w:rPr>
                            </w:pPr>
                            <w:bookmarkStart w:id="164" w:name="_Toc500319535"/>
                            <w:r>
                              <w:t>Figure A2.</w:t>
                            </w:r>
                            <w:fldSimple w:instr=" SEQ Figure_A2. \* ARABIC ">
                              <w:r>
                                <w:rPr>
                                  <w:noProof/>
                                </w:rPr>
                                <w:t>1</w:t>
                              </w:r>
                            </w:fldSimple>
                            <w:r>
                              <w:t xml:space="preserve"> </w:t>
                            </w:r>
                            <w:r w:rsidRPr="005B3CA2">
                              <w:t xml:space="preserve">Flow diagram </w:t>
                            </w:r>
                            <w:r>
                              <w:t>outlining</w:t>
                            </w:r>
                            <w:r w:rsidRPr="005B3CA2">
                              <w:t xml:space="preserve"> the identification, screening</w:t>
                            </w:r>
                            <w:r>
                              <w:t>,</w:t>
                            </w:r>
                            <w:r w:rsidRPr="005B3CA2">
                              <w:t xml:space="preserve"> and eligibility of records for inclusion, and reasons for records which were excluded.</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7F17C0" id="Text Box 255" o:spid="_x0000_s1027" type="#_x0000_t202" style="position:absolute;margin-left:-4.8pt;margin-top:508.5pt;width:429.8pt;height:51.4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" stroked="f">
                <v:textbox style="mso-fit-shape-to-text:t" inset="0,0,0,0">
                  <w:txbxContent>
                    <w:p w14:paraId="60A84199" w14:textId="378A5D8E" w:rsidR="00C8402C" w:rsidRPr="00BB6550" w:rsidRDefault="00C8402C" w:rsidP="005D20F7">
                      <w:pPr>
                        <w:pStyle w:val="Caption"/>
                        <w:rPr>
                          <w:noProof/>
                        </w:rPr>
                      </w:pPr>
                      <w:bookmarkStart w:id="165" w:name="_Toc500319535"/>
                      <w:r>
                        <w:t>Figure A2.</w:t>
                      </w:r>
                      <w:fldSimple w:instr=" SEQ Figure_A2. \* ARABIC ">
                        <w:r>
                          <w:rPr>
                            <w:noProof/>
                          </w:rPr>
                          <w:t>1</w:t>
                        </w:r>
                      </w:fldSimple>
                      <w:r>
                        <w:t xml:space="preserve"> </w:t>
                      </w:r>
                      <w:r w:rsidRPr="005B3CA2">
                        <w:t xml:space="preserve">Flow diagram </w:t>
                      </w:r>
                      <w:r>
                        <w:t>outlining</w:t>
                      </w:r>
                      <w:r w:rsidRPr="005B3CA2">
                        <w:t xml:space="preserve"> the identification, screening</w:t>
                      </w:r>
                      <w:r>
                        <w:t>,</w:t>
                      </w:r>
                      <w:r w:rsidRPr="005B3CA2">
                        <w:t xml:space="preserve"> and eligibility of records for inclusion, and reasons for records which were excluded.</w:t>
                      </w:r>
                      <w:bookmarkEnd w:id="165"/>
                    </w:p>
                  </w:txbxContent>
                </v:textbox>
                <w10:wrap type="topAndBottom"/>
              </v:shape>
            </w:pict>
          </mc:Fallback>
        </mc:AlternateContent>
      </w:r>
      <w:r w:rsidR="00230DC4" w:rsidRPr="003726FE">
        <w:rPr>
          <w:noProof/>
          <w:lang w:eastAsia="en-GB"/>
        </w:rPr>
        <mc:AlternateContent>
          <mc:Choice Requires="wpg">
            <w:drawing>
              <wp:anchor distT="0" distB="0" distL="114300" distR="114300" simplePos="0" relativeHeight="251628544" behindDoc="0" locked="0" layoutInCell="1" allowOverlap="1" wp14:anchorId="1445BD0F" wp14:editId="26ABD0FB">
                <wp:simplePos x="0" y="0"/>
                <wp:positionH relativeFrom="column">
                  <wp:posOffset>-50800</wp:posOffset>
                </wp:positionH>
                <wp:positionV relativeFrom="paragraph">
                  <wp:posOffset>354965</wp:posOffset>
                </wp:positionV>
                <wp:extent cx="5448300" cy="5969635"/>
                <wp:effectExtent l="0" t="0" r="19050" b="12065"/>
                <wp:wrapTopAndBottom/>
                <wp:docPr id="12" name="Group 12"/>
                <wp:cNvGraphicFramePr/>
                <a:graphic xmlns:a="http://schemas.openxmlformats.org/drawingml/2006/main">
                  <a:graphicData uri="http://schemas.microsoft.com/office/word/2010/wordprocessingGroup">
                    <wpg:wgp>
                      <wpg:cNvGrpSpPr/>
                      <wpg:grpSpPr>
                        <a:xfrm>
                          <a:off x="0" y="0"/>
                          <a:ext cx="5448300" cy="5969635"/>
                          <a:chOff x="0" y="0"/>
                          <a:chExt cx="6401363" cy="5970702"/>
                        </a:xfrm>
                      </wpg:grpSpPr>
                      <wps:wsp>
                        <wps:cNvPr id="13" name="Rounded Rectangle 13"/>
                        <wps:cNvSpPr/>
                        <wps:spPr>
                          <a:xfrm rot="16200000">
                            <a:off x="-456911" y="456911"/>
                            <a:ext cx="1329690" cy="4158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8822B0" w14:textId="77777777" w:rsidR="00C8402C" w:rsidRPr="000B7C1A" w:rsidRDefault="00C8402C" w:rsidP="00477E60">
                              <w:pPr>
                                <w:jc w:val="center"/>
                                <w:rPr>
                                  <w:rFonts w:cs="Times New Roman"/>
                                  <w:szCs w:val="24"/>
                                </w:rPr>
                              </w:pPr>
                              <w:r w:rsidRPr="000B7C1A">
                                <w:rPr>
                                  <w:rFonts w:cs="Times New Roman"/>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rot="16200000">
                            <a:off x="-456911" y="2009666"/>
                            <a:ext cx="1329690" cy="4158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25C147" w14:textId="77777777" w:rsidR="00C8402C" w:rsidRPr="000B7C1A" w:rsidRDefault="00C8402C" w:rsidP="00477E60">
                              <w:pPr>
                                <w:jc w:val="center"/>
                                <w:rPr>
                                  <w:rFonts w:cs="Times New Roman"/>
                                  <w:szCs w:val="24"/>
                                </w:rPr>
                              </w:pPr>
                              <w:r w:rsidRPr="000B7C1A">
                                <w:rPr>
                                  <w:rFonts w:cs="Times New Roman"/>
                                  <w:szCs w:val="24"/>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rot="16200000">
                            <a:off x="-456911" y="3596926"/>
                            <a:ext cx="1329690" cy="4158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80166" w14:textId="77777777" w:rsidR="00C8402C" w:rsidRPr="000B7C1A" w:rsidRDefault="00C8402C" w:rsidP="00477E60">
                              <w:pPr>
                                <w:jc w:val="center"/>
                                <w:rPr>
                                  <w:rFonts w:cs="Times New Roman"/>
                                  <w:szCs w:val="24"/>
                                </w:rPr>
                              </w:pPr>
                              <w:r w:rsidRPr="000B7C1A">
                                <w:rPr>
                                  <w:rFonts w:cs="Times New Roman"/>
                                  <w:szCs w:val="24"/>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rot="16200000">
                            <a:off x="-456911" y="5097923"/>
                            <a:ext cx="1329690" cy="4158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88D6C" w14:textId="77777777" w:rsidR="00C8402C" w:rsidRPr="000B7C1A" w:rsidRDefault="00C8402C" w:rsidP="00477E60">
                              <w:pPr>
                                <w:jc w:val="center"/>
                                <w:rPr>
                                  <w:rFonts w:cs="Times New Roman"/>
                                  <w:szCs w:val="24"/>
                                </w:rPr>
                              </w:pPr>
                              <w:r w:rsidRPr="000B7C1A">
                                <w:rPr>
                                  <w:rFonts w:cs="Times New Roman"/>
                                  <w:szCs w:val="24"/>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864833" y="59942"/>
                            <a:ext cx="2475292" cy="626833"/>
                          </a:xfrm>
                          <a:prstGeom prst="rect">
                            <a:avLst/>
                          </a:prstGeom>
                          <a:solidFill>
                            <a:srgbClr val="FFFFFF"/>
                          </a:solidFill>
                          <a:ln w="9525">
                            <a:solidFill>
                              <a:srgbClr val="000000"/>
                            </a:solidFill>
                            <a:miter lim="800000"/>
                            <a:headEnd/>
                            <a:tailEnd/>
                          </a:ln>
                        </wps:spPr>
                        <wps:txbx>
                          <w:txbxContent>
                            <w:p w14:paraId="62B2D965" w14:textId="6FDAE94A" w:rsidR="00C8402C" w:rsidRPr="005E0886" w:rsidRDefault="00C8402C" w:rsidP="00DD7C0E">
                              <w:pPr>
                                <w:pStyle w:val="Normal1"/>
                                <w:jc w:val="center"/>
                              </w:pPr>
                              <w:r w:rsidRPr="005E0886">
                                <w:t xml:space="preserve">Database search identified </w:t>
                              </w:r>
                              <w:r>
                                <w:t>12</w:t>
                              </w:r>
                              <w:r w:rsidRPr="005E0886">
                                <w:t>163 records</w:t>
                              </w:r>
                            </w:p>
                          </w:txbxContent>
                        </wps:txbx>
                        <wps:bodyPr rot="0" vert="horz" wrap="square" lIns="91440" tIns="45720" rIns="91440" bIns="45720" anchor="ctr" anchorCtr="0">
                          <a:noAutofit/>
                        </wps:bodyPr>
                      </wps:wsp>
                      <wps:wsp>
                        <wps:cNvPr id="231" name="Text Box 2"/>
                        <wps:cNvSpPr txBox="1">
                          <a:spLocks noChangeArrowheads="1"/>
                        </wps:cNvSpPr>
                        <wps:spPr bwMode="auto">
                          <a:xfrm>
                            <a:off x="3761046" y="57463"/>
                            <a:ext cx="2338275" cy="895207"/>
                          </a:xfrm>
                          <a:prstGeom prst="rect">
                            <a:avLst/>
                          </a:prstGeom>
                          <a:solidFill>
                            <a:srgbClr val="FFFFFF"/>
                          </a:solidFill>
                          <a:ln w="9525">
                            <a:solidFill>
                              <a:srgbClr val="000000"/>
                            </a:solidFill>
                            <a:miter lim="800000"/>
                            <a:headEnd/>
                            <a:tailEnd/>
                          </a:ln>
                        </wps:spPr>
                        <wps:txbx>
                          <w:txbxContent>
                            <w:p w14:paraId="0CF5ED54" w14:textId="001B2E6E" w:rsidR="00C8402C" w:rsidRPr="005E0886" w:rsidRDefault="00C8402C" w:rsidP="00DD7C0E">
                              <w:pPr>
                                <w:pStyle w:val="Normal1"/>
                              </w:pPr>
                              <w:r w:rsidRPr="005E0886">
                                <w:t>Other sources identified 7 records</w:t>
                              </w:r>
                              <w:r>
                                <w:t xml:space="preserve"> (hand searching of reference lists).</w:t>
                              </w:r>
                            </w:p>
                          </w:txbxContent>
                        </wps:txbx>
                        <wps:bodyPr rot="0" vert="horz" wrap="square" lIns="91440" tIns="45720" rIns="91440" bIns="45720" anchor="ctr" anchorCtr="0">
                          <a:noAutofit/>
                        </wps:bodyPr>
                      </wps:wsp>
                      <wps:wsp>
                        <wps:cNvPr id="237" name="Text Box 2"/>
                        <wps:cNvSpPr txBox="1">
                          <a:spLocks noChangeArrowheads="1"/>
                        </wps:cNvSpPr>
                        <wps:spPr bwMode="auto">
                          <a:xfrm>
                            <a:off x="863851" y="1080143"/>
                            <a:ext cx="2487070" cy="626833"/>
                          </a:xfrm>
                          <a:prstGeom prst="rect">
                            <a:avLst/>
                          </a:prstGeom>
                          <a:solidFill>
                            <a:srgbClr val="FFFFFF"/>
                          </a:solidFill>
                          <a:ln w="9525">
                            <a:solidFill>
                              <a:srgbClr val="000000"/>
                            </a:solidFill>
                            <a:miter lim="800000"/>
                            <a:headEnd/>
                            <a:tailEnd/>
                          </a:ln>
                        </wps:spPr>
                        <wps:txbx>
                          <w:txbxContent>
                            <w:p w14:paraId="46A717A7" w14:textId="4DE9CC1F" w:rsidR="00C8402C" w:rsidRPr="005E0886" w:rsidRDefault="00C8402C" w:rsidP="00DD7C0E">
                              <w:pPr>
                                <w:pStyle w:val="Normal1"/>
                                <w:jc w:val="center"/>
                              </w:pPr>
                              <w:r>
                                <w:t>4</w:t>
                              </w:r>
                              <w:r w:rsidRPr="005E0886">
                                <w:t>874 records after all duplicates removed</w:t>
                              </w:r>
                            </w:p>
                          </w:txbxContent>
                        </wps:txbx>
                        <wps:bodyPr rot="0" vert="horz" wrap="square" lIns="91440" tIns="45720" rIns="91440" bIns="45720" anchor="ctr" anchorCtr="0">
                          <a:noAutofit/>
                        </wps:bodyPr>
                      </wps:wsp>
                      <wps:wsp>
                        <wps:cNvPr id="242" name="Text Box 2"/>
                        <wps:cNvSpPr txBox="1">
                          <a:spLocks noChangeArrowheads="1"/>
                        </wps:cNvSpPr>
                        <wps:spPr bwMode="auto">
                          <a:xfrm>
                            <a:off x="861983" y="2197114"/>
                            <a:ext cx="2487070" cy="363906"/>
                          </a:xfrm>
                          <a:prstGeom prst="rect">
                            <a:avLst/>
                          </a:prstGeom>
                          <a:solidFill>
                            <a:srgbClr val="FFFFFF"/>
                          </a:solidFill>
                          <a:ln w="9525">
                            <a:solidFill>
                              <a:srgbClr val="000000"/>
                            </a:solidFill>
                            <a:miter lim="800000"/>
                            <a:headEnd/>
                            <a:tailEnd/>
                          </a:ln>
                        </wps:spPr>
                        <wps:txbx>
                          <w:txbxContent>
                            <w:p w14:paraId="1382D098" w14:textId="61AB4626" w:rsidR="00C8402C" w:rsidRPr="005E0886" w:rsidRDefault="00C8402C" w:rsidP="00DD7C0E">
                              <w:pPr>
                                <w:pStyle w:val="Normal1"/>
                                <w:jc w:val="center"/>
                              </w:pPr>
                              <w:r>
                                <w:t>4</w:t>
                              </w:r>
                              <w:r w:rsidRPr="005E0886">
                                <w:t>874 records screened</w:t>
                              </w:r>
                            </w:p>
                          </w:txbxContent>
                        </wps:txbx>
                        <wps:bodyPr rot="0" vert="horz" wrap="square" lIns="91440" tIns="45720" rIns="91440" bIns="45720" anchor="ctr" anchorCtr="0">
                          <a:noAutofit/>
                        </wps:bodyPr>
                      </wps:wsp>
                      <wps:wsp>
                        <wps:cNvPr id="243" name="Text Box 2"/>
                        <wps:cNvSpPr txBox="1">
                          <a:spLocks noChangeArrowheads="1"/>
                        </wps:cNvSpPr>
                        <wps:spPr bwMode="auto">
                          <a:xfrm>
                            <a:off x="3761437" y="1685247"/>
                            <a:ext cx="2639926" cy="1700135"/>
                          </a:xfrm>
                          <a:prstGeom prst="rect">
                            <a:avLst/>
                          </a:prstGeom>
                          <a:solidFill>
                            <a:srgbClr val="FFFFFF"/>
                          </a:solidFill>
                          <a:ln w="9525">
                            <a:solidFill>
                              <a:srgbClr val="000000"/>
                            </a:solidFill>
                            <a:miter lim="800000"/>
                            <a:headEnd/>
                            <a:tailEnd/>
                          </a:ln>
                        </wps:spPr>
                        <wps:txbx>
                          <w:txbxContent>
                            <w:p w14:paraId="516ED4B2" w14:textId="6B1D22D9" w:rsidR="00C8402C" w:rsidRPr="005E0886" w:rsidRDefault="00C8402C" w:rsidP="00026049">
                              <w:pPr>
                                <w:pStyle w:val="Normal1"/>
                              </w:pPr>
                              <w:r>
                                <w:t>4</w:t>
                              </w:r>
                              <w:r w:rsidRPr="005E0886">
                                <w:t>853 records excluded. Reasons for exclusion:</w:t>
                              </w:r>
                            </w:p>
                            <w:p w14:paraId="23E296CB" w14:textId="77777777" w:rsidR="00C8402C" w:rsidRPr="005E0886" w:rsidRDefault="00C8402C" w:rsidP="00230DC4">
                              <w:pPr>
                                <w:pStyle w:val="Normal1"/>
                                <w:numPr>
                                  <w:ilvl w:val="0"/>
                                  <w:numId w:val="14"/>
                                </w:numPr>
                                <w:ind w:left="142" w:hanging="153"/>
                              </w:pPr>
                              <w:r w:rsidRPr="005E0886">
                                <w:t>Non-human: 83</w:t>
                              </w:r>
                            </w:p>
                            <w:p w14:paraId="46BFB353" w14:textId="059E242E" w:rsidR="00C8402C" w:rsidRPr="005E0886" w:rsidRDefault="00C8402C" w:rsidP="00230DC4">
                              <w:pPr>
                                <w:pStyle w:val="Normal1"/>
                                <w:numPr>
                                  <w:ilvl w:val="0"/>
                                  <w:numId w:val="14"/>
                                </w:numPr>
                                <w:ind w:left="142" w:hanging="153"/>
                              </w:pPr>
                              <w:r w:rsidRPr="005E0886">
                                <w:t>Did not include “self-reg*” or “feedback” or any related M</w:t>
                              </w:r>
                              <w:r>
                                <w:t>e</w:t>
                              </w:r>
                              <w:r w:rsidRPr="005E0886">
                                <w:t xml:space="preserve">SH terms: </w:t>
                              </w:r>
                              <w:r>
                                <w:t>4</w:t>
                              </w:r>
                              <w:r w:rsidRPr="005E0886">
                                <w:t>770</w:t>
                              </w:r>
                            </w:p>
                          </w:txbxContent>
                        </wps:txbx>
                        <wps:bodyPr rot="0" vert="horz" wrap="square" lIns="91440" tIns="45720" rIns="91440" bIns="45720" anchor="ctr" anchorCtr="0">
                          <a:noAutofit/>
                        </wps:bodyPr>
                      </wps:wsp>
                      <wps:wsp>
                        <wps:cNvPr id="244" name="Text Box 2"/>
                        <wps:cNvSpPr txBox="1">
                          <a:spLocks noChangeArrowheads="1"/>
                        </wps:cNvSpPr>
                        <wps:spPr bwMode="auto">
                          <a:xfrm>
                            <a:off x="861983" y="3630380"/>
                            <a:ext cx="2487070" cy="532271"/>
                          </a:xfrm>
                          <a:prstGeom prst="rect">
                            <a:avLst/>
                          </a:prstGeom>
                          <a:solidFill>
                            <a:srgbClr val="FFFFFF"/>
                          </a:solidFill>
                          <a:ln w="9525">
                            <a:solidFill>
                              <a:srgbClr val="000000"/>
                            </a:solidFill>
                            <a:miter lim="800000"/>
                            <a:headEnd/>
                            <a:tailEnd/>
                          </a:ln>
                        </wps:spPr>
                        <wps:txbx>
                          <w:txbxContent>
                            <w:p w14:paraId="5705195F" w14:textId="77777777" w:rsidR="00C8402C" w:rsidRPr="005E0886" w:rsidRDefault="00C8402C" w:rsidP="00DD7C0E">
                              <w:pPr>
                                <w:pStyle w:val="Normal1"/>
                                <w:jc w:val="center"/>
                              </w:pPr>
                              <w:r w:rsidRPr="005E0886">
                                <w:t>21 records assessed for eligibility</w:t>
                              </w:r>
                            </w:p>
                          </w:txbxContent>
                        </wps:txbx>
                        <wps:bodyPr rot="0" vert="horz" wrap="square" lIns="91440" tIns="45720" rIns="91440" bIns="45720" anchor="ctr" anchorCtr="0">
                          <a:noAutofit/>
                        </wps:bodyPr>
                      </wps:wsp>
                      <wps:wsp>
                        <wps:cNvPr id="245" name="Text Box 2"/>
                        <wps:cNvSpPr txBox="1">
                          <a:spLocks noChangeArrowheads="1"/>
                        </wps:cNvSpPr>
                        <wps:spPr bwMode="auto">
                          <a:xfrm>
                            <a:off x="862677" y="5062117"/>
                            <a:ext cx="2486377" cy="596745"/>
                          </a:xfrm>
                          <a:prstGeom prst="rect">
                            <a:avLst/>
                          </a:prstGeom>
                          <a:solidFill>
                            <a:srgbClr val="FFFFFF"/>
                          </a:solidFill>
                          <a:ln w="9525">
                            <a:solidFill>
                              <a:srgbClr val="000000"/>
                            </a:solidFill>
                            <a:miter lim="800000"/>
                            <a:headEnd/>
                            <a:tailEnd/>
                          </a:ln>
                        </wps:spPr>
                        <wps:txbx>
                          <w:txbxContent>
                            <w:p w14:paraId="39FDC716" w14:textId="62A0C025" w:rsidR="00C8402C" w:rsidRPr="005E0886" w:rsidRDefault="00C8402C" w:rsidP="00DD7C0E">
                              <w:pPr>
                                <w:pStyle w:val="Normal1"/>
                                <w:jc w:val="center"/>
                              </w:pPr>
                              <w:r w:rsidRPr="00667AA1">
                                <w:t>14</w:t>
                              </w:r>
                              <w:r w:rsidRPr="005E0886">
                                <w:t xml:space="preserve"> records included in synthesis</w:t>
                              </w:r>
                            </w:p>
                          </w:txbxContent>
                        </wps:txbx>
                        <wps:bodyPr rot="0" vert="horz" wrap="square" lIns="91440" tIns="45720" rIns="91440" bIns="45720" anchor="ctr" anchorCtr="0">
                          <a:noAutofit/>
                        </wps:bodyPr>
                      </wps:wsp>
                      <wps:wsp>
                        <wps:cNvPr id="246" name="Text Box 2"/>
                        <wps:cNvSpPr txBox="1">
                          <a:spLocks noChangeArrowheads="1"/>
                        </wps:cNvSpPr>
                        <wps:spPr bwMode="auto">
                          <a:xfrm>
                            <a:off x="3761046" y="3732015"/>
                            <a:ext cx="2640317" cy="1231397"/>
                          </a:xfrm>
                          <a:prstGeom prst="rect">
                            <a:avLst/>
                          </a:prstGeom>
                          <a:solidFill>
                            <a:srgbClr val="FFFFFF"/>
                          </a:solidFill>
                          <a:ln w="9525">
                            <a:solidFill>
                              <a:srgbClr val="000000"/>
                            </a:solidFill>
                            <a:miter lim="800000"/>
                            <a:headEnd/>
                            <a:tailEnd/>
                          </a:ln>
                        </wps:spPr>
                        <wps:txbx>
                          <w:txbxContent>
                            <w:p w14:paraId="33D3E01F" w14:textId="2516D308" w:rsidR="00C8402C" w:rsidRPr="005E0886" w:rsidRDefault="00C8402C" w:rsidP="00026049">
                              <w:pPr>
                                <w:pStyle w:val="Normal1"/>
                              </w:pPr>
                              <w:r>
                                <w:t>7 records excluded. Reason</w:t>
                              </w:r>
                              <w:r w:rsidRPr="005E0886">
                                <w:t xml:space="preserve"> for exclusion:</w:t>
                              </w:r>
                            </w:p>
                            <w:p w14:paraId="42AB2C09" w14:textId="5D0BC1AA" w:rsidR="00C8402C" w:rsidRPr="005E0886" w:rsidRDefault="00C8402C" w:rsidP="00230DC4">
                              <w:pPr>
                                <w:pStyle w:val="Normal1"/>
                                <w:numPr>
                                  <w:ilvl w:val="0"/>
                                  <w:numId w:val="15"/>
                                </w:numPr>
                                <w:ind w:left="142" w:hanging="153"/>
                              </w:pPr>
                              <w:r w:rsidRPr="005E0886">
                                <w:t xml:space="preserve">Intervention did not include a feedback </w:t>
                              </w:r>
                              <w:r>
                                <w:t>compnent</w:t>
                              </w:r>
                              <w:r w:rsidRPr="005E0886">
                                <w:t xml:space="preserve">: </w:t>
                              </w:r>
                              <w:r>
                                <w:t>7</w:t>
                              </w:r>
                            </w:p>
                          </w:txbxContent>
                        </wps:txbx>
                        <wps:bodyPr rot="0" vert="horz" wrap="square" lIns="91440" tIns="45720" rIns="91440" bIns="45720" anchor="ctr" anchorCtr="0">
                          <a:noAutofit/>
                        </wps:bodyPr>
                      </wps:wsp>
                      <wps:wsp>
                        <wps:cNvPr id="247" name="Straight Arrow Connector 247"/>
                        <wps:cNvCnPr>
                          <a:stCxn id="24" idx="2"/>
                          <a:endCxn id="237" idx="0"/>
                        </wps:cNvCnPr>
                        <wps:spPr>
                          <a:xfrm>
                            <a:off x="2102479" y="686775"/>
                            <a:ext cx="4907" cy="393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Straight Arrow Connector 248"/>
                        <wps:cNvCnPr>
                          <a:stCxn id="237" idx="2"/>
                          <a:endCxn id="242" idx="0"/>
                        </wps:cNvCnPr>
                        <wps:spPr>
                          <a:xfrm flipH="1">
                            <a:off x="2105518" y="1706976"/>
                            <a:ext cx="1868" cy="490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Straight Arrow Connector 249"/>
                        <wps:cNvCnPr>
                          <a:stCxn id="242" idx="2"/>
                          <a:endCxn id="244" idx="0"/>
                        </wps:cNvCnPr>
                        <wps:spPr>
                          <a:xfrm>
                            <a:off x="2105518" y="2561020"/>
                            <a:ext cx="0" cy="1069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a:stCxn id="244" idx="2"/>
                          <a:endCxn id="245" idx="0"/>
                        </wps:cNvCnPr>
                        <wps:spPr>
                          <a:xfrm>
                            <a:off x="2105518" y="4162651"/>
                            <a:ext cx="348" cy="899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a:stCxn id="242" idx="3"/>
                          <a:endCxn id="243" idx="1"/>
                        </wps:cNvCnPr>
                        <wps:spPr>
                          <a:xfrm>
                            <a:off x="3349053" y="2379067"/>
                            <a:ext cx="412385" cy="156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a:stCxn id="231" idx="2"/>
                          <a:endCxn id="237" idx="3"/>
                        </wps:cNvCnPr>
                        <wps:spPr>
                          <a:xfrm flipH="1">
                            <a:off x="3350921" y="952670"/>
                            <a:ext cx="1579263" cy="440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Straight Arrow Connector 253"/>
                        <wps:cNvCnPr>
                          <a:stCxn id="244" idx="3"/>
                          <a:endCxn id="246" idx="1"/>
                        </wps:cNvCnPr>
                        <wps:spPr>
                          <a:xfrm>
                            <a:off x="3349053" y="3896515"/>
                            <a:ext cx="411993" cy="451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45BD0F" id="Group 12" o:spid="_x0000_s1028" style="position:absolute;margin-left:-4pt;margin-top:27.95pt;width:429pt;height:470.05pt;z-index:251628544;mso-width-relative:margin;mso-height-relative:margin" coordsize="6401363,59707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">
                <v:roundrect id="Rounded Rectangle 13" o:spid="_x0000_s1029" style="position:absolute;left:-456911;top:456911;width:1329690;height:415867;rotation:-9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gsewgAA&#10;ANsAAAAPAAAAZHJzL2Rvd25yZXYueG1sRE9La8JAEL4X+h+WKfTWbKogEl2lFApS6SEPPA/ZMYnu&#10;zsbsNqb++m6h4G0+vuest5M1YqTBd44VvCYpCOLa6Y4bBVX58bIE4QOyRuOYFPyQh+3m8WGNmXZX&#10;zmksQiNiCPsMFbQh9JmUvm7Jok9cTxy5oxsshgiHRuoBrzHcGjlL04W02HFsaLGn95bqc/FtFcgT&#10;Lj7z6jjmF3Mp8dDcvvbmptTz0/S2AhFoCnfxv3un4/w5/P0SD5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eCx7CAAAA2wAAAA8AAAAAAAAAAAAAAAAAlwIAAGRycy9kb3du&#10;cmV2LnhtbFBLBQYAAAAABAAEAPUAAACGAwAAAAA=&#10;" fillcolor="#5b9bd5 [3204]" strokecolor="#1f4d78 [1604]" strokeweight="1pt">
                  <v:stroke joinstyle="miter"/>
                  <v:textbox>
                    <w:txbxContent>
                      <w:p w14:paraId="0C8822B0" w14:textId="77777777" w:rsidR="00C8402C" w:rsidRPr="000B7C1A" w:rsidRDefault="00C8402C" w:rsidP="00477E60">
                        <w:pPr>
                          <w:jc w:val="center"/>
                          <w:rPr>
                            <w:rFonts w:cs="Times New Roman"/>
                            <w:szCs w:val="24"/>
                          </w:rPr>
                        </w:pPr>
                        <w:r w:rsidRPr="000B7C1A">
                          <w:rPr>
                            <w:rFonts w:cs="Times New Roman"/>
                            <w:szCs w:val="24"/>
                          </w:rPr>
                          <w:t>Identification</w:t>
                        </w:r>
                      </w:p>
                    </w:txbxContent>
                  </v:textbox>
                </v:roundrect>
                <v:roundrect id="Rounded Rectangle 20" o:spid="_x0000_s1030" style="position:absolute;left:-456911;top:2009666;width:1329690;height:415867;rotation:-9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F/UwAAA&#10;ANsAAAAPAAAAZHJzL2Rvd25yZXYueG1sRE9Ni8IwEL0L+x/CCN401YMsXWMRQVhc9lAVz0Mztl2T&#10;SdvEWv31m4Pg8fG+V9lgjeip87VjBfNZAoK4cLrmUsHpuJt+gvABWaNxTAoe5CFbf4xWmGp355z6&#10;QyhFDGGfooIqhCaV0hcVWfQz1xBH7uI6iyHCrpS6w3sMt0YukmQpLdYcGypsaFtRcT3crAL5h8t9&#10;frr0eWvaI57L5++PeSo1GQ+bLxCBhvAWv9zfWsEiro9f4g+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YF/UwAAAANsAAAAPAAAAAAAAAAAAAAAAAJcCAABkcnMvZG93bnJl&#10;di54bWxQSwUGAAAAAAQABAD1AAAAhAMAAAAA&#10;" fillcolor="#5b9bd5 [3204]" strokecolor="#1f4d78 [1604]" strokeweight="1pt">
                  <v:stroke joinstyle="miter"/>
                  <v:textbox>
                    <w:txbxContent>
                      <w:p w14:paraId="7C25C147" w14:textId="77777777" w:rsidR="00C8402C" w:rsidRPr="000B7C1A" w:rsidRDefault="00C8402C" w:rsidP="00477E60">
                        <w:pPr>
                          <w:jc w:val="center"/>
                          <w:rPr>
                            <w:rFonts w:cs="Times New Roman"/>
                            <w:szCs w:val="24"/>
                          </w:rPr>
                        </w:pPr>
                        <w:r w:rsidRPr="000B7C1A">
                          <w:rPr>
                            <w:rFonts w:cs="Times New Roman"/>
                            <w:szCs w:val="24"/>
                          </w:rPr>
                          <w:t>Screening</w:t>
                        </w:r>
                      </w:p>
                    </w:txbxContent>
                  </v:textbox>
                </v:roundrect>
                <v:roundrect id="Rounded Rectangle 21" o:spid="_x0000_s1031" style="position:absolute;left:-456911;top:3596926;width:1329690;height:415867;rotation:-9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PpPwgAA&#10;ANsAAAAPAAAAZHJzL2Rvd25yZXYueG1sRI9Bi8IwFITvwv6H8Bb2ZlM9iHSNIoKwrOyhKp4fzbPt&#10;mrzUJtbqrzeC4HGYmW+Y2aK3RnTU+tqxglGSgiAunK65VLDfrYdTED4gazSOScGNPCzmH4MZZtpd&#10;OaduG0oRIewzVFCF0GRS+qIiiz5xDXH0jq61GKJsS6lbvEa4NXKcphNpsea4UGFDq4qK0/ZiFch/&#10;nPzm+2OXn815h4fy/rcxd6W+PvvlN4hAfXiHX+0frWA8gu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s+k/CAAAA2wAAAA8AAAAAAAAAAAAAAAAAlwIAAGRycy9kb3du&#10;cmV2LnhtbFBLBQYAAAAABAAEAPUAAACGAwAAAAA=&#10;" fillcolor="#5b9bd5 [3204]" strokecolor="#1f4d78 [1604]" strokeweight="1pt">
                  <v:stroke joinstyle="miter"/>
                  <v:textbox>
                    <w:txbxContent>
                      <w:p w14:paraId="4DB80166" w14:textId="77777777" w:rsidR="00C8402C" w:rsidRPr="000B7C1A" w:rsidRDefault="00C8402C" w:rsidP="00477E60">
                        <w:pPr>
                          <w:jc w:val="center"/>
                          <w:rPr>
                            <w:rFonts w:cs="Times New Roman"/>
                            <w:szCs w:val="24"/>
                          </w:rPr>
                        </w:pPr>
                        <w:r w:rsidRPr="000B7C1A">
                          <w:rPr>
                            <w:rFonts w:cs="Times New Roman"/>
                            <w:szCs w:val="24"/>
                          </w:rPr>
                          <w:t>Eligibility</w:t>
                        </w:r>
                      </w:p>
                    </w:txbxContent>
                  </v:textbox>
                </v:roundrect>
                <v:roundrect id="Rounded Rectangle 22" o:spid="_x0000_s1032" style="position:absolute;left:-456911;top:5097923;width:1329690;height:415867;rotation:-9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Q4xAAA&#10;ANsAAAAPAAAAZHJzL2Rvd25yZXYueG1sRI/BasMwEETvhfyD2EBujVwfTHGjhBAohJQcHJueF2tj&#10;u5VWjqXabr6+KhR6HGbmDbPZzdaIkQbfOVbwtE5AENdOd9woqMrXx2cQPiBrNI5JwTd52G0XDxvM&#10;tZu4oPESGhEh7HNU0IbQ51L6uiWLfu164uhd3WAxRDk0Ug84Rbg1Mk2STFrsOC602NOhpfrz8mUV&#10;yA/MTkV1HYubuZX43tzPb+au1Go5719ABJrDf/ivfdQK0hR+v8Qf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5kOMQAAADbAAAADwAAAAAAAAAAAAAAAACXAgAAZHJzL2Rv&#10;d25yZXYueG1sUEsFBgAAAAAEAAQA9QAAAIgDAAAAAA==&#10;" fillcolor="#5b9bd5 [3204]" strokecolor="#1f4d78 [1604]" strokeweight="1pt">
                  <v:stroke joinstyle="miter"/>
                  <v:textbox>
                    <w:txbxContent>
                      <w:p w14:paraId="40C88D6C" w14:textId="77777777" w:rsidR="00C8402C" w:rsidRPr="000B7C1A" w:rsidRDefault="00C8402C" w:rsidP="00477E60">
                        <w:pPr>
                          <w:jc w:val="center"/>
                          <w:rPr>
                            <w:rFonts w:cs="Times New Roman"/>
                            <w:szCs w:val="24"/>
                          </w:rPr>
                        </w:pPr>
                        <w:r w:rsidRPr="000B7C1A">
                          <w:rPr>
                            <w:rFonts w:cs="Times New Roman"/>
                            <w:szCs w:val="24"/>
                          </w:rPr>
                          <w:t>Included</w:t>
                        </w:r>
                      </w:p>
                    </w:txbxContent>
                  </v:textbox>
                </v:roundrect>
                <v:shape id="_x0000_s1033" type="#_x0000_t202" style="position:absolute;left:864833;top:59942;width:2475292;height:6268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7vNwQAA&#10;ANsAAAAPAAAAZHJzL2Rvd25yZXYueG1sRI9BawIxFITvQv9DeAVvmlWkyNYoiyL0olAtPT+S5+7W&#10;zUtI0nX77xtB8DjMzDfMajPYTvQUYutYwWxagCDWzrRcK/g67ydLEDEhG+wck4I/irBZv4xWWBp3&#10;40/qT6kWGcKxRAVNSr6UMuqGLMap88TZu7hgMWUZamkC3jLcdnJeFG/SYst5oUFP24b09fRrFRyq&#10;w7Y4ht5W/vvy06HXeuejUuPXoXoHkWhIz/Cj/WEUzBdw/5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Ae7zcEAAADbAAAADwAAAAAAAAAAAAAAAACXAgAAZHJzL2Rvd25y&#10;ZXYueG1sUEsFBgAAAAAEAAQA9QAAAIUDAAAAAA==&#10;">
                  <v:textbox>
                    <w:txbxContent>
                      <w:p w14:paraId="62B2D965" w14:textId="6FDAE94A" w:rsidR="00C8402C" w:rsidRPr="005E0886" w:rsidRDefault="00C8402C" w:rsidP="00DD7C0E">
                        <w:pPr>
                          <w:pStyle w:val="Normal1"/>
                          <w:jc w:val="center"/>
                        </w:pPr>
                        <w:r w:rsidRPr="005E0886">
                          <w:t xml:space="preserve">Database search identified </w:t>
                        </w:r>
                        <w:r>
                          <w:t>12</w:t>
                        </w:r>
                        <w:r w:rsidRPr="005E0886">
                          <w:t>163 records</w:t>
                        </w:r>
                      </w:p>
                    </w:txbxContent>
                  </v:textbox>
                </v:shape>
                <v:shape id="_x0000_s1034" type="#_x0000_t202" style="position:absolute;left:3761046;top:57463;width:2338275;height:8952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ZVRwgAA&#10;ANwAAAAPAAAAZHJzL2Rvd25yZXYueG1sRI9BawIxFITvBf9DeIK3mlVBymqUxVLwYkErnh/Jc3fb&#10;zUtI4rr+e1Mo9DjMzDfMejvYTvQUYutYwWxagCDWzrRcKzh/fby+gYgJ2WDnmBQ8KMJ2M3pZY2nc&#10;nY/Un1ItMoRjiQqalHwpZdQNWYxT54mzd3XBYsoy1NIEvGe47eS8KJbSYst5oUFPu4b0z+lmFRyq&#10;w674DL2t/OX63aHX+t1HpSbjoVqBSDSk//Bfe28UzBcz+D2Tj4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BlVHCAAAA3AAAAA8AAAAAAAAAAAAAAAAAlwIAAGRycy9kb3du&#10;cmV2LnhtbFBLBQYAAAAABAAEAPUAAACGAwAAAAA=&#10;">
                  <v:textbox>
                    <w:txbxContent>
                      <w:p w14:paraId="0CF5ED54" w14:textId="001B2E6E" w:rsidR="00C8402C" w:rsidRPr="005E0886" w:rsidRDefault="00C8402C" w:rsidP="00DD7C0E">
                        <w:pPr>
                          <w:pStyle w:val="Normal1"/>
                        </w:pPr>
                        <w:r w:rsidRPr="005E0886">
                          <w:t>Other sources identified 7 records</w:t>
                        </w:r>
                        <w:r>
                          <w:t xml:space="preserve"> (hand searching of reference lists).</w:t>
                        </w:r>
                      </w:p>
                    </w:txbxContent>
                  </v:textbox>
                </v:shape>
                <v:shape id="_x0000_s1035" type="#_x0000_t202" style="position:absolute;left:863851;top:1080143;width:2487070;height:6268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Ki+wwAA&#10;ANwAAAAPAAAAZHJzL2Rvd25yZXYueG1sRI9PawIxFMTvBb9DeEJvNauCla1RFqXgxYJ/6PmRPHe3&#10;3byEJF23374RhB6HmfkNs9oMthM9hdg6VjCdFCCItTMt1wou5/eXJYiYkA12jknBL0XYrEdPKyyN&#10;u/GR+lOqRYZwLFFBk5IvpYy6IYtx4jxx9q4uWExZhlqagLcMt52cFcVCWmw5LzToaduQ/j79WAWH&#10;6rAtPkJvK/95/erQa73zUann8VC9gUg0pP/wo703CmbzV7ify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ZKi+wwAAANwAAAAPAAAAAAAAAAAAAAAAAJcCAABkcnMvZG93&#10;bnJldi54bWxQSwUGAAAAAAQABAD1AAAAhwMAAAAA&#10;">
                  <v:textbox>
                    <w:txbxContent>
                      <w:p w14:paraId="46A717A7" w14:textId="4DE9CC1F" w:rsidR="00C8402C" w:rsidRPr="005E0886" w:rsidRDefault="00C8402C" w:rsidP="00DD7C0E">
                        <w:pPr>
                          <w:pStyle w:val="Normal1"/>
                          <w:jc w:val="center"/>
                        </w:pPr>
                        <w:r>
                          <w:t>4</w:t>
                        </w:r>
                        <w:r w:rsidRPr="005E0886">
                          <w:t>874 records after all duplicates removed</w:t>
                        </w:r>
                      </w:p>
                    </w:txbxContent>
                  </v:textbox>
                </v:shape>
                <v:shape id="_x0000_s1036" type="#_x0000_t202" style="position:absolute;left:861983;top:2197114;width:2487070;height:3639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XhbwgAA&#10;ANwAAAAPAAAAZHJzL2Rvd25yZXYueG1sRI9BawIxFITvBf9DeIK3mu0ipWyNsiiCFwu14vmRPHe3&#10;3byEJK7rvzeFQo/DzHzDLNej7cVAIXaOFbzMCxDE2pmOGwWnr93zG4iYkA32jknBnSKsV5OnJVbG&#10;3fiThmNqRIZwrFBBm5KvpIy6JYtx7jxx9i4uWExZhkaagLcMt70si+JVWuw4L7ToadOS/jlerYJD&#10;fdgUH2GwtT9fvnv0Wm99VGo2Het3EInG9B/+a++NgnJRwu+ZfAT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VeFvCAAAA3AAAAA8AAAAAAAAAAAAAAAAAlwIAAGRycy9kb3du&#10;cmV2LnhtbFBLBQYAAAAABAAEAPUAAACGAwAAAAA=&#10;">
                  <v:textbox>
                    <w:txbxContent>
                      <w:p w14:paraId="1382D098" w14:textId="61AB4626" w:rsidR="00C8402C" w:rsidRPr="005E0886" w:rsidRDefault="00C8402C" w:rsidP="00DD7C0E">
                        <w:pPr>
                          <w:pStyle w:val="Normal1"/>
                          <w:jc w:val="center"/>
                        </w:pPr>
                        <w:r>
                          <w:t>4</w:t>
                        </w:r>
                        <w:r w:rsidRPr="005E0886">
                          <w:t>874 records screened</w:t>
                        </w:r>
                      </w:p>
                    </w:txbxContent>
                  </v:textbox>
                </v:shape>
                <v:shape id="_x0000_s1037" type="#_x0000_t202" style="position:absolute;left:3761437;top:1685247;width:2639926;height:17001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3AwwAA&#10;ANwAAAAPAAAAZHJzL2Rvd25yZXYueG1sRI9La8MwEITvhfwHsYHeGjkPSnCjBJNQyCWFPOh5kTa2&#10;W2slJNVx/30VCPQ4zMw3zGoz2E70FGLrWMF0UoAg1s60XCu4nN9fliBiQjbYOSYFvxRhsx49rbA0&#10;7sZH6k+pFhnCsUQFTUq+lDLqhizGifPE2bu6YDFlGWppAt4y3HZyVhSv0mLLeaFBT9uG9Pfpxyo4&#10;VIdt8RF6W/nP61eHXuudj0o9j4fqDUSiIf2HH+29UTBbzOF+Jh8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3AwwAAANwAAAAPAAAAAAAAAAAAAAAAAJcCAABkcnMvZG93&#10;bnJldi54bWxQSwUGAAAAAAQABAD1AAAAhwMAAAAA&#10;">
                  <v:textbox>
                    <w:txbxContent>
                      <w:p w14:paraId="516ED4B2" w14:textId="6B1D22D9" w:rsidR="00C8402C" w:rsidRPr="005E0886" w:rsidRDefault="00C8402C" w:rsidP="00026049">
                        <w:pPr>
                          <w:pStyle w:val="Normal1"/>
                        </w:pPr>
                        <w:r>
                          <w:t>4</w:t>
                        </w:r>
                        <w:r w:rsidRPr="005E0886">
                          <w:t>853 records excluded. Reasons for exclusion:</w:t>
                        </w:r>
                      </w:p>
                      <w:p w14:paraId="23E296CB" w14:textId="77777777" w:rsidR="00C8402C" w:rsidRPr="005E0886" w:rsidRDefault="00C8402C" w:rsidP="00230DC4">
                        <w:pPr>
                          <w:pStyle w:val="Normal1"/>
                          <w:numPr>
                            <w:ilvl w:val="0"/>
                            <w:numId w:val="14"/>
                          </w:numPr>
                          <w:ind w:left="142" w:hanging="153"/>
                        </w:pPr>
                        <w:r w:rsidRPr="005E0886">
                          <w:t>Non-human: 83</w:t>
                        </w:r>
                      </w:p>
                      <w:p w14:paraId="46BFB353" w14:textId="059E242E" w:rsidR="00C8402C" w:rsidRPr="005E0886" w:rsidRDefault="00C8402C" w:rsidP="00230DC4">
                        <w:pPr>
                          <w:pStyle w:val="Normal1"/>
                          <w:numPr>
                            <w:ilvl w:val="0"/>
                            <w:numId w:val="14"/>
                          </w:numPr>
                          <w:ind w:left="142" w:hanging="153"/>
                        </w:pPr>
                        <w:r w:rsidRPr="005E0886">
                          <w:t>Did not include “self-reg*” or “feedback” or any related M</w:t>
                        </w:r>
                        <w:r>
                          <w:t>e</w:t>
                        </w:r>
                        <w:r w:rsidRPr="005E0886">
                          <w:t xml:space="preserve">SH terms: </w:t>
                        </w:r>
                        <w:r>
                          <w:t>4</w:t>
                        </w:r>
                        <w:r w:rsidRPr="005E0886">
                          <w:t>770</w:t>
                        </w:r>
                      </w:p>
                    </w:txbxContent>
                  </v:textbox>
                </v:shape>
                <v:shape id="_x0000_s1038" type="#_x0000_t202" style="position:absolute;left:861983;top:3630380;width:2487070;height:532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EW0wgAA&#10;ANwAAAAPAAAAZHJzL2Rvd25yZXYueG1sRI9PawIxFMTvBb9DeIK3mlVEZGuURSl4seAfen4kz91t&#10;Ny8hSdf125tCocdhZn7DrLeD7URPIbaOFcymBQhi7UzLtYLr5f11BSImZIOdY1LwoAjbzehljaVx&#10;dz5Rf061yBCOJSpoUvKllFE3ZDFOnSfO3s0FiynLUEsT8J7htpPzolhKiy3nhQY97RrS3+cfq+BY&#10;HXfFR+ht5T9vXx16rfc+KjUZD9UbiERD+g//tQ9GwXyxgN8z+QjI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wRbTCAAAA3AAAAA8AAAAAAAAAAAAAAAAAlwIAAGRycy9kb3du&#10;cmV2LnhtbFBLBQYAAAAABAAEAPUAAACGAwAAAAA=&#10;">
                  <v:textbox>
                    <w:txbxContent>
                      <w:p w14:paraId="5705195F" w14:textId="77777777" w:rsidR="00C8402C" w:rsidRPr="005E0886" w:rsidRDefault="00C8402C" w:rsidP="00DD7C0E">
                        <w:pPr>
                          <w:pStyle w:val="Normal1"/>
                          <w:jc w:val="center"/>
                        </w:pPr>
                        <w:r w:rsidRPr="005E0886">
                          <w:t>21 records assessed for eligibility</w:t>
                        </w:r>
                      </w:p>
                    </w:txbxContent>
                  </v:textbox>
                </v:shape>
                <v:shape id="_x0000_s1039" type="#_x0000_t202" style="position:absolute;left:862677;top:5062117;width:2486377;height:5967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AvwwAA&#10;ANwAAAAPAAAAZHJzL2Rvd25yZXYueG1sRI9PawIxFMTvBb9DeEJvNatoka1RFqXgxYJ/6PmRPHe3&#10;3byEJF23374RhB6HmfkNs9oMthM9hdg6VjCdFCCItTMt1wou5/eXJYiYkA12jknBL0XYrEdPKyyN&#10;u/GR+lOqRYZwLFFBk5IvpYy6IYtx4jxx9q4uWExZhlqagLcMt52cFcWrtNhyXmjQ07Yh/X36sQoO&#10;1WFbfITeVv7z+tWh13rno1LP46F6A5FoSP/hR3tvFMzmC7ify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OAvwwAAANwAAAAPAAAAAAAAAAAAAAAAAJcCAABkcnMvZG93&#10;bnJldi54bWxQSwUGAAAAAAQABAD1AAAAhwMAAAAA&#10;">
                  <v:textbox>
                    <w:txbxContent>
                      <w:p w14:paraId="39FDC716" w14:textId="62A0C025" w:rsidR="00C8402C" w:rsidRPr="005E0886" w:rsidRDefault="00C8402C" w:rsidP="00DD7C0E">
                        <w:pPr>
                          <w:pStyle w:val="Normal1"/>
                          <w:jc w:val="center"/>
                        </w:pPr>
                        <w:r w:rsidRPr="00667AA1">
                          <w:t>14</w:t>
                        </w:r>
                        <w:r w:rsidRPr="005E0886">
                          <w:t xml:space="preserve"> records included in synthesis</w:t>
                        </w:r>
                      </w:p>
                    </w:txbxContent>
                  </v:textbox>
                </v:shape>
                <v:shape id="_x0000_s1040" type="#_x0000_t202" style="position:absolute;left:3761046;top:3732015;width:2640317;height:123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n5YwgAA&#10;ANwAAAAPAAAAZHJzL2Rvd25yZXYueG1sRI9PawIxFMTvBb9DeEJvNauIyNYoi1LwouAfen4kz91t&#10;Ny8hSdfttzdCocdhZn7DrDaD7URPIbaOFUwnBQhi7UzLtYLr5eNtCSImZIOdY1LwSxE269HLCkvj&#10;7nyi/pxqkSEcS1TQpORLKaNuyGKcOE+cvZsLFlOWoZYm4D3DbSdnRbGQFlvOCw162jakv88/VsGh&#10;OmyLY+ht5T9vXx16rXc+KvU6Hqp3EImG9B/+a++Ngtl8Ac8z+QjI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ufljCAAAA3AAAAA8AAAAAAAAAAAAAAAAAlwIAAGRycy9kb3du&#10;cmV2LnhtbFBLBQYAAAAABAAEAPUAAACGAwAAAAA=&#10;">
                  <v:textbox>
                    <w:txbxContent>
                      <w:p w14:paraId="33D3E01F" w14:textId="2516D308" w:rsidR="00C8402C" w:rsidRPr="005E0886" w:rsidRDefault="00C8402C" w:rsidP="00026049">
                        <w:pPr>
                          <w:pStyle w:val="Normal1"/>
                        </w:pPr>
                        <w:r>
                          <w:t>7 records excluded. Reason</w:t>
                        </w:r>
                        <w:r w:rsidRPr="005E0886">
                          <w:t xml:space="preserve"> for exclusion:</w:t>
                        </w:r>
                      </w:p>
                      <w:p w14:paraId="42AB2C09" w14:textId="5D0BC1AA" w:rsidR="00C8402C" w:rsidRPr="005E0886" w:rsidRDefault="00C8402C" w:rsidP="00230DC4">
                        <w:pPr>
                          <w:pStyle w:val="Normal1"/>
                          <w:numPr>
                            <w:ilvl w:val="0"/>
                            <w:numId w:val="15"/>
                          </w:numPr>
                          <w:ind w:left="142" w:hanging="153"/>
                        </w:pPr>
                        <w:r w:rsidRPr="005E0886">
                          <w:t xml:space="preserve">Intervention did not include a feedback </w:t>
                        </w:r>
                        <w:r>
                          <w:t>compnent</w:t>
                        </w:r>
                        <w:r w:rsidRPr="005E0886">
                          <w:t xml:space="preserve">: </w:t>
                        </w:r>
                        <w:r>
                          <w:t>7</w:t>
                        </w:r>
                      </w:p>
                    </w:txbxContent>
                  </v:textbox>
                </v:shape>
                <v:shapetype id="_x0000_t32" coordsize="21600,21600" o:spt="32" o:oned="t" path="m0,0l21600,21600e" filled="f">
                  <v:path arrowok="t" fillok="f" o:connecttype="none"/>
                  <o:lock v:ext="edit" shapetype="t"/>
                </v:shapetype>
                <v:shape id="Straight Arrow Connector 247" o:spid="_x0000_s1041" type="#_x0000_t32" style="position:absolute;left:2102479;top:686775;width:4907;height:39336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bOgsUAAADcAAAADwAAAGRycy9kb3ducmV2LnhtbESPQWvCQBSE74X+h+UVvDWbitoaXUVT&#10;BOtNI54f2WcSmn0bs9sk/nu3UOhxmJlvmOV6MLXoqHWVZQVvUQyCOLe64kLBOdu9foBwHlljbZkU&#10;3MnBevX8tMRE256P1J18IQKEXYIKSu+bREqXl2TQRbYhDt7VtgZ9kG0hdYt9gJtajuN4Jg1WHBZK&#10;bCgtKf8+/RgFPfrLfLspbun282s/TOvbLDsflBq9DJsFCE+D/w//tfdawXjyDr9nwhGQq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ebOgsUAAADcAAAADwAAAAAAAAAA&#10;AAAAAAChAgAAZHJzL2Rvd25yZXYueG1sUEsFBgAAAAAEAAQA+QAAAJMDAAAAAA==&#10;" strokecolor="black [3200]" strokeweight=".5pt">
                  <v:stroke endarrow="block" joinstyle="miter"/>
                </v:shape>
                <v:shape id="Straight Arrow Connector 248" o:spid="_x0000_s1042" type="#_x0000_t32" style="position:absolute;left:2105518;top:1706976;width:1868;height:49013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738cIAAADcAAAADwAAAGRycy9kb3ducmV2LnhtbERPTWvCQBC9F/oflil4KXXTJNgSXaUo&#10;pb0apbS3MTtNQrOzIbNq/PfuoeDx8b4Xq9F16kSDtJ4NPE8TUMSVty3XBva796dXUBKQLXaeycCF&#10;BFbL+7sFFtafeUunMtQqhrAUaKAJoS+0lqohhzL1PXHkfv3gMEQ41NoOeI7hrtNpksy0w5ZjQ4M9&#10;rRuq/sqjM5CFXNJt/v0i5U99eLSbLJOvD2MmD+PbHFSgMdzE/+5PayDN49p4Jh4Bvb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E738cIAAADcAAAADwAAAAAAAAAAAAAA&#10;AAChAgAAZHJzL2Rvd25yZXYueG1sUEsFBgAAAAAEAAQA+QAAAJADAAAAAA==&#10;" strokecolor="black [3200]" strokeweight=".5pt">
                  <v:stroke endarrow="block" joinstyle="miter"/>
                </v:shape>
                <v:shape id="Straight Arrow Connector 249" o:spid="_x0000_s1043" type="#_x0000_t32" style="position:absolute;left:2105518;top:2561020;width:0;height:10693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X/a8UAAADcAAAADwAAAGRycy9kb3ducmV2LnhtbESPT2vCQBTE7wW/w/KE3upGacWkruIf&#10;hNhbNXh+ZF+TYPZtkl1N/PZdodDjMDO/YZbrwdTiTp2rLCuYTiIQxLnVFRcKsvPhbQHCeWSNtWVS&#10;8CAH69XoZYmJtj1/0/3kCxEg7BJUUHrfJFK6vCSDbmIb4uD92M6gD7IrpO6wD3BTy1kUzaXBisNC&#10;iQ3tSsqvp5tR0KO/xNtN0e62+2M6fNTt/Jx9KfU6HjafIDwN/j/81061gtl7DM8z4Qj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X/a8UAAADcAAAADwAAAAAAAAAA&#10;AAAAAAChAgAAZHJzL2Rvd25yZXYueG1sUEsFBgAAAAAEAAQA+QAAAJMDAAAAAA==&#10;" strokecolor="black [3200]" strokeweight=".5pt">
                  <v:stroke endarrow="block" joinstyle="miter"/>
                </v:shape>
                <v:shape id="Straight Arrow Connector 250" o:spid="_x0000_s1044" type="#_x0000_t32" style="position:absolute;left:2105518;top:4162651;width:348;height:899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bAK70AAADcAAAADwAAAGRycy9kb3ducmV2LnhtbERPyQrCMBC9C/5DGMGbpgqKVqO4IKg3&#10;FzwPzdgWm0ltoq1/bw6Cx8fb58vGFOJNlcstKxj0IxDEidU5pwqul11vAsJ5ZI2FZVLwIQfLRbs1&#10;x1jbmk/0PvtUhBB2MSrIvC9jKV2SkUHXtyVx4O62MugDrFKpK6xDuCnkMIrG0mDOoSHDkjYZJY/z&#10;yyio0d+m61X63Ky3h30zKp7jy/WoVLfTrGYgPDX+L/6591rBcBTmhzPhCMjF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PWwCu9AAAA3AAAAA8AAAAAAAAAAAAAAAAAoQIA&#10;AGRycy9kb3ducmV2LnhtbFBLBQYAAAAABAAEAPkAAACLAwAAAAA=&#10;" strokecolor="black [3200]" strokeweight=".5pt">
                  <v:stroke endarrow="block" joinstyle="miter"/>
                </v:shape>
                <v:shape id="Straight Arrow Connector 251" o:spid="_x0000_s1045" type="#_x0000_t32" style="position:absolute;left:3349053;top:2379067;width:412385;height:15624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lsMMAAADcAAAADwAAAGRycy9kb3ducmV2LnhtbESPS4vCQBCE74L/YWjBm04UFDc6CT5Y&#10;0L35YM9Npk2CmZ6YmTXx3zsLgseiqr6iVmlnKvGgxpWWFUzGEQjizOqScwWX8/doAcJ5ZI2VZVLw&#10;JAdp0u+tMNa25SM9Tj4XAcIuRgWF93UspcsKMujGtiYO3tU2Bn2QTS51g22Am0pOo2guDZYcFgqs&#10;aVtQdjv9GQUt+t+vzTq/bze7w76bVff5+fKj1HDQrZcgPHX+E36391rBdDaB/zPhCMjk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aZbDDAAAA3AAAAA8AAAAAAAAAAAAA&#10;AAAAoQIAAGRycy9kb3ducmV2LnhtbFBLBQYAAAAABAAEAPkAAACRAwAAAAA=&#10;" strokecolor="black [3200]" strokeweight=".5pt">
                  <v:stroke endarrow="block" joinstyle="miter"/>
                </v:shape>
                <v:shape id="Straight Arrow Connector 252" o:spid="_x0000_s1046" type="#_x0000_t32" style="position:absolute;left:3350921;top:952670;width:1579263;height:4408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9WxsUAAADcAAAADwAAAGRycy9kb3ducmV2LnhtbESPQUvDQBSE74X+h+UJXordmLRaYrdF&#10;FLHXpiL29sw+k9Ds25C3tvHfd4VCj8PMfMMs14Nr1ZF6aTwbuJ8moIhLbxuuDHzs3u4WoCQgW2w9&#10;k4E/ElivxqMl5tafeEvHIlQqQlhyNFCH0OVaS1mTQ5n6jjh6P753GKLsK217PEW4a3WaJA/aYcNx&#10;ocaOXmoqD8WvM5CFmaTb2dejFPvqe2Jfs0w+3425vRmen0AFGsI1fGlvrIF0nsL/mXgE9Oo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H9WxsUAAADcAAAADwAAAAAAAAAA&#10;AAAAAAChAgAAZHJzL2Rvd25yZXYueG1sUEsFBgAAAAAEAAQA+QAAAJMDAAAAAA==&#10;" strokecolor="black [3200]" strokeweight=".5pt">
                  <v:stroke endarrow="block" joinstyle="miter"/>
                </v:shape>
                <v:shape id="Straight Arrow Connector 253" o:spid="_x0000_s1047" type="#_x0000_t32" style="position:absolute;left:3349053;top:3896515;width:411993;height:4511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ReXMQAAADcAAAADwAAAGRycy9kb3ducmV2LnhtbESPQWvCQBSE7wX/w/KE3upGi1JTV9GI&#10;YHtrIp4f2dckmH0bs2sS/31XEHocZuYbZrUZTC06al1lWcF0EoEgzq2uuFBwyg5vHyCcR9ZYWyYF&#10;d3KwWY9eVhhr2/MPdakvRICwi1FB6X0TS+nykgy6iW2Ig/drW4M+yLaQusU+wE0tZ1G0kAYrDgsl&#10;NpSUlF/Sm1HQoz8vd9vimuz2X8dhXl8X2elbqdfxsP0E4Wnw/+Fn+6gVzObv8DgTjoB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BF5cxAAAANwAAAAPAAAAAAAAAAAA&#10;AAAAAKECAABkcnMvZG93bnJldi54bWxQSwUGAAAAAAQABAD5AAAAkgMAAAAA&#10;" strokecolor="black [3200]" strokeweight=".5pt">
                  <v:stroke endarrow="block" joinstyle="miter"/>
                </v:shape>
                <w10:wrap type="topAndBottom"/>
              </v:group>
            </w:pict>
          </mc:Fallback>
        </mc:AlternateContent>
      </w:r>
    </w:p>
    <w:p w14:paraId="506AE9CD" w14:textId="78B36278" w:rsidR="00477E60" w:rsidRDefault="00477E60" w:rsidP="00477E60">
      <w:pPr>
        <w:spacing w:line="360" w:lineRule="auto"/>
      </w:pPr>
    </w:p>
    <w:p w14:paraId="61E997C1" w14:textId="77777777" w:rsidR="0049047B" w:rsidRPr="003726FE" w:rsidRDefault="0049047B" w:rsidP="00477E60">
      <w:pPr>
        <w:spacing w:line="360" w:lineRule="auto"/>
      </w:pPr>
    </w:p>
    <w:p w14:paraId="68381395" w14:textId="2C7CB824" w:rsidR="00477E60" w:rsidRPr="003726FE" w:rsidRDefault="00F65BA5" w:rsidP="00BA4521">
      <w:pPr>
        <w:pStyle w:val="Heading3"/>
      </w:pPr>
      <w:bookmarkStart w:id="166" w:name="_Toc429988454"/>
      <w:bookmarkStart w:id="167" w:name="_Toc500319334"/>
      <w:r w:rsidRPr="003726FE">
        <w:lastRenderedPageBreak/>
        <w:t xml:space="preserve">A2.3.3 </w:t>
      </w:r>
      <w:r w:rsidR="00477E60" w:rsidRPr="003726FE">
        <w:t xml:space="preserve">Data </w:t>
      </w:r>
      <w:r w:rsidR="004B592B">
        <w:t>E</w:t>
      </w:r>
      <w:r w:rsidR="00477E60" w:rsidRPr="003726FE">
        <w:t>xtraction</w:t>
      </w:r>
      <w:bookmarkEnd w:id="166"/>
      <w:bookmarkEnd w:id="167"/>
    </w:p>
    <w:p w14:paraId="4A543C01" w14:textId="33DB2790" w:rsidR="00477E60" w:rsidRPr="003726FE" w:rsidRDefault="00477E60" w:rsidP="00026049">
      <w:pPr>
        <w:pStyle w:val="Normal1"/>
        <w:rPr>
          <w:lang w:val="en-GB"/>
        </w:rPr>
      </w:pPr>
    </w:p>
    <w:p w14:paraId="1C8EDC64" w14:textId="35449FF0" w:rsidR="00477E60" w:rsidRPr="003726FE" w:rsidRDefault="00EA37FE" w:rsidP="00026049">
      <w:pPr>
        <w:pStyle w:val="Normal1"/>
        <w:rPr>
          <w:lang w:val="en-GB"/>
        </w:rPr>
      </w:pPr>
      <w:r>
        <w:rPr>
          <w:lang w:val="en-GB"/>
        </w:rPr>
        <w:t>T</w:t>
      </w:r>
      <w:r w:rsidR="00477E60" w:rsidRPr="003726FE">
        <w:rPr>
          <w:lang w:val="en-GB"/>
        </w:rPr>
        <w:t xml:space="preserve">o emulate a more systematic extraction process, the TREND checklist </w:t>
      </w:r>
      <w:r w:rsidR="00EF281A" w:rsidRPr="003726FE">
        <w:rPr>
          <w:lang w:val="en-GB"/>
        </w:rPr>
        <w:fldChar w:fldCharType="begin"/>
      </w:r>
      <w:r w:rsidR="008B61BE">
        <w:rPr>
          <w:lang w:val="en-GB"/>
        </w:rPr>
        <w:instrText xml:space="preserve"> ADDIN EN.CITE &lt;EndNote&gt;&lt;Cite&gt;&lt;Author&gt;Des Jarlais&lt;/Author&gt;&lt;Year&gt;2004&lt;/Year&gt;&lt;RecNum&gt;64&lt;/RecNum&gt;&lt;DisplayText&gt;(Des Jarlais et al. 2004)&lt;/DisplayText&gt;&lt;record&gt;&lt;rec-number&gt;64&lt;/rec-number&gt;&lt;foreign-keys&gt;&lt;key app="EN" db-id="xa2r2ewea92trkef5dt5arvbzafvpv2za5ft" timestamp="1442161763"&gt;64&lt;/key&gt;&lt;/foreign-keys&gt;&lt;ref-type name="Journal Article"&gt;17&lt;/ref-type&gt;&lt;contributors&gt;&lt;authors&gt;&lt;author&gt;Des Jarlais, D. C.&lt;/author&gt;&lt;author&gt;Lyles, C.&lt;/author&gt;&lt;author&gt;Crepaz, N.&lt;/author&gt;&lt;author&gt;Trend Group&lt;/author&gt;&lt;/authors&gt;&lt;/contributors&gt;&lt;auth-address&gt;Baron Edmond de Rothschild Chemical Dependency Institute, Beth Israel Medical Center, New York City, USA. dcdesjarla@aol.com&lt;/auth-address&gt;&lt;titles&gt;&lt;title&gt;Improving the reporting quality of nonrandomized evaluations of behavioral and public health interventions: the TREND statement&lt;/title&gt;&lt;secondary-title&gt;American Journal of Public Health&lt;/secondary-title&gt;&lt;/titles&gt;&lt;periodical&gt;&lt;full-title&gt;American Journal of Public Health&lt;/full-title&gt;&lt;/periodical&gt;&lt;pages&gt;361-366&lt;/pages&gt;&lt;volume&gt;94&lt;/volume&gt;&lt;number&gt;3&lt;/number&gt;&lt;keywords&gt;&lt;keyword&gt;Behavioral Research&lt;/keyword&gt;&lt;keyword&gt;Decision Making&lt;/keyword&gt;&lt;keyword&gt;Epidemiologic Research Design&lt;/keyword&gt;&lt;keyword&gt;Evidence-Based Medicine&lt;/keyword&gt;&lt;keyword&gt;Humans&lt;/keyword&gt;&lt;keyword&gt;Information Dissemination&lt;/keyword&gt;&lt;keyword&gt;Intervention Studies&lt;/keyword&gt;&lt;keyword&gt;Periodicals as Topic/standards&lt;/keyword&gt;&lt;keyword&gt;Program Evaluation/methods&lt;/keyword&gt;&lt;keyword&gt;Public Health Practice&lt;/keyword&gt;&lt;keyword&gt;Publishing/standards&lt;/keyword&gt;&lt;keyword&gt;Quality Control&lt;/keyword&gt;&lt;/keywords&gt;&lt;dates&gt;&lt;year&gt;2004&lt;/year&gt;&lt;/dates&gt;&lt;pub-location&gt;United States&lt;/pub-location&gt;&lt;isbn&gt;0090-0036; 0090-0036&lt;/isbn&gt;&lt;urls&gt;&lt;related-urls&gt;&lt;url&gt;http://www.ncbi.nlm.nih.gov/pmc/articles/PMC1448256/pdf/0940361.pdf&lt;/url&gt;&lt;/related-urls&gt;&lt;/urls&gt;&lt;access-date&gt;Mar&lt;/access-date&gt;&lt;/record&gt;&lt;/Cite&gt;&lt;/EndNote&gt;</w:instrText>
      </w:r>
      <w:r w:rsidR="00EF281A" w:rsidRPr="003726FE">
        <w:rPr>
          <w:lang w:val="en-GB"/>
        </w:rPr>
        <w:fldChar w:fldCharType="separate"/>
      </w:r>
      <w:r w:rsidR="004E5A78" w:rsidRPr="003726FE">
        <w:rPr>
          <w:noProof/>
          <w:lang w:val="en-GB"/>
        </w:rPr>
        <w:t>(</w:t>
      </w:r>
      <w:hyperlink w:anchor="_ENREF_122" w:tooltip="Des Jarlais, 2004 #64" w:history="1">
        <w:r w:rsidR="0094469E" w:rsidRPr="003726FE">
          <w:rPr>
            <w:noProof/>
            <w:lang w:val="en-GB"/>
          </w:rPr>
          <w:t>Des Jarlais et al. 2004</w:t>
        </w:r>
      </w:hyperlink>
      <w:r w:rsidR="004E5A78" w:rsidRPr="003726FE">
        <w:rPr>
          <w:noProof/>
          <w:lang w:val="en-GB"/>
        </w:rPr>
        <w:t>)</w:t>
      </w:r>
      <w:r w:rsidR="00EF281A" w:rsidRPr="003726FE">
        <w:rPr>
          <w:lang w:val="en-GB"/>
        </w:rPr>
        <w:fldChar w:fldCharType="end"/>
      </w:r>
      <w:r w:rsidR="00477E60" w:rsidRPr="003726FE">
        <w:rPr>
          <w:lang w:val="en-GB"/>
        </w:rPr>
        <w:t xml:space="preserve"> was used to aid </w:t>
      </w:r>
      <w:r w:rsidR="00074F8B">
        <w:rPr>
          <w:lang w:val="en-GB"/>
        </w:rPr>
        <w:t xml:space="preserve">the </w:t>
      </w:r>
      <w:r w:rsidR="00477E60" w:rsidRPr="003726FE">
        <w:rPr>
          <w:lang w:val="en-GB"/>
        </w:rPr>
        <w:t>reporting on the collected studies (</w:t>
      </w:r>
      <w:r w:rsidR="00C6465A" w:rsidRPr="003726FE">
        <w:rPr>
          <w:lang w:val="en-GB"/>
        </w:rPr>
        <w:t>Appendix</w:t>
      </w:r>
      <w:r w:rsidR="00477E60" w:rsidRPr="003726FE">
        <w:rPr>
          <w:lang w:val="en-GB"/>
        </w:rPr>
        <w:t xml:space="preserve"> </w:t>
      </w:r>
      <w:r w:rsidR="00707077" w:rsidRPr="003726FE">
        <w:rPr>
          <w:lang w:val="en-GB"/>
        </w:rPr>
        <w:t>3</w:t>
      </w:r>
      <w:r w:rsidR="00477E60" w:rsidRPr="003726FE">
        <w:rPr>
          <w:lang w:val="en-GB"/>
        </w:rPr>
        <w:t>.). One of the aims of this review was to understand the theories and conceptual models which drove the intervention</w:t>
      </w:r>
      <w:r w:rsidR="00FD09CE" w:rsidRPr="003726FE">
        <w:rPr>
          <w:lang w:val="en-GB"/>
        </w:rPr>
        <w:t>s</w:t>
      </w:r>
      <w:r w:rsidR="00477E60" w:rsidRPr="003726FE">
        <w:rPr>
          <w:lang w:val="en-GB"/>
        </w:rPr>
        <w:t xml:space="preserve">, this checklist was </w:t>
      </w:r>
      <w:r w:rsidR="00FD09CE" w:rsidRPr="003726FE">
        <w:rPr>
          <w:lang w:val="en-GB"/>
        </w:rPr>
        <w:t>useful</w:t>
      </w:r>
      <w:r w:rsidR="00477E60" w:rsidRPr="003726FE">
        <w:rPr>
          <w:lang w:val="en-GB"/>
        </w:rPr>
        <w:t xml:space="preserve"> as it allowed for the detailed reporting of such descriptive features. This method ha</w:t>
      </w:r>
      <w:r w:rsidR="00074F8B">
        <w:rPr>
          <w:lang w:val="en-GB"/>
        </w:rPr>
        <w:t>d</w:t>
      </w:r>
      <w:r w:rsidR="00477E60" w:rsidRPr="003726FE">
        <w:rPr>
          <w:lang w:val="en-GB"/>
        </w:rPr>
        <w:t xml:space="preserve"> also been used in other systematic reviews studying behavioural and educational interventions </w:t>
      </w:r>
      <w:r w:rsidR="00EF281A" w:rsidRPr="003726FE">
        <w:rPr>
          <w:lang w:val="en-GB"/>
        </w:rPr>
        <w:fldChar w:fldCharType="begin"/>
      </w:r>
      <w:r w:rsidR="008B61BE">
        <w:rPr>
          <w:lang w:val="en-GB"/>
        </w:rPr>
        <w:instrText xml:space="preserve"> ADDIN EN.CITE &lt;EndNote&gt;&lt;Cite&gt;&lt;Author&gt;Cleland&lt;/Author&gt;&lt;Year&gt;2013&lt;/Year&gt;&lt;RecNum&gt;323&lt;/RecNum&gt;&lt;DisplayText&gt;(Cleland et al. 2013)&lt;/DisplayText&gt;&lt;record&gt;&lt;rec-number&gt;323&lt;/rec-number&gt;&lt;foreign-keys&gt;&lt;key app="EN" db-id="xa2r2ewea92trkef5dt5arvbzafvpv2za5ft" timestamp="1496417535"&gt;323&lt;/key&gt;&lt;/foreign-keys&gt;&lt;ref-type name="Journal Article"&gt;17&lt;/ref-type&gt;&lt;contributors&gt;&lt;authors&gt;&lt;author&gt;Cleland, Jennifer&lt;/author&gt;&lt;author&gt;Leggett, Heather&lt;/author&gt;&lt;author&gt;Sandars, John&lt;/author&gt;&lt;author&gt;Costa, Manuel J.&lt;/author&gt;&lt;author&gt;Patel, Rakesh&lt;/author&gt;&lt;author&gt;Moffat, Mandy&lt;/author&gt;&lt;/authors&gt;&lt;/contributors&gt;&lt;titles&gt;&lt;title&gt;The remediation challenge: theoretical and methodological insights from a systematic review&lt;/title&gt;&lt;secondary-title&gt;Medical education&lt;/secondary-title&gt;&lt;/titles&gt;&lt;periodical&gt;&lt;full-title&gt;Medical education&lt;/full-title&gt;&lt;/periodical&gt;&lt;pages&gt;242-251&lt;/pages&gt;&lt;volume&gt;47&lt;/volume&gt;&lt;number&gt;3&lt;/number&gt;&lt;dates&gt;&lt;year&gt;2013&lt;/year&gt;&lt;/dates&gt;&lt;publisher&gt;Wiley Online Library&lt;/publisher&gt;&lt;urls&gt;&lt;related-urls&gt;&lt;url&gt;http://onlinelibrary.wiley.com/doi/10.1111/medu.12052/abstract&lt;/url&gt;&lt;/related-urls&gt;&lt;/urls&gt;&lt;/record&gt;&lt;/Cite&gt;&lt;/EndNote&gt;</w:instrText>
      </w:r>
      <w:r w:rsidR="00EF281A" w:rsidRPr="003726FE">
        <w:rPr>
          <w:lang w:val="en-GB"/>
        </w:rPr>
        <w:fldChar w:fldCharType="separate"/>
      </w:r>
      <w:r w:rsidR="004E5A78" w:rsidRPr="003726FE">
        <w:rPr>
          <w:noProof/>
          <w:lang w:val="en-GB"/>
        </w:rPr>
        <w:t>(</w:t>
      </w:r>
      <w:hyperlink w:anchor="_ENREF_94" w:tooltip="Cleland, 2013 #323" w:history="1">
        <w:r w:rsidR="0094469E" w:rsidRPr="003726FE">
          <w:rPr>
            <w:noProof/>
            <w:lang w:val="en-GB"/>
          </w:rPr>
          <w:t>Cleland et al. 2013</w:t>
        </w:r>
      </w:hyperlink>
      <w:r w:rsidR="004E5A78" w:rsidRPr="003726FE">
        <w:rPr>
          <w:noProof/>
          <w:lang w:val="en-GB"/>
        </w:rPr>
        <w:t>)</w:t>
      </w:r>
      <w:r w:rsidR="00EF281A" w:rsidRPr="003726FE">
        <w:rPr>
          <w:lang w:val="en-GB"/>
        </w:rPr>
        <w:fldChar w:fldCharType="end"/>
      </w:r>
      <w:r w:rsidR="00477E60" w:rsidRPr="003726FE">
        <w:rPr>
          <w:lang w:val="en-GB"/>
        </w:rPr>
        <w:t>.</w:t>
      </w:r>
    </w:p>
    <w:p w14:paraId="2FA99CA1" w14:textId="77777777" w:rsidR="00477E60" w:rsidRPr="003726FE" w:rsidRDefault="00477E60" w:rsidP="00026049">
      <w:pPr>
        <w:pStyle w:val="Normal1"/>
        <w:rPr>
          <w:lang w:val="en-GB"/>
        </w:rPr>
      </w:pPr>
    </w:p>
    <w:p w14:paraId="18EA9E17" w14:textId="12C9C26B" w:rsidR="00477E60" w:rsidRPr="003726FE" w:rsidRDefault="00477E60" w:rsidP="00026049">
      <w:pPr>
        <w:pStyle w:val="Normal1"/>
        <w:rPr>
          <w:lang w:val="en-GB"/>
        </w:rPr>
      </w:pPr>
      <w:r w:rsidRPr="003726FE">
        <w:rPr>
          <w:lang w:val="en-GB"/>
        </w:rPr>
        <w:t xml:space="preserve">Data from this checklist was collected and </w:t>
      </w:r>
      <w:r w:rsidR="00074F8B">
        <w:rPr>
          <w:lang w:val="en-GB"/>
        </w:rPr>
        <w:t>transposed</w:t>
      </w:r>
      <w:r w:rsidRPr="003726FE">
        <w:rPr>
          <w:lang w:val="en-GB"/>
        </w:rPr>
        <w:t xml:space="preserve"> into a generalised data extraction form which was used to initially appraise the studies for final review (</w:t>
      </w:r>
      <w:r w:rsidR="00C6465A" w:rsidRPr="003726FE">
        <w:rPr>
          <w:lang w:val="en-GB"/>
        </w:rPr>
        <w:t>Appendix</w:t>
      </w:r>
      <w:r w:rsidRPr="003726FE">
        <w:rPr>
          <w:lang w:val="en-GB"/>
        </w:rPr>
        <w:t xml:space="preserve"> </w:t>
      </w:r>
      <w:r w:rsidR="00707077" w:rsidRPr="003726FE">
        <w:rPr>
          <w:lang w:val="en-GB"/>
        </w:rPr>
        <w:t>4</w:t>
      </w:r>
      <w:r w:rsidRPr="003726FE">
        <w:rPr>
          <w:lang w:val="en-GB"/>
        </w:rPr>
        <w:t xml:space="preserve">). This form was altered and revised appropriately during data collection, and also when data from the final </w:t>
      </w:r>
      <w:r w:rsidR="00FD09CE" w:rsidRPr="003726FE">
        <w:rPr>
          <w:lang w:val="en-GB"/>
        </w:rPr>
        <w:t>set of articles</w:t>
      </w:r>
      <w:r w:rsidRPr="003726FE">
        <w:rPr>
          <w:lang w:val="en-GB"/>
        </w:rPr>
        <w:t xml:space="preserve"> </w:t>
      </w:r>
      <w:r w:rsidR="00FD09CE" w:rsidRPr="003726FE">
        <w:rPr>
          <w:lang w:val="en-GB"/>
        </w:rPr>
        <w:t>were</w:t>
      </w:r>
      <w:r w:rsidRPr="003726FE">
        <w:rPr>
          <w:lang w:val="en-GB"/>
        </w:rPr>
        <w:t xml:space="preserve"> analysed</w:t>
      </w:r>
      <w:r w:rsidR="00074F8B">
        <w:rPr>
          <w:lang w:val="en-GB"/>
        </w:rPr>
        <w:t>.</w:t>
      </w:r>
      <w:r w:rsidRPr="003726FE">
        <w:rPr>
          <w:lang w:val="en-GB"/>
        </w:rPr>
        <w:t xml:space="preserve"> </w:t>
      </w:r>
      <w:r w:rsidR="00074F8B">
        <w:rPr>
          <w:lang w:val="en-GB"/>
        </w:rPr>
        <w:t>T</w:t>
      </w:r>
      <w:r w:rsidRPr="003726FE">
        <w:rPr>
          <w:lang w:val="en-GB"/>
        </w:rPr>
        <w:t>his allowed for a clear</w:t>
      </w:r>
      <w:r w:rsidR="00FD09CE" w:rsidRPr="003726FE">
        <w:rPr>
          <w:lang w:val="en-GB"/>
        </w:rPr>
        <w:t>er</w:t>
      </w:r>
      <w:r w:rsidRPr="003726FE">
        <w:rPr>
          <w:lang w:val="en-GB"/>
        </w:rPr>
        <w:t xml:space="preserve"> and </w:t>
      </w:r>
      <w:r w:rsidR="00FD09CE" w:rsidRPr="003726FE">
        <w:rPr>
          <w:lang w:val="en-GB"/>
        </w:rPr>
        <w:t xml:space="preserve">more </w:t>
      </w:r>
      <w:r w:rsidRPr="003726FE">
        <w:rPr>
          <w:lang w:val="en-GB"/>
        </w:rPr>
        <w:t xml:space="preserve">effective ‘first look’ to help identify important differences in study parameters (e.g. participant numbers and research designs).  </w:t>
      </w:r>
    </w:p>
    <w:p w14:paraId="7BBF8469" w14:textId="77777777" w:rsidR="00477E60" w:rsidRPr="003726FE" w:rsidRDefault="00477E60" w:rsidP="00026049">
      <w:pPr>
        <w:pStyle w:val="Normal1"/>
        <w:rPr>
          <w:lang w:val="en-GB"/>
        </w:rPr>
      </w:pPr>
    </w:p>
    <w:p w14:paraId="7D47A8DA" w14:textId="79AE0390" w:rsidR="00477E60" w:rsidRPr="003726FE" w:rsidRDefault="00F65BA5" w:rsidP="00BA4521">
      <w:pPr>
        <w:pStyle w:val="Heading3"/>
      </w:pPr>
      <w:bookmarkStart w:id="168" w:name="_Toc429988455"/>
      <w:bookmarkStart w:id="169" w:name="_Toc500319335"/>
      <w:r w:rsidRPr="003726FE">
        <w:t xml:space="preserve">A2.3.4 </w:t>
      </w:r>
      <w:r w:rsidR="00477E60" w:rsidRPr="003726FE">
        <w:t>Analysis</w:t>
      </w:r>
      <w:bookmarkEnd w:id="168"/>
      <w:bookmarkEnd w:id="169"/>
    </w:p>
    <w:p w14:paraId="4125A503" w14:textId="77777777" w:rsidR="00477E60" w:rsidRPr="003726FE" w:rsidRDefault="00477E60" w:rsidP="00026049">
      <w:pPr>
        <w:pStyle w:val="Normal1"/>
        <w:rPr>
          <w:lang w:val="en-GB"/>
        </w:rPr>
      </w:pPr>
    </w:p>
    <w:p w14:paraId="341AF67D" w14:textId="6AEED8A8" w:rsidR="00477E60" w:rsidRPr="003726FE" w:rsidRDefault="00477E60" w:rsidP="00026049">
      <w:pPr>
        <w:pStyle w:val="Normal1"/>
        <w:rPr>
          <w:lang w:val="en-GB"/>
        </w:rPr>
      </w:pPr>
      <w:r w:rsidRPr="003726FE">
        <w:rPr>
          <w:lang w:val="en-GB"/>
        </w:rPr>
        <w:t>Descriptive data (e.g. study context, number of participants) was compiled to give a general overview of the studies whic</w:t>
      </w:r>
      <w:r w:rsidR="00AE4999" w:rsidRPr="003726FE">
        <w:rPr>
          <w:lang w:val="en-GB"/>
        </w:rPr>
        <w:t>h were included in the review (T</w:t>
      </w:r>
      <w:r w:rsidRPr="003726FE">
        <w:rPr>
          <w:lang w:val="en-GB"/>
        </w:rPr>
        <w:t xml:space="preserve">able </w:t>
      </w:r>
      <w:r w:rsidR="00AE4999" w:rsidRPr="003726FE">
        <w:rPr>
          <w:lang w:val="en-GB"/>
        </w:rPr>
        <w:t>A2.2</w:t>
      </w:r>
      <w:r w:rsidRPr="003726FE">
        <w:rPr>
          <w:lang w:val="en-GB"/>
        </w:rPr>
        <w:t xml:space="preserve">). An inductive qualitative synthesis was then used to assess the quality of the collected reports, this allowed for an interpretive approach which was more suited to developing a conceptual understanding of the subject matter </w:t>
      </w:r>
      <w:r w:rsidR="00EF281A" w:rsidRPr="003726FE">
        <w:rPr>
          <w:lang w:val="en-GB"/>
        </w:rPr>
        <w:fldChar w:fldCharType="begin"/>
      </w:r>
      <w:r w:rsidR="008B61BE">
        <w:rPr>
          <w:lang w:val="en-GB"/>
        </w:rPr>
        <w:instrText xml:space="preserve"> ADDIN EN.CITE &lt;EndNote&gt;&lt;Cite&gt;&lt;Author&gt;Seers&lt;/Author&gt;&lt;Year&gt;2012&lt;/Year&gt;&lt;RecNum&gt;235&lt;/RecNum&gt;&lt;DisplayText&gt;(Seers 2012)&lt;/DisplayText&gt;&lt;record&gt;&lt;rec-number&gt;235&lt;/rec-number&gt;&lt;foreign-keys&gt;&lt;key app="EN" db-id="xa2r2ewea92trkef5dt5arvbzafvpv2za5ft" timestamp="1442161765"&gt;235&lt;/key&gt;&lt;/foreign-keys&gt;&lt;ref-type name="Journal Article"&gt;17&lt;/ref-type&gt;&lt;contributors&gt;&lt;authors&gt;&lt;author&gt;Seers, Kate&lt;/author&gt;&lt;/authors&gt;&lt;/contributors&gt;&lt;titles&gt;&lt;title&gt;What is a qualitative synthesis?&lt;/title&gt;&lt;secondary-title&gt;Evidence Based Nursing&lt;/secondary-title&gt;&lt;/titles&gt;&lt;periodical&gt;&lt;full-title&gt;Evidence Based Nursing&lt;/full-title&gt;&lt;/periodical&gt;&lt;pages&gt;ebnurs-2012-100977&lt;/pages&gt;&lt;dates&gt;&lt;year&gt;2012&lt;/year&gt;&lt;/dates&gt;&lt;publisher&gt;BMJ Publishing Group Ltd and RCN Publishing Company Ltd&lt;/publisher&gt;&lt;urls&gt;&lt;/urls&gt;&lt;/record&gt;&lt;/Cite&gt;&lt;/EndNote&gt;</w:instrText>
      </w:r>
      <w:r w:rsidR="00EF281A" w:rsidRPr="003726FE">
        <w:rPr>
          <w:lang w:val="en-GB"/>
        </w:rPr>
        <w:fldChar w:fldCharType="separate"/>
      </w:r>
      <w:r w:rsidR="004E5A78" w:rsidRPr="003726FE">
        <w:rPr>
          <w:noProof/>
          <w:lang w:val="en-GB"/>
        </w:rPr>
        <w:t>(</w:t>
      </w:r>
      <w:hyperlink w:anchor="_ENREF_380" w:tooltip="Seers, 2012 #235" w:history="1">
        <w:r w:rsidR="0094469E" w:rsidRPr="003726FE">
          <w:rPr>
            <w:noProof/>
            <w:lang w:val="en-GB"/>
          </w:rPr>
          <w:t>Seers 2012</w:t>
        </w:r>
      </w:hyperlink>
      <w:r w:rsidR="004E5A78" w:rsidRPr="003726FE">
        <w:rPr>
          <w:noProof/>
          <w:lang w:val="en-GB"/>
        </w:rPr>
        <w:t>)</w:t>
      </w:r>
      <w:r w:rsidR="00EF281A" w:rsidRPr="003726FE">
        <w:rPr>
          <w:lang w:val="en-GB"/>
        </w:rPr>
        <w:fldChar w:fldCharType="end"/>
      </w:r>
      <w:r w:rsidRPr="003726FE">
        <w:rPr>
          <w:lang w:val="en-GB"/>
        </w:rPr>
        <w:t xml:space="preserve">. Specifically, a meta-narrative approach was adopted, this method helps to synthesise studies from a multi-disciplinary perspective which may have differing conceptual/theoretical models which drive the research design </w:t>
      </w:r>
      <w:r w:rsidR="00EF281A" w:rsidRPr="003726FE">
        <w:rPr>
          <w:lang w:val="en-GB"/>
        </w:rPr>
        <w:fldChar w:fldCharType="begin"/>
      </w:r>
      <w:r w:rsidR="008B61BE">
        <w:rPr>
          <w:lang w:val="en-GB"/>
        </w:rPr>
        <w:instrText xml:space="preserve"> ADDIN EN.CITE &lt;EndNote&gt;&lt;Cite&gt;&lt;Author&gt;Greenhalgh&lt;/Author&gt;&lt;Year&gt;2005&lt;/Year&gt;&lt;RecNum&gt;98&lt;/RecNum&gt;&lt;DisplayText&gt;(Greenhalgh et al. 2005)&lt;/DisplayText&gt;&lt;record&gt;&lt;rec-number&gt;98&lt;/rec-number&gt;&lt;foreign-keys&gt;&lt;key app="EN" db-id="xa2r2ewea92trkef5dt5arvbzafvpv2za5ft" timestamp="1442161764"&gt;98&lt;/key&gt;&lt;/foreign-keys&gt;&lt;ref-type name="Journal Article"&gt;17&lt;/ref-type&gt;&lt;contributors&gt;&lt;authors&gt;&lt;author&gt;Greenhalgh, Trisha&lt;/author&gt;&lt;author&gt;Robert, Glenn&lt;/author&gt;&lt;author&gt;Macfarlane, Fraser&lt;/author&gt;&lt;author&gt;Bate, Paul&lt;/author&gt;&lt;author&gt;Kyriakidou, Olympia&lt;/author&gt;&lt;author&gt;Peacock, Richard&lt;/author&gt;&lt;/authors&gt;&lt;/contributors&gt;&lt;titles&gt;&lt;title&gt;Storylines of research in diffusion of innovation: a meta-narrative approach to systematic review&lt;/title&gt;&lt;secondary-title&gt;Social science &amp;amp; medicine&lt;/secondary-title&gt;&lt;/titles&gt;&lt;periodical&gt;&lt;full-title&gt;Social science &amp;amp; medicine&lt;/full-title&gt;&lt;/periodical&gt;&lt;pages&gt;417-430&lt;/pages&gt;&lt;volume&gt;61&lt;/volume&gt;&lt;number&gt;2&lt;/number&gt;&lt;dates&gt;&lt;year&gt;2005&lt;/year&gt;&lt;/dates&gt;&lt;publisher&gt;Elsevier&lt;/publisher&gt;&lt;urls&gt;&lt;/urls&gt;&lt;/record&gt;&lt;/Cite&gt;&lt;/EndNote&gt;</w:instrText>
      </w:r>
      <w:r w:rsidR="00EF281A" w:rsidRPr="003726FE">
        <w:rPr>
          <w:lang w:val="en-GB"/>
        </w:rPr>
        <w:fldChar w:fldCharType="separate"/>
      </w:r>
      <w:r w:rsidR="004E5A78" w:rsidRPr="003726FE">
        <w:rPr>
          <w:noProof/>
          <w:lang w:val="en-GB"/>
        </w:rPr>
        <w:t>(</w:t>
      </w:r>
      <w:hyperlink w:anchor="_ENREF_171" w:tooltip="Greenhalgh, 2005 #98" w:history="1">
        <w:r w:rsidR="0094469E" w:rsidRPr="003726FE">
          <w:rPr>
            <w:noProof/>
            <w:lang w:val="en-GB"/>
          </w:rPr>
          <w:t>Greenhalgh et al. 2005</w:t>
        </w:r>
      </w:hyperlink>
      <w:r w:rsidR="004E5A78" w:rsidRPr="003726FE">
        <w:rPr>
          <w:noProof/>
          <w:lang w:val="en-GB"/>
        </w:rPr>
        <w:t>)</w:t>
      </w:r>
      <w:r w:rsidR="00EF281A" w:rsidRPr="003726FE">
        <w:rPr>
          <w:lang w:val="en-GB"/>
        </w:rPr>
        <w:fldChar w:fldCharType="end"/>
      </w:r>
      <w:r w:rsidRPr="003726FE">
        <w:rPr>
          <w:lang w:val="en-GB"/>
        </w:rPr>
        <w:t>.</w:t>
      </w:r>
    </w:p>
    <w:p w14:paraId="7860A56B" w14:textId="77777777" w:rsidR="005375A6" w:rsidRPr="003726FE" w:rsidRDefault="005375A6">
      <w:pPr>
        <w:rPr>
          <w:rFonts w:eastAsiaTheme="majorEastAsia" w:cs="Times New Roman"/>
          <w:b/>
          <w:color w:val="000000" w:themeColor="text1"/>
          <w:sz w:val="28"/>
          <w:szCs w:val="26"/>
          <w:shd w:val="clear" w:color="auto" w:fill="FCFCFC"/>
        </w:rPr>
      </w:pPr>
      <w:bookmarkStart w:id="170" w:name="_Toc429988456"/>
      <w:r w:rsidRPr="003726FE">
        <w:br w:type="page"/>
      </w:r>
    </w:p>
    <w:p w14:paraId="096EDC40" w14:textId="22CB0576" w:rsidR="00477E60" w:rsidRPr="003726FE" w:rsidRDefault="00F65BA5" w:rsidP="00B1638D">
      <w:pPr>
        <w:pStyle w:val="Heading2"/>
        <w:rPr>
          <w:lang w:val="en-GB"/>
        </w:rPr>
      </w:pPr>
      <w:bookmarkStart w:id="171" w:name="_Toc500319336"/>
      <w:r w:rsidRPr="003726FE">
        <w:rPr>
          <w:lang w:val="en-GB"/>
        </w:rPr>
        <w:lastRenderedPageBreak/>
        <w:t xml:space="preserve">A2.4 </w:t>
      </w:r>
      <w:r w:rsidR="00477E60" w:rsidRPr="003726FE">
        <w:rPr>
          <w:lang w:val="en-GB"/>
        </w:rPr>
        <w:t>Results</w:t>
      </w:r>
      <w:bookmarkEnd w:id="170"/>
      <w:bookmarkEnd w:id="171"/>
    </w:p>
    <w:p w14:paraId="7D04379F" w14:textId="77777777" w:rsidR="00477E60" w:rsidRPr="003726FE" w:rsidRDefault="00477E60" w:rsidP="00477E60">
      <w:pPr>
        <w:spacing w:line="360" w:lineRule="auto"/>
        <w:rPr>
          <w:szCs w:val="24"/>
        </w:rPr>
      </w:pPr>
    </w:p>
    <w:p w14:paraId="25D6CDB1" w14:textId="71FF23D9" w:rsidR="00477E60" w:rsidRPr="003726FE" w:rsidRDefault="00477E60" w:rsidP="00026049">
      <w:pPr>
        <w:pStyle w:val="Normal1"/>
        <w:rPr>
          <w:lang w:val="en-GB"/>
        </w:rPr>
      </w:pPr>
      <w:r w:rsidRPr="003726FE">
        <w:rPr>
          <w:lang w:val="en-GB"/>
        </w:rPr>
        <w:t xml:space="preserve">Of the </w:t>
      </w:r>
      <w:r w:rsidR="00074F8B">
        <w:rPr>
          <w:lang w:val="en-GB"/>
        </w:rPr>
        <w:t>4</w:t>
      </w:r>
      <w:r w:rsidRPr="003726FE">
        <w:rPr>
          <w:lang w:val="en-GB"/>
        </w:rPr>
        <w:t>874 studies</w:t>
      </w:r>
      <w:r w:rsidR="00074F8B">
        <w:rPr>
          <w:lang w:val="en-GB"/>
        </w:rPr>
        <w:t xml:space="preserve"> initially</w:t>
      </w:r>
      <w:r w:rsidRPr="003726FE">
        <w:rPr>
          <w:lang w:val="en-GB"/>
        </w:rPr>
        <w:t xml:space="preserve"> identified through the search strategy, </w:t>
      </w:r>
      <w:r w:rsidR="007A09BD" w:rsidRPr="003726FE">
        <w:rPr>
          <w:lang w:val="en-GB"/>
        </w:rPr>
        <w:t>14</w:t>
      </w:r>
      <w:r w:rsidRPr="003726FE">
        <w:rPr>
          <w:lang w:val="en-GB"/>
        </w:rPr>
        <w:t xml:space="preserve"> met the inclusion/exclusion criteria and were included in the final synthesis (</w:t>
      </w:r>
      <w:r w:rsidR="00AE17C9" w:rsidRPr="003726FE">
        <w:rPr>
          <w:lang w:val="en-GB"/>
        </w:rPr>
        <w:t>Figure</w:t>
      </w:r>
      <w:r w:rsidRPr="003726FE">
        <w:rPr>
          <w:lang w:val="en-GB"/>
        </w:rPr>
        <w:t xml:space="preserve"> </w:t>
      </w:r>
      <w:r w:rsidR="00AE4999" w:rsidRPr="003726FE">
        <w:rPr>
          <w:lang w:val="en-GB"/>
        </w:rPr>
        <w:t>A2.1</w:t>
      </w:r>
      <w:r w:rsidRPr="003726FE">
        <w:rPr>
          <w:lang w:val="en-GB"/>
        </w:rPr>
        <w:t xml:space="preserve">). Table </w:t>
      </w:r>
      <w:r w:rsidR="00AE4999" w:rsidRPr="003726FE">
        <w:rPr>
          <w:lang w:val="en-GB"/>
        </w:rPr>
        <w:t>A2.2</w:t>
      </w:r>
      <w:r w:rsidRPr="003726FE">
        <w:rPr>
          <w:lang w:val="en-GB"/>
        </w:rPr>
        <w:t xml:space="preserve"> </w:t>
      </w:r>
      <w:r w:rsidR="005375A6" w:rsidRPr="003726FE">
        <w:rPr>
          <w:lang w:val="en-GB"/>
        </w:rPr>
        <w:t>shows</w:t>
      </w:r>
      <w:r w:rsidRPr="003726FE">
        <w:rPr>
          <w:lang w:val="en-GB"/>
        </w:rPr>
        <w:t xml:space="preserve"> a descriptive map </w:t>
      </w:r>
      <w:r w:rsidR="005375A6" w:rsidRPr="003726FE">
        <w:rPr>
          <w:lang w:val="en-GB"/>
        </w:rPr>
        <w:t xml:space="preserve">of </w:t>
      </w:r>
      <w:r w:rsidR="007A09BD" w:rsidRPr="003726FE">
        <w:rPr>
          <w:lang w:val="en-GB"/>
        </w:rPr>
        <w:t>summarised</w:t>
      </w:r>
      <w:r w:rsidR="005375A6" w:rsidRPr="003726FE">
        <w:rPr>
          <w:lang w:val="en-GB"/>
        </w:rPr>
        <w:t xml:space="preserve"> findings </w:t>
      </w:r>
      <w:r w:rsidRPr="003726FE">
        <w:rPr>
          <w:lang w:val="en-GB"/>
        </w:rPr>
        <w:t xml:space="preserve">providing information on the theoretical underpinning of the intervention, participant numbers and level, context and location. A full descriptive report form can be found in </w:t>
      </w:r>
      <w:r w:rsidR="00C6465A" w:rsidRPr="003726FE">
        <w:rPr>
          <w:lang w:val="en-GB"/>
        </w:rPr>
        <w:t>Appendix</w:t>
      </w:r>
      <w:r w:rsidRPr="003726FE">
        <w:rPr>
          <w:lang w:val="en-GB"/>
        </w:rPr>
        <w:t xml:space="preserve"> </w:t>
      </w:r>
      <w:r w:rsidR="00707077" w:rsidRPr="003726FE">
        <w:rPr>
          <w:lang w:val="en-GB"/>
        </w:rPr>
        <w:t>4</w:t>
      </w:r>
      <w:r w:rsidRPr="003726FE">
        <w:rPr>
          <w:lang w:val="en-GB"/>
        </w:rPr>
        <w:t xml:space="preserve"> which further details the nature of the methods used, measures</w:t>
      </w:r>
      <w:r w:rsidR="00AE4999" w:rsidRPr="003726FE">
        <w:rPr>
          <w:lang w:val="en-GB"/>
        </w:rPr>
        <w:t>,</w:t>
      </w:r>
      <w:r w:rsidRPr="003726FE">
        <w:rPr>
          <w:lang w:val="en-GB"/>
        </w:rPr>
        <w:t xml:space="preserve"> and research design</w:t>
      </w:r>
      <w:r w:rsidR="00EA37FE">
        <w:rPr>
          <w:lang w:val="en-GB"/>
        </w:rPr>
        <w:t>s</w:t>
      </w:r>
      <w:r w:rsidRPr="003726FE">
        <w:rPr>
          <w:lang w:val="en-GB"/>
        </w:rPr>
        <w:t>.</w:t>
      </w:r>
    </w:p>
    <w:p w14:paraId="6FCA1B66" w14:textId="77777777" w:rsidR="00C94B43" w:rsidRPr="003726FE" w:rsidRDefault="00C94B43" w:rsidP="00477E60">
      <w:pPr>
        <w:spacing w:line="360" w:lineRule="auto"/>
        <w:rPr>
          <w:szCs w:val="24"/>
        </w:rPr>
      </w:pPr>
    </w:p>
    <w:p w14:paraId="3C9DCDC0" w14:textId="7D205661" w:rsidR="00477E60" w:rsidRPr="003726FE" w:rsidRDefault="00C94B43" w:rsidP="00026049">
      <w:pPr>
        <w:pStyle w:val="Tablelist"/>
        <w:rPr>
          <w:lang w:val="en-GB"/>
        </w:rPr>
      </w:pPr>
      <w:bookmarkStart w:id="172" w:name="_Toc487454818"/>
      <w:bookmarkStart w:id="173" w:name="_Toc487456790"/>
      <w:bookmarkStart w:id="174" w:name="_Toc500319509"/>
      <w:r w:rsidRPr="003726FE">
        <w:rPr>
          <w:lang w:val="en-GB"/>
        </w:rPr>
        <w:t>Table A2.</w:t>
      </w:r>
      <w:r w:rsidRPr="003726FE">
        <w:rPr>
          <w:lang w:val="en-GB"/>
        </w:rPr>
        <w:fldChar w:fldCharType="begin"/>
      </w:r>
      <w:r w:rsidRPr="003726FE">
        <w:rPr>
          <w:lang w:val="en-GB"/>
        </w:rPr>
        <w:instrText xml:space="preserve"> SEQ Table_A2. \* ARABIC </w:instrText>
      </w:r>
      <w:r w:rsidRPr="003726FE">
        <w:rPr>
          <w:lang w:val="en-GB"/>
        </w:rPr>
        <w:fldChar w:fldCharType="separate"/>
      </w:r>
      <w:r w:rsidR="00E44881">
        <w:rPr>
          <w:noProof/>
          <w:lang w:val="en-GB"/>
        </w:rPr>
        <w:t>2</w:t>
      </w:r>
      <w:r w:rsidRPr="003726FE">
        <w:rPr>
          <w:lang w:val="en-GB"/>
        </w:rPr>
        <w:fldChar w:fldCharType="end"/>
      </w:r>
      <w:r w:rsidRPr="003726FE">
        <w:rPr>
          <w:lang w:val="en-GB"/>
        </w:rPr>
        <w:t xml:space="preserve"> Descriptive map of 14 studies using interventions to improve learning performance incorporating SRL and feedback.</w:t>
      </w:r>
      <w:bookmarkEnd w:id="172"/>
      <w:bookmarkEnd w:id="173"/>
      <w:bookmarkEnd w:id="174"/>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828"/>
        <w:gridCol w:w="1268"/>
        <w:gridCol w:w="1357"/>
        <w:gridCol w:w="1417"/>
        <w:gridCol w:w="1276"/>
      </w:tblGrid>
      <w:tr w:rsidR="005375A6" w:rsidRPr="00074F8B" w14:paraId="262BA7B4" w14:textId="77777777" w:rsidTr="00EA37FE">
        <w:trPr>
          <w:trHeight w:val="1049"/>
          <w:jc w:val="center"/>
        </w:trPr>
        <w:tc>
          <w:tcPr>
            <w:tcW w:w="1501" w:type="dxa"/>
            <w:tcBorders>
              <w:bottom w:val="single" w:sz="4" w:space="0" w:color="auto"/>
              <w:right w:val="single" w:sz="4" w:space="0" w:color="auto"/>
            </w:tcBorders>
            <w:vAlign w:val="center"/>
          </w:tcPr>
          <w:p w14:paraId="6B32315B" w14:textId="336253F6" w:rsidR="005375A6" w:rsidRPr="00074F8B" w:rsidRDefault="005375A6" w:rsidP="00230DC4">
            <w:pPr>
              <w:jc w:val="center"/>
              <w:rPr>
                <w:b/>
                <w:sz w:val="22"/>
              </w:rPr>
            </w:pPr>
            <w:r w:rsidRPr="00074F8B">
              <w:rPr>
                <w:b/>
                <w:sz w:val="22"/>
              </w:rPr>
              <w:t xml:space="preserve">Country, </w:t>
            </w:r>
            <w:r w:rsidRPr="00074F8B">
              <w:rPr>
                <w:b/>
                <w:i/>
                <w:sz w:val="22"/>
              </w:rPr>
              <w:t>(n) (%)</w:t>
            </w:r>
          </w:p>
        </w:tc>
        <w:tc>
          <w:tcPr>
            <w:tcW w:w="1828" w:type="dxa"/>
            <w:tcBorders>
              <w:left w:val="single" w:sz="4" w:space="0" w:color="auto"/>
              <w:bottom w:val="single" w:sz="4" w:space="0" w:color="auto"/>
            </w:tcBorders>
            <w:vAlign w:val="center"/>
          </w:tcPr>
          <w:p w14:paraId="7F9C65C4" w14:textId="7B6A983B" w:rsidR="005375A6" w:rsidRPr="00074F8B" w:rsidRDefault="005375A6" w:rsidP="004851F8">
            <w:pPr>
              <w:jc w:val="center"/>
              <w:rPr>
                <w:i/>
                <w:sz w:val="22"/>
              </w:rPr>
            </w:pPr>
            <w:r w:rsidRPr="00074F8B">
              <w:rPr>
                <w:sz w:val="22"/>
              </w:rPr>
              <w:t xml:space="preserve">USA </w:t>
            </w:r>
            <w:r w:rsidRPr="00074F8B">
              <w:rPr>
                <w:i/>
                <w:sz w:val="22"/>
              </w:rPr>
              <w:t>(n=</w:t>
            </w:r>
            <w:r w:rsidR="007E4F53" w:rsidRPr="00074F8B">
              <w:rPr>
                <w:i/>
                <w:sz w:val="22"/>
              </w:rPr>
              <w:t>10</w:t>
            </w:r>
            <w:r w:rsidRPr="00074F8B">
              <w:rPr>
                <w:i/>
                <w:sz w:val="22"/>
              </w:rPr>
              <w:t>, 7</w:t>
            </w:r>
            <w:r w:rsidR="004851F8" w:rsidRPr="00074F8B">
              <w:rPr>
                <w:i/>
                <w:sz w:val="22"/>
              </w:rPr>
              <w:t>2</w:t>
            </w:r>
            <w:r w:rsidRPr="00074F8B">
              <w:rPr>
                <w:i/>
                <w:sz w:val="22"/>
              </w:rPr>
              <w:t>%)</w:t>
            </w:r>
          </w:p>
        </w:tc>
        <w:tc>
          <w:tcPr>
            <w:tcW w:w="1268" w:type="dxa"/>
            <w:tcBorders>
              <w:bottom w:val="single" w:sz="4" w:space="0" w:color="auto"/>
            </w:tcBorders>
            <w:vAlign w:val="center"/>
          </w:tcPr>
          <w:p w14:paraId="2DF91E32" w14:textId="66F528AA" w:rsidR="005375A6" w:rsidRPr="00074F8B" w:rsidRDefault="005375A6" w:rsidP="004851F8">
            <w:pPr>
              <w:jc w:val="center"/>
              <w:rPr>
                <w:i/>
                <w:sz w:val="22"/>
              </w:rPr>
            </w:pPr>
            <w:r w:rsidRPr="00074F8B">
              <w:rPr>
                <w:sz w:val="22"/>
              </w:rPr>
              <w:t xml:space="preserve">Israel </w:t>
            </w:r>
            <w:r w:rsidRPr="00074F8B">
              <w:rPr>
                <w:i/>
                <w:sz w:val="22"/>
              </w:rPr>
              <w:t xml:space="preserve">(n=1, </w:t>
            </w:r>
            <w:r w:rsidR="004851F8" w:rsidRPr="00074F8B">
              <w:rPr>
                <w:i/>
                <w:sz w:val="22"/>
              </w:rPr>
              <w:t>7</w:t>
            </w:r>
            <w:r w:rsidRPr="00074F8B">
              <w:rPr>
                <w:i/>
                <w:sz w:val="22"/>
              </w:rPr>
              <w:t>%)</w:t>
            </w:r>
          </w:p>
        </w:tc>
        <w:tc>
          <w:tcPr>
            <w:tcW w:w="1357" w:type="dxa"/>
            <w:tcBorders>
              <w:bottom w:val="single" w:sz="4" w:space="0" w:color="auto"/>
            </w:tcBorders>
            <w:vAlign w:val="center"/>
          </w:tcPr>
          <w:p w14:paraId="49081FBB" w14:textId="56F01C89" w:rsidR="005375A6" w:rsidRPr="00074F8B" w:rsidRDefault="005375A6" w:rsidP="004851F8">
            <w:pPr>
              <w:jc w:val="center"/>
              <w:rPr>
                <w:sz w:val="22"/>
              </w:rPr>
            </w:pPr>
            <w:r w:rsidRPr="00074F8B">
              <w:rPr>
                <w:sz w:val="22"/>
              </w:rPr>
              <w:t xml:space="preserve">Germany </w:t>
            </w:r>
            <w:r w:rsidRPr="00074F8B">
              <w:rPr>
                <w:i/>
                <w:sz w:val="22"/>
              </w:rPr>
              <w:t xml:space="preserve">(n=1, </w:t>
            </w:r>
            <w:r w:rsidR="004851F8" w:rsidRPr="00074F8B">
              <w:rPr>
                <w:i/>
                <w:sz w:val="22"/>
              </w:rPr>
              <w:t>7</w:t>
            </w:r>
            <w:r w:rsidRPr="00074F8B">
              <w:rPr>
                <w:i/>
                <w:sz w:val="22"/>
              </w:rPr>
              <w:t>%)</w:t>
            </w:r>
          </w:p>
        </w:tc>
        <w:tc>
          <w:tcPr>
            <w:tcW w:w="1417" w:type="dxa"/>
            <w:tcBorders>
              <w:bottom w:val="single" w:sz="4" w:space="0" w:color="auto"/>
            </w:tcBorders>
            <w:vAlign w:val="center"/>
          </w:tcPr>
          <w:p w14:paraId="57B63248" w14:textId="576BF95E" w:rsidR="005375A6" w:rsidRPr="00074F8B" w:rsidRDefault="005375A6" w:rsidP="004851F8">
            <w:pPr>
              <w:jc w:val="center"/>
              <w:rPr>
                <w:sz w:val="22"/>
              </w:rPr>
            </w:pPr>
            <w:r w:rsidRPr="00074F8B">
              <w:rPr>
                <w:sz w:val="22"/>
              </w:rPr>
              <w:t xml:space="preserve">Netherlands </w:t>
            </w:r>
            <w:r w:rsidRPr="00074F8B">
              <w:rPr>
                <w:i/>
                <w:sz w:val="22"/>
              </w:rPr>
              <w:t xml:space="preserve">(n=1, </w:t>
            </w:r>
            <w:r w:rsidR="004851F8" w:rsidRPr="00074F8B">
              <w:rPr>
                <w:i/>
                <w:sz w:val="22"/>
              </w:rPr>
              <w:t>7</w:t>
            </w:r>
            <w:r w:rsidRPr="00074F8B">
              <w:rPr>
                <w:i/>
                <w:sz w:val="22"/>
              </w:rPr>
              <w:t>%)</w:t>
            </w:r>
          </w:p>
        </w:tc>
        <w:tc>
          <w:tcPr>
            <w:tcW w:w="1276" w:type="dxa"/>
            <w:tcBorders>
              <w:bottom w:val="single" w:sz="4" w:space="0" w:color="auto"/>
            </w:tcBorders>
            <w:vAlign w:val="center"/>
          </w:tcPr>
          <w:p w14:paraId="78FBD80E" w14:textId="77777777" w:rsidR="005375A6" w:rsidRPr="00074F8B" w:rsidRDefault="004851F8" w:rsidP="005375A6">
            <w:pPr>
              <w:jc w:val="center"/>
              <w:rPr>
                <w:sz w:val="22"/>
              </w:rPr>
            </w:pPr>
            <w:r w:rsidRPr="00074F8B">
              <w:rPr>
                <w:sz w:val="22"/>
              </w:rPr>
              <w:t>Greece</w:t>
            </w:r>
          </w:p>
          <w:p w14:paraId="03B3DCD6" w14:textId="0E366C9F" w:rsidR="004851F8" w:rsidRPr="00074F8B" w:rsidRDefault="004851F8" w:rsidP="005375A6">
            <w:pPr>
              <w:jc w:val="center"/>
              <w:rPr>
                <w:sz w:val="22"/>
              </w:rPr>
            </w:pPr>
            <w:r w:rsidRPr="00074F8B">
              <w:rPr>
                <w:i/>
                <w:sz w:val="22"/>
              </w:rPr>
              <w:t>(n=1, 7%)</w:t>
            </w:r>
          </w:p>
        </w:tc>
      </w:tr>
      <w:tr w:rsidR="005375A6" w:rsidRPr="00074F8B" w14:paraId="2C3AFE22" w14:textId="77777777" w:rsidTr="00EA37FE">
        <w:trPr>
          <w:trHeight w:val="1070"/>
          <w:jc w:val="center"/>
        </w:trPr>
        <w:tc>
          <w:tcPr>
            <w:tcW w:w="1501" w:type="dxa"/>
            <w:tcBorders>
              <w:top w:val="single" w:sz="4" w:space="0" w:color="auto"/>
              <w:bottom w:val="single" w:sz="4" w:space="0" w:color="auto"/>
              <w:right w:val="single" w:sz="4" w:space="0" w:color="auto"/>
            </w:tcBorders>
            <w:vAlign w:val="center"/>
          </w:tcPr>
          <w:p w14:paraId="73CD7370" w14:textId="08BC1AF1" w:rsidR="005375A6" w:rsidRPr="00074F8B" w:rsidRDefault="00230DC4" w:rsidP="005375A6">
            <w:pPr>
              <w:jc w:val="center"/>
              <w:rPr>
                <w:b/>
                <w:sz w:val="22"/>
              </w:rPr>
            </w:pPr>
            <w:r w:rsidRPr="00074F8B">
              <w:rPr>
                <w:b/>
                <w:sz w:val="22"/>
              </w:rPr>
              <w:t>L</w:t>
            </w:r>
            <w:r w:rsidR="005375A6" w:rsidRPr="00074F8B">
              <w:rPr>
                <w:b/>
                <w:sz w:val="22"/>
              </w:rPr>
              <w:t>evel*</w:t>
            </w:r>
          </w:p>
          <w:p w14:paraId="2BD281BB" w14:textId="77777777" w:rsidR="005375A6" w:rsidRPr="00074F8B" w:rsidRDefault="005375A6" w:rsidP="005375A6">
            <w:pPr>
              <w:jc w:val="center"/>
              <w:rPr>
                <w:b/>
                <w:sz w:val="22"/>
              </w:rPr>
            </w:pPr>
            <w:r w:rsidRPr="00074F8B">
              <w:rPr>
                <w:b/>
                <w:i/>
                <w:sz w:val="22"/>
              </w:rPr>
              <w:t>(n) (%)</w:t>
            </w:r>
          </w:p>
        </w:tc>
        <w:tc>
          <w:tcPr>
            <w:tcW w:w="1828" w:type="dxa"/>
            <w:tcBorders>
              <w:top w:val="single" w:sz="4" w:space="0" w:color="auto"/>
              <w:left w:val="single" w:sz="4" w:space="0" w:color="auto"/>
              <w:bottom w:val="single" w:sz="4" w:space="0" w:color="auto"/>
            </w:tcBorders>
            <w:vAlign w:val="center"/>
          </w:tcPr>
          <w:p w14:paraId="45C7A818" w14:textId="121A9499" w:rsidR="005375A6" w:rsidRPr="00074F8B" w:rsidRDefault="005375A6" w:rsidP="004851F8">
            <w:pPr>
              <w:jc w:val="center"/>
              <w:rPr>
                <w:sz w:val="22"/>
              </w:rPr>
            </w:pPr>
            <w:r w:rsidRPr="00074F8B">
              <w:rPr>
                <w:sz w:val="22"/>
              </w:rPr>
              <w:t xml:space="preserve">University undergraduate** </w:t>
            </w:r>
            <w:r w:rsidRPr="00074F8B">
              <w:rPr>
                <w:i/>
                <w:sz w:val="22"/>
              </w:rPr>
              <w:t>(n=</w:t>
            </w:r>
            <w:r w:rsidR="004851F8" w:rsidRPr="00074F8B">
              <w:rPr>
                <w:i/>
                <w:sz w:val="22"/>
              </w:rPr>
              <w:t>8</w:t>
            </w:r>
            <w:r w:rsidRPr="00074F8B">
              <w:rPr>
                <w:i/>
                <w:sz w:val="22"/>
              </w:rPr>
              <w:t>, 6</w:t>
            </w:r>
            <w:r w:rsidR="004851F8" w:rsidRPr="00074F8B">
              <w:rPr>
                <w:i/>
                <w:sz w:val="22"/>
              </w:rPr>
              <w:t>2</w:t>
            </w:r>
            <w:r w:rsidRPr="00074F8B">
              <w:rPr>
                <w:i/>
                <w:sz w:val="22"/>
              </w:rPr>
              <w:t>%)</w:t>
            </w:r>
          </w:p>
        </w:tc>
        <w:tc>
          <w:tcPr>
            <w:tcW w:w="1268" w:type="dxa"/>
            <w:tcBorders>
              <w:top w:val="single" w:sz="4" w:space="0" w:color="auto"/>
              <w:bottom w:val="single" w:sz="4" w:space="0" w:color="auto"/>
            </w:tcBorders>
            <w:vAlign w:val="center"/>
          </w:tcPr>
          <w:p w14:paraId="17886D4C" w14:textId="44A81489" w:rsidR="005375A6" w:rsidRPr="00074F8B" w:rsidRDefault="005375A6" w:rsidP="004851F8">
            <w:pPr>
              <w:jc w:val="center"/>
              <w:rPr>
                <w:sz w:val="22"/>
              </w:rPr>
            </w:pPr>
            <w:r w:rsidRPr="00074F8B">
              <w:rPr>
                <w:sz w:val="22"/>
              </w:rPr>
              <w:t xml:space="preserve">Secondary education </w:t>
            </w:r>
            <w:r w:rsidRPr="00074F8B">
              <w:rPr>
                <w:i/>
                <w:sz w:val="22"/>
              </w:rPr>
              <w:t>(n=</w:t>
            </w:r>
            <w:r w:rsidR="004851F8" w:rsidRPr="00074F8B">
              <w:rPr>
                <w:i/>
                <w:sz w:val="22"/>
              </w:rPr>
              <w:t>5</w:t>
            </w:r>
            <w:r w:rsidRPr="00074F8B">
              <w:rPr>
                <w:i/>
                <w:sz w:val="22"/>
              </w:rPr>
              <w:t xml:space="preserve">, </w:t>
            </w:r>
            <w:r w:rsidR="004851F8" w:rsidRPr="00074F8B">
              <w:rPr>
                <w:i/>
                <w:sz w:val="22"/>
              </w:rPr>
              <w:t>38</w:t>
            </w:r>
            <w:r w:rsidRPr="00074F8B">
              <w:rPr>
                <w:i/>
                <w:sz w:val="22"/>
              </w:rPr>
              <w:t>%)</w:t>
            </w:r>
          </w:p>
        </w:tc>
        <w:tc>
          <w:tcPr>
            <w:tcW w:w="1357" w:type="dxa"/>
            <w:tcBorders>
              <w:top w:val="single" w:sz="4" w:space="0" w:color="auto"/>
              <w:bottom w:val="single" w:sz="4" w:space="0" w:color="auto"/>
            </w:tcBorders>
            <w:vAlign w:val="center"/>
          </w:tcPr>
          <w:p w14:paraId="67D5C882" w14:textId="77777777" w:rsidR="005375A6" w:rsidRPr="00074F8B" w:rsidRDefault="005375A6" w:rsidP="005375A6">
            <w:pPr>
              <w:jc w:val="center"/>
              <w:rPr>
                <w:sz w:val="22"/>
              </w:rPr>
            </w:pPr>
          </w:p>
        </w:tc>
        <w:tc>
          <w:tcPr>
            <w:tcW w:w="1417" w:type="dxa"/>
            <w:tcBorders>
              <w:top w:val="single" w:sz="4" w:space="0" w:color="auto"/>
              <w:bottom w:val="single" w:sz="4" w:space="0" w:color="auto"/>
            </w:tcBorders>
            <w:vAlign w:val="center"/>
          </w:tcPr>
          <w:p w14:paraId="0F7A2382" w14:textId="77777777" w:rsidR="005375A6" w:rsidRPr="00074F8B" w:rsidRDefault="005375A6" w:rsidP="005375A6">
            <w:pPr>
              <w:jc w:val="center"/>
              <w:rPr>
                <w:sz w:val="22"/>
              </w:rPr>
            </w:pPr>
          </w:p>
        </w:tc>
        <w:tc>
          <w:tcPr>
            <w:tcW w:w="1276" w:type="dxa"/>
            <w:tcBorders>
              <w:top w:val="single" w:sz="4" w:space="0" w:color="auto"/>
              <w:bottom w:val="single" w:sz="4" w:space="0" w:color="auto"/>
            </w:tcBorders>
            <w:vAlign w:val="center"/>
          </w:tcPr>
          <w:p w14:paraId="5BB0E481" w14:textId="77777777" w:rsidR="005375A6" w:rsidRPr="00074F8B" w:rsidRDefault="005375A6" w:rsidP="005375A6">
            <w:pPr>
              <w:jc w:val="center"/>
              <w:rPr>
                <w:sz w:val="22"/>
              </w:rPr>
            </w:pPr>
          </w:p>
        </w:tc>
      </w:tr>
      <w:tr w:rsidR="005375A6" w:rsidRPr="00074F8B" w14:paraId="6629DFCB" w14:textId="77777777" w:rsidTr="00EA37FE">
        <w:trPr>
          <w:trHeight w:val="858"/>
          <w:jc w:val="center"/>
        </w:trPr>
        <w:tc>
          <w:tcPr>
            <w:tcW w:w="1501" w:type="dxa"/>
            <w:tcBorders>
              <w:top w:val="single" w:sz="4" w:space="0" w:color="auto"/>
              <w:bottom w:val="single" w:sz="4" w:space="0" w:color="auto"/>
              <w:right w:val="single" w:sz="4" w:space="0" w:color="auto"/>
            </w:tcBorders>
            <w:vAlign w:val="center"/>
          </w:tcPr>
          <w:p w14:paraId="6E342CF3" w14:textId="77777777" w:rsidR="005375A6" w:rsidRPr="00074F8B" w:rsidRDefault="005375A6" w:rsidP="005375A6">
            <w:pPr>
              <w:jc w:val="center"/>
              <w:rPr>
                <w:b/>
                <w:sz w:val="22"/>
              </w:rPr>
            </w:pPr>
            <w:r w:rsidRPr="00074F8B">
              <w:rPr>
                <w:b/>
                <w:sz w:val="22"/>
              </w:rPr>
              <w:t xml:space="preserve">Participants, </w:t>
            </w:r>
            <w:r w:rsidRPr="00074F8B">
              <w:rPr>
                <w:b/>
                <w:i/>
                <w:sz w:val="22"/>
              </w:rPr>
              <w:t>(n)</w:t>
            </w:r>
          </w:p>
        </w:tc>
        <w:tc>
          <w:tcPr>
            <w:tcW w:w="1828" w:type="dxa"/>
            <w:tcBorders>
              <w:top w:val="single" w:sz="4" w:space="0" w:color="auto"/>
              <w:left w:val="single" w:sz="4" w:space="0" w:color="auto"/>
              <w:bottom w:val="single" w:sz="4" w:space="0" w:color="auto"/>
            </w:tcBorders>
            <w:vAlign w:val="center"/>
          </w:tcPr>
          <w:p w14:paraId="62AD54DF" w14:textId="77777777" w:rsidR="005375A6" w:rsidRPr="00074F8B" w:rsidRDefault="005375A6" w:rsidP="005375A6">
            <w:pPr>
              <w:jc w:val="center"/>
              <w:rPr>
                <w:sz w:val="22"/>
              </w:rPr>
            </w:pPr>
            <w:r w:rsidRPr="00074F8B">
              <w:rPr>
                <w:sz w:val="22"/>
              </w:rPr>
              <w:t>Median=72</w:t>
            </w:r>
          </w:p>
          <w:p w14:paraId="69833839" w14:textId="207CC8C1" w:rsidR="00DB74D4" w:rsidRPr="00074F8B" w:rsidRDefault="00DB74D4" w:rsidP="005375A6">
            <w:pPr>
              <w:jc w:val="center"/>
              <w:rPr>
                <w:sz w:val="22"/>
              </w:rPr>
            </w:pPr>
            <w:r w:rsidRPr="00074F8B">
              <w:rPr>
                <w:sz w:val="22"/>
              </w:rPr>
              <w:t>Mean=101</w:t>
            </w:r>
          </w:p>
          <w:p w14:paraId="2E9DCCC0" w14:textId="31386499" w:rsidR="005375A6" w:rsidRPr="00074F8B" w:rsidRDefault="005375A6" w:rsidP="00DB74D4">
            <w:pPr>
              <w:jc w:val="center"/>
              <w:rPr>
                <w:i/>
                <w:sz w:val="22"/>
              </w:rPr>
            </w:pPr>
            <w:r w:rsidRPr="00074F8B">
              <w:rPr>
                <w:i/>
                <w:sz w:val="22"/>
              </w:rPr>
              <w:t>(</w:t>
            </w:r>
            <w:r w:rsidR="00DB74D4" w:rsidRPr="00074F8B">
              <w:rPr>
                <w:i/>
                <w:sz w:val="22"/>
              </w:rPr>
              <w:t>n</w:t>
            </w:r>
            <w:r w:rsidRPr="00074F8B">
              <w:rPr>
                <w:i/>
                <w:sz w:val="22"/>
              </w:rPr>
              <w:t>=</w:t>
            </w:r>
            <w:r w:rsidR="004851F8" w:rsidRPr="00074F8B">
              <w:rPr>
                <w:i/>
                <w:sz w:val="22"/>
              </w:rPr>
              <w:t>1416</w:t>
            </w:r>
            <w:r w:rsidRPr="00074F8B">
              <w:rPr>
                <w:i/>
                <w:sz w:val="22"/>
              </w:rPr>
              <w:t>)</w:t>
            </w:r>
          </w:p>
        </w:tc>
        <w:tc>
          <w:tcPr>
            <w:tcW w:w="1268" w:type="dxa"/>
            <w:tcBorders>
              <w:top w:val="single" w:sz="4" w:space="0" w:color="auto"/>
              <w:bottom w:val="single" w:sz="4" w:space="0" w:color="auto"/>
            </w:tcBorders>
            <w:vAlign w:val="center"/>
          </w:tcPr>
          <w:p w14:paraId="76C49E24" w14:textId="77777777" w:rsidR="005375A6" w:rsidRPr="00074F8B" w:rsidRDefault="005375A6" w:rsidP="005375A6">
            <w:pPr>
              <w:jc w:val="center"/>
              <w:rPr>
                <w:sz w:val="22"/>
              </w:rPr>
            </w:pPr>
          </w:p>
        </w:tc>
        <w:tc>
          <w:tcPr>
            <w:tcW w:w="1357" w:type="dxa"/>
            <w:tcBorders>
              <w:top w:val="single" w:sz="4" w:space="0" w:color="auto"/>
              <w:bottom w:val="single" w:sz="4" w:space="0" w:color="auto"/>
            </w:tcBorders>
            <w:vAlign w:val="center"/>
          </w:tcPr>
          <w:p w14:paraId="6FF3B45A" w14:textId="77777777" w:rsidR="005375A6" w:rsidRPr="00074F8B" w:rsidRDefault="005375A6" w:rsidP="005375A6">
            <w:pPr>
              <w:jc w:val="center"/>
              <w:rPr>
                <w:sz w:val="22"/>
              </w:rPr>
            </w:pPr>
          </w:p>
        </w:tc>
        <w:tc>
          <w:tcPr>
            <w:tcW w:w="1417" w:type="dxa"/>
            <w:tcBorders>
              <w:top w:val="single" w:sz="4" w:space="0" w:color="auto"/>
              <w:bottom w:val="single" w:sz="4" w:space="0" w:color="auto"/>
            </w:tcBorders>
            <w:vAlign w:val="center"/>
          </w:tcPr>
          <w:p w14:paraId="735AC279" w14:textId="77777777" w:rsidR="005375A6" w:rsidRPr="00074F8B" w:rsidRDefault="005375A6" w:rsidP="005375A6">
            <w:pPr>
              <w:jc w:val="center"/>
              <w:rPr>
                <w:sz w:val="22"/>
              </w:rPr>
            </w:pPr>
          </w:p>
        </w:tc>
        <w:tc>
          <w:tcPr>
            <w:tcW w:w="1276" w:type="dxa"/>
            <w:tcBorders>
              <w:top w:val="single" w:sz="4" w:space="0" w:color="auto"/>
              <w:bottom w:val="single" w:sz="4" w:space="0" w:color="auto"/>
            </w:tcBorders>
            <w:vAlign w:val="center"/>
          </w:tcPr>
          <w:p w14:paraId="7BE39DCE" w14:textId="77777777" w:rsidR="005375A6" w:rsidRPr="00074F8B" w:rsidRDefault="005375A6" w:rsidP="005375A6">
            <w:pPr>
              <w:jc w:val="center"/>
              <w:rPr>
                <w:sz w:val="22"/>
              </w:rPr>
            </w:pPr>
          </w:p>
        </w:tc>
      </w:tr>
      <w:tr w:rsidR="005375A6" w:rsidRPr="00074F8B" w14:paraId="456DE93F" w14:textId="77777777" w:rsidTr="00EA37FE">
        <w:trPr>
          <w:trHeight w:val="1139"/>
          <w:jc w:val="center"/>
        </w:trPr>
        <w:tc>
          <w:tcPr>
            <w:tcW w:w="1501" w:type="dxa"/>
            <w:tcBorders>
              <w:top w:val="single" w:sz="4" w:space="0" w:color="auto"/>
              <w:bottom w:val="single" w:sz="4" w:space="0" w:color="auto"/>
              <w:right w:val="single" w:sz="4" w:space="0" w:color="auto"/>
            </w:tcBorders>
            <w:vAlign w:val="center"/>
          </w:tcPr>
          <w:p w14:paraId="6F7B679A" w14:textId="1799D091" w:rsidR="005375A6" w:rsidRPr="00074F8B" w:rsidRDefault="00230DC4" w:rsidP="005375A6">
            <w:pPr>
              <w:jc w:val="center"/>
              <w:rPr>
                <w:b/>
                <w:sz w:val="22"/>
              </w:rPr>
            </w:pPr>
            <w:r w:rsidRPr="00074F8B">
              <w:rPr>
                <w:b/>
                <w:sz w:val="22"/>
              </w:rPr>
              <w:t>Context</w:t>
            </w:r>
          </w:p>
          <w:p w14:paraId="6C427E9F" w14:textId="77777777" w:rsidR="005375A6" w:rsidRPr="00074F8B" w:rsidRDefault="005375A6" w:rsidP="005375A6">
            <w:pPr>
              <w:jc w:val="center"/>
              <w:rPr>
                <w:b/>
                <w:sz w:val="22"/>
              </w:rPr>
            </w:pPr>
            <w:r w:rsidRPr="00074F8B">
              <w:rPr>
                <w:b/>
                <w:i/>
                <w:sz w:val="22"/>
              </w:rPr>
              <w:t>(n) (%)</w:t>
            </w:r>
          </w:p>
        </w:tc>
        <w:tc>
          <w:tcPr>
            <w:tcW w:w="1828" w:type="dxa"/>
            <w:tcBorders>
              <w:top w:val="single" w:sz="4" w:space="0" w:color="auto"/>
              <w:left w:val="single" w:sz="4" w:space="0" w:color="auto"/>
              <w:bottom w:val="single" w:sz="4" w:space="0" w:color="auto"/>
            </w:tcBorders>
            <w:vAlign w:val="center"/>
          </w:tcPr>
          <w:p w14:paraId="4E008762" w14:textId="3E5638B0" w:rsidR="005375A6" w:rsidRPr="00074F8B" w:rsidRDefault="004851F8" w:rsidP="00DB74D4">
            <w:pPr>
              <w:jc w:val="center"/>
              <w:rPr>
                <w:sz w:val="22"/>
              </w:rPr>
            </w:pPr>
            <w:r w:rsidRPr="00074F8B">
              <w:rPr>
                <w:sz w:val="22"/>
              </w:rPr>
              <w:t>Health education</w:t>
            </w:r>
            <w:r w:rsidR="005375A6" w:rsidRPr="00074F8B">
              <w:rPr>
                <w:sz w:val="22"/>
              </w:rPr>
              <w:t xml:space="preserve"> </w:t>
            </w:r>
            <w:r w:rsidR="005375A6" w:rsidRPr="00074F8B">
              <w:rPr>
                <w:i/>
                <w:sz w:val="22"/>
              </w:rPr>
              <w:t>(n=</w:t>
            </w:r>
            <w:r w:rsidR="00DB74D4" w:rsidRPr="00074F8B">
              <w:rPr>
                <w:i/>
                <w:sz w:val="22"/>
              </w:rPr>
              <w:t>3</w:t>
            </w:r>
            <w:r w:rsidR="005375A6" w:rsidRPr="00074F8B">
              <w:rPr>
                <w:i/>
                <w:sz w:val="22"/>
              </w:rPr>
              <w:t xml:space="preserve">, </w:t>
            </w:r>
            <w:r w:rsidR="00DB74D4" w:rsidRPr="00074F8B">
              <w:rPr>
                <w:i/>
                <w:sz w:val="22"/>
              </w:rPr>
              <w:t>21</w:t>
            </w:r>
            <w:r w:rsidR="005375A6" w:rsidRPr="00074F8B">
              <w:rPr>
                <w:i/>
                <w:sz w:val="22"/>
              </w:rPr>
              <w:t>%)</w:t>
            </w:r>
          </w:p>
        </w:tc>
        <w:tc>
          <w:tcPr>
            <w:tcW w:w="1268" w:type="dxa"/>
            <w:tcBorders>
              <w:top w:val="single" w:sz="4" w:space="0" w:color="auto"/>
              <w:bottom w:val="single" w:sz="4" w:space="0" w:color="auto"/>
            </w:tcBorders>
            <w:vAlign w:val="center"/>
          </w:tcPr>
          <w:p w14:paraId="05568A8E" w14:textId="2B0FDACC" w:rsidR="005375A6" w:rsidRPr="00074F8B" w:rsidRDefault="005375A6" w:rsidP="00DB74D4">
            <w:pPr>
              <w:jc w:val="center"/>
              <w:rPr>
                <w:sz w:val="22"/>
              </w:rPr>
            </w:pPr>
            <w:r w:rsidRPr="00074F8B">
              <w:rPr>
                <w:sz w:val="22"/>
              </w:rPr>
              <w:t xml:space="preserve">Sport </w:t>
            </w:r>
            <w:r w:rsidRPr="00074F8B">
              <w:rPr>
                <w:i/>
                <w:sz w:val="22"/>
              </w:rPr>
              <w:t>(n=</w:t>
            </w:r>
            <w:r w:rsidR="00DB74D4" w:rsidRPr="00074F8B">
              <w:rPr>
                <w:i/>
                <w:sz w:val="22"/>
              </w:rPr>
              <w:t>4</w:t>
            </w:r>
            <w:r w:rsidRPr="00074F8B">
              <w:rPr>
                <w:i/>
                <w:sz w:val="22"/>
              </w:rPr>
              <w:t>, 2</w:t>
            </w:r>
            <w:r w:rsidR="00DB74D4" w:rsidRPr="00074F8B">
              <w:rPr>
                <w:i/>
                <w:sz w:val="22"/>
              </w:rPr>
              <w:t>9</w:t>
            </w:r>
            <w:r w:rsidRPr="00074F8B">
              <w:rPr>
                <w:i/>
                <w:sz w:val="22"/>
              </w:rPr>
              <w:t>%)</w:t>
            </w:r>
          </w:p>
        </w:tc>
        <w:tc>
          <w:tcPr>
            <w:tcW w:w="1357" w:type="dxa"/>
            <w:tcBorders>
              <w:top w:val="single" w:sz="4" w:space="0" w:color="auto"/>
              <w:bottom w:val="single" w:sz="4" w:space="0" w:color="auto"/>
            </w:tcBorders>
            <w:vAlign w:val="center"/>
          </w:tcPr>
          <w:p w14:paraId="640E15CB" w14:textId="0D5BE5AC" w:rsidR="005375A6" w:rsidRPr="00074F8B" w:rsidRDefault="005375A6" w:rsidP="00DB74D4">
            <w:pPr>
              <w:jc w:val="center"/>
              <w:rPr>
                <w:sz w:val="22"/>
              </w:rPr>
            </w:pPr>
            <w:r w:rsidRPr="00074F8B">
              <w:rPr>
                <w:sz w:val="22"/>
              </w:rPr>
              <w:t xml:space="preserve">Mathematics </w:t>
            </w:r>
            <w:r w:rsidRPr="00074F8B">
              <w:rPr>
                <w:i/>
                <w:sz w:val="22"/>
              </w:rPr>
              <w:t>(n=</w:t>
            </w:r>
            <w:r w:rsidR="00DB74D4" w:rsidRPr="00074F8B">
              <w:rPr>
                <w:i/>
                <w:sz w:val="22"/>
              </w:rPr>
              <w:t>3</w:t>
            </w:r>
            <w:r w:rsidRPr="00074F8B">
              <w:rPr>
                <w:i/>
                <w:sz w:val="22"/>
              </w:rPr>
              <w:t xml:space="preserve">, </w:t>
            </w:r>
            <w:r w:rsidR="00DB74D4" w:rsidRPr="00074F8B">
              <w:rPr>
                <w:i/>
                <w:sz w:val="22"/>
              </w:rPr>
              <w:t>21</w:t>
            </w:r>
            <w:r w:rsidRPr="00074F8B">
              <w:rPr>
                <w:i/>
                <w:sz w:val="22"/>
              </w:rPr>
              <w:t>%)</w:t>
            </w:r>
          </w:p>
        </w:tc>
        <w:tc>
          <w:tcPr>
            <w:tcW w:w="1417" w:type="dxa"/>
            <w:tcBorders>
              <w:top w:val="single" w:sz="4" w:space="0" w:color="auto"/>
              <w:bottom w:val="single" w:sz="4" w:space="0" w:color="auto"/>
            </w:tcBorders>
            <w:vAlign w:val="center"/>
          </w:tcPr>
          <w:p w14:paraId="0B66ED08" w14:textId="7B689454" w:rsidR="005375A6" w:rsidRPr="00074F8B" w:rsidRDefault="005375A6" w:rsidP="00DB74D4">
            <w:pPr>
              <w:jc w:val="center"/>
              <w:rPr>
                <w:sz w:val="22"/>
              </w:rPr>
            </w:pPr>
            <w:r w:rsidRPr="00074F8B">
              <w:rPr>
                <w:sz w:val="22"/>
              </w:rPr>
              <w:t xml:space="preserve">Education </w:t>
            </w:r>
            <w:r w:rsidRPr="00074F8B">
              <w:rPr>
                <w:i/>
                <w:sz w:val="22"/>
              </w:rPr>
              <w:t xml:space="preserve">(n=3, </w:t>
            </w:r>
            <w:r w:rsidR="00DB74D4" w:rsidRPr="00074F8B">
              <w:rPr>
                <w:i/>
                <w:sz w:val="22"/>
              </w:rPr>
              <w:t>21</w:t>
            </w:r>
            <w:r w:rsidRPr="00074F8B">
              <w:rPr>
                <w:i/>
                <w:sz w:val="22"/>
              </w:rPr>
              <w:t>%)</w:t>
            </w:r>
          </w:p>
        </w:tc>
        <w:tc>
          <w:tcPr>
            <w:tcW w:w="1276" w:type="dxa"/>
            <w:tcBorders>
              <w:top w:val="single" w:sz="4" w:space="0" w:color="auto"/>
              <w:bottom w:val="single" w:sz="4" w:space="0" w:color="auto"/>
            </w:tcBorders>
            <w:vAlign w:val="center"/>
          </w:tcPr>
          <w:p w14:paraId="06A00F0C" w14:textId="3ECD7CD9" w:rsidR="005375A6" w:rsidRPr="00074F8B" w:rsidRDefault="005375A6" w:rsidP="00DB74D4">
            <w:pPr>
              <w:jc w:val="center"/>
              <w:rPr>
                <w:sz w:val="22"/>
              </w:rPr>
            </w:pPr>
            <w:r w:rsidRPr="00074F8B">
              <w:rPr>
                <w:sz w:val="22"/>
              </w:rPr>
              <w:t xml:space="preserve">Education technology </w:t>
            </w:r>
            <w:r w:rsidRPr="00074F8B">
              <w:rPr>
                <w:i/>
                <w:sz w:val="22"/>
              </w:rPr>
              <w:t xml:space="preserve">(n=1, </w:t>
            </w:r>
            <w:r w:rsidR="00DB74D4" w:rsidRPr="00074F8B">
              <w:rPr>
                <w:i/>
                <w:sz w:val="22"/>
              </w:rPr>
              <w:t>7</w:t>
            </w:r>
            <w:r w:rsidRPr="00074F8B">
              <w:rPr>
                <w:i/>
                <w:sz w:val="22"/>
              </w:rPr>
              <w:t>%)</w:t>
            </w:r>
          </w:p>
        </w:tc>
      </w:tr>
      <w:tr w:rsidR="005375A6" w:rsidRPr="00074F8B" w14:paraId="230EACCE" w14:textId="77777777" w:rsidTr="00EA37FE">
        <w:trPr>
          <w:jc w:val="center"/>
        </w:trPr>
        <w:tc>
          <w:tcPr>
            <w:tcW w:w="1501" w:type="dxa"/>
            <w:tcBorders>
              <w:top w:val="single" w:sz="4" w:space="0" w:color="auto"/>
              <w:right w:val="single" w:sz="4" w:space="0" w:color="auto"/>
            </w:tcBorders>
            <w:vAlign w:val="center"/>
          </w:tcPr>
          <w:p w14:paraId="2499DDF8" w14:textId="3B73B761" w:rsidR="005375A6" w:rsidRPr="00074F8B" w:rsidRDefault="005375A6" w:rsidP="00230DC4">
            <w:pPr>
              <w:jc w:val="center"/>
              <w:rPr>
                <w:b/>
                <w:i/>
                <w:sz w:val="22"/>
              </w:rPr>
            </w:pPr>
            <w:r w:rsidRPr="00074F8B">
              <w:rPr>
                <w:b/>
                <w:sz w:val="22"/>
              </w:rPr>
              <w:t xml:space="preserve">Theoretical underpinning </w:t>
            </w:r>
            <w:r w:rsidRPr="00074F8B">
              <w:rPr>
                <w:b/>
                <w:i/>
                <w:sz w:val="22"/>
              </w:rPr>
              <w:t>(n)</w:t>
            </w:r>
            <w:r w:rsidR="00074F8B" w:rsidRPr="00074F8B">
              <w:rPr>
                <w:b/>
                <w:i/>
                <w:sz w:val="22"/>
              </w:rPr>
              <w:t xml:space="preserve"> (%)</w:t>
            </w:r>
          </w:p>
        </w:tc>
        <w:tc>
          <w:tcPr>
            <w:tcW w:w="1828" w:type="dxa"/>
            <w:tcBorders>
              <w:top w:val="single" w:sz="4" w:space="0" w:color="auto"/>
              <w:left w:val="single" w:sz="4" w:space="0" w:color="auto"/>
            </w:tcBorders>
            <w:vAlign w:val="center"/>
          </w:tcPr>
          <w:p w14:paraId="3DE542E5" w14:textId="305C332F" w:rsidR="005375A6" w:rsidRPr="00074F8B" w:rsidRDefault="00F17F73" w:rsidP="00DB74D4">
            <w:pPr>
              <w:jc w:val="center"/>
              <w:rPr>
                <w:sz w:val="22"/>
              </w:rPr>
            </w:pPr>
            <w:r>
              <w:rPr>
                <w:sz w:val="22"/>
              </w:rPr>
              <w:t>Social cognitive</w:t>
            </w:r>
            <w:r w:rsidR="005375A6" w:rsidRPr="00074F8B">
              <w:rPr>
                <w:sz w:val="22"/>
              </w:rPr>
              <w:t xml:space="preserve"> view of SRL </w:t>
            </w:r>
            <w:r w:rsidR="005375A6" w:rsidRPr="00074F8B">
              <w:rPr>
                <w:i/>
                <w:sz w:val="22"/>
              </w:rPr>
              <w:t>(n=</w:t>
            </w:r>
            <w:r w:rsidR="00DB74D4" w:rsidRPr="00074F8B">
              <w:rPr>
                <w:i/>
                <w:sz w:val="22"/>
              </w:rPr>
              <w:t>8</w:t>
            </w:r>
            <w:r w:rsidR="005375A6" w:rsidRPr="00074F8B">
              <w:rPr>
                <w:i/>
                <w:sz w:val="22"/>
              </w:rPr>
              <w:t xml:space="preserve">, </w:t>
            </w:r>
            <w:r w:rsidR="00DB74D4" w:rsidRPr="00074F8B">
              <w:rPr>
                <w:i/>
                <w:sz w:val="22"/>
              </w:rPr>
              <w:t>57</w:t>
            </w:r>
            <w:r w:rsidR="005375A6" w:rsidRPr="00074F8B">
              <w:rPr>
                <w:i/>
                <w:sz w:val="22"/>
              </w:rPr>
              <w:t>%)</w:t>
            </w:r>
          </w:p>
        </w:tc>
        <w:tc>
          <w:tcPr>
            <w:tcW w:w="1268" w:type="dxa"/>
            <w:tcBorders>
              <w:top w:val="single" w:sz="4" w:space="0" w:color="auto"/>
            </w:tcBorders>
            <w:vAlign w:val="center"/>
          </w:tcPr>
          <w:p w14:paraId="1F440FD4" w14:textId="58EC3158" w:rsidR="005375A6" w:rsidRPr="00074F8B" w:rsidRDefault="005375A6" w:rsidP="00DB74D4">
            <w:pPr>
              <w:jc w:val="center"/>
              <w:rPr>
                <w:sz w:val="22"/>
              </w:rPr>
            </w:pPr>
            <w:r w:rsidRPr="00074F8B">
              <w:rPr>
                <w:sz w:val="22"/>
              </w:rPr>
              <w:t xml:space="preserve">Generative learning theory </w:t>
            </w:r>
            <w:r w:rsidRPr="00074F8B">
              <w:rPr>
                <w:i/>
                <w:sz w:val="22"/>
              </w:rPr>
              <w:t xml:space="preserve">(n=1, </w:t>
            </w:r>
            <w:r w:rsidR="00DB74D4" w:rsidRPr="00074F8B">
              <w:rPr>
                <w:i/>
                <w:sz w:val="22"/>
              </w:rPr>
              <w:t>7</w:t>
            </w:r>
            <w:r w:rsidRPr="00074F8B">
              <w:rPr>
                <w:i/>
                <w:sz w:val="22"/>
              </w:rPr>
              <w:t>%)</w:t>
            </w:r>
          </w:p>
        </w:tc>
        <w:tc>
          <w:tcPr>
            <w:tcW w:w="1357" w:type="dxa"/>
            <w:tcBorders>
              <w:top w:val="single" w:sz="4" w:space="0" w:color="auto"/>
            </w:tcBorders>
            <w:vAlign w:val="center"/>
          </w:tcPr>
          <w:p w14:paraId="111FFA2E" w14:textId="1453F552" w:rsidR="005375A6" w:rsidRPr="00074F8B" w:rsidRDefault="005375A6" w:rsidP="00DB74D4">
            <w:pPr>
              <w:jc w:val="center"/>
              <w:rPr>
                <w:sz w:val="22"/>
              </w:rPr>
            </w:pPr>
            <w:r w:rsidRPr="00074F8B">
              <w:rPr>
                <w:sz w:val="22"/>
              </w:rPr>
              <w:t xml:space="preserve">SRL and achievement goal theory </w:t>
            </w:r>
            <w:r w:rsidRPr="00074F8B">
              <w:rPr>
                <w:i/>
                <w:sz w:val="22"/>
              </w:rPr>
              <w:t xml:space="preserve">(n=1, </w:t>
            </w:r>
            <w:r w:rsidR="00DB74D4" w:rsidRPr="00074F8B">
              <w:rPr>
                <w:i/>
                <w:sz w:val="22"/>
              </w:rPr>
              <w:t>7</w:t>
            </w:r>
            <w:r w:rsidRPr="00074F8B">
              <w:rPr>
                <w:i/>
                <w:sz w:val="22"/>
              </w:rPr>
              <w:t>%)</w:t>
            </w:r>
          </w:p>
        </w:tc>
        <w:tc>
          <w:tcPr>
            <w:tcW w:w="1417" w:type="dxa"/>
            <w:tcBorders>
              <w:top w:val="single" w:sz="4" w:space="0" w:color="auto"/>
            </w:tcBorders>
            <w:vAlign w:val="center"/>
          </w:tcPr>
          <w:p w14:paraId="12CD791A" w14:textId="7AE291F9" w:rsidR="005375A6" w:rsidRPr="00074F8B" w:rsidRDefault="00F17F73" w:rsidP="00DB74D4">
            <w:pPr>
              <w:jc w:val="center"/>
              <w:rPr>
                <w:sz w:val="22"/>
              </w:rPr>
            </w:pPr>
            <w:r>
              <w:rPr>
                <w:sz w:val="22"/>
              </w:rPr>
              <w:t>Social cognitive</w:t>
            </w:r>
            <w:r w:rsidR="005375A6" w:rsidRPr="00074F8B">
              <w:rPr>
                <w:sz w:val="22"/>
              </w:rPr>
              <w:t xml:space="preserve"> theory and regulatory focus theory </w:t>
            </w:r>
            <w:r w:rsidR="005375A6" w:rsidRPr="00074F8B">
              <w:rPr>
                <w:i/>
                <w:sz w:val="22"/>
              </w:rPr>
              <w:t xml:space="preserve">(n=1, </w:t>
            </w:r>
            <w:r w:rsidR="00DB74D4" w:rsidRPr="00074F8B">
              <w:rPr>
                <w:i/>
                <w:sz w:val="22"/>
              </w:rPr>
              <w:t>7</w:t>
            </w:r>
            <w:r w:rsidR="005375A6" w:rsidRPr="00074F8B">
              <w:rPr>
                <w:i/>
                <w:sz w:val="22"/>
              </w:rPr>
              <w:t>%)</w:t>
            </w:r>
          </w:p>
        </w:tc>
        <w:tc>
          <w:tcPr>
            <w:tcW w:w="1276" w:type="dxa"/>
            <w:tcBorders>
              <w:top w:val="single" w:sz="4" w:space="0" w:color="auto"/>
            </w:tcBorders>
            <w:vAlign w:val="center"/>
          </w:tcPr>
          <w:p w14:paraId="6FAB8B5F" w14:textId="1E92C07B" w:rsidR="005375A6" w:rsidRPr="00074F8B" w:rsidRDefault="005375A6" w:rsidP="00DB74D4">
            <w:pPr>
              <w:jc w:val="center"/>
              <w:rPr>
                <w:sz w:val="22"/>
              </w:rPr>
            </w:pPr>
            <w:r w:rsidRPr="00074F8B">
              <w:rPr>
                <w:sz w:val="22"/>
              </w:rPr>
              <w:t>None stated (n=</w:t>
            </w:r>
            <w:r w:rsidR="00DB74D4" w:rsidRPr="00074F8B">
              <w:rPr>
                <w:sz w:val="22"/>
              </w:rPr>
              <w:t>3</w:t>
            </w:r>
            <w:r w:rsidRPr="00074F8B">
              <w:rPr>
                <w:sz w:val="22"/>
              </w:rPr>
              <w:t xml:space="preserve">, </w:t>
            </w:r>
            <w:r w:rsidR="00DB74D4" w:rsidRPr="00074F8B">
              <w:rPr>
                <w:sz w:val="22"/>
              </w:rPr>
              <w:t>21</w:t>
            </w:r>
            <w:r w:rsidRPr="00074F8B">
              <w:rPr>
                <w:sz w:val="22"/>
              </w:rPr>
              <w:t>%)</w:t>
            </w:r>
          </w:p>
        </w:tc>
      </w:tr>
    </w:tbl>
    <w:p w14:paraId="419EF05F" w14:textId="5C9EB2AF" w:rsidR="005375A6" w:rsidRPr="003726FE" w:rsidRDefault="00230DC4" w:rsidP="00477E60">
      <w:pPr>
        <w:spacing w:line="360" w:lineRule="auto"/>
        <w:rPr>
          <w:szCs w:val="24"/>
        </w:rPr>
      </w:pPr>
      <w:r w:rsidRPr="003726FE">
        <w:rPr>
          <w:noProof/>
          <w:lang w:eastAsia="en-GB"/>
        </w:rPr>
        <mc:AlternateContent>
          <mc:Choice Requires="wps">
            <w:drawing>
              <wp:anchor distT="45720" distB="45720" distL="114300" distR="114300" simplePos="0" relativeHeight="251874304" behindDoc="1" locked="0" layoutInCell="1" allowOverlap="1" wp14:anchorId="01FFC0C7" wp14:editId="6924FE6D">
                <wp:simplePos x="0" y="0"/>
                <wp:positionH relativeFrom="margin">
                  <wp:posOffset>-71755</wp:posOffset>
                </wp:positionH>
                <wp:positionV relativeFrom="paragraph">
                  <wp:posOffset>192493</wp:posOffset>
                </wp:positionV>
                <wp:extent cx="5539105" cy="590550"/>
                <wp:effectExtent l="0" t="0" r="23495" b="19050"/>
                <wp:wrapTopAndBottom/>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590550"/>
                        </a:xfrm>
                        <a:prstGeom prst="rect">
                          <a:avLst/>
                        </a:prstGeom>
                        <a:solidFill>
                          <a:srgbClr val="FFFFFF"/>
                        </a:solidFill>
                        <a:ln w="9525">
                          <a:solidFill>
                            <a:schemeClr val="bg1"/>
                          </a:solidFill>
                          <a:miter lim="800000"/>
                          <a:headEnd/>
                          <a:tailEnd/>
                        </a:ln>
                      </wps:spPr>
                      <wps:txbx>
                        <w:txbxContent>
                          <w:p w14:paraId="4A521B44" w14:textId="4D3C3866" w:rsidR="00C8402C" w:rsidRPr="00031399" w:rsidRDefault="00C8402C" w:rsidP="000B7C1A">
                            <w:pPr>
                              <w:pStyle w:val="Normal1"/>
                            </w:pPr>
                            <w:r w:rsidRPr="00031399">
                              <w:t>*Based on 1</w:t>
                            </w:r>
                            <w:r>
                              <w:t>3</w:t>
                            </w:r>
                            <w:r w:rsidRPr="00031399">
                              <w:t xml:space="preserve"> studies as one used a mixture of students and wider community members</w:t>
                            </w:r>
                          </w:p>
                          <w:p w14:paraId="7C2032A1" w14:textId="4B5EB617" w:rsidR="00C8402C" w:rsidRPr="00031399" w:rsidRDefault="00C8402C" w:rsidP="000B7C1A">
                            <w:pPr>
                              <w:pStyle w:val="Normal1"/>
                            </w:pPr>
                            <w:r w:rsidRPr="00031399">
                              <w:t xml:space="preserve">**Year/level at university not specified or </w:t>
                            </w:r>
                            <w:r>
                              <w:t xml:space="preserve">a </w:t>
                            </w:r>
                            <w:r w:rsidRPr="00031399">
                              <w:t>variable within study populations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FC0C7" id="Text Box 2" o:spid="_x0000_s1048" type="#_x0000_t202" style="position:absolute;margin-left:-5.65pt;margin-top:15.15pt;width:436.15pt;height:46.5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" strokecolor="white [3212]">
                <v:textbox>
                  <w:txbxContent>
                    <w:p w14:paraId="4A521B44" w14:textId="4D3C3866" w:rsidR="00C8402C" w:rsidRPr="00031399" w:rsidRDefault="00C8402C" w:rsidP="000B7C1A">
                      <w:pPr>
                        <w:pStyle w:val="Normal1"/>
                      </w:pPr>
                      <w:r w:rsidRPr="00031399">
                        <w:t>*</w:t>
                      </w:r>
                      <w:proofErr w:type="spellStart"/>
                      <w:r w:rsidRPr="00031399">
                        <w:t>Based</w:t>
                      </w:r>
                      <w:proofErr w:type="spellEnd"/>
                      <w:r w:rsidRPr="00031399">
                        <w:t xml:space="preserve"> on 1</w:t>
                      </w:r>
                      <w:r>
                        <w:t>3</w:t>
                      </w:r>
                      <w:r w:rsidRPr="00031399">
                        <w:t xml:space="preserve"> </w:t>
                      </w:r>
                      <w:proofErr w:type="spellStart"/>
                      <w:r w:rsidRPr="00031399">
                        <w:t>studies</w:t>
                      </w:r>
                      <w:proofErr w:type="spellEnd"/>
                      <w:r w:rsidRPr="00031399">
                        <w:t xml:space="preserve"> </w:t>
                      </w:r>
                      <w:proofErr w:type="spellStart"/>
                      <w:r w:rsidRPr="00031399">
                        <w:t>as</w:t>
                      </w:r>
                      <w:proofErr w:type="spellEnd"/>
                      <w:r w:rsidRPr="00031399">
                        <w:t xml:space="preserve"> </w:t>
                      </w:r>
                      <w:proofErr w:type="spellStart"/>
                      <w:r w:rsidRPr="00031399">
                        <w:t>one</w:t>
                      </w:r>
                      <w:proofErr w:type="spellEnd"/>
                      <w:r w:rsidRPr="00031399">
                        <w:t xml:space="preserve"> </w:t>
                      </w:r>
                      <w:proofErr w:type="spellStart"/>
                      <w:r w:rsidRPr="00031399">
                        <w:t>used</w:t>
                      </w:r>
                      <w:proofErr w:type="spellEnd"/>
                      <w:r w:rsidRPr="00031399">
                        <w:t xml:space="preserve"> a </w:t>
                      </w:r>
                      <w:proofErr w:type="spellStart"/>
                      <w:r w:rsidRPr="00031399">
                        <w:t>mixture</w:t>
                      </w:r>
                      <w:proofErr w:type="spellEnd"/>
                      <w:r w:rsidRPr="00031399">
                        <w:t xml:space="preserve"> of </w:t>
                      </w:r>
                      <w:proofErr w:type="spellStart"/>
                      <w:r w:rsidRPr="00031399">
                        <w:t>students</w:t>
                      </w:r>
                      <w:proofErr w:type="spellEnd"/>
                      <w:r w:rsidRPr="00031399">
                        <w:t xml:space="preserve"> and </w:t>
                      </w:r>
                      <w:proofErr w:type="spellStart"/>
                      <w:r w:rsidRPr="00031399">
                        <w:t>wider</w:t>
                      </w:r>
                      <w:proofErr w:type="spellEnd"/>
                      <w:r w:rsidRPr="00031399">
                        <w:t xml:space="preserve"> community </w:t>
                      </w:r>
                      <w:proofErr w:type="spellStart"/>
                      <w:r w:rsidRPr="00031399">
                        <w:t>members</w:t>
                      </w:r>
                      <w:proofErr w:type="spellEnd"/>
                    </w:p>
                    <w:p w14:paraId="7C2032A1" w14:textId="4B5EB617" w:rsidR="00C8402C" w:rsidRPr="00031399" w:rsidRDefault="00C8402C" w:rsidP="000B7C1A">
                      <w:pPr>
                        <w:pStyle w:val="Normal1"/>
                      </w:pPr>
                      <w:r w:rsidRPr="00031399">
                        <w:t>**</w:t>
                      </w:r>
                      <w:proofErr w:type="spellStart"/>
                      <w:r w:rsidRPr="00031399">
                        <w:t>Year</w:t>
                      </w:r>
                      <w:proofErr w:type="spellEnd"/>
                      <w:r w:rsidRPr="00031399">
                        <w:t>/</w:t>
                      </w:r>
                      <w:proofErr w:type="spellStart"/>
                      <w:r w:rsidRPr="00031399">
                        <w:t>level</w:t>
                      </w:r>
                      <w:proofErr w:type="spellEnd"/>
                      <w:r w:rsidRPr="00031399">
                        <w:t xml:space="preserve"> </w:t>
                      </w:r>
                      <w:proofErr w:type="spellStart"/>
                      <w:r w:rsidRPr="00031399">
                        <w:t>at</w:t>
                      </w:r>
                      <w:proofErr w:type="spellEnd"/>
                      <w:r w:rsidRPr="00031399">
                        <w:t xml:space="preserve"> </w:t>
                      </w:r>
                      <w:proofErr w:type="spellStart"/>
                      <w:r w:rsidRPr="00031399">
                        <w:t>university</w:t>
                      </w:r>
                      <w:proofErr w:type="spellEnd"/>
                      <w:r w:rsidRPr="00031399">
                        <w:t xml:space="preserve"> </w:t>
                      </w:r>
                      <w:proofErr w:type="spellStart"/>
                      <w:r w:rsidRPr="00031399">
                        <w:t>not</w:t>
                      </w:r>
                      <w:proofErr w:type="spellEnd"/>
                      <w:r w:rsidRPr="00031399">
                        <w:t xml:space="preserve"> </w:t>
                      </w:r>
                      <w:proofErr w:type="spellStart"/>
                      <w:r w:rsidRPr="00031399">
                        <w:t>specified</w:t>
                      </w:r>
                      <w:proofErr w:type="spellEnd"/>
                      <w:r w:rsidRPr="00031399">
                        <w:t xml:space="preserve"> or </w:t>
                      </w:r>
                      <w:r>
                        <w:t xml:space="preserve">a </w:t>
                      </w:r>
                      <w:proofErr w:type="spellStart"/>
                      <w:r w:rsidRPr="00031399">
                        <w:t>variable</w:t>
                      </w:r>
                      <w:proofErr w:type="spellEnd"/>
                      <w:r w:rsidRPr="00031399">
                        <w:t xml:space="preserve"> </w:t>
                      </w:r>
                      <w:proofErr w:type="spellStart"/>
                      <w:r w:rsidRPr="00031399">
                        <w:t>within</w:t>
                      </w:r>
                      <w:proofErr w:type="spellEnd"/>
                      <w:r w:rsidRPr="00031399">
                        <w:t xml:space="preserve"> </w:t>
                      </w:r>
                      <w:proofErr w:type="spellStart"/>
                      <w:r w:rsidRPr="00031399">
                        <w:t>study</w:t>
                      </w:r>
                      <w:proofErr w:type="spellEnd"/>
                      <w:r w:rsidRPr="00031399">
                        <w:t xml:space="preserve"> </w:t>
                      </w:r>
                      <w:proofErr w:type="spellStart"/>
                      <w:r w:rsidRPr="00031399">
                        <w:t>populations</w:t>
                      </w:r>
                      <w:proofErr w:type="spellEnd"/>
                    </w:p>
                  </w:txbxContent>
                </v:textbox>
                <w10:wrap type="topAndBottom" anchorx="margin"/>
              </v:shape>
            </w:pict>
          </mc:Fallback>
        </mc:AlternateContent>
      </w:r>
    </w:p>
    <w:p w14:paraId="28C62720" w14:textId="77777777" w:rsidR="002F655D" w:rsidRDefault="002F655D">
      <w:pPr>
        <w:rPr>
          <w:rFonts w:eastAsia="Lucida Sans Unicode" w:cs="Mangal"/>
          <w:kern w:val="1"/>
          <w:szCs w:val="24"/>
          <w:lang w:eastAsia="hi-IN" w:bidi="hi-IN"/>
        </w:rPr>
      </w:pPr>
      <w:r>
        <w:br w:type="page"/>
      </w:r>
    </w:p>
    <w:p w14:paraId="0CEB1F69" w14:textId="6801D145" w:rsidR="00477E60" w:rsidRPr="003726FE" w:rsidRDefault="00477E60" w:rsidP="00026049">
      <w:pPr>
        <w:pStyle w:val="Normal1"/>
        <w:rPr>
          <w:lang w:val="en-GB"/>
        </w:rPr>
      </w:pPr>
      <w:r w:rsidRPr="003726FE">
        <w:rPr>
          <w:lang w:val="en-GB"/>
        </w:rPr>
        <w:lastRenderedPageBreak/>
        <w:t xml:space="preserve">The </w:t>
      </w:r>
      <w:r w:rsidR="009C0F71" w:rsidRPr="003726FE">
        <w:rPr>
          <w:lang w:val="en-GB"/>
        </w:rPr>
        <w:t>use</w:t>
      </w:r>
      <w:r w:rsidRPr="003726FE">
        <w:rPr>
          <w:lang w:val="en-GB"/>
        </w:rPr>
        <w:t xml:space="preserve"> of SRL interventions was </w:t>
      </w:r>
      <w:r w:rsidR="009C0F71" w:rsidRPr="003726FE">
        <w:rPr>
          <w:lang w:val="en-GB"/>
        </w:rPr>
        <w:t xml:space="preserve">found </w:t>
      </w:r>
      <w:r w:rsidRPr="003726FE">
        <w:rPr>
          <w:lang w:val="en-GB"/>
        </w:rPr>
        <w:t xml:space="preserve">to </w:t>
      </w:r>
      <w:r w:rsidR="009C0F71" w:rsidRPr="003726FE">
        <w:rPr>
          <w:lang w:val="en-GB"/>
        </w:rPr>
        <w:t>be relatively modern in the scoping</w:t>
      </w:r>
      <w:r w:rsidRPr="003726FE">
        <w:rPr>
          <w:lang w:val="en-GB"/>
        </w:rPr>
        <w:t xml:space="preserve"> review, hence the decision to limit the search date to 1999-20</w:t>
      </w:r>
      <w:r w:rsidR="005375A6" w:rsidRPr="003726FE">
        <w:rPr>
          <w:lang w:val="en-GB"/>
        </w:rPr>
        <w:t>17</w:t>
      </w:r>
      <w:r w:rsidRPr="003726FE">
        <w:rPr>
          <w:lang w:val="en-GB"/>
        </w:rPr>
        <w:t>. Most articles were published after 2009 (n=</w:t>
      </w:r>
      <w:r w:rsidR="00C81CB9" w:rsidRPr="003726FE">
        <w:rPr>
          <w:lang w:val="en-GB"/>
        </w:rPr>
        <w:t>8</w:t>
      </w:r>
      <w:r w:rsidRPr="003726FE">
        <w:rPr>
          <w:lang w:val="en-GB"/>
        </w:rPr>
        <w:t xml:space="preserve">, </w:t>
      </w:r>
      <w:r w:rsidR="00C81CB9" w:rsidRPr="003726FE">
        <w:rPr>
          <w:lang w:val="en-GB"/>
        </w:rPr>
        <w:t>57</w:t>
      </w:r>
      <w:r w:rsidRPr="003726FE">
        <w:rPr>
          <w:lang w:val="en-GB"/>
        </w:rPr>
        <w:t xml:space="preserve">%) with </w:t>
      </w:r>
      <w:r w:rsidR="00074F8B">
        <w:rPr>
          <w:lang w:val="en-GB"/>
        </w:rPr>
        <w:t>three</w:t>
      </w:r>
      <w:r w:rsidRPr="003726FE">
        <w:rPr>
          <w:lang w:val="en-GB"/>
        </w:rPr>
        <w:t xml:space="preserve"> article</w:t>
      </w:r>
      <w:r w:rsidR="00283713" w:rsidRPr="003726FE">
        <w:rPr>
          <w:lang w:val="en-GB"/>
        </w:rPr>
        <w:t>s published in 2017</w:t>
      </w:r>
      <w:r w:rsidR="00A916F6">
        <w:rPr>
          <w:lang w:val="en-GB"/>
        </w:rPr>
        <w:t>,</w:t>
      </w:r>
      <w:r w:rsidR="00283713" w:rsidRPr="003726FE">
        <w:rPr>
          <w:lang w:val="en-GB"/>
        </w:rPr>
        <w:t xml:space="preserve"> indicating</w:t>
      </w:r>
      <w:r w:rsidRPr="003726FE">
        <w:rPr>
          <w:lang w:val="en-GB"/>
        </w:rPr>
        <w:t xml:space="preserve"> that </w:t>
      </w:r>
      <w:r w:rsidR="00907B20">
        <w:rPr>
          <w:lang w:val="en-GB"/>
        </w:rPr>
        <w:t xml:space="preserve">the reported </w:t>
      </w:r>
      <w:r w:rsidR="00283713" w:rsidRPr="003726FE">
        <w:rPr>
          <w:lang w:val="en-GB"/>
        </w:rPr>
        <w:t>use</w:t>
      </w:r>
      <w:r w:rsidRPr="003726FE">
        <w:rPr>
          <w:lang w:val="en-GB"/>
        </w:rPr>
        <w:t xml:space="preserve"> of SRL interventions </w:t>
      </w:r>
      <w:r w:rsidR="00283713" w:rsidRPr="003726FE">
        <w:rPr>
          <w:lang w:val="en-GB"/>
        </w:rPr>
        <w:t>was</w:t>
      </w:r>
      <w:r w:rsidRPr="003726FE">
        <w:rPr>
          <w:lang w:val="en-GB"/>
        </w:rPr>
        <w:t xml:space="preserve"> becoming more prevalent in the </w:t>
      </w:r>
      <w:r w:rsidR="00283713" w:rsidRPr="003726FE">
        <w:rPr>
          <w:lang w:val="en-GB"/>
        </w:rPr>
        <w:t>contemporary</w:t>
      </w:r>
      <w:r w:rsidRPr="003726FE">
        <w:rPr>
          <w:lang w:val="en-GB"/>
        </w:rPr>
        <w:t xml:space="preserve"> educational literature.</w:t>
      </w:r>
    </w:p>
    <w:p w14:paraId="3320BEC2" w14:textId="77777777" w:rsidR="00477E60" w:rsidRPr="003726FE" w:rsidRDefault="00477E60" w:rsidP="00026049">
      <w:pPr>
        <w:pStyle w:val="Normal1"/>
        <w:rPr>
          <w:lang w:val="en-GB"/>
        </w:rPr>
      </w:pPr>
    </w:p>
    <w:p w14:paraId="0A42FA7D" w14:textId="4ECF8FF8" w:rsidR="00477E60" w:rsidRPr="003726FE" w:rsidRDefault="00477E60" w:rsidP="00026049">
      <w:pPr>
        <w:pStyle w:val="Normal1"/>
        <w:rPr>
          <w:lang w:val="en-GB"/>
        </w:rPr>
      </w:pPr>
      <w:r w:rsidRPr="003726FE">
        <w:rPr>
          <w:lang w:val="en-GB"/>
        </w:rPr>
        <w:t>The vast majority of studies were performed in the United States of America (n=</w:t>
      </w:r>
      <w:r w:rsidR="00283713" w:rsidRPr="003726FE">
        <w:rPr>
          <w:lang w:val="en-GB"/>
        </w:rPr>
        <w:t>10</w:t>
      </w:r>
      <w:r w:rsidRPr="003726FE">
        <w:rPr>
          <w:lang w:val="en-GB"/>
        </w:rPr>
        <w:t>, 7</w:t>
      </w:r>
      <w:r w:rsidR="00283713" w:rsidRPr="003726FE">
        <w:rPr>
          <w:lang w:val="en-GB"/>
        </w:rPr>
        <w:t>1</w:t>
      </w:r>
      <w:r w:rsidR="00EA37FE">
        <w:rPr>
          <w:lang w:val="en-GB"/>
        </w:rPr>
        <w:t>%).</w:t>
      </w:r>
      <w:r w:rsidRPr="003726FE">
        <w:rPr>
          <w:lang w:val="en-GB"/>
        </w:rPr>
        <w:t xml:space="preserve"> </w:t>
      </w:r>
      <w:r w:rsidR="00283713" w:rsidRPr="003726FE">
        <w:rPr>
          <w:lang w:val="en-GB"/>
        </w:rPr>
        <w:t>Most studies</w:t>
      </w:r>
      <w:r w:rsidRPr="003726FE">
        <w:rPr>
          <w:lang w:val="en-GB"/>
        </w:rPr>
        <w:t xml:space="preserve"> were carried out in university environments </w:t>
      </w:r>
      <w:r w:rsidR="00907B20">
        <w:rPr>
          <w:lang w:val="en-GB"/>
        </w:rPr>
        <w:t>with</w:t>
      </w:r>
      <w:r w:rsidRPr="003726FE">
        <w:rPr>
          <w:lang w:val="en-GB"/>
        </w:rPr>
        <w:t xml:space="preserve"> undergraduate students (n=</w:t>
      </w:r>
      <w:r w:rsidR="00283713" w:rsidRPr="003726FE">
        <w:rPr>
          <w:lang w:val="en-GB"/>
        </w:rPr>
        <w:t>8</w:t>
      </w:r>
      <w:r w:rsidRPr="003726FE">
        <w:rPr>
          <w:lang w:val="en-GB"/>
        </w:rPr>
        <w:t xml:space="preserve">, </w:t>
      </w:r>
      <w:r w:rsidR="00283713" w:rsidRPr="003726FE">
        <w:rPr>
          <w:lang w:val="en-GB"/>
        </w:rPr>
        <w:t>57</w:t>
      </w:r>
      <w:r w:rsidRPr="003726FE">
        <w:rPr>
          <w:lang w:val="en-GB"/>
        </w:rPr>
        <w:t xml:space="preserve">%) and </w:t>
      </w:r>
      <w:r w:rsidR="00907B20">
        <w:rPr>
          <w:lang w:val="en-GB"/>
        </w:rPr>
        <w:t xml:space="preserve">in </w:t>
      </w:r>
      <w:r w:rsidRPr="003726FE">
        <w:rPr>
          <w:lang w:val="en-GB"/>
        </w:rPr>
        <w:t>some secondary schools/high schools targeting school age individuals (n=</w:t>
      </w:r>
      <w:r w:rsidR="00283713" w:rsidRPr="003726FE">
        <w:rPr>
          <w:lang w:val="en-GB"/>
        </w:rPr>
        <w:t>5</w:t>
      </w:r>
      <w:r w:rsidRPr="003726FE">
        <w:rPr>
          <w:lang w:val="en-GB"/>
        </w:rPr>
        <w:t xml:space="preserve">, </w:t>
      </w:r>
      <w:r w:rsidR="00283713" w:rsidRPr="003726FE">
        <w:rPr>
          <w:lang w:val="en-GB"/>
        </w:rPr>
        <w:t>38</w:t>
      </w:r>
      <w:r w:rsidRPr="003726FE">
        <w:rPr>
          <w:lang w:val="en-GB"/>
        </w:rPr>
        <w:t xml:space="preserve">%). Specific year groups were not typically reported, those which were reported can be found in </w:t>
      </w:r>
      <w:r w:rsidR="00C6465A" w:rsidRPr="003726FE">
        <w:rPr>
          <w:lang w:val="en-GB"/>
        </w:rPr>
        <w:t>Appendix</w:t>
      </w:r>
      <w:r w:rsidRPr="003726FE">
        <w:rPr>
          <w:lang w:val="en-GB"/>
        </w:rPr>
        <w:t xml:space="preserve"> </w:t>
      </w:r>
      <w:r w:rsidR="00707077" w:rsidRPr="003726FE">
        <w:rPr>
          <w:lang w:val="en-GB"/>
        </w:rPr>
        <w:t>4</w:t>
      </w:r>
      <w:r w:rsidRPr="003726FE">
        <w:rPr>
          <w:lang w:val="en-GB"/>
        </w:rPr>
        <w:t>. These studies were conducted in a variety of different contexts, including</w:t>
      </w:r>
      <w:r w:rsidR="00BC0E78">
        <w:rPr>
          <w:lang w:val="en-GB"/>
        </w:rPr>
        <w:t>:</w:t>
      </w:r>
      <w:r w:rsidRPr="003726FE">
        <w:rPr>
          <w:lang w:val="en-GB"/>
        </w:rPr>
        <w:t xml:space="preserve"> sport (n=</w:t>
      </w:r>
      <w:r w:rsidR="00283713" w:rsidRPr="003726FE">
        <w:rPr>
          <w:lang w:val="en-GB"/>
        </w:rPr>
        <w:t>4</w:t>
      </w:r>
      <w:r w:rsidRPr="003726FE">
        <w:rPr>
          <w:lang w:val="en-GB"/>
        </w:rPr>
        <w:t>, 27%), mathematics (n=</w:t>
      </w:r>
      <w:r w:rsidR="00283713" w:rsidRPr="003726FE">
        <w:rPr>
          <w:lang w:val="en-GB"/>
        </w:rPr>
        <w:t>3</w:t>
      </w:r>
      <w:r w:rsidRPr="003726FE">
        <w:rPr>
          <w:lang w:val="en-GB"/>
        </w:rPr>
        <w:t xml:space="preserve">, </w:t>
      </w:r>
      <w:r w:rsidR="00283713" w:rsidRPr="003726FE">
        <w:rPr>
          <w:lang w:val="en-GB"/>
        </w:rPr>
        <w:t>21</w:t>
      </w:r>
      <w:r w:rsidRPr="003726FE">
        <w:rPr>
          <w:lang w:val="en-GB"/>
        </w:rPr>
        <w:t xml:space="preserve">%), </w:t>
      </w:r>
      <w:r w:rsidR="00283713" w:rsidRPr="003726FE">
        <w:rPr>
          <w:lang w:val="en-GB"/>
        </w:rPr>
        <w:t>health education</w:t>
      </w:r>
      <w:r w:rsidRPr="003726FE">
        <w:rPr>
          <w:lang w:val="en-GB"/>
        </w:rPr>
        <w:t xml:space="preserve"> (n=</w:t>
      </w:r>
      <w:r w:rsidR="00283713" w:rsidRPr="003726FE">
        <w:rPr>
          <w:lang w:val="en-GB"/>
        </w:rPr>
        <w:t>3</w:t>
      </w:r>
      <w:r w:rsidRPr="003726FE">
        <w:rPr>
          <w:lang w:val="en-GB"/>
        </w:rPr>
        <w:t xml:space="preserve">, </w:t>
      </w:r>
      <w:r w:rsidR="00283713" w:rsidRPr="003726FE">
        <w:rPr>
          <w:lang w:val="en-GB"/>
        </w:rPr>
        <w:t>21</w:t>
      </w:r>
      <w:r w:rsidRPr="003726FE">
        <w:rPr>
          <w:lang w:val="en-GB"/>
        </w:rPr>
        <w:t>%), education (n=3, 2</w:t>
      </w:r>
      <w:r w:rsidR="00283713" w:rsidRPr="003726FE">
        <w:rPr>
          <w:lang w:val="en-GB"/>
        </w:rPr>
        <w:t>1</w:t>
      </w:r>
      <w:r w:rsidRPr="003726FE">
        <w:rPr>
          <w:lang w:val="en-GB"/>
        </w:rPr>
        <w:t xml:space="preserve">%) and education technology (n=1, </w:t>
      </w:r>
      <w:r w:rsidR="00283713" w:rsidRPr="003726FE">
        <w:rPr>
          <w:lang w:val="en-GB"/>
        </w:rPr>
        <w:t>7</w:t>
      </w:r>
      <w:r w:rsidRPr="003726FE">
        <w:rPr>
          <w:lang w:val="en-GB"/>
        </w:rPr>
        <w:t>%). Tasks focused on three main areas; skills based learning (n=</w:t>
      </w:r>
      <w:r w:rsidR="00283713" w:rsidRPr="003726FE">
        <w:rPr>
          <w:lang w:val="en-GB"/>
        </w:rPr>
        <w:t>5</w:t>
      </w:r>
      <w:r w:rsidRPr="003726FE">
        <w:rPr>
          <w:lang w:val="en-GB"/>
        </w:rPr>
        <w:t>, 36%), problem solving (n=</w:t>
      </w:r>
      <w:r w:rsidR="00283713" w:rsidRPr="003726FE">
        <w:rPr>
          <w:lang w:val="en-GB"/>
        </w:rPr>
        <w:t>7</w:t>
      </w:r>
      <w:r w:rsidRPr="003726FE">
        <w:rPr>
          <w:lang w:val="en-GB"/>
        </w:rPr>
        <w:t xml:space="preserve">, </w:t>
      </w:r>
      <w:r w:rsidR="00283713" w:rsidRPr="003726FE">
        <w:rPr>
          <w:lang w:val="en-GB"/>
        </w:rPr>
        <w:t>50</w:t>
      </w:r>
      <w:r w:rsidRPr="003726FE">
        <w:rPr>
          <w:lang w:val="en-GB"/>
        </w:rPr>
        <w:t xml:space="preserve">%) and reasoning tasks (n=1, </w:t>
      </w:r>
      <w:r w:rsidR="00283713" w:rsidRPr="003726FE">
        <w:rPr>
          <w:lang w:val="en-GB"/>
        </w:rPr>
        <w:t>7</w:t>
      </w:r>
      <w:r w:rsidRPr="003726FE">
        <w:rPr>
          <w:lang w:val="en-GB"/>
        </w:rPr>
        <w:t>%).</w:t>
      </w:r>
      <w:r w:rsidR="00F21ECC" w:rsidRPr="003726FE">
        <w:rPr>
          <w:lang w:val="en-GB"/>
        </w:rPr>
        <w:t xml:space="preserve"> Only two of the studies conducted in a health education setting </w:t>
      </w:r>
      <w:r w:rsidR="00A916F6">
        <w:rPr>
          <w:lang w:val="en-GB"/>
        </w:rPr>
        <w:t>were</w:t>
      </w:r>
      <w:r w:rsidR="00F21ECC" w:rsidRPr="003726FE">
        <w:rPr>
          <w:lang w:val="en-GB"/>
        </w:rPr>
        <w:t xml:space="preserve"> specific to medical education and focused on clinical reasoning </w:t>
      </w:r>
      <w:r w:rsidR="00EF281A" w:rsidRPr="003726FE">
        <w:rPr>
          <w:lang w:val="en-GB"/>
        </w:rPr>
        <w:fldChar w:fldCharType="begin"/>
      </w:r>
      <w:r w:rsidR="008B61BE">
        <w:rPr>
          <w:lang w:val="en-GB"/>
        </w:rPr>
        <w:instrText xml:space="preserve"> ADDIN EN.CITE &lt;EndNote&gt;&lt;Cite&gt;&lt;Author&gt;Cleary&lt;/Author&gt;&lt;Year&gt;2014&lt;/Year&gt;&lt;RecNum&gt;36&lt;/RecNum&gt;&lt;DisplayText&gt;(Cleary et al. 2014)&lt;/DisplayText&gt;&lt;record&gt;&lt;rec-number&gt;36&lt;/rec-number&gt;&lt;foreign-keys&gt;&lt;key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85" w:tooltip="Cleary, 2014 #36" w:history="1">
        <w:r w:rsidR="0094469E" w:rsidRPr="003726FE">
          <w:rPr>
            <w:noProof/>
            <w:lang w:val="en-GB"/>
          </w:rPr>
          <w:t>Cleary et al. 2014</w:t>
        </w:r>
      </w:hyperlink>
      <w:r w:rsidR="004E5A78" w:rsidRPr="003726FE">
        <w:rPr>
          <w:noProof/>
          <w:lang w:val="en-GB"/>
        </w:rPr>
        <w:t>)</w:t>
      </w:r>
      <w:r w:rsidR="00EF281A" w:rsidRPr="003726FE">
        <w:rPr>
          <w:lang w:val="en-GB"/>
        </w:rPr>
        <w:fldChar w:fldCharType="end"/>
      </w:r>
      <w:r w:rsidR="00907B20">
        <w:rPr>
          <w:lang w:val="en-GB"/>
        </w:rPr>
        <w:t xml:space="preserve"> and </w:t>
      </w:r>
      <w:r w:rsidR="00BC0E78">
        <w:rPr>
          <w:lang w:val="en-GB"/>
        </w:rPr>
        <w:t>standardised</w:t>
      </w:r>
      <w:r w:rsidR="00907B20">
        <w:rPr>
          <w:lang w:val="en-GB"/>
        </w:rPr>
        <w:t xml:space="preserve"> test-</w:t>
      </w:r>
      <w:r w:rsidR="00F21ECC" w:rsidRPr="003726FE">
        <w:rPr>
          <w:lang w:val="en-GB"/>
        </w:rPr>
        <w:t xml:space="preserve">taking </w:t>
      </w:r>
      <w:r w:rsidR="00EF281A" w:rsidRPr="003726FE">
        <w:rPr>
          <w:lang w:val="en-GB"/>
        </w:rPr>
        <w:fldChar w:fldCharType="begin"/>
      </w:r>
      <w:r w:rsidR="008B61BE">
        <w:rPr>
          <w:lang w:val="en-GB"/>
        </w:rPr>
        <w:instrText xml:space="preserve"> ADDIN EN.CITE &lt;EndNote&gt;&lt;Cite&gt;&lt;Author&gt;Andrews&lt;/Author&gt;&lt;Year&gt;2017&lt;/Year&gt;&lt;RecNum&gt;588&lt;/RecNum&gt;&lt;DisplayText&gt;(Andrews et al. 2017)&lt;/DisplayText&gt;&lt;record&gt;&lt;rec-number&gt;588&lt;/rec-number&gt;&lt;foreign-keys&gt;&lt;key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2" w:tooltip="Andrews, 2017 #588" w:history="1">
        <w:r w:rsidR="0094469E" w:rsidRPr="003726FE">
          <w:rPr>
            <w:noProof/>
            <w:lang w:val="en-GB"/>
          </w:rPr>
          <w:t>Andrews et al. 2017</w:t>
        </w:r>
      </w:hyperlink>
      <w:r w:rsidR="004E5A78" w:rsidRPr="003726FE">
        <w:rPr>
          <w:noProof/>
          <w:lang w:val="en-GB"/>
        </w:rPr>
        <w:t>)</w:t>
      </w:r>
      <w:r w:rsidR="00EF281A" w:rsidRPr="003726FE">
        <w:rPr>
          <w:lang w:val="en-GB"/>
        </w:rPr>
        <w:fldChar w:fldCharType="end"/>
      </w:r>
      <w:r w:rsidR="00F21ECC" w:rsidRPr="003726FE">
        <w:rPr>
          <w:lang w:val="en-GB"/>
        </w:rPr>
        <w:t>.</w:t>
      </w:r>
    </w:p>
    <w:p w14:paraId="46903100" w14:textId="77777777" w:rsidR="00477E60" w:rsidRPr="003726FE" w:rsidRDefault="00477E60" w:rsidP="00026049">
      <w:pPr>
        <w:pStyle w:val="Normal1"/>
        <w:rPr>
          <w:lang w:val="en-GB"/>
        </w:rPr>
      </w:pPr>
    </w:p>
    <w:p w14:paraId="24B4B18E" w14:textId="1FB562FC" w:rsidR="00477E60" w:rsidRPr="003726FE" w:rsidRDefault="00477E60" w:rsidP="00026049">
      <w:pPr>
        <w:pStyle w:val="Normal1"/>
        <w:rPr>
          <w:lang w:val="en-GB"/>
        </w:rPr>
      </w:pPr>
      <w:r w:rsidRPr="003726FE">
        <w:rPr>
          <w:lang w:val="en-GB"/>
        </w:rPr>
        <w:t xml:space="preserve">In terms of study design, all studies were prospective before and after investigations and used a randomised, quantitative design and analysis style. </w:t>
      </w:r>
      <w:r w:rsidR="00283713" w:rsidRPr="003726FE">
        <w:rPr>
          <w:lang w:val="en-GB"/>
        </w:rPr>
        <w:t xml:space="preserve">Only one </w:t>
      </w:r>
      <w:r w:rsidRPr="003726FE">
        <w:rPr>
          <w:lang w:val="en-GB"/>
        </w:rPr>
        <w:t xml:space="preserve">cohort </w:t>
      </w:r>
      <w:r w:rsidR="00283713" w:rsidRPr="003726FE">
        <w:rPr>
          <w:lang w:val="en-GB"/>
        </w:rPr>
        <w:t xml:space="preserve">design was used to measure </w:t>
      </w:r>
      <w:r w:rsidR="00826050">
        <w:rPr>
          <w:lang w:val="en-GB"/>
        </w:rPr>
        <w:t>longer-term</w:t>
      </w:r>
      <w:r w:rsidR="00283713" w:rsidRPr="003726FE">
        <w:rPr>
          <w:lang w:val="en-GB"/>
        </w:rPr>
        <w:t xml:space="preserve"> outcomes </w:t>
      </w:r>
      <w:r w:rsidR="00EF281A" w:rsidRPr="003726FE">
        <w:rPr>
          <w:lang w:val="en-GB"/>
        </w:rPr>
        <w:fldChar w:fldCharType="begin"/>
      </w:r>
      <w:r w:rsidR="008B61BE">
        <w:rPr>
          <w:lang w:val="en-GB"/>
        </w:rPr>
        <w:instrText xml:space="preserve"> ADDIN EN.CITE &lt;EndNote&gt;&lt;Cite&gt;&lt;Author&gt;Cleary&lt;/Author&gt;&lt;Year&gt;2017&lt;/Year&gt;&lt;RecNum&gt;935&lt;/RecNum&gt;&lt;DisplayText&gt;(Cleary et al. 2017)&lt;/DisplayText&gt;&lt;record&gt;&lt;rec-number&gt;935&lt;/rec-number&gt;&lt;foreign-keys&gt;&lt;key app="EN" db-id="xa2r2ewea92trkef5dt5arvbzafvpv2za5ft" timestamp="1499347892"&gt;935&lt;/key&gt;&lt;/foreign-keys&gt;&lt;ref-type name="Journal Article"&gt;17&lt;/ref-type&gt;&lt;contributors&gt;&lt;authors&gt;&lt;author&gt;Cleary, Timothy J&lt;/author&gt;&lt;author&gt;Velardi, Brittany&lt;/author&gt;&lt;author&gt;Schnaidman, Bracha&lt;/author&gt;&lt;/authors&gt;&lt;/contributors&gt;&lt;titles&gt;&lt;title&gt;Effects of the Self-Regulation Empowerment Program (SREP) on middle school students&amp;apos; strategic skills, self-efficacy, and mathematics achievement&lt;/title&gt;&lt;secondary-title&gt;Journal of School Psychology&lt;/secondary-title&gt;&lt;/titles&gt;&lt;periodical&gt;&lt;full-title&gt;Journal of school psychology&lt;/full-title&gt;&lt;/periodical&gt;&lt;pages&gt;28-42&lt;/pages&gt;&lt;volume&gt;64&lt;/volume&gt;&lt;dates&gt;&lt;year&gt;2017&lt;/year&gt;&lt;/dates&gt;&lt;isbn&gt;0022-4405&lt;/isbn&gt;&lt;urls&gt;&lt;/urls&gt;&lt;/record&gt;&lt;/Cite&gt;&lt;/EndNote&gt;</w:instrText>
      </w:r>
      <w:r w:rsidR="00EF281A" w:rsidRPr="003726FE">
        <w:rPr>
          <w:lang w:val="en-GB"/>
        </w:rPr>
        <w:fldChar w:fldCharType="separate"/>
      </w:r>
      <w:r w:rsidR="004E5A78" w:rsidRPr="003726FE">
        <w:rPr>
          <w:noProof/>
          <w:lang w:val="en-GB"/>
        </w:rPr>
        <w:t>(</w:t>
      </w:r>
      <w:hyperlink w:anchor="_ENREF_90" w:tooltip="Cleary, 2017 #935" w:history="1">
        <w:r w:rsidR="0094469E" w:rsidRPr="003726FE">
          <w:rPr>
            <w:noProof/>
            <w:lang w:val="en-GB"/>
          </w:rPr>
          <w:t>Cleary et al. 2017</w:t>
        </w:r>
      </w:hyperlink>
      <w:r w:rsidR="004E5A78" w:rsidRPr="003726FE">
        <w:rPr>
          <w:noProof/>
          <w:lang w:val="en-GB"/>
        </w:rPr>
        <w:t>)</w:t>
      </w:r>
      <w:r w:rsidR="00EF281A" w:rsidRPr="003726FE">
        <w:rPr>
          <w:lang w:val="en-GB"/>
        </w:rPr>
        <w:fldChar w:fldCharType="end"/>
      </w:r>
      <w:r w:rsidRPr="003726FE">
        <w:rPr>
          <w:lang w:val="en-GB"/>
        </w:rPr>
        <w:t>. Nearly all studies had at least one measure of skills or learning performance relating to the task (n=1</w:t>
      </w:r>
      <w:r w:rsidR="00B328BA" w:rsidRPr="003726FE">
        <w:rPr>
          <w:lang w:val="en-GB"/>
        </w:rPr>
        <w:t>3</w:t>
      </w:r>
      <w:r w:rsidRPr="003726FE">
        <w:rPr>
          <w:lang w:val="en-GB"/>
        </w:rPr>
        <w:t>, 9</w:t>
      </w:r>
      <w:r w:rsidR="00B328BA" w:rsidRPr="003726FE">
        <w:rPr>
          <w:lang w:val="en-GB"/>
        </w:rPr>
        <w:t>3</w:t>
      </w:r>
      <w:r w:rsidRPr="003726FE">
        <w:rPr>
          <w:lang w:val="en-GB"/>
        </w:rPr>
        <w:t xml:space="preserve">%), the remaining study measured learning strategies (n=1, </w:t>
      </w:r>
      <w:r w:rsidR="00B328BA" w:rsidRPr="003726FE">
        <w:rPr>
          <w:lang w:val="en-GB"/>
        </w:rPr>
        <w:t>7</w:t>
      </w:r>
      <w:r w:rsidRPr="003726FE">
        <w:rPr>
          <w:lang w:val="en-GB"/>
        </w:rPr>
        <w:t>%)</w:t>
      </w:r>
      <w:r w:rsidR="00B328BA" w:rsidRPr="003726FE">
        <w:rPr>
          <w:lang w:val="en-GB"/>
        </w:rPr>
        <w:t xml:space="preserve"> </w:t>
      </w:r>
      <w:r w:rsidR="00EF281A" w:rsidRPr="003726FE">
        <w:rPr>
          <w:lang w:val="en-GB"/>
        </w:rPr>
        <w:fldChar w:fldCharType="begin"/>
      </w:r>
      <w:r w:rsidR="008B61BE">
        <w:rPr>
          <w:lang w:val="en-GB"/>
        </w:rPr>
        <w:instrText xml:space="preserve"> ADDIN EN.CITE &lt;EndNote&gt;&lt;Cite&gt;&lt;Author&gt;Gano</w:instrText>
      </w:r>
      <w:r w:rsidR="008B61BE">
        <w:rPr>
          <w:rFonts w:ascii="Cambria Math" w:hAnsi="Cambria Math" w:cs="Cambria Math"/>
          <w:lang w:val="en-GB"/>
        </w:rPr>
        <w:instrText>‐</w:instrText>
      </w:r>
      <w:r w:rsidR="008B61BE">
        <w:rPr>
          <w:lang w:val="en-GB"/>
        </w:rPr>
        <w:instrText>Overway&lt;/Author&gt;&lt;Year&gt;2008&lt;/Year&gt;&lt;RecNum&gt;87&lt;/RecNum&gt;&lt;DisplayText&gt;(Gano</w:instrText>
      </w:r>
      <w:r w:rsidR="008B61BE">
        <w:rPr>
          <w:rFonts w:ascii="Cambria Math" w:hAnsi="Cambria Math" w:cs="Cambria Math"/>
          <w:lang w:val="en-GB"/>
        </w:rPr>
        <w:instrText>‐</w:instrText>
      </w:r>
      <w:r w:rsidR="008B61BE">
        <w:rPr>
          <w:lang w:val="en-GB"/>
        </w:rPr>
        <w:instrText>Overway 2008)&lt;/DisplayText&gt;&lt;record&gt;&lt;rec-number&gt;87&lt;/rec-number&gt;&lt;foreign-keys&gt;&lt;key app="EN" db-id="xa2r2ewea92trkef5dt5arvbzafvpv2za5ft" timestamp="1442161764"&gt;87&lt;/key&gt;&lt;/foreign-keys&gt;&lt;ref-type name="Journal Article"&gt;17&lt;/ref-type&gt;&lt;contributors&gt;&lt;authors&gt;&lt;author&gt;Gano</w:instrText>
      </w:r>
      <w:r w:rsidR="008B61BE">
        <w:rPr>
          <w:rFonts w:ascii="Cambria Math" w:hAnsi="Cambria Math" w:cs="Cambria Math"/>
          <w:lang w:val="en-GB"/>
        </w:rPr>
        <w:instrText>‐</w:instrText>
      </w:r>
      <w:r w:rsidR="008B61BE">
        <w:rPr>
          <w:lang w:val="en-GB"/>
        </w:rPr>
        <w:instrText>Overway, Lori A.&lt;/author&gt;&lt;/authors&gt;&lt;/contributors&gt;&lt;titles&gt;&lt;title&gt;The effect of goal involvement on self</w:instrText>
      </w:r>
      <w:r w:rsidR="008B61BE">
        <w:rPr>
          <w:rFonts w:ascii="Cambria Math" w:hAnsi="Cambria Math" w:cs="Cambria Math"/>
          <w:lang w:val="en-GB"/>
        </w:rPr>
        <w:instrText>‐</w:instrText>
      </w:r>
      <w:r w:rsidR="008B61BE">
        <w:rPr>
          <w:lang w:val="en-GB"/>
        </w:rPr>
        <w:instrText>regulatory processes&lt;/title&gt;&lt;secondary-title&gt;International Journal of Sport and Exercise Psychology&lt;/secondary-title&gt;&lt;/titles&gt;&lt;periodical&gt;&lt;full-title&gt;International Journal of Sport and Exercise Psychology&lt;/full-title&gt;&lt;/periodical&gt;&lt;pages&gt;132-156&lt;/pages&gt;&lt;volume&gt;6&lt;/volume&gt;&lt;number&gt;2&lt;/number&gt;&lt;dates&gt;&lt;year&gt;2008&lt;/year&gt;&lt;/dates&gt;&lt;publisher&gt;Taylor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157" w:tooltip="Gano‐Overway, 2008 #87" w:history="1">
        <w:r w:rsidR="0094469E" w:rsidRPr="003726FE">
          <w:rPr>
            <w:noProof/>
            <w:lang w:val="en-GB"/>
          </w:rPr>
          <w:t>Gano</w:t>
        </w:r>
        <w:r w:rsidR="0094469E" w:rsidRPr="003726FE">
          <w:rPr>
            <w:rFonts w:ascii="Cambria Math" w:hAnsi="Cambria Math" w:cs="Cambria Math"/>
            <w:noProof/>
            <w:lang w:val="en-GB"/>
          </w:rPr>
          <w:t>‐</w:t>
        </w:r>
        <w:r w:rsidR="0094469E" w:rsidRPr="003726FE">
          <w:rPr>
            <w:noProof/>
            <w:lang w:val="en-GB"/>
          </w:rPr>
          <w:t>Overway 2008</w:t>
        </w:r>
      </w:hyperlink>
      <w:r w:rsidR="004E5A78" w:rsidRPr="003726FE">
        <w:rPr>
          <w:noProof/>
          <w:lang w:val="en-GB"/>
        </w:rPr>
        <w:t>)</w:t>
      </w:r>
      <w:r w:rsidR="00EF281A" w:rsidRPr="003726FE">
        <w:rPr>
          <w:lang w:val="en-GB"/>
        </w:rPr>
        <w:fldChar w:fldCharType="end"/>
      </w:r>
      <w:r w:rsidRPr="003726FE">
        <w:rPr>
          <w:lang w:val="en-GB"/>
        </w:rPr>
        <w:t>.</w:t>
      </w:r>
    </w:p>
    <w:p w14:paraId="430C6549" w14:textId="77777777" w:rsidR="00477E60" w:rsidRPr="003726FE" w:rsidRDefault="00477E60" w:rsidP="00026049">
      <w:pPr>
        <w:pStyle w:val="Normal1"/>
        <w:rPr>
          <w:lang w:val="en-GB"/>
        </w:rPr>
      </w:pPr>
    </w:p>
    <w:p w14:paraId="4D966D0C" w14:textId="3D1E1B44" w:rsidR="00477E60" w:rsidRPr="003726FE" w:rsidRDefault="00477E60" w:rsidP="00026049">
      <w:pPr>
        <w:pStyle w:val="Normal1"/>
        <w:rPr>
          <w:lang w:val="en-GB"/>
        </w:rPr>
      </w:pPr>
      <w:r w:rsidRPr="003726FE">
        <w:rPr>
          <w:lang w:val="en-GB"/>
        </w:rPr>
        <w:t xml:space="preserve">Relatively small sample sizes were used in the majority of studies ranging from </w:t>
      </w:r>
      <w:r w:rsidR="00B328BA" w:rsidRPr="003726FE">
        <w:rPr>
          <w:lang w:val="en-GB"/>
        </w:rPr>
        <w:t>16</w:t>
      </w:r>
      <w:r w:rsidRPr="003726FE">
        <w:rPr>
          <w:lang w:val="en-GB"/>
        </w:rPr>
        <w:t xml:space="preserve"> to 297, with a median of 72. One study conducted two separate experiments including 31 and 37 individuals respectively. </w:t>
      </w:r>
      <w:r w:rsidR="00C81CB9" w:rsidRPr="003726FE">
        <w:rPr>
          <w:lang w:val="en-GB"/>
        </w:rPr>
        <w:t>Under</w:t>
      </w:r>
      <w:r w:rsidRPr="003726FE">
        <w:rPr>
          <w:lang w:val="en-GB"/>
        </w:rPr>
        <w:t xml:space="preserve"> half of the studies used a control group (n=6, </w:t>
      </w:r>
      <w:r w:rsidR="00C81CB9" w:rsidRPr="003726FE">
        <w:rPr>
          <w:lang w:val="en-GB"/>
        </w:rPr>
        <w:t>43</w:t>
      </w:r>
      <w:r w:rsidRPr="003726FE">
        <w:rPr>
          <w:lang w:val="en-GB"/>
        </w:rPr>
        <w:t xml:space="preserve">%) or a baseline measure (n=6, </w:t>
      </w:r>
      <w:r w:rsidR="00C81CB9" w:rsidRPr="003726FE">
        <w:rPr>
          <w:lang w:val="en-GB"/>
        </w:rPr>
        <w:t>43</w:t>
      </w:r>
      <w:r w:rsidRPr="003726FE">
        <w:rPr>
          <w:lang w:val="en-GB"/>
        </w:rPr>
        <w:t xml:space="preserve">%) which raises questions of validity and reliability due to the lack of comparative analysis. </w:t>
      </w:r>
      <w:r w:rsidR="00B328BA" w:rsidRPr="003726FE">
        <w:rPr>
          <w:lang w:val="en-GB"/>
        </w:rPr>
        <w:t>Two studies</w:t>
      </w:r>
      <w:r w:rsidRPr="003726FE">
        <w:rPr>
          <w:lang w:val="en-GB"/>
        </w:rPr>
        <w:t xml:space="preserve"> did not use a control group or a baseline measure</w:t>
      </w:r>
      <w:r w:rsidR="00B328BA" w:rsidRPr="003726FE">
        <w:rPr>
          <w:lang w:val="en-GB"/>
        </w:rPr>
        <w:t xml:space="preserve"> </w:t>
      </w:r>
      <w:r w:rsidR="00B328BA" w:rsidRPr="003726FE">
        <w:rPr>
          <w:lang w:val="en-GB"/>
        </w:rPr>
        <w:fldChar w:fldCharType="begin"/>
      </w:r>
      <w:r w:rsidR="008B61BE">
        <w:rPr>
          <w:lang w:val="en-GB"/>
        </w:rPr>
        <w:instrText xml:space="preserve"> ADDIN EN.CITE &lt;EndNote&gt;&lt;Cite&gt;&lt;Author&gt;Cleary&lt;/Author&gt;&lt;Year&gt;2014&lt;/Year&gt;&lt;RecNum&gt;37&lt;/RecNum&gt;&lt;DisplayText&gt;(Cleary et al. 2014; Andrews et al. 2017)&lt;/DisplayText&gt;&lt;record&gt;&lt;rec-number&gt;37&lt;/rec-number&gt;&lt;foreign-keys&gt;&lt;key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Cite&gt;&lt;Author&gt;Andrews&lt;/Author&gt;&lt;Year&gt;2017&lt;/Year&gt;&lt;RecNum&gt;588&lt;/RecNum&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B328BA" w:rsidRPr="003726FE">
        <w:rPr>
          <w:lang w:val="en-GB"/>
        </w:rPr>
        <w:fldChar w:fldCharType="separate"/>
      </w:r>
      <w:r w:rsidR="004E5A78" w:rsidRPr="003726FE">
        <w:rPr>
          <w:noProof/>
          <w:lang w:val="en-GB"/>
        </w:rPr>
        <w:t>(</w:t>
      </w:r>
      <w:hyperlink w:anchor="_ENREF_85" w:tooltip="Cleary, 2014 #36" w:history="1">
        <w:r w:rsidR="0094469E" w:rsidRPr="003726FE">
          <w:rPr>
            <w:noProof/>
            <w:lang w:val="en-GB"/>
          </w:rPr>
          <w:t>Cleary et al. 2014</w:t>
        </w:r>
      </w:hyperlink>
      <w:r w:rsidR="004E5A78" w:rsidRPr="003726FE">
        <w:rPr>
          <w:noProof/>
          <w:lang w:val="en-GB"/>
        </w:rPr>
        <w:t xml:space="preserve">; </w:t>
      </w:r>
      <w:hyperlink w:anchor="_ENREF_2" w:tooltip="Andrews, 2017 #588" w:history="1">
        <w:r w:rsidR="0094469E" w:rsidRPr="003726FE">
          <w:rPr>
            <w:noProof/>
            <w:lang w:val="en-GB"/>
          </w:rPr>
          <w:t>Andrews et al. 2017</w:t>
        </w:r>
      </w:hyperlink>
      <w:r w:rsidR="004E5A78" w:rsidRPr="003726FE">
        <w:rPr>
          <w:noProof/>
          <w:lang w:val="en-GB"/>
        </w:rPr>
        <w:t>)</w:t>
      </w:r>
      <w:r w:rsidR="00B328BA" w:rsidRPr="003726FE">
        <w:rPr>
          <w:lang w:val="en-GB"/>
        </w:rPr>
        <w:fldChar w:fldCharType="end"/>
      </w:r>
      <w:r w:rsidRPr="003726FE">
        <w:rPr>
          <w:lang w:val="en-GB"/>
        </w:rPr>
        <w:t xml:space="preserve">. </w:t>
      </w:r>
    </w:p>
    <w:p w14:paraId="1EE242CC" w14:textId="77777777" w:rsidR="00477E60" w:rsidRPr="003726FE" w:rsidRDefault="00477E60" w:rsidP="00026049">
      <w:pPr>
        <w:pStyle w:val="Normal1"/>
        <w:rPr>
          <w:lang w:val="en-GB"/>
        </w:rPr>
      </w:pPr>
    </w:p>
    <w:p w14:paraId="647FCE0B" w14:textId="1635A3B9" w:rsidR="00477E60" w:rsidRPr="003726FE" w:rsidRDefault="00477E60" w:rsidP="00026049">
      <w:pPr>
        <w:pStyle w:val="Normal1"/>
        <w:rPr>
          <w:lang w:val="en-GB"/>
        </w:rPr>
      </w:pPr>
      <w:r w:rsidRPr="003726FE">
        <w:rPr>
          <w:lang w:val="en-GB"/>
        </w:rPr>
        <w:t xml:space="preserve">The use of reported conceptual frameworks were </w:t>
      </w:r>
      <w:r w:rsidR="00C81CB9" w:rsidRPr="003726FE">
        <w:rPr>
          <w:lang w:val="en-GB"/>
        </w:rPr>
        <w:t>less common</w:t>
      </w:r>
      <w:r w:rsidRPr="003726FE">
        <w:rPr>
          <w:lang w:val="en-GB"/>
        </w:rPr>
        <w:t xml:space="preserve"> in this sample (n=</w:t>
      </w:r>
      <w:r w:rsidR="00C81CB9" w:rsidRPr="003726FE">
        <w:rPr>
          <w:lang w:val="en-GB"/>
        </w:rPr>
        <w:t>6</w:t>
      </w:r>
      <w:r w:rsidRPr="003726FE">
        <w:rPr>
          <w:lang w:val="en-GB"/>
        </w:rPr>
        <w:t>, 4</w:t>
      </w:r>
      <w:r w:rsidR="00C81CB9" w:rsidRPr="003726FE">
        <w:rPr>
          <w:lang w:val="en-GB"/>
        </w:rPr>
        <w:t>3</w:t>
      </w:r>
      <w:r w:rsidRPr="003726FE">
        <w:rPr>
          <w:lang w:val="en-GB"/>
        </w:rPr>
        <w:t xml:space="preserve">%) and only </w:t>
      </w:r>
      <w:r w:rsidR="00C81CB9" w:rsidRPr="003726FE">
        <w:rPr>
          <w:lang w:val="en-GB"/>
        </w:rPr>
        <w:t>four</w:t>
      </w:r>
      <w:r w:rsidRPr="003726FE">
        <w:rPr>
          <w:lang w:val="en-GB"/>
        </w:rPr>
        <w:t xml:space="preserve"> of these frameworks were extensively reported and explicitly used</w:t>
      </w:r>
      <w:r w:rsidR="00A916F6">
        <w:rPr>
          <w:lang w:val="en-GB"/>
        </w:rPr>
        <w:t xml:space="preserve"> – predominantly in articles with similar </w:t>
      </w:r>
      <w:r w:rsidR="00BA4521">
        <w:rPr>
          <w:lang w:val="en-GB"/>
        </w:rPr>
        <w:t>authorships</w:t>
      </w:r>
      <w:r w:rsidR="00C81CB9" w:rsidRPr="003726FE">
        <w:rPr>
          <w:lang w:val="en-GB"/>
        </w:rPr>
        <w:t xml:space="preserve"> </w:t>
      </w:r>
      <w:r w:rsidR="00C81CB9" w:rsidRPr="003726FE">
        <w:rPr>
          <w:lang w:val="en-GB"/>
        </w:rPr>
        <w:fldChar w:fldCharType="begin">
          <w:fldData xml:space="preserve">PEVuZE5vdGU+PENpdGU+PEF1dGhvcj5DbGVhcnk8L0F1dGhvcj48WWVhcj4yMDA2PC9ZZWFyPjxS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</w:fldData>
        </w:fldChar>
      </w:r>
      <w:r w:rsidR="008B61BE">
        <w:rPr>
          <w:lang w:val="en-GB"/>
        </w:rPr>
        <w:instrText xml:space="preserve"> ADDIN EN.CITE </w:instrText>
      </w:r>
      <w:r w:rsidR="008B61BE">
        <w:rPr>
          <w:lang w:val="en-GB"/>
        </w:rPr>
        <w:fldChar w:fldCharType="begin">
          <w:fldData xml:space="preserve">PEVuZE5vdGU+PENpdGU+PEF1dGhvcj5DbGVhcnk8L0F1dGhvcj48WWVhcj4yMDA2PC9ZZWFyPjxS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</w:fldData>
        </w:fldChar>
      </w:r>
      <w:r w:rsidR="008B61BE">
        <w:rPr>
          <w:lang w:val="en-GB"/>
        </w:rPr>
        <w:instrText xml:space="preserve"> ADDIN EN.CITE.DATA </w:instrText>
      </w:r>
      <w:r w:rsidR="008B61BE">
        <w:rPr>
          <w:lang w:val="en-GB"/>
        </w:rPr>
      </w:r>
      <w:r w:rsidR="008B61BE">
        <w:rPr>
          <w:lang w:val="en-GB"/>
        </w:rPr>
        <w:fldChar w:fldCharType="end"/>
      </w:r>
      <w:r w:rsidR="00C81CB9" w:rsidRPr="003726FE">
        <w:rPr>
          <w:lang w:val="en-GB"/>
        </w:rPr>
      </w:r>
      <w:r w:rsidR="00C81CB9" w:rsidRPr="003726FE">
        <w:rPr>
          <w:lang w:val="en-GB"/>
        </w:rPr>
        <w:fldChar w:fldCharType="separate"/>
      </w:r>
      <w:r w:rsidR="004E5A78" w:rsidRPr="003726FE">
        <w:rPr>
          <w:noProof/>
          <w:lang w:val="en-GB"/>
        </w:rPr>
        <w:t>(</w:t>
      </w:r>
      <w:hyperlink w:anchor="_ENREF_93" w:tooltip="Cleary, 2006 #44" w:history="1">
        <w:r w:rsidR="0094469E" w:rsidRPr="003726FE">
          <w:rPr>
            <w:noProof/>
            <w:lang w:val="en-GB"/>
          </w:rPr>
          <w:t>Cleary et al. 2006</w:t>
        </w:r>
      </w:hyperlink>
      <w:r w:rsidR="004E5A78" w:rsidRPr="003726FE">
        <w:rPr>
          <w:noProof/>
          <w:lang w:val="en-GB"/>
        </w:rPr>
        <w:t xml:space="preserve">; </w:t>
      </w:r>
      <w:hyperlink w:anchor="_ENREF_299" w:tooltip="Nicklin, 2011 #457" w:history="1">
        <w:r w:rsidR="0094469E" w:rsidRPr="003726FE">
          <w:rPr>
            <w:noProof/>
            <w:lang w:val="en-GB"/>
          </w:rPr>
          <w:t>Nicklin and Williams 2011</w:t>
        </w:r>
      </w:hyperlink>
      <w:r w:rsidR="004E5A78" w:rsidRPr="003726FE">
        <w:rPr>
          <w:noProof/>
          <w:lang w:val="en-GB"/>
        </w:rPr>
        <w:t xml:space="preserve">; </w:t>
      </w:r>
      <w:hyperlink w:anchor="_ENREF_85" w:tooltip="Cleary, 2014 #36" w:history="1">
        <w:r w:rsidR="0094469E" w:rsidRPr="003726FE">
          <w:rPr>
            <w:noProof/>
            <w:lang w:val="en-GB"/>
          </w:rPr>
          <w:t>Cleary et al. 2014</w:t>
        </w:r>
      </w:hyperlink>
      <w:r w:rsidR="004E5A78" w:rsidRPr="003726FE">
        <w:rPr>
          <w:noProof/>
          <w:lang w:val="en-GB"/>
        </w:rPr>
        <w:t xml:space="preserve">; </w:t>
      </w:r>
      <w:hyperlink w:anchor="_ENREF_90" w:tooltip="Cleary, 2017 #935" w:history="1">
        <w:r w:rsidR="0094469E" w:rsidRPr="003726FE">
          <w:rPr>
            <w:noProof/>
            <w:lang w:val="en-GB"/>
          </w:rPr>
          <w:t>Cleary et al. 2017</w:t>
        </w:r>
      </w:hyperlink>
      <w:r w:rsidR="004E5A78" w:rsidRPr="003726FE">
        <w:rPr>
          <w:noProof/>
          <w:lang w:val="en-GB"/>
        </w:rPr>
        <w:t>)</w:t>
      </w:r>
      <w:r w:rsidR="00C81CB9" w:rsidRPr="003726FE">
        <w:rPr>
          <w:lang w:val="en-GB"/>
        </w:rPr>
        <w:fldChar w:fldCharType="end"/>
      </w:r>
      <w:r w:rsidRPr="003726FE">
        <w:rPr>
          <w:lang w:val="en-GB"/>
        </w:rPr>
        <w:t xml:space="preserve">. The theoretical underpinnings for </w:t>
      </w:r>
      <w:r w:rsidRPr="003726FE">
        <w:rPr>
          <w:lang w:val="en-GB"/>
        </w:rPr>
        <w:lastRenderedPageBreak/>
        <w:t xml:space="preserve">individual interventions were varied across the study sample. </w:t>
      </w:r>
      <w:r w:rsidR="00C81CB9" w:rsidRPr="003726FE">
        <w:rPr>
          <w:lang w:val="en-GB"/>
        </w:rPr>
        <w:t>Three</w:t>
      </w:r>
      <w:r w:rsidRPr="003726FE">
        <w:rPr>
          <w:lang w:val="en-GB"/>
        </w:rPr>
        <w:t xml:space="preserve"> studies did not report a theoretical rational</w:t>
      </w:r>
      <w:r w:rsidR="00C81CB9" w:rsidRPr="003726FE">
        <w:rPr>
          <w:lang w:val="en-GB"/>
        </w:rPr>
        <w:t xml:space="preserve">e </w:t>
      </w:r>
      <w:r w:rsidR="00C81CB9" w:rsidRPr="003726FE">
        <w:rPr>
          <w:lang w:val="en-GB"/>
        </w:rPr>
        <w:fldChar w:fldCharType="begin">
          <w:fldData xml:space="preserve">PEVuZE5vdGU+PENpdGU+PEF1dGhvcj5LcmFtYXJza2k8L0F1dGhvcj48WWVhcj4yMDAxPC9ZZWFy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=
</w:fldData>
        </w:fldChar>
      </w:r>
      <w:r w:rsidR="008B61BE">
        <w:rPr>
          <w:lang w:val="en-GB"/>
        </w:rPr>
        <w:instrText xml:space="preserve"> ADDIN EN.CITE </w:instrText>
      </w:r>
      <w:r w:rsidR="008B61BE">
        <w:rPr>
          <w:lang w:val="en-GB"/>
        </w:rPr>
        <w:fldChar w:fldCharType="begin">
          <w:fldData xml:space="preserve">PEVuZE5vdGU+PENpdGU+PEF1dGhvcj5LcmFtYXJza2k8L0F1dGhvcj48WWVhcj4yMDAxPC9ZZWFy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=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C81CB9" w:rsidRPr="003726FE">
        <w:rPr>
          <w:lang w:val="en-GB"/>
        </w:rPr>
      </w:r>
      <w:r w:rsidR="00C81CB9" w:rsidRPr="003726FE">
        <w:rPr>
          <w:lang w:val="en-GB"/>
        </w:rPr>
        <w:fldChar w:fldCharType="separate"/>
      </w:r>
      <w:r w:rsidR="004E5A78" w:rsidRPr="003726FE">
        <w:rPr>
          <w:noProof/>
          <w:lang w:val="en-GB"/>
        </w:rPr>
        <w:t>(</w:t>
      </w:r>
      <w:hyperlink w:anchor="_ENREF_225" w:tooltip="Kramarski, 2001 #414" w:history="1">
        <w:r w:rsidR="0094469E" w:rsidRPr="003726FE">
          <w:rPr>
            <w:noProof/>
            <w:lang w:val="en-GB"/>
          </w:rPr>
          <w:t>Kramarski and Zeichner 2001</w:t>
        </w:r>
      </w:hyperlink>
      <w:r w:rsidR="004E5A78" w:rsidRPr="003726FE">
        <w:rPr>
          <w:noProof/>
          <w:lang w:val="en-GB"/>
        </w:rPr>
        <w:t xml:space="preserve">; </w:t>
      </w:r>
      <w:hyperlink w:anchor="_ENREF_390" w:tooltip="Soederberg Miller, 2009 #511" w:history="1">
        <w:r w:rsidR="0094469E" w:rsidRPr="003726FE">
          <w:rPr>
            <w:noProof/>
            <w:lang w:val="en-GB"/>
          </w:rPr>
          <w:t>Soederberg Miller and West 2009</w:t>
        </w:r>
      </w:hyperlink>
      <w:r w:rsidR="004E5A78" w:rsidRPr="003726FE">
        <w:rPr>
          <w:noProof/>
          <w:lang w:val="en-GB"/>
        </w:rPr>
        <w:t xml:space="preserve">; </w:t>
      </w:r>
      <w:hyperlink w:anchor="_ENREF_2" w:tooltip="Andrews, 2017 #588" w:history="1">
        <w:r w:rsidR="0094469E" w:rsidRPr="003726FE">
          <w:rPr>
            <w:noProof/>
            <w:lang w:val="en-GB"/>
          </w:rPr>
          <w:t>Andrews et al. 2017</w:t>
        </w:r>
      </w:hyperlink>
      <w:r w:rsidR="004E5A78" w:rsidRPr="003726FE">
        <w:rPr>
          <w:noProof/>
          <w:lang w:val="en-GB"/>
        </w:rPr>
        <w:t>)</w:t>
      </w:r>
      <w:r w:rsidR="00C81CB9" w:rsidRPr="003726FE">
        <w:rPr>
          <w:lang w:val="en-GB"/>
        </w:rPr>
        <w:fldChar w:fldCharType="end"/>
      </w:r>
      <w:r w:rsidRPr="003726FE">
        <w:rPr>
          <w:lang w:val="en-GB"/>
        </w:rPr>
        <w:t xml:space="preserve"> but the majority of studies (n=</w:t>
      </w:r>
      <w:r w:rsidR="00F6631D" w:rsidRPr="003726FE">
        <w:rPr>
          <w:lang w:val="en-GB"/>
        </w:rPr>
        <w:t>8</w:t>
      </w:r>
      <w:r w:rsidRPr="003726FE">
        <w:rPr>
          <w:lang w:val="en-GB"/>
        </w:rPr>
        <w:t xml:space="preserve">, </w:t>
      </w:r>
      <w:r w:rsidR="00F6631D" w:rsidRPr="003726FE">
        <w:rPr>
          <w:lang w:val="en-GB"/>
        </w:rPr>
        <w:t>57</w:t>
      </w:r>
      <w:r w:rsidRPr="003726FE">
        <w:rPr>
          <w:lang w:val="en-GB"/>
        </w:rPr>
        <w:t>%) employed the soci</w:t>
      </w:r>
      <w:r w:rsidR="00BC0E78">
        <w:rPr>
          <w:lang w:val="en-GB"/>
        </w:rPr>
        <w:t xml:space="preserve">al </w:t>
      </w:r>
      <w:r w:rsidRPr="003726FE">
        <w:rPr>
          <w:lang w:val="en-GB"/>
        </w:rPr>
        <w:t>cognitive view of SRL to underpin the</w:t>
      </w:r>
      <w:r w:rsidR="00F6631D" w:rsidRPr="003726FE">
        <w:rPr>
          <w:lang w:val="en-GB"/>
        </w:rPr>
        <w:t>ir</w:t>
      </w:r>
      <w:r w:rsidRPr="003726FE">
        <w:rPr>
          <w:lang w:val="en-GB"/>
        </w:rPr>
        <w:t xml:space="preserve"> intervention; the remaining studies used di</w:t>
      </w:r>
      <w:r w:rsidR="002849FA" w:rsidRPr="003726FE">
        <w:rPr>
          <w:lang w:val="en-GB"/>
        </w:rPr>
        <w:t>fferent learning theories (see T</w:t>
      </w:r>
      <w:r w:rsidRPr="003726FE">
        <w:rPr>
          <w:lang w:val="en-GB"/>
        </w:rPr>
        <w:t xml:space="preserve">able </w:t>
      </w:r>
      <w:r w:rsidR="002849FA" w:rsidRPr="003726FE">
        <w:rPr>
          <w:lang w:val="en-GB"/>
        </w:rPr>
        <w:t>A2.2</w:t>
      </w:r>
      <w:r w:rsidR="00C201EE" w:rsidRPr="003726FE">
        <w:rPr>
          <w:lang w:val="en-GB"/>
        </w:rPr>
        <w:t>)</w:t>
      </w:r>
      <w:r w:rsidRPr="003726FE">
        <w:rPr>
          <w:lang w:val="en-GB"/>
        </w:rPr>
        <w:t>. All but one study measured SRL processes</w:t>
      </w:r>
      <w:r w:rsidR="00A916F6">
        <w:rPr>
          <w:lang w:val="en-GB"/>
        </w:rPr>
        <w:t xml:space="preserve">, </w:t>
      </w:r>
      <w:r w:rsidR="00F6631D" w:rsidRPr="003726FE">
        <w:rPr>
          <w:lang w:val="en-GB"/>
        </w:rPr>
        <w:t xml:space="preserve">with self-efficacy being the most measured dependent variable overall; the remaining study measured the use of </w:t>
      </w:r>
      <w:r w:rsidR="00A916F6">
        <w:rPr>
          <w:lang w:val="en-GB"/>
        </w:rPr>
        <w:t>metacognitive</w:t>
      </w:r>
      <w:r w:rsidR="00F6631D" w:rsidRPr="003726FE">
        <w:rPr>
          <w:lang w:val="en-GB"/>
        </w:rPr>
        <w:t xml:space="preserve"> fe</w:t>
      </w:r>
      <w:r w:rsidR="00907B20">
        <w:rPr>
          <w:lang w:val="en-GB"/>
        </w:rPr>
        <w:t xml:space="preserve">edback on performance outcomes </w:t>
      </w:r>
      <w:r w:rsidR="00EF281A" w:rsidRPr="003726FE">
        <w:rPr>
          <w:lang w:val="en-GB"/>
        </w:rPr>
        <w:fldChar w:fldCharType="begin"/>
      </w:r>
      <w:r w:rsidR="008B61BE">
        <w:rPr>
          <w:lang w:val="en-GB"/>
        </w:rPr>
        <w:instrText xml:space="preserve"> ADDIN EN.CITE &lt;EndNote&gt;&lt;Cite&gt;&lt;Author&gt;Kramarski&lt;/Author&gt;&lt;Year&gt;2001&lt;/Year&gt;&lt;RecNum&gt;136&lt;/RecNum&gt;&lt;DisplayText&gt;(Kramarski and Zeichner 2001)&lt;/DisplayText&gt;&lt;record&gt;&lt;rec-number&gt;136&lt;/rec-number&gt;&lt;foreign-keys&gt;&lt;key app="EN" db-id="xa2r2ewea92trkef5dt5arvbzafvpv2za5ft" timestamp="1442161764"&gt;136&lt;/key&gt;&lt;/foreign-keys&gt;&lt;ref-type name="Journal Article"&gt;17&lt;/ref-type&gt;&lt;contributors&gt;&lt;authors&gt;&lt;author&gt;Kramarski, Bracha&lt;/author&gt;&lt;author&gt;Zeichner, Orit&lt;/author&gt;&lt;/authors&gt;&lt;/contributors&gt;&lt;titles&gt;&lt;title&gt;Using technology to enhance mathematical reasoning: Effects of feedback and self-regulation learning&lt;/title&gt;&lt;secondary-title&gt;Educational Media International&lt;/secondary-title&gt;&lt;/titles&gt;&lt;periodical&gt;&lt;full-title&gt;Educational Media International&lt;/full-title&gt;&lt;/periodical&gt;&lt;pages&gt;77-82&lt;/pages&gt;&lt;volume&gt;38&lt;/volume&gt;&lt;number&gt;2-3&lt;/number&gt;&lt;dates&gt;&lt;year&gt;2001&lt;/year&gt;&lt;/dates&gt;&lt;publisher&gt;Taylor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225" w:tooltip="Kramarski, 2001 #414" w:history="1">
        <w:r w:rsidR="0094469E" w:rsidRPr="003726FE">
          <w:rPr>
            <w:noProof/>
            <w:lang w:val="en-GB"/>
          </w:rPr>
          <w:t>Kramarski and Zeichner 2001</w:t>
        </w:r>
      </w:hyperlink>
      <w:r w:rsidR="004E5A78" w:rsidRPr="003726FE">
        <w:rPr>
          <w:noProof/>
          <w:lang w:val="en-GB"/>
        </w:rPr>
        <w:t>)</w:t>
      </w:r>
      <w:r w:rsidR="00EF281A" w:rsidRPr="003726FE">
        <w:rPr>
          <w:lang w:val="en-GB"/>
        </w:rPr>
        <w:fldChar w:fldCharType="end"/>
      </w:r>
      <w:r w:rsidR="00907B20">
        <w:rPr>
          <w:lang w:val="en-GB"/>
        </w:rPr>
        <w:t>.</w:t>
      </w:r>
      <w:r w:rsidRPr="003726FE">
        <w:rPr>
          <w:lang w:val="en-GB"/>
        </w:rPr>
        <w:t xml:space="preserve"> </w:t>
      </w:r>
    </w:p>
    <w:p w14:paraId="34FFB970" w14:textId="77777777" w:rsidR="00C201EE" w:rsidRPr="003726FE" w:rsidRDefault="00C201EE" w:rsidP="00026049">
      <w:pPr>
        <w:pStyle w:val="Normal1"/>
        <w:rPr>
          <w:lang w:val="en-GB"/>
        </w:rPr>
      </w:pPr>
    </w:p>
    <w:p w14:paraId="161076BB" w14:textId="1EF39248" w:rsidR="00477E60" w:rsidRPr="003726FE" w:rsidRDefault="00477E60" w:rsidP="00026049">
      <w:pPr>
        <w:pStyle w:val="Normal1"/>
        <w:rPr>
          <w:lang w:val="en-GB"/>
        </w:rPr>
      </w:pPr>
      <w:r w:rsidRPr="003726FE">
        <w:rPr>
          <w:lang w:val="en-GB"/>
        </w:rPr>
        <w:t xml:space="preserve">SRL characteristics in </w:t>
      </w:r>
      <w:r w:rsidR="00A916F6">
        <w:rPr>
          <w:lang w:val="en-GB"/>
        </w:rPr>
        <w:t>each</w:t>
      </w:r>
      <w:r w:rsidRPr="003726FE">
        <w:rPr>
          <w:lang w:val="en-GB"/>
        </w:rPr>
        <w:t xml:space="preserve"> sample were typically measured using Likert-sca</w:t>
      </w:r>
      <w:r w:rsidR="00A916F6">
        <w:rPr>
          <w:lang w:val="en-GB"/>
        </w:rPr>
        <w:t>led, self-report questionnaires/</w:t>
      </w:r>
      <w:r w:rsidRPr="003726FE">
        <w:rPr>
          <w:lang w:val="en-GB"/>
        </w:rPr>
        <w:t>tests in most studies (n=</w:t>
      </w:r>
      <w:r w:rsidR="00F6631D" w:rsidRPr="003726FE">
        <w:rPr>
          <w:lang w:val="en-GB"/>
        </w:rPr>
        <w:t>11</w:t>
      </w:r>
      <w:r w:rsidRPr="003726FE">
        <w:rPr>
          <w:lang w:val="en-GB"/>
        </w:rPr>
        <w:t xml:space="preserve">, </w:t>
      </w:r>
      <w:r w:rsidR="00F6631D" w:rsidRPr="003726FE">
        <w:rPr>
          <w:lang w:val="en-GB"/>
        </w:rPr>
        <w:t>79</w:t>
      </w:r>
      <w:r w:rsidRPr="003726FE">
        <w:rPr>
          <w:lang w:val="en-GB"/>
        </w:rPr>
        <w:t xml:space="preserve">%); including </w:t>
      </w:r>
      <w:r w:rsidR="00A916F6">
        <w:rPr>
          <w:lang w:val="en-GB"/>
        </w:rPr>
        <w:t xml:space="preserve">the </w:t>
      </w:r>
      <w:r w:rsidRPr="003726FE">
        <w:rPr>
          <w:lang w:val="en-GB"/>
        </w:rPr>
        <w:t xml:space="preserve">MSLQ (Motivated Strategies for Learning Questionnaire) and </w:t>
      </w:r>
      <w:r w:rsidR="00A916F6">
        <w:rPr>
          <w:lang w:val="en-GB"/>
        </w:rPr>
        <w:t xml:space="preserve">the </w:t>
      </w:r>
      <w:r w:rsidRPr="003726FE">
        <w:rPr>
          <w:lang w:val="en-GB"/>
        </w:rPr>
        <w:t xml:space="preserve">ILS (Inventory of Learning Styles) </w:t>
      </w:r>
      <w:r w:rsidR="00F6631D" w:rsidRPr="003726FE">
        <w:rPr>
          <w:lang w:val="en-GB"/>
        </w:rPr>
        <w:t>tools</w:t>
      </w:r>
      <w:r w:rsidRPr="003726FE">
        <w:rPr>
          <w:lang w:val="en-GB"/>
        </w:rPr>
        <w:t xml:space="preserve">. </w:t>
      </w:r>
      <w:r w:rsidR="00907B20">
        <w:rPr>
          <w:lang w:val="en-GB"/>
        </w:rPr>
        <w:t>Microanalysis</w:t>
      </w:r>
      <w:r w:rsidRPr="003726FE">
        <w:rPr>
          <w:lang w:val="en-GB"/>
        </w:rPr>
        <w:t xml:space="preserve"> was used to identify and measure SRL processes in </w:t>
      </w:r>
      <w:r w:rsidR="00F6631D" w:rsidRPr="003726FE">
        <w:rPr>
          <w:lang w:val="en-GB"/>
        </w:rPr>
        <w:t>four</w:t>
      </w:r>
      <w:r w:rsidRPr="003726FE">
        <w:rPr>
          <w:lang w:val="en-GB"/>
        </w:rPr>
        <w:t xml:space="preserve"> studies</w:t>
      </w:r>
      <w:r w:rsidR="00F6631D" w:rsidRPr="003726FE">
        <w:rPr>
          <w:lang w:val="en-GB"/>
        </w:rPr>
        <w:t xml:space="preserve"> </w:t>
      </w:r>
      <w:r w:rsidR="00F6631D" w:rsidRPr="003726FE">
        <w:rPr>
          <w:lang w:val="en-GB"/>
        </w:rPr>
        <w:fldChar w:fldCharType="begin">
          <w:fldData xml:space="preserve">PEVuZE5vdGU+PENpdGU+PEF1dGhvcj5DbGVhcnk8L0F1dGhvcj48WWVhcj4yMDA2PC9ZZWFyPjxS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</w:fldData>
        </w:fldChar>
      </w:r>
      <w:r w:rsidR="008B61BE">
        <w:rPr>
          <w:lang w:val="en-GB"/>
        </w:rPr>
        <w:instrText xml:space="preserve"> ADDIN EN.CITE </w:instrText>
      </w:r>
      <w:r w:rsidR="008B61BE">
        <w:rPr>
          <w:lang w:val="en-GB"/>
        </w:rPr>
        <w:fldChar w:fldCharType="begin">
          <w:fldData xml:space="preserve">PEVuZE5vdGU+PENpdGU+PEF1dGhvcj5DbGVhcnk8L0F1dGhvcj48WWVhcj4yMDA2PC9ZZWFyPjxS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</w:fldData>
        </w:fldChar>
      </w:r>
      <w:r w:rsidR="008B61BE">
        <w:rPr>
          <w:lang w:val="en-GB"/>
        </w:rPr>
        <w:instrText xml:space="preserve"> ADDIN EN.CITE.DATA </w:instrText>
      </w:r>
      <w:r w:rsidR="008B61BE">
        <w:rPr>
          <w:lang w:val="en-GB"/>
        </w:rPr>
      </w:r>
      <w:r w:rsidR="008B61BE">
        <w:rPr>
          <w:lang w:val="en-GB"/>
        </w:rPr>
        <w:fldChar w:fldCharType="end"/>
      </w:r>
      <w:r w:rsidR="00F6631D" w:rsidRPr="003726FE">
        <w:rPr>
          <w:lang w:val="en-GB"/>
        </w:rPr>
      </w:r>
      <w:r w:rsidR="00F6631D" w:rsidRPr="003726FE">
        <w:rPr>
          <w:lang w:val="en-GB"/>
        </w:rPr>
        <w:fldChar w:fldCharType="separate"/>
      </w:r>
      <w:r w:rsidR="004E5A78" w:rsidRPr="003726FE">
        <w:rPr>
          <w:noProof/>
          <w:lang w:val="en-GB"/>
        </w:rPr>
        <w:t>(</w:t>
      </w:r>
      <w:hyperlink w:anchor="_ENREF_93" w:tooltip="Cleary, 2006 #44" w:history="1">
        <w:r w:rsidR="0094469E" w:rsidRPr="003726FE">
          <w:rPr>
            <w:noProof/>
            <w:lang w:val="en-GB"/>
          </w:rPr>
          <w:t>Cleary et al. 2006</w:t>
        </w:r>
      </w:hyperlink>
      <w:r w:rsidR="004E5A78" w:rsidRPr="003726FE">
        <w:rPr>
          <w:noProof/>
          <w:lang w:val="en-GB"/>
        </w:rPr>
        <w:t xml:space="preserve">; </w:t>
      </w:r>
      <w:hyperlink w:anchor="_ENREF_85" w:tooltip="Cleary, 2014 #36" w:history="1">
        <w:r w:rsidR="0094469E" w:rsidRPr="003726FE">
          <w:rPr>
            <w:noProof/>
            <w:lang w:val="en-GB"/>
          </w:rPr>
          <w:t>Cleary et al. 2014</w:t>
        </w:r>
      </w:hyperlink>
      <w:r w:rsidR="004E5A78" w:rsidRPr="003726FE">
        <w:rPr>
          <w:noProof/>
          <w:lang w:val="en-GB"/>
        </w:rPr>
        <w:t xml:space="preserve">; </w:t>
      </w:r>
      <w:hyperlink w:anchor="_ENREF_2" w:tooltip="Andrews, 2017 #588" w:history="1">
        <w:r w:rsidR="0094469E" w:rsidRPr="003726FE">
          <w:rPr>
            <w:noProof/>
            <w:lang w:val="en-GB"/>
          </w:rPr>
          <w:t>Andrews et al. 2017</w:t>
        </w:r>
      </w:hyperlink>
      <w:r w:rsidR="004E5A78" w:rsidRPr="003726FE">
        <w:rPr>
          <w:noProof/>
          <w:lang w:val="en-GB"/>
        </w:rPr>
        <w:t xml:space="preserve">; </w:t>
      </w:r>
      <w:hyperlink w:anchor="_ENREF_90" w:tooltip="Cleary, 2017 #935" w:history="1">
        <w:r w:rsidR="0094469E" w:rsidRPr="003726FE">
          <w:rPr>
            <w:noProof/>
            <w:lang w:val="en-GB"/>
          </w:rPr>
          <w:t>Cleary et al. 2017</w:t>
        </w:r>
      </w:hyperlink>
      <w:r w:rsidR="004E5A78" w:rsidRPr="003726FE">
        <w:rPr>
          <w:noProof/>
          <w:lang w:val="en-GB"/>
        </w:rPr>
        <w:t>)</w:t>
      </w:r>
      <w:r w:rsidR="00F6631D" w:rsidRPr="003726FE">
        <w:rPr>
          <w:lang w:val="en-GB"/>
        </w:rPr>
        <w:fldChar w:fldCharType="end"/>
      </w:r>
      <w:r w:rsidRPr="003726FE">
        <w:rPr>
          <w:lang w:val="en-GB"/>
        </w:rPr>
        <w:t xml:space="preserve">, this method has </w:t>
      </w:r>
      <w:r w:rsidR="003B534A" w:rsidRPr="003726FE">
        <w:rPr>
          <w:lang w:val="en-GB"/>
        </w:rPr>
        <w:t>become popular in</w:t>
      </w:r>
      <w:r w:rsidRPr="003726FE">
        <w:rPr>
          <w:lang w:val="en-GB"/>
        </w:rPr>
        <w:t xml:space="preserve"> other SRL focused literature </w:t>
      </w:r>
      <w:r w:rsidR="00EF281A" w:rsidRPr="003726FE">
        <w:rPr>
          <w:lang w:val="en-GB"/>
        </w:rPr>
        <w:fldChar w:fldCharType="begin"/>
      </w:r>
      <w:r w:rsidR="008B61BE">
        <w:rPr>
          <w:lang w:val="en-GB"/>
        </w:rPr>
        <w:instrText xml:space="preserve"> ADDIN EN.CITE &lt;EndNote&gt;&lt;Cite&gt;&lt;Author&gt;Cleary&lt;/Author&gt;&lt;Year&gt;2016&lt;/Year&gt;&lt;RecNum&gt;605&lt;/RecNum&gt;&lt;DisplayText&gt;(Cleary et al. 2016)&lt;/DisplayText&gt;&lt;record&gt;&lt;rec-number&gt;605&lt;/rec-number&gt;&lt;foreign-keys&gt;&lt;key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86" w:tooltip="Cleary, 2016 #605" w:history="1">
        <w:r w:rsidR="0094469E" w:rsidRPr="003726FE">
          <w:rPr>
            <w:noProof/>
            <w:lang w:val="en-GB"/>
          </w:rPr>
          <w:t>Cleary et al. 2016</w:t>
        </w:r>
      </w:hyperlink>
      <w:r w:rsidR="004E5A78" w:rsidRPr="003726FE">
        <w:rPr>
          <w:noProof/>
          <w:lang w:val="en-GB"/>
        </w:rPr>
        <w:t>)</w:t>
      </w:r>
      <w:r w:rsidR="00EF281A" w:rsidRPr="003726FE">
        <w:rPr>
          <w:lang w:val="en-GB"/>
        </w:rPr>
        <w:fldChar w:fldCharType="end"/>
      </w:r>
      <w:r w:rsidRPr="003726FE">
        <w:rPr>
          <w:lang w:val="en-GB"/>
        </w:rPr>
        <w:t>. The majority of studies provided reliability and validity justifications for the use of selected questionnaires and tests</w:t>
      </w:r>
      <w:r w:rsidR="00A916F6">
        <w:rPr>
          <w:lang w:val="en-GB"/>
        </w:rPr>
        <w:t>,</w:t>
      </w:r>
      <w:r w:rsidRPr="003726FE">
        <w:rPr>
          <w:lang w:val="en-GB"/>
        </w:rPr>
        <w:t xml:space="preserve"> and other studies designed or modified tests appropriately for their specific study (n=</w:t>
      </w:r>
      <w:r w:rsidR="003B534A" w:rsidRPr="003726FE">
        <w:rPr>
          <w:lang w:val="en-GB"/>
        </w:rPr>
        <w:t>5</w:t>
      </w:r>
      <w:r w:rsidRPr="003726FE">
        <w:rPr>
          <w:lang w:val="en-GB"/>
        </w:rPr>
        <w:t>, 36%). I</w:t>
      </w:r>
      <w:r w:rsidR="00907B20">
        <w:rPr>
          <w:lang w:val="en-GB"/>
        </w:rPr>
        <w:t>n just over half of all studies</w:t>
      </w:r>
      <w:r w:rsidRPr="003726FE">
        <w:rPr>
          <w:lang w:val="en-GB"/>
        </w:rPr>
        <w:t xml:space="preserve"> these measures were carried out before and after the intervention (n=</w:t>
      </w:r>
      <w:r w:rsidR="003B534A" w:rsidRPr="003726FE">
        <w:rPr>
          <w:lang w:val="en-GB"/>
        </w:rPr>
        <w:t>8</w:t>
      </w:r>
      <w:r w:rsidRPr="003726FE">
        <w:rPr>
          <w:lang w:val="en-GB"/>
        </w:rPr>
        <w:t>, 5</w:t>
      </w:r>
      <w:r w:rsidR="003B534A" w:rsidRPr="003726FE">
        <w:rPr>
          <w:lang w:val="en-GB"/>
        </w:rPr>
        <w:t>7</w:t>
      </w:r>
      <w:r w:rsidRPr="003726FE">
        <w:rPr>
          <w:lang w:val="en-GB"/>
        </w:rPr>
        <w:t>%)</w:t>
      </w:r>
      <w:r w:rsidR="003B534A" w:rsidRPr="003726FE">
        <w:rPr>
          <w:lang w:val="en-GB"/>
        </w:rPr>
        <w:t>.</w:t>
      </w:r>
    </w:p>
    <w:p w14:paraId="10A7ABA5" w14:textId="77777777" w:rsidR="00477E60" w:rsidRPr="003726FE" w:rsidRDefault="00477E60" w:rsidP="00026049">
      <w:pPr>
        <w:pStyle w:val="Normal1"/>
        <w:rPr>
          <w:lang w:val="en-GB"/>
        </w:rPr>
      </w:pPr>
    </w:p>
    <w:p w14:paraId="49F28DB1" w14:textId="4E5C1A29" w:rsidR="00477E60" w:rsidRPr="003726FE" w:rsidRDefault="00477E60" w:rsidP="00026049">
      <w:pPr>
        <w:pStyle w:val="Normal1"/>
        <w:rPr>
          <w:lang w:val="en-GB"/>
        </w:rPr>
      </w:pPr>
      <w:r w:rsidRPr="003726FE">
        <w:rPr>
          <w:lang w:val="en-GB"/>
        </w:rPr>
        <w:t xml:space="preserve">The nature of the feedback component included in these studies was mostly </w:t>
      </w:r>
      <w:r w:rsidR="003B534A" w:rsidRPr="003726FE">
        <w:rPr>
          <w:lang w:val="en-GB"/>
        </w:rPr>
        <w:t>outcome based performance</w:t>
      </w:r>
      <w:r w:rsidR="00C201EE" w:rsidRPr="003726FE">
        <w:rPr>
          <w:lang w:val="en-GB"/>
        </w:rPr>
        <w:t xml:space="preserve"> feedback</w:t>
      </w:r>
      <w:r w:rsidRPr="003726FE">
        <w:rPr>
          <w:lang w:val="en-GB"/>
        </w:rPr>
        <w:t>. In regards to SRL feedback, two studies used meta-cognitive feedback and one used strategy informing feedback</w:t>
      </w:r>
      <w:r w:rsidR="003B534A" w:rsidRPr="003726FE">
        <w:rPr>
          <w:lang w:val="en-GB"/>
        </w:rPr>
        <w:t xml:space="preserve"> </w:t>
      </w:r>
      <w:r w:rsidR="003B534A" w:rsidRPr="003726FE">
        <w:rPr>
          <w:lang w:val="en-GB"/>
        </w:rPr>
        <w:fldChar w:fldCharType="begin"/>
      </w:r>
      <w:r w:rsidR="008B61BE">
        <w:rPr>
          <w:lang w:val="en-GB"/>
        </w:rPr>
        <w:instrText xml:space="preserve"> ADDIN EN.CITE &lt;EndNote&gt;&lt;Cite&gt;&lt;Author&gt;Kramarski&lt;/Author&gt;&lt;Year&gt;2001&lt;/Year&gt;&lt;RecNum&gt;414&lt;/RecNum&gt;&lt;DisplayText&gt;(Kramarski and Zeichner 2001; Lee et al. 2010)&lt;/DisplayText&gt;&lt;record&gt;&lt;rec-number&gt;414&lt;/rec-number&gt;&lt;foreign-keys&gt;&lt;key app="EN" db-id="xa2r2ewea92trkef5dt5arvbzafvpv2za5ft" timestamp="1496417543"&gt;414&lt;/key&gt;&lt;/foreign-keys&gt;&lt;ref-type name="Journal Article"&gt;17&lt;/ref-type&gt;&lt;contributors&gt;&lt;authors&gt;&lt;author&gt;Kramarski, Bracha&lt;/author&gt;&lt;author&gt;Zeichner, Orit&lt;/author&gt;&lt;/authors&gt;&lt;/contributors&gt;&lt;titles&gt;&lt;title&gt;Using technology to enhance mathematical reasoning: Effects of feedback and self-regulation learning&lt;/title&gt;&lt;secondary-title&gt;Educational Media International&lt;/secondary-title&gt;&lt;/titles&gt;&lt;periodical&gt;&lt;full-title&gt;Educational Media International&lt;/full-title&gt;&lt;/periodical&gt;&lt;pages&gt;77-82&lt;/pages&gt;&lt;volume&gt;38&lt;/volume&gt;&lt;number&gt;2-3&lt;/number&gt;&lt;dates&gt;&lt;year&gt;2001&lt;/year&gt;&lt;/dates&gt;&lt;publisher&gt;Taylor &amp;amp; Francis&lt;/publisher&gt;&lt;urls&gt;&lt;/urls&gt;&lt;/record&gt;&lt;/Cite&gt;&lt;Cite&gt;&lt;Author&gt;Lee&lt;/Author&gt;&lt;Year&gt;2010&lt;/Year&gt;&lt;RecNum&gt;420&lt;/RecNum&gt;&lt;record&gt;&lt;rec-number&gt;420&lt;/rec-number&gt;&lt;foreign-keys&gt;&lt;key app="EN" db-id="xa2r2ewea92trkef5dt5arvbzafvpv2za5ft" timestamp="1496417544"&gt;420&lt;/key&gt;&lt;/foreign-keys&gt;&lt;ref-type name="Journal Article"&gt;17&lt;/ref-type&gt;&lt;contributors&gt;&lt;authors&gt;&lt;author&gt;Lee, Hyeon Woo&lt;/author&gt;&lt;author&gt;Lim, Kyu Yon&lt;/author&gt;&lt;author&gt;Grabowski, Barbara L.&lt;/author&gt;&lt;/authors&gt;&lt;/contributors&gt;&lt;titles&gt;&lt;title&gt;Improving self-regulation, learning strategy use, and achievement with metacognitive feedback&lt;/title&gt;&lt;secondary-title&gt;Educational Technology Research and Development&lt;/secondary-title&gt;&lt;/titles&gt;&lt;periodical&gt;&lt;full-title&gt;Educational Technology Research and Development&lt;/full-title&gt;&lt;/periodical&gt;&lt;pages&gt;629-648&lt;/pages&gt;&lt;volume&gt;58&lt;/volume&gt;&lt;number&gt;6&lt;/number&gt;&lt;dates&gt;&lt;year&gt;2010&lt;/year&gt;&lt;/dates&gt;&lt;publisher&gt;Springer&lt;/publisher&gt;&lt;urls&gt;&lt;/urls&gt;&lt;/record&gt;&lt;/Cite&gt;&lt;/EndNote&gt;</w:instrText>
      </w:r>
      <w:r w:rsidR="003B534A" w:rsidRPr="003726FE">
        <w:rPr>
          <w:lang w:val="en-GB"/>
        </w:rPr>
        <w:fldChar w:fldCharType="separate"/>
      </w:r>
      <w:r w:rsidR="004E5A78" w:rsidRPr="003726FE">
        <w:rPr>
          <w:noProof/>
          <w:lang w:val="en-GB"/>
        </w:rPr>
        <w:t>(</w:t>
      </w:r>
      <w:hyperlink w:anchor="_ENREF_225" w:tooltip="Kramarski, 2001 #414" w:history="1">
        <w:r w:rsidR="0094469E" w:rsidRPr="003726FE">
          <w:rPr>
            <w:noProof/>
            <w:lang w:val="en-GB"/>
          </w:rPr>
          <w:t>Kramarski and Zeichner 2001</w:t>
        </w:r>
      </w:hyperlink>
      <w:r w:rsidR="004E5A78" w:rsidRPr="003726FE">
        <w:rPr>
          <w:noProof/>
          <w:lang w:val="en-GB"/>
        </w:rPr>
        <w:t xml:space="preserve">; </w:t>
      </w:r>
      <w:hyperlink w:anchor="_ENREF_237" w:tooltip="Lee, 2010 #420" w:history="1">
        <w:r w:rsidR="0094469E" w:rsidRPr="003726FE">
          <w:rPr>
            <w:noProof/>
            <w:lang w:val="en-GB"/>
          </w:rPr>
          <w:t>Lee et al. 2010</w:t>
        </w:r>
      </w:hyperlink>
      <w:r w:rsidR="004E5A78" w:rsidRPr="003726FE">
        <w:rPr>
          <w:noProof/>
          <w:lang w:val="en-GB"/>
        </w:rPr>
        <w:t>)</w:t>
      </w:r>
      <w:r w:rsidR="003B534A" w:rsidRPr="003726FE">
        <w:rPr>
          <w:lang w:val="en-GB"/>
        </w:rPr>
        <w:fldChar w:fldCharType="end"/>
      </w:r>
      <w:r w:rsidR="003B534A" w:rsidRPr="003726FE">
        <w:rPr>
          <w:lang w:val="en-GB"/>
        </w:rPr>
        <w:t xml:space="preserve">. </w:t>
      </w:r>
      <w:r w:rsidRPr="003726FE">
        <w:rPr>
          <w:lang w:val="en-GB"/>
        </w:rPr>
        <w:t>Performance as a result of the intervention</w:t>
      </w:r>
      <w:r w:rsidR="00E466FC" w:rsidRPr="003726FE">
        <w:rPr>
          <w:lang w:val="en-GB"/>
        </w:rPr>
        <w:t>s</w:t>
      </w:r>
      <w:r w:rsidRPr="003726FE">
        <w:rPr>
          <w:lang w:val="en-GB"/>
        </w:rPr>
        <w:t xml:space="preserve"> was improved in the majority of studies (n=</w:t>
      </w:r>
      <w:r w:rsidR="00E466FC" w:rsidRPr="003726FE">
        <w:rPr>
          <w:lang w:val="en-GB"/>
        </w:rPr>
        <w:t>10</w:t>
      </w:r>
      <w:r w:rsidRPr="003726FE">
        <w:rPr>
          <w:lang w:val="en-GB"/>
        </w:rPr>
        <w:t>, 7</w:t>
      </w:r>
      <w:r w:rsidR="00E466FC" w:rsidRPr="003726FE">
        <w:rPr>
          <w:lang w:val="en-GB"/>
        </w:rPr>
        <w:t>1</w:t>
      </w:r>
      <w:r w:rsidRPr="003726FE">
        <w:rPr>
          <w:lang w:val="en-GB"/>
        </w:rPr>
        <w:t xml:space="preserve">%), performance did not improve in </w:t>
      </w:r>
      <w:r w:rsidR="00A916F6">
        <w:rPr>
          <w:lang w:val="en-GB"/>
        </w:rPr>
        <w:t>four</w:t>
      </w:r>
      <w:r w:rsidRPr="003726FE">
        <w:rPr>
          <w:lang w:val="en-GB"/>
        </w:rPr>
        <w:t xml:space="preserve"> studies but SRL learning strategies were enhanced</w:t>
      </w:r>
      <w:r w:rsidR="00E466FC" w:rsidRPr="003726FE">
        <w:rPr>
          <w:lang w:val="en-GB"/>
        </w:rPr>
        <w:t xml:space="preserve"> in </w:t>
      </w:r>
      <w:r w:rsidR="00A916F6">
        <w:rPr>
          <w:lang w:val="en-GB"/>
        </w:rPr>
        <w:t>three</w:t>
      </w:r>
      <w:r w:rsidR="00E466FC" w:rsidRPr="003726FE">
        <w:rPr>
          <w:lang w:val="en-GB"/>
        </w:rPr>
        <w:t xml:space="preserve"> of them </w:t>
      </w:r>
      <w:r w:rsidR="00E466FC" w:rsidRPr="003726FE">
        <w:rPr>
          <w:lang w:val="en-GB"/>
        </w:rPr>
        <w:fldChar w:fldCharType="begin">
          <w:fldData xml:space="preserve">PEVuZE5vdGU+PENpdGU+PEF1dGhvcj5WYW4gZGVuIEJvb208L0F1dGhvcj48WWVhcj4yMDA0PC9Z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</w:fldData>
        </w:fldChar>
      </w:r>
      <w:r w:rsidR="008B61BE">
        <w:rPr>
          <w:lang w:val="en-GB"/>
        </w:rPr>
        <w:instrText xml:space="preserve"> ADDIN EN.CITE </w:instrText>
      </w:r>
      <w:r w:rsidR="008B61BE">
        <w:rPr>
          <w:lang w:val="en-GB"/>
        </w:rPr>
        <w:fldChar w:fldCharType="begin">
          <w:fldData xml:space="preserve">PEVuZE5vdGU+PENpdGU+PEF1dGhvcj5WYW4gZGVuIEJvb208L0F1dGhvcj48WWVhcj4yMDA0PC9Z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</w:fldData>
        </w:fldChar>
      </w:r>
      <w:r w:rsidR="008B61BE">
        <w:rPr>
          <w:lang w:val="en-GB"/>
        </w:rPr>
        <w:instrText xml:space="preserve"> ADDIN EN.CITE.DATA </w:instrText>
      </w:r>
      <w:r w:rsidR="008B61BE">
        <w:rPr>
          <w:lang w:val="en-GB"/>
        </w:rPr>
      </w:r>
      <w:r w:rsidR="008B61BE">
        <w:rPr>
          <w:lang w:val="en-GB"/>
        </w:rPr>
        <w:fldChar w:fldCharType="end"/>
      </w:r>
      <w:r w:rsidR="00E466FC" w:rsidRPr="003726FE">
        <w:rPr>
          <w:lang w:val="en-GB"/>
        </w:rPr>
      </w:r>
      <w:r w:rsidR="00E466FC" w:rsidRPr="003726FE">
        <w:rPr>
          <w:lang w:val="en-GB"/>
        </w:rPr>
        <w:fldChar w:fldCharType="separate"/>
      </w:r>
      <w:r w:rsidR="004E5A78" w:rsidRPr="003726FE">
        <w:rPr>
          <w:noProof/>
          <w:lang w:val="en-GB"/>
        </w:rPr>
        <w:t>(</w:t>
      </w:r>
      <w:hyperlink w:anchor="_ENREF_418" w:tooltip="Van den Boom, 2004 #256" w:history="1">
        <w:r w:rsidR="0094469E" w:rsidRPr="003726FE">
          <w:rPr>
            <w:noProof/>
            <w:lang w:val="en-GB"/>
          </w:rPr>
          <w:t>Van den Boom et al. 2004</w:t>
        </w:r>
      </w:hyperlink>
      <w:r w:rsidR="004E5A78" w:rsidRPr="003726FE">
        <w:rPr>
          <w:noProof/>
          <w:lang w:val="en-GB"/>
        </w:rPr>
        <w:t xml:space="preserve">; </w:t>
      </w:r>
      <w:hyperlink w:anchor="_ENREF_157" w:tooltip="Gano‐Overway, 2008 #87" w:history="1">
        <w:r w:rsidR="0094469E" w:rsidRPr="003726FE">
          <w:rPr>
            <w:noProof/>
            <w:lang w:val="en-GB"/>
          </w:rPr>
          <w:t>Gano</w:t>
        </w:r>
        <w:r w:rsidR="0094469E" w:rsidRPr="003726FE">
          <w:rPr>
            <w:rFonts w:ascii="Cambria Math" w:hAnsi="Cambria Math" w:cs="Cambria Math"/>
            <w:noProof/>
            <w:lang w:val="en-GB"/>
          </w:rPr>
          <w:t>‐</w:t>
        </w:r>
        <w:r w:rsidR="0094469E" w:rsidRPr="003726FE">
          <w:rPr>
            <w:noProof/>
            <w:lang w:val="en-GB"/>
          </w:rPr>
          <w:t>Overway 2008</w:t>
        </w:r>
      </w:hyperlink>
      <w:r w:rsidR="004E5A78" w:rsidRPr="003726FE">
        <w:rPr>
          <w:noProof/>
          <w:lang w:val="en-GB"/>
        </w:rPr>
        <w:t xml:space="preserve">; </w:t>
      </w:r>
      <w:hyperlink w:anchor="_ENREF_390" w:tooltip="Soederberg Miller, 2009 #511" w:history="1">
        <w:r w:rsidR="0094469E" w:rsidRPr="003726FE">
          <w:rPr>
            <w:noProof/>
            <w:lang w:val="en-GB"/>
          </w:rPr>
          <w:t>Soederberg Miller and West 2009</w:t>
        </w:r>
      </w:hyperlink>
      <w:r w:rsidR="004E5A78" w:rsidRPr="003726FE">
        <w:rPr>
          <w:noProof/>
          <w:lang w:val="en-GB"/>
        </w:rPr>
        <w:t>)</w:t>
      </w:r>
      <w:r w:rsidR="00E466FC" w:rsidRPr="003726FE">
        <w:rPr>
          <w:lang w:val="en-GB"/>
        </w:rPr>
        <w:fldChar w:fldCharType="end"/>
      </w:r>
      <w:r w:rsidRPr="003726FE">
        <w:rPr>
          <w:lang w:val="en-GB"/>
        </w:rPr>
        <w:t xml:space="preserve">. The final study found that negative feedback over multiple iterations decreased self-efficacy and tested a method of recording SRL processes using </w:t>
      </w:r>
      <w:r w:rsidR="00B600E2">
        <w:rPr>
          <w:lang w:val="en-GB"/>
        </w:rPr>
        <w:t xml:space="preserve">MA </w:t>
      </w:r>
      <w:r w:rsidRPr="003726FE">
        <w:rPr>
          <w:lang w:val="en-GB"/>
        </w:rPr>
        <w:t>which was successful</w:t>
      </w:r>
      <w:r w:rsidR="00E466FC" w:rsidRPr="003726FE">
        <w:rPr>
          <w:lang w:val="en-GB"/>
        </w:rPr>
        <w:t xml:space="preserve"> </w:t>
      </w:r>
      <w:r w:rsidR="00EF281A" w:rsidRPr="003726FE">
        <w:rPr>
          <w:lang w:val="en-GB"/>
        </w:rPr>
        <w:fldChar w:fldCharType="begin"/>
      </w:r>
      <w:r w:rsidR="008B61BE">
        <w:rPr>
          <w:lang w:val="en-GB"/>
        </w:rPr>
        <w:instrText xml:space="preserve"> ADDIN EN.CITE &lt;EndNote&gt;&lt;Cite&gt;&lt;Author&gt;Cleary&lt;/Author&gt;&lt;Year&gt;2014&lt;/Year&gt;&lt;RecNum&gt;313&lt;/RecNum&gt;&lt;DisplayText&gt;(Cleary et al. 2014)&lt;/DisplayText&gt;&lt;record&gt;&lt;rec-number&gt;313&lt;/rec-number&gt;&lt;foreign-keys&gt;&lt;key app="EN" db-id="xa2r2ewea92trkef5dt5arvbzafvpv2za5ft" timestamp="1496417534"&gt;313&lt;/key&gt;&lt;/foreign-keys&gt;&lt;ref-type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85" w:tooltip="Cleary, 2014 #36" w:history="1">
        <w:r w:rsidR="0094469E" w:rsidRPr="003726FE">
          <w:rPr>
            <w:noProof/>
            <w:lang w:val="en-GB"/>
          </w:rPr>
          <w:t>Cleary et al. 2014</w:t>
        </w:r>
      </w:hyperlink>
      <w:r w:rsidR="004E5A78" w:rsidRPr="003726FE">
        <w:rPr>
          <w:noProof/>
          <w:lang w:val="en-GB"/>
        </w:rPr>
        <w:t>)</w:t>
      </w:r>
      <w:r w:rsidR="00EF281A" w:rsidRPr="003726FE">
        <w:rPr>
          <w:lang w:val="en-GB"/>
        </w:rPr>
        <w:fldChar w:fldCharType="end"/>
      </w:r>
      <w:r w:rsidRPr="003726FE">
        <w:rPr>
          <w:lang w:val="en-GB"/>
        </w:rPr>
        <w:t>.</w:t>
      </w:r>
    </w:p>
    <w:p w14:paraId="79329EFB" w14:textId="77777777" w:rsidR="00477E60" w:rsidRPr="003726FE" w:rsidRDefault="00477E60" w:rsidP="00026049">
      <w:pPr>
        <w:pStyle w:val="Normal1"/>
        <w:rPr>
          <w:lang w:val="en-GB"/>
        </w:rPr>
      </w:pPr>
    </w:p>
    <w:p w14:paraId="6243A9AF" w14:textId="47DD35AE" w:rsidR="00C201EE" w:rsidRDefault="00477E60" w:rsidP="00230DC4">
      <w:pPr>
        <w:pStyle w:val="Normal1"/>
        <w:rPr>
          <w:lang w:val="en-GB"/>
        </w:rPr>
      </w:pPr>
      <w:r w:rsidRPr="003726FE">
        <w:rPr>
          <w:lang w:val="en-GB"/>
        </w:rPr>
        <w:t xml:space="preserve">When evaluating an intervention it is important to consider an evaluation of the process rather than focusing fully on the outcome measures </w:t>
      </w:r>
      <w:r w:rsidR="00EF281A" w:rsidRPr="003726FE">
        <w:rPr>
          <w:lang w:val="en-GB"/>
        </w:rPr>
        <w:fldChar w:fldCharType="begin"/>
      </w:r>
      <w:r w:rsidR="008B61BE">
        <w:rPr>
          <w:lang w:val="en-GB"/>
        </w:rPr>
        <w:instrText xml:space="preserve"> ADDIN EN.CITE &lt;EndNote&gt;&lt;Cite&gt;&lt;Author&gt;Campbell&lt;/Author&gt;&lt;Year&gt;2007&lt;/Year&gt;&lt;RecNum&gt;27&lt;/RecNum&gt;&lt;DisplayText&gt;(Campbell et al. 2007)&lt;/DisplayText&gt;&lt;record&gt;&lt;rec-number&gt;27&lt;/rec-number&gt;&lt;foreign-keys&gt;&lt;key app="EN" db-id="xa2r2ewea92trkef5dt5arvbzafvpv2za5ft" timestamp="1442161763"&gt;27&lt;/key&gt;&lt;/foreign-keys&gt;&lt;ref-type name="Journal Article"&gt;17&lt;/ref-type&gt;&lt;contributors&gt;&lt;authors&gt;&lt;author&gt;Campbell, N. C.&lt;/author&gt;&lt;author&gt;Murray, E.&lt;/author&gt;&lt;author&gt;Darbyshire, J.&lt;/author&gt;&lt;author&gt;Emery, J.&lt;/author&gt;&lt;author&gt;Farmer, A.&lt;/author&gt;&lt;author&gt;Griffiths, F.&lt;/author&gt;&lt;author&gt;Guthrie, B.&lt;/author&gt;&lt;author&gt;Lester, H.&lt;/author&gt;&lt;author&gt;Wilson, P.&lt;/author&gt;&lt;author&gt;Kinmonth, A. L.&lt;/author&gt;&lt;/authors&gt;&lt;/contributors&gt;&lt;auth-address&gt;Department of General Practice and Primary Care, University of Aberdeen, Foresterhill Health Centre, Aberdeen AB25 2AY. n.campbell@abdn.ac.uk&lt;/auth-address&gt;&lt;titles&gt;&lt;title&gt;Designing and evaluating complex interventions to improve health care&lt;/title&gt;&lt;secondary-title&gt;BMJ (Clinical research ed.)&lt;/secondary-title&gt;&lt;/titles&gt;&lt;periodical&gt;&lt;full-title&gt;BMJ (Clinical research ed.)&lt;/full-title&gt;&lt;/periodical&gt;&lt;pages&gt;455-459&lt;/pages&gt;&lt;volume&gt;334&lt;/volume&gt;&lt;number&gt;7591&lt;/number&gt;&lt;keywords&gt;&lt;keyword&gt;Data Collection/methods&lt;/keyword&gt;&lt;keyword&gt;Evidence-Based Medicine&lt;/keyword&gt;&lt;keyword&gt;Health Planning/methods&lt;/keyword&gt;&lt;keyword&gt;Humans&lt;/keyword&gt;&lt;keyword&gt;Program Evaluation&lt;/keyword&gt;&lt;keyword&gt;Quality of Health Care/standards&lt;/keyword&gt;&lt;keyword&gt;Research Design&lt;/keyword&gt;&lt;/keywords&gt;&lt;dates&gt;&lt;year&gt;2007&lt;/year&gt;&lt;/dates&gt;&lt;pub-location&gt;England&lt;/pub-location&gt;&lt;isbn&gt;1756-1833; 0959-535X&lt;/isbn&gt;&lt;urls&gt;&lt;related-urls&gt;&lt;url&gt;http://www.ncbi.nlm.nih.gov/pmc/articles/PMC1808182/pdf/bmj-334-7591-ac-00455.pdf&lt;/url&gt;&lt;/related-urls&gt;&lt;/urls&gt;&lt;electronic-resource-num&gt;334/7591/455 [pii]&lt;/electronic-resource-num&gt;&lt;access-date&gt;Mar 3&lt;/access-date&gt;&lt;/record&gt;&lt;/Cite&gt;&lt;/EndNote&gt;</w:instrText>
      </w:r>
      <w:r w:rsidR="00EF281A" w:rsidRPr="003726FE">
        <w:rPr>
          <w:lang w:val="en-GB"/>
        </w:rPr>
        <w:fldChar w:fldCharType="separate"/>
      </w:r>
      <w:r w:rsidR="004E5A78" w:rsidRPr="003726FE">
        <w:rPr>
          <w:noProof/>
          <w:lang w:val="en-GB"/>
        </w:rPr>
        <w:t>(</w:t>
      </w:r>
      <w:hyperlink w:anchor="_ENREF_69" w:tooltip="Campbell, 2007 #27" w:history="1">
        <w:r w:rsidR="0094469E" w:rsidRPr="003726FE">
          <w:rPr>
            <w:noProof/>
            <w:lang w:val="en-GB"/>
          </w:rPr>
          <w:t>Campbell et al. 2007</w:t>
        </w:r>
      </w:hyperlink>
      <w:r w:rsidR="004E5A78" w:rsidRPr="003726FE">
        <w:rPr>
          <w:noProof/>
          <w:lang w:val="en-GB"/>
        </w:rPr>
        <w:t>)</w:t>
      </w:r>
      <w:r w:rsidR="00EF281A" w:rsidRPr="003726FE">
        <w:rPr>
          <w:lang w:val="en-GB"/>
        </w:rPr>
        <w:fldChar w:fldCharType="end"/>
      </w:r>
      <w:r w:rsidRPr="003726FE">
        <w:rPr>
          <w:lang w:val="en-GB"/>
        </w:rPr>
        <w:t xml:space="preserve">. There were no measures </w:t>
      </w:r>
      <w:r w:rsidR="00B600E2">
        <w:rPr>
          <w:lang w:val="en-GB"/>
        </w:rPr>
        <w:t>for</w:t>
      </w:r>
      <w:r w:rsidRPr="003726FE">
        <w:rPr>
          <w:lang w:val="en-GB"/>
        </w:rPr>
        <w:t xml:space="preserve"> satisfaction or usefulness of the interventions in any study, although some studies measured self-satisfaction with individual performance (n=3, 2</w:t>
      </w:r>
      <w:r w:rsidR="00E466FC" w:rsidRPr="003726FE">
        <w:rPr>
          <w:lang w:val="en-GB"/>
        </w:rPr>
        <w:t>1</w:t>
      </w:r>
      <w:r w:rsidRPr="003726FE">
        <w:rPr>
          <w:lang w:val="en-GB"/>
        </w:rPr>
        <w:t>%)</w:t>
      </w:r>
      <w:r w:rsidR="00F21ECC" w:rsidRPr="003726FE">
        <w:rPr>
          <w:lang w:val="en-GB"/>
        </w:rPr>
        <w:t xml:space="preserve"> </w:t>
      </w:r>
      <w:r w:rsidR="00F21ECC" w:rsidRPr="003726FE">
        <w:rPr>
          <w:lang w:val="en-GB"/>
        </w:rPr>
        <w:fldChar w:fldCharType="begin">
          <w:fldData xml:space="preserve">PEVuZE5vdGU+PENpdGU+PEF1dGhvcj5LaXRzYW50YXM8L0F1dGhvcj48WWVhcj4yMDAyPC9ZZWFy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=
</w:fldData>
        </w:fldChar>
      </w:r>
      <w:r w:rsidR="008B61BE">
        <w:rPr>
          <w:lang w:val="en-GB"/>
        </w:rPr>
        <w:instrText xml:space="preserve"> ADDIN EN.CITE </w:instrText>
      </w:r>
      <w:r w:rsidR="008B61BE">
        <w:rPr>
          <w:lang w:val="en-GB"/>
        </w:rPr>
        <w:fldChar w:fldCharType="begin">
          <w:fldData xml:space="preserve">PEVuZE5vdGU+PENpdGU+PEF1dGhvcj5LaXRzYW50YXM8L0F1dGhvcj48WWVhcj4yMDAyPC9ZZWFy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=
</w:fldData>
        </w:fldChar>
      </w:r>
      <w:r w:rsidR="008B61BE">
        <w:rPr>
          <w:lang w:val="en-GB"/>
        </w:rPr>
        <w:instrText xml:space="preserve"> ADDIN EN.CITE.DATA </w:instrText>
      </w:r>
      <w:r w:rsidR="008B61BE">
        <w:rPr>
          <w:lang w:val="en-GB"/>
        </w:rPr>
      </w:r>
      <w:r w:rsidR="008B61BE">
        <w:rPr>
          <w:lang w:val="en-GB"/>
        </w:rPr>
        <w:fldChar w:fldCharType="end"/>
      </w:r>
      <w:r w:rsidR="00F21ECC" w:rsidRPr="003726FE">
        <w:rPr>
          <w:lang w:val="en-GB"/>
        </w:rPr>
      </w:r>
      <w:r w:rsidR="00F21ECC" w:rsidRPr="003726FE">
        <w:rPr>
          <w:lang w:val="en-GB"/>
        </w:rPr>
        <w:fldChar w:fldCharType="separate"/>
      </w:r>
      <w:r w:rsidR="004E5A78" w:rsidRPr="003726FE">
        <w:rPr>
          <w:noProof/>
          <w:lang w:val="en-GB"/>
        </w:rPr>
        <w:t>(</w:t>
      </w:r>
      <w:hyperlink w:anchor="_ENREF_217" w:tooltip="Kitsantas, 2002 #129" w:history="1">
        <w:r w:rsidR="0094469E" w:rsidRPr="003726FE">
          <w:rPr>
            <w:noProof/>
            <w:lang w:val="en-GB"/>
          </w:rPr>
          <w:t>Kitsantas and Zimmerman 2002</w:t>
        </w:r>
      </w:hyperlink>
      <w:r w:rsidR="004E5A78" w:rsidRPr="003726FE">
        <w:rPr>
          <w:noProof/>
          <w:lang w:val="en-GB"/>
        </w:rPr>
        <w:t xml:space="preserve">; </w:t>
      </w:r>
      <w:hyperlink w:anchor="_ENREF_460" w:tooltip="Zimmerman, 2002 #278" w:history="1">
        <w:r w:rsidR="0094469E" w:rsidRPr="003726FE">
          <w:rPr>
            <w:noProof/>
            <w:lang w:val="en-GB"/>
          </w:rPr>
          <w:t>Zimmerman and Kitsantas 2002</w:t>
        </w:r>
      </w:hyperlink>
      <w:r w:rsidR="004E5A78" w:rsidRPr="003726FE">
        <w:rPr>
          <w:noProof/>
          <w:lang w:val="en-GB"/>
        </w:rPr>
        <w:t xml:space="preserve">; </w:t>
      </w:r>
      <w:hyperlink w:anchor="_ENREF_232" w:tooltip="Labuhn, 2010 #139" w:history="1">
        <w:r w:rsidR="0094469E" w:rsidRPr="003726FE">
          <w:rPr>
            <w:noProof/>
            <w:lang w:val="en-GB"/>
          </w:rPr>
          <w:t>Labuhn et al. 2010</w:t>
        </w:r>
      </w:hyperlink>
      <w:r w:rsidR="004E5A78" w:rsidRPr="003726FE">
        <w:rPr>
          <w:noProof/>
          <w:lang w:val="en-GB"/>
        </w:rPr>
        <w:t>)</w:t>
      </w:r>
      <w:r w:rsidR="00F21ECC" w:rsidRPr="003726FE">
        <w:rPr>
          <w:lang w:val="en-GB"/>
        </w:rPr>
        <w:fldChar w:fldCharType="end"/>
      </w:r>
      <w:r w:rsidRPr="003726FE">
        <w:rPr>
          <w:lang w:val="en-GB"/>
        </w:rPr>
        <w:t>.</w:t>
      </w:r>
      <w:bookmarkStart w:id="175" w:name="_Toc429988457"/>
    </w:p>
    <w:p w14:paraId="2CB4C8D6" w14:textId="71633094" w:rsidR="0049047B" w:rsidRDefault="0049047B">
      <w:pPr>
        <w:rPr>
          <w:rFonts w:eastAsia="Lucida Sans Unicode" w:cs="Mangal"/>
          <w:b/>
          <w:kern w:val="1"/>
          <w:sz w:val="28"/>
          <w:szCs w:val="24"/>
          <w:lang w:eastAsia="hi-IN" w:bidi="hi-IN"/>
        </w:rPr>
      </w:pPr>
    </w:p>
    <w:p w14:paraId="68EEA19C" w14:textId="596FAFB6" w:rsidR="00477E60" w:rsidRPr="003726FE" w:rsidRDefault="00F65BA5" w:rsidP="00B1638D">
      <w:pPr>
        <w:pStyle w:val="Heading2"/>
        <w:rPr>
          <w:lang w:val="en-GB"/>
        </w:rPr>
      </w:pPr>
      <w:bookmarkStart w:id="176" w:name="_Toc500319337"/>
      <w:r w:rsidRPr="003726FE">
        <w:rPr>
          <w:lang w:val="en-GB"/>
        </w:rPr>
        <w:t xml:space="preserve">A2.5 </w:t>
      </w:r>
      <w:r w:rsidR="00477E60" w:rsidRPr="003726FE">
        <w:rPr>
          <w:lang w:val="en-GB"/>
        </w:rPr>
        <w:t>Discussion</w:t>
      </w:r>
      <w:bookmarkEnd w:id="175"/>
      <w:bookmarkEnd w:id="176"/>
    </w:p>
    <w:p w14:paraId="25BAC91F" w14:textId="77777777" w:rsidR="00477E60" w:rsidRPr="003726FE" w:rsidRDefault="00477E60" w:rsidP="00026049">
      <w:pPr>
        <w:pStyle w:val="Normal1"/>
        <w:rPr>
          <w:lang w:val="en-GB"/>
        </w:rPr>
      </w:pPr>
    </w:p>
    <w:p w14:paraId="05693803" w14:textId="4D163A51" w:rsidR="00B600E2" w:rsidRDefault="00477E60" w:rsidP="00026049">
      <w:pPr>
        <w:pStyle w:val="Normal1"/>
        <w:rPr>
          <w:lang w:val="en-GB"/>
        </w:rPr>
      </w:pPr>
      <w:r w:rsidRPr="003726FE">
        <w:rPr>
          <w:lang w:val="en-GB"/>
        </w:rPr>
        <w:t xml:space="preserve">The main aim of this review was to synthesise all the available evidence on educational interventions which used components of SRL and feedback to evaluate their quality and </w:t>
      </w:r>
      <w:r w:rsidR="00BC0E78">
        <w:rPr>
          <w:lang w:val="en-GB"/>
        </w:rPr>
        <w:t>transferability</w:t>
      </w:r>
      <w:r w:rsidRPr="003726FE">
        <w:rPr>
          <w:lang w:val="en-GB"/>
        </w:rPr>
        <w:t xml:space="preserve"> to a medical education context. There </w:t>
      </w:r>
      <w:r w:rsidR="00C201EE" w:rsidRPr="003726FE">
        <w:rPr>
          <w:lang w:val="en-GB"/>
        </w:rPr>
        <w:t>was</w:t>
      </w:r>
      <w:r w:rsidRPr="003726FE">
        <w:rPr>
          <w:lang w:val="en-GB"/>
        </w:rPr>
        <w:t xml:space="preserve"> a clear </w:t>
      </w:r>
      <w:r w:rsidR="00C201EE" w:rsidRPr="003726FE">
        <w:rPr>
          <w:lang w:val="en-GB"/>
        </w:rPr>
        <w:t>gap in the literature</w:t>
      </w:r>
      <w:r w:rsidRPr="003726FE">
        <w:rPr>
          <w:lang w:val="en-GB"/>
        </w:rPr>
        <w:t xml:space="preserve"> </w:t>
      </w:r>
      <w:r w:rsidR="00C201EE" w:rsidRPr="003726FE">
        <w:rPr>
          <w:lang w:val="en-GB"/>
        </w:rPr>
        <w:t>with no studies exploring the impact of feedback</w:t>
      </w:r>
      <w:r w:rsidR="001B45ED" w:rsidRPr="003726FE">
        <w:rPr>
          <w:lang w:val="en-GB"/>
        </w:rPr>
        <w:t xml:space="preserve"> explicitly informed by SRL</w:t>
      </w:r>
      <w:r w:rsidR="00B600E2">
        <w:rPr>
          <w:lang w:val="en-GB"/>
        </w:rPr>
        <w:t xml:space="preserve"> information</w:t>
      </w:r>
      <w:r w:rsidR="001B45ED" w:rsidRPr="003726FE">
        <w:rPr>
          <w:lang w:val="en-GB"/>
        </w:rPr>
        <w:t xml:space="preserve"> on performance or other learning outcomes</w:t>
      </w:r>
      <w:r w:rsidRPr="003726FE">
        <w:rPr>
          <w:lang w:val="en-GB"/>
        </w:rPr>
        <w:t>.</w:t>
      </w:r>
      <w:r w:rsidR="001B45ED" w:rsidRPr="003726FE">
        <w:rPr>
          <w:lang w:val="en-GB"/>
        </w:rPr>
        <w:t xml:space="preserve"> Only </w:t>
      </w:r>
      <w:r w:rsidR="00B600E2">
        <w:rPr>
          <w:lang w:val="en-GB"/>
        </w:rPr>
        <w:t>two</w:t>
      </w:r>
      <w:r w:rsidR="001B45ED" w:rsidRPr="003726FE">
        <w:rPr>
          <w:lang w:val="en-GB"/>
        </w:rPr>
        <w:t xml:space="preserve"> stud</w:t>
      </w:r>
      <w:r w:rsidR="00B600E2">
        <w:rPr>
          <w:lang w:val="en-GB"/>
        </w:rPr>
        <w:t>ies</w:t>
      </w:r>
      <w:r w:rsidR="001B45ED" w:rsidRPr="003726FE">
        <w:rPr>
          <w:lang w:val="en-GB"/>
        </w:rPr>
        <w:t xml:space="preserve"> used metacognitive feedback but the overall quality and reporting was poor making it difficult to understand the mechanism of delivery and whether the feedback was truly based on accurate SRL measurements </w:t>
      </w:r>
      <w:r w:rsidR="00EF281A" w:rsidRPr="003726FE">
        <w:rPr>
          <w:lang w:val="en-GB"/>
        </w:rPr>
        <w:fldChar w:fldCharType="begin"/>
      </w:r>
      <w:r w:rsidR="008B61BE">
        <w:rPr>
          <w:lang w:val="en-GB"/>
        </w:rPr>
        <w:instrText xml:space="preserve"> ADDIN EN.CITE &lt;EndNote&gt;&lt;Cite&gt;&lt;Author&gt;Kramarski&lt;/Author&gt;&lt;Year&gt;2001&lt;/Year&gt;&lt;RecNum&gt;136&lt;/RecNum&gt;&lt;DisplayText&gt;(Kramarski and Zeichner 2001; Lee et al. 2010)&lt;/DisplayText&gt;&lt;record&gt;&lt;rec-number&gt;136&lt;/rec-number&gt;&lt;foreign-keys&gt;&lt;key app="EN" db-id="xa2r2ewea92trkef5dt5arvbzafvpv2za5ft" timestamp="1442161764"&gt;136&lt;/key&gt;&lt;/foreign-keys&gt;&lt;ref-type name="Journal Article"&gt;17&lt;/ref-type&gt;&lt;contributors&gt;&lt;authors&gt;&lt;author&gt;Kramarski, Bracha&lt;/author&gt;&lt;author&gt;Zeichner, Orit&lt;/author&gt;&lt;/authors&gt;&lt;/contributors&gt;&lt;titles&gt;&lt;title&gt;Using technology to enhance mathematical reasoning: Effects of feedback and self-regulation learning&lt;/title&gt;&lt;secondary-title&gt;Educational Media International&lt;/secondary-title&gt;&lt;/titles&gt;&lt;periodical&gt;&lt;full-title&gt;Educational Media International&lt;/full-title&gt;&lt;/periodical&gt;&lt;pages&gt;77-82&lt;/pages&gt;&lt;volume&gt;38&lt;/volume&gt;&lt;number&gt;2-3&lt;/number&gt;&lt;dates&gt;&lt;year&gt;2001&lt;/year&gt;&lt;/dates&gt;&lt;publisher&gt;Taylor &amp;amp; Francis&lt;/publisher&gt;&lt;urls&gt;&lt;/urls&gt;&lt;/record&gt;&lt;/Cite&gt;&lt;Cite&gt;&lt;Author&gt;Lee&lt;/Author&gt;&lt;Year&gt;2010&lt;/Year&gt;&lt;RecNum&gt;142&lt;/RecNum&gt;&lt;record&gt;&lt;rec-number&gt;142&lt;/rec-number&gt;&lt;foreign-keys&gt;&lt;key app="EN" db-id="xa2r2ewea92trkef5dt5arvbzafvpv2za5ft" timestamp="1442161764"&gt;142&lt;/key&gt;&lt;/foreign-keys&gt;&lt;ref-type name="Journal Article"&gt;17&lt;/ref-type&gt;&lt;contributors&gt;&lt;authors&gt;&lt;author&gt;Lee, Hyeon Woo&lt;/author&gt;&lt;author&gt;Lim, Kyu Yon&lt;/author&gt;&lt;author&gt;Grabowski, Barbara L.&lt;/author&gt;&lt;/authors&gt;&lt;/contributors&gt;&lt;titles&gt;&lt;title&gt;Improving self-regulation, learning strategy use, and achievement with metacognitive feedback&lt;/title&gt;&lt;secondary-title&gt;Educational Technology Research and Development&lt;/secondary-title&gt;&lt;/titles&gt;&lt;periodical&gt;&lt;full-title&gt;Educational Technology Research and Development&lt;/full-title&gt;&lt;/periodical&gt;&lt;pages&gt;629-648&lt;/pages&gt;&lt;volume&gt;58&lt;/volume&gt;&lt;number&gt;6&lt;/number&gt;&lt;dates&gt;&lt;year&gt;2010&lt;/year&gt;&lt;/dates&gt;&lt;publisher&gt;Springer&lt;/publisher&gt;&lt;urls&gt;&lt;/urls&gt;&lt;/record&gt;&lt;/Cite&gt;&lt;/EndNote&gt;</w:instrText>
      </w:r>
      <w:r w:rsidR="00EF281A" w:rsidRPr="003726FE">
        <w:rPr>
          <w:lang w:val="en-GB"/>
        </w:rPr>
        <w:fldChar w:fldCharType="separate"/>
      </w:r>
      <w:r w:rsidR="00B600E2">
        <w:rPr>
          <w:noProof/>
          <w:lang w:val="en-GB"/>
        </w:rPr>
        <w:t>(</w:t>
      </w:r>
      <w:hyperlink w:anchor="_ENREF_225" w:tooltip="Kramarski, 2001 #414" w:history="1">
        <w:r w:rsidR="0094469E">
          <w:rPr>
            <w:noProof/>
            <w:lang w:val="en-GB"/>
          </w:rPr>
          <w:t>Kramarski and Zeichner 2001</w:t>
        </w:r>
      </w:hyperlink>
      <w:r w:rsidR="00B600E2">
        <w:rPr>
          <w:noProof/>
          <w:lang w:val="en-GB"/>
        </w:rPr>
        <w:t xml:space="preserve">; </w:t>
      </w:r>
      <w:hyperlink w:anchor="_ENREF_237" w:tooltip="Lee, 2010 #420" w:history="1">
        <w:r w:rsidR="0094469E">
          <w:rPr>
            <w:noProof/>
            <w:lang w:val="en-GB"/>
          </w:rPr>
          <w:t>Lee et al. 2010</w:t>
        </w:r>
      </w:hyperlink>
      <w:r w:rsidR="00B600E2">
        <w:rPr>
          <w:noProof/>
          <w:lang w:val="en-GB"/>
        </w:rPr>
        <w:t>)</w:t>
      </w:r>
      <w:r w:rsidR="00EF281A" w:rsidRPr="003726FE">
        <w:rPr>
          <w:lang w:val="en-GB"/>
        </w:rPr>
        <w:fldChar w:fldCharType="end"/>
      </w:r>
      <w:r w:rsidR="001B45ED" w:rsidRPr="003726FE">
        <w:rPr>
          <w:lang w:val="en-GB"/>
        </w:rPr>
        <w:t>.</w:t>
      </w:r>
      <w:r w:rsidRPr="003726FE">
        <w:rPr>
          <w:lang w:val="en-GB"/>
        </w:rPr>
        <w:t xml:space="preserve"> </w:t>
      </w:r>
    </w:p>
    <w:p w14:paraId="162C6D40" w14:textId="77777777" w:rsidR="00B600E2" w:rsidRDefault="00B600E2" w:rsidP="00026049">
      <w:pPr>
        <w:pStyle w:val="Normal1"/>
        <w:rPr>
          <w:lang w:val="en-GB"/>
        </w:rPr>
      </w:pPr>
    </w:p>
    <w:p w14:paraId="09C26FE0" w14:textId="5A750663" w:rsidR="00477E60" w:rsidRPr="003726FE" w:rsidRDefault="00477E60" w:rsidP="00026049">
      <w:pPr>
        <w:pStyle w:val="Normal1"/>
        <w:rPr>
          <w:lang w:val="en-GB"/>
        </w:rPr>
      </w:pPr>
      <w:r w:rsidRPr="003726FE">
        <w:rPr>
          <w:lang w:val="en-GB"/>
        </w:rPr>
        <w:t xml:space="preserve">There </w:t>
      </w:r>
      <w:r w:rsidR="00C201EE" w:rsidRPr="003726FE">
        <w:rPr>
          <w:lang w:val="en-GB"/>
        </w:rPr>
        <w:t>was</w:t>
      </w:r>
      <w:r w:rsidRPr="003726FE">
        <w:rPr>
          <w:lang w:val="en-GB"/>
        </w:rPr>
        <w:t xml:space="preserve"> a trend of increasing topic interest given that most of the studies reviewed were published after 2009 but the overall sample of articles was low </w:t>
      </w:r>
      <w:r w:rsidR="001B45ED" w:rsidRPr="003726FE">
        <w:rPr>
          <w:lang w:val="en-GB"/>
        </w:rPr>
        <w:t xml:space="preserve">compared </w:t>
      </w:r>
      <w:r w:rsidRPr="003726FE">
        <w:rPr>
          <w:lang w:val="en-GB"/>
        </w:rPr>
        <w:t xml:space="preserve">to reviews of a similar focus </w:t>
      </w:r>
      <w:r w:rsidR="00EF281A" w:rsidRPr="003726FE">
        <w:rPr>
          <w:lang w:val="en-GB"/>
        </w:rPr>
        <w:fldChar w:fldCharType="begin"/>
      </w:r>
      <w:r w:rsidR="008B61BE">
        <w:rPr>
          <w:lang w:val="en-GB"/>
        </w:rPr>
        <w:instrText xml:space="preserve"> ADDIN EN.CITE &lt;EndNote&gt;&lt;Cite&gt;&lt;Author&gt;Brydges&lt;/Author&gt;&lt;Year&gt;2015&lt;/Year&gt;&lt;RecNum&gt;19&lt;/RecNum&gt;&lt;DisplayText&gt;(Brydges et al. 2015)&lt;/DisplayText&gt;&lt;record&gt;&lt;rec-number&gt;19&lt;/rec-number&gt;&lt;foreign-keys&gt;&lt;key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Pr>
          <w:rFonts w:ascii="Cambria Math" w:hAnsi="Cambria Math" w:cs="Cambria Math"/>
          <w:lang w:val="en-GB"/>
        </w:rPr>
        <w:instrText>‐</w:instrText>
      </w:r>
      <w:r w:rsidR="008B61BE">
        <w:rPr>
          <w:lang w:val="en-GB"/>
        </w:rPr>
        <w:instrText>regulated learning in simulation</w:instrText>
      </w:r>
      <w:r w:rsidR="008B61BE">
        <w:rPr>
          <w:rFonts w:ascii="Cambria Math" w:hAnsi="Cambria Math" w:cs="Cambria Math"/>
          <w:lang w:val="en-GB"/>
        </w:rPr>
        <w:instrText>‐</w:instrText>
      </w:r>
      <w:r w:rsidR="008B61BE">
        <w:rPr>
          <w:lang w:val="en-GB"/>
        </w:rPr>
        <w:instrText>based training: a systematic review and meta</w:instrText>
      </w:r>
      <w:r w:rsidR="008B61BE">
        <w:rPr>
          <w:rFonts w:ascii="Cambria Math" w:hAnsi="Cambria Math" w:cs="Cambria Math"/>
          <w:lang w:val="en-GB"/>
        </w:rPr>
        <w:instrText>‐</w:instrText>
      </w:r>
      <w:r w:rsidR="008B61BE">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3726FE">
        <w:rPr>
          <w:lang w:val="en-GB"/>
        </w:rPr>
        <w:fldChar w:fldCharType="separate"/>
      </w:r>
      <w:r w:rsidR="004E5A78" w:rsidRPr="003726FE">
        <w:rPr>
          <w:noProof/>
          <w:lang w:val="en-GB"/>
        </w:rPr>
        <w:t>(</w:t>
      </w:r>
      <w:hyperlink w:anchor="_ENREF_56" w:tooltip="Brydges, 2015 #18" w:history="1">
        <w:r w:rsidR="0094469E" w:rsidRPr="003726FE">
          <w:rPr>
            <w:noProof/>
            <w:lang w:val="en-GB"/>
          </w:rPr>
          <w:t>Brydges et al. 2015</w:t>
        </w:r>
      </w:hyperlink>
      <w:r w:rsidR="004E5A78" w:rsidRPr="003726FE">
        <w:rPr>
          <w:noProof/>
          <w:lang w:val="en-GB"/>
        </w:rPr>
        <w:t>)</w:t>
      </w:r>
      <w:r w:rsidR="00EF281A" w:rsidRPr="003726FE">
        <w:rPr>
          <w:lang w:val="en-GB"/>
        </w:rPr>
        <w:fldChar w:fldCharType="end"/>
      </w:r>
      <w:r w:rsidR="00C201EE" w:rsidRPr="003726FE">
        <w:rPr>
          <w:lang w:val="en-GB"/>
        </w:rPr>
        <w:t>. The evidence</w:t>
      </w:r>
      <w:r w:rsidRPr="003726FE">
        <w:rPr>
          <w:lang w:val="en-GB"/>
        </w:rPr>
        <w:t xml:space="preserve"> predominantly c</w:t>
      </w:r>
      <w:r w:rsidR="00B600E2">
        <w:rPr>
          <w:lang w:val="en-GB"/>
        </w:rPr>
        <w:t>ame</w:t>
      </w:r>
      <w:r w:rsidRPr="003726FE">
        <w:rPr>
          <w:lang w:val="en-GB"/>
        </w:rPr>
        <w:t xml:space="preserve"> from prospective before and after </w:t>
      </w:r>
      <w:r w:rsidR="001B45ED" w:rsidRPr="003726FE">
        <w:rPr>
          <w:lang w:val="en-GB"/>
        </w:rPr>
        <w:t>approaches</w:t>
      </w:r>
      <w:r w:rsidRPr="003726FE">
        <w:rPr>
          <w:lang w:val="en-GB"/>
        </w:rPr>
        <w:t xml:space="preserve"> with randomised quantitative designs conducted in the </w:t>
      </w:r>
      <w:r w:rsidR="00826050">
        <w:rPr>
          <w:lang w:val="en-GB"/>
        </w:rPr>
        <w:t>immediate</w:t>
      </w:r>
      <w:r w:rsidRPr="003726FE">
        <w:rPr>
          <w:lang w:val="en-GB"/>
        </w:rPr>
        <w:t xml:space="preserve"> and </w:t>
      </w:r>
      <w:r w:rsidR="001B45ED" w:rsidRPr="003726FE">
        <w:rPr>
          <w:lang w:val="en-GB"/>
        </w:rPr>
        <w:t>had only a</w:t>
      </w:r>
      <w:r w:rsidR="00B600E2">
        <w:rPr>
          <w:lang w:val="en-GB"/>
        </w:rPr>
        <w:t xml:space="preserve"> single measure, which limited</w:t>
      </w:r>
      <w:r w:rsidRPr="003726FE">
        <w:rPr>
          <w:lang w:val="en-GB"/>
        </w:rPr>
        <w:t xml:space="preserve"> </w:t>
      </w:r>
      <w:r w:rsidR="00B600E2">
        <w:rPr>
          <w:lang w:val="en-GB"/>
        </w:rPr>
        <w:t xml:space="preserve">any </w:t>
      </w:r>
      <w:r w:rsidRPr="003726FE">
        <w:rPr>
          <w:lang w:val="en-GB"/>
        </w:rPr>
        <w:t xml:space="preserve">conclusions </w:t>
      </w:r>
      <w:r w:rsidR="00B600E2">
        <w:rPr>
          <w:lang w:val="en-GB"/>
        </w:rPr>
        <w:t>for</w:t>
      </w:r>
      <w:r w:rsidRPr="003726FE">
        <w:rPr>
          <w:lang w:val="en-GB"/>
        </w:rPr>
        <w:t xml:space="preserve"> transferability. It </w:t>
      </w:r>
      <w:r w:rsidR="00B600E2">
        <w:rPr>
          <w:lang w:val="en-GB"/>
        </w:rPr>
        <w:t>could not</w:t>
      </w:r>
      <w:r w:rsidRPr="003726FE">
        <w:rPr>
          <w:lang w:val="en-GB"/>
        </w:rPr>
        <w:t xml:space="preserve"> be accurately determined as to whether these findings </w:t>
      </w:r>
      <w:r w:rsidR="00B600E2">
        <w:rPr>
          <w:lang w:val="en-GB"/>
        </w:rPr>
        <w:t>could</w:t>
      </w:r>
      <w:r w:rsidRPr="003726FE">
        <w:rPr>
          <w:lang w:val="en-GB"/>
        </w:rPr>
        <w:t xml:space="preserve"> be directly applied to </w:t>
      </w:r>
      <w:r w:rsidR="00C201EE" w:rsidRPr="003726FE">
        <w:rPr>
          <w:lang w:val="en-GB"/>
        </w:rPr>
        <w:t>medical education</w:t>
      </w:r>
      <w:r w:rsidRPr="003726FE">
        <w:rPr>
          <w:lang w:val="en-GB"/>
        </w:rPr>
        <w:t xml:space="preserve"> contexts, largely due to the lack of reported detail and </w:t>
      </w:r>
      <w:r w:rsidR="00C201EE" w:rsidRPr="003726FE">
        <w:rPr>
          <w:lang w:val="en-GB"/>
        </w:rPr>
        <w:t>lack</w:t>
      </w:r>
      <w:r w:rsidRPr="003726FE">
        <w:rPr>
          <w:lang w:val="en-GB"/>
        </w:rPr>
        <w:t xml:space="preserve"> of SRL </w:t>
      </w:r>
      <w:r w:rsidR="00C201EE" w:rsidRPr="003726FE">
        <w:rPr>
          <w:lang w:val="en-GB"/>
        </w:rPr>
        <w:t xml:space="preserve">informed </w:t>
      </w:r>
      <w:r w:rsidRPr="003726FE">
        <w:rPr>
          <w:lang w:val="en-GB"/>
        </w:rPr>
        <w:t>feedback. However, this body of research does provide a rich source of methodological information regarding underpinning theory and measurement tools</w:t>
      </w:r>
      <w:r w:rsidR="001B45ED" w:rsidRPr="003726FE">
        <w:rPr>
          <w:lang w:val="en-GB"/>
        </w:rPr>
        <w:t xml:space="preserve">, particularly in the use of Zimmerman’s </w:t>
      </w:r>
      <w:r w:rsidR="00B52FBE">
        <w:rPr>
          <w:lang w:val="en-GB"/>
        </w:rPr>
        <w:t>model</w:t>
      </w:r>
      <w:r w:rsidR="001B45ED" w:rsidRPr="003726FE">
        <w:rPr>
          <w:lang w:val="en-GB"/>
        </w:rPr>
        <w:t xml:space="preserve"> and </w:t>
      </w:r>
      <w:r w:rsidR="00B600E2">
        <w:rPr>
          <w:lang w:val="en-GB"/>
        </w:rPr>
        <w:t xml:space="preserve">the use </w:t>
      </w:r>
      <w:r w:rsidR="007040AC" w:rsidRPr="003726FE">
        <w:rPr>
          <w:lang w:val="en-GB"/>
        </w:rPr>
        <w:t>MA</w:t>
      </w:r>
      <w:r w:rsidR="00B600E2">
        <w:rPr>
          <w:lang w:val="en-GB"/>
        </w:rPr>
        <w:t xml:space="preserve"> for assessing SRL in real time</w:t>
      </w:r>
      <w:r w:rsidRPr="003726FE">
        <w:rPr>
          <w:lang w:val="en-GB"/>
        </w:rPr>
        <w:t xml:space="preserve">. </w:t>
      </w:r>
    </w:p>
    <w:p w14:paraId="034A8E0A" w14:textId="77777777" w:rsidR="00477E60" w:rsidRPr="003726FE" w:rsidRDefault="00477E60" w:rsidP="00026049">
      <w:pPr>
        <w:pStyle w:val="Normal1"/>
        <w:rPr>
          <w:lang w:val="en-GB"/>
        </w:rPr>
      </w:pPr>
    </w:p>
    <w:p w14:paraId="5E37C8CF" w14:textId="69E4346B" w:rsidR="00477E60" w:rsidRPr="003726FE" w:rsidRDefault="00477E60" w:rsidP="00026049">
      <w:pPr>
        <w:pStyle w:val="Normal1"/>
        <w:rPr>
          <w:lang w:val="en-GB"/>
        </w:rPr>
      </w:pPr>
      <w:r w:rsidRPr="003726FE">
        <w:rPr>
          <w:lang w:val="en-GB"/>
        </w:rPr>
        <w:t>Another aim of this review was to understand what work</w:t>
      </w:r>
      <w:r w:rsidR="00C201EE" w:rsidRPr="003726FE">
        <w:rPr>
          <w:lang w:val="en-GB"/>
        </w:rPr>
        <w:t>ed and why</w:t>
      </w:r>
      <w:r w:rsidRPr="003726FE">
        <w:rPr>
          <w:lang w:val="en-GB"/>
        </w:rPr>
        <w:t xml:space="preserve"> in </w:t>
      </w:r>
      <w:r w:rsidR="00C201EE" w:rsidRPr="003726FE">
        <w:rPr>
          <w:lang w:val="en-GB"/>
        </w:rPr>
        <w:t>the</w:t>
      </w:r>
      <w:r w:rsidRPr="003726FE">
        <w:rPr>
          <w:lang w:val="en-GB"/>
        </w:rPr>
        <w:t xml:space="preserve"> interventions to inform </w:t>
      </w:r>
      <w:r w:rsidR="00C201EE" w:rsidRPr="003726FE">
        <w:rPr>
          <w:lang w:val="en-GB"/>
        </w:rPr>
        <w:t xml:space="preserve">the </w:t>
      </w:r>
      <w:r w:rsidR="004F3387" w:rsidRPr="003726FE">
        <w:rPr>
          <w:lang w:val="en-GB"/>
        </w:rPr>
        <w:t>design of the research presented in this thesis</w:t>
      </w:r>
      <w:r w:rsidRPr="003726FE">
        <w:rPr>
          <w:lang w:val="en-GB"/>
        </w:rPr>
        <w:t xml:space="preserve">. It was difficult to ascertain the key mechanisms </w:t>
      </w:r>
      <w:r w:rsidR="001B45ED" w:rsidRPr="003726FE">
        <w:rPr>
          <w:lang w:val="en-GB"/>
        </w:rPr>
        <w:t xml:space="preserve">of action </w:t>
      </w:r>
      <w:r w:rsidRPr="003726FE">
        <w:rPr>
          <w:lang w:val="en-GB"/>
        </w:rPr>
        <w:t>and features in the study designs due to the lack of detail reported for certain components; including justification for the method, participant characteristics</w:t>
      </w:r>
      <w:r w:rsidR="00B600E2">
        <w:rPr>
          <w:lang w:val="en-GB"/>
        </w:rPr>
        <w:t>,</w:t>
      </w:r>
      <w:r w:rsidRPr="003726FE">
        <w:rPr>
          <w:lang w:val="en-GB"/>
        </w:rPr>
        <w:t xml:space="preserve"> and baseline/control measures. For example, it is unclear how feedback directly influenced SRL processes</w:t>
      </w:r>
      <w:r w:rsidR="00B600E2">
        <w:rPr>
          <w:lang w:val="en-GB"/>
        </w:rPr>
        <w:t>; i</w:t>
      </w:r>
      <w:r w:rsidRPr="003726FE">
        <w:rPr>
          <w:lang w:val="en-GB"/>
        </w:rPr>
        <w:t xml:space="preserve">n most studies, feedback was </w:t>
      </w:r>
      <w:r w:rsidR="004F3387" w:rsidRPr="003726FE">
        <w:rPr>
          <w:lang w:val="en-GB"/>
        </w:rPr>
        <w:t>outcome based</w:t>
      </w:r>
      <w:r w:rsidRPr="003726FE">
        <w:rPr>
          <w:lang w:val="en-GB"/>
        </w:rPr>
        <w:t xml:space="preserve"> with no real-time measures </w:t>
      </w:r>
      <w:r w:rsidR="00B600E2">
        <w:rPr>
          <w:lang w:val="en-GB"/>
        </w:rPr>
        <w:t xml:space="preserve">assessments </w:t>
      </w:r>
      <w:r w:rsidRPr="003726FE">
        <w:rPr>
          <w:lang w:val="en-GB"/>
        </w:rPr>
        <w:t xml:space="preserve">except in </w:t>
      </w:r>
      <w:r w:rsidR="00357EA7" w:rsidRPr="003726FE">
        <w:rPr>
          <w:lang w:val="en-GB"/>
        </w:rPr>
        <w:t>four</w:t>
      </w:r>
      <w:r w:rsidRPr="003726FE">
        <w:rPr>
          <w:lang w:val="en-GB"/>
        </w:rPr>
        <w:t xml:space="preserve"> case</w:t>
      </w:r>
      <w:r w:rsidR="001B45ED" w:rsidRPr="003726FE">
        <w:rPr>
          <w:lang w:val="en-GB"/>
        </w:rPr>
        <w:t>s</w:t>
      </w:r>
      <w:r w:rsidRPr="003726FE">
        <w:rPr>
          <w:lang w:val="en-GB"/>
        </w:rPr>
        <w:t xml:space="preserve"> where a microanalytic protocol was used. It is challenging to apply features of these interventions into other contexts when direct influences of key components, </w:t>
      </w:r>
      <w:r w:rsidR="0021662A">
        <w:rPr>
          <w:lang w:val="en-GB"/>
        </w:rPr>
        <w:t>including</w:t>
      </w:r>
      <w:r w:rsidRPr="003726FE">
        <w:rPr>
          <w:lang w:val="en-GB"/>
        </w:rPr>
        <w:t xml:space="preserve"> feedback, are not explicitly analysed.</w:t>
      </w:r>
    </w:p>
    <w:p w14:paraId="1D1F895E" w14:textId="77777777" w:rsidR="00477E60" w:rsidRPr="003726FE" w:rsidRDefault="00477E60" w:rsidP="00026049">
      <w:pPr>
        <w:pStyle w:val="Normal1"/>
        <w:rPr>
          <w:lang w:val="en-GB"/>
        </w:rPr>
      </w:pPr>
    </w:p>
    <w:p w14:paraId="1F8178D0" w14:textId="7EE906B2" w:rsidR="00F01A73" w:rsidRPr="003726FE" w:rsidRDefault="00477E60" w:rsidP="00026049">
      <w:pPr>
        <w:pStyle w:val="Normal1"/>
        <w:rPr>
          <w:rFonts w:cs="VnssbvAdvTT3713a231"/>
          <w:lang w:val="en-GB"/>
        </w:rPr>
      </w:pPr>
      <w:r w:rsidRPr="003726FE">
        <w:rPr>
          <w:lang w:val="en-GB"/>
        </w:rPr>
        <w:t xml:space="preserve">Methods typically employed in this sample </w:t>
      </w:r>
      <w:r w:rsidR="00C5385D">
        <w:rPr>
          <w:lang w:val="en-GB"/>
        </w:rPr>
        <w:t>were</w:t>
      </w:r>
      <w:r w:rsidRPr="003726FE">
        <w:rPr>
          <w:lang w:val="en-GB"/>
        </w:rPr>
        <w:t xml:space="preserve"> self-report questionnaires </w:t>
      </w:r>
      <w:r w:rsidR="00C5385D">
        <w:rPr>
          <w:lang w:val="en-GB"/>
        </w:rPr>
        <w:t>measuring</w:t>
      </w:r>
      <w:r w:rsidRPr="003726FE">
        <w:rPr>
          <w:lang w:val="en-GB"/>
        </w:rPr>
        <w:t xml:space="preserve"> SRL c</w:t>
      </w:r>
      <w:r w:rsidR="004F3387" w:rsidRPr="003726FE">
        <w:rPr>
          <w:lang w:val="en-GB"/>
        </w:rPr>
        <w:t>haracteristics -</w:t>
      </w:r>
      <w:r w:rsidRPr="003726FE">
        <w:rPr>
          <w:lang w:val="en-GB"/>
        </w:rPr>
        <w:t xml:space="preserve"> this is a widely used method in SRL research </w:t>
      </w:r>
      <w:r w:rsidR="004F3387" w:rsidRPr="003726FE">
        <w:rPr>
          <w:lang w:val="en-GB"/>
        </w:rPr>
        <w:fldChar w:fldCharType="begin"/>
      </w:r>
      <w:r w:rsidR="008B61BE">
        <w:rPr>
          <w:lang w:val="en-GB"/>
        </w:rPr>
        <w:instrText xml:space="preserve"> ADDIN EN.CITE &lt;EndNote&gt;&lt;Cite&gt;&lt;Author&gt;Pintrich&lt;/Author&gt;&lt;Year&gt;2004&lt;/Year&gt;&lt;RecNum&gt;200&lt;/RecNum&gt;&lt;DisplayText&gt;(Pintrich 2004; McCardle and Hadwin 2015)&lt;/DisplayText&gt;&lt;record&gt;&lt;rec-number&gt;200&lt;/rec-number&gt;&lt;foreign-keys&gt;&lt;key app="EN" db-id="xa2r2ewea92trkef5dt5arvbzafvpv2za5ft" timestamp="1442161765"&gt;200&lt;/key&gt;&lt;/foreign-keys&gt;&lt;ref-type name="Journal Article"&gt;17&lt;/ref-type&gt;&lt;contributors&gt;&lt;authors&gt;&lt;author&gt;Pintrich, Paul R.&lt;/author&gt;&lt;/authors&gt;&lt;/contributors&gt;&lt;titles&gt;&lt;title&gt;A conceptual framework for assessing motivation and self-regulated learning in college students&lt;/title&gt;&lt;secondary-title&gt;Educational psychology review&lt;/secondary-title&gt;&lt;/titles&gt;&lt;periodical&gt;&lt;full-title&gt;Educational Psychology Review&lt;/full-title&gt;&lt;/periodical&gt;&lt;pages&gt;385-407&lt;/pages&gt;&lt;volume&gt;16&lt;/volume&gt;&lt;number&gt;4&lt;/number&gt;&lt;dates&gt;&lt;year&gt;2004&lt;/year&gt;&lt;/dates&gt;&lt;publisher&gt;Springer&lt;/publisher&gt;&lt;urls&gt;&lt;/urls&gt;&lt;/record&gt;&lt;/Cite&gt;&lt;Cite&gt;&lt;Author&gt;McCardle&lt;/Author&gt;&lt;Year&gt;2015&lt;/Year&gt;&lt;RecNum&gt;437&lt;/RecNum&gt;&lt;record&gt;&lt;rec-number&gt;437&lt;/rec-number&gt;&lt;foreign-keys&gt;&lt;key app="EN" db-id="xa2r2ewea92trkef5dt5arvbzafvpv2za5ft" timestamp="1496417545"&gt;437&lt;/key&gt;&lt;/foreign-keys&gt;&lt;ref-type name="Journal Article"&gt;17&lt;/ref-type&gt;&lt;contributors&gt;&lt;authors&gt;&lt;author&gt;McCardle, Lindsay&lt;/author&gt;&lt;author&gt;Hadwin, Allyson F.&lt;/author&gt;&lt;/authors&gt;&lt;/contributors&gt;&lt;titles&gt;&lt;title&gt;Using multiple, contextualized data sources to measure learners’ perceptions of their self-regulated learning&lt;/title&gt;&lt;secondary-title&gt;Metacognition and Learning&lt;/secondary-title&gt;&lt;/titles&gt;&lt;periodical&gt;&lt;full-title&gt;Metacognition and Learning&lt;/full-title&gt;&lt;/periodical&gt;&lt;pages&gt;1-33&lt;/pages&gt;&lt;dates&gt;&lt;year&gt;2015&lt;/year&gt;&lt;/dates&gt;&lt;publisher&gt;Springer&lt;/publisher&gt;&lt;urls&gt;&lt;/urls&gt;&lt;/record&gt;&lt;/Cite&gt;&lt;/EndNote&gt;</w:instrText>
      </w:r>
      <w:r w:rsidR="004F3387" w:rsidRPr="003726FE">
        <w:rPr>
          <w:lang w:val="en-GB"/>
        </w:rPr>
        <w:fldChar w:fldCharType="separate"/>
      </w:r>
      <w:r w:rsidR="004E5A78" w:rsidRPr="003726FE">
        <w:rPr>
          <w:noProof/>
          <w:lang w:val="en-GB"/>
        </w:rPr>
        <w:t>(</w:t>
      </w:r>
      <w:hyperlink w:anchor="_ENREF_326" w:tooltip="Pintrich, 2004 #200" w:history="1">
        <w:r w:rsidR="0094469E" w:rsidRPr="003726FE">
          <w:rPr>
            <w:noProof/>
            <w:lang w:val="en-GB"/>
          </w:rPr>
          <w:t>Pintrich 2004</w:t>
        </w:r>
      </w:hyperlink>
      <w:r w:rsidR="004E5A78" w:rsidRPr="003726FE">
        <w:rPr>
          <w:noProof/>
          <w:lang w:val="en-GB"/>
        </w:rPr>
        <w:t xml:space="preserve">; </w:t>
      </w:r>
      <w:hyperlink w:anchor="_ENREF_263" w:tooltip="McCardle, 2015 #160" w:history="1">
        <w:r w:rsidR="0094469E" w:rsidRPr="003726FE">
          <w:rPr>
            <w:noProof/>
            <w:lang w:val="en-GB"/>
          </w:rPr>
          <w:t>McCardle and Hadwin 2015</w:t>
        </w:r>
      </w:hyperlink>
      <w:r w:rsidR="004E5A78" w:rsidRPr="003726FE">
        <w:rPr>
          <w:noProof/>
          <w:lang w:val="en-GB"/>
        </w:rPr>
        <w:t>)</w:t>
      </w:r>
      <w:r w:rsidR="004F3387" w:rsidRPr="003726FE">
        <w:rPr>
          <w:lang w:val="en-GB"/>
        </w:rPr>
        <w:fldChar w:fldCharType="end"/>
      </w:r>
      <w:r w:rsidRPr="003726FE">
        <w:rPr>
          <w:rFonts w:cs="VnssbvAdvTT3713a231"/>
          <w:lang w:val="en-GB"/>
        </w:rPr>
        <w:t>. This observation reflects other reviews in the area which also found self-report to be the most frequently used measure in study design</w:t>
      </w:r>
      <w:r w:rsidR="004F3387" w:rsidRPr="003726FE">
        <w:rPr>
          <w:rFonts w:cs="VnssbvAdvTT3713a231"/>
          <w:lang w:val="en-GB"/>
        </w:rPr>
        <w:t>s</w:t>
      </w:r>
      <w:r w:rsidRPr="003726FE">
        <w:rPr>
          <w:rFonts w:cs="VnssbvAdvTT3713a231"/>
          <w:lang w:val="en-GB"/>
        </w:rPr>
        <w:t xml:space="preserve"> </w:t>
      </w:r>
      <w:r w:rsidR="00EF281A" w:rsidRPr="003726FE">
        <w:rPr>
          <w:rFonts w:cs="VnssbvAdvTT3713a231"/>
          <w:lang w:val="en-GB"/>
        </w:rPr>
        <w:fldChar w:fldCharType="begin"/>
      </w:r>
      <w:r w:rsidR="008B61BE">
        <w:rPr>
          <w:rFonts w:cs="VnssbvAdvTT3713a231"/>
          <w:lang w:val="en-GB"/>
        </w:rPr>
        <w:instrText xml:space="preserve"> ADDIN EN.CITE &lt;EndNote&gt;&lt;Cite&gt;&lt;Author&gt;Dinsmore&lt;/Author&gt;&lt;Year&gt;2008&lt;/Year&gt;&lt;RecNum&gt;68&lt;/RecNum&gt;&lt;DisplayText&gt;(Dinsmore et al. 2008)&lt;/DisplayText&gt;&lt;record&gt;&lt;rec-number&gt;68&lt;/rec-number&gt;&lt;foreign-keys&gt;&lt;key app="EN" db-id="xa2r2ewea92trkef5dt5arvbzafvpv2za5ft" timestamp="1442161763"&gt;68&lt;/key&gt;&lt;/foreign-keys&gt;&lt;ref-type name="Journal Article"&gt;17&lt;/ref-type&gt;&lt;contributors&gt;&lt;authors&gt;&lt;author&gt;Dinsmore, Daniel L.&lt;/author&gt;&lt;author&gt;Alexander, Patricia A.&lt;/author&gt;&lt;author&gt;Loughlin, Sandra M.&lt;/author&gt;&lt;/authors&gt;&lt;/contributors&gt;&lt;titles&gt;&lt;title&gt;Focusing the conceptual lens on metacognition, self-regulation, and self-regulated learning&lt;/title&gt;&lt;secondary-title&gt;Educational Psychology Review&lt;/secondary-title&gt;&lt;/titles&gt;&lt;periodical&gt;&lt;full-title&gt;Educational Psychology Review&lt;/full-title&gt;&lt;/periodical&gt;&lt;pages&gt;391-409&lt;/pages&gt;&lt;volume&gt;20&lt;/volume&gt;&lt;number&gt;4&lt;/number&gt;&lt;dates&gt;&lt;year&gt;2008&lt;/year&gt;&lt;/dates&gt;&lt;publisher&gt;Springer&lt;/publisher&gt;&lt;urls&gt;&lt;/urls&gt;&lt;/record&gt;&lt;/Cite&gt;&lt;/EndNote&gt;</w:instrText>
      </w:r>
      <w:r w:rsidR="00EF281A" w:rsidRPr="003726FE">
        <w:rPr>
          <w:rFonts w:cs="VnssbvAdvTT3713a231"/>
          <w:lang w:val="en-GB"/>
        </w:rPr>
        <w:fldChar w:fldCharType="separate"/>
      </w:r>
      <w:r w:rsidR="004E5A78" w:rsidRPr="003726FE">
        <w:rPr>
          <w:rFonts w:cs="VnssbvAdvTT3713a231"/>
          <w:noProof/>
          <w:lang w:val="en-GB"/>
        </w:rPr>
        <w:t>(</w:t>
      </w:r>
      <w:hyperlink w:anchor="_ENREF_126" w:tooltip="Dinsmore, 2008 #68" w:history="1">
        <w:r w:rsidR="0094469E" w:rsidRPr="003726FE">
          <w:rPr>
            <w:rFonts w:cs="VnssbvAdvTT3713a231"/>
            <w:noProof/>
            <w:lang w:val="en-GB"/>
          </w:rPr>
          <w:t>Dinsmore et al. 2008</w:t>
        </w:r>
      </w:hyperlink>
      <w:r w:rsidR="004E5A78" w:rsidRPr="003726FE">
        <w:rPr>
          <w:rFonts w:cs="VnssbvAdvTT3713a231"/>
          <w:noProof/>
          <w:lang w:val="en-GB"/>
        </w:rPr>
        <w:t>)</w:t>
      </w:r>
      <w:r w:rsidR="00EF281A" w:rsidRPr="003726FE">
        <w:rPr>
          <w:rFonts w:cs="VnssbvAdvTT3713a231"/>
          <w:lang w:val="en-GB"/>
        </w:rPr>
        <w:fldChar w:fldCharType="end"/>
      </w:r>
      <w:r w:rsidR="004F3387" w:rsidRPr="003726FE">
        <w:rPr>
          <w:rFonts w:cs="VnssbvAdvTT3713a231"/>
          <w:lang w:val="en-GB"/>
        </w:rPr>
        <w:t>.</w:t>
      </w:r>
      <w:r w:rsidRPr="003726FE">
        <w:rPr>
          <w:rFonts w:cs="VnssbvAdvTT3713a231"/>
          <w:lang w:val="en-GB"/>
        </w:rPr>
        <w:t xml:space="preserve"> Many of these questionnaires were modified to suit the needs of the </w:t>
      </w:r>
      <w:r w:rsidR="004F3387" w:rsidRPr="003726FE">
        <w:rPr>
          <w:rFonts w:cs="VnssbvAdvTT3713a231"/>
          <w:lang w:val="en-GB"/>
        </w:rPr>
        <w:t xml:space="preserve">respective </w:t>
      </w:r>
      <w:r w:rsidRPr="003726FE">
        <w:rPr>
          <w:rFonts w:cs="VnssbvAdvTT3713a231"/>
          <w:lang w:val="en-GB"/>
        </w:rPr>
        <w:t xml:space="preserve">studies which may have compromised internal validity. One study used the MSLQ which is </w:t>
      </w:r>
      <w:r w:rsidR="00F01A73" w:rsidRPr="003726FE">
        <w:rPr>
          <w:rFonts w:cs="VnssbvAdvTT3713a231"/>
          <w:lang w:val="en-GB"/>
        </w:rPr>
        <w:t>a popular</w:t>
      </w:r>
      <w:r w:rsidRPr="003726FE">
        <w:rPr>
          <w:rFonts w:cs="VnssbvAdvTT3713a231"/>
          <w:lang w:val="en-GB"/>
        </w:rPr>
        <w:t xml:space="preserve"> </w:t>
      </w:r>
      <w:r w:rsidR="00F01A73" w:rsidRPr="003726FE">
        <w:rPr>
          <w:rFonts w:cs="VnssbvAdvTT3713a231"/>
          <w:lang w:val="en-GB"/>
        </w:rPr>
        <w:t>tool for</w:t>
      </w:r>
      <w:r w:rsidRPr="003726FE">
        <w:rPr>
          <w:rFonts w:cs="VnssbvAdvTT3713a231"/>
          <w:lang w:val="en-GB"/>
        </w:rPr>
        <w:t xml:space="preserve"> assessing SRL characteristics developed </w:t>
      </w:r>
      <w:r w:rsidR="004F3387" w:rsidRPr="003726FE">
        <w:rPr>
          <w:rFonts w:cs="VnssbvAdvTT3713a231"/>
          <w:lang w:val="en-GB"/>
        </w:rPr>
        <w:t>by</w:t>
      </w:r>
      <w:r w:rsidRPr="003726FE">
        <w:rPr>
          <w:rFonts w:cs="VnssbvAdvTT3713a231"/>
          <w:lang w:val="en-GB"/>
        </w:rPr>
        <w:t xml:space="preserve"> </w:t>
      </w:r>
      <w:hyperlink w:anchor="_ENREF_324" w:tooltip="Pintrich, 1991 #201" w:history="1">
        <w:r w:rsidR="0094469E" w:rsidRPr="003726FE">
          <w:rPr>
            <w:rFonts w:cs="VnssbvAdvTT3713a231"/>
            <w:lang w:val="en-GB"/>
          </w:rPr>
          <w:fldChar w:fldCharType="begin"/>
        </w:r>
        <w:r w:rsidR="0094469E">
          <w:rPr>
            <w:rFonts w:cs="VnssbvAdvTT3713a231"/>
            <w:lang w:val="en-GB"/>
          </w:rPr>
          <w:instrText xml:space="preserve"> ADDIN EN.CITE &lt;EndNote&gt;&lt;Cite AuthorYear="1"&gt;&lt;Author&gt;Pintrich&lt;/Author&gt;&lt;Year&gt;1991&lt;/Year&gt;&lt;RecNum&gt;201&lt;/RecNum&gt;&lt;DisplayText&gt;Pintrich (1991)&lt;/DisplayText&gt;&lt;record&gt;&lt;rec-number&gt;201&lt;/rec-number&gt;&lt;foreign-keys&gt;&lt;key app="EN" db-id="xa2r2ewea92trkef5dt5arvbzafvpv2za5ft" timestamp="1442161765"&gt;201&lt;/key&gt;&lt;/foreign-keys&gt;&lt;ref-type name="Journal Article"&gt;17&lt;/ref-type&gt;&lt;contributors&gt;&lt;authors&gt;&lt;author&gt;Pintrich, Paul R.&lt;/author&gt;&lt;/authors&gt;&lt;/contributors&gt;&lt;titles&gt;&lt;title&gt;A manual for the use of the Motivated Strategies for Learning Questionnaire (MSLQ)&lt;/title&gt;&lt;/titles&gt;&lt;dates&gt;&lt;year&gt;1991&lt;/year&gt;&lt;/dates&gt;&lt;publisher&gt;ERIC&lt;/publisher&gt;&lt;urls&gt;&lt;/urls&gt;&lt;/record&gt;&lt;/Cite&gt;&lt;/EndNote&gt;</w:instrText>
        </w:r>
        <w:r w:rsidR="0094469E" w:rsidRPr="003726FE">
          <w:rPr>
            <w:rFonts w:cs="VnssbvAdvTT3713a231"/>
            <w:lang w:val="en-GB"/>
          </w:rPr>
          <w:fldChar w:fldCharType="separate"/>
        </w:r>
        <w:r w:rsidR="0094469E" w:rsidRPr="003726FE">
          <w:rPr>
            <w:rFonts w:cs="VnssbvAdvTT3713a231"/>
            <w:noProof/>
            <w:lang w:val="en-GB"/>
          </w:rPr>
          <w:t>Pintrich (1991)</w:t>
        </w:r>
        <w:r w:rsidR="0094469E" w:rsidRPr="003726FE">
          <w:rPr>
            <w:rFonts w:cs="VnssbvAdvTT3713a231"/>
            <w:lang w:val="en-GB"/>
          </w:rPr>
          <w:fldChar w:fldCharType="end"/>
        </w:r>
      </w:hyperlink>
      <w:r w:rsidRPr="003726FE">
        <w:rPr>
          <w:rFonts w:cs="VnssbvAdvTT3713a231"/>
          <w:lang w:val="en-GB"/>
        </w:rPr>
        <w:t xml:space="preserve"> and is used </w:t>
      </w:r>
      <w:r w:rsidR="00F01A73" w:rsidRPr="003726FE">
        <w:rPr>
          <w:rFonts w:cs="VnssbvAdvTT3713a231"/>
          <w:lang w:val="en-GB"/>
        </w:rPr>
        <w:t>by</w:t>
      </w:r>
      <w:r w:rsidRPr="003726FE">
        <w:rPr>
          <w:rFonts w:cs="VnssbvAdvTT3713a231"/>
          <w:lang w:val="en-GB"/>
        </w:rPr>
        <w:t xml:space="preserve"> </w:t>
      </w:r>
      <w:r w:rsidR="004F3387" w:rsidRPr="003726FE">
        <w:rPr>
          <w:rFonts w:cs="VnssbvAdvTT3713a231"/>
          <w:lang w:val="en-GB"/>
        </w:rPr>
        <w:t>contemporary</w:t>
      </w:r>
      <w:r w:rsidRPr="003726FE">
        <w:rPr>
          <w:rFonts w:cs="VnssbvAdvTT3713a231"/>
          <w:lang w:val="en-GB"/>
        </w:rPr>
        <w:t xml:space="preserve"> research</w:t>
      </w:r>
      <w:r w:rsidR="004F3387" w:rsidRPr="003726FE">
        <w:rPr>
          <w:rFonts w:cs="VnssbvAdvTT3713a231"/>
          <w:lang w:val="en-GB"/>
        </w:rPr>
        <w:t>ers</w:t>
      </w:r>
      <w:r w:rsidRPr="003726FE">
        <w:rPr>
          <w:rFonts w:cs="VnssbvAdvTT3713a231"/>
          <w:lang w:val="en-GB"/>
        </w:rPr>
        <w:t xml:space="preserve"> in the field</w:t>
      </w:r>
      <w:r w:rsidR="004F3387" w:rsidRPr="003726FE">
        <w:rPr>
          <w:rFonts w:cs="VnssbvAdvTT3713a231"/>
          <w:lang w:val="en-GB"/>
        </w:rPr>
        <w:t>s</w:t>
      </w:r>
      <w:r w:rsidRPr="003726FE">
        <w:rPr>
          <w:rFonts w:cs="VnssbvAdvTT3713a231"/>
          <w:lang w:val="en-GB"/>
        </w:rPr>
        <w:t xml:space="preserve"> of educational psychology</w:t>
      </w:r>
      <w:r w:rsidR="004F3387" w:rsidRPr="003726FE">
        <w:rPr>
          <w:rFonts w:cs="VnssbvAdvTT3713a231"/>
          <w:lang w:val="en-GB"/>
        </w:rPr>
        <w:t xml:space="preserve"> and medical education</w:t>
      </w:r>
      <w:r w:rsidRPr="003726FE">
        <w:rPr>
          <w:rFonts w:cs="VnssbvAdvTT3713a231"/>
          <w:lang w:val="en-GB"/>
        </w:rPr>
        <w:t xml:space="preserve"> </w:t>
      </w:r>
      <w:r w:rsidR="004F3387" w:rsidRPr="003726FE">
        <w:rPr>
          <w:rFonts w:cs="VnssbvAdvTT3713a231"/>
          <w:lang w:val="en-GB"/>
        </w:rPr>
        <w:fldChar w:fldCharType="begin"/>
      </w:r>
      <w:r w:rsidR="008B61BE">
        <w:rPr>
          <w:rFonts w:cs="VnssbvAdvTT3713a231"/>
          <w:lang w:val="en-GB"/>
        </w:rPr>
        <w:instrText xml:space="preserve"> ADDIN EN.CITE &lt;EndNote&gt;&lt;Cite&gt;&lt;Author&gt;Turan&lt;/Author&gt;&lt;Year&gt;2013&lt;/Year&gt;&lt;RecNum&gt;596&lt;/RecNum&gt;&lt;DisplayText&gt;(Turan et al. 2013; Ben-Eliyahu and Linnenbrink-Garcia 2015)&lt;/DisplayText&gt;&lt;record&gt;&lt;rec-number&gt;596&lt;/rec-number&gt;&lt;foreign-keys&gt;&lt;key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Cite&gt;&lt;Author&gt;Ben-Eliyahu&lt;/Author&gt;&lt;Year&gt;2015&lt;/Year&gt;&lt;RecNum&gt;286&lt;/RecNum&gt;&lt;record&gt;&lt;rec-number&gt;286&lt;/rec-number&gt;&lt;foreign-keys&gt;&lt;key app="EN" db-id="xa2r2ewea92trkef5dt5arvbzafvpv2za5ft" timestamp="1496417530"&gt;286&lt;/key&gt;&lt;/foreign-keys&gt;&lt;ref-type name="Journal Article"&gt;17&lt;/ref-type&gt;&lt;contributors&gt;&lt;authors&gt;&lt;author&gt;Ben-Eliyahu, Adar&lt;/author&gt;&lt;author&gt;Linnenbrink-Garcia, Lisa&lt;/author&gt;&lt;/authors&gt;&lt;/contributors&gt;&lt;titles&gt;&lt;title&gt;Integrating the regulation of affect, behavior, and cognition into self-regulated learning paradigms among secondary and post-secondary students&lt;/title&gt;&lt;secondary-title&gt;Metacognition and Learning&lt;/secondary-title&gt;&lt;/titles&gt;&lt;periodical&gt;&lt;full-title&gt;Metacognition and Learning&lt;/full-title&gt;&lt;/periodical&gt;&lt;pages&gt;15-42&lt;/pages&gt;&lt;volume&gt;10&lt;/volume&gt;&lt;number&gt;1&lt;/number&gt;&lt;dates&gt;&lt;year&gt;2015&lt;/year&gt;&lt;/dates&gt;&lt;publisher&gt;Springer&lt;/publisher&gt;&lt;urls&gt;&lt;/urls&gt;&lt;/record&gt;&lt;/Cite&gt;&lt;/EndNote&gt;</w:instrText>
      </w:r>
      <w:r w:rsidR="004F3387" w:rsidRPr="003726FE">
        <w:rPr>
          <w:rFonts w:cs="VnssbvAdvTT3713a231"/>
          <w:lang w:val="en-GB"/>
        </w:rPr>
        <w:fldChar w:fldCharType="separate"/>
      </w:r>
      <w:r w:rsidR="004E5A78" w:rsidRPr="003726FE">
        <w:rPr>
          <w:rFonts w:cs="VnssbvAdvTT3713a231"/>
          <w:noProof/>
          <w:lang w:val="en-GB"/>
        </w:rPr>
        <w:t>(</w:t>
      </w:r>
      <w:hyperlink w:anchor="_ENREF_410" w:tooltip="Turan, 2013 #596" w:history="1">
        <w:r w:rsidR="0094469E" w:rsidRPr="003726FE">
          <w:rPr>
            <w:rFonts w:cs="VnssbvAdvTT3713a231"/>
            <w:noProof/>
            <w:lang w:val="en-GB"/>
          </w:rPr>
          <w:t>Turan et al. 2013</w:t>
        </w:r>
      </w:hyperlink>
      <w:r w:rsidR="004E5A78" w:rsidRPr="003726FE">
        <w:rPr>
          <w:rFonts w:cs="VnssbvAdvTT3713a231"/>
          <w:noProof/>
          <w:lang w:val="en-GB"/>
        </w:rPr>
        <w:t xml:space="preserve">; </w:t>
      </w:r>
      <w:hyperlink w:anchor="_ENREF_26" w:tooltip="Ben-Eliyahu, 2015 #286" w:history="1">
        <w:r w:rsidR="0094469E" w:rsidRPr="003726FE">
          <w:rPr>
            <w:rFonts w:cs="VnssbvAdvTT3713a231"/>
            <w:noProof/>
            <w:lang w:val="en-GB"/>
          </w:rPr>
          <w:t>Ben-Eliyahu and Linnenbrink-Garcia 2015</w:t>
        </w:r>
      </w:hyperlink>
      <w:r w:rsidR="004E5A78" w:rsidRPr="003726FE">
        <w:rPr>
          <w:rFonts w:cs="VnssbvAdvTT3713a231"/>
          <w:noProof/>
          <w:lang w:val="en-GB"/>
        </w:rPr>
        <w:t>)</w:t>
      </w:r>
      <w:r w:rsidR="004F3387" w:rsidRPr="003726FE">
        <w:rPr>
          <w:rFonts w:cs="VnssbvAdvTT3713a231"/>
          <w:lang w:val="en-GB"/>
        </w:rPr>
        <w:fldChar w:fldCharType="end"/>
      </w:r>
      <w:r w:rsidRPr="003726FE">
        <w:rPr>
          <w:rFonts w:cs="VnssbvAdvTT3713a231"/>
          <w:lang w:val="en-GB"/>
        </w:rPr>
        <w:t xml:space="preserve">. These types of measurements have been criticised in reviews of SRL literature </w:t>
      </w:r>
      <w:r w:rsidR="00EF281A" w:rsidRPr="003726FE">
        <w:rPr>
          <w:rFonts w:cs="VnssbvAdvTT3713a231"/>
          <w:lang w:val="en-GB"/>
        </w:rPr>
        <w:fldChar w:fldCharType="begin"/>
      </w:r>
      <w:r w:rsidR="008B61BE">
        <w:rPr>
          <w:rFonts w:cs="VnssbvAdvTT3713a231"/>
          <w:lang w:val="en-GB"/>
        </w:rPr>
        <w:instrText xml:space="preserve"> ADDIN EN.CITE &lt;EndNote&gt;&lt;Cite&gt;&lt;Author&gt;Dinsmore&lt;/Author&gt;&lt;Year&gt;2008&lt;/Year&gt;&lt;RecNum&gt;68&lt;/RecNum&gt;&lt;DisplayText&gt;(Dinsmore et al. 2008)&lt;/DisplayText&gt;&lt;record&gt;&lt;rec-number&gt;68&lt;/rec-number&gt;&lt;foreign-keys&gt;&lt;key app="EN" db-id="xa2r2ewea92trkef5dt5arvbzafvpv2za5ft" timestamp="1442161763"&gt;68&lt;/key&gt;&lt;/foreign-keys&gt;&lt;ref-type name="Journal Article"&gt;17&lt;/ref-type&gt;&lt;contributors&gt;&lt;authors&gt;&lt;author&gt;Dinsmore, Daniel L.&lt;/author&gt;&lt;author&gt;Alexander, Patricia A.&lt;/author&gt;&lt;author&gt;Loughlin, Sandra M.&lt;/author&gt;&lt;/authors&gt;&lt;/contributors&gt;&lt;titles&gt;&lt;title&gt;Focusing the conceptual lens on metacognition, self-regulation, and self-regulated learning&lt;/title&gt;&lt;secondary-title&gt;Educational Psychology Review&lt;/secondary-title&gt;&lt;/titles&gt;&lt;periodical&gt;&lt;full-title&gt;Educational Psychology Review&lt;/full-title&gt;&lt;/periodical&gt;&lt;pages&gt;391-409&lt;/pages&gt;&lt;volume&gt;20&lt;/volume&gt;&lt;number&gt;4&lt;/number&gt;&lt;dates&gt;&lt;year&gt;2008&lt;/year&gt;&lt;/dates&gt;&lt;publisher&gt;Springer&lt;/publisher&gt;&lt;urls&gt;&lt;/urls&gt;&lt;/record&gt;&lt;/Cite&gt;&lt;/EndNote&gt;</w:instrText>
      </w:r>
      <w:r w:rsidR="00EF281A" w:rsidRPr="003726FE">
        <w:rPr>
          <w:rFonts w:cs="VnssbvAdvTT3713a231"/>
          <w:lang w:val="en-GB"/>
        </w:rPr>
        <w:fldChar w:fldCharType="separate"/>
      </w:r>
      <w:r w:rsidR="004E5A78" w:rsidRPr="003726FE">
        <w:rPr>
          <w:rFonts w:cs="VnssbvAdvTT3713a231"/>
          <w:noProof/>
          <w:lang w:val="en-GB"/>
        </w:rPr>
        <w:t>(</w:t>
      </w:r>
      <w:hyperlink w:anchor="_ENREF_126" w:tooltip="Dinsmore, 2008 #68" w:history="1">
        <w:r w:rsidR="0094469E" w:rsidRPr="003726FE">
          <w:rPr>
            <w:rFonts w:cs="VnssbvAdvTT3713a231"/>
            <w:noProof/>
            <w:lang w:val="en-GB"/>
          </w:rPr>
          <w:t>Dinsmore et al. 2008</w:t>
        </w:r>
      </w:hyperlink>
      <w:r w:rsidR="004E5A78" w:rsidRPr="003726FE">
        <w:rPr>
          <w:rFonts w:cs="VnssbvAdvTT3713a231"/>
          <w:noProof/>
          <w:lang w:val="en-GB"/>
        </w:rPr>
        <w:t>)</w:t>
      </w:r>
      <w:r w:rsidR="00EF281A" w:rsidRPr="003726FE">
        <w:rPr>
          <w:rFonts w:cs="VnssbvAdvTT3713a231"/>
          <w:lang w:val="en-GB"/>
        </w:rPr>
        <w:fldChar w:fldCharType="end"/>
      </w:r>
      <w:r w:rsidRPr="003726FE">
        <w:rPr>
          <w:rFonts w:cs="VnssbvAdvTT3713a231"/>
          <w:lang w:val="en-GB"/>
        </w:rPr>
        <w:t xml:space="preserve">; validity and sensitivity </w:t>
      </w:r>
      <w:r w:rsidR="000A651F">
        <w:rPr>
          <w:rFonts w:cs="VnssbvAdvTT3713a231"/>
          <w:lang w:val="en-GB"/>
        </w:rPr>
        <w:t>are cited as issues as the tools</w:t>
      </w:r>
      <w:r w:rsidRPr="003726FE">
        <w:rPr>
          <w:rFonts w:cs="VnssbvAdvTT3713a231"/>
          <w:lang w:val="en-GB"/>
        </w:rPr>
        <w:t xml:space="preserve"> typically fail to capture how SRL characteristics vary in real time as they employ a retrospective view. Conversely, other authors believe that self-report methods give an insight into self-perception which is important for understanding SRL processes</w:t>
      </w:r>
      <w:r w:rsidR="00F01A73" w:rsidRPr="003726FE">
        <w:rPr>
          <w:rFonts w:cs="VnssbvAdvTT3713a231"/>
          <w:lang w:val="en-GB"/>
        </w:rPr>
        <w:t xml:space="preserve"> from the individual’s perspective</w:t>
      </w:r>
      <w:r w:rsidRPr="003726FE">
        <w:rPr>
          <w:rFonts w:cs="VnssbvAdvTT3713a231"/>
          <w:lang w:val="en-GB"/>
        </w:rPr>
        <w:t xml:space="preserve"> </w:t>
      </w:r>
      <w:r w:rsidR="00F01A73" w:rsidRPr="003726FE">
        <w:rPr>
          <w:rFonts w:cs="VnssbvAdvTT3713a231"/>
          <w:lang w:val="en-GB"/>
        </w:rPr>
        <w:fldChar w:fldCharType="begin"/>
      </w:r>
      <w:r w:rsidR="008B61BE">
        <w:rPr>
          <w:rFonts w:cs="VnssbvAdvTT3713a231"/>
          <w:lang w:val="en-GB"/>
        </w:rPr>
        <w:instrText xml:space="preserve"> ADDIN EN.CITE &lt;EndNote&gt;&lt;Cite&gt;&lt;Author&gt;Butler&lt;/Author&gt;&lt;Year&gt;2002&lt;/Year&gt;&lt;RecNum&gt;302&lt;/RecNum&gt;&lt;DisplayText&gt;(Butler 2002; McCardle and Hadwin 2015)&lt;/DisplayText&gt;&lt;record&gt;&lt;rec-number&gt;302&lt;/rec-number&gt;&lt;foreign-keys&gt;&lt;key app="EN" db-id="xa2r2ewea92trkef5dt5arvbzafvpv2za5ft" timestamp="1496417532"&gt;302&lt;/key&gt;&lt;/foreign-keys&gt;&lt;ref-type name="Journal Article"&gt;17&lt;/ref-type&gt;&lt;contributors&gt;&lt;authors&gt;&lt;author&gt;Butler, Deborah L.&lt;/author&gt;&lt;/authors&gt;&lt;/contributors&gt;&lt;titles&gt;&lt;title&gt;Individualizing instruction in self-regulated learning&lt;/title&gt;&lt;secondary-title&gt;Theory into practice&lt;/secondary-title&gt;&lt;/titles&gt;&lt;periodical&gt;&lt;full-title&gt;Theory into practice&lt;/full-title&gt;&lt;/periodical&gt;&lt;pages&gt;81-92&lt;/pages&gt;&lt;volume&gt;41&lt;/volume&gt;&lt;number&gt;2&lt;/number&gt;&lt;dates&gt;&lt;year&gt;2002&lt;/year&gt;&lt;/dates&gt;&lt;publisher&gt;Taylor &amp;amp; Francis&lt;/publisher&gt;&lt;urls&gt;&lt;/urls&gt;&lt;/record&gt;&lt;/Cite&gt;&lt;Cite&gt;&lt;Author&gt;McCardle&lt;/Author&gt;&lt;Year&gt;2015&lt;/Year&gt;&lt;RecNum&gt;437&lt;/RecNum&gt;&lt;record&gt;&lt;rec-number&gt;437&lt;/rec-number&gt;&lt;foreign-keys&gt;&lt;key app="EN" db-id="xa2r2ewea92trkef5dt5arvbzafvpv2za5ft" timestamp="1496417545"&gt;437&lt;/key&gt;&lt;/foreign-keys&gt;&lt;ref-type name="Journal Article"&gt;17&lt;/ref-type&gt;&lt;contributors&gt;&lt;authors&gt;&lt;author&gt;McCardle, Lindsay&lt;/author&gt;&lt;author&gt;Hadwin, Allyson F.&lt;/author&gt;&lt;/authors&gt;&lt;/contributors&gt;&lt;titles&gt;&lt;title&gt;Using multiple, contextualized data sources to measure learners’ perceptions of their self-regulated learning&lt;/title&gt;&lt;secondary-title&gt;Metacognition and Learning&lt;/secondary-title&gt;&lt;/titles&gt;&lt;periodical&gt;&lt;full-title&gt;Metacognition and Learning&lt;/full-title&gt;&lt;/periodical&gt;&lt;pages&gt;1-33&lt;/pages&gt;&lt;dates&gt;&lt;year&gt;2015&lt;/year&gt;&lt;/dates&gt;&lt;publisher&gt;Springer&lt;/publisher&gt;&lt;urls&gt;&lt;/urls&gt;&lt;/record&gt;&lt;/Cite&gt;&lt;/EndNote&gt;</w:instrText>
      </w:r>
      <w:r w:rsidR="00F01A73" w:rsidRPr="003726FE">
        <w:rPr>
          <w:rFonts w:cs="VnssbvAdvTT3713a231"/>
          <w:lang w:val="en-GB"/>
        </w:rPr>
        <w:fldChar w:fldCharType="separate"/>
      </w:r>
      <w:r w:rsidR="004E5A78" w:rsidRPr="003726FE">
        <w:rPr>
          <w:rFonts w:cs="VnssbvAdvTT3713a231"/>
          <w:noProof/>
          <w:lang w:val="en-GB"/>
        </w:rPr>
        <w:t>(</w:t>
      </w:r>
      <w:hyperlink w:anchor="_ENREF_63" w:tooltip="Butler, 2002 #302" w:history="1">
        <w:r w:rsidR="0094469E" w:rsidRPr="003726FE">
          <w:rPr>
            <w:rFonts w:cs="VnssbvAdvTT3713a231"/>
            <w:noProof/>
            <w:lang w:val="en-GB"/>
          </w:rPr>
          <w:t>Butler 2002</w:t>
        </w:r>
      </w:hyperlink>
      <w:r w:rsidR="004E5A78" w:rsidRPr="003726FE">
        <w:rPr>
          <w:rFonts w:cs="VnssbvAdvTT3713a231"/>
          <w:noProof/>
          <w:lang w:val="en-GB"/>
        </w:rPr>
        <w:t xml:space="preserve">; </w:t>
      </w:r>
      <w:hyperlink w:anchor="_ENREF_263" w:tooltip="McCardle, 2015 #160" w:history="1">
        <w:r w:rsidR="0094469E" w:rsidRPr="003726FE">
          <w:rPr>
            <w:rFonts w:cs="VnssbvAdvTT3713a231"/>
            <w:noProof/>
            <w:lang w:val="en-GB"/>
          </w:rPr>
          <w:t>McCardle and Hadwin 2015</w:t>
        </w:r>
      </w:hyperlink>
      <w:r w:rsidR="004E5A78" w:rsidRPr="003726FE">
        <w:rPr>
          <w:rFonts w:cs="VnssbvAdvTT3713a231"/>
          <w:noProof/>
          <w:lang w:val="en-GB"/>
        </w:rPr>
        <w:t>)</w:t>
      </w:r>
      <w:r w:rsidR="00F01A73" w:rsidRPr="003726FE">
        <w:rPr>
          <w:rFonts w:cs="VnssbvAdvTT3713a231"/>
          <w:lang w:val="en-GB"/>
        </w:rPr>
        <w:fldChar w:fldCharType="end"/>
      </w:r>
      <w:r w:rsidRPr="003726FE">
        <w:rPr>
          <w:rFonts w:cs="VnssbvAdvTT3713a231"/>
          <w:lang w:val="en-GB"/>
        </w:rPr>
        <w:t xml:space="preserve">. </w:t>
      </w:r>
    </w:p>
    <w:p w14:paraId="576E8B45" w14:textId="77777777" w:rsidR="00F01A73" w:rsidRPr="003726FE" w:rsidRDefault="00F01A73" w:rsidP="00026049">
      <w:pPr>
        <w:pStyle w:val="Normal1"/>
        <w:rPr>
          <w:lang w:val="en-GB"/>
        </w:rPr>
      </w:pPr>
    </w:p>
    <w:p w14:paraId="5DE58F4C" w14:textId="27BFB4FA" w:rsidR="00477E60" w:rsidRPr="003726FE" w:rsidRDefault="00357EA7" w:rsidP="00026049">
      <w:pPr>
        <w:pStyle w:val="Normal1"/>
        <w:rPr>
          <w:lang w:val="en-GB"/>
        </w:rPr>
      </w:pPr>
      <w:r w:rsidRPr="003726FE">
        <w:rPr>
          <w:lang w:val="en-GB"/>
        </w:rPr>
        <w:t xml:space="preserve">The results from this review indicate that </w:t>
      </w:r>
      <w:r w:rsidR="0098736F">
        <w:rPr>
          <w:lang w:val="en-GB"/>
        </w:rPr>
        <w:t xml:space="preserve">SRL </w:t>
      </w:r>
      <w:r w:rsidR="007040AC" w:rsidRPr="003726FE">
        <w:rPr>
          <w:lang w:val="en-GB"/>
        </w:rPr>
        <w:t>MA</w:t>
      </w:r>
      <w:r w:rsidRPr="003726FE">
        <w:rPr>
          <w:lang w:val="en-GB"/>
        </w:rPr>
        <w:t xml:space="preserve"> could be </w:t>
      </w:r>
      <w:r w:rsidR="00BA4521" w:rsidRPr="003726FE">
        <w:rPr>
          <w:lang w:val="en-GB"/>
        </w:rPr>
        <w:t>a</w:t>
      </w:r>
      <w:r w:rsidRPr="003726FE">
        <w:rPr>
          <w:lang w:val="en-GB"/>
        </w:rPr>
        <w:t xml:space="preserve"> </w:t>
      </w:r>
      <w:r w:rsidR="007E5BCC">
        <w:rPr>
          <w:lang w:val="en-GB"/>
        </w:rPr>
        <w:t>viable</w:t>
      </w:r>
      <w:r w:rsidRPr="003726FE">
        <w:rPr>
          <w:lang w:val="en-GB"/>
        </w:rPr>
        <w:t xml:space="preserve"> method of SRL assessment with which to give feedback in authentic learning and teaching settings. </w:t>
      </w:r>
      <w:r w:rsidR="00477E60" w:rsidRPr="003726FE">
        <w:rPr>
          <w:lang w:val="en-GB"/>
        </w:rPr>
        <w:t xml:space="preserve">A real time measure of </w:t>
      </w:r>
      <w:r w:rsidR="0098736F">
        <w:rPr>
          <w:lang w:val="en-GB"/>
        </w:rPr>
        <w:t xml:space="preserve">SRL </w:t>
      </w:r>
      <w:r w:rsidR="007040AC" w:rsidRPr="003726FE">
        <w:rPr>
          <w:lang w:val="en-GB"/>
        </w:rPr>
        <w:t>MA</w:t>
      </w:r>
      <w:r w:rsidR="00477E60" w:rsidRPr="003726FE">
        <w:rPr>
          <w:lang w:val="en-GB"/>
        </w:rPr>
        <w:t xml:space="preserve"> was used in </w:t>
      </w:r>
      <w:r w:rsidR="001B45ED" w:rsidRPr="003726FE">
        <w:rPr>
          <w:lang w:val="en-GB"/>
        </w:rPr>
        <w:t>four</w:t>
      </w:r>
      <w:r w:rsidR="00477E60" w:rsidRPr="003726FE">
        <w:rPr>
          <w:lang w:val="en-GB"/>
        </w:rPr>
        <w:t xml:space="preserve"> studies from this review, this method uses specific targeted questioning at key time points in a task to identify SRL characteristics </w:t>
      </w:r>
      <w:r w:rsidR="00EF281A" w:rsidRPr="003726FE">
        <w:rPr>
          <w:lang w:val="en-GB"/>
        </w:rPr>
        <w:fldChar w:fldCharType="begin"/>
      </w:r>
      <w:r w:rsidR="008B61BE">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3726FE">
        <w:rPr>
          <w:lang w:val="en-GB"/>
        </w:rPr>
        <w:fldChar w:fldCharType="separate"/>
      </w:r>
      <w:r w:rsidR="004E5A78" w:rsidRPr="003726FE">
        <w:rPr>
          <w:noProof/>
          <w:lang w:val="en-GB"/>
        </w:rPr>
        <w:t>(</w:t>
      </w:r>
      <w:hyperlink w:anchor="_ENREF_83" w:tooltip="Cleary, 2012 #35" w:history="1">
        <w:r w:rsidR="0094469E" w:rsidRPr="003726FE">
          <w:rPr>
            <w:noProof/>
            <w:lang w:val="en-GB"/>
          </w:rPr>
          <w:t>Cleary et al. 2012</w:t>
        </w:r>
      </w:hyperlink>
      <w:r w:rsidR="004E5A78" w:rsidRPr="003726FE">
        <w:rPr>
          <w:noProof/>
          <w:lang w:val="en-GB"/>
        </w:rPr>
        <w:t>)</w:t>
      </w:r>
      <w:r w:rsidR="00EF281A" w:rsidRPr="003726FE">
        <w:rPr>
          <w:lang w:val="en-GB"/>
        </w:rPr>
        <w:fldChar w:fldCharType="end"/>
      </w:r>
      <w:r w:rsidR="00477E60" w:rsidRPr="003726FE">
        <w:rPr>
          <w:lang w:val="en-GB"/>
        </w:rPr>
        <w:t>. It is recommended that a mixed or multiple assessment approach</w:t>
      </w:r>
      <w:r w:rsidR="00F01A73" w:rsidRPr="003726FE">
        <w:rPr>
          <w:lang w:val="en-GB"/>
        </w:rPr>
        <w:t xml:space="preserve"> such as </w:t>
      </w:r>
      <w:r w:rsidR="0098736F">
        <w:rPr>
          <w:lang w:val="en-GB"/>
        </w:rPr>
        <w:t xml:space="preserve">SRL </w:t>
      </w:r>
      <w:r w:rsidR="007040AC" w:rsidRPr="003726FE">
        <w:rPr>
          <w:lang w:val="en-GB"/>
        </w:rPr>
        <w:t>MA</w:t>
      </w:r>
      <w:r w:rsidR="00F01A73" w:rsidRPr="003726FE">
        <w:rPr>
          <w:lang w:val="en-GB"/>
        </w:rPr>
        <w:t xml:space="preserve"> is used</w:t>
      </w:r>
      <w:r w:rsidR="00477E60" w:rsidRPr="003726FE">
        <w:rPr>
          <w:lang w:val="en-GB"/>
        </w:rPr>
        <w:t xml:space="preserve"> </w:t>
      </w:r>
      <w:r w:rsidR="00F01A73" w:rsidRPr="003726FE">
        <w:rPr>
          <w:lang w:val="en-GB"/>
        </w:rPr>
        <w:t>in</w:t>
      </w:r>
      <w:r w:rsidR="00477E60" w:rsidRPr="003726FE">
        <w:rPr>
          <w:lang w:val="en-GB"/>
        </w:rPr>
        <w:t xml:space="preserve"> studying SRL characteristics</w:t>
      </w:r>
      <w:r w:rsidR="00F01A73" w:rsidRPr="003726FE">
        <w:rPr>
          <w:lang w:val="en-GB"/>
        </w:rPr>
        <w:t xml:space="preserve">, incorporating other tools </w:t>
      </w:r>
      <w:r w:rsidR="0021662A">
        <w:rPr>
          <w:lang w:val="en-GB"/>
        </w:rPr>
        <w:t>including</w:t>
      </w:r>
      <w:r w:rsidR="00F01A73" w:rsidRPr="003726FE">
        <w:rPr>
          <w:lang w:val="en-GB"/>
        </w:rPr>
        <w:t xml:space="preserve"> think aloud protocols</w:t>
      </w:r>
      <w:r w:rsidR="00477E60" w:rsidRPr="003726FE">
        <w:rPr>
          <w:lang w:val="en-GB"/>
        </w:rPr>
        <w:t xml:space="preserve"> </w:t>
      </w:r>
      <w:r w:rsidR="00EF281A" w:rsidRPr="003726FE">
        <w:rPr>
          <w:lang w:val="en-GB"/>
        </w:rPr>
        <w:fldChar w:fldCharType="begin">
          <w:fldData xml:space="preserve">PEVuZE5vdGU+PENpdGU+PEF1dGhvcj5CZW4tRWxpeWFodTwvQXV0aG9yPjxZZWFyPjIwMTU8L1ll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</w:fldData>
        </w:fldChar>
      </w:r>
      <w:r w:rsidR="008B61BE">
        <w:rPr>
          <w:lang w:val="en-GB"/>
        </w:rPr>
        <w:instrText xml:space="preserve"> ADDIN EN.CITE </w:instrText>
      </w:r>
      <w:r w:rsidR="008B61BE">
        <w:rPr>
          <w:lang w:val="en-GB"/>
        </w:rPr>
        <w:fldChar w:fldCharType="begin">
          <w:fldData xml:space="preserve">PEVuZE5vdGU+PENpdGU+PEF1dGhvcj5CZW4tRWxpeWFodTwvQXV0aG9yPjxZZWFyPjIwMTU8L1ll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</w:fldData>
        </w:fldChar>
      </w:r>
      <w:r w:rsidR="008B61BE">
        <w:rPr>
          <w:lang w:val="en-GB"/>
        </w:rPr>
        <w:instrText xml:space="preserve"> ADDIN EN.CITE.DATA </w:instrText>
      </w:r>
      <w:r w:rsidR="008B61BE">
        <w:rPr>
          <w:lang w:val="en-GB"/>
        </w:rPr>
      </w:r>
      <w:r w:rsidR="008B61BE">
        <w:rPr>
          <w:lang w:val="en-GB"/>
        </w:rPr>
        <w:fldChar w:fldCharType="end"/>
      </w:r>
      <w:r w:rsidR="00EF281A" w:rsidRPr="003726FE">
        <w:rPr>
          <w:lang w:val="en-GB"/>
        </w:rPr>
      </w:r>
      <w:r w:rsidR="00EF281A" w:rsidRPr="003726FE">
        <w:rPr>
          <w:lang w:val="en-GB"/>
        </w:rPr>
        <w:fldChar w:fldCharType="separate"/>
      </w:r>
      <w:r w:rsidR="004E5A78" w:rsidRPr="003726FE">
        <w:rPr>
          <w:noProof/>
          <w:lang w:val="en-GB"/>
        </w:rPr>
        <w:t>(</w:t>
      </w:r>
      <w:hyperlink w:anchor="_ENREF_25" w:tooltip="Ben-Eliyahu, 2015 #9" w:history="1">
        <w:r w:rsidR="0094469E" w:rsidRPr="003726FE">
          <w:rPr>
            <w:noProof/>
            <w:lang w:val="en-GB"/>
          </w:rPr>
          <w:t>Ben-Eliyahu and Bernacki 2015</w:t>
        </w:r>
      </w:hyperlink>
      <w:r w:rsidR="004E5A78" w:rsidRPr="003726FE">
        <w:rPr>
          <w:noProof/>
          <w:lang w:val="en-GB"/>
        </w:rPr>
        <w:t xml:space="preserve">; </w:t>
      </w:r>
      <w:hyperlink w:anchor="_ENREF_212" w:tooltip="Karabenick, 2015 #124" w:history="1">
        <w:r w:rsidR="0094469E" w:rsidRPr="003726FE">
          <w:rPr>
            <w:noProof/>
            <w:lang w:val="en-GB"/>
          </w:rPr>
          <w:t>Karabenick and Zusho 2015</w:t>
        </w:r>
      </w:hyperlink>
      <w:r w:rsidR="004E5A78" w:rsidRPr="003726FE">
        <w:rPr>
          <w:noProof/>
          <w:lang w:val="en-GB"/>
        </w:rPr>
        <w:t xml:space="preserve">; </w:t>
      </w:r>
      <w:hyperlink w:anchor="_ENREF_411" w:tooltip="Tuysuzoglu, 2015 #253" w:history="1">
        <w:r w:rsidR="0094469E" w:rsidRPr="003726FE">
          <w:rPr>
            <w:noProof/>
            <w:lang w:val="en-GB"/>
          </w:rPr>
          <w:t>Tuysuzoglu and Greene 2015</w:t>
        </w:r>
      </w:hyperlink>
      <w:r w:rsidR="004E5A78" w:rsidRPr="003726FE">
        <w:rPr>
          <w:noProof/>
          <w:lang w:val="en-GB"/>
        </w:rPr>
        <w:t>)</w:t>
      </w:r>
      <w:r w:rsidR="00EF281A" w:rsidRPr="003726FE">
        <w:rPr>
          <w:lang w:val="en-GB"/>
        </w:rPr>
        <w:fldChar w:fldCharType="end"/>
      </w:r>
      <w:r w:rsidR="00477E60" w:rsidRPr="003726FE">
        <w:rPr>
          <w:lang w:val="en-GB"/>
        </w:rPr>
        <w:t xml:space="preserve">. </w:t>
      </w:r>
      <w:r w:rsidRPr="003726FE">
        <w:rPr>
          <w:lang w:val="en-GB"/>
        </w:rPr>
        <w:t xml:space="preserve">One study did include think-aloud protocols with </w:t>
      </w:r>
      <w:r w:rsidR="0098736F">
        <w:rPr>
          <w:lang w:val="en-GB"/>
        </w:rPr>
        <w:t xml:space="preserve">SRL </w:t>
      </w:r>
      <w:r w:rsidR="007040AC" w:rsidRPr="003726FE">
        <w:rPr>
          <w:lang w:val="en-GB"/>
        </w:rPr>
        <w:t>MA</w:t>
      </w:r>
      <w:r w:rsidRPr="003726FE">
        <w:rPr>
          <w:lang w:val="en-GB"/>
        </w:rPr>
        <w:t xml:space="preserve"> as an additional measure of SRL, despite the wealth of SRL information in that study only performance feedback was given </w:t>
      </w:r>
      <w:r w:rsidR="00EF281A" w:rsidRPr="003726FE">
        <w:rPr>
          <w:lang w:val="en-GB"/>
        </w:rPr>
        <w:fldChar w:fldCharType="begin"/>
      </w:r>
      <w:r w:rsidR="008B61BE">
        <w:rPr>
          <w:lang w:val="en-GB"/>
        </w:rPr>
        <w:instrText xml:space="preserve"> ADDIN EN.CITE &lt;EndNote&gt;&lt;Cite&gt;&lt;Author&gt;Andrews&lt;/Author&gt;&lt;Year&gt;2017&lt;/Year&gt;&lt;RecNum&gt;588&lt;/RecNum&gt;&lt;DisplayText&gt;(Andrews et al. 2017)&lt;/DisplayText&gt;&lt;record&gt;&lt;rec-number&gt;588&lt;/rec-number&gt;&lt;foreign-keys&gt;&lt;key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2" w:tooltip="Andrews, 2017 #588" w:history="1">
        <w:r w:rsidR="0094469E" w:rsidRPr="003726FE">
          <w:rPr>
            <w:noProof/>
            <w:lang w:val="en-GB"/>
          </w:rPr>
          <w:t>Andrews et al. 2017</w:t>
        </w:r>
      </w:hyperlink>
      <w:r w:rsidR="004E5A78" w:rsidRPr="003726FE">
        <w:rPr>
          <w:noProof/>
          <w:lang w:val="en-GB"/>
        </w:rPr>
        <w:t>)</w:t>
      </w:r>
      <w:r w:rsidR="00EF281A" w:rsidRPr="003726FE">
        <w:rPr>
          <w:lang w:val="en-GB"/>
        </w:rPr>
        <w:fldChar w:fldCharType="end"/>
      </w:r>
      <w:r w:rsidRPr="003726FE">
        <w:rPr>
          <w:lang w:val="en-GB"/>
        </w:rPr>
        <w:t>.</w:t>
      </w:r>
    </w:p>
    <w:p w14:paraId="4AB740A2" w14:textId="77777777" w:rsidR="00477E60" w:rsidRPr="003726FE" w:rsidRDefault="00477E60" w:rsidP="00026049">
      <w:pPr>
        <w:pStyle w:val="Normal1"/>
        <w:rPr>
          <w:lang w:val="en-GB"/>
        </w:rPr>
      </w:pPr>
    </w:p>
    <w:p w14:paraId="73376183" w14:textId="522C3792" w:rsidR="00477E60" w:rsidRPr="003726FE" w:rsidRDefault="00477E60" w:rsidP="00026049">
      <w:pPr>
        <w:pStyle w:val="Normal1"/>
        <w:rPr>
          <w:lang w:val="en-GB"/>
        </w:rPr>
      </w:pPr>
      <w:r w:rsidRPr="003726FE">
        <w:rPr>
          <w:lang w:val="en-GB"/>
        </w:rPr>
        <w:t>No study measured all three phases of SRL, as outlined by Zimmerman’s model</w:t>
      </w:r>
      <w:r w:rsidR="00A4452C" w:rsidRPr="003726FE">
        <w:rPr>
          <w:lang w:val="en-GB"/>
        </w:rPr>
        <w:t xml:space="preserve"> </w:t>
      </w:r>
      <w:r w:rsidR="00EF281A" w:rsidRPr="003726FE">
        <w:rPr>
          <w:lang w:val="en-GB"/>
        </w:rPr>
        <w:fldChar w:fldCharType="begin"/>
      </w:r>
      <w:r w:rsidR="008B61BE">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3726FE">
        <w:rPr>
          <w:lang w:val="en-GB"/>
        </w:rPr>
        <w:fldChar w:fldCharType="separate"/>
      </w:r>
      <w:r w:rsidR="004E5A78" w:rsidRPr="003726FE">
        <w:rPr>
          <w:noProof/>
          <w:lang w:val="en-GB"/>
        </w:rPr>
        <w:t>(</w:t>
      </w:r>
      <w:hyperlink w:anchor="_ENREF_455" w:tooltip="Zimmerman, 2000 #595" w:history="1">
        <w:r w:rsidR="0094469E" w:rsidRPr="003726FE">
          <w:rPr>
            <w:noProof/>
            <w:lang w:val="en-GB"/>
          </w:rPr>
          <w:t>Zimmerman 2000a</w:t>
        </w:r>
      </w:hyperlink>
      <w:r w:rsidR="004E5A78" w:rsidRPr="003726FE">
        <w:rPr>
          <w:noProof/>
          <w:lang w:val="en-GB"/>
        </w:rPr>
        <w:t>)</w:t>
      </w:r>
      <w:r w:rsidR="00EF281A" w:rsidRPr="003726FE">
        <w:rPr>
          <w:lang w:val="en-GB"/>
        </w:rPr>
        <w:fldChar w:fldCharType="end"/>
      </w:r>
      <w:r w:rsidRPr="003726FE">
        <w:rPr>
          <w:lang w:val="en-GB"/>
        </w:rPr>
        <w:t xml:space="preserve">, most studies assessed only one </w:t>
      </w:r>
      <w:r w:rsidR="007E5BCC">
        <w:rPr>
          <w:lang w:val="en-GB"/>
        </w:rPr>
        <w:t>phase</w:t>
      </w:r>
      <w:r w:rsidRPr="003726FE">
        <w:rPr>
          <w:lang w:val="en-GB"/>
        </w:rPr>
        <w:t xml:space="preserve"> which </w:t>
      </w:r>
      <w:r w:rsidR="007E5BCC">
        <w:rPr>
          <w:lang w:val="en-GB"/>
        </w:rPr>
        <w:t>were</w:t>
      </w:r>
      <w:r w:rsidRPr="003726FE">
        <w:rPr>
          <w:lang w:val="en-GB"/>
        </w:rPr>
        <w:t xml:space="preserve"> typically the planning or evaluation stages.</w:t>
      </w:r>
      <w:r w:rsidR="00357EA7" w:rsidRPr="003726FE">
        <w:rPr>
          <w:lang w:val="en-GB"/>
        </w:rPr>
        <w:t xml:space="preserve"> Researchers in one study came close to all three phases and measured processes related to pre and </w:t>
      </w:r>
      <w:r w:rsidR="00BA4521" w:rsidRPr="003726FE">
        <w:rPr>
          <w:lang w:val="en-GB"/>
        </w:rPr>
        <w:t>post-performance</w:t>
      </w:r>
      <w:r w:rsidR="00357EA7" w:rsidRPr="003726FE">
        <w:rPr>
          <w:lang w:val="en-GB"/>
        </w:rPr>
        <w:t xml:space="preserve"> with retrospective measures of performance processes </w:t>
      </w:r>
      <w:r w:rsidR="00EF281A" w:rsidRPr="003726FE">
        <w:rPr>
          <w:lang w:val="en-GB"/>
        </w:rPr>
        <w:fldChar w:fldCharType="begin"/>
      </w:r>
      <w:r w:rsidR="008B61BE">
        <w:rPr>
          <w:lang w:val="en-GB"/>
        </w:rPr>
        <w:instrText xml:space="preserve"> ADDIN EN.CITE &lt;EndNote&gt;&lt;Cite&gt;&lt;Author&gt;Andrews&lt;/Author&gt;&lt;Year&gt;2017&lt;/Year&gt;&lt;RecNum&gt;588&lt;/RecNum&gt;&lt;DisplayText&gt;(Andrews et al. 2017)&lt;/DisplayText&gt;&lt;record&gt;&lt;rec-number&gt;588&lt;/rec-number&gt;&lt;foreign-keys&gt;&lt;key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2" w:tooltip="Andrews, 2017 #588" w:history="1">
        <w:r w:rsidR="0094469E" w:rsidRPr="003726FE">
          <w:rPr>
            <w:noProof/>
            <w:lang w:val="en-GB"/>
          </w:rPr>
          <w:t>Andrews et al. 2017</w:t>
        </w:r>
      </w:hyperlink>
      <w:r w:rsidR="004E5A78" w:rsidRPr="003726FE">
        <w:rPr>
          <w:noProof/>
          <w:lang w:val="en-GB"/>
        </w:rPr>
        <w:t>)</w:t>
      </w:r>
      <w:r w:rsidR="00EF281A" w:rsidRPr="003726FE">
        <w:rPr>
          <w:lang w:val="en-GB"/>
        </w:rPr>
        <w:fldChar w:fldCharType="end"/>
      </w:r>
      <w:r w:rsidR="00357EA7" w:rsidRPr="003726FE">
        <w:rPr>
          <w:lang w:val="en-GB"/>
        </w:rPr>
        <w:t>.</w:t>
      </w:r>
      <w:r w:rsidRPr="003726FE">
        <w:rPr>
          <w:lang w:val="en-GB"/>
        </w:rPr>
        <w:t xml:space="preserve"> It is likely that the lack of real time and mixed assessment strategies limited a more in-depth evaluation of SRL </w:t>
      </w:r>
      <w:r w:rsidRPr="003726FE">
        <w:rPr>
          <w:lang w:val="en-GB"/>
        </w:rPr>
        <w:lastRenderedPageBreak/>
        <w:t>strategies in the</w:t>
      </w:r>
      <w:r w:rsidR="00357EA7" w:rsidRPr="003726FE">
        <w:rPr>
          <w:lang w:val="en-GB"/>
        </w:rPr>
        <w:t xml:space="preserve"> majority of these</w:t>
      </w:r>
      <w:r w:rsidR="00A4452C" w:rsidRPr="003726FE">
        <w:rPr>
          <w:lang w:val="en-GB"/>
        </w:rPr>
        <w:t xml:space="preserve"> studies</w:t>
      </w:r>
      <w:r w:rsidRPr="003726FE">
        <w:rPr>
          <w:lang w:val="en-GB"/>
        </w:rPr>
        <w:t xml:space="preserve">. It may also be due to the inherent complex nature of SRL which requires the careful alignment of measurement tools to explore specific facets of SRL in an iterative manner </w:t>
      </w:r>
      <w:r w:rsidR="00EF281A" w:rsidRPr="003726FE">
        <w:rPr>
          <w:lang w:val="en-GB"/>
        </w:rPr>
        <w:fldChar w:fldCharType="begin"/>
      </w:r>
      <w:r w:rsidR="008B61BE">
        <w:rPr>
          <w:lang w:val="en-GB"/>
        </w:rPr>
        <w:instrText xml:space="preserve"> ADDIN EN.CITE &lt;EndNote&gt;&lt;Cite&gt;&lt;Author&gt;Ben-Eliyahu&lt;/Author&gt;&lt;Year&gt;2015&lt;/Year&gt;&lt;RecNum&gt;9&lt;/RecNum&gt;&lt;DisplayText&gt;(Ben-Eliyahu and Bernacki 2015)&lt;/DisplayText&gt;&lt;record&gt;&lt;rec-number&gt;9&lt;/rec-number&gt;&lt;foreign-keys&gt;&lt;key app="EN" db-id="xa2r2ewea92trkef5dt5arvbzafvpv2za5ft" timestamp="1442161763"&gt;9&lt;/key&gt;&lt;/foreign-keys&gt;&lt;ref-type name="Journal Article"&gt;17&lt;/ref-type&gt;&lt;contributors&gt;&lt;authors&gt;&lt;author&gt;Ben-Eliyahu, Adar&lt;/author&gt;&lt;author&gt;Bernacki, Matthew L.&lt;/author&gt;&lt;/authors&gt;&lt;/contributors&gt;&lt;titles&gt;&lt;title&gt;Addressing complexities in self-regulated learning: a focus on contextual factors, contingencies, and dynamic relations&lt;/title&gt;&lt;secondary-title&gt;Metacognition and Learning&lt;/secondary-title&gt;&lt;/titles&gt;&lt;periodical&gt;&lt;full-title&gt;Metacognition and Learning&lt;/full-title&gt;&lt;/periodical&gt;&lt;pages&gt;1-13&lt;/pages&gt;&lt;volume&gt;10&lt;/volume&gt;&lt;number&gt;1&lt;/number&gt;&lt;dates&gt;&lt;year&gt;2015&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25" w:tooltip="Ben-Eliyahu, 2015 #9" w:history="1">
        <w:r w:rsidR="0094469E" w:rsidRPr="003726FE">
          <w:rPr>
            <w:noProof/>
            <w:lang w:val="en-GB"/>
          </w:rPr>
          <w:t>Ben-Eliyahu and Bernacki 2015</w:t>
        </w:r>
      </w:hyperlink>
      <w:r w:rsidR="004E5A78" w:rsidRPr="003726FE">
        <w:rPr>
          <w:noProof/>
          <w:lang w:val="en-GB"/>
        </w:rPr>
        <w:t>)</w:t>
      </w:r>
      <w:r w:rsidR="00EF281A" w:rsidRPr="003726FE">
        <w:rPr>
          <w:lang w:val="en-GB"/>
        </w:rPr>
        <w:fldChar w:fldCharType="end"/>
      </w:r>
      <w:r w:rsidRPr="003726FE">
        <w:rPr>
          <w:lang w:val="en-GB"/>
        </w:rPr>
        <w:t>. The specificity of observed SRL processes are pertinent to the interpretation of the findings of a study in relation to the theory which is being tested</w:t>
      </w:r>
      <w:r w:rsidR="00A4452C" w:rsidRPr="003726FE">
        <w:rPr>
          <w:lang w:val="en-GB"/>
        </w:rPr>
        <w:t>,</w:t>
      </w:r>
      <w:r w:rsidRPr="003726FE">
        <w:rPr>
          <w:lang w:val="en-GB"/>
        </w:rPr>
        <w:t xml:space="preserve"> </w:t>
      </w:r>
      <w:r w:rsidR="00A4452C" w:rsidRPr="003726FE">
        <w:rPr>
          <w:lang w:val="en-GB"/>
        </w:rPr>
        <w:t>this</w:t>
      </w:r>
      <w:r w:rsidRPr="003726FE">
        <w:rPr>
          <w:lang w:val="en-GB"/>
        </w:rPr>
        <w:t xml:space="preserve"> may explain the singular SRL measures in these studies</w:t>
      </w:r>
      <w:r w:rsidR="00357EA7" w:rsidRPr="003726FE">
        <w:rPr>
          <w:lang w:val="en-GB"/>
        </w:rPr>
        <w:t xml:space="preserve"> as the level of complexity increases as more processes are explored</w:t>
      </w:r>
      <w:r w:rsidRPr="003726FE">
        <w:rPr>
          <w:lang w:val="en-GB"/>
        </w:rPr>
        <w:t xml:space="preserve">. Self-efficacy was the most </w:t>
      </w:r>
      <w:r w:rsidR="00A4452C" w:rsidRPr="003726FE">
        <w:rPr>
          <w:lang w:val="en-GB"/>
        </w:rPr>
        <w:t xml:space="preserve">commonly </w:t>
      </w:r>
      <w:r w:rsidRPr="003726FE">
        <w:rPr>
          <w:lang w:val="en-GB"/>
        </w:rPr>
        <w:t>measured SRL characteristic in this study sample, which may be due to its integral role in SRL</w:t>
      </w:r>
      <w:r w:rsidR="00A4452C" w:rsidRPr="003726FE">
        <w:rPr>
          <w:lang w:val="en-GB"/>
        </w:rPr>
        <w:t xml:space="preserve"> </w:t>
      </w:r>
      <w:r w:rsidR="00EF281A" w:rsidRPr="003726FE">
        <w:rPr>
          <w:lang w:val="en-GB"/>
        </w:rPr>
        <w:fldChar w:fldCharType="begin"/>
      </w:r>
      <w:r w:rsidR="008B61BE">
        <w:rPr>
          <w:lang w:val="en-GB"/>
        </w:rPr>
        <w:instrText xml:space="preserve"> ADDIN EN.CITE &lt;EndNote&gt;&lt;Cite&gt;&lt;Author&gt;Bouffard&lt;/Author&gt;&lt;Year&gt;2005&lt;/Year&gt;&lt;RecNum&gt;671&lt;/RecNum&gt;&lt;DisplayText&gt;(Bouffard et al. 2005)&lt;/DisplayText&gt;&lt;record&gt;&lt;rec-number&gt;671&lt;/rec-number&gt;&lt;foreign-keys&gt;&lt;key app="EN" db-id="xa2r2ewea92trkef5dt5arvbzafvpv2za5ft" timestamp="1496417565"&gt;671&lt;/key&gt;&lt;/foreign-keys&gt;&lt;ref-type name="Journal Article"&gt;17&lt;/ref-type&gt;&lt;contributors&gt;&lt;authors&gt;&lt;author&gt;Bouffard, Thérèse&lt;/author&gt;&lt;author&gt;Bouchard, Maryse&lt;/author&gt;&lt;author&gt;Goulet, Geneviève&lt;/author&gt;&lt;author&gt;Denoncourt, Isabelle&lt;/author&gt;&lt;author&gt;Couture, Nathalie&lt;/author&gt;&lt;/authors&gt;&lt;/contributors&gt;&lt;titles&gt;&lt;title&gt;Influence of achievement goals and self</w:instrText>
      </w:r>
      <w:r w:rsidR="008B61BE">
        <w:rPr>
          <w:rFonts w:ascii="Cambria Math" w:hAnsi="Cambria Math" w:cs="Cambria Math"/>
          <w:lang w:val="en-GB"/>
        </w:rPr>
        <w:instrText>‐</w:instrText>
      </w:r>
      <w:r w:rsidR="008B61BE">
        <w:rPr>
          <w:lang w:val="en-GB"/>
        </w:rPr>
        <w:instrText>efficacy on students&amp;apos; self</w:instrText>
      </w:r>
      <w:r w:rsidR="008B61BE">
        <w:rPr>
          <w:rFonts w:ascii="Cambria Math" w:hAnsi="Cambria Math" w:cs="Cambria Math"/>
          <w:lang w:val="en-GB"/>
        </w:rPr>
        <w:instrText>‐</w:instrText>
      </w:r>
      <w:r w:rsidR="008B61BE">
        <w:rPr>
          <w:lang w:val="en-GB"/>
        </w:rPr>
        <w:instrText>regulation and performance&lt;/title&gt;&lt;secondary-title&gt;International journal of psychology&lt;/secondary-title&gt;&lt;/titles&gt;&lt;periodical&gt;&lt;full-title&gt;International journal of psychology&lt;/full-title&gt;&lt;/periodical&gt;&lt;pages&gt;373-384&lt;/pages&gt;&lt;volume&gt;40&lt;/volume&gt;&lt;number&gt;6&lt;/number&gt;&lt;dates&gt;&lt;year&gt;2005&lt;/year&gt;&lt;/dates&gt;&lt;isbn&gt;1464-066X&lt;/isbn&gt;&lt;urls&gt;&lt;/urls&gt;&lt;/record&gt;&lt;/Cite&gt;&lt;/EndNote&gt;</w:instrText>
      </w:r>
      <w:r w:rsidR="00EF281A" w:rsidRPr="003726FE">
        <w:rPr>
          <w:lang w:val="en-GB"/>
        </w:rPr>
        <w:fldChar w:fldCharType="separate"/>
      </w:r>
      <w:r w:rsidR="004E5A78" w:rsidRPr="003726FE">
        <w:rPr>
          <w:noProof/>
          <w:lang w:val="en-GB"/>
        </w:rPr>
        <w:t>(</w:t>
      </w:r>
      <w:hyperlink w:anchor="_ENREF_50" w:tooltip="Bouffard, 2005 #671" w:history="1">
        <w:r w:rsidR="0094469E" w:rsidRPr="003726FE">
          <w:rPr>
            <w:noProof/>
            <w:lang w:val="en-GB"/>
          </w:rPr>
          <w:t>Bouffard et al. 2005</w:t>
        </w:r>
      </w:hyperlink>
      <w:r w:rsidR="004E5A78" w:rsidRPr="003726FE">
        <w:rPr>
          <w:noProof/>
          <w:lang w:val="en-GB"/>
        </w:rPr>
        <w:t>)</w:t>
      </w:r>
      <w:r w:rsidR="00EF281A" w:rsidRPr="003726FE">
        <w:rPr>
          <w:lang w:val="en-GB"/>
        </w:rPr>
        <w:fldChar w:fldCharType="end"/>
      </w:r>
      <w:r w:rsidRPr="003726FE">
        <w:rPr>
          <w:lang w:val="en-GB"/>
        </w:rPr>
        <w:t xml:space="preserve">. </w:t>
      </w:r>
    </w:p>
    <w:p w14:paraId="2EA4D68D" w14:textId="77777777" w:rsidR="00477E60" w:rsidRPr="003726FE" w:rsidRDefault="00477E60" w:rsidP="00026049">
      <w:pPr>
        <w:pStyle w:val="Normal1"/>
        <w:rPr>
          <w:lang w:val="en-GB"/>
        </w:rPr>
      </w:pPr>
    </w:p>
    <w:p w14:paraId="04C7B1B9" w14:textId="22B2ACD3" w:rsidR="00477E60" w:rsidRPr="003726FE" w:rsidRDefault="00477E60" w:rsidP="00026049">
      <w:pPr>
        <w:pStyle w:val="Normal1"/>
        <w:rPr>
          <w:lang w:val="en-GB"/>
        </w:rPr>
      </w:pPr>
      <w:r w:rsidRPr="003726FE">
        <w:rPr>
          <w:lang w:val="en-GB"/>
        </w:rPr>
        <w:t xml:space="preserve">It </w:t>
      </w:r>
      <w:r w:rsidR="00B41F3F" w:rsidRPr="003726FE">
        <w:rPr>
          <w:lang w:val="en-GB"/>
        </w:rPr>
        <w:t>was</w:t>
      </w:r>
      <w:r w:rsidRPr="003726FE">
        <w:rPr>
          <w:lang w:val="en-GB"/>
        </w:rPr>
        <w:t xml:space="preserve"> evident tha</w:t>
      </w:r>
      <w:r w:rsidR="00A4452C" w:rsidRPr="003726FE">
        <w:rPr>
          <w:lang w:val="en-GB"/>
        </w:rPr>
        <w:t>t most of the studies were of an</w:t>
      </w:r>
      <w:r w:rsidRPr="003726FE">
        <w:rPr>
          <w:lang w:val="en-GB"/>
        </w:rPr>
        <w:t xml:space="preserve"> exploratory nature rather than aiming to test a specific hypothesis, which reflects the lack of depth in this area. The main issues with this body of research </w:t>
      </w:r>
      <w:r w:rsidR="00B41F3F" w:rsidRPr="003726FE">
        <w:rPr>
          <w:lang w:val="en-GB"/>
        </w:rPr>
        <w:t>were limited</w:t>
      </w:r>
      <w:r w:rsidRPr="003726FE">
        <w:rPr>
          <w:lang w:val="en-GB"/>
        </w:rPr>
        <w:t xml:space="preserve"> transferability, </w:t>
      </w:r>
      <w:r w:rsidR="00B41F3F" w:rsidRPr="003726FE">
        <w:rPr>
          <w:lang w:val="en-GB"/>
        </w:rPr>
        <w:t xml:space="preserve">a </w:t>
      </w:r>
      <w:r w:rsidRPr="003726FE">
        <w:rPr>
          <w:lang w:val="en-GB"/>
        </w:rPr>
        <w:t>lack of focus on the feedback element</w:t>
      </w:r>
      <w:r w:rsidR="00A4452C" w:rsidRPr="003726FE">
        <w:rPr>
          <w:lang w:val="en-GB"/>
        </w:rPr>
        <w:t>,</w:t>
      </w:r>
      <w:r w:rsidRPr="003726FE">
        <w:rPr>
          <w:lang w:val="en-GB"/>
        </w:rPr>
        <w:t xml:space="preserve"> and </w:t>
      </w:r>
      <w:r w:rsidR="00B41F3F" w:rsidRPr="003726FE">
        <w:rPr>
          <w:lang w:val="en-GB"/>
        </w:rPr>
        <w:t xml:space="preserve">a </w:t>
      </w:r>
      <w:r w:rsidRPr="003726FE">
        <w:rPr>
          <w:lang w:val="en-GB"/>
        </w:rPr>
        <w:t xml:space="preserve">lack of longitudinal comparison </w:t>
      </w:r>
      <w:r w:rsidR="00B41F3F" w:rsidRPr="003726FE">
        <w:rPr>
          <w:lang w:val="en-GB"/>
        </w:rPr>
        <w:t>between</w:t>
      </w:r>
      <w:r w:rsidRPr="003726FE">
        <w:rPr>
          <w:lang w:val="en-GB"/>
        </w:rPr>
        <w:t xml:space="preserve"> groups. This could be explained by the multidisciplinary nature of this review, as immediate performance outcomes may be more beneficial in other contexts</w:t>
      </w:r>
      <w:r w:rsidR="00A4452C" w:rsidRPr="003726FE">
        <w:rPr>
          <w:lang w:val="en-GB"/>
        </w:rPr>
        <w:t>,</w:t>
      </w:r>
      <w:r w:rsidRPr="003726FE">
        <w:rPr>
          <w:lang w:val="en-GB"/>
        </w:rPr>
        <w:t xml:space="preserve"> </w:t>
      </w:r>
      <w:r w:rsidR="0021662A">
        <w:rPr>
          <w:lang w:val="en-GB"/>
        </w:rPr>
        <w:t>including</w:t>
      </w:r>
      <w:r w:rsidRPr="003726FE">
        <w:rPr>
          <w:lang w:val="en-GB"/>
        </w:rPr>
        <w:t xml:space="preserve"> sport</w:t>
      </w:r>
      <w:r w:rsidR="00A4452C" w:rsidRPr="003726FE">
        <w:rPr>
          <w:lang w:val="en-GB"/>
        </w:rPr>
        <w:t>s performance</w:t>
      </w:r>
      <w:r w:rsidRPr="003726FE">
        <w:rPr>
          <w:lang w:val="en-GB"/>
        </w:rPr>
        <w:t>. It is apparent that the motivation for these studies stem</w:t>
      </w:r>
      <w:r w:rsidR="00A4452C" w:rsidRPr="003726FE">
        <w:rPr>
          <w:lang w:val="en-GB"/>
        </w:rPr>
        <w:t>med</w:t>
      </w:r>
      <w:r w:rsidRPr="003726FE">
        <w:rPr>
          <w:lang w:val="en-GB"/>
        </w:rPr>
        <w:t xml:space="preserve"> from how researchers </w:t>
      </w:r>
      <w:r w:rsidR="007E5BCC">
        <w:rPr>
          <w:lang w:val="en-GB"/>
        </w:rPr>
        <w:t>could</w:t>
      </w:r>
      <w:r w:rsidRPr="003726FE">
        <w:rPr>
          <w:lang w:val="en-GB"/>
        </w:rPr>
        <w:t xml:space="preserve"> scaffold learning situations using SRL to improve student learning of a certain task or topic. </w:t>
      </w:r>
    </w:p>
    <w:p w14:paraId="7BF9B928" w14:textId="77777777" w:rsidR="00477E60" w:rsidRPr="003726FE" w:rsidRDefault="00477E60" w:rsidP="00026049">
      <w:pPr>
        <w:pStyle w:val="Normal1"/>
        <w:rPr>
          <w:lang w:val="en-GB"/>
        </w:rPr>
      </w:pPr>
    </w:p>
    <w:p w14:paraId="36412127" w14:textId="66ACA39A" w:rsidR="00477E60" w:rsidRPr="003726FE" w:rsidRDefault="00477E60" w:rsidP="00026049">
      <w:pPr>
        <w:pStyle w:val="Normal1"/>
        <w:rPr>
          <w:lang w:val="en-GB"/>
        </w:rPr>
      </w:pPr>
      <w:r w:rsidRPr="003726FE">
        <w:rPr>
          <w:lang w:val="en-GB"/>
        </w:rPr>
        <w:t xml:space="preserve">Underpinning theoretical frameworks are centrally important </w:t>
      </w:r>
      <w:r w:rsidR="007E5BCC">
        <w:rPr>
          <w:lang w:val="en-GB"/>
        </w:rPr>
        <w:t xml:space="preserve">in providing guiding principles </w:t>
      </w:r>
      <w:r w:rsidRPr="003726FE">
        <w:rPr>
          <w:lang w:val="en-GB"/>
        </w:rPr>
        <w:t xml:space="preserve">to educational interventions involving feedback </w:t>
      </w:r>
      <w:r w:rsidR="00EF281A" w:rsidRPr="003726FE">
        <w:rPr>
          <w:lang w:val="en-GB"/>
        </w:rPr>
        <w:fldChar w:fldCharType="begin"/>
      </w:r>
      <w:r w:rsidR="008B61BE">
        <w:rPr>
          <w:lang w:val="en-GB"/>
        </w:rPr>
        <w:instrText xml:space="preserve"> ADDIN EN.CITE &lt;EndNote&gt;&lt;Cite&gt;&lt;Author&gt;Rees&lt;/Author&gt;&lt;Year&gt;2010&lt;/Year&gt;&lt;RecNum&gt;481&lt;/RecNum&gt;&lt;DisplayText&gt;(Rees and Monrouxe 2010)&lt;/DisplayText&gt;&lt;record&gt;&lt;rec-number&gt;481&lt;/rec-number&gt;&lt;foreign-keys&gt;&lt;key app="EN" db-id="xa2r2ewea92trkef5dt5arvbzafvpv2za5ft" timestamp="1496417548"&gt;481&lt;/key&gt;&lt;/foreign-keys&gt;&lt;ref-type name="Journal Article"&gt;17&lt;/ref-type&gt;&lt;contributors&gt;&lt;authors&gt;&lt;author&gt;Rees, Charlotte E.&lt;/author&gt;&lt;author&gt;Monrouxe, Lynn V.&lt;/author&gt;&lt;/authors&gt;&lt;/contributors&gt;&lt;titles&gt;&lt;title&gt;Theory in medical education research: how do we get there?&lt;/title&gt;&lt;secondary-title&gt;Medical education&lt;/secondary-title&gt;&lt;/titles&gt;&lt;periodical&gt;&lt;full-title&gt;Medical education&lt;/full-title&gt;&lt;/periodical&gt;&lt;pages&gt;334-339&lt;/pages&gt;&lt;volume&gt;44&lt;/volume&gt;&lt;number&gt;4&lt;/number&gt;&lt;dates&gt;&lt;year&gt;2010&lt;/year&gt;&lt;/dates&gt;&lt;publisher&gt;Wiley Online Library&lt;/publisher&gt;&lt;urls&gt;&lt;related-urls&gt;&lt;url&gt;http://onlinelibrary.wiley.com/doi/10.1111/j.1365-2923.2009.03615.x/abstract&lt;/url&gt;&lt;/related-urls&gt;&lt;/urls&gt;&lt;/record&gt;&lt;/Cite&gt;&lt;/EndNote&gt;</w:instrText>
      </w:r>
      <w:r w:rsidR="00EF281A" w:rsidRPr="003726FE">
        <w:rPr>
          <w:lang w:val="en-GB"/>
        </w:rPr>
        <w:fldChar w:fldCharType="separate"/>
      </w:r>
      <w:r w:rsidR="004E5A78" w:rsidRPr="003726FE">
        <w:rPr>
          <w:noProof/>
          <w:lang w:val="en-GB"/>
        </w:rPr>
        <w:t>(</w:t>
      </w:r>
      <w:hyperlink w:anchor="_ENREF_339" w:tooltip="Rees, 2010 #481" w:history="1">
        <w:r w:rsidR="0094469E" w:rsidRPr="003726FE">
          <w:rPr>
            <w:noProof/>
            <w:lang w:val="en-GB"/>
          </w:rPr>
          <w:t>Rees and Monrouxe 2010</w:t>
        </w:r>
      </w:hyperlink>
      <w:r w:rsidR="004E5A78" w:rsidRPr="003726FE">
        <w:rPr>
          <w:noProof/>
          <w:lang w:val="en-GB"/>
        </w:rPr>
        <w:t>)</w:t>
      </w:r>
      <w:r w:rsidR="00EF281A" w:rsidRPr="003726FE">
        <w:rPr>
          <w:lang w:val="en-GB"/>
        </w:rPr>
        <w:fldChar w:fldCharType="end"/>
      </w:r>
      <w:r w:rsidR="007E5BCC">
        <w:rPr>
          <w:lang w:val="en-GB"/>
        </w:rPr>
        <w:t>.</w:t>
      </w:r>
      <w:r w:rsidRPr="003726FE">
        <w:rPr>
          <w:lang w:val="en-GB"/>
        </w:rPr>
        <w:t xml:space="preserve"> </w:t>
      </w:r>
      <w:r w:rsidR="007E5BCC">
        <w:rPr>
          <w:lang w:val="en-GB"/>
        </w:rPr>
        <w:t>S</w:t>
      </w:r>
      <w:r w:rsidRPr="003726FE">
        <w:rPr>
          <w:lang w:val="en-GB"/>
        </w:rPr>
        <w:t>tudies in this review which featured a theoretica</w:t>
      </w:r>
      <w:r w:rsidR="007E5BCC">
        <w:rPr>
          <w:lang w:val="en-GB"/>
        </w:rPr>
        <w:t>l framework reflected a clearer and</w:t>
      </w:r>
      <w:r w:rsidRPr="003726FE">
        <w:rPr>
          <w:lang w:val="en-GB"/>
        </w:rPr>
        <w:t xml:space="preserve"> more systematic methodological process than those which did not. The </w:t>
      </w:r>
      <w:r w:rsidR="00F17F73">
        <w:rPr>
          <w:lang w:val="en-GB"/>
        </w:rPr>
        <w:t>social cognitive</w:t>
      </w:r>
      <w:r w:rsidRPr="003726FE">
        <w:rPr>
          <w:lang w:val="en-GB"/>
        </w:rPr>
        <w:t xml:space="preserve"> view of SRL was </w:t>
      </w:r>
      <w:r w:rsidR="007E5BCC">
        <w:rPr>
          <w:lang w:val="en-GB"/>
        </w:rPr>
        <w:t xml:space="preserve">the </w:t>
      </w:r>
      <w:r w:rsidRPr="003726FE">
        <w:rPr>
          <w:lang w:val="en-GB"/>
        </w:rPr>
        <w:t xml:space="preserve">most frequently adopted </w:t>
      </w:r>
      <w:r w:rsidR="007E5BCC">
        <w:rPr>
          <w:lang w:val="en-GB"/>
        </w:rPr>
        <w:t xml:space="preserve">theoretical framework </w:t>
      </w:r>
      <w:r w:rsidRPr="003726FE">
        <w:rPr>
          <w:lang w:val="en-GB"/>
        </w:rPr>
        <w:t>in this sample, which seems appropriate given the highly contextualised nat</w:t>
      </w:r>
      <w:r w:rsidR="007E5BCC">
        <w:rPr>
          <w:lang w:val="en-GB"/>
        </w:rPr>
        <w:t>ure of SRL and task performance.</w:t>
      </w:r>
      <w:r w:rsidRPr="003726FE">
        <w:rPr>
          <w:lang w:val="en-GB"/>
        </w:rPr>
        <w:t xml:space="preserve"> </w:t>
      </w:r>
      <w:r w:rsidR="007E5BCC">
        <w:rPr>
          <w:lang w:val="en-GB"/>
        </w:rPr>
        <w:t>However,</w:t>
      </w:r>
      <w:r w:rsidRPr="003726FE">
        <w:rPr>
          <w:lang w:val="en-GB"/>
        </w:rPr>
        <w:t xml:space="preserve"> only </w:t>
      </w:r>
      <w:r w:rsidR="00B41F3F" w:rsidRPr="003726FE">
        <w:rPr>
          <w:lang w:val="en-GB"/>
        </w:rPr>
        <w:t>four</w:t>
      </w:r>
      <w:r w:rsidRPr="003726FE">
        <w:rPr>
          <w:lang w:val="en-GB"/>
        </w:rPr>
        <w:t xml:space="preserve"> reported a full conceptual model and applied this to the research design. Other studies adopted cognitive based theories such as generative learning and regulatory focus theory but linked both to SRL with a view to improvin</w:t>
      </w:r>
      <w:r w:rsidR="006A4370" w:rsidRPr="003726FE">
        <w:rPr>
          <w:lang w:val="en-GB"/>
        </w:rPr>
        <w:t>g performance or SRL strategies. I</w:t>
      </w:r>
      <w:r w:rsidRPr="003726FE">
        <w:rPr>
          <w:lang w:val="en-GB"/>
        </w:rPr>
        <w:t>n these cases a specific SRL model was not eluded to. The variation in the reporting of specific methodologies skewed the qu</w:t>
      </w:r>
      <w:r w:rsidR="006A4370" w:rsidRPr="003726FE">
        <w:rPr>
          <w:lang w:val="en-GB"/>
        </w:rPr>
        <w:t>ality of this sample negatively;</w:t>
      </w:r>
      <w:r w:rsidRPr="003726FE">
        <w:rPr>
          <w:lang w:val="en-GB"/>
        </w:rPr>
        <w:t xml:space="preserve"> the majority of studies did not justify or state their use of methodological approach</w:t>
      </w:r>
      <w:r w:rsidR="006A4370" w:rsidRPr="003726FE">
        <w:rPr>
          <w:lang w:val="en-GB"/>
        </w:rPr>
        <w:t>,</w:t>
      </w:r>
      <w:r w:rsidRPr="003726FE">
        <w:rPr>
          <w:lang w:val="en-GB"/>
        </w:rPr>
        <w:t xml:space="preserve"> </w:t>
      </w:r>
      <w:r w:rsidR="006A4370" w:rsidRPr="003726FE">
        <w:rPr>
          <w:lang w:val="en-GB"/>
        </w:rPr>
        <w:t>thus</w:t>
      </w:r>
      <w:r w:rsidRPr="003726FE">
        <w:rPr>
          <w:lang w:val="en-GB"/>
        </w:rPr>
        <w:t xml:space="preserve"> limiting transferability and replicability</w:t>
      </w:r>
      <w:r w:rsidR="006A4370" w:rsidRPr="003726FE">
        <w:rPr>
          <w:lang w:val="en-GB"/>
        </w:rPr>
        <w:t xml:space="preserve"> to other contexts</w:t>
      </w:r>
      <w:r w:rsidRPr="003726FE">
        <w:rPr>
          <w:lang w:val="en-GB"/>
        </w:rPr>
        <w:t>.</w:t>
      </w:r>
    </w:p>
    <w:p w14:paraId="7BA1A51D" w14:textId="77777777" w:rsidR="00477E60" w:rsidRPr="003726FE" w:rsidRDefault="00477E60" w:rsidP="00026049">
      <w:pPr>
        <w:pStyle w:val="Normal1"/>
        <w:rPr>
          <w:lang w:val="en-GB"/>
        </w:rPr>
      </w:pPr>
    </w:p>
    <w:p w14:paraId="054B9A13" w14:textId="77777777" w:rsidR="002F655D" w:rsidRDefault="002F655D" w:rsidP="00026049">
      <w:pPr>
        <w:pStyle w:val="Normal1"/>
        <w:rPr>
          <w:lang w:val="en-GB"/>
        </w:rPr>
      </w:pPr>
    </w:p>
    <w:p w14:paraId="03484279" w14:textId="130F5074" w:rsidR="00477E60" w:rsidRPr="003726FE" w:rsidRDefault="00477E60" w:rsidP="00026049">
      <w:pPr>
        <w:pStyle w:val="Normal1"/>
        <w:rPr>
          <w:lang w:val="en-GB"/>
        </w:rPr>
      </w:pPr>
      <w:r w:rsidRPr="003726FE">
        <w:rPr>
          <w:lang w:val="en-GB"/>
        </w:rPr>
        <w:lastRenderedPageBreak/>
        <w:t xml:space="preserve">The utilisation of feedback was </w:t>
      </w:r>
      <w:r w:rsidR="006A4370" w:rsidRPr="003726FE">
        <w:rPr>
          <w:lang w:val="en-GB"/>
        </w:rPr>
        <w:t>one-dimensional</w:t>
      </w:r>
      <w:r w:rsidRPr="003726FE">
        <w:rPr>
          <w:lang w:val="en-GB"/>
        </w:rPr>
        <w:t xml:space="preserve"> in the majority of studies, focusing upon simple </w:t>
      </w:r>
      <w:r w:rsidR="006A4370" w:rsidRPr="003726FE">
        <w:rPr>
          <w:lang w:val="en-GB"/>
        </w:rPr>
        <w:t>outcome</w:t>
      </w:r>
      <w:r w:rsidRPr="003726FE">
        <w:rPr>
          <w:lang w:val="en-GB"/>
        </w:rPr>
        <w:t xml:space="preserve"> or task feedback</w:t>
      </w:r>
      <w:r w:rsidR="006A4370" w:rsidRPr="003726FE">
        <w:rPr>
          <w:lang w:val="en-GB"/>
        </w:rPr>
        <w:t>,</w:t>
      </w:r>
      <w:r w:rsidRPr="003726FE">
        <w:rPr>
          <w:lang w:val="en-GB"/>
        </w:rPr>
        <w:t xml:space="preserve"> contrary to the four levels of feedback recommended by </w:t>
      </w:r>
      <w:hyperlink w:anchor="_ENREF_184" w:tooltip="Hattie, 2007 #109" w:history="1">
        <w:r w:rsidR="0094469E" w:rsidRPr="003726FE">
          <w:rPr>
            <w:lang w:val="en-GB"/>
          </w:rPr>
          <w:fldChar w:fldCharType="begin"/>
        </w:r>
        <w:r w:rsidR="0094469E">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94469E" w:rsidRPr="003726FE">
          <w:rPr>
            <w:lang w:val="en-GB"/>
          </w:rPr>
          <w:fldChar w:fldCharType="separate"/>
        </w:r>
        <w:r w:rsidR="0094469E" w:rsidRPr="003726FE">
          <w:rPr>
            <w:noProof/>
            <w:lang w:val="en-GB"/>
          </w:rPr>
          <w:t>Hattie and Timperley (2007)</w:t>
        </w:r>
        <w:r w:rsidR="0094469E" w:rsidRPr="003726FE">
          <w:rPr>
            <w:lang w:val="en-GB"/>
          </w:rPr>
          <w:fldChar w:fldCharType="end"/>
        </w:r>
      </w:hyperlink>
      <w:r w:rsidRPr="003726FE">
        <w:rPr>
          <w:lang w:val="en-GB"/>
        </w:rPr>
        <w:t xml:space="preserve">. There was only one study which justified their use of negative feedback to track changes in self-efficacy over time. </w:t>
      </w:r>
      <w:r w:rsidR="007E5BCC">
        <w:rPr>
          <w:lang w:val="en-GB"/>
        </w:rPr>
        <w:t>T</w:t>
      </w:r>
      <w:r w:rsidRPr="003726FE">
        <w:rPr>
          <w:lang w:val="en-GB"/>
        </w:rPr>
        <w:t xml:space="preserve">hree studies gave direct feedback on SRL processes and measured the corresponding outcomes, other studies indicated a lack of understanding of how feedback interacts with SRL by using simple, ineffective modes of feedback. This misalignment </w:t>
      </w:r>
      <w:r w:rsidR="00B41F3F" w:rsidRPr="003726FE">
        <w:rPr>
          <w:lang w:val="en-GB"/>
        </w:rPr>
        <w:t>could</w:t>
      </w:r>
      <w:r w:rsidRPr="003726FE">
        <w:rPr>
          <w:lang w:val="en-GB"/>
        </w:rPr>
        <w:t xml:space="preserve"> stem from researchers viewing SRL as a skill which can only be developed by the individual, which has been observed in other health contexts </w:t>
      </w:r>
      <w:r w:rsidR="00EF281A" w:rsidRPr="003726FE">
        <w:rPr>
          <w:lang w:val="en-GB"/>
        </w:rPr>
        <w:fldChar w:fldCharType="begin"/>
      </w:r>
      <w:r w:rsidR="008B61BE">
        <w:rPr>
          <w:lang w:val="en-GB"/>
        </w:rPr>
        <w:instrText xml:space="preserve"> ADDIN EN.CITE &lt;EndNote&gt;&lt;Cite&gt;&lt;Author&gt;Butler&lt;/Author&gt;&lt;Year&gt;2013&lt;/Year&gt;&lt;RecNum&gt;303&lt;/RecNum&gt;&lt;DisplayText&gt;(Butler and Brydges 2013)&lt;/DisplayText&gt;&lt;record&gt;&lt;rec-number&gt;303&lt;/rec-number&gt;&lt;foreign-keys&gt;&lt;key app="EN" db-id="xa2r2ewea92trkef5dt5arvbzafvpv2za5ft" timestamp="1496417532"&gt;303&lt;/key&gt;&lt;/foreign-keys&gt;&lt;ref-type name="Journal Article"&gt;17&lt;/ref-type&gt;&lt;contributors&gt;&lt;authors&gt;&lt;author&gt;Butler, Deborah L.&lt;/author&gt;&lt;author&gt;Brydges, Ryan&lt;/author&gt;&lt;/authors&gt;&lt;/contributors&gt;&lt;titles&gt;&lt;title&gt;Learning in the health professions: what does self</w:instrText>
      </w:r>
      <w:r w:rsidR="008B61BE">
        <w:rPr>
          <w:rFonts w:ascii="Cambria Math" w:hAnsi="Cambria Math" w:cs="Cambria Math"/>
          <w:lang w:val="en-GB"/>
        </w:rPr>
        <w:instrText>‐</w:instrText>
      </w:r>
      <w:r w:rsidR="008B61BE">
        <w:rPr>
          <w:lang w:val="en-GB"/>
        </w:rPr>
        <w:instrText>regulation have to do with it?&lt;/title&gt;&lt;secondary-title&gt;Medical education&lt;/secondary-title&gt;&lt;/titles&gt;&lt;periodical&gt;&lt;full-title&gt;Medical education&lt;/full-title&gt;&lt;/periodical&gt;&lt;pages&gt;1057-1059&lt;/pages&gt;&lt;volume&gt;47&lt;/volume&gt;&lt;number&gt;11&lt;/number&gt;&lt;dates&gt;&lt;year&gt;2013&lt;/year&gt;&lt;/dates&gt;&lt;publisher&gt;Wiley Online Library&lt;/publisher&gt;&lt;urls&gt;&lt;related-urls&gt;&lt;url&gt;http://onlinelibrary.wiley.com/doi/10.1111/medu.12307/abstract&lt;/url&gt;&lt;/related-urls&gt;&lt;/urls&gt;&lt;/record&gt;&lt;/Cite&gt;&lt;/EndNote&gt;</w:instrText>
      </w:r>
      <w:r w:rsidR="00EF281A" w:rsidRPr="003726FE">
        <w:rPr>
          <w:lang w:val="en-GB"/>
        </w:rPr>
        <w:fldChar w:fldCharType="separate"/>
      </w:r>
      <w:r w:rsidR="004E5A78" w:rsidRPr="003726FE">
        <w:rPr>
          <w:noProof/>
          <w:lang w:val="en-GB"/>
        </w:rPr>
        <w:t>(</w:t>
      </w:r>
      <w:hyperlink w:anchor="_ENREF_64" w:tooltip="Butler, 2013 #303" w:history="1">
        <w:r w:rsidR="0094469E" w:rsidRPr="003726FE">
          <w:rPr>
            <w:noProof/>
            <w:lang w:val="en-GB"/>
          </w:rPr>
          <w:t>Butler and Brydges 2013</w:t>
        </w:r>
      </w:hyperlink>
      <w:r w:rsidR="004E5A78" w:rsidRPr="003726FE">
        <w:rPr>
          <w:noProof/>
          <w:lang w:val="en-GB"/>
        </w:rPr>
        <w:t>)</w:t>
      </w:r>
      <w:r w:rsidR="00EF281A" w:rsidRPr="003726FE">
        <w:rPr>
          <w:lang w:val="en-GB"/>
        </w:rPr>
        <w:fldChar w:fldCharType="end"/>
      </w:r>
      <w:r w:rsidRPr="003726FE">
        <w:rPr>
          <w:lang w:val="en-GB"/>
        </w:rPr>
        <w:t>. Study designs which do not include an educational support such as SRL feedback generally produce smaller effect sizes than those which</w:t>
      </w:r>
      <w:r w:rsidR="007E5BCC">
        <w:rPr>
          <w:lang w:val="en-GB"/>
        </w:rPr>
        <w:t xml:space="preserve"> explicitly</w:t>
      </w:r>
      <w:r w:rsidRPr="003726FE">
        <w:rPr>
          <w:lang w:val="en-GB"/>
        </w:rPr>
        <w:t xml:space="preserve"> support SRL </w:t>
      </w:r>
      <w:r w:rsidR="00EF281A" w:rsidRPr="003726FE">
        <w:rPr>
          <w:lang w:val="en-GB"/>
        </w:rPr>
        <w:fldChar w:fldCharType="begin"/>
      </w:r>
      <w:r w:rsidR="008B61BE">
        <w:rPr>
          <w:lang w:val="en-GB"/>
        </w:rPr>
        <w:instrText xml:space="preserve"> ADDIN EN.CITE &lt;EndNote&gt;&lt;Cite&gt;&lt;Author&gt;Brydges&lt;/Author&gt;&lt;Year&gt;2015&lt;/Year&gt;&lt;RecNum&gt;296&lt;/RecNum&gt;&lt;DisplayText&gt;(Brydges et al. 2015)&lt;/DisplayText&gt;&lt;record&gt;&lt;rec-number&gt;296&lt;/rec-number&gt;&lt;foreign-keys&gt;&lt;key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Pr>
          <w:rFonts w:ascii="Cambria Math" w:hAnsi="Cambria Math" w:cs="Cambria Math"/>
          <w:lang w:val="en-GB"/>
        </w:rPr>
        <w:instrText>‐</w:instrText>
      </w:r>
      <w:r w:rsidR="008B61BE">
        <w:rPr>
          <w:lang w:val="en-GB"/>
        </w:rPr>
        <w:instrText>regulated learning in simulation</w:instrText>
      </w:r>
      <w:r w:rsidR="008B61BE">
        <w:rPr>
          <w:rFonts w:ascii="Cambria Math" w:hAnsi="Cambria Math" w:cs="Cambria Math"/>
          <w:lang w:val="en-GB"/>
        </w:rPr>
        <w:instrText>‐</w:instrText>
      </w:r>
      <w:r w:rsidR="008B61BE">
        <w:rPr>
          <w:lang w:val="en-GB"/>
        </w:rPr>
        <w:instrText>based training: a systematic review and meta</w:instrText>
      </w:r>
      <w:r w:rsidR="008B61BE">
        <w:rPr>
          <w:rFonts w:ascii="Cambria Math" w:hAnsi="Cambria Math" w:cs="Cambria Math"/>
          <w:lang w:val="en-GB"/>
        </w:rPr>
        <w:instrText>‐</w:instrText>
      </w:r>
      <w:r w:rsidR="008B61BE">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3726FE">
        <w:rPr>
          <w:lang w:val="en-GB"/>
        </w:rPr>
        <w:fldChar w:fldCharType="separate"/>
      </w:r>
      <w:r w:rsidR="004E5A78" w:rsidRPr="003726FE">
        <w:rPr>
          <w:noProof/>
          <w:lang w:val="en-GB"/>
        </w:rPr>
        <w:t>(</w:t>
      </w:r>
      <w:hyperlink w:anchor="_ENREF_56" w:tooltip="Brydges, 2015 #18" w:history="1">
        <w:r w:rsidR="0094469E" w:rsidRPr="003726FE">
          <w:rPr>
            <w:noProof/>
            <w:lang w:val="en-GB"/>
          </w:rPr>
          <w:t>Brydges et al. 2015</w:t>
        </w:r>
      </w:hyperlink>
      <w:r w:rsidR="004E5A78" w:rsidRPr="003726FE">
        <w:rPr>
          <w:noProof/>
          <w:lang w:val="en-GB"/>
        </w:rPr>
        <w:t>)</w:t>
      </w:r>
      <w:r w:rsidR="00EF281A" w:rsidRPr="003726FE">
        <w:rPr>
          <w:lang w:val="en-GB"/>
        </w:rPr>
        <w:fldChar w:fldCharType="end"/>
      </w:r>
      <w:r w:rsidRPr="003726FE">
        <w:rPr>
          <w:lang w:val="en-GB"/>
        </w:rPr>
        <w:t xml:space="preserve">.  </w:t>
      </w:r>
    </w:p>
    <w:p w14:paraId="062AD608" w14:textId="77777777" w:rsidR="00477E60" w:rsidRPr="003726FE" w:rsidRDefault="00477E60" w:rsidP="00026049">
      <w:pPr>
        <w:pStyle w:val="Normal1"/>
        <w:rPr>
          <w:lang w:val="en-GB"/>
        </w:rPr>
      </w:pPr>
    </w:p>
    <w:p w14:paraId="34619B9E" w14:textId="7C7C82A9" w:rsidR="00477E60" w:rsidRPr="003726FE" w:rsidRDefault="00477E60" w:rsidP="00026049">
      <w:pPr>
        <w:pStyle w:val="Normal1"/>
        <w:rPr>
          <w:lang w:val="en-GB"/>
        </w:rPr>
      </w:pPr>
      <w:r w:rsidRPr="003726FE">
        <w:rPr>
          <w:lang w:val="en-GB"/>
        </w:rPr>
        <w:t xml:space="preserve">Outcomes of these studies were presented clearly and linked back to the research objectives in all cases, which was aided by the clarity of the research questions. Positive and negative results were reported and implications for future research were discussed in all cases. All studies (which measured performance outcomes) reported increases in performance as a result of interventions using either SRL enhancing components or feedback. Where a control or other experimental condition was used, SRL and feedback components improved outcome measures more than other conditions and controls. This </w:t>
      </w:r>
      <w:r w:rsidR="007E5BCC">
        <w:rPr>
          <w:lang w:val="en-GB"/>
        </w:rPr>
        <w:t>may</w:t>
      </w:r>
      <w:r w:rsidRPr="003726FE">
        <w:rPr>
          <w:lang w:val="en-GB"/>
        </w:rPr>
        <w:t xml:space="preserve"> indicate that feedback focusing on improving SRL characteristics is effective in improving SRL and performance. However, due to the lack of research in this area on the use of SRL feedback not all studies directly used </w:t>
      </w:r>
      <w:r w:rsidR="006A4370" w:rsidRPr="003726FE">
        <w:rPr>
          <w:lang w:val="en-GB"/>
        </w:rPr>
        <w:t xml:space="preserve">SRL informed </w:t>
      </w:r>
      <w:r w:rsidRPr="003726FE">
        <w:rPr>
          <w:lang w:val="en-GB"/>
        </w:rPr>
        <w:t xml:space="preserve">targeted feedback </w:t>
      </w:r>
      <w:r w:rsidR="006A4370" w:rsidRPr="003726FE">
        <w:rPr>
          <w:lang w:val="en-GB"/>
        </w:rPr>
        <w:t>to enhance</w:t>
      </w:r>
      <w:r w:rsidRPr="003726FE">
        <w:rPr>
          <w:lang w:val="en-GB"/>
        </w:rPr>
        <w:t xml:space="preserve"> SRL which may limit the generalizability of these findings. Additionally, process </w:t>
      </w:r>
      <w:r w:rsidR="006A4370" w:rsidRPr="003726FE">
        <w:rPr>
          <w:lang w:val="en-GB"/>
        </w:rPr>
        <w:t>evaluations</w:t>
      </w:r>
      <w:r w:rsidRPr="003726FE">
        <w:rPr>
          <w:lang w:val="en-GB"/>
        </w:rPr>
        <w:t xml:space="preserve"> were not used in any of these studies which limits the transferability and practical implications of these interventions</w:t>
      </w:r>
      <w:r w:rsidR="00EE794D">
        <w:rPr>
          <w:lang w:val="en-GB"/>
        </w:rPr>
        <w:t xml:space="preserve"> to other contexts</w:t>
      </w:r>
      <w:r w:rsidR="006A4370" w:rsidRPr="003726FE">
        <w:rPr>
          <w:lang w:val="en-GB"/>
        </w:rPr>
        <w:t xml:space="preserve"> </w:t>
      </w:r>
      <w:r w:rsidR="00EF281A" w:rsidRPr="003726FE">
        <w:rPr>
          <w:lang w:val="en-GB"/>
        </w:rPr>
        <w:fldChar w:fldCharType="begin"/>
      </w:r>
      <w:r w:rsidR="008B61BE">
        <w:rPr>
          <w:lang w:val="en-GB"/>
        </w:rPr>
        <w:instrText xml:space="preserve"> ADDIN EN.CITE &lt;EndNote&gt;&lt;Cite&gt;&lt;Author&gt;Moore&lt;/Author&gt;&lt;Year&gt;2015&lt;/Year&gt;&lt;RecNum&gt;768&lt;/RecNum&gt;&lt;DisplayText&gt;(Moore et al. 2015)&lt;/DisplayText&gt;&lt;record&gt;&lt;rec-number&gt;768&lt;/rec-number&gt;&lt;foreign-keys&gt;&lt;key app="EN" db-id="xa2r2ewea92trkef5dt5arvbzafvpv2za5ft" timestamp="1496417581"&gt;768&lt;/key&gt;&lt;key app="ENWeb" db-id=""&gt;0&lt;/key&gt;&lt;/foreign-keys&gt;&lt;ref-type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00EF281A" w:rsidRPr="003726FE">
        <w:rPr>
          <w:lang w:val="en-GB"/>
        </w:rPr>
        <w:fldChar w:fldCharType="separate"/>
      </w:r>
      <w:r w:rsidR="004E5A78" w:rsidRPr="003726FE">
        <w:rPr>
          <w:noProof/>
          <w:lang w:val="en-GB"/>
        </w:rPr>
        <w:t>(</w:t>
      </w:r>
      <w:hyperlink w:anchor="_ENREF_279" w:tooltip="Moore, 2015 #169" w:history="1">
        <w:r w:rsidR="0094469E" w:rsidRPr="003726FE">
          <w:rPr>
            <w:noProof/>
            <w:lang w:val="en-GB"/>
          </w:rPr>
          <w:t>Moore et al. 2015</w:t>
        </w:r>
      </w:hyperlink>
      <w:r w:rsidR="004E5A78" w:rsidRPr="003726FE">
        <w:rPr>
          <w:noProof/>
          <w:lang w:val="en-GB"/>
        </w:rPr>
        <w:t>)</w:t>
      </w:r>
      <w:r w:rsidR="00EF281A" w:rsidRPr="003726FE">
        <w:rPr>
          <w:lang w:val="en-GB"/>
        </w:rPr>
        <w:fldChar w:fldCharType="end"/>
      </w:r>
      <w:r w:rsidR="00EE794D">
        <w:rPr>
          <w:lang w:val="en-GB"/>
        </w:rPr>
        <w:t>.</w:t>
      </w:r>
    </w:p>
    <w:p w14:paraId="553DB650" w14:textId="77777777" w:rsidR="001006FD" w:rsidRPr="003726FE" w:rsidRDefault="001006FD" w:rsidP="00026049">
      <w:pPr>
        <w:pStyle w:val="Normal1"/>
        <w:rPr>
          <w:lang w:val="en-GB"/>
        </w:rPr>
      </w:pPr>
    </w:p>
    <w:p w14:paraId="393CAEEF" w14:textId="3EA052A6" w:rsidR="00477E60" w:rsidRPr="003726FE" w:rsidRDefault="00477E60" w:rsidP="00026049">
      <w:pPr>
        <w:pStyle w:val="Normal1"/>
        <w:rPr>
          <w:lang w:val="en-GB"/>
        </w:rPr>
      </w:pPr>
      <w:r w:rsidRPr="003726FE">
        <w:rPr>
          <w:lang w:val="en-GB"/>
        </w:rPr>
        <w:t xml:space="preserve">The replicability and generalizability of the findings of these studies </w:t>
      </w:r>
      <w:r w:rsidR="0098736F">
        <w:rPr>
          <w:lang w:val="en-GB"/>
        </w:rPr>
        <w:t>were</w:t>
      </w:r>
      <w:r w:rsidRPr="003726FE">
        <w:rPr>
          <w:lang w:val="en-GB"/>
        </w:rPr>
        <w:t xml:space="preserve"> marred by the under-reportin</w:t>
      </w:r>
      <w:r w:rsidR="00EE794D">
        <w:rPr>
          <w:lang w:val="en-GB"/>
        </w:rPr>
        <w:t>g of participants in the sample, s</w:t>
      </w:r>
      <w:r w:rsidR="00876A42" w:rsidRPr="003726FE">
        <w:rPr>
          <w:lang w:val="en-GB"/>
        </w:rPr>
        <w:t>pecifically:</w:t>
      </w:r>
      <w:r w:rsidRPr="003726FE">
        <w:rPr>
          <w:lang w:val="en-GB"/>
        </w:rPr>
        <w:t xml:space="preserve"> their characteristics, sampling method, eligibility criteria, and recruitment methods. </w:t>
      </w:r>
      <w:r w:rsidR="00EE794D">
        <w:rPr>
          <w:lang w:val="en-GB"/>
        </w:rPr>
        <w:t>I</w:t>
      </w:r>
      <w:r w:rsidRPr="003726FE">
        <w:rPr>
          <w:lang w:val="en-GB"/>
        </w:rPr>
        <w:t xml:space="preserve">t is unclear how bias affected these studies as there </w:t>
      </w:r>
      <w:r w:rsidR="00EE794D">
        <w:rPr>
          <w:lang w:val="en-GB"/>
        </w:rPr>
        <w:t>was</w:t>
      </w:r>
      <w:r w:rsidRPr="003726FE">
        <w:rPr>
          <w:lang w:val="en-GB"/>
        </w:rPr>
        <w:t xml:space="preserve"> little information on selection, attrition</w:t>
      </w:r>
      <w:r w:rsidR="00876A42" w:rsidRPr="003726FE">
        <w:rPr>
          <w:lang w:val="en-GB"/>
        </w:rPr>
        <w:t>,</w:t>
      </w:r>
      <w:r w:rsidRPr="003726FE">
        <w:rPr>
          <w:lang w:val="en-GB"/>
        </w:rPr>
        <w:t xml:space="preserve"> and the exposure of the research team to the participants. Participant flow </w:t>
      </w:r>
      <w:r w:rsidR="0098736F">
        <w:rPr>
          <w:lang w:val="en-GB"/>
        </w:rPr>
        <w:t>was</w:t>
      </w:r>
      <w:r w:rsidRPr="003726FE">
        <w:rPr>
          <w:lang w:val="en-GB"/>
        </w:rPr>
        <w:t xml:space="preserve"> difficult to track and the reports are often ambiguous as to how individuals were randomised and how many were in specific experimental conditions. It is difficult to apply these findings to other contexts given the very narrow focus of these studies while taking into account the </w:t>
      </w:r>
      <w:r w:rsidRPr="003726FE">
        <w:rPr>
          <w:lang w:val="en-GB"/>
        </w:rPr>
        <w:lastRenderedPageBreak/>
        <w:t xml:space="preserve">dynamic nature of SRL. These design characteristics also change the way SRL appears </w:t>
      </w:r>
      <w:r w:rsidR="00EE794D">
        <w:rPr>
          <w:lang w:val="en-GB"/>
        </w:rPr>
        <w:t xml:space="preserve">and can be interpreted </w:t>
      </w:r>
      <w:r w:rsidRPr="003726FE">
        <w:rPr>
          <w:lang w:val="en-GB"/>
        </w:rPr>
        <w:t xml:space="preserve">in the study </w:t>
      </w:r>
      <w:r w:rsidR="00EF281A" w:rsidRPr="003726FE">
        <w:rPr>
          <w:lang w:val="en-GB"/>
        </w:rPr>
        <w:fldChar w:fldCharType="begin"/>
      </w:r>
      <w:r w:rsidR="008B61BE">
        <w:rPr>
          <w:lang w:val="en-GB"/>
        </w:rPr>
        <w:instrText xml:space="preserve"> ADDIN EN.CITE &lt;EndNote&gt;&lt;Cite&gt;&lt;Author&gt;Dent&lt;/Author&gt;&lt;Year&gt;2015&lt;/Year&gt;&lt;RecNum&gt;339&lt;/RecNum&gt;&lt;DisplayText&gt;(Dent and Hoyle 2015)&lt;/DisplayText&gt;&lt;record&gt;&lt;rec-number&gt;339&lt;/rec-number&gt;&lt;foreign-keys&gt;&lt;key app="EN" db-id="xa2r2ewea92trkef5dt5arvbzafvpv2za5ft" timestamp="1496417537"&gt;339&lt;/key&gt;&lt;/foreign-keys&gt;&lt;ref-type name="Journal Article"&gt;17&lt;/ref-type&gt;&lt;contributors&gt;&lt;authors&gt;&lt;author&gt;Dent, Amy L.&lt;/author&gt;&lt;author&gt;Hoyle, Rick H.&lt;/author&gt;&lt;/authors&gt;&lt;/contributors&gt;&lt;titles&gt;&lt;title&gt;A framework for evaluating and enhancing alignment in self-regulated learning research&lt;/title&gt;&lt;secondary-title&gt;Metacognition and learning&lt;/secondary-title&gt;&lt;/titles&gt;&lt;periodical&gt;&lt;full-title&gt;Metacognition and Learning&lt;/full-title&gt;&lt;/periodical&gt;&lt;pages&gt;165-179&lt;/pages&gt;&lt;volume&gt;10&lt;/volume&gt;&lt;number&gt;1&lt;/number&gt;&lt;dates&gt;&lt;year&gt;2015&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115" w:tooltip="Dent, 2015 #339" w:history="1">
        <w:r w:rsidR="0094469E" w:rsidRPr="003726FE">
          <w:rPr>
            <w:noProof/>
            <w:lang w:val="en-GB"/>
          </w:rPr>
          <w:t>Dent and Hoyle 2015</w:t>
        </w:r>
      </w:hyperlink>
      <w:r w:rsidR="004E5A78" w:rsidRPr="003726FE">
        <w:rPr>
          <w:noProof/>
          <w:lang w:val="en-GB"/>
        </w:rPr>
        <w:t>)</w:t>
      </w:r>
      <w:r w:rsidR="00EF281A" w:rsidRPr="003726FE">
        <w:rPr>
          <w:lang w:val="en-GB"/>
        </w:rPr>
        <w:fldChar w:fldCharType="end"/>
      </w:r>
      <w:r w:rsidRPr="003726FE">
        <w:rPr>
          <w:lang w:val="en-GB"/>
        </w:rPr>
        <w:t xml:space="preserve">.   </w:t>
      </w:r>
    </w:p>
    <w:p w14:paraId="680FE4F8" w14:textId="77777777" w:rsidR="00477E60" w:rsidRPr="003726FE" w:rsidRDefault="00477E60" w:rsidP="00026049">
      <w:pPr>
        <w:pStyle w:val="Normal1"/>
        <w:rPr>
          <w:lang w:val="en-GB"/>
        </w:rPr>
      </w:pPr>
    </w:p>
    <w:p w14:paraId="44CFF408" w14:textId="6D25856F" w:rsidR="00477E60" w:rsidRPr="003726FE" w:rsidRDefault="00F65BA5" w:rsidP="00BA4521">
      <w:pPr>
        <w:pStyle w:val="Heading3"/>
      </w:pPr>
      <w:bookmarkStart w:id="177" w:name="_Toc429988458"/>
      <w:bookmarkStart w:id="178" w:name="_Toc500319338"/>
      <w:r w:rsidRPr="003726FE">
        <w:t xml:space="preserve">A2.5.1 </w:t>
      </w:r>
      <w:r w:rsidR="00477E60" w:rsidRPr="003726FE">
        <w:t xml:space="preserve">Limitations and </w:t>
      </w:r>
      <w:r w:rsidR="004B592B">
        <w:t>S</w:t>
      </w:r>
      <w:r w:rsidR="00477E60" w:rsidRPr="003726FE">
        <w:t>trengths</w:t>
      </w:r>
      <w:bookmarkEnd w:id="177"/>
      <w:bookmarkEnd w:id="178"/>
    </w:p>
    <w:p w14:paraId="78D1ACFF" w14:textId="77777777" w:rsidR="00477E60" w:rsidRPr="003726FE" w:rsidRDefault="00477E60" w:rsidP="00026049">
      <w:pPr>
        <w:pStyle w:val="Normal1"/>
        <w:rPr>
          <w:lang w:val="en-GB"/>
        </w:rPr>
      </w:pPr>
    </w:p>
    <w:p w14:paraId="1EE6A787" w14:textId="7226EE20" w:rsidR="00477E60" w:rsidRPr="003726FE" w:rsidRDefault="00477E60" w:rsidP="00026049">
      <w:pPr>
        <w:pStyle w:val="Normal1"/>
        <w:rPr>
          <w:lang w:val="en-GB"/>
        </w:rPr>
      </w:pPr>
      <w:r w:rsidRPr="003726FE">
        <w:rPr>
          <w:lang w:val="en-GB"/>
        </w:rPr>
        <w:t xml:space="preserve">The main limitation of this review was the lack of team members involved in the </w:t>
      </w:r>
      <w:r w:rsidR="00EE794D">
        <w:rPr>
          <w:lang w:val="en-GB"/>
        </w:rPr>
        <w:t xml:space="preserve">selection and analysis </w:t>
      </w:r>
      <w:r w:rsidRPr="003726FE">
        <w:rPr>
          <w:lang w:val="en-GB"/>
        </w:rPr>
        <w:t>process</w:t>
      </w:r>
      <w:r w:rsidR="00EE794D">
        <w:rPr>
          <w:lang w:val="en-GB"/>
        </w:rPr>
        <w:t>es</w:t>
      </w:r>
      <w:r w:rsidRPr="003726FE">
        <w:rPr>
          <w:lang w:val="en-GB"/>
        </w:rPr>
        <w:t xml:space="preserve">; </w:t>
      </w:r>
      <w:r w:rsidR="00EE794D">
        <w:rPr>
          <w:lang w:val="en-GB"/>
        </w:rPr>
        <w:t>BB</w:t>
      </w:r>
      <w:r w:rsidRPr="003726FE">
        <w:rPr>
          <w:lang w:val="en-GB"/>
        </w:rPr>
        <w:t xml:space="preserve"> conducted all steps of the present synthesis which may have affected methodological rigour and objectivity </w:t>
      </w:r>
      <w:r w:rsidR="00EF281A" w:rsidRPr="003726FE">
        <w:rPr>
          <w:lang w:val="en-GB"/>
        </w:rPr>
        <w:fldChar w:fldCharType="begin"/>
      </w:r>
      <w:r w:rsidR="008B61BE">
        <w:rPr>
          <w:lang w:val="en-GB"/>
        </w:rPr>
        <w:instrText xml:space="preserve"> ADDIN EN.CITE &lt;EndNote&gt;&lt;Cite&gt;&lt;Author&gt;Sharma&lt;/Author&gt;&lt;Year&gt;2014&lt;/Year&gt;&lt;RecNum&gt;238&lt;/RecNum&gt;&lt;DisplayText&gt;(Sharma et al. 2014)&lt;/DisplayText&gt;&lt;record&gt;&lt;rec-number&gt;238&lt;/rec-number&gt;&lt;foreign-keys&gt;&lt;key app="EN" db-id="xa2r2ewea92trkef5dt5arvbzafvpv2za5ft" timestamp="1442161765"&gt;238&lt;/key&gt;&lt;/foreign-keys&gt;&lt;ref-type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London&lt;/publisher&gt;&lt;urls&gt;&lt;/urls&gt;&lt;/record&gt;&lt;/Cite&gt;&lt;/EndNote&gt;</w:instrText>
      </w:r>
      <w:r w:rsidR="00EF281A" w:rsidRPr="003726FE">
        <w:rPr>
          <w:lang w:val="en-GB"/>
        </w:rPr>
        <w:fldChar w:fldCharType="separate"/>
      </w:r>
      <w:r w:rsidR="004E5A78" w:rsidRPr="003726FE">
        <w:rPr>
          <w:noProof/>
          <w:lang w:val="en-GB"/>
        </w:rPr>
        <w:t>(</w:t>
      </w:r>
      <w:hyperlink w:anchor="_ENREF_385" w:tooltip="Sharma, 2014 #508" w:history="1">
        <w:r w:rsidR="0094469E" w:rsidRPr="003726FE">
          <w:rPr>
            <w:noProof/>
            <w:lang w:val="en-GB"/>
          </w:rPr>
          <w:t>Sharma et al. 2014</w:t>
        </w:r>
      </w:hyperlink>
      <w:r w:rsidR="004E5A78" w:rsidRPr="003726FE">
        <w:rPr>
          <w:noProof/>
          <w:lang w:val="en-GB"/>
        </w:rPr>
        <w:t>)</w:t>
      </w:r>
      <w:r w:rsidR="00EF281A" w:rsidRPr="003726FE">
        <w:rPr>
          <w:lang w:val="en-GB"/>
        </w:rPr>
        <w:fldChar w:fldCharType="end"/>
      </w:r>
      <w:r w:rsidR="00EE794D">
        <w:rPr>
          <w:lang w:val="en-GB"/>
        </w:rPr>
        <w:t>. However, this allowed for a quick</w:t>
      </w:r>
      <w:r w:rsidRPr="003726FE">
        <w:rPr>
          <w:lang w:val="en-GB"/>
        </w:rPr>
        <w:t xml:space="preserve"> up</w:t>
      </w:r>
      <w:r w:rsidR="00876A42" w:rsidRPr="003726FE">
        <w:rPr>
          <w:lang w:val="en-GB"/>
        </w:rPr>
        <w:t>-to-</w:t>
      </w:r>
      <w:r w:rsidRPr="003726FE">
        <w:rPr>
          <w:lang w:val="en-GB"/>
        </w:rPr>
        <w:t xml:space="preserve">date account of the </w:t>
      </w:r>
      <w:r w:rsidR="00876A42" w:rsidRPr="003726FE">
        <w:rPr>
          <w:lang w:val="en-GB"/>
        </w:rPr>
        <w:t>literature</w:t>
      </w:r>
      <w:r w:rsidR="00EE794D">
        <w:rPr>
          <w:lang w:val="en-GB"/>
        </w:rPr>
        <w:t xml:space="preserve"> as reviews with bigger teams can</w:t>
      </w:r>
      <w:r w:rsidRPr="003726FE">
        <w:rPr>
          <w:lang w:val="en-GB"/>
        </w:rPr>
        <w:t xml:space="preserve"> span over long durations </w:t>
      </w:r>
      <w:r w:rsidR="00EE794D">
        <w:rPr>
          <w:lang w:val="en-GB"/>
        </w:rPr>
        <w:t xml:space="preserve">and </w:t>
      </w:r>
      <w:r w:rsidRPr="003726FE">
        <w:rPr>
          <w:lang w:val="en-GB"/>
        </w:rPr>
        <w:t>can quickly become outdated</w:t>
      </w:r>
      <w:r w:rsidR="00876A42" w:rsidRPr="003726FE">
        <w:rPr>
          <w:lang w:val="en-GB"/>
        </w:rPr>
        <w:t xml:space="preserve"> if not updated regularly</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&lt;EndNote&gt;&lt;Cite&gt;&lt;Author&gt;White&lt;/Author&gt;&lt;Year&gt;2012&lt;/Year&gt;&lt;RecNum&gt;267&lt;/RecNum&gt;&lt;DisplayText&gt;(White and Waddington 2012)&lt;/DisplayText&gt;&lt;record&gt;&lt;rec-number&gt;267&lt;/rec-number&gt;&lt;foreign-keys&gt;&lt;key app="EN" db-id="xa2r2ewea92trkef5dt5arvbzafvpv2za5ft" timestamp="1442161766"&gt;267&lt;/key&gt;&lt;/foreign-keys&gt;&lt;ref-type name="Journal Article"&gt;17&lt;/ref-type&gt;&lt;contributors&gt;&lt;authors&gt;&lt;author&gt;White, Howard&lt;/author&gt;&lt;author&gt;Waddington, Hugh&lt;/author&gt;&lt;/authors&gt;&lt;/contributors&gt;&lt;titles&gt;&lt;title&gt;Why do we care about evidence synthesis? An introduction to the special issue on systematic reviews&lt;/title&gt;&lt;secondary-title&gt;Journal of Development Effectiveness&lt;/secondary-title&gt;&lt;/titles&gt;&lt;periodical&gt;&lt;full-title&gt;Journal of Development Effectiveness&lt;/full-title&gt;&lt;/periodical&gt;&lt;pages&gt;351-358&lt;/pages&gt;&lt;volume&gt;4&lt;/volume&gt;&lt;number&gt;3&lt;/number&gt;&lt;dates&gt;&lt;year&gt;2012&lt;/year&gt;&lt;/dates&gt;&lt;publisher&gt;Taylor &amp;amp; Francis&lt;/publisher&gt;&lt;urls&gt;&lt;/urls&gt;&lt;/record&gt;&lt;/Cite&gt;&lt;/EndNote&gt;</w:instrText>
      </w:r>
      <w:r w:rsidR="00EF281A" w:rsidRPr="003726FE">
        <w:rPr>
          <w:lang w:val="en-GB"/>
        </w:rPr>
        <w:fldChar w:fldCharType="separate"/>
      </w:r>
      <w:r w:rsidR="004E5A78" w:rsidRPr="003726FE">
        <w:rPr>
          <w:noProof/>
          <w:lang w:val="en-GB"/>
        </w:rPr>
        <w:t>(</w:t>
      </w:r>
      <w:hyperlink w:anchor="_ENREF_437" w:tooltip="White, 2012 #267" w:history="1">
        <w:r w:rsidR="0094469E" w:rsidRPr="003726FE">
          <w:rPr>
            <w:noProof/>
            <w:lang w:val="en-GB"/>
          </w:rPr>
          <w:t>White and Waddington 2012</w:t>
        </w:r>
      </w:hyperlink>
      <w:r w:rsidR="004E5A78" w:rsidRPr="003726FE">
        <w:rPr>
          <w:noProof/>
          <w:lang w:val="en-GB"/>
        </w:rPr>
        <w:t>)</w:t>
      </w:r>
      <w:r w:rsidR="00EF281A" w:rsidRPr="003726FE">
        <w:rPr>
          <w:lang w:val="en-GB"/>
        </w:rPr>
        <w:fldChar w:fldCharType="end"/>
      </w:r>
      <w:r w:rsidRPr="003726FE">
        <w:rPr>
          <w:lang w:val="en-GB"/>
        </w:rPr>
        <w:t xml:space="preserve">. </w:t>
      </w:r>
      <w:r w:rsidR="00876A42" w:rsidRPr="003726FE">
        <w:rPr>
          <w:lang w:val="en-GB"/>
        </w:rPr>
        <w:t>The use of a single reviewer typically lessens the</w:t>
      </w:r>
      <w:r w:rsidRPr="003726FE">
        <w:rPr>
          <w:lang w:val="en-GB"/>
        </w:rPr>
        <w:t xml:space="preserve"> influence</w:t>
      </w:r>
      <w:r w:rsidR="00876A42" w:rsidRPr="003726FE">
        <w:rPr>
          <w:lang w:val="en-GB"/>
        </w:rPr>
        <w:t>s</w:t>
      </w:r>
      <w:r w:rsidRPr="003726FE">
        <w:rPr>
          <w:lang w:val="en-GB"/>
        </w:rPr>
        <w:t xml:space="preserve"> of external agencies which may have </w:t>
      </w:r>
      <w:r w:rsidR="00876A42" w:rsidRPr="003726FE">
        <w:rPr>
          <w:lang w:val="en-GB"/>
        </w:rPr>
        <w:t>reduced</w:t>
      </w:r>
      <w:r w:rsidRPr="003726FE">
        <w:rPr>
          <w:lang w:val="en-GB"/>
        </w:rPr>
        <w:t xml:space="preserve"> external bias, but</w:t>
      </w:r>
      <w:r w:rsidR="00876A42" w:rsidRPr="003726FE">
        <w:rPr>
          <w:lang w:val="en-GB"/>
        </w:rPr>
        <w:t xml:space="preserve"> it also</w:t>
      </w:r>
      <w:r w:rsidRPr="003726FE">
        <w:rPr>
          <w:lang w:val="en-GB"/>
        </w:rPr>
        <w:t xml:space="preserve"> reduced the diversity of perspectives when analysing the data and may </w:t>
      </w:r>
      <w:r w:rsidR="00876A42" w:rsidRPr="003726FE">
        <w:rPr>
          <w:lang w:val="en-GB"/>
        </w:rPr>
        <w:t xml:space="preserve">have increased individual bias </w:t>
      </w:r>
      <w:r w:rsidR="00EF281A" w:rsidRPr="003726FE">
        <w:rPr>
          <w:lang w:val="en-GB"/>
        </w:rPr>
        <w:fldChar w:fldCharType="begin"/>
      </w:r>
      <w:r w:rsidR="008B61BE">
        <w:rPr>
          <w:lang w:val="en-GB"/>
        </w:rPr>
        <w:instrText xml:space="preserve"> ADDIN EN.CITE &lt;EndNote&gt;&lt;Cite&gt;&lt;Author&gt;Sharma&lt;/Author&gt;&lt;Year&gt;2014&lt;/Year&gt;&lt;RecNum&gt;238&lt;/RecNum&gt;&lt;DisplayText&gt;(Sharma et al. 2014)&lt;/DisplayText&gt;&lt;record&gt;&lt;rec-number&gt;238&lt;/rec-number&gt;&lt;foreign-keys&gt;&lt;key app="EN" db-id="xa2r2ewea92trkef5dt5arvbzafvpv2za5ft" timestamp="1442161765"&gt;238&lt;/key&gt;&lt;/foreign-keys&gt;&lt;ref-type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London&lt;/publisher&gt;&lt;urls&gt;&lt;/urls&gt;&lt;/record&gt;&lt;/Cite&gt;&lt;/EndNote&gt;</w:instrText>
      </w:r>
      <w:r w:rsidR="00EF281A" w:rsidRPr="003726FE">
        <w:rPr>
          <w:lang w:val="en-GB"/>
        </w:rPr>
        <w:fldChar w:fldCharType="separate"/>
      </w:r>
      <w:r w:rsidR="004E5A78" w:rsidRPr="003726FE">
        <w:rPr>
          <w:noProof/>
          <w:lang w:val="en-GB"/>
        </w:rPr>
        <w:t>(</w:t>
      </w:r>
      <w:hyperlink w:anchor="_ENREF_385" w:tooltip="Sharma, 2014 #508" w:history="1">
        <w:r w:rsidR="0094469E" w:rsidRPr="003726FE">
          <w:rPr>
            <w:noProof/>
            <w:lang w:val="en-GB"/>
          </w:rPr>
          <w:t>Sharma et al. 2014</w:t>
        </w:r>
      </w:hyperlink>
      <w:r w:rsidR="004E5A78" w:rsidRPr="003726FE">
        <w:rPr>
          <w:noProof/>
          <w:lang w:val="en-GB"/>
        </w:rPr>
        <w:t>)</w:t>
      </w:r>
      <w:r w:rsidR="00EF281A" w:rsidRPr="003726FE">
        <w:rPr>
          <w:lang w:val="en-GB"/>
        </w:rPr>
        <w:fldChar w:fldCharType="end"/>
      </w:r>
      <w:r w:rsidR="00876A42" w:rsidRPr="003726FE">
        <w:rPr>
          <w:lang w:val="en-GB"/>
        </w:rPr>
        <w:t>.</w:t>
      </w:r>
    </w:p>
    <w:p w14:paraId="11B5A74F" w14:textId="77777777" w:rsidR="00477E60" w:rsidRPr="003726FE" w:rsidRDefault="00477E60" w:rsidP="00026049">
      <w:pPr>
        <w:pStyle w:val="Normal1"/>
        <w:rPr>
          <w:lang w:val="en-GB"/>
        </w:rPr>
      </w:pPr>
    </w:p>
    <w:p w14:paraId="00E03D32" w14:textId="78D29163" w:rsidR="00477E60" w:rsidRPr="003726FE" w:rsidRDefault="00477E60" w:rsidP="00026049">
      <w:pPr>
        <w:pStyle w:val="Normal1"/>
        <w:rPr>
          <w:lang w:val="en-GB"/>
        </w:rPr>
      </w:pPr>
      <w:r w:rsidRPr="003726FE">
        <w:rPr>
          <w:lang w:val="en-GB"/>
        </w:rPr>
        <w:t>Another limitation of this review was that a meta-analysis was not conducted to statistically synthesise outcome measures, significance values</w:t>
      </w:r>
      <w:r w:rsidR="00876A42" w:rsidRPr="003726FE">
        <w:rPr>
          <w:lang w:val="en-GB"/>
        </w:rPr>
        <w:t>,</w:t>
      </w:r>
      <w:r w:rsidRPr="003726FE">
        <w:rPr>
          <w:lang w:val="en-GB"/>
        </w:rPr>
        <w:t xml:space="preserve"> or effect sizes which may have lessened the impact of the</w:t>
      </w:r>
      <w:r w:rsidR="00876A42" w:rsidRPr="003726FE">
        <w:rPr>
          <w:lang w:val="en-GB"/>
        </w:rPr>
        <w:t>se</w:t>
      </w:r>
      <w:r w:rsidRPr="003726FE">
        <w:rPr>
          <w:lang w:val="en-GB"/>
        </w:rPr>
        <w:t xml:space="preserve"> findings. Although, a meta-analysis was not judged to be appropriate for this review due to the nature of its more qualitative aims and may have caused the analysis to be less inductive and in-depth as a result.</w:t>
      </w:r>
      <w:r w:rsidR="00EE794D">
        <w:rPr>
          <w:lang w:val="en-GB"/>
        </w:rPr>
        <w:t xml:space="preserve"> </w:t>
      </w:r>
    </w:p>
    <w:p w14:paraId="3598632F" w14:textId="77777777" w:rsidR="00477E60" w:rsidRPr="003726FE" w:rsidRDefault="00477E60" w:rsidP="00026049">
      <w:pPr>
        <w:pStyle w:val="Normal1"/>
        <w:rPr>
          <w:lang w:val="en-GB"/>
        </w:rPr>
      </w:pPr>
    </w:p>
    <w:p w14:paraId="3221C882" w14:textId="7CBEEC90" w:rsidR="00477E60" w:rsidRPr="003726FE" w:rsidRDefault="00477E60" w:rsidP="00026049">
      <w:pPr>
        <w:pStyle w:val="Normal1"/>
        <w:rPr>
          <w:lang w:val="en-GB"/>
        </w:rPr>
      </w:pPr>
      <w:r w:rsidRPr="003726FE">
        <w:rPr>
          <w:lang w:val="en-GB"/>
        </w:rPr>
        <w:t>As the literature base on this topic was small</w:t>
      </w:r>
      <w:r w:rsidR="00AB785E">
        <w:rPr>
          <w:lang w:val="en-GB"/>
        </w:rPr>
        <w:t>,</w:t>
      </w:r>
      <w:r w:rsidRPr="003726FE">
        <w:rPr>
          <w:lang w:val="en-GB"/>
        </w:rPr>
        <w:t xml:space="preserve"> the </w:t>
      </w:r>
      <w:r w:rsidR="008821D1" w:rsidRPr="003726FE">
        <w:rPr>
          <w:lang w:val="en-GB"/>
        </w:rPr>
        <w:t xml:space="preserve">inferences made from the </w:t>
      </w:r>
      <w:r w:rsidRPr="003726FE">
        <w:rPr>
          <w:lang w:val="en-GB"/>
        </w:rPr>
        <w:t xml:space="preserve">studies identified may </w:t>
      </w:r>
      <w:r w:rsidR="00AB785E">
        <w:rPr>
          <w:lang w:val="en-GB"/>
        </w:rPr>
        <w:t>have reduced significance and this</w:t>
      </w:r>
      <w:r w:rsidRPr="003726FE">
        <w:rPr>
          <w:lang w:val="en-GB"/>
        </w:rPr>
        <w:t xml:space="preserve"> </w:t>
      </w:r>
      <w:r w:rsidR="008821D1" w:rsidRPr="003726FE">
        <w:rPr>
          <w:lang w:val="en-GB"/>
        </w:rPr>
        <w:t>could</w:t>
      </w:r>
      <w:r w:rsidRPr="003726FE">
        <w:rPr>
          <w:lang w:val="en-GB"/>
        </w:rPr>
        <w:t xml:space="preserve"> </w:t>
      </w:r>
      <w:r w:rsidR="00AB785E">
        <w:rPr>
          <w:lang w:val="en-GB"/>
        </w:rPr>
        <w:t>impact upon</w:t>
      </w:r>
      <w:r w:rsidR="00EE794D">
        <w:rPr>
          <w:lang w:val="en-GB"/>
        </w:rPr>
        <w:t xml:space="preserve"> the usefulness of</w:t>
      </w:r>
      <w:r w:rsidRPr="003726FE">
        <w:rPr>
          <w:lang w:val="en-GB"/>
        </w:rPr>
        <w:t xml:space="preserve"> the conclusions drawn from this review </w:t>
      </w:r>
      <w:r w:rsidR="00EF281A" w:rsidRPr="003726FE">
        <w:rPr>
          <w:lang w:val="en-GB"/>
        </w:rPr>
        <w:fldChar w:fldCharType="begin"/>
      </w:r>
      <w:r w:rsidR="008B61BE">
        <w:rPr>
          <w:lang w:val="en-GB"/>
        </w:rPr>
        <w:instrText xml:space="preserve"> ADDIN EN.CITE &lt;EndNote&gt;&lt;Cite&gt;&lt;Author&gt;Crowther&lt;/Author&gt;&lt;Year&gt;2007&lt;/Year&gt;&lt;RecNum&gt;58&lt;/RecNum&gt;&lt;DisplayText&gt;(Crowther and Cook 2007)&lt;/DisplayText&gt;&lt;record&gt;&lt;rec-number&gt;58&lt;/rec-number&gt;&lt;foreign-keys&gt;&lt;key app="EN" db-id="xa2r2ewea92trkef5dt5arvbzafvpv2za5ft" timestamp="1442161763"&gt;58&lt;/key&gt;&lt;/foreign-keys&gt;&lt;ref-type name="Journal Article"&gt;17&lt;/ref-type&gt;&lt;contributors&gt;&lt;authors&gt;&lt;author&gt;Crowther, M. A.&lt;/author&gt;&lt;author&gt;Cook, D. J.&lt;/author&gt;&lt;/authors&gt;&lt;/contributors&gt;&lt;auth-address&gt;St. Joseph&amp;apos;s Hospital, 50 Charlton Ave. East, Rm L208, Hamilton, ON L8N 4A6, Canada. crowthrm@mcmaster.ca&lt;/auth-address&gt;&lt;titles&gt;&lt;title&gt;Trials and tribulations of systematic reviews and meta-analyses&lt;/title&gt;&lt;secondary-title&gt;American Society of Hematology Education Program book&lt;/secondary-title&gt;&lt;/titles&gt;&lt;periodical&gt;&lt;full-title&gt;American Society of Hematology Education Program book&lt;/full-title&gt;&lt;/periodical&gt;&lt;pages&gt;493-497&lt;/pages&gt;&lt;keywords&gt;&lt;keyword&gt;Evidence-Based Medicine&lt;/keyword&gt;&lt;keyword&gt;Meta-Analysis as Topic&lt;/keyword&gt;&lt;keyword&gt;Sensitivity and Specificity&lt;/keyword&gt;&lt;/keywords&gt;&lt;dates&gt;&lt;year&gt;2007&lt;/year&gt;&lt;/dates&gt;&lt;pub-location&gt;United States&lt;/pub-location&gt;&lt;urls&gt;&lt;/urls&gt;&lt;/record&gt;&lt;/Cite&gt;&lt;/EndNote&gt;</w:instrText>
      </w:r>
      <w:r w:rsidR="00EF281A" w:rsidRPr="003726FE">
        <w:rPr>
          <w:lang w:val="en-GB"/>
        </w:rPr>
        <w:fldChar w:fldCharType="separate"/>
      </w:r>
      <w:r w:rsidR="004E5A78" w:rsidRPr="003726FE">
        <w:rPr>
          <w:noProof/>
          <w:lang w:val="en-GB"/>
        </w:rPr>
        <w:t>(</w:t>
      </w:r>
      <w:hyperlink w:anchor="_ENREF_107" w:tooltip="Crowther, 2007 #58" w:history="1">
        <w:r w:rsidR="0094469E" w:rsidRPr="003726FE">
          <w:rPr>
            <w:noProof/>
            <w:lang w:val="en-GB"/>
          </w:rPr>
          <w:t>Crowther and Cook 2007</w:t>
        </w:r>
      </w:hyperlink>
      <w:r w:rsidR="004E5A78" w:rsidRPr="003726FE">
        <w:rPr>
          <w:noProof/>
          <w:lang w:val="en-GB"/>
        </w:rPr>
        <w:t>)</w:t>
      </w:r>
      <w:r w:rsidR="00EF281A" w:rsidRPr="003726FE">
        <w:rPr>
          <w:lang w:val="en-GB"/>
        </w:rPr>
        <w:fldChar w:fldCharType="end"/>
      </w:r>
      <w:r w:rsidRPr="003726FE">
        <w:rPr>
          <w:lang w:val="en-GB"/>
        </w:rPr>
        <w:t>. This effect may be lessened due to the focus of the review question</w:t>
      </w:r>
      <w:r w:rsidR="008821D1" w:rsidRPr="003726FE">
        <w:rPr>
          <w:lang w:val="en-GB"/>
        </w:rPr>
        <w:t xml:space="preserve">s as their aim </w:t>
      </w:r>
      <w:r w:rsidRPr="003726FE">
        <w:rPr>
          <w:lang w:val="en-GB"/>
        </w:rPr>
        <w:t xml:space="preserve">was not purely to </w:t>
      </w:r>
      <w:r w:rsidR="009A1184">
        <w:rPr>
          <w:lang w:val="en-GB"/>
        </w:rPr>
        <w:t>evaluate</w:t>
      </w:r>
      <w:r w:rsidRPr="003726FE">
        <w:rPr>
          <w:lang w:val="en-GB"/>
        </w:rPr>
        <w:t xml:space="preserve"> the direct effect upon performance, but to understand how these interventions were </w:t>
      </w:r>
      <w:r w:rsidR="00157BB5">
        <w:rPr>
          <w:lang w:val="en-GB"/>
        </w:rPr>
        <w:t>being</w:t>
      </w:r>
      <w:r w:rsidR="00157BB5" w:rsidRPr="003726FE">
        <w:rPr>
          <w:lang w:val="en-GB"/>
        </w:rPr>
        <w:t xml:space="preserve"> </w:t>
      </w:r>
      <w:r w:rsidRPr="003726FE">
        <w:rPr>
          <w:lang w:val="en-GB"/>
        </w:rPr>
        <w:t>used in the topic area. As the studies identified were not all in the area of medicine and did not always explicitly use or measure SRL informed feedback</w:t>
      </w:r>
      <w:r w:rsidR="00E31414">
        <w:rPr>
          <w:lang w:val="en-GB"/>
        </w:rPr>
        <w:t>, this may limit the inferences that can be made to inform the present study</w:t>
      </w:r>
      <w:r w:rsidRPr="003726FE">
        <w:rPr>
          <w:lang w:val="en-GB"/>
        </w:rPr>
        <w:t>. This limitation was to be expected given the novel nature of the direct use of SRL informed feedback in any educational literature, the weaknesses and gaps in the current literature inform</w:t>
      </w:r>
      <w:r w:rsidR="008821D1" w:rsidRPr="003726FE">
        <w:rPr>
          <w:lang w:val="en-GB"/>
        </w:rPr>
        <w:t>ed</w:t>
      </w:r>
      <w:r w:rsidRPr="003726FE">
        <w:rPr>
          <w:lang w:val="en-GB"/>
        </w:rPr>
        <w:t xml:space="preserve"> </w:t>
      </w:r>
      <w:r w:rsidR="008821D1" w:rsidRPr="003726FE">
        <w:rPr>
          <w:lang w:val="en-GB"/>
        </w:rPr>
        <w:t>the work presented in this thesis as a result</w:t>
      </w:r>
      <w:r w:rsidR="00E31414">
        <w:rPr>
          <w:lang w:val="en-GB"/>
        </w:rPr>
        <w:t>.</w:t>
      </w:r>
    </w:p>
    <w:p w14:paraId="3DEB6B53" w14:textId="77777777" w:rsidR="00477E60" w:rsidRPr="003726FE" w:rsidRDefault="00477E60" w:rsidP="00026049">
      <w:pPr>
        <w:pStyle w:val="Normal1"/>
        <w:rPr>
          <w:lang w:val="en-GB"/>
        </w:rPr>
      </w:pPr>
    </w:p>
    <w:p w14:paraId="0B8136C8" w14:textId="71FF071E" w:rsidR="00477E60" w:rsidRPr="003726FE" w:rsidRDefault="00477E60" w:rsidP="00026049">
      <w:pPr>
        <w:pStyle w:val="Normal1"/>
        <w:rPr>
          <w:lang w:val="en-GB"/>
        </w:rPr>
      </w:pPr>
      <w:r w:rsidRPr="003726FE">
        <w:rPr>
          <w:lang w:val="en-GB"/>
        </w:rPr>
        <w:t xml:space="preserve">The rigour of the inclusion/exclusion criteria and transparent search strategy was an important strength for this review, it ensured that the most suitable records were </w:t>
      </w:r>
      <w:r w:rsidRPr="003726FE">
        <w:rPr>
          <w:lang w:val="en-GB"/>
        </w:rPr>
        <w:lastRenderedPageBreak/>
        <w:t>identified and screened reflecting a more systematic process. The full reporting and alignment of all the different stages of this review a</w:t>
      </w:r>
      <w:r w:rsidR="008821D1" w:rsidRPr="003726FE">
        <w:rPr>
          <w:lang w:val="en-GB"/>
        </w:rPr>
        <w:t>s recommended by topical experts</w:t>
      </w:r>
      <w:r w:rsidRPr="003726FE">
        <w:rPr>
          <w:lang w:val="en-GB"/>
        </w:rPr>
        <w:t xml:space="preserve"> also helped to ensure a full and clear report on </w:t>
      </w:r>
      <w:r w:rsidR="00E31414">
        <w:rPr>
          <w:lang w:val="en-GB"/>
        </w:rPr>
        <w:t xml:space="preserve">the </w:t>
      </w:r>
      <w:r w:rsidRPr="003726FE">
        <w:rPr>
          <w:lang w:val="en-GB"/>
        </w:rPr>
        <w:t xml:space="preserve">specific review methods </w:t>
      </w:r>
      <w:r w:rsidR="00EF281A" w:rsidRPr="003726FE">
        <w:rPr>
          <w:lang w:val="en-GB"/>
        </w:rPr>
        <w:fldChar w:fldCharType="begin"/>
      </w:r>
      <w:r w:rsidR="008B61BE">
        <w:rPr>
          <w:lang w:val="en-GB"/>
        </w:rPr>
        <w:instrText xml:space="preserve"> ADDIN EN.CITE &lt;EndNote&gt;&lt;Cite&gt;&lt;Author&gt;Sharma&lt;/Author&gt;&lt;Year&gt;2014&lt;/Year&gt;&lt;RecNum&gt;238&lt;/RecNum&gt;&lt;DisplayText&gt;(Sharma et al. 2014)&lt;/DisplayText&gt;&lt;record&gt;&lt;rec-number&gt;238&lt;/rec-number&gt;&lt;foreign-keys&gt;&lt;key app="EN" db-id="xa2r2ewea92trkef5dt5arvbzafvpv2za5ft" timestamp="1442161765"&gt;238&lt;/key&gt;&lt;/foreign-keys&gt;&lt;ref-type name="Journal Article"&gt;17&lt;/ref-type&gt;&lt;contributors&gt;&lt;authors&gt;&lt;author&gt;Sharma, Richa&lt;/author&gt;&lt;author&gt;Gordon, Morris&lt;/author&gt;&lt;author&gt;Dharamsi, Shafik&lt;/author&gt;&lt;author&gt;Gibbs, Trevor&lt;/author&gt;&lt;/authors&gt;&lt;/contributors&gt;&lt;titles&gt;&lt;title&gt;Systematic reviews in medical education: A practical approach: AMEE Guide 94&lt;/title&gt;&lt;secondary-title&gt;Medical teacher&lt;/secondary-title&gt;&lt;/titles&gt;&lt;periodical&gt;&lt;full-title&gt;Medical teacher&lt;/full-title&gt;&lt;/periodical&gt;&lt;pages&gt;1-17&lt;/pages&gt;&lt;number&gt;0&lt;/number&gt;&lt;dates&gt;&lt;year&gt;2014&lt;/year&gt;&lt;/dates&gt;&lt;publisher&gt;Informa UK Ltd. London&lt;/publisher&gt;&lt;urls&gt;&lt;/urls&gt;&lt;/record&gt;&lt;/Cite&gt;&lt;/EndNote&gt;</w:instrText>
      </w:r>
      <w:r w:rsidR="00EF281A" w:rsidRPr="003726FE">
        <w:rPr>
          <w:lang w:val="en-GB"/>
        </w:rPr>
        <w:fldChar w:fldCharType="separate"/>
      </w:r>
      <w:r w:rsidR="004E5A78" w:rsidRPr="003726FE">
        <w:rPr>
          <w:noProof/>
          <w:lang w:val="en-GB"/>
        </w:rPr>
        <w:t>(</w:t>
      </w:r>
      <w:hyperlink w:anchor="_ENREF_385" w:tooltip="Sharma, 2014 #508" w:history="1">
        <w:r w:rsidR="0094469E" w:rsidRPr="003726FE">
          <w:rPr>
            <w:noProof/>
            <w:lang w:val="en-GB"/>
          </w:rPr>
          <w:t>Sharma et al. 2014</w:t>
        </w:r>
      </w:hyperlink>
      <w:r w:rsidR="004E5A78" w:rsidRPr="003726FE">
        <w:rPr>
          <w:noProof/>
          <w:lang w:val="en-GB"/>
        </w:rPr>
        <w:t>)</w:t>
      </w:r>
      <w:r w:rsidR="00EF281A" w:rsidRPr="003726FE">
        <w:rPr>
          <w:lang w:val="en-GB"/>
        </w:rPr>
        <w:fldChar w:fldCharType="end"/>
      </w:r>
      <w:r w:rsidRPr="003726FE">
        <w:rPr>
          <w:lang w:val="en-GB"/>
        </w:rPr>
        <w:t>.</w:t>
      </w:r>
    </w:p>
    <w:p w14:paraId="771F5225" w14:textId="77777777" w:rsidR="00477E60" w:rsidRPr="003726FE" w:rsidRDefault="00477E60" w:rsidP="00026049">
      <w:pPr>
        <w:pStyle w:val="Normal1"/>
        <w:rPr>
          <w:lang w:val="en-GB"/>
        </w:rPr>
      </w:pPr>
    </w:p>
    <w:p w14:paraId="079F5E30" w14:textId="49BE5CAE" w:rsidR="00477E60" w:rsidRPr="003726FE" w:rsidRDefault="00F65BA5" w:rsidP="00BA4521">
      <w:pPr>
        <w:pStyle w:val="Heading3"/>
      </w:pPr>
      <w:bookmarkStart w:id="179" w:name="_Toc429988459"/>
      <w:bookmarkStart w:id="180" w:name="_Toc500319339"/>
      <w:r w:rsidRPr="003726FE">
        <w:t xml:space="preserve">A2.5.2 </w:t>
      </w:r>
      <w:r w:rsidR="00477E60" w:rsidRPr="003726FE">
        <w:t xml:space="preserve">Implications for </w:t>
      </w:r>
      <w:r w:rsidR="00652754" w:rsidRPr="003726FE">
        <w:t xml:space="preserve">the </w:t>
      </w:r>
      <w:r w:rsidR="004B592B">
        <w:t>P</w:t>
      </w:r>
      <w:r w:rsidR="00652754" w:rsidRPr="003726FE">
        <w:t>resent</w:t>
      </w:r>
      <w:r w:rsidR="00477E60" w:rsidRPr="003726FE">
        <w:t xml:space="preserve"> </w:t>
      </w:r>
      <w:bookmarkEnd w:id="179"/>
      <w:r w:rsidR="004B592B">
        <w:t>S</w:t>
      </w:r>
      <w:r w:rsidR="00652754" w:rsidRPr="003726FE">
        <w:t xml:space="preserve">tudy and </w:t>
      </w:r>
      <w:r w:rsidR="004B592B">
        <w:t>F</w:t>
      </w:r>
      <w:r w:rsidR="00652754" w:rsidRPr="003726FE">
        <w:t xml:space="preserve">uture </w:t>
      </w:r>
      <w:r w:rsidR="004B592B">
        <w:t>R</w:t>
      </w:r>
      <w:r w:rsidR="00652754" w:rsidRPr="003726FE">
        <w:t>esearch</w:t>
      </w:r>
      <w:bookmarkEnd w:id="180"/>
    </w:p>
    <w:p w14:paraId="07ED1DF3" w14:textId="77777777" w:rsidR="00477E60" w:rsidRPr="003726FE" w:rsidRDefault="00477E60" w:rsidP="00026049">
      <w:pPr>
        <w:pStyle w:val="Normal1"/>
        <w:rPr>
          <w:lang w:val="en-GB"/>
        </w:rPr>
      </w:pPr>
    </w:p>
    <w:p w14:paraId="0CE6362A" w14:textId="7CACB452" w:rsidR="00652754" w:rsidRPr="003726FE" w:rsidRDefault="00477E60" w:rsidP="00026049">
      <w:pPr>
        <w:pStyle w:val="Normal1"/>
        <w:rPr>
          <w:lang w:val="en-GB"/>
        </w:rPr>
      </w:pPr>
      <w:r w:rsidRPr="003726FE">
        <w:rPr>
          <w:lang w:val="en-GB"/>
        </w:rPr>
        <w:t>This review of the wider educational field has shown that there are clear opportunit</w:t>
      </w:r>
      <w:r w:rsidR="00D20F78">
        <w:rPr>
          <w:lang w:val="en-GB"/>
        </w:rPr>
        <w:t>ies for development in the SRL informed feedback</w:t>
      </w:r>
      <w:r w:rsidRPr="003726FE">
        <w:rPr>
          <w:lang w:val="en-GB"/>
        </w:rPr>
        <w:t xml:space="preserve"> research area. </w:t>
      </w:r>
      <w:r w:rsidR="00652754" w:rsidRPr="003726FE">
        <w:rPr>
          <w:lang w:val="en-GB"/>
        </w:rPr>
        <w:t xml:space="preserve">There </w:t>
      </w:r>
      <w:r w:rsidR="00D20F78">
        <w:rPr>
          <w:lang w:val="en-GB"/>
        </w:rPr>
        <w:t>was</w:t>
      </w:r>
      <w:r w:rsidR="00652754" w:rsidRPr="003726FE">
        <w:rPr>
          <w:lang w:val="en-GB"/>
        </w:rPr>
        <w:t xml:space="preserve"> little </w:t>
      </w:r>
      <w:r w:rsidR="00EB7BDB">
        <w:rPr>
          <w:lang w:val="en-GB"/>
        </w:rPr>
        <w:t>consideration of the</w:t>
      </w:r>
      <w:r w:rsidR="00652754" w:rsidRPr="003726FE">
        <w:rPr>
          <w:lang w:val="en-GB"/>
        </w:rPr>
        <w:t xml:space="preserve"> contextual factors which influence</w:t>
      </w:r>
      <w:r w:rsidR="00D20F78">
        <w:rPr>
          <w:lang w:val="en-GB"/>
        </w:rPr>
        <w:t>d</w:t>
      </w:r>
      <w:r w:rsidR="00652754" w:rsidRPr="003726FE">
        <w:rPr>
          <w:lang w:val="en-GB"/>
        </w:rPr>
        <w:t xml:space="preserve"> SRL despite the highly contextualised nature and </w:t>
      </w:r>
      <w:r w:rsidR="00AB785E">
        <w:rPr>
          <w:lang w:val="en-GB"/>
        </w:rPr>
        <w:t>variability</w:t>
      </w:r>
      <w:r w:rsidR="00652754" w:rsidRPr="003726FE">
        <w:rPr>
          <w:lang w:val="en-GB"/>
        </w:rPr>
        <w:t xml:space="preserve"> of SRL</w:t>
      </w:r>
      <w:r w:rsidR="00AB785E">
        <w:rPr>
          <w:lang w:val="en-GB"/>
        </w:rPr>
        <w:t xml:space="preserve"> capabilities between individuals</w:t>
      </w:r>
      <w:r w:rsidR="00652754" w:rsidRPr="003726FE">
        <w:rPr>
          <w:lang w:val="en-GB"/>
        </w:rPr>
        <w:t xml:space="preserve"> </w:t>
      </w:r>
      <w:r w:rsidR="00EF281A" w:rsidRPr="003726FE">
        <w:rPr>
          <w:lang w:val="en-GB"/>
        </w:rPr>
        <w:fldChar w:fldCharType="begin"/>
      </w:r>
      <w:r w:rsidR="008B61BE">
        <w:rPr>
          <w:lang w:val="en-GB"/>
        </w:rPr>
        <w:instrText xml:space="preserve"> ADDIN EN.CITE &lt;EndNote&gt;&lt;Cite&gt;&lt;Author&gt;Winne&lt;/Author&gt;&lt;Year&gt;2014&lt;/Year&gt;&lt;RecNum&gt;539&lt;/RecNum&gt;&lt;DisplayText&gt;(Winne 2014)&lt;/DisplayText&gt;&lt;record&gt;&lt;rec-number&gt;539&lt;/rec-number&gt;&lt;foreign-keys&gt;&lt;key app="EN" db-id="xa2r2ewea92trkef5dt5arvbzafvpv2za5ft" timestamp="1496417552"&gt;539&lt;/key&gt;&lt;/foreign-keys&gt;&lt;ref-type name="Journal Article"&gt;17&lt;/ref-type&gt;&lt;contributors&gt;&lt;authors&gt;&lt;author&gt;Winne, Philip H.&lt;/author&gt;&lt;/authors&gt;&lt;/contributors&gt;&lt;titles&gt;&lt;title&gt;Issues in researching self-regulated learning as patterns of events&lt;/title&gt;&lt;secondary-title&gt;Metacognition and Learning&lt;/secondary-title&gt;&lt;/titles&gt;&lt;periodical&gt;&lt;full-title&gt;Metacognition and Learning&lt;/full-title&gt;&lt;/periodical&gt;&lt;pages&gt;229-237&lt;/pages&gt;&lt;volume&gt;9&lt;/volume&gt;&lt;number&gt;2&lt;/number&gt;&lt;dates&gt;&lt;year&gt;2014&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442" w:tooltip="Winne, 2014 #539" w:history="1">
        <w:r w:rsidR="0094469E" w:rsidRPr="003726FE">
          <w:rPr>
            <w:noProof/>
            <w:lang w:val="en-GB"/>
          </w:rPr>
          <w:t>Winne 2014</w:t>
        </w:r>
      </w:hyperlink>
      <w:r w:rsidR="004E5A78" w:rsidRPr="003726FE">
        <w:rPr>
          <w:noProof/>
          <w:lang w:val="en-GB"/>
        </w:rPr>
        <w:t>)</w:t>
      </w:r>
      <w:r w:rsidR="00EF281A" w:rsidRPr="003726FE">
        <w:rPr>
          <w:lang w:val="en-GB"/>
        </w:rPr>
        <w:fldChar w:fldCharType="end"/>
      </w:r>
      <w:r w:rsidR="00652754" w:rsidRPr="003726FE">
        <w:rPr>
          <w:lang w:val="en-GB"/>
        </w:rPr>
        <w:t xml:space="preserve">. SRL is affected by factors </w:t>
      </w:r>
      <w:r w:rsidR="0021662A">
        <w:rPr>
          <w:lang w:val="en-GB"/>
        </w:rPr>
        <w:t>including</w:t>
      </w:r>
      <w:r w:rsidR="00652754" w:rsidRPr="003726FE">
        <w:rPr>
          <w:lang w:val="en-GB"/>
        </w:rPr>
        <w:t xml:space="preserve"> task structure or societal stressors </w:t>
      </w:r>
      <w:r w:rsidR="00EF281A" w:rsidRPr="003726FE">
        <w:rPr>
          <w:lang w:val="en-GB"/>
        </w:rPr>
        <w:fldChar w:fldCharType="begin"/>
      </w:r>
      <w:r w:rsidR="008B61BE">
        <w:rPr>
          <w:lang w:val="en-GB"/>
        </w:rPr>
        <w:instrText xml:space="preserve"> ADDIN EN.CITE &lt;EndNote&gt;&lt;Cite&gt;&lt;Author&gt;Malmberg&lt;/Author&gt;&lt;Year&gt;2014&lt;/Year&gt;&lt;RecNum&gt;152&lt;/RecNum&gt;&lt;DisplayText&gt;(Malmberg et al. 2014)&lt;/DisplayText&gt;&lt;record&gt;&lt;rec-number&gt;152&lt;/rec-number&gt;&lt;foreign-keys&gt;&lt;key app="EN" db-id="xa2r2ewea92trkef5dt5arvbzafvpv2za5ft" timestamp="1442161764"&gt;152&lt;/key&gt;&lt;/foreign-keys&gt;&lt;ref-type name="Journal Article"&gt;17&lt;/ref-type&gt;&lt;contributors&gt;&lt;authors&gt;&lt;author&gt;Malmberg, Jonna&lt;/author&gt;&lt;author&gt;Järvelä, Sanna&lt;/author&gt;&lt;author&gt;Kirschner, Paul A.&lt;/author&gt;&lt;/authors&gt;&lt;/contributors&gt;&lt;titles&gt;&lt;title&gt;Elementary school students’ strategic learning: does task-type matter?&lt;/title&gt;&lt;secondary-title&gt;Metacognition and learning&lt;/secondary-title&gt;&lt;/titles&gt;&lt;periodical&gt;&lt;full-title&gt;Metacognition and Learning&lt;/full-title&gt;&lt;/periodical&gt;&lt;pages&gt;113-136&lt;/pages&gt;&lt;volume&gt;9&lt;/volume&gt;&lt;number&gt;2&lt;/number&gt;&lt;dates&gt;&lt;year&gt;2014&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253" w:tooltip="Malmberg, 2014 #152" w:history="1">
        <w:r w:rsidR="0094469E" w:rsidRPr="003726FE">
          <w:rPr>
            <w:noProof/>
            <w:lang w:val="en-GB"/>
          </w:rPr>
          <w:t>Malmberg et al. 2014</w:t>
        </w:r>
      </w:hyperlink>
      <w:r w:rsidR="004E5A78" w:rsidRPr="003726FE">
        <w:rPr>
          <w:noProof/>
          <w:lang w:val="en-GB"/>
        </w:rPr>
        <w:t>)</w:t>
      </w:r>
      <w:r w:rsidR="00EF281A" w:rsidRPr="003726FE">
        <w:rPr>
          <w:lang w:val="en-GB"/>
        </w:rPr>
        <w:fldChar w:fldCharType="end"/>
      </w:r>
      <w:r w:rsidR="00652754" w:rsidRPr="003726FE">
        <w:rPr>
          <w:lang w:val="en-GB"/>
        </w:rPr>
        <w:t xml:space="preserve">, none of which </w:t>
      </w:r>
      <w:r w:rsidR="00EB7BDB">
        <w:rPr>
          <w:lang w:val="en-GB"/>
        </w:rPr>
        <w:t>were</w:t>
      </w:r>
      <w:r w:rsidR="00652754" w:rsidRPr="003726FE">
        <w:rPr>
          <w:lang w:val="en-GB"/>
        </w:rPr>
        <w:t xml:space="preserve"> accounted for in this sample; researchers should </w:t>
      </w:r>
      <w:r w:rsidR="00EB7BDB">
        <w:rPr>
          <w:lang w:val="en-GB"/>
        </w:rPr>
        <w:t xml:space="preserve">consider these characteristics </w:t>
      </w:r>
      <w:r w:rsidR="00652754" w:rsidRPr="003726FE">
        <w:rPr>
          <w:lang w:val="en-GB"/>
        </w:rPr>
        <w:t xml:space="preserve">to capture SRL more subjectively. </w:t>
      </w:r>
    </w:p>
    <w:p w14:paraId="76B89038" w14:textId="77777777" w:rsidR="00652754" w:rsidRPr="003726FE" w:rsidRDefault="00652754" w:rsidP="00026049">
      <w:pPr>
        <w:pStyle w:val="Normal1"/>
        <w:rPr>
          <w:lang w:val="en-GB"/>
        </w:rPr>
      </w:pPr>
    </w:p>
    <w:p w14:paraId="21819F91" w14:textId="6AEC6163" w:rsidR="00652754" w:rsidRPr="003726FE" w:rsidRDefault="00652754" w:rsidP="00026049">
      <w:pPr>
        <w:pStyle w:val="Normal1"/>
        <w:rPr>
          <w:lang w:val="en-GB"/>
        </w:rPr>
      </w:pPr>
      <w:r w:rsidRPr="003726FE">
        <w:rPr>
          <w:lang w:val="en-GB"/>
        </w:rPr>
        <w:t xml:space="preserve">It is clear from this review and other syntheses on </w:t>
      </w:r>
      <w:r w:rsidR="0066444B" w:rsidRPr="003726FE">
        <w:rPr>
          <w:lang w:val="en-GB"/>
        </w:rPr>
        <w:t>SRL</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&lt;EndNote&gt;&lt;Cite&gt;&lt;Author&gt;Dinsmore&lt;/Author&gt;&lt;Year&gt;2008&lt;/Year&gt;&lt;RecNum&gt;68&lt;/RecNum&gt;&lt;DisplayText&gt;(Dinsmore et al. 2008)&lt;/DisplayText&gt;&lt;record&gt;&lt;rec-number&gt;68&lt;/rec-number&gt;&lt;foreign-keys&gt;&lt;key app="EN" db-id="xa2r2ewea92trkef5dt5arvbzafvpv2za5ft" timestamp="1442161763"&gt;68&lt;/key&gt;&lt;/foreign-keys&gt;&lt;ref-type name="Journal Article"&gt;17&lt;/ref-type&gt;&lt;contributors&gt;&lt;authors&gt;&lt;author&gt;Dinsmore, Daniel L.&lt;/author&gt;&lt;author&gt;Alexander, Patricia A.&lt;/author&gt;&lt;author&gt;Loughlin, Sandra M.&lt;/author&gt;&lt;/authors&gt;&lt;/contributors&gt;&lt;titles&gt;&lt;title&gt;Focusing the conceptual lens on metacognition, self-regulation, and self-regulated learning&lt;/title&gt;&lt;secondary-title&gt;Educational Psychology Review&lt;/secondary-title&gt;&lt;/titles&gt;&lt;periodical&gt;&lt;full-title&gt;Educational Psychology Review&lt;/full-title&gt;&lt;/periodical&gt;&lt;pages&gt;391-409&lt;/pages&gt;&lt;volume&gt;20&lt;/volume&gt;&lt;number&gt;4&lt;/number&gt;&lt;dates&gt;&lt;year&gt;2008&lt;/year&gt;&lt;/dates&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126" w:tooltip="Dinsmore, 2008 #68" w:history="1">
        <w:r w:rsidR="0094469E" w:rsidRPr="003726FE">
          <w:rPr>
            <w:noProof/>
            <w:lang w:val="en-GB"/>
          </w:rPr>
          <w:t>Dinsmore et al. 2008</w:t>
        </w:r>
      </w:hyperlink>
      <w:r w:rsidR="004E5A78" w:rsidRPr="003726FE">
        <w:rPr>
          <w:noProof/>
          <w:lang w:val="en-GB"/>
        </w:rPr>
        <w:t>)</w:t>
      </w:r>
      <w:r w:rsidR="00EF281A" w:rsidRPr="003726FE">
        <w:rPr>
          <w:lang w:val="en-GB"/>
        </w:rPr>
        <w:fldChar w:fldCharType="end"/>
      </w:r>
      <w:r w:rsidR="0066444B" w:rsidRPr="003726FE">
        <w:rPr>
          <w:lang w:val="en-GB"/>
        </w:rPr>
        <w:t xml:space="preserve"> and feedback </w:t>
      </w:r>
      <w:r w:rsidR="00EF281A" w:rsidRPr="003726FE">
        <w:rPr>
          <w:lang w:val="en-GB"/>
        </w:rPr>
        <w:fldChar w:fldCharType="begin"/>
      </w:r>
      <w:r w:rsidR="008B61BE">
        <w:rPr>
          <w:lang w:val="en-GB"/>
        </w:rPr>
        <w:instrText xml:space="preserve"> ADDIN EN.CITE &lt;EndNote&gt;&lt;Cite&gt;&lt;Author&gt;Hatala&lt;/Author&gt;&lt;Year&gt;2014&lt;/Year&gt;&lt;RecNum&gt;107&lt;/RecNum&gt;&lt;DisplayText&gt;(Hatala et al. 2014)&lt;/DisplayText&gt;&lt;record&gt;&lt;rec-number&gt;107&lt;/rec-number&gt;&lt;foreign-keys&gt;&lt;key app="EN" db-id="xa2r2ewea92trkef5dt5arvbzafvpv2za5ft" timestamp="1442161764"&gt;107&lt;/key&gt;&lt;/foreign-keys&gt;&lt;ref-type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00EF281A" w:rsidRPr="003726FE">
        <w:rPr>
          <w:lang w:val="en-GB"/>
        </w:rPr>
        <w:fldChar w:fldCharType="separate"/>
      </w:r>
      <w:r w:rsidR="004E5A78" w:rsidRPr="003726FE">
        <w:rPr>
          <w:noProof/>
          <w:lang w:val="en-GB"/>
        </w:rPr>
        <w:t>(</w:t>
      </w:r>
      <w:hyperlink w:anchor="_ENREF_183" w:tooltip="Hatala, 2014 #108" w:history="1">
        <w:r w:rsidR="0094469E" w:rsidRPr="003726FE">
          <w:rPr>
            <w:noProof/>
            <w:lang w:val="en-GB"/>
          </w:rPr>
          <w:t>Hatala et al. 2014</w:t>
        </w:r>
      </w:hyperlink>
      <w:r w:rsidR="004E5A78" w:rsidRPr="003726FE">
        <w:rPr>
          <w:noProof/>
          <w:lang w:val="en-GB"/>
        </w:rPr>
        <w:t>)</w:t>
      </w:r>
      <w:r w:rsidR="00EF281A" w:rsidRPr="003726FE">
        <w:rPr>
          <w:lang w:val="en-GB"/>
        </w:rPr>
        <w:fldChar w:fldCharType="end"/>
      </w:r>
      <w:r w:rsidRPr="003726FE">
        <w:rPr>
          <w:lang w:val="en-GB"/>
        </w:rPr>
        <w:t xml:space="preserve"> that retrospective, single measure approaches of SRL are not optimal for reporting a full spectrum of SRL strategies. </w:t>
      </w:r>
      <w:r w:rsidR="0066444B" w:rsidRPr="003726FE">
        <w:rPr>
          <w:lang w:val="en-GB"/>
        </w:rPr>
        <w:t xml:space="preserve">However, the use of </w:t>
      </w:r>
      <w:r w:rsidR="007040AC" w:rsidRPr="003726FE">
        <w:rPr>
          <w:lang w:val="en-GB"/>
        </w:rPr>
        <w:t>MA</w:t>
      </w:r>
      <w:r w:rsidR="0066444B" w:rsidRPr="003726FE">
        <w:rPr>
          <w:lang w:val="en-GB"/>
        </w:rPr>
        <w:t xml:space="preserve"> in some of these studies provides a way to assess multiple SRL processes in real time. This method captures contextualised SRL behaviours, providing a</w:t>
      </w:r>
      <w:r w:rsidR="00D20F78">
        <w:rPr>
          <w:lang w:val="en-GB"/>
        </w:rPr>
        <w:t xml:space="preserve"> method to then support student</w:t>
      </w:r>
      <w:r w:rsidR="0066444B" w:rsidRPr="003726FE">
        <w:rPr>
          <w:lang w:val="en-GB"/>
        </w:rPr>
        <w:t>s</w:t>
      </w:r>
      <w:r w:rsidR="00D20F78">
        <w:rPr>
          <w:lang w:val="en-GB"/>
        </w:rPr>
        <w:t>’</w:t>
      </w:r>
      <w:r w:rsidR="0066444B" w:rsidRPr="003726FE">
        <w:rPr>
          <w:lang w:val="en-GB"/>
        </w:rPr>
        <w:t xml:space="preserve"> SRL needs as they arise. This method has already been recommended for use in medical education settings to </w:t>
      </w:r>
      <w:r w:rsidR="009A1184">
        <w:rPr>
          <w:lang w:val="en-GB"/>
        </w:rPr>
        <w:t>evaluate</w:t>
      </w:r>
      <w:r w:rsidR="0066444B" w:rsidRPr="003726FE">
        <w:rPr>
          <w:lang w:val="en-GB"/>
        </w:rPr>
        <w:t xml:space="preserve"> and support SRL </w:t>
      </w:r>
      <w:r w:rsidR="00EF281A" w:rsidRPr="003726FE">
        <w:rPr>
          <w:lang w:val="en-GB"/>
        </w:rPr>
        <w:fldChar w:fldCharType="begin"/>
      </w:r>
      <w:r w:rsidR="008B61BE">
        <w:rPr>
          <w:lang w:val="en-GB"/>
        </w:rPr>
        <w:instrText xml:space="preserve"> ADDIN EN.CITE &lt;EndNote&gt;&lt;Cite&gt;&lt;Author&gt;Cleary&lt;/Author&gt;&lt;Year&gt;2016&lt;/Year&gt;&lt;RecNum&gt;605&lt;/RecNum&gt;&lt;DisplayText&gt;(Cleary et al. 2016)&lt;/DisplayText&gt;&lt;record&gt;&lt;rec-number&gt;605&lt;/rec-number&gt;&lt;foreign-keys&gt;&lt;key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00EF281A" w:rsidRPr="003726FE">
        <w:rPr>
          <w:lang w:val="en-GB"/>
        </w:rPr>
        <w:fldChar w:fldCharType="separate"/>
      </w:r>
      <w:r w:rsidR="004E5A78" w:rsidRPr="003726FE">
        <w:rPr>
          <w:noProof/>
          <w:lang w:val="en-GB"/>
        </w:rPr>
        <w:t>(</w:t>
      </w:r>
      <w:hyperlink w:anchor="_ENREF_86" w:tooltip="Cleary, 2016 #605" w:history="1">
        <w:r w:rsidR="0094469E" w:rsidRPr="003726FE">
          <w:rPr>
            <w:noProof/>
            <w:lang w:val="en-GB"/>
          </w:rPr>
          <w:t>Cleary et al. 2016</w:t>
        </w:r>
      </w:hyperlink>
      <w:r w:rsidR="004E5A78" w:rsidRPr="003726FE">
        <w:rPr>
          <w:noProof/>
          <w:lang w:val="en-GB"/>
        </w:rPr>
        <w:t>)</w:t>
      </w:r>
      <w:r w:rsidR="00EF281A" w:rsidRPr="003726FE">
        <w:rPr>
          <w:lang w:val="en-GB"/>
        </w:rPr>
        <w:fldChar w:fldCharType="end"/>
      </w:r>
      <w:r w:rsidR="0066444B" w:rsidRPr="003726FE">
        <w:rPr>
          <w:lang w:val="en-GB"/>
        </w:rPr>
        <w:t>.</w:t>
      </w:r>
      <w:r w:rsidR="00B41F3F" w:rsidRPr="003726FE">
        <w:rPr>
          <w:lang w:val="en-GB"/>
        </w:rPr>
        <w:t xml:space="preserve"> </w:t>
      </w:r>
    </w:p>
    <w:p w14:paraId="04D354D2" w14:textId="77777777" w:rsidR="00652754" w:rsidRPr="003726FE" w:rsidRDefault="00652754" w:rsidP="00026049">
      <w:pPr>
        <w:pStyle w:val="Normal1"/>
        <w:rPr>
          <w:lang w:val="en-GB"/>
        </w:rPr>
      </w:pPr>
    </w:p>
    <w:p w14:paraId="7DE22DD5" w14:textId="42D3BF62" w:rsidR="00EB7BDB" w:rsidRPr="002F655D" w:rsidRDefault="00F00A51" w:rsidP="002F655D">
      <w:pPr>
        <w:pStyle w:val="Normal1"/>
        <w:rPr>
          <w:lang w:val="en-GB"/>
        </w:rPr>
      </w:pPr>
      <w:r w:rsidRPr="003726FE">
        <w:rPr>
          <w:lang w:val="en-GB"/>
        </w:rPr>
        <w:t xml:space="preserve">The present study </w:t>
      </w:r>
      <w:r w:rsidR="00D20F78">
        <w:rPr>
          <w:lang w:val="en-GB"/>
        </w:rPr>
        <w:t>used an intervention which was situated in simulated settings. P</w:t>
      </w:r>
      <w:r w:rsidR="00477E60" w:rsidRPr="003726FE">
        <w:rPr>
          <w:lang w:val="en-GB"/>
        </w:rPr>
        <w:t>rocedural skill</w:t>
      </w:r>
      <w:r w:rsidR="00D20F78">
        <w:rPr>
          <w:lang w:val="en-GB"/>
        </w:rPr>
        <w:t>s</w:t>
      </w:r>
      <w:r w:rsidR="00477E60" w:rsidRPr="003726FE">
        <w:rPr>
          <w:lang w:val="en-GB"/>
        </w:rPr>
        <w:t xml:space="preserve"> acquisition and competency is integral in medical practice but </w:t>
      </w:r>
      <w:r w:rsidRPr="003726FE">
        <w:rPr>
          <w:lang w:val="en-GB"/>
        </w:rPr>
        <w:t xml:space="preserve">some </w:t>
      </w:r>
      <w:r w:rsidR="00477E60" w:rsidRPr="003726FE">
        <w:rPr>
          <w:lang w:val="en-GB"/>
        </w:rPr>
        <w:t xml:space="preserve">practitioners warn that the current system of teaching is too basic and may compromise patient safety </w:t>
      </w:r>
      <w:r w:rsidR="00EF281A" w:rsidRPr="003726FE">
        <w:rPr>
          <w:lang w:val="en-GB"/>
        </w:rPr>
        <w:fldChar w:fldCharType="begin"/>
      </w:r>
      <w:r w:rsidR="008B61BE">
        <w:rPr>
          <w:lang w:val="en-GB"/>
        </w:rPr>
        <w:instrText xml:space="preserve"> ADDIN EN.CITE &lt;EndNote&gt;&lt;Cite&gt;&lt;Author&gt;Ziv&lt;/Author&gt;&lt;Year&gt;2003&lt;/Year&gt;&lt;RecNum&gt;284&lt;/RecNum&gt;&lt;DisplayText&gt;(Ziv et al. 2003)&lt;/DisplayText&gt;&lt;record&gt;&lt;rec-number&gt;284&lt;/rec-number&gt;&lt;foreign-keys&gt;&lt;key app="EN" db-id="xa2r2ewea92trkef5dt5arvbzafvpv2za5ft" timestamp="1442161766"&gt;284&lt;/key&gt;&lt;/foreign-keys&gt;&lt;ref-type name="Journal Article"&gt;17&lt;/ref-type&gt;&lt;contributors&gt;&lt;authors&gt;&lt;author&gt;Ziv, Amitai&lt;/author&gt;&lt;author&gt;Wolpe, Paul Root&lt;/author&gt;&lt;author&gt;Small, Stephen D.&lt;/author&gt;&lt;author&gt;Glick, Shimon&lt;/author&gt;&lt;/authors&gt;&lt;/contributors&gt;&lt;titles&gt;&lt;title&gt;Simulation</w:instrText>
      </w:r>
      <w:r w:rsidR="008B61BE">
        <w:rPr>
          <w:rFonts w:ascii="Cambria Math" w:hAnsi="Cambria Math" w:cs="Cambria Math"/>
          <w:lang w:val="en-GB"/>
        </w:rPr>
        <w:instrText>‐</w:instrText>
      </w:r>
      <w:r w:rsidR="008B61BE">
        <w:rPr>
          <w:lang w:val="en-GB"/>
        </w:rPr>
        <w:instrText>based medical education: an ethical imperative&lt;/title&gt;&lt;secondary-title&gt;Academic Medicine&lt;/secondary-title&gt;&lt;/titles&gt;&lt;periodical&gt;&lt;full-title&gt;Academic Medicine&lt;/full-title&gt;&lt;/periodical&gt;&lt;pages&gt;783-788&lt;/pages&gt;&lt;volume&gt;78&lt;/volume&gt;&lt;number&gt;8&lt;/number&gt;&lt;dates&gt;&lt;year&gt;2003&lt;/year&gt;&lt;/dates&gt;&lt;publisher&gt;LWW&lt;/publisher&gt;&lt;urls&gt;&lt;/urls&gt;&lt;/record&gt;&lt;/Cite&gt;&lt;/EndNote&gt;</w:instrText>
      </w:r>
      <w:r w:rsidR="00EF281A" w:rsidRPr="003726FE">
        <w:rPr>
          <w:lang w:val="en-GB"/>
        </w:rPr>
        <w:fldChar w:fldCharType="separate"/>
      </w:r>
      <w:r w:rsidR="004E5A78" w:rsidRPr="003726FE">
        <w:rPr>
          <w:noProof/>
          <w:lang w:val="en-GB"/>
        </w:rPr>
        <w:t>(</w:t>
      </w:r>
      <w:hyperlink w:anchor="_ENREF_467" w:tooltip="Ziv, 2003 #284" w:history="1">
        <w:r w:rsidR="0094469E" w:rsidRPr="003726FE">
          <w:rPr>
            <w:noProof/>
            <w:lang w:val="en-GB"/>
          </w:rPr>
          <w:t>Ziv et al. 2003</w:t>
        </w:r>
      </w:hyperlink>
      <w:r w:rsidR="004E5A78" w:rsidRPr="003726FE">
        <w:rPr>
          <w:noProof/>
          <w:lang w:val="en-GB"/>
        </w:rPr>
        <w:t>)</w:t>
      </w:r>
      <w:r w:rsidR="00EF281A" w:rsidRPr="003726FE">
        <w:rPr>
          <w:lang w:val="en-GB"/>
        </w:rPr>
        <w:fldChar w:fldCharType="end"/>
      </w:r>
      <w:r w:rsidR="00477E60" w:rsidRPr="003726FE">
        <w:rPr>
          <w:lang w:val="en-GB"/>
        </w:rPr>
        <w:t xml:space="preserve">. </w:t>
      </w:r>
      <w:hyperlink w:anchor="_ENREF_361" w:tooltip="Sawyer, 2015 #932" w:history="1">
        <w:r w:rsidR="0094469E" w:rsidRPr="003726FE">
          <w:rPr>
            <w:lang w:val="en-GB"/>
          </w:rPr>
          <w:fldChar w:fldCharType="begin"/>
        </w:r>
        <w:r w:rsidR="0094469E">
          <w:rPr>
            <w:lang w:val="en-GB"/>
          </w:rPr>
          <w:instrText xml:space="preserve"> ADDIN EN.CITE &lt;EndNote&gt;&lt;Cite AuthorYear="1"&gt;&lt;Author&gt;Sawyer&lt;/Author&gt;&lt;Year&gt;2015&lt;/Year&gt;&lt;RecNum&gt;932&lt;/RecNum&gt;&lt;Pages&gt;6&lt;/Pages&gt;&lt;DisplayText&gt;Sawyer et al. (2015, p. 6)&lt;/DisplayText&gt;&lt;record&gt;&lt;rec-number&gt;932&lt;/rec-number&gt;&lt;foreign-keys&gt;&lt;key app="EN" db-id="xa2r2ewea92trkef5dt5arvbzafvpv2za5ft" timestamp="1499342639"&gt;932&lt;/key&gt;&lt;/foreign-keys&gt;&lt;ref-type name="Journal Article"&gt;17&lt;/ref-type&gt;&lt;contributors&gt;&lt;authors&gt;&lt;author&gt;Sawyer, Taylor&lt;/author&gt;&lt;author&gt;White, Marjorie&lt;/author&gt;&lt;author&gt;Zaveri, Pavan&lt;/author&gt;&lt;author&gt;Chang, Todd&lt;/author&gt;&lt;author&gt;Ades, Anne&lt;/author&gt;&lt;author&gt;French, Heather&lt;/author&gt;&lt;author&gt;Anderson, JoDee&lt;/author&gt;&lt;author&gt;Auerbach, Marc&lt;/author&gt;&lt;author&gt;Johnston, Lindsay&lt;/author&gt;&lt;author&gt;Kessler, David&lt;/author&gt;&lt;/authors&gt;&lt;/contributors&gt;&lt;titles&gt;&lt;title&gt;Learn, see, practice, prove, do, maintain: an evidence-based pedagogical framework for procedural skill training in medicine&lt;/title&gt;&lt;secondary-title&gt;Academic Medicine&lt;/secondary-title&gt;&lt;/titles&gt;&lt;periodical&gt;&lt;full-title&gt;Academic Medicine&lt;/full-title&gt;&lt;/periodical&gt;&lt;pages&gt;1025-1033&lt;/pages&gt;&lt;volume&gt;90&lt;/volume&gt;&lt;number&gt;8&lt;/number&gt;&lt;dates&gt;&lt;year&gt;2015&lt;/year&gt;&lt;/dates&gt;&lt;isbn&gt;1040-2446&lt;/isbn&gt;&lt;urls&gt;&lt;/urls&gt;&lt;/record&gt;&lt;/Cite&gt;&lt;/EndNote&gt;</w:instrText>
        </w:r>
        <w:r w:rsidR="0094469E" w:rsidRPr="003726FE">
          <w:rPr>
            <w:lang w:val="en-GB"/>
          </w:rPr>
          <w:fldChar w:fldCharType="separate"/>
        </w:r>
        <w:r w:rsidR="0094469E">
          <w:rPr>
            <w:noProof/>
            <w:lang w:val="en-GB"/>
          </w:rPr>
          <w:t>Sawyer et al. (2015, p. 6)</w:t>
        </w:r>
        <w:r w:rsidR="0094469E" w:rsidRPr="003726FE">
          <w:rPr>
            <w:lang w:val="en-GB"/>
          </w:rPr>
          <w:fldChar w:fldCharType="end"/>
        </w:r>
      </w:hyperlink>
      <w:r w:rsidR="00EB7BDB">
        <w:rPr>
          <w:lang w:val="en-GB"/>
        </w:rPr>
        <w:t xml:space="preserve"> </w:t>
      </w:r>
      <w:r w:rsidR="00EB7BDB" w:rsidRPr="003726FE">
        <w:rPr>
          <w:lang w:val="en-GB"/>
        </w:rPr>
        <w:t>suggest</w:t>
      </w:r>
      <w:r w:rsidR="00EB7BDB">
        <w:rPr>
          <w:lang w:val="en-GB"/>
        </w:rPr>
        <w:t>ed</w:t>
      </w:r>
      <w:r w:rsidR="00EB7BDB" w:rsidRPr="003726FE">
        <w:rPr>
          <w:lang w:val="en-GB"/>
        </w:rPr>
        <w:t xml:space="preserve"> a new evidence based pedagogical framework focusing more on the process of learning and practicing these skills in sequenced phases: “learn, see practice, prove, do, maintain”</w:t>
      </w:r>
      <w:r w:rsidR="00477E60" w:rsidRPr="003726FE">
        <w:rPr>
          <w:lang w:val="en-GB"/>
        </w:rPr>
        <w:t xml:space="preserve">. This framework represents a focus on psychomotor skills with the learner’s development in mind. It is clear </w:t>
      </w:r>
      <w:r w:rsidR="00FC0FFB" w:rsidRPr="003726FE">
        <w:rPr>
          <w:lang w:val="en-GB"/>
        </w:rPr>
        <w:t>that for</w:t>
      </w:r>
      <w:r w:rsidR="00477E60" w:rsidRPr="003726FE">
        <w:rPr>
          <w:lang w:val="en-GB"/>
        </w:rPr>
        <w:t xml:space="preserve"> a </w:t>
      </w:r>
      <w:r w:rsidR="00EB7BDB">
        <w:rPr>
          <w:lang w:val="en-GB"/>
        </w:rPr>
        <w:t>learner</w:t>
      </w:r>
      <w:r w:rsidR="00477E60" w:rsidRPr="003726FE">
        <w:rPr>
          <w:lang w:val="en-GB"/>
        </w:rPr>
        <w:t xml:space="preserve"> to progress through this model, a meaningful and longitudinal learning and performance effect must be maintained throughout the process. Feedback informed by SRL may provide this </w:t>
      </w:r>
      <w:r w:rsidR="00826050">
        <w:rPr>
          <w:lang w:val="en-GB"/>
        </w:rPr>
        <w:t>longer-term</w:t>
      </w:r>
      <w:r w:rsidR="00477E60" w:rsidRPr="003726FE">
        <w:rPr>
          <w:lang w:val="en-GB"/>
        </w:rPr>
        <w:t xml:space="preserve"> effect.</w:t>
      </w:r>
      <w:r w:rsidR="00B41F3F" w:rsidRPr="003726FE">
        <w:rPr>
          <w:lang w:val="en-GB"/>
        </w:rPr>
        <w:t xml:space="preserve"> Repeated measures of SRL are also clearly needed and should be incorporated into longitudinal studies to explore SRL transferability across contexts and over time.</w:t>
      </w:r>
      <w:bookmarkStart w:id="181" w:name="_Toc429988460"/>
    </w:p>
    <w:p w14:paraId="7D9444F5" w14:textId="7F410ED0" w:rsidR="00477E60" w:rsidRPr="003726FE" w:rsidRDefault="00F65BA5" w:rsidP="00B1638D">
      <w:pPr>
        <w:pStyle w:val="Heading2"/>
        <w:rPr>
          <w:lang w:val="en-GB"/>
        </w:rPr>
      </w:pPr>
      <w:bookmarkStart w:id="182" w:name="_Toc500319340"/>
      <w:r w:rsidRPr="003726FE">
        <w:rPr>
          <w:lang w:val="en-GB"/>
        </w:rPr>
        <w:lastRenderedPageBreak/>
        <w:t xml:space="preserve">A2.6 </w:t>
      </w:r>
      <w:bookmarkEnd w:id="181"/>
      <w:r w:rsidRPr="003726FE">
        <w:rPr>
          <w:lang w:val="en-GB"/>
        </w:rPr>
        <w:t>Conclusion</w:t>
      </w:r>
      <w:bookmarkEnd w:id="182"/>
    </w:p>
    <w:p w14:paraId="30DBB017" w14:textId="77777777" w:rsidR="003726FE" w:rsidRPr="003726FE" w:rsidRDefault="003726FE" w:rsidP="003726FE">
      <w:pPr>
        <w:pStyle w:val="Normal1"/>
        <w:rPr>
          <w:lang w:val="en-GB"/>
        </w:rPr>
      </w:pPr>
    </w:p>
    <w:p w14:paraId="76FF3B4B" w14:textId="225915F5" w:rsidR="003726FE" w:rsidRPr="003726FE" w:rsidRDefault="003726FE" w:rsidP="003726FE">
      <w:pPr>
        <w:pStyle w:val="Normal1"/>
        <w:rPr>
          <w:lang w:val="en-GB"/>
        </w:rPr>
      </w:pPr>
      <w:r w:rsidRPr="003726FE">
        <w:rPr>
          <w:lang w:val="en-GB"/>
        </w:rPr>
        <w:t xml:space="preserve">This review, in line with others </w:t>
      </w:r>
      <w:r w:rsidRPr="003726FE">
        <w:rPr>
          <w:lang w:val="en-GB"/>
        </w:rPr>
        <w:fldChar w:fldCharType="begin">
          <w:fldData xml:space="preserve">PEVuZE5vdGU+PENpdGU+PEF1dGhvcj5IYXR0aWU8L0F1dGhvcj48WWVhcj4yMDA3PC9ZZWFyPjxS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</w:fldData>
        </w:fldChar>
      </w:r>
      <w:r w:rsidR="008B61BE">
        <w:rPr>
          <w:lang w:val="en-GB"/>
        </w:rPr>
        <w:instrText xml:space="preserve"> ADDIN EN.CITE </w:instrText>
      </w:r>
      <w:r w:rsidR="008B61BE">
        <w:rPr>
          <w:lang w:val="en-GB"/>
        </w:rPr>
        <w:fldChar w:fldCharType="begin">
          <w:fldData xml:space="preserve">PEVuZE5vdGU+PENpdGU+PEF1dGhvcj5IYXR0aWU8L0F1dGhvcj48WWVhcj4yMDA3PC9ZZWFyPjxS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</w:fldData>
        </w:fldChar>
      </w:r>
      <w:r w:rsidR="008B61BE">
        <w:rPr>
          <w:lang w:val="en-GB"/>
        </w:rPr>
        <w:instrText xml:space="preserve"> ADDIN EN.CITE.DATA </w:instrText>
      </w:r>
      <w:r w:rsidR="008B61BE">
        <w:rPr>
          <w:lang w:val="en-GB"/>
        </w:rPr>
      </w:r>
      <w:r w:rsidR="008B61BE">
        <w:rPr>
          <w:lang w:val="en-GB"/>
        </w:rPr>
        <w:fldChar w:fldCharType="end"/>
      </w:r>
      <w:r w:rsidRPr="003726FE">
        <w:rPr>
          <w:lang w:val="en-GB"/>
        </w:rPr>
      </w:r>
      <w:r w:rsidRPr="003726FE">
        <w:rPr>
          <w:lang w:val="en-GB"/>
        </w:rPr>
        <w:fldChar w:fldCharType="separate"/>
      </w:r>
      <w:r w:rsidRPr="003726FE">
        <w:rPr>
          <w:noProof/>
          <w:lang w:val="en-GB"/>
        </w:rPr>
        <w:t>(</w:t>
      </w:r>
      <w:hyperlink w:anchor="_ENREF_184" w:tooltip="Hattie, 2007 #109" w:history="1">
        <w:r w:rsidR="0094469E" w:rsidRPr="003726FE">
          <w:rPr>
            <w:noProof/>
            <w:lang w:val="en-GB"/>
          </w:rPr>
          <w:t>Hattie and Timperley 2007</w:t>
        </w:r>
      </w:hyperlink>
      <w:r w:rsidRPr="003726FE">
        <w:rPr>
          <w:noProof/>
          <w:lang w:val="en-GB"/>
        </w:rPr>
        <w:t xml:space="preserve">; </w:t>
      </w:r>
      <w:hyperlink w:anchor="_ENREF_126" w:tooltip="Dinsmore, 2008 #68" w:history="1">
        <w:r w:rsidR="0094469E" w:rsidRPr="003726FE">
          <w:rPr>
            <w:noProof/>
            <w:lang w:val="en-GB"/>
          </w:rPr>
          <w:t>Dinsmore et al. 2008</w:t>
        </w:r>
      </w:hyperlink>
      <w:r w:rsidRPr="003726FE">
        <w:rPr>
          <w:noProof/>
          <w:lang w:val="en-GB"/>
        </w:rPr>
        <w:t xml:space="preserve">; </w:t>
      </w:r>
      <w:hyperlink w:anchor="_ENREF_183" w:tooltip="Hatala, 2014 #108" w:history="1">
        <w:r w:rsidR="0094469E" w:rsidRPr="003726FE">
          <w:rPr>
            <w:noProof/>
            <w:lang w:val="en-GB"/>
          </w:rPr>
          <w:t>Hatala et al. 2014</w:t>
        </w:r>
      </w:hyperlink>
      <w:r w:rsidRPr="003726FE">
        <w:rPr>
          <w:noProof/>
          <w:lang w:val="en-GB"/>
        </w:rPr>
        <w:t xml:space="preserve">; </w:t>
      </w:r>
      <w:hyperlink w:anchor="_ENREF_56" w:tooltip="Brydges, 2015 #18" w:history="1">
        <w:r w:rsidR="0094469E" w:rsidRPr="003726FE">
          <w:rPr>
            <w:noProof/>
            <w:lang w:val="en-GB"/>
          </w:rPr>
          <w:t>Brydges et al. 2015</w:t>
        </w:r>
      </w:hyperlink>
      <w:r w:rsidRPr="003726FE">
        <w:rPr>
          <w:noProof/>
          <w:lang w:val="en-GB"/>
        </w:rPr>
        <w:t>)</w:t>
      </w:r>
      <w:r w:rsidRPr="003726FE">
        <w:rPr>
          <w:lang w:val="en-GB"/>
        </w:rPr>
        <w:fldChar w:fldCharType="end"/>
      </w:r>
      <w:r w:rsidRPr="003726FE">
        <w:rPr>
          <w:lang w:val="en-GB"/>
        </w:rPr>
        <w:t>, highlighted methodological issues and clear gaps in the literature regarding SRL interventions and feedback, including:</w:t>
      </w:r>
    </w:p>
    <w:p w14:paraId="38929D63" w14:textId="77777777" w:rsidR="003726FE" w:rsidRPr="003726FE" w:rsidRDefault="003726FE" w:rsidP="003726FE">
      <w:pPr>
        <w:pStyle w:val="Normal1"/>
        <w:rPr>
          <w:lang w:val="en-GB"/>
        </w:rPr>
      </w:pPr>
    </w:p>
    <w:p w14:paraId="6BACC397" w14:textId="77777777" w:rsidR="003726FE" w:rsidRPr="003726FE" w:rsidRDefault="003726FE" w:rsidP="003726FE">
      <w:pPr>
        <w:pStyle w:val="Normal1"/>
        <w:numPr>
          <w:ilvl w:val="0"/>
          <w:numId w:val="12"/>
        </w:numPr>
        <w:rPr>
          <w:lang w:val="en-GB"/>
        </w:rPr>
      </w:pPr>
      <w:r w:rsidRPr="003726FE">
        <w:rPr>
          <w:lang w:val="en-GB"/>
        </w:rPr>
        <w:t>No use of feedback to explicitly improve SRL behaviours.</w:t>
      </w:r>
    </w:p>
    <w:p w14:paraId="5DD875E2" w14:textId="77777777" w:rsidR="003726FE" w:rsidRPr="003726FE" w:rsidRDefault="003726FE" w:rsidP="003726FE">
      <w:pPr>
        <w:pStyle w:val="Normal1"/>
        <w:numPr>
          <w:ilvl w:val="0"/>
          <w:numId w:val="12"/>
        </w:numPr>
        <w:rPr>
          <w:lang w:val="en-GB"/>
        </w:rPr>
      </w:pPr>
      <w:r w:rsidRPr="003726FE">
        <w:rPr>
          <w:lang w:val="en-GB"/>
        </w:rPr>
        <w:t>A lack of use and specification of theoretical foundations in the study design.</w:t>
      </w:r>
    </w:p>
    <w:p w14:paraId="542F4D05" w14:textId="77777777" w:rsidR="003726FE" w:rsidRPr="003726FE" w:rsidRDefault="003726FE" w:rsidP="003726FE">
      <w:pPr>
        <w:pStyle w:val="Normal1"/>
        <w:numPr>
          <w:ilvl w:val="0"/>
          <w:numId w:val="12"/>
        </w:numPr>
        <w:rPr>
          <w:lang w:val="en-GB"/>
        </w:rPr>
      </w:pPr>
      <w:r w:rsidRPr="003726FE">
        <w:rPr>
          <w:lang w:val="en-GB"/>
        </w:rPr>
        <w:t>A lack of study on longitudinal effects of feedback.</w:t>
      </w:r>
    </w:p>
    <w:p w14:paraId="35AAA490" w14:textId="77777777" w:rsidR="003726FE" w:rsidRPr="003726FE" w:rsidRDefault="003726FE" w:rsidP="003726FE">
      <w:pPr>
        <w:pStyle w:val="Normal1"/>
        <w:numPr>
          <w:ilvl w:val="0"/>
          <w:numId w:val="12"/>
        </w:numPr>
        <w:rPr>
          <w:lang w:val="en-GB"/>
        </w:rPr>
      </w:pPr>
      <w:r w:rsidRPr="003726FE">
        <w:rPr>
          <w:lang w:val="en-GB"/>
        </w:rPr>
        <w:t>Singular, one-dimensional assessments of SRL.</w:t>
      </w:r>
    </w:p>
    <w:p w14:paraId="6E7809CB" w14:textId="77777777" w:rsidR="003726FE" w:rsidRPr="003726FE" w:rsidRDefault="003726FE" w:rsidP="003726FE">
      <w:pPr>
        <w:pStyle w:val="Normal1"/>
        <w:numPr>
          <w:ilvl w:val="0"/>
          <w:numId w:val="12"/>
        </w:numPr>
        <w:rPr>
          <w:lang w:val="en-GB"/>
        </w:rPr>
      </w:pPr>
      <w:r w:rsidRPr="003726FE">
        <w:rPr>
          <w:lang w:val="en-GB"/>
        </w:rPr>
        <w:t>Poor reporting of participant characteristics, sampling strategies, randomisation, and recruitment methods.</w:t>
      </w:r>
    </w:p>
    <w:p w14:paraId="0E1C96A7" w14:textId="77777777" w:rsidR="003726FE" w:rsidRPr="003726FE" w:rsidRDefault="003726FE" w:rsidP="003726FE">
      <w:pPr>
        <w:pStyle w:val="Normal1"/>
        <w:numPr>
          <w:ilvl w:val="0"/>
          <w:numId w:val="12"/>
        </w:numPr>
        <w:rPr>
          <w:lang w:val="en-GB"/>
        </w:rPr>
      </w:pPr>
      <w:r w:rsidRPr="003726FE">
        <w:rPr>
          <w:lang w:val="en-GB"/>
        </w:rPr>
        <w:t>No use of process evaluations or measures.</w:t>
      </w:r>
    </w:p>
    <w:p w14:paraId="79CC3957" w14:textId="77777777" w:rsidR="003726FE" w:rsidRPr="003726FE" w:rsidRDefault="003726FE" w:rsidP="003726FE">
      <w:pPr>
        <w:pStyle w:val="Normal1"/>
        <w:numPr>
          <w:ilvl w:val="0"/>
          <w:numId w:val="12"/>
        </w:numPr>
        <w:rPr>
          <w:lang w:val="en-GB"/>
        </w:rPr>
      </w:pPr>
      <w:r w:rsidRPr="003726FE">
        <w:rPr>
          <w:lang w:val="en-GB"/>
        </w:rPr>
        <w:t>The basic use of feedback in terms of mode of delivery.</w:t>
      </w:r>
    </w:p>
    <w:p w14:paraId="2AC0B30C" w14:textId="77777777" w:rsidR="003726FE" w:rsidRPr="003726FE" w:rsidRDefault="003726FE" w:rsidP="003726FE">
      <w:pPr>
        <w:pStyle w:val="Normal1"/>
        <w:rPr>
          <w:lang w:val="en-GB"/>
        </w:rPr>
      </w:pPr>
    </w:p>
    <w:p w14:paraId="39236AF0" w14:textId="443F9F1C" w:rsidR="00B43CBC" w:rsidRPr="003726FE" w:rsidRDefault="003726FE" w:rsidP="00026049">
      <w:pPr>
        <w:pStyle w:val="Normal1"/>
        <w:rPr>
          <w:lang w:val="en-GB"/>
        </w:rPr>
      </w:pPr>
      <w:r w:rsidRPr="003726FE">
        <w:rPr>
          <w:lang w:val="en-GB"/>
        </w:rPr>
        <w:t>This review, informed by the previous scoping review, identified major gaps in the area of SRL and feedback research. There is a clear need for an aligned structural model of SRL and feedback addressing issues of context</w:t>
      </w:r>
      <w:r w:rsidR="00AB785E">
        <w:rPr>
          <w:lang w:val="en-GB"/>
        </w:rPr>
        <w:t>ual</w:t>
      </w:r>
      <w:r w:rsidRPr="003726FE">
        <w:rPr>
          <w:lang w:val="en-GB"/>
        </w:rPr>
        <w:t xml:space="preserve"> transferability, environmental factors affecting SRL and the </w:t>
      </w:r>
      <w:r w:rsidR="00826050">
        <w:rPr>
          <w:lang w:val="en-GB"/>
        </w:rPr>
        <w:t>longer-term</w:t>
      </w:r>
      <w:r w:rsidRPr="003726FE">
        <w:rPr>
          <w:lang w:val="en-GB"/>
        </w:rPr>
        <w:t xml:space="preserve"> impact of any intervention on SRL learning strategies. Moreover, the literature has shown that transparent reporting and alignment of research aims to the appropriate methods is quintessential to the replicability and validity of the research design. Exploration and application of these practices in a simulated clinical environment may provide further insight into how medical educators can facilitate the develo</w:t>
      </w:r>
      <w:r>
        <w:rPr>
          <w:lang w:val="en-GB"/>
        </w:rPr>
        <w:t>pment of SRL in their students.</w:t>
      </w:r>
      <w:r w:rsidR="00F176D2" w:rsidRPr="003726FE">
        <w:rPr>
          <w:lang w:val="en-GB"/>
        </w:rPr>
        <w:br w:type="page"/>
      </w:r>
    </w:p>
    <w:p w14:paraId="264D6E86" w14:textId="1D205BF1" w:rsidR="00B07B0C" w:rsidRPr="003726FE" w:rsidRDefault="00822E3B" w:rsidP="00426FCB">
      <w:pPr>
        <w:pStyle w:val="Heading1"/>
      </w:pPr>
      <w:bookmarkStart w:id="183" w:name="_Toc487456823"/>
      <w:bookmarkStart w:id="184" w:name="_Toc487811203"/>
      <w:bookmarkStart w:id="185" w:name="_Toc488147546"/>
      <w:bookmarkStart w:id="186" w:name="_Toc488309158"/>
      <w:bookmarkStart w:id="187" w:name="_Toc488930119"/>
      <w:bookmarkStart w:id="188" w:name="_Toc489017333"/>
      <w:bookmarkStart w:id="189" w:name="_Toc489447687"/>
      <w:bookmarkStart w:id="190" w:name="_Toc490650174"/>
      <w:bookmarkStart w:id="191" w:name="_Toc500319341"/>
      <w:bookmarkStart w:id="192" w:name="_Toc500319536"/>
      <w:r w:rsidRPr="003726FE">
        <w:lastRenderedPageBreak/>
        <w:t>Chapter A3</w:t>
      </w:r>
      <w:r w:rsidR="00F176D2" w:rsidRPr="003726FE">
        <w:t xml:space="preserve">: </w:t>
      </w:r>
      <w:r w:rsidR="00B07B0C" w:rsidRPr="003726FE">
        <w:t>Methodology</w:t>
      </w:r>
      <w:bookmarkEnd w:id="183"/>
      <w:bookmarkEnd w:id="184"/>
      <w:bookmarkEnd w:id="185"/>
      <w:bookmarkEnd w:id="186"/>
      <w:bookmarkEnd w:id="187"/>
      <w:bookmarkEnd w:id="188"/>
      <w:bookmarkEnd w:id="189"/>
      <w:bookmarkEnd w:id="190"/>
      <w:bookmarkEnd w:id="191"/>
      <w:bookmarkEnd w:id="192"/>
    </w:p>
    <w:p w14:paraId="1FC91920" w14:textId="77777777" w:rsidR="00A24FB0" w:rsidRPr="003726FE" w:rsidRDefault="00A24FB0" w:rsidP="00026049">
      <w:pPr>
        <w:pStyle w:val="Normal1"/>
        <w:rPr>
          <w:lang w:val="en-GB"/>
        </w:rPr>
      </w:pPr>
    </w:p>
    <w:p w14:paraId="0395E20D" w14:textId="284F44ED" w:rsidR="00AD32A0" w:rsidRPr="003726FE" w:rsidRDefault="00AD32A0" w:rsidP="00B1638D">
      <w:pPr>
        <w:pStyle w:val="Heading2"/>
        <w:rPr>
          <w:lang w:val="en-GB"/>
        </w:rPr>
      </w:pPr>
      <w:bookmarkStart w:id="193" w:name="_Toc500319342"/>
      <w:r w:rsidRPr="003726FE">
        <w:rPr>
          <w:lang w:val="en-GB"/>
        </w:rPr>
        <w:t>A</w:t>
      </w:r>
      <w:r w:rsidR="00E53628" w:rsidRPr="003726FE">
        <w:rPr>
          <w:lang w:val="en-GB"/>
        </w:rPr>
        <w:t>3.1</w:t>
      </w:r>
      <w:r w:rsidRPr="003726FE">
        <w:rPr>
          <w:lang w:val="en-GB"/>
        </w:rPr>
        <w:t xml:space="preserve"> Research Design</w:t>
      </w:r>
      <w:bookmarkEnd w:id="193"/>
    </w:p>
    <w:p w14:paraId="280DB842" w14:textId="77777777" w:rsidR="00AD32A0" w:rsidRPr="003726FE" w:rsidRDefault="00AD32A0" w:rsidP="00AD32A0"/>
    <w:p w14:paraId="4D099F1A" w14:textId="2D204DB1" w:rsidR="00AD32A0" w:rsidRPr="003726FE" w:rsidRDefault="00AD32A0" w:rsidP="00026049">
      <w:pPr>
        <w:pStyle w:val="Normal1"/>
        <w:rPr>
          <w:lang w:val="en-GB"/>
        </w:rPr>
      </w:pPr>
      <w:r w:rsidRPr="003726FE">
        <w:rPr>
          <w:lang w:val="en-GB"/>
        </w:rPr>
        <w:t xml:space="preserve">“Research designs are procedures for collecting, </w:t>
      </w:r>
      <w:r w:rsidR="00716A98" w:rsidRPr="003726FE">
        <w:rPr>
          <w:lang w:val="en-GB"/>
        </w:rPr>
        <w:t>analysing</w:t>
      </w:r>
      <w:r w:rsidRPr="003726FE">
        <w:rPr>
          <w:lang w:val="en-GB"/>
        </w:rPr>
        <w:t xml:space="preserve">, interpreting, and reporting data in research studies” </w:t>
      </w:r>
      <w:r w:rsidR="00EF281A" w:rsidRPr="003726FE">
        <w:rPr>
          <w:lang w:val="en-GB"/>
        </w:rPr>
        <w:fldChar w:fldCharType="begin"/>
      </w:r>
      <w:r w:rsidR="008B61BE">
        <w:rPr>
          <w:lang w:val="en-GB"/>
        </w:rPr>
        <w:instrText xml:space="preserve"> ADDIN EN.CITE &lt;EndNote&gt;&lt;Cite&gt;&lt;Author&gt;Creswell&lt;/Author&gt;&lt;Year&gt;2007&lt;/Year&gt;&lt;RecNum&gt;53&lt;/RecNum&gt;&lt;Pages&gt;53&lt;/Pages&gt;&lt;DisplayText&gt;(Creswell and Clark 2007, p. 53)&lt;/DisplayText&gt;&lt;record&gt;&lt;rec-number&gt;53&lt;/rec-number&gt;&lt;foreign-keys&gt;&lt;key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Library&lt;/publisher&gt;&lt;urls&gt;&lt;/urls&gt;&lt;/record&gt;&lt;/Cite&gt;&lt;/EndNote&gt;</w:instrText>
      </w:r>
      <w:r w:rsidR="00EF281A" w:rsidRPr="003726FE">
        <w:rPr>
          <w:lang w:val="en-GB"/>
        </w:rPr>
        <w:fldChar w:fldCharType="separate"/>
      </w:r>
      <w:r w:rsidR="004E5A78" w:rsidRPr="003726FE">
        <w:rPr>
          <w:noProof/>
          <w:lang w:val="en-GB"/>
        </w:rPr>
        <w:t>(</w:t>
      </w:r>
      <w:hyperlink w:anchor="_ENREF_99" w:tooltip="Creswell, 2007 #53" w:history="1">
        <w:r w:rsidR="0094469E" w:rsidRPr="003726FE">
          <w:rPr>
            <w:noProof/>
            <w:lang w:val="en-GB"/>
          </w:rPr>
          <w:t>Creswell and Clark 2007, p. 53</w:t>
        </w:r>
      </w:hyperlink>
      <w:r w:rsidR="004E5A78" w:rsidRPr="003726FE">
        <w:rPr>
          <w:noProof/>
          <w:lang w:val="en-GB"/>
        </w:rPr>
        <w:t>)</w:t>
      </w:r>
      <w:r w:rsidR="00EF281A" w:rsidRPr="003726FE">
        <w:rPr>
          <w:lang w:val="en-GB"/>
        </w:rPr>
        <w:fldChar w:fldCharType="end"/>
      </w:r>
      <w:r w:rsidRPr="003726FE">
        <w:rPr>
          <w:lang w:val="en-GB"/>
        </w:rPr>
        <w:t>.</w:t>
      </w:r>
      <w:r w:rsidR="009D47AD" w:rsidRPr="003726FE">
        <w:rPr>
          <w:lang w:val="en-GB"/>
        </w:rPr>
        <w:t xml:space="preserve"> </w:t>
      </w:r>
      <w:hyperlink w:anchor="_ENREF_206" w:tooltip="Johnson, 2004 #119" w:history="1">
        <w:r w:rsidR="0094469E" w:rsidRPr="003726FE">
          <w:rPr>
            <w:lang w:val="en-GB"/>
          </w:rPr>
          <w:fldChar w:fldCharType="begin"/>
        </w:r>
        <w:r w:rsidR="0094469E">
          <w:rPr>
            <w:lang w:val="en-GB"/>
          </w:rPr>
          <w:instrText xml:space="preserve"> ADDIN EN.CITE &lt;EndNote&gt;&lt;Cite AuthorYear="1"&gt;&lt;Author&gt;Johnson&lt;/Author&gt;&lt;Year&gt;2004&lt;/Year&gt;&lt;RecNum&gt;119&lt;/RecNum&gt;&lt;Pages&gt;20&lt;/Pages&gt;&lt;DisplayText&gt;Johnson and Onwuegbuzie (2004, p. 20)&lt;/DisplayText&gt;&lt;record&gt;&lt;rec-number&gt;119&lt;/rec-number&gt;&lt;foreign-keys&gt;&lt;key app="EN" db-id="xa2r2ewea92trkef5dt5arvbzafvpv2za5ft" timestamp="1442161764"&gt;119&lt;/key&gt;&lt;/foreign-keys&gt;&lt;ref-type name="Journal Article"&gt;17&lt;/ref-type&gt;&lt;contributors&gt;&lt;authors&gt;&lt;author&gt;Johnson, R. Burke&lt;/author&gt;&lt;author&gt;Onwuegbuzie, Anthony J.&lt;/author&gt;&lt;/authors&gt;&lt;/contributors&gt;&lt;titles&gt;&lt;title&gt;Mixed methods research: A research paradigm whose time has come&lt;/title&gt;&lt;secondary-title&gt;Educational researcher&lt;/secondary-title&gt;&lt;/titles&gt;&lt;periodical&gt;&lt;full-title&gt;Educational researcher&lt;/full-title&gt;&lt;/periodical&gt;&lt;pages&gt;14-26&lt;/pages&gt;&lt;volume&gt;33&lt;/volume&gt;&lt;number&gt;7&lt;/number&gt;&lt;dates&gt;&lt;year&gt;2004&lt;/year&gt;&lt;/dates&gt;&lt;publisher&gt;Sage Publications&lt;/publisher&gt;&lt;urls&gt;&lt;/urls&gt;&lt;/record&gt;&lt;/Cite&gt;&lt;/EndNote&gt;</w:instrText>
        </w:r>
        <w:r w:rsidR="0094469E" w:rsidRPr="003726FE">
          <w:rPr>
            <w:lang w:val="en-GB"/>
          </w:rPr>
          <w:fldChar w:fldCharType="separate"/>
        </w:r>
        <w:r w:rsidR="0094469E" w:rsidRPr="003726FE">
          <w:rPr>
            <w:noProof/>
            <w:lang w:val="en-GB"/>
          </w:rPr>
          <w:t>Johnson and Onwuegbuzie (2004, p. 20)</w:t>
        </w:r>
        <w:r w:rsidR="0094469E" w:rsidRPr="003726FE">
          <w:rPr>
            <w:lang w:val="en-GB"/>
          </w:rPr>
          <w:fldChar w:fldCharType="end"/>
        </w:r>
      </w:hyperlink>
      <w:r w:rsidR="009D47AD" w:rsidRPr="003726FE">
        <w:rPr>
          <w:lang w:val="en-GB"/>
        </w:rPr>
        <w:t xml:space="preserve"> </w:t>
      </w:r>
      <w:r w:rsidR="00F271B4" w:rsidRPr="003726FE">
        <w:rPr>
          <w:lang w:val="en-GB"/>
        </w:rPr>
        <w:t>advise</w:t>
      </w:r>
      <w:r w:rsidR="007B25C7" w:rsidRPr="003726FE">
        <w:rPr>
          <w:lang w:val="en-GB"/>
        </w:rPr>
        <w:t>d</w:t>
      </w:r>
      <w:r w:rsidR="009D47AD" w:rsidRPr="003726FE">
        <w:rPr>
          <w:lang w:val="en-GB"/>
        </w:rPr>
        <w:t xml:space="preserve"> that when designing mixed methods r</w:t>
      </w:r>
      <w:r w:rsidR="001F3F42" w:rsidRPr="003726FE">
        <w:rPr>
          <w:lang w:val="en-GB"/>
        </w:rPr>
        <w:t>esearch investigator</w:t>
      </w:r>
      <w:r w:rsidR="005B1CA7">
        <w:rPr>
          <w:lang w:val="en-GB"/>
        </w:rPr>
        <w:t>s</w:t>
      </w:r>
      <w:r w:rsidR="001F3F42" w:rsidRPr="003726FE">
        <w:rPr>
          <w:lang w:val="en-GB"/>
        </w:rPr>
        <w:t xml:space="preserve"> should</w:t>
      </w:r>
      <w:r w:rsidR="009D47AD" w:rsidRPr="003726FE">
        <w:rPr>
          <w:lang w:val="en-GB"/>
        </w:rPr>
        <w:t xml:space="preserve"> “mindfully craft designs” to most effectively address their research question</w:t>
      </w:r>
      <w:r w:rsidR="00F271B4" w:rsidRPr="003726FE">
        <w:rPr>
          <w:lang w:val="en-GB"/>
        </w:rPr>
        <w:t>s</w:t>
      </w:r>
      <w:r w:rsidR="009D47AD" w:rsidRPr="003726FE">
        <w:rPr>
          <w:lang w:val="en-GB"/>
        </w:rPr>
        <w:t xml:space="preserve"> by combining methods </w:t>
      </w:r>
      <w:r w:rsidR="00AC7D5C">
        <w:rPr>
          <w:lang w:val="en-GB"/>
        </w:rPr>
        <w:t>that</w:t>
      </w:r>
      <w:r w:rsidR="009D47AD" w:rsidRPr="003726FE">
        <w:rPr>
          <w:lang w:val="en-GB"/>
        </w:rPr>
        <w:t xml:space="preserve"> corroborate understanding. </w:t>
      </w:r>
      <w:hyperlink w:anchor="_ENREF_105" w:tooltip="Crotty, 1998 #57" w:history="1">
        <w:r w:rsidR="0094469E" w:rsidRPr="003726FE">
          <w:rPr>
            <w:lang w:val="en-GB"/>
          </w:rPr>
          <w:fldChar w:fldCharType="begin"/>
        </w:r>
        <w:r w:rsidR="0094469E">
          <w:rPr>
            <w:lang w:val="en-GB"/>
          </w:rPr>
          <w:instrText xml:space="preserve"> ADDIN EN.CITE &lt;EndNote&gt;&lt;Cite AuthorYear="1"&gt;&lt;Author&gt;Crotty&lt;/Author&gt;&lt;Year&gt;1998&lt;/Year&gt;&lt;RecNum&gt;57&lt;/RecNum&gt;&lt;DisplayText&gt;Crotty (1998)&lt;/DisplayText&gt;&lt;record&gt;&lt;rec-number&gt;57&lt;/rec-number&gt;&lt;foreign-keys&gt;&lt;key app="EN" db-id="xa2r2ewea92trkef5dt5arvbzafvpv2za5ft" timestamp="1442161763"&gt;57&lt;/key&gt;&lt;/foreign-keys&gt;&lt;ref-type name="Book"&gt;6&lt;/ref-type&gt;&lt;contributors&gt;&lt;authors&gt;&lt;author&gt;Crotty, Michael&lt;/author&gt;&lt;/authors&gt;&lt;/contributors&gt;&lt;titles&gt;&lt;title&gt;The foundations of social research: Meaning and perspective in the research process&lt;/title&gt;&lt;/titles&gt;&lt;number&gt;Book, Whole&lt;/number&gt;&lt;dates&gt;&lt;year&gt;1998&lt;/year&gt;&lt;/dates&gt;&lt;publisher&gt;Sage&lt;/publisher&gt;&lt;urls&gt;&lt;/urls&gt;&lt;/record&gt;&lt;/Cite&gt;&lt;/EndNote&gt;</w:instrText>
        </w:r>
        <w:r w:rsidR="0094469E" w:rsidRPr="003726FE">
          <w:rPr>
            <w:lang w:val="en-GB"/>
          </w:rPr>
          <w:fldChar w:fldCharType="separate"/>
        </w:r>
        <w:r w:rsidR="0094469E" w:rsidRPr="003726FE">
          <w:rPr>
            <w:noProof/>
            <w:lang w:val="en-GB"/>
          </w:rPr>
          <w:t>Crotty (1998)</w:t>
        </w:r>
        <w:r w:rsidR="0094469E" w:rsidRPr="003726FE">
          <w:rPr>
            <w:lang w:val="en-GB"/>
          </w:rPr>
          <w:fldChar w:fldCharType="end"/>
        </w:r>
      </w:hyperlink>
      <w:r w:rsidR="00F271B4" w:rsidRPr="003726FE">
        <w:rPr>
          <w:lang w:val="en-GB"/>
        </w:rPr>
        <w:t xml:space="preserve"> </w:t>
      </w:r>
      <w:r w:rsidR="009D47AD" w:rsidRPr="003726FE">
        <w:rPr>
          <w:lang w:val="en-GB"/>
        </w:rPr>
        <w:t>conceptualised four</w:t>
      </w:r>
      <w:r w:rsidRPr="003726FE">
        <w:rPr>
          <w:lang w:val="en-GB"/>
        </w:rPr>
        <w:t xml:space="preserve"> major elements to consider when designing a mixed methods study. </w:t>
      </w:r>
      <w:r w:rsidR="00F271B4" w:rsidRPr="003726FE">
        <w:rPr>
          <w:lang w:val="en-GB"/>
        </w:rPr>
        <w:t xml:space="preserve">These are illustrated below with </w:t>
      </w:r>
      <w:r w:rsidR="00311B29" w:rsidRPr="003726FE">
        <w:rPr>
          <w:lang w:val="en-GB"/>
        </w:rPr>
        <w:t>each component relating to the design of the present study</w:t>
      </w:r>
      <w:r w:rsidR="001A6A82" w:rsidRPr="003726FE">
        <w:rPr>
          <w:lang w:val="en-GB"/>
        </w:rPr>
        <w:t xml:space="preserve"> (</w:t>
      </w:r>
      <w:r w:rsidR="00AE17C9" w:rsidRPr="003726FE">
        <w:rPr>
          <w:lang w:val="en-GB"/>
        </w:rPr>
        <w:t>Figure</w:t>
      </w:r>
      <w:r w:rsidR="001A6A82" w:rsidRPr="003726FE">
        <w:rPr>
          <w:lang w:val="en-GB"/>
        </w:rPr>
        <w:t xml:space="preserve"> </w:t>
      </w:r>
      <w:r w:rsidR="00AE4999" w:rsidRPr="003726FE">
        <w:rPr>
          <w:lang w:val="en-GB"/>
        </w:rPr>
        <w:t>A3.1</w:t>
      </w:r>
      <w:r w:rsidRPr="003726FE">
        <w:rPr>
          <w:lang w:val="en-GB"/>
        </w:rPr>
        <w:t>).</w:t>
      </w:r>
    </w:p>
    <w:p w14:paraId="0529903A" w14:textId="307FA0C0" w:rsidR="00AD32A0" w:rsidRPr="003726FE" w:rsidRDefault="0057311A" w:rsidP="00AD32A0">
      <w:r w:rsidRPr="003726FE">
        <w:rPr>
          <w:b/>
          <w:i/>
          <w:noProof/>
          <w:lang w:eastAsia="en-GB"/>
        </w:rPr>
        <w:drawing>
          <wp:anchor distT="0" distB="0" distL="114300" distR="114300" simplePos="0" relativeHeight="251644928" behindDoc="0" locked="0" layoutInCell="1" allowOverlap="1" wp14:anchorId="4D68B038" wp14:editId="55DFB1D5">
            <wp:simplePos x="0" y="0"/>
            <wp:positionH relativeFrom="column">
              <wp:posOffset>175471</wp:posOffset>
            </wp:positionH>
            <wp:positionV relativeFrom="paragraph">
              <wp:posOffset>314960</wp:posOffset>
            </wp:positionV>
            <wp:extent cx="4928400" cy="3200400"/>
            <wp:effectExtent l="0" t="0" r="24765" b="25400"/>
            <wp:wrapTopAndBottom/>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268EA423" w14:textId="44EC18C9" w:rsidR="00AD32A0" w:rsidRPr="003726FE" w:rsidRDefault="00AD32A0" w:rsidP="00AD32A0"/>
    <w:p w14:paraId="493BACDA" w14:textId="1640CEAE" w:rsidR="00AD32A0" w:rsidRPr="003726FE" w:rsidRDefault="00AE4999" w:rsidP="00AE4999">
      <w:pPr>
        <w:pStyle w:val="Caption"/>
      </w:pPr>
      <w:bookmarkStart w:id="194" w:name="_Toc500319537"/>
      <w:r w:rsidRPr="003726FE">
        <w:t>Figure A3.</w:t>
      </w:r>
      <w:fldSimple w:instr=" SEQ Figure_A3. \* ARABIC ">
        <w:r w:rsidR="00E44881">
          <w:rPr>
            <w:noProof/>
          </w:rPr>
          <w:t>1</w:t>
        </w:r>
      </w:fldSimple>
      <w:r w:rsidR="00AD32A0" w:rsidRPr="003726FE">
        <w:t xml:space="preserve"> </w:t>
      </w:r>
      <w:r w:rsidR="009D47AD" w:rsidRPr="003726FE">
        <w:t>C</w:t>
      </w:r>
      <w:r w:rsidR="00AD32A0" w:rsidRPr="003726FE">
        <w:t>onceptualisati</w:t>
      </w:r>
      <w:r w:rsidR="009D47AD" w:rsidRPr="003726FE">
        <w:t xml:space="preserve">on of the </w:t>
      </w:r>
      <w:r w:rsidR="00311B29" w:rsidRPr="003726FE">
        <w:t xml:space="preserve">present </w:t>
      </w:r>
      <w:r w:rsidR="009D47AD" w:rsidRPr="003726FE">
        <w:t xml:space="preserve">study design. </w:t>
      </w:r>
      <w:r w:rsidR="00AC7D5C">
        <w:t>Information</w:t>
      </w:r>
      <w:r w:rsidR="00AD32A0" w:rsidRPr="003726FE">
        <w:t xml:space="preserve"> from</w:t>
      </w:r>
      <w:r w:rsidR="00311B29" w:rsidRPr="003726FE">
        <w:t xml:space="preserve"> </w:t>
      </w:r>
      <w:hyperlink w:anchor="_ENREF_105" w:tooltip="Crotty, 1998 #57" w:history="1">
        <w:r w:rsidR="0094469E" w:rsidRPr="003726FE">
          <w:fldChar w:fldCharType="begin"/>
        </w:r>
        <w:r w:rsidR="0094469E">
          <w:instrText xml:space="preserve"> ADDIN EN.CITE &lt;EndNote&gt;&lt;Cite AuthorYear="1"&gt;&lt;Author&gt;Crotty&lt;/Author&gt;&lt;Year&gt;1998&lt;/Year&gt;&lt;RecNum&gt;57&lt;/RecNum&gt;&lt;DisplayText&gt;Crotty (1998)&lt;/DisplayText&gt;&lt;record&gt;&lt;rec-number&gt;57&lt;/rec-number&gt;&lt;foreign-keys&gt;&lt;key app="EN" db-id="xa2r2ewea92trkef5dt5arvbzafvpv2za5ft" timestamp="1442161763"&gt;57&lt;/key&gt;&lt;/foreign-keys&gt;&lt;ref-type name="Book"&gt;6&lt;/ref-type&gt;&lt;contributors&gt;&lt;authors&gt;&lt;author&gt;Crotty, Michael&lt;/author&gt;&lt;/authors&gt;&lt;/contributors&gt;&lt;titles&gt;&lt;title&gt;The foundations of social research: Meaning and perspective in the research process&lt;/title&gt;&lt;/titles&gt;&lt;number&gt;Book, Whole&lt;/number&gt;&lt;dates&gt;&lt;year&gt;1998&lt;/year&gt;&lt;/dates&gt;&lt;publisher&gt;Sage&lt;/publisher&gt;&lt;urls&gt;&lt;/urls&gt;&lt;/record&gt;&lt;/Cite&gt;&lt;/EndNote&gt;</w:instrText>
        </w:r>
        <w:r w:rsidR="0094469E" w:rsidRPr="003726FE">
          <w:fldChar w:fldCharType="separate"/>
        </w:r>
        <w:r w:rsidR="0094469E" w:rsidRPr="003726FE">
          <w:rPr>
            <w:noProof/>
          </w:rPr>
          <w:t>Crotty (1998)</w:t>
        </w:r>
        <w:r w:rsidR="0094469E" w:rsidRPr="003726FE">
          <w:fldChar w:fldCharType="end"/>
        </w:r>
      </w:hyperlink>
      <w:r w:rsidR="00AD32A0" w:rsidRPr="003726FE">
        <w:t>.</w:t>
      </w:r>
      <w:bookmarkEnd w:id="194"/>
    </w:p>
    <w:p w14:paraId="3F180434" w14:textId="77777777" w:rsidR="00247131" w:rsidRPr="003726FE" w:rsidRDefault="00247131" w:rsidP="00026049">
      <w:pPr>
        <w:pStyle w:val="Normal1"/>
        <w:rPr>
          <w:lang w:val="en-GB"/>
        </w:rPr>
      </w:pPr>
    </w:p>
    <w:p w14:paraId="730B8C96" w14:textId="7AF65348" w:rsidR="00AD32A0" w:rsidRPr="003726FE" w:rsidRDefault="00AD32A0" w:rsidP="00026049">
      <w:pPr>
        <w:pStyle w:val="Normal1"/>
        <w:rPr>
          <w:shd w:val="clear" w:color="auto" w:fill="FFFFFF"/>
          <w:lang w:val="en-GB"/>
        </w:rPr>
      </w:pPr>
      <w:r w:rsidRPr="003726FE">
        <w:rPr>
          <w:shd w:val="clear" w:color="auto" w:fill="FFFFFF"/>
          <w:lang w:val="en-GB"/>
        </w:rPr>
        <w:t>There are two broad approaches to mixed methods designs</w:t>
      </w:r>
      <w:r w:rsidR="001F3F42" w:rsidRPr="003726FE">
        <w:rPr>
          <w:shd w:val="clear" w:color="auto" w:fill="FFFFFF"/>
          <w:lang w:val="en-GB"/>
        </w:rPr>
        <w:t>: fixed and emergent. While</w:t>
      </w:r>
      <w:r w:rsidRPr="003726FE">
        <w:rPr>
          <w:shd w:val="clear" w:color="auto" w:fill="FFFFFF"/>
          <w:lang w:val="en-GB"/>
        </w:rPr>
        <w:t xml:space="preserve"> </w:t>
      </w:r>
      <w:r w:rsidR="00573802" w:rsidRPr="003726FE">
        <w:rPr>
          <w:shd w:val="clear" w:color="auto" w:fill="FFFFFF"/>
          <w:lang w:val="en-GB"/>
        </w:rPr>
        <w:t>other researchers</w:t>
      </w:r>
      <w:r w:rsidRPr="003726FE">
        <w:rPr>
          <w:shd w:val="clear" w:color="auto" w:fill="FFFFFF"/>
          <w:lang w:val="en-GB"/>
        </w:rPr>
        <w:t xml:space="preserve"> consider </w:t>
      </w:r>
      <w:r w:rsidR="001F3F42" w:rsidRPr="003726FE">
        <w:rPr>
          <w:shd w:val="clear" w:color="auto" w:fill="FFFFFF"/>
          <w:lang w:val="en-GB"/>
        </w:rPr>
        <w:t xml:space="preserve">these dichotomous, they </w:t>
      </w:r>
      <w:r w:rsidRPr="003726FE">
        <w:rPr>
          <w:shd w:val="clear" w:color="auto" w:fill="FFFFFF"/>
          <w:lang w:val="en-GB"/>
        </w:rPr>
        <w:t>are simply extreme ends of the same continuum. A design is ‘fixed’ when the methods used are “predetermined and planned” during the initial stages of the research process, then carried</w:t>
      </w:r>
      <w:r w:rsidR="00576423">
        <w:rPr>
          <w:shd w:val="clear" w:color="auto" w:fill="FFFFFF"/>
          <w:lang w:val="en-GB"/>
        </w:rPr>
        <w:t xml:space="preserve"> out accordingly</w:t>
      </w:r>
      <w:r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&lt;EndNote&gt;&lt;Cite&gt;&lt;Author&gt;Creswell&lt;/Author&gt;&lt;Year&gt;2007&lt;/Year&gt;&lt;RecNum&gt;53&lt;/RecNum&gt;&lt;Pages&gt;54&lt;/Pages&gt;&lt;DisplayText&gt;(Creswell and Clark 2007, p. 54)&lt;/DisplayText&gt;&lt;record&gt;&lt;rec-number&gt;53&lt;/rec-number&gt;&lt;foreign-keys&gt;&lt;key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99" w:tooltip="Creswell, 2007 #53" w:history="1">
        <w:r w:rsidR="0094469E" w:rsidRPr="003726FE">
          <w:rPr>
            <w:noProof/>
            <w:shd w:val="clear" w:color="auto" w:fill="FFFFFF"/>
            <w:lang w:val="en-GB"/>
          </w:rPr>
          <w:t>Creswell and Clark 2007, p. 54</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This opposes the ‘emergent’ design in which mixed methods </w:t>
      </w:r>
      <w:r w:rsidRPr="003726FE">
        <w:rPr>
          <w:shd w:val="clear" w:color="auto" w:fill="FFFFFF"/>
          <w:lang w:val="en-GB"/>
        </w:rPr>
        <w:lastRenderedPageBreak/>
        <w:t>techniques are added on to the design “due to issues that develop during the process of conducting the research”</w:t>
      </w:r>
      <w:r w:rsidR="00311B29"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&lt;EndNote&gt;&lt;Cite&gt;&lt;Author&gt;Creswell&lt;/Author&gt;&lt;Year&gt;2007&lt;/Year&gt;&lt;RecNum&gt;53&lt;/RecNum&gt;&lt;Pages&gt;54&lt;/Pages&gt;&lt;DisplayText&gt;(Creswell and Clark 2007, p. 54)&lt;/DisplayText&gt;&lt;record&gt;&lt;rec-number&gt;53&lt;/rec-number&gt;&lt;foreign-keys&gt;&lt;key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99" w:tooltip="Creswell, 2007 #53" w:history="1">
        <w:r w:rsidR="0094469E" w:rsidRPr="003726FE">
          <w:rPr>
            <w:noProof/>
            <w:shd w:val="clear" w:color="auto" w:fill="FFFFFF"/>
            <w:lang w:val="en-GB"/>
          </w:rPr>
          <w:t>Creswell and Clark 2007, p. 54</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w:t>
      </w:r>
    </w:p>
    <w:p w14:paraId="1D1D53B3" w14:textId="77777777" w:rsidR="00AD32A0" w:rsidRPr="003726FE" w:rsidRDefault="00AD32A0" w:rsidP="00026049">
      <w:pPr>
        <w:pStyle w:val="Normal1"/>
        <w:rPr>
          <w:shd w:val="clear" w:color="auto" w:fill="FFFFFF"/>
          <w:lang w:val="en-GB"/>
        </w:rPr>
      </w:pPr>
    </w:p>
    <w:p w14:paraId="5D4E8067" w14:textId="15F263A3" w:rsidR="00496ED2" w:rsidRPr="003726FE" w:rsidRDefault="00BF5391" w:rsidP="00026049">
      <w:pPr>
        <w:pStyle w:val="Normal1"/>
        <w:rPr>
          <w:shd w:val="clear" w:color="auto" w:fill="FFFFFF"/>
          <w:lang w:val="en-GB"/>
        </w:rPr>
      </w:pPr>
      <w:r w:rsidRPr="003726FE">
        <w:rPr>
          <w:shd w:val="clear" w:color="auto" w:fill="FFFFFF"/>
          <w:lang w:val="en-GB"/>
        </w:rPr>
        <w:t>A mix of</w:t>
      </w:r>
      <w:r w:rsidR="000A4F61" w:rsidRPr="003726FE">
        <w:rPr>
          <w:shd w:val="clear" w:color="auto" w:fill="FFFFFF"/>
          <w:lang w:val="en-GB"/>
        </w:rPr>
        <w:t xml:space="preserve"> </w:t>
      </w:r>
      <w:r w:rsidR="00062A9C" w:rsidRPr="003726FE">
        <w:rPr>
          <w:shd w:val="clear" w:color="auto" w:fill="FFFFFF"/>
          <w:lang w:val="en-GB"/>
        </w:rPr>
        <w:t>fixed and emergent design</w:t>
      </w:r>
      <w:r w:rsidR="000A4F61" w:rsidRPr="003726FE">
        <w:rPr>
          <w:shd w:val="clear" w:color="auto" w:fill="FFFFFF"/>
          <w:lang w:val="en-GB"/>
        </w:rPr>
        <w:t>s</w:t>
      </w:r>
      <w:r w:rsidRPr="003726FE">
        <w:rPr>
          <w:shd w:val="clear" w:color="auto" w:fill="FFFFFF"/>
          <w:lang w:val="en-GB"/>
        </w:rPr>
        <w:t xml:space="preserve"> was adopted</w:t>
      </w:r>
      <w:r w:rsidR="00062A9C" w:rsidRPr="003726FE">
        <w:rPr>
          <w:shd w:val="clear" w:color="auto" w:fill="FFFFFF"/>
          <w:lang w:val="en-GB"/>
        </w:rPr>
        <w:t xml:space="preserve">, focusing on planned methods </w:t>
      </w:r>
      <w:r w:rsidR="001F3F42" w:rsidRPr="003726FE">
        <w:rPr>
          <w:shd w:val="clear" w:color="auto" w:fill="FFFFFF"/>
          <w:lang w:val="en-GB"/>
        </w:rPr>
        <w:t>where</w:t>
      </w:r>
      <w:r w:rsidR="00062A9C" w:rsidRPr="003726FE">
        <w:rPr>
          <w:shd w:val="clear" w:color="auto" w:fill="FFFFFF"/>
          <w:lang w:val="en-GB"/>
        </w:rPr>
        <w:t xml:space="preserve"> the quantitative method informs the qualitative method.</w:t>
      </w:r>
      <w:r w:rsidR="000A4F61" w:rsidRPr="003726FE">
        <w:rPr>
          <w:shd w:val="clear" w:color="auto" w:fill="FFFFFF"/>
          <w:lang w:val="en-GB"/>
        </w:rPr>
        <w:t xml:space="preserve"> The rationale of this design </w:t>
      </w:r>
      <w:r w:rsidR="001F3F42" w:rsidRPr="003726FE">
        <w:rPr>
          <w:shd w:val="clear" w:color="auto" w:fill="FFFFFF"/>
          <w:lang w:val="en-GB"/>
        </w:rPr>
        <w:t>was</w:t>
      </w:r>
      <w:r w:rsidR="000A4F61" w:rsidRPr="003726FE">
        <w:rPr>
          <w:shd w:val="clear" w:color="auto" w:fill="FFFFFF"/>
          <w:lang w:val="en-GB"/>
        </w:rPr>
        <w:t xml:space="preserve"> to </w:t>
      </w:r>
      <w:r w:rsidR="00311B29" w:rsidRPr="003726FE">
        <w:rPr>
          <w:shd w:val="clear" w:color="auto" w:fill="FFFFFF"/>
          <w:lang w:val="en-GB"/>
        </w:rPr>
        <w:t>explore</w:t>
      </w:r>
      <w:r w:rsidR="000A4F61" w:rsidRPr="003726FE">
        <w:rPr>
          <w:shd w:val="clear" w:color="auto" w:fill="FFFFFF"/>
          <w:lang w:val="en-GB"/>
        </w:rPr>
        <w:t xml:space="preserve"> trends and/or relationships occurring in the quantitative strand using data collected in the qualitative strand</w:t>
      </w:r>
      <w:r w:rsidR="00311B29"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&lt;EndNote&gt;&lt;Cite&gt;&lt;Author&gt;Creswell&lt;/Author&gt;&lt;Year&gt;2003&lt;/Year&gt;&lt;RecNum&gt;56&lt;/RecNum&gt;&lt;DisplayText&gt;(Creswell et al. 2003)&lt;/DisplayText&gt;&lt;record&gt;&lt;rec-number&gt;56&lt;/rec-number&gt;&lt;foreign-keys&gt;&lt;key app="EN" db-id="xa2r2ewea92trkef5dt5arvbzafvpv2za5ft" timestamp="1442161763"&gt;56&lt;/key&gt;&lt;/foreign-keys&gt;&lt;ref-type name="Book Section"&gt;5&lt;/ref-type&gt;&lt;contributors&gt;&lt;authors&gt;&lt;author&gt;Creswell, John W.&lt;/author&gt;&lt;author&gt;Plano Clark, Vicki L.&lt;/author&gt;&lt;author&gt;Gutmann, Michelle L.&lt;/author&gt;&lt;author&gt;Hanson, William E.&lt;/author&gt;&lt;/authors&gt;&lt;/contributors&gt;&lt;titles&gt;&lt;title&gt;Advanced mixed methods research designs&lt;/title&gt;&lt;secondary-title&gt;Handbook of mixed methods in social &amp;amp; behavioral research&lt;/secondary-title&gt;&lt;/titles&gt;&lt;pages&gt;209-240&lt;/pages&gt;&lt;num-vols&gt;Book, Section&lt;/num-vols&gt;&lt;dates&gt;&lt;year&gt;2003&lt;/year&gt;&lt;/dates&gt;&lt;pub-location&gt;Thousand Oaks, CA&lt;/pub-location&gt;&lt;publisher&gt;Sage&lt;/publisher&gt;&lt;urls&gt;&lt;/urls&gt;&lt;/record&gt;&lt;/Cite&gt;&lt;/EndNote&gt;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04" w:tooltip="Creswell, 2003 #56" w:history="1">
        <w:r w:rsidR="0094469E" w:rsidRPr="003726FE">
          <w:rPr>
            <w:noProof/>
            <w:shd w:val="clear" w:color="auto" w:fill="FFFFFF"/>
            <w:lang w:val="en-GB"/>
          </w:rPr>
          <w:t>Creswell et al. 2003</w:t>
        </w:r>
      </w:hyperlink>
      <w:r w:rsidR="004E5A78" w:rsidRPr="003726FE">
        <w:rPr>
          <w:noProof/>
          <w:shd w:val="clear" w:color="auto" w:fill="FFFFFF"/>
          <w:lang w:val="en-GB"/>
        </w:rPr>
        <w:t>)</w:t>
      </w:r>
      <w:r w:rsidR="00EF281A" w:rsidRPr="003726FE">
        <w:rPr>
          <w:shd w:val="clear" w:color="auto" w:fill="FFFFFF"/>
          <w:lang w:val="en-GB"/>
        </w:rPr>
        <w:fldChar w:fldCharType="end"/>
      </w:r>
      <w:r w:rsidR="000A4F61" w:rsidRPr="003726FE">
        <w:rPr>
          <w:shd w:val="clear" w:color="auto" w:fill="FFFFFF"/>
          <w:lang w:val="en-GB"/>
        </w:rPr>
        <w:t>. However, this only addresse</w:t>
      </w:r>
      <w:r w:rsidR="00AC7D5C">
        <w:rPr>
          <w:shd w:val="clear" w:color="auto" w:fill="FFFFFF"/>
          <w:lang w:val="en-GB"/>
        </w:rPr>
        <w:t>d</w:t>
      </w:r>
      <w:r w:rsidR="000A4F61" w:rsidRPr="003726FE">
        <w:rPr>
          <w:shd w:val="clear" w:color="auto" w:fill="FFFFFF"/>
          <w:lang w:val="en-GB"/>
        </w:rPr>
        <w:t xml:space="preserve"> the research question concerning </w:t>
      </w:r>
      <w:r w:rsidR="00496ED2" w:rsidRPr="003726FE">
        <w:rPr>
          <w:shd w:val="clear" w:color="auto" w:fill="FFFFFF"/>
          <w:lang w:val="en-GB"/>
        </w:rPr>
        <w:t xml:space="preserve">how teaching using </w:t>
      </w:r>
      <w:r w:rsidR="00311B29" w:rsidRPr="003726FE">
        <w:rPr>
          <w:shd w:val="clear" w:color="auto" w:fill="FFFFFF"/>
          <w:lang w:val="en-GB"/>
        </w:rPr>
        <w:t>different</w:t>
      </w:r>
      <w:r w:rsidR="00496ED2" w:rsidRPr="003726FE">
        <w:rPr>
          <w:shd w:val="clear" w:color="auto" w:fill="FFFFFF"/>
          <w:lang w:val="en-GB"/>
        </w:rPr>
        <w:t xml:space="preserve"> feedback</w:t>
      </w:r>
      <w:r w:rsidR="00311B29" w:rsidRPr="003726FE">
        <w:rPr>
          <w:shd w:val="clear" w:color="auto" w:fill="FFFFFF"/>
          <w:lang w:val="en-GB"/>
        </w:rPr>
        <w:t xml:space="preserve"> </w:t>
      </w:r>
      <w:r w:rsidR="00576423">
        <w:rPr>
          <w:shd w:val="clear" w:color="auto" w:fill="FFFFFF"/>
          <w:lang w:val="en-GB"/>
        </w:rPr>
        <w:t>models</w:t>
      </w:r>
      <w:r w:rsidR="00496ED2" w:rsidRPr="003726FE">
        <w:rPr>
          <w:shd w:val="clear" w:color="auto" w:fill="FFFFFF"/>
          <w:lang w:val="en-GB"/>
        </w:rPr>
        <w:t xml:space="preserve"> impacts upon students’ current and future SRL behaviours. In addition to answering that question, inquiry was focused </w:t>
      </w:r>
      <w:r w:rsidR="00311B29" w:rsidRPr="003726FE">
        <w:rPr>
          <w:shd w:val="clear" w:color="auto" w:fill="FFFFFF"/>
          <w:lang w:val="en-GB"/>
        </w:rPr>
        <w:t xml:space="preserve">on </w:t>
      </w:r>
      <w:r w:rsidR="00496ED2" w:rsidRPr="003726FE">
        <w:rPr>
          <w:shd w:val="clear" w:color="auto" w:fill="FFFFFF"/>
          <w:lang w:val="en-GB"/>
        </w:rPr>
        <w:t xml:space="preserve">addressing the research questions regarding students’ SRL behaviours and responses to feedback, as well as teacher responses to the different feedback </w:t>
      </w:r>
      <w:r w:rsidR="00AC7D5C">
        <w:rPr>
          <w:shd w:val="clear" w:color="auto" w:fill="FFFFFF"/>
          <w:lang w:val="en-GB"/>
        </w:rPr>
        <w:t>models</w:t>
      </w:r>
      <w:r w:rsidR="00496ED2" w:rsidRPr="003726FE">
        <w:rPr>
          <w:shd w:val="clear" w:color="auto" w:fill="FFFFFF"/>
          <w:lang w:val="en-GB"/>
        </w:rPr>
        <w:t>. Therefore, the qualitative method was not exclusively informed by the quantitative</w:t>
      </w:r>
      <w:r w:rsidR="001F3F42" w:rsidRPr="003726FE">
        <w:rPr>
          <w:shd w:val="clear" w:color="auto" w:fill="FFFFFF"/>
          <w:lang w:val="en-GB"/>
        </w:rPr>
        <w:t xml:space="preserve"> -</w:t>
      </w:r>
      <w:r w:rsidR="00496ED2" w:rsidRPr="003726FE">
        <w:rPr>
          <w:shd w:val="clear" w:color="auto" w:fill="FFFFFF"/>
          <w:lang w:val="en-GB"/>
        </w:rPr>
        <w:t xml:space="preserve"> instead the methods were informed by addressing the research questions</w:t>
      </w:r>
      <w:r w:rsidR="00EF1CB9"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&lt;EndNote&gt;&lt;Cite&gt;&lt;Author&gt;Teunissen&lt;/Author&gt;&lt;Year&gt;2011&lt;/Year&gt;&lt;RecNum&gt;679&lt;/RecNum&gt;&lt;DisplayText&gt;(Teunissen and Westerman 2011)&lt;/DisplayText&gt;&lt;record&gt;&lt;rec-number&gt;679&lt;/rec-number&gt;&lt;foreign-keys&gt;&lt;key app="EN" db-id="xa2r2ewea92trkef5dt5arvbzafvpv2za5ft" timestamp="1496417566"&gt;679&lt;/key&gt;&lt;/foreign-keys&gt;&lt;ref-type name="Journal Article"&gt;17&lt;/ref-type&gt;&lt;contributors&gt;&lt;authors&gt;&lt;author&gt;Teunissen, Pim W&lt;/author&gt;&lt;author&gt;Westerman, Michiel&lt;/author&gt;&lt;/authors&gt;&lt;/contributors&gt;&lt;titles&gt;&lt;title&gt;Opportunity or threat: the ambiguity of the consequences of transitions in medical education&lt;/title&gt;&lt;secondary-title&gt;Medical education&lt;/secondary-title&gt;&lt;/titles&gt;&lt;periodical&gt;&lt;full-title&gt;Medical education&lt;/full-title&gt;&lt;/periodical&gt;&lt;pages&gt;51-59&lt;/pages&gt;&lt;volume&gt;45&lt;/volume&gt;&lt;number&gt;1&lt;/number&gt;&lt;dates&gt;&lt;year&gt;2011&lt;/year&gt;&lt;/dates&gt;&lt;isbn&gt;1365-2923&lt;/isbn&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03" w:tooltip="Teunissen, 2011 #679" w:history="1">
        <w:r w:rsidR="0094469E" w:rsidRPr="003726FE">
          <w:rPr>
            <w:noProof/>
            <w:shd w:val="clear" w:color="auto" w:fill="FFFFFF"/>
            <w:lang w:val="en-GB"/>
          </w:rPr>
          <w:t>Teunissen and Westerman 2011</w:t>
        </w:r>
      </w:hyperlink>
      <w:r w:rsidR="004E5A78" w:rsidRPr="003726FE">
        <w:rPr>
          <w:noProof/>
          <w:shd w:val="clear" w:color="auto" w:fill="FFFFFF"/>
          <w:lang w:val="en-GB"/>
        </w:rPr>
        <w:t>)</w:t>
      </w:r>
      <w:r w:rsidR="00EF281A" w:rsidRPr="003726FE">
        <w:rPr>
          <w:shd w:val="clear" w:color="auto" w:fill="FFFFFF"/>
          <w:lang w:val="en-GB"/>
        </w:rPr>
        <w:fldChar w:fldCharType="end"/>
      </w:r>
      <w:r w:rsidR="00496ED2" w:rsidRPr="003726FE">
        <w:rPr>
          <w:shd w:val="clear" w:color="auto" w:fill="FFFFFF"/>
          <w:lang w:val="en-GB"/>
        </w:rPr>
        <w:t>.</w:t>
      </w:r>
      <w:r w:rsidR="00995A27" w:rsidRPr="003726FE">
        <w:rPr>
          <w:shd w:val="clear" w:color="auto" w:fill="FFFFFF"/>
          <w:lang w:val="en-GB"/>
        </w:rPr>
        <w:t xml:space="preserve"> This approach is similar to others who advocate pragmatism in mixed methods design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&lt;EndNote&gt;&lt;Cite&gt;&lt;Author&gt;Johnson&lt;/Author&gt;&lt;Year&gt;2004&lt;/Year&gt;&lt;RecNum&gt;119&lt;/RecNum&gt;&lt;DisplayText&gt;(Johnson and Onwuegbuzie 2004)&lt;/DisplayText&gt;&lt;record&gt;&lt;rec-number&gt;119&lt;/rec-number&gt;&lt;foreign-keys&gt;&lt;key app="EN" db-id="xa2r2ewea92trkef5dt5arvbzafvpv2za5ft" timestamp="1442161764"&gt;119&lt;/key&gt;&lt;/foreign-keys&gt;&lt;ref-type name="Journal Article"&gt;17&lt;/ref-type&gt;&lt;contributors&gt;&lt;authors&gt;&lt;author&gt;Johnson, R. Burke&lt;/author&gt;&lt;author&gt;Onwuegbuzie, Anthony J.&lt;/author&gt;&lt;/authors&gt;&lt;/contributors&gt;&lt;titles&gt;&lt;title&gt;Mixed methods research: A research paradigm whose time has come&lt;/title&gt;&lt;secondary-title&gt;Educational researcher&lt;/secondary-title&gt;&lt;/titles&gt;&lt;periodical&gt;&lt;full-title&gt;Educational researcher&lt;/full-title&gt;&lt;/periodical&gt;&lt;pages&gt;14-26&lt;/pages&gt;&lt;volume&gt;33&lt;/volume&gt;&lt;number&gt;7&lt;/number&gt;&lt;dates&gt;&lt;year&gt;2004&lt;/year&gt;&lt;/dates&gt;&lt;publisher&gt;Sage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06" w:tooltip="Johnson, 2004 #119" w:history="1">
        <w:r w:rsidR="0094469E" w:rsidRPr="003726FE">
          <w:rPr>
            <w:noProof/>
            <w:shd w:val="clear" w:color="auto" w:fill="FFFFFF"/>
            <w:lang w:val="en-GB"/>
          </w:rPr>
          <w:t>Johnson and Onwuegbuzie 2004</w:t>
        </w:r>
      </w:hyperlink>
      <w:r w:rsidR="004E5A78" w:rsidRPr="003726FE">
        <w:rPr>
          <w:noProof/>
          <w:shd w:val="clear" w:color="auto" w:fill="FFFFFF"/>
          <w:lang w:val="en-GB"/>
        </w:rPr>
        <w:t>)</w:t>
      </w:r>
      <w:r w:rsidR="00EF281A" w:rsidRPr="003726FE">
        <w:rPr>
          <w:shd w:val="clear" w:color="auto" w:fill="FFFFFF"/>
          <w:lang w:val="en-GB"/>
        </w:rPr>
        <w:fldChar w:fldCharType="end"/>
      </w:r>
      <w:r w:rsidR="00995A27" w:rsidRPr="003726FE">
        <w:rPr>
          <w:shd w:val="clear" w:color="auto" w:fill="FFFFFF"/>
          <w:lang w:val="en-GB"/>
        </w:rPr>
        <w:t>.</w:t>
      </w:r>
    </w:p>
    <w:p w14:paraId="48AF5CE0" w14:textId="77777777" w:rsidR="00AD32A0" w:rsidRPr="003726FE" w:rsidRDefault="00AD32A0" w:rsidP="00026049">
      <w:pPr>
        <w:pStyle w:val="Normal1"/>
        <w:rPr>
          <w:lang w:val="en-GB"/>
        </w:rPr>
      </w:pPr>
    </w:p>
    <w:p w14:paraId="0A8ADEDC" w14:textId="059B1B55" w:rsidR="00AD32A0" w:rsidRPr="003726FE" w:rsidRDefault="00E53628" w:rsidP="00BA4521">
      <w:pPr>
        <w:pStyle w:val="Heading3"/>
      </w:pPr>
      <w:bookmarkStart w:id="195" w:name="_Toc500319343"/>
      <w:r w:rsidRPr="003726FE">
        <w:t>A3.1</w:t>
      </w:r>
      <w:r w:rsidR="000D373C">
        <w:t xml:space="preserve">.1 </w:t>
      </w:r>
      <w:r w:rsidR="00AD32A0" w:rsidRPr="003726FE">
        <w:t>Sequential Explanatory Mixed Methods Design</w:t>
      </w:r>
      <w:bookmarkEnd w:id="195"/>
    </w:p>
    <w:p w14:paraId="0C945D77" w14:textId="77777777" w:rsidR="00AD32A0" w:rsidRPr="003726FE" w:rsidRDefault="00AD32A0" w:rsidP="00026049">
      <w:pPr>
        <w:pStyle w:val="Normal1"/>
        <w:rPr>
          <w:lang w:val="en-GB"/>
        </w:rPr>
      </w:pPr>
    </w:p>
    <w:p w14:paraId="32D252E8" w14:textId="13868139" w:rsidR="00AD32A0" w:rsidRPr="003726FE" w:rsidRDefault="00AD32A0" w:rsidP="00026049">
      <w:pPr>
        <w:pStyle w:val="Normal1"/>
        <w:rPr>
          <w:shd w:val="clear" w:color="auto" w:fill="FFFFFF"/>
          <w:lang w:val="en-GB"/>
        </w:rPr>
      </w:pPr>
      <w:r w:rsidRPr="003726FE">
        <w:rPr>
          <w:shd w:val="clear" w:color="auto" w:fill="FFFFFF"/>
          <w:lang w:val="en-GB"/>
        </w:rPr>
        <w:t xml:space="preserve">An explanatory sequential mixed methods design </w:t>
      </w:r>
      <w:r w:rsidR="00247131" w:rsidRPr="003726FE">
        <w:rPr>
          <w:shd w:val="clear" w:color="auto" w:fill="FFFFFF"/>
          <w:lang w:val="en-GB"/>
        </w:rPr>
        <w:t>was</w:t>
      </w:r>
      <w:r w:rsidRPr="003726FE">
        <w:rPr>
          <w:shd w:val="clear" w:color="auto" w:fill="FFFFFF"/>
          <w:lang w:val="en-GB"/>
        </w:rPr>
        <w:t xml:space="preserve"> chosen for this study, selected using a typology based design approach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&lt;EndNote&gt;&lt;Cite&gt;&lt;Author&gt;Creswell&lt;/Author&gt;&lt;Year&gt;2007&lt;/Year&gt;&lt;RecNum&gt;53&lt;/RecNum&gt;&lt;DisplayText&gt;(Creswell and Clark 2007)&lt;/DisplayText&gt;&lt;record&gt;&lt;rec-number&gt;53&lt;/rec-number&gt;&lt;foreign-keys&gt;&lt;key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99" w:tooltip="Creswell, 2007 #53" w:history="1">
        <w:r w:rsidR="0094469E" w:rsidRPr="003726FE">
          <w:rPr>
            <w:noProof/>
            <w:shd w:val="clear" w:color="auto" w:fill="FFFFFF"/>
            <w:lang w:val="en-GB"/>
          </w:rPr>
          <w:t>Creswell and Clark 2007</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This design </w:t>
      </w:r>
      <w:r w:rsidR="001F3F42" w:rsidRPr="003726FE">
        <w:rPr>
          <w:shd w:val="clear" w:color="auto" w:fill="FFFFFF"/>
          <w:lang w:val="en-GB"/>
        </w:rPr>
        <w:t>wa</w:t>
      </w:r>
      <w:r w:rsidRPr="003726FE">
        <w:rPr>
          <w:shd w:val="clear" w:color="auto" w:fill="FFFFFF"/>
          <w:lang w:val="en-GB"/>
        </w:rPr>
        <w:t xml:space="preserve">s adapted to the study’s purposes and </w:t>
      </w:r>
      <w:r w:rsidR="00247131" w:rsidRPr="003726FE">
        <w:rPr>
          <w:shd w:val="clear" w:color="auto" w:fill="FFFFFF"/>
          <w:lang w:val="en-GB"/>
        </w:rPr>
        <w:t xml:space="preserve">research </w:t>
      </w:r>
      <w:r w:rsidR="00BF5391" w:rsidRPr="003726FE">
        <w:rPr>
          <w:shd w:val="clear" w:color="auto" w:fill="FFFFFF"/>
          <w:lang w:val="en-GB"/>
        </w:rPr>
        <w:t>questions. I</w:t>
      </w:r>
      <w:r w:rsidRPr="003726FE">
        <w:rPr>
          <w:shd w:val="clear" w:color="auto" w:fill="FFFFFF"/>
          <w:lang w:val="en-GB"/>
        </w:rPr>
        <w:t xml:space="preserve">t </w:t>
      </w:r>
      <w:r w:rsidR="00855442" w:rsidRPr="003726FE">
        <w:rPr>
          <w:shd w:val="clear" w:color="auto" w:fill="FFFFFF"/>
          <w:lang w:val="en-GB"/>
        </w:rPr>
        <w:t>used qualitative methods to add</w:t>
      </w:r>
      <w:r w:rsidRPr="003726FE">
        <w:rPr>
          <w:shd w:val="clear" w:color="auto" w:fill="FFFFFF"/>
          <w:lang w:val="en-GB"/>
        </w:rPr>
        <w:t xml:space="preserve"> depth and </w:t>
      </w:r>
      <w:r w:rsidR="00855442" w:rsidRPr="003726FE">
        <w:rPr>
          <w:shd w:val="clear" w:color="auto" w:fill="FFFFFF"/>
          <w:lang w:val="en-GB"/>
        </w:rPr>
        <w:t xml:space="preserve">to further explore the phenomena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&lt;EndNote&gt;&lt;Cite&gt;&lt;Author&gt;Bergman&lt;/Author&gt;&lt;Year&gt;2008&lt;/Year&gt;&lt;RecNum&gt;11&lt;/RecNum&gt;&lt;DisplayText&gt;(Bergman 2008)&lt;/DisplayText&gt;&lt;record&gt;&lt;rec-number&gt;11&lt;/rec-number&gt;&lt;foreign-keys&gt;&lt;key app="EN" db-id="xa2r2ewea92trkef5dt5arvbzafvpv2za5ft" timestamp="1442161763"&gt;11&lt;/key&gt;&lt;/foreign-keys&gt;&lt;ref-type name="Journal Article"&gt;17&lt;/ref-type&gt;&lt;contributors&gt;&lt;authors&gt;&lt;author&gt;Bergman, Manfred Max&lt;/author&gt;&lt;/authors&gt;&lt;/contributors&gt;&lt;titles&gt;&lt;title&gt;The straw men of the qualitative-quantitative divide and their influence on mixed methods research&lt;/title&gt;&lt;secondary-title&gt;Advances in mixed methods research: Theories and applications&lt;/secondary-title&gt;&lt;/titles&gt;&lt;periodical&gt;&lt;full-title&gt;Advances in mixed methods research: Theories and applications&lt;/full-title&gt;&lt;/periodical&gt;&lt;pages&gt;11-21&lt;/pages&gt;&lt;dates&gt;&lt;year&gt;2008&lt;/year&gt;&lt;/dates&gt;&lt;urls&gt;&lt;/urls&gt;&lt;/record&gt;&lt;/Cite&gt;&lt;/EndNote&gt;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8" w:tooltip="Bergman, 2008 #11" w:history="1">
        <w:r w:rsidR="0094469E" w:rsidRPr="003726FE">
          <w:rPr>
            <w:noProof/>
            <w:shd w:val="clear" w:color="auto" w:fill="FFFFFF"/>
            <w:lang w:val="en-GB"/>
          </w:rPr>
          <w:t>Bergman 2008</w:t>
        </w:r>
      </w:hyperlink>
      <w:r w:rsidR="004E5A78" w:rsidRPr="003726FE">
        <w:rPr>
          <w:noProof/>
          <w:shd w:val="clear" w:color="auto" w:fill="FFFFFF"/>
          <w:lang w:val="en-GB"/>
        </w:rPr>
        <w:t>)</w:t>
      </w:r>
      <w:r w:rsidR="00EF281A" w:rsidRPr="003726FE">
        <w:rPr>
          <w:shd w:val="clear" w:color="auto" w:fill="FFFFFF"/>
          <w:lang w:val="en-GB"/>
        </w:rPr>
        <w:fldChar w:fldCharType="end"/>
      </w:r>
      <w:r w:rsidR="00855442" w:rsidRPr="003726FE">
        <w:rPr>
          <w:shd w:val="clear" w:color="auto" w:fill="FFFFFF"/>
          <w:lang w:val="en-GB"/>
        </w:rPr>
        <w:t>(</w:t>
      </w:r>
      <w:r w:rsidR="00AE17C9" w:rsidRPr="003726FE">
        <w:rPr>
          <w:shd w:val="clear" w:color="auto" w:fill="FFFFFF"/>
          <w:lang w:val="en-GB"/>
        </w:rPr>
        <w:t>Figure</w:t>
      </w:r>
      <w:r w:rsidR="00855442" w:rsidRPr="003726FE">
        <w:rPr>
          <w:shd w:val="clear" w:color="auto" w:fill="FFFFFF"/>
          <w:lang w:val="en-GB"/>
        </w:rPr>
        <w:t xml:space="preserve"> </w:t>
      </w:r>
      <w:r w:rsidR="0019449A" w:rsidRPr="003726FE">
        <w:rPr>
          <w:shd w:val="clear" w:color="auto" w:fill="FFFFFF"/>
          <w:lang w:val="en-GB"/>
        </w:rPr>
        <w:t>A3.2</w:t>
      </w:r>
      <w:r w:rsidR="00855442" w:rsidRPr="003726FE">
        <w:rPr>
          <w:shd w:val="clear" w:color="auto" w:fill="FFFFFF"/>
          <w:lang w:val="en-GB"/>
        </w:rPr>
        <w:t>)</w:t>
      </w:r>
      <w:r w:rsidRPr="003726FE">
        <w:rPr>
          <w:shd w:val="clear" w:color="auto" w:fill="FFFFFF"/>
          <w:lang w:val="en-GB"/>
        </w:rPr>
        <w:t xml:space="preserve">. </w:t>
      </w:r>
    </w:p>
    <w:p w14:paraId="49C35C5B" w14:textId="3E69CCCB" w:rsidR="00AD32A0" w:rsidRPr="003726FE" w:rsidRDefault="008B3752" w:rsidP="00AD32A0">
      <w:pPr>
        <w:rPr>
          <w:bCs/>
          <w:szCs w:val="20"/>
          <w:shd w:val="clear" w:color="auto" w:fill="FFFFFF"/>
        </w:rPr>
      </w:pPr>
      <w:r w:rsidRPr="003726FE">
        <w:rPr>
          <w:bCs/>
          <w:noProof/>
          <w:szCs w:val="20"/>
          <w:lang w:eastAsia="en-GB"/>
        </w:rPr>
        <mc:AlternateContent>
          <mc:Choice Requires="wpg">
            <w:drawing>
              <wp:anchor distT="0" distB="0" distL="114300" distR="114300" simplePos="0" relativeHeight="251616256" behindDoc="0" locked="0" layoutInCell="1" allowOverlap="1" wp14:anchorId="4BE2935D" wp14:editId="43A09362">
                <wp:simplePos x="0" y="0"/>
                <wp:positionH relativeFrom="column">
                  <wp:posOffset>-8890</wp:posOffset>
                </wp:positionH>
                <wp:positionV relativeFrom="paragraph">
                  <wp:posOffset>334645</wp:posOffset>
                </wp:positionV>
                <wp:extent cx="5325110" cy="704215"/>
                <wp:effectExtent l="0" t="0" r="27940" b="19685"/>
                <wp:wrapTopAndBottom/>
                <wp:docPr id="35" name="Group 35"/>
                <wp:cNvGraphicFramePr/>
                <a:graphic xmlns:a="http://schemas.openxmlformats.org/drawingml/2006/main">
                  <a:graphicData uri="http://schemas.microsoft.com/office/word/2010/wordprocessingGroup">
                    <wpg:wgp>
                      <wpg:cNvGrpSpPr/>
                      <wpg:grpSpPr>
                        <a:xfrm>
                          <a:off x="0" y="0"/>
                          <a:ext cx="5325110" cy="704215"/>
                          <a:chOff x="-2283" y="47703"/>
                          <a:chExt cx="6004147" cy="704855"/>
                        </a:xfrm>
                      </wpg:grpSpPr>
                      <wps:wsp>
                        <wps:cNvPr id="1" name="Rounded Rectangle 1"/>
                        <wps:cNvSpPr/>
                        <wps:spPr>
                          <a:xfrm>
                            <a:off x="-2283" y="47703"/>
                            <a:ext cx="125730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44E6DF" w14:textId="77777777" w:rsidR="00C8402C" w:rsidRPr="008B3752" w:rsidRDefault="00C8402C" w:rsidP="00AD32A0">
                              <w:pPr>
                                <w:jc w:val="center"/>
                                <w:rPr>
                                  <w:sz w:val="22"/>
                                </w:rPr>
                              </w:pPr>
                              <w:r w:rsidRPr="008B3752">
                                <w:rPr>
                                  <w:sz w:val="22"/>
                                </w:rPr>
                                <w:t>Quantitative methods and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2363003" y="47708"/>
                            <a:ext cx="125730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8237D0" w14:textId="77777777" w:rsidR="00C8402C" w:rsidRPr="008B3752" w:rsidRDefault="00C8402C" w:rsidP="00AD32A0">
                              <w:pPr>
                                <w:jc w:val="center"/>
                                <w:rPr>
                                  <w:sz w:val="22"/>
                                </w:rPr>
                              </w:pPr>
                              <w:r w:rsidRPr="008B3752">
                                <w:rPr>
                                  <w:sz w:val="22"/>
                                </w:rPr>
                                <w:t>Qualitative methods and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4669598" y="47708"/>
                            <a:ext cx="1332266"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499F4B" w14:textId="77777777" w:rsidR="00C8402C" w:rsidRPr="008B3752" w:rsidRDefault="00C8402C" w:rsidP="00AD32A0">
                              <w:pPr>
                                <w:jc w:val="center"/>
                                <w:rPr>
                                  <w:sz w:val="22"/>
                                </w:rPr>
                              </w:pPr>
                              <w:r w:rsidRPr="008B3752">
                                <w:rPr>
                                  <w:sz w:val="22"/>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a:off x="1305560" y="151075"/>
                            <a:ext cx="992816" cy="552450"/>
                          </a:xfrm>
                          <a:prstGeom prst="rightArrow">
                            <a:avLst>
                              <a:gd name="adj1" fmla="val 50000"/>
                              <a:gd name="adj2" fmla="val 32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6E3F5" w14:textId="77777777" w:rsidR="00C8402C" w:rsidRPr="008B3752" w:rsidRDefault="00C8402C" w:rsidP="00AD32A0">
                              <w:pPr>
                                <w:jc w:val="center"/>
                                <w:rPr>
                                  <w:sz w:val="22"/>
                                </w:rPr>
                              </w:pPr>
                              <w:r w:rsidRPr="008B3752">
                                <w:rPr>
                                  <w:sz w:val="22"/>
                                </w:rPr>
                                <w:t>Follow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935D" id="Group 35" o:spid="_x0000_s1049" style="position:absolute;margin-left:-.7pt;margin-top:26.35pt;width:419.3pt;height:55.45pt;z-index:251616256;mso-width-relative:margin;mso-height-relative:margin" coordorigin="-2283,47703" coordsize="6004147,704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">
                <v:roundrect id="Rounded Rectangle 1" o:spid="_x0000_s1050" style="position:absolute;left:-2283;top:47703;width:1257300;height:7048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3civwAA&#10;ANoAAAAPAAAAZHJzL2Rvd25yZXYueG1sRE9NawIxEL0X/A9hBG81a4tFtkbRiiB4cvXibdxMN9tu&#10;JkuSavrvG0HoaXi8z5kvk+3ElXxoHSuYjAsQxLXTLTcKTsft8wxEiMgaO8ek4JcCLBeDpzmW2t34&#10;QNcqNiKHcChRgYmxL6UMtSGLYex64sx9Om8xZugbqT3ecrjt5EtRvEmLLecGgz19GKq/qx+rwOrX&#10;tPnC1Zm2s2p9nqb9xpuLUqNhWr2DiJTiv/jh3uk8H+6v3K9c/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BXdyK/AAAA2gAAAA8AAAAAAAAAAAAAAAAAlwIAAGRycy9kb3ducmV2&#10;LnhtbFBLBQYAAAAABAAEAPUAAACDAwAAAAA=&#10;" fillcolor="#5b9bd5 [3204]" strokecolor="#1f4d78 [1604]" strokeweight="1pt">
                  <v:stroke joinstyle="miter"/>
                  <v:textbox>
                    <w:txbxContent>
                      <w:p w14:paraId="1944E6DF" w14:textId="77777777" w:rsidR="00C8402C" w:rsidRPr="008B3752" w:rsidRDefault="00C8402C" w:rsidP="00AD32A0">
                        <w:pPr>
                          <w:jc w:val="center"/>
                          <w:rPr>
                            <w:sz w:val="22"/>
                          </w:rPr>
                        </w:pPr>
                        <w:r w:rsidRPr="008B3752">
                          <w:rPr>
                            <w:sz w:val="22"/>
                          </w:rPr>
                          <w:t>Quantitative methods and data</w:t>
                        </w:r>
                      </w:p>
                    </w:txbxContent>
                  </v:textbox>
                </v:roundrect>
                <v:roundrect id="Rounded Rectangle 9" o:spid="_x0000_s1051" style="position:absolute;left:2363003;top:47708;width:1257300;height:7048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XskwgAA&#10;ANoAAAAPAAAAZHJzL2Rvd25yZXYueG1sRI9PawIxFMTvBb9DeIXearYWi65G8Q+C0FO3vXh7bp6b&#10;bTcvS5Jq+u0bQfA4zMxvmPky2U6cyYfWsYKXYQGCuHa65UbB1+fueQIiRGSNnWNS8EcBlovBwxxL&#10;7S78QecqNiJDOJSowMTYl1KG2pDFMHQ9cfZOzluMWfpGao+XDLedHBXFm7TYcl4w2NPGUP1T/VoF&#10;Vr+m7TeuDrSbVOvDOL1vvTkq9fSYVjMQkVK8h2/tvVYwheuVfA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heyTCAAAA2gAAAA8AAAAAAAAAAAAAAAAAlwIAAGRycy9kb3du&#10;cmV2LnhtbFBLBQYAAAAABAAEAPUAAACGAwAAAAA=&#10;" fillcolor="#5b9bd5 [3204]" strokecolor="#1f4d78 [1604]" strokeweight="1pt">
                  <v:stroke joinstyle="miter"/>
                  <v:textbox>
                    <w:txbxContent>
                      <w:p w14:paraId="268237D0" w14:textId="77777777" w:rsidR="00C8402C" w:rsidRPr="008B3752" w:rsidRDefault="00C8402C" w:rsidP="00AD32A0">
                        <w:pPr>
                          <w:jc w:val="center"/>
                          <w:rPr>
                            <w:sz w:val="22"/>
                          </w:rPr>
                        </w:pPr>
                        <w:r w:rsidRPr="008B3752">
                          <w:rPr>
                            <w:sz w:val="22"/>
                          </w:rPr>
                          <w:t>Qualitative methods and data</w:t>
                        </w:r>
                      </w:p>
                    </w:txbxContent>
                  </v:textbox>
                </v:roundrect>
                <v:roundrect id="Rounded Rectangle 28" o:spid="_x0000_s1052" style="position:absolute;left:4669598;top:47708;width:1332266;height:7048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2KEwAAA&#10;ANsAAAAPAAAAZHJzL2Rvd25yZXYueG1sRE/LagIxFN0X/IdwBXc1o6Uio1F8IAhdddqNu+vkOhmd&#10;3AxJqunfN4uCy8N5L9fJduJOPrSOFUzGBQji2umWGwXfX4fXOYgQkTV2jknBLwVYrwYvSyy1e/An&#10;3avYiBzCoUQFJsa+lDLUhiyGseuJM3dx3mLM0DdSe3zkcNvJaVHMpMWWc4PBnnaG6lv1YxVY/Zb2&#10;V9yc6DCvtqf39LH35qzUaJg2CxCRUnyK/91HrWCax+Yv+QfI1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B2KEwAAAANsAAAAPAAAAAAAAAAAAAAAAAJcCAABkcnMvZG93bnJl&#10;di54bWxQSwUGAAAAAAQABAD1AAAAhAMAAAAA&#10;" fillcolor="#5b9bd5 [3204]" strokecolor="#1f4d78 [1604]" strokeweight="1pt">
                  <v:stroke joinstyle="miter"/>
                  <v:textbox>
                    <w:txbxContent>
                      <w:p w14:paraId="65499F4B" w14:textId="77777777" w:rsidR="00C8402C" w:rsidRPr="008B3752" w:rsidRDefault="00C8402C" w:rsidP="00AD32A0">
                        <w:pPr>
                          <w:jc w:val="center"/>
                          <w:rPr>
                            <w:sz w:val="22"/>
                          </w:rPr>
                        </w:pPr>
                        <w:r w:rsidRPr="008B3752">
                          <w:rPr>
                            <w:sz w:val="22"/>
                          </w:rPr>
                          <w:t>Interpretation</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53" type="#_x0000_t13" style="position:absolute;left:1305560;top:151075;width:992816;height:552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NwwAA&#10;ANsAAAAPAAAAZHJzL2Rvd25yZXYueG1sRI9PawIxFMTvQr9DeIXeNOsWXNkaRQRB6KX+OXh8bl6T&#10;xc3LuknX9ds3hYLHYWZ+wyxWg2tET12oPSuYTjIQxJXXNRsFp+N2PAcRIrLGxjMpeFCA1fJltMBS&#10;+zvvqT9EIxKEQ4kKbIxtKWWoLDkME98SJ+/bdw5jkp2RusN7grtG5lk2kw5rTgsWW9pYqq6HH6fg&#10;0+76wlwLNPkX3orLoyZ33ij19jqsP0BEGuIz/N/eaQXvOfx9S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NwwAAANsAAAAPAAAAAAAAAAAAAAAAAJcCAABkcnMvZG93&#10;bnJldi54bWxQSwUGAAAAAAQABAD1AAAAhwMAAAAA&#10;" adj="17754" fillcolor="#5b9bd5 [3204]" strokecolor="#1f4d78 [1604]" strokeweight="1pt">
                  <v:textbox>
                    <w:txbxContent>
                      <w:p w14:paraId="0C36E3F5" w14:textId="77777777" w:rsidR="00C8402C" w:rsidRPr="008B3752" w:rsidRDefault="00C8402C" w:rsidP="00AD32A0">
                        <w:pPr>
                          <w:jc w:val="center"/>
                          <w:rPr>
                            <w:sz w:val="22"/>
                          </w:rPr>
                        </w:pPr>
                        <w:r w:rsidRPr="008B3752">
                          <w:rPr>
                            <w:sz w:val="22"/>
                          </w:rPr>
                          <w:t>Follow up</w:t>
                        </w:r>
                      </w:p>
                    </w:txbxContent>
                  </v:textbox>
                </v:shape>
                <w10:wrap type="topAndBottom"/>
              </v:group>
            </w:pict>
          </mc:Fallback>
        </mc:AlternateContent>
      </w:r>
      <w:r w:rsidRPr="003726FE">
        <w:rPr>
          <w:noProof/>
          <w:lang w:eastAsia="en-GB"/>
        </w:rPr>
        <mc:AlternateContent>
          <mc:Choice Requires="wps">
            <w:drawing>
              <wp:anchor distT="0" distB="0" distL="114300" distR="114300" simplePos="0" relativeHeight="251646976" behindDoc="0" locked="0" layoutInCell="1" allowOverlap="1" wp14:anchorId="12A1232D" wp14:editId="7BE26A20">
                <wp:simplePos x="0" y="0"/>
                <wp:positionH relativeFrom="column">
                  <wp:posOffset>3243368</wp:posOffset>
                </wp:positionH>
                <wp:positionV relativeFrom="paragraph">
                  <wp:posOffset>429895</wp:posOffset>
                </wp:positionV>
                <wp:extent cx="828971" cy="551815"/>
                <wp:effectExtent l="0" t="38100" r="47625" b="57785"/>
                <wp:wrapNone/>
                <wp:docPr id="37" name="Right Arrow 37"/>
                <wp:cNvGraphicFramePr/>
                <a:graphic xmlns:a="http://schemas.openxmlformats.org/drawingml/2006/main">
                  <a:graphicData uri="http://schemas.microsoft.com/office/word/2010/wordprocessingShape">
                    <wps:wsp>
                      <wps:cNvSpPr/>
                      <wps:spPr>
                        <a:xfrm>
                          <a:off x="0" y="0"/>
                          <a:ext cx="828971" cy="551815"/>
                        </a:xfrm>
                        <a:prstGeom prst="rightArrow">
                          <a:avLst>
                            <a:gd name="adj1" fmla="val 50000"/>
                            <a:gd name="adj2" fmla="val 32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E9F48F" w14:textId="11AFDA0E" w:rsidR="00C8402C" w:rsidRDefault="00C8402C" w:rsidP="00855442">
                            <w:r>
                              <w:t>Leads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A1232D" id="Right Arrow 37" o:spid="_x0000_s1054" type="#_x0000_t13" style="position:absolute;margin-left:255.4pt;margin-top:33.85pt;width:65.25pt;height:43.4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" adj="16999" fillcolor="#5b9bd5 [3204]" strokecolor="#1f4d78 [1604]" strokeweight="1pt">
                <v:textbox>
                  <w:txbxContent>
                    <w:p w14:paraId="4FE9F48F" w14:textId="11AFDA0E" w:rsidR="00C8402C" w:rsidRDefault="00C8402C" w:rsidP="00855442">
                      <w:r>
                        <w:t>Leads to</w:t>
                      </w:r>
                    </w:p>
                  </w:txbxContent>
                </v:textbox>
              </v:shape>
            </w:pict>
          </mc:Fallback>
        </mc:AlternateContent>
      </w:r>
    </w:p>
    <w:p w14:paraId="276D8E71" w14:textId="77777777" w:rsidR="00247131" w:rsidRPr="003726FE" w:rsidRDefault="00247131" w:rsidP="00AD32A0">
      <w:pPr>
        <w:rPr>
          <w:b/>
          <w:color w:val="000000" w:themeColor="text1"/>
        </w:rPr>
      </w:pPr>
    </w:p>
    <w:p w14:paraId="66BAF33C" w14:textId="05A4C370" w:rsidR="00AD32A0" w:rsidRPr="003726FE" w:rsidRDefault="00AE4999" w:rsidP="00AE4999">
      <w:pPr>
        <w:pStyle w:val="Caption"/>
      </w:pPr>
      <w:bookmarkStart w:id="196" w:name="_Toc500319538"/>
      <w:r w:rsidRPr="003726FE">
        <w:t>Figure A3.</w:t>
      </w:r>
      <w:fldSimple w:instr=" SEQ Figure_A3. \* ARABIC ">
        <w:r w:rsidR="00E44881">
          <w:rPr>
            <w:noProof/>
          </w:rPr>
          <w:t>2</w:t>
        </w:r>
      </w:fldSimple>
      <w:r w:rsidR="00AD32A0" w:rsidRPr="003726FE">
        <w:t xml:space="preserve"> The explanatory sequential mixed methods design process</w:t>
      </w:r>
      <w:r w:rsidR="00D3663A">
        <w:t>, information from</w:t>
      </w:r>
      <w:r w:rsidR="00AD32A0" w:rsidRPr="003726FE">
        <w:t xml:space="preserve"> </w:t>
      </w:r>
      <w:hyperlink w:anchor="_ENREF_28" w:tooltip="Bergman, 2008 #11" w:history="1">
        <w:r w:rsidR="0094469E" w:rsidRPr="003726FE">
          <w:fldChar w:fldCharType="begin"/>
        </w:r>
        <w:r w:rsidR="0094469E">
          <w:instrText xml:space="preserve"> ADDIN EN.CITE &lt;EndNote&gt;&lt;Cite AuthorYear="1"&gt;&lt;Author&gt;Bergman&lt;/Author&gt;&lt;Year&gt;2008&lt;/Year&gt;&lt;RecNum&gt;11&lt;/RecNum&gt;&lt;DisplayText&gt;Bergman (2008)&lt;/DisplayText&gt;&lt;record&gt;&lt;rec-number&gt;11&lt;/rec-number&gt;&lt;foreign-keys&gt;&lt;key app="EN" db-id="xa2r2ewea92trkef5dt5arvbzafvpv2za5ft" timestamp="1442161763"&gt;11&lt;/key&gt;&lt;/foreign-keys&gt;&lt;ref-type name="Journal Article"&gt;17&lt;/ref-type&gt;&lt;contributors&gt;&lt;authors&gt;&lt;author&gt;Bergman, Manfred Max&lt;/author&gt;&lt;/authors&gt;&lt;/contributors&gt;&lt;titles&gt;&lt;title&gt;The straw men of the qualitative-quantitative divide and their influence on mixed methods research&lt;/title&gt;&lt;secondary-title&gt;Advances in mixed methods research: Theories and applications&lt;/secondary-title&gt;&lt;/titles&gt;&lt;periodical&gt;&lt;full-title&gt;Advances in mixed methods research: Theories and applications&lt;/full-title&gt;&lt;/periodical&gt;&lt;pages&gt;11-21&lt;/pages&gt;&lt;dates&gt;&lt;year&gt;2008&lt;/year&gt;&lt;/dates&gt;&lt;urls&gt;&lt;/urls&gt;&lt;/record&gt;&lt;/Cite&gt;&lt;/EndNote&gt;</w:instrText>
        </w:r>
        <w:r w:rsidR="0094469E" w:rsidRPr="003726FE">
          <w:fldChar w:fldCharType="separate"/>
        </w:r>
        <w:r w:rsidR="0094469E">
          <w:rPr>
            <w:noProof/>
          </w:rPr>
          <w:t>Bergman (2008)</w:t>
        </w:r>
        <w:r w:rsidR="0094469E" w:rsidRPr="003726FE">
          <w:fldChar w:fldCharType="end"/>
        </w:r>
      </w:hyperlink>
      <w:r w:rsidR="00AD32A0" w:rsidRPr="003726FE">
        <w:t>.</w:t>
      </w:r>
      <w:bookmarkEnd w:id="196"/>
    </w:p>
    <w:p w14:paraId="2D123F62" w14:textId="77777777" w:rsidR="00AD32A0" w:rsidRPr="003726FE" w:rsidRDefault="00AD32A0" w:rsidP="00026049">
      <w:pPr>
        <w:pStyle w:val="Normal1"/>
        <w:rPr>
          <w:lang w:val="en-GB"/>
        </w:rPr>
      </w:pPr>
    </w:p>
    <w:p w14:paraId="7ADB1FCE" w14:textId="26C296A4" w:rsidR="00247131" w:rsidRPr="003726FE" w:rsidRDefault="00247131" w:rsidP="00026049">
      <w:pPr>
        <w:pStyle w:val="Normal1"/>
        <w:rPr>
          <w:shd w:val="clear" w:color="auto" w:fill="FFFFFF"/>
          <w:lang w:val="en-GB"/>
        </w:rPr>
      </w:pPr>
      <w:r w:rsidRPr="003726FE">
        <w:rPr>
          <w:shd w:val="clear" w:color="auto" w:fill="FFFFFF"/>
          <w:lang w:val="en-GB"/>
        </w:rPr>
        <w:t xml:space="preserve">This study used a specific </w:t>
      </w:r>
      <w:r w:rsidR="00855442" w:rsidRPr="003726FE">
        <w:rPr>
          <w:shd w:val="clear" w:color="auto" w:fill="FFFFFF"/>
          <w:lang w:val="en-GB"/>
        </w:rPr>
        <w:t>form</w:t>
      </w:r>
      <w:r w:rsidRPr="003726FE">
        <w:rPr>
          <w:shd w:val="clear" w:color="auto" w:fill="FFFFFF"/>
          <w:lang w:val="en-GB"/>
        </w:rPr>
        <w:t xml:space="preserve"> of </w:t>
      </w:r>
      <w:r w:rsidR="00855442" w:rsidRPr="003726FE">
        <w:rPr>
          <w:shd w:val="clear" w:color="auto" w:fill="FFFFFF"/>
          <w:lang w:val="en-GB"/>
        </w:rPr>
        <w:t>explanatory design:</w:t>
      </w:r>
      <w:r w:rsidRPr="003726FE">
        <w:rPr>
          <w:shd w:val="clear" w:color="auto" w:fill="FFFFFF"/>
          <w:lang w:val="en-GB"/>
        </w:rPr>
        <w:t xml:space="preserve"> the ‘participant selection’ variant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&lt;EndNote&gt;&lt;Cite&gt;&lt;Author&gt;Morgan&lt;/Author&gt;&lt;Year&gt;1998&lt;/Year&gt;&lt;RecNum&gt;172&lt;/RecNum&gt;&lt;DisplayText&gt;(Morgan 1998)&lt;/DisplayText&gt;&lt;record&gt;&lt;rec-number&gt;172&lt;/rec-number&gt;&lt;foreign-keys&gt;&lt;key app="EN" db-id="xa2r2ewea92trkef5dt5arvbzafvpv2za5ft" timestamp="1442161765"&gt;172&lt;/key&gt;&lt;/foreign-keys&gt;&lt;ref-type name="Journal Article"&gt;17&lt;/ref-type&gt;&lt;contributors&gt;&lt;authors&gt;&lt;author&gt;Morgan, D. L.&lt;/author&gt;&lt;/authors&gt;&lt;/contributors&gt;&lt;auth-address&gt;College of Urban and Public Affairs, Portland State University, USA.&lt;/auth-address&gt;&lt;titles&gt;&lt;title&gt;Practical strategies for combining qualitative and quantitative methods: applications to health research&lt;/title&gt;&lt;secondary-title&gt;Qualitative health research&lt;/secondary-title&gt;&lt;/titles&gt;&lt;periodical&gt;&lt;full-title&gt;Qualitative health research&lt;/full-title&gt;&lt;/periodical&gt;&lt;pages&gt;362-376&lt;/pages&gt;&lt;volume&gt;8&lt;/volume&gt;&lt;number&gt;3&lt;/number&gt;&lt;keywords&gt;&lt;keyword&gt;Decision Support Techniques&lt;/keyword&gt;&lt;keyword&gt;Health Services Research/methods&lt;/keyword&gt;&lt;keyword&gt;Humans&lt;/keyword&gt;&lt;keyword&gt;Research Design&lt;/keyword&gt;&lt;/keywords&gt;&lt;dates&gt;&lt;year&gt;1998&lt;/year&gt;&lt;/dates&gt;&lt;pub-location&gt;UNITED STATES&lt;/pub-location&gt;&lt;isbn&gt;1049-7323; 1049-7323&lt;/isbn&gt;&lt;urls&gt;&lt;/urls&gt;&lt;access-date&gt;May&lt;/access-date&gt;&lt;/record&gt;&lt;/Cite&gt;&lt;/EndNote&gt;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82" w:tooltip="Morgan, 1998 #172" w:history="1">
        <w:r w:rsidR="0094469E" w:rsidRPr="003726FE">
          <w:rPr>
            <w:noProof/>
            <w:shd w:val="clear" w:color="auto" w:fill="FFFFFF"/>
            <w:lang w:val="en-GB"/>
          </w:rPr>
          <w:t>Morgan 1998</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used by researchers such as </w:t>
      </w:r>
      <w:hyperlink w:anchor="_ENREF_260" w:tooltip="May, 2002 #159"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AuthorYear="1"&gt;&lt;Author&gt;May&lt;/Author&gt;&lt;Year&gt;2002&lt;/Year&gt;&lt;RecNum&gt;159&lt;/RecNum&gt;&lt;DisplayText&gt;May and Etkina (2002)&lt;/DisplayText&gt;&lt;record&gt;&lt;rec-number&gt;159&lt;/rec-number&gt;&lt;foreign-keys&gt;&lt;key app="EN" db-id="xa2r2ewea92trkef5dt5arvbzafvpv2za5ft" timestamp="1442161765"&gt;159&lt;/key&gt;&lt;/foreign-keys&gt;&lt;ref-type name="Journal Article"&gt;17&lt;/ref-type&gt;&lt;contributors&gt;&lt;authors&gt;&lt;author&gt;May, David B.&lt;/author&gt;&lt;author&gt;Etkina, Eugenia&lt;/author&gt;&lt;/authors&gt;&lt;/contributors&gt;&lt;titles&gt;&lt;title&gt;College physics students’ epistemological self-reflection and its relationship to conceptual learning&lt;/title&gt;&lt;secondary-title&gt;American Journal of Physics&lt;/secondary-title&gt;&lt;/titles&gt;&lt;periodical&gt;&lt;full-title&gt;American Journal of Physics&lt;/full-title&gt;&lt;/periodical&gt;&lt;pages&gt;1249-1258&lt;/pages&gt;&lt;volume&gt;70&lt;/volume&gt;&lt;number&gt;12&lt;/number&gt;&lt;dates&gt;&lt;year&gt;2002&lt;/year&gt;&lt;/dates&gt;&lt;publisher&gt;American Association of Physics Teachers&lt;/publisher&gt;&lt;urls&gt;&lt;/urls&gt;&lt;/record&gt;&lt;/Cite&gt;&lt;/EndNote&gt;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May and Etkina (2002)</w:t>
        </w:r>
        <w:r w:rsidR="0094469E" w:rsidRPr="003726FE">
          <w:rPr>
            <w:shd w:val="clear" w:color="auto" w:fill="FFFFFF"/>
            <w:lang w:val="en-GB"/>
          </w:rPr>
          <w:fldChar w:fldCharType="end"/>
        </w:r>
      </w:hyperlink>
      <w:r w:rsidR="00855442" w:rsidRPr="003726FE">
        <w:rPr>
          <w:shd w:val="clear" w:color="auto" w:fill="FFFFFF"/>
          <w:lang w:val="en-GB"/>
        </w:rPr>
        <w:t xml:space="preserve"> </w:t>
      </w:r>
      <w:r w:rsidRPr="003726FE">
        <w:rPr>
          <w:shd w:val="clear" w:color="auto" w:fill="FFFFFF"/>
          <w:lang w:val="en-GB"/>
        </w:rPr>
        <w:t xml:space="preserve">to study learning perceptions following tests on conceptual learning gains in physics. </w:t>
      </w:r>
      <w:r w:rsidR="001F3F42" w:rsidRPr="003726FE">
        <w:rPr>
          <w:shd w:val="clear" w:color="auto" w:fill="FFFFFF"/>
          <w:lang w:val="en-GB"/>
        </w:rPr>
        <w:t xml:space="preserve">This variant was </w:t>
      </w:r>
      <w:r w:rsidR="00FC0FFB" w:rsidRPr="003726FE">
        <w:rPr>
          <w:shd w:val="clear" w:color="auto" w:fill="FFFFFF"/>
          <w:lang w:val="en-GB"/>
        </w:rPr>
        <w:t>chosen to</w:t>
      </w:r>
      <w:r w:rsidR="00855442" w:rsidRPr="003726FE">
        <w:rPr>
          <w:shd w:val="clear" w:color="auto" w:fill="FFFFFF"/>
          <w:lang w:val="en-GB"/>
        </w:rPr>
        <w:t xml:space="preserve"> prioritise</w:t>
      </w:r>
      <w:r w:rsidR="001F3F42" w:rsidRPr="003726FE">
        <w:rPr>
          <w:shd w:val="clear" w:color="auto" w:fill="FFFFFF"/>
          <w:lang w:val="en-GB"/>
        </w:rPr>
        <w:t xml:space="preserve"> the qualitative aims exploring</w:t>
      </w:r>
      <w:r w:rsidR="00855442" w:rsidRPr="003726FE">
        <w:rPr>
          <w:shd w:val="clear" w:color="auto" w:fill="FFFFFF"/>
          <w:lang w:val="en-GB"/>
        </w:rPr>
        <w:t xml:space="preserve"> how students recognised, understood, </w:t>
      </w:r>
      <w:r w:rsidR="00855442" w:rsidRPr="003726FE">
        <w:rPr>
          <w:shd w:val="clear" w:color="auto" w:fill="FFFFFF"/>
          <w:lang w:val="en-GB"/>
        </w:rPr>
        <w:lastRenderedPageBreak/>
        <w:t xml:space="preserve">and used the different types of feedback and how it impacted upon their future behaviours. The quantitative </w:t>
      </w:r>
      <w:r w:rsidR="00D3663A">
        <w:rPr>
          <w:shd w:val="clear" w:color="auto" w:fill="FFFFFF"/>
          <w:lang w:val="en-GB"/>
        </w:rPr>
        <w:t xml:space="preserve">method </w:t>
      </w:r>
      <w:r w:rsidR="001F3F42" w:rsidRPr="003726FE">
        <w:rPr>
          <w:shd w:val="clear" w:color="auto" w:fill="FFFFFF"/>
          <w:lang w:val="en-GB"/>
        </w:rPr>
        <w:t>was also crucial as it</w:t>
      </w:r>
      <w:r w:rsidR="00855442" w:rsidRPr="003726FE">
        <w:rPr>
          <w:shd w:val="clear" w:color="auto" w:fill="FFFFFF"/>
          <w:lang w:val="en-GB"/>
        </w:rPr>
        <w:t xml:space="preserve"> allowed</w:t>
      </w:r>
      <w:r w:rsidRPr="003726FE">
        <w:rPr>
          <w:shd w:val="clear" w:color="auto" w:fill="FFFFFF"/>
          <w:lang w:val="en-GB"/>
        </w:rPr>
        <w:t xml:space="preserve"> for the </w:t>
      </w:r>
      <w:r w:rsidR="00855442" w:rsidRPr="003726FE">
        <w:rPr>
          <w:shd w:val="clear" w:color="auto" w:fill="FFFFFF"/>
          <w:lang w:val="en-GB"/>
        </w:rPr>
        <w:t xml:space="preserve">purposeful </w:t>
      </w:r>
      <w:r w:rsidRPr="003726FE">
        <w:rPr>
          <w:shd w:val="clear" w:color="auto" w:fill="FFFFFF"/>
          <w:lang w:val="en-GB"/>
        </w:rPr>
        <w:t xml:space="preserve">selection of </w:t>
      </w:r>
      <w:r w:rsidR="00855442" w:rsidRPr="003726FE">
        <w:rPr>
          <w:shd w:val="clear" w:color="auto" w:fill="FFFFFF"/>
          <w:lang w:val="en-GB"/>
        </w:rPr>
        <w:t>groups of students</w:t>
      </w:r>
      <w:r w:rsidR="006D7005" w:rsidRPr="003726FE">
        <w:rPr>
          <w:shd w:val="clear" w:color="auto" w:fill="FFFFFF"/>
          <w:lang w:val="en-GB"/>
        </w:rPr>
        <w:t xml:space="preserve"> at the qualitative stage, and provided</w:t>
      </w:r>
      <w:r w:rsidRPr="003726FE">
        <w:rPr>
          <w:shd w:val="clear" w:color="auto" w:fill="FFFFFF"/>
          <w:lang w:val="en-GB"/>
        </w:rPr>
        <w:t xml:space="preserve"> statistical </w:t>
      </w:r>
      <w:r w:rsidR="006D7005" w:rsidRPr="003726FE">
        <w:rPr>
          <w:shd w:val="clear" w:color="auto" w:fill="FFFFFF"/>
          <w:lang w:val="en-GB"/>
        </w:rPr>
        <w:t xml:space="preserve">impact </w:t>
      </w:r>
      <w:r w:rsidRPr="003726FE">
        <w:rPr>
          <w:shd w:val="clear" w:color="auto" w:fill="FFFFFF"/>
          <w:lang w:val="en-GB"/>
        </w:rPr>
        <w:t xml:space="preserve">evidence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&lt;EndNote&gt;&lt;Cite&gt;&lt;Author&gt;Clark&lt;/Author&gt;&lt;Year&gt;2011&lt;/Year&gt;&lt;RecNum&gt;33&lt;/RecNum&gt;&lt;DisplayText&gt;(Clark and Creswell 2011)&lt;/DisplayText&gt;&lt;record&gt;&lt;rec-number&gt;33&lt;/rec-number&gt;&lt;foreign-keys&gt;&lt;key app="EN" db-id="xa2r2ewea92trkef5dt5arvbzafvpv2za5ft" timestamp="1442161763"&gt;33&lt;/key&gt;&lt;/foreign-keys&gt;&lt;ref-type name="Book"&gt;6&lt;/ref-type&gt;&lt;contributors&gt;&lt;authors&gt;&lt;author&gt;Clark, Vicki L. Plano&lt;/author&gt;&lt;author&gt;Creswell, John W.&lt;/author&gt;&lt;/authors&gt;&lt;/contributors&gt;&lt;titles&gt;&lt;title&gt;Designing and conducting mixed methods research&lt;/title&gt;&lt;/titles&gt;&lt;dates&gt;&lt;year&gt;2011&lt;/year&gt;&lt;/dates&gt;&lt;publisher&gt;Thousand Oaks, CA: Sage&lt;/publisher&gt;&lt;urls&gt;&lt;/urls&gt;&lt;/record&gt;&lt;/Cite&gt;&lt;/EndNote&gt;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76" w:tooltip="Clark, 2011 #33" w:history="1">
        <w:r w:rsidR="0094469E" w:rsidRPr="003726FE">
          <w:rPr>
            <w:noProof/>
            <w:shd w:val="clear" w:color="auto" w:fill="FFFFFF"/>
            <w:lang w:val="en-GB"/>
          </w:rPr>
          <w:t>Clark and Creswell 2011</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w:t>
      </w:r>
    </w:p>
    <w:p w14:paraId="43601992" w14:textId="77777777" w:rsidR="00247131" w:rsidRPr="003726FE" w:rsidRDefault="00247131" w:rsidP="00026049">
      <w:pPr>
        <w:pStyle w:val="Normal1"/>
        <w:rPr>
          <w:shd w:val="clear" w:color="auto" w:fill="FFFFFF"/>
          <w:lang w:val="en-GB"/>
        </w:rPr>
      </w:pPr>
    </w:p>
    <w:p w14:paraId="30164C5F" w14:textId="3044AE07" w:rsidR="00AD32A0" w:rsidRPr="003726FE" w:rsidRDefault="006D7005" w:rsidP="00026049">
      <w:pPr>
        <w:pStyle w:val="Normal1"/>
        <w:rPr>
          <w:shd w:val="clear" w:color="auto" w:fill="FFFFFF"/>
          <w:lang w:val="en-GB"/>
        </w:rPr>
      </w:pPr>
      <w:r w:rsidRPr="003726FE">
        <w:rPr>
          <w:shd w:val="clear" w:color="auto" w:fill="FFFFFF"/>
          <w:lang w:val="en-GB"/>
        </w:rPr>
        <w:t xml:space="preserve">Other designs were considered during the </w:t>
      </w:r>
      <w:r w:rsidR="00AB785E">
        <w:rPr>
          <w:shd w:val="clear" w:color="auto" w:fill="FFFFFF"/>
          <w:lang w:val="en-GB"/>
        </w:rPr>
        <w:t>planning</w:t>
      </w:r>
      <w:r w:rsidRPr="003726FE">
        <w:rPr>
          <w:shd w:val="clear" w:color="auto" w:fill="FFFFFF"/>
          <w:lang w:val="en-GB"/>
        </w:rPr>
        <w:t xml:space="preserve"> phase which </w:t>
      </w:r>
      <w:r w:rsidR="001F3F42" w:rsidRPr="003726FE">
        <w:rPr>
          <w:shd w:val="clear" w:color="auto" w:fill="FFFFFF"/>
          <w:lang w:val="en-GB"/>
        </w:rPr>
        <w:t>are</w:t>
      </w:r>
      <w:r w:rsidR="00AD32A0" w:rsidRPr="003726FE">
        <w:rPr>
          <w:shd w:val="clear" w:color="auto" w:fill="FFFFFF"/>
          <w:lang w:val="en-GB"/>
        </w:rPr>
        <w:t xml:space="preserve"> popular in mixed methods research, such as the alternative group of designs under the term ‘concurrent’, meaning that qualitative and quantitative data a</w:t>
      </w:r>
      <w:r w:rsidR="00D3663A">
        <w:rPr>
          <w:shd w:val="clear" w:color="auto" w:fill="FFFFFF"/>
          <w:lang w:val="en-GB"/>
        </w:rPr>
        <w:t xml:space="preserve">re collected in a single phase. </w:t>
      </w:r>
      <w:r w:rsidR="00AD32A0" w:rsidRPr="003726FE">
        <w:rPr>
          <w:shd w:val="clear" w:color="auto" w:fill="FFFFFF"/>
          <w:lang w:val="en-GB"/>
        </w:rPr>
        <w:t>Concurrent designs present methodological challenges to the researcher</w:t>
      </w:r>
      <w:r w:rsidR="001F3F42" w:rsidRPr="003726FE">
        <w:rPr>
          <w:shd w:val="clear" w:color="auto" w:fill="FFFFFF"/>
          <w:lang w:val="en-GB"/>
        </w:rPr>
        <w:t>:</w:t>
      </w:r>
      <w:r w:rsidR="00AD32A0" w:rsidRPr="003726FE">
        <w:rPr>
          <w:shd w:val="clear" w:color="auto" w:fill="FFFFFF"/>
          <w:lang w:val="en-GB"/>
        </w:rPr>
        <w:t xml:space="preserve"> contradictory findings </w:t>
      </w:r>
      <w:r w:rsidR="00EF281A" w:rsidRPr="003726FE">
        <w:rPr>
          <w:shd w:val="clear" w:color="auto" w:fill="FFFFFF"/>
          <w:lang w:val="en-GB"/>
        </w:rPr>
        <w:fldChar w:fldCharType="begin"/>
      </w:r>
      <w:r w:rsidR="00906C98">
        <w:rPr>
          <w:shd w:val="clear" w:color="auto" w:fill="FFFFFF"/>
          <w:lang w:val="en-GB"/>
        </w:rPr>
        <w:instrText xml:space="preserve"> ADDIN EN.CITE &lt;EndNote&gt;&lt;Cite&gt;&lt;Author&gt;Erzberger&lt;/Author&gt;&lt;Year&gt;2003&lt;/Year&gt;&lt;RecNum&gt;77&lt;/RecNum&gt;&lt;DisplayText&gt;(Erzberger and Kelle 2003b)&lt;/DisplayText&gt;&lt;record&gt;&lt;rec-number&gt;77&lt;/rec-number&gt;&lt;foreign-keys&gt;&lt;key app="EN" db-id="xa2r2ewea92trkef5dt5arvbzafvpv2za5ft" timestamp="1442161763"&gt;77&lt;/key&gt;&lt;/foreign-keys&gt;&lt;ref-type name="Journal Article"&gt;17&lt;/ref-type&gt;&lt;contributors&gt;&lt;authors&gt;&lt;author&gt;Erzberger, Christian.&lt;/author&gt;&lt;author&gt;Kelle, U.&lt;/author&gt;&lt;/authors&gt;&lt;/contributors&gt;&lt;titles&gt;&lt;title&gt;Making Inferences in Mixed Methods: The Rules of Integration. IN TASHAKKORI, A. &amp;amp; TEDDLIE, C.(Eds.) Handbook of Mixed Methods in Social and Behavioral Research&lt;/title&gt;&lt;/titles&gt;&lt;dates&gt;&lt;year&gt;2003&lt;/year&gt;&lt;/dates&gt;&lt;publisher&gt;Thousand Oaks, California, Sage Publications&lt;/publisher&gt;&lt;urls&gt;&lt;/urls&gt;&lt;/record&gt;&lt;/Cite&gt;&lt;/EndNote&gt;</w:instrText>
      </w:r>
      <w:r w:rsidR="00EF281A" w:rsidRPr="003726FE">
        <w:rPr>
          <w:shd w:val="clear" w:color="auto" w:fill="FFFFFF"/>
          <w:lang w:val="en-GB"/>
        </w:rPr>
        <w:fldChar w:fldCharType="separate"/>
      </w:r>
      <w:r w:rsidR="00906C98">
        <w:rPr>
          <w:noProof/>
          <w:shd w:val="clear" w:color="auto" w:fill="FFFFFF"/>
          <w:lang w:val="en-GB"/>
        </w:rPr>
        <w:t>(</w:t>
      </w:r>
      <w:hyperlink w:anchor="_ENREF_143" w:tooltip="Erzberger, 2003 #77" w:history="1">
        <w:r w:rsidR="0094469E">
          <w:rPr>
            <w:noProof/>
            <w:shd w:val="clear" w:color="auto" w:fill="FFFFFF"/>
            <w:lang w:val="en-GB"/>
          </w:rPr>
          <w:t>Erzberger and Kelle 2003b</w:t>
        </w:r>
      </w:hyperlink>
      <w:r w:rsidR="00906C98">
        <w:rPr>
          <w:noProof/>
          <w:shd w:val="clear" w:color="auto" w:fill="FFFFFF"/>
          <w:lang w:val="en-GB"/>
        </w:rPr>
        <w:t>)</w:t>
      </w:r>
      <w:r w:rsidR="00EF281A" w:rsidRPr="003726FE">
        <w:rPr>
          <w:shd w:val="clear" w:color="auto" w:fill="FFFFFF"/>
          <w:lang w:val="en-GB"/>
        </w:rPr>
        <w:fldChar w:fldCharType="end"/>
      </w:r>
      <w:r w:rsidR="00AD32A0" w:rsidRPr="003726FE">
        <w:rPr>
          <w:shd w:val="clear" w:color="auto" w:fill="FFFFFF"/>
          <w:lang w:val="en-GB"/>
        </w:rPr>
        <w:t>, issues with meaningful data integration</w:t>
      </w:r>
      <w:r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&lt;EndNote&gt;&lt;Cite&gt;&lt;Author&gt;Knodel&lt;/Author&gt;&lt;Year&gt;2005&lt;/Year&gt;&lt;RecNum&gt;135&lt;/RecNum&gt;&lt;DisplayText&gt;(Knodel and Saengtienchai 2005)&lt;/DisplayText&gt;&lt;record&gt;&lt;rec-number&gt;135&lt;/rec-number&gt;&lt;foreign-keys&gt;&lt;key app="EN" db-id="xa2r2ewea92trkef5dt5arvbzafvpv2za5ft" timestamp="1442161764"&gt;135&lt;/key&gt;&lt;/foreign-keys&gt;&lt;ref-type name="Journal Article"&gt;17&lt;/ref-type&gt;&lt;contributors&gt;&lt;authors&gt;&lt;author&gt;Knodel, John&lt;/author&gt;&lt;author&gt;Saengtienchai, Chanpen&lt;/author&gt;&lt;/authors&gt;&lt;/contributors&gt;&lt;titles&gt;&lt;title&gt;Older-Aged Parents The Final Safety Net for Adult Sons and Daughters With AIDS in Thailand&lt;/title&gt;&lt;secondary-title&gt;Journal of Family Issues&lt;/secondary-title&gt;&lt;/titles&gt;&lt;periodical&gt;&lt;full-title&gt;Journal of Family Issues&lt;/full-title&gt;&lt;/periodical&gt;&lt;pages&gt;665-698&lt;/pages&gt;&lt;volume&gt;26&lt;/volume&gt;&lt;number&gt;5&lt;/number&gt;&lt;dates&gt;&lt;year&gt;2005&lt;/year&gt;&lt;/dates&gt;&lt;publisher&gt;Sage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22" w:tooltip="Knodel, 2005 #135" w:history="1">
        <w:r w:rsidR="0094469E" w:rsidRPr="003726FE">
          <w:rPr>
            <w:noProof/>
            <w:shd w:val="clear" w:color="auto" w:fill="FFFFFF"/>
            <w:lang w:val="en-GB"/>
          </w:rPr>
          <w:t>Knodel and Saengtienchai 2005</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w:t>
      </w:r>
      <w:r w:rsidR="00AD32A0" w:rsidRPr="003726FE">
        <w:rPr>
          <w:shd w:val="clear" w:color="auto" w:fill="FFFFFF"/>
          <w:lang w:val="en-GB"/>
        </w:rPr>
        <w:t xml:space="preserve"> and choosing appropriate sampling strategies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&lt;EndNote&gt;&lt;Cite&gt;&lt;Author&gt;Creswell&lt;/Author&gt;&lt;Year&gt;2007&lt;/Year&gt;&lt;RecNum&gt;563&lt;/RecNum&gt;&lt;DisplayText&gt;(Creswell and Plano Clark 2007)&lt;/DisplayText&gt;&lt;record&gt;&lt;rec-number&gt;563&lt;/rec-number&gt;&lt;foreign-keys&gt;&lt;key app="EN" db-id="xa2r2ewea92trkef5dt5arvbzafvpv2za5ft" timestamp="1496417554"&gt;563&lt;/key&gt;&lt;/foreign-keys&gt;&lt;ref-type name="Journal Article"&gt;17&lt;/ref-type&gt;&lt;contributors&gt;&lt;authors&gt;&lt;author&gt;Creswell, John W&lt;/author&gt;&lt;author&gt;Plano Clark, VL&lt;/author&gt;&lt;/authors&gt;&lt;/contributors&gt;&lt;titles&gt;&lt;title&gt;Choosing a mixed methods design&lt;/title&gt;&lt;secondary-title&gt;Designing and conducting mixed methods research&lt;/secondary-title&gt;&lt;/titles&gt;&lt;periodical&gt;&lt;full-title&gt;Designing and conducting mixed methods research&lt;/full-title&gt;&lt;/periodical&gt;&lt;pages&gt;58-88&lt;/pages&gt;&lt;dates&gt;&lt;year&gt;2007&lt;/year&gt;&lt;/dates&gt;&lt;urls&gt;&lt;/urls&gt;&lt;/record&gt;&lt;/Cite&gt;&lt;/EndNote&gt;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02" w:tooltip="Creswell, 2007 #563" w:history="1">
        <w:r w:rsidR="0094469E" w:rsidRPr="003726FE">
          <w:rPr>
            <w:noProof/>
            <w:shd w:val="clear" w:color="auto" w:fill="FFFFFF"/>
            <w:lang w:val="en-GB"/>
          </w:rPr>
          <w:t>Creswell and Plano Clark 2007</w:t>
        </w:r>
      </w:hyperlink>
      <w:r w:rsidR="004E5A78" w:rsidRPr="003726FE">
        <w:rPr>
          <w:noProof/>
          <w:shd w:val="clear" w:color="auto" w:fill="FFFFFF"/>
          <w:lang w:val="en-GB"/>
        </w:rPr>
        <w:t>)</w:t>
      </w:r>
      <w:r w:rsidR="00EF281A" w:rsidRPr="003726FE">
        <w:rPr>
          <w:shd w:val="clear" w:color="auto" w:fill="FFFFFF"/>
          <w:lang w:val="en-GB"/>
        </w:rPr>
        <w:fldChar w:fldCharType="end"/>
      </w:r>
      <w:r w:rsidR="00346531" w:rsidRPr="003726FE">
        <w:rPr>
          <w:shd w:val="clear" w:color="auto" w:fill="FFFFFF"/>
          <w:lang w:val="en-GB"/>
        </w:rPr>
        <w:t>, n</w:t>
      </w:r>
      <w:r w:rsidR="00AD32A0" w:rsidRPr="003726FE">
        <w:rPr>
          <w:shd w:val="clear" w:color="auto" w:fill="FFFFFF"/>
          <w:lang w:val="en-GB"/>
        </w:rPr>
        <w:t xml:space="preserve">otwithstanding the need for a team of researchers to manage the larger </w:t>
      </w:r>
      <w:r w:rsidRPr="003726FE">
        <w:rPr>
          <w:shd w:val="clear" w:color="auto" w:fill="FFFFFF"/>
          <w:lang w:val="en-GB"/>
        </w:rPr>
        <w:t xml:space="preserve">and more concentrated </w:t>
      </w:r>
      <w:r w:rsidR="00AD32A0" w:rsidRPr="003726FE">
        <w:rPr>
          <w:shd w:val="clear" w:color="auto" w:fill="FFFFFF"/>
          <w:lang w:val="en-GB"/>
        </w:rPr>
        <w:t>data collection process</w:t>
      </w:r>
      <w:r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&lt;EndNote&gt;&lt;Cite&gt;&lt;Author&gt;Creswell&lt;/Author&gt;&lt;Year&gt;2011&lt;/Year&gt;&lt;RecNum&gt;54&lt;/RecNum&gt;&lt;DisplayText&gt;(Creswell et al. 2011)&lt;/DisplayText&gt;&lt;record&gt;&lt;rec-number&gt;54&lt;/rec-number&gt;&lt;foreign-keys&gt;&lt;key app="EN" db-id="xa2r2ewea92trkef5dt5arvbzafvpv2za5ft" timestamp="1442161763"&gt;54&lt;/key&gt;&lt;/foreign-keys&gt;&lt;ref-type name="Journal Article"&gt;17&lt;/ref-type&gt;&lt;contributors&gt;&lt;authors&gt;&lt;author&gt;Creswell, John W.&lt;/author&gt;&lt;author&gt;Klassen, Ann Carroll&lt;/author&gt;&lt;author&gt;Plano Clark, Vicki L.&lt;/author&gt;&lt;author&gt;Smith, Katherine Clegg&lt;/author&gt;&lt;/authors&gt;&lt;/contributors&gt;&lt;titles&gt;&lt;title&gt;Best practices for mixed methods research in the health sciences&lt;/title&gt;&lt;secondary-title&gt;Bethesda (Maryland): National Institutes of Health&lt;/secondary-title&gt;&lt;/titles&gt;&lt;periodical&gt;&lt;full-title&gt;Bethesda (Maryland): National Institutes of Health&lt;/full-title&gt;&lt;/periodical&gt;&lt;pages&gt;2094-2103&lt;/pages&gt;&lt;dates&gt;&lt;year&gt;2011&lt;/year&gt;&lt;/dates&gt;&lt;urls&gt;&lt;/urls&gt;&lt;/record&gt;&lt;/Cite&gt;&lt;/EndNote&gt;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00" w:tooltip="Creswell, 2011 #54" w:history="1">
        <w:r w:rsidR="0094469E" w:rsidRPr="003726FE">
          <w:rPr>
            <w:noProof/>
            <w:shd w:val="clear" w:color="auto" w:fill="FFFFFF"/>
            <w:lang w:val="en-GB"/>
          </w:rPr>
          <w:t>Creswell et al. 2011</w:t>
        </w:r>
      </w:hyperlink>
      <w:r w:rsidR="004E5A78" w:rsidRPr="003726FE">
        <w:rPr>
          <w:noProof/>
          <w:shd w:val="clear" w:color="auto" w:fill="FFFFFF"/>
          <w:lang w:val="en-GB"/>
        </w:rPr>
        <w:t>)</w:t>
      </w:r>
      <w:r w:rsidR="00EF281A" w:rsidRPr="003726FE">
        <w:rPr>
          <w:shd w:val="clear" w:color="auto" w:fill="FFFFFF"/>
          <w:lang w:val="en-GB"/>
        </w:rPr>
        <w:fldChar w:fldCharType="end"/>
      </w:r>
      <w:r w:rsidR="00AD32A0" w:rsidRPr="003726FE">
        <w:rPr>
          <w:shd w:val="clear" w:color="auto" w:fill="FFFFFF"/>
          <w:lang w:val="en-GB"/>
        </w:rPr>
        <w:t>.</w:t>
      </w:r>
    </w:p>
    <w:p w14:paraId="627CB413" w14:textId="77777777" w:rsidR="00AD32A0" w:rsidRPr="003726FE" w:rsidRDefault="00AD32A0" w:rsidP="00026049">
      <w:pPr>
        <w:pStyle w:val="Normal1"/>
        <w:rPr>
          <w:shd w:val="clear" w:color="auto" w:fill="FFFFFF"/>
          <w:lang w:val="en-GB"/>
        </w:rPr>
      </w:pPr>
    </w:p>
    <w:p w14:paraId="74E28B05" w14:textId="519E3587" w:rsidR="00AD32A0" w:rsidRDefault="000532E2" w:rsidP="00026049">
      <w:pPr>
        <w:pStyle w:val="Normal1"/>
        <w:rPr>
          <w:shd w:val="clear" w:color="auto" w:fill="FFFFFF"/>
          <w:lang w:val="en-GB"/>
        </w:rPr>
      </w:pPr>
      <w:hyperlink w:anchor="_ENREF_76" w:tooltip="Clark, 2011 #33"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AuthorYear="1"&gt;&lt;Author&gt;Clark&lt;/Author&gt;&lt;Year&gt;2011&lt;/Year&gt;&lt;RecNum&gt;33&lt;/RecNum&gt;&lt;Pages&gt;83-84&lt;/Pages&gt;&lt;DisplayText&gt;Clark and Creswell (2011, pp. 83-84)&lt;/DisplayText&gt;&lt;record&gt;&lt;rec-number&gt;33&lt;/rec-number&gt;&lt;foreign-keys&gt;&lt;key app="EN" db-id="xa2r2ewea92trkef5dt5arvbzafvpv2za5ft" timestamp="1442161763"&gt;33&lt;/key&gt;&lt;/foreign-keys&gt;&lt;ref-type name="Book"&gt;6&lt;/ref-type&gt;&lt;contributors&gt;&lt;authors&gt;&lt;author&gt;Clark, Vicki L. Plano&lt;/author&gt;&lt;author&gt;Creswell, John W.&lt;/author&gt;&lt;/authors&gt;&lt;/contributors&gt;&lt;titles&gt;&lt;title&gt;Designing and conducting mixed methods research&lt;/title&gt;&lt;/titles&gt;&lt;dates&gt;&lt;year&gt;2011&lt;/year&gt;&lt;/dates&gt;&lt;publisher&gt;Thousand Oaks, CA: Sage&lt;/publisher&gt;&lt;urls&gt;&lt;/urls&gt;&lt;/record&gt;&lt;/Cite&gt;&lt;/EndNote&gt;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Clark and Creswell (2011, pp. 83-84)</w:t>
        </w:r>
        <w:r w:rsidR="0094469E" w:rsidRPr="003726FE">
          <w:rPr>
            <w:shd w:val="clear" w:color="auto" w:fill="FFFFFF"/>
            <w:lang w:val="en-GB"/>
          </w:rPr>
          <w:fldChar w:fldCharType="end"/>
        </w:r>
      </w:hyperlink>
      <w:r w:rsidR="006D7005" w:rsidRPr="003726FE">
        <w:rPr>
          <w:shd w:val="clear" w:color="auto" w:fill="FFFFFF"/>
          <w:lang w:val="en-GB"/>
        </w:rPr>
        <w:t xml:space="preserve"> </w:t>
      </w:r>
      <w:r w:rsidR="00AD32A0" w:rsidRPr="003726FE">
        <w:rPr>
          <w:shd w:val="clear" w:color="auto" w:fill="FFFFFF"/>
          <w:lang w:val="en-GB"/>
        </w:rPr>
        <w:t>summarise</w:t>
      </w:r>
      <w:r w:rsidR="00346531" w:rsidRPr="003726FE">
        <w:rPr>
          <w:shd w:val="clear" w:color="auto" w:fill="FFFFFF"/>
          <w:lang w:val="en-GB"/>
        </w:rPr>
        <w:t>d</w:t>
      </w:r>
      <w:r w:rsidR="00AD32A0" w:rsidRPr="003726FE">
        <w:rPr>
          <w:shd w:val="clear" w:color="auto" w:fill="FFFFFF"/>
          <w:lang w:val="en-GB"/>
        </w:rPr>
        <w:t xml:space="preserve"> the benefits and challenges of sequential explanatory designs:</w:t>
      </w:r>
    </w:p>
    <w:p w14:paraId="6AA4C9E7" w14:textId="77777777" w:rsidR="002F655D" w:rsidRPr="003726FE" w:rsidRDefault="002F655D" w:rsidP="00026049">
      <w:pPr>
        <w:pStyle w:val="Normal1"/>
        <w:rPr>
          <w:shd w:val="clear" w:color="auto" w:fill="FFFFFF"/>
          <w:lang w:val="en-GB"/>
        </w:rPr>
      </w:pPr>
    </w:p>
    <w:p w14:paraId="31FC3C06" w14:textId="77777777" w:rsidR="00AD32A0" w:rsidRPr="00D3663A" w:rsidRDefault="00AD32A0" w:rsidP="00026049">
      <w:pPr>
        <w:pStyle w:val="Normal1"/>
        <w:rPr>
          <w:b/>
          <w:shd w:val="clear" w:color="auto" w:fill="FFFFFF"/>
          <w:lang w:val="en-GB"/>
        </w:rPr>
      </w:pPr>
      <w:r w:rsidRPr="00D3663A">
        <w:rPr>
          <w:b/>
          <w:shd w:val="clear" w:color="auto" w:fill="FFFFFF"/>
          <w:lang w:val="en-GB"/>
        </w:rPr>
        <w:t>Benefits:</w:t>
      </w:r>
    </w:p>
    <w:p w14:paraId="349779BD" w14:textId="5E5FCD09" w:rsidR="00AD32A0" w:rsidRPr="003726FE" w:rsidRDefault="00AD32A0" w:rsidP="00026049">
      <w:pPr>
        <w:pStyle w:val="Normal1"/>
        <w:numPr>
          <w:ilvl w:val="0"/>
          <w:numId w:val="18"/>
        </w:numPr>
        <w:rPr>
          <w:shd w:val="clear" w:color="auto" w:fill="FFFFFF"/>
          <w:lang w:val="en-GB"/>
        </w:rPr>
      </w:pPr>
      <w:r w:rsidRPr="003726FE">
        <w:rPr>
          <w:shd w:val="clear" w:color="auto" w:fill="FFFFFF"/>
          <w:lang w:val="en-GB"/>
        </w:rPr>
        <w:t xml:space="preserve">The implementation of the design is simpler in comparison to other mixed methods designs, </w:t>
      </w:r>
      <w:r w:rsidR="00D3663A">
        <w:rPr>
          <w:shd w:val="clear" w:color="auto" w:fill="FFFFFF"/>
          <w:lang w:val="en-GB"/>
        </w:rPr>
        <w:t>largely because of its separate</w:t>
      </w:r>
      <w:r w:rsidRPr="003726FE">
        <w:rPr>
          <w:shd w:val="clear" w:color="auto" w:fill="FFFFFF"/>
          <w:lang w:val="en-GB"/>
        </w:rPr>
        <w:t xml:space="preserve"> sequential structure requiring only one researcher as opposed to </w:t>
      </w:r>
      <w:r w:rsidR="00346531" w:rsidRPr="003726FE">
        <w:rPr>
          <w:shd w:val="clear" w:color="auto" w:fill="FFFFFF"/>
          <w:lang w:val="en-GB"/>
        </w:rPr>
        <w:t>the</w:t>
      </w:r>
      <w:r w:rsidRPr="003726FE">
        <w:rPr>
          <w:shd w:val="clear" w:color="auto" w:fill="FFFFFF"/>
          <w:lang w:val="en-GB"/>
        </w:rPr>
        <w:t xml:space="preserve"> team of researchers needed in other designs to cope with data collection.</w:t>
      </w:r>
    </w:p>
    <w:p w14:paraId="32260D0C" w14:textId="49AFD6CF" w:rsidR="00AD32A0" w:rsidRPr="003726FE" w:rsidRDefault="00AD32A0" w:rsidP="00026049">
      <w:pPr>
        <w:pStyle w:val="Normal1"/>
        <w:numPr>
          <w:ilvl w:val="0"/>
          <w:numId w:val="18"/>
        </w:numPr>
        <w:rPr>
          <w:shd w:val="clear" w:color="auto" w:fill="FFFFFF"/>
          <w:lang w:val="en-GB"/>
        </w:rPr>
      </w:pPr>
      <w:r w:rsidRPr="003726FE">
        <w:rPr>
          <w:shd w:val="clear" w:color="auto" w:fill="FFFFFF"/>
          <w:lang w:val="en-GB"/>
        </w:rPr>
        <w:t>The final write-up can be similarly sequential</w:t>
      </w:r>
      <w:r w:rsidR="00346531" w:rsidRPr="003726FE">
        <w:rPr>
          <w:shd w:val="clear" w:color="auto" w:fill="FFFFFF"/>
          <w:lang w:val="en-GB"/>
        </w:rPr>
        <w:t xml:space="preserve"> -</w:t>
      </w:r>
      <w:r w:rsidRPr="003726FE">
        <w:rPr>
          <w:shd w:val="clear" w:color="auto" w:fill="FFFFFF"/>
          <w:lang w:val="en-GB"/>
        </w:rPr>
        <w:t xml:space="preserve"> </w:t>
      </w:r>
      <w:r w:rsidR="00346531" w:rsidRPr="003726FE">
        <w:rPr>
          <w:shd w:val="clear" w:color="auto" w:fill="FFFFFF"/>
          <w:lang w:val="en-GB"/>
        </w:rPr>
        <w:t>q</w:t>
      </w:r>
      <w:r w:rsidRPr="003726FE">
        <w:rPr>
          <w:shd w:val="clear" w:color="auto" w:fill="FFFFFF"/>
          <w:lang w:val="en-GB"/>
        </w:rPr>
        <w:t>uantitative data first followed by the qualitative data.</w:t>
      </w:r>
    </w:p>
    <w:p w14:paraId="78CF407A" w14:textId="6996117A" w:rsidR="00AD32A0" w:rsidRPr="003726FE" w:rsidRDefault="00AD32A0" w:rsidP="00026049">
      <w:pPr>
        <w:pStyle w:val="Normal1"/>
        <w:numPr>
          <w:ilvl w:val="0"/>
          <w:numId w:val="18"/>
        </w:numPr>
        <w:rPr>
          <w:shd w:val="clear" w:color="auto" w:fill="FFFFFF"/>
          <w:lang w:val="en-GB"/>
        </w:rPr>
      </w:pPr>
      <w:r w:rsidRPr="003726FE">
        <w:rPr>
          <w:shd w:val="clear" w:color="auto" w:fill="FFFFFF"/>
          <w:lang w:val="en-GB"/>
        </w:rPr>
        <w:t>The second phase (qualitative) can be designed by findings from the first phase (quantitative)</w:t>
      </w:r>
      <w:r w:rsidR="00346531" w:rsidRPr="003726FE">
        <w:rPr>
          <w:shd w:val="clear" w:color="auto" w:fill="FFFFFF"/>
          <w:lang w:val="en-GB"/>
        </w:rPr>
        <w:t xml:space="preserve">, allowing for an </w:t>
      </w:r>
      <w:r w:rsidRPr="003726FE">
        <w:rPr>
          <w:shd w:val="clear" w:color="auto" w:fill="FFFFFF"/>
          <w:lang w:val="en-GB"/>
        </w:rPr>
        <w:t>informed approach.</w:t>
      </w:r>
    </w:p>
    <w:p w14:paraId="41E96E39" w14:textId="77777777" w:rsidR="00AD32A0" w:rsidRPr="00D3663A" w:rsidRDefault="00AD32A0" w:rsidP="00026049">
      <w:pPr>
        <w:pStyle w:val="Normal1"/>
        <w:rPr>
          <w:b/>
          <w:shd w:val="clear" w:color="auto" w:fill="FFFFFF"/>
          <w:lang w:val="en-GB"/>
        </w:rPr>
      </w:pPr>
      <w:r w:rsidRPr="00D3663A">
        <w:rPr>
          <w:b/>
          <w:shd w:val="clear" w:color="auto" w:fill="FFFFFF"/>
          <w:lang w:val="en-GB"/>
        </w:rPr>
        <w:t>Challenges:</w:t>
      </w:r>
    </w:p>
    <w:p w14:paraId="33365BBF" w14:textId="29410DFA" w:rsidR="00AD32A0" w:rsidRPr="003726FE" w:rsidRDefault="00346531" w:rsidP="00026049">
      <w:pPr>
        <w:pStyle w:val="Normal1"/>
        <w:numPr>
          <w:ilvl w:val="0"/>
          <w:numId w:val="19"/>
        </w:numPr>
        <w:rPr>
          <w:shd w:val="clear" w:color="auto" w:fill="FFFFFF"/>
          <w:lang w:val="en-GB"/>
        </w:rPr>
      </w:pPr>
      <w:r w:rsidRPr="003726FE">
        <w:rPr>
          <w:shd w:val="clear" w:color="auto" w:fill="FFFFFF"/>
          <w:lang w:val="en-GB"/>
        </w:rPr>
        <w:t>It r</w:t>
      </w:r>
      <w:r w:rsidR="00AD32A0" w:rsidRPr="003726FE">
        <w:rPr>
          <w:shd w:val="clear" w:color="auto" w:fill="FFFFFF"/>
          <w:lang w:val="en-GB"/>
        </w:rPr>
        <w:t>equires an extended period of time to carry out, especially the qualitative phase.</w:t>
      </w:r>
    </w:p>
    <w:p w14:paraId="476A7C76" w14:textId="5DF5F8C4" w:rsidR="00AD32A0" w:rsidRPr="003726FE" w:rsidRDefault="00AD32A0" w:rsidP="00026049">
      <w:pPr>
        <w:pStyle w:val="Normal1"/>
        <w:numPr>
          <w:ilvl w:val="0"/>
          <w:numId w:val="19"/>
        </w:numPr>
        <w:rPr>
          <w:shd w:val="clear" w:color="auto" w:fill="FFFFFF"/>
          <w:lang w:val="en-GB"/>
        </w:rPr>
      </w:pPr>
      <w:r w:rsidRPr="003726FE">
        <w:rPr>
          <w:shd w:val="clear" w:color="auto" w:fill="FFFFFF"/>
          <w:lang w:val="en-GB"/>
        </w:rPr>
        <w:t>It can be difficult to describe how participants in the qualitative phase will be sampled and under what criteria they will be selected. This is exacerbated if the researcher is relying on the first phase for this information</w:t>
      </w:r>
      <w:r w:rsidR="00346531" w:rsidRPr="003726FE">
        <w:rPr>
          <w:shd w:val="clear" w:color="auto" w:fill="FFFFFF"/>
          <w:lang w:val="en-GB"/>
        </w:rPr>
        <w:t>. T</w:t>
      </w:r>
      <w:r w:rsidRPr="003726FE">
        <w:rPr>
          <w:shd w:val="clear" w:color="auto" w:fill="FFFFFF"/>
          <w:lang w:val="en-GB"/>
        </w:rPr>
        <w:t>herefore, ethical approval may be difficult to obtain.</w:t>
      </w:r>
    </w:p>
    <w:p w14:paraId="5B359F0C" w14:textId="268B4838" w:rsidR="00AD32A0" w:rsidRPr="003726FE" w:rsidRDefault="00AD32A0" w:rsidP="00026049">
      <w:pPr>
        <w:pStyle w:val="Normal1"/>
        <w:numPr>
          <w:ilvl w:val="0"/>
          <w:numId w:val="19"/>
        </w:numPr>
        <w:rPr>
          <w:shd w:val="clear" w:color="auto" w:fill="FFFFFF"/>
          <w:lang w:val="en-GB"/>
        </w:rPr>
      </w:pPr>
      <w:r w:rsidRPr="003726FE">
        <w:rPr>
          <w:shd w:val="clear" w:color="auto" w:fill="FFFFFF"/>
          <w:lang w:val="en-GB"/>
        </w:rPr>
        <w:t xml:space="preserve">The researcher has the sole responsibility of selecting what quantitative results </w:t>
      </w:r>
      <w:r w:rsidRPr="003726FE">
        <w:rPr>
          <w:shd w:val="clear" w:color="auto" w:fill="FFFFFF"/>
          <w:lang w:val="en-GB"/>
        </w:rPr>
        <w:lastRenderedPageBreak/>
        <w:t>are the most relevant and worth exp</w:t>
      </w:r>
      <w:r w:rsidR="00346531" w:rsidRPr="003726FE">
        <w:rPr>
          <w:shd w:val="clear" w:color="auto" w:fill="FFFFFF"/>
          <w:lang w:val="en-GB"/>
        </w:rPr>
        <w:t>loring in the qualitative phase, increasing the potential for bias to influence the results.</w:t>
      </w:r>
    </w:p>
    <w:p w14:paraId="33236394" w14:textId="77777777" w:rsidR="00AD32A0" w:rsidRPr="003726FE" w:rsidRDefault="00AD32A0" w:rsidP="00026049">
      <w:pPr>
        <w:pStyle w:val="Normal1"/>
        <w:rPr>
          <w:shd w:val="clear" w:color="auto" w:fill="FFFFFF"/>
          <w:lang w:val="en-GB"/>
        </w:rPr>
      </w:pPr>
    </w:p>
    <w:p w14:paraId="4D789118" w14:textId="356F6B67" w:rsidR="00AD32A0" w:rsidRPr="003726FE" w:rsidRDefault="006D7005" w:rsidP="00026049">
      <w:pPr>
        <w:pStyle w:val="Normal1"/>
        <w:rPr>
          <w:shd w:val="clear" w:color="auto" w:fill="FFFFFF"/>
          <w:lang w:val="en-GB"/>
        </w:rPr>
      </w:pPr>
      <w:r w:rsidRPr="003726FE">
        <w:rPr>
          <w:shd w:val="clear" w:color="auto" w:fill="FFFFFF"/>
          <w:lang w:val="en-GB"/>
        </w:rPr>
        <w:t>P</w:t>
      </w:r>
      <w:r w:rsidR="00AD32A0" w:rsidRPr="003726FE">
        <w:rPr>
          <w:shd w:val="clear" w:color="auto" w:fill="FFFFFF"/>
          <w:lang w:val="en-GB"/>
        </w:rPr>
        <w:t>reventative steps</w:t>
      </w:r>
      <w:r w:rsidRPr="003726FE">
        <w:rPr>
          <w:shd w:val="clear" w:color="auto" w:fill="FFFFFF"/>
          <w:lang w:val="en-GB"/>
        </w:rPr>
        <w:t xml:space="preserve"> were </w:t>
      </w:r>
      <w:r w:rsidR="00FC0FFB" w:rsidRPr="003726FE">
        <w:rPr>
          <w:shd w:val="clear" w:color="auto" w:fill="FFFFFF"/>
          <w:lang w:val="en-GB"/>
        </w:rPr>
        <w:t>taken to</w:t>
      </w:r>
      <w:r w:rsidR="00AD32A0" w:rsidRPr="003726FE">
        <w:rPr>
          <w:shd w:val="clear" w:color="auto" w:fill="FFFFFF"/>
          <w:lang w:val="en-GB"/>
        </w:rPr>
        <w:t xml:space="preserve"> overcome these challenges. </w:t>
      </w:r>
      <w:r w:rsidR="00346531" w:rsidRPr="003726FE">
        <w:rPr>
          <w:shd w:val="clear" w:color="auto" w:fill="FFFFFF"/>
          <w:lang w:val="en-GB"/>
        </w:rPr>
        <w:t>A</w:t>
      </w:r>
      <w:r w:rsidR="00AD32A0" w:rsidRPr="003726FE">
        <w:rPr>
          <w:shd w:val="clear" w:color="auto" w:fill="FFFFFF"/>
          <w:lang w:val="en-GB"/>
        </w:rPr>
        <w:t xml:space="preserve"> full year </w:t>
      </w:r>
      <w:r w:rsidR="00346531" w:rsidRPr="003726FE">
        <w:rPr>
          <w:shd w:val="clear" w:color="auto" w:fill="FFFFFF"/>
          <w:lang w:val="en-GB"/>
        </w:rPr>
        <w:t>was allocated to data collection</w:t>
      </w:r>
      <w:r w:rsidRPr="003726FE">
        <w:rPr>
          <w:shd w:val="clear" w:color="auto" w:fill="FFFFFF"/>
          <w:lang w:val="en-GB"/>
        </w:rPr>
        <w:t xml:space="preserve"> </w:t>
      </w:r>
      <w:r w:rsidR="00346531" w:rsidRPr="003726FE">
        <w:rPr>
          <w:shd w:val="clear" w:color="auto" w:fill="FFFFFF"/>
          <w:lang w:val="en-GB"/>
        </w:rPr>
        <w:t>(</w:t>
      </w:r>
      <w:r w:rsidRPr="003726FE">
        <w:rPr>
          <w:shd w:val="clear" w:color="auto" w:fill="FFFFFF"/>
          <w:lang w:val="en-GB"/>
        </w:rPr>
        <w:t>which was successfully carried out</w:t>
      </w:r>
      <w:r w:rsidR="00346531" w:rsidRPr="003726FE">
        <w:rPr>
          <w:shd w:val="clear" w:color="auto" w:fill="FFFFFF"/>
          <w:lang w:val="en-GB"/>
        </w:rPr>
        <w:t>)</w:t>
      </w:r>
      <w:r w:rsidR="00AD32A0" w:rsidRPr="003726FE">
        <w:rPr>
          <w:shd w:val="clear" w:color="auto" w:fill="FFFFFF"/>
          <w:lang w:val="en-GB"/>
        </w:rPr>
        <w:t xml:space="preserve">. Additionally, </w:t>
      </w:r>
      <w:r w:rsidRPr="003726FE">
        <w:rPr>
          <w:shd w:val="clear" w:color="auto" w:fill="FFFFFF"/>
          <w:lang w:val="en-GB"/>
        </w:rPr>
        <w:t>teacher</w:t>
      </w:r>
      <w:r w:rsidR="00AD32A0" w:rsidRPr="003726FE">
        <w:rPr>
          <w:shd w:val="clear" w:color="auto" w:fill="FFFFFF"/>
          <w:lang w:val="en-GB"/>
        </w:rPr>
        <w:t xml:space="preserve"> interviews </w:t>
      </w:r>
      <w:r w:rsidR="00247131" w:rsidRPr="003726FE">
        <w:rPr>
          <w:shd w:val="clear" w:color="auto" w:fill="FFFFFF"/>
          <w:lang w:val="en-GB"/>
        </w:rPr>
        <w:t>we</w:t>
      </w:r>
      <w:r w:rsidR="00AD32A0" w:rsidRPr="003726FE">
        <w:rPr>
          <w:shd w:val="clear" w:color="auto" w:fill="FFFFFF"/>
          <w:lang w:val="en-GB"/>
        </w:rPr>
        <w:t xml:space="preserve">re conducted immediately after the quantitative data collection, </w:t>
      </w:r>
      <w:r w:rsidR="00247131" w:rsidRPr="003726FE">
        <w:rPr>
          <w:shd w:val="clear" w:color="auto" w:fill="FFFFFF"/>
          <w:lang w:val="en-GB"/>
        </w:rPr>
        <w:t>reducing</w:t>
      </w:r>
      <w:r w:rsidR="00AD32A0" w:rsidRPr="003726FE">
        <w:rPr>
          <w:shd w:val="clear" w:color="auto" w:fill="FFFFFF"/>
          <w:lang w:val="en-GB"/>
        </w:rPr>
        <w:t xml:space="preserve"> the volume of work </w:t>
      </w:r>
      <w:r w:rsidR="00495549">
        <w:rPr>
          <w:shd w:val="clear" w:color="auto" w:fill="FFFFFF"/>
          <w:lang w:val="en-GB"/>
        </w:rPr>
        <w:t>later in the year</w:t>
      </w:r>
      <w:r w:rsidR="00346531" w:rsidRPr="003726FE">
        <w:rPr>
          <w:shd w:val="clear" w:color="auto" w:fill="FFFFFF"/>
          <w:lang w:val="en-GB"/>
        </w:rPr>
        <w:t xml:space="preserve"> when qualitative data from students was collected</w:t>
      </w:r>
      <w:r w:rsidR="00AD32A0" w:rsidRPr="003726FE">
        <w:rPr>
          <w:shd w:val="clear" w:color="auto" w:fill="FFFFFF"/>
          <w:lang w:val="en-GB"/>
        </w:rPr>
        <w:t xml:space="preserve">. </w:t>
      </w:r>
      <w:r w:rsidR="00F7307F" w:rsidRPr="003726FE">
        <w:rPr>
          <w:shd w:val="clear" w:color="auto" w:fill="FFFFFF"/>
          <w:lang w:val="en-GB"/>
        </w:rPr>
        <w:t>A</w:t>
      </w:r>
      <w:r w:rsidR="00AD32A0" w:rsidRPr="003726FE">
        <w:rPr>
          <w:shd w:val="clear" w:color="auto" w:fill="FFFFFF"/>
          <w:lang w:val="en-GB"/>
        </w:rPr>
        <w:t xml:space="preserve"> variant of the explanatory design</w:t>
      </w:r>
      <w:r w:rsidR="00F7307F" w:rsidRPr="003726FE">
        <w:rPr>
          <w:shd w:val="clear" w:color="auto" w:fill="FFFFFF"/>
          <w:lang w:val="en-GB"/>
        </w:rPr>
        <w:t xml:space="preserve"> was used</w:t>
      </w:r>
      <w:r w:rsidR="00AD32A0" w:rsidRPr="003726FE">
        <w:rPr>
          <w:shd w:val="clear" w:color="auto" w:fill="FFFFFF"/>
          <w:lang w:val="en-GB"/>
        </w:rPr>
        <w:t xml:space="preserve"> </w:t>
      </w:r>
      <w:r w:rsidR="00247131" w:rsidRPr="003726FE">
        <w:rPr>
          <w:shd w:val="clear" w:color="auto" w:fill="FFFFFF"/>
          <w:lang w:val="en-GB"/>
        </w:rPr>
        <w:t>which prioritised</w:t>
      </w:r>
      <w:r w:rsidR="00AD32A0" w:rsidRPr="003726FE">
        <w:rPr>
          <w:shd w:val="clear" w:color="auto" w:fill="FFFFFF"/>
          <w:lang w:val="en-GB"/>
        </w:rPr>
        <w:t xml:space="preserve"> the qualitative phase, therefore the </w:t>
      </w:r>
      <w:r w:rsidR="00F7307F" w:rsidRPr="003726FE">
        <w:rPr>
          <w:shd w:val="clear" w:color="auto" w:fill="FFFFFF"/>
          <w:lang w:val="en-GB"/>
        </w:rPr>
        <w:t xml:space="preserve">broad target sample and </w:t>
      </w:r>
      <w:r w:rsidR="00AD32A0" w:rsidRPr="003726FE">
        <w:rPr>
          <w:shd w:val="clear" w:color="auto" w:fill="FFFFFF"/>
          <w:lang w:val="en-GB"/>
        </w:rPr>
        <w:t>sampl</w:t>
      </w:r>
      <w:r w:rsidR="00247131" w:rsidRPr="003726FE">
        <w:rPr>
          <w:shd w:val="clear" w:color="auto" w:fill="FFFFFF"/>
          <w:lang w:val="en-GB"/>
        </w:rPr>
        <w:t>ing strategy wa</w:t>
      </w:r>
      <w:r w:rsidR="00AD32A0" w:rsidRPr="003726FE">
        <w:rPr>
          <w:shd w:val="clear" w:color="auto" w:fill="FFFFFF"/>
          <w:lang w:val="en-GB"/>
        </w:rPr>
        <w:t>s known and included when ethical approval was sought.</w:t>
      </w:r>
      <w:r w:rsidR="00247131" w:rsidRPr="003726FE">
        <w:rPr>
          <w:shd w:val="clear" w:color="auto" w:fill="FFFFFF"/>
          <w:lang w:val="en-GB"/>
        </w:rPr>
        <w:t xml:space="preserve"> </w:t>
      </w:r>
      <w:r w:rsidR="00630F67" w:rsidRPr="003726FE">
        <w:rPr>
          <w:shd w:val="clear" w:color="auto" w:fill="FFFFFF"/>
          <w:lang w:val="en-GB"/>
        </w:rPr>
        <w:t>E</w:t>
      </w:r>
      <w:r w:rsidR="00AD32A0" w:rsidRPr="003726FE">
        <w:rPr>
          <w:shd w:val="clear" w:color="auto" w:fill="FFFFFF"/>
          <w:lang w:val="en-GB"/>
        </w:rPr>
        <w:t xml:space="preserve">merging results and potential themes </w:t>
      </w:r>
      <w:r w:rsidR="00630F67" w:rsidRPr="003726FE">
        <w:rPr>
          <w:shd w:val="clear" w:color="auto" w:fill="FFFFFF"/>
          <w:lang w:val="en-GB"/>
        </w:rPr>
        <w:t xml:space="preserve">were checked </w:t>
      </w:r>
      <w:r w:rsidR="00AD32A0" w:rsidRPr="003726FE">
        <w:rPr>
          <w:shd w:val="clear" w:color="auto" w:fill="FFFFFF"/>
          <w:lang w:val="en-GB"/>
        </w:rPr>
        <w:t xml:space="preserve">with supervisors as a form of peer </w:t>
      </w:r>
      <w:r w:rsidR="00247131" w:rsidRPr="003726FE">
        <w:rPr>
          <w:shd w:val="clear" w:color="auto" w:fill="FFFFFF"/>
          <w:lang w:val="en-GB"/>
        </w:rPr>
        <w:t>debriefing</w:t>
      </w:r>
      <w:r w:rsidR="00AD32A0" w:rsidRPr="003726FE">
        <w:rPr>
          <w:shd w:val="clear" w:color="auto" w:fill="FFFFFF"/>
          <w:lang w:val="en-GB"/>
        </w:rPr>
        <w:t>. This help</w:t>
      </w:r>
      <w:r w:rsidR="00247131" w:rsidRPr="003726FE">
        <w:rPr>
          <w:shd w:val="clear" w:color="auto" w:fill="FFFFFF"/>
          <w:lang w:val="en-GB"/>
        </w:rPr>
        <w:t>ed</w:t>
      </w:r>
      <w:r w:rsidR="00AD32A0" w:rsidRPr="003726FE">
        <w:rPr>
          <w:shd w:val="clear" w:color="auto" w:fill="FFFFFF"/>
          <w:lang w:val="en-GB"/>
        </w:rPr>
        <w:t xml:space="preserve"> to reduce the effects of any personal biases, and to target relevant themes for the </w:t>
      </w:r>
      <w:r w:rsidR="00247131" w:rsidRPr="003726FE">
        <w:rPr>
          <w:shd w:val="clear" w:color="auto" w:fill="FFFFFF"/>
          <w:lang w:val="en-GB"/>
        </w:rPr>
        <w:t>following data collections</w:t>
      </w:r>
      <w:r w:rsidR="00F7307F" w:rsidRPr="003726FE">
        <w:rPr>
          <w:shd w:val="clear" w:color="auto" w:fill="FFFFFF"/>
          <w:lang w:val="en-GB"/>
        </w:rPr>
        <w:t>. Additionally, other elements of rigour are discussed later in this section.</w:t>
      </w:r>
    </w:p>
    <w:p w14:paraId="2563287A" w14:textId="77777777" w:rsidR="00AD32A0" w:rsidRPr="003726FE" w:rsidRDefault="00AD32A0" w:rsidP="00026049">
      <w:pPr>
        <w:pStyle w:val="Normal1"/>
        <w:rPr>
          <w:lang w:val="en-GB"/>
        </w:rPr>
      </w:pPr>
    </w:p>
    <w:p w14:paraId="411AD986" w14:textId="7C658A62" w:rsidR="00AD32A0" w:rsidRPr="003726FE" w:rsidRDefault="00AD32A0" w:rsidP="00026049">
      <w:pPr>
        <w:pStyle w:val="Normal1"/>
        <w:rPr>
          <w:lang w:val="en-GB"/>
        </w:rPr>
      </w:pPr>
      <w:r w:rsidRPr="003726FE">
        <w:rPr>
          <w:lang w:val="en-GB"/>
        </w:rPr>
        <w:t xml:space="preserve">A </w:t>
      </w:r>
      <w:r w:rsidR="00D0102F" w:rsidRPr="003726FE">
        <w:rPr>
          <w:lang w:val="en-GB"/>
        </w:rPr>
        <w:t>summary diagram</w:t>
      </w:r>
      <w:r w:rsidRPr="003726FE">
        <w:rPr>
          <w:lang w:val="en-GB"/>
        </w:rPr>
        <w:t xml:space="preserve"> of </w:t>
      </w:r>
      <w:r w:rsidR="00D0102F" w:rsidRPr="003726FE">
        <w:rPr>
          <w:lang w:val="en-GB"/>
        </w:rPr>
        <w:t>this study’s specific</w:t>
      </w:r>
      <w:r w:rsidRPr="003726FE">
        <w:rPr>
          <w:lang w:val="en-GB"/>
        </w:rPr>
        <w:t xml:space="preserve"> </w:t>
      </w:r>
      <w:r w:rsidR="00D0102F" w:rsidRPr="003726FE">
        <w:rPr>
          <w:lang w:val="en-GB"/>
        </w:rPr>
        <w:t>sequential explanatory design and activities are</w:t>
      </w:r>
      <w:r w:rsidRPr="003726FE">
        <w:rPr>
          <w:lang w:val="en-GB"/>
        </w:rPr>
        <w:t xml:space="preserve"> illustrated </w:t>
      </w:r>
      <w:r w:rsidR="00AB785E">
        <w:rPr>
          <w:lang w:val="en-GB"/>
        </w:rPr>
        <w:t>in</w:t>
      </w:r>
      <w:r w:rsidRPr="003726FE">
        <w:rPr>
          <w:lang w:val="en-GB"/>
        </w:rPr>
        <w:t xml:space="preserve"> </w:t>
      </w:r>
      <w:r w:rsidR="00AE17C9" w:rsidRPr="003726FE">
        <w:rPr>
          <w:lang w:val="en-GB"/>
        </w:rPr>
        <w:t>Figure</w:t>
      </w:r>
      <w:r w:rsidR="0019449A" w:rsidRPr="003726FE">
        <w:rPr>
          <w:lang w:val="en-GB"/>
        </w:rPr>
        <w:t xml:space="preserve"> A3.3</w:t>
      </w:r>
      <w:r w:rsidRPr="003726FE">
        <w:rPr>
          <w:lang w:val="en-GB"/>
        </w:rPr>
        <w:t>.</w:t>
      </w:r>
      <w:r w:rsidRPr="003726FE">
        <w:rPr>
          <w:lang w:val="en-GB"/>
        </w:rPr>
        <w:br w:type="page"/>
      </w:r>
    </w:p>
    <w:p w14:paraId="5A5C097B" w14:textId="2742BD62" w:rsidR="00EF1CB9" w:rsidRPr="003726FE" w:rsidRDefault="00E53628" w:rsidP="00BA4521">
      <w:pPr>
        <w:pStyle w:val="Heading3"/>
      </w:pPr>
      <w:bookmarkStart w:id="197" w:name="_Toc500319344"/>
      <w:r w:rsidRPr="003726FE">
        <w:lastRenderedPageBreak/>
        <w:t>A3.1</w:t>
      </w:r>
      <w:r w:rsidR="008B3752">
        <w:t>.2 The Design Framework for t</w:t>
      </w:r>
      <w:r w:rsidR="00AD32A0" w:rsidRPr="003726FE">
        <w:t>his Study</w:t>
      </w:r>
      <w:bookmarkEnd w:id="197"/>
    </w:p>
    <w:p w14:paraId="113C2FB2" w14:textId="4A8E132D" w:rsidR="00EF1CB9" w:rsidRPr="003726FE" w:rsidRDefault="00346531">
      <w:pPr>
        <w:rPr>
          <w:rFonts w:asciiTheme="majorHAnsi" w:eastAsiaTheme="majorEastAsia" w:hAnsiTheme="majorHAnsi" w:cstheme="majorBidi"/>
          <w:color w:val="1F4D78" w:themeColor="accent1" w:themeShade="7F"/>
          <w:szCs w:val="24"/>
        </w:rPr>
      </w:pPr>
      <w:r w:rsidRPr="003726FE">
        <w:rPr>
          <w:noProof/>
          <w:lang w:eastAsia="en-GB"/>
        </w:rPr>
        <mc:AlternateContent>
          <mc:Choice Requires="wpg">
            <w:drawing>
              <wp:anchor distT="0" distB="0" distL="114300" distR="114300" simplePos="0" relativeHeight="251633664" behindDoc="0" locked="0" layoutInCell="1" allowOverlap="1" wp14:anchorId="2F04E3ED" wp14:editId="1E27AF85">
                <wp:simplePos x="0" y="0"/>
                <wp:positionH relativeFrom="column">
                  <wp:posOffset>-47230</wp:posOffset>
                </wp:positionH>
                <wp:positionV relativeFrom="paragraph">
                  <wp:posOffset>160355</wp:posOffset>
                </wp:positionV>
                <wp:extent cx="5409712" cy="7995340"/>
                <wp:effectExtent l="0" t="0" r="19685" b="24765"/>
                <wp:wrapNone/>
                <wp:docPr id="223" name="Group 223"/>
                <wp:cNvGraphicFramePr/>
                <a:graphic xmlns:a="http://schemas.openxmlformats.org/drawingml/2006/main">
                  <a:graphicData uri="http://schemas.microsoft.com/office/word/2010/wordprocessingGroup">
                    <wpg:wgp>
                      <wpg:cNvGrpSpPr/>
                      <wpg:grpSpPr>
                        <a:xfrm>
                          <a:off x="0" y="0"/>
                          <a:ext cx="5409712" cy="7995340"/>
                          <a:chOff x="25863" y="471461"/>
                          <a:chExt cx="5410151" cy="8735320"/>
                        </a:xfrm>
                      </wpg:grpSpPr>
                      <wps:wsp>
                        <wps:cNvPr id="83" name="Text Box 2"/>
                        <wps:cNvSpPr txBox="1">
                          <a:spLocks noChangeArrowheads="1"/>
                        </wps:cNvSpPr>
                        <wps:spPr bwMode="auto">
                          <a:xfrm>
                            <a:off x="3608338" y="4507862"/>
                            <a:ext cx="1794510" cy="636069"/>
                          </a:xfrm>
                          <a:prstGeom prst="rect">
                            <a:avLst/>
                          </a:prstGeom>
                          <a:solidFill>
                            <a:srgbClr val="FFFFFF"/>
                          </a:solidFill>
                          <a:ln w="9525">
                            <a:solidFill>
                              <a:srgbClr val="000000"/>
                            </a:solidFill>
                            <a:miter lim="800000"/>
                            <a:headEnd/>
                            <a:tailEnd/>
                          </a:ln>
                        </wps:spPr>
                        <wps:txbx>
                          <w:txbxContent>
                            <w:p w14:paraId="647E28E3" w14:textId="77777777" w:rsidR="00C8402C" w:rsidRDefault="00C8402C" w:rsidP="00026049">
                              <w:pPr>
                                <w:pStyle w:val="ListParagraph"/>
                                <w:numPr>
                                  <w:ilvl w:val="0"/>
                                  <w:numId w:val="2"/>
                                </w:numPr>
                                <w:spacing w:after="0"/>
                                <w:ind w:left="284" w:hanging="284"/>
                                <w:contextualSpacing w:val="0"/>
                                <w:rPr>
                                  <w:sz w:val="20"/>
                                </w:rPr>
                              </w:pPr>
                              <w:r w:rsidRPr="00EF1CB9">
                                <w:rPr>
                                  <w:sz w:val="20"/>
                                </w:rPr>
                                <w:t>Focus group and interview protocol</w:t>
                              </w:r>
                            </w:p>
                            <w:p w14:paraId="1CE587DD" w14:textId="2C99EAED" w:rsidR="00C8402C" w:rsidRPr="00EF1CB9" w:rsidRDefault="00C8402C" w:rsidP="00026049">
                              <w:pPr>
                                <w:pStyle w:val="ListParagraph"/>
                                <w:numPr>
                                  <w:ilvl w:val="0"/>
                                  <w:numId w:val="2"/>
                                </w:numPr>
                                <w:spacing w:after="0"/>
                                <w:ind w:left="284" w:hanging="284"/>
                                <w:contextualSpacing w:val="0"/>
                                <w:rPr>
                                  <w:sz w:val="20"/>
                                </w:rPr>
                              </w:pPr>
                              <w:r>
                                <w:rPr>
                                  <w:sz w:val="20"/>
                                </w:rPr>
                                <w:t>Piloting</w:t>
                              </w:r>
                            </w:p>
                          </w:txbxContent>
                        </wps:txbx>
                        <wps:bodyPr rot="0" vert="horz" wrap="square" lIns="91440" tIns="45720" rIns="91440" bIns="45720" anchor="t" anchorCtr="0">
                          <a:noAutofit/>
                        </wps:bodyPr>
                      </wps:wsp>
                      <wps:wsp>
                        <wps:cNvPr id="84" name="Text Box 2"/>
                        <wps:cNvSpPr txBox="1">
                          <a:spLocks noChangeArrowheads="1"/>
                        </wps:cNvSpPr>
                        <wps:spPr bwMode="auto">
                          <a:xfrm>
                            <a:off x="1663866" y="5863731"/>
                            <a:ext cx="1794510" cy="715984"/>
                          </a:xfrm>
                          <a:prstGeom prst="rect">
                            <a:avLst/>
                          </a:prstGeom>
                          <a:solidFill>
                            <a:srgbClr val="FFFFFF"/>
                          </a:solidFill>
                          <a:ln w="9525">
                            <a:solidFill>
                              <a:srgbClr val="000000"/>
                            </a:solidFill>
                            <a:miter lim="800000"/>
                            <a:headEnd/>
                            <a:tailEnd/>
                          </a:ln>
                        </wps:spPr>
                        <wps:txbx>
                          <w:txbxContent>
                            <w:p w14:paraId="56F3675A" w14:textId="35C31443" w:rsidR="00C8402C" w:rsidRPr="00EF1CB9" w:rsidRDefault="00C8402C" w:rsidP="00026049">
                              <w:pPr>
                                <w:pStyle w:val="ListParagraph"/>
                                <w:numPr>
                                  <w:ilvl w:val="0"/>
                                  <w:numId w:val="2"/>
                                </w:numPr>
                                <w:spacing w:after="0"/>
                                <w:ind w:left="284" w:hanging="284"/>
                                <w:contextualSpacing w:val="0"/>
                                <w:rPr>
                                  <w:sz w:val="20"/>
                                </w:rPr>
                              </w:pPr>
                              <w:r>
                                <w:rPr>
                                  <w:sz w:val="20"/>
                                </w:rPr>
                                <w:t>Focus groups</w:t>
                              </w:r>
                            </w:p>
                            <w:p w14:paraId="52D0CE32" w14:textId="7CEC6E79" w:rsidR="00C8402C" w:rsidRPr="00EF1CB9" w:rsidRDefault="00C8402C" w:rsidP="00026049">
                              <w:pPr>
                                <w:pStyle w:val="ListParagraph"/>
                                <w:numPr>
                                  <w:ilvl w:val="0"/>
                                  <w:numId w:val="2"/>
                                </w:numPr>
                                <w:spacing w:after="0"/>
                                <w:ind w:left="284" w:hanging="284"/>
                                <w:contextualSpacing w:val="0"/>
                                <w:rPr>
                                  <w:sz w:val="20"/>
                                  <w:szCs w:val="20"/>
                                </w:rPr>
                              </w:pPr>
                              <w:r w:rsidRPr="00EF1CB9">
                                <w:rPr>
                                  <w:sz w:val="20"/>
                                  <w:szCs w:val="20"/>
                                </w:rPr>
                                <w:t xml:space="preserve">Semi-structured interviews with </w:t>
                              </w:r>
                              <w:r>
                                <w:rPr>
                                  <w:sz w:val="20"/>
                                  <w:szCs w:val="20"/>
                                </w:rPr>
                                <w:t>students and</w:t>
                              </w:r>
                              <w:r w:rsidRPr="00EF1CB9">
                                <w:rPr>
                                  <w:sz w:val="20"/>
                                  <w:szCs w:val="20"/>
                                </w:rPr>
                                <w:t xml:space="preserve"> </w:t>
                              </w:r>
                              <w:r>
                                <w:rPr>
                                  <w:sz w:val="20"/>
                                  <w:szCs w:val="20"/>
                                </w:rPr>
                                <w:t>teachers</w:t>
                              </w:r>
                            </w:p>
                          </w:txbxContent>
                        </wps:txbx>
                        <wps:bodyPr rot="0" vert="horz" wrap="square" lIns="91440" tIns="45720" rIns="91440" bIns="45720" anchor="t" anchorCtr="0">
                          <a:noAutofit/>
                        </wps:bodyPr>
                      </wps:wsp>
                      <wps:wsp>
                        <wps:cNvPr id="85" name="Text Box 2"/>
                        <wps:cNvSpPr txBox="1">
                          <a:spLocks noChangeArrowheads="1"/>
                        </wps:cNvSpPr>
                        <wps:spPr bwMode="auto">
                          <a:xfrm>
                            <a:off x="3640724" y="5945279"/>
                            <a:ext cx="1794510" cy="508959"/>
                          </a:xfrm>
                          <a:prstGeom prst="rect">
                            <a:avLst/>
                          </a:prstGeom>
                          <a:solidFill>
                            <a:srgbClr val="FFFFFF"/>
                          </a:solidFill>
                          <a:ln w="9525">
                            <a:solidFill>
                              <a:srgbClr val="000000"/>
                            </a:solidFill>
                            <a:miter lim="800000"/>
                            <a:headEnd/>
                            <a:tailEnd/>
                          </a:ln>
                        </wps:spPr>
                        <wps:txbx>
                          <w:txbxContent>
                            <w:p w14:paraId="2F834096" w14:textId="77777777" w:rsidR="00C8402C" w:rsidRPr="00EF1CB9" w:rsidRDefault="00C8402C" w:rsidP="00026049">
                              <w:pPr>
                                <w:pStyle w:val="ListParagraph"/>
                                <w:numPr>
                                  <w:ilvl w:val="0"/>
                                  <w:numId w:val="2"/>
                                </w:numPr>
                                <w:ind w:left="284" w:hanging="284"/>
                                <w:contextualSpacing w:val="0"/>
                                <w:rPr>
                                  <w:sz w:val="20"/>
                                </w:rPr>
                              </w:pPr>
                              <w:r w:rsidRPr="00EF1CB9">
                                <w:rPr>
                                  <w:sz w:val="20"/>
                                </w:rPr>
                                <w:t>Text and audio data (transcripts, notes)</w:t>
                              </w:r>
                            </w:p>
                          </w:txbxContent>
                        </wps:txbx>
                        <wps:bodyPr rot="0" vert="horz" wrap="square" lIns="91440" tIns="45720" rIns="91440" bIns="45720" anchor="t" anchorCtr="0">
                          <a:noAutofit/>
                        </wps:bodyPr>
                      </wps:wsp>
                      <wps:wsp>
                        <wps:cNvPr id="87" name="Text Box 2"/>
                        <wps:cNvSpPr txBox="1">
                          <a:spLocks noChangeArrowheads="1"/>
                        </wps:cNvSpPr>
                        <wps:spPr bwMode="auto">
                          <a:xfrm>
                            <a:off x="1646612" y="7142911"/>
                            <a:ext cx="1794510" cy="637320"/>
                          </a:xfrm>
                          <a:prstGeom prst="rect">
                            <a:avLst/>
                          </a:prstGeom>
                          <a:solidFill>
                            <a:srgbClr val="FFFFFF"/>
                          </a:solidFill>
                          <a:ln w="9525">
                            <a:solidFill>
                              <a:srgbClr val="000000"/>
                            </a:solidFill>
                            <a:miter lim="800000"/>
                            <a:headEnd/>
                            <a:tailEnd/>
                          </a:ln>
                        </wps:spPr>
                        <wps:txbx>
                          <w:txbxContent>
                            <w:p w14:paraId="13CD2BBC" w14:textId="77777777" w:rsidR="00C8402C" w:rsidRPr="009D6CAB" w:rsidRDefault="00C8402C" w:rsidP="00495549">
                              <w:pPr>
                                <w:pStyle w:val="ListParagraph"/>
                                <w:numPr>
                                  <w:ilvl w:val="0"/>
                                  <w:numId w:val="2"/>
                                </w:numPr>
                                <w:spacing w:after="0"/>
                                <w:ind w:left="284" w:hanging="284"/>
                                <w:contextualSpacing w:val="0"/>
                                <w:rPr>
                                  <w:sz w:val="20"/>
                                </w:rPr>
                              </w:pPr>
                              <w:r w:rsidRPr="00EF1CB9">
                                <w:rPr>
                                  <w:sz w:val="20"/>
                                </w:rPr>
                                <w:t>Coding</w:t>
                              </w:r>
                              <w:r>
                                <w:rPr>
                                  <w:sz w:val="20"/>
                                </w:rPr>
                                <w:t xml:space="preserve"> using </w:t>
                              </w:r>
                              <w:r w:rsidRPr="009D6CAB">
                                <w:rPr>
                                  <w:sz w:val="20"/>
                                </w:rPr>
                                <w:t>NVivo software</w:t>
                              </w:r>
                            </w:p>
                            <w:p w14:paraId="59518DF6" w14:textId="31AEADF4" w:rsidR="00C8402C" w:rsidRPr="00EF1CB9" w:rsidRDefault="00C8402C" w:rsidP="00026049">
                              <w:pPr>
                                <w:pStyle w:val="ListParagraph"/>
                                <w:numPr>
                                  <w:ilvl w:val="0"/>
                                  <w:numId w:val="2"/>
                                </w:numPr>
                                <w:spacing w:after="0"/>
                                <w:ind w:left="284" w:hanging="284"/>
                                <w:contextualSpacing w:val="0"/>
                                <w:rPr>
                                  <w:sz w:val="20"/>
                                </w:rPr>
                              </w:pPr>
                              <w:r>
                                <w:rPr>
                                  <w:sz w:val="20"/>
                                </w:rPr>
                                <w:t>Framework analysis</w:t>
                              </w:r>
                            </w:p>
                          </w:txbxContent>
                        </wps:txbx>
                        <wps:bodyPr rot="0" vert="horz" wrap="square" lIns="91440" tIns="45720" rIns="91440" bIns="45720" anchor="t" anchorCtr="0">
                          <a:noAutofit/>
                        </wps:bodyPr>
                      </wps:wsp>
                      <wps:wsp>
                        <wps:cNvPr id="92" name="Text Box 2"/>
                        <wps:cNvSpPr txBox="1">
                          <a:spLocks noChangeArrowheads="1"/>
                        </wps:cNvSpPr>
                        <wps:spPr bwMode="auto">
                          <a:xfrm>
                            <a:off x="1686271" y="8473304"/>
                            <a:ext cx="1794510" cy="675391"/>
                          </a:xfrm>
                          <a:prstGeom prst="rect">
                            <a:avLst/>
                          </a:prstGeom>
                          <a:solidFill>
                            <a:srgbClr val="FFFFFF"/>
                          </a:solidFill>
                          <a:ln w="9525">
                            <a:solidFill>
                              <a:srgbClr val="000000"/>
                            </a:solidFill>
                            <a:miter lim="800000"/>
                            <a:headEnd/>
                            <a:tailEnd/>
                          </a:ln>
                        </wps:spPr>
                        <wps:txbx>
                          <w:txbxContent>
                            <w:p w14:paraId="765FE806" w14:textId="77777777" w:rsidR="00C8402C" w:rsidRPr="00EF1CB9" w:rsidRDefault="00C8402C" w:rsidP="00026049">
                              <w:pPr>
                                <w:pStyle w:val="ListParagraph"/>
                                <w:numPr>
                                  <w:ilvl w:val="0"/>
                                  <w:numId w:val="2"/>
                                </w:numPr>
                                <w:ind w:left="284" w:hanging="284"/>
                                <w:contextualSpacing w:val="0"/>
                                <w:rPr>
                                  <w:sz w:val="20"/>
                                </w:rPr>
                              </w:pPr>
                              <w:r w:rsidRPr="00EF1CB9">
                                <w:rPr>
                                  <w:sz w:val="20"/>
                                </w:rPr>
                                <w:t>Interpretations and discussion of quantitative and qualitative evidence</w:t>
                              </w:r>
                            </w:p>
                          </w:txbxContent>
                        </wps:txbx>
                        <wps:bodyPr rot="0" vert="horz" wrap="square" lIns="91440" tIns="45720" rIns="91440" bIns="45720" anchor="t" anchorCtr="0">
                          <a:noAutofit/>
                        </wps:bodyPr>
                      </wps:wsp>
                      <wps:wsp>
                        <wps:cNvPr id="93" name="Text Box 2"/>
                        <wps:cNvSpPr txBox="1">
                          <a:spLocks noChangeArrowheads="1"/>
                        </wps:cNvSpPr>
                        <wps:spPr bwMode="auto">
                          <a:xfrm>
                            <a:off x="3623471" y="7198764"/>
                            <a:ext cx="1794510" cy="519490"/>
                          </a:xfrm>
                          <a:prstGeom prst="rect">
                            <a:avLst/>
                          </a:prstGeom>
                          <a:solidFill>
                            <a:srgbClr val="FFFFFF"/>
                          </a:solidFill>
                          <a:ln w="9525">
                            <a:solidFill>
                              <a:srgbClr val="000000"/>
                            </a:solidFill>
                            <a:miter lim="800000"/>
                            <a:headEnd/>
                            <a:tailEnd/>
                          </a:ln>
                        </wps:spPr>
                        <wps:txbx>
                          <w:txbxContent>
                            <w:p w14:paraId="585518BA"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Codes and themes</w:t>
                              </w:r>
                            </w:p>
                            <w:p w14:paraId="53A27CCC"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Thematic charts/trees</w:t>
                              </w:r>
                            </w:p>
                          </w:txbxContent>
                        </wps:txbx>
                        <wps:bodyPr rot="0" vert="horz" wrap="square" lIns="91440" tIns="45720" rIns="91440" bIns="45720" anchor="t" anchorCtr="0">
                          <a:noAutofit/>
                        </wps:bodyPr>
                      </wps:wsp>
                      <wps:wsp>
                        <wps:cNvPr id="94" name="Text Box 2"/>
                        <wps:cNvSpPr txBox="1">
                          <a:spLocks noChangeArrowheads="1"/>
                        </wps:cNvSpPr>
                        <wps:spPr bwMode="auto">
                          <a:xfrm>
                            <a:off x="3641504" y="8389365"/>
                            <a:ext cx="1794510" cy="806450"/>
                          </a:xfrm>
                          <a:prstGeom prst="rect">
                            <a:avLst/>
                          </a:prstGeom>
                          <a:solidFill>
                            <a:srgbClr val="FFFFFF"/>
                          </a:solidFill>
                          <a:ln w="9525">
                            <a:solidFill>
                              <a:srgbClr val="000000"/>
                            </a:solidFill>
                            <a:miter lim="800000"/>
                            <a:headEnd/>
                            <a:tailEnd/>
                          </a:ln>
                        </wps:spPr>
                        <wps:txbx>
                          <w:txbxContent>
                            <w:p w14:paraId="1B9A8729"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Results</w:t>
                              </w:r>
                            </w:p>
                            <w:p w14:paraId="123FFCB3"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Discussion</w:t>
                              </w:r>
                            </w:p>
                            <w:p w14:paraId="3BCE1979"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Implications for practice</w:t>
                              </w:r>
                            </w:p>
                            <w:p w14:paraId="6CB40481" w14:textId="77777777" w:rsidR="00C8402C" w:rsidRPr="00EF1CB9" w:rsidRDefault="00C8402C" w:rsidP="00026049">
                              <w:pPr>
                                <w:pStyle w:val="ListParagraph"/>
                                <w:numPr>
                                  <w:ilvl w:val="0"/>
                                  <w:numId w:val="2"/>
                                </w:numPr>
                                <w:ind w:left="284" w:hanging="284"/>
                                <w:contextualSpacing w:val="0"/>
                                <w:rPr>
                                  <w:sz w:val="20"/>
                                </w:rPr>
                              </w:pPr>
                              <w:r w:rsidRPr="00EF1CB9">
                                <w:rPr>
                                  <w:sz w:val="20"/>
                                </w:rPr>
                                <w:t>Future research</w:t>
                              </w:r>
                            </w:p>
                          </w:txbxContent>
                        </wps:txbx>
                        <wps:bodyPr rot="0" vert="horz" wrap="square" lIns="91440" tIns="45720" rIns="91440" bIns="45720" anchor="t" anchorCtr="0">
                          <a:noAutofit/>
                        </wps:bodyPr>
                      </wps:wsp>
                      <wpg:grpSp>
                        <wpg:cNvPr id="222" name="Group 222"/>
                        <wpg:cNvGrpSpPr/>
                        <wpg:grpSpPr>
                          <a:xfrm>
                            <a:off x="25863" y="471461"/>
                            <a:ext cx="5376985" cy="8735320"/>
                            <a:chOff x="25863" y="471461"/>
                            <a:chExt cx="5376985" cy="8735320"/>
                          </a:xfrm>
                        </wpg:grpSpPr>
                        <wps:wsp>
                          <wps:cNvPr id="64" name="Rounded Rectangle 64"/>
                          <wps:cNvSpPr/>
                          <wps:spPr>
                            <a:xfrm>
                              <a:off x="77270" y="5868947"/>
                              <a:ext cx="1477727" cy="6532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DC8FD" w14:textId="77777777" w:rsidR="00C8402C" w:rsidRPr="00276C25" w:rsidRDefault="00C8402C" w:rsidP="00EF1CB9">
                                <w:pPr>
                                  <w:jc w:val="center"/>
                                  <w:rPr>
                                    <w:sz w:val="28"/>
                                  </w:rPr>
                                </w:pPr>
                                <w:r>
                                  <w:rPr>
                                    <w:sz w:val="28"/>
                                  </w:rPr>
                                  <w:t>Qualitative 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78444" y="7138637"/>
                              <a:ext cx="1476554" cy="6415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48320" w14:textId="77777777" w:rsidR="00C8402C" w:rsidRPr="00276C25" w:rsidRDefault="00C8402C" w:rsidP="00EF1CB9">
                                <w:pPr>
                                  <w:jc w:val="center"/>
                                  <w:rPr>
                                    <w:sz w:val="28"/>
                                  </w:rPr>
                                </w:pPr>
                                <w:r>
                                  <w:rPr>
                                    <w:sz w:val="28"/>
                                  </w:rPr>
                                  <w:t>Qualitative 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gular Pentagon 68"/>
                          <wps:cNvSpPr/>
                          <wps:spPr>
                            <a:xfrm>
                              <a:off x="109212" y="8240576"/>
                              <a:ext cx="1412737" cy="966205"/>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AF4AA" w14:textId="77777777" w:rsidR="00C8402C" w:rsidRDefault="00C8402C" w:rsidP="00EF1CB9">
                                <w:pPr>
                                  <w:jc w:val="center"/>
                                </w:pPr>
                                <w:r>
                                  <w:t>Data 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 name="Group 221"/>
                          <wpg:cNvGrpSpPr/>
                          <wpg:grpSpPr>
                            <a:xfrm>
                              <a:off x="25863" y="471461"/>
                              <a:ext cx="5376985" cy="5204732"/>
                              <a:chOff x="-16" y="471461"/>
                              <a:chExt cx="5376985" cy="5204732"/>
                            </a:xfrm>
                          </wpg:grpSpPr>
                          <wps:wsp>
                            <wps:cNvPr id="67" name="Regular Pentagon 67"/>
                            <wps:cNvSpPr/>
                            <wps:spPr>
                              <a:xfrm>
                                <a:off x="52564" y="4053249"/>
                                <a:ext cx="1476556" cy="1335819"/>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90B539" w14:textId="7FA42719" w:rsidR="00C8402C" w:rsidRPr="00EF1CB9" w:rsidRDefault="00C8402C" w:rsidP="00EF1CB9">
                                  <w:pPr>
                                    <w:ind w:left="-142" w:right="-85"/>
                                    <w:jc w:val="center"/>
                                    <w:rPr>
                                      <w:sz w:val="20"/>
                                    </w:rPr>
                                  </w:pPr>
                                  <w:r w:rsidRPr="00EF1CB9">
                                    <w:rPr>
                                      <w:sz w:val="20"/>
                                    </w:rPr>
                                    <w:t>Case s</w:t>
                                  </w:r>
                                  <w:r>
                                    <w:rPr>
                                      <w:sz w:val="20"/>
                                    </w:rPr>
                                    <w:t>election – Qualitative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 name="Group 197"/>
                            <wpg:cNvGrpSpPr/>
                            <wpg:grpSpPr>
                              <a:xfrm>
                                <a:off x="-16" y="471461"/>
                                <a:ext cx="5376985" cy="5204732"/>
                                <a:chOff x="-8643" y="471461"/>
                                <a:chExt cx="5376985" cy="5204732"/>
                              </a:xfrm>
                            </wpg:grpSpPr>
                            <wps:wsp>
                              <wps:cNvPr id="80" name="Text Box 2"/>
                              <wps:cNvSpPr txBox="1">
                                <a:spLocks noChangeArrowheads="1"/>
                              </wps:cNvSpPr>
                              <wps:spPr bwMode="auto">
                                <a:xfrm>
                                  <a:off x="1628572" y="3991037"/>
                                  <a:ext cx="1794510" cy="1685156"/>
                                </a:xfrm>
                                <a:prstGeom prst="rect">
                                  <a:avLst/>
                                </a:prstGeom>
                                <a:solidFill>
                                  <a:srgbClr val="FFFFFF"/>
                                </a:solidFill>
                                <a:ln w="9525">
                                  <a:solidFill>
                                    <a:srgbClr val="000000"/>
                                  </a:solidFill>
                                  <a:miter lim="800000"/>
                                  <a:headEnd/>
                                  <a:tailEnd/>
                                </a:ln>
                              </wps:spPr>
                              <wps:txbx>
                                <w:txbxContent>
                                  <w:p w14:paraId="51A32353" w14:textId="4BFF08DE" w:rsidR="00C8402C" w:rsidRDefault="00C8402C" w:rsidP="00026049">
                                    <w:pPr>
                                      <w:pStyle w:val="ListParagraph"/>
                                      <w:numPr>
                                        <w:ilvl w:val="0"/>
                                        <w:numId w:val="2"/>
                                      </w:numPr>
                                      <w:spacing w:after="0"/>
                                      <w:ind w:left="284" w:hanging="284"/>
                                      <w:contextualSpacing w:val="0"/>
                                      <w:rPr>
                                        <w:sz w:val="20"/>
                                      </w:rPr>
                                    </w:pPr>
                                    <w:r w:rsidRPr="00EF1CB9">
                                      <w:rPr>
                                        <w:sz w:val="20"/>
                                      </w:rPr>
                                      <w:t>Purposive sampling (stratified) based on study condition, academic ability</w:t>
                                    </w:r>
                                    <w:r>
                                      <w:rPr>
                                        <w:sz w:val="20"/>
                                      </w:rPr>
                                      <w:t>,</w:t>
                                    </w:r>
                                    <w:r w:rsidRPr="00EF1CB9">
                                      <w:rPr>
                                        <w:sz w:val="20"/>
                                      </w:rPr>
                                      <w:t xml:space="preserve"> and  change in SSRQ, then randomly selected</w:t>
                                    </w:r>
                                  </w:p>
                                  <w:p w14:paraId="79966694" w14:textId="57C0077F" w:rsidR="00C8402C" w:rsidRPr="003A1749" w:rsidRDefault="00C8402C" w:rsidP="00026049">
                                    <w:pPr>
                                      <w:pStyle w:val="ListParagraph"/>
                                      <w:numPr>
                                        <w:ilvl w:val="0"/>
                                        <w:numId w:val="2"/>
                                      </w:numPr>
                                      <w:spacing w:after="0"/>
                                      <w:ind w:left="284" w:hanging="284"/>
                                      <w:contextualSpacing w:val="0"/>
                                      <w:rPr>
                                        <w:sz w:val="20"/>
                                      </w:rPr>
                                    </w:pPr>
                                    <w:r w:rsidRPr="00EF1CB9">
                                      <w:rPr>
                                        <w:sz w:val="20"/>
                                      </w:rPr>
                                      <w:t>Development of focus group and</w:t>
                                    </w:r>
                                    <w:r>
                                      <w:rPr>
                                        <w:sz w:val="20"/>
                                      </w:rPr>
                                      <w:t xml:space="preserve"> interview topics and questions</w:t>
                                    </w:r>
                                  </w:p>
                                  <w:p w14:paraId="7A8F0C9A"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Recruitment</w:t>
                                    </w:r>
                                  </w:p>
                                </w:txbxContent>
                              </wps:txbx>
                              <wps:bodyPr rot="0" vert="horz" wrap="square" lIns="91440" tIns="45720" rIns="91440" bIns="45720" anchor="t" anchorCtr="0">
                                <a:noAutofit/>
                              </wps:bodyPr>
                            </wps:wsp>
                            <wpg:grpSp>
                              <wpg:cNvPr id="196" name="Group 196"/>
                              <wpg:cNvGrpSpPr/>
                              <wpg:grpSpPr>
                                <a:xfrm>
                                  <a:off x="-8643" y="471461"/>
                                  <a:ext cx="5376985" cy="3129034"/>
                                  <a:chOff x="-8643" y="471461"/>
                                  <a:chExt cx="5376985" cy="3129034"/>
                                </a:xfrm>
                              </wpg:grpSpPr>
                              <wps:wsp>
                                <wps:cNvPr id="69" name="Text Box 2"/>
                                <wps:cNvSpPr txBox="1">
                                  <a:spLocks noChangeArrowheads="1"/>
                                </wps:cNvSpPr>
                                <wps:spPr bwMode="auto">
                                  <a:xfrm>
                                    <a:off x="214983" y="471461"/>
                                    <a:ext cx="1212676" cy="320427"/>
                                  </a:xfrm>
                                  <a:prstGeom prst="rect">
                                    <a:avLst/>
                                  </a:prstGeom>
                                  <a:solidFill>
                                    <a:srgbClr val="FFFFFF"/>
                                  </a:solidFill>
                                  <a:ln w="9525">
                                    <a:solidFill>
                                      <a:srgbClr val="000000"/>
                                    </a:solidFill>
                                    <a:miter lim="800000"/>
                                    <a:headEnd/>
                                    <a:tailEnd/>
                                  </a:ln>
                                </wps:spPr>
                                <wps:txbx>
                                  <w:txbxContent>
                                    <w:p w14:paraId="18E32027" w14:textId="77777777" w:rsidR="00C8402C" w:rsidRPr="00346531" w:rsidRDefault="00C8402C" w:rsidP="00EF1CB9">
                                      <w:pPr>
                                        <w:jc w:val="center"/>
                                        <w:rPr>
                                          <w:b/>
                                          <w:sz w:val="28"/>
                                          <w:szCs w:val="28"/>
                                        </w:rPr>
                                      </w:pPr>
                                      <w:r w:rsidRPr="00346531">
                                        <w:rPr>
                                          <w:b/>
                                          <w:sz w:val="28"/>
                                          <w:szCs w:val="28"/>
                                        </w:rPr>
                                        <w:t>Component</w:t>
                                      </w:r>
                                    </w:p>
                                  </w:txbxContent>
                                </wps:txbx>
                                <wps:bodyPr rot="0" vert="horz" wrap="square" lIns="91440" tIns="45720" rIns="91440" bIns="45720" anchor="ctr" anchorCtr="0">
                                  <a:noAutofit/>
                                </wps:bodyPr>
                              </wps:wsp>
                              <wps:wsp>
                                <wps:cNvPr id="70" name="Text Box 2"/>
                                <wps:cNvSpPr txBox="1">
                                  <a:spLocks noChangeArrowheads="1"/>
                                </wps:cNvSpPr>
                                <wps:spPr bwMode="auto">
                                  <a:xfrm>
                                    <a:off x="1947953" y="471490"/>
                                    <a:ext cx="1212676" cy="320413"/>
                                  </a:xfrm>
                                  <a:prstGeom prst="rect">
                                    <a:avLst/>
                                  </a:prstGeom>
                                  <a:solidFill>
                                    <a:srgbClr val="FFFFFF"/>
                                  </a:solidFill>
                                  <a:ln w="9525">
                                    <a:solidFill>
                                      <a:srgbClr val="000000"/>
                                    </a:solidFill>
                                    <a:miter lim="800000"/>
                                    <a:headEnd/>
                                    <a:tailEnd/>
                                  </a:ln>
                                </wps:spPr>
                                <wps:txbx>
                                  <w:txbxContent>
                                    <w:p w14:paraId="4CBFB05C" w14:textId="77777777" w:rsidR="00C8402C" w:rsidRPr="00346531" w:rsidRDefault="00C8402C" w:rsidP="00EF1CB9">
                                      <w:pPr>
                                        <w:jc w:val="center"/>
                                        <w:rPr>
                                          <w:b/>
                                          <w:sz w:val="28"/>
                                          <w:szCs w:val="28"/>
                                        </w:rPr>
                                      </w:pPr>
                                      <w:r w:rsidRPr="00346531">
                                        <w:rPr>
                                          <w:b/>
                                          <w:sz w:val="28"/>
                                          <w:szCs w:val="28"/>
                                        </w:rPr>
                                        <w:t>Procedure</w:t>
                                      </w:r>
                                    </w:p>
                                  </w:txbxContent>
                                </wps:txbx>
                                <wps:bodyPr rot="0" vert="horz" wrap="square" lIns="91440" tIns="45720" rIns="91440" bIns="45720" anchor="ctr" anchorCtr="0">
                                  <a:noAutofit/>
                                </wps:bodyPr>
                              </wps:wsp>
                              <wps:wsp>
                                <wps:cNvPr id="71" name="Text Box 2"/>
                                <wps:cNvSpPr txBox="1">
                                  <a:spLocks noChangeArrowheads="1"/>
                                </wps:cNvSpPr>
                                <wps:spPr bwMode="auto">
                                  <a:xfrm>
                                    <a:off x="3852833" y="471494"/>
                                    <a:ext cx="1212676" cy="324677"/>
                                  </a:xfrm>
                                  <a:prstGeom prst="rect">
                                    <a:avLst/>
                                  </a:prstGeom>
                                  <a:solidFill>
                                    <a:srgbClr val="FFFFFF"/>
                                  </a:solidFill>
                                  <a:ln w="9525">
                                    <a:solidFill>
                                      <a:srgbClr val="000000"/>
                                    </a:solidFill>
                                    <a:miter lim="800000"/>
                                    <a:headEnd/>
                                    <a:tailEnd/>
                                  </a:ln>
                                </wps:spPr>
                                <wps:txbx>
                                  <w:txbxContent>
                                    <w:p w14:paraId="007296FD" w14:textId="77777777" w:rsidR="00C8402C" w:rsidRPr="00346531" w:rsidRDefault="00C8402C" w:rsidP="00EF1CB9">
                                      <w:pPr>
                                        <w:jc w:val="center"/>
                                        <w:rPr>
                                          <w:b/>
                                          <w:sz w:val="28"/>
                                          <w:szCs w:val="28"/>
                                        </w:rPr>
                                      </w:pPr>
                                      <w:r w:rsidRPr="00346531">
                                        <w:rPr>
                                          <w:b/>
                                          <w:sz w:val="28"/>
                                          <w:szCs w:val="28"/>
                                        </w:rPr>
                                        <w:t>Product</w:t>
                                      </w:r>
                                    </w:p>
                                  </w:txbxContent>
                                </wps:txbx>
                                <wps:bodyPr rot="0" vert="horz" wrap="square" lIns="91440" tIns="45720" rIns="91440" bIns="45720" anchor="ctr" anchorCtr="0">
                                  <a:noAutofit/>
                                </wps:bodyPr>
                              </wps:wsp>
                              <wpg:grpSp>
                                <wpg:cNvPr id="86" name="Group 86"/>
                                <wpg:cNvGrpSpPr/>
                                <wpg:grpSpPr>
                                  <a:xfrm>
                                    <a:off x="-8643" y="921420"/>
                                    <a:ext cx="5376985" cy="2368059"/>
                                    <a:chOff x="-8643" y="137648"/>
                                    <a:chExt cx="5376985" cy="2368059"/>
                                  </a:xfrm>
                                </wpg:grpSpPr>
                                <wpg:grpSp>
                                  <wpg:cNvPr id="75" name="Group 75"/>
                                  <wpg:cNvGrpSpPr/>
                                  <wpg:grpSpPr>
                                    <a:xfrm>
                                      <a:off x="-8643" y="137648"/>
                                      <a:ext cx="3472758" cy="2368059"/>
                                      <a:chOff x="-8643" y="96702"/>
                                      <a:chExt cx="3472758" cy="2368059"/>
                                    </a:xfrm>
                                  </wpg:grpSpPr>
                                  <wpg:grpSp>
                                    <wpg:cNvPr id="74" name="Group 74"/>
                                    <wpg:cNvGrpSpPr/>
                                    <wpg:grpSpPr>
                                      <a:xfrm>
                                        <a:off x="-8643" y="249517"/>
                                        <a:ext cx="1529291" cy="2215244"/>
                                        <a:chOff x="-8643" y="249517"/>
                                        <a:chExt cx="1529291" cy="2215244"/>
                                      </a:xfrm>
                                    </wpg:grpSpPr>
                                    <wps:wsp>
                                      <wps:cNvPr id="56" name="Rounded Rectangle 56"/>
                                      <wps:cNvSpPr/>
                                      <wps:spPr>
                                        <a:xfrm>
                                          <a:off x="42773" y="249517"/>
                                          <a:ext cx="1477875" cy="7072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276A3" w14:textId="38D3DF23" w:rsidR="00C8402C" w:rsidRPr="00276C25" w:rsidRDefault="00C8402C" w:rsidP="00EF1CB9">
                                            <w:pPr>
                                              <w:jc w:val="center"/>
                                              <w:rPr>
                                                <w:sz w:val="28"/>
                                              </w:rPr>
                                            </w:pPr>
                                            <w:r w:rsidRPr="00276C25">
                                              <w:rPr>
                                                <w:sz w:val="28"/>
                                              </w:rPr>
                                              <w:t xml:space="preserve">Quantitative </w:t>
                                            </w:r>
                                            <w:r>
                                              <w:rPr>
                                                <w:sz w:val="28"/>
                                              </w:rPr>
                                              <w:t>d</w:t>
                                            </w:r>
                                            <w:r w:rsidRPr="00276C25">
                                              <w:rPr>
                                                <w:sz w:val="28"/>
                                              </w:rPr>
                                              <w:t xml:space="preserve">ata </w:t>
                                            </w:r>
                                            <w:r>
                                              <w:rPr>
                                                <w:sz w:val="28"/>
                                              </w:rPr>
                                              <w:t>c</w:t>
                                            </w:r>
                                            <w:r w:rsidRPr="00276C25">
                                              <w:rPr>
                                                <w:sz w:val="28"/>
                                              </w:rPr>
                                              <w:t>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8643" y="1811902"/>
                                          <a:ext cx="1529122" cy="6528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6E8BE" w14:textId="77777777" w:rsidR="00C8402C" w:rsidRPr="00276C25" w:rsidRDefault="00C8402C" w:rsidP="00EF1CB9">
                                            <w:pPr>
                                              <w:jc w:val="center"/>
                                              <w:rPr>
                                                <w:sz w:val="28"/>
                                              </w:rPr>
                                            </w:pPr>
                                            <w:r>
                                              <w:rPr>
                                                <w:sz w:val="28"/>
                                              </w:rPr>
                                              <w:t>Quantitative 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Text Box 2"/>
                                    <wps:cNvSpPr txBox="1">
                                      <a:spLocks noChangeArrowheads="1"/>
                                    </wps:cNvSpPr>
                                    <wps:spPr bwMode="auto">
                                      <a:xfrm>
                                        <a:off x="1629359" y="96702"/>
                                        <a:ext cx="1834756" cy="1331330"/>
                                      </a:xfrm>
                                      <a:prstGeom prst="rect">
                                        <a:avLst/>
                                      </a:prstGeom>
                                      <a:solidFill>
                                        <a:srgbClr val="FFFFFF"/>
                                      </a:solidFill>
                                      <a:ln w="9525">
                                        <a:solidFill>
                                          <a:srgbClr val="000000"/>
                                        </a:solidFill>
                                        <a:miter lim="800000"/>
                                        <a:headEnd/>
                                        <a:tailEnd/>
                                      </a:ln>
                                    </wps:spPr>
                                    <wps:txbx>
                                      <w:txbxContent>
                                        <w:p w14:paraId="5EC2F2AE" w14:textId="73A91F15" w:rsidR="00C8402C" w:rsidRPr="00EF1CB9" w:rsidRDefault="00C8402C" w:rsidP="00026049">
                                          <w:pPr>
                                            <w:pStyle w:val="ListParagraph"/>
                                            <w:numPr>
                                              <w:ilvl w:val="0"/>
                                              <w:numId w:val="2"/>
                                            </w:numPr>
                                            <w:spacing w:after="0"/>
                                            <w:ind w:left="284" w:hanging="284"/>
                                            <w:contextualSpacing w:val="0"/>
                                            <w:rPr>
                                              <w:sz w:val="20"/>
                                            </w:rPr>
                                          </w:pPr>
                                          <w:r w:rsidRPr="00EF1CB9">
                                            <w:rPr>
                                              <w:sz w:val="20"/>
                                            </w:rPr>
                                            <w:t>Question</w:t>
                                          </w:r>
                                          <w:r>
                                            <w:rPr>
                                              <w:sz w:val="20"/>
                                            </w:rPr>
                                            <w:t>naires administered</w:t>
                                          </w:r>
                                        </w:p>
                                        <w:p w14:paraId="77E4DC5E" w14:textId="5619BC9E" w:rsidR="00C8402C" w:rsidRPr="00EF1CB9" w:rsidRDefault="00C8402C" w:rsidP="00026049">
                                          <w:pPr>
                                            <w:pStyle w:val="ListParagraph"/>
                                            <w:numPr>
                                              <w:ilvl w:val="0"/>
                                              <w:numId w:val="2"/>
                                            </w:numPr>
                                            <w:spacing w:after="0"/>
                                            <w:ind w:left="284" w:hanging="284"/>
                                            <w:contextualSpacing w:val="0"/>
                                            <w:rPr>
                                              <w:sz w:val="20"/>
                                            </w:rPr>
                                          </w:pPr>
                                          <w:r>
                                            <w:rPr>
                                              <w:sz w:val="20"/>
                                            </w:rPr>
                                            <w:t>Teaching with both feedback methods</w:t>
                                          </w:r>
                                        </w:p>
                                        <w:p w14:paraId="21E6F637" w14:textId="101F0272" w:rsidR="00C8402C" w:rsidRPr="00EF1CB9" w:rsidRDefault="00C8402C" w:rsidP="00026049">
                                          <w:pPr>
                                            <w:pStyle w:val="ListParagraph"/>
                                            <w:numPr>
                                              <w:ilvl w:val="0"/>
                                              <w:numId w:val="2"/>
                                            </w:numPr>
                                            <w:spacing w:after="0"/>
                                            <w:ind w:left="284" w:hanging="284"/>
                                            <w:contextualSpacing w:val="0"/>
                                            <w:rPr>
                                              <w:sz w:val="20"/>
                                            </w:rPr>
                                          </w:pPr>
                                          <w:r w:rsidRPr="00EF1CB9">
                                            <w:rPr>
                                              <w:sz w:val="20"/>
                                            </w:rPr>
                                            <w:t>Questionnaire reissued</w:t>
                                          </w:r>
                                          <w:r>
                                            <w:rPr>
                                              <w:sz w:val="20"/>
                                            </w:rPr>
                                            <w:t xml:space="preserve"> after teaching and following placements</w:t>
                                          </w:r>
                                        </w:p>
                                        <w:p w14:paraId="34805D65"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Video recording</w:t>
                                          </w:r>
                                        </w:p>
                                      </w:txbxContent>
                                    </wps:txbx>
                                    <wps:bodyPr rot="0" vert="horz" wrap="square" lIns="91440" tIns="45720" rIns="91440" bIns="45720" anchor="t" anchorCtr="0">
                                      <a:noAutofit/>
                                    </wps:bodyPr>
                                  </wps:wsp>
                                </wpg:grpSp>
                                <wps:wsp>
                                  <wps:cNvPr id="73" name="Text Box 2"/>
                                  <wps:cNvSpPr txBox="1">
                                    <a:spLocks noChangeArrowheads="1"/>
                                  </wps:cNvSpPr>
                                  <wps:spPr bwMode="auto">
                                    <a:xfrm>
                                      <a:off x="3606217" y="625581"/>
                                      <a:ext cx="1762125" cy="505240"/>
                                    </a:xfrm>
                                    <a:prstGeom prst="rect">
                                      <a:avLst/>
                                    </a:prstGeom>
                                    <a:solidFill>
                                      <a:srgbClr val="FFFFFF"/>
                                    </a:solidFill>
                                    <a:ln w="9525">
                                      <a:solidFill>
                                        <a:srgbClr val="000000"/>
                                      </a:solidFill>
                                      <a:miter lim="800000"/>
                                      <a:headEnd/>
                                      <a:tailEnd/>
                                    </a:ln>
                                  </wps:spPr>
                                  <wps:txbx>
                                    <w:txbxContent>
                                      <w:p w14:paraId="79B04066"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Numeric data collected</w:t>
                                        </w:r>
                                      </w:p>
                                      <w:p w14:paraId="0F09BB01" w14:textId="77777777" w:rsidR="00C8402C" w:rsidRPr="00EF1CB9" w:rsidRDefault="00C8402C" w:rsidP="00026049">
                                        <w:pPr>
                                          <w:pStyle w:val="ListParagraph"/>
                                          <w:numPr>
                                            <w:ilvl w:val="0"/>
                                            <w:numId w:val="2"/>
                                          </w:numPr>
                                          <w:ind w:left="284" w:hanging="284"/>
                                          <w:contextualSpacing w:val="0"/>
                                          <w:rPr>
                                            <w:sz w:val="20"/>
                                          </w:rPr>
                                        </w:pPr>
                                        <w:r w:rsidRPr="00EF1CB9">
                                          <w:rPr>
                                            <w:sz w:val="20"/>
                                          </w:rPr>
                                          <w:t>Image data (video)</w:t>
                                        </w:r>
                                      </w:p>
                                    </w:txbxContent>
                                  </wps:txbx>
                                  <wps:bodyPr rot="0" vert="horz" wrap="square" lIns="91440" tIns="45720" rIns="91440" bIns="45720" anchor="t" anchorCtr="0">
                                    <a:noAutofit/>
                                  </wps:bodyPr>
                                </wps:wsp>
                              </wpg:grpSp>
                              <wps:wsp>
                                <wps:cNvPr id="78" name="Text Box 2"/>
                                <wps:cNvSpPr txBox="1">
                                  <a:spLocks noChangeArrowheads="1"/>
                                </wps:cNvSpPr>
                                <wps:spPr bwMode="auto">
                                  <a:xfrm>
                                    <a:off x="1629315" y="2441673"/>
                                    <a:ext cx="1794510" cy="1158822"/>
                                  </a:xfrm>
                                  <a:prstGeom prst="rect">
                                    <a:avLst/>
                                  </a:prstGeom>
                                  <a:solidFill>
                                    <a:srgbClr val="FFFFFF"/>
                                  </a:solidFill>
                                  <a:ln w="9525">
                                    <a:solidFill>
                                      <a:srgbClr val="000000"/>
                                    </a:solidFill>
                                    <a:miter lim="800000"/>
                                    <a:headEnd/>
                                    <a:tailEnd/>
                                  </a:ln>
                                </wps:spPr>
                                <wps:txbx>
                                  <w:txbxContent>
                                    <w:p w14:paraId="5A562B0D" w14:textId="77777777" w:rsidR="00C8402C" w:rsidRPr="00EF1CB9" w:rsidRDefault="00C8402C" w:rsidP="00026049">
                                      <w:pPr>
                                        <w:pStyle w:val="ListParagraph"/>
                                        <w:numPr>
                                          <w:ilvl w:val="0"/>
                                          <w:numId w:val="2"/>
                                        </w:numPr>
                                        <w:spacing w:after="0"/>
                                        <w:ind w:left="284" w:hanging="284"/>
                                        <w:contextualSpacing w:val="0"/>
                                        <w:rPr>
                                          <w:sz w:val="20"/>
                                          <w:szCs w:val="20"/>
                                        </w:rPr>
                                      </w:pPr>
                                      <w:r w:rsidRPr="00EF1CB9">
                                        <w:rPr>
                                          <w:sz w:val="20"/>
                                          <w:szCs w:val="20"/>
                                        </w:rPr>
                                        <w:t>SPSS - statistical analysis</w:t>
                                      </w:r>
                                    </w:p>
                                    <w:p w14:paraId="44816A58" w14:textId="385D6B86" w:rsidR="00C8402C" w:rsidRDefault="00C8402C" w:rsidP="00026049">
                                      <w:pPr>
                                        <w:pStyle w:val="ListParagraph"/>
                                        <w:numPr>
                                          <w:ilvl w:val="0"/>
                                          <w:numId w:val="2"/>
                                        </w:numPr>
                                        <w:spacing w:after="0"/>
                                        <w:ind w:left="284" w:hanging="284"/>
                                        <w:contextualSpacing w:val="0"/>
                                        <w:rPr>
                                          <w:sz w:val="20"/>
                                          <w:szCs w:val="20"/>
                                        </w:rPr>
                                      </w:pPr>
                                      <w:r w:rsidRPr="00EF1CB9">
                                        <w:rPr>
                                          <w:sz w:val="20"/>
                                          <w:szCs w:val="20"/>
                                        </w:rPr>
                                        <w:t>Screening of data for analysis: multivariate and univariate</w:t>
                                      </w:r>
                                    </w:p>
                                    <w:p w14:paraId="11A392C5" w14:textId="79D6C989" w:rsidR="00C8402C" w:rsidRPr="003A1749" w:rsidRDefault="00C8402C" w:rsidP="00026049">
                                      <w:pPr>
                                        <w:pStyle w:val="ListParagraph"/>
                                        <w:numPr>
                                          <w:ilvl w:val="0"/>
                                          <w:numId w:val="2"/>
                                        </w:numPr>
                                        <w:spacing w:after="0"/>
                                        <w:ind w:left="284" w:hanging="284"/>
                                        <w:contextualSpacing w:val="0"/>
                                        <w:rPr>
                                          <w:sz w:val="20"/>
                                          <w:szCs w:val="20"/>
                                        </w:rPr>
                                      </w:pPr>
                                      <w:r w:rsidRPr="00EF1CB9">
                                        <w:rPr>
                                          <w:sz w:val="20"/>
                                          <w:szCs w:val="20"/>
                                        </w:rPr>
                                        <w:t>F</w:t>
                                      </w:r>
                                      <w:r>
                                        <w:rPr>
                                          <w:sz w:val="20"/>
                                          <w:szCs w:val="20"/>
                                        </w:rPr>
                                        <w:t>actor</w:t>
                                      </w:r>
                                      <w:r w:rsidRPr="00EF1CB9">
                                        <w:rPr>
                                          <w:sz w:val="20"/>
                                          <w:szCs w:val="20"/>
                                        </w:rPr>
                                        <w:t xml:space="preserve"> analysis</w:t>
                                      </w:r>
                                      <w:r>
                                        <w:rPr>
                                          <w:sz w:val="20"/>
                                          <w:szCs w:val="20"/>
                                        </w:rPr>
                                        <w:t xml:space="preserve"> – validation of the measurement tool</w:t>
                                      </w:r>
                                    </w:p>
                                  </w:txbxContent>
                                </wps:txbx>
                                <wps:bodyPr rot="0" vert="horz" wrap="square" lIns="91440" tIns="45720" rIns="91440" bIns="45720" anchor="t" anchorCtr="0">
                                  <a:noAutofit/>
                                </wps:bodyPr>
                              </wps:wsp>
                              <wps:wsp>
                                <wps:cNvPr id="79" name="Text Box 2"/>
                                <wps:cNvSpPr txBox="1">
                                  <a:spLocks noChangeArrowheads="1"/>
                                </wps:cNvSpPr>
                                <wps:spPr bwMode="auto">
                                  <a:xfrm>
                                    <a:off x="3573734" y="2441661"/>
                                    <a:ext cx="1794510" cy="1158814"/>
                                  </a:xfrm>
                                  <a:prstGeom prst="rect">
                                    <a:avLst/>
                                  </a:prstGeom>
                                  <a:solidFill>
                                    <a:srgbClr val="FFFFFF"/>
                                  </a:solidFill>
                                  <a:ln w="9525">
                                    <a:solidFill>
                                      <a:srgbClr val="000000"/>
                                    </a:solidFill>
                                    <a:miter lim="800000"/>
                                    <a:headEnd/>
                                    <a:tailEnd/>
                                  </a:ln>
                                </wps:spPr>
                                <wps:txbx>
                                  <w:txbxContent>
                                    <w:p w14:paraId="7E7E5D45" w14:textId="328245CB" w:rsidR="00C8402C" w:rsidRDefault="00C8402C" w:rsidP="00026049">
                                      <w:pPr>
                                        <w:pStyle w:val="ListParagraph"/>
                                        <w:numPr>
                                          <w:ilvl w:val="0"/>
                                          <w:numId w:val="2"/>
                                        </w:numPr>
                                        <w:spacing w:after="0"/>
                                        <w:ind w:left="284" w:hanging="284"/>
                                        <w:contextualSpacing w:val="0"/>
                                        <w:rPr>
                                          <w:sz w:val="20"/>
                                        </w:rPr>
                                      </w:pPr>
                                      <w:r w:rsidRPr="00EF1CB9">
                                        <w:rPr>
                                          <w:sz w:val="20"/>
                                        </w:rPr>
                                        <w:t>Descriptive statistics, inferential, normality, homogeneity, missing data</w:t>
                                      </w:r>
                                      <w:r>
                                        <w:rPr>
                                          <w:sz w:val="20"/>
                                        </w:rPr>
                                        <w:t>,</w:t>
                                      </w:r>
                                      <w:r w:rsidRPr="00EF1CB9">
                                        <w:rPr>
                                          <w:sz w:val="20"/>
                                        </w:rPr>
                                        <w:t xml:space="preserve"> and outliers</w:t>
                                      </w:r>
                                    </w:p>
                                    <w:p w14:paraId="5A3904AE" w14:textId="495194C1" w:rsidR="00C8402C" w:rsidRDefault="00C8402C" w:rsidP="00026049">
                                      <w:pPr>
                                        <w:pStyle w:val="ListParagraph"/>
                                        <w:numPr>
                                          <w:ilvl w:val="0"/>
                                          <w:numId w:val="2"/>
                                        </w:numPr>
                                        <w:spacing w:after="0"/>
                                        <w:ind w:left="284" w:hanging="284"/>
                                        <w:contextualSpacing w:val="0"/>
                                        <w:rPr>
                                          <w:sz w:val="20"/>
                                          <w:szCs w:val="20"/>
                                        </w:rPr>
                                      </w:pPr>
                                      <w:r w:rsidRPr="00EF1CB9">
                                        <w:rPr>
                                          <w:sz w:val="20"/>
                                          <w:szCs w:val="20"/>
                                        </w:rPr>
                                        <w:t>p-values (significance)</w:t>
                                      </w:r>
                                    </w:p>
                                    <w:p w14:paraId="6318ECDA" w14:textId="33B92189" w:rsidR="00C8402C" w:rsidRPr="003A1749" w:rsidRDefault="00C8402C" w:rsidP="00026049">
                                      <w:pPr>
                                        <w:pStyle w:val="ListParagraph"/>
                                        <w:numPr>
                                          <w:ilvl w:val="0"/>
                                          <w:numId w:val="2"/>
                                        </w:numPr>
                                        <w:spacing w:after="0"/>
                                        <w:ind w:left="284" w:hanging="284"/>
                                        <w:contextualSpacing w:val="0"/>
                                        <w:rPr>
                                          <w:sz w:val="20"/>
                                          <w:szCs w:val="20"/>
                                        </w:rPr>
                                      </w:pPr>
                                      <w:r w:rsidRPr="00EF1CB9">
                                        <w:rPr>
                                          <w:sz w:val="20"/>
                                          <w:szCs w:val="20"/>
                                        </w:rPr>
                                        <w:t>Factor loadings</w:t>
                                      </w:r>
                                    </w:p>
                                  </w:txbxContent>
                                </wps:txbx>
                                <wps:bodyPr rot="0" vert="horz" wrap="square" lIns="91440" tIns="45720" rIns="91440" bIns="45720" anchor="t" anchorCtr="0">
                                  <a:noAutofit/>
                                </wps:bodyPr>
                              </wps:wsp>
                              <wps:wsp>
                                <wps:cNvPr id="95" name="Down Arrow 95"/>
                                <wps:cNvSpPr/>
                                <wps:spPr>
                                  <a:xfrm>
                                    <a:off x="630278" y="1914633"/>
                                    <a:ext cx="315477" cy="5270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2" name="Down Arrow 192"/>
                            <wps:cNvSpPr/>
                            <wps:spPr>
                              <a:xfrm>
                                <a:off x="594778" y="3467282"/>
                                <a:ext cx="391886" cy="5241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Down Arrow 193"/>
                          <wps:cNvSpPr/>
                          <wps:spPr>
                            <a:xfrm>
                              <a:off x="695034" y="5477973"/>
                              <a:ext cx="293829" cy="3379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Down Arrow 194"/>
                          <wps:cNvSpPr/>
                          <wps:spPr>
                            <a:xfrm>
                              <a:off x="665941" y="6737010"/>
                              <a:ext cx="314198" cy="282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own Arrow 195"/>
                          <wps:cNvSpPr/>
                          <wps:spPr>
                            <a:xfrm>
                              <a:off x="657391" y="7906703"/>
                              <a:ext cx="331479" cy="2975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04E3ED" id="Group 223" o:spid="_x0000_s1055" style="position:absolute;margin-left:-3.7pt;margin-top:12.65pt;width:425.95pt;height:629.55pt;z-index:251633664;mso-width-relative:margin;mso-height-relative:margin" coordorigin="25863,471461" coordsize="5410151,8735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">
                <v:shape id="_x0000_s1056" type="#_x0000_t202" style="position:absolute;left:3608338;top:4507862;width:1794510;height:636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cmxAAA&#10;ANsAAAAPAAAAZHJzL2Rvd25yZXYueG1sRI9PawIxFMTvhX6H8Aq9FDdbFbVbo4jQYm9WRa+Pzds/&#10;dPOyJum6fntTEHocZn4zzHzZm0Z05HxtWcFrkoIgzq2uuVRw2H8MZiB8QNbYWCYFV/KwXDw+zDHT&#10;9sLf1O1CKWIJ+wwVVCG0mZQ+r8igT2xLHL3COoMhSldK7fASy00jh2k6kQZrjgsVtrSuKP/Z/RoF&#10;s/GmO/mv0faYT4rmLbxMu8+zU+r5qV+9gwjUh//wnd7oyI3g70v8A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HJsQAAADbAAAADwAAAAAAAAAAAAAAAACXAgAAZHJzL2Rv&#10;d25yZXYueG1sUEsFBgAAAAAEAAQA9QAAAIgDAAAAAA==&#10;">
                  <v:textbox>
                    <w:txbxContent>
                      <w:p w14:paraId="647E28E3" w14:textId="77777777" w:rsidR="00C8402C" w:rsidRDefault="00C8402C" w:rsidP="00026049">
                        <w:pPr>
                          <w:pStyle w:val="ListParagraph"/>
                          <w:numPr>
                            <w:ilvl w:val="0"/>
                            <w:numId w:val="2"/>
                          </w:numPr>
                          <w:spacing w:after="0"/>
                          <w:ind w:left="284" w:hanging="284"/>
                          <w:contextualSpacing w:val="0"/>
                          <w:rPr>
                            <w:sz w:val="20"/>
                          </w:rPr>
                        </w:pPr>
                        <w:r w:rsidRPr="00EF1CB9">
                          <w:rPr>
                            <w:sz w:val="20"/>
                          </w:rPr>
                          <w:t>Focus group and interview protocol</w:t>
                        </w:r>
                      </w:p>
                      <w:p w14:paraId="1CE587DD" w14:textId="2C99EAED" w:rsidR="00C8402C" w:rsidRPr="00EF1CB9" w:rsidRDefault="00C8402C" w:rsidP="00026049">
                        <w:pPr>
                          <w:pStyle w:val="ListParagraph"/>
                          <w:numPr>
                            <w:ilvl w:val="0"/>
                            <w:numId w:val="2"/>
                          </w:numPr>
                          <w:spacing w:after="0"/>
                          <w:ind w:left="284" w:hanging="284"/>
                          <w:contextualSpacing w:val="0"/>
                          <w:rPr>
                            <w:sz w:val="20"/>
                          </w:rPr>
                        </w:pPr>
                        <w:r>
                          <w:rPr>
                            <w:sz w:val="20"/>
                          </w:rPr>
                          <w:t>Piloting</w:t>
                        </w:r>
                      </w:p>
                    </w:txbxContent>
                  </v:textbox>
                </v:shape>
                <v:shape id="_x0000_s1057" type="#_x0000_t202" style="position:absolute;left:1663866;top:5863731;width:1794510;height:715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h9SxAAA&#10;ANsAAAAPAAAAZHJzL2Rvd25yZXYueG1sRI9PawIxFMTvQr9DeAUv4mbbirVbo0hB0Zu10l4fm7d/&#10;6OZlTeK6/fZGEHocZn4zzHzZm0Z05HxtWcFTkoIgzq2uuVRw/FqPZyB8QNbYWCYFf+RhuXgYzDHT&#10;9sKf1B1CKWIJ+wwVVCG0mZQ+r8igT2xLHL3COoMhSldK7fASy00jn9N0Kg3WHBcqbOmjovz3cDYK&#10;ZpNt9+N3L/vvfFo0b2H02m1OTqnhY796BxGoD//hO73VNw5uX+IP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YfUsQAAADbAAAADwAAAAAAAAAAAAAAAACXAgAAZHJzL2Rv&#10;d25yZXYueG1sUEsFBgAAAAAEAAQA9QAAAIgDAAAAAA==&#10;">
                  <v:textbox>
                    <w:txbxContent>
                      <w:p w14:paraId="56F3675A" w14:textId="35C31443" w:rsidR="00C8402C" w:rsidRPr="00EF1CB9" w:rsidRDefault="00C8402C" w:rsidP="00026049">
                        <w:pPr>
                          <w:pStyle w:val="ListParagraph"/>
                          <w:numPr>
                            <w:ilvl w:val="0"/>
                            <w:numId w:val="2"/>
                          </w:numPr>
                          <w:spacing w:after="0"/>
                          <w:ind w:left="284" w:hanging="284"/>
                          <w:contextualSpacing w:val="0"/>
                          <w:rPr>
                            <w:sz w:val="20"/>
                          </w:rPr>
                        </w:pPr>
                        <w:r>
                          <w:rPr>
                            <w:sz w:val="20"/>
                          </w:rPr>
                          <w:t>Focus groups</w:t>
                        </w:r>
                      </w:p>
                      <w:p w14:paraId="52D0CE32" w14:textId="7CEC6E79" w:rsidR="00C8402C" w:rsidRPr="00EF1CB9" w:rsidRDefault="00C8402C" w:rsidP="00026049">
                        <w:pPr>
                          <w:pStyle w:val="ListParagraph"/>
                          <w:numPr>
                            <w:ilvl w:val="0"/>
                            <w:numId w:val="2"/>
                          </w:numPr>
                          <w:spacing w:after="0"/>
                          <w:ind w:left="284" w:hanging="284"/>
                          <w:contextualSpacing w:val="0"/>
                          <w:rPr>
                            <w:sz w:val="20"/>
                            <w:szCs w:val="20"/>
                          </w:rPr>
                        </w:pPr>
                        <w:r w:rsidRPr="00EF1CB9">
                          <w:rPr>
                            <w:sz w:val="20"/>
                            <w:szCs w:val="20"/>
                          </w:rPr>
                          <w:t xml:space="preserve">Semi-structured interviews with </w:t>
                        </w:r>
                        <w:r>
                          <w:rPr>
                            <w:sz w:val="20"/>
                            <w:szCs w:val="20"/>
                          </w:rPr>
                          <w:t>students and</w:t>
                        </w:r>
                        <w:r w:rsidRPr="00EF1CB9">
                          <w:rPr>
                            <w:sz w:val="20"/>
                            <w:szCs w:val="20"/>
                          </w:rPr>
                          <w:t xml:space="preserve"> </w:t>
                        </w:r>
                        <w:r>
                          <w:rPr>
                            <w:sz w:val="20"/>
                            <w:szCs w:val="20"/>
                          </w:rPr>
                          <w:t>teachers</w:t>
                        </w:r>
                      </w:p>
                    </w:txbxContent>
                  </v:textbox>
                </v:shape>
                <v:shape id="_x0000_s1058" type="#_x0000_t202" style="position:absolute;left:3640724;top:5945279;width:1794510;height:5089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rrJxAAA&#10;ANsAAAAPAAAAZHJzL2Rvd25yZXYueG1sRI9PawIxFMTvQr9DeAUvRbPVVu3WKCIoeqt/sNfH5rm7&#10;dPOyTeK6fntTKHgcZn4zzHTemko05HxpWcFrPwFBnFldcq7geFj1JiB8QNZYWSYFN/Iwnz11pphq&#10;e+UdNfuQi1jCPkUFRQh1KqXPCjLo+7Ymjt7ZOoMhSpdL7fAay00lB0kykgZLjgsF1rQsKPvZX4yC&#10;ydum+fbb4dcpG52rj/Aybta/Tqnuc7v4BBGoDY/wP73RkXuHvy/xB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q6ycQAAADbAAAADwAAAAAAAAAAAAAAAACXAgAAZHJzL2Rv&#10;d25yZXYueG1sUEsFBgAAAAAEAAQA9QAAAIgDAAAAAA==&#10;">
                  <v:textbox>
                    <w:txbxContent>
                      <w:p w14:paraId="2F834096" w14:textId="77777777" w:rsidR="00C8402C" w:rsidRPr="00EF1CB9" w:rsidRDefault="00C8402C" w:rsidP="00026049">
                        <w:pPr>
                          <w:pStyle w:val="ListParagraph"/>
                          <w:numPr>
                            <w:ilvl w:val="0"/>
                            <w:numId w:val="2"/>
                          </w:numPr>
                          <w:ind w:left="284" w:hanging="284"/>
                          <w:contextualSpacing w:val="0"/>
                          <w:rPr>
                            <w:sz w:val="20"/>
                          </w:rPr>
                        </w:pPr>
                        <w:r w:rsidRPr="00EF1CB9">
                          <w:rPr>
                            <w:sz w:val="20"/>
                          </w:rPr>
                          <w:t>Text and audio data (transcripts, notes)</w:t>
                        </w:r>
                      </w:p>
                    </w:txbxContent>
                  </v:textbox>
                </v:shape>
                <v:shape id="_x0000_s1059" type="#_x0000_t202" style="position:absolute;left:1646612;top:7142911;width:1794510;height:63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IElxQAA&#10;ANsAAAAPAAAAZHJzL2Rvd25yZXYueG1sRI9bawIxFITfhf6HcAq+iGar4mW7UUqhYt+sir4eNmcv&#10;dHOyTdJ1+++bgtDHYeabYbJtbxrRkfO1ZQVPkwQEcW51zaWC8+ltvALhA7LGxjIp+CEP283DIMNU&#10;2xt/UHcMpYgl7FNUUIXQplL6vCKDfmJb4ugV1hkMUbpSaoe3WG4aOU2ShTRYc1yosKXXivLP47dR&#10;sJrvu6t/nx0u+aJo1mG07HZfTqnhY//yDCJQH/7Dd3qvI7eE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UgSXFAAAA2wAAAA8AAAAAAAAAAAAAAAAAlwIAAGRycy9k&#10;b3ducmV2LnhtbFBLBQYAAAAABAAEAPUAAACJAwAAAAA=&#10;">
                  <v:textbox>
                    <w:txbxContent>
                      <w:p w14:paraId="13CD2BBC" w14:textId="77777777" w:rsidR="00C8402C" w:rsidRPr="009D6CAB" w:rsidRDefault="00C8402C" w:rsidP="00495549">
                        <w:pPr>
                          <w:pStyle w:val="ListParagraph"/>
                          <w:numPr>
                            <w:ilvl w:val="0"/>
                            <w:numId w:val="2"/>
                          </w:numPr>
                          <w:spacing w:after="0"/>
                          <w:ind w:left="284" w:hanging="284"/>
                          <w:contextualSpacing w:val="0"/>
                          <w:rPr>
                            <w:sz w:val="20"/>
                          </w:rPr>
                        </w:pPr>
                        <w:r w:rsidRPr="00EF1CB9">
                          <w:rPr>
                            <w:sz w:val="20"/>
                          </w:rPr>
                          <w:t>Coding</w:t>
                        </w:r>
                        <w:r>
                          <w:rPr>
                            <w:sz w:val="20"/>
                          </w:rPr>
                          <w:t xml:space="preserve"> using </w:t>
                        </w:r>
                        <w:proofErr w:type="spellStart"/>
                        <w:r w:rsidRPr="009D6CAB">
                          <w:rPr>
                            <w:sz w:val="20"/>
                          </w:rPr>
                          <w:t>NVivo</w:t>
                        </w:r>
                        <w:proofErr w:type="spellEnd"/>
                        <w:r w:rsidRPr="009D6CAB">
                          <w:rPr>
                            <w:sz w:val="20"/>
                          </w:rPr>
                          <w:t xml:space="preserve"> software</w:t>
                        </w:r>
                      </w:p>
                      <w:p w14:paraId="59518DF6" w14:textId="31AEADF4" w:rsidR="00C8402C" w:rsidRPr="00EF1CB9" w:rsidRDefault="00C8402C" w:rsidP="00026049">
                        <w:pPr>
                          <w:pStyle w:val="ListParagraph"/>
                          <w:numPr>
                            <w:ilvl w:val="0"/>
                            <w:numId w:val="2"/>
                          </w:numPr>
                          <w:spacing w:after="0"/>
                          <w:ind w:left="284" w:hanging="284"/>
                          <w:contextualSpacing w:val="0"/>
                          <w:rPr>
                            <w:sz w:val="20"/>
                          </w:rPr>
                        </w:pPr>
                        <w:r>
                          <w:rPr>
                            <w:sz w:val="20"/>
                          </w:rPr>
                          <w:t>Framework analysis</w:t>
                        </w:r>
                      </w:p>
                    </w:txbxContent>
                  </v:textbox>
                </v:shape>
                <v:shape id="_x0000_s1060" type="#_x0000_t202" style="position:absolute;left:1686271;top:8473304;width:1794510;height:675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rRgxQAA&#10;ANsAAAAPAAAAZHJzL2Rvd25yZXYueG1sRI9Ba8JAFITvQv/D8gq9SLOpijWpq0hBsTdrxV4f2WcS&#10;mn0bd9eY/vtuQfA4zMw3zHzZm0Z05HxtWcFLkoIgLqyuuVRw+Fo/z0D4gKyxsUwKfsnDcvEwmGOu&#10;7ZU/qduHUkQI+xwVVCG0uZS+qMigT2xLHL2TdQZDlK6U2uE1wk0jR2k6lQZrjgsVtvReUfGzvxgF&#10;s8m2+/Yf492xmJ6aLAxfu83ZKfX02K/eQATqwz18a2+1gmwE/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6tGDFAAAA2wAAAA8AAAAAAAAAAAAAAAAAlwIAAGRycy9k&#10;b3ducmV2LnhtbFBLBQYAAAAABAAEAPUAAACJAwAAAAA=&#10;">
                  <v:textbox>
                    <w:txbxContent>
                      <w:p w14:paraId="765FE806" w14:textId="77777777" w:rsidR="00C8402C" w:rsidRPr="00EF1CB9" w:rsidRDefault="00C8402C" w:rsidP="00026049">
                        <w:pPr>
                          <w:pStyle w:val="ListParagraph"/>
                          <w:numPr>
                            <w:ilvl w:val="0"/>
                            <w:numId w:val="2"/>
                          </w:numPr>
                          <w:ind w:left="284" w:hanging="284"/>
                          <w:contextualSpacing w:val="0"/>
                          <w:rPr>
                            <w:sz w:val="20"/>
                          </w:rPr>
                        </w:pPr>
                        <w:r w:rsidRPr="00EF1CB9">
                          <w:rPr>
                            <w:sz w:val="20"/>
                          </w:rPr>
                          <w:t>Interpretations and discussion of quantitative and qualitative evidence</w:t>
                        </w:r>
                      </w:p>
                    </w:txbxContent>
                  </v:textbox>
                </v:shape>
                <v:shape id="_x0000_s1061" type="#_x0000_t202" style="position:absolute;left:3623471;top:7198764;width:1794510;height:51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hH7xAAA&#10;ANsAAAAPAAAAZHJzL2Rvd25yZXYueG1sRI9PawIxFMTvgt8hPMGL1KxarG6NUoQWe/Mf9vrYPHcX&#10;Ny/bJK7rtzeFgsdhZn7DLFatqURDzpeWFYyGCQjizOqScwXHw+fLDIQPyBory6TgTh5Wy25ngam2&#10;N95Rsw+5iBD2KSooQqhTKX1WkEE/tDVx9M7WGQxRulxqh7cIN5UcJ8lUGiw5LhRY07qg7LK/GgWz&#10;103z478n21M2PVfzMHhrvn6dUv1e+/EOIlAbnuH/9kYrmE/g7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R+8QAAADbAAAADwAAAAAAAAAAAAAAAACXAgAAZHJzL2Rv&#10;d25yZXYueG1sUEsFBgAAAAAEAAQA9QAAAIgDAAAAAA==&#10;">
                  <v:textbox>
                    <w:txbxContent>
                      <w:p w14:paraId="585518BA"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Codes and themes</w:t>
                        </w:r>
                      </w:p>
                      <w:p w14:paraId="53A27CCC"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Thematic charts/trees</w:t>
                        </w:r>
                      </w:p>
                    </w:txbxContent>
                  </v:textbox>
                </v:shape>
                <v:shape id="_x0000_s1062" type="#_x0000_t202" style="position:absolute;left:3641504;top:8389365;width:1794510;height:806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4mPxQAA&#10;ANsAAAAPAAAAZHJzL2Rvd25yZXYueG1sRI9bawIxFITfC/6HcARfSs16werWKCK06Fu9YF8Pm+Pu&#10;4uZkTeK6/vumIPRxmJlvmPmyNZVoyPnSsoJBPwFBnFldcq7gePh8m4LwAVljZZkUPMjDctF5mWOq&#10;7Z131OxDLiKEfYoKihDqVEqfFWTQ921NHL2zdQZDlC6X2uE9wk0lh0kykQZLjgsF1rQuKLvsb0bB&#10;dLxpfvx29H3KJudqFl7fm6+rU6rXbVcfIAK14T/8bG+0gtkY/r7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fiY/FAAAA2wAAAA8AAAAAAAAAAAAAAAAAlwIAAGRycy9k&#10;b3ducmV2LnhtbFBLBQYAAAAABAAEAPUAAACJAwAAAAA=&#10;">
                  <v:textbox>
                    <w:txbxContent>
                      <w:p w14:paraId="1B9A8729"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Results</w:t>
                        </w:r>
                      </w:p>
                      <w:p w14:paraId="123FFCB3"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Discussion</w:t>
                        </w:r>
                      </w:p>
                      <w:p w14:paraId="3BCE1979"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Implications for practice</w:t>
                        </w:r>
                      </w:p>
                      <w:p w14:paraId="6CB40481" w14:textId="77777777" w:rsidR="00C8402C" w:rsidRPr="00EF1CB9" w:rsidRDefault="00C8402C" w:rsidP="00026049">
                        <w:pPr>
                          <w:pStyle w:val="ListParagraph"/>
                          <w:numPr>
                            <w:ilvl w:val="0"/>
                            <w:numId w:val="2"/>
                          </w:numPr>
                          <w:ind w:left="284" w:hanging="284"/>
                          <w:contextualSpacing w:val="0"/>
                          <w:rPr>
                            <w:sz w:val="20"/>
                          </w:rPr>
                        </w:pPr>
                        <w:r w:rsidRPr="00EF1CB9">
                          <w:rPr>
                            <w:sz w:val="20"/>
                          </w:rPr>
                          <w:t>Future research</w:t>
                        </w:r>
                      </w:p>
                    </w:txbxContent>
                  </v:textbox>
                </v:shape>
                <v:group id="Group 222" o:spid="_x0000_s1063" style="position:absolute;left:25863;top:471461;width:5376985;height:8735320" coordorigin="25863,471461" coordsize="5376985,8735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roundrect id="Rounded Rectangle 64" o:spid="_x0000_s1064" style="position:absolute;left:77270;top:5868947;width:1477727;height:65323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NFBwwAA&#10;ANsAAAAPAAAAZHJzL2Rvd25yZXYueG1sRI9PawIxFMTvBb9DeIXearbWiqxG8Q+C4KlbL96em+dm&#10;283LkqSafntTKPQ4zMxvmPky2U5cyYfWsYKXYQGCuHa65UbB8WP3PAURIrLGzjEp+KEAy8XgYY6l&#10;djd+p2sVG5EhHEpUYGLsSylDbchiGLqeOHsX5y3GLH0jtcdbhttOjopiIi22nBcM9rQxVH9V31aB&#10;1a9p+4mrE+2m1fr0lg5bb85KPT2m1QxEpBT/w3/tvVYwGcPvl/w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INFBwwAAANsAAAAPAAAAAAAAAAAAAAAAAJcCAABkcnMvZG93&#10;bnJldi54bWxQSwUGAAAAAAQABAD1AAAAhwMAAAAA&#10;" fillcolor="#5b9bd5 [3204]" strokecolor="#1f4d78 [1604]" strokeweight="1pt">
                    <v:stroke joinstyle="miter"/>
                    <v:textbox>
                      <w:txbxContent>
                        <w:p w14:paraId="511DC8FD" w14:textId="77777777" w:rsidR="00C8402C" w:rsidRPr="00276C25" w:rsidRDefault="00C8402C" w:rsidP="00EF1CB9">
                          <w:pPr>
                            <w:jc w:val="center"/>
                            <w:rPr>
                              <w:sz w:val="28"/>
                            </w:rPr>
                          </w:pPr>
                          <w:r>
                            <w:rPr>
                              <w:sz w:val="28"/>
                            </w:rPr>
                            <w:t>Qualitative data collection</w:t>
                          </w:r>
                        </w:p>
                      </w:txbxContent>
                    </v:textbox>
                  </v:roundrect>
                  <v:roundrect id="Rounded Rectangle 65" o:spid="_x0000_s1065" style="position:absolute;left:78444;top:7138637;width:1476554;height:64159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HTawwAA&#10;ANsAAAAPAAAAZHJzL2Rvd25yZXYueG1sRI9PawIxFMTvBb9DeIK3mlVRZGsU/yAIPXXbi7fXzetm&#10;6+ZlSaLGb98UCj0OM/MbZrVJthM38qF1rGAyLkAQ10633Cj4eD8+L0GEiKyxc0wKHhRgsx48rbDU&#10;7s5vdKtiIzKEQ4kKTIx9KWWoDVkMY9cTZ+/LeYsxS99I7fGe4baT06JYSIst5wWDPe0N1ZfqahVY&#10;PUuHb9ye6bisdud5ej1486nUaJi2LyAipfgf/muftILFHH6/5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bHTawwAAANsAAAAPAAAAAAAAAAAAAAAAAJcCAABkcnMvZG93&#10;bnJldi54bWxQSwUGAAAAAAQABAD1AAAAhwMAAAAA&#10;" fillcolor="#5b9bd5 [3204]" strokecolor="#1f4d78 [1604]" strokeweight="1pt">
                    <v:stroke joinstyle="miter"/>
                    <v:textbox>
                      <w:txbxContent>
                        <w:p w14:paraId="7EB48320" w14:textId="77777777" w:rsidR="00C8402C" w:rsidRPr="00276C25" w:rsidRDefault="00C8402C" w:rsidP="00EF1CB9">
                          <w:pPr>
                            <w:jc w:val="center"/>
                            <w:rPr>
                              <w:sz w:val="28"/>
                            </w:rPr>
                          </w:pPr>
                          <w:r>
                            <w:rPr>
                              <w:sz w:val="28"/>
                            </w:rPr>
                            <w:t>Qualitative data analysis</w:t>
                          </w:r>
                        </w:p>
                      </w:txbxContent>
                    </v:textbox>
                  </v:roundrec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68" o:spid="_x0000_s1066" type="#_x0000_t56" style="position:absolute;left:109212;top:8240576;width:1412737;height:966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vDFwQAA&#10;ANsAAAAPAAAAZHJzL2Rvd25yZXYueG1sRE9La8JAEL4X/A/LCL0U3dSDaHQVkRaEUqiag8cxO3lg&#10;djZkpzH+e/dQ6PHje6+3g2tUT12oPRt4nyagiHNvay4NZOfPyQJUEGSLjWcy8KAA283oZY2p9Xc+&#10;Un+SUsUQDikaqETaVOuQV+QwTH1LHLnCdw4lwq7UtsN7DHeNniXJXDusOTZU2NK+ovx2+nUG+mV/&#10;vbgvm30siqL+ub7JMfsWY17Hw24FSmiQf/Gf+2ANzOPY+CX+AL1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VrwxcEAAADbAAAADwAAAAAAAAAAAAAAAACXAgAAZHJzL2Rvd25y&#10;ZXYueG1sUEsFBgAAAAAEAAQA9QAAAIUDAAAAAA==&#10;" fillcolor="#5b9bd5 [3204]" strokecolor="#1f4d78 [1604]" strokeweight="1pt">
                    <v:textbox>
                      <w:txbxContent>
                        <w:p w14:paraId="0F1AF4AA" w14:textId="77777777" w:rsidR="00C8402C" w:rsidRDefault="00C8402C" w:rsidP="00EF1CB9">
                          <w:pPr>
                            <w:jc w:val="center"/>
                          </w:pPr>
                          <w:r>
                            <w:t>Data integration</w:t>
                          </w:r>
                        </w:p>
                      </w:txbxContent>
                    </v:textbox>
                  </v:shape>
                  <v:group id="Group 221" o:spid="_x0000_s1067" style="position:absolute;left:25863;top:471461;width:5376985;height:5204732" coordorigin="-16,471461" coordsize="5376985,5204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shape id="Regular Pentagon 67" o:spid="_x0000_s1068" type="#_x0000_t56" style="position:absolute;left:52564;top:4053249;width:1476556;height:13358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WS3xQAA&#10;ANsAAAAPAAAAZHJzL2Rvd25yZXYueG1sRI9Pa8JAFMTvQr/D8oRepG7qQW10lVIUCqWgNgePz+zL&#10;H8y+DdlnTL99t1DocZiZ3zDr7eAa1VMXas8GnqcJKOLc25pLA9nX/mkJKgiyxcYzGfimANvNw2iN&#10;qfV3PlJ/klJFCIcUDVQibap1yCtyGKa+JY5e4TuHEmVXatvhPcJdo2dJMtcOa44LFbb0VlF+Pd2c&#10;gf6lv5zdh812y6KoD5eJHLNPMeZxPLyuQAkN8h/+a79bA/MF/H6JP0B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FZLfFAAAA2wAAAA8AAAAAAAAAAAAAAAAAlwIAAGRycy9k&#10;b3ducmV2LnhtbFBLBQYAAAAABAAEAPUAAACJAwAAAAA=&#10;" fillcolor="#5b9bd5 [3204]" strokecolor="#1f4d78 [1604]" strokeweight="1pt">
                      <v:textbox>
                        <w:txbxContent>
                          <w:p w14:paraId="7190B539" w14:textId="7FA42719" w:rsidR="00C8402C" w:rsidRPr="00EF1CB9" w:rsidRDefault="00C8402C" w:rsidP="00EF1CB9">
                            <w:pPr>
                              <w:ind w:left="-142" w:right="-85"/>
                              <w:jc w:val="center"/>
                              <w:rPr>
                                <w:sz w:val="20"/>
                              </w:rPr>
                            </w:pPr>
                            <w:r w:rsidRPr="00EF1CB9">
                              <w:rPr>
                                <w:sz w:val="20"/>
                              </w:rPr>
                              <w:t>Case s</w:t>
                            </w:r>
                            <w:r>
                              <w:rPr>
                                <w:sz w:val="20"/>
                              </w:rPr>
                              <w:t>election – Qualitative protocol</w:t>
                            </w:r>
                          </w:p>
                        </w:txbxContent>
                      </v:textbox>
                    </v:shape>
                    <v:group id="Group 197" o:spid="_x0000_s1069" style="position:absolute;left:-16;top:471461;width:5376985;height:5204732" coordorigin="-8643,471461" coordsize="5376985,5204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_x0000_s1070" type="#_x0000_t202" style="position:absolute;left:1628572;top:3991037;width:1794510;height:16851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RlRwgAA&#10;ANsAAAAPAAAAZHJzL2Rvd25yZXYueG1sRE9La8JAEL4X/A/LCL0U3dgWtdFVRGixNx+lvQ7ZMQlm&#10;Z+PuNqb/vnMo9PjxvZfr3jWqoxBrzwYm4wwUceFtzaWBj9PraA4qJmSLjWcy8EMR1qvB3RJz6298&#10;oO6YSiUhHHM0UKXU5lrHoiKHcexbYuHOPjhMAkOpbcCbhLtGP2bZVDusWRoqbGlbUXE5fjsD8+dd&#10;9xXfn/afxfTcvKSHWfd2DcbcD/vNAlSiPv2L/9w7Kz5ZL1/kB+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9GVHCAAAA2wAAAA8AAAAAAAAAAAAAAAAAlwIAAGRycy9kb3du&#10;cmV2LnhtbFBLBQYAAAAABAAEAPUAAACGAwAAAAA=&#10;">
                        <v:textbox>
                          <w:txbxContent>
                            <w:p w14:paraId="51A32353" w14:textId="4BFF08DE" w:rsidR="00C8402C" w:rsidRDefault="00C8402C" w:rsidP="00026049">
                              <w:pPr>
                                <w:pStyle w:val="ListParagraph"/>
                                <w:numPr>
                                  <w:ilvl w:val="0"/>
                                  <w:numId w:val="2"/>
                                </w:numPr>
                                <w:spacing w:after="0"/>
                                <w:ind w:left="284" w:hanging="284"/>
                                <w:contextualSpacing w:val="0"/>
                                <w:rPr>
                                  <w:sz w:val="20"/>
                                </w:rPr>
                              </w:pPr>
                              <w:r w:rsidRPr="00EF1CB9">
                                <w:rPr>
                                  <w:sz w:val="20"/>
                                </w:rPr>
                                <w:t>Purposive sampling (stratified) based on study condition, academic ability</w:t>
                              </w:r>
                              <w:r>
                                <w:rPr>
                                  <w:sz w:val="20"/>
                                </w:rPr>
                                <w:t>,</w:t>
                              </w:r>
                              <w:r w:rsidRPr="00EF1CB9">
                                <w:rPr>
                                  <w:sz w:val="20"/>
                                </w:rPr>
                                <w:t xml:space="preserve"> </w:t>
                              </w:r>
                              <w:proofErr w:type="gramStart"/>
                              <w:r w:rsidRPr="00EF1CB9">
                                <w:rPr>
                                  <w:sz w:val="20"/>
                                </w:rPr>
                                <w:t>and  change</w:t>
                              </w:r>
                              <w:proofErr w:type="gramEnd"/>
                              <w:r w:rsidRPr="00EF1CB9">
                                <w:rPr>
                                  <w:sz w:val="20"/>
                                </w:rPr>
                                <w:t xml:space="preserve"> in SSRQ, then randomly selected</w:t>
                              </w:r>
                            </w:p>
                            <w:p w14:paraId="79966694" w14:textId="57C0077F" w:rsidR="00C8402C" w:rsidRPr="003A1749" w:rsidRDefault="00C8402C" w:rsidP="00026049">
                              <w:pPr>
                                <w:pStyle w:val="ListParagraph"/>
                                <w:numPr>
                                  <w:ilvl w:val="0"/>
                                  <w:numId w:val="2"/>
                                </w:numPr>
                                <w:spacing w:after="0"/>
                                <w:ind w:left="284" w:hanging="284"/>
                                <w:contextualSpacing w:val="0"/>
                                <w:rPr>
                                  <w:sz w:val="20"/>
                                </w:rPr>
                              </w:pPr>
                              <w:r w:rsidRPr="00EF1CB9">
                                <w:rPr>
                                  <w:sz w:val="20"/>
                                </w:rPr>
                                <w:t>Development of focus group and</w:t>
                              </w:r>
                              <w:r>
                                <w:rPr>
                                  <w:sz w:val="20"/>
                                </w:rPr>
                                <w:t xml:space="preserve"> interview topics and questions</w:t>
                              </w:r>
                            </w:p>
                            <w:p w14:paraId="7A8F0C9A"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Recruitment</w:t>
                              </w:r>
                            </w:p>
                          </w:txbxContent>
                        </v:textbox>
                      </v:shape>
                      <v:group id="Group 196" o:spid="_x0000_s1071" style="position:absolute;left:-8643;top:471461;width:5376985;height:3129034" coordorigin="-8643,471461" coordsize="5376985,3129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shape id="_x0000_s1072" type="#_x0000_t202" style="position:absolute;left:214983;top:471461;width:1212676;height:3204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K2TwQAA&#10;ANsAAAAPAAAAZHJzL2Rvd25yZXYueG1sRI9BawIxFITvQv9DeAVvmrUHqVujLIrgRaFaen4kz92t&#10;m5eQpOv23zeC4HGYmW+Y5XqwnegpxNaxgtm0AEGsnWm5VvB13k3eQcSEbLBzTAr+KMJ69TJaYmnc&#10;jT+pP6VaZAjHEhU0KflSyqgbshinzhNn7+KCxZRlqKUJeMtw28m3ophLiy3nhQY9bRrS19OvVXCo&#10;DpviGHpb+e/LT4de662PSo1fh+oDRKIhPcOP9t4omC/g/iX/AL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Gytk8EAAADbAAAADwAAAAAAAAAAAAAAAACXAgAAZHJzL2Rvd25y&#10;ZXYueG1sUEsFBgAAAAAEAAQA9QAAAIUDAAAAAA==&#10;">
                          <v:textbox>
                            <w:txbxContent>
                              <w:p w14:paraId="18E32027" w14:textId="77777777" w:rsidR="00C8402C" w:rsidRPr="00346531" w:rsidRDefault="00C8402C" w:rsidP="00EF1CB9">
                                <w:pPr>
                                  <w:jc w:val="center"/>
                                  <w:rPr>
                                    <w:b/>
                                    <w:sz w:val="28"/>
                                    <w:szCs w:val="28"/>
                                  </w:rPr>
                                </w:pPr>
                                <w:r w:rsidRPr="00346531">
                                  <w:rPr>
                                    <w:b/>
                                    <w:sz w:val="28"/>
                                    <w:szCs w:val="28"/>
                                  </w:rPr>
                                  <w:t>Component</w:t>
                                </w:r>
                              </w:p>
                            </w:txbxContent>
                          </v:textbox>
                        </v:shape>
                        <v:shape id="_x0000_s1073" type="#_x0000_t202" style="position:absolute;left:1947953;top:471490;width:1212676;height:3204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5LTvwAA&#10;ANsAAAAPAAAAZHJzL2Rvd25yZXYueG1sRE89a8MwEN0D+Q/iAtliuR3S4kY2JiGQJYWmpfMhXWy3&#10;1klIquP8+2oodHy8710z21FMFOLgWMFDUYIg1s4M3Cn4eD9unkHEhGxwdEwK7hShqZeLHVbG3fiN&#10;pkvqRA7hWKGCPiVfSRl1TxZj4Txx5q4uWEwZhk6agLccbkf5WJZbaXHg3NCjp31P+vvyYxWc2/O+&#10;fA2Tbf3n9WtEr/XBR6XWq7l9AZFoTv/iP/fJKHjK6/OX/ANk/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SPktO/AAAA2wAAAA8AAAAAAAAAAAAAAAAAlwIAAGRycy9kb3ducmV2&#10;LnhtbFBLBQYAAAAABAAEAPUAAACDAwAAAAA=&#10;">
                          <v:textbox>
                            <w:txbxContent>
                              <w:p w14:paraId="4CBFB05C" w14:textId="77777777" w:rsidR="00C8402C" w:rsidRPr="00346531" w:rsidRDefault="00C8402C" w:rsidP="00EF1CB9">
                                <w:pPr>
                                  <w:jc w:val="center"/>
                                  <w:rPr>
                                    <w:b/>
                                    <w:sz w:val="28"/>
                                    <w:szCs w:val="28"/>
                                  </w:rPr>
                                </w:pPr>
                                <w:r w:rsidRPr="00346531">
                                  <w:rPr>
                                    <w:b/>
                                    <w:sz w:val="28"/>
                                    <w:szCs w:val="28"/>
                                  </w:rPr>
                                  <w:t>Procedure</w:t>
                                </w:r>
                              </w:p>
                            </w:txbxContent>
                          </v:textbox>
                        </v:shape>
                        <v:shape id="_x0000_s1074" type="#_x0000_t202" style="position:absolute;left:3852833;top:471494;width:1212676;height:3246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dIwQAA&#10;ANsAAAAPAAAAZHJzL2Rvd25yZXYueG1sRI9BawIxFITvBf9DeIK3mrUHldUoi1LwYkEtPT+S5+7q&#10;5iUkcd3++6ZQ6HGYmW+Y9XawnegpxNaxgtm0AEGsnWm5VvB5eX9dgogJ2WDnmBR8U4TtZvSyxtK4&#10;J5+oP6daZAjHEhU0KflSyqgbshinzhNn7+qCxZRlqKUJ+Mxw28m3ophLiy3nhQY97RrS9/PDKjhW&#10;x13xEXpb+a/rrUOv9d5HpSbjoVqBSDSk//Bf+2AULGbw+yX/ALn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8M3SMEAAADbAAAADwAAAAAAAAAAAAAAAACXAgAAZHJzL2Rvd25y&#10;ZXYueG1sUEsFBgAAAAAEAAQA9QAAAIUDAAAAAA==&#10;">
                          <v:textbox>
                            <w:txbxContent>
                              <w:p w14:paraId="007296FD" w14:textId="77777777" w:rsidR="00C8402C" w:rsidRPr="00346531" w:rsidRDefault="00C8402C" w:rsidP="00EF1CB9">
                                <w:pPr>
                                  <w:jc w:val="center"/>
                                  <w:rPr>
                                    <w:b/>
                                    <w:sz w:val="28"/>
                                    <w:szCs w:val="28"/>
                                  </w:rPr>
                                </w:pPr>
                                <w:r w:rsidRPr="00346531">
                                  <w:rPr>
                                    <w:b/>
                                    <w:sz w:val="28"/>
                                    <w:szCs w:val="28"/>
                                  </w:rPr>
                                  <w:t>Product</w:t>
                                </w:r>
                              </w:p>
                            </w:txbxContent>
                          </v:textbox>
                        </v:shape>
                        <v:group id="Group 86" o:spid="_x0000_s1075" style="position:absolute;left:-8643;top:921420;width:5376985;height:2368059" coordorigin="-8643,137648" coordsize="5376985,2368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group id="Group 75" o:spid="_x0000_s1076" style="position:absolute;left:-8643;top:137648;width:3472758;height:2368059" coordorigin="-8643,96702" coordsize="3472758,2368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group id="Group 74" o:spid="_x0000_s1077" style="position:absolute;left:-8643;top:249517;width:1529291;height:2215244" coordorigin="-8643,249517" coordsize="1529291,2215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roundrect id="Rounded Rectangle 56" o:spid="_x0000_s1078" style="position:absolute;left:42773;top:249517;width:1477875;height:70727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iAQwwAA&#10;ANsAAAAPAAAAZHJzL2Rvd25yZXYueG1sRI9PawIxFMTvBb9DeIK3mlVRZGsU/yAIPXXbi7fXzetm&#10;6+ZlSaLGb98UCj0OM/MbZrVJthM38qF1rGAyLkAQ10633Cj4eD8+L0GEiKyxc0wKHhRgsx48rbDU&#10;7s5vdKtiIzKEQ4kKTIx9KWWoDVkMY9cTZ+/LeYsxS99I7fGe4baT06JYSIst5wWDPe0N1ZfqahVY&#10;PUuHb9ye6bisdud5ej1486nUaJi2LyAipfgf/muftIL5An6/5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0iAQwwAAANsAAAAPAAAAAAAAAAAAAAAAAJcCAABkcnMvZG93&#10;bnJldi54bWxQSwUGAAAAAAQABAD1AAAAhwMAAAAA&#10;" fillcolor="#5b9bd5 [3204]" strokecolor="#1f4d78 [1604]" strokeweight="1pt">
                                <v:stroke joinstyle="miter"/>
                                <v:textbox>
                                  <w:txbxContent>
                                    <w:p w14:paraId="5C8276A3" w14:textId="38D3DF23" w:rsidR="00C8402C" w:rsidRPr="00276C25" w:rsidRDefault="00C8402C" w:rsidP="00EF1CB9">
                                      <w:pPr>
                                        <w:jc w:val="center"/>
                                        <w:rPr>
                                          <w:sz w:val="28"/>
                                        </w:rPr>
                                      </w:pPr>
                                      <w:r w:rsidRPr="00276C25">
                                        <w:rPr>
                                          <w:sz w:val="28"/>
                                        </w:rPr>
                                        <w:t xml:space="preserve">Quantitative </w:t>
                                      </w:r>
                                      <w:r>
                                        <w:rPr>
                                          <w:sz w:val="28"/>
                                        </w:rPr>
                                        <w:t>d</w:t>
                                      </w:r>
                                      <w:r w:rsidRPr="00276C25">
                                        <w:rPr>
                                          <w:sz w:val="28"/>
                                        </w:rPr>
                                        <w:t xml:space="preserve">ata </w:t>
                                      </w:r>
                                      <w:r>
                                        <w:rPr>
                                          <w:sz w:val="28"/>
                                        </w:rPr>
                                        <w:t>c</w:t>
                                      </w:r>
                                      <w:r w:rsidRPr="00276C25">
                                        <w:rPr>
                                          <w:sz w:val="28"/>
                                        </w:rPr>
                                        <w:t>ollection</w:t>
                                      </w:r>
                                    </w:p>
                                  </w:txbxContent>
                                </v:textbox>
                              </v:roundrect>
                              <v:roundrect id="Rounded Rectangle 63" o:spid="_x0000_s1079" style="position:absolute;left:-8643;top:1811902;width:1529122;height:65285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Uk1wwAA&#10;ANsAAAAPAAAAZHJzL2Rvd25yZXYueG1sRI9PawIxFMTvBb9DeIK3mlWpyNYo/kEQeuq2F2+vm9fN&#10;1s3LkkSN394UCj0OM/MbZrlOthNX8qF1rGAyLkAQ10633Cj4/Dg8L0CEiKyxc0wK7hRgvRo8LbHU&#10;7sbvdK1iIzKEQ4kKTIx9KWWoDVkMY9cTZ+/beYsxS99I7fGW4baT06KYS4st5wWDPe0M1efqYhVY&#10;PUv7H9yc6LCotqeX9Lb35kup0TBtXkFESvE//Nc+agXzGfx+y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yUk1wwAAANsAAAAPAAAAAAAAAAAAAAAAAJcCAABkcnMvZG93&#10;bnJldi54bWxQSwUGAAAAAAQABAD1AAAAhwMAAAAA&#10;" fillcolor="#5b9bd5 [3204]" strokecolor="#1f4d78 [1604]" strokeweight="1pt">
                                <v:stroke joinstyle="miter"/>
                                <v:textbox>
                                  <w:txbxContent>
                                    <w:p w14:paraId="7F56E8BE" w14:textId="77777777" w:rsidR="00C8402C" w:rsidRPr="00276C25" w:rsidRDefault="00C8402C" w:rsidP="00EF1CB9">
                                      <w:pPr>
                                        <w:jc w:val="center"/>
                                        <w:rPr>
                                          <w:sz w:val="28"/>
                                        </w:rPr>
                                      </w:pPr>
                                      <w:r>
                                        <w:rPr>
                                          <w:sz w:val="28"/>
                                        </w:rPr>
                                        <w:t>Quantitative data analysis</w:t>
                                      </w:r>
                                    </w:p>
                                  </w:txbxContent>
                                </v:textbox>
                              </v:roundrect>
                            </v:group>
                            <v:shape id="_x0000_s1080" type="#_x0000_t202" style="position:absolute;left:1629359;top:96702;width:1834756;height:1331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lKa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iYj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2UprFAAAA2wAAAA8AAAAAAAAAAAAAAAAAlwIAAGRycy9k&#10;b3ducmV2LnhtbFBLBQYAAAAABAAEAPUAAACJAwAAAAA=&#10;">
                              <v:textbox>
                                <w:txbxContent>
                                  <w:p w14:paraId="5EC2F2AE" w14:textId="73A91F15" w:rsidR="00C8402C" w:rsidRPr="00EF1CB9" w:rsidRDefault="00C8402C" w:rsidP="00026049">
                                    <w:pPr>
                                      <w:pStyle w:val="ListParagraph"/>
                                      <w:numPr>
                                        <w:ilvl w:val="0"/>
                                        <w:numId w:val="2"/>
                                      </w:numPr>
                                      <w:spacing w:after="0"/>
                                      <w:ind w:left="284" w:hanging="284"/>
                                      <w:contextualSpacing w:val="0"/>
                                      <w:rPr>
                                        <w:sz w:val="20"/>
                                      </w:rPr>
                                    </w:pPr>
                                    <w:r w:rsidRPr="00EF1CB9">
                                      <w:rPr>
                                        <w:sz w:val="20"/>
                                      </w:rPr>
                                      <w:t>Question</w:t>
                                    </w:r>
                                    <w:r>
                                      <w:rPr>
                                        <w:sz w:val="20"/>
                                      </w:rPr>
                                      <w:t>naires administered</w:t>
                                    </w:r>
                                  </w:p>
                                  <w:p w14:paraId="77E4DC5E" w14:textId="5619BC9E" w:rsidR="00C8402C" w:rsidRPr="00EF1CB9" w:rsidRDefault="00C8402C" w:rsidP="00026049">
                                    <w:pPr>
                                      <w:pStyle w:val="ListParagraph"/>
                                      <w:numPr>
                                        <w:ilvl w:val="0"/>
                                        <w:numId w:val="2"/>
                                      </w:numPr>
                                      <w:spacing w:after="0"/>
                                      <w:ind w:left="284" w:hanging="284"/>
                                      <w:contextualSpacing w:val="0"/>
                                      <w:rPr>
                                        <w:sz w:val="20"/>
                                      </w:rPr>
                                    </w:pPr>
                                    <w:r>
                                      <w:rPr>
                                        <w:sz w:val="20"/>
                                      </w:rPr>
                                      <w:t>Teaching with both feedback methods</w:t>
                                    </w:r>
                                  </w:p>
                                  <w:p w14:paraId="21E6F637" w14:textId="101F0272" w:rsidR="00C8402C" w:rsidRPr="00EF1CB9" w:rsidRDefault="00C8402C" w:rsidP="00026049">
                                    <w:pPr>
                                      <w:pStyle w:val="ListParagraph"/>
                                      <w:numPr>
                                        <w:ilvl w:val="0"/>
                                        <w:numId w:val="2"/>
                                      </w:numPr>
                                      <w:spacing w:after="0"/>
                                      <w:ind w:left="284" w:hanging="284"/>
                                      <w:contextualSpacing w:val="0"/>
                                      <w:rPr>
                                        <w:sz w:val="20"/>
                                      </w:rPr>
                                    </w:pPr>
                                    <w:r w:rsidRPr="00EF1CB9">
                                      <w:rPr>
                                        <w:sz w:val="20"/>
                                      </w:rPr>
                                      <w:t>Questionnaire reissued</w:t>
                                    </w:r>
                                    <w:r>
                                      <w:rPr>
                                        <w:sz w:val="20"/>
                                      </w:rPr>
                                      <w:t xml:space="preserve"> after teaching and following placements</w:t>
                                    </w:r>
                                  </w:p>
                                  <w:p w14:paraId="34805D65"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Video recording</w:t>
                                    </w:r>
                                  </w:p>
                                </w:txbxContent>
                              </v:textbox>
                            </v:shape>
                          </v:group>
                          <v:shape id="_x0000_s1081" type="#_x0000_t202" style="position:absolute;left:3606217;top:625581;width:1762125;height:505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vcBxQAA&#10;ANsAAAAPAAAAZHJzL2Rvd25yZXYueG1sRI9PawIxFMTvhX6H8IReimZbRe12o0hB0VtrRa+Pzds/&#10;uHlZk3TdfvtGEHocZuY3TLbsTSM6cr62rOBllIAgzq2uuVRw+F4P5yB8QNbYWCYFv+RhuXh8yDDV&#10;9spf1O1DKSKEfYoKqhDaVEqfV2TQj2xLHL3COoMhSldK7fAa4aaRr0kylQZrjgsVtvRRUX7e/xgF&#10;88m2O/nd+POYT4vmLTzPus3FKfU06FfvIAL14T98b2+1gtkYbl/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69wHFAAAA2wAAAA8AAAAAAAAAAAAAAAAAlwIAAGRycy9k&#10;b3ducmV2LnhtbFBLBQYAAAAABAAEAPUAAACJAwAAAAA=&#10;">
                            <v:textbox>
                              <w:txbxContent>
                                <w:p w14:paraId="79B04066" w14:textId="77777777" w:rsidR="00C8402C" w:rsidRPr="00EF1CB9" w:rsidRDefault="00C8402C" w:rsidP="00026049">
                                  <w:pPr>
                                    <w:pStyle w:val="ListParagraph"/>
                                    <w:numPr>
                                      <w:ilvl w:val="0"/>
                                      <w:numId w:val="2"/>
                                    </w:numPr>
                                    <w:spacing w:after="0"/>
                                    <w:ind w:left="284" w:hanging="284"/>
                                    <w:contextualSpacing w:val="0"/>
                                    <w:rPr>
                                      <w:sz w:val="20"/>
                                    </w:rPr>
                                  </w:pPr>
                                  <w:r w:rsidRPr="00EF1CB9">
                                    <w:rPr>
                                      <w:sz w:val="20"/>
                                    </w:rPr>
                                    <w:t>Numeric data collected</w:t>
                                  </w:r>
                                </w:p>
                                <w:p w14:paraId="0F09BB01" w14:textId="77777777" w:rsidR="00C8402C" w:rsidRPr="00EF1CB9" w:rsidRDefault="00C8402C" w:rsidP="00026049">
                                  <w:pPr>
                                    <w:pStyle w:val="ListParagraph"/>
                                    <w:numPr>
                                      <w:ilvl w:val="0"/>
                                      <w:numId w:val="2"/>
                                    </w:numPr>
                                    <w:ind w:left="284" w:hanging="284"/>
                                    <w:contextualSpacing w:val="0"/>
                                    <w:rPr>
                                      <w:sz w:val="20"/>
                                    </w:rPr>
                                  </w:pPr>
                                  <w:r w:rsidRPr="00EF1CB9">
                                    <w:rPr>
                                      <w:sz w:val="20"/>
                                    </w:rPr>
                                    <w:t>Image data (video)</w:t>
                                  </w:r>
                                </w:p>
                              </w:txbxContent>
                            </v:textbox>
                          </v:shape>
                        </v:group>
                        <v:shape id="_x0000_s1082" type="#_x0000_t202" style="position:absolute;left:1629315;top:2441673;width:1794510;height:1158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3mVwwgAA&#10;ANsAAAAPAAAAZHJzL2Rvd25yZXYueG1sRE/LasJAFN0X/IfhCt0UM7EtMY2OIoLF7nyUdnvJXJNg&#10;5k6cGWP6951FocvDeS9Wg2lFT843lhVMkxQEcWl1w5WCz9N2koPwAVlja5kU/JCH1XL0sMBC2zsf&#10;qD+GSsQQ9gUqqEPoCil9WZNBn9iOOHJn6wyGCF0ltcN7DDetfE7TTBpsODbU2NGmpvJyvBkF+euu&#10;//YfL/uvMju3b+Fp1r9fnVKP42E9BxFoCP/iP/dOK5jFsfFL/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eZXDCAAAA2wAAAA8AAAAAAAAAAAAAAAAAlwIAAGRycy9kb3du&#10;cmV2LnhtbFBLBQYAAAAABAAEAPUAAACGAwAAAAA=&#10;">
                          <v:textbox>
                            <w:txbxContent>
                              <w:p w14:paraId="5A562B0D" w14:textId="77777777" w:rsidR="00C8402C" w:rsidRPr="00EF1CB9" w:rsidRDefault="00C8402C" w:rsidP="00026049">
                                <w:pPr>
                                  <w:pStyle w:val="ListParagraph"/>
                                  <w:numPr>
                                    <w:ilvl w:val="0"/>
                                    <w:numId w:val="2"/>
                                  </w:numPr>
                                  <w:spacing w:after="0"/>
                                  <w:ind w:left="284" w:hanging="284"/>
                                  <w:contextualSpacing w:val="0"/>
                                  <w:rPr>
                                    <w:sz w:val="20"/>
                                    <w:szCs w:val="20"/>
                                  </w:rPr>
                                </w:pPr>
                                <w:r w:rsidRPr="00EF1CB9">
                                  <w:rPr>
                                    <w:sz w:val="20"/>
                                    <w:szCs w:val="20"/>
                                  </w:rPr>
                                  <w:t>SPSS - statistical analysis</w:t>
                                </w:r>
                              </w:p>
                              <w:p w14:paraId="44816A58" w14:textId="385D6B86" w:rsidR="00C8402C" w:rsidRDefault="00C8402C" w:rsidP="00026049">
                                <w:pPr>
                                  <w:pStyle w:val="ListParagraph"/>
                                  <w:numPr>
                                    <w:ilvl w:val="0"/>
                                    <w:numId w:val="2"/>
                                  </w:numPr>
                                  <w:spacing w:after="0"/>
                                  <w:ind w:left="284" w:hanging="284"/>
                                  <w:contextualSpacing w:val="0"/>
                                  <w:rPr>
                                    <w:sz w:val="20"/>
                                    <w:szCs w:val="20"/>
                                  </w:rPr>
                                </w:pPr>
                                <w:r w:rsidRPr="00EF1CB9">
                                  <w:rPr>
                                    <w:sz w:val="20"/>
                                    <w:szCs w:val="20"/>
                                  </w:rPr>
                                  <w:t>Screening of data for analysis: multivariate and univariate</w:t>
                                </w:r>
                              </w:p>
                              <w:p w14:paraId="11A392C5" w14:textId="79D6C989" w:rsidR="00C8402C" w:rsidRPr="003A1749" w:rsidRDefault="00C8402C" w:rsidP="00026049">
                                <w:pPr>
                                  <w:pStyle w:val="ListParagraph"/>
                                  <w:numPr>
                                    <w:ilvl w:val="0"/>
                                    <w:numId w:val="2"/>
                                  </w:numPr>
                                  <w:spacing w:after="0"/>
                                  <w:ind w:left="284" w:hanging="284"/>
                                  <w:contextualSpacing w:val="0"/>
                                  <w:rPr>
                                    <w:sz w:val="20"/>
                                    <w:szCs w:val="20"/>
                                  </w:rPr>
                                </w:pPr>
                                <w:r w:rsidRPr="00EF1CB9">
                                  <w:rPr>
                                    <w:sz w:val="20"/>
                                    <w:szCs w:val="20"/>
                                  </w:rPr>
                                  <w:t>F</w:t>
                                </w:r>
                                <w:r>
                                  <w:rPr>
                                    <w:sz w:val="20"/>
                                    <w:szCs w:val="20"/>
                                  </w:rPr>
                                  <w:t>actor</w:t>
                                </w:r>
                                <w:r w:rsidRPr="00EF1CB9">
                                  <w:rPr>
                                    <w:sz w:val="20"/>
                                    <w:szCs w:val="20"/>
                                  </w:rPr>
                                  <w:t xml:space="preserve"> analysis</w:t>
                                </w:r>
                                <w:r>
                                  <w:rPr>
                                    <w:sz w:val="20"/>
                                    <w:szCs w:val="20"/>
                                  </w:rPr>
                                  <w:t xml:space="preserve"> – validation of the measurement tool</w:t>
                                </w:r>
                              </w:p>
                            </w:txbxContent>
                          </v:textbox>
                        </v:shape>
                        <v:shape id="_x0000_s1083" type="#_x0000_t202" style="position:absolute;left:3573734;top:2441661;width:1794510;height:11588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sDrxAAA&#10;ANsAAAAPAAAAZHJzL2Rvd25yZXYueG1sRI9PawIxFMTvBb9DeIKXUrNV8c/WKCJU9GZt0etj89xd&#10;unnZJum6fnsjCB6HmfkNM1+2phINOV9aVvDeT0AQZ1aXnCv4+f58m4LwAVljZZkUXMnDctF5mWOq&#10;7YW/qDmEXEQI+xQVFCHUqZQ+K8ig79uaOHpn6wyGKF0utcNLhJtKDpJkLA2WHBcKrGldUPZ7+DcK&#10;pqNtc/K74f6Yjc/VLLxOms2fU6rXbVcfIAK14Rl+tLdawWQG9y/xB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LA68QAAADbAAAADwAAAAAAAAAAAAAAAACXAgAAZHJzL2Rv&#10;d25yZXYueG1sUEsFBgAAAAAEAAQA9QAAAIgDAAAAAA==&#10;">
                          <v:textbox>
                            <w:txbxContent>
                              <w:p w14:paraId="7E7E5D45" w14:textId="328245CB" w:rsidR="00C8402C" w:rsidRDefault="00C8402C" w:rsidP="00026049">
                                <w:pPr>
                                  <w:pStyle w:val="ListParagraph"/>
                                  <w:numPr>
                                    <w:ilvl w:val="0"/>
                                    <w:numId w:val="2"/>
                                  </w:numPr>
                                  <w:spacing w:after="0"/>
                                  <w:ind w:left="284" w:hanging="284"/>
                                  <w:contextualSpacing w:val="0"/>
                                  <w:rPr>
                                    <w:sz w:val="20"/>
                                  </w:rPr>
                                </w:pPr>
                                <w:r w:rsidRPr="00EF1CB9">
                                  <w:rPr>
                                    <w:sz w:val="20"/>
                                  </w:rPr>
                                  <w:t>Descriptive statistics, inferential, normality, homogeneity, missing data</w:t>
                                </w:r>
                                <w:r>
                                  <w:rPr>
                                    <w:sz w:val="20"/>
                                  </w:rPr>
                                  <w:t>,</w:t>
                                </w:r>
                                <w:r w:rsidRPr="00EF1CB9">
                                  <w:rPr>
                                    <w:sz w:val="20"/>
                                  </w:rPr>
                                  <w:t xml:space="preserve"> and outliers</w:t>
                                </w:r>
                              </w:p>
                              <w:p w14:paraId="5A3904AE" w14:textId="495194C1" w:rsidR="00C8402C" w:rsidRDefault="00C8402C" w:rsidP="00026049">
                                <w:pPr>
                                  <w:pStyle w:val="ListParagraph"/>
                                  <w:numPr>
                                    <w:ilvl w:val="0"/>
                                    <w:numId w:val="2"/>
                                  </w:numPr>
                                  <w:spacing w:after="0"/>
                                  <w:ind w:left="284" w:hanging="284"/>
                                  <w:contextualSpacing w:val="0"/>
                                  <w:rPr>
                                    <w:sz w:val="20"/>
                                    <w:szCs w:val="20"/>
                                  </w:rPr>
                                </w:pPr>
                                <w:r w:rsidRPr="00EF1CB9">
                                  <w:rPr>
                                    <w:sz w:val="20"/>
                                    <w:szCs w:val="20"/>
                                  </w:rPr>
                                  <w:t>p-values (significance)</w:t>
                                </w:r>
                              </w:p>
                              <w:p w14:paraId="6318ECDA" w14:textId="33B92189" w:rsidR="00C8402C" w:rsidRPr="003A1749" w:rsidRDefault="00C8402C" w:rsidP="00026049">
                                <w:pPr>
                                  <w:pStyle w:val="ListParagraph"/>
                                  <w:numPr>
                                    <w:ilvl w:val="0"/>
                                    <w:numId w:val="2"/>
                                  </w:numPr>
                                  <w:spacing w:after="0"/>
                                  <w:ind w:left="284" w:hanging="284"/>
                                  <w:contextualSpacing w:val="0"/>
                                  <w:rPr>
                                    <w:sz w:val="20"/>
                                    <w:szCs w:val="20"/>
                                  </w:rPr>
                                </w:pPr>
                                <w:r w:rsidRPr="00EF1CB9">
                                  <w:rPr>
                                    <w:sz w:val="20"/>
                                    <w:szCs w:val="20"/>
                                  </w:rPr>
                                  <w:t>Factor loadings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5" o:spid="_x0000_s1084" type="#_x0000_t67" style="position:absolute;left:630278;top:1914633;width:315477;height:527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ngywwAA&#10;ANsAAAAPAAAAZHJzL2Rvd25yZXYueG1sRI9Pa8JAFMTvhX6H5RV6qxsDEY2uYgv9c1Xbg7dH9pkE&#10;s2/D7qtJv31XEDwOM/MbZrUZXacuFGLr2cB0koEirrxtuTbwfXh/mYOKgmyx80wG/ijCZv34sMLS&#10;+oF3dNlLrRKEY4kGGpG+1DpWDTmME98TJ+/kg0NJMtTaBhwS3HU6z7KZdthyWmiwp7eGqvP+1xl4&#10;PX7MfobToqiLkOdVkKPsPntjnp/G7RKU0Cj38K39ZQ0sCrh+ST9Ar/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JngywwAAANsAAAAPAAAAAAAAAAAAAAAAAJcCAABkcnMvZG93&#10;bnJldi54bWxQSwUGAAAAAAQABAD1AAAAhwMAAAAA&#10;" adj="15135" fillcolor="#5b9bd5 [3204]" strokecolor="#1f4d78 [1604]" strokeweight="1pt"/>
                      </v:group>
                    </v:group>
                    <v:shape id="Down Arrow 192" o:spid="_x0000_s1085" type="#_x0000_t67" style="position:absolute;left:594778;top:3467282;width:391886;height:524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o4XwgAA&#10;ANwAAAAPAAAAZHJzL2Rvd25yZXYueG1sRE/fa8IwEH4X9j+EG/imaQWHq8ZSBoOhMKYOtsezOduy&#10;5FKa2Nb/fhkMfLuP7+dt8tEa0VPnG8cK0nkCgrh0uuFKwefpdbYC4QOyRuOYFNzIQ759mGww027g&#10;A/XHUIkYwj5DBXUIbSalL2uy6OeuJY7cxXUWQ4RdJXWHQwy3Ri6S5ElabDg21NjSS03lz/FqFZj3&#10;xJ/NbplWHwX2+6/z8O2pUGr6OBZrEIHGcBf/u990nP+8gL9n4gV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WjhfCAAAA3AAAAA8AAAAAAAAAAAAAAAAAlwIAAGRycy9kb3du&#10;cmV2LnhtbFBLBQYAAAAABAAEAPUAAACGAwAAAAA=&#10;" adj="13526" fillcolor="#5b9bd5 [3204]" strokecolor="#1f4d78 [1604]" strokeweight="1pt"/>
                  </v:group>
                  <v:shape id="Down Arrow 193" o:spid="_x0000_s1086" type="#_x0000_t67" style="position:absolute;left:695034;top:5477973;width:293829;height:3379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VFbwgAA&#10;ANwAAAAPAAAAZHJzL2Rvd25yZXYueG1sRE9Na8JAEL0X+h+WEbzVjVWKja5SAlaRIq1t70N2TILZ&#10;2ZAdTfz3rlDobR7vcxar3tXqQm2oPBsYjxJQxLm3FRcGfr7XTzNQQZAt1p7JwJUCrJaPDwtMre/4&#10;iy4HKVQM4ZCigVKkSbUOeUkOw8g3xJE7+tahRNgW2rbYxXBX6+ckedEOK44NJTaUlZSfDmdnQK/9&#10;+3Ym+7HQ5ve86z4yN/3MjBkO+rc5KKFe/sV/7q2N818ncH8mXqC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5UVvCAAAA3AAAAA8AAAAAAAAAAAAAAAAAlwIAAGRycy9kb3du&#10;cmV2LnhtbFBLBQYAAAAABAAEAPUAAACGAwAAAAA=&#10;" adj="12210" fillcolor="#5b9bd5 [3204]" strokecolor="#1f4d78 [1604]" strokeweight="1pt"/>
                  <v:shape id="Down Arrow 194" o:spid="_x0000_s1087" type="#_x0000_t67" style="position:absolute;left:665941;top:6737010;width:314198;height:282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ZHl1wgAA&#10;ANwAAAAPAAAAZHJzL2Rvd25yZXYueG1sRE9Na8JAEL0L/odlhN7qbrQUm7oJIig9Vg2lxyE7TVKz&#10;szG7atpf7xYK3ubxPmeZD7YVF+p941hDMlUgiEtnGq40FIfN4wKED8gGW8ek4Yc85Nl4tMTUuCvv&#10;6LIPlYgh7FPUUIfQpVL6siaLfuo64sh9ud5iiLCvpOnxGsNtK2dKPUuLDceGGjta11Qe92er4beR&#10;pbLvH0F9zk/f26QtkjkXWj9MhtUriEBDuIv/3W8mzn95gr9n4gUy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keXXCAAAA3AAAAA8AAAAAAAAAAAAAAAAAlwIAAGRycy9kb3du&#10;cmV2LnhtbFBLBQYAAAAABAAEAPUAAACGAwAAAAA=&#10;" adj="10800" fillcolor="#5b9bd5 [3204]" strokecolor="#1f4d78 [1604]" strokeweight="1pt"/>
                  <v:shape id="Down Arrow 195" o:spid="_x0000_s1088" type="#_x0000_t67" style="position:absolute;left:657391;top:7906703;width:331479;height:2975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NzuwgAA&#10;ANwAAAAPAAAAZHJzL2Rvd25yZXYueG1sRE9Na8JAEL0L/odlhN7qbpQWm7oJIig9Vg2lxyE7TVKz&#10;szG7atpf7xYK3ubxPmeZD7YVF+p941hDMlUgiEtnGq40FIfN4wKED8gGW8ek4Yc85Nl4tMTUuCvv&#10;6LIPlYgh7FPUUIfQpVL6siaLfuo64sh9ud5iiLCvpOnxGsNtK2dKPUuLDceGGjta11Qe92er4beR&#10;pbLvH0F9zk/f26QtkjkXWj9MhtUriEBDuIv/3W8mzn95gr9n4gUy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o3O7CAAAA3AAAAA8AAAAAAAAAAAAAAAAAlwIAAGRycy9kb3du&#10;cmV2LnhtbFBLBQYAAAAABAAEAPUAAACGAwAAAAA=&#10;" adj="10800" fillcolor="#5b9bd5 [3204]" strokecolor="#1f4d78 [1604]" strokeweight="1pt"/>
                </v:group>
              </v:group>
            </w:pict>
          </mc:Fallback>
        </mc:AlternateContent>
      </w:r>
    </w:p>
    <w:p w14:paraId="63EA1CF7" w14:textId="16437557" w:rsidR="00AD32A0" w:rsidRPr="003726FE" w:rsidRDefault="00AD32A0" w:rsidP="00716A98"/>
    <w:p w14:paraId="1103E47A" w14:textId="00582EF1" w:rsidR="00EF1CB9" w:rsidRPr="003726FE" w:rsidRDefault="00EF1CB9" w:rsidP="00AD32A0"/>
    <w:p w14:paraId="17E49731" w14:textId="39EE500B" w:rsidR="00AD32A0" w:rsidRPr="003726FE" w:rsidRDefault="0019449A" w:rsidP="00AD32A0">
      <w:pPr>
        <w:rPr>
          <w:rFonts w:asciiTheme="majorHAnsi" w:eastAsiaTheme="majorEastAsia" w:hAnsiTheme="majorHAnsi" w:cstheme="majorBidi"/>
          <w:color w:val="2E74B5" w:themeColor="accent1" w:themeShade="BF"/>
          <w:sz w:val="26"/>
          <w:szCs w:val="26"/>
        </w:rPr>
      </w:pPr>
      <w:r w:rsidRPr="003726FE">
        <w:rPr>
          <w:noProof/>
          <w:lang w:eastAsia="en-GB"/>
        </w:rPr>
        <mc:AlternateContent>
          <mc:Choice Requires="wps">
            <w:drawing>
              <wp:anchor distT="0" distB="0" distL="114300" distR="114300" simplePos="0" relativeHeight="251881472" behindDoc="0" locked="0" layoutInCell="1" allowOverlap="1" wp14:anchorId="52BA1D0C" wp14:editId="2AC09F11">
                <wp:simplePos x="0" y="0"/>
                <wp:positionH relativeFrom="column">
                  <wp:posOffset>2924</wp:posOffset>
                </wp:positionH>
                <wp:positionV relativeFrom="paragraph">
                  <wp:posOffset>7422264</wp:posOffset>
                </wp:positionV>
                <wp:extent cx="5448300" cy="65278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5448300" cy="652780"/>
                        </a:xfrm>
                        <a:prstGeom prst="rect">
                          <a:avLst/>
                        </a:prstGeom>
                        <a:solidFill>
                          <a:prstClr val="white"/>
                        </a:solidFill>
                        <a:ln>
                          <a:noFill/>
                        </a:ln>
                        <a:effectLst/>
                      </wps:spPr>
                      <wps:txbx>
                        <w:txbxContent>
                          <w:p w14:paraId="6A532CD4" w14:textId="2C8ED774" w:rsidR="00C8402C" w:rsidRPr="003C7CC5" w:rsidRDefault="00C8402C" w:rsidP="004411FA">
                            <w:pPr>
                              <w:pStyle w:val="Caption"/>
                            </w:pPr>
                            <w:bookmarkStart w:id="198" w:name="_Toc500319539"/>
                            <w:r>
                              <w:t>Figure A3.</w:t>
                            </w:r>
                            <w:fldSimple w:instr=" SEQ Figure_A3. \* ARABIC ">
                              <w:r>
                                <w:rPr>
                                  <w:noProof/>
                                </w:rPr>
                                <w:t>3</w:t>
                              </w:r>
                            </w:fldSimple>
                            <w:r>
                              <w:t xml:space="preserve"> A process diagram of the sequential components, procedures, and products of the study.</w:t>
                            </w:r>
                            <w:r w:rsidRPr="00106C5D">
                              <w:rPr>
                                <w:color w:val="000000" w:themeColor="text1"/>
                                <w:shd w:val="clear" w:color="auto" w:fill="FFFFFF"/>
                              </w:rPr>
                              <w:t xml:space="preserve"> </w:t>
                            </w:r>
                            <w:r>
                              <w:rPr>
                                <w:color w:val="000000" w:themeColor="text1"/>
                                <w:shd w:val="clear" w:color="auto" w:fill="FFFFFF"/>
                              </w:rPr>
                              <w:t xml:space="preserve">Structure adapted </w:t>
                            </w:r>
                            <w:r w:rsidRPr="002452F5">
                              <w:rPr>
                                <w:color w:val="000000" w:themeColor="text1"/>
                                <w:shd w:val="clear" w:color="auto" w:fill="FFFFFF"/>
                              </w:rPr>
                              <w:t>from</w:t>
                            </w:r>
                            <w:r>
                              <w:rPr>
                                <w:color w:val="000000" w:themeColor="text1"/>
                                <w:shd w:val="clear" w:color="auto" w:fill="FFFFFF"/>
                              </w:rPr>
                              <w:t xml:space="preserve"> </w:t>
                            </w:r>
                            <w:hyperlink w:anchor="_ENREF_201" w:tooltip="Ivankova, 2006 #116" w:history="1">
                              <w:r>
                                <w:rPr>
                                  <w:color w:val="000000" w:themeColor="text1"/>
                                  <w:shd w:val="clear" w:color="auto" w:fill="FFFFFF"/>
                                </w:rPr>
                                <w:fldChar w:fldCharType="begin"/>
                              </w:r>
                              <w:r>
                                <w:rPr>
                                  <w:color w:val="000000" w:themeColor="text1"/>
                                  <w:shd w:val="clear" w:color="auto" w:fill="FFFFFF"/>
                                </w:rPr>
                                <w:instrText xml:space="preserve"> ADDIN EN.CITE &lt;EndNote&gt;&lt;Cite AuthorYear="1"&gt;&lt;Author&gt;Ivankova&lt;/Author&gt;&lt;Year&gt;2006&lt;/Year&gt;&lt;RecNum&gt;116&lt;/RecNum&gt;&lt;DisplayText&gt;Ivankova et al. (2006)&lt;/DisplayText&gt;&lt;record&gt;&lt;rec-number&gt;116&lt;/rec-number&gt;&lt;foreign-keys&gt;&lt;key app="EN" db-id="xa2r2ewea92trkef5dt5arvbzafvpv2za5ft" timestamp="1442161764"&gt;116&lt;/key&gt;&lt;/foreign-keys&gt;&lt;ref-type name="Journal Article"&gt;17&lt;/ref-type&gt;&lt;contributors&gt;&lt;authors&gt;&lt;author&gt;Ivankova, Nataliya V.&lt;/author&gt;&lt;author&gt;Creswell, John W.&lt;/author&gt;&lt;author&gt;Stick, Sheldon L.&lt;/author&gt;&lt;/authors&gt;&lt;/contributors&gt;&lt;titles&gt;&lt;title&gt;Using mixed-methods sequential explanatory design: From theory to practice&lt;/title&gt;&lt;secondary-title&gt;Field Methods&lt;/secondary-title&gt;&lt;/titles&gt;&lt;periodical&gt;&lt;full-title&gt;Field Methods&lt;/full-title&gt;&lt;/periodical&gt;&lt;pages&gt;3-20&lt;/pages&gt;&lt;volume&gt;18&lt;/volume&gt;&lt;number&gt;1&lt;/number&gt;&lt;dates&gt;&lt;year&gt;2006&lt;/year&gt;&lt;/dates&gt;&lt;publisher&gt;Sage Publications&lt;/publisher&gt;&lt;urls&gt;&lt;/urls&gt;&lt;/record&gt;&lt;/Cite&gt;&lt;/EndNote&gt;</w:instrText>
                              </w:r>
                              <w:r>
                                <w:rPr>
                                  <w:color w:val="000000" w:themeColor="text1"/>
                                  <w:shd w:val="clear" w:color="auto" w:fill="FFFFFF"/>
                                </w:rPr>
                                <w:fldChar w:fldCharType="separate"/>
                              </w:r>
                              <w:r>
                                <w:rPr>
                                  <w:noProof/>
                                  <w:color w:val="000000" w:themeColor="text1"/>
                                  <w:shd w:val="clear" w:color="auto" w:fill="FFFFFF"/>
                                </w:rPr>
                                <w:t>Ivankova et al. (2006)</w:t>
                              </w:r>
                              <w:r>
                                <w:rPr>
                                  <w:color w:val="000000" w:themeColor="text1"/>
                                  <w:shd w:val="clear" w:color="auto" w:fill="FFFFFF"/>
                                </w:rPr>
                                <w:fldChar w:fldCharType="end"/>
                              </w:r>
                            </w:hyperlink>
                            <w:r w:rsidRPr="002452F5">
                              <w:rPr>
                                <w:color w:val="000000" w:themeColor="text1"/>
                                <w:shd w:val="clear" w:color="auto" w:fill="FFFFFF"/>
                              </w:rPr>
                              <w:t>.</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BA1D0C" id="Text Box 447" o:spid="_x0000_s1089" type="#_x0000_t202" style="position:absolute;margin-left:.25pt;margin-top:584.45pt;width:429pt;height:51.4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" stroked="f">
                <v:textbox style="mso-fit-shape-to-text:t" inset="0,0,0,0">
                  <w:txbxContent>
                    <w:p w14:paraId="6A532CD4" w14:textId="2C8ED774" w:rsidR="00C8402C" w:rsidRPr="003C7CC5" w:rsidRDefault="00C8402C" w:rsidP="004411FA">
                      <w:pPr>
                        <w:pStyle w:val="Caption"/>
                      </w:pPr>
                      <w:bookmarkStart w:id="199" w:name="_Toc500319539"/>
                      <w:r>
                        <w:t>Figure A3.</w:t>
                      </w:r>
                      <w:fldSimple w:instr=" SEQ Figure_A3. \* ARABIC ">
                        <w:r>
                          <w:rPr>
                            <w:noProof/>
                          </w:rPr>
                          <w:t>3</w:t>
                        </w:r>
                      </w:fldSimple>
                      <w:r>
                        <w:t xml:space="preserve"> A process diagram of the sequential components, procedures, and products of the study.</w:t>
                      </w:r>
                      <w:r w:rsidRPr="00106C5D">
                        <w:rPr>
                          <w:color w:val="000000" w:themeColor="text1"/>
                          <w:shd w:val="clear" w:color="auto" w:fill="FFFFFF"/>
                        </w:rPr>
                        <w:t xml:space="preserve"> </w:t>
                      </w:r>
                      <w:r>
                        <w:rPr>
                          <w:color w:val="000000" w:themeColor="text1"/>
                          <w:shd w:val="clear" w:color="auto" w:fill="FFFFFF"/>
                        </w:rPr>
                        <w:t xml:space="preserve">Structure adapted </w:t>
                      </w:r>
                      <w:r w:rsidRPr="002452F5">
                        <w:rPr>
                          <w:color w:val="000000" w:themeColor="text1"/>
                          <w:shd w:val="clear" w:color="auto" w:fill="FFFFFF"/>
                        </w:rPr>
                        <w:t>from</w:t>
                      </w:r>
                      <w:r>
                        <w:rPr>
                          <w:color w:val="000000" w:themeColor="text1"/>
                          <w:shd w:val="clear" w:color="auto" w:fill="FFFFFF"/>
                        </w:rPr>
                        <w:t xml:space="preserve"> </w:t>
                      </w:r>
                      <w:hyperlink w:anchor="_ENREF_201" w:tooltip="Ivankova, 2006 #116" w:history="1">
                        <w:r>
                          <w:rPr>
                            <w:color w:val="000000" w:themeColor="text1"/>
                            <w:shd w:val="clear" w:color="auto" w:fill="FFFFFF"/>
                          </w:rPr>
                          <w:fldChar w:fldCharType="begin"/>
                        </w:r>
                        <w:r>
                          <w:rPr>
                            <w:color w:val="000000" w:themeColor="text1"/>
                            <w:shd w:val="clear" w:color="auto" w:fill="FFFFFF"/>
                          </w:rPr>
                          <w:instrText xml:space="preserve"> ADDIN EN.CITE &lt;EndNote&gt;&lt;Cite AuthorYear="1"&gt;&lt;Author&gt;Ivankova&lt;/Author&gt;&lt;Year&gt;2006&lt;/Year&gt;&lt;RecNum&gt;116&lt;/RecNum&gt;&lt;DisplayText&gt;Ivankova et al. (2006)&lt;/DisplayText&gt;&lt;record&gt;&lt;rec-number&gt;116&lt;/rec-number&gt;&lt;foreign-keys&gt;&lt;key app="EN" db-id="xa2r2ewea92trkef5dt5arvbzafvpv2za5ft" timestamp="1442161764"&gt;116&lt;/key&gt;&lt;/foreign-keys&gt;&lt;ref-type name="Journal Article"&gt;17&lt;/ref-type&gt;&lt;contributors&gt;&lt;authors&gt;&lt;author&gt;Ivankova, Nataliya V.&lt;/author&gt;&lt;author&gt;Creswell, John W.&lt;/author&gt;&lt;author&gt;Stick, Sheldon L.&lt;/author&gt;&lt;/authors&gt;&lt;/contributors&gt;&lt;titles&gt;&lt;title&gt;Using mixed-methods sequential explanatory design: From theory to practice&lt;/title&gt;&lt;secondary-title&gt;Field Methods&lt;/secondary-title&gt;&lt;/titles&gt;&lt;periodical&gt;&lt;full-title&gt;Field Methods&lt;/full-title&gt;&lt;/periodical&gt;&lt;pages&gt;3-20&lt;/pages&gt;&lt;volume&gt;18&lt;/volume&gt;&lt;number&gt;1&lt;/number&gt;&lt;dates&gt;&lt;year&gt;2006&lt;/year&gt;&lt;/dates&gt;&lt;publisher&gt;Sage Publications&lt;/publisher&gt;&lt;urls&gt;&lt;/urls&gt;&lt;/record&gt;&lt;/Cite&gt;&lt;/EndNote&gt;</w:instrText>
                        </w:r>
                        <w:r>
                          <w:rPr>
                            <w:color w:val="000000" w:themeColor="text1"/>
                            <w:shd w:val="clear" w:color="auto" w:fill="FFFFFF"/>
                          </w:rPr>
                          <w:fldChar w:fldCharType="separate"/>
                        </w:r>
                        <w:r>
                          <w:rPr>
                            <w:noProof/>
                            <w:color w:val="000000" w:themeColor="text1"/>
                            <w:shd w:val="clear" w:color="auto" w:fill="FFFFFF"/>
                          </w:rPr>
                          <w:t>Ivankova et al. (2006)</w:t>
                        </w:r>
                        <w:r>
                          <w:rPr>
                            <w:color w:val="000000" w:themeColor="text1"/>
                            <w:shd w:val="clear" w:color="auto" w:fill="FFFFFF"/>
                          </w:rPr>
                          <w:fldChar w:fldCharType="end"/>
                        </w:r>
                      </w:hyperlink>
                      <w:r w:rsidRPr="002452F5">
                        <w:rPr>
                          <w:color w:val="000000" w:themeColor="text1"/>
                          <w:shd w:val="clear" w:color="auto" w:fill="FFFFFF"/>
                        </w:rPr>
                        <w:t>.</w:t>
                      </w:r>
                      <w:bookmarkEnd w:id="199"/>
                    </w:p>
                  </w:txbxContent>
                </v:textbox>
              </v:shape>
            </w:pict>
          </mc:Fallback>
        </mc:AlternateContent>
      </w:r>
      <w:r w:rsidR="00EF1CB9" w:rsidRPr="003726FE">
        <w:rPr>
          <w:noProof/>
          <w:lang w:eastAsia="en-GB"/>
        </w:rPr>
        <mc:AlternateContent>
          <mc:Choice Requires="wps">
            <w:drawing>
              <wp:anchor distT="0" distB="0" distL="114300" distR="114300" simplePos="0" relativeHeight="251634688" behindDoc="0" locked="0" layoutInCell="1" allowOverlap="1" wp14:anchorId="08ADFE86" wp14:editId="7D227C55">
                <wp:simplePos x="0" y="0"/>
                <wp:positionH relativeFrom="column">
                  <wp:posOffset>0</wp:posOffset>
                </wp:positionH>
                <wp:positionV relativeFrom="paragraph">
                  <wp:posOffset>9798685</wp:posOffset>
                </wp:positionV>
                <wp:extent cx="5356824" cy="50033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24" cy="500332"/>
                        </a:xfrm>
                        <a:prstGeom prst="rect">
                          <a:avLst/>
                        </a:prstGeom>
                        <a:noFill/>
                        <a:ln w="9525">
                          <a:noFill/>
                          <a:miter lim="800000"/>
                          <a:headEnd/>
                          <a:tailEnd/>
                        </a:ln>
                      </wps:spPr>
                      <wps:txbx>
                        <w:txbxContent>
                          <w:p w14:paraId="68532920" w14:textId="1A5623EF" w:rsidR="00C8402C" w:rsidRDefault="00C8402C" w:rsidP="00EF1CB9">
                            <w:r w:rsidRPr="00AE17C9">
                              <w:rPr>
                                <w:b/>
                                <w:highlight w:val="yellow"/>
                              </w:rPr>
                              <w:t>Figure</w:t>
                            </w:r>
                            <w:r w:rsidRPr="00932EE3">
                              <w:rPr>
                                <w:b/>
                              </w:rPr>
                              <w:t xml:space="preserve"> 10.</w:t>
                            </w:r>
                            <w:r>
                              <w:t xml:space="preserve"> A process diagram of the sequential components and corresponding procedures and products of the present study.</w:t>
                            </w:r>
                            <w:r w:rsidRPr="00106C5D">
                              <w:rPr>
                                <w:color w:val="000000" w:themeColor="text1"/>
                                <w:shd w:val="clear" w:color="auto" w:fill="FFFFFF"/>
                              </w:rPr>
                              <w:t xml:space="preserve"> </w:t>
                            </w:r>
                            <w:r>
                              <w:rPr>
                                <w:color w:val="000000" w:themeColor="text1"/>
                                <w:shd w:val="clear" w:color="auto" w:fill="FFFFFF"/>
                              </w:rPr>
                              <w:t xml:space="preserve">Structure adapted </w:t>
                            </w:r>
                            <w:r w:rsidRPr="002452F5">
                              <w:rPr>
                                <w:color w:val="000000" w:themeColor="text1"/>
                                <w:shd w:val="clear" w:color="auto" w:fill="FFFFFF"/>
                              </w:rPr>
                              <w:t>from Ivankova et al.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DFE86" id="_x0000_s1090" type="#_x0000_t202" style="position:absolute;margin-left:0;margin-top:771.55pt;width:421.8pt;height:39.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" filled="f" stroked="f">
                <v:textbox>
                  <w:txbxContent>
                    <w:p w14:paraId="68532920" w14:textId="1A5623EF" w:rsidR="00C8402C" w:rsidRDefault="00C8402C" w:rsidP="00EF1CB9">
                      <w:r w:rsidRPr="00AE17C9">
                        <w:rPr>
                          <w:b/>
                          <w:highlight w:val="yellow"/>
                        </w:rPr>
                        <w:t>Figure</w:t>
                      </w:r>
                      <w:r w:rsidRPr="00932EE3">
                        <w:rPr>
                          <w:b/>
                        </w:rPr>
                        <w:t xml:space="preserve"> 10.</w:t>
                      </w:r>
                      <w:r>
                        <w:t xml:space="preserve"> A process diagram of the sequential components and corresponding procedures and products of the present study.</w:t>
                      </w:r>
                      <w:r w:rsidRPr="00106C5D">
                        <w:rPr>
                          <w:color w:val="000000" w:themeColor="text1"/>
                          <w:shd w:val="clear" w:color="auto" w:fill="FFFFFF"/>
                        </w:rPr>
                        <w:t xml:space="preserve"> </w:t>
                      </w:r>
                      <w:r>
                        <w:rPr>
                          <w:color w:val="000000" w:themeColor="text1"/>
                          <w:shd w:val="clear" w:color="auto" w:fill="FFFFFF"/>
                        </w:rPr>
                        <w:t xml:space="preserve">Structure adapted </w:t>
                      </w:r>
                      <w:r w:rsidRPr="002452F5">
                        <w:rPr>
                          <w:color w:val="000000" w:themeColor="text1"/>
                          <w:shd w:val="clear" w:color="auto" w:fill="FFFFFF"/>
                        </w:rPr>
                        <w:t xml:space="preserve">from </w:t>
                      </w:r>
                      <w:proofErr w:type="spellStart"/>
                      <w:r w:rsidRPr="002452F5">
                        <w:rPr>
                          <w:color w:val="000000" w:themeColor="text1"/>
                          <w:shd w:val="clear" w:color="auto" w:fill="FFFFFF"/>
                        </w:rPr>
                        <w:t>Ivankova</w:t>
                      </w:r>
                      <w:proofErr w:type="spellEnd"/>
                      <w:r w:rsidRPr="002452F5">
                        <w:rPr>
                          <w:color w:val="000000" w:themeColor="text1"/>
                          <w:shd w:val="clear" w:color="auto" w:fill="FFFFFF"/>
                        </w:rPr>
                        <w:t xml:space="preserve"> et al. (2006).</w:t>
                      </w:r>
                    </w:p>
                  </w:txbxContent>
                </v:textbox>
              </v:shape>
            </w:pict>
          </mc:Fallback>
        </mc:AlternateContent>
      </w:r>
      <w:r w:rsidR="00AD32A0" w:rsidRPr="003726FE">
        <w:br w:type="page"/>
      </w:r>
    </w:p>
    <w:p w14:paraId="1B38F4FC" w14:textId="0A2D5432" w:rsidR="00EA4B94" w:rsidRPr="003726FE" w:rsidRDefault="00822E3B" w:rsidP="00B1638D">
      <w:pPr>
        <w:pStyle w:val="Heading2"/>
        <w:rPr>
          <w:lang w:val="en-GB"/>
        </w:rPr>
      </w:pPr>
      <w:bookmarkStart w:id="200" w:name="_Toc500319345"/>
      <w:r w:rsidRPr="003726FE">
        <w:rPr>
          <w:lang w:val="en-GB"/>
        </w:rPr>
        <w:lastRenderedPageBreak/>
        <w:t>A3</w:t>
      </w:r>
      <w:r w:rsidR="00E53628" w:rsidRPr="003726FE">
        <w:rPr>
          <w:lang w:val="en-GB"/>
        </w:rPr>
        <w:t>.2</w:t>
      </w:r>
      <w:r w:rsidR="00F176D2" w:rsidRPr="003726FE">
        <w:rPr>
          <w:lang w:val="en-GB"/>
        </w:rPr>
        <w:t xml:space="preserve"> </w:t>
      </w:r>
      <w:r w:rsidR="00B07B0C" w:rsidRPr="003726FE">
        <w:rPr>
          <w:lang w:val="en-GB"/>
        </w:rPr>
        <w:t xml:space="preserve">Philosophical </w:t>
      </w:r>
      <w:r w:rsidR="00F176D2" w:rsidRPr="003726FE">
        <w:rPr>
          <w:lang w:val="en-GB"/>
        </w:rPr>
        <w:t>Framework</w:t>
      </w:r>
      <w:r w:rsidR="008B155E" w:rsidRPr="003726FE">
        <w:rPr>
          <w:lang w:val="en-GB"/>
        </w:rPr>
        <w:t xml:space="preserve"> - </w:t>
      </w:r>
      <w:r w:rsidR="00F176D2" w:rsidRPr="003726FE">
        <w:rPr>
          <w:lang w:val="en-GB"/>
        </w:rPr>
        <w:t>the</w:t>
      </w:r>
      <w:r w:rsidR="00EA4B94" w:rsidRPr="003726FE">
        <w:rPr>
          <w:lang w:val="en-GB"/>
        </w:rPr>
        <w:t xml:space="preserve"> </w:t>
      </w:r>
      <w:r w:rsidR="00F176D2" w:rsidRPr="003726FE">
        <w:rPr>
          <w:lang w:val="en-GB"/>
        </w:rPr>
        <w:t>Pragmatic Paradigm</w:t>
      </w:r>
      <w:bookmarkEnd w:id="200"/>
    </w:p>
    <w:p w14:paraId="067D18FE" w14:textId="77777777" w:rsidR="00DD1B8F" w:rsidRPr="003726FE" w:rsidRDefault="00DD1B8F" w:rsidP="00026049">
      <w:pPr>
        <w:pStyle w:val="Normal1"/>
        <w:rPr>
          <w:shd w:val="clear" w:color="auto" w:fill="FFFFFF"/>
          <w:lang w:val="en-GB"/>
        </w:rPr>
      </w:pPr>
    </w:p>
    <w:p w14:paraId="08348E56" w14:textId="07D0A667" w:rsidR="00DD1B8F" w:rsidRPr="003726FE" w:rsidRDefault="000B4460" w:rsidP="00026049">
      <w:pPr>
        <w:pStyle w:val="Normal1"/>
        <w:rPr>
          <w:lang w:val="en-GB"/>
        </w:rPr>
      </w:pPr>
      <w:r w:rsidRPr="003726FE">
        <w:rPr>
          <w:shd w:val="clear" w:color="auto" w:fill="FFFFFF"/>
          <w:lang w:val="en-GB"/>
        </w:rPr>
        <w:t xml:space="preserve">It is important to outline the </w:t>
      </w:r>
      <w:r w:rsidR="00DD1B8F" w:rsidRPr="003726FE">
        <w:rPr>
          <w:shd w:val="clear" w:color="auto" w:fill="FFFFFF"/>
          <w:lang w:val="en-GB"/>
        </w:rPr>
        <w:t>philosophical base</w:t>
      </w:r>
      <w:r w:rsidRPr="003726FE">
        <w:rPr>
          <w:shd w:val="clear" w:color="auto" w:fill="FFFFFF"/>
          <w:lang w:val="en-GB"/>
        </w:rPr>
        <w:t xml:space="preserve"> adopted</w:t>
      </w:r>
      <w:r w:rsidR="00DD1B8F" w:rsidRPr="003726FE">
        <w:rPr>
          <w:shd w:val="clear" w:color="auto" w:fill="FFFFFF"/>
          <w:lang w:val="en-GB"/>
        </w:rPr>
        <w:t xml:space="preserve"> </w:t>
      </w:r>
      <w:r w:rsidR="00D802DA">
        <w:rPr>
          <w:shd w:val="clear" w:color="auto" w:fill="FFFFFF"/>
          <w:lang w:val="en-GB"/>
        </w:rPr>
        <w:t>that</w:t>
      </w:r>
      <w:r w:rsidRPr="003726FE">
        <w:rPr>
          <w:shd w:val="clear" w:color="auto" w:fill="FFFFFF"/>
          <w:lang w:val="en-GB"/>
        </w:rPr>
        <w:t xml:space="preserve"> inform</w:t>
      </w:r>
      <w:r w:rsidR="000D373C">
        <w:rPr>
          <w:shd w:val="clear" w:color="auto" w:fill="FFFFFF"/>
          <w:lang w:val="en-GB"/>
        </w:rPr>
        <w:t>ed</w:t>
      </w:r>
      <w:r w:rsidR="00DD1B8F" w:rsidRPr="003726FE">
        <w:rPr>
          <w:shd w:val="clear" w:color="auto" w:fill="FFFFFF"/>
          <w:lang w:val="en-GB"/>
        </w:rPr>
        <w:t xml:space="preserve"> the mixed methods approach</w:t>
      </w:r>
      <w:r w:rsidRPr="003726FE">
        <w:rPr>
          <w:shd w:val="clear" w:color="auto" w:fill="FFFFFF"/>
          <w:lang w:val="en-GB"/>
        </w:rPr>
        <w:t xml:space="preserve"> used in this study.</w:t>
      </w:r>
      <w:r w:rsidR="00DD1B8F" w:rsidRPr="003726FE">
        <w:rPr>
          <w:shd w:val="clear" w:color="auto" w:fill="FFFFFF"/>
          <w:lang w:val="en-GB"/>
        </w:rPr>
        <w:t xml:space="preserve"> </w:t>
      </w:r>
      <w:r w:rsidRPr="003726FE">
        <w:rPr>
          <w:shd w:val="clear" w:color="auto" w:fill="FFFFFF"/>
          <w:lang w:val="en-GB"/>
        </w:rPr>
        <w:t>T</w:t>
      </w:r>
      <w:r w:rsidR="00DD1B8F" w:rsidRPr="003726FE">
        <w:rPr>
          <w:shd w:val="clear" w:color="auto" w:fill="FFFFFF"/>
          <w:lang w:val="en-GB"/>
        </w:rPr>
        <w:t xml:space="preserve">his has been deemed essential by authors in the field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&lt;EndNote&gt;&lt;Cite&gt;&lt;Author&gt;Teddlie&lt;/Author&gt;&lt;Year&gt;2012&lt;/Year&gt;&lt;RecNum&gt;564&lt;/RecNum&gt;&lt;DisplayText&gt;(Teddlie and Tashakkori 2012)&lt;/DisplayText&gt;&lt;record&gt;&lt;rec-number&gt;564&lt;/rec-number&gt;&lt;foreign-keys&gt;&lt;key app="EN" db-id="xa2r2ewea92trkef5dt5arvbzafvpv2za5ft" timestamp="1496417554"&gt;564&lt;/key&gt;&lt;/foreign-keys&gt;&lt;ref-type name="Journal Article"&gt;17&lt;/ref-type&gt;&lt;contributors&gt;&lt;authors&gt;&lt;author&gt;Teddlie, Charles&lt;/author&gt;&lt;author&gt;Tashakkori, Abbas&lt;/author&gt;&lt;/authors&gt;&lt;/contributors&gt;&lt;titles&gt;&lt;title&gt;Common “core” characteristics of mixed methods research: A review of critical issues and call for greater convergence&lt;/title&gt;&lt;secondary-title&gt;American Behavioral Scientist&lt;/secondary-title&gt;&lt;/titles&gt;&lt;periodical&gt;&lt;full-title&gt;American Behavioral Scientist&lt;/full-title&gt;&lt;/periodical&gt;&lt;pages&gt;774-788&lt;/pages&gt;&lt;volume&gt;56&lt;/volume&gt;&lt;number&gt;6&lt;/number&gt;&lt;dates&gt;&lt;year&gt;2012&lt;/year&gt;&lt;/dates&gt;&lt;isbn&gt;0002-7642&lt;/isbn&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00" w:tooltip="Teddlie, 2012 #564" w:history="1">
        <w:r w:rsidR="0094469E" w:rsidRPr="003726FE">
          <w:rPr>
            <w:noProof/>
            <w:shd w:val="clear" w:color="auto" w:fill="FFFFFF"/>
            <w:lang w:val="en-GB"/>
          </w:rPr>
          <w:t>Teddlie and Tashakkori 2012</w:t>
        </w:r>
      </w:hyperlink>
      <w:r w:rsidR="004E5A78" w:rsidRPr="003726FE">
        <w:rPr>
          <w:noProof/>
          <w:shd w:val="clear" w:color="auto" w:fill="FFFFFF"/>
          <w:lang w:val="en-GB"/>
        </w:rPr>
        <w:t>)</w:t>
      </w:r>
      <w:r w:rsidR="00EF281A" w:rsidRPr="003726FE">
        <w:rPr>
          <w:shd w:val="clear" w:color="auto" w:fill="FFFFFF"/>
          <w:lang w:val="en-GB"/>
        </w:rPr>
        <w:fldChar w:fldCharType="end"/>
      </w:r>
      <w:r w:rsidR="008B155E" w:rsidRPr="003726FE">
        <w:rPr>
          <w:shd w:val="clear" w:color="auto" w:fill="FFFFFF"/>
          <w:lang w:val="en-GB"/>
        </w:rPr>
        <w:t xml:space="preserve"> </w:t>
      </w:r>
      <w:r w:rsidR="00DD1B8F" w:rsidRPr="003726FE">
        <w:rPr>
          <w:shd w:val="clear" w:color="auto" w:fill="FFFFFF"/>
          <w:lang w:val="en-GB"/>
        </w:rPr>
        <w:t xml:space="preserve">but rarely occurs in this type of research </w:t>
      </w:r>
      <w:r w:rsidR="008B155E" w:rsidRPr="003726FE">
        <w:rPr>
          <w:shd w:val="clear" w:color="auto" w:fill="FFFFFF"/>
          <w:lang w:val="en-GB"/>
        </w:rPr>
        <w:fldChar w:fldCharType="begin"/>
      </w:r>
      <w:r w:rsidR="008B61BE">
        <w:rPr>
          <w:shd w:val="clear" w:color="auto" w:fill="FFFFFF"/>
          <w:lang w:val="en-GB"/>
        </w:rPr>
        <w:instrText xml:space="preserve"> ADDIN EN.CITE &lt;EndNote&gt;&lt;Cite&gt;&lt;Author&gt;Bryman&lt;/Author&gt;&lt;Year&gt;2006&lt;/Year&gt;&lt;RecNum&gt;565&lt;/RecNum&gt;&lt;DisplayText&gt;(Bryman 2006a, 2006b)&lt;/DisplayText&gt;&lt;record&gt;&lt;rec-number&gt;565&lt;/rec-number&gt;&lt;foreign-keys&gt;&lt;key app="EN" db-id="xa2r2ewea92trkef5dt5arvbzafvpv2za5ft" timestamp="1496417554"&gt;565&lt;/key&gt;&lt;/foreign-keys&gt;&lt;ref-type name="Journal Article"&gt;17&lt;/ref-type&gt;&lt;contributors&gt;&lt;authors&gt;&lt;author&gt;Bryman, Alan&lt;/author&gt;&lt;/authors&gt;&lt;/contributors&gt;&lt;titles&gt;&lt;title&gt;Integrating quantitative and qualitative research: how is it done?&lt;/title&gt;&lt;secondary-title&gt;Qualitative research&lt;/secondary-title&gt;&lt;/titles&gt;&lt;periodical&gt;&lt;full-title&gt;Qualitative Research&lt;/full-title&gt;&lt;/periodical&gt;&lt;pages&gt;97-113&lt;/pages&gt;&lt;volume&gt;6&lt;/volume&gt;&lt;number&gt;1&lt;/number&gt;&lt;dates&gt;&lt;year&gt;2006&lt;/year&gt;&lt;/dates&gt;&lt;isbn&gt;1468-7941&lt;/isbn&gt;&lt;urls&gt;&lt;/urls&gt;&lt;/record&gt;&lt;/Cite&gt;&lt;Cite&gt;&lt;Author&gt;Bryman&lt;/Author&gt;&lt;Year&gt;2006&lt;/Year&gt;&lt;RecNum&gt;566&lt;/RecNum&gt;&lt;record&gt;&lt;rec-number&gt;566&lt;/rec-number&gt;&lt;foreign-keys&gt;&lt;key app="EN" db-id="xa2r2ewea92trkef5dt5arvbzafvpv2za5ft" timestamp="1496417555"&gt;566&lt;/key&gt;&lt;/foreign-keys&gt;&lt;ref-type name="Journal Article"&gt;17&lt;/ref-type&gt;&lt;contributors&gt;&lt;authors&gt;&lt;author&gt;Bryman, Alan&lt;/author&gt;&lt;/authors&gt;&lt;/contributors&gt;&lt;titles&gt;&lt;title&gt;Paradigm peace and the implications for quality&lt;/title&gt;&lt;secondary-title&gt;International Journal of Social Research Methodology&lt;/secondary-title&gt;&lt;/titles&gt;&lt;periodical&gt;&lt;full-title&gt;International Journal of Social Research Methodology&lt;/full-title&gt;&lt;/periodical&gt;&lt;pages&gt;111-126&lt;/pages&gt;&lt;volume&gt;9&lt;/volume&gt;&lt;number&gt;2&lt;/number&gt;&lt;dates&gt;&lt;year&gt;2006&lt;/year&gt;&lt;/dates&gt;&lt;isbn&gt;1364-5579&lt;/isbn&gt;&lt;urls&gt;&lt;/urls&gt;&lt;/record&gt;&lt;/Cite&gt;&lt;/EndNote&gt;</w:instrText>
      </w:r>
      <w:r w:rsidR="008B155E" w:rsidRPr="003726FE">
        <w:rPr>
          <w:shd w:val="clear" w:color="auto" w:fill="FFFFFF"/>
          <w:lang w:val="en-GB"/>
        </w:rPr>
        <w:fldChar w:fldCharType="separate"/>
      </w:r>
      <w:r w:rsidR="004E5A78" w:rsidRPr="003726FE">
        <w:rPr>
          <w:noProof/>
          <w:shd w:val="clear" w:color="auto" w:fill="FFFFFF"/>
          <w:lang w:val="en-GB"/>
        </w:rPr>
        <w:t>(</w:t>
      </w:r>
      <w:hyperlink w:anchor="_ENREF_58" w:tooltip="Bryman, 2006 #565" w:history="1">
        <w:r w:rsidR="0094469E" w:rsidRPr="003726FE">
          <w:rPr>
            <w:noProof/>
            <w:shd w:val="clear" w:color="auto" w:fill="FFFFFF"/>
            <w:lang w:val="en-GB"/>
          </w:rPr>
          <w:t>Bryman 2006a</w:t>
        </w:r>
      </w:hyperlink>
      <w:r w:rsidR="004E5A78" w:rsidRPr="003726FE">
        <w:rPr>
          <w:noProof/>
          <w:shd w:val="clear" w:color="auto" w:fill="FFFFFF"/>
          <w:lang w:val="en-GB"/>
        </w:rPr>
        <w:t xml:space="preserve">, </w:t>
      </w:r>
      <w:hyperlink w:anchor="_ENREF_59" w:tooltip="Bryman, 2006 #566" w:history="1">
        <w:r w:rsidR="0094469E" w:rsidRPr="003726FE">
          <w:rPr>
            <w:noProof/>
            <w:shd w:val="clear" w:color="auto" w:fill="FFFFFF"/>
            <w:lang w:val="en-GB"/>
          </w:rPr>
          <w:t>2006b</w:t>
        </w:r>
      </w:hyperlink>
      <w:r w:rsidR="004E5A78" w:rsidRPr="003726FE">
        <w:rPr>
          <w:noProof/>
          <w:shd w:val="clear" w:color="auto" w:fill="FFFFFF"/>
          <w:lang w:val="en-GB"/>
        </w:rPr>
        <w:t>)</w:t>
      </w:r>
      <w:r w:rsidR="008B155E" w:rsidRPr="003726FE">
        <w:rPr>
          <w:shd w:val="clear" w:color="auto" w:fill="FFFFFF"/>
          <w:lang w:val="en-GB"/>
        </w:rPr>
        <w:fldChar w:fldCharType="end"/>
      </w:r>
      <w:r w:rsidRPr="003726FE">
        <w:rPr>
          <w:shd w:val="clear" w:color="auto" w:fill="FFFFFF"/>
          <w:lang w:val="en-GB"/>
        </w:rPr>
        <w:t xml:space="preserve"> despite recommendations for</w:t>
      </w:r>
      <w:r w:rsidR="00DD1B8F" w:rsidRPr="003726FE">
        <w:rPr>
          <w:shd w:val="clear" w:color="auto" w:fill="FFFFFF"/>
          <w:lang w:val="en-GB"/>
        </w:rPr>
        <w:t xml:space="preserve"> philosophical reflection by </w:t>
      </w:r>
      <w:hyperlink w:anchor="_ENREF_244" w:tooltip="Lincoln, 2011 #567"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AuthorYear="1"&gt;&lt;Author&gt;Lincoln&lt;/Author&gt;&lt;Year&gt;2011&lt;/Year&gt;&lt;RecNum&gt;567&lt;/RecNum&gt;&lt;DisplayText&gt;Lincoln et al. (2011)&lt;/DisplayText&gt;&lt;record&gt;&lt;rec-number&gt;567&lt;/rec-number&gt;&lt;foreign-keys&gt;&lt;key app="EN" db-id="xa2r2ewea92trkef5dt5arvbzafvpv2za5ft" timestamp="1496417555"&gt;567&lt;/key&gt;&lt;/foreign-keys&gt;&lt;ref-type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Lincoln et al. (2011)</w:t>
        </w:r>
        <w:r w:rsidR="0094469E" w:rsidRPr="003726FE">
          <w:rPr>
            <w:shd w:val="clear" w:color="auto" w:fill="FFFFFF"/>
            <w:lang w:val="en-GB"/>
          </w:rPr>
          <w:fldChar w:fldCharType="end"/>
        </w:r>
      </w:hyperlink>
      <w:r w:rsidR="00DD1B8F" w:rsidRPr="003726FE">
        <w:rPr>
          <w:shd w:val="clear" w:color="auto" w:fill="FFFFFF"/>
          <w:lang w:val="en-GB"/>
        </w:rPr>
        <w:t>.</w:t>
      </w:r>
      <w:r w:rsidR="00DD1B8F" w:rsidRPr="003726FE">
        <w:rPr>
          <w:lang w:val="en-GB"/>
        </w:rPr>
        <w:t xml:space="preserve"> “Paradigm issues are crucial; no inquirer, we maintain, ought to go about the business of inquiry without being clear about just what paradigm informs and guides his or her approach” </w:t>
      </w:r>
      <w:r w:rsidR="00EF281A" w:rsidRPr="003726FE">
        <w:rPr>
          <w:lang w:val="en-GB"/>
        </w:rPr>
        <w:fldChar w:fldCharType="begin"/>
      </w:r>
      <w:r w:rsidR="008B61BE">
        <w:rPr>
          <w:lang w:val="en-GB"/>
        </w:rPr>
        <w:instrText xml:space="preserve"> ADDIN EN.CITE &lt;EndNote&gt;&lt;Cite&gt;&lt;Author&gt;Guba&lt;/Author&gt;&lt;Year&gt;1994&lt;/Year&gt;&lt;RecNum&gt;100&lt;/RecNum&gt;&lt;Pages&gt;116&lt;/Pages&gt;&lt;DisplayText&gt;(Guba and Lincoln 1994, p. 116)&lt;/DisplayText&gt;&lt;record&gt;&lt;rec-number&gt;100&lt;/rec-number&gt;&lt;foreign-keys&gt;&lt;key app="EN" db-id="xa2r2ewea92trkef5dt5arvbzafvpv2za5ft" timestamp="1442161764"&gt;100&lt;/key&gt;&lt;/foreign-keys&gt;&lt;ref-type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research&lt;/full-title&gt;&lt;/periodical&gt;&lt;volume&gt;2&lt;/volume&gt;&lt;number&gt;163-194&lt;/number&gt;&lt;dates&gt;&lt;year&gt;1994&lt;/year&gt;&lt;/dates&gt;&lt;urls&gt;&lt;/urls&gt;&lt;/record&gt;&lt;/Cite&gt;&lt;/EndNote&gt;</w:instrText>
      </w:r>
      <w:r w:rsidR="00EF281A" w:rsidRPr="003726FE">
        <w:rPr>
          <w:lang w:val="en-GB"/>
        </w:rPr>
        <w:fldChar w:fldCharType="separate"/>
      </w:r>
      <w:r w:rsidR="004E5A78" w:rsidRPr="003726FE">
        <w:rPr>
          <w:noProof/>
          <w:lang w:val="en-GB"/>
        </w:rPr>
        <w:t>(</w:t>
      </w:r>
      <w:hyperlink w:anchor="_ENREF_174" w:tooltip="Guba, 1994 #100" w:history="1">
        <w:r w:rsidR="0094469E" w:rsidRPr="003726FE">
          <w:rPr>
            <w:noProof/>
            <w:lang w:val="en-GB"/>
          </w:rPr>
          <w:t>Guba and Lincoln 1994, p. 116</w:t>
        </w:r>
      </w:hyperlink>
      <w:r w:rsidR="004E5A78" w:rsidRPr="003726FE">
        <w:rPr>
          <w:noProof/>
          <w:lang w:val="en-GB"/>
        </w:rPr>
        <w:t>)</w:t>
      </w:r>
      <w:r w:rsidR="00EF281A" w:rsidRPr="003726FE">
        <w:rPr>
          <w:lang w:val="en-GB"/>
        </w:rPr>
        <w:fldChar w:fldCharType="end"/>
      </w:r>
      <w:r w:rsidR="006632A0" w:rsidRPr="003726FE">
        <w:rPr>
          <w:lang w:val="en-GB"/>
        </w:rPr>
        <w:t>.</w:t>
      </w:r>
    </w:p>
    <w:p w14:paraId="63452659" w14:textId="77777777" w:rsidR="00DD1B8F" w:rsidRPr="003726FE" w:rsidRDefault="00DD1B8F" w:rsidP="00026049">
      <w:pPr>
        <w:pStyle w:val="Normal1"/>
        <w:rPr>
          <w:lang w:val="en-GB"/>
        </w:rPr>
      </w:pPr>
    </w:p>
    <w:p w14:paraId="34C839F6" w14:textId="325A7198" w:rsidR="00DD1B8F" w:rsidRPr="003726FE" w:rsidRDefault="00995A27" w:rsidP="00026049">
      <w:pPr>
        <w:pStyle w:val="Normal1"/>
        <w:rPr>
          <w:lang w:val="en-GB"/>
        </w:rPr>
      </w:pPr>
      <w:r w:rsidRPr="003726FE">
        <w:rPr>
          <w:lang w:val="en-GB"/>
        </w:rPr>
        <w:t>This study based</w:t>
      </w:r>
      <w:r w:rsidR="00DD1B8F" w:rsidRPr="003726FE">
        <w:rPr>
          <w:lang w:val="en-GB"/>
        </w:rPr>
        <w:t xml:space="preserve"> its mixed methods design on pragmatist philosophy. This paradigm has been recommended by experts in the field as the most appropriate philosophical standing for mixed methods research - based on ideologies from philosophers John Dewey and William James </w:t>
      </w:r>
      <w:r w:rsidR="006632A0" w:rsidRPr="003726FE">
        <w:rPr>
          <w:lang w:val="en-GB"/>
        </w:rPr>
        <w:fldChar w:fldCharType="begin">
          <w:fldData xml:space="preserve">PEVuZE5vdGU+PENpdGU+PEF1dGhvcj5KYW1lczwvQXV0aG9yPjxZZWFyPjE5MDc8L1llYXI+PFJl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</w:fldData>
        </w:fldChar>
      </w:r>
      <w:r w:rsidR="008B61BE">
        <w:rPr>
          <w:lang w:val="en-GB"/>
        </w:rPr>
        <w:instrText xml:space="preserve"> ADDIN EN.CITE </w:instrText>
      </w:r>
      <w:r w:rsidR="008B61BE">
        <w:rPr>
          <w:lang w:val="en-GB"/>
        </w:rPr>
        <w:fldChar w:fldCharType="begin">
          <w:fldData xml:space="preserve">PEVuZE5vdGU+PENpdGU+PEF1dGhvcj5KYW1lczwvQXV0aG9yPjxZZWFyPjE5MDc8L1llYXI+PFJl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</w:fldData>
        </w:fldChar>
      </w:r>
      <w:r w:rsidR="008B61BE">
        <w:rPr>
          <w:lang w:val="en-GB"/>
        </w:rPr>
        <w:instrText xml:space="preserve"> ADDIN EN.CITE.DATA </w:instrText>
      </w:r>
      <w:r w:rsidR="008B61BE">
        <w:rPr>
          <w:lang w:val="en-GB"/>
        </w:rPr>
      </w:r>
      <w:r w:rsidR="008B61BE">
        <w:rPr>
          <w:lang w:val="en-GB"/>
        </w:rPr>
        <w:fldChar w:fldCharType="end"/>
      </w:r>
      <w:r w:rsidR="006632A0" w:rsidRPr="003726FE">
        <w:rPr>
          <w:lang w:val="en-GB"/>
        </w:rPr>
      </w:r>
      <w:r w:rsidR="006632A0" w:rsidRPr="003726FE">
        <w:rPr>
          <w:lang w:val="en-GB"/>
        </w:rPr>
        <w:fldChar w:fldCharType="separate"/>
      </w:r>
      <w:r w:rsidR="004E5A78" w:rsidRPr="003726FE">
        <w:rPr>
          <w:noProof/>
          <w:lang w:val="en-GB"/>
        </w:rPr>
        <w:t>(</w:t>
      </w:r>
      <w:hyperlink w:anchor="_ENREF_203" w:tooltip="James, 1907 #569" w:history="1">
        <w:r w:rsidR="0094469E" w:rsidRPr="003726FE">
          <w:rPr>
            <w:noProof/>
            <w:lang w:val="en-GB"/>
          </w:rPr>
          <w:t>James 1907</w:t>
        </w:r>
      </w:hyperlink>
      <w:r w:rsidR="004E5A78" w:rsidRPr="003726FE">
        <w:rPr>
          <w:noProof/>
          <w:lang w:val="en-GB"/>
        </w:rPr>
        <w:t xml:space="preserve">, </w:t>
      </w:r>
      <w:hyperlink w:anchor="_ENREF_204" w:tooltip="James, 1995 #568" w:history="1">
        <w:r w:rsidR="0094469E" w:rsidRPr="003726FE">
          <w:rPr>
            <w:noProof/>
            <w:lang w:val="en-GB"/>
          </w:rPr>
          <w:t>1995</w:t>
        </w:r>
      </w:hyperlink>
      <w:r w:rsidR="004E5A78" w:rsidRPr="003726FE">
        <w:rPr>
          <w:noProof/>
          <w:lang w:val="en-GB"/>
        </w:rPr>
        <w:t xml:space="preserve">; </w:t>
      </w:r>
      <w:hyperlink w:anchor="_ENREF_206" w:tooltip="Johnson, 2004 #119" w:history="1">
        <w:r w:rsidR="0094469E" w:rsidRPr="003726FE">
          <w:rPr>
            <w:noProof/>
            <w:lang w:val="en-GB"/>
          </w:rPr>
          <w:t>Johnson and Onwuegbuzie 2004</w:t>
        </w:r>
      </w:hyperlink>
      <w:r w:rsidR="004E5A78" w:rsidRPr="003726FE">
        <w:rPr>
          <w:noProof/>
          <w:lang w:val="en-GB"/>
        </w:rPr>
        <w:t xml:space="preserve">; </w:t>
      </w:r>
      <w:hyperlink w:anchor="_ENREF_207" w:tooltip="Johnson, 2007 #120" w:history="1">
        <w:r w:rsidR="0094469E" w:rsidRPr="003726FE">
          <w:rPr>
            <w:noProof/>
            <w:lang w:val="en-GB"/>
          </w:rPr>
          <w:t>Johnson et al. 2007</w:t>
        </w:r>
      </w:hyperlink>
      <w:r w:rsidR="004E5A78" w:rsidRPr="003726FE">
        <w:rPr>
          <w:noProof/>
          <w:lang w:val="en-GB"/>
        </w:rPr>
        <w:t>)</w:t>
      </w:r>
      <w:r w:rsidR="006632A0" w:rsidRPr="003726FE">
        <w:rPr>
          <w:lang w:val="en-GB"/>
        </w:rPr>
        <w:fldChar w:fldCharType="end"/>
      </w:r>
      <w:r w:rsidR="00DD1B8F" w:rsidRPr="003726FE">
        <w:rPr>
          <w:lang w:val="en-GB"/>
        </w:rPr>
        <w:t xml:space="preserve">. </w:t>
      </w:r>
      <w:hyperlink w:anchor="_ENREF_206" w:tooltip="Johnson, 2004 #119" w:history="1">
        <w:r w:rsidR="0094469E" w:rsidRPr="003726FE">
          <w:rPr>
            <w:lang w:val="en-GB"/>
          </w:rPr>
          <w:fldChar w:fldCharType="begin"/>
        </w:r>
        <w:r w:rsidR="0094469E">
          <w:rPr>
            <w:lang w:val="en-GB"/>
          </w:rPr>
          <w:instrText xml:space="preserve"> ADDIN EN.CITE &lt;EndNote&gt;&lt;Cite AuthorYear="1"&gt;&lt;Author&gt;Johnson&lt;/Author&gt;&lt;Year&gt;2004&lt;/Year&gt;&lt;RecNum&gt;119&lt;/RecNum&gt;&lt;Pages&gt;16&lt;/Pages&gt;&lt;DisplayText&gt;Johnson and Onwuegbuzie (2004, p. 16)&lt;/DisplayText&gt;&lt;record&gt;&lt;rec-number&gt;119&lt;/rec-number&gt;&lt;foreign-keys&gt;&lt;key app="EN" db-id="xa2r2ewea92trkef5dt5arvbzafvpv2za5ft" timestamp="1442161764"&gt;119&lt;/key&gt;&lt;/foreign-keys&gt;&lt;ref-type name="Journal Article"&gt;17&lt;/ref-type&gt;&lt;contributors&gt;&lt;authors&gt;&lt;author&gt;Johnson, R. Burke&lt;/author&gt;&lt;author&gt;Onwuegbuzie, Anthony J.&lt;/author&gt;&lt;/authors&gt;&lt;/contributors&gt;&lt;titles&gt;&lt;title&gt;Mixed methods research: A research paradigm whose time has come&lt;/title&gt;&lt;secondary-title&gt;Educational researcher&lt;/secondary-title&gt;&lt;/titles&gt;&lt;periodical&gt;&lt;full-title&gt;Educational researcher&lt;/full-title&gt;&lt;/periodical&gt;&lt;pages&gt;14-26&lt;/pages&gt;&lt;volume&gt;33&lt;/volume&gt;&lt;number&gt;7&lt;/number&gt;&lt;dates&gt;&lt;year&gt;2004&lt;/year&gt;&lt;/dates&gt;&lt;publisher&gt;Sage Publications&lt;/publisher&gt;&lt;urls&gt;&lt;/urls&gt;&lt;/record&gt;&lt;/Cite&gt;&lt;/EndNote&gt;</w:instrText>
        </w:r>
        <w:r w:rsidR="0094469E" w:rsidRPr="003726FE">
          <w:rPr>
            <w:lang w:val="en-GB"/>
          </w:rPr>
          <w:fldChar w:fldCharType="separate"/>
        </w:r>
        <w:r w:rsidR="0094469E" w:rsidRPr="003726FE">
          <w:rPr>
            <w:noProof/>
            <w:lang w:val="en-GB"/>
          </w:rPr>
          <w:t>Johnson and Onwuegbuzie (2004, p. 16)</w:t>
        </w:r>
        <w:r w:rsidR="0094469E" w:rsidRPr="003726FE">
          <w:rPr>
            <w:lang w:val="en-GB"/>
          </w:rPr>
          <w:fldChar w:fldCharType="end"/>
        </w:r>
      </w:hyperlink>
      <w:r w:rsidR="006632A0" w:rsidRPr="003726FE">
        <w:rPr>
          <w:lang w:val="en-GB"/>
        </w:rPr>
        <w:t xml:space="preserve"> </w:t>
      </w:r>
      <w:r w:rsidR="00DD1B8F" w:rsidRPr="003726FE">
        <w:rPr>
          <w:lang w:val="en-GB"/>
        </w:rPr>
        <w:t>base</w:t>
      </w:r>
      <w:r w:rsidR="006632A0" w:rsidRPr="003726FE">
        <w:rPr>
          <w:lang w:val="en-GB"/>
        </w:rPr>
        <w:t>d</w:t>
      </w:r>
      <w:r w:rsidR="00DD1B8F" w:rsidRPr="003726FE">
        <w:rPr>
          <w:lang w:val="en-GB"/>
        </w:rPr>
        <w:t xml:space="preserve"> their definition of the ‘pragmatic maxim’ on the view of </w:t>
      </w:r>
      <w:hyperlink w:anchor="_ENREF_295" w:tooltip="Murphy, 1990 #180" w:history="1">
        <w:r w:rsidR="0094469E" w:rsidRPr="003726FE">
          <w:rPr>
            <w:lang w:val="en-GB"/>
          </w:rPr>
          <w:fldChar w:fldCharType="begin"/>
        </w:r>
        <w:r w:rsidR="0094469E">
          <w:rPr>
            <w:lang w:val="en-GB"/>
          </w:rPr>
          <w:instrText xml:space="preserve"> ADDIN EN.CITE &lt;EndNote&gt;&lt;Cite AuthorYear="1"&gt;&lt;Author&gt;Murphy&lt;/Author&gt;&lt;Year&gt;1990&lt;/Year&gt;&lt;RecNum&gt;180&lt;/RecNum&gt;&lt;DisplayText&gt;Murphy (1990)&lt;/DisplayText&gt;&lt;record&gt;&lt;rec-number&gt;180&lt;/rec-number&gt;&lt;foreign-keys&gt;&lt;key app="EN" db-id="xa2r2ewea92trkef5dt5arvbzafvpv2za5ft" timestamp="1442161765"&gt;180&lt;/key&gt;&lt;/foreign-keys&gt;&lt;ref-type name="Book"&gt;6&lt;/ref-type&gt;&lt;contributors&gt;&lt;authors&gt;&lt;author&gt;Murphy, John Peter&lt;/author&gt;&lt;/authors&gt;&lt;/contributors&gt;&lt;titles&gt;&lt;title&gt;Pragmatism: From Peirce to Davidson&lt;/title&gt;&lt;/titles&gt;&lt;number&gt;Book, Whole&lt;/number&gt;&lt;dates&gt;&lt;year&gt;1990&lt;/year&gt;&lt;/dates&gt;&lt;publisher&gt;Westview Pr&lt;/publisher&gt;&lt;urls&gt;&lt;/urls&gt;&lt;/record&gt;&lt;/Cite&gt;&lt;/EndNote&gt;</w:instrText>
        </w:r>
        <w:r w:rsidR="0094469E" w:rsidRPr="003726FE">
          <w:rPr>
            <w:lang w:val="en-GB"/>
          </w:rPr>
          <w:fldChar w:fldCharType="separate"/>
        </w:r>
        <w:r w:rsidR="0094469E" w:rsidRPr="003726FE">
          <w:rPr>
            <w:noProof/>
            <w:lang w:val="en-GB"/>
          </w:rPr>
          <w:t>Murphy (1990)</w:t>
        </w:r>
        <w:r w:rsidR="0094469E" w:rsidRPr="003726FE">
          <w:rPr>
            <w:lang w:val="en-GB"/>
          </w:rPr>
          <w:fldChar w:fldCharType="end"/>
        </w:r>
      </w:hyperlink>
      <w:r w:rsidR="00DD1B8F" w:rsidRPr="003726FE">
        <w:rPr>
          <w:lang w:val="en-GB"/>
        </w:rPr>
        <w:t>, they state</w:t>
      </w:r>
      <w:r w:rsidR="00AB785E">
        <w:rPr>
          <w:lang w:val="en-GB"/>
        </w:rPr>
        <w:t>:</w:t>
      </w:r>
      <w:r w:rsidR="00DD1B8F" w:rsidRPr="003726FE">
        <w:rPr>
          <w:lang w:val="en-GB"/>
        </w:rPr>
        <w:t xml:space="preserve"> “The pragmatic rule or maxim or method states that the current meaning or instrumental or provisional truth value of an expression is to be determined by the experiences or practical consequences of belief in or use of the expression in the world”. Crucially, pragmatist mixed methods designs prioritise the research objective above all other factors</w:t>
      </w:r>
      <w:r w:rsidR="000B4460" w:rsidRPr="003726FE">
        <w:rPr>
          <w:lang w:val="en-GB"/>
        </w:rPr>
        <w:t>,</w:t>
      </w:r>
      <w:r w:rsidR="00DD1B8F" w:rsidRPr="003726FE">
        <w:rPr>
          <w:lang w:val="en-GB"/>
        </w:rPr>
        <w:t xml:space="preserve"> which then guides the study and choice of methods in </w:t>
      </w:r>
      <w:r w:rsidR="000B4460" w:rsidRPr="003726FE">
        <w:rPr>
          <w:lang w:val="en-GB"/>
        </w:rPr>
        <w:t>achieving</w:t>
      </w:r>
      <w:r w:rsidR="000D373C">
        <w:rPr>
          <w:lang w:val="en-GB"/>
        </w:rPr>
        <w:t xml:space="preserve"> the objectives. </w:t>
      </w:r>
      <w:r w:rsidR="00DD1B8F" w:rsidRPr="003726FE">
        <w:rPr>
          <w:lang w:val="en-GB"/>
        </w:rPr>
        <w:t>Before discussing the pragmatic stance further, it is important to first outline the orientation of ontological and epistemological concepts that inform</w:t>
      </w:r>
      <w:r w:rsidR="00C57361" w:rsidRPr="003726FE">
        <w:rPr>
          <w:lang w:val="en-GB"/>
        </w:rPr>
        <w:t>ed</w:t>
      </w:r>
      <w:r w:rsidR="006632A0" w:rsidRPr="003726FE">
        <w:rPr>
          <w:lang w:val="en-GB"/>
        </w:rPr>
        <w:t xml:space="preserve"> the methodological choices</w:t>
      </w:r>
      <w:r w:rsidR="00DD1B8F" w:rsidRPr="003726FE">
        <w:rPr>
          <w:lang w:val="en-GB"/>
        </w:rPr>
        <w:t xml:space="preserve">. </w:t>
      </w:r>
    </w:p>
    <w:p w14:paraId="0064568E" w14:textId="77777777" w:rsidR="00DD1B8F" w:rsidRPr="003726FE" w:rsidRDefault="00DD1B8F" w:rsidP="00026049">
      <w:pPr>
        <w:pStyle w:val="Normal1"/>
        <w:rPr>
          <w:lang w:val="en-GB"/>
        </w:rPr>
      </w:pPr>
    </w:p>
    <w:p w14:paraId="2459444E" w14:textId="384E48A4" w:rsidR="00DD1B8F" w:rsidRPr="003726FE" w:rsidRDefault="00630F67" w:rsidP="00026049">
      <w:pPr>
        <w:pStyle w:val="Normal1"/>
        <w:rPr>
          <w:lang w:val="en-GB"/>
        </w:rPr>
      </w:pPr>
      <w:r w:rsidRPr="003726FE">
        <w:rPr>
          <w:lang w:val="en-GB"/>
        </w:rPr>
        <w:t>A</w:t>
      </w:r>
      <w:r w:rsidR="00C57361" w:rsidRPr="003726FE">
        <w:rPr>
          <w:lang w:val="en-GB"/>
        </w:rPr>
        <w:t xml:space="preserve"> critical realist ontology</w:t>
      </w:r>
      <w:r w:rsidRPr="003726FE">
        <w:rPr>
          <w:lang w:val="en-GB"/>
        </w:rPr>
        <w:t xml:space="preserve"> was adopted</w:t>
      </w:r>
      <w:r w:rsidR="00C57361" w:rsidRPr="003726FE">
        <w:rPr>
          <w:lang w:val="en-GB"/>
        </w:rPr>
        <w:t xml:space="preserve">, known to be analogous with pragmatist views </w:t>
      </w:r>
      <w:r w:rsidR="00EF281A" w:rsidRPr="003726FE">
        <w:rPr>
          <w:lang w:val="en-GB"/>
        </w:rPr>
        <w:fldChar w:fldCharType="begin"/>
      </w:r>
      <w:r w:rsidR="008B61BE">
        <w:rPr>
          <w:lang w:val="en-GB"/>
        </w:rPr>
        <w:instrText xml:space="preserve"> ADDIN EN.CITE &lt;EndNote&gt;&lt;Cite&gt;&lt;Author&gt;Scott&lt;/Author&gt;&lt;Year&gt;2009&lt;/Year&gt;&lt;RecNum&gt;570&lt;/RecNum&gt;&lt;DisplayText&gt;(Scott and Briggs 2009)&lt;/DisplayText&gt;&lt;record&gt;&lt;rec-number&gt;570&lt;/rec-number&gt;&lt;foreign-keys&gt;&lt;key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EF281A" w:rsidRPr="003726FE">
        <w:rPr>
          <w:lang w:val="en-GB"/>
        </w:rPr>
        <w:fldChar w:fldCharType="separate"/>
      </w:r>
      <w:r w:rsidR="004E5A78" w:rsidRPr="003726FE">
        <w:rPr>
          <w:noProof/>
          <w:lang w:val="en-GB"/>
        </w:rPr>
        <w:t>(</w:t>
      </w:r>
      <w:hyperlink w:anchor="_ENREF_377" w:tooltip="Scott, 2009 #570" w:history="1">
        <w:r w:rsidR="0094469E" w:rsidRPr="003726FE">
          <w:rPr>
            <w:noProof/>
            <w:lang w:val="en-GB"/>
          </w:rPr>
          <w:t>Scott and Briggs 2009</w:t>
        </w:r>
      </w:hyperlink>
      <w:r w:rsidR="004E5A78" w:rsidRPr="003726FE">
        <w:rPr>
          <w:noProof/>
          <w:lang w:val="en-GB"/>
        </w:rPr>
        <w:t>)</w:t>
      </w:r>
      <w:r w:rsidR="00EF281A" w:rsidRPr="003726FE">
        <w:rPr>
          <w:lang w:val="en-GB"/>
        </w:rPr>
        <w:fldChar w:fldCharType="end"/>
      </w:r>
      <w:r w:rsidR="00C57361" w:rsidRPr="003726FE">
        <w:rPr>
          <w:lang w:val="en-GB"/>
        </w:rPr>
        <w:t xml:space="preserve">. </w:t>
      </w:r>
      <w:r w:rsidR="00DD1B8F" w:rsidRPr="003726FE">
        <w:rPr>
          <w:lang w:val="en-GB"/>
        </w:rPr>
        <w:t xml:space="preserve">Ontology is described by </w:t>
      </w:r>
      <w:hyperlink w:anchor="_ENREF_174" w:tooltip="Guba, 1994 #100" w:history="1">
        <w:r w:rsidR="0094469E" w:rsidRPr="003726FE">
          <w:rPr>
            <w:lang w:val="en-GB"/>
          </w:rPr>
          <w:fldChar w:fldCharType="begin"/>
        </w:r>
        <w:r w:rsidR="0094469E">
          <w:rPr>
            <w:lang w:val="en-GB"/>
          </w:rPr>
          <w:instrText xml:space="preserve"> ADDIN EN.CITE &lt;EndNote&gt;&lt;Cite AuthorYear="1"&gt;&lt;Author&gt;Guba&lt;/Author&gt;&lt;Year&gt;1994&lt;/Year&gt;&lt;RecNum&gt;100&lt;/RecNum&gt;&lt;Pages&gt;108&lt;/Pages&gt;&lt;DisplayText&gt;Guba and Lincoln (1994, p. 108)&lt;/DisplayText&gt;&lt;record&gt;&lt;rec-number&gt;100&lt;/rec-number&gt;&lt;foreign-keys&gt;&lt;key app="EN" db-id="xa2r2ewea92trkef5dt5arvbzafvpv2za5ft" timestamp="1442161764"&gt;100&lt;/key&gt;&lt;/foreign-keys&gt;&lt;ref-type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research&lt;/full-title&gt;&lt;/periodical&gt;&lt;volume&gt;2&lt;/volume&gt;&lt;number&gt;163-194&lt;/number&gt;&lt;dates&gt;&lt;year&gt;1994&lt;/year&gt;&lt;/dates&gt;&lt;urls&gt;&lt;/urls&gt;&lt;/record&gt;&lt;/Cite&gt;&lt;/EndNote&gt;</w:instrText>
        </w:r>
        <w:r w:rsidR="0094469E" w:rsidRPr="003726FE">
          <w:rPr>
            <w:lang w:val="en-GB"/>
          </w:rPr>
          <w:fldChar w:fldCharType="separate"/>
        </w:r>
        <w:r w:rsidR="0094469E" w:rsidRPr="003726FE">
          <w:rPr>
            <w:noProof/>
            <w:lang w:val="en-GB"/>
          </w:rPr>
          <w:t>Guba and Lincoln (1994, p. 108)</w:t>
        </w:r>
        <w:r w:rsidR="0094469E" w:rsidRPr="003726FE">
          <w:rPr>
            <w:lang w:val="en-GB"/>
          </w:rPr>
          <w:fldChar w:fldCharType="end"/>
        </w:r>
      </w:hyperlink>
      <w:r w:rsidR="00DD1B8F" w:rsidRPr="003726FE">
        <w:rPr>
          <w:lang w:val="en-GB"/>
        </w:rPr>
        <w:t xml:space="preserve"> as the study of the “nature of reality”, it attempts to understand how truth is formed and what can be known about our current existence. </w:t>
      </w:r>
      <w:r w:rsidR="00C57361" w:rsidRPr="003726FE">
        <w:rPr>
          <w:lang w:val="en-GB"/>
        </w:rPr>
        <w:t>The critical realist</w:t>
      </w:r>
      <w:r w:rsidR="00DD1B8F" w:rsidRPr="003726FE">
        <w:rPr>
          <w:lang w:val="en-GB"/>
        </w:rPr>
        <w:t xml:space="preserve"> ontology combines Bhaskar-ian transcendental </w:t>
      </w:r>
      <w:r w:rsidR="000B4460" w:rsidRPr="003726FE">
        <w:rPr>
          <w:lang w:val="en-GB"/>
        </w:rPr>
        <w:t>realism and critical naturalism. P</w:t>
      </w:r>
      <w:r w:rsidR="00DD1B8F" w:rsidRPr="003726FE">
        <w:rPr>
          <w:lang w:val="en-GB"/>
        </w:rPr>
        <w:t>ut simply, critical realism posits that social reality is made up of social mechanisms</w:t>
      </w:r>
      <w:r w:rsidR="000B4460" w:rsidRPr="003726FE">
        <w:rPr>
          <w:lang w:val="en-GB"/>
        </w:rPr>
        <w:t>,</w:t>
      </w:r>
      <w:r w:rsidR="00DD1B8F" w:rsidRPr="003726FE">
        <w:rPr>
          <w:lang w:val="en-GB"/>
        </w:rPr>
        <w:t xml:space="preserve"> which are “complex systems rather than simply variables to be tested against hypotheses” </w:t>
      </w:r>
      <w:r w:rsidR="00EF281A" w:rsidRPr="003726FE">
        <w:rPr>
          <w:lang w:val="en-GB"/>
        </w:rPr>
        <w:fldChar w:fldCharType="begin"/>
      </w:r>
      <w:r w:rsidR="008B61BE">
        <w:rPr>
          <w:lang w:val="en-GB"/>
        </w:rPr>
        <w:instrText xml:space="preserve"> ADDIN EN.CITE &lt;EndNote&gt;&lt;Cite&gt;&lt;Author&gt;Scott&lt;/Author&gt;&lt;Year&gt;2009&lt;/Year&gt;&lt;RecNum&gt;570&lt;/RecNum&gt;&lt;Pages&gt;8&lt;/Pages&gt;&lt;DisplayText&gt;(Scott and Briggs 2009, p. 8)&lt;/DisplayText&gt;&lt;record&gt;&lt;rec-number&gt;570&lt;/rec-number&gt;&lt;foreign-keys&gt;&lt;key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EF281A" w:rsidRPr="003726FE">
        <w:rPr>
          <w:lang w:val="en-GB"/>
        </w:rPr>
        <w:fldChar w:fldCharType="separate"/>
      </w:r>
      <w:r w:rsidR="004E5A78" w:rsidRPr="003726FE">
        <w:rPr>
          <w:noProof/>
          <w:lang w:val="en-GB"/>
        </w:rPr>
        <w:t>(</w:t>
      </w:r>
      <w:hyperlink w:anchor="_ENREF_377" w:tooltip="Scott, 2009 #570" w:history="1">
        <w:r w:rsidR="0094469E" w:rsidRPr="003726FE">
          <w:rPr>
            <w:noProof/>
            <w:lang w:val="en-GB"/>
          </w:rPr>
          <w:t>Scott and Briggs 2009, p. 8</w:t>
        </w:r>
      </w:hyperlink>
      <w:r w:rsidR="004E5A78" w:rsidRPr="003726FE">
        <w:rPr>
          <w:noProof/>
          <w:lang w:val="en-GB"/>
        </w:rPr>
        <w:t>)</w:t>
      </w:r>
      <w:r w:rsidR="00EF281A" w:rsidRPr="003726FE">
        <w:rPr>
          <w:lang w:val="en-GB"/>
        </w:rPr>
        <w:fldChar w:fldCharType="end"/>
      </w:r>
      <w:r w:rsidR="000B4460" w:rsidRPr="003726FE">
        <w:rPr>
          <w:lang w:val="en-GB"/>
        </w:rPr>
        <w:t>. Important in the present study, critical realism</w:t>
      </w:r>
      <w:r w:rsidR="00DD1B8F" w:rsidRPr="003726FE">
        <w:rPr>
          <w:lang w:val="en-GB"/>
        </w:rPr>
        <w:t xml:space="preserve"> allows for the integration of objective and subjective data </w:t>
      </w:r>
      <w:r w:rsidR="00EF281A" w:rsidRPr="003726FE">
        <w:rPr>
          <w:lang w:val="en-GB"/>
        </w:rPr>
        <w:fldChar w:fldCharType="begin"/>
      </w:r>
      <w:r w:rsidR="008B61BE">
        <w:rPr>
          <w:lang w:val="en-GB"/>
        </w:rPr>
        <w:instrText xml:space="preserve"> ADDIN EN.CITE &lt;EndNote&gt;&lt;Cite&gt;&lt;Author&gt;Robson&lt;/Author&gt;&lt;Year&gt;2002&lt;/Year&gt;&lt;RecNum&gt;214&lt;/RecNum&gt;&lt;DisplayText&gt;(Robson 2002)&lt;/DisplayText&gt;&lt;record&gt;&lt;rec-number&gt;214&lt;/rec-number&gt;&lt;foreign-keys&gt;&lt;key app="EN" db-id="xa2r2ewea92trkef5dt5arvbzafvpv2za5ft" timestamp="1442161765"&gt;214&lt;/key&gt;&lt;/foreign-keys&gt;&lt;ref-type name="Book"&gt;6&lt;/ref-type&gt;&lt;contributors&gt;&lt;authors&gt;&lt;author&gt;Robson, Colin&lt;/author&gt;&lt;/authors&gt;&lt;/contributors&gt;&lt;titles&gt;&lt;title&gt;Real world research: A resource for social scientists and practitioner-researchers&lt;/title&gt;&lt;/titles&gt;&lt;volume&gt;2&lt;/volume&gt;&lt;number&gt;Book, Whole&lt;/number&gt;&lt;dates&gt;&lt;year&gt;2002&lt;/year&gt;&lt;/dates&gt;&lt;publisher&gt;Blackwell Oxford&lt;/publisher&gt;&lt;urls&gt;&lt;/urls&gt;&lt;/record&gt;&lt;/Cite&gt;&lt;/EndNote&gt;</w:instrText>
      </w:r>
      <w:r w:rsidR="00EF281A" w:rsidRPr="003726FE">
        <w:rPr>
          <w:lang w:val="en-GB"/>
        </w:rPr>
        <w:fldChar w:fldCharType="separate"/>
      </w:r>
      <w:r w:rsidR="004E5A78" w:rsidRPr="003726FE">
        <w:rPr>
          <w:noProof/>
          <w:lang w:val="en-GB"/>
        </w:rPr>
        <w:t>(</w:t>
      </w:r>
      <w:hyperlink w:anchor="_ENREF_347" w:tooltip="Robson, 2002 #214" w:history="1">
        <w:r w:rsidR="0094469E" w:rsidRPr="003726FE">
          <w:rPr>
            <w:noProof/>
            <w:lang w:val="en-GB"/>
          </w:rPr>
          <w:t>Robson 2002</w:t>
        </w:r>
      </w:hyperlink>
      <w:r w:rsidR="004E5A78" w:rsidRPr="003726FE">
        <w:rPr>
          <w:noProof/>
          <w:lang w:val="en-GB"/>
        </w:rPr>
        <w:t>)</w:t>
      </w:r>
      <w:r w:rsidR="00EF281A" w:rsidRPr="003726FE">
        <w:rPr>
          <w:lang w:val="en-GB"/>
        </w:rPr>
        <w:fldChar w:fldCharType="end"/>
      </w:r>
      <w:r w:rsidR="00DD1B8F" w:rsidRPr="003726FE">
        <w:rPr>
          <w:lang w:val="en-GB"/>
        </w:rPr>
        <w:t xml:space="preserve">. This opposes the constructivist ontology of relativism which suggests that “realities exist in the form of multiple mental constructions, socially and experientially based, local and specific, dependent for their </w:t>
      </w:r>
      <w:r w:rsidR="00DD1B8F" w:rsidRPr="003726FE">
        <w:rPr>
          <w:lang w:val="en-GB"/>
        </w:rPr>
        <w:lastRenderedPageBreak/>
        <w:t xml:space="preserve">form and content on the persons who hold them” </w:t>
      </w:r>
      <w:r w:rsidR="00EF281A" w:rsidRPr="003726FE">
        <w:rPr>
          <w:lang w:val="en-GB"/>
        </w:rPr>
        <w:fldChar w:fldCharType="begin"/>
      </w:r>
      <w:r w:rsidR="008B61BE">
        <w:rPr>
          <w:lang w:val="en-GB"/>
        </w:rPr>
        <w:instrText xml:space="preserve"> ADDIN EN.CITE &lt;EndNote&gt;&lt;Cite&gt;&lt;Author&gt;Guba&lt;/Author&gt;&lt;Year&gt;1989&lt;/Year&gt;&lt;RecNum&gt;101&lt;/RecNum&gt;&lt;Pages&gt;27&lt;/Pages&gt;&lt;DisplayText&gt;(Guba and Lincoln 1989, p. 27)&lt;/DisplayText&gt;&lt;record&gt;&lt;rec-number&gt;101&lt;/rec-number&gt;&lt;foreign-keys&gt;&lt;key app="EN" db-id="xa2r2ewea92trkef5dt5arvbzafvpv2za5ft" timestamp="1442161764"&gt;101&lt;/key&gt;&lt;/foreign-keys&gt;&lt;ref-type name="Book"&gt;6&lt;/ref-type&gt;&lt;contributors&gt;&lt;authors&gt;&lt;author&gt;Guba, Egon G.&lt;/author&gt;&lt;author&gt;Lincoln, Yvonna S.&lt;/author&gt;&lt;/authors&gt;&lt;/contributors&gt;&lt;titles&gt;&lt;title&gt;Fourth generation evaluation&lt;/title&gt;&lt;/titles&gt;&lt;number&gt;Book, Whole&lt;/number&gt;&lt;dates&gt;&lt;year&gt;1989&lt;/year&gt;&lt;/dates&gt;&lt;pub-location&gt;Newbury Park,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73" w:tooltip="Guba, 1989 #101" w:history="1">
        <w:r w:rsidR="0094469E" w:rsidRPr="003726FE">
          <w:rPr>
            <w:noProof/>
            <w:lang w:val="en-GB"/>
          </w:rPr>
          <w:t>Guba and Lincoln 1989, p. 27</w:t>
        </w:r>
      </w:hyperlink>
      <w:r w:rsidR="004E5A78" w:rsidRPr="003726FE">
        <w:rPr>
          <w:noProof/>
          <w:lang w:val="en-GB"/>
        </w:rPr>
        <w:t>)</w:t>
      </w:r>
      <w:r w:rsidR="00EF281A" w:rsidRPr="003726FE">
        <w:rPr>
          <w:lang w:val="en-GB"/>
        </w:rPr>
        <w:fldChar w:fldCharType="end"/>
      </w:r>
      <w:r w:rsidR="00DD1B8F" w:rsidRPr="003726FE">
        <w:rPr>
          <w:lang w:val="en-GB"/>
        </w:rPr>
        <w:t>.</w:t>
      </w:r>
    </w:p>
    <w:p w14:paraId="0F9E1917" w14:textId="77777777" w:rsidR="00DD1B8F" w:rsidRPr="003726FE" w:rsidRDefault="00DD1B8F" w:rsidP="00026049">
      <w:pPr>
        <w:pStyle w:val="Normal1"/>
        <w:rPr>
          <w:lang w:val="en-GB"/>
        </w:rPr>
      </w:pPr>
    </w:p>
    <w:p w14:paraId="3F35446C" w14:textId="012546B1" w:rsidR="00DD1B8F" w:rsidRPr="003726FE" w:rsidRDefault="00DD1B8F" w:rsidP="00026049">
      <w:pPr>
        <w:pStyle w:val="Normal1"/>
        <w:rPr>
          <w:lang w:val="en-GB"/>
        </w:rPr>
      </w:pPr>
      <w:r w:rsidRPr="003726FE">
        <w:rPr>
          <w:lang w:val="en-GB"/>
        </w:rPr>
        <w:t xml:space="preserve">Epistemology is concerned with the nature of knowledge and “the relationship of the knower and what can be known” </w:t>
      </w:r>
      <w:r w:rsidR="00EF281A" w:rsidRPr="003726FE">
        <w:rPr>
          <w:lang w:val="en-GB"/>
        </w:rPr>
        <w:fldChar w:fldCharType="begin"/>
      </w:r>
      <w:r w:rsidR="008B61BE">
        <w:rPr>
          <w:lang w:val="en-GB"/>
        </w:rPr>
        <w:instrText xml:space="preserve"> ADDIN EN.CITE &lt;EndNote&gt;&lt;Cite&gt;&lt;Author&gt;Guba&lt;/Author&gt;&lt;Year&gt;1994&lt;/Year&gt;&lt;RecNum&gt;100&lt;/RecNum&gt;&lt;Pages&gt;108&lt;/Pages&gt;&lt;DisplayText&gt;(Guba and Lincoln 1994, p. 108)&lt;/DisplayText&gt;&lt;record&gt;&lt;rec-number&gt;100&lt;/rec-number&gt;&lt;foreign-keys&gt;&lt;key app="EN" db-id="xa2r2ewea92trkef5dt5arvbzafvpv2za5ft" timestamp="1442161764"&gt;100&lt;/key&gt;&lt;/foreign-keys&gt;&lt;ref-type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research&lt;/full-title&gt;&lt;/periodical&gt;&lt;volume&gt;2&lt;/volume&gt;&lt;number&gt;163-194&lt;/number&gt;&lt;dates&gt;&lt;year&gt;1994&lt;/year&gt;&lt;/dates&gt;&lt;urls&gt;&lt;/urls&gt;&lt;/record&gt;&lt;/Cite&gt;&lt;/EndNote&gt;</w:instrText>
      </w:r>
      <w:r w:rsidR="00EF281A" w:rsidRPr="003726FE">
        <w:rPr>
          <w:lang w:val="en-GB"/>
        </w:rPr>
        <w:fldChar w:fldCharType="separate"/>
      </w:r>
      <w:r w:rsidR="004E5A78" w:rsidRPr="003726FE">
        <w:rPr>
          <w:noProof/>
          <w:lang w:val="en-GB"/>
        </w:rPr>
        <w:t>(</w:t>
      </w:r>
      <w:hyperlink w:anchor="_ENREF_174" w:tooltip="Guba, 1994 #100" w:history="1">
        <w:r w:rsidR="0094469E" w:rsidRPr="003726FE">
          <w:rPr>
            <w:noProof/>
            <w:lang w:val="en-GB"/>
          </w:rPr>
          <w:t>Guba and Lincoln 1994, p. 108</w:t>
        </w:r>
      </w:hyperlink>
      <w:r w:rsidR="004E5A78" w:rsidRPr="003726FE">
        <w:rPr>
          <w:noProof/>
          <w:lang w:val="en-GB"/>
        </w:rPr>
        <w:t>)</w:t>
      </w:r>
      <w:r w:rsidR="00EF281A" w:rsidRPr="003726FE">
        <w:rPr>
          <w:lang w:val="en-GB"/>
        </w:rPr>
        <w:fldChar w:fldCharType="end"/>
      </w:r>
      <w:r w:rsidRPr="003726FE">
        <w:rPr>
          <w:lang w:val="en-GB"/>
        </w:rPr>
        <w:t xml:space="preserve">. It relies on ontological definitions of reality which constrain its theories. However, </w:t>
      </w:r>
      <w:hyperlink w:anchor="_ENREF_151" w:tooltip="Frazer, 1993 #362" w:history="1">
        <w:r w:rsidR="0094469E">
          <w:rPr>
            <w:lang w:val="en-GB"/>
          </w:rPr>
          <w:fldChar w:fldCharType="begin"/>
        </w:r>
        <w:r w:rsidR="0094469E">
          <w:rPr>
            <w:lang w:val="en-GB"/>
          </w:rPr>
          <w:instrText xml:space="preserve"> ADDIN EN.CITE &lt;EndNote&gt;&lt;Cite AuthorYear="1"&gt;&lt;Author&gt;Frazer&lt;/Author&gt;&lt;Year&gt;1993&lt;/Year&gt;&lt;RecNum&gt;362&lt;/RecNum&gt;&lt;Pages&gt;182&lt;/Pages&gt;&lt;DisplayText&gt;Frazer and Lacey (1993, p. 182)&lt;/DisplayText&gt;&lt;record&gt;&lt;rec-number&gt;362&lt;/rec-number&gt;&lt;foreign-keys&gt;&lt;key app="EN" db-id="xa2r2ewea92trkef5dt5arvbzafvpv2za5ft" timestamp="1496417539"&gt;362&lt;/key&gt;&lt;/foreign-keys&gt;&lt;ref-type name="Journal Article"&gt;17&lt;/ref-type&gt;&lt;contributors&gt;&lt;authors&gt;&lt;author&gt;Frazer, Elizabeth&lt;/author&gt;&lt;author&gt;Lacey, Nicola&lt;/author&gt;&lt;/authors&gt;&lt;/contributors&gt;&lt;titles&gt;&lt;title&gt;The Politics of Community: A Feminist Critique of the Liberal-Communitarian Debate&lt;/title&gt;&lt;/titles&gt;&lt;dates&gt;&lt;year&gt;1993&lt;/year&gt;&lt;/dates&gt;&lt;publisher&gt;Hemel Hempstead: Harvester Wheatsheaf&lt;/publisher&gt;&lt;urls&gt;&lt;/urls&gt;&lt;/record&gt;&lt;/Cite&gt;&lt;/EndNote&gt;</w:instrText>
        </w:r>
        <w:r w:rsidR="0094469E">
          <w:rPr>
            <w:lang w:val="en-GB"/>
          </w:rPr>
          <w:fldChar w:fldCharType="separate"/>
        </w:r>
        <w:r w:rsidR="0094469E">
          <w:rPr>
            <w:noProof/>
            <w:lang w:val="en-GB"/>
          </w:rPr>
          <w:t>Frazer and Lacey (1993, p. 182)</w:t>
        </w:r>
        <w:r w:rsidR="0094469E">
          <w:rPr>
            <w:lang w:val="en-GB"/>
          </w:rPr>
          <w:fldChar w:fldCharType="end"/>
        </w:r>
      </w:hyperlink>
      <w:r w:rsidR="001A39A7">
        <w:rPr>
          <w:lang w:val="en-GB"/>
        </w:rPr>
        <w:t xml:space="preserve"> </w:t>
      </w:r>
      <w:r w:rsidRPr="003726FE">
        <w:rPr>
          <w:lang w:val="en-GB"/>
        </w:rPr>
        <w:t>suggest</w:t>
      </w:r>
      <w:r w:rsidR="00544E21">
        <w:rPr>
          <w:lang w:val="en-GB"/>
        </w:rPr>
        <w:t>ed</w:t>
      </w:r>
      <w:r w:rsidRPr="003726FE">
        <w:rPr>
          <w:lang w:val="en-GB"/>
        </w:rPr>
        <w:t xml:space="preserve"> that “Even if one is a realist at the ontological level, one could be an epistemological interpretivist […] our knowledge of the real world is inevitably interpretive and provisional rather than straightforwardly representational”. </w:t>
      </w:r>
      <w:r w:rsidR="007A3574" w:rsidRPr="003726FE">
        <w:rPr>
          <w:lang w:val="en-GB"/>
        </w:rPr>
        <w:t>A</w:t>
      </w:r>
      <w:r w:rsidRPr="003726FE">
        <w:rPr>
          <w:lang w:val="en-GB"/>
        </w:rPr>
        <w:t>s a consequence of this observation, a form of constructivist and relativist epistemology</w:t>
      </w:r>
      <w:r w:rsidR="007A3574" w:rsidRPr="003726FE">
        <w:rPr>
          <w:lang w:val="en-GB"/>
        </w:rPr>
        <w:t xml:space="preserve"> was adopted</w:t>
      </w:r>
      <w:r w:rsidRPr="003726FE">
        <w:rPr>
          <w:lang w:val="en-GB"/>
        </w:rPr>
        <w:t xml:space="preserve"> </w:t>
      </w:r>
      <w:r w:rsidR="001A39A7">
        <w:rPr>
          <w:lang w:val="en-GB"/>
        </w:rPr>
        <w:t xml:space="preserve">for this research </w:t>
      </w:r>
      <w:r w:rsidRPr="003726FE">
        <w:rPr>
          <w:lang w:val="en-GB"/>
        </w:rPr>
        <w:t xml:space="preserve">which argues that our perceptions of the world are constructed by our own perspectives and positions </w:t>
      </w:r>
      <w:r w:rsidR="00EF281A" w:rsidRPr="003726FE">
        <w:rPr>
          <w:lang w:val="en-GB"/>
        </w:rPr>
        <w:fldChar w:fldCharType="begin"/>
      </w:r>
      <w:r w:rsidR="008B61BE">
        <w:rPr>
          <w:lang w:val="en-GB"/>
        </w:rPr>
        <w:instrText xml:space="preserve"> ADDIN EN.CITE &lt;EndNote&gt;&lt;Cite&gt;&lt;Author&gt;Maxwell&lt;/Author&gt;&lt;Year&gt;2012&lt;/Year&gt;&lt;RecNum&gt;158&lt;/RecNum&gt;&lt;DisplayText&gt;(Maxwell 2012)&lt;/DisplayText&gt;&lt;record&gt;&lt;rec-number&gt;158&lt;/rec-number&gt;&lt;foreign-keys&gt;&lt;key app="EN" db-id="xa2r2ewea92trkef5dt5arvbzafvpv2za5ft" timestamp="1442161765"&gt;158&lt;/key&gt;&lt;/foreign-keys&gt;&lt;ref-type name="Book Section"&gt;5&lt;/ref-type&gt;&lt;contributors&gt;&lt;authors&gt;&lt;author&gt;Maxwell, Joseph A.&lt;/author&gt;&lt;/authors&gt;&lt;/contributors&gt;&lt;titles&gt;&lt;title&gt;What Is Realism, and Why Should Qualitative Researchers Care?&lt;/title&gt;&lt;secondary-title&gt;A realist approach for qualitative research&lt;/secondary-title&gt;&lt;/titles&gt;&lt;pages&gt;3-13&lt;/pages&gt;&lt;num-vols&gt;Book, Section&lt;/num-vols&gt;&lt;dates&gt;&lt;year&gt;2012&lt;/year&gt;&lt;/dates&gt;&lt;publisher&gt;Sage&lt;/publisher&gt;&lt;urls&gt;&lt;/urls&gt;&lt;/record&gt;&lt;/Cite&gt;&lt;/EndNote&gt;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59" w:tooltip="Maxwell, 2012 #158" w:history="1">
        <w:r w:rsidR="0094469E" w:rsidRPr="003726FE">
          <w:rPr>
            <w:noProof/>
            <w:lang w:val="en-GB"/>
          </w:rPr>
          <w:t>Maxwell 2012</w:t>
        </w:r>
      </w:hyperlink>
      <w:r w:rsidR="004E5A78" w:rsidRPr="003726FE">
        <w:rPr>
          <w:noProof/>
          <w:lang w:val="en-GB"/>
        </w:rPr>
        <w:t>)</w:t>
      </w:r>
      <w:r w:rsidR="00EF281A" w:rsidRPr="003726FE">
        <w:rPr>
          <w:lang w:val="en-GB"/>
        </w:rPr>
        <w:fldChar w:fldCharType="end"/>
      </w:r>
      <w:r w:rsidRPr="003726FE">
        <w:rPr>
          <w:lang w:val="en-GB"/>
        </w:rPr>
        <w:t xml:space="preserve">. The validity of this stance has been defended in the social and natural sciences </w:t>
      </w:r>
      <w:r w:rsidR="007A3574" w:rsidRPr="003726FE">
        <w:rPr>
          <w:lang w:val="en-GB"/>
        </w:rPr>
        <w:fldChar w:fldCharType="begin"/>
      </w:r>
      <w:r w:rsidR="008B61BE">
        <w:rPr>
          <w:lang w:val="en-GB"/>
        </w:rPr>
        <w:instrText xml:space="preserve"> ADDIN EN.CITE &lt;EndNote&gt;&lt;Cite&gt;&lt;Author&gt;Lenk&lt;/Author&gt;&lt;Year&gt;2003&lt;/Year&gt;&lt;RecNum&gt;144&lt;/RecNum&gt;&lt;DisplayText&gt;(Lenk 2003; Barad 2007)&lt;/DisplayText&gt;&lt;record&gt;&lt;rec-number&gt;144&lt;/rec-number&gt;&lt;foreign-keys&gt;&lt;key app="EN" db-id="xa2r2ewea92trkef5dt5arvbzafvpv2za5ft" timestamp="1442161764"&gt;144&lt;/key&gt;&lt;/foreign-keys&gt;&lt;ref-type name="Book"&gt;6&lt;/ref-type&gt;&lt;contributors&gt;&lt;authors&gt;&lt;author&gt;Lenk, Hans&lt;/author&gt;&lt;/authors&gt;&lt;/contributors&gt;&lt;titles&gt;&lt;title&gt;Grasping Reality: An interpretation-realistic epistemology&lt;/title&gt;&lt;/titles&gt;&lt;number&gt;Book, Whole&lt;/number&gt;&lt;dates&gt;&lt;year&gt;2003&lt;/year&gt;&lt;/dates&gt;&lt;publisher&gt;Imperial College Press&lt;/publisher&gt;&lt;urls&gt;&lt;/urls&gt;&lt;/record&gt;&lt;/Cite&gt;&lt;Cite&gt;&lt;Author&gt;Barad&lt;/Author&gt;&lt;Year&gt;2007&lt;/Year&gt;&lt;RecNum&gt;8&lt;/RecNum&gt;&lt;record&gt;&lt;rec-number&gt;8&lt;/rec-number&gt;&lt;foreign-keys&gt;&lt;key app="EN" db-id="xa2r2ewea92trkef5dt5arvbzafvpv2za5ft" timestamp="1442161763"&gt;8&lt;/key&gt;&lt;/foreign-keys&gt;&lt;ref-type name="Book"&gt;6&lt;/ref-type&gt;&lt;contributors&gt;&lt;authors&gt;&lt;author&gt;Barad, Karen&lt;/author&gt;&lt;/authors&gt;&lt;/contributors&gt;&lt;titles&gt;&lt;title&gt;Meeting the universe halfway: Quantum physics and the entanglement of matter and meaning&lt;/title&gt;&lt;/titles&gt;&lt;number&gt;Book, Whole&lt;/number&gt;&lt;dates&gt;&lt;year&gt;2007&lt;/year&gt;&lt;/dates&gt;&lt;publisher&gt;duke university Press&lt;/publisher&gt;&lt;urls&gt;&lt;/urls&gt;&lt;/record&gt;&lt;/Cite&gt;&lt;/EndNote&gt;</w:instrText>
      </w:r>
      <w:r w:rsidR="007A3574" w:rsidRPr="003726FE">
        <w:rPr>
          <w:lang w:val="en-GB"/>
        </w:rPr>
        <w:fldChar w:fldCharType="separate"/>
      </w:r>
      <w:r w:rsidR="004E5A78" w:rsidRPr="003726FE">
        <w:rPr>
          <w:noProof/>
          <w:lang w:val="en-GB"/>
        </w:rPr>
        <w:t>(</w:t>
      </w:r>
      <w:hyperlink w:anchor="_ENREF_239" w:tooltip="Lenk, 2003 #144" w:history="1">
        <w:r w:rsidR="0094469E" w:rsidRPr="003726FE">
          <w:rPr>
            <w:noProof/>
            <w:lang w:val="en-GB"/>
          </w:rPr>
          <w:t>Lenk 2003</w:t>
        </w:r>
      </w:hyperlink>
      <w:r w:rsidR="004E5A78" w:rsidRPr="003726FE">
        <w:rPr>
          <w:noProof/>
          <w:lang w:val="en-GB"/>
        </w:rPr>
        <w:t xml:space="preserve">; </w:t>
      </w:r>
      <w:hyperlink w:anchor="_ENREF_17" w:tooltip="Barad, 2007 #8" w:history="1">
        <w:r w:rsidR="0094469E" w:rsidRPr="003726FE">
          <w:rPr>
            <w:noProof/>
            <w:lang w:val="en-GB"/>
          </w:rPr>
          <w:t>Barad 2007</w:t>
        </w:r>
      </w:hyperlink>
      <w:r w:rsidR="004E5A78" w:rsidRPr="003726FE">
        <w:rPr>
          <w:noProof/>
          <w:lang w:val="en-GB"/>
        </w:rPr>
        <w:t>)</w:t>
      </w:r>
      <w:r w:rsidR="007A3574" w:rsidRPr="003726FE">
        <w:rPr>
          <w:lang w:val="en-GB"/>
        </w:rPr>
        <w:fldChar w:fldCharType="end"/>
      </w:r>
      <w:r w:rsidRPr="003726FE">
        <w:rPr>
          <w:lang w:val="en-GB"/>
        </w:rPr>
        <w:t>.</w:t>
      </w:r>
    </w:p>
    <w:p w14:paraId="47E4E3CA" w14:textId="77777777" w:rsidR="00DD1B8F" w:rsidRPr="003726FE" w:rsidRDefault="00DD1B8F" w:rsidP="00026049">
      <w:pPr>
        <w:pStyle w:val="Normal1"/>
        <w:rPr>
          <w:lang w:val="en-GB"/>
        </w:rPr>
      </w:pPr>
    </w:p>
    <w:p w14:paraId="379986CB" w14:textId="1E312122" w:rsidR="00BF5391" w:rsidRPr="003726FE" w:rsidRDefault="00DD1B8F" w:rsidP="00026049">
      <w:pPr>
        <w:pStyle w:val="Normal1"/>
        <w:rPr>
          <w:lang w:val="en-GB"/>
        </w:rPr>
      </w:pPr>
      <w:r w:rsidRPr="003726FE">
        <w:rPr>
          <w:lang w:val="en-GB"/>
        </w:rPr>
        <w:t xml:space="preserve">When mixed methods research </w:t>
      </w:r>
      <w:r w:rsidR="00776CEC">
        <w:rPr>
          <w:lang w:val="en-GB"/>
        </w:rPr>
        <w:t xml:space="preserve">was </w:t>
      </w:r>
      <w:r w:rsidRPr="003726FE">
        <w:rPr>
          <w:lang w:val="en-GB"/>
        </w:rPr>
        <w:t xml:space="preserve">developed as the “third wave” paradigm rejecting the dichotomy of qualitative and quantitative methods </w:t>
      </w:r>
      <w:r w:rsidR="00EF281A" w:rsidRPr="003726FE">
        <w:rPr>
          <w:lang w:val="en-GB"/>
        </w:rPr>
        <w:fldChar w:fldCharType="begin"/>
      </w:r>
      <w:r w:rsidR="008B61BE">
        <w:rPr>
          <w:lang w:val="en-GB"/>
        </w:rPr>
        <w:instrText xml:space="preserve"> ADDIN EN.CITE &lt;EndNote&gt;&lt;Cite&gt;&lt;Author&gt;Johnson&lt;/Author&gt;&lt;Year&gt;2004&lt;/Year&gt;&lt;RecNum&gt;119&lt;/RecNum&gt;&lt;Pages&gt;17&lt;/Pages&gt;&lt;DisplayText&gt;(Johnson and Onwuegbuzie 2004, p. 17)&lt;/DisplayText&gt;&lt;record&gt;&lt;rec-number&gt;119&lt;/rec-number&gt;&lt;foreign-keys&gt;&lt;key app="EN" db-id="xa2r2ewea92trkef5dt5arvbzafvpv2za5ft" timestamp="1442161764"&gt;119&lt;/key&gt;&lt;/foreign-keys&gt;&lt;ref-type name="Journal Article"&gt;17&lt;/ref-type&gt;&lt;contributors&gt;&lt;authors&gt;&lt;author&gt;Johnson, R. Burke&lt;/author&gt;&lt;author&gt;Onwuegbuzie, Anthony J.&lt;/author&gt;&lt;/authors&gt;&lt;/contributors&gt;&lt;titles&gt;&lt;title&gt;Mixed methods research: A research paradigm whose time has come&lt;/title&gt;&lt;secondary-title&gt;Educational researcher&lt;/secondary-title&gt;&lt;/titles&gt;&lt;periodical&gt;&lt;full-title&gt;Educational researcher&lt;/full-title&gt;&lt;/periodical&gt;&lt;pages&gt;14-26&lt;/pages&gt;&lt;volume&gt;33&lt;/volume&gt;&lt;number&gt;7&lt;/number&gt;&lt;dates&gt;&lt;year&gt;2004&lt;/year&gt;&lt;/dates&gt;&lt;publisher&gt;Sage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06" w:tooltip="Johnson, 2004 #119" w:history="1">
        <w:r w:rsidR="0094469E" w:rsidRPr="003726FE">
          <w:rPr>
            <w:noProof/>
            <w:lang w:val="en-GB"/>
          </w:rPr>
          <w:t>Johnson and Onwuegbuzie 2004, p. 17</w:t>
        </w:r>
      </w:hyperlink>
      <w:r w:rsidR="004E5A78" w:rsidRPr="003726FE">
        <w:rPr>
          <w:noProof/>
          <w:lang w:val="en-GB"/>
        </w:rPr>
        <w:t>)</w:t>
      </w:r>
      <w:r w:rsidR="00EF281A" w:rsidRPr="003726FE">
        <w:rPr>
          <w:lang w:val="en-GB"/>
        </w:rPr>
        <w:fldChar w:fldCharType="end"/>
      </w:r>
      <w:r w:rsidRPr="003726FE">
        <w:rPr>
          <w:lang w:val="en-GB"/>
        </w:rPr>
        <w:t xml:space="preserve">, critics claimed that it could not blend these incommensurable paradigms together. It was met with sharp rebuttal by the </w:t>
      </w:r>
      <w:r w:rsidR="00D802DA">
        <w:rPr>
          <w:lang w:val="en-GB"/>
        </w:rPr>
        <w:t>“</w:t>
      </w:r>
      <w:r w:rsidRPr="003726FE">
        <w:rPr>
          <w:lang w:val="en-GB"/>
        </w:rPr>
        <w:t>incompat</w:t>
      </w:r>
      <w:r w:rsidR="007A3574" w:rsidRPr="003726FE">
        <w:rPr>
          <w:lang w:val="en-GB"/>
        </w:rPr>
        <w:t>ibility thesis</w:t>
      </w:r>
      <w:r w:rsidR="00D802DA">
        <w:rPr>
          <w:lang w:val="en-GB"/>
        </w:rPr>
        <w:t>”</w:t>
      </w:r>
      <w:r w:rsidR="007A3574" w:rsidRPr="003726FE">
        <w:rPr>
          <w:lang w:val="en-GB"/>
        </w:rPr>
        <w:t xml:space="preserve"> and others </w:t>
      </w:r>
      <w:r w:rsidR="00EF281A" w:rsidRPr="003726FE">
        <w:rPr>
          <w:lang w:val="en-GB"/>
        </w:rPr>
        <w:fldChar w:fldCharType="begin"/>
      </w:r>
      <w:r w:rsidR="008B61BE">
        <w:rPr>
          <w:lang w:val="en-GB"/>
        </w:rPr>
        <w:instrText xml:space="preserve"> ADDIN EN.CITE &lt;EndNote&gt;&lt;Cite&gt;&lt;Author&gt;Denzin&lt;/Author&gt;&lt;Year&gt;2013&lt;/Year&gt;&lt;RecNum&gt;63&lt;/RecNum&gt;&lt;Pages&gt;15&lt;/Pages&gt;&lt;DisplayText&gt;(Denzin and Lincoln 2013, p. 15)&lt;/DisplayText&gt;&lt;record&gt;&lt;rec-number&gt;63&lt;/rec-number&gt;&lt;foreign-keys&gt;&lt;key app="EN" db-id="xa2r2ewea92trkef5dt5arvbzafvpv2za5ft" timestamp="1442161763"&gt;63&lt;/key&gt;&lt;/foreign-keys&gt;&lt;ref-type name="Book"&gt;6&lt;/ref-type&gt;&lt;contributors&gt;&lt;authors&gt;&lt;author&gt;Denzin, Norman K.&lt;/author&gt;&lt;author&gt;Lincoln, Yvonna S.&lt;/author&gt;&lt;/authors&gt;&lt;/contributors&gt;&lt;titles&gt;&lt;title&gt;Collecting and interpreting qualitative materials&lt;/title&gt;&lt;/titles&gt;&lt;number&gt;Book, Whole&lt;/number&gt;&lt;edition&gt;4th&lt;/edition&gt;&lt;dates&gt;&lt;year&gt;2013&lt;/year&gt;&lt;/dates&gt;&lt;publisher&gt;Sage&lt;/publisher&gt;&lt;urls&gt;&lt;/urls&gt;&lt;/record&gt;&lt;/Cite&gt;&lt;/EndNote&gt;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21" w:tooltip="Denzin, 2013 #63" w:history="1">
        <w:r w:rsidR="0094469E" w:rsidRPr="003726FE">
          <w:rPr>
            <w:noProof/>
            <w:lang w:val="en-GB"/>
          </w:rPr>
          <w:t>Denzin and Lincoln 2013, p. 15</w:t>
        </w:r>
      </w:hyperlink>
      <w:r w:rsidR="004E5A78" w:rsidRPr="003726FE">
        <w:rPr>
          <w:noProof/>
          <w:lang w:val="en-GB"/>
        </w:rPr>
        <w:t>)</w:t>
      </w:r>
      <w:r w:rsidR="00EF281A" w:rsidRPr="003726FE">
        <w:rPr>
          <w:lang w:val="en-GB"/>
        </w:rPr>
        <w:fldChar w:fldCharType="end"/>
      </w:r>
      <w:r w:rsidRPr="003726FE">
        <w:rPr>
          <w:lang w:val="en-GB"/>
        </w:rPr>
        <w:t>; they argued that there were impossibilities in the blending of philosophical perspectives u</w:t>
      </w:r>
      <w:r w:rsidR="00776CEC">
        <w:rPr>
          <w:lang w:val="en-GB"/>
        </w:rPr>
        <w:t xml:space="preserve">sed in mixed methods research. </w:t>
      </w:r>
      <w:r w:rsidR="00BF5391" w:rsidRPr="003726FE">
        <w:rPr>
          <w:lang w:val="en-GB"/>
        </w:rPr>
        <w:t xml:space="preserve">Many purist qualitative and quantitative researchers argued that due to this incompatibility of ontological, epistemological, and axiomatic values held by both camps, the justification for a mixture of such distinct methodologies was “difficult, if not impossible, to sustain” </w:t>
      </w:r>
      <w:r w:rsidR="00EF281A" w:rsidRPr="003726FE">
        <w:rPr>
          <w:lang w:val="en-GB"/>
        </w:rPr>
        <w:fldChar w:fldCharType="begin"/>
      </w:r>
      <w:r w:rsidR="008B61BE">
        <w:rPr>
          <w:lang w:val="en-GB"/>
        </w:rPr>
        <w:instrText xml:space="preserve"> ADDIN EN.CITE &lt;EndNote&gt;&lt;Cite&gt;&lt;Author&gt;Bergman&lt;/Author&gt;&lt;Year&gt;2008&lt;/Year&gt;&lt;RecNum&gt;11&lt;/RecNum&gt;&lt;Pages&gt;11&lt;/Pages&gt;&lt;DisplayText&gt;(Bergman 2008, p. 11)&lt;/DisplayText&gt;&lt;record&gt;&lt;rec-number&gt;11&lt;/rec-number&gt;&lt;foreign-keys&gt;&lt;key app="EN" db-id="xa2r2ewea92trkef5dt5arvbzafvpv2za5ft" timestamp="1442161763"&gt;11&lt;/key&gt;&lt;/foreign-keys&gt;&lt;ref-type name="Journal Article"&gt;17&lt;/ref-type&gt;&lt;contributors&gt;&lt;authors&gt;&lt;author&gt;Bergman, Manfred Max&lt;/author&gt;&lt;/authors&gt;&lt;/contributors&gt;&lt;titles&gt;&lt;title&gt;The straw men of the qualitative-quantitative divide and their influence on mixed methods research&lt;/title&gt;&lt;secondary-title&gt;Advances in mixed methods research: Theories and applications&lt;/secondary-title&gt;&lt;/titles&gt;&lt;periodical&gt;&lt;full-title&gt;Advances in mixed methods research: Theories and applications&lt;/full-title&gt;&lt;/periodical&gt;&lt;pages&gt;11-21&lt;/pages&gt;&lt;dates&gt;&lt;year&gt;2008&lt;/year&gt;&lt;/dates&gt;&lt;urls&gt;&lt;/urls&gt;&lt;/record&gt;&lt;/Cite&gt;&lt;/EndNote&gt;</w:instrText>
      </w:r>
      <w:r w:rsidR="00EF281A" w:rsidRPr="003726FE">
        <w:rPr>
          <w:lang w:val="en-GB"/>
        </w:rPr>
        <w:fldChar w:fldCharType="separate"/>
      </w:r>
      <w:r w:rsidR="004E5A78" w:rsidRPr="003726FE">
        <w:rPr>
          <w:noProof/>
          <w:lang w:val="en-GB"/>
        </w:rPr>
        <w:t>(</w:t>
      </w:r>
      <w:hyperlink w:anchor="_ENREF_28" w:tooltip="Bergman, 2008 #11" w:history="1">
        <w:r w:rsidR="0094469E" w:rsidRPr="003726FE">
          <w:rPr>
            <w:noProof/>
            <w:lang w:val="en-GB"/>
          </w:rPr>
          <w:t>Bergman 2008, p. 11</w:t>
        </w:r>
      </w:hyperlink>
      <w:r w:rsidR="004E5A78" w:rsidRPr="003726FE">
        <w:rPr>
          <w:noProof/>
          <w:lang w:val="en-GB"/>
        </w:rPr>
        <w:t>)</w:t>
      </w:r>
      <w:r w:rsidR="00EF281A" w:rsidRPr="003726FE">
        <w:rPr>
          <w:lang w:val="en-GB"/>
        </w:rPr>
        <w:fldChar w:fldCharType="end"/>
      </w:r>
      <w:r w:rsidR="00BF5391" w:rsidRPr="003726FE">
        <w:rPr>
          <w:lang w:val="en-GB"/>
        </w:rPr>
        <w:t xml:space="preserve">. </w:t>
      </w:r>
      <w:r w:rsidR="00630F67" w:rsidRPr="003726FE">
        <w:rPr>
          <w:lang w:val="en-GB"/>
        </w:rPr>
        <w:t>T</w:t>
      </w:r>
      <w:r w:rsidR="00BF5391" w:rsidRPr="003726FE">
        <w:rPr>
          <w:lang w:val="en-GB"/>
        </w:rPr>
        <w:t>he pragmatist view</w:t>
      </w:r>
      <w:r w:rsidR="00630F67" w:rsidRPr="003726FE">
        <w:rPr>
          <w:lang w:val="en-GB"/>
        </w:rPr>
        <w:t xml:space="preserve"> was adopted in this study in an attempt to </w:t>
      </w:r>
      <w:r w:rsidR="00DD4612">
        <w:rPr>
          <w:lang w:val="en-GB"/>
        </w:rPr>
        <w:t>reconcile</w:t>
      </w:r>
      <w:r w:rsidR="00630F67" w:rsidRPr="003726FE">
        <w:rPr>
          <w:lang w:val="en-GB"/>
        </w:rPr>
        <w:t xml:space="preserve"> this</w:t>
      </w:r>
      <w:r w:rsidR="00BF5391" w:rsidRPr="003726FE">
        <w:rPr>
          <w:lang w:val="en-GB"/>
        </w:rPr>
        <w:t xml:space="preserve">, as recommended by experts in </w:t>
      </w:r>
      <w:r w:rsidR="00DD4612">
        <w:rPr>
          <w:lang w:val="en-GB"/>
        </w:rPr>
        <w:t>the</w:t>
      </w:r>
      <w:r w:rsidR="00BF5391" w:rsidRPr="003726FE">
        <w:rPr>
          <w:lang w:val="en-GB"/>
        </w:rPr>
        <w:t xml:space="preserve"> field </w:t>
      </w:r>
      <w:r w:rsidR="00EC167E" w:rsidRPr="003726FE">
        <w:rPr>
          <w:lang w:val="en-GB"/>
        </w:rPr>
        <w:fldChar w:fldCharType="begin"/>
      </w:r>
      <w:r w:rsidR="008B61BE">
        <w:rPr>
          <w:lang w:val="en-GB"/>
        </w:rPr>
        <w:instrText xml:space="preserve"> ADDIN EN.CITE &lt;EndNote&gt;&lt;Cite&gt;&lt;Author&gt;Creswell&lt;/Author&gt;&lt;Year&gt;2007&lt;/Year&gt;&lt;RecNum&gt;53&lt;/RecNum&gt;&lt;DisplayText&gt;(Creswell and Clark 2007; Morgan 2007)&lt;/DisplayText&gt;&lt;record&gt;&lt;rec-number&gt;53&lt;/rec-number&gt;&lt;foreign-keys&gt;&lt;key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Library&lt;/publisher&gt;&lt;urls&gt;&lt;/urls&gt;&lt;/record&gt;&lt;/Cite&gt;&lt;Cite&gt;&lt;Author&gt;Morgan&lt;/Author&gt;&lt;Year&gt;2007&lt;/Year&gt;&lt;RecNum&gt;170&lt;/RecNum&gt;&lt;record&gt;&lt;rec-number&gt;170&lt;/rec-number&gt;&lt;foreign-keys&gt;&lt;key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EC167E" w:rsidRPr="003726FE">
        <w:rPr>
          <w:lang w:val="en-GB"/>
        </w:rPr>
        <w:fldChar w:fldCharType="separate"/>
      </w:r>
      <w:r w:rsidR="004E5A78" w:rsidRPr="003726FE">
        <w:rPr>
          <w:noProof/>
          <w:lang w:val="en-GB"/>
        </w:rPr>
        <w:t>(</w:t>
      </w:r>
      <w:hyperlink w:anchor="_ENREF_99" w:tooltip="Creswell, 2007 #53" w:history="1">
        <w:r w:rsidR="0094469E" w:rsidRPr="003726FE">
          <w:rPr>
            <w:noProof/>
            <w:lang w:val="en-GB"/>
          </w:rPr>
          <w:t>Creswell and Clark 2007</w:t>
        </w:r>
      </w:hyperlink>
      <w:r w:rsidR="004E5A78" w:rsidRPr="003726FE">
        <w:rPr>
          <w:noProof/>
          <w:lang w:val="en-GB"/>
        </w:rPr>
        <w:t xml:space="preserve">; </w:t>
      </w:r>
      <w:hyperlink w:anchor="_ENREF_284" w:tooltip="Morgan, 2007 #170" w:history="1">
        <w:r w:rsidR="0094469E" w:rsidRPr="003726FE">
          <w:rPr>
            <w:noProof/>
            <w:lang w:val="en-GB"/>
          </w:rPr>
          <w:t>Morgan 2007</w:t>
        </w:r>
      </w:hyperlink>
      <w:r w:rsidR="004E5A78" w:rsidRPr="003726FE">
        <w:rPr>
          <w:noProof/>
          <w:lang w:val="en-GB"/>
        </w:rPr>
        <w:t>)</w:t>
      </w:r>
      <w:r w:rsidR="00EC167E" w:rsidRPr="003726FE">
        <w:rPr>
          <w:lang w:val="en-GB"/>
        </w:rPr>
        <w:fldChar w:fldCharType="end"/>
      </w:r>
      <w:r w:rsidR="00BF5391" w:rsidRPr="003726FE">
        <w:rPr>
          <w:lang w:val="en-GB"/>
        </w:rPr>
        <w:t xml:space="preserve">. </w:t>
      </w:r>
      <w:hyperlink w:anchor="_ENREF_284" w:tooltip="Morgan, 2007 #170" w:history="1">
        <w:r w:rsidR="0094469E" w:rsidRPr="003726FE">
          <w:rPr>
            <w:lang w:val="en-GB"/>
          </w:rPr>
          <w:fldChar w:fldCharType="begin"/>
        </w:r>
        <w:r w:rsidR="0094469E">
          <w:rPr>
            <w:lang w:val="en-GB"/>
          </w:rPr>
          <w:instrText xml:space="preserve"> ADDIN EN.CITE &lt;EndNote&gt;&lt;Cite AuthorYear="1"&gt;&lt;Author&gt;Morgan&lt;/Author&gt;&lt;Year&gt;2007&lt;/Year&gt;&lt;RecNum&gt;170&lt;/RecNum&gt;&lt;Pages&gt;48&lt;/Pages&gt;&lt;DisplayText&gt;Morgan (2007, p. 48)&lt;/DisplayText&gt;&lt;record&gt;&lt;rec-number&gt;170&lt;/rec-number&gt;&lt;foreign-keys&gt;&lt;key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94469E" w:rsidRPr="003726FE">
          <w:rPr>
            <w:lang w:val="en-GB"/>
          </w:rPr>
          <w:fldChar w:fldCharType="separate"/>
        </w:r>
        <w:r w:rsidR="0094469E" w:rsidRPr="003726FE">
          <w:rPr>
            <w:noProof/>
            <w:lang w:val="en-GB"/>
          </w:rPr>
          <w:t>Morgan (2007, p. 48)</w:t>
        </w:r>
        <w:r w:rsidR="0094469E" w:rsidRPr="003726FE">
          <w:rPr>
            <w:lang w:val="en-GB"/>
          </w:rPr>
          <w:fldChar w:fldCharType="end"/>
        </w:r>
      </w:hyperlink>
      <w:r w:rsidR="00EC167E" w:rsidRPr="003726FE">
        <w:rPr>
          <w:lang w:val="en-GB"/>
        </w:rPr>
        <w:t xml:space="preserve"> </w:t>
      </w:r>
      <w:r w:rsidR="00BF5391" w:rsidRPr="003726FE">
        <w:rPr>
          <w:lang w:val="en-GB"/>
        </w:rPr>
        <w:t>argue</w:t>
      </w:r>
      <w:r w:rsidR="00FC0FFB">
        <w:rPr>
          <w:lang w:val="en-GB"/>
        </w:rPr>
        <w:t>d</w:t>
      </w:r>
      <w:r w:rsidR="00BF5391" w:rsidRPr="003726FE">
        <w:rPr>
          <w:lang w:val="en-GB"/>
        </w:rPr>
        <w:t xml:space="preserve"> that pragmatism acts </w:t>
      </w:r>
      <w:r w:rsidR="001F7BA1">
        <w:rPr>
          <w:lang w:val="en-GB"/>
        </w:rPr>
        <w:t xml:space="preserve">as </w:t>
      </w:r>
      <w:r w:rsidR="00BF5391" w:rsidRPr="003726FE">
        <w:rPr>
          <w:lang w:val="en-GB"/>
        </w:rPr>
        <w:t xml:space="preserve">a “guiding paradigm” for mixed methods researchers. Other authors reinforce this claim and use pragmatism as their justification for mixed methods research </w:t>
      </w:r>
      <w:r w:rsidR="00EF281A" w:rsidRPr="003726FE">
        <w:rPr>
          <w:lang w:val="en-GB"/>
        </w:rPr>
        <w:fldChar w:fldCharType="begin"/>
      </w:r>
      <w:r w:rsidR="008B61BE">
        <w:rPr>
          <w:lang w:val="en-GB"/>
        </w:rPr>
        <w:instrText xml:space="preserve"> ADDIN EN.CITE &lt;EndNote&gt;&lt;Cite&gt;&lt;Author&gt;Onwuegbuzie&lt;/Author&gt;&lt;Year&gt;2006&lt;/Year&gt;&lt;RecNum&gt;189&lt;/RecNum&gt;&lt;DisplayText&gt;(Onwuegbuzie and Johnson 2006)&lt;/DisplayText&gt;&lt;record&gt;&lt;rec-number&gt;189&lt;/rec-number&gt;&lt;foreign-keys&gt;&lt;key app="EN" db-id="xa2r2ewea92trkef5dt5arvbzafvpv2za5ft" timestamp="1442161765"&gt;189&lt;/key&gt;&lt;/foreign-keys&gt;&lt;ref-type name="Journal Article"&gt;17&lt;/ref-type&gt;&lt;contributors&gt;&lt;authors&gt;&lt;author&gt;Onwuegbuzie, Anthony J.&lt;/author&gt;&lt;author&gt;Johnson, R. Burke&lt;/author&gt;&lt;/authors&gt;&lt;/contributors&gt;&lt;titles&gt;&lt;title&gt;The validity issue in mixed research&lt;/title&gt;&lt;secondary-title&gt;Research in the Schools&lt;/secondary-title&gt;&lt;/titles&gt;&lt;periodical&gt;&lt;full-title&gt;Research in the Schools&lt;/full-title&gt;&lt;/periodical&gt;&lt;pages&gt;48-63&lt;/pages&gt;&lt;volume&gt;13&lt;/volume&gt;&lt;number&gt;1&lt;/number&gt;&lt;dates&gt;&lt;year&gt;2006&lt;/year&gt;&lt;/dates&gt;&lt;urls&gt;&lt;/urls&gt;&lt;/record&gt;&lt;/Cite&gt;&lt;/EndNote&gt;</w:instrText>
      </w:r>
      <w:r w:rsidR="00EF281A" w:rsidRPr="003726FE">
        <w:rPr>
          <w:lang w:val="en-GB"/>
        </w:rPr>
        <w:fldChar w:fldCharType="separate"/>
      </w:r>
      <w:r w:rsidR="004E5A78" w:rsidRPr="003726FE">
        <w:rPr>
          <w:noProof/>
          <w:lang w:val="en-GB"/>
        </w:rPr>
        <w:t>(</w:t>
      </w:r>
      <w:hyperlink w:anchor="_ENREF_309" w:tooltip="Onwuegbuzie, 2006 #189" w:history="1">
        <w:r w:rsidR="0094469E" w:rsidRPr="003726FE">
          <w:rPr>
            <w:noProof/>
            <w:lang w:val="en-GB"/>
          </w:rPr>
          <w:t>Onwuegbuzie and Johnson 2006</w:t>
        </w:r>
      </w:hyperlink>
      <w:r w:rsidR="004E5A78" w:rsidRPr="003726FE">
        <w:rPr>
          <w:noProof/>
          <w:lang w:val="en-GB"/>
        </w:rPr>
        <w:t>)</w:t>
      </w:r>
      <w:r w:rsidR="00EF281A" w:rsidRPr="003726FE">
        <w:rPr>
          <w:lang w:val="en-GB"/>
        </w:rPr>
        <w:fldChar w:fldCharType="end"/>
      </w:r>
      <w:r w:rsidR="00BF5391" w:rsidRPr="003726FE">
        <w:rPr>
          <w:lang w:val="en-GB"/>
        </w:rPr>
        <w:t>, claimin</w:t>
      </w:r>
      <w:r w:rsidR="00776CEC">
        <w:rPr>
          <w:lang w:val="en-GB"/>
        </w:rPr>
        <w:t>g that mixed methods creates a “fuller picture”</w:t>
      </w:r>
      <w:r w:rsidR="00BF5391" w:rsidRPr="003726FE">
        <w:rPr>
          <w:lang w:val="en-GB"/>
        </w:rPr>
        <w:t xml:space="preserve"> of an observed phenomenon </w:t>
      </w:r>
      <w:r w:rsidR="00EF281A" w:rsidRPr="003726FE">
        <w:rPr>
          <w:lang w:val="en-GB"/>
        </w:rPr>
        <w:fldChar w:fldCharType="begin"/>
      </w:r>
      <w:r w:rsidR="00906C98">
        <w:rPr>
          <w:lang w:val="en-GB"/>
        </w:rPr>
        <w:instrText xml:space="preserve"> ADDIN EN.CITE &lt;EndNote&gt;&lt;Cite&gt;&lt;Author&gt;Erzberger&lt;/Author&gt;&lt;Year&gt;2003&lt;/Year&gt;&lt;RecNum&gt;77&lt;/RecNum&gt;&lt;Pages&gt;469-470&lt;/Pages&gt;&lt;DisplayText&gt;(Erzberger and Kelle 2003b, pp. 469-470)&lt;/DisplayText&gt;&lt;record&gt;&lt;rec-number&gt;77&lt;/rec-number&gt;&lt;foreign-keys&gt;&lt;key app="EN" db-id="xa2r2ewea92trkef5dt5arvbzafvpv2za5ft" timestamp="1442161763"&gt;77&lt;/key&gt;&lt;/foreign-keys&gt;&lt;ref-type name="Journal Article"&gt;17&lt;/ref-type&gt;&lt;contributors&gt;&lt;authors&gt;&lt;author&gt;Erzberger, Christian.&lt;/author&gt;&lt;author&gt;Kelle, U.&lt;/author&gt;&lt;/authors&gt;&lt;/contributors&gt;&lt;titles&gt;&lt;title&gt;Making Inferences in Mixed Methods: The Rules of Integration. IN TASHAKKORI, A. &amp;amp; TEDDLIE, C.(Eds.) Handbook of Mixed Methods in Social and Behavioral Research&lt;/title&gt;&lt;/titles&gt;&lt;dates&gt;&lt;year&gt;2003&lt;/year&gt;&lt;/dates&gt;&lt;publisher&gt;Thousand Oaks, California, Sage Publications&lt;/publisher&gt;&lt;urls&gt;&lt;/urls&gt;&lt;/record&gt;&lt;/Cite&gt;&lt;/EndNote&gt;</w:instrText>
      </w:r>
      <w:r w:rsidR="00EF281A" w:rsidRPr="003726FE">
        <w:rPr>
          <w:lang w:val="en-GB"/>
        </w:rPr>
        <w:fldChar w:fldCharType="separate"/>
      </w:r>
      <w:r w:rsidR="00906C98">
        <w:rPr>
          <w:noProof/>
          <w:lang w:val="en-GB"/>
        </w:rPr>
        <w:t>(</w:t>
      </w:r>
      <w:hyperlink w:anchor="_ENREF_143" w:tooltip="Erzberger, 2003 #77" w:history="1">
        <w:r w:rsidR="0094469E">
          <w:rPr>
            <w:noProof/>
            <w:lang w:val="en-GB"/>
          </w:rPr>
          <w:t>Erzberger and Kelle 2003b, pp. 469-470</w:t>
        </w:r>
      </w:hyperlink>
      <w:r w:rsidR="00906C98">
        <w:rPr>
          <w:noProof/>
          <w:lang w:val="en-GB"/>
        </w:rPr>
        <w:t>)</w:t>
      </w:r>
      <w:r w:rsidR="00EF281A" w:rsidRPr="003726FE">
        <w:rPr>
          <w:lang w:val="en-GB"/>
        </w:rPr>
        <w:fldChar w:fldCharType="end"/>
      </w:r>
      <w:r w:rsidR="00BF5391" w:rsidRPr="003726FE">
        <w:rPr>
          <w:lang w:val="en-GB"/>
        </w:rPr>
        <w:t xml:space="preserve">. </w:t>
      </w:r>
    </w:p>
    <w:p w14:paraId="4142B7FF" w14:textId="77777777" w:rsidR="00BF5391" w:rsidRPr="003726FE" w:rsidRDefault="00BF5391" w:rsidP="00026049">
      <w:pPr>
        <w:pStyle w:val="Normal1"/>
        <w:rPr>
          <w:lang w:val="en-GB"/>
        </w:rPr>
      </w:pPr>
    </w:p>
    <w:p w14:paraId="54AF7CC7" w14:textId="5F3C0C1D" w:rsidR="00DD1B8F" w:rsidRPr="003726FE" w:rsidRDefault="00DD1B8F" w:rsidP="00026049">
      <w:pPr>
        <w:pStyle w:val="Normal1"/>
        <w:rPr>
          <w:lang w:val="en-GB"/>
        </w:rPr>
      </w:pPr>
      <w:r w:rsidRPr="003726FE">
        <w:rPr>
          <w:lang w:val="en-GB"/>
        </w:rPr>
        <w:t xml:space="preserve">The philosophical position of pragmatism argues for the pluralistic approach that “research paradigms can remain separate, but they also can be mixed into another research paradigm” </w:t>
      </w:r>
      <w:r w:rsidR="00EF281A" w:rsidRPr="003726FE">
        <w:rPr>
          <w:lang w:val="en-GB"/>
        </w:rPr>
        <w:fldChar w:fldCharType="begin"/>
      </w:r>
      <w:r w:rsidR="008B61BE">
        <w:rPr>
          <w:lang w:val="en-GB"/>
        </w:rPr>
        <w:instrText xml:space="preserve"> ADDIN EN.CITE &lt;EndNote&gt;&lt;Cite&gt;&lt;Author&gt;Johnson&lt;/Author&gt;&lt;Year&gt;2007&lt;/Year&gt;&lt;RecNum&gt;120&lt;/RecNum&gt;&lt;Pages&gt;125&lt;/Pages&gt;&lt;DisplayText&gt;(Johnson et al. 2007, p. 125)&lt;/DisplayText&gt;&lt;record&gt;&lt;rec-number&gt;120&lt;/rec-number&gt;&lt;foreign-keys&gt;&lt;key app="EN" db-id="xa2r2ewea92trkef5dt5arvbzafvpv2za5ft" timestamp="1442161764"&gt;120&lt;/key&gt;&lt;/foreign-keys&gt;&lt;ref-type name="Journal Article"&gt;17&lt;/ref-type&gt;&lt;contributors&gt;&lt;authors&gt;&lt;author&gt;Johnson, R. Burke&lt;/author&gt;&lt;author&gt;Onwuegbuzie, Anthony J.&lt;/author&gt;&lt;author&gt;Turner, Lisa A.&lt;/author&gt;&lt;/authors&gt;&lt;/contributors&gt;&lt;titles&gt;&lt;title&gt;Toward a definition of mixed methods research&lt;/title&gt;&lt;secondary-title&gt;Journal of mixed methods research&lt;/secondary-title&gt;&lt;/titles&gt;&lt;periodical&gt;&lt;full-title&gt;Journal of mixed methods research&lt;/full-title&gt;&lt;/periodical&gt;&lt;pages&gt;112-133&lt;/pages&gt;&lt;volume&gt;1&lt;/volume&gt;&lt;number&gt;2&lt;/number&gt;&lt;dates&gt;&lt;year&gt;2007&lt;/year&gt;&lt;/dates&gt;&lt;publisher&gt;Sage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07" w:tooltip="Johnson, 2007 #120" w:history="1">
        <w:r w:rsidR="0094469E" w:rsidRPr="003726FE">
          <w:rPr>
            <w:noProof/>
            <w:lang w:val="en-GB"/>
          </w:rPr>
          <w:t>Johnson et al. 2007, p. 125</w:t>
        </w:r>
      </w:hyperlink>
      <w:r w:rsidR="004E5A78" w:rsidRPr="003726FE">
        <w:rPr>
          <w:noProof/>
          <w:lang w:val="en-GB"/>
        </w:rPr>
        <w:t>)</w:t>
      </w:r>
      <w:r w:rsidR="00EF281A" w:rsidRPr="003726FE">
        <w:rPr>
          <w:lang w:val="en-GB"/>
        </w:rPr>
        <w:fldChar w:fldCharType="end"/>
      </w:r>
      <w:r w:rsidRPr="003726FE">
        <w:rPr>
          <w:lang w:val="en-GB"/>
        </w:rPr>
        <w:t>. Pragmatist</w:t>
      </w:r>
      <w:r w:rsidR="00C57361" w:rsidRPr="003726FE">
        <w:rPr>
          <w:lang w:val="en-GB"/>
        </w:rPr>
        <w:t>s view</w:t>
      </w:r>
      <w:r w:rsidRPr="003726FE">
        <w:rPr>
          <w:lang w:val="en-GB"/>
        </w:rPr>
        <w:t xml:space="preserve"> inquiry as purposeful and situated in context, which is how conclusions are then drawn </w:t>
      </w:r>
      <w:r w:rsidR="00EF281A" w:rsidRPr="003726FE">
        <w:rPr>
          <w:lang w:val="en-GB"/>
        </w:rPr>
        <w:fldChar w:fldCharType="begin"/>
      </w:r>
      <w:r w:rsidR="008B61BE">
        <w:rPr>
          <w:lang w:val="en-GB"/>
        </w:rPr>
        <w:instrText xml:space="preserve"> ADDIN EN.CITE &lt;EndNote&gt;&lt;Cite&gt;&lt;Author&gt;Scott&lt;/Author&gt;&lt;Year&gt;2009&lt;/Year&gt;&lt;RecNum&gt;570&lt;/RecNum&gt;&lt;DisplayText&gt;(Scott and Briggs 2009)&lt;/DisplayText&gt;&lt;record&gt;&lt;rec-number&gt;570&lt;/rec-number&gt;&lt;foreign-keys&gt;&lt;key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EF281A" w:rsidRPr="003726FE">
        <w:rPr>
          <w:lang w:val="en-GB"/>
        </w:rPr>
        <w:fldChar w:fldCharType="separate"/>
      </w:r>
      <w:r w:rsidR="004E5A78" w:rsidRPr="003726FE">
        <w:rPr>
          <w:noProof/>
          <w:lang w:val="en-GB"/>
        </w:rPr>
        <w:t>(</w:t>
      </w:r>
      <w:hyperlink w:anchor="_ENREF_377" w:tooltip="Scott, 2009 #570" w:history="1">
        <w:r w:rsidR="0094469E" w:rsidRPr="003726FE">
          <w:rPr>
            <w:noProof/>
            <w:lang w:val="en-GB"/>
          </w:rPr>
          <w:t xml:space="preserve">Scott and </w:t>
        </w:r>
        <w:r w:rsidR="0094469E" w:rsidRPr="003726FE">
          <w:rPr>
            <w:noProof/>
            <w:lang w:val="en-GB"/>
          </w:rPr>
          <w:lastRenderedPageBreak/>
          <w:t>Briggs 2009</w:t>
        </w:r>
      </w:hyperlink>
      <w:r w:rsidR="004E5A78" w:rsidRPr="003726FE">
        <w:rPr>
          <w:noProof/>
          <w:lang w:val="en-GB"/>
        </w:rPr>
        <w:t>)</w:t>
      </w:r>
      <w:r w:rsidR="00EF281A" w:rsidRPr="003726FE">
        <w:rPr>
          <w:lang w:val="en-GB"/>
        </w:rPr>
        <w:fldChar w:fldCharType="end"/>
      </w:r>
      <w:r w:rsidRPr="003726FE">
        <w:rPr>
          <w:lang w:val="en-GB"/>
        </w:rPr>
        <w:t xml:space="preserve">, as opposed to empiricism which exclusively uses de-contextualised data to form conclusions </w:t>
      </w:r>
      <w:r w:rsidR="00EF281A" w:rsidRPr="003726FE">
        <w:rPr>
          <w:lang w:val="en-GB"/>
        </w:rPr>
        <w:fldChar w:fldCharType="begin"/>
      </w:r>
      <w:r w:rsidR="008B61BE">
        <w:rPr>
          <w:lang w:val="en-GB"/>
        </w:rPr>
        <w:instrText xml:space="preserve"> ADDIN EN.CITE &lt;EndNote&gt;&lt;Cite&gt;&lt;Author&gt;Kuhn&lt;/Author&gt;&lt;Year&gt;2000&lt;/Year&gt;&lt;RecNum&gt;138&lt;/RecNum&gt;&lt;DisplayText&gt;(Kuhn et al. 2000)&lt;/DisplayText&gt;&lt;record&gt;&lt;rec-number&gt;138&lt;/rec-number&gt;&lt;foreign-keys&gt;&lt;key app="EN" db-id="xa2r2ewea92trkef5dt5arvbzafvpv2za5ft" timestamp="1442161764"&gt;138&lt;/key&gt;&lt;/foreign-keys&gt;&lt;ref-type name="Book"&gt;6&lt;/ref-type&gt;&lt;contributors&gt;&lt;authors&gt;&lt;author&gt;Kuhn, Thomas S.&lt;/author&gt;&lt;author&gt;Conant, James&lt;/author&gt;&lt;author&gt;Haugeland, John&lt;/author&gt;&lt;/authors&gt;&lt;/contributors&gt;&lt;titles&gt;&lt;title&gt;The road since structure: philosophical essays, 1970-1993, with an autobiographical interview&lt;/title&gt;&lt;/titles&gt;&lt;number&gt;Book, Whole&lt;/number&gt;&lt;dates&gt;&lt;year&gt;2000&lt;/year&gt;&lt;/dates&gt;&lt;publisher&gt;University of Chicago Press&lt;/publisher&gt;&lt;urls&gt;&lt;/urls&gt;&lt;/record&gt;&lt;/Cite&gt;&lt;/EndNote&gt;</w:instrText>
      </w:r>
      <w:r w:rsidR="00EF281A" w:rsidRPr="003726FE">
        <w:rPr>
          <w:lang w:val="en-GB"/>
        </w:rPr>
        <w:fldChar w:fldCharType="separate"/>
      </w:r>
      <w:r w:rsidR="004E5A78" w:rsidRPr="003726FE">
        <w:rPr>
          <w:noProof/>
          <w:lang w:val="en-GB"/>
        </w:rPr>
        <w:t>(</w:t>
      </w:r>
      <w:hyperlink w:anchor="_ENREF_229" w:tooltip="Kuhn, 2000 #138" w:history="1">
        <w:r w:rsidR="0094469E" w:rsidRPr="003726FE">
          <w:rPr>
            <w:noProof/>
            <w:lang w:val="en-GB"/>
          </w:rPr>
          <w:t>Kuhn et al. 2000</w:t>
        </w:r>
      </w:hyperlink>
      <w:r w:rsidR="004E5A78" w:rsidRPr="003726FE">
        <w:rPr>
          <w:noProof/>
          <w:lang w:val="en-GB"/>
        </w:rPr>
        <w:t>)</w:t>
      </w:r>
      <w:r w:rsidR="00EF281A" w:rsidRPr="003726FE">
        <w:rPr>
          <w:lang w:val="en-GB"/>
        </w:rPr>
        <w:fldChar w:fldCharType="end"/>
      </w:r>
      <w:r w:rsidR="00DD4612">
        <w:rPr>
          <w:lang w:val="en-GB"/>
        </w:rPr>
        <w:t xml:space="preserve">. </w:t>
      </w:r>
      <w:hyperlink w:anchor="_ENREF_377" w:tooltip="Scott, 2009 #570" w:history="1">
        <w:r w:rsidR="0094469E" w:rsidRPr="003726FE">
          <w:rPr>
            <w:lang w:val="en-GB"/>
          </w:rPr>
          <w:fldChar w:fldCharType="begin"/>
        </w:r>
        <w:r w:rsidR="0094469E">
          <w:rPr>
            <w:lang w:val="en-GB"/>
          </w:rPr>
          <w:instrText xml:space="preserve"> ADDIN EN.CITE &lt;EndNote&gt;&lt;Cite AuthorYear="1"&gt;&lt;Author&gt;Scott&lt;/Author&gt;&lt;Year&gt;2009&lt;/Year&gt;&lt;RecNum&gt;570&lt;/RecNum&gt;&lt;Pages&gt;232&lt;/Pages&gt;&lt;DisplayText&gt;Scott and Briggs (2009, p. 232)&lt;/DisplayText&gt;&lt;record&gt;&lt;rec-number&gt;570&lt;/rec-number&gt;&lt;foreign-keys&gt;&lt;key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94469E" w:rsidRPr="003726FE">
          <w:rPr>
            <w:lang w:val="en-GB"/>
          </w:rPr>
          <w:fldChar w:fldCharType="separate"/>
        </w:r>
        <w:r w:rsidR="0094469E" w:rsidRPr="003726FE">
          <w:rPr>
            <w:noProof/>
            <w:lang w:val="en-GB"/>
          </w:rPr>
          <w:t>Scott and Briggs (2009, p. 232)</w:t>
        </w:r>
        <w:r w:rsidR="0094469E" w:rsidRPr="003726FE">
          <w:rPr>
            <w:lang w:val="en-GB"/>
          </w:rPr>
          <w:fldChar w:fldCharType="end"/>
        </w:r>
      </w:hyperlink>
      <w:r w:rsidRPr="003726FE">
        <w:rPr>
          <w:lang w:val="en-GB"/>
        </w:rPr>
        <w:t xml:space="preserve"> suggest</w:t>
      </w:r>
      <w:r w:rsidR="00776CEC">
        <w:rPr>
          <w:lang w:val="en-GB"/>
        </w:rPr>
        <w:t>ed</w:t>
      </w:r>
      <w:r w:rsidRPr="003726FE">
        <w:rPr>
          <w:lang w:val="en-GB"/>
        </w:rPr>
        <w:t xml:space="preserve"> that medical practice itself is “p</w:t>
      </w:r>
      <w:r w:rsidR="00EC167E" w:rsidRPr="003726FE">
        <w:rPr>
          <w:lang w:val="en-GB"/>
        </w:rPr>
        <w:t>ragmatist and situated”</w:t>
      </w:r>
      <w:r w:rsidRPr="003726FE">
        <w:rPr>
          <w:lang w:val="en-GB"/>
        </w:rPr>
        <w:t>, arguing that situated inquiry i</w:t>
      </w:r>
      <w:r w:rsidR="000B4460" w:rsidRPr="003726FE">
        <w:rPr>
          <w:lang w:val="en-GB"/>
        </w:rPr>
        <w:t>s central to clinical judgement. T</w:t>
      </w:r>
      <w:r w:rsidRPr="003726FE">
        <w:rPr>
          <w:lang w:val="en-GB"/>
        </w:rPr>
        <w:t>he clinician approaches a case with uncertainty and only makes warranted assertions when necess</w:t>
      </w:r>
      <w:r w:rsidR="000B4460" w:rsidRPr="003726FE">
        <w:rPr>
          <w:lang w:val="en-GB"/>
        </w:rPr>
        <w:t xml:space="preserve">ary to then treat the patient - </w:t>
      </w:r>
      <w:r w:rsidR="00776CEC">
        <w:rPr>
          <w:lang w:val="en-GB"/>
        </w:rPr>
        <w:t>requiring</w:t>
      </w:r>
      <w:r w:rsidRPr="003726FE">
        <w:rPr>
          <w:lang w:val="en-GB"/>
        </w:rPr>
        <w:t xml:space="preserve"> a pluralist approach involving interpretation and context. Additionally, clinical work itself is situated in social context - involving hierarchical, cultural, and behavioural norms. </w:t>
      </w:r>
    </w:p>
    <w:p w14:paraId="6B52C697" w14:textId="77777777" w:rsidR="00DD1B8F" w:rsidRPr="003726FE" w:rsidRDefault="00DD1B8F" w:rsidP="00026049">
      <w:pPr>
        <w:pStyle w:val="Normal1"/>
        <w:rPr>
          <w:lang w:val="en-GB"/>
        </w:rPr>
      </w:pPr>
    </w:p>
    <w:p w14:paraId="39BB1890" w14:textId="24AC9536" w:rsidR="00DD1B8F" w:rsidRPr="003726FE" w:rsidRDefault="00A62029" w:rsidP="00026049">
      <w:pPr>
        <w:pStyle w:val="Normal1"/>
        <w:rPr>
          <w:rFonts w:eastAsiaTheme="minorHAnsi" w:cstheme="minorBidi"/>
          <w:szCs w:val="22"/>
          <w:lang w:val="en-GB"/>
        </w:rPr>
      </w:pPr>
      <w:r w:rsidRPr="003726FE">
        <w:rPr>
          <w:lang w:val="en-GB"/>
        </w:rPr>
        <w:t>A</w:t>
      </w:r>
      <w:r w:rsidR="00DD1B8F" w:rsidRPr="003726FE">
        <w:rPr>
          <w:lang w:val="en-GB"/>
        </w:rPr>
        <w:t xml:space="preserve"> pragmatist stance</w:t>
      </w:r>
      <w:r w:rsidRPr="003726FE">
        <w:rPr>
          <w:lang w:val="en-GB"/>
        </w:rPr>
        <w:t xml:space="preserve"> </w:t>
      </w:r>
      <w:r w:rsidR="00776CEC">
        <w:rPr>
          <w:lang w:val="en-GB"/>
        </w:rPr>
        <w:t>wa</w:t>
      </w:r>
      <w:r w:rsidRPr="003726FE">
        <w:rPr>
          <w:lang w:val="en-GB"/>
        </w:rPr>
        <w:t xml:space="preserve">s adopted </w:t>
      </w:r>
      <w:r w:rsidR="000B4460" w:rsidRPr="003726FE">
        <w:rPr>
          <w:lang w:val="en-GB"/>
        </w:rPr>
        <w:t>in this study</w:t>
      </w:r>
      <w:r w:rsidR="00DD1B8F" w:rsidRPr="003726FE">
        <w:rPr>
          <w:lang w:val="en-GB"/>
        </w:rPr>
        <w:t xml:space="preserve"> </w:t>
      </w:r>
      <w:r w:rsidR="00DD4612">
        <w:rPr>
          <w:lang w:val="en-GB"/>
        </w:rPr>
        <w:t>that</w:t>
      </w:r>
      <w:r w:rsidR="00DD1B8F" w:rsidRPr="003726FE">
        <w:rPr>
          <w:lang w:val="en-GB"/>
        </w:rPr>
        <w:t xml:space="preserve"> assumes that inquiry is directed a</w:t>
      </w:r>
      <w:r w:rsidR="000B4460" w:rsidRPr="003726FE">
        <w:rPr>
          <w:lang w:val="en-GB"/>
        </w:rPr>
        <w:t>nd situated in the social world and</w:t>
      </w:r>
      <w:r w:rsidR="00DD1B8F" w:rsidRPr="003726FE">
        <w:rPr>
          <w:lang w:val="en-GB"/>
        </w:rPr>
        <w:t xml:space="preserve"> that data and its meaning is “selected and interpreted by the process of seeking and perceiving” </w:t>
      </w:r>
      <w:r w:rsidR="00EF281A" w:rsidRPr="003726FE">
        <w:rPr>
          <w:lang w:val="en-GB"/>
        </w:rPr>
        <w:fldChar w:fldCharType="begin"/>
      </w:r>
      <w:r w:rsidR="008B61BE">
        <w:rPr>
          <w:lang w:val="en-GB"/>
        </w:rPr>
        <w:instrText xml:space="preserve"> ADDIN EN.CITE &lt;EndNote&gt;&lt;Cite&gt;&lt;Author&gt;Scott&lt;/Author&gt;&lt;Year&gt;2009&lt;/Year&gt;&lt;RecNum&gt;570&lt;/RecNum&gt;&lt;Pages&gt;232&lt;/Pages&gt;&lt;DisplayText&gt;(Scott and Briggs 2009, p. 232)&lt;/DisplayText&gt;&lt;record&gt;&lt;rec-number&gt;570&lt;/rec-number&gt;&lt;foreign-keys&gt;&lt;key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EF281A" w:rsidRPr="003726FE">
        <w:rPr>
          <w:lang w:val="en-GB"/>
        </w:rPr>
        <w:fldChar w:fldCharType="separate"/>
      </w:r>
      <w:r w:rsidR="004E5A78" w:rsidRPr="003726FE">
        <w:rPr>
          <w:noProof/>
          <w:lang w:val="en-GB"/>
        </w:rPr>
        <w:t>(</w:t>
      </w:r>
      <w:hyperlink w:anchor="_ENREF_377" w:tooltip="Scott, 2009 #570" w:history="1">
        <w:r w:rsidR="0094469E" w:rsidRPr="003726FE">
          <w:rPr>
            <w:noProof/>
            <w:lang w:val="en-GB"/>
          </w:rPr>
          <w:t>Scott and Briggs 2009, p. 232</w:t>
        </w:r>
      </w:hyperlink>
      <w:r w:rsidR="004E5A78" w:rsidRPr="003726FE">
        <w:rPr>
          <w:noProof/>
          <w:lang w:val="en-GB"/>
        </w:rPr>
        <w:t>)</w:t>
      </w:r>
      <w:r w:rsidR="00EF281A" w:rsidRPr="003726FE">
        <w:rPr>
          <w:lang w:val="en-GB"/>
        </w:rPr>
        <w:fldChar w:fldCharType="end"/>
      </w:r>
      <w:r w:rsidR="00DD1B8F" w:rsidRPr="003726FE">
        <w:rPr>
          <w:lang w:val="en-GB"/>
        </w:rPr>
        <w:t xml:space="preserve">. </w:t>
      </w:r>
      <w:r w:rsidR="002D5376">
        <w:rPr>
          <w:lang w:val="en-GB"/>
        </w:rPr>
        <w:t>M</w:t>
      </w:r>
      <w:r w:rsidR="00DD1B8F" w:rsidRPr="003726FE">
        <w:rPr>
          <w:lang w:val="en-GB"/>
        </w:rPr>
        <w:t xml:space="preserve">ethodology </w:t>
      </w:r>
      <w:r w:rsidR="002D5376">
        <w:rPr>
          <w:lang w:val="en-GB"/>
        </w:rPr>
        <w:t xml:space="preserve">is viewed </w:t>
      </w:r>
      <w:r w:rsidR="00DD1B8F" w:rsidRPr="003726FE">
        <w:rPr>
          <w:lang w:val="en-GB"/>
        </w:rPr>
        <w:t xml:space="preserve">through a pluralist lens acknowledging multiple </w:t>
      </w:r>
      <w:r w:rsidR="008E7D00">
        <w:rPr>
          <w:lang w:val="en-GB"/>
        </w:rPr>
        <w:t>conceptualisation</w:t>
      </w:r>
      <w:r w:rsidR="00DD1B8F" w:rsidRPr="003726FE">
        <w:rPr>
          <w:lang w:val="en-GB"/>
        </w:rPr>
        <w:t xml:space="preserve">s of facts and beliefs that are socially constructed and can be known by integrating “empiricist and rationalist ways of knowing” </w:t>
      </w:r>
      <w:r w:rsidR="00EF281A" w:rsidRPr="003726FE">
        <w:rPr>
          <w:lang w:val="en-GB"/>
        </w:rPr>
        <w:fldChar w:fldCharType="begin"/>
      </w:r>
      <w:r w:rsidR="008B61BE">
        <w:rPr>
          <w:lang w:val="en-GB"/>
        </w:rPr>
        <w:instrText xml:space="preserve"> ADDIN EN.CITE &lt;EndNote&gt;&lt;Cite&gt;&lt;Author&gt;Scott&lt;/Author&gt;&lt;Year&gt;2009&lt;/Year&gt;&lt;RecNum&gt;570&lt;/RecNum&gt;&lt;Pages&gt;231&lt;/Pages&gt;&lt;DisplayText&gt;(Scott and Briggs 2009, p. 231)&lt;/DisplayText&gt;&lt;record&gt;&lt;rec-number&gt;570&lt;/rec-number&gt;&lt;foreign-keys&gt;&lt;key app="EN" db-id="xa2r2ewea92trkef5dt5arvbzafvpv2za5ft" timestamp="1496417555"&gt;570&lt;/key&gt;&lt;/foreign-keys&gt;&lt;ref-type name="Journal Article"&gt;17&lt;/ref-type&gt;&lt;contributors&gt;&lt;authors&gt;&lt;author&gt;Scott, Philip J&lt;/author&gt;&lt;author&gt;Briggs, James S&lt;/author&gt;&lt;/authors&gt;&lt;/contributors&gt;&lt;titles&gt;&lt;title&gt;A pragmatist argument for mixed methodology in medical informatics&lt;/title&gt;&lt;secondary-title&gt;Journal of Mixed Methods Research&lt;/secondary-title&gt;&lt;/titles&gt;&lt;periodical&gt;&lt;full-title&gt;Journal of mixed methods research&lt;/full-title&gt;&lt;/periodical&gt;&lt;dates&gt;&lt;year&gt;2009&lt;/year&gt;&lt;/dates&gt;&lt;isbn&gt;1558-6898&lt;/isbn&gt;&lt;urls&gt;&lt;/urls&gt;&lt;/record&gt;&lt;/Cite&gt;&lt;/EndNote&gt;</w:instrText>
      </w:r>
      <w:r w:rsidR="00EF281A" w:rsidRPr="003726FE">
        <w:rPr>
          <w:lang w:val="en-GB"/>
        </w:rPr>
        <w:fldChar w:fldCharType="separate"/>
      </w:r>
      <w:r w:rsidR="004E5A78" w:rsidRPr="003726FE">
        <w:rPr>
          <w:noProof/>
          <w:lang w:val="en-GB"/>
        </w:rPr>
        <w:t>(</w:t>
      </w:r>
      <w:hyperlink w:anchor="_ENREF_377" w:tooltip="Scott, 2009 #570" w:history="1">
        <w:r w:rsidR="0094469E" w:rsidRPr="003726FE">
          <w:rPr>
            <w:noProof/>
            <w:lang w:val="en-GB"/>
          </w:rPr>
          <w:t>Scott and Briggs 2009, p. 231</w:t>
        </w:r>
      </w:hyperlink>
      <w:r w:rsidR="004E5A78" w:rsidRPr="003726FE">
        <w:rPr>
          <w:noProof/>
          <w:lang w:val="en-GB"/>
        </w:rPr>
        <w:t>)</w:t>
      </w:r>
      <w:r w:rsidR="00EF281A" w:rsidRPr="003726FE">
        <w:rPr>
          <w:lang w:val="en-GB"/>
        </w:rPr>
        <w:fldChar w:fldCharType="end"/>
      </w:r>
      <w:r w:rsidR="00DD1B8F" w:rsidRPr="003726FE">
        <w:rPr>
          <w:lang w:val="en-GB"/>
        </w:rPr>
        <w:t xml:space="preserve">. Knowledge is generated using processes of deduction (inferences based on laws and principles) and induction (using the interpreted understanding of the participant’s perspectives on their social circumstances including their experiences and history) </w:t>
      </w:r>
      <w:r w:rsidR="00EF281A" w:rsidRPr="003726FE">
        <w:rPr>
          <w:lang w:val="en-GB"/>
        </w:rPr>
        <w:fldChar w:fldCharType="begin"/>
      </w:r>
      <w:r w:rsidR="008B61BE">
        <w:rPr>
          <w:lang w:val="en-GB"/>
        </w:rPr>
        <w:instrText xml:space="preserve"> ADDIN EN.CITE &lt;EndNote&gt;&lt;Cite&gt;&lt;Author&gt;Ritchie&lt;/Author&gt;&lt;Year&gt;2003&lt;/Year&gt;&lt;RecNum&gt;212&lt;/RecNum&gt;&lt;DisplayText&gt;(Ritchie and Lewis 2003)&lt;/DisplayText&gt;&lt;record&gt;&lt;rec-number&gt;212&lt;/rec-number&gt;&lt;foreign-keys&gt;&lt;key app="EN" db-id="xa2r2ewea92trkef5dt5arvbzafvpv2za5ft" timestamp="1442161765"&gt;212&lt;/key&gt;&lt;/foreign-keys&gt;&lt;ref-type name="Journal Article"&gt;17&lt;/ref-type&gt;&lt;contributors&gt;&lt;authors&gt;&lt;author&gt;Ritchie, J.&lt;/author&gt;&lt;author&gt;Lewis, J.&lt;/author&gt;&lt;/authors&gt;&lt;/contributors&gt;&lt;titles&gt;&lt;title&gt;Qualitative Research Methods&lt;/title&gt;&lt;/titles&gt;&lt;dates&gt;&lt;year&gt;2003&lt;/year&gt;&lt;/dates&gt;&lt;publisher&gt;Sage, London UK&lt;/publisher&gt;&lt;urls&gt;&lt;/urls&gt;&lt;/record&gt;&lt;/Cite&gt;&lt;/EndNote&gt;</w:instrText>
      </w:r>
      <w:r w:rsidR="00EF281A" w:rsidRPr="003726FE">
        <w:rPr>
          <w:lang w:val="en-GB"/>
        </w:rPr>
        <w:fldChar w:fldCharType="separate"/>
      </w:r>
      <w:r w:rsidR="004E5A78" w:rsidRPr="003726FE">
        <w:rPr>
          <w:noProof/>
          <w:lang w:val="en-GB"/>
        </w:rPr>
        <w:t>(</w:t>
      </w:r>
      <w:hyperlink w:anchor="_ENREF_344" w:tooltip="Ritchie, 2003 #212" w:history="1">
        <w:r w:rsidR="0094469E" w:rsidRPr="003726FE">
          <w:rPr>
            <w:noProof/>
            <w:lang w:val="en-GB"/>
          </w:rPr>
          <w:t>Ritchie and Lewis 2003</w:t>
        </w:r>
      </w:hyperlink>
      <w:r w:rsidR="004E5A78" w:rsidRPr="003726FE">
        <w:rPr>
          <w:noProof/>
          <w:lang w:val="en-GB"/>
        </w:rPr>
        <w:t>)</w:t>
      </w:r>
      <w:r w:rsidR="00EF281A" w:rsidRPr="003726FE">
        <w:rPr>
          <w:lang w:val="en-GB"/>
        </w:rPr>
        <w:fldChar w:fldCharType="end"/>
      </w:r>
      <w:r w:rsidR="00BA7264" w:rsidRPr="003726FE">
        <w:rPr>
          <w:lang w:val="en-GB"/>
        </w:rPr>
        <w:t>.</w:t>
      </w:r>
    </w:p>
    <w:p w14:paraId="57AFA634" w14:textId="77777777" w:rsidR="00BA7264" w:rsidRPr="003726FE" w:rsidRDefault="00BA7264">
      <w:pPr>
        <w:rPr>
          <w:rFonts w:eastAsiaTheme="majorEastAsia" w:cs="Times New Roman"/>
          <w:b/>
          <w:color w:val="000000" w:themeColor="text1"/>
          <w:sz w:val="28"/>
          <w:szCs w:val="26"/>
          <w:shd w:val="clear" w:color="auto" w:fill="FCFCFC"/>
        </w:rPr>
      </w:pPr>
      <w:r w:rsidRPr="003726FE">
        <w:br w:type="page"/>
      </w:r>
    </w:p>
    <w:p w14:paraId="6F7258BE" w14:textId="57DD165C" w:rsidR="0039477A" w:rsidRPr="003726FE" w:rsidRDefault="00822E3B" w:rsidP="00B1638D">
      <w:pPr>
        <w:pStyle w:val="Heading2"/>
        <w:rPr>
          <w:lang w:val="en-GB"/>
        </w:rPr>
      </w:pPr>
      <w:bookmarkStart w:id="201" w:name="_Toc500319346"/>
      <w:r w:rsidRPr="003726FE">
        <w:rPr>
          <w:lang w:val="en-GB"/>
        </w:rPr>
        <w:lastRenderedPageBreak/>
        <w:t>A3</w:t>
      </w:r>
      <w:r w:rsidR="00E53628" w:rsidRPr="003726FE">
        <w:rPr>
          <w:lang w:val="en-GB"/>
        </w:rPr>
        <w:t>.3</w:t>
      </w:r>
      <w:r w:rsidR="00F176D2" w:rsidRPr="003726FE">
        <w:rPr>
          <w:lang w:val="en-GB"/>
        </w:rPr>
        <w:t xml:space="preserve"> </w:t>
      </w:r>
      <w:r w:rsidR="00B07B0C" w:rsidRPr="003726FE">
        <w:rPr>
          <w:lang w:val="en-GB"/>
        </w:rPr>
        <w:t xml:space="preserve">Theoretical </w:t>
      </w:r>
      <w:r w:rsidR="00F176D2" w:rsidRPr="003726FE">
        <w:rPr>
          <w:lang w:val="en-GB"/>
        </w:rPr>
        <w:t>Framework</w:t>
      </w:r>
      <w:r w:rsidR="001F7FE6" w:rsidRPr="003726FE">
        <w:rPr>
          <w:lang w:val="en-GB"/>
        </w:rPr>
        <w:t xml:space="preserve"> - </w:t>
      </w:r>
      <w:r w:rsidR="0039477A" w:rsidRPr="003726FE">
        <w:rPr>
          <w:lang w:val="en-GB"/>
        </w:rPr>
        <w:t>Self</w:t>
      </w:r>
      <w:r w:rsidR="00F176D2" w:rsidRPr="003726FE">
        <w:rPr>
          <w:lang w:val="en-GB"/>
        </w:rPr>
        <w:t>-Regulated Learning Theory</w:t>
      </w:r>
      <w:bookmarkEnd w:id="201"/>
    </w:p>
    <w:p w14:paraId="1B9701B3" w14:textId="77777777" w:rsidR="00583325" w:rsidRPr="003726FE" w:rsidRDefault="00583325" w:rsidP="00026049">
      <w:pPr>
        <w:pStyle w:val="Normal1"/>
        <w:rPr>
          <w:lang w:val="en-GB"/>
        </w:rPr>
      </w:pPr>
    </w:p>
    <w:p w14:paraId="700391FB" w14:textId="799EEB8D" w:rsidR="00B225F1" w:rsidRPr="003726FE" w:rsidRDefault="00B225F1" w:rsidP="00026049">
      <w:pPr>
        <w:pStyle w:val="Normal1"/>
        <w:rPr>
          <w:lang w:val="en-GB"/>
        </w:rPr>
      </w:pPr>
      <w:r w:rsidRPr="003726FE">
        <w:rPr>
          <w:lang w:val="en-GB"/>
        </w:rPr>
        <w:t xml:space="preserve">The </w:t>
      </w:r>
      <w:r w:rsidR="00F17F73">
        <w:rPr>
          <w:lang w:val="en-GB"/>
        </w:rPr>
        <w:t>social cognitive</w:t>
      </w:r>
      <w:r w:rsidRPr="003726FE">
        <w:rPr>
          <w:lang w:val="en-GB"/>
        </w:rPr>
        <w:t xml:space="preserve"> view of </w:t>
      </w:r>
      <w:r w:rsidR="001F7FE6" w:rsidRPr="003726FE">
        <w:rPr>
          <w:lang w:val="en-GB"/>
        </w:rPr>
        <w:t xml:space="preserve">Zimmerman’s three stage cyclical </w:t>
      </w:r>
      <w:r w:rsidR="00B94579">
        <w:rPr>
          <w:lang w:val="en-GB"/>
        </w:rPr>
        <w:t>model of SRL</w:t>
      </w:r>
      <w:r w:rsidR="00583325" w:rsidRPr="003726FE">
        <w:rPr>
          <w:lang w:val="en-GB"/>
        </w:rPr>
        <w:t xml:space="preserve"> </w:t>
      </w:r>
      <w:r w:rsidRPr="003726FE">
        <w:rPr>
          <w:lang w:val="en-GB"/>
        </w:rPr>
        <w:t>w</w:t>
      </w:r>
      <w:r w:rsidR="00583325" w:rsidRPr="003726FE">
        <w:rPr>
          <w:lang w:val="en-GB"/>
        </w:rPr>
        <w:t>as a</w:t>
      </w:r>
      <w:r w:rsidRPr="003726FE">
        <w:rPr>
          <w:lang w:val="en-GB"/>
        </w:rPr>
        <w:t>dopted</w:t>
      </w:r>
      <w:r w:rsidR="00583325" w:rsidRPr="003726FE">
        <w:rPr>
          <w:lang w:val="en-GB"/>
        </w:rPr>
        <w:t xml:space="preserve"> </w:t>
      </w:r>
      <w:r w:rsidRPr="003726FE">
        <w:rPr>
          <w:lang w:val="en-GB"/>
        </w:rPr>
        <w:t>as the theoretical framework</w:t>
      </w:r>
      <w:r w:rsidR="00583325" w:rsidRPr="003726FE">
        <w:rPr>
          <w:lang w:val="en-GB"/>
        </w:rPr>
        <w:t xml:space="preserve"> for this study</w:t>
      </w:r>
      <w:r w:rsidR="00AA7B7E" w:rsidRPr="003726FE">
        <w:rPr>
          <w:lang w:val="en-GB"/>
        </w:rPr>
        <w:t xml:space="preserve"> </w:t>
      </w:r>
      <w:r w:rsidR="00AA7B7E" w:rsidRPr="003726FE">
        <w:rPr>
          <w:lang w:val="en-GB"/>
        </w:rPr>
        <w:fldChar w:fldCharType="begin"/>
      </w:r>
      <w:r w:rsidR="008B61BE">
        <w:rPr>
          <w:lang w:val="en-GB"/>
        </w:rPr>
        <w:instrText xml:space="preserve"> ADDIN EN.CITE &lt;EndNote&gt;&lt;Cite&gt;&lt;Author&gt;Bandura&lt;/Author&gt;&lt;Year&gt;1986&lt;/Year&gt;&lt;RecNum&gt;6&lt;/RecNum&gt;&lt;DisplayText&gt;(Bandura 1986)&lt;/DisplayText&gt;&lt;record&gt;&lt;rec-number&gt;6&lt;/rec-number&gt;&lt;foreign-keys&gt;&lt;key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00AA7B7E" w:rsidRPr="003726FE">
        <w:rPr>
          <w:lang w:val="en-GB"/>
        </w:rPr>
        <w:fldChar w:fldCharType="separate"/>
      </w:r>
      <w:r w:rsidR="00B94579">
        <w:rPr>
          <w:noProof/>
          <w:lang w:val="en-GB"/>
        </w:rPr>
        <w:t>(</w:t>
      </w:r>
      <w:hyperlink w:anchor="_ENREF_14" w:tooltip="Bandura, 1986 #6" w:history="1">
        <w:r w:rsidR="0094469E">
          <w:rPr>
            <w:noProof/>
            <w:lang w:val="en-GB"/>
          </w:rPr>
          <w:t>Bandura 1986</w:t>
        </w:r>
      </w:hyperlink>
      <w:r w:rsidR="00B94579">
        <w:rPr>
          <w:noProof/>
          <w:lang w:val="en-GB"/>
        </w:rPr>
        <w:t>)</w:t>
      </w:r>
      <w:r w:rsidR="00AA7B7E" w:rsidRPr="003726FE">
        <w:rPr>
          <w:lang w:val="en-GB"/>
        </w:rPr>
        <w:fldChar w:fldCharType="end"/>
      </w:r>
      <w:r w:rsidR="00583325" w:rsidRPr="003726FE">
        <w:rPr>
          <w:lang w:val="en-GB"/>
        </w:rPr>
        <w:t xml:space="preserve">. </w:t>
      </w:r>
      <w:hyperlink w:anchor="_ENREF_76" w:tooltip="Clark, 2011 #33" w:history="1">
        <w:r w:rsidR="0094469E" w:rsidRPr="003726FE">
          <w:rPr>
            <w:lang w:val="en-GB"/>
          </w:rPr>
          <w:fldChar w:fldCharType="begin"/>
        </w:r>
        <w:r w:rsidR="0094469E">
          <w:rPr>
            <w:lang w:val="en-GB"/>
          </w:rPr>
          <w:instrText xml:space="preserve"> ADDIN EN.CITE &lt;EndNote&gt;&lt;Cite AuthorYear="1"&gt;&lt;Author&gt;Clark&lt;/Author&gt;&lt;Year&gt;2011&lt;/Year&gt;&lt;RecNum&gt;33&lt;/RecNum&gt;&lt;Pages&gt;47&lt;/Pages&gt;&lt;DisplayText&gt;Clark and Creswell (2011, p. 47)&lt;/DisplayText&gt;&lt;record&gt;&lt;rec-number&gt;33&lt;/rec-number&gt;&lt;foreign-keys&gt;&lt;key app="EN" db-id="xa2r2ewea92trkef5dt5arvbzafvpv2za5ft" timestamp="1442161763"&gt;33&lt;/key&gt;&lt;/foreign-keys&gt;&lt;ref-type name="Book"&gt;6&lt;/ref-type&gt;&lt;contributors&gt;&lt;authors&gt;&lt;author&gt;Clark, Vicki L. Plano&lt;/author&gt;&lt;author&gt;Creswell, John W.&lt;/author&gt;&lt;/authors&gt;&lt;/contributors&gt;&lt;titles&gt;&lt;title&gt;Designing and conducting mixed methods research&lt;/title&gt;&lt;/titles&gt;&lt;dates&gt;&lt;year&gt;2011&lt;/year&gt;&lt;/dates&gt;&lt;publisher&gt;Thousand Oaks, CA: Sage&lt;/publisher&gt;&lt;urls&gt;&lt;/urls&gt;&lt;/record&gt;&lt;/Cite&gt;&lt;/EndNote&gt;</w:instrText>
        </w:r>
        <w:r w:rsidR="0094469E" w:rsidRPr="003726FE">
          <w:rPr>
            <w:lang w:val="en-GB"/>
          </w:rPr>
          <w:fldChar w:fldCharType="separate"/>
        </w:r>
        <w:r w:rsidR="0094469E" w:rsidRPr="003726FE">
          <w:rPr>
            <w:noProof/>
            <w:lang w:val="en-GB"/>
          </w:rPr>
          <w:t>Clark and Creswell (2011, p. 47)</w:t>
        </w:r>
        <w:r w:rsidR="0094469E" w:rsidRPr="003726FE">
          <w:rPr>
            <w:lang w:val="en-GB"/>
          </w:rPr>
          <w:fldChar w:fldCharType="end"/>
        </w:r>
      </w:hyperlink>
      <w:r w:rsidRPr="003726FE">
        <w:rPr>
          <w:lang w:val="en-GB"/>
        </w:rPr>
        <w:t xml:space="preserve"> define</w:t>
      </w:r>
      <w:r w:rsidR="00BA4521">
        <w:rPr>
          <w:lang w:val="en-GB"/>
        </w:rPr>
        <w:t>d</w:t>
      </w:r>
      <w:r w:rsidRPr="003726FE">
        <w:rPr>
          <w:lang w:val="en-GB"/>
        </w:rPr>
        <w:t xml:space="preserve"> theoretical </w:t>
      </w:r>
      <w:r w:rsidR="000B4460" w:rsidRPr="003726FE">
        <w:rPr>
          <w:lang w:val="en-GB"/>
        </w:rPr>
        <w:t>frameworks in mixed research as</w:t>
      </w:r>
      <w:r w:rsidRPr="003726FE">
        <w:rPr>
          <w:lang w:val="en-GB"/>
        </w:rPr>
        <w:t xml:space="preserve"> “a stance (or lens or standpoint) taken by the researcher that provides direction for</w:t>
      </w:r>
      <w:r w:rsidR="001F7BA1">
        <w:rPr>
          <w:lang w:val="en-GB"/>
        </w:rPr>
        <w:t xml:space="preserve"> the</w:t>
      </w:r>
      <w:r w:rsidRPr="003726FE">
        <w:rPr>
          <w:lang w:val="en-GB"/>
        </w:rPr>
        <w:t xml:space="preserve"> many phases of a mixed methods project”. Reviewers in the mixed methods literature emphasise the importance of applying theory to research practice; </w:t>
      </w:r>
      <w:r w:rsidR="000B4460" w:rsidRPr="003726FE">
        <w:rPr>
          <w:lang w:val="en-GB"/>
        </w:rPr>
        <w:t xml:space="preserve">this </w:t>
      </w:r>
      <w:r w:rsidRPr="003726FE">
        <w:rPr>
          <w:lang w:val="en-GB"/>
        </w:rPr>
        <w:t xml:space="preserve">theory can help to ensure rigour, clarify ideas, and guide data collection and analysis </w:t>
      </w:r>
      <w:r w:rsidR="00C17662" w:rsidRPr="003726FE">
        <w:rPr>
          <w:lang w:val="en-GB"/>
        </w:rPr>
        <w:fldChar w:fldCharType="begin"/>
      </w:r>
      <w:r w:rsidR="008B61BE">
        <w:rPr>
          <w:lang w:val="en-GB"/>
        </w:rPr>
        <w:instrText xml:space="preserve"> ADDIN EN.CITE &lt;EndNote&gt;&lt;Cite&gt;&lt;Author&gt;Wu&lt;/Author&gt;&lt;Year&gt;2009&lt;/Year&gt;&lt;RecNum&gt;271&lt;/RecNum&gt;&lt;DisplayText&gt;(Wu and Volker 2009; Östlund et al. 2011)&lt;/DisplayText&gt;&lt;record&gt;&lt;rec-number&gt;271&lt;/rec-number&gt;&lt;foreign-keys&gt;&lt;key app="EN" db-id="xa2r2ewea92trkef5dt5arvbzafvpv2za5ft" timestamp="1442161766"&gt;271&lt;/key&gt;&lt;/foreign-keys&gt;&lt;ref-type name="Journal Article"&gt;17&lt;/ref-type&gt;&lt;contributors&gt;&lt;authors&gt;&lt;author&gt;Wu, Hung</w:instrText>
      </w:r>
      <w:r w:rsidR="008B61BE">
        <w:rPr>
          <w:rFonts w:ascii="Cambria Math" w:hAnsi="Cambria Math" w:cs="Cambria Math"/>
          <w:lang w:val="en-GB"/>
        </w:rPr>
        <w:instrText>‐</w:instrText>
      </w:r>
      <w:r w:rsidR="008B61BE">
        <w:rPr>
          <w:lang w:val="en-GB"/>
        </w:rPr>
        <w:instrText>Lan&lt;/author&gt;&lt;author&gt;Volker, Deborah L.&lt;/author&gt;&lt;/authors&gt;&lt;/contributors&gt;&lt;titles&gt;&lt;title&gt;The use of theory in qualitative approaches to research: application in end</w:instrText>
      </w:r>
      <w:r w:rsidR="008B61BE">
        <w:rPr>
          <w:rFonts w:ascii="Cambria Math" w:hAnsi="Cambria Math" w:cs="Cambria Math"/>
          <w:lang w:val="en-GB"/>
        </w:rPr>
        <w:instrText>‐</w:instrText>
      </w:r>
      <w:r w:rsidR="008B61BE">
        <w:rPr>
          <w:lang w:val="en-GB"/>
        </w:rPr>
        <w:instrText>of</w:instrText>
      </w:r>
      <w:r w:rsidR="008B61BE">
        <w:rPr>
          <w:rFonts w:ascii="Cambria Math" w:hAnsi="Cambria Math" w:cs="Cambria Math"/>
          <w:lang w:val="en-GB"/>
        </w:rPr>
        <w:instrText>‐</w:instrText>
      </w:r>
      <w:r w:rsidR="008B61BE">
        <w:rPr>
          <w:lang w:val="en-GB"/>
        </w:rPr>
        <w:instrText>life studies&lt;/title&gt;&lt;secondary-title&gt;Journal of advanced nursing&lt;/secondary-title&gt;&lt;/titles&gt;&lt;periodical&gt;&lt;full-title&gt;Journal of advanced nursing&lt;/full-title&gt;&lt;/periodical&gt;&lt;pages&gt;2719-2732&lt;/pages&gt;&lt;volume&gt;65&lt;/volume&gt;&lt;number&gt;12&lt;/number&gt;&lt;dates&gt;&lt;year&gt;2009&lt;/year&gt;&lt;/dates&gt;&lt;publisher&gt;Wiley Online Library&lt;/publisher&gt;&lt;urls&gt;&lt;related-urls&gt;&lt;url&gt;http://onlinelibrary.wiley.com/doi/10.1111/j.1365-2648.2009.05157.x/abstract&lt;/url&gt;&lt;/related-urls&gt;&lt;/urls&gt;&lt;/record&gt;&lt;/Cite&gt;&lt;Cite&gt;&lt;Author&gt;Östlund&lt;/Author&gt;&lt;Year&gt;2011&lt;/Year&gt;&lt;RecNum&gt;191&lt;/RecNum&gt;&lt;record&gt;&lt;rec-number&gt;191&lt;/rec-number&gt;&lt;foreign-keys&gt;&lt;key app="EN" db-id="xa2r2ewea92trkef5dt5arvbzafvpv2za5ft" timestamp="1442161765"&gt;191&lt;/key&gt;&lt;/foreign-keys&gt;&lt;ref-type name="Journal Article"&gt;17&lt;/ref-type&gt;&lt;contributors&gt;&lt;authors&gt;&lt;author&gt;Östlund, Ulrika&lt;/author&gt;&lt;author&gt;Kidd, Lisa&lt;/author&gt;&lt;author&gt;Wengström, Yvonne&lt;/author&gt;&lt;author&gt;Rowa-Dewar, Neneh&lt;/author&gt;&lt;/authors&gt;&lt;/contributors&gt;&lt;titles&gt;&lt;title&gt;Combining qualitative and quantitative research within mixed method research designs: a methodological review&lt;/title&gt;&lt;secondary-title&gt;International journal of nursing studies&lt;/secondary-title&gt;&lt;/titles&gt;&lt;periodical&gt;&lt;full-title&gt;International journal of nursing studies&lt;/full-title&gt;&lt;/periodical&gt;&lt;pages&gt;369-383&lt;/pages&gt;&lt;volume&gt;48&lt;/volume&gt;&lt;number&gt;3&lt;/number&gt;&lt;dates&gt;&lt;year&gt;2011&lt;/year&gt;&lt;/dates&gt;&lt;publisher&gt;Elsevier&lt;/publisher&gt;&lt;urls&gt;&lt;related-urls&gt;&lt;url&gt;http://www.journalofnursingstudies.com/article/S0020-7489(10)00363-9/abstract&lt;/url&gt;&lt;/related-urls&gt;&lt;/urls&gt;&lt;/record&gt;&lt;/Cite&gt;&lt;/EndNote&gt;</w:instrText>
      </w:r>
      <w:r w:rsidR="00C17662" w:rsidRPr="003726FE">
        <w:rPr>
          <w:lang w:val="en-GB"/>
        </w:rPr>
        <w:fldChar w:fldCharType="separate"/>
      </w:r>
      <w:r w:rsidR="004E5A78" w:rsidRPr="003726FE">
        <w:rPr>
          <w:noProof/>
          <w:lang w:val="en-GB"/>
        </w:rPr>
        <w:t>(</w:t>
      </w:r>
      <w:hyperlink w:anchor="_ENREF_450" w:tooltip="Wu, 2009 #271" w:history="1">
        <w:r w:rsidR="0094469E" w:rsidRPr="003726FE">
          <w:rPr>
            <w:noProof/>
            <w:lang w:val="en-GB"/>
          </w:rPr>
          <w:t>Wu and Volker 2009</w:t>
        </w:r>
      </w:hyperlink>
      <w:r w:rsidR="004E5A78" w:rsidRPr="003726FE">
        <w:rPr>
          <w:noProof/>
          <w:lang w:val="en-GB"/>
        </w:rPr>
        <w:t xml:space="preserve">; </w:t>
      </w:r>
      <w:hyperlink w:anchor="_ENREF_310" w:tooltip="Östlund, 2011 #191" w:history="1">
        <w:r w:rsidR="0094469E" w:rsidRPr="003726FE">
          <w:rPr>
            <w:noProof/>
            <w:lang w:val="en-GB"/>
          </w:rPr>
          <w:t>Östlund et al. 2011</w:t>
        </w:r>
      </w:hyperlink>
      <w:r w:rsidR="004E5A78" w:rsidRPr="003726FE">
        <w:rPr>
          <w:noProof/>
          <w:lang w:val="en-GB"/>
        </w:rPr>
        <w:t>)</w:t>
      </w:r>
      <w:r w:rsidR="00C17662" w:rsidRPr="003726FE">
        <w:rPr>
          <w:lang w:val="en-GB"/>
        </w:rPr>
        <w:fldChar w:fldCharType="end"/>
      </w:r>
      <w:r w:rsidRPr="003726FE">
        <w:rPr>
          <w:lang w:val="en-GB"/>
        </w:rPr>
        <w:t>. This approach also helps to define outcome measures and validate conclusions b</w:t>
      </w:r>
      <w:r w:rsidR="00BA7264" w:rsidRPr="003726FE">
        <w:rPr>
          <w:lang w:val="en-GB"/>
        </w:rPr>
        <w:t>ased on theoretical assumptions. T</w:t>
      </w:r>
      <w:r w:rsidRPr="003726FE">
        <w:rPr>
          <w:lang w:val="en-GB"/>
        </w:rPr>
        <w:t xml:space="preserve">his is especially relevant when </w:t>
      </w:r>
      <w:r w:rsidR="00BA7264" w:rsidRPr="003726FE">
        <w:rPr>
          <w:lang w:val="en-GB"/>
        </w:rPr>
        <w:t>adopting a triangulated approach</w:t>
      </w:r>
      <w:r w:rsidRPr="003726FE">
        <w:rPr>
          <w:lang w:val="en-GB"/>
        </w:rPr>
        <w:t>, as used in this study</w:t>
      </w:r>
      <w:r w:rsidR="00F3592B" w:rsidRPr="003726FE">
        <w:rPr>
          <w:lang w:val="en-GB"/>
        </w:rPr>
        <w:t xml:space="preserve"> </w:t>
      </w:r>
      <w:r w:rsidR="00EF281A" w:rsidRPr="003726FE">
        <w:rPr>
          <w:lang w:val="en-GB"/>
        </w:rPr>
        <w:fldChar w:fldCharType="begin"/>
      </w:r>
      <w:r w:rsidR="008B61BE">
        <w:rPr>
          <w:lang w:val="en-GB"/>
        </w:rPr>
        <w:instrText xml:space="preserve"> ADDIN EN.CITE &lt;EndNote&gt;&lt;Cite&gt;&lt;Author&gt;Östlund&lt;/Author&gt;&lt;Year&gt;2011&lt;/Year&gt;&lt;RecNum&gt;191&lt;/RecNum&gt;&lt;DisplayText&gt;(Östlund et al. 2011)&lt;/DisplayText&gt;&lt;record&gt;&lt;rec-number&gt;191&lt;/rec-number&gt;&lt;foreign-keys&gt;&lt;key app="EN" db-id="xa2r2ewea92trkef5dt5arvbzafvpv2za5ft" timestamp="1442161765"&gt;191&lt;/key&gt;&lt;/foreign-keys&gt;&lt;ref-type name="Journal Article"&gt;17&lt;/ref-type&gt;&lt;contributors&gt;&lt;authors&gt;&lt;author&gt;Östlund, Ulrika&lt;/author&gt;&lt;author&gt;Kidd, Lisa&lt;/author&gt;&lt;author&gt;Wengström, Yvonne&lt;/author&gt;&lt;author&gt;Rowa-Dewar, Neneh&lt;/author&gt;&lt;/authors&gt;&lt;/contributors&gt;&lt;titles&gt;&lt;title&gt;Combining qualitative and quantitative research within mixed method research designs: a methodological review&lt;/title&gt;&lt;secondary-title&gt;International journal of nursing studies&lt;/secondary-title&gt;&lt;/titles&gt;&lt;periodical&gt;&lt;full-title&gt;International journal of nursing studies&lt;/full-title&gt;&lt;/periodical&gt;&lt;pages&gt;369-383&lt;/pages&gt;&lt;volume&gt;48&lt;/volume&gt;&lt;number&gt;3&lt;/number&gt;&lt;dates&gt;&lt;year&gt;2011&lt;/year&gt;&lt;/dates&gt;&lt;publisher&gt;Elsevier&lt;/publisher&gt;&lt;urls&gt;&lt;related-urls&gt;&lt;url&gt;http://www.journalofnursingstudies.com/article/S0020-7489(10)00363-9/abstract&lt;/url&gt;&lt;/related-urls&gt;&lt;/urls&gt;&lt;/record&gt;&lt;/Cite&gt;&lt;/EndNote&gt;</w:instrText>
      </w:r>
      <w:r w:rsidR="00EF281A" w:rsidRPr="003726FE">
        <w:rPr>
          <w:lang w:val="en-GB"/>
        </w:rPr>
        <w:fldChar w:fldCharType="separate"/>
      </w:r>
      <w:r w:rsidR="004E5A78" w:rsidRPr="003726FE">
        <w:rPr>
          <w:noProof/>
          <w:lang w:val="en-GB"/>
        </w:rPr>
        <w:t>(</w:t>
      </w:r>
      <w:hyperlink w:anchor="_ENREF_310" w:tooltip="Östlund, 2011 #191" w:history="1">
        <w:r w:rsidR="0094469E" w:rsidRPr="003726FE">
          <w:rPr>
            <w:noProof/>
            <w:lang w:val="en-GB"/>
          </w:rPr>
          <w:t>Östlund et al. 2011</w:t>
        </w:r>
      </w:hyperlink>
      <w:r w:rsidR="004E5A78" w:rsidRPr="003726FE">
        <w:rPr>
          <w:noProof/>
          <w:lang w:val="en-GB"/>
        </w:rPr>
        <w:t>)</w:t>
      </w:r>
      <w:r w:rsidR="00EF281A" w:rsidRPr="003726FE">
        <w:rPr>
          <w:lang w:val="en-GB"/>
        </w:rPr>
        <w:fldChar w:fldCharType="end"/>
      </w:r>
      <w:r w:rsidRPr="003726FE">
        <w:rPr>
          <w:lang w:val="en-GB"/>
        </w:rPr>
        <w:t xml:space="preserve">. Despite the advantageous nature of this practice, theoretical statements and assumptions are lacking in the mixed methods literature </w:t>
      </w:r>
      <w:r w:rsidR="00EF281A" w:rsidRPr="003726FE">
        <w:rPr>
          <w:lang w:val="en-GB"/>
        </w:rPr>
        <w:fldChar w:fldCharType="begin"/>
      </w:r>
      <w:r w:rsidR="008B61BE">
        <w:rPr>
          <w:lang w:val="en-GB"/>
        </w:rPr>
        <w:instrText xml:space="preserve"> ADDIN EN.CITE &lt;EndNote&gt;&lt;Cite&gt;&lt;Author&gt;Wu&lt;/Author&gt;&lt;Year&gt;2009&lt;/Year&gt;&lt;RecNum&gt;271&lt;/RecNum&gt;&lt;DisplayText&gt;(Wu and Volker 2009)&lt;/DisplayText&gt;&lt;record&gt;&lt;rec-number&gt;271&lt;/rec-number&gt;&lt;foreign-keys&gt;&lt;key app="EN" db-id="xa2r2ewea92trkef5dt5arvbzafvpv2za5ft" timestamp="1442161766"&gt;271&lt;/key&gt;&lt;/foreign-keys&gt;&lt;ref-type name="Journal Article"&gt;17&lt;/ref-type&gt;&lt;contributors&gt;&lt;authors&gt;&lt;author&gt;Wu, Hung</w:instrText>
      </w:r>
      <w:r w:rsidR="008B61BE">
        <w:rPr>
          <w:rFonts w:ascii="Cambria Math" w:hAnsi="Cambria Math" w:cs="Cambria Math"/>
          <w:lang w:val="en-GB"/>
        </w:rPr>
        <w:instrText>‐</w:instrText>
      </w:r>
      <w:r w:rsidR="008B61BE">
        <w:rPr>
          <w:lang w:val="en-GB"/>
        </w:rPr>
        <w:instrText>Lan&lt;/author&gt;&lt;author&gt;Volker, Deborah L.&lt;/author&gt;&lt;/authors&gt;&lt;/contributors&gt;&lt;titles&gt;&lt;title&gt;The use of theory in qualitative approaches to research: application in end</w:instrText>
      </w:r>
      <w:r w:rsidR="008B61BE">
        <w:rPr>
          <w:rFonts w:ascii="Cambria Math" w:hAnsi="Cambria Math" w:cs="Cambria Math"/>
          <w:lang w:val="en-GB"/>
        </w:rPr>
        <w:instrText>‐</w:instrText>
      </w:r>
      <w:r w:rsidR="008B61BE">
        <w:rPr>
          <w:lang w:val="en-GB"/>
        </w:rPr>
        <w:instrText>of</w:instrText>
      </w:r>
      <w:r w:rsidR="008B61BE">
        <w:rPr>
          <w:rFonts w:ascii="Cambria Math" w:hAnsi="Cambria Math" w:cs="Cambria Math"/>
          <w:lang w:val="en-GB"/>
        </w:rPr>
        <w:instrText>‐</w:instrText>
      </w:r>
      <w:r w:rsidR="008B61BE">
        <w:rPr>
          <w:lang w:val="en-GB"/>
        </w:rPr>
        <w:instrText>life studies&lt;/title&gt;&lt;secondary-title&gt;Journal of advanced nursing&lt;/secondary-title&gt;&lt;/titles&gt;&lt;periodical&gt;&lt;full-title&gt;Journal of advanced nursing&lt;/full-title&gt;&lt;/periodical&gt;&lt;pages&gt;2719-2732&lt;/pages&gt;&lt;volume&gt;65&lt;/volume&gt;&lt;number&gt;12&lt;/number&gt;&lt;dates&gt;&lt;year&gt;2009&lt;/year&gt;&lt;/dates&gt;&lt;publisher&gt;Wiley Online Library&lt;/publisher&gt;&lt;urls&gt;&lt;related-urls&gt;&lt;url&gt;http://onlinelibrary.wiley.com/doi/10.1111/j.1365-2648.2009.05157.x/abstract&lt;/url&gt;&lt;/related-urls&gt;&lt;/urls&gt;&lt;/record&gt;&lt;/Cite&gt;&lt;/EndNote&gt;</w:instrText>
      </w:r>
      <w:r w:rsidR="00EF281A" w:rsidRPr="003726FE">
        <w:rPr>
          <w:lang w:val="en-GB"/>
        </w:rPr>
        <w:fldChar w:fldCharType="separate"/>
      </w:r>
      <w:r w:rsidR="004E5A78" w:rsidRPr="003726FE">
        <w:rPr>
          <w:noProof/>
          <w:lang w:val="en-GB"/>
        </w:rPr>
        <w:t>(</w:t>
      </w:r>
      <w:hyperlink w:anchor="_ENREF_450" w:tooltip="Wu, 2009 #271" w:history="1">
        <w:r w:rsidR="0094469E" w:rsidRPr="003726FE">
          <w:rPr>
            <w:noProof/>
            <w:lang w:val="en-GB"/>
          </w:rPr>
          <w:t>Wu and Volker 2009</w:t>
        </w:r>
      </w:hyperlink>
      <w:r w:rsidR="004E5A78" w:rsidRPr="003726FE">
        <w:rPr>
          <w:noProof/>
          <w:lang w:val="en-GB"/>
        </w:rPr>
        <w:t>)</w:t>
      </w:r>
      <w:r w:rsidR="00EF281A" w:rsidRPr="003726FE">
        <w:rPr>
          <w:lang w:val="en-GB"/>
        </w:rPr>
        <w:fldChar w:fldCharType="end"/>
      </w:r>
      <w:r w:rsidRPr="003726FE">
        <w:rPr>
          <w:lang w:val="en-GB"/>
        </w:rPr>
        <w:t>. The explicit use of</w:t>
      </w:r>
      <w:r w:rsidR="00C17662" w:rsidRPr="003726FE">
        <w:rPr>
          <w:lang w:val="en-GB"/>
        </w:rPr>
        <w:t xml:space="preserve"> SRL</w:t>
      </w:r>
      <w:r w:rsidRPr="003726FE">
        <w:rPr>
          <w:lang w:val="en-GB"/>
        </w:rPr>
        <w:t xml:space="preserve"> theory </w:t>
      </w:r>
      <w:r w:rsidR="00C17662" w:rsidRPr="003726FE">
        <w:rPr>
          <w:lang w:val="en-GB"/>
        </w:rPr>
        <w:t>aim</w:t>
      </w:r>
      <w:r w:rsidR="00F17F73">
        <w:rPr>
          <w:lang w:val="en-GB"/>
        </w:rPr>
        <w:t>ed</w:t>
      </w:r>
      <w:r w:rsidR="00C17662" w:rsidRPr="003726FE">
        <w:rPr>
          <w:lang w:val="en-GB"/>
        </w:rPr>
        <w:t xml:space="preserve"> to make clear how </w:t>
      </w:r>
      <w:r w:rsidR="00BA7264" w:rsidRPr="003726FE">
        <w:rPr>
          <w:lang w:val="en-GB"/>
        </w:rPr>
        <w:t>this</w:t>
      </w:r>
      <w:r w:rsidR="00C17662" w:rsidRPr="003726FE">
        <w:rPr>
          <w:lang w:val="en-GB"/>
        </w:rPr>
        <w:t xml:space="preserve"> theory informed the </w:t>
      </w:r>
      <w:r w:rsidR="008E7D00">
        <w:rPr>
          <w:lang w:val="en-GB"/>
        </w:rPr>
        <w:t>conceptualisation</w:t>
      </w:r>
      <w:r w:rsidR="00C17662" w:rsidRPr="003726FE">
        <w:rPr>
          <w:lang w:val="en-GB"/>
        </w:rPr>
        <w:t>, design, delivery, and interpretation stages in this study</w:t>
      </w:r>
      <w:r w:rsidRPr="003726FE">
        <w:rPr>
          <w:lang w:val="en-GB"/>
        </w:rPr>
        <w:t>.</w:t>
      </w:r>
    </w:p>
    <w:p w14:paraId="08D17B40" w14:textId="77777777" w:rsidR="001B6BDB" w:rsidRPr="003726FE" w:rsidRDefault="001B6BDB" w:rsidP="00026049">
      <w:pPr>
        <w:pStyle w:val="Normal1"/>
        <w:rPr>
          <w:lang w:val="en-GB"/>
        </w:rPr>
      </w:pPr>
    </w:p>
    <w:p w14:paraId="0D455415" w14:textId="73E479D0" w:rsidR="001B6BDB" w:rsidRPr="003726FE" w:rsidRDefault="00F17F73" w:rsidP="00026049">
      <w:pPr>
        <w:pStyle w:val="Normal1"/>
        <w:rPr>
          <w:lang w:val="en-GB"/>
        </w:rPr>
      </w:pPr>
      <w:r>
        <w:rPr>
          <w:lang w:val="en-GB"/>
        </w:rPr>
        <w:t xml:space="preserve">The social </w:t>
      </w:r>
      <w:r w:rsidR="001B6BDB" w:rsidRPr="003726FE">
        <w:rPr>
          <w:lang w:val="en-GB"/>
        </w:rPr>
        <w:t xml:space="preserve">cognitive view of SRL was adopted because it views SRL </w:t>
      </w:r>
      <w:r w:rsidR="00F3592B" w:rsidRPr="003726FE">
        <w:rPr>
          <w:lang w:val="en-GB"/>
        </w:rPr>
        <w:t xml:space="preserve">as </w:t>
      </w:r>
      <w:r w:rsidR="001B6BDB" w:rsidRPr="003726FE">
        <w:rPr>
          <w:lang w:val="en-GB"/>
        </w:rPr>
        <w:t xml:space="preserve">a contextualised skill </w:t>
      </w:r>
      <w:r w:rsidR="001F7BA1">
        <w:rPr>
          <w:lang w:val="en-GB"/>
        </w:rPr>
        <w:t>that</w:t>
      </w:r>
      <w:r w:rsidR="001B6BDB" w:rsidRPr="003726FE">
        <w:rPr>
          <w:lang w:val="en-GB"/>
        </w:rPr>
        <w:t xml:space="preserve"> can be improved through taught practice </w:t>
      </w:r>
      <w:r w:rsidR="00EF281A" w:rsidRPr="003726FE">
        <w:rPr>
          <w:lang w:val="en-GB"/>
        </w:rPr>
        <w:fldChar w:fldCharType="begin"/>
      </w:r>
      <w:r w:rsidR="008B61BE">
        <w:rPr>
          <w:lang w:val="en-GB"/>
        </w:rPr>
        <w:instrText xml:space="preserve"> ADDIN EN.CITE &lt;EndNote&gt;&lt;Cite&gt;&lt;Author&gt;Bandura&lt;/Author&gt;&lt;Year&gt;1986&lt;/Year&gt;&lt;RecNum&gt;6&lt;/RecNum&gt;&lt;DisplayText&gt;(Bandura 1986)&lt;/DisplayText&gt;&lt;record&gt;&lt;rec-number&gt;6&lt;/rec-number&gt;&lt;foreign-keys&gt;&lt;key app="EN" db-id="xa2r2ewea92trkef5dt5arvbzafvpv2za5ft" timestamp="1442161763"&gt;6&lt;/key&gt;&lt;/foreign-keys&gt;&lt;ref-type name="Book"&gt;6&lt;/ref-type&gt;&lt;contributors&gt;&lt;authors&gt;&lt;author&gt;Bandura, Albert&lt;/author&gt;&lt;/authors&gt;&lt;/contributors&gt;&lt;titles&gt;&lt;title&gt;Social foundations of thought and action: A social-cognitive theory&lt;/title&gt;&lt;/titles&gt;&lt;dates&gt;&lt;year&gt;1986&lt;/year&gt;&lt;/dates&gt;&lt;pub-location&gt;Englewood Cliffs, NJ&lt;/pub-location&gt;&lt;publisher&gt;Prentice Hall&lt;/publisher&gt;&lt;urls&gt;&lt;/urls&gt;&lt;/record&gt;&lt;/Cite&gt;&lt;/EndNote&gt;</w:instrText>
      </w:r>
      <w:r w:rsidR="00EF281A" w:rsidRPr="003726FE">
        <w:rPr>
          <w:lang w:val="en-GB"/>
        </w:rPr>
        <w:fldChar w:fldCharType="separate"/>
      </w:r>
      <w:r w:rsidR="004E5A78" w:rsidRPr="003726FE">
        <w:rPr>
          <w:noProof/>
          <w:lang w:val="en-GB"/>
        </w:rPr>
        <w:t>(</w:t>
      </w:r>
      <w:hyperlink w:anchor="_ENREF_14" w:tooltip="Bandura, 1986 #6" w:history="1">
        <w:r w:rsidR="0094469E" w:rsidRPr="003726FE">
          <w:rPr>
            <w:noProof/>
            <w:lang w:val="en-GB"/>
          </w:rPr>
          <w:t>Bandura 1986</w:t>
        </w:r>
      </w:hyperlink>
      <w:r w:rsidR="004E5A78" w:rsidRPr="003726FE">
        <w:rPr>
          <w:noProof/>
          <w:lang w:val="en-GB"/>
        </w:rPr>
        <w:t>)</w:t>
      </w:r>
      <w:r w:rsidR="00EF281A" w:rsidRPr="003726FE">
        <w:rPr>
          <w:lang w:val="en-GB"/>
        </w:rPr>
        <w:fldChar w:fldCharType="end"/>
      </w:r>
      <w:r w:rsidR="001B6BDB" w:rsidRPr="003726FE">
        <w:rPr>
          <w:lang w:val="en-GB"/>
        </w:rPr>
        <w:t xml:space="preserve">. This relates directly to the complexity of contexts in which medical education is situated, </w:t>
      </w:r>
      <w:r w:rsidR="0021662A">
        <w:rPr>
          <w:lang w:val="en-GB"/>
        </w:rPr>
        <w:t>including</w:t>
      </w:r>
      <w:r w:rsidR="001B6BDB" w:rsidRPr="003726FE">
        <w:rPr>
          <w:lang w:val="en-GB"/>
        </w:rPr>
        <w:t xml:space="preserve"> the clinical environment </w:t>
      </w:r>
      <w:r w:rsidR="00EF281A" w:rsidRPr="003726FE">
        <w:rPr>
          <w:lang w:val="en-GB"/>
        </w:rPr>
        <w:fldChar w:fldCharType="begin"/>
      </w:r>
      <w:r w:rsidR="008B61BE">
        <w:rPr>
          <w:lang w:val="en-GB"/>
        </w:rPr>
        <w:instrText xml:space="preserve"> ADDIN EN.CITE &lt;EndNote&gt;&lt;Cite&gt;&lt;Author&gt;Bleakley&lt;/Author&gt;&lt;Year&gt;2011&lt;/Year&gt;&lt;RecNum&gt;14&lt;/RecNum&gt;&lt;DisplayText&gt;(Bleakley et al. 2011)&lt;/DisplayText&gt;&lt;record&gt;&lt;rec-number&gt;14&lt;/rec-number&gt;&lt;foreign-keys&gt;&lt;key app="EN" db-id="xa2r2ewea92trkef5dt5arvbzafvpv2za5ft" timestamp="1442161763"&gt;14&lt;/key&gt;&lt;/foreign-keys&gt;&lt;ref-type name="Book"&gt;6&lt;/ref-type&gt;&lt;contributors&gt;&lt;authors&gt;&lt;author&gt;Bleakley, Alan&lt;/author&gt;&lt;author&gt;Bligh, John&lt;/author&gt;&lt;author&gt;Browne, Julie&lt;/author&gt;&lt;/authors&gt;&lt;/contributors&gt;&lt;titles&gt;&lt;title&gt;Medical education for the future: Identity, power and location&lt;/title&gt;&lt;/titles&gt;&lt;number&gt;Book, Whole&lt;/number&gt;&lt;dates&gt;&lt;year&gt;2011&lt;/year&gt;&lt;/dates&gt;&lt;pub-location&gt;New York&lt;/pub-location&gt;&lt;publisher&gt;Springer&lt;/publisher&gt;&lt;urls&gt;&lt;/urls&gt;&lt;/record&gt;&lt;/Cite&gt;&lt;/EndNote&gt;</w:instrText>
      </w:r>
      <w:r w:rsidR="00EF281A" w:rsidRPr="003726FE">
        <w:rPr>
          <w:lang w:val="en-GB"/>
        </w:rPr>
        <w:fldChar w:fldCharType="separate"/>
      </w:r>
      <w:r w:rsidR="004E5A78" w:rsidRPr="003726FE">
        <w:rPr>
          <w:noProof/>
          <w:lang w:val="en-GB"/>
        </w:rPr>
        <w:t>(</w:t>
      </w:r>
      <w:hyperlink w:anchor="_ENREF_36" w:tooltip="Bleakley, 2011 #14" w:history="1">
        <w:r w:rsidR="0094469E" w:rsidRPr="003726FE">
          <w:rPr>
            <w:noProof/>
            <w:lang w:val="en-GB"/>
          </w:rPr>
          <w:t>Bleakley et al. 2011</w:t>
        </w:r>
      </w:hyperlink>
      <w:r w:rsidR="004E5A78" w:rsidRPr="003726FE">
        <w:rPr>
          <w:noProof/>
          <w:lang w:val="en-GB"/>
        </w:rPr>
        <w:t>)</w:t>
      </w:r>
      <w:r w:rsidR="00EF281A" w:rsidRPr="003726FE">
        <w:rPr>
          <w:lang w:val="en-GB"/>
        </w:rPr>
        <w:fldChar w:fldCharType="end"/>
      </w:r>
      <w:r w:rsidR="001B6BDB" w:rsidRPr="003726FE">
        <w:rPr>
          <w:lang w:val="en-GB"/>
        </w:rPr>
        <w:t xml:space="preserve">. The emphasis that the </w:t>
      </w:r>
      <w:r>
        <w:rPr>
          <w:lang w:val="en-GB"/>
        </w:rPr>
        <w:t>social cognitive</w:t>
      </w:r>
      <w:r w:rsidR="001B6BDB" w:rsidRPr="003726FE">
        <w:rPr>
          <w:lang w:val="en-GB"/>
        </w:rPr>
        <w:t xml:space="preserve"> perspective places on the role of the environment echoes the previo</w:t>
      </w:r>
      <w:r w:rsidR="00BA7264" w:rsidRPr="003726FE">
        <w:rPr>
          <w:lang w:val="en-GB"/>
        </w:rPr>
        <w:t>us point; vicarious experiences -</w:t>
      </w:r>
      <w:r w:rsidR="001B6BDB" w:rsidRPr="003726FE">
        <w:rPr>
          <w:lang w:val="en-GB"/>
        </w:rPr>
        <w:t xml:space="preserve"> the observation of others in a learning e</w:t>
      </w:r>
      <w:r w:rsidR="00BA7264" w:rsidRPr="003726FE">
        <w:rPr>
          <w:lang w:val="en-GB"/>
        </w:rPr>
        <w:t>nvironment -</w:t>
      </w:r>
      <w:r w:rsidR="001B6BDB" w:rsidRPr="003726FE">
        <w:rPr>
          <w:lang w:val="en-GB"/>
        </w:rPr>
        <w:t xml:space="preserve"> play a significant part in the social construction of knowledge purported by this theory </w:t>
      </w:r>
      <w:r w:rsidR="00EF281A" w:rsidRPr="003726FE">
        <w:rPr>
          <w:lang w:val="en-GB"/>
        </w:rPr>
        <w:fldChar w:fldCharType="begin"/>
      </w:r>
      <w:r w:rsidR="008B61BE">
        <w:rPr>
          <w:lang w:val="en-GB"/>
        </w:rPr>
        <w:instrText xml:space="preserve"> ADDIN EN.CITE &lt;EndNote&gt;&lt;Cite&gt;&lt;Author&gt;Schunk&lt;/Author&gt;&lt;Year&gt;2008&lt;/Year&gt;&lt;RecNum&gt;225&lt;/RecNum&gt;&lt;DisplayText&gt;(Schunk et al. 2008)&lt;/DisplayText&gt;&lt;record&gt;&lt;rec-number&gt;225&lt;/rec-number&gt;&lt;foreign-keys&gt;&lt;key app="EN" db-id="xa2r2ewea92trkef5dt5arvbzafvpv2za5ft" timestamp="1442161765"&gt;225&lt;/key&gt;&lt;/foreign-keys&gt;&lt;ref-type name="Journal Article"&gt;17&lt;/ref-type&gt;&lt;contributors&gt;&lt;authors&gt;&lt;author&gt;Schunk, Dale H.&lt;/author&gt;&lt;author&gt;Pintrich, Paul R.&lt;/author&gt;&lt;author&gt;Meece, Judith L.&lt;/author&gt;&lt;/authors&gt;&lt;/contributors&gt;&lt;titles&gt;&lt;title&gt;Motivation in education: Theory, research, and applications&lt;/title&gt;&lt;/titles&gt;&lt;dates&gt;&lt;year&gt;2008&lt;/year&gt;&lt;/dates&gt;&lt;publisher&gt;Pearson/Merrill Prentice Hall Upper Saddle River, NJ&lt;/publisher&gt;&lt;urls&gt;&lt;/urls&gt;&lt;/record&gt;&lt;/Cite&gt;&lt;/EndNote&gt;</w:instrText>
      </w:r>
      <w:r w:rsidR="00EF281A" w:rsidRPr="003726FE">
        <w:rPr>
          <w:lang w:val="en-GB"/>
        </w:rPr>
        <w:fldChar w:fldCharType="separate"/>
      </w:r>
      <w:r w:rsidR="004E5A78" w:rsidRPr="003726FE">
        <w:rPr>
          <w:noProof/>
          <w:lang w:val="en-GB"/>
        </w:rPr>
        <w:t>(</w:t>
      </w:r>
      <w:hyperlink w:anchor="_ENREF_370" w:tooltip="Schunk, 2008 #225" w:history="1">
        <w:r w:rsidR="0094469E" w:rsidRPr="003726FE">
          <w:rPr>
            <w:noProof/>
            <w:lang w:val="en-GB"/>
          </w:rPr>
          <w:t>Schunk et al. 2008</w:t>
        </w:r>
      </w:hyperlink>
      <w:r w:rsidR="004E5A78" w:rsidRPr="003726FE">
        <w:rPr>
          <w:noProof/>
          <w:lang w:val="en-GB"/>
        </w:rPr>
        <w:t>)</w:t>
      </w:r>
      <w:r w:rsidR="00EF281A" w:rsidRPr="003726FE">
        <w:rPr>
          <w:lang w:val="en-GB"/>
        </w:rPr>
        <w:fldChar w:fldCharType="end"/>
      </w:r>
      <w:r w:rsidR="001B6BDB" w:rsidRPr="003726FE">
        <w:rPr>
          <w:lang w:val="en-GB"/>
        </w:rPr>
        <w:t xml:space="preserve">. Similarly, the </w:t>
      </w:r>
      <w:r w:rsidR="001A2548">
        <w:rPr>
          <w:lang w:val="en-GB"/>
        </w:rPr>
        <w:t>impact</w:t>
      </w:r>
      <w:r w:rsidR="001B6BDB" w:rsidRPr="003726FE">
        <w:rPr>
          <w:lang w:val="en-GB"/>
        </w:rPr>
        <w:t xml:space="preserve"> of context and environment in medical education is significant, and has been found to impact upon SRL behaviours in clinical skills </w:t>
      </w:r>
      <w:r w:rsidR="00F3592B" w:rsidRPr="003726FE">
        <w:rPr>
          <w:lang w:val="en-GB"/>
        </w:rPr>
        <w:fldChar w:fldCharType="begin"/>
      </w:r>
      <w:r w:rsidR="008B61BE">
        <w:rPr>
          <w:lang w:val="en-GB"/>
        </w:rPr>
        <w:instrText xml:space="preserve"> ADDIN EN.CITE &lt;EndNote&gt;&lt;Cite&gt;&lt;Author&gt;Eva&lt;/Author&gt;&lt;Year&gt;2003&lt;/Year&gt;&lt;RecNum&gt;78&lt;/RecNum&gt;&lt;DisplayText&gt;(Eva 2003; Kennedy et al. 2009)&lt;/DisplayText&gt;&lt;record&gt;&lt;rec-number&gt;78&lt;/rec-number&gt;&lt;foreign-keys&gt;&lt;key app="EN" db-id="xa2r2ewea92trkef5dt5arvbzafvpv2za5ft" timestamp="1442161763"&gt;78&lt;/key&gt;&lt;/foreign-keys&gt;&lt;ref-type name="Journal Article"&gt;17&lt;/ref-type&gt;&lt;contributors&gt;&lt;authors&gt;&lt;author&gt;Eva, Kevin W.&lt;/author&gt;&lt;/authors&gt;&lt;/contributors&gt;&lt;titles&gt;&lt;title&gt;On the generality of specificity&lt;/title&gt;&lt;secondary-title&gt;Medical education&lt;/secondary-title&gt;&lt;/titles&gt;&lt;periodical&gt;&lt;full-title&gt;Medical education&lt;/full-title&gt;&lt;/periodical&gt;&lt;pages&gt;587-588&lt;/pages&gt;&lt;volume&gt;37&lt;/volume&gt;&lt;number&gt;7&lt;/number&gt;&lt;dates&gt;&lt;year&gt;2003&lt;/year&gt;&lt;/dates&gt;&lt;publisher&gt;Wiley Online Library&lt;/publisher&gt;&lt;urls&gt;&lt;related-urls&gt;&lt;url&gt;http://onlinelibrary.wiley.com/doi/10.1046/j.1365-2923.2003.01563.x/abstract&lt;/url&gt;&lt;/related-urls&gt;&lt;/urls&gt;&lt;/record&gt;&lt;/Cite&gt;&lt;Cite&gt;&lt;Author&gt;Kennedy&lt;/Author&gt;&lt;Year&gt;2009&lt;/Year&gt;&lt;RecNum&gt;126&lt;/RecNum&gt;&lt;record&gt;&lt;rec-number&gt;126&lt;/rec-number&gt;&lt;foreign-keys&gt;&lt;key app="EN" db-id="xa2r2ewea92trkef5dt5arvbzafvpv2za5ft" timestamp="1442161764"&gt;126&lt;/key&gt;&lt;/foreign-keys&gt;&lt;ref-type name="Journal Article"&gt;17&lt;/ref-type&gt;&lt;contributors&gt;&lt;authors&gt;&lt;author&gt;Kennedy, Tara J. T.&lt;/author&gt;&lt;author&gt;Regehr, Glenn&lt;/author&gt;&lt;author&gt;Baker, G. Ross&lt;/author&gt;&lt;author&gt;Lingard, Lorelei A.&lt;/author&gt;&lt;/authors&gt;&lt;/contributors&gt;&lt;titles&gt;&lt;title&gt;‘It’sa cultural expectation…’The pressure on medical trainees to work independently in clinical practice&lt;/title&gt;&lt;secondary-title&gt;Medical education&lt;/secondary-title&gt;&lt;/titles&gt;&lt;periodical&gt;&lt;full-title&gt;Medical education&lt;/full-title&gt;&lt;/periodical&gt;&lt;pages&gt;645-653&lt;/pages&gt;&lt;volume&gt;43&lt;/volume&gt;&lt;number&gt;7&lt;/number&gt;&lt;dates&gt;&lt;year&gt;2009&lt;/year&gt;&lt;/dates&gt;&lt;publisher&gt;Wiley Online Library&lt;/publisher&gt;&lt;urls&gt;&lt;related-urls&gt;&lt;url&gt;http://onlinelibrary.wiley.com/doi/10.1111/j.1365-2923.2009.03382.x/abstract&lt;/url&gt;&lt;/related-urls&gt;&lt;/urls&gt;&lt;/record&gt;&lt;/Cite&gt;&lt;/EndNote&gt;</w:instrText>
      </w:r>
      <w:r w:rsidR="00F3592B" w:rsidRPr="003726FE">
        <w:rPr>
          <w:lang w:val="en-GB"/>
        </w:rPr>
        <w:fldChar w:fldCharType="separate"/>
      </w:r>
      <w:r w:rsidR="004E5A78" w:rsidRPr="003726FE">
        <w:rPr>
          <w:noProof/>
          <w:lang w:val="en-GB"/>
        </w:rPr>
        <w:t>(</w:t>
      </w:r>
      <w:hyperlink w:anchor="_ENREF_144" w:tooltip="Eva, 2003 #78" w:history="1">
        <w:r w:rsidR="0094469E" w:rsidRPr="003726FE">
          <w:rPr>
            <w:noProof/>
            <w:lang w:val="en-GB"/>
          </w:rPr>
          <w:t>Eva 2003</w:t>
        </w:r>
      </w:hyperlink>
      <w:r w:rsidR="004E5A78" w:rsidRPr="003726FE">
        <w:rPr>
          <w:noProof/>
          <w:lang w:val="en-GB"/>
        </w:rPr>
        <w:t xml:space="preserve">; </w:t>
      </w:r>
      <w:hyperlink w:anchor="_ENREF_214" w:tooltip="Kennedy, 2009 #126" w:history="1">
        <w:r w:rsidR="0094469E" w:rsidRPr="003726FE">
          <w:rPr>
            <w:noProof/>
            <w:lang w:val="en-GB"/>
          </w:rPr>
          <w:t>Kennedy et al. 2009</w:t>
        </w:r>
      </w:hyperlink>
      <w:r w:rsidR="004E5A78" w:rsidRPr="003726FE">
        <w:rPr>
          <w:noProof/>
          <w:lang w:val="en-GB"/>
        </w:rPr>
        <w:t>)</w:t>
      </w:r>
      <w:r w:rsidR="00F3592B" w:rsidRPr="003726FE">
        <w:rPr>
          <w:lang w:val="en-GB"/>
        </w:rPr>
        <w:fldChar w:fldCharType="end"/>
      </w:r>
      <w:r w:rsidR="001B6BDB" w:rsidRPr="003726FE">
        <w:rPr>
          <w:lang w:val="en-GB"/>
        </w:rPr>
        <w:t>.</w:t>
      </w:r>
    </w:p>
    <w:p w14:paraId="0BE5E315" w14:textId="77777777" w:rsidR="001B6BDB" w:rsidRPr="003726FE" w:rsidRDefault="001B6BDB" w:rsidP="00026049">
      <w:pPr>
        <w:pStyle w:val="Normal1"/>
        <w:rPr>
          <w:lang w:val="en-GB"/>
        </w:rPr>
      </w:pPr>
    </w:p>
    <w:p w14:paraId="4FF353BB" w14:textId="74070CE8" w:rsidR="00F176D2" w:rsidRPr="003726FE" w:rsidRDefault="001F7FE6" w:rsidP="00026049">
      <w:pPr>
        <w:pStyle w:val="Normal1"/>
        <w:rPr>
          <w:rFonts w:asciiTheme="majorHAnsi" w:eastAsiaTheme="majorEastAsia" w:hAnsiTheme="majorHAnsi" w:cstheme="majorBidi"/>
          <w:color w:val="2E74B5" w:themeColor="accent1" w:themeShade="BF"/>
          <w:sz w:val="26"/>
          <w:szCs w:val="26"/>
          <w:lang w:val="en-GB"/>
        </w:rPr>
      </w:pPr>
      <w:r w:rsidRPr="003726FE">
        <w:rPr>
          <w:lang w:val="en-GB"/>
        </w:rPr>
        <w:t xml:space="preserve">Insights from SRL theory and the literature surrounding it were used to develop the research aims, objectives, and questions along with the current knowledge on feedback in medical education. </w:t>
      </w:r>
      <w:r w:rsidR="004572AE" w:rsidRPr="003726FE">
        <w:rPr>
          <w:lang w:val="en-GB"/>
        </w:rPr>
        <w:t xml:space="preserve">It was also used when considering the design of the study, multiple methods were used to </w:t>
      </w:r>
      <w:r w:rsidR="009A1184">
        <w:rPr>
          <w:lang w:val="en-GB"/>
        </w:rPr>
        <w:t>evaluate</w:t>
      </w:r>
      <w:r w:rsidR="004572AE" w:rsidRPr="003726FE">
        <w:rPr>
          <w:lang w:val="en-GB"/>
        </w:rPr>
        <w:t xml:space="preserve"> SRL at different time points in the study, </w:t>
      </w:r>
      <w:r w:rsidR="00395D09" w:rsidRPr="003726FE">
        <w:rPr>
          <w:lang w:val="en-GB"/>
        </w:rPr>
        <w:t>reflecting</w:t>
      </w:r>
      <w:r w:rsidR="004572AE" w:rsidRPr="003726FE">
        <w:rPr>
          <w:lang w:val="en-GB"/>
        </w:rPr>
        <w:t xml:space="preserve"> the </w:t>
      </w:r>
      <w:r w:rsidR="00395D09" w:rsidRPr="003726FE">
        <w:rPr>
          <w:lang w:val="en-GB"/>
        </w:rPr>
        <w:t>view</w:t>
      </w:r>
      <w:r w:rsidR="004572AE" w:rsidRPr="003726FE">
        <w:rPr>
          <w:lang w:val="en-GB"/>
        </w:rPr>
        <w:t xml:space="preserve"> that SRL is not a stable trait but is contextualised and developmental. Zimmerman’s</w:t>
      </w:r>
      <w:r w:rsidRPr="003726FE">
        <w:rPr>
          <w:lang w:val="en-GB"/>
        </w:rPr>
        <w:t xml:space="preserve"> model was used in developing t</w:t>
      </w:r>
      <w:r w:rsidR="00BA7264" w:rsidRPr="003726FE">
        <w:rPr>
          <w:lang w:val="en-GB"/>
        </w:rPr>
        <w:t xml:space="preserve">he </w:t>
      </w:r>
      <w:r w:rsidR="001F7BA1">
        <w:rPr>
          <w:lang w:val="en-GB"/>
        </w:rPr>
        <w:t xml:space="preserve">MicroAnalysis (MA) </w:t>
      </w:r>
      <w:r w:rsidR="001A2548">
        <w:rPr>
          <w:lang w:val="en-GB"/>
        </w:rPr>
        <w:t xml:space="preserve">intervention using </w:t>
      </w:r>
      <w:r w:rsidR="001F7BA1">
        <w:rPr>
          <w:lang w:val="en-GB"/>
        </w:rPr>
        <w:t xml:space="preserve">SRL </w:t>
      </w:r>
      <w:r w:rsidR="00BA7264" w:rsidRPr="003726FE">
        <w:rPr>
          <w:lang w:val="en-GB"/>
        </w:rPr>
        <w:t>informed feedback</w:t>
      </w:r>
      <w:r w:rsidRPr="003726FE">
        <w:rPr>
          <w:lang w:val="en-GB"/>
        </w:rPr>
        <w:t xml:space="preserve">. Key elements from the </w:t>
      </w:r>
      <w:r w:rsidR="00F17F73">
        <w:rPr>
          <w:lang w:val="en-GB"/>
        </w:rPr>
        <w:t>SRL</w:t>
      </w:r>
      <w:r w:rsidRPr="003726FE">
        <w:rPr>
          <w:lang w:val="en-GB"/>
        </w:rPr>
        <w:t xml:space="preserve"> model were directly </w:t>
      </w:r>
      <w:r w:rsidRPr="003726FE">
        <w:rPr>
          <w:lang w:val="en-GB"/>
        </w:rPr>
        <w:lastRenderedPageBreak/>
        <w:t xml:space="preserve">embedded into the </w:t>
      </w:r>
      <w:r w:rsidR="007040AC" w:rsidRPr="003726FE">
        <w:rPr>
          <w:lang w:val="en-GB"/>
        </w:rPr>
        <w:t>MA</w:t>
      </w:r>
      <w:r w:rsidRPr="003726FE">
        <w:rPr>
          <w:lang w:val="en-GB"/>
        </w:rPr>
        <w:t xml:space="preserve"> protocol used to </w:t>
      </w:r>
      <w:r w:rsidR="009A1184">
        <w:rPr>
          <w:lang w:val="en-GB"/>
        </w:rPr>
        <w:t>evaluate</w:t>
      </w:r>
      <w:r w:rsidRPr="003726FE">
        <w:rPr>
          <w:lang w:val="en-GB"/>
        </w:rPr>
        <w:t xml:space="preserve"> students’ SRL processes</w:t>
      </w:r>
      <w:r w:rsidR="00C82BF9" w:rsidRPr="003726FE">
        <w:rPr>
          <w:lang w:val="en-GB"/>
        </w:rPr>
        <w:t xml:space="preserve"> </w:t>
      </w:r>
      <w:r w:rsidR="001F7BA1">
        <w:rPr>
          <w:lang w:val="en-GB"/>
        </w:rPr>
        <w:t xml:space="preserve">on </w:t>
      </w:r>
      <w:r w:rsidR="00C82BF9" w:rsidRPr="003726FE">
        <w:rPr>
          <w:lang w:val="en-GB"/>
        </w:rPr>
        <w:t>which the teacher could then give targeted feedback on.</w:t>
      </w:r>
      <w:r w:rsidRPr="003726FE">
        <w:rPr>
          <w:lang w:val="en-GB"/>
        </w:rPr>
        <w:t xml:space="preserve"> Further details of how the method was developed can be found in Chapter B1.</w:t>
      </w:r>
      <w:r w:rsidR="00C82BF9" w:rsidRPr="003726FE">
        <w:rPr>
          <w:lang w:val="en-GB"/>
        </w:rPr>
        <w:t xml:space="preserve"> </w:t>
      </w:r>
      <w:r w:rsidR="00BA7264" w:rsidRPr="003726FE">
        <w:rPr>
          <w:lang w:val="en-GB"/>
        </w:rPr>
        <w:t>The</w:t>
      </w:r>
      <w:r w:rsidR="00C82BF9" w:rsidRPr="003726FE">
        <w:rPr>
          <w:lang w:val="en-GB"/>
        </w:rPr>
        <w:t xml:space="preserve"> SRL theoretical lens was used in interpreting the findings to explore how SRL capacity, processes, and behaviours were affected by the two different </w:t>
      </w:r>
      <w:r w:rsidR="001A2548">
        <w:rPr>
          <w:lang w:val="en-GB"/>
        </w:rPr>
        <w:t>models</w:t>
      </w:r>
      <w:r w:rsidR="00C82BF9" w:rsidRPr="003726FE">
        <w:rPr>
          <w:lang w:val="en-GB"/>
        </w:rPr>
        <w:t xml:space="preserve"> of giving feedback.</w:t>
      </w:r>
      <w:r w:rsidR="00F176D2" w:rsidRPr="003726FE">
        <w:rPr>
          <w:lang w:val="en-GB"/>
        </w:rPr>
        <w:br w:type="page"/>
      </w:r>
    </w:p>
    <w:p w14:paraId="44E0008E" w14:textId="070B93DD" w:rsidR="00947A78" w:rsidRPr="003726FE" w:rsidRDefault="00822E3B" w:rsidP="00B1638D">
      <w:pPr>
        <w:pStyle w:val="Heading2"/>
        <w:rPr>
          <w:lang w:val="en-GB"/>
        </w:rPr>
      </w:pPr>
      <w:bookmarkStart w:id="202" w:name="_Toc500319347"/>
      <w:r w:rsidRPr="003726FE">
        <w:rPr>
          <w:lang w:val="en-GB"/>
        </w:rPr>
        <w:lastRenderedPageBreak/>
        <w:t>A3</w:t>
      </w:r>
      <w:r w:rsidR="00E53628" w:rsidRPr="003726FE">
        <w:rPr>
          <w:lang w:val="en-GB"/>
        </w:rPr>
        <w:t>.4</w:t>
      </w:r>
      <w:r w:rsidR="00F176D2" w:rsidRPr="003726FE">
        <w:rPr>
          <w:lang w:val="en-GB"/>
        </w:rPr>
        <w:t xml:space="preserve"> </w:t>
      </w:r>
      <w:r w:rsidR="009C46FB" w:rsidRPr="003726FE">
        <w:rPr>
          <w:lang w:val="en-GB"/>
        </w:rPr>
        <w:t xml:space="preserve">Mixed </w:t>
      </w:r>
      <w:r w:rsidR="00F176D2" w:rsidRPr="003726FE">
        <w:rPr>
          <w:lang w:val="en-GB"/>
        </w:rPr>
        <w:t>Methodology</w:t>
      </w:r>
      <w:bookmarkEnd w:id="202"/>
    </w:p>
    <w:p w14:paraId="60821655" w14:textId="77777777" w:rsidR="00AD32A0" w:rsidRPr="003726FE" w:rsidRDefault="00AD32A0" w:rsidP="00026049">
      <w:pPr>
        <w:pStyle w:val="Normal1"/>
        <w:rPr>
          <w:lang w:val="en-GB"/>
        </w:rPr>
      </w:pPr>
    </w:p>
    <w:p w14:paraId="799FB768" w14:textId="34CBDCB7" w:rsidR="00AD32A0" w:rsidRPr="003726FE" w:rsidRDefault="00B04B4E" w:rsidP="00BA4521">
      <w:pPr>
        <w:pStyle w:val="Heading3"/>
      </w:pPr>
      <w:bookmarkStart w:id="203" w:name="_Toc500319348"/>
      <w:r w:rsidRPr="003726FE">
        <w:t>A3</w:t>
      </w:r>
      <w:r w:rsidR="00E53628" w:rsidRPr="003726FE">
        <w:t>.4</w:t>
      </w:r>
      <w:r w:rsidR="00AD32A0" w:rsidRPr="003726FE">
        <w:t>.1</w:t>
      </w:r>
      <w:r w:rsidR="00F176D2" w:rsidRPr="003726FE">
        <w:t xml:space="preserve"> </w:t>
      </w:r>
      <w:r w:rsidR="000269BF">
        <w:t xml:space="preserve">Justifying the </w:t>
      </w:r>
      <w:r w:rsidR="00D802DA">
        <w:t>U</w:t>
      </w:r>
      <w:r w:rsidR="000269BF">
        <w:t>se</w:t>
      </w:r>
      <w:r w:rsidR="00F176D2" w:rsidRPr="003726FE">
        <w:t xml:space="preserve"> of </w:t>
      </w:r>
      <w:r w:rsidR="000269BF">
        <w:t xml:space="preserve">a </w:t>
      </w:r>
      <w:r w:rsidR="00F176D2" w:rsidRPr="003726FE">
        <w:t>Mixed Methodology</w:t>
      </w:r>
      <w:bookmarkEnd w:id="203"/>
    </w:p>
    <w:p w14:paraId="0D2AD106" w14:textId="77777777" w:rsidR="00AD32A0" w:rsidRPr="003726FE" w:rsidRDefault="00AD32A0" w:rsidP="00026049">
      <w:pPr>
        <w:pStyle w:val="Normal1"/>
        <w:rPr>
          <w:shd w:val="clear" w:color="auto" w:fill="FFFFFF"/>
          <w:lang w:val="en-GB"/>
        </w:rPr>
      </w:pPr>
    </w:p>
    <w:p w14:paraId="3EA18E86" w14:textId="1D9DA5C2" w:rsidR="00AD32A0" w:rsidRPr="003726FE" w:rsidRDefault="008E145F" w:rsidP="00026049">
      <w:pPr>
        <w:pStyle w:val="Normal1"/>
        <w:rPr>
          <w:shd w:val="clear" w:color="auto" w:fill="FFFFFF"/>
          <w:lang w:val="en-GB"/>
        </w:rPr>
      </w:pPr>
      <w:r w:rsidRPr="003726FE">
        <w:rPr>
          <w:shd w:val="clear" w:color="auto" w:fill="FFFFFF"/>
          <w:lang w:val="en-GB"/>
        </w:rPr>
        <w:t>A</w:t>
      </w:r>
      <w:r w:rsidR="00AD32A0" w:rsidRPr="003726FE">
        <w:rPr>
          <w:shd w:val="clear" w:color="auto" w:fill="FFFFFF"/>
          <w:lang w:val="en-GB"/>
        </w:rPr>
        <w:t xml:space="preserve"> mixed methodology</w:t>
      </w:r>
      <w:r w:rsidRPr="003726FE">
        <w:rPr>
          <w:shd w:val="clear" w:color="auto" w:fill="FFFFFF"/>
          <w:lang w:val="en-GB"/>
        </w:rPr>
        <w:t xml:space="preserve"> </w:t>
      </w:r>
      <w:r w:rsidR="00F17F73">
        <w:rPr>
          <w:shd w:val="clear" w:color="auto" w:fill="FFFFFF"/>
          <w:lang w:val="en-GB"/>
        </w:rPr>
        <w:t>was used in</w:t>
      </w:r>
      <w:r w:rsidR="00AD32A0" w:rsidRPr="003726FE">
        <w:rPr>
          <w:shd w:val="clear" w:color="auto" w:fill="FFFFFF"/>
          <w:lang w:val="en-GB"/>
        </w:rPr>
        <w:t xml:space="preserve"> this study. Mixed methods has been defined by </w:t>
      </w:r>
      <w:hyperlink w:anchor="_ENREF_77" w:tooltip="Clark, 2008 #34"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AuthorYear="1"&gt;&lt;Author&gt;Clark&lt;/Author&gt;&lt;Year&gt;2008&lt;/Year&gt;&lt;RecNum&gt;34&lt;/RecNum&gt;&lt;Pages&gt;364&lt;/Pages&gt;&lt;DisplayText&gt;Clark et al. (2008, p. 364)&lt;/DisplayText&gt;&lt;record&gt;&lt;rec-number&gt;34&lt;/rec-number&gt;&lt;foreign-keys&gt;&lt;key app="EN" db-id="xa2r2ewea92trkef5dt5arvbzafvpv2za5ft" timestamp="1442161763"&gt;34&lt;/key&gt;&lt;/foreign-keys&gt;&lt;ref-type name="Book"&gt;6&lt;/ref-type&gt;&lt;contributors&gt;&lt;authors&gt;&lt;author&gt;Clark, Vicki L. Plano&lt;/author&gt;&lt;author&gt;Creswell, John W.&lt;/author&gt;&lt;author&gt;Green, Denise O’Neil&lt;/author&gt;&lt;author&gt;Shope, Ronald J.&lt;/author&gt;&lt;/authors&gt;&lt;/contributors&gt;&lt;titles&gt;&lt;title&gt;Mixing quantitative and qualitative approaches: An introduction to emergent mixed methods research&lt;/title&gt;&lt;/titles&gt;&lt;pages&gt;363-388&lt;/pages&gt;&lt;number&gt;Book, Edited&lt;/number&gt;&lt;dates&gt;&lt;year&gt;2008&lt;/year&gt;&lt;/dates&gt;&lt;pub-location&gt;New York&lt;/pub-location&gt;&lt;publisher&gt;Guilford&lt;/publisher&gt;&lt;urls&gt;&lt;/urls&gt;&lt;/record&gt;&lt;/Cite&gt;&lt;/EndNote&gt;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Clark et al. (2008, p. 364)</w:t>
        </w:r>
        <w:r w:rsidR="0094469E" w:rsidRPr="003726FE">
          <w:rPr>
            <w:shd w:val="clear" w:color="auto" w:fill="FFFFFF"/>
            <w:lang w:val="en-GB"/>
          </w:rPr>
          <w:fldChar w:fldCharType="end"/>
        </w:r>
      </w:hyperlink>
      <w:r w:rsidR="00AD32A0" w:rsidRPr="003726FE">
        <w:rPr>
          <w:shd w:val="clear" w:color="auto" w:fill="FFFFFF"/>
          <w:lang w:val="en-GB"/>
        </w:rPr>
        <w:t xml:space="preserve"> as “a design for collecting, analysing, and mixing both quantitative and qualitative data in a study  to understand a research problem”. It is distinguished from other methods as a coming together of the</w:t>
      </w:r>
      <w:r w:rsidR="00BB5AB1">
        <w:rPr>
          <w:shd w:val="clear" w:color="auto" w:fill="FFFFFF"/>
          <w:lang w:val="en-GB"/>
        </w:rPr>
        <w:t xml:space="preserve"> </w:t>
      </w:r>
      <w:r w:rsidR="00BA4521">
        <w:rPr>
          <w:shd w:val="clear" w:color="auto" w:fill="FFFFFF"/>
          <w:lang w:val="en-GB"/>
        </w:rPr>
        <w:t>quantitative</w:t>
      </w:r>
      <w:r w:rsidR="00BB5AB1">
        <w:rPr>
          <w:shd w:val="clear" w:color="auto" w:fill="FFFFFF"/>
          <w:lang w:val="en-GB"/>
        </w:rPr>
        <w:t xml:space="preserve"> and qualitative</w:t>
      </w:r>
      <w:r w:rsidR="00AD32A0" w:rsidRPr="003726FE">
        <w:rPr>
          <w:shd w:val="clear" w:color="auto" w:fill="FFFFFF"/>
          <w:lang w:val="en-GB"/>
        </w:rPr>
        <w:t xml:space="preserve"> schools of inquiry</w:t>
      </w:r>
      <w:r w:rsidR="00BB5AB1">
        <w:rPr>
          <w:shd w:val="clear" w:color="auto" w:fill="FFFFFF"/>
          <w:lang w:val="en-GB"/>
        </w:rPr>
        <w:t xml:space="preserve"> traditionally kept separate</w:t>
      </w:r>
      <w:r w:rsidR="00AD32A0" w:rsidRPr="003726FE">
        <w:rPr>
          <w:shd w:val="clear" w:color="auto" w:fill="FFFFFF"/>
          <w:lang w:val="en-GB"/>
        </w:rPr>
        <w:t xml:space="preserve">. The empirical data produced by mixed methods aims to provide a multi-faceted view of the </w:t>
      </w:r>
      <w:r w:rsidR="00F17F73">
        <w:rPr>
          <w:shd w:val="clear" w:color="auto" w:fill="FFFFFF"/>
          <w:lang w:val="en-GB"/>
        </w:rPr>
        <w:t>phenomena under study</w:t>
      </w:r>
      <w:r w:rsidR="00AD32A0" w:rsidRPr="003726FE">
        <w:rPr>
          <w:shd w:val="clear" w:color="auto" w:fill="FFFFFF"/>
          <w:lang w:val="en-GB"/>
        </w:rPr>
        <w:t xml:space="preserve"> </w:t>
      </w:r>
      <w:r w:rsidR="00EF281A" w:rsidRPr="003726FE">
        <w:rPr>
          <w:shd w:val="clear" w:color="auto" w:fill="FFFFFF"/>
          <w:lang w:val="en-GB"/>
        </w:rPr>
        <w:fldChar w:fldCharType="begin"/>
      </w:r>
      <w:r w:rsidR="00906C98">
        <w:rPr>
          <w:shd w:val="clear" w:color="auto" w:fill="FFFFFF"/>
          <w:lang w:val="en-GB"/>
        </w:rPr>
        <w:instrText xml:space="preserve"> ADDIN EN.CITE &lt;EndNote&gt;&lt;Cite&gt;&lt;Author&gt;Erzberger&lt;/Author&gt;&lt;Year&gt;2003&lt;/Year&gt;&lt;RecNum&gt;353&lt;/RecNum&gt;&lt;DisplayText&gt;(Erzberger and Kelle 2003a)&lt;/DisplayText&gt;&lt;record&gt;&lt;rec-number&gt;353&lt;/rec-number&gt;&lt;foreign-keys&gt;&lt;key app="EN" db-id="xa2r2ewea92trkef5dt5arvbzafvpv2za5ft" timestamp="1496417538"&gt;353&lt;/key&gt;&lt;/foreign-keys&gt;&lt;ref-type name="Journal Article"&gt;17&lt;/ref-type&gt;&lt;contributors&gt;&lt;authors&gt;&lt;author&gt;Erzberger, Christian&lt;/author&gt;&lt;author&gt;Kelle, Udo&lt;/author&gt;&lt;/authors&gt;&lt;/contributors&gt;&lt;titles&gt;&lt;title&gt;Making inferences in mixed methods: The rules of integration&lt;/title&gt;&lt;secondary-title&gt;Handbook of mixed methods in social and behavioral research&lt;/secondary-title&gt;&lt;/titles&gt;&lt;periodical&gt;&lt;full-title&gt;Handbook of mixed methods in social and behavioral research&lt;/full-title&gt;&lt;/periodical&gt;&lt;pages&gt;457-488&lt;/pages&gt;&lt;dates&gt;&lt;year&gt;2003&lt;/year&gt;&lt;/dates&gt;&lt;urls&gt;&lt;/urls&gt;&lt;/record&gt;&lt;/Cite&gt;&lt;/EndNote&gt;</w:instrText>
      </w:r>
      <w:r w:rsidR="00EF281A" w:rsidRPr="003726FE">
        <w:rPr>
          <w:shd w:val="clear" w:color="auto" w:fill="FFFFFF"/>
          <w:lang w:val="en-GB"/>
        </w:rPr>
        <w:fldChar w:fldCharType="separate"/>
      </w:r>
      <w:r w:rsidR="00906C98">
        <w:rPr>
          <w:noProof/>
          <w:shd w:val="clear" w:color="auto" w:fill="FFFFFF"/>
          <w:lang w:val="en-GB"/>
        </w:rPr>
        <w:t>(</w:t>
      </w:r>
      <w:hyperlink w:anchor="_ENREF_142" w:tooltip="Erzberger, 2003 #353" w:history="1">
        <w:r w:rsidR="0094469E">
          <w:rPr>
            <w:noProof/>
            <w:shd w:val="clear" w:color="auto" w:fill="FFFFFF"/>
            <w:lang w:val="en-GB"/>
          </w:rPr>
          <w:t>Erzberger and Kelle 2003a</w:t>
        </w:r>
      </w:hyperlink>
      <w:r w:rsidR="00906C98">
        <w:rPr>
          <w:noProof/>
          <w:shd w:val="clear" w:color="auto" w:fill="FFFFFF"/>
          <w:lang w:val="en-GB"/>
        </w:rPr>
        <w:t>)</w:t>
      </w:r>
      <w:r w:rsidR="00EF281A" w:rsidRPr="003726FE">
        <w:rPr>
          <w:shd w:val="clear" w:color="auto" w:fill="FFFFFF"/>
          <w:lang w:val="en-GB"/>
        </w:rPr>
        <w:fldChar w:fldCharType="end"/>
      </w:r>
      <w:r w:rsidR="00AD32A0" w:rsidRPr="003726FE">
        <w:rPr>
          <w:shd w:val="clear" w:color="auto" w:fill="FFFFFF"/>
          <w:lang w:val="en-GB"/>
        </w:rPr>
        <w:t xml:space="preserve"> and corroborate evidence though triangulation and data integration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&lt;EndNote&gt;&lt;Cite&gt;&lt;Author&gt;Hammersley&lt;/Author&gt;&lt;Year&gt;2008&lt;/Year&gt;&lt;RecNum&gt;105&lt;/RecNum&gt;&lt;DisplayText&gt;(Hammersley 2008)&lt;/DisplayText&gt;&lt;record&gt;&lt;rec-number&gt;105&lt;/rec-number&gt;&lt;foreign-keys&gt;&lt;key app="EN" db-id="xa2r2ewea92trkef5dt5arvbzafvpv2za5ft" timestamp="1442161764"&gt;105&lt;/key&gt;&lt;/foreign-keys&gt;&lt;ref-type name="Book Section"&gt;5&lt;/ref-type&gt;&lt;contributors&gt;&lt;authors&gt;&lt;author&gt;Hammersley, Martyn&lt;/author&gt;&lt;/authors&gt;&lt;/contributors&gt;&lt;titles&gt;&lt;title&gt;Troubles with triangulation&lt;/title&gt;&lt;secondary-title&gt;Advances in mixed methods research&lt;/secondary-title&gt;&lt;/titles&gt;&lt;periodical&gt;&lt;full-title&gt;Advances in mixed methods research&lt;/full-title&gt;&lt;/periodical&gt;&lt;pages&gt;22-36&lt;/pages&gt;&lt;num-vols&gt;Book, Section&lt;/num-vols&gt;&lt;dates&gt;&lt;year&gt;2008&lt;/year&gt;&lt;/dates&gt;&lt;pub-location&gt;London&lt;/pub-location&gt;&lt;publisher&gt;Sage&lt;/publisher&gt;&lt;urls&gt;&lt;/urls&gt;&lt;/record&gt;&lt;/Cite&gt;&lt;/EndNote&gt;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81" w:tooltip="Hammersley, 2008 #105" w:history="1">
        <w:r w:rsidR="0094469E" w:rsidRPr="003726FE">
          <w:rPr>
            <w:noProof/>
            <w:shd w:val="clear" w:color="auto" w:fill="FFFFFF"/>
            <w:lang w:val="en-GB"/>
          </w:rPr>
          <w:t>Hammersley 2008</w:t>
        </w:r>
      </w:hyperlink>
      <w:r w:rsidR="004E5A78" w:rsidRPr="003726FE">
        <w:rPr>
          <w:noProof/>
          <w:shd w:val="clear" w:color="auto" w:fill="FFFFFF"/>
          <w:lang w:val="en-GB"/>
        </w:rPr>
        <w:t>)</w:t>
      </w:r>
      <w:r w:rsidR="00EF281A" w:rsidRPr="003726FE">
        <w:rPr>
          <w:shd w:val="clear" w:color="auto" w:fill="FFFFFF"/>
          <w:lang w:val="en-GB"/>
        </w:rPr>
        <w:fldChar w:fldCharType="end"/>
      </w:r>
      <w:r w:rsidR="00AD32A0" w:rsidRPr="003726FE">
        <w:rPr>
          <w:shd w:val="clear" w:color="auto" w:fill="FFFFFF"/>
          <w:lang w:val="en-GB"/>
        </w:rPr>
        <w:t xml:space="preserve">. This contrasts to traditional quantitative and qualitative approaches which collect data using </w:t>
      </w:r>
      <w:r w:rsidR="00BB5AB1">
        <w:rPr>
          <w:shd w:val="clear" w:color="auto" w:fill="FFFFFF"/>
          <w:lang w:val="en-GB"/>
        </w:rPr>
        <w:t>restricted typologies of methods</w:t>
      </w:r>
      <w:r w:rsidR="00AD32A0" w:rsidRPr="003726FE">
        <w:rPr>
          <w:shd w:val="clear" w:color="auto" w:fill="FFFFFF"/>
          <w:lang w:val="en-GB"/>
        </w:rPr>
        <w:t xml:space="preserve">. Thus, a mixed methods approach </w:t>
      </w:r>
      <w:r w:rsidR="00BA7264" w:rsidRPr="003726FE">
        <w:rPr>
          <w:shd w:val="clear" w:color="auto" w:fill="FFFFFF"/>
          <w:lang w:val="en-GB"/>
        </w:rPr>
        <w:t>was</w:t>
      </w:r>
      <w:r w:rsidR="00AD32A0" w:rsidRPr="003726FE">
        <w:rPr>
          <w:shd w:val="clear" w:color="auto" w:fill="FFFFFF"/>
          <w:lang w:val="en-GB"/>
        </w:rPr>
        <w:t xml:space="preserve"> suitable for this study as it allow</w:t>
      </w:r>
      <w:r w:rsidR="00BA7264" w:rsidRPr="003726FE">
        <w:rPr>
          <w:shd w:val="clear" w:color="auto" w:fill="FFFFFF"/>
          <w:lang w:val="en-GB"/>
        </w:rPr>
        <w:t>ed</w:t>
      </w:r>
      <w:r w:rsidR="00AD32A0" w:rsidRPr="003726FE">
        <w:rPr>
          <w:shd w:val="clear" w:color="auto" w:fill="FFFFFF"/>
          <w:lang w:val="en-GB"/>
        </w:rPr>
        <w:t xml:space="preserve"> </w:t>
      </w:r>
      <w:r w:rsidR="00BA7264" w:rsidRPr="003726FE">
        <w:rPr>
          <w:shd w:val="clear" w:color="auto" w:fill="FFFFFF"/>
          <w:lang w:val="en-GB"/>
        </w:rPr>
        <w:t>for a</w:t>
      </w:r>
      <w:r w:rsidR="00AD32A0" w:rsidRPr="003726FE">
        <w:rPr>
          <w:shd w:val="clear" w:color="auto" w:fill="FFFFFF"/>
          <w:lang w:val="en-GB"/>
        </w:rPr>
        <w:t xml:space="preserve"> </w:t>
      </w:r>
      <w:r w:rsidR="00BA4521" w:rsidRPr="003726FE">
        <w:rPr>
          <w:shd w:val="clear" w:color="auto" w:fill="FFFFFF"/>
          <w:lang w:val="en-GB"/>
        </w:rPr>
        <w:t>quantitative</w:t>
      </w:r>
      <w:r w:rsidR="00BA7264" w:rsidRPr="003726FE">
        <w:rPr>
          <w:shd w:val="clear" w:color="auto" w:fill="FFFFFF"/>
          <w:lang w:val="en-GB"/>
        </w:rPr>
        <w:t xml:space="preserve"> </w:t>
      </w:r>
      <w:r w:rsidR="00AD32A0" w:rsidRPr="003726FE">
        <w:rPr>
          <w:shd w:val="clear" w:color="auto" w:fill="FFFFFF"/>
          <w:lang w:val="en-GB"/>
        </w:rPr>
        <w:t>focus on</w:t>
      </w:r>
      <w:r w:rsidR="00BA7264" w:rsidRPr="003726FE">
        <w:rPr>
          <w:shd w:val="clear" w:color="auto" w:fill="FFFFFF"/>
          <w:lang w:val="en-GB"/>
        </w:rPr>
        <w:t xml:space="preserve"> how</w:t>
      </w:r>
      <w:r w:rsidR="00AD32A0" w:rsidRPr="003726FE">
        <w:rPr>
          <w:shd w:val="clear" w:color="auto" w:fill="FFFFFF"/>
          <w:lang w:val="en-GB"/>
        </w:rPr>
        <w:t xml:space="preserve"> </w:t>
      </w:r>
      <w:r w:rsidRPr="003726FE">
        <w:rPr>
          <w:shd w:val="clear" w:color="auto" w:fill="FFFFFF"/>
          <w:lang w:val="en-GB"/>
        </w:rPr>
        <w:t xml:space="preserve">the </w:t>
      </w:r>
      <w:r w:rsidR="00BA7264" w:rsidRPr="003726FE">
        <w:rPr>
          <w:shd w:val="clear" w:color="auto" w:fill="FFFFFF"/>
          <w:lang w:val="en-GB"/>
        </w:rPr>
        <w:t>different</w:t>
      </w:r>
      <w:r w:rsidRPr="003726FE">
        <w:rPr>
          <w:shd w:val="clear" w:color="auto" w:fill="FFFFFF"/>
          <w:lang w:val="en-GB"/>
        </w:rPr>
        <w:t xml:space="preserve"> </w:t>
      </w:r>
      <w:r w:rsidR="00BB5AB1">
        <w:rPr>
          <w:shd w:val="clear" w:color="auto" w:fill="FFFFFF"/>
          <w:lang w:val="en-GB"/>
        </w:rPr>
        <w:t>feedback models</w:t>
      </w:r>
      <w:r w:rsidRPr="003726FE">
        <w:rPr>
          <w:shd w:val="clear" w:color="auto" w:fill="FFFFFF"/>
          <w:lang w:val="en-GB"/>
        </w:rPr>
        <w:t xml:space="preserve"> </w:t>
      </w:r>
      <w:r w:rsidR="00BA7264" w:rsidRPr="003726FE">
        <w:rPr>
          <w:shd w:val="clear" w:color="auto" w:fill="FFFFFF"/>
          <w:lang w:val="en-GB"/>
        </w:rPr>
        <w:t>impacted up</w:t>
      </w:r>
      <w:r w:rsidRPr="003726FE">
        <w:rPr>
          <w:shd w:val="clear" w:color="auto" w:fill="FFFFFF"/>
          <w:lang w:val="en-GB"/>
        </w:rPr>
        <w:t xml:space="preserve">on </w:t>
      </w:r>
      <w:r w:rsidR="00BA7264" w:rsidRPr="003726FE">
        <w:rPr>
          <w:shd w:val="clear" w:color="auto" w:fill="FFFFFF"/>
          <w:lang w:val="en-GB"/>
        </w:rPr>
        <w:t>SRL and self-</w:t>
      </w:r>
      <w:r w:rsidR="00BA4521" w:rsidRPr="003726FE">
        <w:rPr>
          <w:shd w:val="clear" w:color="auto" w:fill="FFFFFF"/>
          <w:lang w:val="en-GB"/>
        </w:rPr>
        <w:t>efficacy</w:t>
      </w:r>
      <w:r w:rsidR="00BA7264" w:rsidRPr="003726FE">
        <w:rPr>
          <w:shd w:val="clear" w:color="auto" w:fill="FFFFFF"/>
          <w:lang w:val="en-GB"/>
        </w:rPr>
        <w:t xml:space="preserve"> perception</w:t>
      </w:r>
      <w:r w:rsidR="00BB5AB1">
        <w:rPr>
          <w:shd w:val="clear" w:color="auto" w:fill="FFFFFF"/>
          <w:lang w:val="en-GB"/>
        </w:rPr>
        <w:t>s</w:t>
      </w:r>
      <w:r w:rsidR="00AD32A0" w:rsidRPr="003726FE">
        <w:rPr>
          <w:shd w:val="clear" w:color="auto" w:fill="FFFFFF"/>
          <w:lang w:val="en-GB"/>
        </w:rPr>
        <w:t xml:space="preserve">, then </w:t>
      </w:r>
      <w:r w:rsidR="00BA7264" w:rsidRPr="003726FE">
        <w:rPr>
          <w:shd w:val="clear" w:color="auto" w:fill="FFFFFF"/>
          <w:lang w:val="en-GB"/>
        </w:rPr>
        <w:t xml:space="preserve">a qualitative approach to </w:t>
      </w:r>
      <w:r w:rsidRPr="003726FE">
        <w:rPr>
          <w:shd w:val="clear" w:color="auto" w:fill="FFFFFF"/>
          <w:lang w:val="en-GB"/>
        </w:rPr>
        <w:t>explore</w:t>
      </w:r>
      <w:r w:rsidR="00BB5AB1">
        <w:rPr>
          <w:shd w:val="clear" w:color="auto" w:fill="FFFFFF"/>
          <w:lang w:val="en-GB"/>
        </w:rPr>
        <w:t xml:space="preserve"> how the models influenced SRL and feedback behaviours</w:t>
      </w:r>
      <w:r w:rsidR="00AD32A0" w:rsidRPr="003726FE">
        <w:rPr>
          <w:shd w:val="clear" w:color="auto" w:fill="FFFFFF"/>
          <w:lang w:val="en-GB"/>
        </w:rPr>
        <w:t xml:space="preserve">. </w:t>
      </w:r>
    </w:p>
    <w:p w14:paraId="56E57F1F" w14:textId="77777777" w:rsidR="00AD32A0" w:rsidRPr="003726FE" w:rsidRDefault="00AD32A0" w:rsidP="00026049">
      <w:pPr>
        <w:pStyle w:val="Normal1"/>
        <w:rPr>
          <w:shd w:val="clear" w:color="auto" w:fill="FFFFFF"/>
          <w:lang w:val="en-GB"/>
        </w:rPr>
      </w:pPr>
    </w:p>
    <w:p w14:paraId="3D4ABD4D" w14:textId="381A7A74" w:rsidR="00AD32A0" w:rsidRPr="003726FE" w:rsidRDefault="00AD32A0" w:rsidP="00026049">
      <w:pPr>
        <w:pStyle w:val="Normal1"/>
        <w:rPr>
          <w:rFonts w:cs="Times-Roman"/>
          <w:lang w:val="en-GB"/>
        </w:rPr>
      </w:pPr>
      <w:r w:rsidRPr="003726FE">
        <w:rPr>
          <w:shd w:val="clear" w:color="auto" w:fill="FFFFFF"/>
          <w:lang w:val="en-GB"/>
        </w:rPr>
        <w:t xml:space="preserve">Mixed methods research has been recognised in the last two decades as “the third major research approach or paradigm”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&lt;EndNote&gt;&lt;Cite&gt;&lt;Author&gt;Johnson&lt;/Author&gt;&lt;Year&gt;2007&lt;/Year&gt;&lt;RecNum&gt;120&lt;/RecNum&gt;&lt;Pages&gt;112&lt;/Pages&gt;&lt;DisplayText&gt;(Johnson et al. 2007, p. 112)&lt;/DisplayText&gt;&lt;record&gt;&lt;rec-number&gt;120&lt;/rec-number&gt;&lt;foreign-keys&gt;&lt;key app="EN" db-id="xa2r2ewea92trkef5dt5arvbzafvpv2za5ft" timestamp="1442161764"&gt;120&lt;/key&gt;&lt;/foreign-keys&gt;&lt;ref-type name="Journal Article"&gt;17&lt;/ref-type&gt;&lt;contributors&gt;&lt;authors&gt;&lt;author&gt;Johnson, R. Burke&lt;/author&gt;&lt;author&gt;Onwuegbuzie, Anthony J.&lt;/author&gt;&lt;author&gt;Turner, Lisa A.&lt;/author&gt;&lt;/authors&gt;&lt;/contributors&gt;&lt;titles&gt;&lt;title&gt;Toward a definition of mixed methods research&lt;/title&gt;&lt;secondary-title&gt;Journal of mixed methods research&lt;/secondary-title&gt;&lt;/titles&gt;&lt;periodical&gt;&lt;full-title&gt;Journal of mixed methods research&lt;/full-title&gt;&lt;/periodical&gt;&lt;pages&gt;112-133&lt;/pages&gt;&lt;volume&gt;1&lt;/volume&gt;&lt;number&gt;2&lt;/number&gt;&lt;dates&gt;&lt;year&gt;2007&lt;/year&gt;&lt;/dates&gt;&lt;publisher&gt;Sage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07" w:tooltip="Johnson, 2007 #120" w:history="1">
        <w:r w:rsidR="0094469E" w:rsidRPr="003726FE">
          <w:rPr>
            <w:noProof/>
            <w:shd w:val="clear" w:color="auto" w:fill="FFFFFF"/>
            <w:lang w:val="en-GB"/>
          </w:rPr>
          <w:t>Johnson et al. 2007, p. 112</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alongside quantitative and qualitative approaches. </w:t>
      </w:r>
      <w:r w:rsidRPr="003726FE">
        <w:rPr>
          <w:lang w:val="en-GB"/>
        </w:rPr>
        <w:t>Wh</w:t>
      </w:r>
      <w:r w:rsidR="00A32439" w:rsidRPr="003726FE">
        <w:rPr>
          <w:lang w:val="en-GB"/>
        </w:rPr>
        <w:t>at is often overlooked is that mixed research</w:t>
      </w:r>
      <w:r w:rsidRPr="003726FE">
        <w:rPr>
          <w:lang w:val="en-GB"/>
        </w:rPr>
        <w:t xml:space="preserve"> has been practiced in the social sciences </w:t>
      </w:r>
      <w:r w:rsidR="0008431D" w:rsidRPr="003726FE">
        <w:rPr>
          <w:lang w:val="en-GB"/>
        </w:rPr>
        <w:t>for many decades</w:t>
      </w:r>
      <w:r w:rsidRPr="003726FE">
        <w:rPr>
          <w:lang w:val="en-GB"/>
        </w:rPr>
        <w:t xml:space="preserve"> </w:t>
      </w:r>
      <w:r w:rsidR="00A32439" w:rsidRPr="003726FE">
        <w:rPr>
          <w:lang w:val="en-GB"/>
        </w:rPr>
        <w:fldChar w:fldCharType="begin"/>
      </w:r>
      <w:r w:rsidR="008B61BE">
        <w:rPr>
          <w:lang w:val="en-GB"/>
        </w:rPr>
        <w:instrText xml:space="preserve"> ADDIN EN.CITE &lt;EndNote&gt;&lt;Cite&gt;&lt;Author&gt;Lynd&lt;/Author&gt;&lt;Year&gt;1957&lt;/Year&gt;&lt;RecNum&gt;571&lt;/RecNum&gt;&lt;DisplayText&gt;(Lynd and Lynd 1957; Jahoda and Zeisel 1974)&lt;/DisplayText&gt;&lt;record&gt;&lt;rec-number&gt;571&lt;/rec-number&gt;&lt;foreign-keys&gt;&lt;key app="EN" db-id="xa2r2ewea92trkef5dt5arvbzafvpv2za5ft" timestamp="1496417555"&gt;571&lt;/key&gt;&lt;/foreign-keys&gt;&lt;ref-type name="Journal Article"&gt;17&lt;/ref-type&gt;&lt;contributors&gt;&lt;authors&gt;&lt;author&gt;Lynd, Robert S&lt;/author&gt;&lt;author&gt;Lynd, Helen Merrell&lt;/author&gt;&lt;/authors&gt;&lt;/contributors&gt;&lt;titles&gt;&lt;title&gt;Middletown: A Study in Modern American Culture. 1929&lt;/title&gt;&lt;secondary-title&gt;Reprint, Florida: Harcourt Brace Jovanovich&lt;/secondary-title&gt;&lt;/titles&gt;&lt;periodical&gt;&lt;full-title&gt;Reprint, Florida: Harcourt Brace Jovanovich&lt;/full-title&gt;&lt;/periodical&gt;&lt;dates&gt;&lt;year&gt;1957&lt;/year&gt;&lt;/dates&gt;&lt;urls&gt;&lt;/urls&gt;&lt;/record&gt;&lt;/Cite&gt;&lt;Cite&gt;&lt;Author&gt;Jahoda&lt;/Author&gt;&lt;Year&gt;1974&lt;/Year&gt;&lt;RecNum&gt;572&lt;/RecNum&gt;&lt;record&gt;&lt;rec-number&gt;572&lt;/rec-number&gt;&lt;foreign-keys&gt;&lt;key app="EN" db-id="xa2r2ewea92trkef5dt5arvbzafvpv2za5ft" timestamp="1496417555"&gt;572&lt;/key&gt;&lt;/foreign-keys&gt;&lt;ref-type name="Book"&gt;6&lt;/ref-type&gt;&lt;contributors&gt;&lt;authors&gt;&lt;author&gt;Jahoda, Marie&lt;/author&gt;&lt;author&gt;Zeisel, Hans&lt;/author&gt;&lt;/authors&gt;&lt;/contributors&gt;&lt;titles&gt;&lt;title&gt;Marienthal: The sociography of an unemployed community&lt;/title&gt;&lt;/titles&gt;&lt;dates&gt;&lt;year&gt;1974&lt;/year&gt;&lt;/dates&gt;&lt;publisher&gt;Transaction Publishers&lt;/publisher&gt;&lt;isbn&gt;1412828074&lt;/isbn&gt;&lt;urls&gt;&lt;/urls&gt;&lt;/record&gt;&lt;/Cite&gt;&lt;/EndNote&gt;</w:instrText>
      </w:r>
      <w:r w:rsidR="00A32439" w:rsidRPr="003726FE">
        <w:rPr>
          <w:lang w:val="en-GB"/>
        </w:rPr>
        <w:fldChar w:fldCharType="separate"/>
      </w:r>
      <w:r w:rsidR="004E5A78" w:rsidRPr="003726FE">
        <w:rPr>
          <w:noProof/>
          <w:lang w:val="en-GB"/>
        </w:rPr>
        <w:t>(</w:t>
      </w:r>
      <w:hyperlink w:anchor="_ENREF_251" w:tooltip="Lynd, 1957 #571" w:history="1">
        <w:r w:rsidR="0094469E" w:rsidRPr="003726FE">
          <w:rPr>
            <w:noProof/>
            <w:lang w:val="en-GB"/>
          </w:rPr>
          <w:t>Lynd and Lynd 1957</w:t>
        </w:r>
      </w:hyperlink>
      <w:r w:rsidR="004E5A78" w:rsidRPr="003726FE">
        <w:rPr>
          <w:noProof/>
          <w:lang w:val="en-GB"/>
        </w:rPr>
        <w:t xml:space="preserve">; </w:t>
      </w:r>
      <w:hyperlink w:anchor="_ENREF_202" w:tooltip="Jahoda, 1974 #572" w:history="1">
        <w:r w:rsidR="0094469E" w:rsidRPr="003726FE">
          <w:rPr>
            <w:noProof/>
            <w:lang w:val="en-GB"/>
          </w:rPr>
          <w:t>Jahoda and Zeisel 1974</w:t>
        </w:r>
      </w:hyperlink>
      <w:r w:rsidR="004E5A78" w:rsidRPr="003726FE">
        <w:rPr>
          <w:noProof/>
          <w:lang w:val="en-GB"/>
        </w:rPr>
        <w:t>)</w:t>
      </w:r>
      <w:r w:rsidR="00A32439" w:rsidRPr="003726FE">
        <w:rPr>
          <w:lang w:val="en-GB"/>
        </w:rPr>
        <w:fldChar w:fldCharType="end"/>
      </w:r>
      <w:r w:rsidRPr="003726FE">
        <w:rPr>
          <w:rFonts w:cs="Times-Roman"/>
          <w:lang w:val="en-GB"/>
        </w:rPr>
        <w:t xml:space="preserve"> and is by no means a new concept. Cam</w:t>
      </w:r>
      <w:r w:rsidR="001F7BA1">
        <w:rPr>
          <w:rFonts w:cs="Times-Roman"/>
          <w:lang w:val="en-GB"/>
        </w:rPr>
        <w:t>p</w:t>
      </w:r>
      <w:r w:rsidRPr="003726FE">
        <w:rPr>
          <w:rFonts w:cs="Times-Roman"/>
          <w:lang w:val="en-GB"/>
        </w:rPr>
        <w:t xml:space="preserve">bell and Fiske’s methodological article </w:t>
      </w:r>
      <w:r w:rsidR="00EF281A" w:rsidRPr="003726FE">
        <w:rPr>
          <w:rFonts w:cs="Times-Roman"/>
          <w:lang w:val="en-GB"/>
        </w:rPr>
        <w:fldChar w:fldCharType="begin"/>
      </w:r>
      <w:r w:rsidR="008B61BE">
        <w:rPr>
          <w:rFonts w:cs="Times-Roman"/>
          <w:lang w:val="en-GB"/>
        </w:rPr>
        <w:instrText xml:space="preserve"> ADDIN EN.CITE &lt;EndNote&gt;&lt;Cite ExcludeAuth="1"&gt;&lt;Author&gt;Campbell&lt;/Author&gt;&lt;Year&gt;1959&lt;/Year&gt;&lt;RecNum&gt;775&lt;/RecNum&gt;&lt;DisplayText&gt;(1959)&lt;/DisplayText&gt;&lt;record&gt;&lt;rec-number&gt;775&lt;/rec-number&gt;&lt;foreign-keys&gt;&lt;key app="EN" db-id="xa2r2ewea92trkef5dt5arvbzafvpv2za5ft" timestamp="1496417593"&gt;775&lt;/key&gt;&lt;/foreign-keys&gt;&lt;ref-type name="Journal Article"&gt;17&lt;/ref-type&gt;&lt;contributors&gt;&lt;authors&gt;&lt;author&gt;Campbell, Donald T&lt;/author&gt;&lt;author&gt;Fiske, Donald W&lt;/author&gt;&lt;/authors&gt;&lt;/contributors&gt;&lt;titles&gt;&lt;title&gt;Convergent and discriminant validation by the multitrait-multimethod matrix&lt;/title&gt;&lt;secondary-title&gt;Psychological bulletin&lt;/secondary-title&gt;&lt;/titles&gt;&lt;periodical&gt;&lt;full-title&gt;Psychological bulletin&lt;/full-title&gt;&lt;/periodical&gt;&lt;pages&gt;81&lt;/pages&gt;&lt;volume&gt;56&lt;/volume&gt;&lt;number&gt;2&lt;/number&gt;&lt;dates&gt;&lt;year&gt;1959&lt;/year&gt;&lt;/dates&gt;&lt;isbn&gt;1939-1455&lt;/isbn&gt;&lt;urls&gt;&lt;/urls&gt;&lt;/record&gt;&lt;/Cite&gt;&lt;/EndNote&gt;</w:instrText>
      </w:r>
      <w:r w:rsidR="00EF281A" w:rsidRPr="003726FE">
        <w:rPr>
          <w:rFonts w:cs="Times-Roman"/>
          <w:lang w:val="en-GB"/>
        </w:rPr>
        <w:fldChar w:fldCharType="separate"/>
      </w:r>
      <w:r w:rsidR="00B5301C" w:rsidRPr="003726FE">
        <w:rPr>
          <w:rFonts w:cs="Times-Roman"/>
          <w:noProof/>
          <w:lang w:val="en-GB"/>
        </w:rPr>
        <w:t>(</w:t>
      </w:r>
      <w:hyperlink w:anchor="_ENREF_67" w:tooltip="Campbell, 1959 #775" w:history="1">
        <w:r w:rsidR="0094469E" w:rsidRPr="003726FE">
          <w:rPr>
            <w:rFonts w:cs="Times-Roman"/>
            <w:noProof/>
            <w:lang w:val="en-GB"/>
          </w:rPr>
          <w:t>1959</w:t>
        </w:r>
      </w:hyperlink>
      <w:r w:rsidR="00B5301C" w:rsidRPr="003726FE">
        <w:rPr>
          <w:rFonts w:cs="Times-Roman"/>
          <w:noProof/>
          <w:lang w:val="en-GB"/>
        </w:rPr>
        <w:t>)</w:t>
      </w:r>
      <w:r w:rsidR="00EF281A" w:rsidRPr="003726FE">
        <w:rPr>
          <w:rFonts w:cs="Times-Roman"/>
          <w:lang w:val="en-GB"/>
        </w:rPr>
        <w:fldChar w:fldCharType="end"/>
      </w:r>
      <w:r w:rsidRPr="003726FE">
        <w:rPr>
          <w:rFonts w:cs="Times-Roman"/>
          <w:lang w:val="en-GB"/>
        </w:rPr>
        <w:t xml:space="preserve"> helped cement the practice by introducing explicitly how mixed techniques could be used for validation; they called this ‘multi-operationalism’. This term was understood to mean that evidence obtained from multiple sources enhanced belief in validity rather than lone findings as “methodological artefacts” </w:t>
      </w:r>
      <w:r w:rsidR="00EF281A" w:rsidRPr="003726FE">
        <w:rPr>
          <w:rFonts w:cs="Times-Roman"/>
          <w:lang w:val="en-GB"/>
        </w:rPr>
        <w:fldChar w:fldCharType="begin"/>
      </w:r>
      <w:r w:rsidR="008B61BE">
        <w:rPr>
          <w:rFonts w:cs="Times-Roman"/>
          <w:lang w:val="en-GB"/>
        </w:rPr>
        <w:instrText xml:space="preserve"> ADDIN EN.CITE &lt;EndNote&gt;&lt;Cite&gt;&lt;Author&gt;Bouchard&lt;/Author&gt;&lt;Year&gt;1976&lt;/Year&gt;&lt;RecNum&gt;16&lt;/RecNum&gt;&lt;Pages&gt;268&lt;/Pages&gt;&lt;DisplayText&gt;(Bouchard 1976, p. 268)&lt;/DisplayText&gt;&lt;record&gt;&lt;rec-number&gt;16&lt;/rec-number&gt;&lt;foreign-keys&gt;&lt;key app="EN" db-id="xa2r2ewea92trkef5dt5arvbzafvpv2za5ft" timestamp="1442161763"&gt;16&lt;/key&gt;&lt;/foreign-keys&gt;&lt;ref-type name="Journal Article"&gt;17&lt;/ref-type&gt;&lt;contributors&gt;&lt;authors&gt;&lt;author&gt;Bouchard, Thomas J.&lt;/author&gt;&lt;/authors&gt;&lt;/contributors&gt;&lt;titles&gt;&lt;title&gt;Unobtrusive measures an i nventory of uses&lt;/title&gt;&lt;secondary-title&gt;Sociological Methods &amp;amp; Research&lt;/secondary-title&gt;&lt;/titles&gt;&lt;periodical&gt;&lt;full-title&gt;Sociological Methods &amp;amp; Research&lt;/full-title&gt;&lt;/periodical&gt;&lt;pages&gt;267-300&lt;/pages&gt;&lt;volume&gt;4&lt;/volume&gt;&lt;number&gt;3&lt;/number&gt;&lt;dates&gt;&lt;year&gt;1976&lt;/year&gt;&lt;/dates&gt;&lt;publisher&gt;Sage Publications&lt;/publisher&gt;&lt;urls&gt;&lt;/urls&gt;&lt;/record&gt;&lt;/Cite&gt;&lt;/EndNote&gt;</w:instrText>
      </w:r>
      <w:r w:rsidR="00EF281A" w:rsidRPr="003726FE">
        <w:rPr>
          <w:rFonts w:cs="Times-Roman"/>
          <w:lang w:val="en-GB"/>
        </w:rPr>
        <w:fldChar w:fldCharType="separate"/>
      </w:r>
      <w:r w:rsidR="004E5A78" w:rsidRPr="003726FE">
        <w:rPr>
          <w:rFonts w:cs="Times-Roman"/>
          <w:noProof/>
          <w:lang w:val="en-GB"/>
        </w:rPr>
        <w:t>(</w:t>
      </w:r>
      <w:hyperlink w:anchor="_ENREF_48" w:tooltip="Bouchard, 1976 #16" w:history="1">
        <w:r w:rsidR="0094469E" w:rsidRPr="003726FE">
          <w:rPr>
            <w:rFonts w:cs="Times-Roman"/>
            <w:noProof/>
            <w:lang w:val="en-GB"/>
          </w:rPr>
          <w:t>Bouchard 1976, p. 268</w:t>
        </w:r>
      </w:hyperlink>
      <w:r w:rsidR="004E5A78" w:rsidRPr="003726FE">
        <w:rPr>
          <w:rFonts w:cs="Times-Roman"/>
          <w:noProof/>
          <w:lang w:val="en-GB"/>
        </w:rPr>
        <w:t>)</w:t>
      </w:r>
      <w:r w:rsidR="00EF281A" w:rsidRPr="003726FE">
        <w:rPr>
          <w:rFonts w:cs="Times-Roman"/>
          <w:lang w:val="en-GB"/>
        </w:rPr>
        <w:fldChar w:fldCharType="end"/>
      </w:r>
      <w:r w:rsidRPr="003726FE">
        <w:rPr>
          <w:rFonts w:cs="Times-Roman"/>
          <w:lang w:val="en-GB"/>
        </w:rPr>
        <w:t xml:space="preserve">. </w:t>
      </w:r>
    </w:p>
    <w:p w14:paraId="774D022B" w14:textId="77777777" w:rsidR="00AD32A0" w:rsidRPr="003726FE" w:rsidRDefault="00AD32A0" w:rsidP="00026049">
      <w:pPr>
        <w:pStyle w:val="Normal1"/>
        <w:rPr>
          <w:lang w:val="en-GB"/>
        </w:rPr>
      </w:pPr>
    </w:p>
    <w:p w14:paraId="60592B99" w14:textId="4DBBD331" w:rsidR="00AD32A0" w:rsidRPr="003726FE" w:rsidRDefault="00AD32A0" w:rsidP="00026049">
      <w:pPr>
        <w:pStyle w:val="Normal1"/>
        <w:rPr>
          <w:lang w:val="en-GB"/>
        </w:rPr>
      </w:pPr>
      <w:r w:rsidRPr="003726FE">
        <w:rPr>
          <w:lang w:val="en-GB"/>
        </w:rPr>
        <w:t>A mixed methods paradigm requires careful articulation given the core paradigmatic differences between qualitative and quantitative traditions. This is in contrast to qualitative methods</w:t>
      </w:r>
      <w:r w:rsidR="00BA7264" w:rsidRPr="003726FE">
        <w:rPr>
          <w:lang w:val="en-GB"/>
        </w:rPr>
        <w:t>,</w:t>
      </w:r>
      <w:r w:rsidRPr="003726FE">
        <w:rPr>
          <w:lang w:val="en-GB"/>
        </w:rPr>
        <w:t xml:space="preserve"> that adopt subjectivist constructivism, and quantitative methods that have long been rooted in objectivist positivism </w:t>
      </w:r>
      <w:r w:rsidR="00EF281A" w:rsidRPr="003726FE">
        <w:rPr>
          <w:lang w:val="en-GB"/>
        </w:rPr>
        <w:fldChar w:fldCharType="begin"/>
      </w:r>
      <w:r w:rsidR="008B61BE">
        <w:rPr>
          <w:lang w:val="en-GB"/>
        </w:rPr>
        <w:instrText xml:space="preserve"> ADDIN EN.CITE &lt;EndNote&gt;&lt;Cite&gt;&lt;Author&gt;Bergman&lt;/Author&gt;&lt;Year&gt;2008&lt;/Year&gt;&lt;RecNum&gt;11&lt;/RecNum&gt;&lt;DisplayText&gt;(Bergman 2008)&lt;/DisplayText&gt;&lt;record&gt;&lt;rec-number&gt;11&lt;/rec-number&gt;&lt;foreign-keys&gt;&lt;key app="EN" db-id="xa2r2ewea92trkef5dt5arvbzafvpv2za5ft" timestamp="1442161763"&gt;11&lt;/key&gt;&lt;/foreign-keys&gt;&lt;ref-type name="Journal Article"&gt;17&lt;/ref-type&gt;&lt;contributors&gt;&lt;authors&gt;&lt;author&gt;Bergman, Manfred Max&lt;/author&gt;&lt;/authors&gt;&lt;/contributors&gt;&lt;titles&gt;&lt;title&gt;The straw men of the qualitative-quantitative divide and their influence on mixed methods research&lt;/title&gt;&lt;secondary-title&gt;Advances in mixed methods research: Theories and applications&lt;/secondary-title&gt;&lt;/titles&gt;&lt;periodical&gt;&lt;full-title&gt;Advances in mixed methods research: Theories and applications&lt;/full-title&gt;&lt;/periodical&gt;&lt;pages&gt;11-21&lt;/pages&gt;&lt;dates&gt;&lt;year&gt;2008&lt;/year&gt;&lt;/dates&gt;&lt;urls&gt;&lt;/urls&gt;&lt;/record&gt;&lt;/Cite&gt;&lt;/EndNote&gt;</w:instrText>
      </w:r>
      <w:r w:rsidR="00EF281A" w:rsidRPr="003726FE">
        <w:rPr>
          <w:lang w:val="en-GB"/>
        </w:rPr>
        <w:fldChar w:fldCharType="separate"/>
      </w:r>
      <w:r w:rsidR="004E5A78" w:rsidRPr="003726FE">
        <w:rPr>
          <w:noProof/>
          <w:lang w:val="en-GB"/>
        </w:rPr>
        <w:t>(</w:t>
      </w:r>
      <w:hyperlink w:anchor="_ENREF_28" w:tooltip="Bergman, 2008 #11" w:history="1">
        <w:r w:rsidR="0094469E" w:rsidRPr="003726FE">
          <w:rPr>
            <w:noProof/>
            <w:lang w:val="en-GB"/>
          </w:rPr>
          <w:t>Bergman 2008</w:t>
        </w:r>
      </w:hyperlink>
      <w:r w:rsidR="004E5A78" w:rsidRPr="003726FE">
        <w:rPr>
          <w:noProof/>
          <w:lang w:val="en-GB"/>
        </w:rPr>
        <w:t>)</w:t>
      </w:r>
      <w:r w:rsidR="00EF281A" w:rsidRPr="003726FE">
        <w:rPr>
          <w:lang w:val="en-GB"/>
        </w:rPr>
        <w:fldChar w:fldCharType="end"/>
      </w:r>
      <w:r w:rsidRPr="003726FE">
        <w:rPr>
          <w:lang w:val="en-GB"/>
        </w:rPr>
        <w:t xml:space="preserve">. </w:t>
      </w:r>
      <w:hyperlink w:anchor="_ENREF_119" w:tooltip="Denzin, 2002 #573" w:history="1">
        <w:r w:rsidR="0094469E" w:rsidRPr="003726FE">
          <w:rPr>
            <w:lang w:val="en-GB"/>
          </w:rPr>
          <w:fldChar w:fldCharType="begin"/>
        </w:r>
        <w:r w:rsidR="0094469E">
          <w:rPr>
            <w:lang w:val="en-GB"/>
          </w:rPr>
          <w:instrText xml:space="preserve"> ADDIN EN.CITE &lt;EndNote&gt;&lt;Cite AuthorYear="1"&gt;&lt;Author&gt;Denzin&lt;/Author&gt;&lt;Year&gt;2002&lt;/Year&gt;&lt;RecNum&gt;573&lt;/RecNum&gt;&lt;Pages&gt;8&lt;/Pages&gt;&lt;DisplayText&gt;Denzin and Lincoln (2002, p. 8)&lt;/DisplayText&gt;&lt;record&gt;&lt;rec-number&gt;573&lt;/rec-number&gt;&lt;foreign-keys&gt;&lt;key app="EN" db-id="xa2r2ewea92trkef5dt5arvbzafvpv2za5ft" timestamp="1496417555"&gt;573&lt;/key&gt;&lt;/foreign-keys&gt;&lt;ref-type name="Book"&gt;6&lt;/ref-type&gt;&lt;contributors&gt;&lt;authors&gt;&lt;author&gt;Denzin, Norman K&lt;/author&gt;&lt;author&gt;Lincoln, Yvonna S&lt;/author&gt;&lt;/authors&gt;&lt;/contributors&gt;&lt;titles&gt;&lt;title&gt;The qualitative inquiry reader&lt;/title&gt;&lt;/titles&gt;&lt;dates&gt;&lt;year&gt;2002&lt;/year&gt;&lt;/dates&gt;&lt;publisher&gt;Sage&lt;/publisher&gt;&lt;isbn&gt;0761924922&lt;/isbn&gt;&lt;urls&gt;&lt;/urls&gt;&lt;/record&gt;&lt;/Cite&gt;&lt;/EndNote&gt;</w:instrText>
        </w:r>
        <w:r w:rsidR="0094469E" w:rsidRPr="003726FE">
          <w:rPr>
            <w:lang w:val="en-GB"/>
          </w:rPr>
          <w:fldChar w:fldCharType="separate"/>
        </w:r>
        <w:r w:rsidR="0094469E" w:rsidRPr="003726FE">
          <w:rPr>
            <w:noProof/>
            <w:lang w:val="en-GB"/>
          </w:rPr>
          <w:t>Denzin and Lincoln (2002, p. 8)</w:t>
        </w:r>
        <w:r w:rsidR="0094469E" w:rsidRPr="003726FE">
          <w:rPr>
            <w:lang w:val="en-GB"/>
          </w:rPr>
          <w:fldChar w:fldCharType="end"/>
        </w:r>
      </w:hyperlink>
      <w:r w:rsidRPr="003726FE">
        <w:rPr>
          <w:lang w:val="en-GB"/>
        </w:rPr>
        <w:t xml:space="preserve"> outline perspectives in each traditional approach</w:t>
      </w:r>
      <w:r w:rsidR="00572A34" w:rsidRPr="003726FE">
        <w:rPr>
          <w:lang w:val="en-GB"/>
        </w:rPr>
        <w:t>,</w:t>
      </w:r>
      <w:r w:rsidRPr="003726FE">
        <w:rPr>
          <w:lang w:val="en-GB"/>
        </w:rPr>
        <w:t xml:space="preserve"> “Qualitative researchers stress the socially constructed nature of reality, the intimate relationship between the researcher and what is studied, and the situational constraints that shape </w:t>
      </w:r>
      <w:r w:rsidRPr="003726FE">
        <w:rPr>
          <w:lang w:val="en-GB"/>
        </w:rPr>
        <w:lastRenderedPageBreak/>
        <w:t>inquiry […] In contrast, quantitative studies emphasize the measurement and analysis of causal relationships between variables, not processes”.</w:t>
      </w:r>
    </w:p>
    <w:p w14:paraId="57EA6FB6" w14:textId="77777777" w:rsidR="00AD32A0" w:rsidRPr="003726FE" w:rsidRDefault="00AD32A0" w:rsidP="00026049">
      <w:pPr>
        <w:pStyle w:val="Normal1"/>
        <w:rPr>
          <w:shd w:val="clear" w:color="auto" w:fill="FFFFFF"/>
          <w:lang w:val="en-GB"/>
        </w:rPr>
      </w:pPr>
    </w:p>
    <w:p w14:paraId="57CC7EDE" w14:textId="3542E02A" w:rsidR="00AD32A0" w:rsidRPr="003726FE" w:rsidRDefault="00AD32A0" w:rsidP="00026049">
      <w:pPr>
        <w:pStyle w:val="Normal1"/>
        <w:rPr>
          <w:lang w:val="en-GB"/>
        </w:rPr>
      </w:pPr>
      <w:r w:rsidRPr="003726FE">
        <w:rPr>
          <w:shd w:val="clear" w:color="auto" w:fill="FFFFFF"/>
          <w:lang w:val="en-GB"/>
        </w:rPr>
        <w:t xml:space="preserve">The </w:t>
      </w:r>
      <w:r w:rsidR="00D802DA">
        <w:rPr>
          <w:shd w:val="clear" w:color="auto" w:fill="FFFFFF"/>
          <w:lang w:val="en-GB"/>
        </w:rPr>
        <w:t>“</w:t>
      </w:r>
      <w:r w:rsidRPr="003726FE">
        <w:rPr>
          <w:shd w:val="clear" w:color="auto" w:fill="FFFFFF"/>
          <w:lang w:val="en-GB"/>
        </w:rPr>
        <w:t>paradigm wars</w:t>
      </w:r>
      <w:r w:rsidR="00D802DA">
        <w:rPr>
          <w:shd w:val="clear" w:color="auto" w:fill="FFFFFF"/>
          <w:lang w:val="en-GB"/>
        </w:rPr>
        <w:t>”</w:t>
      </w:r>
      <w:r w:rsidRPr="003726FE">
        <w:rPr>
          <w:shd w:val="clear" w:color="auto" w:fill="FFFFFF"/>
          <w:lang w:val="en-GB"/>
        </w:rPr>
        <w:t xml:space="preserve"> in the late 20</w:t>
      </w:r>
      <w:r w:rsidRPr="003726FE">
        <w:rPr>
          <w:shd w:val="clear" w:color="auto" w:fill="FFFFFF"/>
          <w:vertAlign w:val="superscript"/>
          <w:lang w:val="en-GB"/>
        </w:rPr>
        <w:t>th</w:t>
      </w:r>
      <w:r w:rsidRPr="003726FE">
        <w:rPr>
          <w:shd w:val="clear" w:color="auto" w:fill="FFFFFF"/>
          <w:lang w:val="en-GB"/>
        </w:rPr>
        <w:t xml:space="preserve"> century centred around the idea that mixing quantitative and qualitative methodologies was not possible</w:t>
      </w:r>
      <w:r w:rsidR="00BA7264" w:rsidRPr="003726FE">
        <w:rPr>
          <w:shd w:val="clear" w:color="auto" w:fill="FFFFFF"/>
          <w:lang w:val="en-GB"/>
        </w:rPr>
        <w:t>,</w:t>
      </w:r>
      <w:r w:rsidRPr="003726FE">
        <w:rPr>
          <w:shd w:val="clear" w:color="auto" w:fill="FFFFFF"/>
          <w:lang w:val="en-GB"/>
        </w:rPr>
        <w:t xml:space="preserve"> giving rise to the incompatibility thesis mentioned in the previous section </w:t>
      </w:r>
      <w:r w:rsidR="00572A34" w:rsidRPr="003726FE">
        <w:rPr>
          <w:shd w:val="clear" w:color="auto" w:fill="FFFFFF"/>
          <w:lang w:val="en-GB"/>
        </w:rPr>
        <w:fldChar w:fldCharType="begin"/>
      </w:r>
      <w:r w:rsidR="008B61BE">
        <w:rPr>
          <w:shd w:val="clear" w:color="auto" w:fill="FFFFFF"/>
          <w:lang w:val="en-GB"/>
        </w:rPr>
        <w:instrText xml:space="preserve"> ADDIN EN.CITE &lt;EndNote&gt;&lt;Cite&gt;&lt;Author&gt;Datta&lt;/Author&gt;&lt;Year&gt;1994&lt;/Year&gt;&lt;RecNum&gt;574&lt;/RecNum&gt;&lt;DisplayText&gt;(Datta 1994; Denzin and Lincoln 2013, p. 15)&lt;/DisplayText&gt;&lt;record&gt;&lt;rec-number&gt;574&lt;/rec-number&gt;&lt;foreign-keys&gt;&lt;key app="EN" db-id="xa2r2ewea92trkef5dt5arvbzafvpv2za5ft" timestamp="1496417556"&gt;574&lt;/key&gt;&lt;/foreign-keys&gt;&lt;ref-type name="Journal Article"&gt;17&lt;/ref-type&gt;&lt;contributors&gt;&lt;authors&gt;&lt;author&gt;Datta, Lois</w:instrText>
      </w:r>
      <w:r w:rsidR="008B61BE">
        <w:rPr>
          <w:rFonts w:ascii="Cambria Math" w:hAnsi="Cambria Math" w:cs="Cambria Math"/>
          <w:shd w:val="clear" w:color="auto" w:fill="FFFFFF"/>
          <w:lang w:val="en-GB"/>
        </w:rPr>
        <w:instrText>‐</w:instrText>
      </w:r>
      <w:r w:rsidR="008B61BE">
        <w:rPr>
          <w:shd w:val="clear" w:color="auto" w:fill="FFFFFF"/>
          <w:lang w:val="en-GB"/>
        </w:rPr>
        <w:instrText>ellin&lt;/author&gt;&lt;/authors&gt;&lt;/contributors&gt;&lt;titles&gt;&lt;title&gt;Paradigm wars: A basis for peaceful coexistence and beyond&lt;/title&gt;&lt;secondary-title&gt;New directions for program evaluation&lt;/secondary-title&gt;&lt;/titles&gt;&lt;periodical&gt;&lt;full-title&gt;New directions for program evaluation&lt;/full-title&gt;&lt;/periodical&gt;&lt;pages&gt;53-70&lt;/pages&gt;&lt;volume&gt;1994&lt;/volume&gt;&lt;number&gt;61&lt;/number&gt;&lt;dates&gt;&lt;year&gt;1994&lt;/year&gt;&lt;/dates&gt;&lt;isbn&gt;1551-2371&lt;/isbn&gt;&lt;urls&gt;&lt;/urls&gt;&lt;/record&gt;&lt;/Cite&gt;&lt;Cite&gt;&lt;Author&gt;Denzin&lt;/Author&gt;&lt;Year&gt;2013&lt;/Year&gt;&lt;RecNum&gt;63&lt;/RecNum&gt;&lt;Pages&gt;15&lt;/Pages&gt;&lt;record&gt;&lt;rec-number&gt;63&lt;/rec-number&gt;&lt;foreign-keys&gt;&lt;key app="EN" db-id="xa2r2ewea92trkef5dt5arvbzafvpv2za5ft" timestamp="1442161763"&gt;63&lt;/key&gt;&lt;/foreign-keys&gt;&lt;ref-type name="Book"&gt;6&lt;/ref-type&gt;&lt;contributors&gt;&lt;authors&gt;&lt;author&gt;Denzin, Norman K.&lt;/author&gt;&lt;author&gt;Lincoln, Yvonna S.&lt;/author&gt;&lt;/authors&gt;&lt;/contributors&gt;&lt;titles&gt;&lt;title&gt;Collecting and interpreting qualitative materials&lt;/title&gt;&lt;/titles&gt;&lt;number&gt;Book, Whole&lt;/number&gt;&lt;edition&gt;4th&lt;/edition&gt;&lt;dates&gt;&lt;year&gt;2013&lt;/year&gt;&lt;/dates&gt;&lt;publisher&gt;Sage&lt;/publisher&gt;&lt;urls&gt;&lt;/urls&gt;&lt;/record&gt;&lt;/Cite&gt;&lt;/EndNote&gt;</w:instrText>
      </w:r>
      <w:r w:rsidR="00572A34" w:rsidRPr="003726FE">
        <w:rPr>
          <w:shd w:val="clear" w:color="auto" w:fill="FFFFFF"/>
          <w:lang w:val="en-GB"/>
        </w:rPr>
        <w:fldChar w:fldCharType="separate"/>
      </w:r>
      <w:r w:rsidR="004E5A78" w:rsidRPr="003726FE">
        <w:rPr>
          <w:noProof/>
          <w:shd w:val="clear" w:color="auto" w:fill="FFFFFF"/>
          <w:lang w:val="en-GB"/>
        </w:rPr>
        <w:t>(</w:t>
      </w:r>
      <w:hyperlink w:anchor="_ENREF_109" w:tooltip="Datta, 1994 #574" w:history="1">
        <w:r w:rsidR="0094469E" w:rsidRPr="003726FE">
          <w:rPr>
            <w:noProof/>
            <w:shd w:val="clear" w:color="auto" w:fill="FFFFFF"/>
            <w:lang w:val="en-GB"/>
          </w:rPr>
          <w:t>Datta 1994</w:t>
        </w:r>
      </w:hyperlink>
      <w:r w:rsidR="004E5A78" w:rsidRPr="003726FE">
        <w:rPr>
          <w:noProof/>
          <w:shd w:val="clear" w:color="auto" w:fill="FFFFFF"/>
          <w:lang w:val="en-GB"/>
        </w:rPr>
        <w:t xml:space="preserve">; </w:t>
      </w:r>
      <w:hyperlink w:anchor="_ENREF_121" w:tooltip="Denzin, 2013 #63" w:history="1">
        <w:r w:rsidR="0094469E" w:rsidRPr="003726FE">
          <w:rPr>
            <w:noProof/>
            <w:shd w:val="clear" w:color="auto" w:fill="FFFFFF"/>
            <w:lang w:val="en-GB"/>
          </w:rPr>
          <w:t>Denzin and Lincoln 2013, p. 15</w:t>
        </w:r>
      </w:hyperlink>
      <w:r w:rsidR="004E5A78" w:rsidRPr="003726FE">
        <w:rPr>
          <w:noProof/>
          <w:shd w:val="clear" w:color="auto" w:fill="FFFFFF"/>
          <w:lang w:val="en-GB"/>
        </w:rPr>
        <w:t>)</w:t>
      </w:r>
      <w:r w:rsidR="00572A34" w:rsidRPr="003726FE">
        <w:rPr>
          <w:shd w:val="clear" w:color="auto" w:fill="FFFFFF"/>
          <w:lang w:val="en-GB"/>
        </w:rPr>
        <w:fldChar w:fldCharType="end"/>
      </w:r>
      <w:r w:rsidRPr="003726FE">
        <w:rPr>
          <w:lang w:val="en-GB"/>
        </w:rPr>
        <w:t xml:space="preserve">. However, influential names in the interpretivist tradition, </w:t>
      </w:r>
      <w:r w:rsidR="0021662A">
        <w:rPr>
          <w:lang w:val="en-GB"/>
        </w:rPr>
        <w:t>including</w:t>
      </w:r>
      <w:r w:rsidRPr="003726FE">
        <w:rPr>
          <w:lang w:val="en-GB"/>
        </w:rPr>
        <w:t xml:space="preserve"> Guba and L</w:t>
      </w:r>
      <w:r w:rsidR="001F7BA1">
        <w:rPr>
          <w:lang w:val="en-GB"/>
        </w:rPr>
        <w:t>incoln</w:t>
      </w:r>
      <w:r w:rsidRPr="003726FE">
        <w:rPr>
          <w:lang w:val="en-GB"/>
        </w:rPr>
        <w:t xml:space="preserve"> </w:t>
      </w:r>
      <w:r w:rsidR="00572A34" w:rsidRPr="003726FE">
        <w:rPr>
          <w:lang w:val="en-GB"/>
        </w:rPr>
        <w:fldChar w:fldCharType="begin"/>
      </w:r>
      <w:r w:rsidR="008B61BE">
        <w:rPr>
          <w:lang w:val="en-GB"/>
        </w:rPr>
        <w:instrText xml:space="preserve"> ADDIN EN.CITE &lt;EndNote&gt;&lt;Cite ExcludeAuth="1"&gt;&lt;Author&gt;Lincoln&lt;/Author&gt;&lt;Year&gt;1985&lt;/Year&gt;&lt;RecNum&gt;148&lt;/RecNum&gt;&lt;DisplayText&gt;(1985; 1989, 1994)&lt;/DisplayText&gt;&lt;record&gt;&lt;rec-number&gt;148&lt;/rec-number&gt;&lt;foreign-keys&gt;&lt;key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CA&lt;/pub-location&gt;&lt;publisher&gt;Sage&lt;/publisher&gt;&lt;urls&gt;&lt;/urls&gt;&lt;/record&gt;&lt;/Cite&gt;&lt;Cite ExcludeAuth="1"&gt;&lt;Author&gt;Guba&lt;/Author&gt;&lt;Year&gt;1989&lt;/Year&gt;&lt;RecNum&gt;101&lt;/RecNum&gt;&lt;record&gt;&lt;rec-number&gt;101&lt;/rec-number&gt;&lt;foreign-keys&gt;&lt;key app="EN" db-id="xa2r2ewea92trkef5dt5arvbzafvpv2za5ft" timestamp="1442161764"&gt;101&lt;/key&gt;&lt;/foreign-keys&gt;&lt;ref-type name="Book"&gt;6&lt;/ref-type&gt;&lt;contributors&gt;&lt;authors&gt;&lt;author&gt;Guba, Egon G.&lt;/author&gt;&lt;author&gt;Lincoln, Yvonna S.&lt;/author&gt;&lt;/authors&gt;&lt;/contributors&gt;&lt;titles&gt;&lt;title&gt;Fourth generation evaluation&lt;/title&gt;&lt;/titles&gt;&lt;number&gt;Book, Whole&lt;/number&gt;&lt;dates&gt;&lt;year&gt;1989&lt;/year&gt;&lt;/dates&gt;&lt;pub-location&gt;Newbury Park, CA&lt;/pub-location&gt;&lt;publisher&gt;Sage&lt;/publisher&gt;&lt;urls&gt;&lt;/urls&gt;&lt;/record&gt;&lt;/Cite&gt;&lt;Cite ExcludeAuth="1"&gt;&lt;Author&gt;Guba&lt;/Author&gt;&lt;Year&gt;1994&lt;/Year&gt;&lt;RecNum&gt;100&lt;/RecNum&gt;&lt;record&gt;&lt;rec-number&gt;100&lt;/rec-number&gt;&lt;foreign-keys&gt;&lt;key app="EN" db-id="xa2r2ewea92trkef5dt5arvbzafvpv2za5ft" timestamp="1442161764"&gt;100&lt;/key&gt;&lt;/foreign-keys&gt;&lt;ref-type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research&lt;/full-title&gt;&lt;/periodical&gt;&lt;volume&gt;2&lt;/volume&gt;&lt;number&gt;163-194&lt;/number&gt;&lt;dates&gt;&lt;year&gt;1994&lt;/year&gt;&lt;/dates&gt;&lt;urls&gt;&lt;/urls&gt;&lt;/record&gt;&lt;/Cite&gt;&lt;/EndNote&gt;</w:instrText>
      </w:r>
      <w:r w:rsidR="00572A34" w:rsidRPr="003726FE">
        <w:rPr>
          <w:lang w:val="en-GB"/>
        </w:rPr>
        <w:fldChar w:fldCharType="separate"/>
      </w:r>
      <w:r w:rsidR="005E380F" w:rsidRPr="003726FE">
        <w:rPr>
          <w:noProof/>
          <w:lang w:val="en-GB"/>
        </w:rPr>
        <w:t>(</w:t>
      </w:r>
      <w:hyperlink w:anchor="_ENREF_243" w:tooltip="Lincoln, 1985 #148" w:history="1">
        <w:r w:rsidR="0094469E" w:rsidRPr="003726FE">
          <w:rPr>
            <w:noProof/>
            <w:lang w:val="en-GB"/>
          </w:rPr>
          <w:t>1985</w:t>
        </w:r>
      </w:hyperlink>
      <w:r w:rsidR="005E380F" w:rsidRPr="003726FE">
        <w:rPr>
          <w:noProof/>
          <w:lang w:val="en-GB"/>
        </w:rPr>
        <w:t xml:space="preserve">; </w:t>
      </w:r>
      <w:hyperlink w:anchor="_ENREF_173" w:tooltip="Guba, 1989 #101" w:history="1">
        <w:r w:rsidR="0094469E" w:rsidRPr="003726FE">
          <w:rPr>
            <w:noProof/>
            <w:lang w:val="en-GB"/>
          </w:rPr>
          <w:t>1989</w:t>
        </w:r>
      </w:hyperlink>
      <w:r w:rsidR="005E380F" w:rsidRPr="003726FE">
        <w:rPr>
          <w:noProof/>
          <w:lang w:val="en-GB"/>
        </w:rPr>
        <w:t xml:space="preserve">, </w:t>
      </w:r>
      <w:hyperlink w:anchor="_ENREF_174" w:tooltip="Guba, 1994 #100" w:history="1">
        <w:r w:rsidR="0094469E" w:rsidRPr="003726FE">
          <w:rPr>
            <w:noProof/>
            <w:lang w:val="en-GB"/>
          </w:rPr>
          <w:t>1994</w:t>
        </w:r>
      </w:hyperlink>
      <w:r w:rsidR="005E380F" w:rsidRPr="003726FE">
        <w:rPr>
          <w:noProof/>
          <w:lang w:val="en-GB"/>
        </w:rPr>
        <w:t>)</w:t>
      </w:r>
      <w:r w:rsidR="00572A34" w:rsidRPr="003726FE">
        <w:rPr>
          <w:lang w:val="en-GB"/>
        </w:rPr>
        <w:fldChar w:fldCharType="end"/>
      </w:r>
      <w:r w:rsidR="001F7BA1">
        <w:rPr>
          <w:lang w:val="en-GB"/>
        </w:rPr>
        <w:t xml:space="preserve">, </w:t>
      </w:r>
      <w:r w:rsidR="001F7BA1" w:rsidRPr="003726FE">
        <w:rPr>
          <w:lang w:val="en-GB"/>
        </w:rPr>
        <w:t>have acknowledged the strengths and applications of mixed methods research</w:t>
      </w:r>
      <w:r w:rsidRPr="003726FE">
        <w:rPr>
          <w:lang w:val="en-GB"/>
        </w:rPr>
        <w:t xml:space="preserve"> and declared</w:t>
      </w:r>
      <w:r w:rsidR="00BA78A4">
        <w:rPr>
          <w:lang w:val="en-GB"/>
        </w:rPr>
        <w:t>:</w:t>
      </w:r>
      <w:r w:rsidRPr="003726FE">
        <w:rPr>
          <w:lang w:val="en-GB"/>
        </w:rPr>
        <w:t xml:space="preserve"> “Both qualitative and quantitative methods may be used appropriately with any research paradigm” </w:t>
      </w:r>
      <w:r w:rsidR="00EF281A" w:rsidRPr="003726FE">
        <w:rPr>
          <w:lang w:val="en-GB"/>
        </w:rPr>
        <w:fldChar w:fldCharType="begin"/>
      </w:r>
      <w:r w:rsidR="008B61BE">
        <w:rPr>
          <w:lang w:val="en-GB"/>
        </w:rPr>
        <w:instrText xml:space="preserve"> ADDIN EN.CITE &lt;EndNote&gt;&lt;Cite ExcludeAuth="1"&gt;&lt;Author&gt;Guba&lt;/Author&gt;&lt;Year&gt;1994&lt;/Year&gt;&lt;RecNum&gt;100&lt;/RecNum&gt;&lt;Pages&gt;105&lt;/Pages&gt;&lt;DisplayText&gt;(1994, p. 105)&lt;/DisplayText&gt;&lt;record&gt;&lt;rec-number&gt;100&lt;/rec-number&gt;&lt;foreign-keys&gt;&lt;key app="EN" db-id="xa2r2ewea92trkef5dt5arvbzafvpv2za5ft" timestamp="1442161764"&gt;100&lt;/key&gt;&lt;/foreign-keys&gt;&lt;ref-type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research&lt;/full-title&gt;&lt;/periodical&gt;&lt;volume&gt;2&lt;/volume&gt;&lt;number&gt;163-194&lt;/number&gt;&lt;dates&gt;&lt;year&gt;1994&lt;/year&gt;&lt;/dates&gt;&lt;urls&gt;&lt;/urls&gt;&lt;/record&gt;&lt;/Cite&gt;&lt;/EndNote&gt;</w:instrText>
      </w:r>
      <w:r w:rsidR="00EF281A" w:rsidRPr="003726FE">
        <w:rPr>
          <w:lang w:val="en-GB"/>
        </w:rPr>
        <w:fldChar w:fldCharType="separate"/>
      </w:r>
      <w:r w:rsidR="00E04EC9" w:rsidRPr="003726FE">
        <w:rPr>
          <w:noProof/>
          <w:lang w:val="en-GB"/>
        </w:rPr>
        <w:t>(</w:t>
      </w:r>
      <w:hyperlink w:anchor="_ENREF_174" w:tooltip="Guba, 1994 #100" w:history="1">
        <w:r w:rsidR="0094469E" w:rsidRPr="003726FE">
          <w:rPr>
            <w:noProof/>
            <w:lang w:val="en-GB"/>
          </w:rPr>
          <w:t>1994, p. 105</w:t>
        </w:r>
      </w:hyperlink>
      <w:r w:rsidR="00E04EC9" w:rsidRPr="003726FE">
        <w:rPr>
          <w:noProof/>
          <w:lang w:val="en-GB"/>
        </w:rPr>
        <w:t>)</w:t>
      </w:r>
      <w:r w:rsidR="00EF281A" w:rsidRPr="003726FE">
        <w:rPr>
          <w:lang w:val="en-GB"/>
        </w:rPr>
        <w:fldChar w:fldCharType="end"/>
      </w:r>
      <w:r w:rsidRPr="003726FE">
        <w:rPr>
          <w:lang w:val="en-GB"/>
        </w:rPr>
        <w:t>. Others question</w:t>
      </w:r>
      <w:r w:rsidR="00D531CD">
        <w:rPr>
          <w:lang w:val="en-GB"/>
        </w:rPr>
        <w:t>ed</w:t>
      </w:r>
      <w:r w:rsidRPr="003726FE">
        <w:rPr>
          <w:lang w:val="en-GB"/>
        </w:rPr>
        <w:t xml:space="preserve"> the need for the dichotomy between quantitative and qualitative methodologies when approaching social inquiries </w:t>
      </w:r>
      <w:r w:rsidR="00572A34" w:rsidRPr="003726FE">
        <w:rPr>
          <w:lang w:val="en-GB"/>
        </w:rPr>
        <w:fldChar w:fldCharType="begin"/>
      </w:r>
      <w:r w:rsidR="008B61BE">
        <w:rPr>
          <w:lang w:val="en-GB"/>
        </w:rPr>
        <w:instrText xml:space="preserve"> ADDIN EN.CITE &lt;EndNote&gt;&lt;Cite&gt;&lt;Author&gt;Schwandt&lt;/Author&gt;&lt;Year&gt;2000&lt;/Year&gt;&lt;RecNum&gt;228&lt;/RecNum&gt;&lt;DisplayText&gt;(Schwandt 2000; Schwandt 2006)&lt;/DisplayText&gt;&lt;record&gt;&lt;rec-number&gt;228&lt;/rec-number&gt;&lt;foreign-keys&gt;&lt;key app="EN" db-id="xa2r2ewea92trkef5dt5arvbzafvpv2za5ft" timestamp="1442161765"&gt;228&lt;/key&gt;&lt;/foreign-keys&gt;&lt;ref-type name="Book Section"&gt;5&lt;/ref-type&gt;&lt;contributors&gt;&lt;authors&gt;&lt;author&gt;Schwandt, Thomas A.&lt;/author&gt;&lt;/authors&gt;&lt;secondary-authors&gt;&lt;author&gt;Denzin, N. K.&lt;/author&gt;&lt;author&gt;Lincoln, Y. S.&lt;/author&gt;&lt;/secondary-authors&gt;&lt;/contributors&gt;&lt;titles&gt;&lt;title&gt;Three epistemological stances for qualitative inquiry&lt;/title&gt;&lt;secondary-title&gt;Handbook of qualitative research&lt;/secondary-title&gt;&lt;/titles&gt;&lt;periodical&gt;&lt;full-title&gt;Handbook of qualitative research&lt;/full-title&gt;&lt;/periodical&gt;&lt;pages&gt;189-213&lt;/pages&gt;&lt;volume&gt;2nd&lt;/volume&gt;&lt;num-vols&gt;Book, Section&lt;/num-vols&gt;&lt;dates&gt;&lt;year&gt;2000&lt;/year&gt;&lt;/dates&gt;&lt;urls&gt;&lt;/urls&gt;&lt;/record&gt;&lt;/Cite&gt;&lt;Cite&gt;&lt;Author&gt;Schwandt&lt;/Author&gt;&lt;Year&gt;2006&lt;/Year&gt;&lt;RecNum&gt;227&lt;/RecNum&gt;&lt;record&gt;&lt;rec-number&gt;227&lt;/rec-number&gt;&lt;foreign-keys&gt;&lt;key app="EN" db-id="xa2r2ewea92trkef5dt5arvbzafvpv2za5ft" timestamp="1442161765"&gt;227&lt;/key&gt;&lt;/foreign-keys&gt;&lt;ref-type name="Journal Article"&gt;17&lt;/ref-type&gt;&lt;contributors&gt;&lt;authors&gt;&lt;author&gt;Schwandt, Thomas&lt;/author&gt;&lt;/authors&gt;&lt;/contributors&gt;&lt;titles&gt;&lt;title&gt;Opposition redirected&lt;/title&gt;&lt;secondary-title&gt;International Journal of Qualitative Studies in Education&lt;/secondary-title&gt;&lt;/titles&gt;&lt;periodical&gt;&lt;full-title&gt;International Journal of Qualitative Studies in Education&lt;/full-title&gt;&lt;/periodical&gt;&lt;pages&gt;803-810&lt;/pages&gt;&lt;volume&gt;19&lt;/volume&gt;&lt;number&gt;6&lt;/number&gt;&lt;dates&gt;&lt;year&gt;2006&lt;/year&gt;&lt;/dates&gt;&lt;publisher&gt;Taylor &amp;amp; Francis&lt;/publisher&gt;&lt;urls&gt;&lt;/urls&gt;&lt;/record&gt;&lt;/Cite&gt;&lt;/EndNote&gt;</w:instrText>
      </w:r>
      <w:r w:rsidR="00572A34" w:rsidRPr="003726FE">
        <w:rPr>
          <w:lang w:val="en-GB"/>
        </w:rPr>
        <w:fldChar w:fldCharType="separate"/>
      </w:r>
      <w:r w:rsidR="004E5A78" w:rsidRPr="003726FE">
        <w:rPr>
          <w:noProof/>
          <w:lang w:val="en-GB"/>
        </w:rPr>
        <w:t>(</w:t>
      </w:r>
      <w:hyperlink w:anchor="_ENREF_374" w:tooltip="Schwandt, 2000 #228" w:history="1">
        <w:r w:rsidR="0094469E" w:rsidRPr="003726FE">
          <w:rPr>
            <w:noProof/>
            <w:lang w:val="en-GB"/>
          </w:rPr>
          <w:t>Schwandt 2000</w:t>
        </w:r>
      </w:hyperlink>
      <w:r w:rsidR="004E5A78" w:rsidRPr="003726FE">
        <w:rPr>
          <w:noProof/>
          <w:lang w:val="en-GB"/>
        </w:rPr>
        <w:t xml:space="preserve">; </w:t>
      </w:r>
      <w:hyperlink w:anchor="_ENREF_373" w:tooltip="Schwandt, 2006 #227" w:history="1">
        <w:r w:rsidR="0094469E" w:rsidRPr="003726FE">
          <w:rPr>
            <w:noProof/>
            <w:lang w:val="en-GB"/>
          </w:rPr>
          <w:t>Schwandt 2006</w:t>
        </w:r>
      </w:hyperlink>
      <w:r w:rsidR="004E5A78" w:rsidRPr="003726FE">
        <w:rPr>
          <w:noProof/>
          <w:lang w:val="en-GB"/>
        </w:rPr>
        <w:t>)</w:t>
      </w:r>
      <w:r w:rsidR="00572A34" w:rsidRPr="003726FE">
        <w:rPr>
          <w:lang w:val="en-GB"/>
        </w:rPr>
        <w:fldChar w:fldCharType="end"/>
      </w:r>
      <w:r w:rsidR="00572A34" w:rsidRPr="003726FE">
        <w:rPr>
          <w:lang w:val="en-GB"/>
        </w:rPr>
        <w:t>.</w:t>
      </w:r>
    </w:p>
    <w:p w14:paraId="1917DBF3" w14:textId="77777777" w:rsidR="00AD32A0" w:rsidRPr="003726FE" w:rsidRDefault="00AD32A0" w:rsidP="00026049">
      <w:pPr>
        <w:pStyle w:val="Normal1"/>
        <w:rPr>
          <w:lang w:val="en-GB"/>
        </w:rPr>
      </w:pPr>
    </w:p>
    <w:p w14:paraId="6F4B3E2C" w14:textId="145C97DA" w:rsidR="00AD32A0" w:rsidRPr="003726FE" w:rsidRDefault="00572A34" w:rsidP="00026049">
      <w:pPr>
        <w:pStyle w:val="Normal1"/>
        <w:rPr>
          <w:shd w:val="clear" w:color="auto" w:fill="FFFFFF"/>
          <w:lang w:val="en-GB"/>
        </w:rPr>
      </w:pPr>
      <w:r w:rsidRPr="003726FE">
        <w:rPr>
          <w:shd w:val="clear" w:color="auto" w:fill="FFFFFF"/>
          <w:lang w:val="en-GB"/>
        </w:rPr>
        <w:t>The</w:t>
      </w:r>
      <w:r w:rsidR="00AD32A0" w:rsidRPr="003726FE">
        <w:rPr>
          <w:shd w:val="clear" w:color="auto" w:fill="FFFFFF"/>
          <w:lang w:val="en-GB"/>
        </w:rPr>
        <w:t xml:space="preserve"> rationale for a mixed methodology </w:t>
      </w:r>
      <w:r w:rsidRPr="003726FE">
        <w:rPr>
          <w:shd w:val="clear" w:color="auto" w:fill="FFFFFF"/>
          <w:lang w:val="en-GB"/>
        </w:rPr>
        <w:t>in this study aim</w:t>
      </w:r>
      <w:r w:rsidR="00D531CD">
        <w:rPr>
          <w:shd w:val="clear" w:color="auto" w:fill="FFFFFF"/>
          <w:lang w:val="en-GB"/>
        </w:rPr>
        <w:t>ed</w:t>
      </w:r>
      <w:r w:rsidR="00AD32A0" w:rsidRPr="003726FE">
        <w:rPr>
          <w:shd w:val="clear" w:color="auto" w:fill="FFFFFF"/>
          <w:lang w:val="en-GB"/>
        </w:rPr>
        <w:t xml:space="preserve"> to develop “defensible patterns of recurring regularity as well as insight into variation and</w:t>
      </w:r>
      <w:r w:rsidR="00573592" w:rsidRPr="003726FE">
        <w:rPr>
          <w:shd w:val="clear" w:color="auto" w:fill="FFFFFF"/>
          <w:lang w:val="en-GB"/>
        </w:rPr>
        <w:t xml:space="preserve"> difference”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&lt;EndNote&gt;&lt;Cite&gt;&lt;Author&gt;Greene&lt;/Author&gt;&lt;Year&gt;2008&lt;/Year&gt;&lt;RecNum&gt;95&lt;/RecNum&gt;&lt;Pages&gt;7&lt;/Pages&gt;&lt;DisplayText&gt;(Greene 2008, p. 7)&lt;/DisplayText&gt;&lt;record&gt;&lt;rec-number&gt;95&lt;/rec-number&gt;&lt;foreign-keys&gt;&lt;key app="EN" db-id="xa2r2ewea92trkef5dt5arvbzafvpv2za5ft" timestamp="1442161764"&gt;95&lt;/key&gt;&lt;/foreign-keys&gt;&lt;ref-type name="Journal Article"&gt;17&lt;/ref-type&gt;&lt;contributors&gt;&lt;authors&gt;&lt;author&gt;Greene, Jennifer C.&lt;/author&gt;&lt;/authors&gt;&lt;/contributors&gt;&lt;titles&gt;&lt;title&gt;Is mixed methods social inquiry a distinctive methodology?&lt;/title&gt;&lt;secondary-title&gt;Journal of mixed methods research&lt;/secondary-title&gt;&lt;/titles&gt;&lt;periodical&gt;&lt;full-title&gt;Journal of mixed methods research&lt;/full-title&gt;&lt;/periodical&gt;&lt;pages&gt;7-22&lt;/pages&gt;&lt;volume&gt;2&lt;/volume&gt;&lt;number&gt;1&lt;/number&gt;&lt;dates&gt;&lt;year&gt;2008&lt;/year&gt;&lt;/dates&gt;&lt;publisher&gt;SAGE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69" w:tooltip="Greene, 2008 #95" w:history="1">
        <w:r w:rsidR="0094469E" w:rsidRPr="003726FE">
          <w:rPr>
            <w:noProof/>
            <w:shd w:val="clear" w:color="auto" w:fill="FFFFFF"/>
            <w:lang w:val="en-GB"/>
          </w:rPr>
          <w:t>Greene 2008, p. 7</w:t>
        </w:r>
      </w:hyperlink>
      <w:r w:rsidR="004E5A78" w:rsidRPr="003726FE">
        <w:rPr>
          <w:noProof/>
          <w:shd w:val="clear" w:color="auto" w:fill="FFFFFF"/>
          <w:lang w:val="en-GB"/>
        </w:rPr>
        <w:t>)</w:t>
      </w:r>
      <w:r w:rsidR="00EF281A" w:rsidRPr="003726FE">
        <w:rPr>
          <w:shd w:val="clear" w:color="auto" w:fill="FFFFFF"/>
          <w:lang w:val="en-GB"/>
        </w:rPr>
        <w:fldChar w:fldCharType="end"/>
      </w:r>
      <w:r w:rsidR="00573592" w:rsidRPr="003726FE">
        <w:rPr>
          <w:shd w:val="clear" w:color="auto" w:fill="FFFFFF"/>
          <w:lang w:val="en-GB"/>
        </w:rPr>
        <w:t>. T</w:t>
      </w:r>
      <w:r w:rsidR="00AD32A0" w:rsidRPr="003726FE">
        <w:rPr>
          <w:shd w:val="clear" w:color="auto" w:fill="FFFFFF"/>
          <w:lang w:val="en-GB"/>
        </w:rPr>
        <w:t>his ha</w:t>
      </w:r>
      <w:r w:rsidR="00D531CD">
        <w:rPr>
          <w:shd w:val="clear" w:color="auto" w:fill="FFFFFF"/>
          <w:lang w:val="en-GB"/>
        </w:rPr>
        <w:t>d</w:t>
      </w:r>
      <w:r w:rsidR="00BA78A4">
        <w:rPr>
          <w:shd w:val="clear" w:color="auto" w:fill="FFFFFF"/>
          <w:lang w:val="en-GB"/>
        </w:rPr>
        <w:t xml:space="preserve"> the aim</w:t>
      </w:r>
      <w:r w:rsidR="00AD32A0" w:rsidRPr="003726FE">
        <w:rPr>
          <w:shd w:val="clear" w:color="auto" w:fill="FFFFFF"/>
          <w:lang w:val="en-GB"/>
        </w:rPr>
        <w:t xml:space="preserve"> of corroborating evidence for the effects of the </w:t>
      </w:r>
      <w:r w:rsidRPr="003726FE">
        <w:rPr>
          <w:shd w:val="clear" w:color="auto" w:fill="FFFFFF"/>
          <w:lang w:val="en-GB"/>
        </w:rPr>
        <w:t>different feedback methods on SRL and feedback behaviours</w:t>
      </w:r>
      <w:r w:rsidR="00AD32A0" w:rsidRPr="003726FE">
        <w:rPr>
          <w:shd w:val="clear" w:color="auto" w:fill="FFFFFF"/>
          <w:lang w:val="en-GB"/>
        </w:rPr>
        <w:t>. Thus</w:t>
      </w:r>
      <w:r w:rsidR="00CF0044" w:rsidRPr="003726FE">
        <w:rPr>
          <w:shd w:val="clear" w:color="auto" w:fill="FFFFFF"/>
          <w:lang w:val="en-GB"/>
        </w:rPr>
        <w:t xml:space="preserve">, efforts </w:t>
      </w:r>
      <w:r w:rsidR="00BA78A4">
        <w:rPr>
          <w:shd w:val="clear" w:color="auto" w:fill="FFFFFF"/>
          <w:lang w:val="en-GB"/>
        </w:rPr>
        <w:t>were</w:t>
      </w:r>
      <w:r w:rsidR="00CF0044" w:rsidRPr="003726FE">
        <w:rPr>
          <w:shd w:val="clear" w:color="auto" w:fill="FFFFFF"/>
          <w:lang w:val="en-GB"/>
        </w:rPr>
        <w:t xml:space="preserve"> made to</w:t>
      </w:r>
      <w:r w:rsidR="00AD32A0" w:rsidRPr="003726FE">
        <w:rPr>
          <w:shd w:val="clear" w:color="auto" w:fill="FFFFFF"/>
          <w:lang w:val="en-GB"/>
        </w:rPr>
        <w:t xml:space="preserve"> achieve triangulation or ‘greater validity’ by data corroboration. This in turn contributes to a more complete perspective of the area of inquiry while offsetting the weaknesses of single method approaches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&lt;EndNote&gt;&lt;Cite&gt;&lt;Author&gt;Bryman&lt;/Author&gt;&lt;Year&gt;2008&lt;/Year&gt;&lt;RecNum&gt;20&lt;/RecNum&gt;&lt;DisplayText&gt;(Bryman 2008)&lt;/DisplayText&gt;&lt;record&gt;&lt;rec-number&gt;20&lt;/rec-number&gt;&lt;foreign-keys&gt;&lt;key app="EN" db-id="xa2r2ewea92trkef5dt5arvbzafvpv2za5ft" timestamp="1442161763"&gt;20&lt;/key&gt;&lt;/foreign-keys&gt;&lt;ref-type name="Book Section"&gt;5&lt;/ref-type&gt;&lt;contributors&gt;&lt;authors&gt;&lt;author&gt;Bryman, Alan&lt;/author&gt;&lt;/authors&gt;&lt;/contributors&gt;&lt;titles&gt;&lt;title&gt;Why do researchers integrate/combine/mesh/blend/mix/merge/fuse quantitative and qualitative research&lt;/title&gt;&lt;secondary-title&gt;Advances in mixed methods research&lt;/secondary-title&gt;&lt;/titles&gt;&lt;periodical&gt;&lt;full-title&gt;Advances in mixed methods research&lt;/full-title&gt;&lt;/periodical&gt;&lt;pages&gt;87-100&lt;/pages&gt;&lt;num-vols&gt;Book, Section&lt;/num-vols&gt;&lt;dates&gt;&lt;year&gt;2008&lt;/year&gt;&lt;/dates&gt;&lt;publisher&gt;Sage&lt;/publisher&gt;&lt;urls&gt;&lt;/urls&gt;&lt;/record&gt;&lt;/Cite&gt;&lt;/EndNote&gt;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60" w:tooltip="Bryman, 2008 #20" w:history="1">
        <w:r w:rsidR="0094469E" w:rsidRPr="003726FE">
          <w:rPr>
            <w:noProof/>
            <w:shd w:val="clear" w:color="auto" w:fill="FFFFFF"/>
            <w:lang w:val="en-GB"/>
          </w:rPr>
          <w:t>Bryman 2008</w:t>
        </w:r>
      </w:hyperlink>
      <w:r w:rsidR="004E5A78" w:rsidRPr="003726FE">
        <w:rPr>
          <w:noProof/>
          <w:shd w:val="clear" w:color="auto" w:fill="FFFFFF"/>
          <w:lang w:val="en-GB"/>
        </w:rPr>
        <w:t>)</w:t>
      </w:r>
      <w:r w:rsidR="00EF281A" w:rsidRPr="003726FE">
        <w:rPr>
          <w:shd w:val="clear" w:color="auto" w:fill="FFFFFF"/>
          <w:lang w:val="en-GB"/>
        </w:rPr>
        <w:fldChar w:fldCharType="end"/>
      </w:r>
      <w:r w:rsidR="00BA78A4">
        <w:rPr>
          <w:shd w:val="clear" w:color="auto" w:fill="FFFFFF"/>
          <w:lang w:val="en-GB"/>
        </w:rPr>
        <w:t xml:space="preserve">. </w:t>
      </w:r>
      <w:hyperlink w:anchor="_ENREF_53" w:tooltip="Brannen, 2008 #575"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AuthorYear="1"&gt;&lt;Author&gt;Brannen&lt;/Author&gt;&lt;Year&gt;2008&lt;/Year&gt;&lt;RecNum&gt;575&lt;/RecNum&gt;&lt;Pages&gt;64&lt;/Pages&gt;&lt;DisplayText&gt;Brannen and Bergman (2008, p. 64)&lt;/DisplayText&gt;&lt;record&gt;&lt;rec-number&gt;575&lt;/rec-number&gt;&lt;foreign-keys&gt;&lt;key app="EN" db-id="xa2r2ewea92trkef5dt5arvbzafvpv2za5ft" timestamp="1496417556"&gt;575&lt;/key&gt;&lt;/foreign-keys&gt;&lt;ref-type name="Book Section"&gt;5&lt;/ref-type&gt;&lt;contributors&gt;&lt;authors&gt;&lt;author&gt;Brannen, Julia&lt;/author&gt;&lt;author&gt;Bergman, MM&lt;/author&gt;&lt;/authors&gt;&lt;/contributors&gt;&lt;titles&gt;&lt;title&gt;The practice of a mixed methods research strategy: Personal, professional and project considerations&lt;/title&gt;&lt;secondary-title&gt;Advances in mixed methods research: Theories and applications&lt;/secondary-title&gt;&lt;/titles&gt;&lt;periodical&gt;&lt;full-title&gt;Advances in mixed methods research: Theories and applications&lt;/full-title&gt;&lt;/periodical&gt;&lt;pages&gt;53-65&lt;/pages&gt;&lt;dates&gt;&lt;year&gt;2008&lt;/year&gt;&lt;/dates&gt;&lt;urls&gt;&lt;/urls&gt;&lt;/record&gt;&lt;/Cite&gt;&lt;/EndNote&gt;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Brannen and Bergman (2008, p. 64)</w:t>
        </w:r>
        <w:r w:rsidR="0094469E" w:rsidRPr="003726FE">
          <w:rPr>
            <w:shd w:val="clear" w:color="auto" w:fill="FFFFFF"/>
            <w:lang w:val="en-GB"/>
          </w:rPr>
          <w:fldChar w:fldCharType="end"/>
        </w:r>
      </w:hyperlink>
      <w:r w:rsidR="00AD32A0" w:rsidRPr="003726FE">
        <w:rPr>
          <w:shd w:val="clear" w:color="auto" w:fill="FFFFFF"/>
          <w:lang w:val="en-GB"/>
        </w:rPr>
        <w:t xml:space="preserve"> suggest</w:t>
      </w:r>
      <w:r w:rsidR="000269BF">
        <w:rPr>
          <w:shd w:val="clear" w:color="auto" w:fill="FFFFFF"/>
          <w:lang w:val="en-GB"/>
        </w:rPr>
        <w:t>ed</w:t>
      </w:r>
      <w:r w:rsidR="00AD32A0" w:rsidRPr="003726FE">
        <w:rPr>
          <w:shd w:val="clear" w:color="auto" w:fill="FFFFFF"/>
          <w:lang w:val="en-GB"/>
        </w:rPr>
        <w:t xml:space="preserve"> that conducting mixed methods research “requires a great deal of reflectivity throughout the research process”. Ultimately, there are methodological issues which can arise when conducting a mixed methods study. These issues generally occur due to some fault in the researcher</w:t>
      </w:r>
      <w:r w:rsidR="00CF0044" w:rsidRPr="003726FE">
        <w:rPr>
          <w:shd w:val="clear" w:color="auto" w:fill="FFFFFF"/>
          <w:lang w:val="en-GB"/>
        </w:rPr>
        <w:t>’</w:t>
      </w:r>
      <w:r w:rsidR="00AD32A0" w:rsidRPr="003726FE">
        <w:rPr>
          <w:shd w:val="clear" w:color="auto" w:fill="FFFFFF"/>
          <w:lang w:val="en-GB"/>
        </w:rPr>
        <w:t xml:space="preserve">s design or conduct of the study as opposed to the participants or tools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&lt;EndNote&gt;&lt;Cite&gt;&lt;Author&gt;Bergman&lt;/Author&gt;&lt;Year&gt;2008&lt;/Year&gt;&lt;RecNum&gt;11&lt;/RecNum&gt;&lt;DisplayText&gt;(Bergman 2008)&lt;/DisplayText&gt;&lt;record&gt;&lt;rec-number&gt;11&lt;/rec-number&gt;&lt;foreign-keys&gt;&lt;key app="EN" db-id="xa2r2ewea92trkef5dt5arvbzafvpv2za5ft" timestamp="1442161763"&gt;11&lt;/key&gt;&lt;/foreign-keys&gt;&lt;ref-type name="Journal Article"&gt;17&lt;/ref-type&gt;&lt;contributors&gt;&lt;authors&gt;&lt;author&gt;Bergman, Manfred Max&lt;/author&gt;&lt;/authors&gt;&lt;/contributors&gt;&lt;titles&gt;&lt;title&gt;The straw men of the qualitative-quantitative divide and their influence on mixed methods research&lt;/title&gt;&lt;secondary-title&gt;Advances in mixed methods research: Theories and applications&lt;/secondary-title&gt;&lt;/titles&gt;&lt;periodical&gt;&lt;full-title&gt;Advances in mixed methods research: Theories and applications&lt;/full-title&gt;&lt;/periodical&gt;&lt;pages&gt;11-21&lt;/pages&gt;&lt;dates&gt;&lt;year&gt;2008&lt;/year&gt;&lt;/dates&gt;&lt;urls&gt;&lt;/urls&gt;&lt;/record&gt;&lt;/Cite&gt;&lt;/EndNote&gt;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28" w:tooltip="Bergman, 2008 #11" w:history="1">
        <w:r w:rsidR="0094469E" w:rsidRPr="003726FE">
          <w:rPr>
            <w:noProof/>
            <w:shd w:val="clear" w:color="auto" w:fill="FFFFFF"/>
            <w:lang w:val="en-GB"/>
          </w:rPr>
          <w:t>Bergman 2008</w:t>
        </w:r>
      </w:hyperlink>
      <w:r w:rsidR="004E5A78" w:rsidRPr="003726FE">
        <w:rPr>
          <w:noProof/>
          <w:shd w:val="clear" w:color="auto" w:fill="FFFFFF"/>
          <w:lang w:val="en-GB"/>
        </w:rPr>
        <w:t>)</w:t>
      </w:r>
      <w:r w:rsidR="00EF281A" w:rsidRPr="003726FE">
        <w:rPr>
          <w:shd w:val="clear" w:color="auto" w:fill="FFFFFF"/>
          <w:lang w:val="en-GB"/>
        </w:rPr>
        <w:fldChar w:fldCharType="end"/>
      </w:r>
      <w:r w:rsidR="00BA78A4">
        <w:rPr>
          <w:shd w:val="clear" w:color="auto" w:fill="FFFFFF"/>
          <w:lang w:val="en-GB"/>
        </w:rPr>
        <w:t>.</w:t>
      </w:r>
    </w:p>
    <w:p w14:paraId="349CFF8B" w14:textId="77777777" w:rsidR="00AD32A0" w:rsidRPr="003726FE" w:rsidRDefault="00AD32A0" w:rsidP="00026049">
      <w:pPr>
        <w:pStyle w:val="Normal1"/>
        <w:rPr>
          <w:lang w:val="en-GB"/>
        </w:rPr>
      </w:pPr>
    </w:p>
    <w:p w14:paraId="06043E28" w14:textId="3617BBFB" w:rsidR="004C7D29" w:rsidRPr="003726FE" w:rsidRDefault="00B04B4E" w:rsidP="00BA4521">
      <w:pPr>
        <w:pStyle w:val="Heading3"/>
      </w:pPr>
      <w:bookmarkStart w:id="204" w:name="_Toc500319349"/>
      <w:r w:rsidRPr="003726FE">
        <w:t>A3</w:t>
      </w:r>
      <w:r w:rsidR="00E53628" w:rsidRPr="003726FE">
        <w:t>.4</w:t>
      </w:r>
      <w:r w:rsidRPr="003726FE">
        <w:t>.</w:t>
      </w:r>
      <w:r w:rsidR="000269BF">
        <w:t>2</w:t>
      </w:r>
      <w:r w:rsidR="00F176D2" w:rsidRPr="003726FE">
        <w:t xml:space="preserve"> Advantages and Challenges of Mixed Methods Research</w:t>
      </w:r>
      <w:bookmarkEnd w:id="204"/>
    </w:p>
    <w:p w14:paraId="6BD14305" w14:textId="77777777" w:rsidR="00AD32A0" w:rsidRPr="003726FE" w:rsidRDefault="00AD32A0" w:rsidP="00026049">
      <w:pPr>
        <w:pStyle w:val="Normal1"/>
        <w:rPr>
          <w:lang w:val="en-GB"/>
        </w:rPr>
      </w:pPr>
    </w:p>
    <w:p w14:paraId="56050363" w14:textId="3C4B39A1" w:rsidR="00AD32A0" w:rsidRPr="003726FE" w:rsidRDefault="000532E2" w:rsidP="00026049">
      <w:pPr>
        <w:pStyle w:val="Normal1"/>
        <w:rPr>
          <w:shd w:val="clear" w:color="auto" w:fill="FFFFFF"/>
          <w:lang w:val="en-GB"/>
        </w:rPr>
      </w:pPr>
      <w:hyperlink w:anchor="_ENREF_146" w:tooltip="Fielding, 2008 #81"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AuthorYear="1"&gt;&lt;Author&gt;Fielding&lt;/Author&gt;&lt;Year&gt;2008&lt;/Year&gt;&lt;RecNum&gt;81&lt;/RecNum&gt;&lt;Pages&gt;39&lt;/Pages&gt;&lt;DisplayText&gt;Fielding (2008, p. 39)&lt;/DisplayText&gt;&lt;record&gt;&lt;rec-number&gt;81&lt;/rec-number&gt;&lt;foreign-keys&gt;&lt;key app="EN" db-id="xa2r2ewea92trkef5dt5arvbzafvpv2za5ft" timestamp="1442161764"&gt;81&lt;/key&gt;&lt;/foreign-keys&gt;&lt;ref-type name="Book Section"&gt;5&lt;/ref-type&gt;&lt;contributors&gt;&lt;authors&gt;&lt;author&gt;Fielding, Nigel&lt;/author&gt;&lt;/authors&gt;&lt;/contributors&gt;&lt;titles&gt;&lt;title&gt;Analytic density, postmodernism, and applied multiple method research&lt;/title&gt;&lt;secondary-title&gt;Advances in mixed methods research&lt;/secondary-title&gt;&lt;/titles&gt;&lt;periodical&gt;&lt;full-title&gt;Advances in mixed methods research&lt;/full-title&gt;&lt;/periodical&gt;&lt;pages&gt;37-52&lt;/pages&gt;&lt;num-vols&gt;Book, Section&lt;/num-vols&gt;&lt;dates&gt;&lt;year&gt;2008&lt;/year&gt;&lt;/dates&gt;&lt;pub-location&gt;Los Angeles&lt;/pub-location&gt;&lt;publisher&gt;Sage&lt;/publisher&gt;&lt;urls&gt;&lt;/urls&gt;&lt;/record&gt;&lt;/Cite&gt;&lt;/EndNote&gt;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Fielding (2008, p. 39)</w:t>
        </w:r>
        <w:r w:rsidR="0094469E" w:rsidRPr="003726FE">
          <w:rPr>
            <w:shd w:val="clear" w:color="auto" w:fill="FFFFFF"/>
            <w:lang w:val="en-GB"/>
          </w:rPr>
          <w:fldChar w:fldCharType="end"/>
        </w:r>
      </w:hyperlink>
      <w:r w:rsidR="005E088F" w:rsidRPr="003726FE">
        <w:rPr>
          <w:shd w:val="clear" w:color="auto" w:fill="FFFFFF"/>
          <w:lang w:val="en-GB"/>
        </w:rPr>
        <w:t xml:space="preserve"> </w:t>
      </w:r>
      <w:r w:rsidR="00AD32A0" w:rsidRPr="003726FE">
        <w:rPr>
          <w:shd w:val="clear" w:color="auto" w:fill="FFFFFF"/>
          <w:lang w:val="en-GB"/>
        </w:rPr>
        <w:t>posit</w:t>
      </w:r>
      <w:r w:rsidR="00BA7264" w:rsidRPr="003726FE">
        <w:rPr>
          <w:shd w:val="clear" w:color="auto" w:fill="FFFFFF"/>
          <w:lang w:val="en-GB"/>
        </w:rPr>
        <w:t>ed</w:t>
      </w:r>
      <w:r w:rsidR="00AD32A0" w:rsidRPr="003726FE">
        <w:rPr>
          <w:shd w:val="clear" w:color="auto" w:fill="FFFFFF"/>
          <w:lang w:val="en-GB"/>
        </w:rPr>
        <w:t xml:space="preserve"> that “Using multiple methods increases the likelihood that weak empirical evidence and gap</w:t>
      </w:r>
      <w:r w:rsidR="005E088F" w:rsidRPr="003726FE">
        <w:rPr>
          <w:shd w:val="clear" w:color="auto" w:fill="FFFFFF"/>
          <w:lang w:val="en-GB"/>
        </w:rPr>
        <w:t>s in argument will be exposed”</w:t>
      </w:r>
      <w:r w:rsidR="00AD32A0" w:rsidRPr="003726FE">
        <w:rPr>
          <w:shd w:val="clear" w:color="auto" w:fill="FFFFFF"/>
          <w:lang w:val="en-GB"/>
        </w:rPr>
        <w:t>. There has been a surge of mixed methods studies</w:t>
      </w:r>
      <w:r w:rsidR="00BA7264" w:rsidRPr="003726FE">
        <w:rPr>
          <w:shd w:val="clear" w:color="auto" w:fill="FFFFFF"/>
          <w:lang w:val="en-GB"/>
        </w:rPr>
        <w:t xml:space="preserve"> published in academic journals. H</w:t>
      </w:r>
      <w:r w:rsidR="00AD32A0" w:rsidRPr="003726FE">
        <w:rPr>
          <w:shd w:val="clear" w:color="auto" w:fill="FFFFFF"/>
          <w:lang w:val="en-GB"/>
        </w:rPr>
        <w:t xml:space="preserve">owever, some </w:t>
      </w:r>
      <w:r w:rsidR="005E088F" w:rsidRPr="003726FE">
        <w:rPr>
          <w:shd w:val="clear" w:color="auto" w:fill="FFFFFF"/>
          <w:lang w:val="en-GB"/>
        </w:rPr>
        <w:t>researchers</w:t>
      </w:r>
      <w:r w:rsidR="00AD32A0" w:rsidRPr="003726FE">
        <w:rPr>
          <w:shd w:val="clear" w:color="auto" w:fill="FFFFFF"/>
          <w:lang w:val="en-GB"/>
        </w:rPr>
        <w:t xml:space="preserve"> believe that the </w:t>
      </w:r>
      <w:r w:rsidR="00BA7264" w:rsidRPr="003726FE">
        <w:rPr>
          <w:shd w:val="clear" w:color="auto" w:fill="FFFFFF"/>
          <w:lang w:val="en-GB"/>
        </w:rPr>
        <w:t>mere</w:t>
      </w:r>
      <w:r w:rsidR="00AD32A0" w:rsidRPr="003726FE">
        <w:rPr>
          <w:shd w:val="clear" w:color="auto" w:fill="FFFFFF"/>
          <w:lang w:val="en-GB"/>
        </w:rPr>
        <w:t xml:space="preserve"> use of mixed methods will provide “the best of both worlds” to their research projects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&lt;EndNote&gt;&lt;Cite&gt;&lt;Author&gt;Bryman&lt;/Author&gt;&lt;Year&gt;2008&lt;/Year&gt;&lt;RecNum&gt;20&lt;/RecNum&gt;&lt;Pages&gt;88&lt;/Pages&gt;&lt;DisplayText&gt;(Bryman 2008, p. 88)&lt;/DisplayText&gt;&lt;record&gt;&lt;rec-number&gt;20&lt;/rec-number&gt;&lt;foreign-keys&gt;&lt;key app="EN" db-id="xa2r2ewea92trkef5dt5arvbzafvpv2za5ft" timestamp="1442161763"&gt;20&lt;/key&gt;&lt;/foreign-keys&gt;&lt;ref-type name="Book Section"&gt;5&lt;/ref-type&gt;&lt;contributors&gt;&lt;authors&gt;&lt;author&gt;Bryman, Alan&lt;/author&gt;&lt;/authors&gt;&lt;/contributors&gt;&lt;titles&gt;&lt;title&gt;Why do researchers integrate/combine/mesh/blend/mix/merge/fuse quantitative and qualitative research&lt;/title&gt;&lt;secondary-title&gt;Advances in mixed methods research&lt;/secondary-title&gt;&lt;/titles&gt;&lt;periodical&gt;&lt;full-title&gt;Advances in mixed methods research&lt;/full-title&gt;&lt;/periodical&gt;&lt;pages&gt;87-100&lt;/pages&gt;&lt;num-vols&gt;Book, Section&lt;/num-vols&gt;&lt;dates&gt;&lt;year&gt;2008&lt;/year&gt;&lt;/dates&gt;&lt;publisher&gt;Sage&lt;/publisher&gt;&lt;urls&gt;&lt;/urls&gt;&lt;/record&gt;&lt;/Cite&gt;&lt;/EndNote&gt;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60" w:tooltip="Bryman, 2008 #20" w:history="1">
        <w:r w:rsidR="0094469E" w:rsidRPr="003726FE">
          <w:rPr>
            <w:noProof/>
            <w:shd w:val="clear" w:color="auto" w:fill="FFFFFF"/>
            <w:lang w:val="en-GB"/>
          </w:rPr>
          <w:t>Bryman 2008, p. 88</w:t>
        </w:r>
      </w:hyperlink>
      <w:r w:rsidR="004E5A78" w:rsidRPr="003726FE">
        <w:rPr>
          <w:noProof/>
          <w:shd w:val="clear" w:color="auto" w:fill="FFFFFF"/>
          <w:lang w:val="en-GB"/>
        </w:rPr>
        <w:t>)</w:t>
      </w:r>
      <w:r w:rsidR="00EF281A" w:rsidRPr="003726FE">
        <w:rPr>
          <w:shd w:val="clear" w:color="auto" w:fill="FFFFFF"/>
          <w:lang w:val="en-GB"/>
        </w:rPr>
        <w:fldChar w:fldCharType="end"/>
      </w:r>
      <w:r w:rsidR="00AD32A0" w:rsidRPr="003726FE">
        <w:rPr>
          <w:shd w:val="clear" w:color="auto" w:fill="FFFFFF"/>
          <w:lang w:val="en-GB"/>
        </w:rPr>
        <w:t xml:space="preserve">. This creates a trend where researchers tend to state rationales for mixed methods but do not properly apply them in practice, limiting the scope of their reported findings and exposing methodological flaws. </w:t>
      </w:r>
      <w:r w:rsidR="00AD32A0" w:rsidRPr="003726FE">
        <w:rPr>
          <w:shd w:val="clear" w:color="auto" w:fill="FFFFFF"/>
          <w:lang w:val="en-GB"/>
        </w:rPr>
        <w:lastRenderedPageBreak/>
        <w:t xml:space="preserve">Methodological challenges of sequential designs, used in this study, and strategies </w:t>
      </w:r>
      <w:r w:rsidR="005E088F" w:rsidRPr="003726FE">
        <w:rPr>
          <w:shd w:val="clear" w:color="auto" w:fill="FFFFFF"/>
          <w:lang w:val="en-GB"/>
        </w:rPr>
        <w:t>used</w:t>
      </w:r>
      <w:r w:rsidR="00AD32A0" w:rsidRPr="003726FE">
        <w:rPr>
          <w:shd w:val="clear" w:color="auto" w:fill="FFFFFF"/>
          <w:lang w:val="en-GB"/>
        </w:rPr>
        <w:t xml:space="preserve"> to avoid or lessen them are discussed in this section - based upon challenges of explanatory mixed designs outlined by </w:t>
      </w:r>
      <w:hyperlink w:anchor="_ENREF_103" w:tooltip="Creswell, 2008 #55"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AuthorYear="1"&gt;&lt;Author&gt;Creswell&lt;/Author&gt;&lt;Year&gt;2008&lt;/Year&gt;&lt;RecNum&gt;55&lt;/RecNum&gt;&lt;DisplayText&gt;Creswell et al. (2008)&lt;/DisplayText&gt;&lt;record&gt;&lt;rec-number&gt;55&lt;/rec-number&gt;&lt;foreign-keys&gt;&lt;key app="EN" db-id="xa2r2ewea92trkef5dt5arvbzafvpv2za5ft" timestamp="1442161763"&gt;55&lt;/key&gt;&lt;/foreign-keys&gt;&lt;ref-type name="Journal Article"&gt;17&lt;/ref-type&gt;&lt;contributors&gt;&lt;authors&gt;&lt;author&gt;Creswell, John W.&lt;/author&gt;&lt;author&gt;Plano Clark, Vicki L.&lt;/author&gt;&lt;author&gt;Garrett, Amanda L.&lt;/author&gt;&lt;/authors&gt;&lt;/contributors&gt;&lt;titles&gt;&lt;title&gt;Methodological issues in conducting mixed methods research designs&lt;/title&gt;&lt;secondary-title&gt;Advances in mixed methods research&lt;/secondary-title&gt;&lt;/titles&gt;&lt;periodical&gt;&lt;full-title&gt;Advances in mixed methods research&lt;/full-title&gt;&lt;/periodical&gt;&lt;pages&gt;66-83&lt;/pages&gt;&lt;dates&gt;&lt;year&gt;2008&lt;/year&gt;&lt;/dates&gt;&lt;urls&gt;&lt;/urls&gt;&lt;/record&gt;&lt;/Cite&gt;&lt;/EndNote&gt;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Creswell et al. (2008)</w:t>
        </w:r>
        <w:r w:rsidR="0094469E" w:rsidRPr="003726FE">
          <w:rPr>
            <w:shd w:val="clear" w:color="auto" w:fill="FFFFFF"/>
            <w:lang w:val="en-GB"/>
          </w:rPr>
          <w:fldChar w:fldCharType="end"/>
        </w:r>
      </w:hyperlink>
      <w:r w:rsidR="00AD32A0" w:rsidRPr="003726FE">
        <w:rPr>
          <w:shd w:val="clear" w:color="auto" w:fill="FFFFFF"/>
          <w:lang w:val="en-GB"/>
        </w:rPr>
        <w:t>.</w:t>
      </w:r>
    </w:p>
    <w:p w14:paraId="195FCE73" w14:textId="77777777" w:rsidR="00AD32A0" w:rsidRPr="003726FE" w:rsidRDefault="00AD32A0" w:rsidP="00026049">
      <w:pPr>
        <w:pStyle w:val="Normal1"/>
        <w:rPr>
          <w:shd w:val="clear" w:color="auto" w:fill="FFFFFF"/>
          <w:lang w:val="en-GB"/>
        </w:rPr>
      </w:pPr>
    </w:p>
    <w:p w14:paraId="0B7FD152" w14:textId="3CF42D61" w:rsidR="00AD32A0" w:rsidRPr="003726FE" w:rsidRDefault="00AD32A0" w:rsidP="00026049">
      <w:pPr>
        <w:pStyle w:val="Normal1"/>
        <w:rPr>
          <w:shd w:val="clear" w:color="auto" w:fill="FFFFFF"/>
          <w:lang w:val="en-GB"/>
        </w:rPr>
      </w:pPr>
      <w:r w:rsidRPr="003726FE">
        <w:rPr>
          <w:shd w:val="clear" w:color="auto" w:fill="FFFFFF"/>
          <w:lang w:val="en-GB"/>
        </w:rPr>
        <w:t>Sampling challenges can be reduced by selecting the same</w:t>
      </w:r>
      <w:r w:rsidR="000269BF">
        <w:rPr>
          <w:shd w:val="clear" w:color="auto" w:fill="FFFFFF"/>
          <w:lang w:val="en-GB"/>
        </w:rPr>
        <w:t>,</w:t>
      </w:r>
      <w:r w:rsidRPr="003726FE">
        <w:rPr>
          <w:shd w:val="clear" w:color="auto" w:fill="FFFFFF"/>
          <w:lang w:val="en-GB"/>
        </w:rPr>
        <w:t xml:space="preserve"> or subsets</w:t>
      </w:r>
      <w:r w:rsidR="000269BF">
        <w:rPr>
          <w:shd w:val="clear" w:color="auto" w:fill="FFFFFF"/>
          <w:lang w:val="en-GB"/>
        </w:rPr>
        <w:t>,</w:t>
      </w:r>
      <w:r w:rsidRPr="003726FE">
        <w:rPr>
          <w:shd w:val="clear" w:color="auto" w:fill="FFFFFF"/>
          <w:lang w:val="en-GB"/>
        </w:rPr>
        <w:t xml:space="preserve"> of participants in the qualitative strand </w:t>
      </w:r>
      <w:r w:rsidR="005E088F" w:rsidRPr="003726FE">
        <w:rPr>
          <w:shd w:val="clear" w:color="auto" w:fill="FFFFFF"/>
          <w:lang w:val="en-GB"/>
        </w:rPr>
        <w:fldChar w:fldCharType="begin"/>
      </w:r>
      <w:r w:rsidR="008B61BE">
        <w:rPr>
          <w:shd w:val="clear" w:color="auto" w:fill="FFFFFF"/>
          <w:lang w:val="en-GB"/>
        </w:rPr>
        <w:instrText xml:space="preserve"> ADDIN EN.CITE &lt;EndNote&gt;&lt;Cite&gt;&lt;Author&gt;Way&lt;/Author&gt;&lt;Year&gt;1994&lt;/Year&gt;&lt;RecNum&gt;261&lt;/RecNum&gt;&lt;DisplayText&gt;(Way et al. 1994; Miller et al. 1998)&lt;/DisplayText&gt;&lt;record&gt;&lt;rec-number&gt;261&lt;/rec-number&gt;&lt;foreign-keys&gt;&lt;key app="EN" db-id="xa2r2ewea92trkef5dt5arvbzafvpv2za5ft" timestamp="1442161766"&gt;261&lt;/key&gt;&lt;/foreign-keys&gt;&lt;ref-type name="Journal Article"&gt;17&lt;/ref-type&gt;&lt;contributors&gt;&lt;authors&gt;&lt;author&gt;Way, Niobe&lt;/author&gt;&lt;author&gt;Stauber, Helena Y.&lt;/author&gt;&lt;author&gt;Nakkula, Michael J.&lt;/author&gt;&lt;author&gt;London, Perry&lt;/author&gt;&lt;/authors&gt;&lt;/contributors&gt;&lt;titles&gt;&lt;title&gt;Depression and substance use in two divergent high school cultures: A quantitative and qualitative analysis&lt;/title&gt;&lt;secondary-title&gt;Journal of Youth and Adolescence&lt;/secondary-title&gt;&lt;/titles&gt;&lt;periodical&gt;&lt;full-title&gt;Journal of Youth and Adolescence&lt;/full-title&gt;&lt;/periodical&gt;&lt;pages&gt;331-357&lt;/pages&gt;&lt;volume&gt;23&lt;/volume&gt;&lt;number&gt;3&lt;/number&gt;&lt;dates&gt;&lt;year&gt;1994&lt;/year&gt;&lt;/dates&gt;&lt;publisher&gt;Springer&lt;/publisher&gt;&lt;urls&gt;&lt;/urls&gt;&lt;/record&gt;&lt;/Cite&gt;&lt;Cite&gt;&lt;Author&gt;Miller&lt;/Author&gt;&lt;Year&gt;1998&lt;/Year&gt;&lt;RecNum&gt;167&lt;/RecNum&gt;&lt;record&gt;&lt;rec-number&gt;167&lt;/rec-number&gt;&lt;foreign-keys&gt;&lt;key app="EN" db-id="xa2r2ewea92trkef5dt5arvbzafvpv2za5ft" timestamp="1442161765"&gt;167&lt;/key&gt;&lt;/foreign-keys&gt;&lt;ref-type name="Journal Article"&gt;17&lt;/ref-type&gt;&lt;contributors&gt;&lt;authors&gt;&lt;author&gt;Miller, John W.&lt;/author&gt;&lt;author&gt;McKenna, Michael C.&lt;/author&gt;&lt;author&gt;McKenna, Beverly A.&lt;/author&gt;&lt;/authors&gt;&lt;/contributors&gt;&lt;titles&gt;&lt;title&gt;A comparison of alternatively and traditionally prepared teachers&lt;/title&gt;&lt;secondary-title&gt;Journal of Teacher Education&lt;/secondary-title&gt;&lt;/titles&gt;&lt;periodical&gt;&lt;full-title&gt;Journal of Teacher Education&lt;/full-title&gt;&lt;/periodical&gt;&lt;pages&gt;165&lt;/pages&gt;&lt;volume&gt;49&lt;/volume&gt;&lt;number&gt;3&lt;/number&gt;&lt;dates&gt;&lt;year&gt;1998&lt;/year&gt;&lt;/dates&gt;&lt;publisher&gt;Corwin Press, Inc.&lt;/publisher&gt;&lt;urls&gt;&lt;/urls&gt;&lt;/record&gt;&lt;/Cite&gt;&lt;/EndNote&gt;</w:instrText>
      </w:r>
      <w:r w:rsidR="005E088F" w:rsidRPr="003726FE">
        <w:rPr>
          <w:shd w:val="clear" w:color="auto" w:fill="FFFFFF"/>
          <w:lang w:val="en-GB"/>
        </w:rPr>
        <w:fldChar w:fldCharType="separate"/>
      </w:r>
      <w:r w:rsidR="004E5A78" w:rsidRPr="003726FE">
        <w:rPr>
          <w:noProof/>
          <w:shd w:val="clear" w:color="auto" w:fill="FFFFFF"/>
          <w:lang w:val="en-GB"/>
        </w:rPr>
        <w:t>(</w:t>
      </w:r>
      <w:hyperlink w:anchor="_ENREF_429" w:tooltip="Way, 1994 #261" w:history="1">
        <w:r w:rsidR="0094469E" w:rsidRPr="003726FE">
          <w:rPr>
            <w:noProof/>
            <w:shd w:val="clear" w:color="auto" w:fill="FFFFFF"/>
            <w:lang w:val="en-GB"/>
          </w:rPr>
          <w:t>Way et al. 1994</w:t>
        </w:r>
      </w:hyperlink>
      <w:r w:rsidR="004E5A78" w:rsidRPr="003726FE">
        <w:rPr>
          <w:noProof/>
          <w:shd w:val="clear" w:color="auto" w:fill="FFFFFF"/>
          <w:lang w:val="en-GB"/>
        </w:rPr>
        <w:t xml:space="preserve">; </w:t>
      </w:r>
      <w:hyperlink w:anchor="_ENREF_277" w:tooltip="Miller, 1998 #167" w:history="1">
        <w:r w:rsidR="0094469E" w:rsidRPr="003726FE">
          <w:rPr>
            <w:noProof/>
            <w:shd w:val="clear" w:color="auto" w:fill="FFFFFF"/>
            <w:lang w:val="en-GB"/>
          </w:rPr>
          <w:t>Miller et al. 1998</w:t>
        </w:r>
      </w:hyperlink>
      <w:r w:rsidR="004E5A78" w:rsidRPr="003726FE">
        <w:rPr>
          <w:noProof/>
          <w:shd w:val="clear" w:color="auto" w:fill="FFFFFF"/>
          <w:lang w:val="en-GB"/>
        </w:rPr>
        <w:t>)</w:t>
      </w:r>
      <w:r w:rsidR="005E088F" w:rsidRPr="003726FE">
        <w:rPr>
          <w:shd w:val="clear" w:color="auto" w:fill="FFFFFF"/>
          <w:lang w:val="en-GB"/>
        </w:rPr>
        <w:fldChar w:fldCharType="end"/>
      </w:r>
      <w:r w:rsidRPr="003726FE">
        <w:rPr>
          <w:shd w:val="clear" w:color="auto" w:fill="FFFFFF"/>
          <w:lang w:val="en-GB"/>
        </w:rPr>
        <w:t xml:space="preserve">. </w:t>
      </w:r>
      <w:r w:rsidR="000269BF">
        <w:rPr>
          <w:shd w:val="clear" w:color="auto" w:fill="FFFFFF"/>
          <w:lang w:val="en-GB"/>
        </w:rPr>
        <w:t>In this study, s</w:t>
      </w:r>
      <w:r w:rsidRPr="003726FE">
        <w:rPr>
          <w:shd w:val="clear" w:color="auto" w:fill="FFFFFF"/>
          <w:lang w:val="en-GB"/>
        </w:rPr>
        <w:t xml:space="preserve">ub-groups </w:t>
      </w:r>
      <w:r w:rsidR="00573592" w:rsidRPr="003726FE">
        <w:rPr>
          <w:shd w:val="clear" w:color="auto" w:fill="FFFFFF"/>
          <w:lang w:val="en-GB"/>
        </w:rPr>
        <w:t xml:space="preserve">were selected </w:t>
      </w:r>
      <w:r w:rsidRPr="003726FE">
        <w:rPr>
          <w:shd w:val="clear" w:color="auto" w:fill="FFFFFF"/>
          <w:lang w:val="en-GB"/>
        </w:rPr>
        <w:t xml:space="preserve">from the larger population to </w:t>
      </w:r>
      <w:r w:rsidR="00573592" w:rsidRPr="003726FE">
        <w:rPr>
          <w:shd w:val="clear" w:color="auto" w:fill="FFFFFF"/>
          <w:lang w:val="en-GB"/>
        </w:rPr>
        <w:t>explore</w:t>
      </w:r>
      <w:r w:rsidRPr="003726FE">
        <w:rPr>
          <w:shd w:val="clear" w:color="auto" w:fill="FFFFFF"/>
          <w:lang w:val="en-GB"/>
        </w:rPr>
        <w:t xml:space="preserve"> </w:t>
      </w:r>
      <w:r w:rsidR="00573592" w:rsidRPr="003726FE">
        <w:rPr>
          <w:shd w:val="clear" w:color="auto" w:fill="FFFFFF"/>
          <w:lang w:val="en-GB"/>
        </w:rPr>
        <w:t xml:space="preserve">factors </w:t>
      </w:r>
      <w:r w:rsidR="0021662A">
        <w:rPr>
          <w:lang w:val="en-GB"/>
        </w:rPr>
        <w:t>including</w:t>
      </w:r>
      <w:r w:rsidR="00573592" w:rsidRPr="003726FE">
        <w:rPr>
          <w:shd w:val="clear" w:color="auto" w:fill="FFFFFF"/>
          <w:lang w:val="en-GB"/>
        </w:rPr>
        <w:t xml:space="preserve"> </w:t>
      </w:r>
      <w:r w:rsidRPr="003726FE">
        <w:rPr>
          <w:shd w:val="clear" w:color="auto" w:fill="FFFFFF"/>
          <w:lang w:val="en-GB"/>
        </w:rPr>
        <w:t xml:space="preserve">high </w:t>
      </w:r>
      <w:r w:rsidR="00D531CD" w:rsidRPr="003726FE">
        <w:rPr>
          <w:shd w:val="clear" w:color="auto" w:fill="FFFFFF"/>
          <w:lang w:val="en-GB"/>
        </w:rPr>
        <w:t>SSRQ and</w:t>
      </w:r>
      <w:r w:rsidR="00573592" w:rsidRPr="003726FE">
        <w:rPr>
          <w:shd w:val="clear" w:color="auto" w:fill="FFFFFF"/>
          <w:lang w:val="en-GB"/>
        </w:rPr>
        <w:t xml:space="preserve"> GSE </w:t>
      </w:r>
      <w:r w:rsidRPr="003726FE">
        <w:rPr>
          <w:shd w:val="clear" w:color="auto" w:fill="FFFFFF"/>
          <w:lang w:val="en-GB"/>
        </w:rPr>
        <w:t>change</w:t>
      </w:r>
      <w:r w:rsidR="007211C8" w:rsidRPr="003726FE">
        <w:rPr>
          <w:shd w:val="clear" w:color="auto" w:fill="FFFFFF"/>
          <w:lang w:val="en-GB"/>
        </w:rPr>
        <w:t xml:space="preserve"> using a stratified sampling strategy</w:t>
      </w:r>
      <w:r w:rsidRPr="003726FE">
        <w:rPr>
          <w:shd w:val="clear" w:color="auto" w:fill="FFFFFF"/>
          <w:lang w:val="en-GB"/>
        </w:rPr>
        <w:t xml:space="preserve">. Concerning the linked issue of participant selection, </w:t>
      </w:r>
      <w:r w:rsidR="00CF0044" w:rsidRPr="003726FE">
        <w:rPr>
          <w:shd w:val="clear" w:color="auto" w:fill="FFFFFF"/>
          <w:lang w:val="en-GB"/>
        </w:rPr>
        <w:t>a</w:t>
      </w:r>
      <w:r w:rsidRPr="003726FE">
        <w:rPr>
          <w:shd w:val="clear" w:color="auto" w:fill="FFFFFF"/>
          <w:lang w:val="en-GB"/>
        </w:rPr>
        <w:t xml:space="preserve"> specific criteria </w:t>
      </w:r>
      <w:r w:rsidR="00CF0044" w:rsidRPr="003726FE">
        <w:rPr>
          <w:shd w:val="clear" w:color="auto" w:fill="FFFFFF"/>
          <w:lang w:val="en-GB"/>
        </w:rPr>
        <w:t xml:space="preserve">was used </w:t>
      </w:r>
      <w:r w:rsidRPr="003726FE">
        <w:rPr>
          <w:shd w:val="clear" w:color="auto" w:fill="FFFFFF"/>
          <w:lang w:val="en-GB"/>
        </w:rPr>
        <w:t>for selecting participants (change in SSRQ</w:t>
      </w:r>
      <w:r w:rsidR="005E088F" w:rsidRPr="003726FE">
        <w:rPr>
          <w:shd w:val="clear" w:color="auto" w:fill="FFFFFF"/>
          <w:lang w:val="en-GB"/>
        </w:rPr>
        <w:t xml:space="preserve"> and GSE</w:t>
      </w:r>
      <w:r w:rsidRPr="003726FE">
        <w:rPr>
          <w:shd w:val="clear" w:color="auto" w:fill="FFFFFF"/>
          <w:lang w:val="en-GB"/>
        </w:rPr>
        <w:t xml:space="preserve"> score) which target</w:t>
      </w:r>
      <w:r w:rsidR="00CF0044" w:rsidRPr="003726FE">
        <w:rPr>
          <w:shd w:val="clear" w:color="auto" w:fill="FFFFFF"/>
          <w:lang w:val="en-GB"/>
        </w:rPr>
        <w:t>ed</w:t>
      </w:r>
      <w:r w:rsidRPr="003726FE">
        <w:rPr>
          <w:shd w:val="clear" w:color="auto" w:fill="FFFFFF"/>
          <w:lang w:val="en-GB"/>
        </w:rPr>
        <w:t xml:space="preserve"> significant and non-significant results (high change and low change in SSRQ) </w:t>
      </w:r>
      <w:r w:rsidR="005E088F" w:rsidRPr="003726FE">
        <w:rPr>
          <w:shd w:val="clear" w:color="auto" w:fill="FFFFFF"/>
          <w:lang w:val="en-GB"/>
        </w:rPr>
        <w:fldChar w:fldCharType="begin"/>
      </w:r>
      <w:r w:rsidR="008B61BE">
        <w:rPr>
          <w:shd w:val="clear" w:color="auto" w:fill="FFFFFF"/>
          <w:lang w:val="en-GB"/>
        </w:rPr>
        <w:instrText xml:space="preserve"> ADDIN EN.CITE &lt;EndNote&gt;&lt;Cite&gt;&lt;Author&gt;Way&lt;/Author&gt;&lt;Year&gt;1994&lt;/Year&gt;&lt;RecNum&gt;261&lt;/RecNum&gt;&lt;DisplayText&gt;(Way et al. 1994; Ivankova et al. 2006)&lt;/DisplayText&gt;&lt;record&gt;&lt;rec-number&gt;261&lt;/rec-number&gt;&lt;foreign-keys&gt;&lt;key app="EN" db-id="xa2r2ewea92trkef5dt5arvbzafvpv2za5ft" timestamp="1442161766"&gt;261&lt;/key&gt;&lt;/foreign-keys&gt;&lt;ref-type name="Journal Article"&gt;17&lt;/ref-type&gt;&lt;contributors&gt;&lt;authors&gt;&lt;author&gt;Way, Niobe&lt;/author&gt;&lt;author&gt;Stauber, Helena Y.&lt;/author&gt;&lt;author&gt;Nakkula, Michael J.&lt;/author&gt;&lt;author&gt;London, Perry&lt;/author&gt;&lt;/authors&gt;&lt;/contributors&gt;&lt;titles&gt;&lt;title&gt;Depression and substance use in two divergent high school cultures: A quantitative and qualitative analysis&lt;/title&gt;&lt;secondary-title&gt;Journal of Youth and Adolescence&lt;/secondary-title&gt;&lt;/titles&gt;&lt;periodical&gt;&lt;full-title&gt;Journal of Youth and Adolescence&lt;/full-title&gt;&lt;/periodical&gt;&lt;pages&gt;331-357&lt;/pages&gt;&lt;volume&gt;23&lt;/volume&gt;&lt;number&gt;3&lt;/number&gt;&lt;dates&gt;&lt;year&gt;1994&lt;/year&gt;&lt;/dates&gt;&lt;publisher&gt;Springer&lt;/publisher&gt;&lt;urls&gt;&lt;/urls&gt;&lt;/record&gt;&lt;/Cite&gt;&lt;Cite&gt;&lt;Author&gt;Ivankova&lt;/Author&gt;&lt;Year&gt;2006&lt;/Year&gt;&lt;RecNum&gt;116&lt;/RecNum&gt;&lt;record&gt;&lt;rec-number&gt;116&lt;/rec-number&gt;&lt;foreign-keys&gt;&lt;key app="EN" db-id="xa2r2ewea92trkef5dt5arvbzafvpv2za5ft" timestamp="1442161764"&gt;116&lt;/key&gt;&lt;/foreign-keys&gt;&lt;ref-type name="Journal Article"&gt;17&lt;/ref-type&gt;&lt;contributors&gt;&lt;authors&gt;&lt;author&gt;Ivankova, Nataliya V.&lt;/author&gt;&lt;author&gt;Creswell, John W.&lt;/author&gt;&lt;author&gt;Stick, Sheldon L.&lt;/author&gt;&lt;/authors&gt;&lt;/contributors&gt;&lt;titles&gt;&lt;title&gt;Using mixed-methods sequential explanatory design: From theory to practice&lt;/title&gt;&lt;secondary-title&gt;Field Methods&lt;/secondary-title&gt;&lt;/titles&gt;&lt;periodical&gt;&lt;full-title&gt;Field Methods&lt;/full-title&gt;&lt;/periodical&gt;&lt;pages&gt;3-20&lt;/pages&gt;&lt;volume&gt;18&lt;/volume&gt;&lt;number&gt;1&lt;/number&gt;&lt;dates&gt;&lt;year&gt;2006&lt;/year&gt;&lt;/dates&gt;&lt;publisher&gt;Sage Publications&lt;/publisher&gt;&lt;urls&gt;&lt;/urls&gt;&lt;/record&gt;&lt;/Cite&gt;&lt;/EndNote&gt;</w:instrText>
      </w:r>
      <w:r w:rsidR="005E088F" w:rsidRPr="003726FE">
        <w:rPr>
          <w:shd w:val="clear" w:color="auto" w:fill="FFFFFF"/>
          <w:lang w:val="en-GB"/>
        </w:rPr>
        <w:fldChar w:fldCharType="separate"/>
      </w:r>
      <w:r w:rsidR="004E5A78" w:rsidRPr="003726FE">
        <w:rPr>
          <w:noProof/>
          <w:shd w:val="clear" w:color="auto" w:fill="FFFFFF"/>
          <w:lang w:val="en-GB"/>
        </w:rPr>
        <w:t>(</w:t>
      </w:r>
      <w:hyperlink w:anchor="_ENREF_429" w:tooltip="Way, 1994 #261" w:history="1">
        <w:r w:rsidR="0094469E" w:rsidRPr="003726FE">
          <w:rPr>
            <w:noProof/>
            <w:shd w:val="clear" w:color="auto" w:fill="FFFFFF"/>
            <w:lang w:val="en-GB"/>
          </w:rPr>
          <w:t>Way et al. 1994</w:t>
        </w:r>
      </w:hyperlink>
      <w:r w:rsidR="004E5A78" w:rsidRPr="003726FE">
        <w:rPr>
          <w:noProof/>
          <w:shd w:val="clear" w:color="auto" w:fill="FFFFFF"/>
          <w:lang w:val="en-GB"/>
        </w:rPr>
        <w:t xml:space="preserve">; </w:t>
      </w:r>
      <w:hyperlink w:anchor="_ENREF_201" w:tooltip="Ivankova, 2006 #116" w:history="1">
        <w:r w:rsidR="0094469E" w:rsidRPr="003726FE">
          <w:rPr>
            <w:noProof/>
            <w:shd w:val="clear" w:color="auto" w:fill="FFFFFF"/>
            <w:lang w:val="en-GB"/>
          </w:rPr>
          <w:t>Ivankova et al. 2006</w:t>
        </w:r>
      </w:hyperlink>
      <w:r w:rsidR="004E5A78" w:rsidRPr="003726FE">
        <w:rPr>
          <w:noProof/>
          <w:shd w:val="clear" w:color="auto" w:fill="FFFFFF"/>
          <w:lang w:val="en-GB"/>
        </w:rPr>
        <w:t>)</w:t>
      </w:r>
      <w:r w:rsidR="005E088F" w:rsidRPr="003726FE">
        <w:rPr>
          <w:shd w:val="clear" w:color="auto" w:fill="FFFFFF"/>
          <w:lang w:val="en-GB"/>
        </w:rPr>
        <w:fldChar w:fldCharType="end"/>
      </w:r>
      <w:r w:rsidR="00282B7A" w:rsidRPr="003726FE">
        <w:rPr>
          <w:shd w:val="clear" w:color="auto" w:fill="FFFFFF"/>
          <w:lang w:val="en-GB"/>
        </w:rPr>
        <w:t>.</w:t>
      </w:r>
      <w:r w:rsidRPr="003726FE">
        <w:rPr>
          <w:shd w:val="clear" w:color="auto" w:fill="FFFFFF"/>
          <w:lang w:val="en-GB"/>
        </w:rPr>
        <w:t xml:space="preserve"> </w:t>
      </w:r>
    </w:p>
    <w:p w14:paraId="418DEB77" w14:textId="77777777" w:rsidR="00AD32A0" w:rsidRPr="003726FE" w:rsidRDefault="00AD32A0" w:rsidP="00026049">
      <w:pPr>
        <w:pStyle w:val="Normal1"/>
        <w:rPr>
          <w:shd w:val="clear" w:color="auto" w:fill="FFFFFF"/>
          <w:lang w:val="en-GB"/>
        </w:rPr>
      </w:pPr>
    </w:p>
    <w:p w14:paraId="7C8F024D" w14:textId="6694CB4F" w:rsidR="00AD32A0" w:rsidRPr="003726FE" w:rsidRDefault="00AD32A0" w:rsidP="00026049">
      <w:pPr>
        <w:pStyle w:val="Normal1"/>
        <w:rPr>
          <w:shd w:val="clear" w:color="auto" w:fill="FFFFFF"/>
          <w:lang w:val="en-GB"/>
        </w:rPr>
      </w:pPr>
      <w:r w:rsidRPr="003726FE">
        <w:rPr>
          <w:shd w:val="clear" w:color="auto" w:fill="FFFFFF"/>
          <w:lang w:val="en-GB"/>
        </w:rPr>
        <w:t>The selection of results to follow up in the second phase can be a difficult decision for researcher</w:t>
      </w:r>
      <w:r w:rsidR="00282B7A" w:rsidRPr="003726FE">
        <w:rPr>
          <w:shd w:val="clear" w:color="auto" w:fill="FFFFFF"/>
          <w:lang w:val="en-GB"/>
        </w:rPr>
        <w:t>s</w:t>
      </w:r>
      <w:r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&lt;EndNote&gt;&lt;Cite&gt;&lt;Author&gt;Creswell&lt;/Author&gt;&lt;Year&gt;2008&lt;/Year&gt;&lt;RecNum&gt;55&lt;/RecNum&gt;&lt;DisplayText&gt;(Creswell et al. 2008)&lt;/DisplayText&gt;&lt;record&gt;&lt;rec-number&gt;55&lt;/rec-number&gt;&lt;foreign-keys&gt;&lt;key app="EN" db-id="xa2r2ewea92trkef5dt5arvbzafvpv2za5ft" timestamp="1442161763"&gt;55&lt;/key&gt;&lt;/foreign-keys&gt;&lt;ref-type name="Journal Article"&gt;17&lt;/ref-type&gt;&lt;contributors&gt;&lt;authors&gt;&lt;author&gt;Creswell, John W.&lt;/author&gt;&lt;author&gt;Plano Clark, Vicki L.&lt;/author&gt;&lt;author&gt;Garrett, Amanda L.&lt;/author&gt;&lt;/authors&gt;&lt;/contributors&gt;&lt;titles&gt;&lt;title&gt;Methodological issues in conducting mixed methods research designs&lt;/title&gt;&lt;secondary-title&gt;Advances in mixed methods research&lt;/secondary-title&gt;&lt;/titles&gt;&lt;periodical&gt;&lt;full-title&gt;Advances in mixed methods research&lt;/full-title&gt;&lt;/periodical&gt;&lt;pages&gt;66-83&lt;/pages&gt;&lt;dates&gt;&lt;year&gt;2008&lt;/year&gt;&lt;/dates&gt;&lt;urls&gt;&lt;/urls&gt;&lt;/record&gt;&lt;/Cite&gt;&lt;/EndNote&gt;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103" w:tooltip="Creswell, 2008 #55" w:history="1">
        <w:r w:rsidR="0094469E" w:rsidRPr="003726FE">
          <w:rPr>
            <w:noProof/>
            <w:shd w:val="clear" w:color="auto" w:fill="FFFFFF"/>
            <w:lang w:val="en-GB"/>
          </w:rPr>
          <w:t>Creswell et al. 2008</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w:t>
      </w:r>
      <w:hyperlink w:anchor="_ENREF_103" w:tooltip="Creswell, 2008 #55" w:history="1">
        <w:r w:rsidR="0094469E" w:rsidRPr="003726FE">
          <w:rPr>
            <w:shd w:val="clear" w:color="auto" w:fill="FFFFFF"/>
            <w:lang w:val="en-GB"/>
          </w:rPr>
          <w:fldChar w:fldCharType="begin"/>
        </w:r>
        <w:r w:rsidR="0094469E">
          <w:rPr>
            <w:shd w:val="clear" w:color="auto" w:fill="FFFFFF"/>
            <w:lang w:val="en-GB"/>
          </w:rPr>
          <w:instrText xml:space="preserve"> ADDIN EN.CITE &lt;EndNote&gt;&lt;Cite AuthorYear="1"&gt;&lt;Author&gt;Creswell&lt;/Author&gt;&lt;Year&gt;2008&lt;/Year&gt;&lt;RecNum&gt;55&lt;/RecNum&gt;&lt;DisplayText&gt;Creswell et al. (2008)&lt;/DisplayText&gt;&lt;record&gt;&lt;rec-number&gt;55&lt;/rec-number&gt;&lt;foreign-keys&gt;&lt;key app="EN" db-id="xa2r2ewea92trkef5dt5arvbzafvpv2za5ft" timestamp="1442161763"&gt;55&lt;/key&gt;&lt;/foreign-keys&gt;&lt;ref-type name="Journal Article"&gt;17&lt;/ref-type&gt;&lt;contributors&gt;&lt;authors&gt;&lt;author&gt;Creswell, John W.&lt;/author&gt;&lt;author&gt;Plano Clark, Vicki L.&lt;/author&gt;&lt;author&gt;Garrett, Amanda L.&lt;/author&gt;&lt;/authors&gt;&lt;/contributors&gt;&lt;titles&gt;&lt;title&gt;Methodological issues in conducting mixed methods research designs&lt;/title&gt;&lt;secondary-title&gt;Advances in mixed methods research&lt;/secondary-title&gt;&lt;/titles&gt;&lt;periodical&gt;&lt;full-title&gt;Advances in mixed methods research&lt;/full-title&gt;&lt;/periodical&gt;&lt;pages&gt;66-83&lt;/pages&gt;&lt;dates&gt;&lt;year&gt;2008&lt;/year&gt;&lt;/dates&gt;&lt;urls&gt;&lt;/urls&gt;&lt;/record&gt;&lt;/Cite&gt;&lt;/EndNote&gt;</w:instrText>
        </w:r>
        <w:r w:rsidR="0094469E" w:rsidRPr="003726FE">
          <w:rPr>
            <w:shd w:val="clear" w:color="auto" w:fill="FFFFFF"/>
            <w:lang w:val="en-GB"/>
          </w:rPr>
          <w:fldChar w:fldCharType="separate"/>
        </w:r>
        <w:r w:rsidR="0094469E" w:rsidRPr="003726FE">
          <w:rPr>
            <w:noProof/>
            <w:shd w:val="clear" w:color="auto" w:fill="FFFFFF"/>
            <w:lang w:val="en-GB"/>
          </w:rPr>
          <w:t>Creswell et al. (2008)</w:t>
        </w:r>
        <w:r w:rsidR="0094469E" w:rsidRPr="003726FE">
          <w:rPr>
            <w:shd w:val="clear" w:color="auto" w:fill="FFFFFF"/>
            <w:lang w:val="en-GB"/>
          </w:rPr>
          <w:fldChar w:fldCharType="end"/>
        </w:r>
      </w:hyperlink>
      <w:r w:rsidRPr="003726FE">
        <w:rPr>
          <w:shd w:val="clear" w:color="auto" w:fill="FFFFFF"/>
          <w:lang w:val="en-GB"/>
        </w:rPr>
        <w:t xml:space="preserve"> recommend</w:t>
      </w:r>
      <w:r w:rsidR="007211C8" w:rsidRPr="003726FE">
        <w:rPr>
          <w:shd w:val="clear" w:color="auto" w:fill="FFFFFF"/>
          <w:lang w:val="en-GB"/>
        </w:rPr>
        <w:t>ed</w:t>
      </w:r>
      <w:r w:rsidRPr="003726FE">
        <w:rPr>
          <w:shd w:val="clear" w:color="auto" w:fill="FFFFFF"/>
          <w:lang w:val="en-GB"/>
        </w:rPr>
        <w:t xml:space="preserve"> the use of rigorous procedures in the quantitative phase</w:t>
      </w:r>
      <w:r w:rsidR="007211C8" w:rsidRPr="003726FE">
        <w:rPr>
          <w:shd w:val="clear" w:color="auto" w:fill="FFFFFF"/>
          <w:lang w:val="en-GB"/>
        </w:rPr>
        <w:t>,</w:t>
      </w:r>
      <w:r w:rsidRPr="003726FE">
        <w:rPr>
          <w:shd w:val="clear" w:color="auto" w:fill="FFFFFF"/>
          <w:lang w:val="en-GB"/>
        </w:rPr>
        <w:t xml:space="preserve"> to provide statistical evidence which more effectively informs the selection of results. </w:t>
      </w:r>
      <w:r w:rsidR="007211C8" w:rsidRPr="003726FE">
        <w:rPr>
          <w:shd w:val="clear" w:color="auto" w:fill="FFFFFF"/>
          <w:lang w:val="en-GB"/>
        </w:rPr>
        <w:t>T</w:t>
      </w:r>
      <w:r w:rsidR="00282B7A" w:rsidRPr="003726FE">
        <w:rPr>
          <w:shd w:val="clear" w:color="auto" w:fill="FFFFFF"/>
          <w:lang w:val="en-GB"/>
        </w:rPr>
        <w:t>he same domain</w:t>
      </w:r>
      <w:r w:rsidRPr="003726FE">
        <w:rPr>
          <w:shd w:val="clear" w:color="auto" w:fill="FFFFFF"/>
          <w:lang w:val="en-GB"/>
        </w:rPr>
        <w:t xml:space="preserve"> of interest </w:t>
      </w:r>
      <w:r w:rsidR="007211C8" w:rsidRPr="003726FE">
        <w:rPr>
          <w:shd w:val="clear" w:color="auto" w:fill="FFFFFF"/>
          <w:lang w:val="en-GB"/>
        </w:rPr>
        <w:t xml:space="preserve">is used </w:t>
      </w:r>
      <w:r w:rsidRPr="003726FE">
        <w:rPr>
          <w:shd w:val="clear" w:color="auto" w:fill="FFFFFF"/>
          <w:lang w:val="en-GB"/>
        </w:rPr>
        <w:t xml:space="preserve">in both strands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&lt;EndNote&gt;&lt;Cite&gt;&lt;Author&gt;Weitzman&lt;/Author&gt;&lt;Year&gt;2000&lt;/Year&gt;&lt;RecNum&gt;265&lt;/RecNum&gt;&lt;DisplayText&gt;(Weitzman and Levkoff 2000)&lt;/DisplayText&gt;&lt;record&gt;&lt;rec-number&gt;265&lt;/rec-number&gt;&lt;foreign-keys&gt;&lt;key app="EN" db-id="xa2r2ewea92trkef5dt5arvbzafvpv2za5ft" timestamp="1442161766"&gt;265&lt;/key&gt;&lt;/foreign-keys&gt;&lt;ref-type name="Journal Article"&gt;17&lt;/ref-type&gt;&lt;contributors&gt;&lt;authors&gt;&lt;author&gt;Weitzman, Patricia Flynn&lt;/author&gt;&lt;author&gt;Levkoff, Sue E.&lt;/author&gt;&lt;/authors&gt;&lt;/contributors&gt;&lt;titles&gt;&lt;title&gt;Combining qualitative and quantitative methods in health research with minority elders: Lessons from a study of dementia caregiving&lt;/title&gt;&lt;secondary-title&gt;Field Methods&lt;/secondary-title&gt;&lt;/titles&gt;&lt;periodical&gt;&lt;full-title&gt;Field Methods&lt;/full-title&gt;&lt;/periodical&gt;&lt;pages&gt;195-208&lt;/pages&gt;&lt;volume&gt;12&lt;/volume&gt;&lt;number&gt;3&lt;/number&gt;&lt;dates&gt;&lt;year&gt;2000&lt;/year&gt;&lt;/dates&gt;&lt;publisher&gt;Sage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34" w:tooltip="Weitzman, 2000 #265" w:history="1">
        <w:r w:rsidR="0094469E" w:rsidRPr="003726FE">
          <w:rPr>
            <w:noProof/>
            <w:shd w:val="clear" w:color="auto" w:fill="FFFFFF"/>
            <w:lang w:val="en-GB"/>
          </w:rPr>
          <w:t>Weitzman and Levkoff 2000</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meaning that </w:t>
      </w:r>
      <w:r w:rsidR="00282B7A" w:rsidRPr="003726FE">
        <w:rPr>
          <w:shd w:val="clear" w:color="auto" w:fill="FFFFFF"/>
          <w:lang w:val="en-GB"/>
        </w:rPr>
        <w:t>the impact of th</w:t>
      </w:r>
      <w:r w:rsidR="007211C8" w:rsidRPr="003726FE">
        <w:rPr>
          <w:shd w:val="clear" w:color="auto" w:fill="FFFFFF"/>
          <w:lang w:val="en-GB"/>
        </w:rPr>
        <w:t xml:space="preserve">e two feedback </w:t>
      </w:r>
      <w:r w:rsidR="000269BF">
        <w:rPr>
          <w:shd w:val="clear" w:color="auto" w:fill="FFFFFF"/>
          <w:lang w:val="en-GB"/>
        </w:rPr>
        <w:t>models</w:t>
      </w:r>
      <w:r w:rsidRPr="003726FE">
        <w:rPr>
          <w:shd w:val="clear" w:color="auto" w:fill="FFFFFF"/>
          <w:lang w:val="en-GB"/>
        </w:rPr>
        <w:t xml:space="preserve"> </w:t>
      </w:r>
      <w:r w:rsidR="000269BF">
        <w:rPr>
          <w:shd w:val="clear" w:color="auto" w:fill="FFFFFF"/>
          <w:lang w:val="en-GB"/>
        </w:rPr>
        <w:t>wa</w:t>
      </w:r>
      <w:r w:rsidR="00282B7A" w:rsidRPr="003726FE">
        <w:rPr>
          <w:shd w:val="clear" w:color="auto" w:fill="FFFFFF"/>
          <w:lang w:val="en-GB"/>
        </w:rPr>
        <w:t>s</w:t>
      </w:r>
      <w:r w:rsidRPr="003726FE">
        <w:rPr>
          <w:shd w:val="clear" w:color="auto" w:fill="FFFFFF"/>
          <w:lang w:val="en-GB"/>
        </w:rPr>
        <w:t xml:space="preserve"> investigated in both strands.</w:t>
      </w:r>
    </w:p>
    <w:p w14:paraId="15584E85" w14:textId="77777777" w:rsidR="00AD32A0" w:rsidRPr="003726FE" w:rsidRDefault="00AD32A0" w:rsidP="00026049">
      <w:pPr>
        <w:pStyle w:val="Normal1"/>
        <w:rPr>
          <w:shd w:val="clear" w:color="auto" w:fill="FFFFFF"/>
          <w:lang w:val="en-GB"/>
        </w:rPr>
      </w:pPr>
    </w:p>
    <w:p w14:paraId="77C8F23F" w14:textId="2EABE737" w:rsidR="00AD32A0" w:rsidRPr="003726FE" w:rsidRDefault="00AD32A0" w:rsidP="00026049">
      <w:pPr>
        <w:pStyle w:val="Normal1"/>
        <w:rPr>
          <w:shd w:val="clear" w:color="auto" w:fill="FFFFFF"/>
          <w:lang w:val="en-GB"/>
        </w:rPr>
      </w:pPr>
      <w:r w:rsidRPr="003726FE">
        <w:rPr>
          <w:shd w:val="clear" w:color="auto" w:fill="FFFFFF"/>
          <w:lang w:val="en-GB"/>
        </w:rPr>
        <w:t xml:space="preserve">The final major methodological challenge of explanatory designs is the potential </w:t>
      </w:r>
      <w:r w:rsidR="007211C8" w:rsidRPr="003726FE">
        <w:rPr>
          <w:shd w:val="clear" w:color="auto" w:fill="FFFFFF"/>
          <w:lang w:val="en-GB"/>
        </w:rPr>
        <w:t>for</w:t>
      </w:r>
      <w:r w:rsidRPr="003726FE">
        <w:rPr>
          <w:shd w:val="clear" w:color="auto" w:fill="FFFFFF"/>
          <w:lang w:val="en-GB"/>
        </w:rPr>
        <w:t xml:space="preserve"> contradictory results</w:t>
      </w:r>
      <w:r w:rsidR="007211C8" w:rsidRPr="003726FE">
        <w:rPr>
          <w:shd w:val="clear" w:color="auto" w:fill="FFFFFF"/>
          <w:lang w:val="en-GB"/>
        </w:rPr>
        <w:t>,</w:t>
      </w:r>
      <w:r w:rsidRPr="003726FE">
        <w:rPr>
          <w:shd w:val="clear" w:color="auto" w:fill="FFFFFF"/>
          <w:lang w:val="en-GB"/>
        </w:rPr>
        <w:t xml:space="preserve"> and how </w:t>
      </w:r>
      <w:r w:rsidR="007211C8" w:rsidRPr="003726FE">
        <w:rPr>
          <w:shd w:val="clear" w:color="auto" w:fill="FFFFFF"/>
          <w:lang w:val="en-GB"/>
        </w:rPr>
        <w:t>these should be addressed</w:t>
      </w:r>
      <w:r w:rsidRPr="003726FE">
        <w:rPr>
          <w:shd w:val="clear" w:color="auto" w:fill="FFFFFF"/>
          <w:lang w:val="en-GB"/>
        </w:rPr>
        <w:t xml:space="preserve">. </w:t>
      </w:r>
      <w:r w:rsidR="00CF0044" w:rsidRPr="003726FE">
        <w:rPr>
          <w:shd w:val="clear" w:color="auto" w:fill="FFFFFF"/>
          <w:lang w:val="en-GB"/>
        </w:rPr>
        <w:t>Opposing findings from the quantitative strand</w:t>
      </w:r>
      <w:r w:rsidRPr="003726FE">
        <w:rPr>
          <w:shd w:val="clear" w:color="auto" w:fill="FFFFFF"/>
          <w:lang w:val="en-GB"/>
        </w:rPr>
        <w:t xml:space="preserve"> </w:t>
      </w:r>
      <w:r w:rsidR="00CF0044" w:rsidRPr="003726FE">
        <w:rPr>
          <w:shd w:val="clear" w:color="auto" w:fill="FFFFFF"/>
          <w:lang w:val="en-GB"/>
        </w:rPr>
        <w:t xml:space="preserve">were </w:t>
      </w:r>
      <w:r w:rsidRPr="003726FE">
        <w:rPr>
          <w:shd w:val="clear" w:color="auto" w:fill="FFFFFF"/>
          <w:lang w:val="en-GB"/>
        </w:rPr>
        <w:t>identif</w:t>
      </w:r>
      <w:r w:rsidR="00CF0044" w:rsidRPr="003726FE">
        <w:rPr>
          <w:shd w:val="clear" w:color="auto" w:fill="FFFFFF"/>
          <w:lang w:val="en-GB"/>
        </w:rPr>
        <w:t>ied</w:t>
      </w:r>
      <w:r w:rsidRPr="003726FE">
        <w:rPr>
          <w:shd w:val="clear" w:color="auto" w:fill="FFFFFF"/>
          <w:lang w:val="en-GB"/>
        </w:rPr>
        <w:t xml:space="preserve"> and discuss</w:t>
      </w:r>
      <w:r w:rsidR="00CF0044" w:rsidRPr="003726FE">
        <w:rPr>
          <w:shd w:val="clear" w:color="auto" w:fill="FFFFFF"/>
          <w:lang w:val="en-GB"/>
        </w:rPr>
        <w:t>ed</w:t>
      </w:r>
      <w:r w:rsidRPr="003726FE">
        <w:rPr>
          <w:shd w:val="clear" w:color="auto" w:fill="FFFFFF"/>
          <w:lang w:val="en-GB"/>
        </w:rPr>
        <w:t xml:space="preserve"> in more depth in the qualitative strand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&lt;EndNote&gt;&lt;Cite&gt;&lt;Author&gt;Umberson&lt;/Author&gt;&lt;Year&gt;1995&lt;/Year&gt;&lt;RecNum&gt;576&lt;/RecNum&gt;&lt;DisplayText&gt;(Umberson 1995)&lt;/DisplayText&gt;&lt;record&gt;&lt;rec-number&gt;576&lt;/rec-number&gt;&lt;foreign-keys&gt;&lt;key app="EN" db-id="xa2r2ewea92trkef5dt5arvbzafvpv2za5ft" timestamp="1496417556"&gt;576&lt;/key&gt;&lt;/foreign-keys&gt;&lt;ref-type name="Journal Article"&gt;17&lt;/ref-type&gt;&lt;contributors&gt;&lt;authors&gt;&lt;author&gt;Umberson, Debra&lt;/author&gt;&lt;/authors&gt;&lt;/contributors&gt;&lt;titles&gt;&lt;title&gt;Marriage as support or strain? Marital quality following the death of a parent&lt;/title&gt;&lt;secondary-title&gt;Journal of Marriage and the Family&lt;/secondary-title&gt;&lt;/titles&gt;&lt;periodical&gt;&lt;full-title&gt;Journal of Marriage and the Family&lt;/full-title&gt;&lt;/periodical&gt;&lt;pages&gt;709-723&lt;/pages&gt;&lt;dates&gt;&lt;year&gt;1995&lt;/year&gt;&lt;/dates&gt;&lt;isbn&gt;0022-2445&lt;/isbn&gt;&lt;urls&gt;&lt;/urls&gt;&lt;/record&gt;&lt;/Cite&gt;&lt;/EndNote&gt;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13" w:tooltip="Umberson, 1995 #576" w:history="1">
        <w:r w:rsidR="0094469E" w:rsidRPr="003726FE">
          <w:rPr>
            <w:noProof/>
            <w:shd w:val="clear" w:color="auto" w:fill="FFFFFF"/>
            <w:lang w:val="en-GB"/>
          </w:rPr>
          <w:t>Umberson 1995</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 xml:space="preserve">. </w:t>
      </w:r>
      <w:r w:rsidR="000269BF">
        <w:rPr>
          <w:shd w:val="clear" w:color="auto" w:fill="FFFFFF"/>
          <w:lang w:val="en-GB"/>
        </w:rPr>
        <w:t>Peer debriefing measures als</w:t>
      </w:r>
      <w:r w:rsidR="00CA1FFA">
        <w:rPr>
          <w:shd w:val="clear" w:color="auto" w:fill="FFFFFF"/>
          <w:lang w:val="en-GB"/>
        </w:rPr>
        <w:t>o helped to fairly consider con</w:t>
      </w:r>
      <w:r w:rsidR="000269BF">
        <w:rPr>
          <w:shd w:val="clear" w:color="auto" w:fill="FFFFFF"/>
          <w:lang w:val="en-GB"/>
        </w:rPr>
        <w:t xml:space="preserve">tradictory </w:t>
      </w:r>
      <w:r w:rsidR="00FC0FFB">
        <w:rPr>
          <w:shd w:val="clear" w:color="auto" w:fill="FFFFFF"/>
          <w:lang w:val="en-GB"/>
        </w:rPr>
        <w:t>findings to</w:t>
      </w:r>
      <w:r w:rsidR="000269BF">
        <w:rPr>
          <w:shd w:val="clear" w:color="auto" w:fill="FFFFFF"/>
          <w:lang w:val="en-GB"/>
        </w:rPr>
        <w:t xml:space="preserve"> reduce the chance for confirmation bias.</w:t>
      </w:r>
    </w:p>
    <w:p w14:paraId="730241FC" w14:textId="77777777" w:rsidR="00AD32A0" w:rsidRPr="003726FE" w:rsidRDefault="00AD32A0" w:rsidP="00026049">
      <w:pPr>
        <w:pStyle w:val="Normal1"/>
        <w:rPr>
          <w:shd w:val="clear" w:color="auto" w:fill="FFFFFF"/>
          <w:lang w:val="en-GB"/>
        </w:rPr>
      </w:pPr>
    </w:p>
    <w:p w14:paraId="501382E7" w14:textId="79E04B5B" w:rsidR="00F176D2" w:rsidRPr="003726FE" w:rsidRDefault="00AD32A0" w:rsidP="00026049">
      <w:pPr>
        <w:pStyle w:val="Normal1"/>
        <w:rPr>
          <w:bCs/>
          <w:shd w:val="clear" w:color="auto" w:fill="FFFFFF"/>
          <w:lang w:val="en-GB"/>
        </w:rPr>
      </w:pPr>
      <w:r w:rsidRPr="003726FE">
        <w:rPr>
          <w:shd w:val="clear" w:color="auto" w:fill="FFFFFF"/>
          <w:lang w:val="en-GB"/>
        </w:rPr>
        <w:t xml:space="preserve">Two further issues to consider when using mixed methodologies are </w:t>
      </w:r>
      <w:r w:rsidR="00CA1FFA" w:rsidRPr="003726FE">
        <w:rPr>
          <w:shd w:val="clear" w:color="auto" w:fill="FFFFFF"/>
          <w:lang w:val="en-GB"/>
        </w:rPr>
        <w:t xml:space="preserve">researcher skill </w:t>
      </w:r>
      <w:r w:rsidR="00CA1FFA">
        <w:rPr>
          <w:shd w:val="clear" w:color="auto" w:fill="FFFFFF"/>
          <w:lang w:val="en-GB"/>
        </w:rPr>
        <w:t xml:space="preserve">and </w:t>
      </w:r>
      <w:r w:rsidRPr="003726FE">
        <w:rPr>
          <w:shd w:val="clear" w:color="auto" w:fill="FFFFFF"/>
          <w:lang w:val="en-GB"/>
        </w:rPr>
        <w:t>the influence of bias. Bias is deemed less of a detrimental factor in explanatory designs when compared to concurrent designs</w:t>
      </w:r>
      <w:r w:rsidR="007211C8" w:rsidRPr="003726FE">
        <w:rPr>
          <w:shd w:val="clear" w:color="auto" w:fill="FFFFFF"/>
          <w:lang w:val="en-GB"/>
        </w:rPr>
        <w:t>,</w:t>
      </w:r>
      <w:r w:rsidRPr="003726FE">
        <w:rPr>
          <w:shd w:val="clear" w:color="auto" w:fill="FFFFFF"/>
          <w:lang w:val="en-GB"/>
        </w:rPr>
        <w:t xml:space="preserve"> which tend to be more vulnerable due to the biases introduced </w:t>
      </w:r>
      <w:r w:rsidR="007211C8" w:rsidRPr="003726FE">
        <w:rPr>
          <w:shd w:val="clear" w:color="auto" w:fill="FFFFFF"/>
          <w:lang w:val="en-GB"/>
        </w:rPr>
        <w:t>when one form of data affects</w:t>
      </w:r>
      <w:r w:rsidRPr="003726FE">
        <w:rPr>
          <w:shd w:val="clear" w:color="auto" w:fill="FFFFFF"/>
          <w:lang w:val="en-GB"/>
        </w:rPr>
        <w:t xml:space="preserve"> the other when methods are conducted in parallel </w:t>
      </w:r>
      <w:r w:rsidR="00FD3B3C" w:rsidRPr="003726FE">
        <w:rPr>
          <w:shd w:val="clear" w:color="auto" w:fill="FFFFFF"/>
          <w:lang w:val="en-GB"/>
        </w:rPr>
        <w:fldChar w:fldCharType="begin"/>
      </w:r>
      <w:r w:rsidR="008B61BE">
        <w:rPr>
          <w:shd w:val="clear" w:color="auto" w:fill="FFFFFF"/>
          <w:lang w:val="en-GB"/>
        </w:rPr>
        <w:instrText xml:space="preserve"> ADDIN EN.CITE &lt;EndNote&gt;&lt;Cite&gt;&lt;Author&gt;Luzzo&lt;/Author&gt;&lt;Year&gt;1995&lt;/Year&gt;&lt;RecNum&gt;151&lt;/RecNum&gt;&lt;DisplayText&gt;(Luzzo 1995; Clark and Creswell 2011)&lt;/DisplayText&gt;&lt;record&gt;&lt;rec-number&gt;151&lt;/rec-number&gt;&lt;foreign-keys&gt;&lt;key app="EN" db-id="xa2r2ewea92trkef5dt5arvbzafvpv2za5ft" timestamp="1442161764"&gt;151&lt;/key&gt;&lt;/foreign-keys&gt;&lt;ref-type name="Journal Article"&gt;17&lt;/ref-type&gt;&lt;contributors&gt;&lt;authors&gt;&lt;author&gt;Luzzo, Darrell Anthony&lt;/author&gt;&lt;/authors&gt;&lt;/contributors&gt;&lt;titles&gt;&lt;title&gt;Gender differences in college students&amp;apos; career maturity and perceived barriers in career development&lt;/title&gt;&lt;secondary-title&gt;Journal of Counseling and Development: JCD&lt;/secondary-title&gt;&lt;/titles&gt;&lt;periodical&gt;&lt;full-title&gt;Journal of Counseling and Development: JCD&lt;/full-title&gt;&lt;/periodical&gt;&lt;pages&gt;319&lt;/pages&gt;&lt;volume&gt;73&lt;/volume&gt;&lt;number&gt;3&lt;/number&gt;&lt;dates&gt;&lt;year&gt;1995&lt;/year&gt;&lt;/dates&gt;&lt;publisher&gt;Blackwell Publishing Ltd.&lt;/publisher&gt;&lt;urls&gt;&lt;/urls&gt;&lt;/record&gt;&lt;/Cite&gt;&lt;Cite&gt;&lt;Author&gt;Clark&lt;/Author&gt;&lt;Year&gt;2011&lt;/Year&gt;&lt;RecNum&gt;33&lt;/RecNum&gt;&lt;record&gt;&lt;rec-number&gt;33&lt;/rec-number&gt;&lt;foreign-keys&gt;&lt;key app="EN" db-id="xa2r2ewea92trkef5dt5arvbzafvpv2za5ft" timestamp="1442161763"&gt;33&lt;/key&gt;&lt;/foreign-keys&gt;&lt;ref-type name="Book"&gt;6&lt;/ref-type&gt;&lt;contributors&gt;&lt;authors&gt;&lt;author&gt;Clark, Vicki L. Plano&lt;/author&gt;&lt;author&gt;Creswell, John W.&lt;/author&gt;&lt;/authors&gt;&lt;/contributors&gt;&lt;titles&gt;&lt;title&gt;Designing and conducting mixed methods research&lt;/title&gt;&lt;/titles&gt;&lt;dates&gt;&lt;year&gt;2011&lt;/year&gt;&lt;/dates&gt;&lt;publisher&gt;Thousand Oaks, CA: Sage&lt;/publisher&gt;&lt;urls&gt;&lt;/urls&gt;&lt;/record&gt;&lt;/Cite&gt;&lt;/EndNote&gt;</w:instrText>
      </w:r>
      <w:r w:rsidR="00FD3B3C" w:rsidRPr="003726FE">
        <w:rPr>
          <w:shd w:val="clear" w:color="auto" w:fill="FFFFFF"/>
          <w:lang w:val="en-GB"/>
        </w:rPr>
        <w:fldChar w:fldCharType="separate"/>
      </w:r>
      <w:r w:rsidR="004E5A78" w:rsidRPr="003726FE">
        <w:rPr>
          <w:noProof/>
          <w:shd w:val="clear" w:color="auto" w:fill="FFFFFF"/>
          <w:lang w:val="en-GB"/>
        </w:rPr>
        <w:t>(</w:t>
      </w:r>
      <w:hyperlink w:anchor="_ENREF_250" w:tooltip="Luzzo, 1995 #151" w:history="1">
        <w:r w:rsidR="0094469E" w:rsidRPr="003726FE">
          <w:rPr>
            <w:noProof/>
            <w:shd w:val="clear" w:color="auto" w:fill="FFFFFF"/>
            <w:lang w:val="en-GB"/>
          </w:rPr>
          <w:t>Luzzo 1995</w:t>
        </w:r>
      </w:hyperlink>
      <w:r w:rsidR="004E5A78" w:rsidRPr="003726FE">
        <w:rPr>
          <w:noProof/>
          <w:shd w:val="clear" w:color="auto" w:fill="FFFFFF"/>
          <w:lang w:val="en-GB"/>
        </w:rPr>
        <w:t xml:space="preserve">; </w:t>
      </w:r>
      <w:hyperlink w:anchor="_ENREF_76" w:tooltip="Clark, 2011 #33" w:history="1">
        <w:r w:rsidR="0094469E" w:rsidRPr="003726FE">
          <w:rPr>
            <w:noProof/>
            <w:shd w:val="clear" w:color="auto" w:fill="FFFFFF"/>
            <w:lang w:val="en-GB"/>
          </w:rPr>
          <w:t>Clark and Creswell 2011</w:t>
        </w:r>
      </w:hyperlink>
      <w:r w:rsidR="004E5A78" w:rsidRPr="003726FE">
        <w:rPr>
          <w:noProof/>
          <w:shd w:val="clear" w:color="auto" w:fill="FFFFFF"/>
          <w:lang w:val="en-GB"/>
        </w:rPr>
        <w:t>)</w:t>
      </w:r>
      <w:r w:rsidR="00FD3B3C" w:rsidRPr="003726FE">
        <w:rPr>
          <w:shd w:val="clear" w:color="auto" w:fill="FFFFFF"/>
          <w:lang w:val="en-GB"/>
        </w:rPr>
        <w:fldChar w:fldCharType="end"/>
      </w:r>
      <w:r w:rsidRPr="003726FE">
        <w:rPr>
          <w:shd w:val="clear" w:color="auto" w:fill="FFFFFF"/>
          <w:lang w:val="en-GB"/>
        </w:rPr>
        <w:t xml:space="preserve">. </w:t>
      </w:r>
      <w:r w:rsidR="007211C8" w:rsidRPr="003726FE">
        <w:rPr>
          <w:shd w:val="clear" w:color="auto" w:fill="FFFFFF"/>
          <w:lang w:val="en-GB"/>
        </w:rPr>
        <w:t>Despite a lack of personal experience in the area,</w:t>
      </w:r>
      <w:r w:rsidRPr="003726FE">
        <w:rPr>
          <w:shd w:val="clear" w:color="auto" w:fill="FFFFFF"/>
          <w:lang w:val="en-GB"/>
        </w:rPr>
        <w:t xml:space="preserve"> the supervisory team overseeing this project </w:t>
      </w:r>
      <w:r w:rsidR="007211C8" w:rsidRPr="003726FE">
        <w:rPr>
          <w:shd w:val="clear" w:color="auto" w:fill="FFFFFF"/>
          <w:lang w:val="en-GB"/>
        </w:rPr>
        <w:t>were</w:t>
      </w:r>
      <w:r w:rsidRPr="003726FE">
        <w:rPr>
          <w:shd w:val="clear" w:color="auto" w:fill="FFFFFF"/>
          <w:lang w:val="en-GB"/>
        </w:rPr>
        <w:t xml:space="preserve"> knowledgeable and experien</w:t>
      </w:r>
      <w:r w:rsidR="007211C8" w:rsidRPr="003726FE">
        <w:rPr>
          <w:shd w:val="clear" w:color="auto" w:fill="FFFFFF"/>
          <w:lang w:val="en-GB"/>
        </w:rPr>
        <w:t>ced in the use of mixed methods</w:t>
      </w:r>
      <w:r w:rsidRPr="003726FE">
        <w:rPr>
          <w:shd w:val="clear" w:color="auto" w:fill="FFFFFF"/>
          <w:lang w:val="en-GB"/>
        </w:rPr>
        <w:t xml:space="preserve"> </w:t>
      </w:r>
      <w:r w:rsidR="001F7BA1">
        <w:rPr>
          <w:shd w:val="clear" w:color="auto" w:fill="FFFFFF"/>
          <w:lang w:val="en-GB"/>
        </w:rPr>
        <w:t xml:space="preserve">in </w:t>
      </w:r>
      <w:r w:rsidRPr="003726FE">
        <w:rPr>
          <w:shd w:val="clear" w:color="auto" w:fill="FFFFFF"/>
          <w:lang w:val="en-GB"/>
        </w:rPr>
        <w:t>the</w:t>
      </w:r>
      <w:r w:rsidR="007211C8" w:rsidRPr="003726FE">
        <w:rPr>
          <w:shd w:val="clear" w:color="auto" w:fill="FFFFFF"/>
          <w:lang w:val="en-GB"/>
        </w:rPr>
        <w:t xml:space="preserve"> field of medical education</w:t>
      </w:r>
      <w:r w:rsidRPr="003726FE">
        <w:rPr>
          <w:shd w:val="clear" w:color="auto" w:fill="FFFFFF"/>
          <w:lang w:val="en-GB"/>
        </w:rPr>
        <w:t xml:space="preserve">. As a part of this team, </w:t>
      </w:r>
      <w:r w:rsidR="007211C8" w:rsidRPr="003726FE">
        <w:rPr>
          <w:shd w:val="clear" w:color="auto" w:fill="FFFFFF"/>
          <w:lang w:val="en-GB"/>
        </w:rPr>
        <w:t>I</w:t>
      </w:r>
      <w:r w:rsidRPr="003726FE">
        <w:rPr>
          <w:shd w:val="clear" w:color="auto" w:fill="FFFFFF"/>
          <w:lang w:val="en-GB"/>
        </w:rPr>
        <w:t xml:space="preserve"> </w:t>
      </w:r>
      <w:r w:rsidR="00B32B31" w:rsidRPr="003726FE">
        <w:rPr>
          <w:shd w:val="clear" w:color="auto" w:fill="FFFFFF"/>
          <w:lang w:val="en-GB"/>
        </w:rPr>
        <w:t xml:space="preserve">was </w:t>
      </w:r>
      <w:r w:rsidR="007211C8" w:rsidRPr="003726FE">
        <w:rPr>
          <w:shd w:val="clear" w:color="auto" w:fill="FFFFFF"/>
          <w:lang w:val="en-GB"/>
        </w:rPr>
        <w:t>not</w:t>
      </w:r>
      <w:r w:rsidRPr="003726FE">
        <w:rPr>
          <w:shd w:val="clear" w:color="auto" w:fill="FFFFFF"/>
          <w:lang w:val="en-GB"/>
        </w:rPr>
        <w:t xml:space="preserve"> overburdened </w:t>
      </w:r>
      <w:r w:rsidR="001F7BA1">
        <w:rPr>
          <w:shd w:val="clear" w:color="auto" w:fill="FFFFFF"/>
          <w:lang w:val="en-GB"/>
        </w:rPr>
        <w:fldChar w:fldCharType="begin"/>
      </w:r>
      <w:r w:rsidR="001F7BA1">
        <w:rPr>
          <w:shd w:val="clear" w:color="auto" w:fill="FFFFFF"/>
          <w:lang w:val="en-GB"/>
        </w:rPr>
        <w:instrText xml:space="preserve"> ADDIN EN.CITE &lt;EndNote&gt;&lt;Cite&gt;&lt;Author&gt;Waysman&lt;/Author&gt;&lt;Year&gt;1997&lt;/Year&gt;&lt;RecNum&gt;532&lt;/RecNum&gt;&lt;DisplayText&gt;(Waysman and Savaya 1997)&lt;/DisplayText&gt;&lt;record&gt;&lt;rec-number&gt;532&lt;/rec-number&gt;&lt;foreign-keys&gt;&lt;key app="EN" db-id="xa2r2ewea92trkef5dt5arvbzafvpv2za5ft" timestamp="1496417552"&gt;532&lt;/key&gt;&lt;/foreign-keys&gt;&lt;ref-type name="Journal Article"&gt;17&lt;/ref-type&gt;&lt;contributors&gt;&lt;authors&gt;&lt;author&gt;Waysman, Mark&lt;/author&gt;&lt;author&gt;Savaya, Riki&lt;/author&gt;&lt;/authors&gt;&lt;/contributors&gt;&lt;titles&gt;&lt;title&gt;Mixed method evaluation: A case study&lt;/title&gt;&lt;secondary-title&gt;American Journal of Evaluation&lt;/secondary-title&gt;&lt;/titles&gt;&lt;periodical&gt;&lt;full-title&gt;American Journal of Evaluation&lt;/full-title&gt;&lt;/periodical&gt;&lt;pages&gt;227-237&lt;/pages&gt;&lt;volume&gt;18&lt;/volume&gt;&lt;number&gt;3&lt;/number&gt;&lt;dates&gt;&lt;year&gt;1997&lt;/year&gt;&lt;/dates&gt;&lt;publisher&gt;Sage Publications&lt;/publisher&gt;&lt;urls&gt;&lt;/urls&gt;&lt;/record&gt;&lt;/Cite&gt;&lt;/EndNote&gt;</w:instrText>
      </w:r>
      <w:r w:rsidR="001F7BA1">
        <w:rPr>
          <w:shd w:val="clear" w:color="auto" w:fill="FFFFFF"/>
          <w:lang w:val="en-GB"/>
        </w:rPr>
        <w:fldChar w:fldCharType="separate"/>
      </w:r>
      <w:r w:rsidR="001F7BA1">
        <w:rPr>
          <w:noProof/>
          <w:shd w:val="clear" w:color="auto" w:fill="FFFFFF"/>
          <w:lang w:val="en-GB"/>
        </w:rPr>
        <w:t>(</w:t>
      </w:r>
      <w:hyperlink w:anchor="_ENREF_430" w:tooltip="Waysman, 1997 #532" w:history="1">
        <w:r w:rsidR="0094469E">
          <w:rPr>
            <w:noProof/>
            <w:shd w:val="clear" w:color="auto" w:fill="FFFFFF"/>
            <w:lang w:val="en-GB"/>
          </w:rPr>
          <w:t>Waysman and Savaya 1997</w:t>
        </w:r>
      </w:hyperlink>
      <w:r w:rsidR="001F7BA1">
        <w:rPr>
          <w:noProof/>
          <w:shd w:val="clear" w:color="auto" w:fill="FFFFFF"/>
          <w:lang w:val="en-GB"/>
        </w:rPr>
        <w:t>)</w:t>
      </w:r>
      <w:r w:rsidR="001F7BA1">
        <w:rPr>
          <w:shd w:val="clear" w:color="auto" w:fill="FFFFFF"/>
          <w:lang w:val="en-GB"/>
        </w:rPr>
        <w:fldChar w:fldCharType="end"/>
      </w:r>
      <w:r w:rsidR="00B56453" w:rsidRPr="003726FE" w:rsidDel="00B56453">
        <w:rPr>
          <w:shd w:val="clear" w:color="auto" w:fill="FFFFFF"/>
          <w:lang w:val="en-GB"/>
        </w:rPr>
        <w:t xml:space="preserve"> </w:t>
      </w:r>
      <w:r w:rsidR="00B32B31" w:rsidRPr="003726FE">
        <w:rPr>
          <w:shd w:val="clear" w:color="auto" w:fill="FFFFFF"/>
          <w:lang w:val="en-GB"/>
        </w:rPr>
        <w:t>and less likely to</w:t>
      </w:r>
      <w:r w:rsidRPr="003726FE">
        <w:rPr>
          <w:shd w:val="clear" w:color="auto" w:fill="FFFFFF"/>
          <w:lang w:val="en-GB"/>
        </w:rPr>
        <w:t xml:space="preserve"> overly favour one methodological viewpoint</w:t>
      </w:r>
      <w:r w:rsidR="00B32B31" w:rsidRPr="003726FE">
        <w:rPr>
          <w:shd w:val="clear" w:color="auto" w:fill="FFFFFF"/>
          <w:lang w:val="en-GB"/>
        </w:rPr>
        <w:t xml:space="preserve"> over another</w:t>
      </w:r>
      <w:r w:rsidRPr="003726FE">
        <w:rPr>
          <w:shd w:val="clear" w:color="auto" w:fill="FFFFFF"/>
          <w:lang w:val="en-GB"/>
        </w:rPr>
        <w:t xml:space="preserve"> </w:t>
      </w:r>
      <w:r w:rsidR="00EF281A" w:rsidRPr="003726FE">
        <w:rPr>
          <w:shd w:val="clear" w:color="auto" w:fill="FFFFFF"/>
          <w:lang w:val="en-GB"/>
        </w:rPr>
        <w:fldChar w:fldCharType="begin"/>
      </w:r>
      <w:r w:rsidR="008B61BE">
        <w:rPr>
          <w:shd w:val="clear" w:color="auto" w:fill="FFFFFF"/>
          <w:lang w:val="en-GB"/>
        </w:rPr>
        <w:instrText xml:space="preserve"> ADDIN EN.CITE &lt;EndNote&gt;&lt;Cite&gt;&lt;Author&gt;Weitzman&lt;/Author&gt;&lt;Year&gt;2000&lt;/Year&gt;&lt;RecNum&gt;265&lt;/RecNum&gt;&lt;DisplayText&gt;(Weitzman and Levkoff 2000)&lt;/DisplayText&gt;&lt;record&gt;&lt;rec-number&gt;265&lt;/rec-number&gt;&lt;foreign-keys&gt;&lt;key app="EN" db-id="xa2r2ewea92trkef5dt5arvbzafvpv2za5ft" timestamp="1442161766"&gt;265&lt;/key&gt;&lt;/foreign-keys&gt;&lt;ref-type name="Journal Article"&gt;17&lt;/ref-type&gt;&lt;contributors&gt;&lt;authors&gt;&lt;author&gt;Weitzman, Patricia Flynn&lt;/author&gt;&lt;author&gt;Levkoff, Sue E.&lt;/author&gt;&lt;/authors&gt;&lt;/contributors&gt;&lt;titles&gt;&lt;title&gt;Combining qualitative and quantitative methods in health research with minority elders: Lessons from a study of dementia caregiving&lt;/title&gt;&lt;secondary-title&gt;Field Methods&lt;/secondary-title&gt;&lt;/titles&gt;&lt;periodical&gt;&lt;full-title&gt;Field Methods&lt;/full-title&gt;&lt;/periodical&gt;&lt;pages&gt;195-208&lt;/pages&gt;&lt;volume&gt;12&lt;/volume&gt;&lt;number&gt;3&lt;/number&gt;&lt;dates&gt;&lt;year&gt;2000&lt;/year&gt;&lt;/dates&gt;&lt;publisher&gt;Sage Publications&lt;/publisher&gt;&lt;urls&gt;&lt;/urls&gt;&lt;/record&gt;&lt;/Cite&gt;&lt;/EndNote&gt;</w:instrText>
      </w:r>
      <w:r w:rsidR="00EF281A" w:rsidRPr="003726FE">
        <w:rPr>
          <w:shd w:val="clear" w:color="auto" w:fill="FFFFFF"/>
          <w:lang w:val="en-GB"/>
        </w:rPr>
        <w:fldChar w:fldCharType="separate"/>
      </w:r>
      <w:r w:rsidR="004E5A78" w:rsidRPr="003726FE">
        <w:rPr>
          <w:noProof/>
          <w:shd w:val="clear" w:color="auto" w:fill="FFFFFF"/>
          <w:lang w:val="en-GB"/>
        </w:rPr>
        <w:t>(</w:t>
      </w:r>
      <w:hyperlink w:anchor="_ENREF_434" w:tooltip="Weitzman, 2000 #265" w:history="1">
        <w:r w:rsidR="0094469E" w:rsidRPr="003726FE">
          <w:rPr>
            <w:noProof/>
            <w:shd w:val="clear" w:color="auto" w:fill="FFFFFF"/>
            <w:lang w:val="en-GB"/>
          </w:rPr>
          <w:t>Weitzman and Levkoff 2000</w:t>
        </w:r>
      </w:hyperlink>
      <w:r w:rsidR="004E5A78" w:rsidRPr="003726FE">
        <w:rPr>
          <w:noProof/>
          <w:shd w:val="clear" w:color="auto" w:fill="FFFFFF"/>
          <w:lang w:val="en-GB"/>
        </w:rPr>
        <w:t>)</w:t>
      </w:r>
      <w:r w:rsidR="00EF281A" w:rsidRPr="003726FE">
        <w:rPr>
          <w:shd w:val="clear" w:color="auto" w:fill="FFFFFF"/>
          <w:lang w:val="en-GB"/>
        </w:rPr>
        <w:fldChar w:fldCharType="end"/>
      </w:r>
      <w:r w:rsidRPr="003726FE">
        <w:rPr>
          <w:shd w:val="clear" w:color="auto" w:fill="FFFFFF"/>
          <w:lang w:val="en-GB"/>
        </w:rPr>
        <w:t>.</w:t>
      </w:r>
      <w:r w:rsidR="00F176D2" w:rsidRPr="003726FE">
        <w:rPr>
          <w:lang w:val="en-GB"/>
        </w:rPr>
        <w:br w:type="page"/>
      </w:r>
    </w:p>
    <w:p w14:paraId="1791AF96" w14:textId="27C875F5" w:rsidR="00B06ADF" w:rsidRPr="003726FE" w:rsidRDefault="00822E3B" w:rsidP="00B1638D">
      <w:pPr>
        <w:pStyle w:val="Heading2"/>
        <w:rPr>
          <w:lang w:val="en-GB"/>
        </w:rPr>
      </w:pPr>
      <w:bookmarkStart w:id="205" w:name="_Toc500319350"/>
      <w:r w:rsidRPr="003726FE">
        <w:rPr>
          <w:lang w:val="en-GB"/>
        </w:rPr>
        <w:lastRenderedPageBreak/>
        <w:t>A3</w:t>
      </w:r>
      <w:r w:rsidR="00F176D2" w:rsidRPr="003726FE">
        <w:rPr>
          <w:lang w:val="en-GB"/>
        </w:rPr>
        <w:t xml:space="preserve">.5 </w:t>
      </w:r>
      <w:r w:rsidR="00A874F2" w:rsidRPr="003726FE">
        <w:rPr>
          <w:lang w:val="en-GB"/>
        </w:rPr>
        <w:t>Survey</w:t>
      </w:r>
      <w:r w:rsidR="00B06ADF" w:rsidRPr="003726FE">
        <w:rPr>
          <w:lang w:val="en-GB"/>
        </w:rPr>
        <w:t xml:space="preserve"> </w:t>
      </w:r>
      <w:r w:rsidR="00F176D2" w:rsidRPr="003726FE">
        <w:rPr>
          <w:lang w:val="en-GB"/>
        </w:rPr>
        <w:t>Methodology</w:t>
      </w:r>
      <w:bookmarkEnd w:id="205"/>
    </w:p>
    <w:p w14:paraId="4B09D4E6" w14:textId="77777777" w:rsidR="008D5462" w:rsidRPr="003726FE" w:rsidRDefault="008D5462" w:rsidP="00026049">
      <w:pPr>
        <w:pStyle w:val="Normal1"/>
        <w:rPr>
          <w:lang w:val="en-GB"/>
        </w:rPr>
      </w:pPr>
    </w:p>
    <w:p w14:paraId="04A46EBA" w14:textId="2CA3A9DA" w:rsidR="00874437" w:rsidRPr="003726FE" w:rsidRDefault="00874437" w:rsidP="00026049">
      <w:pPr>
        <w:pStyle w:val="Normal1"/>
        <w:rPr>
          <w:lang w:val="en-GB"/>
        </w:rPr>
      </w:pPr>
      <w:r w:rsidRPr="003726FE">
        <w:rPr>
          <w:lang w:val="en-GB"/>
        </w:rPr>
        <w:t>Surveys were used in this project to gain a broad understanding of students’ SRL capacity over multiple time points</w:t>
      </w:r>
      <w:r w:rsidR="00BA78A4">
        <w:rPr>
          <w:lang w:val="en-GB"/>
        </w:rPr>
        <w:t>,</w:t>
      </w:r>
      <w:r w:rsidRPr="003726FE">
        <w:rPr>
          <w:lang w:val="en-GB"/>
        </w:rPr>
        <w:t xml:space="preserve"> </w:t>
      </w:r>
      <w:r w:rsidR="00BA78A4">
        <w:rPr>
          <w:lang w:val="en-GB"/>
        </w:rPr>
        <w:t>this</w:t>
      </w:r>
      <w:r w:rsidRPr="003726FE">
        <w:rPr>
          <w:lang w:val="en-GB"/>
        </w:rPr>
        <w:t xml:space="preserve"> allowed </w:t>
      </w:r>
      <w:r w:rsidR="00474D83" w:rsidRPr="003726FE">
        <w:rPr>
          <w:lang w:val="en-GB"/>
        </w:rPr>
        <w:t>for the efficient</w:t>
      </w:r>
      <w:r w:rsidRPr="003726FE">
        <w:rPr>
          <w:lang w:val="en-GB"/>
        </w:rPr>
        <w:t xml:space="preserve"> measure</w:t>
      </w:r>
      <w:r w:rsidR="00474D83" w:rsidRPr="003726FE">
        <w:rPr>
          <w:lang w:val="en-GB"/>
        </w:rPr>
        <w:t xml:space="preserve"> of</w:t>
      </w:r>
      <w:r w:rsidRPr="003726FE">
        <w:rPr>
          <w:lang w:val="en-GB"/>
        </w:rPr>
        <w:t xml:space="preserve"> SRL changes in response to different </w:t>
      </w:r>
      <w:r w:rsidR="00474D83" w:rsidRPr="003726FE">
        <w:rPr>
          <w:lang w:val="en-GB"/>
        </w:rPr>
        <w:t>models</w:t>
      </w:r>
      <w:r w:rsidRPr="003726FE">
        <w:rPr>
          <w:lang w:val="en-GB"/>
        </w:rPr>
        <w:t xml:space="preserve"> of giving feedback. Survey methodology aligns to </w:t>
      </w:r>
      <w:r w:rsidR="00474D83" w:rsidRPr="003726FE">
        <w:rPr>
          <w:lang w:val="en-GB"/>
        </w:rPr>
        <w:t>the</w:t>
      </w:r>
      <w:r w:rsidRPr="003726FE">
        <w:rPr>
          <w:lang w:val="en-GB"/>
        </w:rPr>
        <w:t xml:space="preserve"> pragmatist stance in that </w:t>
      </w:r>
      <w:r w:rsidR="00474D83" w:rsidRPr="003726FE">
        <w:rPr>
          <w:lang w:val="en-GB"/>
        </w:rPr>
        <w:t>it is an economic</w:t>
      </w:r>
      <w:r w:rsidRPr="003726FE">
        <w:rPr>
          <w:lang w:val="en-GB"/>
        </w:rPr>
        <w:t xml:space="preserve"> way to measure SRL constructs in a large student population </w:t>
      </w:r>
      <w:r w:rsidRPr="003726FE">
        <w:rPr>
          <w:lang w:val="en-GB"/>
        </w:rPr>
        <w:fldChar w:fldCharType="begin"/>
      </w:r>
      <w:r w:rsidR="00E80034">
        <w:rPr>
          <w:lang w:val="en-GB"/>
        </w:rPr>
        <w:instrText xml:space="preserve"> ADDIN EN.CITE &lt;EndNote&gt;&lt;Cite&gt;&lt;Author&gt;Artino Jr&lt;/Author&gt;&lt;Year&gt;2014&lt;/Year&gt;&lt;RecNum&gt;2&lt;/RecNum&gt;&lt;DisplayText&gt;(Gruppen et al. 2000; Artino Jr et al. 2014b)&lt;/DisplayText&gt;&lt;record&gt;&lt;rec-number&gt;2&lt;/rec-number&gt;&lt;foreign-keys&gt;&lt;key app="EN" db-id="xa2r2ewea92trkef5dt5arvbzafvpv2za5ft" timestamp="1442161763"&gt;2&lt;/key&gt;&lt;/foreign-keys&gt;&lt;ref-type name="Journal Article"&gt;17&lt;/ref-type&gt;&lt;contributors&gt;&lt;authors&gt;&lt;author&gt;Artino Jr, Anthony R.&lt;/author&gt;&lt;author&gt;La Rochelle, Jeffrey S.&lt;/author&gt;&lt;author&gt;Dezee, Kent J.&lt;/author&gt;&lt;author&gt;Gehlbach, Hunter&lt;/author&gt;&lt;/authors&gt;&lt;/contributors&gt;&lt;titles&gt;&lt;title&gt;Developing questionnaires for educational research: AMEE Guide No. 87&lt;/title&gt;&lt;secondary-title&gt;Medical teacher&lt;/secondary-title&gt;&lt;/titles&gt;&lt;periodical&gt;&lt;full-title&gt;Medical teacher&lt;/full-title&gt;&lt;/periodical&gt;&lt;pages&gt;463-474&lt;/pages&gt;&lt;volume&gt;36&lt;/volume&gt;&lt;number&gt;6&lt;/number&gt;&lt;dates&gt;&lt;year&gt;2014&lt;/year&gt;&lt;/dates&gt;&lt;publisher&gt;Taylor &amp;amp; Francis&lt;/publisher&gt;&lt;urls&gt;&lt;/urls&gt;&lt;/record&gt;&lt;/Cite&gt;&lt;Cite&gt;&lt;Author&gt;Gruppen&lt;/Author&gt;&lt;Year&gt;2000&lt;/Year&gt;&lt;RecNum&gt;776&lt;/RecNum&gt;&lt;record&gt;&lt;rec-number&gt;776&lt;/rec-number&gt;&lt;foreign-keys&gt;&lt;key app="EN" db-id="xa2r2ewea92trkef5dt5arvbzafvpv2za5ft" timestamp="1496417593"&gt;776&lt;/key&gt;&lt;/foreign-keys&gt;&lt;ref-type name="Journal Article"&gt;17&lt;/ref-type&gt;&lt;contributors&gt;&lt;authors&gt;&lt;author&gt;Gruppen, Larry D&lt;/author&gt;&lt;author&gt;White, Casey&lt;/author&gt;&lt;author&gt;Fitzgerald, J Thomas&lt;/author&gt;&lt;author&gt;Grum, Cyril M&lt;/author&gt;&lt;author&gt;Woolliscroft, James O&lt;/author&gt;&lt;/authors&gt;&lt;/contributors&gt;&lt;titles&gt;&lt;title&gt;Medical Students&amp;apos; Self</w:instrText>
      </w:r>
      <w:r w:rsidR="00E80034">
        <w:rPr>
          <w:rFonts w:ascii="Cambria Math" w:hAnsi="Cambria Math" w:cs="Cambria Math"/>
          <w:lang w:val="en-GB"/>
        </w:rPr>
        <w:instrText>‐</w:instrText>
      </w:r>
      <w:r w:rsidR="00E80034">
        <w:rPr>
          <w:lang w:val="en-GB"/>
        </w:rPr>
        <w:instrText>assessments and Their Allocations of Learning Time&lt;/title&gt;&lt;secondary-title&gt;Academic Medicine&lt;/secondary-title&gt;&lt;/titles&gt;&lt;periodical&gt;&lt;full-title&gt;Academic Medicine&lt;/full-title&gt;&lt;/periodical&gt;&lt;pages&gt;374-379&lt;/pages&gt;&lt;volume&gt;75&lt;/volume&gt;&lt;number&gt;4&lt;/number&gt;&lt;dates&gt;&lt;year&gt;2000&lt;/year&gt;&lt;/dates&gt;&lt;isbn&gt;1040-2446&lt;/isbn&gt;&lt;urls&gt;&lt;/urls&gt;&lt;/record&gt;&lt;/Cite&gt;&lt;/EndNote&gt;</w:instrText>
      </w:r>
      <w:r w:rsidRPr="003726FE">
        <w:rPr>
          <w:lang w:val="en-GB"/>
        </w:rPr>
        <w:fldChar w:fldCharType="separate"/>
      </w:r>
      <w:r w:rsidR="00E80034">
        <w:rPr>
          <w:noProof/>
          <w:lang w:val="en-GB"/>
        </w:rPr>
        <w:t>(</w:t>
      </w:r>
      <w:hyperlink w:anchor="_ENREF_172" w:tooltip="Gruppen, 2000 #776" w:history="1">
        <w:r w:rsidR="0094469E">
          <w:rPr>
            <w:noProof/>
            <w:lang w:val="en-GB"/>
          </w:rPr>
          <w:t>Gruppen et al. 2000</w:t>
        </w:r>
      </w:hyperlink>
      <w:r w:rsidR="00E80034">
        <w:rPr>
          <w:noProof/>
          <w:lang w:val="en-GB"/>
        </w:rPr>
        <w:t xml:space="preserve">; </w:t>
      </w:r>
      <w:hyperlink w:anchor="_ENREF_9" w:tooltip="Artino Jr, 2014 #2" w:history="1">
        <w:r w:rsidR="0094469E">
          <w:rPr>
            <w:noProof/>
            <w:lang w:val="en-GB"/>
          </w:rPr>
          <w:t>Artino Jr et al. 2014b</w:t>
        </w:r>
      </w:hyperlink>
      <w:r w:rsidR="00E80034">
        <w:rPr>
          <w:noProof/>
          <w:lang w:val="en-GB"/>
        </w:rPr>
        <w:t>)</w:t>
      </w:r>
      <w:r w:rsidRPr="003726FE">
        <w:rPr>
          <w:lang w:val="en-GB"/>
        </w:rPr>
        <w:fldChar w:fldCharType="end"/>
      </w:r>
      <w:r w:rsidRPr="003726FE">
        <w:rPr>
          <w:lang w:val="en-GB"/>
        </w:rPr>
        <w:t xml:space="preserve">. </w:t>
      </w:r>
      <w:r w:rsidR="00474D83" w:rsidRPr="003726FE">
        <w:rPr>
          <w:lang w:val="en-GB"/>
        </w:rPr>
        <w:t>Surveys</w:t>
      </w:r>
      <w:r w:rsidRPr="003726FE">
        <w:rPr>
          <w:lang w:val="en-GB"/>
        </w:rPr>
        <w:t xml:space="preserve"> have been used in this way to understand students</w:t>
      </w:r>
      <w:r w:rsidR="003E1D2B">
        <w:rPr>
          <w:lang w:val="en-GB"/>
        </w:rPr>
        <w:t>’</w:t>
      </w:r>
      <w:r w:rsidRPr="003726FE">
        <w:rPr>
          <w:lang w:val="en-GB"/>
        </w:rPr>
        <w:t xml:space="preserve"> perceptions of their own SRL processes </w:t>
      </w:r>
      <w:r w:rsidR="00474D83" w:rsidRPr="003726FE">
        <w:rPr>
          <w:lang w:val="en-GB"/>
        </w:rPr>
        <w:t xml:space="preserve">by previous researchers </w:t>
      </w:r>
      <w:r w:rsidRPr="003726FE">
        <w:rPr>
          <w:lang w:val="en-GB"/>
        </w:rPr>
        <w:fldChar w:fldCharType="begin"/>
      </w:r>
      <w:r w:rsidR="008B61BE">
        <w:rPr>
          <w:lang w:val="en-GB"/>
        </w:rPr>
        <w:instrText xml:space="preserve"> ADDIN EN.CITE &lt;EndNote&gt;&lt;Cite&gt;&lt;Author&gt;Denford&lt;/Author&gt;&lt;Year&gt;2015&lt;/Year&gt;&lt;RecNum&gt;618&lt;/RecNum&gt;&lt;DisplayText&gt;(Denford et al. 2015; Gagnon et al. 2016)&lt;/DisplayText&gt;&lt;record&gt;&lt;rec-number&gt;618&lt;/rec-number&gt;&lt;foreign-keys&gt;&lt;key app="EN" db-id="xa2r2ewea92trkef5dt5arvbzafvpv2za5ft" timestamp="1496417560"&gt;618&lt;/key&gt;&lt;/foreign-keys&gt;&lt;ref-type name="Journal Article"&gt;17&lt;/ref-type&gt;&lt;contributors&gt;&lt;authors&gt;&lt;author&gt;Denford, Sarah&lt;/author&gt;&lt;author&gt;Abraham, Charles&lt;/author&gt;&lt;author&gt;Smith, Jane&lt;/author&gt;&lt;author&gt;Lloyd, Jenny J&lt;/author&gt;&lt;author&gt;White, Mathew&lt;/author&gt;&lt;author&gt;Tarrant, Mark&lt;/author&gt;&lt;author&gt;Wyatt, Katrina&lt;/author&gt;&lt;author&gt;Greaves, Colin&lt;/author&gt;&lt;author&gt;Dean, Sarah&lt;/author&gt;&lt;author&gt;Reynolds, KJ&lt;/author&gt;&lt;/authors&gt;&lt;/contributors&gt;&lt;titles&gt;&lt;title&gt;Designing and evaluating behavior change interventions to promote health&lt;/title&gt;&lt;secondary-title&gt;The psychology of change: Life contexts, experiences, and identities&lt;/secondary-title&gt;&lt;/titles&gt;&lt;periodical&gt;&lt;full-title&gt;The psychology of change: Life contexts, experiences, and identities&lt;/full-title&gt;&lt;/periodical&gt;&lt;pages&gt;151-169&lt;/pages&gt;&lt;dates&gt;&lt;year&gt;2015&lt;/year&gt;&lt;/dates&gt;&lt;urls&gt;&lt;/urls&gt;&lt;/record&gt;&lt;/Cite&gt;&lt;Cite&gt;&lt;Author&gt;Gagnon&lt;/Author&gt;&lt;Year&gt;2016&lt;/Year&gt;&lt;RecNum&gt;777&lt;/RecNum&gt;&lt;record&gt;&lt;rec-number&gt;777&lt;/rec-number&gt;&lt;foreign-keys&gt;&lt;key app="EN" db-id="xa2r2ewea92trkef5dt5arvbzafvpv2za5ft" timestamp="1496417593"&gt;777&lt;/key&gt;&lt;/foreign-keys&gt;&lt;ref-type name="Journal Article"&gt;17&lt;/ref-type&gt;&lt;contributors&gt;&lt;authors&gt;&lt;author&gt;Gagnon, Marie-Claude J&lt;/author&gt;&lt;author&gt;Durand-Bush, Natalie&lt;/author&gt;&lt;author&gt;Young, Bradley W&lt;/author&gt;&lt;/authors&gt;&lt;/contributors&gt;&lt;titles&gt;&lt;title&gt;Self-regulation capacity is linked to wellbeing and burnout in physicians and medical students: Implications for nurturing self-help skills&lt;/title&gt;&lt;secondary-title&gt;International Journal of Wellbeing&lt;/secondary-title&gt;&lt;/titles&gt;&lt;periodical&gt;&lt;full-title&gt;International Journal of Wellbeing&lt;/full-title&gt;&lt;/periodical&gt;&lt;volume&gt;6&lt;/volume&gt;&lt;number&gt;1&lt;/number&gt;&lt;dates&gt;&lt;year&gt;2016&lt;/year&gt;&lt;/dates&gt;&lt;isbn&gt;1179-8602&lt;/isbn&gt;&lt;urls&gt;&lt;/urls&gt;&lt;/record&gt;&lt;/Cite&gt;&lt;/EndNote&gt;</w:instrText>
      </w:r>
      <w:r w:rsidRPr="003726FE">
        <w:rPr>
          <w:lang w:val="en-GB"/>
        </w:rPr>
        <w:fldChar w:fldCharType="separate"/>
      </w:r>
      <w:r w:rsidR="004E5A78" w:rsidRPr="003726FE">
        <w:rPr>
          <w:noProof/>
          <w:lang w:val="en-GB"/>
        </w:rPr>
        <w:t>(</w:t>
      </w:r>
      <w:hyperlink w:anchor="_ENREF_114" w:tooltip="Denford, 2015 #618" w:history="1">
        <w:r w:rsidR="0094469E" w:rsidRPr="003726FE">
          <w:rPr>
            <w:noProof/>
            <w:lang w:val="en-GB"/>
          </w:rPr>
          <w:t>Denford et al. 2015</w:t>
        </w:r>
      </w:hyperlink>
      <w:r w:rsidR="004E5A78" w:rsidRPr="003726FE">
        <w:rPr>
          <w:noProof/>
          <w:lang w:val="en-GB"/>
        </w:rPr>
        <w:t xml:space="preserve">; </w:t>
      </w:r>
      <w:hyperlink w:anchor="_ENREF_156" w:tooltip="Gagnon, 2016 #777" w:history="1">
        <w:r w:rsidR="0094469E" w:rsidRPr="003726FE">
          <w:rPr>
            <w:noProof/>
            <w:lang w:val="en-GB"/>
          </w:rPr>
          <w:t>Gagnon et al. 2016</w:t>
        </w:r>
      </w:hyperlink>
      <w:r w:rsidR="004E5A78" w:rsidRPr="003726FE">
        <w:rPr>
          <w:noProof/>
          <w:lang w:val="en-GB"/>
        </w:rPr>
        <w:t>)</w:t>
      </w:r>
      <w:r w:rsidRPr="003726FE">
        <w:rPr>
          <w:lang w:val="en-GB"/>
        </w:rPr>
        <w:fldChar w:fldCharType="end"/>
      </w:r>
      <w:r w:rsidR="00474D83" w:rsidRPr="003726FE">
        <w:rPr>
          <w:lang w:val="en-GB"/>
        </w:rPr>
        <w:t xml:space="preserve"> which is one of the primary aims of this study</w:t>
      </w:r>
      <w:r w:rsidRPr="003726FE">
        <w:rPr>
          <w:lang w:val="en-GB"/>
        </w:rPr>
        <w:t xml:space="preserve">. This methodology also fits well with the mixed methodology approach of this study; surveys form the quantitative </w:t>
      </w:r>
      <w:r w:rsidR="003E1D2B">
        <w:rPr>
          <w:lang w:val="en-GB"/>
        </w:rPr>
        <w:t>strand</w:t>
      </w:r>
      <w:r w:rsidRPr="003726FE">
        <w:rPr>
          <w:lang w:val="en-GB"/>
        </w:rPr>
        <w:t xml:space="preserve"> informed the design of the interview and focus group methods. </w:t>
      </w:r>
    </w:p>
    <w:p w14:paraId="5A262E82" w14:textId="77777777" w:rsidR="00A874F2" w:rsidRPr="003726FE" w:rsidRDefault="00A874F2" w:rsidP="00026049">
      <w:pPr>
        <w:pStyle w:val="Normal1"/>
        <w:rPr>
          <w:lang w:val="en-GB"/>
        </w:rPr>
      </w:pPr>
    </w:p>
    <w:p w14:paraId="73185D51" w14:textId="6C3A0E28" w:rsidR="003E1D2B" w:rsidRDefault="00874437" w:rsidP="00026049">
      <w:pPr>
        <w:pStyle w:val="Normal1"/>
        <w:rPr>
          <w:lang w:val="en-GB"/>
        </w:rPr>
      </w:pPr>
      <w:r w:rsidRPr="003726FE">
        <w:rPr>
          <w:lang w:val="en-GB"/>
        </w:rPr>
        <w:t xml:space="preserve">Surveys are a widely used method in medical education research </w:t>
      </w:r>
      <w:r w:rsidR="00EF281A" w:rsidRPr="003726FE">
        <w:rPr>
          <w:lang w:val="en-GB"/>
        </w:rPr>
        <w:fldChar w:fldCharType="begin"/>
      </w:r>
      <w:r w:rsidR="00E80034">
        <w:rPr>
          <w:lang w:val="en-GB"/>
        </w:rPr>
        <w:instrText xml:space="preserve"> ADDIN EN.CITE &lt;EndNote&gt;&lt;Cite&gt;&lt;Author&gt;Artino Jr&lt;/Author&gt;&lt;Year&gt;2014&lt;/Year&gt;&lt;RecNum&gt;2&lt;/RecNum&gt;&lt;DisplayText&gt;(Artino Jr et al. 2014b)&lt;/DisplayText&gt;&lt;record&gt;&lt;rec-number&gt;2&lt;/rec-number&gt;&lt;foreign-keys&gt;&lt;key app="EN" db-id="xa2r2ewea92trkef5dt5arvbzafvpv2za5ft" timestamp="1442161763"&gt;2&lt;/key&gt;&lt;/foreign-keys&gt;&lt;ref-type name="Journal Article"&gt;17&lt;/ref-type&gt;&lt;contributors&gt;&lt;authors&gt;&lt;author&gt;Artino Jr, Anthony R.&lt;/author&gt;&lt;author&gt;La Rochelle, Jeffrey S.&lt;/author&gt;&lt;author&gt;Dezee, Kent J.&lt;/author&gt;&lt;author&gt;Gehlbach, Hunter&lt;/author&gt;&lt;/authors&gt;&lt;/contributors&gt;&lt;titles&gt;&lt;title&gt;Developing questionnaires for educational research: AMEE Guide No. 87&lt;/title&gt;&lt;secondary-title&gt;Medical teacher&lt;/secondary-title&gt;&lt;/titles&gt;&lt;periodical&gt;&lt;full-title&gt;Medical teacher&lt;/full-title&gt;&lt;/periodical&gt;&lt;pages&gt;463-474&lt;/pages&gt;&lt;volume&gt;36&lt;/volume&gt;&lt;number&gt;6&lt;/number&gt;&lt;dates&gt;&lt;year&gt;2014&lt;/year&gt;&lt;/dates&gt;&lt;publisher&gt;Taylor &amp;amp; Francis&lt;/publisher&gt;&lt;urls&gt;&lt;/urls&gt;&lt;/record&gt;&lt;/Cite&gt;&lt;/EndNote&gt;</w:instrText>
      </w:r>
      <w:r w:rsidR="00EF281A" w:rsidRPr="003726FE">
        <w:rPr>
          <w:lang w:val="en-GB"/>
        </w:rPr>
        <w:fldChar w:fldCharType="separate"/>
      </w:r>
      <w:r w:rsidR="00E80034">
        <w:rPr>
          <w:noProof/>
          <w:lang w:val="en-GB"/>
        </w:rPr>
        <w:t>(</w:t>
      </w:r>
      <w:hyperlink w:anchor="_ENREF_9" w:tooltip="Artino Jr, 2014 #2" w:history="1">
        <w:r w:rsidR="0094469E">
          <w:rPr>
            <w:noProof/>
            <w:lang w:val="en-GB"/>
          </w:rPr>
          <w:t>Artino Jr et al. 2014b</w:t>
        </w:r>
      </w:hyperlink>
      <w:r w:rsidR="00E80034">
        <w:rPr>
          <w:noProof/>
          <w:lang w:val="en-GB"/>
        </w:rPr>
        <w:t>)</w:t>
      </w:r>
      <w:r w:rsidR="00EF281A" w:rsidRPr="003726FE">
        <w:rPr>
          <w:lang w:val="en-GB"/>
        </w:rPr>
        <w:fldChar w:fldCharType="end"/>
      </w:r>
      <w:r w:rsidRPr="003726FE">
        <w:rPr>
          <w:lang w:val="en-GB"/>
        </w:rPr>
        <w:t xml:space="preserve"> and have been used in the majority of SRL studies </w:t>
      </w:r>
      <w:r w:rsidR="00EF281A" w:rsidRPr="003726FE">
        <w:rPr>
          <w:lang w:val="en-GB"/>
        </w:rPr>
        <w:fldChar w:fldCharType="begin"/>
      </w:r>
      <w:r w:rsidR="008B61BE">
        <w:rPr>
          <w:lang w:val="en-GB"/>
        </w:rPr>
        <w:instrText xml:space="preserve"> ADDIN EN.CITE &lt;EndNote&gt;&lt;Cite&gt;&lt;Author&gt;Artino Jr&lt;/Author&gt;&lt;Year&gt;2015&lt;/Year&gt;&lt;RecNum&gt;778&lt;/RecNum&gt;&lt;DisplayText&gt;(Artino Jr et al. 2015)&lt;/DisplayText&gt;&lt;record&gt;&lt;rec-number&gt;778&lt;/rec-number&gt;&lt;foreign-keys&gt;&lt;key app="EN" db-id="xa2r2ewea92trkef5dt5arvbzafvpv2za5ft" timestamp="1496417593"&gt;778&lt;/key&gt;&lt;/foreign-keys&gt;&lt;ref-type name="Dictionary"&gt;52&lt;/ref-type&gt;&lt;contributors&gt;&lt;authors&gt;&lt;author&gt;Artino Jr, Anthony R&lt;/author&gt;&lt;author&gt;Brydges, Ryan&lt;/author&gt;&lt;author&gt;Gruppen, Larry D&lt;/author&gt;&lt;/authors&gt;&lt;/contributors&gt;&lt;titles&gt;&lt;title&gt;Self</w:instrText>
      </w:r>
      <w:r w:rsidR="008B61BE">
        <w:rPr>
          <w:rFonts w:ascii="Cambria Math" w:hAnsi="Cambria Math" w:cs="Cambria Math"/>
          <w:lang w:val="en-GB"/>
        </w:rPr>
        <w:instrText>‐</w:instrText>
      </w:r>
      <w:r w:rsidR="008B61BE">
        <w:rPr>
          <w:lang w:val="en-GB"/>
        </w:rPr>
        <w:instrText>regulated learning in healthcare profession education: theoretical perspectives and research methods&lt;/title&gt;&lt;secondary-title&gt;Researching Medical Education&lt;/secondary-title&gt;&lt;/titles&gt;&lt;periodical&gt;&lt;full-title&gt;Researching Medical Education&lt;/full-title&gt;&lt;/periodical&gt;&lt;pages&gt;155-166&lt;/pages&gt;&lt;dates&gt;&lt;year&gt;2015&lt;/year&gt;&lt;/dates&gt;&lt;isbn&gt;111883898X&lt;/isbn&gt;&lt;urls&gt;&lt;/urls&gt;&lt;/record&gt;&lt;/Cite&gt;&lt;/EndNote&gt;</w:instrText>
      </w:r>
      <w:r w:rsidR="00EF281A" w:rsidRPr="003726FE">
        <w:rPr>
          <w:lang w:val="en-GB"/>
        </w:rPr>
        <w:fldChar w:fldCharType="separate"/>
      </w:r>
      <w:r w:rsidR="004E5A78" w:rsidRPr="003726FE">
        <w:rPr>
          <w:noProof/>
          <w:lang w:val="en-GB"/>
        </w:rPr>
        <w:t>(</w:t>
      </w:r>
      <w:hyperlink w:anchor="_ENREF_7" w:tooltip="Artino Jr, 2015 #778" w:history="1">
        <w:r w:rsidR="0094469E" w:rsidRPr="003726FE">
          <w:rPr>
            <w:noProof/>
            <w:lang w:val="en-GB"/>
          </w:rPr>
          <w:t>Artino Jr et al. 2015</w:t>
        </w:r>
      </w:hyperlink>
      <w:r w:rsidR="004E5A78" w:rsidRPr="003726FE">
        <w:rPr>
          <w:noProof/>
          <w:lang w:val="en-GB"/>
        </w:rPr>
        <w:t>)</w:t>
      </w:r>
      <w:r w:rsidR="00EF281A" w:rsidRPr="003726FE">
        <w:rPr>
          <w:lang w:val="en-GB"/>
        </w:rPr>
        <w:fldChar w:fldCharType="end"/>
      </w:r>
      <w:r w:rsidRPr="003726FE">
        <w:rPr>
          <w:lang w:val="en-GB"/>
        </w:rPr>
        <w:t xml:space="preserve">. These methods tend to be in the form of pre-validated questionnaires designed to measure </w:t>
      </w:r>
      <w:r w:rsidR="00474D83" w:rsidRPr="003726FE">
        <w:rPr>
          <w:lang w:val="en-GB"/>
        </w:rPr>
        <w:t>the</w:t>
      </w:r>
      <w:r w:rsidRPr="003726FE">
        <w:rPr>
          <w:lang w:val="en-GB"/>
        </w:rPr>
        <w:t xml:space="preserve"> particular construct under study </w:t>
      </w:r>
      <w:r w:rsidR="001F7BA1">
        <w:rPr>
          <w:lang w:val="en-GB"/>
        </w:rPr>
        <w:t xml:space="preserve">and thus </w:t>
      </w:r>
      <w:r w:rsidRPr="003726FE">
        <w:rPr>
          <w:lang w:val="en-GB"/>
        </w:rPr>
        <w:t xml:space="preserve">to make generalisations about the population. Survey methods are equally as popular in educational literature and </w:t>
      </w:r>
      <w:r w:rsidR="00474D83" w:rsidRPr="003726FE">
        <w:rPr>
          <w:lang w:val="en-GB"/>
        </w:rPr>
        <w:t>many tools have been created to measure diverse educational concepts</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&lt;EndNote&gt;&lt;Cite&gt;&lt;Author&gt;Cohen&lt;/Author&gt;&lt;Year&gt;2000&lt;/Year&gt;&lt;RecNum&gt;49&lt;/RecNum&gt;&lt;DisplayText&gt;(Cohen et al. 2000)&lt;/DisplayText&gt;&lt;record&gt;&lt;rec-number&gt;49&lt;/rec-number&gt;&lt;foreign-keys&gt;&lt;key app="EN" db-id="xa2r2ewea92trkef5dt5arvbzafvpv2za5ft" timestamp="1442161763"&gt;49&lt;/key&gt;&lt;/foreign-keys&gt;&lt;ref-type name="Book"&gt;6&lt;/ref-type&gt;&lt;contributors&gt;&lt;authors&gt;&lt;author&gt;Cohen, Louis&lt;/author&gt;&lt;author&gt;Manion, Lawrence&lt;/author&gt;&lt;author&gt;Morrison, Keith&lt;/author&gt;&lt;/authors&gt;&lt;/contributors&gt;&lt;titles&gt;&lt;title&gt;Research Methods in Education&lt;/title&gt;&lt;/titles&gt;&lt;volume&gt;41&lt;/volume&gt;&lt;number&gt;Book, Whole&lt;/number&gt;&lt;dates&gt;&lt;year&gt;2000&lt;/year&gt;&lt;/dates&gt;&lt;pub-location&gt;London&lt;/pub-location&gt;&lt;publisher&gt;Routledge Falmer&lt;/publisher&gt;&lt;urls&gt;&lt;/urls&gt;&lt;/record&gt;&lt;/Cite&gt;&lt;/EndNote&gt;</w:instrText>
      </w:r>
      <w:r w:rsidR="00EF281A" w:rsidRPr="003726FE">
        <w:rPr>
          <w:lang w:val="en-GB"/>
        </w:rPr>
        <w:fldChar w:fldCharType="separate"/>
      </w:r>
      <w:r w:rsidR="004E5A78" w:rsidRPr="003726FE">
        <w:rPr>
          <w:noProof/>
          <w:lang w:val="en-GB"/>
        </w:rPr>
        <w:t>(</w:t>
      </w:r>
      <w:hyperlink w:anchor="_ENREF_95" w:tooltip="Cohen, 2000 #49" w:history="1">
        <w:r w:rsidR="0094469E" w:rsidRPr="003726FE">
          <w:rPr>
            <w:noProof/>
            <w:lang w:val="en-GB"/>
          </w:rPr>
          <w:t>Cohen et al. 2000</w:t>
        </w:r>
      </w:hyperlink>
      <w:r w:rsidR="004E5A78" w:rsidRPr="003726FE">
        <w:rPr>
          <w:noProof/>
          <w:lang w:val="en-GB"/>
        </w:rPr>
        <w:t>)</w:t>
      </w:r>
      <w:r w:rsidR="00EF281A" w:rsidRPr="003726FE">
        <w:rPr>
          <w:lang w:val="en-GB"/>
        </w:rPr>
        <w:fldChar w:fldCharType="end"/>
      </w:r>
      <w:r w:rsidRPr="003726FE">
        <w:rPr>
          <w:lang w:val="en-GB"/>
        </w:rPr>
        <w:t xml:space="preserve">. There are clear advantages </w:t>
      </w:r>
      <w:r w:rsidR="00474D83" w:rsidRPr="003726FE">
        <w:rPr>
          <w:lang w:val="en-GB"/>
        </w:rPr>
        <w:t>to</w:t>
      </w:r>
      <w:r w:rsidRPr="003726FE">
        <w:rPr>
          <w:lang w:val="en-GB"/>
        </w:rPr>
        <w:t xml:space="preserve"> using survey methods in all areas of educational research</w:t>
      </w:r>
      <w:r w:rsidR="00474D83" w:rsidRPr="003726FE">
        <w:rPr>
          <w:lang w:val="en-GB"/>
        </w:rPr>
        <w:t>:</w:t>
      </w:r>
      <w:r w:rsidRPr="003726FE">
        <w:rPr>
          <w:lang w:val="en-GB"/>
        </w:rPr>
        <w:t xml:space="preserve"> they are economical for large data collections with diverse populations</w:t>
      </w:r>
      <w:r w:rsidR="00474D83" w:rsidRPr="003726FE">
        <w:rPr>
          <w:lang w:val="en-GB"/>
        </w:rPr>
        <w:t>,</w:t>
      </w:r>
      <w:r w:rsidRPr="003726FE">
        <w:rPr>
          <w:lang w:val="en-GB"/>
        </w:rPr>
        <w:t xml:space="preserve"> and can simply confirm or refute basic hypotheses </w:t>
      </w:r>
      <w:r w:rsidR="00EF281A" w:rsidRPr="003726FE">
        <w:rPr>
          <w:lang w:val="en-GB"/>
        </w:rPr>
        <w:fldChar w:fldCharType="begin"/>
      </w:r>
      <w:r w:rsidR="008B61BE">
        <w:rPr>
          <w:lang w:val="en-GB"/>
        </w:rPr>
        <w:instrText xml:space="preserve"> ADDIN EN.CITE &lt;EndNote&gt;&lt;Cite&gt;&lt;Author&gt;Telio&lt;/Author&gt;&lt;Year&gt;2016&lt;/Year&gt;&lt;RecNum&gt;616&lt;/RecNum&gt;&lt;DisplayText&gt;(Telio et al. 2016)&lt;/DisplayText&gt;&lt;record&gt;&lt;rec-number&gt;616&lt;/rec-number&gt;&lt;foreign-keys&gt;&lt;key app="EN" db-id="xa2r2ewea92trkef5dt5arvbzafvpv2za5ft" timestamp="1496417560"&gt;616&lt;/key&gt;&lt;/foreign-keys&gt;&lt;ref-type name="Journal Article"&gt;17&lt;/ref-type&gt;&lt;contributors&gt;&lt;authors&gt;&lt;author&gt;Telio, Summer&lt;/author&gt;&lt;author&gt;Regehr, Glenn&lt;/author&gt;&lt;author&gt;Ajjawi, Rola&lt;/author&gt;&lt;/authors&gt;&lt;/contributors&gt;&lt;titles&gt;&lt;title&gt;Feedback and the educational alliance: examining credibility judgements and their consequences&lt;/title&gt;&lt;secondary-title&gt;Medical Education&lt;/secondary-title&gt;&lt;/titles&gt;&lt;periodical&gt;&lt;full-title&gt;Medical education&lt;/full-title&gt;&lt;/periodical&gt;&lt;pages&gt;933-942&lt;/pages&gt;&lt;volume&gt;50&lt;/volume&gt;&lt;number&gt;9&lt;/number&gt;&lt;dates&gt;&lt;year&gt;2016&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402" w:tooltip="Telio, 2016 #616" w:history="1">
        <w:r w:rsidR="0094469E" w:rsidRPr="003726FE">
          <w:rPr>
            <w:noProof/>
            <w:lang w:val="en-GB"/>
          </w:rPr>
          <w:t>Telio et al. 2016</w:t>
        </w:r>
      </w:hyperlink>
      <w:r w:rsidR="004E5A78" w:rsidRPr="003726FE">
        <w:rPr>
          <w:noProof/>
          <w:lang w:val="en-GB"/>
        </w:rPr>
        <w:t>)</w:t>
      </w:r>
      <w:r w:rsidR="00EF281A" w:rsidRPr="003726FE">
        <w:rPr>
          <w:lang w:val="en-GB"/>
        </w:rPr>
        <w:fldChar w:fldCharType="end"/>
      </w:r>
      <w:r w:rsidRPr="003726FE">
        <w:rPr>
          <w:lang w:val="en-GB"/>
        </w:rPr>
        <w:t xml:space="preserve">. </w:t>
      </w:r>
      <w:hyperlink w:anchor="_ENREF_172" w:tooltip="Gruppen, 2000 #776" w:history="1">
        <w:r w:rsidR="0094469E" w:rsidRPr="003726FE">
          <w:rPr>
            <w:lang w:val="en-GB"/>
          </w:rPr>
          <w:fldChar w:fldCharType="begin"/>
        </w:r>
        <w:r w:rsidR="0094469E">
          <w:rPr>
            <w:lang w:val="en-GB"/>
          </w:rPr>
          <w:instrText xml:space="preserve"> ADDIN EN.CITE &lt;EndNote&gt;&lt;Cite AuthorYear="1"&gt;&lt;Author&gt;Gruppen&lt;/Author&gt;&lt;Year&gt;2000&lt;/Year&gt;&lt;RecNum&gt;776&lt;/RecNum&gt;&lt;DisplayText&gt;Gruppen et al. (2000)&lt;/DisplayText&gt;&lt;record&gt;&lt;rec-number&gt;776&lt;/rec-number&gt;&lt;foreign-keys&gt;&lt;key app="EN" db-id="xa2r2ewea92trkef5dt5arvbzafvpv2za5ft" timestamp="1496417593"&gt;776&lt;/key&gt;&lt;/foreign-keys&gt;&lt;ref-type name="Journal Article"&gt;17&lt;/ref-type&gt;&lt;contributors&gt;&lt;authors&gt;&lt;author&gt;Gruppen, Larry D&lt;/author&gt;&lt;author&gt;White, Casey&lt;/author&gt;&lt;author&gt;Fitzgerald, J Thomas&lt;/author&gt;&lt;author&gt;Grum, Cyril M&lt;/author&gt;&lt;author&gt;Woolliscroft, James O&lt;/author&gt;&lt;/authors&gt;&lt;/contributors&gt;&lt;titles&gt;&lt;title&gt;Medical Students&amp;apos; Self</w:instrText>
        </w:r>
        <w:r w:rsidR="0094469E">
          <w:rPr>
            <w:rFonts w:ascii="Cambria Math" w:hAnsi="Cambria Math" w:cs="Cambria Math"/>
            <w:lang w:val="en-GB"/>
          </w:rPr>
          <w:instrText>‐</w:instrText>
        </w:r>
        <w:r w:rsidR="0094469E">
          <w:rPr>
            <w:lang w:val="en-GB"/>
          </w:rPr>
          <w:instrText>assessments and Their Allocations of Learning Time&lt;/title&gt;&lt;secondary-title&gt;Academic Medicine&lt;/secondary-title&gt;&lt;/titles&gt;&lt;periodical&gt;&lt;full-title&gt;Academic Medicine&lt;/full-title&gt;&lt;/periodical&gt;&lt;pages&gt;374-379&lt;/pages&gt;&lt;volume&gt;75&lt;/volume&gt;&lt;number&gt;4&lt;/number&gt;&lt;dates&gt;&lt;year&gt;2000&lt;/year&gt;&lt;/dates&gt;&lt;isbn&gt;1040-2446&lt;/isbn&gt;&lt;urls&gt;&lt;/urls&gt;&lt;/record&gt;&lt;/Cite&gt;&lt;/EndNote&gt;</w:instrText>
        </w:r>
        <w:r w:rsidR="0094469E" w:rsidRPr="003726FE">
          <w:rPr>
            <w:lang w:val="en-GB"/>
          </w:rPr>
          <w:fldChar w:fldCharType="separate"/>
        </w:r>
        <w:r w:rsidR="0094469E" w:rsidRPr="003726FE">
          <w:rPr>
            <w:noProof/>
            <w:lang w:val="en-GB"/>
          </w:rPr>
          <w:t>Gruppen et al. (2000)</w:t>
        </w:r>
        <w:r w:rsidR="0094469E" w:rsidRPr="003726FE">
          <w:rPr>
            <w:lang w:val="en-GB"/>
          </w:rPr>
          <w:fldChar w:fldCharType="end"/>
        </w:r>
      </w:hyperlink>
      <w:r w:rsidRPr="003726FE">
        <w:rPr>
          <w:lang w:val="en-GB"/>
        </w:rPr>
        <w:t xml:space="preserve"> us</w:t>
      </w:r>
      <w:r w:rsidR="00474D83" w:rsidRPr="003726FE">
        <w:rPr>
          <w:lang w:val="en-GB"/>
        </w:rPr>
        <w:t>ed a similar methodology to the present study -</w:t>
      </w:r>
      <w:r w:rsidRPr="003726FE">
        <w:rPr>
          <w:lang w:val="en-GB"/>
        </w:rPr>
        <w:t xml:space="preserve"> two se</w:t>
      </w:r>
      <w:r w:rsidR="00DD40A6" w:rsidRPr="003726FE">
        <w:rPr>
          <w:lang w:val="en-GB"/>
        </w:rPr>
        <w:t>lf-report questionnaires -</w:t>
      </w:r>
      <w:r w:rsidRPr="003726FE">
        <w:rPr>
          <w:lang w:val="en-GB"/>
        </w:rPr>
        <w:t xml:space="preserve"> to explore the relationship between allocated study time and self-assessed diagnostic ability over mu</w:t>
      </w:r>
      <w:r w:rsidR="00DD40A6" w:rsidRPr="003726FE">
        <w:rPr>
          <w:lang w:val="en-GB"/>
        </w:rPr>
        <w:t>ltiple time-points. Their goal</w:t>
      </w:r>
      <w:r w:rsidRPr="003726FE">
        <w:rPr>
          <w:lang w:val="en-GB"/>
        </w:rPr>
        <w:t xml:space="preserve"> was to measure SRL processes related to several past events of the same type as opposed to a single discrete performance on a spe</w:t>
      </w:r>
      <w:r w:rsidR="003E1D2B">
        <w:rPr>
          <w:lang w:val="en-GB"/>
        </w:rPr>
        <w:t xml:space="preserve">cific task. </w:t>
      </w:r>
      <w:r w:rsidRPr="003726FE">
        <w:rPr>
          <w:lang w:val="en-GB"/>
        </w:rPr>
        <w:t xml:space="preserve">A key limitation to the </w:t>
      </w:r>
      <w:hyperlink w:anchor="_ENREF_172" w:tooltip="Gruppen, 2000 #776" w:history="1">
        <w:r w:rsidR="0094469E">
          <w:rPr>
            <w:lang w:val="en-GB"/>
          </w:rPr>
          <w:fldChar w:fldCharType="begin"/>
        </w:r>
        <w:r w:rsidR="0094469E">
          <w:rPr>
            <w:lang w:val="en-GB"/>
          </w:rPr>
          <w:instrText xml:space="preserve"> ADDIN EN.CITE &lt;EndNote&gt;&lt;Cite AuthorYear="1"&gt;&lt;Author&gt;Gruppen&lt;/Author&gt;&lt;Year&gt;2000&lt;/Year&gt;&lt;RecNum&gt;776&lt;/RecNum&gt;&lt;DisplayText&gt;Gruppen et al. (2000)&lt;/DisplayText&gt;&lt;record&gt;&lt;rec-number&gt;776&lt;/rec-number&gt;&lt;foreign-keys&gt;&lt;key app="EN" db-id="xa2r2ewea92trkef5dt5arvbzafvpv2za5ft" timestamp="1496417593"&gt;776&lt;/key&gt;&lt;/foreign-keys&gt;&lt;ref-type name="Journal Article"&gt;17&lt;/ref-type&gt;&lt;contributors&gt;&lt;authors&gt;&lt;author&gt;Gruppen, Larry D&lt;/author&gt;&lt;author&gt;White, Casey&lt;/author&gt;&lt;author&gt;Fitzgerald, J Thomas&lt;/author&gt;&lt;author&gt;Grum, Cyril M&lt;/author&gt;&lt;author&gt;Woolliscroft, James O&lt;/author&gt;&lt;/authors&gt;&lt;/contributors&gt;&lt;titles&gt;&lt;title&gt;Medical Students&amp;apos; Self</w:instrText>
        </w:r>
        <w:r w:rsidR="0094469E">
          <w:rPr>
            <w:rFonts w:ascii="Cambria Math" w:hAnsi="Cambria Math" w:cs="Cambria Math"/>
            <w:lang w:val="en-GB"/>
          </w:rPr>
          <w:instrText>‐</w:instrText>
        </w:r>
        <w:r w:rsidR="0094469E">
          <w:rPr>
            <w:lang w:val="en-GB"/>
          </w:rPr>
          <w:instrText>assessments and Their Allocations of Learning Time&lt;/title&gt;&lt;secondary-title&gt;Academic Medicine&lt;/secondary-title&gt;&lt;/titles&gt;&lt;periodical&gt;&lt;full-title&gt;Academic Medicine&lt;/full-title&gt;&lt;/periodical&gt;&lt;pages&gt;374-379&lt;/pages&gt;&lt;volume&gt;75&lt;/volume&gt;&lt;number&gt;4&lt;/number&gt;&lt;dates&gt;&lt;year&gt;2000&lt;/year&gt;&lt;/dates&gt;&lt;isbn&gt;1040-2446&lt;/isbn&gt;&lt;urls&gt;&lt;/urls&gt;&lt;/record&gt;&lt;/Cite&gt;&lt;/EndNote&gt;</w:instrText>
        </w:r>
        <w:r w:rsidR="0094469E">
          <w:rPr>
            <w:lang w:val="en-GB"/>
          </w:rPr>
          <w:fldChar w:fldCharType="separate"/>
        </w:r>
        <w:r w:rsidR="0094469E">
          <w:rPr>
            <w:noProof/>
            <w:lang w:val="en-GB"/>
          </w:rPr>
          <w:t>Gruppen et al. (2000)</w:t>
        </w:r>
        <w:r w:rsidR="0094469E">
          <w:rPr>
            <w:lang w:val="en-GB"/>
          </w:rPr>
          <w:fldChar w:fldCharType="end"/>
        </w:r>
      </w:hyperlink>
      <w:r w:rsidR="003E1D2B">
        <w:rPr>
          <w:lang w:val="en-GB"/>
        </w:rPr>
        <w:t xml:space="preserve"> </w:t>
      </w:r>
      <w:r w:rsidRPr="003726FE">
        <w:rPr>
          <w:lang w:val="en-GB"/>
        </w:rPr>
        <w:t>study</w:t>
      </w:r>
      <w:r w:rsidR="00DD40A6" w:rsidRPr="003726FE">
        <w:rPr>
          <w:lang w:val="en-GB"/>
        </w:rPr>
        <w:t>,</w:t>
      </w:r>
      <w:r w:rsidRPr="003726FE">
        <w:rPr>
          <w:lang w:val="en-GB"/>
        </w:rPr>
        <w:t xml:space="preserve"> </w:t>
      </w:r>
      <w:r w:rsidR="001F7BA1">
        <w:rPr>
          <w:lang w:val="en-GB"/>
        </w:rPr>
        <w:t>was</w:t>
      </w:r>
      <w:r w:rsidRPr="003726FE">
        <w:rPr>
          <w:lang w:val="en-GB"/>
        </w:rPr>
        <w:t xml:space="preserve"> that there </w:t>
      </w:r>
      <w:r w:rsidR="003E1D2B">
        <w:rPr>
          <w:lang w:val="en-GB"/>
        </w:rPr>
        <w:t>were</w:t>
      </w:r>
      <w:r w:rsidRPr="003726FE">
        <w:rPr>
          <w:lang w:val="en-GB"/>
        </w:rPr>
        <w:t xml:space="preserve"> no independent observations o</w:t>
      </w:r>
      <w:r w:rsidR="003E1D2B">
        <w:rPr>
          <w:lang w:val="en-GB"/>
        </w:rPr>
        <w:t>f</w:t>
      </w:r>
      <w:r w:rsidRPr="003726FE">
        <w:rPr>
          <w:lang w:val="en-GB"/>
        </w:rPr>
        <w:t xml:space="preserve"> the students’ actual </w:t>
      </w:r>
      <w:r w:rsidR="00DD40A6" w:rsidRPr="003726FE">
        <w:rPr>
          <w:lang w:val="en-GB"/>
        </w:rPr>
        <w:t xml:space="preserve">clinical learning behaviours, </w:t>
      </w:r>
      <w:r w:rsidR="001F7BA1">
        <w:rPr>
          <w:lang w:val="en-GB"/>
        </w:rPr>
        <w:t>al</w:t>
      </w:r>
      <w:r w:rsidRPr="003726FE">
        <w:rPr>
          <w:lang w:val="en-GB"/>
        </w:rPr>
        <w:t xml:space="preserve">though this is mitigated to some extent with the use of focus groups and interviews. </w:t>
      </w:r>
    </w:p>
    <w:p w14:paraId="06348E05" w14:textId="77777777" w:rsidR="003E1D2B" w:rsidRDefault="003E1D2B" w:rsidP="00026049">
      <w:pPr>
        <w:pStyle w:val="Normal1"/>
        <w:rPr>
          <w:lang w:val="en-GB"/>
        </w:rPr>
      </w:pPr>
    </w:p>
    <w:p w14:paraId="38F12673" w14:textId="2675A003" w:rsidR="00874437" w:rsidRPr="003726FE" w:rsidRDefault="00874437" w:rsidP="00026049">
      <w:pPr>
        <w:pStyle w:val="Normal1"/>
        <w:rPr>
          <w:lang w:val="en-GB"/>
        </w:rPr>
      </w:pPr>
      <w:r w:rsidRPr="003726FE">
        <w:rPr>
          <w:lang w:val="en-GB"/>
        </w:rPr>
        <w:t xml:space="preserve">More generally, there is a clear lack of reproducible and rigorous survey methodologies in medical education research </w:t>
      </w:r>
      <w:r w:rsidR="00EF281A" w:rsidRPr="003726FE">
        <w:rPr>
          <w:lang w:val="en-GB"/>
        </w:rPr>
        <w:fldChar w:fldCharType="begin"/>
      </w:r>
      <w:r w:rsidR="00E80034">
        <w:rPr>
          <w:lang w:val="en-GB"/>
        </w:rPr>
        <w:instrText xml:space="preserve"> ADDIN EN.CITE &lt;EndNote&gt;&lt;Cite&gt;&lt;Author&gt;Artino Jr&lt;/Author&gt;&lt;Year&gt;2014&lt;/Year&gt;&lt;RecNum&gt;2&lt;/RecNum&gt;&lt;DisplayText&gt;(Artino Jr et al. 2014b)&lt;/DisplayText&gt;&lt;record&gt;&lt;rec-number&gt;2&lt;/rec-number&gt;&lt;foreign-keys&gt;&lt;key app="EN" db-id="xa2r2ewea92trkef5dt5arvbzafvpv2za5ft" timestamp="1442161763"&gt;2&lt;/key&gt;&lt;/foreign-keys&gt;&lt;ref-type name="Journal Article"&gt;17&lt;/ref-type&gt;&lt;contributors&gt;&lt;authors&gt;&lt;author&gt;Artino Jr, Anthony R.&lt;/author&gt;&lt;author&gt;La Rochelle, Jeffrey S.&lt;/author&gt;&lt;author&gt;Dezee, Kent J.&lt;/author&gt;&lt;author&gt;Gehlbach, Hunter&lt;/author&gt;&lt;/authors&gt;&lt;/contributors&gt;&lt;titles&gt;&lt;title&gt;Developing questionnaires for educational research: AMEE Guide No. 87&lt;/title&gt;&lt;secondary-title&gt;Medical teacher&lt;/secondary-title&gt;&lt;/titles&gt;&lt;periodical&gt;&lt;full-title&gt;Medical teacher&lt;/full-title&gt;&lt;/periodical&gt;&lt;pages&gt;463-474&lt;/pages&gt;&lt;volume&gt;36&lt;/volume&gt;&lt;number&gt;6&lt;/number&gt;&lt;dates&gt;&lt;year&gt;2014&lt;/year&gt;&lt;/dates&gt;&lt;publisher&gt;Taylor &amp;amp; Francis&lt;/publisher&gt;&lt;urls&gt;&lt;/urls&gt;&lt;/record&gt;&lt;/Cite&gt;&lt;/EndNote&gt;</w:instrText>
      </w:r>
      <w:r w:rsidR="00EF281A" w:rsidRPr="003726FE">
        <w:rPr>
          <w:lang w:val="en-GB"/>
        </w:rPr>
        <w:fldChar w:fldCharType="separate"/>
      </w:r>
      <w:r w:rsidR="00E80034">
        <w:rPr>
          <w:noProof/>
          <w:lang w:val="en-GB"/>
        </w:rPr>
        <w:t>(</w:t>
      </w:r>
      <w:hyperlink w:anchor="_ENREF_9" w:tooltip="Artino Jr, 2014 #2" w:history="1">
        <w:r w:rsidR="0094469E">
          <w:rPr>
            <w:noProof/>
            <w:lang w:val="en-GB"/>
          </w:rPr>
          <w:t>Artino Jr et al. 2014b</w:t>
        </w:r>
      </w:hyperlink>
      <w:r w:rsidR="00E80034">
        <w:rPr>
          <w:noProof/>
          <w:lang w:val="en-GB"/>
        </w:rPr>
        <w:t>)</w:t>
      </w:r>
      <w:r w:rsidR="00EF281A" w:rsidRPr="003726FE">
        <w:rPr>
          <w:lang w:val="en-GB"/>
        </w:rPr>
        <w:fldChar w:fldCharType="end"/>
      </w:r>
      <w:r w:rsidRPr="003726FE">
        <w:rPr>
          <w:lang w:val="en-GB"/>
        </w:rPr>
        <w:t xml:space="preserve">, due to </w:t>
      </w:r>
      <w:r w:rsidR="00DD40A6" w:rsidRPr="003726FE">
        <w:rPr>
          <w:lang w:val="en-GB"/>
        </w:rPr>
        <w:t>there</w:t>
      </w:r>
      <w:r w:rsidRPr="003726FE">
        <w:rPr>
          <w:lang w:val="en-GB"/>
        </w:rPr>
        <w:t xml:space="preserve"> being very little guidance in the literature on how to design and conduct research</w:t>
      </w:r>
      <w:r w:rsidR="003E1D2B">
        <w:rPr>
          <w:lang w:val="en-GB"/>
        </w:rPr>
        <w:t xml:space="preserve"> using surveys</w:t>
      </w:r>
      <w:r w:rsidRPr="003726FE">
        <w:rPr>
          <w:lang w:val="en-GB"/>
        </w:rPr>
        <w:t xml:space="preserve">. There are also inherent issues with self-report measures concerning accurate self-judgement in professions education </w:t>
      </w:r>
      <w:r w:rsidRPr="003726FE">
        <w:rPr>
          <w:lang w:val="en-GB"/>
        </w:rPr>
        <w:fldChar w:fldCharType="begin"/>
      </w:r>
      <w:r w:rsidR="008B61BE">
        <w:rPr>
          <w:lang w:val="en-GB"/>
        </w:rPr>
        <w:instrText xml:space="preserve"> ADDIN EN.CITE &lt;EndNote&gt;&lt;Cite&gt;&lt;Author&gt;Ward&lt;/Author&gt;&lt;Year&gt;2002&lt;/Year&gt;&lt;RecNum&gt;666&lt;/RecNum&gt;&lt;DisplayText&gt;(Norman et al. 2002; Ward et al. 2002)&lt;/DisplayText&gt;&lt;record&gt;&lt;rec-number&gt;666&lt;/rec-number&gt;&lt;foreign-keys&gt;&lt;key app="EN" db-id="xa2r2ewea92trkef5dt5arvbzafvpv2za5ft" timestamp="1496417565"&gt;666&lt;/key&gt;&lt;/foreign-keys&gt;&lt;ref-type name="Journal Article"&gt;17&lt;/ref-type&gt;&lt;contributors&gt;&lt;authors&gt;&lt;author&gt;Ward, Mylène&lt;/author&gt;&lt;author&gt;Gruppen, Larry&lt;/author&gt;&lt;author&gt;Regehr, Glenn&lt;/author&gt;&lt;/authors&gt;&lt;/contributors&gt;&lt;titles&gt;&lt;title&gt;Measuring self-assessment: current state of the art&lt;/title&gt;&lt;secondary-title&gt;Advances in Health Sciences Education&lt;/secondary-title&gt;&lt;/titles&gt;&lt;periodical&gt;&lt;full-title&gt;Advances in Health Sciences Education&lt;/full-title&gt;&lt;/periodical&gt;&lt;pages&gt;63-80&lt;/pages&gt;&lt;volume&gt;7&lt;/volume&gt;&lt;number&gt;1&lt;/number&gt;&lt;dates&gt;&lt;year&gt;2002&lt;/year&gt;&lt;/dates&gt;&lt;isbn&gt;1382-4996&lt;/isbn&gt;&lt;urls&gt;&lt;/urls&gt;&lt;/record&gt;&lt;/Cite&gt;&lt;Cite&gt;&lt;Author&gt;Norman&lt;/Author&gt;&lt;Year&gt;2002&lt;/Year&gt;&lt;RecNum&gt;185&lt;/RecNum&gt;&lt;record&gt;&lt;rec-number&gt;185&lt;/rec-number&gt;&lt;foreign-keys&gt;&lt;key app="EN" db-id="xa2r2ewea92trkef5dt5arvbzafvpv2za5ft" timestamp="1442161765"&gt;185&lt;/key&gt;&lt;/foreign-keys&gt;&lt;ref-type name="Book"&gt;6&lt;/ref-type&gt;&lt;contributors&gt;&lt;authors&gt;&lt;author&gt;Norman, Geoffrey R.&lt;/author&gt;&lt;author&gt;Van Der Vleuten, Cees P. M.&lt;/author&gt;&lt;author&gt;Newble, David I.&lt;/author&gt;&lt;/authors&gt;&lt;/contributors&gt;&lt;titles&gt;&lt;title&gt;International handbook of research in medical education&lt;/title&gt;&lt;/titles&gt;&lt;volume&gt;7&lt;/volume&gt;&lt;number&gt;Book, Whole&lt;/number&gt;&lt;dates&gt;&lt;year&gt;2002&lt;/year&gt;&lt;/dates&gt;&lt;publisher&gt;Springer Science &amp;amp; Business Media&lt;/publisher&gt;&lt;urls&gt;&lt;/urls&gt;&lt;/record&gt;&lt;/Cite&gt;&lt;/EndNote&gt;</w:instrText>
      </w:r>
      <w:r w:rsidRPr="003726FE">
        <w:rPr>
          <w:lang w:val="en-GB"/>
        </w:rPr>
        <w:fldChar w:fldCharType="separate"/>
      </w:r>
      <w:r w:rsidR="004E5A78" w:rsidRPr="003726FE">
        <w:rPr>
          <w:noProof/>
          <w:lang w:val="en-GB"/>
        </w:rPr>
        <w:t>(</w:t>
      </w:r>
      <w:hyperlink w:anchor="_ENREF_305" w:tooltip="Norman, 2002 #459" w:history="1">
        <w:r w:rsidR="0094469E" w:rsidRPr="003726FE">
          <w:rPr>
            <w:noProof/>
            <w:lang w:val="en-GB"/>
          </w:rPr>
          <w:t>Norman et al. 2002</w:t>
        </w:r>
      </w:hyperlink>
      <w:r w:rsidR="004E5A78" w:rsidRPr="003726FE">
        <w:rPr>
          <w:noProof/>
          <w:lang w:val="en-GB"/>
        </w:rPr>
        <w:t xml:space="preserve">; </w:t>
      </w:r>
      <w:hyperlink w:anchor="_ENREF_423" w:tooltip="Ward, 2002 #666" w:history="1">
        <w:r w:rsidR="0094469E" w:rsidRPr="003726FE">
          <w:rPr>
            <w:noProof/>
            <w:lang w:val="en-GB"/>
          </w:rPr>
          <w:t>Ward et al. 2002</w:t>
        </w:r>
      </w:hyperlink>
      <w:r w:rsidR="004E5A78" w:rsidRPr="003726FE">
        <w:rPr>
          <w:noProof/>
          <w:lang w:val="en-GB"/>
        </w:rPr>
        <w:t>)</w:t>
      </w:r>
      <w:r w:rsidRPr="003726FE">
        <w:rPr>
          <w:lang w:val="en-GB"/>
        </w:rPr>
        <w:fldChar w:fldCharType="end"/>
      </w:r>
      <w:r w:rsidRPr="003726FE">
        <w:rPr>
          <w:lang w:val="en-GB"/>
        </w:rPr>
        <w:t xml:space="preserve">. Physicians in particular </w:t>
      </w:r>
      <w:r w:rsidRPr="003726FE">
        <w:rPr>
          <w:lang w:val="en-GB"/>
        </w:rPr>
        <w:lastRenderedPageBreak/>
        <w:t xml:space="preserve">have been shown to have limited insight into their own skills and knowledge </w:t>
      </w:r>
      <w:r w:rsidR="00EF281A" w:rsidRPr="003726FE">
        <w:rPr>
          <w:lang w:val="en-GB"/>
        </w:rPr>
        <w:fldChar w:fldCharType="begin"/>
      </w:r>
      <w:r w:rsidR="008B61BE">
        <w:rPr>
          <w:lang w:val="en-GB"/>
        </w:rPr>
        <w:instrText xml:space="preserve"> ADDIN EN.CITE &lt;EndNote&gt;&lt;Cite&gt;&lt;Author&gt;de Bruin&lt;/Author&gt;&lt;Year&gt;2010&lt;/Year&gt;&lt;RecNum&gt;619&lt;/RecNum&gt;&lt;DisplayText&gt;(de Bruin et al. 2010)&lt;/DisplayText&gt;&lt;record&gt;&lt;rec-number&gt;619&lt;/rec-number&gt;&lt;foreign-keys&gt;&lt;key app="EN" db-id="xa2r2ewea92trkef5dt5arvbzafvpv2za5ft" timestamp="1496417560"&gt;619&lt;/key&gt;&lt;/foreign-keys&gt;&lt;ref-type name="Journal Article"&gt;17&lt;/ref-type&gt;&lt;contributors&gt;&lt;authors&gt;&lt;author&gt;de Bruin, Marijn&lt;/author&gt;&lt;author&gt;Viechtbauer, Wolfgang&lt;/author&gt;&lt;author&gt;Schaalma, Herman P&lt;/author&gt;&lt;author&gt;Kok, Gerjo&lt;/author&gt;&lt;author&gt;Abraham, Charles&lt;/author&gt;&lt;author&gt;Hospers, Harm J&lt;/author&gt;&lt;/authors&gt;&lt;/contributors&gt;&lt;titles&gt;&lt;title&gt;Standard care impact on effects of highly active antiretroviral therapy adherence interventions: A meta-analysis of randomized controlled trials&lt;/title&gt;&lt;secondary-title&gt;Archives of Internal Medicine&lt;/secondary-title&gt;&lt;/titles&gt;&lt;periodical&gt;&lt;full-title&gt;Archives of Internal Medicine&lt;/full-title&gt;&lt;/periodical&gt;&lt;pages&gt;240-250&lt;/pages&gt;&lt;volume&gt;170&lt;/volume&gt;&lt;number&gt;3&lt;/number&gt;&lt;dates&gt;&lt;year&gt;2010&lt;/year&gt;&lt;/dates&gt;&lt;isbn&gt;0003-9926&lt;/isbn&gt;&lt;urls&gt;&lt;/urls&gt;&lt;/record&gt;&lt;/Cite&gt;&lt;/EndNote&gt;</w:instrText>
      </w:r>
      <w:r w:rsidR="00EF281A" w:rsidRPr="003726FE">
        <w:rPr>
          <w:lang w:val="en-GB"/>
        </w:rPr>
        <w:fldChar w:fldCharType="separate"/>
      </w:r>
      <w:r w:rsidR="004E5A78" w:rsidRPr="003726FE">
        <w:rPr>
          <w:noProof/>
          <w:lang w:val="en-GB"/>
        </w:rPr>
        <w:t>(</w:t>
      </w:r>
      <w:hyperlink w:anchor="_ENREF_111" w:tooltip="de Bruin, 2010 #619" w:history="1">
        <w:r w:rsidR="0094469E" w:rsidRPr="003726FE">
          <w:rPr>
            <w:noProof/>
            <w:lang w:val="en-GB"/>
          </w:rPr>
          <w:t>de Bruin et al. 2010</w:t>
        </w:r>
      </w:hyperlink>
      <w:r w:rsidR="004E5A78" w:rsidRPr="003726FE">
        <w:rPr>
          <w:noProof/>
          <w:lang w:val="en-GB"/>
        </w:rPr>
        <w:t>)</w:t>
      </w:r>
      <w:r w:rsidR="00EF281A" w:rsidRPr="003726FE">
        <w:rPr>
          <w:lang w:val="en-GB"/>
        </w:rPr>
        <w:fldChar w:fldCharType="end"/>
      </w:r>
      <w:r w:rsidRPr="003726FE">
        <w:rPr>
          <w:lang w:val="en-GB"/>
        </w:rPr>
        <w:t xml:space="preserve">. Survey methodology users must participate in this discourse and address these limitations directly to protect the overall rigour and integrity of the research project </w:t>
      </w:r>
      <w:r w:rsidR="00EF281A" w:rsidRPr="003726FE">
        <w:rPr>
          <w:lang w:val="en-GB"/>
        </w:rPr>
        <w:fldChar w:fldCharType="begin"/>
      </w:r>
      <w:r w:rsidR="008B61BE">
        <w:rPr>
          <w:lang w:val="en-GB"/>
        </w:rPr>
        <w:instrText xml:space="preserve"> ADDIN EN.CITE &lt;EndNote&gt;&lt;Cite&gt;&lt;Author&gt;Schoenherr&lt;/Author&gt;&lt;Year&gt;2016&lt;/Year&gt;&lt;RecNum&gt;779&lt;/RecNum&gt;&lt;DisplayText&gt;(Schoenherr and Hamstra 2016)&lt;/DisplayText&gt;&lt;record&gt;&lt;rec-number&gt;779&lt;/rec-number&gt;&lt;foreign-keys&gt;&lt;key app="EN" db-id="xa2r2ewea92trkef5dt5arvbzafvpv2za5ft" timestamp="1496417593"&gt;779&lt;/key&gt;&lt;/foreign-keys&gt;&lt;ref-type name="Journal Article"&gt;17&lt;/ref-type&gt;&lt;contributors&gt;&lt;authors&gt;&lt;author&gt;Schoenherr, Jordan Richard&lt;/author&gt;&lt;author&gt;Hamstra, Stanley J&lt;/author&gt;&lt;/authors&gt;&lt;/contributors&gt;&lt;titles&gt;&lt;title&gt;Psychometrics and its discontents: an historical perspective on the discourse of the measurement tradition&lt;/title&gt;&lt;secondary-title&gt;Advances in Health Sciences Education&lt;/secondary-title&gt;&lt;/titles&gt;&lt;periodical&gt;&lt;full-title&gt;Advances in Health Sciences Education&lt;/full-title&gt;&lt;/periodical&gt;&lt;pages&gt;719-729&lt;/pages&gt;&lt;volume&gt;21&lt;/volume&gt;&lt;number&gt;3&lt;/number&gt;&lt;dates&gt;&lt;year&gt;2016&lt;/year&gt;&lt;/dates&gt;&lt;isbn&gt;1382-4996&lt;/isbn&gt;&lt;urls&gt;&lt;/urls&gt;&lt;/record&gt;&lt;/Cite&gt;&lt;/EndNote&gt;</w:instrText>
      </w:r>
      <w:r w:rsidR="00EF281A" w:rsidRPr="003726FE">
        <w:rPr>
          <w:lang w:val="en-GB"/>
        </w:rPr>
        <w:fldChar w:fldCharType="separate"/>
      </w:r>
      <w:r w:rsidR="004E5A78" w:rsidRPr="003726FE">
        <w:rPr>
          <w:noProof/>
          <w:lang w:val="en-GB"/>
        </w:rPr>
        <w:t>(</w:t>
      </w:r>
      <w:hyperlink w:anchor="_ENREF_363" w:tooltip="Schoenherr, 2016 #779" w:history="1">
        <w:r w:rsidR="0094469E" w:rsidRPr="003726FE">
          <w:rPr>
            <w:noProof/>
            <w:lang w:val="en-GB"/>
          </w:rPr>
          <w:t>Schoenherr and Hamstra 2016</w:t>
        </w:r>
      </w:hyperlink>
      <w:r w:rsidR="004E5A78" w:rsidRPr="003726FE">
        <w:rPr>
          <w:noProof/>
          <w:lang w:val="en-GB"/>
        </w:rPr>
        <w:t>)</w:t>
      </w:r>
      <w:r w:rsidR="00EF281A" w:rsidRPr="003726FE">
        <w:rPr>
          <w:lang w:val="en-GB"/>
        </w:rPr>
        <w:fldChar w:fldCharType="end"/>
      </w:r>
      <w:r w:rsidRPr="003726FE">
        <w:rPr>
          <w:lang w:val="en-GB"/>
        </w:rPr>
        <w:t>.</w:t>
      </w:r>
    </w:p>
    <w:p w14:paraId="165CD947" w14:textId="77777777" w:rsidR="00874437" w:rsidRPr="003726FE" w:rsidRDefault="00874437" w:rsidP="00026049">
      <w:pPr>
        <w:pStyle w:val="Normal1"/>
        <w:rPr>
          <w:lang w:val="en-GB"/>
        </w:rPr>
      </w:pPr>
    </w:p>
    <w:p w14:paraId="030847EC" w14:textId="4E3A1486" w:rsidR="00874437" w:rsidRPr="003726FE" w:rsidRDefault="00DD40A6" w:rsidP="00026049">
      <w:pPr>
        <w:pStyle w:val="Normal1"/>
        <w:rPr>
          <w:lang w:val="en-GB"/>
        </w:rPr>
      </w:pPr>
      <w:r w:rsidRPr="003726FE">
        <w:rPr>
          <w:lang w:val="en-GB"/>
        </w:rPr>
        <w:t>The use of a</w:t>
      </w:r>
      <w:r w:rsidR="00874437" w:rsidRPr="003726FE">
        <w:rPr>
          <w:lang w:val="en-GB"/>
        </w:rPr>
        <w:t xml:space="preserve"> survey methodology</w:t>
      </w:r>
      <w:r w:rsidR="0068680C">
        <w:rPr>
          <w:lang w:val="en-GB"/>
        </w:rPr>
        <w:t xml:space="preserve"> in this study</w:t>
      </w:r>
      <w:r w:rsidR="00874437" w:rsidRPr="003726FE">
        <w:rPr>
          <w:lang w:val="en-GB"/>
        </w:rPr>
        <w:t xml:space="preserve"> attempt</w:t>
      </w:r>
      <w:r w:rsidR="0068680C">
        <w:rPr>
          <w:lang w:val="en-GB"/>
        </w:rPr>
        <w:t>ed</w:t>
      </w:r>
      <w:r w:rsidR="00874437" w:rsidRPr="003726FE">
        <w:rPr>
          <w:lang w:val="en-GB"/>
        </w:rPr>
        <w:t xml:space="preserve"> to mitigate some of the above limitations, </w:t>
      </w:r>
      <w:r w:rsidRPr="003726FE">
        <w:rPr>
          <w:lang w:val="en-GB"/>
        </w:rPr>
        <w:t>paying</w:t>
      </w:r>
      <w:r w:rsidR="00874437" w:rsidRPr="003726FE">
        <w:rPr>
          <w:lang w:val="en-GB"/>
        </w:rPr>
        <w:t xml:space="preserve"> particular attention to red</w:t>
      </w:r>
      <w:r w:rsidRPr="003726FE">
        <w:rPr>
          <w:lang w:val="en-GB"/>
        </w:rPr>
        <w:t>ucing de-contextualisation. As the aim was</w:t>
      </w:r>
      <w:r w:rsidR="00874437" w:rsidRPr="003726FE">
        <w:rPr>
          <w:lang w:val="en-GB"/>
        </w:rPr>
        <w:t xml:space="preserve"> to measure changes in academic SRL</w:t>
      </w:r>
      <w:r w:rsidRPr="003726FE">
        <w:rPr>
          <w:lang w:val="en-GB"/>
        </w:rPr>
        <w:t>,</w:t>
      </w:r>
      <w:r w:rsidR="00874437" w:rsidRPr="003726FE">
        <w:rPr>
          <w:lang w:val="en-GB"/>
        </w:rPr>
        <w:t xml:space="preserve"> it was important to help situate the students’ thoughts on academic learning tasks when responding to the survey items. Instructions were given both verbally and on the form that students should think of a specific recent learning task they completed as opposed to their general learning approach. In subsequent iterations they were advised to think of the same task to encourage continuity in their answers. The surveys </w:t>
      </w:r>
      <w:r w:rsidRPr="003726FE">
        <w:rPr>
          <w:lang w:val="en-GB"/>
        </w:rPr>
        <w:t>chosen</w:t>
      </w:r>
      <w:r w:rsidR="00874437" w:rsidRPr="003726FE">
        <w:rPr>
          <w:lang w:val="en-GB"/>
        </w:rPr>
        <w:t xml:space="preserve"> do not relate to specific tasks and have previously been used to measure SRL and self-efficacy in different populations and contexts </w:t>
      </w:r>
      <w:r w:rsidR="00874437" w:rsidRPr="003726FE">
        <w:rPr>
          <w:lang w:val="en-GB"/>
        </w:rPr>
        <w:fldChar w:fldCharType="begin"/>
      </w:r>
      <w:r w:rsidR="008B61BE">
        <w:rPr>
          <w:lang w:val="en-GB"/>
        </w:rPr>
        <w:instrText xml:space="preserve"> ADDIN EN.CITE &lt;EndNote&gt;&lt;Cite&gt;&lt;Author&gt;Gavora&lt;/Author&gt;&lt;Year&gt;2015&lt;/Year&gt;&lt;RecNum&gt;88&lt;/RecNum&gt;&lt;DisplayText&gt;(Lix et al. 1996; Gavora et al. 2015)&lt;/DisplayText&gt;&lt;record&gt;&lt;rec-number&gt;88&lt;/rec-number&gt;&lt;foreign-keys&gt;&lt;key app="EN" db-id="xa2r2ewea92trkef5dt5arvbzafvpv2za5ft" timestamp="1442161764"&gt;88&lt;/key&gt;&lt;/foreign-keys&gt;&lt;ref-type name="Journal Article"&gt;17&lt;/ref-type&gt;&lt;contributors&gt;&lt;authors&gt;&lt;author&gt;Gavora, Peter&lt;/author&gt;&lt;author&gt;Jakešová, Jitka&lt;/author&gt;&lt;author&gt;Kalenda, Jan&lt;/author&gt;&lt;/authors&gt;&lt;/contributors&gt;&lt;titles&gt;&lt;title&gt;The Czech Validation of the Self-regulation Questionnaire&lt;/title&gt;&lt;secondary-title&gt;Procedia-Social and Behavioral Sciences&lt;/secondary-title&gt;&lt;/titles&gt;&lt;periodical&gt;&lt;full-title&gt;Procedia-Social and Behavioral Sciences&lt;/full-title&gt;&lt;/periodical&gt;&lt;pages&gt;222-230&lt;/pages&gt;&lt;volume&gt;171&lt;/volume&gt;&lt;dates&gt;&lt;year&gt;2015&lt;/year&gt;&lt;/dates&gt;&lt;publisher&gt;Elsevier&lt;/publisher&gt;&lt;urls&gt;&lt;/urls&gt;&lt;/record&gt;&lt;/Cite&gt;&lt;Cite&gt;&lt;Author&gt;Lix&lt;/Author&gt;&lt;Year&gt;1996&lt;/Year&gt;&lt;RecNum&gt;582&lt;/RecNum&gt;&lt;record&gt;&lt;rec-number&gt;582&lt;/rec-number&gt;&lt;foreign-keys&gt;&lt;key app="EN" db-id="xa2r2ewea92trkef5dt5arvbzafvpv2za5ft" timestamp="1496417556"&gt;582&lt;/key&gt;&lt;/foreign-keys&gt;&lt;ref-type name="Journal Article"&gt;17&lt;/ref-type&gt;&lt;contributors&gt;&lt;authors&gt;&lt;author&gt;Lix, Lisa M&lt;/author&gt;&lt;author&gt;Keselman, Joanne C&lt;/author&gt;&lt;author&gt;Keselman, HJ&lt;/author&gt;&lt;/authors&gt;&lt;/contributors&gt;&lt;titles&gt;&lt;title&gt;Consequences of assumption violations revisited: A quantitative review of alternatives to the one-way analysis of variance F test&lt;/title&gt;&lt;secondary-title&gt;Review of educational research&lt;/secondary-title&gt;&lt;/titles&gt;&lt;periodical&gt;&lt;full-title&gt;Review of educational research&lt;/full-title&gt;&lt;/periodical&gt;&lt;pages&gt;579-619&lt;/pages&gt;&lt;volume&gt;66&lt;/volume&gt;&lt;number&gt;4&lt;/number&gt;&lt;dates&gt;&lt;year&gt;1996&lt;/year&gt;&lt;/dates&gt;&lt;isbn&gt;0034-6543&lt;/isbn&gt;&lt;urls&gt;&lt;/urls&gt;&lt;/record&gt;&lt;/Cite&gt;&lt;/EndNote&gt;</w:instrText>
      </w:r>
      <w:r w:rsidR="00874437" w:rsidRPr="003726FE">
        <w:rPr>
          <w:lang w:val="en-GB"/>
        </w:rPr>
        <w:fldChar w:fldCharType="separate"/>
      </w:r>
      <w:r w:rsidR="004E5A78" w:rsidRPr="003726FE">
        <w:rPr>
          <w:noProof/>
          <w:lang w:val="en-GB"/>
        </w:rPr>
        <w:t>(</w:t>
      </w:r>
      <w:hyperlink w:anchor="_ENREF_246" w:tooltip="Lix, 1996 #582" w:history="1">
        <w:r w:rsidR="0094469E" w:rsidRPr="003726FE">
          <w:rPr>
            <w:noProof/>
            <w:lang w:val="en-GB"/>
          </w:rPr>
          <w:t>Lix et al. 1996</w:t>
        </w:r>
      </w:hyperlink>
      <w:r w:rsidR="004E5A78" w:rsidRPr="003726FE">
        <w:rPr>
          <w:noProof/>
          <w:lang w:val="en-GB"/>
        </w:rPr>
        <w:t xml:space="preserve">; </w:t>
      </w:r>
      <w:hyperlink w:anchor="_ENREF_158" w:tooltip="Gavora, 2015 #88" w:history="1">
        <w:r w:rsidR="0094469E" w:rsidRPr="003726FE">
          <w:rPr>
            <w:noProof/>
            <w:lang w:val="en-GB"/>
          </w:rPr>
          <w:t>Gavora et al. 2015</w:t>
        </w:r>
      </w:hyperlink>
      <w:r w:rsidR="004E5A78" w:rsidRPr="003726FE">
        <w:rPr>
          <w:noProof/>
          <w:lang w:val="en-GB"/>
        </w:rPr>
        <w:t>)</w:t>
      </w:r>
      <w:r w:rsidR="00874437" w:rsidRPr="003726FE">
        <w:rPr>
          <w:lang w:val="en-GB"/>
        </w:rPr>
        <w:fldChar w:fldCharType="end"/>
      </w:r>
      <w:r w:rsidR="00874437" w:rsidRPr="003726FE">
        <w:rPr>
          <w:lang w:val="en-GB"/>
        </w:rPr>
        <w:t>.</w:t>
      </w:r>
    </w:p>
    <w:p w14:paraId="6FBBD504" w14:textId="77777777" w:rsidR="00874437" w:rsidRPr="003726FE" w:rsidRDefault="00874437" w:rsidP="00026049">
      <w:pPr>
        <w:pStyle w:val="Normal1"/>
        <w:rPr>
          <w:lang w:val="en-GB"/>
        </w:rPr>
      </w:pPr>
    </w:p>
    <w:p w14:paraId="13E7E1B6" w14:textId="0E3FC2BC" w:rsidR="00874437" w:rsidRPr="003726FE" w:rsidRDefault="00874437" w:rsidP="00026049">
      <w:pPr>
        <w:pStyle w:val="Normal1"/>
        <w:rPr>
          <w:lang w:val="en-GB"/>
        </w:rPr>
      </w:pPr>
      <w:r w:rsidRPr="003726FE">
        <w:rPr>
          <w:lang w:val="en-GB"/>
        </w:rPr>
        <w:t xml:space="preserve">It was important to ensure that the survey methodology was able to measure general SRL constructs in medical education which relate directly to SRL and educational theory. As there </w:t>
      </w:r>
      <w:r w:rsidR="0068680C">
        <w:rPr>
          <w:lang w:val="en-GB"/>
        </w:rPr>
        <w:t>wa</w:t>
      </w:r>
      <w:r w:rsidRPr="003726FE">
        <w:rPr>
          <w:lang w:val="en-GB"/>
        </w:rPr>
        <w:t>s no sufficiently validated tool used</w:t>
      </w:r>
      <w:r w:rsidR="00157BB5">
        <w:rPr>
          <w:lang w:val="en-GB"/>
        </w:rPr>
        <w:t xml:space="preserve"> in</w:t>
      </w:r>
      <w:r w:rsidRPr="003726FE">
        <w:rPr>
          <w:lang w:val="en-GB"/>
        </w:rPr>
        <w:t xml:space="preserve"> medical education research to measure academic SRL, </w:t>
      </w:r>
      <w:r w:rsidR="0068680C">
        <w:rPr>
          <w:lang w:val="en-GB"/>
        </w:rPr>
        <w:t xml:space="preserve">validation measures and </w:t>
      </w:r>
      <w:r w:rsidRPr="003726FE">
        <w:rPr>
          <w:lang w:val="en-GB"/>
        </w:rPr>
        <w:t xml:space="preserve">exploratory factor analysis </w:t>
      </w:r>
      <w:r w:rsidR="0068680C">
        <w:rPr>
          <w:lang w:val="en-GB"/>
        </w:rPr>
        <w:t xml:space="preserve">was conducted </w:t>
      </w:r>
      <w:r w:rsidRPr="003726FE">
        <w:rPr>
          <w:lang w:val="en-GB"/>
        </w:rPr>
        <w:t>on the Short Self-Regulatory Questionnaire (SSRQ) tool</w:t>
      </w:r>
      <w:r w:rsidR="0068680C">
        <w:rPr>
          <w:lang w:val="en-GB"/>
        </w:rPr>
        <w:t>. This</w:t>
      </w:r>
      <w:r w:rsidRPr="003726FE">
        <w:rPr>
          <w:lang w:val="en-GB"/>
        </w:rPr>
        <w:t xml:space="preserve"> </w:t>
      </w:r>
      <w:r w:rsidR="00BA78A4">
        <w:rPr>
          <w:lang w:val="en-GB"/>
        </w:rPr>
        <w:t xml:space="preserve">was </w:t>
      </w:r>
      <w:r w:rsidRPr="003726FE">
        <w:rPr>
          <w:lang w:val="en-GB"/>
        </w:rPr>
        <w:t xml:space="preserve">based upon additional data collected for the purpose of validating the tool in medical student populations (see </w:t>
      </w:r>
      <w:r w:rsidR="0068680C">
        <w:rPr>
          <w:lang w:val="en-GB"/>
        </w:rPr>
        <w:t>Chapter C1</w:t>
      </w:r>
      <w:r w:rsidRPr="003726FE">
        <w:rPr>
          <w:lang w:val="en-GB"/>
        </w:rPr>
        <w:t xml:space="preserve">). The additional use of the General Self-Efficacy scale (GSE) was a method of ensuring that the SSRQ was also measuring and predicting self-efficacy, which is an essential component of SRL theory. </w:t>
      </w:r>
    </w:p>
    <w:p w14:paraId="31284E77" w14:textId="77777777" w:rsidR="00DD40A6" w:rsidRPr="003726FE" w:rsidRDefault="00DD40A6" w:rsidP="00026049">
      <w:pPr>
        <w:pStyle w:val="Normal1"/>
        <w:rPr>
          <w:rFonts w:eastAsiaTheme="majorEastAsia" w:cs="Times New Roman"/>
          <w:color w:val="000000" w:themeColor="text1"/>
          <w:sz w:val="28"/>
          <w:szCs w:val="26"/>
          <w:shd w:val="clear" w:color="auto" w:fill="FCFCFC"/>
          <w:lang w:val="en-GB"/>
        </w:rPr>
      </w:pPr>
      <w:r w:rsidRPr="003726FE">
        <w:rPr>
          <w:lang w:val="en-GB"/>
        </w:rPr>
        <w:br w:type="page"/>
      </w:r>
    </w:p>
    <w:p w14:paraId="0ADD6FEB" w14:textId="1CE3DD00" w:rsidR="00B06ADF" w:rsidRPr="003726FE" w:rsidRDefault="00822E3B" w:rsidP="00B1638D">
      <w:pPr>
        <w:pStyle w:val="Heading2"/>
        <w:rPr>
          <w:lang w:val="en-GB"/>
        </w:rPr>
      </w:pPr>
      <w:bookmarkStart w:id="206" w:name="_Toc500319351"/>
      <w:r w:rsidRPr="003726FE">
        <w:rPr>
          <w:lang w:val="en-GB"/>
        </w:rPr>
        <w:lastRenderedPageBreak/>
        <w:t>A3</w:t>
      </w:r>
      <w:r w:rsidR="00F176D2" w:rsidRPr="003726FE">
        <w:rPr>
          <w:lang w:val="en-GB"/>
        </w:rPr>
        <w:t xml:space="preserve">.6 </w:t>
      </w:r>
      <w:r w:rsidR="00B06ADF" w:rsidRPr="003726FE">
        <w:rPr>
          <w:lang w:val="en-GB"/>
        </w:rPr>
        <w:t xml:space="preserve">Interview </w:t>
      </w:r>
      <w:r w:rsidR="00F176D2" w:rsidRPr="003726FE">
        <w:rPr>
          <w:lang w:val="en-GB"/>
        </w:rPr>
        <w:t>Methodology</w:t>
      </w:r>
      <w:bookmarkEnd w:id="206"/>
    </w:p>
    <w:p w14:paraId="6C1B378D" w14:textId="77777777" w:rsidR="00240502" w:rsidRPr="003726FE" w:rsidRDefault="00240502" w:rsidP="00026049">
      <w:pPr>
        <w:pStyle w:val="Normal1"/>
        <w:rPr>
          <w:lang w:val="en-GB"/>
        </w:rPr>
      </w:pPr>
    </w:p>
    <w:p w14:paraId="077884E4" w14:textId="4B70C6B2" w:rsidR="00874437" w:rsidRPr="003726FE" w:rsidRDefault="00874437" w:rsidP="00026049">
      <w:pPr>
        <w:pStyle w:val="Normal1"/>
        <w:rPr>
          <w:lang w:val="en-GB"/>
        </w:rPr>
      </w:pPr>
      <w:r w:rsidRPr="003726FE">
        <w:rPr>
          <w:lang w:val="en-GB"/>
        </w:rPr>
        <w:t xml:space="preserve">Interviews were used to gain </w:t>
      </w:r>
      <w:r w:rsidR="00DD40A6" w:rsidRPr="003726FE">
        <w:rPr>
          <w:lang w:val="en-GB"/>
        </w:rPr>
        <w:t xml:space="preserve">students’ perspectives </w:t>
      </w:r>
      <w:r w:rsidR="00F504D9">
        <w:rPr>
          <w:lang w:val="en-GB"/>
        </w:rPr>
        <w:t>on</w:t>
      </w:r>
      <w:r w:rsidRPr="003726FE">
        <w:rPr>
          <w:lang w:val="en-GB"/>
        </w:rPr>
        <w:t xml:space="preserve"> their clinical learning</w:t>
      </w:r>
      <w:r w:rsidR="00F504D9">
        <w:rPr>
          <w:lang w:val="en-GB"/>
        </w:rPr>
        <w:t xml:space="preserve"> and feedback</w:t>
      </w:r>
      <w:r w:rsidRPr="003726FE">
        <w:rPr>
          <w:lang w:val="en-GB"/>
        </w:rPr>
        <w:t xml:space="preserve"> behaviours. Interviews were also used to explore the teachers’ perceptions of using the different feedback models. </w:t>
      </w:r>
      <w:r w:rsidR="008B39A6" w:rsidRPr="003726FE">
        <w:rPr>
          <w:lang w:val="en-GB"/>
        </w:rPr>
        <w:t>A</w:t>
      </w:r>
      <w:r w:rsidRPr="003726FE">
        <w:rPr>
          <w:lang w:val="en-GB"/>
        </w:rPr>
        <w:t xml:space="preserve"> constructivist approach </w:t>
      </w:r>
      <w:r w:rsidR="008B39A6" w:rsidRPr="003726FE">
        <w:rPr>
          <w:lang w:val="en-GB"/>
        </w:rPr>
        <w:t xml:space="preserve">was adopted </w:t>
      </w:r>
      <w:r w:rsidR="00EF281A" w:rsidRPr="003726FE">
        <w:rPr>
          <w:lang w:val="en-GB"/>
        </w:rPr>
        <w:fldChar w:fldCharType="begin"/>
      </w:r>
      <w:r w:rsidR="008B61BE">
        <w:rPr>
          <w:lang w:val="en-GB"/>
        </w:rPr>
        <w:instrText xml:space="preserve"> ADDIN EN.CITE &lt;EndNote&gt;&lt;Cite&gt;&lt;Author&gt;Charmaz&lt;/Author&gt;&lt;Year&gt;1995&lt;/Year&gt;&lt;RecNum&gt;30&lt;/RecNum&gt;&lt;DisplayText&gt;(Charmaz 1995)&lt;/DisplayText&gt;&lt;record&gt;&lt;rec-number&gt;30&lt;/rec-number&gt;&lt;foreign-keys&gt;&lt;key app="EN" db-id="xa2r2ewea92trkef5dt5arvbzafvpv2za5ft" timestamp="1442161763"&gt;30&lt;/key&gt;&lt;/foreign-keys&gt;&lt;ref-type name="Journal Article"&gt;17&lt;/ref-type&gt;&lt;contributors&gt;&lt;authors&gt;&lt;author&gt;Charmaz, Kathy&lt;/author&gt;&lt;/authors&gt;&lt;/contributors&gt;&lt;titles&gt;&lt;title&gt;Between positivism and postmodernism: Implications for methods&lt;/title&gt;&lt;secondary-title&gt;Studies in symbolic interaction&lt;/secondary-title&gt;&lt;/titles&gt;&lt;periodical&gt;&lt;full-title&gt;Studies in symbolic interaction&lt;/full-title&gt;&lt;/periodical&gt;&lt;pages&gt;43-72&lt;/pages&gt;&lt;volume&gt;17&lt;/volume&gt;&lt;number&gt;2&lt;/number&gt;&lt;dates&gt;&lt;year&gt;1995&lt;/year&gt;&lt;/dates&gt;&lt;urls&gt;&lt;/urls&gt;&lt;/record&gt;&lt;/Cite&gt;&lt;/EndNote&gt;</w:instrText>
      </w:r>
      <w:r w:rsidR="00EF281A" w:rsidRPr="003726FE">
        <w:rPr>
          <w:lang w:val="en-GB"/>
        </w:rPr>
        <w:fldChar w:fldCharType="separate"/>
      </w:r>
      <w:r w:rsidR="004E5A78" w:rsidRPr="003726FE">
        <w:rPr>
          <w:noProof/>
          <w:lang w:val="en-GB"/>
        </w:rPr>
        <w:t>(</w:t>
      </w:r>
      <w:hyperlink w:anchor="_ENREF_73" w:tooltip="Charmaz, 1995 #30" w:history="1">
        <w:r w:rsidR="0094469E" w:rsidRPr="003726FE">
          <w:rPr>
            <w:noProof/>
            <w:lang w:val="en-GB"/>
          </w:rPr>
          <w:t>Charmaz 1995</w:t>
        </w:r>
      </w:hyperlink>
      <w:r w:rsidR="004E5A78" w:rsidRPr="003726FE">
        <w:rPr>
          <w:noProof/>
          <w:lang w:val="en-GB"/>
        </w:rPr>
        <w:t>)</w:t>
      </w:r>
      <w:r w:rsidR="00EF281A" w:rsidRPr="003726FE">
        <w:rPr>
          <w:lang w:val="en-GB"/>
        </w:rPr>
        <w:fldChar w:fldCharType="end"/>
      </w:r>
      <w:r w:rsidRPr="003726FE">
        <w:rPr>
          <w:lang w:val="en-GB"/>
        </w:rPr>
        <w:t xml:space="preserve"> which align</w:t>
      </w:r>
      <w:r w:rsidR="00F504D9">
        <w:rPr>
          <w:lang w:val="en-GB"/>
        </w:rPr>
        <w:t>ed</w:t>
      </w:r>
      <w:r w:rsidRPr="003726FE">
        <w:rPr>
          <w:lang w:val="en-GB"/>
        </w:rPr>
        <w:t xml:space="preserve"> to </w:t>
      </w:r>
      <w:r w:rsidR="008B39A6" w:rsidRPr="003726FE">
        <w:rPr>
          <w:lang w:val="en-GB"/>
        </w:rPr>
        <w:t>the</w:t>
      </w:r>
      <w:r w:rsidRPr="003726FE">
        <w:rPr>
          <w:lang w:val="en-GB"/>
        </w:rPr>
        <w:t xml:space="preserve"> philosophical stance on qualitative data</w:t>
      </w:r>
      <w:r w:rsidR="008B39A6" w:rsidRPr="003726FE">
        <w:rPr>
          <w:lang w:val="en-GB"/>
        </w:rPr>
        <w:t xml:space="preserve"> in this </w:t>
      </w:r>
      <w:r w:rsidR="00DD40A6" w:rsidRPr="003726FE">
        <w:rPr>
          <w:lang w:val="en-GB"/>
        </w:rPr>
        <w:t>study</w:t>
      </w:r>
      <w:r w:rsidRPr="003726FE">
        <w:rPr>
          <w:lang w:val="en-GB"/>
        </w:rPr>
        <w:t xml:space="preserve">. This approach prioritises drawing out the participant’s lived experiences and definitions of the construct under study </w:t>
      </w:r>
      <w:r w:rsidR="00EF281A" w:rsidRPr="003726FE">
        <w:rPr>
          <w:lang w:val="en-GB"/>
        </w:rPr>
        <w:fldChar w:fldCharType="begin"/>
      </w:r>
      <w:r w:rsidR="008B61BE">
        <w:rPr>
          <w:lang w:val="en-GB"/>
        </w:rPr>
        <w:instrText xml:space="preserve"> ADDIN EN.CITE &lt;EndNote&gt;&lt;Cite&gt;&lt;Author&gt;DiCicco</w:instrText>
      </w:r>
      <w:r w:rsidR="008B61BE">
        <w:rPr>
          <w:rFonts w:ascii="Cambria Math" w:hAnsi="Cambria Math" w:cs="Cambria Math"/>
          <w:lang w:val="en-GB"/>
        </w:rPr>
        <w:instrText>‐</w:instrText>
      </w:r>
      <w:r w:rsidR="008B61BE">
        <w:rPr>
          <w:lang w:val="en-GB"/>
        </w:rPr>
        <w:instrText>Bloom&lt;/Author&gt;&lt;Year&gt;2006&lt;/Year&gt;&lt;RecNum&gt;67&lt;/RecNum&gt;&lt;DisplayText&gt;(DiCicco</w:instrText>
      </w:r>
      <w:r w:rsidR="008B61BE">
        <w:rPr>
          <w:rFonts w:ascii="Cambria Math" w:hAnsi="Cambria Math" w:cs="Cambria Math"/>
          <w:lang w:val="en-GB"/>
        </w:rPr>
        <w:instrText>‐</w:instrText>
      </w:r>
      <w:r w:rsidR="008B61BE">
        <w:rPr>
          <w:lang w:val="en-GB"/>
        </w:rPr>
        <w:instrText>Bloom and Crabtree 2006)&lt;/DisplayText&gt;&lt;record&gt;&lt;rec-number&gt;67&lt;/rec-number&gt;&lt;foreign-keys&gt;&lt;key app="EN" db-id="xa2r2ewea92trkef5dt5arvbzafvpv2za5ft" timestamp="1442161763"&gt;67&lt;/key&gt;&lt;/foreign-keys&gt;&lt;ref-type name="Journal Article"&gt;17&lt;/ref-type&gt;&lt;contributors&gt;&lt;authors&gt;&lt;author&gt;DiCicco</w:instrText>
      </w:r>
      <w:r w:rsidR="008B61BE">
        <w:rPr>
          <w:rFonts w:ascii="Cambria Math" w:hAnsi="Cambria Math" w:cs="Cambria Math"/>
          <w:lang w:val="en-GB"/>
        </w:rPr>
        <w:instrText>‐</w:instrText>
      </w:r>
      <w:r w:rsidR="008B61BE">
        <w:rPr>
          <w:lang w:val="en-GB"/>
        </w:rPr>
        <w:instrText>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education&lt;/full-title&gt;&lt;/periodical&gt;&lt;pages&gt;314-321&lt;/pages&gt;&lt;volume&gt;40&lt;/volume&gt;&lt;number&gt;4&lt;/number&gt;&lt;dates&gt;&lt;year&gt;2006&lt;/year&gt;&lt;/dates&gt;&lt;publisher&gt;Wiley Online Library&lt;/publisher&gt;&lt;urls&gt;&lt;related-urls&gt;&lt;url&gt;http://onlinelibrary.wiley.com/store/10.1111/j.1365-2929.2006.02418.x/asset/j.1365-2929.2006.02418.x.pdf?v=1&amp;amp;t=ieipxuf7&amp;amp;s=3b6e6627b7e0b96129f87fa11737f67c17777ed8&lt;/url&gt;&lt;/related-urls&gt;&lt;/urls&gt;&lt;/record&gt;&lt;/Cite&gt;&lt;/EndNote&gt;</w:instrText>
      </w:r>
      <w:r w:rsidR="00EF281A" w:rsidRPr="003726FE">
        <w:rPr>
          <w:lang w:val="en-GB"/>
        </w:rPr>
        <w:fldChar w:fldCharType="separate"/>
      </w:r>
      <w:r w:rsidR="004E5A78" w:rsidRPr="003726FE">
        <w:rPr>
          <w:noProof/>
          <w:lang w:val="en-GB"/>
        </w:rPr>
        <w:t>(</w:t>
      </w:r>
      <w:hyperlink w:anchor="_ENREF_125" w:tooltip="DiCicco‐Bloom, 2006 #67" w:history="1">
        <w:r w:rsidR="0094469E" w:rsidRPr="003726FE">
          <w:rPr>
            <w:noProof/>
            <w:lang w:val="en-GB"/>
          </w:rPr>
          <w:t>DiCicco</w:t>
        </w:r>
        <w:r w:rsidR="0094469E" w:rsidRPr="003726FE">
          <w:rPr>
            <w:rFonts w:ascii="Cambria Math" w:hAnsi="Cambria Math" w:cs="Cambria Math"/>
            <w:noProof/>
            <w:lang w:val="en-GB"/>
          </w:rPr>
          <w:t>‐</w:t>
        </w:r>
        <w:r w:rsidR="0094469E" w:rsidRPr="003726FE">
          <w:rPr>
            <w:noProof/>
            <w:lang w:val="en-GB"/>
          </w:rPr>
          <w:t>Bloom and Crabtree 2006</w:t>
        </w:r>
      </w:hyperlink>
      <w:r w:rsidR="004E5A78" w:rsidRPr="003726FE">
        <w:rPr>
          <w:noProof/>
          <w:lang w:val="en-GB"/>
        </w:rPr>
        <w:t>)</w:t>
      </w:r>
      <w:r w:rsidR="00EF281A" w:rsidRPr="003726FE">
        <w:rPr>
          <w:lang w:val="en-GB"/>
        </w:rPr>
        <w:fldChar w:fldCharType="end"/>
      </w:r>
      <w:r w:rsidRPr="003726FE">
        <w:rPr>
          <w:lang w:val="en-GB"/>
        </w:rPr>
        <w:t xml:space="preserve">. </w:t>
      </w:r>
      <w:r w:rsidR="00113F15" w:rsidRPr="003726FE">
        <w:rPr>
          <w:lang w:val="en-GB"/>
        </w:rPr>
        <w:t>Interviews were used for</w:t>
      </w:r>
      <w:r w:rsidRPr="003726FE">
        <w:rPr>
          <w:lang w:val="en-GB"/>
        </w:rPr>
        <w:t xml:space="preserve"> the majority of qualitative data collection</w:t>
      </w:r>
      <w:r w:rsidR="00DD40A6" w:rsidRPr="003726FE">
        <w:rPr>
          <w:lang w:val="en-GB"/>
        </w:rPr>
        <w:t>,</w:t>
      </w:r>
      <w:r w:rsidRPr="003726FE">
        <w:rPr>
          <w:lang w:val="en-GB"/>
        </w:rPr>
        <w:t xml:space="preserve"> which was designed to help understand the quantitative data as well as explore individual perspectives of the learning and teaching processes involved.  </w:t>
      </w:r>
    </w:p>
    <w:p w14:paraId="358EDF0B" w14:textId="77777777" w:rsidR="00874437" w:rsidRPr="003726FE" w:rsidRDefault="00874437" w:rsidP="00026049">
      <w:pPr>
        <w:pStyle w:val="Normal1"/>
        <w:rPr>
          <w:lang w:val="en-GB"/>
        </w:rPr>
      </w:pPr>
    </w:p>
    <w:p w14:paraId="450F7606" w14:textId="3A272A3A" w:rsidR="00874437" w:rsidRPr="003726FE" w:rsidRDefault="00874437" w:rsidP="00026049">
      <w:pPr>
        <w:pStyle w:val="Normal1"/>
        <w:rPr>
          <w:lang w:val="en-GB"/>
        </w:rPr>
      </w:pPr>
      <w:r w:rsidRPr="003726FE">
        <w:rPr>
          <w:lang w:val="en-GB"/>
        </w:rPr>
        <w:t xml:space="preserve">The use of individual interviews allowed </w:t>
      </w:r>
      <w:r w:rsidR="00113F15" w:rsidRPr="003726FE">
        <w:rPr>
          <w:lang w:val="en-GB"/>
        </w:rPr>
        <w:t>for the</w:t>
      </w:r>
      <w:r w:rsidRPr="003726FE">
        <w:rPr>
          <w:lang w:val="en-GB"/>
        </w:rPr>
        <w:t xml:space="preserve"> gather</w:t>
      </w:r>
      <w:r w:rsidR="00113F15" w:rsidRPr="003726FE">
        <w:rPr>
          <w:lang w:val="en-GB"/>
        </w:rPr>
        <w:t>ing of</w:t>
      </w:r>
      <w:r w:rsidRPr="003726FE">
        <w:rPr>
          <w:lang w:val="en-GB"/>
        </w:rPr>
        <w:t xml:space="preserve"> first-hand experiences </w:t>
      </w:r>
      <w:r w:rsidR="00C257BE">
        <w:rPr>
          <w:lang w:val="en-GB"/>
        </w:rPr>
        <w:t>which</w:t>
      </w:r>
      <w:r w:rsidRPr="003726FE">
        <w:rPr>
          <w:lang w:val="en-GB"/>
        </w:rPr>
        <w:t xml:space="preserve"> provided authentic data </w:t>
      </w:r>
      <w:r w:rsidR="00EF281A" w:rsidRPr="003726FE">
        <w:rPr>
          <w:lang w:val="en-GB"/>
        </w:rPr>
        <w:fldChar w:fldCharType="begin"/>
      </w:r>
      <w:r w:rsidR="008B61BE">
        <w:rPr>
          <w:lang w:val="en-GB"/>
        </w:rPr>
        <w:instrText xml:space="preserve"> ADDIN EN.CITE &lt;EndNote&gt;&lt;Cite&gt;&lt;Author&gt;Duffy&lt;/Author&gt;&lt;Year&gt;1987&lt;/Year&gt;&lt;RecNum&gt;780&lt;/RecNum&gt;&lt;DisplayText&gt;(Duffy 1987)&lt;/DisplayText&gt;&lt;record&gt;&lt;rec-number&gt;780&lt;/rec-number&gt;&lt;foreign-keys&gt;&lt;key app="EN" db-id="xa2r2ewea92trkef5dt5arvbzafvpv2za5ft" timestamp="1496417593"&gt;780&lt;/key&gt;&lt;/foreign-keys&gt;&lt;ref-type name="Journal Article"&gt;17&lt;/ref-type&gt;&lt;contributors&gt;&lt;authors&gt;&lt;author&gt;Duffy, Mary E&lt;/author&gt;&lt;/authors&gt;&lt;/contributors&gt;&lt;titles&gt;&lt;title&gt;Methodological triangulation: a vehicle for merging quantitative and qualitative research methods&lt;/title&gt;&lt;secondary-title&gt;Image: The Journal of Nursing Scholarship&lt;/secondary-title&gt;&lt;/titles&gt;&lt;periodical&gt;&lt;full-title&gt;Image: The Journal of Nursing Scholarship&lt;/full-title&gt;&lt;/periodical&gt;&lt;pages&gt;130-133&lt;/pages&gt;&lt;volume&gt;19&lt;/volume&gt;&lt;number&gt;3&lt;/number&gt;&lt;dates&gt;&lt;year&gt;1987&lt;/year&gt;&lt;/dates&gt;&lt;isbn&gt;1547-5069&lt;/isbn&gt;&lt;urls&gt;&lt;/urls&gt;&lt;/record&gt;&lt;/Cite&gt;&lt;/EndNote&gt;</w:instrText>
      </w:r>
      <w:r w:rsidR="00EF281A" w:rsidRPr="003726FE">
        <w:rPr>
          <w:lang w:val="en-GB"/>
        </w:rPr>
        <w:fldChar w:fldCharType="separate"/>
      </w:r>
      <w:r w:rsidR="004E5A78" w:rsidRPr="003726FE">
        <w:rPr>
          <w:noProof/>
          <w:lang w:val="en-GB"/>
        </w:rPr>
        <w:t>(</w:t>
      </w:r>
      <w:hyperlink w:anchor="_ENREF_131" w:tooltip="Duffy, 1987 #780" w:history="1">
        <w:r w:rsidR="0094469E" w:rsidRPr="003726FE">
          <w:rPr>
            <w:noProof/>
            <w:lang w:val="en-GB"/>
          </w:rPr>
          <w:t>Duffy 1987</w:t>
        </w:r>
      </w:hyperlink>
      <w:r w:rsidR="004E5A78" w:rsidRPr="003726FE">
        <w:rPr>
          <w:noProof/>
          <w:lang w:val="en-GB"/>
        </w:rPr>
        <w:t>)</w:t>
      </w:r>
      <w:r w:rsidR="00EF281A" w:rsidRPr="003726FE">
        <w:rPr>
          <w:lang w:val="en-GB"/>
        </w:rPr>
        <w:fldChar w:fldCharType="end"/>
      </w:r>
      <w:r w:rsidRPr="003726FE">
        <w:rPr>
          <w:lang w:val="en-GB"/>
        </w:rPr>
        <w:t xml:space="preserve"> and ‘prolonged engagement’ </w:t>
      </w:r>
      <w:r w:rsidR="00EF281A"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w:t>
      </w:r>
      <w:r w:rsidR="00EF281A" w:rsidRPr="003726FE">
        <w:rPr>
          <w:lang w:val="en-GB"/>
        </w:rPr>
        <w:fldChar w:fldCharType="end"/>
      </w:r>
      <w:r w:rsidRPr="003726FE">
        <w:rPr>
          <w:lang w:val="en-GB"/>
        </w:rPr>
        <w:t xml:space="preserve">. </w:t>
      </w:r>
      <w:hyperlink w:anchor="_ENREF_230" w:tooltip="Kvale, 1983 #781" w:history="1">
        <w:r w:rsidR="0094469E" w:rsidRPr="003726FE">
          <w:rPr>
            <w:lang w:val="en-GB"/>
          </w:rPr>
          <w:fldChar w:fldCharType="begin"/>
        </w:r>
        <w:r w:rsidR="0094469E">
          <w:rPr>
            <w:lang w:val="en-GB"/>
          </w:rPr>
          <w:instrText xml:space="preserve"> ADDIN EN.CITE &lt;EndNote&gt;&lt;Cite AuthorYear="1"&gt;&lt;Author&gt;Kvale&lt;/Author&gt;&lt;Year&gt;1983&lt;/Year&gt;&lt;RecNum&gt;781&lt;/RecNum&gt;&lt;Pages&gt;3&lt;/Pages&gt;&lt;DisplayText&gt;Kvale (1983, p. 3)&lt;/DisplayText&gt;&lt;record&gt;&lt;rec-number&gt;781&lt;/rec-number&gt;&lt;foreign-keys&gt;&lt;key app="EN" db-id="xa2r2ewea92trkef5dt5arvbzafvpv2za5ft" timestamp="1496417593"&gt;781&lt;/key&gt;&lt;/foreign-keys&gt;&lt;ref-type name="Journal Article"&gt;17&lt;/ref-type&gt;&lt;contributors&gt;&lt;authors&gt;&lt;author&gt;Kvale, Steinar&lt;/author&gt;&lt;/authors&gt;&lt;/contributors&gt;&lt;titles&gt;&lt;title&gt;The qualitative research interview: A phenomenological and a hermeneutical mode of understanding&lt;/title&gt;&lt;secondary-title&gt;Journal of phenomenological psychology&lt;/secondary-title&gt;&lt;/titles&gt;&lt;periodical&gt;&lt;full-title&gt;Journal of phenomenological psychology&lt;/full-title&gt;&lt;/periodical&gt;&lt;pages&gt;171&lt;/pages&gt;&lt;volume&gt;14&lt;/volume&gt;&lt;number&gt;2&lt;/number&gt;&lt;dates&gt;&lt;year&gt;1983&lt;/year&gt;&lt;/dates&gt;&lt;isbn&gt;0047-2662&lt;/isbn&gt;&lt;urls&gt;&lt;/urls&gt;&lt;/record&gt;&lt;/Cite&gt;&lt;/EndNote&gt;</w:instrText>
        </w:r>
        <w:r w:rsidR="0094469E" w:rsidRPr="003726FE">
          <w:rPr>
            <w:lang w:val="en-GB"/>
          </w:rPr>
          <w:fldChar w:fldCharType="separate"/>
        </w:r>
        <w:r w:rsidR="0094469E" w:rsidRPr="003726FE">
          <w:rPr>
            <w:noProof/>
            <w:lang w:val="en-GB"/>
          </w:rPr>
          <w:t>Kvale (1983, p. 3)</w:t>
        </w:r>
        <w:r w:rsidR="0094469E" w:rsidRPr="003726FE">
          <w:rPr>
            <w:lang w:val="en-GB"/>
          </w:rPr>
          <w:fldChar w:fldCharType="end"/>
        </w:r>
      </w:hyperlink>
      <w:r w:rsidRPr="003726FE">
        <w:rPr>
          <w:lang w:val="en-GB"/>
        </w:rPr>
        <w:t xml:space="preserve"> define</w:t>
      </w:r>
      <w:r w:rsidR="00DD40A6" w:rsidRPr="003726FE">
        <w:rPr>
          <w:lang w:val="en-GB"/>
        </w:rPr>
        <w:t>d</w:t>
      </w:r>
      <w:r w:rsidRPr="003726FE">
        <w:rPr>
          <w:lang w:val="en-GB"/>
        </w:rPr>
        <w:t xml:space="preserve"> the purpose </w:t>
      </w:r>
      <w:r w:rsidR="00F0354B">
        <w:rPr>
          <w:lang w:val="en-GB"/>
        </w:rPr>
        <w:t>of the qualitative interview</w:t>
      </w:r>
      <w:r w:rsidR="00E44881">
        <w:rPr>
          <w:lang w:val="en-GB"/>
        </w:rPr>
        <w:t>:</w:t>
      </w:r>
      <w:r w:rsidR="00F0354B">
        <w:rPr>
          <w:lang w:val="en-GB"/>
        </w:rPr>
        <w:t xml:space="preserve"> </w:t>
      </w:r>
      <w:r w:rsidRPr="003726FE">
        <w:rPr>
          <w:lang w:val="en-GB"/>
        </w:rPr>
        <w:t>“to gather descriptions of the lifeworld of the interviewee with respect to interpreting the meani</w:t>
      </w:r>
      <w:r w:rsidR="00DD40A6" w:rsidRPr="003726FE">
        <w:rPr>
          <w:lang w:val="en-GB"/>
        </w:rPr>
        <w:t>ng of the described phenomena”</w:t>
      </w:r>
      <w:r w:rsidRPr="003726FE">
        <w:rPr>
          <w:lang w:val="en-GB"/>
        </w:rPr>
        <w:t xml:space="preserve">. They are a form of conversation </w:t>
      </w:r>
      <w:r w:rsidR="00EF281A" w:rsidRPr="003726FE">
        <w:rPr>
          <w:lang w:val="en-GB"/>
        </w:rPr>
        <w:fldChar w:fldCharType="begin"/>
      </w:r>
      <w:r w:rsidR="008B61BE">
        <w:rPr>
          <w:lang w:val="en-GB"/>
        </w:rPr>
        <w:instrText xml:space="preserve"> ADDIN EN.CITE &lt;EndNote&gt;&lt;Cite&gt;&lt;Author&gt;Lofland&lt;/Author&gt;&lt;Year&gt;2006&lt;/Year&gt;&lt;RecNum&gt;782&lt;/RecNum&gt;&lt;DisplayText&gt;(Lofland and Lofland 2006)&lt;/DisplayText&gt;&lt;record&gt;&lt;rec-number&gt;782&lt;/rec-number&gt;&lt;foreign-keys&gt;&lt;key app="EN" db-id="xa2r2ewea92trkef5dt5arvbzafvpv2za5ft" timestamp="1496417593"&gt;782&lt;/key&gt;&lt;/foreign-keys&gt;&lt;ref-type name="Book"&gt;6&lt;/ref-type&gt;&lt;contributors&gt;&lt;authors&gt;&lt;author&gt;Lofland, John&lt;/author&gt;&lt;author&gt;Lofland, Lyn H&lt;/author&gt;&lt;/authors&gt;&lt;/contributors&gt;&lt;titles&gt;&lt;title&gt;Analyzing social settings&lt;/title&gt;&lt;/titles&gt;&lt;dates&gt;&lt;year&gt;2006&lt;/year&gt;&lt;/dates&gt;&lt;publisher&gt;Wadsworth Publishing Company Belmont, CA&lt;/publisher&gt;&lt;isbn&gt;0534528619&lt;/isbn&gt;&lt;urls&gt;&lt;/urls&gt;&lt;/record&gt;&lt;/Cite&gt;&lt;/EndNote&gt;</w:instrText>
      </w:r>
      <w:r w:rsidR="00EF281A" w:rsidRPr="003726FE">
        <w:rPr>
          <w:lang w:val="en-GB"/>
        </w:rPr>
        <w:fldChar w:fldCharType="separate"/>
      </w:r>
      <w:r w:rsidR="004E5A78" w:rsidRPr="003726FE">
        <w:rPr>
          <w:noProof/>
          <w:lang w:val="en-GB"/>
        </w:rPr>
        <w:t>(</w:t>
      </w:r>
      <w:hyperlink w:anchor="_ENREF_247" w:tooltip="Lofland, 2006 #782" w:history="1">
        <w:r w:rsidR="0094469E" w:rsidRPr="003726FE">
          <w:rPr>
            <w:noProof/>
            <w:lang w:val="en-GB"/>
          </w:rPr>
          <w:t>Lofland and Lofland 2006</w:t>
        </w:r>
      </w:hyperlink>
      <w:r w:rsidR="004E5A78" w:rsidRPr="003726FE">
        <w:rPr>
          <w:noProof/>
          <w:lang w:val="en-GB"/>
        </w:rPr>
        <w:t>)</w:t>
      </w:r>
      <w:r w:rsidR="00EF281A" w:rsidRPr="003726FE">
        <w:rPr>
          <w:lang w:val="en-GB"/>
        </w:rPr>
        <w:fldChar w:fldCharType="end"/>
      </w:r>
      <w:r w:rsidRPr="003726FE">
        <w:rPr>
          <w:lang w:val="en-GB"/>
        </w:rPr>
        <w:t xml:space="preserve"> with the researcher participating in the interaction to co-produce knowledge through collaboration </w:t>
      </w:r>
      <w:r w:rsidR="00EF281A" w:rsidRPr="003726FE">
        <w:rPr>
          <w:lang w:val="en-GB"/>
        </w:rPr>
        <w:fldChar w:fldCharType="begin"/>
      </w:r>
      <w:r w:rsidR="008B61BE">
        <w:rPr>
          <w:lang w:val="en-GB"/>
        </w:rPr>
        <w:instrText xml:space="preserve"> ADDIN EN.CITE &lt;EndNote&gt;&lt;Cite&gt;&lt;Author&gt;Gubrium&lt;/Author&gt;&lt;Year&gt;1997&lt;/Year&gt;&lt;RecNum&gt;783&lt;/RecNum&gt;&lt;DisplayText&gt;(Gubrium and Holstein 1997)&lt;/DisplayText&gt;&lt;record&gt;&lt;rec-number&gt;783&lt;/rec-number&gt;&lt;foreign-keys&gt;&lt;key app="EN" db-id="xa2r2ewea92trkef5dt5arvbzafvpv2za5ft" timestamp="1496417593"&gt;783&lt;/key&gt;&lt;/foreign-keys&gt;&lt;ref-type name="Book"&gt;6&lt;/ref-type&gt;&lt;contributors&gt;&lt;authors&gt;&lt;author&gt;Gubrium, Jaber F&lt;/author&gt;&lt;author&gt;Holstein, James A&lt;/author&gt;&lt;/authors&gt;&lt;/contributors&gt;&lt;titles&gt;&lt;title&gt;The new language of qualitative method&lt;/title&gt;&lt;/titles&gt;&lt;dates&gt;&lt;year&gt;1997&lt;/year&gt;&lt;/dates&gt;&lt;publisher&gt;Oxford University Press on Demand&lt;/publisher&gt;&lt;isbn&gt;019509994X&lt;/isbn&gt;&lt;urls&gt;&lt;/urls&gt;&lt;/record&gt;&lt;/Cite&gt;&lt;/EndNote&gt;</w:instrText>
      </w:r>
      <w:r w:rsidR="00EF281A" w:rsidRPr="003726FE">
        <w:rPr>
          <w:lang w:val="en-GB"/>
        </w:rPr>
        <w:fldChar w:fldCharType="separate"/>
      </w:r>
      <w:r w:rsidR="004E5A78" w:rsidRPr="003726FE">
        <w:rPr>
          <w:noProof/>
          <w:lang w:val="en-GB"/>
        </w:rPr>
        <w:t>(</w:t>
      </w:r>
      <w:hyperlink w:anchor="_ENREF_175" w:tooltip="Gubrium, 1997 #783" w:history="1">
        <w:r w:rsidR="0094469E" w:rsidRPr="003726FE">
          <w:rPr>
            <w:noProof/>
            <w:lang w:val="en-GB"/>
          </w:rPr>
          <w:t>Gubrium and Holstein 1997</w:t>
        </w:r>
      </w:hyperlink>
      <w:r w:rsidR="004E5A78" w:rsidRPr="003726FE">
        <w:rPr>
          <w:noProof/>
          <w:lang w:val="en-GB"/>
        </w:rPr>
        <w:t>)</w:t>
      </w:r>
      <w:r w:rsidR="00EF281A" w:rsidRPr="003726FE">
        <w:rPr>
          <w:lang w:val="en-GB"/>
        </w:rPr>
        <w:fldChar w:fldCharType="end"/>
      </w:r>
      <w:r w:rsidRPr="003726FE">
        <w:rPr>
          <w:lang w:val="en-GB"/>
        </w:rPr>
        <w:t xml:space="preserve">. They are widely used in the wider educational </w:t>
      </w:r>
      <w:r w:rsidR="00EF281A" w:rsidRPr="003726FE">
        <w:rPr>
          <w:lang w:val="en-GB"/>
        </w:rPr>
        <w:fldChar w:fldCharType="begin"/>
      </w:r>
      <w:r w:rsidR="008B61BE">
        <w:rPr>
          <w:lang w:val="en-GB"/>
        </w:rPr>
        <w:instrText xml:space="preserve"> ADDIN EN.CITE &lt;EndNote&gt;&lt;Cite&gt;&lt;Author&gt;Denzin&lt;/Author&gt;&lt;Year&gt;2011&lt;/Year&gt;&lt;RecNum&gt;784&lt;/RecNum&gt;&lt;DisplayText&gt;(Denzin and Lincoln 2011)&lt;/DisplayText&gt;&lt;record&gt;&lt;rec-number&gt;784&lt;/rec-number&gt;&lt;foreign-keys&gt;&lt;key app="EN" db-id="xa2r2ewea92trkef5dt5arvbzafvpv2za5ft" timestamp="1496417593"&gt;784&lt;/key&gt;&lt;/foreign-keys&gt;&lt;ref-type name="Book"&gt;6&lt;/ref-type&gt;&lt;contributors&gt;&lt;authors&gt;&lt;author&gt;Denzin, Norman K&lt;/author&gt;&lt;author&gt;Lincoln, Yvonna S&lt;/author&gt;&lt;/authors&gt;&lt;/contributors&gt;&lt;titles&gt;&lt;title&gt;The Sage handbook of qualitative research&lt;/title&gt;&lt;/titles&gt;&lt;dates&gt;&lt;year&gt;2011&lt;/year&gt;&lt;/dates&gt;&lt;publisher&gt;Sage&lt;/publisher&gt;&lt;isbn&gt;1412974178&lt;/isbn&gt;&lt;urls&gt;&lt;/urls&gt;&lt;/record&gt;&lt;/Cite&gt;&lt;/EndNote&gt;</w:instrText>
      </w:r>
      <w:r w:rsidR="00EF281A" w:rsidRPr="003726FE">
        <w:rPr>
          <w:lang w:val="en-GB"/>
        </w:rPr>
        <w:fldChar w:fldCharType="separate"/>
      </w:r>
      <w:r w:rsidR="004E5A78" w:rsidRPr="003726FE">
        <w:rPr>
          <w:noProof/>
          <w:lang w:val="en-GB"/>
        </w:rPr>
        <w:t>(</w:t>
      </w:r>
      <w:hyperlink w:anchor="_ENREF_120" w:tooltip="Denzin, 2011 #784" w:history="1">
        <w:r w:rsidR="0094469E" w:rsidRPr="003726FE">
          <w:rPr>
            <w:noProof/>
            <w:lang w:val="en-GB"/>
          </w:rPr>
          <w:t>Denzin and Lincoln 2011</w:t>
        </w:r>
      </w:hyperlink>
      <w:r w:rsidR="004E5A78" w:rsidRPr="003726FE">
        <w:rPr>
          <w:noProof/>
          <w:lang w:val="en-GB"/>
        </w:rPr>
        <w:t>)</w:t>
      </w:r>
      <w:r w:rsidR="00EF281A" w:rsidRPr="003726FE">
        <w:rPr>
          <w:lang w:val="en-GB"/>
        </w:rPr>
        <w:fldChar w:fldCharType="end"/>
      </w:r>
      <w:r w:rsidRPr="003726FE">
        <w:rPr>
          <w:lang w:val="en-GB"/>
        </w:rPr>
        <w:t xml:space="preserve"> and health professions research </w:t>
      </w:r>
      <w:r w:rsidR="00C257BE">
        <w:rPr>
          <w:lang w:val="en-GB"/>
        </w:rPr>
        <w:t xml:space="preserve">contexts </w:t>
      </w:r>
      <w:r w:rsidR="00EF281A" w:rsidRPr="003726FE">
        <w:rPr>
          <w:lang w:val="en-GB"/>
        </w:rPr>
        <w:fldChar w:fldCharType="begin"/>
      </w:r>
      <w:r w:rsidR="008B61BE">
        <w:rPr>
          <w:lang w:val="en-GB"/>
        </w:rPr>
        <w:instrText xml:space="preserve"> ADDIN EN.CITE &lt;EndNote&gt;&lt;Cite&gt;&lt;Author&gt;DiCicco</w:instrText>
      </w:r>
      <w:r w:rsidR="008B61BE">
        <w:rPr>
          <w:rFonts w:ascii="Cambria Math" w:hAnsi="Cambria Math" w:cs="Cambria Math"/>
          <w:lang w:val="en-GB"/>
        </w:rPr>
        <w:instrText>‐</w:instrText>
      </w:r>
      <w:r w:rsidR="008B61BE">
        <w:rPr>
          <w:lang w:val="en-GB"/>
        </w:rPr>
        <w:instrText>Bloom&lt;/Author&gt;&lt;Year&gt;2006&lt;/Year&gt;&lt;RecNum&gt;67&lt;/RecNum&gt;&lt;DisplayText&gt;(DiCicco</w:instrText>
      </w:r>
      <w:r w:rsidR="008B61BE">
        <w:rPr>
          <w:rFonts w:ascii="Cambria Math" w:hAnsi="Cambria Math" w:cs="Cambria Math"/>
          <w:lang w:val="en-GB"/>
        </w:rPr>
        <w:instrText>‐</w:instrText>
      </w:r>
      <w:r w:rsidR="008B61BE">
        <w:rPr>
          <w:lang w:val="en-GB"/>
        </w:rPr>
        <w:instrText>Bloom and Crabtree 2006)&lt;/DisplayText&gt;&lt;record&gt;&lt;rec-number&gt;67&lt;/rec-number&gt;&lt;foreign-keys&gt;&lt;key app="EN" db-id="xa2r2ewea92trkef5dt5arvbzafvpv2za5ft" timestamp="1442161763"&gt;67&lt;/key&gt;&lt;/foreign-keys&gt;&lt;ref-type name="Journal Article"&gt;17&lt;/ref-type&gt;&lt;contributors&gt;&lt;authors&gt;&lt;author&gt;DiCicco</w:instrText>
      </w:r>
      <w:r w:rsidR="008B61BE">
        <w:rPr>
          <w:rFonts w:ascii="Cambria Math" w:hAnsi="Cambria Math" w:cs="Cambria Math"/>
          <w:lang w:val="en-GB"/>
        </w:rPr>
        <w:instrText>‐</w:instrText>
      </w:r>
      <w:r w:rsidR="008B61BE">
        <w:rPr>
          <w:lang w:val="en-GB"/>
        </w:rPr>
        <w:instrText>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education&lt;/full-title&gt;&lt;/periodical&gt;&lt;pages&gt;314-321&lt;/pages&gt;&lt;volume&gt;40&lt;/volume&gt;&lt;number&gt;4&lt;/number&gt;&lt;dates&gt;&lt;year&gt;2006&lt;/year&gt;&lt;/dates&gt;&lt;publisher&gt;Wiley Online Library&lt;/publisher&gt;&lt;urls&gt;&lt;related-urls&gt;&lt;url&gt;http://onlinelibrary.wiley.com/store/10.1111/j.1365-2929.2006.02418.x/asset/j.1365-2929.2006.02418.x.pdf?v=1&amp;amp;t=ieipxuf7&amp;amp;s=3b6e6627b7e0b96129f87fa11737f67c17777ed8&lt;/url&gt;&lt;/related-urls&gt;&lt;/urls&gt;&lt;/record&gt;&lt;/Cite&gt;&lt;/EndNote&gt;</w:instrText>
      </w:r>
      <w:r w:rsidR="00EF281A" w:rsidRPr="003726FE">
        <w:rPr>
          <w:lang w:val="en-GB"/>
        </w:rPr>
        <w:fldChar w:fldCharType="separate"/>
      </w:r>
      <w:r w:rsidR="004E5A78" w:rsidRPr="003726FE">
        <w:rPr>
          <w:noProof/>
          <w:lang w:val="en-GB"/>
        </w:rPr>
        <w:t>(</w:t>
      </w:r>
      <w:hyperlink w:anchor="_ENREF_125" w:tooltip="DiCicco‐Bloom, 2006 #67" w:history="1">
        <w:r w:rsidR="0094469E" w:rsidRPr="003726FE">
          <w:rPr>
            <w:noProof/>
            <w:lang w:val="en-GB"/>
          </w:rPr>
          <w:t>DiCicco</w:t>
        </w:r>
        <w:r w:rsidR="0094469E" w:rsidRPr="003726FE">
          <w:rPr>
            <w:rFonts w:ascii="Cambria Math" w:hAnsi="Cambria Math" w:cs="Cambria Math"/>
            <w:noProof/>
            <w:lang w:val="en-GB"/>
          </w:rPr>
          <w:t>‐</w:t>
        </w:r>
        <w:r w:rsidR="0094469E" w:rsidRPr="003726FE">
          <w:rPr>
            <w:noProof/>
            <w:lang w:val="en-GB"/>
          </w:rPr>
          <w:t>Bloom and Crabtree 2006</w:t>
        </w:r>
      </w:hyperlink>
      <w:r w:rsidR="004E5A78" w:rsidRPr="003726FE">
        <w:rPr>
          <w:noProof/>
          <w:lang w:val="en-GB"/>
        </w:rPr>
        <w:t>)</w:t>
      </w:r>
      <w:r w:rsidR="00EF281A" w:rsidRPr="003726FE">
        <w:rPr>
          <w:lang w:val="en-GB"/>
        </w:rPr>
        <w:fldChar w:fldCharType="end"/>
      </w:r>
      <w:r w:rsidRPr="003726FE">
        <w:rPr>
          <w:lang w:val="en-GB"/>
        </w:rPr>
        <w:t xml:space="preserve">. Interviews are </w:t>
      </w:r>
      <w:r w:rsidR="00C257BE">
        <w:rPr>
          <w:lang w:val="en-GB"/>
        </w:rPr>
        <w:t>also a</w:t>
      </w:r>
      <w:r w:rsidRPr="003726FE">
        <w:rPr>
          <w:lang w:val="en-GB"/>
        </w:rPr>
        <w:t xml:space="preserve"> qualitative </w:t>
      </w:r>
      <w:r w:rsidR="00DD40A6" w:rsidRPr="003726FE">
        <w:rPr>
          <w:lang w:val="en-GB"/>
        </w:rPr>
        <w:t>method</w:t>
      </w:r>
      <w:r w:rsidRPr="003726FE">
        <w:rPr>
          <w:lang w:val="en-GB"/>
        </w:rPr>
        <w:t xml:space="preserve"> used to </w:t>
      </w:r>
      <w:r w:rsidR="009A1184">
        <w:rPr>
          <w:lang w:val="en-GB"/>
        </w:rPr>
        <w:t>evaluate</w:t>
      </w:r>
      <w:r w:rsidRPr="003726FE">
        <w:rPr>
          <w:lang w:val="en-GB"/>
        </w:rPr>
        <w:t xml:space="preserve"> students’ SRL beliefs in medical education research </w:t>
      </w:r>
      <w:r w:rsidRPr="003726FE">
        <w:rPr>
          <w:lang w:val="en-GB"/>
        </w:rPr>
        <w:fldChar w:fldCharType="begin"/>
      </w:r>
      <w:r w:rsidR="008B61BE">
        <w:rPr>
          <w:lang w:val="en-GB"/>
        </w:rPr>
        <w:instrText xml:space="preserve"> ADDIN EN.CITE &lt;EndNote&gt;&lt;Cite&gt;&lt;Author&gt;Zimmerman&lt;/Author&gt;&lt;Year&gt;1988&lt;/Year&gt;&lt;RecNum&gt;281&lt;/RecNum&gt;&lt;DisplayText&gt;(Zimmerman and Martinez-Pons 1988; Watling and Lingard 2012)&lt;/DisplayText&gt;&lt;record&gt;&lt;rec-number&gt;281&lt;/rec-number&gt;&lt;foreign-keys&gt;&lt;key app="EN" db-id="xa2r2ewea92trkef5dt5arvbzafvpv2za5ft" timestamp="1442161766"&gt;281&lt;/key&gt;&lt;/foreign-keys&gt;&lt;ref-type name="Journal Article"&gt;17&lt;/ref-type&gt;&lt;contributors&gt;&lt;authors&gt;&lt;author&gt;Zimmerman, Barry J.&lt;/author&gt;&lt;author&gt;Martinez-Pons, Manuel&lt;/author&gt;&lt;/authors&gt;&lt;/contributors&gt;&lt;titles&gt;&lt;title&gt;Construct validation of a strategy model of student self-regulated learning&lt;/title&gt;&lt;secondary-title&gt;Journal of educational psychology&lt;/secondary-title&gt;&lt;/titles&gt;&lt;periodical&gt;&lt;full-title&gt;Journal of educational psychology&lt;/full-title&gt;&lt;/periodical&gt;&lt;pages&gt;284&lt;/pages&gt;&lt;volume&gt;80&lt;/volume&gt;&lt;number&gt;3&lt;/number&gt;&lt;dates&gt;&lt;year&gt;1988&lt;/year&gt;&lt;/dates&gt;&lt;publisher&gt;American Psychological Association&lt;/publisher&gt;&lt;urls&gt;&lt;/urls&gt;&lt;/record&gt;&lt;/Cite&gt;&lt;Cite&gt;&lt;Author&gt;Watling&lt;/Author&gt;&lt;Year&gt;2012&lt;/Year&gt;&lt;RecNum&gt;785&lt;/RecNum&gt;&lt;record&gt;&lt;rec-number&gt;785&lt;/rec-number&gt;&lt;foreign-keys&gt;&lt;key app="EN" db-id="xa2r2ewea92trkef5dt5arvbzafvpv2za5ft" timestamp="1496417593"&gt;785&lt;/key&gt;&lt;/foreign-keys&gt;&lt;ref-type name="Journal Article"&gt;17&lt;/ref-type&gt;&lt;contributors&gt;&lt;authors&gt;&lt;author&gt;Watling, Christopher J&lt;/author&gt;&lt;author&gt;Lingard, Lorelei&lt;/author&gt;&lt;/authors&gt;&lt;/contributors&gt;&lt;titles&gt;&lt;title&gt;Toward meaningful evaluation of medical trainees: the influence of participants’ perceptions of the process&lt;/title&gt;&lt;secondary-title&gt;Advances in health sciences education&lt;/secondary-title&gt;&lt;/titles&gt;&lt;periodical&gt;&lt;full-title&gt;Advances in Health Sciences Education&lt;/full-title&gt;&lt;/periodical&gt;&lt;pages&gt;183-194&lt;/pages&gt;&lt;volume&gt;17&lt;/volume&gt;&lt;number&gt;2&lt;/number&gt;&lt;dates&gt;&lt;year&gt;2012&lt;/year&gt;&lt;/dates&gt;&lt;isbn&gt;1382-4996&lt;/isbn&gt;&lt;urls&gt;&lt;/urls&gt;&lt;/record&gt;&lt;/Cite&gt;&lt;/EndNote&gt;</w:instrText>
      </w:r>
      <w:r w:rsidRPr="003726FE">
        <w:rPr>
          <w:lang w:val="en-GB"/>
        </w:rPr>
        <w:fldChar w:fldCharType="separate"/>
      </w:r>
      <w:r w:rsidR="004E5A78" w:rsidRPr="003726FE">
        <w:rPr>
          <w:noProof/>
          <w:lang w:val="en-GB"/>
        </w:rPr>
        <w:t>(</w:t>
      </w:r>
      <w:hyperlink w:anchor="_ENREF_463" w:tooltip="Zimmerman, 1988 #281" w:history="1">
        <w:r w:rsidR="0094469E" w:rsidRPr="003726FE">
          <w:rPr>
            <w:noProof/>
            <w:lang w:val="en-GB"/>
          </w:rPr>
          <w:t>Zimmerman and Martinez-Pons 1988</w:t>
        </w:r>
      </w:hyperlink>
      <w:r w:rsidR="004E5A78" w:rsidRPr="003726FE">
        <w:rPr>
          <w:noProof/>
          <w:lang w:val="en-GB"/>
        </w:rPr>
        <w:t xml:space="preserve">; </w:t>
      </w:r>
      <w:hyperlink w:anchor="_ENREF_428" w:tooltip="Watling, 2012 #785" w:history="1">
        <w:r w:rsidR="0094469E" w:rsidRPr="003726FE">
          <w:rPr>
            <w:noProof/>
            <w:lang w:val="en-GB"/>
          </w:rPr>
          <w:t>Watling and Lingard 2012</w:t>
        </w:r>
      </w:hyperlink>
      <w:r w:rsidR="004E5A78" w:rsidRPr="003726FE">
        <w:rPr>
          <w:noProof/>
          <w:lang w:val="en-GB"/>
        </w:rPr>
        <w:t>)</w:t>
      </w:r>
      <w:r w:rsidRPr="003726FE">
        <w:rPr>
          <w:lang w:val="en-GB"/>
        </w:rPr>
        <w:fldChar w:fldCharType="end"/>
      </w:r>
      <w:r w:rsidRPr="003726FE">
        <w:rPr>
          <w:lang w:val="en-GB"/>
        </w:rPr>
        <w:t xml:space="preserve">. </w:t>
      </w:r>
    </w:p>
    <w:p w14:paraId="7D2F9386" w14:textId="77777777" w:rsidR="00874437" w:rsidRPr="003726FE" w:rsidRDefault="00874437" w:rsidP="00026049">
      <w:pPr>
        <w:pStyle w:val="Normal1"/>
        <w:rPr>
          <w:lang w:val="en-GB"/>
        </w:rPr>
      </w:pPr>
    </w:p>
    <w:p w14:paraId="253B8999" w14:textId="242FD27F" w:rsidR="00874437" w:rsidRPr="003726FE" w:rsidRDefault="00874437" w:rsidP="00026049">
      <w:pPr>
        <w:pStyle w:val="Normal1"/>
        <w:rPr>
          <w:lang w:val="en-GB"/>
        </w:rPr>
      </w:pPr>
      <w:r w:rsidRPr="003726FE">
        <w:rPr>
          <w:lang w:val="en-GB"/>
        </w:rPr>
        <w:t xml:space="preserve">A semi-structured interview style was adopted </w:t>
      </w:r>
      <w:r w:rsidR="00C257BE">
        <w:rPr>
          <w:lang w:val="en-GB"/>
        </w:rPr>
        <w:t xml:space="preserve">with which </w:t>
      </w:r>
      <w:r w:rsidRPr="003726FE">
        <w:rPr>
          <w:lang w:val="en-GB"/>
        </w:rPr>
        <w:t xml:space="preserve">to collect qualitative data from </w:t>
      </w:r>
      <w:r w:rsidR="00A15E70">
        <w:rPr>
          <w:lang w:val="en-GB"/>
        </w:rPr>
        <w:t>teachers and students. They used</w:t>
      </w:r>
      <w:r w:rsidRPr="003726FE">
        <w:rPr>
          <w:lang w:val="en-GB"/>
        </w:rPr>
        <w:t xml:space="preserve"> open-ended questions designed to address the overarching topics </w:t>
      </w:r>
      <w:r w:rsidR="00DD40A6" w:rsidRPr="003726FE">
        <w:rPr>
          <w:lang w:val="en-GB"/>
        </w:rPr>
        <w:t>and</w:t>
      </w:r>
      <w:r w:rsidRPr="003726FE">
        <w:rPr>
          <w:lang w:val="en-GB"/>
        </w:rPr>
        <w:t xml:space="preserve"> constructs under study </w:t>
      </w:r>
      <w:r w:rsidR="00EF281A" w:rsidRPr="003726FE">
        <w:rPr>
          <w:lang w:val="en-GB"/>
        </w:rPr>
        <w:fldChar w:fldCharType="begin"/>
      </w:r>
      <w:r w:rsidR="008B61BE">
        <w:rPr>
          <w:lang w:val="en-GB"/>
        </w:rPr>
        <w:instrText xml:space="preserve"> ADDIN EN.CITE &lt;EndNote&gt;&lt;Cite&gt;&lt;Author&gt;DiCicco</w:instrText>
      </w:r>
      <w:r w:rsidR="008B61BE">
        <w:rPr>
          <w:rFonts w:ascii="Cambria Math" w:hAnsi="Cambria Math" w:cs="Cambria Math"/>
          <w:lang w:val="en-GB"/>
        </w:rPr>
        <w:instrText>‐</w:instrText>
      </w:r>
      <w:r w:rsidR="008B61BE">
        <w:rPr>
          <w:lang w:val="en-GB"/>
        </w:rPr>
        <w:instrText>Bloom&lt;/Author&gt;&lt;Year&gt;2006&lt;/Year&gt;&lt;RecNum&gt;67&lt;/RecNum&gt;&lt;DisplayText&gt;(DiCicco</w:instrText>
      </w:r>
      <w:r w:rsidR="008B61BE">
        <w:rPr>
          <w:rFonts w:ascii="Cambria Math" w:hAnsi="Cambria Math" w:cs="Cambria Math"/>
          <w:lang w:val="en-GB"/>
        </w:rPr>
        <w:instrText>‐</w:instrText>
      </w:r>
      <w:r w:rsidR="008B61BE">
        <w:rPr>
          <w:lang w:val="en-GB"/>
        </w:rPr>
        <w:instrText>Bloom and Crabtree 2006)&lt;/DisplayText&gt;&lt;record&gt;&lt;rec-number&gt;67&lt;/rec-number&gt;&lt;foreign-keys&gt;&lt;key app="EN" db-id="xa2r2ewea92trkef5dt5arvbzafvpv2za5ft" timestamp="1442161763"&gt;67&lt;/key&gt;&lt;/foreign-keys&gt;&lt;ref-type name="Journal Article"&gt;17&lt;/ref-type&gt;&lt;contributors&gt;&lt;authors&gt;&lt;author&gt;DiCicco</w:instrText>
      </w:r>
      <w:r w:rsidR="008B61BE">
        <w:rPr>
          <w:rFonts w:ascii="Cambria Math" w:hAnsi="Cambria Math" w:cs="Cambria Math"/>
          <w:lang w:val="en-GB"/>
        </w:rPr>
        <w:instrText>‐</w:instrText>
      </w:r>
      <w:r w:rsidR="008B61BE">
        <w:rPr>
          <w:lang w:val="en-GB"/>
        </w:rPr>
        <w:instrText>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education&lt;/full-title&gt;&lt;/periodical&gt;&lt;pages&gt;314-321&lt;/pages&gt;&lt;volume&gt;40&lt;/volume&gt;&lt;number&gt;4&lt;/number&gt;&lt;dates&gt;&lt;year&gt;2006&lt;/year&gt;&lt;/dates&gt;&lt;publisher&gt;Wiley Online Library&lt;/publisher&gt;&lt;urls&gt;&lt;related-urls&gt;&lt;url&gt;http://onlinelibrary.wiley.com/store/10.1111/j.1365-2929.2006.02418.x/asset/j.1365-2929.2006.02418.x.pdf?v=1&amp;amp;t=ieipxuf7&amp;amp;s=3b6e6627b7e0b96129f87fa11737f67c17777ed8&lt;/url&gt;&lt;/related-urls&gt;&lt;/urls&gt;&lt;/record&gt;&lt;/Cite&gt;&lt;/EndNote&gt;</w:instrText>
      </w:r>
      <w:r w:rsidR="00EF281A" w:rsidRPr="003726FE">
        <w:rPr>
          <w:lang w:val="en-GB"/>
        </w:rPr>
        <w:fldChar w:fldCharType="separate"/>
      </w:r>
      <w:r w:rsidR="004E5A78" w:rsidRPr="003726FE">
        <w:rPr>
          <w:noProof/>
          <w:lang w:val="en-GB"/>
        </w:rPr>
        <w:t>(</w:t>
      </w:r>
      <w:hyperlink w:anchor="_ENREF_125" w:tooltip="DiCicco‐Bloom, 2006 #67" w:history="1">
        <w:r w:rsidR="0094469E" w:rsidRPr="003726FE">
          <w:rPr>
            <w:noProof/>
            <w:lang w:val="en-GB"/>
          </w:rPr>
          <w:t>DiCicco</w:t>
        </w:r>
        <w:r w:rsidR="0094469E" w:rsidRPr="003726FE">
          <w:rPr>
            <w:rFonts w:ascii="Cambria Math" w:hAnsi="Cambria Math" w:cs="Cambria Math"/>
            <w:noProof/>
            <w:lang w:val="en-GB"/>
          </w:rPr>
          <w:t>‐</w:t>
        </w:r>
        <w:r w:rsidR="0094469E" w:rsidRPr="003726FE">
          <w:rPr>
            <w:noProof/>
            <w:lang w:val="en-GB"/>
          </w:rPr>
          <w:t>Bloom and Crabtree 2006</w:t>
        </w:r>
      </w:hyperlink>
      <w:r w:rsidR="004E5A78" w:rsidRPr="003726FE">
        <w:rPr>
          <w:noProof/>
          <w:lang w:val="en-GB"/>
        </w:rPr>
        <w:t>)</w:t>
      </w:r>
      <w:r w:rsidR="00EF281A" w:rsidRPr="003726FE">
        <w:rPr>
          <w:lang w:val="en-GB"/>
        </w:rPr>
        <w:fldChar w:fldCharType="end"/>
      </w:r>
      <w:r w:rsidRPr="003726FE">
        <w:rPr>
          <w:lang w:val="en-GB"/>
        </w:rPr>
        <w:t xml:space="preserve">. </w:t>
      </w:r>
      <w:r w:rsidR="00DD40A6" w:rsidRPr="003726FE">
        <w:rPr>
          <w:lang w:val="en-GB"/>
        </w:rPr>
        <w:t>T</w:t>
      </w:r>
      <w:r w:rsidRPr="003726FE">
        <w:rPr>
          <w:lang w:val="en-GB"/>
        </w:rPr>
        <w:t xml:space="preserve">his style </w:t>
      </w:r>
      <w:r w:rsidR="00DD40A6" w:rsidRPr="003726FE">
        <w:rPr>
          <w:lang w:val="en-GB"/>
        </w:rPr>
        <w:t xml:space="preserve">was chosen </w:t>
      </w:r>
      <w:r w:rsidR="00F0354B">
        <w:rPr>
          <w:lang w:val="en-GB"/>
        </w:rPr>
        <w:t>because of its versatility;</w:t>
      </w:r>
      <w:r w:rsidRPr="003726FE">
        <w:rPr>
          <w:lang w:val="en-GB"/>
        </w:rPr>
        <w:t xml:space="preserve"> it can be used to cover a pre-determined list of topics but allows the interviewer to interpret and explore during the interview to investigate emerging ideas and contradictions in the participant’s account </w:t>
      </w:r>
      <w:r w:rsidR="00EF281A" w:rsidRPr="003726FE">
        <w:rPr>
          <w:lang w:val="en-GB"/>
        </w:rPr>
        <w:fldChar w:fldCharType="begin"/>
      </w:r>
      <w:r w:rsidR="008B61BE">
        <w:rPr>
          <w:lang w:val="en-GB"/>
        </w:rPr>
        <w:instrText xml:space="preserve"> ADDIN EN.CITE &lt;EndNote&gt;&lt;Cite&gt;&lt;Author&gt;Fylan&lt;/Author&gt;&lt;Year&gt;2005&lt;/Year&gt;&lt;RecNum&gt;85&lt;/RecNum&gt;&lt;DisplayText&gt;(Fylan 2005)&lt;/DisplayText&gt;&lt;record&gt;&lt;rec-number&gt;85&lt;/rec-number&gt;&lt;foreign-keys&gt;&lt;key app="EN" db-id="xa2r2ewea92trkef5dt5arvbzafvpv2za5ft" timestamp="1442161764"&gt;85&lt;/key&gt;&lt;/foreign-keys&gt;&lt;ref-type name="Journal Article"&gt;17&lt;/ref-type&gt;&lt;contributors&gt;&lt;authors&gt;&lt;author&gt;Fylan, Fiona&lt;/author&gt;&lt;/authors&gt;&lt;/contributors&gt;&lt;titles&gt;&lt;title&gt;Semi structured interviewing&lt;/title&gt;&lt;secondary-title&gt;A handbook of research methods for clinical and health psychology&lt;/secondary-title&gt;&lt;/titles&gt;&lt;periodical&gt;&lt;full-title&gt;A handbook of research methods for clinical and health psychology&lt;/full-title&gt;&lt;/periodical&gt;&lt;pages&gt;65-78&lt;/pages&gt;&lt;dates&gt;&lt;year&gt;2005&lt;/year&gt;&lt;/dates&gt;&lt;urls&gt;&lt;/urls&gt;&lt;/record&gt;&lt;/Cite&gt;&lt;/EndNote&gt;</w:instrText>
      </w:r>
      <w:r w:rsidR="00EF281A" w:rsidRPr="003726FE">
        <w:rPr>
          <w:lang w:val="en-GB"/>
        </w:rPr>
        <w:fldChar w:fldCharType="separate"/>
      </w:r>
      <w:r w:rsidR="004E5A78" w:rsidRPr="003726FE">
        <w:rPr>
          <w:noProof/>
          <w:lang w:val="en-GB"/>
        </w:rPr>
        <w:t>(</w:t>
      </w:r>
      <w:hyperlink w:anchor="_ENREF_155" w:tooltip="Fylan, 2005 #85" w:history="1">
        <w:r w:rsidR="0094469E" w:rsidRPr="003726FE">
          <w:rPr>
            <w:noProof/>
            <w:lang w:val="en-GB"/>
          </w:rPr>
          <w:t>Fylan 2005</w:t>
        </w:r>
      </w:hyperlink>
      <w:r w:rsidR="004E5A78" w:rsidRPr="003726FE">
        <w:rPr>
          <w:noProof/>
          <w:lang w:val="en-GB"/>
        </w:rPr>
        <w:t>)</w:t>
      </w:r>
      <w:r w:rsidR="00EF281A" w:rsidRPr="003726FE">
        <w:rPr>
          <w:lang w:val="en-GB"/>
        </w:rPr>
        <w:fldChar w:fldCharType="end"/>
      </w:r>
      <w:r w:rsidRPr="003726FE">
        <w:rPr>
          <w:lang w:val="en-GB"/>
        </w:rPr>
        <w:t>. Other more structured interview styles restrict this explor</w:t>
      </w:r>
      <w:r w:rsidR="000155D5" w:rsidRPr="003726FE">
        <w:rPr>
          <w:lang w:val="en-GB"/>
        </w:rPr>
        <w:t>ation and resemble data-mining</w:t>
      </w:r>
      <w:r w:rsidRPr="003726FE">
        <w:rPr>
          <w:lang w:val="en-GB"/>
        </w:rPr>
        <w:t xml:space="preserve"> exercises where the participant is viewed as a </w:t>
      </w:r>
      <w:r w:rsidR="00D64D7C">
        <w:rPr>
          <w:lang w:val="en-GB"/>
        </w:rPr>
        <w:t>receptacle</w:t>
      </w:r>
      <w:r w:rsidRPr="003726FE">
        <w:rPr>
          <w:lang w:val="en-GB"/>
        </w:rPr>
        <w:t xml:space="preserve"> of information</w:t>
      </w:r>
      <w:r w:rsidR="00A15E70">
        <w:rPr>
          <w:lang w:val="en-GB"/>
        </w:rPr>
        <w:t xml:space="preserve"> for extraction</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&lt;EndNote&gt;&lt;Cite&gt;&lt;Author&gt;Fylan&lt;/Author&gt;&lt;Year&gt;2005&lt;/Year&gt;&lt;RecNum&gt;85&lt;/RecNum&gt;&lt;Pages&gt;26&lt;/Pages&gt;&lt;DisplayText&gt;(Fylan 2005, p. 26)&lt;/DisplayText&gt;&lt;record&gt;&lt;rec-number&gt;85&lt;/rec-number&gt;&lt;foreign-keys&gt;&lt;key app="EN" db-id="xa2r2ewea92trkef5dt5arvbzafvpv2za5ft" timestamp="1442161764"&gt;85&lt;/key&gt;&lt;/foreign-keys&gt;&lt;ref-type name="Journal Article"&gt;17&lt;/ref-type&gt;&lt;contributors&gt;&lt;authors&gt;&lt;author&gt;Fylan, Fiona&lt;/author&gt;&lt;/authors&gt;&lt;/contributors&gt;&lt;titles&gt;&lt;title&gt;Semi structured interviewing&lt;/title&gt;&lt;secondary-title&gt;A handbook of research methods for clinical and health psychology&lt;/secondary-title&gt;&lt;/titles&gt;&lt;periodical&gt;&lt;full-title&gt;A handbook of research methods for clinical and health psychology&lt;/full-title&gt;&lt;/periodical&gt;&lt;pages&gt;65-78&lt;/pages&gt;&lt;dates&gt;&lt;year&gt;2005&lt;/year&gt;&lt;/dates&gt;&lt;urls&gt;&lt;/urls&gt;&lt;/record&gt;&lt;/Cite&gt;&lt;/EndNote&gt;</w:instrText>
      </w:r>
      <w:r w:rsidR="00EF281A" w:rsidRPr="003726FE">
        <w:rPr>
          <w:lang w:val="en-GB"/>
        </w:rPr>
        <w:fldChar w:fldCharType="separate"/>
      </w:r>
      <w:r w:rsidR="004E5A78" w:rsidRPr="003726FE">
        <w:rPr>
          <w:noProof/>
          <w:lang w:val="en-GB"/>
        </w:rPr>
        <w:t>(</w:t>
      </w:r>
      <w:hyperlink w:anchor="_ENREF_155" w:tooltip="Fylan, 2005 #85" w:history="1">
        <w:r w:rsidR="0094469E" w:rsidRPr="003726FE">
          <w:rPr>
            <w:noProof/>
            <w:lang w:val="en-GB"/>
          </w:rPr>
          <w:t>Fylan 2005, p. 26</w:t>
        </w:r>
      </w:hyperlink>
      <w:r w:rsidR="004E5A78" w:rsidRPr="003726FE">
        <w:rPr>
          <w:noProof/>
          <w:lang w:val="en-GB"/>
        </w:rPr>
        <w:t>)</w:t>
      </w:r>
      <w:r w:rsidR="00EF281A" w:rsidRPr="003726FE">
        <w:rPr>
          <w:lang w:val="en-GB"/>
        </w:rPr>
        <w:fldChar w:fldCharType="end"/>
      </w:r>
      <w:r w:rsidRPr="003726FE">
        <w:rPr>
          <w:lang w:val="en-GB"/>
        </w:rPr>
        <w:t>.</w:t>
      </w:r>
    </w:p>
    <w:p w14:paraId="781A6741" w14:textId="77777777" w:rsidR="00874437" w:rsidRPr="003726FE" w:rsidRDefault="00874437" w:rsidP="00026049">
      <w:pPr>
        <w:pStyle w:val="Normal1"/>
        <w:rPr>
          <w:lang w:val="en-GB"/>
        </w:rPr>
      </w:pPr>
    </w:p>
    <w:p w14:paraId="47578724" w14:textId="77777777" w:rsidR="007638B6" w:rsidRDefault="00874437" w:rsidP="00026049">
      <w:pPr>
        <w:pStyle w:val="Normal1"/>
        <w:rPr>
          <w:lang w:val="en-GB"/>
        </w:rPr>
      </w:pPr>
      <w:r w:rsidRPr="003726FE">
        <w:rPr>
          <w:lang w:val="en-GB"/>
        </w:rPr>
        <w:lastRenderedPageBreak/>
        <w:t xml:space="preserve">In this study, a consistent methodological approach was applied to </w:t>
      </w:r>
      <w:r w:rsidR="00282943">
        <w:rPr>
          <w:lang w:val="en-GB"/>
        </w:rPr>
        <w:t xml:space="preserve">all </w:t>
      </w:r>
      <w:r w:rsidRPr="003726FE">
        <w:rPr>
          <w:lang w:val="en-GB"/>
        </w:rPr>
        <w:t>interviews with some practical variations to topic guides and procedure</w:t>
      </w:r>
      <w:r w:rsidR="00D64D7C">
        <w:rPr>
          <w:lang w:val="en-GB"/>
        </w:rPr>
        <w:t>s</w:t>
      </w:r>
      <w:r w:rsidRPr="003726FE">
        <w:rPr>
          <w:lang w:val="en-GB"/>
        </w:rPr>
        <w:t xml:space="preserve"> </w:t>
      </w:r>
      <w:r w:rsidR="00A15E70">
        <w:rPr>
          <w:lang w:val="en-GB"/>
        </w:rPr>
        <w:t>that</w:t>
      </w:r>
      <w:r w:rsidRPr="003726FE">
        <w:rPr>
          <w:lang w:val="en-GB"/>
        </w:rPr>
        <w:t xml:space="preserve"> are discussed in Chapters </w:t>
      </w:r>
      <w:r w:rsidR="000155D5" w:rsidRPr="003726FE">
        <w:rPr>
          <w:lang w:val="en-GB"/>
        </w:rPr>
        <w:t>B2 and C2</w:t>
      </w:r>
      <w:r w:rsidRPr="003726FE">
        <w:rPr>
          <w:lang w:val="en-GB"/>
        </w:rPr>
        <w:t xml:space="preserve">. Following the guidance of </w:t>
      </w:r>
      <w:hyperlink w:anchor="_ENREF_231" w:tooltip="Kvale, 2008 #786" w:history="1">
        <w:r w:rsidR="0094469E" w:rsidRPr="003726FE">
          <w:rPr>
            <w:lang w:val="en-GB"/>
          </w:rPr>
          <w:fldChar w:fldCharType="begin"/>
        </w:r>
        <w:r w:rsidR="0094469E">
          <w:rPr>
            <w:lang w:val="en-GB"/>
          </w:rPr>
          <w:instrText xml:space="preserve"> ADDIN EN.CITE &lt;EndNote&gt;&lt;Cite AuthorYear="1"&gt;&lt;Author&gt;Kvale&lt;/Author&gt;&lt;Year&gt;2008&lt;/Year&gt;&lt;RecNum&gt;786&lt;/RecNum&gt;&lt;DisplayText&gt;Kvale (2008)&lt;/DisplayText&gt;&lt;record&gt;&lt;rec-number&gt;786&lt;/rec-number&gt;&lt;foreign-keys&gt;&lt;key app="EN" db-id="xa2r2ewea92trkef5dt5arvbzafvpv2za5ft" timestamp="1496417594"&gt;786&lt;/key&gt;&lt;/foreign-keys&gt;&lt;ref-type name="Book"&gt;6&lt;/ref-type&gt;&lt;contributors&gt;&lt;authors&gt;&lt;author&gt;Kvale, Steinar&lt;/author&gt;&lt;/authors&gt;&lt;/contributors&gt;&lt;titles&gt;&lt;title&gt;Doing interviews&lt;/title&gt;&lt;/titles&gt;&lt;dates&gt;&lt;year&gt;2008&lt;/year&gt;&lt;/dates&gt;&lt;publisher&gt;Sage&lt;/publisher&gt;&lt;isbn&gt;1446205193&lt;/isbn&gt;&lt;urls&gt;&lt;/urls&gt;&lt;/record&gt;&lt;/Cite&gt;&lt;/EndNote&gt;</w:instrText>
        </w:r>
        <w:r w:rsidR="0094469E" w:rsidRPr="003726FE">
          <w:rPr>
            <w:lang w:val="en-GB"/>
          </w:rPr>
          <w:fldChar w:fldCharType="separate"/>
        </w:r>
        <w:r w:rsidR="0094469E" w:rsidRPr="003726FE">
          <w:rPr>
            <w:noProof/>
            <w:lang w:val="en-GB"/>
          </w:rPr>
          <w:t>Kvale (2008)</w:t>
        </w:r>
        <w:r w:rsidR="0094469E" w:rsidRPr="003726FE">
          <w:rPr>
            <w:lang w:val="en-GB"/>
          </w:rPr>
          <w:fldChar w:fldCharType="end"/>
        </w:r>
      </w:hyperlink>
      <w:r w:rsidRPr="003726FE">
        <w:rPr>
          <w:lang w:val="en-GB"/>
        </w:rPr>
        <w:t xml:space="preserve"> and </w:t>
      </w:r>
      <w:hyperlink w:anchor="_ENREF_271" w:tooltip="McNamara, 2009 #164" w:history="1">
        <w:r w:rsidR="0094469E" w:rsidRPr="003726FE">
          <w:rPr>
            <w:lang w:val="en-GB"/>
          </w:rPr>
          <w:fldChar w:fldCharType="begin"/>
        </w:r>
        <w:r w:rsidR="0094469E">
          <w:rPr>
            <w:lang w:val="en-GB"/>
          </w:rPr>
          <w:instrText xml:space="preserve"> ADDIN EN.CITE &lt;EndNote&gt;&lt;Cite AuthorYear="1"&gt;&lt;Author&gt;McNamara&lt;/Author&gt;&lt;Year&gt;2009&lt;/Year&gt;&lt;RecNum&gt;164&lt;/RecNum&gt;&lt;DisplayText&gt;McNamara (2009)&lt;/DisplayText&gt;&lt;record&gt;&lt;rec-number&gt;164&lt;/rec-number&gt;&lt;foreign-keys&gt;&lt;key app="EN" db-id="xa2r2ewea92trkef5dt5arvbzafvpv2za5ft" timestamp="1442161765"&gt;164&lt;/key&gt;&lt;/foreign-keys&gt;&lt;ref-type name="Journal Article"&gt;17&lt;/ref-type&gt;&lt;contributors&gt;&lt;authors&gt;&lt;author&gt;McNamara, C.&lt;/author&gt;&lt;/authors&gt;&lt;/contributors&gt;&lt;titles&gt;&lt;secondary-title&gt;General guidelines for conducting interviews.Retrieved June 8, 2011&lt;/secondary-title&gt;&lt;/titles&gt;&lt;periodical&gt;&lt;full-title&gt;General guidelines for conducting interviews.Retrieved June 8, 2011&lt;/full-title&gt;&lt;/periodical&gt;&lt;dates&gt;&lt;year&gt;2009&lt;/year&gt;&lt;/dates&gt;&lt;urls&gt;&lt;/urls&gt;&lt;/record&gt;&lt;/Cite&gt;&lt;/EndNote&gt;</w:instrText>
        </w:r>
        <w:r w:rsidR="0094469E" w:rsidRPr="003726FE">
          <w:rPr>
            <w:lang w:val="en-GB"/>
          </w:rPr>
          <w:fldChar w:fldCharType="separate"/>
        </w:r>
        <w:r w:rsidR="0094469E" w:rsidRPr="003726FE">
          <w:rPr>
            <w:noProof/>
            <w:lang w:val="en-GB"/>
          </w:rPr>
          <w:t>McNamara (2009)</w:t>
        </w:r>
        <w:r w:rsidR="0094469E" w:rsidRPr="003726FE">
          <w:rPr>
            <w:lang w:val="en-GB"/>
          </w:rPr>
          <w:fldChar w:fldCharType="end"/>
        </w:r>
      </w:hyperlink>
      <w:r w:rsidRPr="003726FE">
        <w:rPr>
          <w:lang w:val="en-GB"/>
        </w:rPr>
        <w:t xml:space="preserve">, topic guides were designed to address planned </w:t>
      </w:r>
      <w:r w:rsidR="00282943">
        <w:rPr>
          <w:lang w:val="en-GB"/>
        </w:rPr>
        <w:t>themes</w:t>
      </w:r>
      <w:r w:rsidRPr="003726FE">
        <w:rPr>
          <w:lang w:val="en-GB"/>
        </w:rPr>
        <w:t xml:space="preserve"> </w:t>
      </w:r>
      <w:r w:rsidR="00FB2B08">
        <w:rPr>
          <w:lang w:val="en-GB"/>
        </w:rPr>
        <w:t xml:space="preserve">and </w:t>
      </w:r>
      <w:r w:rsidRPr="003726FE">
        <w:rPr>
          <w:lang w:val="en-GB"/>
        </w:rPr>
        <w:t xml:space="preserve">were developed iteratively through subsequent critical reviews with the research team and after piloting. Both guides included prompting tools </w:t>
      </w:r>
      <w:r w:rsidRPr="003726FE">
        <w:rPr>
          <w:shd w:val="clear" w:color="auto" w:fill="FFFFFF"/>
          <w:lang w:val="en-GB"/>
        </w:rPr>
        <w:t xml:space="preserve">to expand and explore emerging factors or to clarify ambiguous statements </w:t>
      </w:r>
      <w:r w:rsidRPr="003726FE">
        <w:rPr>
          <w:shd w:val="clear" w:color="auto" w:fill="FFFFFF"/>
          <w:lang w:val="en-GB"/>
        </w:rPr>
        <w:fldChar w:fldCharType="begin"/>
      </w:r>
      <w:r w:rsidR="008B61BE">
        <w:rPr>
          <w:shd w:val="clear" w:color="auto" w:fill="FFFFFF"/>
          <w:lang w:val="en-GB"/>
        </w:rPr>
        <w:instrText xml:space="preserve"> ADDIN EN.CITE &lt;EndNote&gt;&lt;Cite&gt;&lt;Author&gt;Morse&lt;/Author&gt;&lt;Year&gt;1995&lt;/Year&gt;&lt;RecNum&gt;174&lt;/RecNum&gt;&lt;DisplayText&gt;(Morse and Field 1995; Creswell and Clark 2007)&lt;/DisplayText&gt;&lt;record&gt;&lt;rec-number&gt;174&lt;/rec-number&gt;&lt;foreign-keys&gt;&lt;key app="EN" db-id="xa2r2ewea92trkef5dt5arvbzafvpv2za5ft" timestamp="1442161765"&gt;174&lt;/key&gt;&lt;/foreign-keys&gt;&lt;ref-type name="Journal Article"&gt;17&lt;/ref-type&gt;&lt;contributors&gt;&lt;authors&gt;&lt;author&gt;Morse, Janice M.&lt;/author&gt;&lt;author&gt;Field, Peggy Anne&lt;/author&gt;&lt;/authors&gt;&lt;/contributors&gt;&lt;titles&gt;&lt;title&gt;Qualitative research methods for health professionals&lt;/title&gt;&lt;/titles&gt;&lt;dates&gt;&lt;year&gt;1995&lt;/year&gt;&lt;/dates&gt;&lt;publisher&gt;Sage Publications Thousand Oaks&lt;/publisher&gt;&lt;urls&gt;&lt;/urls&gt;&lt;/record&gt;&lt;/Cite&gt;&lt;Cite&gt;&lt;Author&gt;Creswell&lt;/Author&gt;&lt;Year&gt;2007&lt;/Year&gt;&lt;RecNum&gt;53&lt;/RecNum&gt;&lt;record&gt;&lt;rec-number&gt;53&lt;/rec-number&gt;&lt;foreign-keys&gt;&lt;key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Library&lt;/publisher&gt;&lt;urls&gt;&lt;/urls&gt;&lt;/record&gt;&lt;/Cite&gt;&lt;/EndNote&gt;</w:instrText>
      </w:r>
      <w:r w:rsidRPr="003726FE">
        <w:rPr>
          <w:shd w:val="clear" w:color="auto" w:fill="FFFFFF"/>
          <w:lang w:val="en-GB"/>
        </w:rPr>
        <w:fldChar w:fldCharType="separate"/>
      </w:r>
      <w:r w:rsidR="004E5A78" w:rsidRPr="003726FE">
        <w:rPr>
          <w:noProof/>
          <w:shd w:val="clear" w:color="auto" w:fill="FFFFFF"/>
          <w:lang w:val="en-GB"/>
        </w:rPr>
        <w:t>(</w:t>
      </w:r>
      <w:hyperlink w:anchor="_ENREF_289" w:tooltip="Morse, 1995 #174" w:history="1">
        <w:r w:rsidR="0094469E" w:rsidRPr="003726FE">
          <w:rPr>
            <w:noProof/>
            <w:shd w:val="clear" w:color="auto" w:fill="FFFFFF"/>
            <w:lang w:val="en-GB"/>
          </w:rPr>
          <w:t>Morse and Field 1995</w:t>
        </w:r>
      </w:hyperlink>
      <w:r w:rsidR="004E5A78" w:rsidRPr="003726FE">
        <w:rPr>
          <w:noProof/>
          <w:shd w:val="clear" w:color="auto" w:fill="FFFFFF"/>
          <w:lang w:val="en-GB"/>
        </w:rPr>
        <w:t xml:space="preserve">; </w:t>
      </w:r>
      <w:hyperlink w:anchor="_ENREF_99" w:tooltip="Creswell, 2007 #53" w:history="1">
        <w:r w:rsidR="0094469E" w:rsidRPr="003726FE">
          <w:rPr>
            <w:noProof/>
            <w:shd w:val="clear" w:color="auto" w:fill="FFFFFF"/>
            <w:lang w:val="en-GB"/>
          </w:rPr>
          <w:t>Creswell and Clark 2007</w:t>
        </w:r>
      </w:hyperlink>
      <w:r w:rsidR="004E5A78" w:rsidRPr="003726FE">
        <w:rPr>
          <w:noProof/>
          <w:shd w:val="clear" w:color="auto" w:fill="FFFFFF"/>
          <w:lang w:val="en-GB"/>
        </w:rPr>
        <w:t>)</w:t>
      </w:r>
      <w:r w:rsidRPr="003726FE">
        <w:rPr>
          <w:shd w:val="clear" w:color="auto" w:fill="FFFFFF"/>
          <w:lang w:val="en-GB"/>
        </w:rPr>
        <w:fldChar w:fldCharType="end"/>
      </w:r>
      <w:r w:rsidRPr="003726FE">
        <w:rPr>
          <w:shd w:val="clear" w:color="auto" w:fill="FFFFFF"/>
          <w:lang w:val="en-GB"/>
        </w:rPr>
        <w:t>.</w:t>
      </w:r>
      <w:r w:rsidRPr="003726FE">
        <w:rPr>
          <w:lang w:val="en-GB"/>
        </w:rPr>
        <w:t xml:space="preserve"> Interviews were recorded and transcribed verbatim to become more familiar with the data </w:t>
      </w:r>
      <w:r w:rsidRPr="003726FE">
        <w:rPr>
          <w:lang w:val="en-GB"/>
        </w:rPr>
        <w:fldChar w:fldCharType="begin"/>
      </w:r>
      <w:r w:rsidR="008B61BE">
        <w:rPr>
          <w:lang w:val="en-GB"/>
        </w:rPr>
        <w:instrText xml:space="preserve"> ADDIN EN.CITE &lt;EndNote&gt;&lt;Cite&gt;&lt;Author&gt;Seale&lt;/Author&gt;&lt;Year&gt;1999&lt;/Year&gt;&lt;RecNum&gt;233&lt;/RecNum&gt;&lt;DisplayText&gt;(Seale 1999; Rubin and Rubin 2011)&lt;/DisplayText&gt;&lt;record&gt;&lt;rec-number&gt;233&lt;/rec-number&gt;&lt;foreign-keys&gt;&lt;key app="EN" db-id="xa2r2ewea92trkef5dt5arvbzafvpv2za5ft" timestamp="1442161765"&gt;233&lt;/key&gt;&lt;/foreign-keys&gt;&lt;ref-type name="Journal Article"&gt;17&lt;/ref-type&gt;&lt;contributors&gt;&lt;authors&gt;&lt;author&gt;Seale, Clive&lt;/author&gt;&lt;/authors&gt;&lt;/contributors&gt;&lt;titles&gt;&lt;title&gt;Quality in qualitative research&lt;/title&gt;&lt;secondary-title&gt;Qualitative inquiry&lt;/secondary-title&gt;&lt;/titles&gt;&lt;periodical&gt;&lt;full-title&gt;Qualitative inquiry&lt;/full-title&gt;&lt;/periodical&gt;&lt;pages&gt;465-478&lt;/pages&gt;&lt;volume&gt;5&lt;/volume&gt;&lt;number&gt;4&lt;/number&gt;&lt;dates&gt;&lt;year&gt;1999&lt;/year&gt;&lt;/dates&gt;&lt;publisher&gt;Sage publications&lt;/publisher&gt;&lt;urls&gt;&lt;/urls&gt;&lt;/record&gt;&lt;/Cite&gt;&lt;Cite&gt;&lt;Author&gt;Rubin&lt;/Author&gt;&lt;Year&gt;2011&lt;/Year&gt;&lt;RecNum&gt;217&lt;/RecNum&gt;&lt;record&gt;&lt;rec-number&gt;217&lt;/rec-number&gt;&lt;foreign-keys&gt;&lt;key app="EN" db-id="xa2r2ewea92trkef5dt5arvbzafvpv2za5ft" timestamp="1442161765"&gt;217&lt;/key&gt;&lt;/foreign-keys&gt;&lt;ref-type name="Book"&gt;6&lt;/ref-type&gt;&lt;contributors&gt;&lt;authors&gt;&lt;author&gt;Rubin, Herbert J.&lt;/author&gt;&lt;author&gt;Rubin, Irene S.&lt;/author&gt;&lt;/authors&gt;&lt;/contributors&gt;&lt;titles&gt;&lt;title&gt;Qualitative interviewing: The art of hearing data&lt;/title&gt;&lt;/titles&gt;&lt;number&gt;Book, Whole&lt;/number&gt;&lt;dates&gt;&lt;year&gt;2011&lt;/year&gt;&lt;/dates&gt;&lt;publisher&gt;Sage&lt;/publisher&gt;&lt;urls&gt;&lt;/urls&gt;&lt;/record&gt;&lt;/Cite&gt;&lt;/EndNote&gt;</w:instrText>
      </w:r>
      <w:r w:rsidRPr="003726FE">
        <w:rPr>
          <w:lang w:val="en-GB"/>
        </w:rPr>
        <w:fldChar w:fldCharType="separate"/>
      </w:r>
      <w:r w:rsidR="004E5A78" w:rsidRPr="003726FE">
        <w:rPr>
          <w:noProof/>
          <w:lang w:val="en-GB"/>
        </w:rPr>
        <w:t>(</w:t>
      </w:r>
      <w:hyperlink w:anchor="_ENREF_379" w:tooltip="Seale, 1999 #233" w:history="1">
        <w:r w:rsidR="0094469E" w:rsidRPr="003726FE">
          <w:rPr>
            <w:noProof/>
            <w:lang w:val="en-GB"/>
          </w:rPr>
          <w:t>Seale 1999</w:t>
        </w:r>
      </w:hyperlink>
      <w:r w:rsidR="004E5A78" w:rsidRPr="003726FE">
        <w:rPr>
          <w:noProof/>
          <w:lang w:val="en-GB"/>
        </w:rPr>
        <w:t xml:space="preserve">; </w:t>
      </w:r>
      <w:hyperlink w:anchor="_ENREF_353" w:tooltip="Rubin, 2011 #217" w:history="1">
        <w:r w:rsidR="0094469E" w:rsidRPr="003726FE">
          <w:rPr>
            <w:noProof/>
            <w:lang w:val="en-GB"/>
          </w:rPr>
          <w:t>Rubin and Rubin 2011</w:t>
        </w:r>
      </w:hyperlink>
      <w:r w:rsidR="004E5A78" w:rsidRPr="003726FE">
        <w:rPr>
          <w:noProof/>
          <w:lang w:val="en-GB"/>
        </w:rPr>
        <w:t>)</w:t>
      </w:r>
      <w:r w:rsidRPr="003726FE">
        <w:rPr>
          <w:lang w:val="en-GB"/>
        </w:rPr>
        <w:fldChar w:fldCharType="end"/>
      </w:r>
      <w:r w:rsidRPr="003726FE">
        <w:rPr>
          <w:lang w:val="en-GB"/>
        </w:rPr>
        <w:t>. The transcripts and member checking summary documents were sent to each participant for them to verify the accuracy of the material (see A3.8.2). Field notes made before, during, and after the interview to contextualise each encounter and to improve recollection</w:t>
      </w:r>
      <w:r w:rsidR="000155D5" w:rsidRPr="003726FE">
        <w:rPr>
          <w:lang w:val="en-GB"/>
        </w:rPr>
        <w:t>s</w:t>
      </w:r>
      <w:r w:rsidRPr="003726FE">
        <w:rPr>
          <w:lang w:val="en-GB"/>
        </w:rPr>
        <w:t xml:space="preserve"> of the experience</w:t>
      </w:r>
      <w:r w:rsidR="000155D5" w:rsidRPr="003726FE">
        <w:rPr>
          <w:lang w:val="en-GB"/>
        </w:rPr>
        <w:t>s</w:t>
      </w:r>
      <w:r w:rsidRPr="003726FE">
        <w:rPr>
          <w:lang w:val="en-GB"/>
        </w:rPr>
        <w:t xml:space="preserve"> during analysis. Overall reflections on each interview were also recorded in a reflexive research diary to help summarise general impressions and check for biases after each subsequent interview </w:t>
      </w:r>
      <w:r w:rsidRPr="003726FE">
        <w:rPr>
          <w:lang w:val="en-GB"/>
        </w:rPr>
        <w:fldChar w:fldCharType="begin"/>
      </w:r>
      <w:r w:rsidR="008B61BE">
        <w:rPr>
          <w:lang w:val="en-GB"/>
        </w:rPr>
        <w:instrText xml:space="preserve"> ADDIN EN.CITE &lt;EndNote&gt;&lt;Cite&gt;&lt;Author&gt;Malterud&lt;/Author&gt;&lt;Year&gt;2001&lt;/Year&gt;&lt;RecNum&gt;153&lt;/RecNum&gt;&lt;DisplayText&gt;(Malterud 2001; Flick 2009)&lt;/DisplayText&gt;&lt;record&gt;&lt;rec-number&gt;153&lt;/rec-number&gt;&lt;foreign-keys&gt;&lt;key app="EN" db-id="xa2r2ewea92trkef5dt5arvbzafvpv2za5ft" timestamp="1442161764"&gt;153&lt;/key&gt;&lt;/foreign-keys&gt;&lt;ref-type name="Journal Article"&gt;17&lt;/ref-type&gt;&lt;contributors&gt;&lt;authors&gt;&lt;author&gt;Malterud, Kirsti&lt;/author&gt;&lt;/authors&gt;&lt;/contributors&gt;&lt;titles&gt;&lt;title&gt;Qualitative research: standards, challenges, and guidelines&lt;/title&gt;&lt;secondary-title&gt;The lancet&lt;/secondary-title&gt;&lt;/titles&gt;&lt;periodical&gt;&lt;full-title&gt;The lancet&lt;/full-title&gt;&lt;/periodical&gt;&lt;pages&gt;483-488&lt;/pages&gt;&lt;volume&gt;358&lt;/volume&gt;&lt;number&gt;9280&lt;/number&gt;&lt;dates&gt;&lt;year&gt;2001&lt;/year&gt;&lt;/dates&gt;&lt;publisher&gt;Elsevier&lt;/publisher&gt;&lt;urls&gt;&lt;/urls&gt;&lt;/record&gt;&lt;/Cite&gt;&lt;Cite&gt;&lt;Author&gt;Flick&lt;/Author&gt;&lt;Year&gt;2009&lt;/Year&gt;&lt;RecNum&gt;82&lt;/RecNum&gt;&lt;record&gt;&lt;rec-number&gt;82&lt;/rec-number&gt;&lt;foreign-keys&gt;&lt;key app="EN" db-id="xa2r2ewea92trkef5dt5arvbzafvpv2za5ft" timestamp="1442161764"&gt;82&lt;/key&gt;&lt;/foreign-keys&gt;&lt;ref-type name="Book"&gt;6&lt;/ref-type&gt;&lt;contributors&gt;&lt;authors&gt;&lt;author&gt;Flick, Uwe&lt;/author&gt;&lt;/authors&gt;&lt;/contributors&gt;&lt;titles&gt;&lt;title&gt;An introduction to qualitative research&lt;/title&gt;&lt;/titles&gt;&lt;number&gt;Book, Whole&lt;/number&gt;&lt;dates&gt;&lt;year&gt;2009&lt;/year&gt;&lt;/dates&gt;&lt;publisher&gt;Sage&lt;/publisher&gt;&lt;urls&gt;&lt;/urls&gt;&lt;/record&gt;&lt;/Cite&gt;&lt;/EndNote&gt;</w:instrText>
      </w:r>
      <w:r w:rsidRPr="003726FE">
        <w:rPr>
          <w:lang w:val="en-GB"/>
        </w:rPr>
        <w:fldChar w:fldCharType="separate"/>
      </w:r>
      <w:r w:rsidR="004E5A78" w:rsidRPr="003726FE">
        <w:rPr>
          <w:noProof/>
          <w:lang w:val="en-GB"/>
        </w:rPr>
        <w:t>(</w:t>
      </w:r>
      <w:hyperlink w:anchor="_ENREF_254" w:tooltip="Malterud, 2001 #153" w:history="1">
        <w:r w:rsidR="0094469E" w:rsidRPr="003726FE">
          <w:rPr>
            <w:noProof/>
            <w:lang w:val="en-GB"/>
          </w:rPr>
          <w:t>Malterud 2001</w:t>
        </w:r>
      </w:hyperlink>
      <w:r w:rsidR="004E5A78" w:rsidRPr="003726FE">
        <w:rPr>
          <w:noProof/>
          <w:lang w:val="en-GB"/>
        </w:rPr>
        <w:t xml:space="preserve">; </w:t>
      </w:r>
      <w:hyperlink w:anchor="_ENREF_150" w:tooltip="Flick, 2009 #82" w:history="1">
        <w:r w:rsidR="0094469E" w:rsidRPr="003726FE">
          <w:rPr>
            <w:noProof/>
            <w:lang w:val="en-GB"/>
          </w:rPr>
          <w:t>Flick 2009</w:t>
        </w:r>
      </w:hyperlink>
      <w:r w:rsidR="004E5A78" w:rsidRPr="003726FE">
        <w:rPr>
          <w:noProof/>
          <w:lang w:val="en-GB"/>
        </w:rPr>
        <w:t>)</w:t>
      </w:r>
      <w:r w:rsidRPr="003726FE">
        <w:rPr>
          <w:lang w:val="en-GB"/>
        </w:rPr>
        <w:fldChar w:fldCharType="end"/>
      </w:r>
      <w:r w:rsidRPr="003726FE">
        <w:rPr>
          <w:lang w:val="en-GB"/>
        </w:rPr>
        <w:t xml:space="preserve">. </w:t>
      </w:r>
    </w:p>
    <w:p w14:paraId="00577A55" w14:textId="77777777" w:rsidR="007638B6" w:rsidRDefault="007638B6" w:rsidP="00026049">
      <w:pPr>
        <w:pStyle w:val="Normal1"/>
        <w:rPr>
          <w:lang w:val="en-GB"/>
        </w:rPr>
      </w:pPr>
    </w:p>
    <w:p w14:paraId="36FCC9C6" w14:textId="11B8BDEC" w:rsidR="007638B6" w:rsidRPr="00B56453" w:rsidRDefault="007638B6" w:rsidP="007638B6">
      <w:pPr>
        <w:pStyle w:val="Normal1"/>
        <w:rPr>
          <w:lang w:val="en-GB"/>
        </w:rPr>
      </w:pPr>
      <w:r>
        <w:rPr>
          <w:lang w:val="en-GB"/>
        </w:rPr>
        <w:t xml:space="preserve">A diary to collect the self-reported behaviours of students was used prior to the student interviews to inform the discussion and to draw out their thought processes related to those behaviours (Appendix 22). </w:t>
      </w:r>
      <w:r w:rsidRPr="00B56453">
        <w:rPr>
          <w:lang w:val="en-GB"/>
        </w:rPr>
        <w:t xml:space="preserve">This simple diary was designed based upon the more complex Day Reconstruction Method (DRM), a self-administered questionnaire developed by </w:t>
      </w:r>
      <w:hyperlink w:anchor="_ENREF_210" w:tooltip="Kahneman, 2004 #615" w:history="1">
        <w:r w:rsidRPr="00D11EBB">
          <w:rPr>
            <w:lang w:val="en-GB"/>
          </w:rPr>
          <w:fldChar w:fldCharType="begin"/>
        </w:r>
        <w:r w:rsidRPr="00B56453">
          <w:rPr>
            <w:lang w:val="en-GB"/>
          </w:rPr>
          <w:instrText xml:space="preserve"> ADDIN EN.CITE &lt;EndNote&gt;&lt;Cite AuthorYear="1"&gt;&lt;Author&gt;Kahneman&lt;/Author&gt;&lt;Year&gt;2004&lt;/Year&gt;&lt;RecNum&gt;615&lt;/RecNum&gt;&lt;DisplayText&gt;Kahneman et al. (2004)&lt;/DisplayText&gt;&lt;record&gt;&lt;rec-number&gt;615&lt;/rec-number&gt;&lt;foreign-keys&gt;&lt;key app="EN" db-id="xa2r2ewea92trkef5dt5arvbzafvpv2za5ft" timestamp="1496417560"&gt;615&lt;/key&gt;&lt;/foreign-keys&gt;&lt;ref-type name="Journal Article"&gt;17&lt;/ref-type&gt;&lt;contributors&gt;&lt;authors&gt;&lt;author&gt;Kahneman, Daniel&lt;/author&gt;&lt;author&gt;Krueger, Alan B&lt;/author&gt;&lt;author&gt;Schkade, David A&lt;/author&gt;&lt;author&gt;Schwarz, Norbert&lt;/author&gt;&lt;author&gt;Stone, Arthur A&lt;/author&gt;&lt;/authors&gt;&lt;/contributors&gt;&lt;titles&gt;&lt;title&gt;A survey method for characterizing daily life experience: The day reconstruction method&lt;/title&gt;&lt;secondary-title&gt;Science&lt;/secondary-title&gt;&lt;/titles&gt;&lt;periodical&gt;&lt;full-title&gt;Science&lt;/full-title&gt;&lt;/periodical&gt;&lt;pages&gt;1776-1780&lt;/pages&gt;&lt;volume&gt;306&lt;/volume&gt;&lt;number&gt;5702&lt;/number&gt;&lt;dates&gt;&lt;year&gt;2004&lt;/year&gt;&lt;/dates&gt;&lt;isbn&gt;0036-8075&lt;/isbn&gt;&lt;urls&gt;&lt;/urls&gt;&lt;/record&gt;&lt;/Cite&gt;&lt;/EndNote&gt;</w:instrText>
        </w:r>
        <w:r w:rsidRPr="00D11EBB">
          <w:rPr>
            <w:lang w:val="en-GB"/>
          </w:rPr>
          <w:fldChar w:fldCharType="separate"/>
        </w:r>
        <w:r w:rsidRPr="00B56453">
          <w:rPr>
            <w:noProof/>
            <w:lang w:val="en-GB"/>
          </w:rPr>
          <w:t>Kahneman et al. (2004)</w:t>
        </w:r>
        <w:r w:rsidRPr="00D11EBB">
          <w:rPr>
            <w:lang w:val="en-GB"/>
          </w:rPr>
          <w:fldChar w:fldCharType="end"/>
        </w:r>
      </w:hyperlink>
      <w:r w:rsidRPr="00B56453">
        <w:rPr>
          <w:lang w:val="en-GB"/>
        </w:rPr>
        <w:t xml:space="preserve">. Their method involves a sequential systematic record of daily activities which researchers later ask questions on, although the participant does not know what the researcher will ask to ensure a more authentic account </w:t>
      </w:r>
      <w:r w:rsidRPr="007638B6">
        <w:rPr>
          <w:lang w:val="en-GB"/>
        </w:rPr>
        <w:fldChar w:fldCharType="begin"/>
      </w:r>
      <w:r w:rsidRPr="00B56453">
        <w:rPr>
          <w:lang w:val="en-GB"/>
        </w:rPr>
        <w:instrText xml:space="preserve"> ADDIN EN.CITE &lt;EndNote&gt;&lt;Cite&gt;&lt;Author&gt;Kahneman&lt;/Author&gt;&lt;Year&gt;2013&lt;/Year&gt;&lt;RecNum&gt;614&lt;/RecNum&gt;&lt;DisplayText&gt;(Kahneman et al. 2013)&lt;/DisplayText&gt;&lt;record&gt;&lt;rec-number&gt;614&lt;/rec-number&gt;&lt;foreign-keys&gt;&lt;key app="EN" db-id="xa2r2ewea92trkef5dt5arvbzafvpv2za5ft" timestamp="1496417560"&gt;614&lt;/key&gt;&lt;/foreign-keys&gt;&lt;ref-type name="Computer Program"&gt;9&lt;/ref-type&gt;&lt;contributors&gt;&lt;authors&gt;&lt;author&gt;Kahneman, D.&lt;/author&gt;&lt;author&gt;Kreuger, A. B.&lt;/author&gt;&lt;author&gt;Schkade, D. A.&lt;/author&gt;&lt;/authors&gt;&lt;/contributors&gt;&lt;titles&gt;&lt;title&gt;The Day Reconstruction Method (DRC). Measurement Instrument Database for the Social Science. Retrieved from www.midss.ie&lt;/title&gt;&lt;/titles&gt;&lt;dates&gt;&lt;year&gt;2013&lt;/year&gt;&lt;/dates&gt;&lt;urls&gt;&lt;/urls&gt;&lt;/record&gt;&lt;/Cite&gt;&lt;/EndNote&gt;</w:instrText>
      </w:r>
      <w:r w:rsidRPr="007638B6">
        <w:rPr>
          <w:lang w:val="en-GB"/>
        </w:rPr>
        <w:fldChar w:fldCharType="separate"/>
      </w:r>
      <w:r w:rsidRPr="00B56453">
        <w:rPr>
          <w:noProof/>
          <w:lang w:val="en-GB"/>
        </w:rPr>
        <w:t>(</w:t>
      </w:r>
      <w:hyperlink w:anchor="_ENREF_209" w:tooltip="Kahneman, 2013 #614" w:history="1">
        <w:r w:rsidRPr="00B56453">
          <w:rPr>
            <w:noProof/>
            <w:lang w:val="en-GB"/>
          </w:rPr>
          <w:t>Kahneman et al. 2013</w:t>
        </w:r>
      </w:hyperlink>
      <w:r w:rsidRPr="00B56453">
        <w:rPr>
          <w:noProof/>
          <w:lang w:val="en-GB"/>
        </w:rPr>
        <w:t>)</w:t>
      </w:r>
      <w:r w:rsidRPr="007638B6">
        <w:rPr>
          <w:lang w:val="en-GB"/>
        </w:rPr>
        <w:fldChar w:fldCharType="end"/>
      </w:r>
      <w:r w:rsidRPr="00B56453">
        <w:rPr>
          <w:lang w:val="en-GB"/>
        </w:rPr>
        <w:t xml:space="preserve">. The advantages of using this method were that it was a flexible tool which could be reworked to the aims of the present study and that participants tend to suffer less from retrospective recall when more formal data collection occurs </w:t>
      </w:r>
      <w:r w:rsidRPr="007638B6">
        <w:rPr>
          <w:lang w:val="en-GB"/>
        </w:rPr>
        <w:fldChar w:fldCharType="begin"/>
      </w:r>
      <w:r w:rsidRPr="00B56453">
        <w:rPr>
          <w:lang w:val="en-GB"/>
        </w:rPr>
        <w:instrText xml:space="preserve"> ADDIN EN.CITE &lt;EndNote&gt;&lt;Cite&gt;&lt;Author&gt;Kahneman&lt;/Author&gt;&lt;Year&gt;2013&lt;/Year&gt;&lt;RecNum&gt;614&lt;/RecNum&gt;&lt;DisplayText&gt;(Kahneman et al. 2013)&lt;/DisplayText&gt;&lt;record&gt;&lt;rec-number&gt;614&lt;/rec-number&gt;&lt;foreign-keys&gt;&lt;key app="EN" db-id="xa2r2ewea92trkef5dt5arvbzafvpv2za5ft" timestamp="1496417560"&gt;614&lt;/key&gt;&lt;/foreign-keys&gt;&lt;ref-type name="Computer Program"&gt;9&lt;/ref-type&gt;&lt;contributors&gt;&lt;authors&gt;&lt;author&gt;Kahneman, D.&lt;/author&gt;&lt;author&gt;Kreuger, A. B.&lt;/author&gt;&lt;author&gt;Schkade, D. A.&lt;/author&gt;&lt;/authors&gt;&lt;/contributors&gt;&lt;titles&gt;&lt;title&gt;The Day Reconstruction Method (DRC). Measurement Instrument Database for the Social Science. Retrieved from www.midss.ie&lt;/title&gt;&lt;/titles&gt;&lt;dates&gt;&lt;year&gt;2013&lt;/year&gt;&lt;/dates&gt;&lt;urls&gt;&lt;/urls&gt;&lt;/record&gt;&lt;/Cite&gt;&lt;/EndNote&gt;</w:instrText>
      </w:r>
      <w:r w:rsidRPr="007638B6">
        <w:rPr>
          <w:lang w:val="en-GB"/>
        </w:rPr>
        <w:fldChar w:fldCharType="separate"/>
      </w:r>
      <w:r w:rsidRPr="00B56453">
        <w:rPr>
          <w:noProof/>
          <w:lang w:val="en-GB"/>
        </w:rPr>
        <w:t>(</w:t>
      </w:r>
      <w:hyperlink w:anchor="_ENREF_209" w:tooltip="Kahneman, 2013 #614" w:history="1">
        <w:r w:rsidRPr="00B56453">
          <w:rPr>
            <w:noProof/>
            <w:lang w:val="en-GB"/>
          </w:rPr>
          <w:t>Kahneman et al. 2013</w:t>
        </w:r>
      </w:hyperlink>
      <w:r w:rsidRPr="00B56453">
        <w:rPr>
          <w:noProof/>
          <w:lang w:val="en-GB"/>
        </w:rPr>
        <w:t>)</w:t>
      </w:r>
      <w:r w:rsidRPr="007638B6">
        <w:rPr>
          <w:lang w:val="en-GB"/>
        </w:rPr>
        <w:fldChar w:fldCharType="end"/>
      </w:r>
      <w:r w:rsidRPr="00B56453">
        <w:rPr>
          <w:lang w:val="en-GB"/>
        </w:rPr>
        <w:t>.</w:t>
      </w:r>
    </w:p>
    <w:p w14:paraId="064CE7EC" w14:textId="03E842CE" w:rsidR="00F176D2" w:rsidRPr="003726FE" w:rsidRDefault="00F176D2" w:rsidP="00026049">
      <w:pPr>
        <w:pStyle w:val="Normal1"/>
        <w:rPr>
          <w:rFonts w:eastAsiaTheme="minorHAnsi" w:cstheme="minorBidi"/>
          <w:szCs w:val="22"/>
          <w:lang w:val="en-GB"/>
        </w:rPr>
      </w:pPr>
      <w:r w:rsidRPr="003726FE">
        <w:rPr>
          <w:lang w:val="en-GB"/>
        </w:rPr>
        <w:br w:type="page"/>
      </w:r>
    </w:p>
    <w:p w14:paraId="4F69FEAF" w14:textId="71DA29FA" w:rsidR="00B06ADF" w:rsidRPr="003726FE" w:rsidRDefault="00822E3B" w:rsidP="00B1638D">
      <w:pPr>
        <w:pStyle w:val="Heading2"/>
        <w:rPr>
          <w:lang w:val="en-GB"/>
        </w:rPr>
      </w:pPr>
      <w:bookmarkStart w:id="207" w:name="_Toc500319352"/>
      <w:r w:rsidRPr="003726FE">
        <w:rPr>
          <w:lang w:val="en-GB"/>
        </w:rPr>
        <w:lastRenderedPageBreak/>
        <w:t>A3</w:t>
      </w:r>
      <w:r w:rsidR="00F176D2" w:rsidRPr="003726FE">
        <w:rPr>
          <w:lang w:val="en-GB"/>
        </w:rPr>
        <w:t xml:space="preserve">.7 </w:t>
      </w:r>
      <w:r w:rsidR="00B06ADF" w:rsidRPr="003726FE">
        <w:rPr>
          <w:lang w:val="en-GB"/>
        </w:rPr>
        <w:t xml:space="preserve">Focus </w:t>
      </w:r>
      <w:r w:rsidR="00F176D2" w:rsidRPr="003726FE">
        <w:rPr>
          <w:lang w:val="en-GB"/>
        </w:rPr>
        <w:t>Group Methodology</w:t>
      </w:r>
      <w:bookmarkEnd w:id="207"/>
    </w:p>
    <w:p w14:paraId="305C5106" w14:textId="77777777" w:rsidR="00B8386D" w:rsidRPr="003726FE" w:rsidRDefault="00B8386D" w:rsidP="00026049">
      <w:pPr>
        <w:pStyle w:val="Normal1"/>
        <w:rPr>
          <w:lang w:val="en-GB"/>
        </w:rPr>
      </w:pPr>
    </w:p>
    <w:p w14:paraId="356BBF6B" w14:textId="433F5005" w:rsidR="00874437" w:rsidRPr="003726FE" w:rsidRDefault="00874437" w:rsidP="00026049">
      <w:pPr>
        <w:pStyle w:val="Normal1"/>
        <w:rPr>
          <w:lang w:val="en-GB"/>
        </w:rPr>
      </w:pPr>
      <w:r w:rsidRPr="003726FE">
        <w:rPr>
          <w:lang w:val="en-GB"/>
        </w:rPr>
        <w:t>Focus groups were used to gain a collectively constructed perspective o</w:t>
      </w:r>
      <w:r w:rsidR="00282943">
        <w:rPr>
          <w:lang w:val="en-GB"/>
        </w:rPr>
        <w:t>f</w:t>
      </w:r>
      <w:r w:rsidRPr="003726FE">
        <w:rPr>
          <w:lang w:val="en-GB"/>
        </w:rPr>
        <w:t xml:space="preserve"> how students perceived clinical learning</w:t>
      </w:r>
      <w:r w:rsidR="00282943">
        <w:rPr>
          <w:lang w:val="en-GB"/>
        </w:rPr>
        <w:t>,</w:t>
      </w:r>
      <w:r w:rsidRPr="003726FE">
        <w:rPr>
          <w:lang w:val="en-GB"/>
        </w:rPr>
        <w:t xml:space="preserve"> and to what extent the teaching they received </w:t>
      </w:r>
      <w:r w:rsidR="00EC562A">
        <w:rPr>
          <w:lang w:val="en-GB"/>
        </w:rPr>
        <w:t xml:space="preserve">had </w:t>
      </w:r>
      <w:r w:rsidRPr="003726FE">
        <w:rPr>
          <w:lang w:val="en-GB"/>
        </w:rPr>
        <w:t xml:space="preserve">prepared them for </w:t>
      </w:r>
      <w:r w:rsidR="00282943">
        <w:rPr>
          <w:lang w:val="en-GB"/>
        </w:rPr>
        <w:t>it</w:t>
      </w:r>
      <w:r w:rsidRPr="003726FE">
        <w:rPr>
          <w:lang w:val="en-GB"/>
        </w:rPr>
        <w:t xml:space="preserve">. Focus groups are an economical tool to draw upon the views of medical students </w:t>
      </w:r>
      <w:r w:rsidR="00EF281A" w:rsidRPr="003726FE">
        <w:rPr>
          <w:lang w:val="en-GB"/>
        </w:rPr>
        <w:fldChar w:fldCharType="begin"/>
      </w:r>
      <w:r w:rsidR="008B61BE">
        <w:rPr>
          <w:lang w:val="en-GB"/>
        </w:rPr>
        <w:instrText xml:space="preserve"> ADDIN EN.CITE &lt;EndNote&gt;&lt;Cite&gt;&lt;Author&gt;Lam&lt;/Author&gt;&lt;Year&gt;2001&lt;/Year&gt;&lt;RecNum&gt;787&lt;/RecNum&gt;&lt;DisplayText&gt;(Lam et al. 2001)&lt;/DisplayText&gt;&lt;record&gt;&lt;rec-number&gt;787&lt;/rec-number&gt;&lt;foreign-keys&gt;&lt;key app="EN" db-id="xa2r2ewea92trkef5dt5arvbzafvpv2za5ft" timestamp="1496417594"&gt;787&lt;/key&gt;&lt;/foreign-keys&gt;&lt;ref-type name="Journal Article"&gt;17&lt;/ref-type&gt;&lt;contributors&gt;&lt;authors&gt;&lt;author&gt;Lam, TP&lt;/author&gt;&lt;author&gt;Irwin, M&lt;/author&gt;&lt;author&gt;Chow, LWC&lt;/author&gt;&lt;author&gt;Chan, P&lt;/author&gt;&lt;/authors&gt;&lt;/contributors&gt;&lt;titles&gt;&lt;title&gt;The use of focus group interviews in Asian medical education evaluative research&lt;/title&gt;&lt;secondary-title&gt;Medical education&lt;/secondary-title&gt;&lt;/titles&gt;&lt;periodical&gt;&lt;full-title&gt;Medical education&lt;/full-title&gt;&lt;/periodical&gt;&lt;pages&gt;510-513&lt;/pages&gt;&lt;volume&gt;35&lt;/volume&gt;&lt;number&gt;5&lt;/number&gt;&lt;dates&gt;&lt;year&gt;2001&lt;/year&gt;&lt;/dates&gt;&lt;isbn&gt;0308-0110&lt;/isbn&gt;&lt;urls&gt;&lt;/urls&gt;&lt;/record&gt;&lt;/Cite&gt;&lt;/EndNote&gt;</w:instrText>
      </w:r>
      <w:r w:rsidR="00EF281A" w:rsidRPr="003726FE">
        <w:rPr>
          <w:lang w:val="en-GB"/>
        </w:rPr>
        <w:fldChar w:fldCharType="separate"/>
      </w:r>
      <w:r w:rsidR="004E5A78" w:rsidRPr="003726FE">
        <w:rPr>
          <w:noProof/>
          <w:lang w:val="en-GB"/>
        </w:rPr>
        <w:t>(</w:t>
      </w:r>
      <w:hyperlink w:anchor="_ENREF_233" w:tooltip="Lam, 2001 #787" w:history="1">
        <w:r w:rsidR="0094469E" w:rsidRPr="003726FE">
          <w:rPr>
            <w:noProof/>
            <w:lang w:val="en-GB"/>
          </w:rPr>
          <w:t>Lam et al. 2001</w:t>
        </w:r>
      </w:hyperlink>
      <w:r w:rsidR="004E5A78" w:rsidRPr="003726FE">
        <w:rPr>
          <w:noProof/>
          <w:lang w:val="en-GB"/>
        </w:rPr>
        <w:t>)</w:t>
      </w:r>
      <w:r w:rsidR="00EF281A" w:rsidRPr="003726FE">
        <w:rPr>
          <w:lang w:val="en-GB"/>
        </w:rPr>
        <w:fldChar w:fldCharType="end"/>
      </w:r>
      <w:r w:rsidRPr="003726FE">
        <w:rPr>
          <w:lang w:val="en-GB"/>
        </w:rPr>
        <w:t xml:space="preserve"> and are a pragmatic method of inquiry</w:t>
      </w:r>
      <w:r w:rsidR="000155D5" w:rsidRPr="003726FE">
        <w:rPr>
          <w:lang w:val="en-GB"/>
        </w:rPr>
        <w:t>. T</w:t>
      </w:r>
      <w:r w:rsidRPr="003726FE">
        <w:rPr>
          <w:lang w:val="en-GB"/>
        </w:rPr>
        <w:t xml:space="preserve">hey explore the practical real world experiences of </w:t>
      </w:r>
      <w:r w:rsidR="009F1882">
        <w:rPr>
          <w:lang w:val="en-GB"/>
        </w:rPr>
        <w:t>student</w:t>
      </w:r>
      <w:r w:rsidRPr="003726FE">
        <w:rPr>
          <w:lang w:val="en-GB"/>
        </w:rPr>
        <w:t xml:space="preserve">s, allowing the group to direct the discussion with little prompting </w:t>
      </w:r>
      <w:r w:rsidR="00EF281A" w:rsidRPr="003726FE">
        <w:rPr>
          <w:lang w:val="en-GB"/>
        </w:rPr>
        <w:fldChar w:fldCharType="begin"/>
      </w:r>
      <w:r w:rsidR="008B61BE">
        <w:rPr>
          <w:lang w:val="en-GB"/>
        </w:rPr>
        <w:instrText xml:space="preserve"> ADDIN EN.CITE &lt;EndNote&gt;&lt;Cite&gt;&lt;Author&gt;Barbour&lt;/Author&gt;&lt;Year&gt;2005&lt;/Year&gt;&lt;RecNum&gt;788&lt;/RecNum&gt;&lt;DisplayText&gt;(Barbour 2005)&lt;/DisplayText&gt;&lt;record&gt;&lt;rec-number&gt;788&lt;/rec-number&gt;&lt;foreign-keys&gt;&lt;key app="EN" db-id="xa2r2ewea92trkef5dt5arvbzafvpv2za5ft" timestamp="1496417594"&gt;788&lt;/key&gt;&lt;/foreign-keys&gt;&lt;ref-type name="Journal Article"&gt;17&lt;/ref-type&gt;&lt;contributors&gt;&lt;authors&gt;&lt;author&gt;Barbour, Rosaline S&lt;/author&gt;&lt;/authors&gt;&lt;/contributors&gt;&lt;titles&gt;&lt;title&gt;Making sense of focus groups&lt;/title&gt;&lt;secondary-title&gt;Medical education&lt;/secondary-title&gt;&lt;/titles&gt;&lt;periodical&gt;&lt;full-title&gt;Medical education&lt;/full-title&gt;&lt;/periodical&gt;&lt;pages&gt;742-750&lt;/pages&gt;&lt;volume&gt;39&lt;/volume&gt;&lt;number&gt;7&lt;/number&gt;&lt;dates&gt;&lt;year&gt;2005&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21" w:tooltip="Barbour, 2005 #788" w:history="1">
        <w:r w:rsidR="0094469E" w:rsidRPr="003726FE">
          <w:rPr>
            <w:noProof/>
            <w:lang w:val="en-GB"/>
          </w:rPr>
          <w:t>Barbour 2005</w:t>
        </w:r>
      </w:hyperlink>
      <w:r w:rsidR="004E5A78" w:rsidRPr="003726FE">
        <w:rPr>
          <w:noProof/>
          <w:lang w:val="en-GB"/>
        </w:rPr>
        <w:t>)</w:t>
      </w:r>
      <w:r w:rsidR="00EF281A" w:rsidRPr="003726FE">
        <w:rPr>
          <w:lang w:val="en-GB"/>
        </w:rPr>
        <w:fldChar w:fldCharType="end"/>
      </w:r>
      <w:r w:rsidRPr="003726FE">
        <w:rPr>
          <w:lang w:val="en-GB"/>
        </w:rPr>
        <w:t>. This qualitative method is less common in SRL research</w:t>
      </w:r>
      <w:r w:rsidR="00282943">
        <w:rPr>
          <w:lang w:val="en-GB"/>
        </w:rPr>
        <w:t>,</w:t>
      </w:r>
      <w:r w:rsidRPr="003726FE">
        <w:rPr>
          <w:lang w:val="en-GB"/>
        </w:rPr>
        <w:t xml:space="preserve"> but did provide opportunities to identify the dominant and most socially accepted SRL processes and behaviours within the student groups. These focus groups formed the qualitative follow-up phase of the present study in combination with interviews, providing both a social fora and a </w:t>
      </w:r>
      <w:r w:rsidR="00D64D7C">
        <w:rPr>
          <w:lang w:val="en-GB"/>
        </w:rPr>
        <w:t>safe</w:t>
      </w:r>
      <w:r w:rsidRPr="003726FE">
        <w:rPr>
          <w:lang w:val="en-GB"/>
        </w:rPr>
        <w:t xml:space="preserve"> environment for students to give their perspectives</w:t>
      </w:r>
      <w:r w:rsidR="00282943">
        <w:rPr>
          <w:lang w:val="en-GB"/>
        </w:rPr>
        <w:t>,</w:t>
      </w:r>
      <w:r w:rsidRPr="003726FE">
        <w:rPr>
          <w:lang w:val="en-GB"/>
        </w:rPr>
        <w:t xml:space="preserve"> which cannot be achieved when using only one or the other methods </w:t>
      </w:r>
      <w:r w:rsidR="00EF281A" w:rsidRPr="003726FE">
        <w:rPr>
          <w:lang w:val="en-GB"/>
        </w:rPr>
        <w:fldChar w:fldCharType="begin"/>
      </w:r>
      <w:r w:rsidR="008B61BE">
        <w:rPr>
          <w:lang w:val="en-GB"/>
        </w:rPr>
        <w:instrText xml:space="preserve"> ADDIN EN.CITE &lt;EndNote&gt;&lt;Cite&gt;&lt;Author&gt;Michell&lt;/Author&gt;&lt;Year&gt;1999&lt;/Year&gt;&lt;RecNum&gt;165&lt;/RecNum&gt;&lt;DisplayText&gt;(Michell 1999)&lt;/DisplayText&gt;&lt;record&gt;&lt;rec-number&gt;165&lt;/rec-number&gt;&lt;foreign-keys&gt;&lt;key app="EN" db-id="xa2r2ewea92trkef5dt5arvbzafvpv2za5ft" timestamp="1442161765"&gt;165&lt;/key&gt;&lt;/foreign-keys&gt;&lt;ref-type name="Journal Article"&gt;17&lt;/ref-type&gt;&lt;contributors&gt;&lt;authors&gt;&lt;author&gt;Michell, Lynn&lt;/author&gt;&lt;/authors&gt;&lt;/contributors&gt;&lt;titles&gt;&lt;title&gt;Combining focus groups and interviews: Telling how it is; telling how it feels&lt;/title&gt;&lt;/titles&gt;&lt;dates&gt;&lt;year&gt;1999&lt;/year&gt;&lt;/dates&gt;&lt;publisher&gt;Sage Publications Ltd&lt;/publisher&gt;&lt;urls&gt;&lt;/urls&gt;&lt;/record&gt;&lt;/Cite&gt;&lt;/EndNote&gt;</w:instrText>
      </w:r>
      <w:r w:rsidR="00EF281A" w:rsidRPr="003726FE">
        <w:rPr>
          <w:lang w:val="en-GB"/>
        </w:rPr>
        <w:fldChar w:fldCharType="separate"/>
      </w:r>
      <w:r w:rsidR="004E5A78" w:rsidRPr="003726FE">
        <w:rPr>
          <w:noProof/>
          <w:lang w:val="en-GB"/>
        </w:rPr>
        <w:t>(</w:t>
      </w:r>
      <w:hyperlink w:anchor="_ENREF_275" w:tooltip="Michell, 1999 #165" w:history="1">
        <w:r w:rsidR="0094469E" w:rsidRPr="003726FE">
          <w:rPr>
            <w:noProof/>
            <w:lang w:val="en-GB"/>
          </w:rPr>
          <w:t>Michell 1999</w:t>
        </w:r>
      </w:hyperlink>
      <w:r w:rsidR="004E5A78" w:rsidRPr="003726FE">
        <w:rPr>
          <w:noProof/>
          <w:lang w:val="en-GB"/>
        </w:rPr>
        <w:t>)</w:t>
      </w:r>
      <w:r w:rsidR="00EF281A" w:rsidRPr="003726FE">
        <w:rPr>
          <w:lang w:val="en-GB"/>
        </w:rPr>
        <w:fldChar w:fldCharType="end"/>
      </w:r>
      <w:r w:rsidRPr="003726FE">
        <w:rPr>
          <w:lang w:val="en-GB"/>
        </w:rPr>
        <w:t>.</w:t>
      </w:r>
    </w:p>
    <w:p w14:paraId="019B44D1" w14:textId="77777777" w:rsidR="00874437" w:rsidRPr="003726FE" w:rsidRDefault="00874437" w:rsidP="00026049">
      <w:pPr>
        <w:pStyle w:val="Normal1"/>
        <w:rPr>
          <w:lang w:val="en-GB"/>
        </w:rPr>
      </w:pPr>
    </w:p>
    <w:p w14:paraId="3CABAA57" w14:textId="1D89B862" w:rsidR="00874437" w:rsidRPr="003726FE" w:rsidRDefault="000532E2" w:rsidP="00026049">
      <w:pPr>
        <w:pStyle w:val="Normal1"/>
        <w:rPr>
          <w:lang w:val="en-GB"/>
        </w:rPr>
      </w:pPr>
      <w:hyperlink w:anchor="_ENREF_248" w:tooltip="Longhurst, 2003 #149" w:history="1">
        <w:r w:rsidR="0094469E" w:rsidRPr="003726FE">
          <w:rPr>
            <w:lang w:val="en-GB"/>
          </w:rPr>
          <w:fldChar w:fldCharType="begin"/>
        </w:r>
        <w:r w:rsidR="0094469E">
          <w:rPr>
            <w:lang w:val="en-GB"/>
          </w:rPr>
          <w:instrText xml:space="preserve"> ADDIN EN.CITE &lt;EndNote&gt;&lt;Cite AuthorYear="1"&gt;&lt;Author&gt;Longhurst&lt;/Author&gt;&lt;Year&gt;2003&lt;/Year&gt;&lt;RecNum&gt;149&lt;/RecNum&gt;&lt;Pages&gt;105&lt;/Pages&gt;&lt;DisplayText&gt;Longhurst (2003, p. 105)&lt;/DisplayText&gt;&lt;record&gt;&lt;rec-number&gt;149&lt;/rec-number&gt;&lt;foreign-keys&gt;&lt;key app="EN" db-id="xa2r2ewea92trkef5dt5arvbzafvpv2za5ft" timestamp="1442161764"&gt;149&lt;/key&gt;&lt;/foreign-keys&gt;&lt;ref-type name="Book Section"&gt;5&lt;/ref-type&gt;&lt;contributors&gt;&lt;authors&gt;&lt;author&gt;Longhurst, Robyn&lt;/author&gt;&lt;/authors&gt;&lt;/contributors&gt;&lt;titles&gt;&lt;title&gt;Semi-structured interviews and focus groups&lt;/title&gt;&lt;secondary-title&gt;Key methods in geography&lt;/secondary-title&gt;&lt;/titles&gt;&lt;periodical&gt;&lt;full-title&gt;Key methods in geography&lt;/full-title&gt;&lt;/periodical&gt;&lt;pages&gt;117-132&lt;/pages&gt;&lt;dates&gt;&lt;year&gt;2003&lt;/year&gt;&lt;/dates&gt;&lt;publisher&gt;Sage London&lt;/publisher&gt;&lt;urls&gt;&lt;/urls&gt;&lt;/record&gt;&lt;/Cite&gt;&lt;/EndNote&gt;</w:instrText>
        </w:r>
        <w:r w:rsidR="0094469E" w:rsidRPr="003726FE">
          <w:rPr>
            <w:lang w:val="en-GB"/>
          </w:rPr>
          <w:fldChar w:fldCharType="separate"/>
        </w:r>
        <w:r w:rsidR="0094469E" w:rsidRPr="003726FE">
          <w:rPr>
            <w:noProof/>
            <w:lang w:val="en-GB"/>
          </w:rPr>
          <w:t>Longhurst (2003, p. 105)</w:t>
        </w:r>
        <w:r w:rsidR="0094469E" w:rsidRPr="003726FE">
          <w:rPr>
            <w:lang w:val="en-GB"/>
          </w:rPr>
          <w:fldChar w:fldCharType="end"/>
        </w:r>
      </w:hyperlink>
      <w:r w:rsidR="00874437" w:rsidRPr="003726FE">
        <w:rPr>
          <w:lang w:val="en-GB"/>
        </w:rPr>
        <w:t xml:space="preserve"> define</w:t>
      </w:r>
      <w:r w:rsidR="000155D5" w:rsidRPr="003726FE">
        <w:rPr>
          <w:lang w:val="en-GB"/>
        </w:rPr>
        <w:t>d a focus group as</w:t>
      </w:r>
      <w:r w:rsidR="00567F08">
        <w:rPr>
          <w:lang w:val="en-GB"/>
        </w:rPr>
        <w:t>:</w:t>
      </w:r>
      <w:r w:rsidR="00874437" w:rsidRPr="003726FE">
        <w:rPr>
          <w:lang w:val="en-GB"/>
        </w:rPr>
        <w:t xml:space="preserve"> “A group of people, usually between 6 and 12 people, who meet in an informal setting to talk about a particular topic that ha</w:t>
      </w:r>
      <w:r w:rsidR="000155D5" w:rsidRPr="003726FE">
        <w:rPr>
          <w:lang w:val="en-GB"/>
        </w:rPr>
        <w:t>s been set by the researcher”</w:t>
      </w:r>
      <w:r w:rsidR="00874437" w:rsidRPr="003726FE">
        <w:rPr>
          <w:lang w:val="en-GB"/>
        </w:rPr>
        <w:t xml:space="preserve">. Focus groups gained popularity as a research method to conduct market research </w:t>
      </w:r>
      <w:r w:rsidR="00EF281A" w:rsidRPr="003726FE">
        <w:rPr>
          <w:lang w:val="en-GB"/>
        </w:rPr>
        <w:fldChar w:fldCharType="begin"/>
      </w:r>
      <w:r w:rsidR="008B61BE">
        <w:rPr>
          <w:lang w:val="en-GB"/>
        </w:rPr>
        <w:instrText xml:space="preserve"> ADDIN EN.CITE &lt;EndNote&gt;&lt;Cite&gt;&lt;Author&gt;Bloor&lt;/Author&gt;&lt;Year&gt;2001&lt;/Year&gt;&lt;RecNum&gt;789&lt;/RecNum&gt;&lt;DisplayText&gt;(Bloor 2001)&lt;/DisplayText&gt;&lt;record&gt;&lt;rec-number&gt;789&lt;/rec-number&gt;&lt;foreign-keys&gt;&lt;key app="EN" db-id="xa2r2ewea92trkef5dt5arvbzafvpv2za5ft" timestamp="1496417594"&gt;789&lt;/key&gt;&lt;/foreign-keys&gt;&lt;ref-type name="Book"&gt;6&lt;/ref-type&gt;&lt;contributors&gt;&lt;authors&gt;&lt;author&gt;Bloor, Michael&lt;/author&gt;&lt;/authors&gt;&lt;/contributors&gt;&lt;titles&gt;&lt;title&gt;Focus groups in social research&lt;/title&gt;&lt;/titles&gt;&lt;dates&gt;&lt;year&gt;2001&lt;/year&gt;&lt;/dates&gt;&lt;publisher&gt;Sage&lt;/publisher&gt;&lt;isbn&gt;076195743X&lt;/isbn&gt;&lt;urls&gt;&lt;/urls&gt;&lt;/record&gt;&lt;/Cite&gt;&lt;/EndNote&gt;</w:instrText>
      </w:r>
      <w:r w:rsidR="00EF281A" w:rsidRPr="003726FE">
        <w:rPr>
          <w:lang w:val="en-GB"/>
        </w:rPr>
        <w:fldChar w:fldCharType="separate"/>
      </w:r>
      <w:r w:rsidR="004E5A78" w:rsidRPr="003726FE">
        <w:rPr>
          <w:noProof/>
          <w:lang w:val="en-GB"/>
        </w:rPr>
        <w:t>(</w:t>
      </w:r>
      <w:hyperlink w:anchor="_ENREF_37" w:tooltip="Bloor, 2001 #789" w:history="1">
        <w:r w:rsidR="0094469E" w:rsidRPr="003726FE">
          <w:rPr>
            <w:noProof/>
            <w:lang w:val="en-GB"/>
          </w:rPr>
          <w:t>Bloor 2001</w:t>
        </w:r>
      </w:hyperlink>
      <w:r w:rsidR="004E5A78" w:rsidRPr="003726FE">
        <w:rPr>
          <w:noProof/>
          <w:lang w:val="en-GB"/>
        </w:rPr>
        <w:t>)</w:t>
      </w:r>
      <w:r w:rsidR="00EF281A" w:rsidRPr="003726FE">
        <w:rPr>
          <w:lang w:val="en-GB"/>
        </w:rPr>
        <w:fldChar w:fldCharType="end"/>
      </w:r>
      <w:r w:rsidR="00874437" w:rsidRPr="003726FE">
        <w:rPr>
          <w:lang w:val="en-GB"/>
        </w:rPr>
        <w:t xml:space="preserve">, </w:t>
      </w:r>
      <w:r w:rsidR="00282943">
        <w:rPr>
          <w:lang w:val="en-GB"/>
        </w:rPr>
        <w:t>prior to that,</w:t>
      </w:r>
      <w:r w:rsidR="00874437" w:rsidRPr="003726FE">
        <w:rPr>
          <w:lang w:val="en-GB"/>
        </w:rPr>
        <w:t xml:space="preserve"> were used in the development of survey instruments </w:t>
      </w:r>
      <w:r w:rsidR="00EF281A" w:rsidRPr="003726FE">
        <w:rPr>
          <w:lang w:val="en-GB"/>
        </w:rPr>
        <w:fldChar w:fldCharType="begin"/>
      </w:r>
      <w:r w:rsidR="008B61BE">
        <w:rPr>
          <w:lang w:val="en-GB"/>
        </w:rPr>
        <w:instrText xml:space="preserve"> ADDIN EN.CITE &lt;EndNote&gt;&lt;Cite&gt;&lt;Author&gt;Frey&lt;/Author&gt;&lt;Year&gt;1991&lt;/Year&gt;&lt;RecNum&gt;790&lt;/RecNum&gt;&lt;DisplayText&gt;(Frey and Fontana 1991)&lt;/DisplayText&gt;&lt;record&gt;&lt;rec-number&gt;790&lt;/rec-number&gt;&lt;foreign-keys&gt;&lt;key app="EN" db-id="xa2r2ewea92trkef5dt5arvbzafvpv2za5ft" timestamp="1496417594"&gt;790&lt;/key&gt;&lt;/foreign-keys&gt;&lt;ref-type name="Journal Article"&gt;17&lt;/ref-type&gt;&lt;contributors&gt;&lt;authors&gt;&lt;author&gt;Frey, James H&lt;/author&gt;&lt;author&gt;Fontana, Andrea&lt;/author&gt;&lt;/authors&gt;&lt;/contributors&gt;&lt;titles&gt;&lt;title&gt;The group interview in social research&lt;/title&gt;&lt;secondary-title&gt;The Social Science Journal&lt;/secondary-title&gt;&lt;/titles&gt;&lt;periodical&gt;&lt;full-title&gt;The Social Science Journal&lt;/full-title&gt;&lt;/periodical&gt;&lt;pages&gt;175-187&lt;/pages&gt;&lt;volume&gt;28&lt;/volume&gt;&lt;number&gt;2&lt;/number&gt;&lt;dates&gt;&lt;year&gt;1991&lt;/year&gt;&lt;/dates&gt;&lt;isbn&gt;0362-3319&lt;/isbn&gt;&lt;urls&gt;&lt;/urls&gt;&lt;/record&gt;&lt;/Cite&gt;&lt;/EndNote&gt;</w:instrText>
      </w:r>
      <w:r w:rsidR="00EF281A" w:rsidRPr="003726FE">
        <w:rPr>
          <w:lang w:val="en-GB"/>
        </w:rPr>
        <w:fldChar w:fldCharType="separate"/>
      </w:r>
      <w:r w:rsidR="004E5A78" w:rsidRPr="003726FE">
        <w:rPr>
          <w:noProof/>
          <w:lang w:val="en-GB"/>
        </w:rPr>
        <w:t>(</w:t>
      </w:r>
      <w:hyperlink w:anchor="_ENREF_152" w:tooltip="Frey, 1991 #790" w:history="1">
        <w:r w:rsidR="0094469E" w:rsidRPr="003726FE">
          <w:rPr>
            <w:noProof/>
            <w:lang w:val="en-GB"/>
          </w:rPr>
          <w:t>Frey and Fontana 1991</w:t>
        </w:r>
      </w:hyperlink>
      <w:r w:rsidR="004E5A78" w:rsidRPr="003726FE">
        <w:rPr>
          <w:noProof/>
          <w:lang w:val="en-GB"/>
        </w:rPr>
        <w:t>)</w:t>
      </w:r>
      <w:r w:rsidR="00EF281A" w:rsidRPr="003726FE">
        <w:rPr>
          <w:lang w:val="en-GB"/>
        </w:rPr>
        <w:fldChar w:fldCharType="end"/>
      </w:r>
      <w:r w:rsidR="00874437" w:rsidRPr="003726FE">
        <w:rPr>
          <w:lang w:val="en-GB"/>
        </w:rPr>
        <w:t xml:space="preserve">. Focus group methodology has previously been used in medical education </w:t>
      </w:r>
      <w:r w:rsidR="00EC562A">
        <w:rPr>
          <w:lang w:val="en-GB"/>
        </w:rPr>
        <w:t>research</w:t>
      </w:r>
      <w:r w:rsidR="00874437" w:rsidRPr="003726FE">
        <w:rPr>
          <w:lang w:val="en-GB"/>
        </w:rPr>
        <w:t xml:space="preserve"> to measure students’ SRL beliefs whilst on clinical placement</w:t>
      </w:r>
      <w:r w:rsidR="00567F08">
        <w:rPr>
          <w:lang w:val="en-GB"/>
        </w:rPr>
        <w:t>s</w:t>
      </w:r>
      <w:r w:rsidR="00874437" w:rsidRPr="003726FE">
        <w:rPr>
          <w:lang w:val="en-GB"/>
        </w:rPr>
        <w:t xml:space="preserve"> in surgical context</w:t>
      </w:r>
      <w:r w:rsidR="00567F08">
        <w:rPr>
          <w:lang w:val="en-GB"/>
        </w:rPr>
        <w:t>s</w:t>
      </w:r>
      <w:r w:rsidR="00874437" w:rsidRPr="003726FE">
        <w:rPr>
          <w:lang w:val="en-GB"/>
        </w:rPr>
        <w:t xml:space="preserve"> </w:t>
      </w:r>
      <w:r w:rsidR="00EF281A" w:rsidRPr="003726FE">
        <w:rPr>
          <w:lang w:val="en-GB"/>
        </w:rPr>
        <w:fldChar w:fldCharType="begin"/>
      </w:r>
      <w:r w:rsidR="008B61BE">
        <w:rPr>
          <w:lang w:val="en-GB"/>
        </w:rPr>
        <w:instrText xml:space="preserve"> ADDIN EN.CITE &lt;EndNote&gt;&lt;Cite&gt;&lt;Author&gt;Woods&lt;/Author&gt;&lt;Year&gt;2011&lt;/Year&gt;&lt;RecNum&gt;792&lt;/RecNum&gt;&lt;DisplayText&gt;(Woods et al. 2011)&lt;/DisplayText&gt;&lt;record&gt;&lt;rec-number&gt;792&lt;/rec-number&gt;&lt;foreign-keys&gt;&lt;key app="EN" db-id="xa2r2ewea92trkef5dt5arvbzafvpv2za5ft" timestamp="1496417594"&gt;792&lt;/key&gt;&lt;/foreign-keys&gt;&lt;ref-type name="Journal Article"&gt;17&lt;/ref-type&gt;&lt;contributors&gt;&lt;authors&gt;&lt;author&gt;Woods, Nicole N&lt;/author&gt;&lt;author&gt;Mylopoulos, Maria&lt;/author&gt;&lt;author&gt;Brydges, Ryan&lt;/author&gt;&lt;/authors&gt;&lt;/contributors&gt;&lt;titles&gt;&lt;title&gt;Informal self-regulated learning on a surgical rotation: uncovering student experiences in context&lt;/title&gt;&lt;secondary-title&gt;Advances in health sciences education&lt;/secondary-title&gt;&lt;/titles&gt;&lt;periodical&gt;&lt;full-title&gt;Advances in Health Sciences Education&lt;/full-title&gt;&lt;/periodical&gt;&lt;pages&gt;643-653&lt;/pages&gt;&lt;volume&gt;16&lt;/volume&gt;&lt;number&gt;5&lt;/number&gt;&lt;dates&gt;&lt;year&gt;2011&lt;/year&gt;&lt;/dates&gt;&lt;isbn&gt;1382-4996&lt;/isbn&gt;&lt;urls&gt;&lt;/urls&gt;&lt;/record&gt;&lt;/Cite&gt;&lt;/EndNote&gt;</w:instrText>
      </w:r>
      <w:r w:rsidR="00EF281A" w:rsidRPr="003726FE">
        <w:rPr>
          <w:lang w:val="en-GB"/>
        </w:rPr>
        <w:fldChar w:fldCharType="separate"/>
      </w:r>
      <w:r w:rsidR="004E5A78" w:rsidRPr="003726FE">
        <w:rPr>
          <w:noProof/>
          <w:lang w:val="en-GB"/>
        </w:rPr>
        <w:t>(</w:t>
      </w:r>
      <w:hyperlink w:anchor="_ENREF_448" w:tooltip="Woods, 2011 #792" w:history="1">
        <w:r w:rsidR="0094469E" w:rsidRPr="003726FE">
          <w:rPr>
            <w:noProof/>
            <w:lang w:val="en-GB"/>
          </w:rPr>
          <w:t>Woods et al. 2011</w:t>
        </w:r>
      </w:hyperlink>
      <w:r w:rsidR="004E5A78" w:rsidRPr="003726FE">
        <w:rPr>
          <w:noProof/>
          <w:lang w:val="en-GB"/>
        </w:rPr>
        <w:t>)</w:t>
      </w:r>
      <w:r w:rsidR="00EF281A" w:rsidRPr="003726FE">
        <w:rPr>
          <w:lang w:val="en-GB"/>
        </w:rPr>
        <w:fldChar w:fldCharType="end"/>
      </w:r>
      <w:r w:rsidR="00874437" w:rsidRPr="003726FE">
        <w:rPr>
          <w:lang w:val="en-GB"/>
        </w:rPr>
        <w:t>. As in the present research, medical education researchers hav</w:t>
      </w:r>
      <w:r w:rsidR="00567F08">
        <w:rPr>
          <w:lang w:val="en-GB"/>
        </w:rPr>
        <w:t>e used surveys and focus groups</w:t>
      </w:r>
      <w:r w:rsidR="00874437" w:rsidRPr="003726FE">
        <w:rPr>
          <w:lang w:val="en-GB"/>
        </w:rPr>
        <w:t xml:space="preserve"> to gain both a generalised perspective on the phenomena and to elicit a reflective and in-depth student response </w:t>
      </w:r>
      <w:r w:rsidR="00874437" w:rsidRPr="003726FE">
        <w:rPr>
          <w:lang w:val="en-GB"/>
        </w:rPr>
        <w:fldChar w:fldCharType="begin"/>
      </w:r>
      <w:r w:rsidR="008B61BE">
        <w:rPr>
          <w:lang w:val="en-GB"/>
        </w:rPr>
        <w:instrText xml:space="preserve"> ADDIN EN.CITE &lt;EndNote&gt;&lt;Cite&gt;&lt;Author&gt;Hicks&lt;/Author&gt;&lt;Year&gt;2001&lt;/Year&gt;&lt;RecNum&gt;793&lt;/RecNum&gt;&lt;DisplayText&gt;(Hicks et al. 2001; Rennie and Crosby 2002)&lt;/DisplayText&gt;&lt;record&gt;&lt;rec-number&gt;793&lt;/rec-number&gt;&lt;foreign-keys&gt;&lt;key app="EN" db-id="xa2r2ewea92trkef5dt5arvbzafvpv2za5ft" timestamp="1496417594"&gt;793&lt;/key&gt;&lt;/foreign-keys&gt;&lt;ref-type name="Journal Article"&gt;17&lt;/ref-type&gt;&lt;contributors&gt;&lt;authors&gt;&lt;author&gt;Hicks, Lisa K&lt;/author&gt;&lt;author&gt;Lin, Yulia&lt;/author&gt;&lt;author&gt;Robertson, David W&lt;/author&gt;&lt;author&gt;Robinson, Deborah L&lt;/author&gt;&lt;author&gt;Woodrow, Sarah I&lt;/author&gt;&lt;/authors&gt;&lt;/contributors&gt;&lt;titles&gt;&lt;title&gt;Understanding the clinical dilemmas that shape medical students&amp;apos; ethical development: questionnaire survey and focus group study&lt;/title&gt;&lt;secondary-title&gt;Bmj&lt;/secondary-title&gt;&lt;/titles&gt;&lt;periodical&gt;&lt;full-title&gt;BMJ&lt;/full-title&gt;&lt;/periodical&gt;&lt;pages&gt;709-710&lt;/pages&gt;&lt;volume&gt;322&lt;/volume&gt;&lt;number&gt;7288&lt;/number&gt;&lt;dates&gt;&lt;year&gt;2001&lt;/year&gt;&lt;/dates&gt;&lt;isbn&gt;0959-8138&lt;/isbn&gt;&lt;urls&gt;&lt;/urls&gt;&lt;/record&gt;&lt;/Cite&gt;&lt;Cite&gt;&lt;Author&gt;Rennie&lt;/Author&gt;&lt;Year&gt;2002&lt;/Year&gt;&lt;RecNum&gt;794&lt;/RecNum&gt;&lt;record&gt;&lt;rec-number&gt;794&lt;/rec-number&gt;&lt;foreign-keys&gt;&lt;key app="EN" db-id="xa2r2ewea92trkef5dt5arvbzafvpv2za5ft" timestamp="1496417594"&gt;794&lt;/key&gt;&lt;/foreign-keys&gt;&lt;ref-type name="Journal Article"&gt;17&lt;/ref-type&gt;&lt;contributors&gt;&lt;authors&gt;&lt;author&gt;Rennie, Sarah C&lt;/author&gt;&lt;author&gt;Crosby, Joy R&lt;/author&gt;&lt;/authors&gt;&lt;/contributors&gt;&lt;titles&gt;&lt;title&gt;Students&amp;apos; perceptions of whistle blowing: implications for self</w:instrText>
      </w:r>
      <w:r w:rsidR="008B61BE">
        <w:rPr>
          <w:rFonts w:ascii="Cambria Math" w:hAnsi="Cambria Math" w:cs="Cambria Math"/>
          <w:lang w:val="en-GB"/>
        </w:rPr>
        <w:instrText>‐</w:instrText>
      </w:r>
      <w:r w:rsidR="008B61BE">
        <w:rPr>
          <w:lang w:val="en-GB"/>
        </w:rPr>
        <w:instrText>regulation. A questionnaire and focus group survey&lt;/title&gt;&lt;secondary-title&gt;Medical education&lt;/secondary-title&gt;&lt;/titles&gt;&lt;periodical&gt;&lt;full-title&gt;Medical education&lt;/full-title&gt;&lt;/periodical&gt;&lt;pages&gt;173-179&lt;/pages&gt;&lt;volume&gt;36&lt;/volume&gt;&lt;number&gt;2&lt;/number&gt;&lt;dates&gt;&lt;year&gt;2002&lt;/year&gt;&lt;/dates&gt;&lt;isbn&gt;1365-2923&lt;/isbn&gt;&lt;urls&gt;&lt;/urls&gt;&lt;/record&gt;&lt;/Cite&gt;&lt;/EndNote&gt;</w:instrText>
      </w:r>
      <w:r w:rsidR="00874437" w:rsidRPr="003726FE">
        <w:rPr>
          <w:lang w:val="en-GB"/>
        </w:rPr>
        <w:fldChar w:fldCharType="separate"/>
      </w:r>
      <w:r w:rsidR="004E5A78" w:rsidRPr="003726FE">
        <w:rPr>
          <w:noProof/>
          <w:lang w:val="en-GB"/>
        </w:rPr>
        <w:t>(</w:t>
      </w:r>
      <w:hyperlink w:anchor="_ENREF_186" w:tooltip="Hicks, 2001 #793" w:history="1">
        <w:r w:rsidR="0094469E" w:rsidRPr="003726FE">
          <w:rPr>
            <w:noProof/>
            <w:lang w:val="en-GB"/>
          </w:rPr>
          <w:t>Hicks et al. 2001</w:t>
        </w:r>
      </w:hyperlink>
      <w:r w:rsidR="004E5A78" w:rsidRPr="003726FE">
        <w:rPr>
          <w:noProof/>
          <w:lang w:val="en-GB"/>
        </w:rPr>
        <w:t xml:space="preserve">; </w:t>
      </w:r>
      <w:hyperlink w:anchor="_ENREF_340" w:tooltip="Rennie, 2002 #794" w:history="1">
        <w:r w:rsidR="0094469E" w:rsidRPr="003726FE">
          <w:rPr>
            <w:noProof/>
            <w:lang w:val="en-GB"/>
          </w:rPr>
          <w:t>Rennie and Crosby 2002</w:t>
        </w:r>
      </w:hyperlink>
      <w:r w:rsidR="004E5A78" w:rsidRPr="003726FE">
        <w:rPr>
          <w:noProof/>
          <w:lang w:val="en-GB"/>
        </w:rPr>
        <w:t>)</w:t>
      </w:r>
      <w:r w:rsidR="00874437" w:rsidRPr="003726FE">
        <w:rPr>
          <w:lang w:val="en-GB"/>
        </w:rPr>
        <w:fldChar w:fldCharType="end"/>
      </w:r>
      <w:r w:rsidR="00874437" w:rsidRPr="003726FE">
        <w:rPr>
          <w:lang w:val="en-GB"/>
        </w:rPr>
        <w:t>.</w:t>
      </w:r>
    </w:p>
    <w:p w14:paraId="20B2B016" w14:textId="77777777" w:rsidR="00874437" w:rsidRPr="003726FE" w:rsidRDefault="00874437" w:rsidP="00026049">
      <w:pPr>
        <w:pStyle w:val="Normal1"/>
        <w:rPr>
          <w:lang w:val="en-GB"/>
        </w:rPr>
      </w:pPr>
    </w:p>
    <w:p w14:paraId="3D043E1C" w14:textId="46F2B5AF" w:rsidR="001F3205" w:rsidRPr="00D64D7C" w:rsidRDefault="00874437" w:rsidP="00D64D7C">
      <w:pPr>
        <w:pStyle w:val="Normal1"/>
        <w:rPr>
          <w:lang w:val="en-GB"/>
        </w:rPr>
      </w:pPr>
      <w:r w:rsidRPr="003726FE">
        <w:rPr>
          <w:lang w:val="en-GB"/>
        </w:rPr>
        <w:t xml:space="preserve">Focus groups are distinctly different from other methods of qualitative inquiry, but </w:t>
      </w:r>
      <w:r w:rsidR="00567F08">
        <w:rPr>
          <w:lang w:val="en-GB"/>
        </w:rPr>
        <w:t>can</w:t>
      </w:r>
      <w:r w:rsidRPr="003726FE">
        <w:rPr>
          <w:lang w:val="en-GB"/>
        </w:rPr>
        <w:t xml:space="preserve"> often</w:t>
      </w:r>
      <w:r w:rsidR="00567F08">
        <w:rPr>
          <w:lang w:val="en-GB"/>
        </w:rPr>
        <w:t xml:space="preserve"> be</w:t>
      </w:r>
      <w:r w:rsidRPr="003726FE">
        <w:rPr>
          <w:lang w:val="en-GB"/>
        </w:rPr>
        <w:t xml:space="preserve"> </w:t>
      </w:r>
      <w:r w:rsidR="00567F08">
        <w:rPr>
          <w:lang w:val="en-GB"/>
        </w:rPr>
        <w:t>associated</w:t>
      </w:r>
      <w:r w:rsidRPr="003726FE">
        <w:rPr>
          <w:lang w:val="en-GB"/>
        </w:rPr>
        <w:t xml:space="preserve"> with interview techniques</w:t>
      </w:r>
      <w:r w:rsidR="00567F08">
        <w:rPr>
          <w:lang w:val="en-GB"/>
        </w:rPr>
        <w:t>,</w:t>
      </w:r>
      <w:r w:rsidRPr="003726FE">
        <w:rPr>
          <w:lang w:val="en-GB"/>
        </w:rPr>
        <w:t xml:space="preserve"> and consequently </w:t>
      </w:r>
      <w:r w:rsidR="00D64D7C">
        <w:rPr>
          <w:lang w:val="en-GB"/>
        </w:rPr>
        <w:t xml:space="preserve">may be </w:t>
      </w:r>
      <w:r w:rsidRPr="003726FE">
        <w:rPr>
          <w:lang w:val="en-GB"/>
        </w:rPr>
        <w:t xml:space="preserve">viewed as ‘group interviews’ </w:t>
      </w:r>
      <w:r w:rsidR="00EF281A" w:rsidRPr="003726FE">
        <w:rPr>
          <w:lang w:val="en-GB"/>
        </w:rPr>
        <w:fldChar w:fldCharType="begin"/>
      </w:r>
      <w:r w:rsidR="008B61BE">
        <w:rPr>
          <w:lang w:val="en-GB"/>
        </w:rPr>
        <w:instrText xml:space="preserve"> ADDIN EN.CITE &lt;EndNote&gt;&lt;Cite&gt;&lt;Author&gt;Finch&lt;/Author&gt;&lt;Year&gt;2003&lt;/Year&gt;&lt;RecNum&gt;795&lt;/RecNum&gt;&lt;DisplayText&gt;(Finch and Lewis 2003)&lt;/DisplayText&gt;&lt;record&gt;&lt;rec-number&gt;795&lt;/rec-number&gt;&lt;foreign-keys&gt;&lt;key app="EN" db-id="xa2r2ewea92trkef5dt5arvbzafvpv2za5ft" timestamp="1496417594"&gt;795&lt;/key&gt;&lt;/foreign-keys&gt;&lt;ref-type name="Journal Article"&gt;17&lt;/ref-type&gt;&lt;contributors&gt;&lt;authors&gt;&lt;author&gt;Finch, Helen&lt;/author&gt;&lt;author&gt;Lewis, Jane&lt;/author&gt;&lt;/authors&gt;&lt;/contributors&gt;&lt;titles&gt;&lt;title&gt;Focus groups&lt;/title&gt;&lt;secondary-title&gt;Qualitative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researchers&lt;/full-title&gt;&lt;/periodical&gt;&lt;pages&gt;170-198&lt;/pages&gt;&lt;dates&gt;&lt;year&gt;2003&lt;/year&gt;&lt;/dates&gt;&lt;urls&gt;&lt;/urls&gt;&lt;/record&gt;&lt;/Cite&gt;&lt;/EndNote&gt;</w:instrText>
      </w:r>
      <w:r w:rsidR="00EF281A" w:rsidRPr="003726FE">
        <w:rPr>
          <w:lang w:val="en-GB"/>
        </w:rPr>
        <w:fldChar w:fldCharType="separate"/>
      </w:r>
      <w:r w:rsidR="004E5A78" w:rsidRPr="003726FE">
        <w:rPr>
          <w:noProof/>
          <w:lang w:val="en-GB"/>
        </w:rPr>
        <w:t>(</w:t>
      </w:r>
      <w:hyperlink w:anchor="_ENREF_148" w:tooltip="Finch, 2003 #795" w:history="1">
        <w:r w:rsidR="0094469E" w:rsidRPr="003726FE">
          <w:rPr>
            <w:noProof/>
            <w:lang w:val="en-GB"/>
          </w:rPr>
          <w:t>Finch and Lewis 2003</w:t>
        </w:r>
      </w:hyperlink>
      <w:r w:rsidR="004E5A78" w:rsidRPr="003726FE">
        <w:rPr>
          <w:noProof/>
          <w:lang w:val="en-GB"/>
        </w:rPr>
        <w:t>)</w:t>
      </w:r>
      <w:r w:rsidR="00EF281A" w:rsidRPr="003726FE">
        <w:rPr>
          <w:lang w:val="en-GB"/>
        </w:rPr>
        <w:fldChar w:fldCharType="end"/>
      </w:r>
      <w:r w:rsidRPr="003726FE">
        <w:rPr>
          <w:lang w:val="en-GB"/>
        </w:rPr>
        <w:t>. In the present research, focus g</w:t>
      </w:r>
      <w:r w:rsidR="00814B26">
        <w:rPr>
          <w:lang w:val="en-GB"/>
        </w:rPr>
        <w:t xml:space="preserve">roups </w:t>
      </w:r>
      <w:r w:rsidR="00EC562A">
        <w:rPr>
          <w:lang w:val="en-GB"/>
        </w:rPr>
        <w:t>were</w:t>
      </w:r>
      <w:r w:rsidR="00814B26">
        <w:rPr>
          <w:lang w:val="en-GB"/>
        </w:rPr>
        <w:t xml:space="preserve"> viewed as synergistic</w:t>
      </w:r>
      <w:r w:rsidRPr="003726FE">
        <w:rPr>
          <w:lang w:val="en-GB"/>
        </w:rPr>
        <w:t xml:space="preserve"> in how the collective group works to construct rich data in the social context </w:t>
      </w:r>
      <w:r w:rsidR="00EF281A" w:rsidRPr="003726FE">
        <w:rPr>
          <w:lang w:val="en-GB"/>
        </w:rPr>
        <w:fldChar w:fldCharType="begin"/>
      </w:r>
      <w:r w:rsidR="008B61BE">
        <w:rPr>
          <w:lang w:val="en-GB"/>
        </w:rPr>
        <w:instrText xml:space="preserve"> ADDIN EN.CITE &lt;EndNote&gt;&lt;Cite&gt;&lt;Author&gt;Bloor&lt;/Author&gt;&lt;Year&gt;2001&lt;/Year&gt;&lt;RecNum&gt;789&lt;/RecNum&gt;&lt;DisplayText&gt;(Bloor 2001; Stewart and Shamdasani 2014)&lt;/DisplayText&gt;&lt;record&gt;&lt;rec-number&gt;789&lt;/rec-number&gt;&lt;foreign-keys&gt;&lt;key app="EN" db-id="xa2r2ewea92trkef5dt5arvbzafvpv2za5ft" timestamp="1496417594"&gt;789&lt;/key&gt;&lt;/foreign-keys&gt;&lt;ref-type name="Book"&gt;6&lt;/ref-type&gt;&lt;contributors&gt;&lt;authors&gt;&lt;author&gt;Bloor, Michael&lt;/author&gt;&lt;/authors&gt;&lt;/contributors&gt;&lt;titles&gt;&lt;title&gt;Focus groups in social research&lt;/title&gt;&lt;/titles&gt;&lt;dates&gt;&lt;year&gt;2001&lt;/year&gt;&lt;/dates&gt;&lt;publisher&gt;Sage&lt;/publisher&gt;&lt;isbn&gt;076195743X&lt;/isbn&gt;&lt;urls&gt;&lt;/urls&gt;&lt;/record&gt;&lt;/Cite&gt;&lt;Cite&gt;&lt;Author&gt;Stewart&lt;/Author&gt;&lt;Year&gt;2014&lt;/Year&gt;&lt;RecNum&gt;796&lt;/RecNum&gt;&lt;record&gt;&lt;rec-number&gt;796&lt;/rec-number&gt;&lt;foreign-keys&gt;&lt;key app="EN" db-id="xa2r2ewea92trkef5dt5arvbzafvpv2za5ft" timestamp="1496417594"&gt;796&lt;/key&gt;&lt;/foreign-keys&gt;&lt;ref-type name="Book"&gt;6&lt;/ref-type&gt;&lt;contributors&gt;&lt;authors&gt;&lt;author&gt;Stewart, David W&lt;/author&gt;&lt;author&gt;Shamdasani, Prem N&lt;/author&gt;&lt;/authors&gt;&lt;/contributors&gt;&lt;titles&gt;&lt;title&gt;Focus groups: Theory and practice&lt;/title&gt;&lt;/titles&gt;&lt;volume&gt;20&lt;/volume&gt;&lt;dates&gt;&lt;year&gt;2014&lt;/year&gt;&lt;/dates&gt;&lt;publisher&gt;Sage publications&lt;/publisher&gt;&lt;isbn&gt;148332396X&lt;/isbn&gt;&lt;urls&gt;&lt;/urls&gt;&lt;/record&gt;&lt;/Cite&gt;&lt;/EndNote&gt;</w:instrText>
      </w:r>
      <w:r w:rsidR="00EF281A" w:rsidRPr="003726FE">
        <w:rPr>
          <w:lang w:val="en-GB"/>
        </w:rPr>
        <w:fldChar w:fldCharType="separate"/>
      </w:r>
      <w:r w:rsidR="00567F08">
        <w:rPr>
          <w:noProof/>
          <w:lang w:val="en-GB"/>
        </w:rPr>
        <w:t>(</w:t>
      </w:r>
      <w:hyperlink w:anchor="_ENREF_37" w:tooltip="Bloor, 2001 #789" w:history="1">
        <w:r w:rsidR="0094469E">
          <w:rPr>
            <w:noProof/>
            <w:lang w:val="en-GB"/>
          </w:rPr>
          <w:t>Bloor 2001</w:t>
        </w:r>
      </w:hyperlink>
      <w:r w:rsidR="00567F08">
        <w:rPr>
          <w:noProof/>
          <w:lang w:val="en-GB"/>
        </w:rPr>
        <w:t xml:space="preserve">; </w:t>
      </w:r>
      <w:hyperlink w:anchor="_ENREF_397" w:tooltip="Stewart, 2014 #796" w:history="1">
        <w:r w:rsidR="0094469E">
          <w:rPr>
            <w:noProof/>
            <w:lang w:val="en-GB"/>
          </w:rPr>
          <w:t>Stewart and Shamdasani 2014</w:t>
        </w:r>
      </w:hyperlink>
      <w:r w:rsidR="00567F08">
        <w:rPr>
          <w:noProof/>
          <w:lang w:val="en-GB"/>
        </w:rPr>
        <w:t>)</w:t>
      </w:r>
      <w:r w:rsidR="00EF281A" w:rsidRPr="003726FE">
        <w:rPr>
          <w:lang w:val="en-GB"/>
        </w:rPr>
        <w:fldChar w:fldCharType="end"/>
      </w:r>
      <w:r w:rsidRPr="003726FE">
        <w:rPr>
          <w:lang w:val="en-GB"/>
        </w:rPr>
        <w:t xml:space="preserve">. </w:t>
      </w:r>
      <w:r w:rsidR="000155D5" w:rsidRPr="003726FE">
        <w:rPr>
          <w:lang w:val="en-GB"/>
        </w:rPr>
        <w:t>A</w:t>
      </w:r>
      <w:r w:rsidRPr="003726FE">
        <w:rPr>
          <w:lang w:val="en-GB"/>
        </w:rPr>
        <w:t xml:space="preserve"> listening</w:t>
      </w:r>
      <w:r w:rsidR="00567F08">
        <w:rPr>
          <w:lang w:val="en-GB"/>
        </w:rPr>
        <w:t>,</w:t>
      </w:r>
      <w:r w:rsidRPr="003726FE">
        <w:rPr>
          <w:lang w:val="en-GB"/>
        </w:rPr>
        <w:t xml:space="preserve"> rather than interviewing</w:t>
      </w:r>
      <w:r w:rsidR="00567F08">
        <w:rPr>
          <w:lang w:val="en-GB"/>
        </w:rPr>
        <w:t>,</w:t>
      </w:r>
      <w:r w:rsidRPr="003726FE">
        <w:rPr>
          <w:lang w:val="en-GB"/>
        </w:rPr>
        <w:t xml:space="preserve"> </w:t>
      </w:r>
      <w:r w:rsidR="000155D5" w:rsidRPr="003726FE">
        <w:rPr>
          <w:lang w:val="en-GB"/>
        </w:rPr>
        <w:t xml:space="preserve">approach was used </w:t>
      </w:r>
      <w:r w:rsidRPr="003726FE">
        <w:rPr>
          <w:lang w:val="en-GB"/>
        </w:rPr>
        <w:t xml:space="preserve">to create a more natural environment for discussion where </w:t>
      </w:r>
      <w:r w:rsidR="009F1882">
        <w:rPr>
          <w:lang w:val="en-GB"/>
        </w:rPr>
        <w:t>student</w:t>
      </w:r>
      <w:r w:rsidR="000155D5" w:rsidRPr="003726FE">
        <w:rPr>
          <w:lang w:val="en-GB"/>
        </w:rPr>
        <w:t>s influence</w:t>
      </w:r>
      <w:r w:rsidR="00EC562A">
        <w:rPr>
          <w:lang w:val="en-GB"/>
        </w:rPr>
        <w:t>d</w:t>
      </w:r>
      <w:r w:rsidR="000155D5" w:rsidRPr="003726FE">
        <w:rPr>
          <w:lang w:val="en-GB"/>
        </w:rPr>
        <w:t xml:space="preserve"> </w:t>
      </w:r>
      <w:r w:rsidR="00D531CD" w:rsidRPr="003726FE">
        <w:rPr>
          <w:lang w:val="en-GB"/>
        </w:rPr>
        <w:t>each other’s</w:t>
      </w:r>
      <w:r w:rsidRPr="003726FE">
        <w:rPr>
          <w:lang w:val="en-GB"/>
        </w:rPr>
        <w:t xml:space="preserve"> responses </w:t>
      </w:r>
      <w:r w:rsidR="00EF281A" w:rsidRPr="003726FE">
        <w:rPr>
          <w:lang w:val="en-GB"/>
        </w:rPr>
        <w:fldChar w:fldCharType="begin"/>
      </w:r>
      <w:r w:rsidR="008B61BE">
        <w:rPr>
          <w:lang w:val="en-GB"/>
        </w:rPr>
        <w:instrText xml:space="preserve"> ADDIN EN.CITE &lt;EndNote&gt;&lt;Cite&gt;&lt;Author&gt;Krueger&lt;/Author&gt;&lt;Year&gt;2000&lt;/Year&gt;&lt;RecNum&gt;797&lt;/RecNum&gt;&lt;DisplayText&gt;(Krueger and Casey 2000)&lt;/DisplayText&gt;&lt;record&gt;&lt;rec-number&gt;797&lt;/rec-number&gt;&lt;foreign-keys&gt;&lt;key app="EN" db-id="xa2r2ewea92trkef5dt5arvbzafvpv2za5ft" timestamp="1496417594"&gt;797&lt;/key&gt;&lt;/foreign-keys&gt;&lt;ref-type name="Journal Article"&gt;17&lt;/ref-type&gt;&lt;contributors&gt;&lt;authors&gt;&lt;author&gt;Krueger, RA&lt;/author&gt;&lt;author&gt;Casey, MA&lt;/author&gt;&lt;/authors&gt;&lt;/contributors&gt;&lt;titles&gt;&lt;title&gt;Overview of focus groups&lt;/title&gt;&lt;secondary-title&gt;Focus Groups: A practical guide for applied research&lt;/secondary-title&gt;&lt;/titles&gt;&lt;periodical&gt;&lt;full-title&gt;Focus Groups: A practical guide for applied research&lt;/full-title&gt;&lt;/periodical&gt;&lt;pages&gt;3-19&lt;/pages&gt;&lt;dates&gt;&lt;year&gt;2000&lt;/year&gt;&lt;/dates&gt;&lt;urls&gt;&lt;/urls&gt;&lt;/record&gt;&lt;/Cite&gt;&lt;/EndNote&gt;</w:instrText>
      </w:r>
      <w:r w:rsidR="00EF281A" w:rsidRPr="003726FE">
        <w:rPr>
          <w:lang w:val="en-GB"/>
        </w:rPr>
        <w:fldChar w:fldCharType="separate"/>
      </w:r>
      <w:r w:rsidR="004E5A78" w:rsidRPr="003726FE">
        <w:rPr>
          <w:noProof/>
          <w:lang w:val="en-GB"/>
        </w:rPr>
        <w:t>(</w:t>
      </w:r>
      <w:hyperlink w:anchor="_ENREF_226" w:tooltip="Krueger, 2000 #797" w:history="1">
        <w:r w:rsidR="0094469E" w:rsidRPr="003726FE">
          <w:rPr>
            <w:noProof/>
            <w:lang w:val="en-GB"/>
          </w:rPr>
          <w:t>Krueger and Casey 2000</w:t>
        </w:r>
      </w:hyperlink>
      <w:r w:rsidR="004E5A78" w:rsidRPr="003726FE">
        <w:rPr>
          <w:noProof/>
          <w:lang w:val="en-GB"/>
        </w:rPr>
        <w:t>)</w:t>
      </w:r>
      <w:r w:rsidR="00EF281A" w:rsidRPr="003726FE">
        <w:rPr>
          <w:lang w:val="en-GB"/>
        </w:rPr>
        <w:fldChar w:fldCharType="end"/>
      </w:r>
      <w:r w:rsidR="00D64D7C">
        <w:rPr>
          <w:lang w:val="en-GB"/>
        </w:rPr>
        <w:t xml:space="preserve">. </w:t>
      </w:r>
    </w:p>
    <w:p w14:paraId="66CF9D2D" w14:textId="77777777" w:rsidR="00F176D2" w:rsidRPr="003726FE" w:rsidRDefault="00F176D2" w:rsidP="00026049">
      <w:pPr>
        <w:pStyle w:val="Normal1"/>
        <w:rPr>
          <w:rFonts w:asciiTheme="majorHAnsi" w:eastAsiaTheme="majorEastAsia" w:hAnsiTheme="majorHAnsi" w:cstheme="majorBidi"/>
          <w:color w:val="2E74B5" w:themeColor="accent1" w:themeShade="BF"/>
          <w:sz w:val="26"/>
          <w:szCs w:val="26"/>
          <w:lang w:val="en-GB"/>
        </w:rPr>
      </w:pPr>
      <w:r w:rsidRPr="003726FE">
        <w:rPr>
          <w:lang w:val="en-GB"/>
        </w:rPr>
        <w:br w:type="page"/>
      </w:r>
    </w:p>
    <w:p w14:paraId="45CDB27F" w14:textId="1C3A831D" w:rsidR="00B07B0C" w:rsidRPr="003726FE" w:rsidRDefault="00822E3B" w:rsidP="00B1638D">
      <w:pPr>
        <w:pStyle w:val="Heading2"/>
        <w:rPr>
          <w:lang w:val="en-GB"/>
        </w:rPr>
      </w:pPr>
      <w:bookmarkStart w:id="208" w:name="_Toc500319353"/>
      <w:r w:rsidRPr="003726FE">
        <w:rPr>
          <w:lang w:val="en-GB"/>
        </w:rPr>
        <w:lastRenderedPageBreak/>
        <w:t>A3</w:t>
      </w:r>
      <w:r w:rsidR="00E53628" w:rsidRPr="003726FE">
        <w:rPr>
          <w:lang w:val="en-GB"/>
        </w:rPr>
        <w:t>.8</w:t>
      </w:r>
      <w:r w:rsidR="00F176D2" w:rsidRPr="003726FE">
        <w:rPr>
          <w:lang w:val="en-GB"/>
        </w:rPr>
        <w:t xml:space="preserve"> </w:t>
      </w:r>
      <w:r w:rsidR="00B04B4E" w:rsidRPr="003726FE">
        <w:rPr>
          <w:lang w:val="en-GB"/>
        </w:rPr>
        <w:t xml:space="preserve">Quality and </w:t>
      </w:r>
      <w:r w:rsidR="004C7D29" w:rsidRPr="003726FE">
        <w:rPr>
          <w:lang w:val="en-GB"/>
        </w:rPr>
        <w:t>Rigor</w:t>
      </w:r>
      <w:bookmarkEnd w:id="208"/>
    </w:p>
    <w:p w14:paraId="3FAB03A3" w14:textId="77777777" w:rsidR="000155D5" w:rsidRPr="003726FE" w:rsidRDefault="000155D5" w:rsidP="00026049">
      <w:pPr>
        <w:pStyle w:val="Normal1"/>
        <w:rPr>
          <w:lang w:val="en-GB"/>
        </w:rPr>
      </w:pPr>
    </w:p>
    <w:p w14:paraId="07D95C21" w14:textId="3E5B3E70" w:rsidR="00A57D3D" w:rsidRPr="003726FE" w:rsidRDefault="00E53628" w:rsidP="00BA4521">
      <w:pPr>
        <w:pStyle w:val="Heading3"/>
      </w:pPr>
      <w:bookmarkStart w:id="209" w:name="_Toc500319354"/>
      <w:r w:rsidRPr="003726FE">
        <w:t>A3.8</w:t>
      </w:r>
      <w:r w:rsidR="00A0607E" w:rsidRPr="003726FE">
        <w:t>.1</w:t>
      </w:r>
      <w:r w:rsidR="005F217D" w:rsidRPr="003726FE">
        <w:t xml:space="preserve"> Trustworthiness</w:t>
      </w:r>
      <w:bookmarkEnd w:id="209"/>
    </w:p>
    <w:p w14:paraId="546461DE" w14:textId="77777777" w:rsidR="00A57D3D" w:rsidRPr="003726FE" w:rsidRDefault="00A57D3D" w:rsidP="00026049">
      <w:pPr>
        <w:pStyle w:val="Normal1"/>
        <w:rPr>
          <w:lang w:val="en-GB"/>
        </w:rPr>
      </w:pPr>
    </w:p>
    <w:p w14:paraId="1A12BA6F" w14:textId="7F4F1906" w:rsidR="00FE6DBF" w:rsidRPr="003726FE" w:rsidRDefault="00EC562A" w:rsidP="00026049">
      <w:pPr>
        <w:pStyle w:val="Normal1"/>
        <w:rPr>
          <w:lang w:val="en-GB"/>
        </w:rPr>
      </w:pPr>
      <w:r>
        <w:rPr>
          <w:lang w:val="en-GB"/>
        </w:rPr>
        <w:t>F</w:t>
      </w:r>
      <w:r w:rsidR="00591E3E" w:rsidRPr="003726FE">
        <w:rPr>
          <w:lang w:val="en-GB"/>
        </w:rPr>
        <w:t xml:space="preserve">or the findings from this study to be useful to other researchers, they must be proven to be ‘generalisable’ or </w:t>
      </w:r>
      <w:r>
        <w:rPr>
          <w:lang w:val="en-GB"/>
        </w:rPr>
        <w:t>‘</w:t>
      </w:r>
      <w:r w:rsidR="00591E3E" w:rsidRPr="003726FE">
        <w:rPr>
          <w:lang w:val="en-GB"/>
        </w:rPr>
        <w:t>trustworthy</w:t>
      </w:r>
      <w:r>
        <w:rPr>
          <w:lang w:val="en-GB"/>
        </w:rPr>
        <w:t>’</w:t>
      </w:r>
      <w:r w:rsidR="00591E3E" w:rsidRPr="003726FE">
        <w:rPr>
          <w:lang w:val="en-GB"/>
        </w:rPr>
        <w:t xml:space="preserve"> outside of </w:t>
      </w:r>
      <w:r>
        <w:rPr>
          <w:lang w:val="en-GB"/>
        </w:rPr>
        <w:t>the present</w:t>
      </w:r>
      <w:r w:rsidR="00591E3E" w:rsidRPr="003726FE">
        <w:rPr>
          <w:lang w:val="en-GB"/>
        </w:rPr>
        <w:t xml:space="preserve"> context </w:t>
      </w:r>
      <w:r w:rsidR="00EF281A" w:rsidRPr="003726FE">
        <w:rPr>
          <w:lang w:val="en-GB"/>
        </w:rPr>
        <w:fldChar w:fldCharType="begin"/>
      </w:r>
      <w:r w:rsidR="008B61BE">
        <w:rPr>
          <w:lang w:val="en-GB"/>
        </w:rPr>
        <w:instrText xml:space="preserve"> ADDIN EN.CITE &lt;EndNote&gt;&lt;Cite&gt;&lt;Author&gt;Lewis&lt;/Author&gt;&lt;Year&gt;2003&lt;/Year&gt;&lt;RecNum&gt;146&lt;/RecNum&gt;&lt;DisplayText&gt;(Lewis and Ritchie 2003)&lt;/DisplayText&gt;&lt;record&gt;&lt;rec-number&gt;146&lt;/rec-number&gt;&lt;foreign-keys&gt;&lt;key app="EN" db-id="xa2r2ewea92trkef5dt5arvbzafvpv2za5ft" timestamp="1442161764"&gt;146&lt;/key&gt;&lt;/foreign-keys&gt;&lt;ref-type name="Journal Article"&gt;17&lt;/ref-type&gt;&lt;contributors&gt;&lt;authors&gt;&lt;author&gt;Lewis, Jane&lt;/author&gt;&lt;author&gt;Ritchie, Jane&lt;/author&gt;&lt;/authors&gt;&lt;/contributors&gt;&lt;titles&gt;&lt;title&gt;Generalising from qualitative research&lt;/title&gt;&lt;secondary-title&gt;Qualitative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researchers&lt;/full-title&gt;&lt;/periodical&gt;&lt;pages&gt;263-286&lt;/pages&gt;&lt;dates&gt;&lt;year&gt;2003&lt;/year&gt;&lt;/dates&gt;&lt;publisher&gt;Sage London, England&lt;/publisher&gt;&lt;urls&gt;&lt;/urls&gt;&lt;/record&gt;&lt;/Cite&gt;&lt;/EndNote&gt;</w:instrText>
      </w:r>
      <w:r w:rsidR="00EF281A" w:rsidRPr="003726FE">
        <w:rPr>
          <w:lang w:val="en-GB"/>
        </w:rPr>
        <w:fldChar w:fldCharType="separate"/>
      </w:r>
      <w:r w:rsidR="004E5A78" w:rsidRPr="003726FE">
        <w:rPr>
          <w:noProof/>
          <w:lang w:val="en-GB"/>
        </w:rPr>
        <w:t>(</w:t>
      </w:r>
      <w:hyperlink w:anchor="_ENREF_242" w:tooltip="Lewis, 2003 #146" w:history="1">
        <w:r w:rsidR="0094469E" w:rsidRPr="003726FE">
          <w:rPr>
            <w:noProof/>
            <w:lang w:val="en-GB"/>
          </w:rPr>
          <w:t>Lewis and Ritchie 2003</w:t>
        </w:r>
      </w:hyperlink>
      <w:r w:rsidR="004E5A78" w:rsidRPr="003726FE">
        <w:rPr>
          <w:noProof/>
          <w:lang w:val="en-GB"/>
        </w:rPr>
        <w:t>)</w:t>
      </w:r>
      <w:r w:rsidR="00EF281A" w:rsidRPr="003726FE">
        <w:rPr>
          <w:lang w:val="en-GB"/>
        </w:rPr>
        <w:fldChar w:fldCharType="end"/>
      </w:r>
      <w:r w:rsidR="00FE6DBF" w:rsidRPr="003726FE">
        <w:rPr>
          <w:lang w:val="en-GB"/>
        </w:rPr>
        <w:t>. Trustworthiness is viewed as the qualitative alternative to concepts of rigour in quantitative research</w:t>
      </w:r>
      <w:r w:rsidR="0053798D" w:rsidRPr="003726FE">
        <w:rPr>
          <w:lang w:val="en-GB"/>
        </w:rPr>
        <w:t xml:space="preserve"> </w:t>
      </w:r>
      <w:r w:rsidR="00EF281A" w:rsidRPr="003726FE">
        <w:rPr>
          <w:lang w:val="en-GB"/>
        </w:rPr>
        <w:fldChar w:fldCharType="begin"/>
      </w:r>
      <w:r w:rsidR="008B61BE">
        <w:rPr>
          <w:lang w:val="en-GB"/>
        </w:rPr>
        <w:instrText xml:space="preserve"> ADDIN EN.CITE &lt;EndNote&gt;&lt;Cite&gt;&lt;Author&gt;Seale&lt;/Author&gt;&lt;Year&gt;1999&lt;/Year&gt;&lt;RecNum&gt;233&lt;/RecNum&gt;&lt;DisplayText&gt;(Seale 1999)&lt;/DisplayText&gt;&lt;record&gt;&lt;rec-number&gt;233&lt;/rec-number&gt;&lt;foreign-keys&gt;&lt;key app="EN" db-id="xa2r2ewea92trkef5dt5arvbzafvpv2za5ft" timestamp="1442161765"&gt;233&lt;/key&gt;&lt;/foreign-keys&gt;&lt;ref-type name="Journal Article"&gt;17&lt;/ref-type&gt;&lt;contributors&gt;&lt;authors&gt;&lt;author&gt;Seale, Clive&lt;/author&gt;&lt;/authors&gt;&lt;/contributors&gt;&lt;titles&gt;&lt;title&gt;Quality in qualitative research&lt;/title&gt;&lt;secondary-title&gt;Qualitative inquiry&lt;/secondary-title&gt;&lt;/titles&gt;&lt;periodical&gt;&lt;full-title&gt;Qualitative inquiry&lt;/full-title&gt;&lt;/periodical&gt;&lt;pages&gt;465-478&lt;/pages&gt;&lt;volume&gt;5&lt;/volume&gt;&lt;number&gt;4&lt;/number&gt;&lt;dates&gt;&lt;year&gt;1999&lt;/year&gt;&lt;/dates&gt;&lt;publisher&gt;Sage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379" w:tooltip="Seale, 1999 #233" w:history="1">
        <w:r w:rsidR="0094469E" w:rsidRPr="003726FE">
          <w:rPr>
            <w:noProof/>
            <w:lang w:val="en-GB"/>
          </w:rPr>
          <w:t>Seale 1999</w:t>
        </w:r>
      </w:hyperlink>
      <w:r w:rsidR="004E5A78" w:rsidRPr="003726FE">
        <w:rPr>
          <w:noProof/>
          <w:lang w:val="en-GB"/>
        </w:rPr>
        <w:t>)</w:t>
      </w:r>
      <w:r w:rsidR="00EF281A" w:rsidRPr="003726FE">
        <w:rPr>
          <w:lang w:val="en-GB"/>
        </w:rPr>
        <w:fldChar w:fldCharType="end"/>
      </w:r>
      <w:r w:rsidR="0053798D" w:rsidRPr="003726FE">
        <w:rPr>
          <w:lang w:val="en-GB"/>
        </w:rPr>
        <w:t>.</w:t>
      </w:r>
      <w:r w:rsidR="00FE6DBF" w:rsidRPr="003726FE">
        <w:rPr>
          <w:lang w:val="en-GB"/>
        </w:rPr>
        <w:t xml:space="preserve"> </w:t>
      </w:r>
      <w:r>
        <w:rPr>
          <w:lang w:val="en-GB"/>
        </w:rPr>
        <w:t>It</w:t>
      </w:r>
      <w:r w:rsidR="0053798D" w:rsidRPr="003726FE">
        <w:rPr>
          <w:lang w:val="en-GB"/>
        </w:rPr>
        <w:t xml:space="preserve"> also aims to communicate research effectively, as Law et al. </w:t>
      </w:r>
      <w:r w:rsidR="00EF281A" w:rsidRPr="003726FE">
        <w:rPr>
          <w:lang w:val="en-GB"/>
        </w:rPr>
        <w:fldChar w:fldCharType="begin"/>
      </w:r>
      <w:r w:rsidR="008B61BE">
        <w:rPr>
          <w:lang w:val="en-GB"/>
        </w:rPr>
        <w:instrText xml:space="preserve"> ADDIN EN.CITE &lt;EndNote&gt;&lt;Cite ExcludeAuth="1"&gt;&lt;Author&gt;Law&lt;/Author&gt;&lt;Year&gt;1998&lt;/Year&gt;&lt;RecNum&gt;555&lt;/RecNum&gt;&lt;Pages&gt;7&lt;/Pages&gt;&lt;DisplayText&gt;(1998, p. 7)&lt;/DisplayText&gt;&lt;record&gt;&lt;rec-number&gt;555&lt;/rec-number&gt;&lt;foreign-keys&gt;&lt;key app="EN" db-id="xa2r2ewea92trkef5dt5arvbzafvpv2za5ft" timestamp="1496417553"&gt;555&lt;/key&gt;&lt;/foreign-keys&gt;&lt;ref-type name="Journal Article"&gt;17&lt;/ref-type&gt;&lt;contributors&gt;&lt;authors&gt;&lt;author&gt;Law, M&lt;/author&gt;&lt;author&gt;Stewart, D&lt;/author&gt;&lt;author&gt;Letts, L&lt;/author&gt;&lt;author&gt;Pollock, N&lt;/author&gt;&lt;author&gt;Bosch, J&lt;/author&gt;&lt;author&gt;Westmorland, M&lt;/author&gt;&lt;/authors&gt;&lt;/contributors&gt;&lt;titles&gt;&lt;title&gt;Guidelines for critical review of qualitative studies&lt;/title&gt;&lt;secondary-title&gt;McMaster University Occupational Therapy Evidence-Based Practice Research Group&lt;/secondary-title&gt;&lt;/titles&gt;&lt;periodical&gt;&lt;full-title&gt;McMaster University Occupational Therapy Evidence-Based Practice Research Group&lt;/full-title&gt;&lt;/periodical&gt;&lt;dates&gt;&lt;year&gt;1998&lt;/year&gt;&lt;/dates&gt;&lt;urls&gt;&lt;/urls&gt;&lt;/record&gt;&lt;/Cite&gt;&lt;/EndNote&gt;</w:instrText>
      </w:r>
      <w:r w:rsidR="00EF281A" w:rsidRPr="003726FE">
        <w:rPr>
          <w:lang w:val="en-GB"/>
        </w:rPr>
        <w:fldChar w:fldCharType="separate"/>
      </w:r>
      <w:r w:rsidR="00E04EC9" w:rsidRPr="003726FE">
        <w:rPr>
          <w:noProof/>
          <w:lang w:val="en-GB"/>
        </w:rPr>
        <w:t>(</w:t>
      </w:r>
      <w:hyperlink w:anchor="_ENREF_236" w:tooltip="Law, 1998 #555" w:history="1">
        <w:r w:rsidR="0094469E" w:rsidRPr="003726FE">
          <w:rPr>
            <w:noProof/>
            <w:lang w:val="en-GB"/>
          </w:rPr>
          <w:t>1998, p. 7</w:t>
        </w:r>
      </w:hyperlink>
      <w:r w:rsidR="00E04EC9" w:rsidRPr="003726FE">
        <w:rPr>
          <w:noProof/>
          <w:lang w:val="en-GB"/>
        </w:rPr>
        <w:t>)</w:t>
      </w:r>
      <w:r w:rsidR="00EF281A" w:rsidRPr="003726FE">
        <w:rPr>
          <w:lang w:val="en-GB"/>
        </w:rPr>
        <w:fldChar w:fldCharType="end"/>
      </w:r>
      <w:r w:rsidR="0053798D" w:rsidRPr="003726FE">
        <w:rPr>
          <w:lang w:val="en-GB"/>
        </w:rPr>
        <w:t xml:space="preserve"> state</w:t>
      </w:r>
      <w:r w:rsidR="00814B26">
        <w:rPr>
          <w:lang w:val="en-GB"/>
        </w:rPr>
        <w:t>:</w:t>
      </w:r>
      <w:r w:rsidR="0053798D" w:rsidRPr="003726FE">
        <w:rPr>
          <w:lang w:val="en-GB"/>
        </w:rPr>
        <w:t xml:space="preserve"> “Establishing trustworthiness ensures the quality of the findings. It increases the confidence of the reader that the findings are worthy of attention.” In regards to the alternative denominations of quantitative rigour (validity and reliability), </w:t>
      </w:r>
      <w:r w:rsidR="00FE6DBF" w:rsidRPr="003726FE">
        <w:rPr>
          <w:lang w:val="en-GB"/>
        </w:rPr>
        <w:t>Schwandt</w:t>
      </w:r>
      <w:r w:rsidR="000169D7" w:rsidRPr="003726FE">
        <w:rPr>
          <w:lang w:val="en-GB"/>
        </w:rPr>
        <w:t xml:space="preserve">, Lincoln, and Guba </w:t>
      </w:r>
      <w:r w:rsidR="00EF281A" w:rsidRPr="003726FE">
        <w:rPr>
          <w:lang w:val="en-GB"/>
        </w:rPr>
        <w:fldChar w:fldCharType="begin"/>
      </w:r>
      <w:r w:rsidR="008B61BE">
        <w:rPr>
          <w:lang w:val="en-GB"/>
        </w:rPr>
        <w:instrText xml:space="preserve"> ADDIN EN.CITE &lt;EndNote&gt;&lt;Cite ExcludeAuth="1"&gt;&lt;Author&gt;Schwandt&lt;/Author&gt;&lt;Year&gt;2007&lt;/Year&gt;&lt;RecNum&gt;229&lt;/RecNum&gt;&lt;Pages&gt;18&lt;/Pages&gt;&lt;DisplayText&gt;(2007, p. 18)&lt;/DisplayText&gt;&lt;record&gt;&lt;rec-number&gt;229&lt;/rec-number&gt;&lt;foreign-keys&gt;&lt;key app="EN" db-id="xa2r2ewea92trkef5dt5arvbzafvpv2za5ft" timestamp="1442161765"&gt;229&lt;/key&gt;&lt;/foreign-keys&gt;&lt;ref-type name="Journal Article"&gt;17&lt;/ref-type&gt;&lt;contributors&gt;&lt;authors&gt;&lt;author&gt;Schwandt, Thomas A.&lt;/author&gt;&lt;author&gt;Lincoln, Yvonna S.&lt;/author&gt;&lt;author&gt;Guba, Egon G.&lt;/author&gt;&lt;/authors&gt;&lt;/contributors&gt;&lt;titles&gt;&lt;title&gt;Judging interpretations: but is it rigorous? trustworthiness and authenticity in naturalistic evaluation&lt;/title&gt;&lt;secondary-title&gt;New directions for evaluation&lt;/secondary-title&gt;&lt;/titles&gt;&lt;periodical&gt;&lt;full-title&gt;New directions for evaluation&lt;/full-title&gt;&lt;/periodical&gt;&lt;pages&gt;11-25&lt;/pages&gt;&lt;volume&gt;2007&lt;/volume&gt;&lt;number&gt;114&lt;/number&gt;&lt;dates&gt;&lt;year&gt;2007&lt;/year&gt;&lt;/dates&gt;&lt;publisher&gt;Wiley Online Library&lt;/publisher&gt;&lt;urls&gt;&lt;/urls&gt;&lt;/record&gt;&lt;/Cite&gt;&lt;/EndNote&gt;</w:instrText>
      </w:r>
      <w:r w:rsidR="00EF281A" w:rsidRPr="003726FE">
        <w:rPr>
          <w:lang w:val="en-GB"/>
        </w:rPr>
        <w:fldChar w:fldCharType="separate"/>
      </w:r>
      <w:r w:rsidR="00E04EC9" w:rsidRPr="003726FE">
        <w:rPr>
          <w:noProof/>
          <w:lang w:val="en-GB"/>
        </w:rPr>
        <w:t>(</w:t>
      </w:r>
      <w:hyperlink w:anchor="_ENREF_375" w:tooltip="Schwandt, 2007 #229" w:history="1">
        <w:r w:rsidR="0094469E" w:rsidRPr="003726FE">
          <w:rPr>
            <w:noProof/>
            <w:lang w:val="en-GB"/>
          </w:rPr>
          <w:t>2007, p. 18</w:t>
        </w:r>
      </w:hyperlink>
      <w:r w:rsidR="00E04EC9" w:rsidRPr="003726FE">
        <w:rPr>
          <w:noProof/>
          <w:lang w:val="en-GB"/>
        </w:rPr>
        <w:t>)</w:t>
      </w:r>
      <w:r w:rsidR="00EF281A" w:rsidRPr="003726FE">
        <w:rPr>
          <w:lang w:val="en-GB"/>
        </w:rPr>
        <w:fldChar w:fldCharType="end"/>
      </w:r>
      <w:r>
        <w:rPr>
          <w:lang w:val="en-GB"/>
        </w:rPr>
        <w:t xml:space="preserve"> state:</w:t>
      </w:r>
      <w:r w:rsidR="00FE6DBF" w:rsidRPr="003726FE">
        <w:rPr>
          <w:lang w:val="en-GB"/>
        </w:rPr>
        <w:t xml:space="preserve"> “We have suggested credibility as an analogue to internal validity, transferability as an analogue to external validity”.</w:t>
      </w:r>
      <w:r w:rsidR="0053798D" w:rsidRPr="003726FE">
        <w:rPr>
          <w:lang w:val="en-GB"/>
        </w:rPr>
        <w:t xml:space="preserve"> This study </w:t>
      </w:r>
      <w:r w:rsidR="00D00B68" w:rsidRPr="003726FE">
        <w:rPr>
          <w:lang w:val="en-GB"/>
        </w:rPr>
        <w:t>embedded this</w:t>
      </w:r>
      <w:r w:rsidR="0053798D" w:rsidRPr="003726FE">
        <w:rPr>
          <w:lang w:val="en-GB"/>
        </w:rPr>
        <w:t xml:space="preserve"> approach </w:t>
      </w:r>
      <w:r w:rsidR="00D00B68" w:rsidRPr="003726FE">
        <w:rPr>
          <w:lang w:val="en-GB"/>
        </w:rPr>
        <w:t xml:space="preserve">from the outset </w:t>
      </w:r>
      <w:r w:rsidR="00EF281A" w:rsidRPr="003726FE">
        <w:rPr>
          <w:lang w:val="en-GB"/>
        </w:rPr>
        <w:fldChar w:fldCharType="begin"/>
      </w:r>
      <w:r w:rsidR="008B61BE">
        <w:rPr>
          <w:lang w:val="en-GB"/>
        </w:rPr>
        <w:instrText xml:space="preserve"> ADDIN EN.CITE &lt;EndNote&gt;&lt;Cite&gt;&lt;Author&gt;Rolfe&lt;/Author&gt;&lt;Year&gt;2006&lt;/Year&gt;&lt;RecNum&gt;215&lt;/RecNum&gt;&lt;DisplayText&gt;(Rolfe 2006)&lt;/DisplayText&gt;&lt;record&gt;&lt;rec-number&gt;215&lt;/rec-number&gt;&lt;foreign-keys&gt;&lt;key app="EN" db-id="xa2r2ewea92trkef5dt5arvbzafvpv2za5ft" timestamp="1442161765"&gt;215&lt;/key&gt;&lt;/foreign-keys&gt;&lt;ref-type name="Journal Article"&gt;17&lt;/ref-type&gt;&lt;contributors&gt;&lt;authors&gt;&lt;author&gt;Rolfe, Gary&lt;/author&gt;&lt;/authors&gt;&lt;/contributors&gt;&lt;titles&gt;&lt;title&gt;Validity, trustworthiness and rigour: quality and the idea of qualitative research&lt;/title&gt;&lt;secondary-title&gt;Journal of advanced nursing&lt;/secondary-title&gt;&lt;/titles&gt;&lt;periodical&gt;&lt;full-title&gt;Journal of advanced nursing&lt;/full-title&gt;&lt;/periodical&gt;&lt;pages&gt;304-310&lt;/pages&gt;&lt;volume&gt;53&lt;/volume&gt;&lt;number&gt;3&lt;/number&gt;&lt;dates&gt;&lt;year&gt;2006&lt;/year&gt;&lt;/dates&gt;&lt;publisher&gt;Wiley Online Library&lt;/publisher&gt;&lt;urls&gt;&lt;related-urls&gt;&lt;url&gt;http://onlinelibrary.wiley.com/doi/10.1111/j.1365-2648.2006.03727.x/abstract&lt;/url&gt;&lt;/related-urls&gt;&lt;/urls&gt;&lt;/record&gt;&lt;/Cite&gt;&lt;/EndNote&gt;</w:instrText>
      </w:r>
      <w:r w:rsidR="00EF281A" w:rsidRPr="003726FE">
        <w:rPr>
          <w:lang w:val="en-GB"/>
        </w:rPr>
        <w:fldChar w:fldCharType="separate"/>
      </w:r>
      <w:r w:rsidR="004E5A78" w:rsidRPr="003726FE">
        <w:rPr>
          <w:noProof/>
          <w:lang w:val="en-GB"/>
        </w:rPr>
        <w:t>(</w:t>
      </w:r>
      <w:hyperlink w:anchor="_ENREF_349" w:tooltip="Rolfe, 2006 #488" w:history="1">
        <w:r w:rsidR="0094469E" w:rsidRPr="003726FE">
          <w:rPr>
            <w:noProof/>
            <w:lang w:val="en-GB"/>
          </w:rPr>
          <w:t>Rolfe 2006</w:t>
        </w:r>
      </w:hyperlink>
      <w:r w:rsidR="004E5A78" w:rsidRPr="003726FE">
        <w:rPr>
          <w:noProof/>
          <w:lang w:val="en-GB"/>
        </w:rPr>
        <w:t>)</w:t>
      </w:r>
      <w:r w:rsidR="00EF281A" w:rsidRPr="003726FE">
        <w:rPr>
          <w:lang w:val="en-GB"/>
        </w:rPr>
        <w:fldChar w:fldCharType="end"/>
      </w:r>
      <w:r w:rsidR="00814B26">
        <w:rPr>
          <w:lang w:val="en-GB"/>
        </w:rPr>
        <w:t>.</w:t>
      </w:r>
      <w:r w:rsidR="00D00B68" w:rsidRPr="003726FE">
        <w:rPr>
          <w:lang w:val="en-GB"/>
        </w:rPr>
        <w:t xml:space="preserve"> </w:t>
      </w:r>
      <w:r w:rsidR="00814B26">
        <w:rPr>
          <w:lang w:val="en-GB"/>
        </w:rPr>
        <w:t>T</w:t>
      </w:r>
      <w:r w:rsidR="0053798D" w:rsidRPr="003726FE">
        <w:rPr>
          <w:lang w:val="en-GB"/>
        </w:rPr>
        <w:t xml:space="preserve">hese and other </w:t>
      </w:r>
      <w:r w:rsidR="00591E3E" w:rsidRPr="003726FE">
        <w:rPr>
          <w:lang w:val="en-GB"/>
        </w:rPr>
        <w:t>key strategies</w:t>
      </w:r>
      <w:r w:rsidR="0053798D" w:rsidRPr="003726FE">
        <w:rPr>
          <w:lang w:val="en-GB"/>
        </w:rPr>
        <w:t xml:space="preserve"> </w:t>
      </w:r>
      <w:r w:rsidR="00814B26">
        <w:rPr>
          <w:lang w:val="en-GB"/>
        </w:rPr>
        <w:t>to achieve</w:t>
      </w:r>
      <w:r w:rsidR="0053798D" w:rsidRPr="003726FE">
        <w:rPr>
          <w:lang w:val="en-GB"/>
        </w:rPr>
        <w:t xml:space="preserve"> trustworthiness </w:t>
      </w:r>
      <w:r w:rsidR="00D00B68" w:rsidRPr="003726FE">
        <w:rPr>
          <w:lang w:val="en-GB"/>
        </w:rPr>
        <w:t xml:space="preserve">are outlined </w:t>
      </w:r>
      <w:r w:rsidR="00793554" w:rsidRPr="003726FE">
        <w:rPr>
          <w:lang w:val="en-GB"/>
        </w:rPr>
        <w:t>later in this section (member checking, peer debriefing, and triangulation)</w:t>
      </w:r>
      <w:r w:rsidR="0053798D" w:rsidRPr="003726FE">
        <w:rPr>
          <w:lang w:val="en-GB"/>
        </w:rPr>
        <w:t>.</w:t>
      </w:r>
    </w:p>
    <w:p w14:paraId="581952B4" w14:textId="77777777" w:rsidR="00C47051" w:rsidRPr="003726FE" w:rsidRDefault="00C47051" w:rsidP="00026049">
      <w:pPr>
        <w:pStyle w:val="Normal1"/>
        <w:rPr>
          <w:lang w:val="en-GB"/>
        </w:rPr>
      </w:pPr>
    </w:p>
    <w:p w14:paraId="5E86AC37" w14:textId="2A3F6A07" w:rsidR="00C47051" w:rsidRPr="003726FE" w:rsidRDefault="00C47051" w:rsidP="00026049">
      <w:pPr>
        <w:pStyle w:val="Normal1"/>
        <w:rPr>
          <w:lang w:val="en-GB"/>
        </w:rPr>
      </w:pPr>
      <w:r w:rsidRPr="003726FE">
        <w:rPr>
          <w:lang w:val="en-GB"/>
        </w:rPr>
        <w:t xml:space="preserve">In </w:t>
      </w:r>
      <w:r w:rsidR="00814B26">
        <w:rPr>
          <w:lang w:val="en-GB"/>
        </w:rPr>
        <w:t>deriving</w:t>
      </w:r>
      <w:r w:rsidRPr="003726FE">
        <w:rPr>
          <w:lang w:val="en-GB"/>
        </w:rPr>
        <w:t xml:space="preserve"> conclusions from the data, a purist approach to connecting theory and data </w:t>
      </w:r>
      <w:r w:rsidR="00D00B68" w:rsidRPr="003726FE">
        <w:rPr>
          <w:lang w:val="en-GB"/>
        </w:rPr>
        <w:t>was</w:t>
      </w:r>
      <w:r w:rsidRPr="003726FE">
        <w:rPr>
          <w:lang w:val="en-GB"/>
        </w:rPr>
        <w:t xml:space="preserve"> incompatible</w:t>
      </w:r>
      <w:r w:rsidR="00814B26">
        <w:rPr>
          <w:lang w:val="en-GB"/>
        </w:rPr>
        <w:t xml:space="preserve"> with this study</w:t>
      </w:r>
      <w:r w:rsidRPr="003726FE">
        <w:rPr>
          <w:lang w:val="en-GB"/>
        </w:rPr>
        <w:t xml:space="preserve"> given the use of </w:t>
      </w:r>
      <w:r w:rsidR="00EC562A">
        <w:rPr>
          <w:lang w:val="en-GB"/>
        </w:rPr>
        <w:t xml:space="preserve">a </w:t>
      </w:r>
      <w:r w:rsidRPr="003726FE">
        <w:rPr>
          <w:lang w:val="en-GB"/>
        </w:rPr>
        <w:t xml:space="preserve">mixed methodology. Traditionally, quantitative researchers use deductive reasoning to connect theory and data </w:t>
      </w:r>
      <w:r w:rsidR="007A4EDA">
        <w:rPr>
          <w:lang w:val="en-GB"/>
        </w:rPr>
        <w:t>using</w:t>
      </w:r>
      <w:r w:rsidRPr="003726FE">
        <w:rPr>
          <w:lang w:val="en-GB"/>
        </w:rPr>
        <w:t xml:space="preserve"> a ‘top-down’ </w:t>
      </w:r>
      <w:r w:rsidR="007A4EDA">
        <w:rPr>
          <w:lang w:val="en-GB"/>
        </w:rPr>
        <w:t>approach</w:t>
      </w:r>
      <w:r w:rsidR="00814B26">
        <w:rPr>
          <w:lang w:val="en-GB"/>
        </w:rPr>
        <w:t>. Which</w:t>
      </w:r>
      <w:r w:rsidRPr="003726FE">
        <w:rPr>
          <w:lang w:val="en-GB"/>
        </w:rPr>
        <w:t xml:space="preserve"> involves the testing of hypotheses and theories </w:t>
      </w:r>
      <w:r w:rsidR="00EF281A"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w:t>
      </w:r>
      <w:r w:rsidR="00EF281A" w:rsidRPr="003726FE">
        <w:rPr>
          <w:lang w:val="en-GB"/>
        </w:rPr>
        <w:fldChar w:fldCharType="end"/>
      </w:r>
      <w:r w:rsidRPr="003726FE">
        <w:rPr>
          <w:lang w:val="en-GB"/>
        </w:rPr>
        <w:t xml:space="preserve">. The qualitative researcher starts from the ‘bottom-up’, going from observations to patterns to theories in the inverse direction to the deductive approach, </w:t>
      </w:r>
      <w:r w:rsidR="00814B26">
        <w:rPr>
          <w:lang w:val="en-GB"/>
        </w:rPr>
        <w:t>to infer</w:t>
      </w:r>
      <w:r w:rsidRPr="003726FE">
        <w:rPr>
          <w:lang w:val="en-GB"/>
        </w:rPr>
        <w:t xml:space="preserve"> a general conclusion </w:t>
      </w:r>
      <w:r w:rsidR="00EF281A" w:rsidRPr="003726FE">
        <w:rPr>
          <w:lang w:val="en-GB"/>
        </w:rPr>
        <w:fldChar w:fldCharType="begin"/>
      </w:r>
      <w:r w:rsidR="008B61BE">
        <w:rPr>
          <w:lang w:val="en-GB"/>
        </w:rPr>
        <w:instrText xml:space="preserve"> ADDIN EN.CITE &lt;EndNote&gt;&lt;Cite&gt;&lt;Author&gt;Morgan&lt;/Author&gt;&lt;Year&gt;2007&lt;/Year&gt;&lt;RecNum&gt;170&lt;/RecNum&gt;&lt;DisplayText&gt;(Morgan 2007)&lt;/DisplayText&gt;&lt;record&gt;&lt;rec-number&gt;170&lt;/rec-number&gt;&lt;foreign-keys&gt;&lt;key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84" w:tooltip="Morgan, 2007 #170" w:history="1">
        <w:r w:rsidR="0094469E" w:rsidRPr="003726FE">
          <w:rPr>
            <w:noProof/>
            <w:lang w:val="en-GB"/>
          </w:rPr>
          <w:t>Morgan 2007</w:t>
        </w:r>
      </w:hyperlink>
      <w:r w:rsidR="004E5A78" w:rsidRPr="003726FE">
        <w:rPr>
          <w:noProof/>
          <w:lang w:val="en-GB"/>
        </w:rPr>
        <w:t>)</w:t>
      </w:r>
      <w:r w:rsidR="00EF281A" w:rsidRPr="003726FE">
        <w:rPr>
          <w:lang w:val="en-GB"/>
        </w:rPr>
        <w:fldChar w:fldCharType="end"/>
      </w:r>
      <w:r w:rsidR="00814B26">
        <w:rPr>
          <w:lang w:val="en-GB"/>
        </w:rPr>
        <w:t>.</w:t>
      </w:r>
    </w:p>
    <w:p w14:paraId="6F89983D" w14:textId="77777777" w:rsidR="00C47051" w:rsidRPr="003726FE" w:rsidRDefault="00C47051" w:rsidP="00026049">
      <w:pPr>
        <w:pStyle w:val="Normal1"/>
        <w:rPr>
          <w:lang w:val="en-GB"/>
        </w:rPr>
      </w:pPr>
    </w:p>
    <w:p w14:paraId="0CA24956" w14:textId="1B9F75FD" w:rsidR="00C47051" w:rsidRPr="003726FE" w:rsidRDefault="00C47051" w:rsidP="00026049">
      <w:pPr>
        <w:pStyle w:val="Normal1"/>
        <w:rPr>
          <w:lang w:val="en-GB"/>
        </w:rPr>
      </w:pPr>
      <w:r w:rsidRPr="003726FE">
        <w:rPr>
          <w:lang w:val="en-GB"/>
        </w:rPr>
        <w:t xml:space="preserve">An abductive reasoning approach was </w:t>
      </w:r>
      <w:r w:rsidR="00814B26">
        <w:rPr>
          <w:lang w:val="en-GB"/>
        </w:rPr>
        <w:t>adopted</w:t>
      </w:r>
      <w:r w:rsidRPr="003726FE">
        <w:rPr>
          <w:lang w:val="en-GB"/>
        </w:rPr>
        <w:t xml:space="preserve"> </w:t>
      </w:r>
      <w:r w:rsidR="00814B26">
        <w:rPr>
          <w:lang w:val="en-GB"/>
        </w:rPr>
        <w:t>as</w:t>
      </w:r>
      <w:r w:rsidRPr="003726FE">
        <w:rPr>
          <w:lang w:val="en-GB"/>
        </w:rPr>
        <w:t xml:space="preserve"> a pragmatist way of making inferences from data, it “moves back and forth </w:t>
      </w:r>
      <w:r w:rsidR="00D802DA">
        <w:rPr>
          <w:lang w:val="en-GB"/>
        </w:rPr>
        <w:t xml:space="preserve">between induction and deduction - </w:t>
      </w:r>
      <w:r w:rsidRPr="003726FE">
        <w:rPr>
          <w:lang w:val="en-GB"/>
        </w:rPr>
        <w:t>first converting observations into theories and then assessing tho</w:t>
      </w:r>
      <w:r w:rsidR="00814B26">
        <w:rPr>
          <w:lang w:val="en-GB"/>
        </w:rPr>
        <w:t>se theories through action</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&lt;EndNote&gt;&lt;Cite&gt;&lt;Author&gt;Morgan&lt;/Author&gt;&lt;Year&gt;2007&lt;/Year&gt;&lt;RecNum&gt;170&lt;/RecNum&gt;&lt;Pages&gt;71&lt;/Pages&gt;&lt;DisplayText&gt;(Morgan 2007, p. 71)&lt;/DisplayText&gt;&lt;record&gt;&lt;rec-number&gt;170&lt;/rec-number&gt;&lt;foreign-keys&gt;&lt;key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84" w:tooltip="Morgan, 2007 #170" w:history="1">
        <w:r w:rsidR="0094469E" w:rsidRPr="003726FE">
          <w:rPr>
            <w:noProof/>
            <w:lang w:val="en-GB"/>
          </w:rPr>
          <w:t>Morgan 2007, p. 71</w:t>
        </w:r>
      </w:hyperlink>
      <w:r w:rsidR="004E5A78" w:rsidRPr="003726FE">
        <w:rPr>
          <w:noProof/>
          <w:lang w:val="en-GB"/>
        </w:rPr>
        <w:t>)</w:t>
      </w:r>
      <w:r w:rsidR="00EF281A" w:rsidRPr="003726FE">
        <w:rPr>
          <w:lang w:val="en-GB"/>
        </w:rPr>
        <w:fldChar w:fldCharType="end"/>
      </w:r>
      <w:r w:rsidRPr="003726FE">
        <w:rPr>
          <w:lang w:val="en-GB"/>
        </w:rPr>
        <w:t>. It is used to “further a process of inquiry that evaluates the results of prior inductions through their ability to predict the workability of future lin</w:t>
      </w:r>
      <w:r w:rsidR="00C16363" w:rsidRPr="003726FE">
        <w:rPr>
          <w:lang w:val="en-GB"/>
        </w:rPr>
        <w:t>es of behavior.”</w:t>
      </w:r>
      <w:r w:rsidR="00B70841">
        <w:rPr>
          <w:lang w:val="en-GB"/>
        </w:rPr>
        <w:t xml:space="preserve"> </w:t>
      </w:r>
      <w:r w:rsidR="00B70841">
        <w:rPr>
          <w:lang w:val="en-GB"/>
        </w:rPr>
        <w:fldChar w:fldCharType="begin"/>
      </w:r>
      <w:r w:rsidR="00B70841">
        <w:rPr>
          <w:lang w:val="en-GB"/>
        </w:rPr>
        <w:instrText xml:space="preserve"> ADDIN EN.CITE &lt;EndNote&gt;&lt;Cite&gt;&lt;Author&gt;Morgan&lt;/Author&gt;&lt;Year&gt;2007&lt;/Year&gt;&lt;RecNum&gt;170&lt;/RecNum&gt;&lt;Pages&gt;71&lt;/Pages&gt;&lt;DisplayText&gt;(Morgan 2007, p. 71)&lt;/DisplayText&gt;&lt;record&gt;&lt;rec-number&gt;170&lt;/rec-number&gt;&lt;foreign-keys&gt;&lt;key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B70841">
        <w:rPr>
          <w:lang w:val="en-GB"/>
        </w:rPr>
        <w:fldChar w:fldCharType="separate"/>
      </w:r>
      <w:r w:rsidR="00B70841">
        <w:rPr>
          <w:noProof/>
          <w:lang w:val="en-GB"/>
        </w:rPr>
        <w:t>(</w:t>
      </w:r>
      <w:hyperlink w:anchor="_ENREF_284" w:tooltip="Morgan, 2007 #170" w:history="1">
        <w:r w:rsidR="0094469E">
          <w:rPr>
            <w:noProof/>
            <w:lang w:val="en-GB"/>
          </w:rPr>
          <w:t>Morgan 2007, p. 71</w:t>
        </w:r>
      </w:hyperlink>
      <w:r w:rsidR="00B70841">
        <w:rPr>
          <w:noProof/>
          <w:lang w:val="en-GB"/>
        </w:rPr>
        <w:t>)</w:t>
      </w:r>
      <w:r w:rsidR="00B70841">
        <w:rPr>
          <w:lang w:val="en-GB"/>
        </w:rPr>
        <w:fldChar w:fldCharType="end"/>
      </w:r>
      <w:r w:rsidR="00B70841">
        <w:rPr>
          <w:lang w:val="en-GB"/>
        </w:rPr>
        <w:t>.</w:t>
      </w:r>
      <w:r w:rsidRPr="003726FE">
        <w:rPr>
          <w:lang w:val="en-GB"/>
        </w:rPr>
        <w:t xml:space="preserve"> Deductive survey outputs from the </w:t>
      </w:r>
      <w:r w:rsidR="00ED711A">
        <w:rPr>
          <w:lang w:val="en-GB"/>
        </w:rPr>
        <w:t>study</w:t>
      </w:r>
      <w:r w:rsidRPr="003726FE">
        <w:rPr>
          <w:lang w:val="en-GB"/>
        </w:rPr>
        <w:t xml:space="preserve"> were used to inform the goals of the inductive method</w:t>
      </w:r>
      <w:r w:rsidR="007A4EDA">
        <w:rPr>
          <w:lang w:val="en-GB"/>
        </w:rPr>
        <w:t>s</w:t>
      </w:r>
      <w:r w:rsidRPr="003726FE">
        <w:rPr>
          <w:lang w:val="en-GB"/>
        </w:rPr>
        <w:t xml:space="preserve"> (focus groups and interviews). This kind of abductive reasoning has been used explicitly in other sequential explanatory designs </w:t>
      </w:r>
      <w:r w:rsidR="00EF281A" w:rsidRPr="003726FE">
        <w:rPr>
          <w:lang w:val="en-GB"/>
        </w:rPr>
        <w:fldChar w:fldCharType="begin"/>
      </w:r>
      <w:r w:rsidR="008B61BE">
        <w:rPr>
          <w:lang w:val="en-GB"/>
        </w:rPr>
        <w:instrText xml:space="preserve"> ADDIN EN.CITE &lt;EndNote&gt;&lt;Cite&gt;&lt;Author&gt;Ivankova&lt;/Author&gt;&lt;Year&gt;2006&lt;/Year&gt;&lt;RecNum&gt;116&lt;/RecNum&gt;&lt;DisplayText&gt;(Ivankova et al. 2006)&lt;/DisplayText&gt;&lt;record&gt;&lt;rec-number&gt;116&lt;/rec-number&gt;&lt;foreign-keys&gt;&lt;key app="EN" db-id="xa2r2ewea92trkef5dt5arvbzafvpv2za5ft" timestamp="1442161764"&gt;116&lt;/key&gt;&lt;/foreign-keys&gt;&lt;ref-type name="Journal Article"&gt;17&lt;/ref-type&gt;&lt;contributors&gt;&lt;authors&gt;&lt;author&gt;Ivankova, Nataliya V.&lt;/author&gt;&lt;author&gt;Creswell, John W.&lt;/author&gt;&lt;author&gt;Stick, Sheldon L.&lt;/author&gt;&lt;/authors&gt;&lt;/contributors&gt;&lt;titles&gt;&lt;title&gt;Using mixed-methods sequential explanatory design: From theory to practice&lt;/title&gt;&lt;secondary-title&gt;Field Methods&lt;/secondary-title&gt;&lt;/titles&gt;&lt;periodical&gt;&lt;full-title&gt;Field Methods&lt;/full-title&gt;&lt;/periodical&gt;&lt;pages&gt;3-20&lt;/pages&gt;&lt;volume&gt;18&lt;/volume&gt;&lt;number&gt;1&lt;/number&gt;&lt;dates&gt;&lt;year&gt;2006&lt;/year&gt;&lt;/dates&gt;&lt;publisher&gt;Sage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01" w:tooltip="Ivankova, 2006 #116" w:history="1">
        <w:r w:rsidR="0094469E" w:rsidRPr="003726FE">
          <w:rPr>
            <w:noProof/>
            <w:lang w:val="en-GB"/>
          </w:rPr>
          <w:t>Ivankova et al. 2006</w:t>
        </w:r>
      </w:hyperlink>
      <w:r w:rsidR="004E5A78" w:rsidRPr="003726FE">
        <w:rPr>
          <w:noProof/>
          <w:lang w:val="en-GB"/>
        </w:rPr>
        <w:t>)</w:t>
      </w:r>
      <w:r w:rsidR="00EF281A" w:rsidRPr="003726FE">
        <w:rPr>
          <w:lang w:val="en-GB"/>
        </w:rPr>
        <w:fldChar w:fldCharType="end"/>
      </w:r>
      <w:r w:rsidRPr="003726FE">
        <w:rPr>
          <w:lang w:val="en-GB"/>
        </w:rPr>
        <w:t xml:space="preserve"> and in other pragmatically driven mixed methods research </w:t>
      </w:r>
      <w:r w:rsidR="00EF281A" w:rsidRPr="003726FE">
        <w:rPr>
          <w:lang w:val="en-GB"/>
        </w:rPr>
        <w:fldChar w:fldCharType="begin"/>
      </w:r>
      <w:r w:rsidR="008B61BE">
        <w:rPr>
          <w:lang w:val="en-GB"/>
        </w:rPr>
        <w:instrText xml:space="preserve"> ADDIN EN.CITE &lt;EndNote&gt;&lt;Cite&gt;&lt;Author&gt;Morgan&lt;/Author&gt;&lt;Year&gt;2006&lt;/Year&gt;&lt;RecNum&gt;577&lt;/RecNum&gt;&lt;DisplayText&gt;(Morgan 2006)&lt;/DisplayText&gt;&lt;record&gt;&lt;rec-number&gt;577&lt;/rec-number&gt;&lt;foreign-keys&gt;&lt;key app="EN" db-id="xa2r2ewea92trkef5dt5arvbzafvpv2za5ft" timestamp="1496417556"&gt;577&lt;/key&gt;&lt;/foreign-keys&gt;&lt;ref-type name="Journal Article"&gt;17&lt;/ref-type&gt;&lt;contributors&gt;&lt;authors&gt;&lt;author&gt;Morgan, David L&lt;/author&gt;&lt;/authors&gt;&lt;/contributors&gt;&lt;titles&gt;&lt;title&gt;Connected contributions as a motivation for combining qualitative and quantitative methods&lt;/title&gt;&lt;secondary-title&gt;Improving aging and public health research: Qualitative and mixed methods. Washington, DC: American Public Health Association and Gerontological Society of America&lt;/secondary-title&gt;&lt;/titles&gt;&lt;periodical&gt;&lt;full-title&gt;Improving aging and public health research: Qualitative and mixed methods. Washington, DC: American Public Health Association and Gerontological Society of America&lt;/full-title&gt;&lt;/periodical&gt;&lt;pages&gt;53-63&lt;/pages&gt;&lt;dates&gt;&lt;year&gt;2006&lt;/year&gt;&lt;/dates&gt;&lt;urls&gt;&lt;/urls&gt;&lt;/record&gt;&lt;/Cite&gt;&lt;/EndNote&gt;</w:instrText>
      </w:r>
      <w:r w:rsidR="00EF281A" w:rsidRPr="003726FE">
        <w:rPr>
          <w:lang w:val="en-GB"/>
        </w:rPr>
        <w:fldChar w:fldCharType="separate"/>
      </w:r>
      <w:r w:rsidR="004E5A78" w:rsidRPr="003726FE">
        <w:rPr>
          <w:noProof/>
          <w:lang w:val="en-GB"/>
        </w:rPr>
        <w:t>(</w:t>
      </w:r>
      <w:hyperlink w:anchor="_ENREF_283" w:tooltip="Morgan, 2006 #577" w:history="1">
        <w:r w:rsidR="0094469E" w:rsidRPr="003726FE">
          <w:rPr>
            <w:noProof/>
            <w:lang w:val="en-GB"/>
          </w:rPr>
          <w:t>Morgan 2006</w:t>
        </w:r>
      </w:hyperlink>
      <w:r w:rsidR="004E5A78" w:rsidRPr="003726FE">
        <w:rPr>
          <w:noProof/>
          <w:lang w:val="en-GB"/>
        </w:rPr>
        <w:t>)</w:t>
      </w:r>
      <w:r w:rsidR="00EF281A" w:rsidRPr="003726FE">
        <w:rPr>
          <w:lang w:val="en-GB"/>
        </w:rPr>
        <w:fldChar w:fldCharType="end"/>
      </w:r>
      <w:r w:rsidRPr="003726FE">
        <w:rPr>
          <w:lang w:val="en-GB"/>
        </w:rPr>
        <w:t xml:space="preserve">. This approach reflects the often ‘messy’ reality of education research </w:t>
      </w:r>
      <w:r w:rsidRPr="003726FE">
        <w:rPr>
          <w:lang w:val="en-GB"/>
        </w:rPr>
        <w:lastRenderedPageBreak/>
        <w:t xml:space="preserve">where one cannot exclusively induct or deduct from complex phenomena. This </w:t>
      </w:r>
      <w:r w:rsidR="00F51A44">
        <w:rPr>
          <w:lang w:val="en-GB"/>
        </w:rPr>
        <w:t>is reflected in</w:t>
      </w:r>
      <w:r w:rsidRPr="003726FE">
        <w:rPr>
          <w:lang w:val="en-GB"/>
        </w:rPr>
        <w:t xml:space="preserve"> </w:t>
      </w:r>
      <w:r w:rsidR="004D3529" w:rsidRPr="003726FE">
        <w:rPr>
          <w:lang w:val="en-GB"/>
        </w:rPr>
        <w:t xml:space="preserve">the approach taken </w:t>
      </w:r>
      <w:r w:rsidR="00F51A44">
        <w:rPr>
          <w:lang w:val="en-GB"/>
        </w:rPr>
        <w:t>by</w:t>
      </w:r>
      <w:r w:rsidR="004D3529" w:rsidRPr="003726FE">
        <w:rPr>
          <w:lang w:val="en-GB"/>
        </w:rPr>
        <w:t xml:space="preserve"> this study where data </w:t>
      </w:r>
      <w:r w:rsidR="00F51A44">
        <w:rPr>
          <w:lang w:val="en-GB"/>
        </w:rPr>
        <w:t>was</w:t>
      </w:r>
      <w:r w:rsidR="004D3529" w:rsidRPr="003726FE">
        <w:rPr>
          <w:lang w:val="en-GB"/>
        </w:rPr>
        <w:t xml:space="preserve"> collected from authentic teaching and learning </w:t>
      </w:r>
      <w:r w:rsidR="007A4EDA">
        <w:rPr>
          <w:lang w:val="en-GB"/>
        </w:rPr>
        <w:t>settings</w:t>
      </w:r>
      <w:r w:rsidR="004D3529" w:rsidRPr="003726FE">
        <w:rPr>
          <w:lang w:val="en-GB"/>
        </w:rPr>
        <w:t>.</w:t>
      </w:r>
    </w:p>
    <w:p w14:paraId="48E40E61" w14:textId="77777777" w:rsidR="00C47051" w:rsidRPr="003726FE" w:rsidRDefault="00C47051" w:rsidP="00026049">
      <w:pPr>
        <w:pStyle w:val="Normal1"/>
        <w:rPr>
          <w:lang w:val="en-GB"/>
        </w:rPr>
      </w:pPr>
    </w:p>
    <w:p w14:paraId="18A8D8A5" w14:textId="2EFE285B" w:rsidR="00FE6DBF" w:rsidRPr="003726FE" w:rsidRDefault="00C47051" w:rsidP="00026049">
      <w:pPr>
        <w:pStyle w:val="Normal1"/>
        <w:rPr>
          <w:lang w:val="en-GB"/>
        </w:rPr>
      </w:pPr>
      <w:r w:rsidRPr="003726FE">
        <w:rPr>
          <w:lang w:val="en-GB"/>
        </w:rPr>
        <w:t xml:space="preserve">Transferability was also considered when </w:t>
      </w:r>
      <w:r w:rsidR="00F51A44">
        <w:rPr>
          <w:lang w:val="en-GB"/>
        </w:rPr>
        <w:t>making inferences from the data</w:t>
      </w:r>
      <w:r w:rsidRPr="003726FE">
        <w:rPr>
          <w:lang w:val="en-GB"/>
        </w:rPr>
        <w:t xml:space="preserve">. </w:t>
      </w:r>
      <w:r w:rsidR="00FE6DBF" w:rsidRPr="003726FE">
        <w:rPr>
          <w:lang w:val="en-GB"/>
        </w:rPr>
        <w:t xml:space="preserve">The transferability of research findings to alternative contexts depends on how similar and authentic the context is to others </w:t>
      </w:r>
      <w:r w:rsidR="00EF281A"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w:t>
      </w:r>
      <w:r w:rsidR="00EF281A" w:rsidRPr="003726FE">
        <w:rPr>
          <w:lang w:val="en-GB"/>
        </w:rPr>
        <w:fldChar w:fldCharType="end"/>
      </w:r>
      <w:r w:rsidR="00FE6DBF" w:rsidRPr="003726FE">
        <w:rPr>
          <w:lang w:val="en-GB"/>
        </w:rPr>
        <w:t xml:space="preserve">. </w:t>
      </w:r>
      <w:r w:rsidR="00B70841">
        <w:rPr>
          <w:lang w:val="en-GB"/>
        </w:rPr>
        <w:t>Researchers</w:t>
      </w:r>
      <w:r w:rsidR="00FE6DBF" w:rsidRPr="003726FE">
        <w:rPr>
          <w:lang w:val="en-GB"/>
        </w:rPr>
        <w:t xml:space="preserve"> should detail their findings using t</w:t>
      </w:r>
      <w:r w:rsidR="007A4EDA">
        <w:rPr>
          <w:lang w:val="en-GB"/>
        </w:rPr>
        <w:t>hick descriptive data, which is</w:t>
      </w:r>
      <w:r w:rsidR="00FE6DBF" w:rsidRPr="003726FE">
        <w:rPr>
          <w:lang w:val="en-GB"/>
        </w:rPr>
        <w:t xml:space="preserve"> “narrative developed about the context so that judgments about the degree of fit or similarity may be made by others who may wish to apply all or part of the findings elsewhere” </w:t>
      </w:r>
      <w:r w:rsidR="00EF281A" w:rsidRPr="003726FE">
        <w:rPr>
          <w:lang w:val="en-GB"/>
        </w:rPr>
        <w:fldChar w:fldCharType="begin"/>
      </w:r>
      <w:r w:rsidR="008B61BE">
        <w:rPr>
          <w:lang w:val="en-GB"/>
        </w:rPr>
        <w:instrText xml:space="preserve"> ADDIN EN.CITE &lt;EndNote&gt;&lt;Cite&gt;&lt;Author&gt;Schwandt&lt;/Author&gt;&lt;Year&gt;2007&lt;/Year&gt;&lt;RecNum&gt;229&lt;/RecNum&gt;&lt;Pages&gt;19&lt;/Pages&gt;&lt;DisplayText&gt;(Schwandt et al. 2007, p. 19)&lt;/DisplayText&gt;&lt;record&gt;&lt;rec-number&gt;229&lt;/rec-number&gt;&lt;foreign-keys&gt;&lt;key app="EN" db-id="xa2r2ewea92trkef5dt5arvbzafvpv2za5ft" timestamp="1442161765"&gt;229&lt;/key&gt;&lt;/foreign-keys&gt;&lt;ref-type name="Journal Article"&gt;17&lt;/ref-type&gt;&lt;contributors&gt;&lt;authors&gt;&lt;author&gt;Schwandt, Thomas A.&lt;/author&gt;&lt;author&gt;Lincoln, Yvonna S.&lt;/author&gt;&lt;author&gt;Guba, Egon G.&lt;/author&gt;&lt;/authors&gt;&lt;/contributors&gt;&lt;titles&gt;&lt;title&gt;Judging interpretations: but is it rigorous? trustworthiness and authenticity in naturalistic evaluation&lt;/title&gt;&lt;secondary-title&gt;New directions for evaluation&lt;/secondary-title&gt;&lt;/titles&gt;&lt;periodical&gt;&lt;full-title&gt;New directions for evaluation&lt;/full-title&gt;&lt;/periodical&gt;&lt;pages&gt;11-25&lt;/pages&gt;&lt;volume&gt;2007&lt;/volume&gt;&lt;number&gt;114&lt;/number&gt;&lt;dates&gt;&lt;year&gt;2007&lt;/year&gt;&lt;/dates&gt;&lt;publisher&gt;Wiley Online Library&lt;/publisher&gt;&lt;urls&gt;&lt;/urls&gt;&lt;/record&gt;&lt;/Cite&gt;&lt;/EndNote&gt;</w:instrText>
      </w:r>
      <w:r w:rsidR="00EF281A" w:rsidRPr="003726FE">
        <w:rPr>
          <w:lang w:val="en-GB"/>
        </w:rPr>
        <w:fldChar w:fldCharType="separate"/>
      </w:r>
      <w:r w:rsidR="004E5A78" w:rsidRPr="003726FE">
        <w:rPr>
          <w:noProof/>
          <w:lang w:val="en-GB"/>
        </w:rPr>
        <w:t>(</w:t>
      </w:r>
      <w:hyperlink w:anchor="_ENREF_375" w:tooltip="Schwandt, 2007 #229" w:history="1">
        <w:r w:rsidR="0094469E" w:rsidRPr="003726FE">
          <w:rPr>
            <w:noProof/>
            <w:lang w:val="en-GB"/>
          </w:rPr>
          <w:t>Schwandt et al. 2007, p. 19</w:t>
        </w:r>
      </w:hyperlink>
      <w:r w:rsidR="004E5A78" w:rsidRPr="003726FE">
        <w:rPr>
          <w:noProof/>
          <w:lang w:val="en-GB"/>
        </w:rPr>
        <w:t>)</w:t>
      </w:r>
      <w:r w:rsidR="00EF281A" w:rsidRPr="003726FE">
        <w:rPr>
          <w:lang w:val="en-GB"/>
        </w:rPr>
        <w:fldChar w:fldCharType="end"/>
      </w:r>
      <w:r w:rsidR="00FE6DBF" w:rsidRPr="003726FE">
        <w:rPr>
          <w:lang w:val="en-GB"/>
        </w:rPr>
        <w:t xml:space="preserve">. This thick description must provide enough detailed information to inform others of the relevant findings so that they may be able to apply them to other contexts </w:t>
      </w:r>
      <w:r w:rsidR="00EF281A"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w:t>
      </w:r>
      <w:r w:rsidR="00EF281A" w:rsidRPr="003726FE">
        <w:rPr>
          <w:lang w:val="en-GB"/>
        </w:rPr>
        <w:fldChar w:fldCharType="end"/>
      </w:r>
      <w:r w:rsidR="00FE6DBF" w:rsidRPr="003726FE">
        <w:rPr>
          <w:lang w:val="en-GB"/>
        </w:rPr>
        <w:t>.</w:t>
      </w:r>
    </w:p>
    <w:p w14:paraId="208BE3D9" w14:textId="77777777" w:rsidR="00FE6DBF" w:rsidRPr="003726FE" w:rsidRDefault="00FE6DBF" w:rsidP="00026049">
      <w:pPr>
        <w:pStyle w:val="Normal1"/>
        <w:rPr>
          <w:lang w:val="en-GB"/>
        </w:rPr>
      </w:pPr>
    </w:p>
    <w:p w14:paraId="70088A88" w14:textId="78C8F431" w:rsidR="00C47051" w:rsidRPr="003726FE" w:rsidRDefault="00C47051" w:rsidP="00026049">
      <w:pPr>
        <w:pStyle w:val="Normal1"/>
        <w:rPr>
          <w:lang w:val="en-GB"/>
        </w:rPr>
      </w:pPr>
      <w:r w:rsidRPr="003726FE">
        <w:rPr>
          <w:lang w:val="en-GB"/>
        </w:rPr>
        <w:t xml:space="preserve">The mixed methods researcher should not regard their data as ‘context-bound’ or fully ‘generalisable’. A focus on whether the data collected can be transferred into other contexts, and how appropriate and relevant this </w:t>
      </w:r>
      <w:r w:rsidR="00F51A44">
        <w:rPr>
          <w:lang w:val="en-GB"/>
        </w:rPr>
        <w:t>may be,</w:t>
      </w:r>
      <w:r w:rsidRPr="003726FE">
        <w:rPr>
          <w:lang w:val="en-GB"/>
        </w:rPr>
        <w:t xml:space="preserve"> must always be considered when inferring from different types of data </w:t>
      </w:r>
      <w:r w:rsidR="00EF281A" w:rsidRPr="003726FE">
        <w:rPr>
          <w:lang w:val="en-GB"/>
        </w:rPr>
        <w:fldChar w:fldCharType="begin"/>
      </w:r>
      <w:r w:rsidR="008B61BE">
        <w:rPr>
          <w:lang w:val="en-GB"/>
        </w:rPr>
        <w:instrText xml:space="preserve"> ADDIN EN.CITE &lt;EndNote&gt;&lt;Cite&gt;&lt;Author&gt;Morgan&lt;/Author&gt;&lt;Year&gt;2007&lt;/Year&gt;&lt;RecNum&gt;170&lt;/RecNum&gt;&lt;DisplayText&gt;(Morgan 2007)&lt;/DisplayText&gt;&lt;record&gt;&lt;rec-number&gt;170&lt;/rec-number&gt;&lt;foreign-keys&gt;&lt;key app="EN" db-id="xa2r2ewea92trkef5dt5arvbzafvpv2za5ft" timestamp="1442161765"&gt;170&lt;/key&gt;&lt;/foreign-keys&gt;&lt;ref-type name="Journal Article"&gt;17&lt;/ref-type&gt;&lt;contributors&gt;&lt;authors&gt;&lt;author&gt;Morgan, David L.&lt;/author&gt;&lt;/authors&gt;&lt;/contributors&gt;&lt;titles&gt;&lt;title&gt;Paradigms lost and pragmatism regained methodological implications of combining qualitative and quantitative methods&lt;/title&gt;&lt;secondary-title&gt;Journal of mixed methods research&lt;/secondary-title&gt;&lt;/titles&gt;&lt;periodical&gt;&lt;full-title&gt;Journal of mixed methods research&lt;/full-title&gt;&lt;/periodical&gt;&lt;pages&gt;48-76&lt;/pages&gt;&lt;volume&gt;1&lt;/volume&gt;&lt;number&gt;1&lt;/number&gt;&lt;dates&gt;&lt;year&gt;2007&lt;/year&gt;&lt;/dates&gt;&lt;publisher&gt;Sage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284" w:tooltip="Morgan, 2007 #170" w:history="1">
        <w:r w:rsidR="0094469E" w:rsidRPr="003726FE">
          <w:rPr>
            <w:noProof/>
            <w:lang w:val="en-GB"/>
          </w:rPr>
          <w:t>Morgan 2007</w:t>
        </w:r>
      </w:hyperlink>
      <w:r w:rsidR="004E5A78" w:rsidRPr="003726FE">
        <w:rPr>
          <w:noProof/>
          <w:lang w:val="en-GB"/>
        </w:rPr>
        <w:t>)</w:t>
      </w:r>
      <w:r w:rsidR="00EF281A" w:rsidRPr="003726FE">
        <w:rPr>
          <w:lang w:val="en-GB"/>
        </w:rPr>
        <w:fldChar w:fldCharType="end"/>
      </w:r>
      <w:r w:rsidRPr="003726FE">
        <w:rPr>
          <w:lang w:val="en-GB"/>
        </w:rPr>
        <w:t xml:space="preserve">. This pragmatic approach to data inference was adopted </w:t>
      </w:r>
      <w:r w:rsidR="007A4EDA">
        <w:rPr>
          <w:lang w:val="en-GB"/>
        </w:rPr>
        <w:t xml:space="preserve">here </w:t>
      </w:r>
      <w:r w:rsidRPr="003726FE">
        <w:rPr>
          <w:lang w:val="en-GB"/>
        </w:rPr>
        <w:t>with the goal of transferability.</w:t>
      </w:r>
    </w:p>
    <w:p w14:paraId="2E761C2A" w14:textId="77777777" w:rsidR="00C47051" w:rsidRPr="003726FE" w:rsidRDefault="00C47051" w:rsidP="00026049">
      <w:pPr>
        <w:pStyle w:val="Normal1"/>
        <w:rPr>
          <w:lang w:val="en-GB"/>
        </w:rPr>
      </w:pPr>
    </w:p>
    <w:p w14:paraId="7433D674" w14:textId="00D67291" w:rsidR="00A0607E" w:rsidRPr="003726FE" w:rsidRDefault="00A0607E" w:rsidP="00BA4521">
      <w:pPr>
        <w:pStyle w:val="Heading3"/>
      </w:pPr>
      <w:bookmarkStart w:id="210" w:name="_Toc500319355"/>
      <w:r w:rsidRPr="003726FE">
        <w:t>A3.8.2 Member Checking</w:t>
      </w:r>
      <w:bookmarkEnd w:id="210"/>
    </w:p>
    <w:p w14:paraId="03B71183" w14:textId="77777777" w:rsidR="00A0607E" w:rsidRPr="003726FE" w:rsidRDefault="00A0607E" w:rsidP="00026049">
      <w:pPr>
        <w:pStyle w:val="Normal1"/>
        <w:rPr>
          <w:lang w:val="en-GB"/>
        </w:rPr>
      </w:pPr>
    </w:p>
    <w:p w14:paraId="7A314C7F" w14:textId="5A6761B2" w:rsidR="00512175" w:rsidRPr="003726FE" w:rsidRDefault="00512175" w:rsidP="00026049">
      <w:pPr>
        <w:pStyle w:val="Normal1"/>
        <w:rPr>
          <w:lang w:val="en-GB"/>
        </w:rPr>
      </w:pPr>
      <w:r w:rsidRPr="003726FE">
        <w:rPr>
          <w:lang w:val="en-GB"/>
        </w:rPr>
        <w:t xml:space="preserve">Member checking, also </w:t>
      </w:r>
      <w:r w:rsidR="00F51A44">
        <w:rPr>
          <w:lang w:val="en-GB"/>
        </w:rPr>
        <w:t>known as</w:t>
      </w:r>
      <w:r w:rsidRPr="003726FE">
        <w:rPr>
          <w:lang w:val="en-GB"/>
        </w:rPr>
        <w:t xml:space="preserve"> </w:t>
      </w:r>
      <w:r w:rsidR="00F51A44">
        <w:rPr>
          <w:lang w:val="en-GB"/>
        </w:rPr>
        <w:t>‘</w:t>
      </w:r>
      <w:r w:rsidRPr="003726FE">
        <w:rPr>
          <w:lang w:val="en-GB"/>
        </w:rPr>
        <w:t>respondent validation</w:t>
      </w:r>
      <w:r w:rsidR="00F51A44">
        <w:rPr>
          <w:lang w:val="en-GB"/>
        </w:rPr>
        <w:t>’</w:t>
      </w:r>
      <w:r w:rsidRPr="003726FE">
        <w:rPr>
          <w:lang w:val="en-GB"/>
        </w:rPr>
        <w:t xml:space="preserve"> </w:t>
      </w:r>
      <w:r w:rsidR="00EF281A" w:rsidRPr="003726FE">
        <w:rPr>
          <w:lang w:val="en-GB"/>
        </w:rPr>
        <w:fldChar w:fldCharType="begin"/>
      </w:r>
      <w:r w:rsidR="008B61BE">
        <w:rPr>
          <w:lang w:val="en-GB"/>
        </w:rPr>
        <w:instrText xml:space="preserve"> ADDIN EN.CITE &lt;EndNote&gt;&lt;Cite&gt;&lt;Author&gt;Barbour&lt;/Author&gt;&lt;Year&gt;2001&lt;/Year&gt;&lt;RecNum&gt;799&lt;/RecNum&gt;&lt;DisplayText&gt;(Barbour 2001)&lt;/DisplayText&gt;&lt;record&gt;&lt;rec-number&gt;799&lt;/rec-number&gt;&lt;foreign-keys&gt;&lt;key app="EN" db-id="xa2r2ewea92trkef5dt5arvbzafvpv2za5ft" timestamp="1496417595"&gt;799&lt;/key&gt;&lt;/foreign-keys&gt;&lt;ref-type name="Journal Article"&gt;17&lt;/ref-type&gt;&lt;contributors&gt;&lt;authors&gt;&lt;author&gt;Barbour, Rosaline S&lt;/author&gt;&lt;/authors&gt;&lt;/contributors&gt;&lt;titles&gt;&lt;title&gt;Checklists for improving rigour in qualitative research: a case of the tail wagging the dog?&lt;/title&gt;&lt;secondary-title&gt;British Medical Journal&lt;/secondary-title&gt;&lt;/titles&gt;&lt;periodical&gt;&lt;full-title&gt;British Medical Journal&lt;/full-title&gt;&lt;/periodical&gt;&lt;pages&gt;1115&lt;/pages&gt;&lt;volume&gt;322&lt;/volume&gt;&lt;number&gt;7294&lt;/number&gt;&lt;dates&gt;&lt;year&gt;2001&lt;/year&gt;&lt;/dates&gt;&lt;isbn&gt;0959-8138&lt;/isbn&gt;&lt;urls&gt;&lt;/urls&gt;&lt;/record&gt;&lt;/Cite&gt;&lt;/EndNote&gt;</w:instrText>
      </w:r>
      <w:r w:rsidR="00EF281A" w:rsidRPr="003726FE">
        <w:rPr>
          <w:lang w:val="en-GB"/>
        </w:rPr>
        <w:fldChar w:fldCharType="separate"/>
      </w:r>
      <w:r w:rsidR="004E5A78" w:rsidRPr="003726FE">
        <w:rPr>
          <w:noProof/>
          <w:lang w:val="en-GB"/>
        </w:rPr>
        <w:t>(</w:t>
      </w:r>
      <w:hyperlink w:anchor="_ENREF_20" w:tooltip="Barbour, 2001 #799" w:history="1">
        <w:r w:rsidR="0094469E" w:rsidRPr="003726FE">
          <w:rPr>
            <w:noProof/>
            <w:lang w:val="en-GB"/>
          </w:rPr>
          <w:t>Barbour 2001</w:t>
        </w:r>
      </w:hyperlink>
      <w:r w:rsidR="004E5A78" w:rsidRPr="003726FE">
        <w:rPr>
          <w:noProof/>
          <w:lang w:val="en-GB"/>
        </w:rPr>
        <w:t>)</w:t>
      </w:r>
      <w:r w:rsidR="00EF281A" w:rsidRPr="003726FE">
        <w:rPr>
          <w:lang w:val="en-GB"/>
        </w:rPr>
        <w:fldChar w:fldCharType="end"/>
      </w:r>
      <w:r w:rsidRPr="003726FE">
        <w:rPr>
          <w:lang w:val="en-GB"/>
        </w:rPr>
        <w:t xml:space="preserve">, was used to help verify qualitative interview data with all interview participants. This involved reading each transcript, writing one page summaries, and sending the summaries and transcripts to the respective participants </w:t>
      </w:r>
      <w:r w:rsidRPr="003726FE">
        <w:rPr>
          <w:lang w:val="en-GB"/>
        </w:rPr>
        <w:fldChar w:fldCharType="begin"/>
      </w:r>
      <w:r w:rsidR="008B61BE">
        <w:rPr>
          <w:lang w:val="en-GB"/>
        </w:rPr>
        <w:instrText xml:space="preserve"> ADDIN EN.CITE &lt;EndNote&gt;&lt;Cite&gt;&lt;Author&gt;Shenton&lt;/Author&gt;&lt;Year&gt;2004&lt;/Year&gt;&lt;RecNum&gt;800&lt;/RecNum&gt;&lt;DisplayText&gt;(Shenton 2004; Goldblatt et al. 2011)&lt;/DisplayText&gt;&lt;record&gt;&lt;rec-number&gt;800&lt;/rec-number&gt;&lt;foreign-keys&gt;&lt;key app="EN" db-id="xa2r2ewea92trkef5dt5arvbzafvpv2za5ft" timestamp="1496417595"&gt;800&lt;/key&gt;&lt;/foreign-keys&gt;&lt;ref-type name="Journal Article"&gt;17&lt;/ref-type&gt;&lt;contributors&gt;&lt;authors&gt;&lt;author&gt;Shenton, Andrew K&lt;/author&gt;&lt;/authors&gt;&lt;/contributors&gt;&lt;titles&gt;&lt;title&gt;Strategies for ensuring trustworthiness in qualitative research projects&lt;/title&gt;&lt;secondary-title&gt;Education for information&lt;/secondary-title&gt;&lt;/titles&gt;&lt;periodical&gt;&lt;full-title&gt;Education for information&lt;/full-title&gt;&lt;/periodical&gt;&lt;pages&gt;63-75&lt;/pages&gt;&lt;volume&gt;22&lt;/volume&gt;&lt;number&gt;2&lt;/number&gt;&lt;dates&gt;&lt;year&gt;2004&lt;/year&gt;&lt;/dates&gt;&lt;isbn&gt;0167-8329&lt;/isbn&gt;&lt;urls&gt;&lt;/urls&gt;&lt;/record&gt;&lt;/Cite&gt;&lt;Cite&gt;&lt;Author&gt;Goldblatt&lt;/Author&gt;&lt;Year&gt;2011&lt;/Year&gt;&lt;RecNum&gt;801&lt;/RecNum&gt;&lt;record&gt;&lt;rec-number&gt;801&lt;/rec-number&gt;&lt;foreign-keys&gt;&lt;key app="EN" db-id="xa2r2ewea92trkef5dt5arvbzafvpv2za5ft" timestamp="1496417595"&gt;801&lt;/key&gt;&lt;/foreign-keys&gt;&lt;ref-type name="Journal Article"&gt;17&lt;/ref-type&gt;&lt;contributors&gt;&lt;authors&gt;&lt;author&gt;Goldblatt, Hadass&lt;/author&gt;&lt;author&gt;Karnieli-Miller, Orit&lt;/author&gt;&lt;author&gt;Neumann, Melanie&lt;/author&gt;&lt;/authors&gt;&lt;/contributors&gt;&lt;titles&gt;&lt;title&gt;Sharing qualitative research findings with participants: Study experiences of methodological and ethical dilemmas&lt;/title&gt;&lt;secondary-title&gt;Patient education and counseling&lt;/secondary-title&gt;&lt;/titles&gt;&lt;periodical&gt;&lt;full-title&gt;Patient education and counseling&lt;/full-title&gt;&lt;/periodical&gt;&lt;pages&gt;389-395&lt;/pages&gt;&lt;volume&gt;82&lt;/volume&gt;&lt;number&gt;3&lt;/number&gt;&lt;dates&gt;&lt;year&gt;2011&lt;/year&gt;&lt;/dates&gt;&lt;isbn&gt;0738-3991&lt;/isbn&gt;&lt;urls&gt;&lt;/urls&gt;&lt;/record&gt;&lt;/Cite&gt;&lt;/EndNote&gt;</w:instrText>
      </w:r>
      <w:r w:rsidRPr="003726FE">
        <w:rPr>
          <w:lang w:val="en-GB"/>
        </w:rPr>
        <w:fldChar w:fldCharType="separate"/>
      </w:r>
      <w:r w:rsidR="004E5A78" w:rsidRPr="003726FE">
        <w:rPr>
          <w:noProof/>
          <w:lang w:val="en-GB"/>
        </w:rPr>
        <w:t>(</w:t>
      </w:r>
      <w:hyperlink w:anchor="_ENREF_386" w:tooltip="Shenton, 2004 #800" w:history="1">
        <w:r w:rsidR="0094469E" w:rsidRPr="003726FE">
          <w:rPr>
            <w:noProof/>
            <w:lang w:val="en-GB"/>
          </w:rPr>
          <w:t>Shenton 2004</w:t>
        </w:r>
      </w:hyperlink>
      <w:r w:rsidR="004E5A78" w:rsidRPr="003726FE">
        <w:rPr>
          <w:noProof/>
          <w:lang w:val="en-GB"/>
        </w:rPr>
        <w:t xml:space="preserve">; </w:t>
      </w:r>
      <w:hyperlink w:anchor="_ENREF_162" w:tooltip="Goldblatt, 2011 #801" w:history="1">
        <w:r w:rsidR="0094469E" w:rsidRPr="003726FE">
          <w:rPr>
            <w:noProof/>
            <w:lang w:val="en-GB"/>
          </w:rPr>
          <w:t>Goldblatt et al. 2011</w:t>
        </w:r>
      </w:hyperlink>
      <w:r w:rsidR="004E5A78" w:rsidRPr="003726FE">
        <w:rPr>
          <w:noProof/>
          <w:lang w:val="en-GB"/>
        </w:rPr>
        <w:t>)</w:t>
      </w:r>
      <w:r w:rsidRPr="003726FE">
        <w:rPr>
          <w:lang w:val="en-GB"/>
        </w:rPr>
        <w:fldChar w:fldCharType="end"/>
      </w:r>
      <w:r w:rsidR="007A4EDA">
        <w:rPr>
          <w:lang w:val="en-GB"/>
        </w:rPr>
        <w:t xml:space="preserve">. </w:t>
      </w:r>
      <w:r w:rsidRPr="003726FE">
        <w:rPr>
          <w:lang w:val="en-GB"/>
        </w:rPr>
        <w:t xml:space="preserve">Participants were asked to </w:t>
      </w:r>
      <w:r w:rsidR="00F51A44">
        <w:rPr>
          <w:lang w:val="en-GB"/>
        </w:rPr>
        <w:t>review</w:t>
      </w:r>
      <w:r w:rsidRPr="003726FE">
        <w:rPr>
          <w:lang w:val="en-GB"/>
        </w:rPr>
        <w:t xml:space="preserve"> the transcript</w:t>
      </w:r>
      <w:r w:rsidR="007A4EDA">
        <w:rPr>
          <w:lang w:val="en-GB"/>
        </w:rPr>
        <w:t xml:space="preserve"> and summary to ensure that their accounts</w:t>
      </w:r>
      <w:r w:rsidRPr="003726FE">
        <w:rPr>
          <w:lang w:val="en-GB"/>
        </w:rPr>
        <w:t xml:space="preserve"> had not been transcribed</w:t>
      </w:r>
      <w:r w:rsidR="007A4EDA">
        <w:rPr>
          <w:lang w:val="en-GB"/>
        </w:rPr>
        <w:t xml:space="preserve"> </w:t>
      </w:r>
      <w:r w:rsidR="00FC0FFB">
        <w:rPr>
          <w:lang w:val="en-GB"/>
        </w:rPr>
        <w:t>inaccurately</w:t>
      </w:r>
      <w:r w:rsidRPr="003726FE">
        <w:rPr>
          <w:lang w:val="en-GB"/>
        </w:rPr>
        <w:t xml:space="preserve"> and that the summary of their transcript was accurate. They were also invited to add comments or reflections</w:t>
      </w:r>
      <w:r w:rsidR="00F51A44">
        <w:rPr>
          <w:lang w:val="en-GB"/>
        </w:rPr>
        <w:t>,</w:t>
      </w:r>
      <w:r w:rsidRPr="003726FE">
        <w:rPr>
          <w:lang w:val="en-GB"/>
        </w:rPr>
        <w:t xml:space="preserve"> all of which were included in the final interpretations of their data</w:t>
      </w:r>
      <w:r w:rsidR="007A4EDA">
        <w:rPr>
          <w:lang w:val="en-GB"/>
        </w:rPr>
        <w:t xml:space="preserve"> </w:t>
      </w:r>
      <w:r w:rsidR="00F51A44">
        <w:rPr>
          <w:lang w:val="en-GB"/>
        </w:rPr>
        <w:t>(</w:t>
      </w:r>
      <w:r w:rsidR="007A4EDA">
        <w:rPr>
          <w:lang w:val="en-GB"/>
        </w:rPr>
        <w:t>if given</w:t>
      </w:r>
      <w:r w:rsidR="00F51A44">
        <w:rPr>
          <w:lang w:val="en-GB"/>
        </w:rPr>
        <w:t>)</w:t>
      </w:r>
      <w:r w:rsidRPr="003726FE">
        <w:rPr>
          <w:lang w:val="en-GB"/>
        </w:rPr>
        <w:t xml:space="preserve">. </w:t>
      </w:r>
    </w:p>
    <w:p w14:paraId="5050908F" w14:textId="77777777" w:rsidR="00512175" w:rsidRPr="003726FE" w:rsidRDefault="00512175" w:rsidP="00026049">
      <w:pPr>
        <w:pStyle w:val="Normal1"/>
        <w:rPr>
          <w:lang w:val="en-GB"/>
        </w:rPr>
      </w:pPr>
    </w:p>
    <w:p w14:paraId="3DC6917F" w14:textId="3F1E6BAE" w:rsidR="00512175" w:rsidRPr="003726FE" w:rsidRDefault="00512175" w:rsidP="00026049">
      <w:pPr>
        <w:pStyle w:val="Normal1"/>
        <w:rPr>
          <w:lang w:val="en-GB"/>
        </w:rPr>
      </w:pPr>
      <w:r w:rsidRPr="003726FE">
        <w:rPr>
          <w:lang w:val="en-GB"/>
        </w:rPr>
        <w:t xml:space="preserve">The goal of member checking in this study was to increase the involvement of the participants in the research process and to enhance the trustworthiness of the analysis </w:t>
      </w:r>
      <w:r w:rsidR="00EF281A" w:rsidRPr="003726FE">
        <w:rPr>
          <w:lang w:val="en-GB"/>
        </w:rPr>
        <w:fldChar w:fldCharType="begin"/>
      </w:r>
      <w:r w:rsidR="008B61BE">
        <w:rPr>
          <w:lang w:val="en-GB"/>
        </w:rPr>
        <w:instrText xml:space="preserve"> ADDIN EN.CITE &lt;EndNote&gt;&lt;Cite&gt;&lt;Author&gt;Goldblatt&lt;/Author&gt;&lt;Year&gt;2011&lt;/Year&gt;&lt;RecNum&gt;801&lt;/RecNum&gt;&lt;DisplayText&gt;(Goldblatt et al. 2011)&lt;/DisplayText&gt;&lt;record&gt;&lt;rec-number&gt;801&lt;/rec-number&gt;&lt;foreign-keys&gt;&lt;key app="EN" db-id="xa2r2ewea92trkef5dt5arvbzafvpv2za5ft" timestamp="1496417595"&gt;801&lt;/key&gt;&lt;/foreign-keys&gt;&lt;ref-type name="Journal Article"&gt;17&lt;/ref-type&gt;&lt;contributors&gt;&lt;authors&gt;&lt;author&gt;Goldblatt, Hadass&lt;/author&gt;&lt;author&gt;Karnieli-Miller, Orit&lt;/author&gt;&lt;author&gt;Neumann, Melanie&lt;/author&gt;&lt;/authors&gt;&lt;/contributors&gt;&lt;titles&gt;&lt;title&gt;Sharing qualitative research findings with participants: Study experiences of methodological and ethical dilemmas&lt;/title&gt;&lt;secondary-title&gt;Patient education and counseling&lt;/secondary-title&gt;&lt;/titles&gt;&lt;periodical&gt;&lt;full-title&gt;Patient education and counseling&lt;/full-title&gt;&lt;/periodical&gt;&lt;pages&gt;389-395&lt;/pages&gt;&lt;volume&gt;82&lt;/volume&gt;&lt;number&gt;3&lt;/number&gt;&lt;dates&gt;&lt;year&gt;2011&lt;/year&gt;&lt;/dates&gt;&lt;isbn&gt;0738-3991&lt;/isbn&gt;&lt;urls&gt;&lt;/urls&gt;&lt;/record&gt;&lt;/Cite&gt;&lt;/EndNote&gt;</w:instrText>
      </w:r>
      <w:r w:rsidR="00EF281A" w:rsidRPr="003726FE">
        <w:rPr>
          <w:lang w:val="en-GB"/>
        </w:rPr>
        <w:fldChar w:fldCharType="separate"/>
      </w:r>
      <w:r w:rsidR="004E5A78" w:rsidRPr="003726FE">
        <w:rPr>
          <w:noProof/>
          <w:lang w:val="en-GB"/>
        </w:rPr>
        <w:t>(</w:t>
      </w:r>
      <w:hyperlink w:anchor="_ENREF_162" w:tooltip="Goldblatt, 2011 #801" w:history="1">
        <w:r w:rsidR="0094469E" w:rsidRPr="003726FE">
          <w:rPr>
            <w:noProof/>
            <w:lang w:val="en-GB"/>
          </w:rPr>
          <w:t>Goldblatt et al. 2011</w:t>
        </w:r>
      </w:hyperlink>
      <w:r w:rsidR="004E5A78" w:rsidRPr="003726FE">
        <w:rPr>
          <w:noProof/>
          <w:lang w:val="en-GB"/>
        </w:rPr>
        <w:t>)</w:t>
      </w:r>
      <w:r w:rsidR="00EF281A" w:rsidRPr="003726FE">
        <w:rPr>
          <w:lang w:val="en-GB"/>
        </w:rPr>
        <w:fldChar w:fldCharType="end"/>
      </w:r>
      <w:r w:rsidRPr="003726FE">
        <w:rPr>
          <w:lang w:val="en-GB"/>
        </w:rPr>
        <w:t xml:space="preserve">. On the subject of member checking in research,  </w:t>
      </w:r>
      <w:hyperlink w:anchor="_ENREF_243" w:tooltip="Lincoln, 1985 #148" w:history="1">
        <w:r w:rsidR="0094469E" w:rsidRPr="003726FE">
          <w:rPr>
            <w:lang w:val="en-GB"/>
          </w:rPr>
          <w:fldChar w:fldCharType="begin"/>
        </w:r>
        <w:r w:rsidR="0094469E">
          <w:rPr>
            <w:lang w:val="en-GB"/>
          </w:rPr>
          <w:instrText xml:space="preserve"> ADDIN EN.CITE &lt;EndNote&gt;&lt;Cite AuthorYear="1"&gt;&lt;Author&gt;Lincoln&lt;/Author&gt;&lt;Year&gt;1985&lt;/Year&gt;&lt;RecNum&gt;148&lt;/RecNum&gt;&lt;Pages&gt;314&lt;/Pages&gt;&lt;DisplayText&gt;Lincoln and Guba (1985, p. 314)&lt;/DisplayText&gt;&lt;record&gt;&lt;rec-number&gt;148&lt;/rec-number&gt;&lt;foreign-keys&gt;&lt;key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94469E" w:rsidRPr="003726FE">
          <w:rPr>
            <w:lang w:val="en-GB"/>
          </w:rPr>
          <w:fldChar w:fldCharType="separate"/>
        </w:r>
        <w:r w:rsidR="0094469E" w:rsidRPr="003726FE">
          <w:rPr>
            <w:noProof/>
            <w:lang w:val="en-GB"/>
          </w:rPr>
          <w:t>Lincoln and Guba (1985, p. 314)</w:t>
        </w:r>
        <w:r w:rsidR="0094469E" w:rsidRPr="003726FE">
          <w:rPr>
            <w:lang w:val="en-GB"/>
          </w:rPr>
          <w:fldChar w:fldCharType="end"/>
        </w:r>
      </w:hyperlink>
      <w:r w:rsidRPr="003726FE">
        <w:rPr>
          <w:lang w:val="en-GB"/>
        </w:rPr>
        <w:t xml:space="preserve"> sta</w:t>
      </w:r>
      <w:r w:rsidR="007A4EDA">
        <w:rPr>
          <w:lang w:val="en-GB"/>
        </w:rPr>
        <w:t xml:space="preserve">te that </w:t>
      </w:r>
      <w:r w:rsidR="00D802DA">
        <w:rPr>
          <w:lang w:val="en-GB"/>
        </w:rPr>
        <w:t>it</w:t>
      </w:r>
      <w:r w:rsidR="007A4EDA">
        <w:rPr>
          <w:lang w:val="en-GB"/>
        </w:rPr>
        <w:t xml:space="preserve"> is</w:t>
      </w:r>
      <w:r w:rsidRPr="003726FE">
        <w:rPr>
          <w:lang w:val="en-GB"/>
        </w:rPr>
        <w:t xml:space="preserve"> “the most crucial technique for establishing </w:t>
      </w:r>
      <w:r w:rsidRPr="003726FE">
        <w:rPr>
          <w:lang w:val="en-GB"/>
        </w:rPr>
        <w:lastRenderedPageBreak/>
        <w:t xml:space="preserve">credibility”. It is an opportunity </w:t>
      </w:r>
      <w:r w:rsidR="00157BB5">
        <w:rPr>
          <w:lang w:val="en-GB"/>
        </w:rPr>
        <w:t xml:space="preserve">for </w:t>
      </w:r>
      <w:r w:rsidRPr="003726FE">
        <w:rPr>
          <w:lang w:val="en-GB"/>
        </w:rPr>
        <w:t>researcher</w:t>
      </w:r>
      <w:r w:rsidR="00B70841">
        <w:rPr>
          <w:lang w:val="en-GB"/>
        </w:rPr>
        <w:t>s</w:t>
      </w:r>
      <w:r w:rsidRPr="003726FE">
        <w:rPr>
          <w:lang w:val="en-GB"/>
        </w:rPr>
        <w:t xml:space="preserve"> to correct mistakes </w:t>
      </w:r>
      <w:r w:rsidR="00EF281A" w:rsidRPr="003726FE">
        <w:rPr>
          <w:lang w:val="en-GB"/>
        </w:rPr>
        <w:fldChar w:fldCharType="begin"/>
      </w:r>
      <w:r w:rsidR="008B61BE">
        <w:rPr>
          <w:lang w:val="en-GB"/>
        </w:rPr>
        <w:instrText xml:space="preserve"> ADDIN EN.CITE &lt;EndNote&gt;&lt;Cite&gt;&lt;Author&gt;Hagens&lt;/Author&gt;&lt;Year&gt;2009&lt;/Year&gt;&lt;RecNum&gt;802&lt;/RecNum&gt;&lt;DisplayText&gt;(Hagens et al. 2009)&lt;/DisplayText&gt;&lt;record&gt;&lt;rec-number&gt;802&lt;/rec-number&gt;&lt;foreign-keys&gt;&lt;key app="EN" db-id="xa2r2ewea92trkef5dt5arvbzafvpv2za5ft" timestamp="1496417595"&gt;802&lt;/key&gt;&lt;/foreign-keys&gt;&lt;ref-type name="Journal Article"&gt;17&lt;/ref-type&gt;&lt;contributors&gt;&lt;authors&gt;&lt;author&gt;Hagens, Victoria&lt;/author&gt;&lt;author&gt;Dobrow, Mark J&lt;/author&gt;&lt;author&gt;Chafe, Roger&lt;/author&gt;&lt;/authors&gt;&lt;/contributors&gt;&lt;titles&gt;&lt;title&gt;Interviewee Transcript Review: assessing the impact on qualitative research&lt;/title&gt;&lt;secondary-title&gt;BMC medical research methodology&lt;/secondary-title&gt;&lt;/titles&gt;&lt;periodical&gt;&lt;full-title&gt;BMC medical research methodology&lt;/full-title&gt;&lt;/periodical&gt;&lt;pages&gt;47&lt;/pages&gt;&lt;volume&gt;9&lt;/volume&gt;&lt;number&gt;1&lt;/number&gt;&lt;dates&gt;&lt;year&gt;2009&lt;/year&gt;&lt;/dates&gt;&lt;isbn&gt;1471-2288&lt;/isbn&gt;&lt;urls&gt;&lt;/urls&gt;&lt;/record&gt;&lt;/Cite&gt;&lt;/EndNote&gt;</w:instrText>
      </w:r>
      <w:r w:rsidR="00EF281A" w:rsidRPr="003726FE">
        <w:rPr>
          <w:lang w:val="en-GB"/>
        </w:rPr>
        <w:fldChar w:fldCharType="separate"/>
      </w:r>
      <w:r w:rsidR="004E5A78" w:rsidRPr="003726FE">
        <w:rPr>
          <w:noProof/>
          <w:lang w:val="en-GB"/>
        </w:rPr>
        <w:t>(</w:t>
      </w:r>
      <w:hyperlink w:anchor="_ENREF_179" w:tooltip="Hagens, 2009 #802" w:history="1">
        <w:r w:rsidR="0094469E" w:rsidRPr="003726FE">
          <w:rPr>
            <w:noProof/>
            <w:lang w:val="en-GB"/>
          </w:rPr>
          <w:t>Hagens et al. 2009</w:t>
        </w:r>
      </w:hyperlink>
      <w:r w:rsidR="004E5A78" w:rsidRPr="003726FE">
        <w:rPr>
          <w:noProof/>
          <w:lang w:val="en-GB"/>
        </w:rPr>
        <w:t>)</w:t>
      </w:r>
      <w:r w:rsidR="00EF281A" w:rsidRPr="003726FE">
        <w:rPr>
          <w:lang w:val="en-GB"/>
        </w:rPr>
        <w:fldChar w:fldCharType="end"/>
      </w:r>
      <w:r w:rsidRPr="003726FE">
        <w:rPr>
          <w:lang w:val="en-GB"/>
        </w:rPr>
        <w:t xml:space="preserve">, be challenged in their interpretations </w:t>
      </w:r>
      <w:r w:rsidR="00EF281A" w:rsidRPr="003726FE">
        <w:rPr>
          <w:lang w:val="en-GB"/>
        </w:rPr>
        <w:fldChar w:fldCharType="begin"/>
      </w:r>
      <w:r w:rsidR="008B61BE">
        <w:rPr>
          <w:lang w:val="en-GB"/>
        </w:rPr>
        <w:instrText xml:space="preserve"> ADDIN EN.CITE &lt;EndNote&gt;&lt;Cite&gt;&lt;Author&gt;Morse&lt;/Author&gt;&lt;Year&gt;2002&lt;/Year&gt;&lt;RecNum&gt;803&lt;/RecNum&gt;&lt;DisplayText&gt;(Morse et al. 2002)&lt;/DisplayText&gt;&lt;record&gt;&lt;rec-number&gt;803&lt;/rec-number&gt;&lt;foreign-keys&gt;&lt;key app="EN" db-id="xa2r2ewea92trkef5dt5arvbzafvpv2za5ft" timestamp="1496417595"&gt;803&lt;/key&gt;&lt;/foreign-keys&gt;&lt;ref-type name="Journal Article"&gt;17&lt;/ref-type&gt;&lt;contributors&gt;&lt;authors&gt;&lt;author&gt;Morse, Janice M&lt;/author&gt;&lt;author&gt;Barrett, Michael&lt;/author&gt;&lt;author&gt;Mayan, Maria&lt;/author&gt;&lt;author&gt;Olson, Karin&lt;/author&gt;&lt;author&gt;Spiers, Jude&lt;/author&gt;&lt;/authors&gt;&lt;/contributors&gt;&lt;titles&gt;&lt;title&gt;Verification strategies for establishing reliability and validity in qualitative research&lt;/title&gt;&lt;secondary-title&gt;International journal of qualitative methods&lt;/secondary-title&gt;&lt;/titles&gt;&lt;periodical&gt;&lt;full-title&gt;International journal of qualitative methods&lt;/full-title&gt;&lt;/periodical&gt;&lt;pages&gt;13-22&lt;/pages&gt;&lt;volume&gt;1&lt;/volume&gt;&lt;number&gt;2&lt;/number&gt;&lt;dates&gt;&lt;year&gt;2002&lt;/year&gt;&lt;/dates&gt;&lt;isbn&gt;1609-4069&lt;/isbn&gt;&lt;urls&gt;&lt;/urls&gt;&lt;/record&gt;&lt;/Cite&gt;&lt;/EndNote&gt;</w:instrText>
      </w:r>
      <w:r w:rsidR="00EF281A" w:rsidRPr="003726FE">
        <w:rPr>
          <w:lang w:val="en-GB"/>
        </w:rPr>
        <w:fldChar w:fldCharType="separate"/>
      </w:r>
      <w:r w:rsidR="004E5A78" w:rsidRPr="003726FE">
        <w:rPr>
          <w:noProof/>
          <w:lang w:val="en-GB"/>
        </w:rPr>
        <w:t>(</w:t>
      </w:r>
      <w:hyperlink w:anchor="_ENREF_288" w:tooltip="Morse, 2002 #803" w:history="1">
        <w:r w:rsidR="0094469E" w:rsidRPr="003726FE">
          <w:rPr>
            <w:noProof/>
            <w:lang w:val="en-GB"/>
          </w:rPr>
          <w:t>Morse et al. 2002</w:t>
        </w:r>
      </w:hyperlink>
      <w:r w:rsidR="004E5A78" w:rsidRPr="003726FE">
        <w:rPr>
          <w:noProof/>
          <w:lang w:val="en-GB"/>
        </w:rPr>
        <w:t>)</w:t>
      </w:r>
      <w:r w:rsidR="00EF281A" w:rsidRPr="003726FE">
        <w:rPr>
          <w:lang w:val="en-GB"/>
        </w:rPr>
        <w:fldChar w:fldCharType="end"/>
      </w:r>
      <w:r w:rsidRPr="003726FE">
        <w:rPr>
          <w:lang w:val="en-GB"/>
        </w:rPr>
        <w:t xml:space="preserve">, or add more information based upon participant comments </w:t>
      </w:r>
      <w:r w:rsidR="00EF281A" w:rsidRPr="003726FE">
        <w:rPr>
          <w:lang w:val="en-GB"/>
        </w:rPr>
        <w:fldChar w:fldCharType="begin"/>
      </w:r>
      <w:r w:rsidR="008B61BE">
        <w:rPr>
          <w:lang w:val="en-GB"/>
        </w:rPr>
        <w:instrText xml:space="preserve"> ADDIN EN.CITE &lt;EndNote&gt;&lt;Cite&gt;&lt;Author&gt;Apatira&lt;/Author&gt;&lt;Year&gt;2008&lt;/Year&gt;&lt;RecNum&gt;804&lt;/RecNum&gt;&lt;DisplayText&gt;(Apatira et al. 2008)&lt;/DisplayText&gt;&lt;record&gt;&lt;rec-number&gt;804&lt;/rec-number&gt;&lt;foreign-keys&gt;&lt;key app="EN" db-id="xa2r2ewea92trkef5dt5arvbzafvpv2za5ft" timestamp="1496417595"&gt;804&lt;/key&gt;&lt;/foreign-keys&gt;&lt;ref-type name="Journal Article"&gt;17&lt;/ref-type&gt;&lt;contributors&gt;&lt;authors&gt;&lt;author&gt;Apatira, Latifat&lt;/author&gt;&lt;author&gt;Boyd, Elizabeth A&lt;/author&gt;&lt;author&gt;Malvar, Grace&lt;/author&gt;&lt;author&gt;Evans, Leah R&lt;/author&gt;&lt;author&gt;Luce, John M&lt;/author&gt;&lt;author&gt;Lo, Bernard&lt;/author&gt;&lt;author&gt;White, Douglas B&lt;/author&gt;&lt;/authors&gt;&lt;/contributors&gt;&lt;titles&gt;&lt;title&gt;Hope, truth, and preparing for death: perspectives of surrogate decision makers&lt;/title&gt;&lt;secondary-title&gt;Annals of internal medicine&lt;/secondary-title&gt;&lt;/titles&gt;&lt;periodical&gt;&lt;full-title&gt;Annals of internal medicine&lt;/full-title&gt;&lt;/periodical&gt;&lt;pages&gt;861-868&lt;/pages&gt;&lt;volume&gt;149&lt;/volume&gt;&lt;number&gt;12&lt;/number&gt;&lt;dates&gt;&lt;year&gt;2008&lt;/year&gt;&lt;/dates&gt;&lt;isbn&gt;0003-4819&lt;/isbn&gt;&lt;urls&gt;&lt;/urls&gt;&lt;/record&gt;&lt;/Cite&gt;&lt;/EndNote&gt;</w:instrText>
      </w:r>
      <w:r w:rsidR="00EF281A" w:rsidRPr="003726FE">
        <w:rPr>
          <w:lang w:val="en-GB"/>
        </w:rPr>
        <w:fldChar w:fldCharType="separate"/>
      </w:r>
      <w:r w:rsidR="004E5A78" w:rsidRPr="003726FE">
        <w:rPr>
          <w:noProof/>
          <w:lang w:val="en-GB"/>
        </w:rPr>
        <w:t>(</w:t>
      </w:r>
      <w:hyperlink w:anchor="_ENREF_3" w:tooltip="Apatira, 2008 #804" w:history="1">
        <w:r w:rsidR="0094469E" w:rsidRPr="003726FE">
          <w:rPr>
            <w:noProof/>
            <w:lang w:val="en-GB"/>
          </w:rPr>
          <w:t>Apatira et al. 2008</w:t>
        </w:r>
      </w:hyperlink>
      <w:r w:rsidR="004E5A78" w:rsidRPr="003726FE">
        <w:rPr>
          <w:noProof/>
          <w:lang w:val="en-GB"/>
        </w:rPr>
        <w:t>)</w:t>
      </w:r>
      <w:r w:rsidR="00EF281A" w:rsidRPr="003726FE">
        <w:rPr>
          <w:lang w:val="en-GB"/>
        </w:rPr>
        <w:fldChar w:fldCharType="end"/>
      </w:r>
      <w:r w:rsidRPr="003726FE">
        <w:rPr>
          <w:lang w:val="en-GB"/>
        </w:rPr>
        <w:t xml:space="preserve">. Most importantly, member checking </w:t>
      </w:r>
      <w:r w:rsidR="00B70841">
        <w:rPr>
          <w:lang w:val="en-GB"/>
        </w:rPr>
        <w:t>was</w:t>
      </w:r>
      <w:r w:rsidRPr="003726FE">
        <w:rPr>
          <w:lang w:val="en-GB"/>
        </w:rPr>
        <w:t xml:space="preserve"> a method of ensuring credibility in this study by allowing the participant to verify their own account which represents their lived-in reality </w:t>
      </w:r>
      <w:r w:rsidR="00EF281A" w:rsidRPr="003726FE">
        <w:rPr>
          <w:lang w:val="en-GB"/>
        </w:rPr>
        <w:fldChar w:fldCharType="begin"/>
      </w:r>
      <w:r w:rsidR="008B61BE">
        <w:rPr>
          <w:lang w:val="en-GB"/>
        </w:rPr>
        <w:instrText xml:space="preserve"> ADDIN EN.CITE &lt;EndNote&gt;&lt;Cite&gt;&lt;Author&gt;Merriam&lt;/Author&gt;&lt;Year&gt;2002&lt;/Year&gt;&lt;RecNum&gt;805&lt;/RecNum&gt;&lt;DisplayText&gt;(Merriam 2002)&lt;/DisplayText&gt;&lt;record&gt;&lt;rec-number&gt;805&lt;/rec-number&gt;&lt;foreign-keys&gt;&lt;key app="EN" db-id="xa2r2ewea92trkef5dt5arvbzafvpv2za5ft" timestamp="1496417595"&gt;805&lt;/key&gt;&lt;/foreign-keys&gt;&lt;ref-type name="Journal Article"&gt;17&lt;/ref-type&gt;&lt;contributors&gt;&lt;authors&gt;&lt;author&gt;Merriam, Sharan B&lt;/author&gt;&lt;/authors&gt;&lt;/contributors&gt;&lt;titles&gt;&lt;title&gt;Assessing and evaluating qualitative research&lt;/title&gt;&lt;secondary-title&gt;Qualitative research in practice: Examples for discussion and analysis&lt;/secondary-title&gt;&lt;/titles&gt;&lt;periodical&gt;&lt;full-title&gt;Qualitative research in practice: Examples for discussion and analysis&lt;/full-title&gt;&lt;/periodical&gt;&lt;pages&gt;18-36&lt;/pages&gt;&lt;volume&gt;1&lt;/volume&gt;&lt;dates&gt;&lt;year&gt;2002&lt;/year&gt;&lt;/dates&gt;&lt;urls&gt;&lt;/urls&gt;&lt;/record&gt;&lt;/Cite&gt;&lt;/EndNote&gt;</w:instrText>
      </w:r>
      <w:r w:rsidR="00EF281A" w:rsidRPr="003726FE">
        <w:rPr>
          <w:lang w:val="en-GB"/>
        </w:rPr>
        <w:fldChar w:fldCharType="separate"/>
      </w:r>
      <w:r w:rsidR="004E5A78" w:rsidRPr="003726FE">
        <w:rPr>
          <w:noProof/>
          <w:lang w:val="en-GB"/>
        </w:rPr>
        <w:t>(</w:t>
      </w:r>
      <w:hyperlink w:anchor="_ENREF_273" w:tooltip="Merriam, 2002 #805" w:history="1">
        <w:r w:rsidR="0094469E" w:rsidRPr="003726FE">
          <w:rPr>
            <w:noProof/>
            <w:lang w:val="en-GB"/>
          </w:rPr>
          <w:t>Merriam 2002</w:t>
        </w:r>
      </w:hyperlink>
      <w:r w:rsidR="004E5A78" w:rsidRPr="003726FE">
        <w:rPr>
          <w:noProof/>
          <w:lang w:val="en-GB"/>
        </w:rPr>
        <w:t>)</w:t>
      </w:r>
      <w:r w:rsidR="00EF281A" w:rsidRPr="003726FE">
        <w:rPr>
          <w:lang w:val="en-GB"/>
        </w:rPr>
        <w:fldChar w:fldCharType="end"/>
      </w:r>
      <w:r w:rsidRPr="003726FE">
        <w:rPr>
          <w:lang w:val="en-GB"/>
        </w:rPr>
        <w:t>. This also affords participants the respect and recognition they deserve when sharing their stories</w:t>
      </w:r>
      <w:r w:rsidR="00D47ACF">
        <w:rPr>
          <w:lang w:val="en-GB"/>
        </w:rPr>
        <w:t>,</w:t>
      </w:r>
      <w:r w:rsidRPr="003726FE">
        <w:rPr>
          <w:lang w:val="en-GB"/>
        </w:rPr>
        <w:t xml:space="preserve"> rather than creating an imbalanced power relationship </w:t>
      </w:r>
      <w:r w:rsidR="00EF281A" w:rsidRPr="003726FE">
        <w:rPr>
          <w:lang w:val="en-GB"/>
        </w:rPr>
        <w:fldChar w:fldCharType="begin"/>
      </w:r>
      <w:r w:rsidR="008B61BE">
        <w:rPr>
          <w:lang w:val="en-GB"/>
        </w:rPr>
        <w:instrText xml:space="preserve"> ADDIN EN.CITE &lt;EndNote&gt;&lt;Cite&gt;&lt;Author&gt;Buchbinder&lt;/Author&gt;&lt;Year&gt;2011&lt;/Year&gt;&lt;RecNum&gt;806&lt;/RecNum&gt;&lt;DisplayText&gt;(Buchbinder 2011)&lt;/DisplayText&gt;&lt;record&gt;&lt;rec-number&gt;806&lt;/rec-number&gt;&lt;foreign-keys&gt;&lt;key app="EN" db-id="xa2r2ewea92trkef5dt5arvbzafvpv2za5ft" timestamp="1496417595"&gt;806&lt;/key&gt;&lt;/foreign-keys&gt;&lt;ref-type name="Journal Article"&gt;17&lt;/ref-type&gt;&lt;contributors&gt;&lt;authors&gt;&lt;author&gt;Buchbinder, Eli&lt;/author&gt;&lt;/authors&gt;&lt;/contributors&gt;&lt;titles&gt;&lt;title&gt;Beyond checking: Experiences of the validation interview&lt;/title&gt;&lt;secondary-title&gt;Qualitative Social Work&lt;/secondary-title&gt;&lt;/titles&gt;&lt;periodical&gt;&lt;full-title&gt;Qualitative Social Work&lt;/full-title&gt;&lt;/periodical&gt;&lt;pages&gt;106-122&lt;/pages&gt;&lt;volume&gt;10&lt;/volume&gt;&lt;number&gt;1&lt;/number&gt;&lt;dates&gt;&lt;year&gt;2011&lt;/year&gt;&lt;/dates&gt;&lt;isbn&gt;1473-3250&lt;/isbn&gt;&lt;urls&gt;&lt;/urls&gt;&lt;/record&gt;&lt;/Cite&gt;&lt;/EndNote&gt;</w:instrText>
      </w:r>
      <w:r w:rsidR="00EF281A" w:rsidRPr="003726FE">
        <w:rPr>
          <w:lang w:val="en-GB"/>
        </w:rPr>
        <w:fldChar w:fldCharType="separate"/>
      </w:r>
      <w:r w:rsidR="004E5A78" w:rsidRPr="003726FE">
        <w:rPr>
          <w:noProof/>
          <w:lang w:val="en-GB"/>
        </w:rPr>
        <w:t>(</w:t>
      </w:r>
      <w:hyperlink w:anchor="_ENREF_61" w:tooltip="Buchbinder, 2011 #806" w:history="1">
        <w:r w:rsidR="0094469E" w:rsidRPr="003726FE">
          <w:rPr>
            <w:noProof/>
            <w:lang w:val="en-GB"/>
          </w:rPr>
          <w:t>Buchbinder 2011</w:t>
        </w:r>
      </w:hyperlink>
      <w:r w:rsidR="004E5A78" w:rsidRPr="003726FE">
        <w:rPr>
          <w:noProof/>
          <w:lang w:val="en-GB"/>
        </w:rPr>
        <w:t>)</w:t>
      </w:r>
      <w:r w:rsidR="00EF281A" w:rsidRPr="003726FE">
        <w:rPr>
          <w:lang w:val="en-GB"/>
        </w:rPr>
        <w:fldChar w:fldCharType="end"/>
      </w:r>
      <w:r w:rsidRPr="003726FE">
        <w:rPr>
          <w:lang w:val="en-GB"/>
        </w:rPr>
        <w:t xml:space="preserve">. </w:t>
      </w:r>
    </w:p>
    <w:p w14:paraId="05C87CEC" w14:textId="77777777" w:rsidR="00512175" w:rsidRPr="003726FE" w:rsidRDefault="00512175" w:rsidP="00026049">
      <w:pPr>
        <w:pStyle w:val="Normal1"/>
        <w:rPr>
          <w:lang w:val="en-GB"/>
        </w:rPr>
      </w:pPr>
    </w:p>
    <w:p w14:paraId="776D1DA8" w14:textId="72CD2733" w:rsidR="00512175" w:rsidRPr="003726FE" w:rsidRDefault="00512175" w:rsidP="00026049">
      <w:pPr>
        <w:pStyle w:val="Normal1"/>
        <w:rPr>
          <w:lang w:val="en-GB"/>
        </w:rPr>
      </w:pPr>
      <w:r w:rsidRPr="003726FE">
        <w:rPr>
          <w:lang w:val="en-GB"/>
        </w:rPr>
        <w:t xml:space="preserve">The view that member checking is applicable for all forms of qualitative research has garnered criticism </w:t>
      </w:r>
      <w:r w:rsidR="00EF281A" w:rsidRPr="003726FE">
        <w:rPr>
          <w:lang w:val="en-GB"/>
        </w:rPr>
        <w:fldChar w:fldCharType="begin"/>
      </w:r>
      <w:r w:rsidR="008B61BE">
        <w:rPr>
          <w:lang w:val="en-GB"/>
        </w:rPr>
        <w:instrText xml:space="preserve"> ADDIN EN.CITE &lt;EndNote&gt;&lt;Cite&gt;&lt;Author&gt;Barbour&lt;/Author&gt;&lt;Year&gt;2001&lt;/Year&gt;&lt;RecNum&gt;799&lt;/RecNum&gt;&lt;DisplayText&gt;(Barbour 2001)&lt;/DisplayText&gt;&lt;record&gt;&lt;rec-number&gt;799&lt;/rec-number&gt;&lt;foreign-keys&gt;&lt;key app="EN" db-id="xa2r2ewea92trkef5dt5arvbzafvpv2za5ft" timestamp="1496417595"&gt;799&lt;/key&gt;&lt;/foreign-keys&gt;&lt;ref-type name="Journal Article"&gt;17&lt;/ref-type&gt;&lt;contributors&gt;&lt;authors&gt;&lt;author&gt;Barbour, Rosaline S&lt;/author&gt;&lt;/authors&gt;&lt;/contributors&gt;&lt;titles&gt;&lt;title&gt;Checklists for improving rigour in qualitative research: a case of the tail wagging the dog?&lt;/title&gt;&lt;secondary-title&gt;British Medical Journal&lt;/secondary-title&gt;&lt;/titles&gt;&lt;periodical&gt;&lt;full-title&gt;British Medical Journal&lt;/full-title&gt;&lt;/periodical&gt;&lt;pages&gt;1115&lt;/pages&gt;&lt;volume&gt;322&lt;/volume&gt;&lt;number&gt;7294&lt;/number&gt;&lt;dates&gt;&lt;year&gt;2001&lt;/year&gt;&lt;/dates&gt;&lt;isbn&gt;0959-8138&lt;/isbn&gt;&lt;urls&gt;&lt;/urls&gt;&lt;/record&gt;&lt;/Cite&gt;&lt;/EndNote&gt;</w:instrText>
      </w:r>
      <w:r w:rsidR="00EF281A" w:rsidRPr="003726FE">
        <w:rPr>
          <w:lang w:val="en-GB"/>
        </w:rPr>
        <w:fldChar w:fldCharType="separate"/>
      </w:r>
      <w:r w:rsidR="004E5A78" w:rsidRPr="003726FE">
        <w:rPr>
          <w:noProof/>
          <w:lang w:val="en-GB"/>
        </w:rPr>
        <w:t>(</w:t>
      </w:r>
      <w:hyperlink w:anchor="_ENREF_20" w:tooltip="Barbour, 2001 #799" w:history="1">
        <w:r w:rsidR="0094469E" w:rsidRPr="003726FE">
          <w:rPr>
            <w:noProof/>
            <w:lang w:val="en-GB"/>
          </w:rPr>
          <w:t>Barbour 2001</w:t>
        </w:r>
      </w:hyperlink>
      <w:r w:rsidR="004E5A78" w:rsidRPr="003726FE">
        <w:rPr>
          <w:noProof/>
          <w:lang w:val="en-GB"/>
        </w:rPr>
        <w:t>)</w:t>
      </w:r>
      <w:r w:rsidR="00EF281A" w:rsidRPr="003726FE">
        <w:rPr>
          <w:lang w:val="en-GB"/>
        </w:rPr>
        <w:fldChar w:fldCharType="end"/>
      </w:r>
      <w:r w:rsidRPr="003726FE">
        <w:rPr>
          <w:lang w:val="en-GB"/>
        </w:rPr>
        <w:t xml:space="preserve">, </w:t>
      </w:r>
      <w:r w:rsidR="00D47ACF">
        <w:rPr>
          <w:lang w:val="en-GB"/>
        </w:rPr>
        <w:t>as</w:t>
      </w:r>
      <w:r w:rsidRPr="003726FE">
        <w:rPr>
          <w:lang w:val="en-GB"/>
        </w:rPr>
        <w:t xml:space="preserve"> the researcher can be at risk of giving too much weight to participants’ accounts after the data collection and be overly influenced by them </w:t>
      </w:r>
      <w:r w:rsidR="00EF281A" w:rsidRPr="003726FE">
        <w:rPr>
          <w:lang w:val="en-GB"/>
        </w:rPr>
        <w:fldChar w:fldCharType="begin"/>
      </w:r>
      <w:r w:rsidR="008B61BE">
        <w:rPr>
          <w:lang w:val="en-GB"/>
        </w:rPr>
        <w:instrText xml:space="preserve"> ADDIN EN.CITE &lt;EndNote&gt;&lt;Cite&gt;&lt;Author&gt;Atkinson&lt;/Author&gt;&lt;Year&gt;1997&lt;/Year&gt;&lt;RecNum&gt;807&lt;/RecNum&gt;&lt;DisplayText&gt;(Atkinson 1997)&lt;/DisplayText&gt;&lt;record&gt;&lt;rec-number&gt;807&lt;/rec-number&gt;&lt;foreign-keys&gt;&lt;key app="EN" db-id="xa2r2ewea92trkef5dt5arvbzafvpv2za5ft" timestamp="1496417595"&gt;807&lt;/key&gt;&lt;/foreign-keys&gt;&lt;ref-type name="Journal Article"&gt;17&lt;/ref-type&gt;&lt;contributors&gt;&lt;authors&gt;&lt;author&gt;Atkinson, Paul&lt;/author&gt;&lt;/authors&gt;&lt;/contributors&gt;&lt;titles&gt;&lt;title&gt;Narrative turn or blind alley?&lt;/title&gt;&lt;secondary-title&gt;Qualitative health research&lt;/secondary-title&gt;&lt;/titles&gt;&lt;periodical&gt;&lt;full-title&gt;Qualitative health research&lt;/full-title&gt;&lt;/periodical&gt;&lt;pages&gt;325-344&lt;/pages&gt;&lt;volume&gt;7&lt;/volume&gt;&lt;number&gt;3&lt;/number&gt;&lt;dates&gt;&lt;year&gt;1997&lt;/year&gt;&lt;/dates&gt;&lt;isbn&gt;1049-7323&lt;/isbn&gt;&lt;urls&gt;&lt;/urls&gt;&lt;/record&gt;&lt;/Cite&gt;&lt;/EndNote&gt;</w:instrText>
      </w:r>
      <w:r w:rsidR="00EF281A" w:rsidRPr="003726FE">
        <w:rPr>
          <w:lang w:val="en-GB"/>
        </w:rPr>
        <w:fldChar w:fldCharType="separate"/>
      </w:r>
      <w:r w:rsidR="004E5A78" w:rsidRPr="003726FE">
        <w:rPr>
          <w:noProof/>
          <w:lang w:val="en-GB"/>
        </w:rPr>
        <w:t>(</w:t>
      </w:r>
      <w:hyperlink w:anchor="_ENREF_10" w:tooltip="Atkinson, 1997 #807" w:history="1">
        <w:r w:rsidR="0094469E" w:rsidRPr="003726FE">
          <w:rPr>
            <w:noProof/>
            <w:lang w:val="en-GB"/>
          </w:rPr>
          <w:t>Atkinson 1997</w:t>
        </w:r>
      </w:hyperlink>
      <w:r w:rsidR="004E5A78" w:rsidRPr="003726FE">
        <w:rPr>
          <w:noProof/>
          <w:lang w:val="en-GB"/>
        </w:rPr>
        <w:t>)</w:t>
      </w:r>
      <w:r w:rsidR="00EF281A" w:rsidRPr="003726FE">
        <w:rPr>
          <w:lang w:val="en-GB"/>
        </w:rPr>
        <w:fldChar w:fldCharType="end"/>
      </w:r>
      <w:r w:rsidRPr="003726FE">
        <w:rPr>
          <w:lang w:val="en-GB"/>
        </w:rPr>
        <w:t xml:space="preserve">. </w:t>
      </w:r>
      <w:r w:rsidR="00B7786B" w:rsidRPr="003726FE">
        <w:rPr>
          <w:lang w:val="en-GB"/>
        </w:rPr>
        <w:t>T</w:t>
      </w:r>
      <w:r w:rsidRPr="003726FE">
        <w:rPr>
          <w:lang w:val="en-GB"/>
        </w:rPr>
        <w:t xml:space="preserve">he position of </w:t>
      </w:r>
      <w:hyperlink w:anchor="_ENREF_287" w:tooltip="Morse, 2015 #808" w:history="1">
        <w:r w:rsidR="0094469E" w:rsidRPr="003726FE">
          <w:rPr>
            <w:lang w:val="en-GB"/>
          </w:rPr>
          <w:fldChar w:fldCharType="begin"/>
        </w:r>
        <w:r w:rsidR="0094469E">
          <w:rPr>
            <w:lang w:val="en-GB"/>
          </w:rPr>
          <w:instrText xml:space="preserve"> ADDIN EN.CITE &lt;EndNote&gt;&lt;Cite AuthorYear="1"&gt;&lt;Author&gt;Morse&lt;/Author&gt;&lt;Year&gt;2015&lt;/Year&gt;&lt;RecNum&gt;808&lt;/RecNum&gt;&lt;DisplayText&gt;Morse (2015)&lt;/DisplayText&gt;&lt;record&gt;&lt;rec-number&gt;808&lt;/rec-number&gt;&lt;foreign-keys&gt;&lt;key app="EN" db-id="xa2r2ewea92trkef5dt5arvbzafvpv2za5ft" timestamp="1496417595"&gt;808&lt;/key&gt;&lt;/foreign-keys&gt;&lt;ref-type name="Journal Article"&gt;17&lt;/ref-type&gt;&lt;contributors&gt;&lt;authors&gt;&lt;author&gt;Morse, Janice M&lt;/author&gt;&lt;/authors&gt;&lt;/contributors&gt;&lt;titles&gt;&lt;title&gt;Critical analysis of strategies for determining rigor in qualitative inquiry&lt;/title&gt;&lt;secondary-title&gt;Qualitative health research&lt;/secondary-title&gt;&lt;/titles&gt;&lt;periodical&gt;&lt;full-title&gt;Qualitative health research&lt;/full-title&gt;&lt;/periodical&gt;&lt;pages&gt;1212-1222&lt;/pages&gt;&lt;volume&gt;25&lt;/volume&gt;&lt;number&gt;9&lt;/number&gt;&lt;dates&gt;&lt;year&gt;2015&lt;/year&gt;&lt;/dates&gt;&lt;isbn&gt;1049-7323&lt;/isbn&gt;&lt;urls&gt;&lt;/urls&gt;&lt;/record&gt;&lt;/Cite&gt;&lt;/EndNote&gt;</w:instrText>
        </w:r>
        <w:r w:rsidR="0094469E" w:rsidRPr="003726FE">
          <w:rPr>
            <w:lang w:val="en-GB"/>
          </w:rPr>
          <w:fldChar w:fldCharType="separate"/>
        </w:r>
        <w:r w:rsidR="0094469E" w:rsidRPr="003726FE">
          <w:rPr>
            <w:noProof/>
            <w:lang w:val="en-GB"/>
          </w:rPr>
          <w:t>Morse (2015)</w:t>
        </w:r>
        <w:r w:rsidR="0094469E" w:rsidRPr="003726FE">
          <w:rPr>
            <w:lang w:val="en-GB"/>
          </w:rPr>
          <w:fldChar w:fldCharType="end"/>
        </w:r>
      </w:hyperlink>
      <w:r w:rsidR="00B7786B" w:rsidRPr="003726FE">
        <w:rPr>
          <w:lang w:val="en-GB"/>
        </w:rPr>
        <w:t xml:space="preserve"> was adopted</w:t>
      </w:r>
      <w:r w:rsidRPr="003726FE">
        <w:rPr>
          <w:lang w:val="en-GB"/>
        </w:rPr>
        <w:t xml:space="preserve"> who holds the researcher’s knowledge and expertise higher than the participant’s in analysis. </w:t>
      </w:r>
      <w:r w:rsidR="00B7786B" w:rsidRPr="003726FE">
        <w:rPr>
          <w:lang w:val="en-GB"/>
        </w:rPr>
        <w:t>T</w:t>
      </w:r>
      <w:r w:rsidRPr="003726FE">
        <w:rPr>
          <w:lang w:val="en-GB"/>
        </w:rPr>
        <w:t>he participants</w:t>
      </w:r>
      <w:r w:rsidR="00B7786B" w:rsidRPr="003726FE">
        <w:rPr>
          <w:lang w:val="en-GB"/>
        </w:rPr>
        <w:t xml:space="preserve"> were not involved</w:t>
      </w:r>
      <w:r w:rsidRPr="003726FE">
        <w:rPr>
          <w:lang w:val="en-GB"/>
        </w:rPr>
        <w:t xml:space="preserve"> in the analysis stage</w:t>
      </w:r>
      <w:r w:rsidR="00D47ACF">
        <w:rPr>
          <w:lang w:val="en-GB"/>
        </w:rPr>
        <w:t>;</w:t>
      </w:r>
      <w:r w:rsidRPr="003726FE">
        <w:rPr>
          <w:lang w:val="en-GB"/>
        </w:rPr>
        <w:t xml:space="preserve"> the technique was only used for verification. This was a purely post-hoc method of validation </w:t>
      </w:r>
      <w:r w:rsidR="00EF281A" w:rsidRPr="003726FE">
        <w:rPr>
          <w:lang w:val="en-GB"/>
        </w:rPr>
        <w:fldChar w:fldCharType="begin"/>
      </w:r>
      <w:r w:rsidR="008B61BE">
        <w:rPr>
          <w:lang w:val="en-GB"/>
        </w:rPr>
        <w:instrText xml:space="preserve"> ADDIN EN.CITE &lt;EndNote&gt;&lt;Cite&gt;&lt;Author&gt;Lewis&lt;/Author&gt;&lt;Year&gt;2009&lt;/Year&gt;&lt;RecNum&gt;809&lt;/RecNum&gt;&lt;DisplayText&gt;(Lewis 2009)&lt;/DisplayText&gt;&lt;record&gt;&lt;rec-number&gt;809&lt;/rec-number&gt;&lt;foreign-keys&gt;&lt;key app="EN" db-id="xa2r2ewea92trkef5dt5arvbzafvpv2za5ft" timestamp="1496417595"&gt;809&lt;/key&gt;&lt;/foreign-keys&gt;&lt;ref-type name="Journal Article"&gt;17&lt;/ref-type&gt;&lt;contributors&gt;&lt;authors&gt;&lt;author&gt;Lewis, John&lt;/author&gt;&lt;/authors&gt;&lt;/contributors&gt;&lt;titles&gt;&lt;title&gt;Redefining qualitative methods: Believability in the fifth moment&lt;/title&gt;&lt;secondary-title&gt;International Journal of Qualitative Methods&lt;/secondary-title&gt;&lt;/titles&gt;&lt;periodical&gt;&lt;full-title&gt;International journal of qualitative methods&lt;/full-title&gt;&lt;/periodical&gt;&lt;pages&gt;1-14&lt;/pages&gt;&lt;volume&gt;8&lt;/volume&gt;&lt;number&gt;2&lt;/number&gt;&lt;dates&gt;&lt;year&gt;2009&lt;/year&gt;&lt;/dates&gt;&lt;isbn&gt;1609-4069&lt;/isbn&gt;&lt;urls&gt;&lt;/urls&gt;&lt;/record&gt;&lt;/Cite&gt;&lt;/EndNote&gt;</w:instrText>
      </w:r>
      <w:r w:rsidR="00EF281A" w:rsidRPr="003726FE">
        <w:rPr>
          <w:lang w:val="en-GB"/>
        </w:rPr>
        <w:fldChar w:fldCharType="separate"/>
      </w:r>
      <w:r w:rsidR="004E5A78" w:rsidRPr="003726FE">
        <w:rPr>
          <w:noProof/>
          <w:lang w:val="en-GB"/>
        </w:rPr>
        <w:t>(</w:t>
      </w:r>
      <w:hyperlink w:anchor="_ENREF_241" w:tooltip="Lewis, 2009 #809" w:history="1">
        <w:r w:rsidR="0094469E" w:rsidRPr="003726FE">
          <w:rPr>
            <w:noProof/>
            <w:lang w:val="en-GB"/>
          </w:rPr>
          <w:t>Lewis 2009</w:t>
        </w:r>
      </w:hyperlink>
      <w:r w:rsidR="004E5A78" w:rsidRPr="003726FE">
        <w:rPr>
          <w:noProof/>
          <w:lang w:val="en-GB"/>
        </w:rPr>
        <w:t>)</w:t>
      </w:r>
      <w:r w:rsidR="00EF281A" w:rsidRPr="003726FE">
        <w:rPr>
          <w:lang w:val="en-GB"/>
        </w:rPr>
        <w:fldChar w:fldCharType="end"/>
      </w:r>
      <w:r w:rsidRPr="003726FE">
        <w:rPr>
          <w:lang w:val="en-GB"/>
        </w:rPr>
        <w:t xml:space="preserve">, as opposed to being a continuous process. More advanced member checking procedures, where participants contribute at multiple time-points in the analysis </w:t>
      </w:r>
      <w:r w:rsidR="00EF281A" w:rsidRPr="003726FE">
        <w:rPr>
          <w:lang w:val="en-GB"/>
        </w:rPr>
        <w:fldChar w:fldCharType="begin"/>
      </w:r>
      <w:r w:rsidR="008B61BE">
        <w:rPr>
          <w:lang w:val="en-GB"/>
        </w:rPr>
        <w:instrText xml:space="preserve"> ADDIN EN.CITE &lt;EndNote&gt;&lt;Cite&gt;&lt;Author&gt;Shenton&lt;/Author&gt;&lt;Year&gt;2004&lt;/Year&gt;&lt;RecNum&gt;800&lt;/RecNum&gt;&lt;DisplayText&gt;(Shenton 2004)&lt;/DisplayText&gt;&lt;record&gt;&lt;rec-number&gt;800&lt;/rec-number&gt;&lt;foreign-keys&gt;&lt;key app="EN" db-id="xa2r2ewea92trkef5dt5arvbzafvpv2za5ft" timestamp="1496417595"&gt;800&lt;/key&gt;&lt;/foreign-keys&gt;&lt;ref-type name="Journal Article"&gt;17&lt;/ref-type&gt;&lt;contributors&gt;&lt;authors&gt;&lt;author&gt;Shenton, Andrew K&lt;/author&gt;&lt;/authors&gt;&lt;/contributors&gt;&lt;titles&gt;&lt;title&gt;Strategies for ensuring trustworthiness in qualitative research projects&lt;/title&gt;&lt;secondary-title&gt;Education for information&lt;/secondary-title&gt;&lt;/titles&gt;&lt;periodical&gt;&lt;full-title&gt;Education for information&lt;/full-title&gt;&lt;/periodical&gt;&lt;pages&gt;63-75&lt;/pages&gt;&lt;volume&gt;22&lt;/volume&gt;&lt;number&gt;2&lt;/number&gt;&lt;dates&gt;&lt;year&gt;2004&lt;/year&gt;&lt;/dates&gt;&lt;isbn&gt;0167-8329&lt;/isbn&gt;&lt;urls&gt;&lt;/urls&gt;&lt;/record&gt;&lt;/Cite&gt;&lt;/EndNote&gt;</w:instrText>
      </w:r>
      <w:r w:rsidR="00EF281A" w:rsidRPr="003726FE">
        <w:rPr>
          <w:lang w:val="en-GB"/>
        </w:rPr>
        <w:fldChar w:fldCharType="separate"/>
      </w:r>
      <w:r w:rsidR="004E5A78" w:rsidRPr="003726FE">
        <w:rPr>
          <w:noProof/>
          <w:lang w:val="en-GB"/>
        </w:rPr>
        <w:t>(</w:t>
      </w:r>
      <w:hyperlink w:anchor="_ENREF_386" w:tooltip="Shenton, 2004 #800" w:history="1">
        <w:r w:rsidR="0094469E" w:rsidRPr="003726FE">
          <w:rPr>
            <w:noProof/>
            <w:lang w:val="en-GB"/>
          </w:rPr>
          <w:t>Shenton 2004</w:t>
        </w:r>
      </w:hyperlink>
      <w:r w:rsidR="004E5A78" w:rsidRPr="003726FE">
        <w:rPr>
          <w:noProof/>
          <w:lang w:val="en-GB"/>
        </w:rPr>
        <w:t>)</w:t>
      </w:r>
      <w:r w:rsidR="00EF281A" w:rsidRPr="003726FE">
        <w:rPr>
          <w:lang w:val="en-GB"/>
        </w:rPr>
        <w:fldChar w:fldCharType="end"/>
      </w:r>
      <w:r w:rsidRPr="003726FE">
        <w:rPr>
          <w:lang w:val="en-GB"/>
        </w:rPr>
        <w:t>, were not used in this study due to time constraints. There are also ethical reasons why participants</w:t>
      </w:r>
      <w:r w:rsidR="00B7786B" w:rsidRPr="003726FE">
        <w:rPr>
          <w:lang w:val="en-GB"/>
        </w:rPr>
        <w:t xml:space="preserve"> were not involved:</w:t>
      </w:r>
      <w:r w:rsidRPr="003726FE">
        <w:rPr>
          <w:lang w:val="en-GB"/>
        </w:rPr>
        <w:t xml:space="preserve"> member checking can sometimes overburden the participants or disrupt the researcher/participant relationship </w:t>
      </w:r>
      <w:r w:rsidRPr="003726FE">
        <w:rPr>
          <w:lang w:val="en-GB"/>
        </w:rPr>
        <w:fldChar w:fldCharType="begin"/>
      </w:r>
      <w:r w:rsidR="008B61BE">
        <w:rPr>
          <w:lang w:val="en-GB"/>
        </w:rPr>
        <w:instrText xml:space="preserve"> ADDIN EN.CITE &lt;EndNote&gt;&lt;Cite&gt;&lt;Author&gt;Barbour&lt;/Author&gt;&lt;Year&gt;1998&lt;/Year&gt;&lt;RecNum&gt;810&lt;/RecNum&gt;&lt;DisplayText&gt;(Barbour 1998; Goldblatt et al. 2011)&lt;/DisplayText&gt;&lt;record&gt;&lt;rec-number&gt;810&lt;/rec-number&gt;&lt;foreign-keys&gt;&lt;key app="EN" db-id="xa2r2ewea92trkef5dt5arvbzafvpv2za5ft" timestamp="1496417596"&gt;810&lt;/key&gt;&lt;/foreign-keys&gt;&lt;ref-type name="Book"&gt;6&lt;/ref-type&gt;&lt;contributors&gt;&lt;authors&gt;&lt;author&gt;Barbour, R&lt;/author&gt;&lt;/authors&gt;&lt;/contributors&gt;&lt;titles&gt;&lt;title&gt;Engagement, representation and presentation in research practice&lt;/title&gt;&lt;/titles&gt;&lt;dates&gt;&lt;year&gt;1998&lt;/year&gt;&lt;/dates&gt;&lt;pub-location&gt;London&lt;/pub-location&gt;&lt;publisher&gt;Routledge&lt;/publisher&gt;&lt;urls&gt;&lt;/urls&gt;&lt;/record&gt;&lt;/Cite&gt;&lt;Cite&gt;&lt;Author&gt;Goldblatt&lt;/Author&gt;&lt;Year&gt;2011&lt;/Year&gt;&lt;RecNum&gt;801&lt;/RecNum&gt;&lt;record&gt;&lt;rec-number&gt;801&lt;/rec-number&gt;&lt;foreign-keys&gt;&lt;key app="EN" db-id="xa2r2ewea92trkef5dt5arvbzafvpv2za5ft" timestamp="1496417595"&gt;801&lt;/key&gt;&lt;/foreign-keys&gt;&lt;ref-type name="Journal Article"&gt;17&lt;/ref-type&gt;&lt;contributors&gt;&lt;authors&gt;&lt;author&gt;Goldblatt, Hadass&lt;/author&gt;&lt;author&gt;Karnieli-Miller, Orit&lt;/author&gt;&lt;author&gt;Neumann, Melanie&lt;/author&gt;&lt;/authors&gt;&lt;/contributors&gt;&lt;titles&gt;&lt;title&gt;Sharing qualitative research findings with participants: Study experiences of methodological and ethical dilemmas&lt;/title&gt;&lt;secondary-title&gt;Patient education and counseling&lt;/secondary-title&gt;&lt;/titles&gt;&lt;periodical&gt;&lt;full-title&gt;Patient education and counseling&lt;/full-title&gt;&lt;/periodical&gt;&lt;pages&gt;389-395&lt;/pages&gt;&lt;volume&gt;82&lt;/volume&gt;&lt;number&gt;3&lt;/number&gt;&lt;dates&gt;&lt;year&gt;2011&lt;/year&gt;&lt;/dates&gt;&lt;isbn&gt;0738-3991&lt;/isbn&gt;&lt;urls&gt;&lt;/urls&gt;&lt;/record&gt;&lt;/Cite&gt;&lt;/EndNote&gt;</w:instrText>
      </w:r>
      <w:r w:rsidRPr="003726FE">
        <w:rPr>
          <w:lang w:val="en-GB"/>
        </w:rPr>
        <w:fldChar w:fldCharType="separate"/>
      </w:r>
      <w:r w:rsidR="004E5A78" w:rsidRPr="003726FE">
        <w:rPr>
          <w:noProof/>
          <w:lang w:val="en-GB"/>
        </w:rPr>
        <w:t>(</w:t>
      </w:r>
      <w:hyperlink w:anchor="_ENREF_19" w:tooltip="Barbour, 1998 #810" w:history="1">
        <w:r w:rsidR="0094469E" w:rsidRPr="003726FE">
          <w:rPr>
            <w:noProof/>
            <w:lang w:val="en-GB"/>
          </w:rPr>
          <w:t>Barbour 1998</w:t>
        </w:r>
      </w:hyperlink>
      <w:r w:rsidR="004E5A78" w:rsidRPr="003726FE">
        <w:rPr>
          <w:noProof/>
          <w:lang w:val="en-GB"/>
        </w:rPr>
        <w:t xml:space="preserve">; </w:t>
      </w:r>
      <w:hyperlink w:anchor="_ENREF_162" w:tooltip="Goldblatt, 2011 #801" w:history="1">
        <w:r w:rsidR="0094469E" w:rsidRPr="003726FE">
          <w:rPr>
            <w:noProof/>
            <w:lang w:val="en-GB"/>
          </w:rPr>
          <w:t>Goldblatt et al. 2011</w:t>
        </w:r>
      </w:hyperlink>
      <w:r w:rsidR="004E5A78" w:rsidRPr="003726FE">
        <w:rPr>
          <w:noProof/>
          <w:lang w:val="en-GB"/>
        </w:rPr>
        <w:t>)</w:t>
      </w:r>
      <w:r w:rsidRPr="003726FE">
        <w:rPr>
          <w:lang w:val="en-GB"/>
        </w:rPr>
        <w:fldChar w:fldCharType="end"/>
      </w:r>
      <w:r w:rsidRPr="003726FE">
        <w:rPr>
          <w:lang w:val="en-GB"/>
        </w:rPr>
        <w:t>.</w:t>
      </w:r>
    </w:p>
    <w:p w14:paraId="3017B184" w14:textId="77777777" w:rsidR="00512175" w:rsidRPr="003726FE" w:rsidRDefault="00512175" w:rsidP="00026049">
      <w:pPr>
        <w:pStyle w:val="Normal1"/>
        <w:rPr>
          <w:lang w:val="en-GB"/>
        </w:rPr>
      </w:pPr>
    </w:p>
    <w:p w14:paraId="1801D59E" w14:textId="78488106" w:rsidR="00512175" w:rsidRPr="003726FE" w:rsidRDefault="00B7786B" w:rsidP="00026049">
      <w:pPr>
        <w:pStyle w:val="Normal1"/>
        <w:rPr>
          <w:lang w:val="en-GB"/>
        </w:rPr>
      </w:pPr>
      <w:r w:rsidRPr="003726FE">
        <w:rPr>
          <w:lang w:val="en-GB"/>
        </w:rPr>
        <w:t>It is also important to carefully consider</w:t>
      </w:r>
      <w:r w:rsidR="00512175" w:rsidRPr="003726FE">
        <w:rPr>
          <w:lang w:val="en-GB"/>
        </w:rPr>
        <w:t xml:space="preserve"> participant comments and views during member checking so that they may accurately reflect the findings </w:t>
      </w:r>
      <w:r w:rsidR="00EF281A" w:rsidRPr="003726FE">
        <w:rPr>
          <w:lang w:val="en-GB"/>
        </w:rPr>
        <w:fldChar w:fldCharType="begin"/>
      </w:r>
      <w:r w:rsidR="008B61BE">
        <w:rPr>
          <w:lang w:val="en-GB"/>
        </w:rPr>
        <w:instrText xml:space="preserve"> ADDIN EN.CITE &lt;EndNote&gt;&lt;Cite&gt;&lt;Author&gt;Mays&lt;/Author&gt;&lt;Year&gt;2000&lt;/Year&gt;&lt;RecNum&gt;811&lt;/RecNum&gt;&lt;DisplayText&gt;(Mays and Pope 2000)&lt;/DisplayText&gt;&lt;record&gt;&lt;rec-number&gt;811&lt;/rec-number&gt;&lt;foreign-keys&gt;&lt;key app="EN" db-id="xa2r2ewea92trkef5dt5arvbzafvpv2za5ft" timestamp="1496417596"&gt;811&lt;/key&gt;&lt;/foreign-keys&gt;&lt;ref-type name="Journal Article"&gt;17&lt;/ref-type&gt;&lt;contributors&gt;&lt;authors&gt;&lt;author&gt;Mays, Nicholas&lt;/author&gt;&lt;author&gt;Pope, Catherine&lt;/author&gt;&lt;/authors&gt;&lt;/contributors&gt;&lt;titles&gt;&lt;title&gt;Assessing quality in qualitative research&lt;/title&gt;&lt;secondary-title&gt;British Medical Journal&lt;/secondary-title&gt;&lt;/titles&gt;&lt;periodical&gt;&lt;full-title&gt;British Medical Journal&lt;/full-title&gt;&lt;/periodical&gt;&lt;pages&gt;50&lt;/pages&gt;&lt;volume&gt;320&lt;/volume&gt;&lt;number&gt;7226&lt;/number&gt;&lt;dates&gt;&lt;year&gt;2000&lt;/year&gt;&lt;/dates&gt;&lt;isbn&gt;0959-8138&lt;/isbn&gt;&lt;urls&gt;&lt;/urls&gt;&lt;/record&gt;&lt;/Cite&gt;&lt;/EndNote&gt;</w:instrText>
      </w:r>
      <w:r w:rsidR="00EF281A" w:rsidRPr="003726FE">
        <w:rPr>
          <w:lang w:val="en-GB"/>
        </w:rPr>
        <w:fldChar w:fldCharType="separate"/>
      </w:r>
      <w:r w:rsidR="004E5A78" w:rsidRPr="003726FE">
        <w:rPr>
          <w:noProof/>
          <w:lang w:val="en-GB"/>
        </w:rPr>
        <w:t>(</w:t>
      </w:r>
      <w:hyperlink w:anchor="_ENREF_261" w:tooltip="Mays, 2000 #811" w:history="1">
        <w:r w:rsidR="0094469E" w:rsidRPr="003726FE">
          <w:rPr>
            <w:noProof/>
            <w:lang w:val="en-GB"/>
          </w:rPr>
          <w:t>Mays and Pope 2000</w:t>
        </w:r>
      </w:hyperlink>
      <w:r w:rsidR="004E5A78" w:rsidRPr="003726FE">
        <w:rPr>
          <w:noProof/>
          <w:lang w:val="en-GB"/>
        </w:rPr>
        <w:t>)</w:t>
      </w:r>
      <w:r w:rsidR="00EF281A" w:rsidRPr="003726FE">
        <w:rPr>
          <w:lang w:val="en-GB"/>
        </w:rPr>
        <w:fldChar w:fldCharType="end"/>
      </w:r>
      <w:r w:rsidR="00512175" w:rsidRPr="003726FE">
        <w:rPr>
          <w:lang w:val="en-GB"/>
        </w:rPr>
        <w:t xml:space="preserve">. </w:t>
      </w:r>
      <w:r w:rsidR="00D47ACF">
        <w:rPr>
          <w:lang w:val="en-GB"/>
        </w:rPr>
        <w:t>There have been some cases where</w:t>
      </w:r>
      <w:r w:rsidR="00512175" w:rsidRPr="003726FE">
        <w:rPr>
          <w:lang w:val="en-GB"/>
        </w:rPr>
        <w:t xml:space="preserve"> researchers fail to report the actual changes they made in their interpretation of the data based upon their use of member checking</w:t>
      </w:r>
      <w:r w:rsidR="00D47ACF">
        <w:rPr>
          <w:lang w:val="en-GB"/>
        </w:rPr>
        <w:t>, leading to the misrepresentation of data</w:t>
      </w:r>
      <w:r w:rsidR="00512175" w:rsidRPr="003726FE">
        <w:rPr>
          <w:lang w:val="en-GB"/>
        </w:rPr>
        <w:t xml:space="preserve"> </w:t>
      </w:r>
      <w:r w:rsidR="00EF281A" w:rsidRPr="003726FE">
        <w:rPr>
          <w:lang w:val="en-GB"/>
        </w:rPr>
        <w:fldChar w:fldCharType="begin"/>
      </w:r>
      <w:r w:rsidR="008B61BE">
        <w:rPr>
          <w:lang w:val="en-GB"/>
        </w:rPr>
        <w:instrText xml:space="preserve"> ADDIN EN.CITE &lt;EndNote&gt;&lt;Cite&gt;&lt;Author&gt;Goldblatt&lt;/Author&gt;&lt;Year&gt;2011&lt;/Year&gt;&lt;RecNum&gt;801&lt;/RecNum&gt;&lt;DisplayText&gt;(Goldblatt et al. 2011)&lt;/DisplayText&gt;&lt;record&gt;&lt;rec-number&gt;801&lt;/rec-number&gt;&lt;foreign-keys&gt;&lt;key app="EN" db-id="xa2r2ewea92trkef5dt5arvbzafvpv2za5ft" timestamp="1496417595"&gt;801&lt;/key&gt;&lt;/foreign-keys&gt;&lt;ref-type name="Journal Article"&gt;17&lt;/ref-type&gt;&lt;contributors&gt;&lt;authors&gt;&lt;author&gt;Goldblatt, Hadass&lt;/author&gt;&lt;author&gt;Karnieli-Miller, Orit&lt;/author&gt;&lt;author&gt;Neumann, Melanie&lt;/author&gt;&lt;/authors&gt;&lt;/contributors&gt;&lt;titles&gt;&lt;title&gt;Sharing qualitative research findings with participants: Study experiences of methodological and ethical dilemmas&lt;/title&gt;&lt;secondary-title&gt;Patient education and counseling&lt;/secondary-title&gt;&lt;/titles&gt;&lt;periodical&gt;&lt;full-title&gt;Patient education and counseling&lt;/full-title&gt;&lt;/periodical&gt;&lt;pages&gt;389-395&lt;/pages&gt;&lt;volume&gt;82&lt;/volume&gt;&lt;number&gt;3&lt;/number&gt;&lt;dates&gt;&lt;year&gt;2011&lt;/year&gt;&lt;/dates&gt;&lt;isbn&gt;0738-3991&lt;/isbn&gt;&lt;urls&gt;&lt;/urls&gt;&lt;/record&gt;&lt;/Cite&gt;&lt;/EndNote&gt;</w:instrText>
      </w:r>
      <w:r w:rsidR="00EF281A" w:rsidRPr="003726FE">
        <w:rPr>
          <w:lang w:val="en-GB"/>
        </w:rPr>
        <w:fldChar w:fldCharType="separate"/>
      </w:r>
      <w:r w:rsidR="004E5A78" w:rsidRPr="003726FE">
        <w:rPr>
          <w:noProof/>
          <w:lang w:val="en-GB"/>
        </w:rPr>
        <w:t>(</w:t>
      </w:r>
      <w:hyperlink w:anchor="_ENREF_162" w:tooltip="Goldblatt, 2011 #801" w:history="1">
        <w:r w:rsidR="0094469E" w:rsidRPr="003726FE">
          <w:rPr>
            <w:noProof/>
            <w:lang w:val="en-GB"/>
          </w:rPr>
          <w:t>Goldblatt et al. 2011</w:t>
        </w:r>
      </w:hyperlink>
      <w:r w:rsidR="004E5A78" w:rsidRPr="003726FE">
        <w:rPr>
          <w:noProof/>
          <w:lang w:val="en-GB"/>
        </w:rPr>
        <w:t>)</w:t>
      </w:r>
      <w:r w:rsidR="00EF281A" w:rsidRPr="003726FE">
        <w:rPr>
          <w:lang w:val="en-GB"/>
        </w:rPr>
        <w:fldChar w:fldCharType="end"/>
      </w:r>
      <w:r w:rsidR="00512175" w:rsidRPr="003726FE">
        <w:rPr>
          <w:lang w:val="en-GB"/>
        </w:rPr>
        <w:t xml:space="preserve">. </w:t>
      </w:r>
      <w:r w:rsidRPr="003726FE">
        <w:rPr>
          <w:lang w:val="en-GB"/>
        </w:rPr>
        <w:t>No additional comments were made which participants wished to add to their accounts in this study</w:t>
      </w:r>
      <w:r w:rsidR="00D802DA">
        <w:rPr>
          <w:lang w:val="en-GB"/>
        </w:rPr>
        <w:t xml:space="preserve"> with the exception of minor corrections to transcripts</w:t>
      </w:r>
      <w:r w:rsidR="00512175" w:rsidRPr="003726FE">
        <w:rPr>
          <w:lang w:val="en-GB"/>
        </w:rPr>
        <w:t>.</w:t>
      </w:r>
    </w:p>
    <w:p w14:paraId="196CDEE0" w14:textId="4B837CCC" w:rsidR="00512175" w:rsidRPr="003726FE" w:rsidRDefault="00512175" w:rsidP="00026049">
      <w:pPr>
        <w:pStyle w:val="Normal1"/>
        <w:rPr>
          <w:lang w:val="en-GB"/>
        </w:rPr>
      </w:pPr>
    </w:p>
    <w:p w14:paraId="67EC0A2E" w14:textId="77777777" w:rsidR="002F655D" w:rsidRDefault="002F655D">
      <w:pPr>
        <w:rPr>
          <w:rFonts w:eastAsiaTheme="majorEastAsia" w:cstheme="majorBidi"/>
          <w:b/>
          <w:i/>
          <w:szCs w:val="24"/>
          <w:lang w:eastAsia="hi-IN" w:bidi="hi-IN"/>
        </w:rPr>
      </w:pPr>
      <w:bookmarkStart w:id="211" w:name="_Toc480549849"/>
      <w:r>
        <w:br w:type="page"/>
      </w:r>
    </w:p>
    <w:p w14:paraId="00AEEE00" w14:textId="4EE2A54B" w:rsidR="00512175" w:rsidRPr="003726FE" w:rsidRDefault="00512175" w:rsidP="00BA4521">
      <w:pPr>
        <w:pStyle w:val="Heading3"/>
      </w:pPr>
      <w:bookmarkStart w:id="212" w:name="_Toc500319356"/>
      <w:r w:rsidRPr="003726FE">
        <w:lastRenderedPageBreak/>
        <w:t>A3.8.3 Peer Debriefing</w:t>
      </w:r>
      <w:bookmarkEnd w:id="211"/>
      <w:bookmarkEnd w:id="212"/>
    </w:p>
    <w:p w14:paraId="51ED396F" w14:textId="77777777" w:rsidR="00512175" w:rsidRPr="003726FE" w:rsidRDefault="00512175" w:rsidP="00026049">
      <w:pPr>
        <w:pStyle w:val="Normal1"/>
        <w:rPr>
          <w:lang w:val="en-GB"/>
        </w:rPr>
      </w:pPr>
    </w:p>
    <w:p w14:paraId="14C14373" w14:textId="488E908E" w:rsidR="00512175" w:rsidRPr="003726FE" w:rsidRDefault="00D47ACF" w:rsidP="00026049">
      <w:pPr>
        <w:pStyle w:val="Normal1"/>
        <w:rPr>
          <w:lang w:val="en-GB"/>
        </w:rPr>
      </w:pPr>
      <w:r>
        <w:rPr>
          <w:lang w:val="en-GB"/>
        </w:rPr>
        <w:t>Multiple colleagues participated in peer debriefing</w:t>
      </w:r>
      <w:r w:rsidR="00512175" w:rsidRPr="003726FE">
        <w:rPr>
          <w:lang w:val="en-GB"/>
        </w:rPr>
        <w:t xml:space="preserve"> regularly during the research process with the goal of repeatedly checking and critiquing </w:t>
      </w:r>
      <w:r w:rsidR="007A4EDA">
        <w:rPr>
          <w:lang w:val="en-GB"/>
        </w:rPr>
        <w:t>the</w:t>
      </w:r>
      <w:r w:rsidR="00512175" w:rsidRPr="003726FE">
        <w:rPr>
          <w:lang w:val="en-GB"/>
        </w:rPr>
        <w:t xml:space="preserve"> approaches </w:t>
      </w:r>
      <w:r w:rsidR="007A4EDA">
        <w:rPr>
          <w:lang w:val="en-GB"/>
        </w:rPr>
        <w:t xml:space="preserve">made </w:t>
      </w:r>
      <w:r w:rsidR="00512175" w:rsidRPr="003726FE">
        <w:rPr>
          <w:lang w:val="en-GB"/>
        </w:rPr>
        <w:t xml:space="preserve">to different elements of the research. </w:t>
      </w:r>
      <w:hyperlink w:anchor="_ENREF_243" w:tooltip="Lincoln, 1985 #148" w:history="1">
        <w:r w:rsidR="0094469E" w:rsidRPr="003726FE">
          <w:rPr>
            <w:lang w:val="en-GB"/>
          </w:rPr>
          <w:fldChar w:fldCharType="begin"/>
        </w:r>
        <w:r w:rsidR="0094469E">
          <w:rPr>
            <w:lang w:val="en-GB"/>
          </w:rPr>
          <w:instrText xml:space="preserve"> ADDIN EN.CITE &lt;EndNote&gt;&lt;Cite AuthorYear="1"&gt;&lt;Author&gt;Lincoln&lt;/Author&gt;&lt;Year&gt;1985&lt;/Year&gt;&lt;RecNum&gt;148&lt;/RecNum&gt;&lt;Pages&gt;308&lt;/Pages&gt;&lt;DisplayText&gt;Lincoln and Guba (1985, p. 308)&lt;/DisplayText&gt;&lt;record&gt;&lt;rec-number&gt;148&lt;/rec-number&gt;&lt;foreign-keys&gt;&lt;key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94469E" w:rsidRPr="003726FE">
          <w:rPr>
            <w:lang w:val="en-GB"/>
          </w:rPr>
          <w:fldChar w:fldCharType="separate"/>
        </w:r>
        <w:r w:rsidR="0094469E" w:rsidRPr="003726FE">
          <w:rPr>
            <w:noProof/>
            <w:lang w:val="en-GB"/>
          </w:rPr>
          <w:t>Lincoln and Guba (1985, p. 308)</w:t>
        </w:r>
        <w:r w:rsidR="0094469E" w:rsidRPr="003726FE">
          <w:rPr>
            <w:lang w:val="en-GB"/>
          </w:rPr>
          <w:fldChar w:fldCharType="end"/>
        </w:r>
      </w:hyperlink>
      <w:r w:rsidR="00512175" w:rsidRPr="003726FE">
        <w:rPr>
          <w:lang w:val="en-GB"/>
        </w:rPr>
        <w:t xml:space="preserve"> </w:t>
      </w:r>
      <w:r w:rsidR="00A30D11">
        <w:rPr>
          <w:lang w:val="en-GB"/>
        </w:rPr>
        <w:t>describe</w:t>
      </w:r>
      <w:r w:rsidR="00D802DA">
        <w:rPr>
          <w:lang w:val="en-GB"/>
        </w:rPr>
        <w:t>d</w:t>
      </w:r>
      <w:r w:rsidR="00512175" w:rsidRPr="003726FE">
        <w:rPr>
          <w:lang w:val="en-GB"/>
        </w:rPr>
        <w:t xml:space="preserve"> peer debriefing </w:t>
      </w:r>
      <w:r w:rsidR="00A30D11">
        <w:rPr>
          <w:lang w:val="en-GB"/>
        </w:rPr>
        <w:t>a</w:t>
      </w:r>
      <w:r w:rsidR="00512175" w:rsidRPr="003726FE">
        <w:rPr>
          <w:lang w:val="en-GB"/>
        </w:rPr>
        <w:t xml:space="preserve">s “the process of exposing oneself to a disinterested peer in a manner paralleling an analytic session and for the purpose of exploring aspects of the inquiry that might otherwise remain only implicit within the inquirer's mind”. Peer debriefing is a useful way to add credibility to research studies </w:t>
      </w:r>
      <w:r w:rsidR="00512175"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 Weiss 1995; Creswell and Miller 2000)&lt;/DisplayText&gt;&lt;record&gt;&lt;rec-number&gt;148&lt;/rec-number&gt;&lt;foreign-keys&gt;&lt;key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Cite&gt;&lt;Author&gt;Weiss&lt;/Author&gt;&lt;Year&gt;1995&lt;/Year&gt;&lt;RecNum&gt;812&lt;/RecNum&gt;&lt;record&gt;&lt;rec-number&gt;812&lt;/rec-number&gt;&lt;foreign-keys&gt;&lt;key app="EN" db-id="xa2r2ewea92trkef5dt5arvbzafvpv2za5ft" timestamp="1496417596"&gt;812&lt;/key&gt;&lt;/foreign-keys&gt;&lt;ref-type name="Book"&gt;6&lt;/ref-type&gt;&lt;contributors&gt;&lt;authors&gt;&lt;author&gt;Weiss, Robert S&lt;/author&gt;&lt;/authors&gt;&lt;/contributors&gt;&lt;titles&gt;&lt;title&gt;Learning from strangers: The art and method of qualitative interview studies&lt;/title&gt;&lt;/titles&gt;&lt;dates&gt;&lt;year&gt;1995&lt;/year&gt;&lt;/dates&gt;&lt;publisher&gt;Simon and Schuster&lt;/publisher&gt;&lt;isbn&gt;1439106983&lt;/isbn&gt;&lt;urls&gt;&lt;/urls&gt;&lt;/record&gt;&lt;/Cite&gt;&lt;Cite&gt;&lt;Author&gt;Creswell&lt;/Author&gt;&lt;Year&gt;2000&lt;/Year&gt;&lt;RecNum&gt;813&lt;/RecNum&gt;&lt;record&gt;&lt;rec-number&gt;813&lt;/rec-number&gt;&lt;foreign-keys&gt;&lt;key app="EN" db-id="xa2r2ewea92trkef5dt5arvbzafvpv2za5ft" timestamp="1496417596"&gt;813&lt;/key&gt;&lt;/foreign-keys&gt;&lt;ref-type name="Journal Article"&gt;17&lt;/ref-type&gt;&lt;contributors&gt;&lt;authors&gt;&lt;author&gt;Creswell, John W&lt;/author&gt;&lt;author&gt;Miller, Dana L&lt;/author&gt;&lt;/authors&gt;&lt;/contributors&gt;&lt;titles&gt;&lt;title&gt;Determining validity in qualitative inquiry&lt;/title&gt;&lt;secondary-title&gt;Theory into practice&lt;/secondary-title&gt;&lt;/titles&gt;&lt;periodical&gt;&lt;full-title&gt;Theory into practice&lt;/full-title&gt;&lt;/periodical&gt;&lt;pages&gt;124-130&lt;/pages&gt;&lt;volume&gt;39&lt;/volume&gt;&lt;number&gt;3&lt;/number&gt;&lt;dates&gt;&lt;year&gt;2000&lt;/year&gt;&lt;/dates&gt;&lt;isbn&gt;0040-5841&lt;/isbn&gt;&lt;urls&gt;&lt;/urls&gt;&lt;/record&gt;&lt;/Cite&gt;&lt;/EndNote&gt;</w:instrText>
      </w:r>
      <w:r w:rsidR="00512175"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 xml:space="preserve">; </w:t>
      </w:r>
      <w:hyperlink w:anchor="_ENREF_433" w:tooltip="Weiss, 1995 #812" w:history="1">
        <w:r w:rsidR="0094469E" w:rsidRPr="003726FE">
          <w:rPr>
            <w:noProof/>
            <w:lang w:val="en-GB"/>
          </w:rPr>
          <w:t>Weiss 1995</w:t>
        </w:r>
      </w:hyperlink>
      <w:r w:rsidR="004E5A78" w:rsidRPr="003726FE">
        <w:rPr>
          <w:noProof/>
          <w:lang w:val="en-GB"/>
        </w:rPr>
        <w:t xml:space="preserve">; </w:t>
      </w:r>
      <w:hyperlink w:anchor="_ENREF_101" w:tooltip="Creswell, 2000 #813" w:history="1">
        <w:r w:rsidR="0094469E" w:rsidRPr="003726FE">
          <w:rPr>
            <w:noProof/>
            <w:lang w:val="en-GB"/>
          </w:rPr>
          <w:t>Creswell and Miller 2000</w:t>
        </w:r>
      </w:hyperlink>
      <w:r w:rsidR="004E5A78" w:rsidRPr="003726FE">
        <w:rPr>
          <w:noProof/>
          <w:lang w:val="en-GB"/>
        </w:rPr>
        <w:t>)</w:t>
      </w:r>
      <w:r w:rsidR="00512175" w:rsidRPr="003726FE">
        <w:rPr>
          <w:lang w:val="en-GB"/>
        </w:rPr>
        <w:fldChar w:fldCharType="end"/>
      </w:r>
      <w:r w:rsidR="007A4EDA">
        <w:rPr>
          <w:lang w:val="en-GB"/>
        </w:rPr>
        <w:t xml:space="preserve"> as well as in</w:t>
      </w:r>
      <w:r w:rsidR="00512175" w:rsidRPr="003726FE">
        <w:rPr>
          <w:lang w:val="en-GB"/>
        </w:rPr>
        <w:t xml:space="preserve"> address</w:t>
      </w:r>
      <w:r w:rsidR="007A4EDA">
        <w:rPr>
          <w:lang w:val="en-GB"/>
        </w:rPr>
        <w:t>ing</w:t>
      </w:r>
      <w:r w:rsidR="00512175" w:rsidRPr="003726FE">
        <w:rPr>
          <w:lang w:val="en-GB"/>
        </w:rPr>
        <w:t xml:space="preserve"> biases to encourage understanding </w:t>
      </w:r>
      <w:r w:rsidR="00EF281A" w:rsidRPr="003726FE">
        <w:rPr>
          <w:lang w:val="en-GB"/>
        </w:rPr>
        <w:fldChar w:fldCharType="begin"/>
      </w:r>
      <w:r w:rsidR="008B61BE">
        <w:rPr>
          <w:lang w:val="en-GB"/>
        </w:rPr>
        <w:instrText xml:space="preserve"> ADDIN EN.CITE &lt;EndNote&gt;&lt;Cite&gt;&lt;Author&gt;Guba&lt;/Author&gt;&lt;Year&gt;1989&lt;/Year&gt;&lt;RecNum&gt;101&lt;/RecNum&gt;&lt;DisplayText&gt;(Guba and Lincoln 1989)&lt;/DisplayText&gt;&lt;record&gt;&lt;rec-number&gt;101&lt;/rec-number&gt;&lt;foreign-keys&gt;&lt;key app="EN" db-id="xa2r2ewea92trkef5dt5arvbzafvpv2za5ft" timestamp="1442161764"&gt;101&lt;/key&gt;&lt;/foreign-keys&gt;&lt;ref-type name="Book"&gt;6&lt;/ref-type&gt;&lt;contributors&gt;&lt;authors&gt;&lt;author&gt;Guba, Egon G.&lt;/author&gt;&lt;author&gt;Lincoln, Yvonna S.&lt;/author&gt;&lt;/authors&gt;&lt;/contributors&gt;&lt;titles&gt;&lt;title&gt;Fourth generation evaluation&lt;/title&gt;&lt;/titles&gt;&lt;number&gt;Book, Whole&lt;/number&gt;&lt;dates&gt;&lt;year&gt;1989&lt;/year&gt;&lt;/dates&gt;&lt;pub-location&gt;Newbury Park,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73" w:tooltip="Guba, 1989 #101" w:history="1">
        <w:r w:rsidR="0094469E" w:rsidRPr="003726FE">
          <w:rPr>
            <w:noProof/>
            <w:lang w:val="en-GB"/>
          </w:rPr>
          <w:t>Guba and Lincoln 1989</w:t>
        </w:r>
      </w:hyperlink>
      <w:r w:rsidR="004E5A78" w:rsidRPr="003726FE">
        <w:rPr>
          <w:noProof/>
          <w:lang w:val="en-GB"/>
        </w:rPr>
        <w:t>)</w:t>
      </w:r>
      <w:r w:rsidR="00EF281A" w:rsidRPr="003726FE">
        <w:rPr>
          <w:lang w:val="en-GB"/>
        </w:rPr>
        <w:fldChar w:fldCharType="end"/>
      </w:r>
      <w:r w:rsidR="00512175" w:rsidRPr="003726FE">
        <w:rPr>
          <w:lang w:val="en-GB"/>
        </w:rPr>
        <w:t xml:space="preserve"> </w:t>
      </w:r>
      <w:r>
        <w:rPr>
          <w:lang w:val="en-GB"/>
        </w:rPr>
        <w:t>and</w:t>
      </w:r>
      <w:r w:rsidR="00512175" w:rsidRPr="003726FE">
        <w:rPr>
          <w:lang w:val="en-GB"/>
        </w:rPr>
        <w:t xml:space="preserve"> test emerging hypotheses </w:t>
      </w:r>
      <w:r w:rsidR="00EF281A" w:rsidRPr="003726FE">
        <w:rPr>
          <w:lang w:val="en-GB"/>
        </w:rPr>
        <w:fldChar w:fldCharType="begin"/>
      </w:r>
      <w:r w:rsidR="008B61BE">
        <w:rPr>
          <w:lang w:val="en-GB"/>
        </w:rPr>
        <w:instrText xml:space="preserve"> ADDIN EN.CITE &lt;EndNote&gt;&lt;Cite&gt;&lt;Author&gt;Barber&lt;/Author&gt;&lt;Year&gt;2009&lt;/Year&gt;&lt;RecNum&gt;814&lt;/RecNum&gt;&lt;DisplayText&gt;(Barber and Walczak 2009)&lt;/DisplayText&gt;&lt;record&gt;&lt;rec-number&gt;814&lt;/rec-number&gt;&lt;foreign-keys&gt;&lt;key app="EN" db-id="xa2r2ewea92trkef5dt5arvbzafvpv2za5ft" timestamp="1496417596"&gt;814&lt;/key&gt;&lt;/foreign-keys&gt;&lt;ref-type name="Journal Article"&gt;17&lt;/ref-type&gt;&lt;contributors&gt;&lt;authors&gt;&lt;author&gt;Barber, James P&lt;/author&gt;&lt;author&gt;Walczak, Kelley K&lt;/author&gt;&lt;/authors&gt;&lt;/contributors&gt;&lt;titles&gt;&lt;title&gt;Conscience and Critic: Peer Debriefing Strategies in Grounded Theory Re search&lt;/title&gt;&lt;secondary-title&gt;Ann Arbor&lt;/secondary-title&gt;&lt;/titles&gt;&lt;periodical&gt;&lt;full-title&gt;Ann Arbor&lt;/full-title&gt;&lt;/periodical&gt;&lt;pages&gt;48109-1259&lt;/pages&gt;&lt;volume&gt;1001&lt;/volume&gt;&lt;dates&gt;&lt;year&gt;2009&lt;/year&gt;&lt;/dates&gt;&lt;urls&gt;&lt;/urls&gt;&lt;/record&gt;&lt;/Cite&gt;&lt;/EndNote&gt;</w:instrText>
      </w:r>
      <w:r w:rsidR="00EF281A" w:rsidRPr="003726FE">
        <w:rPr>
          <w:lang w:val="en-GB"/>
        </w:rPr>
        <w:fldChar w:fldCharType="separate"/>
      </w:r>
      <w:r w:rsidR="004E5A78" w:rsidRPr="003726FE">
        <w:rPr>
          <w:noProof/>
          <w:lang w:val="en-GB"/>
        </w:rPr>
        <w:t>(</w:t>
      </w:r>
      <w:hyperlink w:anchor="_ENREF_18" w:tooltip="Barber, 2009 #814" w:history="1">
        <w:r w:rsidR="0094469E" w:rsidRPr="003726FE">
          <w:rPr>
            <w:noProof/>
            <w:lang w:val="en-GB"/>
          </w:rPr>
          <w:t>Barber and Walczak 2009</w:t>
        </w:r>
      </w:hyperlink>
      <w:r w:rsidR="004E5A78" w:rsidRPr="003726FE">
        <w:rPr>
          <w:noProof/>
          <w:lang w:val="en-GB"/>
        </w:rPr>
        <w:t>)</w:t>
      </w:r>
      <w:r w:rsidR="00EF281A" w:rsidRPr="003726FE">
        <w:rPr>
          <w:lang w:val="en-GB"/>
        </w:rPr>
        <w:fldChar w:fldCharType="end"/>
      </w:r>
      <w:r>
        <w:rPr>
          <w:lang w:val="en-GB"/>
        </w:rPr>
        <w:t xml:space="preserve">. It is also useful in creating </w:t>
      </w:r>
      <w:r w:rsidR="00512175" w:rsidRPr="003726FE">
        <w:rPr>
          <w:lang w:val="en-GB"/>
        </w:rPr>
        <w:t>collegial support</w:t>
      </w:r>
      <w:r>
        <w:rPr>
          <w:lang w:val="en-GB"/>
        </w:rPr>
        <w:t xml:space="preserve"> networks with</w:t>
      </w:r>
      <w:r w:rsidR="00512175" w:rsidRPr="003726FE">
        <w:rPr>
          <w:lang w:val="en-GB"/>
        </w:rPr>
        <w:t xml:space="preserve"> fellow researchers </w:t>
      </w:r>
      <w:r w:rsidR="00EF281A" w:rsidRPr="003726FE">
        <w:rPr>
          <w:lang w:val="en-GB"/>
        </w:rPr>
        <w:fldChar w:fldCharType="begin"/>
      </w:r>
      <w:r w:rsidR="008B61BE">
        <w:rPr>
          <w:lang w:val="en-GB"/>
        </w:rPr>
        <w:instrText xml:space="preserve"> ADDIN EN.CITE &lt;EndNote&gt;&lt;Cite&gt;&lt;Author&gt;Guba&lt;/Author&gt;&lt;Year&gt;1989&lt;/Year&gt;&lt;RecNum&gt;101&lt;/RecNum&gt;&lt;DisplayText&gt;(Guba and Lincoln 1989)&lt;/DisplayText&gt;&lt;record&gt;&lt;rec-number&gt;101&lt;/rec-number&gt;&lt;foreign-keys&gt;&lt;key app="EN" db-id="xa2r2ewea92trkef5dt5arvbzafvpv2za5ft" timestamp="1442161764"&gt;101&lt;/key&gt;&lt;/foreign-keys&gt;&lt;ref-type name="Book"&gt;6&lt;/ref-type&gt;&lt;contributors&gt;&lt;authors&gt;&lt;author&gt;Guba, Egon G.&lt;/author&gt;&lt;author&gt;Lincoln, Yvonna S.&lt;/author&gt;&lt;/authors&gt;&lt;/contributors&gt;&lt;titles&gt;&lt;title&gt;Fourth generation evaluation&lt;/title&gt;&lt;/titles&gt;&lt;number&gt;Book, Whole&lt;/number&gt;&lt;dates&gt;&lt;year&gt;1989&lt;/year&gt;&lt;/dates&gt;&lt;pub-location&gt;Newbury Park,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73" w:tooltip="Guba, 1989 #101" w:history="1">
        <w:r w:rsidR="0094469E" w:rsidRPr="003726FE">
          <w:rPr>
            <w:noProof/>
            <w:lang w:val="en-GB"/>
          </w:rPr>
          <w:t>Guba and Lincoln 1989</w:t>
        </w:r>
      </w:hyperlink>
      <w:r w:rsidR="004E5A78" w:rsidRPr="003726FE">
        <w:rPr>
          <w:noProof/>
          <w:lang w:val="en-GB"/>
        </w:rPr>
        <w:t>)</w:t>
      </w:r>
      <w:r w:rsidR="00EF281A" w:rsidRPr="003726FE">
        <w:rPr>
          <w:lang w:val="en-GB"/>
        </w:rPr>
        <w:fldChar w:fldCharType="end"/>
      </w:r>
      <w:r w:rsidR="00512175" w:rsidRPr="003726FE">
        <w:rPr>
          <w:lang w:val="en-GB"/>
        </w:rPr>
        <w:t xml:space="preserve">. For this study there was a particular focus </w:t>
      </w:r>
      <w:r>
        <w:rPr>
          <w:lang w:val="en-GB"/>
        </w:rPr>
        <w:t>for</w:t>
      </w:r>
      <w:r w:rsidR="00512175" w:rsidRPr="003726FE">
        <w:rPr>
          <w:lang w:val="en-GB"/>
        </w:rPr>
        <w:t xml:space="preserve"> using peer debriefing to resolve discrepancies in understanding and to authenticate interpretations in the analysis stage </w:t>
      </w:r>
      <w:r w:rsidR="00EF281A" w:rsidRPr="003726FE">
        <w:rPr>
          <w:lang w:val="en-GB"/>
        </w:rPr>
        <w:fldChar w:fldCharType="begin"/>
      </w:r>
      <w:r w:rsidR="008B61BE">
        <w:rPr>
          <w:lang w:val="en-GB"/>
        </w:rPr>
        <w:instrText xml:space="preserve"> ADDIN EN.CITE &lt;EndNote&gt;&lt;Cite&gt;&lt;Author&gt;Greene&lt;/Author&gt;&lt;Year&gt;1994&lt;/Year&gt;&lt;RecNum&gt;815&lt;/RecNum&gt;&lt;DisplayText&gt;(Greene 1994)&lt;/DisplayText&gt;&lt;record&gt;&lt;rec-number&gt;815&lt;/rec-number&gt;&lt;foreign-keys&gt;&lt;key app="EN" db-id="xa2r2ewea92trkef5dt5arvbzafvpv2za5ft" timestamp="1496417596"&gt;815&lt;/key&gt;&lt;/foreign-keys&gt;&lt;ref-type name="Journal Article"&gt;17&lt;/ref-type&gt;&lt;contributors&gt;&lt;authors&gt;&lt;author&gt;Greene, Jennifer C&lt;/author&gt;&lt;/authors&gt;&lt;/contributors&gt;&lt;titles&gt;&lt;title&gt;Qualitative program evaluation&lt;/title&gt;&lt;secondary-title&gt;Handbook of qualitative research&lt;/secondary-title&gt;&lt;/titles&gt;&lt;periodical&gt;&lt;full-title&gt;Handbook of qualitative research&lt;/full-title&gt;&lt;/periodical&gt;&lt;pages&gt;544&lt;/pages&gt;&lt;volume&gt;530&lt;/volume&gt;&lt;dates&gt;&lt;year&gt;1994&lt;/year&gt;&lt;/dates&gt;&lt;urls&gt;&lt;/urls&gt;&lt;/record&gt;&lt;/Cite&gt;&lt;/EndNote&gt;</w:instrText>
      </w:r>
      <w:r w:rsidR="00EF281A" w:rsidRPr="003726FE">
        <w:rPr>
          <w:lang w:val="en-GB"/>
        </w:rPr>
        <w:fldChar w:fldCharType="separate"/>
      </w:r>
      <w:r w:rsidR="004E5A78" w:rsidRPr="003726FE">
        <w:rPr>
          <w:noProof/>
          <w:lang w:val="en-GB"/>
        </w:rPr>
        <w:t>(</w:t>
      </w:r>
      <w:hyperlink w:anchor="_ENREF_168" w:tooltip="Greene, 1994 #815" w:history="1">
        <w:r w:rsidR="0094469E" w:rsidRPr="003726FE">
          <w:rPr>
            <w:noProof/>
            <w:lang w:val="en-GB"/>
          </w:rPr>
          <w:t>Greene 1994</w:t>
        </w:r>
      </w:hyperlink>
      <w:r w:rsidR="004E5A78" w:rsidRPr="003726FE">
        <w:rPr>
          <w:noProof/>
          <w:lang w:val="en-GB"/>
        </w:rPr>
        <w:t>)</w:t>
      </w:r>
      <w:r w:rsidR="00EF281A" w:rsidRPr="003726FE">
        <w:rPr>
          <w:lang w:val="en-GB"/>
        </w:rPr>
        <w:fldChar w:fldCharType="end"/>
      </w:r>
      <w:r w:rsidR="00512175" w:rsidRPr="003726FE">
        <w:rPr>
          <w:lang w:val="en-GB"/>
        </w:rPr>
        <w:t xml:space="preserve">. </w:t>
      </w:r>
    </w:p>
    <w:p w14:paraId="554555D6" w14:textId="77777777" w:rsidR="00512175" w:rsidRPr="003726FE" w:rsidRDefault="00512175" w:rsidP="00026049">
      <w:pPr>
        <w:pStyle w:val="Normal1"/>
        <w:rPr>
          <w:lang w:val="en-GB"/>
        </w:rPr>
      </w:pPr>
    </w:p>
    <w:p w14:paraId="5FFAE262" w14:textId="41EB2B73" w:rsidR="00512175" w:rsidRPr="003726FE" w:rsidRDefault="00512175" w:rsidP="00026049">
      <w:pPr>
        <w:pStyle w:val="Normal1"/>
        <w:rPr>
          <w:lang w:val="en-GB"/>
        </w:rPr>
      </w:pPr>
      <w:r w:rsidRPr="003726FE">
        <w:rPr>
          <w:lang w:val="en-GB"/>
        </w:rPr>
        <w:t xml:space="preserve">There is very little guidance in the literature on the practicalities of employing peer debriefing in qualitative research. </w:t>
      </w:r>
      <w:hyperlink w:anchor="_ENREF_18" w:tooltip="Barber, 2009 #814" w:history="1">
        <w:r w:rsidR="0094469E" w:rsidRPr="003726FE">
          <w:rPr>
            <w:lang w:val="en-GB"/>
          </w:rPr>
          <w:fldChar w:fldCharType="begin"/>
        </w:r>
        <w:r w:rsidR="0094469E">
          <w:rPr>
            <w:lang w:val="en-GB"/>
          </w:rPr>
          <w:instrText xml:space="preserve"> ADDIN EN.CITE &lt;EndNote&gt;&lt;Cite AuthorYear="1"&gt;&lt;Author&gt;Barber&lt;/Author&gt;&lt;Year&gt;2009&lt;/Year&gt;&lt;RecNum&gt;814&lt;/RecNum&gt;&lt;DisplayText&gt;Barber and Walczak (2009)&lt;/DisplayText&gt;&lt;record&gt;&lt;rec-number&gt;814&lt;/rec-number&gt;&lt;foreign-keys&gt;&lt;key app="EN" db-id="xa2r2ewea92trkef5dt5arvbzafvpv2za5ft" timestamp="1496417596"&gt;814&lt;/key&gt;&lt;/foreign-keys&gt;&lt;ref-type name="Journal Article"&gt;17&lt;/ref-type&gt;&lt;contributors&gt;&lt;authors&gt;&lt;author&gt;Barber, James P&lt;/author&gt;&lt;author&gt;Walczak, Kelley K&lt;/author&gt;&lt;/authors&gt;&lt;/contributors&gt;&lt;titles&gt;&lt;title&gt;Conscience and Critic: Peer Debriefing Strategies in Grounded Theory Re search&lt;/title&gt;&lt;secondary-title&gt;Ann Arbor&lt;/secondary-title&gt;&lt;/titles&gt;&lt;periodical&gt;&lt;full-title&gt;Ann Arbor&lt;/full-title&gt;&lt;/periodical&gt;&lt;pages&gt;48109-1259&lt;/pages&gt;&lt;volume&gt;1001&lt;/volume&gt;&lt;dates&gt;&lt;year&gt;2009&lt;/year&gt;&lt;/dates&gt;&lt;urls&gt;&lt;/urls&gt;&lt;/record&gt;&lt;/Cite&gt;&lt;/EndNote&gt;</w:instrText>
        </w:r>
        <w:r w:rsidR="0094469E" w:rsidRPr="003726FE">
          <w:rPr>
            <w:lang w:val="en-GB"/>
          </w:rPr>
          <w:fldChar w:fldCharType="separate"/>
        </w:r>
        <w:r w:rsidR="0094469E" w:rsidRPr="003726FE">
          <w:rPr>
            <w:noProof/>
            <w:lang w:val="en-GB"/>
          </w:rPr>
          <w:t>Barber and Walczak (2009)</w:t>
        </w:r>
        <w:r w:rsidR="0094469E" w:rsidRPr="003726FE">
          <w:rPr>
            <w:lang w:val="en-GB"/>
          </w:rPr>
          <w:fldChar w:fldCharType="end"/>
        </w:r>
      </w:hyperlink>
      <w:r w:rsidRPr="003726FE">
        <w:rPr>
          <w:lang w:val="en-GB"/>
        </w:rPr>
        <w:t xml:space="preserve"> described a detailed example in their own research to fill this gap in understanding</w:t>
      </w:r>
      <w:r w:rsidR="00D47ACF">
        <w:rPr>
          <w:lang w:val="en-GB"/>
        </w:rPr>
        <w:t>,</w:t>
      </w:r>
      <w:r w:rsidRPr="003726FE">
        <w:rPr>
          <w:lang w:val="en-GB"/>
        </w:rPr>
        <w:t xml:space="preserve"> from which this study takes the appropriate procedural considerations from. However, only certain aspects of this process </w:t>
      </w:r>
      <w:r w:rsidR="00D64D7C">
        <w:rPr>
          <w:lang w:val="en-GB"/>
        </w:rPr>
        <w:t xml:space="preserve">were </w:t>
      </w:r>
      <w:r w:rsidRPr="003726FE">
        <w:rPr>
          <w:lang w:val="en-GB"/>
        </w:rPr>
        <w:t xml:space="preserve">applied to this research due to several barriers. </w:t>
      </w:r>
      <w:r w:rsidR="00B7786B" w:rsidRPr="003726FE">
        <w:rPr>
          <w:lang w:val="en-GB"/>
        </w:rPr>
        <w:t>Many of the steps</w:t>
      </w:r>
      <w:r w:rsidRPr="003726FE">
        <w:rPr>
          <w:lang w:val="en-GB"/>
        </w:rPr>
        <w:t xml:space="preserve"> omitted were more akin to inter-rater reliability which was less applicable to this research. The steps </w:t>
      </w:r>
      <w:r w:rsidR="00B7786B" w:rsidRPr="003726FE">
        <w:rPr>
          <w:lang w:val="en-GB"/>
        </w:rPr>
        <w:t>that were</w:t>
      </w:r>
      <w:r w:rsidRPr="003726FE">
        <w:rPr>
          <w:lang w:val="en-GB"/>
        </w:rPr>
        <w:t xml:space="preserve"> incorporate</w:t>
      </w:r>
      <w:r w:rsidR="00B7786B" w:rsidRPr="003726FE">
        <w:rPr>
          <w:lang w:val="en-GB"/>
        </w:rPr>
        <w:t>d</w:t>
      </w:r>
      <w:r w:rsidRPr="003726FE">
        <w:rPr>
          <w:lang w:val="en-GB"/>
        </w:rPr>
        <w:t xml:space="preserve"> were focused on being reflexive and critical about </w:t>
      </w:r>
      <w:r w:rsidR="00B7786B" w:rsidRPr="003726FE">
        <w:rPr>
          <w:lang w:val="en-GB"/>
        </w:rPr>
        <w:t>the</w:t>
      </w:r>
      <w:r w:rsidRPr="003726FE">
        <w:rPr>
          <w:lang w:val="en-GB"/>
        </w:rPr>
        <w:t xml:space="preserve"> interpretations and decisions regarding the research which </w:t>
      </w:r>
      <w:r w:rsidR="00B7786B" w:rsidRPr="003726FE">
        <w:rPr>
          <w:lang w:val="en-GB"/>
        </w:rPr>
        <w:t>were</w:t>
      </w:r>
      <w:r w:rsidRPr="003726FE">
        <w:rPr>
          <w:lang w:val="en-GB"/>
        </w:rPr>
        <w:t xml:space="preserve"> discussed at every debrief opportunity </w:t>
      </w:r>
      <w:r w:rsidRPr="003726FE">
        <w:rPr>
          <w:lang w:val="en-GB"/>
        </w:rPr>
        <w:fldChar w:fldCharType="begin"/>
      </w:r>
      <w:r w:rsidR="008B61BE">
        <w:rPr>
          <w:lang w:val="en-GB"/>
        </w:rPr>
        <w:instrText xml:space="preserve"> ADDIN EN.CITE &lt;EndNote&gt;&lt;Cite&gt;&lt;Author&gt;Guillemin&lt;/Author&gt;&lt;Year&gt;2004&lt;/Year&gt;&lt;RecNum&gt;816&lt;/RecNum&gt;&lt;DisplayText&gt;(Guillemin and Gillam 2004; Barber and Walczak 2009)&lt;/DisplayText&gt;&lt;record&gt;&lt;rec-number&gt;816&lt;/rec-number&gt;&lt;foreign-keys&gt;&lt;key app="EN" db-id="xa2r2ewea92trkef5dt5arvbzafvpv2za5ft" timestamp="1496417596"&gt;816&lt;/key&gt;&lt;/foreign-keys&gt;&lt;ref-type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Cite&gt;&lt;Author&gt;Barber&lt;/Author&gt;&lt;Year&gt;2009&lt;/Year&gt;&lt;RecNum&gt;814&lt;/RecNum&gt;&lt;record&gt;&lt;rec-number&gt;814&lt;/rec-number&gt;&lt;foreign-keys&gt;&lt;key app="EN" db-id="xa2r2ewea92trkef5dt5arvbzafvpv2za5ft" timestamp="1496417596"&gt;814&lt;/key&gt;&lt;/foreign-keys&gt;&lt;ref-type name="Journal Article"&gt;17&lt;/ref-type&gt;&lt;contributors&gt;&lt;authors&gt;&lt;author&gt;Barber, James P&lt;/author&gt;&lt;author&gt;Walczak, Kelley K&lt;/author&gt;&lt;/authors&gt;&lt;/contributors&gt;&lt;titles&gt;&lt;title&gt;Conscience and Critic: Peer Debriefing Strategies in Grounded Theory Re search&lt;/title&gt;&lt;secondary-title&gt;Ann Arbor&lt;/secondary-title&gt;&lt;/titles&gt;&lt;periodical&gt;&lt;full-title&gt;Ann Arbor&lt;/full-title&gt;&lt;/periodical&gt;&lt;pages&gt;48109-1259&lt;/pages&gt;&lt;volume&gt;1001&lt;/volume&gt;&lt;dates&gt;&lt;year&gt;2009&lt;/year&gt;&lt;/dates&gt;&lt;urls&gt;&lt;/urls&gt;&lt;/record&gt;&lt;/Cite&gt;&lt;/EndNote&gt;</w:instrText>
      </w:r>
      <w:r w:rsidRPr="003726FE">
        <w:rPr>
          <w:lang w:val="en-GB"/>
        </w:rPr>
        <w:fldChar w:fldCharType="separate"/>
      </w:r>
      <w:r w:rsidR="004E5A78" w:rsidRPr="003726FE">
        <w:rPr>
          <w:noProof/>
          <w:lang w:val="en-GB"/>
        </w:rPr>
        <w:t>(</w:t>
      </w:r>
      <w:hyperlink w:anchor="_ENREF_176" w:tooltip="Guillemin, 2004 #816" w:history="1">
        <w:r w:rsidR="0094469E" w:rsidRPr="003726FE">
          <w:rPr>
            <w:noProof/>
            <w:lang w:val="en-GB"/>
          </w:rPr>
          <w:t>Guillemin and Gillam 2004</w:t>
        </w:r>
      </w:hyperlink>
      <w:r w:rsidR="004E5A78" w:rsidRPr="003726FE">
        <w:rPr>
          <w:noProof/>
          <w:lang w:val="en-GB"/>
        </w:rPr>
        <w:t xml:space="preserve">; </w:t>
      </w:r>
      <w:hyperlink w:anchor="_ENREF_18" w:tooltip="Barber, 2009 #814" w:history="1">
        <w:r w:rsidR="0094469E" w:rsidRPr="003726FE">
          <w:rPr>
            <w:noProof/>
            <w:lang w:val="en-GB"/>
          </w:rPr>
          <w:t>Barber and Walczak 2009</w:t>
        </w:r>
      </w:hyperlink>
      <w:r w:rsidR="004E5A78" w:rsidRPr="003726FE">
        <w:rPr>
          <w:noProof/>
          <w:lang w:val="en-GB"/>
        </w:rPr>
        <w:t>)</w:t>
      </w:r>
      <w:r w:rsidRPr="003726FE">
        <w:rPr>
          <w:lang w:val="en-GB"/>
        </w:rPr>
        <w:fldChar w:fldCharType="end"/>
      </w:r>
      <w:r w:rsidRPr="003726FE">
        <w:rPr>
          <w:lang w:val="en-GB"/>
        </w:rPr>
        <w:t xml:space="preserve">. </w:t>
      </w:r>
    </w:p>
    <w:p w14:paraId="36CBBC2B" w14:textId="77777777" w:rsidR="00512175" w:rsidRPr="003726FE" w:rsidRDefault="00512175" w:rsidP="00026049">
      <w:pPr>
        <w:pStyle w:val="Normal1"/>
        <w:rPr>
          <w:lang w:val="en-GB"/>
        </w:rPr>
      </w:pPr>
    </w:p>
    <w:p w14:paraId="2AACEDCA" w14:textId="33EE7B00" w:rsidR="00A0607E" w:rsidRDefault="00512175" w:rsidP="00026049">
      <w:pPr>
        <w:pStyle w:val="Normal1"/>
        <w:rPr>
          <w:lang w:val="en-GB"/>
        </w:rPr>
      </w:pPr>
      <w:r w:rsidRPr="003726FE">
        <w:rPr>
          <w:lang w:val="en-GB"/>
        </w:rPr>
        <w:t xml:space="preserve">Throughout the research process peer debriefing was sought from supervisors, experienced colleagues outside of the research area, fellow doctoral students, and peers in the department who provided learning and teaching perspectives. Regular supervisory meetings in the analysis stage focused on multiple areas, </w:t>
      </w:r>
      <w:r w:rsidR="0021662A">
        <w:rPr>
          <w:lang w:val="en-GB"/>
        </w:rPr>
        <w:t>including</w:t>
      </w:r>
      <w:r w:rsidRPr="003726FE">
        <w:rPr>
          <w:lang w:val="en-GB"/>
        </w:rPr>
        <w:t xml:space="preserve"> looking at raw data and challenging emerging thematic structures from coding </w:t>
      </w:r>
      <w:r w:rsidR="00EF281A" w:rsidRPr="003726FE">
        <w:rPr>
          <w:lang w:val="en-GB"/>
        </w:rPr>
        <w:fldChar w:fldCharType="begin"/>
      </w:r>
      <w:r w:rsidR="008B61BE">
        <w:rPr>
          <w:lang w:val="en-GB"/>
        </w:rPr>
        <w:instrText xml:space="preserve"> ADDIN EN.CITE &lt;EndNote&gt;&lt;Cite&gt;&lt;Author&gt;Barber&lt;/Author&gt;&lt;Year&gt;2009&lt;/Year&gt;&lt;RecNum&gt;814&lt;/RecNum&gt;&lt;DisplayText&gt;(Barber and Walczak 2009)&lt;/DisplayText&gt;&lt;record&gt;&lt;rec-number&gt;814&lt;/rec-number&gt;&lt;foreign-keys&gt;&lt;key app="EN" db-id="xa2r2ewea92trkef5dt5arvbzafvpv2za5ft" timestamp="1496417596"&gt;814&lt;/key&gt;&lt;/foreign-keys&gt;&lt;ref-type name="Journal Article"&gt;17&lt;/ref-type&gt;&lt;contributors&gt;&lt;authors&gt;&lt;author&gt;Barber, James P&lt;/author&gt;&lt;author&gt;Walczak, Kelley K&lt;/author&gt;&lt;/authors&gt;&lt;/contributors&gt;&lt;titles&gt;&lt;title&gt;Conscience and Critic: Peer Debriefing Strategies in Grounded Theory Re search&lt;/title&gt;&lt;secondary-title&gt;Ann Arbor&lt;/secondary-title&gt;&lt;/titles&gt;&lt;periodical&gt;&lt;full-title&gt;Ann Arbor&lt;/full-title&gt;&lt;/periodical&gt;&lt;pages&gt;48109-1259&lt;/pages&gt;&lt;volume&gt;1001&lt;/volume&gt;&lt;dates&gt;&lt;year&gt;2009&lt;/year&gt;&lt;/dates&gt;&lt;urls&gt;&lt;/urls&gt;&lt;/record&gt;&lt;/Cite&gt;&lt;/EndNote&gt;</w:instrText>
      </w:r>
      <w:r w:rsidR="00EF281A" w:rsidRPr="003726FE">
        <w:rPr>
          <w:lang w:val="en-GB"/>
        </w:rPr>
        <w:fldChar w:fldCharType="separate"/>
      </w:r>
      <w:r w:rsidR="004E5A78" w:rsidRPr="003726FE">
        <w:rPr>
          <w:noProof/>
          <w:lang w:val="en-GB"/>
        </w:rPr>
        <w:t>(</w:t>
      </w:r>
      <w:hyperlink w:anchor="_ENREF_18" w:tooltip="Barber, 2009 #814" w:history="1">
        <w:r w:rsidR="0094469E" w:rsidRPr="003726FE">
          <w:rPr>
            <w:noProof/>
            <w:lang w:val="en-GB"/>
          </w:rPr>
          <w:t>Barber and Walczak 2009</w:t>
        </w:r>
      </w:hyperlink>
      <w:r w:rsidR="004E5A78" w:rsidRPr="003726FE">
        <w:rPr>
          <w:noProof/>
          <w:lang w:val="en-GB"/>
        </w:rPr>
        <w:t>)</w:t>
      </w:r>
      <w:r w:rsidR="00EF281A" w:rsidRPr="003726FE">
        <w:rPr>
          <w:lang w:val="en-GB"/>
        </w:rPr>
        <w:fldChar w:fldCharType="end"/>
      </w:r>
      <w:r w:rsidRPr="003726FE">
        <w:rPr>
          <w:lang w:val="en-GB"/>
        </w:rPr>
        <w:t xml:space="preserve">. </w:t>
      </w:r>
      <w:r w:rsidR="00A30D11">
        <w:rPr>
          <w:lang w:val="en-GB"/>
        </w:rPr>
        <w:t>S</w:t>
      </w:r>
      <w:r w:rsidRPr="003726FE">
        <w:rPr>
          <w:lang w:val="en-GB"/>
        </w:rPr>
        <w:t>upervisors provided challenging perspectives which benefited from their expert knowledge in the research area</w:t>
      </w:r>
      <w:r w:rsidR="00A30D11">
        <w:rPr>
          <w:lang w:val="en-GB"/>
        </w:rPr>
        <w:t>,</w:t>
      </w:r>
      <w:r w:rsidRPr="003726FE">
        <w:rPr>
          <w:lang w:val="en-GB"/>
        </w:rPr>
        <w:t xml:space="preserve"> which is key for detailed debriefing </w:t>
      </w:r>
      <w:r w:rsidR="00EF281A" w:rsidRPr="003726FE">
        <w:rPr>
          <w:lang w:val="en-GB"/>
        </w:rPr>
        <w:fldChar w:fldCharType="begin"/>
      </w:r>
      <w:r w:rsidR="008B61BE">
        <w:rPr>
          <w:lang w:val="en-GB"/>
        </w:rPr>
        <w:instrText xml:space="preserve"> ADDIN EN.CITE &lt;EndNote&gt;&lt;Cite&gt;&lt;Author&gt;Spillett&lt;/Author&gt;&lt;Year&gt;2003&lt;/Year&gt;&lt;RecNum&gt;817&lt;/RecNum&gt;&lt;DisplayText&gt;(Spillett 2003)&lt;/DisplayText&gt;&lt;record&gt;&lt;rec-number&gt;817&lt;/rec-number&gt;&lt;foreign-keys&gt;&lt;key app="EN" db-id="xa2r2ewea92trkef5dt5arvbzafvpv2za5ft" timestamp="1496417596"&gt;817&lt;/key&gt;&lt;/foreign-keys&gt;&lt;ref-type name="Journal Article"&gt;17&lt;/ref-type&gt;&lt;contributors&gt;&lt;authors&gt;&lt;author&gt;Spillett, Marydee A&lt;/author&gt;&lt;/authors&gt;&lt;/contributors&gt;&lt;titles&gt;&lt;title&gt;Peer debriefing: Who, what, when, why, how&lt;/title&gt;&lt;secondary-title&gt;Academic Exchange Quarterly&lt;/secondary-title&gt;&lt;/titles&gt;&lt;periodical&gt;&lt;full-title&gt;Academic Exchange Quarterly&lt;/full-title&gt;&lt;/periodical&gt;&lt;pages&gt;36&lt;/pages&gt;&lt;volume&gt;7&lt;/volume&gt;&lt;number&gt;3&lt;/number&gt;&lt;dates&gt;&lt;year&gt;2003&lt;/year&gt;&lt;/dates&gt;&lt;isbn&gt;1096-1453&lt;/isbn&gt;&lt;urls&gt;&lt;/urls&gt;&lt;/record&gt;&lt;/Cite&gt;&lt;/EndNote&gt;</w:instrText>
      </w:r>
      <w:r w:rsidR="00EF281A" w:rsidRPr="003726FE">
        <w:rPr>
          <w:lang w:val="en-GB"/>
        </w:rPr>
        <w:fldChar w:fldCharType="separate"/>
      </w:r>
      <w:r w:rsidR="004E5A78" w:rsidRPr="003726FE">
        <w:rPr>
          <w:noProof/>
          <w:lang w:val="en-GB"/>
        </w:rPr>
        <w:t>(</w:t>
      </w:r>
      <w:hyperlink w:anchor="_ENREF_392" w:tooltip="Spillett, 2003 #817" w:history="1">
        <w:r w:rsidR="0094469E" w:rsidRPr="003726FE">
          <w:rPr>
            <w:noProof/>
            <w:lang w:val="en-GB"/>
          </w:rPr>
          <w:t>Spillett 2003</w:t>
        </w:r>
      </w:hyperlink>
      <w:r w:rsidR="004E5A78" w:rsidRPr="003726FE">
        <w:rPr>
          <w:noProof/>
          <w:lang w:val="en-GB"/>
        </w:rPr>
        <w:t>)</w:t>
      </w:r>
      <w:r w:rsidR="00EF281A" w:rsidRPr="003726FE">
        <w:rPr>
          <w:lang w:val="en-GB"/>
        </w:rPr>
        <w:fldChar w:fldCharType="end"/>
      </w:r>
      <w:r w:rsidRPr="003726FE">
        <w:rPr>
          <w:lang w:val="en-GB"/>
        </w:rPr>
        <w:t xml:space="preserve">. Researchers outside of the immediate fieldwork also assisted in the development of interview guides and piloting </w:t>
      </w:r>
      <w:r w:rsidR="00EF281A" w:rsidRPr="003726FE">
        <w:rPr>
          <w:lang w:val="en-GB"/>
        </w:rPr>
        <w:fldChar w:fldCharType="begin"/>
      </w:r>
      <w:r w:rsidR="008B61BE">
        <w:rPr>
          <w:lang w:val="en-GB"/>
        </w:rPr>
        <w:instrText xml:space="preserve"> ADDIN EN.CITE &lt;EndNote&gt;&lt;Cite&gt;&lt;Author&gt;Erlandson&lt;/Author&gt;&lt;Year&gt;1993&lt;/Year&gt;&lt;RecNum&gt;818&lt;/RecNum&gt;&lt;DisplayText&gt;(Erlandson et al. 1993)&lt;/DisplayText&gt;&lt;record&gt;&lt;rec-number&gt;818&lt;/rec-number&gt;&lt;foreign-keys&gt;&lt;key app="EN" db-id="xa2r2ewea92trkef5dt5arvbzafvpv2za5ft" timestamp="1496417596"&gt;818&lt;/key&gt;&lt;/foreign-keys&gt;&lt;ref-type name="Aggregated Database"&gt;55&lt;/ref-type&gt;&lt;contributors&gt;&lt;authors&gt;&lt;author&gt;Erlandson, David A&lt;/author&gt;&lt;author&gt;Harris, Edward L&lt;/author&gt;&lt;author&gt;Skipper, Barbara L&lt;/author&gt;&lt;author&gt;Allen, Steve D&lt;/author&gt;&lt;/authors&gt;&lt;/contributors&gt;&lt;titles&gt;&lt;title&gt;Doing naturalistic inquiry: A guide to methods&lt;/title&gt;&lt;/titles&gt;&lt;dates&gt;&lt;year&gt;1993&lt;/year&gt;&lt;/dates&gt;&lt;publisher&gt;Sage&lt;/publisher&gt;&lt;isbn&gt;0759-1063&lt;/isbn&gt;&lt;urls&gt;&lt;/urls&gt;&lt;/record&gt;&lt;/Cite&gt;&lt;/EndNote&gt;</w:instrText>
      </w:r>
      <w:r w:rsidR="00EF281A" w:rsidRPr="003726FE">
        <w:rPr>
          <w:lang w:val="en-GB"/>
        </w:rPr>
        <w:fldChar w:fldCharType="separate"/>
      </w:r>
      <w:r w:rsidR="004E5A78" w:rsidRPr="003726FE">
        <w:rPr>
          <w:noProof/>
          <w:lang w:val="en-GB"/>
        </w:rPr>
        <w:t>(</w:t>
      </w:r>
      <w:hyperlink w:anchor="_ENREF_141" w:tooltip="Erlandson, 1993 #818" w:history="1">
        <w:r w:rsidR="0094469E" w:rsidRPr="003726FE">
          <w:rPr>
            <w:noProof/>
            <w:lang w:val="en-GB"/>
          </w:rPr>
          <w:t>Erlandson et al. 1993</w:t>
        </w:r>
      </w:hyperlink>
      <w:r w:rsidR="004E5A78" w:rsidRPr="003726FE">
        <w:rPr>
          <w:noProof/>
          <w:lang w:val="en-GB"/>
        </w:rPr>
        <w:t>)</w:t>
      </w:r>
      <w:r w:rsidR="00EF281A" w:rsidRPr="003726FE">
        <w:rPr>
          <w:lang w:val="en-GB"/>
        </w:rPr>
        <w:fldChar w:fldCharType="end"/>
      </w:r>
      <w:r w:rsidRPr="003726FE">
        <w:rPr>
          <w:lang w:val="en-GB"/>
        </w:rPr>
        <w:t xml:space="preserve">. Regular group meetings with </w:t>
      </w:r>
      <w:r w:rsidRPr="003726FE">
        <w:rPr>
          <w:lang w:val="en-GB"/>
        </w:rPr>
        <w:lastRenderedPageBreak/>
        <w:t xml:space="preserve">doctoral students, departmental presentations, and conference presentations provided diverse external perspectives on the </w:t>
      </w:r>
      <w:r w:rsidR="007A4EDA">
        <w:rPr>
          <w:lang w:val="en-GB"/>
        </w:rPr>
        <w:t>initial findings and helped to ‘</w:t>
      </w:r>
      <w:r w:rsidRPr="003726FE">
        <w:rPr>
          <w:lang w:val="en-GB"/>
        </w:rPr>
        <w:t>test-drive</w:t>
      </w:r>
      <w:r w:rsidR="007A4EDA">
        <w:rPr>
          <w:lang w:val="en-GB"/>
        </w:rPr>
        <w:t>’</w:t>
      </w:r>
      <w:r w:rsidRPr="003726FE">
        <w:rPr>
          <w:lang w:val="en-GB"/>
        </w:rPr>
        <w:t xml:space="preserve"> some of the thematic models on medical education practitioners </w:t>
      </w:r>
      <w:r w:rsidR="00EF281A" w:rsidRPr="003726FE">
        <w:rPr>
          <w:lang w:val="en-GB"/>
        </w:rPr>
        <w:fldChar w:fldCharType="begin"/>
      </w:r>
      <w:r w:rsidR="008B61BE">
        <w:rPr>
          <w:lang w:val="en-GB"/>
        </w:rPr>
        <w:instrText xml:space="preserve"> ADDIN EN.CITE &lt;EndNote&gt;&lt;Cite&gt;&lt;Author&gt;Spillett&lt;/Author&gt;&lt;Year&gt;2003&lt;/Year&gt;&lt;RecNum&gt;817&lt;/RecNum&gt;&lt;DisplayText&gt;(Spillett 2003)&lt;/DisplayText&gt;&lt;record&gt;&lt;rec-number&gt;817&lt;/rec-number&gt;&lt;foreign-keys&gt;&lt;key app="EN" db-id="xa2r2ewea92trkef5dt5arvbzafvpv2za5ft" timestamp="1496417596"&gt;817&lt;/key&gt;&lt;/foreign-keys&gt;&lt;ref-type name="Journal Article"&gt;17&lt;/ref-type&gt;&lt;contributors&gt;&lt;authors&gt;&lt;author&gt;Spillett, Marydee A&lt;/author&gt;&lt;/authors&gt;&lt;/contributors&gt;&lt;titles&gt;&lt;title&gt;Peer debriefing: Who, what, when, why, how&lt;/title&gt;&lt;secondary-title&gt;Academic Exchange Quarterly&lt;/secondary-title&gt;&lt;/titles&gt;&lt;periodical&gt;&lt;full-title&gt;Academic Exchange Quarterly&lt;/full-title&gt;&lt;/periodical&gt;&lt;pages&gt;36&lt;/pages&gt;&lt;volume&gt;7&lt;/volume&gt;&lt;number&gt;3&lt;/number&gt;&lt;dates&gt;&lt;year&gt;2003&lt;/year&gt;&lt;/dates&gt;&lt;isbn&gt;1096-1453&lt;/isbn&gt;&lt;urls&gt;&lt;/urls&gt;&lt;/record&gt;&lt;/Cite&gt;&lt;/EndNote&gt;</w:instrText>
      </w:r>
      <w:r w:rsidR="00EF281A" w:rsidRPr="003726FE">
        <w:rPr>
          <w:lang w:val="en-GB"/>
        </w:rPr>
        <w:fldChar w:fldCharType="separate"/>
      </w:r>
      <w:r w:rsidR="004E5A78" w:rsidRPr="003726FE">
        <w:rPr>
          <w:noProof/>
          <w:lang w:val="en-GB"/>
        </w:rPr>
        <w:t>(</w:t>
      </w:r>
      <w:hyperlink w:anchor="_ENREF_392" w:tooltip="Spillett, 2003 #817" w:history="1">
        <w:r w:rsidR="0094469E" w:rsidRPr="003726FE">
          <w:rPr>
            <w:noProof/>
            <w:lang w:val="en-GB"/>
          </w:rPr>
          <w:t>Spillett 2003</w:t>
        </w:r>
      </w:hyperlink>
      <w:r w:rsidR="004E5A78" w:rsidRPr="003726FE">
        <w:rPr>
          <w:noProof/>
          <w:lang w:val="en-GB"/>
        </w:rPr>
        <w:t>)</w:t>
      </w:r>
      <w:r w:rsidR="00EF281A" w:rsidRPr="003726FE">
        <w:rPr>
          <w:lang w:val="en-GB"/>
        </w:rPr>
        <w:fldChar w:fldCharType="end"/>
      </w:r>
      <w:r w:rsidR="00B7786B" w:rsidRPr="003726FE">
        <w:rPr>
          <w:lang w:val="en-GB"/>
        </w:rPr>
        <w:t>.</w:t>
      </w:r>
      <w:r w:rsidR="00B0564B">
        <w:rPr>
          <w:lang w:val="en-GB"/>
        </w:rPr>
        <w:t xml:space="preserve"> Select examples are included in Appendix 30.</w:t>
      </w:r>
    </w:p>
    <w:p w14:paraId="1BDAEB2C" w14:textId="77777777" w:rsidR="007A4EDA" w:rsidRPr="003726FE" w:rsidRDefault="007A4EDA" w:rsidP="00026049">
      <w:pPr>
        <w:pStyle w:val="Normal1"/>
        <w:rPr>
          <w:lang w:val="en-GB"/>
        </w:rPr>
      </w:pPr>
    </w:p>
    <w:p w14:paraId="12318D20" w14:textId="0A4A24D9" w:rsidR="006D5DC5" w:rsidRPr="003726FE" w:rsidRDefault="00E53628" w:rsidP="00BA4521">
      <w:pPr>
        <w:pStyle w:val="Heading3"/>
      </w:pPr>
      <w:bookmarkStart w:id="213" w:name="_Toc500319357"/>
      <w:r w:rsidRPr="003726FE">
        <w:t>A3.8</w:t>
      </w:r>
      <w:r w:rsidR="00A0607E" w:rsidRPr="003726FE">
        <w:t>.4</w:t>
      </w:r>
      <w:r w:rsidR="00B04B4E" w:rsidRPr="003726FE">
        <w:t xml:space="preserve"> Triangulation</w:t>
      </w:r>
      <w:bookmarkEnd w:id="213"/>
    </w:p>
    <w:p w14:paraId="11FFCDFC" w14:textId="77777777" w:rsidR="006D5DC5" w:rsidRPr="003726FE" w:rsidRDefault="006D5DC5" w:rsidP="00026049">
      <w:pPr>
        <w:pStyle w:val="Normal1"/>
        <w:rPr>
          <w:lang w:val="en-GB"/>
        </w:rPr>
      </w:pPr>
    </w:p>
    <w:p w14:paraId="08D16287" w14:textId="6F1906FF" w:rsidR="00512175" w:rsidRPr="003726FE" w:rsidRDefault="00512175" w:rsidP="00026049">
      <w:pPr>
        <w:pStyle w:val="Normal1"/>
        <w:rPr>
          <w:lang w:val="en-GB"/>
        </w:rPr>
      </w:pPr>
      <w:r w:rsidRPr="003726FE">
        <w:rPr>
          <w:lang w:val="en-GB"/>
        </w:rPr>
        <w:t xml:space="preserve">Multiple data types and perspectives across different time-points were used in an attempt to achieve triangulation and give a broader and more comprehensive view of SRL and feedback behaviours. </w:t>
      </w:r>
      <w:hyperlink w:anchor="_ENREF_343" w:tooltip="Ritchie, 2003 #819" w:history="1">
        <w:r w:rsidR="0094469E" w:rsidRPr="003726FE">
          <w:rPr>
            <w:lang w:val="en-GB"/>
          </w:rPr>
          <w:fldChar w:fldCharType="begin"/>
        </w:r>
        <w:r w:rsidR="0094469E">
          <w:rPr>
            <w:lang w:val="en-GB"/>
          </w:rPr>
          <w:instrText xml:space="preserve"> ADDIN EN.CITE &lt;EndNote&gt;&lt;Cite AuthorYear="1"&gt;&lt;Author&gt;Ritchie&lt;/Author&gt;&lt;Year&gt;2003&lt;/Year&gt;&lt;RecNum&gt;819&lt;/RecNum&gt;&lt;Pages&gt;43&lt;/Pages&gt;&lt;DisplayText&gt;Ritchie (2003, p. 43)&lt;/DisplayText&gt;&lt;record&gt;&lt;rec-number&gt;819&lt;/rec-number&gt;&lt;foreign-keys&gt;&lt;key app="EN" db-id="xa2r2ewea92trkef5dt5arvbzafvpv2za5ft" timestamp="1496417596"&gt;819&lt;/key&gt;&lt;/foreign-keys&gt;&lt;ref-type name="Journal Article"&gt;17&lt;/ref-type&gt;&lt;contributors&gt;&lt;authors&gt;&lt;author&gt;Ritchie, Jane&lt;/author&gt;&lt;/authors&gt;&lt;/contributors&gt;&lt;titles&gt;&lt;title&gt;The applications of qualitative methods to social research&lt;/title&gt;&lt;secondary-title&gt;Qualitative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researchers&lt;/full-title&gt;&lt;/periodical&gt;&lt;pages&gt;24-46&lt;/pages&gt;&lt;dates&gt;&lt;year&gt;2003&lt;/year&gt;&lt;/dates&gt;&lt;urls&gt;&lt;/urls&gt;&lt;/record&gt;&lt;/Cite&gt;&lt;/EndNote&gt;</w:instrText>
        </w:r>
        <w:r w:rsidR="0094469E" w:rsidRPr="003726FE">
          <w:rPr>
            <w:lang w:val="en-GB"/>
          </w:rPr>
          <w:fldChar w:fldCharType="separate"/>
        </w:r>
        <w:r w:rsidR="0094469E" w:rsidRPr="003726FE">
          <w:rPr>
            <w:noProof/>
            <w:lang w:val="en-GB"/>
          </w:rPr>
          <w:t>Ritchie (2003, p. 43)</w:t>
        </w:r>
        <w:r w:rsidR="0094469E" w:rsidRPr="003726FE">
          <w:rPr>
            <w:lang w:val="en-GB"/>
          </w:rPr>
          <w:fldChar w:fldCharType="end"/>
        </w:r>
      </w:hyperlink>
      <w:r w:rsidRPr="003726FE">
        <w:rPr>
          <w:lang w:val="en-GB"/>
        </w:rPr>
        <w:t xml:space="preserve"> define</w:t>
      </w:r>
      <w:r w:rsidR="00B7786B" w:rsidRPr="003726FE">
        <w:rPr>
          <w:lang w:val="en-GB"/>
        </w:rPr>
        <w:t>d triangulation as</w:t>
      </w:r>
      <w:r w:rsidR="007B2F9B">
        <w:rPr>
          <w:lang w:val="en-GB"/>
        </w:rPr>
        <w:t>:</w:t>
      </w:r>
      <w:r w:rsidRPr="003726FE">
        <w:rPr>
          <w:lang w:val="en-GB"/>
        </w:rPr>
        <w:t xml:space="preserve"> “the use of different methods and sources to check the integrity of, or extend, inferences drawn fr</w:t>
      </w:r>
      <w:r w:rsidR="00B7786B" w:rsidRPr="003726FE">
        <w:rPr>
          <w:lang w:val="en-GB"/>
        </w:rPr>
        <w:t>om the data”</w:t>
      </w:r>
      <w:r w:rsidRPr="003726FE">
        <w:rPr>
          <w:lang w:val="en-GB"/>
        </w:rPr>
        <w:t xml:space="preserve">. From roots in quantitative validity measurement </w:t>
      </w:r>
      <w:r w:rsidR="00EF281A" w:rsidRPr="003726FE">
        <w:rPr>
          <w:lang w:val="en-GB"/>
        </w:rPr>
        <w:fldChar w:fldCharType="begin"/>
      </w:r>
      <w:r w:rsidR="008B61BE">
        <w:rPr>
          <w:lang w:val="en-GB"/>
        </w:rPr>
        <w:instrText xml:space="preserve"> ADDIN EN.CITE &lt;EndNote&gt;&lt;Cite&gt;&lt;Author&gt;Campbell&lt;/Author&gt;&lt;Year&gt;1959&lt;/Year&gt;&lt;RecNum&gt;775&lt;/RecNum&gt;&lt;DisplayText&gt;(Campbell and Fiske 1959)&lt;/DisplayText&gt;&lt;record&gt;&lt;rec-number&gt;775&lt;/rec-number&gt;&lt;foreign-keys&gt;&lt;key app="EN" db-id="xa2r2ewea92trkef5dt5arvbzafvpv2za5ft" timestamp="1496417593"&gt;775&lt;/key&gt;&lt;/foreign-keys&gt;&lt;ref-type name="Journal Article"&gt;17&lt;/ref-type&gt;&lt;contributors&gt;&lt;authors&gt;&lt;author&gt;Campbell, Donald T&lt;/author&gt;&lt;author&gt;Fiske, Donald W&lt;/author&gt;&lt;/authors&gt;&lt;/contributors&gt;&lt;titles&gt;&lt;title&gt;Convergent and discriminant validation by the multitrait-multimethod matrix&lt;/title&gt;&lt;secondary-title&gt;Psychological bulletin&lt;/secondary-title&gt;&lt;/titles&gt;&lt;periodical&gt;&lt;full-title&gt;Psychological bulletin&lt;/full-title&gt;&lt;/periodical&gt;&lt;pages&gt;81&lt;/pages&gt;&lt;volume&gt;56&lt;/volume&gt;&lt;number&gt;2&lt;/number&gt;&lt;dates&gt;&lt;year&gt;1959&lt;/year&gt;&lt;/dates&gt;&lt;isbn&gt;1939-1455&lt;/isbn&gt;&lt;urls&gt;&lt;/urls&gt;&lt;/record&gt;&lt;/Cite&gt;&lt;/EndNote&gt;</w:instrText>
      </w:r>
      <w:r w:rsidR="00EF281A" w:rsidRPr="003726FE">
        <w:rPr>
          <w:lang w:val="en-GB"/>
        </w:rPr>
        <w:fldChar w:fldCharType="separate"/>
      </w:r>
      <w:r w:rsidR="004E5A78" w:rsidRPr="003726FE">
        <w:rPr>
          <w:noProof/>
          <w:lang w:val="en-GB"/>
        </w:rPr>
        <w:t>(</w:t>
      </w:r>
      <w:hyperlink w:anchor="_ENREF_67" w:tooltip="Campbell, 1959 #775" w:history="1">
        <w:r w:rsidR="0094469E" w:rsidRPr="003726FE">
          <w:rPr>
            <w:noProof/>
            <w:lang w:val="en-GB"/>
          </w:rPr>
          <w:t>Campbell and Fiske 1959</w:t>
        </w:r>
      </w:hyperlink>
      <w:r w:rsidR="004E5A78" w:rsidRPr="003726FE">
        <w:rPr>
          <w:noProof/>
          <w:lang w:val="en-GB"/>
        </w:rPr>
        <w:t>)</w:t>
      </w:r>
      <w:r w:rsidR="00EF281A" w:rsidRPr="003726FE">
        <w:rPr>
          <w:lang w:val="en-GB"/>
        </w:rPr>
        <w:fldChar w:fldCharType="end"/>
      </w:r>
      <w:r w:rsidRPr="003726FE">
        <w:rPr>
          <w:lang w:val="en-GB"/>
        </w:rPr>
        <w:t xml:space="preserve"> it has since been established in social research as a way of exploring convergence in qualitative and mixed data </w:t>
      </w:r>
      <w:r w:rsidRPr="003726FE">
        <w:rPr>
          <w:lang w:val="en-GB"/>
        </w:rPr>
        <w:fldChar w:fldCharType="begin"/>
      </w:r>
      <w:r w:rsidR="008B61BE">
        <w:rPr>
          <w:lang w:val="en-GB"/>
        </w:rPr>
        <w:instrText xml:space="preserve"> ADDIN EN.CITE &lt;EndNote&gt;&lt;Cite&gt;&lt;Author&gt;Denzin&lt;/Author&gt;&lt;Year&gt;1973&lt;/Year&gt;&lt;RecNum&gt;820&lt;/RecNum&gt;&lt;DisplayText&gt;(Denzin 1973; Denzin and Lincoln 1994)&lt;/DisplayText&gt;&lt;record&gt;&lt;rec-number&gt;820&lt;/rec-number&gt;&lt;foreign-keys&gt;&lt;key app="EN" db-id="xa2r2ewea92trkef5dt5arvbzafvpv2za5ft" timestamp="1496417596"&gt;820&lt;/key&gt;&lt;/foreign-keys&gt;&lt;ref-type name="Book"&gt;6&lt;/ref-type&gt;&lt;contributors&gt;&lt;authors&gt;&lt;author&gt;Denzin, Norman K&lt;/author&gt;&lt;/authors&gt;&lt;/contributors&gt;&lt;titles&gt;&lt;title&gt;The research act: A theoretical introduction to sociological methods&lt;/title&gt;&lt;/titles&gt;&lt;dates&gt;&lt;year&gt;1973&lt;/year&gt;&lt;/dates&gt;&lt;publisher&gt;Transaction publishers&lt;/publisher&gt;&lt;isbn&gt;0202368599&lt;/isbn&gt;&lt;urls&gt;&lt;/urls&gt;&lt;/record&gt;&lt;/Cite&gt;&lt;Cite&gt;&lt;Author&gt;Denzin&lt;/Author&gt;&lt;Year&gt;1994&lt;/Year&gt;&lt;RecNum&gt;821&lt;/RecNum&gt;&lt;record&gt;&lt;rec-number&gt;821&lt;/rec-number&gt;&lt;foreign-keys&gt;&lt;key app="EN" db-id="xa2r2ewea92trkef5dt5arvbzafvpv2za5ft" timestamp="1496417596"&gt;821&lt;/key&gt;&lt;/foreign-keys&gt;&lt;ref-type name="Book"&gt;6&lt;/ref-type&gt;&lt;contributors&gt;&lt;authors&gt;&lt;author&gt;Denzin, Norman K&lt;/author&gt;&lt;author&gt;Lincoln, Yvonna S&lt;/author&gt;&lt;/authors&gt;&lt;/contributors&gt;&lt;titles&gt;&lt;title&gt;Handbook of qualitative research&lt;/title&gt;&lt;/titles&gt;&lt;dates&gt;&lt;year&gt;1994&lt;/year&gt;&lt;/dates&gt;&lt;publisher&gt;Sage publications, inc&lt;/publisher&gt;&lt;isbn&gt;0803946791&lt;/isbn&gt;&lt;urls&gt;&lt;/urls&gt;&lt;/record&gt;&lt;/Cite&gt;&lt;/EndNote&gt;</w:instrText>
      </w:r>
      <w:r w:rsidRPr="003726FE">
        <w:rPr>
          <w:lang w:val="en-GB"/>
        </w:rPr>
        <w:fldChar w:fldCharType="separate"/>
      </w:r>
      <w:r w:rsidR="004E5A78" w:rsidRPr="003726FE">
        <w:rPr>
          <w:noProof/>
          <w:lang w:val="en-GB"/>
        </w:rPr>
        <w:t>(</w:t>
      </w:r>
      <w:hyperlink w:anchor="_ENREF_116" w:tooltip="Denzin, 1973 #820" w:history="1">
        <w:r w:rsidR="0094469E" w:rsidRPr="003726FE">
          <w:rPr>
            <w:noProof/>
            <w:lang w:val="en-GB"/>
          </w:rPr>
          <w:t>Denzin 1973</w:t>
        </w:r>
      </w:hyperlink>
      <w:r w:rsidR="004E5A78" w:rsidRPr="003726FE">
        <w:rPr>
          <w:noProof/>
          <w:lang w:val="en-GB"/>
        </w:rPr>
        <w:t xml:space="preserve">; </w:t>
      </w:r>
      <w:hyperlink w:anchor="_ENREF_118" w:tooltip="Denzin, 1994 #821" w:history="1">
        <w:r w:rsidR="0094469E" w:rsidRPr="003726FE">
          <w:rPr>
            <w:noProof/>
            <w:lang w:val="en-GB"/>
          </w:rPr>
          <w:t>Denzin and Lincoln 1994</w:t>
        </w:r>
      </w:hyperlink>
      <w:r w:rsidR="004E5A78" w:rsidRPr="003726FE">
        <w:rPr>
          <w:noProof/>
          <w:lang w:val="en-GB"/>
        </w:rPr>
        <w:t>)</w:t>
      </w:r>
      <w:r w:rsidRPr="003726FE">
        <w:rPr>
          <w:lang w:val="en-GB"/>
        </w:rPr>
        <w:fldChar w:fldCharType="end"/>
      </w:r>
      <w:r w:rsidRPr="003726FE">
        <w:rPr>
          <w:lang w:val="en-GB"/>
        </w:rPr>
        <w:t xml:space="preserve">. It has been associated with rigour in medical education research in response to criticisms of using single method studies which do not take into account multiple perspectives, but this view is often challenged </w:t>
      </w:r>
      <w:r w:rsidR="00EF281A" w:rsidRPr="003726FE">
        <w:rPr>
          <w:lang w:val="en-GB"/>
        </w:rPr>
        <w:fldChar w:fldCharType="begin"/>
      </w:r>
      <w:r w:rsidR="008B61BE">
        <w:rPr>
          <w:lang w:val="en-GB"/>
        </w:rPr>
        <w:instrText xml:space="preserve"> ADDIN EN.CITE &lt;EndNote&gt;&lt;Cite&gt;&lt;Author&gt;Varpio&lt;/Author&gt;&lt;Year&gt;2017&lt;/Year&gt;&lt;RecNum&gt;822&lt;/RecNum&gt;&lt;DisplayText&gt;(Varpio et al. 2017)&lt;/DisplayText&gt;&lt;record&gt;&lt;rec-number&gt;822&lt;/rec-number&gt;&lt;foreign-keys&gt;&lt;key app="EN" db-id="xa2r2ewea92trkef5dt5arvbzafvpv2za5ft" timestamp="1496417596"&gt;822&lt;/key&gt;&lt;/foreign-keys&gt;&lt;ref-type name="Journal Article"&gt;17&lt;/ref-type&gt;&lt;contributors&gt;&lt;authors&gt;&lt;author&gt;Varpio, Lara&lt;/author&gt;&lt;author&gt;Ajjawi, Rola&lt;/author&gt;&lt;author&gt;Monrouxe, Lynn V&lt;/author&gt;&lt;author&gt;O&amp;apos;brien, Bridget C&lt;/author&gt;&lt;author&gt;Rees, Charlotte E&lt;/author&gt;&lt;/authors&gt;&lt;/contributors&gt;&lt;titles&gt;&lt;title&gt;Shedding the cobra effect: problematising thematic emergence, triangulation, saturation and member checking&lt;/title&gt;&lt;secondary-title&gt;Medical Education&lt;/secondary-title&gt;&lt;/titles&gt;&lt;periodical&gt;&lt;full-title&gt;Medical education&lt;/full-title&gt;&lt;/periodical&gt;&lt;pages&gt;40-50&lt;/pages&gt;&lt;volume&gt;51&lt;/volume&gt;&lt;number&gt;1&lt;/number&gt;&lt;dates&gt;&lt;year&gt;2017&lt;/year&gt;&lt;/dates&gt;&lt;isbn&gt;1365-2923&lt;/isbn&gt;&lt;urls&gt;&lt;/urls&gt;&lt;/record&gt;&lt;/Cite&gt;&lt;/EndNote&gt;</w:instrText>
      </w:r>
      <w:r w:rsidR="00EF281A" w:rsidRPr="003726FE">
        <w:rPr>
          <w:lang w:val="en-GB"/>
        </w:rPr>
        <w:fldChar w:fldCharType="separate"/>
      </w:r>
      <w:r w:rsidR="004E5A78" w:rsidRPr="003726FE">
        <w:rPr>
          <w:noProof/>
          <w:lang w:val="en-GB"/>
        </w:rPr>
        <w:t>(</w:t>
      </w:r>
      <w:hyperlink w:anchor="_ENREF_420" w:tooltip="Varpio, 2017 #822" w:history="1">
        <w:r w:rsidR="0094469E" w:rsidRPr="003726FE">
          <w:rPr>
            <w:noProof/>
            <w:lang w:val="en-GB"/>
          </w:rPr>
          <w:t>Varpio et al. 2017</w:t>
        </w:r>
      </w:hyperlink>
      <w:r w:rsidR="004E5A78" w:rsidRPr="003726FE">
        <w:rPr>
          <w:noProof/>
          <w:lang w:val="en-GB"/>
        </w:rPr>
        <w:t>)</w:t>
      </w:r>
      <w:r w:rsidR="00EF281A" w:rsidRPr="003726FE">
        <w:rPr>
          <w:lang w:val="en-GB"/>
        </w:rPr>
        <w:fldChar w:fldCharType="end"/>
      </w:r>
      <w:r w:rsidRPr="003726FE">
        <w:rPr>
          <w:lang w:val="en-GB"/>
        </w:rPr>
        <w:t xml:space="preserve">. From a methodological perspective, mixed methods research is aligned with the concept of triangulation in that different modes of data collection are conducted  to claim that findings are more valid </w:t>
      </w:r>
      <w:r w:rsidR="00EF281A" w:rsidRPr="003726FE">
        <w:rPr>
          <w:lang w:val="en-GB"/>
        </w:rPr>
        <w:fldChar w:fldCharType="begin"/>
      </w:r>
      <w:r w:rsidR="008B61BE">
        <w:rPr>
          <w:lang w:val="en-GB"/>
        </w:rPr>
        <w:instrText xml:space="preserve"> ADDIN EN.CITE &lt;EndNote&gt;&lt;Cite&gt;&lt;Author&gt;Webb&lt;/Author&gt;&lt;Year&gt;1966&lt;/Year&gt;&lt;RecNum&gt;263&lt;/RecNum&gt;&lt;DisplayText&gt;(Webb et al. 1966)&lt;/DisplayText&gt;&lt;record&gt;&lt;rec-number&gt;263&lt;/rec-number&gt;&lt;foreign-keys&gt;&lt;key app="EN" db-id="xa2r2ewea92trkef5dt5arvbzafvpv2za5ft" timestamp="1442161766"&gt;263&lt;/key&gt;&lt;/foreign-keys&gt;&lt;ref-type name="Book"&gt;6&lt;/ref-type&gt;&lt;contributors&gt;&lt;authors&gt;&lt;author&gt;Webb, Eugene J.&lt;/author&gt;&lt;author&gt;Campbell, Donald Thomas&lt;/author&gt;&lt;author&gt;Schwartz, Richard D.&lt;/author&gt;&lt;author&gt;Sechrest, Lee&lt;/author&gt;&lt;/authors&gt;&lt;/contributors&gt;&lt;titles&gt;&lt;title&gt;Unobtrusive measures: Nonreactive research in the social sciences&lt;/title&gt;&lt;/titles&gt;&lt;volume&gt;111&lt;/volume&gt;&lt;number&gt;Book, Whole&lt;/number&gt;&lt;dates&gt;&lt;year&gt;1966&lt;/year&gt;&lt;/dates&gt;&lt;publisher&gt;Rand McNally Chicago&lt;/publisher&gt;&lt;urls&gt;&lt;/urls&gt;&lt;/record&gt;&lt;/Cite&gt;&lt;/EndNote&gt;</w:instrText>
      </w:r>
      <w:r w:rsidR="00EF281A" w:rsidRPr="003726FE">
        <w:rPr>
          <w:lang w:val="en-GB"/>
        </w:rPr>
        <w:fldChar w:fldCharType="separate"/>
      </w:r>
      <w:r w:rsidR="004E5A78" w:rsidRPr="003726FE">
        <w:rPr>
          <w:noProof/>
          <w:lang w:val="en-GB"/>
        </w:rPr>
        <w:t>(</w:t>
      </w:r>
      <w:hyperlink w:anchor="_ENREF_431" w:tooltip="Webb, 1966 #263" w:history="1">
        <w:r w:rsidR="0094469E" w:rsidRPr="003726FE">
          <w:rPr>
            <w:noProof/>
            <w:lang w:val="en-GB"/>
          </w:rPr>
          <w:t>Webb et al. 1966</w:t>
        </w:r>
      </w:hyperlink>
      <w:r w:rsidR="004E5A78" w:rsidRPr="003726FE">
        <w:rPr>
          <w:noProof/>
          <w:lang w:val="en-GB"/>
        </w:rPr>
        <w:t>)</w:t>
      </w:r>
      <w:r w:rsidR="00EF281A" w:rsidRPr="003726FE">
        <w:rPr>
          <w:lang w:val="en-GB"/>
        </w:rPr>
        <w:fldChar w:fldCharType="end"/>
      </w:r>
      <w:r w:rsidRPr="003726FE">
        <w:rPr>
          <w:lang w:val="en-GB"/>
        </w:rPr>
        <w:t xml:space="preserve">, but this claim has been contested as too superficial </w:t>
      </w:r>
      <w:r w:rsidR="00EF281A" w:rsidRPr="003726FE">
        <w:rPr>
          <w:lang w:val="en-GB"/>
        </w:rPr>
        <w:fldChar w:fldCharType="begin"/>
      </w:r>
      <w:r w:rsidR="008B61BE">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243" w:tooltip="Lincoln, 1985 #148" w:history="1">
        <w:r w:rsidR="0094469E" w:rsidRPr="003726FE">
          <w:rPr>
            <w:noProof/>
            <w:lang w:val="en-GB"/>
          </w:rPr>
          <w:t>Lincoln and Guba 1985</w:t>
        </w:r>
      </w:hyperlink>
      <w:r w:rsidR="004E5A78" w:rsidRPr="003726FE">
        <w:rPr>
          <w:noProof/>
          <w:lang w:val="en-GB"/>
        </w:rPr>
        <w:t>)</w:t>
      </w:r>
      <w:r w:rsidR="00EF281A" w:rsidRPr="003726FE">
        <w:rPr>
          <w:lang w:val="en-GB"/>
        </w:rPr>
        <w:fldChar w:fldCharType="end"/>
      </w:r>
      <w:r w:rsidRPr="003726FE">
        <w:rPr>
          <w:lang w:val="en-GB"/>
        </w:rPr>
        <w:t xml:space="preserve">. In this research, triangulation is viewed as an epistemological claim </w:t>
      </w:r>
      <w:r w:rsidR="00EF281A" w:rsidRPr="003726FE">
        <w:rPr>
          <w:lang w:val="en-GB"/>
        </w:rPr>
        <w:fldChar w:fldCharType="begin"/>
      </w:r>
      <w:r w:rsidR="008B61BE">
        <w:rPr>
          <w:lang w:val="en-GB"/>
        </w:rPr>
        <w:instrText xml:space="preserve"> ADDIN EN.CITE &lt;EndNote&gt;&lt;Cite&gt;&lt;Author&gt;Moran-Ellis&lt;/Author&gt;&lt;Year&gt;2006&lt;/Year&gt;&lt;RecNum&gt;823&lt;/RecNum&gt;&lt;DisplayText&gt;(Moran-Ellis et al. 2006)&lt;/DisplayText&gt;&lt;record&gt;&lt;rec-number&gt;823&lt;/rec-number&gt;&lt;foreign-keys&gt;&lt;key app="EN" db-id="xa2r2ewea92trkef5dt5arvbzafvpv2za5ft" timestamp="1496417597"&gt;823&lt;/key&gt;&lt;/foreign-keys&gt;&lt;ref-type name="Journal Article"&gt;17&lt;/ref-type&gt;&lt;contributors&gt;&lt;authors&gt;&lt;author&gt;Moran-Ellis, Jo&lt;/author&gt;&lt;author&gt;Alexander, Victoria D&lt;/author&gt;&lt;author&gt;Cronin, Ann&lt;/author&gt;&lt;author&gt;Dickinson, Mary&lt;/author&gt;&lt;author&gt;Fielding, Jane&lt;/author&gt;&lt;author&gt;Sleney, Judith&lt;/author&gt;&lt;author&gt;Thomas, Hilary&lt;/author&gt;&lt;/authors&gt;&lt;/contributors&gt;&lt;titles&gt;&lt;title&gt;Triangulation and integration: processes, claims and implications&lt;/title&gt;&lt;secondary-title&gt;Qualitative research&lt;/secondary-title&gt;&lt;/titles&gt;&lt;periodical&gt;&lt;full-title&gt;Qualitative Research&lt;/full-title&gt;&lt;/periodical&gt;&lt;pages&gt;45-59&lt;/pages&gt;&lt;volume&gt;6&lt;/volume&gt;&lt;number&gt;1&lt;/number&gt;&lt;dates&gt;&lt;year&gt;2006&lt;/year&gt;&lt;/dates&gt;&lt;isbn&gt;1468-7941&lt;/isbn&gt;&lt;urls&gt;&lt;/urls&gt;&lt;/record&gt;&lt;/Cite&gt;&lt;/EndNote&gt;</w:instrText>
      </w:r>
      <w:r w:rsidR="00EF281A" w:rsidRPr="003726FE">
        <w:rPr>
          <w:lang w:val="en-GB"/>
        </w:rPr>
        <w:fldChar w:fldCharType="separate"/>
      </w:r>
      <w:r w:rsidR="004E5A78" w:rsidRPr="003726FE">
        <w:rPr>
          <w:noProof/>
          <w:lang w:val="en-GB"/>
        </w:rPr>
        <w:t>(</w:t>
      </w:r>
      <w:hyperlink w:anchor="_ENREF_281" w:tooltip="Moran-Ellis, 2006 #823" w:history="1">
        <w:r w:rsidR="0094469E" w:rsidRPr="003726FE">
          <w:rPr>
            <w:noProof/>
            <w:lang w:val="en-GB"/>
          </w:rPr>
          <w:t>Moran-Ellis et al. 2006</w:t>
        </w:r>
      </w:hyperlink>
      <w:r w:rsidR="004E5A78" w:rsidRPr="003726FE">
        <w:rPr>
          <w:noProof/>
          <w:lang w:val="en-GB"/>
        </w:rPr>
        <w:t>)</w:t>
      </w:r>
      <w:r w:rsidR="00EF281A" w:rsidRPr="003726FE">
        <w:rPr>
          <w:lang w:val="en-GB"/>
        </w:rPr>
        <w:fldChar w:fldCharType="end"/>
      </w:r>
      <w:r w:rsidRPr="003726FE">
        <w:rPr>
          <w:lang w:val="en-GB"/>
        </w:rPr>
        <w:t xml:space="preserve"> that can aid in the understanding of phenomena rather than being evidence of validity. It is better described here as an alternative to validi</w:t>
      </w:r>
      <w:r w:rsidR="00B7786B" w:rsidRPr="003726FE">
        <w:rPr>
          <w:lang w:val="en-GB"/>
        </w:rPr>
        <w:t>ty which</w:t>
      </w:r>
      <w:r w:rsidRPr="003726FE">
        <w:rPr>
          <w:lang w:val="en-GB"/>
        </w:rPr>
        <w:t xml:space="preserve"> “increases scope, depth, and consistency in methodological proceedings” </w:t>
      </w:r>
      <w:r w:rsidR="00EF281A" w:rsidRPr="003726FE">
        <w:rPr>
          <w:lang w:val="en-GB"/>
        </w:rPr>
        <w:fldChar w:fldCharType="begin"/>
      </w:r>
      <w:r w:rsidR="008B61BE">
        <w:rPr>
          <w:lang w:val="en-GB"/>
        </w:rPr>
        <w:instrText xml:space="preserve"> ADDIN EN.CITE &lt;EndNote&gt;&lt;Cite&gt;&lt;Author&gt;Flick&lt;/Author&gt;&lt;Year&gt;2009&lt;/Year&gt;&lt;RecNum&gt;82&lt;/RecNum&gt;&lt;Pages&gt;445&lt;/Pages&gt;&lt;DisplayText&gt;(Flick 2009, p. 445)&lt;/DisplayText&gt;&lt;record&gt;&lt;rec-number&gt;82&lt;/rec-number&gt;&lt;foreign-keys&gt;&lt;key app="EN" db-id="xa2r2ewea92trkef5dt5arvbzafvpv2za5ft" timestamp="1442161764"&gt;82&lt;/key&gt;&lt;/foreign-keys&gt;&lt;ref-type name="Book"&gt;6&lt;/ref-type&gt;&lt;contributors&gt;&lt;authors&gt;&lt;author&gt;Flick, Uwe&lt;/author&gt;&lt;/authors&gt;&lt;/contributors&gt;&lt;titles&gt;&lt;title&gt;An introduction to qualitative research&lt;/title&gt;&lt;/titles&gt;&lt;number&gt;Book, Whole&lt;/number&gt;&lt;dates&gt;&lt;year&gt;2009&lt;/year&gt;&lt;/dates&gt;&lt;publisher&gt;Sage&lt;/publisher&gt;&lt;urls&gt;&lt;/urls&gt;&lt;/record&gt;&lt;/Cite&gt;&lt;/EndNote&gt;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50" w:tooltip="Flick, 2009 #82" w:history="1">
        <w:r w:rsidR="0094469E" w:rsidRPr="003726FE">
          <w:rPr>
            <w:noProof/>
            <w:lang w:val="en-GB"/>
          </w:rPr>
          <w:t>Flick 2009, p. 445</w:t>
        </w:r>
      </w:hyperlink>
      <w:r w:rsidR="004E5A78" w:rsidRPr="003726FE">
        <w:rPr>
          <w:noProof/>
          <w:lang w:val="en-GB"/>
        </w:rPr>
        <w:t>)</w:t>
      </w:r>
      <w:r w:rsidR="00EF281A" w:rsidRPr="003726FE">
        <w:rPr>
          <w:lang w:val="en-GB"/>
        </w:rPr>
        <w:fldChar w:fldCharType="end"/>
      </w:r>
      <w:r w:rsidRPr="003726FE">
        <w:rPr>
          <w:lang w:val="en-GB"/>
        </w:rPr>
        <w:t>.</w:t>
      </w:r>
    </w:p>
    <w:p w14:paraId="63BD78DB" w14:textId="77777777" w:rsidR="00512175" w:rsidRPr="003726FE" w:rsidRDefault="00512175" w:rsidP="00026049">
      <w:pPr>
        <w:pStyle w:val="Normal1"/>
        <w:rPr>
          <w:lang w:val="en-GB"/>
        </w:rPr>
      </w:pPr>
    </w:p>
    <w:p w14:paraId="76D26304" w14:textId="6AFE467B" w:rsidR="00512175" w:rsidRPr="003726FE" w:rsidRDefault="00512175" w:rsidP="00026049">
      <w:pPr>
        <w:pStyle w:val="Normal1"/>
        <w:rPr>
          <w:lang w:val="en-GB"/>
        </w:rPr>
      </w:pPr>
      <w:r w:rsidRPr="003726FE">
        <w:rPr>
          <w:lang w:val="en-GB"/>
        </w:rPr>
        <w:t xml:space="preserve">In </w:t>
      </w:r>
      <w:r w:rsidR="00B7786B" w:rsidRPr="003726FE">
        <w:rPr>
          <w:lang w:val="en-GB"/>
        </w:rPr>
        <w:t>this study</w:t>
      </w:r>
      <w:r w:rsidRPr="003726FE">
        <w:rPr>
          <w:lang w:val="en-GB"/>
        </w:rPr>
        <w:t xml:space="preserve">, triangulation </w:t>
      </w:r>
      <w:r w:rsidR="00B7786B" w:rsidRPr="003726FE">
        <w:rPr>
          <w:lang w:val="en-GB"/>
        </w:rPr>
        <w:t>was</w:t>
      </w:r>
      <w:r w:rsidRPr="003726FE">
        <w:rPr>
          <w:lang w:val="en-GB"/>
        </w:rPr>
        <w:t xml:space="preserve"> used to enhance comprehensiveness in the understanding of SRL and feedback behaviours</w:t>
      </w:r>
      <w:r w:rsidR="007B2F9B">
        <w:rPr>
          <w:lang w:val="en-GB"/>
        </w:rPr>
        <w:t xml:space="preserve"> over time</w:t>
      </w:r>
      <w:r w:rsidRPr="003726FE">
        <w:rPr>
          <w:lang w:val="en-GB"/>
        </w:rPr>
        <w:t xml:space="preserve">, not a convergence on one specific fixed event </w:t>
      </w:r>
      <w:r w:rsidR="00EF281A" w:rsidRPr="003726FE">
        <w:rPr>
          <w:lang w:val="en-GB"/>
        </w:rPr>
        <w:fldChar w:fldCharType="begin"/>
      </w:r>
      <w:r w:rsidR="008B61BE">
        <w:rPr>
          <w:lang w:val="en-GB"/>
        </w:rPr>
        <w:instrText xml:space="preserve"> ADDIN EN.CITE &lt;EndNote&gt;&lt;Cite&gt;&lt;Author&gt;Flick&lt;/Author&gt;&lt;Year&gt;2009&lt;/Year&gt;&lt;RecNum&gt;82&lt;/RecNum&gt;&lt;DisplayText&gt;(Flick 2009)&lt;/DisplayText&gt;&lt;record&gt;&lt;rec-number&gt;82&lt;/rec-number&gt;&lt;foreign-keys&gt;&lt;key app="EN" db-id="xa2r2ewea92trkef5dt5arvbzafvpv2za5ft" timestamp="1442161764"&gt;82&lt;/key&gt;&lt;/foreign-keys&gt;&lt;ref-type name="Book"&gt;6&lt;/ref-type&gt;&lt;contributors&gt;&lt;authors&gt;&lt;author&gt;Flick, Uwe&lt;/author&gt;&lt;/authors&gt;&lt;/contributors&gt;&lt;titles&gt;&lt;title&gt;An introduction to qualitative research&lt;/title&gt;&lt;/titles&gt;&lt;number&gt;Book, Whole&lt;/number&gt;&lt;dates&gt;&lt;year&gt;2009&lt;/year&gt;&lt;/dates&gt;&lt;publisher&gt;Sage&lt;/publisher&gt;&lt;urls&gt;&lt;/urls&gt;&lt;/record&gt;&lt;/Cite&gt;&lt;/EndNote&gt;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50" w:tooltip="Flick, 2009 #82" w:history="1">
        <w:r w:rsidR="0094469E" w:rsidRPr="003726FE">
          <w:rPr>
            <w:noProof/>
            <w:lang w:val="en-GB"/>
          </w:rPr>
          <w:t>Flick 2009</w:t>
        </w:r>
      </w:hyperlink>
      <w:r w:rsidR="004E5A78" w:rsidRPr="003726FE">
        <w:rPr>
          <w:noProof/>
          <w:lang w:val="en-GB"/>
        </w:rPr>
        <w:t>)</w:t>
      </w:r>
      <w:r w:rsidR="00EF281A" w:rsidRPr="003726FE">
        <w:rPr>
          <w:lang w:val="en-GB"/>
        </w:rPr>
        <w:fldChar w:fldCharType="end"/>
      </w:r>
      <w:r w:rsidRPr="003726FE">
        <w:rPr>
          <w:lang w:val="en-GB"/>
        </w:rPr>
        <w:t xml:space="preserve">. This approach considers multiple sources of data to capture the complexity and diversity of SRL and feedback behaviours in their different contexts from objective and subjective perspectives. </w:t>
      </w:r>
      <w:hyperlink w:anchor="_ENREF_420" w:tooltip="Varpio, 2017 #822" w:history="1">
        <w:r w:rsidR="0094469E" w:rsidRPr="003726FE">
          <w:rPr>
            <w:lang w:val="en-GB"/>
          </w:rPr>
          <w:fldChar w:fldCharType="begin"/>
        </w:r>
        <w:r w:rsidR="0094469E">
          <w:rPr>
            <w:lang w:val="en-GB"/>
          </w:rPr>
          <w:instrText xml:space="preserve"> ADDIN EN.CITE &lt;EndNote&gt;&lt;Cite AuthorYear="1"&gt;&lt;Author&gt;Varpio&lt;/Author&gt;&lt;Year&gt;2017&lt;/Year&gt;&lt;RecNum&gt;822&lt;/RecNum&gt;&lt;DisplayText&gt;Varpio et al. (2017)&lt;/DisplayText&gt;&lt;record&gt;&lt;rec-number&gt;822&lt;/rec-number&gt;&lt;foreign-keys&gt;&lt;key app="EN" db-id="xa2r2ewea92trkef5dt5arvbzafvpv2za5ft" timestamp="1496417596"&gt;822&lt;/key&gt;&lt;/foreign-keys&gt;&lt;ref-type name="Journal Article"&gt;17&lt;/ref-type&gt;&lt;contributors&gt;&lt;authors&gt;&lt;author&gt;Varpio, Lara&lt;/author&gt;&lt;author&gt;Ajjawi, Rola&lt;/author&gt;&lt;author&gt;Monrouxe, Lynn V&lt;/author&gt;&lt;author&gt;O&amp;apos;brien, Bridget C&lt;/author&gt;&lt;author&gt;Rees, Charlotte E&lt;/author&gt;&lt;/authors&gt;&lt;/contributors&gt;&lt;titles&gt;&lt;title&gt;Shedding the cobra effect: problematising thematic emergence, triangulation, saturation and member checking&lt;/title&gt;&lt;secondary-title&gt;Medical Education&lt;/secondary-title&gt;&lt;/titles&gt;&lt;periodical&gt;&lt;full-title&gt;Medical education&lt;/full-title&gt;&lt;/periodical&gt;&lt;pages&gt;40-50&lt;/pages&gt;&lt;volume&gt;51&lt;/volume&gt;&lt;number&gt;1&lt;/number&gt;&lt;dates&gt;&lt;year&gt;2017&lt;/year&gt;&lt;/dates&gt;&lt;isbn&gt;1365-2923&lt;/isbn&gt;&lt;urls&gt;&lt;/urls&gt;&lt;/record&gt;&lt;/Cite&gt;&lt;/EndNote&gt;</w:instrText>
        </w:r>
        <w:r w:rsidR="0094469E" w:rsidRPr="003726FE">
          <w:rPr>
            <w:lang w:val="en-GB"/>
          </w:rPr>
          <w:fldChar w:fldCharType="separate"/>
        </w:r>
        <w:r w:rsidR="0094469E" w:rsidRPr="003726FE">
          <w:rPr>
            <w:noProof/>
            <w:lang w:val="en-GB"/>
          </w:rPr>
          <w:t>Varpio et al. (2017)</w:t>
        </w:r>
        <w:r w:rsidR="0094469E" w:rsidRPr="003726FE">
          <w:rPr>
            <w:lang w:val="en-GB"/>
          </w:rPr>
          <w:fldChar w:fldCharType="end"/>
        </w:r>
      </w:hyperlink>
      <w:r w:rsidRPr="003726FE">
        <w:rPr>
          <w:lang w:val="en-GB"/>
        </w:rPr>
        <w:t xml:space="preserve"> suggest</w:t>
      </w:r>
      <w:r w:rsidR="007A4EDA">
        <w:rPr>
          <w:lang w:val="en-GB"/>
        </w:rPr>
        <w:t>ed</w:t>
      </w:r>
      <w:r w:rsidRPr="003726FE">
        <w:rPr>
          <w:lang w:val="en-GB"/>
        </w:rPr>
        <w:t xml:space="preserve"> that this type of triangulation relates to the concept of crystallisation </w:t>
      </w:r>
      <w:r w:rsidR="00EF281A" w:rsidRPr="003726FE">
        <w:rPr>
          <w:lang w:val="en-GB"/>
        </w:rPr>
        <w:fldChar w:fldCharType="begin"/>
      </w:r>
      <w:r w:rsidR="008B61BE">
        <w:rPr>
          <w:lang w:val="en-GB"/>
        </w:rPr>
        <w:instrText xml:space="preserve"> ADDIN EN.CITE &lt;EndNote&gt;&lt;Cite&gt;&lt;Author&gt;Richardson&lt;/Author&gt;&lt;Year&gt;2008&lt;/Year&gt;&lt;RecNum&gt;824&lt;/RecNum&gt;&lt;DisplayText&gt;(Richardson and St Pierre 2008)&lt;/DisplayText&gt;&lt;record&gt;&lt;rec-number&gt;824&lt;/rec-number&gt;&lt;foreign-keys&gt;&lt;key app="EN" db-id="xa2r2ewea92trkef5dt5arvbzafvpv2za5ft" timestamp="1496417597"&gt;824&lt;/key&gt;&lt;/foreign-keys&gt;&lt;ref-type name="Journal Article"&gt;17&lt;/ref-type&gt;&lt;contributors&gt;&lt;authors&gt;&lt;author&gt;Richardson, Laurel&lt;/author&gt;&lt;author&gt;St Pierre, Elizabeth&lt;/author&gt;&lt;/authors&gt;&lt;/contributors&gt;&lt;titles&gt;&lt;title&gt;A method of inquiry&lt;/title&gt;&lt;secondary-title&gt;Collecting and interpreting qualitative materials&lt;/secondary-title&gt;&lt;/titles&gt;&lt;periodical&gt;&lt;full-title&gt;Collecting and interpreting qualitative materials&lt;/full-title&gt;&lt;/periodical&gt;&lt;pages&gt;473&lt;/pages&gt;&lt;volume&gt;3&lt;/volume&gt;&lt;number&gt;4&lt;/number&gt;&lt;dates&gt;&lt;year&gt;2008&lt;/year&gt;&lt;/dates&gt;&lt;urls&gt;&lt;/urls&gt;&lt;/record&gt;&lt;/Cite&gt;&lt;/EndNote&gt;</w:instrText>
      </w:r>
      <w:r w:rsidR="00EF281A" w:rsidRPr="003726FE">
        <w:rPr>
          <w:lang w:val="en-GB"/>
        </w:rPr>
        <w:fldChar w:fldCharType="separate"/>
      </w:r>
      <w:r w:rsidR="004E5A78" w:rsidRPr="003726FE">
        <w:rPr>
          <w:noProof/>
          <w:lang w:val="en-GB"/>
        </w:rPr>
        <w:t>(</w:t>
      </w:r>
      <w:hyperlink w:anchor="_ENREF_341" w:tooltip="Richardson, 2008 #824" w:history="1">
        <w:r w:rsidR="0094469E" w:rsidRPr="003726FE">
          <w:rPr>
            <w:noProof/>
            <w:lang w:val="en-GB"/>
          </w:rPr>
          <w:t>Richardson and St Pierre 2008</w:t>
        </w:r>
      </w:hyperlink>
      <w:r w:rsidR="004E5A78" w:rsidRPr="003726FE">
        <w:rPr>
          <w:noProof/>
          <w:lang w:val="en-GB"/>
        </w:rPr>
        <w:t>)</w:t>
      </w:r>
      <w:r w:rsidR="00EF281A" w:rsidRPr="003726FE">
        <w:rPr>
          <w:lang w:val="en-GB"/>
        </w:rPr>
        <w:fldChar w:fldCharType="end"/>
      </w:r>
      <w:r w:rsidR="007B2F9B">
        <w:rPr>
          <w:lang w:val="en-GB"/>
        </w:rPr>
        <w:t>,</w:t>
      </w:r>
      <w:r w:rsidRPr="003726FE">
        <w:rPr>
          <w:lang w:val="en-GB"/>
        </w:rPr>
        <w:t xml:space="preserve"> which promotes a multi-faceted approach to understanding phenomena in research. This form of triangulation reveals more avenues for further research and may seem superficial </w:t>
      </w:r>
      <w:r w:rsidR="00EF281A" w:rsidRPr="003726FE">
        <w:rPr>
          <w:lang w:val="en-GB"/>
        </w:rPr>
        <w:fldChar w:fldCharType="begin"/>
      </w:r>
      <w:r w:rsidR="008B61BE">
        <w:rPr>
          <w:lang w:val="en-GB"/>
        </w:rPr>
        <w:instrText xml:space="preserve"> ADDIN EN.CITE &lt;EndNote&gt;&lt;Cite&gt;&lt;Author&gt;Fielding&lt;/Author&gt;&lt;Year&gt;1986&lt;/Year&gt;&lt;RecNum&gt;911&lt;/RecNum&gt;&lt;DisplayText&gt;(Fielding and Fielding 1986)&lt;/DisplayText&gt;&lt;record&gt;&lt;rec-number&gt;911&lt;/rec-number&gt;&lt;foreign-keys&gt;&lt;key app="EN" db-id="xa2r2ewea92trkef5dt5arvbzafvpv2za5ft" timestamp="1496417605"&gt;911&lt;/key&gt;&lt;key app="ENWeb" db-id=""&gt;0&lt;/key&gt;&lt;/foreign-keys&gt;&lt;ref-type name="Book"&gt;6&lt;/ref-type&gt;&lt;contributors&gt;&lt;authors&gt;&lt;author&gt;Fielding, Nigel G&lt;/author&gt;&lt;author&gt;Fielding, Jane L&lt;/author&gt;&lt;/authors&gt;&lt;/contributors&gt;&lt;titles&gt;&lt;title&gt;Linking data&lt;/title&gt;&lt;/titles&gt;&lt;volume&gt;4&lt;/volume&gt;&lt;dates&gt;&lt;year&gt;1986&lt;/year&gt;&lt;/dates&gt;&lt;publisher&gt;SAGE Publications, Incorporated&lt;/publisher&gt;&lt;isbn&gt;0803925638&lt;/isbn&gt;&lt;urls&gt;&lt;/urls&gt;&lt;/record&gt;&lt;/Cite&gt;&lt;/EndNote&gt;</w:instrText>
      </w:r>
      <w:r w:rsidR="00EF281A" w:rsidRPr="003726FE">
        <w:rPr>
          <w:lang w:val="en-GB"/>
        </w:rPr>
        <w:fldChar w:fldCharType="separate"/>
      </w:r>
      <w:r w:rsidR="004E5A78" w:rsidRPr="003726FE">
        <w:rPr>
          <w:noProof/>
          <w:lang w:val="en-GB"/>
        </w:rPr>
        <w:t>(</w:t>
      </w:r>
      <w:hyperlink w:anchor="_ENREF_147" w:tooltip="Fielding, 1986 #911" w:history="1">
        <w:r w:rsidR="0094469E" w:rsidRPr="003726FE">
          <w:rPr>
            <w:noProof/>
            <w:lang w:val="en-GB"/>
          </w:rPr>
          <w:t>Fielding and Fielding 1986</w:t>
        </w:r>
      </w:hyperlink>
      <w:r w:rsidR="004E5A78" w:rsidRPr="003726FE">
        <w:rPr>
          <w:noProof/>
          <w:lang w:val="en-GB"/>
        </w:rPr>
        <w:t>)</w:t>
      </w:r>
      <w:r w:rsidR="00EF281A" w:rsidRPr="003726FE">
        <w:rPr>
          <w:lang w:val="en-GB"/>
        </w:rPr>
        <w:fldChar w:fldCharType="end"/>
      </w:r>
      <w:r w:rsidRPr="003726FE">
        <w:rPr>
          <w:lang w:val="en-GB"/>
        </w:rPr>
        <w:t xml:space="preserve">, but this is unlikely to reduce the rigour of the present findings considering the subjective nature of the phenomena and the goal of </w:t>
      </w:r>
      <w:r w:rsidRPr="003726FE">
        <w:rPr>
          <w:lang w:val="en-GB"/>
        </w:rPr>
        <w:lastRenderedPageBreak/>
        <w:t xml:space="preserve">further understanding </w:t>
      </w:r>
      <w:r w:rsidR="00EF281A" w:rsidRPr="003726FE">
        <w:rPr>
          <w:lang w:val="en-GB"/>
        </w:rPr>
        <w:fldChar w:fldCharType="begin"/>
      </w:r>
      <w:r w:rsidR="008B61BE">
        <w:rPr>
          <w:lang w:val="en-GB"/>
        </w:rPr>
        <w:instrText xml:space="preserve"> ADDIN EN.CITE &lt;EndNote&gt;&lt;Cite&gt;&lt;Author&gt;Barbour&lt;/Author&gt;&lt;Year&gt;2001&lt;/Year&gt;&lt;RecNum&gt;799&lt;/RecNum&gt;&lt;DisplayText&gt;(Barbour 2001)&lt;/DisplayText&gt;&lt;record&gt;&lt;rec-number&gt;799&lt;/rec-number&gt;&lt;foreign-keys&gt;&lt;key app="EN" db-id="xa2r2ewea92trkef5dt5arvbzafvpv2za5ft" timestamp="1496417595"&gt;799&lt;/key&gt;&lt;/foreign-keys&gt;&lt;ref-type name="Journal Article"&gt;17&lt;/ref-type&gt;&lt;contributors&gt;&lt;authors&gt;&lt;author&gt;Barbour, Rosaline S&lt;/author&gt;&lt;/authors&gt;&lt;/contributors&gt;&lt;titles&gt;&lt;title&gt;Checklists for improving rigour in qualitative research: a case of the tail wagging the dog?&lt;/title&gt;&lt;secondary-title&gt;British Medical Journal&lt;/secondary-title&gt;&lt;/titles&gt;&lt;periodical&gt;&lt;full-title&gt;British Medical Journal&lt;/full-title&gt;&lt;/periodical&gt;&lt;pages&gt;1115&lt;/pages&gt;&lt;volume&gt;322&lt;/volume&gt;&lt;number&gt;7294&lt;/number&gt;&lt;dates&gt;&lt;year&gt;2001&lt;/year&gt;&lt;/dates&gt;&lt;isbn&gt;0959-8138&lt;/isbn&gt;&lt;urls&gt;&lt;/urls&gt;&lt;/record&gt;&lt;/Cite&gt;&lt;/EndNote&gt;</w:instrText>
      </w:r>
      <w:r w:rsidR="00EF281A" w:rsidRPr="003726FE">
        <w:rPr>
          <w:lang w:val="en-GB"/>
        </w:rPr>
        <w:fldChar w:fldCharType="separate"/>
      </w:r>
      <w:r w:rsidR="004E5A78" w:rsidRPr="003726FE">
        <w:rPr>
          <w:noProof/>
          <w:lang w:val="en-GB"/>
        </w:rPr>
        <w:t>(</w:t>
      </w:r>
      <w:hyperlink w:anchor="_ENREF_20" w:tooltip="Barbour, 2001 #799" w:history="1">
        <w:r w:rsidR="0094469E" w:rsidRPr="003726FE">
          <w:rPr>
            <w:noProof/>
            <w:lang w:val="en-GB"/>
          </w:rPr>
          <w:t>Barbour 2001</w:t>
        </w:r>
      </w:hyperlink>
      <w:r w:rsidR="004E5A78" w:rsidRPr="003726FE">
        <w:rPr>
          <w:noProof/>
          <w:lang w:val="en-GB"/>
        </w:rPr>
        <w:t>)</w:t>
      </w:r>
      <w:r w:rsidR="00EF281A" w:rsidRPr="003726FE">
        <w:rPr>
          <w:lang w:val="en-GB"/>
        </w:rPr>
        <w:fldChar w:fldCharType="end"/>
      </w:r>
      <w:r w:rsidRPr="003726FE">
        <w:rPr>
          <w:lang w:val="en-GB"/>
        </w:rPr>
        <w:t xml:space="preserve">. Although justifications of triangulation are outlined in journal articles, the authors often neglect to detail how it </w:t>
      </w:r>
      <w:r w:rsidR="007B2F9B">
        <w:rPr>
          <w:lang w:val="en-GB"/>
        </w:rPr>
        <w:t>is</w:t>
      </w:r>
      <w:r w:rsidRPr="003726FE">
        <w:rPr>
          <w:lang w:val="en-GB"/>
        </w:rPr>
        <w:t xml:space="preserve"> used in practice </w:t>
      </w:r>
      <w:r w:rsidR="00EF281A" w:rsidRPr="003726FE">
        <w:rPr>
          <w:lang w:val="en-GB"/>
        </w:rPr>
        <w:fldChar w:fldCharType="begin"/>
      </w:r>
      <w:r w:rsidR="008B61BE">
        <w:rPr>
          <w:lang w:val="en-GB"/>
        </w:rPr>
        <w:instrText xml:space="preserve"> ADDIN EN.CITE &lt;EndNote&gt;&lt;Cite&gt;&lt;Author&gt;Moran-Ellis&lt;/Author&gt;&lt;Year&gt;2006&lt;/Year&gt;&lt;RecNum&gt;823&lt;/RecNum&gt;&lt;DisplayText&gt;(Moran-Ellis et al. 2006)&lt;/DisplayText&gt;&lt;record&gt;&lt;rec-number&gt;823&lt;/rec-number&gt;&lt;foreign-keys&gt;&lt;key app="EN" db-id="xa2r2ewea92trkef5dt5arvbzafvpv2za5ft" timestamp="1496417597"&gt;823&lt;/key&gt;&lt;/foreign-keys&gt;&lt;ref-type name="Journal Article"&gt;17&lt;/ref-type&gt;&lt;contributors&gt;&lt;authors&gt;&lt;author&gt;Moran-Ellis, Jo&lt;/author&gt;&lt;author&gt;Alexander, Victoria D&lt;/author&gt;&lt;author&gt;Cronin, Ann&lt;/author&gt;&lt;author&gt;Dickinson, Mary&lt;/author&gt;&lt;author&gt;Fielding, Jane&lt;/author&gt;&lt;author&gt;Sleney, Judith&lt;/author&gt;&lt;author&gt;Thomas, Hilary&lt;/author&gt;&lt;/authors&gt;&lt;/contributors&gt;&lt;titles&gt;&lt;title&gt;Triangulation and integration: processes, claims and implications&lt;/title&gt;&lt;secondary-title&gt;Qualitative research&lt;/secondary-title&gt;&lt;/titles&gt;&lt;periodical&gt;&lt;full-title&gt;Qualitative Research&lt;/full-title&gt;&lt;/periodical&gt;&lt;pages&gt;45-59&lt;/pages&gt;&lt;volume&gt;6&lt;/volume&gt;&lt;number&gt;1&lt;/number&gt;&lt;dates&gt;&lt;year&gt;2006&lt;/year&gt;&lt;/dates&gt;&lt;isbn&gt;1468-7941&lt;/isbn&gt;&lt;urls&gt;&lt;/urls&gt;&lt;/record&gt;&lt;/Cite&gt;&lt;/EndNote&gt;</w:instrText>
      </w:r>
      <w:r w:rsidR="00EF281A" w:rsidRPr="003726FE">
        <w:rPr>
          <w:lang w:val="en-GB"/>
        </w:rPr>
        <w:fldChar w:fldCharType="separate"/>
      </w:r>
      <w:r w:rsidR="004E5A78" w:rsidRPr="003726FE">
        <w:rPr>
          <w:noProof/>
          <w:lang w:val="en-GB"/>
        </w:rPr>
        <w:t>(</w:t>
      </w:r>
      <w:hyperlink w:anchor="_ENREF_281" w:tooltip="Moran-Ellis, 2006 #823" w:history="1">
        <w:r w:rsidR="0094469E" w:rsidRPr="003726FE">
          <w:rPr>
            <w:noProof/>
            <w:lang w:val="en-GB"/>
          </w:rPr>
          <w:t>Moran-Ellis et al. 2006</w:t>
        </w:r>
      </w:hyperlink>
      <w:r w:rsidR="004E5A78" w:rsidRPr="003726FE">
        <w:rPr>
          <w:noProof/>
          <w:lang w:val="en-GB"/>
        </w:rPr>
        <w:t>)</w:t>
      </w:r>
      <w:r w:rsidR="00EF281A" w:rsidRPr="003726FE">
        <w:rPr>
          <w:lang w:val="en-GB"/>
        </w:rPr>
        <w:fldChar w:fldCharType="end"/>
      </w:r>
      <w:r w:rsidR="00BC21A0">
        <w:rPr>
          <w:lang w:val="en-GB"/>
        </w:rPr>
        <w:t>.</w:t>
      </w:r>
    </w:p>
    <w:p w14:paraId="002D7B28" w14:textId="77777777" w:rsidR="00512175" w:rsidRPr="003726FE" w:rsidRDefault="00512175" w:rsidP="00026049">
      <w:pPr>
        <w:pStyle w:val="Normal1"/>
        <w:rPr>
          <w:lang w:val="en-GB"/>
        </w:rPr>
      </w:pPr>
    </w:p>
    <w:p w14:paraId="6BDA53D1" w14:textId="276D03E8" w:rsidR="00512175" w:rsidRPr="003726FE" w:rsidRDefault="00512175" w:rsidP="00026049">
      <w:pPr>
        <w:pStyle w:val="Normal1"/>
        <w:rPr>
          <w:lang w:val="en-GB"/>
        </w:rPr>
      </w:pPr>
      <w:r w:rsidRPr="003726FE">
        <w:rPr>
          <w:lang w:val="en-GB"/>
        </w:rPr>
        <w:t xml:space="preserve">Methods triangulation was used in this study to compare data which was collected using both qualitative and quantitative methods </w:t>
      </w:r>
      <w:r w:rsidRPr="003726FE">
        <w:rPr>
          <w:lang w:val="en-GB"/>
        </w:rPr>
        <w:fldChar w:fldCharType="begin"/>
      </w:r>
      <w:r w:rsidR="008B61BE">
        <w:rPr>
          <w:lang w:val="en-GB"/>
        </w:rPr>
        <w:instrText xml:space="preserve"> ADDIN EN.CITE &lt;EndNote&gt;&lt;Cite&gt;&lt;Author&gt;Denzin&lt;/Author&gt;&lt;Year&gt;1973&lt;/Year&gt;&lt;RecNum&gt;820&lt;/RecNum&gt;&lt;DisplayText&gt;(Denzin 1973; Lewis and Ritchie 2003)&lt;/DisplayText&gt;&lt;record&gt;&lt;rec-number&gt;820&lt;/rec-number&gt;&lt;foreign-keys&gt;&lt;key app="EN" db-id="xa2r2ewea92trkef5dt5arvbzafvpv2za5ft" timestamp="1496417596"&gt;820&lt;/key&gt;&lt;/foreign-keys&gt;&lt;ref-type name="Book"&gt;6&lt;/ref-type&gt;&lt;contributors&gt;&lt;authors&gt;&lt;author&gt;Denzin, Norman K&lt;/author&gt;&lt;/authors&gt;&lt;/contributors&gt;&lt;titles&gt;&lt;title&gt;The research act: A theoretical introduction to sociological methods&lt;/title&gt;&lt;/titles&gt;&lt;dates&gt;&lt;year&gt;1973&lt;/year&gt;&lt;/dates&gt;&lt;publisher&gt;Transaction publishers&lt;/publisher&gt;&lt;isbn&gt;0202368599&lt;/isbn&gt;&lt;urls&gt;&lt;/urls&gt;&lt;/record&gt;&lt;/Cite&gt;&lt;Cite&gt;&lt;Author&gt;Lewis&lt;/Author&gt;&lt;Year&gt;2003&lt;/Year&gt;&lt;RecNum&gt;146&lt;/RecNum&gt;&lt;record&gt;&lt;rec-number&gt;146&lt;/rec-number&gt;&lt;foreign-keys&gt;&lt;key app="EN" db-id="xa2r2ewea92trkef5dt5arvbzafvpv2za5ft" timestamp="1442161764"&gt;146&lt;/key&gt;&lt;/foreign-keys&gt;&lt;ref-type name="Journal Article"&gt;17&lt;/ref-type&gt;&lt;contributors&gt;&lt;authors&gt;&lt;author&gt;Lewis, Jane&lt;/author&gt;&lt;author&gt;Ritchie, Jane&lt;/author&gt;&lt;/authors&gt;&lt;/contributors&gt;&lt;titles&gt;&lt;title&gt;Generalising from qualitative research&lt;/title&gt;&lt;secondary-title&gt;Qualitative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researchers&lt;/full-title&gt;&lt;/periodical&gt;&lt;pages&gt;263-286&lt;/pages&gt;&lt;dates&gt;&lt;year&gt;2003&lt;/year&gt;&lt;/dates&gt;&lt;publisher&gt;Sage London, England&lt;/publisher&gt;&lt;urls&gt;&lt;/urls&gt;&lt;/record&gt;&lt;/Cite&gt;&lt;/EndNote&gt;</w:instrText>
      </w:r>
      <w:r w:rsidRPr="003726FE">
        <w:rPr>
          <w:lang w:val="en-GB"/>
        </w:rPr>
        <w:fldChar w:fldCharType="separate"/>
      </w:r>
      <w:r w:rsidR="004E5A78" w:rsidRPr="003726FE">
        <w:rPr>
          <w:noProof/>
          <w:lang w:val="en-GB"/>
        </w:rPr>
        <w:t>(</w:t>
      </w:r>
      <w:hyperlink w:anchor="_ENREF_116" w:tooltip="Denzin, 1973 #820" w:history="1">
        <w:r w:rsidR="0094469E" w:rsidRPr="003726FE">
          <w:rPr>
            <w:noProof/>
            <w:lang w:val="en-GB"/>
          </w:rPr>
          <w:t>Denzin 1973</w:t>
        </w:r>
      </w:hyperlink>
      <w:r w:rsidR="004E5A78" w:rsidRPr="003726FE">
        <w:rPr>
          <w:noProof/>
          <w:lang w:val="en-GB"/>
        </w:rPr>
        <w:t xml:space="preserve">; </w:t>
      </w:r>
      <w:hyperlink w:anchor="_ENREF_242" w:tooltip="Lewis, 2003 #146" w:history="1">
        <w:r w:rsidR="0094469E" w:rsidRPr="003726FE">
          <w:rPr>
            <w:noProof/>
            <w:lang w:val="en-GB"/>
          </w:rPr>
          <w:t>Lewis and Ritchie 2003</w:t>
        </w:r>
      </w:hyperlink>
      <w:r w:rsidR="004E5A78" w:rsidRPr="003726FE">
        <w:rPr>
          <w:noProof/>
          <w:lang w:val="en-GB"/>
        </w:rPr>
        <w:t>)</w:t>
      </w:r>
      <w:r w:rsidRPr="003726FE">
        <w:rPr>
          <w:lang w:val="en-GB"/>
        </w:rPr>
        <w:fldChar w:fldCharType="end"/>
      </w:r>
      <w:r w:rsidRPr="003726FE">
        <w:rPr>
          <w:lang w:val="en-GB"/>
        </w:rPr>
        <w:t xml:space="preserve">. These methods were used in combination, the qualitative exploring the quantitative as in </w:t>
      </w:r>
      <w:hyperlink w:anchor="_ENREF_78" w:tooltip="Clarke, 2003 #825" w:history="1">
        <w:r w:rsidR="0094469E" w:rsidRPr="003726FE">
          <w:rPr>
            <w:lang w:val="en-GB"/>
          </w:rPr>
          <w:fldChar w:fldCharType="begin"/>
        </w:r>
        <w:r w:rsidR="0094469E">
          <w:rPr>
            <w:lang w:val="en-GB"/>
          </w:rPr>
          <w:instrText xml:space="preserve"> ADDIN EN.CITE &lt;EndNote&gt;&lt;Cite AuthorYear="1"&gt;&lt;Author&gt;Clarke&lt;/Author&gt;&lt;Year&gt;2003&lt;/Year&gt;&lt;RecNum&gt;825&lt;/RecNum&gt;&lt;DisplayText&gt;Clarke (2003)&lt;/DisplayText&gt;&lt;record&gt;&lt;rec-number&gt;825&lt;/rec-number&gt;&lt;foreign-keys&gt;&lt;key app="EN" db-id="xa2r2ewea92trkef5dt5arvbzafvpv2za5ft" timestamp="1496417597"&gt;825&lt;/key&gt;&lt;/foreign-keys&gt;&lt;ref-type name="Journal Article"&gt;17&lt;/ref-type&gt;&lt;contributors&gt;&lt;authors&gt;&lt;author&gt;Clarke, Philippa&lt;/author&gt;&lt;/authors&gt;&lt;/contributors&gt;&lt;titles&gt;&lt;title&gt;Towards a greater understanding of the experience of stroke: Integrating quantitative and qualitative methods&lt;/title&gt;&lt;secondary-title&gt;Journal of Aging studies&lt;/secondary-title&gt;&lt;/titles&gt;&lt;periodical&gt;&lt;full-title&gt;Journal of Aging studies&lt;/full-title&gt;&lt;/periodical&gt;&lt;pages&gt;171-187&lt;/pages&gt;&lt;volume&gt;17&lt;/volume&gt;&lt;number&gt;2&lt;/number&gt;&lt;dates&gt;&lt;year&gt;2003&lt;/year&gt;&lt;/dates&gt;&lt;isbn&gt;0890-4065&lt;/isbn&gt;&lt;urls&gt;&lt;/urls&gt;&lt;/record&gt;&lt;/Cite&gt;&lt;/EndNote&gt;</w:instrText>
        </w:r>
        <w:r w:rsidR="0094469E" w:rsidRPr="003726FE">
          <w:rPr>
            <w:lang w:val="en-GB"/>
          </w:rPr>
          <w:fldChar w:fldCharType="separate"/>
        </w:r>
        <w:r w:rsidR="0094469E" w:rsidRPr="003726FE">
          <w:rPr>
            <w:noProof/>
            <w:lang w:val="en-GB"/>
          </w:rPr>
          <w:t>Clarke (2003)</w:t>
        </w:r>
        <w:r w:rsidR="0094469E" w:rsidRPr="003726FE">
          <w:rPr>
            <w:lang w:val="en-GB"/>
          </w:rPr>
          <w:fldChar w:fldCharType="end"/>
        </w:r>
      </w:hyperlink>
      <w:r w:rsidRPr="003726FE">
        <w:rPr>
          <w:lang w:val="en-GB"/>
        </w:rPr>
        <w:t>, as opposed to being integrated simultaneously. The design of this study has purposefully allowed for this form of triangulation</w:t>
      </w:r>
      <w:r w:rsidR="007B2F9B">
        <w:rPr>
          <w:lang w:val="en-GB"/>
        </w:rPr>
        <w:t>,</w:t>
      </w:r>
      <w:r w:rsidRPr="003726FE">
        <w:rPr>
          <w:lang w:val="en-GB"/>
        </w:rPr>
        <w:t xml:space="preserve"> by organising data collections from differently sampled groups using different methods at different times to study the phenomena, as advised by </w:t>
      </w:r>
      <w:hyperlink w:anchor="_ENREF_117" w:tooltip="Denzin, 1989 #62" w:history="1">
        <w:r w:rsidR="0094469E" w:rsidRPr="003726FE">
          <w:rPr>
            <w:lang w:val="en-GB"/>
          </w:rPr>
          <w:fldChar w:fldCharType="begin"/>
        </w:r>
        <w:r w:rsidR="0094469E">
          <w:rPr>
            <w:lang w:val="en-GB"/>
          </w:rPr>
          <w:instrText xml:space="preserve"> ADDIN EN.CITE &lt;EndNote&gt;&lt;Cite AuthorYear="1"&gt;&lt;Author&gt;Denzin&lt;/Author&gt;&lt;Year&gt;1989&lt;/Year&gt;&lt;RecNum&gt;62&lt;/RecNum&gt;&lt;Pages&gt;237-241&lt;/Pages&gt;&lt;DisplayText&gt;Denzin (1989, pp. 237-241)&lt;/DisplayText&gt;&lt;record&gt;&lt;rec-number&gt;62&lt;/rec-number&gt;&lt;foreign-keys&gt;&lt;key app="EN" db-id="xa2r2ewea92trkef5dt5arvbzafvpv2za5ft" timestamp="1442161763"&gt;62&lt;/key&gt;&lt;/foreign-keys&gt;&lt;ref-type name="Book"&gt;6&lt;/ref-type&gt;&lt;contributors&gt;&lt;authors&gt;&lt;author&gt;Denzin, Norman K.&lt;/author&gt;&lt;/authors&gt;&lt;/contributors&gt;&lt;titles&gt;&lt;title&gt;The research act 3rd ed&lt;/title&gt;&lt;/titles&gt;&lt;volume&gt;3rd&lt;/volume&gt;&lt;number&gt;Book, Whole&lt;/number&gt;&lt;dates&gt;&lt;year&gt;1989&lt;/year&gt;&lt;/dates&gt;&lt;pub-location&gt;Englewood Cliffs, NJ&lt;/pub-location&gt;&lt;publisher&gt;Prentice Hall&lt;/publisher&gt;&lt;urls&gt;&lt;/urls&gt;&lt;/record&gt;&lt;/Cite&gt;&lt;/EndNote&gt;</w:instrText>
        </w:r>
        <w:r w:rsidR="0094469E" w:rsidRPr="003726FE">
          <w:rPr>
            <w:lang w:val="en-GB"/>
          </w:rPr>
          <w:fldChar w:fldCharType="separate"/>
        </w:r>
        <w:r w:rsidR="0094469E" w:rsidRPr="003726FE">
          <w:rPr>
            <w:noProof/>
            <w:lang w:val="en-GB"/>
          </w:rPr>
          <w:t>Denzin (1989, pp. 237-241)</w:t>
        </w:r>
        <w:r w:rsidR="0094469E" w:rsidRPr="003726FE">
          <w:rPr>
            <w:lang w:val="en-GB"/>
          </w:rPr>
          <w:fldChar w:fldCharType="end"/>
        </w:r>
      </w:hyperlink>
      <w:r w:rsidRPr="003726FE">
        <w:rPr>
          <w:lang w:val="en-GB"/>
        </w:rPr>
        <w:t xml:space="preserve"> and </w:t>
      </w:r>
      <w:hyperlink w:anchor="_ENREF_150" w:tooltip="Flick, 2009 #82" w:history="1">
        <w:r w:rsidR="0094469E" w:rsidRPr="003726FE">
          <w:rPr>
            <w:lang w:val="en-GB"/>
          </w:rPr>
          <w:fldChar w:fldCharType="begin"/>
        </w:r>
        <w:r w:rsidR="0094469E">
          <w:rPr>
            <w:lang w:val="en-GB"/>
          </w:rPr>
          <w:instrText xml:space="preserve"> ADDIN EN.CITE &lt;EndNote&gt;&lt;Cite AuthorYear="1"&gt;&lt;Author&gt;Flick&lt;/Author&gt;&lt;Year&gt;2009&lt;/Year&gt;&lt;RecNum&gt;82&lt;/RecNum&gt;&lt;Pages&gt;444&lt;/Pages&gt;&lt;DisplayText&gt;Flick (2009, p. 444)&lt;/DisplayText&gt;&lt;record&gt;&lt;rec-number&gt;82&lt;/rec-number&gt;&lt;foreign-keys&gt;&lt;key app="EN" db-id="xa2r2ewea92trkef5dt5arvbzafvpv2za5ft" timestamp="1442161764"&gt;82&lt;/key&gt;&lt;/foreign-keys&gt;&lt;ref-type name="Book"&gt;6&lt;/ref-type&gt;&lt;contributors&gt;&lt;authors&gt;&lt;author&gt;Flick, Uwe&lt;/author&gt;&lt;/authors&gt;&lt;/contributors&gt;&lt;titles&gt;&lt;title&gt;An introduction to qualitative research&lt;/title&gt;&lt;/titles&gt;&lt;number&gt;Book, Whole&lt;/number&gt;&lt;dates&gt;&lt;year&gt;2009&lt;/year&gt;&lt;/dates&gt;&lt;publisher&gt;Sage&lt;/publisher&gt;&lt;urls&gt;&lt;/urls&gt;&lt;/record&gt;&lt;/Cite&gt;&lt;/EndNote&gt;</w:instrText>
        </w:r>
        <w:r w:rsidR="0094469E" w:rsidRPr="003726FE">
          <w:rPr>
            <w:lang w:val="en-GB"/>
          </w:rPr>
          <w:fldChar w:fldCharType="separate"/>
        </w:r>
        <w:r w:rsidR="0094469E" w:rsidRPr="003726FE">
          <w:rPr>
            <w:noProof/>
            <w:lang w:val="en-GB"/>
          </w:rPr>
          <w:t>Flick (2009, p. 444)</w:t>
        </w:r>
        <w:r w:rsidR="0094469E" w:rsidRPr="003726FE">
          <w:rPr>
            <w:lang w:val="en-GB"/>
          </w:rPr>
          <w:fldChar w:fldCharType="end"/>
        </w:r>
      </w:hyperlink>
      <w:r w:rsidRPr="003726FE">
        <w:rPr>
          <w:lang w:val="en-GB"/>
        </w:rPr>
        <w:t xml:space="preserve">. Triangulation in this study </w:t>
      </w:r>
      <w:r w:rsidR="00A25EE0">
        <w:rPr>
          <w:lang w:val="en-GB"/>
        </w:rPr>
        <w:t>was</w:t>
      </w:r>
      <w:r w:rsidRPr="003726FE">
        <w:rPr>
          <w:lang w:val="en-GB"/>
        </w:rPr>
        <w:t xml:space="preserve"> viewed as an epistemological claim</w:t>
      </w:r>
      <w:r w:rsidR="007B2F9B">
        <w:rPr>
          <w:lang w:val="en-GB"/>
        </w:rPr>
        <w:t>.</w:t>
      </w:r>
      <w:r w:rsidRPr="003726FE">
        <w:rPr>
          <w:lang w:val="en-GB"/>
        </w:rPr>
        <w:t xml:space="preserve"> </w:t>
      </w:r>
      <w:r w:rsidR="007B2F9B">
        <w:rPr>
          <w:lang w:val="en-GB"/>
        </w:rPr>
        <w:t>T</w:t>
      </w:r>
      <w:r w:rsidRPr="003726FE">
        <w:rPr>
          <w:lang w:val="en-GB"/>
        </w:rPr>
        <w:t xml:space="preserve">he methods </w:t>
      </w:r>
      <w:r w:rsidR="007B2F9B">
        <w:rPr>
          <w:lang w:val="en-GB"/>
        </w:rPr>
        <w:t xml:space="preserve">however </w:t>
      </w:r>
      <w:r w:rsidR="00A25EE0">
        <w:rPr>
          <w:lang w:val="en-GB"/>
        </w:rPr>
        <w:t>were</w:t>
      </w:r>
      <w:r w:rsidRPr="003726FE">
        <w:rPr>
          <w:lang w:val="en-GB"/>
        </w:rPr>
        <w:t xml:space="preserve"> viewed</w:t>
      </w:r>
      <w:r w:rsidR="007B2F9B">
        <w:rPr>
          <w:lang w:val="en-GB"/>
        </w:rPr>
        <w:t>, using the pragmatic stance,</w:t>
      </w:r>
      <w:r w:rsidRPr="003726FE">
        <w:rPr>
          <w:lang w:val="en-GB"/>
        </w:rPr>
        <w:t xml:space="preserve"> as technical rather than being tied to specific schools of epistemology </w:t>
      </w:r>
      <w:r w:rsidRPr="003726FE">
        <w:rPr>
          <w:lang w:val="en-GB"/>
        </w:rPr>
        <w:fldChar w:fldCharType="begin"/>
      </w:r>
      <w:r w:rsidR="008B61BE">
        <w:rPr>
          <w:lang w:val="en-GB"/>
        </w:rPr>
        <w:instrText xml:space="preserve"> ADDIN EN.CITE &lt;EndNote&gt;&lt;Cite&gt;&lt;Author&gt;Bryman&lt;/Author&gt;&lt;Year&gt;2003&lt;/Year&gt;&lt;RecNum&gt;826&lt;/RecNum&gt;&lt;DisplayText&gt;(Bryman 2003; Tashakkori and Teddlie 2010)&lt;/DisplayText&gt;&lt;record&gt;&lt;rec-number&gt;826&lt;/rec-number&gt;&lt;foreign-keys&gt;&lt;key app="EN" db-id="xa2r2ewea92trkef5dt5arvbzafvpv2za5ft" timestamp="1496417597"&gt;826&lt;/key&gt;&lt;/foreign-keys&gt;&lt;ref-type name="Book"&gt;6&lt;/ref-type&gt;&lt;contributors&gt;&lt;authors&gt;&lt;author&gt;Bryman, Alan&lt;/author&gt;&lt;/authors&gt;&lt;/contributors&gt;&lt;titles&gt;&lt;title&gt;Quantity and quality in social research&lt;/title&gt;&lt;/titles&gt;&lt;dates&gt;&lt;year&gt;2003&lt;/year&gt;&lt;/dates&gt;&lt;publisher&gt;Routledge&lt;/publisher&gt;&lt;isbn&gt;1134897375&lt;/isbn&gt;&lt;urls&gt;&lt;/urls&gt;&lt;/record&gt;&lt;/Cite&gt;&lt;Cite&gt;&lt;Author&gt;Tashakkori&lt;/Author&gt;&lt;Year&gt;2010&lt;/Year&gt;&lt;RecNum&gt;827&lt;/RecNum&gt;&lt;record&gt;&lt;rec-number&gt;827&lt;/rec-number&gt;&lt;foreign-keys&gt;&lt;key app="EN" db-id="xa2r2ewea92trkef5dt5arvbzafvpv2za5ft" timestamp="1496417597"&gt;827&lt;/key&gt;&lt;/foreign-keys&gt;&lt;ref-type name="Book"&gt;6&lt;/ref-type&gt;&lt;contributors&gt;&lt;authors&gt;&lt;author&gt;Tashakkori, Abbas&lt;/author&gt;&lt;author&gt;Teddlie, Charles&lt;/author&gt;&lt;/authors&gt;&lt;/contributors&gt;&lt;titles&gt;&lt;title&gt;Sage handbook of mixed methods in social &amp;amp; behavioral research&lt;/title&gt;&lt;/titles&gt;&lt;dates&gt;&lt;year&gt;2010&lt;/year&gt;&lt;/dates&gt;&lt;publisher&gt;Sage&lt;/publisher&gt;&lt;isbn&gt;1412972663&lt;/isbn&gt;&lt;urls&gt;&lt;/urls&gt;&lt;/record&gt;&lt;/Cite&gt;&lt;/EndNote&gt;</w:instrText>
      </w:r>
      <w:r w:rsidRPr="003726FE">
        <w:rPr>
          <w:lang w:val="en-GB"/>
        </w:rPr>
        <w:fldChar w:fldCharType="separate"/>
      </w:r>
      <w:r w:rsidR="004E5A78" w:rsidRPr="003726FE">
        <w:rPr>
          <w:noProof/>
          <w:lang w:val="en-GB"/>
        </w:rPr>
        <w:t>(</w:t>
      </w:r>
      <w:hyperlink w:anchor="_ENREF_57" w:tooltip="Bryman, 2003 #826" w:history="1">
        <w:r w:rsidR="0094469E" w:rsidRPr="003726FE">
          <w:rPr>
            <w:noProof/>
            <w:lang w:val="en-GB"/>
          </w:rPr>
          <w:t>Bryman 2003</w:t>
        </w:r>
      </w:hyperlink>
      <w:r w:rsidR="004E5A78" w:rsidRPr="003726FE">
        <w:rPr>
          <w:noProof/>
          <w:lang w:val="en-GB"/>
        </w:rPr>
        <w:t xml:space="preserve">; </w:t>
      </w:r>
      <w:hyperlink w:anchor="_ENREF_399" w:tooltip="Tashakkori, 2010 #827" w:history="1">
        <w:r w:rsidR="0094469E" w:rsidRPr="003726FE">
          <w:rPr>
            <w:noProof/>
            <w:lang w:val="en-GB"/>
          </w:rPr>
          <w:t>Tashakkori and Teddlie 2010</w:t>
        </w:r>
      </w:hyperlink>
      <w:r w:rsidR="004E5A78" w:rsidRPr="003726FE">
        <w:rPr>
          <w:noProof/>
          <w:lang w:val="en-GB"/>
        </w:rPr>
        <w:t>)</w:t>
      </w:r>
      <w:r w:rsidRPr="003726FE">
        <w:rPr>
          <w:lang w:val="en-GB"/>
        </w:rPr>
        <w:fldChar w:fldCharType="end"/>
      </w:r>
      <w:r w:rsidRPr="003726FE">
        <w:rPr>
          <w:lang w:val="en-GB"/>
        </w:rPr>
        <w:t xml:space="preserve">. This directly relates to the mixed methods approach used in this study which does not view the qualitative and quantitative paradigms in research as exclusive to the specific methods used, but as tools of a unified inquiry into SRL and feedback behaviours </w:t>
      </w:r>
      <w:r w:rsidR="00EF281A" w:rsidRPr="003726FE">
        <w:rPr>
          <w:lang w:val="en-GB"/>
        </w:rPr>
        <w:fldChar w:fldCharType="begin"/>
      </w:r>
      <w:r w:rsidR="008B61BE">
        <w:rPr>
          <w:lang w:val="en-GB"/>
        </w:rPr>
        <w:instrText xml:space="preserve"> ADDIN EN.CITE &lt;EndNote&gt;&lt;Cite&gt;&lt;Author&gt;Greene&lt;/Author&gt;&lt;Year&gt;1989&lt;/Year&gt;&lt;RecNum&gt;96&lt;/RecNum&gt;&lt;DisplayText&gt;(Greene et al. 1989)&lt;/DisplayText&gt;&lt;record&gt;&lt;rec-number&gt;96&lt;/rec-number&gt;&lt;foreign-keys&gt;&lt;key app="EN" db-id="xa2r2ewea92trkef5dt5arvbzafvpv2za5ft" timestamp="1442161764"&gt;96&lt;/key&gt;&lt;/foreign-keys&gt;&lt;ref-type name="Journal Article"&gt;17&lt;/ref-type&gt;&lt;contributors&gt;&lt;authors&gt;&lt;author&gt;Greene, Jennifer C.&lt;/author&gt;&lt;author&gt;Caracelli, Valerie J.&lt;/author&gt;&lt;author&gt;Graham, Wendy F.&lt;/author&gt;&lt;/authors&gt;&lt;/contributors&gt;&lt;titles&gt;&lt;title&gt;Toward a conceptual framework for mixed-method evaluation designs&lt;/title&gt;&lt;secondary-title&gt;Educational evaluation and policy analysis&lt;/secondary-title&gt;&lt;/titles&gt;&lt;periodical&gt;&lt;full-title&gt;Educational evaluation and policy analysis&lt;/full-title&gt;&lt;/periodical&gt;&lt;pages&gt;255-274&lt;/pages&gt;&lt;volume&gt;11&lt;/volume&gt;&lt;number&gt;3&lt;/number&gt;&lt;dates&gt;&lt;year&gt;1989&lt;/year&gt;&lt;/dates&gt;&lt;publisher&gt;Sage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170" w:tooltip="Greene, 1989 #96" w:history="1">
        <w:r w:rsidR="0094469E" w:rsidRPr="003726FE">
          <w:rPr>
            <w:noProof/>
            <w:lang w:val="en-GB"/>
          </w:rPr>
          <w:t>Greene et al. 1989</w:t>
        </w:r>
      </w:hyperlink>
      <w:r w:rsidR="004E5A78" w:rsidRPr="003726FE">
        <w:rPr>
          <w:noProof/>
          <w:lang w:val="en-GB"/>
        </w:rPr>
        <w:t>)</w:t>
      </w:r>
      <w:r w:rsidR="00EF281A" w:rsidRPr="003726FE">
        <w:rPr>
          <w:lang w:val="en-GB"/>
        </w:rPr>
        <w:fldChar w:fldCharType="end"/>
      </w:r>
      <w:r w:rsidRPr="003726FE">
        <w:rPr>
          <w:lang w:val="en-GB"/>
        </w:rPr>
        <w:t>.</w:t>
      </w:r>
    </w:p>
    <w:p w14:paraId="31CE722A" w14:textId="77777777" w:rsidR="00512175" w:rsidRPr="003726FE" w:rsidRDefault="00512175" w:rsidP="00026049">
      <w:pPr>
        <w:pStyle w:val="Normal1"/>
        <w:rPr>
          <w:lang w:val="en-GB"/>
        </w:rPr>
      </w:pPr>
    </w:p>
    <w:p w14:paraId="57FE7313" w14:textId="1D181C12" w:rsidR="00512175" w:rsidRPr="003726FE" w:rsidRDefault="00512175" w:rsidP="00026049">
      <w:pPr>
        <w:pStyle w:val="Normal1"/>
        <w:rPr>
          <w:lang w:val="en-GB"/>
        </w:rPr>
      </w:pPr>
      <w:r w:rsidRPr="003726FE">
        <w:rPr>
          <w:lang w:val="en-GB"/>
        </w:rPr>
        <w:t xml:space="preserve">The different perspectives and data types gathered in this research have helped to support and corroborate the overall analysis. </w:t>
      </w:r>
      <w:hyperlink w:anchor="_ENREF_319" w:tooltip="Patton, 2002 #828" w:history="1">
        <w:r w:rsidR="0094469E" w:rsidRPr="003726FE">
          <w:rPr>
            <w:lang w:val="en-GB"/>
          </w:rPr>
          <w:fldChar w:fldCharType="begin"/>
        </w:r>
        <w:r w:rsidR="0094469E">
          <w:rPr>
            <w:lang w:val="en-GB"/>
          </w:rPr>
          <w:instrText xml:space="preserve"> ADDIN EN.CITE &lt;EndNote&gt;&lt;Cite AuthorYear="1"&gt;&lt;Author&gt;Patton&lt;/Author&gt;&lt;Year&gt;2002&lt;/Year&gt;&lt;RecNum&gt;828&lt;/RecNum&gt;&lt;Pages&gt;556&lt;/Pages&gt;&lt;DisplayText&gt;Patton (2002, p. 556)&lt;/DisplayText&gt;&lt;record&gt;&lt;rec-number&gt;828&lt;/rec-number&gt;&lt;foreign-keys&gt;&lt;key app="EN" db-id="xa2r2ewea92trkef5dt5arvbzafvpv2za5ft" timestamp="1496417597"&gt;828&lt;/key&gt;&lt;/foreign-keys&gt;&lt;ref-type name="Journal Article"&gt;17&lt;/ref-type&gt;&lt;contributors&gt;&lt;authors&gt;&lt;author&gt;Patton, Michael Quinn&lt;/author&gt;&lt;/authors&gt;&lt;/contributors&gt;&lt;titles&gt;&lt;title&gt;Qualitative analysis and interpretation&lt;/title&gt;&lt;secondary-title&gt;Qualitative research and evaluation methods&lt;/secondary-title&gt;&lt;/titles&gt;&lt;periodical&gt;&lt;full-title&gt;Qualitative research and evaluation methods&lt;/full-title&gt;&lt;/periodical&gt;&lt;pages&gt;431-539&lt;/pages&gt;&lt;volume&gt;3&lt;/volume&gt;&lt;dates&gt;&lt;year&gt;2002&lt;/year&gt;&lt;/dates&gt;&lt;urls&gt;&lt;/urls&gt;&lt;/record&gt;&lt;/Cite&gt;&lt;/EndNote&gt;</w:instrText>
        </w:r>
        <w:r w:rsidR="0094469E" w:rsidRPr="003726FE">
          <w:rPr>
            <w:lang w:val="en-GB"/>
          </w:rPr>
          <w:fldChar w:fldCharType="separate"/>
        </w:r>
        <w:r w:rsidR="0094469E" w:rsidRPr="003726FE">
          <w:rPr>
            <w:noProof/>
            <w:lang w:val="en-GB"/>
          </w:rPr>
          <w:t>Patton (2002, p. 556)</w:t>
        </w:r>
        <w:r w:rsidR="0094469E" w:rsidRPr="003726FE">
          <w:rPr>
            <w:lang w:val="en-GB"/>
          </w:rPr>
          <w:fldChar w:fldCharType="end"/>
        </w:r>
      </w:hyperlink>
      <w:r w:rsidRPr="003726FE">
        <w:rPr>
          <w:lang w:val="en-GB"/>
        </w:rPr>
        <w:t xml:space="preserve"> recommend</w:t>
      </w:r>
      <w:r w:rsidR="00A25EE0">
        <w:rPr>
          <w:lang w:val="en-GB"/>
        </w:rPr>
        <w:t>ed</w:t>
      </w:r>
      <w:r w:rsidRPr="003726FE">
        <w:rPr>
          <w:lang w:val="en-GB"/>
        </w:rPr>
        <w:t xml:space="preserve"> the u</w:t>
      </w:r>
      <w:r w:rsidR="007B2F9B">
        <w:rPr>
          <w:lang w:val="en-GB"/>
        </w:rPr>
        <w:t>se of triangulation in analysis</w:t>
      </w:r>
      <w:r w:rsidR="00A25EE0">
        <w:rPr>
          <w:lang w:val="en-GB"/>
        </w:rPr>
        <w:t>,</w:t>
      </w:r>
      <w:r w:rsidRPr="003726FE">
        <w:rPr>
          <w:lang w:val="en-GB"/>
        </w:rPr>
        <w:t xml:space="preserve"> “It is in data analysis that the strategy of triangulation really pays off, not only in providing diverse ways of looking at the same phenomenon but in adding to credibility by strengthening confidence in whatever conclusions are drawn”. Each data set was analysed separately before being analysed as a whole to identify patterns both within and between data-sets </w:t>
      </w:r>
      <w:r w:rsidR="00EF281A" w:rsidRPr="003726FE">
        <w:rPr>
          <w:lang w:val="en-GB"/>
        </w:rPr>
        <w:fldChar w:fldCharType="begin"/>
      </w:r>
      <w:r w:rsidR="008B61BE">
        <w:rPr>
          <w:lang w:val="en-GB"/>
        </w:rPr>
        <w:instrText xml:space="preserve"> ADDIN EN.CITE &lt;EndNote&gt;&lt;Cite&gt;&lt;Author&gt;Flick&lt;/Author&gt;&lt;Year&gt;2009&lt;/Year&gt;&lt;RecNum&gt;82&lt;/RecNum&gt;&lt;Pages&gt;450&lt;/Pages&gt;&lt;DisplayText&gt;(Flick 2009, p. 450)&lt;/DisplayText&gt;&lt;record&gt;&lt;rec-number&gt;82&lt;/rec-number&gt;&lt;foreign-keys&gt;&lt;key app="EN" db-id="xa2r2ewea92trkef5dt5arvbzafvpv2za5ft" timestamp="1442161764"&gt;82&lt;/key&gt;&lt;/foreign-keys&gt;&lt;ref-type name="Book"&gt;6&lt;/ref-type&gt;&lt;contributors&gt;&lt;authors&gt;&lt;author&gt;Flick, Uwe&lt;/author&gt;&lt;/authors&gt;&lt;/contributors&gt;&lt;titles&gt;&lt;title&gt;An introduction to qualitative research&lt;/title&gt;&lt;/titles&gt;&lt;number&gt;Book, Whole&lt;/number&gt;&lt;dates&gt;&lt;year&gt;2009&lt;/year&gt;&lt;/dates&gt;&lt;publisher&gt;Sage&lt;/publisher&gt;&lt;urls&gt;&lt;/urls&gt;&lt;/record&gt;&lt;/Cite&gt;&lt;/EndNote&gt;</w:instrText>
      </w:r>
      <w:r w:rsidR="00EF281A" w:rsidRPr="003726FE">
        <w:rPr>
          <w:lang w:val="en-GB"/>
        </w:rPr>
        <w:fldChar w:fldCharType="separate"/>
      </w:r>
      <w:r w:rsidR="004E5A78" w:rsidRPr="003726FE">
        <w:rPr>
          <w:noProof/>
          <w:lang w:val="en-GB"/>
        </w:rPr>
        <w:t>(</w:t>
      </w:r>
      <w:hyperlink w:anchor="_ENREF_150" w:tooltip="Flick, 2009 #82" w:history="1">
        <w:r w:rsidR="0094469E" w:rsidRPr="003726FE">
          <w:rPr>
            <w:noProof/>
            <w:lang w:val="en-GB"/>
          </w:rPr>
          <w:t>Flick 2009, p. 450</w:t>
        </w:r>
      </w:hyperlink>
      <w:r w:rsidR="004E5A78" w:rsidRPr="003726FE">
        <w:rPr>
          <w:noProof/>
          <w:lang w:val="en-GB"/>
        </w:rPr>
        <w:t>)</w:t>
      </w:r>
      <w:r w:rsidR="00EF281A" w:rsidRPr="003726FE">
        <w:rPr>
          <w:lang w:val="en-GB"/>
        </w:rPr>
        <w:fldChar w:fldCharType="end"/>
      </w:r>
      <w:r w:rsidRPr="003726FE">
        <w:rPr>
          <w:lang w:val="en-GB"/>
        </w:rPr>
        <w:t xml:space="preserve">, creating a broader complementary view of the phenomenon </w:t>
      </w:r>
      <w:r w:rsidR="00EF281A" w:rsidRPr="003726FE">
        <w:rPr>
          <w:lang w:val="en-GB"/>
        </w:rPr>
        <w:fldChar w:fldCharType="begin"/>
      </w:r>
      <w:r w:rsidR="008B61BE">
        <w:rPr>
          <w:lang w:val="en-GB"/>
        </w:rPr>
        <w:instrText xml:space="preserve"> ADDIN EN.CITE &lt;EndNote&gt;&lt;Cite&gt;&lt;Author&gt;Greene&lt;/Author&gt;&lt;Year&gt;1989&lt;/Year&gt;&lt;RecNum&gt;96&lt;/RecNum&gt;&lt;DisplayText&gt;(Greene et al. 1989)&lt;/DisplayText&gt;&lt;record&gt;&lt;rec-number&gt;96&lt;/rec-number&gt;&lt;foreign-keys&gt;&lt;key app="EN" db-id="xa2r2ewea92trkef5dt5arvbzafvpv2za5ft" timestamp="1442161764"&gt;96&lt;/key&gt;&lt;/foreign-keys&gt;&lt;ref-type name="Journal Article"&gt;17&lt;/ref-type&gt;&lt;contributors&gt;&lt;authors&gt;&lt;author&gt;Greene, Jennifer C.&lt;/author&gt;&lt;author&gt;Caracelli, Valerie J.&lt;/author&gt;&lt;author&gt;Graham, Wendy F.&lt;/author&gt;&lt;/authors&gt;&lt;/contributors&gt;&lt;titles&gt;&lt;title&gt;Toward a conceptual framework for mixed-method evaluation designs&lt;/title&gt;&lt;secondary-title&gt;Educational evaluation and policy analysis&lt;/secondary-title&gt;&lt;/titles&gt;&lt;periodical&gt;&lt;full-title&gt;Educational evaluation and policy analysis&lt;/full-title&gt;&lt;/periodical&gt;&lt;pages&gt;255-274&lt;/pages&gt;&lt;volume&gt;11&lt;/volume&gt;&lt;number&gt;3&lt;/number&gt;&lt;dates&gt;&lt;year&gt;1989&lt;/year&gt;&lt;/dates&gt;&lt;publisher&gt;Sage Publications&lt;/publisher&gt;&lt;urls&gt;&lt;/urls&gt;&lt;/record&gt;&lt;/Cite&gt;&lt;/EndNote&gt;</w:instrText>
      </w:r>
      <w:r w:rsidR="00EF281A" w:rsidRPr="003726FE">
        <w:rPr>
          <w:lang w:val="en-GB"/>
        </w:rPr>
        <w:fldChar w:fldCharType="separate"/>
      </w:r>
      <w:r w:rsidR="004E5A78" w:rsidRPr="003726FE">
        <w:rPr>
          <w:noProof/>
          <w:lang w:val="en-GB"/>
        </w:rPr>
        <w:t>(</w:t>
      </w:r>
      <w:hyperlink w:anchor="_ENREF_170" w:tooltip="Greene, 1989 #96" w:history="1">
        <w:r w:rsidR="0094469E" w:rsidRPr="003726FE">
          <w:rPr>
            <w:noProof/>
            <w:lang w:val="en-GB"/>
          </w:rPr>
          <w:t>Greene et al. 1989</w:t>
        </w:r>
      </w:hyperlink>
      <w:r w:rsidR="004E5A78" w:rsidRPr="003726FE">
        <w:rPr>
          <w:noProof/>
          <w:lang w:val="en-GB"/>
        </w:rPr>
        <w:t>)</w:t>
      </w:r>
      <w:r w:rsidR="00EF281A" w:rsidRPr="003726FE">
        <w:rPr>
          <w:lang w:val="en-GB"/>
        </w:rPr>
        <w:fldChar w:fldCharType="end"/>
      </w:r>
      <w:r w:rsidRPr="003726FE">
        <w:rPr>
          <w:lang w:val="en-GB"/>
        </w:rPr>
        <w:t xml:space="preserve">. Using triangulation in analysis leads to findings which either converge, are complementary, or are contradictory </w:t>
      </w:r>
      <w:r w:rsidR="00EF281A" w:rsidRPr="003726FE">
        <w:rPr>
          <w:lang w:val="en-GB"/>
        </w:rPr>
        <w:fldChar w:fldCharType="begin"/>
      </w:r>
      <w:r w:rsidR="00906C98">
        <w:rPr>
          <w:lang w:val="en-GB"/>
        </w:rPr>
        <w:instrText xml:space="preserve"> ADDIN EN.CITE &lt;EndNote&gt;&lt;Cite&gt;&lt;Author&gt;Erzberger&lt;/Author&gt;&lt;Year&gt;2003&lt;/Year&gt;&lt;RecNum&gt;353&lt;/RecNum&gt;&lt;DisplayText&gt;(Erzberger and Kelle 2003a)&lt;/DisplayText&gt;&lt;record&gt;&lt;rec-number&gt;353&lt;/rec-number&gt;&lt;foreign-keys&gt;&lt;key app="EN" db-id="xa2r2ewea92trkef5dt5arvbzafvpv2za5ft" timestamp="1496417538"&gt;353&lt;/key&gt;&lt;/foreign-keys&gt;&lt;ref-type name="Journal Article"&gt;17&lt;/ref-type&gt;&lt;contributors&gt;&lt;authors&gt;&lt;author&gt;Erzberger, Christian&lt;/author&gt;&lt;author&gt;Kelle, Udo&lt;/author&gt;&lt;/authors&gt;&lt;/contributors&gt;&lt;titles&gt;&lt;title&gt;Making inferences in mixed methods: The rules of integration&lt;/title&gt;&lt;secondary-title&gt;Handbook of mixed methods in social and behavioral research&lt;/secondary-title&gt;&lt;/titles&gt;&lt;periodical&gt;&lt;full-title&gt;Handbook of mixed methods in social and behavioral research&lt;/full-title&gt;&lt;/periodical&gt;&lt;pages&gt;457-488&lt;/pages&gt;&lt;dates&gt;&lt;year&gt;2003&lt;/year&gt;&lt;/dates&gt;&lt;urls&gt;&lt;/urls&gt;&lt;/record&gt;&lt;/Cite&gt;&lt;/EndNote&gt;</w:instrText>
      </w:r>
      <w:r w:rsidR="00EF281A" w:rsidRPr="003726FE">
        <w:rPr>
          <w:lang w:val="en-GB"/>
        </w:rPr>
        <w:fldChar w:fldCharType="separate"/>
      </w:r>
      <w:r w:rsidR="00906C98">
        <w:rPr>
          <w:noProof/>
          <w:lang w:val="en-GB"/>
        </w:rPr>
        <w:t>(</w:t>
      </w:r>
      <w:hyperlink w:anchor="_ENREF_142" w:tooltip="Erzberger, 2003 #353" w:history="1">
        <w:r w:rsidR="0094469E">
          <w:rPr>
            <w:noProof/>
            <w:lang w:val="en-GB"/>
          </w:rPr>
          <w:t>Erzberger and Kelle 2003a</w:t>
        </w:r>
      </w:hyperlink>
      <w:r w:rsidR="00906C98">
        <w:rPr>
          <w:noProof/>
          <w:lang w:val="en-GB"/>
        </w:rPr>
        <w:t>)</w:t>
      </w:r>
      <w:r w:rsidR="00EF281A" w:rsidRPr="003726FE">
        <w:rPr>
          <w:lang w:val="en-GB"/>
        </w:rPr>
        <w:fldChar w:fldCharType="end"/>
      </w:r>
      <w:r w:rsidRPr="003726FE">
        <w:rPr>
          <w:lang w:val="en-GB"/>
        </w:rPr>
        <w:t xml:space="preserve">. The analysis was also supported by other tools </w:t>
      </w:r>
      <w:r w:rsidR="0021662A">
        <w:rPr>
          <w:lang w:val="en-GB"/>
        </w:rPr>
        <w:t>including</w:t>
      </w:r>
      <w:r w:rsidRPr="003726FE">
        <w:rPr>
          <w:lang w:val="en-GB"/>
        </w:rPr>
        <w:t xml:space="preserve"> member checking and peer debriefing which added to the data and contr</w:t>
      </w:r>
      <w:r w:rsidR="005C15DF" w:rsidRPr="003726FE">
        <w:rPr>
          <w:lang w:val="en-GB"/>
        </w:rPr>
        <w:t>ibuted to the overall analysis.</w:t>
      </w:r>
    </w:p>
    <w:p w14:paraId="7A9DE430" w14:textId="5982C521" w:rsidR="00801F9D" w:rsidRPr="003726FE" w:rsidRDefault="00801F9D" w:rsidP="00026049">
      <w:pPr>
        <w:pStyle w:val="Normal1"/>
        <w:rPr>
          <w:lang w:val="en-GB"/>
        </w:rPr>
      </w:pPr>
    </w:p>
    <w:p w14:paraId="16480172" w14:textId="77777777" w:rsidR="00801F9D" w:rsidRPr="003726FE" w:rsidRDefault="00801F9D" w:rsidP="00026049">
      <w:pPr>
        <w:pStyle w:val="Normal1"/>
        <w:rPr>
          <w:lang w:val="en-GB"/>
        </w:rPr>
      </w:pPr>
      <w:r w:rsidRPr="003726FE">
        <w:rPr>
          <w:lang w:val="en-GB"/>
        </w:rPr>
        <w:br w:type="page"/>
      </w:r>
    </w:p>
    <w:p w14:paraId="3C4A0CD5" w14:textId="736DDD7F" w:rsidR="001A64B6" w:rsidRPr="003726FE" w:rsidRDefault="00E53628" w:rsidP="00B1638D">
      <w:pPr>
        <w:pStyle w:val="Heading2"/>
        <w:rPr>
          <w:lang w:val="en-GB"/>
        </w:rPr>
      </w:pPr>
      <w:bookmarkStart w:id="214" w:name="_Toc500319358"/>
      <w:r w:rsidRPr="003726FE">
        <w:rPr>
          <w:lang w:val="en-GB"/>
        </w:rPr>
        <w:lastRenderedPageBreak/>
        <w:t>A3.9</w:t>
      </w:r>
      <w:r w:rsidR="001A64B6" w:rsidRPr="003726FE">
        <w:rPr>
          <w:lang w:val="en-GB"/>
        </w:rPr>
        <w:t xml:space="preserve"> Analysis</w:t>
      </w:r>
      <w:r w:rsidR="00DC0625" w:rsidRPr="003726FE">
        <w:rPr>
          <w:lang w:val="en-GB"/>
        </w:rPr>
        <w:t xml:space="preserve"> and Interpretation</w:t>
      </w:r>
      <w:bookmarkEnd w:id="214"/>
    </w:p>
    <w:p w14:paraId="7FDB1B25" w14:textId="2F56D986" w:rsidR="00633B0D" w:rsidRPr="003726FE" w:rsidRDefault="00633B0D" w:rsidP="00026049">
      <w:pPr>
        <w:pStyle w:val="Normal1"/>
        <w:rPr>
          <w:lang w:val="en-GB"/>
        </w:rPr>
      </w:pPr>
    </w:p>
    <w:p w14:paraId="757B5A4E" w14:textId="097C074B" w:rsidR="00DC0625" w:rsidRPr="003726FE" w:rsidRDefault="008C5FC0" w:rsidP="00026049">
      <w:pPr>
        <w:pStyle w:val="Normal1"/>
        <w:rPr>
          <w:lang w:val="en-GB"/>
        </w:rPr>
      </w:pPr>
      <w:r w:rsidRPr="003726FE">
        <w:rPr>
          <w:lang w:val="en-GB"/>
        </w:rPr>
        <w:t>This section outlines the overarching approaches in analysing</w:t>
      </w:r>
      <w:r w:rsidR="00DC0625" w:rsidRPr="003726FE">
        <w:rPr>
          <w:lang w:val="en-GB"/>
        </w:rPr>
        <w:t xml:space="preserve"> and interpreting</w:t>
      </w:r>
      <w:r w:rsidRPr="003726FE">
        <w:rPr>
          <w:lang w:val="en-GB"/>
        </w:rPr>
        <w:t xml:space="preserve"> both </w:t>
      </w:r>
      <w:r w:rsidR="00E15C97" w:rsidRPr="003726FE">
        <w:rPr>
          <w:lang w:val="en-GB"/>
        </w:rPr>
        <w:t>strands of data</w:t>
      </w:r>
      <w:r w:rsidR="007B2F9B">
        <w:rPr>
          <w:lang w:val="en-GB"/>
        </w:rPr>
        <w:t>,</w:t>
      </w:r>
      <w:r w:rsidRPr="003726FE">
        <w:rPr>
          <w:lang w:val="en-GB"/>
        </w:rPr>
        <w:t xml:space="preserve"> but does not det</w:t>
      </w:r>
      <w:r w:rsidR="007B2F9B">
        <w:rPr>
          <w:lang w:val="en-GB"/>
        </w:rPr>
        <w:t>ail the specific steps or tests -</w:t>
      </w:r>
      <w:r w:rsidRPr="003726FE">
        <w:rPr>
          <w:lang w:val="en-GB"/>
        </w:rPr>
        <w:t xml:space="preserve"> these are outlined for each individual </w:t>
      </w:r>
      <w:r w:rsidR="005C15DF" w:rsidRPr="003726FE">
        <w:rPr>
          <w:lang w:val="en-GB"/>
        </w:rPr>
        <w:t>Chapter which presents results</w:t>
      </w:r>
      <w:r w:rsidRPr="003726FE">
        <w:rPr>
          <w:lang w:val="en-GB"/>
        </w:rPr>
        <w:t>.</w:t>
      </w:r>
      <w:r w:rsidR="00E15C97" w:rsidRPr="003726FE">
        <w:rPr>
          <w:lang w:val="en-GB"/>
        </w:rPr>
        <w:t xml:space="preserve"> It is important to note that</w:t>
      </w:r>
      <w:r w:rsidR="00DC0625" w:rsidRPr="003726FE">
        <w:rPr>
          <w:lang w:val="en-GB"/>
        </w:rPr>
        <w:t xml:space="preserve"> although the overarching philosophical framework used to analyse the full data-set of this study </w:t>
      </w:r>
      <w:r w:rsidR="00A25EE0">
        <w:rPr>
          <w:lang w:val="en-GB"/>
        </w:rPr>
        <w:t>wa</w:t>
      </w:r>
      <w:r w:rsidR="00DC0625" w:rsidRPr="003726FE">
        <w:rPr>
          <w:lang w:val="en-GB"/>
        </w:rPr>
        <w:t xml:space="preserve">s pragmatism, different perspectives were used when analysing each strand, reflecting the pluralistic nature of mixed methods </w:t>
      </w:r>
      <w:r w:rsidR="00DE6AEB">
        <w:rPr>
          <w:lang w:val="en-GB"/>
        </w:rPr>
        <w:t>outlined</w:t>
      </w:r>
      <w:r w:rsidR="00DC0625" w:rsidRPr="003726FE">
        <w:rPr>
          <w:lang w:val="en-GB"/>
        </w:rPr>
        <w:t xml:space="preserve"> earlier in this thesis. The quantitative strand was analysed using a post-positivist approach </w:t>
      </w:r>
      <w:r w:rsidR="00DE6AEB">
        <w:rPr>
          <w:lang w:val="en-GB"/>
        </w:rPr>
        <w:t>and</w:t>
      </w:r>
      <w:r w:rsidR="00DC0625" w:rsidRPr="003726FE">
        <w:rPr>
          <w:lang w:val="en-GB"/>
        </w:rPr>
        <w:t xml:space="preserve"> the qualitative strand was explored using a constructivist approach.</w:t>
      </w:r>
    </w:p>
    <w:p w14:paraId="0A605087" w14:textId="77777777" w:rsidR="00182065" w:rsidRPr="003726FE" w:rsidRDefault="00182065" w:rsidP="00026049">
      <w:pPr>
        <w:pStyle w:val="Normal1"/>
        <w:rPr>
          <w:lang w:val="en-GB"/>
        </w:rPr>
      </w:pPr>
    </w:p>
    <w:p w14:paraId="404CFD08" w14:textId="2333DDCA" w:rsidR="00ED1E3D" w:rsidRPr="003726FE" w:rsidRDefault="00ED1E3D" w:rsidP="00BA4521">
      <w:pPr>
        <w:pStyle w:val="Heading3"/>
      </w:pPr>
      <w:bookmarkStart w:id="215" w:name="_Toc500319359"/>
      <w:r w:rsidRPr="003726FE">
        <w:t>A3.9.1 Mixing and Integration</w:t>
      </w:r>
      <w:bookmarkEnd w:id="215"/>
    </w:p>
    <w:p w14:paraId="1C47468D" w14:textId="77777777" w:rsidR="00ED1E3D" w:rsidRPr="003726FE" w:rsidRDefault="00ED1E3D" w:rsidP="00026049">
      <w:pPr>
        <w:pStyle w:val="Normal1"/>
        <w:rPr>
          <w:lang w:val="en-GB"/>
        </w:rPr>
      </w:pPr>
    </w:p>
    <w:p w14:paraId="756A531B" w14:textId="5D775B1B" w:rsidR="00ED1E3D" w:rsidRPr="003726FE" w:rsidRDefault="00ED1E3D" w:rsidP="00026049">
      <w:pPr>
        <w:pStyle w:val="Normal1"/>
        <w:rPr>
          <w:lang w:val="en-GB"/>
        </w:rPr>
      </w:pPr>
      <w:r w:rsidRPr="003726FE">
        <w:rPr>
          <w:lang w:val="en-GB"/>
        </w:rPr>
        <w:t xml:space="preserve">This mixed methods study has several ‘points of interface’ where the quantitative and qualitative strands are mixed at different levels, and this has important implications for the interpretation of the data </w:t>
      </w:r>
      <w:r w:rsidRPr="003726FE">
        <w:rPr>
          <w:lang w:val="en-GB"/>
        </w:rPr>
        <w:fldChar w:fldCharType="begin"/>
      </w:r>
      <w:r w:rsidR="008B61BE">
        <w:rPr>
          <w:lang w:val="en-GB"/>
        </w:rPr>
        <w:instrText xml:space="preserve"> ADDIN EN.CITE &lt;EndNote&gt;&lt;Cite&gt;&lt;Author&gt;Creswell&lt;/Author&gt;&lt;Year&gt;2007&lt;/Year&gt;&lt;RecNum&gt;53&lt;/RecNum&gt;&lt;DisplayText&gt;(Creswell and Clark 2007; Morse and Niehaus 2009)&lt;/DisplayText&gt;&lt;record&gt;&lt;rec-number&gt;53&lt;/rec-number&gt;&lt;foreign-keys&gt;&lt;key app="EN" db-id="xa2r2ewea92trkef5dt5arvbzafvpv2za5ft" timestamp="1442161763"&gt;53&lt;/key&gt;&lt;/foreign-keys&gt;&lt;ref-type name="Journal Article"&gt;17&lt;/ref-type&gt;&lt;contributors&gt;&lt;authors&gt;&lt;author&gt;Creswell, John W.&lt;/author&gt;&lt;author&gt;Clark, Vicki L. Plano&lt;/author&gt;&lt;/authors&gt;&lt;/contributors&gt;&lt;titles&gt;&lt;title&gt;Designing and conducting mixed methods research&lt;/title&gt;&lt;/titles&gt;&lt;dates&gt;&lt;year&gt;2007&lt;/year&gt;&lt;/dates&gt;&lt;publisher&gt;Wiley Online Library&lt;/publisher&gt;&lt;urls&gt;&lt;/urls&gt;&lt;/record&gt;&lt;/Cite&gt;&lt;Cite&gt;&lt;Author&gt;Morse&lt;/Author&gt;&lt;Year&gt;2009&lt;/Year&gt;&lt;RecNum&gt;562&lt;/RecNum&gt;&lt;record&gt;&lt;rec-number&gt;562&lt;/rec-number&gt;&lt;foreign-keys&gt;&lt;key app="EN" db-id="xa2r2ewea92trkef5dt5arvbzafvpv2za5ft" timestamp="1496417554"&gt;562&lt;/key&gt;&lt;/foreign-keys&gt;&lt;ref-type name="Generic"&gt;13&lt;/ref-type&gt;&lt;contributors&gt;&lt;authors&gt;&lt;author&gt;Morse, JM&lt;/author&gt;&lt;author&gt;Niehaus, L&lt;/author&gt;&lt;/authors&gt;&lt;/contributors&gt;&lt;titles&gt;&lt;title&gt;Principles and procedures of mixed methods design&lt;/title&gt;&lt;/titles&gt;&lt;dates&gt;&lt;year&gt;2009&lt;/year&gt;&lt;/dates&gt;&lt;publisher&gt;Walnut Creek, CA: Left Coast Press&lt;/publisher&gt;&lt;urls&gt;&lt;/urls&gt;&lt;/record&gt;&lt;/Cite&gt;&lt;/EndNote&gt;</w:instrText>
      </w:r>
      <w:r w:rsidRPr="003726FE">
        <w:rPr>
          <w:lang w:val="en-GB"/>
        </w:rPr>
        <w:fldChar w:fldCharType="separate"/>
      </w:r>
      <w:r w:rsidR="004E5A78" w:rsidRPr="003726FE">
        <w:rPr>
          <w:noProof/>
          <w:lang w:val="en-GB"/>
        </w:rPr>
        <w:t>(</w:t>
      </w:r>
      <w:hyperlink w:anchor="_ENREF_99" w:tooltip="Creswell, 2007 #53" w:history="1">
        <w:r w:rsidR="0094469E" w:rsidRPr="003726FE">
          <w:rPr>
            <w:noProof/>
            <w:lang w:val="en-GB"/>
          </w:rPr>
          <w:t>Creswell and Clark 2007</w:t>
        </w:r>
      </w:hyperlink>
      <w:r w:rsidR="004E5A78" w:rsidRPr="003726FE">
        <w:rPr>
          <w:noProof/>
          <w:lang w:val="en-GB"/>
        </w:rPr>
        <w:t xml:space="preserve">; </w:t>
      </w:r>
      <w:hyperlink w:anchor="_ENREF_286" w:tooltip="Morse, 2009 #562" w:history="1">
        <w:r w:rsidR="0094469E" w:rsidRPr="003726FE">
          <w:rPr>
            <w:noProof/>
            <w:lang w:val="en-GB"/>
          </w:rPr>
          <w:t>Morse and Niehaus 2009</w:t>
        </w:r>
      </w:hyperlink>
      <w:r w:rsidR="004E5A78" w:rsidRPr="003726FE">
        <w:rPr>
          <w:noProof/>
          <w:lang w:val="en-GB"/>
        </w:rPr>
        <w:t>)</w:t>
      </w:r>
      <w:r w:rsidRPr="003726FE">
        <w:rPr>
          <w:lang w:val="en-GB"/>
        </w:rPr>
        <w:fldChar w:fldCharType="end"/>
      </w:r>
      <w:r w:rsidRPr="003726FE">
        <w:rPr>
          <w:lang w:val="en-GB"/>
        </w:rPr>
        <w:t>. As mixing at the design and data collection level has been outlined earlier in this thesis, the impact upon the interpretation stage is focused upon in this section.</w:t>
      </w:r>
      <w:r w:rsidR="00DC0625" w:rsidRPr="003726FE">
        <w:rPr>
          <w:lang w:val="en-GB"/>
        </w:rPr>
        <w:t xml:space="preserve"> This is instead termed “interpretive integration” as the strands are not simply mixed but viewed equally through the lenses of both the research questions and theoretical framework to understand the phenomen</w:t>
      </w:r>
      <w:r w:rsidR="00BC21A0">
        <w:rPr>
          <w:lang w:val="en-GB"/>
        </w:rPr>
        <w:t>on</w:t>
      </w:r>
      <w:r w:rsidR="00DC0625" w:rsidRPr="003726FE">
        <w:rPr>
          <w:lang w:val="en-GB"/>
        </w:rPr>
        <w:t xml:space="preserve"> </w:t>
      </w:r>
      <w:r w:rsidR="00EF281A" w:rsidRPr="003726FE">
        <w:rPr>
          <w:lang w:val="en-GB"/>
        </w:rPr>
        <w:fldChar w:fldCharType="begin"/>
      </w:r>
      <w:r w:rsidR="008B61BE">
        <w:rPr>
          <w:lang w:val="en-GB"/>
        </w:rPr>
        <w:instrText xml:space="preserve"> ADDIN EN.CITE &lt;EndNote&gt;&lt;Cite&gt;&lt;Author&gt;Moran-Ellis&lt;/Author&gt;&lt;Year&gt;2006&lt;/Year&gt;&lt;RecNum&gt;823&lt;/RecNum&gt;&lt;Pages&gt;51&lt;/Pages&gt;&lt;DisplayText&gt;(Moran-Ellis et al. 2006, p. 51)&lt;/DisplayText&gt;&lt;record&gt;&lt;rec-number&gt;823&lt;/rec-number&gt;&lt;foreign-keys&gt;&lt;key app="EN" db-id="xa2r2ewea92trkef5dt5arvbzafvpv2za5ft" timestamp="1496417597"&gt;823&lt;/key&gt;&lt;/foreign-keys&gt;&lt;ref-type name="Journal Article"&gt;17&lt;/ref-type&gt;&lt;contributors&gt;&lt;authors&gt;&lt;author&gt;Moran-Ellis, Jo&lt;/author&gt;&lt;author&gt;Alexander, Victoria D&lt;/author&gt;&lt;author&gt;Cronin, Ann&lt;/author&gt;&lt;author&gt;Dickinson, Mary&lt;/author&gt;&lt;author&gt;Fielding, Jane&lt;/author&gt;&lt;author&gt;Sleney, Judith&lt;/author&gt;&lt;author&gt;Thomas, Hilary&lt;/author&gt;&lt;/authors&gt;&lt;/contributors&gt;&lt;titles&gt;&lt;title&gt;Triangulation and integration: processes, claims and implications&lt;/title&gt;&lt;secondary-title&gt;Qualitative research&lt;/secondary-title&gt;&lt;/titles&gt;&lt;periodical&gt;&lt;full-title&gt;Qualitative Research&lt;/full-title&gt;&lt;/periodical&gt;&lt;pages&gt;45-59&lt;/pages&gt;&lt;volume&gt;6&lt;/volume&gt;&lt;number&gt;1&lt;/number&gt;&lt;dates&gt;&lt;year&gt;2006&lt;/year&gt;&lt;/dates&gt;&lt;isbn&gt;1468-7941&lt;/isbn&gt;&lt;urls&gt;&lt;/urls&gt;&lt;/record&gt;&lt;/Cite&gt;&lt;/EndNote&gt;</w:instrText>
      </w:r>
      <w:r w:rsidR="00EF281A" w:rsidRPr="003726FE">
        <w:rPr>
          <w:lang w:val="en-GB"/>
        </w:rPr>
        <w:fldChar w:fldCharType="separate"/>
      </w:r>
      <w:r w:rsidR="004E5A78" w:rsidRPr="003726FE">
        <w:rPr>
          <w:noProof/>
          <w:lang w:val="en-GB"/>
        </w:rPr>
        <w:t>(</w:t>
      </w:r>
      <w:hyperlink w:anchor="_ENREF_281" w:tooltip="Moran-Ellis, 2006 #823" w:history="1">
        <w:r w:rsidR="0094469E" w:rsidRPr="003726FE">
          <w:rPr>
            <w:noProof/>
            <w:lang w:val="en-GB"/>
          </w:rPr>
          <w:t>Moran-Ellis et al. 2006, p. 51</w:t>
        </w:r>
      </w:hyperlink>
      <w:r w:rsidR="004E5A78" w:rsidRPr="003726FE">
        <w:rPr>
          <w:noProof/>
          <w:lang w:val="en-GB"/>
        </w:rPr>
        <w:t>)</w:t>
      </w:r>
      <w:r w:rsidR="00EF281A" w:rsidRPr="003726FE">
        <w:rPr>
          <w:lang w:val="en-GB"/>
        </w:rPr>
        <w:fldChar w:fldCharType="end"/>
      </w:r>
      <w:r w:rsidR="00DC0625" w:rsidRPr="003726FE">
        <w:rPr>
          <w:lang w:val="en-GB"/>
        </w:rPr>
        <w:t>.</w:t>
      </w:r>
    </w:p>
    <w:p w14:paraId="0B032261" w14:textId="77777777" w:rsidR="00ED1E3D" w:rsidRPr="003726FE" w:rsidRDefault="00ED1E3D" w:rsidP="00026049">
      <w:pPr>
        <w:pStyle w:val="Normal1"/>
        <w:rPr>
          <w:lang w:val="en-GB"/>
        </w:rPr>
      </w:pPr>
    </w:p>
    <w:p w14:paraId="2E1B9D50" w14:textId="1684865C" w:rsidR="008C3B08" w:rsidRPr="003726FE" w:rsidRDefault="00ED1E3D" w:rsidP="00026049">
      <w:pPr>
        <w:pStyle w:val="Normal1"/>
        <w:rPr>
          <w:lang w:val="en-GB"/>
        </w:rPr>
      </w:pPr>
      <w:r w:rsidRPr="003726FE">
        <w:rPr>
          <w:lang w:val="en-GB"/>
        </w:rPr>
        <w:t xml:space="preserve">The quantitative and qualitative strands of this study </w:t>
      </w:r>
      <w:r w:rsidR="00A25EE0">
        <w:rPr>
          <w:lang w:val="en-GB"/>
        </w:rPr>
        <w:t>were</w:t>
      </w:r>
      <w:r w:rsidRPr="003726FE">
        <w:rPr>
          <w:lang w:val="en-GB"/>
        </w:rPr>
        <w:t xml:space="preserve"> </w:t>
      </w:r>
      <w:r w:rsidR="00DC0625" w:rsidRPr="003726FE">
        <w:rPr>
          <w:lang w:val="en-GB"/>
        </w:rPr>
        <w:t>integrated</w:t>
      </w:r>
      <w:r w:rsidR="00085A07" w:rsidRPr="003726FE">
        <w:rPr>
          <w:lang w:val="en-GB"/>
        </w:rPr>
        <w:t xml:space="preserve"> during interpretation in that</w:t>
      </w:r>
      <w:r w:rsidRPr="003726FE">
        <w:rPr>
          <w:lang w:val="en-GB"/>
        </w:rPr>
        <w:t xml:space="preserve"> “It involves the researcher drawing conclusions or inferences that reflect what was learned from the combination of results from the two strands of the study” </w:t>
      </w:r>
      <w:r w:rsidR="00EF281A" w:rsidRPr="003726FE">
        <w:rPr>
          <w:lang w:val="en-GB"/>
        </w:rPr>
        <w:fldChar w:fldCharType="begin"/>
      </w:r>
      <w:r w:rsidR="008B61BE">
        <w:rPr>
          <w:lang w:val="en-GB"/>
        </w:rPr>
        <w:instrText xml:space="preserve"> ADDIN EN.CITE &lt;EndNote&gt;&lt;Cite&gt;&lt;Author&gt;Creswell&lt;/Author&gt;&lt;Year&gt;2007&lt;/Year&gt;&lt;RecNum&gt;563&lt;/RecNum&gt;&lt;Pages&gt;67&lt;/Pages&gt;&lt;DisplayText&gt;(Creswell and Plano Clark 2007, p. 67)&lt;/DisplayText&gt;&lt;record&gt;&lt;rec-number&gt;563&lt;/rec-number&gt;&lt;foreign-keys&gt;&lt;key app="EN" db-id="xa2r2ewea92trkef5dt5arvbzafvpv2za5ft" timestamp="1496417554"&gt;563&lt;/key&gt;&lt;/foreign-keys&gt;&lt;ref-type name="Journal Article"&gt;17&lt;/ref-type&gt;&lt;contributors&gt;&lt;authors&gt;&lt;author&gt;Creswell, John W&lt;/author&gt;&lt;author&gt;Plano Clark, VL&lt;/author&gt;&lt;/authors&gt;&lt;/contributors&gt;&lt;titles&gt;&lt;title&gt;Choosing a mixed methods design&lt;/title&gt;&lt;secondary-title&gt;Designing and conducting mixed methods research&lt;/secondary-title&gt;&lt;/titles&gt;&lt;periodical&gt;&lt;full-title&gt;Designing and conducting mixed methods research&lt;/full-title&gt;&lt;/periodical&gt;&lt;pages&gt;58-88&lt;/pages&gt;&lt;dates&gt;&lt;year&gt;2007&lt;/year&gt;&lt;/dates&gt;&lt;urls&gt;&lt;/urls&gt;&lt;/record&gt;&lt;/Cite&gt;&lt;/EndNote&gt;</w:instrText>
      </w:r>
      <w:r w:rsidR="00EF281A" w:rsidRPr="003726FE">
        <w:rPr>
          <w:lang w:val="en-GB"/>
        </w:rPr>
        <w:fldChar w:fldCharType="separate"/>
      </w:r>
      <w:r w:rsidR="004E5A78" w:rsidRPr="003726FE">
        <w:rPr>
          <w:noProof/>
          <w:lang w:val="en-GB"/>
        </w:rPr>
        <w:t>(</w:t>
      </w:r>
      <w:hyperlink w:anchor="_ENREF_102" w:tooltip="Creswell, 2007 #563" w:history="1">
        <w:r w:rsidR="0094469E" w:rsidRPr="003726FE">
          <w:rPr>
            <w:noProof/>
            <w:lang w:val="en-GB"/>
          </w:rPr>
          <w:t>Creswell and Plano Clark 2007, p. 67</w:t>
        </w:r>
      </w:hyperlink>
      <w:r w:rsidR="004E5A78" w:rsidRPr="003726FE">
        <w:rPr>
          <w:noProof/>
          <w:lang w:val="en-GB"/>
        </w:rPr>
        <w:t>)</w:t>
      </w:r>
      <w:r w:rsidR="00EF281A" w:rsidRPr="003726FE">
        <w:rPr>
          <w:lang w:val="en-GB"/>
        </w:rPr>
        <w:fldChar w:fldCharType="end"/>
      </w:r>
      <w:r w:rsidRPr="003726FE">
        <w:rPr>
          <w:lang w:val="en-GB"/>
        </w:rPr>
        <w:t xml:space="preserve">. This does not mean that the </w:t>
      </w:r>
      <w:r w:rsidR="000A34E1" w:rsidRPr="003726FE">
        <w:rPr>
          <w:lang w:val="en-GB"/>
        </w:rPr>
        <w:t>strands</w:t>
      </w:r>
      <w:r w:rsidRPr="003726FE">
        <w:rPr>
          <w:lang w:val="en-GB"/>
        </w:rPr>
        <w:t xml:space="preserve"> were analysed concurrently</w:t>
      </w:r>
      <w:r w:rsidR="003D5FB4" w:rsidRPr="003726FE">
        <w:rPr>
          <w:lang w:val="en-GB"/>
        </w:rPr>
        <w:t>,</w:t>
      </w:r>
      <w:r w:rsidRPr="003726FE">
        <w:rPr>
          <w:lang w:val="en-GB"/>
        </w:rPr>
        <w:t xml:space="preserve"> through </w:t>
      </w:r>
      <w:r w:rsidR="003D5FB4" w:rsidRPr="003726FE">
        <w:rPr>
          <w:lang w:val="en-GB"/>
        </w:rPr>
        <w:t xml:space="preserve">what is known as </w:t>
      </w:r>
      <w:r w:rsidR="00BC21A0">
        <w:rPr>
          <w:lang w:val="en-GB"/>
        </w:rPr>
        <w:t>‘</w:t>
      </w:r>
      <w:r w:rsidR="003D5FB4" w:rsidRPr="003726FE">
        <w:rPr>
          <w:lang w:val="en-GB"/>
        </w:rPr>
        <w:t>merging</w:t>
      </w:r>
      <w:r w:rsidR="00BC21A0">
        <w:rPr>
          <w:lang w:val="en-GB"/>
        </w:rPr>
        <w:t>’</w:t>
      </w:r>
      <w:r w:rsidR="007B2F9B">
        <w:rPr>
          <w:lang w:val="en-GB"/>
        </w:rPr>
        <w:t>;</w:t>
      </w:r>
      <w:r w:rsidR="003D5FB4" w:rsidRPr="003726FE">
        <w:rPr>
          <w:lang w:val="en-GB"/>
        </w:rPr>
        <w:t xml:space="preserve"> instead they were analysed separately and then subsequently interpreted as a whole and inferences were made based on the analysis from both strands.</w:t>
      </w:r>
      <w:r w:rsidR="007F5D07" w:rsidRPr="003726FE">
        <w:rPr>
          <w:lang w:val="en-GB"/>
        </w:rPr>
        <w:t xml:space="preserve"> </w:t>
      </w:r>
      <w:r w:rsidR="000A34E1" w:rsidRPr="003726FE">
        <w:rPr>
          <w:lang w:val="en-GB"/>
        </w:rPr>
        <w:t xml:space="preserve">The only results analysed concurrently were the interviews and focus groups with students in </w:t>
      </w:r>
      <w:r w:rsidR="00BB5D1F" w:rsidRPr="003726FE">
        <w:rPr>
          <w:lang w:val="en-GB"/>
        </w:rPr>
        <w:t>Chapter C2</w:t>
      </w:r>
      <w:r w:rsidR="000A34E1" w:rsidRPr="003726FE">
        <w:rPr>
          <w:lang w:val="en-GB"/>
        </w:rPr>
        <w:t xml:space="preserve">. </w:t>
      </w:r>
      <w:r w:rsidR="007F5D07" w:rsidRPr="003726FE">
        <w:rPr>
          <w:lang w:val="en-GB"/>
        </w:rPr>
        <w:t xml:space="preserve">An evaluation of the mixed methods design in </w:t>
      </w:r>
      <w:r w:rsidR="005C15DF" w:rsidRPr="003726FE">
        <w:rPr>
          <w:lang w:val="en-GB"/>
        </w:rPr>
        <w:t xml:space="preserve">Chapter </w:t>
      </w:r>
      <w:r w:rsidR="00BF6160">
        <w:rPr>
          <w:lang w:val="en-GB"/>
        </w:rPr>
        <w:t>D1</w:t>
      </w:r>
      <w:r w:rsidR="007F5D07" w:rsidRPr="003726FE">
        <w:rPr>
          <w:lang w:val="en-GB"/>
        </w:rPr>
        <w:t xml:space="preserve"> also reflects </w:t>
      </w:r>
      <w:r w:rsidR="000A34E1" w:rsidRPr="003726FE">
        <w:rPr>
          <w:lang w:val="en-GB"/>
        </w:rPr>
        <w:t>up</w:t>
      </w:r>
      <w:r w:rsidR="007F5D07" w:rsidRPr="003726FE">
        <w:rPr>
          <w:lang w:val="en-GB"/>
        </w:rPr>
        <w:t xml:space="preserve">on this process and its implications </w:t>
      </w:r>
      <w:r w:rsidR="00F62959" w:rsidRPr="003726FE">
        <w:rPr>
          <w:lang w:val="en-GB"/>
        </w:rPr>
        <w:t>for</w:t>
      </w:r>
      <w:r w:rsidR="007F5D07" w:rsidRPr="003726FE">
        <w:rPr>
          <w:lang w:val="en-GB"/>
        </w:rPr>
        <w:t xml:space="preserve"> the findings.</w:t>
      </w:r>
    </w:p>
    <w:p w14:paraId="583524C4" w14:textId="77777777" w:rsidR="008C3B08" w:rsidRDefault="008C3B08" w:rsidP="008C3B08"/>
    <w:p w14:paraId="2E898CEA" w14:textId="77777777" w:rsidR="0049047B" w:rsidRPr="003726FE" w:rsidRDefault="0049047B" w:rsidP="008C3B08"/>
    <w:p w14:paraId="13AD5D7E" w14:textId="28A98A17" w:rsidR="00633B0D" w:rsidRPr="00B56453" w:rsidRDefault="00E53628" w:rsidP="00BA4521">
      <w:pPr>
        <w:pStyle w:val="Heading3"/>
      </w:pPr>
      <w:bookmarkStart w:id="216" w:name="_Toc500319360"/>
      <w:r w:rsidRPr="003726FE">
        <w:lastRenderedPageBreak/>
        <w:t>A3.9</w:t>
      </w:r>
      <w:r w:rsidR="00ED1E3D" w:rsidRPr="003726FE">
        <w:t>.2</w:t>
      </w:r>
      <w:r w:rsidR="00633B0D" w:rsidRPr="003726FE">
        <w:t xml:space="preserve"> Quantitative </w:t>
      </w:r>
      <w:r w:rsidR="00DE6AEB">
        <w:t>A</w:t>
      </w:r>
      <w:r w:rsidR="00633B0D" w:rsidRPr="003726FE">
        <w:t>nalysis</w:t>
      </w:r>
      <w:bookmarkEnd w:id="216"/>
    </w:p>
    <w:p w14:paraId="7CE878C5" w14:textId="77777777" w:rsidR="00633B0D" w:rsidRPr="00BD42AF" w:rsidRDefault="00633B0D" w:rsidP="00026049">
      <w:pPr>
        <w:pStyle w:val="Normal1"/>
        <w:rPr>
          <w:lang w:val="en-GB"/>
        </w:rPr>
      </w:pPr>
    </w:p>
    <w:p w14:paraId="25A9F8BF" w14:textId="76307E57" w:rsidR="003F2925" w:rsidRPr="00521DE8" w:rsidRDefault="0098609A" w:rsidP="00026049">
      <w:pPr>
        <w:pStyle w:val="Normal1"/>
        <w:rPr>
          <w:lang w:val="en-GB"/>
        </w:rPr>
      </w:pPr>
      <w:r w:rsidRPr="00BD42AF">
        <w:rPr>
          <w:lang w:val="en-GB"/>
        </w:rPr>
        <w:t xml:space="preserve">The </w:t>
      </w:r>
      <w:r w:rsidR="00C32C86" w:rsidRPr="00BD42AF">
        <w:rPr>
          <w:lang w:val="en-GB"/>
        </w:rPr>
        <w:t>quantitative</w:t>
      </w:r>
      <w:r w:rsidRPr="00BD42AF">
        <w:rPr>
          <w:lang w:val="en-GB"/>
        </w:rPr>
        <w:t xml:space="preserve"> data in this study was </w:t>
      </w:r>
      <w:r w:rsidR="00BC21A0" w:rsidRPr="00BD42AF">
        <w:rPr>
          <w:lang w:val="en-GB"/>
        </w:rPr>
        <w:t xml:space="preserve">collected </w:t>
      </w:r>
      <w:r w:rsidRPr="00BD42AF">
        <w:rPr>
          <w:lang w:val="en-GB"/>
        </w:rPr>
        <w:t>purely through survey methods</w:t>
      </w:r>
      <w:r w:rsidR="007B2F9B" w:rsidRPr="00BD42AF">
        <w:rPr>
          <w:lang w:val="en-GB"/>
        </w:rPr>
        <w:t>. T</w:t>
      </w:r>
      <w:r w:rsidRPr="00BD42AF">
        <w:rPr>
          <w:lang w:val="en-GB"/>
        </w:rPr>
        <w:t>herefore statistical analysis was used to explore the responses</w:t>
      </w:r>
      <w:r w:rsidR="007B2F9B" w:rsidRPr="00BD42AF">
        <w:rPr>
          <w:lang w:val="en-GB"/>
        </w:rPr>
        <w:t xml:space="preserve"> - which were coded numerically -</w:t>
      </w:r>
      <w:r w:rsidRPr="00BD42AF">
        <w:rPr>
          <w:lang w:val="en-GB"/>
        </w:rPr>
        <w:t xml:space="preserve"> and</w:t>
      </w:r>
      <w:r w:rsidR="00C32C86" w:rsidRPr="00BD42AF">
        <w:rPr>
          <w:lang w:val="en-GB"/>
        </w:rPr>
        <w:t xml:space="preserve"> to</w:t>
      </w:r>
      <w:r w:rsidRPr="001046E5">
        <w:rPr>
          <w:lang w:val="en-GB"/>
        </w:rPr>
        <w:t xml:space="preserve"> de</w:t>
      </w:r>
      <w:r w:rsidR="007B2F9B" w:rsidRPr="00C71126">
        <w:rPr>
          <w:lang w:val="en-GB"/>
        </w:rPr>
        <w:t>duct conclusions from each dataset.</w:t>
      </w:r>
      <w:r w:rsidR="00C32C86" w:rsidRPr="00C71126">
        <w:rPr>
          <w:lang w:val="en-GB"/>
        </w:rPr>
        <w:t xml:space="preserve"> </w:t>
      </w:r>
      <w:r w:rsidR="007B2F9B" w:rsidRPr="00C71126">
        <w:rPr>
          <w:lang w:val="en-GB"/>
        </w:rPr>
        <w:t>To</w:t>
      </w:r>
      <w:r w:rsidR="00C32C86" w:rsidRPr="00C71126">
        <w:rPr>
          <w:lang w:val="en-GB"/>
        </w:rPr>
        <w:t xml:space="preserve"> give credibility to the findings of the survey data it was crucial to validate the measurement tool – the Short Self-Regulation Questionnaire (SSRQ). This was done using an exploratory factor analysis approach with the validated General Self-Efficacy scale (GSE). Upon determining </w:t>
      </w:r>
      <w:r w:rsidR="000A34E1" w:rsidRPr="00C71126">
        <w:rPr>
          <w:lang w:val="en-GB"/>
        </w:rPr>
        <w:t>satisfactory</w:t>
      </w:r>
      <w:r w:rsidR="00C32C86" w:rsidRPr="00C71126">
        <w:rPr>
          <w:lang w:val="en-GB"/>
        </w:rPr>
        <w:t xml:space="preserve"> </w:t>
      </w:r>
      <w:r w:rsidR="000A34E1" w:rsidRPr="00C71126">
        <w:rPr>
          <w:lang w:val="en-GB"/>
        </w:rPr>
        <w:t>values</w:t>
      </w:r>
      <w:r w:rsidR="00C32C86" w:rsidRPr="00C71126">
        <w:rPr>
          <w:lang w:val="en-GB"/>
        </w:rPr>
        <w:t xml:space="preserve"> from those results, the three-phase SSRQ results could be analysed more confidently using less complex methods, </w:t>
      </w:r>
      <w:r w:rsidR="0021662A" w:rsidRPr="00C71126">
        <w:rPr>
          <w:lang w:val="en-GB"/>
        </w:rPr>
        <w:t>including</w:t>
      </w:r>
      <w:r w:rsidR="00C32C86" w:rsidRPr="00C71126">
        <w:rPr>
          <w:lang w:val="en-GB"/>
        </w:rPr>
        <w:t xml:space="preserve"> mixed ANOVA.</w:t>
      </w:r>
    </w:p>
    <w:p w14:paraId="5DDF055E" w14:textId="77777777" w:rsidR="00C32C86" w:rsidRPr="00521DE8" w:rsidRDefault="00C32C86" w:rsidP="00026049">
      <w:pPr>
        <w:pStyle w:val="Normal1"/>
        <w:rPr>
          <w:lang w:val="en-GB"/>
        </w:rPr>
      </w:pPr>
    </w:p>
    <w:p w14:paraId="4FDDD36B" w14:textId="3964EF67" w:rsidR="00C32C86" w:rsidRPr="00521DE8" w:rsidRDefault="00C32C86" w:rsidP="00026049">
      <w:pPr>
        <w:pStyle w:val="Normal1"/>
        <w:rPr>
          <w:lang w:val="en-GB"/>
        </w:rPr>
      </w:pPr>
      <w:r w:rsidRPr="00521DE8">
        <w:rPr>
          <w:lang w:val="en-GB"/>
        </w:rPr>
        <w:t xml:space="preserve">The specific tests and protocols for the quantitative components can be found in </w:t>
      </w:r>
      <w:r w:rsidR="0019449A" w:rsidRPr="00521DE8">
        <w:rPr>
          <w:lang w:val="en-GB"/>
        </w:rPr>
        <w:t>Chapter B3 and C1</w:t>
      </w:r>
      <w:r w:rsidRPr="00521DE8">
        <w:rPr>
          <w:lang w:val="en-GB"/>
        </w:rPr>
        <w:t>.</w:t>
      </w:r>
    </w:p>
    <w:p w14:paraId="52A882AD" w14:textId="3E2A8928" w:rsidR="003F2925" w:rsidRPr="00FD5859" w:rsidRDefault="003F2925" w:rsidP="00026049">
      <w:pPr>
        <w:pStyle w:val="Normal1"/>
        <w:rPr>
          <w:lang w:val="en-GB"/>
        </w:rPr>
      </w:pPr>
    </w:p>
    <w:p w14:paraId="7D6E2123" w14:textId="6505D6D9" w:rsidR="00633B0D" w:rsidRPr="00B56453" w:rsidRDefault="00E53628" w:rsidP="00BA4521">
      <w:pPr>
        <w:pStyle w:val="Heading3"/>
      </w:pPr>
      <w:bookmarkStart w:id="217" w:name="_Toc500319361"/>
      <w:r w:rsidRPr="00B56453">
        <w:t>A3.9</w:t>
      </w:r>
      <w:r w:rsidR="00ED1E3D" w:rsidRPr="00B56453">
        <w:t>.3</w:t>
      </w:r>
      <w:r w:rsidR="00633B0D" w:rsidRPr="00B56453">
        <w:t xml:space="preserve"> Qualitative </w:t>
      </w:r>
      <w:r w:rsidR="00DE6AEB" w:rsidRPr="00B56453">
        <w:t>A</w:t>
      </w:r>
      <w:r w:rsidR="00633B0D" w:rsidRPr="00B56453">
        <w:t>nalysis</w:t>
      </w:r>
      <w:bookmarkEnd w:id="217"/>
    </w:p>
    <w:p w14:paraId="473BFEBC" w14:textId="264FA3D7" w:rsidR="003F2925" w:rsidRPr="00B56453" w:rsidRDefault="003F2925" w:rsidP="00026049">
      <w:pPr>
        <w:pStyle w:val="Normal1"/>
        <w:rPr>
          <w:shd w:val="clear" w:color="auto" w:fill="FFFFFF"/>
          <w:lang w:val="en-GB"/>
        </w:rPr>
      </w:pPr>
    </w:p>
    <w:p w14:paraId="2AEB7BB1" w14:textId="6E0D5A74" w:rsidR="00EA13B8" w:rsidRPr="00B56453" w:rsidRDefault="00F15431" w:rsidP="00026049">
      <w:pPr>
        <w:pStyle w:val="Normal1"/>
        <w:rPr>
          <w:shd w:val="clear" w:color="auto" w:fill="FFFFFF"/>
          <w:lang w:val="en-GB"/>
        </w:rPr>
      </w:pPr>
      <w:r w:rsidRPr="00B56453">
        <w:rPr>
          <w:lang w:val="en-GB"/>
        </w:rPr>
        <w:t xml:space="preserve">A </w:t>
      </w:r>
      <w:r w:rsidRPr="00B56453">
        <w:rPr>
          <w:shd w:val="clear" w:color="auto" w:fill="FFFFFF"/>
          <w:lang w:val="en-GB"/>
        </w:rPr>
        <w:t>thematic framework approach</w:t>
      </w:r>
      <w:r w:rsidR="00D441E3" w:rsidRPr="00B56453">
        <w:rPr>
          <w:shd w:val="clear" w:color="auto" w:fill="FFFFFF"/>
          <w:lang w:val="en-GB"/>
        </w:rPr>
        <w:t xml:space="preserve"> was used to analyse all interview and focus group data in this study. </w:t>
      </w:r>
      <w:r w:rsidR="006A2611" w:rsidRPr="00B56453">
        <w:rPr>
          <w:shd w:val="clear" w:color="auto" w:fill="FFFFFF"/>
          <w:lang w:val="en-GB"/>
        </w:rPr>
        <w:t xml:space="preserve">Thematic </w:t>
      </w:r>
      <w:r w:rsidR="00D441E3" w:rsidRPr="00B56453">
        <w:rPr>
          <w:shd w:val="clear" w:color="auto" w:fill="FFFFFF"/>
          <w:lang w:val="en-GB"/>
        </w:rPr>
        <w:t xml:space="preserve">framework </w:t>
      </w:r>
      <w:r w:rsidR="006A2611" w:rsidRPr="00B56453">
        <w:rPr>
          <w:shd w:val="clear" w:color="auto" w:fill="FFFFFF"/>
          <w:lang w:val="en-GB"/>
        </w:rPr>
        <w:t xml:space="preserve">analysis </w:t>
      </w:r>
      <w:r w:rsidR="00D441E3" w:rsidRPr="00B56453">
        <w:rPr>
          <w:shd w:val="clear" w:color="auto" w:fill="FFFFFF"/>
          <w:lang w:val="en-GB"/>
        </w:rPr>
        <w:t xml:space="preserve">was developed by </w:t>
      </w:r>
      <w:hyperlink w:anchor="_ENREF_345" w:tooltip="Ritchie, 2002 #558" w:history="1">
        <w:r w:rsidR="0094469E" w:rsidRPr="00B27F0B">
          <w:rPr>
            <w:shd w:val="clear" w:color="auto" w:fill="FFFFFF"/>
            <w:lang w:val="en-GB"/>
          </w:rPr>
          <w:fldChar w:fldCharType="begin"/>
        </w:r>
        <w:r w:rsidR="0094469E" w:rsidRPr="00B56453">
          <w:rPr>
            <w:shd w:val="clear" w:color="auto" w:fill="FFFFFF"/>
            <w:lang w:val="en-GB"/>
          </w:rPr>
          <w:instrText xml:space="preserve"> ADDIN EN.CITE &lt;EndNote&gt;&lt;Cite AuthorYear="1"&gt;&lt;Author&gt;Ritchie&lt;/Author&gt;&lt;Year&gt;2002&lt;/Year&gt;&lt;RecNum&gt;558&lt;/RecNum&gt;&lt;DisplayText&gt;Ritchie and Spencer (2002)&lt;/DisplayText&gt;&lt;record&gt;&lt;rec-number&gt;558&lt;/rec-number&gt;&lt;foreign-keys&gt;&lt;key app="EN" db-id="xa2r2ewea92trkef5dt5arvbzafvpv2za5ft" timestamp="1496417554"&gt;558&lt;/key&gt;&lt;/foreign-keys&gt;&lt;ref-type name="Journal Article"&gt;17&lt;/ref-type&gt;&lt;contributors&gt;&lt;authors&gt;&lt;author&gt;Ritchie, Jane&lt;/author&gt;&lt;author&gt;Spencer, Liz&lt;/author&gt;&lt;/authors&gt;&lt;/contributors&gt;&lt;titles&gt;&lt;title&gt;Qualitative data analysis for applied policy research&lt;/title&gt;&lt;secondary-title&gt;The qualitative researcher’s companion&lt;/secondary-title&gt;&lt;/titles&gt;&lt;periodical&gt;&lt;full-title&gt;The qualitative researcher’s companion&lt;/full-title&gt;&lt;/periodical&gt;&lt;pages&gt;305-329&lt;/pages&gt;&lt;volume&gt;573&lt;/volume&gt;&lt;number&gt;2002&lt;/number&gt;&lt;dates&gt;&lt;year&gt;2002&lt;/year&gt;&lt;/dates&gt;&lt;urls&gt;&lt;/urls&gt;&lt;/record&gt;&lt;/Cite&gt;&lt;/EndNote&gt;</w:instrText>
        </w:r>
        <w:r w:rsidR="0094469E" w:rsidRPr="00B27F0B">
          <w:rPr>
            <w:shd w:val="clear" w:color="auto" w:fill="FFFFFF"/>
            <w:lang w:val="en-GB"/>
          </w:rPr>
          <w:fldChar w:fldCharType="separate"/>
        </w:r>
        <w:r w:rsidR="0094469E" w:rsidRPr="00B56453">
          <w:rPr>
            <w:noProof/>
            <w:shd w:val="clear" w:color="auto" w:fill="FFFFFF"/>
            <w:lang w:val="en-GB"/>
          </w:rPr>
          <w:t>Ritchie and Spencer (2002)</w:t>
        </w:r>
        <w:r w:rsidR="0094469E" w:rsidRPr="00B27F0B">
          <w:rPr>
            <w:shd w:val="clear" w:color="auto" w:fill="FFFFFF"/>
            <w:lang w:val="en-GB"/>
          </w:rPr>
          <w:fldChar w:fldCharType="end"/>
        </w:r>
      </w:hyperlink>
      <w:r w:rsidR="00AF7BF0" w:rsidRPr="00B56453">
        <w:rPr>
          <w:shd w:val="clear" w:color="auto" w:fill="FFFFFF"/>
          <w:lang w:val="en-GB"/>
        </w:rPr>
        <w:t xml:space="preserve"> and is a method which allows the researcher to identify and explore themes in rich detail without the restriction of being bound to a specific theoretical framework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&lt;EndNote&gt;&lt;Cite&gt;&lt;Author&gt;Braun&lt;/Author&gt;&lt;Year&gt;2006&lt;/Year&gt;&lt;RecNum&gt;557&lt;/RecNum&gt;&lt;DisplayText&gt;(Braun and Clarke 2006)&lt;/DisplayText&gt;&lt;record&gt;&lt;rec-number&gt;557&lt;/rec-number&gt;&lt;foreign-keys&gt;&lt;key app="EN" db-id="xa2r2ewea92trkef5dt5arvbzafvpv2za5ft" timestamp="1496417554"&gt;557&lt;/key&gt;&lt;/foreign-keys&gt;&lt;ref-type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54" w:tooltip="Braun, 2006 #557" w:history="1">
        <w:r w:rsidR="0094469E" w:rsidRPr="00B56453">
          <w:rPr>
            <w:noProof/>
            <w:shd w:val="clear" w:color="auto" w:fill="FFFFFF"/>
            <w:lang w:val="en-GB"/>
          </w:rPr>
          <w:t>Braun and Clarke 2006</w:t>
        </w:r>
      </w:hyperlink>
      <w:r w:rsidR="004E5A78" w:rsidRPr="00B56453">
        <w:rPr>
          <w:noProof/>
          <w:shd w:val="clear" w:color="auto" w:fill="FFFFFF"/>
          <w:lang w:val="en-GB"/>
        </w:rPr>
        <w:t>)</w:t>
      </w:r>
      <w:r w:rsidR="00EF281A" w:rsidRPr="007638B6">
        <w:rPr>
          <w:shd w:val="clear" w:color="auto" w:fill="FFFFFF"/>
          <w:lang w:val="en-GB"/>
        </w:rPr>
        <w:fldChar w:fldCharType="end"/>
      </w:r>
      <w:r w:rsidR="00AF7BF0" w:rsidRPr="00B56453">
        <w:rPr>
          <w:shd w:val="clear" w:color="auto" w:fill="FFFFFF"/>
          <w:lang w:val="en-GB"/>
        </w:rPr>
        <w:t xml:space="preserve">; such as </w:t>
      </w:r>
      <w:r w:rsidR="008B39A6" w:rsidRPr="00B56453">
        <w:rPr>
          <w:shd w:val="clear" w:color="auto" w:fill="FFFFFF"/>
          <w:lang w:val="en-GB"/>
        </w:rPr>
        <w:t xml:space="preserve">a </w:t>
      </w:r>
      <w:r w:rsidR="00AF7BF0" w:rsidRPr="00B56453">
        <w:rPr>
          <w:shd w:val="clear" w:color="auto" w:fill="FFFFFF"/>
          <w:lang w:val="en-GB"/>
        </w:rPr>
        <w:t xml:space="preserve">grounded </w:t>
      </w:r>
      <w:r w:rsidR="008B39A6" w:rsidRPr="00B56453">
        <w:rPr>
          <w:shd w:val="clear" w:color="auto" w:fill="FFFFFF"/>
          <w:lang w:val="en-GB"/>
        </w:rPr>
        <w:t>approach</w:t>
      </w:r>
      <w:r w:rsidR="00AF7BF0" w:rsidRPr="00B56453">
        <w:rPr>
          <w:shd w:val="clear" w:color="auto" w:fill="FFFFFF"/>
          <w:lang w:val="en-GB"/>
        </w:rPr>
        <w:t xml:space="preserve"> which seeks to develop a new theory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&lt;EndNote&gt;&lt;Cite&gt;&lt;Author&gt;McLeod&lt;/Author&gt;&lt;Year&gt;2011&lt;/Year&gt;&lt;RecNum&gt;559&lt;/RecNum&gt;&lt;DisplayText&gt;(McLeod 2011)&lt;/DisplayText&gt;&lt;record&gt;&lt;rec-number&gt;559&lt;/rec-number&gt;&lt;foreign-keys&gt;&lt;key app="EN" db-id="xa2r2ewea92trkef5dt5arvbzafvpv2za5ft" timestamp="1496417554"&gt;559&lt;/key&gt;&lt;/foreign-keys&gt;&lt;ref-type name="Book"&gt;6&lt;/ref-type&gt;&lt;contributors&gt;&lt;authors&gt;&lt;author&gt;McLeod, John&lt;/author&gt;&lt;/authors&gt;&lt;/contributors&gt;&lt;titles&gt;&lt;title&gt;Qualitative research in counselling and psychotherapy&lt;/title&gt;&lt;/titles&gt;&lt;dates&gt;&lt;year&gt;2011&lt;/year&gt;&lt;/dates&gt;&lt;publisher&gt;Sage&lt;/publisher&gt;&lt;isbn&gt;1849200610&lt;/isbn&gt;&lt;urls&gt;&lt;/urls&gt;&lt;/record&gt;&lt;/Cite&gt;&lt;/EndNote&gt;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270" w:tooltip="McLeod, 2011 #559" w:history="1">
        <w:r w:rsidR="0094469E" w:rsidRPr="00B56453">
          <w:rPr>
            <w:noProof/>
            <w:shd w:val="clear" w:color="auto" w:fill="FFFFFF"/>
            <w:lang w:val="en-GB"/>
          </w:rPr>
          <w:t>McLeod 2011</w:t>
        </w:r>
      </w:hyperlink>
      <w:r w:rsidR="004E5A78" w:rsidRPr="00B56453">
        <w:rPr>
          <w:noProof/>
          <w:shd w:val="clear" w:color="auto" w:fill="FFFFFF"/>
          <w:lang w:val="en-GB"/>
        </w:rPr>
        <w:t>)</w:t>
      </w:r>
      <w:r w:rsidR="00EF281A" w:rsidRPr="007638B6">
        <w:rPr>
          <w:shd w:val="clear" w:color="auto" w:fill="FFFFFF"/>
          <w:lang w:val="en-GB"/>
        </w:rPr>
        <w:fldChar w:fldCharType="end"/>
      </w:r>
      <w:r w:rsidR="00AF7BF0" w:rsidRPr="00B56453">
        <w:rPr>
          <w:shd w:val="clear" w:color="auto" w:fill="FFFFFF"/>
          <w:lang w:val="en-GB"/>
        </w:rPr>
        <w:t>. It stems from thematic analysis which is</w:t>
      </w:r>
      <w:r w:rsidRPr="00B56453">
        <w:rPr>
          <w:shd w:val="clear" w:color="auto" w:fill="FFFFFF"/>
          <w:lang w:val="en-GB"/>
        </w:rPr>
        <w:t xml:space="preserve"> arguably the most common method of qualitative analysis and the bedrock for other </w:t>
      </w:r>
      <w:r w:rsidR="00AF7BF0" w:rsidRPr="00B56453">
        <w:rPr>
          <w:shd w:val="clear" w:color="auto" w:fill="FFFFFF"/>
          <w:lang w:val="en-GB"/>
        </w:rPr>
        <w:t>methods</w:t>
      </w:r>
      <w:r w:rsidR="00EA13B8" w:rsidRPr="00B56453">
        <w:rPr>
          <w:shd w:val="clear" w:color="auto" w:fill="FFFFFF"/>
          <w:lang w:val="en-GB"/>
        </w:rPr>
        <w:t>,</w:t>
      </w:r>
      <w:r w:rsidRPr="00B56453">
        <w:rPr>
          <w:shd w:val="clear" w:color="auto" w:fill="FFFFFF"/>
          <w:lang w:val="en-GB"/>
        </w:rPr>
        <w:t xml:space="preserve"> and for developing core skills in </w:t>
      </w:r>
      <w:r w:rsidR="00AF7BF0" w:rsidRPr="00B56453">
        <w:rPr>
          <w:shd w:val="clear" w:color="auto" w:fill="FFFFFF"/>
          <w:lang w:val="en-GB"/>
        </w:rPr>
        <w:t>analytical techniques</w:t>
      </w:r>
      <w:r w:rsidRPr="00B56453">
        <w:rPr>
          <w:shd w:val="clear" w:color="auto" w:fill="FFFFFF"/>
          <w:lang w:val="en-GB"/>
        </w:rPr>
        <w:t xml:space="preserve">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&lt;EndNote&gt;&lt;Cite&gt;&lt;Author&gt;Braun&lt;/Author&gt;&lt;Year&gt;2006&lt;/Year&gt;&lt;RecNum&gt;557&lt;/RecNum&gt;&lt;DisplayText&gt;(Braun and Clarke 2006)&lt;/DisplayText&gt;&lt;record&gt;&lt;rec-number&gt;557&lt;/rec-number&gt;&lt;foreign-keys&gt;&lt;key app="EN" db-id="xa2r2ewea92trkef5dt5arvbzafvpv2za5ft" timestamp="1496417554"&gt;557&lt;/key&gt;&lt;/foreign-keys&gt;&lt;ref-type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54" w:tooltip="Braun, 2006 #557" w:history="1">
        <w:r w:rsidR="0094469E" w:rsidRPr="00B56453">
          <w:rPr>
            <w:noProof/>
            <w:shd w:val="clear" w:color="auto" w:fill="FFFFFF"/>
            <w:lang w:val="en-GB"/>
          </w:rPr>
          <w:t>Braun and Clarke 2006</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w:t>
      </w:r>
      <w:r w:rsidR="006A2611" w:rsidRPr="00B56453">
        <w:rPr>
          <w:shd w:val="clear" w:color="auto" w:fill="FFFFFF"/>
          <w:lang w:val="en-GB"/>
        </w:rPr>
        <w:t xml:space="preserve"> </w:t>
      </w:r>
      <w:r w:rsidR="003F2925" w:rsidRPr="00B56453">
        <w:rPr>
          <w:shd w:val="clear" w:color="auto" w:fill="FFFFFF"/>
          <w:lang w:val="en-GB"/>
        </w:rPr>
        <w:t xml:space="preserve">The framework approach </w:t>
      </w:r>
      <w:r w:rsidR="00AF7BF0" w:rsidRPr="00B56453">
        <w:rPr>
          <w:shd w:val="clear" w:color="auto" w:fill="FFFFFF"/>
          <w:lang w:val="en-GB"/>
        </w:rPr>
        <w:t xml:space="preserve">was chosen as it </w:t>
      </w:r>
      <w:r w:rsidR="003F2925" w:rsidRPr="00B56453">
        <w:rPr>
          <w:shd w:val="clear" w:color="auto" w:fill="FFFFFF"/>
          <w:lang w:val="en-GB"/>
        </w:rPr>
        <w:t>allows for a systematic and sequential approach to analysing qualitative text data which is descriptive in nature (Ritchie, Spencer and O’Connor, 2003).</w:t>
      </w:r>
      <w:r w:rsidR="00AA3E2C" w:rsidRPr="00B56453">
        <w:rPr>
          <w:shd w:val="clear" w:color="auto" w:fill="FFFFFF"/>
          <w:lang w:val="en-GB"/>
        </w:rPr>
        <w:t xml:space="preserve"> </w:t>
      </w:r>
      <w:r w:rsidR="00EA13B8" w:rsidRPr="00B56453">
        <w:rPr>
          <w:shd w:val="clear" w:color="auto" w:fill="FFFFFF"/>
          <w:lang w:val="en-GB"/>
        </w:rPr>
        <w:t xml:space="preserve">It was also chosen due to its flexibility; it can be used within a range of philosophical paradigms and theoretical frameworks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&lt;EndNote&gt;&lt;Cite&gt;&lt;Author&gt;Braun&lt;/Author&gt;&lt;Year&gt;2006&lt;/Year&gt;&lt;RecNum&gt;557&lt;/RecNum&gt;&lt;DisplayText&gt;(Braun and Clarke 2006)&lt;/DisplayText&gt;&lt;record&gt;&lt;rec-number&gt;557&lt;/rec-number&gt;&lt;foreign-keys&gt;&lt;key app="EN" db-id="xa2r2ewea92trkef5dt5arvbzafvpv2za5ft" timestamp="1496417554"&gt;557&lt;/key&gt;&lt;/foreign-keys&gt;&lt;ref-type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54" w:tooltip="Braun, 2006 #557" w:history="1">
        <w:r w:rsidR="0094469E" w:rsidRPr="00B56453">
          <w:rPr>
            <w:noProof/>
            <w:shd w:val="clear" w:color="auto" w:fill="FFFFFF"/>
            <w:lang w:val="en-GB"/>
          </w:rPr>
          <w:t>Braun and Clarke 2006</w:t>
        </w:r>
      </w:hyperlink>
      <w:r w:rsidR="004E5A78" w:rsidRPr="00B56453">
        <w:rPr>
          <w:noProof/>
          <w:shd w:val="clear" w:color="auto" w:fill="FFFFFF"/>
          <w:lang w:val="en-GB"/>
        </w:rPr>
        <w:t>)</w:t>
      </w:r>
      <w:r w:rsidR="00EF281A" w:rsidRPr="007638B6">
        <w:rPr>
          <w:shd w:val="clear" w:color="auto" w:fill="FFFFFF"/>
          <w:lang w:val="en-GB"/>
        </w:rPr>
        <w:fldChar w:fldCharType="end"/>
      </w:r>
      <w:r w:rsidR="00EA13B8" w:rsidRPr="00B56453">
        <w:rPr>
          <w:shd w:val="clear" w:color="auto" w:fill="FFFFFF"/>
          <w:lang w:val="en-GB"/>
        </w:rPr>
        <w:t xml:space="preserve">. </w:t>
      </w:r>
      <w:r w:rsidR="00AA3E2C" w:rsidRPr="00B56453">
        <w:rPr>
          <w:shd w:val="clear" w:color="auto" w:fill="FFFFFF"/>
          <w:lang w:val="en-GB"/>
        </w:rPr>
        <w:t>Thematic framework analysis involves five</w:t>
      </w:r>
      <w:r w:rsidR="003F2925" w:rsidRPr="00B56453">
        <w:rPr>
          <w:shd w:val="clear" w:color="auto" w:fill="FFFFFF"/>
          <w:lang w:val="en-GB"/>
        </w:rPr>
        <w:t xml:space="preserve"> defined processes</w:t>
      </w:r>
      <w:r w:rsidR="00AA3E2C" w:rsidRPr="00B56453">
        <w:rPr>
          <w:shd w:val="clear" w:color="auto" w:fill="FFFFFF"/>
          <w:lang w:val="en-GB"/>
        </w:rPr>
        <w:t xml:space="preserve"> (</w:t>
      </w:r>
      <w:r w:rsidR="00AE17C9" w:rsidRPr="00B56453">
        <w:rPr>
          <w:shd w:val="clear" w:color="auto" w:fill="FFFFFF"/>
          <w:lang w:val="en-GB"/>
        </w:rPr>
        <w:t>Figure</w:t>
      </w:r>
      <w:r w:rsidR="00AA3E2C" w:rsidRPr="00B56453">
        <w:rPr>
          <w:shd w:val="clear" w:color="auto" w:fill="FFFFFF"/>
          <w:lang w:val="en-GB"/>
        </w:rPr>
        <w:t xml:space="preserve"> </w:t>
      </w:r>
      <w:r w:rsidR="00357D07" w:rsidRPr="00B56453">
        <w:rPr>
          <w:shd w:val="clear" w:color="auto" w:fill="FFFFFF"/>
          <w:lang w:val="en-GB"/>
        </w:rPr>
        <w:t>A3.4</w:t>
      </w:r>
      <w:r w:rsidR="00AA3E2C" w:rsidRPr="00B56453">
        <w:rPr>
          <w:shd w:val="clear" w:color="auto" w:fill="FFFFFF"/>
          <w:lang w:val="en-GB"/>
        </w:rPr>
        <w:t>)</w:t>
      </w:r>
      <w:r w:rsidR="003F2925" w:rsidRPr="00B56453">
        <w:rPr>
          <w:shd w:val="clear" w:color="auto" w:fill="FFFFFF"/>
          <w:lang w:val="en-GB"/>
        </w:rPr>
        <w:t xml:space="preserve"> which </w:t>
      </w:r>
      <w:r w:rsidR="00AA3E2C" w:rsidRPr="00B56453">
        <w:rPr>
          <w:shd w:val="clear" w:color="auto" w:fill="FFFFFF"/>
          <w:lang w:val="en-GB"/>
        </w:rPr>
        <w:t>are</w:t>
      </w:r>
      <w:r w:rsidR="003F2925" w:rsidRPr="00B56453">
        <w:rPr>
          <w:shd w:val="clear" w:color="auto" w:fill="FFFFFF"/>
          <w:lang w:val="en-GB"/>
        </w:rPr>
        <w:t xml:space="preserve"> iteratively c</w:t>
      </w:r>
      <w:r w:rsidR="00B771DB" w:rsidRPr="00B56453">
        <w:rPr>
          <w:shd w:val="clear" w:color="auto" w:fill="FFFFFF"/>
          <w:lang w:val="en-GB"/>
        </w:rPr>
        <w:t>onducted and</w:t>
      </w:r>
      <w:r w:rsidR="003F2925" w:rsidRPr="00B56453">
        <w:rPr>
          <w:shd w:val="clear" w:color="auto" w:fill="FFFFFF"/>
          <w:lang w:val="en-GB"/>
        </w:rPr>
        <w:t xml:space="preserve"> </w:t>
      </w:r>
      <w:r w:rsidR="00AA3E2C" w:rsidRPr="00B56453">
        <w:rPr>
          <w:shd w:val="clear" w:color="auto" w:fill="FFFFFF"/>
          <w:lang w:val="en-GB"/>
        </w:rPr>
        <w:t xml:space="preserve">supplemented by peer debriefing and the use of research diaries </w:t>
      </w:r>
      <w:r w:rsidR="003F2925" w:rsidRPr="00B56453">
        <w:rPr>
          <w:shd w:val="clear" w:color="auto" w:fill="FFFFFF"/>
          <w:lang w:val="en-GB"/>
        </w:rPr>
        <w:t>at eac</w:t>
      </w:r>
      <w:r w:rsidR="00875DA2" w:rsidRPr="00B56453">
        <w:rPr>
          <w:shd w:val="clear" w:color="auto" w:fill="FFFFFF"/>
          <w:lang w:val="en-GB"/>
        </w:rPr>
        <w:t>h stage of analysis</w:t>
      </w:r>
      <w:r w:rsidR="00AA3E2C" w:rsidRPr="00B56453">
        <w:rPr>
          <w:shd w:val="clear" w:color="auto" w:fill="FFFFFF"/>
          <w:lang w:val="en-GB"/>
        </w:rPr>
        <w:t xml:space="preserve">. </w:t>
      </w:r>
    </w:p>
    <w:p w14:paraId="20671FDE" w14:textId="56815E03" w:rsidR="00EA13B8" w:rsidRPr="00B56453" w:rsidRDefault="000B7C1A" w:rsidP="003F2925">
      <w:pPr>
        <w:rPr>
          <w:shd w:val="clear" w:color="auto" w:fill="FFFFFF"/>
        </w:rPr>
      </w:pPr>
      <w:r w:rsidRPr="00B56453">
        <w:rPr>
          <w:noProof/>
          <w:lang w:eastAsia="en-GB"/>
        </w:rPr>
        <w:lastRenderedPageBreak/>
        <w:drawing>
          <wp:anchor distT="0" distB="0" distL="114300" distR="114300" simplePos="0" relativeHeight="251875328" behindDoc="0" locked="0" layoutInCell="1" allowOverlap="1" wp14:anchorId="079F10FC" wp14:editId="1843B731">
            <wp:simplePos x="0" y="0"/>
            <wp:positionH relativeFrom="column">
              <wp:posOffset>388206</wp:posOffset>
            </wp:positionH>
            <wp:positionV relativeFrom="paragraph">
              <wp:posOffset>328930</wp:posOffset>
            </wp:positionV>
            <wp:extent cx="4220210" cy="3128645"/>
            <wp:effectExtent l="0" t="0" r="21590" b="20955"/>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56CE968A" w14:textId="77777777" w:rsidR="00E52DD2" w:rsidRPr="00BD42AF" w:rsidRDefault="00E52DD2" w:rsidP="0019449A">
      <w:pPr>
        <w:pStyle w:val="Caption"/>
      </w:pPr>
    </w:p>
    <w:p w14:paraId="61F6B02A" w14:textId="0CC2B3ED" w:rsidR="00EA13B8" w:rsidRPr="00B56453" w:rsidRDefault="0019449A" w:rsidP="0019449A">
      <w:pPr>
        <w:pStyle w:val="Caption"/>
        <w:rPr>
          <w:i/>
        </w:rPr>
      </w:pPr>
      <w:bookmarkStart w:id="218" w:name="_Toc500319540"/>
      <w:r w:rsidRPr="00BD42AF">
        <w:t>Figure A3.</w:t>
      </w:r>
      <w:fldSimple w:instr=" SEQ Figure_A3. \* ARABIC ">
        <w:r w:rsidR="00E44881" w:rsidRPr="00B56453">
          <w:rPr>
            <w:noProof/>
          </w:rPr>
          <w:t>4</w:t>
        </w:r>
      </w:fldSimple>
      <w:r w:rsidR="00EA13B8" w:rsidRPr="00B56453">
        <w:rPr>
          <w:b/>
        </w:rPr>
        <w:t xml:space="preserve"> </w:t>
      </w:r>
      <w:r w:rsidR="00EA13B8" w:rsidRPr="00B56453">
        <w:t>The hierarchical framework approach</w:t>
      </w:r>
      <w:r w:rsidR="00E52DD2" w:rsidRPr="00B56453">
        <w:t xml:space="preserve"> with stage in ascending order</w:t>
      </w:r>
      <w:r w:rsidR="00EA13B8" w:rsidRPr="00B56453">
        <w:t xml:space="preserve">, </w:t>
      </w:r>
      <w:r w:rsidR="00E52DD2" w:rsidRPr="00B56453">
        <w:t>information</w:t>
      </w:r>
      <w:r w:rsidR="00EA13B8" w:rsidRPr="00B56453">
        <w:t xml:space="preserve"> from </w:t>
      </w:r>
      <w:hyperlink w:anchor="_ENREF_346" w:tooltip="Ritchie, 2003 #213" w:history="1">
        <w:r w:rsidR="0094469E" w:rsidRPr="00B27F0B">
          <w:fldChar w:fldCharType="begin"/>
        </w:r>
        <w:r w:rsidR="0094469E" w:rsidRPr="00B56453">
          <w:instrText xml:space="preserve"> ADDIN EN.CITE &lt;EndNote&gt;&lt;Cite AuthorYear="1"&gt;&lt;Author&gt;Ritchie&lt;/Author&gt;&lt;Year&gt;2003&lt;/Year&gt;&lt;RecNum&gt;213&lt;/RecNum&gt;&lt;DisplayText&gt;Ritchie et al. (2003)&lt;/DisplayText&gt;&lt;record&gt;&lt;rec-number&gt;213&lt;/rec-number&gt;&lt;foreign-keys&gt;&lt;key app="EN" db-id="xa2r2ewea92trkef5dt5arvbzafvpv2za5ft" timestamp="1442161765"&gt;213&lt;/key&gt;&lt;/foreign-keys&gt;&lt;ref-type name="Journal Article"&gt;17&lt;/ref-type&gt;&lt;contributors&gt;&lt;authors&gt;&lt;author&gt;Ritchie, Jane&lt;/author&gt;&lt;author&gt;Spencer, Liz&lt;/author&gt;&lt;author&gt;O’Connor, William&lt;/author&gt;&lt;/authors&gt;&lt;/contributors&gt;&lt;titles&gt;&lt;title&gt;Carrying out qualitative analysis&lt;/title&gt;&lt;secondary-title&gt;Qualitative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researchers&lt;/full-title&gt;&lt;/periodical&gt;&lt;pages&gt;219-262&lt;/pages&gt;&lt;dates&gt;&lt;year&gt;2003&lt;/year&gt;&lt;/dates&gt;&lt;publisher&gt;Sage Publications London&lt;/publisher&gt;&lt;urls&gt;&lt;/urls&gt;&lt;/record&gt;&lt;/Cite&gt;&lt;/EndNote&gt;</w:instrText>
        </w:r>
        <w:r w:rsidR="0094469E" w:rsidRPr="00B27F0B">
          <w:fldChar w:fldCharType="separate"/>
        </w:r>
        <w:r w:rsidR="0094469E" w:rsidRPr="00B56453">
          <w:rPr>
            <w:noProof/>
          </w:rPr>
          <w:t>Ritchie et al. (2003)</w:t>
        </w:r>
        <w:r w:rsidR="0094469E" w:rsidRPr="00B27F0B">
          <w:fldChar w:fldCharType="end"/>
        </w:r>
      </w:hyperlink>
      <w:r w:rsidR="00EA13B8" w:rsidRPr="00B56453">
        <w:rPr>
          <w:rFonts w:eastAsiaTheme="minorEastAsia"/>
          <w:color w:val="000000"/>
        </w:rPr>
        <w:t>.</w:t>
      </w:r>
      <w:bookmarkEnd w:id="218"/>
    </w:p>
    <w:p w14:paraId="04F4697A" w14:textId="0867E6C6" w:rsidR="00EA13B8" w:rsidRPr="00B56453" w:rsidRDefault="00EA13B8" w:rsidP="00026049">
      <w:pPr>
        <w:pStyle w:val="Normal1"/>
        <w:rPr>
          <w:lang w:val="en-GB"/>
        </w:rPr>
      </w:pPr>
    </w:p>
    <w:p w14:paraId="2C468F92" w14:textId="31A13243" w:rsidR="00B3624D" w:rsidRPr="00B56453" w:rsidRDefault="00AA3E2C" w:rsidP="00026049">
      <w:pPr>
        <w:pStyle w:val="Normal1"/>
        <w:rPr>
          <w:shd w:val="clear" w:color="auto" w:fill="FFFFFF"/>
          <w:lang w:val="en-GB"/>
        </w:rPr>
      </w:pPr>
      <w:r w:rsidRPr="00B56453">
        <w:rPr>
          <w:shd w:val="clear" w:color="auto" w:fill="FFFFFF"/>
          <w:lang w:val="en-GB"/>
        </w:rPr>
        <w:t>The first stage involved</w:t>
      </w:r>
      <w:r w:rsidR="003F2925" w:rsidRPr="00B56453">
        <w:rPr>
          <w:shd w:val="clear" w:color="auto" w:fill="FFFFFF"/>
          <w:lang w:val="en-GB"/>
        </w:rPr>
        <w:t xml:space="preserve"> identifying k</w:t>
      </w:r>
      <w:r w:rsidRPr="00B56453">
        <w:rPr>
          <w:shd w:val="clear" w:color="auto" w:fill="FFFFFF"/>
          <w:lang w:val="en-GB"/>
        </w:rPr>
        <w:t>ey themes and concepts which arose from field notes</w:t>
      </w:r>
      <w:r w:rsidR="003F2925" w:rsidRPr="00B56453">
        <w:rPr>
          <w:shd w:val="clear" w:color="auto" w:fill="FFFFFF"/>
          <w:lang w:val="en-GB"/>
        </w:rPr>
        <w:t xml:space="preserve"> and </w:t>
      </w:r>
      <w:r w:rsidR="002A1B27" w:rsidRPr="00B56453">
        <w:rPr>
          <w:shd w:val="clear" w:color="auto" w:fill="FFFFFF"/>
          <w:lang w:val="en-GB"/>
        </w:rPr>
        <w:t xml:space="preserve">transcribing the data – an interpretive act in itself which helped to understand the data initially </w:t>
      </w:r>
      <w:r w:rsidR="002A1B27" w:rsidRPr="007638B6">
        <w:rPr>
          <w:shd w:val="clear" w:color="auto" w:fill="FFFFFF"/>
          <w:lang w:val="en-GB"/>
        </w:rPr>
        <w:fldChar w:fldCharType="begin"/>
      </w:r>
      <w:r w:rsidR="008B61BE" w:rsidRPr="00B56453">
        <w:rPr>
          <w:shd w:val="clear" w:color="auto" w:fill="FFFFFF"/>
          <w:lang w:val="en-GB"/>
        </w:rPr>
        <w:instrText xml:space="preserve"> ADDIN EN.CITE &lt;EndNote&gt;&lt;Cite&gt;&lt;Author&gt;Riessman&lt;/Author&gt;&lt;Year&gt;1993&lt;/Year&gt;&lt;RecNum&gt;560&lt;/RecNum&gt;&lt;DisplayText&gt;(Riessman 1993; Lapadat and Lindsay 1999)&lt;/DisplayText&gt;&lt;record&gt;&lt;rec-number&gt;560&lt;/rec-number&gt;&lt;foreign-keys&gt;&lt;key app="EN" db-id="xa2r2ewea92trkef5dt5arvbzafvpv2za5ft" timestamp="1496417554"&gt;560&lt;/key&gt;&lt;/foreign-keys&gt;&lt;ref-type name="Book"&gt;6&lt;/ref-type&gt;&lt;contributors&gt;&lt;authors&gt;&lt;author&gt;Riessman, Catherine Kohler&lt;/author&gt;&lt;/authors&gt;&lt;/contributors&gt;&lt;titles&gt;&lt;title&gt;Narrative analysis&lt;/title&gt;&lt;/titles&gt;&lt;volume&gt;30&lt;/volume&gt;&lt;dates&gt;&lt;year&gt;1993&lt;/year&gt;&lt;/dates&gt;&lt;publisher&gt;Sage&lt;/publisher&gt;&lt;isbn&gt;0803947542&lt;/isbn&gt;&lt;urls&gt;&lt;/urls&gt;&lt;/record&gt;&lt;/Cite&gt;&lt;Cite&gt;&lt;Author&gt;Lapadat&lt;/Author&gt;&lt;Year&gt;1999&lt;/Year&gt;&lt;RecNum&gt;561&lt;/RecNum&gt;&lt;record&gt;&lt;rec-number&gt;561&lt;/rec-number&gt;&lt;foreign-keys&gt;&lt;key app="EN" db-id="xa2r2ewea92trkef5dt5arvbzafvpv2za5ft" timestamp="1496417554"&gt;561&lt;/key&gt;&lt;/foreign-keys&gt;&lt;ref-type name="Journal Article"&gt;17&lt;/ref-type&gt;&lt;contributors&gt;&lt;authors&gt;&lt;author&gt;Lapadat, Judith C&lt;/author&gt;&lt;author&gt;Lindsay, Anne C&lt;/author&gt;&lt;/authors&gt;&lt;/contributors&gt;&lt;titles&gt;&lt;title&gt;Transcription in research and practice: From standardization of technique to interpretive positionings&lt;/title&gt;&lt;secondary-title&gt;Qualitative inquiry&lt;/secondary-title&gt;&lt;/titles&gt;&lt;periodical&gt;&lt;full-title&gt;Qualitative inquiry&lt;/full-title&gt;&lt;/periodical&gt;&lt;pages&gt;64-86&lt;/pages&gt;&lt;volume&gt;5&lt;/volume&gt;&lt;number&gt;1&lt;/number&gt;&lt;dates&gt;&lt;year&gt;1999&lt;/year&gt;&lt;/dates&gt;&lt;isbn&gt;1077-8004&lt;/isbn&gt;&lt;urls&gt;&lt;/urls&gt;&lt;/record&gt;&lt;/Cite&gt;&lt;/EndNote&gt;</w:instrText>
      </w:r>
      <w:r w:rsidR="002A1B27" w:rsidRPr="00B27F0B">
        <w:rPr>
          <w:shd w:val="clear" w:color="auto" w:fill="FFFFFF"/>
          <w:lang w:val="en-GB"/>
        </w:rPr>
        <w:fldChar w:fldCharType="separate"/>
      </w:r>
      <w:r w:rsidR="004E5A78" w:rsidRPr="00B56453">
        <w:rPr>
          <w:noProof/>
          <w:shd w:val="clear" w:color="auto" w:fill="FFFFFF"/>
          <w:lang w:val="en-GB"/>
        </w:rPr>
        <w:t>(</w:t>
      </w:r>
      <w:hyperlink w:anchor="_ENREF_342" w:tooltip="Riessman, 1993 #560" w:history="1">
        <w:r w:rsidR="0094469E" w:rsidRPr="00B56453">
          <w:rPr>
            <w:noProof/>
            <w:shd w:val="clear" w:color="auto" w:fill="FFFFFF"/>
            <w:lang w:val="en-GB"/>
          </w:rPr>
          <w:t>Riessman 1993</w:t>
        </w:r>
      </w:hyperlink>
      <w:r w:rsidR="004E5A78" w:rsidRPr="00B56453">
        <w:rPr>
          <w:noProof/>
          <w:shd w:val="clear" w:color="auto" w:fill="FFFFFF"/>
          <w:lang w:val="en-GB"/>
        </w:rPr>
        <w:t xml:space="preserve">; </w:t>
      </w:r>
      <w:hyperlink w:anchor="_ENREF_234" w:tooltip="Lapadat, 1999 #561" w:history="1">
        <w:r w:rsidR="0094469E" w:rsidRPr="00B56453">
          <w:rPr>
            <w:noProof/>
            <w:shd w:val="clear" w:color="auto" w:fill="FFFFFF"/>
            <w:lang w:val="en-GB"/>
          </w:rPr>
          <w:t>Lapadat and Lindsay 1999</w:t>
        </w:r>
      </w:hyperlink>
      <w:r w:rsidR="004E5A78" w:rsidRPr="00B56453">
        <w:rPr>
          <w:noProof/>
          <w:shd w:val="clear" w:color="auto" w:fill="FFFFFF"/>
          <w:lang w:val="en-GB"/>
        </w:rPr>
        <w:t>)</w:t>
      </w:r>
      <w:r w:rsidR="002A1B27" w:rsidRPr="007638B6">
        <w:rPr>
          <w:shd w:val="clear" w:color="auto" w:fill="FFFFFF"/>
          <w:lang w:val="en-GB"/>
        </w:rPr>
        <w:fldChar w:fldCharType="end"/>
      </w:r>
      <w:r w:rsidR="002A1B27" w:rsidRPr="00B56453">
        <w:rPr>
          <w:shd w:val="clear" w:color="auto" w:fill="FFFFFF"/>
          <w:lang w:val="en-GB"/>
        </w:rPr>
        <w:t xml:space="preserve">. This process required immersion in the data sets through repeated reading and note taking prior to the formal coding process. The findings inform the </w:t>
      </w:r>
      <w:r w:rsidR="003F2925" w:rsidRPr="00B56453">
        <w:rPr>
          <w:shd w:val="clear" w:color="auto" w:fill="FFFFFF"/>
          <w:lang w:val="en-GB"/>
        </w:rPr>
        <w:t xml:space="preserve">development of the coding framework used to code </w:t>
      </w:r>
      <w:r w:rsidRPr="00B56453">
        <w:rPr>
          <w:shd w:val="clear" w:color="auto" w:fill="FFFFFF"/>
          <w:lang w:val="en-GB"/>
        </w:rPr>
        <w:t xml:space="preserve">the text data. </w:t>
      </w:r>
      <w:r w:rsidR="00B771DB" w:rsidRPr="00B56453">
        <w:rPr>
          <w:shd w:val="clear" w:color="auto" w:fill="FFFFFF"/>
          <w:lang w:val="en-GB"/>
        </w:rPr>
        <w:t xml:space="preserve">The method of coding was open in that text was coded from individual sentences, to paragraphs, to whole passages to identify both fine grain and more encompassing concepts arising from the data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&lt;EndNote&gt;&lt;Cite&gt;&lt;Author&gt;Strauss&lt;/Author&gt;&lt;Year&gt;1990&lt;/Year&gt;&lt;RecNum&gt;556&lt;/RecNum&gt;&lt;Pages&gt;74&lt;/Pages&gt;&lt;DisplayText&gt;(Strauss and Corbin 1990, p. 74)&lt;/DisplayText&gt;&lt;record&gt;&lt;rec-number&gt;556&lt;/rec-number&gt;&lt;foreign-keys&gt;&lt;key app="EN" db-id="xa2r2ewea92trkef5dt5arvbzafvpv2za5ft" timestamp="1496417554"&gt;556&lt;/key&gt;&lt;/foreign-keys&gt;&lt;ref-type name="Journal Article"&gt;17&lt;/ref-type&gt;&lt;contributors&gt;&lt;authors&gt;&lt;author&gt;Strauss, Anselm&lt;/author&gt;&lt;author&gt;Corbin, Juliet&lt;/author&gt;&lt;/authors&gt;&lt;/contributors&gt;&lt;titles&gt;&lt;title&gt;Open coding&lt;/title&gt;&lt;secondary-title&gt;Basics of qualitative research: Grounded theory procedures and techniques&lt;/secondary-title&gt;&lt;/titles&gt;&lt;periodical&gt;&lt;full-title&gt;Basics of qualitative research: Grounded theory procedures and techniques&lt;/full-title&gt;&lt;/periodical&gt;&lt;pages&gt;101-121&lt;/pages&gt;&lt;volume&gt;2&lt;/volume&gt;&lt;number&gt;1990&lt;/number&gt;&lt;dates&gt;&lt;year&gt;1990&lt;/year&gt;&lt;/dates&gt;&lt;urls&gt;&lt;/urls&gt;&lt;/record&gt;&lt;/Cite&gt;&lt;/EndNote&gt;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398" w:tooltip="Strauss, 1990 #556" w:history="1">
        <w:r w:rsidR="0094469E" w:rsidRPr="00B56453">
          <w:rPr>
            <w:noProof/>
            <w:shd w:val="clear" w:color="auto" w:fill="FFFFFF"/>
            <w:lang w:val="en-GB"/>
          </w:rPr>
          <w:t>Strauss and Corbin 1990, p. 74</w:t>
        </w:r>
      </w:hyperlink>
      <w:r w:rsidR="004E5A78" w:rsidRPr="00B56453">
        <w:rPr>
          <w:noProof/>
          <w:shd w:val="clear" w:color="auto" w:fill="FFFFFF"/>
          <w:lang w:val="en-GB"/>
        </w:rPr>
        <w:t>)</w:t>
      </w:r>
      <w:r w:rsidR="00EF281A" w:rsidRPr="007638B6">
        <w:rPr>
          <w:shd w:val="clear" w:color="auto" w:fill="FFFFFF"/>
          <w:lang w:val="en-GB"/>
        </w:rPr>
        <w:fldChar w:fldCharType="end"/>
      </w:r>
      <w:r w:rsidR="00B771DB" w:rsidRPr="00B56453">
        <w:rPr>
          <w:shd w:val="clear" w:color="auto" w:fill="FFFFFF"/>
          <w:lang w:val="en-GB"/>
        </w:rPr>
        <w:t xml:space="preserve">. </w:t>
      </w:r>
      <w:r w:rsidR="002A1B27" w:rsidRPr="00B56453">
        <w:rPr>
          <w:shd w:val="clear" w:color="auto" w:fill="FFFFFF"/>
          <w:lang w:val="en-GB"/>
        </w:rPr>
        <w:t>Coding</w:t>
      </w:r>
      <w:r w:rsidR="00033A09" w:rsidRPr="00B56453">
        <w:rPr>
          <w:shd w:val="clear" w:color="auto" w:fill="FFFFFF"/>
          <w:lang w:val="en-GB"/>
        </w:rPr>
        <w:t xml:space="preserve"> and theme generation</w:t>
      </w:r>
      <w:r w:rsidR="002A1B27" w:rsidRPr="00B56453">
        <w:rPr>
          <w:shd w:val="clear" w:color="auto" w:fill="FFFFFF"/>
          <w:lang w:val="en-GB"/>
        </w:rPr>
        <w:t xml:space="preserve"> was mostly data-driven</w:t>
      </w:r>
      <w:r w:rsidR="00033A09" w:rsidRPr="00B56453">
        <w:rPr>
          <w:shd w:val="clear" w:color="auto" w:fill="FFFFFF"/>
          <w:lang w:val="en-GB"/>
        </w:rPr>
        <w:t>,</w:t>
      </w:r>
      <w:r w:rsidR="002A1B27" w:rsidRPr="00B56453">
        <w:rPr>
          <w:shd w:val="clear" w:color="auto" w:fill="FFFFFF"/>
          <w:lang w:val="en-GB"/>
        </w:rPr>
        <w:t xml:space="preserve"> </w:t>
      </w:r>
      <w:r w:rsidR="00033A09" w:rsidRPr="00B56453">
        <w:rPr>
          <w:shd w:val="clear" w:color="auto" w:fill="FFFFFF"/>
          <w:lang w:val="en-GB"/>
        </w:rPr>
        <w:t xml:space="preserve">although the codes and concepts relating to SRL theory were grouped purposefully yet </w:t>
      </w:r>
      <w:r w:rsidR="00FC0FFB" w:rsidRPr="00B56453">
        <w:rPr>
          <w:shd w:val="clear" w:color="auto" w:fill="FFFFFF"/>
          <w:lang w:val="en-GB"/>
        </w:rPr>
        <w:t>rigorously to</w:t>
      </w:r>
      <w:r w:rsidR="00033A09" w:rsidRPr="00B56453">
        <w:rPr>
          <w:shd w:val="clear" w:color="auto" w:fill="FFFFFF"/>
          <w:lang w:val="en-GB"/>
        </w:rPr>
        <w:t xml:space="preserve"> explore the impact of SRL in the interview accounts.</w:t>
      </w:r>
      <w:r w:rsidR="002A1B27" w:rsidRPr="00B56453">
        <w:rPr>
          <w:shd w:val="clear" w:color="auto" w:fill="FFFFFF"/>
          <w:lang w:val="en-GB"/>
        </w:rPr>
        <w:t xml:space="preserve"> </w:t>
      </w:r>
      <w:r w:rsidRPr="00B56453">
        <w:rPr>
          <w:shd w:val="clear" w:color="auto" w:fill="FFFFFF"/>
          <w:lang w:val="en-GB"/>
        </w:rPr>
        <w:t>Thematic charts we</w:t>
      </w:r>
      <w:r w:rsidR="003F2925" w:rsidRPr="00B56453">
        <w:rPr>
          <w:shd w:val="clear" w:color="auto" w:fill="FFFFFF"/>
          <w:lang w:val="en-GB"/>
        </w:rPr>
        <w:t>re then created from these co</w:t>
      </w:r>
      <w:r w:rsidRPr="00B56453">
        <w:rPr>
          <w:shd w:val="clear" w:color="auto" w:fill="FFFFFF"/>
          <w:lang w:val="en-GB"/>
        </w:rPr>
        <w:t>des depicting processes and sub-</w:t>
      </w:r>
      <w:r w:rsidR="003F2925" w:rsidRPr="00B56453">
        <w:rPr>
          <w:shd w:val="clear" w:color="auto" w:fill="FFFFFF"/>
          <w:lang w:val="en-GB"/>
        </w:rPr>
        <w:t>processes hierarchically. After multiple iterations</w:t>
      </w:r>
      <w:r w:rsidRPr="00B56453">
        <w:rPr>
          <w:shd w:val="clear" w:color="auto" w:fill="FFFFFF"/>
          <w:lang w:val="en-GB"/>
        </w:rPr>
        <w:t xml:space="preserve"> of this, the resulting themes we</w:t>
      </w:r>
      <w:r w:rsidR="003F2925" w:rsidRPr="00B56453">
        <w:rPr>
          <w:shd w:val="clear" w:color="auto" w:fill="FFFFFF"/>
          <w:lang w:val="en-GB"/>
        </w:rPr>
        <w:t>re analysed further, compared</w:t>
      </w:r>
      <w:r w:rsidRPr="00B56453">
        <w:rPr>
          <w:shd w:val="clear" w:color="auto" w:fill="FFFFFF"/>
          <w:lang w:val="en-GB"/>
        </w:rPr>
        <w:t>,</w:t>
      </w:r>
      <w:r w:rsidR="003F2925" w:rsidRPr="00B56453">
        <w:rPr>
          <w:shd w:val="clear" w:color="auto" w:fill="FFFFFF"/>
          <w:lang w:val="en-GB"/>
        </w:rPr>
        <w:t xml:space="preserve"> and </w:t>
      </w:r>
      <w:r w:rsidRPr="00B56453">
        <w:rPr>
          <w:shd w:val="clear" w:color="auto" w:fill="FFFFFF"/>
          <w:lang w:val="en-GB"/>
        </w:rPr>
        <w:t>explored.</w:t>
      </w:r>
      <w:r w:rsidR="00B3624D" w:rsidRPr="00B56453">
        <w:rPr>
          <w:shd w:val="clear" w:color="auto" w:fill="FFFFFF"/>
          <w:lang w:val="en-GB"/>
        </w:rPr>
        <w:t xml:space="preserve"> The final step was to define and refine the themes, this required a clear audit trail from quotes to themes to groups of themes and eventually a conceptual model. The names of these themes also had to be clear and unambiguous to interpret by the reader.</w:t>
      </w:r>
    </w:p>
    <w:p w14:paraId="2A644248" w14:textId="77777777" w:rsidR="00B3624D" w:rsidRPr="00B56453" w:rsidRDefault="00B3624D" w:rsidP="00026049">
      <w:pPr>
        <w:pStyle w:val="Normal1"/>
        <w:rPr>
          <w:shd w:val="clear" w:color="auto" w:fill="FFFFFF"/>
          <w:lang w:val="en-GB"/>
        </w:rPr>
      </w:pPr>
    </w:p>
    <w:p w14:paraId="20AF3F37" w14:textId="6BBDC211" w:rsidR="003F2925" w:rsidRPr="00B56453" w:rsidRDefault="00AA3E2C" w:rsidP="00026049">
      <w:pPr>
        <w:pStyle w:val="Normal1"/>
        <w:rPr>
          <w:shd w:val="clear" w:color="auto" w:fill="FFFFFF"/>
          <w:lang w:val="en-GB"/>
        </w:rPr>
      </w:pPr>
      <w:r w:rsidRPr="00B56453">
        <w:rPr>
          <w:shd w:val="clear" w:color="auto" w:fill="FFFFFF"/>
          <w:lang w:val="en-GB"/>
        </w:rPr>
        <w:lastRenderedPageBreak/>
        <w:t>T</w:t>
      </w:r>
      <w:r w:rsidR="003F2925" w:rsidRPr="00B56453">
        <w:rPr>
          <w:shd w:val="clear" w:color="auto" w:fill="FFFFFF"/>
          <w:lang w:val="en-GB"/>
        </w:rPr>
        <w:t>his process</w:t>
      </w:r>
      <w:r w:rsidRPr="00B56453">
        <w:rPr>
          <w:shd w:val="clear" w:color="auto" w:fill="FFFFFF"/>
          <w:lang w:val="en-GB"/>
        </w:rPr>
        <w:t xml:space="preserve"> was followed</w:t>
      </w:r>
      <w:r w:rsidR="003F2925" w:rsidRPr="00B56453">
        <w:rPr>
          <w:shd w:val="clear" w:color="auto" w:fill="FFFFFF"/>
          <w:lang w:val="en-GB"/>
        </w:rPr>
        <w:t xml:space="preserve"> with all focus groups and interviews, informing each successive attempt and adapting the interview guide</w:t>
      </w:r>
      <w:r w:rsidRPr="00B56453">
        <w:rPr>
          <w:shd w:val="clear" w:color="auto" w:fill="FFFFFF"/>
          <w:lang w:val="en-GB"/>
        </w:rPr>
        <w:t>s</w:t>
      </w:r>
      <w:r w:rsidR="003F2925" w:rsidRPr="00B56453">
        <w:rPr>
          <w:shd w:val="clear" w:color="auto" w:fill="FFFFFF"/>
          <w:lang w:val="en-GB"/>
        </w:rPr>
        <w:t xml:space="preserve"> to explore arising themes and concepts</w:t>
      </w:r>
      <w:r w:rsidRPr="00B56453">
        <w:rPr>
          <w:shd w:val="clear" w:color="auto" w:fill="FFFFFF"/>
          <w:lang w:val="en-GB"/>
        </w:rPr>
        <w:t xml:space="preserve"> from previous findings</w:t>
      </w:r>
      <w:r w:rsidR="003F2925" w:rsidRPr="00B56453">
        <w:rPr>
          <w:shd w:val="clear" w:color="auto" w:fill="FFFFFF"/>
          <w:lang w:val="en-GB"/>
        </w:rPr>
        <w:t>.</w:t>
      </w:r>
      <w:r w:rsidR="00033A09" w:rsidRPr="00B56453">
        <w:rPr>
          <w:shd w:val="clear" w:color="auto" w:fill="FFFFFF"/>
          <w:lang w:val="en-GB"/>
        </w:rPr>
        <w:t xml:space="preserve"> The individual studies using this method are outlined in </w:t>
      </w:r>
      <w:r w:rsidR="008B39A6" w:rsidRPr="00B56453">
        <w:rPr>
          <w:shd w:val="clear" w:color="auto" w:fill="FFFFFF"/>
          <w:lang w:val="en-GB"/>
        </w:rPr>
        <w:t>Chapters B</w:t>
      </w:r>
      <w:r w:rsidR="000F4ABD" w:rsidRPr="00B56453">
        <w:rPr>
          <w:shd w:val="clear" w:color="auto" w:fill="FFFFFF"/>
          <w:lang w:val="en-GB"/>
        </w:rPr>
        <w:t>2</w:t>
      </w:r>
      <w:r w:rsidR="00630F67" w:rsidRPr="00B56453">
        <w:rPr>
          <w:shd w:val="clear" w:color="auto" w:fill="FFFFFF"/>
          <w:lang w:val="en-GB"/>
        </w:rPr>
        <w:t xml:space="preserve"> and C2</w:t>
      </w:r>
      <w:r w:rsidR="00033A09" w:rsidRPr="00B56453">
        <w:rPr>
          <w:shd w:val="clear" w:color="auto" w:fill="FFFFFF"/>
          <w:lang w:val="en-GB"/>
        </w:rPr>
        <w:t>.</w:t>
      </w:r>
    </w:p>
    <w:p w14:paraId="04FA3A6C" w14:textId="77777777" w:rsidR="00633B0D" w:rsidRPr="00B56453" w:rsidRDefault="00633B0D" w:rsidP="00026049">
      <w:pPr>
        <w:pStyle w:val="Normal1"/>
        <w:rPr>
          <w:lang w:val="en-GB"/>
        </w:rPr>
      </w:pPr>
    </w:p>
    <w:p w14:paraId="7FDB2A68" w14:textId="15FAFCED" w:rsidR="000E241D" w:rsidRPr="00B56453" w:rsidRDefault="000E241D" w:rsidP="00B1638D">
      <w:pPr>
        <w:pStyle w:val="Heading2"/>
        <w:rPr>
          <w:lang w:val="en-GB"/>
        </w:rPr>
      </w:pPr>
      <w:bookmarkStart w:id="219" w:name="_Toc500319362"/>
      <w:r w:rsidRPr="00B56453">
        <w:rPr>
          <w:lang w:val="en-GB"/>
        </w:rPr>
        <w:t>A3.11 Ethical Approval</w:t>
      </w:r>
      <w:bookmarkEnd w:id="219"/>
    </w:p>
    <w:p w14:paraId="15F6D464" w14:textId="77777777" w:rsidR="000E241D" w:rsidRPr="00B56453" w:rsidRDefault="000E241D" w:rsidP="000E241D">
      <w:pPr>
        <w:rPr>
          <w:lang w:eastAsia="hi-IN" w:bidi="hi-IN"/>
        </w:rPr>
      </w:pPr>
    </w:p>
    <w:p w14:paraId="393EB681" w14:textId="00E1D500" w:rsidR="000E241D" w:rsidRPr="00B56453" w:rsidRDefault="000E241D" w:rsidP="000E241D">
      <w:pPr>
        <w:pStyle w:val="Normal1"/>
        <w:rPr>
          <w:lang w:val="en-GB"/>
        </w:rPr>
      </w:pPr>
      <w:r w:rsidRPr="00B56453">
        <w:rPr>
          <w:lang w:val="en-GB"/>
        </w:rPr>
        <w:t xml:space="preserve">This study was </w:t>
      </w:r>
      <w:r w:rsidR="00A413FE" w:rsidRPr="00B56453">
        <w:rPr>
          <w:lang w:val="en-GB"/>
        </w:rPr>
        <w:t>granted</w:t>
      </w:r>
      <w:r w:rsidRPr="00B56453">
        <w:rPr>
          <w:lang w:val="en-GB"/>
        </w:rPr>
        <w:t xml:space="preserve"> ethical approval from </w:t>
      </w:r>
      <w:r w:rsidR="008B3752" w:rsidRPr="00B56453">
        <w:rPr>
          <w:lang w:val="en-GB"/>
        </w:rPr>
        <w:t>T</w:t>
      </w:r>
      <w:r w:rsidRPr="00B56453">
        <w:rPr>
          <w:lang w:val="en-GB"/>
        </w:rPr>
        <w:t xml:space="preserve">he University of Sheffield Ethical Approval Board for Medicine Dentistry and Health on the 25th August 2015 (Application number: 005055 - Appendix </w:t>
      </w:r>
      <w:r w:rsidR="00C20F57" w:rsidRPr="00B56453">
        <w:rPr>
          <w:lang w:val="en-GB"/>
        </w:rPr>
        <w:t>5</w:t>
      </w:r>
      <w:r w:rsidRPr="00B56453">
        <w:rPr>
          <w:lang w:val="en-GB"/>
        </w:rPr>
        <w:t>).</w:t>
      </w:r>
    </w:p>
    <w:p w14:paraId="1B05442F" w14:textId="6B5363C6" w:rsidR="008C3B08" w:rsidRPr="00B56453" w:rsidRDefault="008C3B08" w:rsidP="00026049">
      <w:pPr>
        <w:pStyle w:val="Normal1"/>
        <w:rPr>
          <w:lang w:val="en-GB"/>
        </w:rPr>
      </w:pPr>
      <w:r w:rsidRPr="00B56453">
        <w:rPr>
          <w:lang w:val="en-GB"/>
        </w:rPr>
        <w:br w:type="page"/>
      </w:r>
    </w:p>
    <w:p w14:paraId="00E12508" w14:textId="4AD5BFB2" w:rsidR="004D2A4D" w:rsidRPr="00B56453" w:rsidRDefault="00B22166" w:rsidP="0049059B">
      <w:pPr>
        <w:pStyle w:val="Heading1"/>
        <w:jc w:val="center"/>
      </w:pPr>
      <w:bookmarkStart w:id="220" w:name="_Toc487456827"/>
      <w:bookmarkStart w:id="221" w:name="_Toc487811207"/>
      <w:bookmarkStart w:id="222" w:name="_Toc488147550"/>
      <w:bookmarkStart w:id="223" w:name="_Toc488309162"/>
      <w:bookmarkStart w:id="224" w:name="_Toc488930124"/>
      <w:bookmarkStart w:id="225" w:name="_Toc489017338"/>
      <w:bookmarkStart w:id="226" w:name="_Toc489447692"/>
      <w:bookmarkStart w:id="227" w:name="_Toc490650179"/>
      <w:bookmarkStart w:id="228" w:name="_Toc500319363"/>
      <w:bookmarkStart w:id="229" w:name="_Toc500319541"/>
      <w:r w:rsidRPr="00B56453">
        <w:lastRenderedPageBreak/>
        <w:t>Section A</w:t>
      </w:r>
      <w:r w:rsidR="00F176D2" w:rsidRPr="00B56453">
        <w:t xml:space="preserve">: </w:t>
      </w:r>
      <w:r w:rsidRPr="00B56453">
        <w:t xml:space="preserve">Summary </w:t>
      </w:r>
      <w:r w:rsidR="00F176D2" w:rsidRPr="00B56453">
        <w:t xml:space="preserve">of the </w:t>
      </w:r>
      <w:r w:rsidR="00F22ADC" w:rsidRPr="00B56453">
        <w:t xml:space="preserve">Introduction </w:t>
      </w:r>
      <w:r w:rsidR="00F176D2" w:rsidRPr="00B56453">
        <w:t xml:space="preserve">and </w:t>
      </w:r>
      <w:r w:rsidR="00F22ADC" w:rsidRPr="00B56453">
        <w:t>Methodology</w:t>
      </w:r>
      <w:bookmarkEnd w:id="220"/>
      <w:bookmarkEnd w:id="221"/>
      <w:bookmarkEnd w:id="222"/>
      <w:bookmarkEnd w:id="223"/>
      <w:bookmarkEnd w:id="224"/>
      <w:bookmarkEnd w:id="225"/>
      <w:bookmarkEnd w:id="226"/>
      <w:bookmarkEnd w:id="227"/>
      <w:bookmarkEnd w:id="228"/>
      <w:bookmarkEnd w:id="229"/>
    </w:p>
    <w:p w14:paraId="24118CE9" w14:textId="77777777" w:rsidR="00573592" w:rsidRPr="00B56453" w:rsidRDefault="00573592" w:rsidP="00026049">
      <w:pPr>
        <w:pStyle w:val="Normal1"/>
        <w:rPr>
          <w:lang w:val="en-GB"/>
        </w:rPr>
      </w:pPr>
    </w:p>
    <w:p w14:paraId="2FFD9A3E" w14:textId="4F6CEE0A" w:rsidR="00421DDA" w:rsidRPr="00B56453" w:rsidRDefault="00421DDA" w:rsidP="00026049">
      <w:pPr>
        <w:pStyle w:val="Normal1"/>
        <w:rPr>
          <w:lang w:val="en-GB"/>
        </w:rPr>
      </w:pPr>
      <w:r w:rsidRPr="00B56453">
        <w:rPr>
          <w:lang w:val="en-GB"/>
        </w:rPr>
        <w:t>This section present</w:t>
      </w:r>
      <w:r w:rsidR="00FB6AB3" w:rsidRPr="00B56453">
        <w:rPr>
          <w:lang w:val="en-GB"/>
        </w:rPr>
        <w:t>ed</w:t>
      </w:r>
      <w:r w:rsidRPr="00B56453">
        <w:rPr>
          <w:lang w:val="en-GB"/>
        </w:rPr>
        <w:t xml:space="preserve"> the context surrounding feedback and </w:t>
      </w:r>
      <w:r w:rsidR="005C15DF" w:rsidRPr="00B56453">
        <w:rPr>
          <w:lang w:val="en-GB"/>
        </w:rPr>
        <w:t>SRL</w:t>
      </w:r>
      <w:r w:rsidRPr="00B56453">
        <w:rPr>
          <w:lang w:val="en-GB"/>
        </w:rPr>
        <w:t xml:space="preserve"> within the medical education setting. An in-depth systematic literature review </w:t>
      </w:r>
      <w:r w:rsidR="005C15DF" w:rsidRPr="00B56453">
        <w:rPr>
          <w:lang w:val="en-GB"/>
        </w:rPr>
        <w:t>identified</w:t>
      </w:r>
      <w:r w:rsidRPr="00B56453">
        <w:rPr>
          <w:lang w:val="en-GB"/>
        </w:rPr>
        <w:t xml:space="preserve"> a key gap in the feedback and </w:t>
      </w:r>
      <w:r w:rsidR="005C15DF" w:rsidRPr="00B56453">
        <w:rPr>
          <w:lang w:val="en-GB"/>
        </w:rPr>
        <w:t>SRL</w:t>
      </w:r>
      <w:r w:rsidRPr="00B56453">
        <w:rPr>
          <w:lang w:val="en-GB"/>
        </w:rPr>
        <w:t xml:space="preserve"> literature: there </w:t>
      </w:r>
      <w:r w:rsidR="00DE6AEB" w:rsidRPr="00B56453">
        <w:rPr>
          <w:lang w:val="en-GB"/>
        </w:rPr>
        <w:t>is</w:t>
      </w:r>
      <w:r w:rsidRPr="00B56453">
        <w:rPr>
          <w:lang w:val="en-GB"/>
        </w:rPr>
        <w:t xml:space="preserve"> no research which explicitly combine</w:t>
      </w:r>
      <w:r w:rsidR="005C15DF" w:rsidRPr="00B56453">
        <w:rPr>
          <w:lang w:val="en-GB"/>
        </w:rPr>
        <w:t>d</w:t>
      </w:r>
      <w:r w:rsidRPr="00B56453">
        <w:rPr>
          <w:lang w:val="en-GB"/>
        </w:rPr>
        <w:t xml:space="preserve"> those two concepts using with the aim of improving learning behaviours in the </w:t>
      </w:r>
      <w:r w:rsidR="000470C2" w:rsidRPr="00B56453">
        <w:rPr>
          <w:lang w:val="en-GB"/>
        </w:rPr>
        <w:t>immediate</w:t>
      </w:r>
      <w:r w:rsidRPr="00B56453">
        <w:rPr>
          <w:lang w:val="en-GB"/>
        </w:rPr>
        <w:t xml:space="preserve"> or </w:t>
      </w:r>
      <w:r w:rsidR="00826050" w:rsidRPr="00B56453">
        <w:rPr>
          <w:lang w:val="en-GB"/>
        </w:rPr>
        <w:t>longer-term</w:t>
      </w:r>
      <w:r w:rsidRPr="00B56453">
        <w:rPr>
          <w:lang w:val="en-GB"/>
        </w:rPr>
        <w:t xml:space="preserve"> within the medical education</w:t>
      </w:r>
      <w:r w:rsidR="005C15DF" w:rsidRPr="00B56453">
        <w:rPr>
          <w:lang w:val="en-GB"/>
        </w:rPr>
        <w:t xml:space="preserve"> and wider educational fields.</w:t>
      </w:r>
      <w:r w:rsidRPr="00B56453">
        <w:rPr>
          <w:lang w:val="en-GB"/>
        </w:rPr>
        <w:t xml:space="preserve"> Finally, the </w:t>
      </w:r>
      <w:r w:rsidR="00DE6AEB" w:rsidRPr="00B56453">
        <w:rPr>
          <w:lang w:val="en-GB"/>
        </w:rPr>
        <w:t>purpose</w:t>
      </w:r>
      <w:r w:rsidRPr="00B56453">
        <w:rPr>
          <w:lang w:val="en-GB"/>
        </w:rPr>
        <w:t>, objectives</w:t>
      </w:r>
      <w:r w:rsidR="00DE6AEB" w:rsidRPr="00B56453">
        <w:rPr>
          <w:lang w:val="en-GB"/>
        </w:rPr>
        <w:t>, and research questions</w:t>
      </w:r>
      <w:r w:rsidRPr="00B56453">
        <w:rPr>
          <w:lang w:val="en-GB"/>
        </w:rPr>
        <w:t xml:space="preserve"> </w:t>
      </w:r>
      <w:r w:rsidR="00DE6AEB" w:rsidRPr="00B56453">
        <w:rPr>
          <w:lang w:val="en-GB"/>
        </w:rPr>
        <w:t>for</w:t>
      </w:r>
      <w:r w:rsidRPr="00B56453">
        <w:rPr>
          <w:lang w:val="en-GB"/>
        </w:rPr>
        <w:t xml:space="preserve"> this study </w:t>
      </w:r>
      <w:r w:rsidR="005C15DF" w:rsidRPr="00B56453">
        <w:rPr>
          <w:lang w:val="en-GB"/>
        </w:rPr>
        <w:t>focused upon exploring</w:t>
      </w:r>
      <w:r w:rsidRPr="00B56453">
        <w:rPr>
          <w:lang w:val="en-GB"/>
        </w:rPr>
        <w:t xml:space="preserve"> the impact of a new method of giving feedback designed to enhance </w:t>
      </w:r>
      <w:r w:rsidR="00DE6AEB" w:rsidRPr="00B56453">
        <w:rPr>
          <w:lang w:val="en-GB"/>
        </w:rPr>
        <w:t xml:space="preserve">medical undergraduates’ </w:t>
      </w:r>
      <w:r w:rsidRPr="00B56453">
        <w:rPr>
          <w:lang w:val="en-GB"/>
        </w:rPr>
        <w:t xml:space="preserve">SRL in the </w:t>
      </w:r>
      <w:r w:rsidR="000470C2" w:rsidRPr="00B56453">
        <w:rPr>
          <w:lang w:val="en-GB"/>
        </w:rPr>
        <w:t>immediate</w:t>
      </w:r>
      <w:r w:rsidRPr="00B56453">
        <w:rPr>
          <w:lang w:val="en-GB"/>
        </w:rPr>
        <w:t xml:space="preserve"> and </w:t>
      </w:r>
      <w:r w:rsidR="00826050" w:rsidRPr="00B56453">
        <w:rPr>
          <w:lang w:val="en-GB"/>
        </w:rPr>
        <w:t>longer-term</w:t>
      </w:r>
      <w:r w:rsidRPr="00B56453">
        <w:rPr>
          <w:lang w:val="en-GB"/>
        </w:rPr>
        <w:t xml:space="preserve"> compared to usual best pra</w:t>
      </w:r>
      <w:r w:rsidR="00DE6AEB" w:rsidRPr="00B56453">
        <w:rPr>
          <w:lang w:val="en-GB"/>
        </w:rPr>
        <w:t>ctice feedback</w:t>
      </w:r>
      <w:r w:rsidRPr="00B56453">
        <w:rPr>
          <w:lang w:val="en-GB"/>
        </w:rPr>
        <w:t>.</w:t>
      </w:r>
    </w:p>
    <w:p w14:paraId="2F130F19" w14:textId="77777777" w:rsidR="00421DDA" w:rsidRPr="00B56453" w:rsidRDefault="00421DDA" w:rsidP="00026049">
      <w:pPr>
        <w:pStyle w:val="Normal1"/>
        <w:rPr>
          <w:lang w:val="en-GB"/>
        </w:rPr>
      </w:pPr>
    </w:p>
    <w:p w14:paraId="58564360" w14:textId="24018A55" w:rsidR="00B43CBC" w:rsidRPr="00B56453" w:rsidRDefault="005C15DF" w:rsidP="00026049">
      <w:pPr>
        <w:pStyle w:val="Normal1"/>
        <w:rPr>
          <w:rFonts w:asciiTheme="majorHAnsi" w:eastAsiaTheme="majorEastAsia" w:hAnsiTheme="majorHAnsi" w:cstheme="majorBidi"/>
          <w:color w:val="2E74B5" w:themeColor="accent1" w:themeShade="BF"/>
          <w:sz w:val="32"/>
          <w:szCs w:val="32"/>
          <w:lang w:val="en-GB"/>
        </w:rPr>
      </w:pPr>
      <w:r w:rsidRPr="00B56453">
        <w:rPr>
          <w:lang w:val="en-GB"/>
        </w:rPr>
        <w:t>T</w:t>
      </w:r>
      <w:r w:rsidR="00421DDA" w:rsidRPr="00B56453">
        <w:rPr>
          <w:lang w:val="en-GB"/>
        </w:rPr>
        <w:t>he</w:t>
      </w:r>
      <w:r w:rsidRPr="00B56453">
        <w:rPr>
          <w:lang w:val="en-GB"/>
        </w:rPr>
        <w:t xml:space="preserve"> mixed</w:t>
      </w:r>
      <w:r w:rsidR="00421DDA" w:rsidRPr="00B56453">
        <w:rPr>
          <w:lang w:val="en-GB"/>
        </w:rPr>
        <w:t xml:space="preserve"> design, philosophical, and theoretical frameworks used in this study </w:t>
      </w:r>
      <w:r w:rsidRPr="00B56453">
        <w:rPr>
          <w:lang w:val="en-GB"/>
        </w:rPr>
        <w:t>to address the research questions were presented</w:t>
      </w:r>
      <w:r w:rsidR="00421DDA" w:rsidRPr="00B56453">
        <w:rPr>
          <w:lang w:val="en-GB"/>
        </w:rPr>
        <w:t>. The mixed methodology used in this study</w:t>
      </w:r>
      <w:r w:rsidRPr="00B56453">
        <w:rPr>
          <w:lang w:val="en-GB"/>
        </w:rPr>
        <w:t xml:space="preserve"> included </w:t>
      </w:r>
      <w:r w:rsidR="00421DDA" w:rsidRPr="00B56453">
        <w:rPr>
          <w:lang w:val="en-GB"/>
        </w:rPr>
        <w:t xml:space="preserve">the respective methodological approaches to each method: surveys, interviews, and focus groups. Aspects of quality and rigour and the measures taken to ensure them in this research </w:t>
      </w:r>
      <w:r w:rsidRPr="00B56453">
        <w:rPr>
          <w:lang w:val="en-GB"/>
        </w:rPr>
        <w:t>were detailed</w:t>
      </w:r>
      <w:r w:rsidR="00421DDA" w:rsidRPr="00B56453">
        <w:rPr>
          <w:lang w:val="en-GB"/>
        </w:rPr>
        <w:t>, followed by the methods of quantitative and qualitative analysis used to evaluate the data collected.</w:t>
      </w:r>
      <w:r w:rsidR="00F176D2" w:rsidRPr="00B56453">
        <w:rPr>
          <w:lang w:val="en-GB"/>
        </w:rPr>
        <w:br w:type="page"/>
      </w:r>
    </w:p>
    <w:p w14:paraId="00639ECF" w14:textId="30877F5E" w:rsidR="00BE7E00" w:rsidRPr="00B56453" w:rsidRDefault="006268C9" w:rsidP="0049059B">
      <w:pPr>
        <w:pStyle w:val="Heading1"/>
        <w:jc w:val="center"/>
      </w:pPr>
      <w:bookmarkStart w:id="230" w:name="_Toc487456828"/>
      <w:bookmarkStart w:id="231" w:name="_Toc487811208"/>
      <w:bookmarkStart w:id="232" w:name="_Toc488147551"/>
      <w:bookmarkStart w:id="233" w:name="_Toc488309163"/>
      <w:bookmarkStart w:id="234" w:name="_Toc488930125"/>
      <w:bookmarkStart w:id="235" w:name="_Toc489017339"/>
      <w:bookmarkStart w:id="236" w:name="_Toc489447693"/>
      <w:bookmarkStart w:id="237" w:name="_Toc490650180"/>
      <w:bookmarkStart w:id="238" w:name="_Toc500319364"/>
      <w:bookmarkStart w:id="239" w:name="_Toc500319542"/>
      <w:r w:rsidRPr="00B56453">
        <w:lastRenderedPageBreak/>
        <w:t>Section B</w:t>
      </w:r>
      <w:r w:rsidR="00F176D2" w:rsidRPr="00B56453">
        <w:t xml:space="preserve">: </w:t>
      </w:r>
      <w:r w:rsidR="00D435EF" w:rsidRPr="00B56453">
        <w:t xml:space="preserve">Intervention Phase: </w:t>
      </w:r>
      <w:r w:rsidR="00DE2E94" w:rsidRPr="00B56453">
        <w:t>D</w:t>
      </w:r>
      <w:r w:rsidR="00BE7E00" w:rsidRPr="00B56453">
        <w:t>evelopment</w:t>
      </w:r>
      <w:r w:rsidR="00DE2E94" w:rsidRPr="00B56453">
        <w:t>, Implementation, and Evaluation</w:t>
      </w:r>
      <w:bookmarkEnd w:id="230"/>
      <w:bookmarkEnd w:id="231"/>
      <w:bookmarkEnd w:id="232"/>
      <w:bookmarkEnd w:id="233"/>
      <w:bookmarkEnd w:id="234"/>
      <w:bookmarkEnd w:id="235"/>
      <w:bookmarkEnd w:id="236"/>
      <w:bookmarkEnd w:id="237"/>
      <w:bookmarkEnd w:id="238"/>
      <w:bookmarkEnd w:id="239"/>
    </w:p>
    <w:p w14:paraId="4C0C4DAA" w14:textId="77777777" w:rsidR="009800B9" w:rsidRPr="00B56453" w:rsidRDefault="009800B9" w:rsidP="00026049">
      <w:pPr>
        <w:pStyle w:val="Normal1"/>
        <w:rPr>
          <w:lang w:val="en-GB"/>
        </w:rPr>
      </w:pPr>
    </w:p>
    <w:p w14:paraId="5F9B15A3" w14:textId="37024188" w:rsidR="009800B9" w:rsidRPr="00B56453" w:rsidRDefault="000C20DD" w:rsidP="00026049">
      <w:pPr>
        <w:pStyle w:val="Normal1"/>
        <w:rPr>
          <w:lang w:val="en-GB"/>
        </w:rPr>
      </w:pPr>
      <w:r w:rsidRPr="00B56453">
        <w:rPr>
          <w:lang w:val="en-GB"/>
        </w:rPr>
        <w:t xml:space="preserve">The chapter outlining methods and procedures for implementing the intervention is </w:t>
      </w:r>
      <w:r w:rsidR="00A320EA" w:rsidRPr="00B56453">
        <w:rPr>
          <w:lang w:val="en-GB"/>
        </w:rPr>
        <w:t>presented</w:t>
      </w:r>
      <w:r w:rsidRPr="00B56453">
        <w:rPr>
          <w:lang w:val="en-GB"/>
        </w:rPr>
        <w:t xml:space="preserve"> before the </w:t>
      </w:r>
      <w:r w:rsidR="005A3D29" w:rsidRPr="00B56453">
        <w:rPr>
          <w:lang w:val="en-GB"/>
        </w:rPr>
        <w:t>t</w:t>
      </w:r>
      <w:r w:rsidRPr="00B56453">
        <w:rPr>
          <w:lang w:val="en-GB"/>
        </w:rPr>
        <w:t>eacher interviews and student quest</w:t>
      </w:r>
      <w:r w:rsidR="002F74A2" w:rsidRPr="00B56453">
        <w:rPr>
          <w:lang w:val="en-GB"/>
        </w:rPr>
        <w:t>ionnaire evaluation chapters.</w:t>
      </w:r>
    </w:p>
    <w:p w14:paraId="42068871" w14:textId="77777777" w:rsidR="004F4074" w:rsidRPr="00B56453" w:rsidRDefault="004F4074" w:rsidP="00026049">
      <w:pPr>
        <w:pStyle w:val="Normal1"/>
        <w:rPr>
          <w:lang w:val="en-GB"/>
        </w:rPr>
      </w:pPr>
    </w:p>
    <w:p w14:paraId="419CFC92" w14:textId="0A0429BC" w:rsidR="00DE2E94" w:rsidRPr="00B56453" w:rsidRDefault="00C62C65" w:rsidP="00026049">
      <w:pPr>
        <w:pStyle w:val="Normal1"/>
        <w:rPr>
          <w:lang w:val="en-GB"/>
        </w:rPr>
      </w:pPr>
      <w:r w:rsidRPr="00B56453">
        <w:rPr>
          <w:lang w:val="en-GB"/>
        </w:rPr>
        <w:t xml:space="preserve">Both Chapters B2 and B3 evaluate the impact of the </w:t>
      </w:r>
      <w:r w:rsidR="00ED711A" w:rsidRPr="00B56453">
        <w:rPr>
          <w:lang w:val="en-GB"/>
        </w:rPr>
        <w:t>feedback models</w:t>
      </w:r>
      <w:r w:rsidRPr="00B56453">
        <w:rPr>
          <w:lang w:val="en-GB"/>
        </w:rPr>
        <w:t xml:space="preserve">: Chapter B2 relates specifically to the impact of the training on teachers using interviews, and Chapter B3 presents how the </w:t>
      </w:r>
      <w:r w:rsidR="00ED711A" w:rsidRPr="00B56453">
        <w:rPr>
          <w:lang w:val="en-GB"/>
        </w:rPr>
        <w:t>feedback models</w:t>
      </w:r>
      <w:r w:rsidRPr="00B56453">
        <w:rPr>
          <w:lang w:val="en-GB"/>
        </w:rPr>
        <w:t xml:space="preserve"> impacted upon students’ SRL capacity in the </w:t>
      </w:r>
      <w:r w:rsidR="000470C2" w:rsidRPr="00B56453">
        <w:rPr>
          <w:lang w:val="en-GB"/>
        </w:rPr>
        <w:t>immediate</w:t>
      </w:r>
      <w:r w:rsidRPr="00B56453">
        <w:rPr>
          <w:lang w:val="en-GB"/>
        </w:rPr>
        <w:t xml:space="preserve"> and </w:t>
      </w:r>
      <w:r w:rsidR="00826050" w:rsidRPr="00B56453">
        <w:rPr>
          <w:lang w:val="en-GB"/>
        </w:rPr>
        <w:t>longer-term</w:t>
      </w:r>
      <w:r w:rsidRPr="00B56453">
        <w:rPr>
          <w:lang w:val="en-GB"/>
        </w:rPr>
        <w:t xml:space="preserve"> – spanning the whole study. The tool used to measure SRL capacity in students is evaluated in Chapter C1 and a qualitative </w:t>
      </w:r>
      <w:r w:rsidR="00826050" w:rsidRPr="00B56453">
        <w:rPr>
          <w:lang w:val="en-GB"/>
        </w:rPr>
        <w:t>longer-term</w:t>
      </w:r>
      <w:r w:rsidRPr="00B56453">
        <w:rPr>
          <w:lang w:val="en-GB"/>
        </w:rPr>
        <w:t xml:space="preserve"> evaluation is discussed in Chapter C2.</w:t>
      </w:r>
      <w:r w:rsidR="004F4074" w:rsidRPr="00B56453">
        <w:rPr>
          <w:lang w:val="en-GB"/>
        </w:rPr>
        <w:t xml:space="preserve"> </w:t>
      </w:r>
      <w:r w:rsidR="00AE17C9" w:rsidRPr="00B56453">
        <w:rPr>
          <w:lang w:val="en-GB"/>
        </w:rPr>
        <w:t>Figure</w:t>
      </w:r>
      <w:r w:rsidR="004F4074" w:rsidRPr="00B56453">
        <w:rPr>
          <w:lang w:val="en-GB"/>
        </w:rPr>
        <w:t xml:space="preserve"> </w:t>
      </w:r>
      <w:r w:rsidR="00357D07" w:rsidRPr="00B56453">
        <w:rPr>
          <w:lang w:val="en-GB"/>
        </w:rPr>
        <w:t>B1.1</w:t>
      </w:r>
      <w:r w:rsidR="004F4074" w:rsidRPr="00B56453">
        <w:rPr>
          <w:lang w:val="en-GB"/>
        </w:rPr>
        <w:t xml:space="preserve"> also provides some contextual information on how </w:t>
      </w:r>
      <w:r w:rsidR="009F1882" w:rsidRPr="00B56453">
        <w:rPr>
          <w:lang w:val="en-GB"/>
        </w:rPr>
        <w:t>student</w:t>
      </w:r>
      <w:r w:rsidR="004F4074" w:rsidRPr="00B56453">
        <w:rPr>
          <w:lang w:val="en-GB"/>
        </w:rPr>
        <w:t>s were selected for follow-up data collection and how they were allocated to different feedback conditions.</w:t>
      </w:r>
    </w:p>
    <w:p w14:paraId="53EC99B1" w14:textId="77777777" w:rsidR="0028675A" w:rsidRPr="00B56453" w:rsidRDefault="0028675A" w:rsidP="00026049">
      <w:pPr>
        <w:pStyle w:val="Normal1"/>
        <w:rPr>
          <w:lang w:val="en-GB"/>
        </w:rPr>
      </w:pPr>
    </w:p>
    <w:p w14:paraId="1A233673" w14:textId="1E2ED995" w:rsidR="0028675A" w:rsidRPr="00B56453" w:rsidRDefault="00AE17C9" w:rsidP="00026049">
      <w:pPr>
        <w:pStyle w:val="Normal1"/>
        <w:rPr>
          <w:lang w:val="en-GB"/>
        </w:rPr>
      </w:pPr>
      <w:r w:rsidRPr="00B56453">
        <w:rPr>
          <w:lang w:val="en-GB"/>
        </w:rPr>
        <w:t>Figure</w:t>
      </w:r>
      <w:r w:rsidR="0028675A" w:rsidRPr="00B56453">
        <w:rPr>
          <w:lang w:val="en-GB"/>
        </w:rPr>
        <w:t xml:space="preserve"> </w:t>
      </w:r>
      <w:r w:rsidR="00357D07" w:rsidRPr="00B56453">
        <w:rPr>
          <w:lang w:val="en-GB"/>
        </w:rPr>
        <w:t>B1.1</w:t>
      </w:r>
      <w:r w:rsidR="0028675A" w:rsidRPr="00B56453">
        <w:rPr>
          <w:lang w:val="en-GB"/>
        </w:rPr>
        <w:t xml:space="preserve"> chronologically outlines key components and data collection points in this study. It also describes the two intertwined strands of quantitative and qualitative inquiry. It shows first how teachers were trained and how the two feedback conditions, SRLF and BPF, are allocated first for teachers then students.</w:t>
      </w:r>
      <w:r w:rsidR="002F74A2" w:rsidRPr="00B56453">
        <w:rPr>
          <w:lang w:val="en-GB"/>
        </w:rPr>
        <w:t xml:space="preserve"> T</w:t>
      </w:r>
      <w:r w:rsidR="0028675A" w:rsidRPr="00B56453">
        <w:rPr>
          <w:lang w:val="en-GB"/>
        </w:rPr>
        <w:t>he study timeline</w:t>
      </w:r>
      <w:r w:rsidR="002F74A2" w:rsidRPr="00B56453">
        <w:rPr>
          <w:lang w:val="en-GB"/>
        </w:rPr>
        <w:t xml:space="preserve"> shows where</w:t>
      </w:r>
      <w:r w:rsidR="0028675A" w:rsidRPr="00B56453">
        <w:rPr>
          <w:lang w:val="en-GB"/>
        </w:rPr>
        <w:t xml:space="preserve"> the data was collected: pre-</w:t>
      </w:r>
      <w:r w:rsidR="00ED711A" w:rsidRPr="00B56453">
        <w:rPr>
          <w:lang w:val="en-GB"/>
        </w:rPr>
        <w:t>teaching</w:t>
      </w:r>
      <w:r w:rsidR="0028675A" w:rsidRPr="00B56453">
        <w:rPr>
          <w:lang w:val="en-GB"/>
        </w:rPr>
        <w:t>, post-</w:t>
      </w:r>
      <w:r w:rsidR="00ED711A" w:rsidRPr="00B56453">
        <w:rPr>
          <w:lang w:val="en-GB"/>
        </w:rPr>
        <w:t xml:space="preserve"> teaching</w:t>
      </w:r>
      <w:r w:rsidR="0028675A" w:rsidRPr="00B56453">
        <w:rPr>
          <w:lang w:val="en-GB"/>
        </w:rPr>
        <w:t xml:space="preserve">, and post-clinical placements. Teacher interviews occur immediately after the </w:t>
      </w:r>
      <w:r w:rsidR="00ED711A" w:rsidRPr="00B56453">
        <w:rPr>
          <w:lang w:val="en-GB"/>
        </w:rPr>
        <w:t>teaching using the feedback models</w:t>
      </w:r>
      <w:r w:rsidR="0028675A" w:rsidRPr="00B56453">
        <w:rPr>
          <w:lang w:val="en-GB"/>
        </w:rPr>
        <w:t xml:space="preserve"> and student qualitative data collection was conducted during clinical placements. Finally the SRL measurement tool was evaluated</w:t>
      </w:r>
      <w:r w:rsidR="004E662A" w:rsidRPr="00B56453">
        <w:rPr>
          <w:lang w:val="en-GB"/>
        </w:rPr>
        <w:t xml:space="preserve"> using data from </w:t>
      </w:r>
      <w:r w:rsidR="009F653E" w:rsidRPr="00B56453">
        <w:rPr>
          <w:lang w:val="en-GB"/>
        </w:rPr>
        <w:t>the pre-teaching survey data collection</w:t>
      </w:r>
      <w:r w:rsidR="004E662A" w:rsidRPr="00B56453">
        <w:rPr>
          <w:lang w:val="en-GB"/>
        </w:rPr>
        <w:t xml:space="preserve"> and data from second year students</w:t>
      </w:r>
      <w:r w:rsidR="009F653E" w:rsidRPr="00B56453">
        <w:rPr>
          <w:lang w:val="en-GB"/>
        </w:rPr>
        <w:t xml:space="preserve"> (not part of the main body of this study)</w:t>
      </w:r>
      <w:r w:rsidR="004E662A" w:rsidRPr="00B56453">
        <w:rPr>
          <w:lang w:val="en-GB"/>
        </w:rPr>
        <w:t>.</w:t>
      </w:r>
    </w:p>
    <w:p w14:paraId="59A1400E" w14:textId="77777777" w:rsidR="0028675A" w:rsidRPr="00B56453" w:rsidRDefault="0028675A" w:rsidP="00DE2E94"/>
    <w:p w14:paraId="6BCB8220" w14:textId="18EB74AF" w:rsidR="00B43CBC" w:rsidRPr="00B56453" w:rsidRDefault="00F176D2">
      <w:r w:rsidRPr="00B56453">
        <w:br w:type="page"/>
      </w:r>
      <w:r w:rsidR="00726960" w:rsidRPr="00B56453">
        <w:rPr>
          <w:noProof/>
          <w:lang w:eastAsia="en-GB"/>
        </w:rPr>
        <w:lastRenderedPageBreak/>
        <mc:AlternateContent>
          <mc:Choice Requires="wps">
            <w:drawing>
              <wp:anchor distT="0" distB="0" distL="114300" distR="114300" simplePos="0" relativeHeight="251883520" behindDoc="0" locked="0" layoutInCell="1" allowOverlap="1" wp14:anchorId="4B9C26AA" wp14:editId="01A10692">
                <wp:simplePos x="0" y="0"/>
                <wp:positionH relativeFrom="column">
                  <wp:posOffset>24977</wp:posOffset>
                </wp:positionH>
                <wp:positionV relativeFrom="paragraph">
                  <wp:posOffset>8703310</wp:posOffset>
                </wp:positionV>
                <wp:extent cx="4838700" cy="2540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4838700" cy="254000"/>
                        </a:xfrm>
                        <a:prstGeom prst="rect">
                          <a:avLst/>
                        </a:prstGeom>
                        <a:solidFill>
                          <a:prstClr val="white"/>
                        </a:solidFill>
                        <a:ln>
                          <a:noFill/>
                        </a:ln>
                        <a:effectLst/>
                      </wps:spPr>
                      <wps:txbx>
                        <w:txbxContent>
                          <w:p w14:paraId="2DCC4C6E" w14:textId="6DA34502" w:rsidR="00C8402C" w:rsidRPr="00985471" w:rsidRDefault="00C8402C" w:rsidP="00357D07">
                            <w:pPr>
                              <w:pStyle w:val="Caption"/>
                            </w:pPr>
                            <w:bookmarkStart w:id="240" w:name="_Toc500319543"/>
                            <w:r>
                              <w:t>Figure B1.</w:t>
                            </w:r>
                            <w:fldSimple w:instr=" SEQ Figure_B1. \* ARABIC ">
                              <w:r>
                                <w:rPr>
                                  <w:noProof/>
                                </w:rPr>
                                <w:t>1</w:t>
                              </w:r>
                            </w:fldSimple>
                            <w:r>
                              <w:t xml:space="preserve"> </w:t>
                            </w:r>
                            <w:r w:rsidRPr="00D35F5A">
                              <w:rPr>
                                <w:rFonts w:cs="Times New Roman"/>
                              </w:rPr>
                              <w:t>Flow diagram of study operations</w:t>
                            </w:r>
                            <w:r>
                              <w:rPr>
                                <w:rFonts w:cs="Times New Roman"/>
                              </w:rPr>
                              <w:t xml:space="preserve"> with data collection and dates</w:t>
                            </w:r>
                            <w:r w:rsidRPr="00D35F5A">
                              <w:rPr>
                                <w:rFonts w:cs="Times New Roman"/>
                              </w:rPr>
                              <w:t>.</w:t>
                            </w:r>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26AA" id="Text Box 450" o:spid="_x0000_s1091" type="#_x0000_t202" style="position:absolute;margin-left:1.95pt;margin-top:685.3pt;width:381pt;height:2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" stroked="f">
                <v:textbox inset="0,0,0,0">
                  <w:txbxContent>
                    <w:p w14:paraId="2DCC4C6E" w14:textId="6DA34502" w:rsidR="00C8402C" w:rsidRPr="00985471" w:rsidRDefault="00C8402C" w:rsidP="00357D07">
                      <w:pPr>
                        <w:pStyle w:val="Caption"/>
                      </w:pPr>
                      <w:bookmarkStart w:id="241" w:name="_Toc500319543"/>
                      <w:r>
                        <w:t>Figure B1.</w:t>
                      </w:r>
                      <w:fldSimple w:instr=" SEQ Figure_B1. \* ARABIC ">
                        <w:r>
                          <w:rPr>
                            <w:noProof/>
                          </w:rPr>
                          <w:t>1</w:t>
                        </w:r>
                      </w:fldSimple>
                      <w:r>
                        <w:t xml:space="preserve"> </w:t>
                      </w:r>
                      <w:r w:rsidRPr="00D35F5A">
                        <w:rPr>
                          <w:rFonts w:cs="Times New Roman"/>
                        </w:rPr>
                        <w:t>Flow diagram of study operations</w:t>
                      </w:r>
                      <w:r>
                        <w:rPr>
                          <w:rFonts w:cs="Times New Roman"/>
                        </w:rPr>
                        <w:t xml:space="preserve"> with data collection and dates</w:t>
                      </w:r>
                      <w:r w:rsidRPr="00D35F5A">
                        <w:rPr>
                          <w:rFonts w:cs="Times New Roman"/>
                        </w:rPr>
                        <w:t>.</w:t>
                      </w:r>
                      <w:bookmarkEnd w:id="241"/>
                    </w:p>
                  </w:txbxContent>
                </v:textbox>
              </v:shape>
            </w:pict>
          </mc:Fallback>
        </mc:AlternateContent>
      </w:r>
      <w:r w:rsidR="008A531D" w:rsidRPr="00B27F0B">
        <w:rPr>
          <w:noProof/>
          <w:lang w:eastAsia="en-GB"/>
        </w:rPr>
        <mc:AlternateContent>
          <mc:Choice Requires="wpg">
            <w:drawing>
              <wp:anchor distT="0" distB="0" distL="114300" distR="114300" simplePos="0" relativeHeight="251649024" behindDoc="0" locked="0" layoutInCell="1" allowOverlap="1" wp14:anchorId="7A365270" wp14:editId="1BE827D5">
                <wp:simplePos x="0" y="0"/>
                <wp:positionH relativeFrom="column">
                  <wp:posOffset>22860</wp:posOffset>
                </wp:positionH>
                <wp:positionV relativeFrom="paragraph">
                  <wp:posOffset>-36830</wp:posOffset>
                </wp:positionV>
                <wp:extent cx="5433060" cy="8660130"/>
                <wp:effectExtent l="0" t="0" r="15240" b="26670"/>
                <wp:wrapNone/>
                <wp:docPr id="54" name="Group 54"/>
                <wp:cNvGraphicFramePr/>
                <a:graphic xmlns:a="http://schemas.openxmlformats.org/drawingml/2006/main">
                  <a:graphicData uri="http://schemas.microsoft.com/office/word/2010/wordprocessingGroup">
                    <wpg:wgp>
                      <wpg:cNvGrpSpPr/>
                      <wpg:grpSpPr>
                        <a:xfrm>
                          <a:off x="0" y="0"/>
                          <a:ext cx="5433060" cy="8660130"/>
                          <a:chOff x="722924" y="779239"/>
                          <a:chExt cx="5433087" cy="8660929"/>
                        </a:xfrm>
                      </wpg:grpSpPr>
                      <wpg:grpSp>
                        <wpg:cNvPr id="55" name="Group 55"/>
                        <wpg:cNvGrpSpPr/>
                        <wpg:grpSpPr>
                          <a:xfrm>
                            <a:off x="722924" y="779239"/>
                            <a:ext cx="5433087" cy="8646335"/>
                            <a:chOff x="574085" y="779305"/>
                            <a:chExt cx="5433228" cy="8647056"/>
                          </a:xfrm>
                        </wpg:grpSpPr>
                        <wps:wsp>
                          <wps:cNvPr id="57" name="Flowchart: Process 57"/>
                          <wps:cNvSpPr/>
                          <wps:spPr>
                            <a:xfrm>
                              <a:off x="574130" y="6701250"/>
                              <a:ext cx="5433039" cy="17632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B6296" w14:textId="5EE79386" w:rsidR="00C8402C" w:rsidRPr="00577598" w:rsidRDefault="00C8402C" w:rsidP="001F0F9F">
                                <w:pPr>
                                  <w:jc w:val="center"/>
                                  <w:rPr>
                                    <w:rFonts w:cs="Times New Roman"/>
                                    <w:color w:val="000000" w:themeColor="text1"/>
                                  </w:rPr>
                                </w:pPr>
                                <w:r w:rsidRPr="00577598">
                                  <w:rPr>
                                    <w:rFonts w:cs="Times New Roman"/>
                                    <w:b/>
                                    <w:color w:val="000000" w:themeColor="text1"/>
                                  </w:rPr>
                                  <w:t>Student clinical placements – 4x</w:t>
                                </w:r>
                                <w:r>
                                  <w:rPr>
                                    <w:rFonts w:cs="Times New Roman"/>
                                    <w:b/>
                                    <w:color w:val="000000" w:themeColor="text1"/>
                                  </w:rPr>
                                  <w:t>3</w:t>
                                </w:r>
                                <w:r w:rsidRPr="00577598">
                                  <w:rPr>
                                    <w:rFonts w:cs="Times New Roman"/>
                                    <w:b/>
                                    <w:color w:val="000000" w:themeColor="text1"/>
                                  </w:rPr>
                                  <w:t xml:space="preserve"> weeks (July – </w:t>
                                </w:r>
                                <w:r>
                                  <w:rPr>
                                    <w:rFonts w:cs="Times New Roman"/>
                                    <w:b/>
                                    <w:color w:val="000000" w:themeColor="text1"/>
                                  </w:rPr>
                                  <w:t>October 2016</w:t>
                                </w:r>
                                <w:r w:rsidRPr="00577598">
                                  <w:rPr>
                                    <w:rFonts w:cs="Times New Roman"/>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Down Arrow 58"/>
                          <wps:cNvSpPr/>
                          <wps:spPr>
                            <a:xfrm rot="5400000">
                              <a:off x="4197756" y="2262041"/>
                              <a:ext cx="257810" cy="741680"/>
                            </a:xfrm>
                            <a:prstGeom prst="downArrow">
                              <a:avLst/>
                            </a:prstGeom>
                            <a:solidFill>
                              <a:schemeClr val="accent1">
                                <a:alpha val="25000"/>
                              </a:schemeClr>
                            </a:solidFill>
                            <a:ln>
                              <a:solidFill>
                                <a:schemeClr val="accent1">
                                  <a:alpha val="2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574085" y="779305"/>
                              <a:ext cx="5433228" cy="7612548"/>
                              <a:chOff x="582723" y="590162"/>
                              <a:chExt cx="5433338" cy="7612986"/>
                            </a:xfrm>
                          </wpg:grpSpPr>
                          <wpg:grpSp>
                            <wpg:cNvPr id="62" name="Group 62"/>
                            <wpg:cNvGrpSpPr/>
                            <wpg:grpSpPr>
                              <a:xfrm>
                                <a:off x="582723" y="590162"/>
                                <a:ext cx="5433338" cy="7612986"/>
                                <a:chOff x="608648" y="814484"/>
                                <a:chExt cx="5433782" cy="7613608"/>
                              </a:xfrm>
                            </wpg:grpSpPr>
                            <wps:wsp>
                              <wps:cNvPr id="66" name="Down Arrow 66"/>
                              <wps:cNvSpPr/>
                              <wps:spPr>
                                <a:xfrm rot="20554668">
                                  <a:off x="4580932" y="2260312"/>
                                  <a:ext cx="175226" cy="1115424"/>
                                </a:xfrm>
                                <a:prstGeom prst="downArrow">
                                  <a:avLst/>
                                </a:prstGeom>
                                <a:solidFill>
                                  <a:schemeClr val="accent2">
                                    <a:alpha val="40000"/>
                                  </a:schemeClr>
                                </a:solidFill>
                                <a:ln>
                                  <a:solidFill>
                                    <a:schemeClr val="accent1">
                                      <a:alpha val="2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Down Arrow 76"/>
                              <wps:cNvSpPr/>
                              <wps:spPr>
                                <a:xfrm rot="1019069">
                                  <a:off x="1746352" y="2256800"/>
                                  <a:ext cx="171823" cy="1116565"/>
                                </a:xfrm>
                                <a:prstGeom prst="downArrow">
                                  <a:avLst/>
                                </a:prstGeom>
                                <a:solidFill>
                                  <a:schemeClr val="accent6">
                                    <a:alpha val="40000"/>
                                  </a:schemeClr>
                                </a:solidFill>
                                <a:ln>
                                  <a:solidFill>
                                    <a:schemeClr val="accent1">
                                      <a:alpha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oup 77"/>
                              <wpg:cNvGrpSpPr/>
                              <wpg:grpSpPr>
                                <a:xfrm>
                                  <a:off x="608648" y="1986623"/>
                                  <a:ext cx="5433782" cy="6441469"/>
                                  <a:chOff x="608648" y="2547"/>
                                  <a:chExt cx="5433782" cy="6441469"/>
                                </a:xfrm>
                              </wpg:grpSpPr>
                              <wps:wsp>
                                <wps:cNvPr id="81" name="Text Box 81"/>
                                <wps:cNvSpPr txBox="1"/>
                                <wps:spPr>
                                  <a:xfrm>
                                    <a:off x="2918827" y="2283153"/>
                                    <a:ext cx="840713" cy="525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8CAB0" w14:textId="77777777" w:rsidR="00C8402C" w:rsidRPr="00D35F5A" w:rsidRDefault="00C8402C" w:rsidP="001F0F9F">
                                      <w:pPr>
                                        <w:jc w:val="center"/>
                                        <w:rPr>
                                          <w:rFonts w:cs="Times New Roman"/>
                                          <w:b/>
                                          <w:sz w:val="20"/>
                                        </w:rPr>
                                      </w:pPr>
                                      <w:r w:rsidRPr="00D35F5A">
                                        <w:rPr>
                                          <w:rFonts w:cs="Times New Roman"/>
                                          <w:b/>
                                          <w:sz w:val="20"/>
                                        </w:rPr>
                                        <w:t>Nov 2015 + Jan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 name="Group 82"/>
                                <wpg:cNvGrpSpPr/>
                                <wpg:grpSpPr>
                                  <a:xfrm>
                                    <a:off x="608648" y="2547"/>
                                    <a:ext cx="5433782" cy="6441469"/>
                                    <a:chOff x="608648" y="2547"/>
                                    <a:chExt cx="5433782" cy="6441469"/>
                                  </a:xfrm>
                                </wpg:grpSpPr>
                                <wpg:grpSp>
                                  <wpg:cNvPr id="88" name="Group 88"/>
                                  <wpg:cNvGrpSpPr/>
                                  <wpg:grpSpPr>
                                    <a:xfrm>
                                      <a:off x="939719" y="2547"/>
                                      <a:ext cx="5102711" cy="2017948"/>
                                      <a:chOff x="-552991" y="2554"/>
                                      <a:chExt cx="5103636" cy="2018630"/>
                                    </a:xfrm>
                                  </wpg:grpSpPr>
                                  <wps:wsp>
                                    <wps:cNvPr id="89" name="Flowchart: Process 89"/>
                                    <wps:cNvSpPr/>
                                    <wps:spPr>
                                      <a:xfrm>
                                        <a:off x="1101054" y="2554"/>
                                        <a:ext cx="1346757" cy="91787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F49D93" w14:textId="77777777" w:rsidR="00C8402C" w:rsidRPr="00D35F5A" w:rsidRDefault="00C8402C" w:rsidP="001F0F9F">
                                          <w:pPr>
                                            <w:jc w:val="center"/>
                                            <w:rPr>
                                              <w:rFonts w:cs="Times New Roman"/>
                                            </w:rPr>
                                          </w:pPr>
                                          <w:r w:rsidRPr="00D35F5A">
                                            <w:rPr>
                                              <w:rFonts w:cs="Times New Roman"/>
                                            </w:rPr>
                                            <w:t>171 2nd year students completed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a:stCxn id="89" idx="2"/>
                                      <a:endCxn id="199" idx="0"/>
                                    </wps:cNvCnPr>
                                    <wps:spPr>
                                      <a:xfrm flipH="1">
                                        <a:off x="94459" y="920432"/>
                                        <a:ext cx="1679973" cy="549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a:stCxn id="89" idx="2"/>
                                      <a:endCxn id="200" idx="0"/>
                                    </wps:cNvCnPr>
                                    <wps:spPr>
                                      <a:xfrm>
                                        <a:off x="1774432" y="920432"/>
                                        <a:ext cx="1753597" cy="5230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198"/>
                                    <wps:cNvSpPr txBox="1"/>
                                    <wps:spPr>
                                      <a:xfrm>
                                        <a:off x="786032" y="1410568"/>
                                        <a:ext cx="2075353" cy="610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4DEFDD" w14:textId="77777777" w:rsidR="00C8402C" w:rsidRPr="00D35F5A" w:rsidRDefault="00C8402C" w:rsidP="001F0F9F">
                                          <w:pPr>
                                            <w:jc w:val="center"/>
                                            <w:rPr>
                                              <w:rFonts w:cs="Times New Roman"/>
                                              <w:sz w:val="18"/>
                                            </w:rPr>
                                          </w:pPr>
                                          <w:r w:rsidRPr="00D35F5A">
                                            <w:rPr>
                                              <w:rFonts w:cs="Times New Roman"/>
                                              <w:sz w:val="18"/>
                                            </w:rPr>
                                            <w:t xml:space="preserve">Students randomly allocated into tutorial groups then randomly allocated to teachers to receive SRLF or BPF.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Flowchart: Preparation 199"/>
                                    <wps:cNvSpPr/>
                                    <wps:spPr>
                                      <a:xfrm>
                                        <a:off x="-552991" y="1469853"/>
                                        <a:ext cx="1294901" cy="498136"/>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BF7B47F" w14:textId="77777777" w:rsidR="00C8402C" w:rsidRPr="00D35F5A" w:rsidRDefault="00C8402C" w:rsidP="00C9129E">
                                          <w:pPr>
                                            <w:ind w:left="-709" w:right="-728"/>
                                            <w:jc w:val="center"/>
                                            <w:rPr>
                                              <w:rFonts w:cs="Times New Roman"/>
                                              <w:b/>
                                              <w:sz w:val="20"/>
                                            </w:rPr>
                                          </w:pPr>
                                          <w:r w:rsidRPr="00D35F5A">
                                            <w:rPr>
                                              <w:rFonts w:cs="Times New Roman"/>
                                              <w:b/>
                                              <w:sz w:val="20"/>
                                            </w:rPr>
                                            <w:t>SRLF</w:t>
                                          </w:r>
                                          <w:r w:rsidRPr="00D35F5A">
                                            <w:rPr>
                                              <w:rFonts w:cs="Times New Roman"/>
                                              <w:sz w:val="20"/>
                                            </w:rPr>
                                            <w:t xml:space="preserve"> n = 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Flowchart: Preparation 200"/>
                                    <wps:cNvSpPr/>
                                    <wps:spPr>
                                      <a:xfrm>
                                        <a:off x="2947420" y="1443496"/>
                                        <a:ext cx="1161216" cy="524492"/>
                                      </a:xfrm>
                                      <a:prstGeom prst="flowChartPreparatio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D4435B" w14:textId="77777777" w:rsidR="00C8402C" w:rsidRPr="00D35F5A" w:rsidRDefault="00C8402C" w:rsidP="00C9129E">
                                          <w:pPr>
                                            <w:ind w:left="-567" w:right="-646"/>
                                            <w:jc w:val="center"/>
                                            <w:rPr>
                                              <w:rFonts w:cs="Times New Roman"/>
                                              <w:b/>
                                              <w:sz w:val="20"/>
                                            </w:rPr>
                                          </w:pPr>
                                          <w:r w:rsidRPr="00D35F5A">
                                            <w:rPr>
                                              <w:rFonts w:cs="Times New Roman"/>
                                              <w:b/>
                                              <w:sz w:val="20"/>
                                            </w:rPr>
                                            <w:t>BPF</w:t>
                                          </w:r>
                                          <w:r w:rsidRPr="00D35F5A">
                                            <w:rPr>
                                              <w:rFonts w:cs="Times New Roman"/>
                                              <w:sz w:val="20"/>
                                            </w:rPr>
                                            <w:t xml:space="preserve"> n =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lowchart: Off-page Connector 201"/>
                                    <wps:cNvSpPr/>
                                    <wps:spPr>
                                      <a:xfrm>
                                        <a:off x="3342025" y="439067"/>
                                        <a:ext cx="1208620" cy="645568"/>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28BE04" w14:textId="77777777" w:rsidR="00C8402C" w:rsidRPr="00D35F5A" w:rsidRDefault="00C8402C" w:rsidP="001F0F9F">
                                          <w:pPr>
                                            <w:jc w:val="center"/>
                                            <w:rPr>
                                              <w:rFonts w:cs="Times New Roman"/>
                                              <w:sz w:val="19"/>
                                              <w:szCs w:val="19"/>
                                            </w:rPr>
                                          </w:pPr>
                                          <w:r w:rsidRPr="00D35F5A">
                                            <w:rPr>
                                              <w:rFonts w:cs="Times New Roman"/>
                                              <w:sz w:val="19"/>
                                              <w:szCs w:val="19"/>
                                            </w:rPr>
                                            <w:t>Questionnaire data collection 1 - Nov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Flowchart: Process 202"/>
                                  <wps:cNvSpPr/>
                                  <wps:spPr>
                                    <a:xfrm>
                                      <a:off x="608648" y="2145767"/>
                                      <a:ext cx="2310179" cy="775882"/>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00E95FE" w14:textId="77777777" w:rsidR="00C8402C" w:rsidRPr="00D35F5A" w:rsidRDefault="00C8402C" w:rsidP="001F0F9F">
                                        <w:pPr>
                                          <w:jc w:val="center"/>
                                          <w:rPr>
                                            <w:rFonts w:cs="Times New Roman"/>
                                            <w:b/>
                                            <w:sz w:val="18"/>
                                          </w:rPr>
                                        </w:pPr>
                                        <w:r w:rsidRPr="00D35F5A">
                                          <w:rPr>
                                            <w:rFonts w:cs="Times New Roman"/>
                                            <w:b/>
                                            <w:sz w:val="18"/>
                                          </w:rPr>
                                          <w:t>Clinical skills teaching</w:t>
                                        </w:r>
                                      </w:p>
                                      <w:p w14:paraId="221153A1" w14:textId="5C4FD658" w:rsidR="00C8402C" w:rsidRPr="00D35F5A" w:rsidRDefault="00C8402C" w:rsidP="00A444E2">
                                        <w:pPr>
                                          <w:jc w:val="center"/>
                                          <w:rPr>
                                            <w:rFonts w:cs="Times New Roman"/>
                                            <w:sz w:val="18"/>
                                          </w:rPr>
                                        </w:pPr>
                                        <w:r w:rsidRPr="00D35F5A">
                                          <w:rPr>
                                            <w:rFonts w:cs="Times New Roman"/>
                                            <w:sz w:val="18"/>
                                          </w:rPr>
                                          <w:t xml:space="preserve">Data recorded on </w:t>
                                        </w:r>
                                        <w:r w:rsidRPr="00D35F5A">
                                          <w:rPr>
                                            <w:rFonts w:cs="Times New Roman"/>
                                            <w:b/>
                                            <w:sz w:val="18"/>
                                          </w:rPr>
                                          <w:t>SRL feedback</w:t>
                                        </w:r>
                                        <w:r w:rsidRPr="00D35F5A">
                                          <w:rPr>
                                            <w:rFonts w:cs="Times New Roman"/>
                                            <w:sz w:val="18"/>
                                          </w:rPr>
                                          <w:t xml:space="preserve"> using </w:t>
                                        </w:r>
                                        <w:r>
                                          <w:rPr>
                                            <w:rFonts w:cs="Times New Roman"/>
                                            <w:sz w:val="18"/>
                                          </w:rPr>
                                          <w:t>MA</w:t>
                                        </w:r>
                                        <w:r w:rsidRPr="00D35F5A">
                                          <w:rPr>
                                            <w:rFonts w:cs="Times New Roman"/>
                                            <w:sz w:val="18"/>
                                          </w:rPr>
                                          <w:t xml:space="preserve"> sheet. Skills observed were venepuncture and catheterisation.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lowchart: Process 203"/>
                                  <wps:cNvSpPr/>
                                  <wps:spPr>
                                    <a:xfrm>
                                      <a:off x="3703049" y="2145767"/>
                                      <a:ext cx="2338950" cy="776149"/>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DC20382" w14:textId="77777777" w:rsidR="00C8402C" w:rsidRPr="00D35F5A" w:rsidRDefault="00C8402C" w:rsidP="001F0F9F">
                                        <w:pPr>
                                          <w:jc w:val="center"/>
                                          <w:rPr>
                                            <w:rFonts w:cs="Times New Roman"/>
                                            <w:b/>
                                            <w:sz w:val="18"/>
                                          </w:rPr>
                                        </w:pPr>
                                        <w:r w:rsidRPr="00D35F5A">
                                          <w:rPr>
                                            <w:rFonts w:cs="Times New Roman"/>
                                            <w:b/>
                                            <w:sz w:val="18"/>
                                          </w:rPr>
                                          <w:t>Clinical skills teaching</w:t>
                                        </w:r>
                                      </w:p>
                                      <w:p w14:paraId="0C98D18B" w14:textId="1734B6A7" w:rsidR="00C8402C" w:rsidRPr="00D35F5A" w:rsidRDefault="00C8402C" w:rsidP="00A444E2">
                                        <w:pPr>
                                          <w:jc w:val="center"/>
                                          <w:rPr>
                                            <w:rFonts w:cs="Times New Roman"/>
                                            <w:sz w:val="18"/>
                                          </w:rPr>
                                        </w:pPr>
                                        <w:r w:rsidRPr="00D35F5A">
                                          <w:rPr>
                                            <w:rFonts w:cs="Times New Roman"/>
                                            <w:sz w:val="18"/>
                                          </w:rPr>
                                          <w:t>Skills observed were ve</w:t>
                                        </w:r>
                                        <w:r>
                                          <w:rPr>
                                            <w:rFonts w:cs="Times New Roman"/>
                                            <w:sz w:val="18"/>
                                          </w:rPr>
                                          <w:t>nepuncture and catheterisation.</w:t>
                                        </w:r>
                                      </w:p>
                                      <w:p w14:paraId="5DAB7B6A" w14:textId="77777777" w:rsidR="00C8402C" w:rsidRPr="00D35F5A" w:rsidRDefault="00C8402C" w:rsidP="001F0F9F">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a:stCxn id="199" idx="2"/>
                                    <a:endCxn id="202" idx="0"/>
                                  </wps:cNvCnPr>
                                  <wps:spPr>
                                    <a:xfrm>
                                      <a:off x="1587052" y="1967318"/>
                                      <a:ext cx="176685" cy="1784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a:stCxn id="200" idx="2"/>
                                    <a:endCxn id="203" idx="0"/>
                                  </wps:cNvCnPr>
                                  <wps:spPr>
                                    <a:xfrm flipH="1">
                                      <a:off x="4872525" y="1967317"/>
                                      <a:ext cx="147475" cy="17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 name="Group 206"/>
                                  <wpg:cNvGrpSpPr/>
                                  <wpg:grpSpPr>
                                    <a:xfrm>
                                      <a:off x="630006" y="5153644"/>
                                      <a:ext cx="5348468" cy="1290372"/>
                                      <a:chOff x="630006" y="745546"/>
                                      <a:chExt cx="5348468" cy="1290372"/>
                                    </a:xfrm>
                                  </wpg:grpSpPr>
                                  <wps:wsp>
                                    <wps:cNvPr id="207" name="Text Box 207"/>
                                    <wps:cNvSpPr txBox="1"/>
                                    <wps:spPr>
                                      <a:xfrm>
                                        <a:off x="1378104" y="745546"/>
                                        <a:ext cx="4146426" cy="419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A7B02" w14:textId="77777777" w:rsidR="00C8402C" w:rsidRPr="00D35F5A" w:rsidRDefault="00C8402C" w:rsidP="001F0F9F">
                                          <w:pPr>
                                            <w:jc w:val="center"/>
                                            <w:rPr>
                                              <w:rFonts w:cs="Times New Roman"/>
                                              <w:sz w:val="20"/>
                                            </w:rPr>
                                          </w:pPr>
                                          <w:r w:rsidRPr="00D35F5A">
                                            <w:rPr>
                                              <w:rFonts w:cs="Times New Roman"/>
                                              <w:sz w:val="20"/>
                                            </w:rPr>
                                            <w:t>Purposive sampling based on: study condition change in SSRQ score (largest-smallest) and overall SSRQ score (high- medium-low).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Flowchart: Preparation 208"/>
                                    <wps:cNvSpPr/>
                                    <wps:spPr>
                                      <a:xfrm>
                                        <a:off x="630006" y="1265354"/>
                                        <a:ext cx="1244078" cy="759815"/>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53DCBFA" w14:textId="77777777" w:rsidR="00C8402C" w:rsidRPr="00D35F5A" w:rsidRDefault="00C8402C" w:rsidP="001F0F9F">
                                          <w:pPr>
                                            <w:jc w:val="center"/>
                                            <w:rPr>
                                              <w:rFonts w:cs="Times New Roman"/>
                                              <w:sz w:val="18"/>
                                            </w:rPr>
                                          </w:pPr>
                                          <w:r w:rsidRPr="00D35F5A">
                                            <w:rPr>
                                              <w:rFonts w:cs="Times New Roman"/>
                                              <w:sz w:val="18"/>
                                            </w:rPr>
                                            <w:t xml:space="preserve">Focus groups = 4  </w:t>
                                          </w:r>
                                        </w:p>
                                        <w:p w14:paraId="4EC6FDE7" w14:textId="4470EF0E" w:rsidR="00C8402C" w:rsidRPr="00D35F5A" w:rsidRDefault="00C8402C" w:rsidP="001F0F9F">
                                          <w:pPr>
                                            <w:jc w:val="center"/>
                                            <w:rPr>
                                              <w:rFonts w:cs="Times New Roman"/>
                                              <w:sz w:val="18"/>
                                            </w:rPr>
                                          </w:pPr>
                                          <w:r>
                                            <w:rPr>
                                              <w:rFonts w:cs="Times New Roman"/>
                                              <w:sz w:val="18"/>
                                            </w:rPr>
                                            <w:t>36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Flowchart: Preparation 209"/>
                                    <wps:cNvSpPr/>
                                    <wps:spPr>
                                      <a:xfrm>
                                        <a:off x="1914463" y="1231829"/>
                                        <a:ext cx="1352142" cy="804089"/>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0756B7" w14:textId="77777777" w:rsidR="00C8402C" w:rsidRPr="00D35F5A" w:rsidRDefault="00C8402C" w:rsidP="00C9129E">
                                          <w:pPr>
                                            <w:ind w:left="-142" w:right="-163"/>
                                            <w:jc w:val="center"/>
                                            <w:rPr>
                                              <w:rFonts w:cs="Times New Roman"/>
                                              <w:sz w:val="18"/>
                                            </w:rPr>
                                          </w:pPr>
                                          <w:r w:rsidRPr="00D35F5A">
                                            <w:rPr>
                                              <w:rFonts w:cs="Times New Roman"/>
                                              <w:sz w:val="18"/>
                                            </w:rPr>
                                            <w:t>Individual interviews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lowchart: Preparation 210"/>
                                    <wps:cNvSpPr/>
                                    <wps:spPr>
                                      <a:xfrm>
                                        <a:off x="3469604" y="1272835"/>
                                        <a:ext cx="1263779" cy="753475"/>
                                      </a:xfrm>
                                      <a:prstGeom prst="flowChartPreparatio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B96957B" w14:textId="77777777" w:rsidR="00C8402C" w:rsidRPr="00D35F5A" w:rsidRDefault="00C8402C" w:rsidP="001F0F9F">
                                          <w:pPr>
                                            <w:jc w:val="center"/>
                                            <w:rPr>
                                              <w:rFonts w:cs="Times New Roman"/>
                                              <w:sz w:val="18"/>
                                            </w:rPr>
                                          </w:pPr>
                                          <w:r w:rsidRPr="00D35F5A">
                                            <w:rPr>
                                              <w:rFonts w:cs="Times New Roman"/>
                                              <w:sz w:val="18"/>
                                            </w:rPr>
                                            <w:t xml:space="preserve">Focus groups = 3  </w:t>
                                          </w:r>
                                        </w:p>
                                        <w:p w14:paraId="2AF151D9" w14:textId="77777777" w:rsidR="00C8402C" w:rsidRPr="00D35F5A" w:rsidRDefault="00C8402C" w:rsidP="001F0F9F">
                                          <w:pPr>
                                            <w:jc w:val="center"/>
                                            <w:rPr>
                                              <w:rFonts w:cs="Times New Roman"/>
                                              <w:sz w:val="18"/>
                                            </w:rPr>
                                          </w:pPr>
                                          <w:r w:rsidRPr="00D35F5A">
                                            <w:rPr>
                                              <w:rFonts w:cs="Times New Roman"/>
                                              <w:sz w:val="18"/>
                                            </w:rPr>
                                            <w:t>21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lowchart: Preparation 211"/>
                                    <wps:cNvSpPr/>
                                    <wps:spPr>
                                      <a:xfrm>
                                        <a:off x="4754503" y="1254071"/>
                                        <a:ext cx="1223971" cy="769373"/>
                                      </a:xfrm>
                                      <a:prstGeom prst="flowChartPreparatio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6DDB439" w14:textId="15D988A3" w:rsidR="00C8402C" w:rsidRPr="00D35F5A" w:rsidRDefault="00C8402C" w:rsidP="00C9129E">
                                          <w:pPr>
                                            <w:ind w:left="-142" w:right="-139"/>
                                            <w:jc w:val="center"/>
                                            <w:rPr>
                                              <w:rFonts w:cs="Times New Roman"/>
                                              <w:sz w:val="18"/>
                                            </w:rPr>
                                          </w:pPr>
                                          <w:r>
                                            <w:rPr>
                                              <w:rFonts w:cs="Times New Roman"/>
                                              <w:sz w:val="18"/>
                                            </w:rPr>
                                            <w:t>I</w:t>
                                          </w:r>
                                          <w:r w:rsidRPr="00D35F5A">
                                            <w:rPr>
                                              <w:rFonts w:cs="Times New Roman"/>
                                              <w:sz w:val="18"/>
                                            </w:rPr>
                                            <w:t>nterviews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12" name="Group 212"/>
                              <wpg:cNvGrpSpPr/>
                              <wpg:grpSpPr>
                                <a:xfrm>
                                  <a:off x="608736" y="814484"/>
                                  <a:ext cx="5433310" cy="1608501"/>
                                  <a:chOff x="-753906" y="862822"/>
                                  <a:chExt cx="5430933" cy="1540760"/>
                                </a:xfrm>
                              </wpg:grpSpPr>
                              <wpg:grpSp>
                                <wpg:cNvPr id="213" name="Group 213"/>
                                <wpg:cNvGrpSpPr/>
                                <wpg:grpSpPr>
                                  <a:xfrm>
                                    <a:off x="202483" y="862822"/>
                                    <a:ext cx="4474544" cy="1323398"/>
                                    <a:chOff x="-1160491" y="871448"/>
                                    <a:chExt cx="4474544" cy="1323398"/>
                                  </a:xfrm>
                                </wpg:grpSpPr>
                                <wps:wsp>
                                  <wps:cNvPr id="214" name="Flowchart: Process 214"/>
                                  <wps:cNvSpPr/>
                                  <wps:spPr>
                                    <a:xfrm>
                                      <a:off x="-173040" y="878876"/>
                                      <a:ext cx="1440611" cy="4567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579FA4" w14:textId="77777777" w:rsidR="00C8402C" w:rsidRPr="00D35F5A" w:rsidRDefault="00C8402C" w:rsidP="001F0F9F">
                                        <w:pPr>
                                          <w:jc w:val="center"/>
                                          <w:rPr>
                                            <w:rFonts w:cs="Times New Roman"/>
                                            <w:sz w:val="20"/>
                                            <w:szCs w:val="18"/>
                                          </w:rPr>
                                        </w:pPr>
                                        <w:r w:rsidRPr="00D35F5A">
                                          <w:rPr>
                                            <w:rFonts w:cs="Times New Roman"/>
                                            <w:sz w:val="20"/>
                                            <w:szCs w:val="18"/>
                                          </w:rPr>
                                          <w:t>14 clinical skills tutors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lowchart: Preparation 216"/>
                                  <wps:cNvSpPr/>
                                  <wps:spPr>
                                    <a:xfrm>
                                      <a:off x="-1160491" y="1616648"/>
                                      <a:ext cx="933341" cy="578198"/>
                                    </a:xfrm>
                                    <a:prstGeom prst="flowChartPreparation">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93FB24" w14:textId="77777777" w:rsidR="00C8402C" w:rsidRPr="00D35F5A" w:rsidRDefault="00C8402C" w:rsidP="001F0F9F">
                                        <w:pPr>
                                          <w:jc w:val="center"/>
                                          <w:rPr>
                                            <w:rFonts w:cs="Times New Roman"/>
                                            <w:b/>
                                            <w:sz w:val="20"/>
                                            <w:szCs w:val="18"/>
                                          </w:rPr>
                                        </w:pPr>
                                        <w:r w:rsidRPr="00D35F5A">
                                          <w:rPr>
                                            <w:rFonts w:cs="Times New Roman"/>
                                            <w:b/>
                                            <w:sz w:val="20"/>
                                            <w:szCs w:val="18"/>
                                          </w:rPr>
                                          <w:t>SRLF</w:t>
                                        </w:r>
                                      </w:p>
                                      <w:p w14:paraId="2616867F" w14:textId="77777777" w:rsidR="00C8402C" w:rsidRPr="00D35F5A" w:rsidRDefault="00C8402C" w:rsidP="001F0F9F">
                                        <w:pPr>
                                          <w:jc w:val="center"/>
                                          <w:rPr>
                                            <w:rFonts w:cs="Times New Roman"/>
                                            <w:sz w:val="20"/>
                                            <w:szCs w:val="18"/>
                                          </w:rPr>
                                        </w:pPr>
                                        <w:r w:rsidRPr="00D35F5A">
                                          <w:rPr>
                                            <w:rFonts w:cs="Times New Roman"/>
                                            <w:sz w:val="20"/>
                                            <w:szCs w:val="18"/>
                                          </w:rPr>
                                          <w:t>n=7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lowchart: Preparation 217"/>
                                  <wps:cNvSpPr/>
                                  <wps:spPr>
                                    <a:xfrm>
                                      <a:off x="1315338" y="1609186"/>
                                      <a:ext cx="846772" cy="585652"/>
                                    </a:xfrm>
                                    <a:prstGeom prst="flowChartPreparatio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328EA0" w14:textId="77777777" w:rsidR="00C8402C" w:rsidRPr="00D35F5A" w:rsidRDefault="00C8402C" w:rsidP="001F0F9F">
                                        <w:pPr>
                                          <w:jc w:val="center"/>
                                          <w:rPr>
                                            <w:rFonts w:cs="Times New Roman"/>
                                            <w:b/>
                                            <w:sz w:val="20"/>
                                            <w:szCs w:val="18"/>
                                          </w:rPr>
                                        </w:pPr>
                                        <w:r w:rsidRPr="00D35F5A">
                                          <w:rPr>
                                            <w:rFonts w:cs="Times New Roman"/>
                                            <w:b/>
                                            <w:sz w:val="20"/>
                                            <w:szCs w:val="18"/>
                                          </w:rPr>
                                          <w:t>BPF</w:t>
                                        </w:r>
                                      </w:p>
                                      <w:p w14:paraId="33967DD2" w14:textId="77777777" w:rsidR="00C8402C" w:rsidRPr="00D35F5A" w:rsidRDefault="00C8402C" w:rsidP="001F0F9F">
                                        <w:pPr>
                                          <w:jc w:val="center"/>
                                          <w:rPr>
                                            <w:rFonts w:cs="Times New Roman"/>
                                            <w:sz w:val="20"/>
                                            <w:szCs w:val="18"/>
                                          </w:rPr>
                                        </w:pPr>
                                        <w:r w:rsidRPr="00D35F5A">
                                          <w:rPr>
                                            <w:rFonts w:cs="Times New Roman"/>
                                            <w:sz w:val="20"/>
                                            <w:szCs w:val="18"/>
                                          </w:rPr>
                                          <w:t>n=7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Arrow Callout 218"/>
                                  <wps:cNvSpPr/>
                                  <wps:spPr>
                                    <a:xfrm>
                                      <a:off x="1656422" y="871448"/>
                                      <a:ext cx="1657631" cy="737738"/>
                                    </a:xfrm>
                                    <a:prstGeom prst="leftArrowCallout">
                                      <a:avLst>
                                        <a:gd name="adj1" fmla="val 17884"/>
                                        <a:gd name="adj2" fmla="val 16104"/>
                                        <a:gd name="adj3" fmla="val 17883"/>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65B822" w14:textId="77777777" w:rsidR="00C8402C" w:rsidRPr="00D35F5A" w:rsidRDefault="00C8402C" w:rsidP="001F0F9F">
                                        <w:pPr>
                                          <w:jc w:val="center"/>
                                          <w:rPr>
                                            <w:rFonts w:cs="Times New Roman"/>
                                            <w:sz w:val="20"/>
                                            <w:szCs w:val="18"/>
                                          </w:rPr>
                                        </w:pPr>
                                        <w:r w:rsidRPr="00D35F5A">
                                          <w:rPr>
                                            <w:rFonts w:cs="Times New Roman"/>
                                            <w:sz w:val="20"/>
                                            <w:szCs w:val="18"/>
                                          </w:rPr>
                                          <w:t>Best practice feedback (BPF) refresher session - Sep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Straight Arrow Connector 220"/>
                                  <wps:cNvCnPr>
                                    <a:stCxn id="214" idx="2"/>
                                    <a:endCxn id="217" idx="0"/>
                                  </wps:cNvCnPr>
                                  <wps:spPr>
                                    <a:xfrm>
                                      <a:off x="547265" y="1335646"/>
                                      <a:ext cx="1191459" cy="273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a:stCxn id="214" idx="2"/>
                                    <a:endCxn id="216" idx="0"/>
                                  </wps:cNvCnPr>
                                  <wps:spPr>
                                    <a:xfrm flipH="1">
                                      <a:off x="-693820" y="1335646"/>
                                      <a:ext cx="1241086" cy="281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57" name="Flowchart: Off-page Connector 257"/>
                                <wps:cNvSpPr/>
                                <wps:spPr>
                                  <a:xfrm>
                                    <a:off x="-753906" y="1477582"/>
                                    <a:ext cx="721402" cy="926000"/>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55B7D5" w14:textId="77777777" w:rsidR="00C8402C" w:rsidRPr="00D35F5A" w:rsidRDefault="00C8402C" w:rsidP="001F0F9F">
                                      <w:pPr>
                                        <w:jc w:val="center"/>
                                        <w:rPr>
                                          <w:rFonts w:cs="Times New Roman"/>
                                          <w:sz w:val="20"/>
                                          <w:szCs w:val="18"/>
                                        </w:rPr>
                                      </w:pPr>
                                      <w:r w:rsidRPr="00D35F5A">
                                        <w:rPr>
                                          <w:rFonts w:cs="Times New Roman"/>
                                          <w:sz w:val="20"/>
                                          <w:szCs w:val="18"/>
                                        </w:rPr>
                                        <w:t xml:space="preserve">SRL feedback (SRLF) training.  </w:t>
                                      </w:r>
                                    </w:p>
                                    <w:p w14:paraId="2F7A4B29" w14:textId="77777777" w:rsidR="00C8402C" w:rsidRPr="00D35F5A" w:rsidRDefault="00C8402C" w:rsidP="001F0F9F">
                                      <w:pPr>
                                        <w:jc w:val="center"/>
                                        <w:rPr>
                                          <w:rFonts w:cs="Times New Roman"/>
                                          <w:sz w:val="20"/>
                                          <w:szCs w:val="18"/>
                                        </w:rPr>
                                      </w:pPr>
                                      <w:r w:rsidRPr="00D35F5A">
                                        <w:rPr>
                                          <w:rFonts w:cs="Times New Roman"/>
                                          <w:b/>
                                          <w:sz w:val="20"/>
                                          <w:szCs w:val="18"/>
                                        </w:rPr>
                                        <w:t>Sep + Oct 2015</w:t>
                                      </w:r>
                                    </w:p>
                                    <w:p w14:paraId="01A22337" w14:textId="77777777" w:rsidR="00C8402C" w:rsidRPr="00D35F5A" w:rsidRDefault="00C8402C" w:rsidP="001F0F9F">
                                      <w:pPr>
                                        <w:jc w:val="center"/>
                                        <w:rPr>
                                          <w:rFonts w:cs="Times New Roman"/>
                                          <w:sz w:val="20"/>
                                          <w:szCs w:val="18"/>
                                        </w:rPr>
                                      </w:pPr>
                                    </w:p>
                                    <w:p w14:paraId="442D94C0" w14:textId="77777777" w:rsidR="00C8402C" w:rsidRPr="00D35F5A" w:rsidRDefault="00C8402C" w:rsidP="001F0F9F">
                                      <w:pPr>
                                        <w:jc w:val="center"/>
                                        <w:rPr>
                                          <w:rFonts w:cs="Times New Roman"/>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Left Arrow 258"/>
                                <wps:cNvSpPr/>
                                <wps:spPr>
                                  <a:xfrm rot="10800000">
                                    <a:off x="-32486" y="1821624"/>
                                    <a:ext cx="241610" cy="163913"/>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9" name="Text Box 259"/>
                            <wps:cNvSpPr txBox="1"/>
                            <wps:spPr>
                              <a:xfrm>
                                <a:off x="2595987" y="1132851"/>
                                <a:ext cx="1336787" cy="458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06431" w14:textId="74592DA4" w:rsidR="00C8402C" w:rsidRPr="009800B9" w:rsidRDefault="00C8402C" w:rsidP="001F0F9F">
                                  <w:pPr>
                                    <w:jc w:val="center"/>
                                    <w:rPr>
                                      <w:rFonts w:cs="Times New Roman"/>
                                      <w:sz w:val="22"/>
                                    </w:rPr>
                                  </w:pPr>
                                  <w:r w:rsidRPr="009800B9">
                                    <w:rPr>
                                      <w:rFonts w:cs="Times New Roman"/>
                                      <w:sz w:val="22"/>
                                    </w:rPr>
                                    <w:t xml:space="preserve">Randomly allocated </w:t>
                                  </w:r>
                                  <w:r>
                                    <w:rPr>
                                      <w:rFonts w:cs="Times New Roman"/>
                                      <w:sz w:val="22"/>
                                    </w:rPr>
                                    <w:t>give SRLF or BPF</w:t>
                                  </w:r>
                                  <w:r w:rsidRPr="009800B9">
                                    <w:rPr>
                                      <w:rFonts w:cs="Times New Roman"/>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0" name="Flowchart: Off-page Connector 260"/>
                          <wps:cNvSpPr/>
                          <wps:spPr>
                            <a:xfrm>
                              <a:off x="2285937" y="4986488"/>
                              <a:ext cx="2320421" cy="563708"/>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0073F5" w14:textId="77777777" w:rsidR="00C8402C" w:rsidRPr="00577598" w:rsidRDefault="00C8402C" w:rsidP="001F0F9F">
                                <w:pPr>
                                  <w:jc w:val="center"/>
                                  <w:rPr>
                                    <w:rFonts w:cs="Times New Roman"/>
                                    <w:sz w:val="19"/>
                                    <w:szCs w:val="19"/>
                                  </w:rPr>
                                </w:pPr>
                                <w:r w:rsidRPr="00577598">
                                  <w:rPr>
                                    <w:rFonts w:cs="Times New Roman"/>
                                    <w:sz w:val="19"/>
                                    <w:szCs w:val="19"/>
                                  </w:rPr>
                                  <w:t>Questionnaire data collection 2 - Feb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Down Arrow 261"/>
                          <wps:cNvSpPr/>
                          <wps:spPr>
                            <a:xfrm>
                              <a:off x="4579081" y="4978708"/>
                              <a:ext cx="220048" cy="1637723"/>
                            </a:xfrm>
                            <a:prstGeom prst="downArrow">
                              <a:avLst/>
                            </a:prstGeom>
                            <a:solidFill>
                              <a:schemeClr val="accent2">
                                <a:alpha val="40000"/>
                              </a:schemeClr>
                            </a:solidFill>
                            <a:ln>
                              <a:solidFill>
                                <a:schemeClr val="accent1">
                                  <a:alpha val="2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Down Arrow 262"/>
                          <wps:cNvSpPr/>
                          <wps:spPr>
                            <a:xfrm>
                              <a:off x="1757835" y="4977129"/>
                              <a:ext cx="236611" cy="1637723"/>
                            </a:xfrm>
                            <a:prstGeom prst="downArrow">
                              <a:avLst/>
                            </a:prstGeom>
                            <a:solidFill>
                              <a:schemeClr val="accent6">
                                <a:alpha val="40000"/>
                              </a:schemeClr>
                            </a:solidFill>
                            <a:ln>
                              <a:solidFill>
                                <a:schemeClr val="accent1">
                                  <a:alpha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lowchart: Process 263"/>
                          <wps:cNvSpPr/>
                          <wps:spPr>
                            <a:xfrm>
                              <a:off x="574085" y="5677243"/>
                              <a:ext cx="5433084" cy="73489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6D54C5" w14:textId="1D7C9339" w:rsidR="00C8402C" w:rsidRPr="00C9129E" w:rsidRDefault="00C8402C" w:rsidP="001F0F9F">
                                <w:pPr>
                                  <w:jc w:val="center"/>
                                  <w:rPr>
                                    <w:rFonts w:cs="Times New Roman"/>
                                    <w:b/>
                                    <w:sz w:val="22"/>
                                  </w:rPr>
                                </w:pPr>
                                <w:r w:rsidRPr="00C9129E">
                                  <w:rPr>
                                    <w:rFonts w:cs="Times New Roman"/>
                                    <w:b/>
                                    <w:sz w:val="22"/>
                                  </w:rPr>
                                  <w:t>Teacher interviews n=13 - Feb 2016</w:t>
                                </w:r>
                              </w:p>
                              <w:p w14:paraId="0259F072" w14:textId="77777777" w:rsidR="00C8402C" w:rsidRPr="00C9129E" w:rsidRDefault="00C8402C" w:rsidP="001F0F9F">
                                <w:pPr>
                                  <w:jc w:val="center"/>
                                  <w:rPr>
                                    <w:rFonts w:cs="Times New Roman"/>
                                    <w:sz w:val="22"/>
                                  </w:rPr>
                                </w:pPr>
                                <w:r w:rsidRPr="00C9129E">
                                  <w:rPr>
                                    <w:rFonts w:cs="Times New Roman"/>
                                    <w:sz w:val="22"/>
                                  </w:rPr>
                                  <w:t>Interviews with all tutors to explore the impact of the SRL intervention and best practice feedback models on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Flowchart: Off-page Connector 264"/>
                          <wps:cNvSpPr/>
                          <wps:spPr>
                            <a:xfrm>
                              <a:off x="2130076" y="8781201"/>
                              <a:ext cx="2320294" cy="64516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A07F3" w14:textId="77777777" w:rsidR="00C8402C" w:rsidRPr="00577598" w:rsidRDefault="00C8402C" w:rsidP="001F0F9F">
                                <w:pPr>
                                  <w:jc w:val="center"/>
                                  <w:rPr>
                                    <w:rFonts w:cs="Times New Roman"/>
                                    <w:sz w:val="19"/>
                                    <w:szCs w:val="19"/>
                                  </w:rPr>
                                </w:pPr>
                                <w:r w:rsidRPr="00577598">
                                  <w:rPr>
                                    <w:rFonts w:cs="Times New Roman"/>
                                    <w:sz w:val="19"/>
                                    <w:szCs w:val="19"/>
                                  </w:rPr>
                                  <w:t>Questionnaire data collection 3 - Nov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Rounded Rectangle 265"/>
                        <wps:cNvSpPr/>
                        <wps:spPr>
                          <a:xfrm>
                            <a:off x="4727407" y="8647851"/>
                            <a:ext cx="1428173" cy="792317"/>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BFDA82" w14:textId="77777777" w:rsidR="00C8402C" w:rsidRPr="004A030D" w:rsidRDefault="00C8402C" w:rsidP="001F0F9F">
                              <w:pPr>
                                <w:jc w:val="center"/>
                                <w:rPr>
                                  <w:rFonts w:cs="Times New Roman"/>
                                  <w:b/>
                                  <w:color w:val="000000" w:themeColor="text1"/>
                                  <w:sz w:val="19"/>
                                  <w:szCs w:val="19"/>
                                </w:rPr>
                              </w:pPr>
                              <w:r w:rsidRPr="004A030D">
                                <w:rPr>
                                  <w:rFonts w:cs="Times New Roman"/>
                                  <w:b/>
                                  <w:color w:val="000000" w:themeColor="text1"/>
                                  <w:sz w:val="19"/>
                                  <w:szCs w:val="19"/>
                                </w:rPr>
                                <w:t>SSRQ validation</w:t>
                              </w:r>
                            </w:p>
                            <w:p w14:paraId="282E86EB" w14:textId="77777777" w:rsidR="00C8402C" w:rsidRPr="004A030D" w:rsidRDefault="00C8402C" w:rsidP="001F0F9F">
                              <w:pPr>
                                <w:jc w:val="center"/>
                                <w:rPr>
                                  <w:rFonts w:cs="Times New Roman"/>
                                  <w:b/>
                                  <w:color w:val="000000" w:themeColor="text1"/>
                                  <w:sz w:val="19"/>
                                  <w:szCs w:val="19"/>
                                </w:rPr>
                              </w:pPr>
                              <w:r w:rsidRPr="004A030D">
                                <w:rPr>
                                  <w:rFonts w:cs="Times New Roman"/>
                                  <w:b/>
                                  <w:color w:val="000000" w:themeColor="text1"/>
                                  <w:sz w:val="19"/>
                                  <w:szCs w:val="19"/>
                                </w:rPr>
                                <w:t>Additional data from new 2</w:t>
                              </w:r>
                              <w:r w:rsidRPr="004A030D">
                                <w:rPr>
                                  <w:rFonts w:cs="Times New Roman"/>
                                  <w:b/>
                                  <w:color w:val="000000" w:themeColor="text1"/>
                                  <w:sz w:val="19"/>
                                  <w:szCs w:val="19"/>
                                  <w:vertAlign w:val="superscript"/>
                                </w:rPr>
                                <w:t>nd</w:t>
                              </w:r>
                              <w:r w:rsidRPr="004A030D">
                                <w:rPr>
                                  <w:rFonts w:cs="Times New Roman"/>
                                  <w:b/>
                                  <w:color w:val="000000" w:themeColor="text1"/>
                                  <w:sz w:val="19"/>
                                  <w:szCs w:val="19"/>
                                </w:rPr>
                                <w:t xml:space="preser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Down Arrow 266"/>
                        <wps:cNvSpPr/>
                        <wps:spPr>
                          <a:xfrm>
                            <a:off x="3910427" y="8530019"/>
                            <a:ext cx="217805" cy="249413"/>
                          </a:xfrm>
                          <a:prstGeom prst="downArrow">
                            <a:avLst/>
                          </a:prstGeom>
                          <a:solidFill>
                            <a:schemeClr val="accent2">
                              <a:alpha val="40000"/>
                            </a:schemeClr>
                          </a:solidFill>
                          <a:ln>
                            <a:solidFill>
                              <a:schemeClr val="accent1">
                                <a:alpha val="2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Down Arrow 267"/>
                        <wps:cNvSpPr/>
                        <wps:spPr>
                          <a:xfrm>
                            <a:off x="2826003" y="8519387"/>
                            <a:ext cx="234677" cy="249460"/>
                          </a:xfrm>
                          <a:prstGeom prst="downArrow">
                            <a:avLst/>
                          </a:prstGeom>
                          <a:solidFill>
                            <a:schemeClr val="accent6">
                              <a:alpha val="40000"/>
                            </a:schemeClr>
                          </a:solidFill>
                          <a:ln>
                            <a:solidFill>
                              <a:schemeClr val="accent1">
                                <a:alpha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65270" id="Group 54" o:spid="_x0000_s1092" style="position:absolute;margin-left:1.8pt;margin-top:-2.85pt;width:427.8pt;height:681.9pt;z-index:251649024;mso-width-relative:margin;mso-height-relative:margin" coordorigin="722924,779239" coordsize="5433087,86609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">
                <v:group id="Group 55" o:spid="_x0000_s1093" style="position:absolute;left:722924;top:779239;width:5433087;height:8646335" coordorigin="574085,779305" coordsize="5433228,86470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shapetype id="_x0000_t109" coordsize="21600,21600" o:spt="109" path="m0,0l0,21600,21600,21600,21600,0xe">
                    <v:stroke joinstyle="miter"/>
                    <v:path gradientshapeok="t" o:connecttype="rect"/>
                  </v:shapetype>
                  <v:shape id="Flowchart: Process 57" o:spid="_x0000_s1094" type="#_x0000_t109" style="position:absolute;left:574130;top:6701250;width:5433039;height:176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fOqxAAA&#10;ANsAAAAPAAAAZHJzL2Rvd25yZXYueG1sRI/RaoNAFETfC/mH5QbyVtcG0orNJkjAkIeG0NgPuLo3&#10;KnXvirsa8/fdQqGPw8ycYbb72XRiosG1lhW8RDEI4srqlmsFX0X+nIBwHlljZ5kUPMjBfrd42mKq&#10;7Z0/abr6WgQIuxQVNN73qZSuasigi2xPHLybHQz6IIda6gHvAW46uY7jV2mw5bDQYE+Hhqrv62gU&#10;FMePpL3kyZRfHtaU2e1cjuVZqdVyzt5BeJr9f/ivfdIKNm/w+yX8AL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3zqsQAAADbAAAADwAAAAAAAAAAAAAAAACXAgAAZHJzL2Rv&#10;d25yZXYueG1sUEsFBgAAAAAEAAQA9QAAAIgDAAAAAA==&#10;" filled="f" strokecolor="black [3213]" strokeweight="1pt">
                    <v:textbox>
                      <w:txbxContent>
                        <w:p w14:paraId="74FB6296" w14:textId="5EE79386" w:rsidR="00C8402C" w:rsidRPr="00577598" w:rsidRDefault="00C8402C" w:rsidP="001F0F9F">
                          <w:pPr>
                            <w:jc w:val="center"/>
                            <w:rPr>
                              <w:rFonts w:cs="Times New Roman"/>
                              <w:color w:val="000000" w:themeColor="text1"/>
                            </w:rPr>
                          </w:pPr>
                          <w:r w:rsidRPr="00577598">
                            <w:rPr>
                              <w:rFonts w:cs="Times New Roman"/>
                              <w:b/>
                              <w:color w:val="000000" w:themeColor="text1"/>
                            </w:rPr>
                            <w:t>Student clinical placements – 4x</w:t>
                          </w:r>
                          <w:r>
                            <w:rPr>
                              <w:rFonts w:cs="Times New Roman"/>
                              <w:b/>
                              <w:color w:val="000000" w:themeColor="text1"/>
                            </w:rPr>
                            <w:t>3</w:t>
                          </w:r>
                          <w:r w:rsidRPr="00577598">
                            <w:rPr>
                              <w:rFonts w:cs="Times New Roman"/>
                              <w:b/>
                              <w:color w:val="000000" w:themeColor="text1"/>
                            </w:rPr>
                            <w:t xml:space="preserve"> weeks (July – </w:t>
                          </w:r>
                          <w:r>
                            <w:rPr>
                              <w:rFonts w:cs="Times New Roman"/>
                              <w:b/>
                              <w:color w:val="000000" w:themeColor="text1"/>
                            </w:rPr>
                            <w:t>October 2016</w:t>
                          </w:r>
                          <w:r w:rsidRPr="00577598">
                            <w:rPr>
                              <w:rFonts w:cs="Times New Roman"/>
                              <w:b/>
                              <w:color w:val="000000" w:themeColor="text1"/>
                            </w:rPr>
                            <w:t>)</w:t>
                          </w:r>
                        </w:p>
                      </w:txbxContent>
                    </v:textbox>
                  </v:shape>
                  <v:shape id="Down Arrow 58" o:spid="_x0000_s1095" type="#_x0000_t67" style="position:absolute;left:4197756;top:2262041;width:257810;height:7416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c6nwAAA&#10;ANsAAAAPAAAAZHJzL2Rvd25yZXYueG1sRE9NawIxEL0X+h/CFLyUmlWsyNYopSJIb7ql52Ez7q4m&#10;kyWJuu2v7xyEHh/ve7kevFNXiqkLbGAyLkAR18F23Bj4qrYvC1ApI1t0gcnADyVYrx4flljacOM9&#10;XQ+5URLCqUQDbc59qXWqW/KYxqEnFu4YoscsMDbaRrxJuHd6WhRz7bFjaWixp4+W6vPh4qX3280W&#10;8VjN3Sno4TnsNrPP38qY0dPw/gYq05D/xXf3zhp4lbHyRX6AX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Vc6nwAAAANsAAAAPAAAAAAAAAAAAAAAAAJcCAABkcnMvZG93bnJl&#10;di54bWxQSwUGAAAAAAQABAD1AAAAhAMAAAAA&#10;" adj="17846" fillcolor="#5b9bd5 [3204]" strokecolor="#5b9bd5 [3204]" strokeweight="1pt">
                    <v:fill opacity="16448f"/>
                    <v:stroke opacity="16448f"/>
                  </v:shape>
                  <v:group id="Group 61" o:spid="_x0000_s1096" style="position:absolute;left:574085;top:779305;width:5433228;height:7612548" coordorigin="582723,590162" coordsize="5433338,76129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group id="Group 62" o:spid="_x0000_s1097" style="position:absolute;left:582723;top:590162;width:5433338;height:7612986" coordorigin="608648,814484" coordsize="5433782,76136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Down Arrow 66" o:spid="_x0000_s1098" type="#_x0000_t67" style="position:absolute;left:4580932;top:2260312;width:175226;height:1115424;rotation:-114178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srXwwAA&#10;ANsAAAAPAAAAZHJzL2Rvd25yZXYueG1sRI9Ba8JAFITvBf/D8oReim5aNJXoKqUQLN5q2/sj+0yi&#10;2bcx+2rSf+8KBY/DzHzDrDaDa9SFulB7NvA8TUARF97WXBr4/sonC1BBkC02nsnAHwXYrEcPK8ys&#10;7/mTLnspVYRwyNBAJdJmWoeiIodh6lvi6B1851Ci7EptO+wj3DX6JUlS7bDmuFBhS+8VFaf9rzPQ&#10;5tT/HF6fcpnLrJkfZRt2560xj+PhbQlKaJB7+L/9YQ2kKdy+xB+g1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fsrXwwAAANsAAAAPAAAAAAAAAAAAAAAAAJcCAABkcnMvZG93&#10;bnJldi54bWxQSwUGAAAAAAQABAD1AAAAhwMAAAAA&#10;" adj="19903" fillcolor="#ed7d31 [3205]" strokecolor="#5b9bd5 [3204]" strokeweight="1pt">
                        <v:fill opacity="26214f"/>
                        <v:stroke opacity="16448f"/>
                      </v:shape>
                      <v:shape id="Down Arrow 76" o:spid="_x0000_s1099" type="#_x0000_t67" style="position:absolute;left:1746352;top:2256800;width:171823;height:1116565;rotation:111309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YmcxQAA&#10;ANsAAAAPAAAAZHJzL2Rvd25yZXYueG1sRI9Ba8JAFITvBf/D8oRepNm0B5XoKmJbEMFq1Utvj+xL&#10;NjX7NmRXjf/eLQg9DjPzDTOdd7YWF2p95VjBa5KCIM6drrhUcDx8voxB+ICssXZMCm7kYT7rPU0x&#10;0+7K33TZh1JECPsMFZgQmkxKnxuy6BPXEEevcK3FEGVbSt3iNcJtLd/SdCgtVhwXDDa0NJSf9mer&#10;QH4dO2e2/vfjZ73b3tLB5n1RbJR67neLCYhAXfgPP9orrWA0hL8v8Qf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JiZzFAAAA2wAAAA8AAAAAAAAAAAAAAAAAlwIAAGRycy9k&#10;b3ducmV2LnhtbFBLBQYAAAAABAAEAPUAAACJAwAAAAA=&#10;" adj="19938" fillcolor="#70ad47 [3209]" strokecolor="#5b9bd5 [3204]" strokeweight="1pt">
                        <v:fill opacity="26214f"/>
                        <v:stroke opacity="16448f"/>
                      </v:shape>
                      <v:group id="Group 77" o:spid="_x0000_s1100" style="position:absolute;left:608648;top:1986623;width:5433782;height:6441469" coordorigin="608648,2547" coordsize="5433782,6441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Text Box 81" o:spid="_x0000_s1101" type="#_x0000_t202" style="position:absolute;left:2918827;top:2283153;width:840713;height:5251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SqTxQAA&#10;ANsAAAAPAAAAZHJzL2Rvd25yZXYueG1sRI9Ba8JAFITvBf/D8oTemo1CS4hZRQLSIu0h6sXbM/tM&#10;gtm3MbuatL++Wyh4HGbmGyZbjaYVd+pdY1nBLIpBEJdWN1wpOOw3LwkI55E1tpZJwTc5WC0nTxmm&#10;2g5c0H3nKxEg7FJUUHvfpVK6siaDLrIdcfDOtjfog+wrqXscAty0ch7Hb9Jgw2Ghxo7ymsrL7mYU&#10;bPPNFxanuUl+2vz987zurofjq1LP03G9AOFp9I/wf/tDK0hm8Pcl/A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RKpPFAAAA2wAAAA8AAAAAAAAAAAAAAAAAlwIAAGRycy9k&#10;b3ducmV2LnhtbFBLBQYAAAAABAAEAPUAAACJAwAAAAA=&#10;" filled="f" stroked="f" strokeweight=".5pt">
                          <v:textbox>
                            <w:txbxContent>
                              <w:p w14:paraId="4928CAB0" w14:textId="77777777" w:rsidR="00C8402C" w:rsidRPr="00D35F5A" w:rsidRDefault="00C8402C" w:rsidP="001F0F9F">
                                <w:pPr>
                                  <w:jc w:val="center"/>
                                  <w:rPr>
                                    <w:rFonts w:cs="Times New Roman"/>
                                    <w:b/>
                                    <w:sz w:val="20"/>
                                  </w:rPr>
                                </w:pPr>
                                <w:r w:rsidRPr="00D35F5A">
                                  <w:rPr>
                                    <w:rFonts w:cs="Times New Roman"/>
                                    <w:b/>
                                    <w:sz w:val="20"/>
                                  </w:rPr>
                                  <w:t>Nov 2015 + Jan 2016</w:t>
                                </w:r>
                              </w:p>
                            </w:txbxContent>
                          </v:textbox>
                        </v:shape>
                        <v:group id="Group 82" o:spid="_x0000_s1102" style="position:absolute;left:608648;top:2547;width:5433782;height:6441469" coordorigin="608648,2547" coordsize="5433782,6441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group id="Group 88" o:spid="_x0000_s1103" style="position:absolute;left:939719;top:2547;width:5102711;height:2017948" coordorigin="-552991,2554" coordsize="5103636,201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Flowchart: Process 89" o:spid="_x0000_s1104" type="#_x0000_t109" style="position:absolute;left:1101054;top:2554;width:1346757;height:9178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jIcxAAA&#10;ANsAAAAPAAAAZHJzL2Rvd25yZXYueG1sRI9Ba8JAFITvBf/D8gQvpW70IJq6BolIeo0W2t5es69J&#10;MPs2ZDcx/feuIHgcZuYbZpuMphEDda62rGAxj0AQF1bXXCr4PB/f1iCcR9bYWCYF/+Qg2U1ethhr&#10;e+WchpMvRYCwi1FB5X0bS+mKigy6uW2Jg/dnO4M+yK6UusNrgJtGLqNoJQ3WHBYqbCmtqLiceqPg&#10;t09fCy03x0Wffy9/fJ5FX4dMqdl03L+D8DT6Z/jR/tAK1hu4fwk/QO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IyHMQAAADbAAAADwAAAAAAAAAAAAAAAACXAgAAZHJzL2Rv&#10;d25yZXYueG1sUEsFBgAAAAAEAAQA9QAAAIgDAAAAAA==&#10;" fillcolor="#5b9bd5 [3204]" strokecolor="#1f4d78 [1604]" strokeweight="1pt">
                              <v:textbox>
                                <w:txbxContent>
                                  <w:p w14:paraId="3CF49D93" w14:textId="77777777" w:rsidR="00C8402C" w:rsidRPr="00D35F5A" w:rsidRDefault="00C8402C" w:rsidP="001F0F9F">
                                    <w:pPr>
                                      <w:jc w:val="center"/>
                                      <w:rPr>
                                        <w:rFonts w:cs="Times New Roman"/>
                                      </w:rPr>
                                    </w:pPr>
                                    <w:r w:rsidRPr="00D35F5A">
                                      <w:rPr>
                                        <w:rFonts w:cs="Times New Roman"/>
                                      </w:rPr>
                                      <w:t>171 2nd year students completed questionnaires</w:t>
                                    </w:r>
                                  </w:p>
                                </w:txbxContent>
                              </v:textbox>
                            </v:shape>
                            <v:shape id="Straight Arrow Connector 90" o:spid="_x0000_s1105" type="#_x0000_t32" style="position:absolute;left:94459;top:920432;width:1679973;height:54942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D0FMMAAADbAAAADwAAAGRycy9kb3ducmV2LnhtbERPz2vCMBS+C/4P4Qm7yEx1OrZqlFkZ&#10;eNUN5m6P5tlUm5euyWrnX78cBI8f3+/FqrOVaKnxpWMF41ECgjh3uuRCwefH++MLCB+QNVaOScEf&#10;eVgt+70FptpdeEftPhQihrBPUYEJoU6l9Lkhi37kauLIHV1jMUTYFFI3eInhtpKTJHmWFkuODQZr&#10;ygzl5/2vVfB9nOl2nW3K3Byyp6/h9PpzOmyUehh0b3MQgbpwF9/cW63gNa6PX+IP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8w9BTDAAAA2wAAAA8AAAAAAAAAAAAA&#10;AAAAoQIAAGRycy9kb3ducmV2LnhtbFBLBQYAAAAABAAEAPkAAACRAwAAAAA=&#10;" strokecolor="#5b9bd5 [3204]" strokeweight=".5pt">
                              <v:stroke endarrow="block" joinstyle="miter"/>
                            </v:shape>
                            <v:shape id="Straight Arrow Connector 91" o:spid="_x0000_s1106" type="#_x0000_t32" style="position:absolute;left:1774432;top:920432;width:1753597;height:52306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B66sIAAADbAAAADwAAAGRycy9kb3ducmV2LnhtbESPT2vCQBDF74V+h2UKvYhuIrZodJVS&#10;KPXaaMXjkB2zwexsyE41fnu3UOjx8f78eKvN4Ft1oT42gQ3kkwwUcRVsw7WB/e5jPAcVBdliG5gM&#10;3CjCZv34sMLChit/0aWUWqURjgUacCJdoXWsHHmMk9ARJ+8Ueo+SZF9r2+M1jftWT7PsVXtsOBEc&#10;dvTuqDqXPz5xaT8dlS+jxez8id/Hg5PbLBdjnp+GtyUooUH+w3/trTWwyOH3S/oBen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B66sIAAADbAAAADwAAAAAAAAAAAAAA&#10;AAChAgAAZHJzL2Rvd25yZXYueG1sUEsFBgAAAAAEAAQA+QAAAJADAAAAAA==&#10;" strokecolor="#5b9bd5 [3204]" strokeweight=".5pt">
                              <v:stroke endarrow="block" joinstyle="miter"/>
                            </v:shape>
                            <v:shape id="Text Box 198" o:spid="_x0000_s1107" type="#_x0000_t202" style="position:absolute;left:786032;top:1410568;width:2075353;height:610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xbQwgAA&#10;ANwAAAAPAAAAZHJzL2Rvd25yZXYueG1sRI9BSwMxEIXvgv8hjODNZtuDbNemxZYqgiereB420yS4&#10;mSxJ3K7/3jkI3mZ4b977ZrOb46AmyiUkNrBcNKCI+2QDOwMf7093LahSkS0OicnADxXYba+vNtjZ&#10;dOE3mk7VKQnh0qEBX+vYaV16TxHLIo3Eop1TjlhlzU7bjBcJj4NeNc29jhhYGjyOdPDUf52+o4Hj&#10;3q1d32L2x9aGMM2f51f3bMztzfz4AKrSXP/Nf9cvVvDXQivPyAR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7FtDCAAAA3AAAAA8AAAAAAAAAAAAAAAAAlwIAAGRycy9kb3du&#10;cmV2LnhtbFBLBQYAAAAABAAEAPUAAACGAwAAAAA=&#10;" fillcolor="white [3201]" strokeweight=".5pt">
                              <v:textbox>
                                <w:txbxContent>
                                  <w:p w14:paraId="0F4DEFDD" w14:textId="77777777" w:rsidR="00C8402C" w:rsidRPr="00D35F5A" w:rsidRDefault="00C8402C" w:rsidP="001F0F9F">
                                    <w:pPr>
                                      <w:jc w:val="center"/>
                                      <w:rPr>
                                        <w:rFonts w:cs="Times New Roman"/>
                                        <w:sz w:val="18"/>
                                      </w:rPr>
                                    </w:pPr>
                                    <w:r w:rsidRPr="00D35F5A">
                                      <w:rPr>
                                        <w:rFonts w:cs="Times New Roman"/>
                                        <w:sz w:val="18"/>
                                      </w:rPr>
                                      <w:t xml:space="preserve">Students randomly allocated into tutorial groups then randomly allocated to teachers to receive SRLF or BPF. </w:t>
                                    </w:r>
                                  </w:p>
                                </w:txbxContent>
                              </v:textbox>
                            </v:shape>
                            <v:shapetype id="_x0000_t117" coordsize="21600,21600" o:spt="117" path="m4353,0l17214,,21600,10800,17214,21600,4353,21600,,10800xe">
                              <v:stroke joinstyle="miter"/>
                              <v:path gradientshapeok="t" o:connecttype="rect" textboxrect="4353,0,17214,21600"/>
                            </v:shapetype>
                            <v:shape id="Flowchart: Preparation 199" o:spid="_x0000_s1108" type="#_x0000_t117" style="position:absolute;left:-552991;top:1469853;width:1294901;height:4981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mi4wwAA&#10;ANwAAAAPAAAAZHJzL2Rvd25yZXYueG1sRE9Na8JAEL0X/A/LCL01GyuUGrORKhSl9GIUyXHITrPB&#10;7GzIrjH9991Cobd5vM/JN5PtxEiDbx0rWCQpCOLa6ZYbBefT+9MrCB+QNXaOScE3edgUs4ccM+3u&#10;fKSxDI2IIewzVGBC6DMpfW3Iok9cTxy5LzdYDBEOjdQD3mO47eRzmr5Iiy3HBoM97QzV1/JmFXxM&#10;i+pizvvr53FbjtWS9GHptVKP8+ltDSLQFP7Ff+6DjvNXK/h9Jl4g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Jmi4wwAAANwAAAAPAAAAAAAAAAAAAAAAAJcCAABkcnMvZG93&#10;bnJldi54bWxQSwUGAAAAAAQABAD1AAAAhwMAAAAA&#10;" fillcolor="#70ad47 [3209]" strokecolor="#375623 [1609]" strokeweight="1pt">
                              <v:textbox>
                                <w:txbxContent>
                                  <w:p w14:paraId="3BF7B47F" w14:textId="77777777" w:rsidR="00C8402C" w:rsidRPr="00D35F5A" w:rsidRDefault="00C8402C" w:rsidP="00C9129E">
                                    <w:pPr>
                                      <w:ind w:left="-709" w:right="-728"/>
                                      <w:jc w:val="center"/>
                                      <w:rPr>
                                        <w:rFonts w:cs="Times New Roman"/>
                                        <w:b/>
                                        <w:sz w:val="20"/>
                                      </w:rPr>
                                    </w:pPr>
                                    <w:r w:rsidRPr="00D35F5A">
                                      <w:rPr>
                                        <w:rFonts w:cs="Times New Roman"/>
                                        <w:b/>
                                        <w:sz w:val="20"/>
                                      </w:rPr>
                                      <w:t>SRLF</w:t>
                                    </w:r>
                                    <w:r w:rsidRPr="00D35F5A">
                                      <w:rPr>
                                        <w:rFonts w:cs="Times New Roman"/>
                                        <w:sz w:val="20"/>
                                      </w:rPr>
                                      <w:t xml:space="preserve"> n = 107</w:t>
                                    </w:r>
                                  </w:p>
                                </w:txbxContent>
                              </v:textbox>
                            </v:shape>
                            <v:shape id="Flowchart: Preparation 200" o:spid="_x0000_s1109" type="#_x0000_t117" style="position:absolute;left:2947420;top:1443496;width:1161216;height:5244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UMHxQAA&#10;ANwAAAAPAAAAZHJzL2Rvd25yZXYueG1sRI9Ba8JAFITvgv9heQUvUnf1IJK6Shsp9FCEGoUeH9nX&#10;bGj2bcxuNPn33UKhx2FmvmG2+8E14kZdqD1rWC4UCOLSm5orDefi9XEDIkRkg41n0jBSgP1uOtli&#10;ZvydP+h2ipVIEA4ZarAxtpmUobTkMCx8S5y8L985jEl2lTQd3hPcNXKl1Fo6rDktWGwpt1R+n3qn&#10;4cUif16Ph/P8fVOovM/H/qJGrWcPw/MTiEhD/A//td+MhkSE3zPp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VQwfFAAAA3AAAAA8AAAAAAAAAAAAAAAAAlwIAAGRycy9k&#10;b3ducmV2LnhtbFBLBQYAAAAABAAEAPUAAACJAwAAAAA=&#10;" fillcolor="#ed7d31 [3205]" strokecolor="#823b0b [1605]" strokeweight="1pt">
                              <v:textbox>
                                <w:txbxContent>
                                  <w:p w14:paraId="28D4435B" w14:textId="77777777" w:rsidR="00C8402C" w:rsidRPr="00D35F5A" w:rsidRDefault="00C8402C" w:rsidP="00C9129E">
                                    <w:pPr>
                                      <w:ind w:left="-567" w:right="-646"/>
                                      <w:jc w:val="center"/>
                                      <w:rPr>
                                        <w:rFonts w:cs="Times New Roman"/>
                                        <w:b/>
                                        <w:sz w:val="20"/>
                                      </w:rPr>
                                    </w:pPr>
                                    <w:r w:rsidRPr="00D35F5A">
                                      <w:rPr>
                                        <w:rFonts w:cs="Times New Roman"/>
                                        <w:b/>
                                        <w:sz w:val="20"/>
                                      </w:rPr>
                                      <w:t>BPF</w:t>
                                    </w:r>
                                    <w:r w:rsidRPr="00D35F5A">
                                      <w:rPr>
                                        <w:rFonts w:cs="Times New Roman"/>
                                        <w:sz w:val="20"/>
                                      </w:rPr>
                                      <w:t xml:space="preserve"> n = 64</w:t>
                                    </w:r>
                                  </w:p>
                                </w:txbxContent>
                              </v:textbox>
                            </v:shape>
                            <v:shapetype id="_x0000_t177" coordsize="21600,21600" o:spt="177" path="m0,0l21600,,21600,17255,10800,21600,,17255xe">
                              <v:stroke joinstyle="miter"/>
                              <v:path gradientshapeok="t" o:connecttype="rect" textboxrect="0,0,21600,17255"/>
                            </v:shapetype>
                            <v:shape id="Flowchart: Off-page Connector 201" o:spid="_x0000_s1110" type="#_x0000_t177" style="position:absolute;left:3342025;top:439067;width:1208620;height:645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kROxAAA&#10;ANwAAAAPAAAAZHJzL2Rvd25yZXYueG1sRI9Bi8IwFITvC/6H8IS9rakVlqUaRQUX9SJW8fxonm21&#10;eSlNtO2/NwvCHoeZ+YaZLTpTiSc1rrSsYDyKQBBnVpecKzifNl8/IJxH1lhZJgU9OVjMBx8zTLRt&#10;+UjP1OciQNglqKDwvk6kdFlBBt3I1sTBu9rGoA+yyaVusA1wU8k4ir6lwZLDQoE1rQvK7unDKNDH&#10;yXbXPi7LdH877OL1bz/pV6lSn8NuOQXhqfP/4Xd7qxXE0Rj+zoQjIO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pETsQAAADcAAAADwAAAAAAAAAAAAAAAACXAgAAZHJzL2Rv&#10;d25yZXYueG1sUEsFBgAAAAAEAAQA9QAAAIgDAAAAAA==&#10;" fillcolor="#5b9bd5 [3204]" strokecolor="#1f4d78 [1604]" strokeweight="1pt">
                              <v:textbox>
                                <w:txbxContent>
                                  <w:p w14:paraId="7228BE04" w14:textId="77777777" w:rsidR="00C8402C" w:rsidRPr="00D35F5A" w:rsidRDefault="00C8402C" w:rsidP="001F0F9F">
                                    <w:pPr>
                                      <w:jc w:val="center"/>
                                      <w:rPr>
                                        <w:rFonts w:cs="Times New Roman"/>
                                        <w:sz w:val="19"/>
                                        <w:szCs w:val="19"/>
                                      </w:rPr>
                                    </w:pPr>
                                    <w:r w:rsidRPr="00D35F5A">
                                      <w:rPr>
                                        <w:rFonts w:cs="Times New Roman"/>
                                        <w:sz w:val="19"/>
                                        <w:szCs w:val="19"/>
                                      </w:rPr>
                                      <w:t>Questionnaire data collection 1 - Nov 2015</w:t>
                                    </w:r>
                                  </w:p>
                                </w:txbxContent>
                              </v:textbox>
                            </v:shape>
                          </v:group>
                          <v:shape id="Flowchart: Process 202" o:spid="_x0000_s1111" type="#_x0000_t109" style="position:absolute;left:608648;top:2145767;width:2310179;height:7758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qbvwAA&#10;ANwAAAAPAAAAZHJzL2Rvd25yZXYueG1sRI/NCsIwEITvgu8QVvCmaXsQqUYRQfAggj8HvS3N2hab&#10;TUmi1rc3guBxmJlvmPmyM414kvO1ZQXpOAFBXFhdc6ngfNqMpiB8QNbYWCYFb/KwXPR7c8y1ffGB&#10;nsdQighhn6OCKoQ2l9IXFRn0Y9sSR+9mncEQpSuldviKcNPILEkm0mDNcaHCltYVFffjwyioN2mw&#10;7nK/ptduuz9fsEBtd0oNB91qBiJQF/7hX3urFWRJBt8z8Qj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Nv+pu/AAAA3AAAAA8AAAAAAAAAAAAAAAAAlwIAAGRycy9kb3ducmV2&#10;LnhtbFBLBQYAAAAABAAEAPUAAACDAwAAAAA=&#10;" fillcolor="#70ad47 [3209]" strokecolor="#375623 [1609]" strokeweight="1pt">
                            <v:textbox>
                              <w:txbxContent>
                                <w:p w14:paraId="200E95FE" w14:textId="77777777" w:rsidR="00C8402C" w:rsidRPr="00D35F5A" w:rsidRDefault="00C8402C" w:rsidP="001F0F9F">
                                  <w:pPr>
                                    <w:jc w:val="center"/>
                                    <w:rPr>
                                      <w:rFonts w:cs="Times New Roman"/>
                                      <w:b/>
                                      <w:sz w:val="18"/>
                                    </w:rPr>
                                  </w:pPr>
                                  <w:r w:rsidRPr="00D35F5A">
                                    <w:rPr>
                                      <w:rFonts w:cs="Times New Roman"/>
                                      <w:b/>
                                      <w:sz w:val="18"/>
                                    </w:rPr>
                                    <w:t>Clinical skills teaching</w:t>
                                  </w:r>
                                </w:p>
                                <w:p w14:paraId="221153A1" w14:textId="5C4FD658" w:rsidR="00C8402C" w:rsidRPr="00D35F5A" w:rsidRDefault="00C8402C" w:rsidP="00A444E2">
                                  <w:pPr>
                                    <w:jc w:val="center"/>
                                    <w:rPr>
                                      <w:rFonts w:cs="Times New Roman"/>
                                      <w:sz w:val="18"/>
                                    </w:rPr>
                                  </w:pPr>
                                  <w:r w:rsidRPr="00D35F5A">
                                    <w:rPr>
                                      <w:rFonts w:cs="Times New Roman"/>
                                      <w:sz w:val="18"/>
                                    </w:rPr>
                                    <w:t xml:space="preserve">Data recorded on </w:t>
                                  </w:r>
                                  <w:r w:rsidRPr="00D35F5A">
                                    <w:rPr>
                                      <w:rFonts w:cs="Times New Roman"/>
                                      <w:b/>
                                      <w:sz w:val="18"/>
                                    </w:rPr>
                                    <w:t>SRL feedback</w:t>
                                  </w:r>
                                  <w:r w:rsidRPr="00D35F5A">
                                    <w:rPr>
                                      <w:rFonts w:cs="Times New Roman"/>
                                      <w:sz w:val="18"/>
                                    </w:rPr>
                                    <w:t xml:space="preserve"> using </w:t>
                                  </w:r>
                                  <w:r>
                                    <w:rPr>
                                      <w:rFonts w:cs="Times New Roman"/>
                                      <w:sz w:val="18"/>
                                    </w:rPr>
                                    <w:t>MA</w:t>
                                  </w:r>
                                  <w:r w:rsidRPr="00D35F5A">
                                    <w:rPr>
                                      <w:rFonts w:cs="Times New Roman"/>
                                      <w:sz w:val="18"/>
                                    </w:rPr>
                                    <w:t xml:space="preserve"> sheet. Skills observed were venepuncture and catheterisation.</w:t>
                                  </w:r>
                                </w:p>
                              </w:txbxContent>
                            </v:textbox>
                          </v:shape>
                          <v:shape id="Flowchart: Process 203" o:spid="_x0000_s1112" type="#_x0000_t109" style="position:absolute;left:3703049;top:2145767;width:2338950;height:7761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jY9xgAA&#10;ANwAAAAPAAAAZHJzL2Rvd25yZXYueG1sRI9Pa8JAFMTvhX6H5RV6q7u1WCRmFakECjaHquj1kX35&#10;o9m3Ibua9Nt3CwWPw8z8hklXo23FjXrfONbwOlEgiAtnGq40HPbZyxyED8gGW8ek4Yc8rJaPDykm&#10;xg38TbddqESEsE9QQx1Cl0jpi5os+onriKNXut5iiLKvpOlxiHDbyqlS79Jiw3Ghxo4+aiouu6vV&#10;UM6y8zCf5adt/pUdN7hVp7w6aP38NK4XIAKN4R7+b38aDVP1Bn9n4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zjY9xgAAANwAAAAPAAAAAAAAAAAAAAAAAJcCAABkcnMv&#10;ZG93bnJldi54bWxQSwUGAAAAAAQABAD1AAAAigMAAAAA&#10;" fillcolor="#ed7d31 [3205]" strokecolor="#823b0b [1605]" strokeweight="1pt">
                            <v:textbox>
                              <w:txbxContent>
                                <w:p w14:paraId="0DC20382" w14:textId="77777777" w:rsidR="00C8402C" w:rsidRPr="00D35F5A" w:rsidRDefault="00C8402C" w:rsidP="001F0F9F">
                                  <w:pPr>
                                    <w:jc w:val="center"/>
                                    <w:rPr>
                                      <w:rFonts w:cs="Times New Roman"/>
                                      <w:b/>
                                      <w:sz w:val="18"/>
                                    </w:rPr>
                                  </w:pPr>
                                  <w:r w:rsidRPr="00D35F5A">
                                    <w:rPr>
                                      <w:rFonts w:cs="Times New Roman"/>
                                      <w:b/>
                                      <w:sz w:val="18"/>
                                    </w:rPr>
                                    <w:t>Clinical skills teaching</w:t>
                                  </w:r>
                                </w:p>
                                <w:p w14:paraId="0C98D18B" w14:textId="1734B6A7" w:rsidR="00C8402C" w:rsidRPr="00D35F5A" w:rsidRDefault="00C8402C" w:rsidP="00A444E2">
                                  <w:pPr>
                                    <w:jc w:val="center"/>
                                    <w:rPr>
                                      <w:rFonts w:cs="Times New Roman"/>
                                      <w:sz w:val="18"/>
                                    </w:rPr>
                                  </w:pPr>
                                  <w:r w:rsidRPr="00D35F5A">
                                    <w:rPr>
                                      <w:rFonts w:cs="Times New Roman"/>
                                      <w:sz w:val="18"/>
                                    </w:rPr>
                                    <w:t>Skills observed were ve</w:t>
                                  </w:r>
                                  <w:r>
                                    <w:rPr>
                                      <w:rFonts w:cs="Times New Roman"/>
                                      <w:sz w:val="18"/>
                                    </w:rPr>
                                    <w:t>nepuncture and catheterisation.</w:t>
                                  </w:r>
                                </w:p>
                                <w:p w14:paraId="5DAB7B6A" w14:textId="77777777" w:rsidR="00C8402C" w:rsidRPr="00D35F5A" w:rsidRDefault="00C8402C" w:rsidP="001F0F9F">
                                  <w:pPr>
                                    <w:jc w:val="center"/>
                                    <w:rPr>
                                      <w:rFonts w:cs="Times New Roman"/>
                                    </w:rPr>
                                  </w:pPr>
                                </w:p>
                              </w:txbxContent>
                            </v:textbox>
                          </v:shape>
                          <v:shape id="Straight Arrow Connector 204" o:spid="_x0000_s1113" type="#_x0000_t32" style="position:absolute;left:1587052;top:1967318;width:176685;height:17844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4a+sMAAADcAAAADwAAAGRycy9kb3ducmV2LnhtbESPT2vCQBDF7wW/wzJCL1I3hlTa1FVK&#10;obRXoy09DtlpNpidDdmpxm/fFQSPj/fnx1ttRt+pIw2xDWxgMc9AEdfBttwY2O/eH55ARUG22AUm&#10;A2eKsFlP7lZY2nDiLR0raVQa4ViiASfSl1rH2pHHOA89cfJ+w+BRkhwabQc8pXHf6TzLltpjy4ng&#10;sKc3R/Wh+vOJS/t8Vj3OnovDB379fDs5Fwsx5n46vr6AEhrlFr62P62BPCvgciYdAb3+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eGvrDAAAA3AAAAA8AAAAAAAAAAAAA&#10;AAAAoQIAAGRycy9kb3ducmV2LnhtbFBLBQYAAAAABAAEAPkAAACRAwAAAAA=&#10;" strokecolor="#5b9bd5 [3204]" strokeweight=".5pt">
                            <v:stroke endarrow="block" joinstyle="miter"/>
                          </v:shape>
                          <v:shape id="Straight Arrow Connector 205" o:spid="_x0000_s1114" type="#_x0000_t32" style="position:absolute;left:4872525;top:1967317;width:147475;height:1784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45qDsYAAADcAAAADwAAAGRycy9kb3ducmV2LnhtbESPQWvCQBSE74X+h+UVeim6qVaR6Cpt&#10;RPBaK6i3R/aZjc2+TbNrjP76rlDocZiZb5jZorOVaKnxpWMFr/0EBHHudMmFgu3XqjcB4QOyxsox&#10;KbiSh8X88WGGqXYX/qR2EwoRIexTVGBCqFMpfW7Iou+7mjh6R9dYDFE2hdQNXiLcVnKQJGNpseS4&#10;YLCmzFD+vTlbBYfjSLcf2bLMzT4b7l7ebj+n/VKp56fufQoiUBf+w3/ttVYwSEZwP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Oag7GAAAA3AAAAA8AAAAAAAAA&#10;AAAAAAAAoQIAAGRycy9kb3ducmV2LnhtbFBLBQYAAAAABAAEAPkAAACUAwAAAAA=&#10;" strokecolor="#5b9bd5 [3204]" strokeweight=".5pt">
                            <v:stroke endarrow="block" joinstyle="miter"/>
                          </v:shape>
                          <v:group id="Group 206" o:spid="_x0000_s1115" style="position:absolute;left:630006;top:5153644;width:5348468;height:1290372" coordorigin="630006,745546" coordsize="5348468,1290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Text Box 207" o:spid="_x0000_s1116" type="#_x0000_t202" style="position:absolute;left:1378104;top:745546;width:4146426;height:4196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3ZZwwAA&#10;ANwAAAAPAAAAZHJzL2Rvd25yZXYueG1sRI9BawIxFITvhf6H8ArearYedF2N0hZbCp6qpefH5pkE&#10;Ny9Lkq7bf98IQo/DzHzDrLej78RAMbnACp6mFQjiNmjHRsHX8e2xBpEyssYuMCn4pQTbzf3dGhsd&#10;LvxJwyEbUSCcGlRgc+4bKVNryWOahp64eKcQPeYio5E64qXAfSdnVTWXHh2XBYs9vVpqz4cfr2D3&#10;YpamrTHaXa2dG8bv0968KzV5GJ9XIDKN+T98a39oBbNqAdcz5Qj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y3ZZwwAAANwAAAAPAAAAAAAAAAAAAAAAAJcCAABkcnMvZG93&#10;bnJldi54bWxQSwUGAAAAAAQABAD1AAAAhwMAAAAA&#10;" fillcolor="white [3201]" strokeweight=".5pt">
                              <v:textbox>
                                <w:txbxContent>
                                  <w:p w14:paraId="16AA7B02" w14:textId="77777777" w:rsidR="00C8402C" w:rsidRPr="00D35F5A" w:rsidRDefault="00C8402C" w:rsidP="001F0F9F">
                                    <w:pPr>
                                      <w:jc w:val="center"/>
                                      <w:rPr>
                                        <w:rFonts w:cs="Times New Roman"/>
                                        <w:sz w:val="20"/>
                                      </w:rPr>
                                    </w:pPr>
                                    <w:r w:rsidRPr="00D35F5A">
                                      <w:rPr>
                                        <w:rFonts w:cs="Times New Roman"/>
                                        <w:sz w:val="20"/>
                                      </w:rPr>
                                      <w:t>Purposive sampling based on: study condition change in SSRQ score (largest-smallest) and overall SSRQ score (high- medium-low).</w:t>
                                    </w:r>
                                  </w:p>
                                </w:txbxContent>
                              </v:textbox>
                            </v:shape>
                            <v:shape id="Flowchart: Preparation 208" o:spid="_x0000_s1117" type="#_x0000_t117" style="position:absolute;left:630006;top:1265354;width:1244078;height:759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TnYwQAA&#10;ANwAAAAPAAAAZHJzL2Rvd25yZXYueG1sRE/Pa8IwFL4P/B/CE7zN1BbGqEZRYVjGLlYRj4/m2RSb&#10;l9JkbfffL4fBjh/f781usq0YqPeNYwWrZQKCuHK64VrB9fLx+g7CB2SNrWNS8EMedtvZywZz7UY+&#10;01CGWsQQ9jkqMCF0uZS+MmTRL11HHLmH6y2GCPta6h7HGG5bmSbJm7TYcGww2NHRUPUsv62Cz2l1&#10;v5nr6fl1PpTDPSNdZF4rtZhP+zWIQFP4F/+5C60gTeLaeCYeAb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UU52MEAAADcAAAADwAAAAAAAAAAAAAAAACXAgAAZHJzL2Rvd25y&#10;ZXYueG1sUEsFBgAAAAAEAAQA9QAAAIUDAAAAAA==&#10;" fillcolor="#70ad47 [3209]" strokecolor="#375623 [1609]" strokeweight="1pt">
                              <v:textbox>
                                <w:txbxContent>
                                  <w:p w14:paraId="253DCBFA" w14:textId="77777777" w:rsidR="00C8402C" w:rsidRPr="00D35F5A" w:rsidRDefault="00C8402C" w:rsidP="001F0F9F">
                                    <w:pPr>
                                      <w:jc w:val="center"/>
                                      <w:rPr>
                                        <w:rFonts w:cs="Times New Roman"/>
                                        <w:sz w:val="18"/>
                                      </w:rPr>
                                    </w:pPr>
                                    <w:r w:rsidRPr="00D35F5A">
                                      <w:rPr>
                                        <w:rFonts w:cs="Times New Roman"/>
                                        <w:sz w:val="18"/>
                                      </w:rPr>
                                      <w:t xml:space="preserve">Focus groups = 4  </w:t>
                                    </w:r>
                                  </w:p>
                                  <w:p w14:paraId="4EC6FDE7" w14:textId="4470EF0E" w:rsidR="00C8402C" w:rsidRPr="00D35F5A" w:rsidRDefault="00C8402C" w:rsidP="001F0F9F">
                                    <w:pPr>
                                      <w:jc w:val="center"/>
                                      <w:rPr>
                                        <w:rFonts w:cs="Times New Roman"/>
                                        <w:sz w:val="18"/>
                                      </w:rPr>
                                    </w:pPr>
                                    <w:r>
                                      <w:rPr>
                                        <w:rFonts w:cs="Times New Roman"/>
                                        <w:sz w:val="18"/>
                                      </w:rPr>
                                      <w:t>36 participants</w:t>
                                    </w:r>
                                  </w:p>
                                </w:txbxContent>
                              </v:textbox>
                            </v:shape>
                            <v:shape id="Flowchart: Preparation 209" o:spid="_x0000_s1118" type="#_x0000_t117" style="position:absolute;left:1914463;top:1231829;width:1352142;height:80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CZxDwwAA&#10;ANwAAAAPAAAAZHJzL2Rvd25yZXYueG1sRI9Bi8IwFITvwv6H8ARvmqogbjWKK8jK4sUqi8dH82yK&#10;zUtpsrX++40geBxm5htmue5sJVpqfOlYwXiUgCDOnS65UHA+7YZzED4ga6wck4IHeVivPnpLTLW7&#10;85HaLBQiQtinqMCEUKdS+tyQRT9yNXH0rq6xGKJsCqkbvEe4reQkSWbSYslxwWBNW0P5LfuzCn66&#10;8eXXnL9vh+NX1l6mpPdTr5Ua9LvNAkSgLrzDr/ZeK5gkn/A8E4+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CZxDwwAAANwAAAAPAAAAAAAAAAAAAAAAAJcCAABkcnMvZG93&#10;bnJldi54bWxQSwUGAAAAAAQABAD1AAAAhwMAAAAA&#10;" fillcolor="#70ad47 [3209]" strokecolor="#375623 [1609]" strokeweight="1pt">
                              <v:textbox>
                                <w:txbxContent>
                                  <w:p w14:paraId="430756B7" w14:textId="77777777" w:rsidR="00C8402C" w:rsidRPr="00D35F5A" w:rsidRDefault="00C8402C" w:rsidP="00C9129E">
                                    <w:pPr>
                                      <w:ind w:left="-142" w:right="-163"/>
                                      <w:jc w:val="center"/>
                                      <w:rPr>
                                        <w:rFonts w:cs="Times New Roman"/>
                                        <w:sz w:val="18"/>
                                      </w:rPr>
                                    </w:pPr>
                                    <w:r w:rsidRPr="00D35F5A">
                                      <w:rPr>
                                        <w:rFonts w:cs="Times New Roman"/>
                                        <w:sz w:val="18"/>
                                      </w:rPr>
                                      <w:t>Individual interviews = 8</w:t>
                                    </w:r>
                                  </w:p>
                                </w:txbxContent>
                              </v:textbox>
                            </v:shape>
                            <v:shape id="Flowchart: Preparation 210" o:spid="_x0000_s1119" type="#_x0000_t117" style="position:absolute;left:3469604;top:1272835;width:1263779;height:753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NXawgAA&#10;ANwAAAAPAAAAZHJzL2Rvd25yZXYueG1sRE/Pa8IwFL4P/B/CE7wMTfQwpBpFK4MdZDB1sOOjeTbF&#10;5qU2qbb//XIY7Pjx/V5ve1eLB7Wh8qxhPlMgiAtvKi41XM7v0yWIEJEN1p5Jw0ABtpvRyxoz45/8&#10;RY9TLEUK4ZChBhtjk0kZCksOw8w3xIm7+tZhTLAtpWnxmcJdLRdKvUmHFacGiw3llorbqXMa9hb5&#10;5/55uLwel2eVd/nQfatB68m4361AROrjv/jP/WE0LOZpfjqTj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M1drCAAAA3AAAAA8AAAAAAAAAAAAAAAAAlwIAAGRycy9kb3du&#10;cmV2LnhtbFBLBQYAAAAABAAEAPUAAACGAwAAAAA=&#10;" fillcolor="#ed7d31 [3205]" strokecolor="#823b0b [1605]" strokeweight="1pt">
                              <v:textbox>
                                <w:txbxContent>
                                  <w:p w14:paraId="0B96957B" w14:textId="77777777" w:rsidR="00C8402C" w:rsidRPr="00D35F5A" w:rsidRDefault="00C8402C" w:rsidP="001F0F9F">
                                    <w:pPr>
                                      <w:jc w:val="center"/>
                                      <w:rPr>
                                        <w:rFonts w:cs="Times New Roman"/>
                                        <w:sz w:val="18"/>
                                      </w:rPr>
                                    </w:pPr>
                                    <w:r w:rsidRPr="00D35F5A">
                                      <w:rPr>
                                        <w:rFonts w:cs="Times New Roman"/>
                                        <w:sz w:val="18"/>
                                      </w:rPr>
                                      <w:t xml:space="preserve">Focus groups = 3  </w:t>
                                    </w:r>
                                  </w:p>
                                  <w:p w14:paraId="2AF151D9" w14:textId="77777777" w:rsidR="00C8402C" w:rsidRPr="00D35F5A" w:rsidRDefault="00C8402C" w:rsidP="001F0F9F">
                                    <w:pPr>
                                      <w:jc w:val="center"/>
                                      <w:rPr>
                                        <w:rFonts w:cs="Times New Roman"/>
                                        <w:sz w:val="18"/>
                                      </w:rPr>
                                    </w:pPr>
                                    <w:r w:rsidRPr="00D35F5A">
                                      <w:rPr>
                                        <w:rFonts w:cs="Times New Roman"/>
                                        <w:sz w:val="18"/>
                                      </w:rPr>
                                      <w:t>21 participants</w:t>
                                    </w:r>
                                  </w:p>
                                </w:txbxContent>
                              </v:textbox>
                            </v:shape>
                            <v:shape id="Flowchart: Preparation 211" o:spid="_x0000_s1120" type="#_x0000_t117" style="position:absolute;left:4754503;top:1254071;width:1223971;height:7693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HBBxgAA&#10;ANwAAAAPAAAAZHJzL2Rvd25yZXYueG1sRI/NasMwEITvgb6D2EIvIZGcQwlulJC6FHooheYHelys&#10;jWVirVxLTuy3rwqBHIeZ+YZZbQbXiAt1ofasIZsrEMSlNzVXGg7799kSRIjIBhvPpGGkAJv1w2SF&#10;ufFX/qbLLlYiQTjkqMHG2OZShtKSwzD3LXHyTr5zGJPsKmk6vCa4a+RCqWfpsOa0YLGlwlJ53vVO&#10;w6tF/vn9ejtMP5d7VfTF2B/VqPXT47B9ARFpiPfwrf1hNCyyDP7Pp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wHBBxgAAANwAAAAPAAAAAAAAAAAAAAAAAJcCAABkcnMv&#10;ZG93bnJldi54bWxQSwUGAAAAAAQABAD1AAAAigMAAAAA&#10;" fillcolor="#ed7d31 [3205]" strokecolor="#823b0b [1605]" strokeweight="1pt">
                              <v:textbox>
                                <w:txbxContent>
                                  <w:p w14:paraId="06DDB439" w14:textId="15D988A3" w:rsidR="00C8402C" w:rsidRPr="00D35F5A" w:rsidRDefault="00C8402C" w:rsidP="00C9129E">
                                    <w:pPr>
                                      <w:ind w:left="-142" w:right="-139"/>
                                      <w:jc w:val="center"/>
                                      <w:rPr>
                                        <w:rFonts w:cs="Times New Roman"/>
                                        <w:sz w:val="18"/>
                                      </w:rPr>
                                    </w:pPr>
                                    <w:r>
                                      <w:rPr>
                                        <w:rFonts w:cs="Times New Roman"/>
                                        <w:sz w:val="18"/>
                                      </w:rPr>
                                      <w:t>I</w:t>
                                    </w:r>
                                    <w:r w:rsidRPr="00D35F5A">
                                      <w:rPr>
                                        <w:rFonts w:cs="Times New Roman"/>
                                        <w:sz w:val="18"/>
                                      </w:rPr>
                                      <w:t>nterviews = 8</w:t>
                                    </w:r>
                                  </w:p>
                                </w:txbxContent>
                              </v:textbox>
                            </v:shape>
                          </v:group>
                        </v:group>
                      </v:group>
                      <v:group id="Group 212" o:spid="_x0000_s1121" style="position:absolute;left:608736;top:814484;width:5433310;height:1608501" coordorigin="-753906,862822" coordsize="5430933,154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group id="Group 213" o:spid="_x0000_s1122" style="position:absolute;left:202483;top:862822;width:4474544;height:1323398" coordorigin="-1160491,871448" coordsize="4474544,1323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shape id="Flowchart: Process 214" o:spid="_x0000_s1123" type="#_x0000_t109" style="position:absolute;left:-173040;top:878876;width:1440611;height:4567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3O1xQAA&#10;ANwAAAAPAAAAZHJzL2Rvd25yZXYueG1sRI9Ba8JAFITvBf/D8gQvpdkkSLGpa5CI2GtUaHt7zb4m&#10;wezbkN1o+u/dQqHHYWa+Ydb5ZDpxpcG1lhUkUQyCuLK65VrB+bR/WoFwHlljZ5kU/JCDfDN7WGOm&#10;7Y1Luh59LQKEXYYKGu/7TEpXNWTQRbYnDt63HQz6IIda6gFvAW46mcbxszTYclhosKeioepyHI2C&#10;r7F4rLR82Sdj+ZF++vIQv+8OSi3m0/YVhKfJ/4f/2m9aQZos4fdMO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bc7XFAAAA3AAAAA8AAAAAAAAAAAAAAAAAlwIAAGRycy9k&#10;b3ducmV2LnhtbFBLBQYAAAAABAAEAPUAAACJAwAAAAA=&#10;" fillcolor="#5b9bd5 [3204]" strokecolor="#1f4d78 [1604]" strokeweight="1pt">
                            <v:textbox>
                              <w:txbxContent>
                                <w:p w14:paraId="02579FA4" w14:textId="77777777" w:rsidR="00C8402C" w:rsidRPr="00D35F5A" w:rsidRDefault="00C8402C" w:rsidP="001F0F9F">
                                  <w:pPr>
                                    <w:jc w:val="center"/>
                                    <w:rPr>
                                      <w:rFonts w:cs="Times New Roman"/>
                                      <w:sz w:val="20"/>
                                      <w:szCs w:val="18"/>
                                    </w:rPr>
                                  </w:pPr>
                                  <w:r w:rsidRPr="00D35F5A">
                                    <w:rPr>
                                      <w:rFonts w:cs="Times New Roman"/>
                                      <w:sz w:val="20"/>
                                      <w:szCs w:val="18"/>
                                    </w:rPr>
                                    <w:t>14 clinical skills tutors</w:t>
                                  </w:r>
                                </w:p>
                              </w:txbxContent>
                            </v:textbox>
                          </v:shape>
                          <v:shape id="Flowchart: Preparation 216" o:spid="_x0000_s1124" type="#_x0000_t117" style="position:absolute;left:-1160491;top:1616648;width:933341;height:5781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57swwAA&#10;ANwAAAAPAAAAZHJzL2Rvd25yZXYueG1sRI9Bi8IwFITvC/6H8ARva1oFkWoUFURZ9mIV8fhonk2x&#10;eSlNrN1/v1lY8DjMzDfMct3bWnTU+sqxgnScgCAunK64VHA57z/nIHxA1lg7JgU/5GG9GnwsMdPu&#10;xSfq8lCKCGGfoQITQpNJ6QtDFv3YNcTRu7vWYoiyLaVu8RXhtpaTJJlJixXHBYMN7QwVj/xpFXz1&#10;6e1qLofH92mbd7cp6ePUa6VGw36zABGoD+/wf/uoFUzSGfydiUd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T57swwAAANwAAAAPAAAAAAAAAAAAAAAAAJcCAABkcnMvZG93&#10;bnJldi54bWxQSwUGAAAAAAQABAD1AAAAhwMAAAAA&#10;" fillcolor="#70ad47 [3209]" strokecolor="#375623 [1609]" strokeweight="1pt">
                            <v:textbox>
                              <w:txbxContent>
                                <w:p w14:paraId="7693FB24" w14:textId="77777777" w:rsidR="00C8402C" w:rsidRPr="00D35F5A" w:rsidRDefault="00C8402C" w:rsidP="001F0F9F">
                                  <w:pPr>
                                    <w:jc w:val="center"/>
                                    <w:rPr>
                                      <w:rFonts w:cs="Times New Roman"/>
                                      <w:b/>
                                      <w:sz w:val="20"/>
                                      <w:szCs w:val="18"/>
                                    </w:rPr>
                                  </w:pPr>
                                  <w:r w:rsidRPr="00D35F5A">
                                    <w:rPr>
                                      <w:rFonts w:cs="Times New Roman"/>
                                      <w:b/>
                                      <w:sz w:val="20"/>
                                      <w:szCs w:val="18"/>
                                    </w:rPr>
                                    <w:t>SRLF</w:t>
                                  </w:r>
                                </w:p>
                                <w:p w14:paraId="2616867F" w14:textId="77777777" w:rsidR="00C8402C" w:rsidRPr="00D35F5A" w:rsidRDefault="00C8402C" w:rsidP="001F0F9F">
                                  <w:pPr>
                                    <w:jc w:val="center"/>
                                    <w:rPr>
                                      <w:rFonts w:cs="Times New Roman"/>
                                      <w:sz w:val="20"/>
                                      <w:szCs w:val="18"/>
                                    </w:rPr>
                                  </w:pPr>
                                  <w:r w:rsidRPr="00D35F5A">
                                    <w:rPr>
                                      <w:rFonts w:cs="Times New Roman"/>
                                      <w:sz w:val="20"/>
                                      <w:szCs w:val="18"/>
                                    </w:rPr>
                                    <w:t>n=7</w:t>
                                  </w:r>
                                </w:p>
                              </w:txbxContent>
                            </v:textbox>
                          </v:shape>
                          <v:shape id="Flowchart: Preparation 217" o:spid="_x0000_s1125" type="#_x0000_t117" style="position:absolute;left:1315338;top:1609186;width:846772;height:5856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U2uxgAA&#10;ANwAAAAPAAAAZHJzL2Rvd25yZXYueG1sRI9BawIxFITvhf6H8Aq9FE300MpqFLsi9FCEqgWPj81z&#10;s7h52W6yuvvvTaHQ4zAz3zCLVe9qcaU2VJ41TMYKBHHhTcWlhuNhO5qBCBHZYO2ZNAwUYLV8fFhg&#10;ZvyNv+i6j6VIEA4ZarAxNpmUobDkMIx9Q5y8s28dxiTbUpoWbwnuajlV6lU6rDgtWGwot1Rc9p3T&#10;8G6RTz+7zfHlc3ZQeZcP3bcatH5+6tdzEJH6+B/+a38YDdPJG/yeS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ZU2uxgAAANwAAAAPAAAAAAAAAAAAAAAAAJcCAABkcnMv&#10;ZG93bnJldi54bWxQSwUGAAAAAAQABAD1AAAAigMAAAAA&#10;" fillcolor="#ed7d31 [3205]" strokecolor="#823b0b [1605]" strokeweight="1pt">
                            <v:textbox>
                              <w:txbxContent>
                                <w:p w14:paraId="49328EA0" w14:textId="77777777" w:rsidR="00C8402C" w:rsidRPr="00D35F5A" w:rsidRDefault="00C8402C" w:rsidP="001F0F9F">
                                  <w:pPr>
                                    <w:jc w:val="center"/>
                                    <w:rPr>
                                      <w:rFonts w:cs="Times New Roman"/>
                                      <w:b/>
                                      <w:sz w:val="20"/>
                                      <w:szCs w:val="18"/>
                                    </w:rPr>
                                  </w:pPr>
                                  <w:r w:rsidRPr="00D35F5A">
                                    <w:rPr>
                                      <w:rFonts w:cs="Times New Roman"/>
                                      <w:b/>
                                      <w:sz w:val="20"/>
                                      <w:szCs w:val="18"/>
                                    </w:rPr>
                                    <w:t>BPF</w:t>
                                  </w:r>
                                </w:p>
                                <w:p w14:paraId="33967DD2" w14:textId="77777777" w:rsidR="00C8402C" w:rsidRPr="00D35F5A" w:rsidRDefault="00C8402C" w:rsidP="001F0F9F">
                                  <w:pPr>
                                    <w:jc w:val="center"/>
                                    <w:rPr>
                                      <w:rFonts w:cs="Times New Roman"/>
                                      <w:sz w:val="20"/>
                                      <w:szCs w:val="18"/>
                                    </w:rPr>
                                  </w:pPr>
                                  <w:r w:rsidRPr="00D35F5A">
                                    <w:rPr>
                                      <w:rFonts w:cs="Times New Roman"/>
                                      <w:sz w:val="20"/>
                                      <w:szCs w:val="18"/>
                                    </w:rPr>
                                    <w:t>n=7</w:t>
                                  </w:r>
                                </w:p>
                              </w:txbxContent>
                            </v:textbox>
                          </v:shape>
                          <v:shapetype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18" o:spid="_x0000_s1126" type="#_x0000_t77" style="position:absolute;left:1656422;top:871448;width:1657631;height:7377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ONiwwAA&#10;ANwAAAAPAAAAZHJzL2Rvd25yZXYueG1sRE/Pa8IwFL4L/g/hDXbT1B42raZFhMGQwZg6cLdH82zL&#10;mpeYxNr998thsOPH93tTjaYXA/nQWVawmGcgiGurO24UnI4vsyWIEJE19pZJwQ8FqMrpZIOFtnf+&#10;oOEQG5FCOBSooI3RFVKGuiWDYW4dceIu1huMCfpGao/3FG56mWfZkzTYcWpo0dGupfr7cDMKzvn5&#10;7ZmH9+7Tr9x2Z/duebx+KfX4MG7XICKN8V/8537VCvJFWpvOpCMg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NONiwwAAANwAAAAPAAAAAAAAAAAAAAAAAJcCAABkcnMvZG93&#10;bnJldi54bWxQSwUGAAAAAAQABAD1AAAAhwMAAAAA&#10;" adj="7565,7322,1719,8869" fillcolor="#5b9bd5 [3204]" strokecolor="#1f4d78 [1604]" strokeweight="1pt">
                            <v:textbox>
                              <w:txbxContent>
                                <w:p w14:paraId="2F65B822" w14:textId="77777777" w:rsidR="00C8402C" w:rsidRPr="00D35F5A" w:rsidRDefault="00C8402C" w:rsidP="001F0F9F">
                                  <w:pPr>
                                    <w:jc w:val="center"/>
                                    <w:rPr>
                                      <w:rFonts w:cs="Times New Roman"/>
                                      <w:sz w:val="20"/>
                                      <w:szCs w:val="18"/>
                                    </w:rPr>
                                  </w:pPr>
                                  <w:r w:rsidRPr="00D35F5A">
                                    <w:rPr>
                                      <w:rFonts w:cs="Times New Roman"/>
                                      <w:sz w:val="20"/>
                                      <w:szCs w:val="18"/>
                                    </w:rPr>
                                    <w:t>Best practice feedback (BPF) refresher session - Sep 2015</w:t>
                                  </w:r>
                                </w:p>
                              </w:txbxContent>
                            </v:textbox>
                          </v:shape>
                          <v:shape id="Straight Arrow Connector 220" o:spid="_x0000_s1127" type="#_x0000_t32" style="position:absolute;left:547265;top:1335646;width:1191459;height:2735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BAmcAAAADcAAAADwAAAGRycy9kb3ducmV2LnhtbERPTUvDQBC9C/6HZQQvpd00VNHYbRFB&#10;9GpapcchO2ZDs7MhO7bpv3cOgsfH+15vp9ibE425S+xguSjAEDfJd9w62O9e5w9gsiB77BOTgwtl&#10;2G6ur9ZY+XTmDzrV0hoN4VyhgyAyVNbmJlDEvEgDsXLfaYwoCsfW+hHPGh57WxbFvY3YsTYEHOgl&#10;UHOsf6L20r6c1Xezx9XxDT8PX0Euq6U4d3szPT+BEZrkX/znfvcOylLn6xk9Anbz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UQQJnAAAAA3AAAAA8AAAAAAAAAAAAAAAAA&#10;oQIAAGRycy9kb3ducmV2LnhtbFBLBQYAAAAABAAEAPkAAACOAwAAAAA=&#10;" strokecolor="#5b9bd5 [3204]" strokeweight=".5pt">
                            <v:stroke endarrow="block" joinstyle="miter"/>
                          </v:shape>
                          <v:shape id="Straight Arrow Connector 256" o:spid="_x0000_s1128" type="#_x0000_t32" style="position:absolute;left:-693820;top:1335646;width:1241086;height:2810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bZMYAAADcAAAADwAAAGRycy9kb3ducmV2LnhtbESPQWvCQBSE7wX/w/KEXopuaqtIdBUb&#10;KXitCurtkX1mo9m3aXYbU399t1DocZiZb5j5srOVaKnxpWMFz8MEBHHudMmFgv3ufTAF4QOyxsox&#10;KfgmD8tF72GOqXY3/qB2GwoRIexTVGBCqFMpfW7Ioh+6mjh6Z9dYDFE2hdQN3iLcVnKUJBNpseS4&#10;YLCmzFB+3X5ZBafzWLdv2brMzTF7OTy93j8vx7VSj/1uNQMRqAv/4b/2RisYjSfweyYe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v22TGAAAA3AAAAA8AAAAAAAAA&#10;AAAAAAAAoQIAAGRycy9kb3ducmV2LnhtbFBLBQYAAAAABAAEAPkAAACUAwAAAAA=&#10;" strokecolor="#5b9bd5 [3204]" strokeweight=".5pt">
                            <v:stroke endarrow="block" joinstyle="miter"/>
                          </v:shape>
                        </v:group>
                        <v:shape id="Flowchart: Off-page Connector 257" o:spid="_x0000_s1129" type="#_x0000_t177" style="position:absolute;left:-753906;top:1477582;width:721402;height:92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MS6xwAA&#10;ANwAAAAPAAAAZHJzL2Rvd25yZXYueG1sRI9BawIxFITvgv8hPKGXollF27oapS0IPYilag/eHpvn&#10;bnTzst2k7vrvG6HgcZiZb5j5srWluFDtjWMFw0ECgjhz2nCuYL9b9V9A+ICssXRMCq7kYbnoduaY&#10;atfwF122IRcRwj5FBUUIVSqlzwqy6AeuIo7e0dUWQ5R1LnWNTYTbUo6S5ElaNBwXCqzovaDsvP21&#10;CvLmzX5O9+NT8m3OvDGPh59sXSn10GtfZyACteEe/m9/aAWjyTPczsQj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DEuscAAADcAAAADwAAAAAAAAAAAAAAAACXAgAAZHJz&#10;L2Rvd25yZXYueG1sUEsFBgAAAAAEAAQA9QAAAIsDAAAAAA==&#10;" fillcolor="#70ad47 [3209]" strokecolor="#375623 [1609]" strokeweight="1pt">
                          <v:textbox>
                            <w:txbxContent>
                              <w:p w14:paraId="6C55B7D5" w14:textId="77777777" w:rsidR="00C8402C" w:rsidRPr="00D35F5A" w:rsidRDefault="00C8402C" w:rsidP="001F0F9F">
                                <w:pPr>
                                  <w:jc w:val="center"/>
                                  <w:rPr>
                                    <w:rFonts w:cs="Times New Roman"/>
                                    <w:sz w:val="20"/>
                                    <w:szCs w:val="18"/>
                                  </w:rPr>
                                </w:pPr>
                                <w:r w:rsidRPr="00D35F5A">
                                  <w:rPr>
                                    <w:rFonts w:cs="Times New Roman"/>
                                    <w:sz w:val="20"/>
                                    <w:szCs w:val="18"/>
                                  </w:rPr>
                                  <w:t xml:space="preserve">SRL feedback (SRLF) training.  </w:t>
                                </w:r>
                              </w:p>
                              <w:p w14:paraId="2F7A4B29" w14:textId="77777777" w:rsidR="00C8402C" w:rsidRPr="00D35F5A" w:rsidRDefault="00C8402C" w:rsidP="001F0F9F">
                                <w:pPr>
                                  <w:jc w:val="center"/>
                                  <w:rPr>
                                    <w:rFonts w:cs="Times New Roman"/>
                                    <w:sz w:val="20"/>
                                    <w:szCs w:val="18"/>
                                  </w:rPr>
                                </w:pPr>
                                <w:r w:rsidRPr="00D35F5A">
                                  <w:rPr>
                                    <w:rFonts w:cs="Times New Roman"/>
                                    <w:b/>
                                    <w:sz w:val="20"/>
                                    <w:szCs w:val="18"/>
                                  </w:rPr>
                                  <w:t>Sep + Oct 2015</w:t>
                                </w:r>
                              </w:p>
                              <w:p w14:paraId="01A22337" w14:textId="77777777" w:rsidR="00C8402C" w:rsidRPr="00D35F5A" w:rsidRDefault="00C8402C" w:rsidP="001F0F9F">
                                <w:pPr>
                                  <w:jc w:val="center"/>
                                  <w:rPr>
                                    <w:rFonts w:cs="Times New Roman"/>
                                    <w:sz w:val="20"/>
                                    <w:szCs w:val="18"/>
                                  </w:rPr>
                                </w:pPr>
                              </w:p>
                              <w:p w14:paraId="442D94C0" w14:textId="77777777" w:rsidR="00C8402C" w:rsidRPr="00D35F5A" w:rsidRDefault="00C8402C" w:rsidP="001F0F9F">
                                <w:pPr>
                                  <w:jc w:val="center"/>
                                  <w:rPr>
                                    <w:rFonts w:cs="Times New Roman"/>
                                    <w:sz w:val="20"/>
                                    <w:szCs w:val="18"/>
                                  </w:rPr>
                                </w:pP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8" o:spid="_x0000_s1130" type="#_x0000_t66" style="position:absolute;left:-32486;top:1821624;width:241610;height:163913;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uL9wgAA&#10;ANwAAAAPAAAAZHJzL2Rvd25yZXYueG1sRE89b8IwEN2R+h+sQ2IDB1QKpBhEC5XYImgXtlN8TQLx&#10;ObJNkvbX10Mlxqf3vd72phYtOV9ZVjCdJCCIc6srLhR8fX6MlyB8QNZYWyYFP+Rhu3karDHVtuMT&#10;tedQiBjCPkUFZQhNKqXPSzLoJ7Yhjty3dQZDhK6Q2mEXw00tZ0nyIg1WHBtKbOi9pPx2vhsFv9ek&#10;z5btMZOLpl7tL2/33eGZlBoN+90riEB9eIj/3UetYDaPa+OZeAT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i4v3CAAAA3AAAAA8AAAAAAAAAAAAAAAAAlwIAAGRycy9kb3du&#10;cmV2LnhtbFBLBQYAAAAABAAEAPUAAACGAwAAAAA=&#10;" adj="7327" fillcolor="#70ad47 [3209]" strokecolor="#375623 [1609]" strokeweight="1pt"/>
                      </v:group>
                    </v:group>
                    <v:shape id="Text Box 259" o:spid="_x0000_s1131" type="#_x0000_t202" style="position:absolute;left:2595987;top:1132851;width:1336787;height:458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2itwwAA&#10;ANwAAAAPAAAAZHJzL2Rvd25yZXYueG1sRI9BawIxFITvhf6H8Aq91axCZV2NYostBU/V0vNj80yC&#10;m5clSdftv28EocdhZr5hVpvRd2KgmFxgBdNJBYK4DdqxUfB1fHuqQaSMrLELTAp+KcFmfX+3wkaH&#10;C3/ScMhGFAinBhXYnPtGytRa8pgmoScu3ilEj7nIaKSOeClw38lZVc2lR8dlwWJPr5ba8+HHK9i9&#10;mIVpa4x2V2vnhvH7tDfvSj0+jNsliExj/g/f2h9awex5Adcz5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q2itwwAAANwAAAAPAAAAAAAAAAAAAAAAAJcCAABkcnMvZG93&#10;bnJldi54bWxQSwUGAAAAAAQABAD1AAAAhwMAAAAA&#10;" fillcolor="white [3201]" strokeweight=".5pt">
                      <v:textbox>
                        <w:txbxContent>
                          <w:p w14:paraId="23B06431" w14:textId="74592DA4" w:rsidR="00C8402C" w:rsidRPr="009800B9" w:rsidRDefault="00C8402C" w:rsidP="001F0F9F">
                            <w:pPr>
                              <w:jc w:val="center"/>
                              <w:rPr>
                                <w:rFonts w:cs="Times New Roman"/>
                                <w:sz w:val="22"/>
                              </w:rPr>
                            </w:pPr>
                            <w:r w:rsidRPr="009800B9">
                              <w:rPr>
                                <w:rFonts w:cs="Times New Roman"/>
                                <w:sz w:val="22"/>
                              </w:rPr>
                              <w:t xml:space="preserve">Randomly allocated </w:t>
                            </w:r>
                            <w:r>
                              <w:rPr>
                                <w:rFonts w:cs="Times New Roman"/>
                                <w:sz w:val="22"/>
                              </w:rPr>
                              <w:t>give SRLF or BPF</w:t>
                            </w:r>
                            <w:r w:rsidRPr="009800B9">
                              <w:rPr>
                                <w:rFonts w:cs="Times New Roman"/>
                                <w:sz w:val="22"/>
                              </w:rPr>
                              <w:t xml:space="preserve"> </w:t>
                            </w:r>
                          </w:p>
                        </w:txbxContent>
                      </v:textbox>
                    </v:shape>
                  </v:group>
                  <v:shape id="Flowchart: Off-page Connector 260" o:spid="_x0000_s1132" type="#_x0000_t177" style="position:absolute;left:2285937;top:4986488;width:2320421;height:5637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QR1wQAA&#10;ANwAAAAPAAAAZHJzL2Rvd25yZXYueG1sRE9Ni8IwEL0L+x/CLHiz6VYQqUZxhRXdi1jF89CMbd1m&#10;Uppo23+/OQgeH+97ue5NLZ7Uusqygq8oBkGcW11xoeBy/pnMQTiPrLG2TAoGcrBefYyWmGrb8Yme&#10;mS9ECGGXooLS+yaV0uUlGXSRbYgDd7OtQR9gW0jdYhfCTS2TOJ5JgxWHhhIb2paU/2UPo0CfpvtD&#10;97hust/78ZBsd8N0+M6UGn/2mwUIT71/i1/uvVaQzML8cCYcAb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SkEdcEAAADcAAAADwAAAAAAAAAAAAAAAACXAgAAZHJzL2Rvd25y&#10;ZXYueG1sUEsFBgAAAAAEAAQA9QAAAIUDAAAAAA==&#10;" fillcolor="#5b9bd5 [3204]" strokecolor="#1f4d78 [1604]" strokeweight="1pt">
                    <v:textbox>
                      <w:txbxContent>
                        <w:p w14:paraId="410073F5" w14:textId="77777777" w:rsidR="00C8402C" w:rsidRPr="00577598" w:rsidRDefault="00C8402C" w:rsidP="001F0F9F">
                          <w:pPr>
                            <w:jc w:val="center"/>
                            <w:rPr>
                              <w:rFonts w:cs="Times New Roman"/>
                              <w:sz w:val="19"/>
                              <w:szCs w:val="19"/>
                            </w:rPr>
                          </w:pPr>
                          <w:r w:rsidRPr="00577598">
                            <w:rPr>
                              <w:rFonts w:cs="Times New Roman"/>
                              <w:sz w:val="19"/>
                              <w:szCs w:val="19"/>
                            </w:rPr>
                            <w:t>Questionnaire data collection 2 - Feb 2016</w:t>
                          </w:r>
                        </w:p>
                      </w:txbxContent>
                    </v:textbox>
                  </v:shape>
                  <v:shape id="Down Arrow 261" o:spid="_x0000_s1133" type="#_x0000_t67" style="position:absolute;left:4579081;top:4978708;width:220048;height:16377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ysxQAA&#10;ANwAAAAPAAAAZHJzL2Rvd25yZXYueG1sRI9PawIxFMTvgt8hPKE3zfqny7IaRYSClyLagnh7bJ7J&#10;6uZl2aS6/fZNodDjMDO/YVab3jXiQV2oPSuYTjIQxJXXNRsFnx9v4wJEiMgaG8+k4JsCbNbDwQpL&#10;7Z98pMcpGpEgHEpUYGNsSylDZclhmPiWOHlX3zmMSXZG6g6fCe4aOcuyXDqsOS1YbGlnqbqfvpyC&#10;w+KeWe/M/P18K/L2uL0Upn5V6mXUb5cgIvXxP/zX3msFs3wKv2fS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9nKzFAAAA3AAAAA8AAAAAAAAAAAAAAAAAlwIAAGRycy9k&#10;b3ducmV2LnhtbFBLBQYAAAAABAAEAPUAAACJAwAAAAA=&#10;" adj="20149" fillcolor="#ed7d31 [3205]" strokecolor="#5b9bd5 [3204]" strokeweight="1pt">
                    <v:fill opacity="26214f"/>
                    <v:stroke opacity="16448f"/>
                  </v:shape>
                  <v:shape id="Down Arrow 262" o:spid="_x0000_s1134" type="#_x0000_t67" style="position:absolute;left:1757835;top:4977129;width:236611;height:16377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zGWvgAA&#10;ANwAAAAPAAAAZHJzL2Rvd25yZXYueG1sRI/BCsIwEETvgv8QVvCmqQWlVKOIIngSqn7A0qxNsdmU&#10;Jmr9eyMIHoeZecOsNr1txJM6XztWMJsmIIhLp2uuFFwvh0kGwgdkjY1jUvAmD5v1cLDCXLsXF/Q8&#10;h0pECPscFZgQ2lxKXxqy6KeuJY7ezXUWQ5RdJXWHrwi3jUyTZCEt1hwXDLa0M1Tezw+rQKJpt9eL&#10;zg7FLkv2BZ3etzkpNR712yWIQH34h3/to1aQLlL4nolH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ysxlr4AAADcAAAADwAAAAAAAAAAAAAAAACXAgAAZHJzL2Rvd25yZXYu&#10;eG1sUEsFBgAAAAAEAAQA9QAAAIIDAAAAAA==&#10;" adj="20040" fillcolor="#70ad47 [3209]" strokecolor="#5b9bd5 [3204]" strokeweight="1pt">
                    <v:fill opacity="26214f"/>
                    <v:stroke opacity="16448f"/>
                  </v:shape>
                  <v:shape id="Flowchart: Process 263" o:spid="_x0000_s1135" type="#_x0000_t109" style="position:absolute;left:574085;top:5677243;width:5433084;height:7348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Ji8xQAA&#10;ANwAAAAPAAAAZHJzL2Rvd25yZXYueG1sRI9Ba8JAFITvBf/D8oReim6SQrCpaygWsdekBevtNftM&#10;gtm3IbvR9N+7QqHHYWa+Ydb5ZDpxocG1lhXEywgEcWV1y7WCr8/dYgXCeWSNnWVS8EsO8s3sYY2Z&#10;tlcu6FL6WgQIuwwVNN73mZSuasigW9qeOHgnOxj0QQ611ANeA9x0MomiVBpsOSw02NO2oepcjkbB&#10;z7h9qrR82cVj8Z0cfbGPDu97pR7n09srCE+T/w//tT+0giR9hvu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0mLzFAAAA3AAAAA8AAAAAAAAAAAAAAAAAlwIAAGRycy9k&#10;b3ducmV2LnhtbFBLBQYAAAAABAAEAPUAAACJAwAAAAA=&#10;" fillcolor="#5b9bd5 [3204]" strokecolor="#1f4d78 [1604]" strokeweight="1pt">
                    <v:textbox>
                      <w:txbxContent>
                        <w:p w14:paraId="496D54C5" w14:textId="1D7C9339" w:rsidR="00C8402C" w:rsidRPr="00C9129E" w:rsidRDefault="00C8402C" w:rsidP="001F0F9F">
                          <w:pPr>
                            <w:jc w:val="center"/>
                            <w:rPr>
                              <w:rFonts w:cs="Times New Roman"/>
                              <w:b/>
                              <w:sz w:val="22"/>
                            </w:rPr>
                          </w:pPr>
                          <w:r w:rsidRPr="00C9129E">
                            <w:rPr>
                              <w:rFonts w:cs="Times New Roman"/>
                              <w:b/>
                              <w:sz w:val="22"/>
                            </w:rPr>
                            <w:t>Teacher interviews n=13 - Feb 2016</w:t>
                          </w:r>
                        </w:p>
                        <w:p w14:paraId="0259F072" w14:textId="77777777" w:rsidR="00C8402C" w:rsidRPr="00C9129E" w:rsidRDefault="00C8402C" w:rsidP="001F0F9F">
                          <w:pPr>
                            <w:jc w:val="center"/>
                            <w:rPr>
                              <w:rFonts w:cs="Times New Roman"/>
                              <w:sz w:val="22"/>
                            </w:rPr>
                          </w:pPr>
                          <w:r w:rsidRPr="00C9129E">
                            <w:rPr>
                              <w:rFonts w:cs="Times New Roman"/>
                              <w:sz w:val="22"/>
                            </w:rPr>
                            <w:t>Interviews with all tutors to explore the impact of the SRL intervention and best practice feedback models on practice.</w:t>
                          </w:r>
                        </w:p>
                      </w:txbxContent>
                    </v:textbox>
                  </v:shape>
                  <v:shape id="Flowchart: Off-page Connector 264" o:spid="_x0000_s1136" type="#_x0000_t177" style="position:absolute;left:2130076;top:8781201;width:2320294;height:645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gJ2xAAA&#10;ANwAAAAPAAAAZHJzL2Rvd25yZXYueG1sRI9Ba8JAFITvgv9heYI33TSKSOoqKijqpZiWnh/Z1yRt&#10;9m3Irib5965Q8DjMzDfMatOZStypcaVlBW/TCARxZnXJuYKvz8NkCcJ5ZI2VZVLQk4PNejhYYaJt&#10;y1e6pz4XAcIuQQWF93UipcsKMuimtiYO3o9tDPogm1zqBtsAN5WMo2ghDZYcFgqsaV9Q9pfejAJ9&#10;nZ3O7e17m15+P87x/tjP+l2q1HjUbd9BeOr8K/zfPmkF8WIOzzPhCM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ICdsQAAADcAAAADwAAAAAAAAAAAAAAAACXAgAAZHJzL2Rv&#10;d25yZXYueG1sUEsFBgAAAAAEAAQA9QAAAIgDAAAAAA==&#10;" fillcolor="#5b9bd5 [3204]" strokecolor="#1f4d78 [1604]" strokeweight="1pt">
                    <v:textbox>
                      <w:txbxContent>
                        <w:p w14:paraId="4F6A07F3" w14:textId="77777777" w:rsidR="00C8402C" w:rsidRPr="00577598" w:rsidRDefault="00C8402C" w:rsidP="001F0F9F">
                          <w:pPr>
                            <w:jc w:val="center"/>
                            <w:rPr>
                              <w:rFonts w:cs="Times New Roman"/>
                              <w:sz w:val="19"/>
                              <w:szCs w:val="19"/>
                            </w:rPr>
                          </w:pPr>
                          <w:r w:rsidRPr="00577598">
                            <w:rPr>
                              <w:rFonts w:cs="Times New Roman"/>
                              <w:sz w:val="19"/>
                              <w:szCs w:val="19"/>
                            </w:rPr>
                            <w:t>Questionnaire data collection 3 - Nov 2016</w:t>
                          </w:r>
                        </w:p>
                      </w:txbxContent>
                    </v:textbox>
                  </v:shape>
                </v:group>
                <v:roundrect id="Rounded Rectangle 265" o:spid="_x0000_s1137" style="position:absolute;left:4727407;top:8647851;width:1428173;height:79231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f0zwwAA&#10;ANwAAAAPAAAAZHJzL2Rvd25yZXYueG1sRI9bi8IwFITfF/wP4Qi+rakVL1SjiOyCD7Lg7f3YHJti&#10;c1KaWOu/NwsL+zjMzDfMct3ZSrTU+NKxgtEwAUGcO11yoeB8+v6cg/ABWWPlmBS8yMN61ftYYqbd&#10;kw/UHkMhIoR9hgpMCHUmpc8NWfRDVxNH7+YaiyHKppC6wWeE20qmSTKVFkuOCwZr2hrK78eHVcCz&#10;12Ozm1z5tE/N+OtwkT/5tVVq0O82CxCBuvAf/mvvtIJ0OoHfM/EIy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8f0zwwAAANwAAAAPAAAAAAAAAAAAAAAAAJcCAABkcnMvZG93&#10;bnJldi54bWxQSwUGAAAAAAQABAD1AAAAhwMAAAAA&#10;" filled="f" strokecolor="#1f4d78 [1604]" strokeweight="1pt">
                  <v:stroke dashstyle="dash" joinstyle="miter"/>
                  <v:textbox>
                    <w:txbxContent>
                      <w:p w14:paraId="31BFDA82" w14:textId="77777777" w:rsidR="00C8402C" w:rsidRPr="004A030D" w:rsidRDefault="00C8402C" w:rsidP="001F0F9F">
                        <w:pPr>
                          <w:jc w:val="center"/>
                          <w:rPr>
                            <w:rFonts w:cs="Times New Roman"/>
                            <w:b/>
                            <w:color w:val="000000" w:themeColor="text1"/>
                            <w:sz w:val="19"/>
                            <w:szCs w:val="19"/>
                          </w:rPr>
                        </w:pPr>
                        <w:r w:rsidRPr="004A030D">
                          <w:rPr>
                            <w:rFonts w:cs="Times New Roman"/>
                            <w:b/>
                            <w:color w:val="000000" w:themeColor="text1"/>
                            <w:sz w:val="19"/>
                            <w:szCs w:val="19"/>
                          </w:rPr>
                          <w:t>SSRQ validation</w:t>
                        </w:r>
                      </w:p>
                      <w:p w14:paraId="282E86EB" w14:textId="77777777" w:rsidR="00C8402C" w:rsidRPr="004A030D" w:rsidRDefault="00C8402C" w:rsidP="001F0F9F">
                        <w:pPr>
                          <w:jc w:val="center"/>
                          <w:rPr>
                            <w:rFonts w:cs="Times New Roman"/>
                            <w:b/>
                            <w:color w:val="000000" w:themeColor="text1"/>
                            <w:sz w:val="19"/>
                            <w:szCs w:val="19"/>
                          </w:rPr>
                        </w:pPr>
                        <w:r w:rsidRPr="004A030D">
                          <w:rPr>
                            <w:rFonts w:cs="Times New Roman"/>
                            <w:b/>
                            <w:color w:val="000000" w:themeColor="text1"/>
                            <w:sz w:val="19"/>
                            <w:szCs w:val="19"/>
                          </w:rPr>
                          <w:t>Additional data from new 2</w:t>
                        </w:r>
                        <w:r w:rsidRPr="004A030D">
                          <w:rPr>
                            <w:rFonts w:cs="Times New Roman"/>
                            <w:b/>
                            <w:color w:val="000000" w:themeColor="text1"/>
                            <w:sz w:val="19"/>
                            <w:szCs w:val="19"/>
                            <w:vertAlign w:val="superscript"/>
                          </w:rPr>
                          <w:t>nd</w:t>
                        </w:r>
                        <w:r w:rsidRPr="004A030D">
                          <w:rPr>
                            <w:rFonts w:cs="Times New Roman"/>
                            <w:b/>
                            <w:color w:val="000000" w:themeColor="text1"/>
                            <w:sz w:val="19"/>
                            <w:szCs w:val="19"/>
                          </w:rPr>
                          <w:t xml:space="preserve"> years</w:t>
                        </w:r>
                      </w:p>
                    </w:txbxContent>
                  </v:textbox>
                </v:roundrect>
                <v:shape id="Down Arrow 266" o:spid="_x0000_s1138" type="#_x0000_t67" style="position:absolute;left:3910427;top:8530019;width:217805;height:2494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c9KxAAA&#10;ANwAAAAPAAAAZHJzL2Rvd25yZXYueG1sRI9PawIxFMTvhX6H8Aq91axCF1mNIoWKvRT/3p+b52Z1&#10;87IkWV2/vREKPQ4z8xtmOu9tI67kQ+1YwXCQgSAuna65UrDffX+MQYSIrLFxTAruFGA+e32ZYqHd&#10;jTd03cZKJAiHAhWYGNtCylAashgGriVO3sl5izFJX0nt8ZbgtpGjLMulxZrTgsGWvgyVl21nFXQ/&#10;5e/qvD4dln5/7D678Wa4DEap97d+MQERqY//4b/2SisY5Tk8z6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XPSsQAAADcAAAADwAAAAAAAAAAAAAAAACXAgAAZHJzL2Rv&#10;d25yZXYueG1sUEsFBgAAAAAEAAQA9QAAAIgDAAAAAA==&#10;" adj="12169" fillcolor="#ed7d31 [3205]" strokecolor="#5b9bd5 [3204]" strokeweight="1pt">
                  <v:fill opacity="26214f"/>
                  <v:stroke opacity="16448f"/>
                </v:shape>
                <v:shape id="Down Arrow 267" o:spid="_x0000_s1139" type="#_x0000_t67" style="position:absolute;left:2826003;top:8519387;width:234677;height:249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TVxQAA&#10;ANwAAAAPAAAAZHJzL2Rvd25yZXYueG1sRI9Ba8JAFITvBf/D8oTe6qYpxBJdpQpCafFQ23p+ZJ/Z&#10;aPZtzG5i+u/dguBxmJlvmPlysLXoqfWVYwXPkwQEceF0xaWCn+/N0ysIH5A11o5JwR95WC5GD3PM&#10;tbvwF/W7UIoIYZ+jAhNCk0vpC0MW/cQ1xNE7uNZiiLItpW7xEuG2lmmSZNJixXHBYENrQ8Vp11kF&#10;+3PH/eFofvvtp3xJuw9cFUOm1ON4eJuBCDSEe/jWftcK0mwK/2fiEZ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P9NXFAAAA3AAAAA8AAAAAAAAAAAAAAAAAlwIAAGRycy9k&#10;b3ducmV2LnhtbFBLBQYAAAAABAAEAPUAAACJAwAAAAA=&#10;" adj="11440" fillcolor="#70ad47 [3209]" strokecolor="#5b9bd5 [3204]" strokeweight="1pt">
                  <v:fill opacity="26214f"/>
                  <v:stroke opacity="16448f"/>
                </v:shape>
              </v:group>
            </w:pict>
          </mc:Fallback>
        </mc:AlternateContent>
      </w:r>
      <w:r w:rsidR="001F0F9F" w:rsidRPr="00B56453">
        <w:br w:type="page"/>
      </w:r>
    </w:p>
    <w:p w14:paraId="3307A697" w14:textId="4F28C540" w:rsidR="00666A64" w:rsidRPr="00BD42AF" w:rsidRDefault="00666A64" w:rsidP="00426FCB">
      <w:pPr>
        <w:pStyle w:val="Heading1"/>
      </w:pPr>
      <w:bookmarkStart w:id="242" w:name="_Toc487456830"/>
      <w:bookmarkStart w:id="243" w:name="_Toc487811210"/>
      <w:bookmarkStart w:id="244" w:name="_Toc488147553"/>
      <w:bookmarkStart w:id="245" w:name="_Toc488309165"/>
      <w:bookmarkStart w:id="246" w:name="_Toc489017341"/>
      <w:bookmarkStart w:id="247" w:name="_Toc489447695"/>
      <w:bookmarkStart w:id="248" w:name="_Toc490650182"/>
      <w:bookmarkStart w:id="249" w:name="_Toc500319365"/>
      <w:bookmarkStart w:id="250" w:name="_Toc500319544"/>
      <w:r w:rsidRPr="00BD42AF">
        <w:lastRenderedPageBreak/>
        <w:t xml:space="preserve">Chapter </w:t>
      </w:r>
      <w:r w:rsidR="005765F4" w:rsidRPr="00BD42AF">
        <w:t>B1</w:t>
      </w:r>
      <w:r w:rsidR="00F176D2" w:rsidRPr="00BD42AF">
        <w:t xml:space="preserve">: </w:t>
      </w:r>
      <w:r w:rsidRPr="00BD42AF">
        <w:t xml:space="preserve">Development </w:t>
      </w:r>
      <w:r w:rsidR="00F176D2" w:rsidRPr="00BD42AF">
        <w:t xml:space="preserve">of the </w:t>
      </w:r>
      <w:r w:rsidR="00CB29CC" w:rsidRPr="00BD42AF">
        <w:t xml:space="preserve">SRL </w:t>
      </w:r>
      <w:r w:rsidR="00F176D2" w:rsidRPr="00BD42AF">
        <w:t>Feedback</w:t>
      </w:r>
      <w:r w:rsidR="008A531D" w:rsidRPr="00BD42AF">
        <w:t xml:space="preserve"> (SRLF)</w:t>
      </w:r>
      <w:r w:rsidR="00F176D2" w:rsidRPr="00BD42AF">
        <w:t xml:space="preserve"> Model</w:t>
      </w:r>
      <w:r w:rsidR="00990C0C" w:rsidRPr="00BD42AF">
        <w:t xml:space="preserve"> and Faculty Development Intervention</w:t>
      </w:r>
      <w:bookmarkEnd w:id="242"/>
      <w:bookmarkEnd w:id="243"/>
      <w:bookmarkEnd w:id="244"/>
      <w:bookmarkEnd w:id="245"/>
      <w:bookmarkEnd w:id="246"/>
      <w:bookmarkEnd w:id="247"/>
      <w:bookmarkEnd w:id="248"/>
      <w:bookmarkEnd w:id="249"/>
      <w:bookmarkEnd w:id="250"/>
    </w:p>
    <w:p w14:paraId="478ECBD5" w14:textId="77777777" w:rsidR="00D9036C" w:rsidRPr="00BD42AF" w:rsidRDefault="00D9036C" w:rsidP="00026049">
      <w:pPr>
        <w:pStyle w:val="Normal1"/>
        <w:rPr>
          <w:lang w:val="en-GB"/>
        </w:rPr>
      </w:pPr>
    </w:p>
    <w:p w14:paraId="23E4E1EC" w14:textId="09CF5359" w:rsidR="008E14EB" w:rsidRPr="00B56453" w:rsidRDefault="008E14EB" w:rsidP="00026049">
      <w:pPr>
        <w:pStyle w:val="Normal1"/>
        <w:rPr>
          <w:lang w:val="en-GB"/>
        </w:rPr>
      </w:pPr>
      <w:r w:rsidRPr="001046E5">
        <w:rPr>
          <w:lang w:val="en-GB"/>
        </w:rPr>
        <w:t>This study used a targeted, unitary intervention which fo</w:t>
      </w:r>
      <w:r w:rsidR="008A531D" w:rsidRPr="00C71126">
        <w:rPr>
          <w:lang w:val="en-GB"/>
        </w:rPr>
        <w:t>cused on delivering feedback informed by SRL information</w:t>
      </w:r>
      <w:r w:rsidRPr="00C71126">
        <w:rPr>
          <w:lang w:val="en-GB"/>
        </w:rPr>
        <w:t xml:space="preserve"> in </w:t>
      </w:r>
      <w:r w:rsidR="006573E2" w:rsidRPr="00C71126">
        <w:rPr>
          <w:lang w:val="en-GB"/>
        </w:rPr>
        <w:t>a</w:t>
      </w:r>
      <w:r w:rsidR="00EC4C6E" w:rsidRPr="00C71126">
        <w:rPr>
          <w:lang w:val="en-GB"/>
        </w:rPr>
        <w:t xml:space="preserve"> </w:t>
      </w:r>
      <w:r w:rsidRPr="00C71126">
        <w:rPr>
          <w:lang w:val="en-GB"/>
        </w:rPr>
        <w:t>clinical skills learning context</w:t>
      </w:r>
      <w:r w:rsidR="006573E2" w:rsidRPr="00C71126">
        <w:rPr>
          <w:lang w:val="en-GB"/>
        </w:rPr>
        <w:t xml:space="preserve"> in simulation</w:t>
      </w:r>
      <w:r w:rsidRPr="00C71126">
        <w:rPr>
          <w:lang w:val="en-GB"/>
        </w:rPr>
        <w:t xml:space="preserve">. It </w:t>
      </w:r>
      <w:r w:rsidR="008A531D" w:rsidRPr="00C71126">
        <w:rPr>
          <w:lang w:val="en-GB"/>
        </w:rPr>
        <w:t>was</w:t>
      </w:r>
      <w:r w:rsidRPr="00C71126">
        <w:rPr>
          <w:lang w:val="en-GB"/>
        </w:rPr>
        <w:t xml:space="preserve"> a ‘complex’ intervention meaning that it </w:t>
      </w:r>
      <w:r w:rsidR="006573E2" w:rsidRPr="00C71126">
        <w:rPr>
          <w:lang w:val="en-GB"/>
        </w:rPr>
        <w:t>had</w:t>
      </w:r>
      <w:r w:rsidRPr="00C71126">
        <w:rPr>
          <w:lang w:val="en-GB"/>
        </w:rPr>
        <w:t xml:space="preserve"> a tailored method of delivery, a theoretical foundation, and a number of different observable behaviours and measurable parameters </w:t>
      </w:r>
      <w:r w:rsidR="00EF281A" w:rsidRPr="007638B6">
        <w:rPr>
          <w:lang w:val="en-GB"/>
        </w:rPr>
        <w:fldChar w:fldCharType="begin"/>
      </w:r>
      <w:r w:rsidR="008B61BE" w:rsidRPr="00B56453">
        <w:rPr>
          <w:lang w:val="en-GB"/>
        </w:rPr>
        <w:instrText xml:space="preserve"> ADDIN EN.CITE &lt;EndNote&gt;&lt;Cite&gt;&lt;Author&gt;Mrc&lt;/Author&gt;&lt;Year&gt;2008&lt;/Year&gt;&lt;RecNum&gt;176&lt;/RecNum&gt;&lt;DisplayText&gt;(MRC 2008)&lt;/DisplayText&gt;&lt;record&gt;&lt;rec-number&gt;176&lt;/rec-number&gt;&lt;foreign-keys&gt;&lt;key app="EN" db-id="xa2r2ewea92trkef5dt5arvbzafvpv2za5ft" timestamp="1442161765"&gt;176&lt;/key&gt;&lt;/foreign-keys&gt;&lt;ref-type name="Journal Article"&gt;17&lt;/ref-type&gt;&lt;contributors&gt;&lt;authors&gt;&lt;author&gt;MRC, U. K.&lt;/author&gt;&lt;/authors&gt;&lt;/contributors&gt;&lt;titles&gt;&lt;title&gt;Developing and evaluating complex interventions: new guidance&lt;/title&gt;&lt;secondary-title&gt;London: Medical Research Council&lt;/secondary-title&gt;&lt;/titles&gt;&lt;periodical&gt;&lt;full-title&gt;London: Medical Research Council&lt;/full-title&gt;&lt;/periodical&gt;&lt;dates&gt;&lt;year&gt;2008&lt;/year&gt;&lt;/dates&gt;&lt;urls&gt;&lt;/urls&gt;&lt;/record&gt;&lt;/Cite&gt;&lt;/EndNote&gt;</w:instrText>
      </w:r>
      <w:r w:rsidR="00EF281A" w:rsidRPr="00B27F0B">
        <w:rPr>
          <w:lang w:val="en-GB"/>
        </w:rPr>
        <w:fldChar w:fldCharType="separate"/>
      </w:r>
      <w:r w:rsidR="004E5A78" w:rsidRPr="00B56453">
        <w:rPr>
          <w:noProof/>
          <w:lang w:val="en-GB"/>
        </w:rPr>
        <w:t>(</w:t>
      </w:r>
      <w:hyperlink w:anchor="_ENREF_290" w:tooltip="MRC, 2008 #176" w:history="1">
        <w:r w:rsidR="0094469E" w:rsidRPr="00B56453">
          <w:rPr>
            <w:noProof/>
            <w:lang w:val="en-GB"/>
          </w:rPr>
          <w:t>MRC 2008</w:t>
        </w:r>
      </w:hyperlink>
      <w:r w:rsidR="004E5A78" w:rsidRPr="00B56453">
        <w:rPr>
          <w:noProof/>
          <w:lang w:val="en-GB"/>
        </w:rPr>
        <w:t>)</w:t>
      </w:r>
      <w:r w:rsidR="00EF281A" w:rsidRPr="007638B6">
        <w:rPr>
          <w:lang w:val="en-GB"/>
        </w:rPr>
        <w:fldChar w:fldCharType="end"/>
      </w:r>
      <w:r w:rsidRPr="00B56453">
        <w:rPr>
          <w:lang w:val="en-GB"/>
        </w:rPr>
        <w:t xml:space="preserve">. It should also be considered complex given that the environment in which it </w:t>
      </w:r>
      <w:r w:rsidR="008A531D" w:rsidRPr="00B56453">
        <w:rPr>
          <w:lang w:val="en-GB"/>
        </w:rPr>
        <w:t>was</w:t>
      </w:r>
      <w:r w:rsidRPr="00B56453">
        <w:rPr>
          <w:lang w:val="en-GB"/>
        </w:rPr>
        <w:t xml:space="preserve"> implemented </w:t>
      </w:r>
      <w:r w:rsidR="008A531D" w:rsidRPr="00B56453">
        <w:rPr>
          <w:lang w:val="en-GB"/>
        </w:rPr>
        <w:t>was</w:t>
      </w:r>
      <w:r w:rsidRPr="00B56453">
        <w:rPr>
          <w:lang w:val="en-GB"/>
        </w:rPr>
        <w:t xml:space="preserve"> an authentic learning and teaching context</w:t>
      </w:r>
      <w:r w:rsidR="008A531D" w:rsidRPr="00B56453">
        <w:rPr>
          <w:lang w:val="en-GB"/>
        </w:rPr>
        <w:t>.</w:t>
      </w:r>
    </w:p>
    <w:p w14:paraId="45233299" w14:textId="77777777" w:rsidR="008E14EB" w:rsidRPr="00B56453" w:rsidRDefault="008E14EB" w:rsidP="00026049">
      <w:pPr>
        <w:pStyle w:val="Normal1"/>
        <w:rPr>
          <w:lang w:val="en-GB"/>
        </w:rPr>
      </w:pPr>
    </w:p>
    <w:p w14:paraId="7258FE15" w14:textId="143378A3" w:rsidR="008E14EB" w:rsidRPr="00B56453" w:rsidRDefault="002F74A2" w:rsidP="00026049">
      <w:pPr>
        <w:pStyle w:val="Normal1"/>
        <w:rPr>
          <w:lang w:val="en-GB"/>
        </w:rPr>
      </w:pPr>
      <w:r w:rsidRPr="00B56453">
        <w:rPr>
          <w:lang w:val="en-GB"/>
        </w:rPr>
        <w:t>T</w:t>
      </w:r>
      <w:r w:rsidR="008E14EB" w:rsidRPr="00B56453">
        <w:rPr>
          <w:lang w:val="en-GB"/>
        </w:rPr>
        <w:t xml:space="preserve">o avoid a ‘black box’ type complex intervention, where it is difficult to understand how and why it has or has not worked, </w:t>
      </w:r>
      <w:r w:rsidR="00EC4C6E" w:rsidRPr="00B56453">
        <w:rPr>
          <w:lang w:val="en-GB"/>
        </w:rPr>
        <w:t>the ‘active ingredients’ were</w:t>
      </w:r>
      <w:r w:rsidR="008E14EB" w:rsidRPr="00B56453">
        <w:rPr>
          <w:lang w:val="en-GB"/>
        </w:rPr>
        <w:t xml:space="preserve"> </w:t>
      </w:r>
      <w:r w:rsidR="00EC4C6E" w:rsidRPr="00B56453">
        <w:rPr>
          <w:lang w:val="en-GB"/>
        </w:rPr>
        <w:t>modelled</w:t>
      </w:r>
      <w:r w:rsidR="008E14EB" w:rsidRPr="00B56453">
        <w:rPr>
          <w:lang w:val="en-GB"/>
        </w:rPr>
        <w:t xml:space="preserve"> to conceptualise its design and to </w:t>
      </w:r>
      <w:r w:rsidR="006573E2" w:rsidRPr="00B56453">
        <w:rPr>
          <w:lang w:val="en-GB"/>
        </w:rPr>
        <w:t xml:space="preserve">help </w:t>
      </w:r>
      <w:r w:rsidR="008E14EB" w:rsidRPr="00B56453">
        <w:rPr>
          <w:lang w:val="en-GB"/>
        </w:rPr>
        <w:t xml:space="preserve">attribute outcomes to design components </w:t>
      </w:r>
      <w:r w:rsidR="00EF281A" w:rsidRPr="007638B6">
        <w:rPr>
          <w:lang w:val="en-GB"/>
        </w:rPr>
        <w:fldChar w:fldCharType="begin"/>
      </w:r>
      <w:r w:rsidR="008B61BE" w:rsidRPr="00B56453">
        <w:rPr>
          <w:lang w:val="en-GB"/>
        </w:rPr>
        <w:instrText xml:space="preserve"> ADDIN EN.CITE &lt;EndNote&gt;&lt;Cite&gt;&lt;Author&gt;Sermeus&lt;/Author&gt;&lt;Year&gt;2015&lt;/Year&gt;&lt;RecNum&gt;236&lt;/RecNum&gt;&lt;DisplayText&gt;(Sermeus 2015)&lt;/DisplayText&gt;&lt;record&gt;&lt;rec-number&gt;236&lt;/rec-number&gt;&lt;foreign-keys&gt;&lt;key app="EN" db-id="xa2r2ewea92trkef5dt5arvbzafvpv2za5ft" timestamp="1442161765"&gt;236&lt;/key&gt;&lt;/foreign-keys&gt;&lt;ref-type name="Journal Article"&gt;17&lt;/ref-type&gt;&lt;contributors&gt;&lt;authors&gt;&lt;author&gt;Sermeus, Walter&lt;/author&gt;&lt;/authors&gt;&lt;/contributors&gt;&lt;titles&gt;&lt;title&gt;ModellIng process and outcomes In complex interventIons&lt;/title&gt;&lt;secondary-title&gt;Complex Interventions in Health: An Overview of Research Methods&lt;/secondary-title&gt;&lt;/titles&gt;&lt;periodical&gt;&lt;full-title&gt;Complex Interventions in Health: An Overview of Research Methods&lt;/full-title&gt;&lt;/periodical&gt;&lt;pages&gt;111-120&lt;/pages&gt;&lt;dates&gt;&lt;year&gt;2015&lt;/year&gt;&lt;/dates&gt;&lt;publisher&gt;Routledge&lt;/publisher&gt;&lt;urls&gt;&lt;/urls&gt;&lt;/record&gt;&lt;/Cite&gt;&lt;/EndNote&gt;</w:instrText>
      </w:r>
      <w:r w:rsidR="00EF281A" w:rsidRPr="00B27F0B">
        <w:rPr>
          <w:lang w:val="en-GB"/>
        </w:rPr>
        <w:fldChar w:fldCharType="separate"/>
      </w:r>
      <w:r w:rsidR="004E5A78" w:rsidRPr="00B56453">
        <w:rPr>
          <w:noProof/>
          <w:lang w:val="en-GB"/>
        </w:rPr>
        <w:t>(</w:t>
      </w:r>
      <w:hyperlink w:anchor="_ENREF_382" w:tooltip="Sermeus, 2015 #236" w:history="1">
        <w:r w:rsidR="0094469E" w:rsidRPr="00B56453">
          <w:rPr>
            <w:noProof/>
            <w:lang w:val="en-GB"/>
          </w:rPr>
          <w:t>Sermeus 2015</w:t>
        </w:r>
      </w:hyperlink>
      <w:r w:rsidR="004E5A78" w:rsidRPr="00B56453">
        <w:rPr>
          <w:noProof/>
          <w:lang w:val="en-GB"/>
        </w:rPr>
        <w:t>)</w:t>
      </w:r>
      <w:r w:rsidR="00EF281A" w:rsidRPr="007638B6">
        <w:rPr>
          <w:lang w:val="en-GB"/>
        </w:rPr>
        <w:fldChar w:fldCharType="end"/>
      </w:r>
      <w:r w:rsidR="008E14EB" w:rsidRPr="00B56453">
        <w:rPr>
          <w:lang w:val="en-GB"/>
        </w:rPr>
        <w:t xml:space="preserve">. </w:t>
      </w:r>
      <w:hyperlink w:anchor="_ENREF_382" w:tooltip="Sermeus, 2015 #236" w:history="1">
        <w:r w:rsidR="0094469E" w:rsidRPr="00B27F0B">
          <w:rPr>
            <w:lang w:val="en-GB"/>
          </w:rPr>
          <w:fldChar w:fldCharType="begin"/>
        </w:r>
        <w:r w:rsidR="0094469E" w:rsidRPr="00B56453">
          <w:rPr>
            <w:lang w:val="en-GB"/>
          </w:rPr>
          <w:instrText xml:space="preserve"> ADDIN EN.CITE &lt;EndNote&gt;&lt;Cite AuthorYear="1"&gt;&lt;Author&gt;Sermeus&lt;/Author&gt;&lt;Year&gt;2015&lt;/Year&gt;&lt;RecNum&gt;236&lt;/RecNum&gt;&lt;DisplayText&gt;Sermeus (2015)&lt;/DisplayText&gt;&lt;record&gt;&lt;rec-number&gt;236&lt;/rec-number&gt;&lt;foreign-keys&gt;&lt;key app="EN" db-id="xa2r2ewea92trkef5dt5arvbzafvpv2za5ft" timestamp="1442161765"&gt;236&lt;/key&gt;&lt;/foreign-keys&gt;&lt;ref-type name="Journal Article"&gt;17&lt;/ref-type&gt;&lt;contributors&gt;&lt;authors&gt;&lt;author&gt;Sermeus, Walter&lt;/author&gt;&lt;/authors&gt;&lt;/contributors&gt;&lt;titles&gt;&lt;title&gt;ModellIng process and outcomes In complex interventIons&lt;/title&gt;&lt;secondary-title&gt;Complex Interventions in Health: An Overview of Research Methods&lt;/secondary-title&gt;&lt;/titles&gt;&lt;periodical&gt;&lt;full-title&gt;Complex Interventions in Health: An Overview of Research Methods&lt;/full-title&gt;&lt;/periodical&gt;&lt;pages&gt;111-120&lt;/pages&gt;&lt;dates&gt;&lt;year&gt;2015&lt;/year&gt;&lt;/dates&gt;&lt;publisher&gt;Routledge&lt;/publisher&gt;&lt;urls&gt;&lt;/urls&gt;&lt;/record&gt;&lt;/Cite&gt;&lt;/EndNote&gt;</w:instrText>
        </w:r>
        <w:r w:rsidR="0094469E" w:rsidRPr="00B27F0B">
          <w:rPr>
            <w:lang w:val="en-GB"/>
          </w:rPr>
          <w:fldChar w:fldCharType="separate"/>
        </w:r>
        <w:r w:rsidR="0094469E" w:rsidRPr="00B56453">
          <w:rPr>
            <w:noProof/>
            <w:lang w:val="en-GB"/>
          </w:rPr>
          <w:t>Sermeus (2015)</w:t>
        </w:r>
        <w:r w:rsidR="0094469E" w:rsidRPr="00B27F0B">
          <w:rPr>
            <w:lang w:val="en-GB"/>
          </w:rPr>
          <w:fldChar w:fldCharType="end"/>
        </w:r>
      </w:hyperlink>
      <w:r w:rsidR="00EC4C6E" w:rsidRPr="00B56453">
        <w:rPr>
          <w:lang w:val="en-GB"/>
        </w:rPr>
        <w:t xml:space="preserve"> outlined o</w:t>
      </w:r>
      <w:r w:rsidR="008E14EB" w:rsidRPr="00B56453">
        <w:rPr>
          <w:lang w:val="en-GB"/>
        </w:rPr>
        <w:t>ther aims of modelling the intervention:</w:t>
      </w:r>
    </w:p>
    <w:p w14:paraId="1DC2655E" w14:textId="77777777" w:rsidR="008A531D" w:rsidRPr="00B56453" w:rsidRDefault="008A531D" w:rsidP="00026049">
      <w:pPr>
        <w:pStyle w:val="Normal1"/>
        <w:rPr>
          <w:lang w:val="en-GB"/>
        </w:rPr>
      </w:pPr>
    </w:p>
    <w:p w14:paraId="5B18580C" w14:textId="77777777" w:rsidR="008E14EB" w:rsidRPr="00B56453" w:rsidRDefault="008E14EB" w:rsidP="00026049">
      <w:pPr>
        <w:pStyle w:val="Normal1"/>
        <w:numPr>
          <w:ilvl w:val="0"/>
          <w:numId w:val="21"/>
        </w:numPr>
        <w:rPr>
          <w:lang w:val="en-GB"/>
        </w:rPr>
      </w:pPr>
      <w:r w:rsidRPr="00B56453">
        <w:rPr>
          <w:lang w:val="en-GB"/>
        </w:rPr>
        <w:t xml:space="preserve">To guide the development of a priori predictions of potential outcomes. </w:t>
      </w:r>
    </w:p>
    <w:p w14:paraId="4FF6BE44" w14:textId="77777777" w:rsidR="008E14EB" w:rsidRPr="00B56453" w:rsidRDefault="008E14EB" w:rsidP="00026049">
      <w:pPr>
        <w:pStyle w:val="Normal1"/>
        <w:numPr>
          <w:ilvl w:val="0"/>
          <w:numId w:val="21"/>
        </w:numPr>
        <w:rPr>
          <w:lang w:val="en-GB"/>
        </w:rPr>
      </w:pPr>
      <w:r w:rsidRPr="00B56453">
        <w:rPr>
          <w:lang w:val="en-GB"/>
        </w:rPr>
        <w:t xml:space="preserve">To guide optimisation of the intervention. </w:t>
      </w:r>
    </w:p>
    <w:p w14:paraId="47EE24D9" w14:textId="77777777" w:rsidR="008E14EB" w:rsidRPr="00B56453" w:rsidRDefault="008E14EB" w:rsidP="00026049">
      <w:pPr>
        <w:pStyle w:val="Normal1"/>
        <w:numPr>
          <w:ilvl w:val="0"/>
          <w:numId w:val="21"/>
        </w:numPr>
        <w:rPr>
          <w:lang w:val="en-GB"/>
        </w:rPr>
      </w:pPr>
      <w:r w:rsidRPr="00B56453">
        <w:rPr>
          <w:lang w:val="en-GB"/>
        </w:rPr>
        <w:t>To show how components relate to each other.</w:t>
      </w:r>
    </w:p>
    <w:p w14:paraId="16087320" w14:textId="02AD0E42" w:rsidR="008E14EB" w:rsidRPr="00B56453" w:rsidRDefault="008E14EB" w:rsidP="00026049">
      <w:pPr>
        <w:pStyle w:val="Normal1"/>
        <w:numPr>
          <w:ilvl w:val="0"/>
          <w:numId w:val="21"/>
        </w:numPr>
        <w:rPr>
          <w:lang w:val="en-GB"/>
        </w:rPr>
      </w:pPr>
      <w:r w:rsidRPr="00B56453">
        <w:rPr>
          <w:lang w:val="en-GB"/>
        </w:rPr>
        <w:t>To show how theories interact with the active components.</w:t>
      </w:r>
    </w:p>
    <w:p w14:paraId="5D354161" w14:textId="77777777" w:rsidR="008E14EB" w:rsidRPr="00B56453" w:rsidRDefault="008E14EB" w:rsidP="00026049">
      <w:pPr>
        <w:pStyle w:val="Normal1"/>
        <w:rPr>
          <w:lang w:val="en-GB"/>
        </w:rPr>
      </w:pPr>
    </w:p>
    <w:p w14:paraId="5F1A0D43" w14:textId="2D0891D3" w:rsidR="008E14EB" w:rsidRPr="00B56453" w:rsidRDefault="00AE17C9" w:rsidP="00026049">
      <w:pPr>
        <w:pStyle w:val="Normal1"/>
        <w:rPr>
          <w:lang w:val="en-GB"/>
        </w:rPr>
      </w:pPr>
      <w:r w:rsidRPr="00B56453">
        <w:rPr>
          <w:lang w:val="en-GB"/>
        </w:rPr>
        <w:t>Figure</w:t>
      </w:r>
      <w:r w:rsidR="00EC4C6E" w:rsidRPr="00B56453">
        <w:rPr>
          <w:lang w:val="en-GB"/>
        </w:rPr>
        <w:t xml:space="preserve"> </w:t>
      </w:r>
      <w:r w:rsidR="00357D07" w:rsidRPr="00B56453">
        <w:rPr>
          <w:lang w:val="en-GB"/>
        </w:rPr>
        <w:t>B1.2</w:t>
      </w:r>
      <w:r w:rsidR="008E14EB" w:rsidRPr="00B56453">
        <w:rPr>
          <w:lang w:val="en-GB"/>
        </w:rPr>
        <w:t xml:space="preserve"> attempts to </w:t>
      </w:r>
      <w:r w:rsidR="002F74A2" w:rsidRPr="00B56453">
        <w:rPr>
          <w:lang w:val="en-GB"/>
        </w:rPr>
        <w:t>summarise</w:t>
      </w:r>
      <w:r w:rsidR="008E14EB" w:rsidRPr="00B56453">
        <w:rPr>
          <w:lang w:val="en-GB"/>
        </w:rPr>
        <w:t xml:space="preserve"> these aims using the guidelines of </w:t>
      </w:r>
      <w:hyperlink w:anchor="_ENREF_68" w:tooltip="Campbell, 2000 #26" w:history="1">
        <w:r w:rsidR="0094469E" w:rsidRPr="00B27F0B">
          <w:rPr>
            <w:lang w:val="en-GB"/>
          </w:rPr>
          <w:fldChar w:fldCharType="begin"/>
        </w:r>
        <w:r w:rsidR="0094469E" w:rsidRPr="00B56453">
          <w:rPr>
            <w:lang w:val="en-GB"/>
          </w:rPr>
          <w:instrText xml:space="preserve"> ADDIN EN.CITE &lt;EndNote&gt;&lt;Cite AuthorYear="1"&gt;&lt;Author&gt;Campbell&lt;/Author&gt;&lt;Year&gt;2000&lt;/Year&gt;&lt;RecNum&gt;26&lt;/RecNum&gt;&lt;DisplayText&gt;Campbell et al. (2000)&lt;/DisplayText&gt;&lt;record&gt;&lt;rec-number&gt;26&lt;/rec-number&gt;&lt;foreign-keys&gt;&lt;key app="EN" db-id="xa2r2ewea92trkef5dt5arvbzafvpv2za5ft" timestamp="1442161763"&gt;26&lt;/key&gt;&lt;/foreign-keys&gt;&lt;ref-type name="Journal Article"&gt;17&lt;/ref-type&gt;&lt;contributors&gt;&lt;authors&gt;&lt;author&gt;Campbell, M.&lt;/author&gt;&lt;author&gt;Fitzpatrick, R.&lt;/author&gt;&lt;author&gt;Haines, A.&lt;/author&gt;&lt;author&gt;Kinmonth, A. L.&lt;/author&gt;&lt;author&gt;Sandercock, P.&lt;/author&gt;&lt;author&gt;Spiegelhalter, D.&lt;/author&gt;&lt;author&gt;Tyrer, P.&lt;/author&gt;&lt;/authors&gt;&lt;/contributors&gt;&lt;auth-address&gt;Office of the President, Medical Research Council of Canada, 1600 Scott Street, Ottawa, Ontario, Canada K1 OW9.&lt;/auth-address&gt;&lt;titles&gt;&lt;title&gt;Framework for design and evaluation of complex interventions to improve health&lt;/title&gt;&lt;secondary-title&gt;BMJ (Clinical research ed.)&lt;/secondary-title&gt;&lt;/titles&gt;&lt;periodical&gt;&lt;full-title&gt;BMJ (Clinical research ed.)&lt;/full-title&gt;&lt;/periodical&gt;&lt;pages&gt;694-696&lt;/pages&gt;&lt;volume&gt;321&lt;/volume&gt;&lt;number&gt;7262&lt;/number&gt;&lt;keywords&gt;&lt;keyword&gt;Combined Modality Therapy&lt;/keyword&gt;&lt;keyword&gt;Health Promotion&lt;/keyword&gt;&lt;keyword&gt;Humans&lt;/keyword&gt;&lt;keyword&gt;Randomized Controlled Trials as Topic&lt;/keyword&gt;&lt;keyword&gt;Research Design&lt;/keyword&gt;&lt;/keywords&gt;&lt;dates&gt;&lt;year&gt;2000&lt;/year&gt;&lt;/dates&gt;&lt;pub-location&gt;ENGLAND&lt;/pub-location&gt;&lt;isbn&gt;0959-8138; 0959-535X&lt;/isbn&gt;&lt;urls&gt;&lt;related-urls&gt;&lt;url&gt;http://www.ncbi.nlm.nih.gov/pmc/articles/PMC1118564/pdf/694.pdf&lt;/url&gt;&lt;/related-urls&gt;&lt;/urls&gt;&lt;access-date&gt;Sep 16&lt;/access-date&gt;&lt;/record&gt;&lt;/Cite&gt;&lt;/EndNote&gt;</w:instrText>
        </w:r>
        <w:r w:rsidR="0094469E" w:rsidRPr="00B27F0B">
          <w:rPr>
            <w:lang w:val="en-GB"/>
          </w:rPr>
          <w:fldChar w:fldCharType="separate"/>
        </w:r>
        <w:r w:rsidR="0094469E" w:rsidRPr="00B56453">
          <w:rPr>
            <w:noProof/>
            <w:lang w:val="en-GB"/>
          </w:rPr>
          <w:t>Campbell et al. (2000)</w:t>
        </w:r>
        <w:r w:rsidR="0094469E" w:rsidRPr="00B27F0B">
          <w:rPr>
            <w:lang w:val="en-GB"/>
          </w:rPr>
          <w:fldChar w:fldCharType="end"/>
        </w:r>
      </w:hyperlink>
      <w:r w:rsidR="00EC4C6E" w:rsidRPr="00B56453">
        <w:rPr>
          <w:lang w:val="en-GB"/>
        </w:rPr>
        <w:t xml:space="preserve"> </w:t>
      </w:r>
      <w:r w:rsidR="008E14EB" w:rsidRPr="00B56453">
        <w:rPr>
          <w:lang w:val="en-GB"/>
        </w:rPr>
        <w:t xml:space="preserve">and </w:t>
      </w:r>
      <w:hyperlink w:anchor="_ENREF_382" w:tooltip="Sermeus, 2015 #236" w:history="1">
        <w:r w:rsidR="0094469E" w:rsidRPr="00B27F0B">
          <w:rPr>
            <w:lang w:val="en-GB"/>
          </w:rPr>
          <w:fldChar w:fldCharType="begin"/>
        </w:r>
        <w:r w:rsidR="0094469E" w:rsidRPr="00B56453">
          <w:rPr>
            <w:lang w:val="en-GB"/>
          </w:rPr>
          <w:instrText xml:space="preserve"> ADDIN EN.CITE &lt;EndNote&gt;&lt;Cite AuthorYear="1"&gt;&lt;Author&gt;Sermeus&lt;/Author&gt;&lt;Year&gt;2015&lt;/Year&gt;&lt;RecNum&gt;236&lt;/RecNum&gt;&lt;DisplayText&gt;Sermeus (2015)&lt;/DisplayText&gt;&lt;record&gt;&lt;rec-number&gt;236&lt;/rec-number&gt;&lt;foreign-keys&gt;&lt;key app="EN" db-id="xa2r2ewea92trkef5dt5arvbzafvpv2za5ft" timestamp="1442161765"&gt;236&lt;/key&gt;&lt;/foreign-keys&gt;&lt;ref-type name="Journal Article"&gt;17&lt;/ref-type&gt;&lt;contributors&gt;&lt;authors&gt;&lt;author&gt;Sermeus, Walter&lt;/author&gt;&lt;/authors&gt;&lt;/contributors&gt;&lt;titles&gt;&lt;title&gt;ModellIng process and outcomes In complex interventIons&lt;/title&gt;&lt;secondary-title&gt;Complex Interventions in Health: An Overview of Research Methods&lt;/secondary-title&gt;&lt;/titles&gt;&lt;periodical&gt;&lt;full-title&gt;Complex Interventions in Health: An Overview of Research Methods&lt;/full-title&gt;&lt;/periodical&gt;&lt;pages&gt;111-120&lt;/pages&gt;&lt;dates&gt;&lt;year&gt;2015&lt;/year&gt;&lt;/dates&gt;&lt;publisher&gt;Routledge&lt;/publisher&gt;&lt;urls&gt;&lt;/urls&gt;&lt;/record&gt;&lt;/Cite&gt;&lt;/EndNote&gt;</w:instrText>
        </w:r>
        <w:r w:rsidR="0094469E" w:rsidRPr="00B27F0B">
          <w:rPr>
            <w:lang w:val="en-GB"/>
          </w:rPr>
          <w:fldChar w:fldCharType="separate"/>
        </w:r>
        <w:r w:rsidR="0094469E" w:rsidRPr="00B56453">
          <w:rPr>
            <w:noProof/>
            <w:lang w:val="en-GB"/>
          </w:rPr>
          <w:t>Sermeus (2015)</w:t>
        </w:r>
        <w:r w:rsidR="0094469E" w:rsidRPr="00B27F0B">
          <w:rPr>
            <w:lang w:val="en-GB"/>
          </w:rPr>
          <w:fldChar w:fldCharType="end"/>
        </w:r>
      </w:hyperlink>
      <w:r w:rsidR="008E14EB" w:rsidRPr="00B56453">
        <w:rPr>
          <w:lang w:val="en-GB"/>
        </w:rPr>
        <w:t>, placing emphasis on SR</w:t>
      </w:r>
      <w:r w:rsidR="006573E2" w:rsidRPr="00B56453">
        <w:rPr>
          <w:lang w:val="en-GB"/>
        </w:rPr>
        <w:t>L MA</w:t>
      </w:r>
      <w:r w:rsidR="008E14EB" w:rsidRPr="00B56453">
        <w:rPr>
          <w:lang w:val="en-GB"/>
        </w:rPr>
        <w:t xml:space="preserve"> and SRL</w:t>
      </w:r>
      <w:r w:rsidR="006573E2" w:rsidRPr="00B56453">
        <w:rPr>
          <w:lang w:val="en-GB"/>
        </w:rPr>
        <w:t>F</w:t>
      </w:r>
      <w:r w:rsidR="008E14EB" w:rsidRPr="00B56453">
        <w:rPr>
          <w:lang w:val="en-GB"/>
        </w:rPr>
        <w:t xml:space="preserve"> as the </w:t>
      </w:r>
      <w:r w:rsidR="002F74A2" w:rsidRPr="00B56453">
        <w:rPr>
          <w:lang w:val="en-GB"/>
        </w:rPr>
        <w:t>‘</w:t>
      </w:r>
      <w:r w:rsidR="008E14EB" w:rsidRPr="00B56453">
        <w:rPr>
          <w:lang w:val="en-GB"/>
        </w:rPr>
        <w:t>active ingredients</w:t>
      </w:r>
      <w:r w:rsidR="002F74A2" w:rsidRPr="00B56453">
        <w:rPr>
          <w:lang w:val="en-GB"/>
        </w:rPr>
        <w:t>’</w:t>
      </w:r>
      <w:r w:rsidR="008E14EB" w:rsidRPr="00B56453">
        <w:rPr>
          <w:lang w:val="en-GB"/>
        </w:rPr>
        <w:t xml:space="preserve"> of this intervention. </w:t>
      </w:r>
      <w:r w:rsidR="00EC4C6E" w:rsidRPr="00B56453">
        <w:rPr>
          <w:lang w:val="en-GB"/>
        </w:rPr>
        <w:t>O</w:t>
      </w:r>
      <w:r w:rsidR="008E14EB" w:rsidRPr="00B56453">
        <w:rPr>
          <w:lang w:val="en-GB"/>
        </w:rPr>
        <w:t>nly minimal detail</w:t>
      </w:r>
      <w:r w:rsidR="00EC4C6E" w:rsidRPr="00B56453">
        <w:rPr>
          <w:lang w:val="en-GB"/>
        </w:rPr>
        <w:t xml:space="preserve"> is included</w:t>
      </w:r>
      <w:r w:rsidR="008E14EB" w:rsidRPr="00B56453">
        <w:rPr>
          <w:lang w:val="en-GB"/>
        </w:rPr>
        <w:t xml:space="preserve"> to allow for flexibility as mechanisms of change become more or less prevalent</w:t>
      </w:r>
      <w:r w:rsidR="00EC4C6E" w:rsidRPr="00B56453">
        <w:rPr>
          <w:lang w:val="en-GB"/>
        </w:rPr>
        <w:t xml:space="preserve"> which is </w:t>
      </w:r>
      <w:r w:rsidR="00BB5D1F" w:rsidRPr="00B56453">
        <w:rPr>
          <w:lang w:val="en-GB"/>
        </w:rPr>
        <w:t>considered</w:t>
      </w:r>
      <w:r w:rsidR="00EC4C6E" w:rsidRPr="00B56453">
        <w:rPr>
          <w:lang w:val="en-GB"/>
        </w:rPr>
        <w:t xml:space="preserve"> in </w:t>
      </w:r>
      <w:r w:rsidR="00630F67" w:rsidRPr="00B56453">
        <w:rPr>
          <w:lang w:val="en-GB"/>
        </w:rPr>
        <w:t xml:space="preserve">Chapter </w:t>
      </w:r>
      <w:r w:rsidR="00BF6160" w:rsidRPr="00B56453">
        <w:rPr>
          <w:lang w:val="en-GB"/>
        </w:rPr>
        <w:t>D1</w:t>
      </w:r>
      <w:r w:rsidR="00EC4C6E" w:rsidRPr="00B56453">
        <w:rPr>
          <w:lang w:val="en-GB"/>
        </w:rPr>
        <w:t xml:space="preserve"> (Sermeus, 2015). A discussion of intervention mapping f</w:t>
      </w:r>
      <w:r w:rsidR="00DD0B00" w:rsidRPr="00B56453">
        <w:rPr>
          <w:lang w:val="en-GB"/>
        </w:rPr>
        <w:t>ollows the intervention model (T</w:t>
      </w:r>
      <w:r w:rsidR="00EC4C6E" w:rsidRPr="00B56453">
        <w:rPr>
          <w:lang w:val="en-GB"/>
        </w:rPr>
        <w:t xml:space="preserve">able </w:t>
      </w:r>
      <w:r w:rsidR="00DD0B00" w:rsidRPr="00B56453">
        <w:rPr>
          <w:lang w:val="en-GB"/>
        </w:rPr>
        <w:t>B1.1</w:t>
      </w:r>
      <w:r w:rsidR="00EC4C6E" w:rsidRPr="00B56453">
        <w:rPr>
          <w:lang w:val="en-GB"/>
        </w:rPr>
        <w:t>).</w:t>
      </w:r>
    </w:p>
    <w:p w14:paraId="057BBA2E" w14:textId="7E38F3E9" w:rsidR="008E14EB" w:rsidRPr="00B56453" w:rsidRDefault="008E14EB" w:rsidP="008E14EB"/>
    <w:p w14:paraId="76A22D55" w14:textId="04397C36" w:rsidR="008E14EB" w:rsidRPr="00B56453" w:rsidRDefault="008E14EB" w:rsidP="008E14EB"/>
    <w:p w14:paraId="46B1FFAD" w14:textId="132390D2" w:rsidR="008E14EB" w:rsidRPr="00B56453" w:rsidRDefault="008E14EB" w:rsidP="008E14EB"/>
    <w:p w14:paraId="35AA7BF8" w14:textId="7A7E54DE" w:rsidR="008E14EB" w:rsidRPr="00B56453" w:rsidRDefault="008E14EB" w:rsidP="008E14EB"/>
    <w:p w14:paraId="6862B70D" w14:textId="4F169600" w:rsidR="008E14EB" w:rsidRPr="00B56453" w:rsidRDefault="008E14EB" w:rsidP="008E14EB"/>
    <w:p w14:paraId="2E156562" w14:textId="77777777" w:rsidR="008E14EB" w:rsidRPr="00B56453" w:rsidRDefault="008E14EB" w:rsidP="008E14EB"/>
    <w:p w14:paraId="05DF3D84" w14:textId="460E3A69" w:rsidR="008E14EB" w:rsidRPr="00B56453" w:rsidRDefault="008E14EB" w:rsidP="008E14EB"/>
    <w:p w14:paraId="3E1EC2C8" w14:textId="0249B47D" w:rsidR="008E14EB" w:rsidRPr="00B56453" w:rsidRDefault="008E14EB" w:rsidP="008E14EB"/>
    <w:p w14:paraId="3D23539D" w14:textId="39CFD863" w:rsidR="008E14EB" w:rsidRPr="00B56453" w:rsidRDefault="008E14EB" w:rsidP="008E14EB"/>
    <w:p w14:paraId="0F4B8987" w14:textId="5D42134F" w:rsidR="008E14EB" w:rsidRPr="00B56453" w:rsidRDefault="002F74A2" w:rsidP="008E14EB">
      <w:r w:rsidRPr="00B56453">
        <w:rPr>
          <w:noProof/>
          <w:lang w:eastAsia="en-GB"/>
        </w:rPr>
        <mc:AlternateContent>
          <mc:Choice Requires="wpg">
            <w:drawing>
              <wp:anchor distT="0" distB="0" distL="114300" distR="114300" simplePos="0" relativeHeight="251692032" behindDoc="0" locked="0" layoutInCell="1" allowOverlap="1" wp14:anchorId="5DBB5AAF" wp14:editId="25F45A98">
                <wp:simplePos x="0" y="0"/>
                <wp:positionH relativeFrom="column">
                  <wp:posOffset>-119589</wp:posOffset>
                </wp:positionH>
                <wp:positionV relativeFrom="paragraph">
                  <wp:posOffset>194310</wp:posOffset>
                </wp:positionV>
                <wp:extent cx="5431809" cy="5675622"/>
                <wp:effectExtent l="0" t="0" r="16510" b="20955"/>
                <wp:wrapNone/>
                <wp:docPr id="25877" name="Group 25877"/>
                <wp:cNvGraphicFramePr/>
                <a:graphic xmlns:a="http://schemas.openxmlformats.org/drawingml/2006/main">
                  <a:graphicData uri="http://schemas.microsoft.com/office/word/2010/wordprocessingGroup">
                    <wpg:wgp>
                      <wpg:cNvGrpSpPr/>
                      <wpg:grpSpPr>
                        <a:xfrm>
                          <a:off x="0" y="0"/>
                          <a:ext cx="5431809" cy="5675622"/>
                          <a:chOff x="-166110" y="-353681"/>
                          <a:chExt cx="5667555" cy="5676476"/>
                        </a:xfrm>
                      </wpg:grpSpPr>
                      <wpg:grpSp>
                        <wpg:cNvPr id="25875" name="Group 25875"/>
                        <wpg:cNvGrpSpPr/>
                        <wpg:grpSpPr>
                          <a:xfrm>
                            <a:off x="-166110" y="-353681"/>
                            <a:ext cx="5667555" cy="5676476"/>
                            <a:chOff x="-166110" y="-353681"/>
                            <a:chExt cx="5667555" cy="5676476"/>
                          </a:xfrm>
                        </wpg:grpSpPr>
                        <wps:wsp>
                          <wps:cNvPr id="25872" name="Right Arrow 25872"/>
                          <wps:cNvSpPr/>
                          <wps:spPr>
                            <a:xfrm rot="5400000">
                              <a:off x="2442442" y="728330"/>
                              <a:ext cx="500380" cy="365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873" name="Group 25873"/>
                          <wpg:cNvGrpSpPr/>
                          <wpg:grpSpPr>
                            <a:xfrm>
                              <a:off x="-166110" y="-353681"/>
                              <a:ext cx="5667555" cy="5676476"/>
                              <a:chOff x="-166110" y="-353681"/>
                              <a:chExt cx="5667555" cy="5676476"/>
                            </a:xfrm>
                          </wpg:grpSpPr>
                          <wps:wsp>
                            <wps:cNvPr id="25871" name="Flowchart: Process 25871"/>
                            <wps:cNvSpPr/>
                            <wps:spPr>
                              <a:xfrm>
                                <a:off x="0" y="1307804"/>
                                <a:ext cx="5422265" cy="212617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BAB71" w14:textId="1990937A" w:rsidR="00C8402C" w:rsidRPr="003F2C70" w:rsidRDefault="00C8402C" w:rsidP="008E14EB">
                                  <w:pPr>
                                    <w:jc w:val="center"/>
                                    <w:rPr>
                                      <w:b/>
                                    </w:rPr>
                                  </w:pPr>
                                  <w:r>
                                    <w:rPr>
                                      <w:b/>
                                    </w:rPr>
                                    <w:t>Teaching and feedback giving</w:t>
                                  </w:r>
                                  <w:r w:rsidRPr="003F2C70">
                                    <w:rPr>
                                      <w:b/>
                                    </w:rPr>
                                    <w:t xml:space="preserve"> in simulated clinical skills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1" name="Group 241"/>
                            <wpg:cNvGrpSpPr/>
                            <wpg:grpSpPr>
                              <a:xfrm>
                                <a:off x="-166110" y="-353681"/>
                                <a:ext cx="5667555" cy="5676476"/>
                                <a:chOff x="443351" y="-34710"/>
                                <a:chExt cx="5667988" cy="5676710"/>
                              </a:xfrm>
                            </wpg:grpSpPr>
                            <wps:wsp>
                              <wps:cNvPr id="230" name="Flowchart: Process 230"/>
                              <wps:cNvSpPr/>
                              <wps:spPr>
                                <a:xfrm>
                                  <a:off x="978683" y="2146789"/>
                                  <a:ext cx="4515643" cy="15417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750EDF" w14:textId="77777777" w:rsidR="00C8402C" w:rsidRDefault="00C8402C" w:rsidP="008E14EB">
                                    <w:pPr>
                                      <w:jc w:val="center"/>
                                    </w:pPr>
                                  </w:p>
                                  <w:p w14:paraId="4BC85F32" w14:textId="77777777" w:rsidR="00C8402C" w:rsidRDefault="00C8402C" w:rsidP="008E14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Process 229"/>
                              <wps:cNvSpPr/>
                              <wps:spPr>
                                <a:xfrm>
                                  <a:off x="443351" y="-34710"/>
                                  <a:ext cx="5667988" cy="92558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0D1B2" w14:textId="77777777" w:rsidR="00C8402C" w:rsidRPr="003F2C70" w:rsidRDefault="00C8402C" w:rsidP="008E14EB">
                                    <w:pPr>
                                      <w:jc w:val="center"/>
                                      <w:rPr>
                                        <w:b/>
                                      </w:rPr>
                                    </w:pPr>
                                    <w:r w:rsidRPr="003F2C70">
                                      <w:rPr>
                                        <w:b/>
                                      </w:rPr>
                                      <w:t>Tutor training</w:t>
                                    </w:r>
                                  </w:p>
                                  <w:p w14:paraId="3380137B" w14:textId="5C6CE6A6" w:rsidR="00C8402C" w:rsidRDefault="00C8402C" w:rsidP="008E14EB">
                                    <w:pPr>
                                      <w:jc w:val="center"/>
                                    </w:pPr>
                                    <w:r>
                                      <w:t xml:space="preserve">Best practice feedback principles for all tutors </w:t>
                                    </w:r>
                                  </w:p>
                                  <w:p w14:paraId="31097D9F" w14:textId="24EAAB82" w:rsidR="00C8402C" w:rsidRDefault="00C8402C" w:rsidP="008E14EB">
                                    <w:pPr>
                                      <w:jc w:val="center"/>
                                    </w:pPr>
                                    <w:r>
                                      <w:t>Additionally, randomly allocated tutors received SRL feedback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ight Arrow Callout 232"/>
                              <wps:cNvSpPr/>
                              <wps:spPr>
                                <a:xfrm>
                                  <a:off x="1081377" y="2417197"/>
                                  <a:ext cx="1948070" cy="1009650"/>
                                </a:xfrm>
                                <a:prstGeom prst="rightArrowCallout">
                                  <a:avLst>
                                    <a:gd name="adj1" fmla="val 25000"/>
                                    <a:gd name="adj2" fmla="val 21850"/>
                                    <a:gd name="adj3" fmla="val 32087"/>
                                    <a:gd name="adj4" fmla="val 720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E75166" w14:textId="2A23F8A9" w:rsidR="00C8402C" w:rsidRDefault="00C8402C" w:rsidP="008E14EB">
                                    <w:pPr>
                                      <w:jc w:val="center"/>
                                    </w:pPr>
                                    <w:r>
                                      <w:t>Social cognitive view of SRL - Zimmerman’s cyclical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Bevel 233"/>
                              <wps:cNvSpPr/>
                              <wps:spPr>
                                <a:xfrm>
                                  <a:off x="3164619" y="2234317"/>
                                  <a:ext cx="2281555" cy="65976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614D4" w14:textId="62D25E37" w:rsidR="00C8402C" w:rsidRDefault="00C8402C" w:rsidP="008E14EB">
                                    <w:pPr>
                                      <w:jc w:val="center"/>
                                    </w:pPr>
                                    <w:r>
                                      <w:t>SRL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Bevel 234"/>
                              <wps:cNvSpPr/>
                              <wps:spPr>
                                <a:xfrm>
                                  <a:off x="3164619" y="2949934"/>
                                  <a:ext cx="2282024" cy="683812"/>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E74B2" w14:textId="77777777" w:rsidR="00C8402C" w:rsidRDefault="00C8402C" w:rsidP="008E14EB">
                                    <w:pPr>
                                      <w:jc w:val="center"/>
                                    </w:pPr>
                                    <w:r>
                                      <w:t xml:space="preserve">Feedback on SRL processes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ight Arrow 235"/>
                              <wps:cNvSpPr/>
                              <wps:spPr>
                                <a:xfrm rot="5400000">
                                  <a:off x="3097043" y="3894643"/>
                                  <a:ext cx="500932"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lowchart: Process 238"/>
                              <wps:cNvSpPr/>
                              <wps:spPr>
                                <a:xfrm>
                                  <a:off x="609408" y="4459729"/>
                                  <a:ext cx="5422679" cy="1182271"/>
                                </a:xfrm>
                                <a:prstGeom prst="flowChartProcess">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CBF34C" w14:textId="4545AAF7" w:rsidR="00C8402C" w:rsidRPr="00815F44" w:rsidRDefault="00C8402C" w:rsidP="008E14EB">
                                    <w:pPr>
                                      <w:jc w:val="center"/>
                                      <w:rPr>
                                        <w:b/>
                                        <w:color w:val="000000" w:themeColor="text1"/>
                                      </w:rPr>
                                    </w:pPr>
                                    <w:r w:rsidRPr="00815F44">
                                      <w:rPr>
                                        <w:b/>
                                        <w:color w:val="000000" w:themeColor="text1"/>
                                      </w:rPr>
                                      <w:t>Potential impact to be explored</w:t>
                                    </w:r>
                                  </w:p>
                                  <w:p w14:paraId="7F5417D7" w14:textId="77777777" w:rsidR="00C8402C" w:rsidRPr="002B0A82" w:rsidRDefault="00C8402C" w:rsidP="00026049">
                                    <w:pPr>
                                      <w:pStyle w:val="ListParagraph"/>
                                      <w:numPr>
                                        <w:ilvl w:val="0"/>
                                        <w:numId w:val="4"/>
                                      </w:numPr>
                                      <w:jc w:val="center"/>
                                      <w:rPr>
                                        <w:color w:val="000000" w:themeColor="text1"/>
                                      </w:rPr>
                                    </w:pPr>
                                    <w:r w:rsidRPr="002B0A82">
                                      <w:rPr>
                                        <w:color w:val="000000" w:themeColor="text1"/>
                                      </w:rPr>
                                      <w:t>Feedback perception and recognition</w:t>
                                    </w:r>
                                  </w:p>
                                  <w:p w14:paraId="5823831F" w14:textId="77777777" w:rsidR="00C8402C" w:rsidRPr="002B0A82" w:rsidRDefault="00C8402C" w:rsidP="00026049">
                                    <w:pPr>
                                      <w:pStyle w:val="ListParagraph"/>
                                      <w:numPr>
                                        <w:ilvl w:val="0"/>
                                        <w:numId w:val="4"/>
                                      </w:numPr>
                                      <w:jc w:val="center"/>
                                      <w:rPr>
                                        <w:color w:val="000000" w:themeColor="text1"/>
                                      </w:rPr>
                                    </w:pPr>
                                    <w:r w:rsidRPr="002B0A82">
                                      <w:rPr>
                                        <w:color w:val="000000" w:themeColor="text1"/>
                                      </w:rPr>
                                      <w:t>Use of feedback for future learning</w:t>
                                    </w:r>
                                  </w:p>
                                  <w:p w14:paraId="1DD31485" w14:textId="20361B1F" w:rsidR="00C8402C" w:rsidRPr="002B0A82" w:rsidRDefault="00C8402C" w:rsidP="00026049">
                                    <w:pPr>
                                      <w:pStyle w:val="ListParagraph"/>
                                      <w:numPr>
                                        <w:ilvl w:val="0"/>
                                        <w:numId w:val="4"/>
                                      </w:numPr>
                                      <w:jc w:val="center"/>
                                      <w:rPr>
                                        <w:color w:val="000000" w:themeColor="text1"/>
                                      </w:rPr>
                                    </w:pPr>
                                    <w:r>
                                      <w:rPr>
                                        <w:color w:val="000000" w:themeColor="text1"/>
                                      </w:rPr>
                                      <w:t>SRL Capacity and s</w:t>
                                    </w:r>
                                    <w:r w:rsidRPr="002B0A82">
                                      <w:rPr>
                                        <w:color w:val="000000" w:themeColor="text1"/>
                                      </w:rPr>
                                      <w:t>elf-efficacy beliefs</w:t>
                                    </w:r>
                                  </w:p>
                                  <w:p w14:paraId="5A87C73E" w14:textId="08A73E24" w:rsidR="00C8402C" w:rsidRPr="002B0A82" w:rsidRDefault="00C8402C" w:rsidP="00026049">
                                    <w:pPr>
                                      <w:pStyle w:val="ListParagraph"/>
                                      <w:numPr>
                                        <w:ilvl w:val="0"/>
                                        <w:numId w:val="4"/>
                                      </w:numPr>
                                      <w:jc w:val="center"/>
                                      <w:rPr>
                                        <w:color w:val="000000" w:themeColor="text1"/>
                                      </w:rPr>
                                    </w:pPr>
                                    <w:r w:rsidRPr="002B0A82">
                                      <w:rPr>
                                        <w:color w:val="000000" w:themeColor="text1"/>
                                      </w:rPr>
                                      <w:t>SRL behaviours relating to clinical skills</w:t>
                                    </w:r>
                                  </w:p>
                                  <w:p w14:paraId="5A6E265F" w14:textId="77777777" w:rsidR="00C8402C" w:rsidRDefault="00C8402C" w:rsidP="00815F44">
                                    <w:pPr>
                                      <w:jc w:val="center"/>
                                    </w:pPr>
                                    <w:r>
                                      <w:t>Improved learning strategies transferred into authentic clinical situations</w:t>
                                    </w:r>
                                  </w:p>
                                  <w:p w14:paraId="5F765A2C" w14:textId="77777777" w:rsidR="00C8402C" w:rsidRDefault="00C8402C" w:rsidP="00815F44">
                                    <w:pPr>
                                      <w:jc w:val="center"/>
                                    </w:pPr>
                                  </w:p>
                                  <w:p w14:paraId="487F6663" w14:textId="77777777" w:rsidR="00C8402C" w:rsidRPr="003F2C70" w:rsidRDefault="00C8402C" w:rsidP="008E14EB">
                                    <w:pPr>
                                      <w:jc w:val="center"/>
                                      <w:rPr>
                                        <w:b/>
                                      </w:rPr>
                                    </w:pPr>
                                  </w:p>
                                  <w:p w14:paraId="6B4176CF" w14:textId="77777777" w:rsidR="00C8402C" w:rsidRDefault="00C8402C" w:rsidP="008E1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5865" name="Cross 25865"/>
                        <wps:cNvSpPr/>
                        <wps:spPr>
                          <a:xfrm>
                            <a:off x="3455581" y="2456121"/>
                            <a:ext cx="350520" cy="297180"/>
                          </a:xfrm>
                          <a:prstGeom prst="plus">
                            <a:avLst>
                              <a:gd name="adj" fmla="val 3931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BB5AAF" id="Group 25877" o:spid="_x0000_s1140" style="position:absolute;margin-left:-9.4pt;margin-top:15.3pt;width:427.7pt;height:446.9pt;z-index:251692032;mso-width-relative:margin" coordorigin="-166110,-353681" coordsize="5667555,5676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">
                <v:group id="Group 25875" o:spid="_x0000_s1141" style="position:absolute;left:-166110;top:-353681;width:5667555;height:5676476" coordorigin="-166110,-353681" coordsize="5667555,5676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5+iTk8gAAADe&#10;AAAADwAAAAAAAAAAAAAAAACpAgAAZHJzL2Rvd25yZXYueG1sUEsFBgAAAAAEAAQA+gAAAJ4DAAAA&#10;AA==&#10;">
                  <v:shape id="Right Arrow 25872" o:spid="_x0000_s1142" type="#_x0000_t13" style="position:absolute;left:2442442;top:728330;width:500380;height:3651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u/vyAAA&#10;AN4AAAAPAAAAZHJzL2Rvd25yZXYueG1sRI9Ba8JAFITvBf/D8gRvddOAVlM3IkJFCBWiPXh8ZJ9J&#10;bPZtyG5N9Nd3C4Ueh5n5hlmtB9OIG3WutqzgZRqBIC6srrlU8Hl6f16AcB5ZY2OZFNzJwTodPa0w&#10;0bbnnG5HX4oAYZeggsr7NpHSFRUZdFPbEgfvYjuDPsiulLrDPsBNI+MomkuDNYeFClvaVlR8Hb+N&#10;ggMXjzw7c3l4fOzOu2i/PGXXpVKT8bB5A+Fp8P/hv/ZeK4hni9cYfu+EKyDT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TK7+/IAAAA3gAAAA8AAAAAAAAAAAAAAAAAlwIAAGRy&#10;cy9kb3ducmV2LnhtbFBLBQYAAAAABAAEAPUAAACMAwAAAAA=&#10;" adj="13719" fillcolor="#5b9bd5 [3204]" strokecolor="#1f4d78 [1604]" strokeweight="1pt"/>
                  <v:group id="Group 25873" o:spid="_x0000_s1143" style="position:absolute;left:-166110;top:-353681;width:5667555;height:5676476" coordorigin="-166110,-353681" coordsize="5667555,5676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Ta58xwAAAN4A&#10;AAAPAAAAAAAAAAAAAAAAAKkCAABkcnMvZG93bnJldi54bWxQSwUGAAAAAAQABAD6AAAAnQMAAAAA&#10;">
                    <v:shape id="Flowchart: Process 25871" o:spid="_x0000_s1144" type="#_x0000_t109" style="position:absolute;top:1307804;width:5422265;height:2126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M8wxgAA&#10;AN4AAAAPAAAAZHJzL2Rvd25yZXYueG1sRI/RasJAFETfC/7DcoW+1U0sVomuIpaCLy10zQdcs9ck&#10;JHs3ZNck/n23UOjjMDNnmN1hsq0YqPe1YwXpIgFBXDhTc6kgv3y8bED4gGywdUwKHuThsJ897TAz&#10;buRvGnQoRYSwz1BBFUKXSemLiiz6heuIo3dzvcUQZV9K0+MY4baVyyR5kxZrjgsVdnSqqGj03Spo&#10;0s/VVX5d8tf0fdJlftXNKamVep5Pxy2IQFP4D/+1z0bBcrVZp/B7J14Bu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TM8wxgAAAN4AAAAPAAAAAAAAAAAAAAAAAJcCAABkcnMv&#10;ZG93bnJldi54bWxQSwUGAAAAAAQABAD1AAAAigMAAAAA&#10;" fillcolor="#5b9bd5 [3204]" strokecolor="#1f4d78 [1604]" strokeweight="1pt">
                      <v:textbox>
                        <w:txbxContent>
                          <w:p w14:paraId="2B0BAB71" w14:textId="1990937A" w:rsidR="00C8402C" w:rsidRPr="003F2C70" w:rsidRDefault="00C8402C" w:rsidP="008E14EB">
                            <w:pPr>
                              <w:jc w:val="center"/>
                              <w:rPr>
                                <w:b/>
                              </w:rPr>
                            </w:pPr>
                            <w:r>
                              <w:rPr>
                                <w:b/>
                              </w:rPr>
                              <w:t>Teaching and feedback giving</w:t>
                            </w:r>
                            <w:r w:rsidRPr="003F2C70">
                              <w:rPr>
                                <w:b/>
                              </w:rPr>
                              <w:t xml:space="preserve"> in simulated clinical skills sessions</w:t>
                            </w:r>
                          </w:p>
                        </w:txbxContent>
                      </v:textbox>
                    </v:shape>
                    <v:group id="Group 241" o:spid="_x0000_s1145" style="position:absolute;left:-166110;top:-353681;width:5667555;height:5676476" coordorigin="443351,-34710" coordsize="5667988,5676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Flowchart: Process 230" o:spid="_x0000_s1146" type="#_x0000_t109" style="position:absolute;left:978683;top:2146789;width:4515643;height:1541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SnWwQAA&#10;ANwAAAAPAAAAZHJzL2Rvd25yZXYueG1sRE9Ni8IwEL0L+x/CLHgRm1pBtGuUxUX0WhXU22wz25Zt&#10;JqVJtf57cxA8Pt73ct2bWtyodZVlBZMoBkGcW11xoeB03I7nIJxH1lhbJgUPcrBefQyWmGp754xu&#10;B1+IEMIuRQWl900qpctLMugi2xAH7s+2Bn2AbSF1i/cQbmqZxPFMGqw4NJTY0Kak/P/QGQW/3WaU&#10;a7nYTrrsklx9tovPPzulhp/99xcIT71/i1/uvVaQTMP8cCYc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Up1sEAAADcAAAADwAAAAAAAAAAAAAAAACXAgAAZHJzL2Rvd25y&#10;ZXYueG1sUEsFBgAAAAAEAAQA9QAAAIUDAAAAAA==&#10;" fillcolor="#5b9bd5 [3204]" strokecolor="#1f4d78 [1604]" strokeweight="1pt">
                        <v:textbox>
                          <w:txbxContent>
                            <w:p w14:paraId="5E750EDF" w14:textId="77777777" w:rsidR="00C8402C" w:rsidRDefault="00C8402C" w:rsidP="008E14EB">
                              <w:pPr>
                                <w:jc w:val="center"/>
                              </w:pPr>
                            </w:p>
                            <w:p w14:paraId="4BC85F32" w14:textId="77777777" w:rsidR="00C8402C" w:rsidRDefault="00C8402C" w:rsidP="008E14EB"/>
                          </w:txbxContent>
                        </v:textbox>
                      </v:shape>
                      <v:shape id="Flowchart: Process 229" o:spid="_x0000_s1147" type="#_x0000_t109" style="position:absolute;left:443351;top:-34710;width:5667988;height:9255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haWxQAA&#10;ANwAAAAPAAAAZHJzL2Rvd25yZXYueG1sRI9Pa8JAFMTvBb/D8gpeSt2YQ9HoKkUJ8RoVtLdn9jUJ&#10;zb4N2c2ffvtuodDjMDO/Ybb7yTRioM7VlhUsFxEI4sLqmksF10v6ugLhPLLGxjIp+CYH+93saYuJ&#10;tiPnNJx9KQKEXYIKKu/bREpXVGTQLWxLHLxP2xn0QXal1B2OAW4aGUfRmzRYc1iosKVDRcXXuTcK&#10;Hv3hpdBynS77/B5/+DyLbsdMqfnz9L4B4Wny/+G/9kkriOM1/J4JR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2FpbFAAAA3AAAAA8AAAAAAAAAAAAAAAAAlwIAAGRycy9k&#10;b3ducmV2LnhtbFBLBQYAAAAABAAEAPUAAACJAwAAAAA=&#10;" fillcolor="#5b9bd5 [3204]" strokecolor="#1f4d78 [1604]" strokeweight="1pt">
                        <v:textbox>
                          <w:txbxContent>
                            <w:p w14:paraId="47D0D1B2" w14:textId="77777777" w:rsidR="00C8402C" w:rsidRPr="003F2C70" w:rsidRDefault="00C8402C" w:rsidP="008E14EB">
                              <w:pPr>
                                <w:jc w:val="center"/>
                                <w:rPr>
                                  <w:b/>
                                </w:rPr>
                              </w:pPr>
                              <w:r w:rsidRPr="003F2C70">
                                <w:rPr>
                                  <w:b/>
                                </w:rPr>
                                <w:t>Tutor training</w:t>
                              </w:r>
                            </w:p>
                            <w:p w14:paraId="3380137B" w14:textId="5C6CE6A6" w:rsidR="00C8402C" w:rsidRDefault="00C8402C" w:rsidP="008E14EB">
                              <w:pPr>
                                <w:jc w:val="center"/>
                              </w:pPr>
                              <w:r>
                                <w:t xml:space="preserve">Best practice feedback principles for all tutors </w:t>
                              </w:r>
                            </w:p>
                            <w:p w14:paraId="31097D9F" w14:textId="24EAAB82" w:rsidR="00C8402C" w:rsidRDefault="00C8402C" w:rsidP="008E14EB">
                              <w:pPr>
                                <w:jc w:val="center"/>
                              </w:pPr>
                              <w:r>
                                <w:t>Additionally, randomly allocated tutors received SRL feedback training.</w:t>
                              </w:r>
                            </w:p>
                          </w:txbxContent>
                        </v:textbox>
                      </v:shape>
                      <v:shapetype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32" o:spid="_x0000_s1148" type="#_x0000_t78" style="position:absolute;left:1081377;top:2417197;width:1948070;height:1009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ikvxAAA&#10;ANwAAAAPAAAAZHJzL2Rvd25yZXYueG1sRI9Ba8JAFITvBf/D8gRvdWMCVqKrqFTwUqjRg8dH9pkE&#10;s29Ddqurv74rFHocZuYbZrEKphU36l1jWcFknIAgLq1uuFJwOu7eZyCcR9bYWiYFD3KwWg7eFphr&#10;e+cD3QpfiQhhl6OC2vsul9KVNRl0Y9sRR+9ie4M+yr6Susd7hJtWpkkylQYbjgs1drStqbwWP0bB&#10;1+b7/NzJsD7ISfbRtZssFJ+s1GgY1nMQnoL/D/+191pBmqXwOh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YpL8QAAADcAAAADwAAAAAAAAAAAAAAAACXAgAAZHJzL2Rv&#10;d25yZXYueG1sUEsFBgAAAAAEAAQA9QAAAIgDAAAAAA==&#10;" adj="15567,6080,18008" fillcolor="#5b9bd5 [3204]" strokecolor="#1f4d78 [1604]" strokeweight="1pt">
                        <v:textbox>
                          <w:txbxContent>
                            <w:p w14:paraId="29E75166" w14:textId="2A23F8A9" w:rsidR="00C8402C" w:rsidRDefault="00C8402C" w:rsidP="008E14EB">
                              <w:pPr>
                                <w:jc w:val="center"/>
                              </w:pPr>
                              <w:r>
                                <w:t>Social cognitive view of SRL - Zimmerman’s cyclical model</w:t>
                              </w:r>
                            </w:p>
                          </w:txbxContent>
                        </v:textbox>
                      </v:shape>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33" o:spid="_x0000_s1149" type="#_x0000_t84" style="position:absolute;left:3164619;top:2234317;width:2281555;height:659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yn/wgAA&#10;ANwAAAAPAAAAZHJzL2Rvd25yZXYueG1sRI9Ba8JAFITvhf6H5RV6q5uaKhJdQxCE9lgNeH1mX7Kh&#10;2bchu5r4792C4HGYmW+YTT7ZTlxp8K1jBZ+zBARx5XTLjYLyuP9YgfABWWPnmBTcyEO+fX3ZYKbd&#10;yL90PYRGRAj7DBWYEPpMSl8ZsuhnrieOXu0GiyHKoZF6wDHCbSfnSbKUFluOCwZ72hmq/g4XqwDP&#10;vjhjeWoW9lRhXf+YL3OZlHp/m4o1iEBTeIYf7W+tYJ6m8H8mHgG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vKf/CAAAA3AAAAA8AAAAAAAAAAAAAAAAAlwIAAGRycy9kb3du&#10;cmV2LnhtbFBLBQYAAAAABAAEAPUAAACGAwAAAAA=&#10;" fillcolor="#5b9bd5 [3204]" strokecolor="#1f4d78 [1604]" strokeweight="1pt">
                        <v:textbox>
                          <w:txbxContent>
                            <w:p w14:paraId="3DF614D4" w14:textId="62D25E37" w:rsidR="00C8402C" w:rsidRDefault="00C8402C" w:rsidP="008E14EB">
                              <w:pPr>
                                <w:jc w:val="center"/>
                              </w:pPr>
                              <w:r>
                                <w:t>SRL MA</w:t>
                              </w:r>
                            </w:p>
                          </w:txbxContent>
                        </v:textbox>
                      </v:shape>
                      <v:shape id="Bevel 234" o:spid="_x0000_s1150" type="#_x0000_t84" style="position:absolute;left:3164619;top:2949934;width:2282024;height:6838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rGLwgAA&#10;ANwAAAAPAAAAZHJzL2Rvd25yZXYueG1sRI/BasMwEETvgfyD2EBvidzUDcWNbEKh0B6bGnxdW2vL&#10;1FoZS4ndv68KgRyHmXnDHIvFDuJKk+8dK3jcJSCIG6d77hSU3+/bFxA+IGscHJOCX/JQ5OvVETPt&#10;Zv6i6zl0IkLYZ6jAhDBmUvrGkEW/cyNx9Fo3WQxRTp3UE84Rbge5T5KDtNhzXDA40puh5ud8sQqw&#10;9qcay6p7tlWDbftpUnNZlHrYLKdXEIGWcA/f2h9awf4phf8z8QjI/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GsYvCAAAA3AAAAA8AAAAAAAAAAAAAAAAAlwIAAGRycy9kb3du&#10;cmV2LnhtbFBLBQYAAAAABAAEAPUAAACGAwAAAAA=&#10;" fillcolor="#5b9bd5 [3204]" strokecolor="#1f4d78 [1604]" strokeweight="1pt">
                        <v:textbox>
                          <w:txbxContent>
                            <w:p w14:paraId="598E74B2" w14:textId="77777777" w:rsidR="00C8402C" w:rsidRDefault="00C8402C" w:rsidP="008E14EB">
                              <w:pPr>
                                <w:jc w:val="center"/>
                              </w:pPr>
                              <w:r>
                                <w:t xml:space="preserve">Feedback on SRL processes </w:t>
                              </w:r>
                            </w:p>
                          </w:txbxContent>
                        </v:textbox>
                      </v:shape>
                      <v:shape id="Right Arrow 235" o:spid="_x0000_s1151" type="#_x0000_t13" style="position:absolute;left:3097043;top:3894643;width:500932;height:3657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5FlxAAA&#10;ANwAAAAPAAAAZHJzL2Rvd25yZXYueG1sRI9BawIxFITvBf9DeEJvNatLq6xGEUGxhx6qFa+PzXM3&#10;unlZkrhu/31TKPQ4zMw3zGLV20Z05INxrGA8ykAQl04brhR8HbcvMxAhImtsHJOCbwqwWg6eFlho&#10;9+BP6g6xEgnCoUAFdYxtIWUoa7IYRq4lTt7FeYsxSV9J7fGR4LaRkyx7kxYNp4UaW9rUVN4Od6vA&#10;bE758X16pV3n5HRv2vzD01mp52G/noOI1Mf/8F97rxVM8lf4PZOO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ORZcQAAADcAAAADwAAAAAAAAAAAAAAAACXAgAAZHJzL2Rv&#10;d25yZXYueG1sUEsFBgAAAAAEAAQA9QAAAIgDAAAAAA==&#10;" adj="13714" fillcolor="#5b9bd5 [3204]" strokecolor="#1f4d78 [1604]" strokeweight="1pt"/>
                      <v:shape id="Flowchart: Process 238" o:spid="_x0000_s1152" type="#_x0000_t109" style="position:absolute;left:609408;top:4459729;width:5422679;height:1182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T9cxAAA&#10;ANwAAAAPAAAAZHJzL2Rvd25yZXYueG1sRE9Na8JAEL0X/A/LCN7qRoWiqatoq6KHttSK4G3Mjkkw&#10;Oxuzq4n/vnsQPD7e93jamELcqHK5ZQW9bgSCOLE651TB7m/5OgThPLLGwjIpuJOD6aT1MsZY25p/&#10;6bb1qQgh7GJUkHlfxlK6JCODrmtL4sCdbGXQB1ilUldYh3BTyH4UvUmDOYeGDEv6yCg5b69GAR5P&#10;l896PsJV7+vS7H+um8Xx+6BUp93M3kF4avxT/HCvtYL+IKwNZ8IRkJ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0/XMQAAADcAAAADwAAAAAAAAAAAAAAAACXAgAAZHJzL2Rv&#10;d25yZXYueG1sUEsFBgAAAAAEAAQA9QAAAIgDAAAAAA==&#10;" filled="f" strokecolor="#1f4d78 [1604]" strokeweight="2.25pt">
                        <v:stroke dashstyle="dash"/>
                        <v:textbox>
                          <w:txbxContent>
                            <w:p w14:paraId="40CBF34C" w14:textId="4545AAF7" w:rsidR="00C8402C" w:rsidRPr="00815F44" w:rsidRDefault="00C8402C" w:rsidP="008E14EB">
                              <w:pPr>
                                <w:jc w:val="center"/>
                                <w:rPr>
                                  <w:b/>
                                  <w:color w:val="000000" w:themeColor="text1"/>
                                </w:rPr>
                              </w:pPr>
                              <w:r w:rsidRPr="00815F44">
                                <w:rPr>
                                  <w:b/>
                                  <w:color w:val="000000" w:themeColor="text1"/>
                                </w:rPr>
                                <w:t>Potential impact to be explored</w:t>
                              </w:r>
                            </w:p>
                            <w:p w14:paraId="7F5417D7" w14:textId="77777777" w:rsidR="00C8402C" w:rsidRPr="002B0A82" w:rsidRDefault="00C8402C" w:rsidP="00026049">
                              <w:pPr>
                                <w:pStyle w:val="ListParagraph"/>
                                <w:numPr>
                                  <w:ilvl w:val="0"/>
                                  <w:numId w:val="4"/>
                                </w:numPr>
                                <w:jc w:val="center"/>
                                <w:rPr>
                                  <w:color w:val="000000" w:themeColor="text1"/>
                                </w:rPr>
                              </w:pPr>
                              <w:r w:rsidRPr="002B0A82">
                                <w:rPr>
                                  <w:color w:val="000000" w:themeColor="text1"/>
                                </w:rPr>
                                <w:t>Feedback perception and recognition</w:t>
                              </w:r>
                            </w:p>
                            <w:p w14:paraId="5823831F" w14:textId="77777777" w:rsidR="00C8402C" w:rsidRPr="002B0A82" w:rsidRDefault="00C8402C" w:rsidP="00026049">
                              <w:pPr>
                                <w:pStyle w:val="ListParagraph"/>
                                <w:numPr>
                                  <w:ilvl w:val="0"/>
                                  <w:numId w:val="4"/>
                                </w:numPr>
                                <w:jc w:val="center"/>
                                <w:rPr>
                                  <w:color w:val="000000" w:themeColor="text1"/>
                                </w:rPr>
                              </w:pPr>
                              <w:r w:rsidRPr="002B0A82">
                                <w:rPr>
                                  <w:color w:val="000000" w:themeColor="text1"/>
                                </w:rPr>
                                <w:t>Use of feedback for future learning</w:t>
                              </w:r>
                            </w:p>
                            <w:p w14:paraId="1DD31485" w14:textId="20361B1F" w:rsidR="00C8402C" w:rsidRPr="002B0A82" w:rsidRDefault="00C8402C" w:rsidP="00026049">
                              <w:pPr>
                                <w:pStyle w:val="ListParagraph"/>
                                <w:numPr>
                                  <w:ilvl w:val="0"/>
                                  <w:numId w:val="4"/>
                                </w:numPr>
                                <w:jc w:val="center"/>
                                <w:rPr>
                                  <w:color w:val="000000" w:themeColor="text1"/>
                                </w:rPr>
                              </w:pPr>
                              <w:r>
                                <w:rPr>
                                  <w:color w:val="000000" w:themeColor="text1"/>
                                </w:rPr>
                                <w:t>SRL Capacity and s</w:t>
                              </w:r>
                              <w:r w:rsidRPr="002B0A82">
                                <w:rPr>
                                  <w:color w:val="000000" w:themeColor="text1"/>
                                </w:rPr>
                                <w:t>elf-efficacy beliefs</w:t>
                              </w:r>
                            </w:p>
                            <w:p w14:paraId="5A87C73E" w14:textId="08A73E24" w:rsidR="00C8402C" w:rsidRPr="002B0A82" w:rsidRDefault="00C8402C" w:rsidP="00026049">
                              <w:pPr>
                                <w:pStyle w:val="ListParagraph"/>
                                <w:numPr>
                                  <w:ilvl w:val="0"/>
                                  <w:numId w:val="4"/>
                                </w:numPr>
                                <w:jc w:val="center"/>
                                <w:rPr>
                                  <w:color w:val="000000" w:themeColor="text1"/>
                                </w:rPr>
                              </w:pPr>
                              <w:r w:rsidRPr="002B0A82">
                                <w:rPr>
                                  <w:color w:val="000000" w:themeColor="text1"/>
                                </w:rPr>
                                <w:t>SRL behaviours relating to clinical skills</w:t>
                              </w:r>
                            </w:p>
                            <w:p w14:paraId="5A6E265F" w14:textId="77777777" w:rsidR="00C8402C" w:rsidRDefault="00C8402C" w:rsidP="00815F44">
                              <w:pPr>
                                <w:jc w:val="center"/>
                              </w:pPr>
                              <w:r>
                                <w:t>Improved learning strategies transferred into authentic clinical situations</w:t>
                              </w:r>
                            </w:p>
                            <w:p w14:paraId="5F765A2C" w14:textId="77777777" w:rsidR="00C8402C" w:rsidRDefault="00C8402C" w:rsidP="00815F44">
                              <w:pPr>
                                <w:jc w:val="center"/>
                              </w:pPr>
                            </w:p>
                            <w:p w14:paraId="487F6663" w14:textId="77777777" w:rsidR="00C8402C" w:rsidRPr="003F2C70" w:rsidRDefault="00C8402C" w:rsidP="008E14EB">
                              <w:pPr>
                                <w:jc w:val="center"/>
                                <w:rPr>
                                  <w:b/>
                                </w:rPr>
                              </w:pPr>
                            </w:p>
                            <w:p w14:paraId="6B4176CF" w14:textId="77777777" w:rsidR="00C8402C" w:rsidRDefault="00C8402C" w:rsidP="008E14EB">
                              <w:pPr>
                                <w:jc w:val="center"/>
                              </w:pPr>
                            </w:p>
                          </w:txbxContent>
                        </v:textbox>
                      </v:shape>
                    </v:group>
                  </v:group>
                </v:group>
                <v:shapetype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5865" o:spid="_x0000_s1153" type="#_x0000_t11" style="position:absolute;left:3455581;top:2456121;width:350520;height:297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CJbxwAA&#10;AN4AAAAPAAAAZHJzL2Rvd25yZXYueG1sRI9Ba8JAFITvQv/D8gredFMhwaZuQmkTEBTE2B56e2Rf&#10;k9Ds25BdNf33XUHocZiZb5hNPpleXGh0nWUFT8sIBHFtdceNgo9TuViDcB5ZY2+ZFPySgzx7mG0w&#10;1fbKR7pUvhEBwi5FBa33Qyqlq1sy6JZ2IA7etx0N+iDHRuoRrwFuermKokQa7DgstDjQW0v1T3U2&#10;Cp6//Pm465Jd8Yl7Kt9PfCgKVmr+OL2+gPA0+f/wvb3VClbxOonhdidcAZn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AiW8cAAADeAAAADwAAAAAAAAAAAAAAAACXAgAAZHJz&#10;L2Rvd25yZXYueG1sUEsFBgAAAAAEAAQA9QAAAIsDAAAAAA==&#10;" adj="8491" fillcolor="#ed7d31 [3205]" strokecolor="#823b0b [1605]" strokeweight="1pt"/>
              </v:group>
            </w:pict>
          </mc:Fallback>
        </mc:AlternateContent>
      </w:r>
    </w:p>
    <w:p w14:paraId="5FE7AB33" w14:textId="66F19731" w:rsidR="008E14EB" w:rsidRPr="00BD42AF" w:rsidRDefault="008E14EB" w:rsidP="008E14EB"/>
    <w:p w14:paraId="559FB558" w14:textId="32542EE5" w:rsidR="008E14EB" w:rsidRPr="00BD42AF" w:rsidRDefault="008E14EB" w:rsidP="008E14EB"/>
    <w:p w14:paraId="6AFCC76F" w14:textId="28A25087" w:rsidR="008E14EB" w:rsidRPr="00BD42AF" w:rsidRDefault="008E14EB" w:rsidP="008E14EB"/>
    <w:p w14:paraId="7E7BDEB0" w14:textId="77777777" w:rsidR="008E14EB" w:rsidRPr="00BD42AF" w:rsidRDefault="008E14EB" w:rsidP="008E14EB"/>
    <w:p w14:paraId="711AFF65" w14:textId="77777777" w:rsidR="008E14EB" w:rsidRPr="00BD42AF" w:rsidRDefault="008E14EB" w:rsidP="008E14EB"/>
    <w:p w14:paraId="33C4B077" w14:textId="77777777" w:rsidR="008E14EB" w:rsidRPr="00BD42AF" w:rsidRDefault="008E14EB" w:rsidP="008E14EB"/>
    <w:p w14:paraId="1BB298EE" w14:textId="77777777" w:rsidR="008E14EB" w:rsidRPr="00BD42AF" w:rsidRDefault="008E14EB" w:rsidP="008E14EB"/>
    <w:p w14:paraId="2DA191D1" w14:textId="77777777" w:rsidR="008E14EB" w:rsidRPr="00BD42AF" w:rsidRDefault="008E14EB" w:rsidP="008E14EB"/>
    <w:p w14:paraId="2A63D0F9" w14:textId="77777777" w:rsidR="008E14EB" w:rsidRPr="00BD42AF" w:rsidRDefault="008E14EB" w:rsidP="008E14EB"/>
    <w:p w14:paraId="5254B653" w14:textId="77777777" w:rsidR="008E14EB" w:rsidRPr="00BD42AF" w:rsidRDefault="008E14EB" w:rsidP="008E14EB"/>
    <w:p w14:paraId="16E36E23" w14:textId="054B2EC4" w:rsidR="008E14EB" w:rsidRPr="00B56453" w:rsidRDefault="00357D07" w:rsidP="008E14EB">
      <w:r w:rsidRPr="00B56453">
        <w:rPr>
          <w:noProof/>
          <w:lang w:eastAsia="en-GB"/>
        </w:rPr>
        <mc:AlternateContent>
          <mc:Choice Requires="wps">
            <w:drawing>
              <wp:anchor distT="0" distB="0" distL="114300" distR="114300" simplePos="0" relativeHeight="251885568" behindDoc="0" locked="0" layoutInCell="1" allowOverlap="1" wp14:anchorId="6B633E86" wp14:editId="5DE5E12C">
                <wp:simplePos x="0" y="0"/>
                <wp:positionH relativeFrom="column">
                  <wp:posOffset>87630</wp:posOffset>
                </wp:positionH>
                <wp:positionV relativeFrom="paragraph">
                  <wp:posOffset>2914815</wp:posOffset>
                </wp:positionV>
                <wp:extent cx="5667375" cy="26289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5667375" cy="262890"/>
                        </a:xfrm>
                        <a:prstGeom prst="rect">
                          <a:avLst/>
                        </a:prstGeom>
                        <a:solidFill>
                          <a:prstClr val="white"/>
                        </a:solidFill>
                        <a:ln>
                          <a:noFill/>
                        </a:ln>
                        <a:effectLst/>
                      </wps:spPr>
                      <wps:txbx>
                        <w:txbxContent>
                          <w:p w14:paraId="499F71A7" w14:textId="1E07B97C" w:rsidR="00C8402C" w:rsidRPr="00B059E7" w:rsidRDefault="00C8402C" w:rsidP="000B7C1A">
                            <w:pPr>
                              <w:pStyle w:val="Normal1"/>
                            </w:pPr>
                            <w:r>
                              <w:t>Figure B1.</w:t>
                            </w:r>
                            <w:r>
                              <w:fldChar w:fldCharType="begin"/>
                            </w:r>
                            <w:r>
                              <w:instrText xml:space="preserve"> SEQ Figure_B1. \* ARABIC </w:instrText>
                            </w:r>
                            <w:r>
                              <w:fldChar w:fldCharType="separate"/>
                            </w:r>
                            <w:r>
                              <w:rPr>
                                <w:noProof/>
                              </w:rPr>
                              <w:t>2</w:t>
                            </w:r>
                            <w:r>
                              <w:fldChar w:fldCharType="end"/>
                            </w:r>
                            <w:r>
                              <w:t xml:space="preserve"> The SRL MA intervention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633E86" id="Text Box 451" o:spid="_x0000_s1154" type="#_x0000_t202" style="position:absolute;margin-left:6.9pt;margin-top:229.5pt;width:446.25pt;height:20.7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" stroked="f">
                <v:textbox style="mso-fit-shape-to-text:t" inset="0,0,0,0">
                  <w:txbxContent>
                    <w:p w14:paraId="499F71A7" w14:textId="1E07B97C" w:rsidR="00C8402C" w:rsidRPr="00B059E7" w:rsidRDefault="00C8402C" w:rsidP="000B7C1A">
                      <w:pPr>
                        <w:pStyle w:val="Normal1"/>
                      </w:pPr>
                      <w:r>
                        <w:t>Figure B1.</w:t>
                      </w:r>
                      <w:r>
                        <w:fldChar w:fldCharType="begin"/>
                      </w:r>
                      <w:r>
                        <w:instrText xml:space="preserve"> SEQ Figure_B1. \* ARABIC </w:instrText>
                      </w:r>
                      <w:r>
                        <w:fldChar w:fldCharType="separate"/>
                      </w:r>
                      <w:r>
                        <w:rPr>
                          <w:noProof/>
                        </w:rPr>
                        <w:t>2</w:t>
                      </w:r>
                      <w:r>
                        <w:fldChar w:fldCharType="end"/>
                      </w:r>
                      <w:r>
                        <w:t xml:space="preserve"> The SRL MA </w:t>
                      </w:r>
                      <w:proofErr w:type="spellStart"/>
                      <w:r>
                        <w:t>intervention</w:t>
                      </w:r>
                      <w:proofErr w:type="spellEnd"/>
                      <w:r>
                        <w:t xml:space="preserve"> model.</w:t>
                      </w:r>
                    </w:p>
                  </w:txbxContent>
                </v:textbox>
              </v:shape>
            </w:pict>
          </mc:Fallback>
        </mc:AlternateContent>
      </w:r>
      <w:r w:rsidR="008E14EB" w:rsidRPr="00B56453">
        <w:br w:type="page"/>
      </w:r>
    </w:p>
    <w:p w14:paraId="2E050258" w14:textId="39565D3B" w:rsidR="008E14EB" w:rsidRPr="00B56453" w:rsidRDefault="00DD0B00" w:rsidP="00026049">
      <w:pPr>
        <w:pStyle w:val="Tablelist"/>
        <w:rPr>
          <w:lang w:val="en-GB"/>
        </w:rPr>
      </w:pPr>
      <w:bookmarkStart w:id="251" w:name="_Toc487454823"/>
      <w:bookmarkStart w:id="252" w:name="_Toc487456791"/>
      <w:bookmarkStart w:id="253" w:name="_Toc500319510"/>
      <w:r w:rsidRPr="00B56453">
        <w:rPr>
          <w:lang w:val="en-GB"/>
        </w:rPr>
        <w:lastRenderedPageBreak/>
        <w:t>Table B1.</w:t>
      </w:r>
      <w:r w:rsidRPr="007638B6">
        <w:rPr>
          <w:lang w:val="en-GB"/>
        </w:rPr>
        <w:fldChar w:fldCharType="begin"/>
      </w:r>
      <w:r w:rsidRPr="00B56453">
        <w:rPr>
          <w:lang w:val="en-GB"/>
        </w:rPr>
        <w:instrText xml:space="preserve"> SEQ Table_B1. \* ARABIC </w:instrText>
      </w:r>
      <w:r w:rsidRPr="00B27F0B">
        <w:rPr>
          <w:lang w:val="en-GB"/>
        </w:rPr>
        <w:fldChar w:fldCharType="separate"/>
      </w:r>
      <w:r w:rsidR="00E44881" w:rsidRPr="00B56453">
        <w:rPr>
          <w:noProof/>
          <w:lang w:val="en-GB"/>
        </w:rPr>
        <w:t>1</w:t>
      </w:r>
      <w:r w:rsidRPr="007638B6">
        <w:rPr>
          <w:lang w:val="en-GB"/>
        </w:rPr>
        <w:fldChar w:fldCharType="end"/>
      </w:r>
      <w:r w:rsidRPr="00B56453">
        <w:rPr>
          <w:lang w:val="en-GB"/>
        </w:rPr>
        <w:t xml:space="preserve"> </w:t>
      </w:r>
      <w:r w:rsidR="008E14EB" w:rsidRPr="00B56453">
        <w:rPr>
          <w:lang w:val="en-GB"/>
        </w:rPr>
        <w:t>The process of intervention mapping</w:t>
      </w:r>
      <w:r w:rsidR="00885CB3" w:rsidRPr="00B56453">
        <w:rPr>
          <w:lang w:val="en-GB"/>
        </w:rPr>
        <w:t xml:space="preserve"> with stages and descriptors</w:t>
      </w:r>
      <w:r w:rsidR="008E14EB" w:rsidRPr="00B56453">
        <w:rPr>
          <w:lang w:val="en-GB"/>
        </w:rPr>
        <w:t xml:space="preserve">, </w:t>
      </w:r>
      <w:r w:rsidR="006573E2" w:rsidRPr="00B56453">
        <w:rPr>
          <w:lang w:val="en-GB"/>
        </w:rPr>
        <w:t>information</w:t>
      </w:r>
      <w:r w:rsidR="008E14EB" w:rsidRPr="00B56453">
        <w:rPr>
          <w:lang w:val="en-GB"/>
        </w:rPr>
        <w:t xml:space="preserve"> from </w:t>
      </w:r>
      <w:hyperlink w:anchor="_ENREF_114" w:tooltip="Denford, 2015 #618" w:history="1">
        <w:r w:rsidR="0094469E" w:rsidRPr="00B27F0B">
          <w:rPr>
            <w:lang w:val="en-GB"/>
          </w:rPr>
          <w:fldChar w:fldCharType="begin"/>
        </w:r>
        <w:r w:rsidR="0094469E" w:rsidRPr="00B56453">
          <w:rPr>
            <w:lang w:val="en-GB"/>
          </w:rPr>
          <w:instrText xml:space="preserve"> ADDIN EN.CITE &lt;EndNote&gt;&lt;Cite AuthorYear="1"&gt;&lt;Author&gt;Denford&lt;/Author&gt;&lt;Year&gt;2015&lt;/Year&gt;&lt;RecNum&gt;618&lt;/RecNum&gt;&lt;DisplayText&gt;Denford et al. (2015)&lt;/DisplayText&gt;&lt;record&gt;&lt;rec-number&gt;618&lt;/rec-number&gt;&lt;foreign-keys&gt;&lt;key app="EN" db-id="xa2r2ewea92trkef5dt5arvbzafvpv2za5ft" timestamp="1496417560"&gt;618&lt;/key&gt;&lt;/foreign-keys&gt;&lt;ref-type name="Journal Article"&gt;17&lt;/ref-type&gt;&lt;contributors&gt;&lt;authors&gt;&lt;author&gt;Denford, Sarah&lt;/author&gt;&lt;author&gt;Abraham, Charles&lt;/author&gt;&lt;author&gt;Smith, Jane&lt;/author&gt;&lt;author&gt;Lloyd, Jenny J&lt;/author&gt;&lt;author&gt;White, Mathew&lt;/author&gt;&lt;author&gt;Tarrant, Mark&lt;/author&gt;&lt;author&gt;Wyatt, Katrina&lt;/author&gt;&lt;author&gt;Greaves, Colin&lt;/author&gt;&lt;author&gt;Dean, Sarah&lt;/author&gt;&lt;author&gt;Reynolds, KJ&lt;/author&gt;&lt;/authors&gt;&lt;/contributors&gt;&lt;titles&gt;&lt;title&gt;Designing and evaluating behavior change interventions to promote health&lt;/title&gt;&lt;secondary-title&gt;The psychology of change: Life contexts, experiences, and identities&lt;/secondary-title&gt;&lt;/titles&gt;&lt;periodical&gt;&lt;full-title&gt;The psychology of change: Life contexts, experiences, and identities&lt;/full-title&gt;&lt;/periodical&gt;&lt;pages&gt;151-169&lt;/pages&gt;&lt;dates&gt;&lt;year&gt;2015&lt;/year&gt;&lt;/dates&gt;&lt;urls&gt;&lt;/urls&gt;&lt;/record&gt;&lt;/Cite&gt;&lt;/EndNote&gt;</w:instrText>
        </w:r>
        <w:r w:rsidR="0094469E" w:rsidRPr="00B27F0B">
          <w:rPr>
            <w:lang w:val="en-GB"/>
          </w:rPr>
          <w:fldChar w:fldCharType="separate"/>
        </w:r>
        <w:r w:rsidR="0094469E" w:rsidRPr="00B56453">
          <w:rPr>
            <w:noProof/>
            <w:lang w:val="en-GB"/>
          </w:rPr>
          <w:t>Denford et al. (2015)</w:t>
        </w:r>
        <w:r w:rsidR="0094469E" w:rsidRPr="00B27F0B">
          <w:rPr>
            <w:lang w:val="en-GB"/>
          </w:rPr>
          <w:fldChar w:fldCharType="end"/>
        </w:r>
      </w:hyperlink>
      <w:r w:rsidR="00B25339" w:rsidRPr="00B56453">
        <w:rPr>
          <w:lang w:val="en-GB"/>
        </w:rPr>
        <w:t>.</w:t>
      </w:r>
      <w:bookmarkEnd w:id="251"/>
      <w:bookmarkEnd w:id="252"/>
      <w:bookmarkEnd w:id="253"/>
    </w:p>
    <w:tbl>
      <w:tblPr>
        <w:tblStyle w:val="TableGrid"/>
        <w:tblpPr w:leftFromText="180" w:rightFromText="180" w:vertAnchor="text" w:horzAnchor="margin" w:tblpY="197"/>
        <w:tblW w:w="0" w:type="auto"/>
        <w:tblLook w:val="04A0" w:firstRow="1" w:lastRow="0" w:firstColumn="1" w:lastColumn="0" w:noHBand="0" w:noVBand="1"/>
      </w:tblPr>
      <w:tblGrid>
        <w:gridCol w:w="3114"/>
        <w:gridCol w:w="5245"/>
      </w:tblGrid>
      <w:tr w:rsidR="008E14EB" w:rsidRPr="00B56453" w14:paraId="3D186353" w14:textId="77777777" w:rsidTr="005D74E5">
        <w:tc>
          <w:tcPr>
            <w:tcW w:w="3114" w:type="dxa"/>
          </w:tcPr>
          <w:p w14:paraId="1137A457" w14:textId="77777777" w:rsidR="008E14EB" w:rsidRPr="00B56453" w:rsidRDefault="008E14EB" w:rsidP="000B7C1A">
            <w:pPr>
              <w:spacing w:line="360" w:lineRule="auto"/>
              <w:jc w:val="center"/>
              <w:rPr>
                <w:b/>
                <w:color w:val="000000" w:themeColor="text1"/>
              </w:rPr>
            </w:pPr>
            <w:r w:rsidRPr="00B56453">
              <w:rPr>
                <w:b/>
                <w:color w:val="000000" w:themeColor="text1"/>
              </w:rPr>
              <w:t>Stage</w:t>
            </w:r>
          </w:p>
        </w:tc>
        <w:tc>
          <w:tcPr>
            <w:tcW w:w="5245" w:type="dxa"/>
          </w:tcPr>
          <w:p w14:paraId="1EA86431" w14:textId="77777777" w:rsidR="008E14EB" w:rsidRPr="00B56453" w:rsidRDefault="008E14EB" w:rsidP="000B7C1A">
            <w:pPr>
              <w:spacing w:line="360" w:lineRule="auto"/>
              <w:jc w:val="center"/>
              <w:rPr>
                <w:b/>
                <w:color w:val="000000" w:themeColor="text1"/>
              </w:rPr>
            </w:pPr>
            <w:r w:rsidRPr="00B56453">
              <w:rPr>
                <w:b/>
                <w:color w:val="000000" w:themeColor="text1"/>
              </w:rPr>
              <w:t>Description</w:t>
            </w:r>
          </w:p>
        </w:tc>
      </w:tr>
      <w:tr w:rsidR="008E14EB" w:rsidRPr="00B56453" w14:paraId="1FB47B03" w14:textId="77777777" w:rsidTr="005D74E5">
        <w:tc>
          <w:tcPr>
            <w:tcW w:w="3114" w:type="dxa"/>
            <w:vAlign w:val="center"/>
          </w:tcPr>
          <w:p w14:paraId="6BA7317B" w14:textId="77777777" w:rsidR="008E14EB" w:rsidRPr="00B56453" w:rsidRDefault="008E14EB" w:rsidP="000B7C1A">
            <w:pPr>
              <w:spacing w:line="360" w:lineRule="auto"/>
              <w:jc w:val="center"/>
              <w:rPr>
                <w:color w:val="000000" w:themeColor="text1"/>
              </w:rPr>
            </w:pPr>
            <w:r w:rsidRPr="00B56453">
              <w:rPr>
                <w:color w:val="000000" w:themeColor="text1"/>
              </w:rPr>
              <w:t>Needs assessment</w:t>
            </w:r>
          </w:p>
        </w:tc>
        <w:tc>
          <w:tcPr>
            <w:tcW w:w="5245" w:type="dxa"/>
          </w:tcPr>
          <w:p w14:paraId="08221CB8" w14:textId="77777777" w:rsidR="008E14EB" w:rsidRPr="00B56453" w:rsidRDefault="008E14EB" w:rsidP="000B7C1A">
            <w:pPr>
              <w:spacing w:line="360" w:lineRule="auto"/>
              <w:rPr>
                <w:color w:val="000000" w:themeColor="text1"/>
              </w:rPr>
            </w:pPr>
            <w:r w:rsidRPr="00B56453">
              <w:rPr>
                <w:color w:val="000000" w:themeColor="text1"/>
              </w:rPr>
              <w:t>Identification of the problem to be solved</w:t>
            </w:r>
          </w:p>
        </w:tc>
      </w:tr>
      <w:tr w:rsidR="008E14EB" w:rsidRPr="00B56453" w14:paraId="7E2DDEB8" w14:textId="77777777" w:rsidTr="005D74E5">
        <w:tc>
          <w:tcPr>
            <w:tcW w:w="3114" w:type="dxa"/>
            <w:vAlign w:val="center"/>
          </w:tcPr>
          <w:p w14:paraId="69DFF675" w14:textId="77777777" w:rsidR="008E14EB" w:rsidRPr="00B56453" w:rsidRDefault="008E14EB" w:rsidP="000B7C1A">
            <w:pPr>
              <w:spacing w:line="360" w:lineRule="auto"/>
              <w:jc w:val="center"/>
              <w:rPr>
                <w:color w:val="000000" w:themeColor="text1"/>
              </w:rPr>
            </w:pPr>
            <w:r w:rsidRPr="00B56453">
              <w:rPr>
                <w:color w:val="000000" w:themeColor="text1"/>
              </w:rPr>
              <w:t>Objective rating</w:t>
            </w:r>
          </w:p>
        </w:tc>
        <w:tc>
          <w:tcPr>
            <w:tcW w:w="5245" w:type="dxa"/>
          </w:tcPr>
          <w:p w14:paraId="4FFED493" w14:textId="77777777" w:rsidR="008E14EB" w:rsidRPr="00B56453" w:rsidRDefault="008E14EB" w:rsidP="000B7C1A">
            <w:pPr>
              <w:spacing w:line="360" w:lineRule="auto"/>
              <w:rPr>
                <w:color w:val="000000" w:themeColor="text1"/>
              </w:rPr>
            </w:pPr>
            <w:r w:rsidRPr="00B56453">
              <w:rPr>
                <w:color w:val="000000" w:themeColor="text1"/>
              </w:rPr>
              <w:t>Develop the main outcomes to be used as criteria on which the success of the intervention will be judged.</w:t>
            </w:r>
          </w:p>
        </w:tc>
      </w:tr>
      <w:tr w:rsidR="008E14EB" w:rsidRPr="00B56453" w14:paraId="6358C40A" w14:textId="77777777" w:rsidTr="005D74E5">
        <w:tc>
          <w:tcPr>
            <w:tcW w:w="3114" w:type="dxa"/>
            <w:vAlign w:val="center"/>
          </w:tcPr>
          <w:p w14:paraId="40C63872" w14:textId="77777777" w:rsidR="008E14EB" w:rsidRPr="00B56453" w:rsidRDefault="008E14EB" w:rsidP="000B7C1A">
            <w:pPr>
              <w:spacing w:line="360" w:lineRule="auto"/>
              <w:jc w:val="center"/>
              <w:rPr>
                <w:color w:val="000000" w:themeColor="text1"/>
              </w:rPr>
            </w:pPr>
            <w:r w:rsidRPr="00B56453">
              <w:rPr>
                <w:color w:val="000000" w:themeColor="text1"/>
              </w:rPr>
              <w:t>Identification of change mechanisms and techniques</w:t>
            </w:r>
          </w:p>
        </w:tc>
        <w:tc>
          <w:tcPr>
            <w:tcW w:w="5245" w:type="dxa"/>
          </w:tcPr>
          <w:p w14:paraId="0F705425" w14:textId="77777777" w:rsidR="008E14EB" w:rsidRPr="00B56453" w:rsidRDefault="008E14EB" w:rsidP="000B7C1A">
            <w:pPr>
              <w:spacing w:line="360" w:lineRule="auto"/>
              <w:rPr>
                <w:color w:val="000000" w:themeColor="text1"/>
              </w:rPr>
            </w:pPr>
            <w:r w:rsidRPr="00B56453">
              <w:rPr>
                <w:color w:val="000000" w:themeColor="text1"/>
              </w:rPr>
              <w:t>Identify the mechanisms or processes which contribute to the current problem and will be targeted for change</w:t>
            </w:r>
          </w:p>
        </w:tc>
      </w:tr>
      <w:tr w:rsidR="008E14EB" w:rsidRPr="00B56453" w14:paraId="7C5A553A" w14:textId="77777777" w:rsidTr="005D74E5">
        <w:tc>
          <w:tcPr>
            <w:tcW w:w="3114" w:type="dxa"/>
            <w:vAlign w:val="center"/>
          </w:tcPr>
          <w:p w14:paraId="5F65A11A" w14:textId="77777777" w:rsidR="008E14EB" w:rsidRPr="00B56453" w:rsidRDefault="008E14EB" w:rsidP="000B7C1A">
            <w:pPr>
              <w:spacing w:line="360" w:lineRule="auto"/>
              <w:jc w:val="center"/>
              <w:rPr>
                <w:color w:val="000000" w:themeColor="text1"/>
              </w:rPr>
            </w:pPr>
            <w:r w:rsidRPr="00B56453">
              <w:rPr>
                <w:color w:val="000000" w:themeColor="text1"/>
              </w:rPr>
              <w:t>Delivery methods</w:t>
            </w:r>
          </w:p>
        </w:tc>
        <w:tc>
          <w:tcPr>
            <w:tcW w:w="5245" w:type="dxa"/>
          </w:tcPr>
          <w:p w14:paraId="58E24ABF" w14:textId="77777777" w:rsidR="008E14EB" w:rsidRPr="00B56453" w:rsidRDefault="008E14EB" w:rsidP="000B7C1A">
            <w:pPr>
              <w:spacing w:line="360" w:lineRule="auto"/>
              <w:rPr>
                <w:color w:val="000000" w:themeColor="text1"/>
              </w:rPr>
            </w:pPr>
            <w:r w:rsidRPr="00B56453">
              <w:rPr>
                <w:color w:val="000000" w:themeColor="text1"/>
              </w:rPr>
              <w:t xml:space="preserve">Decide how best to deliver the intervention, using existing or new channels. </w:t>
            </w:r>
          </w:p>
        </w:tc>
      </w:tr>
      <w:tr w:rsidR="008E14EB" w:rsidRPr="00B56453" w14:paraId="3C310341" w14:textId="77777777" w:rsidTr="005D74E5">
        <w:tc>
          <w:tcPr>
            <w:tcW w:w="3114" w:type="dxa"/>
            <w:vAlign w:val="center"/>
          </w:tcPr>
          <w:p w14:paraId="30849C17" w14:textId="77777777" w:rsidR="008E14EB" w:rsidRPr="00B56453" w:rsidRDefault="008E14EB" w:rsidP="000B7C1A">
            <w:pPr>
              <w:spacing w:line="360" w:lineRule="auto"/>
              <w:jc w:val="center"/>
              <w:rPr>
                <w:color w:val="000000" w:themeColor="text1"/>
              </w:rPr>
            </w:pPr>
            <w:r w:rsidRPr="00B56453">
              <w:rPr>
                <w:color w:val="000000" w:themeColor="text1"/>
              </w:rPr>
              <w:t>Implementation</w:t>
            </w:r>
          </w:p>
        </w:tc>
        <w:tc>
          <w:tcPr>
            <w:tcW w:w="5245" w:type="dxa"/>
          </w:tcPr>
          <w:p w14:paraId="6A64E84F" w14:textId="77777777" w:rsidR="008E14EB" w:rsidRPr="00B56453" w:rsidRDefault="008E14EB" w:rsidP="000B7C1A">
            <w:pPr>
              <w:spacing w:line="360" w:lineRule="auto"/>
              <w:rPr>
                <w:color w:val="000000" w:themeColor="text1"/>
              </w:rPr>
            </w:pPr>
            <w:r w:rsidRPr="00B56453">
              <w:rPr>
                <w:color w:val="000000" w:themeColor="text1"/>
              </w:rPr>
              <w:t>Decide how the intervention be delivered. Decide who will deliver it, if they need training and assess whether it can be maintained over time.</w:t>
            </w:r>
          </w:p>
        </w:tc>
      </w:tr>
      <w:tr w:rsidR="008E14EB" w:rsidRPr="00B56453" w14:paraId="6EACB34A" w14:textId="77777777" w:rsidTr="005D74E5">
        <w:tc>
          <w:tcPr>
            <w:tcW w:w="3114" w:type="dxa"/>
            <w:vAlign w:val="center"/>
          </w:tcPr>
          <w:p w14:paraId="3F56A550" w14:textId="77777777" w:rsidR="008E14EB" w:rsidRPr="00B56453" w:rsidRDefault="008E14EB" w:rsidP="000B7C1A">
            <w:pPr>
              <w:spacing w:line="360" w:lineRule="auto"/>
              <w:jc w:val="center"/>
              <w:rPr>
                <w:color w:val="000000" w:themeColor="text1"/>
              </w:rPr>
            </w:pPr>
            <w:r w:rsidRPr="00B56453">
              <w:rPr>
                <w:color w:val="000000" w:themeColor="text1"/>
              </w:rPr>
              <w:t>Evaluation</w:t>
            </w:r>
          </w:p>
        </w:tc>
        <w:tc>
          <w:tcPr>
            <w:tcW w:w="5245" w:type="dxa"/>
          </w:tcPr>
          <w:p w14:paraId="7A10B996" w14:textId="77777777" w:rsidR="008E14EB" w:rsidRPr="00B56453" w:rsidRDefault="008E14EB" w:rsidP="000B7C1A">
            <w:pPr>
              <w:spacing w:line="360" w:lineRule="auto"/>
              <w:rPr>
                <w:color w:val="000000" w:themeColor="text1"/>
              </w:rPr>
            </w:pPr>
            <w:r w:rsidRPr="00B56453">
              <w:rPr>
                <w:color w:val="000000" w:themeColor="text1"/>
              </w:rPr>
              <w:t>Decide the questions which the intervention should answer before design begins. Assess whether the intervention changed the desired outcomes and the identified mechanisms targeted for change.</w:t>
            </w:r>
          </w:p>
        </w:tc>
      </w:tr>
    </w:tbl>
    <w:p w14:paraId="72670B33" w14:textId="77777777" w:rsidR="008E14EB" w:rsidRPr="00B56453" w:rsidRDefault="008E14EB" w:rsidP="00026049">
      <w:pPr>
        <w:pStyle w:val="Normal1"/>
        <w:rPr>
          <w:lang w:val="en-GB"/>
        </w:rPr>
      </w:pPr>
    </w:p>
    <w:p w14:paraId="7625A453" w14:textId="01C24351" w:rsidR="008E14EB" w:rsidRPr="00B56453" w:rsidRDefault="002A1C63" w:rsidP="00026049">
      <w:pPr>
        <w:pStyle w:val="Normal1"/>
        <w:rPr>
          <w:lang w:val="en-GB"/>
        </w:rPr>
      </w:pPr>
      <w:hyperlink w:anchor="_ENREF_111" w:tooltip="de Bruin, 2010 #619" w:history="1">
        <w:r w:rsidR="0094469E" w:rsidRPr="00B27F0B">
          <w:rPr>
            <w:lang w:val="en-GB"/>
          </w:rPr>
          <w:fldChar w:fldCharType="begin"/>
        </w:r>
        <w:r w:rsidR="0094469E" w:rsidRPr="00B56453">
          <w:rPr>
            <w:lang w:val="en-GB"/>
          </w:rPr>
          <w:instrText xml:space="preserve"> ADDIN EN.CITE &lt;EndNote&gt;&lt;Cite AuthorYear="1"&gt;&lt;Author&gt;de Bruin&lt;/Author&gt;&lt;Year&gt;2010&lt;/Year&gt;&lt;RecNum&gt;619&lt;/RecNum&gt;&lt;DisplayText&gt;de Bruin et al. (2010)&lt;/DisplayText&gt;&lt;record&gt;&lt;rec-number&gt;619&lt;/rec-number&gt;&lt;foreign-keys&gt;&lt;key app="EN" db-id="xa2r2ewea92trkef5dt5arvbzafvpv2za5ft" timestamp="1496417560"&gt;619&lt;/key&gt;&lt;/foreign-keys&gt;&lt;ref-type name="Journal Article"&gt;17&lt;/ref-type&gt;&lt;contributors&gt;&lt;authors&gt;&lt;author&gt;de Bruin, Marijn&lt;/author&gt;&lt;author&gt;Viechtbauer, Wolfgang&lt;/author&gt;&lt;author&gt;Schaalma, Herman P&lt;/author&gt;&lt;author&gt;Kok, Gerjo&lt;/author&gt;&lt;author&gt;Abraham, Charles&lt;/author&gt;&lt;author&gt;Hospers, Harm J&lt;/author&gt;&lt;/authors&gt;&lt;/contributors&gt;&lt;titles&gt;&lt;title&gt;Standard care impact on effects of highly active antiretroviral therapy adherence interventions: A meta-analysis of randomized controlled trials&lt;/title&gt;&lt;secondary-title&gt;Archives of Internal Medicine&lt;/secondary-title&gt;&lt;/titles&gt;&lt;periodical&gt;&lt;full-title&gt;Archives of Internal Medicine&lt;/full-title&gt;&lt;/periodical&gt;&lt;pages&gt;240-250&lt;/pages&gt;&lt;volume&gt;170&lt;/volume&gt;&lt;number&gt;3&lt;/number&gt;&lt;dates&gt;&lt;year&gt;2010&lt;/year&gt;&lt;/dates&gt;&lt;isbn&gt;0003-9926&lt;/isbn&gt;&lt;urls&gt;&lt;/urls&gt;&lt;/record&gt;&lt;/Cite&gt;&lt;/EndNote&gt;</w:instrText>
        </w:r>
        <w:r w:rsidR="0094469E" w:rsidRPr="00B27F0B">
          <w:rPr>
            <w:lang w:val="en-GB"/>
          </w:rPr>
          <w:fldChar w:fldCharType="separate"/>
        </w:r>
        <w:r w:rsidR="0094469E" w:rsidRPr="00B56453">
          <w:rPr>
            <w:noProof/>
            <w:lang w:val="en-GB"/>
          </w:rPr>
          <w:t>de Bruin et al. (2010)</w:t>
        </w:r>
        <w:r w:rsidR="0094469E" w:rsidRPr="00B27F0B">
          <w:rPr>
            <w:lang w:val="en-GB"/>
          </w:rPr>
          <w:fldChar w:fldCharType="end"/>
        </w:r>
      </w:hyperlink>
      <w:r w:rsidR="00B25339" w:rsidRPr="00B56453">
        <w:rPr>
          <w:lang w:val="en-GB"/>
        </w:rPr>
        <w:t xml:space="preserve"> </w:t>
      </w:r>
      <w:r w:rsidR="00BA5370" w:rsidRPr="00B56453">
        <w:rPr>
          <w:lang w:val="en-GB"/>
        </w:rPr>
        <w:t>recommended</w:t>
      </w:r>
      <w:r w:rsidR="008E14EB" w:rsidRPr="00B56453">
        <w:rPr>
          <w:lang w:val="en-GB"/>
        </w:rPr>
        <w:t xml:space="preserve"> that needs assessments should identify current best practices in the area under study to isolate which characteristics contribute towards the behaviou</w:t>
      </w:r>
      <w:r w:rsidR="008C7377" w:rsidRPr="00B56453">
        <w:rPr>
          <w:lang w:val="en-GB"/>
        </w:rPr>
        <w:t>r problem. As identified in the literature review</w:t>
      </w:r>
      <w:r w:rsidR="008E14EB" w:rsidRPr="00B56453">
        <w:rPr>
          <w:lang w:val="en-GB"/>
        </w:rPr>
        <w:t xml:space="preserve">, recent reviews in simulation based procedural skills learning have found that while feedback has generally positive effects on learning, the mechanisms of its delivery often leads to sub-optimal learning effects </w:t>
      </w:r>
      <w:r w:rsidR="00EF281A" w:rsidRPr="009C2746">
        <w:rPr>
          <w:lang w:val="en-GB"/>
        </w:rPr>
        <w:fldChar w:fldCharType="begin"/>
      </w:r>
      <w:r w:rsidR="008B61BE" w:rsidRPr="00B56453">
        <w:rPr>
          <w:lang w:val="en-GB"/>
        </w:rPr>
        <w:instrText xml:space="preserve"> ADDIN EN.CITE &lt;EndNote&gt;&lt;Cite&gt;&lt;Author&gt;Hatala&lt;/Author&gt;&lt;Year&gt;2014&lt;/Year&gt;&lt;RecNum&gt;107&lt;/RecNum&gt;&lt;DisplayText&gt;(Hatala et al. 2014)&lt;/DisplayText&gt;&lt;record&gt;&lt;rec-number&gt;107&lt;/rec-number&gt;&lt;foreign-keys&gt;&lt;key app="EN" db-id="xa2r2ewea92trkef5dt5arvbzafvpv2za5ft" timestamp="1442161764"&gt;107&lt;/key&gt;&lt;/foreign-keys&gt;&lt;ref-type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00EF281A" w:rsidRPr="00B27F0B">
        <w:rPr>
          <w:lang w:val="en-GB"/>
        </w:rPr>
        <w:fldChar w:fldCharType="separate"/>
      </w:r>
      <w:r w:rsidR="004E5A78" w:rsidRPr="00B56453">
        <w:rPr>
          <w:noProof/>
          <w:lang w:val="en-GB"/>
        </w:rPr>
        <w:t>(</w:t>
      </w:r>
      <w:hyperlink w:anchor="_ENREF_183" w:tooltip="Hatala, 2014 #108" w:history="1">
        <w:r w:rsidR="0094469E" w:rsidRPr="00B56453">
          <w:rPr>
            <w:noProof/>
            <w:lang w:val="en-GB"/>
          </w:rPr>
          <w:t>Hatala et al. 2014</w:t>
        </w:r>
      </w:hyperlink>
      <w:r w:rsidR="004E5A78" w:rsidRPr="00B56453">
        <w:rPr>
          <w:noProof/>
          <w:lang w:val="en-GB"/>
        </w:rPr>
        <w:t>)</w:t>
      </w:r>
      <w:r w:rsidR="00EF281A" w:rsidRPr="009C2746">
        <w:rPr>
          <w:lang w:val="en-GB"/>
        </w:rPr>
        <w:fldChar w:fldCharType="end"/>
      </w:r>
      <w:r w:rsidR="008E14EB" w:rsidRPr="00B56453">
        <w:rPr>
          <w:lang w:val="en-GB"/>
        </w:rPr>
        <w:t xml:space="preserve">. In the same context, clinical skills tutors </w:t>
      </w:r>
      <w:r w:rsidR="00EB7F2D" w:rsidRPr="00B56453">
        <w:rPr>
          <w:lang w:val="en-GB"/>
        </w:rPr>
        <w:t>may not optimally</w:t>
      </w:r>
      <w:r w:rsidR="008E14EB" w:rsidRPr="00B56453">
        <w:rPr>
          <w:lang w:val="en-GB"/>
        </w:rPr>
        <w:t xml:space="preserve"> support </w:t>
      </w:r>
      <w:r w:rsidR="00EB7F2D" w:rsidRPr="00B56453">
        <w:rPr>
          <w:lang w:val="en-GB"/>
        </w:rPr>
        <w:t>SRL for</w:t>
      </w:r>
      <w:r w:rsidR="008E14EB" w:rsidRPr="00B56453">
        <w:rPr>
          <w:lang w:val="en-GB"/>
        </w:rPr>
        <w:t xml:space="preserve"> medical students learning procedural skills, and there are very few studies which design interventions to explicitly facilitate the SRL capacity of the student </w:t>
      </w:r>
      <w:r w:rsidR="00EF281A" w:rsidRPr="009C2746">
        <w:rPr>
          <w:lang w:val="en-GB"/>
        </w:rPr>
        <w:fldChar w:fldCharType="begin"/>
      </w:r>
      <w:r w:rsidR="008B61BE" w:rsidRPr="00B56453">
        <w:rPr>
          <w:lang w:val="en-GB"/>
        </w:rPr>
        <w:instrText xml:space="preserve"> ADDIN EN.CITE &lt;EndNote&gt;&lt;Cite&gt;&lt;Author&gt;Brydges&lt;/Author&gt;&lt;Year&gt;2015&lt;/Year&gt;&lt;RecNum&gt;19&lt;/RecNum&gt;&lt;DisplayText&gt;(Brydges et al. 2015)&lt;/DisplayText&gt;&lt;record&gt;&lt;rec-number&gt;19&lt;/rec-number&gt;&lt;foreign-keys&gt;&lt;key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sidRPr="00B56453">
        <w:rPr>
          <w:rFonts w:ascii="Cambria Math" w:hAnsi="Cambria Math" w:cs="Cambria Math"/>
          <w:lang w:val="en-GB"/>
        </w:rPr>
        <w:instrText>‐</w:instrText>
      </w:r>
      <w:r w:rsidR="008B61BE" w:rsidRPr="00B56453">
        <w:rPr>
          <w:lang w:val="en-GB"/>
        </w:rPr>
        <w:instrText>regulated learning in simulation</w:instrText>
      </w:r>
      <w:r w:rsidR="008B61BE" w:rsidRPr="00B56453">
        <w:rPr>
          <w:rFonts w:ascii="Cambria Math" w:hAnsi="Cambria Math" w:cs="Cambria Math"/>
          <w:lang w:val="en-GB"/>
        </w:rPr>
        <w:instrText>‐</w:instrText>
      </w:r>
      <w:r w:rsidR="008B61BE" w:rsidRPr="00B56453">
        <w:rPr>
          <w:lang w:val="en-GB"/>
        </w:rPr>
        <w:instrText>based training: a systematic review and meta</w:instrText>
      </w:r>
      <w:r w:rsidR="008B61BE" w:rsidRPr="00B56453">
        <w:rPr>
          <w:rFonts w:ascii="Cambria Math" w:hAnsi="Cambria Math" w:cs="Cambria Math"/>
          <w:lang w:val="en-GB"/>
        </w:rPr>
        <w:instrText>‐</w:instrText>
      </w:r>
      <w:r w:rsidR="008B61B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B27F0B">
        <w:rPr>
          <w:lang w:val="en-GB"/>
        </w:rPr>
        <w:fldChar w:fldCharType="separate"/>
      </w:r>
      <w:r w:rsidR="004E5A78" w:rsidRPr="00B56453">
        <w:rPr>
          <w:noProof/>
          <w:lang w:val="en-GB"/>
        </w:rPr>
        <w:t>(</w:t>
      </w:r>
      <w:hyperlink w:anchor="_ENREF_56" w:tooltip="Brydges, 2015 #18" w:history="1">
        <w:r w:rsidR="0094469E" w:rsidRPr="00B56453">
          <w:rPr>
            <w:noProof/>
            <w:lang w:val="en-GB"/>
          </w:rPr>
          <w:t>Brydges et al. 2015</w:t>
        </w:r>
      </w:hyperlink>
      <w:r w:rsidR="004E5A78" w:rsidRPr="00B56453">
        <w:rPr>
          <w:noProof/>
          <w:lang w:val="en-GB"/>
        </w:rPr>
        <w:t>)</w:t>
      </w:r>
      <w:r w:rsidR="00EF281A" w:rsidRPr="009C2746">
        <w:rPr>
          <w:lang w:val="en-GB"/>
        </w:rPr>
        <w:fldChar w:fldCharType="end"/>
      </w:r>
      <w:r w:rsidR="008E14EB" w:rsidRPr="00B56453">
        <w:rPr>
          <w:lang w:val="en-GB"/>
        </w:rPr>
        <w:t xml:space="preserve">. The behaviour patterns contributing to the feedback problem in this case are the sub-optimal methods of feedback delivery and the lack of support for SRL </w:t>
      </w:r>
      <w:r w:rsidR="00EB7F2D" w:rsidRPr="00B56453">
        <w:rPr>
          <w:lang w:val="en-GB"/>
        </w:rPr>
        <w:t>development</w:t>
      </w:r>
      <w:r w:rsidR="008E14EB" w:rsidRPr="00B56453">
        <w:rPr>
          <w:lang w:val="en-GB"/>
        </w:rPr>
        <w:t xml:space="preserve"> in </w:t>
      </w:r>
      <w:r w:rsidR="00EB7F2D" w:rsidRPr="00B56453">
        <w:rPr>
          <w:lang w:val="en-GB"/>
        </w:rPr>
        <w:t>students</w:t>
      </w:r>
      <w:r w:rsidR="008E14EB" w:rsidRPr="00B56453">
        <w:rPr>
          <w:lang w:val="en-GB"/>
        </w:rPr>
        <w:t>.</w:t>
      </w:r>
    </w:p>
    <w:p w14:paraId="1D1E0DA6" w14:textId="77777777" w:rsidR="008E14EB" w:rsidRPr="00B56453" w:rsidRDefault="008E14EB" w:rsidP="00026049">
      <w:pPr>
        <w:pStyle w:val="Normal1"/>
        <w:rPr>
          <w:lang w:val="en-GB"/>
        </w:rPr>
      </w:pPr>
    </w:p>
    <w:p w14:paraId="654F820A" w14:textId="77777777" w:rsidR="002F655D" w:rsidRPr="00B56453" w:rsidRDefault="002F655D" w:rsidP="00026049">
      <w:pPr>
        <w:pStyle w:val="Normal1"/>
        <w:rPr>
          <w:lang w:val="en-GB"/>
        </w:rPr>
      </w:pPr>
    </w:p>
    <w:p w14:paraId="363CB916" w14:textId="77777777" w:rsidR="002F655D" w:rsidRPr="00B56453" w:rsidRDefault="002F655D" w:rsidP="00026049">
      <w:pPr>
        <w:pStyle w:val="Normal1"/>
        <w:rPr>
          <w:lang w:val="en-GB"/>
        </w:rPr>
      </w:pPr>
    </w:p>
    <w:p w14:paraId="24FE58C5" w14:textId="4A23FA88" w:rsidR="008E14EB" w:rsidRPr="00B56453" w:rsidRDefault="008E14EB" w:rsidP="00026049">
      <w:pPr>
        <w:pStyle w:val="Normal1"/>
        <w:rPr>
          <w:lang w:val="en-GB"/>
        </w:rPr>
      </w:pPr>
      <w:r w:rsidRPr="00B56453">
        <w:rPr>
          <w:lang w:val="en-GB"/>
        </w:rPr>
        <w:lastRenderedPageBreak/>
        <w:t xml:space="preserve">Informed by the needs assessment, the objectives </w:t>
      </w:r>
      <w:r w:rsidR="00EB7F2D" w:rsidRPr="00B56453">
        <w:rPr>
          <w:lang w:val="en-GB"/>
        </w:rPr>
        <w:t>specify</w:t>
      </w:r>
      <w:r w:rsidRPr="00B56453">
        <w:rPr>
          <w:lang w:val="en-GB"/>
        </w:rPr>
        <w:t xml:space="preserve"> which behaviours </w:t>
      </w:r>
      <w:r w:rsidR="00BA5370" w:rsidRPr="00B56453">
        <w:rPr>
          <w:lang w:val="en-GB"/>
        </w:rPr>
        <w:t>were</w:t>
      </w:r>
      <w:r w:rsidRPr="00B56453">
        <w:rPr>
          <w:lang w:val="en-GB"/>
        </w:rPr>
        <w:t xml:space="preserve"> targeted for change in the specific context and by whom </w:t>
      </w:r>
      <w:r w:rsidR="00EF281A" w:rsidRPr="009C2746">
        <w:rPr>
          <w:lang w:val="en-GB"/>
        </w:rPr>
        <w:fldChar w:fldCharType="begin"/>
      </w:r>
      <w:r w:rsidR="008B61BE" w:rsidRPr="00B56453">
        <w:rPr>
          <w:lang w:val="en-GB"/>
        </w:rPr>
        <w:instrText xml:space="preserve"> ADDIN EN.CITE &lt;EndNote&gt;&lt;Cite&gt;&lt;Author&gt;Denford&lt;/Author&gt;&lt;Year&gt;2015&lt;/Year&gt;&lt;RecNum&gt;618&lt;/RecNum&gt;&lt;DisplayText&gt;(Denford et al. 2015)&lt;/DisplayText&gt;&lt;record&gt;&lt;rec-number&gt;618&lt;/rec-number&gt;&lt;foreign-keys&gt;&lt;key app="EN" db-id="xa2r2ewea92trkef5dt5arvbzafvpv2za5ft" timestamp="1496417560"&gt;618&lt;/key&gt;&lt;/foreign-keys&gt;&lt;ref-type name="Journal Article"&gt;17&lt;/ref-type&gt;&lt;contributors&gt;&lt;authors&gt;&lt;author&gt;Denford, Sarah&lt;/author&gt;&lt;author&gt;Abraham, Charles&lt;/author&gt;&lt;author&gt;Smith, Jane&lt;/author&gt;&lt;author&gt;Lloyd, Jenny J&lt;/author&gt;&lt;author&gt;White, Mathew&lt;/author&gt;&lt;author&gt;Tarrant, Mark&lt;/author&gt;&lt;author&gt;Wyatt, Katrina&lt;/author&gt;&lt;author&gt;Greaves, Colin&lt;/author&gt;&lt;author&gt;Dean, Sarah&lt;/author&gt;&lt;author&gt;Reynolds, KJ&lt;/author&gt;&lt;/authors&gt;&lt;/contributors&gt;&lt;titles&gt;&lt;title&gt;Designing and evaluating behavior change interventions to promote health&lt;/title&gt;&lt;secondary-title&gt;The psychology of change: Life contexts, experiences, and identities&lt;/secondary-title&gt;&lt;/titles&gt;&lt;periodical&gt;&lt;full-title&gt;The psychology of change: Life contexts, experiences, and identities&lt;/full-title&gt;&lt;/periodical&gt;&lt;pages&gt;151-169&lt;/pages&gt;&lt;dates&gt;&lt;year&gt;2015&lt;/year&gt;&lt;/dates&gt;&lt;urls&gt;&lt;/urls&gt;&lt;/record&gt;&lt;/Cite&gt;&lt;/EndNote&gt;</w:instrText>
      </w:r>
      <w:r w:rsidR="00EF281A" w:rsidRPr="00B27F0B">
        <w:rPr>
          <w:lang w:val="en-GB"/>
        </w:rPr>
        <w:fldChar w:fldCharType="separate"/>
      </w:r>
      <w:r w:rsidR="004E5A78" w:rsidRPr="00B56453">
        <w:rPr>
          <w:noProof/>
          <w:lang w:val="en-GB"/>
        </w:rPr>
        <w:t>(</w:t>
      </w:r>
      <w:hyperlink w:anchor="_ENREF_114" w:tooltip="Denford, 2015 #618" w:history="1">
        <w:r w:rsidR="0094469E" w:rsidRPr="00B56453">
          <w:rPr>
            <w:noProof/>
            <w:lang w:val="en-GB"/>
          </w:rPr>
          <w:t>Denford et al. 2015</w:t>
        </w:r>
      </w:hyperlink>
      <w:r w:rsidR="004E5A78" w:rsidRPr="00B56453">
        <w:rPr>
          <w:noProof/>
          <w:lang w:val="en-GB"/>
        </w:rPr>
        <w:t>)</w:t>
      </w:r>
      <w:r w:rsidR="00EF281A" w:rsidRPr="009C2746">
        <w:rPr>
          <w:lang w:val="en-GB"/>
        </w:rPr>
        <w:fldChar w:fldCharType="end"/>
      </w:r>
      <w:r w:rsidRPr="00B56453">
        <w:rPr>
          <w:lang w:val="en-GB"/>
        </w:rPr>
        <w:t>. They also determine the criteria or measures under which the eff</w:t>
      </w:r>
      <w:r w:rsidR="00BA5370" w:rsidRPr="00B56453">
        <w:rPr>
          <w:lang w:val="en-GB"/>
        </w:rPr>
        <w:t>ectiveness of the intervention wa</w:t>
      </w:r>
      <w:r w:rsidR="00EB7F2D" w:rsidRPr="00B56453">
        <w:rPr>
          <w:lang w:val="en-GB"/>
        </w:rPr>
        <w:t>s judged. The following objectives were identified in this study:</w:t>
      </w:r>
    </w:p>
    <w:p w14:paraId="4CA051A3" w14:textId="77777777" w:rsidR="008E14EB" w:rsidRPr="00B56453" w:rsidRDefault="008E14EB" w:rsidP="00026049">
      <w:pPr>
        <w:pStyle w:val="Normal1"/>
        <w:rPr>
          <w:lang w:val="en-GB"/>
        </w:rPr>
      </w:pPr>
    </w:p>
    <w:p w14:paraId="3D68AC69" w14:textId="3F88F280" w:rsidR="008E14EB" w:rsidRPr="00B56453" w:rsidRDefault="008E14EB" w:rsidP="00026049">
      <w:pPr>
        <w:pStyle w:val="Normal1"/>
        <w:numPr>
          <w:ilvl w:val="0"/>
          <w:numId w:val="25"/>
        </w:numPr>
        <w:rPr>
          <w:lang w:val="en-GB"/>
        </w:rPr>
      </w:pPr>
      <w:r w:rsidRPr="00B56453">
        <w:rPr>
          <w:lang w:val="en-GB"/>
        </w:rPr>
        <w:t>Primary objective: improved SRL capacity</w:t>
      </w:r>
      <w:r w:rsidR="00BA5370" w:rsidRPr="00B56453">
        <w:rPr>
          <w:lang w:val="en-GB"/>
        </w:rPr>
        <w:t xml:space="preserve"> and self-efficacy</w:t>
      </w:r>
      <w:r w:rsidRPr="00B56453">
        <w:rPr>
          <w:lang w:val="en-GB"/>
        </w:rPr>
        <w:t xml:space="preserve"> in undergraduate medical students in clinical </w:t>
      </w:r>
      <w:r w:rsidR="008C7377" w:rsidRPr="00B56453">
        <w:rPr>
          <w:lang w:val="en-GB"/>
        </w:rPr>
        <w:t>learning</w:t>
      </w:r>
      <w:r w:rsidR="00BA5370" w:rsidRPr="00B56453">
        <w:rPr>
          <w:lang w:val="en-GB"/>
        </w:rPr>
        <w:t xml:space="preserve"> environments</w:t>
      </w:r>
      <w:r w:rsidRPr="00B56453">
        <w:rPr>
          <w:lang w:val="en-GB"/>
        </w:rPr>
        <w:t>.</w:t>
      </w:r>
    </w:p>
    <w:p w14:paraId="73AB1BF2" w14:textId="5823123C" w:rsidR="008E14EB" w:rsidRPr="00B56453" w:rsidRDefault="008E14EB" w:rsidP="00026049">
      <w:pPr>
        <w:pStyle w:val="Normal1"/>
        <w:numPr>
          <w:ilvl w:val="0"/>
          <w:numId w:val="25"/>
        </w:numPr>
        <w:rPr>
          <w:lang w:val="en-GB"/>
        </w:rPr>
      </w:pPr>
      <w:r w:rsidRPr="00B56453">
        <w:rPr>
          <w:lang w:val="en-GB"/>
        </w:rPr>
        <w:t>Secondary objective: Improved recognition of feedback</w:t>
      </w:r>
      <w:r w:rsidR="0037017A" w:rsidRPr="00B56453">
        <w:rPr>
          <w:lang w:val="en-GB"/>
        </w:rPr>
        <w:t xml:space="preserve"> and use for future learning</w:t>
      </w:r>
      <w:r w:rsidRPr="00B56453">
        <w:rPr>
          <w:lang w:val="en-GB"/>
        </w:rPr>
        <w:t xml:space="preserve"> in undergraduate medical students.</w:t>
      </w:r>
    </w:p>
    <w:p w14:paraId="065C1106" w14:textId="77777777" w:rsidR="008E14EB" w:rsidRPr="00B56453" w:rsidRDefault="008E14EB" w:rsidP="00026049">
      <w:pPr>
        <w:pStyle w:val="Normal1"/>
        <w:rPr>
          <w:lang w:val="en-GB"/>
        </w:rPr>
      </w:pPr>
    </w:p>
    <w:p w14:paraId="1505BB45" w14:textId="140626EF" w:rsidR="008E14EB" w:rsidRPr="00B56453" w:rsidRDefault="008E14EB" w:rsidP="00026049">
      <w:pPr>
        <w:pStyle w:val="Normal1"/>
        <w:rPr>
          <w:lang w:val="en-GB"/>
        </w:rPr>
      </w:pPr>
      <w:r w:rsidRPr="00B56453">
        <w:rPr>
          <w:lang w:val="en-GB"/>
        </w:rPr>
        <w:t>The third stage of mapping this intervention involve</w:t>
      </w:r>
      <w:r w:rsidR="00BA5370" w:rsidRPr="00B56453">
        <w:rPr>
          <w:lang w:val="en-GB"/>
        </w:rPr>
        <w:t>d</w:t>
      </w:r>
      <w:r w:rsidRPr="00B56453">
        <w:rPr>
          <w:lang w:val="en-GB"/>
        </w:rPr>
        <w:t xml:space="preserve"> the identification of modifiable mechanisms of change which underpin</w:t>
      </w:r>
      <w:r w:rsidR="00BA5370" w:rsidRPr="00B56453">
        <w:rPr>
          <w:lang w:val="en-GB"/>
        </w:rPr>
        <w:t>ned</w:t>
      </w:r>
      <w:r w:rsidRPr="00B56453">
        <w:rPr>
          <w:lang w:val="en-GB"/>
        </w:rPr>
        <w:t xml:space="preserve"> the behavioural objectives outlined above. These regulatory processes form</w:t>
      </w:r>
      <w:r w:rsidR="00BA5370" w:rsidRPr="00B56453">
        <w:rPr>
          <w:lang w:val="en-GB"/>
        </w:rPr>
        <w:t>ed</w:t>
      </w:r>
      <w:r w:rsidRPr="00B56453">
        <w:rPr>
          <w:lang w:val="en-GB"/>
        </w:rPr>
        <w:t xml:space="preserve"> the programmed theory of the intervention. In this study, SRL behaviours </w:t>
      </w:r>
      <w:r w:rsidR="008C7377" w:rsidRPr="00B56453">
        <w:rPr>
          <w:lang w:val="en-GB"/>
        </w:rPr>
        <w:t>of</w:t>
      </w:r>
      <w:r w:rsidRPr="00B56453">
        <w:rPr>
          <w:lang w:val="en-GB"/>
        </w:rPr>
        <w:t xml:space="preserve"> the students and feedback giving behaviours of the staff </w:t>
      </w:r>
      <w:r w:rsidR="001271BC" w:rsidRPr="00B56453">
        <w:rPr>
          <w:lang w:val="en-GB"/>
        </w:rPr>
        <w:t>were</w:t>
      </w:r>
      <w:r w:rsidRPr="00B56453">
        <w:rPr>
          <w:lang w:val="en-GB"/>
        </w:rPr>
        <w:t xml:space="preserve"> targeted as </w:t>
      </w:r>
      <w:r w:rsidR="001271BC" w:rsidRPr="00B56453">
        <w:rPr>
          <w:lang w:val="en-GB"/>
        </w:rPr>
        <w:t xml:space="preserve">the </w:t>
      </w:r>
      <w:r w:rsidRPr="00B56453">
        <w:rPr>
          <w:lang w:val="en-GB"/>
        </w:rPr>
        <w:t xml:space="preserve">mechanisms of change. </w:t>
      </w:r>
      <w:r w:rsidR="008C7377" w:rsidRPr="00B56453">
        <w:rPr>
          <w:lang w:val="en-GB"/>
        </w:rPr>
        <w:t xml:space="preserve">It </w:t>
      </w:r>
      <w:r w:rsidR="00BA5370" w:rsidRPr="00B56453">
        <w:rPr>
          <w:lang w:val="en-GB"/>
        </w:rPr>
        <w:t>was</w:t>
      </w:r>
      <w:r w:rsidR="008C7377" w:rsidRPr="00B56453">
        <w:rPr>
          <w:lang w:val="en-GB"/>
        </w:rPr>
        <w:t xml:space="preserve"> hoped that t</w:t>
      </w:r>
      <w:r w:rsidRPr="00B56453">
        <w:rPr>
          <w:lang w:val="en-GB"/>
        </w:rPr>
        <w:t xml:space="preserve">he use of the SRL </w:t>
      </w:r>
      <w:r w:rsidR="001271BC" w:rsidRPr="00B56453">
        <w:rPr>
          <w:lang w:val="en-GB"/>
        </w:rPr>
        <w:t xml:space="preserve">MA </w:t>
      </w:r>
      <w:r w:rsidRPr="00B56453">
        <w:rPr>
          <w:lang w:val="en-GB"/>
        </w:rPr>
        <w:t xml:space="preserve">technique to gather SRL information - which </w:t>
      </w:r>
      <w:r w:rsidR="00BA5370" w:rsidRPr="00B56453">
        <w:rPr>
          <w:lang w:val="en-GB"/>
        </w:rPr>
        <w:t>could</w:t>
      </w:r>
      <w:r w:rsidRPr="00B56453">
        <w:rPr>
          <w:lang w:val="en-GB"/>
        </w:rPr>
        <w:t xml:space="preserve"> then be used to give targeted SRL</w:t>
      </w:r>
      <w:r w:rsidR="001271BC" w:rsidRPr="00B56453">
        <w:rPr>
          <w:lang w:val="en-GB"/>
        </w:rPr>
        <w:t>F</w:t>
      </w:r>
      <w:r w:rsidRPr="00B56453">
        <w:rPr>
          <w:lang w:val="en-GB"/>
        </w:rPr>
        <w:t xml:space="preserve"> - </w:t>
      </w:r>
      <w:r w:rsidR="00BA5370" w:rsidRPr="00B56453">
        <w:rPr>
          <w:lang w:val="en-GB"/>
        </w:rPr>
        <w:t>would</w:t>
      </w:r>
      <w:r w:rsidRPr="00B56453">
        <w:rPr>
          <w:lang w:val="en-GB"/>
        </w:rPr>
        <w:t xml:space="preserve"> improve SRL capacity and </w:t>
      </w:r>
      <w:r w:rsidR="00BA5370" w:rsidRPr="00B56453">
        <w:rPr>
          <w:lang w:val="en-GB"/>
        </w:rPr>
        <w:t>self-efficacy</w:t>
      </w:r>
      <w:r w:rsidRPr="00B56453">
        <w:rPr>
          <w:lang w:val="en-GB"/>
        </w:rPr>
        <w:t>. Thus, SRL</w:t>
      </w:r>
      <w:r w:rsidR="001271BC" w:rsidRPr="00B56453">
        <w:rPr>
          <w:lang w:val="en-GB"/>
        </w:rPr>
        <w:t xml:space="preserve"> </w:t>
      </w:r>
      <w:r w:rsidR="007040AC" w:rsidRPr="00B56453">
        <w:rPr>
          <w:lang w:val="en-GB"/>
        </w:rPr>
        <w:t>MA</w:t>
      </w:r>
      <w:r w:rsidR="001271BC" w:rsidRPr="00B56453">
        <w:rPr>
          <w:lang w:val="en-GB"/>
        </w:rPr>
        <w:t xml:space="preserve"> and targeted SRLF </w:t>
      </w:r>
      <w:r w:rsidR="00BA5370" w:rsidRPr="00B56453">
        <w:rPr>
          <w:lang w:val="en-GB"/>
        </w:rPr>
        <w:t>were</w:t>
      </w:r>
      <w:r w:rsidRPr="00B56453">
        <w:rPr>
          <w:lang w:val="en-GB"/>
        </w:rPr>
        <w:t xml:space="preserve"> the ‘active ingredients’ of this intervention. </w:t>
      </w:r>
      <w:r w:rsidR="001271BC" w:rsidRPr="00B56453">
        <w:rPr>
          <w:lang w:val="en-GB"/>
        </w:rPr>
        <w:t>This wa</w:t>
      </w:r>
      <w:r w:rsidR="004E655D" w:rsidRPr="00B56453">
        <w:rPr>
          <w:lang w:val="en-GB"/>
        </w:rPr>
        <w:t>s informed partly by a</w:t>
      </w:r>
      <w:r w:rsidRPr="00B56453">
        <w:rPr>
          <w:lang w:val="en-GB"/>
        </w:rPr>
        <w:t xml:space="preserve"> review by </w:t>
      </w:r>
      <w:hyperlink w:anchor="_ENREF_56" w:tooltip="Brydges, 2015 #18" w:history="1">
        <w:r w:rsidR="0094469E" w:rsidRPr="00B27F0B">
          <w:rPr>
            <w:lang w:val="en-GB"/>
          </w:rPr>
          <w:fldChar w:fldCharType="begin"/>
        </w:r>
        <w:r w:rsidR="0094469E" w:rsidRPr="00B56453">
          <w:rPr>
            <w:lang w:val="en-GB"/>
          </w:rPr>
          <w:instrText xml:space="preserve"> ADDIN EN.CITE &lt;EndNote&gt;&lt;Cite AuthorYear="1"&gt;&lt;Author&gt;Brydges&lt;/Author&gt;&lt;Year&gt;2015&lt;/Year&gt;&lt;RecNum&gt;18&lt;/RecNum&gt;&lt;DisplayText&gt;Brydges et al. (2015)&lt;/DisplayText&gt;&lt;record&gt;&lt;rec-number&gt;18&lt;/rec-number&gt;&lt;foreign-keys&gt;&lt;key app="EN" db-id="xa2r2ewea92trkef5dt5arvbzafvpv2za5ft" timestamp="1442161763"&gt;18&lt;/key&gt;&lt;/foreign-keys&gt;&lt;ref-type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94469E" w:rsidRPr="00B56453">
          <w:rPr>
            <w:rFonts w:ascii="Cambria Math" w:hAnsi="Cambria Math" w:cs="Cambria Math"/>
            <w:lang w:val="en-GB"/>
          </w:rPr>
          <w:instrText>‐</w:instrText>
        </w:r>
        <w:r w:rsidR="0094469E" w:rsidRPr="00B56453">
          <w:rPr>
            <w:lang w:val="en-GB"/>
          </w:rPr>
          <w:instrText>regulated learning in simulation</w:instrText>
        </w:r>
        <w:r w:rsidR="0094469E" w:rsidRPr="00B56453">
          <w:rPr>
            <w:rFonts w:ascii="Cambria Math" w:hAnsi="Cambria Math" w:cs="Cambria Math"/>
            <w:lang w:val="en-GB"/>
          </w:rPr>
          <w:instrText>‐</w:instrText>
        </w:r>
        <w:r w:rsidR="0094469E" w:rsidRPr="00B56453">
          <w:rPr>
            <w:lang w:val="en-GB"/>
          </w:rPr>
          <w:instrText>based training: a systematic review and meta</w:instrText>
        </w:r>
        <w:r w:rsidR="0094469E" w:rsidRPr="00B56453">
          <w:rPr>
            <w:rFonts w:ascii="Cambria Math" w:hAnsi="Cambria Math" w:cs="Cambria Math"/>
            <w:lang w:val="en-GB"/>
          </w:rPr>
          <w:instrText>‐</w:instrText>
        </w:r>
        <w:r w:rsidR="0094469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94469E" w:rsidRPr="00B27F0B">
          <w:rPr>
            <w:lang w:val="en-GB"/>
          </w:rPr>
          <w:fldChar w:fldCharType="separate"/>
        </w:r>
        <w:r w:rsidR="0094469E" w:rsidRPr="00B56453">
          <w:rPr>
            <w:noProof/>
            <w:lang w:val="en-GB"/>
          </w:rPr>
          <w:t>Brydges et al. (2015)</w:t>
        </w:r>
        <w:r w:rsidR="0094469E" w:rsidRPr="00B27F0B">
          <w:rPr>
            <w:lang w:val="en-GB"/>
          </w:rPr>
          <w:fldChar w:fldCharType="end"/>
        </w:r>
      </w:hyperlink>
      <w:r w:rsidRPr="00B56453">
        <w:rPr>
          <w:lang w:val="en-GB"/>
        </w:rPr>
        <w:t xml:space="preserve"> </w:t>
      </w:r>
      <w:r w:rsidR="001271BC" w:rsidRPr="00B56453">
        <w:rPr>
          <w:lang w:val="en-GB"/>
        </w:rPr>
        <w:t xml:space="preserve">who </w:t>
      </w:r>
      <w:r w:rsidRPr="00B56453">
        <w:rPr>
          <w:lang w:val="en-GB"/>
        </w:rPr>
        <w:t xml:space="preserve">found that interventions incorporating SRL support produced larger effects on learning outcomes when compared to no intervention or control groups. SRL </w:t>
      </w:r>
      <w:r w:rsidR="001271BC" w:rsidRPr="00B56453">
        <w:rPr>
          <w:lang w:val="en-GB"/>
        </w:rPr>
        <w:t>MA</w:t>
      </w:r>
      <w:r w:rsidRPr="00B56453">
        <w:rPr>
          <w:lang w:val="en-GB"/>
        </w:rPr>
        <w:t xml:space="preserve"> has been shown to competently identify SRL processes </w:t>
      </w:r>
      <w:r w:rsidR="00EF281A" w:rsidRPr="009C2746">
        <w:rPr>
          <w:lang w:val="en-GB"/>
        </w:rPr>
        <w:fldChar w:fldCharType="begin"/>
      </w:r>
      <w:r w:rsidR="008B61BE" w:rsidRPr="00B56453">
        <w:rPr>
          <w:lang w:val="en-GB"/>
        </w:rPr>
        <w:instrText xml:space="preserve"> ADDIN EN.CITE &lt;EndNote&gt;&lt;Cite&gt;&lt;Author&gt;DiBenedetto&lt;/Author&gt;&lt;Year&gt;2013&lt;/Year&gt;&lt;RecNum&gt;65&lt;/RecNum&gt;&lt;DisplayText&gt;(DiBenedetto and Zimmerman 2013)&lt;/DisplayText&gt;&lt;record&gt;&lt;rec-number&gt;65&lt;/rec-number&gt;&lt;foreign-keys&gt;&lt;key app="EN" db-id="xa2r2ewea92trkef5dt5arvbzafvpv2za5ft" timestamp="1442161763"&gt;65&lt;/key&gt;&lt;/foreign-keys&gt;&lt;ref-type name="Journal Article"&gt;17&lt;/ref-type&gt;&lt;contributors&gt;&lt;authors&gt;&lt;author&gt;DiBenedetto, Maria K.&lt;/author&gt;&lt;author&gt;Zimmerman, Barry J.&lt;/author&gt;&lt;/authors&gt;&lt;/contributors&gt;&lt;titles&gt;&lt;title&gt;Construct and predictive validity of microanalytic measures of students&amp;apos; self-regulation of science learning&lt;/title&gt;&lt;secondary-title&gt;Learning and Individual Differences&lt;/secondary-title&gt;&lt;/titles&gt;&lt;periodical&gt;&lt;full-title&gt;Learning and Individual Differences&lt;/full-title&gt;&lt;/periodical&gt;&lt;pages&gt;30-41&lt;/pages&gt;&lt;volume&gt;26&lt;/volume&gt;&lt;dates&gt;&lt;year&gt;2013&lt;/year&gt;&lt;/dates&gt;&lt;publisher&gt;Elsevier&lt;/publisher&gt;&lt;urls&gt;&lt;/urls&gt;&lt;/record&gt;&lt;/Cite&gt;&lt;/EndNote&gt;</w:instrText>
      </w:r>
      <w:r w:rsidR="00EF281A" w:rsidRPr="00B27F0B">
        <w:rPr>
          <w:lang w:val="en-GB"/>
        </w:rPr>
        <w:fldChar w:fldCharType="separate"/>
      </w:r>
      <w:r w:rsidR="004E5A78" w:rsidRPr="00B56453">
        <w:rPr>
          <w:noProof/>
          <w:lang w:val="en-GB"/>
        </w:rPr>
        <w:t>(</w:t>
      </w:r>
      <w:hyperlink w:anchor="_ENREF_124" w:tooltip="DiBenedetto, 2013 #65" w:history="1">
        <w:r w:rsidR="0094469E" w:rsidRPr="00B56453">
          <w:rPr>
            <w:noProof/>
            <w:lang w:val="en-GB"/>
          </w:rPr>
          <w:t>DiBenedetto and Zimmerman 2013</w:t>
        </w:r>
      </w:hyperlink>
      <w:r w:rsidR="004E5A78" w:rsidRPr="00B56453">
        <w:rPr>
          <w:noProof/>
          <w:lang w:val="en-GB"/>
        </w:rPr>
        <w:t>)</w:t>
      </w:r>
      <w:r w:rsidR="00EF281A" w:rsidRPr="009C2746">
        <w:rPr>
          <w:lang w:val="en-GB"/>
        </w:rPr>
        <w:fldChar w:fldCharType="end"/>
      </w:r>
      <w:r w:rsidRPr="00B56453">
        <w:rPr>
          <w:lang w:val="en-GB"/>
        </w:rPr>
        <w:t xml:space="preserve">, its use when combined with feedback targeting SRL behaviours as recommended by </w:t>
      </w:r>
      <w:hyperlink w:anchor="_ENREF_184" w:tooltip="Hattie, 2007 #109" w:history="1">
        <w:r w:rsidR="0094469E" w:rsidRPr="00B27F0B">
          <w:rPr>
            <w:lang w:val="en-GB"/>
          </w:rPr>
          <w:fldChar w:fldCharType="begin"/>
        </w:r>
        <w:r w:rsidR="0094469E" w:rsidRPr="00B56453">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94469E" w:rsidRPr="00B27F0B">
          <w:rPr>
            <w:lang w:val="en-GB"/>
          </w:rPr>
          <w:fldChar w:fldCharType="separate"/>
        </w:r>
        <w:r w:rsidR="0094469E" w:rsidRPr="00B56453">
          <w:rPr>
            <w:noProof/>
            <w:lang w:val="en-GB"/>
          </w:rPr>
          <w:t>Hattie and Timperley (2007)</w:t>
        </w:r>
        <w:r w:rsidR="0094469E" w:rsidRPr="00B27F0B">
          <w:rPr>
            <w:lang w:val="en-GB"/>
          </w:rPr>
          <w:fldChar w:fldCharType="end"/>
        </w:r>
      </w:hyperlink>
      <w:r w:rsidRPr="00B56453">
        <w:rPr>
          <w:lang w:val="en-GB"/>
        </w:rPr>
        <w:t xml:space="preserve"> may produce </w:t>
      </w:r>
      <w:r w:rsidR="006F2AE1" w:rsidRPr="00B56453">
        <w:rPr>
          <w:lang w:val="en-GB"/>
        </w:rPr>
        <w:t xml:space="preserve">a </w:t>
      </w:r>
      <w:r w:rsidRPr="00B56453">
        <w:rPr>
          <w:lang w:val="en-GB"/>
        </w:rPr>
        <w:t xml:space="preserve">beneficial </w:t>
      </w:r>
      <w:r w:rsidR="006F2AE1" w:rsidRPr="00B56453">
        <w:rPr>
          <w:lang w:val="en-GB"/>
        </w:rPr>
        <w:t>impact upon learning</w:t>
      </w:r>
      <w:r w:rsidRPr="00B56453">
        <w:rPr>
          <w:lang w:val="en-GB"/>
        </w:rPr>
        <w:t xml:space="preserve">. </w:t>
      </w:r>
      <w:r w:rsidR="004E655D" w:rsidRPr="00B56453">
        <w:rPr>
          <w:lang w:val="en-GB"/>
        </w:rPr>
        <w:t xml:space="preserve">The mechanisms of </w:t>
      </w:r>
      <w:r w:rsidR="0037017A" w:rsidRPr="00B56453">
        <w:rPr>
          <w:lang w:val="en-GB"/>
        </w:rPr>
        <w:t>impact</w:t>
      </w:r>
      <w:r w:rsidR="004E655D" w:rsidRPr="00B56453">
        <w:rPr>
          <w:lang w:val="en-GB"/>
        </w:rPr>
        <w:t xml:space="preserve"> are </w:t>
      </w:r>
      <w:r w:rsidR="001271BC" w:rsidRPr="00B56453">
        <w:rPr>
          <w:lang w:val="en-GB"/>
        </w:rPr>
        <w:t xml:space="preserve">evaluated in </w:t>
      </w:r>
      <w:r w:rsidR="00BF6160" w:rsidRPr="00B56453">
        <w:rPr>
          <w:lang w:val="en-GB"/>
        </w:rPr>
        <w:t>D1</w:t>
      </w:r>
      <w:r w:rsidR="004E655D" w:rsidRPr="00B56453">
        <w:rPr>
          <w:lang w:val="en-GB"/>
        </w:rPr>
        <w:t>.</w:t>
      </w:r>
      <w:r w:rsidR="0037017A" w:rsidRPr="00B56453">
        <w:rPr>
          <w:lang w:val="en-GB"/>
        </w:rPr>
        <w:t>2.2.</w:t>
      </w:r>
    </w:p>
    <w:p w14:paraId="17EE005D" w14:textId="77777777" w:rsidR="008E14EB" w:rsidRPr="00B56453" w:rsidRDefault="008E14EB" w:rsidP="00026049">
      <w:pPr>
        <w:pStyle w:val="Normal1"/>
        <w:rPr>
          <w:lang w:val="en-GB"/>
        </w:rPr>
      </w:pPr>
    </w:p>
    <w:p w14:paraId="2090AF67" w14:textId="4A9E67AF" w:rsidR="008E14EB" w:rsidRPr="00B56453" w:rsidRDefault="00330034" w:rsidP="00026049">
      <w:pPr>
        <w:pStyle w:val="Normal1"/>
        <w:rPr>
          <w:lang w:val="en-GB"/>
        </w:rPr>
      </w:pPr>
      <w:r w:rsidRPr="00B56453">
        <w:rPr>
          <w:lang w:val="en-GB"/>
        </w:rPr>
        <w:t>The method of delivery wa</w:t>
      </w:r>
      <w:r w:rsidR="008E14EB" w:rsidRPr="00B56453">
        <w:rPr>
          <w:lang w:val="en-GB"/>
        </w:rPr>
        <w:t xml:space="preserve">s considered in terms of how best to implement the intervention taking into account the contextual demands and the target population. Interventions can be implemented using many different mediums (documents, web based, multi-media) aimed at groups and/or individuals </w:t>
      </w:r>
      <w:r w:rsidR="00EF281A" w:rsidRPr="009C2746">
        <w:rPr>
          <w:lang w:val="en-GB"/>
        </w:rPr>
        <w:fldChar w:fldCharType="begin"/>
      </w:r>
      <w:r w:rsidR="008B61BE" w:rsidRPr="00B56453">
        <w:rPr>
          <w:lang w:val="en-GB"/>
        </w:rPr>
        <w:instrText xml:space="preserve"> ADDIN EN.CITE &lt;EndNote&gt;&lt;Cite&gt;&lt;Author&gt;Denford&lt;/Author&gt;&lt;Year&gt;2015&lt;/Year&gt;&lt;RecNum&gt;618&lt;/RecNum&gt;&lt;DisplayText&gt;(Denford et al. 2015)&lt;/DisplayText&gt;&lt;record&gt;&lt;rec-number&gt;618&lt;/rec-number&gt;&lt;foreign-keys&gt;&lt;key app="EN" db-id="xa2r2ewea92trkef5dt5arvbzafvpv2za5ft" timestamp="1496417560"&gt;618&lt;/key&gt;&lt;/foreign-keys&gt;&lt;ref-type name="Journal Article"&gt;17&lt;/ref-type&gt;&lt;contributors&gt;&lt;authors&gt;&lt;author&gt;Denford, Sarah&lt;/author&gt;&lt;author&gt;Abraham, Charles&lt;/author&gt;&lt;author&gt;Smith, Jane&lt;/author&gt;&lt;author&gt;Lloyd, Jenny J&lt;/author&gt;&lt;author&gt;White, Mathew&lt;/author&gt;&lt;author&gt;Tarrant, Mark&lt;/author&gt;&lt;author&gt;Wyatt, Katrina&lt;/author&gt;&lt;author&gt;Greaves, Colin&lt;/author&gt;&lt;author&gt;Dean, Sarah&lt;/author&gt;&lt;author&gt;Reynolds, KJ&lt;/author&gt;&lt;/authors&gt;&lt;/contributors&gt;&lt;titles&gt;&lt;title&gt;Designing and evaluating behavior change interventions to promote health&lt;/title&gt;&lt;secondary-title&gt;The psychology of change: Life contexts, experiences, and identities&lt;/secondary-title&gt;&lt;/titles&gt;&lt;periodical&gt;&lt;full-title&gt;The psychology of change: Life contexts, experiences, and identities&lt;/full-title&gt;&lt;/periodical&gt;&lt;pages&gt;151-169&lt;/pages&gt;&lt;dates&gt;&lt;year&gt;2015&lt;/year&gt;&lt;/dates&gt;&lt;urls&gt;&lt;/urls&gt;&lt;/record&gt;&lt;/Cite&gt;&lt;/EndNote&gt;</w:instrText>
      </w:r>
      <w:r w:rsidR="00EF281A" w:rsidRPr="00B27F0B">
        <w:rPr>
          <w:lang w:val="en-GB"/>
        </w:rPr>
        <w:fldChar w:fldCharType="separate"/>
      </w:r>
      <w:r w:rsidR="004E5A78" w:rsidRPr="00B56453">
        <w:rPr>
          <w:noProof/>
          <w:lang w:val="en-GB"/>
        </w:rPr>
        <w:t>(</w:t>
      </w:r>
      <w:hyperlink w:anchor="_ENREF_114" w:tooltip="Denford, 2015 #618" w:history="1">
        <w:r w:rsidR="0094469E" w:rsidRPr="00B56453">
          <w:rPr>
            <w:noProof/>
            <w:lang w:val="en-GB"/>
          </w:rPr>
          <w:t>Denford et al. 2015</w:t>
        </w:r>
      </w:hyperlink>
      <w:r w:rsidR="004E5A78" w:rsidRPr="00B56453">
        <w:rPr>
          <w:noProof/>
          <w:lang w:val="en-GB"/>
        </w:rPr>
        <w:t>)</w:t>
      </w:r>
      <w:r w:rsidR="00EF281A" w:rsidRPr="009C2746">
        <w:rPr>
          <w:lang w:val="en-GB"/>
        </w:rPr>
        <w:fldChar w:fldCharType="end"/>
      </w:r>
      <w:r w:rsidR="008E14EB" w:rsidRPr="00B56453">
        <w:rPr>
          <w:lang w:val="en-GB"/>
        </w:rPr>
        <w:t xml:space="preserve">. The intervention used in this study </w:t>
      </w:r>
      <w:r w:rsidR="00486B33" w:rsidRPr="00B56453">
        <w:rPr>
          <w:lang w:val="en-GB"/>
        </w:rPr>
        <w:t>can also be considered in the context of faculty development. Thus it was first delivered as training to clinical skills teacher</w:t>
      </w:r>
      <w:r w:rsidR="0037017A" w:rsidRPr="00B56453">
        <w:rPr>
          <w:lang w:val="en-GB"/>
        </w:rPr>
        <w:t>s</w:t>
      </w:r>
      <w:r w:rsidR="00486B33" w:rsidRPr="00B56453">
        <w:rPr>
          <w:lang w:val="en-GB"/>
        </w:rPr>
        <w:t xml:space="preserve"> who then </w:t>
      </w:r>
      <w:r w:rsidR="0037017A" w:rsidRPr="00B56453">
        <w:rPr>
          <w:lang w:val="en-GB"/>
        </w:rPr>
        <w:t>used it in their practice to teach</w:t>
      </w:r>
      <w:r w:rsidR="00486B33" w:rsidRPr="00B56453">
        <w:rPr>
          <w:lang w:val="en-GB"/>
        </w:rPr>
        <w:t xml:space="preserve"> </w:t>
      </w:r>
      <w:r w:rsidR="00D531CD" w:rsidRPr="00B56453">
        <w:rPr>
          <w:lang w:val="en-GB"/>
        </w:rPr>
        <w:t>students in</w:t>
      </w:r>
      <w:r w:rsidR="008E14EB" w:rsidRPr="00B56453">
        <w:rPr>
          <w:lang w:val="en-GB"/>
        </w:rPr>
        <w:t xml:space="preserve"> specific group clinical skills sessions (venepuncture and catheterisation) as part of the existing </w:t>
      </w:r>
      <w:r w:rsidR="006F2AE1" w:rsidRPr="00B56453">
        <w:rPr>
          <w:lang w:val="en-GB"/>
        </w:rPr>
        <w:t>medical</w:t>
      </w:r>
      <w:r w:rsidR="00FC0FFB" w:rsidRPr="00B56453">
        <w:rPr>
          <w:lang w:val="en-GB"/>
        </w:rPr>
        <w:t xml:space="preserve"> curriculum.</w:t>
      </w:r>
      <w:r w:rsidR="008E14EB" w:rsidRPr="00B56453">
        <w:rPr>
          <w:lang w:val="en-GB"/>
        </w:rPr>
        <w:t xml:space="preserve"> </w:t>
      </w:r>
      <w:r w:rsidR="00FC0FFB" w:rsidRPr="00B56453">
        <w:rPr>
          <w:lang w:val="en-GB"/>
        </w:rPr>
        <w:t>To</w:t>
      </w:r>
      <w:r w:rsidR="008E14EB" w:rsidRPr="00B56453">
        <w:rPr>
          <w:lang w:val="en-GB"/>
        </w:rPr>
        <w:t xml:space="preserve"> have a real-world impact for medical students and clinical skills tutors, the method of delivery was pilot tested and adapted according to the motivations of the tutors and students. </w:t>
      </w:r>
    </w:p>
    <w:p w14:paraId="69A5BE0F" w14:textId="77777777" w:rsidR="008E14EB" w:rsidRPr="00B56453" w:rsidRDefault="008E14EB" w:rsidP="00026049">
      <w:pPr>
        <w:pStyle w:val="Normal1"/>
        <w:rPr>
          <w:lang w:val="en-GB"/>
        </w:rPr>
      </w:pPr>
    </w:p>
    <w:p w14:paraId="6BC1D72C" w14:textId="21FF9733" w:rsidR="008E14EB" w:rsidRPr="00B56453" w:rsidRDefault="008E14EB" w:rsidP="00026049">
      <w:pPr>
        <w:pStyle w:val="Normal1"/>
        <w:rPr>
          <w:lang w:val="en-GB"/>
        </w:rPr>
      </w:pPr>
      <w:r w:rsidRPr="00B56453">
        <w:rPr>
          <w:lang w:val="en-GB"/>
        </w:rPr>
        <w:t>The implementation planning stage addresse</w:t>
      </w:r>
      <w:r w:rsidR="004E655D" w:rsidRPr="00B56453">
        <w:rPr>
          <w:lang w:val="en-GB"/>
        </w:rPr>
        <w:t>d</w:t>
      </w:r>
      <w:r w:rsidRPr="00B56453">
        <w:rPr>
          <w:lang w:val="en-GB"/>
        </w:rPr>
        <w:t xml:space="preserve"> how the intervention</w:t>
      </w:r>
      <w:r w:rsidR="00ED711A" w:rsidRPr="00B56453">
        <w:rPr>
          <w:lang w:val="en-GB"/>
        </w:rPr>
        <w:t xml:space="preserve"> and feedback models</w:t>
      </w:r>
      <w:r w:rsidRPr="00B56453">
        <w:rPr>
          <w:lang w:val="en-GB"/>
        </w:rPr>
        <w:t xml:space="preserve"> </w:t>
      </w:r>
      <w:r w:rsidR="004E655D" w:rsidRPr="00B56453">
        <w:rPr>
          <w:lang w:val="en-GB"/>
        </w:rPr>
        <w:t>would</w:t>
      </w:r>
      <w:r w:rsidRPr="00B56453">
        <w:rPr>
          <w:lang w:val="en-GB"/>
        </w:rPr>
        <w:t xml:space="preserve"> be delivered, by whom and how, and the training </w:t>
      </w:r>
      <w:r w:rsidR="00FC0FFB" w:rsidRPr="00B56453">
        <w:rPr>
          <w:lang w:val="en-GB"/>
        </w:rPr>
        <w:t>provided for</w:t>
      </w:r>
      <w:r w:rsidRPr="00B56453">
        <w:rPr>
          <w:lang w:val="en-GB"/>
        </w:rPr>
        <w:t xml:space="preserve"> the intervention to be maintained successfully over time. </w:t>
      </w:r>
      <w:r w:rsidR="003154F2" w:rsidRPr="00B56453">
        <w:rPr>
          <w:lang w:val="en-GB"/>
        </w:rPr>
        <w:t>The access and training details are discussed</w:t>
      </w:r>
      <w:r w:rsidR="004E655D" w:rsidRPr="00B56453">
        <w:rPr>
          <w:lang w:val="en-GB"/>
        </w:rPr>
        <w:t xml:space="preserve"> in detail</w:t>
      </w:r>
      <w:r w:rsidR="003154F2" w:rsidRPr="00B56453">
        <w:rPr>
          <w:lang w:val="en-GB"/>
        </w:rPr>
        <w:t xml:space="preserve"> later in this </w:t>
      </w:r>
      <w:r w:rsidR="003F57EF" w:rsidRPr="00B56453">
        <w:rPr>
          <w:lang w:val="en-GB"/>
        </w:rPr>
        <w:t>Chapter</w:t>
      </w:r>
      <w:r w:rsidR="003154F2" w:rsidRPr="00B56453">
        <w:rPr>
          <w:lang w:val="en-GB"/>
        </w:rPr>
        <w:t>.</w:t>
      </w:r>
      <w:r w:rsidR="00174EA0" w:rsidRPr="00B56453">
        <w:rPr>
          <w:lang w:val="en-GB"/>
        </w:rPr>
        <w:t xml:space="preserve"> </w:t>
      </w:r>
      <w:r w:rsidRPr="00B56453">
        <w:rPr>
          <w:lang w:val="en-GB"/>
        </w:rPr>
        <w:t>The evaluation stage of this intervention</w:t>
      </w:r>
      <w:r w:rsidR="00ED711A" w:rsidRPr="00B56453">
        <w:rPr>
          <w:lang w:val="en-GB"/>
        </w:rPr>
        <w:t xml:space="preserve"> using feedback models</w:t>
      </w:r>
      <w:r w:rsidRPr="00B56453">
        <w:rPr>
          <w:lang w:val="en-GB"/>
        </w:rPr>
        <w:t xml:space="preserve"> include</w:t>
      </w:r>
      <w:r w:rsidR="003F57EF" w:rsidRPr="00B56453">
        <w:rPr>
          <w:lang w:val="en-GB"/>
        </w:rPr>
        <w:t>d</w:t>
      </w:r>
      <w:r w:rsidRPr="00B56453">
        <w:rPr>
          <w:lang w:val="en-GB"/>
        </w:rPr>
        <w:t xml:space="preserve"> an outcome and a process evaluation</w:t>
      </w:r>
      <w:r w:rsidR="005F4086" w:rsidRPr="00B56453">
        <w:rPr>
          <w:lang w:val="en-GB"/>
        </w:rPr>
        <w:t xml:space="preserve"> in </w:t>
      </w:r>
      <w:r w:rsidR="00630F67" w:rsidRPr="00B56453">
        <w:rPr>
          <w:lang w:val="en-GB"/>
        </w:rPr>
        <w:t xml:space="preserve">Chapter </w:t>
      </w:r>
      <w:r w:rsidR="00BF6160" w:rsidRPr="00B56453">
        <w:rPr>
          <w:lang w:val="en-GB"/>
        </w:rPr>
        <w:t>D1</w:t>
      </w:r>
      <w:r w:rsidRPr="00B56453">
        <w:rPr>
          <w:lang w:val="en-GB"/>
        </w:rPr>
        <w:t xml:space="preserve">; the aim of including both types of evaluation </w:t>
      </w:r>
      <w:r w:rsidR="004E655D" w:rsidRPr="00B56453">
        <w:rPr>
          <w:lang w:val="en-GB"/>
        </w:rPr>
        <w:t>was</w:t>
      </w:r>
      <w:r w:rsidRPr="00B56453">
        <w:rPr>
          <w:lang w:val="en-GB"/>
        </w:rPr>
        <w:t xml:space="preserve"> to provide sufficient analysis for both quantitative and qualitative features of this study. An outcome evaluation is focused upon determining whether the outcomes specified in the objectives stage were changed or not</w:t>
      </w:r>
      <w:r w:rsidR="005F4086" w:rsidRPr="00B56453">
        <w:rPr>
          <w:lang w:val="en-GB"/>
        </w:rPr>
        <w:t>. In this study, SRL capacity and</w:t>
      </w:r>
      <w:r w:rsidRPr="00B56453">
        <w:rPr>
          <w:lang w:val="en-GB"/>
        </w:rPr>
        <w:t xml:space="preserve"> self-efficacy outcomes </w:t>
      </w:r>
      <w:r w:rsidR="005F4086" w:rsidRPr="00B56453">
        <w:rPr>
          <w:lang w:val="en-GB"/>
        </w:rPr>
        <w:t>was</w:t>
      </w:r>
      <w:r w:rsidRPr="00B56453">
        <w:rPr>
          <w:lang w:val="en-GB"/>
        </w:rPr>
        <w:t xml:space="preserve"> compared between </w:t>
      </w:r>
      <w:r w:rsidR="00ED711A" w:rsidRPr="00B56453">
        <w:rPr>
          <w:lang w:val="en-GB"/>
        </w:rPr>
        <w:t>the feedback conditions</w:t>
      </w:r>
      <w:r w:rsidR="005F4086" w:rsidRPr="00B56453">
        <w:rPr>
          <w:lang w:val="en-GB"/>
        </w:rPr>
        <w:t xml:space="preserve"> using pre and post</w:t>
      </w:r>
      <w:r w:rsidRPr="00B56453">
        <w:rPr>
          <w:lang w:val="en-GB"/>
        </w:rPr>
        <w:t xml:space="preserve"> measurements. </w:t>
      </w:r>
    </w:p>
    <w:p w14:paraId="0668A4E1" w14:textId="77777777" w:rsidR="008E14EB" w:rsidRPr="00B56453" w:rsidRDefault="008E14EB" w:rsidP="00026049">
      <w:pPr>
        <w:pStyle w:val="Normal1"/>
        <w:rPr>
          <w:lang w:val="en-GB"/>
        </w:rPr>
      </w:pPr>
    </w:p>
    <w:p w14:paraId="5E31FF05" w14:textId="7C48892C" w:rsidR="008E14EB" w:rsidRPr="00B56453" w:rsidRDefault="008E14EB" w:rsidP="00026049">
      <w:pPr>
        <w:pStyle w:val="Normal1"/>
        <w:rPr>
          <w:lang w:val="en-GB"/>
        </w:rPr>
      </w:pPr>
      <w:r w:rsidRPr="00B56453">
        <w:rPr>
          <w:lang w:val="en-GB"/>
        </w:rPr>
        <w:t>The proce</w:t>
      </w:r>
      <w:r w:rsidR="005F4086" w:rsidRPr="00B56453">
        <w:rPr>
          <w:lang w:val="en-GB"/>
        </w:rPr>
        <w:t>ss evaluation of this study aimed</w:t>
      </w:r>
      <w:r w:rsidRPr="00B56453">
        <w:rPr>
          <w:lang w:val="en-GB"/>
        </w:rPr>
        <w:t xml:space="preserve"> to test the acceptability, perceived ease of use</w:t>
      </w:r>
      <w:r w:rsidR="004E655D" w:rsidRPr="00B56453">
        <w:rPr>
          <w:lang w:val="en-GB"/>
        </w:rPr>
        <w:t>,</w:t>
      </w:r>
      <w:r w:rsidRPr="00B56453">
        <w:rPr>
          <w:lang w:val="en-GB"/>
        </w:rPr>
        <w:t xml:space="preserve"> and usefulness of the intervention as a whole</w:t>
      </w:r>
      <w:r w:rsidR="004E655D" w:rsidRPr="00B56453">
        <w:rPr>
          <w:lang w:val="en-GB"/>
        </w:rPr>
        <w:t>,</w:t>
      </w:r>
      <w:r w:rsidRPr="00B56453">
        <w:rPr>
          <w:lang w:val="en-GB"/>
        </w:rPr>
        <w:t xml:space="preserve"> as opposed to only its outcomes. Interventions which produce some </w:t>
      </w:r>
      <w:r w:rsidR="00826050" w:rsidRPr="00B56453">
        <w:rPr>
          <w:lang w:val="en-GB"/>
        </w:rPr>
        <w:t>immediate</w:t>
      </w:r>
      <w:r w:rsidRPr="00B56453">
        <w:rPr>
          <w:lang w:val="en-GB"/>
        </w:rPr>
        <w:t xml:space="preserve"> improvements are not guaranteed to produce sustained benefits in the longer term, and some interventions may not show improvements until after a substantial delay, hence the </w:t>
      </w:r>
      <w:r w:rsidR="005F4086" w:rsidRPr="00B56453">
        <w:rPr>
          <w:lang w:val="en-GB"/>
        </w:rPr>
        <w:t>follow-up measures</w:t>
      </w:r>
      <w:r w:rsidR="004E655D" w:rsidRPr="00B56453">
        <w:rPr>
          <w:lang w:val="en-GB"/>
        </w:rPr>
        <w:t xml:space="preserve"> used</w:t>
      </w:r>
      <w:r w:rsidR="00D552E6" w:rsidRPr="00B56453">
        <w:rPr>
          <w:lang w:val="en-GB"/>
        </w:rPr>
        <w:t xml:space="preserve"> in this study</w:t>
      </w:r>
      <w:r w:rsidRPr="00B56453">
        <w:rPr>
          <w:lang w:val="en-GB"/>
        </w:rPr>
        <w:t>. The process evaluatio</w:t>
      </w:r>
      <w:r w:rsidR="004E655D" w:rsidRPr="00B56453">
        <w:rPr>
          <w:lang w:val="en-GB"/>
        </w:rPr>
        <w:t xml:space="preserve">n of this intervention </w:t>
      </w:r>
      <w:r w:rsidR="00BB5D1F" w:rsidRPr="00B56453">
        <w:rPr>
          <w:lang w:val="en-GB"/>
        </w:rPr>
        <w:t>is</w:t>
      </w:r>
      <w:r w:rsidRPr="00B56453">
        <w:rPr>
          <w:lang w:val="en-GB"/>
        </w:rPr>
        <w:t xml:space="preserve"> detailed in </w:t>
      </w:r>
      <w:r w:rsidR="00630F67" w:rsidRPr="00B56453">
        <w:rPr>
          <w:lang w:val="en-GB"/>
        </w:rPr>
        <w:t xml:space="preserve">Chapter </w:t>
      </w:r>
      <w:r w:rsidR="00BF6160" w:rsidRPr="00B56453">
        <w:rPr>
          <w:lang w:val="en-GB"/>
        </w:rPr>
        <w:t>D1</w:t>
      </w:r>
      <w:r w:rsidRPr="00B56453">
        <w:rPr>
          <w:lang w:val="en-GB"/>
        </w:rPr>
        <w:t>.</w:t>
      </w:r>
    </w:p>
    <w:p w14:paraId="25EBB2AB" w14:textId="77777777" w:rsidR="008E14EB" w:rsidRPr="00B56453" w:rsidRDefault="008E14EB" w:rsidP="00026049">
      <w:pPr>
        <w:pStyle w:val="Normal1"/>
        <w:rPr>
          <w:lang w:val="en-GB"/>
        </w:rPr>
      </w:pPr>
    </w:p>
    <w:p w14:paraId="6C635FFC" w14:textId="77777777" w:rsidR="00B57FE0" w:rsidRPr="00B56453" w:rsidRDefault="00B57FE0">
      <w:pPr>
        <w:rPr>
          <w:rFonts w:eastAsiaTheme="majorEastAsia" w:cs="Times New Roman"/>
          <w:b/>
          <w:color w:val="000000" w:themeColor="text1"/>
          <w:sz w:val="28"/>
          <w:szCs w:val="26"/>
          <w:shd w:val="clear" w:color="auto" w:fill="FCFCFC"/>
        </w:rPr>
      </w:pPr>
      <w:r w:rsidRPr="00B56453">
        <w:br w:type="page"/>
      </w:r>
    </w:p>
    <w:p w14:paraId="73CF6C6B" w14:textId="7F9403D1" w:rsidR="00EA693E" w:rsidRPr="00B56453" w:rsidRDefault="000D6EB5" w:rsidP="00B1638D">
      <w:pPr>
        <w:pStyle w:val="Heading2"/>
        <w:rPr>
          <w:lang w:val="en-GB"/>
        </w:rPr>
      </w:pPr>
      <w:bookmarkStart w:id="254" w:name="_Toc500319366"/>
      <w:r w:rsidRPr="00B56453">
        <w:rPr>
          <w:lang w:val="en-GB"/>
        </w:rPr>
        <w:lastRenderedPageBreak/>
        <w:t>B1.1</w:t>
      </w:r>
      <w:r w:rsidR="00EA693E" w:rsidRPr="00B56453">
        <w:rPr>
          <w:lang w:val="en-GB"/>
        </w:rPr>
        <w:t xml:space="preserve"> The SRL Microanalysis Protocol</w:t>
      </w:r>
      <w:bookmarkEnd w:id="254"/>
    </w:p>
    <w:p w14:paraId="5135AA28" w14:textId="77777777" w:rsidR="003723B7" w:rsidRPr="00B56453" w:rsidRDefault="003723B7" w:rsidP="00026049">
      <w:pPr>
        <w:pStyle w:val="Normal1"/>
        <w:rPr>
          <w:lang w:val="en-GB"/>
        </w:rPr>
      </w:pPr>
    </w:p>
    <w:p w14:paraId="5AA9ED46" w14:textId="67CBC1FC" w:rsidR="003723B7" w:rsidRPr="00B56453" w:rsidRDefault="003723B7" w:rsidP="00026049">
      <w:pPr>
        <w:pStyle w:val="Normal1"/>
        <w:rPr>
          <w:shd w:val="clear" w:color="auto" w:fill="FFFFFF"/>
          <w:lang w:val="en-GB"/>
        </w:rPr>
      </w:pPr>
      <w:r w:rsidRPr="00B56453">
        <w:rPr>
          <w:lang w:val="en-GB"/>
        </w:rPr>
        <w:t>The SR</w:t>
      </w:r>
      <w:r w:rsidR="00D552E6" w:rsidRPr="00B56453">
        <w:rPr>
          <w:lang w:val="en-GB"/>
        </w:rPr>
        <w:t xml:space="preserve">L </w:t>
      </w:r>
      <w:r w:rsidRPr="00B56453">
        <w:rPr>
          <w:lang w:val="en-GB"/>
        </w:rPr>
        <w:t xml:space="preserve">MA technique consisted of questions focusing on key SRL processes: </w:t>
      </w:r>
      <w:r w:rsidRPr="00B56453">
        <w:rPr>
          <w:shd w:val="clear" w:color="auto" w:fill="FFFFFF"/>
          <w:lang w:val="en-GB"/>
        </w:rPr>
        <w:t>self-efficacy, strategic planning, situational awareness, goal setting, meta-cognitive monitoring, adaptive inferences, and attributional beliefs. These processes are illustr</w:t>
      </w:r>
      <w:r w:rsidR="004E655D" w:rsidRPr="00B56453">
        <w:rPr>
          <w:shd w:val="clear" w:color="auto" w:fill="FFFFFF"/>
          <w:lang w:val="en-GB"/>
        </w:rPr>
        <w:t xml:space="preserve">ated </w:t>
      </w:r>
      <w:r w:rsidR="002F74A2" w:rsidRPr="00B56453">
        <w:rPr>
          <w:shd w:val="clear" w:color="auto" w:fill="FFFFFF"/>
          <w:lang w:val="en-GB"/>
        </w:rPr>
        <w:t xml:space="preserve">in </w:t>
      </w:r>
      <w:r w:rsidR="00AE17C9" w:rsidRPr="00B56453">
        <w:rPr>
          <w:shd w:val="clear" w:color="auto" w:fill="FFFFFF"/>
          <w:lang w:val="en-GB"/>
        </w:rPr>
        <w:t>Figure</w:t>
      </w:r>
      <w:r w:rsidR="004E655D" w:rsidRPr="00B56453">
        <w:rPr>
          <w:shd w:val="clear" w:color="auto" w:fill="FFFFFF"/>
          <w:lang w:val="en-GB"/>
        </w:rPr>
        <w:t xml:space="preserve"> </w:t>
      </w:r>
      <w:r w:rsidR="00DD0B00" w:rsidRPr="00B56453">
        <w:rPr>
          <w:shd w:val="clear" w:color="auto" w:fill="FFFFFF"/>
          <w:lang w:val="en-GB"/>
        </w:rPr>
        <w:t>B1.3</w:t>
      </w:r>
      <w:r w:rsidRPr="00B56453">
        <w:rPr>
          <w:shd w:val="clear" w:color="auto" w:fill="FFFFFF"/>
          <w:lang w:val="en-GB"/>
        </w:rPr>
        <w:t xml:space="preserve"> and were chosen based on their use in similar studies focusing on clinical skills </w:t>
      </w:r>
      <w:r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&lt;EndNote&gt;&lt;Cite&gt;&lt;Author&gt;Cleary&lt;/Author&gt;&lt;Year&gt;2011&lt;/Year&gt;&lt;RecNum&gt;39&lt;/RecNum&gt;&lt;DisplayText&gt;(Cleary and Sandars 2011; Cleary et al. 2014)&lt;/DisplayText&gt;&lt;record&gt;&lt;rec-number&gt;39&lt;/rec-number&gt;&lt;foreign-keys&gt;&lt;key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Francis&lt;/publisher&gt;&lt;urls&gt;&lt;/urls&gt;&lt;/record&gt;&lt;/Cite&gt;&lt;Cite&gt;&lt;Author&gt;Cleary&lt;/Author&gt;&lt;Year&gt;2014&lt;/Year&gt;&lt;RecNum&gt;36&lt;/RecNum&gt;&lt;record&gt;&lt;rec-number&gt;36&lt;/rec-number&gt;&lt;foreign-keys&gt;&lt;key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Pr="00B27F0B">
        <w:rPr>
          <w:shd w:val="clear" w:color="auto" w:fill="FFFFFF"/>
          <w:lang w:val="en-GB"/>
        </w:rPr>
        <w:fldChar w:fldCharType="separate"/>
      </w:r>
      <w:r w:rsidR="004E5A78" w:rsidRPr="00B56453">
        <w:rPr>
          <w:noProof/>
          <w:shd w:val="clear" w:color="auto" w:fill="FFFFFF"/>
          <w:lang w:val="en-GB"/>
        </w:rPr>
        <w:t>(</w:t>
      </w:r>
      <w:hyperlink w:anchor="_ENREF_89" w:tooltip="Cleary, 2011 #39" w:history="1">
        <w:r w:rsidR="0094469E" w:rsidRPr="00B56453">
          <w:rPr>
            <w:noProof/>
            <w:shd w:val="clear" w:color="auto" w:fill="FFFFFF"/>
            <w:lang w:val="en-GB"/>
          </w:rPr>
          <w:t>Cleary and Sandars 2011</w:t>
        </w:r>
      </w:hyperlink>
      <w:r w:rsidR="004E5A78" w:rsidRPr="00B56453">
        <w:rPr>
          <w:noProof/>
          <w:shd w:val="clear" w:color="auto" w:fill="FFFFFF"/>
          <w:lang w:val="en-GB"/>
        </w:rPr>
        <w:t xml:space="preserve">; </w:t>
      </w:r>
      <w:hyperlink w:anchor="_ENREF_85" w:tooltip="Cleary, 2014 #36" w:history="1">
        <w:r w:rsidR="0094469E" w:rsidRPr="00B56453">
          <w:rPr>
            <w:noProof/>
            <w:shd w:val="clear" w:color="auto" w:fill="FFFFFF"/>
            <w:lang w:val="en-GB"/>
          </w:rPr>
          <w:t>Cleary et al. 2014</w:t>
        </w:r>
      </w:hyperlink>
      <w:r w:rsidR="004E5A78" w:rsidRPr="00B56453">
        <w:rPr>
          <w:noProof/>
          <w:shd w:val="clear" w:color="auto" w:fill="FFFFFF"/>
          <w:lang w:val="en-GB"/>
        </w:rPr>
        <w:t>)</w:t>
      </w:r>
      <w:r w:rsidRPr="007638B6">
        <w:rPr>
          <w:shd w:val="clear" w:color="auto" w:fill="FFFFFF"/>
          <w:lang w:val="en-GB"/>
        </w:rPr>
        <w:fldChar w:fldCharType="end"/>
      </w:r>
      <w:r w:rsidRPr="00B56453">
        <w:rPr>
          <w:shd w:val="clear" w:color="auto" w:fill="FFFFFF"/>
          <w:lang w:val="en-GB"/>
        </w:rPr>
        <w:t xml:space="preserve">, and their significance for clinical practice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87" w:tooltip="Cleary, 2013 #593" w:history="1">
        <w:r w:rsidR="0094469E" w:rsidRPr="00B56453">
          <w:rPr>
            <w:noProof/>
            <w:shd w:val="clear" w:color="auto" w:fill="FFFFFF"/>
            <w:lang w:val="en-GB"/>
          </w:rPr>
          <w:t>Cleary et al. 2013</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T</w:t>
      </w:r>
      <w:r w:rsidR="003F54B7" w:rsidRPr="00B56453">
        <w:rPr>
          <w:shd w:val="clear" w:color="auto" w:fill="FFFFFF"/>
          <w:lang w:val="en-GB"/>
        </w:rPr>
        <w:t>he wording of the questions was</w:t>
      </w:r>
      <w:r w:rsidRPr="00B56453">
        <w:rPr>
          <w:shd w:val="clear" w:color="auto" w:fill="FFFFFF"/>
          <w:lang w:val="en-GB"/>
        </w:rPr>
        <w:t xml:space="preserve"> designed according to operational definitions of these processes proposed by </w:t>
      </w:r>
      <w:hyperlink w:anchor="_ENREF_15" w:tooltip="Bandura, 1997 #5" w:history="1">
        <w:r w:rsidR="0094469E" w:rsidRPr="00B27F0B">
          <w:rPr>
            <w:shd w:val="clear" w:color="auto" w:fill="FFFFFF"/>
            <w:lang w:val="en-GB"/>
          </w:rPr>
          <w:fldChar w:fldCharType="begin"/>
        </w:r>
        <w:r w:rsidR="0094469E" w:rsidRPr="00B56453">
          <w:rPr>
            <w:shd w:val="clear" w:color="auto" w:fill="FFFFFF"/>
            <w:lang w:val="en-GB"/>
          </w:rPr>
          <w:instrText xml:space="preserve"> ADDIN EN.CITE &lt;EndNote&gt;&lt;Cite AuthorYear="1"&gt;&lt;Author&gt;Bandura&lt;/Author&gt;&lt;Year&gt;1997&lt;/Year&gt;&lt;RecNum&gt;5&lt;/RecNum&gt;&lt;DisplayText&gt;Bandura (1997)&lt;/DisplayText&gt;&lt;record&gt;&lt;rec-number&gt;5&lt;/rec-number&gt;&lt;foreign-keys&gt;&lt;key app="EN" db-id="xa2r2ewea92trkef5dt5arvbzafvpv2za5ft" timestamp="1442161763"&gt;5&lt;/key&gt;&lt;/foreign-keys&gt;&lt;ref-type name="Book"&gt;6&lt;/ref-type&gt;&lt;contributors&gt;&lt;authors&gt;&lt;author&gt;Bandura, Albert&lt;/author&gt;&lt;/authors&gt;&lt;/contributors&gt;&lt;titles&gt;&lt;title&gt;Self-efficacy: The exercise of control&lt;/title&gt;&lt;/titles&gt;&lt;number&gt;Book, Whole&lt;/number&gt;&lt;dates&gt;&lt;year&gt;1997&lt;/year&gt;&lt;/dates&gt;&lt;pub-location&gt;New York&lt;/pub-location&gt;&lt;publisher&gt;Freeman&lt;/publisher&gt;&lt;urls&gt;&lt;/urls&gt;&lt;/record&gt;&lt;/Cite&gt;&lt;/EndNote&gt;</w:instrText>
        </w:r>
        <w:r w:rsidR="0094469E" w:rsidRPr="00B27F0B">
          <w:rPr>
            <w:shd w:val="clear" w:color="auto" w:fill="FFFFFF"/>
            <w:lang w:val="en-GB"/>
          </w:rPr>
          <w:fldChar w:fldCharType="separate"/>
        </w:r>
        <w:r w:rsidR="0094469E" w:rsidRPr="00B56453">
          <w:rPr>
            <w:noProof/>
            <w:shd w:val="clear" w:color="auto" w:fill="FFFFFF"/>
            <w:lang w:val="en-GB"/>
          </w:rPr>
          <w:t>Bandura (1997)</w:t>
        </w:r>
        <w:r w:rsidR="0094469E" w:rsidRPr="00B27F0B">
          <w:rPr>
            <w:shd w:val="clear" w:color="auto" w:fill="FFFFFF"/>
            <w:lang w:val="en-GB"/>
          </w:rPr>
          <w:fldChar w:fldCharType="end"/>
        </w:r>
      </w:hyperlink>
      <w:r w:rsidRPr="00B56453">
        <w:rPr>
          <w:shd w:val="clear" w:color="auto" w:fill="FFFFFF"/>
          <w:lang w:val="en-GB"/>
        </w:rPr>
        <w:t xml:space="preserve"> and others </w:t>
      </w:r>
      <w:r w:rsidRPr="007638B6">
        <w:rPr>
          <w:shd w:val="clear" w:color="auto" w:fill="FFFFFF"/>
          <w:lang w:val="en-GB"/>
        </w:rPr>
        <w:fldChar w:fldCharType="begin"/>
      </w:r>
      <w:r w:rsidR="008B61BE" w:rsidRPr="00B56453">
        <w:rPr>
          <w:shd w:val="clear" w:color="auto" w:fill="FFFFFF"/>
          <w:lang w:val="en-GB"/>
        </w:rPr>
        <w:instrText xml:space="preserve"> ADDIN EN.CITE &lt;EndNote&gt;&lt;Cite&gt;&lt;Author&gt;Zimmerman&lt;/Author&gt;&lt;Year&gt;1988&lt;/Year&gt;&lt;RecNum&gt;281&lt;/RecNum&gt;&lt;DisplayText&gt;(Zimmerman and Martinez-Pons 1988; Zimmerman 2000a)&lt;/DisplayText&gt;&lt;record&gt;&lt;rec-number&gt;281&lt;/rec-number&gt;&lt;foreign-keys&gt;&lt;key app="EN" db-id="xa2r2ewea92trkef5dt5arvbzafvpv2za5ft" timestamp="1442161766"&gt;281&lt;/key&gt;&lt;/foreign-keys&gt;&lt;ref-type name="Journal Article"&gt;17&lt;/ref-type&gt;&lt;contributors&gt;&lt;authors&gt;&lt;author&gt;Zimmerman, Barry J.&lt;/author&gt;&lt;author&gt;Martinez-Pons, Manuel&lt;/author&gt;&lt;/authors&gt;&lt;/contributors&gt;&lt;titles&gt;&lt;title&gt;Construct validation of a strategy model of student self-regulated learning&lt;/title&gt;&lt;secondary-title&gt;Journal of educational psychology&lt;/secondary-title&gt;&lt;/titles&gt;&lt;periodical&gt;&lt;full-title&gt;Journal of educational psychology&lt;/full-title&gt;&lt;/periodical&gt;&lt;pages&gt;284&lt;/pages&gt;&lt;volume&gt;80&lt;/volume&gt;&lt;number&gt;3&lt;/number&gt;&lt;dates&gt;&lt;year&gt;1988&lt;/year&gt;&lt;/dates&gt;&lt;publisher&gt;American Psychological Association&lt;/publisher&gt;&lt;urls&gt;&lt;/urls&gt;&lt;/record&gt;&lt;/Cite&gt;&lt;Cite&gt;&lt;Author&gt;Zimmerman&lt;/Author&gt;&lt;Year&gt;2000&lt;/Year&gt;&lt;RecNum&gt;595&lt;/RecNum&gt;&lt;record&gt;&lt;rec-number&gt;595&lt;/rec-number&gt;&lt;foreign-keys&gt;&lt;key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Pr="00B27F0B">
        <w:rPr>
          <w:shd w:val="clear" w:color="auto" w:fill="FFFFFF"/>
          <w:lang w:val="en-GB"/>
        </w:rPr>
        <w:fldChar w:fldCharType="separate"/>
      </w:r>
      <w:r w:rsidR="004E5A78" w:rsidRPr="00B56453">
        <w:rPr>
          <w:noProof/>
          <w:shd w:val="clear" w:color="auto" w:fill="FFFFFF"/>
          <w:lang w:val="en-GB"/>
        </w:rPr>
        <w:t>(</w:t>
      </w:r>
      <w:hyperlink w:anchor="_ENREF_463" w:tooltip="Zimmerman, 1988 #281" w:history="1">
        <w:r w:rsidR="0094469E" w:rsidRPr="00B56453">
          <w:rPr>
            <w:noProof/>
            <w:shd w:val="clear" w:color="auto" w:fill="FFFFFF"/>
            <w:lang w:val="en-GB"/>
          </w:rPr>
          <w:t>Zimmerman and Martinez-Pons 1988</w:t>
        </w:r>
      </w:hyperlink>
      <w:r w:rsidR="004E5A78" w:rsidRPr="00B56453">
        <w:rPr>
          <w:noProof/>
          <w:shd w:val="clear" w:color="auto" w:fill="FFFFFF"/>
          <w:lang w:val="en-GB"/>
        </w:rPr>
        <w:t xml:space="preserve">; </w:t>
      </w:r>
      <w:hyperlink w:anchor="_ENREF_455" w:tooltip="Zimmerman, 2000 #595" w:history="1">
        <w:r w:rsidR="0094469E" w:rsidRPr="00B56453">
          <w:rPr>
            <w:noProof/>
            <w:shd w:val="clear" w:color="auto" w:fill="FFFFFF"/>
            <w:lang w:val="en-GB"/>
          </w:rPr>
          <w:t>Zimmerman 2000a</w:t>
        </w:r>
      </w:hyperlink>
      <w:r w:rsidR="004E5A78" w:rsidRPr="00B56453">
        <w:rPr>
          <w:noProof/>
          <w:shd w:val="clear" w:color="auto" w:fill="FFFFFF"/>
          <w:lang w:val="en-GB"/>
        </w:rPr>
        <w:t>)</w:t>
      </w:r>
      <w:r w:rsidRPr="007638B6">
        <w:rPr>
          <w:shd w:val="clear" w:color="auto" w:fill="FFFFFF"/>
          <w:lang w:val="en-GB"/>
        </w:rPr>
        <w:fldChar w:fldCharType="end"/>
      </w:r>
      <w:r w:rsidRPr="00B56453">
        <w:rPr>
          <w:shd w:val="clear" w:color="auto" w:fill="FFFFFF"/>
          <w:lang w:val="en-GB"/>
        </w:rPr>
        <w:t xml:space="preserve">. Coding for each SRL process was conducted using a coding scheme developed by previous researchers </w:t>
      </w:r>
      <w:r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&lt;EndNote&gt;&lt;Cite&gt;&lt;Author&gt;Cleary&lt;/Author&gt;&lt;Year&gt;2001&lt;/Year&gt;&lt;RecNum&gt;41&lt;/RecNum&gt;&lt;DisplayText&gt;(Cleary and Zimmerman 2001; Kitsantas and Zimmerman 2002)&lt;/DisplayText&gt;&lt;record&gt;&lt;rec-number&gt;41&lt;/rec-number&gt;&lt;foreign-keys&gt;&lt;key app="EN" db-id="xa2r2ewea92trkef5dt5arvbzafvpv2za5ft" timestamp="1442161763"&gt;41&lt;/key&gt;&lt;/foreign-keys&gt;&lt;ref-type name="Journal Article"&gt;17&lt;/ref-type&gt;&lt;contributors&gt;&lt;authors&gt;&lt;author&gt;Cleary, Timothy J.&lt;/author&gt;&lt;author&gt;Zimmerman, Barry J.&lt;/author&gt;&lt;/authors&gt;&lt;/contributors&gt;&lt;titles&gt;&lt;title&gt;Self-regulation differences during athletic practice by experts, non-experts, and novices&lt;/title&gt;&lt;secondary-title&gt;Journal of Applied Sport Psychology&lt;/secondary-title&gt;&lt;/titles&gt;&lt;periodical&gt;&lt;full-title&gt;Journal of Applied Sport Psychology&lt;/full-title&gt;&lt;/periodical&gt;&lt;pages&gt;185-206&lt;/pages&gt;&lt;volume&gt;13&lt;/volume&gt;&lt;number&gt;2&lt;/number&gt;&lt;dates&gt;&lt;year&gt;2001&lt;/year&gt;&lt;/dates&gt;&lt;publisher&gt;Taylor &amp;amp; Francis&lt;/publisher&gt;&lt;urls&gt;&lt;/urls&gt;&lt;/record&gt;&lt;/Cite&gt;&lt;Cite&gt;&lt;Author&gt;Kitsantas&lt;/Author&gt;&lt;Year&gt;2002&lt;/Year&gt;&lt;RecNum&gt;130&lt;/RecNum&gt;&lt;record&gt;&lt;rec-number&gt;130&lt;/rec-number&gt;&lt;foreign-keys&gt;&lt;key app="EN" db-id="xa2r2ewea92trkef5dt5arvbzafvpv2za5ft" timestamp="1442161764"&gt;130&lt;/key&gt;&lt;/foreign-keys&gt;&lt;ref-type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Pr="00B27F0B">
        <w:rPr>
          <w:shd w:val="clear" w:color="auto" w:fill="FFFFFF"/>
          <w:lang w:val="en-GB"/>
        </w:rPr>
        <w:fldChar w:fldCharType="separate"/>
      </w:r>
      <w:r w:rsidR="004E5A78" w:rsidRPr="00B56453">
        <w:rPr>
          <w:noProof/>
          <w:shd w:val="clear" w:color="auto" w:fill="FFFFFF"/>
          <w:lang w:val="en-GB"/>
        </w:rPr>
        <w:t>(</w:t>
      </w:r>
      <w:hyperlink w:anchor="_ENREF_91" w:tooltip="Cleary, 2001 #41" w:history="1">
        <w:r w:rsidR="0094469E" w:rsidRPr="00B56453">
          <w:rPr>
            <w:noProof/>
            <w:shd w:val="clear" w:color="auto" w:fill="FFFFFF"/>
            <w:lang w:val="en-GB"/>
          </w:rPr>
          <w:t>Cleary and Zimmerman 2001</w:t>
        </w:r>
      </w:hyperlink>
      <w:r w:rsidR="004E5A78" w:rsidRPr="00B56453">
        <w:rPr>
          <w:noProof/>
          <w:shd w:val="clear" w:color="auto" w:fill="FFFFFF"/>
          <w:lang w:val="en-GB"/>
        </w:rPr>
        <w:t xml:space="preserve">; </w:t>
      </w:r>
      <w:hyperlink w:anchor="_ENREF_217" w:tooltip="Kitsantas, 2002 #129" w:history="1">
        <w:r w:rsidR="0094469E" w:rsidRPr="00B56453">
          <w:rPr>
            <w:noProof/>
            <w:shd w:val="clear" w:color="auto" w:fill="FFFFFF"/>
            <w:lang w:val="en-GB"/>
          </w:rPr>
          <w:t>Kitsantas and Zimmerman 2002</w:t>
        </w:r>
      </w:hyperlink>
      <w:r w:rsidR="004E5A78" w:rsidRPr="00B56453">
        <w:rPr>
          <w:noProof/>
          <w:shd w:val="clear" w:color="auto" w:fill="FFFFFF"/>
          <w:lang w:val="en-GB"/>
        </w:rPr>
        <w:t>)</w:t>
      </w:r>
      <w:r w:rsidRPr="007638B6">
        <w:rPr>
          <w:shd w:val="clear" w:color="auto" w:fill="FFFFFF"/>
          <w:lang w:val="en-GB"/>
        </w:rPr>
        <w:fldChar w:fldCharType="end"/>
      </w:r>
      <w:r w:rsidRPr="00B56453">
        <w:rPr>
          <w:shd w:val="clear" w:color="auto" w:fill="FFFFFF"/>
          <w:lang w:val="en-GB"/>
        </w:rPr>
        <w:t>.</w:t>
      </w:r>
    </w:p>
    <w:p w14:paraId="4400785C" w14:textId="77777777" w:rsidR="003723B7" w:rsidRPr="00BD42AF" w:rsidRDefault="003723B7" w:rsidP="003723B7">
      <w:pPr>
        <w:rPr>
          <w:noProof/>
          <w:shd w:val="clear" w:color="auto" w:fill="FFFFFF"/>
          <w:lang w:eastAsia="en-GB"/>
        </w:rPr>
      </w:pPr>
      <w:r w:rsidRPr="00B56453">
        <w:rPr>
          <w:noProof/>
          <w:shd w:val="clear" w:color="auto" w:fill="FFFFFF"/>
          <w:lang w:eastAsia="en-GB"/>
        </w:rPr>
        <w:drawing>
          <wp:inline distT="0" distB="0" distL="0" distR="0" wp14:anchorId="40D695E2" wp14:editId="0D70C7AF">
            <wp:extent cx="5139267" cy="2362200"/>
            <wp:effectExtent l="25400" t="0" r="42545" b="0"/>
            <wp:docPr id="533" name="Diagram 5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B56453">
        <w:rPr>
          <w:shd w:val="clear" w:color="auto" w:fill="FFFFFF"/>
        </w:rPr>
        <w:t xml:space="preserve"> </w:t>
      </w:r>
    </w:p>
    <w:p w14:paraId="61164AC5" w14:textId="3DE0021B" w:rsidR="003723B7" w:rsidRPr="00B56453" w:rsidRDefault="00DD0B00" w:rsidP="00DD0B00">
      <w:pPr>
        <w:pStyle w:val="Caption"/>
        <w:rPr>
          <w:shd w:val="clear" w:color="auto" w:fill="FFFFFF"/>
        </w:rPr>
      </w:pPr>
      <w:bookmarkStart w:id="255" w:name="_Toc500319545"/>
      <w:r w:rsidRPr="00BD42AF">
        <w:t>Figure B1.</w:t>
      </w:r>
      <w:fldSimple w:instr=" SEQ Figure_B1. \* ARABIC ">
        <w:r w:rsidR="00E44881" w:rsidRPr="00B56453">
          <w:rPr>
            <w:noProof/>
          </w:rPr>
          <w:t>3</w:t>
        </w:r>
      </w:fldSimple>
      <w:r w:rsidR="003723B7" w:rsidRPr="00B56453">
        <w:rPr>
          <w:shd w:val="clear" w:color="auto" w:fill="FFFFFF"/>
        </w:rPr>
        <w:t xml:space="preserve"> SRL processes assessed in the </w:t>
      </w:r>
      <w:r w:rsidR="00F75F20" w:rsidRPr="00B56453">
        <w:rPr>
          <w:shd w:val="clear" w:color="auto" w:fill="FFFFFF"/>
        </w:rPr>
        <w:t>SRL MA</w:t>
      </w:r>
      <w:r w:rsidR="003723B7" w:rsidRPr="00B56453">
        <w:rPr>
          <w:shd w:val="clear" w:color="auto" w:fill="FFFFFF"/>
        </w:rPr>
        <w:t xml:space="preserve"> procedure in sequential order.</w:t>
      </w:r>
      <w:bookmarkEnd w:id="255"/>
    </w:p>
    <w:p w14:paraId="2FE076AD" w14:textId="77777777" w:rsidR="003723B7" w:rsidRPr="00B56453" w:rsidRDefault="003723B7" w:rsidP="00026049">
      <w:pPr>
        <w:pStyle w:val="Normal1"/>
        <w:rPr>
          <w:shd w:val="clear" w:color="auto" w:fill="FFFFFF"/>
          <w:lang w:val="en-GB"/>
        </w:rPr>
      </w:pPr>
    </w:p>
    <w:p w14:paraId="2AF62AD9" w14:textId="63BC659F" w:rsidR="003723B7" w:rsidRPr="00B56453" w:rsidRDefault="003723B7" w:rsidP="00026049">
      <w:pPr>
        <w:pStyle w:val="Normal1"/>
        <w:rPr>
          <w:shd w:val="clear" w:color="auto" w:fill="FFFFFF"/>
          <w:lang w:val="en-GB"/>
        </w:rPr>
      </w:pPr>
      <w:r w:rsidRPr="00B56453">
        <w:rPr>
          <w:shd w:val="clear" w:color="auto" w:fill="FFFFFF"/>
          <w:lang w:val="en-GB"/>
        </w:rPr>
        <w:t>Although it is</w:t>
      </w:r>
      <w:r w:rsidR="009D23A1" w:rsidRPr="00B56453">
        <w:rPr>
          <w:shd w:val="clear" w:color="auto" w:fill="FFFFFF"/>
          <w:lang w:val="en-GB"/>
        </w:rPr>
        <w:t xml:space="preserve"> considered</w:t>
      </w:r>
      <w:r w:rsidRPr="00B56453">
        <w:rPr>
          <w:shd w:val="clear" w:color="auto" w:fill="FFFFFF"/>
          <w:lang w:val="en-GB"/>
        </w:rPr>
        <w:t xml:space="preserve"> desirable to individually administer the </w:t>
      </w:r>
      <w:r w:rsidR="00F75F20" w:rsidRPr="00B56453">
        <w:rPr>
          <w:shd w:val="clear" w:color="auto" w:fill="FFFFFF"/>
          <w:lang w:val="en-GB"/>
        </w:rPr>
        <w:t>SRL MA</w:t>
      </w:r>
      <w:r w:rsidRPr="00B56453">
        <w:rPr>
          <w:shd w:val="clear" w:color="auto" w:fill="FFFFFF"/>
          <w:lang w:val="en-GB"/>
        </w:rPr>
        <w:t xml:space="preserve"> protocol to reduce social factors affecting the </w:t>
      </w:r>
      <w:r w:rsidR="009F1882" w:rsidRPr="00B56453">
        <w:rPr>
          <w:lang w:val="en-GB"/>
        </w:rPr>
        <w:t>student</w:t>
      </w:r>
      <w:r w:rsidRPr="00B56453">
        <w:rPr>
          <w:shd w:val="clear" w:color="auto" w:fill="FFFFFF"/>
          <w:lang w:val="en-GB"/>
        </w:rPr>
        <w:t xml:space="preserve">’s responses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&lt;EndNote&gt;&lt;Cite&gt;&lt;Author&gt;Cleary&lt;/Author&gt;&lt;Year&gt;2011&lt;/Year&gt;&lt;RecNum&gt;606&lt;/RecNum&gt;&lt;DisplayText&gt;(Cleary 2011)&lt;/DisplayText&gt;&lt;record&gt;&lt;rec-number&gt;606&lt;/rec-number&gt;&lt;foreign-keys&gt;&lt;key app="EN" db-id="xa2r2ewea92trkef5dt5arvbzafvpv2za5ft" timestamp="1496417559"&gt;606&lt;/key&gt;&lt;/foreign-keys&gt;&lt;ref-type name="Journal Article"&gt;17&lt;/ref-type&gt;&lt;contributors&gt;&lt;authors&gt;&lt;author&gt;Cleary, Timothy J&lt;/author&gt;&lt;/authors&gt;&lt;/contributors&gt;&lt;titles&gt;&lt;title&gt;Emergence of self-regulated learning microanalysis&lt;/title&gt;&lt;secondary-title&gt;Handbook of self-regulation of learning and performance&lt;/secondary-title&gt;&lt;/titles&gt;&lt;periodical&gt;&lt;full-title&gt;Handbook of self-regulation of learning and performance&lt;/full-title&gt;&lt;/periodical&gt;&lt;pages&gt;329-345&lt;/pages&gt;&lt;dates&gt;&lt;year&gt;2011&lt;/year&gt;&lt;/dates&gt;&lt;urls&gt;&lt;/urls&gt;&lt;/record&gt;&lt;/Cite&gt;&lt;/EndNote&gt;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80" w:tooltip="Cleary, 2011 #606" w:history="1">
        <w:r w:rsidR="0094469E" w:rsidRPr="00B56453">
          <w:rPr>
            <w:noProof/>
            <w:shd w:val="clear" w:color="auto" w:fill="FFFFFF"/>
            <w:lang w:val="en-GB"/>
          </w:rPr>
          <w:t>Cleary 2011</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a pragmatic decision was made to administer SRL</w:t>
      </w:r>
      <w:r w:rsidR="00F75F20" w:rsidRPr="00B56453">
        <w:rPr>
          <w:shd w:val="clear" w:color="auto" w:fill="FFFFFF"/>
          <w:lang w:val="en-GB"/>
        </w:rPr>
        <w:t xml:space="preserve"> </w:t>
      </w:r>
      <w:r w:rsidRPr="00B56453">
        <w:rPr>
          <w:shd w:val="clear" w:color="auto" w:fill="FFFFFF"/>
          <w:lang w:val="en-GB"/>
        </w:rPr>
        <w:t xml:space="preserve">MA in a group teaching setting; this format has been used in previous research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&lt;EndNote&gt;&lt;Cite&gt;&lt;Author&gt;Cleary&lt;/Author&gt;&lt;Year&gt;2008&lt;/Year&gt;&lt;RecNum&gt;38&lt;/RecNum&gt;&lt;DisplayText&gt;(Cleary et al. 2008)&lt;/DisplayText&gt;&lt;record&gt;&lt;rec-number&gt;38&lt;/rec-number&gt;&lt;foreign-keys&gt;&lt;key app="EN" db-id="xa2r2ewea92trkef5dt5arvbzafvpv2za5ft" timestamp="1442161763"&gt;38&lt;/key&gt;&lt;/foreign-keys&gt;&lt;ref-type name="Journal Article"&gt;17&lt;/ref-type&gt;&lt;contributors&gt;&lt;authors&gt;&lt;author&gt;Cleary, Timothy J.&lt;/author&gt;&lt;author&gt;Platten, Peter&lt;/author&gt;&lt;author&gt;Nelson, Amy&lt;/author&gt;&lt;/authors&gt;&lt;/contributors&gt;&lt;titles&gt;&lt;title&gt;Effectiveness of the self-regulation empowerment program with urban high school students&lt;/title&gt;&lt;secondary-title&gt;Journal of Advanced Academics&lt;/secondary-title&gt;&lt;/titles&gt;&lt;periodical&gt;&lt;full-title&gt;Journal of Advanced Academics&lt;/full-title&gt;&lt;/periodical&gt;&lt;pages&gt;70-107&lt;/pages&gt;&lt;volume&gt;20&lt;/volume&gt;&lt;number&gt;1&lt;/number&gt;&lt;dates&gt;&lt;year&gt;2008&lt;/year&gt;&lt;/dates&gt;&lt;publisher&gt;SAGE Publications&lt;/publisher&gt;&lt;urls&gt;&lt;/urls&gt;&lt;/record&gt;&lt;/Cite&gt;&lt;/EndNote&gt;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88" w:tooltip="Cleary, 2008 #38" w:history="1">
        <w:r w:rsidR="0094469E" w:rsidRPr="00B56453">
          <w:rPr>
            <w:noProof/>
            <w:shd w:val="clear" w:color="auto" w:fill="FFFFFF"/>
            <w:lang w:val="en-GB"/>
          </w:rPr>
          <w:t>Cleary et al. 2008</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xml:space="preserve">. </w:t>
      </w:r>
      <w:r w:rsidR="002F74A2" w:rsidRPr="00B56453">
        <w:rPr>
          <w:shd w:val="clear" w:color="auto" w:fill="FFFFFF"/>
          <w:lang w:val="en-GB"/>
        </w:rPr>
        <w:t>In usual</w:t>
      </w:r>
      <w:r w:rsidR="001B27CF" w:rsidRPr="00B56453">
        <w:rPr>
          <w:shd w:val="clear" w:color="auto" w:fill="FFFFFF"/>
          <w:lang w:val="en-GB"/>
        </w:rPr>
        <w:t xml:space="preserve"> practice, c</w:t>
      </w:r>
      <w:r w:rsidRPr="00B56453">
        <w:rPr>
          <w:shd w:val="clear" w:color="auto" w:fill="FFFFFF"/>
          <w:lang w:val="en-GB"/>
        </w:rPr>
        <w:t>linic</w:t>
      </w:r>
      <w:r w:rsidR="009D23A1" w:rsidRPr="00B56453">
        <w:rPr>
          <w:shd w:val="clear" w:color="auto" w:fill="FFFFFF"/>
          <w:lang w:val="en-GB"/>
        </w:rPr>
        <w:t>al skills teaching sessions we</w:t>
      </w:r>
      <w:r w:rsidRPr="00B56453">
        <w:rPr>
          <w:shd w:val="clear" w:color="auto" w:fill="FFFFFF"/>
          <w:lang w:val="en-GB"/>
        </w:rPr>
        <w:t xml:space="preserve">re </w:t>
      </w:r>
      <w:r w:rsidR="001B27CF" w:rsidRPr="00B56453">
        <w:rPr>
          <w:shd w:val="clear" w:color="auto" w:fill="FFFFFF"/>
          <w:lang w:val="en-GB"/>
        </w:rPr>
        <w:t>conducted</w:t>
      </w:r>
      <w:r w:rsidRPr="00B56453">
        <w:rPr>
          <w:shd w:val="clear" w:color="auto" w:fill="FFFFFF"/>
          <w:lang w:val="en-GB"/>
        </w:rPr>
        <w:t xml:space="preserve"> with the class observing as each stude</w:t>
      </w:r>
      <w:r w:rsidR="009D23A1" w:rsidRPr="00B56453">
        <w:rPr>
          <w:shd w:val="clear" w:color="auto" w:fill="FFFFFF"/>
          <w:lang w:val="en-GB"/>
        </w:rPr>
        <w:t>nt attempted</w:t>
      </w:r>
      <w:r w:rsidR="001B27CF" w:rsidRPr="00B56453">
        <w:rPr>
          <w:shd w:val="clear" w:color="auto" w:fill="FFFFFF"/>
          <w:lang w:val="en-GB"/>
        </w:rPr>
        <w:t xml:space="preserve"> the task one-by-one. </w:t>
      </w:r>
      <w:r w:rsidR="00FC0FFB" w:rsidRPr="00B56453">
        <w:rPr>
          <w:shd w:val="clear" w:color="auto" w:fill="FFFFFF"/>
          <w:lang w:val="en-GB"/>
        </w:rPr>
        <w:t>To</w:t>
      </w:r>
      <w:r w:rsidRPr="00B56453">
        <w:rPr>
          <w:shd w:val="clear" w:color="auto" w:fill="FFFFFF"/>
          <w:lang w:val="en-GB"/>
        </w:rPr>
        <w:t xml:space="preserve"> ensure ecological validity and standardisation across study groups</w:t>
      </w:r>
      <w:r w:rsidR="009D23A1" w:rsidRPr="00B56453">
        <w:rPr>
          <w:shd w:val="clear" w:color="auto" w:fill="FFFFFF"/>
          <w:lang w:val="en-GB"/>
        </w:rPr>
        <w:t>, the sessions remained in this</w:t>
      </w:r>
      <w:r w:rsidRPr="00B56453">
        <w:rPr>
          <w:shd w:val="clear" w:color="auto" w:fill="FFFFFF"/>
          <w:lang w:val="en-GB"/>
        </w:rPr>
        <w:t xml:space="preserve"> usual format. </w:t>
      </w:r>
    </w:p>
    <w:p w14:paraId="56D120B4" w14:textId="77777777" w:rsidR="003723B7" w:rsidRPr="00B56453" w:rsidRDefault="003723B7" w:rsidP="00026049">
      <w:pPr>
        <w:pStyle w:val="Normal1"/>
        <w:rPr>
          <w:shd w:val="clear" w:color="auto" w:fill="FFFFFF"/>
          <w:lang w:val="en-GB"/>
        </w:rPr>
      </w:pPr>
    </w:p>
    <w:p w14:paraId="3AA94191" w14:textId="77777777" w:rsidR="00174EA0" w:rsidRPr="00B56453" w:rsidRDefault="00174EA0" w:rsidP="00026049">
      <w:pPr>
        <w:pStyle w:val="Normal1"/>
        <w:rPr>
          <w:shd w:val="clear" w:color="auto" w:fill="FFFFFF"/>
          <w:lang w:val="en-GB"/>
        </w:rPr>
      </w:pPr>
    </w:p>
    <w:p w14:paraId="0A452BF9" w14:textId="77777777" w:rsidR="00174EA0" w:rsidRPr="00B56453" w:rsidRDefault="00174EA0" w:rsidP="00026049">
      <w:pPr>
        <w:pStyle w:val="Normal1"/>
        <w:rPr>
          <w:shd w:val="clear" w:color="auto" w:fill="FFFFFF"/>
          <w:lang w:val="en-GB"/>
        </w:rPr>
      </w:pPr>
    </w:p>
    <w:p w14:paraId="1AB4B033" w14:textId="77777777" w:rsidR="00174EA0" w:rsidRPr="00B56453" w:rsidRDefault="00174EA0" w:rsidP="00026049">
      <w:pPr>
        <w:pStyle w:val="Normal1"/>
        <w:rPr>
          <w:shd w:val="clear" w:color="auto" w:fill="FFFFFF"/>
          <w:lang w:val="en-GB"/>
        </w:rPr>
      </w:pPr>
    </w:p>
    <w:p w14:paraId="67AF457A" w14:textId="77777777" w:rsidR="00EA693E" w:rsidRPr="00B56453" w:rsidRDefault="00EA693E" w:rsidP="00026049">
      <w:pPr>
        <w:pStyle w:val="Normal1"/>
        <w:rPr>
          <w:lang w:val="en-GB"/>
        </w:rPr>
      </w:pPr>
      <w:r w:rsidRPr="00B56453">
        <w:rPr>
          <w:lang w:val="en-GB"/>
        </w:rPr>
        <w:lastRenderedPageBreak/>
        <w:t>The justification for each question and its format are listed below:</w:t>
      </w:r>
    </w:p>
    <w:p w14:paraId="4A09400C" w14:textId="77777777" w:rsidR="00EA693E" w:rsidRPr="00B56453" w:rsidRDefault="00EA693E" w:rsidP="00026049">
      <w:pPr>
        <w:pStyle w:val="Normal1"/>
        <w:rPr>
          <w:lang w:val="en-GB"/>
        </w:rPr>
      </w:pPr>
    </w:p>
    <w:p w14:paraId="5FEAE752" w14:textId="22CD588B" w:rsidR="00EA693E" w:rsidRPr="00B56453" w:rsidRDefault="00DD0B00" w:rsidP="00BA4521">
      <w:pPr>
        <w:pStyle w:val="Heading3"/>
        <w:rPr>
          <w:shd w:val="clear" w:color="auto" w:fill="FFFFFF"/>
        </w:rPr>
      </w:pPr>
      <w:bookmarkStart w:id="256" w:name="_Toc500319367"/>
      <w:r w:rsidRPr="00B56453">
        <w:rPr>
          <w:shd w:val="clear" w:color="auto" w:fill="FFFFFF"/>
        </w:rPr>
        <w:t xml:space="preserve">B1.1.1 </w:t>
      </w:r>
      <w:r w:rsidR="00EA693E" w:rsidRPr="00B56453">
        <w:rPr>
          <w:shd w:val="clear" w:color="auto" w:fill="FFFFFF"/>
        </w:rPr>
        <w:t>Self-efficacy</w:t>
      </w:r>
      <w:bookmarkEnd w:id="256"/>
    </w:p>
    <w:p w14:paraId="51B92242" w14:textId="77777777" w:rsidR="00EA693E" w:rsidRPr="00B56453" w:rsidRDefault="00EA693E" w:rsidP="00026049">
      <w:pPr>
        <w:pStyle w:val="Normal1"/>
        <w:rPr>
          <w:shd w:val="clear" w:color="auto" w:fill="FFFFFF"/>
          <w:lang w:val="en-GB"/>
        </w:rPr>
      </w:pPr>
    </w:p>
    <w:p w14:paraId="46642647" w14:textId="6E606779" w:rsidR="00EA693E" w:rsidRPr="00B56453" w:rsidRDefault="00EA693E" w:rsidP="00026049">
      <w:pPr>
        <w:pStyle w:val="Normal1"/>
        <w:rPr>
          <w:shd w:val="clear" w:color="auto" w:fill="FFFFFF"/>
          <w:lang w:val="en-GB"/>
        </w:rPr>
      </w:pPr>
      <w:r w:rsidRPr="00B56453">
        <w:rPr>
          <w:shd w:val="clear" w:color="auto" w:fill="FFFFFF"/>
          <w:lang w:val="en-GB"/>
        </w:rPr>
        <w:t>Changes in self-efficacy were the focus of Bandura</w:t>
      </w:r>
      <w:r w:rsidR="00F75F20" w:rsidRPr="00B56453">
        <w:rPr>
          <w:shd w:val="clear" w:color="auto" w:fill="FFFFFF"/>
          <w:lang w:val="en-GB"/>
        </w:rPr>
        <w:t xml:space="preserve"> et al.</w:t>
      </w:r>
      <w:r w:rsidRPr="00B56453">
        <w:rPr>
          <w:shd w:val="clear" w:color="auto" w:fill="FFFFFF"/>
          <w:lang w:val="en-GB"/>
        </w:rPr>
        <w:t>’s</w:t>
      </w:r>
      <w:r w:rsidR="00F75F20" w:rsidRPr="00B56453">
        <w:rPr>
          <w:shd w:val="clear" w:color="auto" w:fill="FFFFFF"/>
          <w:lang w:val="en-GB"/>
        </w:rPr>
        <w:t xml:space="preserve"> </w:t>
      </w:r>
      <w:r w:rsidR="00F75F20" w:rsidRPr="007638B6">
        <w:rPr>
          <w:shd w:val="clear" w:color="auto" w:fill="FFFFFF"/>
          <w:lang w:val="en-GB"/>
        </w:rPr>
        <w:fldChar w:fldCharType="begin"/>
      </w:r>
      <w:r w:rsidR="00F75F20" w:rsidRPr="00B56453">
        <w:rPr>
          <w:shd w:val="clear" w:color="auto" w:fill="FFFFFF"/>
          <w:lang w:val="en-GB"/>
        </w:rPr>
        <w:instrText xml:space="preserve"> ADDIN EN.CITE &lt;EndNote&gt;&lt;Cite ExcludeAuth="1"&gt;&lt;Author&gt;Bandura&lt;/Author&gt;&lt;Year&gt;1977&lt;/Year&gt;&lt;RecNum&gt;7&lt;/RecNum&gt;&lt;DisplayText&gt;(1977)&lt;/DisplayText&gt;&lt;record&gt;&lt;rec-number&gt;7&lt;/rec-number&gt;&lt;foreign-keys&gt;&lt;key app="EN" db-id="xa2r2ewea92trkef5dt5arvbzafvpv2za5ft" timestamp="1442161763"&gt;7&lt;/key&gt;&lt;/foreign-keys&gt;&lt;ref-type name="Journal Article"&gt;17&lt;/ref-type&gt;&lt;contributors&gt;&lt;authors&gt;&lt;author&gt;Bandura, Albert&lt;/author&gt;&lt;author&gt;Adams, Nancy E.&lt;/author&gt;&lt;author&gt;Beyer, Janice&lt;/author&gt;&lt;/authors&gt;&lt;/contributors&gt;&lt;titles&gt;&lt;title&gt;Cognitive processes mediating behavioral change&lt;/title&gt;&lt;secondary-title&gt;Journal of personality and social psychology&lt;/secondary-title&gt;&lt;/titles&gt;&lt;periodical&gt;&lt;full-title&gt;Journal of personality and social psychology&lt;/full-title&gt;&lt;/periodical&gt;&lt;pages&gt;125&lt;/pages&gt;&lt;volume&gt;35&lt;/volume&gt;&lt;number&gt;3&lt;/number&gt;&lt;dates&gt;&lt;year&gt;1977&lt;/year&gt;&lt;/dates&gt;&lt;publisher&gt;American Psychological Association&lt;/publisher&gt;&lt;urls&gt;&lt;/urls&gt;&lt;/record&gt;&lt;/Cite&gt;&lt;/EndNote&gt;</w:instrText>
      </w:r>
      <w:r w:rsidR="00F75F20" w:rsidRPr="00B27F0B">
        <w:rPr>
          <w:shd w:val="clear" w:color="auto" w:fill="FFFFFF"/>
          <w:lang w:val="en-GB"/>
        </w:rPr>
        <w:fldChar w:fldCharType="separate"/>
      </w:r>
      <w:r w:rsidR="00F75F20" w:rsidRPr="00B56453">
        <w:rPr>
          <w:noProof/>
          <w:shd w:val="clear" w:color="auto" w:fill="FFFFFF"/>
          <w:lang w:val="en-GB"/>
        </w:rPr>
        <w:t>(</w:t>
      </w:r>
      <w:hyperlink w:anchor="_ENREF_16" w:tooltip="Bandura, 1977 #7" w:history="1">
        <w:r w:rsidR="0094469E" w:rsidRPr="00B56453">
          <w:rPr>
            <w:noProof/>
            <w:shd w:val="clear" w:color="auto" w:fill="FFFFFF"/>
            <w:lang w:val="en-GB"/>
          </w:rPr>
          <w:t>1977</w:t>
        </w:r>
      </w:hyperlink>
      <w:r w:rsidR="00F75F20" w:rsidRPr="00B56453">
        <w:rPr>
          <w:noProof/>
          <w:shd w:val="clear" w:color="auto" w:fill="FFFFFF"/>
          <w:lang w:val="en-GB"/>
        </w:rPr>
        <w:t>)</w:t>
      </w:r>
      <w:r w:rsidR="00F75F20" w:rsidRPr="007638B6">
        <w:rPr>
          <w:shd w:val="clear" w:color="auto" w:fill="FFFFFF"/>
          <w:lang w:val="en-GB"/>
        </w:rPr>
        <w:fldChar w:fldCharType="end"/>
      </w:r>
      <w:r w:rsidRPr="00B56453">
        <w:rPr>
          <w:shd w:val="clear" w:color="auto" w:fill="FFFFFF"/>
          <w:lang w:val="en-GB"/>
        </w:rPr>
        <w:t xml:space="preserve"> first attempt at a form of </w:t>
      </w:r>
      <w:r w:rsidR="007040AC" w:rsidRPr="00B56453">
        <w:rPr>
          <w:shd w:val="clear" w:color="auto" w:fill="FFFFFF"/>
          <w:lang w:val="en-GB"/>
        </w:rPr>
        <w:t>MA</w:t>
      </w:r>
      <w:r w:rsidRPr="00B56453">
        <w:rPr>
          <w:shd w:val="clear" w:color="auto" w:fill="FFFFFF"/>
          <w:lang w:val="en-GB"/>
        </w:rPr>
        <w:t>.</w:t>
      </w:r>
      <w:r w:rsidR="00DD0B00" w:rsidRPr="00B56453">
        <w:rPr>
          <w:shd w:val="clear" w:color="auto" w:fill="FFFFFF"/>
          <w:lang w:val="en-GB"/>
        </w:rPr>
        <w:t xml:space="preserve"> </w:t>
      </w:r>
      <w:r w:rsidRPr="00B56453">
        <w:rPr>
          <w:shd w:val="clear" w:color="auto" w:fill="FFFFFF"/>
          <w:lang w:val="en-GB"/>
        </w:rPr>
        <w:t xml:space="preserve">The self-efficacy item in this study was designed based on guidelines by other studies that measured self-efficacy in clinical settings using </w:t>
      </w:r>
      <w:r w:rsidR="007040AC" w:rsidRPr="00B56453">
        <w:rPr>
          <w:shd w:val="clear" w:color="auto" w:fill="FFFFFF"/>
          <w:lang w:val="en-GB"/>
        </w:rPr>
        <w:t>MA</w:t>
      </w:r>
      <w:r w:rsidRPr="00B56453">
        <w:rPr>
          <w:shd w:val="clear" w:color="auto" w:fill="FFFFFF"/>
          <w:lang w:val="en-GB"/>
        </w:rPr>
        <w:t xml:space="preserve"> </w:t>
      </w:r>
      <w:r w:rsidRPr="009C274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&lt;EndNote&gt;&lt;Cite&gt;&lt;Author&gt;Cleary&lt;/Author&gt;&lt;Year&gt;2011&lt;/Year&gt;&lt;RecNum&gt;39&lt;/RecNum&gt;&lt;DisplayText&gt;(Cleary and Sandars 2011; Cleary et al. 2014)&lt;/DisplayText&gt;&lt;record&gt;&lt;rec-number&gt;39&lt;/rec-number&gt;&lt;foreign-keys&gt;&lt;key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Francis&lt;/publisher&gt;&lt;urls&gt;&lt;/urls&gt;&lt;/record&gt;&lt;/Cite&gt;&lt;Cite&gt;&lt;Author&gt;Cleary&lt;/Author&gt;&lt;Year&gt;2014&lt;/Year&gt;&lt;RecNum&gt;37&lt;/RecNum&gt;&lt;record&gt;&lt;rec-number&gt;37&lt;/rec-number&gt;&lt;foreign-keys&gt;&lt;key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Pr="00B27F0B">
        <w:rPr>
          <w:shd w:val="clear" w:color="auto" w:fill="FFFFFF"/>
          <w:lang w:val="en-GB"/>
        </w:rPr>
        <w:fldChar w:fldCharType="separate"/>
      </w:r>
      <w:r w:rsidR="004E5A78" w:rsidRPr="00B56453">
        <w:rPr>
          <w:noProof/>
          <w:shd w:val="clear" w:color="auto" w:fill="FFFFFF"/>
          <w:lang w:val="en-GB"/>
        </w:rPr>
        <w:t>(</w:t>
      </w:r>
      <w:hyperlink w:anchor="_ENREF_89" w:tooltip="Cleary, 2011 #39" w:history="1">
        <w:r w:rsidR="0094469E" w:rsidRPr="00B56453">
          <w:rPr>
            <w:noProof/>
            <w:shd w:val="clear" w:color="auto" w:fill="FFFFFF"/>
            <w:lang w:val="en-GB"/>
          </w:rPr>
          <w:t>Cleary and Sandars 2011</w:t>
        </w:r>
      </w:hyperlink>
      <w:r w:rsidR="004E5A78" w:rsidRPr="00B56453">
        <w:rPr>
          <w:noProof/>
          <w:shd w:val="clear" w:color="auto" w:fill="FFFFFF"/>
          <w:lang w:val="en-GB"/>
        </w:rPr>
        <w:t xml:space="preserve">; </w:t>
      </w:r>
      <w:hyperlink w:anchor="_ENREF_85" w:tooltip="Cleary, 2014 #36" w:history="1">
        <w:r w:rsidR="0094469E" w:rsidRPr="00B56453">
          <w:rPr>
            <w:noProof/>
            <w:shd w:val="clear" w:color="auto" w:fill="FFFFFF"/>
            <w:lang w:val="en-GB"/>
          </w:rPr>
          <w:t>Cleary et al. 2014</w:t>
        </w:r>
      </w:hyperlink>
      <w:r w:rsidR="004E5A78" w:rsidRPr="00B56453">
        <w:rPr>
          <w:noProof/>
          <w:shd w:val="clear" w:color="auto" w:fill="FFFFFF"/>
          <w:lang w:val="en-GB"/>
        </w:rPr>
        <w:t>)</w:t>
      </w:r>
      <w:r w:rsidRPr="009C2746">
        <w:rPr>
          <w:shd w:val="clear" w:color="auto" w:fill="FFFFFF"/>
          <w:lang w:val="en-GB"/>
        </w:rPr>
        <w:fldChar w:fldCharType="end"/>
      </w:r>
      <w:r w:rsidR="009D23A1" w:rsidRPr="00B56453">
        <w:rPr>
          <w:shd w:val="clear" w:color="auto" w:fill="FFFFFF"/>
          <w:lang w:val="en-GB"/>
        </w:rPr>
        <w:t>. This single item question had</w:t>
      </w:r>
      <w:r w:rsidRPr="00B56453">
        <w:rPr>
          <w:shd w:val="clear" w:color="auto" w:fill="FFFFFF"/>
          <w:lang w:val="en-GB"/>
        </w:rPr>
        <w:t xml:space="preserve"> the purpose of examining the student’s confidence in their ability to perform the task correctl</w:t>
      </w:r>
      <w:r w:rsidR="009D23A1" w:rsidRPr="00B56453">
        <w:rPr>
          <w:shd w:val="clear" w:color="auto" w:fill="FFFFFF"/>
          <w:lang w:val="en-GB"/>
        </w:rPr>
        <w:t>y on their first attempt, this wa</w:t>
      </w:r>
      <w:r w:rsidRPr="00B56453">
        <w:rPr>
          <w:shd w:val="clear" w:color="auto" w:fill="FFFFFF"/>
          <w:lang w:val="en-GB"/>
        </w:rPr>
        <w:t xml:space="preserve">s measured using a 0-100 scale: </w:t>
      </w:r>
    </w:p>
    <w:p w14:paraId="0B1D45A4" w14:textId="77777777" w:rsidR="00EA693E" w:rsidRPr="00B27F0B" w:rsidRDefault="00EA693E" w:rsidP="00750F7B">
      <w:pPr>
        <w:pStyle w:val="Quote"/>
        <w:rPr>
          <w:shd w:val="clear" w:color="auto" w:fill="FFFFFF"/>
          <w:lang w:val="en-GB"/>
        </w:rPr>
      </w:pPr>
      <w:r w:rsidRPr="00B27F0B">
        <w:rPr>
          <w:shd w:val="clear" w:color="auto" w:fill="FFFFFF"/>
          <w:lang w:val="en-GB"/>
        </w:rPr>
        <w:t>“On a scale of 0-100, how sure are you that you will correctly draw blood/insert the catheter on this attempt? 10 is not sure at all, 40 is somewhat sure, 70 is pretty sure and 100 is very sure.”</w:t>
      </w:r>
    </w:p>
    <w:p w14:paraId="7D0561DE" w14:textId="77777777" w:rsidR="00EA693E" w:rsidRPr="00B56453" w:rsidRDefault="00EA693E" w:rsidP="00026049">
      <w:pPr>
        <w:pStyle w:val="Normal1"/>
        <w:rPr>
          <w:shd w:val="clear" w:color="auto" w:fill="FFFFFF"/>
          <w:lang w:val="en-GB"/>
        </w:rPr>
      </w:pPr>
    </w:p>
    <w:p w14:paraId="528871D1" w14:textId="23F3242D" w:rsidR="00EA693E" w:rsidRPr="00BD42AF" w:rsidRDefault="00DD0B00" w:rsidP="00BA4521">
      <w:pPr>
        <w:pStyle w:val="Heading3"/>
        <w:rPr>
          <w:shd w:val="clear" w:color="auto" w:fill="FFFFFF"/>
        </w:rPr>
      </w:pPr>
      <w:bookmarkStart w:id="257" w:name="_Toc500319368"/>
      <w:r w:rsidRPr="00BD42AF">
        <w:rPr>
          <w:shd w:val="clear" w:color="auto" w:fill="FFFFFF"/>
        </w:rPr>
        <w:t xml:space="preserve">B1.1.2 </w:t>
      </w:r>
      <w:r w:rsidR="00EA693E" w:rsidRPr="00BD42AF">
        <w:rPr>
          <w:shd w:val="clear" w:color="auto" w:fill="FFFFFF"/>
        </w:rPr>
        <w:t xml:space="preserve">Situational </w:t>
      </w:r>
      <w:r w:rsidR="00174EA0" w:rsidRPr="00BD42AF">
        <w:rPr>
          <w:shd w:val="clear" w:color="auto" w:fill="FFFFFF"/>
        </w:rPr>
        <w:t>A</w:t>
      </w:r>
      <w:r w:rsidR="00EA693E" w:rsidRPr="00BD42AF">
        <w:rPr>
          <w:shd w:val="clear" w:color="auto" w:fill="FFFFFF"/>
        </w:rPr>
        <w:t>wareness</w:t>
      </w:r>
      <w:bookmarkEnd w:id="257"/>
    </w:p>
    <w:p w14:paraId="5783359E" w14:textId="77777777" w:rsidR="00EA693E" w:rsidRPr="00BD42AF" w:rsidRDefault="00EA693E" w:rsidP="00026049">
      <w:pPr>
        <w:pStyle w:val="Normal1"/>
        <w:rPr>
          <w:shd w:val="clear" w:color="auto" w:fill="FFFFFF"/>
          <w:lang w:val="en-GB"/>
        </w:rPr>
      </w:pPr>
    </w:p>
    <w:p w14:paraId="5FACCE4E" w14:textId="1F1FE0D2" w:rsidR="00EA693E" w:rsidRPr="00B56453" w:rsidRDefault="00EA693E" w:rsidP="00026049">
      <w:pPr>
        <w:pStyle w:val="Normal1"/>
        <w:rPr>
          <w:shd w:val="clear" w:color="auto" w:fill="FFFFFF"/>
          <w:lang w:val="en-GB"/>
        </w:rPr>
      </w:pPr>
      <w:r w:rsidRPr="00BD42AF">
        <w:rPr>
          <w:shd w:val="clear" w:color="auto" w:fill="FFFFFF"/>
          <w:lang w:val="en-GB"/>
        </w:rPr>
        <w:t>The situation</w:t>
      </w:r>
      <w:r w:rsidR="009D23A1" w:rsidRPr="00BD42AF">
        <w:rPr>
          <w:shd w:val="clear" w:color="auto" w:fill="FFFFFF"/>
          <w:lang w:val="en-GB"/>
        </w:rPr>
        <w:t>al awareness item aimed to assess whether the student wa</w:t>
      </w:r>
      <w:r w:rsidRPr="00BD42AF">
        <w:rPr>
          <w:shd w:val="clear" w:color="auto" w:fill="FFFFFF"/>
          <w:lang w:val="en-GB"/>
        </w:rPr>
        <w:t xml:space="preserve">s aware of </w:t>
      </w:r>
      <w:r w:rsidR="00F90626" w:rsidRPr="00BD42AF">
        <w:rPr>
          <w:shd w:val="clear" w:color="auto" w:fill="FFFFFF"/>
          <w:lang w:val="en-GB"/>
        </w:rPr>
        <w:t xml:space="preserve">external or internal </w:t>
      </w:r>
      <w:r w:rsidRPr="00BD42AF">
        <w:rPr>
          <w:shd w:val="clear" w:color="auto" w:fill="FFFFFF"/>
          <w:lang w:val="en-GB"/>
        </w:rPr>
        <w:t>factors which may affect how they perform</w:t>
      </w:r>
      <w:r w:rsidR="009D23A1" w:rsidRPr="00BD42AF">
        <w:rPr>
          <w:shd w:val="clear" w:color="auto" w:fill="FFFFFF"/>
          <w:lang w:val="en-GB"/>
        </w:rPr>
        <w:t>ed</w:t>
      </w:r>
      <w:r w:rsidRPr="00BD42AF">
        <w:rPr>
          <w:shd w:val="clear" w:color="auto" w:fill="FFFFFF"/>
          <w:lang w:val="en-GB"/>
        </w:rPr>
        <w:t xml:space="preserve"> the task. This item ha</w:t>
      </w:r>
      <w:r w:rsidR="00F90626" w:rsidRPr="001046E5">
        <w:rPr>
          <w:shd w:val="clear" w:color="auto" w:fill="FFFFFF"/>
          <w:lang w:val="en-GB"/>
        </w:rPr>
        <w:t>d</w:t>
      </w:r>
      <w:r w:rsidRPr="00C71126">
        <w:rPr>
          <w:shd w:val="clear" w:color="auto" w:fill="FFFFFF"/>
          <w:lang w:val="en-GB"/>
        </w:rPr>
        <w:t xml:space="preserve"> not been included in previous research, perhaps due to the lack of emphasis on contextual and environmental factors in the SRL literature until recently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&lt;EndNote&gt;&lt;Cite&gt;&lt;Author&gt;Brydges&lt;/Author&gt;&lt;Year&gt;2015&lt;/Year&gt;&lt;RecNum&gt;18&lt;/RecNum&gt;&lt;DisplayText&gt;(Brydges et al. 2015)&lt;/DisplayText&gt;&lt;record&gt;&lt;rec-number&gt;18&lt;/rec-number&gt;&lt;foreign-keys&gt;&lt;key app="EN" db-id="xa2r2ewea92trkef5dt5arvbzafvpv2za5ft" timestamp="1442161763"&gt;18&lt;/key&gt;&lt;/foreign-keys&gt;&lt;ref-type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sidRPr="00B56453">
        <w:rPr>
          <w:rFonts w:ascii="Cambria Math" w:hAnsi="Cambria Math" w:cs="Cambria Math"/>
          <w:shd w:val="clear" w:color="auto" w:fill="FFFFFF"/>
          <w:lang w:val="en-GB"/>
        </w:rPr>
        <w:instrText>‐</w:instrText>
      </w:r>
      <w:r w:rsidR="008B61BE" w:rsidRPr="00B56453">
        <w:rPr>
          <w:shd w:val="clear" w:color="auto" w:fill="FFFFFF"/>
          <w:lang w:val="en-GB"/>
        </w:rPr>
        <w:instrText>regulated learning in simulation</w:instrText>
      </w:r>
      <w:r w:rsidR="008B61BE" w:rsidRPr="00B56453">
        <w:rPr>
          <w:rFonts w:ascii="Cambria Math" w:hAnsi="Cambria Math" w:cs="Cambria Math"/>
          <w:shd w:val="clear" w:color="auto" w:fill="FFFFFF"/>
          <w:lang w:val="en-GB"/>
        </w:rPr>
        <w:instrText>‐</w:instrText>
      </w:r>
      <w:r w:rsidR="008B61BE" w:rsidRPr="00B56453">
        <w:rPr>
          <w:shd w:val="clear" w:color="auto" w:fill="FFFFFF"/>
          <w:lang w:val="en-GB"/>
        </w:rPr>
        <w:instrText>based training: a systematic review and meta</w:instrText>
      </w:r>
      <w:r w:rsidR="008B61BE" w:rsidRPr="00B56453">
        <w:rPr>
          <w:rFonts w:ascii="Cambria Math" w:hAnsi="Cambria Math" w:cs="Cambria Math"/>
          <w:shd w:val="clear" w:color="auto" w:fill="FFFFFF"/>
          <w:lang w:val="en-GB"/>
        </w:rPr>
        <w:instrText>‐</w:instrText>
      </w:r>
      <w:r w:rsidR="008B61BE" w:rsidRPr="00B56453">
        <w:rPr>
          <w:shd w:val="clear" w:color="auto" w:fill="FFFFFF"/>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56" w:tooltip="Brydges, 2015 #18" w:history="1">
        <w:r w:rsidR="0094469E" w:rsidRPr="00B56453">
          <w:rPr>
            <w:noProof/>
            <w:shd w:val="clear" w:color="auto" w:fill="FFFFFF"/>
            <w:lang w:val="en-GB"/>
          </w:rPr>
          <w:t>Brydges et al. 2015</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Therefore, aspects o</w:t>
      </w:r>
      <w:r w:rsidR="009D23A1" w:rsidRPr="00B56453">
        <w:rPr>
          <w:shd w:val="clear" w:color="auto" w:fill="FFFFFF"/>
          <w:lang w:val="en-GB"/>
        </w:rPr>
        <w:t>f the self and the environment we</w:t>
      </w:r>
      <w:r w:rsidRPr="00B56453">
        <w:rPr>
          <w:shd w:val="clear" w:color="auto" w:fill="FFFFFF"/>
          <w:lang w:val="en-GB"/>
        </w:rPr>
        <w:t>re focused upon in this item:</w:t>
      </w:r>
    </w:p>
    <w:p w14:paraId="0373735C" w14:textId="77777777" w:rsidR="00EA693E" w:rsidRPr="00B27F0B" w:rsidRDefault="00EA693E" w:rsidP="00750F7B">
      <w:pPr>
        <w:pStyle w:val="Quote"/>
        <w:rPr>
          <w:lang w:val="en-GB"/>
        </w:rPr>
      </w:pPr>
      <w:r w:rsidRPr="00B27F0B">
        <w:rPr>
          <w:lang w:val="en-GB"/>
        </w:rPr>
        <w:t>“Are you aware of any factors within yourself or around you that might interfere with how you draw blood/insert the catheter? If so, what is it/are they?”</w:t>
      </w:r>
    </w:p>
    <w:p w14:paraId="7F1D4EE9" w14:textId="77777777" w:rsidR="00EA693E" w:rsidRPr="00B56453" w:rsidRDefault="00EA693E" w:rsidP="00026049">
      <w:pPr>
        <w:pStyle w:val="Normal1"/>
        <w:rPr>
          <w:shd w:val="clear" w:color="auto" w:fill="FFFFFF"/>
          <w:lang w:val="en-GB"/>
        </w:rPr>
      </w:pPr>
    </w:p>
    <w:p w14:paraId="22692D38" w14:textId="6DF06521" w:rsidR="00EA693E" w:rsidRPr="00BD42AF" w:rsidRDefault="00DD0B00" w:rsidP="00BA4521">
      <w:pPr>
        <w:pStyle w:val="Heading3"/>
        <w:rPr>
          <w:shd w:val="clear" w:color="auto" w:fill="FFFFFF"/>
        </w:rPr>
      </w:pPr>
      <w:bookmarkStart w:id="258" w:name="_Toc500319369"/>
      <w:r w:rsidRPr="00BD42AF">
        <w:rPr>
          <w:shd w:val="clear" w:color="auto" w:fill="FFFFFF"/>
        </w:rPr>
        <w:t xml:space="preserve">B1.1.3 </w:t>
      </w:r>
      <w:r w:rsidR="00EA693E" w:rsidRPr="00BD42AF">
        <w:rPr>
          <w:shd w:val="clear" w:color="auto" w:fill="FFFFFF"/>
        </w:rPr>
        <w:t xml:space="preserve">Strategic </w:t>
      </w:r>
      <w:r w:rsidR="00174EA0" w:rsidRPr="00BD42AF">
        <w:rPr>
          <w:shd w:val="clear" w:color="auto" w:fill="FFFFFF"/>
        </w:rPr>
        <w:t>P</w:t>
      </w:r>
      <w:r w:rsidR="00EA693E" w:rsidRPr="00BD42AF">
        <w:rPr>
          <w:shd w:val="clear" w:color="auto" w:fill="FFFFFF"/>
        </w:rPr>
        <w:t>lanning</w:t>
      </w:r>
      <w:bookmarkEnd w:id="258"/>
    </w:p>
    <w:p w14:paraId="37F87877" w14:textId="77777777" w:rsidR="00EA693E" w:rsidRPr="00BD42AF" w:rsidRDefault="00EA693E" w:rsidP="00026049">
      <w:pPr>
        <w:pStyle w:val="Normal1"/>
        <w:rPr>
          <w:shd w:val="clear" w:color="auto" w:fill="FFFFFF"/>
          <w:lang w:val="en-GB"/>
        </w:rPr>
      </w:pPr>
    </w:p>
    <w:p w14:paraId="52322CC5" w14:textId="5B5A67D4" w:rsidR="00EA693E" w:rsidRPr="00B56453" w:rsidRDefault="00EA693E" w:rsidP="00026049">
      <w:pPr>
        <w:pStyle w:val="Normal1"/>
        <w:rPr>
          <w:shd w:val="clear" w:color="auto" w:fill="FFFFFF"/>
          <w:lang w:val="en-GB"/>
        </w:rPr>
      </w:pPr>
      <w:r w:rsidRPr="00BD42AF">
        <w:rPr>
          <w:shd w:val="clear" w:color="auto" w:fill="FFFFFF"/>
          <w:lang w:val="en-GB"/>
        </w:rPr>
        <w:t>The strategic plann</w:t>
      </w:r>
      <w:r w:rsidR="009D23A1" w:rsidRPr="00BD42AF">
        <w:rPr>
          <w:shd w:val="clear" w:color="auto" w:fill="FFFFFF"/>
          <w:lang w:val="en-GB"/>
        </w:rPr>
        <w:t>ing single-item measure attempted</w:t>
      </w:r>
      <w:r w:rsidRPr="00BD42AF">
        <w:rPr>
          <w:shd w:val="clear" w:color="auto" w:fill="FFFFFF"/>
          <w:lang w:val="en-GB"/>
        </w:rPr>
        <w:t xml:space="preserve"> to understand the student’s plans for approaching the clinical skill and any strategies they aim</w:t>
      </w:r>
      <w:r w:rsidR="009D23A1" w:rsidRPr="00BD42AF">
        <w:rPr>
          <w:shd w:val="clear" w:color="auto" w:fill="FFFFFF"/>
          <w:lang w:val="en-GB"/>
        </w:rPr>
        <w:t>ed</w:t>
      </w:r>
      <w:r w:rsidRPr="00BD42AF">
        <w:rPr>
          <w:shd w:val="clear" w:color="auto" w:fill="FFFFFF"/>
          <w:lang w:val="en-GB"/>
        </w:rPr>
        <w:t xml:space="preserve"> to use to achieve a successful performance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83" w:tooltip="Cleary, 2012 #35" w:history="1">
        <w:r w:rsidR="0094469E" w:rsidRPr="00B56453">
          <w:rPr>
            <w:noProof/>
            <w:shd w:val="clear" w:color="auto" w:fill="FFFFFF"/>
            <w:lang w:val="en-GB"/>
          </w:rPr>
          <w:t>Cleary et al. 2012</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xml:space="preserve">. The question </w:t>
      </w:r>
      <w:r w:rsidR="009D23A1" w:rsidRPr="00B56453">
        <w:rPr>
          <w:shd w:val="clear" w:color="auto" w:fill="FFFFFF"/>
          <w:lang w:val="en-GB"/>
        </w:rPr>
        <w:t>was</w:t>
      </w:r>
      <w:r w:rsidRPr="00B56453">
        <w:rPr>
          <w:shd w:val="clear" w:color="auto" w:fill="FFFFFF"/>
          <w:lang w:val="en-GB"/>
        </w:rPr>
        <w:t xml:space="preserve"> adapted from other studies which used </w:t>
      </w:r>
      <w:r w:rsidR="007040AC" w:rsidRPr="00B56453">
        <w:rPr>
          <w:shd w:val="clear" w:color="auto" w:fill="FFFFFF"/>
          <w:lang w:val="en-GB"/>
        </w:rPr>
        <w:t>MA</w:t>
      </w:r>
      <w:r w:rsidRPr="00B56453">
        <w:rPr>
          <w:shd w:val="clear" w:color="auto" w:fill="FFFFFF"/>
          <w:lang w:val="en-GB"/>
        </w:rPr>
        <w:t xml:space="preserve"> to ascertain strategic planning information from students in medical contexts </w:t>
      </w:r>
      <w:r w:rsidRPr="007638B6">
        <w:rPr>
          <w:shd w:val="clear" w:color="auto" w:fill="FFFFFF"/>
          <w:lang w:val="en-GB"/>
        </w:rPr>
        <w:fldChar w:fldCharType="begin"/>
      </w:r>
      <w:r w:rsidR="00E80034" w:rsidRPr="00B56453">
        <w:rPr>
          <w:shd w:val="clear" w:color="auto" w:fill="FFFFFF"/>
          <w:lang w:val="en-GB"/>
        </w:rPr>
        <w:instrText xml:space="preserve"> ADDIN EN.CITE &lt;EndNote&gt;&lt;Cite&gt;&lt;Author&gt;Artino&lt;/Author&gt;&lt;Year&gt;2014&lt;/Year&gt;&lt;RecNum&gt;3&lt;/RecNum&gt;&lt;DisplayText&gt;(Artino Jr et al. 2014a; Cleary et al. 2014)&lt;/DisplayText&gt;&lt;record&gt;&lt;rec-number&gt;3&lt;/rec-number&gt;&lt;foreign-keys&gt;&lt;key app="EN" db-id="xa2r2ewea92trkef5dt5arvbzafvpv2za5ft" timestamp="1442161763"&gt;3&lt;/key&gt;&lt;/foreign-keys&gt;&lt;ref-type name="Journal Article"&gt;17&lt;/ref-type&gt;&lt;contributors&gt;&lt;authors&gt;&lt;author&gt;Artino Jr, Anthony R.&lt;/author&gt;&lt;author&gt;Cleary, Timothy J.&lt;/author&gt;&lt;author&gt;Dong, Ting&lt;/author&gt;&lt;author&gt;Hemmer, Paul A.&lt;/author&gt;&lt;author&gt;Durning, Steven J.&lt;/author&gt;&lt;/authors&gt;&lt;/contributors&gt;&lt;titles&gt;&lt;title&gt;Exploring clinical reasoning in novices: a self</w:instrText>
      </w:r>
      <w:r w:rsidR="00E80034" w:rsidRPr="00B56453">
        <w:rPr>
          <w:rFonts w:ascii="Cambria Math" w:hAnsi="Cambria Math" w:cs="Cambria Math"/>
          <w:shd w:val="clear" w:color="auto" w:fill="FFFFFF"/>
          <w:lang w:val="en-GB"/>
        </w:rPr>
        <w:instrText>‐</w:instrText>
      </w:r>
      <w:r w:rsidR="00E80034" w:rsidRPr="00B56453">
        <w:rPr>
          <w:shd w:val="clear" w:color="auto" w:fill="FFFFFF"/>
          <w:lang w:val="en-GB"/>
        </w:rPr>
        <w:instrText>regulated learning microanalytic assessment approach&lt;/title&gt;&lt;secondary-title&gt;Medical education&lt;/secondary-title&gt;&lt;/titles&gt;&lt;periodical&gt;&lt;full-title&gt;Medical education&lt;/full-title&gt;&lt;/periodical&gt;&lt;pages&gt;280-291&lt;/pages&gt;&lt;volume&gt;48&lt;/volume&gt;&lt;number&gt;3&lt;/number&gt;&lt;dates&gt;&lt;year&gt;2014&lt;/year&gt;&lt;/dates&gt;&lt;publisher&gt;Wiley Online Library&lt;/publisher&gt;&lt;urls&gt;&lt;related-urls&gt;&lt;url&gt;&lt;style face="underline" font="default" size="100%"&gt;http://www.ncbi.nlm.nih.gov/pmc/articles/PMC4235424/pdf/medu0048-0280.pdf&lt;/style&gt;&lt;/url&gt;&lt;/related-urls&gt;&lt;/urls&gt;&lt;/record&gt;&lt;/Cite&gt;&lt;Cite&gt;&lt;Author&gt;Cleary&lt;/Author&gt;&lt;Year&gt;2014&lt;/Year&gt;&lt;RecNum&gt;36&lt;/RecNum&gt;&lt;record&gt;&lt;rec-number&gt;36&lt;/rec-number&gt;&lt;foreign-keys&gt;&lt;key app="EN" db-id="xa2r2ewea92trkef5dt5arvbzafvpv2za5ft" timestamp="1442161763"&gt;36&lt;/key&gt;&lt;/foreign-keys&gt;&lt;ref-type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Pr="00B27F0B">
        <w:rPr>
          <w:shd w:val="clear" w:color="auto" w:fill="FFFFFF"/>
          <w:lang w:val="en-GB"/>
        </w:rPr>
        <w:fldChar w:fldCharType="separate"/>
      </w:r>
      <w:r w:rsidR="00E80034" w:rsidRPr="00B56453">
        <w:rPr>
          <w:noProof/>
          <w:shd w:val="clear" w:color="auto" w:fill="FFFFFF"/>
          <w:lang w:val="en-GB"/>
        </w:rPr>
        <w:t>(</w:t>
      </w:r>
      <w:hyperlink w:anchor="_ENREF_8" w:tooltip="Artino Jr, 2014 #3" w:history="1">
        <w:r w:rsidR="0094469E" w:rsidRPr="00B56453">
          <w:rPr>
            <w:noProof/>
            <w:shd w:val="clear" w:color="auto" w:fill="FFFFFF"/>
            <w:lang w:val="en-GB"/>
          </w:rPr>
          <w:t>Artino Jr et al. 2014a</w:t>
        </w:r>
      </w:hyperlink>
      <w:r w:rsidR="00E80034" w:rsidRPr="00B56453">
        <w:rPr>
          <w:noProof/>
          <w:shd w:val="clear" w:color="auto" w:fill="FFFFFF"/>
          <w:lang w:val="en-GB"/>
        </w:rPr>
        <w:t xml:space="preserve">; </w:t>
      </w:r>
      <w:hyperlink w:anchor="_ENREF_85" w:tooltip="Cleary, 2014 #36" w:history="1">
        <w:r w:rsidR="0094469E" w:rsidRPr="00B56453">
          <w:rPr>
            <w:noProof/>
            <w:shd w:val="clear" w:color="auto" w:fill="FFFFFF"/>
            <w:lang w:val="en-GB"/>
          </w:rPr>
          <w:t>Cleary et al. 2014</w:t>
        </w:r>
      </w:hyperlink>
      <w:r w:rsidR="00E80034" w:rsidRPr="00B56453">
        <w:rPr>
          <w:noProof/>
          <w:shd w:val="clear" w:color="auto" w:fill="FFFFFF"/>
          <w:lang w:val="en-GB"/>
        </w:rPr>
        <w:t>)</w:t>
      </w:r>
      <w:r w:rsidRPr="007638B6">
        <w:rPr>
          <w:shd w:val="clear" w:color="auto" w:fill="FFFFFF"/>
          <w:lang w:val="en-GB"/>
        </w:rPr>
        <w:fldChar w:fldCharType="end"/>
      </w:r>
      <w:r w:rsidRPr="00B56453">
        <w:rPr>
          <w:shd w:val="clear" w:color="auto" w:fill="FFFFFF"/>
          <w:lang w:val="en-GB"/>
        </w:rPr>
        <w:t>:</w:t>
      </w:r>
    </w:p>
    <w:p w14:paraId="69EC5C9A" w14:textId="77777777" w:rsidR="00EA693E" w:rsidRPr="00B27F0B" w:rsidRDefault="00EA693E" w:rsidP="00750F7B">
      <w:pPr>
        <w:pStyle w:val="Quote"/>
        <w:rPr>
          <w:lang w:val="en-GB"/>
        </w:rPr>
      </w:pPr>
      <w:r w:rsidRPr="00B27F0B">
        <w:rPr>
          <w:lang w:val="en-GB"/>
        </w:rPr>
        <w:t>“Do you have a particular technique in mind to draw the blood sample / insert the catheter?”</w:t>
      </w:r>
    </w:p>
    <w:p w14:paraId="2BA97463" w14:textId="77777777" w:rsidR="00EA693E" w:rsidRPr="00B56453" w:rsidRDefault="00EA693E" w:rsidP="00026049">
      <w:pPr>
        <w:pStyle w:val="Normal1"/>
        <w:rPr>
          <w:shd w:val="clear" w:color="auto" w:fill="FFFFFF"/>
          <w:lang w:val="en-GB"/>
        </w:rPr>
      </w:pPr>
    </w:p>
    <w:p w14:paraId="1EE2B7C8" w14:textId="3F5CFD00" w:rsidR="00EA693E" w:rsidRPr="00BD42AF" w:rsidRDefault="00DD0B00" w:rsidP="00BA4521">
      <w:pPr>
        <w:pStyle w:val="Heading3"/>
        <w:rPr>
          <w:shd w:val="clear" w:color="auto" w:fill="FFFFFF"/>
        </w:rPr>
      </w:pPr>
      <w:bookmarkStart w:id="259" w:name="_Toc500319370"/>
      <w:r w:rsidRPr="00BD42AF">
        <w:rPr>
          <w:shd w:val="clear" w:color="auto" w:fill="FFFFFF"/>
        </w:rPr>
        <w:t xml:space="preserve">B1.1.4 </w:t>
      </w:r>
      <w:r w:rsidR="00EA693E" w:rsidRPr="00BD42AF">
        <w:rPr>
          <w:shd w:val="clear" w:color="auto" w:fill="FFFFFF"/>
        </w:rPr>
        <w:t xml:space="preserve">Goal </w:t>
      </w:r>
      <w:r w:rsidR="00174EA0" w:rsidRPr="00BD42AF">
        <w:rPr>
          <w:shd w:val="clear" w:color="auto" w:fill="FFFFFF"/>
        </w:rPr>
        <w:t>S</w:t>
      </w:r>
      <w:r w:rsidR="00EA693E" w:rsidRPr="00BD42AF">
        <w:rPr>
          <w:shd w:val="clear" w:color="auto" w:fill="FFFFFF"/>
        </w:rPr>
        <w:t>etting</w:t>
      </w:r>
      <w:bookmarkEnd w:id="259"/>
    </w:p>
    <w:p w14:paraId="7AB147DF" w14:textId="77777777" w:rsidR="00EA693E" w:rsidRPr="00BD42AF" w:rsidRDefault="00EA693E" w:rsidP="00026049">
      <w:pPr>
        <w:pStyle w:val="Normal1"/>
        <w:rPr>
          <w:shd w:val="clear" w:color="auto" w:fill="FFFFFF"/>
          <w:lang w:val="en-GB"/>
        </w:rPr>
      </w:pPr>
    </w:p>
    <w:p w14:paraId="7E1F3C81" w14:textId="7B3B8764" w:rsidR="00EA693E" w:rsidRPr="00B56453" w:rsidRDefault="00EA693E" w:rsidP="00026049">
      <w:pPr>
        <w:pStyle w:val="Normal1"/>
        <w:rPr>
          <w:shd w:val="clear" w:color="auto" w:fill="FFFFFF"/>
          <w:lang w:val="en-GB"/>
        </w:rPr>
      </w:pPr>
      <w:r w:rsidRPr="00BD42AF">
        <w:rPr>
          <w:shd w:val="clear" w:color="auto" w:fill="FFFFFF"/>
          <w:lang w:val="en-GB"/>
        </w:rPr>
        <w:t>The goal setting item aim</w:t>
      </w:r>
      <w:r w:rsidR="009D23A1" w:rsidRPr="00BD42AF">
        <w:rPr>
          <w:shd w:val="clear" w:color="auto" w:fill="FFFFFF"/>
          <w:lang w:val="en-GB"/>
        </w:rPr>
        <w:t>ed</w:t>
      </w:r>
      <w:r w:rsidRPr="00BD42AF">
        <w:rPr>
          <w:shd w:val="clear" w:color="auto" w:fill="FFFFFF"/>
          <w:lang w:val="en-GB"/>
        </w:rPr>
        <w:t xml:space="preserve"> to assess the student’s self-set goals for attempting the clinical skill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&lt;EndNote&gt;&lt;Cite&gt;&lt;Author&gt;Sandars&lt;/Author&gt;&lt;Year&gt;2011&lt;/Year&gt;&lt;RecNum&gt;600&lt;/RecNum&gt;&lt;DisplayText&gt;(Sandars and Cleary 2011)&lt;/DisplayText&gt;&lt;record&gt;&lt;rec-number&gt;600&lt;/rec-number&gt;&lt;foreign-keys&gt;&lt;key app="EN" db-id="xa2r2ewea92trkef5dt5arvbzafvpv2za5ft" timestamp="1496417558"&gt;600&lt;/key&gt;&lt;/foreign-keys&gt;&lt;ref-type name="Journal Article"&gt;17&lt;/ref-type&gt;&lt;contributors&gt;&lt;authors&gt;&lt;author&gt;Sandars, John&lt;/author&gt;&lt;author&gt;Cleary, Timothy J&lt;/author&gt;&lt;/authors&gt;&lt;/contributors&gt;&lt;titles&gt;&lt;title&gt;Self-regulation theory: applications to medical education: AMEE Guide No. 58&lt;/title&gt;&lt;secondary-title&gt;Medical teacher&lt;/secondary-title&gt;&lt;/titles&gt;&lt;periodical&gt;&lt;full-title&gt;Medical teacher&lt;/full-title&gt;&lt;/periodical&gt;&lt;pages&gt;875-886&lt;/pages&gt;&lt;volume&gt;33&lt;/volume&gt;&lt;number&gt;11&lt;/number&gt;&lt;dates&gt;&lt;year&gt;2011&lt;/year&gt;&lt;/dates&gt;&lt;isbn&gt;0142-159X&lt;/isbn&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356" w:tooltip="Sandars, 2011 #600" w:history="1">
        <w:r w:rsidR="0094469E" w:rsidRPr="00B56453">
          <w:rPr>
            <w:noProof/>
            <w:shd w:val="clear" w:color="auto" w:fill="FFFFFF"/>
            <w:lang w:val="en-GB"/>
          </w:rPr>
          <w:t>Sandars and Cleary 2011</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 xml:space="preserve">. </w:t>
      </w:r>
      <w:r w:rsidR="00F90626" w:rsidRPr="00B56453">
        <w:rPr>
          <w:shd w:val="clear" w:color="auto" w:fill="FFFFFF"/>
          <w:lang w:val="en-GB"/>
        </w:rPr>
        <w:t>T</w:t>
      </w:r>
      <w:r w:rsidRPr="00B56453">
        <w:rPr>
          <w:shd w:val="clear" w:color="auto" w:fill="FFFFFF"/>
          <w:lang w:val="en-GB"/>
        </w:rPr>
        <w:t xml:space="preserve">he design of this item </w:t>
      </w:r>
      <w:r w:rsidR="009D23A1" w:rsidRPr="00B56453">
        <w:rPr>
          <w:shd w:val="clear" w:color="auto" w:fill="FFFFFF"/>
          <w:lang w:val="en-GB"/>
        </w:rPr>
        <w:t xml:space="preserve">was </w:t>
      </w:r>
      <w:r w:rsidRPr="00B56453">
        <w:rPr>
          <w:shd w:val="clear" w:color="auto" w:fill="FFFFFF"/>
          <w:lang w:val="en-GB"/>
        </w:rPr>
        <w:t xml:space="preserve">based upon a study conducted </w:t>
      </w:r>
      <w:r w:rsidR="00F90626" w:rsidRPr="00B56453">
        <w:rPr>
          <w:shd w:val="clear" w:color="auto" w:fill="FFFFFF"/>
          <w:lang w:val="en-GB"/>
        </w:rPr>
        <w:t>in a simulated clinical skills context</w:t>
      </w:r>
      <w:r w:rsidRPr="00B56453">
        <w:rPr>
          <w:shd w:val="clear" w:color="auto" w:fill="FFFFFF"/>
          <w:lang w:val="en-GB"/>
        </w:rPr>
        <w:t xml:space="preserve">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&lt;EndNote&gt;&lt;Cite&gt;&lt;Author&gt;Cleary&lt;/Author&gt;&lt;Year&gt;2011&lt;/Year&gt;&lt;RecNum&gt;39&lt;/RecNum&gt;&lt;DisplayText&gt;(Cleary and Sandars 2011)&lt;/DisplayText&gt;&lt;record&gt;&lt;rec-number&gt;39&lt;/rec-number&gt;&lt;foreign-keys&gt;&lt;key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89" w:tooltip="Cleary, 2011 #39" w:history="1">
        <w:r w:rsidR="0094469E" w:rsidRPr="00B56453">
          <w:rPr>
            <w:noProof/>
            <w:shd w:val="clear" w:color="auto" w:fill="FFFFFF"/>
            <w:lang w:val="en-GB"/>
          </w:rPr>
          <w:t>Cleary and Sandars 2011</w:t>
        </w:r>
      </w:hyperlink>
      <w:r w:rsidR="004E5A78" w:rsidRPr="00B56453">
        <w:rPr>
          <w:noProof/>
          <w:shd w:val="clear" w:color="auto" w:fill="FFFFFF"/>
          <w:lang w:val="en-GB"/>
        </w:rPr>
        <w:t>)</w:t>
      </w:r>
      <w:r w:rsidR="00EF281A" w:rsidRPr="007638B6">
        <w:rPr>
          <w:shd w:val="clear" w:color="auto" w:fill="FFFFFF"/>
          <w:lang w:val="en-GB"/>
        </w:rPr>
        <w:fldChar w:fldCharType="end"/>
      </w:r>
      <w:r w:rsidRPr="00B56453">
        <w:rPr>
          <w:shd w:val="clear" w:color="auto" w:fill="FFFFFF"/>
          <w:lang w:val="en-GB"/>
        </w:rPr>
        <w:t>:</w:t>
      </w:r>
    </w:p>
    <w:p w14:paraId="0F6122DE" w14:textId="77777777" w:rsidR="00EA693E" w:rsidRPr="00B27F0B" w:rsidRDefault="00EA693E" w:rsidP="00750F7B">
      <w:pPr>
        <w:pStyle w:val="Quote"/>
        <w:rPr>
          <w:lang w:val="en-GB"/>
        </w:rPr>
      </w:pPr>
      <w:r w:rsidRPr="00B27F0B">
        <w:rPr>
          <w:lang w:val="en-GB"/>
        </w:rPr>
        <w:t>“Do you have a goal – that is, what you want to achieve, in mind before drawing this blood sample/inserting the catheter? If so, what is it/are they?”</w:t>
      </w:r>
    </w:p>
    <w:p w14:paraId="1C8357D2" w14:textId="77777777" w:rsidR="00EA693E" w:rsidRPr="00B56453" w:rsidRDefault="00EA693E" w:rsidP="00026049">
      <w:pPr>
        <w:pStyle w:val="Normal1"/>
        <w:rPr>
          <w:shd w:val="clear" w:color="auto" w:fill="FFFFFF"/>
          <w:lang w:val="en-GB"/>
        </w:rPr>
      </w:pPr>
    </w:p>
    <w:p w14:paraId="75CCDD77" w14:textId="7FB730D6" w:rsidR="00EA693E" w:rsidRPr="00BD42AF" w:rsidRDefault="00DD0B00" w:rsidP="00BA4521">
      <w:pPr>
        <w:pStyle w:val="Heading3"/>
        <w:rPr>
          <w:shd w:val="clear" w:color="auto" w:fill="FFFFFF"/>
        </w:rPr>
      </w:pPr>
      <w:bookmarkStart w:id="260" w:name="_Toc500319371"/>
      <w:r w:rsidRPr="00BD42AF">
        <w:rPr>
          <w:shd w:val="clear" w:color="auto" w:fill="FFFFFF"/>
        </w:rPr>
        <w:t xml:space="preserve">B1.1.5 </w:t>
      </w:r>
      <w:r w:rsidR="00EA693E" w:rsidRPr="00BD42AF">
        <w:rPr>
          <w:shd w:val="clear" w:color="auto" w:fill="FFFFFF"/>
        </w:rPr>
        <w:t xml:space="preserve">Metacognitive </w:t>
      </w:r>
      <w:r w:rsidR="00174EA0" w:rsidRPr="00BD42AF">
        <w:rPr>
          <w:shd w:val="clear" w:color="auto" w:fill="FFFFFF"/>
        </w:rPr>
        <w:t>M</w:t>
      </w:r>
      <w:r w:rsidR="00EA693E" w:rsidRPr="00BD42AF">
        <w:rPr>
          <w:shd w:val="clear" w:color="auto" w:fill="FFFFFF"/>
        </w:rPr>
        <w:t>onitoring</w:t>
      </w:r>
      <w:bookmarkEnd w:id="260"/>
      <w:r w:rsidR="00EA693E" w:rsidRPr="00BD42AF">
        <w:rPr>
          <w:shd w:val="clear" w:color="auto" w:fill="FFFFFF"/>
        </w:rPr>
        <w:t xml:space="preserve"> </w:t>
      </w:r>
    </w:p>
    <w:p w14:paraId="4F5917B0" w14:textId="77777777" w:rsidR="00EA693E" w:rsidRPr="00BD42AF" w:rsidRDefault="00EA693E" w:rsidP="00026049">
      <w:pPr>
        <w:pStyle w:val="Normal1"/>
        <w:rPr>
          <w:shd w:val="clear" w:color="auto" w:fill="FFFFFF"/>
          <w:lang w:val="en-GB"/>
        </w:rPr>
      </w:pPr>
    </w:p>
    <w:p w14:paraId="27EEA5B6" w14:textId="20B10181" w:rsidR="00EA693E" w:rsidRPr="00B56453" w:rsidRDefault="00F90626" w:rsidP="00026049">
      <w:pPr>
        <w:pStyle w:val="Normal1"/>
        <w:rPr>
          <w:shd w:val="clear" w:color="auto" w:fill="FFFFFF"/>
          <w:lang w:val="en-GB"/>
        </w:rPr>
      </w:pPr>
      <w:r w:rsidRPr="00BD42AF">
        <w:rPr>
          <w:shd w:val="clear" w:color="auto" w:fill="FFFFFF"/>
          <w:lang w:val="en-GB"/>
        </w:rPr>
        <w:t>The purpose of this</w:t>
      </w:r>
      <w:r w:rsidR="00EA693E" w:rsidRPr="00BD42AF">
        <w:rPr>
          <w:shd w:val="clear" w:color="auto" w:fill="FFFFFF"/>
          <w:lang w:val="en-GB"/>
        </w:rPr>
        <w:t xml:space="preserve"> item </w:t>
      </w:r>
      <w:r w:rsidR="00D531CD" w:rsidRPr="00BD42AF">
        <w:rPr>
          <w:shd w:val="clear" w:color="auto" w:fill="FFFFFF"/>
          <w:lang w:val="en-GB"/>
        </w:rPr>
        <w:t>was</w:t>
      </w:r>
      <w:r w:rsidR="00EA693E" w:rsidRPr="00BD42AF">
        <w:rPr>
          <w:shd w:val="clear" w:color="auto" w:fill="FFFFFF"/>
          <w:lang w:val="en-GB"/>
        </w:rPr>
        <w:t xml:space="preserve"> to assess the extent to which the student systematically engage</w:t>
      </w:r>
      <w:r w:rsidR="009D23A1" w:rsidRPr="00BD42AF">
        <w:rPr>
          <w:shd w:val="clear" w:color="auto" w:fill="FFFFFF"/>
          <w:lang w:val="en-GB"/>
        </w:rPr>
        <w:t xml:space="preserve">d </w:t>
      </w:r>
      <w:r w:rsidR="00EA693E" w:rsidRPr="00BD42AF">
        <w:rPr>
          <w:shd w:val="clear" w:color="auto" w:fill="FFFFFF"/>
          <w:lang w:val="en-GB"/>
        </w:rPr>
        <w:t xml:space="preserve">with their performance by monitoring their own cognitions and behaviours. </w:t>
      </w:r>
      <w:r w:rsidR="00CF0044" w:rsidRPr="00BD42AF">
        <w:rPr>
          <w:shd w:val="clear" w:color="auto" w:fill="FFFFFF"/>
          <w:lang w:val="en-GB"/>
        </w:rPr>
        <w:t xml:space="preserve">This item has been adapted </w:t>
      </w:r>
      <w:r w:rsidR="00EA693E" w:rsidRPr="001046E5">
        <w:rPr>
          <w:shd w:val="clear" w:color="auto" w:fill="FFFFFF"/>
          <w:lang w:val="en-GB"/>
        </w:rPr>
        <w:t xml:space="preserve">from </w:t>
      </w:r>
      <w:r w:rsidR="00CF0044" w:rsidRPr="00C71126">
        <w:rPr>
          <w:shd w:val="clear" w:color="auto" w:fill="FFFFFF"/>
          <w:lang w:val="en-GB"/>
        </w:rPr>
        <w:t xml:space="preserve">its </w:t>
      </w:r>
      <w:r w:rsidR="00EA693E" w:rsidRPr="00C71126">
        <w:rPr>
          <w:shd w:val="clear" w:color="auto" w:fill="FFFFFF"/>
          <w:lang w:val="en-GB"/>
        </w:rPr>
        <w:t xml:space="preserve">previous applications in the literature </w:t>
      </w:r>
      <w:r w:rsidR="00EA693E"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&lt;EndNote&gt;&lt;Cite&gt;&lt;Author&gt;Cleary&lt;/Author&gt;&lt;Year&gt;2011&lt;/Year&gt;&lt;RecNum&gt;39&lt;/RecNum&gt;&lt;DisplayText&gt;(Cleary and Sandars 2011; Cleary et al. 2014)&lt;/DisplayText&gt;&lt;record&gt;&lt;rec-number&gt;39&lt;/rec-number&gt;&lt;foreign-keys&gt;&lt;key app="EN" db-id="xa2r2ewea92trkef5dt5arvbzafvpv2za5ft" timestamp="1442161763"&gt;39&lt;/key&gt;&lt;/foreign-keys&gt;&lt;ref-type name="Journal Article"&gt;17&lt;/ref-type&gt;&lt;contributors&gt;&lt;authors&gt;&lt;author&gt;Cleary, Timothy J.&lt;/author&gt;&lt;author&gt;Sandars, John&lt;/author&gt;&lt;/authors&gt;&lt;/contributors&gt;&lt;titles&gt;&lt;title&gt;Assessing self-regulatory processes during clinical skill performance: A pilot study&lt;/title&gt;&lt;secondary-title&gt;Medical teacher&lt;/secondary-title&gt;&lt;/titles&gt;&lt;periodical&gt;&lt;full-title&gt;Medical teacher&lt;/full-title&gt;&lt;/periodical&gt;&lt;pages&gt;e368-e374&lt;/pages&gt;&lt;volume&gt;33&lt;/volume&gt;&lt;number&gt;7&lt;/number&gt;&lt;dates&gt;&lt;year&gt;2011&lt;/year&gt;&lt;/dates&gt;&lt;publisher&gt;Taylor &amp;amp; Francis&lt;/publisher&gt;&lt;urls&gt;&lt;/urls&gt;&lt;/record&gt;&lt;/Cite&gt;&lt;Cite&gt;&lt;Author&gt;Cleary&lt;/Author&gt;&lt;Year&gt;2014&lt;/Year&gt;&lt;RecNum&gt;37&lt;/RecNum&gt;&lt;record&gt;&lt;rec-number&gt;37&lt;/rec-number&gt;&lt;foreign-keys&gt;&lt;key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EA693E" w:rsidRPr="00B27F0B">
        <w:rPr>
          <w:shd w:val="clear" w:color="auto" w:fill="FFFFFF"/>
          <w:lang w:val="en-GB"/>
        </w:rPr>
        <w:fldChar w:fldCharType="separate"/>
      </w:r>
      <w:r w:rsidR="004E5A78" w:rsidRPr="00B56453">
        <w:rPr>
          <w:noProof/>
          <w:shd w:val="clear" w:color="auto" w:fill="FFFFFF"/>
          <w:lang w:val="en-GB"/>
        </w:rPr>
        <w:t>(</w:t>
      </w:r>
      <w:hyperlink w:anchor="_ENREF_89" w:tooltip="Cleary, 2011 #39" w:history="1">
        <w:r w:rsidR="0094469E" w:rsidRPr="00B56453">
          <w:rPr>
            <w:noProof/>
            <w:shd w:val="clear" w:color="auto" w:fill="FFFFFF"/>
            <w:lang w:val="en-GB"/>
          </w:rPr>
          <w:t>Cleary and Sandars 2011</w:t>
        </w:r>
      </w:hyperlink>
      <w:r w:rsidR="004E5A78" w:rsidRPr="00B56453">
        <w:rPr>
          <w:noProof/>
          <w:shd w:val="clear" w:color="auto" w:fill="FFFFFF"/>
          <w:lang w:val="en-GB"/>
        </w:rPr>
        <w:t xml:space="preserve">; </w:t>
      </w:r>
      <w:hyperlink w:anchor="_ENREF_85" w:tooltip="Cleary, 2014 #36" w:history="1">
        <w:r w:rsidR="0094469E" w:rsidRPr="00B56453">
          <w:rPr>
            <w:noProof/>
            <w:shd w:val="clear" w:color="auto" w:fill="FFFFFF"/>
            <w:lang w:val="en-GB"/>
          </w:rPr>
          <w:t>Cleary et al. 2014</w:t>
        </w:r>
      </w:hyperlink>
      <w:r w:rsidR="004E5A78" w:rsidRPr="00B56453">
        <w:rPr>
          <w:noProof/>
          <w:shd w:val="clear" w:color="auto" w:fill="FFFFFF"/>
          <w:lang w:val="en-GB"/>
        </w:rPr>
        <w:t>)</w:t>
      </w:r>
      <w:r w:rsidR="00EA693E" w:rsidRPr="007638B6">
        <w:rPr>
          <w:shd w:val="clear" w:color="auto" w:fill="FFFFFF"/>
          <w:lang w:val="en-GB"/>
        </w:rPr>
        <w:fldChar w:fldCharType="end"/>
      </w:r>
      <w:r w:rsidR="00EA693E" w:rsidRPr="00B56453">
        <w:rPr>
          <w:shd w:val="clear" w:color="auto" w:fill="FFFFFF"/>
          <w:lang w:val="en-GB"/>
        </w:rPr>
        <w:t xml:space="preserve">:  </w:t>
      </w:r>
    </w:p>
    <w:p w14:paraId="09580ABE" w14:textId="77777777" w:rsidR="00EA693E" w:rsidRPr="00B27F0B" w:rsidRDefault="00EA693E" w:rsidP="00750F7B">
      <w:pPr>
        <w:pStyle w:val="Quote"/>
        <w:rPr>
          <w:lang w:val="en-GB"/>
        </w:rPr>
      </w:pPr>
      <w:r w:rsidRPr="00B27F0B">
        <w:rPr>
          <w:lang w:val="en-GB"/>
        </w:rPr>
        <w:t>“Can you tell me whether you think you’ve done everything correctly so far or not, and why?”</w:t>
      </w:r>
    </w:p>
    <w:p w14:paraId="11A0C36A" w14:textId="77777777" w:rsidR="00EA693E" w:rsidRPr="00B56453" w:rsidRDefault="00EA693E" w:rsidP="00026049">
      <w:pPr>
        <w:pStyle w:val="Normal1"/>
        <w:rPr>
          <w:shd w:val="clear" w:color="auto" w:fill="FFFFFF"/>
          <w:lang w:val="en-GB"/>
        </w:rPr>
      </w:pPr>
    </w:p>
    <w:p w14:paraId="5F75694F" w14:textId="7F6F3D43" w:rsidR="00EA693E" w:rsidRPr="00BD42AF" w:rsidRDefault="00DD0B00" w:rsidP="00BA4521">
      <w:pPr>
        <w:pStyle w:val="Heading3"/>
        <w:rPr>
          <w:shd w:val="clear" w:color="auto" w:fill="FFFFFF"/>
        </w:rPr>
      </w:pPr>
      <w:bookmarkStart w:id="261" w:name="_Toc500319372"/>
      <w:r w:rsidRPr="00BD42AF">
        <w:rPr>
          <w:shd w:val="clear" w:color="auto" w:fill="FFFFFF"/>
        </w:rPr>
        <w:t xml:space="preserve">B1.1.6 </w:t>
      </w:r>
      <w:r w:rsidR="00EA693E" w:rsidRPr="00BD42AF">
        <w:rPr>
          <w:shd w:val="clear" w:color="auto" w:fill="FFFFFF"/>
        </w:rPr>
        <w:t xml:space="preserve">Adaptive </w:t>
      </w:r>
      <w:r w:rsidR="00174EA0" w:rsidRPr="00BD42AF">
        <w:rPr>
          <w:shd w:val="clear" w:color="auto" w:fill="FFFFFF"/>
        </w:rPr>
        <w:t>I</w:t>
      </w:r>
      <w:r w:rsidR="00EA693E" w:rsidRPr="00BD42AF">
        <w:rPr>
          <w:shd w:val="clear" w:color="auto" w:fill="FFFFFF"/>
        </w:rPr>
        <w:t>nferences</w:t>
      </w:r>
      <w:bookmarkEnd w:id="261"/>
    </w:p>
    <w:p w14:paraId="3655F78E" w14:textId="77777777" w:rsidR="00EA693E" w:rsidRPr="00BD42AF" w:rsidRDefault="00EA693E" w:rsidP="00026049">
      <w:pPr>
        <w:pStyle w:val="Normal1"/>
        <w:rPr>
          <w:shd w:val="clear" w:color="auto" w:fill="FFFFFF"/>
          <w:lang w:val="en-GB"/>
        </w:rPr>
      </w:pPr>
    </w:p>
    <w:p w14:paraId="1B06E618" w14:textId="01DF318E" w:rsidR="00EA693E" w:rsidRPr="00B56453" w:rsidRDefault="00F90626" w:rsidP="00026049">
      <w:pPr>
        <w:pStyle w:val="Normal1"/>
        <w:rPr>
          <w:shd w:val="clear" w:color="auto" w:fill="FFFFFF"/>
          <w:lang w:val="en-GB"/>
        </w:rPr>
      </w:pPr>
      <w:r w:rsidRPr="00BD42AF">
        <w:rPr>
          <w:shd w:val="clear" w:color="auto" w:fill="FFFFFF"/>
          <w:lang w:val="en-GB"/>
        </w:rPr>
        <w:t>T</w:t>
      </w:r>
      <w:r w:rsidR="00EA693E" w:rsidRPr="00BD42AF">
        <w:rPr>
          <w:shd w:val="clear" w:color="auto" w:fill="FFFFFF"/>
          <w:lang w:val="en-GB"/>
        </w:rPr>
        <w:t xml:space="preserve">o understand what students aimed to modify in their performance for their next attempt, the adaptive inferences item was used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455" w:tooltip="Zimmerman, 2000 #595" w:history="1">
        <w:r w:rsidR="0094469E" w:rsidRPr="00B56453">
          <w:rPr>
            <w:noProof/>
            <w:shd w:val="clear" w:color="auto" w:fill="FFFFFF"/>
            <w:lang w:val="en-GB"/>
          </w:rPr>
          <w:t>Zimmerman 2000a</w:t>
        </w:r>
      </w:hyperlink>
      <w:r w:rsidR="004E5A78" w:rsidRPr="00B56453">
        <w:rPr>
          <w:noProof/>
          <w:shd w:val="clear" w:color="auto" w:fill="FFFFFF"/>
          <w:lang w:val="en-GB"/>
        </w:rPr>
        <w:t>)</w:t>
      </w:r>
      <w:r w:rsidR="00EF281A" w:rsidRPr="007638B6">
        <w:rPr>
          <w:shd w:val="clear" w:color="auto" w:fill="FFFFFF"/>
          <w:lang w:val="en-GB"/>
        </w:rPr>
        <w:fldChar w:fldCharType="end"/>
      </w:r>
      <w:r w:rsidR="009D23A1" w:rsidRPr="00B56453">
        <w:rPr>
          <w:shd w:val="clear" w:color="auto" w:fill="FFFFFF"/>
          <w:lang w:val="en-GB"/>
        </w:rPr>
        <w:t>. This item wa</w:t>
      </w:r>
      <w:r w:rsidR="00EA693E" w:rsidRPr="00B56453">
        <w:rPr>
          <w:shd w:val="clear" w:color="auto" w:fill="FFFFFF"/>
          <w:lang w:val="en-GB"/>
        </w:rPr>
        <w:t xml:space="preserve">s slightly modified to better fit the single iteration of the skill in this study from the </w:t>
      </w:r>
      <w:hyperlink w:anchor="_ENREF_123" w:tooltip="DiBenedetto, 2010 #66" w:history="1">
        <w:r w:rsidR="0094469E" w:rsidRPr="00B27F0B">
          <w:rPr>
            <w:shd w:val="clear" w:color="auto" w:fill="FFFFFF"/>
            <w:lang w:val="en-GB"/>
          </w:rPr>
          <w:fldChar w:fldCharType="begin"/>
        </w:r>
        <w:r w:rsidR="0094469E" w:rsidRPr="00B56453">
          <w:rPr>
            <w:shd w:val="clear" w:color="auto" w:fill="FFFFFF"/>
            <w:lang w:val="en-GB"/>
          </w:rPr>
          <w:instrText xml:space="preserve"> ADDIN EN.CITE &lt;EndNote&gt;&lt;Cite AuthorYear="1"&gt;&lt;Author&gt;DiBenedetto&lt;/Author&gt;&lt;Year&gt;2010&lt;/Year&gt;&lt;RecNum&gt;66&lt;/RecNum&gt;&lt;DisplayText&gt;DiBenedetto and Zimmerman (2010)&lt;/DisplayText&gt;&lt;record&gt;&lt;rec-number&gt;66&lt;/rec-number&gt;&lt;foreign-keys&gt;&lt;key app="EN" db-id="xa2r2ewea92trkef5dt5arvbzafvpv2za5ft" timestamp="1442161763"&gt;66&lt;/key&gt;&lt;/foreign-keys&gt;&lt;ref-type name="Journal Article"&gt;17&lt;/ref-type&gt;&lt;contributors&gt;&lt;authors&gt;&lt;author&gt;DiBenedetto, M. K.&lt;/author&gt;&lt;author&gt;Zimmerman, B. J.&lt;/author&gt;&lt;/authors&gt;&lt;/contributors&gt;&lt;titles&gt;&lt;title&gt;Differences in self-regulatory processes among students studying science: A microanalytic investigation&lt;/title&gt;&lt;secondary-title&gt;The International Journal of Educational and Psychological Assessment&lt;/secondary-title&gt;&lt;/titles&gt;&lt;periodical&gt;&lt;full-title&gt;The International Journal of Educational and Psychological Assessment&lt;/full-title&gt;&lt;/periodical&gt;&lt;pages&gt;2-24&lt;/pages&gt;&lt;volume&gt;5&lt;/volume&gt;&lt;dates&gt;&lt;year&gt;2010&lt;/year&gt;&lt;/dates&gt;&lt;urls&gt;&lt;/urls&gt;&lt;/record&gt;&lt;/Cite&gt;&lt;/EndNote&gt;</w:instrText>
        </w:r>
        <w:r w:rsidR="0094469E" w:rsidRPr="00B27F0B">
          <w:rPr>
            <w:shd w:val="clear" w:color="auto" w:fill="FFFFFF"/>
            <w:lang w:val="en-GB"/>
          </w:rPr>
          <w:fldChar w:fldCharType="separate"/>
        </w:r>
        <w:r w:rsidR="0094469E" w:rsidRPr="00B56453">
          <w:rPr>
            <w:noProof/>
            <w:shd w:val="clear" w:color="auto" w:fill="FFFFFF"/>
            <w:lang w:val="en-GB"/>
          </w:rPr>
          <w:t>DiBenedetto and Zimmerman (2010)</w:t>
        </w:r>
        <w:r w:rsidR="0094469E" w:rsidRPr="00B27F0B">
          <w:rPr>
            <w:shd w:val="clear" w:color="auto" w:fill="FFFFFF"/>
            <w:lang w:val="en-GB"/>
          </w:rPr>
          <w:fldChar w:fldCharType="end"/>
        </w:r>
      </w:hyperlink>
      <w:r w:rsidR="00EA693E" w:rsidRPr="00B56453">
        <w:rPr>
          <w:shd w:val="clear" w:color="auto" w:fill="FFFFFF"/>
          <w:lang w:val="en-GB"/>
        </w:rPr>
        <w:t xml:space="preserve"> version </w:t>
      </w:r>
      <w:r w:rsidRPr="00B56453">
        <w:rPr>
          <w:shd w:val="clear" w:color="auto" w:fill="FFFFFF"/>
          <w:lang w:val="en-GB"/>
        </w:rPr>
        <w:t>that</w:t>
      </w:r>
      <w:r w:rsidR="00EA693E" w:rsidRPr="00B56453">
        <w:rPr>
          <w:shd w:val="clear" w:color="auto" w:fill="FFFFFF"/>
          <w:lang w:val="en-GB"/>
        </w:rPr>
        <w:t xml:space="preserve"> was designed for multiple iterations:</w:t>
      </w:r>
    </w:p>
    <w:p w14:paraId="72B5E295" w14:textId="77777777" w:rsidR="00EA693E" w:rsidRPr="00B27F0B" w:rsidRDefault="00EA693E" w:rsidP="00750F7B">
      <w:pPr>
        <w:pStyle w:val="Quote"/>
        <w:rPr>
          <w:shd w:val="clear" w:color="auto" w:fill="FFFFFF"/>
          <w:lang w:val="en-GB"/>
        </w:rPr>
      </w:pPr>
      <w:r w:rsidRPr="00B27F0B">
        <w:rPr>
          <w:shd w:val="clear" w:color="auto" w:fill="FFFFFF"/>
          <w:lang w:val="en-GB"/>
        </w:rPr>
        <w:t>“What are the main things you would change in how you perform this skill for next time? Please explain.”</w:t>
      </w:r>
    </w:p>
    <w:p w14:paraId="46C2735A" w14:textId="77777777" w:rsidR="00EA693E" w:rsidRPr="00B56453" w:rsidRDefault="00EA693E" w:rsidP="00026049">
      <w:pPr>
        <w:pStyle w:val="Normal1"/>
        <w:rPr>
          <w:shd w:val="clear" w:color="auto" w:fill="FFFFFF"/>
          <w:lang w:val="en-GB"/>
        </w:rPr>
      </w:pPr>
    </w:p>
    <w:p w14:paraId="2CD01C0A" w14:textId="0F3C8E98" w:rsidR="00EA693E" w:rsidRPr="00BD42AF" w:rsidRDefault="00DD0B00" w:rsidP="00BA4521">
      <w:pPr>
        <w:pStyle w:val="Heading3"/>
        <w:rPr>
          <w:shd w:val="clear" w:color="auto" w:fill="FFFFFF"/>
        </w:rPr>
      </w:pPr>
      <w:bookmarkStart w:id="262" w:name="_Toc500319373"/>
      <w:r w:rsidRPr="00BD42AF">
        <w:rPr>
          <w:shd w:val="clear" w:color="auto" w:fill="FFFFFF"/>
        </w:rPr>
        <w:t xml:space="preserve">B1.1.7 </w:t>
      </w:r>
      <w:r w:rsidR="00EA693E" w:rsidRPr="00BD42AF">
        <w:rPr>
          <w:shd w:val="clear" w:color="auto" w:fill="FFFFFF"/>
        </w:rPr>
        <w:t xml:space="preserve">Causal </w:t>
      </w:r>
      <w:r w:rsidR="00174EA0" w:rsidRPr="00BD42AF">
        <w:rPr>
          <w:shd w:val="clear" w:color="auto" w:fill="FFFFFF"/>
        </w:rPr>
        <w:t>A</w:t>
      </w:r>
      <w:r w:rsidR="00EA693E" w:rsidRPr="00BD42AF">
        <w:rPr>
          <w:shd w:val="clear" w:color="auto" w:fill="FFFFFF"/>
        </w:rPr>
        <w:t>ttributions</w:t>
      </w:r>
      <w:bookmarkEnd w:id="262"/>
    </w:p>
    <w:p w14:paraId="46D06507" w14:textId="77777777" w:rsidR="00EA693E" w:rsidRPr="00BD42AF" w:rsidRDefault="00EA693E" w:rsidP="00026049">
      <w:pPr>
        <w:pStyle w:val="Normal1"/>
        <w:rPr>
          <w:shd w:val="clear" w:color="auto" w:fill="FFFFFF"/>
          <w:lang w:val="en-GB"/>
        </w:rPr>
      </w:pPr>
    </w:p>
    <w:p w14:paraId="43C09CA1" w14:textId="2B34F67B" w:rsidR="00EA693E" w:rsidRPr="00B56453" w:rsidRDefault="009D23A1" w:rsidP="00026049">
      <w:pPr>
        <w:pStyle w:val="Normal1"/>
        <w:rPr>
          <w:shd w:val="clear" w:color="auto" w:fill="FFFFFF"/>
          <w:lang w:val="en-GB"/>
        </w:rPr>
      </w:pPr>
      <w:r w:rsidRPr="00BD42AF">
        <w:rPr>
          <w:shd w:val="clear" w:color="auto" w:fill="FFFFFF"/>
          <w:lang w:val="en-GB"/>
        </w:rPr>
        <w:t>The purpose of this item wa</w:t>
      </w:r>
      <w:r w:rsidR="00EA693E" w:rsidRPr="00BD42AF">
        <w:rPr>
          <w:shd w:val="clear" w:color="auto" w:fill="FFFFFF"/>
          <w:lang w:val="en-GB"/>
        </w:rPr>
        <w:t>s to gain an understand</w:t>
      </w:r>
      <w:r w:rsidRPr="00BD42AF">
        <w:rPr>
          <w:shd w:val="clear" w:color="auto" w:fill="FFFFFF"/>
          <w:lang w:val="en-GB"/>
        </w:rPr>
        <w:t>ing of what student</w:t>
      </w:r>
      <w:r w:rsidR="00174EA0" w:rsidRPr="00BD42AF">
        <w:rPr>
          <w:shd w:val="clear" w:color="auto" w:fill="FFFFFF"/>
          <w:lang w:val="en-GB"/>
        </w:rPr>
        <w:t>s</w:t>
      </w:r>
      <w:r w:rsidRPr="00BD42AF">
        <w:rPr>
          <w:shd w:val="clear" w:color="auto" w:fill="FFFFFF"/>
          <w:lang w:val="en-GB"/>
        </w:rPr>
        <w:t xml:space="preserve"> believed</w:t>
      </w:r>
      <w:r w:rsidR="00EA693E" w:rsidRPr="00BD42AF">
        <w:rPr>
          <w:shd w:val="clear" w:color="auto" w:fill="FFFFFF"/>
          <w:lang w:val="en-GB"/>
        </w:rPr>
        <w:t xml:space="preserve"> to have caused the outcome of their performance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&lt;EndNote&gt;&lt;Cite&gt;&lt;Author&gt;Weiner&lt;/Author&gt;&lt;Year&gt;1979&lt;/Year&gt;&lt;RecNum&gt;264&lt;/RecNum&gt;&lt;DisplayText&gt;(Weiner 1979)&lt;/DisplayText&gt;&lt;record&gt;&lt;rec-number&gt;264&lt;/rec-number&gt;&lt;foreign-keys&gt;&lt;key app="EN" db-id="xa2r2ewea92trkef5dt5arvbzafvpv2za5ft" timestamp="1442161766"&gt;264&lt;/key&gt;&lt;/foreign-keys&gt;&lt;ref-type name="Journal Article"&gt;17&lt;/ref-type&gt;&lt;contributors&gt;&lt;authors&gt;&lt;author&gt;Weiner, Bernard&lt;/author&gt;&lt;/authors&gt;&lt;/contributors&gt;&lt;titles&gt;&lt;title&gt;A theory of motivation for some classroom experiences&lt;/title&gt;&lt;secondary-title&gt;Journal of educational psychology&lt;/secondary-title&gt;&lt;/titles&gt;&lt;periodical&gt;&lt;full-title&gt;Journal of educational psychology&lt;/full-title&gt;&lt;/periodical&gt;&lt;pages&gt;3&lt;/pages&gt;&lt;volume&gt;71&lt;/volume&gt;&lt;number&gt;1&lt;/number&gt;&lt;dates&gt;&lt;year&gt;1979&lt;/year&gt;&lt;/dates&gt;&lt;publisher&gt;American Psychological Association&lt;/publisher&gt;&lt;urls&gt;&lt;/urls&gt;&lt;/record&gt;&lt;/Cite&gt;&lt;/EndNote&gt;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432" w:tooltip="Weiner, 1979 #264" w:history="1">
        <w:r w:rsidR="0094469E" w:rsidRPr="00B56453">
          <w:rPr>
            <w:noProof/>
            <w:shd w:val="clear" w:color="auto" w:fill="FFFFFF"/>
            <w:lang w:val="en-GB"/>
          </w:rPr>
          <w:t>Weiner 1979</w:t>
        </w:r>
      </w:hyperlink>
      <w:r w:rsidR="004E5A78" w:rsidRPr="00B56453">
        <w:rPr>
          <w:noProof/>
          <w:shd w:val="clear" w:color="auto" w:fill="FFFFFF"/>
          <w:lang w:val="en-GB"/>
        </w:rPr>
        <w:t>)</w:t>
      </w:r>
      <w:r w:rsidR="00EF281A" w:rsidRPr="007638B6">
        <w:rPr>
          <w:shd w:val="clear" w:color="auto" w:fill="FFFFFF"/>
          <w:lang w:val="en-GB"/>
        </w:rPr>
        <w:fldChar w:fldCharType="end"/>
      </w:r>
      <w:r w:rsidR="00EA693E" w:rsidRPr="00B56453">
        <w:rPr>
          <w:shd w:val="clear" w:color="auto" w:fill="FFFFFF"/>
          <w:lang w:val="en-GB"/>
        </w:rPr>
        <w:t xml:space="preserve">. </w:t>
      </w:r>
      <w:r w:rsidR="00174EA0" w:rsidRPr="00B56453">
        <w:rPr>
          <w:shd w:val="clear" w:color="auto" w:fill="FFFFFF"/>
          <w:lang w:val="en-GB"/>
        </w:rPr>
        <w:t>It</w:t>
      </w:r>
      <w:r w:rsidR="00EA693E" w:rsidRPr="00B56453">
        <w:rPr>
          <w:shd w:val="clear" w:color="auto" w:fill="FFFFFF"/>
          <w:lang w:val="en-GB"/>
        </w:rPr>
        <w:t xml:space="preserve"> </w:t>
      </w:r>
      <w:r w:rsidR="00F90626" w:rsidRPr="00B56453">
        <w:rPr>
          <w:shd w:val="clear" w:color="auto" w:fill="FFFFFF"/>
          <w:lang w:val="en-GB"/>
        </w:rPr>
        <w:t>was</w:t>
      </w:r>
      <w:r w:rsidR="00EA693E" w:rsidRPr="00B56453">
        <w:rPr>
          <w:shd w:val="clear" w:color="auto" w:fill="FFFFFF"/>
          <w:lang w:val="en-GB"/>
        </w:rPr>
        <w:t xml:space="preserve"> adapted from other studies using </w:t>
      </w:r>
      <w:r w:rsidR="00F90626" w:rsidRPr="00B56453">
        <w:rPr>
          <w:shd w:val="clear" w:color="auto" w:fill="FFFFFF"/>
          <w:lang w:val="en-GB"/>
        </w:rPr>
        <w:t xml:space="preserve">SRL </w:t>
      </w:r>
      <w:r w:rsidR="007040AC" w:rsidRPr="00B56453">
        <w:rPr>
          <w:shd w:val="clear" w:color="auto" w:fill="FFFFFF"/>
          <w:lang w:val="en-GB"/>
        </w:rPr>
        <w:t>MA</w:t>
      </w:r>
      <w:r w:rsidR="00EA693E" w:rsidRPr="00B56453">
        <w:rPr>
          <w:shd w:val="clear" w:color="auto" w:fill="FFFFFF"/>
          <w:lang w:val="en-GB"/>
        </w:rPr>
        <w:t xml:space="preserve"> </w:t>
      </w:r>
      <w:r w:rsidR="00EA693E" w:rsidRPr="007638B6">
        <w:rPr>
          <w:shd w:val="clear" w:color="auto" w:fill="FFFFFF"/>
          <w:lang w:val="en-GB"/>
        </w:rPr>
        <w:fldChar w:fldCharType="begin"/>
      </w:r>
      <w:r w:rsidR="008B61BE" w:rsidRPr="00B56453">
        <w:rPr>
          <w:shd w:val="clear" w:color="auto" w:fill="FFFFFF"/>
          <w:lang w:val="en-GB"/>
        </w:rPr>
        <w:instrText xml:space="preserve"> ADDIN EN.CITE &lt;EndNote&gt;&lt;Cite&gt;&lt;Author&gt;Kitsantas&lt;/Author&gt;&lt;Year&gt;2000&lt;/Year&gt;&lt;RecNum&gt;131&lt;/RecNum&gt;&lt;DisplayText&gt;(Kitsantas et al. 2000; Kitsantas and Zimmerman 2002)&lt;/DisplayText&gt;&lt;record&gt;&lt;rec-number&gt;131&lt;/rec-number&gt;&lt;foreign-keys&gt;&lt;key app="EN" db-id="xa2r2ewea92trkef5dt5arvbzafvpv2za5ft" timestamp="1442161764"&gt;131&lt;/key&gt;&lt;/foreign-keys&gt;&lt;ref-type name="Journal Article"&gt;17&lt;/ref-type&gt;&lt;contributors&gt;&lt;authors&gt;&lt;author&gt;Kitsantas, Anastasia&lt;/author&gt;&lt;author&gt;Zimmerman, Barry J.&lt;/author&gt;&lt;author&gt;Cleary, Tim&lt;/author&gt;&lt;/authors&gt;&lt;/contributors&gt;&lt;titles&gt;&lt;title&gt;The role of observation and emulation in the development of athletic self-regulation&lt;/title&gt;&lt;secondary-title&gt;Journal of educational psychology&lt;/secondary-title&gt;&lt;/titles&gt;&lt;periodical&gt;&lt;full-title&gt;Journal of educational psychology&lt;/full-title&gt;&lt;/periodical&gt;&lt;pages&gt;811&lt;/pages&gt;&lt;volume&gt;92&lt;/volume&gt;&lt;number&gt;4&lt;/number&gt;&lt;dates&gt;&lt;year&gt;2000&lt;/year&gt;&lt;/dates&gt;&lt;publisher&gt;American Psychological Association&lt;/publisher&gt;&lt;urls&gt;&lt;/urls&gt;&lt;/record&gt;&lt;/Cite&gt;&lt;Cite&gt;&lt;Author&gt;Kitsantas&lt;/Author&gt;&lt;Year&gt;2002&lt;/Year&gt;&lt;RecNum&gt;129&lt;/RecNum&gt;&lt;record&gt;&lt;rec-number&gt;129&lt;/rec-number&gt;&lt;foreign-keys&gt;&lt;key app="EN" db-id="xa2r2ewea92trkef5dt5arvbzafvpv2za5ft" timestamp="1442161764"&gt;129&lt;/key&gt;&lt;/foreign-keys&gt;&lt;ref-type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00EA693E" w:rsidRPr="00B27F0B">
        <w:rPr>
          <w:shd w:val="clear" w:color="auto" w:fill="FFFFFF"/>
          <w:lang w:val="en-GB"/>
        </w:rPr>
        <w:fldChar w:fldCharType="separate"/>
      </w:r>
      <w:r w:rsidR="004E5A78" w:rsidRPr="00B56453">
        <w:rPr>
          <w:noProof/>
          <w:shd w:val="clear" w:color="auto" w:fill="FFFFFF"/>
          <w:lang w:val="en-GB"/>
        </w:rPr>
        <w:t>(</w:t>
      </w:r>
      <w:hyperlink w:anchor="_ENREF_218" w:tooltip="Kitsantas, 2000 #131" w:history="1">
        <w:r w:rsidR="0094469E" w:rsidRPr="00B56453">
          <w:rPr>
            <w:noProof/>
            <w:shd w:val="clear" w:color="auto" w:fill="FFFFFF"/>
            <w:lang w:val="en-GB"/>
          </w:rPr>
          <w:t>Kitsantas et al. 2000</w:t>
        </w:r>
      </w:hyperlink>
      <w:r w:rsidR="004E5A78" w:rsidRPr="00B56453">
        <w:rPr>
          <w:noProof/>
          <w:shd w:val="clear" w:color="auto" w:fill="FFFFFF"/>
          <w:lang w:val="en-GB"/>
        </w:rPr>
        <w:t xml:space="preserve">; </w:t>
      </w:r>
      <w:hyperlink w:anchor="_ENREF_217" w:tooltip="Kitsantas, 2002 #129" w:history="1">
        <w:r w:rsidR="0094469E" w:rsidRPr="00B56453">
          <w:rPr>
            <w:noProof/>
            <w:shd w:val="clear" w:color="auto" w:fill="FFFFFF"/>
            <w:lang w:val="en-GB"/>
          </w:rPr>
          <w:t>Kitsantas and Zimmerman 2002</w:t>
        </w:r>
      </w:hyperlink>
      <w:r w:rsidR="004E5A78" w:rsidRPr="00B56453">
        <w:rPr>
          <w:noProof/>
          <w:shd w:val="clear" w:color="auto" w:fill="FFFFFF"/>
          <w:lang w:val="en-GB"/>
        </w:rPr>
        <w:t>)</w:t>
      </w:r>
      <w:r w:rsidR="00EA693E" w:rsidRPr="007638B6">
        <w:rPr>
          <w:shd w:val="clear" w:color="auto" w:fill="FFFFFF"/>
          <w:lang w:val="en-GB"/>
        </w:rPr>
        <w:fldChar w:fldCharType="end"/>
      </w:r>
      <w:r w:rsidR="00EA693E" w:rsidRPr="00B56453">
        <w:rPr>
          <w:shd w:val="clear" w:color="auto" w:fill="FFFFFF"/>
          <w:lang w:val="en-GB"/>
        </w:rPr>
        <w:t>:</w:t>
      </w:r>
    </w:p>
    <w:p w14:paraId="4F459338" w14:textId="2E9BA3EC" w:rsidR="00EA693E" w:rsidRPr="00B27F0B" w:rsidRDefault="00B57FE0" w:rsidP="00750F7B">
      <w:pPr>
        <w:pStyle w:val="Quote"/>
        <w:rPr>
          <w:shd w:val="clear" w:color="auto" w:fill="FFFFFF"/>
          <w:lang w:val="en-GB"/>
        </w:rPr>
      </w:pPr>
      <w:r w:rsidRPr="00B27F0B">
        <w:rPr>
          <w:shd w:val="clear" w:color="auto" w:fill="FFFFFF"/>
          <w:lang w:val="en-GB"/>
        </w:rPr>
        <w:t>“</w:t>
      </w:r>
      <w:r w:rsidR="00EA693E" w:rsidRPr="00B27F0B">
        <w:rPr>
          <w:shd w:val="clear" w:color="auto" w:fill="FFFFFF"/>
          <w:lang w:val="en-GB"/>
        </w:rPr>
        <w:t>What is the main reason why you think you succeeded/failed to draw this blood sample correctly / insert the catheter correctly? Please explain.</w:t>
      </w:r>
      <w:r w:rsidRPr="00B27F0B">
        <w:rPr>
          <w:shd w:val="clear" w:color="auto" w:fill="FFFFFF"/>
          <w:lang w:val="en-GB"/>
        </w:rPr>
        <w:t>”</w:t>
      </w:r>
    </w:p>
    <w:p w14:paraId="3B2DB72B" w14:textId="77777777" w:rsidR="00EA693E" w:rsidRPr="00B56453" w:rsidRDefault="00EA693E" w:rsidP="00026049">
      <w:pPr>
        <w:pStyle w:val="Normal1"/>
        <w:rPr>
          <w:shd w:val="clear" w:color="auto" w:fill="FFFFFF"/>
          <w:lang w:val="en-GB"/>
        </w:rPr>
      </w:pPr>
    </w:p>
    <w:p w14:paraId="63D8AEB5" w14:textId="52424D3D" w:rsidR="00EA693E" w:rsidRPr="00BD42AF" w:rsidRDefault="00DD0B00" w:rsidP="00BA4521">
      <w:pPr>
        <w:pStyle w:val="Heading3"/>
        <w:rPr>
          <w:shd w:val="clear" w:color="auto" w:fill="FFFFFF"/>
        </w:rPr>
      </w:pPr>
      <w:bookmarkStart w:id="263" w:name="_Toc500319374"/>
      <w:r w:rsidRPr="00BD42AF">
        <w:rPr>
          <w:shd w:val="clear" w:color="auto" w:fill="FFFFFF"/>
        </w:rPr>
        <w:t xml:space="preserve">B1.1.8 </w:t>
      </w:r>
      <w:r w:rsidR="00EA693E" w:rsidRPr="00BD42AF">
        <w:rPr>
          <w:shd w:val="clear" w:color="auto" w:fill="FFFFFF"/>
        </w:rPr>
        <w:t>Validity and Reliabilit</w:t>
      </w:r>
      <w:r w:rsidR="001B27CF" w:rsidRPr="00BD42AF">
        <w:rPr>
          <w:shd w:val="clear" w:color="auto" w:fill="FFFFFF"/>
        </w:rPr>
        <w:t xml:space="preserve">y of SRL </w:t>
      </w:r>
      <w:r w:rsidR="00EA693E" w:rsidRPr="00BD42AF">
        <w:rPr>
          <w:shd w:val="clear" w:color="auto" w:fill="FFFFFF"/>
        </w:rPr>
        <w:t>MA</w:t>
      </w:r>
      <w:bookmarkEnd w:id="263"/>
    </w:p>
    <w:p w14:paraId="0AB3378A" w14:textId="77777777" w:rsidR="00EA693E" w:rsidRPr="00BD42AF" w:rsidRDefault="00EA693E" w:rsidP="00026049">
      <w:pPr>
        <w:pStyle w:val="Normal1"/>
        <w:rPr>
          <w:shd w:val="clear" w:color="auto" w:fill="FFFFFF"/>
          <w:lang w:val="en-GB"/>
        </w:rPr>
      </w:pPr>
    </w:p>
    <w:p w14:paraId="18665E2F" w14:textId="7AF55AC0" w:rsidR="00EA693E" w:rsidRPr="00B56453" w:rsidRDefault="00EA693E" w:rsidP="00026049">
      <w:pPr>
        <w:pStyle w:val="Normal1"/>
        <w:rPr>
          <w:shd w:val="clear" w:color="auto" w:fill="FFFFFF"/>
          <w:lang w:val="en-GB"/>
        </w:rPr>
      </w:pPr>
      <w:r w:rsidRPr="00BD42AF">
        <w:rPr>
          <w:shd w:val="clear" w:color="auto" w:fill="FFFFFF"/>
          <w:lang w:val="en-GB"/>
        </w:rPr>
        <w:t>Researchers have examined several types of validity for</w:t>
      </w:r>
      <w:r w:rsidR="001B27CF" w:rsidRPr="00BD42AF">
        <w:rPr>
          <w:shd w:val="clear" w:color="auto" w:fill="FFFFFF"/>
          <w:lang w:val="en-GB"/>
        </w:rPr>
        <w:t xml:space="preserve"> SRL MA</w:t>
      </w:r>
      <w:r w:rsidR="009D23A1" w:rsidRPr="00BD42AF">
        <w:rPr>
          <w:shd w:val="clear" w:color="auto" w:fill="FFFFFF"/>
          <w:lang w:val="en-GB"/>
        </w:rPr>
        <w:t xml:space="preserve"> in a variety of contexts and situations</w:t>
      </w:r>
      <w:r w:rsidR="001B27CF" w:rsidRPr="00BD42AF">
        <w:rPr>
          <w:shd w:val="clear" w:color="auto" w:fill="FFFFFF"/>
          <w:lang w:val="en-GB"/>
        </w:rPr>
        <w:t>, specifically</w:t>
      </w:r>
      <w:r w:rsidR="009D23A1" w:rsidRPr="00BD42AF">
        <w:rPr>
          <w:shd w:val="clear" w:color="auto" w:fill="FFFFFF"/>
          <w:lang w:val="en-GB"/>
        </w:rPr>
        <w:t>:</w:t>
      </w:r>
      <w:r w:rsidRPr="00BD42AF">
        <w:rPr>
          <w:shd w:val="clear" w:color="auto" w:fill="FFFFFF"/>
          <w:lang w:val="en-GB"/>
        </w:rPr>
        <w:t xml:space="preserve"> predictive, differential, and construct. Studies have shown SRL MA to differentiate achievement and expertise in a reliable way </w:t>
      </w:r>
      <w:r w:rsidRPr="007638B6">
        <w:rPr>
          <w:shd w:val="clear" w:color="auto" w:fill="FFFFFF"/>
          <w:lang w:val="en-GB"/>
        </w:rPr>
        <w:fldChar w:fldCharType="begin">
          <w:fldData xml:space="preserve">PEVuZE5vdGU+PENpdGU+PEF1dGhvcj5DbGVhcnk8L0F1dGhvcj48WWVhcj4yMDAxPC9ZZWFyPjxS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</w:fldData>
        </w:fldChar>
      </w:r>
      <w:r w:rsidR="008B61BE" w:rsidRPr="00B56453">
        <w:rPr>
          <w:shd w:val="clear" w:color="auto" w:fill="FFFFFF"/>
          <w:lang w:val="en-GB"/>
        </w:rPr>
        <w:instrText xml:space="preserve"> ADDIN EN.CITE </w:instrText>
      </w:r>
      <w:r w:rsidR="008B61BE" w:rsidRPr="00B27F0B">
        <w:rPr>
          <w:shd w:val="clear" w:color="auto" w:fill="FFFFFF"/>
          <w:lang w:val="en-GB"/>
        </w:rPr>
        <w:fldChar w:fldCharType="begin">
          <w:fldData xml:space="preserve">PEVuZE5vdGU+PENpdGU+PEF1dGhvcj5DbGVhcnk8L0F1dGhvcj48WWVhcj4yMDAxPC9ZZWFyPjxS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</w:fldData>
        </w:fldChar>
      </w:r>
      <w:r w:rsidR="008B61BE" w:rsidRPr="00B56453">
        <w:rPr>
          <w:shd w:val="clear" w:color="auto" w:fill="FFFFFF"/>
          <w:lang w:val="en-GB"/>
        </w:rPr>
        <w:instrText xml:space="preserve"> ADDIN EN.CITE.DATA </w:instrText>
      </w:r>
      <w:r w:rsidR="008B61BE" w:rsidRPr="00B27F0B">
        <w:rPr>
          <w:shd w:val="clear" w:color="auto" w:fill="FFFFFF"/>
          <w:lang w:val="en-GB"/>
        </w:rPr>
      </w:r>
      <w:r w:rsidR="008B61BE" w:rsidRPr="00B27F0B">
        <w:rPr>
          <w:shd w:val="clear" w:color="auto" w:fill="FFFFFF"/>
          <w:lang w:val="en-GB"/>
        </w:rPr>
        <w:fldChar w:fldCharType="end"/>
      </w:r>
      <w:r w:rsidRPr="00B27F0B">
        <w:rPr>
          <w:shd w:val="clear" w:color="auto" w:fill="FFFFFF"/>
          <w:lang w:val="en-GB"/>
        </w:rPr>
      </w:r>
      <w:r w:rsidRPr="00B27F0B">
        <w:rPr>
          <w:shd w:val="clear" w:color="auto" w:fill="FFFFFF"/>
          <w:lang w:val="en-GB"/>
        </w:rPr>
        <w:fldChar w:fldCharType="separate"/>
      </w:r>
      <w:r w:rsidR="004E5A78" w:rsidRPr="00B56453">
        <w:rPr>
          <w:noProof/>
          <w:shd w:val="clear" w:color="auto" w:fill="FFFFFF"/>
          <w:lang w:val="en-GB"/>
        </w:rPr>
        <w:t>(</w:t>
      </w:r>
      <w:hyperlink w:anchor="_ENREF_91" w:tooltip="Cleary, 2001 #41" w:history="1">
        <w:r w:rsidR="0094469E" w:rsidRPr="00B56453">
          <w:rPr>
            <w:noProof/>
            <w:shd w:val="clear" w:color="auto" w:fill="FFFFFF"/>
            <w:lang w:val="en-GB"/>
          </w:rPr>
          <w:t>Cleary and Zimmerman 2001</w:t>
        </w:r>
      </w:hyperlink>
      <w:r w:rsidR="004E5A78" w:rsidRPr="00B56453">
        <w:rPr>
          <w:noProof/>
          <w:shd w:val="clear" w:color="auto" w:fill="FFFFFF"/>
          <w:lang w:val="en-GB"/>
        </w:rPr>
        <w:t xml:space="preserve">; </w:t>
      </w:r>
      <w:hyperlink w:anchor="_ENREF_217" w:tooltip="Kitsantas, 2002 #129" w:history="1">
        <w:r w:rsidR="0094469E" w:rsidRPr="00B56453">
          <w:rPr>
            <w:noProof/>
            <w:shd w:val="clear" w:color="auto" w:fill="FFFFFF"/>
            <w:lang w:val="en-GB"/>
          </w:rPr>
          <w:t>Kitsantas and Zimmerman 2002</w:t>
        </w:r>
      </w:hyperlink>
      <w:r w:rsidR="004E5A78" w:rsidRPr="00B56453">
        <w:rPr>
          <w:noProof/>
          <w:shd w:val="clear" w:color="auto" w:fill="FFFFFF"/>
          <w:lang w:val="en-GB"/>
        </w:rPr>
        <w:t xml:space="preserve">; </w:t>
      </w:r>
      <w:hyperlink w:anchor="_ENREF_123" w:tooltip="DiBenedetto, 2010 #66" w:history="1">
        <w:r w:rsidR="0094469E" w:rsidRPr="00B56453">
          <w:rPr>
            <w:noProof/>
            <w:shd w:val="clear" w:color="auto" w:fill="FFFFFF"/>
            <w:lang w:val="en-GB"/>
          </w:rPr>
          <w:t>DiBenedetto and Zimmerman 2010</w:t>
        </w:r>
      </w:hyperlink>
      <w:r w:rsidR="004E5A78" w:rsidRPr="00B56453">
        <w:rPr>
          <w:noProof/>
          <w:shd w:val="clear" w:color="auto" w:fill="FFFFFF"/>
          <w:lang w:val="en-GB"/>
        </w:rPr>
        <w:t>)</w:t>
      </w:r>
      <w:r w:rsidRPr="007638B6">
        <w:rPr>
          <w:shd w:val="clear" w:color="auto" w:fill="FFFFFF"/>
          <w:lang w:val="en-GB"/>
        </w:rPr>
        <w:fldChar w:fldCharType="end"/>
      </w:r>
      <w:r w:rsidRPr="00B56453">
        <w:rPr>
          <w:shd w:val="clear" w:color="auto" w:fill="FFFFFF"/>
          <w:lang w:val="en-GB"/>
        </w:rPr>
        <w:t xml:space="preserve">. This </w:t>
      </w:r>
      <w:r w:rsidR="009D23A1" w:rsidRPr="00B56453">
        <w:rPr>
          <w:shd w:val="clear" w:color="auto" w:fill="FFFFFF"/>
          <w:lang w:val="en-GB"/>
        </w:rPr>
        <w:t xml:space="preserve">body of </w:t>
      </w:r>
      <w:r w:rsidRPr="00B56453">
        <w:rPr>
          <w:shd w:val="clear" w:color="auto" w:fill="FFFFFF"/>
          <w:lang w:val="en-GB"/>
        </w:rPr>
        <w:t>research shows that high achievers tend</w:t>
      </w:r>
      <w:r w:rsidR="00F54B26" w:rsidRPr="00B56453">
        <w:rPr>
          <w:shd w:val="clear" w:color="auto" w:fill="FFFFFF"/>
          <w:lang w:val="en-GB"/>
        </w:rPr>
        <w:t>ed</w:t>
      </w:r>
      <w:r w:rsidRPr="00B56453">
        <w:rPr>
          <w:shd w:val="clear" w:color="auto" w:fill="FFFFFF"/>
          <w:lang w:val="en-GB"/>
        </w:rPr>
        <w:t xml:space="preserve"> to display more desirable SRL process</w:t>
      </w:r>
      <w:r w:rsidR="00750F7B" w:rsidRPr="00B56453">
        <w:rPr>
          <w:shd w:val="clear" w:color="auto" w:fill="FFFFFF"/>
          <w:lang w:val="en-GB"/>
        </w:rPr>
        <w:t>es</w:t>
      </w:r>
      <w:r w:rsidRPr="00B56453">
        <w:rPr>
          <w:shd w:val="clear" w:color="auto" w:fill="FFFFFF"/>
          <w:lang w:val="en-GB"/>
        </w:rPr>
        <w:t xml:space="preserve"> (e.g. strategic planning, specific goal setti</w:t>
      </w:r>
      <w:r w:rsidR="00F54B26" w:rsidRPr="00B56453">
        <w:rPr>
          <w:shd w:val="clear" w:color="auto" w:fill="FFFFFF"/>
          <w:lang w:val="en-GB"/>
        </w:rPr>
        <w:t>ng) following failure than</w:t>
      </w:r>
      <w:r w:rsidRPr="00B56453">
        <w:rPr>
          <w:shd w:val="clear" w:color="auto" w:fill="FFFFFF"/>
          <w:lang w:val="en-GB"/>
        </w:rPr>
        <w:t xml:space="preserve"> </w:t>
      </w:r>
      <w:r w:rsidR="00F54B26" w:rsidRPr="00B56453">
        <w:rPr>
          <w:shd w:val="clear" w:color="auto" w:fill="FFFFFF"/>
          <w:lang w:val="en-GB"/>
        </w:rPr>
        <w:t>low achievers</w:t>
      </w:r>
      <w:r w:rsidRPr="00B56453">
        <w:rPr>
          <w:shd w:val="clear" w:color="auto" w:fill="FFFFFF"/>
          <w:lang w:val="en-GB"/>
        </w:rPr>
        <w:t xml:space="preserve">. SRL MA </w:t>
      </w:r>
      <w:r w:rsidR="00F54B26" w:rsidRPr="00B56453">
        <w:rPr>
          <w:shd w:val="clear" w:color="auto" w:fill="FFFFFF"/>
          <w:lang w:val="en-GB"/>
        </w:rPr>
        <w:t>has been shown to be</w:t>
      </w:r>
      <w:r w:rsidRPr="00B56453">
        <w:rPr>
          <w:shd w:val="clear" w:color="auto" w:fill="FFFFFF"/>
          <w:lang w:val="en-GB"/>
        </w:rPr>
        <w:t xml:space="preserve"> predictive of future task performance accounting for variances in the range of 81-90% </w:t>
      </w:r>
      <w:r w:rsidR="00EF281A" w:rsidRPr="007638B6">
        <w:rPr>
          <w:shd w:val="clear" w:color="auto" w:fill="FFFFFF"/>
          <w:lang w:val="en-GB"/>
        </w:rPr>
        <w:fldChar w:fldCharType="begin"/>
      </w:r>
      <w:r w:rsidR="008B61BE" w:rsidRPr="00B56453">
        <w:rPr>
          <w:shd w:val="clear" w:color="auto" w:fill="FFFFFF"/>
          <w:lang w:val="en-GB"/>
        </w:rPr>
        <w:instrText xml:space="preserve"> ADDIN EN.CITE &lt;EndNote&gt;&lt;Cite&gt;&lt;Author&gt;DiBenedetto&lt;/Author&gt;&lt;Year&gt;2013&lt;/Year&gt;&lt;RecNum&gt;65&lt;/RecNum&gt;&lt;DisplayText&gt;(DiBenedetto and Zimmerman 2013)&lt;/DisplayText&gt;&lt;record&gt;&lt;rec-number&gt;65&lt;/rec-number&gt;&lt;foreign-keys&gt;&lt;key app="EN" db-id="xa2r2ewea92trkef5dt5arvbzafvpv2za5ft" timestamp="1442161763"&gt;65&lt;/key&gt;&lt;/foreign-keys&gt;&lt;ref-type name="Journal Article"&gt;17&lt;/ref-type&gt;&lt;contributors&gt;&lt;authors&gt;&lt;author&gt;DiBenedetto, Maria K.&lt;/author&gt;&lt;author&gt;Zimmerman, Barry J.&lt;/author&gt;&lt;/authors&gt;&lt;/contributors&gt;&lt;titles&gt;&lt;title&gt;Construct and predictive validity of microanalytic measures of students&amp;apos; self-regulation of science learning&lt;/title&gt;&lt;secondary-title&gt;Learning and Individual Differences&lt;/secondary-title&gt;&lt;/titles&gt;&lt;periodical&gt;&lt;full-title&gt;Learning and Individual Differences&lt;/full-title&gt;&lt;/periodical&gt;&lt;pages&gt;30-41&lt;/pages&gt;&lt;volume&gt;26&lt;/volume&gt;&lt;dates&gt;&lt;year&gt;2013&lt;/year&gt;&lt;/dates&gt;&lt;publisher&gt;Elsevier&lt;/publisher&gt;&lt;urls&gt;&lt;/urls&gt;&lt;/record&gt;&lt;/Cite&gt;&lt;/EndNote&gt;</w:instrText>
      </w:r>
      <w:r w:rsidR="00EF281A" w:rsidRPr="00B27F0B">
        <w:rPr>
          <w:shd w:val="clear" w:color="auto" w:fill="FFFFFF"/>
          <w:lang w:val="en-GB"/>
        </w:rPr>
        <w:fldChar w:fldCharType="separate"/>
      </w:r>
      <w:r w:rsidR="004E5A78" w:rsidRPr="00B56453">
        <w:rPr>
          <w:noProof/>
          <w:shd w:val="clear" w:color="auto" w:fill="FFFFFF"/>
          <w:lang w:val="en-GB"/>
        </w:rPr>
        <w:t>(</w:t>
      </w:r>
      <w:hyperlink w:anchor="_ENREF_124" w:tooltip="DiBenedetto, 2013 #65" w:history="1">
        <w:r w:rsidR="0094469E" w:rsidRPr="00B56453">
          <w:rPr>
            <w:noProof/>
            <w:shd w:val="clear" w:color="auto" w:fill="FFFFFF"/>
            <w:lang w:val="en-GB"/>
          </w:rPr>
          <w:t>DiBenedetto and Zimmerman 2013</w:t>
        </w:r>
      </w:hyperlink>
      <w:r w:rsidR="004E5A78" w:rsidRPr="00B56453">
        <w:rPr>
          <w:noProof/>
          <w:shd w:val="clear" w:color="auto" w:fill="FFFFFF"/>
          <w:lang w:val="en-GB"/>
        </w:rPr>
        <w:t>)</w:t>
      </w:r>
      <w:r w:rsidR="00EF281A" w:rsidRPr="007638B6">
        <w:rPr>
          <w:shd w:val="clear" w:color="auto" w:fill="FFFFFF"/>
          <w:lang w:val="en-GB"/>
        </w:rPr>
        <w:fldChar w:fldCharType="end"/>
      </w:r>
      <w:r w:rsidR="009D23A1" w:rsidRPr="00B56453">
        <w:rPr>
          <w:shd w:val="clear" w:color="auto" w:fill="FFFFFF"/>
          <w:lang w:val="en-GB"/>
        </w:rPr>
        <w:t>.</w:t>
      </w:r>
      <w:r w:rsidRPr="00B56453">
        <w:rPr>
          <w:shd w:val="clear" w:color="auto" w:fill="FFFFFF"/>
          <w:lang w:val="en-GB"/>
        </w:rPr>
        <w:t xml:space="preserve"> </w:t>
      </w:r>
      <w:hyperlink w:anchor="_ENREF_217" w:tooltip="Kitsantas, 2002 #129" w:history="1">
        <w:r w:rsidR="0094469E" w:rsidRPr="00B27F0B">
          <w:rPr>
            <w:shd w:val="clear" w:color="auto" w:fill="FFFFFF"/>
            <w:lang w:val="en-GB"/>
          </w:rPr>
          <w:fldChar w:fldCharType="begin"/>
        </w:r>
        <w:r w:rsidR="0094469E" w:rsidRPr="00B56453">
          <w:rPr>
            <w:shd w:val="clear" w:color="auto" w:fill="FFFFFF"/>
            <w:lang w:val="en-GB"/>
          </w:rPr>
          <w:instrText xml:space="preserve"> ADDIN EN.CITE &lt;EndNote&gt;&lt;Cite AuthorYear="1"&gt;&lt;Author&gt;Kitsantas&lt;/Author&gt;&lt;Year&gt;2002&lt;/Year&gt;&lt;RecNum&gt;129&lt;/RecNum&gt;&lt;DisplayText&gt;Kitsantas and Zimmerman (2002)&lt;/DisplayText&gt;&lt;record&gt;&lt;rec-number&gt;129&lt;/rec-number&gt;&lt;foreign-keys&gt;&lt;key app="EN" db-id="xa2r2ewea92trkef5dt5arvbzafvpv2za5ft" timestamp="1442161764"&gt;129&lt;/key&gt;&lt;/foreign-keys&gt;&lt;ref-type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0094469E" w:rsidRPr="00B27F0B">
          <w:rPr>
            <w:shd w:val="clear" w:color="auto" w:fill="FFFFFF"/>
            <w:lang w:val="en-GB"/>
          </w:rPr>
          <w:fldChar w:fldCharType="separate"/>
        </w:r>
        <w:r w:rsidR="0094469E" w:rsidRPr="00B56453">
          <w:rPr>
            <w:noProof/>
            <w:shd w:val="clear" w:color="auto" w:fill="FFFFFF"/>
            <w:lang w:val="en-GB"/>
          </w:rPr>
          <w:t>Kitsantas and Zimmerman (2002)</w:t>
        </w:r>
        <w:r w:rsidR="0094469E" w:rsidRPr="00B27F0B">
          <w:rPr>
            <w:shd w:val="clear" w:color="auto" w:fill="FFFFFF"/>
            <w:lang w:val="en-GB"/>
          </w:rPr>
          <w:fldChar w:fldCharType="end"/>
        </w:r>
      </w:hyperlink>
      <w:r w:rsidRPr="00B56453">
        <w:rPr>
          <w:shd w:val="clear" w:color="auto" w:fill="FFFFFF"/>
          <w:lang w:val="en-GB"/>
        </w:rPr>
        <w:t xml:space="preserve"> found that scores collected by SRL MA were able to explain 90% of the performance variance in their study of the volleyball serving skill. </w:t>
      </w:r>
      <w:r w:rsidR="009D23A1" w:rsidRPr="00B56453">
        <w:rPr>
          <w:shd w:val="clear" w:color="auto" w:fill="FFFFFF"/>
          <w:lang w:val="en-GB"/>
        </w:rPr>
        <w:t>S</w:t>
      </w:r>
      <w:r w:rsidRPr="00B56453">
        <w:rPr>
          <w:shd w:val="clear" w:color="auto" w:fill="FFFFFF"/>
          <w:lang w:val="en-GB"/>
        </w:rPr>
        <w:t xml:space="preserve">trong correlations between variables </w:t>
      </w:r>
      <w:r w:rsidR="009D23A1" w:rsidRPr="00B56453">
        <w:rPr>
          <w:shd w:val="clear" w:color="auto" w:fill="FFFFFF"/>
          <w:lang w:val="en-GB"/>
        </w:rPr>
        <w:t xml:space="preserve">have been found </w:t>
      </w:r>
      <w:r w:rsidRPr="00B56453">
        <w:rPr>
          <w:shd w:val="clear" w:color="auto" w:fill="FFFFFF"/>
          <w:lang w:val="en-GB"/>
        </w:rPr>
        <w:t xml:space="preserve">predicted by Zimmerman’s model (i.e. adaptations of performance correlate to a person’s attributions of their performance) </w:t>
      </w:r>
      <w:r w:rsidRPr="007638B6">
        <w:rPr>
          <w:shd w:val="clear" w:color="auto" w:fill="FFFFFF"/>
          <w:lang w:val="en-GB"/>
        </w:rPr>
        <w:fldChar w:fldCharType="begin"/>
      </w:r>
      <w:r w:rsidR="008B61BE" w:rsidRPr="00B56453">
        <w:rPr>
          <w:shd w:val="clear" w:color="auto" w:fill="FFFFFF"/>
          <w:lang w:val="en-GB"/>
        </w:rPr>
        <w:instrText xml:space="preserve"> ADDIN EN.CITE &lt;EndNote&gt;&lt;Cite&gt;&lt;Author&gt;Cleary&lt;/Author&gt;&lt;Year&gt;2001&lt;/Year&gt;&lt;RecNum&gt;41&lt;/RecNum&gt;&lt;DisplayText&gt;(Cleary and Zimmerman 2001; Cleary et al. 2006)&lt;/DisplayText&gt;&lt;record&gt;&lt;rec-number&gt;41&lt;/rec-number&gt;&lt;foreign-keys&gt;&lt;key app="EN" db-id="xa2r2ewea92trkef5dt5arvbzafvpv2za5ft" timestamp="1442161763"&gt;41&lt;/key&gt;&lt;/foreign-keys&gt;&lt;ref-type name="Journal Article"&gt;17&lt;/ref-type&gt;&lt;contributors&gt;&lt;authors&gt;&lt;author&gt;Cleary, Timothy J.&lt;/author&gt;&lt;author&gt;Zimmerman, Barry J.&lt;/author&gt;&lt;/authors&gt;&lt;/contributors&gt;&lt;titles&gt;&lt;title&gt;Self-regulation differences during athletic practice by experts, non-experts, and novices&lt;/title&gt;&lt;secondary-title&gt;Journal of Applied Sport Psychology&lt;/secondary-title&gt;&lt;/titles&gt;&lt;periodical&gt;&lt;full-title&gt;Journal of Applied Sport Psychology&lt;/full-title&gt;&lt;/periodical&gt;&lt;pages&gt;185-206&lt;/pages&gt;&lt;volume&gt;13&lt;/volume&gt;&lt;number&gt;2&lt;/number&gt;&lt;dates&gt;&lt;year&gt;2001&lt;/year&gt;&lt;/dates&gt;&lt;publisher&gt;Taylor &amp;amp; Francis&lt;/publisher&gt;&lt;urls&gt;&lt;/urls&gt;&lt;/record&gt;&lt;/Cite&gt;&lt;Cite&gt;&lt;Author&gt;Cleary&lt;/Author&gt;&lt;Year&gt;2006&lt;/Year&gt;&lt;RecNum&gt;43&lt;/RecNum&gt;&lt;record&gt;&lt;rec-number&gt;43&lt;/rec-number&gt;&lt;foreign-keys&gt;&lt;key app="EN" db-id="xa2r2ewea92trkef5dt5arvbzafvpv2za5ft" timestamp="1442161763"&gt;43&lt;/key&gt;&lt;/foreign-keys&gt;&lt;ref-type name="Journal Article"&gt;17&lt;/ref-type&gt;&lt;contributors&gt;&lt;authors&gt;&lt;author&gt;Cleary, Timothy J.&lt;/author&gt;&lt;author&gt;Zimmerman, Barry J.&lt;/author&gt;&lt;author&gt;Keating, Tedd&lt;/author&gt;&lt;/authors&gt;&lt;/contributors&gt;&lt;titles&gt;&lt;title&gt;Training physical education students to self-regulate during basketball free throw practice&lt;/title&gt;&lt;secondary-title&gt;Research quarterly for exercise and sport&lt;/secondary-title&gt;&lt;/titles&gt;&lt;periodical&gt;&lt;full-title&gt;Research quarterly for exercise and sport&lt;/full-title&gt;&lt;/periodical&gt;&lt;pages&gt;251-262&lt;/pages&gt;&lt;volume&gt;77&lt;/volume&gt;&lt;number&gt;2&lt;/number&gt;&lt;dates&gt;&lt;year&gt;2006&lt;/year&gt;&lt;/dates&gt;&lt;publisher&gt;Taylor &amp;amp; Francis&lt;/publisher&gt;&lt;urls&gt;&lt;related-urls&gt;&lt;url&gt;http://www.tandfonline.com/doi/abs/10.1080/02701367.2006.10599358?url_ver=Z39.88-2003&amp;amp;rfr_id=ori:rid:crossref.org&amp;amp;rfr_dat=cr_pub%3dpubmed&lt;/url&gt;&lt;/related-urls&gt;&lt;/urls&gt;&lt;/record&gt;&lt;/Cite&gt;&lt;/EndNote&gt;</w:instrText>
      </w:r>
      <w:r w:rsidRPr="00B27F0B">
        <w:rPr>
          <w:shd w:val="clear" w:color="auto" w:fill="FFFFFF"/>
          <w:lang w:val="en-GB"/>
        </w:rPr>
        <w:fldChar w:fldCharType="separate"/>
      </w:r>
      <w:r w:rsidR="004E5A78" w:rsidRPr="00B56453">
        <w:rPr>
          <w:noProof/>
          <w:shd w:val="clear" w:color="auto" w:fill="FFFFFF"/>
          <w:lang w:val="en-GB"/>
        </w:rPr>
        <w:t>(</w:t>
      </w:r>
      <w:hyperlink w:anchor="_ENREF_91" w:tooltip="Cleary, 2001 #41" w:history="1">
        <w:r w:rsidR="0094469E" w:rsidRPr="00B56453">
          <w:rPr>
            <w:noProof/>
            <w:shd w:val="clear" w:color="auto" w:fill="FFFFFF"/>
            <w:lang w:val="en-GB"/>
          </w:rPr>
          <w:t>Cleary and Zimmerman 2001</w:t>
        </w:r>
      </w:hyperlink>
      <w:r w:rsidR="004E5A78" w:rsidRPr="00B56453">
        <w:rPr>
          <w:noProof/>
          <w:shd w:val="clear" w:color="auto" w:fill="FFFFFF"/>
          <w:lang w:val="en-GB"/>
        </w:rPr>
        <w:t xml:space="preserve">; </w:t>
      </w:r>
      <w:hyperlink w:anchor="_ENREF_93" w:tooltip="Cleary, 2006 #44" w:history="1">
        <w:r w:rsidR="0094469E" w:rsidRPr="00B56453">
          <w:rPr>
            <w:noProof/>
            <w:shd w:val="clear" w:color="auto" w:fill="FFFFFF"/>
            <w:lang w:val="en-GB"/>
          </w:rPr>
          <w:t>Cleary et al. 2006</w:t>
        </w:r>
      </w:hyperlink>
      <w:r w:rsidR="004E5A78" w:rsidRPr="00B56453">
        <w:rPr>
          <w:noProof/>
          <w:shd w:val="clear" w:color="auto" w:fill="FFFFFF"/>
          <w:lang w:val="en-GB"/>
        </w:rPr>
        <w:t>)</w:t>
      </w:r>
      <w:r w:rsidRPr="007638B6">
        <w:rPr>
          <w:shd w:val="clear" w:color="auto" w:fill="FFFFFF"/>
          <w:lang w:val="en-GB"/>
        </w:rPr>
        <w:fldChar w:fldCharType="end"/>
      </w:r>
      <w:r w:rsidR="001B27CF" w:rsidRPr="00B56453">
        <w:rPr>
          <w:shd w:val="clear" w:color="auto" w:fill="FFFFFF"/>
          <w:lang w:val="en-GB"/>
        </w:rPr>
        <w:t>.</w:t>
      </w:r>
    </w:p>
    <w:p w14:paraId="10CD50C5" w14:textId="77777777" w:rsidR="001B27CF" w:rsidRPr="00B56453" w:rsidRDefault="001B27CF" w:rsidP="00026049">
      <w:pPr>
        <w:pStyle w:val="Normal1"/>
        <w:rPr>
          <w:shd w:val="clear" w:color="auto" w:fill="FFFFFF"/>
          <w:lang w:val="en-GB"/>
        </w:rPr>
      </w:pPr>
    </w:p>
    <w:p w14:paraId="3546E3D7" w14:textId="05B60FCB" w:rsidR="001B27CF" w:rsidRPr="00B56453" w:rsidRDefault="001B27CF" w:rsidP="00026049">
      <w:pPr>
        <w:pStyle w:val="Normal1"/>
        <w:rPr>
          <w:shd w:val="clear" w:color="auto" w:fill="FFFFFF"/>
          <w:lang w:val="en-GB"/>
        </w:rPr>
      </w:pPr>
      <w:r w:rsidRPr="00B56453">
        <w:rPr>
          <w:shd w:val="clear" w:color="auto" w:fill="FFFFFF"/>
          <w:lang w:val="en-GB"/>
        </w:rPr>
        <w:t xml:space="preserve">Although determining future performance is not a measured variable in this study, the SRL MA technique must be shown to be a robust </w:t>
      </w:r>
      <w:r w:rsidR="007239A9" w:rsidRPr="00B56453">
        <w:rPr>
          <w:shd w:val="clear" w:color="auto" w:fill="FFFFFF"/>
          <w:lang w:val="en-GB"/>
        </w:rPr>
        <w:t>method</w:t>
      </w:r>
      <w:r w:rsidRPr="00B56453">
        <w:rPr>
          <w:shd w:val="clear" w:color="auto" w:fill="FFFFFF"/>
          <w:lang w:val="en-GB"/>
        </w:rPr>
        <w:t xml:space="preserve"> of assessing performance and SRL </w:t>
      </w:r>
      <w:r w:rsidR="00FC0FFB" w:rsidRPr="00B56453">
        <w:rPr>
          <w:shd w:val="clear" w:color="auto" w:fill="FFFFFF"/>
          <w:lang w:val="en-GB"/>
        </w:rPr>
        <w:t>processes for</w:t>
      </w:r>
      <w:r w:rsidRPr="00B56453">
        <w:rPr>
          <w:shd w:val="clear" w:color="auto" w:fill="FFFFFF"/>
          <w:lang w:val="en-GB"/>
        </w:rPr>
        <w:t xml:space="preserve"> teachers to give accurate and impactful feedback on those variables.</w:t>
      </w:r>
    </w:p>
    <w:p w14:paraId="2A37FBA1" w14:textId="77777777" w:rsidR="00EA693E" w:rsidRPr="00B56453" w:rsidRDefault="00EA693E" w:rsidP="00026049">
      <w:pPr>
        <w:pStyle w:val="Normal1"/>
        <w:rPr>
          <w:lang w:val="en-GB"/>
        </w:rPr>
      </w:pPr>
    </w:p>
    <w:p w14:paraId="5B92DE11" w14:textId="77777777" w:rsidR="00B57FE0" w:rsidRPr="00B56453" w:rsidRDefault="00B57FE0" w:rsidP="00026049">
      <w:pPr>
        <w:pStyle w:val="Normal1"/>
        <w:rPr>
          <w:rFonts w:eastAsiaTheme="majorEastAsia" w:cs="Times New Roman"/>
          <w:color w:val="000000" w:themeColor="text1"/>
          <w:sz w:val="28"/>
          <w:szCs w:val="26"/>
          <w:shd w:val="clear" w:color="auto" w:fill="FCFCFC"/>
          <w:lang w:val="en-GB"/>
        </w:rPr>
      </w:pPr>
      <w:r w:rsidRPr="00B56453">
        <w:rPr>
          <w:lang w:val="en-GB"/>
        </w:rPr>
        <w:br w:type="page"/>
      </w:r>
    </w:p>
    <w:p w14:paraId="4C2E84EE" w14:textId="05B4BD44" w:rsidR="00550AAD" w:rsidRPr="00B56453" w:rsidRDefault="005765F4" w:rsidP="00B1638D">
      <w:pPr>
        <w:pStyle w:val="Heading2"/>
        <w:rPr>
          <w:lang w:val="en-GB"/>
        </w:rPr>
      </w:pPr>
      <w:bookmarkStart w:id="264" w:name="_Toc500319375"/>
      <w:r w:rsidRPr="00B56453">
        <w:rPr>
          <w:lang w:val="en-GB"/>
        </w:rPr>
        <w:lastRenderedPageBreak/>
        <w:t>B1</w:t>
      </w:r>
      <w:r w:rsidR="000D6EB5" w:rsidRPr="00B56453">
        <w:rPr>
          <w:lang w:val="en-GB"/>
        </w:rPr>
        <w:t>.2</w:t>
      </w:r>
      <w:r w:rsidR="00F176D2" w:rsidRPr="00B56453">
        <w:rPr>
          <w:lang w:val="en-GB"/>
        </w:rPr>
        <w:t xml:space="preserve"> </w:t>
      </w:r>
      <w:r w:rsidR="00550AAD" w:rsidRPr="00B56453">
        <w:rPr>
          <w:lang w:val="en-GB"/>
        </w:rPr>
        <w:t>Access</w:t>
      </w:r>
      <w:r w:rsidR="005850A3" w:rsidRPr="00B56453">
        <w:rPr>
          <w:lang w:val="en-GB"/>
        </w:rPr>
        <w:t xml:space="preserve"> and Multimedia Training</w:t>
      </w:r>
      <w:bookmarkEnd w:id="264"/>
    </w:p>
    <w:p w14:paraId="2FAE78D3" w14:textId="77777777" w:rsidR="00D9036C" w:rsidRPr="00B56453" w:rsidRDefault="00D9036C" w:rsidP="00026049">
      <w:pPr>
        <w:pStyle w:val="Normal1"/>
        <w:rPr>
          <w:lang w:val="en-GB"/>
        </w:rPr>
      </w:pPr>
    </w:p>
    <w:p w14:paraId="535E12BD" w14:textId="63EF95EF" w:rsidR="00D9036C" w:rsidRPr="00B56453" w:rsidRDefault="00B57FE0" w:rsidP="00026049">
      <w:pPr>
        <w:pStyle w:val="Normal1"/>
        <w:rPr>
          <w:lang w:val="en-GB"/>
        </w:rPr>
      </w:pPr>
      <w:r w:rsidRPr="00B56453">
        <w:rPr>
          <w:lang w:val="en-GB"/>
        </w:rPr>
        <w:t>S</w:t>
      </w:r>
      <w:r w:rsidR="00D9036C" w:rsidRPr="00B56453">
        <w:rPr>
          <w:lang w:val="en-GB"/>
        </w:rPr>
        <w:t>everal meetings</w:t>
      </w:r>
      <w:r w:rsidRPr="00B56453">
        <w:rPr>
          <w:lang w:val="en-GB"/>
        </w:rPr>
        <w:t xml:space="preserve"> were organised</w:t>
      </w:r>
      <w:r w:rsidR="00D9036C" w:rsidRPr="00B56453">
        <w:rPr>
          <w:lang w:val="en-GB"/>
        </w:rPr>
        <w:t xml:space="preserve"> with clinical </w:t>
      </w:r>
      <w:r w:rsidRPr="00B56453">
        <w:rPr>
          <w:lang w:val="en-GB"/>
        </w:rPr>
        <w:t xml:space="preserve">skills managers to negotiate the </w:t>
      </w:r>
      <w:r w:rsidR="00D9036C" w:rsidRPr="00B56453">
        <w:rPr>
          <w:lang w:val="en-GB"/>
        </w:rPr>
        <w:t xml:space="preserve">level of access to the teachers, the facilities, and the taught sessions. </w:t>
      </w:r>
      <w:r w:rsidRPr="00B56453">
        <w:rPr>
          <w:lang w:val="en-GB"/>
        </w:rPr>
        <w:t>An</w:t>
      </w:r>
      <w:r w:rsidR="00D9036C" w:rsidRPr="00B56453">
        <w:rPr>
          <w:lang w:val="en-GB"/>
        </w:rPr>
        <w:t xml:space="preserve"> agreement</w:t>
      </w:r>
      <w:r w:rsidRPr="00B56453">
        <w:rPr>
          <w:lang w:val="en-GB"/>
        </w:rPr>
        <w:t xml:space="preserve"> was established</w:t>
      </w:r>
      <w:r w:rsidR="00D9036C" w:rsidRPr="00B56453">
        <w:rPr>
          <w:lang w:val="en-GB"/>
        </w:rPr>
        <w:t xml:space="preserve"> </w:t>
      </w:r>
      <w:r w:rsidRPr="00B56453">
        <w:rPr>
          <w:lang w:val="en-GB"/>
        </w:rPr>
        <w:t>where t</w:t>
      </w:r>
      <w:r w:rsidR="00D9036C" w:rsidRPr="00B56453">
        <w:rPr>
          <w:lang w:val="en-GB"/>
        </w:rPr>
        <w:t>eachers</w:t>
      </w:r>
      <w:r w:rsidRPr="00B56453">
        <w:rPr>
          <w:lang w:val="en-GB"/>
        </w:rPr>
        <w:t xml:space="preserve"> could be approached</w:t>
      </w:r>
      <w:r w:rsidR="00D9036C" w:rsidRPr="00B56453">
        <w:rPr>
          <w:lang w:val="en-GB"/>
        </w:rPr>
        <w:t xml:space="preserve"> </w:t>
      </w:r>
      <w:r w:rsidR="007239A9" w:rsidRPr="00B56453">
        <w:rPr>
          <w:lang w:val="en-GB"/>
        </w:rPr>
        <w:t>for recruitment to</w:t>
      </w:r>
      <w:r w:rsidR="00D9036C" w:rsidRPr="00B56453">
        <w:rPr>
          <w:lang w:val="en-GB"/>
        </w:rPr>
        <w:t xml:space="preserve"> the study du</w:t>
      </w:r>
      <w:r w:rsidR="007239A9" w:rsidRPr="00B56453">
        <w:rPr>
          <w:lang w:val="en-GB"/>
        </w:rPr>
        <w:t>ring their normal working hours;</w:t>
      </w:r>
      <w:r w:rsidR="00D9036C" w:rsidRPr="00B56453">
        <w:rPr>
          <w:lang w:val="en-GB"/>
        </w:rPr>
        <w:t xml:space="preserve"> all training and data collection had to be within these hours and had to be mutually agreed between both parties. </w:t>
      </w:r>
      <w:r w:rsidRPr="00B56453">
        <w:rPr>
          <w:lang w:val="en-GB"/>
        </w:rPr>
        <w:t>F</w:t>
      </w:r>
      <w:r w:rsidR="00D9036C" w:rsidRPr="00B56453">
        <w:rPr>
          <w:lang w:val="en-GB"/>
        </w:rPr>
        <w:t>ull access</w:t>
      </w:r>
      <w:r w:rsidRPr="00B56453">
        <w:rPr>
          <w:lang w:val="en-GB"/>
        </w:rPr>
        <w:t xml:space="preserve"> was given</w:t>
      </w:r>
      <w:r w:rsidR="00D9036C" w:rsidRPr="00B56453">
        <w:rPr>
          <w:lang w:val="en-GB"/>
        </w:rPr>
        <w:t xml:space="preserve"> to the teaching rooms, offices, and multimedia facilities with tours of each area. </w:t>
      </w:r>
      <w:r w:rsidR="005850A3" w:rsidRPr="00B56453">
        <w:rPr>
          <w:lang w:val="en-GB"/>
        </w:rPr>
        <w:t>Students also consent</w:t>
      </w:r>
      <w:r w:rsidR="007239A9" w:rsidRPr="00B56453">
        <w:rPr>
          <w:lang w:val="en-GB"/>
        </w:rPr>
        <w:t>ed</w:t>
      </w:r>
      <w:r w:rsidR="005850A3" w:rsidRPr="00B56453">
        <w:rPr>
          <w:lang w:val="en-GB"/>
        </w:rPr>
        <w:t xml:space="preserve"> to being filmed upon entering the teaching rooms</w:t>
      </w:r>
      <w:r w:rsidR="007239A9" w:rsidRPr="00B56453">
        <w:rPr>
          <w:lang w:val="en-GB"/>
        </w:rPr>
        <w:t xml:space="preserve"> as was usual practice</w:t>
      </w:r>
      <w:r w:rsidR="005850A3" w:rsidRPr="00B56453">
        <w:rPr>
          <w:lang w:val="en-GB"/>
        </w:rPr>
        <w:t>, consent was th</w:t>
      </w:r>
      <w:r w:rsidR="007239A9" w:rsidRPr="00B56453">
        <w:rPr>
          <w:lang w:val="en-GB"/>
        </w:rPr>
        <w:t xml:space="preserve">erefore not </w:t>
      </w:r>
      <w:r w:rsidR="00F54B26" w:rsidRPr="00B56453">
        <w:rPr>
          <w:lang w:val="en-GB"/>
        </w:rPr>
        <w:t>required</w:t>
      </w:r>
      <w:r w:rsidR="007239A9" w:rsidRPr="00B56453">
        <w:rPr>
          <w:lang w:val="en-GB"/>
        </w:rPr>
        <w:t xml:space="preserve"> for filming.</w:t>
      </w:r>
    </w:p>
    <w:p w14:paraId="5B01BF90" w14:textId="77777777" w:rsidR="005850A3" w:rsidRPr="00B56453" w:rsidRDefault="005850A3" w:rsidP="00026049">
      <w:pPr>
        <w:pStyle w:val="Normal1"/>
        <w:rPr>
          <w:lang w:val="en-GB"/>
        </w:rPr>
      </w:pPr>
    </w:p>
    <w:p w14:paraId="6D1EEE85" w14:textId="49A98B16" w:rsidR="005850A3" w:rsidRPr="00B56453" w:rsidRDefault="005850A3" w:rsidP="00026049">
      <w:pPr>
        <w:pStyle w:val="Normal1"/>
        <w:rPr>
          <w:lang w:val="en-GB"/>
        </w:rPr>
      </w:pPr>
      <w:r w:rsidRPr="00B56453">
        <w:rPr>
          <w:lang w:val="en-GB"/>
        </w:rPr>
        <w:t xml:space="preserve">There </w:t>
      </w:r>
      <w:r w:rsidR="00B57FE0" w:rsidRPr="00B56453">
        <w:rPr>
          <w:lang w:val="en-GB"/>
        </w:rPr>
        <w:t>were</w:t>
      </w:r>
      <w:r w:rsidRPr="00B56453">
        <w:rPr>
          <w:lang w:val="en-GB"/>
        </w:rPr>
        <w:t xml:space="preserve"> cameras and microphones in every teaching room which provide</w:t>
      </w:r>
      <w:r w:rsidR="00B57FE0" w:rsidRPr="00B56453">
        <w:rPr>
          <w:lang w:val="en-GB"/>
        </w:rPr>
        <w:t>d</w:t>
      </w:r>
      <w:r w:rsidRPr="00B56453">
        <w:rPr>
          <w:lang w:val="en-GB"/>
        </w:rPr>
        <w:t xml:space="preserve"> several angles for observation; these </w:t>
      </w:r>
      <w:r w:rsidR="00B57FE0" w:rsidRPr="00B56453">
        <w:rPr>
          <w:lang w:val="en-GB"/>
        </w:rPr>
        <w:t>were</w:t>
      </w:r>
      <w:r w:rsidRPr="00B56453">
        <w:rPr>
          <w:lang w:val="en-GB"/>
        </w:rPr>
        <w:t xml:space="preserve"> controlled by a central </w:t>
      </w:r>
      <w:r w:rsidR="007239A9" w:rsidRPr="00B56453">
        <w:rPr>
          <w:lang w:val="en-GB"/>
        </w:rPr>
        <w:t>control room</w:t>
      </w:r>
      <w:r w:rsidRPr="00B56453">
        <w:rPr>
          <w:lang w:val="en-GB"/>
        </w:rPr>
        <w:t xml:space="preserve"> on-site. The</w:t>
      </w:r>
      <w:r w:rsidR="003744E5" w:rsidRPr="00B56453">
        <w:rPr>
          <w:lang w:val="en-GB"/>
        </w:rPr>
        <w:t xml:space="preserve"> ‘LearningSpace’ software (Version: Spring 2015)</w:t>
      </w:r>
      <w:r w:rsidR="00B225F1" w:rsidRPr="00B56453">
        <w:rPr>
          <w:lang w:val="en-GB"/>
        </w:rPr>
        <w:t xml:space="preserve"> </w:t>
      </w:r>
      <w:r w:rsidR="00750F7B" w:rsidRPr="00B56453">
        <w:rPr>
          <w:lang w:val="en-GB"/>
        </w:rPr>
        <w:t>ha</w:t>
      </w:r>
      <w:r w:rsidR="00F54B26" w:rsidRPr="00B56453">
        <w:rPr>
          <w:lang w:val="en-GB"/>
        </w:rPr>
        <w:t xml:space="preserve">d </w:t>
      </w:r>
      <w:r w:rsidR="00750F7B" w:rsidRPr="00B56453">
        <w:rPr>
          <w:lang w:val="en-GB"/>
        </w:rPr>
        <w:t>been</w:t>
      </w:r>
      <w:r w:rsidRPr="00B56453">
        <w:rPr>
          <w:lang w:val="en-GB"/>
        </w:rPr>
        <w:t xml:space="preserve"> used in the clinical skills department for regular student assessments and feedback; for </w:t>
      </w:r>
      <w:r w:rsidR="007239A9" w:rsidRPr="00B56453">
        <w:rPr>
          <w:lang w:val="en-GB"/>
        </w:rPr>
        <w:t>example, simulated ward rounds we</w:t>
      </w:r>
      <w:r w:rsidRPr="00B56453">
        <w:rPr>
          <w:lang w:val="en-GB"/>
        </w:rPr>
        <w:t>re conducted which allow</w:t>
      </w:r>
      <w:r w:rsidR="007239A9" w:rsidRPr="00B56453">
        <w:rPr>
          <w:lang w:val="en-GB"/>
        </w:rPr>
        <w:t>ed</w:t>
      </w:r>
      <w:r w:rsidRPr="00B56453">
        <w:rPr>
          <w:lang w:val="en-GB"/>
        </w:rPr>
        <w:t xml:space="preserve"> students to observe and critique their own performance with a teacher. </w:t>
      </w:r>
      <w:r w:rsidR="007239A9" w:rsidRPr="00B56453">
        <w:rPr>
          <w:lang w:val="en-GB"/>
        </w:rPr>
        <w:t>Disruption of taught</w:t>
      </w:r>
      <w:r w:rsidR="00750F7B" w:rsidRPr="00B56453">
        <w:rPr>
          <w:lang w:val="en-GB"/>
        </w:rPr>
        <w:t xml:space="preserve"> sessions was kept to a minimum</w:t>
      </w:r>
      <w:r w:rsidR="007239A9" w:rsidRPr="00B56453">
        <w:rPr>
          <w:lang w:val="en-GB"/>
        </w:rPr>
        <w:t xml:space="preserve"> </w:t>
      </w:r>
      <w:r w:rsidR="00750F7B" w:rsidRPr="00B56453">
        <w:rPr>
          <w:lang w:val="en-GB"/>
        </w:rPr>
        <w:t>by</w:t>
      </w:r>
      <w:r w:rsidR="007239A9" w:rsidRPr="00B56453">
        <w:rPr>
          <w:lang w:val="en-GB"/>
        </w:rPr>
        <w:t xml:space="preserve"> observ</w:t>
      </w:r>
      <w:r w:rsidR="00750F7B" w:rsidRPr="00B56453">
        <w:rPr>
          <w:lang w:val="en-GB"/>
        </w:rPr>
        <w:t>ing the</w:t>
      </w:r>
      <w:r w:rsidR="007239A9" w:rsidRPr="00B56453">
        <w:rPr>
          <w:lang w:val="en-GB"/>
        </w:rPr>
        <w:t xml:space="preserve"> sessions from the control room where multiple sessions could be observed and recorded simultaneously using video cameras in the classroom. </w:t>
      </w:r>
      <w:r w:rsidRPr="00B56453">
        <w:rPr>
          <w:lang w:val="en-GB"/>
        </w:rPr>
        <w:t xml:space="preserve">It was possible to set up the system so that every teaching session in which the research project was running could be automatically recorded and </w:t>
      </w:r>
      <w:r w:rsidR="00FC1F41" w:rsidRPr="00B56453">
        <w:rPr>
          <w:lang w:val="en-GB"/>
        </w:rPr>
        <w:t>stored securely.</w:t>
      </w:r>
    </w:p>
    <w:p w14:paraId="56B16425" w14:textId="77777777" w:rsidR="00FC1F41" w:rsidRPr="00B56453" w:rsidRDefault="00FC1F41" w:rsidP="00026049">
      <w:pPr>
        <w:pStyle w:val="Normal1"/>
        <w:rPr>
          <w:lang w:val="en-GB"/>
        </w:rPr>
      </w:pPr>
    </w:p>
    <w:p w14:paraId="6E5BB4C8" w14:textId="73AEF42C" w:rsidR="00FC1F41" w:rsidRPr="00B56453" w:rsidRDefault="00B57FE0" w:rsidP="00026049">
      <w:pPr>
        <w:pStyle w:val="Normal1"/>
        <w:rPr>
          <w:lang w:val="en-GB"/>
        </w:rPr>
      </w:pPr>
      <w:r w:rsidRPr="00B56453">
        <w:rPr>
          <w:lang w:val="en-GB"/>
        </w:rPr>
        <w:t>Training was provided</w:t>
      </w:r>
      <w:r w:rsidR="00FC1F41" w:rsidRPr="00B56453">
        <w:rPr>
          <w:lang w:val="en-GB"/>
        </w:rPr>
        <w:t xml:space="preserve"> by the academic responsible for </w:t>
      </w:r>
      <w:r w:rsidR="00A13542" w:rsidRPr="00B56453">
        <w:rPr>
          <w:lang w:val="en-GB"/>
        </w:rPr>
        <w:t xml:space="preserve">the </w:t>
      </w:r>
      <w:r w:rsidR="00FC1F41" w:rsidRPr="00B56453">
        <w:rPr>
          <w:lang w:val="en-GB"/>
        </w:rPr>
        <w:t xml:space="preserve">maintenance and </w:t>
      </w:r>
      <w:r w:rsidR="00A13542" w:rsidRPr="00B56453">
        <w:rPr>
          <w:lang w:val="en-GB"/>
        </w:rPr>
        <w:t xml:space="preserve">the </w:t>
      </w:r>
      <w:r w:rsidR="00FC1F41" w:rsidRPr="00B56453">
        <w:rPr>
          <w:lang w:val="en-GB"/>
        </w:rPr>
        <w:t xml:space="preserve">use of the system. They </w:t>
      </w:r>
      <w:r w:rsidRPr="00B56453">
        <w:rPr>
          <w:lang w:val="en-GB"/>
        </w:rPr>
        <w:t xml:space="preserve">conducted </w:t>
      </w:r>
      <w:r w:rsidR="00FC1F41" w:rsidRPr="00B56453">
        <w:rPr>
          <w:lang w:val="en-GB"/>
        </w:rPr>
        <w:t xml:space="preserve">test recording sessions which were successful, and </w:t>
      </w:r>
      <w:r w:rsidR="007239A9" w:rsidRPr="00B56453">
        <w:rPr>
          <w:lang w:val="en-GB"/>
        </w:rPr>
        <w:t xml:space="preserve">technical </w:t>
      </w:r>
      <w:r w:rsidRPr="00B56453">
        <w:rPr>
          <w:lang w:val="en-GB"/>
        </w:rPr>
        <w:t xml:space="preserve">staff </w:t>
      </w:r>
      <w:r w:rsidR="00FC1F41" w:rsidRPr="00B56453">
        <w:rPr>
          <w:lang w:val="en-GB"/>
        </w:rPr>
        <w:t xml:space="preserve">were available </w:t>
      </w:r>
      <w:r w:rsidR="001F781C" w:rsidRPr="00B56453">
        <w:rPr>
          <w:lang w:val="en-GB"/>
        </w:rPr>
        <w:t>for</w:t>
      </w:r>
      <w:r w:rsidR="00FC1F41" w:rsidRPr="00B56453">
        <w:rPr>
          <w:lang w:val="en-GB"/>
        </w:rPr>
        <w:t xml:space="preserve"> support during the project.</w:t>
      </w:r>
      <w:r w:rsidR="00DC6AA4" w:rsidRPr="00B56453">
        <w:rPr>
          <w:lang w:val="en-GB"/>
        </w:rPr>
        <w:t xml:space="preserve"> Following this training, instructional training videos </w:t>
      </w:r>
      <w:r w:rsidRPr="00B56453">
        <w:rPr>
          <w:lang w:val="en-GB"/>
        </w:rPr>
        <w:t>were made</w:t>
      </w:r>
      <w:r w:rsidR="001F781C" w:rsidRPr="00B56453">
        <w:rPr>
          <w:lang w:val="en-GB"/>
        </w:rPr>
        <w:t xml:space="preserve"> by the research team</w:t>
      </w:r>
      <w:r w:rsidRPr="00B56453">
        <w:rPr>
          <w:lang w:val="en-GB"/>
        </w:rPr>
        <w:t xml:space="preserve"> </w:t>
      </w:r>
      <w:r w:rsidR="00DC6AA4" w:rsidRPr="00B56453">
        <w:rPr>
          <w:lang w:val="en-GB"/>
        </w:rPr>
        <w:t xml:space="preserve">to support the teacher training. These videos were filmed at the clinical skills centre using a teaching room and were edited </w:t>
      </w:r>
      <w:r w:rsidRPr="00B56453">
        <w:rPr>
          <w:lang w:val="en-GB"/>
        </w:rPr>
        <w:t>to improve their quality as</w:t>
      </w:r>
      <w:r w:rsidR="001F781C" w:rsidRPr="00B56453">
        <w:rPr>
          <w:lang w:val="en-GB"/>
        </w:rPr>
        <w:t xml:space="preserve"> instructional</w:t>
      </w:r>
      <w:r w:rsidRPr="00B56453">
        <w:rPr>
          <w:lang w:val="en-GB"/>
        </w:rPr>
        <w:t xml:space="preserve"> resources</w:t>
      </w:r>
      <w:r w:rsidR="00DC6AA4" w:rsidRPr="00B56453">
        <w:rPr>
          <w:lang w:val="en-GB"/>
        </w:rPr>
        <w:t xml:space="preserve">. </w:t>
      </w:r>
    </w:p>
    <w:p w14:paraId="20C0FB5D" w14:textId="77777777" w:rsidR="00314450" w:rsidRPr="00B56453" w:rsidRDefault="00314450" w:rsidP="00026049">
      <w:pPr>
        <w:pStyle w:val="Normal1"/>
        <w:rPr>
          <w:lang w:val="en-GB"/>
        </w:rPr>
      </w:pPr>
    </w:p>
    <w:p w14:paraId="603BDE80" w14:textId="77777777" w:rsidR="0049047B" w:rsidRPr="00B56453" w:rsidRDefault="0049047B">
      <w:pPr>
        <w:rPr>
          <w:rFonts w:eastAsia="Lucida Sans Unicode" w:cs="Mangal"/>
          <w:b/>
          <w:kern w:val="1"/>
          <w:sz w:val="28"/>
          <w:szCs w:val="24"/>
          <w:lang w:eastAsia="hi-IN" w:bidi="hi-IN"/>
        </w:rPr>
      </w:pPr>
      <w:bookmarkStart w:id="265" w:name="_Toc429988464"/>
      <w:r w:rsidRPr="00B56453">
        <w:br w:type="page"/>
      </w:r>
    </w:p>
    <w:p w14:paraId="60DAE2B4" w14:textId="19DA312D" w:rsidR="00314450" w:rsidRPr="00B56453" w:rsidRDefault="00314450" w:rsidP="00B1638D">
      <w:pPr>
        <w:pStyle w:val="Heading2"/>
        <w:rPr>
          <w:lang w:val="en-GB"/>
        </w:rPr>
      </w:pPr>
      <w:bookmarkStart w:id="266" w:name="_Toc500319376"/>
      <w:r w:rsidRPr="00B56453">
        <w:rPr>
          <w:lang w:val="en-GB"/>
        </w:rPr>
        <w:lastRenderedPageBreak/>
        <w:t xml:space="preserve">B1.3 </w:t>
      </w:r>
      <w:r w:rsidR="00DD0B00" w:rsidRPr="00B56453">
        <w:rPr>
          <w:lang w:val="en-GB"/>
        </w:rPr>
        <w:t>Clinical Skills</w:t>
      </w:r>
      <w:bookmarkEnd w:id="265"/>
      <w:bookmarkEnd w:id="266"/>
    </w:p>
    <w:p w14:paraId="483806A1" w14:textId="77777777" w:rsidR="00314450" w:rsidRPr="00B56453" w:rsidRDefault="00314450" w:rsidP="00026049">
      <w:pPr>
        <w:pStyle w:val="Normal1"/>
        <w:rPr>
          <w:lang w:val="en-GB"/>
        </w:rPr>
      </w:pPr>
    </w:p>
    <w:p w14:paraId="2677E6B8" w14:textId="159371D5" w:rsidR="00314450" w:rsidRPr="00B56453" w:rsidRDefault="002A1C63" w:rsidP="00026049">
      <w:pPr>
        <w:pStyle w:val="Normal1"/>
        <w:rPr>
          <w:lang w:val="en-GB"/>
        </w:rPr>
      </w:pPr>
      <w:hyperlink w:anchor="_ENREF_221" w:tooltip="Kluger, 1996 #134" w:history="1">
        <w:r w:rsidR="0094469E" w:rsidRPr="00B27F0B">
          <w:rPr>
            <w:lang w:val="en-GB"/>
          </w:rPr>
          <w:fldChar w:fldCharType="begin"/>
        </w:r>
        <w:r w:rsidR="0094469E" w:rsidRPr="00B56453">
          <w:rPr>
            <w:lang w:val="en-GB"/>
          </w:rPr>
          <w:instrText xml:space="preserve"> ADDIN EN.CITE &lt;EndNote&gt;&lt;Cite AuthorYear="1"&gt;&lt;Author&gt;Kluger&lt;/Author&gt;&lt;Year&gt;1996&lt;/Year&gt;&lt;RecNum&gt;134&lt;/RecNum&gt;&lt;DisplayText&gt;Kluger and DeNisi (1996)&lt;/DisplayText&gt;&lt;record&gt;&lt;rec-number&gt;134&lt;/rec-number&gt;&lt;foreign-keys&gt;&lt;key app="EN" db-id="xa2r2ewea92trkef5dt5arvbzafvpv2za5ft" timestamp="1442161764"&gt;134&lt;/key&gt;&lt;/foreign-keys&gt;&lt;ref-type name="Journal Article"&gt;17&lt;/ref-type&gt;&lt;contributors&gt;&lt;authors&gt;&lt;author&gt;Kluger, Avraham N.&lt;/author&gt;&lt;author&gt;DeNisi, Angelo&lt;/author&gt;&lt;/authors&gt;&lt;/contributors&gt;&lt;titles&gt;&lt;title&gt;The effects of feedback interventions on performance: a historical review, a meta-analysis, and a preliminary feedback intervention theory&lt;/title&gt;&lt;secondary-title&gt;Psychological bulletin&lt;/secondary-title&gt;&lt;/titles&gt;&lt;periodical&gt;&lt;full-title&gt;Psychological bulletin&lt;/full-title&gt;&lt;/periodical&gt;&lt;pages&gt;254&lt;/pages&gt;&lt;volume&gt;119&lt;/volume&gt;&lt;number&gt;2&lt;/number&gt;&lt;dates&gt;&lt;year&gt;1996&lt;/year&gt;&lt;/dates&gt;&lt;publisher&gt;American Psychological Association&lt;/publisher&gt;&lt;urls&gt;&lt;/urls&gt;&lt;/record&gt;&lt;/Cite&gt;&lt;/EndNote&gt;</w:instrText>
        </w:r>
        <w:r w:rsidR="0094469E" w:rsidRPr="00B27F0B">
          <w:rPr>
            <w:lang w:val="en-GB"/>
          </w:rPr>
          <w:fldChar w:fldCharType="separate"/>
        </w:r>
        <w:r w:rsidR="0094469E" w:rsidRPr="00B56453">
          <w:rPr>
            <w:noProof/>
            <w:lang w:val="en-GB"/>
          </w:rPr>
          <w:t>Kluger and DeNisi (1996)</w:t>
        </w:r>
        <w:r w:rsidR="0094469E" w:rsidRPr="00B27F0B">
          <w:rPr>
            <w:lang w:val="en-GB"/>
          </w:rPr>
          <w:fldChar w:fldCharType="end"/>
        </w:r>
      </w:hyperlink>
      <w:r w:rsidR="00314450" w:rsidRPr="00B56453">
        <w:rPr>
          <w:lang w:val="en-GB"/>
        </w:rPr>
        <w:t xml:space="preserve"> suggest</w:t>
      </w:r>
      <w:r w:rsidR="00DA0913" w:rsidRPr="00B56453">
        <w:rPr>
          <w:lang w:val="en-GB"/>
        </w:rPr>
        <w:t>ed</w:t>
      </w:r>
      <w:r w:rsidR="00314450" w:rsidRPr="00B56453">
        <w:rPr>
          <w:lang w:val="en-GB"/>
        </w:rPr>
        <w:t xml:space="preserve"> that feedback on complex tasks, requiring </w:t>
      </w:r>
      <w:r w:rsidR="00750F7B" w:rsidRPr="00B56453">
        <w:rPr>
          <w:lang w:val="en-GB"/>
        </w:rPr>
        <w:t>greater</w:t>
      </w:r>
      <w:r w:rsidR="00314450" w:rsidRPr="00B56453">
        <w:rPr>
          <w:lang w:val="en-GB"/>
        </w:rPr>
        <w:t xml:space="preserve"> attention and </w:t>
      </w:r>
      <w:r w:rsidR="00750F7B" w:rsidRPr="00B56453">
        <w:rPr>
          <w:lang w:val="en-GB"/>
        </w:rPr>
        <w:t xml:space="preserve">additional </w:t>
      </w:r>
      <w:r w:rsidR="00314450" w:rsidRPr="00B56453">
        <w:rPr>
          <w:lang w:val="en-GB"/>
        </w:rPr>
        <w:t xml:space="preserve">procedural steps, has more impact than </w:t>
      </w:r>
      <w:r w:rsidR="00750F7B" w:rsidRPr="00B56453">
        <w:rPr>
          <w:lang w:val="en-GB"/>
        </w:rPr>
        <w:t xml:space="preserve">feedback </w:t>
      </w:r>
      <w:r w:rsidR="00314450" w:rsidRPr="00B56453">
        <w:rPr>
          <w:lang w:val="en-GB"/>
        </w:rPr>
        <w:t xml:space="preserve">on simpler tasks with fewer steps. This is echoed in clinical skills, the level of the learner and complexity of the skill is likely to influence the feedback </w:t>
      </w:r>
      <w:r w:rsidR="00EF281A" w:rsidRPr="009C2746">
        <w:rPr>
          <w:lang w:val="en-GB"/>
        </w:rPr>
        <w:fldChar w:fldCharType="begin"/>
      </w:r>
      <w:r w:rsidR="008B61BE" w:rsidRPr="00B56453">
        <w:rPr>
          <w:lang w:val="en-GB"/>
        </w:rPr>
        <w:instrText xml:space="preserve"> ADDIN EN.CITE &lt;EndNote&gt;&lt;Cite&gt;&lt;Author&gt;Wulf&lt;/Author&gt;&lt;Year&gt;2004&lt;/Year&gt;&lt;RecNum&gt;272&lt;/RecNum&gt;&lt;DisplayText&gt;(Wulf and Shea 2004)&lt;/DisplayText&gt;&lt;record&gt;&lt;rec-number&gt;272&lt;/rec-number&gt;&lt;foreign-keys&gt;&lt;key app="EN" db-id="xa2r2ewea92trkef5dt5arvbzafvpv2za5ft" timestamp="1442161766"&gt;272&lt;/key&gt;&lt;/foreign-keys&gt;&lt;ref-type name="Journal Article"&gt;17&lt;/ref-type&gt;&lt;contributors&gt;&lt;authors&gt;&lt;author&gt;Wulf, Gabriele&lt;/author&gt;&lt;author&gt;Shea, Charles H.&lt;/author&gt;&lt;/authors&gt;&lt;/contributors&gt;&lt;titles&gt;&lt;title&gt;Understanding the role of augmented feedback&lt;/title&gt;&lt;secondary-title&gt;Skill acquisition in sport: Research, theory and practice&lt;/secondary-title&gt;&lt;/titles&gt;&lt;periodical&gt;&lt;full-title&gt;Skill acquisition in sport: Research, theory and practice&lt;/full-title&gt;&lt;/periodical&gt;&lt;pages&gt;121-144&lt;/pages&gt;&lt;dates&gt;&lt;year&gt;2004&lt;/year&gt;&lt;/dates&gt;&lt;publisher&gt;Routledge&lt;/publisher&gt;&lt;urls&gt;&lt;/urls&gt;&lt;/record&gt;&lt;/Cite&gt;&lt;/EndNote&gt;</w:instrText>
      </w:r>
      <w:r w:rsidR="00EF281A" w:rsidRPr="00B27F0B">
        <w:rPr>
          <w:lang w:val="en-GB"/>
        </w:rPr>
        <w:fldChar w:fldCharType="separate"/>
      </w:r>
      <w:r w:rsidR="004E5A78" w:rsidRPr="00B56453">
        <w:rPr>
          <w:noProof/>
          <w:lang w:val="en-GB"/>
        </w:rPr>
        <w:t>(</w:t>
      </w:r>
      <w:hyperlink w:anchor="_ENREF_451" w:tooltip="Wulf, 2004 #272" w:history="1">
        <w:r w:rsidR="0094469E" w:rsidRPr="00B56453">
          <w:rPr>
            <w:noProof/>
            <w:lang w:val="en-GB"/>
          </w:rPr>
          <w:t>Wulf and Shea 2004</w:t>
        </w:r>
      </w:hyperlink>
      <w:r w:rsidR="004E5A78" w:rsidRPr="00B56453">
        <w:rPr>
          <w:noProof/>
          <w:lang w:val="en-GB"/>
        </w:rPr>
        <w:t>)</w:t>
      </w:r>
      <w:r w:rsidR="00EF281A" w:rsidRPr="009C2746">
        <w:rPr>
          <w:lang w:val="en-GB"/>
        </w:rPr>
        <w:fldChar w:fldCharType="end"/>
      </w:r>
      <w:r w:rsidR="00314450" w:rsidRPr="00B56453">
        <w:rPr>
          <w:lang w:val="en-GB"/>
        </w:rPr>
        <w:t xml:space="preserve">. The clinical skills in this study </w:t>
      </w:r>
      <w:r w:rsidR="00287599" w:rsidRPr="00B56453">
        <w:rPr>
          <w:lang w:val="en-GB"/>
        </w:rPr>
        <w:t>were</w:t>
      </w:r>
      <w:r w:rsidR="00314450" w:rsidRPr="00B56453">
        <w:rPr>
          <w:lang w:val="en-GB"/>
        </w:rPr>
        <w:t xml:space="preserve"> chosen based on recommendations by the clinical skills managers at</w:t>
      </w:r>
      <w:r w:rsidR="00287599" w:rsidRPr="00B56453">
        <w:rPr>
          <w:lang w:val="en-GB"/>
        </w:rPr>
        <w:t xml:space="preserve"> the institution. These </w:t>
      </w:r>
      <w:r w:rsidR="00234E4A" w:rsidRPr="00B56453">
        <w:rPr>
          <w:lang w:val="en-GB"/>
        </w:rPr>
        <w:t xml:space="preserve">core </w:t>
      </w:r>
      <w:r w:rsidR="00287599" w:rsidRPr="00B56453">
        <w:rPr>
          <w:lang w:val="en-GB"/>
        </w:rPr>
        <w:t>skills we</w:t>
      </w:r>
      <w:r w:rsidR="00314450" w:rsidRPr="00B56453">
        <w:rPr>
          <w:lang w:val="en-GB"/>
        </w:rPr>
        <w:t xml:space="preserve">re venepuncture and male catheterisation. The manager advised that these tasks </w:t>
      </w:r>
      <w:r w:rsidR="00287599" w:rsidRPr="00B56453">
        <w:rPr>
          <w:lang w:val="en-GB"/>
        </w:rPr>
        <w:t>were</w:t>
      </w:r>
      <w:r w:rsidR="00314450" w:rsidRPr="00B56453">
        <w:rPr>
          <w:lang w:val="en-GB"/>
        </w:rPr>
        <w:t xml:space="preserve"> consistently difficult for students to initially learn and </w:t>
      </w:r>
      <w:r w:rsidR="00287599" w:rsidRPr="00B56453">
        <w:rPr>
          <w:lang w:val="en-GB"/>
        </w:rPr>
        <w:t>could</w:t>
      </w:r>
      <w:r w:rsidR="00314450" w:rsidRPr="00B56453">
        <w:rPr>
          <w:lang w:val="en-GB"/>
        </w:rPr>
        <w:t xml:space="preserve"> be easily defined in terms of having clear procedural steps.</w:t>
      </w:r>
      <w:r w:rsidR="00234E4A" w:rsidRPr="00B56453">
        <w:rPr>
          <w:lang w:val="en-GB"/>
        </w:rPr>
        <w:t xml:space="preserve"> They are also core skills that students must learn and be able to perform safely to progress through the course.</w:t>
      </w:r>
      <w:r w:rsidR="00314450" w:rsidRPr="00B56453">
        <w:rPr>
          <w:lang w:val="en-GB"/>
        </w:rPr>
        <w:t xml:space="preserve"> These skills </w:t>
      </w:r>
      <w:r w:rsidR="00287599" w:rsidRPr="00B56453">
        <w:rPr>
          <w:lang w:val="en-GB"/>
        </w:rPr>
        <w:t>were</w:t>
      </w:r>
      <w:r w:rsidR="00314450" w:rsidRPr="00B56453">
        <w:rPr>
          <w:lang w:val="en-GB"/>
        </w:rPr>
        <w:t xml:space="preserve"> suitable to apply SRL MA based on recommendations by authors who have used similar techniques in clinical contexts, </w:t>
      </w:r>
      <w:r w:rsidR="001F781C" w:rsidRPr="00B56453">
        <w:rPr>
          <w:lang w:val="en-GB"/>
        </w:rPr>
        <w:t xml:space="preserve">most </w:t>
      </w:r>
      <w:r w:rsidR="00314450" w:rsidRPr="00B56453">
        <w:rPr>
          <w:lang w:val="en-GB"/>
        </w:rPr>
        <w:t xml:space="preserve">notably </w:t>
      </w:r>
      <w:hyperlink w:anchor="_ENREF_85" w:tooltip="Cleary, 2014 #36" w:history="1">
        <w:r w:rsidR="0094469E" w:rsidRPr="00B27F0B">
          <w:rPr>
            <w:lang w:val="en-GB"/>
          </w:rPr>
          <w:fldChar w:fldCharType="begin"/>
        </w:r>
        <w:r w:rsidR="0094469E" w:rsidRPr="00B56453">
          <w:rPr>
            <w:lang w:val="en-GB"/>
          </w:rPr>
          <w:instrText xml:space="preserve"> ADDIN EN.CITE &lt;EndNote&gt;&lt;Cite AuthorYear="1"&gt;&lt;Author&gt;Cleary&lt;/Author&gt;&lt;Year&gt;2014&lt;/Year&gt;&lt;RecNum&gt;37&lt;/RecNum&gt;&lt;DisplayText&gt;Cleary et al. (2014)&lt;/DisplayText&gt;&lt;record&gt;&lt;rec-number&gt;37&lt;/rec-number&gt;&lt;foreign-keys&gt;&lt;key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Education&lt;/full-title&gt;&lt;/periodical&gt;&lt;pages&gt;1-16&lt;/pages&gt;&lt;dates&gt;&lt;year&gt;2014&lt;/year&gt;&lt;/dates&gt;&lt;publisher&gt;Springer&lt;/publisher&gt;&lt;urls&gt;&lt;/urls&gt;&lt;/record&gt;&lt;/Cite&gt;&lt;/EndNote&gt;</w:instrText>
        </w:r>
        <w:r w:rsidR="0094469E" w:rsidRPr="00B27F0B">
          <w:rPr>
            <w:lang w:val="en-GB"/>
          </w:rPr>
          <w:fldChar w:fldCharType="separate"/>
        </w:r>
        <w:r w:rsidR="0094469E" w:rsidRPr="00B56453">
          <w:rPr>
            <w:noProof/>
            <w:lang w:val="en-GB"/>
          </w:rPr>
          <w:t>Cleary et al. (2014)</w:t>
        </w:r>
        <w:r w:rsidR="0094469E" w:rsidRPr="00B27F0B">
          <w:rPr>
            <w:lang w:val="en-GB"/>
          </w:rPr>
          <w:fldChar w:fldCharType="end"/>
        </w:r>
      </w:hyperlink>
      <w:r w:rsidR="00314450" w:rsidRPr="00B56453">
        <w:rPr>
          <w:lang w:val="en-GB"/>
        </w:rPr>
        <w:t>.</w:t>
      </w:r>
    </w:p>
    <w:p w14:paraId="0E13FF7B" w14:textId="77777777" w:rsidR="00EF5D49" w:rsidRPr="00B56453" w:rsidRDefault="00EF5D49" w:rsidP="00D9036C"/>
    <w:p w14:paraId="1D5DB40D" w14:textId="77777777" w:rsidR="0049047B" w:rsidRPr="00B56453" w:rsidRDefault="0049047B">
      <w:pPr>
        <w:rPr>
          <w:rFonts w:eastAsia="Lucida Sans Unicode" w:cs="Mangal"/>
          <w:b/>
          <w:kern w:val="1"/>
          <w:sz w:val="28"/>
          <w:szCs w:val="24"/>
          <w:lang w:eastAsia="hi-IN" w:bidi="hi-IN"/>
        </w:rPr>
      </w:pPr>
      <w:r w:rsidRPr="00B56453">
        <w:br w:type="page"/>
      </w:r>
    </w:p>
    <w:p w14:paraId="303CD4BF" w14:textId="73D3BF45" w:rsidR="00EF5D49" w:rsidRPr="00B56453" w:rsidRDefault="00314450" w:rsidP="00B1638D">
      <w:pPr>
        <w:pStyle w:val="Heading2"/>
        <w:rPr>
          <w:lang w:val="en-GB"/>
        </w:rPr>
      </w:pPr>
      <w:bookmarkStart w:id="267" w:name="_Toc500319377"/>
      <w:r w:rsidRPr="00B56453">
        <w:rPr>
          <w:lang w:val="en-GB"/>
        </w:rPr>
        <w:lastRenderedPageBreak/>
        <w:t>B1.4</w:t>
      </w:r>
      <w:r w:rsidR="000D6EB5" w:rsidRPr="00B56453">
        <w:rPr>
          <w:lang w:val="en-GB"/>
        </w:rPr>
        <w:t xml:space="preserve"> </w:t>
      </w:r>
      <w:r w:rsidR="00EF5D49" w:rsidRPr="00B56453">
        <w:rPr>
          <w:lang w:val="en-GB"/>
        </w:rPr>
        <w:t>Participants</w:t>
      </w:r>
      <w:bookmarkEnd w:id="267"/>
    </w:p>
    <w:p w14:paraId="12E7A854" w14:textId="77777777" w:rsidR="00EF5D49" w:rsidRPr="00B56453" w:rsidRDefault="00EF5D49" w:rsidP="00026049">
      <w:pPr>
        <w:pStyle w:val="Normal1"/>
        <w:rPr>
          <w:lang w:val="en-GB"/>
        </w:rPr>
      </w:pPr>
    </w:p>
    <w:p w14:paraId="26798CBA" w14:textId="20188B85" w:rsidR="00D278D6" w:rsidRPr="00B56453" w:rsidRDefault="00D278D6" w:rsidP="00BA4521">
      <w:pPr>
        <w:pStyle w:val="Heading3"/>
      </w:pPr>
      <w:bookmarkStart w:id="268" w:name="_Toc500319378"/>
      <w:r w:rsidRPr="00B56453">
        <w:t>B1.4.1 Teachers</w:t>
      </w:r>
      <w:bookmarkEnd w:id="268"/>
    </w:p>
    <w:p w14:paraId="6F3384C6" w14:textId="77777777" w:rsidR="00D278D6" w:rsidRPr="00B56453" w:rsidRDefault="00D278D6" w:rsidP="00026049">
      <w:pPr>
        <w:pStyle w:val="Normal1"/>
        <w:rPr>
          <w:lang w:val="en-GB"/>
        </w:rPr>
      </w:pPr>
    </w:p>
    <w:p w14:paraId="445206F5" w14:textId="68016060" w:rsidR="00D278D6" w:rsidRPr="00B56453" w:rsidRDefault="00D278D6" w:rsidP="00D278D6">
      <w:pPr>
        <w:pStyle w:val="Normal1"/>
        <w:rPr>
          <w:lang w:val="en-GB"/>
        </w:rPr>
      </w:pPr>
      <w:r w:rsidRPr="00B56453">
        <w:rPr>
          <w:lang w:val="en-GB"/>
        </w:rPr>
        <w:t xml:space="preserve">Teachers were opportunistically </w:t>
      </w:r>
      <w:r w:rsidR="00750F7B" w:rsidRPr="00B56453">
        <w:rPr>
          <w:lang w:val="en-GB"/>
        </w:rPr>
        <w:t>recruited</w:t>
      </w:r>
      <w:r w:rsidRPr="00B56453">
        <w:rPr>
          <w:lang w:val="en-GB"/>
        </w:rPr>
        <w:t xml:space="preserve"> from the clinical skills </w:t>
      </w:r>
      <w:r w:rsidR="00234E4A" w:rsidRPr="00B56453">
        <w:rPr>
          <w:lang w:val="en-GB"/>
        </w:rPr>
        <w:t xml:space="preserve">teaching </w:t>
      </w:r>
      <w:r w:rsidR="00750F7B" w:rsidRPr="00B56453">
        <w:rPr>
          <w:lang w:val="en-GB"/>
        </w:rPr>
        <w:t>unit and</w:t>
      </w:r>
      <w:r w:rsidRPr="00B56453">
        <w:rPr>
          <w:lang w:val="en-GB"/>
        </w:rPr>
        <w:t xml:space="preserve"> numbers were determined by the availability of suitable teachers rather than by the amount needed for saturation </w:t>
      </w:r>
      <w:r w:rsidR="001F781C" w:rsidRPr="00B56453">
        <w:rPr>
          <w:lang w:val="en-GB"/>
        </w:rPr>
        <w:t>or statistical significance</w:t>
      </w:r>
      <w:r w:rsidRPr="00B56453">
        <w:rPr>
          <w:lang w:val="en-GB"/>
        </w:rPr>
        <w:t xml:space="preserve">. </w:t>
      </w:r>
      <w:r w:rsidR="00234E4A" w:rsidRPr="00B56453">
        <w:rPr>
          <w:lang w:val="en-GB"/>
        </w:rPr>
        <w:t>T</w:t>
      </w:r>
      <w:r w:rsidRPr="00B56453">
        <w:rPr>
          <w:lang w:val="en-GB"/>
        </w:rPr>
        <w:t>eaching experience was purposefully sampled for to address the study’s aims. Selection was based upon the following set of criteria: teachers had to have been scheduled for teaching sessions (catheterisation and/or venepuncture) taking place within the study period and must have had some prior experience in delivering teaching in clinical practice and/or classroom settings to medical undergraduates or other healthcare professions trainees. More detailed descriptions of this sample are found in Chapter B2 and their demographics are included in Appendix 13. Recruitment material, the information sheet, and consent form can be found in Appendix 6.</w:t>
      </w:r>
    </w:p>
    <w:p w14:paraId="19E1CD02" w14:textId="77777777" w:rsidR="00D278D6" w:rsidRPr="00B56453" w:rsidRDefault="00D278D6" w:rsidP="00026049">
      <w:pPr>
        <w:pStyle w:val="Normal1"/>
        <w:rPr>
          <w:lang w:val="en-GB"/>
        </w:rPr>
      </w:pPr>
    </w:p>
    <w:p w14:paraId="7304BA63" w14:textId="4EC79C97" w:rsidR="00EF5D49" w:rsidRPr="00B56453" w:rsidRDefault="00750F7B" w:rsidP="00026049">
      <w:pPr>
        <w:pStyle w:val="Normal1"/>
        <w:rPr>
          <w:lang w:val="en-GB"/>
        </w:rPr>
      </w:pPr>
      <w:r w:rsidRPr="00B56453">
        <w:rPr>
          <w:lang w:val="en-GB"/>
        </w:rPr>
        <w:t>F</w:t>
      </w:r>
      <w:r w:rsidR="00EF5D49" w:rsidRPr="00B56453">
        <w:rPr>
          <w:lang w:val="en-GB"/>
        </w:rPr>
        <w:t xml:space="preserve">ourteen </w:t>
      </w:r>
      <w:r w:rsidR="00AF3057" w:rsidRPr="00B56453">
        <w:rPr>
          <w:lang w:val="en-GB"/>
        </w:rPr>
        <w:t>individuals</w:t>
      </w:r>
      <w:r w:rsidR="00EF5D49" w:rsidRPr="00B56453">
        <w:rPr>
          <w:lang w:val="en-GB"/>
        </w:rPr>
        <w:t xml:space="preserve"> were approached and consented to participate in this study. These included six </w:t>
      </w:r>
      <w:r w:rsidR="00AF3057" w:rsidRPr="00B56453">
        <w:rPr>
          <w:lang w:val="en-GB"/>
        </w:rPr>
        <w:t xml:space="preserve">clinical skills </w:t>
      </w:r>
      <w:r w:rsidR="00EF5D49" w:rsidRPr="00B56453">
        <w:rPr>
          <w:lang w:val="en-GB"/>
        </w:rPr>
        <w:t>teachers who regularly worked full or part-time in the academic department</w:t>
      </w:r>
      <w:r w:rsidR="001F781C" w:rsidRPr="00B56453">
        <w:rPr>
          <w:lang w:val="en-GB"/>
        </w:rPr>
        <w:t>,</w:t>
      </w:r>
      <w:r w:rsidR="00EF5D49" w:rsidRPr="00B56453">
        <w:rPr>
          <w:lang w:val="en-GB"/>
        </w:rPr>
        <w:t xml:space="preserve"> who for the purposes of this study were considered ‘experienced’ teachers</w:t>
      </w:r>
      <w:r w:rsidR="00AF3057" w:rsidRPr="00B56453">
        <w:rPr>
          <w:lang w:val="en-GB"/>
        </w:rPr>
        <w:t xml:space="preserve"> as they all had at least five years of formal teaching experience (confirmed at interview)</w:t>
      </w:r>
      <w:r w:rsidR="00EF5D49" w:rsidRPr="00B56453">
        <w:rPr>
          <w:lang w:val="en-GB"/>
        </w:rPr>
        <w:t>. The remai</w:t>
      </w:r>
      <w:r w:rsidR="00AF3057" w:rsidRPr="00B56453">
        <w:rPr>
          <w:lang w:val="en-GB"/>
        </w:rPr>
        <w:t>ning eight were Foundation Year 2 (FY2)</w:t>
      </w:r>
      <w:r w:rsidR="00EF5D49" w:rsidRPr="00B56453">
        <w:rPr>
          <w:lang w:val="en-GB"/>
        </w:rPr>
        <w:t xml:space="preserve"> doctors on their medical education rotation and were considered ‘novice’</w:t>
      </w:r>
      <w:r w:rsidR="00AF3057" w:rsidRPr="00B56453">
        <w:rPr>
          <w:lang w:val="en-GB"/>
        </w:rPr>
        <w:t xml:space="preserve"> teachers</w:t>
      </w:r>
      <w:r w:rsidR="00EF5D49" w:rsidRPr="00B56453">
        <w:rPr>
          <w:lang w:val="en-GB"/>
        </w:rPr>
        <w:t>.</w:t>
      </w:r>
      <w:r w:rsidR="00AF3057" w:rsidRPr="00B56453">
        <w:rPr>
          <w:lang w:val="en-GB"/>
        </w:rPr>
        <w:t xml:space="preserve"> </w:t>
      </w:r>
      <w:r w:rsidR="001F781C" w:rsidRPr="00B56453">
        <w:rPr>
          <w:lang w:val="en-GB"/>
        </w:rPr>
        <w:t>At</w:t>
      </w:r>
      <w:r w:rsidR="00AF3057" w:rsidRPr="00B56453">
        <w:rPr>
          <w:lang w:val="en-GB"/>
        </w:rPr>
        <w:t xml:space="preserve"> interview it was </w:t>
      </w:r>
      <w:r w:rsidR="00D531CD" w:rsidRPr="00B56453">
        <w:rPr>
          <w:lang w:val="en-GB"/>
        </w:rPr>
        <w:t>apparent</w:t>
      </w:r>
      <w:r w:rsidR="00AF3057" w:rsidRPr="00B56453">
        <w:rPr>
          <w:lang w:val="en-GB"/>
        </w:rPr>
        <w:t xml:space="preserve"> that some had had peer teaching and sports coaching experience</w:t>
      </w:r>
      <w:r w:rsidR="001F781C" w:rsidRPr="00B56453">
        <w:rPr>
          <w:lang w:val="en-GB"/>
        </w:rPr>
        <w:t>s</w:t>
      </w:r>
      <w:r w:rsidR="00AF3057" w:rsidRPr="00B56453">
        <w:rPr>
          <w:lang w:val="en-GB"/>
        </w:rPr>
        <w:t xml:space="preserve"> but no formal teacher training or appointments.</w:t>
      </w:r>
      <w:r w:rsidR="00EF5D49" w:rsidRPr="00B56453">
        <w:rPr>
          <w:lang w:val="en-GB"/>
        </w:rPr>
        <w:t xml:space="preserve"> The first four of these novice teachers completed their rotation and were replaced by the second group of four novice teachers halfway through the study period. All of the teachers had previous but varied experience delivering clinical skills teaching in classroom and clinical practice settings to medical undergraduates. On average, each </w:t>
      </w:r>
      <w:r w:rsidRPr="00B56453">
        <w:rPr>
          <w:lang w:val="en-GB"/>
        </w:rPr>
        <w:t>teacher delivered four full two-and-a-</w:t>
      </w:r>
      <w:r w:rsidR="00EF5D49" w:rsidRPr="00B56453">
        <w:rPr>
          <w:lang w:val="en-GB"/>
        </w:rPr>
        <w:t>half hour sessions to</w:t>
      </w:r>
      <w:r w:rsidR="00D278D6" w:rsidRPr="00B56453">
        <w:rPr>
          <w:lang w:val="en-GB"/>
        </w:rPr>
        <w:t xml:space="preserve"> an average of 45</w:t>
      </w:r>
      <w:r w:rsidR="00EF5D49" w:rsidRPr="00B56453">
        <w:rPr>
          <w:lang w:val="en-GB"/>
        </w:rPr>
        <w:t xml:space="preserve"> students during the study period.</w:t>
      </w:r>
    </w:p>
    <w:p w14:paraId="7D62AA8B" w14:textId="77777777" w:rsidR="003723B7" w:rsidRPr="00B56453" w:rsidRDefault="003723B7" w:rsidP="00026049">
      <w:pPr>
        <w:pStyle w:val="Normal1"/>
        <w:rPr>
          <w:lang w:val="en-GB"/>
        </w:rPr>
      </w:pPr>
    </w:p>
    <w:p w14:paraId="5978C7BF" w14:textId="0993D3E4" w:rsidR="00D278D6" w:rsidRPr="00B56453" w:rsidRDefault="00D278D6" w:rsidP="00BA4521">
      <w:pPr>
        <w:pStyle w:val="Heading3"/>
      </w:pPr>
      <w:bookmarkStart w:id="269" w:name="_Toc500319379"/>
      <w:r w:rsidRPr="00B56453">
        <w:t>B1.4.2 Students</w:t>
      </w:r>
      <w:bookmarkEnd w:id="269"/>
    </w:p>
    <w:p w14:paraId="68AD3FE3" w14:textId="77777777" w:rsidR="00D278D6" w:rsidRPr="00B56453" w:rsidRDefault="00D278D6" w:rsidP="00026049">
      <w:pPr>
        <w:pStyle w:val="Normal1"/>
        <w:rPr>
          <w:lang w:val="en-GB"/>
        </w:rPr>
      </w:pPr>
    </w:p>
    <w:p w14:paraId="4D359A38" w14:textId="078CA8F5" w:rsidR="003723B7" w:rsidRPr="00B56453" w:rsidRDefault="003723B7" w:rsidP="00026049">
      <w:pPr>
        <w:pStyle w:val="Normal1"/>
        <w:rPr>
          <w:color w:val="000000" w:themeColor="text1"/>
          <w:lang w:val="en-GB"/>
        </w:rPr>
      </w:pPr>
      <w:r w:rsidRPr="00B56453">
        <w:rPr>
          <w:lang w:val="en-GB"/>
        </w:rPr>
        <w:t xml:space="preserve">A cohort of second year medical undergraduates were invited to participate in the questionnaire data collection component of this study, their consent was not required to receive the different </w:t>
      </w:r>
      <w:r w:rsidR="001F781C" w:rsidRPr="00B56453">
        <w:rPr>
          <w:lang w:val="en-GB"/>
        </w:rPr>
        <w:t>models</w:t>
      </w:r>
      <w:r w:rsidRPr="00B56453">
        <w:rPr>
          <w:lang w:val="en-GB"/>
        </w:rPr>
        <w:t xml:space="preserve"> of giving feedback.</w:t>
      </w:r>
      <w:r w:rsidR="00BF6C72" w:rsidRPr="00B56453">
        <w:rPr>
          <w:lang w:val="en-GB"/>
        </w:rPr>
        <w:t xml:space="preserve"> More details on this population are </w:t>
      </w:r>
      <w:r w:rsidR="00BF6C72" w:rsidRPr="00B56453">
        <w:rPr>
          <w:lang w:val="en-GB"/>
        </w:rPr>
        <w:lastRenderedPageBreak/>
        <w:t>reported in Chapter B3.</w:t>
      </w:r>
      <w:r w:rsidR="00D278D6" w:rsidRPr="00B56453">
        <w:rPr>
          <w:lang w:val="en-GB"/>
        </w:rPr>
        <w:t xml:space="preserve"> </w:t>
      </w:r>
      <w:r w:rsidR="00D278D6" w:rsidRPr="00B56453">
        <w:rPr>
          <w:color w:val="000000" w:themeColor="text1"/>
          <w:lang w:val="en-GB"/>
        </w:rPr>
        <w:t xml:space="preserve">Recruitment material, the information sheet, and consent form can be found in Appendix 7. </w:t>
      </w:r>
      <w:r w:rsidR="00D278D6" w:rsidRPr="00B56453">
        <w:rPr>
          <w:lang w:val="en-GB"/>
        </w:rPr>
        <w:t xml:space="preserve">A purposive sample of the cohort was recruited for the follow-up evaluation stage of this study reported in Chapter C2. Additional survey data was collected from a subsequent cohort of </w:t>
      </w:r>
      <w:r w:rsidR="00FC0FFB" w:rsidRPr="00B56453">
        <w:rPr>
          <w:lang w:val="en-GB"/>
        </w:rPr>
        <w:t>students to</w:t>
      </w:r>
      <w:r w:rsidR="00D278D6" w:rsidRPr="00B56453">
        <w:rPr>
          <w:lang w:val="en-GB"/>
        </w:rPr>
        <w:t xml:space="preserve"> test the reliabil</w:t>
      </w:r>
      <w:r w:rsidR="00234E4A" w:rsidRPr="00B56453">
        <w:rPr>
          <w:lang w:val="en-GB"/>
        </w:rPr>
        <w:t>ity of one of the survey tools (see</w:t>
      </w:r>
      <w:r w:rsidR="00D278D6" w:rsidRPr="00B56453">
        <w:rPr>
          <w:lang w:val="en-GB"/>
        </w:rPr>
        <w:t xml:space="preserve"> Chapter C1</w:t>
      </w:r>
      <w:r w:rsidR="00234E4A" w:rsidRPr="00B56453">
        <w:rPr>
          <w:lang w:val="en-GB"/>
        </w:rPr>
        <w:t>)</w:t>
      </w:r>
      <w:r w:rsidR="00D278D6" w:rsidRPr="00B56453">
        <w:rPr>
          <w:lang w:val="en-GB"/>
        </w:rPr>
        <w:t>.</w:t>
      </w:r>
    </w:p>
    <w:p w14:paraId="4F335896" w14:textId="77777777" w:rsidR="00D9036C" w:rsidRPr="00B56453" w:rsidRDefault="00D9036C" w:rsidP="00026049">
      <w:pPr>
        <w:pStyle w:val="Normal1"/>
        <w:rPr>
          <w:lang w:val="en-GB"/>
        </w:rPr>
      </w:pPr>
    </w:p>
    <w:p w14:paraId="28976920" w14:textId="77777777" w:rsidR="0049047B" w:rsidRPr="00B56453" w:rsidRDefault="0049047B">
      <w:pPr>
        <w:rPr>
          <w:rFonts w:eastAsia="Lucida Sans Unicode" w:cs="Mangal"/>
          <w:b/>
          <w:kern w:val="1"/>
          <w:sz w:val="28"/>
          <w:szCs w:val="24"/>
          <w:lang w:eastAsia="hi-IN" w:bidi="hi-IN"/>
        </w:rPr>
      </w:pPr>
      <w:r w:rsidRPr="00B56453">
        <w:br w:type="page"/>
      </w:r>
    </w:p>
    <w:p w14:paraId="7FDA5D1D" w14:textId="2ED12579" w:rsidR="00550AAD" w:rsidRPr="00B56453" w:rsidRDefault="005765F4" w:rsidP="00B1638D">
      <w:pPr>
        <w:pStyle w:val="Heading2"/>
        <w:rPr>
          <w:lang w:val="en-GB"/>
        </w:rPr>
      </w:pPr>
      <w:bookmarkStart w:id="270" w:name="_Toc500319380"/>
      <w:r w:rsidRPr="00B56453">
        <w:rPr>
          <w:lang w:val="en-GB"/>
        </w:rPr>
        <w:lastRenderedPageBreak/>
        <w:t>B1</w:t>
      </w:r>
      <w:r w:rsidR="00314450" w:rsidRPr="00B56453">
        <w:rPr>
          <w:lang w:val="en-GB"/>
        </w:rPr>
        <w:t>.5</w:t>
      </w:r>
      <w:r w:rsidR="00F176D2" w:rsidRPr="00B56453">
        <w:rPr>
          <w:lang w:val="en-GB"/>
        </w:rPr>
        <w:t xml:space="preserve"> </w:t>
      </w:r>
      <w:r w:rsidR="000B2379" w:rsidRPr="00B56453">
        <w:rPr>
          <w:lang w:val="en-GB"/>
        </w:rPr>
        <w:t>Faculty Development</w:t>
      </w:r>
      <w:bookmarkEnd w:id="270"/>
    </w:p>
    <w:p w14:paraId="77330D94" w14:textId="77777777" w:rsidR="00F006CA" w:rsidRPr="00B56453" w:rsidRDefault="00F006CA" w:rsidP="00026049">
      <w:pPr>
        <w:pStyle w:val="Normal1"/>
        <w:rPr>
          <w:lang w:val="en-GB"/>
        </w:rPr>
      </w:pPr>
    </w:p>
    <w:p w14:paraId="79A4FC11" w14:textId="237B48D9" w:rsidR="00E8255C" w:rsidRPr="00B56453" w:rsidRDefault="00E8255C" w:rsidP="00026049">
      <w:pPr>
        <w:pStyle w:val="Normal1"/>
        <w:rPr>
          <w:lang w:val="en-GB"/>
        </w:rPr>
      </w:pPr>
      <w:r w:rsidRPr="00B56453">
        <w:rPr>
          <w:lang w:val="en-GB"/>
        </w:rPr>
        <w:t xml:space="preserve">All clinical educators (n=14) attended best-practice feedback training. DME delivered one-hour group workshops where </w:t>
      </w:r>
      <w:r w:rsidR="009F1882" w:rsidRPr="00B56453">
        <w:rPr>
          <w:lang w:val="en-GB"/>
        </w:rPr>
        <w:t>teacher</w:t>
      </w:r>
      <w:r w:rsidRPr="00B56453">
        <w:rPr>
          <w:lang w:val="en-GB"/>
        </w:rPr>
        <w:t xml:space="preserve">s were introduced to </w:t>
      </w:r>
      <w:r w:rsidR="00F24ACF" w:rsidRPr="00B27F0B">
        <w:rPr>
          <w:lang w:val="en-GB"/>
        </w:rPr>
        <w:t>recommended Best Practice Feedback (BPF)</w:t>
      </w:r>
      <w:r w:rsidRPr="00B56453">
        <w:rPr>
          <w:lang w:val="en-GB"/>
        </w:rPr>
        <w:t xml:space="preserve"> - according to </w:t>
      </w:r>
      <w:hyperlink w:anchor="_ENREF_184" w:tooltip="Hattie, 2007 #109" w:history="1">
        <w:r w:rsidR="0094469E" w:rsidRPr="00B27F0B">
          <w:rPr>
            <w:lang w:val="en-GB"/>
          </w:rPr>
          <w:fldChar w:fldCharType="begin"/>
        </w:r>
        <w:r w:rsidR="0094469E" w:rsidRPr="00B56453">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94469E" w:rsidRPr="00B27F0B">
          <w:rPr>
            <w:lang w:val="en-GB"/>
          </w:rPr>
          <w:fldChar w:fldCharType="separate"/>
        </w:r>
        <w:r w:rsidR="0094469E" w:rsidRPr="00B56453">
          <w:rPr>
            <w:noProof/>
            <w:lang w:val="en-GB"/>
          </w:rPr>
          <w:t>Hattie and Timperley (2007)</w:t>
        </w:r>
        <w:r w:rsidR="0094469E" w:rsidRPr="00B27F0B">
          <w:rPr>
            <w:lang w:val="en-GB"/>
          </w:rPr>
          <w:fldChar w:fldCharType="end"/>
        </w:r>
      </w:hyperlink>
      <w:r w:rsidRPr="00B56453">
        <w:rPr>
          <w:lang w:val="en-GB"/>
        </w:rPr>
        <w:t xml:space="preserve"> and others </w:t>
      </w:r>
      <w:r w:rsidR="00EF281A" w:rsidRPr="009C2746">
        <w:rPr>
          <w:lang w:val="en-GB"/>
        </w:rPr>
        <w:fldChar w:fldCharType="begin">
          <w:fldData xml:space="preserve">PEVuZE5vdGU+PENpdGU+PEF1dGhvcj5CYXJjbGF5PC9BdXRob3I+PFllYXI+MjAwNTwvWWVhcj48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</w:fldData>
        </w:fldChar>
      </w:r>
      <w:r w:rsidR="008E7D00" w:rsidRPr="00B56453">
        <w:rPr>
          <w:lang w:val="en-GB"/>
        </w:rPr>
        <w:instrText xml:space="preserve"> ADDIN EN.CITE </w:instrText>
      </w:r>
      <w:r w:rsidR="008E7D00" w:rsidRPr="00B27F0B">
        <w:rPr>
          <w:lang w:val="en-GB"/>
        </w:rPr>
        <w:fldChar w:fldCharType="begin">
          <w:fldData xml:space="preserve">PEVuZE5vdGU+PENpdGU+PEF1dGhvcj5CYXJjbGF5PC9BdXRob3I+PFllYXI+MjAwNTwvWWVhcj48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</w:fldData>
        </w:fldChar>
      </w:r>
      <w:r w:rsidR="008E7D00" w:rsidRPr="00B56453">
        <w:rPr>
          <w:lang w:val="en-GB"/>
        </w:rPr>
        <w:instrText xml:space="preserve"> ADDIN EN.CITE.DATA </w:instrText>
      </w:r>
      <w:r w:rsidR="008E7D00" w:rsidRPr="00B27F0B">
        <w:rPr>
          <w:lang w:val="en-GB"/>
        </w:rPr>
      </w:r>
      <w:r w:rsidR="008E7D00" w:rsidRPr="00B27F0B">
        <w:rPr>
          <w:lang w:val="en-GB"/>
        </w:rPr>
        <w:fldChar w:fldCharType="end"/>
      </w:r>
      <w:r w:rsidR="00EF281A" w:rsidRPr="00B27F0B">
        <w:rPr>
          <w:lang w:val="en-GB"/>
        </w:rPr>
      </w:r>
      <w:r w:rsidR="00EF281A" w:rsidRPr="00B27F0B">
        <w:rPr>
          <w:lang w:val="en-GB"/>
        </w:rPr>
        <w:fldChar w:fldCharType="separate"/>
      </w:r>
      <w:r w:rsidR="008E7D00" w:rsidRPr="00B56453">
        <w:rPr>
          <w:noProof/>
          <w:lang w:val="en-GB"/>
        </w:rPr>
        <w:t>(</w:t>
      </w:r>
      <w:hyperlink w:anchor="_ENREF_22" w:tooltip="Barclay, 2005 #700" w:history="1">
        <w:r w:rsidR="0094469E" w:rsidRPr="00B56453">
          <w:rPr>
            <w:noProof/>
            <w:lang w:val="en-GB"/>
          </w:rPr>
          <w:t>Barclay et al. 2005</w:t>
        </w:r>
      </w:hyperlink>
      <w:r w:rsidR="008E7D00" w:rsidRPr="00B56453">
        <w:rPr>
          <w:noProof/>
          <w:lang w:val="en-GB"/>
        </w:rPr>
        <w:t xml:space="preserve">; </w:t>
      </w:r>
      <w:hyperlink w:anchor="_ENREF_113" w:tooltip="De Cremer, 2005 #699" w:history="1">
        <w:r w:rsidR="0094469E" w:rsidRPr="00B56453">
          <w:rPr>
            <w:noProof/>
            <w:lang w:val="en-GB"/>
          </w:rPr>
          <w:t>De Cremer et al. 2005</w:t>
        </w:r>
      </w:hyperlink>
      <w:r w:rsidR="008E7D00" w:rsidRPr="00B56453">
        <w:rPr>
          <w:noProof/>
          <w:lang w:val="en-GB"/>
        </w:rPr>
        <w:t xml:space="preserve">; </w:t>
      </w:r>
      <w:hyperlink w:anchor="_ENREF_268" w:tooltip="McLaughlin, 2009 #698" w:history="1">
        <w:r w:rsidR="0094469E" w:rsidRPr="00B56453">
          <w:rPr>
            <w:noProof/>
            <w:lang w:val="en-GB"/>
          </w:rPr>
          <w:t>McLaughlin et al. 2009</w:t>
        </w:r>
      </w:hyperlink>
      <w:r w:rsidR="008E7D00" w:rsidRPr="00B56453">
        <w:rPr>
          <w:noProof/>
          <w:lang w:val="en-GB"/>
        </w:rPr>
        <w:t xml:space="preserve">; </w:t>
      </w:r>
      <w:hyperlink w:anchor="_ENREF_4" w:tooltip="Archer, 2010 #697" w:history="1">
        <w:r w:rsidR="0094469E" w:rsidRPr="00B56453">
          <w:rPr>
            <w:noProof/>
            <w:lang w:val="en-GB"/>
          </w:rPr>
          <w:t>Archer 2010</w:t>
        </w:r>
      </w:hyperlink>
      <w:r w:rsidR="008E7D00" w:rsidRPr="00B56453">
        <w:rPr>
          <w:noProof/>
          <w:lang w:val="en-GB"/>
        </w:rPr>
        <w:t>)</w:t>
      </w:r>
      <w:r w:rsidR="00EF281A" w:rsidRPr="009C2746">
        <w:rPr>
          <w:lang w:val="en-GB"/>
        </w:rPr>
        <w:fldChar w:fldCharType="end"/>
      </w:r>
      <w:r w:rsidRPr="00B56453">
        <w:rPr>
          <w:lang w:val="en-GB"/>
        </w:rPr>
        <w:t xml:space="preserve">. This workshop was designed </w:t>
      </w:r>
      <w:r w:rsidR="00A82C49" w:rsidRPr="00B56453">
        <w:rPr>
          <w:lang w:val="en-GB"/>
        </w:rPr>
        <w:t xml:space="preserve">to </w:t>
      </w:r>
      <w:r w:rsidRPr="00B56453">
        <w:rPr>
          <w:lang w:val="en-GB"/>
        </w:rPr>
        <w:t xml:space="preserve">standardise all </w:t>
      </w:r>
      <w:r w:rsidR="009F1882" w:rsidRPr="00B56453">
        <w:rPr>
          <w:lang w:val="en-GB"/>
        </w:rPr>
        <w:t>teacher</w:t>
      </w:r>
      <w:r w:rsidRPr="00B56453">
        <w:rPr>
          <w:lang w:val="en-GB"/>
        </w:rPr>
        <w:t>s’ practice, as opposed to imposing a new feedback giving model</w:t>
      </w:r>
      <w:r w:rsidR="00F24ACF" w:rsidRPr="00B56453">
        <w:rPr>
          <w:lang w:val="en-GB"/>
        </w:rPr>
        <w:t>,</w:t>
      </w:r>
      <w:r w:rsidRPr="00B56453">
        <w:rPr>
          <w:lang w:val="en-GB"/>
        </w:rPr>
        <w:t xml:space="preserve"> and the session materials were made available to them</w:t>
      </w:r>
      <w:r w:rsidR="00BB0A31" w:rsidRPr="00B56453">
        <w:rPr>
          <w:lang w:val="en-GB"/>
        </w:rPr>
        <w:t xml:space="preserve"> (Appendix 8)</w:t>
      </w:r>
      <w:r w:rsidR="00F24ACF" w:rsidRPr="00B56453">
        <w:rPr>
          <w:lang w:val="en-GB"/>
        </w:rPr>
        <w:t xml:space="preserve">. SRL was not alluded so </w:t>
      </w:r>
      <w:r w:rsidRPr="00B56453">
        <w:rPr>
          <w:lang w:val="en-GB"/>
        </w:rPr>
        <w:t xml:space="preserve">to avoid contamination. Half (n=7) of these teachers were then randomly allocated to receive SRL </w:t>
      </w:r>
      <w:r w:rsidR="00BB0A31" w:rsidRPr="00B56453">
        <w:rPr>
          <w:lang w:val="en-GB"/>
        </w:rPr>
        <w:t>MA</w:t>
      </w:r>
      <w:r w:rsidRPr="00B56453">
        <w:rPr>
          <w:lang w:val="en-GB"/>
        </w:rPr>
        <w:t xml:space="preserve"> training </w:t>
      </w:r>
      <w:r w:rsidR="00BB0A31" w:rsidRPr="00B56453">
        <w:rPr>
          <w:lang w:val="en-GB"/>
        </w:rPr>
        <w:t>to give SRLF</w:t>
      </w:r>
      <w:r w:rsidR="00F24ACF" w:rsidRPr="00B56453">
        <w:rPr>
          <w:lang w:val="en-GB"/>
        </w:rPr>
        <w:t>,</w:t>
      </w:r>
      <w:r w:rsidR="00BB0A31" w:rsidRPr="00B56453">
        <w:rPr>
          <w:lang w:val="en-GB"/>
        </w:rPr>
        <w:t xml:space="preserve"> </w:t>
      </w:r>
      <w:r w:rsidRPr="00B56453">
        <w:rPr>
          <w:lang w:val="en-GB"/>
        </w:rPr>
        <w:t xml:space="preserve">although efforts were made to ensure there were an equal number of experienced and novice teachers in each group for later comparison. </w:t>
      </w:r>
    </w:p>
    <w:p w14:paraId="0874E713" w14:textId="77777777" w:rsidR="002143F5" w:rsidRPr="00B56453" w:rsidRDefault="002143F5" w:rsidP="00026049">
      <w:pPr>
        <w:pStyle w:val="Normal1"/>
        <w:rPr>
          <w:lang w:val="en-GB"/>
        </w:rPr>
      </w:pPr>
    </w:p>
    <w:p w14:paraId="3A0000EB" w14:textId="777EEAA3" w:rsidR="00EA693E" w:rsidRPr="00B56453" w:rsidRDefault="00E8255C" w:rsidP="00026049">
      <w:pPr>
        <w:pStyle w:val="Normal1"/>
        <w:rPr>
          <w:lang w:val="en-GB"/>
        </w:rPr>
      </w:pPr>
      <w:r w:rsidRPr="00B56453">
        <w:rPr>
          <w:lang w:val="en-GB"/>
        </w:rPr>
        <w:t xml:space="preserve">The SRL </w:t>
      </w:r>
      <w:r w:rsidR="00BB0A31" w:rsidRPr="00B56453">
        <w:rPr>
          <w:lang w:val="en-GB"/>
        </w:rPr>
        <w:t>MA</w:t>
      </w:r>
      <w:r w:rsidRPr="00B56453">
        <w:rPr>
          <w:lang w:val="en-GB"/>
        </w:rPr>
        <w:t xml:space="preserve"> </w:t>
      </w:r>
      <w:r w:rsidR="00F24ACF" w:rsidRPr="00B56453">
        <w:rPr>
          <w:lang w:val="en-GB"/>
        </w:rPr>
        <w:t>approach</w:t>
      </w:r>
      <w:r w:rsidRPr="00B56453">
        <w:rPr>
          <w:lang w:val="en-GB"/>
        </w:rPr>
        <w:t xml:space="preserve"> used targeted questioning to explicitly identify student</w:t>
      </w:r>
      <w:r w:rsidR="00F24ACF" w:rsidRPr="00B56453">
        <w:rPr>
          <w:lang w:val="en-GB"/>
        </w:rPr>
        <w:t>s’</w:t>
      </w:r>
      <w:r w:rsidRPr="00B56453">
        <w:rPr>
          <w:lang w:val="en-GB"/>
        </w:rPr>
        <w:t xml:space="preserve"> SRL processes on which the teacher could give targeted feedback </w:t>
      </w:r>
      <w:r w:rsidRPr="009C2746">
        <w:rPr>
          <w:lang w:val="en-GB"/>
        </w:rPr>
        <w:fldChar w:fldCharType="begin"/>
      </w:r>
      <w:r w:rsidR="008B61BE" w:rsidRPr="00B56453">
        <w:rPr>
          <w:lang w:val="en-GB"/>
        </w:rPr>
        <w:instrText xml:space="preserve"> ADDIN EN.CITE &lt;EndNote&gt;&lt;Cite&gt;&lt;Author&gt;Cleary&lt;/Author&gt;&lt;Year&gt;2014&lt;/Year&gt;&lt;RecNum&gt;37&lt;/RecNum&gt;&lt;DisplayText&gt;(Datta 1994; Cleary et al. 2014)&lt;/DisplayText&gt;&lt;record&gt;&lt;rec-number&gt;37&lt;/rec-number&gt;&lt;foreign-keys&gt;&lt;key app="EN" db-id="xa2r2ewea92trkef5dt5arvbzafvpv2za5ft" timestamp="1442161763"&gt;37&lt;/key&gt;&lt;/foreign-keys&gt;&lt;ref-type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Cite&gt;&lt;Author&gt;Datta&lt;/Author&gt;&lt;Year&gt;1994&lt;/Year&gt;&lt;RecNum&gt;574&lt;/RecNum&gt;&lt;record&gt;&lt;rec-number&gt;574&lt;/rec-number&gt;&lt;foreign-keys&gt;&lt;key app="EN" db-id="xa2r2ewea92trkef5dt5arvbzafvpv2za5ft" timestamp="1496417556"&gt;574&lt;/key&gt;&lt;/foreign-keys&gt;&lt;ref-type name="Journal Article"&gt;17&lt;/ref-type&gt;&lt;contributors&gt;&lt;authors&gt;&lt;author&gt;Datta, Lois</w:instrText>
      </w:r>
      <w:r w:rsidR="008B61BE" w:rsidRPr="00B56453">
        <w:rPr>
          <w:rFonts w:ascii="Cambria Math" w:hAnsi="Cambria Math" w:cs="Cambria Math"/>
          <w:lang w:val="en-GB"/>
        </w:rPr>
        <w:instrText>‐</w:instrText>
      </w:r>
      <w:r w:rsidR="008B61BE" w:rsidRPr="00B56453">
        <w:rPr>
          <w:lang w:val="en-GB"/>
        </w:rPr>
        <w:instrText>ellin&lt;/author&gt;&lt;/authors&gt;&lt;/contributors&gt;&lt;titles&gt;&lt;title&gt;Paradigm wars: A basis for peaceful coexistence and beyond&lt;/title&gt;&lt;secondary-title&gt;New directions for program evaluation&lt;/secondary-title&gt;&lt;/titles&gt;&lt;periodical&gt;&lt;full-title&gt;New directions for program evaluation&lt;/full-title&gt;&lt;/periodical&gt;&lt;pages&gt;53-70&lt;/pages&gt;&lt;volume&gt;1994&lt;/volume&gt;&lt;number&gt;61&lt;/number&gt;&lt;dates&gt;&lt;year&gt;1994&lt;/year&gt;&lt;/dates&gt;&lt;isbn&gt;1551-2371&lt;/isbn&gt;&lt;urls&gt;&lt;/urls&gt;&lt;/record&gt;&lt;/Cite&gt;&lt;/EndNote&gt;</w:instrText>
      </w:r>
      <w:r w:rsidRPr="00B27F0B">
        <w:rPr>
          <w:lang w:val="en-GB"/>
        </w:rPr>
        <w:fldChar w:fldCharType="separate"/>
      </w:r>
      <w:r w:rsidR="004E5A78" w:rsidRPr="00B56453">
        <w:rPr>
          <w:noProof/>
          <w:lang w:val="en-GB"/>
        </w:rPr>
        <w:t>(</w:t>
      </w:r>
      <w:hyperlink w:anchor="_ENREF_109" w:tooltip="Datta, 1994 #574" w:history="1">
        <w:r w:rsidR="0094469E" w:rsidRPr="00B56453">
          <w:rPr>
            <w:noProof/>
            <w:lang w:val="en-GB"/>
          </w:rPr>
          <w:t>Datta 1994</w:t>
        </w:r>
      </w:hyperlink>
      <w:r w:rsidR="004E5A78" w:rsidRPr="00B56453">
        <w:rPr>
          <w:noProof/>
          <w:lang w:val="en-GB"/>
        </w:rPr>
        <w:t xml:space="preserve">; </w:t>
      </w:r>
      <w:hyperlink w:anchor="_ENREF_85" w:tooltip="Cleary, 2014 #36" w:history="1">
        <w:r w:rsidR="0094469E" w:rsidRPr="00B56453">
          <w:rPr>
            <w:noProof/>
            <w:lang w:val="en-GB"/>
          </w:rPr>
          <w:t>Cleary et al. 2014</w:t>
        </w:r>
      </w:hyperlink>
      <w:r w:rsidR="004E5A78" w:rsidRPr="00B56453">
        <w:rPr>
          <w:noProof/>
          <w:lang w:val="en-GB"/>
        </w:rPr>
        <w:t>)</w:t>
      </w:r>
      <w:r w:rsidRPr="009C2746">
        <w:rPr>
          <w:lang w:val="en-GB"/>
        </w:rPr>
        <w:fldChar w:fldCharType="end"/>
      </w:r>
      <w:r w:rsidRPr="00B56453">
        <w:rPr>
          <w:lang w:val="en-GB"/>
        </w:rPr>
        <w:t>. Questions addressed key SRL processes as identified in the literature, specifically: self-efficacy, goal setting, situational awareness, strategy planning, self-monitoring, self-evaluation, and attributional beliefs.</w:t>
      </w:r>
      <w:r w:rsidRPr="00B56453">
        <w:rPr>
          <w:b/>
          <w:lang w:val="en-GB"/>
        </w:rPr>
        <w:t xml:space="preserve"> </w:t>
      </w:r>
      <w:r w:rsidRPr="00B56453">
        <w:rPr>
          <w:lang w:val="en-GB"/>
        </w:rPr>
        <w:t xml:space="preserve">The session was delivered by JS and </w:t>
      </w:r>
      <w:r w:rsidR="00DF0638" w:rsidRPr="00B56453">
        <w:rPr>
          <w:lang w:val="en-GB"/>
        </w:rPr>
        <w:t>BB</w:t>
      </w:r>
      <w:r w:rsidRPr="00B56453">
        <w:rPr>
          <w:lang w:val="en-GB"/>
        </w:rPr>
        <w:t xml:space="preserve"> in a two-hour workshop which was supplemented by the use of video examples and SRL</w:t>
      </w:r>
      <w:r w:rsidR="00F24ACF" w:rsidRPr="00B56453">
        <w:rPr>
          <w:lang w:val="en-GB"/>
        </w:rPr>
        <w:t>F</w:t>
      </w:r>
      <w:r w:rsidRPr="00B56453">
        <w:rPr>
          <w:lang w:val="en-GB"/>
        </w:rPr>
        <w:t xml:space="preserve"> worksheets created by the research team</w:t>
      </w:r>
      <w:r w:rsidR="00BB0A31" w:rsidRPr="00B56453">
        <w:rPr>
          <w:lang w:val="en-GB"/>
        </w:rPr>
        <w:t xml:space="preserve"> (Appendix 8)</w:t>
      </w:r>
      <w:r w:rsidRPr="00B56453">
        <w:rPr>
          <w:lang w:val="en-GB"/>
        </w:rPr>
        <w:t>.</w:t>
      </w:r>
      <w:r w:rsidR="00EA693E" w:rsidRPr="00B56453">
        <w:rPr>
          <w:lang w:val="en-GB"/>
        </w:rPr>
        <w:t xml:space="preserve"> The following was covered in the session:</w:t>
      </w:r>
    </w:p>
    <w:p w14:paraId="24CC9BED" w14:textId="77777777" w:rsidR="00EA693E" w:rsidRPr="00B56453" w:rsidRDefault="00EA693E" w:rsidP="00026049">
      <w:pPr>
        <w:pStyle w:val="Normal1"/>
        <w:rPr>
          <w:lang w:val="en-GB"/>
        </w:rPr>
      </w:pPr>
    </w:p>
    <w:p w14:paraId="1BF57E3A" w14:textId="219C2E00" w:rsidR="00EA693E" w:rsidRPr="00B56453" w:rsidRDefault="00EA693E" w:rsidP="00026049">
      <w:pPr>
        <w:pStyle w:val="Normal1"/>
        <w:numPr>
          <w:ilvl w:val="0"/>
          <w:numId w:val="22"/>
        </w:numPr>
        <w:rPr>
          <w:lang w:val="en-GB"/>
        </w:rPr>
      </w:pPr>
      <w:r w:rsidRPr="00B56453">
        <w:rPr>
          <w:lang w:val="en-GB"/>
        </w:rPr>
        <w:t>An introduction to SRL theory related to medical</w:t>
      </w:r>
      <w:r w:rsidR="007040AC" w:rsidRPr="00B56453">
        <w:rPr>
          <w:lang w:val="en-GB"/>
        </w:rPr>
        <w:t xml:space="preserve"> teaching and clinical practice.</w:t>
      </w:r>
      <w:r w:rsidRPr="00B56453">
        <w:rPr>
          <w:lang w:val="en-GB"/>
        </w:rPr>
        <w:t xml:space="preserve"> </w:t>
      </w:r>
    </w:p>
    <w:p w14:paraId="33F82993" w14:textId="2D76FD96" w:rsidR="00EA693E" w:rsidRPr="00B56453" w:rsidRDefault="007040AC" w:rsidP="00026049">
      <w:pPr>
        <w:pStyle w:val="Normal1"/>
        <w:numPr>
          <w:ilvl w:val="0"/>
          <w:numId w:val="22"/>
        </w:numPr>
        <w:rPr>
          <w:lang w:val="en-GB"/>
        </w:rPr>
      </w:pPr>
      <w:r w:rsidRPr="00B56453">
        <w:rPr>
          <w:lang w:val="en-GB"/>
        </w:rPr>
        <w:t>The u</w:t>
      </w:r>
      <w:r w:rsidR="00EA693E" w:rsidRPr="00B56453">
        <w:rPr>
          <w:lang w:val="en-GB"/>
        </w:rPr>
        <w:t>tilisation of SRL to inform feedb</w:t>
      </w:r>
      <w:r w:rsidRPr="00B56453">
        <w:rPr>
          <w:lang w:val="en-GB"/>
        </w:rPr>
        <w:t>ack in clinical skills teaching.</w:t>
      </w:r>
    </w:p>
    <w:p w14:paraId="525FB036" w14:textId="0121CFDD" w:rsidR="00EA693E" w:rsidRPr="00B56453" w:rsidRDefault="00EA693E" w:rsidP="00026049">
      <w:pPr>
        <w:pStyle w:val="Normal1"/>
        <w:numPr>
          <w:ilvl w:val="0"/>
          <w:numId w:val="22"/>
        </w:numPr>
        <w:rPr>
          <w:lang w:val="en-GB"/>
        </w:rPr>
      </w:pPr>
      <w:r w:rsidRPr="00B56453">
        <w:rPr>
          <w:lang w:val="en-GB"/>
        </w:rPr>
        <w:t xml:space="preserve">The SRL </w:t>
      </w:r>
      <w:r w:rsidR="007040AC" w:rsidRPr="00B56453">
        <w:rPr>
          <w:lang w:val="en-GB"/>
        </w:rPr>
        <w:t>MA</w:t>
      </w:r>
      <w:r w:rsidRPr="00B56453">
        <w:rPr>
          <w:lang w:val="en-GB"/>
        </w:rPr>
        <w:t xml:space="preserve"> technique</w:t>
      </w:r>
      <w:r w:rsidR="007040AC" w:rsidRPr="00B56453">
        <w:rPr>
          <w:lang w:val="en-GB"/>
        </w:rPr>
        <w:t xml:space="preserve"> for giving SRLF</w:t>
      </w:r>
      <w:r w:rsidRPr="00B56453">
        <w:rPr>
          <w:lang w:val="en-GB"/>
        </w:rPr>
        <w:t xml:space="preserve"> (using video demonstrations and role-playing exercises). </w:t>
      </w:r>
    </w:p>
    <w:p w14:paraId="246A4568" w14:textId="5F0690C2" w:rsidR="00EA693E" w:rsidRPr="00B56453" w:rsidRDefault="00EA693E" w:rsidP="00026049">
      <w:pPr>
        <w:pStyle w:val="Normal1"/>
        <w:numPr>
          <w:ilvl w:val="0"/>
          <w:numId w:val="22"/>
        </w:numPr>
        <w:rPr>
          <w:lang w:val="en-GB"/>
        </w:rPr>
      </w:pPr>
      <w:r w:rsidRPr="00B56453">
        <w:rPr>
          <w:lang w:val="en-GB"/>
        </w:rPr>
        <w:t>Use of the checklist and prompting sheet to record SRL data.</w:t>
      </w:r>
    </w:p>
    <w:p w14:paraId="3D5296A6" w14:textId="77777777" w:rsidR="00EA693E" w:rsidRPr="00B56453" w:rsidRDefault="00EA693E" w:rsidP="00026049">
      <w:pPr>
        <w:pStyle w:val="Normal1"/>
        <w:rPr>
          <w:lang w:val="en-GB"/>
        </w:rPr>
      </w:pPr>
    </w:p>
    <w:p w14:paraId="20FF8458" w14:textId="0FAF5FD2" w:rsidR="00E8255C" w:rsidRPr="00B56453" w:rsidRDefault="00E8255C" w:rsidP="00026049">
      <w:pPr>
        <w:pStyle w:val="Normal1"/>
        <w:rPr>
          <w:b/>
          <w:lang w:val="en-GB"/>
        </w:rPr>
      </w:pPr>
      <w:r w:rsidRPr="00B56453">
        <w:rPr>
          <w:lang w:val="en-GB"/>
        </w:rPr>
        <w:t>Teachers were given a checklist and prompting sheet for use during the session to support them in usin</w:t>
      </w:r>
      <w:r w:rsidR="00EA693E" w:rsidRPr="00B56453">
        <w:rPr>
          <w:lang w:val="en-GB"/>
        </w:rPr>
        <w:t>g the feedback model (</w:t>
      </w:r>
      <w:r w:rsidR="00C6465A" w:rsidRPr="00B56453">
        <w:rPr>
          <w:lang w:val="en-GB"/>
        </w:rPr>
        <w:t>Appendix</w:t>
      </w:r>
      <w:r w:rsidR="00EA693E" w:rsidRPr="00B56453">
        <w:rPr>
          <w:lang w:val="en-GB"/>
        </w:rPr>
        <w:t xml:space="preserve"> </w:t>
      </w:r>
      <w:r w:rsidR="0065779E" w:rsidRPr="00B56453">
        <w:rPr>
          <w:lang w:val="en-GB"/>
        </w:rPr>
        <w:t>1</w:t>
      </w:r>
      <w:r w:rsidR="007040AC" w:rsidRPr="00B56453">
        <w:rPr>
          <w:lang w:val="en-GB"/>
        </w:rPr>
        <w:t xml:space="preserve">). These materials </w:t>
      </w:r>
      <w:r w:rsidRPr="00B56453">
        <w:rPr>
          <w:lang w:val="en-GB"/>
        </w:rPr>
        <w:t>included sections addressing the pre-determined SRL processes each with categories for responses that could inform the feedback message. For example, if a student identified a general outcome goal for the</w:t>
      </w:r>
      <w:r w:rsidR="007040AC" w:rsidRPr="00B56453">
        <w:rPr>
          <w:lang w:val="en-GB"/>
        </w:rPr>
        <w:t>ir</w:t>
      </w:r>
      <w:r w:rsidRPr="00B56453">
        <w:rPr>
          <w:lang w:val="en-GB"/>
        </w:rPr>
        <w:t xml:space="preserve"> performance</w:t>
      </w:r>
      <w:r w:rsidR="007040AC" w:rsidRPr="00B56453">
        <w:rPr>
          <w:lang w:val="en-GB"/>
        </w:rPr>
        <w:t xml:space="preserve"> (“I want to successfully take a blood sample”)</w:t>
      </w:r>
      <w:r w:rsidRPr="00B56453">
        <w:rPr>
          <w:lang w:val="en-GB"/>
        </w:rPr>
        <w:t xml:space="preserve"> the teachers were trained to encourage the student to develop more specific </w:t>
      </w:r>
      <w:r w:rsidRPr="00B56453">
        <w:rPr>
          <w:lang w:val="en-GB"/>
        </w:rPr>
        <w:lastRenderedPageBreak/>
        <w:t>process and outcome goals in the feedback</w:t>
      </w:r>
      <w:r w:rsidR="007040AC" w:rsidRPr="00B56453">
        <w:rPr>
          <w:lang w:val="en-GB"/>
        </w:rPr>
        <w:t xml:space="preserve"> (“very good, but next time set more goals for each step of the procedure including taking consent and gathering equipment quickly and safely”)</w:t>
      </w:r>
      <w:r w:rsidRPr="00B56453">
        <w:rPr>
          <w:lang w:val="en-GB"/>
        </w:rPr>
        <w:t xml:space="preserve">. </w:t>
      </w:r>
      <w:r w:rsidR="007040AC" w:rsidRPr="00B56453">
        <w:rPr>
          <w:lang w:val="en-GB"/>
        </w:rPr>
        <w:t>The sheets, presentation, and videos were given to t</w:t>
      </w:r>
      <w:r w:rsidRPr="00B56453">
        <w:rPr>
          <w:lang w:val="en-GB"/>
        </w:rPr>
        <w:t xml:space="preserve">he </w:t>
      </w:r>
      <w:r w:rsidR="00EA693E" w:rsidRPr="00B56453">
        <w:rPr>
          <w:lang w:val="en-GB"/>
        </w:rPr>
        <w:t>teachers</w:t>
      </w:r>
      <w:r w:rsidRPr="00B56453">
        <w:rPr>
          <w:lang w:val="en-GB"/>
        </w:rPr>
        <w:t xml:space="preserve"> </w:t>
      </w:r>
      <w:r w:rsidR="007040AC" w:rsidRPr="00B56453">
        <w:rPr>
          <w:lang w:val="en-GB"/>
        </w:rPr>
        <w:t xml:space="preserve">who </w:t>
      </w:r>
      <w:r w:rsidRPr="00B56453">
        <w:rPr>
          <w:lang w:val="en-GB"/>
        </w:rPr>
        <w:t xml:space="preserve">were encouraged to re-visit the resources regularly to help internalise the feedback model beyond the workshop. These teachers were asked not to confer with the </w:t>
      </w:r>
      <w:r w:rsidR="00F24ACF" w:rsidRPr="00B56453">
        <w:rPr>
          <w:lang w:val="en-GB"/>
        </w:rPr>
        <w:t>BPF</w:t>
      </w:r>
      <w:r w:rsidRPr="00B56453">
        <w:rPr>
          <w:lang w:val="en-GB"/>
        </w:rPr>
        <w:t xml:space="preserve"> group about the SRL feedback model explicitly but were encouraged to talk to others within their SRL group for support.</w:t>
      </w:r>
    </w:p>
    <w:p w14:paraId="670FED1D" w14:textId="77777777" w:rsidR="00A13542" w:rsidRPr="00B56453" w:rsidRDefault="00A13542" w:rsidP="00026049">
      <w:pPr>
        <w:pStyle w:val="Normal1"/>
        <w:rPr>
          <w:lang w:val="en-GB"/>
        </w:rPr>
      </w:pPr>
    </w:p>
    <w:p w14:paraId="1F778366" w14:textId="47015B97" w:rsidR="00407171" w:rsidRPr="00B56453" w:rsidRDefault="00A13542" w:rsidP="00026049">
      <w:pPr>
        <w:pStyle w:val="Normal1"/>
        <w:rPr>
          <w:lang w:val="en-GB"/>
        </w:rPr>
      </w:pPr>
      <w:r w:rsidRPr="00B56453">
        <w:rPr>
          <w:lang w:val="en-GB"/>
        </w:rPr>
        <w:t xml:space="preserve">At the end of the workshop, </w:t>
      </w:r>
      <w:r w:rsidR="00F24ACF" w:rsidRPr="00B56453">
        <w:rPr>
          <w:lang w:val="en-GB"/>
        </w:rPr>
        <w:t>teachers</w:t>
      </w:r>
      <w:r w:rsidRPr="00B56453">
        <w:rPr>
          <w:lang w:val="en-GB"/>
        </w:rPr>
        <w:t xml:space="preserve"> </w:t>
      </w:r>
      <w:r w:rsidR="00DC6AA4" w:rsidRPr="00B56453">
        <w:rPr>
          <w:lang w:val="en-GB"/>
        </w:rPr>
        <w:t>were</w:t>
      </w:r>
      <w:r w:rsidRPr="00B56453">
        <w:rPr>
          <w:lang w:val="en-GB"/>
        </w:rPr>
        <w:t xml:space="preserve"> informally assessed on their capacity to perform SRL </w:t>
      </w:r>
      <w:r w:rsidR="007040AC" w:rsidRPr="00B56453">
        <w:rPr>
          <w:lang w:val="en-GB"/>
        </w:rPr>
        <w:t>MA</w:t>
      </w:r>
      <w:r w:rsidRPr="00B56453">
        <w:rPr>
          <w:lang w:val="en-GB"/>
        </w:rPr>
        <w:t xml:space="preserve"> and deliver the </w:t>
      </w:r>
      <w:r w:rsidR="00240F75" w:rsidRPr="00B56453">
        <w:rPr>
          <w:lang w:val="en-GB"/>
        </w:rPr>
        <w:t>feedback models</w:t>
      </w:r>
      <w:r w:rsidRPr="00B56453">
        <w:rPr>
          <w:lang w:val="en-GB"/>
        </w:rPr>
        <w:t xml:space="preserve"> in simulated practice to the desired standard. The session </w:t>
      </w:r>
      <w:r w:rsidR="00DC6AA4" w:rsidRPr="00B56453">
        <w:rPr>
          <w:lang w:val="en-GB"/>
        </w:rPr>
        <w:t>was</w:t>
      </w:r>
      <w:r w:rsidRPr="00B56453">
        <w:rPr>
          <w:lang w:val="en-GB"/>
        </w:rPr>
        <w:t xml:space="preserve"> concluded and the procedures </w:t>
      </w:r>
      <w:r w:rsidR="00DC6AA4" w:rsidRPr="00B56453">
        <w:rPr>
          <w:lang w:val="en-GB"/>
        </w:rPr>
        <w:t>were</w:t>
      </w:r>
      <w:r w:rsidRPr="00B56453">
        <w:rPr>
          <w:lang w:val="en-GB"/>
        </w:rPr>
        <w:t xml:space="preserve"> reiterated in terms of how their sessions </w:t>
      </w:r>
      <w:r w:rsidR="00DC6AA4" w:rsidRPr="00B56453">
        <w:rPr>
          <w:lang w:val="en-GB"/>
        </w:rPr>
        <w:t>would</w:t>
      </w:r>
      <w:r w:rsidRPr="00B56453">
        <w:rPr>
          <w:lang w:val="en-GB"/>
        </w:rPr>
        <w:t xml:space="preserve"> be affected and their role in delivering the </w:t>
      </w:r>
      <w:r w:rsidR="00240F75" w:rsidRPr="00B56453">
        <w:rPr>
          <w:lang w:val="en-GB"/>
        </w:rPr>
        <w:t>feedback models</w:t>
      </w:r>
      <w:r w:rsidRPr="00B56453">
        <w:rPr>
          <w:lang w:val="en-GB"/>
        </w:rPr>
        <w:t xml:space="preserve">. </w:t>
      </w:r>
      <w:r w:rsidR="00DC6AA4" w:rsidRPr="00B56453">
        <w:rPr>
          <w:lang w:val="en-GB"/>
        </w:rPr>
        <w:t>The training materials were made available to them thr</w:t>
      </w:r>
      <w:r w:rsidR="00750F7B" w:rsidRPr="00B56453">
        <w:rPr>
          <w:lang w:val="en-GB"/>
        </w:rPr>
        <w:t>oughout the course of the study (</w:t>
      </w:r>
      <w:r w:rsidR="00C6465A" w:rsidRPr="00B56453">
        <w:rPr>
          <w:lang w:val="en-GB"/>
        </w:rPr>
        <w:t>Appendix</w:t>
      </w:r>
      <w:r w:rsidR="00407171" w:rsidRPr="00B56453">
        <w:rPr>
          <w:lang w:val="en-GB"/>
        </w:rPr>
        <w:t xml:space="preserve"> </w:t>
      </w:r>
      <w:r w:rsidR="00B76E6D" w:rsidRPr="00B56453">
        <w:rPr>
          <w:lang w:val="en-GB"/>
        </w:rPr>
        <w:t>8</w:t>
      </w:r>
      <w:r w:rsidR="00750F7B" w:rsidRPr="00B56453">
        <w:rPr>
          <w:lang w:val="en-GB"/>
        </w:rPr>
        <w:t>)</w:t>
      </w:r>
      <w:r w:rsidR="00407171" w:rsidRPr="00B56453">
        <w:rPr>
          <w:lang w:val="en-GB"/>
        </w:rPr>
        <w:t>.</w:t>
      </w:r>
    </w:p>
    <w:p w14:paraId="22F82845" w14:textId="77777777" w:rsidR="00EA693E" w:rsidRPr="00B56453" w:rsidRDefault="00EA693E" w:rsidP="00026049">
      <w:pPr>
        <w:pStyle w:val="Normal1"/>
        <w:rPr>
          <w:lang w:val="en-GB"/>
        </w:rPr>
      </w:pPr>
    </w:p>
    <w:p w14:paraId="0CC55068" w14:textId="77777777" w:rsidR="0049047B" w:rsidRPr="00B56453" w:rsidRDefault="0049047B">
      <w:pPr>
        <w:rPr>
          <w:rFonts w:eastAsia="Lucida Sans Unicode" w:cs="Mangal"/>
          <w:b/>
          <w:kern w:val="1"/>
          <w:sz w:val="28"/>
          <w:szCs w:val="24"/>
          <w:lang w:eastAsia="hi-IN" w:bidi="hi-IN"/>
        </w:rPr>
      </w:pPr>
      <w:r w:rsidRPr="00B56453">
        <w:br w:type="page"/>
      </w:r>
    </w:p>
    <w:p w14:paraId="252DAC3F" w14:textId="53A8C61E" w:rsidR="00EA693E" w:rsidRPr="00B56453" w:rsidRDefault="00314450" w:rsidP="00B1638D">
      <w:pPr>
        <w:pStyle w:val="Heading2"/>
        <w:rPr>
          <w:lang w:val="en-GB"/>
        </w:rPr>
      </w:pPr>
      <w:bookmarkStart w:id="271" w:name="_Toc500319381"/>
      <w:r w:rsidRPr="00B56453">
        <w:rPr>
          <w:lang w:val="en-GB"/>
        </w:rPr>
        <w:lastRenderedPageBreak/>
        <w:t>B1.6</w:t>
      </w:r>
      <w:r w:rsidR="000D6EB5" w:rsidRPr="00B56453">
        <w:rPr>
          <w:lang w:val="en-GB"/>
        </w:rPr>
        <w:t xml:space="preserve"> </w:t>
      </w:r>
      <w:r w:rsidR="005B72F2" w:rsidRPr="00B56453">
        <w:rPr>
          <w:lang w:val="en-GB"/>
        </w:rPr>
        <w:t>P</w:t>
      </w:r>
      <w:r w:rsidR="00EA693E" w:rsidRPr="00B56453">
        <w:rPr>
          <w:lang w:val="en-GB"/>
        </w:rPr>
        <w:t>rocedure</w:t>
      </w:r>
      <w:bookmarkEnd w:id="271"/>
    </w:p>
    <w:p w14:paraId="625E25DD" w14:textId="77777777" w:rsidR="00EA693E" w:rsidRPr="00B56453" w:rsidRDefault="00EA693E" w:rsidP="00026049">
      <w:pPr>
        <w:pStyle w:val="Normal1"/>
        <w:rPr>
          <w:lang w:val="en-GB"/>
        </w:rPr>
      </w:pPr>
    </w:p>
    <w:p w14:paraId="1AAF6B0C" w14:textId="2A44F61E" w:rsidR="005B72F2" w:rsidRPr="00B56453" w:rsidRDefault="005B72F2" w:rsidP="00026049">
      <w:pPr>
        <w:pStyle w:val="Normal1"/>
        <w:rPr>
          <w:lang w:val="en-GB"/>
        </w:rPr>
      </w:pPr>
      <w:r w:rsidRPr="00B56453">
        <w:rPr>
          <w:lang w:val="en-GB"/>
        </w:rPr>
        <w:t>Upon arrival for every scheduled venepuncture and catheterisation teach</w:t>
      </w:r>
      <w:r w:rsidR="000E6D89" w:rsidRPr="00B56453">
        <w:rPr>
          <w:lang w:val="en-GB"/>
        </w:rPr>
        <w:t xml:space="preserve">ing session, groups of </w:t>
      </w:r>
      <w:r w:rsidRPr="00B56453">
        <w:rPr>
          <w:lang w:val="en-GB"/>
        </w:rPr>
        <w:t>ten</w:t>
      </w:r>
      <w:r w:rsidR="000E6D89" w:rsidRPr="00B56453">
        <w:rPr>
          <w:lang w:val="en-GB"/>
        </w:rPr>
        <w:t xml:space="preserve"> to twelve</w:t>
      </w:r>
      <w:r w:rsidRPr="00B56453">
        <w:rPr>
          <w:lang w:val="en-GB"/>
        </w:rPr>
        <w:t xml:space="preserve"> students were randomly allocated to each teacher </w:t>
      </w:r>
      <w:r w:rsidRPr="00B56453">
        <w:rPr>
          <w:color w:val="000000" w:themeColor="text1"/>
          <w:lang w:val="en-GB"/>
        </w:rPr>
        <w:t xml:space="preserve">– as was normal </w:t>
      </w:r>
      <w:r w:rsidR="00750F7B" w:rsidRPr="00B56453">
        <w:rPr>
          <w:color w:val="000000" w:themeColor="text1"/>
          <w:lang w:val="en-GB"/>
        </w:rPr>
        <w:t>unit</w:t>
      </w:r>
      <w:r w:rsidRPr="00B56453">
        <w:rPr>
          <w:color w:val="000000" w:themeColor="text1"/>
          <w:lang w:val="en-GB"/>
        </w:rPr>
        <w:t xml:space="preserve"> procedure. This</w:t>
      </w:r>
      <w:r w:rsidRPr="00B56453">
        <w:rPr>
          <w:lang w:val="en-GB"/>
        </w:rPr>
        <w:t xml:space="preserve"> provided double randomisation to the </w:t>
      </w:r>
      <w:r w:rsidR="00F24ACF" w:rsidRPr="00B56453">
        <w:rPr>
          <w:lang w:val="en-GB"/>
        </w:rPr>
        <w:t>BPF and SRLF</w:t>
      </w:r>
      <w:r w:rsidRPr="00B56453">
        <w:rPr>
          <w:lang w:val="en-GB"/>
        </w:rPr>
        <w:t xml:space="preserve"> </w:t>
      </w:r>
      <w:r w:rsidR="00483DED" w:rsidRPr="00B56453">
        <w:rPr>
          <w:lang w:val="en-GB"/>
        </w:rPr>
        <w:t>model</w:t>
      </w:r>
      <w:r w:rsidRPr="00B56453">
        <w:rPr>
          <w:lang w:val="en-GB"/>
        </w:rPr>
        <w:t>s for teachers and students. Teachers began each session by introducing the specific skill and demons</w:t>
      </w:r>
      <w:r w:rsidR="00A63444" w:rsidRPr="00B56453">
        <w:rPr>
          <w:lang w:val="en-GB"/>
        </w:rPr>
        <w:t>trating it to the group. One-by-</w:t>
      </w:r>
      <w:r w:rsidRPr="00B56453">
        <w:rPr>
          <w:lang w:val="en-GB"/>
        </w:rPr>
        <w:t xml:space="preserve">one students performed the skill in front of the group and received feedback according to the teacher’s allocated method. </w:t>
      </w:r>
      <w:r w:rsidR="00A63444" w:rsidRPr="00B56453">
        <w:rPr>
          <w:lang w:val="en-GB"/>
        </w:rPr>
        <w:t xml:space="preserve">The purpose of monitoring each session was to confirm that the teachers were using their allocated feedback model consistently across students and different sessions as a form of quality assurance. Additionally, </w:t>
      </w:r>
      <w:r w:rsidR="00A63444" w:rsidRPr="00B56453">
        <w:rPr>
          <w:color w:val="000000" w:themeColor="text1"/>
          <w:lang w:val="en-GB"/>
        </w:rPr>
        <w:t>t</w:t>
      </w:r>
      <w:r w:rsidRPr="00B56453">
        <w:rPr>
          <w:color w:val="000000" w:themeColor="text1"/>
          <w:lang w:val="en-GB"/>
        </w:rPr>
        <w:t xml:space="preserve">his </w:t>
      </w:r>
      <w:r w:rsidR="00CF0044" w:rsidRPr="00B56453">
        <w:rPr>
          <w:color w:val="000000" w:themeColor="text1"/>
          <w:lang w:val="en-GB"/>
        </w:rPr>
        <w:t xml:space="preserve">allowed for </w:t>
      </w:r>
      <w:r w:rsidR="00A63444" w:rsidRPr="00B56453">
        <w:rPr>
          <w:color w:val="000000" w:themeColor="text1"/>
          <w:lang w:val="en-GB"/>
        </w:rPr>
        <w:t>information to be collected on</w:t>
      </w:r>
      <w:r w:rsidRPr="00B56453">
        <w:rPr>
          <w:color w:val="000000" w:themeColor="text1"/>
          <w:lang w:val="en-GB"/>
        </w:rPr>
        <w:t xml:space="preserve"> how each </w:t>
      </w:r>
      <w:r w:rsidR="004E2493" w:rsidRPr="00B56453">
        <w:rPr>
          <w:color w:val="000000" w:themeColor="text1"/>
          <w:lang w:val="en-GB"/>
        </w:rPr>
        <w:t>teacher</w:t>
      </w:r>
      <w:r w:rsidRPr="00B56453">
        <w:rPr>
          <w:color w:val="000000" w:themeColor="text1"/>
          <w:lang w:val="en-GB"/>
        </w:rPr>
        <w:t xml:space="preserve"> used the feedback models in practice</w:t>
      </w:r>
      <w:r w:rsidR="00A63444" w:rsidRPr="00B56453">
        <w:rPr>
          <w:color w:val="000000" w:themeColor="text1"/>
          <w:lang w:val="en-GB"/>
        </w:rPr>
        <w:t xml:space="preserve"> to inform the interview topic guide</w:t>
      </w:r>
      <w:r w:rsidRPr="00B56453">
        <w:rPr>
          <w:color w:val="000000" w:themeColor="text1"/>
          <w:lang w:val="en-GB"/>
        </w:rPr>
        <w:t>.</w:t>
      </w:r>
      <w:r w:rsidR="00750F7B" w:rsidRPr="00B56453">
        <w:rPr>
          <w:color w:val="000000" w:themeColor="text1"/>
          <w:lang w:val="en-GB"/>
        </w:rPr>
        <w:t xml:space="preserve"> Videos were reviewed both in real-time and after to check procedural instructions were followed. Only a sample of videos</w:t>
      </w:r>
      <w:r w:rsidR="00F778D5" w:rsidRPr="00B56453">
        <w:rPr>
          <w:color w:val="000000" w:themeColor="text1"/>
          <w:lang w:val="en-GB"/>
        </w:rPr>
        <w:t xml:space="preserve"> per teacher</w:t>
      </w:r>
      <w:r w:rsidR="00F24ACF" w:rsidRPr="00B56453">
        <w:rPr>
          <w:color w:val="000000" w:themeColor="text1"/>
          <w:lang w:val="en-GB"/>
        </w:rPr>
        <w:t xml:space="preserve"> were reviewed in-depth</w:t>
      </w:r>
      <w:r w:rsidR="00750F7B" w:rsidRPr="00B56453">
        <w:rPr>
          <w:color w:val="000000" w:themeColor="text1"/>
          <w:lang w:val="en-GB"/>
        </w:rPr>
        <w:t>.</w:t>
      </w:r>
      <w:r w:rsidRPr="00B56453">
        <w:rPr>
          <w:color w:val="000000" w:themeColor="text1"/>
          <w:lang w:val="en-GB"/>
        </w:rPr>
        <w:t xml:space="preserve"> This </w:t>
      </w:r>
      <w:r w:rsidR="00A63444" w:rsidRPr="00B56453">
        <w:rPr>
          <w:color w:val="000000" w:themeColor="text1"/>
          <w:lang w:val="en-GB"/>
        </w:rPr>
        <w:t xml:space="preserve">remote observation </w:t>
      </w:r>
      <w:r w:rsidRPr="00B56453">
        <w:rPr>
          <w:color w:val="000000" w:themeColor="text1"/>
          <w:lang w:val="en-GB"/>
        </w:rPr>
        <w:t xml:space="preserve">also may have helped to lessen the Hawthorne effect by not physically observing each session, which could have had a direct effect on the </w:t>
      </w:r>
      <w:r w:rsidR="009F1882" w:rsidRPr="00B56453">
        <w:rPr>
          <w:lang w:val="en-GB"/>
        </w:rPr>
        <w:t>teacher</w:t>
      </w:r>
      <w:r w:rsidRPr="00B56453">
        <w:rPr>
          <w:color w:val="000000" w:themeColor="text1"/>
          <w:lang w:val="en-GB"/>
        </w:rPr>
        <w:t xml:space="preserve">’s practice </w:t>
      </w:r>
      <w:r w:rsidR="00EF281A" w:rsidRPr="007638B6">
        <w:rPr>
          <w:color w:val="000000" w:themeColor="text1"/>
          <w:lang w:val="en-GB"/>
        </w:rPr>
        <w:fldChar w:fldCharType="begin"/>
      </w:r>
      <w:r w:rsidR="008B61BE" w:rsidRPr="00B56453">
        <w:rPr>
          <w:color w:val="000000" w:themeColor="text1"/>
          <w:lang w:val="en-GB"/>
        </w:rPr>
        <w:instrText xml:space="preserve"> ADDIN EN.CITE &lt;EndNote&gt;&lt;Cite&gt;&lt;Author&gt;Prince&lt;/Author&gt;&lt;Year&gt;2000&lt;/Year&gt;&lt;RecNum&gt;681&lt;/RecNum&gt;&lt;DisplayText&gt;(Prince et al. 2000)&lt;/DisplayText&gt;&lt;record&gt;&lt;rec-number&gt;681&lt;/rec-number&gt;&lt;foreign-keys&gt;&lt;key app="EN" db-id="xa2r2ewea92trkef5dt5arvbzafvpv2za5ft" timestamp="1496417566"&gt;681&lt;/key&gt;&lt;/foreign-keys&gt;&lt;ref-type name="Journal Article"&gt;17&lt;/ref-type&gt;&lt;contributors&gt;&lt;authors&gt;&lt;author&gt;Prince, Katinka JAH&lt;/author&gt;&lt;author&gt;van de Wiel, Margaretha&lt;/author&gt;&lt;author&gt;Scherpbier, Albert JJA&lt;/author&gt;&lt;author&gt;can der Vleuten, Cess PM&lt;/author&gt;&lt;author&gt;Boshuizen, Henny PA&lt;/author&gt;&lt;/authors&gt;&lt;/contributors&gt;&lt;titles&gt;&lt;title&gt;A qualitative analysis of the transition from theory to practice in undergraduate training in a PBL-medical school&lt;/title&gt;&lt;secondary-title&gt;Advances in Health Sciences Education&lt;/secondary-title&gt;&lt;/titles&gt;&lt;periodical&gt;&lt;full-title&gt;Advances in Health Sciences Education&lt;/full-title&gt;&lt;/periodical&gt;&lt;pages&gt;105-116&lt;/pages&gt;&lt;volume&gt;5&lt;/volume&gt;&lt;number&gt;2&lt;/number&gt;&lt;dates&gt;&lt;year&gt;2000&lt;/year&gt;&lt;/dates&gt;&lt;isbn&gt;1382-4996&lt;/isbn&gt;&lt;urls&gt;&lt;/urls&gt;&lt;/record&gt;&lt;/Cite&gt;&lt;/EndNote&gt;</w:instrText>
      </w:r>
      <w:r w:rsidR="00EF281A" w:rsidRPr="00B27F0B">
        <w:rPr>
          <w:color w:val="000000" w:themeColor="text1"/>
          <w:lang w:val="en-GB"/>
        </w:rPr>
        <w:fldChar w:fldCharType="separate"/>
      </w:r>
      <w:r w:rsidR="004E5A78" w:rsidRPr="00B56453">
        <w:rPr>
          <w:noProof/>
          <w:color w:val="000000" w:themeColor="text1"/>
          <w:lang w:val="en-GB"/>
        </w:rPr>
        <w:t>(</w:t>
      </w:r>
      <w:hyperlink w:anchor="_ENREF_336" w:tooltip="Prince, 2000 #681" w:history="1">
        <w:r w:rsidR="0094469E" w:rsidRPr="00B56453">
          <w:rPr>
            <w:noProof/>
            <w:color w:val="000000" w:themeColor="text1"/>
            <w:lang w:val="en-GB"/>
          </w:rPr>
          <w:t>Prince et al. 2000</w:t>
        </w:r>
      </w:hyperlink>
      <w:r w:rsidR="004E5A78" w:rsidRPr="00B56453">
        <w:rPr>
          <w:noProof/>
          <w:color w:val="000000" w:themeColor="text1"/>
          <w:lang w:val="en-GB"/>
        </w:rPr>
        <w:t>)</w:t>
      </w:r>
      <w:r w:rsidR="00EF281A" w:rsidRPr="007638B6">
        <w:rPr>
          <w:color w:val="000000" w:themeColor="text1"/>
          <w:lang w:val="en-GB"/>
        </w:rPr>
        <w:fldChar w:fldCharType="end"/>
      </w:r>
      <w:r w:rsidRPr="00B56453">
        <w:rPr>
          <w:color w:val="000000" w:themeColor="text1"/>
          <w:lang w:val="en-GB"/>
        </w:rPr>
        <w:t xml:space="preserve">. </w:t>
      </w:r>
      <w:r w:rsidRPr="00B56453">
        <w:rPr>
          <w:lang w:val="en-GB"/>
        </w:rPr>
        <w:t>The teaching arrangements and procedures described here were established departmental practices, the only variable changed was the mode</w:t>
      </w:r>
      <w:r w:rsidR="00F24ACF" w:rsidRPr="00B56453">
        <w:rPr>
          <w:lang w:val="en-GB"/>
        </w:rPr>
        <w:t>l</w:t>
      </w:r>
      <w:r w:rsidRPr="00B56453">
        <w:rPr>
          <w:lang w:val="en-GB"/>
        </w:rPr>
        <w:t xml:space="preserve"> of f</w:t>
      </w:r>
      <w:r w:rsidR="00A63444" w:rsidRPr="00B56453">
        <w:rPr>
          <w:lang w:val="en-GB"/>
        </w:rPr>
        <w:t>eedback.</w:t>
      </w:r>
    </w:p>
    <w:p w14:paraId="56AA7191" w14:textId="77777777" w:rsidR="005B72F2" w:rsidRPr="00B56453" w:rsidRDefault="005B72F2" w:rsidP="00026049">
      <w:pPr>
        <w:pStyle w:val="Normal1"/>
        <w:rPr>
          <w:lang w:val="en-GB"/>
        </w:rPr>
      </w:pPr>
    </w:p>
    <w:p w14:paraId="5D3B553F" w14:textId="618062AF" w:rsidR="005B72F2" w:rsidRPr="00B56453" w:rsidRDefault="00DF0638" w:rsidP="00026049">
      <w:pPr>
        <w:pStyle w:val="Normal1"/>
        <w:rPr>
          <w:lang w:val="en-GB"/>
        </w:rPr>
      </w:pPr>
      <w:r w:rsidRPr="00B56453">
        <w:rPr>
          <w:lang w:val="en-GB"/>
        </w:rPr>
        <w:t>Q</w:t>
      </w:r>
      <w:r w:rsidR="005B72F2" w:rsidRPr="00B56453">
        <w:rPr>
          <w:lang w:val="en-GB"/>
        </w:rPr>
        <w:t xml:space="preserve">uick-access support </w:t>
      </w:r>
      <w:r w:rsidRPr="00B56453">
        <w:rPr>
          <w:lang w:val="en-GB"/>
        </w:rPr>
        <w:t xml:space="preserve">was provided </w:t>
      </w:r>
      <w:r w:rsidR="005B72F2" w:rsidRPr="00B56453">
        <w:rPr>
          <w:lang w:val="en-GB"/>
        </w:rPr>
        <w:t>to troubleshoot any issues the t</w:t>
      </w:r>
      <w:r w:rsidRPr="00B56453">
        <w:rPr>
          <w:lang w:val="en-GB"/>
        </w:rPr>
        <w:t>eachers had during the sessions</w:t>
      </w:r>
      <w:r w:rsidR="005B72F2" w:rsidRPr="00B56453">
        <w:rPr>
          <w:lang w:val="en-GB"/>
        </w:rPr>
        <w:t>. Completed</w:t>
      </w:r>
      <w:r w:rsidR="007040AC" w:rsidRPr="00B56453">
        <w:rPr>
          <w:lang w:val="en-GB"/>
        </w:rPr>
        <w:t xml:space="preserve"> SRL</w:t>
      </w:r>
      <w:r w:rsidR="005B72F2" w:rsidRPr="00B56453">
        <w:rPr>
          <w:lang w:val="en-GB"/>
        </w:rPr>
        <w:t xml:space="preserve"> </w:t>
      </w:r>
      <w:r w:rsidR="007040AC" w:rsidRPr="00B56453">
        <w:rPr>
          <w:lang w:val="en-GB"/>
        </w:rPr>
        <w:t>MA</w:t>
      </w:r>
      <w:r w:rsidR="005B72F2" w:rsidRPr="00B56453">
        <w:rPr>
          <w:lang w:val="en-GB"/>
        </w:rPr>
        <w:t xml:space="preserve"> checklists were collected at the end of each session for the record and later analysis if required. Efforts were also made, with the help of the teachers, to ensure that students who had received SRLF in the venepuncture sessions also received SRLF in catheterisation to ensure continuity and avoid cross-contamination. This was tracked </w:t>
      </w:r>
      <w:r w:rsidR="00A63444" w:rsidRPr="00B56453">
        <w:rPr>
          <w:lang w:val="en-GB"/>
        </w:rPr>
        <w:t xml:space="preserve">and verified </w:t>
      </w:r>
      <w:r w:rsidR="005B72F2" w:rsidRPr="00B56453">
        <w:rPr>
          <w:lang w:val="en-GB"/>
        </w:rPr>
        <w:t>using the</w:t>
      </w:r>
      <w:r w:rsidR="007040AC" w:rsidRPr="00B56453">
        <w:rPr>
          <w:lang w:val="en-GB"/>
        </w:rPr>
        <w:t xml:space="preserve"> SRL</w:t>
      </w:r>
      <w:r w:rsidR="005B72F2" w:rsidRPr="00B56453">
        <w:rPr>
          <w:lang w:val="en-GB"/>
        </w:rPr>
        <w:t xml:space="preserve"> </w:t>
      </w:r>
      <w:r w:rsidR="007040AC" w:rsidRPr="00B56453">
        <w:rPr>
          <w:lang w:val="en-GB"/>
        </w:rPr>
        <w:t>MA</w:t>
      </w:r>
      <w:r w:rsidR="005B72F2" w:rsidRPr="00B56453">
        <w:rPr>
          <w:lang w:val="en-GB"/>
        </w:rPr>
        <w:t xml:space="preserve"> checklists which also captured student identifiers.</w:t>
      </w:r>
    </w:p>
    <w:p w14:paraId="4842389D" w14:textId="77777777" w:rsidR="005B72F2" w:rsidRPr="00B56453" w:rsidRDefault="005B72F2" w:rsidP="00026049">
      <w:pPr>
        <w:pStyle w:val="Normal1"/>
        <w:rPr>
          <w:lang w:val="en-GB"/>
        </w:rPr>
      </w:pPr>
    </w:p>
    <w:p w14:paraId="1D840B32" w14:textId="77777777" w:rsidR="00F36FB1" w:rsidRPr="00B56453" w:rsidRDefault="00F36FB1" w:rsidP="00026049">
      <w:pPr>
        <w:pStyle w:val="Normal1"/>
        <w:rPr>
          <w:lang w:val="en-GB"/>
        </w:rPr>
      </w:pPr>
    </w:p>
    <w:p w14:paraId="382B1222" w14:textId="77777777" w:rsidR="00DF0638" w:rsidRPr="00B56453" w:rsidRDefault="00DF0638">
      <w:pPr>
        <w:rPr>
          <w:rFonts w:eastAsiaTheme="majorEastAsia" w:cs="Times New Roman"/>
          <w:b/>
          <w:color w:val="000000" w:themeColor="text1"/>
          <w:sz w:val="28"/>
          <w:szCs w:val="26"/>
          <w:shd w:val="clear" w:color="auto" w:fill="FCFCFC"/>
        </w:rPr>
      </w:pPr>
      <w:r w:rsidRPr="00B56453">
        <w:br w:type="page"/>
      </w:r>
    </w:p>
    <w:p w14:paraId="537EB2EE" w14:textId="3E435545" w:rsidR="0011014A" w:rsidRPr="00B56453" w:rsidRDefault="005765F4" w:rsidP="00B1638D">
      <w:pPr>
        <w:pStyle w:val="Heading2"/>
        <w:rPr>
          <w:lang w:val="en-GB"/>
        </w:rPr>
      </w:pPr>
      <w:bookmarkStart w:id="272" w:name="_Toc500319382"/>
      <w:r w:rsidRPr="00B56453">
        <w:rPr>
          <w:lang w:val="en-GB"/>
        </w:rPr>
        <w:lastRenderedPageBreak/>
        <w:t>B1</w:t>
      </w:r>
      <w:r w:rsidR="000D6EB5" w:rsidRPr="00B56453">
        <w:rPr>
          <w:lang w:val="en-GB"/>
        </w:rPr>
        <w:t>.</w:t>
      </w:r>
      <w:r w:rsidR="00314450" w:rsidRPr="00B56453">
        <w:rPr>
          <w:lang w:val="en-GB"/>
        </w:rPr>
        <w:t>7</w:t>
      </w:r>
      <w:r w:rsidR="00F176D2" w:rsidRPr="00B56453">
        <w:rPr>
          <w:lang w:val="en-GB"/>
        </w:rPr>
        <w:t xml:space="preserve"> </w:t>
      </w:r>
      <w:r w:rsidR="00666A64" w:rsidRPr="00B56453">
        <w:rPr>
          <w:lang w:val="en-GB"/>
        </w:rPr>
        <w:t xml:space="preserve">A </w:t>
      </w:r>
      <w:r w:rsidR="00F176D2" w:rsidRPr="00B56453">
        <w:rPr>
          <w:lang w:val="en-GB"/>
        </w:rPr>
        <w:t>Pilot Study In Simulated Clinical Skills</w:t>
      </w:r>
      <w:r w:rsidR="00F006CA" w:rsidRPr="00B56453">
        <w:rPr>
          <w:lang w:val="en-GB"/>
        </w:rPr>
        <w:t xml:space="preserve"> Training</w:t>
      </w:r>
      <w:bookmarkEnd w:id="272"/>
    </w:p>
    <w:p w14:paraId="3EA32DB3" w14:textId="77777777" w:rsidR="00DC6AA4" w:rsidRPr="00B56453" w:rsidRDefault="00DC6AA4" w:rsidP="00026049">
      <w:pPr>
        <w:pStyle w:val="Normal1"/>
        <w:rPr>
          <w:lang w:val="en-GB"/>
        </w:rPr>
      </w:pPr>
    </w:p>
    <w:p w14:paraId="151D12AF" w14:textId="778AEC60" w:rsidR="00DC6AA4" w:rsidRPr="00B56453" w:rsidRDefault="00BB7B9C" w:rsidP="00026049">
      <w:pPr>
        <w:pStyle w:val="Normal1"/>
        <w:rPr>
          <w:lang w:val="en-GB"/>
        </w:rPr>
      </w:pPr>
      <w:r w:rsidRPr="00B56453">
        <w:rPr>
          <w:lang w:val="en-GB"/>
        </w:rPr>
        <w:t>The aim of the</w:t>
      </w:r>
      <w:r w:rsidR="00DC6AA4" w:rsidRPr="00B56453">
        <w:rPr>
          <w:lang w:val="en-GB"/>
        </w:rPr>
        <w:t xml:space="preserve"> pilot study was to inform the development and implementation of this intervention </w:t>
      </w:r>
      <w:r w:rsidR="00240F75" w:rsidRPr="00B56453">
        <w:rPr>
          <w:lang w:val="en-GB"/>
        </w:rPr>
        <w:t xml:space="preserve">and delivery of teaching including feedback models </w:t>
      </w:r>
      <w:r w:rsidR="00DC6AA4" w:rsidRPr="00B56453">
        <w:rPr>
          <w:lang w:val="en-GB"/>
        </w:rPr>
        <w:t xml:space="preserve">for </w:t>
      </w:r>
      <w:r w:rsidR="00046DE1" w:rsidRPr="00B56453">
        <w:rPr>
          <w:lang w:val="en-GB"/>
        </w:rPr>
        <w:t xml:space="preserve">the </w:t>
      </w:r>
      <w:r w:rsidR="00DC6AA4" w:rsidRPr="00B56453">
        <w:rPr>
          <w:lang w:val="en-GB"/>
        </w:rPr>
        <w:t xml:space="preserve">full </w:t>
      </w:r>
      <w:r w:rsidR="00046DE1" w:rsidRPr="00B56453">
        <w:rPr>
          <w:lang w:val="en-GB"/>
        </w:rPr>
        <w:t>study</w:t>
      </w:r>
      <w:r w:rsidR="00DC6AA4" w:rsidRPr="00B56453">
        <w:rPr>
          <w:lang w:val="en-GB"/>
        </w:rPr>
        <w:t xml:space="preserve">. It was deemed </w:t>
      </w:r>
      <w:r w:rsidR="0076694F" w:rsidRPr="00B56453">
        <w:rPr>
          <w:lang w:val="en-GB"/>
        </w:rPr>
        <w:t>inappropriate</w:t>
      </w:r>
      <w:r w:rsidR="00DC6AA4" w:rsidRPr="00B56453">
        <w:rPr>
          <w:lang w:val="en-GB"/>
        </w:rPr>
        <w:t xml:space="preserve"> to </w:t>
      </w:r>
      <w:r w:rsidR="00046DE1" w:rsidRPr="00B56453">
        <w:rPr>
          <w:lang w:val="en-GB"/>
        </w:rPr>
        <w:t>test</w:t>
      </w:r>
      <w:r w:rsidR="00DC6AA4" w:rsidRPr="00B56453">
        <w:rPr>
          <w:lang w:val="en-GB"/>
        </w:rPr>
        <w:t xml:space="preserve"> the questionnaires </w:t>
      </w:r>
      <w:r w:rsidR="004D02EE" w:rsidRPr="00B56453">
        <w:rPr>
          <w:lang w:val="en-GB"/>
        </w:rPr>
        <w:t>in this pilot, however, the SSRQ was subsequently validated (</w:t>
      </w:r>
      <w:r w:rsidR="00046DE1" w:rsidRPr="00B56453">
        <w:rPr>
          <w:lang w:val="en-GB"/>
        </w:rPr>
        <w:t xml:space="preserve">see </w:t>
      </w:r>
      <w:r w:rsidR="004D02EE" w:rsidRPr="00B56453">
        <w:rPr>
          <w:lang w:val="en-GB"/>
        </w:rPr>
        <w:t>Chapter C1)</w:t>
      </w:r>
      <w:r w:rsidR="00DC6AA4" w:rsidRPr="00B56453">
        <w:rPr>
          <w:lang w:val="en-GB"/>
        </w:rPr>
        <w:t xml:space="preserve"> </w:t>
      </w:r>
      <w:r w:rsidR="00EF281A" w:rsidRPr="007638B6">
        <w:rPr>
          <w:lang w:val="en-GB"/>
        </w:rPr>
        <w:fldChar w:fldCharType="begin"/>
      </w:r>
      <w:r w:rsidR="008B61BE" w:rsidRPr="00B56453">
        <w:rPr>
          <w:lang w:val="en-GB"/>
        </w:rPr>
        <w:instrText xml:space="preserve"> ADDIN EN.CITE &lt;EndNote&gt;&lt;Cite&gt;&lt;Author&gt;Giangregorio&lt;/Author&gt;&lt;Year&gt;2015&lt;/Year&gt;&lt;RecNum&gt;90&lt;/RecNum&gt;&lt;Pages&gt;128&lt;/Pages&gt;&lt;DisplayText&gt;(Giangregorio and Thabane 2015, p. 128)&lt;/DisplayText&gt;&lt;record&gt;&lt;rec-number&gt;90&lt;/rec-number&gt;&lt;foreign-keys&gt;&lt;key app="EN" db-id="xa2r2ewea92trkef5dt5arvbzafvpv2za5ft" timestamp="1442161764"&gt;90&lt;/key&gt;&lt;/foreign-keys&gt;&lt;ref-type name="Journal Article"&gt;17&lt;/ref-type&gt;&lt;contributors&gt;&lt;authors&gt;&lt;author&gt;Giangregorio, Lora M.&lt;/author&gt;&lt;author&gt;Thabane, Lehana&lt;/author&gt;&lt;/authors&gt;&lt;/contributors&gt;&lt;titles&gt;&lt;title&gt;pIlot studies and feasIbility studies for Complex Interventions&lt;/title&gt;&lt;secondary-title&gt;Complex Interventions in Health: An Overview of Research Methods&lt;/secondary-title&gt;&lt;/titles&gt;&lt;periodical&gt;&lt;full-title&gt;Complex Interventions in Health: An Overview of Research Methods&lt;/full-title&gt;&lt;/periodical&gt;&lt;pages&gt;127-135&lt;/pages&gt;&lt;dates&gt;&lt;year&gt;2015&lt;/year&gt;&lt;/dates&gt;&lt;publisher&gt;Routledge&lt;/publisher&gt;&lt;urls&gt;&lt;/urls&gt;&lt;/record&gt;&lt;/Cite&gt;&lt;/EndNote&gt;</w:instrText>
      </w:r>
      <w:r w:rsidR="00EF281A" w:rsidRPr="00B27F0B">
        <w:rPr>
          <w:lang w:val="en-GB"/>
        </w:rPr>
        <w:fldChar w:fldCharType="separate"/>
      </w:r>
      <w:r w:rsidR="004E5A78" w:rsidRPr="00B56453">
        <w:rPr>
          <w:noProof/>
          <w:lang w:val="en-GB"/>
        </w:rPr>
        <w:t>(</w:t>
      </w:r>
      <w:hyperlink w:anchor="_ENREF_159" w:tooltip="Giangregorio, 2015 #90" w:history="1">
        <w:r w:rsidR="0094469E" w:rsidRPr="00B56453">
          <w:rPr>
            <w:noProof/>
            <w:lang w:val="en-GB"/>
          </w:rPr>
          <w:t>Giangregorio and Thabane 2015, p. 128</w:t>
        </w:r>
      </w:hyperlink>
      <w:r w:rsidR="004E5A78" w:rsidRPr="00B56453">
        <w:rPr>
          <w:noProof/>
          <w:lang w:val="en-GB"/>
        </w:rPr>
        <w:t>)</w:t>
      </w:r>
      <w:r w:rsidR="00EF281A" w:rsidRPr="007638B6">
        <w:rPr>
          <w:lang w:val="en-GB"/>
        </w:rPr>
        <w:fldChar w:fldCharType="end"/>
      </w:r>
      <w:r w:rsidR="00DC6AA4" w:rsidRPr="00B56453">
        <w:rPr>
          <w:lang w:val="en-GB"/>
        </w:rPr>
        <w:t>.</w:t>
      </w:r>
    </w:p>
    <w:p w14:paraId="17627135" w14:textId="77777777" w:rsidR="00DC6AA4" w:rsidRPr="00B56453" w:rsidRDefault="00DC6AA4" w:rsidP="00026049">
      <w:pPr>
        <w:pStyle w:val="Normal1"/>
        <w:rPr>
          <w:lang w:val="en-GB"/>
        </w:rPr>
      </w:pPr>
    </w:p>
    <w:p w14:paraId="369DC97C" w14:textId="0230183A" w:rsidR="00DC6AA4" w:rsidRPr="00B56453" w:rsidRDefault="00DC6AA4" w:rsidP="00026049">
      <w:pPr>
        <w:pStyle w:val="Normal1"/>
        <w:rPr>
          <w:lang w:val="en-GB"/>
        </w:rPr>
      </w:pPr>
      <w:r w:rsidRPr="00B56453">
        <w:rPr>
          <w:lang w:val="en-GB"/>
        </w:rPr>
        <w:t xml:space="preserve">The success of this pilot study was judged on the following criteria based </w:t>
      </w:r>
      <w:r w:rsidR="00D53F70" w:rsidRPr="00B56453">
        <w:rPr>
          <w:lang w:val="en-GB"/>
        </w:rPr>
        <w:t>up</w:t>
      </w:r>
      <w:r w:rsidRPr="00B56453">
        <w:rPr>
          <w:lang w:val="en-GB"/>
        </w:rPr>
        <w:t xml:space="preserve">on suggestions by </w:t>
      </w:r>
      <w:hyperlink w:anchor="_ENREF_384" w:tooltip="Shanyinde, 2011 #237" w:history="1">
        <w:r w:rsidR="0094469E" w:rsidRPr="00B27F0B">
          <w:rPr>
            <w:lang w:val="en-GB"/>
          </w:rPr>
          <w:fldChar w:fldCharType="begin"/>
        </w:r>
        <w:r w:rsidR="0094469E" w:rsidRPr="00B56453">
          <w:rPr>
            <w:lang w:val="en-GB"/>
          </w:rPr>
          <w:instrText xml:space="preserve"> ADDIN EN.CITE &lt;EndNote&gt;&lt;Cite AuthorYear="1"&gt;&lt;Author&gt;Shanyinde&lt;/Author&gt;&lt;Year&gt;2011&lt;/Year&gt;&lt;RecNum&gt;237&lt;/RecNum&gt;&lt;DisplayText&gt;Shanyinde et al. (2011)&lt;/DisplayText&gt;&lt;record&gt;&lt;rec-number&gt;237&lt;/rec-number&gt;&lt;foreign-keys&gt;&lt;key app="EN" db-id="xa2r2ewea92trkef5dt5arvbzafvpv2za5ft" timestamp="1442161765"&gt;237&lt;/key&gt;&lt;/foreign-keys&gt;&lt;ref-type name="Journal Article"&gt;17&lt;/ref-type&gt;&lt;contributors&gt;&lt;authors&gt;&lt;author&gt;Shanyinde, M.&lt;/author&gt;&lt;author&gt;Pickering, R. M.&lt;/author&gt;&lt;author&gt;Weatherall, M.&lt;/author&gt;&lt;/authors&gt;&lt;/contributors&gt;&lt;auth-address&gt;Primary Care and Population Sciences, University of Southampton, Southampton General Hospital, Tremona Road, Southampton, UK.&lt;/auth-address&gt;&lt;titles&gt;&lt;title&gt;Questions asked and answered in pilot and feasibility randomized controlled trials&lt;/title&gt;&lt;secondary-title&gt;BMC medical research methodology&lt;/secondary-title&gt;&lt;/titles&gt;&lt;periodical&gt;&lt;full-title&gt;BMC medical research methodology&lt;/full-title&gt;&lt;/periodical&gt;&lt;pages&gt;117-2288-11-117&lt;/pages&gt;&lt;volume&gt;11&lt;/volume&gt;&lt;keywords&gt;&lt;keyword&gt;Drug Evaluation&lt;/keyword&gt;&lt;keyword&gt;Drug-Related Side Effects and Adverse Reactions&lt;/keyword&gt;&lt;keyword&gt;Feasibility Studies&lt;/keyword&gt;&lt;keyword&gt;Humans&lt;/keyword&gt;&lt;keyword&gt;Pilot Projects&lt;/keyword&gt;&lt;keyword&gt;Randomized Controlled Trials as Topic&lt;/keyword&gt;&lt;/keywords&gt;&lt;dates&gt;&lt;year&gt;2011&lt;/year&gt;&lt;/dates&gt;&lt;pub-location&gt;England&lt;/pub-location&gt;&lt;isbn&gt;1471-2288; 1471-2288&lt;/isbn&gt;&lt;urls&gt;&lt;related-urls&gt;&lt;url&gt;http://www.ncbi.nlm.nih.gov/pmc/articles/PMC3170294/pdf/1471-2288-11-117.pdf&lt;/url&gt;&lt;/related-urls&gt;&lt;/urls&gt;&lt;electronic-resource-num&gt;10.1186/1471-2288-11-117 [doi]&lt;/electronic-resource-num&gt;&lt;access-date&gt;Aug 16&lt;/access-date&gt;&lt;/record&gt;&lt;/Cite&gt;&lt;/EndNote&gt;</w:instrText>
        </w:r>
        <w:r w:rsidR="0094469E" w:rsidRPr="00B27F0B">
          <w:rPr>
            <w:lang w:val="en-GB"/>
          </w:rPr>
          <w:fldChar w:fldCharType="separate"/>
        </w:r>
        <w:r w:rsidR="0094469E" w:rsidRPr="00B56453">
          <w:rPr>
            <w:noProof/>
            <w:lang w:val="en-GB"/>
          </w:rPr>
          <w:t>Shanyinde et al. (2011)</w:t>
        </w:r>
        <w:r w:rsidR="0094469E" w:rsidRPr="00B27F0B">
          <w:rPr>
            <w:lang w:val="en-GB"/>
          </w:rPr>
          <w:fldChar w:fldCharType="end"/>
        </w:r>
      </w:hyperlink>
      <w:r w:rsidRPr="00B56453">
        <w:rPr>
          <w:lang w:val="en-GB"/>
        </w:rPr>
        <w:t>:</w:t>
      </w:r>
    </w:p>
    <w:p w14:paraId="5E475B9C" w14:textId="7ED6A2A9" w:rsidR="00DC6AA4" w:rsidRPr="00B56453" w:rsidRDefault="00D53F70" w:rsidP="00026049">
      <w:pPr>
        <w:pStyle w:val="Normal1"/>
        <w:numPr>
          <w:ilvl w:val="0"/>
          <w:numId w:val="23"/>
        </w:numPr>
        <w:rPr>
          <w:lang w:val="en-GB"/>
        </w:rPr>
      </w:pPr>
      <w:r w:rsidRPr="00B56453">
        <w:rPr>
          <w:lang w:val="en-GB"/>
        </w:rPr>
        <w:t xml:space="preserve">Results from the SRLF </w:t>
      </w:r>
      <w:r w:rsidR="00DC6AA4" w:rsidRPr="00B56453">
        <w:rPr>
          <w:lang w:val="en-GB"/>
        </w:rPr>
        <w:t>group are reported in full form for ea</w:t>
      </w:r>
      <w:r w:rsidRPr="00B56453">
        <w:rPr>
          <w:lang w:val="en-GB"/>
        </w:rPr>
        <w:t>ch SRL process for each student using the checklists.</w:t>
      </w:r>
    </w:p>
    <w:p w14:paraId="72924709" w14:textId="0B2B3372" w:rsidR="00DC6AA4" w:rsidRPr="00B56453" w:rsidRDefault="00DC6AA4" w:rsidP="00026049">
      <w:pPr>
        <w:pStyle w:val="Normal1"/>
        <w:numPr>
          <w:ilvl w:val="0"/>
          <w:numId w:val="23"/>
        </w:numPr>
        <w:rPr>
          <w:lang w:val="en-GB"/>
        </w:rPr>
      </w:pPr>
      <w:r w:rsidRPr="00B56453">
        <w:rPr>
          <w:lang w:val="en-GB"/>
        </w:rPr>
        <w:t>Staff should adhere to the SRL MA protocol</w:t>
      </w:r>
      <w:r w:rsidR="00D53F70" w:rsidRPr="00B56453">
        <w:rPr>
          <w:lang w:val="en-GB"/>
        </w:rPr>
        <w:t>, controlling for minor modifications</w:t>
      </w:r>
      <w:r w:rsidRPr="00B56453">
        <w:rPr>
          <w:lang w:val="en-GB"/>
        </w:rPr>
        <w:t>.</w:t>
      </w:r>
    </w:p>
    <w:p w14:paraId="70BC1C87" w14:textId="24267724" w:rsidR="00DC6AA4" w:rsidRPr="00B56453" w:rsidRDefault="00DC6AA4" w:rsidP="00026049">
      <w:pPr>
        <w:pStyle w:val="Normal1"/>
        <w:numPr>
          <w:ilvl w:val="0"/>
          <w:numId w:val="23"/>
        </w:numPr>
        <w:rPr>
          <w:lang w:val="en-GB"/>
        </w:rPr>
      </w:pPr>
      <w:r w:rsidRPr="00B56453">
        <w:rPr>
          <w:lang w:val="en-GB"/>
        </w:rPr>
        <w:t xml:space="preserve">Intervention usability is </w:t>
      </w:r>
      <w:r w:rsidR="00D531CD" w:rsidRPr="00B56453">
        <w:rPr>
          <w:lang w:val="en-GB"/>
        </w:rPr>
        <w:t>acceptable</w:t>
      </w:r>
      <w:r w:rsidR="00D53F70" w:rsidRPr="00B56453">
        <w:rPr>
          <w:lang w:val="en-GB"/>
        </w:rPr>
        <w:t xml:space="preserve"> for teachers</w:t>
      </w:r>
      <w:r w:rsidRPr="00B56453">
        <w:rPr>
          <w:lang w:val="en-GB"/>
        </w:rPr>
        <w:t xml:space="preserve"> and has minimal effect on regular teaching practice.</w:t>
      </w:r>
    </w:p>
    <w:p w14:paraId="7B9F5569" w14:textId="77777777" w:rsidR="00DC6AA4" w:rsidRPr="00B56453" w:rsidRDefault="00DC6AA4" w:rsidP="00026049">
      <w:pPr>
        <w:pStyle w:val="Normal1"/>
        <w:numPr>
          <w:ilvl w:val="0"/>
          <w:numId w:val="23"/>
        </w:numPr>
        <w:rPr>
          <w:lang w:val="en-GB"/>
        </w:rPr>
      </w:pPr>
      <w:r w:rsidRPr="00B56453">
        <w:rPr>
          <w:lang w:val="en-GB"/>
        </w:rPr>
        <w:t>Barriers to completing the study should be identified, as well as successes.</w:t>
      </w:r>
    </w:p>
    <w:p w14:paraId="2A9C8C6A" w14:textId="77777777" w:rsidR="00DC6AA4" w:rsidRPr="00B56453" w:rsidRDefault="00DC6AA4" w:rsidP="00026049">
      <w:pPr>
        <w:pStyle w:val="Normal1"/>
        <w:numPr>
          <w:ilvl w:val="0"/>
          <w:numId w:val="23"/>
        </w:numPr>
        <w:rPr>
          <w:lang w:val="en-GB"/>
        </w:rPr>
      </w:pPr>
      <w:r w:rsidRPr="00B56453">
        <w:rPr>
          <w:lang w:val="en-GB"/>
        </w:rPr>
        <w:t>Participant satisfaction should be acceptable.</w:t>
      </w:r>
    </w:p>
    <w:p w14:paraId="52C38E4E" w14:textId="77777777" w:rsidR="00DC6AA4" w:rsidRPr="00B56453" w:rsidRDefault="00DC6AA4" w:rsidP="00026049">
      <w:pPr>
        <w:pStyle w:val="Normal1"/>
        <w:numPr>
          <w:ilvl w:val="0"/>
          <w:numId w:val="23"/>
        </w:numPr>
        <w:rPr>
          <w:lang w:val="en-GB"/>
        </w:rPr>
      </w:pPr>
      <w:r w:rsidRPr="00B56453">
        <w:rPr>
          <w:lang w:val="en-GB"/>
        </w:rPr>
        <w:t>Successful participant blinding and randomisation.</w:t>
      </w:r>
    </w:p>
    <w:p w14:paraId="33373156" w14:textId="77777777" w:rsidR="00DC6AA4" w:rsidRPr="00B56453" w:rsidRDefault="00DC6AA4" w:rsidP="00026049">
      <w:pPr>
        <w:pStyle w:val="Normal1"/>
        <w:rPr>
          <w:lang w:val="en-GB"/>
        </w:rPr>
      </w:pPr>
    </w:p>
    <w:p w14:paraId="7BBEC2E9" w14:textId="676C0551" w:rsidR="00DC6AA4" w:rsidRPr="00B56453" w:rsidRDefault="005B72F2" w:rsidP="00026049">
      <w:pPr>
        <w:pStyle w:val="Normal1"/>
        <w:rPr>
          <w:lang w:val="en-GB"/>
        </w:rPr>
      </w:pPr>
      <w:r w:rsidRPr="00B56453">
        <w:rPr>
          <w:lang w:val="en-GB"/>
        </w:rPr>
        <w:t xml:space="preserve">A small-scale pilot was conducted which involved two teachers who received the </w:t>
      </w:r>
      <w:r w:rsidR="00F24ACF" w:rsidRPr="00B56453">
        <w:rPr>
          <w:lang w:val="en-GB"/>
        </w:rPr>
        <w:t>BPF</w:t>
      </w:r>
      <w:r w:rsidRPr="00B56453">
        <w:rPr>
          <w:lang w:val="en-GB"/>
        </w:rPr>
        <w:t xml:space="preserve"> training, </w:t>
      </w:r>
      <w:r w:rsidR="00F24ACF" w:rsidRPr="00B56453">
        <w:rPr>
          <w:lang w:val="en-GB"/>
        </w:rPr>
        <w:t xml:space="preserve">then </w:t>
      </w:r>
      <w:r w:rsidRPr="00B56453">
        <w:rPr>
          <w:lang w:val="en-GB"/>
        </w:rPr>
        <w:t xml:space="preserve">one of these teachers received the SRL MA training. Six students took part from the medical school programme outside of the study population. The students were randomly allocated to the teachers using a random numbers table. The procedures were designed to be as identical as possible to the full trial, which aimed to emulate regular teaching sessions for venepuncture and catheterisation. After these parallel sessions concluded, </w:t>
      </w:r>
      <w:r w:rsidR="004E2493" w:rsidRPr="00B56453">
        <w:rPr>
          <w:lang w:val="en-GB"/>
        </w:rPr>
        <w:t>a debrief was conducted with</w:t>
      </w:r>
      <w:r w:rsidRPr="00B56453">
        <w:rPr>
          <w:lang w:val="en-GB"/>
        </w:rPr>
        <w:t xml:space="preserve"> each group</w:t>
      </w:r>
      <w:r w:rsidR="00D53F70" w:rsidRPr="00B56453">
        <w:rPr>
          <w:lang w:val="en-GB"/>
        </w:rPr>
        <w:t xml:space="preserve"> (teachers and students)</w:t>
      </w:r>
      <w:r w:rsidRPr="00B56453">
        <w:rPr>
          <w:lang w:val="en-GB"/>
        </w:rPr>
        <w:t xml:space="preserve"> separately for 10 minutes to discuss their thoughts on the session. Key changes to the training protocol and data collection sheets wer</w:t>
      </w:r>
      <w:r w:rsidR="00D53F70" w:rsidRPr="00B56453">
        <w:rPr>
          <w:lang w:val="en-GB"/>
        </w:rPr>
        <w:t>e made based on the findings:</w:t>
      </w:r>
    </w:p>
    <w:p w14:paraId="34A40D30" w14:textId="77777777" w:rsidR="00234E4A" w:rsidRPr="00B56453" w:rsidRDefault="00234E4A" w:rsidP="00026049">
      <w:pPr>
        <w:pStyle w:val="Normal1"/>
        <w:rPr>
          <w:lang w:val="en-GB"/>
        </w:rPr>
      </w:pPr>
    </w:p>
    <w:p w14:paraId="604855EF" w14:textId="77777777" w:rsidR="00DC6AA4" w:rsidRPr="00B56453" w:rsidRDefault="00C065B3" w:rsidP="00026049">
      <w:pPr>
        <w:pStyle w:val="Normal1"/>
        <w:numPr>
          <w:ilvl w:val="0"/>
          <w:numId w:val="24"/>
        </w:numPr>
        <w:rPr>
          <w:lang w:val="en-GB"/>
        </w:rPr>
      </w:pPr>
      <w:r w:rsidRPr="00B56453">
        <w:rPr>
          <w:lang w:val="en-GB"/>
        </w:rPr>
        <w:t>The SRL MA training needed</w:t>
      </w:r>
      <w:r w:rsidR="00DC6AA4" w:rsidRPr="00B56453">
        <w:rPr>
          <w:lang w:val="en-GB"/>
        </w:rPr>
        <w:t xml:space="preserve"> to be optimised to include more explicitly linked SRL feedback.</w:t>
      </w:r>
    </w:p>
    <w:p w14:paraId="5215A43D" w14:textId="420413C8" w:rsidR="00DC6AA4" w:rsidRPr="00B56453" w:rsidRDefault="00046DE1" w:rsidP="00026049">
      <w:pPr>
        <w:pStyle w:val="Normal1"/>
        <w:numPr>
          <w:ilvl w:val="0"/>
          <w:numId w:val="24"/>
        </w:numPr>
        <w:rPr>
          <w:lang w:val="en-GB"/>
        </w:rPr>
      </w:pPr>
      <w:r w:rsidRPr="00B56453">
        <w:rPr>
          <w:lang w:val="en-GB"/>
        </w:rPr>
        <w:t>Both teachers and students</w:t>
      </w:r>
      <w:r w:rsidR="00DC6AA4" w:rsidRPr="00B56453">
        <w:rPr>
          <w:lang w:val="en-GB"/>
        </w:rPr>
        <w:t xml:space="preserve"> commented on the benefits of enhancing SRL behaviours, they asked for more feedback in this respect.</w:t>
      </w:r>
    </w:p>
    <w:p w14:paraId="234AA003" w14:textId="77777777" w:rsidR="00DC6AA4" w:rsidRPr="00B56453" w:rsidRDefault="00DC6AA4" w:rsidP="00026049">
      <w:pPr>
        <w:pStyle w:val="Normal1"/>
        <w:numPr>
          <w:ilvl w:val="0"/>
          <w:numId w:val="24"/>
        </w:numPr>
        <w:rPr>
          <w:lang w:val="en-GB"/>
        </w:rPr>
      </w:pPr>
      <w:r w:rsidRPr="00B56453">
        <w:rPr>
          <w:lang w:val="en-GB"/>
        </w:rPr>
        <w:t xml:space="preserve">It was decided that taking a performance measure was unnecessary at the initial </w:t>
      </w:r>
      <w:r w:rsidRPr="00B56453">
        <w:rPr>
          <w:lang w:val="en-GB"/>
        </w:rPr>
        <w:lastRenderedPageBreak/>
        <w:t xml:space="preserve">stage of learning as no student would pass on </w:t>
      </w:r>
      <w:r w:rsidR="00C065B3" w:rsidRPr="00B56453">
        <w:rPr>
          <w:lang w:val="en-GB"/>
        </w:rPr>
        <w:t>their</w:t>
      </w:r>
      <w:r w:rsidRPr="00B56453">
        <w:rPr>
          <w:lang w:val="en-GB"/>
        </w:rPr>
        <w:t xml:space="preserve"> first attempt at a new clinical skill.</w:t>
      </w:r>
    </w:p>
    <w:p w14:paraId="00E9637E" w14:textId="3177B6B9" w:rsidR="00DC6AA4" w:rsidRPr="00B56453" w:rsidRDefault="00DC6AA4" w:rsidP="00026049">
      <w:pPr>
        <w:pStyle w:val="Normal1"/>
        <w:numPr>
          <w:ilvl w:val="0"/>
          <w:numId w:val="24"/>
        </w:numPr>
        <w:rPr>
          <w:lang w:val="en-GB"/>
        </w:rPr>
      </w:pPr>
      <w:r w:rsidRPr="00B56453">
        <w:rPr>
          <w:lang w:val="en-GB"/>
        </w:rPr>
        <w:t xml:space="preserve">The </w:t>
      </w:r>
      <w:r w:rsidR="00C065B3" w:rsidRPr="00B56453">
        <w:rPr>
          <w:lang w:val="en-GB"/>
        </w:rPr>
        <w:t>teachers</w:t>
      </w:r>
      <w:r w:rsidRPr="00B56453">
        <w:rPr>
          <w:lang w:val="en-GB"/>
        </w:rPr>
        <w:t xml:space="preserve"> adhered to the SRL MA protocol</w:t>
      </w:r>
      <w:r w:rsidR="00D53F70" w:rsidRPr="00B56453">
        <w:rPr>
          <w:lang w:val="en-GB"/>
        </w:rPr>
        <w:t xml:space="preserve"> with modifications having little impact (use of more colloquial language for some items)</w:t>
      </w:r>
      <w:r w:rsidRPr="00B56453">
        <w:rPr>
          <w:lang w:val="en-GB"/>
        </w:rPr>
        <w:t xml:space="preserve"> and reported all data in full for every student.</w:t>
      </w:r>
    </w:p>
    <w:p w14:paraId="149A886E" w14:textId="77777777" w:rsidR="00DC6AA4" w:rsidRPr="00B56453" w:rsidRDefault="00DC6AA4" w:rsidP="00026049">
      <w:pPr>
        <w:pStyle w:val="Normal1"/>
        <w:numPr>
          <w:ilvl w:val="0"/>
          <w:numId w:val="24"/>
        </w:numPr>
        <w:rPr>
          <w:lang w:val="en-GB"/>
        </w:rPr>
      </w:pPr>
      <w:r w:rsidRPr="00B56453">
        <w:rPr>
          <w:lang w:val="en-GB"/>
        </w:rPr>
        <w:t>Students were randomly allocated into the two groups successfully, and no discernible cross-contamination between groups was identified.</w:t>
      </w:r>
    </w:p>
    <w:p w14:paraId="0770AB86" w14:textId="4BFF3A82" w:rsidR="00DC6AA4" w:rsidRPr="00B56453" w:rsidRDefault="00DC6AA4" w:rsidP="00026049">
      <w:pPr>
        <w:pStyle w:val="Normal1"/>
        <w:numPr>
          <w:ilvl w:val="0"/>
          <w:numId w:val="24"/>
        </w:numPr>
        <w:rPr>
          <w:lang w:val="en-GB"/>
        </w:rPr>
      </w:pPr>
      <w:r w:rsidRPr="00B56453">
        <w:rPr>
          <w:lang w:val="en-GB"/>
        </w:rPr>
        <w:t xml:space="preserve">Teaching sessions </w:t>
      </w:r>
      <w:r w:rsidR="00794921" w:rsidRPr="00B56453">
        <w:rPr>
          <w:lang w:val="en-GB"/>
        </w:rPr>
        <w:t>were</w:t>
      </w:r>
      <w:r w:rsidRPr="00B56453">
        <w:rPr>
          <w:lang w:val="en-GB"/>
        </w:rPr>
        <w:t xml:space="preserve"> purely group based, meaning that there </w:t>
      </w:r>
      <w:r w:rsidR="00C065B3" w:rsidRPr="00B56453">
        <w:rPr>
          <w:lang w:val="en-GB"/>
        </w:rPr>
        <w:t>was</w:t>
      </w:r>
      <w:r w:rsidRPr="00B56453">
        <w:rPr>
          <w:lang w:val="en-GB"/>
        </w:rPr>
        <w:t xml:space="preserve"> no opportunity to conduct the SRL MA privately for each student as planned. </w:t>
      </w:r>
    </w:p>
    <w:p w14:paraId="0870DE35" w14:textId="6B2CA853" w:rsidR="00DC6AA4" w:rsidRPr="00B56453" w:rsidRDefault="00DC6AA4" w:rsidP="00026049">
      <w:pPr>
        <w:pStyle w:val="Normal1"/>
        <w:numPr>
          <w:ilvl w:val="0"/>
          <w:numId w:val="24"/>
        </w:numPr>
        <w:rPr>
          <w:lang w:val="en-GB"/>
        </w:rPr>
      </w:pPr>
      <w:r w:rsidRPr="00B56453">
        <w:rPr>
          <w:lang w:val="en-GB"/>
        </w:rPr>
        <w:t xml:space="preserve">The </w:t>
      </w:r>
      <w:r w:rsidR="00D53F70" w:rsidRPr="00B56453">
        <w:rPr>
          <w:lang w:val="en-GB"/>
        </w:rPr>
        <w:t>LearningSpace technology</w:t>
      </w:r>
      <w:r w:rsidRPr="00B56453">
        <w:rPr>
          <w:lang w:val="en-GB"/>
        </w:rPr>
        <w:t xml:space="preserve"> succ</w:t>
      </w:r>
      <w:r w:rsidR="00D53F70" w:rsidRPr="00B56453">
        <w:rPr>
          <w:lang w:val="en-GB"/>
        </w:rPr>
        <w:t>essfully recorded both sessions with satisfactory video and audio quality.</w:t>
      </w:r>
    </w:p>
    <w:p w14:paraId="76B2D3C3" w14:textId="77777777" w:rsidR="005E5E87" w:rsidRPr="00B56453" w:rsidRDefault="005E5E87" w:rsidP="005E5E87">
      <w:pPr>
        <w:pStyle w:val="Normal1"/>
        <w:rPr>
          <w:lang w:val="en-GB"/>
        </w:rPr>
      </w:pPr>
    </w:p>
    <w:p w14:paraId="4572DD6B" w14:textId="657A99D4" w:rsidR="005E5E87" w:rsidRPr="00B56453" w:rsidRDefault="005E5E87" w:rsidP="005E5E87">
      <w:pPr>
        <w:pStyle w:val="Normal1"/>
        <w:rPr>
          <w:lang w:val="en-GB"/>
        </w:rPr>
      </w:pPr>
      <w:r w:rsidRPr="00B56453">
        <w:rPr>
          <w:lang w:val="en-GB"/>
        </w:rPr>
        <w:t xml:space="preserve">It was clear from the pilot and consultations with clinical teachers and </w:t>
      </w:r>
      <w:r w:rsidR="00046DE1" w:rsidRPr="00B56453">
        <w:rPr>
          <w:lang w:val="en-GB"/>
        </w:rPr>
        <w:t xml:space="preserve">unit </w:t>
      </w:r>
      <w:r w:rsidRPr="00B56453">
        <w:rPr>
          <w:lang w:val="en-GB"/>
        </w:rPr>
        <w:t xml:space="preserve">managers that authentic clinical skills sessions were delivered in group settings under strict time constraints. This was not an issue for the </w:t>
      </w:r>
      <w:r w:rsidR="00794921" w:rsidRPr="00B56453">
        <w:rPr>
          <w:lang w:val="en-GB"/>
        </w:rPr>
        <w:t>BPF</w:t>
      </w:r>
      <w:r w:rsidRPr="00B56453">
        <w:rPr>
          <w:lang w:val="en-GB"/>
        </w:rPr>
        <w:t xml:space="preserve"> </w:t>
      </w:r>
      <w:r w:rsidR="00794921" w:rsidRPr="00B56453">
        <w:rPr>
          <w:lang w:val="en-GB"/>
        </w:rPr>
        <w:t xml:space="preserve">group </w:t>
      </w:r>
      <w:r w:rsidRPr="00B56453">
        <w:rPr>
          <w:lang w:val="en-GB"/>
        </w:rPr>
        <w:t xml:space="preserve">as the timings per student were unchanged, whereas the </w:t>
      </w:r>
      <w:r w:rsidR="00794921" w:rsidRPr="00B56453">
        <w:rPr>
          <w:lang w:val="en-GB"/>
        </w:rPr>
        <w:t>SRLF</w:t>
      </w:r>
      <w:r w:rsidRPr="00B56453">
        <w:rPr>
          <w:lang w:val="en-GB"/>
        </w:rPr>
        <w:t xml:space="preserve"> method added approximately </w:t>
      </w:r>
      <w:r w:rsidR="00794921" w:rsidRPr="00B56453">
        <w:rPr>
          <w:lang w:val="en-GB"/>
        </w:rPr>
        <w:t>two to three</w:t>
      </w:r>
      <w:r w:rsidRPr="00B56453">
        <w:rPr>
          <w:lang w:val="en-GB"/>
        </w:rPr>
        <w:t xml:space="preserve"> minutes extra per student. It was predicted that teachers would become more fluid with the SRLF method and integrate it into their normal teaching, this happened with some but not </w:t>
      </w:r>
      <w:r w:rsidR="00046DE1" w:rsidRPr="00B56453">
        <w:rPr>
          <w:lang w:val="en-GB"/>
        </w:rPr>
        <w:t>all</w:t>
      </w:r>
      <w:r w:rsidRPr="00B56453">
        <w:rPr>
          <w:lang w:val="en-GB"/>
        </w:rPr>
        <w:t xml:space="preserve">. This factor is </w:t>
      </w:r>
      <w:r w:rsidR="00794921" w:rsidRPr="00B56453">
        <w:rPr>
          <w:lang w:val="en-GB"/>
        </w:rPr>
        <w:t>explored further in Chapter B2.</w:t>
      </w:r>
    </w:p>
    <w:p w14:paraId="62A53C31" w14:textId="77777777" w:rsidR="005E5E87" w:rsidRPr="00B56453" w:rsidRDefault="005E5E87" w:rsidP="005E5E87">
      <w:pPr>
        <w:pStyle w:val="Normal1"/>
        <w:rPr>
          <w:lang w:val="en-GB"/>
        </w:rPr>
      </w:pPr>
    </w:p>
    <w:p w14:paraId="78031A56" w14:textId="5D96C2BB" w:rsidR="005E5E87" w:rsidRPr="00B56453" w:rsidRDefault="005E5E87" w:rsidP="005E5E87">
      <w:pPr>
        <w:pStyle w:val="Normal1"/>
        <w:rPr>
          <w:lang w:val="en-GB"/>
        </w:rPr>
      </w:pPr>
      <w:r w:rsidRPr="00B56453">
        <w:rPr>
          <w:lang w:val="en-GB"/>
        </w:rPr>
        <w:t xml:space="preserve">Initially, a sub-sample of sessions were to be observed using </w:t>
      </w:r>
      <w:r w:rsidR="00FC0FFB" w:rsidRPr="00B56453">
        <w:rPr>
          <w:lang w:val="en-GB"/>
        </w:rPr>
        <w:t>videos to</w:t>
      </w:r>
      <w:r w:rsidRPr="00B56453">
        <w:rPr>
          <w:lang w:val="en-GB"/>
        </w:rPr>
        <w:t xml:space="preserve"> confirm the teaching methods were adhered to consistently by teachers. Given the diversity of approaches used by the teachers it was clear that all teaching sessions had to be captured  to account for how the methods were used by every teacher in every session taught. All sessions were video</w:t>
      </w:r>
      <w:r w:rsidR="00046DE1" w:rsidRPr="00B56453">
        <w:rPr>
          <w:lang w:val="en-GB"/>
        </w:rPr>
        <w:t>ed</w:t>
      </w:r>
      <w:r w:rsidRPr="00B56453">
        <w:rPr>
          <w:lang w:val="en-GB"/>
        </w:rPr>
        <w:t xml:space="preserve"> to confirm</w:t>
      </w:r>
      <w:r w:rsidR="00046DE1" w:rsidRPr="00B56453">
        <w:rPr>
          <w:lang w:val="en-GB"/>
        </w:rPr>
        <w:t xml:space="preserve"> the</w:t>
      </w:r>
      <w:r w:rsidR="00794921" w:rsidRPr="00B56453">
        <w:rPr>
          <w:lang w:val="en-GB"/>
        </w:rPr>
        <w:t xml:space="preserve"> teachers’ use of the methods and a sub-sample of sessions per teacher was reviewed</w:t>
      </w:r>
      <w:r w:rsidRPr="00B56453">
        <w:rPr>
          <w:lang w:val="en-GB"/>
        </w:rPr>
        <w:t>.</w:t>
      </w:r>
    </w:p>
    <w:p w14:paraId="2A163CB8" w14:textId="77777777" w:rsidR="005E5E87" w:rsidRPr="00B56453" w:rsidRDefault="005E5E87" w:rsidP="005E5E87">
      <w:pPr>
        <w:pStyle w:val="Normal1"/>
        <w:rPr>
          <w:lang w:val="en-GB"/>
        </w:rPr>
      </w:pPr>
    </w:p>
    <w:p w14:paraId="503C0130" w14:textId="1B332CC5" w:rsidR="005E5E87" w:rsidRPr="00B56453" w:rsidRDefault="005E5E87" w:rsidP="00026049">
      <w:pPr>
        <w:pStyle w:val="Normal1"/>
        <w:rPr>
          <w:lang w:val="en-GB"/>
        </w:rPr>
      </w:pPr>
      <w:r w:rsidRPr="00B56453">
        <w:rPr>
          <w:lang w:val="en-GB"/>
        </w:rPr>
        <w:t xml:space="preserve">Random allocation to feedback conditions was originally planned to be organised beforehand based on a random number generator for each student who would then be instructed to join a specific session depending on their allocation. In practice this was not possible due to the high numbers of students to be organised. The standard practice was for each teacher to randomly gather around ten students each from a corral on-site and bring them to their session. This was deemed an effective way to initially randomise students to the </w:t>
      </w:r>
      <w:r w:rsidR="00483DED" w:rsidRPr="00B56453">
        <w:rPr>
          <w:lang w:val="en-GB"/>
        </w:rPr>
        <w:t xml:space="preserve">feedback </w:t>
      </w:r>
      <w:r w:rsidRPr="00B56453">
        <w:rPr>
          <w:lang w:val="en-GB"/>
        </w:rPr>
        <w:t>conditions for venepuncture, for the following catheterisation session students were instructed to attend the teacher who had taught the</w:t>
      </w:r>
      <w:r w:rsidR="00046DE1" w:rsidRPr="00B56453">
        <w:rPr>
          <w:lang w:val="en-GB"/>
        </w:rPr>
        <w:t>m</w:t>
      </w:r>
      <w:r w:rsidRPr="00B56453">
        <w:rPr>
          <w:lang w:val="en-GB"/>
        </w:rPr>
        <w:t xml:space="preserve"> </w:t>
      </w:r>
      <w:r w:rsidRPr="00B56453">
        <w:rPr>
          <w:lang w:val="en-GB"/>
        </w:rPr>
        <w:lastRenderedPageBreak/>
        <w:t>venepuncture</w:t>
      </w:r>
      <w:r w:rsidR="00794921" w:rsidRPr="00B56453">
        <w:rPr>
          <w:lang w:val="en-GB"/>
        </w:rPr>
        <w:t>,</w:t>
      </w:r>
      <w:r w:rsidRPr="00B56453">
        <w:rPr>
          <w:lang w:val="en-GB"/>
        </w:rPr>
        <w:t xml:space="preserve"> which was effective. Student numbers were tracked using sheets to ensure cross contamination did not take place and to identify students’ feedback allocations for later analysis. In cases of contamination, student questionnaire data was omitted.</w:t>
      </w:r>
    </w:p>
    <w:p w14:paraId="5176A8F1" w14:textId="77777777" w:rsidR="005E5E87" w:rsidRPr="00B56453" w:rsidRDefault="005E5E87" w:rsidP="00026049">
      <w:pPr>
        <w:pStyle w:val="Normal1"/>
        <w:rPr>
          <w:lang w:val="en-GB"/>
        </w:rPr>
      </w:pPr>
    </w:p>
    <w:p w14:paraId="161C2559" w14:textId="67BD57C2" w:rsidR="00C065B3" w:rsidRPr="00B56453" w:rsidRDefault="00794921" w:rsidP="00026049">
      <w:pPr>
        <w:pStyle w:val="Normal1"/>
        <w:rPr>
          <w:lang w:val="en-GB"/>
        </w:rPr>
      </w:pPr>
      <w:r w:rsidRPr="00B56453">
        <w:rPr>
          <w:lang w:val="en-GB"/>
        </w:rPr>
        <w:t xml:space="preserve">One measure that was removed from both feedback groups was a test of performance; it was deemed unnecessary both due to a lack of generalisability using the established measure and would be a poor indicator of progress over time at that early stage of clinical skills learning. </w:t>
      </w:r>
      <w:r w:rsidR="00DC6AA4" w:rsidRPr="00B56453">
        <w:rPr>
          <w:lang w:val="en-GB"/>
        </w:rPr>
        <w:t>Other criteri</w:t>
      </w:r>
      <w:r w:rsidR="00950528" w:rsidRPr="00B56453">
        <w:rPr>
          <w:lang w:val="en-GB"/>
        </w:rPr>
        <w:t>a</w:t>
      </w:r>
      <w:r w:rsidR="00DC6AA4" w:rsidRPr="00B56453">
        <w:rPr>
          <w:lang w:val="en-GB"/>
        </w:rPr>
        <w:t xml:space="preserve"> of success were deemed to </w:t>
      </w:r>
      <w:r w:rsidR="00C61BAF" w:rsidRPr="00B56453">
        <w:rPr>
          <w:lang w:val="en-GB"/>
        </w:rPr>
        <w:t xml:space="preserve">have </w:t>
      </w:r>
      <w:r w:rsidR="00DC6AA4" w:rsidRPr="00B56453">
        <w:rPr>
          <w:lang w:val="en-GB"/>
        </w:rPr>
        <w:t>be</w:t>
      </w:r>
      <w:r w:rsidR="00950528" w:rsidRPr="00B56453">
        <w:rPr>
          <w:lang w:val="en-GB"/>
        </w:rPr>
        <w:t>en</w:t>
      </w:r>
      <w:r w:rsidR="00DC6AA4" w:rsidRPr="00B56453">
        <w:rPr>
          <w:lang w:val="en-GB"/>
        </w:rPr>
        <w:t xml:space="preserve"> met and the operationalisation of the intervention </w:t>
      </w:r>
      <w:r w:rsidR="00240F75" w:rsidRPr="00B56453">
        <w:rPr>
          <w:lang w:val="en-GB"/>
        </w:rPr>
        <w:t xml:space="preserve">and feedback models </w:t>
      </w:r>
      <w:r w:rsidR="00DC6AA4" w:rsidRPr="00B56453">
        <w:rPr>
          <w:lang w:val="en-GB"/>
        </w:rPr>
        <w:t xml:space="preserve">was an overall success. Key changes to the training protocol and data collection sheets </w:t>
      </w:r>
      <w:r w:rsidR="00C065B3" w:rsidRPr="00B56453">
        <w:rPr>
          <w:lang w:val="en-GB"/>
        </w:rPr>
        <w:t>were</w:t>
      </w:r>
      <w:r w:rsidR="00DC6AA4" w:rsidRPr="00B56453">
        <w:rPr>
          <w:lang w:val="en-GB"/>
        </w:rPr>
        <w:t xml:space="preserve"> made based on these findings for the full trial.</w:t>
      </w:r>
    </w:p>
    <w:p w14:paraId="50D18F30" w14:textId="77777777" w:rsidR="00C065B3" w:rsidRPr="00B56453" w:rsidRDefault="00C065B3" w:rsidP="00026049">
      <w:pPr>
        <w:pStyle w:val="Normal1"/>
        <w:rPr>
          <w:lang w:val="en-GB"/>
        </w:rPr>
      </w:pPr>
      <w:r w:rsidRPr="00B56453">
        <w:rPr>
          <w:lang w:val="en-GB"/>
        </w:rPr>
        <w:br w:type="page"/>
      </w:r>
    </w:p>
    <w:p w14:paraId="5A642C56" w14:textId="20E46BB5" w:rsidR="0070586E" w:rsidRPr="00B56453" w:rsidRDefault="001F0F9F" w:rsidP="00426FCB">
      <w:pPr>
        <w:pStyle w:val="Heading1"/>
      </w:pPr>
      <w:bookmarkStart w:id="273" w:name="_Toc487456832"/>
      <w:bookmarkStart w:id="274" w:name="_Toc487811212"/>
      <w:bookmarkStart w:id="275" w:name="_Toc488147555"/>
      <w:bookmarkStart w:id="276" w:name="_Toc488309167"/>
      <w:bookmarkStart w:id="277" w:name="_Toc488930129"/>
      <w:bookmarkStart w:id="278" w:name="_Toc489017343"/>
      <w:bookmarkStart w:id="279" w:name="_Toc489447697"/>
      <w:bookmarkStart w:id="280" w:name="_Toc490650184"/>
      <w:bookmarkStart w:id="281" w:name="_Toc500319383"/>
      <w:bookmarkStart w:id="282" w:name="_Toc500319546"/>
      <w:r w:rsidRPr="00B56453">
        <w:lastRenderedPageBreak/>
        <w:t xml:space="preserve">Chapter B2: </w:t>
      </w:r>
      <w:r w:rsidR="0070586E" w:rsidRPr="00B56453">
        <w:t>Effective feedback giving? The impact of a training intervention on experienced and novice teachers.</w:t>
      </w:r>
      <w:bookmarkEnd w:id="273"/>
      <w:bookmarkEnd w:id="274"/>
      <w:bookmarkEnd w:id="275"/>
      <w:bookmarkEnd w:id="276"/>
      <w:bookmarkEnd w:id="277"/>
      <w:bookmarkEnd w:id="278"/>
      <w:bookmarkEnd w:id="279"/>
      <w:bookmarkEnd w:id="280"/>
      <w:bookmarkEnd w:id="281"/>
      <w:bookmarkEnd w:id="282"/>
    </w:p>
    <w:p w14:paraId="5005B4E2" w14:textId="77777777" w:rsidR="0070586E" w:rsidRPr="00B56453" w:rsidRDefault="0070586E" w:rsidP="0070586E">
      <w:pPr>
        <w:spacing w:line="276" w:lineRule="auto"/>
        <w:jc w:val="both"/>
        <w:rPr>
          <w:rFonts w:eastAsia="Times New Roman" w:cs="Times New Roman"/>
          <w:szCs w:val="24"/>
        </w:rPr>
      </w:pPr>
    </w:p>
    <w:p w14:paraId="05F9338C" w14:textId="55F26204" w:rsidR="0070586E" w:rsidRPr="00B56453" w:rsidRDefault="00C93903" w:rsidP="00B1638D">
      <w:pPr>
        <w:pStyle w:val="Heading2"/>
        <w:rPr>
          <w:lang w:val="en-GB"/>
        </w:rPr>
      </w:pPr>
      <w:bookmarkStart w:id="283" w:name="_Toc500319384"/>
      <w:r w:rsidRPr="00B56453">
        <w:rPr>
          <w:lang w:val="en-GB"/>
        </w:rPr>
        <w:t xml:space="preserve">B2.1 </w:t>
      </w:r>
      <w:r w:rsidR="0070586E" w:rsidRPr="00B56453">
        <w:rPr>
          <w:lang w:val="en-GB"/>
        </w:rPr>
        <w:t>Chapter context</w:t>
      </w:r>
      <w:bookmarkEnd w:id="283"/>
    </w:p>
    <w:p w14:paraId="443B357C" w14:textId="57456FD5" w:rsidR="0070586E" w:rsidRPr="00B56453" w:rsidRDefault="0070586E" w:rsidP="00026049">
      <w:pPr>
        <w:pStyle w:val="Normal1"/>
        <w:rPr>
          <w:lang w:val="en-GB"/>
        </w:rPr>
      </w:pPr>
    </w:p>
    <w:p w14:paraId="07A51562" w14:textId="6EE59684" w:rsidR="000D6EB5" w:rsidRPr="00B56453" w:rsidRDefault="0070586E" w:rsidP="00026049">
      <w:pPr>
        <w:pStyle w:val="Normal1"/>
        <w:rPr>
          <w:lang w:val="en-GB"/>
        </w:rPr>
      </w:pPr>
      <w:r w:rsidRPr="00B56453">
        <w:rPr>
          <w:lang w:val="en-GB"/>
        </w:rPr>
        <w:t xml:space="preserve">This chapter </w:t>
      </w:r>
      <w:r w:rsidR="00D53F70" w:rsidRPr="00B56453">
        <w:rPr>
          <w:lang w:val="en-GB"/>
        </w:rPr>
        <w:t>reports on</w:t>
      </w:r>
      <w:r w:rsidRPr="00B56453">
        <w:rPr>
          <w:lang w:val="en-GB"/>
        </w:rPr>
        <w:t xml:space="preserve"> the impact of the faculty development intervention on clinical skills teachers’ practices. It was important to closely consider the impact</w:t>
      </w:r>
      <w:r w:rsidR="00950528" w:rsidRPr="00B56453">
        <w:rPr>
          <w:lang w:val="en-GB"/>
        </w:rPr>
        <w:t xml:space="preserve"> of training upon the teachers</w:t>
      </w:r>
      <w:r w:rsidRPr="00B56453">
        <w:rPr>
          <w:lang w:val="en-GB"/>
        </w:rPr>
        <w:t xml:space="preserve"> </w:t>
      </w:r>
      <w:r w:rsidR="00950528" w:rsidRPr="00B56453">
        <w:rPr>
          <w:lang w:val="en-GB"/>
        </w:rPr>
        <w:t xml:space="preserve">as </w:t>
      </w:r>
      <w:r w:rsidRPr="00B56453">
        <w:rPr>
          <w:lang w:val="en-GB"/>
        </w:rPr>
        <w:t xml:space="preserve">in this research they </w:t>
      </w:r>
      <w:r w:rsidR="00C93903" w:rsidRPr="00B56453">
        <w:rPr>
          <w:lang w:val="en-GB"/>
        </w:rPr>
        <w:t>were</w:t>
      </w:r>
      <w:r w:rsidRPr="00B56453">
        <w:rPr>
          <w:lang w:val="en-GB"/>
        </w:rPr>
        <w:t xml:space="preserve"> considered key collaborative players in the dialogic feedback process. The teachers’ perspective</w:t>
      </w:r>
      <w:r w:rsidR="00E005C5" w:rsidRPr="00B56453">
        <w:rPr>
          <w:lang w:val="en-GB"/>
        </w:rPr>
        <w:t>s</w:t>
      </w:r>
      <w:r w:rsidRPr="00B56453">
        <w:rPr>
          <w:lang w:val="en-GB"/>
        </w:rPr>
        <w:t xml:space="preserve"> help</w:t>
      </w:r>
      <w:r w:rsidR="00C93903" w:rsidRPr="00B56453">
        <w:rPr>
          <w:lang w:val="en-GB"/>
        </w:rPr>
        <w:t>ed</w:t>
      </w:r>
      <w:r w:rsidRPr="00B56453">
        <w:rPr>
          <w:lang w:val="en-GB"/>
        </w:rPr>
        <w:t xml:space="preserve"> to create a fuller picture of how SRL and feedback </w:t>
      </w:r>
      <w:r w:rsidRPr="00B56453">
        <w:rPr>
          <w:noProof/>
          <w:lang w:val="en-GB"/>
        </w:rPr>
        <w:t>behaviours</w:t>
      </w:r>
      <w:r w:rsidRPr="00B56453">
        <w:rPr>
          <w:lang w:val="en-GB"/>
        </w:rPr>
        <w:t xml:space="preserve"> operate</w:t>
      </w:r>
      <w:r w:rsidR="00E005C5" w:rsidRPr="00B56453">
        <w:rPr>
          <w:lang w:val="en-GB"/>
        </w:rPr>
        <w:t>d</w:t>
      </w:r>
      <w:r w:rsidRPr="00B56453">
        <w:rPr>
          <w:lang w:val="en-GB"/>
        </w:rPr>
        <w:t xml:space="preserve"> within authentic learning and teaching contexts, particularly since</w:t>
      </w:r>
      <w:r w:rsidR="00E005C5" w:rsidRPr="00B56453">
        <w:rPr>
          <w:lang w:val="en-GB"/>
        </w:rPr>
        <w:t xml:space="preserve"> facilitated teaching is known to influence</w:t>
      </w:r>
      <w:r w:rsidRPr="00B56453">
        <w:rPr>
          <w:lang w:val="en-GB"/>
        </w:rPr>
        <w:t xml:space="preserve"> both feedback impact and SRL support </w:t>
      </w:r>
      <w:r w:rsidRPr="007638B6">
        <w:rPr>
          <w:lang w:val="en-GB"/>
        </w:rPr>
        <w:fldChar w:fldCharType="begin">
          <w:fldData xml:space="preserve">PEVuZE5vdGU+PENpdGU+PEF1dGhvcj5IYXRhbGE8L0F1dGhvcj48WWVhcj4yMDE0PC9ZZWFyPjxS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=
</w:fldData>
        </w:fldChar>
      </w:r>
      <w:r w:rsidR="008B61BE" w:rsidRPr="00B56453">
        <w:rPr>
          <w:lang w:val="en-GB"/>
        </w:rPr>
        <w:instrText xml:space="preserve"> ADDIN EN.CITE </w:instrText>
      </w:r>
      <w:r w:rsidR="008B61BE" w:rsidRPr="00B27F0B">
        <w:rPr>
          <w:lang w:val="en-GB"/>
        </w:rPr>
        <w:fldChar w:fldCharType="begin">
          <w:fldData xml:space="preserve">PEVuZE5vdGU+PENpdGU+PEF1dGhvcj5IYXRhbGE8L0F1dGhvcj48WWVhcj4yMDE0PC9ZZWFyPjxS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=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Pr="00B27F0B">
        <w:rPr>
          <w:lang w:val="en-GB"/>
        </w:rPr>
      </w:r>
      <w:r w:rsidRPr="00B27F0B">
        <w:rPr>
          <w:lang w:val="en-GB"/>
        </w:rPr>
        <w:fldChar w:fldCharType="separate"/>
      </w:r>
      <w:r w:rsidR="004E5A78" w:rsidRPr="00B56453">
        <w:rPr>
          <w:noProof/>
          <w:lang w:val="en-GB"/>
        </w:rPr>
        <w:t>(</w:t>
      </w:r>
      <w:hyperlink w:anchor="_ENREF_183" w:tooltip="Hatala, 2014 #108" w:history="1">
        <w:r w:rsidR="0094469E" w:rsidRPr="00B56453">
          <w:rPr>
            <w:noProof/>
            <w:lang w:val="en-GB"/>
          </w:rPr>
          <w:t>Hatala et al. 2014</w:t>
        </w:r>
      </w:hyperlink>
      <w:r w:rsidR="004E5A78" w:rsidRPr="00B56453">
        <w:rPr>
          <w:noProof/>
          <w:lang w:val="en-GB"/>
        </w:rPr>
        <w:t xml:space="preserve">; </w:t>
      </w:r>
      <w:hyperlink w:anchor="_ENREF_56" w:tooltip="Brydges, 2015 #18" w:history="1">
        <w:r w:rsidR="0094469E" w:rsidRPr="00B56453">
          <w:rPr>
            <w:noProof/>
            <w:lang w:val="en-GB"/>
          </w:rPr>
          <w:t>Brydges et al. 2015</w:t>
        </w:r>
      </w:hyperlink>
      <w:r w:rsidR="004E5A78" w:rsidRPr="00B56453">
        <w:rPr>
          <w:noProof/>
          <w:lang w:val="en-GB"/>
        </w:rPr>
        <w:t>)</w:t>
      </w:r>
      <w:r w:rsidRPr="007638B6">
        <w:rPr>
          <w:lang w:val="en-GB"/>
        </w:rPr>
        <w:fldChar w:fldCharType="end"/>
      </w:r>
      <w:r w:rsidR="00C93903" w:rsidRPr="00B56453">
        <w:rPr>
          <w:lang w:val="en-GB"/>
        </w:rPr>
        <w:t>.</w:t>
      </w:r>
    </w:p>
    <w:p w14:paraId="7468BF2D" w14:textId="7C73EEFD" w:rsidR="0070586E" w:rsidRPr="00B56453" w:rsidRDefault="0070586E" w:rsidP="00026049">
      <w:pPr>
        <w:pStyle w:val="Normal1"/>
        <w:rPr>
          <w:lang w:val="en-GB"/>
        </w:rPr>
      </w:pPr>
      <w:r w:rsidRPr="00B56453">
        <w:rPr>
          <w:lang w:val="en-GB"/>
        </w:rPr>
        <w:t xml:space="preserve"> </w:t>
      </w:r>
    </w:p>
    <w:p w14:paraId="717B16AF" w14:textId="35FBCC97" w:rsidR="0070586E" w:rsidRPr="00B56453" w:rsidRDefault="00950528" w:rsidP="00026049">
      <w:pPr>
        <w:pStyle w:val="Normal1"/>
        <w:rPr>
          <w:lang w:val="en-GB"/>
        </w:rPr>
      </w:pPr>
      <w:r w:rsidRPr="00B56453">
        <w:rPr>
          <w:lang w:val="en-GB"/>
        </w:rPr>
        <w:t>The teachers’ perspectives were</w:t>
      </w:r>
      <w:r w:rsidR="00E005C5" w:rsidRPr="00B56453">
        <w:rPr>
          <w:lang w:val="en-GB"/>
        </w:rPr>
        <w:t xml:space="preserve"> collected</w:t>
      </w:r>
      <w:r w:rsidRPr="00B56453">
        <w:rPr>
          <w:lang w:val="en-GB"/>
        </w:rPr>
        <w:t xml:space="preserve"> </w:t>
      </w:r>
      <w:r w:rsidRPr="00B56453">
        <w:rPr>
          <w:noProof/>
          <w:lang w:val="en-GB"/>
        </w:rPr>
        <w:t>through</w:t>
      </w:r>
      <w:r w:rsidRPr="00B56453">
        <w:rPr>
          <w:lang w:val="en-GB"/>
        </w:rPr>
        <w:t xml:space="preserve"> interviews</w:t>
      </w:r>
      <w:r w:rsidR="0070586E" w:rsidRPr="00B56453">
        <w:rPr>
          <w:lang w:val="en-GB"/>
        </w:rPr>
        <w:t xml:space="preserve"> </w:t>
      </w:r>
      <w:r w:rsidR="00B36959" w:rsidRPr="00B56453">
        <w:rPr>
          <w:lang w:val="en-GB"/>
        </w:rPr>
        <w:t>shortly</w:t>
      </w:r>
      <w:r w:rsidR="0070586E" w:rsidRPr="00B56453">
        <w:rPr>
          <w:lang w:val="en-GB"/>
        </w:rPr>
        <w:t xml:space="preserve"> after the </w:t>
      </w:r>
      <w:r w:rsidR="00234E4A" w:rsidRPr="00B56453">
        <w:rPr>
          <w:lang w:val="en-GB"/>
        </w:rPr>
        <w:t>post-teaching survey</w:t>
      </w:r>
      <w:r w:rsidR="0070586E" w:rsidRPr="00B56453">
        <w:rPr>
          <w:lang w:val="en-GB"/>
        </w:rPr>
        <w:t xml:space="preserve"> data collection</w:t>
      </w:r>
      <w:r w:rsidR="00234E4A" w:rsidRPr="00B56453">
        <w:rPr>
          <w:lang w:val="en-GB"/>
        </w:rPr>
        <w:t xml:space="preserve"> (F</w:t>
      </w:r>
      <w:r w:rsidR="00AE17C9" w:rsidRPr="00B56453">
        <w:rPr>
          <w:lang w:val="en-GB"/>
        </w:rPr>
        <w:t>igure</w:t>
      </w:r>
      <w:r w:rsidR="003509D5" w:rsidRPr="00B56453">
        <w:rPr>
          <w:lang w:val="en-GB"/>
        </w:rPr>
        <w:t xml:space="preserve"> </w:t>
      </w:r>
      <w:r w:rsidR="00DD0B00" w:rsidRPr="00B56453">
        <w:rPr>
          <w:lang w:val="en-GB"/>
        </w:rPr>
        <w:t>B2.1</w:t>
      </w:r>
      <w:r w:rsidR="003509D5" w:rsidRPr="00B56453">
        <w:rPr>
          <w:lang w:val="en-GB"/>
        </w:rPr>
        <w:t>)</w:t>
      </w:r>
      <w:r w:rsidR="0070586E" w:rsidRPr="00B56453">
        <w:rPr>
          <w:lang w:val="en-GB"/>
        </w:rPr>
        <w:t>.</w:t>
      </w:r>
    </w:p>
    <w:p w14:paraId="1A2222CD" w14:textId="72C8B8CE" w:rsidR="0070586E" w:rsidRPr="00B56453" w:rsidRDefault="00AC1E46" w:rsidP="00026049">
      <w:pPr>
        <w:pStyle w:val="Normal1"/>
        <w:rPr>
          <w:lang w:val="en-GB"/>
        </w:rPr>
      </w:pPr>
      <w:r w:rsidRPr="007638B6">
        <w:rPr>
          <w:noProof/>
          <w:lang w:val="en-GB" w:eastAsia="en-GB" w:bidi="ar-SA"/>
        </w:rPr>
        <mc:AlternateContent>
          <mc:Choice Requires="wpg">
            <w:drawing>
              <wp:anchor distT="0" distB="0" distL="114300" distR="114300" simplePos="0" relativeHeight="251660288" behindDoc="0" locked="0" layoutInCell="1" allowOverlap="1" wp14:anchorId="06928C37" wp14:editId="334D993A">
                <wp:simplePos x="0" y="0"/>
                <wp:positionH relativeFrom="column">
                  <wp:posOffset>-50800</wp:posOffset>
                </wp:positionH>
                <wp:positionV relativeFrom="paragraph">
                  <wp:posOffset>263525</wp:posOffset>
                </wp:positionV>
                <wp:extent cx="5587365" cy="3012440"/>
                <wp:effectExtent l="0" t="0" r="0" b="16510"/>
                <wp:wrapTopAndBottom/>
                <wp:docPr id="372" name="Group 372"/>
                <wp:cNvGraphicFramePr/>
                <a:graphic xmlns:a="http://schemas.openxmlformats.org/drawingml/2006/main">
                  <a:graphicData uri="http://schemas.microsoft.com/office/word/2010/wordprocessingGroup">
                    <wpg:wgp>
                      <wpg:cNvGrpSpPr/>
                      <wpg:grpSpPr>
                        <a:xfrm>
                          <a:off x="0" y="0"/>
                          <a:ext cx="5587365" cy="3012440"/>
                          <a:chOff x="0" y="-3"/>
                          <a:chExt cx="6828916" cy="3013845"/>
                        </a:xfrm>
                      </wpg:grpSpPr>
                      <wpg:grpSp>
                        <wpg:cNvPr id="332" name="Group 332"/>
                        <wpg:cNvGrpSpPr>
                          <a:grpSpLocks/>
                        </wpg:cNvGrpSpPr>
                        <wpg:grpSpPr bwMode="auto">
                          <a:xfrm>
                            <a:off x="0" y="-3"/>
                            <a:ext cx="6828916" cy="3013845"/>
                            <a:chOff x="961537" y="1183386"/>
                            <a:chExt cx="134940" cy="58535"/>
                          </a:xfrm>
                        </wpg:grpSpPr>
                        <wps:wsp>
                          <wps:cNvPr id="333" name="AutoShape 3"/>
                          <wps:cNvSpPr>
                            <a:spLocks noChangeArrowheads="1"/>
                          </wps:cNvSpPr>
                          <wps:spPr bwMode="auto">
                            <a:xfrm>
                              <a:off x="981158" y="1183386"/>
                              <a:ext cx="28610" cy="6359"/>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C277FC4" w14:textId="77777777" w:rsidR="00C8402C" w:rsidRPr="00950528" w:rsidRDefault="00C8402C" w:rsidP="003509D5">
                                <w:pPr>
                                  <w:widowControl w:val="0"/>
                                  <w:jc w:val="center"/>
                                  <w:rPr>
                                    <w:color w:val="000000" w:themeColor="text1"/>
                                    <w:szCs w:val="24"/>
                                  </w:rPr>
                                </w:pPr>
                                <w:r w:rsidRPr="00950528">
                                  <w:rPr>
                                    <w:color w:val="000000" w:themeColor="text1"/>
                                    <w:szCs w:val="24"/>
                                  </w:rPr>
                                  <w:t>Teacher training</w:t>
                                </w:r>
                              </w:p>
                            </w:txbxContent>
                          </wps:txbx>
                          <wps:bodyPr rot="0" vert="horz" wrap="square" lIns="36576" tIns="36576" rIns="36576" bIns="36576" anchor="t" anchorCtr="0" upright="1">
                            <a:noAutofit/>
                          </wps:bodyPr>
                        </wps:wsp>
                        <wps:wsp>
                          <wps:cNvPr id="334" name="AutoShape 4"/>
                          <wps:cNvSpPr>
                            <a:spLocks noChangeArrowheads="1"/>
                          </wps:cNvSpPr>
                          <wps:spPr bwMode="auto">
                            <a:xfrm>
                              <a:off x="961537" y="1195705"/>
                              <a:ext cx="22459" cy="6223"/>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25D7E6F"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335" name="AutoShape 5"/>
                          <wps:cNvSpPr>
                            <a:spLocks noChangeArrowheads="1"/>
                          </wps:cNvSpPr>
                          <wps:spPr bwMode="auto">
                            <a:xfrm>
                              <a:off x="1006495" y="1195705"/>
                              <a:ext cx="22459" cy="6223"/>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7C84876"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SRL</w:t>
                                </w:r>
                              </w:p>
                            </w:txbxContent>
                          </wps:txbx>
                          <wps:bodyPr rot="0" vert="horz" wrap="square" lIns="36576" tIns="36576" rIns="36576" bIns="36576" anchor="t" anchorCtr="0" upright="1">
                            <a:noAutofit/>
                          </wps:bodyPr>
                        </wps:wsp>
                        <wps:wsp>
                          <wps:cNvPr id="336" name="AutoShape 6"/>
                          <wps:cNvSpPr>
                            <a:spLocks noChangeArrowheads="1"/>
                          </wps:cNvSpPr>
                          <wps:spPr bwMode="auto">
                            <a:xfrm>
                              <a:off x="971205" y="1206323"/>
                              <a:ext cx="48498"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9908C10" w14:textId="77777777" w:rsidR="00C8402C" w:rsidRPr="00950528" w:rsidRDefault="00C8402C" w:rsidP="003509D5">
                                <w:pPr>
                                  <w:widowControl w:val="0"/>
                                  <w:jc w:val="center"/>
                                  <w:rPr>
                                    <w:color w:val="000000" w:themeColor="text1"/>
                                    <w:szCs w:val="24"/>
                                  </w:rPr>
                                </w:pPr>
                                <w:r w:rsidRPr="00950528">
                                  <w:rPr>
                                    <w:color w:val="000000" w:themeColor="text1"/>
                                    <w:szCs w:val="24"/>
                                  </w:rPr>
                                  <w:t>2nd year medical students</w:t>
                                </w:r>
                              </w:p>
                            </w:txbxContent>
                          </wps:txbx>
                          <wps:bodyPr rot="0" vert="horz" wrap="square" lIns="36576" tIns="36576" rIns="36576" bIns="36576" anchor="t" anchorCtr="0" upright="1">
                            <a:noAutofit/>
                          </wps:bodyPr>
                        </wps:wsp>
                        <wps:wsp>
                          <wps:cNvPr id="337" name="AutoShape 7"/>
                          <wps:cNvSpPr>
                            <a:spLocks noChangeArrowheads="1"/>
                          </wps:cNvSpPr>
                          <wps:spPr bwMode="auto">
                            <a:xfrm>
                              <a:off x="961537" y="1222248"/>
                              <a:ext cx="22459" cy="6223"/>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5A40AB"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338" name="AutoShape 8"/>
                          <wps:cNvSpPr>
                            <a:spLocks noChangeArrowheads="1"/>
                          </wps:cNvSpPr>
                          <wps:spPr bwMode="auto">
                            <a:xfrm>
                              <a:off x="1006495" y="1222248"/>
                              <a:ext cx="22459" cy="6223"/>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66FA787"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SRL</w:t>
                                </w:r>
                              </w:p>
                            </w:txbxContent>
                          </wps:txbx>
                          <wps:bodyPr rot="0" vert="horz" wrap="square" lIns="36576" tIns="36576" rIns="36576" bIns="36576" anchor="t" anchorCtr="0" upright="1">
                            <a:noAutofit/>
                          </wps:bodyPr>
                        </wps:wsp>
                        <wps:wsp>
                          <wps:cNvPr id="339" name="Text Box 9"/>
                          <wps:cNvSpPr txBox="1">
                            <a:spLocks noChangeArrowheads="1"/>
                          </wps:cNvSpPr>
                          <wps:spPr bwMode="auto">
                            <a:xfrm>
                              <a:off x="1074221" y="1200968"/>
                              <a:ext cx="22256" cy="9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7AC3DB" w14:textId="77777777" w:rsidR="00C8402C" w:rsidRPr="003509D5" w:rsidRDefault="00C8402C" w:rsidP="003509D5">
                                <w:pPr>
                                  <w:widowControl w:val="0"/>
                                  <w:spacing w:after="0"/>
                                  <w:jc w:val="center"/>
                                  <w:rPr>
                                    <w:bCs/>
                                    <w:szCs w:val="24"/>
                                  </w:rPr>
                                </w:pPr>
                                <w:r w:rsidRPr="003509D5">
                                  <w:rPr>
                                    <w:bCs/>
                                    <w:szCs w:val="24"/>
                                  </w:rPr>
                                  <w:t>Intervention phase</w:t>
                                </w:r>
                              </w:p>
                            </w:txbxContent>
                          </wps:txbx>
                          <wps:bodyPr rot="0" vert="horz" wrap="square" lIns="36576" tIns="36576" rIns="36576" bIns="36576" anchor="t" anchorCtr="0" upright="1">
                            <a:noAutofit/>
                          </wps:bodyPr>
                        </wps:wsp>
                        <wps:wsp>
                          <wps:cNvPr id="340" name="Text Box 10"/>
                          <wps:cNvSpPr txBox="1">
                            <a:spLocks noChangeArrowheads="1"/>
                          </wps:cNvSpPr>
                          <wps:spPr bwMode="auto">
                            <a:xfrm>
                              <a:off x="1039750" y="1206323"/>
                              <a:ext cx="27082" cy="5588"/>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B86BEB" w14:textId="44EB5378" w:rsidR="00C8402C" w:rsidRPr="00950528" w:rsidRDefault="00C8402C" w:rsidP="003509D5">
                                <w:pPr>
                                  <w:widowControl w:val="0"/>
                                  <w:spacing w:after="0"/>
                                  <w:jc w:val="center"/>
                                  <w:rPr>
                                    <w:color w:val="000000" w:themeColor="text1"/>
                                    <w:sz w:val="22"/>
                                    <w:szCs w:val="24"/>
                                  </w:rPr>
                                </w:pPr>
                                <w:r w:rsidRPr="00950528">
                                  <w:rPr>
                                    <w:color w:val="000000" w:themeColor="text1"/>
                                    <w:sz w:val="22"/>
                                    <w:szCs w:val="24"/>
                                  </w:rPr>
                                  <w:t>Questionnaires 1</w:t>
                                </w:r>
                              </w:p>
                            </w:txbxContent>
                          </wps:txbx>
                          <wps:bodyPr rot="0" vert="horz" wrap="square" lIns="36576" tIns="36576" rIns="36576" bIns="36576" anchor="t" anchorCtr="0" upright="1">
                            <a:noAutofit/>
                          </wps:bodyPr>
                        </wps:wsp>
                        <wps:wsp>
                          <wps:cNvPr id="341" name="Text Box 11"/>
                          <wps:cNvSpPr txBox="1">
                            <a:spLocks noChangeArrowheads="1"/>
                          </wps:cNvSpPr>
                          <wps:spPr bwMode="auto">
                            <a:xfrm>
                              <a:off x="1040430" y="1230814"/>
                              <a:ext cx="26998" cy="5379"/>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10FB86" w14:textId="2051DCF9" w:rsidR="00C8402C" w:rsidRPr="00950528" w:rsidRDefault="00C8402C" w:rsidP="003509D5">
                                <w:pPr>
                                  <w:widowControl w:val="0"/>
                                  <w:spacing w:after="0"/>
                                  <w:jc w:val="center"/>
                                  <w:rPr>
                                    <w:color w:val="000000" w:themeColor="text1"/>
                                    <w:sz w:val="22"/>
                                    <w:szCs w:val="24"/>
                                  </w:rPr>
                                </w:pPr>
                                <w:r w:rsidRPr="00950528">
                                  <w:rPr>
                                    <w:color w:val="000000" w:themeColor="text1"/>
                                    <w:sz w:val="22"/>
                                    <w:szCs w:val="24"/>
                                  </w:rPr>
                                  <w:t>Questionnaires 2</w:t>
                                </w:r>
                              </w:p>
                            </w:txbxContent>
                          </wps:txbx>
                          <wps:bodyPr rot="0" vert="horz" wrap="square" lIns="36576" tIns="36576" rIns="36576" bIns="36576" anchor="t" anchorCtr="0" upright="1">
                            <a:noAutofit/>
                          </wps:bodyPr>
                        </wps:wsp>
                        <wps:wsp>
                          <wps:cNvPr id="342" name="Text Box 12"/>
                          <wps:cNvSpPr txBox="1">
                            <a:spLocks noChangeArrowheads="1"/>
                          </wps:cNvSpPr>
                          <wps:spPr bwMode="auto">
                            <a:xfrm>
                              <a:off x="1039385" y="1220482"/>
                              <a:ext cx="27367" cy="9399"/>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E25C4" w14:textId="77777777" w:rsidR="00C8402C" w:rsidRPr="00950528" w:rsidRDefault="00C8402C" w:rsidP="003509D5">
                                <w:pPr>
                                  <w:widowControl w:val="0"/>
                                  <w:spacing w:after="0"/>
                                  <w:jc w:val="center"/>
                                  <w:rPr>
                                    <w:color w:val="000000" w:themeColor="text1"/>
                                    <w:szCs w:val="24"/>
                                  </w:rPr>
                                </w:pPr>
                                <w:r w:rsidRPr="00950528">
                                  <w:rPr>
                                    <w:color w:val="000000" w:themeColor="text1"/>
                                    <w:szCs w:val="24"/>
                                  </w:rPr>
                                  <w:t>Teaching and feedback</w:t>
                                </w:r>
                              </w:p>
                            </w:txbxContent>
                          </wps:txbx>
                          <wps:bodyPr rot="0" vert="horz" wrap="square" lIns="36576" tIns="36576" rIns="36576" bIns="36576" anchor="t" anchorCtr="0" upright="1">
                            <a:noAutofit/>
                          </wps:bodyPr>
                        </wps:wsp>
                        <wps:wsp>
                          <wps:cNvPr id="346" name="AutoShape 16"/>
                          <wps:cNvSpPr>
                            <a:spLocks noChangeArrowheads="1"/>
                          </wps:cNvSpPr>
                          <wps:spPr bwMode="auto">
                            <a:xfrm>
                              <a:off x="971625" y="1234920"/>
                              <a:ext cx="48498" cy="7001"/>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2B44B25" w14:textId="32EC5D88" w:rsidR="00C8402C" w:rsidRPr="00A771E3" w:rsidRDefault="00C8402C" w:rsidP="003509D5">
                                <w:pPr>
                                  <w:widowControl w:val="0"/>
                                  <w:jc w:val="center"/>
                                  <w:rPr>
                                    <w:b/>
                                    <w:szCs w:val="24"/>
                                  </w:rPr>
                                </w:pPr>
                                <w:r w:rsidRPr="00A771E3">
                                  <w:rPr>
                                    <w:b/>
                                    <w:szCs w:val="24"/>
                                  </w:rPr>
                                  <w:t>Teacher interviews</w:t>
                                </w:r>
                              </w:p>
                            </w:txbxContent>
                          </wps:txbx>
                          <wps:bodyPr rot="0" vert="horz" wrap="square" lIns="36576" tIns="36576" rIns="36576" bIns="36576" anchor="t" anchorCtr="0" upright="1">
                            <a:noAutofit/>
                          </wps:bodyPr>
                        </wps:wsp>
                        <wps:wsp>
                          <wps:cNvPr id="352" name="AutoShape 22"/>
                          <wps:cNvSpPr>
                            <a:spLocks/>
                          </wps:cNvSpPr>
                          <wps:spPr bwMode="auto">
                            <a:xfrm>
                              <a:off x="1067353" y="1183386"/>
                              <a:ext cx="5399" cy="44908"/>
                            </a:xfrm>
                            <a:prstGeom prst="rightBrace">
                              <a:avLst>
                                <a:gd name="adj1" fmla="val 69315"/>
                                <a:gd name="adj2" fmla="val 50000"/>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56" name="AutoShape 26"/>
                          <wps:cNvCnPr>
                            <a:cxnSpLocks noChangeShapeType="1"/>
                          </wps:cNvCnPr>
                          <wps:spPr bwMode="auto">
                            <a:xfrm>
                              <a:off x="995365" y="1189578"/>
                              <a:ext cx="22611"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7" name="AutoShape 27"/>
                          <wps:cNvCnPr>
                            <a:cxnSpLocks noChangeShapeType="1"/>
                          </wps:cNvCnPr>
                          <wps:spPr bwMode="auto">
                            <a:xfrm flipH="1">
                              <a:off x="972921" y="1189578"/>
                              <a:ext cx="22777"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8" name="AutoShape 28"/>
                          <wps:cNvCnPr>
                            <a:cxnSpLocks noChangeShapeType="1"/>
                          </wps:cNvCnPr>
                          <wps:spPr bwMode="auto">
                            <a:xfrm>
                              <a:off x="1017477" y="1202048"/>
                              <a:ext cx="0" cy="415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9" name="AutoShape 29"/>
                          <wps:cNvCnPr>
                            <a:cxnSpLocks noChangeShapeType="1"/>
                          </wps:cNvCnPr>
                          <wps:spPr bwMode="auto">
                            <a:xfrm>
                              <a:off x="973087" y="1202048"/>
                              <a:ext cx="0" cy="39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0" name="AutoShape 30"/>
                          <wps:cNvCnPr>
                            <a:cxnSpLocks noChangeShapeType="1"/>
                          </wps:cNvCnPr>
                          <wps:spPr bwMode="auto">
                            <a:xfrm>
                              <a:off x="1017644" y="1213187"/>
                              <a:ext cx="498" cy="93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1" name="AutoShape 31"/>
                          <wps:cNvCnPr>
                            <a:cxnSpLocks noChangeShapeType="1"/>
                          </wps:cNvCnPr>
                          <wps:spPr bwMode="auto">
                            <a:xfrm flipH="1">
                              <a:off x="972755" y="1213187"/>
                              <a:ext cx="499" cy="9144"/>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2" name="AutoShape 32"/>
                          <wps:cNvSpPr>
                            <a:spLocks noChangeArrowheads="1"/>
                          </wps:cNvSpPr>
                          <wps:spPr bwMode="auto">
                            <a:xfrm>
                              <a:off x="1030287" y="1207090"/>
                              <a:ext cx="9098" cy="4821"/>
                            </a:xfrm>
                            <a:prstGeom prst="leftArrow">
                              <a:avLst>
                                <a:gd name="adj1" fmla="val 50000"/>
                                <a:gd name="adj2" fmla="val 47179"/>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3" name="AutoShape 33"/>
                          <wps:cNvSpPr>
                            <a:spLocks noChangeArrowheads="1"/>
                          </wps:cNvSpPr>
                          <wps:spPr bwMode="auto">
                            <a:xfrm>
                              <a:off x="1030695" y="1222248"/>
                              <a:ext cx="10724" cy="5115"/>
                            </a:xfrm>
                            <a:prstGeom prst="leftArrow">
                              <a:avLst>
                                <a:gd name="adj1" fmla="val 50000"/>
                                <a:gd name="adj2" fmla="val 69560"/>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4" name="AutoShape 34"/>
                          <wps:cNvSpPr>
                            <a:spLocks noChangeArrowheads="1"/>
                          </wps:cNvSpPr>
                          <wps:spPr bwMode="auto">
                            <a:xfrm>
                              <a:off x="1030695" y="1231372"/>
                              <a:ext cx="9406" cy="4821"/>
                            </a:xfrm>
                            <a:prstGeom prst="leftArrow">
                              <a:avLst>
                                <a:gd name="adj1" fmla="val 50000"/>
                                <a:gd name="adj2" fmla="val 48776"/>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369" name="Text Box 369"/>
                        <wps:cNvSpPr txBox="1">
                          <a:spLocks noChangeArrowheads="1"/>
                        </wps:cNvSpPr>
                        <wps:spPr bwMode="auto">
                          <a:xfrm>
                            <a:off x="5645888" y="2441965"/>
                            <a:ext cx="1183005" cy="5718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B39765" w14:textId="0EA7CCF2" w:rsidR="00C8402C" w:rsidRPr="00A444E2" w:rsidRDefault="00C8402C" w:rsidP="003509D5">
                              <w:pPr>
                                <w:widowControl w:val="0"/>
                                <w:spacing w:after="0"/>
                                <w:jc w:val="center"/>
                                <w:rPr>
                                  <w:b/>
                                  <w:bCs/>
                                  <w:sz w:val="22"/>
                                  <w:szCs w:val="24"/>
                                </w:rPr>
                              </w:pPr>
                              <w:r w:rsidRPr="00A444E2">
                                <w:rPr>
                                  <w:b/>
                                  <w:bCs/>
                                  <w:sz w:val="22"/>
                                  <w:szCs w:val="24"/>
                                </w:rPr>
                                <w:t>Follow-up phase</w:t>
                              </w:r>
                            </w:p>
                          </w:txbxContent>
                        </wps:txbx>
                        <wps:bodyPr rot="0" vert="horz" wrap="square" lIns="36576" tIns="36576" rIns="36576" bIns="36576" anchor="ctr" anchorCtr="0" upright="1">
                          <a:noAutofit/>
                        </wps:bodyPr>
                      </wps:wsp>
                      <wps:wsp>
                        <wps:cNvPr id="371" name="AutoShape 21"/>
                        <wps:cNvSpPr>
                          <a:spLocks/>
                        </wps:cNvSpPr>
                        <wps:spPr bwMode="auto">
                          <a:xfrm>
                            <a:off x="5355037" y="2468304"/>
                            <a:ext cx="190162" cy="545538"/>
                          </a:xfrm>
                          <a:prstGeom prst="rightBrace">
                            <a:avLst>
                              <a:gd name="adj1" fmla="val 18103"/>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28C37" id="Group 372" o:spid="_x0000_s1155" style="position:absolute;margin-left:-4pt;margin-top:20.75pt;width:439.95pt;height:237.2pt;z-index:251660288;mso-width-relative:margin;mso-height-relative:margin" coordorigin=",-3" coordsize="6828916,3013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">
                <v:group id="Group 332" o:spid="_x0000_s1156" style="position:absolute;top:-3;width:6828916;height:3013845" coordorigin="961537,1183386" coordsize="134940,585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roundrect id="AutoShape 3" o:spid="_x0000_s1157" style="position:absolute;left:981158;top:1183386;width:28610;height:635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si3GwgAA&#10;ANwAAAAPAAAAZHJzL2Rvd25yZXYueG1sRI9Ba8JAFITvhf6H5RV6qxsNtBpdpbWk9FoVz4/sM4lm&#10;34bdZ0z/fbdQ6HGYmW+Y1WZ0nRooxNazgekkA0VcedtybeCwL5/moKIgW+w8k4FvirBZ39+tsLD+&#10;xl807KRWCcKxQAONSF9oHauGHMaJ74mTd/LBoSQZam0D3hLcdXqWZc/aYctpocGetg1Vl93VGbi+&#10;yOJ4fC/bDwnD2xlLrqacG/P4ML4uQQmN8h/+a39aA3mew++ZdAT0+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yLcbCAAAA3AAAAA8AAAAAAAAAAAAAAAAAlwIAAGRycy9kb3du&#10;cmV2LnhtbFBLBQYAAAAABAAEAPUAAACGAwAAAAA=&#10;" fillcolor="#ffc000" strokecolor="black [0]" strokeweight="2pt">
                    <v:shadow color="#eeece1" opacity="1" mv:blur="0" offset="2pt,2pt"/>
                    <v:textbox inset="2.88pt,2.88pt,2.88pt,2.88pt">
                      <w:txbxContent>
                        <w:p w14:paraId="6C277FC4" w14:textId="77777777" w:rsidR="00C8402C" w:rsidRPr="00950528" w:rsidRDefault="00C8402C" w:rsidP="003509D5">
                          <w:pPr>
                            <w:widowControl w:val="0"/>
                            <w:jc w:val="center"/>
                            <w:rPr>
                              <w:color w:val="000000" w:themeColor="text1"/>
                              <w:szCs w:val="24"/>
                            </w:rPr>
                          </w:pPr>
                          <w:r w:rsidRPr="00950528">
                            <w:rPr>
                              <w:color w:val="000000" w:themeColor="text1"/>
                              <w:szCs w:val="24"/>
                            </w:rPr>
                            <w:t>Teacher training</w:t>
                          </w:r>
                        </w:p>
                      </w:txbxContent>
                    </v:textbox>
                  </v:roundrect>
                  <v:roundrect id="AutoShape 4" o:spid="_x0000_s1158" style="position:absolute;left:961537;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7WywwAA&#10;ANwAAAAPAAAAZHJzL2Rvd25yZXYueG1sRI/NbsIwEITvlfoO1lbqrTg0qC0Bg/qjoF6hFedVvCSh&#10;8Tqyl5C+PUaq1ONoZr7RLNej69RAIbaeDUwnGSjiytuWawPfX+XDC6goyBY7z2TglyKsV7c3Syys&#10;P/OWhp3UKkE4FmigEekLrWPVkMM48T1x8g4+OJQkQ61twHOCu04/ZtmTdthyWmiwp/eGqp/dyRk4&#10;Pct8v/8o242E4e2IJVdTzo25vxtfF6CERvkP/7U/rYE8n8H1TDoCe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W7WywwAAANwAAAAPAAAAAAAAAAAAAAAAAJcCAABkcnMvZG93&#10;bnJldi54bWxQSwUGAAAAAAQABAD1AAAAhwMAAAAA&#10;" fillcolor="#ffc000" strokecolor="black [0]" strokeweight="2pt">
                    <v:shadow color="#eeece1" opacity="1" mv:blur="0" offset="2pt,2pt"/>
                    <v:textbox inset="2.88pt,2.88pt,2.88pt,2.88pt">
                      <w:txbxContent>
                        <w:p w14:paraId="425D7E6F"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BPF</w:t>
                          </w:r>
                        </w:p>
                      </w:txbxContent>
                    </v:textbox>
                  </v:roundrect>
                  <v:roundrect id="AutoShape 5" o:spid="_x0000_s1159" style="position:absolute;left:1006495;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xApwwAA&#10;ANwAAAAPAAAAZHJzL2Rvd25yZXYueG1sRI/NbsIwEITvlfoO1lbqrTg0oi0Bg/qjoF6hFedVvCSh&#10;8Tqyl5C+PUaq1ONoZr7RLNej69RAIbaeDUwnGSjiytuWawPfX+XDC6goyBY7z2TglyKsV7c3Syys&#10;P/OWhp3UKkE4FmigEekLrWPVkMM48T1x8g4+OJQkQ61twHOCu04/ZtmTdthyWmiwp/eGqp/dyRk4&#10;Pct8v/8o242E4e2IJVdTzo25vxtfF6CERvkP/7U/rYE8n8H1TDoCe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xApwwAAANwAAAAPAAAAAAAAAAAAAAAAAJcCAABkcnMvZG93&#10;bnJldi54bWxQSwUGAAAAAAQABAD1AAAAhwMAAAAA&#10;" fillcolor="#ffc000" strokecolor="black [0]" strokeweight="2pt">
                    <v:shadow color="#eeece1" opacity="1" mv:blur="0" offset="2pt,2pt"/>
                    <v:textbox inset="2.88pt,2.88pt,2.88pt,2.88pt">
                      <w:txbxContent>
                        <w:p w14:paraId="17C84876"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SRL</w:t>
                          </w:r>
                        </w:p>
                      </w:txbxContent>
                    </v:textbox>
                  </v:roundrect>
                  <v:roundrect id="AutoShape 6" o:spid="_x0000_s1160" style="position:absolute;left:971205;top:1206323;width:48498;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Y5ewgAA&#10;ANwAAAAPAAAAZHJzL2Rvd25yZXYueG1sRI9BS8NAFITvBf/D8gRv7aYGqsZui7akeDWVnh/ZZxLN&#10;vg27r2n8911B8DjMzDfMeju5Xo0UYufZwHKRgSKuve24MfBxLOePoKIgW+w9k4EfirDd3MzWWFh/&#10;4XcaK2lUgnAs0EArMhRax7olh3HhB+LkffrgUJIMjbYBLwnuen2fZSvtsOO00OJAu5bq7+rsDJwf&#10;5Ol02pfdQcL4+oUl10vOjbm7nV6eQQlN8h/+a79ZA3m+gt8z6Qjoz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Fjl7CAAAA3AAAAA8AAAAAAAAAAAAAAAAAlwIAAGRycy9kb3du&#10;cmV2LnhtbFBLBQYAAAAABAAEAPUAAACGAwAAAAA=&#10;" fillcolor="#ffc000" strokecolor="black [0]" strokeweight="2pt">
                    <v:shadow color="#eeece1" opacity="1" mv:blur="0" offset="2pt,2pt"/>
                    <v:textbox inset="2.88pt,2.88pt,2.88pt,2.88pt">
                      <w:txbxContent>
                        <w:p w14:paraId="79908C10" w14:textId="77777777" w:rsidR="00C8402C" w:rsidRPr="00950528" w:rsidRDefault="00C8402C" w:rsidP="003509D5">
                          <w:pPr>
                            <w:widowControl w:val="0"/>
                            <w:jc w:val="center"/>
                            <w:rPr>
                              <w:color w:val="000000" w:themeColor="text1"/>
                              <w:szCs w:val="24"/>
                            </w:rPr>
                          </w:pPr>
                          <w:r w:rsidRPr="00950528">
                            <w:rPr>
                              <w:color w:val="000000" w:themeColor="text1"/>
                              <w:szCs w:val="24"/>
                            </w:rPr>
                            <w:t>2nd year medical students</w:t>
                          </w:r>
                        </w:p>
                      </w:txbxContent>
                    </v:textbox>
                  </v:roundrect>
                  <v:roundrect id="AutoShape 7" o:spid="_x0000_s1161" style="position:absolute;left:961537;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SvFwwAA&#10;ANwAAAAPAAAAZHJzL2Rvd25yZXYueG1sRI9fa8JAEMTfC/0Oxxb6Vi82oDV6Sv+Q4mu1+Lzk1iQ2&#10;txfu1ph++54g9HGYmd8wq83oOjVQiK1nA9NJBoq48rbl2sD3vnx6ARUF2WLnmQz8UoTN+v5uhYX1&#10;F/6iYSe1ShCOBRpoRPpC61g15DBOfE+cvKMPDiXJUGsb8JLgrtPPWTbTDltOCw329N5Q9bM7OwPn&#10;uSwOh4+y/ZQwvJ2w5GrKuTGPD+PrEpTQKP/hW3trDeT5HK5n0hH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SvFwwAAANwAAAAPAAAAAAAAAAAAAAAAAJcCAABkcnMvZG93&#10;bnJldi54bWxQSwUGAAAAAAQABAD1AAAAhwMAAAAA&#10;" fillcolor="#ffc000" strokecolor="black [0]" strokeweight="2pt">
                    <v:shadow color="#eeece1" opacity="1" mv:blur="0" offset="2pt,2pt"/>
                    <v:textbox inset="2.88pt,2.88pt,2.88pt,2.88pt">
                      <w:txbxContent>
                        <w:p w14:paraId="395A40AB"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BPF</w:t>
                          </w:r>
                        </w:p>
                      </w:txbxContent>
                    </v:textbox>
                  </v:roundrect>
                  <v:roundrect id="AutoShape 8" o:spid="_x0000_s1162" style="position:absolute;left:1006495;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r+3vwAA&#10;ANwAAAAPAAAAZHJzL2Rvd25yZXYueG1sRE9La8JAEL4L/Q/LFLzpxgb6SF2lVVK8VovnITsmsdnZ&#10;sDvG+O+7h4LHj++9XI+uUwOF2Ho2sJhnoIgrb1uuDfwcytkrqCjIFjvPZOBGEdarh8kSC+uv/E3D&#10;XmqVQjgWaKAR6QutY9WQwzj3PXHiTj44lARDrW3Aawp3nX7KsmftsOXU0GBPm4aq3/3FGbi8yNvx&#10;uC3bLwnD5xlLrhacGzN9HD/eQQmNchf/u3fWQJ6ntelMOgJ6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IWv7e/AAAA3AAAAA8AAAAAAAAAAAAAAAAAlwIAAGRycy9kb3ducmV2&#10;LnhtbFBLBQYAAAAABAAEAPUAAACDAwAAAAA=&#10;" fillcolor="#ffc000" strokecolor="black [0]" strokeweight="2pt">
                    <v:shadow color="#eeece1" opacity="1" mv:blur="0" offset="2pt,2pt"/>
                    <v:textbox inset="2.88pt,2.88pt,2.88pt,2.88pt">
                      <w:txbxContent>
                        <w:p w14:paraId="566FA787" w14:textId="77777777" w:rsidR="00C8402C" w:rsidRPr="00950528" w:rsidRDefault="00C8402C" w:rsidP="003509D5">
                          <w:pPr>
                            <w:widowControl w:val="0"/>
                            <w:jc w:val="center"/>
                            <w:rPr>
                              <w:b/>
                              <w:bCs/>
                              <w:color w:val="000000" w:themeColor="text1"/>
                              <w:szCs w:val="24"/>
                            </w:rPr>
                          </w:pPr>
                          <w:r w:rsidRPr="00950528">
                            <w:rPr>
                              <w:b/>
                              <w:bCs/>
                              <w:color w:val="000000" w:themeColor="text1"/>
                              <w:szCs w:val="24"/>
                            </w:rPr>
                            <w:t>SRL</w:t>
                          </w:r>
                        </w:p>
                      </w:txbxContent>
                    </v:textbox>
                  </v:roundrect>
                  <v:shape id="Text Box 9" o:spid="_x0000_s1163" type="#_x0000_t202" style="position:absolute;left:1074221;top:1200968;width:22256;height:9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gVXxQAA&#10;ANwAAAAPAAAAZHJzL2Rvd25yZXYueG1sRI/dagIxFITvC75DOELvNKsu/dkaRUSlCFK67QOcbk43&#10;q5uTJUl1+/amIPRymJlvmPmyt604kw+NYwWTcQaCuHK64VrB58d29AQiRGSNrWNS8EsBlovB3RwL&#10;7S78Tucy1iJBOBSowMTYFVKGypDFMHYdcfK+nbcYk/S11B4vCW5bOc2yB2mx4bRgsKO1oepU/lgF&#10;m4m3uzI/HPMv87j30+rtKHOp1P2wX72AiNTH//Ct/aoVzGbP8Hc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iBVfFAAAA3AAAAA8AAAAAAAAAAAAAAAAAlwIAAGRycy9k&#10;b3ducmV2LnhtbFBLBQYAAAAABAAEAPUAAACJAwAAAAA=&#10;" filled="f" stroked="f" strokecolor="black [0]" strokeweight="2pt">
                    <v:textbox inset="2.88pt,2.88pt,2.88pt,2.88pt">
                      <w:txbxContent>
                        <w:p w14:paraId="147AC3DB" w14:textId="77777777" w:rsidR="00C8402C" w:rsidRPr="003509D5" w:rsidRDefault="00C8402C" w:rsidP="003509D5">
                          <w:pPr>
                            <w:widowControl w:val="0"/>
                            <w:spacing w:after="0"/>
                            <w:jc w:val="center"/>
                            <w:rPr>
                              <w:bCs/>
                              <w:szCs w:val="24"/>
                            </w:rPr>
                          </w:pPr>
                          <w:r w:rsidRPr="003509D5">
                            <w:rPr>
                              <w:bCs/>
                              <w:szCs w:val="24"/>
                            </w:rPr>
                            <w:t>Intervention phase</w:t>
                          </w:r>
                        </w:p>
                      </w:txbxContent>
                    </v:textbox>
                  </v:shape>
                  <v:shape id="Text Box 10" o:spid="_x0000_s1164" type="#_x0000_t202" style="position:absolute;left:1039750;top:1206323;width:27082;height:5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FMUwgAA&#10;ANwAAAAPAAAAZHJzL2Rvd25yZXYueG1sRE/LisIwFN0L/kO4gjtN1UGkY1oGUXHhZnwg7i7NnbZM&#10;c1ObWOt8/WQhuDyc9zLtTCVaalxpWcFkHIEgzqwuOVdwOm5GCxDOI2usLJOCJzlIk35vibG2D/6m&#10;9uBzEULYxaig8L6OpXRZQQbd2NbEgfuxjUEfYJNL3eAjhJtKTqNoLg2WHBoKrGlVUPZ7uBsF89PF&#10;3K7T1vm/9fZ8xTzbue1eqeGg+/oE4anzb/HLvdMKZh9hfjgTjoBM/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oUxTCAAAA3AAAAA8AAAAAAAAAAAAAAAAAlwIAAGRycy9kb3du&#10;cmV2LnhtbFBLBQYAAAAABAAEAPUAAACGAwAAAAA=&#10;" stroked="f" strokecolor="black [0]" strokeweight="2pt">
                    <v:textbox inset="2.88pt,2.88pt,2.88pt,2.88pt">
                      <w:txbxContent>
                        <w:p w14:paraId="44B86BEB" w14:textId="44EB5378" w:rsidR="00C8402C" w:rsidRPr="00950528" w:rsidRDefault="00C8402C" w:rsidP="003509D5">
                          <w:pPr>
                            <w:widowControl w:val="0"/>
                            <w:spacing w:after="0"/>
                            <w:jc w:val="center"/>
                            <w:rPr>
                              <w:color w:val="000000" w:themeColor="text1"/>
                              <w:sz w:val="22"/>
                              <w:szCs w:val="24"/>
                            </w:rPr>
                          </w:pPr>
                          <w:r w:rsidRPr="00950528">
                            <w:rPr>
                              <w:color w:val="000000" w:themeColor="text1"/>
                              <w:sz w:val="22"/>
                              <w:szCs w:val="24"/>
                            </w:rPr>
                            <w:t>Questionnaires 1</w:t>
                          </w:r>
                        </w:p>
                      </w:txbxContent>
                    </v:textbox>
                  </v:shape>
                  <v:shape id="Text Box 11" o:spid="_x0000_s1165" type="#_x0000_t202" style="position:absolute;left:1040430;top:1230814;width:26998;height:5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PaPxgAA&#10;ANwAAAAPAAAAZHJzL2Rvd25yZXYueG1sRI9Ba8JAFITvgv9heYK3ZqMtItFViqjk0EvVUnJ7ZJ9J&#10;aPZtzG6T2F/fLRQ8DjPzDbPeDqYWHbWusqxgFsUgiHOrKy4UXM6HpyUI55E11pZJwZ0cbDfj0RoT&#10;bXt+p+7kCxEg7BJUUHrfJFK6vCSDLrINcfCutjXog2wLqVvsA9zUch7HC2mw4rBQYkO7kvKv07dR&#10;sLh8mls275z/2R8/Mizy1B3flJpOhtcVCE+Df4T/26lW8Pwyg7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5PaPxgAAANwAAAAPAAAAAAAAAAAAAAAAAJcCAABkcnMv&#10;ZG93bnJldi54bWxQSwUGAAAAAAQABAD1AAAAigMAAAAA&#10;" stroked="f" strokecolor="black [0]" strokeweight="2pt">
                    <v:textbox inset="2.88pt,2.88pt,2.88pt,2.88pt">
                      <w:txbxContent>
                        <w:p w14:paraId="7210FB86" w14:textId="2051DCF9" w:rsidR="00C8402C" w:rsidRPr="00950528" w:rsidRDefault="00C8402C" w:rsidP="003509D5">
                          <w:pPr>
                            <w:widowControl w:val="0"/>
                            <w:spacing w:after="0"/>
                            <w:jc w:val="center"/>
                            <w:rPr>
                              <w:color w:val="000000" w:themeColor="text1"/>
                              <w:sz w:val="22"/>
                              <w:szCs w:val="24"/>
                            </w:rPr>
                          </w:pPr>
                          <w:r w:rsidRPr="00950528">
                            <w:rPr>
                              <w:color w:val="000000" w:themeColor="text1"/>
                              <w:sz w:val="22"/>
                              <w:szCs w:val="24"/>
                            </w:rPr>
                            <w:t>Questionnaires 2</w:t>
                          </w:r>
                        </w:p>
                      </w:txbxContent>
                    </v:textbox>
                  </v:shape>
                  <v:shape id="Text Box 12" o:spid="_x0000_s1166" type="#_x0000_t202" style="position:absolute;left:1039385;top:1220482;width:27367;height:9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mj4xAAA&#10;ANwAAAAPAAAAZHJzL2Rvd25yZXYueG1sRI9Pi8IwFMTvC36H8IS9ralVRKpRRFQ8ePEf4u3RPNti&#10;81KbWLv76TfCwh6HmfkNM523phQN1a6wrKDfi0AQp1YXnCk4HddfYxDOI2ssLZOCb3Iwn3U+ppho&#10;++I9NQefiQBhl6CC3PsqkdKlORl0PVsRB+9ma4M+yDqTusZXgJtSxlE0kgYLDgs5VrTMKb0fnkbB&#10;6HQxj2vcOP+z2pyvmKVbt9kp9dltFxMQnlr/H/5rb7WCwTCG95lwBO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Zo+MQAAADcAAAADwAAAAAAAAAAAAAAAACXAgAAZHJzL2Rv&#10;d25yZXYueG1sUEsFBgAAAAAEAAQA9QAAAIgDAAAAAA==&#10;" stroked="f" strokecolor="black [0]" strokeweight="2pt">
                    <v:textbox inset="2.88pt,2.88pt,2.88pt,2.88pt">
                      <w:txbxContent>
                        <w:p w14:paraId="108E25C4" w14:textId="77777777" w:rsidR="00C8402C" w:rsidRPr="00950528" w:rsidRDefault="00C8402C" w:rsidP="003509D5">
                          <w:pPr>
                            <w:widowControl w:val="0"/>
                            <w:spacing w:after="0"/>
                            <w:jc w:val="center"/>
                            <w:rPr>
                              <w:color w:val="000000" w:themeColor="text1"/>
                              <w:szCs w:val="24"/>
                            </w:rPr>
                          </w:pPr>
                          <w:r w:rsidRPr="00950528">
                            <w:rPr>
                              <w:color w:val="000000" w:themeColor="text1"/>
                              <w:szCs w:val="24"/>
                            </w:rPr>
                            <w:t>Teaching and feedback</w:t>
                          </w:r>
                        </w:p>
                      </w:txbxContent>
                    </v:textbox>
                  </v:shape>
                  <v:roundrect id="AutoShape 16" o:spid="_x0000_s1167" style="position:absolute;left:971625;top:1234920;width:48498;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ImSxgAA&#10;ANwAAAAPAAAAZHJzL2Rvd25yZXYueG1sRI9Pa8JAFMTvBb/D8oReim5si0p0E0qhthepfw/eHtln&#10;Npp9G7Jbjd++KxR6HGbmN8w872wtLtT6yrGC0TABQVw4XXGpYLf9GExB+ICssXZMCm7kIc96D3NM&#10;tbvymi6bUIoIYZ+iAhNCk0rpC0MW/dA1xNE7utZiiLItpW7xGuG2ls9JMpYWK44LBht6N1ScNz9W&#10;wWl5o9EiefqWe3mY+EUoPydmpdRjv3ubgQjUhf/wX/tLK3h5HcP9TDw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YImSxgAAANwAAAAPAAAAAAAAAAAAAAAAAJcCAABkcnMv&#10;ZG93bnJldi54bWxQSwUGAAAAAAQABAD1AAAAigMAAAAA&#10;" fillcolor="#92d050" strokecolor="black [0]" strokeweight="2pt">
                    <v:shadow color="#eeece1" opacity="1" mv:blur="0" offset="2pt,2pt"/>
                    <v:textbox inset="2.88pt,2.88pt,2.88pt,2.88pt">
                      <w:txbxContent>
                        <w:p w14:paraId="42B44B25" w14:textId="32EC5D88" w:rsidR="00C8402C" w:rsidRPr="00A771E3" w:rsidRDefault="00C8402C" w:rsidP="003509D5">
                          <w:pPr>
                            <w:widowControl w:val="0"/>
                            <w:jc w:val="center"/>
                            <w:rPr>
                              <w:b/>
                              <w:szCs w:val="24"/>
                            </w:rPr>
                          </w:pPr>
                          <w:r w:rsidRPr="00A771E3">
                            <w:rPr>
                              <w:b/>
                              <w:szCs w:val="24"/>
                            </w:rPr>
                            <w:t>Teacher interviews</w:t>
                          </w:r>
                        </w:p>
                      </w:txbxContent>
                    </v:textbox>
                  </v:roundre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168" type="#_x0000_t88" style="position:absolute;left:1067353;top:1183386;width:5399;height:449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iMnxAAA&#10;ANwAAAAPAAAAZHJzL2Rvd25yZXYueG1sRI/BasMwEETvgf6D2EJviZyEJsaxHEKgxLfStJfettZa&#10;NrZWxlId9++rQiHHYWbeMPlxtr2YaPStYwXrVQKCuHK6ZaPg4/1lmYLwAVlj75gU/JCHY/GwyDHT&#10;7sZvNF2DERHCPkMFTQhDJqWvGrLoV24gjl7tRoshytFIPeItwm0vN0mykxZbjgsNDnRuqOqu31aB&#10;mepXXe6T8PlVl11XXtK96VKlnh7n0wFEoDncw//tUivYPm/g70w8Ar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YjJ8QAAADcAAAADwAAAAAAAAAAAAAAAACXAgAAZHJzL2Rv&#10;d25yZXYueG1sUEsFBgAAAAAEAAQA9QAAAIgDAAAAAA==&#10;" filled="t" strokecolor="black [0]" strokeweight="2pt">
                    <v:shadow color="#eeece1" opacity="1" mv:blur="0" offset="2pt,2pt"/>
                    <v:textbox inset="2.88pt,2.88pt,2.88pt,2.88pt"/>
                  </v:shape>
                  <v:shape id="AutoShape 26" o:spid="_x0000_s1169" type="#_x0000_t32" style="position:absolute;left:995365;top:1189578;width:22611;height:59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wvfsQAAADcAAAADwAAAGRycy9kb3ducmV2LnhtbESPQWvCQBSE74L/YXmF3nSjrVKiq0ir&#10;tcfG9qC3R/aZhGbfht01if/eFQoeh5n5hlmue1OLlpyvLCuYjBMQxLnVFRcKfn92ozcQPiBrrC2T&#10;git5WK+GgyWm2nacUXsIhYgQ9ikqKENoUil9XpJBP7YNcfTO1hkMUbpCaoddhJtaTpNkLg1WHBdK&#10;bOi9pPzvcDEKZh+Z8Z/HrDV6Wu3d9tRtXyffSj0/9ZsFiEB9eIT/219awctsDvcz8QjI1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PC9+xAAAANwAAAAPAAAAAAAAAAAA&#10;AAAAAKECAABkcnMvZG93bnJldi54bWxQSwUGAAAAAAQABAD5AAAAkgMAAAAA&#10;" strokecolor="black [0]" strokeweight="2pt">
                    <v:stroke endarrow="block"/>
                    <v:shadow color="#eeece1" opacity="1" mv:blur="0" offset="2pt,2pt"/>
                  </v:shape>
                  <v:shape id="AutoShape 27" o:spid="_x0000_s1170" type="#_x0000_t32" style="position:absolute;left:972921;top:1189578;width:22777;height:598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qe4sMAAADcAAAADwAAAGRycy9kb3ducmV2LnhtbESPX2vCMBTF3wd+h3CFvc3EyTappkVk&#10;jr0Im4r4eGmubbC5qU3U7tsvwmCPh/Pnx5kXvWvElbpgPWsYjxQI4tIby5WG3Xb1NAURIrLBxjNp&#10;+KEART54mGNm/I2/6bqJlUgjHDLUUMfYZlKGsiaHYeRb4uQdfecwJtlV0nR4S+Oukc9KvUqHlhOh&#10;xpaWNZWnzcUlrnKXM62VxbP9OlTv1h38x17rx2G/mIGI1Mf/8F/702iYvLzB/Uw6Aj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06nuLDAAAA3AAAAA8AAAAAAAAAAAAA&#10;AAAAoQIAAGRycy9kb3ducmV2LnhtbFBLBQYAAAAABAAEAPkAAACRAwAAAAA=&#10;" strokecolor="black [0]" strokeweight="2pt">
                    <v:stroke endarrow="block"/>
                    <v:shadow color="#eeece1" opacity="1" mv:blur="0" offset="2pt,2pt"/>
                  </v:shape>
                  <v:shape id="AutoShape 28" o:spid="_x0000_s1171" type="#_x0000_t32" style="position:absolute;left:1017477;top:1202048;width:0;height:41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el8IAAADcAAAADwAAAGRycy9kb3ducmV2LnhtbERPPW/CMBDdK/EfrEPqVhxoQVWIg1AL&#10;bUcCHdrtFB9JRHyObJOEf4+HSh2f3ne2GU0renK+saxgPktAEJdWN1wp+D7tn15B+ICssbVMCm7k&#10;YZNPHjJMtR24oP4YKhFD2KeooA6hS6X0ZU0G/cx2xJE7W2cwROgqqR0OMdy0cpEkK2mw4dhQY0dv&#10;NZWX49UoWL4Xxn/8FL3Ri+bT7X6H3cv8oNTjdNyuQQQaw7/4z/2lFTwv49p4Jh4Bmd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8el8IAAADcAAAADwAAAAAAAAAAAAAA&#10;AAChAgAAZHJzL2Rvd25yZXYueG1sUEsFBgAAAAAEAAQA+QAAAJADAAAAAA==&#10;" strokecolor="black [0]" strokeweight="2pt">
                    <v:stroke endarrow="block"/>
                    <v:shadow color="#eeece1" opacity="1" mv:blur="0" offset="2pt,2pt"/>
                  </v:shape>
                  <v:shape id="AutoShape 29" o:spid="_x0000_s1172" type="#_x0000_t32" style="position:absolute;left:973087;top:1202048;width:0;height:39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O7DMUAAADcAAAADwAAAGRycy9kb3ducmV2LnhtbESPwW7CMBBE75X4B2uRuIEDlKqkGFQB&#10;pRwbygFuq3ibRI3Xke0m6d/jSkg9jmbmjWa16U0tWnK+sqxgOklAEOdWV1woOH++jZ9B+ICssbZM&#10;Cn7Jw2Y9eFhhqm3HGbWnUIgIYZ+igjKEJpXS5yUZ9BPbEEfvyzqDIUpXSO2wi3BTy1mSPEmDFceF&#10;EhvalpR/n36MgsUuM/5wyVqjZ9W721+7/eP0Q6nRsH99ARGoD//he/uoFcwXS/g7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O7DMUAAADcAAAADwAAAAAAAAAA&#10;AAAAAAChAgAAZHJzL2Rvd25yZXYueG1sUEsFBgAAAAAEAAQA+QAAAJMDAAAAAA==&#10;" strokecolor="black [0]" strokeweight="2pt">
                    <v:stroke endarrow="block"/>
                    <v:shadow color="#eeece1" opacity="1" mv:blur="0" offset="2pt,2pt"/>
                  </v:shape>
                  <v:shape id="AutoShape 30" o:spid="_x0000_s1173" type="#_x0000_t32" style="position:absolute;left:1017644;top:1213187;width:498;height:9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YLMIAAADcAAAADwAAAGRycy9kb3ducmV2LnhtbERPPW/CMBDdK/EfrEPqVhxoi6oQB6EW&#10;2o4EOrTbKT6SiPgc2SYJ/x4PlRif3ne2Hk0renK+saxgPktAEJdWN1wp+Dnunt5A+ICssbVMCq7k&#10;YZ1PHjJMtR24oP4QKhFD2KeooA6hS6X0ZU0G/cx2xJE7WWcwROgqqR0OMdy0cpEkS2mw4dhQY0fv&#10;NZXnw8UoeP0ojP/8LXqjF82X2/4N25f5XqnH6bhZgQg0hrv43/2tFTwv4/x4Jh4Bm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XYLMIAAADcAAAADwAAAAAAAAAAAAAA&#10;AAChAgAAZHJzL2Rvd25yZXYueG1sUEsFBgAAAAAEAAQA+QAAAJADAAAAAA==&#10;" strokecolor="black [0]" strokeweight="2pt">
                    <v:stroke endarrow="block"/>
                    <v:shadow color="#eeece1" opacity="1" mv:blur="0" offset="2pt,2pt"/>
                  </v:shape>
                  <v:shape id="AutoShape 31" o:spid="_x0000_s1174" type="#_x0000_t32" style="position:absolute;left:972755;top:1213187;width:499;height:914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psMEAAADcAAAADwAAAGRycy9kb3ducmV2LnhtbESPzWoCMRSF9wXfIVzBXU1UkDIaRUTF&#10;jWBtEZeXyXUmOLkZJ1HHtzdCocvD+fk403nrKnGnJljPGgZ9BYI498ZyoeH3Z/35BSJEZIOVZ9Lw&#10;pADzWedjipnxD/6m+yEWIo1wyFBDGWOdSRnykhyGvq+Jk3f2jcOYZFNI0+AjjbtKDpUaS4eWE6HE&#10;mpYl5ZfDzSWucrcr7ZTFq92fipV1J785at3rtosJiEht/A//tbdGw2g8gPeZdATk7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82mwwQAAANwAAAAPAAAAAAAAAAAAAAAA&#10;AKECAABkcnMvZG93bnJldi54bWxQSwUGAAAAAAQABAD5AAAAjwMAAAAA&#10;" strokecolor="black [0]" strokeweight="2pt">
                    <v:stroke endarrow="block"/>
                    <v:shadow color="#eeece1" opacity="1" mv:blur="0" offset="2pt,2pt"/>
                  </v:shape>
                  <v:shape id="AutoShape 32" o:spid="_x0000_s1175" type="#_x0000_t66" style="position:absolute;left:1030287;top:1207090;width:9098;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aSxAAA&#10;ANwAAAAPAAAAZHJzL2Rvd25yZXYueG1sRI9Pi8IwFMTvwn6H8Ba8aeq/IrWpLCuCBz3oCuvx0Tzb&#10;7jYvpYlav70RBI/DzPyGSZedqcWVWldZVjAaRiCIc6srLhQcf9aDOQjnkTXWlknBnRwss49eiom2&#10;N97T9eALESDsElRQet8kUrq8JINuaBvi4J1ta9AH2RZSt3gLcFPLcRTF0mDFYaHEhr5Lyv8PF6Pg&#10;9Dvq6l01WR3/zHQ6s3fpt0Yq1f/svhYgPHX+HX61N1rBJB7D80w4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GksQAAADcAAAADwAAAAAAAAAAAAAAAACXAgAAZHJzL2Rv&#10;d25yZXYueG1sUEsFBgAAAAAEAAQA9QAAAIgDAAAAAA==&#10;" fillcolor="#ffc000" strokecolor="black [0]" strokeweight="2pt">
                    <v:shadow color="#eeece1" opacity="1" mv:blur="0" offset="2pt,2pt"/>
                    <v:textbox inset="2.88pt,2.88pt,2.88pt,2.88pt"/>
                  </v:shape>
                  <v:shape id="AutoShape 33" o:spid="_x0000_s1176" type="#_x0000_t66" style="position:absolute;left:1030695;top:1222248;width:10724;height: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vhmxQAA&#10;ANwAAAAPAAAAZHJzL2Rvd25yZXYueG1sRI9BawIxFITvhf6H8Aq9dbOtoLIaxRYKBRGpCnp8bp67&#10;i5uXbZKa7b83BcHjMDPfMNN5b1pxIecbywpesxwEcWl1w5WC3fbzZQzCB2SNrWVS8Ece5rPHhykW&#10;2kb+pssmVCJB2BeooA6hK6T0ZU0GfWY74uSdrDMYknSV1A5jgptWvuX5UBpsOC3U2NFHTeV582sU&#10;7F08vK/86vhzHBkb49LRul8q9fzULyYgAvXhHr61v7SCwXAA/2fSEZ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i+GbFAAAA3AAAAA8AAAAAAAAAAAAAAAAAlwIAAGRycy9k&#10;b3ducmV2LnhtbFBLBQYAAAAABAAEAPUAAACJAwAAAAA=&#10;" adj="7166" fillcolor="#ffc000" strokecolor="black [0]" strokeweight="2pt">
                    <v:shadow color="#eeece1" opacity="1" mv:blur="0" offset="2pt,2pt"/>
                    <v:textbox inset="2.88pt,2.88pt,2.88pt,2.88pt"/>
                  </v:shape>
                  <v:shape id="AutoShape 34" o:spid="_x0000_s1177" type="#_x0000_t66" style="position:absolute;left:1030695;top:1231372;width:9406;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ft9xAAA&#10;ANwAAAAPAAAAZHJzL2Rvd25yZXYueG1sRI9Ba8JAFITvgv9heUJvulHTIKmriKXgQQ+1AXt8ZF+T&#10;1OzbsLvV+O9dQehxmJlvmOW6N624kPONZQXTSQKCuLS64UpB8fUxXoDwAVlja5kU3MjDejUcLDHX&#10;9sqfdDmGSkQI+xwV1CF0uZS+rMmgn9iOOHo/1hkMUbpKaofXCDetnCVJJg02HBdq7GhbU3k+/hkF&#10;36dp3x6a+Xvxa9L01d5k2Bup1Muo37yBCNSH//CzvdMK5lkKjzPx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n7fcQAAADcAAAADwAAAAAAAAAAAAAAAACXAgAAZHJzL2Rv&#10;d25yZXYueG1sUEsFBgAAAAAEAAQA9QAAAIgDAAAAAA==&#10;" fillcolor="#ffc000" strokecolor="black [0]" strokeweight="2pt">
                    <v:shadow color="#eeece1" opacity="1" mv:blur="0" offset="2pt,2pt"/>
                    <v:textbox inset="2.88pt,2.88pt,2.88pt,2.88pt"/>
                  </v:shape>
                </v:group>
                <v:shape id="Text Box 369" o:spid="_x0000_s1178" type="#_x0000_t202" style="position:absolute;left:5645888;top:2441965;width:1183005;height:5718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Hs7xgAA&#10;ANwAAAAPAAAAZHJzL2Rvd25yZXYueG1sRI/dSgMxFITvhb5DOII3YrP2Z6nbpkUEqZQiuO0DHDen&#10;m7WbkzVJ2/XtjVDwcpiZb5jFqretOJMPjWMFj8MMBHHldMO1gv3u9WEGIkRkja1jUvBDAVbLwc0C&#10;C+0u/EHnMtYiQTgUqMDE2BVShsqQxTB0HXHyDs5bjEn6WmqPlwS3rRxlWS4tNpwWDHb0Yqg6lier&#10;4HN9b/RktP2afu+biefN+zTnk1J3t/3zHESkPv6Hr+03rWCcP8HfmXQ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pHs7xgAAANwAAAAPAAAAAAAAAAAAAAAAAJcCAABkcnMv&#10;ZG93bnJldi54bWxQSwUGAAAAAAQABAD1AAAAigMAAAAA&#10;" filled="f" stroked="f" strokecolor="black [0]" strokeweight="2pt">
                  <v:textbox inset="2.88pt,2.88pt,2.88pt,2.88pt">
                    <w:txbxContent>
                      <w:p w14:paraId="19B39765" w14:textId="0EA7CCF2" w:rsidR="00C8402C" w:rsidRPr="00A444E2" w:rsidRDefault="00C8402C" w:rsidP="003509D5">
                        <w:pPr>
                          <w:widowControl w:val="0"/>
                          <w:spacing w:after="0"/>
                          <w:jc w:val="center"/>
                          <w:rPr>
                            <w:b/>
                            <w:bCs/>
                            <w:sz w:val="22"/>
                            <w:szCs w:val="24"/>
                          </w:rPr>
                        </w:pPr>
                        <w:r w:rsidRPr="00A444E2">
                          <w:rPr>
                            <w:b/>
                            <w:bCs/>
                            <w:sz w:val="22"/>
                            <w:szCs w:val="24"/>
                          </w:rPr>
                          <w:t>Follow-up phase</w:t>
                        </w:r>
                      </w:p>
                    </w:txbxContent>
                  </v:textbox>
                </v:shape>
                <v:shape id="AutoShape 21" o:spid="_x0000_s1179" type="#_x0000_t88" style="position:absolute;left:5355037;top:2468304;width:190162;height:545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5FZxgAA&#10;ANwAAAAPAAAAZHJzL2Rvd25yZXYueG1sRI9Ba8JAFITvhf6H5RV6qxurVomuUioFD2Ib9eLtkX3N&#10;hmbfptk1Jv/eFYQeh5n5hlmsOluJlhpfOlYwHCQgiHOnSy4UHA+fLzMQPiBrrByTgp48rJaPDwtM&#10;tbtwRu0+FCJC2KeowIRQp1L63JBFP3A1cfR+XGMxRNkUUjd4iXBbydckeZMWS44LBmv6MJT/7s9W&#10;gfwrz+vZuOqLUz8xbvfdZtPtl1LPT937HESgLvyH7+2NVjCaDuF2Jh4B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45FZxgAAANwAAAAPAAAAAAAAAAAAAAAAAJcCAABkcnMv&#10;ZG93bnJldi54bWxQSwUGAAAAAAQABAD1AAAAigMAAAAA&#10;" adj="1363" strokecolor="black [0]" strokeweight="2pt">
                  <v:shadow color="#eeece1" opacity="1" mv:blur="0" offset="2pt,2pt"/>
                  <v:textbox inset="2.88pt,2.88pt,2.88pt,2.88pt"/>
                </v:shape>
                <w10:wrap type="topAndBottom"/>
              </v:group>
            </w:pict>
          </mc:Fallback>
        </mc:AlternateContent>
      </w:r>
    </w:p>
    <w:p w14:paraId="34BCDFFE" w14:textId="77777777" w:rsidR="00C93903" w:rsidRPr="00B56453" w:rsidRDefault="00C93903" w:rsidP="0070586E">
      <w:pPr>
        <w:rPr>
          <w:rFonts w:cs="Times New Roman"/>
        </w:rPr>
      </w:pPr>
    </w:p>
    <w:p w14:paraId="0B94872C" w14:textId="702A5220" w:rsidR="00C93903" w:rsidRPr="00B56453" w:rsidRDefault="00DD0B00" w:rsidP="00DD0B00">
      <w:pPr>
        <w:pStyle w:val="Caption"/>
      </w:pPr>
      <w:bookmarkStart w:id="284" w:name="_Toc500319547"/>
      <w:r w:rsidRPr="00B56453">
        <w:t>Figure B2.</w:t>
      </w:r>
      <w:r w:rsidR="00B021F6" w:rsidRPr="00B27F0B">
        <w:fldChar w:fldCharType="begin"/>
      </w:r>
      <w:r w:rsidR="00B021F6" w:rsidRPr="00B56453">
        <w:instrText xml:space="preserve"> SEQ Figure_B2. \* ARABIC </w:instrText>
      </w:r>
      <w:r w:rsidR="00B021F6" w:rsidRPr="00B27F0B">
        <w:fldChar w:fldCharType="separate"/>
      </w:r>
      <w:r w:rsidR="00E44881" w:rsidRPr="00B56453">
        <w:rPr>
          <w:noProof/>
        </w:rPr>
        <w:t>1</w:t>
      </w:r>
      <w:r w:rsidR="00B021F6" w:rsidRPr="00B27F0B">
        <w:rPr>
          <w:noProof/>
        </w:rPr>
        <w:fldChar w:fldCharType="end"/>
      </w:r>
      <w:r w:rsidRPr="00B56453">
        <w:t xml:space="preserve"> Flow diagram of study operations. Teacher interviews (green) in the follow-up phase are highlighted.</w:t>
      </w:r>
      <w:bookmarkEnd w:id="284"/>
    </w:p>
    <w:p w14:paraId="1E2E54EA" w14:textId="77777777" w:rsidR="00DD0B00" w:rsidRPr="00B56453" w:rsidRDefault="00DD0B00" w:rsidP="00026049">
      <w:pPr>
        <w:pStyle w:val="Normal1"/>
        <w:rPr>
          <w:lang w:val="en-GB"/>
        </w:rPr>
      </w:pPr>
    </w:p>
    <w:p w14:paraId="08AA61A7" w14:textId="77777777" w:rsidR="0049047B" w:rsidRPr="00B56453" w:rsidRDefault="0049047B" w:rsidP="00026049">
      <w:pPr>
        <w:pStyle w:val="Normal1"/>
        <w:rPr>
          <w:lang w:val="en-GB"/>
        </w:rPr>
      </w:pPr>
    </w:p>
    <w:p w14:paraId="17E48949" w14:textId="77777777" w:rsidR="00234E4A" w:rsidRPr="00B56453" w:rsidRDefault="00234E4A" w:rsidP="00026049">
      <w:pPr>
        <w:pStyle w:val="Normal1"/>
        <w:rPr>
          <w:lang w:val="en-GB"/>
        </w:rPr>
      </w:pPr>
    </w:p>
    <w:p w14:paraId="31CE6C36" w14:textId="2B53EFC6" w:rsidR="0070586E" w:rsidRPr="00B56453" w:rsidRDefault="0070586E" w:rsidP="00026049">
      <w:pPr>
        <w:pStyle w:val="Normal1"/>
        <w:rPr>
          <w:lang w:val="en-GB"/>
        </w:rPr>
      </w:pPr>
      <w:r w:rsidRPr="00B56453">
        <w:rPr>
          <w:lang w:val="en-GB"/>
        </w:rPr>
        <w:lastRenderedPageBreak/>
        <w:t xml:space="preserve">The design and methods of this </w:t>
      </w:r>
      <w:r w:rsidR="00C93903" w:rsidRPr="00B56453">
        <w:rPr>
          <w:lang w:val="en-GB"/>
        </w:rPr>
        <w:t>part of the study were pre-determined -</w:t>
      </w:r>
      <w:r w:rsidRPr="00B56453">
        <w:rPr>
          <w:lang w:val="en-GB"/>
        </w:rPr>
        <w:t xml:space="preserve"> outlined in</w:t>
      </w:r>
      <w:r w:rsidR="00C93903" w:rsidRPr="00B56453">
        <w:rPr>
          <w:lang w:val="en-GB"/>
        </w:rPr>
        <w:t xml:space="preserve"> the methodology of this thesis -</w:t>
      </w:r>
      <w:r w:rsidRPr="00B56453">
        <w:rPr>
          <w:lang w:val="en-GB"/>
        </w:rPr>
        <w:t xml:space="preserve"> and some of the interview guide questions were fixed based upon </w:t>
      </w:r>
      <w:r w:rsidR="00C538B6" w:rsidRPr="00B56453">
        <w:rPr>
          <w:lang w:val="en-GB"/>
        </w:rPr>
        <w:t>the research aims and objectives</w:t>
      </w:r>
      <w:r w:rsidRPr="00B56453">
        <w:rPr>
          <w:lang w:val="en-GB"/>
        </w:rPr>
        <w:t xml:space="preserve">. However, the pilot and intervention design phase informed many of the questions addressing teachers’ usability and acceptability of the feedback training and delivery. The use of video monitoring was also particularly useful to contextualise teachers’ responses in the analysis stage as their actual teaching practice could be compared to their own verbal accounts. Research notes supplemented these videos in developing specific questions on emergent areas, </w:t>
      </w:r>
      <w:r w:rsidR="0021662A" w:rsidRPr="00B56453">
        <w:rPr>
          <w:lang w:val="en-GB"/>
        </w:rPr>
        <w:t>including</w:t>
      </w:r>
      <w:r w:rsidRPr="00B56453">
        <w:rPr>
          <w:lang w:val="en-GB"/>
        </w:rPr>
        <w:t xml:space="preserve"> the importance of researcher support to each teacher. The coding framework designed for the analysis stage was informed by all these factors and proved to be an effective initial framework.</w:t>
      </w:r>
      <w:r w:rsidR="00A771E3" w:rsidRPr="00B56453">
        <w:rPr>
          <w:lang w:val="en-GB"/>
        </w:rPr>
        <w:t xml:space="preserve"> </w:t>
      </w:r>
    </w:p>
    <w:p w14:paraId="571A1DF2" w14:textId="77777777" w:rsidR="0070586E" w:rsidRPr="00B56453" w:rsidRDefault="0070586E" w:rsidP="00026049">
      <w:pPr>
        <w:pStyle w:val="Normal1"/>
        <w:rPr>
          <w:rFonts w:eastAsiaTheme="majorEastAsia"/>
          <w:lang w:val="en-GB"/>
        </w:rPr>
      </w:pPr>
      <w:r w:rsidRPr="00B56453">
        <w:rPr>
          <w:lang w:val="en-GB"/>
        </w:rPr>
        <w:br w:type="page"/>
      </w:r>
    </w:p>
    <w:p w14:paraId="1FFBADF3" w14:textId="3FDC3F33" w:rsidR="0070586E" w:rsidRPr="00B56453" w:rsidRDefault="00C93903" w:rsidP="00B1638D">
      <w:pPr>
        <w:pStyle w:val="Heading2"/>
        <w:rPr>
          <w:lang w:val="en-GB"/>
        </w:rPr>
      </w:pPr>
      <w:bookmarkStart w:id="285" w:name="_Toc500319385"/>
      <w:r w:rsidRPr="00B56453">
        <w:rPr>
          <w:lang w:val="en-GB"/>
        </w:rPr>
        <w:lastRenderedPageBreak/>
        <w:t xml:space="preserve">B2.2 </w:t>
      </w:r>
      <w:r w:rsidR="0070586E" w:rsidRPr="00B56453">
        <w:rPr>
          <w:lang w:val="en-GB"/>
        </w:rPr>
        <w:t>Methods</w:t>
      </w:r>
      <w:bookmarkEnd w:id="285"/>
    </w:p>
    <w:p w14:paraId="116B42DC" w14:textId="77777777" w:rsidR="0070586E" w:rsidRPr="00B56453" w:rsidRDefault="0070586E" w:rsidP="00026049">
      <w:pPr>
        <w:pStyle w:val="Normal1"/>
        <w:rPr>
          <w:lang w:val="en-GB"/>
        </w:rPr>
      </w:pPr>
    </w:p>
    <w:p w14:paraId="700D9A7F" w14:textId="29223E34" w:rsidR="0070586E" w:rsidRPr="00B56453" w:rsidRDefault="00C93903" w:rsidP="00BA4521">
      <w:pPr>
        <w:pStyle w:val="Heading3"/>
      </w:pPr>
      <w:bookmarkStart w:id="286" w:name="_Toc500319386"/>
      <w:r w:rsidRPr="00B56453">
        <w:t xml:space="preserve">B2.2.1 </w:t>
      </w:r>
      <w:r w:rsidR="00CB13A5" w:rsidRPr="00B56453">
        <w:t xml:space="preserve">Interview </w:t>
      </w:r>
      <w:r w:rsidR="00234E4A" w:rsidRPr="00B56453">
        <w:t>P</w:t>
      </w:r>
      <w:r w:rsidR="00CB13A5" w:rsidRPr="00B56453">
        <w:t>rocedure</w:t>
      </w:r>
      <w:bookmarkEnd w:id="286"/>
    </w:p>
    <w:p w14:paraId="276679AC" w14:textId="77777777" w:rsidR="00CB13A5" w:rsidRPr="00B56453" w:rsidRDefault="00CB13A5" w:rsidP="00026049">
      <w:pPr>
        <w:pStyle w:val="Normal1"/>
        <w:rPr>
          <w:lang w:val="en-GB"/>
        </w:rPr>
      </w:pPr>
    </w:p>
    <w:p w14:paraId="54ECDBEB" w14:textId="6B3E4D56" w:rsidR="0070586E" w:rsidRPr="00B56453" w:rsidRDefault="00FC0FFB" w:rsidP="00026049">
      <w:pPr>
        <w:pStyle w:val="Normal1"/>
        <w:rPr>
          <w:lang w:val="en-GB"/>
        </w:rPr>
      </w:pPr>
      <w:r w:rsidRPr="00B56453">
        <w:rPr>
          <w:lang w:val="en-GB"/>
        </w:rPr>
        <w:t>To</w:t>
      </w:r>
      <w:r w:rsidR="0070586E" w:rsidRPr="00B56453">
        <w:rPr>
          <w:lang w:val="en-GB"/>
        </w:rPr>
        <w:t xml:space="preserve"> qua</w:t>
      </w:r>
      <w:r w:rsidR="00006950" w:rsidRPr="00B56453">
        <w:rPr>
          <w:lang w:val="en-GB"/>
        </w:rPr>
        <w:t>litatively evaluate the teachers’</w:t>
      </w:r>
      <w:r w:rsidR="0070586E" w:rsidRPr="00B56453">
        <w:rPr>
          <w:lang w:val="en-GB"/>
        </w:rPr>
        <w:t xml:space="preserve"> experiences, all fourteen were invited to participate in an individual follow-up interview two to four weeks after delivery. Interviews were designed and conducted in a semi-structured style </w:t>
      </w:r>
      <w:r w:rsidR="00EF281A" w:rsidRPr="009C2746">
        <w:rPr>
          <w:lang w:val="en-GB"/>
        </w:rPr>
        <w:fldChar w:fldCharType="begin"/>
      </w:r>
      <w:r w:rsidR="008B61BE" w:rsidRPr="00B56453">
        <w:rPr>
          <w:lang w:val="en-GB"/>
        </w:rPr>
        <w:instrText xml:space="preserve"> ADDIN EN.CITE &lt;EndNote&gt;&lt;Cite&gt;&lt;Author&gt;DiCicco</w:instrText>
      </w:r>
      <w:r w:rsidR="008B61BE" w:rsidRPr="00B56453">
        <w:rPr>
          <w:rFonts w:ascii="Cambria Math" w:hAnsi="Cambria Math" w:cs="Cambria Math"/>
          <w:lang w:val="en-GB"/>
        </w:rPr>
        <w:instrText>‐</w:instrText>
      </w:r>
      <w:r w:rsidR="008B61BE" w:rsidRPr="00B56453">
        <w:rPr>
          <w:lang w:val="en-GB"/>
        </w:rPr>
        <w:instrText>Bloom&lt;/Author&gt;&lt;Year&gt;2006&lt;/Year&gt;&lt;RecNum&gt;67&lt;/RecNum&gt;&lt;DisplayText&gt;(DiCicco</w:instrText>
      </w:r>
      <w:r w:rsidR="008B61BE" w:rsidRPr="00B56453">
        <w:rPr>
          <w:rFonts w:ascii="Cambria Math" w:hAnsi="Cambria Math" w:cs="Cambria Math"/>
          <w:lang w:val="en-GB"/>
        </w:rPr>
        <w:instrText>‐</w:instrText>
      </w:r>
      <w:r w:rsidR="008B61BE" w:rsidRPr="00B56453">
        <w:rPr>
          <w:lang w:val="en-GB"/>
        </w:rPr>
        <w:instrText>Bloom and Crabtree 2006)&lt;/DisplayText&gt;&lt;record&gt;&lt;rec-number&gt;67&lt;/rec-number&gt;&lt;foreign-keys&gt;&lt;key app="EN" db-id="xa2r2ewea92trkef5dt5arvbzafvpv2za5ft" timestamp="1442161763"&gt;67&lt;/key&gt;&lt;/foreign-keys&gt;&lt;ref-type name="Journal Article"&gt;17&lt;/ref-type&gt;&lt;contributors&gt;&lt;authors&gt;&lt;author&gt;DiCicco</w:instrText>
      </w:r>
      <w:r w:rsidR="008B61BE" w:rsidRPr="00B56453">
        <w:rPr>
          <w:rFonts w:ascii="Cambria Math" w:hAnsi="Cambria Math" w:cs="Cambria Math"/>
          <w:lang w:val="en-GB"/>
        </w:rPr>
        <w:instrText>‐</w:instrText>
      </w:r>
      <w:r w:rsidR="008B61BE" w:rsidRPr="00B56453">
        <w:rPr>
          <w:lang w:val="en-GB"/>
        </w:rPr>
        <w:instrText>Bloom, Barbara&lt;/author&gt;&lt;author&gt;Crabtree, Benjamin F.&lt;/author&gt;&lt;/authors&gt;&lt;/contributors&gt;&lt;titles&gt;&lt;title&gt;The qualitative research interview&lt;/title&gt;&lt;secondary-title&gt;Medical education&lt;/secondary-title&gt;&lt;/titles&gt;&lt;periodical&gt;&lt;full-title&gt;Medical education&lt;/full-title&gt;&lt;/periodical&gt;&lt;pages&gt;314-321&lt;/pages&gt;&lt;volume&gt;40&lt;/volume&gt;&lt;number&gt;4&lt;/number&gt;&lt;dates&gt;&lt;year&gt;2006&lt;/year&gt;&lt;/dates&gt;&lt;publisher&gt;Wiley Online Library&lt;/publisher&gt;&lt;urls&gt;&lt;related-urls&gt;&lt;url&gt;http://onlinelibrary.wiley.com/store/10.1111/j.1365-2929.2006.02418.x/asset/j.1365-2929.2006.02418.x.pdf?v=1&amp;amp;t=ieipxuf7&amp;amp;s=3b6e6627b7e0b96129f87fa11737f67c17777ed8&lt;/url&gt;&lt;/related-urls&gt;&lt;/urls&gt;&lt;/record&gt;&lt;/Cite&gt;&lt;/EndNote&gt;</w:instrText>
      </w:r>
      <w:r w:rsidR="00EF281A" w:rsidRPr="00B27F0B">
        <w:rPr>
          <w:lang w:val="en-GB"/>
        </w:rPr>
        <w:fldChar w:fldCharType="separate"/>
      </w:r>
      <w:r w:rsidR="004E5A78" w:rsidRPr="00B56453">
        <w:rPr>
          <w:noProof/>
          <w:lang w:val="en-GB"/>
        </w:rPr>
        <w:t>(</w:t>
      </w:r>
      <w:hyperlink w:anchor="_ENREF_125" w:tooltip="DiCicco‐Bloom, 2006 #67" w:history="1">
        <w:r w:rsidR="0094469E" w:rsidRPr="00B56453">
          <w:rPr>
            <w:noProof/>
            <w:lang w:val="en-GB"/>
          </w:rPr>
          <w:t>DiCicco</w:t>
        </w:r>
        <w:r w:rsidR="0094469E" w:rsidRPr="00B56453">
          <w:rPr>
            <w:rFonts w:ascii="Cambria Math" w:hAnsi="Cambria Math" w:cs="Cambria Math"/>
            <w:noProof/>
            <w:lang w:val="en-GB"/>
          </w:rPr>
          <w:t>‐</w:t>
        </w:r>
        <w:r w:rsidR="0094469E" w:rsidRPr="00B56453">
          <w:rPr>
            <w:noProof/>
            <w:lang w:val="en-GB"/>
          </w:rPr>
          <w:t>Bloom and Crabtree 2006</w:t>
        </w:r>
      </w:hyperlink>
      <w:r w:rsidR="004E5A78" w:rsidRPr="00B56453">
        <w:rPr>
          <w:noProof/>
          <w:lang w:val="en-GB"/>
        </w:rPr>
        <w:t>)</w:t>
      </w:r>
      <w:r w:rsidR="00EF281A" w:rsidRPr="009C2746">
        <w:rPr>
          <w:lang w:val="en-GB"/>
        </w:rPr>
        <w:fldChar w:fldCharType="end"/>
      </w:r>
      <w:r w:rsidR="0070586E" w:rsidRPr="00B56453">
        <w:rPr>
          <w:lang w:val="en-GB"/>
        </w:rPr>
        <w:t xml:space="preserve">. This approach allowed </w:t>
      </w:r>
      <w:r w:rsidR="004E2493" w:rsidRPr="00B56453">
        <w:rPr>
          <w:lang w:val="en-GB"/>
        </w:rPr>
        <w:t>for the exploration of</w:t>
      </w:r>
      <w:r w:rsidR="0070586E" w:rsidRPr="00B56453">
        <w:rPr>
          <w:lang w:val="en-GB"/>
        </w:rPr>
        <w:t xml:space="preserve"> the </w:t>
      </w:r>
      <w:r w:rsidR="00957303" w:rsidRPr="00B56453">
        <w:rPr>
          <w:lang w:val="en-GB"/>
        </w:rPr>
        <w:t>teachers’</w:t>
      </w:r>
      <w:r w:rsidR="0070586E" w:rsidRPr="00B56453">
        <w:rPr>
          <w:lang w:val="en-GB"/>
        </w:rPr>
        <w:t xml:space="preserve"> experiences in detail while avoiding a rigid question and answer format </w:t>
      </w:r>
      <w:r w:rsidR="00EF281A" w:rsidRPr="009C2746">
        <w:rPr>
          <w:lang w:val="en-GB"/>
        </w:rPr>
        <w:fldChar w:fldCharType="begin"/>
      </w:r>
      <w:r w:rsidR="008B61BE" w:rsidRPr="00B56453">
        <w:rPr>
          <w:lang w:val="en-GB"/>
        </w:rPr>
        <w:instrText xml:space="preserve"> ADDIN EN.CITE &lt;EndNote&gt;&lt;Cite&gt;&lt;Author&gt;Fylan&lt;/Author&gt;&lt;Year&gt;2005&lt;/Year&gt;&lt;RecNum&gt;85&lt;/RecNum&gt;&lt;DisplayText&gt;(Fylan 2005)&lt;/DisplayText&gt;&lt;record&gt;&lt;rec-number&gt;85&lt;/rec-number&gt;&lt;foreign-keys&gt;&lt;key app="EN" db-id="xa2r2ewea92trkef5dt5arvbzafvpv2za5ft" timestamp="1442161764"&gt;85&lt;/key&gt;&lt;/foreign-keys&gt;&lt;ref-type name="Journal Article"&gt;17&lt;/ref-type&gt;&lt;contributors&gt;&lt;authors&gt;&lt;author&gt;Fylan, Fiona&lt;/author&gt;&lt;/authors&gt;&lt;/contributors&gt;&lt;titles&gt;&lt;title&gt;Semi structured interviewing&lt;/title&gt;&lt;secondary-title&gt;A handbook of research methods for clinical and health psychology&lt;/secondary-title&gt;&lt;/titles&gt;&lt;periodical&gt;&lt;full-title&gt;A handbook of research methods for clinical and health psychology&lt;/full-title&gt;&lt;/periodical&gt;&lt;pages&gt;65-78&lt;/pages&gt;&lt;dates&gt;&lt;year&gt;2005&lt;/year&gt;&lt;/dates&gt;&lt;urls&gt;&lt;/urls&gt;&lt;/record&gt;&lt;/Cite&gt;&lt;/EndNote&gt;</w:instrText>
      </w:r>
      <w:r w:rsidR="00EF281A" w:rsidRPr="00B27F0B">
        <w:rPr>
          <w:lang w:val="en-GB"/>
        </w:rPr>
        <w:fldChar w:fldCharType="separate"/>
      </w:r>
      <w:r w:rsidR="004E5A78" w:rsidRPr="00B56453">
        <w:rPr>
          <w:noProof/>
          <w:lang w:val="en-GB"/>
        </w:rPr>
        <w:t>(</w:t>
      </w:r>
      <w:hyperlink w:anchor="_ENREF_155" w:tooltip="Fylan, 2005 #85" w:history="1">
        <w:r w:rsidR="0094469E" w:rsidRPr="00B56453">
          <w:rPr>
            <w:noProof/>
            <w:lang w:val="en-GB"/>
          </w:rPr>
          <w:t>Fylan 2005</w:t>
        </w:r>
      </w:hyperlink>
      <w:r w:rsidR="004E5A78" w:rsidRPr="00B56453">
        <w:rPr>
          <w:noProof/>
          <w:lang w:val="en-GB"/>
        </w:rPr>
        <w:t>)</w:t>
      </w:r>
      <w:r w:rsidR="00EF281A" w:rsidRPr="009C2746">
        <w:rPr>
          <w:lang w:val="en-GB"/>
        </w:rPr>
        <w:fldChar w:fldCharType="end"/>
      </w:r>
      <w:r w:rsidR="0070586E" w:rsidRPr="00B56453">
        <w:rPr>
          <w:lang w:val="en-GB"/>
        </w:rPr>
        <w:t>.</w:t>
      </w:r>
      <w:r w:rsidR="0070586E" w:rsidRPr="00B56453">
        <w:rPr>
          <w:b/>
          <w:lang w:val="en-GB"/>
        </w:rPr>
        <w:t xml:space="preserve"> </w:t>
      </w:r>
      <w:r w:rsidR="0070586E" w:rsidRPr="00B56453">
        <w:rPr>
          <w:lang w:val="en-GB"/>
        </w:rPr>
        <w:t xml:space="preserve">An interview guide </w:t>
      </w:r>
      <w:r w:rsidR="00B36959" w:rsidRPr="00B56453">
        <w:rPr>
          <w:lang w:val="en-GB"/>
        </w:rPr>
        <w:t xml:space="preserve">(Appendix 9) </w:t>
      </w:r>
      <w:r w:rsidR="0070586E" w:rsidRPr="00B56453">
        <w:rPr>
          <w:lang w:val="en-GB"/>
        </w:rPr>
        <w:t xml:space="preserve">was developed and piloted iteratively prior to the interviews with two teaching academics external to the research team. This guide was subsequently used in the interviews as a tool to help steer the discussion and to ensure each topic was explored consistently </w:t>
      </w:r>
      <w:r w:rsidR="00EF281A" w:rsidRPr="009C2746">
        <w:rPr>
          <w:lang w:val="en-GB"/>
        </w:rPr>
        <w:fldChar w:fldCharType="begin"/>
      </w:r>
      <w:r w:rsidR="008B61BE" w:rsidRPr="00B56453">
        <w:rPr>
          <w:lang w:val="en-GB"/>
        </w:rPr>
        <w:instrText xml:space="preserve"> ADDIN EN.CITE &lt;EndNote&gt;&lt;Cite&gt;&lt;Author&gt;Moos&lt;/Author&gt;&lt;Year&gt;2012&lt;/Year&gt;&lt;RecNum&gt;622&lt;/RecNum&gt;&lt;DisplayText&gt;(Moos and Ringdal 2012)&lt;/DisplayText&gt;&lt;record&gt;&lt;rec-number&gt;622&lt;/rec-number&gt;&lt;foreign-keys&gt;&lt;key app="EN" db-id="xa2r2ewea92trkef5dt5arvbzafvpv2za5ft" timestamp="1496417561"&gt;622&lt;/key&gt;&lt;/foreign-keys&gt;&lt;ref-type name="Journal Article"&gt;17&lt;/ref-type&gt;&lt;contributors&gt;&lt;authors&gt;&lt;author&gt;Moos, Daniel C&lt;/author&gt;&lt;author&gt;Ringdal, Alyssa&lt;/author&gt;&lt;/authors&gt;&lt;/contributors&gt;&lt;titles&gt;&lt;title&gt;Self-regulated learning in the classroom: A literature review on the teacher’s role&lt;/title&gt;&lt;secondary-title&gt;Education Research International&lt;/secondary-title&gt;&lt;/titles&gt;&lt;periodical&gt;&lt;full-title&gt;Education Research International&lt;/full-title&gt;&lt;/periodical&gt;&lt;volume&gt;2012&lt;/volume&gt;&lt;dates&gt;&lt;year&gt;2012&lt;/year&gt;&lt;/dates&gt;&lt;isbn&gt;2090-4002&lt;/isbn&gt;&lt;urls&gt;&lt;/urls&gt;&lt;/record&gt;&lt;/Cite&gt;&lt;/EndNote&gt;</w:instrText>
      </w:r>
      <w:r w:rsidR="00EF281A" w:rsidRPr="00B27F0B">
        <w:rPr>
          <w:lang w:val="en-GB"/>
        </w:rPr>
        <w:fldChar w:fldCharType="separate"/>
      </w:r>
      <w:r w:rsidR="004E5A78" w:rsidRPr="00B56453">
        <w:rPr>
          <w:noProof/>
          <w:lang w:val="en-GB"/>
        </w:rPr>
        <w:t>(</w:t>
      </w:r>
      <w:hyperlink w:anchor="_ENREF_280" w:tooltip="Moos, 2012 #622" w:history="1">
        <w:r w:rsidR="0094469E" w:rsidRPr="00B56453">
          <w:rPr>
            <w:noProof/>
            <w:lang w:val="en-GB"/>
          </w:rPr>
          <w:t>Moos and Ringdal 2012</w:t>
        </w:r>
      </w:hyperlink>
      <w:r w:rsidR="004E5A78" w:rsidRPr="00B56453">
        <w:rPr>
          <w:noProof/>
          <w:lang w:val="en-GB"/>
        </w:rPr>
        <w:t>)</w:t>
      </w:r>
      <w:r w:rsidR="00EF281A" w:rsidRPr="009C2746">
        <w:rPr>
          <w:lang w:val="en-GB"/>
        </w:rPr>
        <w:fldChar w:fldCharType="end"/>
      </w:r>
      <w:r w:rsidR="0070586E" w:rsidRPr="00B56453">
        <w:rPr>
          <w:lang w:val="en-GB"/>
        </w:rPr>
        <w:t xml:space="preserve">. The main topics included: </w:t>
      </w:r>
      <w:r w:rsidR="00950528" w:rsidRPr="00B56453">
        <w:rPr>
          <w:lang w:val="en-GB"/>
        </w:rPr>
        <w:t>perceptions</w:t>
      </w:r>
      <w:r w:rsidR="0070586E" w:rsidRPr="00B56453">
        <w:rPr>
          <w:lang w:val="en-GB"/>
        </w:rPr>
        <w:t xml:space="preserve"> of feedback, views on the use of the allocated technique, and</w:t>
      </w:r>
      <w:r w:rsidR="006966CF" w:rsidRPr="00B56453">
        <w:rPr>
          <w:lang w:val="en-GB"/>
        </w:rPr>
        <w:t xml:space="preserve"> its</w:t>
      </w:r>
      <w:r w:rsidR="0070586E" w:rsidRPr="00B56453">
        <w:rPr>
          <w:lang w:val="en-GB"/>
        </w:rPr>
        <w:t xml:space="preserve"> impact upon current and prospective teaching practice</w:t>
      </w:r>
      <w:r w:rsidR="006966CF" w:rsidRPr="00B56453">
        <w:rPr>
          <w:lang w:val="en-GB"/>
        </w:rPr>
        <w:t>s</w:t>
      </w:r>
      <w:r w:rsidR="0070586E" w:rsidRPr="00B56453">
        <w:rPr>
          <w:lang w:val="en-GB"/>
        </w:rPr>
        <w:t>.</w:t>
      </w:r>
      <w:r w:rsidR="0070586E" w:rsidRPr="00B56453">
        <w:rPr>
          <w:b/>
          <w:lang w:val="en-GB"/>
        </w:rPr>
        <w:t xml:space="preserve"> </w:t>
      </w:r>
      <w:r w:rsidR="0070586E" w:rsidRPr="00B56453">
        <w:rPr>
          <w:lang w:val="en-GB"/>
        </w:rPr>
        <w:t xml:space="preserve">Themes identified by constant comparative analysis were investigated iteratively in later interviews </w:t>
      </w:r>
      <w:r w:rsidR="00EF281A" w:rsidRPr="009C2746">
        <w:rPr>
          <w:lang w:val="en-GB"/>
        </w:rPr>
        <w:fldChar w:fldCharType="begin"/>
      </w:r>
      <w:r w:rsidR="008B61BE" w:rsidRPr="00B56453">
        <w:rPr>
          <w:lang w:val="en-GB"/>
        </w:rPr>
        <w:instrText xml:space="preserve"> ADDIN EN.CITE &lt;EndNote&gt;&lt;Cite&gt;&lt;Author&gt;Moore&lt;/Author&gt;&lt;Year&gt;2015&lt;/Year&gt;&lt;RecNum&gt;169&lt;/RecNum&gt;&lt;DisplayText&gt;(Moore et al. 2015)&lt;/DisplayText&gt;&lt;record&gt;&lt;rec-number&gt;169&lt;/rec-number&gt;&lt;foreign-keys&gt;&lt;key app="EN" db-id="xa2r2ewea92trkef5dt5arvbzafvpv2za5ft" timestamp="1442161765"&gt;169&lt;/key&gt;&lt;/foreign-keys&gt;&lt;ref-type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00EF281A" w:rsidRPr="00B27F0B">
        <w:rPr>
          <w:lang w:val="en-GB"/>
        </w:rPr>
        <w:fldChar w:fldCharType="separate"/>
      </w:r>
      <w:r w:rsidR="004E5A78" w:rsidRPr="00B56453">
        <w:rPr>
          <w:noProof/>
          <w:lang w:val="en-GB"/>
        </w:rPr>
        <w:t>(</w:t>
      </w:r>
      <w:hyperlink w:anchor="_ENREF_279" w:tooltip="Moore, 2015 #169" w:history="1">
        <w:r w:rsidR="0094469E" w:rsidRPr="00B56453">
          <w:rPr>
            <w:noProof/>
            <w:lang w:val="en-GB"/>
          </w:rPr>
          <w:t>Moore et al. 2015</w:t>
        </w:r>
      </w:hyperlink>
      <w:r w:rsidR="004E5A78" w:rsidRPr="00B56453">
        <w:rPr>
          <w:noProof/>
          <w:lang w:val="en-GB"/>
        </w:rPr>
        <w:t>)</w:t>
      </w:r>
      <w:r w:rsidR="00EF281A" w:rsidRPr="009C2746">
        <w:rPr>
          <w:lang w:val="en-GB"/>
        </w:rPr>
        <w:fldChar w:fldCharType="end"/>
      </w:r>
      <w:r w:rsidR="0070586E" w:rsidRPr="00B56453">
        <w:rPr>
          <w:lang w:val="en-GB"/>
        </w:rPr>
        <w:t>. All interviews were conducted in February 2016 and data were collected in the form of audio recordings</w:t>
      </w:r>
      <w:r w:rsidR="004C6032" w:rsidRPr="00B56453">
        <w:rPr>
          <w:lang w:val="en-GB"/>
        </w:rPr>
        <w:t>, demographic forms,</w:t>
      </w:r>
      <w:r w:rsidR="0070586E" w:rsidRPr="00B56453">
        <w:rPr>
          <w:lang w:val="en-GB"/>
        </w:rPr>
        <w:t xml:space="preserve"> and field notes.</w:t>
      </w:r>
    </w:p>
    <w:p w14:paraId="1DBDA1DC" w14:textId="77777777" w:rsidR="0070586E" w:rsidRPr="00B56453" w:rsidRDefault="0070586E" w:rsidP="00026049">
      <w:pPr>
        <w:pStyle w:val="Normal1"/>
        <w:rPr>
          <w:lang w:val="en-GB"/>
        </w:rPr>
      </w:pPr>
    </w:p>
    <w:p w14:paraId="0EF74672" w14:textId="47DCB20C" w:rsidR="0070586E" w:rsidRPr="00B56453" w:rsidRDefault="0070586E" w:rsidP="00026049">
      <w:pPr>
        <w:pStyle w:val="Normal1"/>
        <w:rPr>
          <w:b/>
          <w:lang w:val="en-GB"/>
        </w:rPr>
      </w:pPr>
      <w:r w:rsidRPr="00B56453">
        <w:rPr>
          <w:lang w:val="en-GB"/>
        </w:rPr>
        <w:t xml:space="preserve">Recordings were transcribed verbatim </w:t>
      </w:r>
      <w:r w:rsidR="00950528" w:rsidRPr="00B56453">
        <w:rPr>
          <w:lang w:val="en-GB"/>
        </w:rPr>
        <w:t xml:space="preserve">so </w:t>
      </w:r>
      <w:r w:rsidRPr="00B56453">
        <w:rPr>
          <w:lang w:val="en-GB"/>
        </w:rPr>
        <w:t xml:space="preserve">as to become more familiar with the raw data </w:t>
      </w:r>
      <w:r w:rsidR="00EF281A" w:rsidRPr="009C2746">
        <w:rPr>
          <w:lang w:val="en-GB"/>
        </w:rPr>
        <w:fldChar w:fldCharType="begin"/>
      </w:r>
      <w:r w:rsidR="008B61BE" w:rsidRPr="00B56453">
        <w:rPr>
          <w:lang w:val="en-GB"/>
        </w:rPr>
        <w:instrText xml:space="preserve"> ADDIN EN.CITE &lt;EndNote&gt;&lt;Cite&gt;&lt;Author&gt;Seale&lt;/Author&gt;&lt;Year&gt;1999&lt;/Year&gt;&lt;RecNum&gt;233&lt;/RecNum&gt;&lt;DisplayText&gt;(Seale 1999)&lt;/DisplayText&gt;&lt;record&gt;&lt;rec-number&gt;233&lt;/rec-number&gt;&lt;foreign-keys&gt;&lt;key app="EN" db-id="xa2r2ewea92trkef5dt5arvbzafvpv2za5ft" timestamp="1442161765"&gt;233&lt;/key&gt;&lt;/foreign-keys&gt;&lt;ref-type name="Journal Article"&gt;17&lt;/ref-type&gt;&lt;contributors&gt;&lt;authors&gt;&lt;author&gt;Seale, Clive&lt;/author&gt;&lt;/authors&gt;&lt;/contributors&gt;&lt;titles&gt;&lt;title&gt;Quality in qualitative research&lt;/title&gt;&lt;secondary-title&gt;Qualitative inquiry&lt;/secondary-title&gt;&lt;/titles&gt;&lt;periodical&gt;&lt;full-title&gt;Qualitative inquiry&lt;/full-title&gt;&lt;/periodical&gt;&lt;pages&gt;465-478&lt;/pages&gt;&lt;volume&gt;5&lt;/volume&gt;&lt;number&gt;4&lt;/number&gt;&lt;dates&gt;&lt;year&gt;1999&lt;/year&gt;&lt;/dates&gt;&lt;publisher&gt;Sage publications&lt;/publisher&gt;&lt;urls&gt;&lt;/urls&gt;&lt;/record&gt;&lt;/Cite&gt;&lt;/EndNote&gt;</w:instrText>
      </w:r>
      <w:r w:rsidR="00EF281A" w:rsidRPr="00B27F0B">
        <w:rPr>
          <w:lang w:val="en-GB"/>
        </w:rPr>
        <w:fldChar w:fldCharType="separate"/>
      </w:r>
      <w:r w:rsidR="004E5A78" w:rsidRPr="00B56453">
        <w:rPr>
          <w:noProof/>
          <w:lang w:val="en-GB"/>
        </w:rPr>
        <w:t>(</w:t>
      </w:r>
      <w:hyperlink w:anchor="_ENREF_379" w:tooltip="Seale, 1999 #233" w:history="1">
        <w:r w:rsidR="0094469E" w:rsidRPr="00B56453">
          <w:rPr>
            <w:noProof/>
            <w:lang w:val="en-GB"/>
          </w:rPr>
          <w:t>Seale 1999</w:t>
        </w:r>
      </w:hyperlink>
      <w:r w:rsidR="004E5A78" w:rsidRPr="00B56453">
        <w:rPr>
          <w:noProof/>
          <w:lang w:val="en-GB"/>
        </w:rPr>
        <w:t>)</w:t>
      </w:r>
      <w:r w:rsidR="00EF281A" w:rsidRPr="009C2746">
        <w:rPr>
          <w:lang w:val="en-GB"/>
        </w:rPr>
        <w:fldChar w:fldCharType="end"/>
      </w:r>
      <w:r w:rsidRPr="00B56453">
        <w:rPr>
          <w:lang w:val="en-GB"/>
        </w:rPr>
        <w:t xml:space="preserve">. After </w:t>
      </w:r>
      <w:r w:rsidRPr="00B56453">
        <w:rPr>
          <w:noProof/>
          <w:lang w:val="en-GB"/>
        </w:rPr>
        <w:t>transcription</w:t>
      </w:r>
      <w:r w:rsidR="00950528" w:rsidRPr="00B56453">
        <w:rPr>
          <w:noProof/>
          <w:lang w:val="en-GB"/>
        </w:rPr>
        <w:t>,</w:t>
      </w:r>
      <w:r w:rsidRPr="00B56453">
        <w:rPr>
          <w:lang w:val="en-GB"/>
        </w:rPr>
        <w:t xml:space="preserve"> each account was read in depth and summaries were written and sent to the corresponding </w:t>
      </w:r>
      <w:r w:rsidR="009F1882" w:rsidRPr="00B56453">
        <w:rPr>
          <w:lang w:val="en-GB"/>
        </w:rPr>
        <w:t>teacher</w:t>
      </w:r>
      <w:r w:rsidRPr="00B56453">
        <w:rPr>
          <w:lang w:val="en-GB"/>
        </w:rPr>
        <w:t xml:space="preserve">s for approval, comments, and corrections. This member checking </w:t>
      </w:r>
      <w:r w:rsidR="004C6032" w:rsidRPr="00B56453">
        <w:rPr>
          <w:lang w:val="en-GB"/>
        </w:rPr>
        <w:t>process</w:t>
      </w:r>
      <w:r w:rsidRPr="00B56453">
        <w:rPr>
          <w:lang w:val="en-GB"/>
        </w:rPr>
        <w:t xml:space="preserve"> was an attempt to improve the credibility of the interpretations </w:t>
      </w:r>
      <w:r w:rsidRPr="009C2746">
        <w:rPr>
          <w:lang w:val="en-GB"/>
        </w:rPr>
        <w:fldChar w:fldCharType="begin"/>
      </w:r>
      <w:r w:rsidR="008B61BE" w:rsidRPr="00B56453">
        <w:rPr>
          <w:lang w:val="en-GB"/>
        </w:rPr>
        <w:instrText xml:space="preserve"> ADDIN EN.CITE &lt;EndNote&gt;&lt;Cite&gt;&lt;Author&gt;Roter&lt;/Author&gt;&lt;Year&gt;2002&lt;/Year&gt;&lt;RecNum&gt;661&lt;/RecNum&gt;&lt;DisplayText&gt;(Roter et al. 2002; Barnard et al. 2009)&lt;/DisplayText&gt;&lt;record&gt;&lt;rec-number&gt;661&lt;/rec-number&gt;&lt;foreign-keys&gt;&lt;key app="EN" db-id="xa2r2ewea92trkef5dt5arvbzafvpv2za5ft" timestamp="1496417564"&gt;661&lt;/key&gt;&lt;/foreign-keys&gt;&lt;ref-type name="Journal Article"&gt;17&lt;/ref-type&gt;&lt;contributors&gt;&lt;authors&gt;&lt;author&gt;Roter, Debra L&lt;/author&gt;&lt;author&gt;Hall, Judith A&lt;/author&gt;&lt;author&gt;Aoki, Yutaka&lt;/author&gt;&lt;/authors&gt;&lt;/contributors&gt;&lt;titles&gt;&lt;title&gt;Physician gender effects in medical communication: a meta-analytic review&lt;/title&gt;&lt;secondary-title&gt;Jama&lt;/secondary-title&gt;&lt;/titles&gt;&lt;periodical&gt;&lt;full-title&gt;JAMA&lt;/full-title&gt;&lt;/periodical&gt;&lt;pages&gt;756-764&lt;/pages&gt;&lt;volume&gt;288&lt;/volume&gt;&lt;number&gt;6&lt;/number&gt;&lt;dates&gt;&lt;year&gt;2002&lt;/year&gt;&lt;/dates&gt;&lt;isbn&gt;0098-7484&lt;/isbn&gt;&lt;urls&gt;&lt;/urls&gt;&lt;/record&gt;&lt;/Cite&gt;&lt;Cite&gt;&lt;Author&gt;Barnard&lt;/Author&gt;&lt;Year&gt;2009&lt;/Year&gt;&lt;RecNum&gt;660&lt;/RecNum&gt;&lt;record&gt;&lt;rec-number&gt;660&lt;/rec-number&gt;&lt;foreign-keys&gt;&lt;key app="EN" db-id="xa2r2ewea92trkef5dt5arvbzafvpv2za5ft" timestamp="1496417564"&gt;660&lt;/key&gt;&lt;/foreign-keys&gt;&lt;ref-type name="Journal Article"&gt;17&lt;/ref-type&gt;&lt;contributors&gt;&lt;authors&gt;&lt;author&gt;Barnard, Lucy&lt;/author&gt;&lt;author&gt;Lan, William Y&lt;/author&gt;&lt;author&gt;To, Yen M&lt;/author&gt;&lt;author&gt;Paton, Valerie Osland&lt;/author&gt;&lt;author&gt;Lai, Shu-Ling&lt;/author&gt;&lt;/authors&gt;&lt;/contributors&gt;&lt;titles&gt;&lt;title&gt;Measuring self-regulation in online and blended learning environments&lt;/title&gt;&lt;secondary-title&gt;The Internet and Higher Education&lt;/secondary-title&gt;&lt;/titles&gt;&lt;periodical&gt;&lt;full-title&gt;The Internet and Higher Education&lt;/full-title&gt;&lt;/periodical&gt;&lt;pages&gt;1-6&lt;/pages&gt;&lt;volume&gt;12&lt;/volume&gt;&lt;number&gt;1&lt;/number&gt;&lt;dates&gt;&lt;year&gt;2009&lt;/year&gt;&lt;/dates&gt;&lt;isbn&gt;1096-7516&lt;/isbn&gt;&lt;urls&gt;&lt;/urls&gt;&lt;/record&gt;&lt;/Cite&gt;&lt;/EndNote&gt;</w:instrText>
      </w:r>
      <w:r w:rsidRPr="00B27F0B">
        <w:rPr>
          <w:lang w:val="en-GB"/>
        </w:rPr>
        <w:fldChar w:fldCharType="separate"/>
      </w:r>
      <w:r w:rsidR="004E5A78" w:rsidRPr="00B56453">
        <w:rPr>
          <w:noProof/>
          <w:lang w:val="en-GB"/>
        </w:rPr>
        <w:t>(</w:t>
      </w:r>
      <w:hyperlink w:anchor="_ENREF_352" w:tooltip="Roter, 2002 #661" w:history="1">
        <w:r w:rsidR="0094469E" w:rsidRPr="00B56453">
          <w:rPr>
            <w:noProof/>
            <w:lang w:val="en-GB"/>
          </w:rPr>
          <w:t>Roter et al. 2002</w:t>
        </w:r>
      </w:hyperlink>
      <w:r w:rsidR="004E5A78" w:rsidRPr="00B56453">
        <w:rPr>
          <w:noProof/>
          <w:lang w:val="en-GB"/>
        </w:rPr>
        <w:t xml:space="preserve">; </w:t>
      </w:r>
      <w:hyperlink w:anchor="_ENREF_23" w:tooltip="Barnard, 2009 #660" w:history="1">
        <w:r w:rsidR="0094469E" w:rsidRPr="00B56453">
          <w:rPr>
            <w:noProof/>
            <w:lang w:val="en-GB"/>
          </w:rPr>
          <w:t>Barnard et al. 2009</w:t>
        </w:r>
      </w:hyperlink>
      <w:r w:rsidR="004E5A78" w:rsidRPr="00B56453">
        <w:rPr>
          <w:noProof/>
          <w:lang w:val="en-GB"/>
        </w:rPr>
        <w:t>)</w:t>
      </w:r>
      <w:r w:rsidRPr="009C2746">
        <w:rPr>
          <w:lang w:val="en-GB"/>
        </w:rPr>
        <w:fldChar w:fldCharType="end"/>
      </w:r>
      <w:r w:rsidRPr="00B56453">
        <w:rPr>
          <w:lang w:val="en-GB"/>
        </w:rPr>
        <w:t xml:space="preserve">. These transcripts were then uploaded into </w:t>
      </w:r>
      <w:r w:rsidR="009E65D0" w:rsidRPr="00B56453">
        <w:rPr>
          <w:lang w:val="en-GB"/>
        </w:rPr>
        <w:t>Nvivo (</w:t>
      </w:r>
      <w:r w:rsidR="00C268DF" w:rsidRPr="00B56453">
        <w:rPr>
          <w:lang w:val="en-GB"/>
        </w:rPr>
        <w:t>V</w:t>
      </w:r>
      <w:r w:rsidR="009E65D0" w:rsidRPr="00B56453">
        <w:rPr>
          <w:lang w:val="en-GB"/>
        </w:rPr>
        <w:t>ersion 11, QSR International, London, United Kingdom)</w:t>
      </w:r>
      <w:r w:rsidRPr="00B56453">
        <w:rPr>
          <w:lang w:val="en-GB"/>
        </w:rPr>
        <w:t xml:space="preserve"> for initial coding and </w:t>
      </w:r>
      <w:r w:rsidR="004C6032" w:rsidRPr="00B56453">
        <w:rPr>
          <w:noProof/>
          <w:lang w:val="en-GB"/>
        </w:rPr>
        <w:t>categorisation</w:t>
      </w:r>
      <w:r w:rsidRPr="00B56453">
        <w:rPr>
          <w:lang w:val="en-GB"/>
        </w:rPr>
        <w:t>.</w:t>
      </w:r>
    </w:p>
    <w:p w14:paraId="3F564EDE" w14:textId="77777777" w:rsidR="0070586E" w:rsidRPr="00B56453" w:rsidRDefault="0070586E" w:rsidP="00026049">
      <w:pPr>
        <w:pStyle w:val="Normal1"/>
        <w:rPr>
          <w:lang w:val="en-GB"/>
        </w:rPr>
      </w:pPr>
    </w:p>
    <w:p w14:paraId="6D1C711D" w14:textId="61D9F459" w:rsidR="0070586E" w:rsidRPr="00B56453" w:rsidRDefault="00C93903" w:rsidP="00BA4521">
      <w:pPr>
        <w:pStyle w:val="Heading3"/>
      </w:pPr>
      <w:bookmarkStart w:id="287" w:name="_Toc500319387"/>
      <w:r w:rsidRPr="00B56453">
        <w:t xml:space="preserve">B2.2.2 </w:t>
      </w:r>
      <w:r w:rsidR="0070586E" w:rsidRPr="00B56453">
        <w:t>Analysis</w:t>
      </w:r>
      <w:bookmarkEnd w:id="287"/>
    </w:p>
    <w:p w14:paraId="772C56E6" w14:textId="77777777" w:rsidR="0070586E" w:rsidRPr="00B56453" w:rsidRDefault="0070586E" w:rsidP="00026049">
      <w:pPr>
        <w:pStyle w:val="Normal1"/>
        <w:rPr>
          <w:lang w:val="en-GB"/>
        </w:rPr>
      </w:pPr>
    </w:p>
    <w:p w14:paraId="719121FA" w14:textId="4A21D693" w:rsidR="0070586E" w:rsidRPr="00B56453" w:rsidRDefault="0070586E" w:rsidP="00026049">
      <w:pPr>
        <w:pStyle w:val="Normal1"/>
        <w:rPr>
          <w:lang w:val="en-GB"/>
        </w:rPr>
      </w:pPr>
      <w:r w:rsidRPr="00B56453">
        <w:rPr>
          <w:lang w:val="en-GB"/>
        </w:rPr>
        <w:t xml:space="preserve">Thematic framework analysis </w:t>
      </w:r>
      <w:r w:rsidR="004C6032" w:rsidRPr="00B56453">
        <w:rPr>
          <w:lang w:val="en-GB"/>
        </w:rPr>
        <w:t>adopting</w:t>
      </w:r>
      <w:r w:rsidRPr="00B56453">
        <w:rPr>
          <w:lang w:val="en-GB"/>
        </w:rPr>
        <w:t xml:space="preserve"> a realist approach was used to explore this data, following the guidance of </w:t>
      </w:r>
      <w:hyperlink w:anchor="_ENREF_54" w:tooltip="Braun, 2006 #557" w:history="1">
        <w:r w:rsidR="0094469E" w:rsidRPr="00B27F0B">
          <w:rPr>
            <w:lang w:val="en-GB"/>
          </w:rPr>
          <w:fldChar w:fldCharType="begin"/>
        </w:r>
        <w:r w:rsidR="0094469E" w:rsidRPr="00B56453">
          <w:rPr>
            <w:lang w:val="en-GB"/>
          </w:rPr>
          <w:instrText xml:space="preserve"> ADDIN EN.CITE &lt;EndNote&gt;&lt;Cite AuthorYear="1"&gt;&lt;Author&gt;Braun&lt;/Author&gt;&lt;Year&gt;2006&lt;/Year&gt;&lt;RecNum&gt;557&lt;/RecNum&gt;&lt;DisplayText&gt;Braun and Clarke (2006)&lt;/DisplayText&gt;&lt;record&gt;&lt;rec-number&gt;557&lt;/rec-number&gt;&lt;foreign-keys&gt;&lt;key app="EN" db-id="xa2r2ewea92trkef5dt5arvbzafvpv2za5ft" timestamp="1496417554"&gt;557&lt;/key&gt;&lt;/foreign-keys&gt;&lt;ref-type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94469E" w:rsidRPr="00B27F0B">
          <w:rPr>
            <w:lang w:val="en-GB"/>
          </w:rPr>
          <w:fldChar w:fldCharType="separate"/>
        </w:r>
        <w:r w:rsidR="0094469E" w:rsidRPr="00B56453">
          <w:rPr>
            <w:noProof/>
            <w:lang w:val="en-GB"/>
          </w:rPr>
          <w:t>Braun and Clarke (2006)</w:t>
        </w:r>
        <w:r w:rsidR="0094469E" w:rsidRPr="00B27F0B">
          <w:rPr>
            <w:lang w:val="en-GB"/>
          </w:rPr>
          <w:fldChar w:fldCharType="end"/>
        </w:r>
      </w:hyperlink>
      <w:r w:rsidRPr="00B56453">
        <w:rPr>
          <w:lang w:val="en-GB"/>
        </w:rPr>
        <w:t xml:space="preserve">. </w:t>
      </w:r>
      <w:r w:rsidR="004E2493" w:rsidRPr="00B56453">
        <w:rPr>
          <w:lang w:val="en-GB"/>
        </w:rPr>
        <w:t>After</w:t>
      </w:r>
      <w:r w:rsidRPr="00B56453">
        <w:rPr>
          <w:lang w:val="en-GB"/>
        </w:rPr>
        <w:t xml:space="preserve"> tr</w:t>
      </w:r>
      <w:r w:rsidR="004E2493" w:rsidRPr="00B56453">
        <w:rPr>
          <w:lang w:val="en-GB"/>
        </w:rPr>
        <w:t>anscription and member checking, c</w:t>
      </w:r>
      <w:r w:rsidRPr="00B56453">
        <w:rPr>
          <w:lang w:val="en-GB"/>
        </w:rPr>
        <w:t>odes were then organised into common groupings and themes after iterative analysis</w:t>
      </w:r>
      <w:r w:rsidR="009E65D0" w:rsidRPr="00B56453">
        <w:rPr>
          <w:lang w:val="en-GB"/>
        </w:rPr>
        <w:t xml:space="preserve"> (</w:t>
      </w:r>
      <w:r w:rsidR="00211105" w:rsidRPr="00B56453">
        <w:rPr>
          <w:lang w:val="en-GB"/>
        </w:rPr>
        <w:t xml:space="preserve">see </w:t>
      </w:r>
      <w:r w:rsidR="00621155" w:rsidRPr="00B56453">
        <w:rPr>
          <w:lang w:val="en-GB"/>
        </w:rPr>
        <w:t xml:space="preserve">Appendix </w:t>
      </w:r>
      <w:r w:rsidR="00B76E6D" w:rsidRPr="00B56453">
        <w:rPr>
          <w:lang w:val="en-GB"/>
        </w:rPr>
        <w:t>10</w:t>
      </w:r>
      <w:r w:rsidR="00621155" w:rsidRPr="00B56453">
        <w:rPr>
          <w:lang w:val="en-GB"/>
        </w:rPr>
        <w:t>)</w:t>
      </w:r>
      <w:r w:rsidRPr="00B56453">
        <w:rPr>
          <w:lang w:val="en-GB"/>
        </w:rPr>
        <w:t>. These codes were then charted to illustrate the quotes under themes and sub-themes which could be checked against the whole dataset and reviewed within the research team</w:t>
      </w:r>
      <w:r w:rsidR="00621155" w:rsidRPr="00B56453">
        <w:rPr>
          <w:lang w:val="en-GB"/>
        </w:rPr>
        <w:t xml:space="preserve"> (Appendix </w:t>
      </w:r>
      <w:r w:rsidR="00B76E6D" w:rsidRPr="00B56453">
        <w:rPr>
          <w:lang w:val="en-GB"/>
        </w:rPr>
        <w:t>11</w:t>
      </w:r>
      <w:r w:rsidR="00621155" w:rsidRPr="00B56453">
        <w:rPr>
          <w:lang w:val="en-GB"/>
        </w:rPr>
        <w:t>)</w:t>
      </w:r>
      <w:r w:rsidRPr="00B56453">
        <w:rPr>
          <w:lang w:val="en-GB"/>
        </w:rPr>
        <w:t>.</w:t>
      </w:r>
      <w:r w:rsidR="00FC6F55" w:rsidRPr="00B56453">
        <w:rPr>
          <w:lang w:val="en-GB"/>
        </w:rPr>
        <w:t xml:space="preserve"> A simple graphic of this charting is included in </w:t>
      </w:r>
      <w:r w:rsidR="00FC6F55" w:rsidRPr="00B56453">
        <w:rPr>
          <w:lang w:val="en-GB"/>
        </w:rPr>
        <w:lastRenderedPageBreak/>
        <w:t xml:space="preserve">Appendix </w:t>
      </w:r>
      <w:r w:rsidR="00B76E6D" w:rsidRPr="00B56453">
        <w:rPr>
          <w:lang w:val="en-GB"/>
        </w:rPr>
        <w:t>12</w:t>
      </w:r>
      <w:r w:rsidR="00FC6F55" w:rsidRPr="00B56453">
        <w:rPr>
          <w:lang w:val="en-GB"/>
        </w:rPr>
        <w:t>.</w:t>
      </w:r>
      <w:r w:rsidRPr="00B56453">
        <w:rPr>
          <w:lang w:val="en-GB"/>
        </w:rPr>
        <w:t xml:space="preserve"> This process led to the development of the final themes and the relationships within and between them until finally a conceptual model was created. SRL theory was only used to develop the model of feedback using </w:t>
      </w:r>
      <w:r w:rsidR="007040AC" w:rsidRPr="00B56453">
        <w:rPr>
          <w:lang w:val="en-GB"/>
        </w:rPr>
        <w:t>MA</w:t>
      </w:r>
      <w:r w:rsidRPr="00B56453">
        <w:rPr>
          <w:lang w:val="en-GB"/>
        </w:rPr>
        <w:t xml:space="preserve">, no specific theoretical framework was used to analyse the interview data. Peer debriefing within the research team was used throughout the entire process, attempting to make the findings credible by addressing any biases and to critique emerging themes </w:t>
      </w:r>
      <w:r w:rsidR="00EF281A" w:rsidRPr="009C2746">
        <w:rPr>
          <w:lang w:val="en-GB"/>
        </w:rPr>
        <w:fldChar w:fldCharType="begin"/>
      </w:r>
      <w:r w:rsidR="008B61BE" w:rsidRPr="00B56453">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00EF281A" w:rsidRPr="00B27F0B">
        <w:rPr>
          <w:lang w:val="en-GB"/>
        </w:rPr>
        <w:fldChar w:fldCharType="separate"/>
      </w:r>
      <w:r w:rsidR="004E5A78" w:rsidRPr="00B56453">
        <w:rPr>
          <w:noProof/>
          <w:lang w:val="en-GB"/>
        </w:rPr>
        <w:t>(</w:t>
      </w:r>
      <w:hyperlink w:anchor="_ENREF_243" w:tooltip="Lincoln, 1985 #148" w:history="1">
        <w:r w:rsidR="0094469E" w:rsidRPr="00B56453">
          <w:rPr>
            <w:noProof/>
            <w:lang w:val="en-GB"/>
          </w:rPr>
          <w:t>Lincoln and Guba 1985</w:t>
        </w:r>
      </w:hyperlink>
      <w:r w:rsidR="004E5A78" w:rsidRPr="00B56453">
        <w:rPr>
          <w:noProof/>
          <w:lang w:val="en-GB"/>
        </w:rPr>
        <w:t>)</w:t>
      </w:r>
      <w:r w:rsidR="00EF281A" w:rsidRPr="009C2746">
        <w:rPr>
          <w:lang w:val="en-GB"/>
        </w:rPr>
        <w:fldChar w:fldCharType="end"/>
      </w:r>
      <w:r w:rsidRPr="00B56453">
        <w:rPr>
          <w:lang w:val="en-GB"/>
        </w:rPr>
        <w:t>.</w:t>
      </w:r>
      <w:r w:rsidRPr="00B56453">
        <w:rPr>
          <w:lang w:val="en-GB"/>
        </w:rPr>
        <w:br w:type="page"/>
      </w:r>
    </w:p>
    <w:p w14:paraId="67D16FF9" w14:textId="5A6DF002" w:rsidR="0070586E" w:rsidRPr="00B56453" w:rsidRDefault="00C93903" w:rsidP="00B1638D">
      <w:pPr>
        <w:pStyle w:val="Heading2"/>
        <w:rPr>
          <w:lang w:val="en-GB"/>
        </w:rPr>
      </w:pPr>
      <w:bookmarkStart w:id="288" w:name="_Toc500319388"/>
      <w:r w:rsidRPr="00B56453">
        <w:rPr>
          <w:lang w:val="en-GB"/>
        </w:rPr>
        <w:lastRenderedPageBreak/>
        <w:t xml:space="preserve">B2.3 </w:t>
      </w:r>
      <w:r w:rsidR="0070586E" w:rsidRPr="00B56453">
        <w:rPr>
          <w:lang w:val="en-GB"/>
        </w:rPr>
        <w:t>Results</w:t>
      </w:r>
      <w:bookmarkEnd w:id="288"/>
    </w:p>
    <w:p w14:paraId="68C1A2E8" w14:textId="77777777" w:rsidR="0070586E" w:rsidRPr="00B56453" w:rsidRDefault="0070586E" w:rsidP="00026049">
      <w:pPr>
        <w:pStyle w:val="Normal1"/>
        <w:rPr>
          <w:lang w:val="en-GB"/>
        </w:rPr>
      </w:pPr>
    </w:p>
    <w:p w14:paraId="67939D5C" w14:textId="66FAA640" w:rsidR="0070586E" w:rsidRPr="00B56453" w:rsidRDefault="0070586E" w:rsidP="00026049">
      <w:pPr>
        <w:pStyle w:val="Normal1"/>
        <w:rPr>
          <w:lang w:val="en-GB"/>
        </w:rPr>
      </w:pPr>
      <w:r w:rsidRPr="00B56453">
        <w:rPr>
          <w:lang w:val="en-GB"/>
        </w:rPr>
        <w:t xml:space="preserve">Thirteen of the fourteen teachers participated in the follow-up interview (one novice teacher could not be reached). Six teachers were either full or part-time in the department and had at least five years of previous teaching experience in </w:t>
      </w:r>
      <w:r w:rsidR="00B22DF5" w:rsidRPr="00B56453">
        <w:rPr>
          <w:lang w:val="en-GB"/>
        </w:rPr>
        <w:t>health</w:t>
      </w:r>
      <w:r w:rsidRPr="00B56453">
        <w:rPr>
          <w:lang w:val="en-GB"/>
        </w:rPr>
        <w:t xml:space="preserve"> education contexts. Seven teachers were foundation year two doctors on their medical education rotation. Most of these </w:t>
      </w:r>
      <w:r w:rsidR="008A033A" w:rsidRPr="00B56453">
        <w:rPr>
          <w:lang w:val="en-GB"/>
        </w:rPr>
        <w:t xml:space="preserve">novice </w:t>
      </w:r>
      <w:r w:rsidRPr="00B56453">
        <w:rPr>
          <w:lang w:val="en-GB"/>
        </w:rPr>
        <w:t xml:space="preserve">teachers had some experiences of peer teaching or small group teaching but </w:t>
      </w:r>
      <w:r w:rsidR="008A033A" w:rsidRPr="00B56453">
        <w:rPr>
          <w:lang w:val="en-GB"/>
        </w:rPr>
        <w:t xml:space="preserve">had no previous </w:t>
      </w:r>
      <w:r w:rsidRPr="00B56453">
        <w:rPr>
          <w:lang w:val="en-GB"/>
        </w:rPr>
        <w:t>teaching appointment</w:t>
      </w:r>
      <w:r w:rsidR="008A033A" w:rsidRPr="00B56453">
        <w:rPr>
          <w:lang w:val="en-GB"/>
        </w:rPr>
        <w:t>s</w:t>
      </w:r>
      <w:r w:rsidRPr="00B56453">
        <w:rPr>
          <w:lang w:val="en-GB"/>
        </w:rPr>
        <w:t xml:space="preserve">. All of these teachers were qualified medical professionals in different fields (surgery, nursing, paramedics, and hospital doctors). They were female (n=8, 62%) and male (n=5, 38%), and were </w:t>
      </w:r>
      <w:r w:rsidR="00950528" w:rsidRPr="00B56453">
        <w:rPr>
          <w:lang w:val="en-GB"/>
        </w:rPr>
        <w:t>‘</w:t>
      </w:r>
      <w:r w:rsidRPr="00B56453">
        <w:rPr>
          <w:lang w:val="en-GB"/>
        </w:rPr>
        <w:t>white – British</w:t>
      </w:r>
      <w:r w:rsidR="00950528" w:rsidRPr="00B56453">
        <w:rPr>
          <w:lang w:val="en-GB"/>
        </w:rPr>
        <w:t>’</w:t>
      </w:r>
      <w:r w:rsidRPr="00B56453">
        <w:rPr>
          <w:lang w:val="en-GB"/>
        </w:rPr>
        <w:t xml:space="preserve"> (n=11, 85%), </w:t>
      </w:r>
      <w:r w:rsidR="00950528" w:rsidRPr="00B56453">
        <w:rPr>
          <w:lang w:val="en-GB"/>
        </w:rPr>
        <w:t>‘</w:t>
      </w:r>
      <w:r w:rsidRPr="00B56453">
        <w:rPr>
          <w:lang w:val="en-GB"/>
        </w:rPr>
        <w:t>white – other</w:t>
      </w:r>
      <w:r w:rsidR="00950528" w:rsidRPr="00B56453">
        <w:rPr>
          <w:lang w:val="en-GB"/>
        </w:rPr>
        <w:t>’</w:t>
      </w:r>
      <w:r w:rsidRPr="00B56453">
        <w:rPr>
          <w:lang w:val="en-GB"/>
        </w:rPr>
        <w:t xml:space="preserve"> (n=1, 7.5%), and </w:t>
      </w:r>
      <w:r w:rsidR="00950528" w:rsidRPr="00B56453">
        <w:rPr>
          <w:lang w:val="en-GB"/>
        </w:rPr>
        <w:t>‘</w:t>
      </w:r>
      <w:r w:rsidRPr="00B56453">
        <w:rPr>
          <w:lang w:val="en-GB"/>
        </w:rPr>
        <w:t>Asian or Asian British – Indian</w:t>
      </w:r>
      <w:r w:rsidR="00950528" w:rsidRPr="00B56453">
        <w:rPr>
          <w:lang w:val="en-GB"/>
        </w:rPr>
        <w:t>’</w:t>
      </w:r>
      <w:r w:rsidRPr="00B56453">
        <w:rPr>
          <w:lang w:val="en-GB"/>
        </w:rPr>
        <w:t xml:space="preserve"> (n=1, 7.5%).</w:t>
      </w:r>
      <w:r w:rsidR="00407CAA" w:rsidRPr="00B56453">
        <w:rPr>
          <w:lang w:val="en-GB"/>
        </w:rPr>
        <w:t xml:space="preserve"> Interviews lasted 00:42:41 on average.</w:t>
      </w:r>
      <w:r w:rsidR="000E2096" w:rsidRPr="00B56453">
        <w:rPr>
          <w:lang w:val="en-GB"/>
        </w:rPr>
        <w:t xml:space="preserve"> Full demograp</w:t>
      </w:r>
      <w:r w:rsidR="00621155" w:rsidRPr="00B56453">
        <w:rPr>
          <w:lang w:val="en-GB"/>
        </w:rPr>
        <w:t xml:space="preserve">hics are included in Appendix </w:t>
      </w:r>
      <w:r w:rsidR="00B76E6D" w:rsidRPr="00B56453">
        <w:rPr>
          <w:lang w:val="en-GB"/>
        </w:rPr>
        <w:t>13</w:t>
      </w:r>
      <w:r w:rsidR="00621155" w:rsidRPr="00B56453">
        <w:rPr>
          <w:lang w:val="en-GB"/>
        </w:rPr>
        <w:t xml:space="preserve"> and the theme review with quotes is included in Appendix </w:t>
      </w:r>
      <w:r w:rsidR="00B76E6D" w:rsidRPr="00B56453">
        <w:rPr>
          <w:lang w:val="en-GB"/>
        </w:rPr>
        <w:t>11</w:t>
      </w:r>
      <w:r w:rsidR="00621155" w:rsidRPr="00B56453">
        <w:rPr>
          <w:lang w:val="en-GB"/>
        </w:rPr>
        <w:t>.</w:t>
      </w:r>
    </w:p>
    <w:p w14:paraId="2508AEA9" w14:textId="77777777" w:rsidR="0070586E" w:rsidRPr="00B56453" w:rsidRDefault="0070586E" w:rsidP="00026049">
      <w:pPr>
        <w:pStyle w:val="Normal1"/>
        <w:rPr>
          <w:lang w:val="en-GB"/>
        </w:rPr>
      </w:pPr>
    </w:p>
    <w:p w14:paraId="592153DF" w14:textId="1AF80109" w:rsidR="0070586E" w:rsidRPr="00B56453" w:rsidRDefault="0070586E" w:rsidP="00026049">
      <w:pPr>
        <w:pStyle w:val="Normal1"/>
        <w:rPr>
          <w:lang w:val="en-GB"/>
        </w:rPr>
      </w:pPr>
      <w:r w:rsidRPr="00B56453">
        <w:rPr>
          <w:lang w:val="en-GB"/>
        </w:rPr>
        <w:t xml:space="preserve">Analysis of these discussions revealed three distinct themes, and their sub-themes, </w:t>
      </w:r>
      <w:r w:rsidR="00950528" w:rsidRPr="00B56453">
        <w:rPr>
          <w:lang w:val="en-GB"/>
        </w:rPr>
        <w:t>that</w:t>
      </w:r>
      <w:r w:rsidRPr="00B56453">
        <w:rPr>
          <w:lang w:val="en-GB"/>
        </w:rPr>
        <w:t xml:space="preserve"> described the impact that the training intervention had on the teachers’ practice</w:t>
      </w:r>
      <w:r w:rsidR="00B22DF5" w:rsidRPr="00B56453">
        <w:rPr>
          <w:lang w:val="en-GB"/>
        </w:rPr>
        <w:t>s</w:t>
      </w:r>
      <w:r w:rsidRPr="00B56453">
        <w:rPr>
          <w:lang w:val="en-GB"/>
        </w:rPr>
        <w:t xml:space="preserve">: (1) </w:t>
      </w:r>
      <w:r w:rsidR="008E7D00" w:rsidRPr="00B56453">
        <w:rPr>
          <w:lang w:val="en-GB"/>
        </w:rPr>
        <w:t>Conceptualisation</w:t>
      </w:r>
      <w:r w:rsidRPr="00B56453">
        <w:rPr>
          <w:lang w:val="en-GB"/>
        </w:rPr>
        <w:t>s informing practice; (2) Factors influencing the feedback encounter; (3) Dynamic adjustment and reflective change. A conceptual model was then developed elucidating the impact of the feedback models on teaching and feedback practices. The themes forming the conceptual model were modified by overarching differences</w:t>
      </w:r>
      <w:r w:rsidR="00B22DF5" w:rsidRPr="00B56453">
        <w:rPr>
          <w:lang w:val="en-GB"/>
        </w:rPr>
        <w:t xml:space="preserve"> in teaching experience (experienced</w:t>
      </w:r>
      <w:r w:rsidRPr="00B56453">
        <w:rPr>
          <w:lang w:val="en-GB"/>
        </w:rPr>
        <w:t xml:space="preserve"> and novice), and by the contextual and situational factors at play </w:t>
      </w:r>
      <w:r w:rsidR="00950528" w:rsidRPr="00B56453">
        <w:rPr>
          <w:lang w:val="en-GB"/>
        </w:rPr>
        <w:t>during teaching</w:t>
      </w:r>
      <w:r w:rsidRPr="00B56453">
        <w:rPr>
          <w:lang w:val="en-GB"/>
        </w:rPr>
        <w:t>.</w:t>
      </w:r>
    </w:p>
    <w:p w14:paraId="6E9B80FA" w14:textId="77777777" w:rsidR="0070586E" w:rsidRPr="00B56453" w:rsidRDefault="0070586E" w:rsidP="00026049">
      <w:pPr>
        <w:pStyle w:val="Normal1"/>
        <w:rPr>
          <w:lang w:val="en-GB"/>
        </w:rPr>
      </w:pPr>
    </w:p>
    <w:p w14:paraId="0886AF74" w14:textId="77777777" w:rsidR="0049047B" w:rsidRPr="00B56453" w:rsidRDefault="0049047B">
      <w:pPr>
        <w:rPr>
          <w:rFonts w:eastAsiaTheme="majorEastAsia" w:cstheme="majorBidi"/>
          <w:b/>
          <w:i/>
          <w:szCs w:val="24"/>
          <w:lang w:eastAsia="hi-IN" w:bidi="hi-IN"/>
        </w:rPr>
      </w:pPr>
      <w:r w:rsidRPr="00B56453">
        <w:br w:type="page"/>
      </w:r>
    </w:p>
    <w:p w14:paraId="5EAFF765" w14:textId="7338D3BE" w:rsidR="0070586E" w:rsidRPr="00B56453" w:rsidRDefault="00C93903" w:rsidP="00BA4521">
      <w:pPr>
        <w:pStyle w:val="Heading3"/>
      </w:pPr>
      <w:bookmarkStart w:id="289" w:name="_Toc500319389"/>
      <w:r w:rsidRPr="00B56453">
        <w:lastRenderedPageBreak/>
        <w:t xml:space="preserve">B2.3.1 </w:t>
      </w:r>
      <w:r w:rsidR="008E7D00" w:rsidRPr="00B56453">
        <w:t>Conceptualisation</w:t>
      </w:r>
      <w:r w:rsidR="0070586E" w:rsidRPr="00B56453">
        <w:t xml:space="preserve">s </w:t>
      </w:r>
      <w:r w:rsidR="00234E4A" w:rsidRPr="00B56453">
        <w:t>Informing Practice</w:t>
      </w:r>
      <w:bookmarkEnd w:id="289"/>
    </w:p>
    <w:p w14:paraId="1FB2D235" w14:textId="77777777" w:rsidR="0070586E" w:rsidRPr="00B56453" w:rsidRDefault="0070586E" w:rsidP="00026049">
      <w:pPr>
        <w:pStyle w:val="Normal1"/>
        <w:rPr>
          <w:lang w:val="en-GB"/>
        </w:rPr>
      </w:pPr>
    </w:p>
    <w:p w14:paraId="2A37000A" w14:textId="149AD041" w:rsidR="0070586E" w:rsidRPr="00B56453" w:rsidRDefault="0070586E" w:rsidP="00026049">
      <w:pPr>
        <w:pStyle w:val="Normal1"/>
        <w:rPr>
          <w:lang w:val="en-GB"/>
        </w:rPr>
      </w:pPr>
      <w:r w:rsidRPr="00B56453">
        <w:rPr>
          <w:lang w:val="en-GB"/>
        </w:rPr>
        <w:t xml:space="preserve">Teachers clearly articulated where their </w:t>
      </w:r>
      <w:r w:rsidR="008E7D00" w:rsidRPr="00B56453">
        <w:rPr>
          <w:lang w:val="en-GB"/>
        </w:rPr>
        <w:t>conceptualisation</w:t>
      </w:r>
      <w:r w:rsidR="008B453F" w:rsidRPr="00B56453">
        <w:rPr>
          <w:lang w:val="en-GB"/>
        </w:rPr>
        <w:t>s of</w:t>
      </w:r>
      <w:r w:rsidRPr="00B56453">
        <w:rPr>
          <w:lang w:val="en-GB"/>
        </w:rPr>
        <w:t xml:space="preserve"> teaching </w:t>
      </w:r>
      <w:r w:rsidR="008B453F" w:rsidRPr="00B56453">
        <w:rPr>
          <w:lang w:val="en-GB"/>
        </w:rPr>
        <w:t>and</w:t>
      </w:r>
      <w:r w:rsidRPr="00B56453">
        <w:rPr>
          <w:lang w:val="en-GB"/>
        </w:rPr>
        <w:t xml:space="preserve"> feedback had come from, what influenced them, and how they </w:t>
      </w:r>
      <w:r w:rsidR="00950528" w:rsidRPr="00B56453">
        <w:rPr>
          <w:lang w:val="en-GB"/>
        </w:rPr>
        <w:t xml:space="preserve">were </w:t>
      </w:r>
      <w:r w:rsidRPr="00B56453">
        <w:rPr>
          <w:lang w:val="en-GB"/>
        </w:rPr>
        <w:t xml:space="preserve">translated into their teaching practice using the feedback models. </w:t>
      </w:r>
      <w:r w:rsidR="00AE17C9" w:rsidRPr="00B56453">
        <w:rPr>
          <w:lang w:val="en-GB"/>
        </w:rPr>
        <w:t>Figure</w:t>
      </w:r>
      <w:r w:rsidRPr="00B56453">
        <w:rPr>
          <w:lang w:val="en-GB"/>
        </w:rPr>
        <w:t xml:space="preserve"> </w:t>
      </w:r>
      <w:r w:rsidR="00DE2169" w:rsidRPr="00B56453">
        <w:rPr>
          <w:lang w:val="en-GB"/>
        </w:rPr>
        <w:t>B2.2</w:t>
      </w:r>
      <w:r w:rsidRPr="00B56453">
        <w:rPr>
          <w:lang w:val="en-GB"/>
        </w:rPr>
        <w:t xml:space="preserve"> shows how each sub-theme inform</w:t>
      </w:r>
      <w:r w:rsidR="001376BA" w:rsidRPr="00B56453">
        <w:rPr>
          <w:lang w:val="en-GB"/>
        </w:rPr>
        <w:t>ed</w:t>
      </w:r>
      <w:r w:rsidRPr="00B56453">
        <w:rPr>
          <w:lang w:val="en-GB"/>
        </w:rPr>
        <w:t xml:space="preserve"> the overarching theme.</w:t>
      </w:r>
    </w:p>
    <w:p w14:paraId="1B094FBC" w14:textId="77777777" w:rsidR="0070586E" w:rsidRPr="00B56453" w:rsidRDefault="0070586E" w:rsidP="0070586E">
      <w:pPr>
        <w:spacing w:line="276" w:lineRule="auto"/>
        <w:ind w:firstLine="720"/>
        <w:jc w:val="both"/>
        <w:rPr>
          <w:rFonts w:cs="Times New Roman"/>
          <w:color w:val="000000" w:themeColor="text1"/>
          <w:szCs w:val="24"/>
        </w:rPr>
      </w:pPr>
    </w:p>
    <w:p w14:paraId="693CC89A" w14:textId="1570B4AB" w:rsidR="0070586E" w:rsidRPr="00B56453" w:rsidRDefault="00A444E2" w:rsidP="00ED3E01">
      <w:pPr>
        <w:ind w:firstLine="720"/>
        <w:rPr>
          <w:rFonts w:cs="Times New Roman"/>
        </w:rPr>
      </w:pPr>
      <w:r w:rsidRPr="00B56453">
        <w:rPr>
          <w:noProof/>
          <w:lang w:eastAsia="en-GB"/>
        </w:rPr>
        <w:drawing>
          <wp:anchor distT="0" distB="0" distL="114300" distR="114300" simplePos="0" relativeHeight="251652096" behindDoc="0" locked="0" layoutInCell="1" allowOverlap="1" wp14:anchorId="462168C1" wp14:editId="5332D2B4">
            <wp:simplePos x="0" y="0"/>
            <wp:positionH relativeFrom="column">
              <wp:posOffset>-26670</wp:posOffset>
            </wp:positionH>
            <wp:positionV relativeFrom="paragraph">
              <wp:posOffset>10160</wp:posOffset>
            </wp:positionV>
            <wp:extent cx="5422265" cy="3200400"/>
            <wp:effectExtent l="0" t="0" r="13335" b="25400"/>
            <wp:wrapSquare wrapText="bothSides"/>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anchor>
        </w:drawing>
      </w:r>
      <w:r w:rsidR="00DD0B00" w:rsidRPr="00B27F0B">
        <w:rPr>
          <w:noProof/>
          <w:lang w:eastAsia="en-GB"/>
        </w:rPr>
        <mc:AlternateContent>
          <mc:Choice Requires="wps">
            <w:drawing>
              <wp:anchor distT="0" distB="0" distL="114300" distR="114300" simplePos="0" relativeHeight="251887616" behindDoc="0" locked="0" layoutInCell="1" allowOverlap="1" wp14:anchorId="6E4B9352" wp14:editId="1FCFD3FF">
                <wp:simplePos x="0" y="0"/>
                <wp:positionH relativeFrom="column">
                  <wp:posOffset>-26299</wp:posOffset>
                </wp:positionH>
                <wp:positionV relativeFrom="paragraph">
                  <wp:posOffset>3358515</wp:posOffset>
                </wp:positionV>
                <wp:extent cx="5734050" cy="262890"/>
                <wp:effectExtent l="0" t="0" r="0" b="8255"/>
                <wp:wrapSquare wrapText="bothSides"/>
                <wp:docPr id="452" name="Text Box 452"/>
                <wp:cNvGraphicFramePr/>
                <a:graphic xmlns:a="http://schemas.openxmlformats.org/drawingml/2006/main">
                  <a:graphicData uri="http://schemas.microsoft.com/office/word/2010/wordprocessingShape">
                    <wps:wsp>
                      <wps:cNvSpPr txBox="1"/>
                      <wps:spPr>
                        <a:xfrm>
                          <a:off x="0" y="0"/>
                          <a:ext cx="5734050" cy="262890"/>
                        </a:xfrm>
                        <a:prstGeom prst="rect">
                          <a:avLst/>
                        </a:prstGeom>
                        <a:solidFill>
                          <a:prstClr val="white"/>
                        </a:solidFill>
                        <a:ln>
                          <a:noFill/>
                        </a:ln>
                        <a:effectLst/>
                      </wps:spPr>
                      <wps:txbx>
                        <w:txbxContent>
                          <w:p w14:paraId="43E254CA" w14:textId="1E8C5253" w:rsidR="00C8402C" w:rsidRPr="00DD0B00" w:rsidRDefault="00C8402C" w:rsidP="00026049">
                            <w:pPr>
                              <w:pStyle w:val="Normal1"/>
                            </w:pPr>
                            <w:r>
                              <w:t>Figure B2.</w:t>
                            </w:r>
                            <w:r>
                              <w:fldChar w:fldCharType="begin"/>
                            </w:r>
                            <w:r>
                              <w:instrText xml:space="preserve"> SEQ Figure_B2. \* ARABIC </w:instrText>
                            </w:r>
                            <w:r>
                              <w:fldChar w:fldCharType="separate"/>
                            </w:r>
                            <w:r>
                              <w:rPr>
                                <w:noProof/>
                              </w:rPr>
                              <w:t>2</w:t>
                            </w:r>
                            <w:r>
                              <w:fldChar w:fldCharType="end"/>
                            </w:r>
                            <w:r>
                              <w:t xml:space="preserve"> Conceptualisation</w:t>
                            </w:r>
                            <w:r w:rsidRPr="008F0FCA">
                              <w:t>s informing practice theme and sub-themes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4B9352" id="Text Box 452" o:spid="_x0000_s1180" type="#_x0000_t202" style="position:absolute;left:0;text-align:left;margin-left:-2.05pt;margin-top:264.45pt;width:451.5pt;height:20.7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" stroked="f">
                <v:textbox style="mso-fit-shape-to-text:t" inset="0,0,0,0">
                  <w:txbxContent>
                    <w:p w14:paraId="43E254CA" w14:textId="1E8C5253" w:rsidR="00C8402C" w:rsidRPr="00DD0B00" w:rsidRDefault="00C8402C" w:rsidP="00026049">
                      <w:pPr>
                        <w:pStyle w:val="Normal1"/>
                      </w:pPr>
                      <w:r>
                        <w:t>Figure B2.</w:t>
                      </w:r>
                      <w:r>
                        <w:fldChar w:fldCharType="begin"/>
                      </w:r>
                      <w:r>
                        <w:instrText xml:space="preserve"> SEQ Figure_B2. \* ARABIC </w:instrText>
                      </w:r>
                      <w:r>
                        <w:fldChar w:fldCharType="separate"/>
                      </w:r>
                      <w:r>
                        <w:rPr>
                          <w:noProof/>
                        </w:rPr>
                        <w:t>2</w:t>
                      </w:r>
                      <w:r>
                        <w:fldChar w:fldCharType="end"/>
                      </w:r>
                      <w:r>
                        <w:t xml:space="preserve"> </w:t>
                      </w:r>
                      <w:proofErr w:type="spellStart"/>
                      <w:r>
                        <w:t>Conceptualisation</w:t>
                      </w:r>
                      <w:r w:rsidRPr="008F0FCA">
                        <w:t>s</w:t>
                      </w:r>
                      <w:proofErr w:type="spellEnd"/>
                      <w:r w:rsidRPr="008F0FCA">
                        <w:t xml:space="preserve"> </w:t>
                      </w:r>
                      <w:proofErr w:type="spellStart"/>
                      <w:r w:rsidRPr="008F0FCA">
                        <w:t>informing</w:t>
                      </w:r>
                      <w:proofErr w:type="spellEnd"/>
                      <w:r w:rsidRPr="008F0FCA">
                        <w:t xml:space="preserve"> </w:t>
                      </w:r>
                      <w:proofErr w:type="spellStart"/>
                      <w:r w:rsidRPr="008F0FCA">
                        <w:t>practice</w:t>
                      </w:r>
                      <w:proofErr w:type="spellEnd"/>
                      <w:r w:rsidRPr="008F0FCA">
                        <w:t xml:space="preserve"> </w:t>
                      </w:r>
                      <w:proofErr w:type="spellStart"/>
                      <w:r w:rsidRPr="008F0FCA">
                        <w:t>theme</w:t>
                      </w:r>
                      <w:proofErr w:type="spellEnd"/>
                      <w:r w:rsidRPr="008F0FCA">
                        <w:t xml:space="preserve"> and sub-</w:t>
                      </w:r>
                      <w:proofErr w:type="spellStart"/>
                      <w:r w:rsidRPr="008F0FCA">
                        <w:t>themes</w:t>
                      </w:r>
                      <w:proofErr w:type="spellEnd"/>
                      <w:r>
                        <w:t>.</w:t>
                      </w:r>
                    </w:p>
                  </w:txbxContent>
                </v:textbox>
                <w10:wrap type="square"/>
              </v:shape>
            </w:pict>
          </mc:Fallback>
        </mc:AlternateContent>
      </w:r>
    </w:p>
    <w:p w14:paraId="5BE8AB83" w14:textId="1233FD1F" w:rsidR="0070586E" w:rsidRPr="00BD42AF" w:rsidRDefault="00950528" w:rsidP="00026049">
      <w:pPr>
        <w:pStyle w:val="Normal1"/>
        <w:rPr>
          <w:lang w:val="en-GB"/>
        </w:rPr>
      </w:pPr>
      <w:r w:rsidRPr="00BD42AF">
        <w:rPr>
          <w:lang w:val="en-GB"/>
        </w:rPr>
        <w:t>A strong influence</w:t>
      </w:r>
      <w:r w:rsidR="0070586E" w:rsidRPr="00BD42AF">
        <w:rPr>
          <w:lang w:val="en-GB"/>
        </w:rPr>
        <w:t xml:space="preserve"> informing teaching practice was how the teachers’ educational background</w:t>
      </w:r>
      <w:r w:rsidR="001376BA" w:rsidRPr="00BD42AF">
        <w:rPr>
          <w:lang w:val="en-GB"/>
        </w:rPr>
        <w:t>s</w:t>
      </w:r>
      <w:r w:rsidR="0070586E" w:rsidRPr="00BD42AF">
        <w:rPr>
          <w:lang w:val="en-GB"/>
        </w:rPr>
        <w:t xml:space="preserve"> impacted upon their feedback approaches. One novice teacher attributed their approach to concepts taught to them during their undergraduate medical training.</w:t>
      </w:r>
    </w:p>
    <w:p w14:paraId="0808AC31" w14:textId="77777777" w:rsidR="0070586E" w:rsidRPr="00BD42AF" w:rsidRDefault="0070586E" w:rsidP="00026049">
      <w:pPr>
        <w:pStyle w:val="Normal1"/>
        <w:rPr>
          <w:lang w:val="en-GB"/>
        </w:rPr>
      </w:pPr>
    </w:p>
    <w:p w14:paraId="4FC280FB" w14:textId="604CDCFE" w:rsidR="0070586E" w:rsidRPr="00C71126" w:rsidRDefault="00BF3F7A" w:rsidP="00234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cs="Times New Roman"/>
          <w:szCs w:val="24"/>
        </w:rPr>
      </w:pPr>
      <w:r w:rsidRPr="00BD42AF">
        <w:rPr>
          <w:rFonts w:cs="Times New Roman"/>
          <w:szCs w:val="24"/>
        </w:rPr>
        <w:t>BPF Nov - 6</w:t>
      </w:r>
      <w:r w:rsidRPr="00BD42AF">
        <w:rPr>
          <w:rStyle w:val="QuoteChar"/>
          <w:lang w:val="en-GB"/>
        </w:rPr>
        <w:t xml:space="preserve"> </w:t>
      </w:r>
      <w:r w:rsidR="0070586E" w:rsidRPr="00BD42AF">
        <w:rPr>
          <w:rStyle w:val="QuoteChar"/>
          <w:lang w:val="en-GB"/>
        </w:rPr>
        <w:t>“In medical school we were always taught with the sandwich model: give the good stuff, not so good stuff, good stuff which kind of works quite well</w:t>
      </w:r>
      <w:r w:rsidR="001376BA" w:rsidRPr="00BD42AF">
        <w:rPr>
          <w:rStyle w:val="QuoteChar"/>
          <w:lang w:val="en-GB"/>
        </w:rPr>
        <w:t>.</w:t>
      </w:r>
      <w:r w:rsidR="0070586E" w:rsidRPr="00BD42AF">
        <w:rPr>
          <w:rStyle w:val="QuoteChar"/>
          <w:lang w:val="en-GB"/>
        </w:rPr>
        <w:t xml:space="preserve"> </w:t>
      </w:r>
      <w:r w:rsidR="001376BA" w:rsidRPr="001046E5">
        <w:rPr>
          <w:rStyle w:val="QuoteChar"/>
          <w:lang w:val="en-GB"/>
        </w:rPr>
        <w:t>E</w:t>
      </w:r>
      <w:r w:rsidR="0070586E" w:rsidRPr="00C71126">
        <w:rPr>
          <w:rStyle w:val="QuoteChar"/>
          <w:lang w:val="en-GB"/>
        </w:rPr>
        <w:t>specially if you haven’t had that much feedback training, it does seem to work</w:t>
      </w:r>
      <w:r w:rsidR="00950528" w:rsidRPr="00C71126">
        <w:rPr>
          <w:rStyle w:val="QuoteChar"/>
          <w:lang w:val="en-GB"/>
        </w:rPr>
        <w:t>.</w:t>
      </w:r>
      <w:r w:rsidR="0070586E" w:rsidRPr="00C71126">
        <w:rPr>
          <w:rStyle w:val="QuoteChar"/>
          <w:lang w:val="en-GB"/>
        </w:rPr>
        <w:t>”</w:t>
      </w:r>
    </w:p>
    <w:p w14:paraId="73DB0B53" w14:textId="77777777" w:rsidR="0070586E" w:rsidRPr="00C71126" w:rsidRDefault="0070586E" w:rsidP="00026049">
      <w:pPr>
        <w:pStyle w:val="Normal1"/>
        <w:rPr>
          <w:lang w:val="en-GB"/>
        </w:rPr>
      </w:pPr>
    </w:p>
    <w:p w14:paraId="354E6FCE" w14:textId="27C135B5" w:rsidR="0070586E" w:rsidRPr="00C71126" w:rsidRDefault="0070586E" w:rsidP="00026049">
      <w:pPr>
        <w:pStyle w:val="Normal1"/>
        <w:rPr>
          <w:lang w:val="en-GB"/>
        </w:rPr>
      </w:pPr>
      <w:r w:rsidRPr="00C71126">
        <w:rPr>
          <w:lang w:val="en-GB"/>
        </w:rPr>
        <w:t>Similarly, other novice teachers cited both educational and sports coaching experiences as providing formative experience in learning to teach and give feedback.</w:t>
      </w:r>
    </w:p>
    <w:p w14:paraId="1D240708" w14:textId="77777777" w:rsidR="0070586E" w:rsidRPr="00C71126" w:rsidRDefault="0070586E" w:rsidP="00026049">
      <w:pPr>
        <w:pStyle w:val="Normal1"/>
        <w:rPr>
          <w:lang w:val="en-GB"/>
        </w:rPr>
      </w:pPr>
    </w:p>
    <w:p w14:paraId="3205A09A" w14:textId="77777777" w:rsidR="0049047B" w:rsidRPr="00C71126" w:rsidRDefault="0049047B" w:rsidP="00026049">
      <w:pPr>
        <w:pStyle w:val="Normal1"/>
        <w:rPr>
          <w:lang w:val="en-GB"/>
        </w:rPr>
      </w:pPr>
    </w:p>
    <w:p w14:paraId="0A2E858B" w14:textId="6711FFD8" w:rsidR="0070586E" w:rsidRPr="00B27F0B" w:rsidRDefault="00BF3F7A" w:rsidP="005C1F6D">
      <w:pPr>
        <w:pStyle w:val="Quote"/>
        <w:rPr>
          <w:lang w:val="en-GB"/>
        </w:rPr>
      </w:pPr>
      <w:r w:rsidRPr="00B27F0B">
        <w:rPr>
          <w:lang w:val="en-GB"/>
        </w:rPr>
        <w:lastRenderedPageBreak/>
        <w:t xml:space="preserve">SRLF Nov - 2 </w:t>
      </w:r>
      <w:r w:rsidR="0070586E" w:rsidRPr="00B27F0B">
        <w:rPr>
          <w:lang w:val="en-GB"/>
        </w:rPr>
        <w:t>“My feedback techniques are modelled on feedback I’ve given and received from coaching football, from going through med</w:t>
      </w:r>
      <w:r w:rsidR="001376BA" w:rsidRPr="00B27F0B">
        <w:rPr>
          <w:lang w:val="en-GB"/>
        </w:rPr>
        <w:t>ical</w:t>
      </w:r>
      <w:r w:rsidR="0070586E" w:rsidRPr="00B27F0B">
        <w:rPr>
          <w:lang w:val="en-GB"/>
        </w:rPr>
        <w:t xml:space="preserve"> school, I always ask for feedback, I’m a very much a feedback person and I’m not scared to ask for it but I’ve never had formal </w:t>
      </w:r>
      <w:r w:rsidR="001376BA" w:rsidRPr="00B27F0B">
        <w:rPr>
          <w:lang w:val="en-GB"/>
        </w:rPr>
        <w:t>training</w:t>
      </w:r>
      <w:r w:rsidR="00950528" w:rsidRPr="00B27F0B">
        <w:rPr>
          <w:lang w:val="en-GB"/>
        </w:rPr>
        <w:t>.</w:t>
      </w:r>
      <w:r w:rsidR="0070586E" w:rsidRPr="00B27F0B">
        <w:rPr>
          <w:lang w:val="en-GB"/>
        </w:rPr>
        <w:t>”</w:t>
      </w:r>
    </w:p>
    <w:p w14:paraId="35C5CB7C" w14:textId="77777777" w:rsidR="0070586E" w:rsidRPr="00B56453" w:rsidRDefault="0070586E" w:rsidP="00026049">
      <w:pPr>
        <w:pStyle w:val="Normal1"/>
        <w:rPr>
          <w:lang w:val="en-GB"/>
        </w:rPr>
      </w:pPr>
    </w:p>
    <w:p w14:paraId="001C3169" w14:textId="0148BB3B" w:rsidR="0070586E" w:rsidRPr="00BD42AF" w:rsidRDefault="0070586E" w:rsidP="00026049">
      <w:pPr>
        <w:pStyle w:val="Normal1"/>
        <w:rPr>
          <w:lang w:val="en-GB"/>
        </w:rPr>
      </w:pPr>
      <w:r w:rsidRPr="00BD42AF">
        <w:rPr>
          <w:lang w:val="en-GB"/>
        </w:rPr>
        <w:t>The experienced teachers often used examples of professional practice experiences which had informed their use of feedback ‘styles’ which was then translated into teaching environments.</w:t>
      </w:r>
    </w:p>
    <w:p w14:paraId="54A0490F" w14:textId="77777777" w:rsidR="0070586E" w:rsidRPr="00BD42AF" w:rsidRDefault="0070586E" w:rsidP="00026049">
      <w:pPr>
        <w:pStyle w:val="Normal1"/>
        <w:rPr>
          <w:lang w:val="en-GB"/>
        </w:rPr>
      </w:pPr>
    </w:p>
    <w:p w14:paraId="241F9BF8" w14:textId="3070C505" w:rsidR="0070586E" w:rsidRPr="00B27F0B" w:rsidRDefault="00BF3F7A" w:rsidP="005C1F6D">
      <w:pPr>
        <w:pStyle w:val="Quote"/>
        <w:rPr>
          <w:lang w:val="en-GB"/>
        </w:rPr>
      </w:pPr>
      <w:r w:rsidRPr="00B27F0B">
        <w:rPr>
          <w:lang w:val="en-GB"/>
        </w:rPr>
        <w:t xml:space="preserve">BPF Exp - 6 </w:t>
      </w:r>
      <w:r w:rsidR="0070586E" w:rsidRPr="00B27F0B">
        <w:rPr>
          <w:lang w:val="en-GB"/>
        </w:rPr>
        <w:t>“I learned on the job, you took away what you like which was fed to you and meshed it all together and tried to develop my own style to deliver to others.”</w:t>
      </w:r>
    </w:p>
    <w:p w14:paraId="6BAF40F3" w14:textId="77777777" w:rsidR="0070586E" w:rsidRPr="00B56453" w:rsidRDefault="0070586E" w:rsidP="00026049">
      <w:pPr>
        <w:pStyle w:val="Normal1"/>
        <w:rPr>
          <w:lang w:val="en-GB"/>
        </w:rPr>
      </w:pPr>
    </w:p>
    <w:p w14:paraId="3D5B8B89" w14:textId="4AB5ADB4" w:rsidR="0070586E" w:rsidRPr="00BD42AF" w:rsidRDefault="0070586E" w:rsidP="00026049">
      <w:pPr>
        <w:pStyle w:val="Normal1"/>
        <w:rPr>
          <w:lang w:val="en-GB"/>
        </w:rPr>
      </w:pPr>
      <w:r w:rsidRPr="00BD42AF">
        <w:rPr>
          <w:lang w:val="en-GB"/>
        </w:rPr>
        <w:t xml:space="preserve">A mix of novice and experienced teachers found that their previous educational and working background impacted upon their understanding of the feedback models they used. This then </w:t>
      </w:r>
      <w:r w:rsidR="00BF3F7A" w:rsidRPr="00BD42AF">
        <w:rPr>
          <w:lang w:val="en-GB"/>
        </w:rPr>
        <w:t>impacted upon</w:t>
      </w:r>
      <w:r w:rsidRPr="00BD42AF">
        <w:rPr>
          <w:lang w:val="en-GB"/>
        </w:rPr>
        <w:t xml:space="preserve"> their use of the</w:t>
      </w:r>
      <w:r w:rsidR="00BF3F7A" w:rsidRPr="00BD42AF">
        <w:rPr>
          <w:lang w:val="en-GB"/>
        </w:rPr>
        <w:t>ir allocated</w:t>
      </w:r>
      <w:r w:rsidRPr="00BD42AF">
        <w:rPr>
          <w:lang w:val="en-GB"/>
        </w:rPr>
        <w:t xml:space="preserve"> model during the teaching sessions.</w:t>
      </w:r>
    </w:p>
    <w:p w14:paraId="7C04D7EA" w14:textId="77777777" w:rsidR="0070586E" w:rsidRPr="00BD42AF" w:rsidRDefault="0070586E" w:rsidP="00705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cs="Times New Roman"/>
          <w:szCs w:val="24"/>
        </w:rPr>
      </w:pPr>
    </w:p>
    <w:p w14:paraId="60DC2158" w14:textId="5EC80457" w:rsidR="0070586E" w:rsidRPr="00B27F0B" w:rsidRDefault="00BF3F7A" w:rsidP="005C1F6D">
      <w:pPr>
        <w:pStyle w:val="Quote"/>
        <w:rPr>
          <w:lang w:val="en-GB"/>
        </w:rPr>
      </w:pPr>
      <w:r w:rsidRPr="00B27F0B">
        <w:rPr>
          <w:lang w:val="en-GB"/>
        </w:rPr>
        <w:t xml:space="preserve">SRLF Exp - 1 </w:t>
      </w:r>
      <w:r w:rsidR="0070586E" w:rsidRPr="00B27F0B">
        <w:rPr>
          <w:lang w:val="en-GB"/>
        </w:rPr>
        <w:t>“The bits SRL consists of like setting a goal and so on, I have heard about it through my studies of human factors because I’ve got a psychology degree as well, so I know a bit about it. But it’s the first time I’ve had it as one general concept to guide me through the teaching session so I didn’t find it too difficult to kind of subscribe to it</w:t>
      </w:r>
      <w:r w:rsidR="00950528" w:rsidRPr="00B27F0B">
        <w:rPr>
          <w:lang w:val="en-GB"/>
        </w:rPr>
        <w:t>.</w:t>
      </w:r>
      <w:r w:rsidR="0070586E" w:rsidRPr="00B27F0B">
        <w:rPr>
          <w:lang w:val="en-GB"/>
        </w:rPr>
        <w:t>”</w:t>
      </w:r>
    </w:p>
    <w:p w14:paraId="77F81830" w14:textId="77777777" w:rsidR="0070586E" w:rsidRPr="00B56453" w:rsidRDefault="0070586E" w:rsidP="005C1F6D">
      <w:pPr>
        <w:pStyle w:val="Quote"/>
        <w:rPr>
          <w:lang w:val="en-GB"/>
        </w:rPr>
      </w:pPr>
    </w:p>
    <w:p w14:paraId="2B508536" w14:textId="77777777" w:rsidR="0049047B" w:rsidRPr="00BD42AF" w:rsidRDefault="0049047B">
      <w:pPr>
        <w:rPr>
          <w:rFonts w:eastAsiaTheme="majorEastAsia" w:cstheme="majorBidi"/>
          <w:b/>
          <w:i/>
          <w:szCs w:val="24"/>
          <w:lang w:eastAsia="hi-IN" w:bidi="hi-IN"/>
        </w:rPr>
      </w:pPr>
      <w:r w:rsidRPr="00B56453">
        <w:br w:type="page"/>
      </w:r>
    </w:p>
    <w:p w14:paraId="03C4E6DF" w14:textId="4E00DB7E" w:rsidR="0070586E" w:rsidRPr="00BD42AF" w:rsidRDefault="00C93903" w:rsidP="00BA4521">
      <w:pPr>
        <w:pStyle w:val="Heading3"/>
      </w:pPr>
      <w:bookmarkStart w:id="290" w:name="_Toc500319390"/>
      <w:r w:rsidRPr="00BD42AF">
        <w:lastRenderedPageBreak/>
        <w:t xml:space="preserve">B2.3.2 </w:t>
      </w:r>
      <w:r w:rsidR="0070586E" w:rsidRPr="00BD42AF">
        <w:t xml:space="preserve">Factors </w:t>
      </w:r>
      <w:r w:rsidR="00234E4A" w:rsidRPr="00BD42AF">
        <w:t>Influencing the Feedback Encounter</w:t>
      </w:r>
      <w:bookmarkEnd w:id="290"/>
      <w:r w:rsidR="00234E4A" w:rsidRPr="00BD42AF">
        <w:t xml:space="preserve"> </w:t>
      </w:r>
    </w:p>
    <w:p w14:paraId="33D9AF30" w14:textId="77777777" w:rsidR="0070586E" w:rsidRPr="00BD42AF" w:rsidRDefault="0070586E" w:rsidP="00026049">
      <w:pPr>
        <w:pStyle w:val="Normal1"/>
        <w:rPr>
          <w:lang w:val="en-GB"/>
        </w:rPr>
      </w:pPr>
    </w:p>
    <w:p w14:paraId="4122846D" w14:textId="6952DAAB" w:rsidR="0070586E" w:rsidRPr="00C71126" w:rsidRDefault="0070586E" w:rsidP="00026049">
      <w:pPr>
        <w:pStyle w:val="Normal1"/>
        <w:rPr>
          <w:lang w:val="en-GB"/>
        </w:rPr>
      </w:pPr>
      <w:r w:rsidRPr="00BD42AF">
        <w:rPr>
          <w:lang w:val="en-GB"/>
        </w:rPr>
        <w:t>Teachers described a process of simultaneously assessing the learner in the classroom and formulating the appropriate feedback message, then giving the feedback while perceiving the learner’s response to it</w:t>
      </w:r>
      <w:r w:rsidR="00A25238" w:rsidRPr="00BD42AF">
        <w:rPr>
          <w:lang w:val="en-GB"/>
        </w:rPr>
        <w:t xml:space="preserve"> </w:t>
      </w:r>
      <w:r w:rsidR="00950528" w:rsidRPr="00BD42AF">
        <w:rPr>
          <w:lang w:val="en-GB"/>
        </w:rPr>
        <w:t>as</w:t>
      </w:r>
      <w:r w:rsidR="00A25238" w:rsidRPr="00BD42AF">
        <w:rPr>
          <w:lang w:val="en-GB"/>
        </w:rPr>
        <w:t xml:space="preserve"> a cycle</w:t>
      </w:r>
      <w:r w:rsidRPr="00BD42AF">
        <w:rPr>
          <w:lang w:val="en-GB"/>
        </w:rPr>
        <w:t xml:space="preserve">. This process was </w:t>
      </w:r>
      <w:r w:rsidR="00A25238" w:rsidRPr="00BD42AF">
        <w:rPr>
          <w:lang w:val="en-GB"/>
        </w:rPr>
        <w:t>influenced</w:t>
      </w:r>
      <w:r w:rsidRPr="001046E5">
        <w:rPr>
          <w:lang w:val="en-GB"/>
        </w:rPr>
        <w:t xml:space="preserve"> by varying contextual and situational factors which affected the teachers’ practice during each stude</w:t>
      </w:r>
      <w:r w:rsidRPr="00C71126">
        <w:rPr>
          <w:lang w:val="en-GB"/>
        </w:rPr>
        <w:t>nt encounter (</w:t>
      </w:r>
      <w:r w:rsidR="00AE17C9" w:rsidRPr="00C71126">
        <w:rPr>
          <w:lang w:val="en-GB"/>
        </w:rPr>
        <w:t>Figure</w:t>
      </w:r>
      <w:r w:rsidRPr="00C71126">
        <w:rPr>
          <w:lang w:val="en-GB"/>
        </w:rPr>
        <w:t xml:space="preserve"> </w:t>
      </w:r>
      <w:r w:rsidR="00DE2169" w:rsidRPr="00C71126">
        <w:rPr>
          <w:lang w:val="en-GB"/>
        </w:rPr>
        <w:t>B2.3</w:t>
      </w:r>
      <w:r w:rsidRPr="00C71126">
        <w:rPr>
          <w:lang w:val="en-GB"/>
        </w:rPr>
        <w:t>).</w:t>
      </w:r>
    </w:p>
    <w:p w14:paraId="643F2815" w14:textId="03A3CDC8" w:rsidR="0070586E" w:rsidRPr="00B56453" w:rsidRDefault="00DE2169" w:rsidP="0070586E">
      <w:pPr>
        <w:rPr>
          <w:rFonts w:cs="Times New Roman"/>
        </w:rPr>
      </w:pPr>
      <w:r w:rsidRPr="00B56453">
        <w:rPr>
          <w:rFonts w:cs="Times New Roman"/>
          <w:noProof/>
          <w:lang w:eastAsia="en-GB"/>
        </w:rPr>
        <w:drawing>
          <wp:anchor distT="0" distB="0" distL="114300" distR="114300" simplePos="0" relativeHeight="251654144" behindDoc="0" locked="0" layoutInCell="1" allowOverlap="1" wp14:anchorId="3E1A2728" wp14:editId="65239833">
            <wp:simplePos x="0" y="0"/>
            <wp:positionH relativeFrom="column">
              <wp:posOffset>5715</wp:posOffset>
            </wp:positionH>
            <wp:positionV relativeFrom="paragraph">
              <wp:posOffset>297180</wp:posOffset>
            </wp:positionV>
            <wp:extent cx="5294630" cy="3200400"/>
            <wp:effectExtent l="25400" t="0" r="9017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anchor>
        </w:drawing>
      </w:r>
    </w:p>
    <w:p w14:paraId="0024117D" w14:textId="77777777" w:rsidR="00DE2169" w:rsidRPr="00BD42AF" w:rsidRDefault="00DE2169" w:rsidP="00026049">
      <w:pPr>
        <w:pStyle w:val="Normal1"/>
        <w:rPr>
          <w:lang w:val="en-GB"/>
        </w:rPr>
      </w:pPr>
    </w:p>
    <w:p w14:paraId="6DE3405B" w14:textId="0375AF35" w:rsidR="00DE2169" w:rsidRPr="00B56453" w:rsidRDefault="00DE2169" w:rsidP="00DE2169">
      <w:pPr>
        <w:pStyle w:val="Caption"/>
        <w:rPr>
          <w:rFonts w:cs="Times New Roman"/>
        </w:rPr>
      </w:pPr>
      <w:bookmarkStart w:id="291" w:name="_Toc500319548"/>
      <w:r w:rsidRPr="00BD42AF">
        <w:t>Figure B2.</w:t>
      </w:r>
      <w:fldSimple w:instr=" SEQ Figure_B2. \* ARABIC ">
        <w:r w:rsidR="00E44881" w:rsidRPr="00B56453">
          <w:rPr>
            <w:noProof/>
          </w:rPr>
          <w:t>3</w:t>
        </w:r>
      </w:fldSimple>
      <w:r w:rsidRPr="00B56453">
        <w:rPr>
          <w:rFonts w:cs="Times New Roman"/>
        </w:rPr>
        <w:t xml:space="preserve"> Factors influencing the feedback encounter theme and sub-themes.</w:t>
      </w:r>
      <w:bookmarkEnd w:id="291"/>
    </w:p>
    <w:p w14:paraId="20440E3F" w14:textId="77777777" w:rsidR="00DE2169" w:rsidRPr="00B56453" w:rsidRDefault="00DE2169" w:rsidP="00026049">
      <w:pPr>
        <w:pStyle w:val="Normal1"/>
        <w:rPr>
          <w:lang w:val="en-GB"/>
        </w:rPr>
      </w:pPr>
    </w:p>
    <w:p w14:paraId="7E2EB507" w14:textId="35931688" w:rsidR="0070586E" w:rsidRPr="00B56453" w:rsidRDefault="0070586E" w:rsidP="00026049">
      <w:pPr>
        <w:pStyle w:val="Normal1"/>
        <w:rPr>
          <w:lang w:val="en-GB"/>
        </w:rPr>
      </w:pPr>
      <w:r w:rsidRPr="00B56453">
        <w:rPr>
          <w:lang w:val="en-GB"/>
        </w:rPr>
        <w:t>Assessment of the learner prior to and whil</w:t>
      </w:r>
      <w:r w:rsidR="00950528" w:rsidRPr="00B56453">
        <w:rPr>
          <w:lang w:val="en-GB"/>
        </w:rPr>
        <w:t>st</w:t>
      </w:r>
      <w:r w:rsidRPr="00B56453">
        <w:rPr>
          <w:lang w:val="en-GB"/>
        </w:rPr>
        <w:t xml:space="preserve"> giving feedback was a common topic of discussion. One novice teacher described an occasion where they modified their feedback approach based upon </w:t>
      </w:r>
      <w:r w:rsidR="00950528" w:rsidRPr="00B56453">
        <w:rPr>
          <w:lang w:val="en-GB"/>
        </w:rPr>
        <w:t>an interaction with</w:t>
      </w:r>
      <w:r w:rsidRPr="00B56453">
        <w:rPr>
          <w:lang w:val="en-GB"/>
        </w:rPr>
        <w:t xml:space="preserve"> some students who stayed after the session.</w:t>
      </w:r>
    </w:p>
    <w:p w14:paraId="60E3D95C" w14:textId="77777777" w:rsidR="0070586E" w:rsidRPr="00B56453" w:rsidRDefault="0070586E" w:rsidP="00026049">
      <w:pPr>
        <w:pStyle w:val="Normal1"/>
        <w:rPr>
          <w:lang w:val="en-GB"/>
        </w:rPr>
      </w:pPr>
    </w:p>
    <w:p w14:paraId="2016762A" w14:textId="74A54E93" w:rsidR="0070586E" w:rsidRPr="00B27F0B" w:rsidRDefault="00A25238" w:rsidP="005C1F6D">
      <w:pPr>
        <w:pStyle w:val="Quote"/>
        <w:rPr>
          <w:lang w:val="en-GB"/>
        </w:rPr>
      </w:pPr>
      <w:r w:rsidRPr="00B27F0B">
        <w:rPr>
          <w:lang w:val="en-GB"/>
        </w:rPr>
        <w:t xml:space="preserve">BPF Nov - 7 </w:t>
      </w:r>
      <w:r w:rsidR="0070586E" w:rsidRPr="00B27F0B">
        <w:rPr>
          <w:lang w:val="en-GB"/>
        </w:rPr>
        <w:t>“The first half weren’t really bothered about getting good feedback, they just wanted to know if they got it right and then go home whereas the others wanted to learn more so I could adapt myself and say ‘you guys stayed and want to learn more, lets chat more about this process’</w:t>
      </w:r>
      <w:r w:rsidR="00950528" w:rsidRPr="00B27F0B">
        <w:rPr>
          <w:lang w:val="en-GB"/>
        </w:rPr>
        <w:t>.</w:t>
      </w:r>
      <w:r w:rsidR="0070586E" w:rsidRPr="00B27F0B">
        <w:rPr>
          <w:lang w:val="en-GB"/>
        </w:rPr>
        <w:t>”</w:t>
      </w:r>
    </w:p>
    <w:p w14:paraId="18BFF7A3" w14:textId="77777777" w:rsidR="0070586E" w:rsidRPr="00B56453" w:rsidRDefault="0070586E" w:rsidP="0070586E">
      <w:pPr>
        <w:spacing w:line="276" w:lineRule="auto"/>
        <w:jc w:val="both"/>
        <w:rPr>
          <w:rFonts w:cs="Times New Roman"/>
        </w:rPr>
      </w:pPr>
    </w:p>
    <w:p w14:paraId="11F15AE0" w14:textId="77777777" w:rsidR="00234E4A" w:rsidRPr="00BD42AF" w:rsidRDefault="00234E4A" w:rsidP="00026049">
      <w:pPr>
        <w:pStyle w:val="Normal1"/>
        <w:rPr>
          <w:lang w:val="en-GB"/>
        </w:rPr>
      </w:pPr>
    </w:p>
    <w:p w14:paraId="178BDB8B" w14:textId="06B99967" w:rsidR="0070586E" w:rsidRPr="00BD42AF" w:rsidRDefault="0070586E" w:rsidP="00026049">
      <w:pPr>
        <w:pStyle w:val="Normal1"/>
        <w:rPr>
          <w:lang w:val="en-GB"/>
        </w:rPr>
      </w:pPr>
      <w:r w:rsidRPr="00BD42AF">
        <w:rPr>
          <w:lang w:val="en-GB"/>
        </w:rPr>
        <w:lastRenderedPageBreak/>
        <w:t>One experienced teac</w:t>
      </w:r>
      <w:r w:rsidR="00A344B2" w:rsidRPr="00BD42AF">
        <w:rPr>
          <w:lang w:val="en-GB"/>
        </w:rPr>
        <w:t xml:space="preserve">her found that the SRLF </w:t>
      </w:r>
      <w:r w:rsidRPr="00BD42AF">
        <w:rPr>
          <w:lang w:val="en-GB"/>
        </w:rPr>
        <w:t>model allowed them to assess the students</w:t>
      </w:r>
      <w:r w:rsidR="009A1184" w:rsidRPr="00BD42AF">
        <w:rPr>
          <w:lang w:val="en-GB"/>
        </w:rPr>
        <w:t>’</w:t>
      </w:r>
      <w:r w:rsidRPr="00BD42AF">
        <w:rPr>
          <w:lang w:val="en-GB"/>
        </w:rPr>
        <w:t xml:space="preserve"> learning needs and to use that information in formulating and modifying their feedback message.</w:t>
      </w:r>
    </w:p>
    <w:p w14:paraId="6B72273B" w14:textId="77777777" w:rsidR="0070586E" w:rsidRPr="00BD42AF" w:rsidRDefault="0070586E" w:rsidP="00026049">
      <w:pPr>
        <w:pStyle w:val="Normal1"/>
        <w:rPr>
          <w:lang w:val="en-GB"/>
        </w:rPr>
      </w:pPr>
    </w:p>
    <w:p w14:paraId="1557E411" w14:textId="68DD1D05" w:rsidR="0070586E" w:rsidRPr="00B27F0B" w:rsidRDefault="00A344B2" w:rsidP="005C1F6D">
      <w:pPr>
        <w:pStyle w:val="Quote"/>
        <w:rPr>
          <w:lang w:val="en-GB"/>
        </w:rPr>
      </w:pPr>
      <w:r w:rsidRPr="00B27F0B">
        <w:rPr>
          <w:lang w:val="en-GB"/>
        </w:rPr>
        <w:t>SRLF Exp - 4 “</w:t>
      </w:r>
      <w:r w:rsidR="0070586E" w:rsidRPr="00B27F0B">
        <w:rPr>
          <w:lang w:val="en-GB"/>
        </w:rPr>
        <w:t>“</w:t>
      </w:r>
      <w:r w:rsidRPr="00B27F0B">
        <w:rPr>
          <w:lang w:val="en-GB"/>
        </w:rPr>
        <w:t>T</w:t>
      </w:r>
      <w:r w:rsidR="0070586E" w:rsidRPr="00B27F0B">
        <w:rPr>
          <w:lang w:val="en-GB"/>
        </w:rPr>
        <w:t>here was one particular student who gave me good feedback on a pre-performance question, they didn’t just say… the usual ones are “I’ll do what you did and I want to do it so that I do it right” but this one actually broke it down they said</w:t>
      </w:r>
      <w:r w:rsidRPr="00B27F0B">
        <w:rPr>
          <w:lang w:val="en-GB"/>
        </w:rPr>
        <w:t>,</w:t>
      </w:r>
      <w:r w:rsidR="0070586E" w:rsidRPr="00B27F0B">
        <w:rPr>
          <w:lang w:val="en-GB"/>
        </w:rPr>
        <w:t xml:space="preserve"> “I’m going to maintain sterility…” etc. so I could feed off that when I gave the feedback</w:t>
      </w:r>
      <w:r w:rsidR="00950528" w:rsidRPr="00B27F0B">
        <w:rPr>
          <w:lang w:val="en-GB"/>
        </w:rPr>
        <w:t>.</w:t>
      </w:r>
      <w:r w:rsidR="0070586E" w:rsidRPr="00B27F0B">
        <w:rPr>
          <w:lang w:val="en-GB"/>
        </w:rPr>
        <w:t>”</w:t>
      </w:r>
      <w:r w:rsidRPr="00B27F0B">
        <w:rPr>
          <w:lang w:val="en-GB"/>
        </w:rPr>
        <w:t>”</w:t>
      </w:r>
    </w:p>
    <w:p w14:paraId="67D52DB9" w14:textId="77777777" w:rsidR="0070586E" w:rsidRPr="00B56453" w:rsidRDefault="0070586E" w:rsidP="00026049">
      <w:pPr>
        <w:pStyle w:val="Normal1"/>
        <w:rPr>
          <w:lang w:val="en-GB"/>
        </w:rPr>
      </w:pPr>
    </w:p>
    <w:p w14:paraId="78481255" w14:textId="3F0D50E0" w:rsidR="0070586E" w:rsidRPr="00BD42AF" w:rsidRDefault="0070586E" w:rsidP="00026049">
      <w:pPr>
        <w:pStyle w:val="Normal1"/>
        <w:rPr>
          <w:lang w:val="en-GB"/>
        </w:rPr>
      </w:pPr>
      <w:r w:rsidRPr="00BD42AF">
        <w:rPr>
          <w:lang w:val="en-GB"/>
        </w:rPr>
        <w:t xml:space="preserve">Many teachers </w:t>
      </w:r>
      <w:r w:rsidR="005C1F6D" w:rsidRPr="00BD42AF">
        <w:rPr>
          <w:lang w:val="en-GB"/>
        </w:rPr>
        <w:t>described perceiving</w:t>
      </w:r>
      <w:r w:rsidRPr="00BD42AF">
        <w:rPr>
          <w:lang w:val="en-GB"/>
        </w:rPr>
        <w:t xml:space="preserve"> their students to be </w:t>
      </w:r>
      <w:r w:rsidRPr="00BD42AF">
        <w:rPr>
          <w:noProof/>
          <w:lang w:val="en-GB"/>
        </w:rPr>
        <w:t>prioritising</w:t>
      </w:r>
      <w:r w:rsidRPr="00BD42AF">
        <w:rPr>
          <w:lang w:val="en-GB"/>
        </w:rPr>
        <w:t xml:space="preserve"> exam preparation. This appeared to have a direct impact upon the given </w:t>
      </w:r>
      <w:r w:rsidR="00FC0FFB" w:rsidRPr="00BD42AF">
        <w:rPr>
          <w:lang w:val="en-GB"/>
        </w:rPr>
        <w:t>feedback to</w:t>
      </w:r>
      <w:r w:rsidRPr="00BD42AF">
        <w:rPr>
          <w:lang w:val="en-GB"/>
        </w:rPr>
        <w:t xml:space="preserve"> meet this need and engage the learners.</w:t>
      </w:r>
    </w:p>
    <w:p w14:paraId="7FF437F1" w14:textId="77777777" w:rsidR="0070586E" w:rsidRPr="00BD42AF" w:rsidRDefault="0070586E" w:rsidP="00026049">
      <w:pPr>
        <w:pStyle w:val="Normal1"/>
        <w:rPr>
          <w:lang w:val="en-GB"/>
        </w:rPr>
      </w:pPr>
    </w:p>
    <w:p w14:paraId="57131C80" w14:textId="7CE8CDCF" w:rsidR="0070586E" w:rsidRPr="00B27F0B" w:rsidRDefault="00A344B2" w:rsidP="005C1F6D">
      <w:pPr>
        <w:pStyle w:val="Quote"/>
        <w:rPr>
          <w:lang w:val="en-GB"/>
        </w:rPr>
      </w:pPr>
      <w:r w:rsidRPr="00B27F0B">
        <w:rPr>
          <w:lang w:val="en-GB"/>
        </w:rPr>
        <w:t>SRLF Nov - 3 “</w:t>
      </w:r>
      <w:r w:rsidR="0070586E" w:rsidRPr="00B27F0B">
        <w:rPr>
          <w:lang w:val="en-GB"/>
        </w:rPr>
        <w:t xml:space="preserve">“I find that sometimes they don’t seem as willing to listen unless you put it in that same format “if you do this, you will pass” if you make it more abstract than that then it’s not as accepted as well. You have to </w:t>
      </w:r>
      <w:r w:rsidR="0070586E" w:rsidRPr="00B27F0B">
        <w:rPr>
          <w:noProof/>
          <w:lang w:val="en-GB"/>
        </w:rPr>
        <w:t>incentivise</w:t>
      </w:r>
      <w:r w:rsidR="0070586E" w:rsidRPr="00B27F0B">
        <w:rPr>
          <w:lang w:val="en-GB"/>
        </w:rPr>
        <w:t xml:space="preserve"> it almost</w:t>
      </w:r>
      <w:r w:rsidR="00950528" w:rsidRPr="00B27F0B">
        <w:rPr>
          <w:lang w:val="en-GB"/>
        </w:rPr>
        <w:t>.</w:t>
      </w:r>
      <w:r w:rsidR="0070586E" w:rsidRPr="00B27F0B">
        <w:rPr>
          <w:lang w:val="en-GB"/>
        </w:rPr>
        <w:t>”</w:t>
      </w:r>
      <w:r w:rsidRPr="00B27F0B">
        <w:rPr>
          <w:lang w:val="en-GB"/>
        </w:rPr>
        <w:t>”</w:t>
      </w:r>
    </w:p>
    <w:p w14:paraId="13392F66" w14:textId="77777777" w:rsidR="0070586E" w:rsidRPr="00B56453" w:rsidRDefault="0070586E" w:rsidP="00026049">
      <w:pPr>
        <w:pStyle w:val="Normal1"/>
        <w:rPr>
          <w:lang w:val="en-GB"/>
        </w:rPr>
      </w:pPr>
    </w:p>
    <w:p w14:paraId="13DC07D1" w14:textId="40CE6872" w:rsidR="0070586E" w:rsidRPr="00BD42AF" w:rsidRDefault="0070586E" w:rsidP="00026049">
      <w:pPr>
        <w:pStyle w:val="Normal1"/>
        <w:rPr>
          <w:lang w:val="en-GB"/>
        </w:rPr>
      </w:pPr>
      <w:r w:rsidRPr="00BD42AF">
        <w:rPr>
          <w:lang w:val="en-GB"/>
        </w:rPr>
        <w:t xml:space="preserve">When asked about the challenges and advantages to feedback giving in clinical skills teaching </w:t>
      </w:r>
      <w:r w:rsidR="00A344B2" w:rsidRPr="00BD42AF">
        <w:rPr>
          <w:lang w:val="en-GB"/>
        </w:rPr>
        <w:t>settings</w:t>
      </w:r>
      <w:r w:rsidRPr="00BD42AF">
        <w:rPr>
          <w:lang w:val="en-GB"/>
        </w:rPr>
        <w:t>, almost all teachers cited the time constraints of the sessions as the main challenge.</w:t>
      </w:r>
    </w:p>
    <w:p w14:paraId="7B249365" w14:textId="77777777" w:rsidR="0070586E" w:rsidRPr="00BD42AF" w:rsidRDefault="0070586E" w:rsidP="00026049">
      <w:pPr>
        <w:pStyle w:val="Normal1"/>
        <w:rPr>
          <w:lang w:val="en-GB"/>
        </w:rPr>
      </w:pPr>
    </w:p>
    <w:p w14:paraId="45378BEB" w14:textId="0010AEA6" w:rsidR="0070586E" w:rsidRPr="00B27F0B" w:rsidRDefault="00A344B2" w:rsidP="005C1F6D">
      <w:pPr>
        <w:pStyle w:val="Quote"/>
        <w:rPr>
          <w:lang w:val="en-GB"/>
        </w:rPr>
      </w:pPr>
      <w:r w:rsidRPr="00B27F0B">
        <w:rPr>
          <w:lang w:val="en-GB"/>
        </w:rPr>
        <w:t xml:space="preserve">BPF Exp - 6 </w:t>
      </w:r>
      <w:r w:rsidR="0070586E" w:rsidRPr="00B27F0B">
        <w:rPr>
          <w:lang w:val="en-GB"/>
        </w:rPr>
        <w:t xml:space="preserve">“Challenges now are numbers and time, simply. […] you don’t have the environment to make any further </w:t>
      </w:r>
      <w:r w:rsidR="00950528" w:rsidRPr="00B27F0B">
        <w:rPr>
          <w:noProof/>
          <w:lang w:val="en-GB"/>
        </w:rPr>
        <w:t>i</w:t>
      </w:r>
      <w:r w:rsidR="0070586E" w:rsidRPr="00B27F0B">
        <w:rPr>
          <w:noProof/>
          <w:lang w:val="en-GB"/>
        </w:rPr>
        <w:t>nquiries</w:t>
      </w:r>
      <w:r w:rsidR="0070586E" w:rsidRPr="00B27F0B">
        <w:rPr>
          <w:lang w:val="en-GB"/>
        </w:rPr>
        <w:t>. If they’re doing fine at the skill it’s not as much of a major problem but if they’re having some difficulties we don’t have the ability to feedback on them as an individual because the environment isn’t conducive to that.”</w:t>
      </w:r>
    </w:p>
    <w:p w14:paraId="7EFF8485" w14:textId="77777777" w:rsidR="0070586E" w:rsidRPr="00B56453" w:rsidRDefault="0070586E" w:rsidP="0070586E">
      <w:pPr>
        <w:spacing w:line="276" w:lineRule="auto"/>
        <w:jc w:val="both"/>
        <w:rPr>
          <w:rFonts w:cs="Times New Roman"/>
        </w:rPr>
      </w:pPr>
    </w:p>
    <w:p w14:paraId="37CA8F26" w14:textId="77777777" w:rsidR="0049047B" w:rsidRPr="00BD42AF" w:rsidRDefault="0049047B">
      <w:pPr>
        <w:rPr>
          <w:rFonts w:eastAsiaTheme="majorEastAsia" w:cstheme="majorBidi"/>
          <w:b/>
          <w:i/>
          <w:szCs w:val="24"/>
          <w:lang w:eastAsia="hi-IN" w:bidi="hi-IN"/>
        </w:rPr>
      </w:pPr>
      <w:r w:rsidRPr="00BD42AF">
        <w:br w:type="page"/>
      </w:r>
    </w:p>
    <w:p w14:paraId="2B8BCD77" w14:textId="4B13204A" w:rsidR="0070586E" w:rsidRPr="00BD42AF" w:rsidRDefault="00C93903" w:rsidP="00BA4521">
      <w:pPr>
        <w:pStyle w:val="Heading3"/>
      </w:pPr>
      <w:bookmarkStart w:id="292" w:name="_Toc500319391"/>
      <w:r w:rsidRPr="00BD42AF">
        <w:lastRenderedPageBreak/>
        <w:t xml:space="preserve">B2.3.3 </w:t>
      </w:r>
      <w:r w:rsidR="0070586E" w:rsidRPr="00BD42AF">
        <w:t>Dynamic adjustment and reflective change</w:t>
      </w:r>
      <w:bookmarkEnd w:id="292"/>
    </w:p>
    <w:p w14:paraId="2D561E7B" w14:textId="77777777" w:rsidR="0070586E" w:rsidRPr="00BD42AF" w:rsidRDefault="0070586E" w:rsidP="0070586E">
      <w:pPr>
        <w:spacing w:line="276" w:lineRule="auto"/>
        <w:jc w:val="both"/>
        <w:rPr>
          <w:rFonts w:cs="Times New Roman"/>
        </w:rPr>
      </w:pPr>
    </w:p>
    <w:p w14:paraId="5BDC1CC3" w14:textId="12501E77" w:rsidR="0070586E" w:rsidRPr="00C71126" w:rsidRDefault="0070586E" w:rsidP="00026049">
      <w:pPr>
        <w:pStyle w:val="Normal1"/>
        <w:rPr>
          <w:lang w:val="en-GB"/>
        </w:rPr>
      </w:pPr>
      <w:r w:rsidRPr="00BD42AF">
        <w:rPr>
          <w:lang w:val="en-GB"/>
        </w:rPr>
        <w:t xml:space="preserve">Teachers described both </w:t>
      </w:r>
      <w:r w:rsidR="000470C2" w:rsidRPr="00BD42AF">
        <w:rPr>
          <w:lang w:val="en-GB"/>
        </w:rPr>
        <w:t>immediate</w:t>
      </w:r>
      <w:r w:rsidRPr="00BD42AF">
        <w:rPr>
          <w:lang w:val="en-GB"/>
        </w:rPr>
        <w:t xml:space="preserve"> and </w:t>
      </w:r>
      <w:r w:rsidR="00826050" w:rsidRPr="00BD42AF">
        <w:rPr>
          <w:lang w:val="en-GB"/>
        </w:rPr>
        <w:t>longer-term</w:t>
      </w:r>
      <w:r w:rsidRPr="00BD42AF">
        <w:rPr>
          <w:lang w:val="en-GB"/>
        </w:rPr>
        <w:t xml:space="preserve"> changes in their teaching and feedback giving practices (</w:t>
      </w:r>
      <w:r w:rsidR="00AE17C9" w:rsidRPr="00BD42AF">
        <w:rPr>
          <w:lang w:val="en-GB"/>
        </w:rPr>
        <w:t>Figure</w:t>
      </w:r>
      <w:r w:rsidRPr="00BD42AF">
        <w:rPr>
          <w:lang w:val="en-GB"/>
        </w:rPr>
        <w:t xml:space="preserve"> </w:t>
      </w:r>
      <w:r w:rsidR="00DE2169" w:rsidRPr="001046E5">
        <w:rPr>
          <w:lang w:val="en-GB"/>
        </w:rPr>
        <w:t>B2.4</w:t>
      </w:r>
      <w:r w:rsidRPr="00C71126">
        <w:rPr>
          <w:lang w:val="en-GB"/>
        </w:rPr>
        <w:t xml:space="preserve">). All teachers identified these changes as reflective processes but each individual articulated them differently based upon their </w:t>
      </w:r>
      <w:r w:rsidR="008E7D00" w:rsidRPr="00C71126">
        <w:rPr>
          <w:lang w:val="en-GB"/>
        </w:rPr>
        <w:t>conceptualisation</w:t>
      </w:r>
      <w:r w:rsidRPr="00C71126">
        <w:rPr>
          <w:lang w:val="en-GB"/>
        </w:rPr>
        <w:t xml:space="preserve">s of teaching and feedback. </w:t>
      </w:r>
    </w:p>
    <w:p w14:paraId="40D7F9FF" w14:textId="594554D1" w:rsidR="0070586E" w:rsidRPr="00B56453" w:rsidRDefault="00DE2169" w:rsidP="00234E4A">
      <w:pPr>
        <w:rPr>
          <w:rFonts w:cs="Times New Roman"/>
          <w:szCs w:val="24"/>
        </w:rPr>
      </w:pPr>
      <w:r w:rsidRPr="00B56453">
        <w:rPr>
          <w:rFonts w:cs="Times New Roman"/>
          <w:noProof/>
          <w:szCs w:val="24"/>
          <w:lang w:eastAsia="en-GB"/>
        </w:rPr>
        <w:drawing>
          <wp:anchor distT="0" distB="0" distL="114300" distR="114300" simplePos="0" relativeHeight="251656192" behindDoc="0" locked="0" layoutInCell="1" allowOverlap="1" wp14:anchorId="46E45931" wp14:editId="51CF403D">
            <wp:simplePos x="0" y="0"/>
            <wp:positionH relativeFrom="column">
              <wp:posOffset>5715</wp:posOffset>
            </wp:positionH>
            <wp:positionV relativeFrom="paragraph">
              <wp:posOffset>212090</wp:posOffset>
            </wp:positionV>
            <wp:extent cx="5262880" cy="3199765"/>
            <wp:effectExtent l="0" t="0" r="7112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anchor>
        </w:drawing>
      </w:r>
    </w:p>
    <w:p w14:paraId="40EA7FB2" w14:textId="05E2DE84" w:rsidR="00DE2169" w:rsidRPr="00B56453" w:rsidRDefault="00DE2169" w:rsidP="00DE2169">
      <w:pPr>
        <w:pStyle w:val="Caption"/>
      </w:pPr>
      <w:bookmarkStart w:id="293" w:name="_Toc500319549"/>
      <w:r w:rsidRPr="00BD42AF">
        <w:t>Figure B2.</w:t>
      </w:r>
      <w:fldSimple w:instr=" SEQ Figure_B2. \* ARABIC ">
        <w:r w:rsidR="00E44881" w:rsidRPr="00B56453">
          <w:rPr>
            <w:noProof/>
          </w:rPr>
          <w:t>4</w:t>
        </w:r>
      </w:fldSimple>
      <w:r w:rsidRPr="00B56453">
        <w:t xml:space="preserve"> Dynamic adjustment and reflective change theme and sub-themes.</w:t>
      </w:r>
      <w:bookmarkEnd w:id="293"/>
    </w:p>
    <w:p w14:paraId="10EF21A5" w14:textId="77777777" w:rsidR="00DE2169" w:rsidRPr="00B56453" w:rsidRDefault="00DE2169" w:rsidP="00026049">
      <w:pPr>
        <w:pStyle w:val="Normal1"/>
        <w:rPr>
          <w:lang w:val="en-GB"/>
        </w:rPr>
      </w:pPr>
    </w:p>
    <w:p w14:paraId="36A6D1A5" w14:textId="000FDF25" w:rsidR="0070586E" w:rsidRPr="00B56453" w:rsidRDefault="0070586E" w:rsidP="00026049">
      <w:pPr>
        <w:pStyle w:val="Normal1"/>
        <w:rPr>
          <w:lang w:val="en-GB"/>
        </w:rPr>
      </w:pPr>
      <w:r w:rsidRPr="00B56453">
        <w:rPr>
          <w:lang w:val="en-GB"/>
        </w:rPr>
        <w:t>Aside from modific</w:t>
      </w:r>
      <w:r w:rsidR="005C1F6D" w:rsidRPr="00B56453">
        <w:rPr>
          <w:lang w:val="en-GB"/>
        </w:rPr>
        <w:t>ations in the feedback message</w:t>
      </w:r>
      <w:r w:rsidRPr="00B56453">
        <w:rPr>
          <w:lang w:val="en-GB"/>
        </w:rPr>
        <w:t xml:space="preserve">, </w:t>
      </w:r>
      <w:r w:rsidR="0016300F" w:rsidRPr="00B56453">
        <w:rPr>
          <w:lang w:val="en-GB"/>
        </w:rPr>
        <w:t>most</w:t>
      </w:r>
      <w:r w:rsidRPr="00B56453">
        <w:rPr>
          <w:lang w:val="en-GB"/>
        </w:rPr>
        <w:t xml:space="preserve"> teachers made minor or major changes to their general approach or model to giving feedback during the study. </w:t>
      </w:r>
      <w:r w:rsidR="0016300F" w:rsidRPr="00B56453">
        <w:rPr>
          <w:lang w:val="en-GB"/>
        </w:rPr>
        <w:t>The most common adaptation was changing</w:t>
      </w:r>
      <w:r w:rsidRPr="00B56453">
        <w:rPr>
          <w:lang w:val="en-GB"/>
        </w:rPr>
        <w:t xml:space="preserve"> the wording of the SRL </w:t>
      </w:r>
      <w:r w:rsidR="007040AC" w:rsidRPr="00B56453">
        <w:rPr>
          <w:lang w:val="en-GB"/>
        </w:rPr>
        <w:t>MA</w:t>
      </w:r>
      <w:r w:rsidRPr="00B56453">
        <w:rPr>
          <w:lang w:val="en-GB"/>
        </w:rPr>
        <w:t xml:space="preserve"> </w:t>
      </w:r>
      <w:r w:rsidR="0016300F" w:rsidRPr="00B56453">
        <w:rPr>
          <w:lang w:val="en-GB"/>
        </w:rPr>
        <w:t>items</w:t>
      </w:r>
      <w:r w:rsidRPr="00B56453">
        <w:rPr>
          <w:lang w:val="en-GB"/>
        </w:rPr>
        <w:t xml:space="preserve"> to fit their preferred communication style.</w:t>
      </w:r>
    </w:p>
    <w:p w14:paraId="38C57E3C" w14:textId="77777777" w:rsidR="0070586E" w:rsidRPr="00B56453" w:rsidRDefault="0070586E" w:rsidP="00026049">
      <w:pPr>
        <w:pStyle w:val="Normal1"/>
        <w:rPr>
          <w:lang w:val="en-GB"/>
        </w:rPr>
      </w:pPr>
    </w:p>
    <w:p w14:paraId="0B888EBB" w14:textId="118054D3" w:rsidR="0070586E" w:rsidRPr="00B27F0B" w:rsidRDefault="00A45AA7" w:rsidP="005C1F6D">
      <w:pPr>
        <w:pStyle w:val="Quote"/>
        <w:rPr>
          <w:lang w:val="en-GB"/>
        </w:rPr>
      </w:pPr>
      <w:r w:rsidRPr="00B27F0B">
        <w:rPr>
          <w:lang w:val="en-GB"/>
        </w:rPr>
        <w:t xml:space="preserve">SRLF Nov - 2 </w:t>
      </w:r>
      <w:r w:rsidR="0070586E" w:rsidRPr="00B27F0B">
        <w:rPr>
          <w:lang w:val="en-GB"/>
        </w:rPr>
        <w:t>“It became easier over time, mainly because I found ways of getting the answers out of them with the way I was saying things rather than using the rigid flow diagram to ask the questions. I think it’s all about the wording.”</w:t>
      </w:r>
    </w:p>
    <w:p w14:paraId="24AAD8CA" w14:textId="77777777" w:rsidR="00ED3E01" w:rsidRPr="00B56453" w:rsidRDefault="00ED3E01" w:rsidP="00026049">
      <w:pPr>
        <w:pStyle w:val="Normal1"/>
        <w:rPr>
          <w:lang w:val="en-GB"/>
        </w:rPr>
      </w:pPr>
    </w:p>
    <w:p w14:paraId="535A589D" w14:textId="3E9F8320" w:rsidR="0070586E" w:rsidRPr="00BD42AF" w:rsidRDefault="0070586E" w:rsidP="00026049">
      <w:pPr>
        <w:pStyle w:val="Normal1"/>
        <w:rPr>
          <w:lang w:val="en-GB"/>
        </w:rPr>
      </w:pPr>
      <w:r w:rsidRPr="00BD42AF">
        <w:rPr>
          <w:lang w:val="en-GB"/>
        </w:rPr>
        <w:t>As a result of modifications like the</w:t>
      </w:r>
      <w:r w:rsidR="0016300F" w:rsidRPr="00BD42AF">
        <w:rPr>
          <w:lang w:val="en-GB"/>
        </w:rPr>
        <w:t xml:space="preserve">se, most teachers using the SRLF </w:t>
      </w:r>
      <w:r w:rsidRPr="00BD42AF">
        <w:rPr>
          <w:lang w:val="en-GB"/>
        </w:rPr>
        <w:t>model began to integrate parts of the model into their regular teaching practice. For one teacher, this transition began a process of dissociation from consciously using the model only for research</w:t>
      </w:r>
      <w:r w:rsidR="0016300F" w:rsidRPr="00BD42AF">
        <w:rPr>
          <w:lang w:val="en-GB"/>
        </w:rPr>
        <w:t xml:space="preserve"> purposes</w:t>
      </w:r>
      <w:r w:rsidRPr="00BD42AF">
        <w:rPr>
          <w:lang w:val="en-GB"/>
        </w:rPr>
        <w:t>.</w:t>
      </w:r>
    </w:p>
    <w:p w14:paraId="4C064F6F" w14:textId="77777777" w:rsidR="0070586E" w:rsidRPr="00BD42AF" w:rsidRDefault="0070586E" w:rsidP="00026049">
      <w:pPr>
        <w:pStyle w:val="Normal1"/>
        <w:rPr>
          <w:lang w:val="en-GB"/>
        </w:rPr>
      </w:pPr>
    </w:p>
    <w:p w14:paraId="29222B58" w14:textId="7FD46FE2" w:rsidR="0070586E" w:rsidRPr="00B27F0B" w:rsidRDefault="0016300F" w:rsidP="005C1F6D">
      <w:pPr>
        <w:pStyle w:val="Quote"/>
        <w:rPr>
          <w:lang w:val="en-GB"/>
        </w:rPr>
      </w:pPr>
      <w:r w:rsidRPr="00B27F0B">
        <w:rPr>
          <w:lang w:val="en-GB"/>
        </w:rPr>
        <w:t xml:space="preserve">SRLF Exp - 1 </w:t>
      </w:r>
      <w:r w:rsidR="0070586E" w:rsidRPr="00B27F0B">
        <w:rPr>
          <w:lang w:val="en-GB"/>
        </w:rPr>
        <w:t>“I internalised it a bit and remembered it by starting with the ‘during the task’ bit, it felt a lot more like teaching rather than doing research when I did that. It became part of my normal teaching.”</w:t>
      </w:r>
    </w:p>
    <w:p w14:paraId="55E09B18" w14:textId="77777777" w:rsidR="00ED3E01" w:rsidRPr="00B56453" w:rsidRDefault="00ED3E01" w:rsidP="00026049">
      <w:pPr>
        <w:pStyle w:val="Normal1"/>
        <w:rPr>
          <w:lang w:val="en-GB"/>
        </w:rPr>
      </w:pPr>
    </w:p>
    <w:p w14:paraId="68CC7E6D" w14:textId="2534D4C8" w:rsidR="0070586E" w:rsidRPr="00BD42AF" w:rsidRDefault="0070586E" w:rsidP="00026049">
      <w:pPr>
        <w:pStyle w:val="Normal1"/>
        <w:rPr>
          <w:lang w:val="en-GB"/>
        </w:rPr>
      </w:pPr>
      <w:r w:rsidRPr="00BD42AF">
        <w:rPr>
          <w:lang w:val="en-GB"/>
        </w:rPr>
        <w:t>This long</w:t>
      </w:r>
      <w:r w:rsidR="00C90C5D" w:rsidRPr="00BD42AF">
        <w:rPr>
          <w:lang w:val="en-GB"/>
        </w:rPr>
        <w:t>er</w:t>
      </w:r>
      <w:r w:rsidRPr="00BD42AF">
        <w:rPr>
          <w:lang w:val="en-GB"/>
        </w:rPr>
        <w:t xml:space="preserve">-term change was not an all-encompassing paradigm shift; parts of the feedback models were retained and some were rejected based upon the teacher’s perception of the model’s usefulness </w:t>
      </w:r>
      <w:r w:rsidR="00485831" w:rsidRPr="00BD42AF">
        <w:rPr>
          <w:lang w:val="en-GB"/>
        </w:rPr>
        <w:t>for</w:t>
      </w:r>
      <w:r w:rsidRPr="00BD42AF">
        <w:rPr>
          <w:lang w:val="en-GB"/>
        </w:rPr>
        <w:t xml:space="preserve"> their teaching practice. One experienced teacher described this as an addition to their teaching toolkit.</w:t>
      </w:r>
    </w:p>
    <w:p w14:paraId="081AFD15" w14:textId="77777777" w:rsidR="0070586E" w:rsidRPr="00BD42AF" w:rsidRDefault="0070586E" w:rsidP="00026049">
      <w:pPr>
        <w:pStyle w:val="Normal1"/>
        <w:rPr>
          <w:lang w:val="en-GB"/>
        </w:rPr>
      </w:pPr>
    </w:p>
    <w:p w14:paraId="0E6BCE2C" w14:textId="2452F9A9" w:rsidR="0070586E" w:rsidRPr="00B27F0B" w:rsidRDefault="00485831" w:rsidP="005C1F6D">
      <w:pPr>
        <w:pStyle w:val="Quote"/>
        <w:rPr>
          <w:lang w:val="en-GB"/>
        </w:rPr>
      </w:pPr>
      <w:r w:rsidRPr="00B27F0B">
        <w:rPr>
          <w:lang w:val="en-GB"/>
        </w:rPr>
        <w:t xml:space="preserve">SRLF Exp - 4 </w:t>
      </w:r>
      <w:r w:rsidR="0070586E" w:rsidRPr="00B27F0B">
        <w:rPr>
          <w:lang w:val="en-GB"/>
        </w:rPr>
        <w:t>“Some things I’ve done instinctively like the monitoring performance bit but there’s things here that I haven’t thought about but yes I’d like to take to them forward. It’s been a bolt-on for me”</w:t>
      </w:r>
    </w:p>
    <w:p w14:paraId="1543675A" w14:textId="77777777" w:rsidR="00ED3E01" w:rsidRPr="00B56453" w:rsidRDefault="00ED3E01" w:rsidP="00026049">
      <w:pPr>
        <w:pStyle w:val="Normal1"/>
        <w:rPr>
          <w:lang w:val="en-GB"/>
        </w:rPr>
      </w:pPr>
    </w:p>
    <w:p w14:paraId="6A2B7B78" w14:textId="5A2F98EC" w:rsidR="0070586E" w:rsidRPr="00BD42AF" w:rsidRDefault="0070586E" w:rsidP="00026049">
      <w:pPr>
        <w:pStyle w:val="Normal1"/>
        <w:rPr>
          <w:lang w:val="en-GB"/>
        </w:rPr>
      </w:pPr>
      <w:r w:rsidRPr="00BD42AF">
        <w:rPr>
          <w:lang w:val="en-GB"/>
        </w:rPr>
        <w:t>Most teachers identified longer term adaptations to their practice beyond the study. One experienced teacher</w:t>
      </w:r>
      <w:r w:rsidR="00950528" w:rsidRPr="00BD42AF">
        <w:rPr>
          <w:lang w:val="en-GB"/>
        </w:rPr>
        <w:t>,</w:t>
      </w:r>
      <w:r w:rsidRPr="00BD42AF">
        <w:rPr>
          <w:lang w:val="en-GB"/>
        </w:rPr>
        <w:t xml:space="preserve"> </w:t>
      </w:r>
      <w:r w:rsidR="00485831" w:rsidRPr="00BD42AF">
        <w:rPr>
          <w:lang w:val="en-GB"/>
        </w:rPr>
        <w:t xml:space="preserve">also </w:t>
      </w:r>
      <w:r w:rsidRPr="00BD42AF">
        <w:rPr>
          <w:lang w:val="en-GB"/>
        </w:rPr>
        <w:t xml:space="preserve">working </w:t>
      </w:r>
      <w:r w:rsidR="00485831" w:rsidRPr="00BD42AF">
        <w:rPr>
          <w:lang w:val="en-GB"/>
        </w:rPr>
        <w:t>part-time as a nurse</w:t>
      </w:r>
      <w:r w:rsidR="00950528" w:rsidRPr="00BD42AF">
        <w:rPr>
          <w:lang w:val="en-GB"/>
        </w:rPr>
        <w:t>,</w:t>
      </w:r>
      <w:r w:rsidRPr="00BD42AF">
        <w:rPr>
          <w:lang w:val="en-GB"/>
        </w:rPr>
        <w:t xml:space="preserve"> identified a change in their approach to mentoring.</w:t>
      </w:r>
    </w:p>
    <w:p w14:paraId="212C8EC6" w14:textId="77777777" w:rsidR="0070586E" w:rsidRPr="00BD42AF" w:rsidRDefault="0070586E" w:rsidP="00026049">
      <w:pPr>
        <w:pStyle w:val="Normal1"/>
        <w:rPr>
          <w:lang w:val="en-GB"/>
        </w:rPr>
      </w:pPr>
    </w:p>
    <w:p w14:paraId="456E1626" w14:textId="6F0A860D" w:rsidR="0070586E" w:rsidRPr="00B27F0B" w:rsidRDefault="00485831" w:rsidP="005C1F6D">
      <w:pPr>
        <w:pStyle w:val="Quote"/>
        <w:rPr>
          <w:lang w:val="en-GB"/>
        </w:rPr>
      </w:pPr>
      <w:r w:rsidRPr="00B27F0B">
        <w:rPr>
          <w:lang w:val="en-GB"/>
        </w:rPr>
        <w:t xml:space="preserve">BPF Exp - 3 </w:t>
      </w:r>
      <w:r w:rsidR="0070586E" w:rsidRPr="00B27F0B">
        <w:rPr>
          <w:lang w:val="en-GB"/>
        </w:rPr>
        <w:t>“I got more of a sense of where the students thought they were, I think about that more, it reinforced it and that’s what I do with my nursing student</w:t>
      </w:r>
      <w:r w:rsidR="00950528" w:rsidRPr="00B27F0B">
        <w:rPr>
          <w:lang w:val="en-GB"/>
        </w:rPr>
        <w:t>s</w:t>
      </w:r>
      <w:r w:rsidR="0070586E" w:rsidRPr="00B27F0B">
        <w:rPr>
          <w:lang w:val="en-GB"/>
        </w:rPr>
        <w:t xml:space="preserve"> now, that’s helped a lot”</w:t>
      </w:r>
    </w:p>
    <w:p w14:paraId="69524C3B" w14:textId="77777777" w:rsidR="00ED3E01" w:rsidRPr="00B56453" w:rsidRDefault="00ED3E01" w:rsidP="00026049">
      <w:pPr>
        <w:pStyle w:val="Normal1"/>
        <w:rPr>
          <w:lang w:val="en-GB"/>
        </w:rPr>
      </w:pPr>
    </w:p>
    <w:p w14:paraId="6622C5BF" w14:textId="644C2ED1" w:rsidR="0070586E" w:rsidRPr="00BD42AF" w:rsidRDefault="0070586E" w:rsidP="00026049">
      <w:pPr>
        <w:pStyle w:val="Normal1"/>
        <w:rPr>
          <w:lang w:val="en-GB"/>
        </w:rPr>
      </w:pPr>
      <w:r w:rsidRPr="00BD42AF">
        <w:rPr>
          <w:lang w:val="en-GB"/>
        </w:rPr>
        <w:t xml:space="preserve">The abovementioned themes were organised into a conceptual model of feedback giving processes </w:t>
      </w:r>
      <w:r w:rsidR="00950528" w:rsidRPr="00BD42AF">
        <w:rPr>
          <w:lang w:val="en-GB"/>
        </w:rPr>
        <w:t>that</w:t>
      </w:r>
      <w:r w:rsidRPr="00BD42AF">
        <w:rPr>
          <w:lang w:val="en-GB"/>
        </w:rPr>
        <w:t xml:space="preserve"> maps the mechanisms of change in teaching practice and the factors which influence them (</w:t>
      </w:r>
      <w:r w:rsidR="00AE17C9" w:rsidRPr="00BD42AF">
        <w:rPr>
          <w:lang w:val="en-GB"/>
        </w:rPr>
        <w:t>Figure</w:t>
      </w:r>
      <w:r w:rsidRPr="00BD42AF">
        <w:rPr>
          <w:lang w:val="en-GB"/>
        </w:rPr>
        <w:t xml:space="preserve"> </w:t>
      </w:r>
      <w:r w:rsidR="00DE2169" w:rsidRPr="00BD42AF">
        <w:rPr>
          <w:lang w:val="en-GB"/>
        </w:rPr>
        <w:t>B2.5</w:t>
      </w:r>
      <w:r w:rsidRPr="00BD42AF">
        <w:rPr>
          <w:lang w:val="en-GB"/>
        </w:rPr>
        <w:t>).</w:t>
      </w:r>
    </w:p>
    <w:p w14:paraId="2FA0BC67" w14:textId="5DB4D645" w:rsidR="0070586E" w:rsidRPr="00B56453" w:rsidRDefault="00DE2169" w:rsidP="0070586E">
      <w:pPr>
        <w:rPr>
          <w:rFonts w:cs="Times New Roman"/>
          <w:szCs w:val="24"/>
        </w:rPr>
      </w:pPr>
      <w:r w:rsidRPr="00B56453">
        <w:rPr>
          <w:rFonts w:cs="Times New Roman"/>
          <w:noProof/>
          <w:szCs w:val="24"/>
          <w:lang w:eastAsia="en-GB"/>
        </w:rPr>
        <w:lastRenderedPageBreak/>
        <mc:AlternateContent>
          <mc:Choice Requires="wpg">
            <w:drawing>
              <wp:anchor distT="0" distB="0" distL="114300" distR="114300" simplePos="0" relativeHeight="251658240" behindDoc="0" locked="0" layoutInCell="1" allowOverlap="1" wp14:anchorId="7D8CED2E" wp14:editId="0C4AC8E7">
                <wp:simplePos x="0" y="0"/>
                <wp:positionH relativeFrom="column">
                  <wp:posOffset>37746</wp:posOffset>
                </wp:positionH>
                <wp:positionV relativeFrom="paragraph">
                  <wp:posOffset>85060</wp:posOffset>
                </wp:positionV>
                <wp:extent cx="5337544" cy="4198693"/>
                <wp:effectExtent l="0" t="0" r="15875" b="11430"/>
                <wp:wrapTopAndBottom/>
                <wp:docPr id="272" name="Group 272"/>
                <wp:cNvGraphicFramePr/>
                <a:graphic xmlns:a="http://schemas.openxmlformats.org/drawingml/2006/main">
                  <a:graphicData uri="http://schemas.microsoft.com/office/word/2010/wordprocessingGroup">
                    <wpg:wgp>
                      <wpg:cNvGrpSpPr/>
                      <wpg:grpSpPr>
                        <a:xfrm>
                          <a:off x="0" y="0"/>
                          <a:ext cx="5337544" cy="4198693"/>
                          <a:chOff x="0" y="-151333"/>
                          <a:chExt cx="7261636" cy="6097135"/>
                        </a:xfrm>
                      </wpg:grpSpPr>
                      <wps:wsp>
                        <wps:cNvPr id="273" name="Rectangle 273"/>
                        <wps:cNvSpPr/>
                        <wps:spPr>
                          <a:xfrm>
                            <a:off x="2972309" y="2700671"/>
                            <a:ext cx="1947427" cy="600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663CD9" w14:textId="77777777" w:rsidR="00C8402C" w:rsidRPr="00360F11" w:rsidRDefault="00C8402C" w:rsidP="0070586E">
                              <w:pPr>
                                <w:jc w:val="center"/>
                                <w:rPr>
                                  <w:sz w:val="18"/>
                                  <w:szCs w:val="18"/>
                                </w:rPr>
                              </w:pPr>
                              <w:r w:rsidRPr="00360F11">
                                <w:rPr>
                                  <w:sz w:val="18"/>
                                  <w:szCs w:val="18"/>
                                </w:rPr>
                                <w:t>Real-time assessment of the learner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Up-Down Arrow 274"/>
                        <wps:cNvSpPr/>
                        <wps:spPr>
                          <a:xfrm>
                            <a:off x="3865443" y="2392325"/>
                            <a:ext cx="160935" cy="2851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0" y="-151333"/>
                            <a:ext cx="7261636" cy="6097135"/>
                            <a:chOff x="0" y="-151333"/>
                            <a:chExt cx="7261636" cy="6097135"/>
                          </a:xfrm>
                        </wpg:grpSpPr>
                        <wpg:grpSp>
                          <wpg:cNvPr id="276" name="Group 276"/>
                          <wpg:cNvGrpSpPr/>
                          <wpg:grpSpPr>
                            <a:xfrm>
                              <a:off x="0" y="617517"/>
                              <a:ext cx="7261636" cy="5328285"/>
                              <a:chOff x="0" y="617517"/>
                              <a:chExt cx="7262660" cy="5328968"/>
                            </a:xfrm>
                          </wpg:grpSpPr>
                          <wps:wsp>
                            <wps:cNvPr id="277" name="Rounded Rectangle 277"/>
                            <wps:cNvSpPr/>
                            <wps:spPr>
                              <a:xfrm>
                                <a:off x="0" y="625468"/>
                                <a:ext cx="2178050" cy="330708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ounded Rectangle 278"/>
                            <wps:cNvSpPr/>
                            <wps:spPr>
                              <a:xfrm>
                                <a:off x="2543298" y="1213865"/>
                                <a:ext cx="4719362" cy="2575560"/>
                              </a:xfrm>
                              <a:prstGeom prst="roundRect">
                                <a:avLst/>
                              </a:prstGeom>
                              <a:noFill/>
                              <a:ln>
                                <a:prstDash val="dash"/>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119270" y="2739972"/>
                                <a:ext cx="1947545" cy="770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D1647" w14:textId="77777777" w:rsidR="00C8402C" w:rsidRPr="00360F11" w:rsidRDefault="00C8402C" w:rsidP="0070586E">
                                  <w:pPr>
                                    <w:jc w:val="center"/>
                                    <w:rPr>
                                      <w:sz w:val="18"/>
                                      <w:szCs w:val="18"/>
                                    </w:rPr>
                                  </w:pPr>
                                  <w:r w:rsidRPr="00360F11">
                                    <w:rPr>
                                      <w:sz w:val="18"/>
                                      <w:szCs w:val="18"/>
                                    </w:rPr>
                                    <w:t>Training, teaching and working experience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Curved Up Arrow 280"/>
                            <wps:cNvSpPr/>
                            <wps:spPr>
                              <a:xfrm flipH="1">
                                <a:off x="3468653" y="3370591"/>
                                <a:ext cx="2861945" cy="914400"/>
                              </a:xfrm>
                              <a:prstGeom prst="curved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3285773" y="1213865"/>
                                <a:ext cx="3108961" cy="39751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256D70B" w14:textId="77777777" w:rsidR="00C8402C" w:rsidRPr="00360F11" w:rsidRDefault="00C8402C" w:rsidP="0070586E">
                                  <w:pPr>
                                    <w:jc w:val="center"/>
                                    <w:rPr>
                                      <w:sz w:val="18"/>
                                      <w:szCs w:val="18"/>
                                    </w:rPr>
                                  </w:pPr>
                                  <w:r w:rsidRPr="00360F11">
                                    <w:rPr>
                                      <w:sz w:val="18"/>
                                      <w:szCs w:val="18"/>
                                    </w:rPr>
                                    <w:t>Contextual/situational factors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119270" y="1466237"/>
                                <a:ext cx="1947545" cy="6681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29D6F" w14:textId="746AE5E9" w:rsidR="00C8402C" w:rsidRPr="00360F11" w:rsidRDefault="00C8402C" w:rsidP="0070586E">
                                  <w:pPr>
                                    <w:jc w:val="center"/>
                                    <w:rPr>
                                      <w:sz w:val="18"/>
                                      <w:szCs w:val="18"/>
                                    </w:rPr>
                                  </w:pPr>
                                  <w:r w:rsidRPr="00360F11">
                                    <w:rPr>
                                      <w:sz w:val="18"/>
                                      <w:szCs w:val="18"/>
                                    </w:rPr>
                                    <w:t xml:space="preserve">Personal </w:t>
                                  </w:r>
                                  <w:r>
                                    <w:rPr>
                                      <w:sz w:val="18"/>
                                      <w:szCs w:val="18"/>
                                    </w:rPr>
                                    <w:t>conceptualisation</w:t>
                                  </w:r>
                                  <w:r w:rsidRPr="00360F11">
                                    <w:rPr>
                                      <w:sz w:val="18"/>
                                      <w:szCs w:val="18"/>
                                    </w:rPr>
                                    <w:t xml:space="preserve"> of feedback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5241793" y="2144167"/>
                                <a:ext cx="1947545" cy="770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20535" w14:textId="77777777" w:rsidR="00C8402C" w:rsidRPr="00360F11" w:rsidRDefault="00C8402C" w:rsidP="0070586E">
                                  <w:pPr>
                                    <w:jc w:val="center"/>
                                    <w:rPr>
                                      <w:sz w:val="18"/>
                                      <w:szCs w:val="18"/>
                                    </w:rPr>
                                  </w:pPr>
                                  <w:r w:rsidRPr="00360F11">
                                    <w:rPr>
                                      <w:sz w:val="18"/>
                                      <w:szCs w:val="18"/>
                                    </w:rPr>
                                    <w:t>Giving feedback and perceived response/impact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3649717" y="4356385"/>
                                <a:ext cx="2617572" cy="9220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C8A00A9" w14:textId="77777777" w:rsidR="00C8402C" w:rsidRPr="00360F11" w:rsidRDefault="00C8402C" w:rsidP="0070586E">
                                  <w:pPr>
                                    <w:jc w:val="center"/>
                                    <w:rPr>
                                      <w:sz w:val="18"/>
                                      <w:szCs w:val="18"/>
                                      <w:u w:val="single"/>
                                    </w:rPr>
                                  </w:pPr>
                                  <w:r w:rsidRPr="00360F11">
                                    <w:rPr>
                                      <w:sz w:val="18"/>
                                      <w:szCs w:val="18"/>
                                      <w:u w:val="single"/>
                                    </w:rPr>
                                    <w:t>Dynamic adjustment</w:t>
                                  </w:r>
                                </w:p>
                                <w:p w14:paraId="55485159" w14:textId="2FD3D094" w:rsidR="00C8402C" w:rsidRPr="00360F11" w:rsidRDefault="00C8402C" w:rsidP="0070586E">
                                  <w:pPr>
                                    <w:jc w:val="center"/>
                                    <w:rPr>
                                      <w:sz w:val="18"/>
                                      <w:szCs w:val="18"/>
                                    </w:rPr>
                                  </w:pPr>
                                  <w:r w:rsidRPr="00360F11">
                                    <w:rPr>
                                      <w:sz w:val="18"/>
                                      <w:szCs w:val="18"/>
                                    </w:rPr>
                                    <w:t xml:space="preserve">Iterative development and adjustment of </w:t>
                                  </w:r>
                                  <w:r>
                                    <w:rPr>
                                      <w:sz w:val="18"/>
                                      <w:szCs w:val="18"/>
                                    </w:rPr>
                                    <w:t xml:space="preserve">the </w:t>
                                  </w:r>
                                  <w:r w:rsidRPr="00360F11">
                                    <w:rPr>
                                      <w:sz w:val="18"/>
                                      <w:szCs w:val="18"/>
                                    </w:rPr>
                                    <w:t>feedback message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Right Arrow 285"/>
                            <wps:cNvSpPr/>
                            <wps:spPr>
                              <a:xfrm>
                                <a:off x="2210463" y="2390658"/>
                                <a:ext cx="1016000" cy="269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974647" y="1755612"/>
                                <a:ext cx="1947545" cy="600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3F9C28" w14:textId="77777777" w:rsidR="00C8402C" w:rsidRPr="00360F11" w:rsidRDefault="00C8402C" w:rsidP="0070586E">
                                  <w:pPr>
                                    <w:jc w:val="center"/>
                                    <w:rPr>
                                      <w:sz w:val="18"/>
                                      <w:szCs w:val="18"/>
                                    </w:rPr>
                                  </w:pPr>
                                  <w:r w:rsidRPr="00360F11">
                                    <w:rPr>
                                      <w:sz w:val="18"/>
                                      <w:szCs w:val="18"/>
                                    </w:rPr>
                                    <w:t>Formulation of the feedback message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Bent-Up Arrow 287"/>
                            <wps:cNvSpPr/>
                            <wps:spPr>
                              <a:xfrm flipH="1">
                                <a:off x="775402" y="4055833"/>
                                <a:ext cx="2693010" cy="874395"/>
                              </a:xfrm>
                              <a:prstGeom prst="ben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ight Arrow 288"/>
                            <wps:cNvSpPr/>
                            <wps:spPr>
                              <a:xfrm>
                                <a:off x="4971450" y="2374755"/>
                                <a:ext cx="222250" cy="2546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087681" y="5039817"/>
                                <a:ext cx="1920489" cy="90666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E1630BE" w14:textId="77777777" w:rsidR="00C8402C" w:rsidRPr="00360F11" w:rsidRDefault="00C8402C" w:rsidP="0070586E">
                                  <w:pPr>
                                    <w:jc w:val="center"/>
                                    <w:rPr>
                                      <w:sz w:val="18"/>
                                      <w:szCs w:val="18"/>
                                      <w:u w:val="single"/>
                                    </w:rPr>
                                  </w:pPr>
                                  <w:r w:rsidRPr="00360F11">
                                    <w:rPr>
                                      <w:sz w:val="18"/>
                                      <w:szCs w:val="18"/>
                                      <w:u w:val="single"/>
                                    </w:rPr>
                                    <w:t>Reflection</w:t>
                                  </w:r>
                                </w:p>
                                <w:p w14:paraId="2458B5D4" w14:textId="77777777" w:rsidR="00C8402C" w:rsidRPr="00360F11" w:rsidRDefault="00C8402C" w:rsidP="0070586E">
                                  <w:pPr>
                                    <w:jc w:val="center"/>
                                    <w:rPr>
                                      <w:sz w:val="18"/>
                                      <w:szCs w:val="18"/>
                                    </w:rPr>
                                  </w:pPr>
                                  <w:r w:rsidRPr="00360F11">
                                    <w:rPr>
                                      <w:sz w:val="18"/>
                                      <w:szCs w:val="18"/>
                                    </w:rPr>
                                    <w:t>Adaptation to personal espoused theory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397090" y="728836"/>
                                <a:ext cx="2870200"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69BC6B" w14:textId="77777777" w:rsidR="00C8402C" w:rsidRPr="00360F11" w:rsidRDefault="00C8402C" w:rsidP="0070586E">
                                  <w:pPr>
                                    <w:jc w:val="center"/>
                                    <w:rPr>
                                      <w:sz w:val="18"/>
                                      <w:szCs w:val="18"/>
                                    </w:rPr>
                                  </w:pPr>
                                  <w:r w:rsidRPr="00360F11">
                                    <w:rPr>
                                      <w:sz w:val="18"/>
                                      <w:szCs w:val="18"/>
                                    </w:rPr>
                                    <w:t>The feedback encounter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198783" y="617517"/>
                                <a:ext cx="1732915" cy="596334"/>
                              </a:xfrm>
                              <a:prstGeom prst="rect">
                                <a:avLst/>
                              </a:prstGeom>
                              <a:noFill/>
                              <a:ln w="9525">
                                <a:noFill/>
                                <a:miter lim="800000"/>
                                <a:headEnd/>
                                <a:tailEnd/>
                              </a:ln>
                            </wps:spPr>
                            <wps:txbx>
                              <w:txbxContent>
                                <w:p w14:paraId="0402CDCB" w14:textId="77777777" w:rsidR="00C8402C" w:rsidRPr="00360F11" w:rsidRDefault="00C8402C" w:rsidP="0070586E">
                                  <w:pPr>
                                    <w:jc w:val="center"/>
                                    <w:rPr>
                                      <w:color w:val="FFFFFF" w:themeColor="background1"/>
                                      <w:sz w:val="18"/>
                                      <w:szCs w:val="18"/>
                                    </w:rPr>
                                  </w:pPr>
                                  <w:r w:rsidRPr="00360F11">
                                    <w:rPr>
                                      <w:color w:val="FFFFFF" w:themeColor="background1"/>
                                      <w:sz w:val="18"/>
                                      <w:szCs w:val="18"/>
                                    </w:rPr>
                                    <w:t>Personal Espoused Theory</w:t>
                                  </w:r>
                                </w:p>
                              </w:txbxContent>
                            </wps:txbx>
                            <wps:bodyPr rot="0" vert="horz" wrap="square" lIns="91440" tIns="45720" rIns="91440" bIns="45720" anchor="t" anchorCtr="0">
                              <a:noAutofit/>
                            </wps:bodyPr>
                          </wps:wsp>
                        </wpg:grpSp>
                        <wps:wsp>
                          <wps:cNvPr id="292" name="Rectangle 292"/>
                          <wps:cNvSpPr/>
                          <wps:spPr>
                            <a:xfrm>
                              <a:off x="1635571" y="-151333"/>
                              <a:ext cx="1481182" cy="594458"/>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AD45529" w14:textId="77777777" w:rsidR="00C8402C" w:rsidRPr="00360F11" w:rsidRDefault="00C8402C" w:rsidP="0070586E">
                                <w:pPr>
                                  <w:jc w:val="center"/>
                                  <w:rPr>
                                    <w:b/>
                                    <w:sz w:val="18"/>
                                    <w:szCs w:val="18"/>
                                  </w:rPr>
                                </w:pPr>
                                <w:r w:rsidRPr="00360F11">
                                  <w:rPr>
                                    <w:b/>
                                    <w:sz w:val="18"/>
                                    <w:szCs w:val="18"/>
                                  </w:rPr>
                                  <w:t>Model of giving feedback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Right Arrow 293"/>
                          <wps:cNvSpPr/>
                          <wps:spPr>
                            <a:xfrm rot="5400000">
                              <a:off x="1879014" y="816506"/>
                              <a:ext cx="1015366" cy="268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8CED2E" id="Group 272" o:spid="_x0000_s1181" style="position:absolute;margin-left:2.95pt;margin-top:6.7pt;width:420.3pt;height:330.6pt;z-index:251658240;mso-width-relative:margin;mso-height-relative:margin" coordorigin=",-151333" coordsize="7261636,6097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">
                <v:rect id="Rectangle 273" o:spid="_x0000_s1182" style="position:absolute;left:2972309;top:2700671;width:1947427;height:600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9N1wQAA&#10;ANwAAAAPAAAAZHJzL2Rvd25yZXYueG1sRI/disIwEIXvhX2HMAve2VQFla5pWQRBBC90fYChmW26&#10;NpPSRNu+vRGEvTycn4+zLQbbiAd1vnasYJ6kIIhLp2uuFFx/9rMNCB+QNTaOScFIHor8Y7LFTLue&#10;z/S4hErEEfYZKjAhtJmUvjRk0SeuJY7er+sshii7SuoO+zhuG7lI05W0WHMkGGxpZ6i8Xe42QpDO&#10;43zd724nMxxrasY/uo9KTT+H7y8QgYbwH363D1rBYr2E15l4BGT+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7/TdcEAAADcAAAADwAAAAAAAAAAAAAAAACXAgAAZHJzL2Rvd25y&#10;ZXYueG1sUEsFBgAAAAAEAAQA9QAAAIUDAAAAAA==&#10;" fillcolor="#5b9bd5 [3204]" strokecolor="#1f4d78 [1604]" strokeweight="1pt">
                  <v:textbox>
                    <w:txbxContent>
                      <w:p w14:paraId="62663CD9" w14:textId="77777777" w:rsidR="00C8402C" w:rsidRPr="00360F11" w:rsidRDefault="00C8402C" w:rsidP="0070586E">
                        <w:pPr>
                          <w:jc w:val="center"/>
                          <w:rPr>
                            <w:sz w:val="18"/>
                            <w:szCs w:val="18"/>
                          </w:rPr>
                        </w:pPr>
                        <w:r w:rsidRPr="00360F11">
                          <w:rPr>
                            <w:sz w:val="18"/>
                            <w:szCs w:val="18"/>
                          </w:rPr>
                          <w:t>Real-time assessment of the learner</w:t>
                        </w:r>
                      </w:p>
                    </w:txbxContent>
                  </v:textbox>
                </v:rect>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74" o:spid="_x0000_s1183" type="#_x0000_t70" style="position:absolute;left:3865443;top:2392325;width:160935;height:2851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tEywwAA&#10;ANwAAAAPAAAAZHJzL2Rvd25yZXYueG1sRI9RS8NAEITfBf/DsYIvYi+mUiX2WkSxFN9a8wOW3JoE&#10;c7vx7tKk/75XKPRxmJlvmOV6cp06kA+tsIGnWQaKuBLbcm2g/Pl6fAUVIrLFTpgMHCnAenV7s8TC&#10;ysg7OuxjrRKEQ4EGmhj7QutQNeQwzKQnTt6veIcxSV9r63FMcNfpPMsW2mHLaaHBnj4aqv72gzPQ&#10;ToN33/+lDOUo809aPMgmJ2Pu76b3N1CRpngNX9pbayB/eYbzmXQE9O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NtEywwAAANwAAAAPAAAAAAAAAAAAAAAAAJcCAABkcnMvZG93&#10;bnJldi54bWxQSwUGAAAAAAQABAD1AAAAhwMAAAAA&#10;" adj=",6096" fillcolor="#5b9bd5 [3204]" strokecolor="#1f4d78 [1604]" strokeweight="1pt"/>
                <v:group id="Group 275" o:spid="_x0000_s1184" style="position:absolute;top:-151333;width:7261636;height:6097135" coordorigin=",-151333" coordsize="7261636,6097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group id="Group 276" o:spid="_x0000_s1185" style="position:absolute;top:617517;width:7261636;height:5328285" coordorigin=",617517" coordsize="7262660,53289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roundrect id="Rounded Rectangle 277" o:spid="_x0000_s1186" style="position:absolute;top:625468;width:2178050;height:330708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0/YxQAA&#10;ANwAAAAPAAAAZHJzL2Rvd25yZXYueG1sRI9Pa8JAFMTvhX6H5RW81U1FTZtmlSIKvTT4p+35kX1m&#10;Q7JvQ3ar8dt3BcHjMDO/YfLlYFtxot7XjhW8jBMQxKXTNVcKvg+b51cQPiBrbB2Tggt5WC4eH3LM&#10;tDvzjk77UIkIYZ+hAhNCl0npS0MW/dh1xNE7ut5iiLKvpO7xHOG2lZMkmUuLNccFgx2tDJXN/s8q&#10;CMnXujMF/hyb4nc6m2/1Zlu8KTV6Gj7eQQQawj18a39qBZM0heuZeA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rT9jFAAAA3AAAAA8AAAAAAAAAAAAAAAAAlwIAAGRycy9k&#10;b3ducmV2LnhtbFBLBQYAAAAABAAEAPUAAACJAwAAAAA=&#10;" fillcolor="#70ad47 [3209]" strokecolor="#375623 [1609]" strokeweight="1pt">
                      <v:stroke joinstyle="miter"/>
                    </v:roundrect>
                    <v:roundrect id="Rounded Rectangle 278" o:spid="_x0000_s1187" style="position:absolute;left:2543298;top:1213865;width:4719362;height:25755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00nXwgAA&#10;ANwAAAAPAAAAZHJzL2Rvd25yZXYueG1sRE9Na8JAEL0X/A/LFHprNgaxJXWVYokUPTWWkuOQHZNg&#10;djZkt0n017sHwePjfa82k2nFQL1rLCuYRzEI4tLqhisFv8fs9R2E88gaW8uk4EIONuvZ0wpTbUf+&#10;oSH3lQgh7FJUUHvfpVK6siaDLrIdceBOtjfoA+wrqXscQ7hpZRLHS2mw4dBQY0fbmspz/m8UHPSU&#10;m/y4d9nfLll84bzImmuh1Mvz9PkBwtPkH+K7+1srSN7C2nAmHAG5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TSdfCAAAA3AAAAA8AAAAAAAAAAAAAAAAAlwIAAGRycy9kb3du&#10;cmV2LnhtbFBLBQYAAAAABAAEAPUAAACGAwAAAAA=&#10;" filled="f" strokecolor="#375623 [1609]" strokeweight="1pt">
                      <v:stroke dashstyle="dash" joinstyle="miter"/>
                    </v:roundrect>
                    <v:rect id="Rectangle 279" o:spid="_x0000_s1188" style="position:absolute;left:119270;top:2739972;width:1947545;height:770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SfwAAA&#10;ANwAAAAPAAAAZHJzL2Rvd25yZXYueG1sRI/LysIwEIX3P/gOYQR3v6kuvFSjiCCI4MLLAwzN2FSb&#10;SWmibd/eCILLw7l8nOW6taV4Ue0LxwpGwwQEceZ0wbmC62X3PwPhA7LG0jEp6MjDetX7W2KqXcMn&#10;ep1DLuII+xQVmBCqVEqfGbLoh64ijt7N1RZDlHUudY1NHLelHCfJRFosOBIMVrQ1lD3OTxshSKdu&#10;NG22j6NpDwWV3Z2enVKDfrtZgAjUhl/4295rBePpHD5n4hGQq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V+SfwAAAANwAAAAPAAAAAAAAAAAAAAAAAJcCAABkcnMvZG93bnJl&#10;di54bWxQSwUGAAAAAAQABAD1AAAAhAMAAAAA&#10;" fillcolor="#5b9bd5 [3204]" strokecolor="#1f4d78 [1604]" strokeweight="1pt">
                      <v:textbox>
                        <w:txbxContent>
                          <w:p w14:paraId="377D1647" w14:textId="77777777" w:rsidR="00C8402C" w:rsidRPr="00360F11" w:rsidRDefault="00C8402C" w:rsidP="0070586E">
                            <w:pPr>
                              <w:jc w:val="center"/>
                              <w:rPr>
                                <w:sz w:val="18"/>
                                <w:szCs w:val="18"/>
                              </w:rPr>
                            </w:pPr>
                            <w:r w:rsidRPr="00360F11">
                              <w:rPr>
                                <w:sz w:val="18"/>
                                <w:szCs w:val="18"/>
                              </w:rPr>
                              <w:t>Training, teaching and working experience</w:t>
                            </w:r>
                          </w:p>
                        </w:txbxContent>
                      </v:textbox>
                    </v:re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0" o:spid="_x0000_s1189" type="#_x0000_t104" style="position:absolute;left:3468653;top:3370591;width:2861945;height:9144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XoGwAAA&#10;ANwAAAAPAAAAZHJzL2Rvd25yZXYueG1sRE9Ni8IwEL0L/ocwgjdN9SDSNYquiOIiq13B69CMbdlm&#10;EppUu//eHIQ9Pt73YtWZWjyo8ZVlBZNxAoI4t7riQsH1Zzeag/ABWWNtmRT8kYfVst9bYKrtky/0&#10;yEIhYgj7FBWUIbhUSp+XZNCPrSOO3N02BkOETSF1g88Ybmo5TZKZNFhxbCjR0WdJ+W/WGgVf+3Z7&#10;O7o2Wzv9fdZZftqQPyk1HHTrDxCBuvAvfrsPWsF0HufHM/EI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mXoGwAAAANwAAAAPAAAAAAAAAAAAAAAAAJcCAABkcnMvZG93bnJl&#10;di54bWxQSwUGAAAAAAQABAD1AAAAhAMAAAAA&#10;" adj="18149,20737,5400" fillcolor="#ffc000 [3207]" strokecolor="#7f5f00 [1607]" strokeweight="1pt"/>
                    <v:roundrect id="Rounded Rectangle 281" o:spid="_x0000_s1190" style="position:absolute;left:3285773;top:1213865;width:3108961;height:3975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wIQxQAA&#10;ANwAAAAPAAAAZHJzL2Rvd25yZXYueG1sRI9Ba8JAFITvgv9heYXedGOooqkbkdJALw3W2p4f2Wc2&#10;JPs2ZLea/nu3UPA4zMw3zHY32k5caPCNYwWLeQKCuHK64VrB6bOYrUH4gKyxc0wKfsnDLp9Otphp&#10;d+UPuhxDLSKEfYYKTAh9JqWvDFn0c9cTR+/sBoshyqGWesBrhNtOpkmykhYbjgsGe3oxVLXHH6sg&#10;JO+vvSnx69yW30/L1UEXh3Kj1OPDuH8GEWgM9/B/+00rSNcL+Ds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bAhDFAAAA3AAAAA8AAAAAAAAAAAAAAAAAlwIAAGRycy9k&#10;b3ducmV2LnhtbFBLBQYAAAAABAAEAPUAAACJAwAAAAA=&#10;" fillcolor="#70ad47 [3209]" strokecolor="#375623 [1609]" strokeweight="1pt">
                      <v:stroke joinstyle="miter"/>
                      <v:textbox>
                        <w:txbxContent>
                          <w:p w14:paraId="4256D70B" w14:textId="77777777" w:rsidR="00C8402C" w:rsidRPr="00360F11" w:rsidRDefault="00C8402C" w:rsidP="0070586E">
                            <w:pPr>
                              <w:jc w:val="center"/>
                              <w:rPr>
                                <w:sz w:val="18"/>
                                <w:szCs w:val="18"/>
                              </w:rPr>
                            </w:pPr>
                            <w:r w:rsidRPr="00360F11">
                              <w:rPr>
                                <w:sz w:val="18"/>
                                <w:szCs w:val="18"/>
                              </w:rPr>
                              <w:t>Contextual/situational factors</w:t>
                            </w:r>
                          </w:p>
                        </w:txbxContent>
                      </v:textbox>
                    </v:roundrect>
                    <v:rect id="Rectangle 282" o:spid="_x0000_s1191" style="position:absolute;left:119270;top:1466237;width:1947545;height:6681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gbJwQAA&#10;ANwAAAAPAAAAZHJzL2Rvd25yZXYueG1sRI/NisIwFIX3wrxDuII7m9qFSjUWEQZEmIU/D3Bp7jSd&#10;NjelibZ9+8nAgMvD+fk4+2K0rXhR72vHClZJCoK4dLrmSsHj/rncgvABWWPrmBRM5KE4fMz2mGs3&#10;8JVet1CJOMI+RwUmhC6X0peGLPrEdcTR+3a9xRBlX0nd4xDHbSuzNF1LizVHgsGOTobK5va0EYJ0&#10;nVab4dR8mfFSUzv90HNSajEfjzsQgcbwDv+3z1pBts3g70w8AvLw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YGycEAAADcAAAADwAAAAAAAAAAAAAAAACXAgAAZHJzL2Rvd25y&#10;ZXYueG1sUEsFBgAAAAAEAAQA9QAAAIUDAAAAAA==&#10;" fillcolor="#5b9bd5 [3204]" strokecolor="#1f4d78 [1604]" strokeweight="1pt">
                      <v:textbox>
                        <w:txbxContent>
                          <w:p w14:paraId="31829D6F" w14:textId="746AE5E9" w:rsidR="00C8402C" w:rsidRPr="00360F11" w:rsidRDefault="00C8402C" w:rsidP="0070586E">
                            <w:pPr>
                              <w:jc w:val="center"/>
                              <w:rPr>
                                <w:sz w:val="18"/>
                                <w:szCs w:val="18"/>
                              </w:rPr>
                            </w:pPr>
                            <w:r w:rsidRPr="00360F11">
                              <w:rPr>
                                <w:sz w:val="18"/>
                                <w:szCs w:val="18"/>
                              </w:rPr>
                              <w:t xml:space="preserve">Personal </w:t>
                            </w:r>
                            <w:r>
                              <w:rPr>
                                <w:sz w:val="18"/>
                                <w:szCs w:val="18"/>
                              </w:rPr>
                              <w:t>conceptualisation</w:t>
                            </w:r>
                            <w:r w:rsidRPr="00360F11">
                              <w:rPr>
                                <w:sz w:val="18"/>
                                <w:szCs w:val="18"/>
                              </w:rPr>
                              <w:t xml:space="preserve"> of feedback</w:t>
                            </w:r>
                          </w:p>
                        </w:txbxContent>
                      </v:textbox>
                    </v:rect>
                    <v:rect id="Rectangle 283" o:spid="_x0000_s1192" style="position:absolute;left:5241793;top:2144167;width:1947545;height:770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qNSwAAA&#10;ANwAAAAPAAAAZHJzL2Rvd25yZXYueG1sRI/disIwEIXvF3yHMIJ3a6qClmoUEQQRvPDnAYZmbKrN&#10;pDTRtm9vFha8PJyfj7PadLYSb2p86VjBZJyAIM6dLrlQcLvuf1MQPiBrrByTgp48bNaDnxVm2rV8&#10;pvclFCKOsM9QgQmhzqT0uSGLfuxq4ujdXWMxRNkUUjfYxnFbyWmSzKXFkiPBYE07Q/nz8rIRgnTu&#10;J4t29zyZ7lhS1T/o1Ss1GnbbJYhAXfiG/9sHrWCazuDvTDwCc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aqNSwAAAANwAAAAPAAAAAAAAAAAAAAAAAJcCAABkcnMvZG93bnJl&#10;di54bWxQSwUGAAAAAAQABAD1AAAAhAMAAAAA&#10;" fillcolor="#5b9bd5 [3204]" strokecolor="#1f4d78 [1604]" strokeweight="1pt">
                      <v:textbox>
                        <w:txbxContent>
                          <w:p w14:paraId="43A20535" w14:textId="77777777" w:rsidR="00C8402C" w:rsidRPr="00360F11" w:rsidRDefault="00C8402C" w:rsidP="0070586E">
                            <w:pPr>
                              <w:jc w:val="center"/>
                              <w:rPr>
                                <w:sz w:val="18"/>
                                <w:szCs w:val="18"/>
                              </w:rPr>
                            </w:pPr>
                            <w:r w:rsidRPr="00360F11">
                              <w:rPr>
                                <w:sz w:val="18"/>
                                <w:szCs w:val="18"/>
                              </w:rPr>
                              <w:t>Giving feedback and perceived response/impact</w:t>
                            </w:r>
                          </w:p>
                        </w:txbxContent>
                      </v:textbox>
                    </v:rect>
                    <v:rect id="Rectangle 284" o:spid="_x0000_s1193" style="position:absolute;left:3649717;top:4356385;width:2617572;height:922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PDuxQAA&#10;ANwAAAAPAAAAZHJzL2Rvd25yZXYueG1sRI9Ba8JAFITvBf/D8gQvpW5ii0h0FRVbPBXUHjy+ZJ/Z&#10;YPZtzG41/ntXKPQ4zMw3zGzR2VpcqfWVYwXpMAFBXDhdcang5/D5NgHhA7LG2jEpuJOHxbz3MsNM&#10;uxvv6LoPpYgQ9hkqMCE0mZS+MGTRD11DHL2Tay2GKNtS6hZvEW5rOUqSsbRYcVww2NDaUHHe/1oF&#10;9dEU/vL++p3nmy/OL7xKTbpSatDvllMQgbrwH/5rb7WC0eQDnmfi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w8O7FAAAA3AAAAA8AAAAAAAAAAAAAAAAAlwIAAGRycy9k&#10;b3ducmV2LnhtbFBLBQYAAAAABAAEAPUAAACJAwAAAAA=&#10;" fillcolor="#70ad47 [3209]" strokecolor="#375623 [1609]" strokeweight="1pt">
                      <v:textbox>
                        <w:txbxContent>
                          <w:p w14:paraId="7C8A00A9" w14:textId="77777777" w:rsidR="00C8402C" w:rsidRPr="00360F11" w:rsidRDefault="00C8402C" w:rsidP="0070586E">
                            <w:pPr>
                              <w:jc w:val="center"/>
                              <w:rPr>
                                <w:sz w:val="18"/>
                                <w:szCs w:val="18"/>
                                <w:u w:val="single"/>
                              </w:rPr>
                            </w:pPr>
                            <w:r w:rsidRPr="00360F11">
                              <w:rPr>
                                <w:sz w:val="18"/>
                                <w:szCs w:val="18"/>
                                <w:u w:val="single"/>
                              </w:rPr>
                              <w:t>Dynamic adjustment</w:t>
                            </w:r>
                          </w:p>
                          <w:p w14:paraId="55485159" w14:textId="2FD3D094" w:rsidR="00C8402C" w:rsidRPr="00360F11" w:rsidRDefault="00C8402C" w:rsidP="0070586E">
                            <w:pPr>
                              <w:jc w:val="center"/>
                              <w:rPr>
                                <w:sz w:val="18"/>
                                <w:szCs w:val="18"/>
                              </w:rPr>
                            </w:pPr>
                            <w:r w:rsidRPr="00360F11">
                              <w:rPr>
                                <w:sz w:val="18"/>
                                <w:szCs w:val="18"/>
                              </w:rPr>
                              <w:t xml:space="preserve">Iterative development and adjustment of </w:t>
                            </w:r>
                            <w:r>
                              <w:rPr>
                                <w:sz w:val="18"/>
                                <w:szCs w:val="18"/>
                              </w:rPr>
                              <w:t xml:space="preserve">the </w:t>
                            </w:r>
                            <w:r w:rsidRPr="00360F11">
                              <w:rPr>
                                <w:sz w:val="18"/>
                                <w:szCs w:val="18"/>
                              </w:rPr>
                              <w:t>feedback message</w:t>
                            </w:r>
                          </w:p>
                        </w:txbxContent>
                      </v:textbox>
                    </v:rect>
                    <v:shape id="Right Arrow 285" o:spid="_x0000_s1194" type="#_x0000_t13" style="position:absolute;left:2210463;top:2390658;width:1016000;height:269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2OC1xgAA&#10;ANwAAAAPAAAAZHJzL2Rvd25yZXYueG1sRI9BawIxFITvBf9DeIK3mq21smyNYksVPShUC9LbY/Oa&#10;3XbzsiRR139vCoUeh5n5hpnOO9uIM/lQO1bwMMxAEJdO12wUfByW9zmIEJE1No5JwZUCzGe9uykW&#10;2l34nc77aESCcChQQRVjW0gZyooshqFriZP35bzFmKQ3Unu8JLht5CjLJtJizWmhwpZeKyp/9ier&#10;IHcLYw5bPo797uV7fHzbtI+rT6UG/W7xDCJSF//Df+21VjDKn+D3TDo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2OC1xgAAANwAAAAPAAAAAAAAAAAAAAAAAJcCAABkcnMv&#10;ZG93bnJldi54bWxQSwUGAAAAAAQABAD1AAAAigMAAAAA&#10;" adj="18738" fillcolor="#5b9bd5 [3204]" strokecolor="#1f4d78 [1604]" strokeweight="1pt"/>
                    <v:rect id="Rectangle 286" o:spid="_x0000_s1195" style="position:absolute;left:2974647;top:1755612;width:1947545;height:6006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QDKvgAA&#10;ANwAAAAPAAAAZHJzL2Rvd25yZXYueG1sRI/LCsIwEEX3gv8QRnCnqS5UqlFEEERw4eMDhmZsqs2k&#10;NNG2f28EweXlPg53tWltKd5U+8Kxgsk4AUGcOV1wruB23Y8WIHxA1lg6JgUdedis+70Vpto1fKb3&#10;JeQijrBPUYEJoUql9Jkhi37sKuLo3V1tMURZ51LX2MRxW8ppksykxYIjwWBFO0PZ8/KyEYJ07ibz&#10;Zvc8mfZYUNk96NUpNRy02yWIQG34h3/tg1YwXczgeyYeAbn+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h0Ayr4AAADcAAAADwAAAAAAAAAAAAAAAACXAgAAZHJzL2Rvd25yZXYu&#10;eG1sUEsFBgAAAAAEAAQA9QAAAIIDAAAAAA==&#10;" fillcolor="#5b9bd5 [3204]" strokecolor="#1f4d78 [1604]" strokeweight="1pt">
                      <v:textbox>
                        <w:txbxContent>
                          <w:p w14:paraId="213F9C28" w14:textId="77777777" w:rsidR="00C8402C" w:rsidRPr="00360F11" w:rsidRDefault="00C8402C" w:rsidP="0070586E">
                            <w:pPr>
                              <w:jc w:val="center"/>
                              <w:rPr>
                                <w:sz w:val="18"/>
                                <w:szCs w:val="18"/>
                              </w:rPr>
                            </w:pPr>
                            <w:r w:rsidRPr="00360F11">
                              <w:rPr>
                                <w:sz w:val="18"/>
                                <w:szCs w:val="18"/>
                              </w:rPr>
                              <w:t>Formulation of the feedback message</w:t>
                            </w:r>
                          </w:p>
                        </w:txbxContent>
                      </v:textbox>
                    </v:rect>
                    <v:shape id="Bent-Up Arrow 287" o:spid="_x0000_s1196" style="position:absolute;left:775402;top:4055833;width:2693010;height:874395;flip:x;visibility:visible;mso-wrap-style:square;v-text-anchor:middle" coordsize="2693010,874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8NZxQAA&#10;ANwAAAAPAAAAZHJzL2Rvd25yZXYueG1sRI9Ba8JAEIXvBf/DMgVvdaOUGqObIBbBSw9NFTwO2WmS&#10;Njsbd9eY/vtuQejx8eZ9b96mGE0nBnK+taxgPktAEFdWt1wrOH7sn1IQPiBr7CyTgh/yUOSThw1m&#10;2t74nYYy1CJC2GeooAmhz6T0VUMG/cz2xNH7tM5giNLVUju8Rbjp5CJJXqTBlmNDgz3tGqq+y6uJ&#10;b/R4Oe0Hm67889v1OJRf53l4VWr6OG7XIAKN4f/4nj5oBYt0CX9jIgF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Xw1nFAAAA3AAAAA8AAAAAAAAAAAAAAAAAlwIAAGRycy9k&#10;b3ducmV2LnhtbFBLBQYAAAAABAAEAPUAAACJAwAAAAA=&#10;" path="m0,655796l2365112,655796,2365112,218599,2255813,218599,2474411,,2693010,218599,2583711,218599,2583711,874395,,874395,,655796xe" fillcolor="#ffc000 [3207]" strokecolor="#7f5f00 [1607]" strokeweight="1pt">
                      <v:stroke joinstyle="miter"/>
                      <v:path arrowok="t" o:connecttype="custom" o:connectlocs="0,655796;2365112,655796;2365112,218599;2255813,218599;2474411,0;2693010,218599;2583711,218599;2583711,874395;0,874395;0,655796" o:connectangles="0,0,0,0,0,0,0,0,0,0"/>
                    </v:shape>
                    <v:shape id="Right Arrow 288" o:spid="_x0000_s1197" type="#_x0000_t13" style="position:absolute;left:4971450;top:2374755;width:222250;height:254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ZhIwAAA&#10;ANwAAAAPAAAAZHJzL2Rvd25yZXYueG1sRE/LisIwFN0L8w/hDrjTdBxQ6RhFBgQHwfcH3GmuTbW5&#10;KUnU+vdmIbg8nPdk1tpa3MiHyrGCr34GgrhwuuJSwfGw6I1BhIissXZMCh4UYDb96Eww1+7OO7rt&#10;YylSCIccFZgYm1zKUBiyGPquIU7cyXmLMUFfSu3xnsJtLQdZNpQWK04NBhv6NVRc9lerYLusv8v/&#10;48lvLhrPzvyNiu16pVT3s53/gIjUxrf45V5qBYNxWpvOpCMgp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pZhIwAAAANwAAAAPAAAAAAAAAAAAAAAAAJcCAABkcnMvZG93bnJl&#10;di54bWxQSwUGAAAAAAQABAD1AAAAhAMAAAAA&#10;" adj="10800" fillcolor="#5b9bd5 [3204]" strokecolor="#1f4d78 [1604]" strokeweight="1pt"/>
                    <v:rect id="Rectangle 289" o:spid="_x0000_s1198" style="position:absolute;left:1087681;top:5039817;width:1920489;height:9066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V9wxQAA&#10;ANwAAAAPAAAAZHJzL2Rvd25yZXYueG1sRI9Ba8JAFITvQv/D8gpepG6iUGyajVRR6amg9tDjS/Y1&#10;G5p9G7Orxn/fLRQ8DjPzDZMvB9uKC/W+cawgnSYgiCunG64VfB63TwsQPiBrbB2Tght5WBYPoxwz&#10;7a68p8sh1CJC2GeowITQZVL6ypBFP3UdcfS+XW8xRNnXUvd4jXDbylmSPEuLDccFgx2tDVU/h7NV&#10;0H6Zyp/mk4+y3Oy4PPEqNelKqfHj8PYKItAQ7uH/9rtWMFu8wN+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xX3DFAAAA3AAAAA8AAAAAAAAAAAAAAAAAlwIAAGRycy9k&#10;b3ducmV2LnhtbFBLBQYAAAAABAAEAPUAAACJAwAAAAA=&#10;" fillcolor="#70ad47 [3209]" strokecolor="#375623 [1609]" strokeweight="1pt">
                      <v:textbox>
                        <w:txbxContent>
                          <w:p w14:paraId="2E1630BE" w14:textId="77777777" w:rsidR="00C8402C" w:rsidRPr="00360F11" w:rsidRDefault="00C8402C" w:rsidP="0070586E">
                            <w:pPr>
                              <w:jc w:val="center"/>
                              <w:rPr>
                                <w:sz w:val="18"/>
                                <w:szCs w:val="18"/>
                                <w:u w:val="single"/>
                              </w:rPr>
                            </w:pPr>
                            <w:r w:rsidRPr="00360F11">
                              <w:rPr>
                                <w:sz w:val="18"/>
                                <w:szCs w:val="18"/>
                                <w:u w:val="single"/>
                              </w:rPr>
                              <w:t>Reflection</w:t>
                            </w:r>
                          </w:p>
                          <w:p w14:paraId="2458B5D4" w14:textId="77777777" w:rsidR="00C8402C" w:rsidRPr="00360F11" w:rsidRDefault="00C8402C" w:rsidP="0070586E">
                            <w:pPr>
                              <w:jc w:val="center"/>
                              <w:rPr>
                                <w:sz w:val="18"/>
                                <w:szCs w:val="18"/>
                              </w:rPr>
                            </w:pPr>
                            <w:r w:rsidRPr="00360F11">
                              <w:rPr>
                                <w:sz w:val="18"/>
                                <w:szCs w:val="18"/>
                              </w:rPr>
                              <w:t>Adaptation to personal espoused theory</w:t>
                            </w:r>
                          </w:p>
                        </w:txbxContent>
                      </v:textbox>
                    </v:rect>
                    <v:rect id="Rectangle 290" o:spid="_x0000_s1199" style="position:absolute;left:3397090;top:728836;width:2870200;height:381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av4vwAA&#10;ANwAAAAPAAAAZHJzL2Rvd25yZXYueG1sRE/NisIwEL4LvkMYwZumeth1q1FEEGRhD+o+wNCMTbWZ&#10;lCba9u2dw8IeP77/za73tXpRG6vABhbzDBRxEWzFpYHf63G2AhUTssU6MBkYKMJuOx5tMLeh4zO9&#10;LqlUEsIxRwMupSbXOhaOPMZ5aIiFu4XWYxLYltq22Em4r/Uyyz60x4qlwWFDB0fF4/L0UoJ0Hhaf&#10;3eHx4/rviurhTs/BmOmk369BJerTv/jPfbIGll8yX87IEdDb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dhq/i/AAAA3AAAAA8AAAAAAAAAAAAAAAAAlwIAAGRycy9kb3ducmV2&#10;LnhtbFBLBQYAAAAABAAEAPUAAACDAwAAAAA=&#10;" fillcolor="#5b9bd5 [3204]" strokecolor="#1f4d78 [1604]" strokeweight="1pt">
                      <v:textbox>
                        <w:txbxContent>
                          <w:p w14:paraId="2769BC6B" w14:textId="77777777" w:rsidR="00C8402C" w:rsidRPr="00360F11" w:rsidRDefault="00C8402C" w:rsidP="0070586E">
                            <w:pPr>
                              <w:jc w:val="center"/>
                              <w:rPr>
                                <w:sz w:val="18"/>
                                <w:szCs w:val="18"/>
                              </w:rPr>
                            </w:pPr>
                            <w:r w:rsidRPr="00360F11">
                              <w:rPr>
                                <w:sz w:val="18"/>
                                <w:szCs w:val="18"/>
                              </w:rPr>
                              <w:t xml:space="preserve">The feedback </w:t>
                            </w:r>
                            <w:proofErr w:type="gramStart"/>
                            <w:r w:rsidRPr="00360F11">
                              <w:rPr>
                                <w:sz w:val="18"/>
                                <w:szCs w:val="18"/>
                              </w:rPr>
                              <w:t>encounter</w:t>
                            </w:r>
                            <w:proofErr w:type="gramEnd"/>
                          </w:p>
                        </w:txbxContent>
                      </v:textbox>
                    </v:rect>
                    <v:shape id="_x0000_s1200" type="#_x0000_t202" style="position:absolute;left:198783;top:617517;width:1732915;height:596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0402CDCB" w14:textId="77777777" w:rsidR="00C8402C" w:rsidRPr="00360F11" w:rsidRDefault="00C8402C" w:rsidP="0070586E">
                            <w:pPr>
                              <w:jc w:val="center"/>
                              <w:rPr>
                                <w:color w:val="FFFFFF" w:themeColor="background1"/>
                                <w:sz w:val="18"/>
                                <w:szCs w:val="18"/>
                              </w:rPr>
                            </w:pPr>
                            <w:r w:rsidRPr="00360F11">
                              <w:rPr>
                                <w:color w:val="FFFFFF" w:themeColor="background1"/>
                                <w:sz w:val="18"/>
                                <w:szCs w:val="18"/>
                              </w:rPr>
                              <w:t>Personal Espoused Theory</w:t>
                            </w:r>
                          </w:p>
                        </w:txbxContent>
                      </v:textbox>
                    </v:shape>
                  </v:group>
                  <v:rect id="Rectangle 292" o:spid="_x0000_s1201" style="position:absolute;left:1635571;top:-151333;width:1481182;height:5944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5pvwQAA&#10;ANwAAAAPAAAAZHJzL2Rvd25yZXYueG1sRI9BawIxFITvBf9DeEJvNWsORbdGUaHiVS09PzbPzerm&#10;ZU1SXf31TUHocZiZb5jZonetuFKIjWcN41EBgrjypuFaw9fh820CIiZkg61n0nCnCIv54GWGpfE3&#10;3tF1n2qRIRxL1GBT6kopY2XJYRz5jjh7Rx8cpixDLU3AW4a7VqqieJcOG84LFjtaW6rO+x+nIdw3&#10;vFpO1WlS2MCXR6OYT99avw775QeIRH36Dz/bW6NBTRX8nclHQ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Oab8EAAADcAAAADwAAAAAAAAAAAAAAAACXAgAAZHJzL2Rvd25y&#10;ZXYueG1sUEsFBgAAAAAEAAQA9QAAAIUDAAAAAA==&#10;" fillcolor="white [3201]" strokecolor="#5b9bd5 [3204]" strokeweight="1pt">
                    <v:stroke dashstyle="dash"/>
                    <v:textbox>
                      <w:txbxContent>
                        <w:p w14:paraId="0AD45529" w14:textId="77777777" w:rsidR="00C8402C" w:rsidRPr="00360F11" w:rsidRDefault="00C8402C" w:rsidP="0070586E">
                          <w:pPr>
                            <w:jc w:val="center"/>
                            <w:rPr>
                              <w:b/>
                              <w:sz w:val="18"/>
                              <w:szCs w:val="18"/>
                            </w:rPr>
                          </w:pPr>
                          <w:r w:rsidRPr="00360F11">
                            <w:rPr>
                              <w:b/>
                              <w:sz w:val="18"/>
                              <w:szCs w:val="18"/>
                            </w:rPr>
                            <w:t>Model of giving feedback</w:t>
                          </w:r>
                        </w:p>
                      </w:txbxContent>
                    </v:textbox>
                  </v:rect>
                  <v:shape id="Right Arrow 293" o:spid="_x0000_s1202" type="#_x0000_t13" style="position:absolute;left:1879014;top:816506;width:1015366;height:26860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T3VxgAA&#10;ANwAAAAPAAAAZHJzL2Rvd25yZXYueG1sRI/RasJAFETfhf7Dcgt9002tSJtmI0WU+GJF2w+4ZG+T&#10;1OzdmF2T6Ne7QqGPw8ycYZLFYGrRUesqywqeJxEI4tzqigsF31/r8SsI55E11pZJwYUcLNKHUYKx&#10;tj3vqTv4QgQIuxgVlN43sZQuL8mgm9iGOHg/tjXog2wLqVvsA9zUchpFc2mw4rBQYkPLkvLj4WwU&#10;7Krs8zea7bPZdpN1x9W8v57qQqmnx+HjHYSnwf+H/9obrWD69gL3M+EIyP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MT3VxgAAANwAAAAPAAAAAAAAAAAAAAAAAJcCAABkcnMv&#10;ZG93bnJldi54bWxQSwUGAAAAAAQABAD1AAAAigMAAAAA&#10;" adj="18743" fillcolor="#5b9bd5 [3204]" strokecolor="#1f4d78 [1604]" strokeweight="1pt"/>
                </v:group>
                <w10:wrap type="topAndBottom"/>
              </v:group>
            </w:pict>
          </mc:Fallback>
        </mc:AlternateContent>
      </w:r>
    </w:p>
    <w:p w14:paraId="67D99BB9" w14:textId="77777777" w:rsidR="00DE2169" w:rsidRPr="00BD42AF" w:rsidRDefault="00DE2169" w:rsidP="00026049">
      <w:pPr>
        <w:pStyle w:val="Normal1"/>
        <w:rPr>
          <w:highlight w:val="yellow"/>
          <w:lang w:val="en-GB"/>
        </w:rPr>
      </w:pPr>
    </w:p>
    <w:p w14:paraId="6F27E06D" w14:textId="52F7F0AE" w:rsidR="00DE2169" w:rsidRPr="00B56453" w:rsidRDefault="00DE2169" w:rsidP="00DE2169">
      <w:pPr>
        <w:pStyle w:val="Caption"/>
      </w:pPr>
      <w:bookmarkStart w:id="294" w:name="_Toc500319550"/>
      <w:r w:rsidRPr="00BD42AF">
        <w:t>Figure B2.</w:t>
      </w:r>
      <w:fldSimple w:instr=" SEQ Figure_B2. \* ARABIC ">
        <w:r w:rsidR="00E44881" w:rsidRPr="00B56453">
          <w:rPr>
            <w:noProof/>
          </w:rPr>
          <w:t>5</w:t>
        </w:r>
      </w:fldSimple>
      <w:r w:rsidRPr="00B56453">
        <w:t xml:space="preserve"> Conceptual model of feedback giving processes</w:t>
      </w:r>
      <w:r w:rsidR="00E52DD2" w:rsidRPr="00B56453">
        <w:t xml:space="preserve"> beginning with personal espoused theory informing decisions made in the feedback encounter, then dynamic are made in response to situation or contextual demands</w:t>
      </w:r>
      <w:r w:rsidRPr="00B56453">
        <w:t>.</w:t>
      </w:r>
      <w:r w:rsidR="00E52DD2" w:rsidRPr="00B56453">
        <w:t xml:space="preserve"> Beneficial changes are incorporated into personal espoused theory through a reflective critical process.</w:t>
      </w:r>
      <w:bookmarkEnd w:id="294"/>
    </w:p>
    <w:p w14:paraId="242DADB7" w14:textId="77777777" w:rsidR="0070586E" w:rsidRPr="00B56453" w:rsidRDefault="0070586E" w:rsidP="00026049">
      <w:pPr>
        <w:pStyle w:val="Normal1"/>
        <w:rPr>
          <w:lang w:val="en-GB"/>
        </w:rPr>
      </w:pPr>
    </w:p>
    <w:p w14:paraId="076E089F" w14:textId="4849A02B" w:rsidR="0070586E" w:rsidRPr="00B56453" w:rsidRDefault="00C93903" w:rsidP="00BA4521">
      <w:pPr>
        <w:pStyle w:val="Heading3"/>
      </w:pPr>
      <w:bookmarkStart w:id="295" w:name="_Toc500319392"/>
      <w:r w:rsidRPr="00B56453">
        <w:t xml:space="preserve">B2.3.4 </w:t>
      </w:r>
      <w:r w:rsidR="0070586E" w:rsidRPr="00B56453">
        <w:t xml:space="preserve">Differences </w:t>
      </w:r>
      <w:r w:rsidR="00234E4A" w:rsidRPr="00B56453">
        <w:t>between Novice and Experienced Teachers</w:t>
      </w:r>
      <w:bookmarkEnd w:id="295"/>
    </w:p>
    <w:p w14:paraId="234D65A6" w14:textId="77777777" w:rsidR="0070586E" w:rsidRPr="00B56453" w:rsidRDefault="0070586E" w:rsidP="00026049">
      <w:pPr>
        <w:pStyle w:val="Normal1"/>
        <w:rPr>
          <w:lang w:val="en-GB"/>
        </w:rPr>
      </w:pPr>
    </w:p>
    <w:p w14:paraId="6B415962" w14:textId="6028FE0B" w:rsidR="0070586E" w:rsidRPr="00B56453" w:rsidRDefault="0070586E" w:rsidP="00026049">
      <w:pPr>
        <w:pStyle w:val="Normal1"/>
        <w:rPr>
          <w:lang w:val="en-GB"/>
        </w:rPr>
      </w:pPr>
      <w:r w:rsidRPr="00B56453">
        <w:rPr>
          <w:lang w:val="en-GB"/>
        </w:rPr>
        <w:t xml:space="preserve">There were notable differences in response to certain topics between teachers who were </w:t>
      </w:r>
      <w:r w:rsidR="00950528" w:rsidRPr="00B56453">
        <w:rPr>
          <w:lang w:val="en-GB"/>
        </w:rPr>
        <w:t>comparatively</w:t>
      </w:r>
      <w:r w:rsidRPr="00B56453">
        <w:rPr>
          <w:lang w:val="en-GB"/>
        </w:rPr>
        <w:t xml:space="preserve"> new to the clinical skills teaching context and those who had more experience. This difference did not affect the structure of the conceptual model for either group but did affect their teaching and feedback giving practices</w:t>
      </w:r>
      <w:r w:rsidR="00B647A1" w:rsidRPr="00B56453">
        <w:rPr>
          <w:lang w:val="en-GB"/>
        </w:rPr>
        <w:t xml:space="preserve"> and perceptions of the models</w:t>
      </w:r>
      <w:r w:rsidRPr="00B56453">
        <w:rPr>
          <w:lang w:val="en-GB"/>
        </w:rPr>
        <w:t>.</w:t>
      </w:r>
    </w:p>
    <w:p w14:paraId="5E8DC09A" w14:textId="77777777" w:rsidR="00ED3E01" w:rsidRPr="00B56453" w:rsidRDefault="00ED3E01" w:rsidP="00026049">
      <w:pPr>
        <w:pStyle w:val="Normal1"/>
        <w:rPr>
          <w:lang w:val="en-GB"/>
        </w:rPr>
      </w:pPr>
    </w:p>
    <w:p w14:paraId="6AB6F5E9" w14:textId="045A3867" w:rsidR="0070586E" w:rsidRPr="00B56453" w:rsidRDefault="0070586E" w:rsidP="00026049">
      <w:pPr>
        <w:pStyle w:val="Normal1"/>
        <w:rPr>
          <w:lang w:val="en-GB"/>
        </w:rPr>
      </w:pPr>
      <w:r w:rsidRPr="00B56453">
        <w:rPr>
          <w:lang w:val="en-GB"/>
        </w:rPr>
        <w:t xml:space="preserve">The novice teachers tended to focus more on the content delivery aspect of teaching which </w:t>
      </w:r>
      <w:r w:rsidR="001D1535" w:rsidRPr="00B56453">
        <w:rPr>
          <w:lang w:val="en-GB"/>
        </w:rPr>
        <w:t>impacted upon</w:t>
      </w:r>
      <w:r w:rsidRPr="00B56453">
        <w:rPr>
          <w:lang w:val="en-GB"/>
        </w:rPr>
        <w:t xml:space="preserve"> their approach to feedback, whereas the more experienced teachers were more </w:t>
      </w:r>
      <w:r w:rsidR="00B647A1" w:rsidRPr="00B56453">
        <w:rPr>
          <w:lang w:val="en-GB"/>
        </w:rPr>
        <w:t>concerned with holistic factors</w:t>
      </w:r>
      <w:r w:rsidRPr="00B56453">
        <w:rPr>
          <w:lang w:val="en-GB"/>
        </w:rPr>
        <w:t>.</w:t>
      </w:r>
    </w:p>
    <w:p w14:paraId="0804DB24" w14:textId="77777777" w:rsidR="0070586E" w:rsidRPr="00B56453" w:rsidRDefault="0070586E" w:rsidP="00026049">
      <w:pPr>
        <w:pStyle w:val="Normal1"/>
        <w:rPr>
          <w:lang w:val="en-GB"/>
        </w:rPr>
      </w:pPr>
    </w:p>
    <w:p w14:paraId="3D57B258" w14:textId="17FFED92" w:rsidR="0070586E" w:rsidRPr="00B27F0B" w:rsidRDefault="00B647A1" w:rsidP="001D1535">
      <w:pPr>
        <w:pStyle w:val="Quote"/>
        <w:rPr>
          <w:lang w:val="en-GB"/>
        </w:rPr>
      </w:pPr>
      <w:r w:rsidRPr="00B27F0B">
        <w:rPr>
          <w:lang w:val="en-GB"/>
        </w:rPr>
        <w:t xml:space="preserve">BPF Nov - 4 </w:t>
      </w:r>
      <w:r w:rsidR="0070586E" w:rsidRPr="00B27F0B">
        <w:rPr>
          <w:lang w:val="en-GB"/>
        </w:rPr>
        <w:t>“in the first session I gave less feedback because the students had done quite a bit of pre-reading so they were slightly better automatically”</w:t>
      </w:r>
    </w:p>
    <w:p w14:paraId="538CE082" w14:textId="310A1608" w:rsidR="00ED3E01" w:rsidRPr="00B27F0B" w:rsidRDefault="00B647A1" w:rsidP="001D1535">
      <w:pPr>
        <w:pStyle w:val="Quote"/>
        <w:rPr>
          <w:lang w:val="en-GB"/>
        </w:rPr>
      </w:pPr>
      <w:r w:rsidRPr="00B27F0B">
        <w:rPr>
          <w:lang w:val="en-GB"/>
        </w:rPr>
        <w:t xml:space="preserve">SRLF Exp – 1 </w:t>
      </w:r>
      <w:r w:rsidR="0070586E" w:rsidRPr="00B27F0B">
        <w:rPr>
          <w:lang w:val="en-GB"/>
        </w:rPr>
        <w:t>“</w:t>
      </w:r>
      <w:r w:rsidR="00293554" w:rsidRPr="00B27F0B">
        <w:rPr>
          <w:lang w:val="en-GB"/>
        </w:rPr>
        <w:t>it’s</w:t>
      </w:r>
      <w:r w:rsidR="0070586E" w:rsidRPr="00B27F0B">
        <w:rPr>
          <w:lang w:val="en-GB"/>
        </w:rPr>
        <w:t xml:space="preserve"> not just about the knowledge, </w:t>
      </w:r>
      <w:r w:rsidR="00293554" w:rsidRPr="00B27F0B">
        <w:rPr>
          <w:lang w:val="en-GB"/>
        </w:rPr>
        <w:t>it’s</w:t>
      </w:r>
      <w:r w:rsidR="0070586E" w:rsidRPr="00B27F0B">
        <w:rPr>
          <w:lang w:val="en-GB"/>
        </w:rPr>
        <w:t xml:space="preserve"> about the other things they need, try to give them a way to deal with all those problems as well […]</w:t>
      </w:r>
      <w:r w:rsidRPr="00B27F0B">
        <w:rPr>
          <w:lang w:val="en-GB"/>
        </w:rPr>
        <w:t xml:space="preserve"> </w:t>
      </w:r>
      <w:r w:rsidR="0070586E" w:rsidRPr="00B27F0B">
        <w:rPr>
          <w:lang w:val="en-GB"/>
        </w:rPr>
        <w:t>little tricks you can do to calm you down and to focus in on the task because that’s a generic skill that they need in everyday skills and on the wards.”</w:t>
      </w:r>
    </w:p>
    <w:p w14:paraId="1C1930BE" w14:textId="77777777" w:rsidR="00D15DAE" w:rsidRPr="00B27F0B" w:rsidRDefault="00D15DAE" w:rsidP="00234E4A">
      <w:pPr>
        <w:pStyle w:val="Normal1"/>
        <w:rPr>
          <w:lang w:val="en-GB"/>
        </w:rPr>
      </w:pPr>
    </w:p>
    <w:p w14:paraId="20C18E93" w14:textId="02D5BE0E" w:rsidR="0070586E" w:rsidRPr="00BD42AF" w:rsidRDefault="0070586E" w:rsidP="00026049">
      <w:pPr>
        <w:pStyle w:val="Normal1"/>
        <w:rPr>
          <w:lang w:val="en-GB"/>
        </w:rPr>
      </w:pPr>
      <w:r w:rsidRPr="00B56453">
        <w:rPr>
          <w:lang w:val="en-GB"/>
        </w:rPr>
        <w:t xml:space="preserve">When discussing the challenge of exam-focused students, novice teachers typically </w:t>
      </w:r>
      <w:r w:rsidR="00B647A1" w:rsidRPr="00BD42AF">
        <w:rPr>
          <w:lang w:val="en-GB"/>
        </w:rPr>
        <w:t>described</w:t>
      </w:r>
      <w:r w:rsidRPr="00BD42AF">
        <w:rPr>
          <w:lang w:val="en-GB"/>
        </w:rPr>
        <w:t xml:space="preserve"> using simplified feedback which addressed the students</w:t>
      </w:r>
      <w:r w:rsidR="00950528" w:rsidRPr="00BD42AF">
        <w:rPr>
          <w:lang w:val="en-GB"/>
        </w:rPr>
        <w:t>’</w:t>
      </w:r>
      <w:r w:rsidRPr="00BD42AF">
        <w:rPr>
          <w:lang w:val="en-GB"/>
        </w:rPr>
        <w:t xml:space="preserve"> exam needs. Experienced teachers spoke more about responding to this in a way which focused upon the </w:t>
      </w:r>
      <w:r w:rsidR="00826050" w:rsidRPr="00BD42AF">
        <w:rPr>
          <w:lang w:val="en-GB"/>
        </w:rPr>
        <w:t>longer-term</w:t>
      </w:r>
      <w:r w:rsidRPr="00BD42AF">
        <w:rPr>
          <w:lang w:val="en-GB"/>
        </w:rPr>
        <w:t xml:space="preserve"> </w:t>
      </w:r>
      <w:r w:rsidR="00950528" w:rsidRPr="00BD42AF">
        <w:rPr>
          <w:lang w:val="en-GB"/>
        </w:rPr>
        <w:t>learning</w:t>
      </w:r>
      <w:r w:rsidR="00211105" w:rsidRPr="00BD42AF">
        <w:rPr>
          <w:lang w:val="en-GB"/>
        </w:rPr>
        <w:t xml:space="preserve"> </w:t>
      </w:r>
      <w:r w:rsidRPr="00BD42AF">
        <w:rPr>
          <w:lang w:val="en-GB"/>
        </w:rPr>
        <w:t>needs of the students.</w:t>
      </w:r>
    </w:p>
    <w:p w14:paraId="3C8760C3" w14:textId="77777777" w:rsidR="0070586E" w:rsidRPr="00BD42AF" w:rsidRDefault="0070586E" w:rsidP="00026049">
      <w:pPr>
        <w:pStyle w:val="Normal1"/>
        <w:rPr>
          <w:lang w:val="en-GB"/>
        </w:rPr>
      </w:pPr>
    </w:p>
    <w:p w14:paraId="3097FDFF" w14:textId="4C6890E7" w:rsidR="0070586E" w:rsidRPr="00B27F0B" w:rsidRDefault="00B647A1" w:rsidP="008E295C">
      <w:pPr>
        <w:pStyle w:val="Quote"/>
        <w:rPr>
          <w:lang w:val="en-GB"/>
        </w:rPr>
      </w:pPr>
      <w:r w:rsidRPr="00B27F0B">
        <w:rPr>
          <w:lang w:val="en-GB"/>
        </w:rPr>
        <w:t xml:space="preserve">SRLF Nov - 3 </w:t>
      </w:r>
      <w:r w:rsidR="0070586E" w:rsidRPr="00B27F0B">
        <w:rPr>
          <w:lang w:val="en-GB"/>
        </w:rPr>
        <w:t>“I find that sometimes they don’t seem as willing to listen unless you put it in that same format “if you do this, you will pass” if you make it more abstract than that then it’s not as accepted as well. You have to incentivise it almost.”</w:t>
      </w:r>
    </w:p>
    <w:p w14:paraId="51F7DB5B" w14:textId="5762FED5" w:rsidR="0070586E" w:rsidRPr="00B27F0B" w:rsidRDefault="00B647A1" w:rsidP="008E295C">
      <w:pPr>
        <w:pStyle w:val="Quote"/>
        <w:rPr>
          <w:lang w:val="en-GB"/>
        </w:rPr>
      </w:pPr>
      <w:r w:rsidRPr="00B27F0B">
        <w:rPr>
          <w:lang w:val="en-GB"/>
        </w:rPr>
        <w:t xml:space="preserve">SRLF Exp - 4 </w:t>
      </w:r>
      <w:r w:rsidR="0070586E" w:rsidRPr="00B27F0B">
        <w:rPr>
          <w:lang w:val="en-GB"/>
        </w:rPr>
        <w:t>“In some respects, the students are wanting to pass their assessments which is important but I’m wanting them to go beyond that and apply what we’ve taught them and the principles of what we teach them.”</w:t>
      </w:r>
    </w:p>
    <w:p w14:paraId="05A9862B" w14:textId="77777777" w:rsidR="00ED3E01" w:rsidRPr="00B56453" w:rsidRDefault="00ED3E01" w:rsidP="00026049">
      <w:pPr>
        <w:pStyle w:val="Normal1"/>
        <w:rPr>
          <w:lang w:val="en-GB"/>
        </w:rPr>
      </w:pPr>
    </w:p>
    <w:p w14:paraId="1E2A379E" w14:textId="70ABF01E" w:rsidR="0070586E" w:rsidRPr="00BD42AF" w:rsidRDefault="0070586E" w:rsidP="00026049">
      <w:pPr>
        <w:pStyle w:val="Normal1"/>
        <w:rPr>
          <w:lang w:val="en-GB"/>
        </w:rPr>
      </w:pPr>
      <w:r w:rsidRPr="00BD42AF">
        <w:rPr>
          <w:lang w:val="en-GB"/>
        </w:rPr>
        <w:t xml:space="preserve">Some novice teachers chose not to give feedback on certain SRL processes because they did not feel comfortable or did not know how to give feedback on them. Only one experienced teacher raised this difficulty, they also took steps to resolve the issue by </w:t>
      </w:r>
      <w:r w:rsidR="004E2493" w:rsidRPr="00BD42AF">
        <w:rPr>
          <w:lang w:val="en-GB"/>
        </w:rPr>
        <w:t>accessing</w:t>
      </w:r>
      <w:r w:rsidRPr="00BD42AF">
        <w:rPr>
          <w:lang w:val="en-GB"/>
        </w:rPr>
        <w:t xml:space="preserve"> support</w:t>
      </w:r>
      <w:r w:rsidR="00950528" w:rsidRPr="00BD42AF">
        <w:rPr>
          <w:lang w:val="en-GB"/>
        </w:rPr>
        <w:t>,</w:t>
      </w:r>
      <w:r w:rsidRPr="00BD42AF">
        <w:rPr>
          <w:lang w:val="en-GB"/>
        </w:rPr>
        <w:t xml:space="preserve"> which no novice teacher did.</w:t>
      </w:r>
    </w:p>
    <w:p w14:paraId="54A47978" w14:textId="77777777" w:rsidR="0070586E" w:rsidRPr="00BD42AF" w:rsidRDefault="0070586E" w:rsidP="00026049">
      <w:pPr>
        <w:pStyle w:val="Normal1"/>
        <w:rPr>
          <w:lang w:val="en-GB"/>
        </w:rPr>
      </w:pPr>
    </w:p>
    <w:p w14:paraId="44D4DEF7" w14:textId="171E39D3" w:rsidR="0070586E" w:rsidRPr="00B27F0B" w:rsidRDefault="00F45EE4" w:rsidP="008E295C">
      <w:pPr>
        <w:pStyle w:val="Quote"/>
        <w:rPr>
          <w:lang w:val="en-GB"/>
        </w:rPr>
      </w:pPr>
      <w:r w:rsidRPr="00B27F0B">
        <w:rPr>
          <w:lang w:val="en-GB"/>
        </w:rPr>
        <w:t xml:space="preserve">SRLF Nov - 1 </w:t>
      </w:r>
      <w:r w:rsidR="0070586E" w:rsidRPr="00B27F0B">
        <w:rPr>
          <w:lang w:val="en-GB"/>
        </w:rPr>
        <w:t>“I mostly ended up talking to people about the goal setting and process […] Mostly because I didn’t know how to give feedback on the other bits particularly.”</w:t>
      </w:r>
    </w:p>
    <w:p w14:paraId="357A7290" w14:textId="1FA6D832" w:rsidR="0070586E" w:rsidRPr="00B27F0B" w:rsidRDefault="00F45EE4" w:rsidP="008E295C">
      <w:pPr>
        <w:pStyle w:val="Quote"/>
        <w:rPr>
          <w:lang w:val="en-GB"/>
        </w:rPr>
      </w:pPr>
      <w:r w:rsidRPr="00B27F0B">
        <w:rPr>
          <w:lang w:val="en-GB"/>
        </w:rPr>
        <w:t xml:space="preserve">SRLF Exp - 1 </w:t>
      </w:r>
      <w:r w:rsidR="0070586E" w:rsidRPr="00B27F0B">
        <w:rPr>
          <w:lang w:val="en-GB"/>
        </w:rPr>
        <w:t>“If it was just me on my own, without any feedback from you I’d have wondered a bit and I might have even varied it a lot more but because you told me “you’re on the right track” and told me what I needed to improve upon, that’s good feedback so I was quite happy with that</w:t>
      </w:r>
      <w:r w:rsidR="00950528" w:rsidRPr="00B27F0B">
        <w:rPr>
          <w:lang w:val="en-GB"/>
        </w:rPr>
        <w:t>.</w:t>
      </w:r>
      <w:r w:rsidR="0070586E" w:rsidRPr="00B27F0B">
        <w:rPr>
          <w:lang w:val="en-GB"/>
        </w:rPr>
        <w:t>”</w:t>
      </w:r>
      <w:r w:rsidR="0070586E" w:rsidRPr="00B27F0B">
        <w:rPr>
          <w:lang w:val="en-GB"/>
        </w:rPr>
        <w:br w:type="page"/>
      </w:r>
    </w:p>
    <w:p w14:paraId="6BD08B84" w14:textId="5940C9AC" w:rsidR="0070586E" w:rsidRPr="00BD42AF" w:rsidRDefault="00C93903" w:rsidP="00B1638D">
      <w:pPr>
        <w:pStyle w:val="Heading2"/>
        <w:rPr>
          <w:lang w:val="en-GB"/>
        </w:rPr>
      </w:pPr>
      <w:bookmarkStart w:id="296" w:name="_Toc500319393"/>
      <w:r w:rsidRPr="00B56453">
        <w:rPr>
          <w:rStyle w:val="Heading2Char"/>
          <w:b/>
          <w:lang w:val="en-GB"/>
        </w:rPr>
        <w:lastRenderedPageBreak/>
        <w:t xml:space="preserve">B2.4 </w:t>
      </w:r>
      <w:r w:rsidR="0070586E" w:rsidRPr="00BD42AF">
        <w:rPr>
          <w:rStyle w:val="Heading2Char"/>
          <w:b/>
          <w:lang w:val="en-GB"/>
        </w:rPr>
        <w:t>Chapter</w:t>
      </w:r>
      <w:r w:rsidR="0070586E" w:rsidRPr="00BD42AF">
        <w:rPr>
          <w:lang w:val="en-GB"/>
        </w:rPr>
        <w:t xml:space="preserve"> </w:t>
      </w:r>
      <w:r w:rsidR="0070586E" w:rsidRPr="00BD42AF">
        <w:rPr>
          <w:rStyle w:val="Heading2Char"/>
          <w:b/>
          <w:lang w:val="en-GB"/>
        </w:rPr>
        <w:t>summary</w:t>
      </w:r>
      <w:bookmarkEnd w:id="296"/>
    </w:p>
    <w:p w14:paraId="3A85395F" w14:textId="77777777" w:rsidR="0070586E" w:rsidRPr="00BD42AF" w:rsidRDefault="0070586E" w:rsidP="00026049">
      <w:pPr>
        <w:pStyle w:val="Normal1"/>
        <w:rPr>
          <w:lang w:val="en-GB"/>
        </w:rPr>
      </w:pPr>
    </w:p>
    <w:p w14:paraId="65238287" w14:textId="0E9CDC42" w:rsidR="00AE5568" w:rsidRPr="00C71126" w:rsidRDefault="00AE5568" w:rsidP="00026049">
      <w:pPr>
        <w:pStyle w:val="Normal1"/>
        <w:rPr>
          <w:lang w:val="en-GB"/>
        </w:rPr>
      </w:pPr>
      <w:r w:rsidRPr="00BD42AF">
        <w:rPr>
          <w:lang w:val="en-GB"/>
        </w:rPr>
        <w:t>An SRL</w:t>
      </w:r>
      <w:r w:rsidR="008E295C" w:rsidRPr="00BD42AF">
        <w:rPr>
          <w:lang w:val="en-GB"/>
        </w:rPr>
        <w:t>F</w:t>
      </w:r>
      <w:r w:rsidRPr="00BD42AF">
        <w:rPr>
          <w:lang w:val="en-GB"/>
        </w:rPr>
        <w:t xml:space="preserve"> model using </w:t>
      </w:r>
      <w:r w:rsidR="008E295C" w:rsidRPr="00BD42AF">
        <w:rPr>
          <w:lang w:val="en-GB"/>
        </w:rPr>
        <w:t xml:space="preserve">SRL </w:t>
      </w:r>
      <w:r w:rsidR="007040AC" w:rsidRPr="00BD42AF">
        <w:rPr>
          <w:lang w:val="en-GB"/>
        </w:rPr>
        <w:t>MA</w:t>
      </w:r>
      <w:r w:rsidRPr="00BD42AF">
        <w:rPr>
          <w:lang w:val="en-GB"/>
        </w:rPr>
        <w:t xml:space="preserve"> was developed, piloted, and implemented in authentic teaching sessions alongside a </w:t>
      </w:r>
      <w:r w:rsidR="008E295C" w:rsidRPr="00BD42AF">
        <w:rPr>
          <w:lang w:val="en-GB"/>
        </w:rPr>
        <w:t>BPF</w:t>
      </w:r>
      <w:r w:rsidRPr="001046E5">
        <w:rPr>
          <w:lang w:val="en-GB"/>
        </w:rPr>
        <w:t xml:space="preserve"> model. Three distinc</w:t>
      </w:r>
      <w:r w:rsidRPr="00C71126">
        <w:rPr>
          <w:lang w:val="en-GB"/>
        </w:rPr>
        <w:t>t themes arose</w:t>
      </w:r>
      <w:r w:rsidR="008E295C" w:rsidRPr="00C71126">
        <w:rPr>
          <w:lang w:val="en-GB"/>
        </w:rPr>
        <w:t xml:space="preserve"> from the interview analysis:</w:t>
      </w:r>
      <w:r w:rsidRPr="00C71126">
        <w:rPr>
          <w:lang w:val="en-GB"/>
        </w:rPr>
        <w:t xml:space="preserve"> how the teachers’ </w:t>
      </w:r>
      <w:r w:rsidR="008E7D00" w:rsidRPr="00C71126">
        <w:rPr>
          <w:lang w:val="en-GB"/>
        </w:rPr>
        <w:t>conceptualisation</w:t>
      </w:r>
      <w:r w:rsidRPr="00C71126">
        <w:rPr>
          <w:lang w:val="en-GB"/>
        </w:rPr>
        <w:t>s of teaching and feedback informed their practice, what influenced them during the student encounter, and what changes they made to their practice both during and between encounters. A conceptual model was formed based upon these themes in which contextual and situational factors i</w:t>
      </w:r>
      <w:r w:rsidR="00950528" w:rsidRPr="00C71126">
        <w:rPr>
          <w:lang w:val="en-GB"/>
        </w:rPr>
        <w:t>mpacted upon teaching practice.</w:t>
      </w:r>
    </w:p>
    <w:p w14:paraId="4DB04FB2" w14:textId="77777777" w:rsidR="0070586E" w:rsidRPr="00C71126" w:rsidRDefault="0070586E" w:rsidP="00026049">
      <w:pPr>
        <w:pStyle w:val="Normal1"/>
        <w:rPr>
          <w:lang w:val="en-GB"/>
        </w:rPr>
      </w:pPr>
    </w:p>
    <w:p w14:paraId="7FEE3681" w14:textId="1330E776" w:rsidR="0070586E" w:rsidRPr="00B56453" w:rsidRDefault="0070586E" w:rsidP="00026049">
      <w:pPr>
        <w:pStyle w:val="Normal1"/>
        <w:rPr>
          <w:lang w:val="en-GB"/>
        </w:rPr>
      </w:pPr>
      <w:r w:rsidRPr="00C71126">
        <w:rPr>
          <w:lang w:val="en-GB"/>
        </w:rPr>
        <w:t>The results and procedural observations from this study further validate</w:t>
      </w:r>
      <w:r w:rsidR="00950528" w:rsidRPr="00C71126">
        <w:rPr>
          <w:lang w:val="en-GB"/>
        </w:rPr>
        <w:t>d</w:t>
      </w:r>
      <w:r w:rsidRPr="00521DE8">
        <w:rPr>
          <w:lang w:val="en-GB"/>
        </w:rPr>
        <w:t xml:space="preserve"> that </w:t>
      </w:r>
      <w:r w:rsidR="008E295C" w:rsidRPr="00521DE8">
        <w:rPr>
          <w:lang w:val="en-GB"/>
        </w:rPr>
        <w:t>SRLF and BPF</w:t>
      </w:r>
      <w:r w:rsidRPr="00521DE8">
        <w:rPr>
          <w:lang w:val="en-GB"/>
        </w:rPr>
        <w:t xml:space="preserve"> was given which </w:t>
      </w:r>
      <w:r w:rsidR="00950528" w:rsidRPr="00521DE8">
        <w:rPr>
          <w:lang w:val="en-GB"/>
        </w:rPr>
        <w:t>wa</w:t>
      </w:r>
      <w:r w:rsidRPr="00521DE8">
        <w:rPr>
          <w:lang w:val="en-GB"/>
        </w:rPr>
        <w:t xml:space="preserve">s important to add credibility to the questionnaire study findings. It also </w:t>
      </w:r>
      <w:r w:rsidR="008E295C" w:rsidRPr="00FD5859">
        <w:rPr>
          <w:lang w:val="en-GB"/>
        </w:rPr>
        <w:t>gave</w:t>
      </w:r>
      <w:r w:rsidRPr="00B56453">
        <w:rPr>
          <w:lang w:val="en-GB"/>
        </w:rPr>
        <w:t xml:space="preserve"> insight</w:t>
      </w:r>
      <w:r w:rsidR="008E295C" w:rsidRPr="00B56453">
        <w:rPr>
          <w:lang w:val="en-GB"/>
        </w:rPr>
        <w:t>s</w:t>
      </w:r>
      <w:r w:rsidRPr="00B56453">
        <w:rPr>
          <w:lang w:val="en-GB"/>
        </w:rPr>
        <w:t xml:space="preserve"> into how the feedback was received in terms of the teachers’ </w:t>
      </w:r>
      <w:r w:rsidR="004A351A" w:rsidRPr="00B56453">
        <w:rPr>
          <w:lang w:val="en-GB"/>
        </w:rPr>
        <w:t>observations</w:t>
      </w:r>
      <w:r w:rsidRPr="00B56453">
        <w:rPr>
          <w:lang w:val="en-GB"/>
        </w:rPr>
        <w:t xml:space="preserve"> of the students’ reactions.</w:t>
      </w:r>
    </w:p>
    <w:p w14:paraId="70ADE0B5" w14:textId="77777777" w:rsidR="0070586E" w:rsidRPr="00B56453" w:rsidRDefault="0070586E" w:rsidP="00026049">
      <w:pPr>
        <w:pStyle w:val="Normal1"/>
        <w:rPr>
          <w:lang w:val="en-GB"/>
        </w:rPr>
      </w:pPr>
    </w:p>
    <w:p w14:paraId="3657CEF7" w14:textId="22BE88BC" w:rsidR="001F0F9F" w:rsidRPr="00B56453" w:rsidRDefault="0070586E" w:rsidP="00026049">
      <w:pPr>
        <w:pStyle w:val="Normal1"/>
        <w:rPr>
          <w:lang w:val="en-GB"/>
        </w:rPr>
      </w:pPr>
      <w:r w:rsidRPr="00B56453">
        <w:rPr>
          <w:lang w:val="en-GB"/>
        </w:rPr>
        <w:t xml:space="preserve">Peer debriefing was a key validation tool during the analysis stage of this study. Initially, elements of intervention usability, usefulness, and acceptability superseded the impact of using the feedback models on the teachers’ practices. After presenting these findings to the research team it was decided that these operational details would better suit a dedicated evaluation rather than addressing the specific study research questions. This initial analysis was kept and used in </w:t>
      </w:r>
      <w:r w:rsidR="002849FA" w:rsidRPr="00B56453">
        <w:rPr>
          <w:lang w:val="en-GB"/>
        </w:rPr>
        <w:t xml:space="preserve">Chapter </w:t>
      </w:r>
      <w:r w:rsidR="00BF6160" w:rsidRPr="00B56453">
        <w:rPr>
          <w:lang w:val="en-GB"/>
        </w:rPr>
        <w:t>D1</w:t>
      </w:r>
      <w:r w:rsidRPr="00B56453">
        <w:rPr>
          <w:lang w:val="en-GB"/>
        </w:rPr>
        <w:t xml:space="preserve">; the subsequent analysis presented in this </w:t>
      </w:r>
      <w:r w:rsidR="002849FA" w:rsidRPr="00B56453">
        <w:rPr>
          <w:lang w:val="en-GB"/>
        </w:rPr>
        <w:t>C</w:t>
      </w:r>
      <w:r w:rsidRPr="00B56453">
        <w:rPr>
          <w:lang w:val="en-GB"/>
        </w:rPr>
        <w:t>hapter ultimately focused upon how teaching practice changed and the mechanisms supporting</w:t>
      </w:r>
      <w:r w:rsidR="008E295C" w:rsidRPr="00B56453">
        <w:rPr>
          <w:lang w:val="en-GB"/>
        </w:rPr>
        <w:t xml:space="preserve"> and causing</w:t>
      </w:r>
      <w:r w:rsidRPr="00B56453">
        <w:rPr>
          <w:lang w:val="en-GB"/>
        </w:rPr>
        <w:t xml:space="preserve"> it. The conceptual model was borne out of these peer debriefing meetings and help</w:t>
      </w:r>
      <w:r w:rsidR="008E295C" w:rsidRPr="00B56453">
        <w:rPr>
          <w:lang w:val="en-GB"/>
        </w:rPr>
        <w:t>ed</w:t>
      </w:r>
      <w:r w:rsidRPr="00B56453">
        <w:rPr>
          <w:lang w:val="en-GB"/>
        </w:rPr>
        <w:t xml:space="preserve"> to illustrate the overall process teache</w:t>
      </w:r>
      <w:r w:rsidR="00C24E5A" w:rsidRPr="00B56453">
        <w:rPr>
          <w:lang w:val="en-GB"/>
        </w:rPr>
        <w:t>rs navigated across the study.</w:t>
      </w:r>
      <w:r w:rsidR="001F0F9F" w:rsidRPr="00B56453">
        <w:rPr>
          <w:lang w:val="en-GB"/>
        </w:rPr>
        <w:br w:type="page"/>
      </w:r>
    </w:p>
    <w:p w14:paraId="15ADF89E" w14:textId="4B9277E6" w:rsidR="00DB587B" w:rsidRPr="00B56453" w:rsidRDefault="001F0F9F" w:rsidP="00426FCB">
      <w:pPr>
        <w:pStyle w:val="Heading1"/>
      </w:pPr>
      <w:bookmarkStart w:id="297" w:name="_Toc487456837"/>
      <w:bookmarkStart w:id="298" w:name="_Toc487811217"/>
      <w:bookmarkStart w:id="299" w:name="_Toc488147560"/>
      <w:bookmarkStart w:id="300" w:name="_Toc488309172"/>
      <w:bookmarkStart w:id="301" w:name="_Toc488930134"/>
      <w:bookmarkStart w:id="302" w:name="_Toc489017348"/>
      <w:bookmarkStart w:id="303" w:name="_Toc489447702"/>
      <w:bookmarkStart w:id="304" w:name="_Toc490650189"/>
      <w:bookmarkStart w:id="305" w:name="_Toc500319394"/>
      <w:bookmarkStart w:id="306" w:name="_Toc500319551"/>
      <w:r w:rsidRPr="00B56453">
        <w:lastRenderedPageBreak/>
        <w:t xml:space="preserve">Chapter B3: </w:t>
      </w:r>
      <w:r w:rsidR="00DB587B" w:rsidRPr="00B56453">
        <w:t xml:space="preserve">The </w:t>
      </w:r>
      <w:r w:rsidR="000470C2" w:rsidRPr="00B56453">
        <w:t>immediate</w:t>
      </w:r>
      <w:r w:rsidR="00DB587B" w:rsidRPr="00B56453">
        <w:t xml:space="preserve"> and </w:t>
      </w:r>
      <w:r w:rsidR="00826050" w:rsidRPr="00B56453">
        <w:t>longer-term</w:t>
      </w:r>
      <w:r w:rsidR="00DB587B" w:rsidRPr="00B56453">
        <w:t xml:space="preserve"> impact of </w:t>
      </w:r>
      <w:r w:rsidR="008E295C" w:rsidRPr="00B56453">
        <w:t>SRLF and BPF</w:t>
      </w:r>
      <w:r w:rsidR="00DB587B" w:rsidRPr="00B56453">
        <w:t xml:space="preserve"> on the SRL capacity and self-efficacy beliefs of medical undergraduates</w:t>
      </w:r>
      <w:bookmarkEnd w:id="297"/>
      <w:bookmarkEnd w:id="298"/>
      <w:bookmarkEnd w:id="299"/>
      <w:bookmarkEnd w:id="300"/>
      <w:bookmarkEnd w:id="301"/>
      <w:bookmarkEnd w:id="302"/>
      <w:bookmarkEnd w:id="303"/>
      <w:bookmarkEnd w:id="304"/>
      <w:bookmarkEnd w:id="305"/>
      <w:bookmarkEnd w:id="306"/>
    </w:p>
    <w:p w14:paraId="4E2787EF" w14:textId="77777777" w:rsidR="00DB587B" w:rsidRPr="00B56453" w:rsidRDefault="00DB587B" w:rsidP="00026049">
      <w:pPr>
        <w:pStyle w:val="Normal1"/>
        <w:rPr>
          <w:lang w:val="en-GB"/>
        </w:rPr>
      </w:pPr>
    </w:p>
    <w:p w14:paraId="7B78F8C5" w14:textId="241868D6" w:rsidR="00DB587B" w:rsidRPr="00B56453" w:rsidRDefault="00FA111F" w:rsidP="00B1638D">
      <w:pPr>
        <w:pStyle w:val="Heading2"/>
        <w:rPr>
          <w:lang w:val="en-GB"/>
        </w:rPr>
      </w:pPr>
      <w:bookmarkStart w:id="307" w:name="_Toc500319395"/>
      <w:r w:rsidRPr="00B56453">
        <w:rPr>
          <w:lang w:val="en-GB"/>
        </w:rPr>
        <w:t xml:space="preserve">B3.1 </w:t>
      </w:r>
      <w:r w:rsidR="00DB587B" w:rsidRPr="00B56453">
        <w:rPr>
          <w:lang w:val="en-GB"/>
        </w:rPr>
        <w:t xml:space="preserve">Chapter </w:t>
      </w:r>
      <w:r w:rsidR="004D6EBA" w:rsidRPr="00B56453">
        <w:rPr>
          <w:lang w:val="en-GB"/>
        </w:rPr>
        <w:t>C</w:t>
      </w:r>
      <w:r w:rsidR="00DB587B" w:rsidRPr="00B56453">
        <w:rPr>
          <w:lang w:val="en-GB"/>
        </w:rPr>
        <w:t>ontext</w:t>
      </w:r>
      <w:bookmarkEnd w:id="307"/>
    </w:p>
    <w:p w14:paraId="3C13BE2B" w14:textId="77777777" w:rsidR="009528DB" w:rsidRPr="00B56453" w:rsidRDefault="009528DB" w:rsidP="00026049">
      <w:pPr>
        <w:pStyle w:val="Normal1"/>
        <w:rPr>
          <w:lang w:val="en-GB"/>
        </w:rPr>
      </w:pPr>
    </w:p>
    <w:p w14:paraId="54FC5F7B" w14:textId="4BA682A0" w:rsidR="00D9523C" w:rsidRPr="00B56453" w:rsidRDefault="00DB587B" w:rsidP="00026049">
      <w:pPr>
        <w:pStyle w:val="Normal1"/>
        <w:rPr>
          <w:lang w:val="en-GB"/>
        </w:rPr>
      </w:pPr>
      <w:r w:rsidRPr="00B56453">
        <w:rPr>
          <w:lang w:val="en-GB"/>
        </w:rPr>
        <w:t xml:space="preserve">This chapter explores the impact of the two different ways of giving feedback in simulated clinical skills. It includes three iterations of </w:t>
      </w:r>
      <w:r w:rsidR="008E295C" w:rsidRPr="00B56453">
        <w:rPr>
          <w:lang w:val="en-GB"/>
        </w:rPr>
        <w:t>questionnaire</w:t>
      </w:r>
      <w:r w:rsidRPr="00B56453">
        <w:rPr>
          <w:lang w:val="en-GB"/>
        </w:rPr>
        <w:t xml:space="preserve"> data collection: pre-</w:t>
      </w:r>
      <w:r w:rsidR="00240F75" w:rsidRPr="00B56453">
        <w:rPr>
          <w:lang w:val="en-GB"/>
        </w:rPr>
        <w:t>teaching</w:t>
      </w:r>
      <w:r w:rsidRPr="00B56453">
        <w:rPr>
          <w:lang w:val="en-GB"/>
        </w:rPr>
        <w:t>, post-</w:t>
      </w:r>
      <w:r w:rsidR="00240F75" w:rsidRPr="00B56453">
        <w:rPr>
          <w:lang w:val="en-GB"/>
        </w:rPr>
        <w:t>teaching</w:t>
      </w:r>
      <w:r w:rsidRPr="00B56453">
        <w:rPr>
          <w:lang w:val="en-GB"/>
        </w:rPr>
        <w:t>, and post-clinical placements</w:t>
      </w:r>
      <w:r w:rsidR="004343FD" w:rsidRPr="00B56453">
        <w:rPr>
          <w:lang w:val="en-GB"/>
        </w:rPr>
        <w:t xml:space="preserve"> (see Figure B3.1)</w:t>
      </w:r>
      <w:r w:rsidRPr="00B56453">
        <w:rPr>
          <w:lang w:val="en-GB"/>
        </w:rPr>
        <w:t xml:space="preserve">. </w:t>
      </w:r>
      <w:r w:rsidR="00C75513" w:rsidRPr="00B56453">
        <w:rPr>
          <w:lang w:val="en-GB"/>
        </w:rPr>
        <w:t>The</w:t>
      </w:r>
      <w:r w:rsidR="00CC568B" w:rsidRPr="00B56453">
        <w:rPr>
          <w:lang w:val="en-GB"/>
        </w:rPr>
        <w:t xml:space="preserve"> aim</w:t>
      </w:r>
      <w:r w:rsidR="005B72F2" w:rsidRPr="00B56453">
        <w:rPr>
          <w:lang w:val="en-GB"/>
        </w:rPr>
        <w:t xml:space="preserve"> </w:t>
      </w:r>
      <w:r w:rsidR="00CC568B" w:rsidRPr="00B56453">
        <w:rPr>
          <w:lang w:val="en-GB"/>
        </w:rPr>
        <w:t xml:space="preserve">of this part of the study was </w:t>
      </w:r>
      <w:r w:rsidR="005B72F2" w:rsidRPr="00B56453">
        <w:rPr>
          <w:lang w:val="en-GB"/>
        </w:rPr>
        <w:t xml:space="preserve">to explore the impact of the </w:t>
      </w:r>
      <w:r w:rsidR="009F5DBA" w:rsidRPr="00B56453">
        <w:rPr>
          <w:lang w:val="en-GB"/>
        </w:rPr>
        <w:t>feedback models</w:t>
      </w:r>
      <w:r w:rsidR="005B72F2" w:rsidRPr="00B56453">
        <w:rPr>
          <w:lang w:val="en-GB"/>
        </w:rPr>
        <w:t xml:space="preserve"> </w:t>
      </w:r>
      <w:r w:rsidR="00A82C49" w:rsidRPr="00B56453">
        <w:rPr>
          <w:lang w:val="en-GB"/>
        </w:rPr>
        <w:t xml:space="preserve">on </w:t>
      </w:r>
      <w:r w:rsidR="009F5DBA" w:rsidRPr="00B56453">
        <w:rPr>
          <w:lang w:val="en-GB"/>
        </w:rPr>
        <w:t>students’</w:t>
      </w:r>
      <w:r w:rsidR="005B72F2" w:rsidRPr="00B56453">
        <w:rPr>
          <w:lang w:val="en-GB"/>
        </w:rPr>
        <w:t xml:space="preserve"> SRL capacity and self-efficacy in the </w:t>
      </w:r>
      <w:r w:rsidR="000470C2" w:rsidRPr="00B56453">
        <w:rPr>
          <w:lang w:val="en-GB"/>
        </w:rPr>
        <w:t>immediate</w:t>
      </w:r>
      <w:r w:rsidR="005B72F2" w:rsidRPr="00B56453">
        <w:rPr>
          <w:lang w:val="en-GB"/>
        </w:rPr>
        <w:t xml:space="preserve"> and </w:t>
      </w:r>
      <w:r w:rsidR="00826050" w:rsidRPr="00B56453">
        <w:rPr>
          <w:lang w:val="en-GB"/>
        </w:rPr>
        <w:t>longer-term</w:t>
      </w:r>
      <w:r w:rsidR="005B72F2" w:rsidRPr="00B56453">
        <w:rPr>
          <w:lang w:val="en-GB"/>
        </w:rPr>
        <w:t xml:space="preserve">. It </w:t>
      </w:r>
      <w:r w:rsidRPr="00B56453">
        <w:rPr>
          <w:lang w:val="en-GB"/>
        </w:rPr>
        <w:t>inform</w:t>
      </w:r>
      <w:r w:rsidR="004A351A" w:rsidRPr="00B56453">
        <w:rPr>
          <w:lang w:val="en-GB"/>
        </w:rPr>
        <w:t>ed</w:t>
      </w:r>
      <w:r w:rsidRPr="00B56453">
        <w:rPr>
          <w:lang w:val="en-GB"/>
        </w:rPr>
        <w:t xml:space="preserve"> the qualitative sampling and data collection in </w:t>
      </w:r>
      <w:r w:rsidR="00AE5568" w:rsidRPr="00B56453">
        <w:rPr>
          <w:lang w:val="en-GB"/>
        </w:rPr>
        <w:t>Chapter C2</w:t>
      </w:r>
      <w:r w:rsidRPr="00B56453">
        <w:rPr>
          <w:lang w:val="en-GB"/>
        </w:rPr>
        <w:t xml:space="preserve"> based upon changes in questionnaire scores. </w:t>
      </w:r>
      <w:r w:rsidR="00CC568B" w:rsidRPr="00B56453">
        <w:rPr>
          <w:lang w:val="en-GB"/>
        </w:rPr>
        <w:t>The validation in Chapter C1</w:t>
      </w:r>
      <w:r w:rsidRPr="00B56453">
        <w:rPr>
          <w:lang w:val="en-GB"/>
        </w:rPr>
        <w:t xml:space="preserve"> </w:t>
      </w:r>
      <w:r w:rsidR="009F5DBA" w:rsidRPr="00B56453">
        <w:rPr>
          <w:lang w:val="en-GB"/>
        </w:rPr>
        <w:t xml:space="preserve">also </w:t>
      </w:r>
      <w:r w:rsidRPr="00B56453">
        <w:rPr>
          <w:lang w:val="en-GB"/>
        </w:rPr>
        <w:t xml:space="preserve">serves to </w:t>
      </w:r>
      <w:r w:rsidR="008E295C" w:rsidRPr="00B56453">
        <w:rPr>
          <w:lang w:val="en-GB"/>
        </w:rPr>
        <w:t>validate the SSRQ tool</w:t>
      </w:r>
      <w:r w:rsidRPr="00B56453">
        <w:rPr>
          <w:lang w:val="en-GB"/>
        </w:rPr>
        <w:t>.</w:t>
      </w:r>
      <w:r w:rsidR="004B2ACE" w:rsidRPr="00B56453">
        <w:rPr>
          <w:lang w:val="en-GB"/>
        </w:rPr>
        <w:t xml:space="preserve"> This part of the </w:t>
      </w:r>
      <w:r w:rsidR="004A351A" w:rsidRPr="00B56453">
        <w:rPr>
          <w:lang w:val="en-GB"/>
        </w:rPr>
        <w:t>study</w:t>
      </w:r>
      <w:r w:rsidR="004B2ACE" w:rsidRPr="00B56453">
        <w:rPr>
          <w:lang w:val="en-GB"/>
        </w:rPr>
        <w:t xml:space="preserve"> spanned across the full data collection period and is the principle source of quantitative inquiry address</w:t>
      </w:r>
      <w:r w:rsidR="009F5DBA" w:rsidRPr="00B56453">
        <w:rPr>
          <w:lang w:val="en-GB"/>
        </w:rPr>
        <w:t>ing</w:t>
      </w:r>
      <w:r w:rsidR="004B2ACE" w:rsidRPr="00B56453">
        <w:rPr>
          <w:lang w:val="en-GB"/>
        </w:rPr>
        <w:t xml:space="preserve"> the quantitative research question </w:t>
      </w:r>
      <w:r w:rsidR="004A351A" w:rsidRPr="00B56453">
        <w:rPr>
          <w:lang w:val="en-GB"/>
        </w:rPr>
        <w:t>(</w:t>
      </w:r>
      <w:r w:rsidR="004B2ACE" w:rsidRPr="00B56453">
        <w:rPr>
          <w:lang w:val="en-GB"/>
        </w:rPr>
        <w:t>A1</w:t>
      </w:r>
      <w:r w:rsidR="009F5DBA" w:rsidRPr="00B56453">
        <w:rPr>
          <w:lang w:val="en-GB"/>
        </w:rPr>
        <w:t>.4).</w:t>
      </w:r>
    </w:p>
    <w:p w14:paraId="70E7C5AD" w14:textId="5D59B4AA" w:rsidR="00D9523C" w:rsidRPr="00B56453" w:rsidRDefault="009F5DBA" w:rsidP="00026049">
      <w:pPr>
        <w:pStyle w:val="Normal1"/>
        <w:rPr>
          <w:lang w:val="en-GB"/>
        </w:rPr>
      </w:pPr>
      <w:r w:rsidRPr="007638B6">
        <w:rPr>
          <w:noProof/>
          <w:lang w:val="en-GB" w:eastAsia="en-GB" w:bidi="ar-SA"/>
        </w:rPr>
        <mc:AlternateContent>
          <mc:Choice Requires="wpg">
            <w:drawing>
              <wp:anchor distT="0" distB="0" distL="114300" distR="114300" simplePos="0" relativeHeight="251872256" behindDoc="0" locked="0" layoutInCell="1" allowOverlap="1" wp14:anchorId="290081D6" wp14:editId="2B854538">
                <wp:simplePos x="0" y="0"/>
                <wp:positionH relativeFrom="column">
                  <wp:posOffset>-49530</wp:posOffset>
                </wp:positionH>
                <wp:positionV relativeFrom="paragraph">
                  <wp:posOffset>404141</wp:posOffset>
                </wp:positionV>
                <wp:extent cx="5448300" cy="3581400"/>
                <wp:effectExtent l="0" t="0" r="0" b="19050"/>
                <wp:wrapTopAndBottom/>
                <wp:docPr id="454" name="Group 454"/>
                <wp:cNvGraphicFramePr/>
                <a:graphic xmlns:a="http://schemas.openxmlformats.org/drawingml/2006/main">
                  <a:graphicData uri="http://schemas.microsoft.com/office/word/2010/wordprocessingGroup">
                    <wpg:wgp>
                      <wpg:cNvGrpSpPr/>
                      <wpg:grpSpPr>
                        <a:xfrm>
                          <a:off x="0" y="0"/>
                          <a:ext cx="5448300" cy="3581400"/>
                          <a:chOff x="3" y="0"/>
                          <a:chExt cx="6925057" cy="4066540"/>
                        </a:xfrm>
                      </wpg:grpSpPr>
                      <wps:wsp>
                        <wps:cNvPr id="411" name="AutoShape 30"/>
                        <wps:cNvCnPr>
                          <a:cxnSpLocks noChangeShapeType="1"/>
                        </wps:cNvCnPr>
                        <wps:spPr bwMode="auto">
                          <a:xfrm>
                            <a:off x="2785730" y="2158409"/>
                            <a:ext cx="52617" cy="8515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12" name="AutoShape 31"/>
                        <wps:cNvCnPr>
                          <a:cxnSpLocks noChangeShapeType="1"/>
                        </wps:cNvCnPr>
                        <wps:spPr bwMode="auto">
                          <a:xfrm flipH="1">
                            <a:off x="489097" y="2158409"/>
                            <a:ext cx="72401" cy="851881"/>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453" name="Group 453"/>
                        <wpg:cNvGrpSpPr/>
                        <wpg:grpSpPr>
                          <a:xfrm>
                            <a:off x="3" y="0"/>
                            <a:ext cx="6925057" cy="4066540"/>
                            <a:chOff x="3" y="0"/>
                            <a:chExt cx="6925057" cy="4358083"/>
                          </a:xfrm>
                        </wpg:grpSpPr>
                        <wpg:grpSp>
                          <wpg:cNvPr id="410" name="Group 410"/>
                          <wpg:cNvGrpSpPr/>
                          <wpg:grpSpPr>
                            <a:xfrm>
                              <a:off x="3" y="0"/>
                              <a:ext cx="6925057" cy="4358081"/>
                              <a:chOff x="4" y="-9"/>
                              <a:chExt cx="6926333" cy="4358335"/>
                            </a:xfrm>
                          </wpg:grpSpPr>
                          <wpg:grpSp>
                            <wpg:cNvPr id="382" name="Group 382"/>
                            <wpg:cNvGrpSpPr/>
                            <wpg:grpSpPr>
                              <a:xfrm>
                                <a:off x="4" y="-9"/>
                                <a:ext cx="6926333" cy="4358335"/>
                                <a:chOff x="5" y="-9"/>
                                <a:chExt cx="6927651" cy="4360922"/>
                              </a:xfrm>
                            </wpg:grpSpPr>
                            <wpg:grpSp>
                              <wpg:cNvPr id="383" name="Group 383"/>
                              <wpg:cNvGrpSpPr>
                                <a:grpSpLocks/>
                              </wpg:cNvGrpSpPr>
                              <wpg:grpSpPr bwMode="auto">
                                <a:xfrm>
                                  <a:off x="5" y="-9"/>
                                  <a:ext cx="6927651" cy="3044480"/>
                                  <a:chOff x="961537" y="1183386"/>
                                  <a:chExt cx="136891" cy="59130"/>
                                </a:xfrm>
                              </wpg:grpSpPr>
                              <wps:wsp>
                                <wps:cNvPr id="384" name="AutoShape 3"/>
                                <wps:cNvSpPr>
                                  <a:spLocks noChangeArrowheads="1"/>
                                </wps:cNvSpPr>
                                <wps:spPr bwMode="auto">
                                  <a:xfrm>
                                    <a:off x="981158" y="1183386"/>
                                    <a:ext cx="28610" cy="6359"/>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6976F71" w14:textId="77777777" w:rsidR="00C8402C" w:rsidRPr="009F5DBA" w:rsidRDefault="00C8402C" w:rsidP="00D9523C">
                                      <w:pPr>
                                        <w:widowControl w:val="0"/>
                                        <w:jc w:val="center"/>
                                        <w:rPr>
                                          <w:sz w:val="22"/>
                                        </w:rPr>
                                      </w:pPr>
                                      <w:r w:rsidRPr="009F5DBA">
                                        <w:rPr>
                                          <w:sz w:val="22"/>
                                        </w:rPr>
                                        <w:t>Teacher training</w:t>
                                      </w:r>
                                    </w:p>
                                  </w:txbxContent>
                                </wps:txbx>
                                <wps:bodyPr rot="0" vert="horz" wrap="square" lIns="36576" tIns="36576" rIns="36576" bIns="36576" anchor="t" anchorCtr="0" upright="1">
                                  <a:noAutofit/>
                                </wps:bodyPr>
                              </wps:wsp>
                              <wps:wsp>
                                <wps:cNvPr id="385" name="AutoShape 4"/>
                                <wps:cNvSpPr>
                                  <a:spLocks noChangeArrowheads="1"/>
                                </wps:cNvSpPr>
                                <wps:spPr bwMode="auto">
                                  <a:xfrm>
                                    <a:off x="961537"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A9B039C" w14:textId="77777777" w:rsidR="00C8402C" w:rsidRPr="009F5DBA" w:rsidRDefault="00C8402C" w:rsidP="00D9523C">
                                      <w:pPr>
                                        <w:widowControl w:val="0"/>
                                        <w:jc w:val="center"/>
                                        <w:rPr>
                                          <w:b/>
                                          <w:bCs/>
                                          <w:color w:val="000000" w:themeColor="text1"/>
                                          <w:sz w:val="22"/>
                                        </w:rPr>
                                      </w:pPr>
                                      <w:r w:rsidRPr="009F5DBA">
                                        <w:rPr>
                                          <w:b/>
                                          <w:bCs/>
                                          <w:color w:val="000000" w:themeColor="text1"/>
                                          <w:sz w:val="22"/>
                                        </w:rPr>
                                        <w:t>BPF</w:t>
                                      </w:r>
                                    </w:p>
                                  </w:txbxContent>
                                </wps:txbx>
                                <wps:bodyPr rot="0" vert="horz" wrap="square" lIns="36576" tIns="36576" rIns="36576" bIns="36576" anchor="t" anchorCtr="0" upright="1">
                                  <a:noAutofit/>
                                </wps:bodyPr>
                              </wps:wsp>
                              <wps:wsp>
                                <wps:cNvPr id="386" name="AutoShape 5"/>
                                <wps:cNvSpPr>
                                  <a:spLocks noChangeArrowheads="1"/>
                                </wps:cNvSpPr>
                                <wps:spPr bwMode="auto">
                                  <a:xfrm>
                                    <a:off x="1006495"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7E67567" w14:textId="2819C9EB" w:rsidR="00C8402C" w:rsidRPr="009F5DBA" w:rsidRDefault="00C8402C" w:rsidP="00D9523C">
                                      <w:pPr>
                                        <w:widowControl w:val="0"/>
                                        <w:jc w:val="center"/>
                                        <w:rPr>
                                          <w:b/>
                                          <w:bCs/>
                                          <w:color w:val="000000" w:themeColor="text1"/>
                                          <w:sz w:val="22"/>
                                        </w:rPr>
                                      </w:pPr>
                                      <w:r w:rsidRPr="009F5DBA">
                                        <w:rPr>
                                          <w:b/>
                                          <w:bCs/>
                                          <w:color w:val="000000" w:themeColor="text1"/>
                                          <w:sz w:val="22"/>
                                        </w:rPr>
                                        <w:t>SRLF</w:t>
                                      </w:r>
                                    </w:p>
                                  </w:txbxContent>
                                </wps:txbx>
                                <wps:bodyPr rot="0" vert="horz" wrap="square" lIns="36576" tIns="36576" rIns="36576" bIns="36576" anchor="t" anchorCtr="0" upright="1">
                                  <a:noAutofit/>
                                </wps:bodyPr>
                              </wps:wsp>
                              <wps:wsp>
                                <wps:cNvPr id="387" name="AutoShape 6"/>
                                <wps:cNvSpPr>
                                  <a:spLocks noChangeArrowheads="1"/>
                                </wps:cNvSpPr>
                                <wps:spPr bwMode="auto">
                                  <a:xfrm>
                                    <a:off x="971205" y="1206323"/>
                                    <a:ext cx="48498"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F32C277" w14:textId="77777777" w:rsidR="00C8402C" w:rsidRPr="009F5DBA" w:rsidRDefault="00C8402C" w:rsidP="00D9523C">
                                      <w:pPr>
                                        <w:widowControl w:val="0"/>
                                        <w:jc w:val="center"/>
                                        <w:rPr>
                                          <w:sz w:val="22"/>
                                        </w:rPr>
                                      </w:pPr>
                                      <w:r w:rsidRPr="009F5DBA">
                                        <w:rPr>
                                          <w:sz w:val="22"/>
                                        </w:rPr>
                                        <w:t>2nd year medical students</w:t>
                                      </w:r>
                                    </w:p>
                                  </w:txbxContent>
                                </wps:txbx>
                                <wps:bodyPr rot="0" vert="horz" wrap="square" lIns="36576" tIns="36576" rIns="36576" bIns="36576" anchor="t" anchorCtr="0" upright="1">
                                  <a:noAutofit/>
                                </wps:bodyPr>
                              </wps:wsp>
                              <wps:wsp>
                                <wps:cNvPr id="388" name="AutoShape 7"/>
                                <wps:cNvSpPr>
                                  <a:spLocks noChangeArrowheads="1"/>
                                </wps:cNvSpPr>
                                <wps:spPr bwMode="auto">
                                  <a:xfrm>
                                    <a:off x="961537"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AB1010" w14:textId="77777777" w:rsidR="00C8402C" w:rsidRPr="009F5DBA" w:rsidRDefault="00C8402C" w:rsidP="00D9523C">
                                      <w:pPr>
                                        <w:widowControl w:val="0"/>
                                        <w:jc w:val="center"/>
                                        <w:rPr>
                                          <w:b/>
                                          <w:bCs/>
                                          <w:color w:val="000000" w:themeColor="text1"/>
                                          <w:sz w:val="22"/>
                                        </w:rPr>
                                      </w:pPr>
                                      <w:r w:rsidRPr="009F5DBA">
                                        <w:rPr>
                                          <w:b/>
                                          <w:bCs/>
                                          <w:color w:val="000000" w:themeColor="text1"/>
                                          <w:sz w:val="22"/>
                                        </w:rPr>
                                        <w:t>BPF</w:t>
                                      </w:r>
                                    </w:p>
                                  </w:txbxContent>
                                </wps:txbx>
                                <wps:bodyPr rot="0" vert="horz" wrap="square" lIns="36576" tIns="36576" rIns="36576" bIns="36576" anchor="t" anchorCtr="0" upright="1">
                                  <a:noAutofit/>
                                </wps:bodyPr>
                              </wps:wsp>
                              <wps:wsp>
                                <wps:cNvPr id="389" name="AutoShape 8"/>
                                <wps:cNvSpPr>
                                  <a:spLocks noChangeArrowheads="1"/>
                                </wps:cNvSpPr>
                                <wps:spPr bwMode="auto">
                                  <a:xfrm>
                                    <a:off x="1006495"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147E35" w14:textId="00640940" w:rsidR="00C8402C" w:rsidRPr="009F5DBA" w:rsidRDefault="00C8402C" w:rsidP="00D9523C">
                                      <w:pPr>
                                        <w:widowControl w:val="0"/>
                                        <w:jc w:val="center"/>
                                        <w:rPr>
                                          <w:b/>
                                          <w:bCs/>
                                          <w:color w:val="000000" w:themeColor="text1"/>
                                          <w:sz w:val="22"/>
                                        </w:rPr>
                                      </w:pPr>
                                      <w:r w:rsidRPr="009F5DBA">
                                        <w:rPr>
                                          <w:b/>
                                          <w:bCs/>
                                          <w:color w:val="000000" w:themeColor="text1"/>
                                          <w:sz w:val="22"/>
                                        </w:rPr>
                                        <w:t>SRLF</w:t>
                                      </w:r>
                                    </w:p>
                                  </w:txbxContent>
                                </wps:txbx>
                                <wps:bodyPr rot="0" vert="horz" wrap="square" lIns="36576" tIns="36576" rIns="36576" bIns="36576" anchor="t" anchorCtr="0" upright="1">
                                  <a:noAutofit/>
                                </wps:bodyPr>
                              </wps:wsp>
                              <wps:wsp>
                                <wps:cNvPr id="390" name="Text Box 9"/>
                                <wps:cNvSpPr txBox="1">
                                  <a:spLocks noChangeArrowheads="1"/>
                                </wps:cNvSpPr>
                                <wps:spPr bwMode="auto">
                                  <a:xfrm>
                                    <a:off x="1074018" y="1207964"/>
                                    <a:ext cx="24410" cy="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FA58A0" w14:textId="77777777" w:rsidR="00C8402C" w:rsidRPr="009F5DBA" w:rsidRDefault="00C8402C" w:rsidP="00D9523C">
                                      <w:pPr>
                                        <w:widowControl w:val="0"/>
                                        <w:spacing w:after="0"/>
                                        <w:jc w:val="center"/>
                                        <w:rPr>
                                          <w:b/>
                                          <w:bCs/>
                                          <w:sz w:val="22"/>
                                        </w:rPr>
                                      </w:pPr>
                                      <w:r w:rsidRPr="009F5DBA">
                                        <w:rPr>
                                          <w:b/>
                                          <w:bCs/>
                                          <w:sz w:val="22"/>
                                        </w:rPr>
                                        <w:t>Intervention phase</w:t>
                                      </w:r>
                                    </w:p>
                                  </w:txbxContent>
                                </wps:txbx>
                                <wps:bodyPr rot="0" vert="horz" wrap="square" lIns="36576" tIns="36576" rIns="36576" bIns="36576" anchor="t" anchorCtr="0" upright="1">
                                  <a:noAutofit/>
                                </wps:bodyPr>
                              </wps:wsp>
                              <wps:wsp>
                                <wps:cNvPr id="391" name="Text Box 10"/>
                                <wps:cNvSpPr txBox="1">
                                  <a:spLocks noChangeArrowheads="1"/>
                                </wps:cNvSpPr>
                                <wps:spPr bwMode="auto">
                                  <a:xfrm>
                                    <a:off x="1039750" y="1206323"/>
                                    <a:ext cx="28961" cy="55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D84CF6" w14:textId="5DB027C9"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1</w:t>
                                      </w:r>
                                    </w:p>
                                  </w:txbxContent>
                                </wps:txbx>
                                <wps:bodyPr rot="0" vert="horz" wrap="square" lIns="36576" tIns="36576" rIns="36576" bIns="36576" anchor="t" anchorCtr="0" upright="1">
                                  <a:noAutofit/>
                                </wps:bodyPr>
                              </wps:wsp>
                              <wps:wsp>
                                <wps:cNvPr id="392" name="Text Box 11"/>
                                <wps:cNvSpPr txBox="1">
                                  <a:spLocks noChangeArrowheads="1"/>
                                </wps:cNvSpPr>
                                <wps:spPr bwMode="auto">
                                  <a:xfrm>
                                    <a:off x="1040022" y="1230409"/>
                                    <a:ext cx="28689" cy="5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C8BD44" w14:textId="12154D5A"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2</w:t>
                                      </w:r>
                                    </w:p>
                                  </w:txbxContent>
                                </wps:txbx>
                                <wps:bodyPr rot="0" vert="horz" wrap="square" lIns="36576" tIns="36576" rIns="36576" bIns="36576" anchor="t" anchorCtr="0" upright="1">
                                  <a:noAutofit/>
                                </wps:bodyPr>
                              </wps:wsp>
                              <wps:wsp>
                                <wps:cNvPr id="393" name="Text Box 12"/>
                                <wps:cNvSpPr txBox="1">
                                  <a:spLocks noChangeArrowheads="1"/>
                                </wps:cNvSpPr>
                                <wps:spPr bwMode="auto">
                                  <a:xfrm>
                                    <a:off x="1038350" y="1219921"/>
                                    <a:ext cx="27187" cy="90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80F151" w14:textId="77777777" w:rsidR="00C8402C" w:rsidRPr="009F5DBA" w:rsidRDefault="00C8402C" w:rsidP="00D9523C">
                                      <w:pPr>
                                        <w:widowControl w:val="0"/>
                                        <w:spacing w:after="0"/>
                                        <w:jc w:val="center"/>
                                        <w:rPr>
                                          <w:sz w:val="22"/>
                                        </w:rPr>
                                      </w:pPr>
                                      <w:r w:rsidRPr="009F5DBA">
                                        <w:rPr>
                                          <w:sz w:val="22"/>
                                        </w:rPr>
                                        <w:t>Teaching and feedback</w:t>
                                      </w:r>
                                    </w:p>
                                  </w:txbxContent>
                                </wps:txbx>
                                <wps:bodyPr rot="0" vert="horz" wrap="square" lIns="36576" tIns="36576" rIns="36576" bIns="36576" anchor="t" anchorCtr="0" upright="1">
                                  <a:noAutofit/>
                                </wps:bodyPr>
                              </wps:wsp>
                              <wps:wsp>
                                <wps:cNvPr id="394" name="AutoShape 16"/>
                                <wps:cNvSpPr>
                                  <a:spLocks noChangeArrowheads="1"/>
                                </wps:cNvSpPr>
                                <wps:spPr bwMode="auto">
                                  <a:xfrm>
                                    <a:off x="978291" y="1235515"/>
                                    <a:ext cx="35369"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4C07A6C" w14:textId="566E182F" w:rsidR="00C8402C" w:rsidRPr="009F5DBA" w:rsidRDefault="00C8402C" w:rsidP="00D9523C">
                                      <w:pPr>
                                        <w:widowControl w:val="0"/>
                                        <w:jc w:val="center"/>
                                        <w:rPr>
                                          <w:sz w:val="22"/>
                                        </w:rPr>
                                      </w:pPr>
                                      <w:r w:rsidRPr="009F5DBA">
                                        <w:rPr>
                                          <w:sz w:val="22"/>
                                        </w:rPr>
                                        <w:t>Teacher interviews</w:t>
                                      </w:r>
                                    </w:p>
                                  </w:txbxContent>
                                </wps:txbx>
                                <wps:bodyPr rot="0" vert="horz" wrap="square" lIns="36576" tIns="36576" rIns="36576" bIns="36576" anchor="t" anchorCtr="0" upright="1">
                                  <a:noAutofit/>
                                </wps:bodyPr>
                              </wps:wsp>
                              <wps:wsp>
                                <wps:cNvPr id="395" name="AutoShape 22"/>
                                <wps:cNvSpPr>
                                  <a:spLocks/>
                                </wps:cNvSpPr>
                                <wps:spPr bwMode="auto">
                                  <a:xfrm>
                                    <a:off x="1067353" y="1183386"/>
                                    <a:ext cx="5399" cy="57840"/>
                                  </a:xfrm>
                                  <a:prstGeom prst="rightBrace">
                                    <a:avLst>
                                      <a:gd name="adj1" fmla="val 69315"/>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96" name="AutoShape 26"/>
                                <wps:cNvCnPr>
                                  <a:cxnSpLocks noChangeShapeType="1"/>
                                </wps:cNvCnPr>
                                <wps:spPr bwMode="auto">
                                  <a:xfrm>
                                    <a:off x="995365" y="1189578"/>
                                    <a:ext cx="22611"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97" name="AutoShape 27"/>
                                <wps:cNvCnPr>
                                  <a:cxnSpLocks noChangeShapeType="1"/>
                                </wps:cNvCnPr>
                                <wps:spPr bwMode="auto">
                                  <a:xfrm flipH="1">
                                    <a:off x="972921" y="1189578"/>
                                    <a:ext cx="22777"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98" name="AutoShape 28"/>
                                <wps:cNvCnPr>
                                  <a:cxnSpLocks noChangeShapeType="1"/>
                                </wps:cNvCnPr>
                                <wps:spPr bwMode="auto">
                                  <a:xfrm>
                                    <a:off x="1017477" y="1202048"/>
                                    <a:ext cx="0" cy="415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99" name="AutoShape 29"/>
                                <wps:cNvCnPr>
                                  <a:cxnSpLocks noChangeShapeType="1"/>
                                </wps:cNvCnPr>
                                <wps:spPr bwMode="auto">
                                  <a:xfrm>
                                    <a:off x="973087" y="1202048"/>
                                    <a:ext cx="0" cy="39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00" name="AutoShape 30"/>
                                <wps:cNvCnPr>
                                  <a:cxnSpLocks noChangeShapeType="1"/>
                                </wps:cNvCnPr>
                                <wps:spPr bwMode="auto">
                                  <a:xfrm>
                                    <a:off x="1017644" y="1213187"/>
                                    <a:ext cx="498" cy="93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01" name="AutoShape 31"/>
                                <wps:cNvCnPr>
                                  <a:cxnSpLocks noChangeShapeType="1"/>
                                </wps:cNvCnPr>
                                <wps:spPr bwMode="auto">
                                  <a:xfrm flipH="1">
                                    <a:off x="972755" y="1213187"/>
                                    <a:ext cx="499" cy="9144"/>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02" name="AutoShape 32"/>
                                <wps:cNvSpPr>
                                  <a:spLocks noChangeArrowheads="1"/>
                                </wps:cNvSpPr>
                                <wps:spPr bwMode="auto">
                                  <a:xfrm>
                                    <a:off x="1030287" y="1207090"/>
                                    <a:ext cx="9098" cy="4821"/>
                                  </a:xfrm>
                                  <a:prstGeom prst="leftArrow">
                                    <a:avLst>
                                      <a:gd name="adj1" fmla="val 50000"/>
                                      <a:gd name="adj2" fmla="val 47179"/>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3" name="AutoShape 33"/>
                                <wps:cNvSpPr>
                                  <a:spLocks noChangeArrowheads="1"/>
                                </wps:cNvSpPr>
                                <wps:spPr bwMode="auto">
                                  <a:xfrm>
                                    <a:off x="1031608" y="1222248"/>
                                    <a:ext cx="9311" cy="5115"/>
                                  </a:xfrm>
                                  <a:prstGeom prst="leftArrow">
                                    <a:avLst>
                                      <a:gd name="adj1" fmla="val 50000"/>
                                      <a:gd name="adj2" fmla="val 69560"/>
                                    </a:avLst>
                                  </a:prstGeom>
                                  <a:solidFill>
                                    <a:schemeClr val="accent4"/>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4" name="AutoShape 34"/>
                                <wps:cNvSpPr>
                                  <a:spLocks noChangeArrowheads="1"/>
                                </wps:cNvSpPr>
                                <wps:spPr bwMode="auto">
                                  <a:xfrm>
                                    <a:off x="1030287" y="1230967"/>
                                    <a:ext cx="9406" cy="4821"/>
                                  </a:xfrm>
                                  <a:prstGeom prst="leftArrow">
                                    <a:avLst>
                                      <a:gd name="adj1" fmla="val 50000"/>
                                      <a:gd name="adj2" fmla="val 48776"/>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05" name="Text Box 405"/>
                              <wps:cNvSpPr txBox="1">
                                <a:spLocks noChangeArrowheads="1"/>
                              </wps:cNvSpPr>
                              <wps:spPr bwMode="auto">
                                <a:xfrm>
                                  <a:off x="5628266" y="3337687"/>
                                  <a:ext cx="1183004" cy="529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C32E8B" w14:textId="58A04AEE" w:rsidR="00C8402C" w:rsidRPr="009F5DBA" w:rsidRDefault="00C8402C" w:rsidP="00D9523C">
                                    <w:pPr>
                                      <w:widowControl w:val="0"/>
                                      <w:spacing w:after="0"/>
                                      <w:jc w:val="center"/>
                                      <w:rPr>
                                        <w:b/>
                                        <w:bCs/>
                                        <w:sz w:val="22"/>
                                      </w:rPr>
                                    </w:pPr>
                                    <w:r w:rsidRPr="009F5DBA">
                                      <w:rPr>
                                        <w:b/>
                                        <w:bCs/>
                                        <w:sz w:val="22"/>
                                      </w:rPr>
                                      <w:t>Follow-up phase</w:t>
                                    </w:r>
                                  </w:p>
                                </w:txbxContent>
                              </wps:txbx>
                              <wps:bodyPr rot="0" vert="horz" wrap="square" lIns="36576" tIns="36576" rIns="36576" bIns="36576" anchor="ctr" anchorCtr="0" upright="1">
                                <a:noAutofit/>
                              </wps:bodyPr>
                            </wps:wsp>
                            <wps:wsp>
                              <wps:cNvPr id="406" name="AutoShape 21"/>
                              <wps:cNvSpPr>
                                <a:spLocks/>
                              </wps:cNvSpPr>
                              <wps:spPr bwMode="auto">
                                <a:xfrm>
                                  <a:off x="5338187" y="3098893"/>
                                  <a:ext cx="207013" cy="1262020"/>
                                </a:xfrm>
                                <a:prstGeom prst="rightBrace">
                                  <a:avLst>
                                    <a:gd name="adj1" fmla="val 18103"/>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07" name="AutoShape 16"/>
                            <wps:cNvSpPr>
                              <a:spLocks noChangeArrowheads="1"/>
                            </wps:cNvSpPr>
                            <wps:spPr bwMode="auto">
                              <a:xfrm>
                                <a:off x="267419" y="3226286"/>
                                <a:ext cx="2882665" cy="638355"/>
                              </a:xfrm>
                              <a:prstGeom prst="roundRect">
                                <a:avLst>
                                  <a:gd name="adj" fmla="val 16667"/>
                                </a:avLst>
                              </a:prstGeom>
                              <a:solidFill>
                                <a:schemeClr val="accent4"/>
                              </a:solidFill>
                              <a:ln w="25400">
                                <a:solidFill>
                                  <a:schemeClr val="dk1">
                                    <a:lumMod val="0"/>
                                    <a:lumOff val="0"/>
                                  </a:schemeClr>
                                </a:solidFill>
                                <a:round/>
                                <a:headEnd/>
                                <a:tailEnd/>
                              </a:ln>
                              <a:effectLst/>
                              <a:extLst/>
                            </wps:spPr>
                            <wps:txbx>
                              <w:txbxContent>
                                <w:p w14:paraId="1D410349" w14:textId="48856454" w:rsidR="00C8402C" w:rsidRPr="009F5DBA" w:rsidRDefault="00C8402C" w:rsidP="00D9523C">
                                  <w:pPr>
                                    <w:widowControl w:val="0"/>
                                    <w:jc w:val="center"/>
                                    <w:rPr>
                                      <w:sz w:val="22"/>
                                      <w:u w:val="single"/>
                                    </w:rPr>
                                  </w:pPr>
                                  <w:r w:rsidRPr="009F5DBA">
                                    <w:rPr>
                                      <w:sz w:val="22"/>
                                      <w:u w:val="single"/>
                                    </w:rPr>
                                    <w:t>Student clinical placements 4x3 weeks</w:t>
                                  </w:r>
                                </w:p>
                                <w:p w14:paraId="6227C569" w14:textId="77777777" w:rsidR="00C8402C" w:rsidRPr="009F5DBA" w:rsidRDefault="00C8402C" w:rsidP="00D9523C">
                                  <w:pPr>
                                    <w:widowControl w:val="0"/>
                                    <w:jc w:val="center"/>
                                    <w:rPr>
                                      <w:i/>
                                      <w:iCs/>
                                      <w:sz w:val="22"/>
                                    </w:rPr>
                                  </w:pPr>
                                  <w:r w:rsidRPr="009F5DBA">
                                    <w:rPr>
                                      <w:sz w:val="22"/>
                                    </w:rPr>
                                    <w:t>Student focus groups and interviews</w:t>
                                  </w:r>
                                </w:p>
                                <w:p w14:paraId="16CA36DD" w14:textId="43A49DA8" w:rsidR="00C8402C" w:rsidRPr="009F5DBA" w:rsidRDefault="00C8402C" w:rsidP="00D9523C">
                                  <w:pPr>
                                    <w:widowControl w:val="0"/>
                                    <w:jc w:val="center"/>
                                    <w:rPr>
                                      <w:b/>
                                      <w:sz w:val="22"/>
                                    </w:rPr>
                                  </w:pPr>
                                </w:p>
                              </w:txbxContent>
                            </wps:txbx>
                            <wps:bodyPr rot="0" vert="horz" wrap="square" lIns="36576" tIns="36576" rIns="36576" bIns="36576" anchor="t" anchorCtr="0" upright="1">
                              <a:noAutofit/>
                            </wps:bodyPr>
                          </wps:wsp>
                          <wps:wsp>
                            <wps:cNvPr id="408" name="Text Box 11"/>
                            <wps:cNvSpPr txBox="1">
                              <a:spLocks noChangeArrowheads="1"/>
                            </wps:cNvSpPr>
                            <wps:spPr bwMode="auto">
                              <a:xfrm>
                                <a:off x="3907381" y="3795623"/>
                                <a:ext cx="1463206"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9907B2" w14:textId="385A36DC"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3</w:t>
                                  </w:r>
                                </w:p>
                              </w:txbxContent>
                            </wps:txbx>
                            <wps:bodyPr rot="0" vert="horz" wrap="square" lIns="36576" tIns="36576" rIns="36576" bIns="36576" anchor="t" anchorCtr="0" upright="1">
                              <a:noAutofit/>
                            </wps:bodyPr>
                          </wps:wsp>
                          <wps:wsp>
                            <wps:cNvPr id="409" name="AutoShape 34"/>
                            <wps:cNvSpPr>
                              <a:spLocks noChangeArrowheads="1"/>
                            </wps:cNvSpPr>
                            <wps:spPr bwMode="auto">
                              <a:xfrm>
                                <a:off x="3467819" y="3821502"/>
                                <a:ext cx="475919" cy="248076"/>
                              </a:xfrm>
                              <a:prstGeom prst="leftArrow">
                                <a:avLst>
                                  <a:gd name="adj1" fmla="val 50000"/>
                                  <a:gd name="adj2" fmla="val 48776"/>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46" name="AutoShape 16"/>
                          <wps:cNvSpPr>
                            <a:spLocks noChangeArrowheads="1"/>
                          </wps:cNvSpPr>
                          <wps:spPr bwMode="auto">
                            <a:xfrm>
                              <a:off x="446567" y="3997784"/>
                              <a:ext cx="2454067" cy="360299"/>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8749BD1" w14:textId="77777777" w:rsidR="00C8402C" w:rsidRPr="009F5DBA" w:rsidRDefault="00C8402C" w:rsidP="004B25E6">
                                <w:pPr>
                                  <w:widowControl w:val="0"/>
                                  <w:jc w:val="center"/>
                                  <w:rPr>
                                    <w:sz w:val="22"/>
                                  </w:rPr>
                                </w:pPr>
                                <w:r w:rsidRPr="009F5DBA">
                                  <w:rPr>
                                    <w:sz w:val="22"/>
                                  </w:rPr>
                                  <w:t>Validation of the SSRQ</w:t>
                                </w: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0081D6" id="Group 454" o:spid="_x0000_s1203" style="position:absolute;margin-left:-3.9pt;margin-top:31.8pt;width:429pt;height:282pt;z-index:251872256;mso-width-relative:margin;mso-height-relative:margin" coordorigin="3" coordsize="6925057,4066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">
                <v:shape id="AutoShape 30" o:spid="_x0000_s1204" type="#_x0000_t32" style="position:absolute;left:2785730;top:2158409;width:52617;height:8515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XDr8QAAADcAAAADwAAAGRycy9kb3ducmV2LnhtbESPQWvCQBSE7wX/w/IEb3UTsUWiq4jV&#10;tsdGPejtkX0mwezbsLtN0n/fLRQ8DjPzDbPaDKYRHTlfW1aQThMQxIXVNZcKzqfD8wKED8gaG8uk&#10;4Ic8bNajpxVm2vacU3cMpYgQ9hkqqEJoMyl9UZFBP7UtcfRu1hkMUbpSaod9hJtGzpLkVRqsOS5U&#10;2NKuouJ+/DYKXt5y498veWf0rP5w+2u/n6dfSk3Gw3YJItAQHuH/9qdWME9T+DsTj4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FcOvxAAAANwAAAAPAAAAAAAAAAAA&#10;AAAAAKECAABkcnMvZG93bnJldi54bWxQSwUGAAAAAAQABAD5AAAAkgMAAAAA&#10;" strokecolor="black [0]" strokeweight="2pt">
                  <v:stroke endarrow="block"/>
                  <v:shadow color="#eeece1" opacity="1" mv:blur="0" offset="2pt,2pt"/>
                </v:shape>
                <v:shape id="AutoShape 31" o:spid="_x0000_s1205" type="#_x0000_t32" style="position:absolute;left:489097;top:2158409;width:72401;height:85188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1J38EAAADcAAAADwAAAGRycy9kb3ducmV2LnhtbESPzWoCMRSF94LvEK7gThNFREajiGjp&#10;plBtEZeXyXUmOLkZJ1Gnb98IgsvD+fk4i1XrKnGnJljPGkZDBYI498ZyoeH3ZzeYgQgR2WDlmTT8&#10;UYDVsttZYGb8g/d0P8RCpBEOGWooY6wzKUNeksMw9DVx8s6+cRiTbAppGnykcVfJsVJT6dByIpRY&#10;06ak/HK4ucRV7nalL2Xxar9Pxda6k/84at3vtes5iEhtfIdf7U+jYTIaw/NMOgJ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jUnfwQAAANwAAAAPAAAAAAAAAAAAAAAA&#10;AKECAABkcnMvZG93bnJldi54bWxQSwUGAAAAAAQABAD5AAAAjwMAAAAA&#10;" strokecolor="black [0]" strokeweight="2pt">
                  <v:stroke endarrow="block"/>
                  <v:shadow color="#eeece1" opacity="1" mv:blur="0" offset="2pt,2pt"/>
                </v:shape>
                <v:group id="Group 453" o:spid="_x0000_s1206" style="position:absolute;left:3;width:6925057;height:4066540" coordorigin="3" coordsize="6925057,43580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group id="Group 410" o:spid="_x0000_s1207" style="position:absolute;left:3;width:6925057;height:4358081" coordorigin="4,-9" coordsize="6926333,4358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v:group id="Group 382" o:spid="_x0000_s1208" style="position:absolute;left:4;top:-9;width:6926333;height:4358335" coordorigin="5,-9" coordsize="6927651,4360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group id="Group 383" o:spid="_x0000_s1209" style="position:absolute;left:5;top:-9;width:6927651;height:3044480" coordorigin="961537,1183386" coordsize="136891,59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roundrect id="AutoShape 3" o:spid="_x0000_s1210" style="position:absolute;left:981158;top:1183386;width:28610;height:635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HxVwwAA&#10;ANwAAAAPAAAAZHJzL2Rvd25yZXYueG1sRI9Ba8JAFITvhf6H5RW81Y21VE1dpVUivWqL50f2maTN&#10;vg27zxj/fVco9DjMzDfMcj24VvUUYuPZwGScgSIuvW24MvD1WTzOQUVBtth6JgNXirBe3d8tMbf+&#10;wnvqD1KpBOGYo4FapMu1jmVNDuPYd8TJO/ngUJIMlbYBLwnuWv2UZS/aYcNpocaONjWVP4ezM3Ce&#10;yeJ43BbNTkL//o0FlxOeGjN6GN5eQQkN8h/+a39YA9P5M9zOpCO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5HxVwwAAANwAAAAPAAAAAAAAAAAAAAAAAJcCAABkcnMvZG93&#10;bnJldi54bWxQSwUGAAAAAAQABAD1AAAAhwMAAAAA&#10;" fillcolor="#ffc000" strokecolor="black [0]" strokeweight="2pt">
                          <v:shadow color="#eeece1" opacity="1" mv:blur="0" offset="2pt,2pt"/>
                          <v:textbox inset="2.88pt,2.88pt,2.88pt,2.88pt">
                            <w:txbxContent>
                              <w:p w14:paraId="06976F71" w14:textId="77777777" w:rsidR="00C8402C" w:rsidRPr="009F5DBA" w:rsidRDefault="00C8402C" w:rsidP="00D9523C">
                                <w:pPr>
                                  <w:widowControl w:val="0"/>
                                  <w:jc w:val="center"/>
                                  <w:rPr>
                                    <w:sz w:val="22"/>
                                  </w:rPr>
                                </w:pPr>
                                <w:r w:rsidRPr="009F5DBA">
                                  <w:rPr>
                                    <w:sz w:val="22"/>
                                  </w:rPr>
                                  <w:t>Teacher training</w:t>
                                </w:r>
                              </w:p>
                            </w:txbxContent>
                          </v:textbox>
                        </v:roundrect>
                        <v:roundrect id="AutoShape 4" o:spid="_x0000_s1211" style="position:absolute;left:961537;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4jvxQAA&#10;ANwAAAAPAAAAZHJzL2Rvd25yZXYueG1sRI9BT8JAFITvJv6HzTPxJlsBBQoLMRqMFw4gF24v3Udb&#10;7L5tdl9L/feuiYnHycx8k1ltBteonkKsPRt4HGWgiAtvay4NHD+3D3NQUZAtNp7JwDdF2Kxvb1aY&#10;W3/lPfUHKVWCcMzRQCXS5lrHoiKHceRb4uSdfXAoSYZS24DXBHeNHmfZs3ZYc1qosKXXioqvQ+cM&#10;dJO3i5xw/B6mp66f7cSej25hzP3d8LIEJTTIf/iv/WENTOZP8HsmHQG9/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TiO/FAAAA3AAAAA8AAAAAAAAAAAAAAAAAlwIAAGRycy9k&#10;b3ducmV2LnhtbFBLBQYAAAAABAAEAPUAAACJAwAAAAA=&#10;" fillcolor="#ffc000 [3207]" strokecolor="black [0]" strokeweight="2pt">
                          <v:shadow color="#eeece1" opacity="1" mv:blur="0" offset="2pt,2pt"/>
                          <v:textbox inset="2.88pt,2.88pt,2.88pt,2.88pt">
                            <w:txbxContent>
                              <w:p w14:paraId="7A9B039C" w14:textId="77777777" w:rsidR="00C8402C" w:rsidRPr="009F5DBA" w:rsidRDefault="00C8402C" w:rsidP="00D9523C">
                                <w:pPr>
                                  <w:widowControl w:val="0"/>
                                  <w:jc w:val="center"/>
                                  <w:rPr>
                                    <w:b/>
                                    <w:bCs/>
                                    <w:color w:val="000000" w:themeColor="text1"/>
                                    <w:sz w:val="22"/>
                                  </w:rPr>
                                </w:pPr>
                                <w:r w:rsidRPr="009F5DBA">
                                  <w:rPr>
                                    <w:b/>
                                    <w:bCs/>
                                    <w:color w:val="000000" w:themeColor="text1"/>
                                    <w:sz w:val="22"/>
                                  </w:rPr>
                                  <w:t>BPF</w:t>
                                </w:r>
                              </w:p>
                            </w:txbxContent>
                          </v:textbox>
                        </v:roundrect>
                        <v:roundrect id="AutoShape 5" o:spid="_x0000_s1212" style="position:absolute;left:1006495;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RaYxQAA&#10;ANwAAAAPAAAAZHJzL2Rvd25yZXYueG1sRI9BS8NAFITvgv9heYK3dmNb2hq7LaJYvPTQ2Etvj+xr&#10;Es2+Dbsvafz3riB4HGbmG2azG12rBgqx8WzgYZqBIi69bbgycPp4m6xBRUG22HomA98UYbe9vdlg&#10;bv2VjzQUUqkE4ZijgVqky7WOZU0O49R3xMm7+OBQkgyVtgGvCe5aPcuypXbYcFqosaOXmsqvoncG&#10;+vnrp5xxtg+Lcz+sDmIvJ/dozP3d+PwESmiU//Bf+90amK+X8HsmHQG9/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BFpjFAAAA3AAAAA8AAAAAAAAAAAAAAAAAlwIAAGRycy9k&#10;b3ducmV2LnhtbFBLBQYAAAAABAAEAPUAAACJAwAAAAA=&#10;" fillcolor="#ffc000 [3207]" strokecolor="black [0]" strokeweight="2pt">
                          <v:shadow color="#eeece1" opacity="1" mv:blur="0" offset="2pt,2pt"/>
                          <v:textbox inset="2.88pt,2.88pt,2.88pt,2.88pt">
                            <w:txbxContent>
                              <w:p w14:paraId="27E67567" w14:textId="2819C9EB" w:rsidR="00C8402C" w:rsidRPr="009F5DBA" w:rsidRDefault="00C8402C" w:rsidP="00D9523C">
                                <w:pPr>
                                  <w:widowControl w:val="0"/>
                                  <w:jc w:val="center"/>
                                  <w:rPr>
                                    <w:b/>
                                    <w:bCs/>
                                    <w:color w:val="000000" w:themeColor="text1"/>
                                    <w:sz w:val="22"/>
                                  </w:rPr>
                                </w:pPr>
                                <w:r w:rsidRPr="009F5DBA">
                                  <w:rPr>
                                    <w:b/>
                                    <w:bCs/>
                                    <w:color w:val="000000" w:themeColor="text1"/>
                                    <w:sz w:val="22"/>
                                  </w:rPr>
                                  <w:t>SRLF</w:t>
                                </w:r>
                              </w:p>
                            </w:txbxContent>
                          </v:textbox>
                        </v:roundrect>
                        <v:roundrect id="AutoShape 6" o:spid="_x0000_s1213" style="position:absolute;left:971205;top:1206323;width:48498;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uIiwgAA&#10;ANwAAAAPAAAAZHJzL2Rvd25yZXYueG1sRI9Ba8JAFITvhf6H5RV6qxsrqE1dpVUiXmuL50f2mcRm&#10;34bdZ0z/vSsIPQ4z8w2zWA2uVT2F2Hg2MB5loIhLbxuuDPx8Fy9zUFGQLbaeycAfRVgtHx8WmFt/&#10;4S/q91KpBOGYo4FapMu1jmVNDuPId8TJO/rgUJIMlbYBLwnuWv2aZVPtsOG0UGNH65rK3/3ZGTjP&#10;5O1w2BTNVkL/ecKCyzFPjHl+Gj7eQQkN8h++t3fWwGQ+g9uZdAT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24iLCAAAA3AAAAA8AAAAAAAAAAAAAAAAAlwIAAGRycy9kb3du&#10;cmV2LnhtbFBLBQYAAAAABAAEAPUAAACGAwAAAAA=&#10;" fillcolor="#ffc000" strokecolor="black [0]" strokeweight="2pt">
                          <v:shadow color="#eeece1" opacity="1" mv:blur="0" offset="2pt,2pt"/>
                          <v:textbox inset="2.88pt,2.88pt,2.88pt,2.88pt">
                            <w:txbxContent>
                              <w:p w14:paraId="4F32C277" w14:textId="77777777" w:rsidR="00C8402C" w:rsidRPr="009F5DBA" w:rsidRDefault="00C8402C" w:rsidP="00D9523C">
                                <w:pPr>
                                  <w:widowControl w:val="0"/>
                                  <w:jc w:val="center"/>
                                  <w:rPr>
                                    <w:sz w:val="22"/>
                                  </w:rPr>
                                </w:pPr>
                                <w:r w:rsidRPr="009F5DBA">
                                  <w:rPr>
                                    <w:sz w:val="22"/>
                                  </w:rPr>
                                  <w:t>2nd year medical students</w:t>
                                </w:r>
                              </w:p>
                            </w:txbxContent>
                          </v:textbox>
                        </v:roundrect>
                        <v:roundrect id="AutoShape 7" o:spid="_x0000_s1214" style="position:absolute;left:961537;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0idxwgAA&#10;ANwAAAAPAAAAZHJzL2Rvd25yZXYueG1sRE89b8IwEN0r9T9YV6lbcQqo0IBBVStQlw5QFrZTfCSh&#10;8TmyLyH8+3pAYnx638v14BrVU4i1ZwOvowwUceFtzaWBw+/mZQ4qCrLFxjMZuFKE9erxYYm59Rfe&#10;Ub+XUqUQjjkaqETaXOtYVOQwjnxLnLiTDw4lwVBqG/CSwl2jx1n2ph3WnBoqbOmzouJv3zkD3eTr&#10;LEccb8P02PWzH7Gng3s35vlp+FiAEhrkLr65v62ByTytTWfSEd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SJ3HCAAAA3AAAAA8AAAAAAAAAAAAAAAAAlwIAAGRycy9kb3du&#10;cmV2LnhtbFBLBQYAAAAABAAEAPUAAACGAwAAAAA=&#10;" fillcolor="#ffc000 [3207]" strokecolor="black [0]" strokeweight="2pt">
                          <v:shadow color="#eeece1" opacity="1" mv:blur="0" offset="2pt,2pt"/>
                          <v:textbox inset="2.88pt,2.88pt,2.88pt,2.88pt">
                            <w:txbxContent>
                              <w:p w14:paraId="68AB1010" w14:textId="77777777" w:rsidR="00C8402C" w:rsidRPr="009F5DBA" w:rsidRDefault="00C8402C" w:rsidP="00D9523C">
                                <w:pPr>
                                  <w:widowControl w:val="0"/>
                                  <w:jc w:val="center"/>
                                  <w:rPr>
                                    <w:b/>
                                    <w:bCs/>
                                    <w:color w:val="000000" w:themeColor="text1"/>
                                    <w:sz w:val="22"/>
                                  </w:rPr>
                                </w:pPr>
                                <w:r w:rsidRPr="009F5DBA">
                                  <w:rPr>
                                    <w:b/>
                                    <w:bCs/>
                                    <w:color w:val="000000" w:themeColor="text1"/>
                                    <w:sz w:val="22"/>
                                  </w:rPr>
                                  <w:t>BPF</w:t>
                                </w:r>
                              </w:p>
                            </w:txbxContent>
                          </v:textbox>
                        </v:roundrect>
                        <v:roundrect id="AutoShape 8" o:spid="_x0000_s1215" style="position:absolute;left:1006495;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oLqxQAA&#10;ANwAAAAPAAAAZHJzL2Rvd25yZXYueG1sRI9Ba8JAFITvhf6H5RV6q5tqqRpdpbS0eOmh6sXbI/tM&#10;YrNvw+5LTP+9Kwg9DjPzDbNcD65RPYVYezbwPMpAERfe1lwa2O8+n2agoiBbbDyTgT+KsF7d3y0x&#10;t/7MP9RvpVQJwjFHA5VIm2sdi4ocxpFviZN39MGhJBlKbQOeE9w1epxlr9phzWmhwpbeKyp+t50z&#10;0E0+TnLA8Vd4OXT99Fvsce/mxjw+DG8LUEKD/Idv7Y01MJnN4XomHQG9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egurFAAAA3AAAAA8AAAAAAAAAAAAAAAAAlwIAAGRycy9k&#10;b3ducmV2LnhtbFBLBQYAAAAABAAEAPUAAACJAwAAAAA=&#10;" fillcolor="#ffc000 [3207]" strokecolor="black [0]" strokeweight="2pt">
                          <v:shadow color="#eeece1" opacity="1" mv:blur="0" offset="2pt,2pt"/>
                          <v:textbox inset="2.88pt,2.88pt,2.88pt,2.88pt">
                            <w:txbxContent>
                              <w:p w14:paraId="20147E35" w14:textId="00640940" w:rsidR="00C8402C" w:rsidRPr="009F5DBA" w:rsidRDefault="00C8402C" w:rsidP="00D9523C">
                                <w:pPr>
                                  <w:widowControl w:val="0"/>
                                  <w:jc w:val="center"/>
                                  <w:rPr>
                                    <w:b/>
                                    <w:bCs/>
                                    <w:color w:val="000000" w:themeColor="text1"/>
                                    <w:sz w:val="22"/>
                                  </w:rPr>
                                </w:pPr>
                                <w:r w:rsidRPr="009F5DBA">
                                  <w:rPr>
                                    <w:b/>
                                    <w:bCs/>
                                    <w:color w:val="000000" w:themeColor="text1"/>
                                    <w:sz w:val="22"/>
                                  </w:rPr>
                                  <w:t>SRLF</w:t>
                                </w:r>
                              </w:p>
                            </w:txbxContent>
                          </v:textbox>
                        </v:roundrect>
                        <v:shape id="Text Box 9" o:spid="_x0000_s1216" type="#_x0000_t202" style="position:absolute;left:1074018;top:1207964;width:24410;height:9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PwwgAA&#10;ANwAAAAPAAAAZHJzL2Rvd25yZXYueG1sRE/dasIwFL4f+A7hCLvTVFemdkYZY5MxELH6AMfmrKlr&#10;TkqSaX375ULY5cf3v1z3thUX8qFxrGAyzkAQV043XCs4Hj5GcxAhImtsHZOCGwVYrwYPSyy0u/Ke&#10;LmWsRQrhUKACE2NXSBkqQxbD2HXEift23mJM0NdSe7ymcNvKaZY9S4sNpwaDHb0Zqn7KX6vgfeLt&#10;psy35/xkZl9+Wu3OMpdKPQ771xcQkfr4L767P7WCp0Wan86kIy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8/DCAAAA3AAAAA8AAAAAAAAAAAAAAAAAlwIAAGRycy9kb3du&#10;cmV2LnhtbFBLBQYAAAAABAAEAPUAAACGAwAAAAA=&#10;" filled="f" stroked="f" strokecolor="black [0]" strokeweight="2pt">
                          <v:textbox inset="2.88pt,2.88pt,2.88pt,2.88pt">
                            <w:txbxContent>
                              <w:p w14:paraId="57FA58A0" w14:textId="77777777" w:rsidR="00C8402C" w:rsidRPr="009F5DBA" w:rsidRDefault="00C8402C" w:rsidP="00D9523C">
                                <w:pPr>
                                  <w:widowControl w:val="0"/>
                                  <w:spacing w:after="0"/>
                                  <w:jc w:val="center"/>
                                  <w:rPr>
                                    <w:b/>
                                    <w:bCs/>
                                    <w:sz w:val="22"/>
                                  </w:rPr>
                                </w:pPr>
                                <w:r w:rsidRPr="009F5DBA">
                                  <w:rPr>
                                    <w:b/>
                                    <w:bCs/>
                                    <w:sz w:val="22"/>
                                  </w:rPr>
                                  <w:t>Intervention phase</w:t>
                                </w:r>
                              </w:p>
                            </w:txbxContent>
                          </v:textbox>
                        </v:shape>
                        <v:shape id="Text Box 10" o:spid="_x0000_s1217" type="#_x0000_t202" style="position:absolute;left:1039750;top:1206323;width:28961;height:5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lZrxQAA&#10;ANwAAAAPAAAAZHJzL2Rvd25yZXYueG1sRI/dagIxFITvC75DOAXvNLt26c9qlFKqFKGUbvsAx83p&#10;ZnVzsiRRt29vCkIvh5n5hlmsBtuJE/nQOlaQTzMQxLXTLTcKvr/Wk0cQISJr7ByTgl8KsFqObhZY&#10;anfmTzpVsREJwqFEBSbGvpQy1IYshqnriZP347zFmKRvpPZ4TnDbyVmW3UuLLacFgz29GKoP1dEq&#10;eM293VTF+77YmYetn9Ufe1lIpca3w/McRKQh/oev7Tet4O4ph78z6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yVmvFAAAA3AAAAA8AAAAAAAAAAAAAAAAAlwIAAGRycy9k&#10;b3ducmV2LnhtbFBLBQYAAAAABAAEAPUAAACJAwAAAAA=&#10;" filled="f" stroked="f" strokecolor="black [0]" strokeweight="2pt">
                          <v:textbox inset="2.88pt,2.88pt,2.88pt,2.88pt">
                            <w:txbxContent>
                              <w:p w14:paraId="00D84CF6" w14:textId="5DB027C9"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1</w:t>
                                </w:r>
                              </w:p>
                            </w:txbxContent>
                          </v:textbox>
                        </v:shape>
                        <v:shape id="Text Box 11" o:spid="_x0000_s1218" type="#_x0000_t202" style="position:absolute;left:1040022;top:1230409;width:28689;height:5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MgcxQAA&#10;ANwAAAAPAAAAZHJzL2Rvd25yZXYueG1sRI9RS8MwFIXfhf2HcAXftnS16NYtGyIqMhCx2w+4a65N&#10;t+amJHGr/34RBj4ezjnf4SzXg+3EiXxoHSuYTjIQxLXTLTcKdtvX8QxEiMgaO8ek4JcCrFejmyWW&#10;2p35i05VbESCcChRgYmxL6UMtSGLYeJ64uR9O28xJukbqT2eE9x2Ms+yB2mx5bRgsKdnQ/Wx+rEK&#10;XqbevlXFx6HYm8eNz+vPgyykUne3w9MCRKQh/oev7Xet4H6ew9+ZdATk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gyBzFAAAA3AAAAA8AAAAAAAAAAAAAAAAAlwIAAGRycy9k&#10;b3ducmV2LnhtbFBLBQYAAAAABAAEAPUAAACJAwAAAAA=&#10;" filled="f" stroked="f" strokecolor="black [0]" strokeweight="2pt">
                          <v:textbox inset="2.88pt,2.88pt,2.88pt,2.88pt">
                            <w:txbxContent>
                              <w:p w14:paraId="66C8BD44" w14:textId="12154D5A"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2</w:t>
                                </w:r>
                              </w:p>
                            </w:txbxContent>
                          </v:textbox>
                        </v:shape>
                        <v:shape id="Text Box 12" o:spid="_x0000_s1219" type="#_x0000_t202" style="position:absolute;left:1038350;top:1219921;width:27187;height:9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G2HxQAA&#10;ANwAAAAPAAAAZHJzL2Rvd25yZXYueG1sRI/dagIxFITvC75DOELvNKsu/dkaRUSlCFK67QOcbk43&#10;q5uTJUl1+/amIPRymJlvmPmyt604kw+NYwWTcQaCuHK64VrB58d29AQiRGSNrWNS8EsBlovB3RwL&#10;7S78Tucy1iJBOBSowMTYFVKGypDFMHYdcfK+nbcYk/S11B4vCW5bOc2yB2mx4bRgsKO1oepU/lgF&#10;m4m3uzI/HPMv87j30+rtKHOp1P2wX72AiNTH//Ct/aoVzJ5n8Hc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sbYfFAAAA3AAAAA8AAAAAAAAAAAAAAAAAlwIAAGRycy9k&#10;b3ducmV2LnhtbFBLBQYAAAAABAAEAPUAAACJAwAAAAA=&#10;" filled="f" stroked="f" strokecolor="black [0]" strokeweight="2pt">
                          <v:textbox inset="2.88pt,2.88pt,2.88pt,2.88pt">
                            <w:txbxContent>
                              <w:p w14:paraId="4D80F151" w14:textId="77777777" w:rsidR="00C8402C" w:rsidRPr="009F5DBA" w:rsidRDefault="00C8402C" w:rsidP="00D9523C">
                                <w:pPr>
                                  <w:widowControl w:val="0"/>
                                  <w:spacing w:after="0"/>
                                  <w:jc w:val="center"/>
                                  <w:rPr>
                                    <w:sz w:val="22"/>
                                  </w:rPr>
                                </w:pPr>
                                <w:r w:rsidRPr="009F5DBA">
                                  <w:rPr>
                                    <w:sz w:val="22"/>
                                  </w:rPr>
                                  <w:t>Teaching and feedback</w:t>
                                </w:r>
                              </w:p>
                            </w:txbxContent>
                          </v:textbox>
                        </v:shape>
                        <v:roundrect id="AutoShape 16" o:spid="_x0000_s1220" style="position:absolute;left:978291;top:1235515;width:35369;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eqIwwAA&#10;ANwAAAAPAAAAZHJzL2Rvd25yZXYueG1sRI9Ba8JAFITvhf6H5RW81Y21VE1dpVUivWqL50f2maTN&#10;vg27zxj/fVco9DjMzDfMcj24VvUUYuPZwGScgSIuvW24MvD1WTzOQUVBtth6JgNXirBe3d8tMbf+&#10;wnvqD1KpBOGYo4FapMu1jmVNDuPYd8TJO/ngUJIMlbYBLwnuWv2UZS/aYcNpocaONjWVP4ezM3Ce&#10;yeJ43BbNTkL//o0FlxOeGjN6GN5eQQkN8h/+a39YA9PFM9zOpCO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PeqIwwAAANwAAAAPAAAAAAAAAAAAAAAAAJcCAABkcnMvZG93&#10;bnJldi54bWxQSwUGAAAAAAQABAD1AAAAhwMAAAAA&#10;" fillcolor="#ffc000" strokecolor="black [0]" strokeweight="2pt">
                          <v:shadow color="#eeece1" opacity="1" mv:blur="0" offset="2pt,2pt"/>
                          <v:textbox inset="2.88pt,2.88pt,2.88pt,2.88pt">
                            <w:txbxContent>
                              <w:p w14:paraId="04C07A6C" w14:textId="566E182F" w:rsidR="00C8402C" w:rsidRPr="009F5DBA" w:rsidRDefault="00C8402C" w:rsidP="00D9523C">
                                <w:pPr>
                                  <w:widowControl w:val="0"/>
                                  <w:jc w:val="center"/>
                                  <w:rPr>
                                    <w:sz w:val="22"/>
                                  </w:rPr>
                                </w:pPr>
                                <w:r w:rsidRPr="009F5DBA">
                                  <w:rPr>
                                    <w:sz w:val="22"/>
                                  </w:rPr>
                                  <w:t>Teacher interviews</w:t>
                                </w:r>
                              </w:p>
                            </w:txbxContent>
                          </v:textbox>
                        </v:roundrect>
                        <v:shape id="AutoShape 22" o:spid="_x0000_s1221" type="#_x0000_t88" style="position:absolute;left:1067353;top:1183386;width:5399;height:57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ko8xgAA&#10;ANwAAAAPAAAAZHJzL2Rvd25yZXYueG1sRI9Ba8JAFITvBf/D8oTe6sbWSo2uIoWCKEWaePD4yD6z&#10;abNv0+xq4r93CwWPw8x8wyxWva3FhVpfOVYwHiUgiAunKy4VHPKPpzcQPiBrrB2Tgit5WC0HDwtM&#10;tev4iy5ZKEWEsE9RgQmhSaX0hSGLfuQa4uidXGsxRNmWUrfYRbit5XOSTKXFiuOCwYbeDRU/2dkq&#10;mGa77a/8NPvJKd8du22ff09MrtTjsF/PQQTqwz38395oBS+zV/g7E4+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gko8xgAAANwAAAAPAAAAAAAAAAAAAAAAAJcCAABkcnMv&#10;ZG93bnJldi54bWxQSwUGAAAAAAQABAD1AAAAigMAAAAA&#10;" adj="1398" strokecolor="black [0]" strokeweight="2pt">
                          <v:shadow color="#eeece1" opacity="1" mv:blur="0" offset="2pt,2pt"/>
                          <v:textbox inset="2.88pt,2.88pt,2.88pt,2.88pt"/>
                        </v:shape>
                        <v:shape id="AutoShape 26" o:spid="_x0000_s1222" type="#_x0000_t32" style="position:absolute;left:995365;top:1189578;width:22611;height:59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WV5MUAAADcAAAADwAAAGRycy9kb3ducmV2LnhtbESPwW7CMBBE75X4B2uRuBUHKKikGFQB&#10;pRwbygFuq3ibRI3Xke0m6d/jSkg9jmbmjWa16U0tWnK+sqxgMk5AEOdWV1woOH++PT6D8AFZY22Z&#10;FPySh8168LDCVNuOM2pPoRARwj5FBWUITSqlz0sy6Me2IY7el3UGQ5SukNphF+GmltMkWUiDFceF&#10;EhvalpR/n36MgvkuM/5wyVqjp9W721+7/dPkQ6nRsH99ARGoD//he/uoFcyWC/g7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oWV5MUAAADcAAAADwAAAAAAAAAA&#10;AAAAAAChAgAAZHJzL2Rvd25yZXYueG1sUEsFBgAAAAAEAAQA+QAAAJMDAAAAAA==&#10;" strokecolor="black [0]" strokeweight="2pt">
                          <v:stroke endarrow="block"/>
                          <v:shadow color="#eeece1" opacity="1" mv:blur="0" offset="2pt,2pt"/>
                        </v:shape>
                        <v:shape id="AutoShape 27" o:spid="_x0000_s1223" type="#_x0000_t32" style="position:absolute;left:972921;top:1189578;width:22777;height:598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MkeMMAAADcAAAADwAAAGRycy9kb3ducmV2LnhtbESPX2vCMBTF3wd+h3CFvc3ECduspkVk&#10;jr0Im4r4eGmubbC5qU3U7tsvwmCPh/Pnx5kXvWvElbpgPWsYjxQI4tIby5WG3Xb19AYiRGSDjWfS&#10;8EMBinzwMMfM+Bt/03UTK5FGOGSooY6xzaQMZU0Ow8i3xMk7+s5hTLKrpOnwlsZdI5+VepEOLSdC&#10;jS0taypPm4tLXOUuZ1ori2f7dajerTv4j73Wj8N+MQMRqY//4b/2p9Ewmb7C/Uw6Aj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aDJHjDAAAA3AAAAA8AAAAAAAAAAAAA&#10;AAAAoQIAAGRycy9kb3ducmV2LnhtbFBLBQYAAAAABAAEAPkAAACRAwAAAAA=&#10;" strokecolor="black [0]" strokeweight="2pt">
                          <v:stroke endarrow="block"/>
                          <v:shadow color="#eeece1" opacity="1" mv:blur="0" offset="2pt,2pt"/>
                        </v:shape>
                        <v:shape id="AutoShape 28" o:spid="_x0000_s1224" type="#_x0000_t32" style="position:absolute;left:1017477;top:1202048;width:0;height:41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akDcIAAADcAAAADwAAAGRycy9kb3ducmV2LnhtbERPu27CMBTdK/EP1kXqVhxoqdqAQYhH&#10;YWzSDrBdxZckIr6ObJOkf18PlToenfdyPZhGdOR8bVnBdJKAIC6srrlU8P11eHoD4QOyxsYyKfgh&#10;D+vV6GGJqbY9Z9TloRQxhH2KCqoQ2lRKX1Rk0E9sSxy5q3UGQ4SulNphH8NNI2dJ8ioN1hwbKmxp&#10;W1Fxy+9GwXyXGf9xzjqjZ/XR7S/9/mX6qdTjeNgsQAQawr/4z33SCp7f49p4Jh4B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FakDcIAAADcAAAADwAAAAAAAAAAAAAA&#10;AAChAgAAZHJzL2Rvd25yZXYueG1sUEsFBgAAAAAEAAQA+QAAAJADAAAAAA==&#10;" strokecolor="black [0]" strokeweight="2pt">
                          <v:stroke endarrow="block"/>
                          <v:shadow color="#eeece1" opacity="1" mv:blur="0" offset="2pt,2pt"/>
                        </v:shape>
                        <v:shape id="AutoShape 29" o:spid="_x0000_s1225" type="#_x0000_t32" style="position:absolute;left:973087;top:1202048;width:0;height:39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oBlsUAAADcAAAADwAAAGRycy9kb3ducmV2LnhtbESPzW7CMBCE75V4B2srcSsOlFYlYFDV&#10;8ndsKAe4reJtEhGvI9sk4e1xpUo9jmbmG81i1ZtatOR8ZVnBeJSAIM6trrhQcPzePL2B8AFZY22Z&#10;FNzIw2o5eFhgqm3HGbWHUIgIYZ+igjKEJpXS5yUZ9CPbEEfvxzqDIUpXSO2wi3BTy0mSvEqDFceF&#10;Ehv6KCm/HK5GwctnZvz2lLVGT6qdW5+79XT8pdTwsX+fgwjUh//wX3uvFTzPZvB7Jh4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oBlsUAAADcAAAADwAAAAAAAAAA&#10;AAAAAAChAgAAZHJzL2Rvd25yZXYueG1sUEsFBgAAAAAEAAQA+QAAAJMDAAAAAA==&#10;" strokecolor="black [0]" strokeweight="2pt">
                          <v:stroke endarrow="block"/>
                          <v:shadow color="#eeece1" opacity="1" mv:blur="0" offset="2pt,2pt"/>
                        </v:shape>
                        <v:shape id="AutoShape 30" o:spid="_x0000_s1226" type="#_x0000_t32" style="position:absolute;left:1017644;top:1213187;width:498;height:9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Dw6cIAAADcAAAADwAAAGRycy9kb3ducmV2LnhtbERPPW/CMBDdkfofrKvUDRwQoCrgRFWh&#10;0JGkHcp2iq9J1Pgc2SYJ/74eKnV8et/7fDKdGMj51rKC5SIBQVxZ3XKt4PPjbf4MwgdkjZ1lUnAn&#10;D3n2MNtjqu3IBQ1lqEUMYZ+igiaEPpXSVw0Z9AvbE0fu2zqDIUJXS+1wjOGmk6sk2UqDLceGBnt6&#10;baj6KW9GweZQGH/6KgajV+3ZHa/jcb28KPX0OL3sQASawr/4z/2uFayTOD+eiUdAZ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oDw6cIAAADcAAAADwAAAAAAAAAAAAAA&#10;AAChAgAAZHJzL2Rvd25yZXYueG1sUEsFBgAAAAAEAAQA+QAAAJADAAAAAA==&#10;" strokecolor="black [0]" strokeweight="2pt">
                          <v:stroke endarrow="block"/>
                          <v:shadow color="#eeece1" opacity="1" mv:blur="0" offset="2pt,2pt"/>
                        </v:shape>
                        <v:shape id="AutoShape 31" o:spid="_x0000_s1227" type="#_x0000_t32" style="position:absolute;left:972755;top:1213187;width:499;height:914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ZBdcMAAADcAAAADwAAAGRycy9kb3ducmV2LnhtbESPS2sCMRSF94L/IVyhO02UUmRqlCJa&#10;uilYLcXlZXI7Ezq5mZlkHv33plBweTiPj7PZja4SPbXBetawXCgQxLk3lgsNn5fjfA0iRGSDlWfS&#10;8EsBdtvpZIOZ8QN/UH+OhUgjHDLUUMZYZ1KGvCSHYeFr4uR9+9ZhTLItpGlxSOOukiulnqRDy4lQ&#10;Yk37kvKfc+cSV7muoXdlsbGna3Gw7upfv7R+mI0vzyAijfEe/m+/GQ2Pagl/Z9IRkN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6GQXXDAAAA3AAAAA8AAAAAAAAAAAAA&#10;AAAAoQIAAGRycy9kb3ducmV2LnhtbFBLBQYAAAAABAAEAPkAAACRAwAAAAA=&#10;" strokecolor="black [0]" strokeweight="2pt">
                          <v:stroke endarrow="block"/>
                          <v:shadow color="#eeece1" opacity="1" mv:blur="0" offset="2pt,2pt"/>
                        </v:shape>
                        <v:shape id="AutoShape 32" o:spid="_x0000_s1228" type="#_x0000_t66" style="position:absolute;left:1030287;top:1207090;width:9098;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O5FxQAA&#10;ANwAAAAPAAAAZHJzL2Rvd25yZXYueG1sRI9BawIxFITvBf9DeEIvRRMXW2Q1igiVHnpQ68HjY/Pc&#10;Xdy8LJt0N+2vbwShx2FmvmFWm2gb0VPna8caZlMFgrhwpuZSw/nrfbIA4QOywcYxafghD5v16GmF&#10;uXEDH6k/hVIkCPscNVQhtLmUvqjIop+6ljh5V9dZDEl2pTQdDgluG5kp9SYt1pwWKmxpV1FxO31b&#10;Dce4z9RrP3xef1/q/SXOhszjQevncdwuQQSK4T/8aH8YDXOVwf1MOg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o7kXFAAAA3AAAAA8AAAAAAAAAAAAAAAAAlwIAAGRycy9k&#10;b3ducmV2LnhtbFBLBQYAAAAABAAEAPUAAACJAwAAAAA=&#10;" fillcolor="#92d050" strokecolor="black [0]" strokeweight="2pt">
                          <v:shadow color="#eeece1" opacity="1" mv:blur="0" offset="2pt,2pt"/>
                          <v:textbox inset="2.88pt,2.88pt,2.88pt,2.88pt"/>
                        </v:shape>
                        <v:shape id="AutoShape 33" o:spid="_x0000_s1229" type="#_x0000_t66" style="position:absolute;left:1031608;top:1222248;width:9311;height: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X0awwAA&#10;ANwAAAAPAAAAZHJzL2Rvd25yZXYueG1sRI/RisIwFETfF/yHcAXf1lRdRKpRRBAWH4S6fsC1uTbF&#10;5qY00Wb9eiMs7OMwM2eY1SbaRjyo87VjBZNxBoK4dLrmSsH5Z/+5AOEDssbGMSn4JQ+b9eBjhbl2&#10;PRf0OIVKJAj7HBWYENpcSl8asujHriVO3tV1FkOSXSV1h32C20ZOs2wuLdacFgy2tDNU3k53q6C9&#10;0H5eV89YnJ+xOU6L/nYwW6VGw7hdgggUw3/4r/2tFXxlM3ifSUdAr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6X0awwAAANwAAAAPAAAAAAAAAAAAAAAAAJcCAABkcnMvZG93&#10;bnJldi54bWxQSwUGAAAAAAQABAD1AAAAhwMAAAAA&#10;" adj="8254" fillcolor="#ffc000 [3207]" strokecolor="black [0]" strokeweight="2pt">
                          <v:shadow color="#eeece1" opacity="1" mv:blur="0" offset="2pt,2pt"/>
                          <v:textbox inset="2.88pt,2.88pt,2.88pt,2.88pt"/>
                        </v:shape>
                        <v:shape id="AutoShape 34" o:spid="_x0000_s1230" type="#_x0000_t66" style="position:absolute;left:1030287;top:1230967;width:9406;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dOqxgAA&#10;ANwAAAAPAAAAZHJzL2Rvd25yZXYueG1sRI/NasMwEITvhbyD2EAupZFi0lDcKCEEEnroIX+HHhdr&#10;Y5tYK2MpttqnrwqBHoeZ+YZZrqNtRE+drx1rmE0VCOLCmZpLDZfz7uUNhA/IBhvHpOGbPKxXo6cl&#10;5sYNfKT+FEqRIOxz1FCF0OZS+qIii37qWuLkXV1nMSTZldJ0OCS4bWSm1EJarDktVNjStqLidrpb&#10;Dce4z9RrP3xef57r/VecDZnHg9aTcdy8gwgUw3/40f4wGuZqDn9n0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jdOqxgAAANwAAAAPAAAAAAAAAAAAAAAAAJcCAABkcnMv&#10;ZG93bnJldi54bWxQSwUGAAAAAAQABAD1AAAAigMAAAAA&#10;" fillcolor="#92d050" strokecolor="black [0]" strokeweight="2pt">
                          <v:shadow color="#eeece1" opacity="1" mv:blur="0" offset="2pt,2pt"/>
                          <v:textbox inset="2.88pt,2.88pt,2.88pt,2.88pt"/>
                        </v:shape>
                      </v:group>
                      <v:shape id="Text Box 405" o:spid="_x0000_s1231" type="#_x0000_t202" style="position:absolute;left:5628266;top:3337687;width:1183004;height:5292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Fn7xQAA&#10;ANwAAAAPAAAAZHJzL2Rvd25yZXYueG1sRI/dagIxFITvC75DOEJvimaVXZGtUUQoLUUK/jzA6eZ0&#10;s3Vzsk2ibt++EQpeDjPzDbNY9bYVF/KhcaxgMs5AEFdON1wrOB5eRnMQISJrbB2Tgl8KsFoOHhZY&#10;anflHV32sRYJwqFEBSbGrpQyVIYshrHriJP35bzFmKSvpfZ4TXDbymmWzaTFhtOCwY42hqrT/mwV&#10;fL4+GZ1Pt9/Fz7HJPb9/FDM+K/U47NfPICL18R7+b79pBXlWwO1MOg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cWfvFAAAA3AAAAA8AAAAAAAAAAAAAAAAAlwIAAGRycy9k&#10;b3ducmV2LnhtbFBLBQYAAAAABAAEAPUAAACJAwAAAAA=&#10;" filled="f" stroked="f" strokecolor="black [0]" strokeweight="2pt">
                        <v:textbox inset="2.88pt,2.88pt,2.88pt,2.88pt">
                          <w:txbxContent>
                            <w:p w14:paraId="17C32E8B" w14:textId="58A04AEE" w:rsidR="00C8402C" w:rsidRPr="009F5DBA" w:rsidRDefault="00C8402C" w:rsidP="00D9523C">
                              <w:pPr>
                                <w:widowControl w:val="0"/>
                                <w:spacing w:after="0"/>
                                <w:jc w:val="center"/>
                                <w:rPr>
                                  <w:b/>
                                  <w:bCs/>
                                  <w:sz w:val="22"/>
                                </w:rPr>
                              </w:pPr>
                              <w:r w:rsidRPr="009F5DBA">
                                <w:rPr>
                                  <w:b/>
                                  <w:bCs/>
                                  <w:sz w:val="22"/>
                                </w:rPr>
                                <w:t>Follow-up phase</w:t>
                              </w:r>
                            </w:p>
                          </w:txbxContent>
                        </v:textbox>
                      </v:shape>
                      <v:shape id="AutoShape 21" o:spid="_x0000_s1232" type="#_x0000_t88" style="position:absolute;left:5338187;top:3098893;width:207013;height:1262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cOGwQAA&#10;ANwAAAAPAAAAZHJzL2Rvd25yZXYueG1sRI/NasMwEITvgb6D2EJviexSTOxECcUl0Gt+HmCxNpax&#10;tWssNXHePioUehxm5htmu5/9oG40hU7YQL7KQBE3YjtuDVzOh+UaVIjIFgdhMvCgAPvdy2KLlZU7&#10;H+l2iq1KEA4VGnAxjpXWoXHkMaxkJE7eVSaPMcmp1XbCe4L7Qb9nWaE9dpwWHI5UO2r60483EPqH&#10;a9ZSWj6WPs+/pO4LqY15e50/N6AizfE//Nf+tgY+sgJ+z6Qjo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unDhsEAAADcAAAADwAAAAAAAAAAAAAAAACXAgAAZHJzL2Rvd25y&#10;ZXYueG1sUEsFBgAAAAAEAAQA9QAAAIUDAAAAAA==&#10;" adj="641" strokecolor="black [0]" strokeweight="2pt">
                        <v:shadow color="#eeece1" opacity="1" mv:blur="0" offset="2pt,2pt"/>
                        <v:textbox inset="2.88pt,2.88pt,2.88pt,2.88pt"/>
                      </v:shape>
                    </v:group>
                    <v:roundrect id="AutoShape 16" o:spid="_x0000_s1233" style="position:absolute;left:267419;top:3226286;width:2882665;height:63835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LexQAA&#10;ANwAAAAPAAAAZHJzL2Rvd25yZXYueG1sRI9Ba8JAFITvgv9heUJvurEUTVNX0VLBQi81FTw+sq9J&#10;MPs23V1j9Nd3C0KPw8x8wyxWvWlER87XlhVMJwkI4sLqmksFX/l2nILwAVljY5kUXMnDajkcLDDT&#10;9sKf1O1DKSKEfYYKqhDaTEpfVGTQT2xLHL1v6wyGKF0ptcNLhJtGPibJTBqsOS5U2NJrRcVpfzYK&#10;5GGTuvytyI+7Z/Nx/rlJ+06dUg+jfv0CIlAf/sP39k4reErm8HcmH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7Et7FAAAA3AAAAA8AAAAAAAAAAAAAAAAAlwIAAGRycy9k&#10;b3ducmV2LnhtbFBLBQYAAAAABAAEAPUAAACJAwAAAAA=&#10;" fillcolor="#ffc000 [3207]" strokecolor="black [0]" strokeweight="2pt">
                      <v:textbox inset="2.88pt,2.88pt,2.88pt,2.88pt">
                        <w:txbxContent>
                          <w:p w14:paraId="1D410349" w14:textId="48856454" w:rsidR="00C8402C" w:rsidRPr="009F5DBA" w:rsidRDefault="00C8402C" w:rsidP="00D9523C">
                            <w:pPr>
                              <w:widowControl w:val="0"/>
                              <w:jc w:val="center"/>
                              <w:rPr>
                                <w:sz w:val="22"/>
                                <w:u w:val="single"/>
                              </w:rPr>
                            </w:pPr>
                            <w:r w:rsidRPr="009F5DBA">
                              <w:rPr>
                                <w:sz w:val="22"/>
                                <w:u w:val="single"/>
                              </w:rPr>
                              <w:t>Student clinical placements 4x3 weeks</w:t>
                            </w:r>
                          </w:p>
                          <w:p w14:paraId="6227C569" w14:textId="77777777" w:rsidR="00C8402C" w:rsidRPr="009F5DBA" w:rsidRDefault="00C8402C" w:rsidP="00D9523C">
                            <w:pPr>
                              <w:widowControl w:val="0"/>
                              <w:jc w:val="center"/>
                              <w:rPr>
                                <w:i/>
                                <w:iCs/>
                                <w:sz w:val="22"/>
                              </w:rPr>
                            </w:pPr>
                            <w:r w:rsidRPr="009F5DBA">
                              <w:rPr>
                                <w:sz w:val="22"/>
                              </w:rPr>
                              <w:t>Student focus groups and interviews</w:t>
                            </w:r>
                          </w:p>
                          <w:p w14:paraId="16CA36DD" w14:textId="43A49DA8" w:rsidR="00C8402C" w:rsidRPr="009F5DBA" w:rsidRDefault="00C8402C" w:rsidP="00D9523C">
                            <w:pPr>
                              <w:widowControl w:val="0"/>
                              <w:jc w:val="center"/>
                              <w:rPr>
                                <w:b/>
                                <w:sz w:val="22"/>
                              </w:rPr>
                            </w:pPr>
                          </w:p>
                        </w:txbxContent>
                      </v:textbox>
                    </v:roundrect>
                    <v:shape id="Text Box 11" o:spid="_x0000_s1234" type="#_x0000_t202" style="position:absolute;left:3907381;top:3795623;width:1463206;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KcUwQAA&#10;ANwAAAAPAAAAZHJzL2Rvd25yZXYueG1sRE/dasIwFL4f7B3CGXg3U6W4UY0yxhQRZNj5AMfm2NQ1&#10;JyWJWt/eXAhefnz/s0VvW3EhHxrHCkbDDARx5XTDtYL93/L9E0SIyBpbx6TgRgEW89eXGRbaXXlH&#10;lzLWIoVwKFCBibErpAyVIYth6DrixB2dtxgT9LXUHq8p3LZynGUTabHh1GCwo29D1X95tgp+Rt6u&#10;ynx7yg/mY+PH1e9J5lKpwVv/NQURqY9P8cO91gryLK1NZ9IRkPM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nFMEAAADcAAAADwAAAAAAAAAAAAAAAACXAgAAZHJzL2Rvd25y&#10;ZXYueG1sUEsFBgAAAAAEAAQA9QAAAIUDAAAAAA==&#10;" filled="f" stroked="f" strokecolor="black [0]" strokeweight="2pt">
                      <v:textbox inset="2.88pt,2.88pt,2.88pt,2.88pt">
                        <w:txbxContent>
                          <w:p w14:paraId="7A9907B2" w14:textId="385A36DC" w:rsidR="00C8402C" w:rsidRPr="009F5DBA" w:rsidRDefault="00C8402C" w:rsidP="00D9523C">
                            <w:pPr>
                              <w:widowControl w:val="0"/>
                              <w:spacing w:after="0"/>
                              <w:jc w:val="center"/>
                              <w:rPr>
                                <w:b/>
                                <w:sz w:val="22"/>
                              </w:rPr>
                            </w:pPr>
                            <w:r w:rsidRPr="009F5DBA">
                              <w:rPr>
                                <w:b/>
                                <w:sz w:val="22"/>
                              </w:rPr>
                              <w:t>Questionnaires</w:t>
                            </w:r>
                            <w:r w:rsidRPr="009F5DBA">
                              <w:rPr>
                                <w:sz w:val="22"/>
                              </w:rPr>
                              <w:t xml:space="preserve"> </w:t>
                            </w:r>
                            <w:r w:rsidRPr="009F5DBA">
                              <w:rPr>
                                <w:b/>
                                <w:sz w:val="22"/>
                              </w:rPr>
                              <w:t>3</w:t>
                            </w:r>
                          </w:p>
                        </w:txbxContent>
                      </v:textbox>
                    </v:shape>
                    <v:shape id="AutoShape 34" o:spid="_x0000_s1235" type="#_x0000_t66" style="position:absolute;left:3467819;top:3821502;width:475919;height:2480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bWlwwAA&#10;ANwAAAAPAAAAZHJzL2Rvd25yZXYueG1sRI9Ba8JAFITvhf6H5RW81U1L0TZ1FbEVcjUtPb9mn0lo&#10;9r2wu43RX+8KgsdhZr5hFqvRdWogH1phA0/TDBRxJbbl2sD31/bxFVSIyBY7YTJwpACr5f3dAnMr&#10;B97RUMZaJQiHHA00Mfa51qFqyGGYSk+cvL14hzFJX2vr8ZDgrtPPWTbTDltOCw32tGmo+iv/nYF2&#10;Lr/en37K9fxzti82Oxk+CjFm8jCu30FFGuMtfG0X1sBL9gaXM+kI6OUZ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FbWlwwAAANwAAAAPAAAAAAAAAAAAAAAAAJcCAABkcnMvZG93&#10;bnJldi54bWxQSwUGAAAAAAQABAD1AAAAhwMAAAAA&#10;" adj="5492" fillcolor="#92d050" strokecolor="black [0]" strokeweight="2pt">
                      <v:shadow color="#eeece1" opacity="1" mv:blur="0" offset="2pt,2pt"/>
                      <v:textbox inset="2.88pt,2.88pt,2.88pt,2.88pt"/>
                    </v:shape>
                  </v:group>
                  <v:roundrect id="AutoShape 16" o:spid="_x0000_s1236" style="position:absolute;left:446567;top:3997784;width:2454067;height:36029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mFnxQAA&#10;ANwAAAAPAAAAZHJzL2Rvd25yZXYueG1sRI9BS8NAFITvQv/D8gre7MYaqqbdllJRvHho7aW3R/Y1&#10;Sc2+Dbsvafz3riB4HGbmG2a1GV2rBgqx8WzgfpaBIi69bbgycPx8vXsCFQXZYuuZDHxThM16crPC&#10;wvor72k4SKUShGOBBmqRrtA6ljU5jDPfESfv7INDSTJU2ga8Jrhr9TzLFtphw2mhxo52NZVfh94Z&#10;6B9eLnLC+VvIT/3w+CH2fHTPxtxOx+0SlNAo/+G/9rs1kOcL+D2TjoB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SYWfFAAAA3AAAAA8AAAAAAAAAAAAAAAAAlwIAAGRycy9k&#10;b3ducmV2LnhtbFBLBQYAAAAABAAEAPUAAACJAwAAAAA=&#10;" fillcolor="#ffc000 [3207]" strokecolor="black [0]" strokeweight="2pt">
                    <v:shadow color="#eeece1" opacity="1" mv:blur="0" offset="2pt,2pt"/>
                    <v:textbox inset="2.88pt,2.88pt,2.88pt,2.88pt">
                      <w:txbxContent>
                        <w:p w14:paraId="08749BD1" w14:textId="77777777" w:rsidR="00C8402C" w:rsidRPr="009F5DBA" w:rsidRDefault="00C8402C" w:rsidP="004B25E6">
                          <w:pPr>
                            <w:widowControl w:val="0"/>
                            <w:jc w:val="center"/>
                            <w:rPr>
                              <w:sz w:val="22"/>
                            </w:rPr>
                          </w:pPr>
                          <w:r w:rsidRPr="009F5DBA">
                            <w:rPr>
                              <w:sz w:val="22"/>
                            </w:rPr>
                            <w:t>Validation of the SSRQ</w:t>
                          </w:r>
                        </w:p>
                      </w:txbxContent>
                    </v:textbox>
                  </v:roundrect>
                </v:group>
                <w10:wrap type="topAndBottom"/>
              </v:group>
            </w:pict>
          </mc:Fallback>
        </mc:AlternateContent>
      </w:r>
    </w:p>
    <w:p w14:paraId="64961E63" w14:textId="77777777" w:rsidR="009F5DBA" w:rsidRPr="00B56453" w:rsidRDefault="009F5DBA" w:rsidP="004B2ACE">
      <w:pPr>
        <w:pStyle w:val="Caption"/>
      </w:pPr>
    </w:p>
    <w:p w14:paraId="462231C5" w14:textId="3851AADB" w:rsidR="00DB587B" w:rsidRPr="00B56453" w:rsidRDefault="00DE2169" w:rsidP="004B2ACE">
      <w:pPr>
        <w:pStyle w:val="Caption"/>
        <w:rPr>
          <w:rFonts w:cs="Times New Roman"/>
        </w:rPr>
      </w:pPr>
      <w:bookmarkStart w:id="308" w:name="_Toc500319552"/>
      <w:r w:rsidRPr="00B56453">
        <w:t>Figure B3.</w:t>
      </w:r>
      <w:r w:rsidR="00B021F6" w:rsidRPr="00B27F0B">
        <w:fldChar w:fldCharType="begin"/>
      </w:r>
      <w:r w:rsidR="00B021F6" w:rsidRPr="00B56453">
        <w:instrText xml:space="preserve"> SEQ Figure_B3. \* ARABIC </w:instrText>
      </w:r>
      <w:r w:rsidR="00B021F6" w:rsidRPr="00B27F0B">
        <w:fldChar w:fldCharType="separate"/>
      </w:r>
      <w:r w:rsidR="00E44881" w:rsidRPr="00B56453">
        <w:rPr>
          <w:noProof/>
        </w:rPr>
        <w:t>1</w:t>
      </w:r>
      <w:r w:rsidR="00B021F6" w:rsidRPr="00B27F0B">
        <w:rPr>
          <w:noProof/>
        </w:rPr>
        <w:fldChar w:fldCharType="end"/>
      </w:r>
      <w:r w:rsidRPr="00B56453">
        <w:t xml:space="preserve"> Flow diagram of study operations. </w:t>
      </w:r>
      <w:r w:rsidR="00950528" w:rsidRPr="00B56453">
        <w:t>Questionnaires</w:t>
      </w:r>
      <w:r w:rsidRPr="00B56453">
        <w:t xml:space="preserve"> (1, 2, and 3 in </w:t>
      </w:r>
      <w:r w:rsidR="00950528" w:rsidRPr="00B56453">
        <w:t>green</w:t>
      </w:r>
      <w:r w:rsidRPr="00B56453">
        <w:t>) in the intervention and follow-up phases are highlighted.</w:t>
      </w:r>
      <w:bookmarkEnd w:id="308"/>
      <w:r w:rsidR="00DB587B" w:rsidRPr="00B56453">
        <w:br w:type="page"/>
      </w:r>
    </w:p>
    <w:p w14:paraId="28DC218B" w14:textId="57D388B4" w:rsidR="00DB587B" w:rsidRPr="00B56453" w:rsidRDefault="00FA111F" w:rsidP="00B1638D">
      <w:pPr>
        <w:pStyle w:val="Heading2"/>
        <w:rPr>
          <w:lang w:val="en-GB"/>
        </w:rPr>
      </w:pPr>
      <w:bookmarkStart w:id="309" w:name="_Toc500319396"/>
      <w:r w:rsidRPr="00B56453">
        <w:rPr>
          <w:lang w:val="en-GB"/>
        </w:rPr>
        <w:lastRenderedPageBreak/>
        <w:t xml:space="preserve">B3.2 </w:t>
      </w:r>
      <w:r w:rsidR="00DB587B" w:rsidRPr="00B56453">
        <w:rPr>
          <w:lang w:val="en-GB"/>
        </w:rPr>
        <w:t>Method</w:t>
      </w:r>
      <w:bookmarkEnd w:id="309"/>
    </w:p>
    <w:p w14:paraId="1FFF9635" w14:textId="77777777" w:rsidR="00DB587B" w:rsidRPr="00B56453" w:rsidRDefault="00DB587B" w:rsidP="00026049">
      <w:pPr>
        <w:pStyle w:val="Normal1"/>
        <w:rPr>
          <w:lang w:val="en-GB"/>
        </w:rPr>
      </w:pPr>
    </w:p>
    <w:p w14:paraId="1EC88F59" w14:textId="629DBC48" w:rsidR="00DB587B" w:rsidRPr="00B56453" w:rsidRDefault="00DB587B" w:rsidP="00026049">
      <w:pPr>
        <w:pStyle w:val="Normal1"/>
        <w:rPr>
          <w:lang w:val="en-GB"/>
        </w:rPr>
      </w:pPr>
      <w:r w:rsidRPr="00B56453">
        <w:rPr>
          <w:lang w:val="en-GB"/>
        </w:rPr>
        <w:t xml:space="preserve">A full description of the intervention </w:t>
      </w:r>
      <w:r w:rsidR="00A676FB" w:rsidRPr="00B56453">
        <w:rPr>
          <w:lang w:val="en-GB"/>
        </w:rPr>
        <w:t>procedure</w:t>
      </w:r>
      <w:r w:rsidR="0065779E" w:rsidRPr="00B56453">
        <w:rPr>
          <w:lang w:val="en-GB"/>
        </w:rPr>
        <w:t xml:space="preserve"> can be found in Chapter B1.</w:t>
      </w:r>
    </w:p>
    <w:p w14:paraId="4A85455C" w14:textId="77777777" w:rsidR="00DB587B" w:rsidRPr="00B56453" w:rsidRDefault="00DB587B" w:rsidP="00026049">
      <w:pPr>
        <w:pStyle w:val="Normal1"/>
        <w:rPr>
          <w:lang w:val="en-GB"/>
        </w:rPr>
      </w:pPr>
    </w:p>
    <w:p w14:paraId="75C2A8F2" w14:textId="6F46E496" w:rsidR="00DB587B" w:rsidRPr="00B56453" w:rsidRDefault="00FA111F" w:rsidP="00BA4521">
      <w:pPr>
        <w:pStyle w:val="Heading3"/>
      </w:pPr>
      <w:bookmarkStart w:id="310" w:name="_Toc500319397"/>
      <w:r w:rsidRPr="00B56453">
        <w:t xml:space="preserve">B3.2.1 </w:t>
      </w:r>
      <w:r w:rsidR="00DB587B" w:rsidRPr="00B56453">
        <w:t>Measures</w:t>
      </w:r>
      <w:bookmarkEnd w:id="310"/>
    </w:p>
    <w:p w14:paraId="47D8338A" w14:textId="77777777" w:rsidR="00DB587B" w:rsidRPr="00B56453" w:rsidRDefault="00DB587B" w:rsidP="00026049">
      <w:pPr>
        <w:pStyle w:val="Normal1"/>
        <w:rPr>
          <w:lang w:val="en-GB"/>
        </w:rPr>
      </w:pPr>
    </w:p>
    <w:p w14:paraId="4C3E1710" w14:textId="320C5354" w:rsidR="00DB587B" w:rsidRPr="00B56453" w:rsidRDefault="00DB587B" w:rsidP="00026049">
      <w:pPr>
        <w:pStyle w:val="Normal1"/>
        <w:rPr>
          <w:lang w:val="en-GB"/>
        </w:rPr>
      </w:pPr>
      <w:r w:rsidRPr="00B56453">
        <w:rPr>
          <w:lang w:val="en-GB"/>
        </w:rPr>
        <w:t xml:space="preserve">The Short Self-Regulation Questionnaire (SSRQ) is a 31-item scale measuring </w:t>
      </w:r>
      <w:r w:rsidR="006C0A4C" w:rsidRPr="00B56453">
        <w:rPr>
          <w:lang w:val="en-GB"/>
        </w:rPr>
        <w:t>self-regulation</w:t>
      </w:r>
      <w:r w:rsidRPr="00B56453">
        <w:rPr>
          <w:lang w:val="en-GB"/>
        </w:rPr>
        <w:t xml:space="preserve"> loading an overall trait di</w:t>
      </w:r>
      <w:r w:rsidR="006C0A4C" w:rsidRPr="00B56453">
        <w:rPr>
          <w:lang w:val="en-GB"/>
        </w:rPr>
        <w:t>mension of self-regulation</w:t>
      </w:r>
      <w:r w:rsidRPr="00B56453">
        <w:rPr>
          <w:lang w:val="en-GB"/>
        </w:rPr>
        <w:t xml:space="preserve"> </w:t>
      </w:r>
      <w:r w:rsidR="00EF281A" w:rsidRPr="007638B6">
        <w:rPr>
          <w:lang w:val="en-GB"/>
        </w:rPr>
        <w:fldChar w:fldCharType="begin"/>
      </w:r>
      <w:r w:rsidR="008B61BE" w:rsidRPr="00B56453">
        <w:rPr>
          <w:lang w:val="en-GB"/>
        </w:rPr>
        <w:instrText xml:space="preserve"> ADDIN EN.CITE &lt;EndNote&gt;&lt;Cite&gt;&lt;Author&gt;Carey&lt;/Author&gt;&lt;Year&gt;2004&lt;/Year&gt;&lt;RecNum&gt;839&lt;/RecNum&gt;&lt;DisplayText&gt;(Carey et al. 2004)&lt;/DisplayText&gt;&lt;record&gt;&lt;rec-number&gt;839&lt;/rec-number&gt;&lt;foreign-keys&gt;&lt;key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EndNote&gt;</w:instrText>
      </w:r>
      <w:r w:rsidR="00EF281A" w:rsidRPr="00B27F0B">
        <w:rPr>
          <w:lang w:val="en-GB"/>
        </w:rPr>
        <w:fldChar w:fldCharType="separate"/>
      </w:r>
      <w:r w:rsidR="004E5A78" w:rsidRPr="00B56453">
        <w:rPr>
          <w:noProof/>
          <w:lang w:val="en-GB"/>
        </w:rPr>
        <w:t>(</w:t>
      </w:r>
      <w:hyperlink w:anchor="_ENREF_70" w:tooltip="Carey, 2004 #839" w:history="1">
        <w:r w:rsidR="0094469E" w:rsidRPr="00B56453">
          <w:rPr>
            <w:noProof/>
            <w:lang w:val="en-GB"/>
          </w:rPr>
          <w:t>Carey et al. 2004</w:t>
        </w:r>
      </w:hyperlink>
      <w:r w:rsidR="004E5A78" w:rsidRPr="00B56453">
        <w:rPr>
          <w:noProof/>
          <w:lang w:val="en-GB"/>
        </w:rPr>
        <w:t>)</w:t>
      </w:r>
      <w:r w:rsidR="00EF281A" w:rsidRPr="007638B6">
        <w:rPr>
          <w:lang w:val="en-GB"/>
        </w:rPr>
        <w:fldChar w:fldCharType="end"/>
      </w:r>
      <w:r w:rsidR="0065779E" w:rsidRPr="00B56453">
        <w:rPr>
          <w:lang w:val="en-GB"/>
        </w:rPr>
        <w:t xml:space="preserve"> (Appendix </w:t>
      </w:r>
      <w:r w:rsidR="00B76E6D" w:rsidRPr="00B56453">
        <w:rPr>
          <w:lang w:val="en-GB"/>
        </w:rPr>
        <w:t>14</w:t>
      </w:r>
      <w:r w:rsidR="0065779E" w:rsidRPr="00B56453">
        <w:rPr>
          <w:lang w:val="en-GB"/>
        </w:rPr>
        <w:t>)</w:t>
      </w:r>
      <w:r w:rsidRPr="00B56453">
        <w:rPr>
          <w:lang w:val="en-GB"/>
        </w:rPr>
        <w:t xml:space="preserve">. Each item consists of a 5-point Likert scale ranging from ‘strongly disagree’ to ‘strongly agree’ with the centre point being ‘uncertain’. Half of the items are worded negatively and their scores reversed. Higher SSRQ scores are associated with higher self-regulation. The SSRQ has shown high correlations with the original 63-item SRQ and is internally consistent </w:t>
      </w:r>
      <w:r w:rsidR="00EF281A" w:rsidRPr="007638B6">
        <w:rPr>
          <w:lang w:val="en-GB"/>
        </w:rPr>
        <w:fldChar w:fldCharType="begin"/>
      </w:r>
      <w:r w:rsidR="008B61BE" w:rsidRPr="00B56453">
        <w:rPr>
          <w:lang w:val="en-GB"/>
        </w:rPr>
        <w:instrText xml:space="preserve"> ADDIN EN.CITE &lt;EndNote&gt;&lt;Cite&gt;&lt;Author&gt;Neal&lt;/Author&gt;&lt;Year&gt;2005&lt;/Year&gt;&lt;RecNum&gt;840&lt;/RecNum&gt;&lt;DisplayText&gt;(Neal and Carey 2005)&lt;/DisplayText&gt;&lt;record&gt;&lt;rec-number&gt;840&lt;/rec-number&gt;&lt;foreign-keys&gt;&lt;key app="EN" db-id="xa2r2ewea92trkef5dt5arvbzafvpv2za5ft" timestamp="1496417598"&gt;840&lt;/key&gt;&lt;/foreign-keys&gt;&lt;ref-type name="Journal Article"&gt;17&lt;/ref-type&gt;&lt;contributors&gt;&lt;authors&gt;&lt;author&gt;Neal, Dan J&lt;/author&gt;&lt;author&gt;Carey, Kate B&lt;/author&gt;&lt;/authors&gt;&lt;/contributors&gt;&lt;titles&gt;&lt;title&gt;A follow-up psychometric analysis of the self-regulation questionnaire&lt;/title&gt;&lt;secondary-title&gt;Psychology of Addictive Behaviors&lt;/secondary-title&gt;&lt;/titles&gt;&lt;periodical&gt;&lt;full-title&gt;Psychology of Addictive Behaviors&lt;/full-title&gt;&lt;/periodical&gt;&lt;pages&gt;414&lt;/pages&gt;&lt;volume&gt;19&lt;/volume&gt;&lt;number&gt;4&lt;/number&gt;&lt;dates&gt;&lt;year&gt;2005&lt;/year&gt;&lt;/dates&gt;&lt;isbn&gt;1939-1501&lt;/isbn&gt;&lt;urls&gt;&lt;/urls&gt;&lt;/record&gt;&lt;/Cite&gt;&lt;/EndNote&gt;</w:instrText>
      </w:r>
      <w:r w:rsidR="00EF281A" w:rsidRPr="00B27F0B">
        <w:rPr>
          <w:lang w:val="en-GB"/>
        </w:rPr>
        <w:fldChar w:fldCharType="separate"/>
      </w:r>
      <w:r w:rsidR="004E5A78" w:rsidRPr="00B56453">
        <w:rPr>
          <w:noProof/>
          <w:lang w:val="en-GB"/>
        </w:rPr>
        <w:t>(</w:t>
      </w:r>
      <w:hyperlink w:anchor="_ENREF_297" w:tooltip="Neal, 2005 #840" w:history="1">
        <w:r w:rsidR="0094469E" w:rsidRPr="00B56453">
          <w:rPr>
            <w:noProof/>
            <w:lang w:val="en-GB"/>
          </w:rPr>
          <w:t>Neal and Carey 2005</w:t>
        </w:r>
      </w:hyperlink>
      <w:r w:rsidR="004E5A78" w:rsidRPr="00B56453">
        <w:rPr>
          <w:noProof/>
          <w:lang w:val="en-GB"/>
        </w:rPr>
        <w:t>)</w:t>
      </w:r>
      <w:r w:rsidR="00EF281A" w:rsidRPr="007638B6">
        <w:rPr>
          <w:lang w:val="en-GB"/>
        </w:rPr>
        <w:fldChar w:fldCharType="end"/>
      </w:r>
      <w:r w:rsidRPr="00B56453">
        <w:rPr>
          <w:lang w:val="en-GB"/>
        </w:rPr>
        <w:t xml:space="preserve">. The SSRQ was successfully validated in the current population of </w:t>
      </w:r>
      <w:r w:rsidR="00BA4BE3" w:rsidRPr="00B56453">
        <w:rPr>
          <w:lang w:val="en-GB"/>
        </w:rPr>
        <w:t>medical undergraduates</w:t>
      </w:r>
      <w:r w:rsidRPr="00B56453">
        <w:rPr>
          <w:lang w:val="en-GB"/>
        </w:rPr>
        <w:t xml:space="preserve"> </w:t>
      </w:r>
      <w:r w:rsidR="00BA4BE3" w:rsidRPr="00B56453">
        <w:rPr>
          <w:lang w:val="en-GB"/>
        </w:rPr>
        <w:t>with a</w:t>
      </w:r>
      <w:r w:rsidRPr="00B56453">
        <w:rPr>
          <w:lang w:val="en-GB"/>
        </w:rPr>
        <w:t xml:space="preserve"> good internal consistency of </w:t>
      </w:r>
      <w:r w:rsidR="004A351A" w:rsidRPr="00B56453">
        <w:rPr>
          <w:lang w:val="en-GB"/>
        </w:rPr>
        <w:t>0</w:t>
      </w:r>
      <w:r w:rsidRPr="00B56453">
        <w:rPr>
          <w:lang w:val="en-GB"/>
        </w:rPr>
        <w:t xml:space="preserve">.85 (Cronbach’s Alpha) and </w:t>
      </w:r>
      <w:r w:rsidR="00BA4BE3" w:rsidRPr="00B56453">
        <w:rPr>
          <w:lang w:val="en-GB"/>
        </w:rPr>
        <w:t>was found to be</w:t>
      </w:r>
      <w:r w:rsidRPr="00B56453">
        <w:rPr>
          <w:lang w:val="en-GB"/>
        </w:rPr>
        <w:t xml:space="preserve"> a good pr</w:t>
      </w:r>
      <w:r w:rsidR="00C24E5A" w:rsidRPr="00B56453">
        <w:rPr>
          <w:lang w:val="en-GB"/>
        </w:rPr>
        <w:t xml:space="preserve">edictor of self-efficacy scores (see </w:t>
      </w:r>
      <w:r w:rsidR="002849FA" w:rsidRPr="00B56453">
        <w:rPr>
          <w:lang w:val="en-GB"/>
        </w:rPr>
        <w:t>C</w:t>
      </w:r>
      <w:r w:rsidR="00C24E5A" w:rsidRPr="00B56453">
        <w:rPr>
          <w:lang w:val="en-GB"/>
        </w:rPr>
        <w:t>hapter C1</w:t>
      </w:r>
      <w:r w:rsidRPr="00B56453">
        <w:rPr>
          <w:lang w:val="en-GB"/>
        </w:rPr>
        <w:t>).</w:t>
      </w:r>
      <w:r w:rsidR="0065779E" w:rsidRPr="00B56453">
        <w:rPr>
          <w:lang w:val="en-GB"/>
        </w:rPr>
        <w:t xml:space="preserve"> </w:t>
      </w:r>
    </w:p>
    <w:p w14:paraId="0507AA2A" w14:textId="77777777" w:rsidR="00DB587B" w:rsidRPr="00B56453" w:rsidRDefault="00DB587B" w:rsidP="00026049">
      <w:pPr>
        <w:pStyle w:val="Normal1"/>
        <w:rPr>
          <w:lang w:val="en-GB"/>
        </w:rPr>
      </w:pPr>
    </w:p>
    <w:p w14:paraId="1217CF93" w14:textId="3CF16AF9" w:rsidR="00DB587B" w:rsidRPr="00B56453" w:rsidRDefault="00DB587B" w:rsidP="00026049">
      <w:pPr>
        <w:pStyle w:val="Normal1"/>
        <w:rPr>
          <w:lang w:val="en-GB"/>
        </w:rPr>
      </w:pPr>
      <w:r w:rsidRPr="00B56453">
        <w:rPr>
          <w:lang w:val="en-GB"/>
        </w:rPr>
        <w:t xml:space="preserve">The General Self-Efficacy Scale (GSE) is a 10-item scale assessing individuals’ perceived self-efficacy </w:t>
      </w:r>
      <w:r w:rsidR="00EF281A" w:rsidRPr="007638B6">
        <w:rPr>
          <w:lang w:val="en-GB"/>
        </w:rPr>
        <w:fldChar w:fldCharType="begin"/>
      </w:r>
      <w:r w:rsidR="009D30A3" w:rsidRPr="00B56453">
        <w:rPr>
          <w:lang w:val="en-GB"/>
        </w:rPr>
        <w:instrText xml:space="preserve"> ADDIN EN.CITE &lt;EndNote&gt;&lt;Cite&gt;&lt;Author&gt;Schwarzer&lt;/Author&gt;&lt;Year&gt;1995&lt;/Year&gt;&lt;RecNum&gt;841&lt;/RecNum&gt;&lt;DisplayText&gt;(Schwarzer and Jerusalem 1995)&lt;/DisplayText&gt;&lt;record&gt;&lt;rec-number&gt;841&lt;/rec-number&gt;&lt;foreign-keys&gt;&lt;key app="EN" db-id="xa2r2ewea92trkef5dt5arvbzafvpv2za5ft" timestamp="1496417598"&gt;841&lt;/key&gt;&lt;/foreign-keys&gt;&lt;ref-type name="Book Section"&gt;5&lt;/ref-type&gt;&lt;contributors&gt;&lt;authors&gt;&lt;author&gt;Schwarzer, R.&lt;/author&gt;&lt;author&gt;Jerusalem, M.&lt;/author&gt;&lt;/authors&gt;&lt;secondary-authors&gt;&lt;author&gt;J. Weinman, S. Wright, &amp;amp; M. Johnston&lt;/author&gt;&lt;/secondary-authors&gt;&lt;/contributors&gt;&lt;titles&gt;&lt;title&gt;Generalized Self-Efficacy scale&lt;/title&gt;&lt;secondary-title&gt;Measures in health psychology: A user’s portfolio. Causal and control beliefs&lt;/secondary-title&gt;&lt;/titles&gt;&lt;pages&gt;35-37&lt;/pages&gt;&lt;dates&gt;&lt;year&gt;1995&lt;/year&gt;&lt;/dates&gt;&lt;pub-location&gt;Windsor, UK&lt;/pub-location&gt;&lt;publisher&gt;NFER-NELSON&lt;/publisher&gt;&lt;urls&gt;&lt;/urls&gt;&lt;/record&gt;&lt;/Cite&gt;&lt;/EndNote&gt;</w:instrText>
      </w:r>
      <w:r w:rsidR="00EF281A" w:rsidRPr="00B27F0B">
        <w:rPr>
          <w:lang w:val="en-GB"/>
        </w:rPr>
        <w:fldChar w:fldCharType="separate"/>
      </w:r>
      <w:r w:rsidR="009D30A3" w:rsidRPr="00B56453">
        <w:rPr>
          <w:noProof/>
          <w:lang w:val="en-GB"/>
        </w:rPr>
        <w:t>(</w:t>
      </w:r>
      <w:hyperlink w:anchor="_ENREF_376" w:tooltip="Schwarzer, 1995 #841" w:history="1">
        <w:r w:rsidR="0094469E" w:rsidRPr="00B56453">
          <w:rPr>
            <w:noProof/>
            <w:lang w:val="en-GB"/>
          </w:rPr>
          <w:t>Schwarzer and Jerusalem 1995</w:t>
        </w:r>
      </w:hyperlink>
      <w:r w:rsidR="009D30A3" w:rsidRPr="00B56453">
        <w:rPr>
          <w:noProof/>
          <w:lang w:val="en-GB"/>
        </w:rPr>
        <w:t>)</w:t>
      </w:r>
      <w:r w:rsidR="00EF281A" w:rsidRPr="007638B6">
        <w:rPr>
          <w:lang w:val="en-GB"/>
        </w:rPr>
        <w:fldChar w:fldCharType="end"/>
      </w:r>
      <w:r w:rsidR="0065779E" w:rsidRPr="00B56453">
        <w:rPr>
          <w:lang w:val="en-GB"/>
        </w:rPr>
        <w:t xml:space="preserve"> (Appendix </w:t>
      </w:r>
      <w:r w:rsidR="00C20F57" w:rsidRPr="00B56453">
        <w:rPr>
          <w:lang w:val="en-GB"/>
        </w:rPr>
        <w:t>1</w:t>
      </w:r>
      <w:r w:rsidR="00B76E6D" w:rsidRPr="00B56453">
        <w:rPr>
          <w:lang w:val="en-GB"/>
        </w:rPr>
        <w:t>5</w:t>
      </w:r>
      <w:r w:rsidR="0065779E" w:rsidRPr="00B56453">
        <w:rPr>
          <w:lang w:val="en-GB"/>
        </w:rPr>
        <w:t>)</w:t>
      </w:r>
      <w:r w:rsidRPr="00B56453">
        <w:rPr>
          <w:lang w:val="en-GB"/>
        </w:rPr>
        <w:t>. I</w:t>
      </w:r>
      <w:r w:rsidR="00BA4BE3" w:rsidRPr="00B56453">
        <w:rPr>
          <w:lang w:val="en-GB"/>
        </w:rPr>
        <w:t>tems are scored on a 1–4 scale ranging from ‘</w:t>
      </w:r>
      <w:r w:rsidRPr="00B56453">
        <w:rPr>
          <w:lang w:val="en-GB"/>
        </w:rPr>
        <w:t>not at all true</w:t>
      </w:r>
      <w:r w:rsidR="00BA4BE3" w:rsidRPr="00B56453">
        <w:rPr>
          <w:lang w:val="en-GB"/>
        </w:rPr>
        <w:t>’ to ‘</w:t>
      </w:r>
      <w:r w:rsidRPr="00B56453">
        <w:rPr>
          <w:lang w:val="en-GB"/>
        </w:rPr>
        <w:t>very true</w:t>
      </w:r>
      <w:r w:rsidR="00BA4BE3" w:rsidRPr="00B56453">
        <w:rPr>
          <w:lang w:val="en-GB"/>
        </w:rPr>
        <w:t>’</w:t>
      </w:r>
      <w:r w:rsidRPr="00B56453">
        <w:rPr>
          <w:lang w:val="en-GB"/>
        </w:rPr>
        <w:t xml:space="preserve">. Higher scores indicate </w:t>
      </w:r>
      <w:r w:rsidR="00D531CD" w:rsidRPr="00B56453">
        <w:rPr>
          <w:lang w:val="en-GB"/>
        </w:rPr>
        <w:t>stronger perceived</w:t>
      </w:r>
      <w:r w:rsidR="00BA4BE3" w:rsidRPr="00B56453">
        <w:rPr>
          <w:lang w:val="en-GB"/>
        </w:rPr>
        <w:t xml:space="preserve"> </w:t>
      </w:r>
      <w:r w:rsidRPr="00B56453">
        <w:rPr>
          <w:lang w:val="en-GB"/>
        </w:rPr>
        <w:t xml:space="preserve">self-efficacy beliefs. The scale is unidimensional and internally consistent, with previous studies in various populations and countries reporting values of Cronbach’s alpha between </w:t>
      </w:r>
      <w:r w:rsidR="004A351A" w:rsidRPr="00B56453">
        <w:rPr>
          <w:lang w:val="en-GB"/>
        </w:rPr>
        <w:t>0</w:t>
      </w:r>
      <w:r w:rsidRPr="00B56453">
        <w:rPr>
          <w:lang w:val="en-GB"/>
        </w:rPr>
        <w:t xml:space="preserve">.76 and </w:t>
      </w:r>
      <w:r w:rsidR="004A351A" w:rsidRPr="00B56453">
        <w:rPr>
          <w:lang w:val="en-GB"/>
        </w:rPr>
        <w:t>0</w:t>
      </w:r>
      <w:r w:rsidRPr="00B56453">
        <w:rPr>
          <w:lang w:val="en-GB"/>
        </w:rPr>
        <w:t xml:space="preserve">.90, and high correlations with dimensions of self-regulation </w:t>
      </w:r>
      <w:r w:rsidRPr="007638B6">
        <w:rPr>
          <w:lang w:val="en-GB"/>
        </w:rPr>
        <w:fldChar w:fldCharType="begin"/>
      </w:r>
      <w:r w:rsidR="009D30A3" w:rsidRPr="00B56453">
        <w:rPr>
          <w:lang w:val="en-GB"/>
        </w:rPr>
        <w:instrText xml:space="preserve"> ADDIN EN.CITE &lt;EndNote&gt;&lt;Cite&gt;&lt;Author&gt;Schwarzer&lt;/Author&gt;&lt;Year&gt;1995&lt;/Year&gt;&lt;RecNum&gt;841&lt;/RecNum&gt;&lt;DisplayText&gt;(Schwarzer and Jerusalem 1995; Scholz et al. 2002)&lt;/DisplayText&gt;&lt;record&gt;&lt;rec-number&gt;841&lt;/rec-number&gt;&lt;foreign-keys&gt;&lt;key app="EN" db-id="xa2r2ewea92trkef5dt5arvbzafvpv2za5ft" timestamp="1496417598"&gt;841&lt;/key&gt;&lt;/foreign-keys&gt;&lt;ref-type name="Book Section"&gt;5&lt;/ref-type&gt;&lt;contributors&gt;&lt;authors&gt;&lt;author&gt;Schwarzer, R.&lt;/author&gt;&lt;author&gt;Jerusalem, M.&lt;/author&gt;&lt;/authors&gt;&lt;secondary-authors&gt;&lt;author&gt;J. Weinman, S. Wright, &amp;amp; M. Johnston&lt;/author&gt;&lt;/secondary-authors&gt;&lt;/contributors&gt;&lt;titles&gt;&lt;title&gt;Generalized Self-Efficacy scale&lt;/title&gt;&lt;secondary-title&gt;Measures in health psychology: A user’s portfolio. Causal and control beliefs&lt;/secondary-title&gt;&lt;/titles&gt;&lt;pages&gt;35-37&lt;/pages&gt;&lt;dates&gt;&lt;year&gt;1995&lt;/year&gt;&lt;/dates&gt;&lt;pub-location&gt;Windsor, UK&lt;/pub-location&gt;&lt;publisher&gt;NFER-NELSON&lt;/publisher&gt;&lt;urls&gt;&lt;/urls&gt;&lt;/record&gt;&lt;/Cite&gt;&lt;Cite&gt;&lt;Author&gt;Scholz&lt;/Author&gt;&lt;Year&gt;2002&lt;/Year&gt;&lt;RecNum&gt;842&lt;/RecNum&gt;&lt;record&gt;&lt;rec-number&gt;842&lt;/rec-number&gt;&lt;foreign-keys&gt;&lt;key app="EN" db-id="xa2r2ewea92trkef5dt5arvbzafvpv2za5ft" timestamp="1496417598"&gt;842&lt;/key&gt;&lt;/foreign-keys&gt;&lt;ref-type name="Journal Article"&gt;17&lt;/ref-type&gt;&lt;contributors&gt;&lt;authors&gt;&lt;author&gt;Scholz, Urte&lt;/author&gt;&lt;author&gt;Doña, Benicio Gutiérrez&lt;/author&gt;&lt;author&gt;Sud, Shonali&lt;/author&gt;&lt;author&gt;Schwarzer, Ralf&lt;/author&gt;&lt;/authors&gt;&lt;/contributors&gt;&lt;titles&gt;&lt;title&gt;Is general self-efficacy a universal construct? Psychometric findings from 25 countries&lt;/title&gt;&lt;secondary-title&gt;European journal of psychological assessment&lt;/secondary-title&gt;&lt;/titles&gt;&lt;periodical&gt;&lt;full-title&gt;European journal of psychological assessment&lt;/full-title&gt;&lt;/periodical&gt;&lt;pages&gt;242&lt;/pages&gt;&lt;volume&gt;18&lt;/volume&gt;&lt;number&gt;3&lt;/number&gt;&lt;dates&gt;&lt;year&gt;2002&lt;/year&gt;&lt;/dates&gt;&lt;isbn&gt;2151-2426&lt;/isbn&gt;&lt;urls&gt;&lt;/urls&gt;&lt;/record&gt;&lt;/Cite&gt;&lt;/EndNote&gt;</w:instrText>
      </w:r>
      <w:r w:rsidRPr="00B27F0B">
        <w:rPr>
          <w:lang w:val="en-GB"/>
        </w:rPr>
        <w:fldChar w:fldCharType="separate"/>
      </w:r>
      <w:r w:rsidR="009D30A3" w:rsidRPr="00B56453">
        <w:rPr>
          <w:noProof/>
          <w:lang w:val="en-GB"/>
        </w:rPr>
        <w:t>(</w:t>
      </w:r>
      <w:hyperlink w:anchor="_ENREF_376" w:tooltip="Schwarzer, 1995 #841" w:history="1">
        <w:r w:rsidR="0094469E" w:rsidRPr="00B56453">
          <w:rPr>
            <w:noProof/>
            <w:lang w:val="en-GB"/>
          </w:rPr>
          <w:t>Schwarzer and Jerusalem 1995</w:t>
        </w:r>
      </w:hyperlink>
      <w:r w:rsidR="009D30A3" w:rsidRPr="00B56453">
        <w:rPr>
          <w:noProof/>
          <w:lang w:val="en-GB"/>
        </w:rPr>
        <w:t xml:space="preserve">; </w:t>
      </w:r>
      <w:hyperlink w:anchor="_ENREF_364" w:tooltip="Scholz, 2002 #842" w:history="1">
        <w:r w:rsidR="0094469E" w:rsidRPr="00B56453">
          <w:rPr>
            <w:noProof/>
            <w:lang w:val="en-GB"/>
          </w:rPr>
          <w:t>Scholz et al. 2002</w:t>
        </w:r>
      </w:hyperlink>
      <w:r w:rsidR="009D30A3" w:rsidRPr="00B56453">
        <w:rPr>
          <w:noProof/>
          <w:lang w:val="en-GB"/>
        </w:rPr>
        <w:t>)</w:t>
      </w:r>
      <w:r w:rsidRPr="007638B6">
        <w:rPr>
          <w:lang w:val="en-GB"/>
        </w:rPr>
        <w:fldChar w:fldCharType="end"/>
      </w:r>
      <w:r w:rsidRPr="00B56453">
        <w:rPr>
          <w:lang w:val="en-GB"/>
        </w:rPr>
        <w:t>.</w:t>
      </w:r>
    </w:p>
    <w:p w14:paraId="3682E45D" w14:textId="77777777" w:rsidR="00DB587B" w:rsidRPr="00B56453" w:rsidRDefault="00DB587B" w:rsidP="00026049">
      <w:pPr>
        <w:pStyle w:val="Normal1"/>
        <w:rPr>
          <w:lang w:val="en-GB"/>
        </w:rPr>
      </w:pPr>
    </w:p>
    <w:p w14:paraId="6B11B0EC" w14:textId="34373A6D" w:rsidR="00C75513" w:rsidRPr="00B56453" w:rsidRDefault="00C75513" w:rsidP="00BA4521">
      <w:pPr>
        <w:pStyle w:val="Heading3"/>
      </w:pPr>
      <w:bookmarkStart w:id="311" w:name="_Toc500319398"/>
      <w:r w:rsidRPr="00B56453">
        <w:t>B3.2.2 Procedure</w:t>
      </w:r>
      <w:bookmarkEnd w:id="311"/>
    </w:p>
    <w:p w14:paraId="48F49C01" w14:textId="77777777" w:rsidR="00C75513" w:rsidRPr="00B56453" w:rsidRDefault="00C75513" w:rsidP="00026049">
      <w:pPr>
        <w:pStyle w:val="Normal1"/>
        <w:rPr>
          <w:lang w:val="en-GB"/>
        </w:rPr>
      </w:pPr>
    </w:p>
    <w:p w14:paraId="3638155A" w14:textId="44B5BBBA" w:rsidR="00C75513" w:rsidRPr="00B56453" w:rsidRDefault="00C75513" w:rsidP="00C75513">
      <w:pPr>
        <w:pStyle w:val="Normal1"/>
        <w:rPr>
          <w:lang w:val="en-GB"/>
        </w:rPr>
      </w:pPr>
      <w:r w:rsidRPr="00B56453">
        <w:rPr>
          <w:lang w:val="en-GB"/>
        </w:rPr>
        <w:t>Questionnaires were issued in timetabled teaching sessions (lectures, workshops, and seminars). The first round of questionnaire data was collected one day before teaching sessions beg</w:t>
      </w:r>
      <w:r w:rsidR="00A676FB" w:rsidRPr="00B56453">
        <w:rPr>
          <w:lang w:val="en-GB"/>
        </w:rPr>
        <w:t>a</w:t>
      </w:r>
      <w:r w:rsidRPr="00B56453">
        <w:rPr>
          <w:lang w:val="en-GB"/>
        </w:rPr>
        <w:t>n (Pre-</w:t>
      </w:r>
      <w:r w:rsidR="00240F75" w:rsidRPr="00B56453">
        <w:rPr>
          <w:lang w:val="en-GB"/>
        </w:rPr>
        <w:t>teaching</w:t>
      </w:r>
      <w:r w:rsidRPr="00B56453">
        <w:rPr>
          <w:lang w:val="en-GB"/>
        </w:rPr>
        <w:t xml:space="preserve"> - November 2015) and the second round of data was collected in the week following the last catheterisation sessions (Post-</w:t>
      </w:r>
      <w:r w:rsidR="00240F75" w:rsidRPr="00B56453">
        <w:rPr>
          <w:lang w:val="en-GB"/>
        </w:rPr>
        <w:t>teaching</w:t>
      </w:r>
      <w:r w:rsidRPr="00B56453">
        <w:rPr>
          <w:lang w:val="en-GB"/>
        </w:rPr>
        <w:t xml:space="preserve"> - January 2016). After the second round, students completed their basic clinical skills learning and were formally assessed, as per usual practice, and then began their clinical placements. These were four placements of </w:t>
      </w:r>
      <w:r w:rsidR="005C46C3" w:rsidRPr="00B56453">
        <w:rPr>
          <w:lang w:val="en-GB"/>
        </w:rPr>
        <w:t>three</w:t>
      </w:r>
      <w:r w:rsidRPr="00B56453">
        <w:rPr>
          <w:lang w:val="en-GB"/>
        </w:rPr>
        <w:t xml:space="preserve"> weeks each where students completed various professional learning activities which included both written reports and clinical skills, </w:t>
      </w:r>
      <w:r w:rsidRPr="00B56453">
        <w:rPr>
          <w:lang w:val="en-GB"/>
        </w:rPr>
        <w:lastRenderedPageBreak/>
        <w:t>concluding with</w:t>
      </w:r>
      <w:r w:rsidR="004A351A" w:rsidRPr="00B56453">
        <w:rPr>
          <w:lang w:val="en-GB"/>
        </w:rPr>
        <w:t xml:space="preserve"> an</w:t>
      </w:r>
      <w:r w:rsidRPr="00B56453">
        <w:rPr>
          <w:lang w:val="en-GB"/>
        </w:rPr>
        <w:t xml:space="preserve"> Observed </w:t>
      </w:r>
      <w:r w:rsidR="004A351A" w:rsidRPr="00B56453">
        <w:rPr>
          <w:lang w:val="en-GB"/>
        </w:rPr>
        <w:t>Structured Clinical Examination</w:t>
      </w:r>
      <w:r w:rsidRPr="00B56453">
        <w:rPr>
          <w:lang w:val="en-GB"/>
        </w:rPr>
        <w:t xml:space="preserve"> (OSCE). The third round of questionnaires was administered shortly after this assessment period, nine months after the second round and twelve months after the first round (Post-</w:t>
      </w:r>
      <w:r w:rsidR="00240F75" w:rsidRPr="00B56453">
        <w:rPr>
          <w:lang w:val="en-GB"/>
        </w:rPr>
        <w:t>teaching</w:t>
      </w:r>
      <w:r w:rsidRPr="00B56453">
        <w:rPr>
          <w:lang w:val="en-GB"/>
        </w:rPr>
        <w:t xml:space="preserve"> 9 months – October 2016).</w:t>
      </w:r>
    </w:p>
    <w:p w14:paraId="336148F1" w14:textId="77777777" w:rsidR="00C75513" w:rsidRPr="00B56453" w:rsidRDefault="00C75513" w:rsidP="00026049">
      <w:pPr>
        <w:pStyle w:val="Normal1"/>
        <w:rPr>
          <w:lang w:val="en-GB"/>
        </w:rPr>
      </w:pPr>
    </w:p>
    <w:p w14:paraId="567F92D5" w14:textId="0AFD5875" w:rsidR="00DB587B" w:rsidRPr="00B56453" w:rsidRDefault="00C75513" w:rsidP="00BA4521">
      <w:pPr>
        <w:pStyle w:val="Heading3"/>
      </w:pPr>
      <w:bookmarkStart w:id="312" w:name="_Toc500319399"/>
      <w:r w:rsidRPr="00B56453">
        <w:t>B3.2.3</w:t>
      </w:r>
      <w:r w:rsidR="00FA111F" w:rsidRPr="00B56453">
        <w:t xml:space="preserve"> </w:t>
      </w:r>
      <w:r w:rsidR="00DB587B" w:rsidRPr="00B56453">
        <w:t>Statistical Analysis</w:t>
      </w:r>
      <w:bookmarkEnd w:id="312"/>
    </w:p>
    <w:p w14:paraId="7730E76B" w14:textId="77777777" w:rsidR="00DB587B" w:rsidRPr="00B56453" w:rsidRDefault="00DB587B" w:rsidP="00026049">
      <w:pPr>
        <w:pStyle w:val="Normal1"/>
        <w:rPr>
          <w:lang w:val="en-GB"/>
        </w:rPr>
      </w:pPr>
    </w:p>
    <w:p w14:paraId="2A2ADF3F" w14:textId="62ED204C" w:rsidR="00DB587B" w:rsidRPr="00B56453" w:rsidRDefault="00E66DBC" w:rsidP="00026049">
      <w:pPr>
        <w:pStyle w:val="Normal1"/>
        <w:rPr>
          <w:lang w:val="en-GB"/>
        </w:rPr>
      </w:pPr>
      <w:r w:rsidRPr="00B56453">
        <w:rPr>
          <w:lang w:val="en-GB"/>
        </w:rPr>
        <w:t>M</w:t>
      </w:r>
      <w:r w:rsidR="00DB587B" w:rsidRPr="00B56453">
        <w:rPr>
          <w:lang w:val="en-GB"/>
        </w:rPr>
        <w:t xml:space="preserve">ixed ANOVA </w:t>
      </w:r>
      <w:r w:rsidRPr="00B56453">
        <w:rPr>
          <w:lang w:val="en-GB"/>
        </w:rPr>
        <w:t xml:space="preserve">was used </w:t>
      </w:r>
      <w:r w:rsidR="00DB587B" w:rsidRPr="00B56453">
        <w:rPr>
          <w:lang w:val="en-GB"/>
        </w:rPr>
        <w:t>to investigate the interaction between the within-subjects “Time” factor (1</w:t>
      </w:r>
      <w:r w:rsidR="00DB587B" w:rsidRPr="00B56453">
        <w:rPr>
          <w:vertAlign w:val="superscript"/>
          <w:lang w:val="en-GB"/>
        </w:rPr>
        <w:t>st</w:t>
      </w:r>
      <w:r w:rsidR="00DB587B" w:rsidRPr="00B56453">
        <w:rPr>
          <w:lang w:val="en-GB"/>
        </w:rPr>
        <w:t xml:space="preserve"> round, 2</w:t>
      </w:r>
      <w:r w:rsidR="00DB587B" w:rsidRPr="00B56453">
        <w:rPr>
          <w:vertAlign w:val="superscript"/>
          <w:lang w:val="en-GB"/>
        </w:rPr>
        <w:t>nd</w:t>
      </w:r>
      <w:r w:rsidR="00DB587B" w:rsidRPr="00B56453">
        <w:rPr>
          <w:lang w:val="en-GB"/>
        </w:rPr>
        <w:t xml:space="preserve"> round, 3</w:t>
      </w:r>
      <w:r w:rsidR="00DB587B" w:rsidRPr="00B56453">
        <w:rPr>
          <w:vertAlign w:val="superscript"/>
          <w:lang w:val="en-GB"/>
        </w:rPr>
        <w:t>rd</w:t>
      </w:r>
      <w:r w:rsidR="00DB587B" w:rsidRPr="00B56453">
        <w:rPr>
          <w:lang w:val="en-GB"/>
        </w:rPr>
        <w:t xml:space="preserve"> round), and the between-subjects</w:t>
      </w:r>
      <w:r w:rsidR="004D6EBA" w:rsidRPr="00B56453">
        <w:rPr>
          <w:lang w:val="en-GB"/>
        </w:rPr>
        <w:t xml:space="preserve"> feedback</w:t>
      </w:r>
      <w:r w:rsidR="00DB587B" w:rsidRPr="00B56453">
        <w:rPr>
          <w:lang w:val="en-GB"/>
        </w:rPr>
        <w:t xml:space="preserve"> “Condition” factor (BPF, SRLF), both for the SSRQ and the GSE.</w:t>
      </w:r>
      <w:r w:rsidR="00590020">
        <w:rPr>
          <w:lang w:val="en-GB"/>
        </w:rPr>
        <w:t xml:space="preserve"> </w:t>
      </w:r>
      <w:r w:rsidR="00B2170C">
        <w:rPr>
          <w:lang w:val="en-GB"/>
        </w:rPr>
        <w:t>M</w:t>
      </w:r>
      <w:r w:rsidR="00590020">
        <w:rPr>
          <w:lang w:val="en-GB"/>
        </w:rPr>
        <w:t xml:space="preserve">ixed ANOVA </w:t>
      </w:r>
      <w:r w:rsidR="00B2170C">
        <w:rPr>
          <w:lang w:val="en-GB"/>
        </w:rPr>
        <w:t>is used to measure the mean differences in dependent variables (SRL and self-efficacy) between two groups that are split by an independent variable (feedback model) over two or more instances (pre, post, and post 9 months).</w:t>
      </w:r>
      <w:r w:rsidR="00DB587B" w:rsidRPr="00B56453">
        <w:rPr>
          <w:lang w:val="en-GB"/>
        </w:rPr>
        <w:t xml:space="preserve"> Assumptions of mixed ANOVA were tested, particularly multivariate normality</w:t>
      </w:r>
      <w:r w:rsidR="004B5869">
        <w:rPr>
          <w:lang w:val="en-GB"/>
        </w:rPr>
        <w:t xml:space="preserve"> (normally distributed data)</w:t>
      </w:r>
      <w:r w:rsidR="00A676FB" w:rsidRPr="00B56453">
        <w:rPr>
          <w:lang w:val="en-GB"/>
        </w:rPr>
        <w:t xml:space="preserve"> was tested</w:t>
      </w:r>
      <w:r w:rsidR="00DB587B" w:rsidRPr="00B56453">
        <w:rPr>
          <w:lang w:val="en-GB"/>
        </w:rPr>
        <w:t xml:space="preserve"> by estimating Mardia’s </w:t>
      </w:r>
      <w:r w:rsidR="00DB587B" w:rsidRPr="007638B6">
        <w:rPr>
          <w:lang w:val="en-GB"/>
        </w:rPr>
        <w:fldChar w:fldCharType="begin"/>
      </w:r>
      <w:r w:rsidR="008B61BE" w:rsidRPr="00B56453">
        <w:rPr>
          <w:lang w:val="en-GB"/>
        </w:rPr>
        <w:instrText xml:space="preserve"> ADDIN EN.CITE &lt;EndNote&gt;&lt;Cite ExcludeAuth="1"&gt;&lt;Author&gt;Mardia&lt;/Author&gt;&lt;Year&gt;1970&lt;/Year&gt;&lt;RecNum&gt;583&lt;/RecNum&gt;&lt;DisplayText&gt;(1970, 1974)&lt;/DisplayText&gt;&lt;record&gt;&lt;rec-number&gt;583&lt;/rec-number&gt;&lt;foreign-keys&gt;&lt;key app="EN" db-id="xa2r2ewea92trkef5dt5arvbzafvpv2za5ft" timestamp="1496417556"&gt;583&lt;/key&gt;&lt;/foreign-keys&gt;&lt;ref-type name="Journal Article"&gt;17&lt;/ref-type&gt;&lt;contributors&gt;&lt;authors&gt;&lt;author&gt;Mardia, Kanti V&lt;/author&gt;&lt;/authors&gt;&lt;/contributors&gt;&lt;titles&gt;&lt;title&gt;Measures of multivariate skewness and kurtosis with applications&lt;/title&gt;&lt;secondary-title&gt;Biometrika&lt;/secondary-title&gt;&lt;/titles&gt;&lt;periodical&gt;&lt;full-title&gt;Biometrika&lt;/full-title&gt;&lt;/periodical&gt;&lt;pages&gt;519-530&lt;/pages&gt;&lt;dates&gt;&lt;year&gt;1970&lt;/year&gt;&lt;/dates&gt;&lt;isbn&gt;0006-3444&lt;/isbn&gt;&lt;urls&gt;&lt;/urls&gt;&lt;/record&gt;&lt;/Cite&gt;&lt;Cite ExcludeAuth="1"&gt;&lt;Author&gt;Mardia&lt;/Author&gt;&lt;Year&gt;1974&lt;/Year&gt;&lt;RecNum&gt;584&lt;/RecNum&gt;&lt;record&gt;&lt;rec-number&gt;584&lt;/rec-number&gt;&lt;foreign-keys&gt;&lt;key app="EN" db-id="xa2r2ewea92trkef5dt5arvbzafvpv2za5ft" timestamp="1496417557"&gt;584&lt;/key&gt;&lt;/foreign-keys&gt;&lt;ref-type name="Journal Article"&gt;17&lt;/ref-type&gt;&lt;contributors&gt;&lt;authors&gt;&lt;author&gt;Mardia, Kanti V&lt;/author&gt;&lt;/authors&gt;&lt;/contributors&gt;&lt;titles&gt;&lt;title&gt;Applications of some measures of multivariate skewness and kurtosis in testing normality and robustness studies&lt;/title&gt;&lt;secondary-title&gt;Sankhyā: The Indian Journal of Statistics, Series B&lt;/secondary-title&gt;&lt;/titles&gt;&lt;periodical&gt;&lt;full-title&gt;Sankhyā: The Indian Journal of Statistics, Series B&lt;/full-title&gt;&lt;/periodical&gt;&lt;pages&gt;115-128&lt;/pages&gt;&lt;dates&gt;&lt;year&gt;1974&lt;/year&gt;&lt;/dates&gt;&lt;isbn&gt;0581-5738&lt;/isbn&gt;&lt;urls&gt;&lt;/urls&gt;&lt;/record&gt;&lt;/Cite&gt;&lt;/EndNote&gt;</w:instrText>
      </w:r>
      <w:r w:rsidR="00DB587B" w:rsidRPr="00B27F0B">
        <w:rPr>
          <w:lang w:val="en-GB"/>
        </w:rPr>
        <w:fldChar w:fldCharType="separate"/>
      </w:r>
      <w:r w:rsidR="005E380F" w:rsidRPr="00B56453">
        <w:rPr>
          <w:noProof/>
          <w:lang w:val="en-GB"/>
        </w:rPr>
        <w:t>(</w:t>
      </w:r>
      <w:hyperlink w:anchor="_ENREF_255" w:tooltip="Mardia, 1970 #583" w:history="1">
        <w:r w:rsidR="0094469E" w:rsidRPr="00B56453">
          <w:rPr>
            <w:noProof/>
            <w:lang w:val="en-GB"/>
          </w:rPr>
          <w:t>1970</w:t>
        </w:r>
      </w:hyperlink>
      <w:r w:rsidR="005E380F" w:rsidRPr="00B56453">
        <w:rPr>
          <w:noProof/>
          <w:lang w:val="en-GB"/>
        </w:rPr>
        <w:t xml:space="preserve">, </w:t>
      </w:r>
      <w:hyperlink w:anchor="_ENREF_256" w:tooltip="Mardia, 1974 #584" w:history="1">
        <w:r w:rsidR="0094469E" w:rsidRPr="00B56453">
          <w:rPr>
            <w:noProof/>
            <w:lang w:val="en-GB"/>
          </w:rPr>
          <w:t>1974</w:t>
        </w:r>
      </w:hyperlink>
      <w:r w:rsidR="005E380F" w:rsidRPr="00B56453">
        <w:rPr>
          <w:noProof/>
          <w:lang w:val="en-GB"/>
        </w:rPr>
        <w:t>)</w:t>
      </w:r>
      <w:r w:rsidR="00DB587B" w:rsidRPr="007638B6">
        <w:rPr>
          <w:lang w:val="en-GB"/>
        </w:rPr>
        <w:fldChar w:fldCharType="end"/>
      </w:r>
      <w:r w:rsidR="00DB587B" w:rsidRPr="00B56453">
        <w:rPr>
          <w:lang w:val="en-GB"/>
        </w:rPr>
        <w:t xml:space="preserve"> normalized coefficient of multivariate kurtosis from the residuals of the two specified models, i.e. SSRQ and GSE respectively, and Mauchly’s test</w:t>
      </w:r>
      <w:r w:rsidR="00A676FB" w:rsidRPr="00B56453">
        <w:rPr>
          <w:lang w:val="en-GB"/>
        </w:rPr>
        <w:t xml:space="preserve"> was used</w:t>
      </w:r>
      <w:r w:rsidR="00DB587B" w:rsidRPr="00B56453">
        <w:rPr>
          <w:lang w:val="en-GB"/>
        </w:rPr>
        <w:t xml:space="preserve"> to assess sphericity </w:t>
      </w:r>
      <w:r w:rsidR="00EF281A" w:rsidRPr="007638B6">
        <w:rPr>
          <w:lang w:val="en-GB"/>
        </w:rPr>
        <w:fldChar w:fldCharType="begin"/>
      </w:r>
      <w:r w:rsidR="008B61BE" w:rsidRPr="00B56453">
        <w:rPr>
          <w:lang w:val="en-GB"/>
        </w:rPr>
        <w:instrText xml:space="preserve"> ADDIN EN.CITE &lt;EndNote&gt;&lt;Cite&gt;&lt;Author&gt;Mauchly&lt;/Author&gt;&lt;Year&gt;1940&lt;/Year&gt;&lt;RecNum&gt;587&lt;/RecNum&gt;&lt;DisplayText&gt;(Mauchly 1940)&lt;/DisplayText&gt;&lt;record&gt;&lt;rec-number&gt;587&lt;/rec-number&gt;&lt;foreign-keys&gt;&lt;key app="EN" db-id="xa2r2ewea92trkef5dt5arvbzafvpv2za5ft" timestamp="1496417557"&gt;587&lt;/key&gt;&lt;/foreign-keys&gt;&lt;ref-type name="Journal Article"&gt;17&lt;/ref-type&gt;&lt;contributors&gt;&lt;authors&gt;&lt;author&gt;Mauchly, John W&lt;/author&gt;&lt;/authors&gt;&lt;/contributors&gt;&lt;titles&gt;&lt;title&gt;Significance test for sphericity of a normal n-variate distribution&lt;/title&gt;&lt;secondary-title&gt;The Annals of Mathematical Statistics&lt;/secondary-title&gt;&lt;/titles&gt;&lt;periodical&gt;&lt;full-title&gt;The Annals of Mathematical Statistics&lt;/full-title&gt;&lt;/periodical&gt;&lt;pages&gt;204-209&lt;/pages&gt;&lt;volume&gt;11&lt;/volume&gt;&lt;number&gt;2&lt;/number&gt;&lt;dates&gt;&lt;year&gt;1940&lt;/year&gt;&lt;/dates&gt;&lt;isbn&gt;0003-4851&lt;/isbn&gt;&lt;urls&gt;&lt;/urls&gt;&lt;/record&gt;&lt;/Cite&gt;&lt;/EndNote&gt;</w:instrText>
      </w:r>
      <w:r w:rsidR="00EF281A" w:rsidRPr="00B27F0B">
        <w:rPr>
          <w:lang w:val="en-GB"/>
        </w:rPr>
        <w:fldChar w:fldCharType="separate"/>
      </w:r>
      <w:r w:rsidR="004E5A78" w:rsidRPr="00B56453">
        <w:rPr>
          <w:noProof/>
          <w:lang w:val="en-GB"/>
        </w:rPr>
        <w:t>(</w:t>
      </w:r>
      <w:hyperlink w:anchor="_ENREF_258" w:tooltip="Mauchly, 1940 #587" w:history="1">
        <w:r w:rsidR="0094469E" w:rsidRPr="00B56453">
          <w:rPr>
            <w:noProof/>
            <w:lang w:val="en-GB"/>
          </w:rPr>
          <w:t>Mauchly 1940</w:t>
        </w:r>
      </w:hyperlink>
      <w:r w:rsidR="004E5A78" w:rsidRPr="00B56453">
        <w:rPr>
          <w:noProof/>
          <w:lang w:val="en-GB"/>
        </w:rPr>
        <w:t>)</w:t>
      </w:r>
      <w:r w:rsidR="00EF281A" w:rsidRPr="007638B6">
        <w:rPr>
          <w:lang w:val="en-GB"/>
        </w:rPr>
        <w:fldChar w:fldCharType="end"/>
      </w:r>
      <w:r w:rsidR="00DB587B" w:rsidRPr="00B56453">
        <w:rPr>
          <w:lang w:val="en-GB"/>
        </w:rPr>
        <w:t>.</w:t>
      </w:r>
      <w:r w:rsidR="00D24EA3">
        <w:rPr>
          <w:lang w:val="en-GB"/>
        </w:rPr>
        <w:t xml:space="preserve"> Sphericity </w:t>
      </w:r>
      <w:r w:rsidR="005F718A">
        <w:rPr>
          <w:lang w:val="en-GB"/>
        </w:rPr>
        <w:t>is the assumption that the variations of the differences between all possible pairs of within subject conditions (feedback model) are equal. It can be tested when there are three or more instances where a measure is repeated and inflated ‘f’ values indicate that sphericity is violated.</w:t>
      </w:r>
      <w:r w:rsidR="00DB587B" w:rsidRPr="00B56453">
        <w:rPr>
          <w:lang w:val="en-GB"/>
        </w:rPr>
        <w:t xml:space="preserve"> IBM SPSS AMOS </w:t>
      </w:r>
      <w:r w:rsidR="004A351A" w:rsidRPr="00B56453">
        <w:rPr>
          <w:lang w:val="en-GB"/>
        </w:rPr>
        <w:t xml:space="preserve">statistical software </w:t>
      </w:r>
      <w:r w:rsidR="00DB587B" w:rsidRPr="00B56453">
        <w:rPr>
          <w:lang w:val="en-GB"/>
        </w:rPr>
        <w:t>(</w:t>
      </w:r>
      <w:r w:rsidR="004D6EBA" w:rsidRPr="00B56453">
        <w:rPr>
          <w:lang w:val="en-GB"/>
        </w:rPr>
        <w:t>V</w:t>
      </w:r>
      <w:r w:rsidR="00DB587B" w:rsidRPr="00B56453">
        <w:rPr>
          <w:lang w:val="en-GB"/>
        </w:rPr>
        <w:t xml:space="preserve">ersion 22.0) </w:t>
      </w:r>
      <w:r w:rsidR="003723B7" w:rsidRPr="00B56453">
        <w:rPr>
          <w:lang w:val="en-GB"/>
        </w:rPr>
        <w:t xml:space="preserve">was used </w:t>
      </w:r>
      <w:r w:rsidR="00DB587B" w:rsidRPr="00B56453">
        <w:rPr>
          <w:lang w:val="en-GB"/>
        </w:rPr>
        <w:t>to estimate Mardia’s normalized coefficient of multivariate kurtosis, and IBM SPSS Statistics (</w:t>
      </w:r>
      <w:r w:rsidR="004D6EBA" w:rsidRPr="00B56453">
        <w:rPr>
          <w:lang w:val="en-GB"/>
        </w:rPr>
        <w:t>V</w:t>
      </w:r>
      <w:r w:rsidR="00DB587B" w:rsidRPr="00B56453">
        <w:rPr>
          <w:lang w:val="en-GB"/>
        </w:rPr>
        <w:t>ersion 22.0) for all other analysis.</w:t>
      </w:r>
      <w:r w:rsidR="00A676FB" w:rsidRPr="00B56453">
        <w:rPr>
          <w:lang w:val="en-GB"/>
        </w:rPr>
        <w:t xml:space="preserve"> Error bars were used based upon a 95% confidence interval (CI) instead of standard deviation as CIs are </w:t>
      </w:r>
      <w:r w:rsidR="00126D81" w:rsidRPr="00B56453">
        <w:rPr>
          <w:lang w:val="en-GB"/>
        </w:rPr>
        <w:t>recognised as</w:t>
      </w:r>
      <w:r w:rsidR="00A676FB" w:rsidRPr="00B56453">
        <w:rPr>
          <w:lang w:val="en-GB"/>
        </w:rPr>
        <w:t xml:space="preserve"> “a more intuitive measure of uncertainty” </w:t>
      </w:r>
      <w:r w:rsidR="00A676FB" w:rsidRPr="007638B6">
        <w:rPr>
          <w:lang w:val="en-GB"/>
        </w:rPr>
        <w:fldChar w:fldCharType="begin"/>
      </w:r>
      <w:r w:rsidR="008B61BE" w:rsidRPr="00B56453">
        <w:rPr>
          <w:lang w:val="en-GB"/>
        </w:rPr>
        <w:instrText xml:space="preserve"> ADDIN EN.CITE &lt;EndNote&gt;&lt;Cite&gt;&lt;Author&gt;Krzywinski&lt;/Author&gt;&lt;Year&gt;2013&lt;/Year&gt;&lt;RecNum&gt;936&lt;/RecNum&gt;&lt;Pages&gt;921&lt;/Pages&gt;&lt;DisplayText&gt;(Krzywinski and Altman 2013, p. 921)&lt;/DisplayText&gt;&lt;record&gt;&lt;rec-number&gt;936&lt;/rec-number&gt;&lt;foreign-keys&gt;&lt;key app="EN" db-id="xa2r2ewea92trkef5dt5arvbzafvpv2za5ft" timestamp="1499940307"&gt;936&lt;/key&gt;&lt;/foreign-keys&gt;&lt;ref-type name="Journal Article"&gt;17&lt;/ref-type&gt;&lt;contributors&gt;&lt;authors&gt;&lt;author&gt;Krzywinski, Martin&lt;/author&gt;&lt;author&gt;Altman, Naomi&lt;/author&gt;&lt;/authors&gt;&lt;/contributors&gt;&lt;titles&gt;&lt;title&gt;Points of significance: error bars&lt;/title&gt;&lt;secondary-title&gt;Nature methods&lt;/secondary-title&gt;&lt;/titles&gt;&lt;periodical&gt;&lt;full-title&gt;Nature methods&lt;/full-title&gt;&lt;/periodical&gt;&lt;pages&gt;921-922&lt;/pages&gt;&lt;volume&gt;10&lt;/volume&gt;&lt;number&gt;10&lt;/number&gt;&lt;dates&gt;&lt;year&gt;2013&lt;/year&gt;&lt;/dates&gt;&lt;isbn&gt;1548-7091&lt;/isbn&gt;&lt;urls&gt;&lt;/urls&gt;&lt;/record&gt;&lt;/Cite&gt;&lt;/EndNote&gt;</w:instrText>
      </w:r>
      <w:r w:rsidR="00A676FB" w:rsidRPr="00B27F0B">
        <w:rPr>
          <w:lang w:val="en-GB"/>
        </w:rPr>
        <w:fldChar w:fldCharType="separate"/>
      </w:r>
      <w:r w:rsidR="004E5A78" w:rsidRPr="00B56453">
        <w:rPr>
          <w:noProof/>
          <w:lang w:val="en-GB"/>
        </w:rPr>
        <w:t>(</w:t>
      </w:r>
      <w:hyperlink w:anchor="_ENREF_227" w:tooltip="Krzywinski, 2013 #936" w:history="1">
        <w:r w:rsidR="0094469E" w:rsidRPr="00B56453">
          <w:rPr>
            <w:noProof/>
            <w:lang w:val="en-GB"/>
          </w:rPr>
          <w:t>Krzywinski and Altman 2013, p. 921</w:t>
        </w:r>
      </w:hyperlink>
      <w:r w:rsidR="004E5A78" w:rsidRPr="00B56453">
        <w:rPr>
          <w:noProof/>
          <w:lang w:val="en-GB"/>
        </w:rPr>
        <w:t>)</w:t>
      </w:r>
      <w:r w:rsidR="00A676FB" w:rsidRPr="007638B6">
        <w:rPr>
          <w:lang w:val="en-GB"/>
        </w:rPr>
        <w:fldChar w:fldCharType="end"/>
      </w:r>
      <w:r w:rsidR="00A676FB" w:rsidRPr="00B56453">
        <w:rPr>
          <w:lang w:val="en-GB"/>
        </w:rPr>
        <w:t>.</w:t>
      </w:r>
    </w:p>
    <w:p w14:paraId="49C3329A" w14:textId="77777777" w:rsidR="00DB587B" w:rsidRPr="00B56453" w:rsidRDefault="00DB587B" w:rsidP="00026049">
      <w:pPr>
        <w:pStyle w:val="Normal1"/>
        <w:rPr>
          <w:rFonts w:asciiTheme="majorHAnsi" w:eastAsiaTheme="majorEastAsia" w:hAnsiTheme="majorHAnsi" w:cstheme="majorBidi"/>
          <w:color w:val="2E74B5" w:themeColor="accent1" w:themeShade="BF"/>
          <w:sz w:val="32"/>
          <w:szCs w:val="32"/>
          <w:lang w:val="en-GB"/>
        </w:rPr>
      </w:pPr>
      <w:r w:rsidRPr="00B56453">
        <w:rPr>
          <w:lang w:val="en-GB"/>
        </w:rPr>
        <w:br w:type="page"/>
      </w:r>
    </w:p>
    <w:p w14:paraId="6079190E" w14:textId="1DAF84E4" w:rsidR="00DB587B" w:rsidRPr="00B56453" w:rsidRDefault="00FA111F" w:rsidP="00B1638D">
      <w:pPr>
        <w:pStyle w:val="Heading2"/>
        <w:rPr>
          <w:lang w:val="en-GB"/>
        </w:rPr>
      </w:pPr>
      <w:bookmarkStart w:id="313" w:name="_Toc500319400"/>
      <w:r w:rsidRPr="00B56453">
        <w:rPr>
          <w:lang w:val="en-GB"/>
        </w:rPr>
        <w:lastRenderedPageBreak/>
        <w:t xml:space="preserve">B3.3 </w:t>
      </w:r>
      <w:r w:rsidR="00DB587B" w:rsidRPr="00B56453">
        <w:rPr>
          <w:lang w:val="en-GB"/>
        </w:rPr>
        <w:t>Results</w:t>
      </w:r>
      <w:bookmarkEnd w:id="313"/>
    </w:p>
    <w:p w14:paraId="20C3297F" w14:textId="77777777" w:rsidR="00DB587B" w:rsidRPr="00B56453" w:rsidRDefault="00DB587B" w:rsidP="00026049">
      <w:pPr>
        <w:pStyle w:val="Normal1"/>
        <w:rPr>
          <w:lang w:val="en-GB"/>
        </w:rPr>
      </w:pPr>
    </w:p>
    <w:p w14:paraId="7A1BA6D4" w14:textId="3BE5A4DA" w:rsidR="00DB587B" w:rsidRPr="00B56453" w:rsidRDefault="00DB587B" w:rsidP="00026049">
      <w:pPr>
        <w:pStyle w:val="Normal1"/>
        <w:rPr>
          <w:lang w:val="en-GB"/>
        </w:rPr>
      </w:pPr>
      <w:r w:rsidRPr="00B56453">
        <w:rPr>
          <w:lang w:val="en-GB"/>
        </w:rPr>
        <w:t>A sample of 171 out of a total population of 227 students completed all three iterations of the questionnaires, yielding a 75% response rate. Data from students that was incomplete, i.e. had not completed all three iterations</w:t>
      </w:r>
      <w:r w:rsidR="00A55419" w:rsidRPr="00B56453">
        <w:rPr>
          <w:lang w:val="en-GB"/>
        </w:rPr>
        <w:t xml:space="preserve"> (n=6</w:t>
      </w:r>
      <w:r w:rsidR="00DB221E" w:rsidRPr="00B56453">
        <w:rPr>
          <w:lang w:val="en-GB"/>
        </w:rPr>
        <w:t>)</w:t>
      </w:r>
      <w:r w:rsidRPr="00B56453">
        <w:rPr>
          <w:lang w:val="en-GB"/>
        </w:rPr>
        <w:t xml:space="preserve"> or </w:t>
      </w:r>
      <w:r w:rsidR="00DB221E" w:rsidRPr="00B56453">
        <w:rPr>
          <w:lang w:val="en-GB"/>
        </w:rPr>
        <w:t>were found to have not consistently received the same model of feedback across the two sessions</w:t>
      </w:r>
      <w:r w:rsidR="00851D7B" w:rsidRPr="00B56453">
        <w:rPr>
          <w:lang w:val="en-GB"/>
        </w:rPr>
        <w:t xml:space="preserve"> according to student IDs on SRL MA sheets</w:t>
      </w:r>
      <w:r w:rsidR="00DB221E" w:rsidRPr="00B56453">
        <w:rPr>
          <w:lang w:val="en-GB"/>
        </w:rPr>
        <w:t xml:space="preserve"> (n=3)</w:t>
      </w:r>
      <w:r w:rsidRPr="00B56453">
        <w:rPr>
          <w:lang w:val="en-GB"/>
        </w:rPr>
        <w:t>, were not included in this analysis and subsequently discarded. Th</w:t>
      </w:r>
      <w:r w:rsidR="00DB221E" w:rsidRPr="00B56453">
        <w:rPr>
          <w:lang w:val="en-GB"/>
        </w:rPr>
        <w:t>ere was no significant difference</w:t>
      </w:r>
      <w:r w:rsidR="00851D7B" w:rsidRPr="00B56453">
        <w:rPr>
          <w:lang w:val="en-GB"/>
        </w:rPr>
        <w:t xml:space="preserve"> between this cohort’s</w:t>
      </w:r>
      <w:r w:rsidRPr="00B56453">
        <w:rPr>
          <w:lang w:val="en-GB"/>
        </w:rPr>
        <w:t xml:space="preserve"> socio-demographic characteristics and other cohorts at </w:t>
      </w:r>
      <w:r w:rsidR="00851D7B" w:rsidRPr="00B56453">
        <w:rPr>
          <w:lang w:val="en-GB"/>
        </w:rPr>
        <w:t>Sheffield</w:t>
      </w:r>
      <w:r w:rsidRPr="00B56453">
        <w:rPr>
          <w:lang w:val="en-GB"/>
        </w:rPr>
        <w:t xml:space="preserve"> Medical School. </w:t>
      </w:r>
      <w:r w:rsidR="009F1882" w:rsidRPr="00B56453">
        <w:rPr>
          <w:lang w:val="en-GB"/>
        </w:rPr>
        <w:t>Student</w:t>
      </w:r>
      <w:r w:rsidRPr="00B56453">
        <w:rPr>
          <w:lang w:val="en-GB"/>
        </w:rPr>
        <w:t>s’ socio-demogra</w:t>
      </w:r>
      <w:r w:rsidR="00DB221E" w:rsidRPr="00B56453">
        <w:rPr>
          <w:lang w:val="en-GB"/>
        </w:rPr>
        <w:t xml:space="preserve">phic data is reported in Table </w:t>
      </w:r>
      <w:r w:rsidR="004343FD" w:rsidRPr="00B56453">
        <w:rPr>
          <w:lang w:val="en-GB"/>
        </w:rPr>
        <w:t>B3.1</w:t>
      </w:r>
      <w:r w:rsidRPr="00B56453">
        <w:rPr>
          <w:lang w:val="en-GB"/>
        </w:rPr>
        <w:t>.</w:t>
      </w:r>
    </w:p>
    <w:p w14:paraId="11DC0DFA" w14:textId="77777777" w:rsidR="00DB587B" w:rsidRPr="00B56453" w:rsidRDefault="00DB587B" w:rsidP="00DB587B">
      <w:pPr>
        <w:spacing w:after="0" w:line="276" w:lineRule="auto"/>
        <w:rPr>
          <w:rFonts w:cs="Times New Roman"/>
          <w:szCs w:val="24"/>
        </w:rPr>
      </w:pPr>
    </w:p>
    <w:p w14:paraId="7B084F84" w14:textId="73CC1246" w:rsidR="004343FD" w:rsidRPr="00B56453" w:rsidRDefault="004343FD" w:rsidP="00026049">
      <w:pPr>
        <w:pStyle w:val="Tablelist"/>
        <w:rPr>
          <w:rFonts w:cs="Times New Roman"/>
          <w:lang w:val="en-GB"/>
        </w:rPr>
      </w:pPr>
      <w:bookmarkStart w:id="314" w:name="_Toc487454832"/>
      <w:bookmarkStart w:id="315" w:name="_Toc487456792"/>
      <w:bookmarkStart w:id="316" w:name="_Toc500319511"/>
      <w:r w:rsidRPr="00B56453">
        <w:rPr>
          <w:lang w:val="en-GB"/>
        </w:rPr>
        <w:t>Table B3.</w:t>
      </w:r>
      <w:r w:rsidRPr="009C2746">
        <w:rPr>
          <w:lang w:val="en-GB"/>
        </w:rPr>
        <w:fldChar w:fldCharType="begin"/>
      </w:r>
      <w:r w:rsidRPr="00B56453">
        <w:rPr>
          <w:lang w:val="en-GB"/>
        </w:rPr>
        <w:instrText xml:space="preserve"> SEQ Table_B3. \* ARABIC </w:instrText>
      </w:r>
      <w:r w:rsidRPr="00B27F0B">
        <w:rPr>
          <w:lang w:val="en-GB"/>
        </w:rPr>
        <w:fldChar w:fldCharType="separate"/>
      </w:r>
      <w:r w:rsidR="00E44881" w:rsidRPr="00B56453">
        <w:rPr>
          <w:noProof/>
          <w:lang w:val="en-GB"/>
        </w:rPr>
        <w:t>1</w:t>
      </w:r>
      <w:r w:rsidRPr="009C2746">
        <w:rPr>
          <w:lang w:val="en-GB"/>
        </w:rPr>
        <w:fldChar w:fldCharType="end"/>
      </w:r>
      <w:r w:rsidRPr="00B56453">
        <w:rPr>
          <w:lang w:val="en-GB"/>
        </w:rPr>
        <w:t xml:space="preserve"> Socio-demographic characteristics of </w:t>
      </w:r>
      <w:r w:rsidR="009F1882" w:rsidRPr="00B56453">
        <w:rPr>
          <w:lang w:val="en-GB"/>
        </w:rPr>
        <w:t>student</w:t>
      </w:r>
      <w:r w:rsidRPr="00B56453">
        <w:rPr>
          <w:lang w:val="en-GB"/>
        </w:rPr>
        <w:t>s</w:t>
      </w:r>
      <w:r w:rsidR="00885CB3" w:rsidRPr="00B56453">
        <w:rPr>
          <w:lang w:val="en-GB"/>
        </w:rPr>
        <w:t xml:space="preserve"> with statistical </w:t>
      </w:r>
      <w:r w:rsidR="00C61BAF" w:rsidRPr="00B56453">
        <w:rPr>
          <w:lang w:val="en-GB"/>
        </w:rPr>
        <w:t>analysis</w:t>
      </w:r>
      <w:r w:rsidRPr="00B56453">
        <w:rPr>
          <w:lang w:val="en-GB"/>
        </w:rPr>
        <w:t>.</w:t>
      </w:r>
      <w:bookmarkEnd w:id="314"/>
      <w:bookmarkEnd w:id="315"/>
      <w:bookmarkEnd w:id="316"/>
    </w:p>
    <w:tbl>
      <w:tblPr>
        <w:tblW w:w="8364" w:type="dxa"/>
        <w:tblLayout w:type="fixed"/>
        <w:tblCellMar>
          <w:left w:w="70" w:type="dxa"/>
          <w:right w:w="70" w:type="dxa"/>
        </w:tblCellMar>
        <w:tblLook w:val="0000" w:firstRow="0" w:lastRow="0" w:firstColumn="0" w:lastColumn="0" w:noHBand="0" w:noVBand="0"/>
      </w:tblPr>
      <w:tblGrid>
        <w:gridCol w:w="2268"/>
        <w:gridCol w:w="1134"/>
        <w:gridCol w:w="567"/>
        <w:gridCol w:w="1701"/>
        <w:gridCol w:w="1843"/>
        <w:gridCol w:w="851"/>
      </w:tblGrid>
      <w:tr w:rsidR="00DB587B" w:rsidRPr="00B56453" w14:paraId="71CAF1CA" w14:textId="77777777" w:rsidTr="009F5DBA">
        <w:trPr>
          <w:cantSplit/>
        </w:trPr>
        <w:tc>
          <w:tcPr>
            <w:tcW w:w="3969" w:type="dxa"/>
            <w:gridSpan w:val="3"/>
            <w:tcBorders>
              <w:top w:val="single" w:sz="4" w:space="0" w:color="auto"/>
              <w:bottom w:val="single" w:sz="8" w:space="0" w:color="000000"/>
            </w:tcBorders>
            <w:shd w:val="clear" w:color="auto" w:fill="auto"/>
          </w:tcPr>
          <w:p w14:paraId="1D0DD765" w14:textId="649081A0" w:rsidR="00DB587B" w:rsidRPr="00B56453" w:rsidRDefault="00DB587B" w:rsidP="008B3752">
            <w:pPr>
              <w:pStyle w:val="Normal1"/>
              <w:spacing w:line="240" w:lineRule="auto"/>
              <w:rPr>
                <w:sz w:val="22"/>
                <w:lang w:val="en-GB"/>
              </w:rPr>
            </w:pPr>
            <w:r w:rsidRPr="00B56453">
              <w:rPr>
                <w:sz w:val="22"/>
                <w:lang w:val="en-GB"/>
              </w:rPr>
              <w:t>Characteristics</w:t>
            </w:r>
          </w:p>
        </w:tc>
        <w:tc>
          <w:tcPr>
            <w:tcW w:w="1701" w:type="dxa"/>
            <w:tcBorders>
              <w:top w:val="single" w:sz="4" w:space="0" w:color="auto"/>
              <w:bottom w:val="single" w:sz="8" w:space="0" w:color="000000"/>
            </w:tcBorders>
            <w:shd w:val="clear" w:color="auto" w:fill="auto"/>
          </w:tcPr>
          <w:p w14:paraId="370CF3CA" w14:textId="77777777" w:rsidR="00DB587B" w:rsidRPr="00B56453" w:rsidRDefault="00DB587B" w:rsidP="008B3752">
            <w:pPr>
              <w:pStyle w:val="Normal1"/>
              <w:spacing w:line="240" w:lineRule="auto"/>
              <w:rPr>
                <w:sz w:val="22"/>
                <w:lang w:val="en-GB"/>
              </w:rPr>
            </w:pPr>
            <w:r w:rsidRPr="00B56453">
              <w:rPr>
                <w:sz w:val="22"/>
                <w:lang w:val="en-GB"/>
              </w:rPr>
              <w:t>Sample total</w:t>
            </w:r>
          </w:p>
          <w:p w14:paraId="06F16BC5" w14:textId="77777777" w:rsidR="00DB587B" w:rsidRPr="00B56453" w:rsidRDefault="00DB587B" w:rsidP="008B3752">
            <w:pPr>
              <w:pStyle w:val="Normal1"/>
              <w:spacing w:line="240" w:lineRule="auto"/>
              <w:rPr>
                <w:sz w:val="22"/>
                <w:lang w:val="en-GB"/>
              </w:rPr>
            </w:pPr>
            <w:r w:rsidRPr="00B56453">
              <w:rPr>
                <w:sz w:val="22"/>
                <w:lang w:val="en-GB"/>
              </w:rPr>
              <w:t>(N = 171)</w:t>
            </w:r>
          </w:p>
        </w:tc>
        <w:tc>
          <w:tcPr>
            <w:tcW w:w="1843" w:type="dxa"/>
            <w:tcBorders>
              <w:top w:val="single" w:sz="4" w:space="0" w:color="auto"/>
              <w:bottom w:val="single" w:sz="8" w:space="0" w:color="000000"/>
            </w:tcBorders>
            <w:shd w:val="clear" w:color="auto" w:fill="auto"/>
          </w:tcPr>
          <w:p w14:paraId="76C020CE" w14:textId="77777777" w:rsidR="00DB587B" w:rsidRPr="00B56453" w:rsidRDefault="00DB587B" w:rsidP="008B3752">
            <w:pPr>
              <w:pStyle w:val="Normal1"/>
              <w:spacing w:line="240" w:lineRule="auto"/>
              <w:rPr>
                <w:sz w:val="22"/>
                <w:lang w:val="en-GB"/>
              </w:rPr>
            </w:pPr>
            <w:r w:rsidRPr="00B56453">
              <w:rPr>
                <w:sz w:val="22"/>
                <w:lang w:val="en-GB"/>
              </w:rPr>
              <w:t>Statistics</w:t>
            </w:r>
          </w:p>
        </w:tc>
        <w:tc>
          <w:tcPr>
            <w:tcW w:w="851" w:type="dxa"/>
            <w:tcBorders>
              <w:top w:val="single" w:sz="4" w:space="0" w:color="auto"/>
              <w:bottom w:val="single" w:sz="8" w:space="0" w:color="000000"/>
            </w:tcBorders>
            <w:shd w:val="clear" w:color="auto" w:fill="auto"/>
          </w:tcPr>
          <w:p w14:paraId="43B78089" w14:textId="77777777" w:rsidR="00DB587B" w:rsidRPr="00B56453" w:rsidRDefault="00DB587B" w:rsidP="008B3752">
            <w:pPr>
              <w:pStyle w:val="Normal1"/>
              <w:spacing w:line="240" w:lineRule="auto"/>
              <w:rPr>
                <w:sz w:val="22"/>
                <w:lang w:val="en-GB"/>
              </w:rPr>
            </w:pPr>
            <w:r w:rsidRPr="00B56453">
              <w:rPr>
                <w:sz w:val="22"/>
                <w:lang w:val="en-GB"/>
              </w:rPr>
              <w:t>p</w:t>
            </w:r>
          </w:p>
        </w:tc>
      </w:tr>
      <w:tr w:rsidR="00DB587B" w:rsidRPr="00B56453" w14:paraId="0CC1A096" w14:textId="77777777" w:rsidTr="009F5DBA">
        <w:trPr>
          <w:cantSplit/>
        </w:trPr>
        <w:tc>
          <w:tcPr>
            <w:tcW w:w="2268" w:type="dxa"/>
            <w:shd w:val="clear" w:color="auto" w:fill="auto"/>
          </w:tcPr>
          <w:p w14:paraId="11AAD36A" w14:textId="77777777" w:rsidR="00DB587B" w:rsidRPr="00B56453" w:rsidRDefault="00DB587B" w:rsidP="008B3752">
            <w:pPr>
              <w:pStyle w:val="Normal1"/>
              <w:spacing w:line="240" w:lineRule="auto"/>
              <w:rPr>
                <w:sz w:val="22"/>
                <w:lang w:val="en-GB"/>
              </w:rPr>
            </w:pPr>
            <w:r w:rsidRPr="00B56453">
              <w:rPr>
                <w:sz w:val="22"/>
                <w:lang w:val="en-GB"/>
              </w:rPr>
              <w:t>Gender (%)</w:t>
            </w:r>
          </w:p>
        </w:tc>
        <w:tc>
          <w:tcPr>
            <w:tcW w:w="1134" w:type="dxa"/>
            <w:shd w:val="clear" w:color="auto" w:fill="auto"/>
          </w:tcPr>
          <w:p w14:paraId="617D34E4" w14:textId="77777777" w:rsidR="00DB587B" w:rsidRPr="00B56453" w:rsidRDefault="00DB587B" w:rsidP="008B3752">
            <w:pPr>
              <w:pStyle w:val="Normal1"/>
              <w:spacing w:line="240" w:lineRule="auto"/>
              <w:rPr>
                <w:sz w:val="22"/>
                <w:lang w:val="en-GB"/>
              </w:rPr>
            </w:pPr>
          </w:p>
        </w:tc>
        <w:tc>
          <w:tcPr>
            <w:tcW w:w="2268" w:type="dxa"/>
            <w:gridSpan w:val="2"/>
            <w:shd w:val="clear" w:color="auto" w:fill="auto"/>
          </w:tcPr>
          <w:p w14:paraId="1B62EF30" w14:textId="77777777" w:rsidR="00DB587B" w:rsidRPr="00B56453" w:rsidRDefault="00DB587B" w:rsidP="008B3752">
            <w:pPr>
              <w:pStyle w:val="Normal1"/>
              <w:spacing w:line="240" w:lineRule="auto"/>
              <w:rPr>
                <w:sz w:val="22"/>
                <w:lang w:val="en-GB"/>
              </w:rPr>
            </w:pPr>
            <w:r w:rsidRPr="00B56453">
              <w:rPr>
                <w:sz w:val="22"/>
                <w:lang w:val="en-GB"/>
              </w:rPr>
              <w:t xml:space="preserve"> </w:t>
            </w:r>
          </w:p>
        </w:tc>
        <w:tc>
          <w:tcPr>
            <w:tcW w:w="1843" w:type="dxa"/>
            <w:shd w:val="clear" w:color="auto" w:fill="auto"/>
          </w:tcPr>
          <w:p w14:paraId="3D7ECE8B" w14:textId="77777777" w:rsidR="00DB587B" w:rsidRPr="00B56453" w:rsidRDefault="00DB587B" w:rsidP="008B3752">
            <w:pPr>
              <w:pStyle w:val="Normal1"/>
              <w:spacing w:line="240" w:lineRule="auto"/>
              <w:rPr>
                <w:sz w:val="22"/>
                <w:lang w:val="en-GB"/>
              </w:rPr>
            </w:pPr>
            <w:r w:rsidRPr="00B56453">
              <w:rPr>
                <w:rFonts w:eastAsia="AdvP4DF60E"/>
                <w:sz w:val="22"/>
                <w:lang w:val="en-GB"/>
              </w:rPr>
              <w:t>χ</w:t>
            </w:r>
            <w:r w:rsidRPr="00B56453">
              <w:rPr>
                <w:sz w:val="22"/>
                <w:vertAlign w:val="superscript"/>
                <w:lang w:val="en-GB"/>
              </w:rPr>
              <w:t>2</w:t>
            </w:r>
            <w:r w:rsidRPr="00B56453">
              <w:rPr>
                <w:sz w:val="22"/>
                <w:vertAlign w:val="subscript"/>
                <w:lang w:val="en-GB"/>
              </w:rPr>
              <w:t>(11)</w:t>
            </w:r>
            <w:r w:rsidRPr="00B56453">
              <w:rPr>
                <w:sz w:val="22"/>
                <w:lang w:val="en-GB"/>
              </w:rPr>
              <w:t xml:space="preserve"> = 5.274</w:t>
            </w:r>
            <w:r w:rsidRPr="00B56453">
              <w:rPr>
                <w:sz w:val="22"/>
                <w:vertAlign w:val="superscript"/>
                <w:lang w:val="en-GB"/>
              </w:rPr>
              <w:t>b</w:t>
            </w:r>
          </w:p>
        </w:tc>
        <w:tc>
          <w:tcPr>
            <w:tcW w:w="851" w:type="dxa"/>
            <w:shd w:val="clear" w:color="auto" w:fill="auto"/>
          </w:tcPr>
          <w:p w14:paraId="44C676A0" w14:textId="77777777" w:rsidR="00DB587B" w:rsidRPr="00B56453" w:rsidRDefault="00DB587B" w:rsidP="008B3752">
            <w:pPr>
              <w:pStyle w:val="Normal1"/>
              <w:spacing w:line="240" w:lineRule="auto"/>
              <w:rPr>
                <w:sz w:val="22"/>
                <w:lang w:val="en-GB"/>
              </w:rPr>
            </w:pPr>
            <w:r w:rsidRPr="00B56453">
              <w:rPr>
                <w:sz w:val="22"/>
                <w:lang w:val="en-GB"/>
              </w:rPr>
              <w:t>0.97</w:t>
            </w:r>
          </w:p>
        </w:tc>
      </w:tr>
      <w:tr w:rsidR="00DB587B" w:rsidRPr="00B56453" w14:paraId="0D2745BD" w14:textId="77777777" w:rsidTr="009F5DBA">
        <w:trPr>
          <w:cantSplit/>
        </w:trPr>
        <w:tc>
          <w:tcPr>
            <w:tcW w:w="2268" w:type="dxa"/>
            <w:shd w:val="clear" w:color="auto" w:fill="auto"/>
          </w:tcPr>
          <w:p w14:paraId="7B3A4067" w14:textId="77777777" w:rsidR="00DB587B" w:rsidRPr="00B56453" w:rsidRDefault="00DB587B" w:rsidP="008B3752">
            <w:pPr>
              <w:pStyle w:val="Normal1"/>
              <w:spacing w:line="240" w:lineRule="auto"/>
              <w:rPr>
                <w:sz w:val="22"/>
                <w:lang w:val="en-GB"/>
              </w:rPr>
            </w:pPr>
          </w:p>
        </w:tc>
        <w:tc>
          <w:tcPr>
            <w:tcW w:w="1701" w:type="dxa"/>
            <w:gridSpan w:val="2"/>
            <w:shd w:val="clear" w:color="auto" w:fill="auto"/>
          </w:tcPr>
          <w:p w14:paraId="04C5AC2D" w14:textId="77777777" w:rsidR="00DB587B" w:rsidRPr="00B56453" w:rsidRDefault="00DB587B" w:rsidP="008B3752">
            <w:pPr>
              <w:pStyle w:val="Normal1"/>
              <w:spacing w:line="240" w:lineRule="auto"/>
              <w:rPr>
                <w:sz w:val="22"/>
                <w:lang w:val="en-GB"/>
              </w:rPr>
            </w:pPr>
            <w:r w:rsidRPr="00B56453">
              <w:rPr>
                <w:sz w:val="22"/>
                <w:lang w:val="en-GB"/>
              </w:rPr>
              <w:t>Female</w:t>
            </w:r>
          </w:p>
        </w:tc>
        <w:tc>
          <w:tcPr>
            <w:tcW w:w="1701" w:type="dxa"/>
            <w:shd w:val="clear" w:color="auto" w:fill="auto"/>
          </w:tcPr>
          <w:p w14:paraId="2E6AFE75" w14:textId="77777777" w:rsidR="00DB587B" w:rsidRPr="00B56453" w:rsidRDefault="00DB587B" w:rsidP="008B3752">
            <w:pPr>
              <w:pStyle w:val="Normal1"/>
              <w:spacing w:line="240" w:lineRule="auto"/>
              <w:rPr>
                <w:sz w:val="22"/>
                <w:lang w:val="en-GB"/>
              </w:rPr>
            </w:pPr>
            <w:r w:rsidRPr="00B56453">
              <w:rPr>
                <w:sz w:val="22"/>
                <w:lang w:val="en-GB"/>
              </w:rPr>
              <w:t>102 (59.6)</w:t>
            </w:r>
          </w:p>
        </w:tc>
        <w:tc>
          <w:tcPr>
            <w:tcW w:w="1843" w:type="dxa"/>
            <w:shd w:val="clear" w:color="auto" w:fill="auto"/>
          </w:tcPr>
          <w:p w14:paraId="59B0AC9D" w14:textId="77777777" w:rsidR="00DB587B" w:rsidRPr="00B56453" w:rsidRDefault="00DB587B" w:rsidP="008B3752">
            <w:pPr>
              <w:pStyle w:val="Normal1"/>
              <w:spacing w:line="240" w:lineRule="auto"/>
              <w:rPr>
                <w:sz w:val="22"/>
                <w:lang w:val="en-GB"/>
              </w:rPr>
            </w:pPr>
          </w:p>
        </w:tc>
        <w:tc>
          <w:tcPr>
            <w:tcW w:w="851" w:type="dxa"/>
            <w:shd w:val="clear" w:color="auto" w:fill="auto"/>
          </w:tcPr>
          <w:p w14:paraId="69DAE244" w14:textId="77777777" w:rsidR="00DB587B" w:rsidRPr="00B56453" w:rsidRDefault="00DB587B" w:rsidP="008B3752">
            <w:pPr>
              <w:pStyle w:val="Normal1"/>
              <w:spacing w:line="240" w:lineRule="auto"/>
              <w:rPr>
                <w:sz w:val="22"/>
                <w:lang w:val="en-GB"/>
              </w:rPr>
            </w:pPr>
          </w:p>
        </w:tc>
      </w:tr>
      <w:tr w:rsidR="00DB587B" w:rsidRPr="00B56453" w14:paraId="7F760E51" w14:textId="77777777" w:rsidTr="009F5DBA">
        <w:trPr>
          <w:cantSplit/>
        </w:trPr>
        <w:tc>
          <w:tcPr>
            <w:tcW w:w="2268" w:type="dxa"/>
            <w:shd w:val="clear" w:color="auto" w:fill="auto"/>
          </w:tcPr>
          <w:p w14:paraId="36AB20E1" w14:textId="77777777" w:rsidR="00DB587B" w:rsidRPr="00B56453" w:rsidRDefault="00DB587B" w:rsidP="008B3752">
            <w:pPr>
              <w:pStyle w:val="Normal1"/>
              <w:spacing w:line="240" w:lineRule="auto"/>
              <w:rPr>
                <w:sz w:val="22"/>
                <w:lang w:val="en-GB"/>
              </w:rPr>
            </w:pPr>
          </w:p>
        </w:tc>
        <w:tc>
          <w:tcPr>
            <w:tcW w:w="1701" w:type="dxa"/>
            <w:gridSpan w:val="2"/>
            <w:shd w:val="clear" w:color="auto" w:fill="auto"/>
          </w:tcPr>
          <w:p w14:paraId="5E191A93" w14:textId="77777777" w:rsidR="00DB587B" w:rsidRPr="00B56453" w:rsidRDefault="00DB587B" w:rsidP="008B3752">
            <w:pPr>
              <w:pStyle w:val="Normal1"/>
              <w:spacing w:line="240" w:lineRule="auto"/>
              <w:rPr>
                <w:sz w:val="22"/>
                <w:lang w:val="en-GB"/>
              </w:rPr>
            </w:pPr>
            <w:r w:rsidRPr="00B56453">
              <w:rPr>
                <w:sz w:val="22"/>
                <w:lang w:val="en-GB"/>
              </w:rPr>
              <w:t>Male</w:t>
            </w:r>
          </w:p>
        </w:tc>
        <w:tc>
          <w:tcPr>
            <w:tcW w:w="1701" w:type="dxa"/>
            <w:shd w:val="clear" w:color="auto" w:fill="auto"/>
          </w:tcPr>
          <w:p w14:paraId="041D5425" w14:textId="77777777" w:rsidR="00DB587B" w:rsidRPr="00B56453" w:rsidRDefault="00DB587B" w:rsidP="008B3752">
            <w:pPr>
              <w:pStyle w:val="Normal1"/>
              <w:spacing w:line="240" w:lineRule="auto"/>
              <w:rPr>
                <w:sz w:val="22"/>
                <w:lang w:val="en-GB"/>
              </w:rPr>
            </w:pPr>
            <w:r w:rsidRPr="00B56453">
              <w:rPr>
                <w:sz w:val="22"/>
                <w:lang w:val="en-GB"/>
              </w:rPr>
              <w:t>69 (40.4)</w:t>
            </w:r>
          </w:p>
        </w:tc>
        <w:tc>
          <w:tcPr>
            <w:tcW w:w="1843" w:type="dxa"/>
            <w:shd w:val="clear" w:color="auto" w:fill="auto"/>
          </w:tcPr>
          <w:p w14:paraId="7431C1A4" w14:textId="77777777" w:rsidR="00DB587B" w:rsidRPr="00B56453" w:rsidRDefault="00DB587B" w:rsidP="008B3752">
            <w:pPr>
              <w:pStyle w:val="Normal1"/>
              <w:spacing w:line="240" w:lineRule="auto"/>
              <w:rPr>
                <w:sz w:val="22"/>
                <w:lang w:val="en-GB"/>
              </w:rPr>
            </w:pPr>
          </w:p>
        </w:tc>
        <w:tc>
          <w:tcPr>
            <w:tcW w:w="851" w:type="dxa"/>
            <w:shd w:val="clear" w:color="auto" w:fill="auto"/>
          </w:tcPr>
          <w:p w14:paraId="33DEA53E" w14:textId="77777777" w:rsidR="00DB587B" w:rsidRPr="00B56453" w:rsidRDefault="00DB587B" w:rsidP="008B3752">
            <w:pPr>
              <w:pStyle w:val="Normal1"/>
              <w:spacing w:line="240" w:lineRule="auto"/>
              <w:rPr>
                <w:sz w:val="22"/>
                <w:lang w:val="en-GB"/>
              </w:rPr>
            </w:pPr>
          </w:p>
        </w:tc>
      </w:tr>
      <w:tr w:rsidR="00DB587B" w:rsidRPr="00B56453" w14:paraId="16B57004" w14:textId="77777777" w:rsidTr="009F5DBA">
        <w:trPr>
          <w:cantSplit/>
        </w:trPr>
        <w:tc>
          <w:tcPr>
            <w:tcW w:w="2268" w:type="dxa"/>
            <w:shd w:val="clear" w:color="auto" w:fill="auto"/>
          </w:tcPr>
          <w:p w14:paraId="6F102E9C" w14:textId="77777777" w:rsidR="00DB587B" w:rsidRPr="00B56453" w:rsidRDefault="00DB587B" w:rsidP="008B3752">
            <w:pPr>
              <w:pStyle w:val="Normal1"/>
              <w:spacing w:line="240" w:lineRule="auto"/>
              <w:rPr>
                <w:sz w:val="22"/>
                <w:lang w:val="en-GB"/>
              </w:rPr>
            </w:pPr>
            <w:r w:rsidRPr="00B56453">
              <w:rPr>
                <w:sz w:val="22"/>
                <w:lang w:val="en-GB"/>
              </w:rPr>
              <w:t>Age (years)</w:t>
            </w:r>
          </w:p>
        </w:tc>
        <w:tc>
          <w:tcPr>
            <w:tcW w:w="1701" w:type="dxa"/>
            <w:gridSpan w:val="2"/>
            <w:shd w:val="clear" w:color="auto" w:fill="auto"/>
          </w:tcPr>
          <w:p w14:paraId="5AD91A2B" w14:textId="77777777" w:rsidR="00DB587B" w:rsidRPr="00B56453" w:rsidRDefault="00DB587B" w:rsidP="008B3752">
            <w:pPr>
              <w:pStyle w:val="Normal1"/>
              <w:spacing w:line="240" w:lineRule="auto"/>
              <w:rPr>
                <w:sz w:val="22"/>
                <w:lang w:val="en-GB"/>
              </w:rPr>
            </w:pPr>
          </w:p>
        </w:tc>
        <w:tc>
          <w:tcPr>
            <w:tcW w:w="1701" w:type="dxa"/>
            <w:shd w:val="clear" w:color="auto" w:fill="auto"/>
          </w:tcPr>
          <w:p w14:paraId="55CDDB6E" w14:textId="77777777" w:rsidR="00DB587B" w:rsidRPr="00B56453" w:rsidRDefault="00DB587B" w:rsidP="008B3752">
            <w:pPr>
              <w:pStyle w:val="Normal1"/>
              <w:spacing w:line="240" w:lineRule="auto"/>
              <w:rPr>
                <w:sz w:val="22"/>
                <w:lang w:val="en-GB"/>
              </w:rPr>
            </w:pPr>
            <w:r w:rsidRPr="00B56453">
              <w:rPr>
                <w:sz w:val="22"/>
                <w:lang w:val="en-GB"/>
              </w:rPr>
              <w:t>20.3 ± 1.6</w:t>
            </w:r>
            <w:r w:rsidRPr="00B56453">
              <w:rPr>
                <w:sz w:val="22"/>
                <w:vertAlign w:val="superscript"/>
                <w:lang w:val="en-GB"/>
              </w:rPr>
              <w:t>a</w:t>
            </w:r>
          </w:p>
        </w:tc>
        <w:tc>
          <w:tcPr>
            <w:tcW w:w="1843" w:type="dxa"/>
            <w:shd w:val="clear" w:color="auto" w:fill="auto"/>
          </w:tcPr>
          <w:p w14:paraId="5567F5CF" w14:textId="77777777" w:rsidR="00DB587B" w:rsidRPr="00B56453" w:rsidRDefault="00DB587B" w:rsidP="008B3752">
            <w:pPr>
              <w:pStyle w:val="Normal1"/>
              <w:spacing w:line="240" w:lineRule="auto"/>
              <w:rPr>
                <w:sz w:val="22"/>
                <w:highlight w:val="yellow"/>
                <w:lang w:val="en-GB"/>
              </w:rPr>
            </w:pPr>
            <w:r w:rsidRPr="00B56453">
              <w:rPr>
                <w:rFonts w:eastAsia="AdvP4DF60E"/>
                <w:sz w:val="22"/>
                <w:lang w:val="en-GB"/>
              </w:rPr>
              <w:t>χ</w:t>
            </w:r>
            <w:r w:rsidRPr="00B56453">
              <w:rPr>
                <w:sz w:val="22"/>
                <w:vertAlign w:val="superscript"/>
                <w:lang w:val="en-GB"/>
              </w:rPr>
              <w:t>2</w:t>
            </w:r>
            <w:r w:rsidRPr="00B56453">
              <w:rPr>
                <w:sz w:val="22"/>
                <w:vertAlign w:val="subscript"/>
                <w:lang w:val="en-GB"/>
              </w:rPr>
              <w:t>(1)</w:t>
            </w:r>
            <w:r w:rsidRPr="00B56453">
              <w:rPr>
                <w:sz w:val="22"/>
                <w:lang w:val="en-GB"/>
              </w:rPr>
              <w:t xml:space="preserve"> = 3.576</w:t>
            </w:r>
            <w:r w:rsidRPr="00B56453">
              <w:rPr>
                <w:sz w:val="22"/>
                <w:vertAlign w:val="superscript"/>
                <w:lang w:val="en-GB"/>
              </w:rPr>
              <w:t>b</w:t>
            </w:r>
          </w:p>
        </w:tc>
        <w:tc>
          <w:tcPr>
            <w:tcW w:w="851" w:type="dxa"/>
            <w:shd w:val="clear" w:color="auto" w:fill="auto"/>
          </w:tcPr>
          <w:p w14:paraId="104DE0CA" w14:textId="77777777" w:rsidR="00DB587B" w:rsidRPr="00B56453" w:rsidRDefault="00DB587B" w:rsidP="008B3752">
            <w:pPr>
              <w:pStyle w:val="Normal1"/>
              <w:spacing w:line="240" w:lineRule="auto"/>
              <w:rPr>
                <w:sz w:val="22"/>
                <w:highlight w:val="yellow"/>
                <w:lang w:val="en-GB"/>
              </w:rPr>
            </w:pPr>
            <w:r w:rsidRPr="00B56453">
              <w:rPr>
                <w:sz w:val="22"/>
                <w:lang w:val="en-GB"/>
              </w:rPr>
              <w:t>0.06</w:t>
            </w:r>
          </w:p>
        </w:tc>
      </w:tr>
      <w:tr w:rsidR="00DB587B" w:rsidRPr="00B56453" w14:paraId="46136575" w14:textId="77777777" w:rsidTr="009F5DBA">
        <w:trPr>
          <w:cantSplit/>
        </w:trPr>
        <w:tc>
          <w:tcPr>
            <w:tcW w:w="2268" w:type="dxa"/>
            <w:shd w:val="clear" w:color="auto" w:fill="FFFFFF" w:themeFill="background1"/>
          </w:tcPr>
          <w:p w14:paraId="4996F9A2" w14:textId="77777777" w:rsidR="00DB587B" w:rsidRPr="00B56453" w:rsidRDefault="00DB587B" w:rsidP="008B3752">
            <w:pPr>
              <w:pStyle w:val="Normal1"/>
              <w:spacing w:line="240" w:lineRule="auto"/>
              <w:rPr>
                <w:sz w:val="22"/>
                <w:lang w:val="en-GB"/>
              </w:rPr>
            </w:pPr>
            <w:r w:rsidRPr="00B56453">
              <w:rPr>
                <w:sz w:val="22"/>
                <w:lang w:val="en-GB"/>
              </w:rPr>
              <w:t>Ethnicity (grouped)</w:t>
            </w:r>
          </w:p>
        </w:tc>
        <w:tc>
          <w:tcPr>
            <w:tcW w:w="1701" w:type="dxa"/>
            <w:gridSpan w:val="2"/>
            <w:shd w:val="clear" w:color="auto" w:fill="FFFFFF" w:themeFill="background1"/>
          </w:tcPr>
          <w:p w14:paraId="3FF38DD3" w14:textId="77777777" w:rsidR="00DB587B" w:rsidRPr="00B56453" w:rsidRDefault="00DB587B" w:rsidP="008B3752">
            <w:pPr>
              <w:pStyle w:val="Normal1"/>
              <w:spacing w:line="240" w:lineRule="auto"/>
              <w:rPr>
                <w:sz w:val="22"/>
                <w:lang w:val="en-GB"/>
              </w:rPr>
            </w:pPr>
          </w:p>
        </w:tc>
        <w:tc>
          <w:tcPr>
            <w:tcW w:w="1701" w:type="dxa"/>
            <w:shd w:val="clear" w:color="auto" w:fill="FFFFFF" w:themeFill="background1"/>
          </w:tcPr>
          <w:p w14:paraId="7D94A68C" w14:textId="77777777" w:rsidR="00DB587B" w:rsidRPr="00B56453" w:rsidRDefault="00DB587B" w:rsidP="008B3752">
            <w:pPr>
              <w:pStyle w:val="Normal1"/>
              <w:spacing w:line="240" w:lineRule="auto"/>
              <w:rPr>
                <w:sz w:val="22"/>
                <w:lang w:val="en-GB"/>
              </w:rPr>
            </w:pPr>
          </w:p>
        </w:tc>
        <w:tc>
          <w:tcPr>
            <w:tcW w:w="1843" w:type="dxa"/>
            <w:shd w:val="clear" w:color="auto" w:fill="FFFFFF" w:themeFill="background1"/>
          </w:tcPr>
          <w:p w14:paraId="4AC65354" w14:textId="77777777" w:rsidR="00DB587B" w:rsidRPr="00B56453" w:rsidRDefault="00DB587B" w:rsidP="008B3752">
            <w:pPr>
              <w:pStyle w:val="Normal1"/>
              <w:spacing w:line="240" w:lineRule="auto"/>
              <w:rPr>
                <w:sz w:val="22"/>
                <w:lang w:val="en-GB"/>
              </w:rPr>
            </w:pPr>
            <w:r w:rsidRPr="00B56453">
              <w:rPr>
                <w:sz w:val="22"/>
                <w:lang w:val="en-GB"/>
              </w:rPr>
              <w:t>Fishers = 1.202</w:t>
            </w:r>
          </w:p>
        </w:tc>
        <w:tc>
          <w:tcPr>
            <w:tcW w:w="851" w:type="dxa"/>
            <w:shd w:val="clear" w:color="auto" w:fill="FFFFFF" w:themeFill="background1"/>
          </w:tcPr>
          <w:p w14:paraId="35778AC5" w14:textId="77777777" w:rsidR="00DB587B" w:rsidRPr="00B56453" w:rsidRDefault="00DB587B" w:rsidP="008B3752">
            <w:pPr>
              <w:pStyle w:val="Normal1"/>
              <w:spacing w:line="240" w:lineRule="auto"/>
              <w:rPr>
                <w:sz w:val="22"/>
                <w:lang w:val="en-GB"/>
              </w:rPr>
            </w:pPr>
            <w:r w:rsidRPr="00B56453">
              <w:rPr>
                <w:sz w:val="22"/>
                <w:lang w:val="en-GB"/>
              </w:rPr>
              <w:t>0.93</w:t>
            </w:r>
          </w:p>
        </w:tc>
      </w:tr>
      <w:tr w:rsidR="00DB587B" w:rsidRPr="00B56453" w14:paraId="22AB31CB" w14:textId="77777777" w:rsidTr="009F5DBA">
        <w:trPr>
          <w:cantSplit/>
        </w:trPr>
        <w:tc>
          <w:tcPr>
            <w:tcW w:w="2268" w:type="dxa"/>
            <w:shd w:val="clear" w:color="auto" w:fill="FFFFFF" w:themeFill="background1"/>
          </w:tcPr>
          <w:p w14:paraId="712814B0" w14:textId="77777777" w:rsidR="00DB587B" w:rsidRPr="00B56453" w:rsidRDefault="00DB587B" w:rsidP="008B3752">
            <w:pPr>
              <w:pStyle w:val="Normal1"/>
              <w:spacing w:line="240" w:lineRule="auto"/>
              <w:rPr>
                <w:sz w:val="22"/>
                <w:lang w:val="en-GB"/>
              </w:rPr>
            </w:pPr>
          </w:p>
        </w:tc>
        <w:tc>
          <w:tcPr>
            <w:tcW w:w="1701" w:type="dxa"/>
            <w:gridSpan w:val="2"/>
            <w:shd w:val="clear" w:color="auto" w:fill="FFFFFF" w:themeFill="background1"/>
          </w:tcPr>
          <w:p w14:paraId="29AEA650" w14:textId="77777777" w:rsidR="00DB587B" w:rsidRPr="00B56453" w:rsidRDefault="00DB587B" w:rsidP="008B3752">
            <w:pPr>
              <w:pStyle w:val="Normal1"/>
              <w:spacing w:line="240" w:lineRule="auto"/>
              <w:rPr>
                <w:sz w:val="22"/>
                <w:lang w:val="en-GB"/>
              </w:rPr>
            </w:pPr>
            <w:r w:rsidRPr="00B56453">
              <w:rPr>
                <w:sz w:val="22"/>
                <w:lang w:val="en-GB"/>
              </w:rPr>
              <w:t>White</w:t>
            </w:r>
          </w:p>
        </w:tc>
        <w:tc>
          <w:tcPr>
            <w:tcW w:w="1701" w:type="dxa"/>
            <w:shd w:val="clear" w:color="auto" w:fill="FFFFFF" w:themeFill="background1"/>
          </w:tcPr>
          <w:p w14:paraId="2C2F2700" w14:textId="77777777" w:rsidR="00DB587B" w:rsidRPr="00B56453" w:rsidRDefault="00DB587B" w:rsidP="008B3752">
            <w:pPr>
              <w:pStyle w:val="Normal1"/>
              <w:spacing w:line="240" w:lineRule="auto"/>
              <w:rPr>
                <w:sz w:val="22"/>
                <w:lang w:val="en-GB"/>
              </w:rPr>
            </w:pPr>
            <w:r w:rsidRPr="00B56453">
              <w:rPr>
                <w:sz w:val="22"/>
                <w:lang w:val="en-GB"/>
              </w:rPr>
              <w:t>127 (74.3)</w:t>
            </w:r>
          </w:p>
        </w:tc>
        <w:tc>
          <w:tcPr>
            <w:tcW w:w="1843" w:type="dxa"/>
            <w:shd w:val="clear" w:color="auto" w:fill="FFFFFF" w:themeFill="background1"/>
          </w:tcPr>
          <w:p w14:paraId="27F7FFF8" w14:textId="77777777" w:rsidR="00DB587B" w:rsidRPr="00B56453" w:rsidRDefault="00DB587B" w:rsidP="008B3752">
            <w:pPr>
              <w:pStyle w:val="Normal1"/>
              <w:spacing w:line="240" w:lineRule="auto"/>
              <w:rPr>
                <w:sz w:val="22"/>
                <w:lang w:val="en-GB"/>
              </w:rPr>
            </w:pPr>
          </w:p>
        </w:tc>
        <w:tc>
          <w:tcPr>
            <w:tcW w:w="851" w:type="dxa"/>
            <w:shd w:val="clear" w:color="auto" w:fill="FFFFFF" w:themeFill="background1"/>
          </w:tcPr>
          <w:p w14:paraId="7023A62E" w14:textId="77777777" w:rsidR="00DB587B" w:rsidRPr="00B56453" w:rsidRDefault="00DB587B" w:rsidP="008B3752">
            <w:pPr>
              <w:pStyle w:val="Normal1"/>
              <w:spacing w:line="240" w:lineRule="auto"/>
              <w:rPr>
                <w:sz w:val="22"/>
                <w:lang w:val="en-GB"/>
              </w:rPr>
            </w:pPr>
          </w:p>
        </w:tc>
      </w:tr>
      <w:tr w:rsidR="00DB587B" w:rsidRPr="00B56453" w14:paraId="5D43EA48" w14:textId="77777777" w:rsidTr="009F5DBA">
        <w:trPr>
          <w:cantSplit/>
        </w:trPr>
        <w:tc>
          <w:tcPr>
            <w:tcW w:w="2268" w:type="dxa"/>
            <w:shd w:val="clear" w:color="auto" w:fill="FFFFFF" w:themeFill="background1"/>
          </w:tcPr>
          <w:p w14:paraId="1CA1EE9F" w14:textId="77777777" w:rsidR="00DB587B" w:rsidRPr="00B56453" w:rsidRDefault="00DB587B" w:rsidP="008B3752">
            <w:pPr>
              <w:pStyle w:val="Normal1"/>
              <w:spacing w:line="240" w:lineRule="auto"/>
              <w:rPr>
                <w:sz w:val="22"/>
                <w:lang w:val="en-GB"/>
              </w:rPr>
            </w:pPr>
          </w:p>
        </w:tc>
        <w:tc>
          <w:tcPr>
            <w:tcW w:w="1701" w:type="dxa"/>
            <w:gridSpan w:val="2"/>
            <w:shd w:val="clear" w:color="auto" w:fill="FFFFFF" w:themeFill="background1"/>
          </w:tcPr>
          <w:p w14:paraId="0B4C143E" w14:textId="77777777" w:rsidR="00DB587B" w:rsidRPr="00B56453" w:rsidRDefault="00DB587B" w:rsidP="008B3752">
            <w:pPr>
              <w:pStyle w:val="Normal1"/>
              <w:spacing w:line="240" w:lineRule="auto"/>
              <w:rPr>
                <w:sz w:val="22"/>
                <w:lang w:val="en-GB"/>
              </w:rPr>
            </w:pPr>
            <w:r w:rsidRPr="00B56453">
              <w:rPr>
                <w:sz w:val="22"/>
                <w:lang w:val="en-GB"/>
              </w:rPr>
              <w:t>Black</w:t>
            </w:r>
          </w:p>
        </w:tc>
        <w:tc>
          <w:tcPr>
            <w:tcW w:w="1701" w:type="dxa"/>
            <w:shd w:val="clear" w:color="auto" w:fill="FFFFFF" w:themeFill="background1"/>
          </w:tcPr>
          <w:p w14:paraId="00B15722" w14:textId="77777777" w:rsidR="00DB587B" w:rsidRPr="00B56453" w:rsidRDefault="00DB587B" w:rsidP="008B3752">
            <w:pPr>
              <w:pStyle w:val="Normal1"/>
              <w:spacing w:line="240" w:lineRule="auto"/>
              <w:rPr>
                <w:sz w:val="22"/>
                <w:lang w:val="en-GB"/>
              </w:rPr>
            </w:pPr>
            <w:r w:rsidRPr="00B56453">
              <w:rPr>
                <w:sz w:val="22"/>
                <w:lang w:val="en-GB"/>
              </w:rPr>
              <w:t>5 (2.9)</w:t>
            </w:r>
          </w:p>
        </w:tc>
        <w:tc>
          <w:tcPr>
            <w:tcW w:w="1843" w:type="dxa"/>
            <w:shd w:val="clear" w:color="auto" w:fill="FFFFFF" w:themeFill="background1"/>
          </w:tcPr>
          <w:p w14:paraId="2E686734" w14:textId="77777777" w:rsidR="00DB587B" w:rsidRPr="00B56453" w:rsidRDefault="00DB587B" w:rsidP="008B3752">
            <w:pPr>
              <w:pStyle w:val="Normal1"/>
              <w:spacing w:line="240" w:lineRule="auto"/>
              <w:rPr>
                <w:sz w:val="22"/>
                <w:lang w:val="en-GB"/>
              </w:rPr>
            </w:pPr>
          </w:p>
        </w:tc>
        <w:tc>
          <w:tcPr>
            <w:tcW w:w="851" w:type="dxa"/>
            <w:shd w:val="clear" w:color="auto" w:fill="FFFFFF" w:themeFill="background1"/>
          </w:tcPr>
          <w:p w14:paraId="764C040A" w14:textId="77777777" w:rsidR="00DB587B" w:rsidRPr="00B56453" w:rsidRDefault="00DB587B" w:rsidP="008B3752">
            <w:pPr>
              <w:pStyle w:val="Normal1"/>
              <w:spacing w:line="240" w:lineRule="auto"/>
              <w:rPr>
                <w:sz w:val="22"/>
                <w:lang w:val="en-GB"/>
              </w:rPr>
            </w:pPr>
          </w:p>
        </w:tc>
      </w:tr>
      <w:tr w:rsidR="00DB587B" w:rsidRPr="00B56453" w14:paraId="0B1F25E8" w14:textId="77777777" w:rsidTr="009F5DBA">
        <w:trPr>
          <w:cantSplit/>
        </w:trPr>
        <w:tc>
          <w:tcPr>
            <w:tcW w:w="2268" w:type="dxa"/>
            <w:shd w:val="clear" w:color="auto" w:fill="FFFFFF" w:themeFill="background1"/>
          </w:tcPr>
          <w:p w14:paraId="117FAAF2" w14:textId="77777777" w:rsidR="00DB587B" w:rsidRPr="00B56453" w:rsidRDefault="00DB587B" w:rsidP="008B3752">
            <w:pPr>
              <w:pStyle w:val="Normal1"/>
              <w:spacing w:line="240" w:lineRule="auto"/>
              <w:rPr>
                <w:sz w:val="22"/>
                <w:lang w:val="en-GB"/>
              </w:rPr>
            </w:pPr>
          </w:p>
        </w:tc>
        <w:tc>
          <w:tcPr>
            <w:tcW w:w="1701" w:type="dxa"/>
            <w:gridSpan w:val="2"/>
            <w:shd w:val="clear" w:color="auto" w:fill="FFFFFF" w:themeFill="background1"/>
          </w:tcPr>
          <w:p w14:paraId="69CDB0C5" w14:textId="77777777" w:rsidR="00DB587B" w:rsidRPr="00B56453" w:rsidRDefault="00DB587B" w:rsidP="008B3752">
            <w:pPr>
              <w:pStyle w:val="Normal1"/>
              <w:spacing w:line="240" w:lineRule="auto"/>
              <w:rPr>
                <w:sz w:val="22"/>
                <w:lang w:val="en-GB"/>
              </w:rPr>
            </w:pPr>
            <w:r w:rsidRPr="00B56453">
              <w:rPr>
                <w:sz w:val="22"/>
                <w:lang w:val="en-GB"/>
              </w:rPr>
              <w:t>Asian - British</w:t>
            </w:r>
          </w:p>
        </w:tc>
        <w:tc>
          <w:tcPr>
            <w:tcW w:w="1701" w:type="dxa"/>
            <w:shd w:val="clear" w:color="auto" w:fill="FFFFFF" w:themeFill="background1"/>
          </w:tcPr>
          <w:p w14:paraId="130371E0" w14:textId="77777777" w:rsidR="00DB587B" w:rsidRPr="00B56453" w:rsidRDefault="00DB587B" w:rsidP="008B3752">
            <w:pPr>
              <w:pStyle w:val="Normal1"/>
              <w:spacing w:line="240" w:lineRule="auto"/>
              <w:rPr>
                <w:sz w:val="22"/>
                <w:lang w:val="en-GB"/>
              </w:rPr>
            </w:pPr>
            <w:r w:rsidRPr="00B56453">
              <w:rPr>
                <w:sz w:val="22"/>
                <w:lang w:val="en-GB"/>
              </w:rPr>
              <w:t>16 (9.4)</w:t>
            </w:r>
          </w:p>
        </w:tc>
        <w:tc>
          <w:tcPr>
            <w:tcW w:w="1843" w:type="dxa"/>
            <w:shd w:val="clear" w:color="auto" w:fill="FFFFFF" w:themeFill="background1"/>
          </w:tcPr>
          <w:p w14:paraId="06345EF8" w14:textId="77777777" w:rsidR="00DB587B" w:rsidRPr="00B56453" w:rsidRDefault="00DB587B" w:rsidP="008B3752">
            <w:pPr>
              <w:pStyle w:val="Normal1"/>
              <w:spacing w:line="240" w:lineRule="auto"/>
              <w:rPr>
                <w:sz w:val="22"/>
                <w:lang w:val="en-GB"/>
              </w:rPr>
            </w:pPr>
          </w:p>
        </w:tc>
        <w:tc>
          <w:tcPr>
            <w:tcW w:w="851" w:type="dxa"/>
            <w:shd w:val="clear" w:color="auto" w:fill="FFFFFF" w:themeFill="background1"/>
          </w:tcPr>
          <w:p w14:paraId="222BF33D" w14:textId="77777777" w:rsidR="00DB587B" w:rsidRPr="00B56453" w:rsidRDefault="00DB587B" w:rsidP="008B3752">
            <w:pPr>
              <w:pStyle w:val="Normal1"/>
              <w:spacing w:line="240" w:lineRule="auto"/>
              <w:rPr>
                <w:sz w:val="22"/>
                <w:lang w:val="en-GB"/>
              </w:rPr>
            </w:pPr>
          </w:p>
        </w:tc>
      </w:tr>
      <w:tr w:rsidR="00DB587B" w:rsidRPr="00B56453" w14:paraId="7C4D5C25" w14:textId="77777777" w:rsidTr="009F5DBA">
        <w:trPr>
          <w:cantSplit/>
        </w:trPr>
        <w:tc>
          <w:tcPr>
            <w:tcW w:w="2268" w:type="dxa"/>
            <w:shd w:val="clear" w:color="auto" w:fill="FFFFFF" w:themeFill="background1"/>
          </w:tcPr>
          <w:p w14:paraId="44FDF858" w14:textId="77777777" w:rsidR="00DB587B" w:rsidRPr="00B56453" w:rsidRDefault="00DB587B" w:rsidP="008B3752">
            <w:pPr>
              <w:pStyle w:val="Normal1"/>
              <w:spacing w:line="240" w:lineRule="auto"/>
              <w:rPr>
                <w:sz w:val="22"/>
                <w:lang w:val="en-GB"/>
              </w:rPr>
            </w:pPr>
          </w:p>
        </w:tc>
        <w:tc>
          <w:tcPr>
            <w:tcW w:w="1701" w:type="dxa"/>
            <w:gridSpan w:val="2"/>
            <w:shd w:val="clear" w:color="auto" w:fill="FFFFFF" w:themeFill="background1"/>
          </w:tcPr>
          <w:p w14:paraId="5E2D113F" w14:textId="77777777" w:rsidR="00DB587B" w:rsidRPr="00B56453" w:rsidRDefault="00DB587B" w:rsidP="008B3752">
            <w:pPr>
              <w:pStyle w:val="Normal1"/>
              <w:spacing w:line="240" w:lineRule="auto"/>
              <w:rPr>
                <w:sz w:val="22"/>
                <w:lang w:val="en-GB"/>
              </w:rPr>
            </w:pPr>
            <w:r w:rsidRPr="00B56453">
              <w:rPr>
                <w:sz w:val="22"/>
                <w:lang w:val="en-GB"/>
              </w:rPr>
              <w:t>Asian - Chinese</w:t>
            </w:r>
          </w:p>
        </w:tc>
        <w:tc>
          <w:tcPr>
            <w:tcW w:w="1701" w:type="dxa"/>
            <w:shd w:val="clear" w:color="auto" w:fill="FFFFFF" w:themeFill="background1"/>
          </w:tcPr>
          <w:p w14:paraId="01FB9075" w14:textId="77777777" w:rsidR="00DB587B" w:rsidRPr="00B56453" w:rsidRDefault="00DB587B" w:rsidP="008B3752">
            <w:pPr>
              <w:pStyle w:val="Normal1"/>
              <w:spacing w:line="240" w:lineRule="auto"/>
              <w:rPr>
                <w:sz w:val="22"/>
                <w:lang w:val="en-GB"/>
              </w:rPr>
            </w:pPr>
            <w:r w:rsidRPr="00B56453">
              <w:rPr>
                <w:sz w:val="22"/>
                <w:lang w:val="en-GB"/>
              </w:rPr>
              <w:t>20 (11.7)</w:t>
            </w:r>
          </w:p>
        </w:tc>
        <w:tc>
          <w:tcPr>
            <w:tcW w:w="1843" w:type="dxa"/>
            <w:shd w:val="clear" w:color="auto" w:fill="FFFFFF" w:themeFill="background1"/>
          </w:tcPr>
          <w:p w14:paraId="2AE18191" w14:textId="77777777" w:rsidR="00DB587B" w:rsidRPr="00B56453" w:rsidRDefault="00DB587B" w:rsidP="008B3752">
            <w:pPr>
              <w:pStyle w:val="Normal1"/>
              <w:spacing w:line="240" w:lineRule="auto"/>
              <w:rPr>
                <w:sz w:val="22"/>
                <w:lang w:val="en-GB"/>
              </w:rPr>
            </w:pPr>
          </w:p>
        </w:tc>
        <w:tc>
          <w:tcPr>
            <w:tcW w:w="851" w:type="dxa"/>
            <w:shd w:val="clear" w:color="auto" w:fill="FFFFFF" w:themeFill="background1"/>
          </w:tcPr>
          <w:p w14:paraId="28345FD6" w14:textId="77777777" w:rsidR="00DB587B" w:rsidRPr="00B56453" w:rsidRDefault="00DB587B" w:rsidP="008B3752">
            <w:pPr>
              <w:pStyle w:val="Normal1"/>
              <w:spacing w:line="240" w:lineRule="auto"/>
              <w:rPr>
                <w:sz w:val="22"/>
                <w:lang w:val="en-GB"/>
              </w:rPr>
            </w:pPr>
          </w:p>
        </w:tc>
      </w:tr>
      <w:tr w:rsidR="00DB587B" w:rsidRPr="00B56453" w14:paraId="22B43ECD" w14:textId="77777777" w:rsidTr="009F5DBA">
        <w:trPr>
          <w:cantSplit/>
        </w:trPr>
        <w:tc>
          <w:tcPr>
            <w:tcW w:w="2268" w:type="dxa"/>
            <w:shd w:val="clear" w:color="auto" w:fill="FFFFFF" w:themeFill="background1"/>
          </w:tcPr>
          <w:p w14:paraId="3ED4FB9E" w14:textId="77777777" w:rsidR="00DB587B" w:rsidRPr="00B56453" w:rsidRDefault="00DB587B" w:rsidP="008B3752">
            <w:pPr>
              <w:pStyle w:val="Normal1"/>
              <w:spacing w:line="240" w:lineRule="auto"/>
              <w:rPr>
                <w:sz w:val="22"/>
                <w:lang w:val="en-GB"/>
              </w:rPr>
            </w:pPr>
          </w:p>
        </w:tc>
        <w:tc>
          <w:tcPr>
            <w:tcW w:w="1701" w:type="dxa"/>
            <w:gridSpan w:val="2"/>
            <w:shd w:val="clear" w:color="auto" w:fill="FFFFFF" w:themeFill="background1"/>
          </w:tcPr>
          <w:p w14:paraId="0BC59FC3" w14:textId="77777777" w:rsidR="00DB587B" w:rsidRPr="00B56453" w:rsidRDefault="00DB587B" w:rsidP="008B3752">
            <w:pPr>
              <w:pStyle w:val="Normal1"/>
              <w:spacing w:line="240" w:lineRule="auto"/>
              <w:rPr>
                <w:sz w:val="22"/>
                <w:lang w:val="en-GB"/>
              </w:rPr>
            </w:pPr>
            <w:r w:rsidRPr="00B56453">
              <w:rPr>
                <w:sz w:val="22"/>
                <w:lang w:val="en-GB"/>
              </w:rPr>
              <w:t>Mixed</w:t>
            </w:r>
          </w:p>
        </w:tc>
        <w:tc>
          <w:tcPr>
            <w:tcW w:w="1701" w:type="dxa"/>
            <w:shd w:val="clear" w:color="auto" w:fill="FFFFFF" w:themeFill="background1"/>
          </w:tcPr>
          <w:p w14:paraId="378EBAA1" w14:textId="77777777" w:rsidR="00DB587B" w:rsidRPr="00B56453" w:rsidRDefault="00DB587B" w:rsidP="008B3752">
            <w:pPr>
              <w:pStyle w:val="Normal1"/>
              <w:spacing w:line="240" w:lineRule="auto"/>
              <w:rPr>
                <w:sz w:val="22"/>
                <w:lang w:val="en-GB"/>
              </w:rPr>
            </w:pPr>
            <w:r w:rsidRPr="00B56453">
              <w:rPr>
                <w:sz w:val="22"/>
                <w:lang w:val="en-GB"/>
              </w:rPr>
              <w:t>3 (1.8)</w:t>
            </w:r>
          </w:p>
        </w:tc>
        <w:tc>
          <w:tcPr>
            <w:tcW w:w="1843" w:type="dxa"/>
            <w:shd w:val="clear" w:color="auto" w:fill="FFFFFF" w:themeFill="background1"/>
          </w:tcPr>
          <w:p w14:paraId="799A9491" w14:textId="77777777" w:rsidR="00DB587B" w:rsidRPr="00B56453" w:rsidRDefault="00DB587B" w:rsidP="008B3752">
            <w:pPr>
              <w:pStyle w:val="Normal1"/>
              <w:spacing w:line="240" w:lineRule="auto"/>
              <w:rPr>
                <w:sz w:val="22"/>
                <w:lang w:val="en-GB"/>
              </w:rPr>
            </w:pPr>
          </w:p>
        </w:tc>
        <w:tc>
          <w:tcPr>
            <w:tcW w:w="851" w:type="dxa"/>
            <w:shd w:val="clear" w:color="auto" w:fill="FFFFFF" w:themeFill="background1"/>
          </w:tcPr>
          <w:p w14:paraId="3A4275F6" w14:textId="77777777" w:rsidR="00DB587B" w:rsidRPr="00B56453" w:rsidRDefault="00DB587B" w:rsidP="008B3752">
            <w:pPr>
              <w:pStyle w:val="Normal1"/>
              <w:spacing w:line="240" w:lineRule="auto"/>
              <w:rPr>
                <w:sz w:val="22"/>
                <w:lang w:val="en-GB"/>
              </w:rPr>
            </w:pPr>
          </w:p>
        </w:tc>
      </w:tr>
      <w:tr w:rsidR="00DB587B" w:rsidRPr="00B56453" w14:paraId="3F0EF337" w14:textId="77777777" w:rsidTr="009F5DBA">
        <w:trPr>
          <w:cantSplit/>
        </w:trPr>
        <w:tc>
          <w:tcPr>
            <w:tcW w:w="2268" w:type="dxa"/>
            <w:shd w:val="clear" w:color="auto" w:fill="auto"/>
          </w:tcPr>
          <w:p w14:paraId="77DA0F8B" w14:textId="77777777" w:rsidR="00DB587B" w:rsidRPr="00B56453" w:rsidRDefault="00DB587B" w:rsidP="008B3752">
            <w:pPr>
              <w:pStyle w:val="Normal1"/>
              <w:spacing w:line="240" w:lineRule="auto"/>
              <w:rPr>
                <w:sz w:val="22"/>
                <w:lang w:val="en-GB"/>
              </w:rPr>
            </w:pPr>
            <w:r w:rsidRPr="00B56453">
              <w:rPr>
                <w:sz w:val="22"/>
                <w:lang w:val="en-GB"/>
              </w:rPr>
              <w:t>Condition (%)</w:t>
            </w:r>
          </w:p>
        </w:tc>
        <w:tc>
          <w:tcPr>
            <w:tcW w:w="1701" w:type="dxa"/>
            <w:gridSpan w:val="2"/>
            <w:shd w:val="clear" w:color="auto" w:fill="auto"/>
          </w:tcPr>
          <w:p w14:paraId="039335DF" w14:textId="77777777" w:rsidR="00DB587B" w:rsidRPr="00B56453" w:rsidRDefault="00DB587B" w:rsidP="008B3752">
            <w:pPr>
              <w:pStyle w:val="Normal1"/>
              <w:spacing w:line="240" w:lineRule="auto"/>
              <w:rPr>
                <w:sz w:val="22"/>
                <w:lang w:val="en-GB"/>
              </w:rPr>
            </w:pPr>
          </w:p>
        </w:tc>
        <w:tc>
          <w:tcPr>
            <w:tcW w:w="1701" w:type="dxa"/>
            <w:shd w:val="clear" w:color="auto" w:fill="auto"/>
          </w:tcPr>
          <w:p w14:paraId="41864E8E" w14:textId="77777777" w:rsidR="00DB587B" w:rsidRPr="00B56453" w:rsidRDefault="00DB587B" w:rsidP="008B3752">
            <w:pPr>
              <w:pStyle w:val="Normal1"/>
              <w:spacing w:line="240" w:lineRule="auto"/>
              <w:rPr>
                <w:sz w:val="22"/>
                <w:lang w:val="en-GB"/>
              </w:rPr>
            </w:pPr>
            <w:r w:rsidRPr="00B56453">
              <w:rPr>
                <w:sz w:val="22"/>
                <w:lang w:val="en-GB"/>
              </w:rPr>
              <w:t xml:space="preserve"> </w:t>
            </w:r>
          </w:p>
        </w:tc>
        <w:tc>
          <w:tcPr>
            <w:tcW w:w="1843" w:type="dxa"/>
            <w:shd w:val="clear" w:color="auto" w:fill="auto"/>
          </w:tcPr>
          <w:p w14:paraId="58806D4F" w14:textId="77777777" w:rsidR="00DB587B" w:rsidRPr="00B56453" w:rsidRDefault="00DB587B" w:rsidP="008B3752">
            <w:pPr>
              <w:pStyle w:val="Normal1"/>
              <w:spacing w:line="240" w:lineRule="auto"/>
              <w:rPr>
                <w:sz w:val="22"/>
                <w:lang w:val="en-GB"/>
              </w:rPr>
            </w:pPr>
            <w:r w:rsidRPr="00B56453">
              <w:rPr>
                <w:rFonts w:eastAsia="AdvP4DF60E"/>
                <w:sz w:val="22"/>
                <w:lang w:val="en-GB"/>
              </w:rPr>
              <w:t>χ</w:t>
            </w:r>
            <w:r w:rsidRPr="00B56453">
              <w:rPr>
                <w:sz w:val="22"/>
                <w:vertAlign w:val="superscript"/>
                <w:lang w:val="en-GB"/>
              </w:rPr>
              <w:t>2</w:t>
            </w:r>
            <w:r w:rsidRPr="00B56453">
              <w:rPr>
                <w:sz w:val="22"/>
                <w:vertAlign w:val="subscript"/>
                <w:lang w:val="en-GB"/>
              </w:rPr>
              <w:t>(1)</w:t>
            </w:r>
            <w:r w:rsidRPr="00B56453">
              <w:rPr>
                <w:sz w:val="22"/>
                <w:lang w:val="en-GB"/>
              </w:rPr>
              <w:t xml:space="preserve"> = 0.003</w:t>
            </w:r>
            <w:r w:rsidRPr="00B56453">
              <w:rPr>
                <w:sz w:val="22"/>
                <w:vertAlign w:val="superscript"/>
                <w:lang w:val="en-GB"/>
              </w:rPr>
              <w:t>b</w:t>
            </w:r>
          </w:p>
        </w:tc>
        <w:tc>
          <w:tcPr>
            <w:tcW w:w="851" w:type="dxa"/>
            <w:shd w:val="clear" w:color="auto" w:fill="auto"/>
          </w:tcPr>
          <w:p w14:paraId="51EE53BA" w14:textId="77777777" w:rsidR="00DB587B" w:rsidRPr="00B56453" w:rsidRDefault="00DB587B" w:rsidP="008B3752">
            <w:pPr>
              <w:pStyle w:val="Normal1"/>
              <w:spacing w:line="240" w:lineRule="auto"/>
              <w:rPr>
                <w:sz w:val="22"/>
                <w:lang w:val="en-GB"/>
              </w:rPr>
            </w:pPr>
            <w:r w:rsidRPr="00B56453">
              <w:rPr>
                <w:sz w:val="22"/>
                <w:lang w:val="en-GB"/>
              </w:rPr>
              <w:t>0.96</w:t>
            </w:r>
          </w:p>
        </w:tc>
      </w:tr>
      <w:tr w:rsidR="00DB587B" w:rsidRPr="00B56453" w14:paraId="48C81329" w14:textId="77777777" w:rsidTr="009F5DBA">
        <w:trPr>
          <w:cantSplit/>
        </w:trPr>
        <w:tc>
          <w:tcPr>
            <w:tcW w:w="2268" w:type="dxa"/>
            <w:shd w:val="clear" w:color="auto" w:fill="auto"/>
          </w:tcPr>
          <w:p w14:paraId="3B956D5B" w14:textId="77777777" w:rsidR="00DB587B" w:rsidRPr="00B56453" w:rsidRDefault="00DB587B" w:rsidP="008B3752">
            <w:pPr>
              <w:pStyle w:val="Normal1"/>
              <w:spacing w:line="240" w:lineRule="auto"/>
              <w:rPr>
                <w:sz w:val="22"/>
                <w:lang w:val="en-GB"/>
              </w:rPr>
            </w:pPr>
          </w:p>
        </w:tc>
        <w:tc>
          <w:tcPr>
            <w:tcW w:w="1701" w:type="dxa"/>
            <w:gridSpan w:val="2"/>
            <w:shd w:val="clear" w:color="auto" w:fill="auto"/>
          </w:tcPr>
          <w:p w14:paraId="6E9116DF" w14:textId="77777777" w:rsidR="00DB587B" w:rsidRPr="00B56453" w:rsidRDefault="00DB587B" w:rsidP="008B3752">
            <w:pPr>
              <w:pStyle w:val="Normal1"/>
              <w:spacing w:line="240" w:lineRule="auto"/>
              <w:rPr>
                <w:sz w:val="22"/>
                <w:lang w:val="en-GB"/>
              </w:rPr>
            </w:pPr>
            <w:r w:rsidRPr="00B56453">
              <w:rPr>
                <w:sz w:val="22"/>
                <w:lang w:val="en-GB"/>
              </w:rPr>
              <w:t>BPF</w:t>
            </w:r>
          </w:p>
        </w:tc>
        <w:tc>
          <w:tcPr>
            <w:tcW w:w="1701" w:type="dxa"/>
            <w:shd w:val="clear" w:color="auto" w:fill="auto"/>
          </w:tcPr>
          <w:p w14:paraId="4F27488B" w14:textId="77777777" w:rsidR="00DB587B" w:rsidRPr="00B56453" w:rsidRDefault="00DB587B" w:rsidP="008B3752">
            <w:pPr>
              <w:pStyle w:val="Normal1"/>
              <w:spacing w:line="240" w:lineRule="auto"/>
              <w:rPr>
                <w:sz w:val="22"/>
                <w:lang w:val="en-GB"/>
              </w:rPr>
            </w:pPr>
            <w:r w:rsidRPr="00B56453">
              <w:rPr>
                <w:sz w:val="22"/>
                <w:lang w:val="en-GB"/>
              </w:rPr>
              <w:t>64 (37.4)</w:t>
            </w:r>
          </w:p>
        </w:tc>
        <w:tc>
          <w:tcPr>
            <w:tcW w:w="1843" w:type="dxa"/>
            <w:shd w:val="clear" w:color="auto" w:fill="auto"/>
          </w:tcPr>
          <w:p w14:paraId="3116ED1D" w14:textId="77777777" w:rsidR="00DB587B" w:rsidRPr="00B56453" w:rsidRDefault="00DB587B" w:rsidP="008B3752">
            <w:pPr>
              <w:pStyle w:val="Normal1"/>
              <w:spacing w:line="240" w:lineRule="auto"/>
              <w:rPr>
                <w:sz w:val="22"/>
                <w:lang w:val="en-GB"/>
              </w:rPr>
            </w:pPr>
          </w:p>
        </w:tc>
        <w:tc>
          <w:tcPr>
            <w:tcW w:w="851" w:type="dxa"/>
            <w:shd w:val="clear" w:color="auto" w:fill="auto"/>
          </w:tcPr>
          <w:p w14:paraId="57934B99" w14:textId="77777777" w:rsidR="00DB587B" w:rsidRPr="00B56453" w:rsidRDefault="00DB587B" w:rsidP="008B3752">
            <w:pPr>
              <w:pStyle w:val="Normal1"/>
              <w:spacing w:line="240" w:lineRule="auto"/>
              <w:rPr>
                <w:sz w:val="22"/>
                <w:lang w:val="en-GB"/>
              </w:rPr>
            </w:pPr>
          </w:p>
        </w:tc>
      </w:tr>
      <w:tr w:rsidR="00DB587B" w:rsidRPr="00B56453" w14:paraId="6E77030C" w14:textId="77777777" w:rsidTr="009F5DBA">
        <w:trPr>
          <w:cantSplit/>
        </w:trPr>
        <w:tc>
          <w:tcPr>
            <w:tcW w:w="2268" w:type="dxa"/>
            <w:shd w:val="clear" w:color="auto" w:fill="auto"/>
          </w:tcPr>
          <w:p w14:paraId="3E93D8EC" w14:textId="77777777" w:rsidR="00DB587B" w:rsidRPr="00B56453" w:rsidRDefault="00DB587B" w:rsidP="008B3752">
            <w:pPr>
              <w:pStyle w:val="Normal1"/>
              <w:spacing w:line="240" w:lineRule="auto"/>
              <w:rPr>
                <w:sz w:val="22"/>
                <w:lang w:val="en-GB"/>
              </w:rPr>
            </w:pPr>
          </w:p>
        </w:tc>
        <w:tc>
          <w:tcPr>
            <w:tcW w:w="1701" w:type="dxa"/>
            <w:gridSpan w:val="2"/>
            <w:shd w:val="clear" w:color="auto" w:fill="auto"/>
          </w:tcPr>
          <w:p w14:paraId="48F5A515" w14:textId="77777777" w:rsidR="00DB587B" w:rsidRPr="00B56453" w:rsidRDefault="00DB587B" w:rsidP="008B3752">
            <w:pPr>
              <w:pStyle w:val="Normal1"/>
              <w:spacing w:line="240" w:lineRule="auto"/>
              <w:rPr>
                <w:sz w:val="22"/>
                <w:lang w:val="en-GB"/>
              </w:rPr>
            </w:pPr>
            <w:r w:rsidRPr="00B56453">
              <w:rPr>
                <w:sz w:val="22"/>
                <w:lang w:val="en-GB"/>
              </w:rPr>
              <w:t>SRLF</w:t>
            </w:r>
          </w:p>
        </w:tc>
        <w:tc>
          <w:tcPr>
            <w:tcW w:w="1701" w:type="dxa"/>
            <w:shd w:val="clear" w:color="auto" w:fill="auto"/>
          </w:tcPr>
          <w:p w14:paraId="12CAFE2F" w14:textId="77777777" w:rsidR="00DB587B" w:rsidRPr="00B56453" w:rsidRDefault="00DB587B" w:rsidP="008B3752">
            <w:pPr>
              <w:pStyle w:val="Normal1"/>
              <w:spacing w:line="240" w:lineRule="auto"/>
              <w:rPr>
                <w:sz w:val="22"/>
                <w:lang w:val="en-GB"/>
              </w:rPr>
            </w:pPr>
            <w:r w:rsidRPr="00B56453">
              <w:rPr>
                <w:sz w:val="22"/>
                <w:lang w:val="en-GB"/>
              </w:rPr>
              <w:t>107 (62.6)</w:t>
            </w:r>
          </w:p>
        </w:tc>
        <w:tc>
          <w:tcPr>
            <w:tcW w:w="1843" w:type="dxa"/>
            <w:shd w:val="clear" w:color="auto" w:fill="auto"/>
          </w:tcPr>
          <w:p w14:paraId="1086059A" w14:textId="77777777" w:rsidR="00DB587B" w:rsidRPr="00B56453" w:rsidRDefault="00DB587B" w:rsidP="008B3752">
            <w:pPr>
              <w:pStyle w:val="Normal1"/>
              <w:spacing w:line="240" w:lineRule="auto"/>
              <w:rPr>
                <w:sz w:val="22"/>
                <w:lang w:val="en-GB"/>
              </w:rPr>
            </w:pPr>
          </w:p>
        </w:tc>
        <w:tc>
          <w:tcPr>
            <w:tcW w:w="851" w:type="dxa"/>
            <w:shd w:val="clear" w:color="auto" w:fill="auto"/>
          </w:tcPr>
          <w:p w14:paraId="0091A517" w14:textId="77777777" w:rsidR="00DB587B" w:rsidRPr="00B56453" w:rsidRDefault="00DB587B" w:rsidP="008B3752">
            <w:pPr>
              <w:pStyle w:val="Normal1"/>
              <w:spacing w:line="240" w:lineRule="auto"/>
              <w:rPr>
                <w:sz w:val="22"/>
                <w:lang w:val="en-GB"/>
              </w:rPr>
            </w:pPr>
          </w:p>
        </w:tc>
      </w:tr>
      <w:tr w:rsidR="00DB587B" w:rsidRPr="00B56453" w14:paraId="767E9383" w14:textId="77777777" w:rsidTr="009F5DBA">
        <w:trPr>
          <w:cantSplit/>
        </w:trPr>
        <w:tc>
          <w:tcPr>
            <w:tcW w:w="8364" w:type="dxa"/>
            <w:gridSpan w:val="6"/>
            <w:tcBorders>
              <w:top w:val="single" w:sz="8" w:space="0" w:color="000000"/>
              <w:bottom w:val="single" w:sz="4" w:space="0" w:color="auto"/>
            </w:tcBorders>
            <w:shd w:val="clear" w:color="auto" w:fill="auto"/>
          </w:tcPr>
          <w:p w14:paraId="66BCDD31" w14:textId="77777777" w:rsidR="00DB587B" w:rsidRPr="00B56453" w:rsidRDefault="00DB587B" w:rsidP="008B3752">
            <w:pPr>
              <w:pStyle w:val="Normal1"/>
              <w:spacing w:line="240" w:lineRule="auto"/>
              <w:rPr>
                <w:sz w:val="22"/>
                <w:lang w:val="en-GB"/>
              </w:rPr>
            </w:pPr>
            <w:r w:rsidRPr="00B56453">
              <w:rPr>
                <w:sz w:val="22"/>
                <w:vertAlign w:val="superscript"/>
                <w:lang w:val="en-GB"/>
              </w:rPr>
              <w:t>a</w:t>
            </w:r>
            <w:r w:rsidRPr="00B56453">
              <w:rPr>
                <w:sz w:val="22"/>
                <w:lang w:val="en-GB"/>
              </w:rPr>
              <w:t xml:space="preserve"> Values shown as mean ± SD. </w:t>
            </w:r>
            <w:r w:rsidRPr="00B56453">
              <w:rPr>
                <w:sz w:val="22"/>
                <w:vertAlign w:val="superscript"/>
                <w:lang w:val="en-GB"/>
              </w:rPr>
              <w:t>b</w:t>
            </w:r>
            <w:r w:rsidRPr="00B56453">
              <w:rPr>
                <w:sz w:val="22"/>
                <w:lang w:val="en-GB"/>
              </w:rPr>
              <w:t xml:space="preserve"> </w:t>
            </w:r>
            <w:r w:rsidRPr="00B56453">
              <w:rPr>
                <w:rFonts w:eastAsia="AdvP4DF60E"/>
                <w:sz w:val="22"/>
                <w:lang w:val="en-GB"/>
              </w:rPr>
              <w:t>χ</w:t>
            </w:r>
            <w:r w:rsidRPr="00B56453">
              <w:rPr>
                <w:sz w:val="22"/>
                <w:vertAlign w:val="superscript"/>
                <w:lang w:val="en-GB"/>
              </w:rPr>
              <w:t>2</w:t>
            </w:r>
            <w:r w:rsidRPr="00B56453">
              <w:rPr>
                <w:sz w:val="22"/>
                <w:lang w:val="en-GB"/>
              </w:rPr>
              <w:t xml:space="preserve"> with continuity correction.</w:t>
            </w:r>
          </w:p>
        </w:tc>
      </w:tr>
    </w:tbl>
    <w:p w14:paraId="029F83F1" w14:textId="77777777" w:rsidR="00DB587B" w:rsidRPr="00B56453" w:rsidRDefault="00DB587B" w:rsidP="00026049">
      <w:pPr>
        <w:pStyle w:val="Normal1"/>
        <w:rPr>
          <w:lang w:val="en-GB"/>
        </w:rPr>
      </w:pPr>
    </w:p>
    <w:p w14:paraId="3C956CD3" w14:textId="18775269" w:rsidR="00DB587B" w:rsidRPr="00B56453" w:rsidRDefault="009F5DBA" w:rsidP="00026049">
      <w:pPr>
        <w:pStyle w:val="Normal1"/>
        <w:rPr>
          <w:lang w:val="en-GB"/>
        </w:rPr>
      </w:pPr>
      <w:r w:rsidRPr="00B56453">
        <w:rPr>
          <w:lang w:val="en-GB"/>
        </w:rPr>
        <w:t>For</w:t>
      </w:r>
      <w:r w:rsidR="00DB587B" w:rsidRPr="00B56453">
        <w:rPr>
          <w:lang w:val="en-GB"/>
        </w:rPr>
        <w:t xml:space="preserve"> the SSRQ, the assumption of multivariate normality of residuals obtained from the specified model</w:t>
      </w:r>
      <w:r w:rsidR="00C24E5A" w:rsidRPr="00B56453">
        <w:rPr>
          <w:lang w:val="en-GB"/>
        </w:rPr>
        <w:t xml:space="preserve"> was tested</w:t>
      </w:r>
      <w:r w:rsidR="00DB587B" w:rsidRPr="00B56453">
        <w:rPr>
          <w:lang w:val="en-GB"/>
        </w:rPr>
        <w:t xml:space="preserve"> by estimating Mardia’s normalized coefficient of multivariate kurtosis. As indicated by Bentler </w:t>
      </w:r>
      <w:r w:rsidR="00EF281A" w:rsidRPr="009C2746">
        <w:rPr>
          <w:lang w:val="en-GB"/>
        </w:rPr>
        <w:fldChar w:fldCharType="begin"/>
      </w:r>
      <w:r w:rsidR="008B61BE" w:rsidRPr="00B56453">
        <w:rPr>
          <w:lang w:val="en-GB"/>
        </w:rPr>
        <w:instrText xml:space="preserve"> ADDIN EN.CITE &lt;EndNote&gt;&lt;Cite ExcludeAuth="1"&gt;&lt;Author&gt;Bentler&lt;/Author&gt;&lt;Year&gt;2005&lt;/Year&gt;&lt;RecNum&gt;586&lt;/RecNum&gt;&lt;Pages&gt;283&lt;/Pages&gt;&lt;DisplayText&gt;(2005, p. 283)&lt;/DisplayText&gt;&lt;record&gt;&lt;rec-number&gt;586&lt;/rec-number&gt;&lt;foreign-keys&gt;&lt;key app="EN" db-id="xa2r2ewea92trkef5dt5arvbzafvpv2za5ft" timestamp="1496417557"&gt;586&lt;/key&gt;&lt;/foreign-keys&gt;&lt;ref-type name="Book"&gt;6&lt;/ref-type&gt;&lt;contributors&gt;&lt;authors&gt;&lt;author&gt;Bentler, PM&lt;/author&gt;&lt;/authors&gt;&lt;/contributors&gt;&lt;titles&gt;&lt;title&gt;EQS 6 structural equations program manual.&lt;/title&gt;&lt;/titles&gt;&lt;dates&gt;&lt;year&gt;2005&lt;/year&gt;&lt;/dates&gt;&lt;pub-location&gt;Encino, CA&lt;/pub-location&gt;&lt;publisher&gt;Multivariate Software&lt;/publisher&gt;&lt;urls&gt;&lt;/urls&gt;&lt;/record&gt;&lt;/Cite&gt;&lt;/EndNote&gt;</w:instrText>
      </w:r>
      <w:r w:rsidR="00EF281A" w:rsidRPr="00B27F0B">
        <w:rPr>
          <w:lang w:val="en-GB"/>
        </w:rPr>
        <w:fldChar w:fldCharType="separate"/>
      </w:r>
      <w:r w:rsidR="00E04EC9" w:rsidRPr="00B56453">
        <w:rPr>
          <w:noProof/>
          <w:lang w:val="en-GB"/>
        </w:rPr>
        <w:t>(</w:t>
      </w:r>
      <w:hyperlink w:anchor="_ENREF_27" w:tooltip="Bentler, 2005 #586" w:history="1">
        <w:r w:rsidR="0094469E" w:rsidRPr="00B56453">
          <w:rPr>
            <w:noProof/>
            <w:lang w:val="en-GB"/>
          </w:rPr>
          <w:t>2005, p. 283</w:t>
        </w:r>
      </w:hyperlink>
      <w:r w:rsidR="00E04EC9" w:rsidRPr="00B56453">
        <w:rPr>
          <w:noProof/>
          <w:lang w:val="en-GB"/>
        </w:rPr>
        <w:t>)</w:t>
      </w:r>
      <w:r w:rsidR="00EF281A" w:rsidRPr="009C2746">
        <w:rPr>
          <w:lang w:val="en-GB"/>
        </w:rPr>
        <w:fldChar w:fldCharType="end"/>
      </w:r>
      <w:r w:rsidR="00DB587B" w:rsidRPr="00B56453">
        <w:rPr>
          <w:lang w:val="en-GB"/>
        </w:rPr>
        <w:t xml:space="preserve">, "the normalized estimate is interpretable as a standard normal variate, so if it is outside the -3 to +3 range [...] the hypothesis of multivariate normality can be rejected". The estimated Mardia’s normalized coefficient was </w:t>
      </w:r>
      <w:r w:rsidR="00DB587B" w:rsidRPr="00B56453">
        <w:rPr>
          <w:lang w:val="en-GB"/>
        </w:rPr>
        <w:sym w:font="Symbol" w:char="F02D"/>
      </w:r>
      <w:r w:rsidR="00DB587B" w:rsidRPr="00B56453">
        <w:rPr>
          <w:lang w:val="en-GB"/>
        </w:rPr>
        <w:t xml:space="preserve">1.36, and </w:t>
      </w:r>
      <w:r w:rsidR="00C24E5A" w:rsidRPr="00B56453">
        <w:rPr>
          <w:lang w:val="en-GB"/>
        </w:rPr>
        <w:t>thus the analysis was continued</w:t>
      </w:r>
      <w:r w:rsidR="00DB587B" w:rsidRPr="00B56453">
        <w:rPr>
          <w:lang w:val="en-GB"/>
        </w:rPr>
        <w:t>. Subsequently, the assumption of sphericity</w:t>
      </w:r>
      <w:r w:rsidR="00C24E5A" w:rsidRPr="00B56453">
        <w:rPr>
          <w:lang w:val="en-GB"/>
        </w:rPr>
        <w:t xml:space="preserve"> was tested</w:t>
      </w:r>
      <w:r w:rsidR="00DB587B" w:rsidRPr="00B56453">
        <w:rPr>
          <w:lang w:val="en-GB"/>
        </w:rPr>
        <w:t>, i.e. equality of variances of the differences between the groups of the within-subject factor for all conditions of the between-subjects factor, by using Mauchly’s test. Results indicated violation of the assumption of sphericity (χ</w:t>
      </w:r>
      <w:r w:rsidR="00DB587B" w:rsidRPr="00B56453">
        <w:rPr>
          <w:vertAlign w:val="superscript"/>
          <w:lang w:val="en-GB"/>
        </w:rPr>
        <w:t>2</w:t>
      </w:r>
      <w:r w:rsidR="00DB587B" w:rsidRPr="00B56453">
        <w:rPr>
          <w:vertAlign w:val="subscript"/>
          <w:lang w:val="en-GB"/>
        </w:rPr>
        <w:t xml:space="preserve">(2) </w:t>
      </w:r>
      <w:r w:rsidR="00DB587B" w:rsidRPr="00B56453">
        <w:rPr>
          <w:lang w:val="en-GB"/>
        </w:rPr>
        <w:t xml:space="preserve">= 61.74, p &lt; </w:t>
      </w:r>
      <w:r w:rsidR="004A351A" w:rsidRPr="00B56453">
        <w:rPr>
          <w:lang w:val="en-GB"/>
        </w:rPr>
        <w:t>0</w:t>
      </w:r>
      <w:r w:rsidR="00DB587B" w:rsidRPr="00B56453">
        <w:rPr>
          <w:lang w:val="en-GB"/>
        </w:rPr>
        <w:t xml:space="preserve">.001, </w:t>
      </w:r>
      <w:r w:rsidR="00DB587B" w:rsidRPr="00B56453">
        <w:rPr>
          <w:lang w:val="en-GB"/>
        </w:rPr>
        <w:t xml:space="preserve"> &gt; </w:t>
      </w:r>
      <w:r w:rsidR="004A351A" w:rsidRPr="00B56453">
        <w:rPr>
          <w:lang w:val="en-GB"/>
        </w:rPr>
        <w:t>0</w:t>
      </w:r>
      <w:r w:rsidR="00DB587B" w:rsidRPr="00B56453">
        <w:rPr>
          <w:lang w:val="en-GB"/>
        </w:rPr>
        <w:t xml:space="preserve">.75), and </w:t>
      </w:r>
      <w:r w:rsidR="00C24E5A" w:rsidRPr="00B56453">
        <w:rPr>
          <w:lang w:val="en-GB"/>
        </w:rPr>
        <w:t xml:space="preserve">the </w:t>
      </w:r>
      <w:r w:rsidR="00DB587B" w:rsidRPr="00B56453">
        <w:rPr>
          <w:lang w:val="en-GB"/>
        </w:rPr>
        <w:t>Huynh-Feldt correction</w:t>
      </w:r>
      <w:r w:rsidR="00C24E5A" w:rsidRPr="00B56453">
        <w:rPr>
          <w:lang w:val="en-GB"/>
        </w:rPr>
        <w:t xml:space="preserve"> was</w:t>
      </w:r>
      <w:r w:rsidR="00DB587B" w:rsidRPr="00B56453">
        <w:rPr>
          <w:lang w:val="en-GB"/>
        </w:rPr>
        <w:t xml:space="preserve"> </w:t>
      </w:r>
      <w:r w:rsidR="004A351A" w:rsidRPr="00B56453">
        <w:rPr>
          <w:lang w:val="en-GB"/>
        </w:rPr>
        <w:t xml:space="preserve">used </w:t>
      </w:r>
      <w:r w:rsidR="00DB587B" w:rsidRPr="00B56453">
        <w:rPr>
          <w:lang w:val="en-GB"/>
        </w:rPr>
        <w:t xml:space="preserve">to adjust the degrees of freedom of further F tests </w:t>
      </w:r>
      <w:r w:rsidR="00DB587B" w:rsidRPr="009C2746">
        <w:rPr>
          <w:lang w:val="en-GB"/>
        </w:rPr>
        <w:fldChar w:fldCharType="begin"/>
      </w:r>
      <w:r w:rsidR="008B61BE" w:rsidRPr="00B56453">
        <w:rPr>
          <w:lang w:val="en-GB"/>
        </w:rPr>
        <w:instrText xml:space="preserve"> ADDIN EN.CITE &lt;EndNote&gt;&lt;Cite&gt;&lt;Author&gt;Huynh&lt;/Author&gt;&lt;Year&gt;1976&lt;/Year&gt;&lt;RecNum&gt;581&lt;/RecNum&gt;&lt;DisplayText&gt;(Huynh and Feldt 1976; Girden 1992)&lt;/DisplayText&gt;&lt;record&gt;&lt;rec-number&gt;581&lt;/rec-number&gt;&lt;foreign-keys&gt;&lt;key app="EN" db-id="xa2r2ewea92trkef5dt5arvbzafvpv2za5ft" timestamp="1496417556"&gt;581&lt;/key&gt;&lt;/foreign-keys&gt;&lt;ref-type name="Journal Article"&gt;17&lt;/ref-type&gt;&lt;contributors&gt;&lt;authors&gt;&lt;author&gt;Huynh, Huynh&lt;/author&gt;&lt;author&gt;Feldt, Leonard S&lt;/author&gt;&lt;/authors&gt;&lt;/contributors&gt;&lt;titles&gt;&lt;title&gt;Estimation of the Box correction for degrees of freedom from sample data in randomized block and split-plot designs&lt;/title&gt;&lt;secondary-title&gt;Journal of educational statistics&lt;/secondary-title&gt;&lt;/titles&gt;&lt;periodical&gt;&lt;full-title&gt;Journal of educational statistics&lt;/full-title&gt;&lt;/periodical&gt;&lt;pages&gt;69-82&lt;/pages&gt;&lt;volume&gt;1&lt;/volume&gt;&lt;number&gt;1&lt;/number&gt;&lt;dates&gt;&lt;year&gt;1976&lt;/year&gt;&lt;/dates&gt;&lt;isbn&gt;0362-9791&lt;/isbn&gt;&lt;urls&gt;&lt;/urls&gt;&lt;/record&gt;&lt;/Cite&gt;&lt;Cite&gt;&lt;Author&gt;Girden&lt;/Author&gt;&lt;Year&gt;1992&lt;/Year&gt;&lt;RecNum&gt;578&lt;/RecNum&gt;&lt;record&gt;&lt;rec-number&gt;578&lt;/rec-number&gt;&lt;foreign-keys&gt;&lt;key app="EN" db-id="xa2r2ewea92trkef5dt5arvbzafvpv2za5ft" timestamp="1496417556"&gt;578&lt;/key&gt;&lt;/foreign-keys&gt;&lt;ref-type name="Book"&gt;6&lt;/ref-type&gt;&lt;contributors&gt;&lt;authors&gt;&lt;author&gt;Girden, Ellen R&lt;/author&gt;&lt;/authors&gt;&lt;/contributors&gt;&lt;titles&gt;&lt;title&gt;ANOVA: Repeated measures&lt;/title&gt;&lt;/titles&gt;&lt;number&gt;84&lt;/number&gt;&lt;dates&gt;&lt;year&gt;1992&lt;/year&gt;&lt;/dates&gt;&lt;publisher&gt;Sage&lt;/publisher&gt;&lt;isbn&gt;0803942575&lt;/isbn&gt;&lt;urls&gt;&lt;/urls&gt;&lt;/record&gt;&lt;/Cite&gt;&lt;/EndNote&gt;</w:instrText>
      </w:r>
      <w:r w:rsidR="00DB587B" w:rsidRPr="00B27F0B">
        <w:rPr>
          <w:lang w:val="en-GB"/>
        </w:rPr>
        <w:fldChar w:fldCharType="separate"/>
      </w:r>
      <w:r w:rsidR="004E5A78" w:rsidRPr="00B56453">
        <w:rPr>
          <w:noProof/>
          <w:lang w:val="en-GB"/>
        </w:rPr>
        <w:t>(</w:t>
      </w:r>
      <w:hyperlink w:anchor="_ENREF_198" w:tooltip="Huynh, 1976 #581" w:history="1">
        <w:r w:rsidR="0094469E" w:rsidRPr="00B56453">
          <w:rPr>
            <w:noProof/>
            <w:lang w:val="en-GB"/>
          </w:rPr>
          <w:t>Huynh and Feldt 1976</w:t>
        </w:r>
      </w:hyperlink>
      <w:r w:rsidR="004E5A78" w:rsidRPr="00B56453">
        <w:rPr>
          <w:noProof/>
          <w:lang w:val="en-GB"/>
        </w:rPr>
        <w:t xml:space="preserve">; </w:t>
      </w:r>
      <w:hyperlink w:anchor="_ENREF_160" w:tooltip="Girden, 1992 #578" w:history="1">
        <w:r w:rsidR="0094469E" w:rsidRPr="00B56453">
          <w:rPr>
            <w:noProof/>
            <w:lang w:val="en-GB"/>
          </w:rPr>
          <w:t>Girden 1992</w:t>
        </w:r>
      </w:hyperlink>
      <w:r w:rsidR="004E5A78" w:rsidRPr="00B56453">
        <w:rPr>
          <w:noProof/>
          <w:lang w:val="en-GB"/>
        </w:rPr>
        <w:t>)</w:t>
      </w:r>
      <w:r w:rsidR="00DB587B" w:rsidRPr="009C2746">
        <w:rPr>
          <w:lang w:val="en-GB"/>
        </w:rPr>
        <w:fldChar w:fldCharType="end"/>
      </w:r>
      <w:r w:rsidR="00DB587B" w:rsidRPr="00B56453">
        <w:rPr>
          <w:lang w:val="en-GB"/>
        </w:rPr>
        <w:t>.</w:t>
      </w:r>
    </w:p>
    <w:p w14:paraId="4B7C9DF1" w14:textId="77777777" w:rsidR="00DB587B" w:rsidRPr="00B56453" w:rsidRDefault="00DB587B" w:rsidP="00026049">
      <w:pPr>
        <w:pStyle w:val="Normal1"/>
        <w:rPr>
          <w:lang w:val="en-GB"/>
        </w:rPr>
      </w:pPr>
    </w:p>
    <w:p w14:paraId="1EC4156D" w14:textId="6410BE8C" w:rsidR="004343FD" w:rsidRPr="00B56453" w:rsidRDefault="00C24E5A" w:rsidP="00026049">
      <w:pPr>
        <w:pStyle w:val="Normal1"/>
        <w:rPr>
          <w:lang w:val="en-GB"/>
        </w:rPr>
      </w:pPr>
      <w:r w:rsidRPr="00B56453">
        <w:rPr>
          <w:lang w:val="en-GB"/>
        </w:rPr>
        <w:t>T</w:t>
      </w:r>
      <w:r w:rsidR="00DB587B" w:rsidRPr="00B56453">
        <w:rPr>
          <w:lang w:val="en-GB"/>
        </w:rPr>
        <w:t>he mixed ANOVA</w:t>
      </w:r>
      <w:r w:rsidRPr="00B56453">
        <w:rPr>
          <w:lang w:val="en-GB"/>
        </w:rPr>
        <w:t xml:space="preserve"> was performed</w:t>
      </w:r>
      <w:r w:rsidR="00DB587B" w:rsidRPr="00B56453">
        <w:rPr>
          <w:lang w:val="en-GB"/>
        </w:rPr>
        <w:t>, and results from the tests of within-subjects effects showed a significant Condition*Time interaction (F</w:t>
      </w:r>
      <w:r w:rsidR="00DB587B" w:rsidRPr="00B56453">
        <w:rPr>
          <w:vertAlign w:val="subscript"/>
          <w:lang w:val="en-GB"/>
        </w:rPr>
        <w:t xml:space="preserve">(1.550) </w:t>
      </w:r>
      <w:r w:rsidR="00DB587B" w:rsidRPr="00B56453">
        <w:rPr>
          <w:lang w:val="en-GB"/>
        </w:rPr>
        <w:t xml:space="preserve">= 7.85, p &lt; </w:t>
      </w:r>
      <w:r w:rsidR="00506678" w:rsidRPr="00B56453">
        <w:rPr>
          <w:lang w:val="en-GB"/>
        </w:rPr>
        <w:t>0</w:t>
      </w:r>
      <w:r w:rsidR="00DB587B" w:rsidRPr="00B56453">
        <w:rPr>
          <w:lang w:val="en-GB"/>
        </w:rPr>
        <w:t xml:space="preserve">.002). Table </w:t>
      </w:r>
      <w:r w:rsidR="002849FA" w:rsidRPr="00B56453">
        <w:rPr>
          <w:lang w:val="en-GB"/>
        </w:rPr>
        <w:t>B3.2</w:t>
      </w:r>
      <w:r w:rsidR="00DB587B" w:rsidRPr="00B56453">
        <w:rPr>
          <w:lang w:val="en-GB"/>
        </w:rPr>
        <w:t xml:space="preserve"> reports pairwise comparisons with Bonferroni adjustment.</w:t>
      </w:r>
    </w:p>
    <w:p w14:paraId="5F39CB39" w14:textId="77777777" w:rsidR="004343FD" w:rsidRPr="00B56453" w:rsidRDefault="004343FD" w:rsidP="00026049">
      <w:pPr>
        <w:pStyle w:val="Normal1"/>
        <w:rPr>
          <w:lang w:val="en-GB"/>
        </w:rPr>
      </w:pPr>
    </w:p>
    <w:p w14:paraId="462FE176" w14:textId="55E9BD3A" w:rsidR="00DB587B" w:rsidRPr="00B56453" w:rsidRDefault="004343FD" w:rsidP="00026049">
      <w:pPr>
        <w:pStyle w:val="Tablelist"/>
        <w:rPr>
          <w:rFonts w:cs="Times New Roman"/>
          <w:lang w:val="en-GB"/>
        </w:rPr>
      </w:pPr>
      <w:bookmarkStart w:id="317" w:name="_Toc487454833"/>
      <w:bookmarkStart w:id="318" w:name="_Toc487456793"/>
      <w:bookmarkStart w:id="319" w:name="_Toc500319512"/>
      <w:r w:rsidRPr="00B56453">
        <w:rPr>
          <w:lang w:val="en-GB"/>
        </w:rPr>
        <w:t>Table B3.</w:t>
      </w:r>
      <w:r w:rsidRPr="009C2746">
        <w:rPr>
          <w:lang w:val="en-GB"/>
        </w:rPr>
        <w:fldChar w:fldCharType="begin"/>
      </w:r>
      <w:r w:rsidRPr="00B56453">
        <w:rPr>
          <w:lang w:val="en-GB"/>
        </w:rPr>
        <w:instrText xml:space="preserve"> SEQ Table_B3. \* ARABIC </w:instrText>
      </w:r>
      <w:r w:rsidRPr="00B27F0B">
        <w:rPr>
          <w:lang w:val="en-GB"/>
        </w:rPr>
        <w:fldChar w:fldCharType="separate"/>
      </w:r>
      <w:r w:rsidR="00E44881" w:rsidRPr="00B56453">
        <w:rPr>
          <w:noProof/>
          <w:lang w:val="en-GB"/>
        </w:rPr>
        <w:t>2</w:t>
      </w:r>
      <w:r w:rsidRPr="009C2746">
        <w:rPr>
          <w:lang w:val="en-GB"/>
        </w:rPr>
        <w:fldChar w:fldCharType="end"/>
      </w:r>
      <w:r w:rsidRPr="00B56453">
        <w:rPr>
          <w:lang w:val="en-GB"/>
        </w:rPr>
        <w:t xml:space="preserve"> </w:t>
      </w:r>
      <w:r w:rsidR="00885CB3" w:rsidRPr="00B56453">
        <w:rPr>
          <w:lang w:val="en-GB"/>
        </w:rPr>
        <w:t xml:space="preserve">Analysis of </w:t>
      </w:r>
      <w:r w:rsidRPr="00B56453">
        <w:rPr>
          <w:lang w:val="en-GB"/>
        </w:rPr>
        <w:t>SSRQ</w:t>
      </w:r>
      <w:r w:rsidR="00885CB3" w:rsidRPr="00B56453">
        <w:rPr>
          <w:lang w:val="en-GB"/>
        </w:rPr>
        <w:t xml:space="preserve"> scores using p</w:t>
      </w:r>
      <w:r w:rsidRPr="00B56453">
        <w:rPr>
          <w:lang w:val="en-GB"/>
        </w:rPr>
        <w:t>airwise comparisons.</w:t>
      </w:r>
      <w:bookmarkEnd w:id="317"/>
      <w:bookmarkEnd w:id="318"/>
      <w:bookmarkEnd w:id="319"/>
    </w:p>
    <w:tbl>
      <w:tblPr>
        <w:tblpPr w:leftFromText="181" w:rightFromText="181" w:vertAnchor="text" w:horzAnchor="margin" w:tblpY="1"/>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906"/>
        <w:gridCol w:w="923"/>
        <w:gridCol w:w="1506"/>
        <w:gridCol w:w="708"/>
        <w:gridCol w:w="851"/>
        <w:gridCol w:w="1134"/>
        <w:gridCol w:w="1276"/>
      </w:tblGrid>
      <w:tr w:rsidR="00DB587B" w:rsidRPr="00B56453" w14:paraId="0FCC48C5" w14:textId="77777777" w:rsidTr="00680B27">
        <w:trPr>
          <w:cantSplit/>
        </w:trPr>
        <w:tc>
          <w:tcPr>
            <w:tcW w:w="1060" w:type="dxa"/>
            <w:vMerge w:val="restart"/>
            <w:tcBorders>
              <w:left w:val="nil"/>
              <w:bottom w:val="nil"/>
              <w:right w:val="nil"/>
            </w:tcBorders>
            <w:shd w:val="clear" w:color="auto" w:fill="FFFFFF"/>
            <w:vAlign w:val="bottom"/>
          </w:tcPr>
          <w:p w14:paraId="26595656"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Condition</w:t>
            </w:r>
          </w:p>
        </w:tc>
        <w:tc>
          <w:tcPr>
            <w:tcW w:w="906" w:type="dxa"/>
            <w:vMerge w:val="restart"/>
            <w:tcBorders>
              <w:left w:val="nil"/>
              <w:bottom w:val="nil"/>
              <w:right w:val="nil"/>
            </w:tcBorders>
            <w:shd w:val="clear" w:color="auto" w:fill="FFFFFF"/>
            <w:vAlign w:val="bottom"/>
          </w:tcPr>
          <w:p w14:paraId="4C51FB4E"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(I) Time</w:t>
            </w:r>
          </w:p>
        </w:tc>
        <w:tc>
          <w:tcPr>
            <w:tcW w:w="923" w:type="dxa"/>
            <w:vMerge w:val="restart"/>
            <w:tcBorders>
              <w:left w:val="nil"/>
              <w:bottom w:val="nil"/>
              <w:right w:val="nil"/>
            </w:tcBorders>
            <w:shd w:val="clear" w:color="auto" w:fill="FFFFFF"/>
            <w:vAlign w:val="bottom"/>
          </w:tcPr>
          <w:p w14:paraId="0022C5EB"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(J) Time</w:t>
            </w:r>
          </w:p>
        </w:tc>
        <w:tc>
          <w:tcPr>
            <w:tcW w:w="1506" w:type="dxa"/>
            <w:vMerge w:val="restart"/>
            <w:tcBorders>
              <w:left w:val="nil"/>
              <w:bottom w:val="nil"/>
              <w:right w:val="nil"/>
            </w:tcBorders>
            <w:shd w:val="clear" w:color="auto" w:fill="FFFFFF"/>
            <w:vAlign w:val="bottom"/>
          </w:tcPr>
          <w:p w14:paraId="510F6F09"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Mean Difference (I-J)</w:t>
            </w:r>
          </w:p>
        </w:tc>
        <w:tc>
          <w:tcPr>
            <w:tcW w:w="708" w:type="dxa"/>
            <w:vMerge w:val="restart"/>
            <w:tcBorders>
              <w:left w:val="nil"/>
              <w:bottom w:val="nil"/>
              <w:right w:val="nil"/>
            </w:tcBorders>
            <w:shd w:val="clear" w:color="auto" w:fill="FFFFFF"/>
            <w:vAlign w:val="bottom"/>
          </w:tcPr>
          <w:p w14:paraId="58237B9E"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Std. Error</w:t>
            </w:r>
          </w:p>
        </w:tc>
        <w:tc>
          <w:tcPr>
            <w:tcW w:w="851" w:type="dxa"/>
            <w:vMerge w:val="restart"/>
            <w:tcBorders>
              <w:left w:val="nil"/>
              <w:bottom w:val="nil"/>
              <w:right w:val="nil"/>
            </w:tcBorders>
            <w:shd w:val="clear" w:color="auto" w:fill="FFFFFF"/>
            <w:vAlign w:val="bottom"/>
          </w:tcPr>
          <w:p w14:paraId="644A5255"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Sig.</w:t>
            </w:r>
            <w:r w:rsidRPr="00B56453">
              <w:rPr>
                <w:rFonts w:cs="Times New Roman"/>
                <w:color w:val="000000"/>
                <w:sz w:val="22"/>
                <w:szCs w:val="20"/>
                <w:vertAlign w:val="superscript"/>
              </w:rPr>
              <w:t>b</w:t>
            </w:r>
          </w:p>
        </w:tc>
        <w:tc>
          <w:tcPr>
            <w:tcW w:w="2410" w:type="dxa"/>
            <w:gridSpan w:val="2"/>
            <w:tcBorders>
              <w:left w:val="nil"/>
              <w:bottom w:val="nil"/>
              <w:right w:val="nil"/>
            </w:tcBorders>
            <w:shd w:val="clear" w:color="auto" w:fill="FFFFFF"/>
            <w:vAlign w:val="bottom"/>
          </w:tcPr>
          <w:p w14:paraId="12458357"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95% Confidence Interval for Difference</w:t>
            </w:r>
            <w:r w:rsidRPr="00B56453">
              <w:rPr>
                <w:rFonts w:cs="Times New Roman"/>
                <w:color w:val="000000"/>
                <w:sz w:val="22"/>
                <w:szCs w:val="20"/>
                <w:vertAlign w:val="superscript"/>
              </w:rPr>
              <w:t>b</w:t>
            </w:r>
          </w:p>
        </w:tc>
      </w:tr>
      <w:tr w:rsidR="00DB587B" w:rsidRPr="00B56453" w14:paraId="69D13F24" w14:textId="77777777" w:rsidTr="007C73DC">
        <w:trPr>
          <w:cantSplit/>
        </w:trPr>
        <w:tc>
          <w:tcPr>
            <w:tcW w:w="1060" w:type="dxa"/>
            <w:vMerge/>
            <w:tcBorders>
              <w:left w:val="nil"/>
              <w:bottom w:val="nil"/>
              <w:right w:val="nil"/>
            </w:tcBorders>
            <w:shd w:val="clear" w:color="auto" w:fill="FFFFFF"/>
            <w:vAlign w:val="bottom"/>
          </w:tcPr>
          <w:p w14:paraId="2B106ED5"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left w:val="nil"/>
              <w:bottom w:val="nil"/>
              <w:right w:val="nil"/>
            </w:tcBorders>
            <w:shd w:val="clear" w:color="auto" w:fill="FFFFFF"/>
            <w:vAlign w:val="bottom"/>
          </w:tcPr>
          <w:p w14:paraId="30789CE0"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23" w:type="dxa"/>
            <w:vMerge/>
            <w:tcBorders>
              <w:left w:val="nil"/>
              <w:bottom w:val="nil"/>
              <w:right w:val="nil"/>
            </w:tcBorders>
            <w:shd w:val="clear" w:color="auto" w:fill="FFFFFF"/>
            <w:vAlign w:val="bottom"/>
          </w:tcPr>
          <w:p w14:paraId="1E26F965"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1506" w:type="dxa"/>
            <w:vMerge/>
            <w:tcBorders>
              <w:left w:val="nil"/>
              <w:bottom w:val="nil"/>
              <w:right w:val="nil"/>
            </w:tcBorders>
            <w:shd w:val="clear" w:color="auto" w:fill="FFFFFF"/>
            <w:vAlign w:val="bottom"/>
          </w:tcPr>
          <w:p w14:paraId="583A5E1F"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708" w:type="dxa"/>
            <w:vMerge/>
            <w:tcBorders>
              <w:left w:val="nil"/>
              <w:bottom w:val="nil"/>
              <w:right w:val="nil"/>
            </w:tcBorders>
            <w:shd w:val="clear" w:color="auto" w:fill="FFFFFF"/>
            <w:vAlign w:val="bottom"/>
          </w:tcPr>
          <w:p w14:paraId="5239C193"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851" w:type="dxa"/>
            <w:vMerge/>
            <w:tcBorders>
              <w:left w:val="nil"/>
              <w:bottom w:val="nil"/>
              <w:right w:val="nil"/>
            </w:tcBorders>
            <w:shd w:val="clear" w:color="auto" w:fill="FFFFFF"/>
            <w:vAlign w:val="bottom"/>
          </w:tcPr>
          <w:p w14:paraId="0CC3F6FA"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1134" w:type="dxa"/>
            <w:tcBorders>
              <w:top w:val="nil"/>
              <w:left w:val="nil"/>
              <w:right w:val="nil"/>
            </w:tcBorders>
            <w:shd w:val="clear" w:color="auto" w:fill="FFFFFF"/>
            <w:vAlign w:val="bottom"/>
          </w:tcPr>
          <w:p w14:paraId="54E68EBD"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Lower Bound</w:t>
            </w:r>
          </w:p>
        </w:tc>
        <w:tc>
          <w:tcPr>
            <w:tcW w:w="1276" w:type="dxa"/>
            <w:tcBorders>
              <w:top w:val="nil"/>
              <w:left w:val="nil"/>
              <w:right w:val="nil"/>
            </w:tcBorders>
            <w:shd w:val="clear" w:color="auto" w:fill="FFFFFF"/>
            <w:vAlign w:val="bottom"/>
          </w:tcPr>
          <w:p w14:paraId="2BFED229"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Upper Bound</w:t>
            </w:r>
          </w:p>
        </w:tc>
      </w:tr>
      <w:tr w:rsidR="00DB587B" w:rsidRPr="00B56453" w14:paraId="2C8B45EB" w14:textId="77777777" w:rsidTr="007C73DC">
        <w:trPr>
          <w:cantSplit/>
        </w:trPr>
        <w:tc>
          <w:tcPr>
            <w:tcW w:w="1060" w:type="dxa"/>
            <w:vMerge w:val="restart"/>
            <w:tcBorders>
              <w:left w:val="nil"/>
              <w:right w:val="nil"/>
            </w:tcBorders>
            <w:shd w:val="clear" w:color="auto" w:fill="FFFFFF"/>
          </w:tcPr>
          <w:p w14:paraId="1B703686"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BPF</w:t>
            </w:r>
          </w:p>
        </w:tc>
        <w:tc>
          <w:tcPr>
            <w:tcW w:w="906" w:type="dxa"/>
            <w:vMerge w:val="restart"/>
            <w:tcBorders>
              <w:left w:val="nil"/>
              <w:right w:val="nil"/>
            </w:tcBorders>
            <w:shd w:val="clear" w:color="auto" w:fill="FFFFFF"/>
          </w:tcPr>
          <w:p w14:paraId="3AE8827B"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923" w:type="dxa"/>
            <w:tcBorders>
              <w:left w:val="nil"/>
              <w:bottom w:val="nil"/>
              <w:right w:val="nil"/>
            </w:tcBorders>
            <w:shd w:val="clear" w:color="auto" w:fill="FFFFFF"/>
          </w:tcPr>
          <w:p w14:paraId="04E26D52"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1506" w:type="dxa"/>
            <w:tcBorders>
              <w:left w:val="nil"/>
              <w:bottom w:val="nil"/>
              <w:right w:val="nil"/>
            </w:tcBorders>
            <w:shd w:val="clear" w:color="auto" w:fill="FFFFFF"/>
          </w:tcPr>
          <w:p w14:paraId="7D88A4F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13.67</w:t>
            </w:r>
          </w:p>
        </w:tc>
        <w:tc>
          <w:tcPr>
            <w:tcW w:w="708" w:type="dxa"/>
            <w:tcBorders>
              <w:left w:val="nil"/>
              <w:bottom w:val="nil"/>
              <w:right w:val="nil"/>
            </w:tcBorders>
            <w:shd w:val="clear" w:color="auto" w:fill="FFFFFF"/>
          </w:tcPr>
          <w:p w14:paraId="7E2CE70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4.19</w:t>
            </w:r>
          </w:p>
        </w:tc>
        <w:tc>
          <w:tcPr>
            <w:tcW w:w="851" w:type="dxa"/>
            <w:tcBorders>
              <w:left w:val="nil"/>
              <w:bottom w:val="nil"/>
              <w:right w:val="nil"/>
            </w:tcBorders>
            <w:shd w:val="clear" w:color="auto" w:fill="FFFFFF"/>
          </w:tcPr>
          <w:p w14:paraId="1BA7CEFD" w14:textId="1C724F38"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.004</w:t>
            </w:r>
          </w:p>
        </w:tc>
        <w:tc>
          <w:tcPr>
            <w:tcW w:w="1134" w:type="dxa"/>
            <w:tcBorders>
              <w:left w:val="nil"/>
              <w:bottom w:val="nil"/>
              <w:right w:val="nil"/>
            </w:tcBorders>
            <w:shd w:val="clear" w:color="auto" w:fill="FFFFFF"/>
          </w:tcPr>
          <w:p w14:paraId="0FBC727D"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3.53</w:t>
            </w:r>
          </w:p>
        </w:tc>
        <w:tc>
          <w:tcPr>
            <w:tcW w:w="1276" w:type="dxa"/>
            <w:tcBorders>
              <w:left w:val="nil"/>
              <w:bottom w:val="nil"/>
              <w:right w:val="nil"/>
            </w:tcBorders>
            <w:shd w:val="clear" w:color="auto" w:fill="FFFFFF"/>
          </w:tcPr>
          <w:p w14:paraId="4B80F030"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23.81</w:t>
            </w:r>
          </w:p>
        </w:tc>
      </w:tr>
      <w:tr w:rsidR="00DB587B" w:rsidRPr="00B56453" w14:paraId="55DB48BF" w14:textId="77777777" w:rsidTr="007C73DC">
        <w:trPr>
          <w:cantSplit/>
        </w:trPr>
        <w:tc>
          <w:tcPr>
            <w:tcW w:w="1060" w:type="dxa"/>
            <w:vMerge/>
            <w:tcBorders>
              <w:left w:val="nil"/>
              <w:right w:val="nil"/>
            </w:tcBorders>
            <w:shd w:val="clear" w:color="auto" w:fill="FFFFFF"/>
          </w:tcPr>
          <w:p w14:paraId="76061219"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left w:val="nil"/>
              <w:right w:val="nil"/>
            </w:tcBorders>
            <w:shd w:val="clear" w:color="auto" w:fill="FFFFFF"/>
          </w:tcPr>
          <w:p w14:paraId="61F13F18"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7F0E58D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1506" w:type="dxa"/>
            <w:tcBorders>
              <w:top w:val="nil"/>
              <w:left w:val="nil"/>
              <w:right w:val="nil"/>
            </w:tcBorders>
            <w:shd w:val="clear" w:color="auto" w:fill="FFFFFF"/>
          </w:tcPr>
          <w:p w14:paraId="64739AE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7.47</w:t>
            </w:r>
          </w:p>
        </w:tc>
        <w:tc>
          <w:tcPr>
            <w:tcW w:w="708" w:type="dxa"/>
            <w:tcBorders>
              <w:top w:val="nil"/>
              <w:left w:val="nil"/>
              <w:right w:val="nil"/>
            </w:tcBorders>
            <w:shd w:val="clear" w:color="auto" w:fill="FFFFFF"/>
          </w:tcPr>
          <w:p w14:paraId="420B807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2.65</w:t>
            </w:r>
          </w:p>
        </w:tc>
        <w:tc>
          <w:tcPr>
            <w:tcW w:w="851" w:type="dxa"/>
            <w:tcBorders>
              <w:top w:val="nil"/>
              <w:left w:val="nil"/>
              <w:right w:val="nil"/>
            </w:tcBorders>
            <w:shd w:val="clear" w:color="auto" w:fill="FFFFFF"/>
          </w:tcPr>
          <w:p w14:paraId="4E4D280E" w14:textId="6855EAD0"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.016</w:t>
            </w:r>
          </w:p>
        </w:tc>
        <w:tc>
          <w:tcPr>
            <w:tcW w:w="1134" w:type="dxa"/>
            <w:tcBorders>
              <w:top w:val="nil"/>
              <w:left w:val="nil"/>
              <w:right w:val="nil"/>
            </w:tcBorders>
            <w:shd w:val="clear" w:color="auto" w:fill="FFFFFF"/>
          </w:tcPr>
          <w:p w14:paraId="01068977"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1.07</w:t>
            </w:r>
          </w:p>
        </w:tc>
        <w:tc>
          <w:tcPr>
            <w:tcW w:w="1276" w:type="dxa"/>
            <w:tcBorders>
              <w:top w:val="nil"/>
              <w:left w:val="nil"/>
              <w:right w:val="nil"/>
            </w:tcBorders>
            <w:shd w:val="clear" w:color="auto" w:fill="FFFFFF"/>
          </w:tcPr>
          <w:p w14:paraId="72D44EAD"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13.87</w:t>
            </w:r>
          </w:p>
        </w:tc>
      </w:tr>
      <w:tr w:rsidR="00DB587B" w:rsidRPr="00B56453" w14:paraId="4D0E4F8E" w14:textId="77777777" w:rsidTr="007C73DC">
        <w:trPr>
          <w:cantSplit/>
        </w:trPr>
        <w:tc>
          <w:tcPr>
            <w:tcW w:w="1060" w:type="dxa"/>
            <w:vMerge/>
            <w:tcBorders>
              <w:left w:val="nil"/>
              <w:right w:val="nil"/>
            </w:tcBorders>
            <w:shd w:val="clear" w:color="auto" w:fill="FFFFFF"/>
          </w:tcPr>
          <w:p w14:paraId="58829D2E"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val="restart"/>
            <w:tcBorders>
              <w:top w:val="nil"/>
              <w:left w:val="nil"/>
              <w:right w:val="nil"/>
            </w:tcBorders>
            <w:shd w:val="clear" w:color="auto" w:fill="FFFFFF"/>
          </w:tcPr>
          <w:p w14:paraId="25D4C6B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923" w:type="dxa"/>
            <w:tcBorders>
              <w:top w:val="nil"/>
              <w:left w:val="nil"/>
              <w:bottom w:val="nil"/>
              <w:right w:val="nil"/>
            </w:tcBorders>
            <w:shd w:val="clear" w:color="auto" w:fill="FFFFFF"/>
          </w:tcPr>
          <w:p w14:paraId="6ED89F51"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1506" w:type="dxa"/>
            <w:tcBorders>
              <w:top w:val="nil"/>
              <w:left w:val="nil"/>
              <w:bottom w:val="nil"/>
              <w:right w:val="nil"/>
            </w:tcBorders>
            <w:shd w:val="clear" w:color="auto" w:fill="FFFFFF"/>
          </w:tcPr>
          <w:p w14:paraId="0764C6C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-13.67</w:t>
            </w:r>
          </w:p>
        </w:tc>
        <w:tc>
          <w:tcPr>
            <w:tcW w:w="708" w:type="dxa"/>
            <w:tcBorders>
              <w:top w:val="nil"/>
              <w:left w:val="nil"/>
              <w:bottom w:val="nil"/>
              <w:right w:val="nil"/>
            </w:tcBorders>
            <w:shd w:val="clear" w:color="auto" w:fill="FFFFFF"/>
          </w:tcPr>
          <w:p w14:paraId="402AD74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4.19</w:t>
            </w:r>
          </w:p>
        </w:tc>
        <w:tc>
          <w:tcPr>
            <w:tcW w:w="851" w:type="dxa"/>
            <w:tcBorders>
              <w:top w:val="nil"/>
              <w:left w:val="nil"/>
              <w:bottom w:val="nil"/>
              <w:right w:val="nil"/>
            </w:tcBorders>
            <w:shd w:val="clear" w:color="auto" w:fill="FFFFFF"/>
          </w:tcPr>
          <w:p w14:paraId="4691727E" w14:textId="431E14BD"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.004</w:t>
            </w:r>
          </w:p>
        </w:tc>
        <w:tc>
          <w:tcPr>
            <w:tcW w:w="1134" w:type="dxa"/>
            <w:tcBorders>
              <w:top w:val="nil"/>
              <w:left w:val="nil"/>
              <w:bottom w:val="nil"/>
              <w:right w:val="nil"/>
            </w:tcBorders>
            <w:shd w:val="clear" w:color="auto" w:fill="FFFFFF"/>
          </w:tcPr>
          <w:p w14:paraId="54E23259"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-23.81</w:t>
            </w:r>
          </w:p>
        </w:tc>
        <w:tc>
          <w:tcPr>
            <w:tcW w:w="1276" w:type="dxa"/>
            <w:tcBorders>
              <w:top w:val="nil"/>
              <w:left w:val="nil"/>
              <w:bottom w:val="nil"/>
              <w:right w:val="nil"/>
            </w:tcBorders>
            <w:shd w:val="clear" w:color="auto" w:fill="FFFFFF"/>
          </w:tcPr>
          <w:p w14:paraId="04B273B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-3.53</w:t>
            </w:r>
          </w:p>
        </w:tc>
      </w:tr>
      <w:tr w:rsidR="00DB587B" w:rsidRPr="00B56453" w14:paraId="4AE79A0D" w14:textId="77777777" w:rsidTr="007C73DC">
        <w:trPr>
          <w:cantSplit/>
        </w:trPr>
        <w:tc>
          <w:tcPr>
            <w:tcW w:w="1060" w:type="dxa"/>
            <w:vMerge/>
            <w:tcBorders>
              <w:left w:val="nil"/>
              <w:right w:val="nil"/>
            </w:tcBorders>
            <w:shd w:val="clear" w:color="auto" w:fill="FFFFFF"/>
          </w:tcPr>
          <w:p w14:paraId="390EE223"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top w:val="nil"/>
              <w:left w:val="nil"/>
              <w:right w:val="nil"/>
            </w:tcBorders>
            <w:shd w:val="clear" w:color="auto" w:fill="FFFFFF"/>
          </w:tcPr>
          <w:p w14:paraId="0B06339B"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07F6817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1506" w:type="dxa"/>
            <w:tcBorders>
              <w:top w:val="nil"/>
              <w:left w:val="nil"/>
              <w:right w:val="nil"/>
            </w:tcBorders>
            <w:shd w:val="clear" w:color="auto" w:fill="FFFFFF"/>
          </w:tcPr>
          <w:p w14:paraId="16D0DED7"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-6.20</w:t>
            </w:r>
          </w:p>
        </w:tc>
        <w:tc>
          <w:tcPr>
            <w:tcW w:w="708" w:type="dxa"/>
            <w:tcBorders>
              <w:top w:val="nil"/>
              <w:left w:val="nil"/>
              <w:right w:val="nil"/>
            </w:tcBorders>
            <w:shd w:val="clear" w:color="auto" w:fill="FFFFFF"/>
          </w:tcPr>
          <w:p w14:paraId="66018B3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4.58</w:t>
            </w:r>
          </w:p>
        </w:tc>
        <w:tc>
          <w:tcPr>
            <w:tcW w:w="851" w:type="dxa"/>
            <w:tcBorders>
              <w:top w:val="nil"/>
              <w:left w:val="nil"/>
              <w:right w:val="nil"/>
            </w:tcBorders>
            <w:shd w:val="clear" w:color="auto" w:fill="FFFFFF"/>
          </w:tcPr>
          <w:p w14:paraId="64467DCB" w14:textId="740E7511"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.533</w:t>
            </w:r>
          </w:p>
        </w:tc>
        <w:tc>
          <w:tcPr>
            <w:tcW w:w="1134" w:type="dxa"/>
            <w:tcBorders>
              <w:top w:val="nil"/>
              <w:left w:val="nil"/>
              <w:right w:val="nil"/>
            </w:tcBorders>
            <w:shd w:val="clear" w:color="auto" w:fill="FFFFFF"/>
          </w:tcPr>
          <w:p w14:paraId="7F54B327"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-17.28</w:t>
            </w:r>
          </w:p>
        </w:tc>
        <w:tc>
          <w:tcPr>
            <w:tcW w:w="1276" w:type="dxa"/>
            <w:tcBorders>
              <w:top w:val="nil"/>
              <w:left w:val="nil"/>
              <w:right w:val="nil"/>
            </w:tcBorders>
            <w:shd w:val="clear" w:color="auto" w:fill="FFFFFF"/>
          </w:tcPr>
          <w:p w14:paraId="6F69DA4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4.88</w:t>
            </w:r>
          </w:p>
        </w:tc>
      </w:tr>
      <w:tr w:rsidR="00DB587B" w:rsidRPr="00B56453" w14:paraId="16CB89FC" w14:textId="77777777" w:rsidTr="007C73DC">
        <w:trPr>
          <w:cantSplit/>
        </w:trPr>
        <w:tc>
          <w:tcPr>
            <w:tcW w:w="1060" w:type="dxa"/>
            <w:vMerge/>
            <w:tcBorders>
              <w:left w:val="nil"/>
              <w:right w:val="nil"/>
            </w:tcBorders>
            <w:shd w:val="clear" w:color="auto" w:fill="FFFFFF"/>
          </w:tcPr>
          <w:p w14:paraId="320DD0D8"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val="restart"/>
            <w:tcBorders>
              <w:top w:val="nil"/>
              <w:left w:val="nil"/>
              <w:right w:val="nil"/>
            </w:tcBorders>
            <w:shd w:val="clear" w:color="auto" w:fill="FFFFFF"/>
          </w:tcPr>
          <w:p w14:paraId="5711CC6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923" w:type="dxa"/>
            <w:tcBorders>
              <w:top w:val="nil"/>
              <w:left w:val="nil"/>
              <w:bottom w:val="nil"/>
              <w:right w:val="nil"/>
            </w:tcBorders>
            <w:shd w:val="clear" w:color="auto" w:fill="FFFFFF"/>
          </w:tcPr>
          <w:p w14:paraId="60DC6942"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1506" w:type="dxa"/>
            <w:tcBorders>
              <w:top w:val="nil"/>
              <w:left w:val="nil"/>
              <w:bottom w:val="nil"/>
              <w:right w:val="nil"/>
            </w:tcBorders>
            <w:shd w:val="clear" w:color="auto" w:fill="FFFFFF"/>
          </w:tcPr>
          <w:p w14:paraId="02BEE5E4"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-7.47</w:t>
            </w:r>
          </w:p>
        </w:tc>
        <w:tc>
          <w:tcPr>
            <w:tcW w:w="708" w:type="dxa"/>
            <w:tcBorders>
              <w:top w:val="nil"/>
              <w:left w:val="nil"/>
              <w:bottom w:val="nil"/>
              <w:right w:val="nil"/>
            </w:tcBorders>
            <w:shd w:val="clear" w:color="auto" w:fill="FFFFFF"/>
          </w:tcPr>
          <w:p w14:paraId="7086184B"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2.65</w:t>
            </w:r>
          </w:p>
        </w:tc>
        <w:tc>
          <w:tcPr>
            <w:tcW w:w="851" w:type="dxa"/>
            <w:tcBorders>
              <w:top w:val="nil"/>
              <w:left w:val="nil"/>
              <w:bottom w:val="nil"/>
              <w:right w:val="nil"/>
            </w:tcBorders>
            <w:shd w:val="clear" w:color="auto" w:fill="FFFFFF"/>
          </w:tcPr>
          <w:p w14:paraId="635EE57D" w14:textId="69AE0848"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.016</w:t>
            </w:r>
          </w:p>
        </w:tc>
        <w:tc>
          <w:tcPr>
            <w:tcW w:w="1134" w:type="dxa"/>
            <w:tcBorders>
              <w:top w:val="nil"/>
              <w:left w:val="nil"/>
              <w:bottom w:val="nil"/>
              <w:right w:val="nil"/>
            </w:tcBorders>
            <w:shd w:val="clear" w:color="auto" w:fill="FFFFFF"/>
          </w:tcPr>
          <w:p w14:paraId="4A96E11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-13.87</w:t>
            </w:r>
          </w:p>
        </w:tc>
        <w:tc>
          <w:tcPr>
            <w:tcW w:w="1276" w:type="dxa"/>
            <w:tcBorders>
              <w:top w:val="nil"/>
              <w:left w:val="nil"/>
              <w:bottom w:val="nil"/>
              <w:right w:val="nil"/>
            </w:tcBorders>
            <w:shd w:val="clear" w:color="auto" w:fill="FFFFFF"/>
          </w:tcPr>
          <w:p w14:paraId="194568A0"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-1.07</w:t>
            </w:r>
          </w:p>
        </w:tc>
      </w:tr>
      <w:tr w:rsidR="00DB587B" w:rsidRPr="00B56453" w14:paraId="41F1722F" w14:textId="77777777" w:rsidTr="007C73DC">
        <w:trPr>
          <w:cantSplit/>
        </w:trPr>
        <w:tc>
          <w:tcPr>
            <w:tcW w:w="1060" w:type="dxa"/>
            <w:vMerge/>
            <w:tcBorders>
              <w:left w:val="nil"/>
              <w:right w:val="nil"/>
            </w:tcBorders>
            <w:shd w:val="clear" w:color="auto" w:fill="FFFFFF"/>
          </w:tcPr>
          <w:p w14:paraId="19794371"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top w:val="nil"/>
              <w:left w:val="nil"/>
              <w:right w:val="nil"/>
            </w:tcBorders>
            <w:shd w:val="clear" w:color="auto" w:fill="FFFFFF"/>
          </w:tcPr>
          <w:p w14:paraId="5C1D170C"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630A0EC2"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1506" w:type="dxa"/>
            <w:tcBorders>
              <w:top w:val="nil"/>
              <w:left w:val="nil"/>
              <w:right w:val="nil"/>
            </w:tcBorders>
            <w:shd w:val="clear" w:color="auto" w:fill="FFFFFF"/>
          </w:tcPr>
          <w:p w14:paraId="13E51BCB"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6.20</w:t>
            </w:r>
          </w:p>
        </w:tc>
        <w:tc>
          <w:tcPr>
            <w:tcW w:w="708" w:type="dxa"/>
            <w:tcBorders>
              <w:top w:val="nil"/>
              <w:left w:val="nil"/>
              <w:right w:val="nil"/>
            </w:tcBorders>
            <w:shd w:val="clear" w:color="auto" w:fill="FFFFFF"/>
          </w:tcPr>
          <w:p w14:paraId="57680320"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4.58</w:t>
            </w:r>
          </w:p>
        </w:tc>
        <w:tc>
          <w:tcPr>
            <w:tcW w:w="851" w:type="dxa"/>
            <w:tcBorders>
              <w:top w:val="nil"/>
              <w:left w:val="nil"/>
              <w:right w:val="nil"/>
            </w:tcBorders>
            <w:shd w:val="clear" w:color="auto" w:fill="FFFFFF"/>
          </w:tcPr>
          <w:p w14:paraId="4C4CCE4C" w14:textId="54809CC7"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.533</w:t>
            </w:r>
          </w:p>
        </w:tc>
        <w:tc>
          <w:tcPr>
            <w:tcW w:w="1134" w:type="dxa"/>
            <w:tcBorders>
              <w:top w:val="nil"/>
              <w:left w:val="nil"/>
              <w:right w:val="nil"/>
            </w:tcBorders>
            <w:shd w:val="clear" w:color="auto" w:fill="FFFFFF"/>
          </w:tcPr>
          <w:p w14:paraId="39931420"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-4.88</w:t>
            </w:r>
          </w:p>
        </w:tc>
        <w:tc>
          <w:tcPr>
            <w:tcW w:w="1276" w:type="dxa"/>
            <w:tcBorders>
              <w:top w:val="nil"/>
              <w:left w:val="nil"/>
              <w:right w:val="nil"/>
            </w:tcBorders>
            <w:shd w:val="clear" w:color="auto" w:fill="FFFFFF"/>
          </w:tcPr>
          <w:p w14:paraId="5A77D349"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17.28</w:t>
            </w:r>
          </w:p>
        </w:tc>
      </w:tr>
      <w:tr w:rsidR="00DB587B" w:rsidRPr="00B56453" w14:paraId="6F1D5ACE" w14:textId="77777777" w:rsidTr="007C73DC">
        <w:trPr>
          <w:cantSplit/>
        </w:trPr>
        <w:tc>
          <w:tcPr>
            <w:tcW w:w="1060" w:type="dxa"/>
            <w:vMerge w:val="restart"/>
            <w:tcBorders>
              <w:top w:val="nil"/>
              <w:left w:val="nil"/>
              <w:right w:val="nil"/>
            </w:tcBorders>
            <w:shd w:val="clear" w:color="auto" w:fill="FFFFFF"/>
          </w:tcPr>
          <w:p w14:paraId="66B646AB"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SRLF</w:t>
            </w:r>
          </w:p>
        </w:tc>
        <w:tc>
          <w:tcPr>
            <w:tcW w:w="906" w:type="dxa"/>
            <w:vMerge w:val="restart"/>
            <w:tcBorders>
              <w:top w:val="nil"/>
              <w:left w:val="nil"/>
              <w:right w:val="nil"/>
            </w:tcBorders>
            <w:shd w:val="clear" w:color="auto" w:fill="FFFFFF"/>
          </w:tcPr>
          <w:p w14:paraId="79C206E7"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923" w:type="dxa"/>
            <w:tcBorders>
              <w:top w:val="nil"/>
              <w:left w:val="nil"/>
              <w:bottom w:val="nil"/>
              <w:right w:val="nil"/>
            </w:tcBorders>
            <w:shd w:val="clear" w:color="auto" w:fill="FFFFFF"/>
          </w:tcPr>
          <w:p w14:paraId="238FC4A1"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1506" w:type="dxa"/>
            <w:tcBorders>
              <w:top w:val="nil"/>
              <w:left w:val="nil"/>
              <w:bottom w:val="nil"/>
              <w:right w:val="nil"/>
            </w:tcBorders>
            <w:shd w:val="clear" w:color="auto" w:fill="FFFFFF"/>
          </w:tcPr>
          <w:p w14:paraId="5D771FF1"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-3.24</w:t>
            </w:r>
          </w:p>
        </w:tc>
        <w:tc>
          <w:tcPr>
            <w:tcW w:w="708" w:type="dxa"/>
            <w:tcBorders>
              <w:top w:val="nil"/>
              <w:left w:val="nil"/>
              <w:bottom w:val="nil"/>
              <w:right w:val="nil"/>
            </w:tcBorders>
            <w:shd w:val="clear" w:color="auto" w:fill="FFFFFF"/>
          </w:tcPr>
          <w:p w14:paraId="3E113705"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3.24</w:t>
            </w:r>
          </w:p>
        </w:tc>
        <w:tc>
          <w:tcPr>
            <w:tcW w:w="851" w:type="dxa"/>
            <w:tcBorders>
              <w:top w:val="nil"/>
              <w:left w:val="nil"/>
              <w:bottom w:val="nil"/>
              <w:right w:val="nil"/>
            </w:tcBorders>
            <w:shd w:val="clear" w:color="auto" w:fill="FFFFFF"/>
          </w:tcPr>
          <w:p w14:paraId="357885D2" w14:textId="650B6A56"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.957</w:t>
            </w:r>
          </w:p>
        </w:tc>
        <w:tc>
          <w:tcPr>
            <w:tcW w:w="1134" w:type="dxa"/>
            <w:tcBorders>
              <w:top w:val="nil"/>
              <w:left w:val="nil"/>
              <w:bottom w:val="nil"/>
              <w:right w:val="nil"/>
            </w:tcBorders>
            <w:shd w:val="clear" w:color="auto" w:fill="FFFFFF"/>
          </w:tcPr>
          <w:p w14:paraId="6BB29C4F"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-11.09</w:t>
            </w:r>
          </w:p>
        </w:tc>
        <w:tc>
          <w:tcPr>
            <w:tcW w:w="1276" w:type="dxa"/>
            <w:tcBorders>
              <w:top w:val="nil"/>
              <w:left w:val="nil"/>
              <w:bottom w:val="nil"/>
              <w:right w:val="nil"/>
            </w:tcBorders>
            <w:shd w:val="clear" w:color="auto" w:fill="FFFFFF"/>
          </w:tcPr>
          <w:p w14:paraId="3E23666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4.60</w:t>
            </w:r>
          </w:p>
        </w:tc>
      </w:tr>
      <w:tr w:rsidR="00DB587B" w:rsidRPr="00B56453" w14:paraId="7266084F" w14:textId="77777777" w:rsidTr="007C73DC">
        <w:trPr>
          <w:cantSplit/>
        </w:trPr>
        <w:tc>
          <w:tcPr>
            <w:tcW w:w="1060" w:type="dxa"/>
            <w:vMerge/>
            <w:tcBorders>
              <w:top w:val="nil"/>
              <w:left w:val="nil"/>
              <w:right w:val="nil"/>
            </w:tcBorders>
            <w:shd w:val="clear" w:color="auto" w:fill="FFFFFF"/>
          </w:tcPr>
          <w:p w14:paraId="543190AA"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top w:val="nil"/>
              <w:left w:val="nil"/>
              <w:right w:val="nil"/>
            </w:tcBorders>
            <w:shd w:val="clear" w:color="auto" w:fill="FFFFFF"/>
          </w:tcPr>
          <w:p w14:paraId="0C879F1B"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49EF7E0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1506" w:type="dxa"/>
            <w:tcBorders>
              <w:top w:val="nil"/>
              <w:left w:val="nil"/>
              <w:right w:val="nil"/>
            </w:tcBorders>
            <w:shd w:val="clear" w:color="auto" w:fill="FFFFFF"/>
          </w:tcPr>
          <w:p w14:paraId="03C22391"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-9.43</w:t>
            </w:r>
          </w:p>
        </w:tc>
        <w:tc>
          <w:tcPr>
            <w:tcW w:w="708" w:type="dxa"/>
            <w:tcBorders>
              <w:top w:val="nil"/>
              <w:left w:val="nil"/>
              <w:right w:val="nil"/>
            </w:tcBorders>
            <w:shd w:val="clear" w:color="auto" w:fill="FFFFFF"/>
          </w:tcPr>
          <w:p w14:paraId="49DB296C"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2.05</w:t>
            </w:r>
          </w:p>
        </w:tc>
        <w:tc>
          <w:tcPr>
            <w:tcW w:w="851" w:type="dxa"/>
            <w:tcBorders>
              <w:top w:val="nil"/>
              <w:left w:val="nil"/>
              <w:right w:val="nil"/>
            </w:tcBorders>
            <w:shd w:val="clear" w:color="auto" w:fill="FFFFFF"/>
          </w:tcPr>
          <w:p w14:paraId="77D0F377" w14:textId="01FB629A"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.000</w:t>
            </w:r>
          </w:p>
        </w:tc>
        <w:tc>
          <w:tcPr>
            <w:tcW w:w="1134" w:type="dxa"/>
            <w:tcBorders>
              <w:top w:val="nil"/>
              <w:left w:val="nil"/>
              <w:right w:val="nil"/>
            </w:tcBorders>
            <w:shd w:val="clear" w:color="auto" w:fill="FFFFFF"/>
          </w:tcPr>
          <w:p w14:paraId="26191744"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-14.38</w:t>
            </w:r>
          </w:p>
        </w:tc>
        <w:tc>
          <w:tcPr>
            <w:tcW w:w="1276" w:type="dxa"/>
            <w:tcBorders>
              <w:top w:val="nil"/>
              <w:left w:val="nil"/>
              <w:right w:val="nil"/>
            </w:tcBorders>
            <w:shd w:val="clear" w:color="auto" w:fill="FFFFFF"/>
          </w:tcPr>
          <w:p w14:paraId="2B9E4912"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-4.48</w:t>
            </w:r>
          </w:p>
        </w:tc>
      </w:tr>
      <w:tr w:rsidR="00DB587B" w:rsidRPr="00B56453" w14:paraId="4BA6BA33" w14:textId="77777777" w:rsidTr="007C73DC">
        <w:trPr>
          <w:cantSplit/>
        </w:trPr>
        <w:tc>
          <w:tcPr>
            <w:tcW w:w="1060" w:type="dxa"/>
            <w:vMerge/>
            <w:tcBorders>
              <w:top w:val="nil"/>
              <w:left w:val="nil"/>
              <w:right w:val="nil"/>
            </w:tcBorders>
            <w:shd w:val="clear" w:color="auto" w:fill="FFFFFF"/>
          </w:tcPr>
          <w:p w14:paraId="4F59B78F"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val="restart"/>
            <w:tcBorders>
              <w:top w:val="nil"/>
              <w:left w:val="nil"/>
              <w:right w:val="nil"/>
            </w:tcBorders>
            <w:shd w:val="clear" w:color="auto" w:fill="FFFFFF"/>
          </w:tcPr>
          <w:p w14:paraId="3FE3C257"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923" w:type="dxa"/>
            <w:tcBorders>
              <w:top w:val="nil"/>
              <w:left w:val="nil"/>
              <w:bottom w:val="nil"/>
              <w:right w:val="nil"/>
            </w:tcBorders>
            <w:shd w:val="clear" w:color="auto" w:fill="FFFFFF"/>
          </w:tcPr>
          <w:p w14:paraId="1FA351D5"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1506" w:type="dxa"/>
            <w:tcBorders>
              <w:top w:val="nil"/>
              <w:left w:val="nil"/>
              <w:bottom w:val="nil"/>
              <w:right w:val="nil"/>
            </w:tcBorders>
            <w:shd w:val="clear" w:color="auto" w:fill="FFFFFF"/>
          </w:tcPr>
          <w:p w14:paraId="57872421"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3.24</w:t>
            </w:r>
          </w:p>
        </w:tc>
        <w:tc>
          <w:tcPr>
            <w:tcW w:w="708" w:type="dxa"/>
            <w:tcBorders>
              <w:top w:val="nil"/>
              <w:left w:val="nil"/>
              <w:bottom w:val="nil"/>
              <w:right w:val="nil"/>
            </w:tcBorders>
            <w:shd w:val="clear" w:color="auto" w:fill="FFFFFF"/>
          </w:tcPr>
          <w:p w14:paraId="7681F85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3.24</w:t>
            </w:r>
          </w:p>
        </w:tc>
        <w:tc>
          <w:tcPr>
            <w:tcW w:w="851" w:type="dxa"/>
            <w:tcBorders>
              <w:top w:val="nil"/>
              <w:left w:val="nil"/>
              <w:bottom w:val="nil"/>
              <w:right w:val="nil"/>
            </w:tcBorders>
            <w:shd w:val="clear" w:color="auto" w:fill="FFFFFF"/>
          </w:tcPr>
          <w:p w14:paraId="73208F65" w14:textId="24025D01"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.957</w:t>
            </w:r>
          </w:p>
        </w:tc>
        <w:tc>
          <w:tcPr>
            <w:tcW w:w="1134" w:type="dxa"/>
            <w:tcBorders>
              <w:top w:val="nil"/>
              <w:left w:val="nil"/>
              <w:bottom w:val="nil"/>
              <w:right w:val="nil"/>
            </w:tcBorders>
            <w:shd w:val="clear" w:color="auto" w:fill="FFFFFF"/>
          </w:tcPr>
          <w:p w14:paraId="432A10A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-4.60</w:t>
            </w:r>
          </w:p>
        </w:tc>
        <w:tc>
          <w:tcPr>
            <w:tcW w:w="1276" w:type="dxa"/>
            <w:tcBorders>
              <w:top w:val="nil"/>
              <w:left w:val="nil"/>
              <w:bottom w:val="nil"/>
              <w:right w:val="nil"/>
            </w:tcBorders>
            <w:shd w:val="clear" w:color="auto" w:fill="FFFFFF"/>
          </w:tcPr>
          <w:p w14:paraId="3FCD8CF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11.09</w:t>
            </w:r>
          </w:p>
        </w:tc>
      </w:tr>
      <w:tr w:rsidR="00DB587B" w:rsidRPr="00B56453" w14:paraId="49361D07" w14:textId="77777777" w:rsidTr="007C73DC">
        <w:trPr>
          <w:cantSplit/>
        </w:trPr>
        <w:tc>
          <w:tcPr>
            <w:tcW w:w="1060" w:type="dxa"/>
            <w:vMerge/>
            <w:tcBorders>
              <w:top w:val="nil"/>
              <w:left w:val="nil"/>
              <w:right w:val="nil"/>
            </w:tcBorders>
            <w:shd w:val="clear" w:color="auto" w:fill="FFFFFF"/>
          </w:tcPr>
          <w:p w14:paraId="56420CC5"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top w:val="nil"/>
              <w:left w:val="nil"/>
              <w:right w:val="nil"/>
            </w:tcBorders>
            <w:shd w:val="clear" w:color="auto" w:fill="FFFFFF"/>
          </w:tcPr>
          <w:p w14:paraId="3EF0BE07"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34B6F1ED"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1506" w:type="dxa"/>
            <w:tcBorders>
              <w:top w:val="nil"/>
              <w:left w:val="nil"/>
              <w:right w:val="nil"/>
            </w:tcBorders>
            <w:shd w:val="clear" w:color="auto" w:fill="FFFFFF"/>
          </w:tcPr>
          <w:p w14:paraId="696BF3B3"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-6.19</w:t>
            </w:r>
          </w:p>
        </w:tc>
        <w:tc>
          <w:tcPr>
            <w:tcW w:w="708" w:type="dxa"/>
            <w:tcBorders>
              <w:top w:val="nil"/>
              <w:left w:val="nil"/>
              <w:right w:val="nil"/>
            </w:tcBorders>
            <w:shd w:val="clear" w:color="auto" w:fill="FFFFFF"/>
          </w:tcPr>
          <w:p w14:paraId="6D711BB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3.54</w:t>
            </w:r>
          </w:p>
        </w:tc>
        <w:tc>
          <w:tcPr>
            <w:tcW w:w="851" w:type="dxa"/>
            <w:tcBorders>
              <w:top w:val="nil"/>
              <w:left w:val="nil"/>
              <w:right w:val="nil"/>
            </w:tcBorders>
            <w:shd w:val="clear" w:color="auto" w:fill="FFFFFF"/>
          </w:tcPr>
          <w:p w14:paraId="27419885" w14:textId="09B6A58B"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.248</w:t>
            </w:r>
          </w:p>
        </w:tc>
        <w:tc>
          <w:tcPr>
            <w:tcW w:w="1134" w:type="dxa"/>
            <w:tcBorders>
              <w:top w:val="nil"/>
              <w:left w:val="nil"/>
              <w:right w:val="nil"/>
            </w:tcBorders>
            <w:shd w:val="clear" w:color="auto" w:fill="FFFFFF"/>
          </w:tcPr>
          <w:p w14:paraId="1A84FA2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-14.76</w:t>
            </w:r>
          </w:p>
        </w:tc>
        <w:tc>
          <w:tcPr>
            <w:tcW w:w="1276" w:type="dxa"/>
            <w:tcBorders>
              <w:top w:val="nil"/>
              <w:left w:val="nil"/>
              <w:right w:val="nil"/>
            </w:tcBorders>
            <w:shd w:val="clear" w:color="auto" w:fill="FFFFFF"/>
          </w:tcPr>
          <w:p w14:paraId="7A7DDA8C"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2.38</w:t>
            </w:r>
          </w:p>
        </w:tc>
      </w:tr>
      <w:tr w:rsidR="00DB587B" w:rsidRPr="00B56453" w14:paraId="02A3CD8D" w14:textId="77777777" w:rsidTr="007C73DC">
        <w:trPr>
          <w:cantSplit/>
        </w:trPr>
        <w:tc>
          <w:tcPr>
            <w:tcW w:w="1060" w:type="dxa"/>
            <w:vMerge/>
            <w:tcBorders>
              <w:top w:val="nil"/>
              <w:left w:val="nil"/>
              <w:right w:val="nil"/>
            </w:tcBorders>
            <w:shd w:val="clear" w:color="auto" w:fill="FFFFFF"/>
          </w:tcPr>
          <w:p w14:paraId="3C046C3C"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val="restart"/>
            <w:tcBorders>
              <w:top w:val="nil"/>
              <w:left w:val="nil"/>
              <w:right w:val="nil"/>
            </w:tcBorders>
            <w:shd w:val="clear" w:color="auto" w:fill="FFFFFF"/>
          </w:tcPr>
          <w:p w14:paraId="10B919B5"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3</w:t>
            </w:r>
          </w:p>
        </w:tc>
        <w:tc>
          <w:tcPr>
            <w:tcW w:w="923" w:type="dxa"/>
            <w:tcBorders>
              <w:top w:val="nil"/>
              <w:left w:val="nil"/>
              <w:bottom w:val="nil"/>
              <w:right w:val="nil"/>
            </w:tcBorders>
            <w:shd w:val="clear" w:color="auto" w:fill="FFFFFF"/>
          </w:tcPr>
          <w:p w14:paraId="281BFB6A"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1</w:t>
            </w:r>
          </w:p>
        </w:tc>
        <w:tc>
          <w:tcPr>
            <w:tcW w:w="1506" w:type="dxa"/>
            <w:tcBorders>
              <w:top w:val="nil"/>
              <w:left w:val="nil"/>
              <w:bottom w:val="nil"/>
              <w:right w:val="nil"/>
            </w:tcBorders>
            <w:shd w:val="clear" w:color="auto" w:fill="FFFFFF"/>
          </w:tcPr>
          <w:p w14:paraId="5488CFFF"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9.43</w:t>
            </w:r>
          </w:p>
        </w:tc>
        <w:tc>
          <w:tcPr>
            <w:tcW w:w="708" w:type="dxa"/>
            <w:tcBorders>
              <w:top w:val="nil"/>
              <w:left w:val="nil"/>
              <w:bottom w:val="nil"/>
              <w:right w:val="nil"/>
            </w:tcBorders>
            <w:shd w:val="clear" w:color="auto" w:fill="FFFFFF"/>
          </w:tcPr>
          <w:p w14:paraId="1FA0563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2.05</w:t>
            </w:r>
          </w:p>
        </w:tc>
        <w:tc>
          <w:tcPr>
            <w:tcW w:w="851" w:type="dxa"/>
            <w:tcBorders>
              <w:top w:val="nil"/>
              <w:left w:val="nil"/>
              <w:bottom w:val="nil"/>
              <w:right w:val="nil"/>
            </w:tcBorders>
            <w:shd w:val="clear" w:color="auto" w:fill="FFFFFF"/>
          </w:tcPr>
          <w:p w14:paraId="651810A9" w14:textId="3EF97620"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.000</w:t>
            </w:r>
          </w:p>
        </w:tc>
        <w:tc>
          <w:tcPr>
            <w:tcW w:w="1134" w:type="dxa"/>
            <w:tcBorders>
              <w:top w:val="nil"/>
              <w:left w:val="nil"/>
              <w:bottom w:val="nil"/>
              <w:right w:val="nil"/>
            </w:tcBorders>
            <w:shd w:val="clear" w:color="auto" w:fill="FFFFFF"/>
          </w:tcPr>
          <w:p w14:paraId="67440254"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4.48</w:t>
            </w:r>
          </w:p>
        </w:tc>
        <w:tc>
          <w:tcPr>
            <w:tcW w:w="1276" w:type="dxa"/>
            <w:tcBorders>
              <w:top w:val="nil"/>
              <w:left w:val="nil"/>
              <w:bottom w:val="nil"/>
              <w:right w:val="nil"/>
            </w:tcBorders>
            <w:shd w:val="clear" w:color="auto" w:fill="FFFFFF"/>
          </w:tcPr>
          <w:p w14:paraId="371A2FAD"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14.38</w:t>
            </w:r>
          </w:p>
        </w:tc>
      </w:tr>
      <w:tr w:rsidR="00DB587B" w:rsidRPr="00B56453" w14:paraId="47C2444A" w14:textId="77777777" w:rsidTr="007C73DC">
        <w:trPr>
          <w:cantSplit/>
        </w:trPr>
        <w:tc>
          <w:tcPr>
            <w:tcW w:w="1060" w:type="dxa"/>
            <w:vMerge/>
            <w:tcBorders>
              <w:top w:val="nil"/>
              <w:left w:val="nil"/>
              <w:right w:val="nil"/>
            </w:tcBorders>
            <w:shd w:val="clear" w:color="auto" w:fill="FFFFFF"/>
          </w:tcPr>
          <w:p w14:paraId="61115B8F" w14:textId="77777777" w:rsidR="00DB587B" w:rsidRPr="00B56453" w:rsidRDefault="00DB587B" w:rsidP="004343FD">
            <w:pPr>
              <w:autoSpaceDE w:val="0"/>
              <w:autoSpaceDN w:val="0"/>
              <w:adjustRightInd w:val="0"/>
              <w:spacing w:after="0" w:line="240" w:lineRule="auto"/>
              <w:rPr>
                <w:rFonts w:cs="Times New Roman"/>
                <w:color w:val="000000"/>
                <w:sz w:val="22"/>
                <w:szCs w:val="20"/>
              </w:rPr>
            </w:pPr>
          </w:p>
        </w:tc>
        <w:tc>
          <w:tcPr>
            <w:tcW w:w="906" w:type="dxa"/>
            <w:vMerge/>
            <w:tcBorders>
              <w:top w:val="nil"/>
              <w:left w:val="nil"/>
              <w:right w:val="nil"/>
            </w:tcBorders>
            <w:shd w:val="clear" w:color="auto" w:fill="FFFFFF"/>
          </w:tcPr>
          <w:p w14:paraId="71F265C6" w14:textId="77777777" w:rsidR="00DB587B" w:rsidRPr="00B56453" w:rsidRDefault="00DB587B" w:rsidP="00851D7B">
            <w:pPr>
              <w:autoSpaceDE w:val="0"/>
              <w:autoSpaceDN w:val="0"/>
              <w:adjustRightInd w:val="0"/>
              <w:spacing w:after="0" w:line="240" w:lineRule="auto"/>
              <w:jc w:val="center"/>
              <w:rPr>
                <w:rFonts w:cs="Times New Roman"/>
                <w:color w:val="000000"/>
                <w:sz w:val="22"/>
                <w:szCs w:val="20"/>
              </w:rPr>
            </w:pPr>
          </w:p>
        </w:tc>
        <w:tc>
          <w:tcPr>
            <w:tcW w:w="923" w:type="dxa"/>
            <w:tcBorders>
              <w:top w:val="nil"/>
              <w:left w:val="nil"/>
              <w:right w:val="nil"/>
            </w:tcBorders>
            <w:shd w:val="clear" w:color="auto" w:fill="FFFFFF"/>
          </w:tcPr>
          <w:p w14:paraId="7B375230"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color w:val="000000"/>
                <w:sz w:val="22"/>
                <w:szCs w:val="20"/>
              </w:rPr>
              <w:t>2</w:t>
            </w:r>
          </w:p>
        </w:tc>
        <w:tc>
          <w:tcPr>
            <w:tcW w:w="1506" w:type="dxa"/>
            <w:tcBorders>
              <w:top w:val="nil"/>
              <w:left w:val="nil"/>
              <w:right w:val="nil"/>
            </w:tcBorders>
            <w:shd w:val="clear" w:color="auto" w:fill="FFFFFF"/>
          </w:tcPr>
          <w:p w14:paraId="145905FC"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6.19</w:t>
            </w:r>
          </w:p>
        </w:tc>
        <w:tc>
          <w:tcPr>
            <w:tcW w:w="708" w:type="dxa"/>
            <w:tcBorders>
              <w:top w:val="nil"/>
              <w:left w:val="nil"/>
              <w:right w:val="nil"/>
            </w:tcBorders>
            <w:shd w:val="clear" w:color="auto" w:fill="FFFFFF"/>
          </w:tcPr>
          <w:p w14:paraId="3647427B"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3.54</w:t>
            </w:r>
          </w:p>
        </w:tc>
        <w:tc>
          <w:tcPr>
            <w:tcW w:w="851" w:type="dxa"/>
            <w:tcBorders>
              <w:top w:val="nil"/>
              <w:left w:val="nil"/>
              <w:right w:val="nil"/>
            </w:tcBorders>
            <w:shd w:val="clear" w:color="auto" w:fill="FFFFFF"/>
          </w:tcPr>
          <w:p w14:paraId="66CE296B" w14:textId="03357F0C" w:rsidR="00DB587B" w:rsidRPr="00B56453" w:rsidRDefault="004A351A"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rPr>
              <w:t>0</w:t>
            </w:r>
            <w:r w:rsidR="00DB587B" w:rsidRPr="00B56453">
              <w:rPr>
                <w:rFonts w:cs="Times New Roman"/>
                <w:sz w:val="22"/>
              </w:rPr>
              <w:t>.248</w:t>
            </w:r>
          </w:p>
        </w:tc>
        <w:tc>
          <w:tcPr>
            <w:tcW w:w="1134" w:type="dxa"/>
            <w:tcBorders>
              <w:top w:val="nil"/>
              <w:left w:val="nil"/>
              <w:right w:val="nil"/>
            </w:tcBorders>
            <w:shd w:val="clear" w:color="auto" w:fill="FFFFFF"/>
          </w:tcPr>
          <w:p w14:paraId="0E17EBAE"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-2.38</w:t>
            </w:r>
          </w:p>
        </w:tc>
        <w:tc>
          <w:tcPr>
            <w:tcW w:w="1276" w:type="dxa"/>
            <w:tcBorders>
              <w:top w:val="nil"/>
              <w:left w:val="nil"/>
              <w:right w:val="nil"/>
            </w:tcBorders>
            <w:shd w:val="clear" w:color="auto" w:fill="FFFFFF"/>
          </w:tcPr>
          <w:p w14:paraId="46B924B6" w14:textId="77777777" w:rsidR="00DB587B" w:rsidRPr="00B56453" w:rsidRDefault="00DB587B" w:rsidP="00851D7B">
            <w:pPr>
              <w:autoSpaceDE w:val="0"/>
              <w:autoSpaceDN w:val="0"/>
              <w:adjustRightInd w:val="0"/>
              <w:spacing w:after="0" w:line="240" w:lineRule="auto"/>
              <w:ind w:left="60" w:right="60"/>
              <w:jc w:val="center"/>
              <w:rPr>
                <w:rFonts w:cs="Times New Roman"/>
                <w:color w:val="000000"/>
                <w:sz w:val="22"/>
                <w:szCs w:val="20"/>
              </w:rPr>
            </w:pPr>
            <w:r w:rsidRPr="00B56453">
              <w:rPr>
                <w:rFonts w:cs="Times New Roman"/>
                <w:sz w:val="22"/>
                <w:szCs w:val="20"/>
              </w:rPr>
              <w:t>14.76</w:t>
            </w:r>
          </w:p>
        </w:tc>
      </w:tr>
      <w:tr w:rsidR="00DB587B" w:rsidRPr="00B56453" w14:paraId="026C6568" w14:textId="77777777" w:rsidTr="00680B27">
        <w:trPr>
          <w:cantSplit/>
        </w:trPr>
        <w:tc>
          <w:tcPr>
            <w:tcW w:w="8364" w:type="dxa"/>
            <w:gridSpan w:val="8"/>
            <w:tcBorders>
              <w:top w:val="nil"/>
              <w:left w:val="nil"/>
              <w:bottom w:val="nil"/>
              <w:right w:val="nil"/>
            </w:tcBorders>
            <w:shd w:val="clear" w:color="auto" w:fill="FFFFFF"/>
          </w:tcPr>
          <w:p w14:paraId="02C2B37D"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Based on estimated marginal means</w:t>
            </w:r>
          </w:p>
        </w:tc>
      </w:tr>
      <w:tr w:rsidR="00DB587B" w:rsidRPr="00B56453" w14:paraId="60F9245E" w14:textId="77777777" w:rsidTr="00680B27">
        <w:trPr>
          <w:cantSplit/>
        </w:trPr>
        <w:tc>
          <w:tcPr>
            <w:tcW w:w="8364" w:type="dxa"/>
            <w:gridSpan w:val="8"/>
            <w:tcBorders>
              <w:top w:val="nil"/>
              <w:left w:val="nil"/>
              <w:bottom w:val="nil"/>
              <w:right w:val="nil"/>
            </w:tcBorders>
            <w:shd w:val="clear" w:color="auto" w:fill="FFFFFF"/>
          </w:tcPr>
          <w:p w14:paraId="1A5B3EBD" w14:textId="77777777" w:rsidR="00DB587B" w:rsidRPr="00B56453" w:rsidRDefault="00DB587B" w:rsidP="004343FD">
            <w:pPr>
              <w:autoSpaceDE w:val="0"/>
              <w:autoSpaceDN w:val="0"/>
              <w:adjustRightInd w:val="0"/>
              <w:spacing w:after="0" w:line="240" w:lineRule="auto"/>
              <w:ind w:left="60" w:right="60"/>
              <w:rPr>
                <w:rFonts w:cs="Times New Roman"/>
                <w:color w:val="000000"/>
                <w:sz w:val="22"/>
                <w:szCs w:val="20"/>
              </w:rPr>
            </w:pPr>
            <w:r w:rsidRPr="00B56453">
              <w:rPr>
                <w:rFonts w:cs="Times New Roman"/>
                <w:color w:val="000000"/>
                <w:sz w:val="22"/>
                <w:szCs w:val="20"/>
              </w:rPr>
              <w:t>b. Adjustment for multiple comparisons: Bonferroni.</w:t>
            </w:r>
          </w:p>
          <w:p w14:paraId="398290C8" w14:textId="77777777" w:rsidR="00DB587B" w:rsidRPr="00B56453" w:rsidRDefault="00DB587B" w:rsidP="004343FD">
            <w:pPr>
              <w:autoSpaceDE w:val="0"/>
              <w:autoSpaceDN w:val="0"/>
              <w:adjustRightInd w:val="0"/>
              <w:spacing w:after="0" w:line="240" w:lineRule="auto"/>
              <w:ind w:right="60"/>
              <w:rPr>
                <w:rFonts w:cs="Times New Roman"/>
                <w:color w:val="000000"/>
                <w:sz w:val="22"/>
                <w:szCs w:val="20"/>
              </w:rPr>
            </w:pPr>
          </w:p>
        </w:tc>
      </w:tr>
    </w:tbl>
    <w:p w14:paraId="5869B7EB" w14:textId="77777777" w:rsidR="00851D7B" w:rsidRPr="00B56453" w:rsidRDefault="00851D7B" w:rsidP="00026049">
      <w:pPr>
        <w:pStyle w:val="Normal1"/>
        <w:rPr>
          <w:rFonts w:eastAsiaTheme="minorHAnsi" w:cs="Times New Roman"/>
          <w:b/>
          <w:kern w:val="0"/>
          <w:lang w:val="en-GB" w:eastAsia="en-US" w:bidi="ar-SA"/>
        </w:rPr>
      </w:pPr>
    </w:p>
    <w:p w14:paraId="131EF527" w14:textId="13FF07D4" w:rsidR="00DB587B" w:rsidRPr="00B56453" w:rsidRDefault="00DB587B" w:rsidP="00026049">
      <w:pPr>
        <w:pStyle w:val="Normal1"/>
        <w:rPr>
          <w:lang w:val="en-GB"/>
        </w:rPr>
      </w:pPr>
      <w:r w:rsidRPr="00B56453">
        <w:rPr>
          <w:lang w:val="en-GB"/>
        </w:rPr>
        <w:t xml:space="preserve">In </w:t>
      </w:r>
      <w:r w:rsidR="004A351A" w:rsidRPr="00B56453">
        <w:rPr>
          <w:lang w:val="en-GB"/>
        </w:rPr>
        <w:t xml:space="preserve">the </w:t>
      </w:r>
      <w:r w:rsidRPr="00B56453">
        <w:rPr>
          <w:lang w:val="en-GB"/>
        </w:rPr>
        <w:t>BPF</w:t>
      </w:r>
      <w:r w:rsidR="004A351A" w:rsidRPr="00B56453">
        <w:rPr>
          <w:lang w:val="en-GB"/>
        </w:rPr>
        <w:t xml:space="preserve"> group,</w:t>
      </w:r>
      <w:r w:rsidRPr="00B56453">
        <w:rPr>
          <w:lang w:val="en-GB"/>
        </w:rPr>
        <w:t xml:space="preserve"> a significant decrease in SSRQ scores </w:t>
      </w:r>
      <w:r w:rsidR="00C24E5A" w:rsidRPr="00B56453">
        <w:rPr>
          <w:lang w:val="en-GB"/>
        </w:rPr>
        <w:t xml:space="preserve">was observed </w:t>
      </w:r>
      <w:r w:rsidRPr="00B56453">
        <w:rPr>
          <w:lang w:val="en-GB"/>
        </w:rPr>
        <w:t>from 1</w:t>
      </w:r>
      <w:r w:rsidRPr="00B56453">
        <w:rPr>
          <w:vertAlign w:val="superscript"/>
          <w:lang w:val="en-GB"/>
        </w:rPr>
        <w:t>st</w:t>
      </w:r>
      <w:r w:rsidRPr="00B56453">
        <w:rPr>
          <w:lang w:val="en-GB"/>
        </w:rPr>
        <w:t xml:space="preserve"> round (M = 117.55, SE = 1.51) to 2</w:t>
      </w:r>
      <w:r w:rsidRPr="00B56453">
        <w:rPr>
          <w:vertAlign w:val="superscript"/>
          <w:lang w:val="en-GB"/>
        </w:rPr>
        <w:t>nd</w:t>
      </w:r>
      <w:r w:rsidRPr="00B56453">
        <w:rPr>
          <w:lang w:val="en-GB"/>
        </w:rPr>
        <w:t xml:space="preserve"> round (M = 103.88 SE = 4.07) with p &lt;</w:t>
      </w:r>
      <w:r w:rsidR="004A351A" w:rsidRPr="00B56453">
        <w:rPr>
          <w:lang w:val="en-GB"/>
        </w:rPr>
        <w:t>0</w:t>
      </w:r>
      <w:r w:rsidRPr="00B56453">
        <w:rPr>
          <w:lang w:val="en-GB"/>
        </w:rPr>
        <w:t xml:space="preserve"> .005, and a significant increase in SSRQ scores from 1</w:t>
      </w:r>
      <w:r w:rsidRPr="00B56453">
        <w:rPr>
          <w:vertAlign w:val="superscript"/>
          <w:lang w:val="en-GB"/>
        </w:rPr>
        <w:t>st</w:t>
      </w:r>
      <w:r w:rsidRPr="00B56453">
        <w:rPr>
          <w:lang w:val="en-GB"/>
        </w:rPr>
        <w:t xml:space="preserve"> round to 3</w:t>
      </w:r>
      <w:r w:rsidRPr="00B56453">
        <w:rPr>
          <w:vertAlign w:val="superscript"/>
          <w:lang w:val="en-GB"/>
        </w:rPr>
        <w:t>rd</w:t>
      </w:r>
      <w:r w:rsidRPr="00B56453">
        <w:rPr>
          <w:lang w:val="en-GB"/>
        </w:rPr>
        <w:t xml:space="preserve"> round (M = 110.08, SE = 2.22) with p &lt; </w:t>
      </w:r>
      <w:r w:rsidR="004A351A" w:rsidRPr="00B56453">
        <w:rPr>
          <w:lang w:val="en-GB"/>
        </w:rPr>
        <w:t>0</w:t>
      </w:r>
      <w:r w:rsidRPr="00B56453">
        <w:rPr>
          <w:lang w:val="en-GB"/>
        </w:rPr>
        <w:t>.02. In SRLF a significant increase in SSRQ scores</w:t>
      </w:r>
      <w:r w:rsidR="00C24E5A" w:rsidRPr="00B56453">
        <w:rPr>
          <w:lang w:val="en-GB"/>
        </w:rPr>
        <w:t xml:space="preserve"> was observed </w:t>
      </w:r>
      <w:r w:rsidRPr="00B56453">
        <w:rPr>
          <w:lang w:val="en-GB"/>
        </w:rPr>
        <w:t>from 1</w:t>
      </w:r>
      <w:r w:rsidRPr="00B56453">
        <w:rPr>
          <w:vertAlign w:val="superscript"/>
          <w:lang w:val="en-GB"/>
        </w:rPr>
        <w:t>st</w:t>
      </w:r>
      <w:r w:rsidRPr="00B56453">
        <w:rPr>
          <w:lang w:val="en-GB"/>
        </w:rPr>
        <w:t xml:space="preserve"> round (M = 115.79, SE = 1.16) to 3</w:t>
      </w:r>
      <w:r w:rsidRPr="00B56453">
        <w:rPr>
          <w:vertAlign w:val="superscript"/>
          <w:lang w:val="en-GB"/>
        </w:rPr>
        <w:t>rd</w:t>
      </w:r>
      <w:r w:rsidRPr="00B56453">
        <w:rPr>
          <w:lang w:val="en-GB"/>
        </w:rPr>
        <w:t xml:space="preserve"> round (M = 125.22, SE = 1.72) with p &lt; </w:t>
      </w:r>
      <w:r w:rsidR="004A351A" w:rsidRPr="00B56453">
        <w:rPr>
          <w:lang w:val="en-GB"/>
        </w:rPr>
        <w:t>0</w:t>
      </w:r>
      <w:r w:rsidRPr="00B56453">
        <w:rPr>
          <w:lang w:val="en-GB"/>
        </w:rPr>
        <w:t xml:space="preserve">.001. </w:t>
      </w:r>
      <w:r w:rsidR="00AE17C9" w:rsidRPr="00B56453">
        <w:rPr>
          <w:lang w:val="en-GB"/>
        </w:rPr>
        <w:t>Figure</w:t>
      </w:r>
      <w:r w:rsidRPr="00B56453">
        <w:rPr>
          <w:lang w:val="en-GB"/>
        </w:rPr>
        <w:t xml:space="preserve"> </w:t>
      </w:r>
      <w:r w:rsidR="004343FD" w:rsidRPr="00B56453">
        <w:rPr>
          <w:lang w:val="en-GB"/>
        </w:rPr>
        <w:t>B3.2</w:t>
      </w:r>
      <w:r w:rsidRPr="00B56453">
        <w:rPr>
          <w:lang w:val="en-GB"/>
        </w:rPr>
        <w:t xml:space="preserve"> represents estimated marginal means of SSRQ scores for</w:t>
      </w:r>
      <w:r w:rsidR="00A676FB" w:rsidRPr="00B56453">
        <w:rPr>
          <w:lang w:val="en-GB"/>
        </w:rPr>
        <w:t xml:space="preserve"> the Condition*Time interaction with error bars based upon a 95% confidence interval.</w:t>
      </w:r>
    </w:p>
    <w:p w14:paraId="25AF999C" w14:textId="7B8EA66F" w:rsidR="00DB587B" w:rsidRPr="00B56453" w:rsidRDefault="00DB587B" w:rsidP="0051512C">
      <w:pPr>
        <w:spacing w:after="0" w:line="276" w:lineRule="auto"/>
        <w:rPr>
          <w:rFonts w:cs="Times New Roman"/>
          <w:b/>
          <w:noProof/>
          <w:szCs w:val="24"/>
          <w:lang w:eastAsia="en-GB"/>
        </w:rPr>
      </w:pPr>
    </w:p>
    <w:p w14:paraId="0565E07D" w14:textId="3265789A" w:rsidR="0051512C" w:rsidRPr="00B56453" w:rsidRDefault="0051512C" w:rsidP="0051512C">
      <w:pPr>
        <w:spacing w:after="0" w:line="276" w:lineRule="auto"/>
        <w:rPr>
          <w:rFonts w:cs="Times New Roman"/>
          <w:b/>
          <w:szCs w:val="24"/>
        </w:rPr>
      </w:pPr>
      <w:r w:rsidRPr="00B56453">
        <w:rPr>
          <w:rFonts w:cs="Times New Roman"/>
          <w:b/>
          <w:noProof/>
          <w:szCs w:val="24"/>
          <w:lang w:eastAsia="en-GB"/>
        </w:rPr>
        <w:lastRenderedPageBreak/>
        <w:drawing>
          <wp:inline distT="0" distB="0" distL="0" distR="0" wp14:anchorId="79D06BC8" wp14:editId="40C06CD7">
            <wp:extent cx="5037827" cy="3999865"/>
            <wp:effectExtent l="0" t="0" r="0" b="63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7488"/>
                    <a:stretch/>
                  </pic:blipFill>
                  <pic:spPr bwMode="auto">
                    <a:xfrm>
                      <a:off x="0" y="0"/>
                      <a:ext cx="5037827" cy="3999865"/>
                    </a:xfrm>
                    <a:prstGeom prst="rect">
                      <a:avLst/>
                    </a:prstGeom>
                    <a:ln>
                      <a:noFill/>
                    </a:ln>
                    <a:extLst>
                      <a:ext uri="{53640926-AAD7-44D8-BBD7-CCE9431645EC}">
                        <a14:shadowObscured xmlns:a14="http://schemas.microsoft.com/office/drawing/2010/main"/>
                      </a:ext>
                    </a:extLst>
                  </pic:spPr>
                </pic:pic>
              </a:graphicData>
            </a:graphic>
          </wp:inline>
        </w:drawing>
      </w:r>
    </w:p>
    <w:p w14:paraId="5CA4B13D" w14:textId="6C8CA45E" w:rsidR="00DB587B" w:rsidRPr="00B56453" w:rsidRDefault="004343FD" w:rsidP="004343FD">
      <w:pPr>
        <w:pStyle w:val="Caption"/>
      </w:pPr>
      <w:bookmarkStart w:id="320" w:name="_Toc500319553"/>
      <w:r w:rsidRPr="00BD42AF">
        <w:t>Figure B3.</w:t>
      </w:r>
      <w:fldSimple w:instr=" SEQ Figure_B3. \* ARABIC ">
        <w:r w:rsidR="00E44881" w:rsidRPr="00B56453">
          <w:rPr>
            <w:noProof/>
          </w:rPr>
          <w:t>2</w:t>
        </w:r>
      </w:fldSimple>
      <w:r w:rsidR="00DB587B" w:rsidRPr="00B56453">
        <w:t xml:space="preserve"> SSRQ</w:t>
      </w:r>
      <w:r w:rsidR="0051512C" w:rsidRPr="00B56453">
        <w:t xml:space="preserve"> Score</w:t>
      </w:r>
      <w:r w:rsidR="00DB587B" w:rsidRPr="00B56453">
        <w:t>, Condition*Time interaction</w:t>
      </w:r>
      <w:r w:rsidR="00E52DD2" w:rsidRPr="00B56453">
        <w:t xml:space="preserve"> based on estimated marginal means with CI bars to distinguish significant differences between conditions</w:t>
      </w:r>
      <w:r w:rsidR="00DB587B" w:rsidRPr="00B56453">
        <w:t>.</w:t>
      </w:r>
      <w:r w:rsidR="00A42B29" w:rsidRPr="00B56453">
        <w:t xml:space="preserve"> Bar positions were adjusted for clarity.</w:t>
      </w:r>
      <w:bookmarkEnd w:id="320"/>
    </w:p>
    <w:p w14:paraId="35305A83" w14:textId="77777777" w:rsidR="00DB587B" w:rsidRPr="00B56453" w:rsidRDefault="00DB587B" w:rsidP="00DB587B">
      <w:pPr>
        <w:spacing w:after="0" w:line="276" w:lineRule="auto"/>
        <w:jc w:val="center"/>
        <w:rPr>
          <w:rFonts w:cs="Times New Roman"/>
          <w:b/>
          <w:szCs w:val="24"/>
        </w:rPr>
      </w:pPr>
    </w:p>
    <w:p w14:paraId="1B0D15E7" w14:textId="70F823E6" w:rsidR="00DB587B" w:rsidRPr="00B56453" w:rsidRDefault="004A351A" w:rsidP="00026049">
      <w:pPr>
        <w:pStyle w:val="Normal1"/>
        <w:rPr>
          <w:lang w:val="en-GB"/>
        </w:rPr>
      </w:pPr>
      <w:r w:rsidRPr="00B56453">
        <w:rPr>
          <w:lang w:val="en-GB"/>
        </w:rPr>
        <w:t>For</w:t>
      </w:r>
      <w:r w:rsidR="00DB587B" w:rsidRPr="00B56453">
        <w:rPr>
          <w:lang w:val="en-GB"/>
        </w:rPr>
        <w:t xml:space="preserve"> the GSE, </w:t>
      </w:r>
      <w:r w:rsidRPr="00B56453">
        <w:rPr>
          <w:lang w:val="en-GB"/>
        </w:rPr>
        <w:t>t</w:t>
      </w:r>
      <w:r w:rsidR="00DB587B" w:rsidRPr="00B56453">
        <w:rPr>
          <w:lang w:val="en-GB"/>
        </w:rPr>
        <w:t xml:space="preserve">he estimated Mardia’s normalized coefficient was </w:t>
      </w:r>
      <w:r w:rsidR="00DB587B" w:rsidRPr="00B56453">
        <w:rPr>
          <w:lang w:val="en-GB"/>
        </w:rPr>
        <w:sym w:font="Symbol" w:char="F02D"/>
      </w:r>
      <w:r w:rsidRPr="00B56453">
        <w:rPr>
          <w:lang w:val="en-GB"/>
        </w:rPr>
        <w:t>0</w:t>
      </w:r>
      <w:r w:rsidR="00DB587B" w:rsidRPr="00B56453">
        <w:rPr>
          <w:lang w:val="en-GB"/>
        </w:rPr>
        <w:t xml:space="preserve">.34, and </w:t>
      </w:r>
      <w:r w:rsidR="00FA111F" w:rsidRPr="00B56453">
        <w:rPr>
          <w:lang w:val="en-GB"/>
        </w:rPr>
        <w:t>thus analysis was continued</w:t>
      </w:r>
      <w:r w:rsidR="00DB587B" w:rsidRPr="00B56453">
        <w:rPr>
          <w:lang w:val="en-GB"/>
        </w:rPr>
        <w:t>. Subsequently, the assumption of sphericity</w:t>
      </w:r>
      <w:r w:rsidR="00FA111F" w:rsidRPr="00B56453">
        <w:rPr>
          <w:lang w:val="en-GB"/>
        </w:rPr>
        <w:t xml:space="preserve"> was tested</w:t>
      </w:r>
      <w:r w:rsidR="00DB587B" w:rsidRPr="00B56453">
        <w:rPr>
          <w:lang w:val="en-GB"/>
        </w:rPr>
        <w:t xml:space="preserve"> by using Mauchly’s test. Results indicated violation of the assumption of sphericity (χ</w:t>
      </w:r>
      <w:r w:rsidR="00DB587B" w:rsidRPr="00B56453">
        <w:rPr>
          <w:vertAlign w:val="superscript"/>
          <w:lang w:val="en-GB"/>
        </w:rPr>
        <w:t>2</w:t>
      </w:r>
      <w:r w:rsidR="00DB587B" w:rsidRPr="00B56453">
        <w:rPr>
          <w:vertAlign w:val="subscript"/>
          <w:lang w:val="en-GB"/>
        </w:rPr>
        <w:t xml:space="preserve">(2) </w:t>
      </w:r>
      <w:r w:rsidR="00DB587B" w:rsidRPr="00B56453">
        <w:rPr>
          <w:lang w:val="en-GB"/>
        </w:rPr>
        <w:t xml:space="preserve">= 38.83, p &lt; </w:t>
      </w:r>
      <w:r w:rsidRPr="00B56453">
        <w:rPr>
          <w:lang w:val="en-GB"/>
        </w:rPr>
        <w:t>0</w:t>
      </w:r>
      <w:r w:rsidR="00DB587B" w:rsidRPr="00B56453">
        <w:rPr>
          <w:lang w:val="en-GB"/>
        </w:rPr>
        <w:t xml:space="preserve">.001, </w:t>
      </w:r>
      <w:r w:rsidR="00DB587B" w:rsidRPr="00B56453">
        <w:rPr>
          <w:lang w:val="en-GB"/>
        </w:rPr>
        <w:t xml:space="preserve"> &gt; </w:t>
      </w:r>
      <w:r w:rsidRPr="00B56453">
        <w:rPr>
          <w:lang w:val="en-GB"/>
        </w:rPr>
        <w:t>0</w:t>
      </w:r>
      <w:r w:rsidR="00DB587B" w:rsidRPr="00B56453">
        <w:rPr>
          <w:lang w:val="en-GB"/>
        </w:rPr>
        <w:t xml:space="preserve">.75), and </w:t>
      </w:r>
      <w:r w:rsidR="00FA111F" w:rsidRPr="00B56453">
        <w:rPr>
          <w:lang w:val="en-GB"/>
        </w:rPr>
        <w:t xml:space="preserve">the </w:t>
      </w:r>
      <w:r w:rsidR="00DB587B" w:rsidRPr="00B56453">
        <w:rPr>
          <w:lang w:val="en-GB"/>
        </w:rPr>
        <w:t>Huynh-Feldt correction</w:t>
      </w:r>
      <w:r w:rsidR="00FA111F" w:rsidRPr="00B56453">
        <w:rPr>
          <w:lang w:val="en-GB"/>
        </w:rPr>
        <w:t xml:space="preserve"> was used</w:t>
      </w:r>
      <w:r w:rsidR="00DB587B" w:rsidRPr="00B56453">
        <w:rPr>
          <w:lang w:val="en-GB"/>
        </w:rPr>
        <w:t xml:space="preserve"> to adjust the degrees of freedom of further F tests.</w:t>
      </w:r>
    </w:p>
    <w:p w14:paraId="600E0F3D" w14:textId="77777777" w:rsidR="00DB587B" w:rsidRPr="00B56453" w:rsidRDefault="00DB587B" w:rsidP="00026049">
      <w:pPr>
        <w:pStyle w:val="Normal1"/>
        <w:rPr>
          <w:lang w:val="en-GB"/>
        </w:rPr>
      </w:pPr>
    </w:p>
    <w:p w14:paraId="166B8C93" w14:textId="15981EBC" w:rsidR="00DB587B" w:rsidRPr="00B56453" w:rsidRDefault="00FA111F" w:rsidP="00026049">
      <w:pPr>
        <w:pStyle w:val="Normal1"/>
        <w:rPr>
          <w:lang w:val="en-GB"/>
        </w:rPr>
      </w:pPr>
      <w:r w:rsidRPr="00B56453">
        <w:rPr>
          <w:lang w:val="en-GB"/>
        </w:rPr>
        <w:t>A</w:t>
      </w:r>
      <w:r w:rsidR="00DB587B" w:rsidRPr="00B56453">
        <w:rPr>
          <w:lang w:val="en-GB"/>
        </w:rPr>
        <w:t xml:space="preserve"> mixed AN</w:t>
      </w:r>
      <w:r w:rsidRPr="00B56453">
        <w:rPr>
          <w:lang w:val="en-GB"/>
        </w:rPr>
        <w:t>OVA was performed</w:t>
      </w:r>
      <w:r w:rsidR="00DB587B" w:rsidRPr="00B56453">
        <w:rPr>
          <w:lang w:val="en-GB"/>
        </w:rPr>
        <w:t xml:space="preserve"> and results from the tests of within-subjects effects showed a significant Condition*Time interaction (F</w:t>
      </w:r>
      <w:r w:rsidR="00DB587B" w:rsidRPr="00B56453">
        <w:rPr>
          <w:vertAlign w:val="subscript"/>
          <w:lang w:val="en-GB"/>
        </w:rPr>
        <w:t xml:space="preserve">(1.682) </w:t>
      </w:r>
      <w:r w:rsidR="00DB587B" w:rsidRPr="00B56453">
        <w:rPr>
          <w:lang w:val="en-GB"/>
        </w:rPr>
        <w:t xml:space="preserve">= 4.91, p &lt; </w:t>
      </w:r>
      <w:r w:rsidR="004A351A" w:rsidRPr="00B56453">
        <w:rPr>
          <w:lang w:val="en-GB"/>
        </w:rPr>
        <w:t>0</w:t>
      </w:r>
      <w:r w:rsidR="00DB587B" w:rsidRPr="00B56453">
        <w:rPr>
          <w:lang w:val="en-GB"/>
        </w:rPr>
        <w:t xml:space="preserve">.015). Table </w:t>
      </w:r>
      <w:r w:rsidR="004343FD" w:rsidRPr="00B56453">
        <w:rPr>
          <w:lang w:val="en-GB"/>
        </w:rPr>
        <w:t>B3.3</w:t>
      </w:r>
      <w:r w:rsidR="00DB587B" w:rsidRPr="00B56453">
        <w:rPr>
          <w:lang w:val="en-GB"/>
        </w:rPr>
        <w:t xml:space="preserve"> reports pairwise comparisons with Bonferroni adjustment.</w:t>
      </w:r>
    </w:p>
    <w:p w14:paraId="36FCAF15" w14:textId="77777777" w:rsidR="00DB587B" w:rsidRPr="00B56453" w:rsidRDefault="00DB587B" w:rsidP="004343FD">
      <w:pPr>
        <w:spacing w:after="0" w:line="276" w:lineRule="auto"/>
        <w:rPr>
          <w:rFonts w:cs="Times New Roman"/>
          <w:b/>
          <w:szCs w:val="24"/>
        </w:rPr>
      </w:pPr>
    </w:p>
    <w:p w14:paraId="70E27D98" w14:textId="77777777" w:rsidR="0049047B" w:rsidRPr="00B56453" w:rsidRDefault="0049047B" w:rsidP="004343FD">
      <w:pPr>
        <w:spacing w:after="0" w:line="276" w:lineRule="auto"/>
        <w:rPr>
          <w:rFonts w:cs="Times New Roman"/>
          <w:b/>
          <w:szCs w:val="24"/>
        </w:rPr>
      </w:pPr>
    </w:p>
    <w:p w14:paraId="3BF9136D" w14:textId="77777777" w:rsidR="0049047B" w:rsidRPr="00B56453" w:rsidRDefault="0049047B" w:rsidP="004343FD">
      <w:pPr>
        <w:spacing w:after="0" w:line="276" w:lineRule="auto"/>
        <w:rPr>
          <w:rFonts w:cs="Times New Roman"/>
          <w:b/>
          <w:szCs w:val="24"/>
        </w:rPr>
      </w:pPr>
    </w:p>
    <w:p w14:paraId="5D6B02F4" w14:textId="77777777" w:rsidR="0049047B" w:rsidRPr="00B56453" w:rsidRDefault="0049047B" w:rsidP="004343FD">
      <w:pPr>
        <w:spacing w:after="0" w:line="276" w:lineRule="auto"/>
        <w:rPr>
          <w:rFonts w:cs="Times New Roman"/>
          <w:b/>
          <w:szCs w:val="24"/>
        </w:rPr>
      </w:pPr>
    </w:p>
    <w:p w14:paraId="6D5D39FB" w14:textId="77777777" w:rsidR="0049047B" w:rsidRPr="00B56453" w:rsidRDefault="0049047B" w:rsidP="004343FD">
      <w:pPr>
        <w:spacing w:after="0" w:line="276" w:lineRule="auto"/>
        <w:rPr>
          <w:rFonts w:cs="Times New Roman"/>
          <w:b/>
          <w:szCs w:val="24"/>
        </w:rPr>
      </w:pPr>
    </w:p>
    <w:p w14:paraId="2C864F3E" w14:textId="77777777" w:rsidR="0049047B" w:rsidRPr="00B56453" w:rsidRDefault="0049047B" w:rsidP="004343FD">
      <w:pPr>
        <w:spacing w:after="0" w:line="276" w:lineRule="auto"/>
        <w:rPr>
          <w:rFonts w:cs="Times New Roman"/>
          <w:b/>
          <w:szCs w:val="24"/>
        </w:rPr>
      </w:pPr>
    </w:p>
    <w:p w14:paraId="379AB725" w14:textId="77777777" w:rsidR="0049047B" w:rsidRPr="00B56453" w:rsidRDefault="0049047B" w:rsidP="004343FD">
      <w:pPr>
        <w:spacing w:after="0" w:line="276" w:lineRule="auto"/>
        <w:rPr>
          <w:rFonts w:cs="Times New Roman"/>
          <w:b/>
          <w:szCs w:val="24"/>
        </w:rPr>
      </w:pPr>
    </w:p>
    <w:p w14:paraId="4570D411" w14:textId="77777777" w:rsidR="0049047B" w:rsidRPr="00B56453" w:rsidRDefault="0049047B" w:rsidP="004343FD">
      <w:pPr>
        <w:spacing w:after="0" w:line="276" w:lineRule="auto"/>
        <w:rPr>
          <w:rFonts w:cs="Times New Roman"/>
          <w:b/>
          <w:szCs w:val="24"/>
        </w:rPr>
      </w:pPr>
    </w:p>
    <w:p w14:paraId="148470E9" w14:textId="77777777" w:rsidR="0049047B" w:rsidRPr="00B56453" w:rsidRDefault="0049047B" w:rsidP="004343FD">
      <w:pPr>
        <w:spacing w:after="0" w:line="276" w:lineRule="auto"/>
        <w:rPr>
          <w:rFonts w:cs="Times New Roman"/>
          <w:b/>
          <w:szCs w:val="24"/>
        </w:rPr>
      </w:pPr>
    </w:p>
    <w:p w14:paraId="6AC18D8F" w14:textId="77777777" w:rsidR="00851D7B" w:rsidRPr="00B56453" w:rsidRDefault="00851D7B" w:rsidP="00026049">
      <w:pPr>
        <w:pStyle w:val="Tablelist"/>
        <w:rPr>
          <w:lang w:val="en-GB"/>
        </w:rPr>
      </w:pPr>
      <w:bookmarkStart w:id="321" w:name="_Toc487454834"/>
      <w:bookmarkStart w:id="322" w:name="_Toc487456794"/>
    </w:p>
    <w:p w14:paraId="02D6241C" w14:textId="5328CFC3" w:rsidR="004343FD" w:rsidRPr="00B56453" w:rsidRDefault="004343FD" w:rsidP="00026049">
      <w:pPr>
        <w:pStyle w:val="Tablelist"/>
        <w:rPr>
          <w:rFonts w:cs="Times New Roman"/>
          <w:b/>
          <w:lang w:val="en-GB"/>
        </w:rPr>
      </w:pPr>
      <w:bookmarkStart w:id="323" w:name="_Toc500319513"/>
      <w:r w:rsidRPr="00B56453">
        <w:rPr>
          <w:lang w:val="en-GB"/>
        </w:rPr>
        <w:t>Table B3.</w:t>
      </w:r>
      <w:r w:rsidRPr="009C2746">
        <w:rPr>
          <w:lang w:val="en-GB"/>
        </w:rPr>
        <w:fldChar w:fldCharType="begin"/>
      </w:r>
      <w:r w:rsidRPr="00B56453">
        <w:rPr>
          <w:lang w:val="en-GB"/>
        </w:rPr>
        <w:instrText xml:space="preserve"> SEQ Table_B3. \* ARABIC </w:instrText>
      </w:r>
      <w:r w:rsidRPr="00B27F0B">
        <w:rPr>
          <w:lang w:val="en-GB"/>
        </w:rPr>
        <w:fldChar w:fldCharType="separate"/>
      </w:r>
      <w:r w:rsidR="00E44881" w:rsidRPr="00B56453">
        <w:rPr>
          <w:noProof/>
          <w:lang w:val="en-GB"/>
        </w:rPr>
        <w:t>3</w:t>
      </w:r>
      <w:r w:rsidRPr="009C2746">
        <w:rPr>
          <w:lang w:val="en-GB"/>
        </w:rPr>
        <w:fldChar w:fldCharType="end"/>
      </w:r>
      <w:r w:rsidRPr="00B56453">
        <w:rPr>
          <w:lang w:val="en-GB"/>
        </w:rPr>
        <w:t xml:space="preserve"> </w:t>
      </w:r>
      <w:r w:rsidR="00885CB3" w:rsidRPr="00B56453">
        <w:rPr>
          <w:lang w:val="en-GB"/>
        </w:rPr>
        <w:t>Analysis of GSE scores using pairwise comparisons</w:t>
      </w:r>
      <w:r w:rsidRPr="00B56453">
        <w:rPr>
          <w:lang w:val="en-GB"/>
        </w:rPr>
        <w:t>.</w:t>
      </w:r>
      <w:bookmarkEnd w:id="321"/>
      <w:bookmarkEnd w:id="322"/>
      <w:bookmarkEnd w:id="323"/>
    </w:p>
    <w:tbl>
      <w:tblPr>
        <w:tblpPr w:leftFromText="180" w:rightFromText="180" w:vertAnchor="text" w:horzAnchor="margin" w:tblpY="284"/>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1"/>
        <w:gridCol w:w="906"/>
        <w:gridCol w:w="868"/>
        <w:gridCol w:w="1418"/>
        <w:gridCol w:w="1111"/>
        <w:gridCol w:w="768"/>
        <w:gridCol w:w="1098"/>
        <w:gridCol w:w="1134"/>
      </w:tblGrid>
      <w:tr w:rsidR="00DB587B" w:rsidRPr="00B56453" w14:paraId="0FDBCCDA" w14:textId="77777777" w:rsidTr="007C73DC">
        <w:trPr>
          <w:cantSplit/>
        </w:trPr>
        <w:tc>
          <w:tcPr>
            <w:tcW w:w="1061" w:type="dxa"/>
            <w:vMerge w:val="restart"/>
            <w:tcBorders>
              <w:left w:val="nil"/>
              <w:bottom w:val="nil"/>
              <w:right w:val="nil"/>
            </w:tcBorders>
            <w:shd w:val="clear" w:color="auto" w:fill="FFFFFF"/>
            <w:vAlign w:val="bottom"/>
          </w:tcPr>
          <w:p w14:paraId="4FB8277D"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Condition</w:t>
            </w:r>
          </w:p>
        </w:tc>
        <w:tc>
          <w:tcPr>
            <w:tcW w:w="906" w:type="dxa"/>
            <w:vMerge w:val="restart"/>
            <w:tcBorders>
              <w:left w:val="nil"/>
              <w:bottom w:val="nil"/>
              <w:right w:val="nil"/>
            </w:tcBorders>
            <w:shd w:val="clear" w:color="auto" w:fill="FFFFFF"/>
            <w:vAlign w:val="bottom"/>
          </w:tcPr>
          <w:p w14:paraId="66CFBF93"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(I) Time</w:t>
            </w:r>
          </w:p>
        </w:tc>
        <w:tc>
          <w:tcPr>
            <w:tcW w:w="868" w:type="dxa"/>
            <w:vMerge w:val="restart"/>
            <w:tcBorders>
              <w:left w:val="nil"/>
              <w:bottom w:val="nil"/>
              <w:right w:val="nil"/>
            </w:tcBorders>
            <w:shd w:val="clear" w:color="auto" w:fill="FFFFFF"/>
            <w:vAlign w:val="bottom"/>
          </w:tcPr>
          <w:p w14:paraId="4AF54A16"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(J) Time</w:t>
            </w:r>
          </w:p>
        </w:tc>
        <w:tc>
          <w:tcPr>
            <w:tcW w:w="1418" w:type="dxa"/>
            <w:vMerge w:val="restart"/>
            <w:tcBorders>
              <w:left w:val="nil"/>
              <w:bottom w:val="nil"/>
              <w:right w:val="nil"/>
            </w:tcBorders>
            <w:shd w:val="clear" w:color="auto" w:fill="FFFFFF"/>
            <w:vAlign w:val="bottom"/>
          </w:tcPr>
          <w:p w14:paraId="3F28061C"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Mean Difference (I-J)</w:t>
            </w:r>
          </w:p>
        </w:tc>
        <w:tc>
          <w:tcPr>
            <w:tcW w:w="1111" w:type="dxa"/>
            <w:vMerge w:val="restart"/>
            <w:tcBorders>
              <w:left w:val="nil"/>
              <w:bottom w:val="nil"/>
              <w:right w:val="nil"/>
            </w:tcBorders>
            <w:shd w:val="clear" w:color="auto" w:fill="FFFFFF"/>
            <w:vAlign w:val="bottom"/>
          </w:tcPr>
          <w:p w14:paraId="7D7F2B06"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Std. Error</w:t>
            </w:r>
          </w:p>
        </w:tc>
        <w:tc>
          <w:tcPr>
            <w:tcW w:w="768" w:type="dxa"/>
            <w:vMerge w:val="restart"/>
            <w:tcBorders>
              <w:left w:val="nil"/>
              <w:bottom w:val="nil"/>
              <w:right w:val="nil"/>
            </w:tcBorders>
            <w:shd w:val="clear" w:color="auto" w:fill="FFFFFF"/>
            <w:vAlign w:val="bottom"/>
          </w:tcPr>
          <w:p w14:paraId="12A270A1"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Sig.</w:t>
            </w:r>
            <w:r w:rsidRPr="00B56453">
              <w:rPr>
                <w:rFonts w:cs="Times New Roman"/>
                <w:color w:val="000000"/>
                <w:sz w:val="20"/>
                <w:szCs w:val="20"/>
                <w:vertAlign w:val="superscript"/>
              </w:rPr>
              <w:t>b</w:t>
            </w:r>
          </w:p>
        </w:tc>
        <w:tc>
          <w:tcPr>
            <w:tcW w:w="2232" w:type="dxa"/>
            <w:gridSpan w:val="2"/>
            <w:tcBorders>
              <w:left w:val="nil"/>
              <w:bottom w:val="nil"/>
              <w:right w:val="nil"/>
            </w:tcBorders>
            <w:shd w:val="clear" w:color="auto" w:fill="FFFFFF"/>
            <w:vAlign w:val="bottom"/>
          </w:tcPr>
          <w:p w14:paraId="7CC7963E"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95% Confidence Interval for Difference</w:t>
            </w:r>
            <w:r w:rsidRPr="00B56453">
              <w:rPr>
                <w:rFonts w:cs="Times New Roman"/>
                <w:color w:val="000000"/>
                <w:sz w:val="20"/>
                <w:szCs w:val="20"/>
                <w:vertAlign w:val="superscript"/>
              </w:rPr>
              <w:t>b</w:t>
            </w:r>
          </w:p>
        </w:tc>
      </w:tr>
      <w:tr w:rsidR="00DB587B" w:rsidRPr="00B56453" w14:paraId="5C38018C" w14:textId="77777777" w:rsidTr="007C73DC">
        <w:trPr>
          <w:cantSplit/>
        </w:trPr>
        <w:tc>
          <w:tcPr>
            <w:tcW w:w="1061" w:type="dxa"/>
            <w:vMerge/>
            <w:tcBorders>
              <w:left w:val="nil"/>
              <w:bottom w:val="nil"/>
              <w:right w:val="nil"/>
            </w:tcBorders>
            <w:shd w:val="clear" w:color="auto" w:fill="FFFFFF"/>
            <w:vAlign w:val="bottom"/>
          </w:tcPr>
          <w:p w14:paraId="7E4E7247"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left w:val="nil"/>
              <w:bottom w:val="nil"/>
              <w:right w:val="nil"/>
            </w:tcBorders>
            <w:shd w:val="clear" w:color="auto" w:fill="FFFFFF"/>
            <w:vAlign w:val="bottom"/>
          </w:tcPr>
          <w:p w14:paraId="2282F8A5"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868" w:type="dxa"/>
            <w:vMerge/>
            <w:tcBorders>
              <w:left w:val="nil"/>
              <w:bottom w:val="nil"/>
              <w:right w:val="nil"/>
            </w:tcBorders>
            <w:shd w:val="clear" w:color="auto" w:fill="FFFFFF"/>
            <w:vAlign w:val="bottom"/>
          </w:tcPr>
          <w:p w14:paraId="15898652"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1418" w:type="dxa"/>
            <w:vMerge/>
            <w:tcBorders>
              <w:left w:val="nil"/>
              <w:bottom w:val="nil"/>
              <w:right w:val="nil"/>
            </w:tcBorders>
            <w:shd w:val="clear" w:color="auto" w:fill="FFFFFF"/>
            <w:vAlign w:val="bottom"/>
          </w:tcPr>
          <w:p w14:paraId="57F2A9FD"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1111" w:type="dxa"/>
            <w:vMerge/>
            <w:tcBorders>
              <w:left w:val="nil"/>
              <w:bottom w:val="nil"/>
              <w:right w:val="nil"/>
            </w:tcBorders>
            <w:shd w:val="clear" w:color="auto" w:fill="FFFFFF"/>
            <w:vAlign w:val="bottom"/>
          </w:tcPr>
          <w:p w14:paraId="13704394"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768" w:type="dxa"/>
            <w:vMerge/>
            <w:tcBorders>
              <w:left w:val="nil"/>
              <w:bottom w:val="nil"/>
              <w:right w:val="nil"/>
            </w:tcBorders>
            <w:shd w:val="clear" w:color="auto" w:fill="FFFFFF"/>
            <w:vAlign w:val="bottom"/>
          </w:tcPr>
          <w:p w14:paraId="54DD311F"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1098" w:type="dxa"/>
            <w:tcBorders>
              <w:top w:val="nil"/>
              <w:left w:val="nil"/>
              <w:right w:val="nil"/>
            </w:tcBorders>
            <w:shd w:val="clear" w:color="auto" w:fill="FFFFFF"/>
            <w:vAlign w:val="bottom"/>
          </w:tcPr>
          <w:p w14:paraId="44B2607B"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Lower Bound</w:t>
            </w:r>
          </w:p>
        </w:tc>
        <w:tc>
          <w:tcPr>
            <w:tcW w:w="1134" w:type="dxa"/>
            <w:tcBorders>
              <w:top w:val="nil"/>
              <w:left w:val="nil"/>
              <w:right w:val="nil"/>
            </w:tcBorders>
            <w:shd w:val="clear" w:color="auto" w:fill="FFFFFF"/>
            <w:vAlign w:val="bottom"/>
          </w:tcPr>
          <w:p w14:paraId="0A2C2FF2" w14:textId="77777777" w:rsidR="00DB587B" w:rsidRPr="00B56453" w:rsidRDefault="00DB587B" w:rsidP="004343FD">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Upper Bound</w:t>
            </w:r>
          </w:p>
        </w:tc>
      </w:tr>
      <w:tr w:rsidR="00DB587B" w:rsidRPr="00B56453" w14:paraId="391DA178" w14:textId="77777777" w:rsidTr="007C73DC">
        <w:trPr>
          <w:cantSplit/>
        </w:trPr>
        <w:tc>
          <w:tcPr>
            <w:tcW w:w="1061" w:type="dxa"/>
            <w:vMerge w:val="restart"/>
            <w:tcBorders>
              <w:left w:val="nil"/>
              <w:right w:val="nil"/>
            </w:tcBorders>
            <w:shd w:val="clear" w:color="auto" w:fill="FFFFFF"/>
          </w:tcPr>
          <w:p w14:paraId="6BA03F42"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BPF</w:t>
            </w:r>
          </w:p>
        </w:tc>
        <w:tc>
          <w:tcPr>
            <w:tcW w:w="906" w:type="dxa"/>
            <w:vMerge w:val="restart"/>
            <w:tcBorders>
              <w:left w:val="nil"/>
              <w:right w:val="nil"/>
            </w:tcBorders>
            <w:shd w:val="clear" w:color="auto" w:fill="FFFFFF"/>
            <w:vAlign w:val="center"/>
          </w:tcPr>
          <w:p w14:paraId="7DA7BA4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868" w:type="dxa"/>
            <w:tcBorders>
              <w:left w:val="nil"/>
              <w:bottom w:val="nil"/>
              <w:right w:val="nil"/>
            </w:tcBorders>
            <w:shd w:val="clear" w:color="auto" w:fill="FFFFFF"/>
            <w:vAlign w:val="center"/>
          </w:tcPr>
          <w:p w14:paraId="26A297B4"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1418" w:type="dxa"/>
            <w:tcBorders>
              <w:left w:val="nil"/>
              <w:bottom w:val="nil"/>
              <w:right w:val="nil"/>
            </w:tcBorders>
            <w:shd w:val="clear" w:color="auto" w:fill="FFFFFF"/>
            <w:vAlign w:val="center"/>
          </w:tcPr>
          <w:p w14:paraId="46A2A0BE"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2.75</w:t>
            </w:r>
          </w:p>
        </w:tc>
        <w:tc>
          <w:tcPr>
            <w:tcW w:w="1111" w:type="dxa"/>
            <w:tcBorders>
              <w:left w:val="nil"/>
              <w:bottom w:val="nil"/>
              <w:right w:val="nil"/>
            </w:tcBorders>
            <w:shd w:val="clear" w:color="auto" w:fill="FFFFFF"/>
            <w:vAlign w:val="center"/>
          </w:tcPr>
          <w:p w14:paraId="67FD7662"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1.04</w:t>
            </w:r>
          </w:p>
        </w:tc>
        <w:tc>
          <w:tcPr>
            <w:tcW w:w="768" w:type="dxa"/>
            <w:tcBorders>
              <w:left w:val="nil"/>
              <w:bottom w:val="nil"/>
              <w:right w:val="nil"/>
            </w:tcBorders>
            <w:shd w:val="clear" w:color="auto" w:fill="FFFFFF"/>
            <w:vAlign w:val="center"/>
          </w:tcPr>
          <w:p w14:paraId="01B373E2"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.027</w:t>
            </w:r>
          </w:p>
        </w:tc>
        <w:tc>
          <w:tcPr>
            <w:tcW w:w="1098" w:type="dxa"/>
            <w:tcBorders>
              <w:left w:val="nil"/>
              <w:bottom w:val="nil"/>
              <w:right w:val="nil"/>
            </w:tcBorders>
            <w:shd w:val="clear" w:color="auto" w:fill="FFFFFF"/>
            <w:vAlign w:val="center"/>
          </w:tcPr>
          <w:p w14:paraId="5C715641" w14:textId="6A813B05"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.24</w:t>
            </w:r>
          </w:p>
        </w:tc>
        <w:tc>
          <w:tcPr>
            <w:tcW w:w="1134" w:type="dxa"/>
            <w:tcBorders>
              <w:left w:val="nil"/>
              <w:bottom w:val="nil"/>
              <w:right w:val="nil"/>
            </w:tcBorders>
            <w:shd w:val="clear" w:color="auto" w:fill="FFFFFF"/>
            <w:vAlign w:val="center"/>
          </w:tcPr>
          <w:p w14:paraId="0306DB74"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5.26</w:t>
            </w:r>
          </w:p>
        </w:tc>
      </w:tr>
      <w:tr w:rsidR="00DB587B" w:rsidRPr="00B56453" w14:paraId="045C5941" w14:textId="77777777" w:rsidTr="007C73DC">
        <w:trPr>
          <w:cantSplit/>
        </w:trPr>
        <w:tc>
          <w:tcPr>
            <w:tcW w:w="1061" w:type="dxa"/>
            <w:vMerge/>
            <w:tcBorders>
              <w:left w:val="nil"/>
              <w:right w:val="nil"/>
            </w:tcBorders>
            <w:shd w:val="clear" w:color="auto" w:fill="FFFFFF"/>
          </w:tcPr>
          <w:p w14:paraId="40C85881"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left w:val="nil"/>
              <w:right w:val="nil"/>
            </w:tcBorders>
            <w:shd w:val="clear" w:color="auto" w:fill="FFFFFF"/>
            <w:vAlign w:val="center"/>
          </w:tcPr>
          <w:p w14:paraId="60F82A86"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2B843278"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1418" w:type="dxa"/>
            <w:tcBorders>
              <w:top w:val="nil"/>
              <w:left w:val="nil"/>
              <w:right w:val="nil"/>
            </w:tcBorders>
            <w:shd w:val="clear" w:color="auto" w:fill="FFFFFF"/>
            <w:vAlign w:val="center"/>
          </w:tcPr>
          <w:p w14:paraId="0990ECA1"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1.28</w:t>
            </w:r>
          </w:p>
        </w:tc>
        <w:tc>
          <w:tcPr>
            <w:tcW w:w="1111" w:type="dxa"/>
            <w:tcBorders>
              <w:top w:val="nil"/>
              <w:left w:val="nil"/>
              <w:right w:val="nil"/>
            </w:tcBorders>
            <w:shd w:val="clear" w:color="auto" w:fill="FFFFFF"/>
            <w:vAlign w:val="center"/>
          </w:tcPr>
          <w:p w14:paraId="17D29776" w14:textId="7A861641"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.70</w:t>
            </w:r>
          </w:p>
        </w:tc>
        <w:tc>
          <w:tcPr>
            <w:tcW w:w="768" w:type="dxa"/>
            <w:tcBorders>
              <w:top w:val="nil"/>
              <w:left w:val="nil"/>
              <w:right w:val="nil"/>
            </w:tcBorders>
            <w:shd w:val="clear" w:color="auto" w:fill="FFFFFF"/>
            <w:vAlign w:val="center"/>
          </w:tcPr>
          <w:p w14:paraId="05093B79"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.208</w:t>
            </w:r>
          </w:p>
        </w:tc>
        <w:tc>
          <w:tcPr>
            <w:tcW w:w="1098" w:type="dxa"/>
            <w:tcBorders>
              <w:top w:val="nil"/>
              <w:left w:val="nil"/>
              <w:right w:val="nil"/>
            </w:tcBorders>
            <w:shd w:val="clear" w:color="auto" w:fill="FFFFFF"/>
            <w:vAlign w:val="center"/>
          </w:tcPr>
          <w:p w14:paraId="4E3B4DE0" w14:textId="0510A471"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w:t>
            </w:r>
            <w:r w:rsidR="004A351A" w:rsidRPr="00B56453">
              <w:rPr>
                <w:rFonts w:cs="Times New Roman"/>
                <w:sz w:val="20"/>
                <w:szCs w:val="20"/>
              </w:rPr>
              <w:t>0</w:t>
            </w:r>
            <w:r w:rsidRPr="00B56453">
              <w:rPr>
                <w:rFonts w:cs="Times New Roman"/>
                <w:sz w:val="20"/>
                <w:szCs w:val="20"/>
              </w:rPr>
              <w:t>.41</w:t>
            </w:r>
          </w:p>
        </w:tc>
        <w:tc>
          <w:tcPr>
            <w:tcW w:w="1134" w:type="dxa"/>
            <w:tcBorders>
              <w:top w:val="nil"/>
              <w:left w:val="nil"/>
              <w:right w:val="nil"/>
            </w:tcBorders>
            <w:shd w:val="clear" w:color="auto" w:fill="FFFFFF"/>
            <w:vAlign w:val="center"/>
          </w:tcPr>
          <w:p w14:paraId="542757B3"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2.98</w:t>
            </w:r>
          </w:p>
        </w:tc>
      </w:tr>
      <w:tr w:rsidR="00DB587B" w:rsidRPr="00B56453" w14:paraId="725AF442" w14:textId="77777777" w:rsidTr="007C73DC">
        <w:trPr>
          <w:cantSplit/>
        </w:trPr>
        <w:tc>
          <w:tcPr>
            <w:tcW w:w="1061" w:type="dxa"/>
            <w:vMerge/>
            <w:tcBorders>
              <w:left w:val="nil"/>
              <w:right w:val="nil"/>
            </w:tcBorders>
            <w:shd w:val="clear" w:color="auto" w:fill="FFFFFF"/>
          </w:tcPr>
          <w:p w14:paraId="65D8C351"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val="restart"/>
            <w:tcBorders>
              <w:top w:val="nil"/>
              <w:left w:val="nil"/>
              <w:right w:val="nil"/>
            </w:tcBorders>
            <w:shd w:val="clear" w:color="auto" w:fill="FFFFFF"/>
            <w:vAlign w:val="center"/>
          </w:tcPr>
          <w:p w14:paraId="47C9D6D0"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868" w:type="dxa"/>
            <w:tcBorders>
              <w:top w:val="nil"/>
              <w:left w:val="nil"/>
              <w:bottom w:val="nil"/>
              <w:right w:val="nil"/>
            </w:tcBorders>
            <w:shd w:val="clear" w:color="auto" w:fill="FFFFFF"/>
            <w:vAlign w:val="center"/>
          </w:tcPr>
          <w:p w14:paraId="2542C1FB"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1418" w:type="dxa"/>
            <w:tcBorders>
              <w:top w:val="nil"/>
              <w:left w:val="nil"/>
              <w:bottom w:val="nil"/>
              <w:right w:val="nil"/>
            </w:tcBorders>
            <w:shd w:val="clear" w:color="auto" w:fill="FFFFFF"/>
            <w:vAlign w:val="center"/>
          </w:tcPr>
          <w:p w14:paraId="0D187A8D"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-2.75</w:t>
            </w:r>
          </w:p>
        </w:tc>
        <w:tc>
          <w:tcPr>
            <w:tcW w:w="1111" w:type="dxa"/>
            <w:tcBorders>
              <w:top w:val="nil"/>
              <w:left w:val="nil"/>
              <w:bottom w:val="nil"/>
              <w:right w:val="nil"/>
            </w:tcBorders>
            <w:shd w:val="clear" w:color="auto" w:fill="FFFFFF"/>
            <w:vAlign w:val="center"/>
          </w:tcPr>
          <w:p w14:paraId="7F2227D2"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1.04</w:t>
            </w:r>
          </w:p>
        </w:tc>
        <w:tc>
          <w:tcPr>
            <w:tcW w:w="768" w:type="dxa"/>
            <w:tcBorders>
              <w:top w:val="nil"/>
              <w:left w:val="nil"/>
              <w:bottom w:val="nil"/>
              <w:right w:val="nil"/>
            </w:tcBorders>
            <w:shd w:val="clear" w:color="auto" w:fill="FFFFFF"/>
            <w:vAlign w:val="center"/>
          </w:tcPr>
          <w:p w14:paraId="5C5E90C2"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.027</w:t>
            </w:r>
          </w:p>
        </w:tc>
        <w:tc>
          <w:tcPr>
            <w:tcW w:w="1098" w:type="dxa"/>
            <w:tcBorders>
              <w:top w:val="nil"/>
              <w:left w:val="nil"/>
              <w:bottom w:val="nil"/>
              <w:right w:val="nil"/>
            </w:tcBorders>
            <w:shd w:val="clear" w:color="auto" w:fill="FFFFFF"/>
            <w:vAlign w:val="center"/>
          </w:tcPr>
          <w:p w14:paraId="32E44AD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-5.26</w:t>
            </w:r>
          </w:p>
        </w:tc>
        <w:tc>
          <w:tcPr>
            <w:tcW w:w="1134" w:type="dxa"/>
            <w:tcBorders>
              <w:top w:val="nil"/>
              <w:left w:val="nil"/>
              <w:bottom w:val="nil"/>
              <w:right w:val="nil"/>
            </w:tcBorders>
            <w:shd w:val="clear" w:color="auto" w:fill="FFFFFF"/>
            <w:vAlign w:val="center"/>
          </w:tcPr>
          <w:p w14:paraId="7B186801" w14:textId="7AC222F4"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w:t>
            </w:r>
            <w:r w:rsidR="004A351A" w:rsidRPr="00B56453">
              <w:rPr>
                <w:rFonts w:cs="Times New Roman"/>
                <w:sz w:val="20"/>
                <w:szCs w:val="20"/>
              </w:rPr>
              <w:t>0</w:t>
            </w:r>
            <w:r w:rsidRPr="00B56453">
              <w:rPr>
                <w:rFonts w:cs="Times New Roman"/>
                <w:sz w:val="20"/>
                <w:szCs w:val="20"/>
              </w:rPr>
              <w:t>.24</w:t>
            </w:r>
          </w:p>
        </w:tc>
      </w:tr>
      <w:tr w:rsidR="00DB587B" w:rsidRPr="00B56453" w14:paraId="0AE68000" w14:textId="77777777" w:rsidTr="007C73DC">
        <w:trPr>
          <w:cantSplit/>
        </w:trPr>
        <w:tc>
          <w:tcPr>
            <w:tcW w:w="1061" w:type="dxa"/>
            <w:vMerge/>
            <w:tcBorders>
              <w:left w:val="nil"/>
              <w:right w:val="nil"/>
            </w:tcBorders>
            <w:shd w:val="clear" w:color="auto" w:fill="FFFFFF"/>
          </w:tcPr>
          <w:p w14:paraId="26597898"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top w:val="nil"/>
              <w:left w:val="nil"/>
              <w:right w:val="nil"/>
            </w:tcBorders>
            <w:shd w:val="clear" w:color="auto" w:fill="FFFFFF"/>
            <w:vAlign w:val="center"/>
          </w:tcPr>
          <w:p w14:paraId="5174395B"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72C9459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1418" w:type="dxa"/>
            <w:tcBorders>
              <w:top w:val="nil"/>
              <w:left w:val="nil"/>
              <w:right w:val="nil"/>
            </w:tcBorders>
            <w:shd w:val="clear" w:color="auto" w:fill="FFFFFF"/>
            <w:vAlign w:val="center"/>
          </w:tcPr>
          <w:p w14:paraId="2E80143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-1.47</w:t>
            </w:r>
          </w:p>
        </w:tc>
        <w:tc>
          <w:tcPr>
            <w:tcW w:w="1111" w:type="dxa"/>
            <w:tcBorders>
              <w:top w:val="nil"/>
              <w:left w:val="nil"/>
              <w:right w:val="nil"/>
            </w:tcBorders>
            <w:shd w:val="clear" w:color="auto" w:fill="FFFFFF"/>
            <w:vAlign w:val="center"/>
          </w:tcPr>
          <w:p w14:paraId="029451C8"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1.06</w:t>
            </w:r>
          </w:p>
        </w:tc>
        <w:tc>
          <w:tcPr>
            <w:tcW w:w="768" w:type="dxa"/>
            <w:tcBorders>
              <w:top w:val="nil"/>
              <w:left w:val="nil"/>
              <w:right w:val="nil"/>
            </w:tcBorders>
            <w:shd w:val="clear" w:color="auto" w:fill="FFFFFF"/>
            <w:vAlign w:val="center"/>
          </w:tcPr>
          <w:p w14:paraId="0F122A4B"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.503</w:t>
            </w:r>
          </w:p>
        </w:tc>
        <w:tc>
          <w:tcPr>
            <w:tcW w:w="1098" w:type="dxa"/>
            <w:tcBorders>
              <w:top w:val="nil"/>
              <w:left w:val="nil"/>
              <w:right w:val="nil"/>
            </w:tcBorders>
            <w:shd w:val="clear" w:color="auto" w:fill="FFFFFF"/>
            <w:vAlign w:val="center"/>
          </w:tcPr>
          <w:p w14:paraId="46ED4169"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-4.03</w:t>
            </w:r>
          </w:p>
        </w:tc>
        <w:tc>
          <w:tcPr>
            <w:tcW w:w="1134" w:type="dxa"/>
            <w:tcBorders>
              <w:top w:val="nil"/>
              <w:left w:val="nil"/>
              <w:right w:val="nil"/>
            </w:tcBorders>
            <w:shd w:val="clear" w:color="auto" w:fill="FFFFFF"/>
            <w:vAlign w:val="center"/>
          </w:tcPr>
          <w:p w14:paraId="16F33289"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1.09</w:t>
            </w:r>
          </w:p>
        </w:tc>
      </w:tr>
      <w:tr w:rsidR="00DB587B" w:rsidRPr="00B56453" w14:paraId="7AC125F0" w14:textId="77777777" w:rsidTr="007C73DC">
        <w:trPr>
          <w:cantSplit/>
        </w:trPr>
        <w:tc>
          <w:tcPr>
            <w:tcW w:w="1061" w:type="dxa"/>
            <w:vMerge/>
            <w:tcBorders>
              <w:left w:val="nil"/>
              <w:right w:val="nil"/>
            </w:tcBorders>
            <w:shd w:val="clear" w:color="auto" w:fill="FFFFFF"/>
          </w:tcPr>
          <w:p w14:paraId="47C92564"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val="restart"/>
            <w:tcBorders>
              <w:top w:val="nil"/>
              <w:left w:val="nil"/>
              <w:right w:val="nil"/>
            </w:tcBorders>
            <w:shd w:val="clear" w:color="auto" w:fill="FFFFFF"/>
            <w:vAlign w:val="center"/>
          </w:tcPr>
          <w:p w14:paraId="0AAC394F"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868" w:type="dxa"/>
            <w:tcBorders>
              <w:top w:val="nil"/>
              <w:left w:val="nil"/>
              <w:bottom w:val="nil"/>
              <w:right w:val="nil"/>
            </w:tcBorders>
            <w:shd w:val="clear" w:color="auto" w:fill="FFFFFF"/>
            <w:vAlign w:val="center"/>
          </w:tcPr>
          <w:p w14:paraId="0C1F4639"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1418" w:type="dxa"/>
            <w:tcBorders>
              <w:top w:val="nil"/>
              <w:left w:val="nil"/>
              <w:bottom w:val="nil"/>
              <w:right w:val="nil"/>
            </w:tcBorders>
            <w:shd w:val="clear" w:color="auto" w:fill="FFFFFF"/>
            <w:vAlign w:val="center"/>
          </w:tcPr>
          <w:p w14:paraId="26D5A6DD"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-1.28</w:t>
            </w:r>
          </w:p>
        </w:tc>
        <w:tc>
          <w:tcPr>
            <w:tcW w:w="1111" w:type="dxa"/>
            <w:tcBorders>
              <w:top w:val="nil"/>
              <w:left w:val="nil"/>
              <w:bottom w:val="nil"/>
              <w:right w:val="nil"/>
            </w:tcBorders>
            <w:shd w:val="clear" w:color="auto" w:fill="FFFFFF"/>
            <w:vAlign w:val="center"/>
          </w:tcPr>
          <w:p w14:paraId="6D6F41ED" w14:textId="77F43EB1"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.70</w:t>
            </w:r>
          </w:p>
        </w:tc>
        <w:tc>
          <w:tcPr>
            <w:tcW w:w="768" w:type="dxa"/>
            <w:tcBorders>
              <w:top w:val="nil"/>
              <w:left w:val="nil"/>
              <w:bottom w:val="nil"/>
              <w:right w:val="nil"/>
            </w:tcBorders>
            <w:shd w:val="clear" w:color="auto" w:fill="FFFFFF"/>
            <w:vAlign w:val="center"/>
          </w:tcPr>
          <w:p w14:paraId="6041128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.208</w:t>
            </w:r>
          </w:p>
        </w:tc>
        <w:tc>
          <w:tcPr>
            <w:tcW w:w="1098" w:type="dxa"/>
            <w:tcBorders>
              <w:top w:val="nil"/>
              <w:left w:val="nil"/>
              <w:bottom w:val="nil"/>
              <w:right w:val="nil"/>
            </w:tcBorders>
            <w:shd w:val="clear" w:color="auto" w:fill="FFFFFF"/>
            <w:vAlign w:val="center"/>
          </w:tcPr>
          <w:p w14:paraId="3B711246"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-2.98</w:t>
            </w:r>
          </w:p>
        </w:tc>
        <w:tc>
          <w:tcPr>
            <w:tcW w:w="1134" w:type="dxa"/>
            <w:tcBorders>
              <w:top w:val="nil"/>
              <w:left w:val="nil"/>
              <w:bottom w:val="nil"/>
              <w:right w:val="nil"/>
            </w:tcBorders>
            <w:shd w:val="clear" w:color="auto" w:fill="FFFFFF"/>
            <w:vAlign w:val="center"/>
          </w:tcPr>
          <w:p w14:paraId="7BD6CE9C" w14:textId="04C3D950"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.41</w:t>
            </w:r>
          </w:p>
        </w:tc>
      </w:tr>
      <w:tr w:rsidR="00DB587B" w:rsidRPr="00B56453" w14:paraId="7FFA56E6" w14:textId="77777777" w:rsidTr="007C73DC">
        <w:trPr>
          <w:cantSplit/>
        </w:trPr>
        <w:tc>
          <w:tcPr>
            <w:tcW w:w="1061" w:type="dxa"/>
            <w:vMerge/>
            <w:tcBorders>
              <w:left w:val="nil"/>
              <w:right w:val="nil"/>
            </w:tcBorders>
            <w:shd w:val="clear" w:color="auto" w:fill="FFFFFF"/>
          </w:tcPr>
          <w:p w14:paraId="5ED95E59"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top w:val="nil"/>
              <w:left w:val="nil"/>
              <w:right w:val="nil"/>
            </w:tcBorders>
            <w:shd w:val="clear" w:color="auto" w:fill="FFFFFF"/>
            <w:vAlign w:val="center"/>
          </w:tcPr>
          <w:p w14:paraId="54056767"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6E5CC9E9"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1418" w:type="dxa"/>
            <w:tcBorders>
              <w:top w:val="nil"/>
              <w:left w:val="nil"/>
              <w:right w:val="nil"/>
            </w:tcBorders>
            <w:shd w:val="clear" w:color="auto" w:fill="FFFFFF"/>
            <w:vAlign w:val="center"/>
          </w:tcPr>
          <w:p w14:paraId="78BAD445"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1.47</w:t>
            </w:r>
          </w:p>
        </w:tc>
        <w:tc>
          <w:tcPr>
            <w:tcW w:w="1111" w:type="dxa"/>
            <w:tcBorders>
              <w:top w:val="nil"/>
              <w:left w:val="nil"/>
              <w:right w:val="nil"/>
            </w:tcBorders>
            <w:shd w:val="clear" w:color="auto" w:fill="FFFFFF"/>
            <w:vAlign w:val="center"/>
          </w:tcPr>
          <w:p w14:paraId="326E592C"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1.06</w:t>
            </w:r>
          </w:p>
        </w:tc>
        <w:tc>
          <w:tcPr>
            <w:tcW w:w="768" w:type="dxa"/>
            <w:tcBorders>
              <w:top w:val="nil"/>
              <w:left w:val="nil"/>
              <w:right w:val="nil"/>
            </w:tcBorders>
            <w:shd w:val="clear" w:color="auto" w:fill="FFFFFF"/>
            <w:vAlign w:val="center"/>
          </w:tcPr>
          <w:p w14:paraId="4E5FBB6F"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.503</w:t>
            </w:r>
          </w:p>
        </w:tc>
        <w:tc>
          <w:tcPr>
            <w:tcW w:w="1098" w:type="dxa"/>
            <w:tcBorders>
              <w:top w:val="nil"/>
              <w:left w:val="nil"/>
              <w:right w:val="nil"/>
            </w:tcBorders>
            <w:shd w:val="clear" w:color="auto" w:fill="FFFFFF"/>
            <w:vAlign w:val="center"/>
          </w:tcPr>
          <w:p w14:paraId="49A671FB"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-1.09</w:t>
            </w:r>
          </w:p>
        </w:tc>
        <w:tc>
          <w:tcPr>
            <w:tcW w:w="1134" w:type="dxa"/>
            <w:tcBorders>
              <w:top w:val="nil"/>
              <w:left w:val="nil"/>
              <w:right w:val="nil"/>
            </w:tcBorders>
            <w:shd w:val="clear" w:color="auto" w:fill="FFFFFF"/>
            <w:vAlign w:val="center"/>
          </w:tcPr>
          <w:p w14:paraId="116F902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4.03</w:t>
            </w:r>
          </w:p>
        </w:tc>
      </w:tr>
      <w:tr w:rsidR="00DB587B" w:rsidRPr="00B56453" w14:paraId="0DDDADEF" w14:textId="77777777" w:rsidTr="007C73DC">
        <w:trPr>
          <w:cantSplit/>
        </w:trPr>
        <w:tc>
          <w:tcPr>
            <w:tcW w:w="1061" w:type="dxa"/>
            <w:vMerge w:val="restart"/>
            <w:tcBorders>
              <w:top w:val="nil"/>
              <w:left w:val="nil"/>
              <w:right w:val="nil"/>
            </w:tcBorders>
            <w:shd w:val="clear" w:color="auto" w:fill="FFFFFF"/>
          </w:tcPr>
          <w:p w14:paraId="41E4A5DF"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SRLF</w:t>
            </w:r>
          </w:p>
        </w:tc>
        <w:tc>
          <w:tcPr>
            <w:tcW w:w="906" w:type="dxa"/>
            <w:vMerge w:val="restart"/>
            <w:tcBorders>
              <w:top w:val="nil"/>
              <w:left w:val="nil"/>
              <w:right w:val="nil"/>
            </w:tcBorders>
            <w:shd w:val="clear" w:color="auto" w:fill="FFFFFF"/>
            <w:vAlign w:val="center"/>
          </w:tcPr>
          <w:p w14:paraId="7BBC40A3"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868" w:type="dxa"/>
            <w:tcBorders>
              <w:top w:val="nil"/>
              <w:left w:val="nil"/>
              <w:bottom w:val="nil"/>
              <w:right w:val="nil"/>
            </w:tcBorders>
            <w:shd w:val="clear" w:color="auto" w:fill="FFFFFF"/>
            <w:vAlign w:val="center"/>
          </w:tcPr>
          <w:p w14:paraId="0008AB40"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1418" w:type="dxa"/>
            <w:tcBorders>
              <w:top w:val="nil"/>
              <w:left w:val="nil"/>
              <w:bottom w:val="nil"/>
              <w:right w:val="nil"/>
            </w:tcBorders>
            <w:shd w:val="clear" w:color="auto" w:fill="FFFFFF"/>
            <w:vAlign w:val="center"/>
          </w:tcPr>
          <w:p w14:paraId="679E5771" w14:textId="701616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w:t>
            </w:r>
            <w:r w:rsidR="004A351A" w:rsidRPr="00B56453">
              <w:rPr>
                <w:rFonts w:cs="Times New Roman"/>
                <w:sz w:val="20"/>
                <w:szCs w:val="20"/>
              </w:rPr>
              <w:t>0</w:t>
            </w:r>
            <w:r w:rsidRPr="00B56453">
              <w:rPr>
                <w:rFonts w:cs="Times New Roman"/>
                <w:sz w:val="20"/>
                <w:szCs w:val="20"/>
              </w:rPr>
              <w:t>.24</w:t>
            </w:r>
          </w:p>
        </w:tc>
        <w:tc>
          <w:tcPr>
            <w:tcW w:w="1111" w:type="dxa"/>
            <w:tcBorders>
              <w:top w:val="nil"/>
              <w:left w:val="nil"/>
              <w:bottom w:val="nil"/>
              <w:right w:val="nil"/>
            </w:tcBorders>
            <w:shd w:val="clear" w:color="auto" w:fill="FFFFFF"/>
            <w:vAlign w:val="center"/>
          </w:tcPr>
          <w:p w14:paraId="408D75CD" w14:textId="0EA55681"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.80</w:t>
            </w:r>
          </w:p>
        </w:tc>
        <w:tc>
          <w:tcPr>
            <w:tcW w:w="768" w:type="dxa"/>
            <w:tcBorders>
              <w:top w:val="nil"/>
              <w:left w:val="nil"/>
              <w:bottom w:val="nil"/>
              <w:right w:val="nil"/>
            </w:tcBorders>
            <w:shd w:val="clear" w:color="auto" w:fill="FFFFFF"/>
            <w:vAlign w:val="center"/>
          </w:tcPr>
          <w:p w14:paraId="0DED023B"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1.000</w:t>
            </w:r>
          </w:p>
        </w:tc>
        <w:tc>
          <w:tcPr>
            <w:tcW w:w="1098" w:type="dxa"/>
            <w:tcBorders>
              <w:top w:val="nil"/>
              <w:left w:val="nil"/>
              <w:bottom w:val="nil"/>
              <w:right w:val="nil"/>
            </w:tcBorders>
            <w:shd w:val="clear" w:color="auto" w:fill="FFFFFF"/>
            <w:vAlign w:val="center"/>
          </w:tcPr>
          <w:p w14:paraId="587B5338"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-2.19</w:t>
            </w:r>
          </w:p>
        </w:tc>
        <w:tc>
          <w:tcPr>
            <w:tcW w:w="1134" w:type="dxa"/>
            <w:tcBorders>
              <w:top w:val="nil"/>
              <w:left w:val="nil"/>
              <w:bottom w:val="nil"/>
              <w:right w:val="nil"/>
            </w:tcBorders>
            <w:shd w:val="clear" w:color="auto" w:fill="FFFFFF"/>
            <w:vAlign w:val="center"/>
          </w:tcPr>
          <w:p w14:paraId="0E34779E"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1.70</w:t>
            </w:r>
          </w:p>
        </w:tc>
      </w:tr>
      <w:tr w:rsidR="00DB587B" w:rsidRPr="00B56453" w14:paraId="20FBA347" w14:textId="77777777" w:rsidTr="007C73DC">
        <w:trPr>
          <w:cantSplit/>
        </w:trPr>
        <w:tc>
          <w:tcPr>
            <w:tcW w:w="1061" w:type="dxa"/>
            <w:vMerge/>
            <w:tcBorders>
              <w:top w:val="nil"/>
              <w:left w:val="nil"/>
              <w:right w:val="nil"/>
            </w:tcBorders>
            <w:shd w:val="clear" w:color="auto" w:fill="FFFFFF"/>
          </w:tcPr>
          <w:p w14:paraId="0C6672E2"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top w:val="nil"/>
              <w:left w:val="nil"/>
              <w:right w:val="nil"/>
            </w:tcBorders>
            <w:shd w:val="clear" w:color="auto" w:fill="FFFFFF"/>
            <w:vAlign w:val="center"/>
          </w:tcPr>
          <w:p w14:paraId="5151FF66"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51BFC7D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1418" w:type="dxa"/>
            <w:tcBorders>
              <w:top w:val="nil"/>
              <w:left w:val="nil"/>
              <w:right w:val="nil"/>
            </w:tcBorders>
            <w:shd w:val="clear" w:color="auto" w:fill="FFFFFF"/>
            <w:vAlign w:val="center"/>
          </w:tcPr>
          <w:p w14:paraId="45627080"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-2.18</w:t>
            </w:r>
          </w:p>
        </w:tc>
        <w:tc>
          <w:tcPr>
            <w:tcW w:w="1111" w:type="dxa"/>
            <w:tcBorders>
              <w:top w:val="nil"/>
              <w:left w:val="nil"/>
              <w:right w:val="nil"/>
            </w:tcBorders>
            <w:shd w:val="clear" w:color="auto" w:fill="FFFFFF"/>
            <w:vAlign w:val="center"/>
          </w:tcPr>
          <w:p w14:paraId="6C82BFD4" w14:textId="163BC947"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.54</w:t>
            </w:r>
          </w:p>
        </w:tc>
        <w:tc>
          <w:tcPr>
            <w:tcW w:w="768" w:type="dxa"/>
            <w:tcBorders>
              <w:top w:val="nil"/>
              <w:left w:val="nil"/>
              <w:right w:val="nil"/>
            </w:tcBorders>
            <w:shd w:val="clear" w:color="auto" w:fill="FFFFFF"/>
            <w:vAlign w:val="center"/>
          </w:tcPr>
          <w:p w14:paraId="6F062658"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.000</w:t>
            </w:r>
          </w:p>
        </w:tc>
        <w:tc>
          <w:tcPr>
            <w:tcW w:w="1098" w:type="dxa"/>
            <w:tcBorders>
              <w:top w:val="nil"/>
              <w:left w:val="nil"/>
              <w:right w:val="nil"/>
            </w:tcBorders>
            <w:shd w:val="clear" w:color="auto" w:fill="FFFFFF"/>
            <w:vAlign w:val="center"/>
          </w:tcPr>
          <w:p w14:paraId="59F9E166"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-3.49</w:t>
            </w:r>
          </w:p>
        </w:tc>
        <w:tc>
          <w:tcPr>
            <w:tcW w:w="1134" w:type="dxa"/>
            <w:tcBorders>
              <w:top w:val="nil"/>
              <w:left w:val="nil"/>
              <w:right w:val="nil"/>
            </w:tcBorders>
            <w:shd w:val="clear" w:color="auto" w:fill="FFFFFF"/>
            <w:vAlign w:val="center"/>
          </w:tcPr>
          <w:p w14:paraId="6248E164" w14:textId="6874907A"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w:t>
            </w:r>
            <w:r w:rsidR="004A351A" w:rsidRPr="00B56453">
              <w:rPr>
                <w:rFonts w:cs="Times New Roman"/>
                <w:sz w:val="20"/>
                <w:szCs w:val="20"/>
              </w:rPr>
              <w:t>0</w:t>
            </w:r>
            <w:r w:rsidRPr="00B56453">
              <w:rPr>
                <w:rFonts w:cs="Times New Roman"/>
                <w:sz w:val="20"/>
                <w:szCs w:val="20"/>
              </w:rPr>
              <w:t>.87</w:t>
            </w:r>
          </w:p>
        </w:tc>
      </w:tr>
      <w:tr w:rsidR="00DB587B" w:rsidRPr="00B56453" w14:paraId="0C0872E3" w14:textId="77777777" w:rsidTr="007C73DC">
        <w:trPr>
          <w:cantSplit/>
        </w:trPr>
        <w:tc>
          <w:tcPr>
            <w:tcW w:w="1061" w:type="dxa"/>
            <w:vMerge/>
            <w:tcBorders>
              <w:top w:val="nil"/>
              <w:left w:val="nil"/>
              <w:right w:val="nil"/>
            </w:tcBorders>
            <w:shd w:val="clear" w:color="auto" w:fill="FFFFFF"/>
          </w:tcPr>
          <w:p w14:paraId="70B3AE7C"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val="restart"/>
            <w:tcBorders>
              <w:top w:val="nil"/>
              <w:left w:val="nil"/>
              <w:right w:val="nil"/>
            </w:tcBorders>
            <w:shd w:val="clear" w:color="auto" w:fill="FFFFFF"/>
            <w:vAlign w:val="center"/>
          </w:tcPr>
          <w:p w14:paraId="3839C721"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868" w:type="dxa"/>
            <w:tcBorders>
              <w:top w:val="nil"/>
              <w:left w:val="nil"/>
              <w:bottom w:val="nil"/>
              <w:right w:val="nil"/>
            </w:tcBorders>
            <w:shd w:val="clear" w:color="auto" w:fill="FFFFFF"/>
            <w:vAlign w:val="center"/>
          </w:tcPr>
          <w:p w14:paraId="1B990F0A"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1418" w:type="dxa"/>
            <w:tcBorders>
              <w:top w:val="nil"/>
              <w:left w:val="nil"/>
              <w:bottom w:val="nil"/>
              <w:right w:val="nil"/>
            </w:tcBorders>
            <w:shd w:val="clear" w:color="auto" w:fill="FFFFFF"/>
            <w:vAlign w:val="center"/>
          </w:tcPr>
          <w:p w14:paraId="59E2A223" w14:textId="1A68D156"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.24</w:t>
            </w:r>
          </w:p>
        </w:tc>
        <w:tc>
          <w:tcPr>
            <w:tcW w:w="1111" w:type="dxa"/>
            <w:tcBorders>
              <w:top w:val="nil"/>
              <w:left w:val="nil"/>
              <w:bottom w:val="nil"/>
              <w:right w:val="nil"/>
            </w:tcBorders>
            <w:shd w:val="clear" w:color="auto" w:fill="FFFFFF"/>
            <w:vAlign w:val="center"/>
          </w:tcPr>
          <w:p w14:paraId="6672F8B2" w14:textId="3B6B161A"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.80</w:t>
            </w:r>
          </w:p>
        </w:tc>
        <w:tc>
          <w:tcPr>
            <w:tcW w:w="768" w:type="dxa"/>
            <w:tcBorders>
              <w:top w:val="nil"/>
              <w:left w:val="nil"/>
              <w:bottom w:val="nil"/>
              <w:right w:val="nil"/>
            </w:tcBorders>
            <w:shd w:val="clear" w:color="auto" w:fill="FFFFFF"/>
            <w:vAlign w:val="center"/>
          </w:tcPr>
          <w:p w14:paraId="63BBB8A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1.000</w:t>
            </w:r>
          </w:p>
        </w:tc>
        <w:tc>
          <w:tcPr>
            <w:tcW w:w="1098" w:type="dxa"/>
            <w:tcBorders>
              <w:top w:val="nil"/>
              <w:left w:val="nil"/>
              <w:bottom w:val="nil"/>
              <w:right w:val="nil"/>
            </w:tcBorders>
            <w:shd w:val="clear" w:color="auto" w:fill="FFFFFF"/>
            <w:vAlign w:val="center"/>
          </w:tcPr>
          <w:p w14:paraId="33A7BF6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-1.70</w:t>
            </w:r>
          </w:p>
        </w:tc>
        <w:tc>
          <w:tcPr>
            <w:tcW w:w="1134" w:type="dxa"/>
            <w:tcBorders>
              <w:top w:val="nil"/>
              <w:left w:val="nil"/>
              <w:bottom w:val="nil"/>
              <w:right w:val="nil"/>
            </w:tcBorders>
            <w:shd w:val="clear" w:color="auto" w:fill="FFFFFF"/>
            <w:vAlign w:val="center"/>
          </w:tcPr>
          <w:p w14:paraId="45669900"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2.19</w:t>
            </w:r>
          </w:p>
        </w:tc>
      </w:tr>
      <w:tr w:rsidR="00DB587B" w:rsidRPr="00B56453" w14:paraId="63E63D54" w14:textId="77777777" w:rsidTr="007C73DC">
        <w:trPr>
          <w:cantSplit/>
        </w:trPr>
        <w:tc>
          <w:tcPr>
            <w:tcW w:w="1061" w:type="dxa"/>
            <w:vMerge/>
            <w:tcBorders>
              <w:top w:val="nil"/>
              <w:left w:val="nil"/>
              <w:right w:val="nil"/>
            </w:tcBorders>
            <w:shd w:val="clear" w:color="auto" w:fill="FFFFFF"/>
          </w:tcPr>
          <w:p w14:paraId="3B2C38CB"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top w:val="nil"/>
              <w:left w:val="nil"/>
              <w:right w:val="nil"/>
            </w:tcBorders>
            <w:shd w:val="clear" w:color="auto" w:fill="FFFFFF"/>
            <w:vAlign w:val="center"/>
          </w:tcPr>
          <w:p w14:paraId="2A8BA4C8"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4A3D48C0"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1418" w:type="dxa"/>
            <w:tcBorders>
              <w:top w:val="nil"/>
              <w:left w:val="nil"/>
              <w:right w:val="nil"/>
            </w:tcBorders>
            <w:shd w:val="clear" w:color="auto" w:fill="FFFFFF"/>
            <w:vAlign w:val="center"/>
          </w:tcPr>
          <w:p w14:paraId="2C1CBB2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-1.93</w:t>
            </w:r>
          </w:p>
        </w:tc>
        <w:tc>
          <w:tcPr>
            <w:tcW w:w="1111" w:type="dxa"/>
            <w:tcBorders>
              <w:top w:val="nil"/>
              <w:left w:val="nil"/>
              <w:right w:val="nil"/>
            </w:tcBorders>
            <w:shd w:val="clear" w:color="auto" w:fill="FFFFFF"/>
            <w:vAlign w:val="center"/>
          </w:tcPr>
          <w:p w14:paraId="654492FE" w14:textId="772AAE3B"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.82</w:t>
            </w:r>
          </w:p>
        </w:tc>
        <w:tc>
          <w:tcPr>
            <w:tcW w:w="768" w:type="dxa"/>
            <w:tcBorders>
              <w:top w:val="nil"/>
              <w:left w:val="nil"/>
              <w:right w:val="nil"/>
            </w:tcBorders>
            <w:shd w:val="clear" w:color="auto" w:fill="FFFFFF"/>
            <w:vAlign w:val="center"/>
          </w:tcPr>
          <w:p w14:paraId="12C81396" w14:textId="49D2B8FB"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.058</w:t>
            </w:r>
          </w:p>
        </w:tc>
        <w:tc>
          <w:tcPr>
            <w:tcW w:w="1098" w:type="dxa"/>
            <w:tcBorders>
              <w:top w:val="nil"/>
              <w:left w:val="nil"/>
              <w:right w:val="nil"/>
            </w:tcBorders>
            <w:shd w:val="clear" w:color="auto" w:fill="FFFFFF"/>
            <w:vAlign w:val="center"/>
          </w:tcPr>
          <w:p w14:paraId="20A417E4"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-3.92</w:t>
            </w:r>
          </w:p>
        </w:tc>
        <w:tc>
          <w:tcPr>
            <w:tcW w:w="1134" w:type="dxa"/>
            <w:tcBorders>
              <w:top w:val="nil"/>
              <w:left w:val="nil"/>
              <w:right w:val="nil"/>
            </w:tcBorders>
            <w:shd w:val="clear" w:color="auto" w:fill="FFFFFF"/>
            <w:vAlign w:val="center"/>
          </w:tcPr>
          <w:p w14:paraId="52355AB9" w14:textId="5AD77DEC"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.05</w:t>
            </w:r>
          </w:p>
        </w:tc>
      </w:tr>
      <w:tr w:rsidR="00DB587B" w:rsidRPr="00B56453" w14:paraId="30F3F683" w14:textId="77777777" w:rsidTr="007C73DC">
        <w:trPr>
          <w:cantSplit/>
        </w:trPr>
        <w:tc>
          <w:tcPr>
            <w:tcW w:w="1061" w:type="dxa"/>
            <w:vMerge/>
            <w:tcBorders>
              <w:top w:val="nil"/>
              <w:left w:val="nil"/>
              <w:right w:val="nil"/>
            </w:tcBorders>
            <w:shd w:val="clear" w:color="auto" w:fill="FFFFFF"/>
          </w:tcPr>
          <w:p w14:paraId="12CB9C5B"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val="restart"/>
            <w:tcBorders>
              <w:top w:val="nil"/>
              <w:left w:val="nil"/>
              <w:right w:val="nil"/>
            </w:tcBorders>
            <w:shd w:val="clear" w:color="auto" w:fill="FFFFFF"/>
            <w:vAlign w:val="center"/>
          </w:tcPr>
          <w:p w14:paraId="283A048F"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3</w:t>
            </w:r>
          </w:p>
        </w:tc>
        <w:tc>
          <w:tcPr>
            <w:tcW w:w="868" w:type="dxa"/>
            <w:tcBorders>
              <w:top w:val="nil"/>
              <w:left w:val="nil"/>
              <w:bottom w:val="nil"/>
              <w:right w:val="nil"/>
            </w:tcBorders>
            <w:shd w:val="clear" w:color="auto" w:fill="FFFFFF"/>
            <w:vAlign w:val="center"/>
          </w:tcPr>
          <w:p w14:paraId="54CDAFF3"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1</w:t>
            </w:r>
          </w:p>
        </w:tc>
        <w:tc>
          <w:tcPr>
            <w:tcW w:w="1418" w:type="dxa"/>
            <w:tcBorders>
              <w:top w:val="nil"/>
              <w:left w:val="nil"/>
              <w:bottom w:val="nil"/>
              <w:right w:val="nil"/>
            </w:tcBorders>
            <w:shd w:val="clear" w:color="auto" w:fill="FFFFFF"/>
            <w:vAlign w:val="center"/>
          </w:tcPr>
          <w:p w14:paraId="71E3DA7C"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2.18</w:t>
            </w:r>
          </w:p>
        </w:tc>
        <w:tc>
          <w:tcPr>
            <w:tcW w:w="1111" w:type="dxa"/>
            <w:tcBorders>
              <w:top w:val="nil"/>
              <w:left w:val="nil"/>
              <w:bottom w:val="nil"/>
              <w:right w:val="nil"/>
            </w:tcBorders>
            <w:shd w:val="clear" w:color="auto" w:fill="FFFFFF"/>
            <w:vAlign w:val="center"/>
          </w:tcPr>
          <w:p w14:paraId="4D41C5C0" w14:textId="515BCCF5"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.54</w:t>
            </w:r>
          </w:p>
        </w:tc>
        <w:tc>
          <w:tcPr>
            <w:tcW w:w="768" w:type="dxa"/>
            <w:tcBorders>
              <w:top w:val="nil"/>
              <w:left w:val="nil"/>
              <w:bottom w:val="nil"/>
              <w:right w:val="nil"/>
            </w:tcBorders>
            <w:shd w:val="clear" w:color="auto" w:fill="FFFFFF"/>
            <w:vAlign w:val="center"/>
          </w:tcPr>
          <w:p w14:paraId="6F4C3695"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.000</w:t>
            </w:r>
          </w:p>
        </w:tc>
        <w:tc>
          <w:tcPr>
            <w:tcW w:w="1098" w:type="dxa"/>
            <w:tcBorders>
              <w:top w:val="nil"/>
              <w:left w:val="nil"/>
              <w:bottom w:val="nil"/>
              <w:right w:val="nil"/>
            </w:tcBorders>
            <w:shd w:val="clear" w:color="auto" w:fill="FFFFFF"/>
            <w:vAlign w:val="center"/>
          </w:tcPr>
          <w:p w14:paraId="59D6D82E" w14:textId="530B64E6"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.87</w:t>
            </w:r>
          </w:p>
        </w:tc>
        <w:tc>
          <w:tcPr>
            <w:tcW w:w="1134" w:type="dxa"/>
            <w:tcBorders>
              <w:top w:val="nil"/>
              <w:left w:val="nil"/>
              <w:bottom w:val="nil"/>
              <w:right w:val="nil"/>
            </w:tcBorders>
            <w:shd w:val="clear" w:color="auto" w:fill="FFFFFF"/>
            <w:vAlign w:val="center"/>
          </w:tcPr>
          <w:p w14:paraId="223045D6"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3.49</w:t>
            </w:r>
          </w:p>
        </w:tc>
      </w:tr>
      <w:tr w:rsidR="00DB587B" w:rsidRPr="00B56453" w14:paraId="03672905" w14:textId="77777777" w:rsidTr="007C73DC">
        <w:trPr>
          <w:cantSplit/>
        </w:trPr>
        <w:tc>
          <w:tcPr>
            <w:tcW w:w="1061" w:type="dxa"/>
            <w:vMerge/>
            <w:tcBorders>
              <w:top w:val="nil"/>
              <w:left w:val="nil"/>
              <w:right w:val="nil"/>
            </w:tcBorders>
            <w:shd w:val="clear" w:color="auto" w:fill="FFFFFF"/>
          </w:tcPr>
          <w:p w14:paraId="1A44DC47" w14:textId="77777777" w:rsidR="00DB587B" w:rsidRPr="00B56453" w:rsidRDefault="00DB587B" w:rsidP="004343FD">
            <w:pPr>
              <w:autoSpaceDE w:val="0"/>
              <w:autoSpaceDN w:val="0"/>
              <w:adjustRightInd w:val="0"/>
              <w:spacing w:after="0" w:line="240" w:lineRule="auto"/>
              <w:rPr>
                <w:rFonts w:cs="Times New Roman"/>
                <w:color w:val="000000"/>
                <w:sz w:val="20"/>
                <w:szCs w:val="20"/>
              </w:rPr>
            </w:pPr>
          </w:p>
        </w:tc>
        <w:tc>
          <w:tcPr>
            <w:tcW w:w="906" w:type="dxa"/>
            <w:vMerge/>
            <w:tcBorders>
              <w:top w:val="nil"/>
              <w:left w:val="nil"/>
              <w:right w:val="nil"/>
            </w:tcBorders>
            <w:shd w:val="clear" w:color="auto" w:fill="FFFFFF"/>
            <w:vAlign w:val="center"/>
          </w:tcPr>
          <w:p w14:paraId="5EC35DB8" w14:textId="77777777" w:rsidR="00DB587B" w:rsidRPr="00B56453" w:rsidRDefault="00DB587B" w:rsidP="007C73DC">
            <w:pPr>
              <w:autoSpaceDE w:val="0"/>
              <w:autoSpaceDN w:val="0"/>
              <w:adjustRightInd w:val="0"/>
              <w:spacing w:after="0" w:line="240" w:lineRule="auto"/>
              <w:jc w:val="center"/>
              <w:rPr>
                <w:rFonts w:cs="Times New Roman"/>
                <w:color w:val="000000"/>
                <w:sz w:val="20"/>
                <w:szCs w:val="20"/>
              </w:rPr>
            </w:pPr>
          </w:p>
        </w:tc>
        <w:tc>
          <w:tcPr>
            <w:tcW w:w="868" w:type="dxa"/>
            <w:tcBorders>
              <w:top w:val="nil"/>
              <w:left w:val="nil"/>
              <w:right w:val="nil"/>
            </w:tcBorders>
            <w:shd w:val="clear" w:color="auto" w:fill="FFFFFF"/>
            <w:vAlign w:val="center"/>
          </w:tcPr>
          <w:p w14:paraId="07EF3217"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color w:val="000000"/>
                <w:sz w:val="20"/>
                <w:szCs w:val="20"/>
              </w:rPr>
              <w:t>2</w:t>
            </w:r>
          </w:p>
        </w:tc>
        <w:tc>
          <w:tcPr>
            <w:tcW w:w="1418" w:type="dxa"/>
            <w:tcBorders>
              <w:top w:val="nil"/>
              <w:left w:val="nil"/>
              <w:right w:val="nil"/>
            </w:tcBorders>
            <w:shd w:val="clear" w:color="auto" w:fill="FFFFFF"/>
            <w:vAlign w:val="center"/>
          </w:tcPr>
          <w:p w14:paraId="7E615273"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1.93</w:t>
            </w:r>
          </w:p>
        </w:tc>
        <w:tc>
          <w:tcPr>
            <w:tcW w:w="1111" w:type="dxa"/>
            <w:tcBorders>
              <w:top w:val="nil"/>
              <w:left w:val="nil"/>
              <w:right w:val="nil"/>
            </w:tcBorders>
            <w:shd w:val="clear" w:color="auto" w:fill="FFFFFF"/>
            <w:vAlign w:val="center"/>
          </w:tcPr>
          <w:p w14:paraId="76A50B85" w14:textId="42339EB1" w:rsidR="00DB587B" w:rsidRPr="00B56453" w:rsidRDefault="004A351A"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w:t>
            </w:r>
            <w:r w:rsidR="00DB587B" w:rsidRPr="00B56453">
              <w:rPr>
                <w:rFonts w:cs="Times New Roman"/>
                <w:sz w:val="20"/>
                <w:szCs w:val="20"/>
              </w:rPr>
              <w:t>.82</w:t>
            </w:r>
          </w:p>
        </w:tc>
        <w:tc>
          <w:tcPr>
            <w:tcW w:w="768" w:type="dxa"/>
            <w:tcBorders>
              <w:top w:val="nil"/>
              <w:left w:val="nil"/>
              <w:right w:val="nil"/>
            </w:tcBorders>
            <w:shd w:val="clear" w:color="auto" w:fill="FFFFFF"/>
            <w:vAlign w:val="center"/>
          </w:tcPr>
          <w:p w14:paraId="34B7F65C"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.058</w:t>
            </w:r>
          </w:p>
        </w:tc>
        <w:tc>
          <w:tcPr>
            <w:tcW w:w="1098" w:type="dxa"/>
            <w:tcBorders>
              <w:top w:val="nil"/>
              <w:left w:val="nil"/>
              <w:right w:val="nil"/>
            </w:tcBorders>
            <w:shd w:val="clear" w:color="auto" w:fill="FFFFFF"/>
            <w:vAlign w:val="center"/>
          </w:tcPr>
          <w:p w14:paraId="107309CE" w14:textId="1806AC44"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w:t>
            </w:r>
            <w:r w:rsidR="004A351A" w:rsidRPr="00B56453">
              <w:rPr>
                <w:rFonts w:cs="Times New Roman"/>
                <w:sz w:val="20"/>
                <w:szCs w:val="20"/>
              </w:rPr>
              <w:t>0</w:t>
            </w:r>
            <w:r w:rsidRPr="00B56453">
              <w:rPr>
                <w:rFonts w:cs="Times New Roman"/>
                <w:sz w:val="20"/>
                <w:szCs w:val="20"/>
              </w:rPr>
              <w:t>.05</w:t>
            </w:r>
          </w:p>
        </w:tc>
        <w:tc>
          <w:tcPr>
            <w:tcW w:w="1134" w:type="dxa"/>
            <w:tcBorders>
              <w:top w:val="nil"/>
              <w:left w:val="nil"/>
              <w:right w:val="nil"/>
            </w:tcBorders>
            <w:shd w:val="clear" w:color="auto" w:fill="FFFFFF"/>
            <w:vAlign w:val="center"/>
          </w:tcPr>
          <w:p w14:paraId="284BEA45" w14:textId="77777777" w:rsidR="00DB587B" w:rsidRPr="00B56453" w:rsidRDefault="00DB587B" w:rsidP="007C73DC">
            <w:pPr>
              <w:autoSpaceDE w:val="0"/>
              <w:autoSpaceDN w:val="0"/>
              <w:adjustRightInd w:val="0"/>
              <w:spacing w:after="0" w:line="240" w:lineRule="auto"/>
              <w:ind w:left="60" w:right="60"/>
              <w:jc w:val="center"/>
              <w:rPr>
                <w:rFonts w:cs="Times New Roman"/>
                <w:color w:val="000000"/>
                <w:sz w:val="20"/>
                <w:szCs w:val="20"/>
              </w:rPr>
            </w:pPr>
            <w:r w:rsidRPr="00B56453">
              <w:rPr>
                <w:rFonts w:cs="Times New Roman"/>
                <w:sz w:val="20"/>
                <w:szCs w:val="20"/>
              </w:rPr>
              <w:t>3.92</w:t>
            </w:r>
          </w:p>
        </w:tc>
      </w:tr>
      <w:tr w:rsidR="00DB587B" w:rsidRPr="00B56453" w14:paraId="593A3376" w14:textId="77777777" w:rsidTr="007C73DC">
        <w:trPr>
          <w:cantSplit/>
        </w:trPr>
        <w:tc>
          <w:tcPr>
            <w:tcW w:w="8364" w:type="dxa"/>
            <w:gridSpan w:val="8"/>
            <w:tcBorders>
              <w:top w:val="nil"/>
              <w:left w:val="nil"/>
              <w:bottom w:val="nil"/>
              <w:right w:val="nil"/>
            </w:tcBorders>
            <w:shd w:val="clear" w:color="auto" w:fill="FFFFFF"/>
          </w:tcPr>
          <w:p w14:paraId="279D5107"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Based on estimated marginal means</w:t>
            </w:r>
          </w:p>
        </w:tc>
      </w:tr>
      <w:tr w:rsidR="00DB587B" w:rsidRPr="00B56453" w14:paraId="36186C84" w14:textId="77777777" w:rsidTr="007C73DC">
        <w:trPr>
          <w:cantSplit/>
        </w:trPr>
        <w:tc>
          <w:tcPr>
            <w:tcW w:w="8364" w:type="dxa"/>
            <w:gridSpan w:val="8"/>
            <w:tcBorders>
              <w:top w:val="nil"/>
              <w:left w:val="nil"/>
              <w:bottom w:val="nil"/>
              <w:right w:val="nil"/>
            </w:tcBorders>
            <w:shd w:val="clear" w:color="auto" w:fill="FFFFFF"/>
          </w:tcPr>
          <w:p w14:paraId="7A3DF622" w14:textId="77777777" w:rsidR="00DB587B" w:rsidRPr="00B56453" w:rsidRDefault="00DB587B" w:rsidP="004343FD">
            <w:pPr>
              <w:autoSpaceDE w:val="0"/>
              <w:autoSpaceDN w:val="0"/>
              <w:adjustRightInd w:val="0"/>
              <w:spacing w:after="0" w:line="240" w:lineRule="auto"/>
              <w:ind w:left="60" w:right="60"/>
              <w:rPr>
                <w:rFonts w:cs="Times New Roman"/>
                <w:color w:val="000000"/>
                <w:sz w:val="20"/>
                <w:szCs w:val="20"/>
              </w:rPr>
            </w:pPr>
            <w:r w:rsidRPr="00B56453">
              <w:rPr>
                <w:rFonts w:cs="Times New Roman"/>
                <w:color w:val="000000"/>
                <w:sz w:val="20"/>
                <w:szCs w:val="20"/>
              </w:rPr>
              <w:t>b. Adjustment for multiple comparisons: Bonferroni.</w:t>
            </w:r>
          </w:p>
        </w:tc>
      </w:tr>
    </w:tbl>
    <w:p w14:paraId="5FA9EAE3" w14:textId="77777777" w:rsidR="00DB587B" w:rsidRPr="00B56453" w:rsidRDefault="00DB587B" w:rsidP="00DB587B">
      <w:pPr>
        <w:spacing w:after="0" w:line="276" w:lineRule="auto"/>
        <w:jc w:val="center"/>
        <w:rPr>
          <w:rFonts w:cs="Times New Roman"/>
          <w:b/>
          <w:szCs w:val="24"/>
        </w:rPr>
      </w:pPr>
    </w:p>
    <w:p w14:paraId="14A4EB19" w14:textId="77777777" w:rsidR="00DB587B" w:rsidRPr="00B56453" w:rsidRDefault="00DB587B" w:rsidP="00DB587B">
      <w:pPr>
        <w:spacing w:after="0" w:line="276" w:lineRule="auto"/>
        <w:jc w:val="center"/>
        <w:rPr>
          <w:rFonts w:cs="Times New Roman"/>
          <w:b/>
          <w:szCs w:val="24"/>
        </w:rPr>
      </w:pPr>
    </w:p>
    <w:p w14:paraId="1E6099F7" w14:textId="77777777" w:rsidR="00851D7B" w:rsidRPr="00B56453" w:rsidRDefault="00851D7B" w:rsidP="00026049">
      <w:pPr>
        <w:pStyle w:val="Normal1"/>
        <w:rPr>
          <w:rFonts w:eastAsiaTheme="minorHAnsi" w:cs="Times New Roman"/>
          <w:b/>
          <w:kern w:val="0"/>
          <w:lang w:val="en-GB" w:eastAsia="en-US" w:bidi="ar-SA"/>
        </w:rPr>
      </w:pPr>
    </w:p>
    <w:p w14:paraId="63966179" w14:textId="716AEB54" w:rsidR="00DB587B" w:rsidRPr="00B56453" w:rsidRDefault="00DB587B" w:rsidP="00026049">
      <w:pPr>
        <w:pStyle w:val="Normal1"/>
        <w:rPr>
          <w:lang w:val="en-GB"/>
        </w:rPr>
      </w:pPr>
      <w:r w:rsidRPr="00B56453">
        <w:rPr>
          <w:lang w:val="en-GB"/>
        </w:rPr>
        <w:t xml:space="preserve">In BPF a significant decrease in GSE scores </w:t>
      </w:r>
      <w:r w:rsidR="00FA111F" w:rsidRPr="00B56453">
        <w:rPr>
          <w:lang w:val="en-GB"/>
        </w:rPr>
        <w:t xml:space="preserve">was observed </w:t>
      </w:r>
      <w:r w:rsidRPr="00B56453">
        <w:rPr>
          <w:lang w:val="en-GB"/>
        </w:rPr>
        <w:t>from 1</w:t>
      </w:r>
      <w:r w:rsidRPr="00B56453">
        <w:rPr>
          <w:vertAlign w:val="superscript"/>
          <w:lang w:val="en-GB"/>
        </w:rPr>
        <w:t>st</w:t>
      </w:r>
      <w:r w:rsidRPr="00B56453">
        <w:rPr>
          <w:lang w:val="en-GB"/>
        </w:rPr>
        <w:t xml:space="preserve"> round (M = 30.97, SE = </w:t>
      </w:r>
      <w:r w:rsidR="000E4B90" w:rsidRPr="00B56453">
        <w:rPr>
          <w:lang w:val="en-GB"/>
        </w:rPr>
        <w:t>0</w:t>
      </w:r>
      <w:r w:rsidRPr="00B56453">
        <w:rPr>
          <w:lang w:val="en-GB"/>
        </w:rPr>
        <w:t>.40) to 2</w:t>
      </w:r>
      <w:r w:rsidRPr="00B56453">
        <w:rPr>
          <w:vertAlign w:val="superscript"/>
          <w:lang w:val="en-GB"/>
        </w:rPr>
        <w:t>nd</w:t>
      </w:r>
      <w:r w:rsidRPr="00B56453">
        <w:rPr>
          <w:lang w:val="en-GB"/>
        </w:rPr>
        <w:t xml:space="preserve"> round (M = 28.22, SE = </w:t>
      </w:r>
      <w:r w:rsidR="000E4B90" w:rsidRPr="00B56453">
        <w:rPr>
          <w:lang w:val="en-GB"/>
        </w:rPr>
        <w:t>0</w:t>
      </w:r>
      <w:r w:rsidRPr="00B56453">
        <w:rPr>
          <w:lang w:val="en-GB"/>
        </w:rPr>
        <w:t xml:space="preserve">.97) with p &lt; </w:t>
      </w:r>
      <w:r w:rsidR="000E4B90" w:rsidRPr="00B56453">
        <w:rPr>
          <w:lang w:val="en-GB"/>
        </w:rPr>
        <w:t>0</w:t>
      </w:r>
      <w:r w:rsidRPr="00B56453">
        <w:rPr>
          <w:lang w:val="en-GB"/>
        </w:rPr>
        <w:t xml:space="preserve">.030. In SRLF a significant increase in GSE scores </w:t>
      </w:r>
      <w:r w:rsidR="00FA111F" w:rsidRPr="00B56453">
        <w:rPr>
          <w:lang w:val="en-GB"/>
        </w:rPr>
        <w:t xml:space="preserve">was observed </w:t>
      </w:r>
      <w:r w:rsidRPr="00B56453">
        <w:rPr>
          <w:lang w:val="en-GB"/>
        </w:rPr>
        <w:t>from 1</w:t>
      </w:r>
      <w:r w:rsidRPr="00B56453">
        <w:rPr>
          <w:vertAlign w:val="superscript"/>
          <w:lang w:val="en-GB"/>
        </w:rPr>
        <w:t>st</w:t>
      </w:r>
      <w:r w:rsidRPr="00B56453">
        <w:rPr>
          <w:lang w:val="en-GB"/>
        </w:rPr>
        <w:t xml:space="preserve"> round (M = 30.71, SE = </w:t>
      </w:r>
      <w:r w:rsidR="00506678" w:rsidRPr="00B56453">
        <w:rPr>
          <w:lang w:val="en-GB"/>
        </w:rPr>
        <w:t>0</w:t>
      </w:r>
      <w:r w:rsidRPr="00B56453">
        <w:rPr>
          <w:lang w:val="en-GB"/>
        </w:rPr>
        <w:t>.31) to 3</w:t>
      </w:r>
      <w:r w:rsidRPr="00B56453">
        <w:rPr>
          <w:vertAlign w:val="superscript"/>
          <w:lang w:val="en-GB"/>
        </w:rPr>
        <w:t xml:space="preserve">rd </w:t>
      </w:r>
      <w:r w:rsidRPr="00B56453">
        <w:rPr>
          <w:lang w:val="en-GB"/>
        </w:rPr>
        <w:t xml:space="preserve">round (M = 32.89, SE = </w:t>
      </w:r>
      <w:r w:rsidR="000E4B90" w:rsidRPr="00B56453">
        <w:rPr>
          <w:lang w:val="en-GB"/>
        </w:rPr>
        <w:t>0</w:t>
      </w:r>
      <w:r w:rsidRPr="00B56453">
        <w:rPr>
          <w:lang w:val="en-GB"/>
        </w:rPr>
        <w:t xml:space="preserve">.43) with p &lt; </w:t>
      </w:r>
      <w:r w:rsidR="000E4B90" w:rsidRPr="00B56453">
        <w:rPr>
          <w:lang w:val="en-GB"/>
        </w:rPr>
        <w:t>0</w:t>
      </w:r>
      <w:r w:rsidRPr="00B56453">
        <w:rPr>
          <w:lang w:val="en-GB"/>
        </w:rPr>
        <w:t xml:space="preserve">.001. </w:t>
      </w:r>
      <w:r w:rsidR="00AE17C9" w:rsidRPr="00B56453">
        <w:rPr>
          <w:lang w:val="en-GB"/>
        </w:rPr>
        <w:t>Figure</w:t>
      </w:r>
      <w:r w:rsidRPr="00B56453">
        <w:rPr>
          <w:lang w:val="en-GB"/>
        </w:rPr>
        <w:t xml:space="preserve"> </w:t>
      </w:r>
      <w:r w:rsidR="004343FD" w:rsidRPr="00B56453">
        <w:rPr>
          <w:lang w:val="en-GB"/>
        </w:rPr>
        <w:t>B3.3</w:t>
      </w:r>
      <w:r w:rsidRPr="00B56453">
        <w:rPr>
          <w:lang w:val="en-GB"/>
        </w:rPr>
        <w:t xml:space="preserve"> represents estimated marginal means of GSE scores for</w:t>
      </w:r>
      <w:r w:rsidR="00A676FB" w:rsidRPr="00B56453">
        <w:rPr>
          <w:lang w:val="en-GB"/>
        </w:rPr>
        <w:t xml:space="preserve"> the Condition*Time interaction with error bars based upon a 95% confidence interval.</w:t>
      </w:r>
    </w:p>
    <w:p w14:paraId="1B264516" w14:textId="77777777" w:rsidR="00DB587B" w:rsidRPr="00B56453" w:rsidRDefault="00DB587B" w:rsidP="00026049">
      <w:pPr>
        <w:pStyle w:val="Normal1"/>
        <w:rPr>
          <w:lang w:val="en-GB"/>
        </w:rPr>
      </w:pPr>
      <w:r w:rsidRPr="00B56453">
        <w:rPr>
          <w:lang w:val="en-GB"/>
        </w:rPr>
        <w:t xml:space="preserve"> </w:t>
      </w:r>
    </w:p>
    <w:p w14:paraId="26352693" w14:textId="6845CB1A" w:rsidR="00DB587B" w:rsidRPr="00B56453" w:rsidRDefault="0051512C" w:rsidP="0051512C">
      <w:pPr>
        <w:spacing w:after="0" w:line="276" w:lineRule="auto"/>
        <w:rPr>
          <w:rFonts w:cs="Times New Roman"/>
          <w:b/>
          <w:szCs w:val="24"/>
        </w:rPr>
      </w:pPr>
      <w:r w:rsidRPr="00B56453">
        <w:rPr>
          <w:rFonts w:cs="Times New Roman"/>
          <w:b/>
          <w:noProof/>
          <w:szCs w:val="24"/>
          <w:lang w:eastAsia="en-GB"/>
        </w:rPr>
        <w:lastRenderedPageBreak/>
        <w:drawing>
          <wp:inline distT="0" distB="0" distL="0" distR="0" wp14:anchorId="588D95BC" wp14:editId="085AF0B9">
            <wp:extent cx="5055080" cy="4453255"/>
            <wp:effectExtent l="0" t="0" r="0" b="444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17205"/>
                    <a:stretch/>
                  </pic:blipFill>
                  <pic:spPr bwMode="auto">
                    <a:xfrm>
                      <a:off x="0" y="0"/>
                      <a:ext cx="5055080" cy="4453255"/>
                    </a:xfrm>
                    <a:prstGeom prst="rect">
                      <a:avLst/>
                    </a:prstGeom>
                    <a:ln>
                      <a:noFill/>
                    </a:ln>
                    <a:extLst>
                      <a:ext uri="{53640926-AAD7-44D8-BBD7-CCE9431645EC}">
                        <a14:shadowObscured xmlns:a14="http://schemas.microsoft.com/office/drawing/2010/main"/>
                      </a:ext>
                    </a:extLst>
                  </pic:spPr>
                </pic:pic>
              </a:graphicData>
            </a:graphic>
          </wp:inline>
        </w:drawing>
      </w:r>
    </w:p>
    <w:p w14:paraId="6015971D" w14:textId="20527A37" w:rsidR="00DB587B" w:rsidRPr="00B56453" w:rsidRDefault="004343FD" w:rsidP="004343FD">
      <w:pPr>
        <w:pStyle w:val="Caption"/>
        <w:rPr>
          <w:rFonts w:cs="Times New Roman"/>
          <w:szCs w:val="20"/>
        </w:rPr>
      </w:pPr>
      <w:bookmarkStart w:id="324" w:name="_Toc500319554"/>
      <w:r w:rsidRPr="00BD42AF">
        <w:t>Figure B3.</w:t>
      </w:r>
      <w:fldSimple w:instr=" SEQ Figure_B3. \* ARABIC ">
        <w:r w:rsidR="00E44881" w:rsidRPr="00B56453">
          <w:rPr>
            <w:noProof/>
          </w:rPr>
          <w:t>3</w:t>
        </w:r>
      </w:fldSimple>
      <w:r w:rsidR="00DB587B" w:rsidRPr="00B56453">
        <w:rPr>
          <w:rFonts w:cs="Times New Roman"/>
        </w:rPr>
        <w:t xml:space="preserve"> </w:t>
      </w:r>
      <w:r w:rsidR="0051512C" w:rsidRPr="00B56453">
        <w:rPr>
          <w:rFonts w:cs="Times New Roman"/>
        </w:rPr>
        <w:t>GSE Score</w:t>
      </w:r>
      <w:r w:rsidR="00DB587B" w:rsidRPr="00B56453">
        <w:rPr>
          <w:rFonts w:cs="Times New Roman"/>
        </w:rPr>
        <w:t>, Condition*Time interaction</w:t>
      </w:r>
      <w:r w:rsidR="00E52DD2" w:rsidRPr="00B56453">
        <w:rPr>
          <w:rFonts w:cs="Times New Roman"/>
        </w:rPr>
        <w:t xml:space="preserve"> </w:t>
      </w:r>
      <w:r w:rsidR="00E52DD2" w:rsidRPr="00B56453">
        <w:t>based on estimated marginal means with CI bars to distinguish significant differences between conditions.</w:t>
      </w:r>
      <w:r w:rsidR="00A42B29" w:rsidRPr="00B56453">
        <w:t xml:space="preserve"> Bar positions were adjusted for clarity.</w:t>
      </w:r>
      <w:bookmarkEnd w:id="324"/>
    </w:p>
    <w:p w14:paraId="137BDC74" w14:textId="6BAB2448" w:rsidR="00F0134E" w:rsidRPr="00B56453" w:rsidRDefault="00F0134E" w:rsidP="00D971FD">
      <w:pPr>
        <w:spacing w:line="276" w:lineRule="auto"/>
        <w:rPr>
          <w:rFonts w:eastAsiaTheme="majorEastAsia" w:cs="Times New Roman"/>
          <w:color w:val="2E74B5" w:themeColor="accent1" w:themeShade="BF"/>
          <w:sz w:val="36"/>
          <w:szCs w:val="32"/>
        </w:rPr>
      </w:pPr>
      <w:r w:rsidRPr="00B56453">
        <w:br w:type="page"/>
      </w:r>
    </w:p>
    <w:p w14:paraId="45A99EA8" w14:textId="5D404300" w:rsidR="00DB587B" w:rsidRPr="00B56453" w:rsidRDefault="00FA111F" w:rsidP="00B1638D">
      <w:pPr>
        <w:pStyle w:val="Heading2"/>
        <w:rPr>
          <w:lang w:val="en-GB"/>
        </w:rPr>
      </w:pPr>
      <w:bookmarkStart w:id="325" w:name="_Toc500319401"/>
      <w:r w:rsidRPr="00B56453">
        <w:rPr>
          <w:lang w:val="en-GB"/>
        </w:rPr>
        <w:lastRenderedPageBreak/>
        <w:t xml:space="preserve">B3.4 </w:t>
      </w:r>
      <w:r w:rsidR="00DB587B" w:rsidRPr="00B56453">
        <w:rPr>
          <w:lang w:val="en-GB"/>
        </w:rPr>
        <w:t>Chapter summary</w:t>
      </w:r>
      <w:bookmarkEnd w:id="325"/>
    </w:p>
    <w:p w14:paraId="173859FE" w14:textId="77777777" w:rsidR="00DB587B" w:rsidRPr="00B56453" w:rsidRDefault="00DB587B" w:rsidP="00026049">
      <w:pPr>
        <w:pStyle w:val="Normal1"/>
        <w:rPr>
          <w:lang w:val="en-GB"/>
        </w:rPr>
      </w:pPr>
    </w:p>
    <w:p w14:paraId="67E11946" w14:textId="3F9E6445" w:rsidR="00DB587B" w:rsidRPr="00B56453" w:rsidRDefault="00DB587B" w:rsidP="00026049">
      <w:pPr>
        <w:pStyle w:val="Normal1"/>
        <w:rPr>
          <w:lang w:val="en-GB"/>
        </w:rPr>
      </w:pPr>
      <w:r w:rsidRPr="00B56453">
        <w:rPr>
          <w:lang w:val="en-GB"/>
        </w:rPr>
        <w:t xml:space="preserve">The findings </w:t>
      </w:r>
      <w:r w:rsidR="005978CB" w:rsidRPr="00B56453">
        <w:rPr>
          <w:lang w:val="en-GB"/>
        </w:rPr>
        <w:t>in</w:t>
      </w:r>
      <w:r w:rsidRPr="00B56453">
        <w:rPr>
          <w:lang w:val="en-GB"/>
        </w:rPr>
        <w:t xml:space="preserve"> this</w:t>
      </w:r>
      <w:r w:rsidR="00FA111F" w:rsidRPr="00B56453">
        <w:rPr>
          <w:lang w:val="en-GB"/>
        </w:rPr>
        <w:t xml:space="preserve"> part of the</w:t>
      </w:r>
      <w:r w:rsidRPr="00B56453">
        <w:rPr>
          <w:lang w:val="en-GB"/>
        </w:rPr>
        <w:t xml:space="preserve"> study address</w:t>
      </w:r>
      <w:r w:rsidR="00A42B29" w:rsidRPr="00B56453">
        <w:rPr>
          <w:lang w:val="en-GB"/>
        </w:rPr>
        <w:t>ed</w:t>
      </w:r>
      <w:r w:rsidRPr="00B56453">
        <w:rPr>
          <w:lang w:val="en-GB"/>
        </w:rPr>
        <w:t xml:space="preserve"> the quantitative research questions </w:t>
      </w:r>
      <w:r w:rsidR="000E4B90" w:rsidRPr="00B56453">
        <w:rPr>
          <w:lang w:val="en-GB"/>
        </w:rPr>
        <w:t>and suggest</w:t>
      </w:r>
      <w:r w:rsidRPr="00B56453">
        <w:rPr>
          <w:lang w:val="en-GB"/>
        </w:rPr>
        <w:t xml:space="preserve"> that SRL</w:t>
      </w:r>
      <w:r w:rsidR="00D971FD" w:rsidRPr="00B56453">
        <w:rPr>
          <w:lang w:val="en-GB"/>
        </w:rPr>
        <w:t>F</w:t>
      </w:r>
      <w:r w:rsidRPr="00B56453">
        <w:rPr>
          <w:lang w:val="en-GB"/>
        </w:rPr>
        <w:t xml:space="preserve"> may have </w:t>
      </w:r>
      <w:r w:rsidR="00A42B29" w:rsidRPr="00B56453">
        <w:rPr>
          <w:lang w:val="en-GB"/>
        </w:rPr>
        <w:t xml:space="preserve">had </w:t>
      </w:r>
      <w:r w:rsidRPr="00B56453">
        <w:rPr>
          <w:lang w:val="en-GB"/>
        </w:rPr>
        <w:t xml:space="preserve">a more positive </w:t>
      </w:r>
      <w:r w:rsidR="000470C2" w:rsidRPr="00B56453">
        <w:rPr>
          <w:lang w:val="en-GB"/>
        </w:rPr>
        <w:t>immediate</w:t>
      </w:r>
      <w:r w:rsidRPr="00B56453">
        <w:rPr>
          <w:lang w:val="en-GB"/>
        </w:rPr>
        <w:t xml:space="preserve"> and </w:t>
      </w:r>
      <w:r w:rsidR="00826050" w:rsidRPr="00B56453">
        <w:rPr>
          <w:lang w:val="en-GB"/>
        </w:rPr>
        <w:t>longer-term</w:t>
      </w:r>
      <w:r w:rsidRPr="00B56453">
        <w:rPr>
          <w:lang w:val="en-GB"/>
        </w:rPr>
        <w:t xml:space="preserve"> impact upon students’ SRL capacity and perceived self-efficacy</w:t>
      </w:r>
      <w:r w:rsidR="00A42B29" w:rsidRPr="00B56453">
        <w:rPr>
          <w:lang w:val="en-GB"/>
        </w:rPr>
        <w:t xml:space="preserve"> than BPF</w:t>
      </w:r>
      <w:r w:rsidRPr="00B56453">
        <w:rPr>
          <w:lang w:val="en-GB"/>
        </w:rPr>
        <w:t xml:space="preserve">. These quantitative insights were used to inform part of the qualitative study design by specifically inquiring about clinical skills experiences. The similar trend lines of SRL capacity and self-efficacy also informed the analytical approach in </w:t>
      </w:r>
      <w:r w:rsidR="000535B6" w:rsidRPr="00B56453">
        <w:rPr>
          <w:lang w:val="en-GB"/>
        </w:rPr>
        <w:t>Chapter C2</w:t>
      </w:r>
      <w:r w:rsidRPr="00B56453">
        <w:rPr>
          <w:lang w:val="en-GB"/>
        </w:rPr>
        <w:t>, specifically the coding process where self-efficacy (coded as “confidence” and “comfort level”) was given more att</w:t>
      </w:r>
      <w:r w:rsidR="000E4B90" w:rsidRPr="00B56453">
        <w:rPr>
          <w:lang w:val="en-GB"/>
        </w:rPr>
        <w:t>ention as a potential influence</w:t>
      </w:r>
      <w:r w:rsidRPr="00B56453">
        <w:rPr>
          <w:lang w:val="en-GB"/>
        </w:rPr>
        <w:t xml:space="preserve"> on SRL and feedback behaviours </w:t>
      </w:r>
      <w:r w:rsidR="00A42B29" w:rsidRPr="00B56453">
        <w:rPr>
          <w:lang w:val="en-GB"/>
        </w:rPr>
        <w:t>on</w:t>
      </w:r>
      <w:r w:rsidRPr="00B56453">
        <w:rPr>
          <w:lang w:val="en-GB"/>
        </w:rPr>
        <w:t xml:space="preserve"> clinical placements.</w:t>
      </w:r>
    </w:p>
    <w:p w14:paraId="363EE8C5" w14:textId="77777777" w:rsidR="00DB587B" w:rsidRPr="00B56453" w:rsidRDefault="00DB587B" w:rsidP="00026049">
      <w:pPr>
        <w:pStyle w:val="Normal1"/>
        <w:rPr>
          <w:lang w:val="en-GB"/>
        </w:rPr>
      </w:pPr>
    </w:p>
    <w:p w14:paraId="5B2DB5BE" w14:textId="09D5E61D" w:rsidR="001F0F9F" w:rsidRPr="00B56453" w:rsidRDefault="00DB587B" w:rsidP="00026049">
      <w:pPr>
        <w:pStyle w:val="Normal1"/>
        <w:rPr>
          <w:lang w:val="en-GB"/>
        </w:rPr>
      </w:pPr>
      <w:r w:rsidRPr="00B56453">
        <w:rPr>
          <w:lang w:val="en-GB"/>
        </w:rPr>
        <w:t>The data</w:t>
      </w:r>
      <w:r w:rsidR="000E4B90" w:rsidRPr="00B56453">
        <w:rPr>
          <w:lang w:val="en-GB"/>
        </w:rPr>
        <w:t xml:space="preserve"> collection from </w:t>
      </w:r>
      <w:r w:rsidR="00A42B29" w:rsidRPr="00B56453">
        <w:rPr>
          <w:lang w:val="en-GB"/>
        </w:rPr>
        <w:t>pre-</w:t>
      </w:r>
      <w:r w:rsidR="00240F75" w:rsidRPr="00B56453">
        <w:rPr>
          <w:lang w:val="en-GB"/>
        </w:rPr>
        <w:t>teaching</w:t>
      </w:r>
      <w:r w:rsidRPr="00B56453">
        <w:rPr>
          <w:lang w:val="en-GB"/>
        </w:rPr>
        <w:t xml:space="preserve"> was used as the first cohort for the validation of the SSRQ which in turn inform</w:t>
      </w:r>
      <w:r w:rsidR="00A42B29" w:rsidRPr="00B56453">
        <w:rPr>
          <w:lang w:val="en-GB"/>
        </w:rPr>
        <w:t>ed</w:t>
      </w:r>
      <w:r w:rsidRPr="00B56453">
        <w:rPr>
          <w:lang w:val="en-GB"/>
        </w:rPr>
        <w:t xml:space="preserve"> the validity of the inferences drawn from the results in this questionnaire study. Another major use of this data was for purposefully sampling students by identifying changes in scores from </w:t>
      </w:r>
      <w:r w:rsidR="00506678" w:rsidRPr="00B56453">
        <w:rPr>
          <w:lang w:val="en-GB"/>
        </w:rPr>
        <w:t>pre to post-teaching</w:t>
      </w:r>
      <w:r w:rsidRPr="00B56453">
        <w:rPr>
          <w:lang w:val="en-GB"/>
        </w:rPr>
        <w:t>, creating defined groups for more in-depth comparative analysis us</w:t>
      </w:r>
      <w:r w:rsidR="000E4B90" w:rsidRPr="00B56453">
        <w:rPr>
          <w:lang w:val="en-GB"/>
        </w:rPr>
        <w:t>ing focus groups and interviews (see Appendix 20)</w:t>
      </w:r>
      <w:r w:rsidR="000535B6" w:rsidRPr="00B56453">
        <w:rPr>
          <w:lang w:val="en-GB"/>
        </w:rPr>
        <w:t>.</w:t>
      </w:r>
      <w:r w:rsidR="001F0F9F" w:rsidRPr="00B56453">
        <w:rPr>
          <w:lang w:val="en-GB"/>
        </w:rPr>
        <w:br w:type="page"/>
      </w:r>
    </w:p>
    <w:p w14:paraId="6D9A15C5" w14:textId="2F687089" w:rsidR="00473DB7" w:rsidRPr="00B56453" w:rsidRDefault="007858AC" w:rsidP="0049059B">
      <w:pPr>
        <w:pStyle w:val="Heading1"/>
        <w:jc w:val="center"/>
      </w:pPr>
      <w:bookmarkStart w:id="326" w:name="_Toc487456841"/>
      <w:bookmarkStart w:id="327" w:name="_Toc487811221"/>
      <w:bookmarkStart w:id="328" w:name="_Toc488147564"/>
      <w:bookmarkStart w:id="329" w:name="_Toc488309176"/>
      <w:bookmarkStart w:id="330" w:name="_Toc488930138"/>
      <w:bookmarkStart w:id="331" w:name="_Toc489017352"/>
      <w:bookmarkStart w:id="332" w:name="_Toc489447706"/>
      <w:bookmarkStart w:id="333" w:name="_Toc490650193"/>
      <w:bookmarkStart w:id="334" w:name="_Toc500319402"/>
      <w:bookmarkStart w:id="335" w:name="_Toc500319555"/>
      <w:r w:rsidRPr="00B56453">
        <w:lastRenderedPageBreak/>
        <w:t>Section B</w:t>
      </w:r>
      <w:r w:rsidR="00F176D2" w:rsidRPr="00B56453">
        <w:t xml:space="preserve">: </w:t>
      </w:r>
      <w:r w:rsidRPr="00B56453">
        <w:t xml:space="preserve">Summary </w:t>
      </w:r>
      <w:r w:rsidR="00F176D2" w:rsidRPr="00B56453">
        <w:t xml:space="preserve">of the </w:t>
      </w:r>
      <w:bookmarkEnd w:id="326"/>
      <w:bookmarkEnd w:id="327"/>
      <w:bookmarkEnd w:id="328"/>
      <w:bookmarkEnd w:id="329"/>
      <w:bookmarkEnd w:id="330"/>
      <w:bookmarkEnd w:id="331"/>
      <w:bookmarkEnd w:id="332"/>
      <w:r w:rsidR="00A42B29" w:rsidRPr="00B56453">
        <w:t>Intervention Phase: Development, Implementation, and Evaluation</w:t>
      </w:r>
      <w:bookmarkEnd w:id="333"/>
      <w:bookmarkEnd w:id="334"/>
      <w:bookmarkEnd w:id="335"/>
    </w:p>
    <w:p w14:paraId="528A025F" w14:textId="77777777" w:rsidR="00473DB7" w:rsidRPr="00B56453" w:rsidRDefault="00473DB7" w:rsidP="00026049">
      <w:pPr>
        <w:pStyle w:val="Normal1"/>
        <w:rPr>
          <w:lang w:val="en-GB"/>
        </w:rPr>
      </w:pPr>
    </w:p>
    <w:p w14:paraId="483A4EA9" w14:textId="4F33A0BE" w:rsidR="00B43CBC" w:rsidRPr="00B56453" w:rsidRDefault="00473DB7" w:rsidP="00026049">
      <w:pPr>
        <w:pStyle w:val="Normal1"/>
        <w:rPr>
          <w:lang w:val="en-GB"/>
        </w:rPr>
      </w:pPr>
      <w:r w:rsidRPr="00B56453">
        <w:rPr>
          <w:lang w:val="en-GB"/>
        </w:rPr>
        <w:t>A faculty development intervention was developed and delivered to teachers who used either SRLF or BPF</w:t>
      </w:r>
      <w:r w:rsidR="00851D7B" w:rsidRPr="00B56453">
        <w:rPr>
          <w:lang w:val="en-GB"/>
        </w:rPr>
        <w:t xml:space="preserve"> models</w:t>
      </w:r>
      <w:r w:rsidRPr="00B56453">
        <w:rPr>
          <w:lang w:val="en-GB"/>
        </w:rPr>
        <w:t xml:space="preserve"> to give feedback during simulated clinical skills teaching sessions. Teachers found the SRLF model feasible and accessible and all teachers described how the feedback models influenced their practice impacting upon their </w:t>
      </w:r>
      <w:r w:rsidR="008E7D00" w:rsidRPr="00B56453">
        <w:rPr>
          <w:lang w:val="en-GB"/>
        </w:rPr>
        <w:t>conceptualisation</w:t>
      </w:r>
      <w:r w:rsidRPr="00B56453">
        <w:rPr>
          <w:lang w:val="en-GB"/>
        </w:rPr>
        <w:t>s of teaching and feedback. Survey results showed that students receiving the SRLF model scored significantly higher in SRL capacity and self-efficacy</w:t>
      </w:r>
      <w:r w:rsidR="00851D7B" w:rsidRPr="00B56453">
        <w:rPr>
          <w:lang w:val="en-GB"/>
        </w:rPr>
        <w:t xml:space="preserve"> measures</w:t>
      </w:r>
      <w:r w:rsidRPr="00B56453">
        <w:rPr>
          <w:lang w:val="en-GB"/>
        </w:rPr>
        <w:t xml:space="preserve"> than those in the BPF group.</w:t>
      </w:r>
      <w:r w:rsidR="00F176D2" w:rsidRPr="00B56453">
        <w:rPr>
          <w:lang w:val="en-GB"/>
        </w:rPr>
        <w:br w:type="page"/>
      </w:r>
    </w:p>
    <w:p w14:paraId="7FE890CB" w14:textId="7F135C20" w:rsidR="00666A64" w:rsidRPr="00B56453" w:rsidRDefault="00666A64" w:rsidP="0049059B">
      <w:pPr>
        <w:pStyle w:val="Heading1"/>
        <w:jc w:val="center"/>
      </w:pPr>
      <w:bookmarkStart w:id="336" w:name="_Toc487456842"/>
      <w:bookmarkStart w:id="337" w:name="_Toc487811222"/>
      <w:bookmarkStart w:id="338" w:name="_Toc488147565"/>
      <w:bookmarkStart w:id="339" w:name="_Toc488309177"/>
      <w:bookmarkStart w:id="340" w:name="_Toc488930139"/>
      <w:bookmarkStart w:id="341" w:name="_Toc489017353"/>
      <w:bookmarkStart w:id="342" w:name="_Toc489447707"/>
      <w:bookmarkStart w:id="343" w:name="_Toc490650194"/>
      <w:bookmarkStart w:id="344" w:name="_Toc500319403"/>
      <w:bookmarkStart w:id="345" w:name="_Toc500319556"/>
      <w:r w:rsidRPr="00B56453">
        <w:lastRenderedPageBreak/>
        <w:t xml:space="preserve">Section </w:t>
      </w:r>
      <w:r w:rsidR="00550AAD" w:rsidRPr="00B56453">
        <w:t>C</w:t>
      </w:r>
      <w:r w:rsidR="00F176D2" w:rsidRPr="00B56453">
        <w:t xml:space="preserve">: </w:t>
      </w:r>
      <w:r w:rsidR="00B42412" w:rsidRPr="00B56453">
        <w:t>Follow-up</w:t>
      </w:r>
      <w:r w:rsidR="006014EF" w:rsidRPr="00B56453">
        <w:t xml:space="preserve"> Evaluation Phase</w:t>
      </w:r>
      <w:bookmarkEnd w:id="336"/>
      <w:bookmarkEnd w:id="337"/>
      <w:bookmarkEnd w:id="338"/>
      <w:bookmarkEnd w:id="339"/>
      <w:bookmarkEnd w:id="340"/>
      <w:bookmarkEnd w:id="341"/>
      <w:bookmarkEnd w:id="342"/>
      <w:bookmarkEnd w:id="343"/>
      <w:bookmarkEnd w:id="344"/>
      <w:bookmarkEnd w:id="345"/>
    </w:p>
    <w:p w14:paraId="70B0B172" w14:textId="77777777" w:rsidR="00A320EA" w:rsidRPr="00B56453" w:rsidRDefault="00A320EA" w:rsidP="00026049">
      <w:pPr>
        <w:pStyle w:val="Normal1"/>
        <w:rPr>
          <w:lang w:val="en-GB"/>
        </w:rPr>
      </w:pPr>
    </w:p>
    <w:p w14:paraId="1807AF10" w14:textId="24EB96E1" w:rsidR="00B43CBC" w:rsidRPr="00B56453" w:rsidRDefault="00A320EA" w:rsidP="00026049">
      <w:pPr>
        <w:pStyle w:val="Normal1"/>
        <w:rPr>
          <w:rFonts w:asciiTheme="majorHAnsi" w:eastAsiaTheme="majorEastAsia" w:hAnsiTheme="majorHAnsi" w:cstheme="majorBidi"/>
          <w:color w:val="2E74B5" w:themeColor="accent1" w:themeShade="BF"/>
          <w:sz w:val="32"/>
          <w:szCs w:val="32"/>
          <w:lang w:val="en-GB"/>
        </w:rPr>
      </w:pPr>
      <w:r w:rsidRPr="00B56453">
        <w:rPr>
          <w:lang w:val="en-GB"/>
        </w:rPr>
        <w:t xml:space="preserve">The validation of the SSRQ tool </w:t>
      </w:r>
      <w:r w:rsidR="006014EF" w:rsidRPr="00B56453">
        <w:rPr>
          <w:lang w:val="en-GB"/>
        </w:rPr>
        <w:t xml:space="preserve">is included </w:t>
      </w:r>
      <w:r w:rsidR="00CA4865" w:rsidRPr="00B56453">
        <w:rPr>
          <w:lang w:val="en-GB"/>
        </w:rPr>
        <w:t xml:space="preserve">to support the findings from Chapter B3 and to provide a reliable measure of SRL for </w:t>
      </w:r>
      <w:r w:rsidR="00184B8F" w:rsidRPr="00B56453">
        <w:rPr>
          <w:lang w:val="en-GB"/>
        </w:rPr>
        <w:t xml:space="preserve">UK </w:t>
      </w:r>
      <w:r w:rsidR="00CA4865" w:rsidRPr="00B56453">
        <w:rPr>
          <w:lang w:val="en-GB"/>
        </w:rPr>
        <w:t xml:space="preserve">medical education researchers. This is followed by the qualitative exploration of how the feedback models impacted upon students’ SRL and feedback behaviours on clinical placements. </w:t>
      </w:r>
      <w:r w:rsidR="00F176D2" w:rsidRPr="00B56453">
        <w:rPr>
          <w:lang w:val="en-GB"/>
        </w:rPr>
        <w:br w:type="page"/>
      </w:r>
    </w:p>
    <w:p w14:paraId="7988C65D" w14:textId="4F93D3DB" w:rsidR="006B4916" w:rsidRPr="00B56453" w:rsidRDefault="001F0F9F" w:rsidP="00426FCB">
      <w:pPr>
        <w:pStyle w:val="Heading1"/>
      </w:pPr>
      <w:bookmarkStart w:id="346" w:name="_Toc487456843"/>
      <w:bookmarkStart w:id="347" w:name="_Toc487811223"/>
      <w:bookmarkStart w:id="348" w:name="_Toc488147566"/>
      <w:bookmarkStart w:id="349" w:name="_Toc488309178"/>
      <w:bookmarkStart w:id="350" w:name="_Toc488930140"/>
      <w:bookmarkStart w:id="351" w:name="_Toc489017354"/>
      <w:bookmarkStart w:id="352" w:name="_Toc489447708"/>
      <w:bookmarkStart w:id="353" w:name="_Toc490650195"/>
      <w:bookmarkStart w:id="354" w:name="_Toc500319404"/>
      <w:bookmarkStart w:id="355" w:name="_Toc500319557"/>
      <w:r w:rsidRPr="00B56453">
        <w:lastRenderedPageBreak/>
        <w:t>Chapter C1</w:t>
      </w:r>
      <w:r w:rsidR="006B4916" w:rsidRPr="00B56453">
        <w:t>: Validation of the Short Self-Regulation Questionnaire (SSRQ)</w:t>
      </w:r>
      <w:bookmarkEnd w:id="346"/>
      <w:bookmarkEnd w:id="347"/>
      <w:bookmarkEnd w:id="348"/>
      <w:bookmarkEnd w:id="349"/>
      <w:bookmarkEnd w:id="350"/>
      <w:bookmarkEnd w:id="351"/>
      <w:bookmarkEnd w:id="352"/>
      <w:r w:rsidR="00022D6B" w:rsidRPr="00B56453">
        <w:t>.</w:t>
      </w:r>
      <w:bookmarkEnd w:id="353"/>
      <w:bookmarkEnd w:id="354"/>
      <w:bookmarkEnd w:id="355"/>
    </w:p>
    <w:p w14:paraId="7E08C849" w14:textId="77777777" w:rsidR="00A43456" w:rsidRPr="00B56453" w:rsidRDefault="00A43456" w:rsidP="00026049">
      <w:pPr>
        <w:pStyle w:val="Normal1"/>
        <w:rPr>
          <w:lang w:val="en-GB"/>
        </w:rPr>
      </w:pPr>
    </w:p>
    <w:p w14:paraId="1B0E6DF7" w14:textId="29254644" w:rsidR="00A43456" w:rsidRPr="00B56453" w:rsidRDefault="00FA111F" w:rsidP="00B1638D">
      <w:pPr>
        <w:pStyle w:val="Heading2"/>
        <w:rPr>
          <w:lang w:val="en-GB"/>
        </w:rPr>
      </w:pPr>
      <w:bookmarkStart w:id="356" w:name="_Toc500319405"/>
      <w:r w:rsidRPr="00B56453">
        <w:rPr>
          <w:lang w:val="en-GB"/>
        </w:rPr>
        <w:t xml:space="preserve">C1.1 </w:t>
      </w:r>
      <w:r w:rsidR="00A43456" w:rsidRPr="00B56453">
        <w:rPr>
          <w:lang w:val="en-GB"/>
        </w:rPr>
        <w:t>Chapter Context</w:t>
      </w:r>
      <w:bookmarkEnd w:id="356"/>
      <w:r w:rsidR="00A43456" w:rsidRPr="00B56453">
        <w:rPr>
          <w:lang w:val="en-GB"/>
        </w:rPr>
        <w:t xml:space="preserve"> </w:t>
      </w:r>
    </w:p>
    <w:p w14:paraId="15658F91" w14:textId="77777777" w:rsidR="00A43456" w:rsidRPr="00B56453" w:rsidRDefault="00A43456" w:rsidP="00026049">
      <w:pPr>
        <w:pStyle w:val="Normal1"/>
        <w:rPr>
          <w:lang w:val="en-GB"/>
        </w:rPr>
      </w:pPr>
    </w:p>
    <w:p w14:paraId="31F88B3C" w14:textId="43B3A259" w:rsidR="00A43456" w:rsidRPr="00B56453" w:rsidRDefault="00A43456" w:rsidP="00026049">
      <w:pPr>
        <w:pStyle w:val="Normal1"/>
        <w:rPr>
          <w:lang w:val="en-GB"/>
        </w:rPr>
      </w:pPr>
      <w:r w:rsidRPr="00B56453">
        <w:rPr>
          <w:lang w:val="en-GB"/>
        </w:rPr>
        <w:t xml:space="preserve">The Short Self-Regulation Questionnaire (SSRQ) </w:t>
      </w:r>
      <w:r w:rsidR="006C0A4C" w:rsidRPr="00B56453">
        <w:rPr>
          <w:lang w:val="en-GB"/>
        </w:rPr>
        <w:t xml:space="preserve">was validated </w:t>
      </w:r>
      <w:r w:rsidRPr="00B56453">
        <w:rPr>
          <w:lang w:val="en-GB"/>
        </w:rPr>
        <w:t>in two cohorts of students who were comparable in terms of stage of learning, genders, and ethnicities. The data included the fir</w:t>
      </w:r>
      <w:r w:rsidR="00EE5E4B" w:rsidRPr="00B56453">
        <w:rPr>
          <w:lang w:val="en-GB"/>
        </w:rPr>
        <w:t>st iteration (pre-</w:t>
      </w:r>
      <w:r w:rsidR="00240F75" w:rsidRPr="00B56453">
        <w:rPr>
          <w:lang w:val="en-GB"/>
        </w:rPr>
        <w:t>teaching</w:t>
      </w:r>
      <w:r w:rsidR="00EE5E4B" w:rsidRPr="00B56453">
        <w:rPr>
          <w:lang w:val="en-GB"/>
        </w:rPr>
        <w:t>:</w:t>
      </w:r>
      <w:r w:rsidRPr="00B56453">
        <w:rPr>
          <w:lang w:val="en-GB"/>
        </w:rPr>
        <w:t xml:space="preserve"> Nov 2015) for the second year cohort under study in this project, and the following </w:t>
      </w:r>
      <w:r w:rsidR="003F1A1C" w:rsidRPr="00B56453">
        <w:rPr>
          <w:lang w:val="en-GB"/>
        </w:rPr>
        <w:t>consecutive</w:t>
      </w:r>
      <w:r w:rsidRPr="00B56453">
        <w:rPr>
          <w:lang w:val="en-GB"/>
        </w:rPr>
        <w:t xml:space="preserve"> cohort </w:t>
      </w:r>
      <w:r w:rsidR="006C0A4C" w:rsidRPr="00B56453">
        <w:rPr>
          <w:lang w:val="en-GB"/>
        </w:rPr>
        <w:t xml:space="preserve">was </w:t>
      </w:r>
      <w:r w:rsidRPr="00B56453">
        <w:rPr>
          <w:lang w:val="en-GB"/>
        </w:rPr>
        <w:t xml:space="preserve">at the same point in their second year (Nov 2016). The analysis for the validation was carried out after the three iterations of data collection on the cohort under study (Nov 2016 – Feb 2017) and after student qualitative collection (see </w:t>
      </w:r>
      <w:r w:rsidR="00AE17C9" w:rsidRPr="00B56453">
        <w:rPr>
          <w:lang w:val="en-GB"/>
        </w:rPr>
        <w:t>Figure</w:t>
      </w:r>
      <w:r w:rsidRPr="00B56453">
        <w:rPr>
          <w:lang w:val="en-GB"/>
        </w:rPr>
        <w:t xml:space="preserve"> </w:t>
      </w:r>
      <w:r w:rsidR="004343FD" w:rsidRPr="00B56453">
        <w:rPr>
          <w:lang w:val="en-GB"/>
        </w:rPr>
        <w:t>C1.1</w:t>
      </w:r>
      <w:r w:rsidRPr="00B56453">
        <w:rPr>
          <w:lang w:val="en-GB"/>
        </w:rPr>
        <w:t xml:space="preserve">). </w:t>
      </w:r>
    </w:p>
    <w:p w14:paraId="141073EA" w14:textId="728616E2" w:rsidR="00A43456" w:rsidRPr="00B56453" w:rsidRDefault="00A43456">
      <w:pPr>
        <w:rPr>
          <w:rFonts w:cs="Times New Roman"/>
        </w:rPr>
      </w:pPr>
      <w:r w:rsidRPr="00B56453">
        <w:rPr>
          <w:noProof/>
          <w:lang w:eastAsia="en-GB"/>
        </w:rPr>
        <mc:AlternateContent>
          <mc:Choice Requires="wpg">
            <w:drawing>
              <wp:anchor distT="0" distB="0" distL="114300" distR="114300" simplePos="0" relativeHeight="251686912" behindDoc="0" locked="0" layoutInCell="1" allowOverlap="1" wp14:anchorId="33D6FAB9" wp14:editId="4C581A32">
                <wp:simplePos x="0" y="0"/>
                <wp:positionH relativeFrom="column">
                  <wp:posOffset>-18341</wp:posOffset>
                </wp:positionH>
                <wp:positionV relativeFrom="paragraph">
                  <wp:posOffset>284524</wp:posOffset>
                </wp:positionV>
                <wp:extent cx="5613980" cy="4597400"/>
                <wp:effectExtent l="0" t="0" r="6350" b="12700"/>
                <wp:wrapNone/>
                <wp:docPr id="472" name="Group 472"/>
                <wp:cNvGraphicFramePr/>
                <a:graphic xmlns:a="http://schemas.openxmlformats.org/drawingml/2006/main">
                  <a:graphicData uri="http://schemas.microsoft.com/office/word/2010/wordprocessingGroup">
                    <wpg:wgp>
                      <wpg:cNvGrpSpPr/>
                      <wpg:grpSpPr>
                        <a:xfrm>
                          <a:off x="0" y="0"/>
                          <a:ext cx="5613980" cy="4597400"/>
                          <a:chOff x="0" y="0"/>
                          <a:chExt cx="6816712" cy="4597400"/>
                        </a:xfrm>
                      </wpg:grpSpPr>
                      <wpg:grpSp>
                        <wpg:cNvPr id="413" name="Group 413"/>
                        <wpg:cNvGrpSpPr/>
                        <wpg:grpSpPr>
                          <a:xfrm>
                            <a:off x="0" y="0"/>
                            <a:ext cx="6816712" cy="4597400"/>
                            <a:chOff x="1" y="-9"/>
                            <a:chExt cx="6817346" cy="4598147"/>
                          </a:xfrm>
                        </wpg:grpSpPr>
                        <wpg:grpSp>
                          <wpg:cNvPr id="414" name="Group 414"/>
                          <wpg:cNvGrpSpPr/>
                          <wpg:grpSpPr>
                            <a:xfrm>
                              <a:off x="1" y="-9"/>
                              <a:ext cx="6817346" cy="4598147"/>
                              <a:chOff x="2" y="-9"/>
                              <a:chExt cx="6818643" cy="4600876"/>
                            </a:xfrm>
                          </wpg:grpSpPr>
                          <wpg:grpSp>
                            <wpg:cNvPr id="415" name="Group 415"/>
                            <wpg:cNvGrpSpPr>
                              <a:grpSpLocks/>
                            </wpg:cNvGrpSpPr>
                            <wpg:grpSpPr bwMode="auto">
                              <a:xfrm>
                                <a:off x="2" y="-9"/>
                                <a:ext cx="6818643" cy="3044480"/>
                                <a:chOff x="961537" y="1183386"/>
                                <a:chExt cx="134737" cy="59130"/>
                              </a:xfrm>
                            </wpg:grpSpPr>
                            <wps:wsp>
                              <wps:cNvPr id="416" name="AutoShape 3"/>
                              <wps:cNvSpPr>
                                <a:spLocks noChangeArrowheads="1"/>
                              </wps:cNvSpPr>
                              <wps:spPr bwMode="auto">
                                <a:xfrm>
                                  <a:off x="981158" y="1183386"/>
                                  <a:ext cx="28610" cy="6359"/>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91E86A3" w14:textId="77777777" w:rsidR="00C8402C" w:rsidRPr="004E5070" w:rsidRDefault="00C8402C" w:rsidP="00B42412">
                                    <w:pPr>
                                      <w:widowControl w:val="0"/>
                                      <w:jc w:val="center"/>
                                      <w:rPr>
                                        <w:szCs w:val="24"/>
                                      </w:rPr>
                                    </w:pPr>
                                    <w:r>
                                      <w:rPr>
                                        <w:szCs w:val="24"/>
                                      </w:rPr>
                                      <w:t>Teache</w:t>
                                    </w:r>
                                    <w:r w:rsidRPr="004E5070">
                                      <w:rPr>
                                        <w:szCs w:val="24"/>
                                      </w:rPr>
                                      <w:t>r training</w:t>
                                    </w:r>
                                  </w:p>
                                </w:txbxContent>
                              </wps:txbx>
                              <wps:bodyPr rot="0" vert="horz" wrap="square" lIns="36576" tIns="36576" rIns="36576" bIns="36576" anchor="t" anchorCtr="0" upright="1">
                                <a:noAutofit/>
                              </wps:bodyPr>
                            </wps:wsp>
                            <wps:wsp>
                              <wps:cNvPr id="417" name="AutoShape 4"/>
                              <wps:cNvSpPr>
                                <a:spLocks noChangeArrowheads="1"/>
                              </wps:cNvSpPr>
                              <wps:spPr bwMode="auto">
                                <a:xfrm>
                                  <a:off x="961537"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DBC761"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418" name="AutoShape 5"/>
                              <wps:cNvSpPr>
                                <a:spLocks noChangeArrowheads="1"/>
                              </wps:cNvSpPr>
                              <wps:spPr bwMode="auto">
                                <a:xfrm>
                                  <a:off x="1006495"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F606745"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SRLF</w:t>
                                    </w:r>
                                  </w:p>
                                </w:txbxContent>
                              </wps:txbx>
                              <wps:bodyPr rot="0" vert="horz" wrap="square" lIns="36576" tIns="36576" rIns="36576" bIns="36576" anchor="t" anchorCtr="0" upright="1">
                                <a:noAutofit/>
                              </wps:bodyPr>
                            </wps:wsp>
                            <wps:wsp>
                              <wps:cNvPr id="419" name="AutoShape 6"/>
                              <wps:cNvSpPr>
                                <a:spLocks noChangeArrowheads="1"/>
                              </wps:cNvSpPr>
                              <wps:spPr bwMode="auto">
                                <a:xfrm>
                                  <a:off x="971205" y="1206323"/>
                                  <a:ext cx="48498"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A91EF4D" w14:textId="77777777" w:rsidR="00C8402C" w:rsidRPr="004E5070" w:rsidRDefault="00C8402C" w:rsidP="00B42412">
                                    <w:pPr>
                                      <w:widowControl w:val="0"/>
                                      <w:jc w:val="center"/>
                                      <w:rPr>
                                        <w:szCs w:val="24"/>
                                      </w:rPr>
                                    </w:pPr>
                                    <w:r w:rsidRPr="004E5070">
                                      <w:rPr>
                                        <w:szCs w:val="24"/>
                                      </w:rPr>
                                      <w:t>2nd year medical students</w:t>
                                    </w:r>
                                  </w:p>
                                </w:txbxContent>
                              </wps:txbx>
                              <wps:bodyPr rot="0" vert="horz" wrap="square" lIns="36576" tIns="36576" rIns="36576" bIns="36576" anchor="t" anchorCtr="0" upright="1">
                                <a:noAutofit/>
                              </wps:bodyPr>
                            </wps:wsp>
                            <wps:wsp>
                              <wps:cNvPr id="420" name="AutoShape 7"/>
                              <wps:cNvSpPr>
                                <a:spLocks noChangeArrowheads="1"/>
                              </wps:cNvSpPr>
                              <wps:spPr bwMode="auto">
                                <a:xfrm>
                                  <a:off x="961537"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A6036A8"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421" name="AutoShape 8"/>
                              <wps:cNvSpPr>
                                <a:spLocks noChangeArrowheads="1"/>
                              </wps:cNvSpPr>
                              <wps:spPr bwMode="auto">
                                <a:xfrm>
                                  <a:off x="1006495"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D2C62AE"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SRLF</w:t>
                                    </w:r>
                                  </w:p>
                                </w:txbxContent>
                              </wps:txbx>
                              <wps:bodyPr rot="0" vert="horz" wrap="square" lIns="36576" tIns="36576" rIns="36576" bIns="36576" anchor="t" anchorCtr="0" upright="1">
                                <a:noAutofit/>
                              </wps:bodyPr>
                            </wps:wsp>
                            <wps:wsp>
                              <wps:cNvPr id="422" name="Text Box 9"/>
                              <wps:cNvSpPr txBox="1">
                                <a:spLocks noChangeArrowheads="1"/>
                              </wps:cNvSpPr>
                              <wps:spPr bwMode="auto">
                                <a:xfrm>
                                  <a:off x="1074018" y="1207965"/>
                                  <a:ext cx="22256" cy="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5E0B66" w14:textId="77777777" w:rsidR="00C8402C" w:rsidRPr="00B42412" w:rsidRDefault="00C8402C" w:rsidP="00B42412">
                                    <w:pPr>
                                      <w:widowControl w:val="0"/>
                                      <w:spacing w:after="0"/>
                                      <w:jc w:val="center"/>
                                      <w:rPr>
                                        <w:bCs/>
                                        <w:szCs w:val="24"/>
                                      </w:rPr>
                                    </w:pPr>
                                    <w:r w:rsidRPr="00B42412">
                                      <w:rPr>
                                        <w:bCs/>
                                        <w:szCs w:val="24"/>
                                      </w:rPr>
                                      <w:t>Intervention phase</w:t>
                                    </w:r>
                                  </w:p>
                                </w:txbxContent>
                              </wps:txbx>
                              <wps:bodyPr rot="0" vert="horz" wrap="square" lIns="36576" tIns="36576" rIns="36576" bIns="36576" anchor="t" anchorCtr="0" upright="1">
                                <a:noAutofit/>
                              </wps:bodyPr>
                            </wps:wsp>
                            <wps:wsp>
                              <wps:cNvPr id="423" name="Text Box 10"/>
                              <wps:cNvSpPr txBox="1">
                                <a:spLocks noChangeArrowheads="1"/>
                              </wps:cNvSpPr>
                              <wps:spPr bwMode="auto">
                                <a:xfrm>
                                  <a:off x="1039750" y="1206323"/>
                                  <a:ext cx="27082" cy="55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376897" w14:textId="6BCF0EC4"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1</w:t>
                                    </w:r>
                                  </w:p>
                                </w:txbxContent>
                              </wps:txbx>
                              <wps:bodyPr rot="0" vert="horz" wrap="square" lIns="36576" tIns="36576" rIns="36576" bIns="36576" anchor="t" anchorCtr="0" upright="1">
                                <a:noAutofit/>
                              </wps:bodyPr>
                            </wps:wsp>
                            <wps:wsp>
                              <wps:cNvPr id="424" name="Text Box 11"/>
                              <wps:cNvSpPr txBox="1">
                                <a:spLocks noChangeArrowheads="1"/>
                              </wps:cNvSpPr>
                              <wps:spPr bwMode="auto">
                                <a:xfrm>
                                  <a:off x="1040022" y="1230409"/>
                                  <a:ext cx="26998" cy="5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CC4DC0" w14:textId="48DBE138"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2</w:t>
                                    </w:r>
                                  </w:p>
                                </w:txbxContent>
                              </wps:txbx>
                              <wps:bodyPr rot="0" vert="horz" wrap="square" lIns="36576" tIns="36576" rIns="36576" bIns="36576" anchor="t" anchorCtr="0" upright="1">
                                <a:noAutofit/>
                              </wps:bodyPr>
                            </wps:wsp>
                            <wps:wsp>
                              <wps:cNvPr id="425" name="Text Box 12"/>
                              <wps:cNvSpPr txBox="1">
                                <a:spLocks noChangeArrowheads="1"/>
                              </wps:cNvSpPr>
                              <wps:spPr bwMode="auto">
                                <a:xfrm>
                                  <a:off x="1038350" y="1219921"/>
                                  <a:ext cx="27187" cy="90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663557" w14:textId="77777777" w:rsidR="00C8402C" w:rsidRPr="004E5070" w:rsidRDefault="00C8402C" w:rsidP="00B42412">
                                    <w:pPr>
                                      <w:widowControl w:val="0"/>
                                      <w:spacing w:after="0"/>
                                      <w:jc w:val="center"/>
                                      <w:rPr>
                                        <w:szCs w:val="24"/>
                                      </w:rPr>
                                    </w:pPr>
                                    <w:r>
                                      <w:rPr>
                                        <w:szCs w:val="24"/>
                                      </w:rPr>
                                      <w:t>Teaching and feedback</w:t>
                                    </w:r>
                                  </w:p>
                                </w:txbxContent>
                              </wps:txbx>
                              <wps:bodyPr rot="0" vert="horz" wrap="square" lIns="36576" tIns="36576" rIns="36576" bIns="36576" anchor="t" anchorCtr="0" upright="1">
                                <a:noAutofit/>
                              </wps:bodyPr>
                            </wps:wsp>
                            <wps:wsp>
                              <wps:cNvPr id="426" name="AutoShape 16"/>
                              <wps:cNvSpPr>
                                <a:spLocks noChangeArrowheads="1"/>
                              </wps:cNvSpPr>
                              <wps:spPr bwMode="auto">
                                <a:xfrm>
                                  <a:off x="978291" y="1235515"/>
                                  <a:ext cx="35369"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7F247A6" w14:textId="77777777" w:rsidR="00C8402C" w:rsidRPr="00D9523C" w:rsidRDefault="00C8402C" w:rsidP="00B42412">
                                    <w:pPr>
                                      <w:widowControl w:val="0"/>
                                      <w:jc w:val="center"/>
                                      <w:rPr>
                                        <w:szCs w:val="24"/>
                                      </w:rPr>
                                    </w:pPr>
                                    <w:r w:rsidRPr="00D9523C">
                                      <w:rPr>
                                        <w:szCs w:val="24"/>
                                      </w:rPr>
                                      <w:t>Teacher interviews</w:t>
                                    </w:r>
                                  </w:p>
                                </w:txbxContent>
                              </wps:txbx>
                              <wps:bodyPr rot="0" vert="horz" wrap="square" lIns="36576" tIns="36576" rIns="36576" bIns="36576" anchor="t" anchorCtr="0" upright="1">
                                <a:noAutofit/>
                              </wps:bodyPr>
                            </wps:wsp>
                            <wps:wsp>
                              <wps:cNvPr id="427" name="AutoShape 22"/>
                              <wps:cNvSpPr>
                                <a:spLocks/>
                              </wps:cNvSpPr>
                              <wps:spPr bwMode="auto">
                                <a:xfrm>
                                  <a:off x="1067353" y="1183386"/>
                                  <a:ext cx="5399" cy="58181"/>
                                </a:xfrm>
                                <a:prstGeom prst="rightBrace">
                                  <a:avLst>
                                    <a:gd name="adj1" fmla="val 69315"/>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28" name="AutoShape 26"/>
                              <wps:cNvCnPr>
                                <a:cxnSpLocks noChangeShapeType="1"/>
                              </wps:cNvCnPr>
                              <wps:spPr bwMode="auto">
                                <a:xfrm>
                                  <a:off x="995365" y="1189578"/>
                                  <a:ext cx="22611"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29" name="AutoShape 27"/>
                              <wps:cNvCnPr>
                                <a:cxnSpLocks noChangeShapeType="1"/>
                              </wps:cNvCnPr>
                              <wps:spPr bwMode="auto">
                                <a:xfrm flipH="1">
                                  <a:off x="972921" y="1189578"/>
                                  <a:ext cx="22777"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0" name="AutoShape 28"/>
                              <wps:cNvCnPr>
                                <a:cxnSpLocks noChangeShapeType="1"/>
                              </wps:cNvCnPr>
                              <wps:spPr bwMode="auto">
                                <a:xfrm>
                                  <a:off x="1017477" y="1202048"/>
                                  <a:ext cx="0" cy="415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1" name="AutoShape 29"/>
                              <wps:cNvCnPr>
                                <a:cxnSpLocks noChangeShapeType="1"/>
                              </wps:cNvCnPr>
                              <wps:spPr bwMode="auto">
                                <a:xfrm>
                                  <a:off x="973087" y="1202048"/>
                                  <a:ext cx="0" cy="39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2" name="AutoShape 30"/>
                              <wps:cNvCnPr>
                                <a:cxnSpLocks noChangeShapeType="1"/>
                              </wps:cNvCnPr>
                              <wps:spPr bwMode="auto">
                                <a:xfrm>
                                  <a:off x="1017644" y="1213187"/>
                                  <a:ext cx="498" cy="93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3" name="AutoShape 31"/>
                              <wps:cNvCnPr>
                                <a:cxnSpLocks noChangeShapeType="1"/>
                              </wps:cNvCnPr>
                              <wps:spPr bwMode="auto">
                                <a:xfrm flipH="1">
                                  <a:off x="972755" y="1213187"/>
                                  <a:ext cx="499" cy="9144"/>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4" name="AutoShape 32"/>
                              <wps:cNvSpPr>
                                <a:spLocks noChangeArrowheads="1"/>
                              </wps:cNvSpPr>
                              <wps:spPr bwMode="auto">
                                <a:xfrm>
                                  <a:off x="1030287" y="1207090"/>
                                  <a:ext cx="9098" cy="4821"/>
                                </a:xfrm>
                                <a:prstGeom prst="leftArrow">
                                  <a:avLst>
                                    <a:gd name="adj1" fmla="val 50000"/>
                                    <a:gd name="adj2" fmla="val 47179"/>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35" name="AutoShape 33"/>
                              <wps:cNvSpPr>
                                <a:spLocks noChangeArrowheads="1"/>
                              </wps:cNvSpPr>
                              <wps:spPr bwMode="auto">
                                <a:xfrm>
                                  <a:off x="1031608" y="1222248"/>
                                  <a:ext cx="9311" cy="5115"/>
                                </a:xfrm>
                                <a:prstGeom prst="leftArrow">
                                  <a:avLst>
                                    <a:gd name="adj1" fmla="val 50000"/>
                                    <a:gd name="adj2" fmla="val 69560"/>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36" name="AutoShape 34"/>
                              <wps:cNvSpPr>
                                <a:spLocks noChangeArrowheads="1"/>
                              </wps:cNvSpPr>
                              <wps:spPr bwMode="auto">
                                <a:xfrm>
                                  <a:off x="1030287" y="1230967"/>
                                  <a:ext cx="9406" cy="4821"/>
                                </a:xfrm>
                                <a:prstGeom prst="leftArrow">
                                  <a:avLst>
                                    <a:gd name="adj1" fmla="val 50000"/>
                                    <a:gd name="adj2" fmla="val 48776"/>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37" name="Text Box 437"/>
                            <wps:cNvSpPr txBox="1">
                              <a:spLocks noChangeArrowheads="1"/>
                            </wps:cNvSpPr>
                            <wps:spPr bwMode="auto">
                              <a:xfrm>
                                <a:off x="5635061" y="3665538"/>
                                <a:ext cx="1183005" cy="4955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64988" w14:textId="77777777" w:rsidR="00C8402C" w:rsidRPr="009028A6" w:rsidRDefault="00C8402C" w:rsidP="00B42412">
                                  <w:pPr>
                                    <w:widowControl w:val="0"/>
                                    <w:spacing w:after="0"/>
                                    <w:jc w:val="center"/>
                                    <w:rPr>
                                      <w:b/>
                                      <w:bCs/>
                                      <w:szCs w:val="24"/>
                                    </w:rPr>
                                  </w:pPr>
                                  <w:r w:rsidRPr="009028A6">
                                    <w:rPr>
                                      <w:b/>
                                      <w:bCs/>
                                      <w:szCs w:val="24"/>
                                    </w:rPr>
                                    <w:t>Follow-up phase</w:t>
                                  </w:r>
                                </w:p>
                              </w:txbxContent>
                            </wps:txbx>
                            <wps:bodyPr rot="0" vert="horz" wrap="square" lIns="36576" tIns="36576" rIns="36576" bIns="36576" anchor="ctr" anchorCtr="0" upright="1">
                              <a:noAutofit/>
                            </wps:bodyPr>
                          </wps:wsp>
                          <wps:wsp>
                            <wps:cNvPr id="438" name="AutoShape 21"/>
                            <wps:cNvSpPr>
                              <a:spLocks/>
                            </wps:cNvSpPr>
                            <wps:spPr bwMode="auto">
                              <a:xfrm>
                                <a:off x="5358809" y="3090583"/>
                                <a:ext cx="186390" cy="1510284"/>
                              </a:xfrm>
                              <a:prstGeom prst="rightBrace">
                                <a:avLst>
                                  <a:gd name="adj1" fmla="val 18103"/>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39" name="AutoShape 16"/>
                          <wps:cNvSpPr>
                            <a:spLocks noChangeArrowheads="1"/>
                          </wps:cNvSpPr>
                          <wps:spPr bwMode="auto">
                            <a:xfrm>
                              <a:off x="267419" y="3226286"/>
                              <a:ext cx="2882665" cy="638355"/>
                            </a:xfrm>
                            <a:prstGeom prst="roundRect">
                              <a:avLst>
                                <a:gd name="adj" fmla="val 16667"/>
                              </a:avLst>
                            </a:prstGeom>
                            <a:solidFill>
                              <a:schemeClr val="accent4"/>
                            </a:solidFill>
                            <a:ln w="25400">
                              <a:solidFill>
                                <a:schemeClr val="dk1">
                                  <a:lumMod val="0"/>
                                  <a:lumOff val="0"/>
                                </a:schemeClr>
                              </a:solidFill>
                              <a:round/>
                              <a:headEnd/>
                              <a:tailEnd/>
                            </a:ln>
                            <a:effectLst/>
                            <a:extLst/>
                          </wps:spPr>
                          <wps:txbx>
                            <w:txbxContent>
                              <w:p w14:paraId="4C005256" w14:textId="57EDE4E6" w:rsidR="00C8402C" w:rsidRPr="00D9523C" w:rsidRDefault="00C8402C" w:rsidP="00B42412">
                                <w:pPr>
                                  <w:widowControl w:val="0"/>
                                  <w:jc w:val="center"/>
                                  <w:rPr>
                                    <w:szCs w:val="24"/>
                                    <w:u w:val="single"/>
                                  </w:rPr>
                                </w:pPr>
                                <w:r w:rsidRPr="00D9523C">
                                  <w:rPr>
                                    <w:szCs w:val="24"/>
                                    <w:u w:val="single"/>
                                  </w:rPr>
                                  <w:t>Student clinical placements 4x</w:t>
                                </w:r>
                                <w:r>
                                  <w:rPr>
                                    <w:szCs w:val="24"/>
                                    <w:u w:val="single"/>
                                  </w:rPr>
                                  <w:t>3</w:t>
                                </w:r>
                                <w:r w:rsidRPr="00D9523C">
                                  <w:rPr>
                                    <w:szCs w:val="24"/>
                                    <w:u w:val="single"/>
                                  </w:rPr>
                                  <w:t xml:space="preserve"> weeks</w:t>
                                </w:r>
                              </w:p>
                              <w:p w14:paraId="43638AAE" w14:textId="77777777" w:rsidR="00C8402C" w:rsidRPr="00D9523C" w:rsidRDefault="00C8402C" w:rsidP="00B42412">
                                <w:pPr>
                                  <w:widowControl w:val="0"/>
                                  <w:jc w:val="center"/>
                                  <w:rPr>
                                    <w:i/>
                                    <w:iCs/>
                                    <w:szCs w:val="24"/>
                                  </w:rPr>
                                </w:pPr>
                                <w:r w:rsidRPr="00D9523C">
                                  <w:rPr>
                                    <w:szCs w:val="24"/>
                                  </w:rPr>
                                  <w:t>Student focus groups and interviews</w:t>
                                </w:r>
                              </w:p>
                              <w:p w14:paraId="5CCBFC17" w14:textId="77777777" w:rsidR="00C8402C" w:rsidRPr="00A771E3" w:rsidRDefault="00C8402C" w:rsidP="00B42412">
                                <w:pPr>
                                  <w:widowControl w:val="0"/>
                                  <w:jc w:val="center"/>
                                  <w:rPr>
                                    <w:b/>
                                    <w:szCs w:val="24"/>
                                  </w:rPr>
                                </w:pPr>
                              </w:p>
                            </w:txbxContent>
                          </wps:txbx>
                          <wps:bodyPr rot="0" vert="horz" wrap="square" lIns="36576" tIns="36576" rIns="36576" bIns="36576" anchor="t" anchorCtr="0" upright="1">
                            <a:noAutofit/>
                          </wps:bodyPr>
                        </wps:wsp>
                        <wps:wsp>
                          <wps:cNvPr id="440" name="Text Box 11"/>
                          <wps:cNvSpPr txBox="1">
                            <a:spLocks noChangeArrowheads="1"/>
                          </wps:cNvSpPr>
                          <wps:spPr bwMode="auto">
                            <a:xfrm>
                              <a:off x="3959524" y="3795623"/>
                              <a:ext cx="136588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4550BE" w14:textId="04EAA748"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3</w:t>
                                </w:r>
                              </w:p>
                            </w:txbxContent>
                          </wps:txbx>
                          <wps:bodyPr rot="0" vert="horz" wrap="square" lIns="36576" tIns="36576" rIns="36576" bIns="36576" anchor="t" anchorCtr="0" upright="1">
                            <a:noAutofit/>
                          </wps:bodyPr>
                        </wps:wsp>
                        <wps:wsp>
                          <wps:cNvPr id="441" name="AutoShape 34"/>
                          <wps:cNvSpPr>
                            <a:spLocks noChangeArrowheads="1"/>
                          </wps:cNvSpPr>
                          <wps:spPr bwMode="auto">
                            <a:xfrm>
                              <a:off x="3467819" y="3821502"/>
                              <a:ext cx="475919" cy="248076"/>
                            </a:xfrm>
                            <a:prstGeom prst="leftArrow">
                              <a:avLst>
                                <a:gd name="adj1" fmla="val 50000"/>
                                <a:gd name="adj2" fmla="val 48776"/>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42" name="AutoShape 16"/>
                        <wps:cNvSpPr>
                          <a:spLocks noChangeArrowheads="1"/>
                        </wps:cNvSpPr>
                        <wps:spPr bwMode="auto">
                          <a:xfrm>
                            <a:off x="491706" y="4157932"/>
                            <a:ext cx="2454067" cy="360299"/>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3455173" w14:textId="57637D36" w:rsidR="00C8402C" w:rsidRPr="00A771E3" w:rsidRDefault="00C8402C" w:rsidP="00B42412">
                              <w:pPr>
                                <w:widowControl w:val="0"/>
                                <w:jc w:val="center"/>
                                <w:rPr>
                                  <w:b/>
                                  <w:szCs w:val="24"/>
                                </w:rPr>
                              </w:pPr>
                              <w:r>
                                <w:rPr>
                                  <w:b/>
                                  <w:szCs w:val="24"/>
                                </w:rPr>
                                <w:t>Validation of the SSRQ</w:t>
                              </w:r>
                            </w:p>
                          </w:txbxContent>
                        </wps:txbx>
                        <wps:bodyPr rot="0" vert="horz" wrap="square" lIns="36576" tIns="36576" rIns="36576" bIns="36576" anchor="t" anchorCtr="0" upright="1">
                          <a:noAutofit/>
                        </wps:bodyPr>
                      </wps:wsp>
                    </wpg:wgp>
                  </a:graphicData>
                </a:graphic>
                <wp14:sizeRelH relativeFrom="margin">
                  <wp14:pctWidth>0</wp14:pctWidth>
                </wp14:sizeRelH>
              </wp:anchor>
            </w:drawing>
          </mc:Choice>
          <mc:Fallback>
            <w:pict>
              <v:group w14:anchorId="33D6FAB9" id="Group 472" o:spid="_x0000_s1237" style="position:absolute;margin-left:-1.45pt;margin-top:22.4pt;width:442.05pt;height:362pt;z-index:251686912;mso-width-relative:margin" coordsize="6816712,459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">
                <v:group id="Group 413" o:spid="_x0000_s1238" style="position:absolute;width:6816712;height:4597400" coordorigin="1,-9" coordsize="6817346,4598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oTFyxgAAANwAAAAPAAAAZHJzL2Rvd25yZXYueG1sRI9Pa8JAFMTvQr/D8gq9&#10;mU2aWkqaVURq6UEKaqH09sg+k2D2bciu+fPtXaHgcZiZ3zD5ajSN6KlztWUFSRSDIC6srrlU8HPc&#10;zt9AOI+ssbFMCiZysFo+zHLMtB14T/3BlyJA2GWooPK+zaR0RUUGXWRb4uCdbGfQB9mVUnc4BLhp&#10;5HMcv0qDNYeFClvaVFScDxej4HPAYZ0mH/3ufNpMf8fF9+8uIaWeHsf1OwhPo7+H/9tfWsFL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hMXLGAAAA3AAA&#10;AA8AAAAAAAAAAAAAAAAAqQIAAGRycy9kb3ducmV2LnhtbFBLBQYAAAAABAAEAPoAAACcAwAAAAA=&#10;">
                  <v:group id="Group 414" o:spid="_x0000_s1239" style="position:absolute;left:1;top:-9;width:6817346;height:4598147" coordorigin="2,-9" coordsize="6818643,4600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group id="Group 415" o:spid="_x0000_s1240" style="position:absolute;left:2;top:-9;width:6818643;height:3044480" coordorigin="961537,1183386" coordsize="134737,59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BAydxgAAANwAAAAPAAAAZHJzL2Rvd25yZXYueG1sRI9Pa8JAFMTvhX6H5RV6&#10;M5u0WiRmFZG29BAEtSDeHtlnEsy+Ddlt/nx7t1DocZiZ3zDZZjSN6KlztWUFSRSDIC6srrlU8H36&#10;mC1BOI+ssbFMCiZysFk/PmSYajvwgfqjL0WAsEtRQeV9m0rpiooMusi2xMG72s6gD7Irpe5wCHDT&#10;yJc4fpMGaw4LFba0q6i4HX+Mgs8Bh+1r8t7nt+tuupwW+3OekFLPT+N2BcLT6P/Df+0vrWCe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EDJ3GAAAA3AAA&#10;AA8AAAAAAAAAAAAAAAAAqQIAAGRycy9kb3ducmV2LnhtbFBLBQYAAAAABAAEAPoAAACcAwAAAAA=&#10;">
                      <v:roundrect id="AutoShape 3" o:spid="_x0000_s1241" style="position:absolute;left:981158;top:1183386;width:28610;height:635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h9bwwAA&#10;ANwAAAAPAAAAZHJzL2Rvd25yZXYueG1sRI/NbsIwEITvlfoO1iL1Vpy0FYWAQf1Rql6hiPMqXpJA&#10;vI7sJaRvX1eq1ONoZr7RrDaj69RAIbaeDeTTDBRx5W3LtYH9V3k/BxUF2WLnmQx8U4TN+vZmhYX1&#10;V97SsJNaJQjHAg00In2hdawachinvidO3tEHh5JkqLUNeE1w1+mHLJtphy2nhQZ7emuoOu8uzsDl&#10;WRaHw3vZfkgYXk9YcpXzozF3k/FlCUpolP/wX/vTGnjKZ/B7Jh0B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2h9bwwAAANwAAAAPAAAAAAAAAAAAAAAAAJcCAABkcnMvZG93&#10;bnJldi54bWxQSwUGAAAAAAQABAD1AAAAhwMAAAAA&#10;" fillcolor="#ffc000" strokecolor="black [0]" strokeweight="2pt">
                        <v:shadow color="#eeece1" opacity="1" mv:blur="0" offset="2pt,2pt"/>
                        <v:textbox inset="2.88pt,2.88pt,2.88pt,2.88pt">
                          <w:txbxContent>
                            <w:p w14:paraId="091E86A3" w14:textId="77777777" w:rsidR="00C8402C" w:rsidRPr="004E5070" w:rsidRDefault="00C8402C" w:rsidP="00B42412">
                              <w:pPr>
                                <w:widowControl w:val="0"/>
                                <w:jc w:val="center"/>
                                <w:rPr>
                                  <w:szCs w:val="24"/>
                                </w:rPr>
                              </w:pPr>
                              <w:r>
                                <w:rPr>
                                  <w:szCs w:val="24"/>
                                </w:rPr>
                                <w:t>Teache</w:t>
                              </w:r>
                              <w:r w:rsidRPr="004E5070">
                                <w:rPr>
                                  <w:szCs w:val="24"/>
                                </w:rPr>
                                <w:t>r training</w:t>
                              </w:r>
                            </w:p>
                          </w:txbxContent>
                        </v:textbox>
                      </v:roundrect>
                      <v:roundrect id="AutoShape 4" o:spid="_x0000_s1242" style="position:absolute;left:961537;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evhxQAA&#10;ANwAAAAPAAAAZHJzL2Rvd25yZXYueG1sRI9Ba8JAFITvhf6H5RW81Y1WtE1dpbRYvHjQevH2yD6T&#10;tNm3Yfclpv/eLRQ8DjPzDbNcD65RPYVYezYwGWegiAtvay4NHL82j8+goiBbbDyTgV+KsF7d3y0x&#10;t/7Ce+oPUqoE4ZijgUqkzbWORUUO49i3xMk7++BQkgyltgEvCe4aPc2yuXZYc1qosKX3ioqfQ+cM&#10;dE8f33LC6WeYnbp+sRN7ProXY0YPw9srKKFBbuH/9tYamE0W8HcmHQG9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t6+HFAAAA3AAAAA8AAAAAAAAAAAAAAAAAlwIAAGRycy9k&#10;b3ducmV2LnhtbFBLBQYAAAAABAAEAPUAAACJAwAAAAA=&#10;" fillcolor="#ffc000 [3207]" strokecolor="black [0]" strokeweight="2pt">
                        <v:shadow color="#eeece1" opacity="1" mv:blur="0" offset="2pt,2pt"/>
                        <v:textbox inset="2.88pt,2.88pt,2.88pt,2.88pt">
                          <w:txbxContent>
                            <w:p w14:paraId="26DBC761"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BPF</w:t>
                              </w:r>
                            </w:p>
                          </w:txbxContent>
                        </v:textbox>
                      </v:roundrect>
                      <v:roundrect id="AutoShape 5" o:spid="_x0000_s1243" style="position:absolute;left:1006495;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n+TwgAA&#10;ANwAAAAPAAAAZHJzL2Rvd25yZXYueG1sRE87b8IwEN4r9T9YV6lbcXiIloBBVVERC0MpC9spPpK0&#10;8TmyLyH8ezxU6vjpe682g2tUTyHWng2MRxko4sLbmksDp+/PlzdQUZAtNp7JwI0ibNaPDyvMrb/y&#10;F/VHKVUK4ZijgUqkzbWORUUO48i3xIm7+OBQEgyltgGvKdw1epJlc+2w5tRQYUsfFRW/x84Z6Kbb&#10;HznjZBdm565/PYi9nNzCmOen4X0JSmiQf/Gfe28NzMZpbTqTjoBe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yf5PCAAAA3AAAAA8AAAAAAAAAAAAAAAAAlwIAAGRycy9kb3du&#10;cmV2LnhtbFBLBQYAAAAABAAEAPUAAACGAwAAAAA=&#10;" fillcolor="#ffc000 [3207]" strokecolor="black [0]" strokeweight="2pt">
                        <v:shadow color="#eeece1" opacity="1" mv:blur="0" offset="2pt,2pt"/>
                        <v:textbox inset="2.88pt,2.88pt,2.88pt,2.88pt">
                          <w:txbxContent>
                            <w:p w14:paraId="3F606745"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SRLF</w:t>
                              </w:r>
                            </w:p>
                          </w:txbxContent>
                        </v:textbox>
                      </v:roundrect>
                      <v:roundrect id="AutoShape 6" o:spid="_x0000_s1244" style="position:absolute;left:971205;top:1206323;width:48498;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YspwwAA&#10;ANwAAAAPAAAAZHJzL2Rvd25yZXYueG1sRI9BS8NAFITvgv9heYI3u0kVtbHb0lZSvLZKz4/sM0mb&#10;fRt2X9P4792C4HGYmW+Y+XJ0nRooxNazgXySgSKuvG25NvD1WT68goqCbLHzTAZ+KMJycXszx8L6&#10;C+9o2EutEoRjgQYakb7QOlYNOYwT3xMn79sHh5JkqLUNeElw1+lplj1rhy2nhQZ72jRUnfZnZ+D8&#10;IrPD4b1stxKG9RFLrnJ+NOb+bly9gRIa5T/81/6wBp7yGVzPpCO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RYspwwAAANwAAAAPAAAAAAAAAAAAAAAAAJcCAABkcnMvZG93&#10;bnJldi54bWxQSwUGAAAAAAQABAD1AAAAhwMAAAAA&#10;" fillcolor="#ffc000" strokecolor="black [0]" strokeweight="2pt">
                        <v:shadow color="#eeece1" opacity="1" mv:blur="0" offset="2pt,2pt"/>
                        <v:textbox inset="2.88pt,2.88pt,2.88pt,2.88pt">
                          <w:txbxContent>
                            <w:p w14:paraId="2A91EF4D" w14:textId="77777777" w:rsidR="00C8402C" w:rsidRPr="004E5070" w:rsidRDefault="00C8402C" w:rsidP="00B42412">
                              <w:pPr>
                                <w:widowControl w:val="0"/>
                                <w:jc w:val="center"/>
                                <w:rPr>
                                  <w:szCs w:val="24"/>
                                </w:rPr>
                              </w:pPr>
                              <w:r w:rsidRPr="004E5070">
                                <w:rPr>
                                  <w:szCs w:val="24"/>
                                </w:rPr>
                                <w:t>2nd year medical students</w:t>
                              </w:r>
                            </w:p>
                          </w:txbxContent>
                        </v:textbox>
                      </v:roundrect>
                      <v:roundrect id="AutoShape 7" o:spid="_x0000_s1245" style="position:absolute;left:961537;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LkowgAA&#10;ANwAAAAPAAAAZHJzL2Rvd25yZXYueG1sRE89T8MwEN2R+A/WIbFRh1BBm8apEAjEwtDSpdspviYp&#10;8TmyL2n493hAYnx63+V2dr2aKMTOs4H7RQaKuPa248bA4evtbgUqCrLF3jMZ+KEI2+r6qsTC+gvv&#10;aNpLo1IIxwINtCJDoXWsW3IYF34gTtzJB4eSYGi0DXhJ4a7XeZY9aocdp4YWB3ppqf7ej87A+PB6&#10;liPm72F5HKenT7Gng1sbc3szP29ACc3yL/5zf1gDyzzNT2fSEdD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ouSjCAAAA3AAAAA8AAAAAAAAAAAAAAAAAlwIAAGRycy9kb3du&#10;cmV2LnhtbFBLBQYAAAAABAAEAPUAAACGAwAAAAA=&#10;" fillcolor="#ffc000 [3207]" strokecolor="black [0]" strokeweight="2pt">
                        <v:shadow color="#eeece1" opacity="1" mv:blur="0" offset="2pt,2pt"/>
                        <v:textbox inset="2.88pt,2.88pt,2.88pt,2.88pt">
                          <w:txbxContent>
                            <w:p w14:paraId="0A6036A8"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BPF</w:t>
                              </w:r>
                            </w:p>
                          </w:txbxContent>
                        </v:textbox>
                      </v:roundrect>
                      <v:roundrect id="AutoShape 8" o:spid="_x0000_s1246" style="position:absolute;left:1006495;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ByzxQAA&#10;ANwAAAAPAAAAZHJzL2Rvd25yZXYueG1sRI/NTsMwEITvSLyDtZW4UaehopDWrRAIxIVDfy69reJt&#10;kjZeR/YmDW+PkZA4jmbmG81qM7pWDRRi49nAbJqBIi69bbgycNi/3z+BioJssfVMBr4pwmZ9e7PC&#10;wvorb2nYSaUShGOBBmqRrtA6ljU5jFPfESfv5INDSTJU2ga8JrhrdZ5lj9phw2mhxo5eayovu94Z&#10;6B/eznLE/CPMj/2w+BJ7OrhnY+4m48sSlNAo/+G/9qc1MM9n8HsmHQG9/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kHLPFAAAA3AAAAA8AAAAAAAAAAAAAAAAAlwIAAGRycy9k&#10;b3ducmV2LnhtbFBLBQYAAAAABAAEAPUAAACJAwAAAAA=&#10;" fillcolor="#ffc000 [3207]" strokecolor="black [0]" strokeweight="2pt">
                        <v:shadow color="#eeece1" opacity="1" mv:blur="0" offset="2pt,2pt"/>
                        <v:textbox inset="2.88pt,2.88pt,2.88pt,2.88pt">
                          <w:txbxContent>
                            <w:p w14:paraId="0D2C62AE" w14:textId="77777777" w:rsidR="00C8402C" w:rsidRPr="00950528" w:rsidRDefault="00C8402C" w:rsidP="00B42412">
                              <w:pPr>
                                <w:widowControl w:val="0"/>
                                <w:jc w:val="center"/>
                                <w:rPr>
                                  <w:b/>
                                  <w:bCs/>
                                  <w:color w:val="000000" w:themeColor="text1"/>
                                  <w:szCs w:val="24"/>
                                </w:rPr>
                              </w:pPr>
                              <w:r w:rsidRPr="00950528">
                                <w:rPr>
                                  <w:b/>
                                  <w:bCs/>
                                  <w:color w:val="000000" w:themeColor="text1"/>
                                  <w:szCs w:val="24"/>
                                </w:rPr>
                                <w:t>SRLF</w:t>
                              </w:r>
                            </w:p>
                          </w:txbxContent>
                        </v:textbox>
                      </v:roundrect>
                      <v:shape id="Text Box 9" o:spid="_x0000_s1247" type="#_x0000_t202" style="position:absolute;left:1074018;top:1207965;width:22256;height:9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cyexAAA&#10;ANwAAAAPAAAAZHJzL2Rvd25yZXYueG1sRI9Ra8IwFIXfB/6HcAXfZmopblSjiOiQgYx1+wHX5q6p&#10;a25Kkmn3740w2OPhnPMdznI92E5cyIfWsYLZNANBXDvdcqPg82P/+AwiRGSNnWNS8EsB1qvRwxJL&#10;7a78TpcqNiJBOJSowMTYl1KG2pDFMHU9cfK+nLcYk/SN1B6vCW47mWfZXFpsOS0Y7GlrqP6ufqyC&#10;3czbl6o4nouTeXr1ef12loVUajIeNgsQkYb4H/5rH7SCIs/hfiYdAb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HXMnsQAAADcAAAADwAAAAAAAAAAAAAAAACXAgAAZHJzL2Rv&#10;d25yZXYueG1sUEsFBgAAAAAEAAQA9QAAAIgDAAAAAA==&#10;" filled="f" stroked="f" strokecolor="black [0]" strokeweight="2pt">
                        <v:textbox inset="2.88pt,2.88pt,2.88pt,2.88pt">
                          <w:txbxContent>
                            <w:p w14:paraId="745E0B66" w14:textId="77777777" w:rsidR="00C8402C" w:rsidRPr="00B42412" w:rsidRDefault="00C8402C" w:rsidP="00B42412">
                              <w:pPr>
                                <w:widowControl w:val="0"/>
                                <w:spacing w:after="0"/>
                                <w:jc w:val="center"/>
                                <w:rPr>
                                  <w:bCs/>
                                  <w:szCs w:val="24"/>
                                </w:rPr>
                              </w:pPr>
                              <w:r w:rsidRPr="00B42412">
                                <w:rPr>
                                  <w:bCs/>
                                  <w:szCs w:val="24"/>
                                </w:rPr>
                                <w:t>Intervention phase</w:t>
                              </w:r>
                            </w:p>
                          </w:txbxContent>
                        </v:textbox>
                      </v:shape>
                      <v:shape id="Text Box 10" o:spid="_x0000_s1248" type="#_x0000_t202" style="position:absolute;left:1039750;top:1206323;width:27082;height:5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kFxQAA&#10;ANwAAAAPAAAAZHJzL2Rvd25yZXYueG1sRI9Ra8IwFIXfB/6HcAd709SubKMaRcY2hjBknT/g2lyb&#10;uuamJJnWf28EYY+Hc853OPPlYDtxJB9axwqmkwwEce10y42C7c/7+AVEiMgaO8ek4EwBlovR3RxL&#10;7U78TccqNiJBOJSowMTYl1KG2pDFMHE9cfL2zluMSfpGao+nBLedzLPsSVpsOS0Y7OnVUP1b/VkF&#10;b1NvP6ri61DszPPa5/XmIAup1MP9sJqBiDTE//Ct/akVFPkjXM+k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5aQXFAAAA3AAAAA8AAAAAAAAAAAAAAAAAlwIAAGRycy9k&#10;b3ducmV2LnhtbFBLBQYAAAAABAAEAPUAAACJAwAAAAA=&#10;" filled="f" stroked="f" strokecolor="black [0]" strokeweight="2pt">
                        <v:textbox inset="2.88pt,2.88pt,2.88pt,2.88pt">
                          <w:txbxContent>
                            <w:p w14:paraId="27376897" w14:textId="6BCF0EC4"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1</w:t>
                              </w:r>
                            </w:p>
                          </w:txbxContent>
                        </v:textbox>
                      </v:shape>
                      <v:shape id="Text Box 11" o:spid="_x0000_s1249" type="#_x0000_t202" style="position:absolute;left:1040022;top:1230409;width:26998;height:5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PFxxAAA&#10;ANwAAAAPAAAAZHJzL2Rvd25yZXYueG1sRI/RSgMxFETfBf8hXME3m+0SVLZNi0grIhRx2w+43dxu&#10;tt3cLEls1783BcHHYWbOMPPl6HpxphA7zxqmkwIEceNNx62G3Xb98AwiJmSDvWfS8EMRlovbmzlW&#10;xl/4i851akWGcKxQg01pqKSMjSWHceIH4uwdfHCYsgytNAEvGe56WRbFo3TYcV6wONCrpeZUfzsN&#10;q2lwb7XaHNXePn2Esvk8SiW1vr8bX2YgEo3pP/zXfjcaVKngeiYf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DxccQAAADcAAAADwAAAAAAAAAAAAAAAACXAgAAZHJzL2Rv&#10;d25yZXYueG1sUEsFBgAAAAAEAAQA9QAAAIgDAAAAAA==&#10;" filled="f" stroked="f" strokecolor="black [0]" strokeweight="2pt">
                        <v:textbox inset="2.88pt,2.88pt,2.88pt,2.88pt">
                          <w:txbxContent>
                            <w:p w14:paraId="00CC4DC0" w14:textId="48DBE138"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2</w:t>
                              </w:r>
                            </w:p>
                          </w:txbxContent>
                        </v:textbox>
                      </v:shape>
                      <v:shape id="Text Box 12" o:spid="_x0000_s1250" type="#_x0000_t202" style="position:absolute;left:1038350;top:1219921;width:27187;height:9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FTqxQAA&#10;ANwAAAAPAAAAZHJzL2Rvd25yZXYueG1sRI9Ra8IwFIXfB/6HcAd709RSt1GNImMbIgxZ5w+4Ntem&#10;rrkpSabdv18EYY+Hc853OIvVYDtxJh9axwqmkwwEce10y42C/dfb+BlEiMgaO8ek4JcCrJajuwWW&#10;2l34k85VbESCcChRgYmxL6UMtSGLYeJ64uQdnbcYk/SN1B4vCW47mWfZo7TYclow2NOLofq7+rEK&#10;XqfevlfFx6k4mKetz+vdSRZSqYf7YT0HEWmI/+Fbe6MVFPkMrmfS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VOrFAAAA3AAAAA8AAAAAAAAAAAAAAAAAlwIAAGRycy9k&#10;b3ducmV2LnhtbFBLBQYAAAAABAAEAPUAAACJAwAAAAA=&#10;" filled="f" stroked="f" strokecolor="black [0]" strokeweight="2pt">
                        <v:textbox inset="2.88pt,2.88pt,2.88pt,2.88pt">
                          <w:txbxContent>
                            <w:p w14:paraId="0B663557" w14:textId="77777777" w:rsidR="00C8402C" w:rsidRPr="004E5070" w:rsidRDefault="00C8402C" w:rsidP="00B42412">
                              <w:pPr>
                                <w:widowControl w:val="0"/>
                                <w:spacing w:after="0"/>
                                <w:jc w:val="center"/>
                                <w:rPr>
                                  <w:szCs w:val="24"/>
                                </w:rPr>
                              </w:pPr>
                              <w:r>
                                <w:rPr>
                                  <w:szCs w:val="24"/>
                                </w:rPr>
                                <w:t>Teaching and feedback</w:t>
                              </w:r>
                            </w:p>
                          </w:txbxContent>
                        </v:textbox>
                      </v:shape>
                      <v:roundrect id="AutoShape 16" o:spid="_x0000_s1251" style="position:absolute;left:978291;top:1235515;width:35369;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tXmwwAA&#10;ANwAAAAPAAAAZHJzL2Rvd25yZXYueG1sRI/NasMwEITvhb6D2EJujZykpIkbJeQHl16blpwXa2s7&#10;sVZG2jju21eFQo/DzHzDrDaDa1VPITaeDUzGGSji0tuGKwOfH8XjAlQUZIutZzLwTRE26/u7FebW&#10;3/id+qNUKkE45migFulyrWNZk8M49h1x8r58cChJhkrbgLcEd62eZtlcO2w4LdTY0b6m8nK8OgPX&#10;Z1meToeieZXQ785YcDnhmTGjh2H7AkpokP/wX/vNGniazuH3TDoCe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ttXmwwAAANwAAAAPAAAAAAAAAAAAAAAAAJcCAABkcnMvZG93&#10;bnJldi54bWxQSwUGAAAAAAQABAD1AAAAhwMAAAAA&#10;" fillcolor="#ffc000" strokecolor="black [0]" strokeweight="2pt">
                        <v:shadow color="#eeece1" opacity="1" mv:blur="0" offset="2pt,2pt"/>
                        <v:textbox inset="2.88pt,2.88pt,2.88pt,2.88pt">
                          <w:txbxContent>
                            <w:p w14:paraId="37F247A6" w14:textId="77777777" w:rsidR="00C8402C" w:rsidRPr="00D9523C" w:rsidRDefault="00C8402C" w:rsidP="00B42412">
                              <w:pPr>
                                <w:widowControl w:val="0"/>
                                <w:jc w:val="center"/>
                                <w:rPr>
                                  <w:szCs w:val="24"/>
                                </w:rPr>
                              </w:pPr>
                              <w:r w:rsidRPr="00D9523C">
                                <w:rPr>
                                  <w:szCs w:val="24"/>
                                </w:rPr>
                                <w:t>Teacher interviews</w:t>
                              </w:r>
                            </w:p>
                          </w:txbxContent>
                        </v:textbox>
                      </v:roundrect>
                      <v:shape id="AutoShape 22" o:spid="_x0000_s1252" type="#_x0000_t88" style="position:absolute;left:1067353;top:1183386;width:5399;height:581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TsWxgAA&#10;ANwAAAAPAAAAZHJzL2Rvd25yZXYueG1sRI9PawIxFMTvBb9DeEJvNav4j61RRCv0UMGqPXh7bp6b&#10;xc3Lsknd9ds3gtDjMDO/YWaL1pbiRrUvHCvo9xIQxJnTBecKjofN2xSED8gaS8ek4E4eFvPOywxT&#10;7Rr+pts+5CJC2KeowIRQpVL6zJBF33MVcfQurrYYoqxzqWtsItyWcpAkY2mx4LhgsKKVoey6/7UK&#10;wmY7Pe9O10k1ak8/5mt4XDeHD6Veu+3yHUSgNvyHn+1PrWA4mMDjTDw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1TsWxgAAANwAAAAPAAAAAAAAAAAAAAAAAJcCAABkcnMv&#10;ZG93bnJldi54bWxQSwUGAAAAAAQABAD1AAAAigMAAAAA&#10;" adj="1389" strokecolor="black [0]" strokeweight="2pt">
                        <v:shadow color="#eeece1" opacity="1" mv:blur="0" offset="2pt,2pt"/>
                        <v:textbox inset="2.88pt,2.88pt,2.88pt,2.88pt"/>
                      </v:shape>
                      <v:shape id="AutoShape 26" o:spid="_x0000_s1253" type="#_x0000_t32" style="position:absolute;left:995365;top:1189578;width:22611;height:59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Ogj8IAAADcAAAADwAAAGRycy9kb3ducmV2LnhtbERPPW/CMBDdkfofrKvUDZxEgKoUE1WF&#10;QkdCO7TbKb4mUeNzZJsk/Pt6QGJ8et+bYjKdGMj51rKCdJGAIK6sbrlW8PX5Pn8G4QOyxs4yKbiS&#10;h2L7MNtgru3IJQ3nUIsYwj5HBU0IfS6lrxoy6Be2J47cr3UGQ4SultrhGMNNJ7MkWUuDLceGBnt6&#10;a6j6O1+MgtWuNP7wXQ5GZ+3R7X/G/TI9KfX0OL2+gAg0hbv45v7QCpZZXBvPxCMg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0Ogj8IAAADcAAAADwAAAAAAAAAAAAAA&#10;AAChAgAAZHJzL2Rvd25yZXYueG1sUEsFBgAAAAAEAAQA+QAAAJADAAAAAA==&#10;" strokecolor="black [0]" strokeweight="2pt">
                        <v:stroke endarrow="block"/>
                        <v:shadow color="#eeece1" opacity="1" mv:blur="0" offset="2pt,2pt"/>
                      </v:shape>
                      <v:shape id="AutoShape 27" o:spid="_x0000_s1254" type="#_x0000_t32" style="position:absolute;left:972921;top:1189578;width:22777;height:598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URE8MAAADcAAAADwAAAGRycy9kb3ducmV2LnhtbESPX2vCMBTF3wW/Q7jC3jSZjOE60zJE&#10;xZfB1DF8vDR3bVhzU5uo9dsvguDj4fz5ceZF7xpxpi5YzxqeJwoEcemN5UrD9341noEIEdlg45k0&#10;XClAkQ8Hc8yMv/CWzrtYiTTCIUMNdYxtJmUoa3IYJr4lTt6v7xzGJLtKmg4vadw1cqrUq3RoORFq&#10;bGlRU/m3O7nEVe50pE9l8Wi/DtXSuoNf/2j9NOo/3kFE6uMjfG9vjIaX6RvczqQjI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FERPDAAAA3AAAAA8AAAAAAAAAAAAA&#10;AAAAoQIAAGRycy9kb3ducmV2LnhtbFBLBQYAAAAABAAEAPkAAACRAwAAAAA=&#10;" strokecolor="black [0]" strokeweight="2pt">
                        <v:stroke endarrow="block"/>
                        <v:shadow color="#eeece1" opacity="1" mv:blur="0" offset="2pt,2pt"/>
                      </v:shape>
                      <v:shape id="AutoShape 28" o:spid="_x0000_s1255" type="#_x0000_t32" style="position:absolute;left:1017477;top:1202048;width:0;height:41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w6VMIAAADcAAAADwAAAGRycy9kb3ducmV2LnhtbERPu27CMBTdkfgH6yJ1AwcKqApxEGrp&#10;YyTQod2u4ksSEV9Htpukf18PlRiPzjvbj6YVPTnfWFawXCQgiEurG64UfF5e508gfEDW2FomBb/k&#10;YZ9PJxmm2g5cUH8OlYgh7FNUUIfQpVL6siaDfmE74shdrTMYInSV1A6HGG5auUqSrTTYcGyosaPn&#10;msrb+cco2LwUxr99Fb3Rq+bdHb+H43p5UuphNh52IAKN4S7+d39oBevHOD+eiUdA5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w6VMIAAADcAAAADwAAAAAAAAAAAAAA&#10;AAChAgAAZHJzL2Rvd25yZXYueG1sUEsFBgAAAAAEAAQA+QAAAJADAAAAAA==&#10;" strokecolor="black [0]" strokeweight="2pt">
                        <v:stroke endarrow="block"/>
                        <v:shadow color="#eeece1" opacity="1" mv:blur="0" offset="2pt,2pt"/>
                      </v:shape>
                      <v:shape id="AutoShape 29" o:spid="_x0000_s1256" type="#_x0000_t32" style="position:absolute;left:973087;top:1202048;width:0;height:39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Cfz8UAAADcAAAADwAAAGRycy9kb3ducmV2LnhtbESPQWvCQBSE74X+h+UVetNNrC0SXaW0&#10;tvbYqAe9PbLPJJh9G3a3Sfz3riD0OMzMN8xiNZhGdOR8bVlBOk5AEBdW11wq2O++RjMQPiBrbCyT&#10;ggt5WC0fHxaYadtzTt02lCJC2GeooAqhzaT0RUUG/di2xNE7WWcwROlKqR32EW4aOUmSN2mw5rhQ&#10;YUsfFRXn7Z9R8PqZG/99yDujJ/XGrY/9epr+KvX8NLzPQQQawn/43v7RCqYvKdzOxCMgl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6Cfz8UAAADcAAAADwAAAAAAAAAA&#10;AAAAAAChAgAAZHJzL2Rvd25yZXYueG1sUEsFBgAAAAAEAAQA+QAAAJMDAAAAAA==&#10;" strokecolor="black [0]" strokeweight="2pt">
                        <v:stroke endarrow="block"/>
                        <v:shadow color="#eeece1" opacity="1" mv:blur="0" offset="2pt,2pt"/>
                      </v:shape>
                      <v:shape id="AutoShape 30" o:spid="_x0000_s1257" type="#_x0000_t32" style="position:absolute;left:1017644;top:1213187;width:498;height:9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IBuMUAAADcAAAADwAAAGRycy9kb3ducmV2LnhtbESPzW7CMBCE75X6DtZW4lYcAkVVikFV&#10;+euRUA70toqXJCJeR7ZJ0revkSr1OJqZbzSL1WAa0ZHztWUFk3ECgriwuuZSwelr+/wKwgdkjY1l&#10;UvBDHlbLx4cFZtr2nFN3DKWIEPYZKqhCaDMpfVGRQT+2LXH0LtYZDFG6UmqHfYSbRqZJMpcGa44L&#10;Fbb0UVFxPd6Mgpd1bvzunHdGp/Xebb77zWxyUGr0NLy/gQg0hP/wX/tTK5hNU7ifiUd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3IBuMUAAADcAAAADwAAAAAAAAAA&#10;AAAAAAChAgAAZHJzL2Rvd25yZXYueG1sUEsFBgAAAAAEAAQA+QAAAJMDAAAAAA==&#10;" strokecolor="black [0]" strokeweight="2pt">
                        <v:stroke endarrow="block"/>
                        <v:shadow color="#eeece1" opacity="1" mv:blur="0" offset="2pt,2pt"/>
                      </v:shape>
                      <v:shape id="AutoShape 31" o:spid="_x0000_s1258" type="#_x0000_t32" style="position:absolute;left:972755;top:1213187;width:499;height:914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SwJMIAAADcAAAADwAAAGRycy9kb3ducmV2LnhtbESPzWoCMRSF9wXfIVzBXU2spchoFBEr&#10;bgqtiri8TK4zwcnNOIk6vn0jCC4P5+fjTGatq8SVmmA9axj0FQji3BvLhYbd9vt9BCJEZIOVZ9Jw&#10;pwCzaedtgpnxN/6j6yYWIo1wyFBDGWOdSRnykhyGvq+Jk3f0jcOYZFNI0+AtjbtKfij1JR1aToQS&#10;a1qUlJ82F5e4yl3O9KMsnu3voVhad/Crvda9bjsfg4jUxlf42V4bDZ/DITzOpCMg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3SwJMIAAADcAAAADwAAAAAAAAAAAAAA&#10;AAChAgAAZHJzL2Rvd25yZXYueG1sUEsFBgAAAAAEAAQA+QAAAJADAAAAAA==&#10;" strokecolor="black [0]" strokeweight="2pt">
                        <v:stroke endarrow="block"/>
                        <v:shadow color="#eeece1" opacity="1" mv:blur="0" offset="2pt,2pt"/>
                      </v:shape>
                      <v:shape id="AutoShape 32" o:spid="_x0000_s1259" type="#_x0000_t66" style="position:absolute;left:1030287;top:1207090;width:9098;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BkFxQAA&#10;ANwAAAAPAAAAZHJzL2Rvd25yZXYueG1sRI9Pa8JAFMTvBb/D8oTemo1NKiV1FakUPNhDNdAeH9ln&#10;Es2+Ddk1f759t1DwOMzMb5jVZjSN6KlztWUFiygGQVxYXXOpID99PL2CcB5ZY2OZFEzkYLOePaww&#10;03bgL+qPvhQBwi5DBZX3bSalKyoy6CLbEgfvbDuDPsiulLrDIcBNI5/jeCkN1hwWKmzpvaLierwZ&#10;BT/fi7H5rJNdfjFp+mIn6Q9GKvU4H7dvIDyN/h7+b++1gjRJ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AGQXFAAAA3AAAAA8AAAAAAAAAAAAAAAAAlwIAAGRycy9k&#10;b3ducmV2LnhtbFBLBQYAAAAABAAEAPUAAACJAwAAAAA=&#10;" fillcolor="#ffc000" strokecolor="black [0]" strokeweight="2pt">
                        <v:shadow color="#eeece1" opacity="1" mv:blur="0" offset="2pt,2pt"/>
                        <v:textbox inset="2.88pt,2.88pt,2.88pt,2.88pt"/>
                      </v:shape>
                      <v:shape id="AutoShape 33" o:spid="_x0000_s1260" type="#_x0000_t66" style="position:absolute;left:1031608;top:1222248;width:9311;height: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cQmxQAA&#10;ANwAAAAPAAAAZHJzL2Rvd25yZXYueG1sRI/dasJAFITvC77DcgRvSt0Yq9ToKkHQeuGF2j7AIXtM&#10;gtmzIbvm5+27hUIvh5n5htnselOJlhpXWlYwm0YgiDOrS84VfH8d3j5AOI+ssbJMCgZysNuOXjaY&#10;aNvxldqbz0WAsEtQQeF9nUjpsoIMuqmtiYN3t41BH2STS91gF+CmknEULaXBksNCgTXtC8oet6dR&#10;YJ6vn93QnmPuV+mRL3FeDadUqcm4T9cgPPX+P/zXPmkF7/MF/J4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NxCbFAAAA3AAAAA8AAAAAAAAAAAAAAAAAlwIAAGRycy9k&#10;b3ducmV2LnhtbFBLBQYAAAAABAAEAPUAAACJAwAAAAA=&#10;" adj="8254" fillcolor="#ffc000" strokecolor="black [0]" strokeweight="2pt">
                        <v:shadow color="#eeece1" opacity="1" mv:blur="0" offset="2pt,2pt"/>
                        <v:textbox inset="2.88pt,2.88pt,2.88pt,2.88pt"/>
                      </v:shape>
                      <v:shape id="AutoShape 34" o:spid="_x0000_s1261" type="#_x0000_t66" style="position:absolute;left:1030287;top:1230967;width:9406;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iLpxAAA&#10;ANwAAAAPAAAAZHJzL2Rvd25yZXYueG1sRI9Ba8JAFITvgv9heUJvulHTIKmriKXgQQ+1AXt8ZF+T&#10;1OzbsLvV+O9dQehxmJlvmOW6N624kPONZQXTSQKCuLS64UpB8fUxXoDwAVlja5kU3MjDejUcLDHX&#10;9sqfdDmGSkQI+xwV1CF0uZS+rMmgn9iOOHo/1hkMUbpKaofXCDetnCVJJg02HBdq7GhbU3k+/hkF&#10;36dp3x6a+Xvxa9L01d5k2Bup1Muo37yBCNSH//CzvdMK0nkGjzPx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4i6cQAAADcAAAADwAAAAAAAAAAAAAAAACXAgAAZHJzL2Rv&#10;d25yZXYueG1sUEsFBgAAAAAEAAQA9QAAAIgDAAAAAA==&#10;" fillcolor="#ffc000" strokecolor="black [0]" strokeweight="2pt">
                        <v:shadow color="#eeece1" opacity="1" mv:blur="0" offset="2pt,2pt"/>
                        <v:textbox inset="2.88pt,2.88pt,2.88pt,2.88pt"/>
                      </v:shape>
                    </v:group>
                    <v:shape id="Text Box 437" o:spid="_x0000_s1262" type="#_x0000_t202" style="position:absolute;left:5635061;top:3665538;width:1183005;height:4955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qiqxgAA&#10;ANwAAAAPAAAAZHJzL2Rvd25yZXYueG1sRI/RagIxFETfBf8hXKEvUrO1qy1bo5RCqYgUav2A283t&#10;ZnVzs02irn9vBKGPw8ycYWaLzjbiSD7UjhU8jDIQxKXTNVcKtt/v988gQkTW2DgmBWcKsJj3ezMs&#10;tDvxFx03sRIJwqFABSbGtpAylIYshpFriZP367zFmKSvpPZ4SnDbyHGWTaXFmtOCwZbeDJX7zcEq&#10;+PkYGp2P17vJ37bOPa8+J1M+KHU36F5fQETq4n/41l5qBfnjE1zPpCM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bqiqxgAAANwAAAAPAAAAAAAAAAAAAAAAAJcCAABkcnMv&#10;ZG93bnJldi54bWxQSwUGAAAAAAQABAD1AAAAigMAAAAA&#10;" filled="f" stroked="f" strokecolor="black [0]" strokeweight="2pt">
                      <v:textbox inset="2.88pt,2.88pt,2.88pt,2.88pt">
                        <w:txbxContent>
                          <w:p w14:paraId="53A64988" w14:textId="77777777" w:rsidR="00C8402C" w:rsidRPr="009028A6" w:rsidRDefault="00C8402C" w:rsidP="00B42412">
                            <w:pPr>
                              <w:widowControl w:val="0"/>
                              <w:spacing w:after="0"/>
                              <w:jc w:val="center"/>
                              <w:rPr>
                                <w:b/>
                                <w:bCs/>
                                <w:szCs w:val="24"/>
                              </w:rPr>
                            </w:pPr>
                            <w:r w:rsidRPr="009028A6">
                              <w:rPr>
                                <w:b/>
                                <w:bCs/>
                                <w:szCs w:val="24"/>
                              </w:rPr>
                              <w:t>Follow-up phase</w:t>
                            </w:r>
                          </w:p>
                        </w:txbxContent>
                      </v:textbox>
                    </v:shape>
                    <v:shape id="AutoShape 21" o:spid="_x0000_s1263" type="#_x0000_t88" style="position:absolute;left:5358809;top:3090583;width:186390;height:1510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bPSwQAA&#10;ANwAAAAPAAAAZHJzL2Rvd25yZXYueG1sRE/Pa8IwFL4L/g/hDXbTdHOIVqOIQ5hH3XbY7dE829Lk&#10;pSax7fbXLwfB48f3e70drBEd+VA7VvAyzUAQF07XXCr4+jxMFiBCRNZoHJOCXwqw3YxHa8y16/lE&#10;3TmWIoVwyFFBFWObSxmKiiyGqWuJE3dx3mJM0JdSe+xTuDXyNcvm0mLNqaHClvYVFc35ZhV05uKP&#10;P/b6p5vFe9MfjjH7Nkulnp+G3QpEpCE+xHf3h1bwNktr05l0BOTm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2z0sEAAADcAAAADwAAAAAAAAAAAAAAAACXAgAAZHJzL2Rvd25y&#10;ZXYueG1sUEsFBgAAAAAEAAQA9QAAAIUDAAAAAA==&#10;" adj="483" strokecolor="black [0]" strokeweight="2pt">
                      <v:shadow color="#eeece1" opacity="1" mv:blur="0" offset="2pt,2pt"/>
                      <v:textbox inset="2.88pt,2.88pt,2.88pt,2.88pt"/>
                    </v:shape>
                  </v:group>
                  <v:roundrect id="AutoShape 16" o:spid="_x0000_s1264" style="position:absolute;left:267419;top:3226286;width:2882665;height:63835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OmKxQAA&#10;ANwAAAAPAAAAZHJzL2Rvd25yZXYueG1sRI9Ba8JAFITvBf/D8oTe6sZWRFNXUVFQ6EVjocdH9jUJ&#10;Zt+mu2tM++vdguBxmJlvmNmiM7VoyfnKsoLhIAFBnFtdcaHglG1fJiB8QNZYWyYFv+RhMe89zTDV&#10;9soHao+hEBHCPkUFZQhNKqXPSzLoB7Yhjt63dQZDlK6Q2uE1wk0tX5NkLA1WHBdKbGhdUn4+XowC&#10;+bmauGyTZ1+7qfm4/PxJu6dWqed+t3wHEagLj/C9vdMKRm9T+D8Tj4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E6YrFAAAA3AAAAA8AAAAAAAAAAAAAAAAAlwIAAGRycy9k&#10;b3ducmV2LnhtbFBLBQYAAAAABAAEAPUAAACJAwAAAAA=&#10;" fillcolor="#ffc000 [3207]" strokecolor="black [0]" strokeweight="2pt">
                    <v:textbox inset="2.88pt,2.88pt,2.88pt,2.88pt">
                      <w:txbxContent>
                        <w:p w14:paraId="4C005256" w14:textId="57EDE4E6" w:rsidR="00C8402C" w:rsidRPr="00D9523C" w:rsidRDefault="00C8402C" w:rsidP="00B42412">
                          <w:pPr>
                            <w:widowControl w:val="0"/>
                            <w:jc w:val="center"/>
                            <w:rPr>
                              <w:szCs w:val="24"/>
                              <w:u w:val="single"/>
                            </w:rPr>
                          </w:pPr>
                          <w:r w:rsidRPr="00D9523C">
                            <w:rPr>
                              <w:szCs w:val="24"/>
                              <w:u w:val="single"/>
                            </w:rPr>
                            <w:t>Student clinical placements 4x</w:t>
                          </w:r>
                          <w:r>
                            <w:rPr>
                              <w:szCs w:val="24"/>
                              <w:u w:val="single"/>
                            </w:rPr>
                            <w:t>3</w:t>
                          </w:r>
                          <w:r w:rsidRPr="00D9523C">
                            <w:rPr>
                              <w:szCs w:val="24"/>
                              <w:u w:val="single"/>
                            </w:rPr>
                            <w:t xml:space="preserve"> weeks</w:t>
                          </w:r>
                        </w:p>
                        <w:p w14:paraId="43638AAE" w14:textId="77777777" w:rsidR="00C8402C" w:rsidRPr="00D9523C" w:rsidRDefault="00C8402C" w:rsidP="00B42412">
                          <w:pPr>
                            <w:widowControl w:val="0"/>
                            <w:jc w:val="center"/>
                            <w:rPr>
                              <w:i/>
                              <w:iCs/>
                              <w:szCs w:val="24"/>
                            </w:rPr>
                          </w:pPr>
                          <w:r w:rsidRPr="00D9523C">
                            <w:rPr>
                              <w:szCs w:val="24"/>
                            </w:rPr>
                            <w:t>Student focus groups and interviews</w:t>
                          </w:r>
                        </w:p>
                        <w:p w14:paraId="5CCBFC17" w14:textId="77777777" w:rsidR="00C8402C" w:rsidRPr="00A771E3" w:rsidRDefault="00C8402C" w:rsidP="00B42412">
                          <w:pPr>
                            <w:widowControl w:val="0"/>
                            <w:jc w:val="center"/>
                            <w:rPr>
                              <w:b/>
                              <w:szCs w:val="24"/>
                            </w:rPr>
                          </w:pPr>
                        </w:p>
                      </w:txbxContent>
                    </v:textbox>
                  </v:roundrect>
                  <v:shape id="Text Box 11" o:spid="_x0000_s1265" type="#_x0000_t202" style="position:absolute;left:3959524;top:3795623;width:136588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BLSwQAA&#10;ANwAAAAPAAAAZHJzL2Rvd25yZXYueG1sRE/dasIwFL4f+A7hCN7NVAmbdEYRURmDMax7gLPmrKk2&#10;JyWJ2r39cjHY5cf3v1wPrhM3CrH1rGE2LUAQ19603Gj4PO0fFyBiQjbYeSYNPxRhvRo9LLE0/s5H&#10;ulWpETmEY4kabEp9KWWsLTmMU98TZ+7bB4cpw9BIE/Cew10n50XxJB22nBss9rS1VF+qq9OwmwV3&#10;qNT7WX3Z57cwrz/OUkmtJ+Nh8wIi0ZD+xX/uV6NBqTw/n8lH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QS0sEAAADcAAAADwAAAAAAAAAAAAAAAACXAgAAZHJzL2Rvd25y&#10;ZXYueG1sUEsFBgAAAAAEAAQA9QAAAIUDAAAAAA==&#10;" filled="f" stroked="f" strokecolor="black [0]" strokeweight="2pt">
                    <v:textbox inset="2.88pt,2.88pt,2.88pt,2.88pt">
                      <w:txbxContent>
                        <w:p w14:paraId="594550BE" w14:textId="04EAA748" w:rsidR="00C8402C" w:rsidRPr="000143BD" w:rsidRDefault="00C8402C" w:rsidP="00B42412">
                          <w:pPr>
                            <w:widowControl w:val="0"/>
                            <w:spacing w:after="0"/>
                            <w:jc w:val="center"/>
                            <w:rPr>
                              <w:sz w:val="22"/>
                              <w:szCs w:val="24"/>
                            </w:rPr>
                          </w:pPr>
                          <w:r w:rsidRPr="00950528">
                            <w:rPr>
                              <w:sz w:val="22"/>
                              <w:szCs w:val="24"/>
                            </w:rPr>
                            <w:t>Questionnaires</w:t>
                          </w:r>
                          <w:r w:rsidRPr="000143BD">
                            <w:rPr>
                              <w:sz w:val="22"/>
                              <w:szCs w:val="24"/>
                            </w:rPr>
                            <w:t xml:space="preserve"> 3</w:t>
                          </w:r>
                        </w:p>
                      </w:txbxContent>
                    </v:textbox>
                  </v:shape>
                  <v:shape id="AutoShape 34" o:spid="_x0000_s1266" type="#_x0000_t66" style="position:absolute;left:3467819;top:3821502;width:475919;height:2480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AwxQAA&#10;ANwAAAAPAAAAZHJzL2Rvd25yZXYueG1sRI9Pa8JAFMTvQr/D8gpeRDf+oUh0lVIrSD1Ioxdvj+wz&#10;Cc2+TbKrid++Kwgeh5n5DbNcd6YUN2pcYVnBeBSBIE6tLjhTcDpuh3MQziNrLC2Tgjs5WK/eekuM&#10;tW35l26Jz0SAsItRQe59FUvp0pwMupGtiIN3sY1BH2STSd1gG+CmlJMo+pAGCw4LOVb0lVP6l1yN&#10;gmqDCX/bmqb3wabdH0x9rs8/SvXfu88FCE+df4Wf7Z1WMJuN4XE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r4DDFAAAA3AAAAA8AAAAAAAAAAAAAAAAAlwIAAGRycy9k&#10;b3ducmV2LnhtbFBLBQYAAAAABAAEAPUAAACJAwAAAAA=&#10;" adj="5492" fillcolor="#ffc000" strokecolor="black [0]" strokeweight="2pt">
                    <v:shadow color="#eeece1" opacity="1" mv:blur="0" offset="2pt,2pt"/>
                    <v:textbox inset="2.88pt,2.88pt,2.88pt,2.88pt"/>
                  </v:shape>
                </v:group>
                <v:roundrect id="AutoShape 16" o:spid="_x0000_s1267" style="position:absolute;left:491706;top:4157932;width:2454067;height:36029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UL0xgAA&#10;ANwAAAAPAAAAZHJzL2Rvd25yZXYueG1sRI9Ba8JAFITvgv9heUIvohtFVFI3Ugq1vUhr1ENvj+xr&#10;Nm32bchuY/z3bkHocZiZb5jNtre16Kj1lWMFs2kCgrhwuuJSwen4MlmD8AFZY+2YFFzJwzYbDjaY&#10;anfhA3V5KEWEsE9RgQmhSaX0hSGLfuoa4uh9udZiiLItpW7xEuG2lvMkWUqLFccFgw09Gyp+8l+r&#10;4Ht/pdkuGb/Ls/xc+V0oX1fmQ6mHUf/0CCJQH/7D9/abVrBYz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8UL0xgAAANwAAAAPAAAAAAAAAAAAAAAAAJcCAABkcnMv&#10;ZG93bnJldi54bWxQSwUGAAAAAAQABAD1AAAAigMAAAAA&#10;" fillcolor="#92d050" strokecolor="black [0]" strokeweight="2pt">
                  <v:shadow color="#eeece1" opacity="1" mv:blur="0" offset="2pt,2pt"/>
                  <v:textbox inset="2.88pt,2.88pt,2.88pt,2.88pt">
                    <w:txbxContent>
                      <w:p w14:paraId="73455173" w14:textId="57637D36" w:rsidR="00C8402C" w:rsidRPr="00A771E3" w:rsidRDefault="00C8402C" w:rsidP="00B42412">
                        <w:pPr>
                          <w:widowControl w:val="0"/>
                          <w:jc w:val="center"/>
                          <w:rPr>
                            <w:b/>
                            <w:szCs w:val="24"/>
                          </w:rPr>
                        </w:pPr>
                        <w:r>
                          <w:rPr>
                            <w:b/>
                            <w:szCs w:val="24"/>
                          </w:rPr>
                          <w:t>Validation of the SSRQ</w:t>
                        </w:r>
                      </w:p>
                    </w:txbxContent>
                  </v:textbox>
                </v:roundrect>
              </v:group>
            </w:pict>
          </mc:Fallback>
        </mc:AlternateContent>
      </w:r>
    </w:p>
    <w:p w14:paraId="563B8CAE" w14:textId="61EEF66E" w:rsidR="00A43456" w:rsidRPr="00BD42AF" w:rsidRDefault="00A43456">
      <w:pPr>
        <w:rPr>
          <w:rFonts w:cs="Times New Roman"/>
        </w:rPr>
      </w:pPr>
    </w:p>
    <w:p w14:paraId="4590E3A6" w14:textId="77777777" w:rsidR="00A43456" w:rsidRPr="00BD42AF" w:rsidRDefault="00A43456">
      <w:pPr>
        <w:rPr>
          <w:rFonts w:cs="Times New Roman"/>
        </w:rPr>
      </w:pPr>
    </w:p>
    <w:p w14:paraId="627A3B7B" w14:textId="549B2D2E" w:rsidR="00A43456" w:rsidRPr="00BD42AF" w:rsidRDefault="00A43456">
      <w:pPr>
        <w:rPr>
          <w:rFonts w:cs="Times New Roman"/>
        </w:rPr>
      </w:pPr>
    </w:p>
    <w:p w14:paraId="736E9F76" w14:textId="647DFA30" w:rsidR="00A43456" w:rsidRPr="00BD42AF" w:rsidRDefault="00A43456">
      <w:pPr>
        <w:rPr>
          <w:rFonts w:cs="Times New Roman"/>
        </w:rPr>
      </w:pPr>
    </w:p>
    <w:p w14:paraId="4FF3DCAD" w14:textId="77777777" w:rsidR="00A43456" w:rsidRPr="00BD42AF" w:rsidRDefault="00A43456">
      <w:pPr>
        <w:rPr>
          <w:rFonts w:cs="Times New Roman"/>
        </w:rPr>
      </w:pPr>
    </w:p>
    <w:p w14:paraId="5965BF80" w14:textId="77777777" w:rsidR="00A43456" w:rsidRPr="00BD42AF" w:rsidRDefault="00A43456">
      <w:pPr>
        <w:rPr>
          <w:rFonts w:cs="Times New Roman"/>
        </w:rPr>
      </w:pPr>
    </w:p>
    <w:p w14:paraId="2F70657F" w14:textId="77777777" w:rsidR="00A43456" w:rsidRPr="00BD42AF" w:rsidRDefault="00A43456">
      <w:pPr>
        <w:rPr>
          <w:rFonts w:cs="Times New Roman"/>
        </w:rPr>
      </w:pPr>
    </w:p>
    <w:p w14:paraId="05F2845E" w14:textId="77777777" w:rsidR="00A43456" w:rsidRPr="00BD42AF" w:rsidRDefault="00A43456">
      <w:pPr>
        <w:rPr>
          <w:rFonts w:cs="Times New Roman"/>
        </w:rPr>
      </w:pPr>
    </w:p>
    <w:p w14:paraId="43CCCBB6" w14:textId="77777777" w:rsidR="00A43456" w:rsidRPr="00BD42AF" w:rsidRDefault="00A43456">
      <w:pPr>
        <w:rPr>
          <w:rFonts w:cs="Times New Roman"/>
        </w:rPr>
      </w:pPr>
    </w:p>
    <w:p w14:paraId="22AFDC7C" w14:textId="77777777" w:rsidR="00A43456" w:rsidRPr="00BD42AF" w:rsidRDefault="00A43456">
      <w:pPr>
        <w:rPr>
          <w:rFonts w:cs="Times New Roman"/>
        </w:rPr>
      </w:pPr>
    </w:p>
    <w:p w14:paraId="4FAA52F1" w14:textId="77777777" w:rsidR="00A43456" w:rsidRPr="00BD42AF" w:rsidRDefault="00A43456">
      <w:pPr>
        <w:rPr>
          <w:rFonts w:cs="Times New Roman"/>
        </w:rPr>
      </w:pPr>
    </w:p>
    <w:p w14:paraId="543CD5D8" w14:textId="77777777" w:rsidR="00A43456" w:rsidRPr="00BD42AF" w:rsidRDefault="00A43456">
      <w:pPr>
        <w:rPr>
          <w:rFonts w:cs="Times New Roman"/>
        </w:rPr>
      </w:pPr>
    </w:p>
    <w:p w14:paraId="3CE4A7B2" w14:textId="77777777" w:rsidR="00A43456" w:rsidRPr="001046E5" w:rsidRDefault="00A43456">
      <w:pPr>
        <w:rPr>
          <w:rFonts w:cs="Times New Roman"/>
        </w:rPr>
      </w:pPr>
    </w:p>
    <w:p w14:paraId="2B02248B" w14:textId="77777777" w:rsidR="00A43456" w:rsidRPr="00C71126" w:rsidRDefault="00A43456">
      <w:pPr>
        <w:rPr>
          <w:rFonts w:cs="Times New Roman"/>
        </w:rPr>
      </w:pPr>
    </w:p>
    <w:p w14:paraId="0C40A9E9" w14:textId="77777777" w:rsidR="00A43456" w:rsidRPr="00C71126" w:rsidRDefault="00A43456">
      <w:pPr>
        <w:rPr>
          <w:rFonts w:cs="Times New Roman"/>
        </w:rPr>
      </w:pPr>
    </w:p>
    <w:p w14:paraId="27C31913" w14:textId="77777777" w:rsidR="00A43456" w:rsidRPr="00C71126" w:rsidRDefault="00A43456">
      <w:pPr>
        <w:rPr>
          <w:rFonts w:cs="Times New Roman"/>
        </w:rPr>
      </w:pPr>
    </w:p>
    <w:p w14:paraId="02A5C80C" w14:textId="77777777" w:rsidR="00A43456" w:rsidRPr="00C71126" w:rsidRDefault="00A43456">
      <w:pPr>
        <w:rPr>
          <w:rFonts w:cs="Times New Roman"/>
        </w:rPr>
      </w:pPr>
    </w:p>
    <w:p w14:paraId="2CF8152E" w14:textId="6DC9B348" w:rsidR="00A43456" w:rsidRPr="00B56453" w:rsidRDefault="004343FD" w:rsidP="004343FD">
      <w:pPr>
        <w:pStyle w:val="Caption"/>
      </w:pPr>
      <w:bookmarkStart w:id="357" w:name="_Toc500319558"/>
      <w:r w:rsidRPr="00C71126">
        <w:t>Figure C1.</w:t>
      </w:r>
      <w:fldSimple w:instr=" SEQ Figure_C1. \* ARABIC ">
        <w:r w:rsidR="00E44881" w:rsidRPr="00B56453">
          <w:rPr>
            <w:noProof/>
          </w:rPr>
          <w:t>1</w:t>
        </w:r>
      </w:fldSimple>
      <w:r w:rsidRPr="00B56453">
        <w:t xml:space="preserve"> Flow diagram of study operations. Validation of the SSRQ (in green) in the follow-up phase is highlighted.</w:t>
      </w:r>
      <w:bookmarkEnd w:id="357"/>
    </w:p>
    <w:p w14:paraId="780D0989" w14:textId="77777777" w:rsidR="006C0A4C" w:rsidRPr="00B56453" w:rsidRDefault="006C0A4C" w:rsidP="006C0A4C">
      <w:pPr>
        <w:pStyle w:val="Normal1"/>
        <w:rPr>
          <w:lang w:val="en-GB"/>
        </w:rPr>
      </w:pPr>
    </w:p>
    <w:p w14:paraId="37F5BA7E" w14:textId="741B8085" w:rsidR="000A3B0F" w:rsidRPr="00B56453" w:rsidRDefault="00A43456" w:rsidP="006C0A4C">
      <w:pPr>
        <w:pStyle w:val="Normal1"/>
        <w:rPr>
          <w:lang w:val="en-GB"/>
        </w:rPr>
      </w:pPr>
      <w:r w:rsidRPr="00B56453">
        <w:rPr>
          <w:lang w:val="en-GB"/>
        </w:rPr>
        <w:t>Originally only the November 2015 collection was to be</w:t>
      </w:r>
      <w:r w:rsidR="006C0A4C" w:rsidRPr="00B56453">
        <w:rPr>
          <w:lang w:val="en-GB"/>
        </w:rPr>
        <w:t xml:space="preserve"> used for the analysis. This </w:t>
      </w:r>
      <w:r w:rsidR="000A3B0F" w:rsidRPr="00B56453">
        <w:rPr>
          <w:lang w:val="en-GB"/>
        </w:rPr>
        <w:t>first analysis of this data determined</w:t>
      </w:r>
      <w:r w:rsidRPr="00B56453">
        <w:rPr>
          <w:lang w:val="en-GB"/>
        </w:rPr>
        <w:t xml:space="preserve"> a 4-factor structure of the SSRQ with a reduced 23-item form and an internal consistency of </w:t>
      </w:r>
      <w:r w:rsidR="000E4B90" w:rsidRPr="00B56453">
        <w:rPr>
          <w:lang w:val="en-GB"/>
        </w:rPr>
        <w:t>0</w:t>
      </w:r>
      <w:r w:rsidRPr="00B56453">
        <w:rPr>
          <w:lang w:val="en-GB"/>
        </w:rPr>
        <w:t xml:space="preserve">.85 (Cronbach’s Alpha). </w:t>
      </w:r>
      <w:r w:rsidR="000A3B0F" w:rsidRPr="00B56453">
        <w:rPr>
          <w:lang w:val="en-GB"/>
        </w:rPr>
        <w:t xml:space="preserve">Based upon theoretical underpinnings of SRL, the four factors were: ‘Reflective Change’, ‘Setting and Achieving Goals’, ‘Motivational Beliefs’, and ‘Decision Making’. </w:t>
      </w:r>
      <w:r w:rsidRPr="00B56453">
        <w:rPr>
          <w:lang w:val="en-GB"/>
        </w:rPr>
        <w:t>The SSRQ was a good predictor of self-efficacy scores, simila</w:t>
      </w:r>
      <w:r w:rsidR="000A3B0F" w:rsidRPr="00B56453">
        <w:rPr>
          <w:lang w:val="en-GB"/>
        </w:rPr>
        <w:t>r to reports in related studies</w:t>
      </w:r>
      <w:r w:rsidRPr="00B56453">
        <w:rPr>
          <w:lang w:val="en-GB"/>
        </w:rPr>
        <w:t>. Finally, investigating gender differences in the SSRQ; females scored significantly higher in Setting and Achieving Goals whereas males scored higher in Decision Making.</w:t>
      </w:r>
    </w:p>
    <w:p w14:paraId="485B77FD" w14:textId="77777777" w:rsidR="000A3B0F" w:rsidRPr="00B56453" w:rsidRDefault="000A3B0F" w:rsidP="006C0A4C">
      <w:pPr>
        <w:pStyle w:val="Normal1"/>
        <w:rPr>
          <w:lang w:val="en-GB"/>
        </w:rPr>
      </w:pPr>
    </w:p>
    <w:p w14:paraId="137F534E" w14:textId="4F204B61" w:rsidR="006C0A4C" w:rsidRPr="00B56453" w:rsidRDefault="000A3B0F" w:rsidP="006C0A4C">
      <w:pPr>
        <w:pStyle w:val="Normal1"/>
        <w:rPr>
          <w:lang w:val="en-GB"/>
        </w:rPr>
      </w:pPr>
      <w:r w:rsidRPr="00B56453">
        <w:rPr>
          <w:lang w:val="en-GB"/>
        </w:rPr>
        <w:t>After peer review, it became apparent that the psychometric strength of these fo</w:t>
      </w:r>
      <w:r w:rsidR="0008250E" w:rsidRPr="00B56453">
        <w:rPr>
          <w:lang w:val="en-GB"/>
        </w:rPr>
        <w:t xml:space="preserve">ur factors was not sufficient </w:t>
      </w:r>
      <w:r w:rsidRPr="00B56453">
        <w:rPr>
          <w:lang w:val="en-GB"/>
        </w:rPr>
        <w:t xml:space="preserve">to claim </w:t>
      </w:r>
      <w:r w:rsidR="00787C50" w:rsidRPr="00B56453">
        <w:rPr>
          <w:lang w:val="en-GB"/>
        </w:rPr>
        <w:t xml:space="preserve">that </w:t>
      </w:r>
      <w:r w:rsidRPr="00B56453">
        <w:rPr>
          <w:lang w:val="en-GB"/>
        </w:rPr>
        <w:t xml:space="preserve">the </w:t>
      </w:r>
      <w:r w:rsidR="0008250E" w:rsidRPr="00B56453">
        <w:rPr>
          <w:lang w:val="en-GB"/>
        </w:rPr>
        <w:t xml:space="preserve">version of the </w:t>
      </w:r>
      <w:r w:rsidRPr="00B56453">
        <w:rPr>
          <w:lang w:val="en-GB"/>
        </w:rPr>
        <w:t>SSRQ</w:t>
      </w:r>
      <w:r w:rsidR="0008250E" w:rsidRPr="00B56453">
        <w:rPr>
          <w:lang w:val="en-GB"/>
        </w:rPr>
        <w:t xml:space="preserve"> used in </w:t>
      </w:r>
      <w:r w:rsidR="00787C50" w:rsidRPr="00B56453">
        <w:rPr>
          <w:lang w:val="en-GB"/>
        </w:rPr>
        <w:t>this</w:t>
      </w:r>
      <w:r w:rsidR="0008250E" w:rsidRPr="00B56453">
        <w:rPr>
          <w:lang w:val="en-GB"/>
        </w:rPr>
        <w:t xml:space="preserve"> study </w:t>
      </w:r>
      <w:r w:rsidR="00787C50" w:rsidRPr="00B56453">
        <w:rPr>
          <w:lang w:val="en-GB"/>
        </w:rPr>
        <w:t xml:space="preserve">was appropriately valid. </w:t>
      </w:r>
      <w:r w:rsidR="006C0A4C" w:rsidRPr="00B56453">
        <w:rPr>
          <w:lang w:val="en-GB"/>
        </w:rPr>
        <w:t>The sample size was also insufficient for a robust assessment of the data using exploratory factor analysis. The decision was made to conduct the Nov 2016 collection based upon the need to compare similar groups</w:t>
      </w:r>
      <w:r w:rsidR="00022D6B" w:rsidRPr="00B56453">
        <w:rPr>
          <w:lang w:val="en-GB"/>
        </w:rPr>
        <w:t xml:space="preserve"> in a larger sample</w:t>
      </w:r>
      <w:r w:rsidR="006C0A4C" w:rsidRPr="00B56453">
        <w:rPr>
          <w:lang w:val="en-GB"/>
        </w:rPr>
        <w:t xml:space="preserve"> to strengthen the analysis, producing the data presented in this Chapter.</w:t>
      </w:r>
    </w:p>
    <w:p w14:paraId="1C74B380" w14:textId="40E7B108" w:rsidR="0060631D" w:rsidRPr="00B56453" w:rsidRDefault="0060631D" w:rsidP="006C0A4C">
      <w:pPr>
        <w:pStyle w:val="Normal1"/>
        <w:rPr>
          <w:lang w:val="en-GB"/>
        </w:rPr>
      </w:pPr>
    </w:p>
    <w:p w14:paraId="3DD2120B" w14:textId="77777777" w:rsidR="0060631D" w:rsidRPr="00B56453" w:rsidRDefault="0060631D" w:rsidP="006C0A4C">
      <w:pPr>
        <w:pStyle w:val="Normal1"/>
        <w:rPr>
          <w:lang w:val="en-GB"/>
        </w:rPr>
      </w:pPr>
      <w:r w:rsidRPr="00B56453">
        <w:rPr>
          <w:lang w:val="en-GB"/>
        </w:rPr>
        <w:br w:type="page"/>
      </w:r>
    </w:p>
    <w:p w14:paraId="604F02D4" w14:textId="57214C3C" w:rsidR="00721871" w:rsidRPr="00B56453" w:rsidRDefault="00721871" w:rsidP="00721871">
      <w:pPr>
        <w:pStyle w:val="Heading2"/>
        <w:rPr>
          <w:lang w:val="en-GB"/>
        </w:rPr>
      </w:pPr>
      <w:bookmarkStart w:id="358" w:name="_Toc500319406"/>
      <w:r w:rsidRPr="00B56453">
        <w:rPr>
          <w:lang w:val="en-GB"/>
        </w:rPr>
        <w:lastRenderedPageBreak/>
        <w:t>C1.2 Ethical Approval</w:t>
      </w:r>
      <w:bookmarkEnd w:id="358"/>
    </w:p>
    <w:p w14:paraId="522C60B9" w14:textId="77777777" w:rsidR="00721871" w:rsidRPr="00B56453" w:rsidRDefault="00721871" w:rsidP="00721871">
      <w:pPr>
        <w:rPr>
          <w:lang w:eastAsia="hi-IN" w:bidi="hi-IN"/>
        </w:rPr>
      </w:pPr>
    </w:p>
    <w:p w14:paraId="0B876DA8" w14:textId="68809451" w:rsidR="00721871" w:rsidRPr="00B56453" w:rsidRDefault="00721871" w:rsidP="00721871">
      <w:pPr>
        <w:pStyle w:val="Normal1"/>
        <w:rPr>
          <w:lang w:val="en-GB"/>
        </w:rPr>
      </w:pPr>
      <w:r w:rsidRPr="00B56453">
        <w:rPr>
          <w:lang w:val="en-GB"/>
        </w:rPr>
        <w:t>This validation study was not included in the original ethical approval and required an amendment which was accepted by a representative of the University of Sheffield Ethical Approval Board for Medicine</w:t>
      </w:r>
      <w:r w:rsidR="00184B8F" w:rsidRPr="00B56453">
        <w:rPr>
          <w:lang w:val="en-GB"/>
        </w:rPr>
        <w:t>,</w:t>
      </w:r>
      <w:r w:rsidRPr="00B56453">
        <w:rPr>
          <w:lang w:val="en-GB"/>
        </w:rPr>
        <w:t xml:space="preserve"> Dentistry</w:t>
      </w:r>
      <w:r w:rsidR="00184B8F" w:rsidRPr="00B56453">
        <w:rPr>
          <w:lang w:val="en-GB"/>
        </w:rPr>
        <w:t>,</w:t>
      </w:r>
      <w:r w:rsidRPr="00B56453">
        <w:rPr>
          <w:lang w:val="en-GB"/>
        </w:rPr>
        <w:t xml:space="preserve"> and Health on the 28th September 2016 (Appendix 17).</w:t>
      </w:r>
    </w:p>
    <w:p w14:paraId="65866E57" w14:textId="77777777" w:rsidR="00721871" w:rsidRPr="00B56453" w:rsidRDefault="00721871" w:rsidP="00721871">
      <w:pPr>
        <w:rPr>
          <w:lang w:eastAsia="hi-IN" w:bidi="hi-IN"/>
        </w:rPr>
      </w:pPr>
    </w:p>
    <w:p w14:paraId="3F0B147A" w14:textId="63A375D9" w:rsidR="0060631D" w:rsidRPr="00B56453" w:rsidRDefault="00FA111F" w:rsidP="00B1638D">
      <w:pPr>
        <w:pStyle w:val="Heading2"/>
        <w:rPr>
          <w:lang w:val="en-GB"/>
        </w:rPr>
      </w:pPr>
      <w:bookmarkStart w:id="359" w:name="_Toc500319407"/>
      <w:r w:rsidRPr="00B56453">
        <w:rPr>
          <w:lang w:val="en-GB"/>
        </w:rPr>
        <w:t>C1.</w:t>
      </w:r>
      <w:r w:rsidR="00721871" w:rsidRPr="00B56453">
        <w:rPr>
          <w:lang w:val="en-GB"/>
        </w:rPr>
        <w:t>3</w:t>
      </w:r>
      <w:r w:rsidRPr="00B56453">
        <w:rPr>
          <w:lang w:val="en-GB"/>
        </w:rPr>
        <w:t xml:space="preserve"> </w:t>
      </w:r>
      <w:r w:rsidR="0060631D" w:rsidRPr="00B56453">
        <w:rPr>
          <w:lang w:val="en-GB"/>
        </w:rPr>
        <w:t>Method</w:t>
      </w:r>
      <w:bookmarkEnd w:id="359"/>
    </w:p>
    <w:p w14:paraId="271D560D" w14:textId="77777777" w:rsidR="0060631D" w:rsidRPr="00B56453" w:rsidRDefault="0060631D" w:rsidP="00026049">
      <w:pPr>
        <w:pStyle w:val="Normal1"/>
        <w:rPr>
          <w:shd w:val="clear" w:color="auto" w:fill="FCFCFC"/>
          <w:lang w:val="en-GB"/>
        </w:rPr>
      </w:pPr>
    </w:p>
    <w:p w14:paraId="2B7B005F" w14:textId="6E24AEED" w:rsidR="0060631D" w:rsidRPr="00B56453" w:rsidRDefault="00FA111F" w:rsidP="00BA4521">
      <w:pPr>
        <w:pStyle w:val="Heading3"/>
      </w:pPr>
      <w:bookmarkStart w:id="360" w:name="_Toc500319408"/>
      <w:r w:rsidRPr="00B56453">
        <w:t>C1.</w:t>
      </w:r>
      <w:r w:rsidR="00721871" w:rsidRPr="00B56453">
        <w:t>3</w:t>
      </w:r>
      <w:r w:rsidRPr="00B56453">
        <w:t xml:space="preserve">.1 </w:t>
      </w:r>
      <w:r w:rsidR="0060631D" w:rsidRPr="00B56453">
        <w:t>Measures</w:t>
      </w:r>
      <w:bookmarkEnd w:id="360"/>
    </w:p>
    <w:p w14:paraId="3059B92D" w14:textId="77777777" w:rsidR="00D20134" w:rsidRPr="00B56453" w:rsidRDefault="00D20134" w:rsidP="00026049">
      <w:pPr>
        <w:pStyle w:val="Normal1"/>
        <w:rPr>
          <w:shd w:val="clear" w:color="auto" w:fill="FCFCFC"/>
          <w:lang w:val="en-GB"/>
        </w:rPr>
      </w:pPr>
    </w:p>
    <w:p w14:paraId="03FA54D7" w14:textId="25C6BB51" w:rsidR="0060631D" w:rsidRPr="00B56453" w:rsidRDefault="00BA78A4" w:rsidP="00026049">
      <w:pPr>
        <w:pStyle w:val="Normal1"/>
        <w:rPr>
          <w:lang w:val="en-GB"/>
        </w:rPr>
      </w:pPr>
      <w:r w:rsidRPr="00B56453">
        <w:rPr>
          <w:lang w:val="en-GB"/>
        </w:rPr>
        <w:t xml:space="preserve">The same measurement tools were used in this validation as detailed in </w:t>
      </w:r>
      <w:r w:rsidR="00782F33" w:rsidRPr="00B56453">
        <w:rPr>
          <w:lang w:val="en-GB"/>
        </w:rPr>
        <w:t>B3.2.1</w:t>
      </w:r>
      <w:r w:rsidRPr="00B56453">
        <w:rPr>
          <w:lang w:val="en-GB"/>
        </w:rPr>
        <w:t>.</w:t>
      </w:r>
    </w:p>
    <w:p w14:paraId="156D54BE" w14:textId="77777777" w:rsidR="00D20134" w:rsidRPr="00B56453" w:rsidRDefault="00D20134" w:rsidP="00026049">
      <w:pPr>
        <w:pStyle w:val="Normal1"/>
        <w:rPr>
          <w:lang w:val="en-GB"/>
        </w:rPr>
      </w:pPr>
    </w:p>
    <w:p w14:paraId="4192F10B" w14:textId="0C431F62" w:rsidR="0060631D" w:rsidRPr="00B56453" w:rsidRDefault="00FA111F" w:rsidP="00BA4521">
      <w:pPr>
        <w:pStyle w:val="Heading3"/>
      </w:pPr>
      <w:bookmarkStart w:id="361" w:name="_Toc500319409"/>
      <w:r w:rsidRPr="00B56453">
        <w:t>C1.</w:t>
      </w:r>
      <w:r w:rsidR="00721871" w:rsidRPr="00B56453">
        <w:t>3</w:t>
      </w:r>
      <w:r w:rsidRPr="00B56453">
        <w:t xml:space="preserve">.2 </w:t>
      </w:r>
      <w:r w:rsidR="0060631D" w:rsidRPr="00B56453">
        <w:t>Participants and Procedure</w:t>
      </w:r>
      <w:bookmarkEnd w:id="361"/>
    </w:p>
    <w:p w14:paraId="1E58AB68" w14:textId="77777777" w:rsidR="00D20134" w:rsidRPr="00B56453" w:rsidRDefault="00D20134" w:rsidP="00026049">
      <w:pPr>
        <w:pStyle w:val="Normal1"/>
        <w:rPr>
          <w:shd w:val="clear" w:color="auto" w:fill="FCFCFC"/>
          <w:lang w:val="en-GB"/>
        </w:rPr>
      </w:pPr>
    </w:p>
    <w:p w14:paraId="3D35FB4D" w14:textId="0DE22B2F" w:rsidR="0060631D" w:rsidRPr="00B56453" w:rsidRDefault="0060631D" w:rsidP="00026049">
      <w:pPr>
        <w:pStyle w:val="Normal1"/>
        <w:rPr>
          <w:lang w:val="en-GB"/>
        </w:rPr>
      </w:pPr>
      <w:r w:rsidRPr="00B56453">
        <w:rPr>
          <w:lang w:val="en-GB"/>
        </w:rPr>
        <w:t xml:space="preserve">Two </w:t>
      </w:r>
      <w:r w:rsidR="003F1A1C" w:rsidRPr="00B56453">
        <w:rPr>
          <w:lang w:val="en-GB"/>
        </w:rPr>
        <w:t>consecutive</w:t>
      </w:r>
      <w:r w:rsidRPr="00B56453">
        <w:rPr>
          <w:lang w:val="en-GB"/>
        </w:rPr>
        <w:t xml:space="preserve"> cohorts of students attending their second year </w:t>
      </w:r>
      <w:r w:rsidR="0068459B" w:rsidRPr="00B56453">
        <w:rPr>
          <w:lang w:val="en-GB"/>
        </w:rPr>
        <w:t xml:space="preserve">of medical school </w:t>
      </w:r>
      <w:r w:rsidRPr="00B56453">
        <w:rPr>
          <w:lang w:val="en-GB"/>
        </w:rPr>
        <w:t xml:space="preserve">were invited to participate in </w:t>
      </w:r>
      <w:r w:rsidR="0068459B" w:rsidRPr="00B56453">
        <w:rPr>
          <w:lang w:val="en-GB"/>
        </w:rPr>
        <w:t>this part of the</w:t>
      </w:r>
      <w:r w:rsidRPr="00B56453">
        <w:rPr>
          <w:lang w:val="en-GB"/>
        </w:rPr>
        <w:t xml:space="preserve"> study. Questionnaires were administered by the research team during regular teaching sessions. </w:t>
      </w:r>
      <w:r w:rsidR="0055590E" w:rsidRPr="00B56453">
        <w:rPr>
          <w:lang w:val="en-GB"/>
        </w:rPr>
        <w:t>As in the procedures for Chapter B3, t</w:t>
      </w:r>
      <w:r w:rsidRPr="00B56453">
        <w:rPr>
          <w:lang w:val="en-GB"/>
        </w:rPr>
        <w:t>he SSRQ</w:t>
      </w:r>
      <w:r w:rsidR="0068459B" w:rsidRPr="00B56453">
        <w:rPr>
          <w:lang w:val="en-GB"/>
        </w:rPr>
        <w:t xml:space="preserve"> was issue</w:t>
      </w:r>
      <w:r w:rsidR="0055590E" w:rsidRPr="00B56453">
        <w:rPr>
          <w:lang w:val="en-GB"/>
        </w:rPr>
        <w:t>d</w:t>
      </w:r>
      <w:r w:rsidRPr="00B56453">
        <w:rPr>
          <w:lang w:val="en-GB"/>
        </w:rPr>
        <w:t xml:space="preserve"> to learners with clear instructions to answer the questions whilst recalling specific academic learning experiences </w:t>
      </w:r>
      <w:r w:rsidR="00EF281A" w:rsidRPr="007638B6">
        <w:rPr>
          <w:lang w:val="en-GB"/>
        </w:rPr>
        <w:fldChar w:fldCharType="begin"/>
      </w:r>
      <w:r w:rsidR="008B61BE" w:rsidRPr="00B56453">
        <w:rPr>
          <w:lang w:val="en-GB"/>
        </w:rPr>
        <w:instrText xml:space="preserve"> ADDIN EN.CITE &lt;EndNote&gt;&lt;Cite&gt;&lt;Author&gt;Gavora&lt;/Author&gt;&lt;Year&gt;2015&lt;/Year&gt;&lt;RecNum&gt;88&lt;/RecNum&gt;&lt;DisplayText&gt;(Gavora et al. 2015)&lt;/DisplayText&gt;&lt;record&gt;&lt;rec-number&gt;88&lt;/rec-number&gt;&lt;foreign-keys&gt;&lt;key app="EN" db-id="xa2r2ewea92trkef5dt5arvbzafvpv2za5ft" timestamp="1442161764"&gt;88&lt;/key&gt;&lt;/foreign-keys&gt;&lt;ref-type name="Journal Article"&gt;17&lt;/ref-type&gt;&lt;contributors&gt;&lt;authors&gt;&lt;author&gt;Gavora, Peter&lt;/author&gt;&lt;author&gt;Jakešová, Jitka&lt;/author&gt;&lt;author&gt;Kalenda, Jan&lt;/author&gt;&lt;/authors&gt;&lt;/contributors&gt;&lt;titles&gt;&lt;title&gt;The Czech Validation of the Self-regulation Questionnaire&lt;/title&gt;&lt;secondary-title&gt;Procedia-Social and Behavioral Sciences&lt;/secondary-title&gt;&lt;/titles&gt;&lt;periodical&gt;&lt;full-title&gt;Procedia-Social and Behavioral Sciences&lt;/full-title&gt;&lt;/periodical&gt;&lt;pages&gt;222-230&lt;/pages&gt;&lt;volume&gt;171&lt;/volume&gt;&lt;dates&gt;&lt;year&gt;2015&lt;/year&gt;&lt;/dates&gt;&lt;publisher&gt;Elsevier&lt;/publisher&gt;&lt;urls&gt;&lt;/urls&gt;&lt;/record&gt;&lt;/Cite&gt;&lt;/EndNote&gt;</w:instrText>
      </w:r>
      <w:r w:rsidR="00EF281A" w:rsidRPr="00B27F0B">
        <w:rPr>
          <w:lang w:val="en-GB"/>
        </w:rPr>
        <w:fldChar w:fldCharType="separate"/>
      </w:r>
      <w:r w:rsidR="004E5A78" w:rsidRPr="00B56453">
        <w:rPr>
          <w:noProof/>
          <w:lang w:val="en-GB"/>
        </w:rPr>
        <w:t>(</w:t>
      </w:r>
      <w:hyperlink w:anchor="_ENREF_158" w:tooltip="Gavora, 2015 #88" w:history="1">
        <w:r w:rsidR="0094469E" w:rsidRPr="00B56453">
          <w:rPr>
            <w:noProof/>
            <w:lang w:val="en-GB"/>
          </w:rPr>
          <w:t>Gavora et al. 2015</w:t>
        </w:r>
      </w:hyperlink>
      <w:r w:rsidR="004E5A78" w:rsidRPr="00B56453">
        <w:rPr>
          <w:noProof/>
          <w:lang w:val="en-GB"/>
        </w:rPr>
        <w:t>)</w:t>
      </w:r>
      <w:r w:rsidR="00EF281A" w:rsidRPr="007638B6">
        <w:rPr>
          <w:lang w:val="en-GB"/>
        </w:rPr>
        <w:fldChar w:fldCharType="end"/>
      </w:r>
      <w:r w:rsidRPr="00B56453">
        <w:rPr>
          <w:lang w:val="en-GB"/>
        </w:rPr>
        <w:t>.</w:t>
      </w:r>
      <w:r w:rsidR="00026049" w:rsidRPr="00B56453">
        <w:rPr>
          <w:lang w:val="en-GB"/>
        </w:rPr>
        <w:t xml:space="preserve"> The </w:t>
      </w:r>
      <w:r w:rsidR="0055590E" w:rsidRPr="00B56453">
        <w:rPr>
          <w:lang w:val="en-GB"/>
        </w:rPr>
        <w:t xml:space="preserve">additional </w:t>
      </w:r>
      <w:r w:rsidR="00026049" w:rsidRPr="00B56453">
        <w:rPr>
          <w:lang w:val="en-GB"/>
        </w:rPr>
        <w:t>recruitment materials, information sheet</w:t>
      </w:r>
      <w:r w:rsidR="0055590E" w:rsidRPr="00B56453">
        <w:rPr>
          <w:lang w:val="en-GB"/>
        </w:rPr>
        <w:t>, and consent form</w:t>
      </w:r>
      <w:r w:rsidR="00026049" w:rsidRPr="00B56453">
        <w:rPr>
          <w:lang w:val="en-GB"/>
        </w:rPr>
        <w:t xml:space="preserve"> </w:t>
      </w:r>
      <w:r w:rsidR="0055590E" w:rsidRPr="00B56453">
        <w:rPr>
          <w:lang w:val="en-GB"/>
        </w:rPr>
        <w:t xml:space="preserve">for the </w:t>
      </w:r>
      <w:r w:rsidR="003F1A1C" w:rsidRPr="00B56453">
        <w:rPr>
          <w:lang w:val="en-GB"/>
        </w:rPr>
        <w:t>consecutive</w:t>
      </w:r>
      <w:r w:rsidR="0055590E" w:rsidRPr="00B56453">
        <w:rPr>
          <w:lang w:val="en-GB"/>
        </w:rPr>
        <w:t xml:space="preserve"> cohort </w:t>
      </w:r>
      <w:r w:rsidR="00026049" w:rsidRPr="00B56453">
        <w:rPr>
          <w:lang w:val="en-GB"/>
        </w:rPr>
        <w:t>are included in Appendix 1</w:t>
      </w:r>
      <w:r w:rsidR="00B76E6D" w:rsidRPr="00B56453">
        <w:rPr>
          <w:lang w:val="en-GB"/>
        </w:rPr>
        <w:t>6</w:t>
      </w:r>
      <w:r w:rsidR="00026049" w:rsidRPr="00B56453">
        <w:rPr>
          <w:lang w:val="en-GB"/>
        </w:rPr>
        <w:t>.</w:t>
      </w:r>
      <w:r w:rsidR="0055590E" w:rsidRPr="00B56453">
        <w:rPr>
          <w:lang w:val="en-GB"/>
        </w:rPr>
        <w:t xml:space="preserve"> </w:t>
      </w:r>
    </w:p>
    <w:p w14:paraId="089180D0" w14:textId="77777777" w:rsidR="00D20134" w:rsidRPr="00B56453" w:rsidRDefault="00D20134" w:rsidP="00026049">
      <w:pPr>
        <w:pStyle w:val="Normal1"/>
        <w:rPr>
          <w:lang w:val="en-GB"/>
        </w:rPr>
      </w:pPr>
    </w:p>
    <w:p w14:paraId="603FABD5" w14:textId="56B52322" w:rsidR="0068459B" w:rsidRPr="00B56453" w:rsidRDefault="00FA111F" w:rsidP="00BA4521">
      <w:pPr>
        <w:pStyle w:val="Heading3"/>
      </w:pPr>
      <w:bookmarkStart w:id="362" w:name="_Toc500319410"/>
      <w:r w:rsidRPr="00B56453">
        <w:t>C1.</w:t>
      </w:r>
      <w:r w:rsidR="00721871" w:rsidRPr="00B56453">
        <w:t>3</w:t>
      </w:r>
      <w:r w:rsidRPr="00B56453">
        <w:t xml:space="preserve">.3 </w:t>
      </w:r>
      <w:r w:rsidR="0060631D" w:rsidRPr="00B56453">
        <w:t>Statistical Analyses</w:t>
      </w:r>
      <w:bookmarkEnd w:id="362"/>
    </w:p>
    <w:p w14:paraId="49AD54AD" w14:textId="77777777" w:rsidR="0068459B" w:rsidRPr="00B56453" w:rsidRDefault="0068459B" w:rsidP="00026049">
      <w:pPr>
        <w:pStyle w:val="Normal1"/>
        <w:rPr>
          <w:shd w:val="clear" w:color="auto" w:fill="FCFCFC"/>
          <w:lang w:val="en-GB"/>
        </w:rPr>
      </w:pPr>
    </w:p>
    <w:p w14:paraId="35EAC1EC" w14:textId="2477238B" w:rsidR="0060631D" w:rsidRPr="00B56453" w:rsidRDefault="0068459B" w:rsidP="00782F33">
      <w:pPr>
        <w:pStyle w:val="Normal1"/>
        <w:rPr>
          <w:lang w:val="en-GB"/>
        </w:rPr>
      </w:pPr>
      <w:r w:rsidRPr="00B56453">
        <w:rPr>
          <w:lang w:val="en-GB"/>
        </w:rPr>
        <w:t>T</w:t>
      </w:r>
      <w:r w:rsidR="0060631D" w:rsidRPr="00B56453">
        <w:rPr>
          <w:lang w:val="en-GB"/>
        </w:rPr>
        <w:t xml:space="preserve">he factor structure, internal consistency, and construct validity of the SSRQ </w:t>
      </w:r>
      <w:r w:rsidR="0055590E" w:rsidRPr="00B56453">
        <w:rPr>
          <w:lang w:val="en-GB"/>
        </w:rPr>
        <w:t>were</w:t>
      </w:r>
      <w:r w:rsidRPr="00B56453">
        <w:rPr>
          <w:lang w:val="en-GB"/>
        </w:rPr>
        <w:t xml:space="preserve"> explored </w:t>
      </w:r>
      <w:r w:rsidR="0060631D" w:rsidRPr="00B56453">
        <w:rPr>
          <w:lang w:val="en-GB"/>
        </w:rPr>
        <w:t xml:space="preserve">by means of Exploratory Factor Analysis (EFA). Particularly, Principal Component Analysis (PCA) with Promax </w:t>
      </w:r>
      <w:r w:rsidR="00D531CD" w:rsidRPr="00B56453">
        <w:rPr>
          <w:lang w:val="en-GB"/>
        </w:rPr>
        <w:t>rotation was</w:t>
      </w:r>
      <w:r w:rsidRPr="00B56453">
        <w:rPr>
          <w:lang w:val="en-GB"/>
        </w:rPr>
        <w:t xml:space="preserve"> used</w:t>
      </w:r>
      <w:r w:rsidR="0060631D" w:rsidRPr="00B56453">
        <w:rPr>
          <w:lang w:val="en-GB"/>
        </w:rPr>
        <w:t xml:space="preserve">, starting from the hypothesis that the underlying factors may be correlated </w:t>
      </w:r>
      <w:r w:rsidR="0060631D" w:rsidRPr="007638B6">
        <w:rPr>
          <w:lang w:val="en-GB"/>
        </w:rPr>
        <w:fldChar w:fldCharType="begin"/>
      </w:r>
      <w:r w:rsidR="008B61BE" w:rsidRPr="00B56453">
        <w:rPr>
          <w:lang w:val="en-GB"/>
        </w:rPr>
        <w:instrText xml:space="preserve"> ADDIN EN.CITE &lt;EndNote&gt;&lt;Cite&gt;&lt;Author&gt;Carey&lt;/Author&gt;&lt;Year&gt;2004&lt;/Year&gt;&lt;RecNum&gt;839&lt;/RecNum&gt;&lt;DisplayText&gt;(Carey et al. 2004; Gavora et al. 2015)&lt;/DisplayText&gt;&lt;record&gt;&lt;rec-number&gt;839&lt;/rec-number&gt;&lt;foreign-keys&gt;&lt;key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Cite&gt;&lt;Author&gt;Gavora&lt;/Author&gt;&lt;Year&gt;2015&lt;/Year&gt;&lt;RecNum&gt;88&lt;/RecNum&gt;&lt;record&gt;&lt;rec-number&gt;88&lt;/rec-number&gt;&lt;foreign-keys&gt;&lt;key app="EN" db-id="xa2r2ewea92trkef5dt5arvbzafvpv2za5ft" timestamp="1442161764"&gt;88&lt;/key&gt;&lt;/foreign-keys&gt;&lt;ref-type name="Journal Article"&gt;17&lt;/ref-type&gt;&lt;contributors&gt;&lt;authors&gt;&lt;author&gt;Gavora, Peter&lt;/author&gt;&lt;author&gt;Jakešová, Jitka&lt;/author&gt;&lt;author&gt;Kalenda, Jan&lt;/author&gt;&lt;/authors&gt;&lt;/contributors&gt;&lt;titles&gt;&lt;title&gt;The Czech Validation of the Self-regulation Questionnaire&lt;/title&gt;&lt;secondary-title&gt;Procedia-Social and Behavioral Sciences&lt;/secondary-title&gt;&lt;/titles&gt;&lt;periodical&gt;&lt;full-title&gt;Procedia-Social and Behavioral Sciences&lt;/full-title&gt;&lt;/periodical&gt;&lt;pages&gt;222-230&lt;/pages&gt;&lt;volume&gt;171&lt;/volume&gt;&lt;dates&gt;&lt;year&gt;2015&lt;/year&gt;&lt;/dates&gt;&lt;publisher&gt;Elsevier&lt;/publisher&gt;&lt;urls&gt;&lt;/urls&gt;&lt;/record&gt;&lt;/Cite&gt;&lt;/EndNote&gt;</w:instrText>
      </w:r>
      <w:r w:rsidR="0060631D" w:rsidRPr="00B27F0B">
        <w:rPr>
          <w:lang w:val="en-GB"/>
        </w:rPr>
        <w:fldChar w:fldCharType="separate"/>
      </w:r>
      <w:r w:rsidR="004E5A78" w:rsidRPr="00B56453">
        <w:rPr>
          <w:noProof/>
          <w:lang w:val="en-GB"/>
        </w:rPr>
        <w:t>(</w:t>
      </w:r>
      <w:hyperlink w:anchor="_ENREF_70" w:tooltip="Carey, 2004 #839" w:history="1">
        <w:r w:rsidR="0094469E" w:rsidRPr="00B56453">
          <w:rPr>
            <w:noProof/>
            <w:lang w:val="en-GB"/>
          </w:rPr>
          <w:t>Carey et al. 2004</w:t>
        </w:r>
      </w:hyperlink>
      <w:r w:rsidR="004E5A78" w:rsidRPr="00B56453">
        <w:rPr>
          <w:noProof/>
          <w:lang w:val="en-GB"/>
        </w:rPr>
        <w:t xml:space="preserve">; </w:t>
      </w:r>
      <w:hyperlink w:anchor="_ENREF_158" w:tooltip="Gavora, 2015 #88" w:history="1">
        <w:r w:rsidR="0094469E" w:rsidRPr="00B56453">
          <w:rPr>
            <w:noProof/>
            <w:lang w:val="en-GB"/>
          </w:rPr>
          <w:t>Gavora et al. 2015</w:t>
        </w:r>
      </w:hyperlink>
      <w:r w:rsidR="004E5A78" w:rsidRPr="00B56453">
        <w:rPr>
          <w:noProof/>
          <w:lang w:val="en-GB"/>
        </w:rPr>
        <w:t>)</w:t>
      </w:r>
      <w:r w:rsidR="0060631D" w:rsidRPr="007638B6">
        <w:rPr>
          <w:lang w:val="en-GB"/>
        </w:rPr>
        <w:fldChar w:fldCharType="end"/>
      </w:r>
      <w:r w:rsidR="0060631D" w:rsidRPr="00B56453">
        <w:rPr>
          <w:lang w:val="en-GB"/>
        </w:rPr>
        <w:t xml:space="preserve">. The assumptions of factorability of the data were tested </w:t>
      </w:r>
      <w:r w:rsidR="00782F33" w:rsidRPr="00B56453">
        <w:rPr>
          <w:lang w:val="en-GB"/>
        </w:rPr>
        <w:t xml:space="preserve">using </w:t>
      </w:r>
      <w:r w:rsidR="0060631D" w:rsidRPr="00B56453">
        <w:rPr>
          <w:lang w:val="en-GB"/>
        </w:rPr>
        <w:t xml:space="preserve">the Kaiser–Meyer–Olkin index (KMO) of sampling adequacy </w:t>
      </w:r>
      <w:r w:rsidR="00EF281A" w:rsidRPr="007638B6">
        <w:rPr>
          <w:lang w:val="en-GB"/>
        </w:rPr>
        <w:fldChar w:fldCharType="begin"/>
      </w:r>
      <w:r w:rsidR="008B61BE" w:rsidRPr="00B56453">
        <w:rPr>
          <w:lang w:val="en-GB"/>
        </w:rPr>
        <w:instrText xml:space="preserve"> ADDIN EN.CITE &lt;EndNote&gt;&lt;Cite&gt;&lt;Author&gt;Kaiser&lt;/Author&gt;&lt;Year&gt;1974&lt;/Year&gt;&lt;RecNum&gt;969&lt;/RecNum&gt;&lt;DisplayText&gt;(Kaiser 1974)&lt;/DisplayText&gt;&lt;record&gt;&lt;rec-number&gt;969&lt;/rec-number&gt;&lt;foreign-keys&gt;&lt;key app="EN" db-id="xa2r2ewea92trkef5dt5arvbzafvpv2za5ft" timestamp="1501167124"&gt;969&lt;/key&gt;&lt;/foreign-keys&gt;&lt;ref-type name="Journal Article"&gt;17&lt;/ref-type&gt;&lt;contributors&gt;&lt;authors&gt;&lt;author&gt;Kaiser, Henry F&lt;/author&gt;&lt;/authors&gt;&lt;/contributors&gt;&lt;titles&gt;&lt;title&gt;An index of factorial simplicity&lt;/title&gt;&lt;secondary-title&gt;Psychometrika&lt;/secondary-title&gt;&lt;/titles&gt;&lt;periodical&gt;&lt;full-title&gt;Psychometrika&lt;/full-title&gt;&lt;/periodical&gt;&lt;pages&gt;31-36&lt;/pages&gt;&lt;volume&gt;39&lt;/volume&gt;&lt;number&gt;1&lt;/number&gt;&lt;dates&gt;&lt;year&gt;1974&lt;/year&gt;&lt;/dates&gt;&lt;isbn&gt;0033-3123&lt;/isbn&gt;&lt;urls&gt;&lt;/urls&gt;&lt;/record&gt;&lt;/Cite&gt;&lt;/EndNote&gt;</w:instrText>
      </w:r>
      <w:r w:rsidR="00EF281A" w:rsidRPr="00B27F0B">
        <w:rPr>
          <w:lang w:val="en-GB"/>
        </w:rPr>
        <w:fldChar w:fldCharType="separate"/>
      </w:r>
      <w:r w:rsidR="004E5A78" w:rsidRPr="00B56453">
        <w:rPr>
          <w:noProof/>
          <w:lang w:val="en-GB"/>
        </w:rPr>
        <w:t>(</w:t>
      </w:r>
      <w:hyperlink w:anchor="_ENREF_211" w:tooltip="Kaiser, 1974 #969" w:history="1">
        <w:r w:rsidR="0094469E" w:rsidRPr="00B56453">
          <w:rPr>
            <w:noProof/>
            <w:lang w:val="en-GB"/>
          </w:rPr>
          <w:t>Kaiser 1974</w:t>
        </w:r>
      </w:hyperlink>
      <w:r w:rsidR="004E5A78" w:rsidRPr="00B56453">
        <w:rPr>
          <w:noProof/>
          <w:lang w:val="en-GB"/>
        </w:rPr>
        <w:t>)</w:t>
      </w:r>
      <w:r w:rsidR="00EF281A" w:rsidRPr="007638B6">
        <w:rPr>
          <w:lang w:val="en-GB"/>
        </w:rPr>
        <w:fldChar w:fldCharType="end"/>
      </w:r>
      <w:r w:rsidR="0060631D" w:rsidRPr="00B56453">
        <w:rPr>
          <w:lang w:val="en-GB"/>
        </w:rPr>
        <w:t xml:space="preserve">, and </w:t>
      </w:r>
      <w:hyperlink w:anchor="_ENREF_24" w:tooltip="Bartlett, 1937 #970" w:history="1">
        <w:r w:rsidR="0094469E" w:rsidRPr="00B27F0B">
          <w:rPr>
            <w:lang w:val="en-GB"/>
          </w:rPr>
          <w:fldChar w:fldCharType="begin"/>
        </w:r>
        <w:r w:rsidR="0094469E" w:rsidRPr="00B56453">
          <w:rPr>
            <w:lang w:val="en-GB"/>
          </w:rPr>
          <w:instrText xml:space="preserve"> ADDIN EN.CITE &lt;EndNote&gt;&lt;Cite AuthorYear="1"&gt;&lt;Author&gt;Bartlett&lt;/Author&gt;&lt;Year&gt;1937&lt;/Year&gt;&lt;RecNum&gt;970&lt;/RecNum&gt;&lt;DisplayText&gt;Bartlett (1937)&lt;/DisplayText&gt;&lt;record&gt;&lt;rec-number&gt;970&lt;/rec-number&gt;&lt;foreign-keys&gt;&lt;key app="EN" db-id="xa2r2ewea92trkef5dt5arvbzafvpv2za5ft" timestamp="1501167124"&gt;970&lt;/key&gt;&lt;/foreign-keys&gt;&lt;ref-type name="Journal Article"&gt;17&lt;/ref-type&gt;&lt;contributors&gt;&lt;authors&gt;&lt;author&gt;Bartlett, Maurice S&lt;/author&gt;&lt;/authors&gt;&lt;/contributors&gt;&lt;titles&gt;&lt;title&gt;Properties of sufficiency and statistical tests&lt;/title&gt;&lt;secondary-title&gt;Proceedings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Sciences&lt;/full-title&gt;&lt;/periodical&gt;&lt;pages&gt;268-282&lt;/pages&gt;&lt;dates&gt;&lt;year&gt;1937&lt;/year&gt;&lt;/dates&gt;&lt;isbn&gt;0080-4630&lt;/isbn&gt;&lt;urls&gt;&lt;/urls&gt;&lt;/record&gt;&lt;/Cite&gt;&lt;/EndNote&gt;</w:instrText>
        </w:r>
        <w:r w:rsidR="0094469E" w:rsidRPr="00B27F0B">
          <w:rPr>
            <w:lang w:val="en-GB"/>
          </w:rPr>
          <w:fldChar w:fldCharType="separate"/>
        </w:r>
        <w:r w:rsidR="0094469E" w:rsidRPr="00B56453">
          <w:rPr>
            <w:noProof/>
            <w:lang w:val="en-GB"/>
          </w:rPr>
          <w:t>Bartlett (1937)</w:t>
        </w:r>
        <w:r w:rsidR="0094469E" w:rsidRPr="00B27F0B">
          <w:rPr>
            <w:lang w:val="en-GB"/>
          </w:rPr>
          <w:fldChar w:fldCharType="end"/>
        </w:r>
      </w:hyperlink>
      <w:r w:rsidR="0060631D" w:rsidRPr="00B56453">
        <w:rPr>
          <w:lang w:val="en-GB"/>
        </w:rPr>
        <w:t xml:space="preserve"> test of sphericity. Internal consistency was measured </w:t>
      </w:r>
      <w:r w:rsidR="00184B8F" w:rsidRPr="00B56453">
        <w:rPr>
          <w:lang w:val="en-GB"/>
        </w:rPr>
        <w:t>using</w:t>
      </w:r>
      <w:r w:rsidR="0060631D" w:rsidRPr="00B56453">
        <w:rPr>
          <w:lang w:val="en-GB"/>
        </w:rPr>
        <w:t xml:space="preserve"> Cronbach’s alpha. Gender differences in SSRQ scores were tested </w:t>
      </w:r>
      <w:r w:rsidR="00782F33" w:rsidRPr="00B56453">
        <w:rPr>
          <w:lang w:val="en-GB"/>
        </w:rPr>
        <w:t>using an</w:t>
      </w:r>
      <w:r w:rsidR="0060631D" w:rsidRPr="00B56453">
        <w:rPr>
          <w:lang w:val="en-GB"/>
        </w:rPr>
        <w:t xml:space="preserve"> independent sample t-test, whilst the relations between age and SSRQ scores were assessed through linear regression analysis. All analyses were performed using IBM SPSS Statistics (version 22.0).</w:t>
      </w:r>
    </w:p>
    <w:p w14:paraId="5EAEE10C" w14:textId="77777777" w:rsidR="00782F33" w:rsidRPr="00B56453" w:rsidRDefault="00782F33" w:rsidP="00782F33">
      <w:pPr>
        <w:pStyle w:val="Normal1"/>
        <w:rPr>
          <w:lang w:val="en-GB"/>
        </w:rPr>
      </w:pPr>
    </w:p>
    <w:p w14:paraId="199654CE" w14:textId="2DC37A79" w:rsidR="0068459B" w:rsidRPr="00B56453" w:rsidRDefault="00FA111F" w:rsidP="00B1638D">
      <w:pPr>
        <w:pStyle w:val="Heading2"/>
        <w:rPr>
          <w:lang w:val="en-GB"/>
        </w:rPr>
      </w:pPr>
      <w:bookmarkStart w:id="363" w:name="_Toc500319411"/>
      <w:r w:rsidRPr="00B56453">
        <w:rPr>
          <w:lang w:val="en-GB"/>
        </w:rPr>
        <w:t>C1.</w:t>
      </w:r>
      <w:r w:rsidR="00721871" w:rsidRPr="00B56453">
        <w:rPr>
          <w:lang w:val="en-GB"/>
        </w:rPr>
        <w:t>4</w:t>
      </w:r>
      <w:r w:rsidRPr="00B56453">
        <w:rPr>
          <w:lang w:val="en-GB"/>
        </w:rPr>
        <w:t xml:space="preserve"> Results</w:t>
      </w:r>
      <w:bookmarkEnd w:id="363"/>
    </w:p>
    <w:p w14:paraId="67EE2007" w14:textId="77777777" w:rsidR="00FA111F" w:rsidRPr="00B56453" w:rsidRDefault="00FA111F" w:rsidP="00026049">
      <w:pPr>
        <w:pStyle w:val="Normal1"/>
        <w:rPr>
          <w:lang w:val="en-GB"/>
        </w:rPr>
      </w:pPr>
    </w:p>
    <w:p w14:paraId="2A900B1D" w14:textId="200791A4" w:rsidR="00782F33" w:rsidRPr="00B56453" w:rsidRDefault="00782F33" w:rsidP="00782F33">
      <w:pPr>
        <w:pStyle w:val="Normal1"/>
        <w:rPr>
          <w:lang w:val="en-GB"/>
        </w:rPr>
      </w:pPr>
      <w:r w:rsidRPr="00B56453">
        <w:rPr>
          <w:lang w:val="en-GB"/>
        </w:rPr>
        <w:t>Students who fully completed the procedure were 345. Among these, 168 were from the first cohort composed of total 223 students registered in the academic year 2016-17 (response rate 75.34%), while 177 were from the second cohort, composed of 207 students registered in the academic year 2015-16 (response rate 85.51%). There were no differences in the delivery of the curriculum, teaching, and assessment across the two academic years. No differences were found in gender, age, and fee status between students enrolled in the two academic years (Table C1.1).</w:t>
      </w:r>
    </w:p>
    <w:p w14:paraId="730714F9" w14:textId="77777777" w:rsidR="00782F33" w:rsidRPr="00B56453" w:rsidRDefault="00782F33" w:rsidP="00782F33">
      <w:pPr>
        <w:pStyle w:val="Normal1"/>
        <w:rPr>
          <w:lang w:val="en-GB"/>
        </w:rPr>
      </w:pPr>
    </w:p>
    <w:p w14:paraId="71BC928F" w14:textId="77777777" w:rsidR="00782F33" w:rsidRPr="00B56453" w:rsidRDefault="00782F33" w:rsidP="00782F33">
      <w:pPr>
        <w:pStyle w:val="Tablelist"/>
        <w:rPr>
          <w:shd w:val="clear" w:color="auto" w:fill="FCFCFC"/>
          <w:lang w:val="en-GB"/>
        </w:rPr>
      </w:pPr>
      <w:bookmarkStart w:id="364" w:name="_Toc487454837"/>
      <w:bookmarkStart w:id="365" w:name="_Toc487456795"/>
      <w:bookmarkStart w:id="366" w:name="_Toc500319514"/>
      <w:r w:rsidRPr="00B56453">
        <w:rPr>
          <w:lang w:val="en-GB"/>
        </w:rPr>
        <w:t>Table C1.</w:t>
      </w:r>
      <w:r w:rsidRPr="007638B6">
        <w:rPr>
          <w:lang w:val="en-GB"/>
        </w:rPr>
        <w:fldChar w:fldCharType="begin"/>
      </w:r>
      <w:r w:rsidRPr="00B56453">
        <w:rPr>
          <w:lang w:val="en-GB"/>
        </w:rPr>
        <w:instrText xml:space="preserve"> SEQ Table_C1. \* ARABIC </w:instrText>
      </w:r>
      <w:r w:rsidRPr="00B27F0B">
        <w:rPr>
          <w:lang w:val="en-GB"/>
        </w:rPr>
        <w:fldChar w:fldCharType="separate"/>
      </w:r>
      <w:r w:rsidRPr="00B56453">
        <w:rPr>
          <w:noProof/>
          <w:lang w:val="en-GB"/>
        </w:rPr>
        <w:t>1</w:t>
      </w:r>
      <w:r w:rsidRPr="007638B6">
        <w:rPr>
          <w:lang w:val="en-GB"/>
        </w:rPr>
        <w:fldChar w:fldCharType="end"/>
      </w:r>
      <w:r w:rsidRPr="00B56453">
        <w:rPr>
          <w:lang w:val="en-GB"/>
        </w:rPr>
        <w:t xml:space="preserve"> Socio-demographic characteristics of students from two consecutive years.</w:t>
      </w:r>
      <w:bookmarkEnd w:id="364"/>
      <w:bookmarkEnd w:id="365"/>
      <w:bookmarkEnd w:id="366"/>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1560"/>
        <w:gridCol w:w="1134"/>
        <w:gridCol w:w="1701"/>
        <w:gridCol w:w="1701"/>
        <w:gridCol w:w="1275"/>
        <w:gridCol w:w="851"/>
      </w:tblGrid>
      <w:tr w:rsidR="00782F33" w:rsidRPr="00B56453" w14:paraId="54CF2572" w14:textId="77777777" w:rsidTr="00BC343F">
        <w:trPr>
          <w:cantSplit/>
        </w:trPr>
        <w:tc>
          <w:tcPr>
            <w:tcW w:w="2694" w:type="dxa"/>
            <w:gridSpan w:val="2"/>
            <w:tcBorders>
              <w:top w:val="single" w:sz="8" w:space="0" w:color="000000"/>
              <w:bottom w:val="single" w:sz="8" w:space="0" w:color="000000"/>
            </w:tcBorders>
            <w:shd w:val="clear" w:color="auto" w:fill="auto"/>
          </w:tcPr>
          <w:p w14:paraId="6A4F6CC3" w14:textId="77777777" w:rsidR="00782F33" w:rsidRPr="00B56453" w:rsidRDefault="00782F33" w:rsidP="00BC343F">
            <w:pPr>
              <w:pStyle w:val="Normal1"/>
              <w:rPr>
                <w:rFonts w:cs="Times New Roman"/>
                <w:lang w:val="en-GB"/>
              </w:rPr>
            </w:pPr>
            <w:r w:rsidRPr="00B56453">
              <w:rPr>
                <w:rFonts w:cs="Times New Roman"/>
                <w:lang w:val="en-GB"/>
              </w:rPr>
              <w:t>Characteristics</w:t>
            </w:r>
          </w:p>
        </w:tc>
        <w:tc>
          <w:tcPr>
            <w:tcW w:w="1701" w:type="dxa"/>
            <w:tcBorders>
              <w:top w:val="single" w:sz="8" w:space="0" w:color="000000"/>
              <w:bottom w:val="single" w:sz="8" w:space="0" w:color="000000"/>
            </w:tcBorders>
            <w:shd w:val="clear" w:color="auto" w:fill="auto"/>
          </w:tcPr>
          <w:p w14:paraId="040C5594"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Academic Year 2015-16</w:t>
            </w:r>
          </w:p>
          <w:p w14:paraId="683BAEFC"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(N = 168)</w:t>
            </w:r>
          </w:p>
        </w:tc>
        <w:tc>
          <w:tcPr>
            <w:tcW w:w="1701" w:type="dxa"/>
            <w:tcBorders>
              <w:top w:val="single" w:sz="8" w:space="0" w:color="000000"/>
              <w:bottom w:val="single" w:sz="8" w:space="0" w:color="000000"/>
            </w:tcBorders>
            <w:shd w:val="clear" w:color="auto" w:fill="auto"/>
          </w:tcPr>
          <w:p w14:paraId="54B4D76E"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Academic Year 2016-17</w:t>
            </w:r>
          </w:p>
          <w:p w14:paraId="38B987A7"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(N = 177)</w:t>
            </w:r>
          </w:p>
        </w:tc>
        <w:tc>
          <w:tcPr>
            <w:tcW w:w="1275" w:type="dxa"/>
            <w:tcBorders>
              <w:top w:val="single" w:sz="8" w:space="0" w:color="000000"/>
              <w:bottom w:val="single" w:sz="8" w:space="0" w:color="000000"/>
            </w:tcBorders>
            <w:shd w:val="clear" w:color="auto" w:fill="auto"/>
          </w:tcPr>
          <w:p w14:paraId="4095F2B3"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Statistics</w:t>
            </w:r>
          </w:p>
        </w:tc>
        <w:tc>
          <w:tcPr>
            <w:tcW w:w="851" w:type="dxa"/>
            <w:tcBorders>
              <w:top w:val="single" w:sz="8" w:space="0" w:color="000000"/>
              <w:bottom w:val="single" w:sz="8" w:space="0" w:color="000000"/>
            </w:tcBorders>
            <w:shd w:val="clear" w:color="auto" w:fill="auto"/>
          </w:tcPr>
          <w:p w14:paraId="538C9F7B"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p</w:t>
            </w:r>
          </w:p>
        </w:tc>
      </w:tr>
      <w:tr w:rsidR="00782F33" w:rsidRPr="00B56453" w14:paraId="4DF09AAF" w14:textId="77777777" w:rsidTr="00BC343F">
        <w:trPr>
          <w:cantSplit/>
        </w:trPr>
        <w:tc>
          <w:tcPr>
            <w:tcW w:w="1560" w:type="dxa"/>
            <w:shd w:val="clear" w:color="auto" w:fill="auto"/>
          </w:tcPr>
          <w:p w14:paraId="29DC789B" w14:textId="77777777" w:rsidR="00782F33" w:rsidRPr="00B56453" w:rsidRDefault="00782F33" w:rsidP="00BC343F">
            <w:pPr>
              <w:pStyle w:val="Predefinito"/>
              <w:autoSpaceDE w:val="0"/>
              <w:rPr>
                <w:rFonts w:cs="Times New Roman"/>
                <w:szCs w:val="20"/>
                <w:lang w:val="en-GB"/>
              </w:rPr>
            </w:pPr>
            <w:r w:rsidRPr="00B56453">
              <w:rPr>
                <w:rFonts w:cs="Times New Roman"/>
                <w:szCs w:val="20"/>
                <w:lang w:val="en-GB"/>
              </w:rPr>
              <w:t>Gender (%)</w:t>
            </w:r>
          </w:p>
        </w:tc>
        <w:tc>
          <w:tcPr>
            <w:tcW w:w="1134" w:type="dxa"/>
            <w:shd w:val="clear" w:color="auto" w:fill="auto"/>
          </w:tcPr>
          <w:p w14:paraId="0A0BA542" w14:textId="77777777" w:rsidR="00782F33" w:rsidRPr="00B56453" w:rsidRDefault="00782F33" w:rsidP="00BC343F">
            <w:pPr>
              <w:pStyle w:val="Predefinito"/>
              <w:autoSpaceDE w:val="0"/>
              <w:snapToGrid w:val="0"/>
              <w:rPr>
                <w:rFonts w:cs="Times New Roman"/>
                <w:szCs w:val="20"/>
                <w:lang w:val="en-GB"/>
              </w:rPr>
            </w:pPr>
          </w:p>
        </w:tc>
        <w:tc>
          <w:tcPr>
            <w:tcW w:w="1701" w:type="dxa"/>
            <w:shd w:val="clear" w:color="auto" w:fill="auto"/>
          </w:tcPr>
          <w:p w14:paraId="7BCF8B5F"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 xml:space="preserve"> </w:t>
            </w:r>
          </w:p>
        </w:tc>
        <w:tc>
          <w:tcPr>
            <w:tcW w:w="1701" w:type="dxa"/>
            <w:shd w:val="clear" w:color="auto" w:fill="auto"/>
          </w:tcPr>
          <w:p w14:paraId="6422B6C4" w14:textId="77777777" w:rsidR="00782F33" w:rsidRPr="00B56453" w:rsidRDefault="00782F33" w:rsidP="00BC343F">
            <w:pPr>
              <w:pStyle w:val="Predefinito"/>
              <w:autoSpaceDE w:val="0"/>
              <w:jc w:val="center"/>
              <w:rPr>
                <w:rFonts w:eastAsia="AdvP4DF60E" w:cs="Times New Roman"/>
                <w:color w:val="000000"/>
                <w:szCs w:val="20"/>
                <w:lang w:val="en-GB"/>
              </w:rPr>
            </w:pPr>
            <w:r w:rsidRPr="00B56453">
              <w:rPr>
                <w:rFonts w:cs="Times New Roman"/>
                <w:szCs w:val="20"/>
                <w:lang w:val="en-GB"/>
              </w:rPr>
              <w:t xml:space="preserve"> </w:t>
            </w:r>
          </w:p>
        </w:tc>
        <w:tc>
          <w:tcPr>
            <w:tcW w:w="1275" w:type="dxa"/>
            <w:shd w:val="clear" w:color="auto" w:fill="auto"/>
          </w:tcPr>
          <w:p w14:paraId="22CA75C4" w14:textId="77777777" w:rsidR="00782F33" w:rsidRPr="00B56453" w:rsidRDefault="00782F33" w:rsidP="00BC343F">
            <w:pPr>
              <w:pStyle w:val="Predefinito"/>
              <w:autoSpaceDE w:val="0"/>
              <w:jc w:val="center"/>
              <w:rPr>
                <w:rFonts w:cs="Times New Roman"/>
                <w:szCs w:val="20"/>
                <w:lang w:val="en-GB"/>
              </w:rPr>
            </w:pPr>
            <w:r w:rsidRPr="00B56453">
              <w:rPr>
                <w:rFonts w:eastAsia="AdvP4DF60E" w:cs="Times New Roman"/>
                <w:szCs w:val="20"/>
                <w:lang w:val="en-GB"/>
              </w:rPr>
              <w:t>χ</w:t>
            </w:r>
            <w:r w:rsidRPr="00B56453">
              <w:rPr>
                <w:rFonts w:cs="Times New Roman"/>
                <w:szCs w:val="20"/>
                <w:vertAlign w:val="superscript"/>
                <w:lang w:val="en-GB"/>
              </w:rPr>
              <w:t>2</w:t>
            </w:r>
            <w:r w:rsidRPr="00B56453">
              <w:rPr>
                <w:rFonts w:cs="Times New Roman"/>
                <w:szCs w:val="20"/>
                <w:vertAlign w:val="subscript"/>
                <w:lang w:val="en-GB"/>
              </w:rPr>
              <w:t>(1)</w:t>
            </w:r>
            <w:r w:rsidRPr="00B56453">
              <w:rPr>
                <w:rFonts w:cs="Times New Roman"/>
                <w:szCs w:val="20"/>
                <w:lang w:val="en-GB"/>
              </w:rPr>
              <w:t xml:space="preserve"> = 0.13</w:t>
            </w:r>
            <w:r w:rsidRPr="00B56453">
              <w:rPr>
                <w:rFonts w:cs="Times New Roman"/>
                <w:szCs w:val="20"/>
                <w:vertAlign w:val="superscript"/>
                <w:lang w:val="en-GB"/>
              </w:rPr>
              <w:t>b</w:t>
            </w:r>
          </w:p>
        </w:tc>
        <w:tc>
          <w:tcPr>
            <w:tcW w:w="851" w:type="dxa"/>
            <w:shd w:val="clear" w:color="auto" w:fill="auto"/>
          </w:tcPr>
          <w:p w14:paraId="4C149DA5"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0.72</w:t>
            </w:r>
          </w:p>
        </w:tc>
      </w:tr>
      <w:tr w:rsidR="00782F33" w:rsidRPr="00B56453" w14:paraId="3557D7F7" w14:textId="77777777" w:rsidTr="00BC343F">
        <w:trPr>
          <w:cantSplit/>
        </w:trPr>
        <w:tc>
          <w:tcPr>
            <w:tcW w:w="1560" w:type="dxa"/>
            <w:shd w:val="clear" w:color="auto" w:fill="auto"/>
          </w:tcPr>
          <w:p w14:paraId="226AF9F4" w14:textId="77777777" w:rsidR="00782F33" w:rsidRPr="00B56453" w:rsidRDefault="00782F33" w:rsidP="00BC343F">
            <w:pPr>
              <w:pStyle w:val="Predefinito"/>
              <w:autoSpaceDE w:val="0"/>
              <w:snapToGrid w:val="0"/>
              <w:rPr>
                <w:rFonts w:cs="Times New Roman"/>
                <w:szCs w:val="20"/>
                <w:lang w:val="en-GB"/>
              </w:rPr>
            </w:pPr>
          </w:p>
        </w:tc>
        <w:tc>
          <w:tcPr>
            <w:tcW w:w="1134" w:type="dxa"/>
            <w:shd w:val="clear" w:color="auto" w:fill="auto"/>
          </w:tcPr>
          <w:p w14:paraId="7D03B8F7" w14:textId="77777777" w:rsidR="00782F33" w:rsidRPr="00B56453" w:rsidRDefault="00782F33" w:rsidP="00BC343F">
            <w:pPr>
              <w:pStyle w:val="Predefinito"/>
              <w:autoSpaceDE w:val="0"/>
              <w:snapToGrid w:val="0"/>
              <w:rPr>
                <w:rFonts w:cs="Times New Roman"/>
                <w:szCs w:val="20"/>
                <w:lang w:val="en-GB"/>
              </w:rPr>
            </w:pPr>
            <w:r w:rsidRPr="00B56453">
              <w:rPr>
                <w:rFonts w:cs="Times New Roman"/>
                <w:szCs w:val="20"/>
                <w:lang w:val="en-GB"/>
              </w:rPr>
              <w:t>Female</w:t>
            </w:r>
          </w:p>
        </w:tc>
        <w:tc>
          <w:tcPr>
            <w:tcW w:w="1701" w:type="dxa"/>
            <w:shd w:val="clear" w:color="auto" w:fill="auto"/>
          </w:tcPr>
          <w:p w14:paraId="12DBC5D5"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101 (60.1)</w:t>
            </w:r>
          </w:p>
        </w:tc>
        <w:tc>
          <w:tcPr>
            <w:tcW w:w="1701" w:type="dxa"/>
            <w:shd w:val="clear" w:color="auto" w:fill="auto"/>
          </w:tcPr>
          <w:p w14:paraId="144137A6"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102 (57.6)</w:t>
            </w:r>
          </w:p>
        </w:tc>
        <w:tc>
          <w:tcPr>
            <w:tcW w:w="1275" w:type="dxa"/>
            <w:shd w:val="clear" w:color="auto" w:fill="auto"/>
          </w:tcPr>
          <w:p w14:paraId="2500A8C8" w14:textId="77777777" w:rsidR="00782F33" w:rsidRPr="00B56453" w:rsidRDefault="00782F33" w:rsidP="00BC343F">
            <w:pPr>
              <w:pStyle w:val="Predefinito"/>
              <w:autoSpaceDE w:val="0"/>
              <w:snapToGrid w:val="0"/>
              <w:jc w:val="center"/>
              <w:rPr>
                <w:rFonts w:cs="Times New Roman"/>
                <w:szCs w:val="20"/>
                <w:lang w:val="en-GB"/>
              </w:rPr>
            </w:pPr>
          </w:p>
        </w:tc>
        <w:tc>
          <w:tcPr>
            <w:tcW w:w="851" w:type="dxa"/>
            <w:shd w:val="clear" w:color="auto" w:fill="auto"/>
          </w:tcPr>
          <w:p w14:paraId="2557D374" w14:textId="77777777" w:rsidR="00782F33" w:rsidRPr="00B56453" w:rsidRDefault="00782F33" w:rsidP="00BC343F">
            <w:pPr>
              <w:pStyle w:val="Predefinito"/>
              <w:autoSpaceDE w:val="0"/>
              <w:snapToGrid w:val="0"/>
              <w:jc w:val="center"/>
              <w:rPr>
                <w:rFonts w:cs="Times New Roman"/>
                <w:szCs w:val="20"/>
                <w:lang w:val="en-GB"/>
              </w:rPr>
            </w:pPr>
          </w:p>
        </w:tc>
      </w:tr>
      <w:tr w:rsidR="00782F33" w:rsidRPr="00B56453" w14:paraId="6FB0F54C" w14:textId="77777777" w:rsidTr="00BC343F">
        <w:trPr>
          <w:cantSplit/>
        </w:trPr>
        <w:tc>
          <w:tcPr>
            <w:tcW w:w="1560" w:type="dxa"/>
            <w:shd w:val="clear" w:color="auto" w:fill="auto"/>
          </w:tcPr>
          <w:p w14:paraId="0604FBDF" w14:textId="77777777" w:rsidR="00782F33" w:rsidRPr="00B56453" w:rsidRDefault="00782F33" w:rsidP="00BC343F">
            <w:pPr>
              <w:pStyle w:val="Predefinito"/>
              <w:autoSpaceDE w:val="0"/>
              <w:snapToGrid w:val="0"/>
              <w:rPr>
                <w:rFonts w:cs="Times New Roman"/>
                <w:szCs w:val="20"/>
                <w:lang w:val="en-GB"/>
              </w:rPr>
            </w:pPr>
          </w:p>
        </w:tc>
        <w:tc>
          <w:tcPr>
            <w:tcW w:w="1134" w:type="dxa"/>
            <w:shd w:val="clear" w:color="auto" w:fill="auto"/>
          </w:tcPr>
          <w:p w14:paraId="083F4506" w14:textId="77777777" w:rsidR="00782F33" w:rsidRPr="00B56453" w:rsidRDefault="00782F33" w:rsidP="00BC343F">
            <w:pPr>
              <w:pStyle w:val="Predefinito"/>
              <w:autoSpaceDE w:val="0"/>
              <w:snapToGrid w:val="0"/>
              <w:rPr>
                <w:rFonts w:cs="Times New Roman"/>
                <w:szCs w:val="20"/>
                <w:lang w:val="en-GB"/>
              </w:rPr>
            </w:pPr>
            <w:r w:rsidRPr="00B56453">
              <w:rPr>
                <w:rFonts w:cs="Times New Roman"/>
                <w:szCs w:val="20"/>
                <w:lang w:val="en-GB"/>
              </w:rPr>
              <w:t>Male</w:t>
            </w:r>
          </w:p>
        </w:tc>
        <w:tc>
          <w:tcPr>
            <w:tcW w:w="1701" w:type="dxa"/>
            <w:shd w:val="clear" w:color="auto" w:fill="auto"/>
          </w:tcPr>
          <w:p w14:paraId="7E47B4B1"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67 (39.9)</w:t>
            </w:r>
          </w:p>
        </w:tc>
        <w:tc>
          <w:tcPr>
            <w:tcW w:w="1701" w:type="dxa"/>
            <w:shd w:val="clear" w:color="auto" w:fill="auto"/>
          </w:tcPr>
          <w:p w14:paraId="1FEBEF60"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75 (42.4)</w:t>
            </w:r>
          </w:p>
        </w:tc>
        <w:tc>
          <w:tcPr>
            <w:tcW w:w="1275" w:type="dxa"/>
            <w:shd w:val="clear" w:color="auto" w:fill="auto"/>
          </w:tcPr>
          <w:p w14:paraId="394B0021" w14:textId="77777777" w:rsidR="00782F33" w:rsidRPr="00B56453" w:rsidRDefault="00782F33" w:rsidP="00BC343F">
            <w:pPr>
              <w:pStyle w:val="Predefinito"/>
              <w:autoSpaceDE w:val="0"/>
              <w:snapToGrid w:val="0"/>
              <w:jc w:val="center"/>
              <w:rPr>
                <w:rFonts w:cs="Times New Roman"/>
                <w:szCs w:val="20"/>
                <w:lang w:val="en-GB"/>
              </w:rPr>
            </w:pPr>
          </w:p>
        </w:tc>
        <w:tc>
          <w:tcPr>
            <w:tcW w:w="851" w:type="dxa"/>
            <w:shd w:val="clear" w:color="auto" w:fill="auto"/>
          </w:tcPr>
          <w:p w14:paraId="0D50CC0E" w14:textId="77777777" w:rsidR="00782F33" w:rsidRPr="00B56453" w:rsidRDefault="00782F33" w:rsidP="00BC343F">
            <w:pPr>
              <w:pStyle w:val="Predefinito"/>
              <w:autoSpaceDE w:val="0"/>
              <w:snapToGrid w:val="0"/>
              <w:jc w:val="center"/>
              <w:rPr>
                <w:rFonts w:cs="Times New Roman"/>
                <w:szCs w:val="20"/>
                <w:lang w:val="en-GB"/>
              </w:rPr>
            </w:pPr>
          </w:p>
        </w:tc>
      </w:tr>
      <w:tr w:rsidR="00782F33" w:rsidRPr="00B56453" w14:paraId="52415D84" w14:textId="77777777" w:rsidTr="00BC343F">
        <w:trPr>
          <w:cantSplit/>
        </w:trPr>
        <w:tc>
          <w:tcPr>
            <w:tcW w:w="1560" w:type="dxa"/>
            <w:shd w:val="clear" w:color="auto" w:fill="auto"/>
          </w:tcPr>
          <w:p w14:paraId="72BF57FF" w14:textId="77777777" w:rsidR="00782F33" w:rsidRPr="00B56453" w:rsidRDefault="00782F33" w:rsidP="00BC343F">
            <w:pPr>
              <w:pStyle w:val="Predefinito"/>
              <w:autoSpaceDE w:val="0"/>
              <w:rPr>
                <w:rFonts w:cs="Times New Roman"/>
                <w:szCs w:val="20"/>
                <w:lang w:val="en-GB"/>
              </w:rPr>
            </w:pPr>
            <w:r w:rsidRPr="00B56453">
              <w:rPr>
                <w:rFonts w:cs="Times New Roman"/>
                <w:szCs w:val="20"/>
                <w:lang w:val="en-GB"/>
              </w:rPr>
              <w:t>Age (years)</w:t>
            </w:r>
          </w:p>
        </w:tc>
        <w:tc>
          <w:tcPr>
            <w:tcW w:w="1134" w:type="dxa"/>
            <w:shd w:val="clear" w:color="auto" w:fill="auto"/>
          </w:tcPr>
          <w:p w14:paraId="319FC75A" w14:textId="77777777" w:rsidR="00782F33" w:rsidRPr="00B56453" w:rsidRDefault="00782F33" w:rsidP="00BC343F">
            <w:pPr>
              <w:pStyle w:val="Predefinito"/>
              <w:autoSpaceDE w:val="0"/>
              <w:snapToGrid w:val="0"/>
              <w:rPr>
                <w:rFonts w:cs="Times New Roman"/>
                <w:szCs w:val="20"/>
                <w:lang w:val="en-GB"/>
              </w:rPr>
            </w:pPr>
          </w:p>
        </w:tc>
        <w:tc>
          <w:tcPr>
            <w:tcW w:w="1701" w:type="dxa"/>
            <w:shd w:val="clear" w:color="auto" w:fill="auto"/>
          </w:tcPr>
          <w:p w14:paraId="59AF88F5"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20.4 ± 1.6</w:t>
            </w:r>
            <w:r w:rsidRPr="00B56453">
              <w:rPr>
                <w:rFonts w:cs="Times New Roman"/>
                <w:szCs w:val="20"/>
                <w:vertAlign w:val="superscript"/>
                <w:lang w:val="en-GB"/>
              </w:rPr>
              <w:t>a</w:t>
            </w:r>
          </w:p>
        </w:tc>
        <w:tc>
          <w:tcPr>
            <w:tcW w:w="1701" w:type="dxa"/>
            <w:shd w:val="clear" w:color="auto" w:fill="auto"/>
          </w:tcPr>
          <w:p w14:paraId="3E2600DC"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20.3 ± 1.6</w:t>
            </w:r>
            <w:r w:rsidRPr="00B56453">
              <w:rPr>
                <w:rFonts w:cs="Times New Roman"/>
                <w:szCs w:val="20"/>
                <w:vertAlign w:val="superscript"/>
                <w:lang w:val="en-GB"/>
              </w:rPr>
              <w:t>a</w:t>
            </w:r>
          </w:p>
        </w:tc>
        <w:tc>
          <w:tcPr>
            <w:tcW w:w="1275" w:type="dxa"/>
            <w:shd w:val="clear" w:color="auto" w:fill="auto"/>
          </w:tcPr>
          <w:p w14:paraId="52FBDA4D"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t</w:t>
            </w:r>
            <w:r w:rsidRPr="00B56453">
              <w:rPr>
                <w:rFonts w:cs="Times New Roman"/>
                <w:szCs w:val="20"/>
                <w:vertAlign w:val="subscript"/>
                <w:lang w:val="en-GB"/>
              </w:rPr>
              <w:t>(343)</w:t>
            </w:r>
            <w:r w:rsidRPr="00B56453">
              <w:rPr>
                <w:rFonts w:cs="Times New Roman"/>
                <w:szCs w:val="20"/>
                <w:lang w:val="en-GB"/>
              </w:rPr>
              <w:t xml:space="preserve"> = 0.23</w:t>
            </w:r>
          </w:p>
        </w:tc>
        <w:tc>
          <w:tcPr>
            <w:tcW w:w="851" w:type="dxa"/>
            <w:shd w:val="clear" w:color="auto" w:fill="auto"/>
          </w:tcPr>
          <w:p w14:paraId="22F2A8C5"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0.82</w:t>
            </w:r>
          </w:p>
        </w:tc>
      </w:tr>
      <w:tr w:rsidR="00782F33" w:rsidRPr="00B56453" w14:paraId="5E6800FA" w14:textId="77777777" w:rsidTr="00BC343F">
        <w:trPr>
          <w:cantSplit/>
        </w:trPr>
        <w:tc>
          <w:tcPr>
            <w:tcW w:w="1560" w:type="dxa"/>
            <w:shd w:val="clear" w:color="auto" w:fill="auto"/>
          </w:tcPr>
          <w:p w14:paraId="30AD6386" w14:textId="77777777" w:rsidR="00782F33" w:rsidRPr="00B56453" w:rsidRDefault="00782F33" w:rsidP="00BC343F">
            <w:pPr>
              <w:pStyle w:val="Predefinito"/>
              <w:autoSpaceDE w:val="0"/>
              <w:rPr>
                <w:rFonts w:cs="Times New Roman"/>
                <w:szCs w:val="20"/>
                <w:lang w:val="en-GB"/>
              </w:rPr>
            </w:pPr>
            <w:r w:rsidRPr="00B56453">
              <w:rPr>
                <w:rFonts w:cs="Times New Roman"/>
                <w:szCs w:val="20"/>
                <w:lang w:val="en-GB"/>
              </w:rPr>
              <w:t>Fee status (%)</w:t>
            </w:r>
          </w:p>
        </w:tc>
        <w:tc>
          <w:tcPr>
            <w:tcW w:w="1134" w:type="dxa"/>
            <w:shd w:val="clear" w:color="auto" w:fill="auto"/>
          </w:tcPr>
          <w:p w14:paraId="06CFEBF7" w14:textId="77777777" w:rsidR="00782F33" w:rsidRPr="00B56453" w:rsidRDefault="00782F33" w:rsidP="00BC343F">
            <w:pPr>
              <w:pStyle w:val="Predefinito"/>
              <w:autoSpaceDE w:val="0"/>
              <w:snapToGrid w:val="0"/>
              <w:rPr>
                <w:rFonts w:cs="Times New Roman"/>
                <w:szCs w:val="20"/>
                <w:lang w:val="en-GB"/>
              </w:rPr>
            </w:pPr>
          </w:p>
        </w:tc>
        <w:tc>
          <w:tcPr>
            <w:tcW w:w="1701" w:type="dxa"/>
            <w:shd w:val="clear" w:color="auto" w:fill="auto"/>
          </w:tcPr>
          <w:p w14:paraId="719C25DD" w14:textId="77777777" w:rsidR="00782F33" w:rsidRPr="00B56453" w:rsidRDefault="00782F33" w:rsidP="00BC343F">
            <w:pPr>
              <w:pStyle w:val="Predefinito"/>
              <w:autoSpaceDE w:val="0"/>
              <w:jc w:val="center"/>
              <w:rPr>
                <w:rFonts w:cs="Times New Roman"/>
                <w:color w:val="FF0000"/>
                <w:szCs w:val="20"/>
                <w:lang w:val="en-GB"/>
              </w:rPr>
            </w:pPr>
            <w:r w:rsidRPr="00B56453">
              <w:rPr>
                <w:rFonts w:cs="Times New Roman"/>
                <w:color w:val="FF0000"/>
                <w:szCs w:val="20"/>
                <w:lang w:val="en-GB"/>
              </w:rPr>
              <w:t xml:space="preserve"> </w:t>
            </w:r>
          </w:p>
        </w:tc>
        <w:tc>
          <w:tcPr>
            <w:tcW w:w="1701" w:type="dxa"/>
            <w:shd w:val="clear" w:color="auto" w:fill="auto"/>
          </w:tcPr>
          <w:p w14:paraId="0E6585E6" w14:textId="77777777" w:rsidR="00782F33" w:rsidRPr="00B56453" w:rsidRDefault="00782F33" w:rsidP="00BC343F">
            <w:pPr>
              <w:pStyle w:val="Predefinito"/>
              <w:autoSpaceDE w:val="0"/>
              <w:jc w:val="center"/>
              <w:rPr>
                <w:rFonts w:cs="Times New Roman"/>
                <w:color w:val="FF0000"/>
                <w:szCs w:val="20"/>
                <w:lang w:val="en-GB"/>
              </w:rPr>
            </w:pPr>
            <w:r w:rsidRPr="00B56453">
              <w:rPr>
                <w:rFonts w:cs="Times New Roman"/>
                <w:color w:val="FF0000"/>
                <w:szCs w:val="20"/>
                <w:lang w:val="en-GB"/>
              </w:rPr>
              <w:t xml:space="preserve"> </w:t>
            </w:r>
          </w:p>
        </w:tc>
        <w:tc>
          <w:tcPr>
            <w:tcW w:w="1275" w:type="dxa"/>
            <w:shd w:val="clear" w:color="auto" w:fill="auto"/>
          </w:tcPr>
          <w:p w14:paraId="67CE90B5" w14:textId="77777777" w:rsidR="00782F33" w:rsidRPr="00B56453" w:rsidRDefault="00782F33" w:rsidP="00BC343F">
            <w:pPr>
              <w:pStyle w:val="Predefinito"/>
              <w:autoSpaceDE w:val="0"/>
              <w:jc w:val="center"/>
              <w:rPr>
                <w:rFonts w:cs="Times New Roman"/>
                <w:szCs w:val="20"/>
                <w:lang w:val="en-GB"/>
              </w:rPr>
            </w:pPr>
            <w:r w:rsidRPr="00B56453">
              <w:rPr>
                <w:rFonts w:eastAsia="AdvP4DF60E" w:cs="Times New Roman"/>
                <w:szCs w:val="20"/>
                <w:lang w:val="en-GB"/>
              </w:rPr>
              <w:t>χ</w:t>
            </w:r>
            <w:r w:rsidRPr="00B56453">
              <w:rPr>
                <w:rFonts w:cs="Times New Roman"/>
                <w:szCs w:val="20"/>
                <w:vertAlign w:val="superscript"/>
                <w:lang w:val="en-GB"/>
              </w:rPr>
              <w:t>2</w:t>
            </w:r>
            <w:r w:rsidRPr="00B56453">
              <w:rPr>
                <w:rFonts w:cs="Times New Roman"/>
                <w:szCs w:val="20"/>
                <w:vertAlign w:val="subscript"/>
                <w:lang w:val="en-GB"/>
              </w:rPr>
              <w:t>(1)</w:t>
            </w:r>
            <w:r w:rsidRPr="00B56453">
              <w:rPr>
                <w:rFonts w:cs="Times New Roman"/>
                <w:szCs w:val="20"/>
                <w:lang w:val="en-GB"/>
              </w:rPr>
              <w:t xml:space="preserve"> = 0.12</w:t>
            </w:r>
            <w:r w:rsidRPr="00B56453">
              <w:rPr>
                <w:rFonts w:cs="Times New Roman"/>
                <w:szCs w:val="20"/>
                <w:vertAlign w:val="superscript"/>
                <w:lang w:val="en-GB"/>
              </w:rPr>
              <w:t>b</w:t>
            </w:r>
          </w:p>
        </w:tc>
        <w:tc>
          <w:tcPr>
            <w:tcW w:w="851" w:type="dxa"/>
            <w:shd w:val="clear" w:color="auto" w:fill="auto"/>
          </w:tcPr>
          <w:p w14:paraId="7A926CE2"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0.73</w:t>
            </w:r>
          </w:p>
        </w:tc>
      </w:tr>
      <w:tr w:rsidR="00782F33" w:rsidRPr="00B56453" w14:paraId="1A87ABBC" w14:textId="77777777" w:rsidTr="00BC343F">
        <w:trPr>
          <w:cantSplit/>
        </w:trPr>
        <w:tc>
          <w:tcPr>
            <w:tcW w:w="1560" w:type="dxa"/>
            <w:shd w:val="clear" w:color="auto" w:fill="auto"/>
          </w:tcPr>
          <w:p w14:paraId="56FA5FCB" w14:textId="77777777" w:rsidR="00782F33" w:rsidRPr="00B56453" w:rsidRDefault="00782F33" w:rsidP="00BC343F">
            <w:pPr>
              <w:pStyle w:val="Predefinito"/>
              <w:autoSpaceDE w:val="0"/>
              <w:snapToGrid w:val="0"/>
              <w:rPr>
                <w:rFonts w:cs="Times New Roman"/>
                <w:szCs w:val="20"/>
                <w:lang w:val="en-GB"/>
              </w:rPr>
            </w:pPr>
          </w:p>
        </w:tc>
        <w:tc>
          <w:tcPr>
            <w:tcW w:w="1134" w:type="dxa"/>
            <w:shd w:val="clear" w:color="auto" w:fill="auto"/>
          </w:tcPr>
          <w:p w14:paraId="5E39DAF1" w14:textId="77777777" w:rsidR="00782F33" w:rsidRPr="00B56453" w:rsidRDefault="00782F33" w:rsidP="00BC343F">
            <w:pPr>
              <w:pStyle w:val="Predefinito"/>
              <w:autoSpaceDE w:val="0"/>
              <w:snapToGrid w:val="0"/>
              <w:rPr>
                <w:rFonts w:cs="Times New Roman"/>
                <w:szCs w:val="20"/>
                <w:lang w:val="en-GB"/>
              </w:rPr>
            </w:pPr>
            <w:r w:rsidRPr="00B56453">
              <w:rPr>
                <w:rFonts w:cs="Times New Roman"/>
                <w:szCs w:val="20"/>
                <w:lang w:val="en-GB"/>
              </w:rPr>
              <w:t>Home</w:t>
            </w:r>
          </w:p>
        </w:tc>
        <w:tc>
          <w:tcPr>
            <w:tcW w:w="1701" w:type="dxa"/>
            <w:shd w:val="clear" w:color="auto" w:fill="auto"/>
          </w:tcPr>
          <w:p w14:paraId="6C91347A"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150 (89.3)</w:t>
            </w:r>
          </w:p>
        </w:tc>
        <w:tc>
          <w:tcPr>
            <w:tcW w:w="1701" w:type="dxa"/>
            <w:shd w:val="clear" w:color="auto" w:fill="auto"/>
          </w:tcPr>
          <w:p w14:paraId="19971FDD"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161  (91.0)</w:t>
            </w:r>
          </w:p>
        </w:tc>
        <w:tc>
          <w:tcPr>
            <w:tcW w:w="1275" w:type="dxa"/>
            <w:shd w:val="clear" w:color="auto" w:fill="auto"/>
          </w:tcPr>
          <w:p w14:paraId="55AE185B" w14:textId="77777777" w:rsidR="00782F33" w:rsidRPr="00B56453" w:rsidRDefault="00782F33" w:rsidP="00BC343F">
            <w:pPr>
              <w:pStyle w:val="Predefinito"/>
              <w:autoSpaceDE w:val="0"/>
              <w:snapToGrid w:val="0"/>
              <w:jc w:val="center"/>
              <w:rPr>
                <w:rFonts w:cs="Times New Roman"/>
                <w:szCs w:val="20"/>
                <w:lang w:val="en-GB"/>
              </w:rPr>
            </w:pPr>
          </w:p>
        </w:tc>
        <w:tc>
          <w:tcPr>
            <w:tcW w:w="851" w:type="dxa"/>
            <w:shd w:val="clear" w:color="auto" w:fill="auto"/>
          </w:tcPr>
          <w:p w14:paraId="12E9484F" w14:textId="77777777" w:rsidR="00782F33" w:rsidRPr="00B56453" w:rsidRDefault="00782F33" w:rsidP="00BC343F">
            <w:pPr>
              <w:pStyle w:val="Predefinito"/>
              <w:autoSpaceDE w:val="0"/>
              <w:snapToGrid w:val="0"/>
              <w:jc w:val="center"/>
              <w:rPr>
                <w:rFonts w:cs="Times New Roman"/>
                <w:szCs w:val="20"/>
                <w:lang w:val="en-GB"/>
              </w:rPr>
            </w:pPr>
          </w:p>
        </w:tc>
      </w:tr>
      <w:tr w:rsidR="00782F33" w:rsidRPr="00B56453" w14:paraId="7B4996B5" w14:textId="77777777" w:rsidTr="00BC343F">
        <w:trPr>
          <w:cantSplit/>
        </w:trPr>
        <w:tc>
          <w:tcPr>
            <w:tcW w:w="1560" w:type="dxa"/>
            <w:shd w:val="clear" w:color="auto" w:fill="auto"/>
          </w:tcPr>
          <w:p w14:paraId="61D40524" w14:textId="77777777" w:rsidR="00782F33" w:rsidRPr="00B56453" w:rsidRDefault="00782F33" w:rsidP="00BC343F">
            <w:pPr>
              <w:pStyle w:val="Predefinito"/>
              <w:autoSpaceDE w:val="0"/>
              <w:snapToGrid w:val="0"/>
              <w:rPr>
                <w:rFonts w:cs="Times New Roman"/>
                <w:szCs w:val="20"/>
                <w:lang w:val="en-GB"/>
              </w:rPr>
            </w:pPr>
          </w:p>
        </w:tc>
        <w:tc>
          <w:tcPr>
            <w:tcW w:w="1134" w:type="dxa"/>
            <w:shd w:val="clear" w:color="auto" w:fill="auto"/>
          </w:tcPr>
          <w:p w14:paraId="1DD6189C" w14:textId="77777777" w:rsidR="00782F33" w:rsidRPr="00B56453" w:rsidRDefault="00782F33" w:rsidP="00BC343F">
            <w:pPr>
              <w:pStyle w:val="Predefinito"/>
              <w:autoSpaceDE w:val="0"/>
              <w:snapToGrid w:val="0"/>
              <w:rPr>
                <w:rFonts w:cs="Times New Roman"/>
                <w:szCs w:val="20"/>
                <w:lang w:val="en-GB"/>
              </w:rPr>
            </w:pPr>
            <w:r w:rsidRPr="00B56453">
              <w:rPr>
                <w:rFonts w:cs="Times New Roman"/>
                <w:szCs w:val="20"/>
                <w:lang w:val="en-GB"/>
              </w:rPr>
              <w:t>Overseas</w:t>
            </w:r>
          </w:p>
        </w:tc>
        <w:tc>
          <w:tcPr>
            <w:tcW w:w="1701" w:type="dxa"/>
            <w:shd w:val="clear" w:color="auto" w:fill="auto"/>
          </w:tcPr>
          <w:p w14:paraId="397AED0B"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18 (10.7)</w:t>
            </w:r>
          </w:p>
        </w:tc>
        <w:tc>
          <w:tcPr>
            <w:tcW w:w="1701" w:type="dxa"/>
            <w:shd w:val="clear" w:color="auto" w:fill="auto"/>
          </w:tcPr>
          <w:p w14:paraId="3BE486B4" w14:textId="77777777" w:rsidR="00782F33" w:rsidRPr="00B56453" w:rsidRDefault="00782F33" w:rsidP="00BC343F">
            <w:pPr>
              <w:pStyle w:val="Predefinito"/>
              <w:autoSpaceDE w:val="0"/>
              <w:jc w:val="center"/>
              <w:rPr>
                <w:rFonts w:cs="Times New Roman"/>
                <w:szCs w:val="20"/>
                <w:lang w:val="en-GB"/>
              </w:rPr>
            </w:pPr>
            <w:r w:rsidRPr="00B56453">
              <w:rPr>
                <w:rFonts w:cs="Times New Roman"/>
                <w:szCs w:val="20"/>
                <w:lang w:val="en-GB"/>
              </w:rPr>
              <w:t>16 (9.0)</w:t>
            </w:r>
          </w:p>
        </w:tc>
        <w:tc>
          <w:tcPr>
            <w:tcW w:w="1275" w:type="dxa"/>
            <w:shd w:val="clear" w:color="auto" w:fill="auto"/>
          </w:tcPr>
          <w:p w14:paraId="49107AB6" w14:textId="77777777" w:rsidR="00782F33" w:rsidRPr="00B56453" w:rsidRDefault="00782F33" w:rsidP="00BC343F">
            <w:pPr>
              <w:pStyle w:val="Predefinito"/>
              <w:autoSpaceDE w:val="0"/>
              <w:snapToGrid w:val="0"/>
              <w:jc w:val="center"/>
              <w:rPr>
                <w:rFonts w:cs="Times New Roman"/>
                <w:color w:val="FF0000"/>
                <w:szCs w:val="20"/>
                <w:lang w:val="en-GB"/>
              </w:rPr>
            </w:pPr>
          </w:p>
        </w:tc>
        <w:tc>
          <w:tcPr>
            <w:tcW w:w="851" w:type="dxa"/>
            <w:shd w:val="clear" w:color="auto" w:fill="auto"/>
          </w:tcPr>
          <w:p w14:paraId="1840715C" w14:textId="77777777" w:rsidR="00782F33" w:rsidRPr="00B56453" w:rsidRDefault="00782F33" w:rsidP="00BC343F">
            <w:pPr>
              <w:pStyle w:val="Predefinito"/>
              <w:autoSpaceDE w:val="0"/>
              <w:snapToGrid w:val="0"/>
              <w:jc w:val="center"/>
              <w:rPr>
                <w:rFonts w:cs="Times New Roman"/>
                <w:color w:val="FF0000"/>
                <w:szCs w:val="20"/>
                <w:lang w:val="en-GB"/>
              </w:rPr>
            </w:pPr>
          </w:p>
        </w:tc>
      </w:tr>
      <w:tr w:rsidR="00782F33" w:rsidRPr="00B56453" w14:paraId="77035BD6" w14:textId="77777777" w:rsidTr="00BC343F">
        <w:trPr>
          <w:cantSplit/>
        </w:trPr>
        <w:tc>
          <w:tcPr>
            <w:tcW w:w="8222" w:type="dxa"/>
            <w:gridSpan w:val="6"/>
            <w:tcBorders>
              <w:top w:val="single" w:sz="8" w:space="0" w:color="000000"/>
              <w:bottom w:val="single" w:sz="4" w:space="0" w:color="auto"/>
            </w:tcBorders>
            <w:shd w:val="clear" w:color="auto" w:fill="auto"/>
          </w:tcPr>
          <w:p w14:paraId="5127981C" w14:textId="77777777" w:rsidR="00782F33" w:rsidRPr="00B56453" w:rsidRDefault="00782F33" w:rsidP="00BC343F">
            <w:pPr>
              <w:pStyle w:val="Predefinito"/>
              <w:autoSpaceDE w:val="0"/>
              <w:rPr>
                <w:rFonts w:cs="Times New Roman"/>
                <w:szCs w:val="20"/>
                <w:lang w:val="en-GB"/>
              </w:rPr>
            </w:pPr>
            <w:r w:rsidRPr="00B56453">
              <w:rPr>
                <w:rFonts w:cs="Times New Roman"/>
                <w:szCs w:val="20"/>
                <w:vertAlign w:val="superscript"/>
                <w:lang w:val="en-GB"/>
              </w:rPr>
              <w:t>a</w:t>
            </w:r>
            <w:r w:rsidRPr="00B56453">
              <w:rPr>
                <w:rFonts w:cs="Times New Roman"/>
                <w:szCs w:val="20"/>
                <w:lang w:val="en-GB"/>
              </w:rPr>
              <w:t xml:space="preserve"> Values shown as mean ± SD. </w:t>
            </w:r>
            <w:r w:rsidRPr="00B56453">
              <w:rPr>
                <w:rFonts w:cs="Times New Roman"/>
                <w:szCs w:val="20"/>
                <w:vertAlign w:val="superscript"/>
                <w:lang w:val="en-GB"/>
              </w:rPr>
              <w:t>b</w:t>
            </w:r>
            <w:r w:rsidRPr="00B56453">
              <w:rPr>
                <w:rFonts w:cs="Times New Roman"/>
                <w:szCs w:val="20"/>
                <w:lang w:val="en-GB"/>
              </w:rPr>
              <w:t xml:space="preserve"> </w:t>
            </w:r>
            <w:r w:rsidRPr="00B56453">
              <w:rPr>
                <w:rFonts w:eastAsia="AdvP4DF60E" w:cs="Times New Roman"/>
                <w:szCs w:val="20"/>
                <w:lang w:val="en-GB"/>
              </w:rPr>
              <w:t>χ</w:t>
            </w:r>
            <w:r w:rsidRPr="00B56453">
              <w:rPr>
                <w:rFonts w:cs="Times New Roman"/>
                <w:szCs w:val="20"/>
                <w:vertAlign w:val="superscript"/>
                <w:lang w:val="en-GB"/>
              </w:rPr>
              <w:t>2</w:t>
            </w:r>
            <w:r w:rsidRPr="00B56453">
              <w:rPr>
                <w:rFonts w:cs="Times New Roman"/>
                <w:szCs w:val="20"/>
                <w:lang w:val="en-GB"/>
              </w:rPr>
              <w:t xml:space="preserve"> with continuity correction.</w:t>
            </w:r>
          </w:p>
        </w:tc>
      </w:tr>
    </w:tbl>
    <w:p w14:paraId="56E70FA3" w14:textId="77777777" w:rsidR="00782F33" w:rsidRPr="00B56453" w:rsidRDefault="00782F33" w:rsidP="00782F33">
      <w:pPr>
        <w:pStyle w:val="Normal1"/>
        <w:rPr>
          <w:lang w:val="en-GB"/>
        </w:rPr>
      </w:pPr>
    </w:p>
    <w:p w14:paraId="0ED424CD" w14:textId="77777777" w:rsidR="00782F33" w:rsidRPr="00B56453" w:rsidRDefault="00782F33" w:rsidP="00026049">
      <w:pPr>
        <w:pStyle w:val="Normal1"/>
        <w:rPr>
          <w:lang w:val="en-GB"/>
        </w:rPr>
      </w:pPr>
    </w:p>
    <w:p w14:paraId="16F5CA6C" w14:textId="357C333C" w:rsidR="0060631D" w:rsidRPr="00B56453" w:rsidRDefault="0060631D" w:rsidP="00026049">
      <w:pPr>
        <w:pStyle w:val="Normal1"/>
        <w:rPr>
          <w:lang w:val="en-GB"/>
        </w:rPr>
      </w:pPr>
      <w:r w:rsidRPr="00B56453">
        <w:rPr>
          <w:lang w:val="en-GB"/>
        </w:rPr>
        <w:t xml:space="preserve">The assumptions of sampling adequacy and factorability of the correlation matrix were tested by means of the KMO index and the Bartlett’s test of sphericity, respectively. KMO obtained from the initial solution of EFA was very good (0.87), supporting the assumption of sampling adequacy. Bartlett’s test of sphericity was significant, with χ2(465) = 2892.4 (p &lt;0.001), allowing </w:t>
      </w:r>
      <w:r w:rsidR="00582D25" w:rsidRPr="00B56453">
        <w:rPr>
          <w:lang w:val="en-GB"/>
        </w:rPr>
        <w:t>for the</w:t>
      </w:r>
      <w:r w:rsidRPr="00B56453">
        <w:rPr>
          <w:lang w:val="en-GB"/>
        </w:rPr>
        <w:t xml:space="preserve"> reject</w:t>
      </w:r>
      <w:r w:rsidR="00582D25" w:rsidRPr="00B56453">
        <w:rPr>
          <w:lang w:val="en-GB"/>
        </w:rPr>
        <w:t>ion</w:t>
      </w:r>
      <w:r w:rsidRPr="00B56453">
        <w:rPr>
          <w:lang w:val="en-GB"/>
        </w:rPr>
        <w:t xml:space="preserve"> </w:t>
      </w:r>
      <w:r w:rsidR="00582D25" w:rsidRPr="00B56453">
        <w:rPr>
          <w:lang w:val="en-GB"/>
        </w:rPr>
        <w:t xml:space="preserve">of </w:t>
      </w:r>
      <w:r w:rsidRPr="00B56453">
        <w:rPr>
          <w:lang w:val="en-GB"/>
        </w:rPr>
        <w:t>the hypothesis that t</w:t>
      </w:r>
      <w:r w:rsidR="00582D25" w:rsidRPr="00B56453">
        <w:rPr>
          <w:lang w:val="en-GB"/>
        </w:rPr>
        <w:t>he observed correlation matrix wa</w:t>
      </w:r>
      <w:r w:rsidRPr="00B56453">
        <w:rPr>
          <w:lang w:val="en-GB"/>
        </w:rPr>
        <w:t>s an identity matrix.</w:t>
      </w:r>
    </w:p>
    <w:p w14:paraId="6E633C17" w14:textId="77777777" w:rsidR="0060631D" w:rsidRPr="00B56453" w:rsidRDefault="0060631D" w:rsidP="00026049">
      <w:pPr>
        <w:pStyle w:val="Normal1"/>
        <w:rPr>
          <w:shd w:val="clear" w:color="auto" w:fill="FCFCFC"/>
          <w:lang w:val="en-GB"/>
        </w:rPr>
      </w:pPr>
    </w:p>
    <w:p w14:paraId="70053AA9" w14:textId="7D54F4E4" w:rsidR="0060631D" w:rsidRPr="00B56453" w:rsidRDefault="0060631D" w:rsidP="00026049">
      <w:pPr>
        <w:pStyle w:val="Normal1"/>
        <w:rPr>
          <w:lang w:val="en-GB"/>
        </w:rPr>
      </w:pPr>
      <w:r w:rsidRPr="00B56453">
        <w:rPr>
          <w:lang w:val="en-GB"/>
        </w:rPr>
        <w:t xml:space="preserve">EFA employing PCA with Promax rotation was performed on the 31 items of the SSRQ. Nine components with eigenvalue greater than 1 were extracted, accounting for the 58.1% of total variance. The solution was difficult to interpret, and several items </w:t>
      </w:r>
      <w:r w:rsidR="00582D25" w:rsidRPr="00B56453">
        <w:rPr>
          <w:lang w:val="en-GB"/>
        </w:rPr>
        <w:t xml:space="preserve">were found to be </w:t>
      </w:r>
      <w:r w:rsidRPr="00B56453">
        <w:rPr>
          <w:lang w:val="en-GB"/>
        </w:rPr>
        <w:t>loading high (≥</w:t>
      </w:r>
      <w:r w:rsidR="003F1A1C" w:rsidRPr="00B56453">
        <w:rPr>
          <w:lang w:val="en-GB"/>
        </w:rPr>
        <w:t>0</w:t>
      </w:r>
      <w:r w:rsidRPr="00B56453">
        <w:rPr>
          <w:lang w:val="en-GB"/>
        </w:rPr>
        <w:t>.32) on two or more components, and only one item loaded onto the ninth component (&lt;</w:t>
      </w:r>
      <w:r w:rsidR="003F1A1C" w:rsidRPr="00B56453">
        <w:rPr>
          <w:lang w:val="en-GB"/>
        </w:rPr>
        <w:t>0</w:t>
      </w:r>
      <w:r w:rsidRPr="00B56453">
        <w:rPr>
          <w:lang w:val="en-GB"/>
        </w:rPr>
        <w:t xml:space="preserve">.32). The scree plot showed a major inflection between the first and the second component extracted (Figure </w:t>
      </w:r>
      <w:r w:rsidR="004444CD" w:rsidRPr="00B56453">
        <w:rPr>
          <w:lang w:val="en-GB"/>
        </w:rPr>
        <w:t>C1.2</w:t>
      </w:r>
      <w:r w:rsidRPr="00B56453">
        <w:rPr>
          <w:lang w:val="en-GB"/>
        </w:rPr>
        <w:t>).</w:t>
      </w:r>
    </w:p>
    <w:p w14:paraId="37402227" w14:textId="77777777" w:rsidR="0068459B" w:rsidRPr="00B56453" w:rsidRDefault="0068459B" w:rsidP="00026049">
      <w:pPr>
        <w:pStyle w:val="Normal1"/>
        <w:rPr>
          <w:shd w:val="clear" w:color="auto" w:fill="FCFCFC"/>
          <w:lang w:val="en-GB"/>
        </w:rPr>
      </w:pPr>
    </w:p>
    <w:p w14:paraId="13A84C6D" w14:textId="0641F430" w:rsidR="0060631D" w:rsidRPr="00B56453" w:rsidRDefault="00582D25" w:rsidP="00026049">
      <w:pPr>
        <w:pStyle w:val="Normal1"/>
        <w:rPr>
          <w:shd w:val="clear" w:color="auto" w:fill="FCFCFC"/>
          <w:lang w:val="en-GB"/>
        </w:rPr>
      </w:pPr>
      <w:r w:rsidRPr="007638B6">
        <w:rPr>
          <w:noProof/>
          <w:shd w:val="clear" w:color="auto" w:fill="FCFCFC"/>
          <w:lang w:val="en-GB" w:eastAsia="en-GB" w:bidi="ar-SA"/>
        </w:rPr>
        <w:drawing>
          <wp:inline distT="0" distB="0" distL="0" distR="0" wp14:anchorId="665D13D8" wp14:editId="17C96827">
            <wp:extent cx="5294630" cy="4131734"/>
            <wp:effectExtent l="0" t="0" r="127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2593"/>
                    <a:stretch/>
                  </pic:blipFill>
                  <pic:spPr bwMode="auto">
                    <a:xfrm>
                      <a:off x="0" y="0"/>
                      <a:ext cx="5315422" cy="4147959"/>
                    </a:xfrm>
                    <a:prstGeom prst="rect">
                      <a:avLst/>
                    </a:prstGeom>
                    <a:noFill/>
                    <a:ln>
                      <a:noFill/>
                    </a:ln>
                    <a:extLst>
                      <a:ext uri="{53640926-AAD7-44D8-BBD7-CCE9431645EC}">
                        <a14:shadowObscured xmlns:a14="http://schemas.microsoft.com/office/drawing/2010/main"/>
                      </a:ext>
                    </a:extLst>
                  </pic:spPr>
                </pic:pic>
              </a:graphicData>
            </a:graphic>
          </wp:inline>
        </w:drawing>
      </w:r>
    </w:p>
    <w:p w14:paraId="41B0FF1D" w14:textId="6FB22D8C" w:rsidR="00582D25" w:rsidRPr="00B56453" w:rsidRDefault="004444CD" w:rsidP="004444CD">
      <w:pPr>
        <w:pStyle w:val="Caption"/>
      </w:pPr>
      <w:bookmarkStart w:id="367" w:name="_Toc500319559"/>
      <w:r w:rsidRPr="00B56453">
        <w:t>Figure C1.</w:t>
      </w:r>
      <w:r w:rsidR="00B021F6" w:rsidRPr="00B27F0B">
        <w:fldChar w:fldCharType="begin"/>
      </w:r>
      <w:r w:rsidR="00B021F6" w:rsidRPr="00B56453">
        <w:instrText xml:space="preserve"> SEQ Figure_C1. \* ARABIC </w:instrText>
      </w:r>
      <w:r w:rsidR="00B021F6" w:rsidRPr="00B27F0B">
        <w:fldChar w:fldCharType="separate"/>
      </w:r>
      <w:r w:rsidR="00E44881" w:rsidRPr="00B56453">
        <w:rPr>
          <w:noProof/>
        </w:rPr>
        <w:t>2</w:t>
      </w:r>
      <w:r w:rsidR="00B021F6" w:rsidRPr="00B27F0B">
        <w:rPr>
          <w:noProof/>
        </w:rPr>
        <w:fldChar w:fldCharType="end"/>
      </w:r>
      <w:r w:rsidR="00582D25" w:rsidRPr="00B56453">
        <w:t xml:space="preserve"> Exploratory Factor Analysis, Scree Plot</w:t>
      </w:r>
      <w:r w:rsidR="00E52DD2" w:rsidRPr="00B56453">
        <w:t xml:space="preserve"> with eigenvalues of each component number illustrating potential factor(s)</w:t>
      </w:r>
      <w:r w:rsidR="00582D25" w:rsidRPr="00B56453">
        <w:t>.</w:t>
      </w:r>
      <w:bookmarkEnd w:id="367"/>
    </w:p>
    <w:p w14:paraId="326AF84D" w14:textId="77777777" w:rsidR="0068459B" w:rsidRPr="00B56453" w:rsidRDefault="0068459B" w:rsidP="00026049">
      <w:pPr>
        <w:pStyle w:val="Normal1"/>
        <w:rPr>
          <w:lang w:val="en-GB"/>
        </w:rPr>
      </w:pPr>
    </w:p>
    <w:p w14:paraId="3A889BC8" w14:textId="3F43D22E" w:rsidR="00782F33" w:rsidRPr="00B56453" w:rsidRDefault="00582D25" w:rsidP="00026049">
      <w:pPr>
        <w:pStyle w:val="Normal1"/>
        <w:rPr>
          <w:lang w:val="en-GB"/>
        </w:rPr>
      </w:pPr>
      <w:r w:rsidRPr="00B56453">
        <w:rPr>
          <w:lang w:val="en-GB"/>
        </w:rPr>
        <w:t>T</w:t>
      </w:r>
      <w:r w:rsidR="0060631D" w:rsidRPr="00B56453">
        <w:rPr>
          <w:lang w:val="en-GB"/>
        </w:rPr>
        <w:t xml:space="preserve">he properties of a model </w:t>
      </w:r>
      <w:r w:rsidRPr="00B56453">
        <w:rPr>
          <w:lang w:val="en-GB"/>
        </w:rPr>
        <w:t xml:space="preserve">were investigated </w:t>
      </w:r>
      <w:r w:rsidR="0060631D" w:rsidRPr="00B56453">
        <w:rPr>
          <w:lang w:val="en-GB"/>
        </w:rPr>
        <w:t xml:space="preserve">in which 31 items loaded onto a single dimension. </w:t>
      </w:r>
      <w:r w:rsidRPr="00B56453">
        <w:rPr>
          <w:lang w:val="en-GB"/>
        </w:rPr>
        <w:t>A</w:t>
      </w:r>
      <w:r w:rsidR="0060631D" w:rsidRPr="00B56453">
        <w:rPr>
          <w:lang w:val="en-GB"/>
        </w:rPr>
        <w:t>ll items loaded high (≥</w:t>
      </w:r>
      <w:r w:rsidR="003F1A1C" w:rsidRPr="00B56453">
        <w:rPr>
          <w:lang w:val="en-GB"/>
        </w:rPr>
        <w:t>0</w:t>
      </w:r>
      <w:r w:rsidR="0060631D" w:rsidRPr="00B56453">
        <w:rPr>
          <w:lang w:val="en-GB"/>
        </w:rPr>
        <w:t>.32) onto a single dimension, the solution was easy to interpret</w:t>
      </w:r>
      <w:r w:rsidR="00721871" w:rsidRPr="00B56453">
        <w:rPr>
          <w:lang w:val="en-GB"/>
        </w:rPr>
        <w:t>,</w:t>
      </w:r>
      <w:r w:rsidR="0060631D" w:rsidRPr="00B56453">
        <w:rPr>
          <w:lang w:val="en-GB"/>
        </w:rPr>
        <w:t xml:space="preserve"> and the scale had </w:t>
      </w:r>
      <w:r w:rsidR="00721871" w:rsidRPr="00B56453">
        <w:rPr>
          <w:lang w:val="en-GB"/>
        </w:rPr>
        <w:t xml:space="preserve">a </w:t>
      </w:r>
      <w:r w:rsidR="0060631D" w:rsidRPr="00B56453">
        <w:rPr>
          <w:lang w:val="en-GB"/>
        </w:rPr>
        <w:t xml:space="preserve">high internal consistency (Cronbach’s alpha = </w:t>
      </w:r>
      <w:r w:rsidR="000E4B90" w:rsidRPr="00B56453">
        <w:rPr>
          <w:lang w:val="en-GB"/>
        </w:rPr>
        <w:t>0</w:t>
      </w:r>
      <w:r w:rsidR="0060631D" w:rsidRPr="00B56453">
        <w:rPr>
          <w:lang w:val="en-GB"/>
        </w:rPr>
        <w:t xml:space="preserve">.89), similarly to the original SSRQ structure identified by Carey et al. (2005). Table </w:t>
      </w:r>
      <w:r w:rsidR="004444CD" w:rsidRPr="00B56453">
        <w:rPr>
          <w:lang w:val="en-GB"/>
        </w:rPr>
        <w:t>C1.2</w:t>
      </w:r>
      <w:r w:rsidR="0060631D" w:rsidRPr="00B56453">
        <w:rPr>
          <w:lang w:val="en-GB"/>
        </w:rPr>
        <w:t xml:space="preserve"> reports the component matrix.</w:t>
      </w:r>
    </w:p>
    <w:p w14:paraId="522EA685" w14:textId="77777777" w:rsidR="00782F33" w:rsidRPr="00B56453" w:rsidRDefault="00782F33">
      <w:pPr>
        <w:rPr>
          <w:rFonts w:eastAsia="Lucida Sans Unicode" w:cs="Mangal"/>
          <w:kern w:val="1"/>
          <w:szCs w:val="24"/>
          <w:lang w:eastAsia="hi-IN" w:bidi="hi-IN"/>
        </w:rPr>
      </w:pPr>
      <w:r w:rsidRPr="00B56453">
        <w:br w:type="page"/>
      </w:r>
    </w:p>
    <w:p w14:paraId="6233C9E6" w14:textId="77777777" w:rsidR="00FA111F" w:rsidRPr="00B56453" w:rsidRDefault="00FA111F" w:rsidP="00026049">
      <w:pPr>
        <w:pStyle w:val="Normal1"/>
        <w:rPr>
          <w:lang w:val="en-GB"/>
        </w:rPr>
      </w:pPr>
    </w:p>
    <w:p w14:paraId="25B30AF6" w14:textId="77777777" w:rsidR="00721871" w:rsidRPr="00B56453" w:rsidRDefault="00721871" w:rsidP="00721871">
      <w:pPr>
        <w:pStyle w:val="Tablelist"/>
        <w:rPr>
          <w:lang w:val="en-GB"/>
        </w:rPr>
      </w:pPr>
      <w:bookmarkStart w:id="368" w:name="_Toc487454838"/>
      <w:bookmarkStart w:id="369" w:name="_Toc487456796"/>
    </w:p>
    <w:tbl>
      <w:tblPr>
        <w:tblpPr w:leftFromText="180" w:rightFromText="180" w:vertAnchor="text" w:horzAnchor="margin" w:tblpY="995"/>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6946"/>
        <w:gridCol w:w="851"/>
      </w:tblGrid>
      <w:tr w:rsidR="00782F33" w:rsidRPr="00B56453" w14:paraId="6192E3F9" w14:textId="77777777" w:rsidTr="00782F33">
        <w:trPr>
          <w:cantSplit/>
          <w:trHeight w:val="340"/>
        </w:trPr>
        <w:tc>
          <w:tcPr>
            <w:tcW w:w="8364" w:type="dxa"/>
            <w:gridSpan w:val="3"/>
            <w:tcBorders>
              <w:top w:val="nil"/>
              <w:left w:val="nil"/>
              <w:bottom w:val="single" w:sz="4" w:space="0" w:color="auto"/>
              <w:right w:val="nil"/>
            </w:tcBorders>
            <w:shd w:val="clear" w:color="auto" w:fill="FFFFFF"/>
          </w:tcPr>
          <w:p w14:paraId="1BAD473E" w14:textId="77777777" w:rsidR="00782F33" w:rsidRPr="00B56453" w:rsidRDefault="00782F33" w:rsidP="00782F33">
            <w:pPr>
              <w:autoSpaceDE w:val="0"/>
              <w:autoSpaceDN w:val="0"/>
              <w:adjustRightInd w:val="0"/>
              <w:spacing w:after="0" w:line="240" w:lineRule="auto"/>
              <w:ind w:left="62" w:right="62"/>
              <w:rPr>
                <w:rFonts w:cs="Times New Roman"/>
                <w:i/>
                <w:color w:val="000000"/>
                <w:sz w:val="20"/>
                <w:szCs w:val="20"/>
              </w:rPr>
            </w:pPr>
            <w:r w:rsidRPr="00B56453">
              <w:rPr>
                <w:rFonts w:cs="Times New Roman"/>
                <w:i/>
                <w:color w:val="000000"/>
                <w:sz w:val="20"/>
                <w:szCs w:val="20"/>
              </w:rPr>
              <w:t>SSRQ Component Matrix</w:t>
            </w:r>
            <w:r w:rsidRPr="00B56453">
              <w:rPr>
                <w:rFonts w:cs="Times New Roman"/>
                <w:i/>
                <w:color w:val="000000"/>
                <w:sz w:val="20"/>
                <w:szCs w:val="20"/>
                <w:vertAlign w:val="superscript"/>
              </w:rPr>
              <w:t>a</w:t>
            </w:r>
          </w:p>
        </w:tc>
      </w:tr>
      <w:tr w:rsidR="00782F33" w:rsidRPr="00B56453" w14:paraId="4A384489" w14:textId="77777777" w:rsidTr="008B3752">
        <w:trPr>
          <w:cantSplit/>
          <w:trHeight w:val="353"/>
        </w:trPr>
        <w:tc>
          <w:tcPr>
            <w:tcW w:w="567" w:type="dxa"/>
            <w:tcBorders>
              <w:top w:val="single" w:sz="4" w:space="0" w:color="auto"/>
              <w:left w:val="nil"/>
              <w:bottom w:val="nil"/>
              <w:right w:val="nil"/>
            </w:tcBorders>
            <w:shd w:val="clear" w:color="auto" w:fill="FFFFFF"/>
          </w:tcPr>
          <w:p w14:paraId="5B40A81D" w14:textId="77777777" w:rsidR="00782F33" w:rsidRPr="00B56453" w:rsidRDefault="00782F33" w:rsidP="00782F33">
            <w:pPr>
              <w:autoSpaceDE w:val="0"/>
              <w:autoSpaceDN w:val="0"/>
              <w:adjustRightInd w:val="0"/>
              <w:spacing w:after="0" w:line="240" w:lineRule="auto"/>
              <w:ind w:left="62" w:right="62"/>
              <w:rPr>
                <w:rFonts w:cs="Times New Roman"/>
                <w:b/>
                <w:color w:val="000000"/>
                <w:sz w:val="20"/>
                <w:szCs w:val="20"/>
              </w:rPr>
            </w:pPr>
            <w:r w:rsidRPr="00B56453">
              <w:rPr>
                <w:rFonts w:cs="Times New Roman"/>
                <w:b/>
                <w:color w:val="000000"/>
                <w:sz w:val="20"/>
                <w:szCs w:val="20"/>
              </w:rPr>
              <w:t>Item</w:t>
            </w:r>
          </w:p>
        </w:tc>
        <w:tc>
          <w:tcPr>
            <w:tcW w:w="6946" w:type="dxa"/>
            <w:tcBorders>
              <w:top w:val="single" w:sz="4" w:space="0" w:color="auto"/>
              <w:left w:val="nil"/>
              <w:bottom w:val="nil"/>
              <w:right w:val="nil"/>
            </w:tcBorders>
            <w:shd w:val="clear" w:color="auto" w:fill="FFFFFF"/>
          </w:tcPr>
          <w:p w14:paraId="5A7E4683" w14:textId="77777777" w:rsidR="00782F33" w:rsidRPr="00B56453" w:rsidRDefault="00782F33" w:rsidP="00782F33">
            <w:pPr>
              <w:autoSpaceDE w:val="0"/>
              <w:autoSpaceDN w:val="0"/>
              <w:adjustRightInd w:val="0"/>
              <w:spacing w:after="0" w:line="240" w:lineRule="auto"/>
              <w:ind w:left="62" w:right="62"/>
              <w:rPr>
                <w:rFonts w:cs="Times New Roman"/>
                <w:b/>
                <w:sz w:val="20"/>
                <w:szCs w:val="20"/>
              </w:rPr>
            </w:pPr>
            <w:r w:rsidRPr="00B56453">
              <w:rPr>
                <w:rFonts w:cs="Times New Roman"/>
                <w:b/>
                <w:sz w:val="20"/>
                <w:szCs w:val="20"/>
              </w:rPr>
              <w:t>Item Text</w:t>
            </w:r>
          </w:p>
        </w:tc>
        <w:tc>
          <w:tcPr>
            <w:tcW w:w="851" w:type="dxa"/>
            <w:tcBorders>
              <w:top w:val="single" w:sz="4" w:space="0" w:color="auto"/>
              <w:left w:val="nil"/>
              <w:bottom w:val="nil"/>
              <w:right w:val="nil"/>
            </w:tcBorders>
            <w:shd w:val="clear" w:color="auto" w:fill="FFFFFF"/>
          </w:tcPr>
          <w:p w14:paraId="3963F199" w14:textId="77777777" w:rsidR="00782F33" w:rsidRPr="00B56453" w:rsidRDefault="00782F33" w:rsidP="00782F33">
            <w:pPr>
              <w:autoSpaceDE w:val="0"/>
              <w:autoSpaceDN w:val="0"/>
              <w:adjustRightInd w:val="0"/>
              <w:spacing w:after="0" w:line="240" w:lineRule="auto"/>
              <w:ind w:left="62" w:right="62"/>
              <w:jc w:val="center"/>
              <w:rPr>
                <w:rFonts w:cs="Times New Roman"/>
                <w:b/>
                <w:color w:val="000000"/>
                <w:sz w:val="20"/>
                <w:szCs w:val="20"/>
              </w:rPr>
            </w:pPr>
            <w:r w:rsidRPr="00B56453">
              <w:rPr>
                <w:rFonts w:cs="Times New Roman"/>
                <w:b/>
                <w:color w:val="000000"/>
                <w:sz w:val="20"/>
                <w:szCs w:val="20"/>
              </w:rPr>
              <w:t>Loading</w:t>
            </w:r>
          </w:p>
        </w:tc>
      </w:tr>
      <w:tr w:rsidR="00782F33" w:rsidRPr="00B56453" w14:paraId="48993497" w14:textId="77777777" w:rsidTr="00782F33">
        <w:trPr>
          <w:cantSplit/>
        </w:trPr>
        <w:tc>
          <w:tcPr>
            <w:tcW w:w="567" w:type="dxa"/>
            <w:tcBorders>
              <w:top w:val="nil"/>
              <w:left w:val="nil"/>
              <w:bottom w:val="nil"/>
              <w:right w:val="nil"/>
            </w:tcBorders>
            <w:shd w:val="clear" w:color="auto" w:fill="FFFFFF"/>
          </w:tcPr>
          <w:p w14:paraId="6BAA2052"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bookmarkStart w:id="370" w:name="OLE_LINK1"/>
            <w:r w:rsidRPr="00B56453">
              <w:rPr>
                <w:rFonts w:cs="Times New Roman"/>
                <w:color w:val="000000"/>
                <w:sz w:val="20"/>
                <w:szCs w:val="20"/>
              </w:rPr>
              <w:t>16</w:t>
            </w:r>
          </w:p>
        </w:tc>
        <w:tc>
          <w:tcPr>
            <w:tcW w:w="6946" w:type="dxa"/>
            <w:tcBorders>
              <w:top w:val="nil"/>
              <w:left w:val="nil"/>
              <w:bottom w:val="nil"/>
              <w:right w:val="nil"/>
            </w:tcBorders>
            <w:shd w:val="clear" w:color="auto" w:fill="FFFFFF"/>
          </w:tcPr>
          <w:p w14:paraId="78A6E0D9"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a hard time setting goals for myself.</w:t>
            </w:r>
          </w:p>
        </w:tc>
        <w:tc>
          <w:tcPr>
            <w:tcW w:w="851" w:type="dxa"/>
            <w:tcBorders>
              <w:top w:val="nil"/>
              <w:left w:val="nil"/>
              <w:bottom w:val="nil"/>
              <w:right w:val="nil"/>
            </w:tcBorders>
            <w:shd w:val="clear" w:color="auto" w:fill="FFFFFF"/>
          </w:tcPr>
          <w:p w14:paraId="350CD6CD"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0.618</w:t>
            </w:r>
          </w:p>
        </w:tc>
      </w:tr>
      <w:tr w:rsidR="00782F33" w:rsidRPr="00B56453" w14:paraId="3257C97C" w14:textId="77777777" w:rsidTr="00782F33">
        <w:trPr>
          <w:cantSplit/>
        </w:trPr>
        <w:tc>
          <w:tcPr>
            <w:tcW w:w="567" w:type="dxa"/>
            <w:tcBorders>
              <w:top w:val="nil"/>
              <w:left w:val="nil"/>
              <w:bottom w:val="nil"/>
              <w:right w:val="nil"/>
            </w:tcBorders>
            <w:shd w:val="clear" w:color="auto" w:fill="FFFFFF"/>
          </w:tcPr>
          <w:p w14:paraId="38834E9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19</w:t>
            </w:r>
          </w:p>
        </w:tc>
        <w:tc>
          <w:tcPr>
            <w:tcW w:w="6946" w:type="dxa"/>
            <w:tcBorders>
              <w:top w:val="nil"/>
              <w:left w:val="nil"/>
              <w:bottom w:val="nil"/>
              <w:right w:val="nil"/>
            </w:tcBorders>
            <w:shd w:val="clear" w:color="auto" w:fill="FFFFFF"/>
          </w:tcPr>
          <w:p w14:paraId="206AA025"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trouble making plans to help me reach my goals.</w:t>
            </w:r>
          </w:p>
        </w:tc>
        <w:tc>
          <w:tcPr>
            <w:tcW w:w="851" w:type="dxa"/>
            <w:tcBorders>
              <w:top w:val="nil"/>
              <w:left w:val="nil"/>
              <w:bottom w:val="nil"/>
              <w:right w:val="nil"/>
            </w:tcBorders>
            <w:shd w:val="clear" w:color="auto" w:fill="FFFFFF"/>
          </w:tcPr>
          <w:p w14:paraId="358E6224"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0.614</w:t>
            </w:r>
          </w:p>
        </w:tc>
      </w:tr>
      <w:tr w:rsidR="00782F33" w:rsidRPr="00B56453" w14:paraId="57C88569" w14:textId="77777777" w:rsidTr="00782F33">
        <w:trPr>
          <w:cantSplit/>
        </w:trPr>
        <w:tc>
          <w:tcPr>
            <w:tcW w:w="567" w:type="dxa"/>
            <w:tcBorders>
              <w:top w:val="nil"/>
              <w:left w:val="nil"/>
              <w:bottom w:val="nil"/>
              <w:right w:val="nil"/>
            </w:tcBorders>
            <w:shd w:val="clear" w:color="auto" w:fill="FFFFFF"/>
          </w:tcPr>
          <w:p w14:paraId="6CD95BAF"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10</w:t>
            </w:r>
          </w:p>
        </w:tc>
        <w:tc>
          <w:tcPr>
            <w:tcW w:w="6946" w:type="dxa"/>
            <w:tcBorders>
              <w:top w:val="nil"/>
              <w:left w:val="nil"/>
              <w:bottom w:val="nil"/>
              <w:right w:val="nil"/>
            </w:tcBorders>
            <w:shd w:val="clear" w:color="auto" w:fill="FFFFFF"/>
          </w:tcPr>
          <w:p w14:paraId="699F26E8"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trouble following through with things once I’ve made up my mind to do something.</w:t>
            </w:r>
          </w:p>
        </w:tc>
        <w:tc>
          <w:tcPr>
            <w:tcW w:w="851" w:type="dxa"/>
            <w:tcBorders>
              <w:top w:val="nil"/>
              <w:left w:val="nil"/>
              <w:bottom w:val="nil"/>
              <w:right w:val="nil"/>
            </w:tcBorders>
            <w:shd w:val="clear" w:color="auto" w:fill="FFFFFF"/>
          </w:tcPr>
          <w:p w14:paraId="19A4867F"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0.572</w:t>
            </w:r>
          </w:p>
        </w:tc>
      </w:tr>
      <w:tr w:rsidR="00782F33" w:rsidRPr="00B56453" w14:paraId="42A8D0C5" w14:textId="77777777" w:rsidTr="00782F33">
        <w:trPr>
          <w:cantSplit/>
        </w:trPr>
        <w:tc>
          <w:tcPr>
            <w:tcW w:w="567" w:type="dxa"/>
            <w:tcBorders>
              <w:top w:val="nil"/>
              <w:left w:val="nil"/>
              <w:bottom w:val="nil"/>
              <w:right w:val="nil"/>
            </w:tcBorders>
            <w:shd w:val="clear" w:color="auto" w:fill="FFFFFF"/>
          </w:tcPr>
          <w:p w14:paraId="42B2EDB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11</w:t>
            </w:r>
          </w:p>
        </w:tc>
        <w:tc>
          <w:tcPr>
            <w:tcW w:w="6946" w:type="dxa"/>
            <w:tcBorders>
              <w:top w:val="nil"/>
              <w:left w:val="nil"/>
              <w:bottom w:val="nil"/>
              <w:right w:val="nil"/>
            </w:tcBorders>
            <w:shd w:val="clear" w:color="auto" w:fill="FFFFFF"/>
          </w:tcPr>
          <w:p w14:paraId="6556D794"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don’t seem to learn from my mistakes.</w:t>
            </w:r>
          </w:p>
        </w:tc>
        <w:tc>
          <w:tcPr>
            <w:tcW w:w="851" w:type="dxa"/>
            <w:tcBorders>
              <w:top w:val="nil"/>
              <w:left w:val="nil"/>
              <w:bottom w:val="nil"/>
              <w:right w:val="nil"/>
            </w:tcBorders>
            <w:shd w:val="clear" w:color="auto" w:fill="FFFFFF"/>
          </w:tcPr>
          <w:p w14:paraId="4F992EE4"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0.566</w:t>
            </w:r>
          </w:p>
        </w:tc>
      </w:tr>
      <w:tr w:rsidR="00782F33" w:rsidRPr="00B56453" w14:paraId="4567AF3B" w14:textId="77777777" w:rsidTr="00782F33">
        <w:trPr>
          <w:cantSplit/>
        </w:trPr>
        <w:tc>
          <w:tcPr>
            <w:tcW w:w="567" w:type="dxa"/>
            <w:tcBorders>
              <w:top w:val="nil"/>
              <w:left w:val="nil"/>
              <w:bottom w:val="nil"/>
              <w:right w:val="nil"/>
            </w:tcBorders>
            <w:shd w:val="clear" w:color="auto" w:fill="FFFFFF"/>
          </w:tcPr>
          <w:p w14:paraId="615DFDA4"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31</w:t>
            </w:r>
          </w:p>
        </w:tc>
        <w:tc>
          <w:tcPr>
            <w:tcW w:w="6946" w:type="dxa"/>
            <w:tcBorders>
              <w:top w:val="nil"/>
              <w:left w:val="nil"/>
              <w:bottom w:val="nil"/>
              <w:right w:val="nil"/>
            </w:tcBorders>
            <w:shd w:val="clear" w:color="auto" w:fill="FFFFFF"/>
          </w:tcPr>
          <w:p w14:paraId="6DD861E1"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give up quickly.</w:t>
            </w:r>
          </w:p>
        </w:tc>
        <w:tc>
          <w:tcPr>
            <w:tcW w:w="851" w:type="dxa"/>
            <w:tcBorders>
              <w:top w:val="nil"/>
              <w:left w:val="nil"/>
              <w:bottom w:val="nil"/>
              <w:right w:val="nil"/>
            </w:tcBorders>
            <w:shd w:val="clear" w:color="auto" w:fill="FFFFFF"/>
          </w:tcPr>
          <w:p w14:paraId="212FE4C2"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0.560</w:t>
            </w:r>
          </w:p>
        </w:tc>
      </w:tr>
      <w:tr w:rsidR="00782F33" w:rsidRPr="00B56453" w14:paraId="6BC917B2" w14:textId="77777777" w:rsidTr="00782F33">
        <w:trPr>
          <w:cantSplit/>
        </w:trPr>
        <w:tc>
          <w:tcPr>
            <w:tcW w:w="567" w:type="dxa"/>
            <w:tcBorders>
              <w:top w:val="nil"/>
              <w:left w:val="nil"/>
              <w:bottom w:val="nil"/>
              <w:right w:val="nil"/>
            </w:tcBorders>
            <w:shd w:val="clear" w:color="auto" w:fill="FFFFFF"/>
          </w:tcPr>
          <w:p w14:paraId="35BA529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21</w:t>
            </w:r>
          </w:p>
        </w:tc>
        <w:tc>
          <w:tcPr>
            <w:tcW w:w="6946" w:type="dxa"/>
            <w:tcBorders>
              <w:top w:val="nil"/>
              <w:left w:val="nil"/>
              <w:bottom w:val="nil"/>
              <w:right w:val="nil"/>
            </w:tcBorders>
            <w:shd w:val="clear" w:color="auto" w:fill="FFFFFF"/>
          </w:tcPr>
          <w:p w14:paraId="47FF0A6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set goals for myself and keep track of my progress.</w:t>
            </w:r>
          </w:p>
        </w:tc>
        <w:tc>
          <w:tcPr>
            <w:tcW w:w="851" w:type="dxa"/>
            <w:tcBorders>
              <w:top w:val="nil"/>
              <w:left w:val="nil"/>
              <w:bottom w:val="nil"/>
              <w:right w:val="nil"/>
            </w:tcBorders>
            <w:shd w:val="clear" w:color="auto" w:fill="FFFFFF"/>
          </w:tcPr>
          <w:p w14:paraId="1E3ED6F4"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0.559</w:t>
            </w:r>
          </w:p>
        </w:tc>
      </w:tr>
      <w:tr w:rsidR="00782F33" w:rsidRPr="00B56453" w14:paraId="7388393D" w14:textId="77777777" w:rsidTr="00782F33">
        <w:trPr>
          <w:cantSplit/>
        </w:trPr>
        <w:tc>
          <w:tcPr>
            <w:tcW w:w="567" w:type="dxa"/>
            <w:tcBorders>
              <w:top w:val="nil"/>
              <w:left w:val="nil"/>
              <w:bottom w:val="nil"/>
              <w:right w:val="nil"/>
            </w:tcBorders>
            <w:shd w:val="clear" w:color="auto" w:fill="FFFFFF"/>
          </w:tcPr>
          <w:p w14:paraId="1C9EE554"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17</w:t>
            </w:r>
          </w:p>
        </w:tc>
        <w:tc>
          <w:tcPr>
            <w:tcW w:w="6946" w:type="dxa"/>
            <w:tcBorders>
              <w:top w:val="nil"/>
              <w:left w:val="nil"/>
              <w:bottom w:val="nil"/>
              <w:right w:val="nil"/>
            </w:tcBorders>
            <w:shd w:val="clear" w:color="auto" w:fill="FFFFFF"/>
          </w:tcPr>
          <w:p w14:paraId="16D07D18"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a lot of willpower.</w:t>
            </w:r>
          </w:p>
        </w:tc>
        <w:tc>
          <w:tcPr>
            <w:tcW w:w="851" w:type="dxa"/>
            <w:tcBorders>
              <w:top w:val="nil"/>
              <w:left w:val="nil"/>
              <w:bottom w:val="nil"/>
              <w:right w:val="nil"/>
            </w:tcBorders>
            <w:shd w:val="clear" w:color="auto" w:fill="FFFFFF"/>
          </w:tcPr>
          <w:p w14:paraId="575BB053"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0.558</w:t>
            </w:r>
          </w:p>
        </w:tc>
      </w:tr>
      <w:tr w:rsidR="00782F33" w:rsidRPr="00B56453" w14:paraId="0E586F61" w14:textId="77777777" w:rsidTr="00782F33">
        <w:trPr>
          <w:cantSplit/>
        </w:trPr>
        <w:tc>
          <w:tcPr>
            <w:tcW w:w="567" w:type="dxa"/>
            <w:tcBorders>
              <w:top w:val="nil"/>
              <w:left w:val="nil"/>
              <w:bottom w:val="nil"/>
              <w:right w:val="nil"/>
            </w:tcBorders>
            <w:shd w:val="clear" w:color="auto" w:fill="FFFFFF"/>
          </w:tcPr>
          <w:p w14:paraId="4C08D83D"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26</w:t>
            </w:r>
          </w:p>
        </w:tc>
        <w:tc>
          <w:tcPr>
            <w:tcW w:w="6946" w:type="dxa"/>
            <w:tcBorders>
              <w:top w:val="nil"/>
              <w:left w:val="nil"/>
              <w:bottom w:val="nil"/>
              <w:right w:val="nil"/>
            </w:tcBorders>
            <w:shd w:val="clear" w:color="auto" w:fill="FFFFFF"/>
          </w:tcPr>
          <w:p w14:paraId="0A5C7867"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If I make a resolution to change something, I pay a lot of attention to how I’m doing.</w:t>
            </w:r>
          </w:p>
        </w:tc>
        <w:tc>
          <w:tcPr>
            <w:tcW w:w="851" w:type="dxa"/>
            <w:tcBorders>
              <w:top w:val="nil"/>
              <w:left w:val="nil"/>
              <w:bottom w:val="nil"/>
              <w:right w:val="nil"/>
            </w:tcBorders>
            <w:shd w:val="clear" w:color="auto" w:fill="FFFFFF"/>
          </w:tcPr>
          <w:p w14:paraId="1883AB89"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0.546</w:t>
            </w:r>
          </w:p>
        </w:tc>
      </w:tr>
      <w:tr w:rsidR="00782F33" w:rsidRPr="00B56453" w14:paraId="7F55730E" w14:textId="77777777" w:rsidTr="00782F33">
        <w:trPr>
          <w:cantSplit/>
        </w:trPr>
        <w:tc>
          <w:tcPr>
            <w:tcW w:w="567" w:type="dxa"/>
            <w:tcBorders>
              <w:top w:val="nil"/>
              <w:left w:val="nil"/>
              <w:bottom w:val="nil"/>
              <w:right w:val="nil"/>
            </w:tcBorders>
            <w:shd w:val="clear" w:color="auto" w:fill="FFFFFF"/>
          </w:tcPr>
          <w:p w14:paraId="71B5901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25</w:t>
            </w:r>
          </w:p>
        </w:tc>
        <w:tc>
          <w:tcPr>
            <w:tcW w:w="6946" w:type="dxa"/>
            <w:tcBorders>
              <w:top w:val="nil"/>
              <w:left w:val="nil"/>
              <w:bottom w:val="nil"/>
              <w:right w:val="nil"/>
            </w:tcBorders>
            <w:shd w:val="clear" w:color="auto" w:fill="FFFFFF"/>
          </w:tcPr>
          <w:p w14:paraId="5D659081"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Once I have a goal, I can usually plan how to reach it.</w:t>
            </w:r>
          </w:p>
        </w:tc>
        <w:tc>
          <w:tcPr>
            <w:tcW w:w="851" w:type="dxa"/>
            <w:tcBorders>
              <w:top w:val="nil"/>
              <w:left w:val="nil"/>
              <w:bottom w:val="nil"/>
              <w:right w:val="nil"/>
            </w:tcBorders>
            <w:shd w:val="clear" w:color="auto" w:fill="FFFFFF"/>
          </w:tcPr>
          <w:p w14:paraId="1C659017"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0.521</w:t>
            </w:r>
          </w:p>
        </w:tc>
      </w:tr>
      <w:tr w:rsidR="00782F33" w:rsidRPr="00B56453" w14:paraId="0DA97DD5" w14:textId="77777777" w:rsidTr="00782F33">
        <w:trPr>
          <w:cantSplit/>
        </w:trPr>
        <w:tc>
          <w:tcPr>
            <w:tcW w:w="567" w:type="dxa"/>
            <w:tcBorders>
              <w:top w:val="nil"/>
              <w:left w:val="nil"/>
              <w:bottom w:val="nil"/>
              <w:right w:val="nil"/>
            </w:tcBorders>
            <w:shd w:val="clear" w:color="auto" w:fill="FFFFFF"/>
          </w:tcPr>
          <w:p w14:paraId="0C2BE2D7"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20</w:t>
            </w:r>
          </w:p>
        </w:tc>
        <w:tc>
          <w:tcPr>
            <w:tcW w:w="6946" w:type="dxa"/>
            <w:tcBorders>
              <w:top w:val="nil"/>
              <w:left w:val="nil"/>
              <w:bottom w:val="nil"/>
              <w:right w:val="nil"/>
            </w:tcBorders>
            <w:shd w:val="clear" w:color="auto" w:fill="FFFFFF"/>
          </w:tcPr>
          <w:p w14:paraId="0AAA043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am able to resist temptation.</w:t>
            </w:r>
          </w:p>
        </w:tc>
        <w:tc>
          <w:tcPr>
            <w:tcW w:w="851" w:type="dxa"/>
            <w:tcBorders>
              <w:top w:val="nil"/>
              <w:left w:val="nil"/>
              <w:bottom w:val="nil"/>
              <w:right w:val="nil"/>
            </w:tcBorders>
            <w:shd w:val="clear" w:color="auto" w:fill="FFFFFF"/>
          </w:tcPr>
          <w:p w14:paraId="37713921"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0.517</w:t>
            </w:r>
          </w:p>
        </w:tc>
      </w:tr>
      <w:tr w:rsidR="00782F33" w:rsidRPr="00B56453" w14:paraId="55EA2104" w14:textId="77777777" w:rsidTr="00782F33">
        <w:trPr>
          <w:cantSplit/>
        </w:trPr>
        <w:tc>
          <w:tcPr>
            <w:tcW w:w="567" w:type="dxa"/>
            <w:tcBorders>
              <w:top w:val="nil"/>
              <w:left w:val="nil"/>
              <w:bottom w:val="nil"/>
              <w:right w:val="nil"/>
            </w:tcBorders>
            <w:shd w:val="clear" w:color="auto" w:fill="FFFFFF"/>
          </w:tcPr>
          <w:p w14:paraId="3A4D1BD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9</w:t>
            </w:r>
          </w:p>
        </w:tc>
        <w:tc>
          <w:tcPr>
            <w:tcW w:w="6946" w:type="dxa"/>
            <w:tcBorders>
              <w:top w:val="nil"/>
              <w:left w:val="nil"/>
              <w:bottom w:val="nil"/>
              <w:right w:val="nil"/>
            </w:tcBorders>
            <w:shd w:val="clear" w:color="auto" w:fill="FFFFFF"/>
          </w:tcPr>
          <w:p w14:paraId="3B32ABB3"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When it comes to deciding about a change, I feel overwhelmed by the choices.</w:t>
            </w:r>
          </w:p>
        </w:tc>
        <w:tc>
          <w:tcPr>
            <w:tcW w:w="851" w:type="dxa"/>
            <w:tcBorders>
              <w:top w:val="nil"/>
              <w:left w:val="nil"/>
              <w:bottom w:val="nil"/>
              <w:right w:val="nil"/>
            </w:tcBorders>
            <w:shd w:val="clear" w:color="auto" w:fill="FFFFFF"/>
          </w:tcPr>
          <w:p w14:paraId="21F1D7A2"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0.515</w:t>
            </w:r>
          </w:p>
        </w:tc>
      </w:tr>
      <w:tr w:rsidR="00782F33" w:rsidRPr="00B56453" w14:paraId="3187C1D7" w14:textId="77777777" w:rsidTr="00782F33">
        <w:trPr>
          <w:cantSplit/>
        </w:trPr>
        <w:tc>
          <w:tcPr>
            <w:tcW w:w="567" w:type="dxa"/>
            <w:tcBorders>
              <w:top w:val="nil"/>
              <w:left w:val="nil"/>
              <w:bottom w:val="nil"/>
              <w:right w:val="nil"/>
            </w:tcBorders>
            <w:shd w:val="clear" w:color="auto" w:fill="FFFFFF"/>
          </w:tcPr>
          <w:p w14:paraId="12017504"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3</w:t>
            </w:r>
          </w:p>
        </w:tc>
        <w:tc>
          <w:tcPr>
            <w:tcW w:w="6946" w:type="dxa"/>
            <w:tcBorders>
              <w:top w:val="nil"/>
              <w:left w:val="nil"/>
              <w:bottom w:val="nil"/>
              <w:right w:val="nil"/>
            </w:tcBorders>
            <w:shd w:val="clear" w:color="auto" w:fill="FFFFFF"/>
          </w:tcPr>
          <w:p w14:paraId="5CF2D6C5"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get easily distracted from my plans.</w:t>
            </w:r>
          </w:p>
        </w:tc>
        <w:tc>
          <w:tcPr>
            <w:tcW w:w="851" w:type="dxa"/>
            <w:tcBorders>
              <w:top w:val="nil"/>
              <w:left w:val="nil"/>
              <w:bottom w:val="nil"/>
              <w:right w:val="nil"/>
            </w:tcBorders>
            <w:shd w:val="clear" w:color="auto" w:fill="FFFFFF"/>
          </w:tcPr>
          <w:p w14:paraId="6B2625DF"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0.510</w:t>
            </w:r>
          </w:p>
        </w:tc>
      </w:tr>
      <w:tr w:rsidR="00782F33" w:rsidRPr="00B56453" w14:paraId="6A5D66EA" w14:textId="77777777" w:rsidTr="00782F33">
        <w:trPr>
          <w:cantSplit/>
        </w:trPr>
        <w:tc>
          <w:tcPr>
            <w:tcW w:w="567" w:type="dxa"/>
            <w:tcBorders>
              <w:top w:val="nil"/>
              <w:left w:val="nil"/>
              <w:bottom w:val="nil"/>
              <w:right w:val="nil"/>
            </w:tcBorders>
            <w:shd w:val="clear" w:color="auto" w:fill="FFFFFF"/>
          </w:tcPr>
          <w:p w14:paraId="40242940"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22</w:t>
            </w:r>
          </w:p>
        </w:tc>
        <w:tc>
          <w:tcPr>
            <w:tcW w:w="6946" w:type="dxa"/>
            <w:tcBorders>
              <w:top w:val="nil"/>
              <w:left w:val="nil"/>
              <w:bottom w:val="nil"/>
              <w:right w:val="nil"/>
            </w:tcBorders>
            <w:shd w:val="clear" w:color="auto" w:fill="FFFFFF"/>
          </w:tcPr>
          <w:p w14:paraId="464F556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Most of the time I don’t pay attention to what I’m doing.</w:t>
            </w:r>
          </w:p>
        </w:tc>
        <w:tc>
          <w:tcPr>
            <w:tcW w:w="851" w:type="dxa"/>
            <w:tcBorders>
              <w:top w:val="nil"/>
              <w:left w:val="nil"/>
              <w:bottom w:val="nil"/>
              <w:right w:val="nil"/>
            </w:tcBorders>
            <w:shd w:val="clear" w:color="auto" w:fill="FFFFFF"/>
          </w:tcPr>
          <w:p w14:paraId="6C8CA330"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0.503</w:t>
            </w:r>
          </w:p>
        </w:tc>
      </w:tr>
      <w:tr w:rsidR="00782F33" w:rsidRPr="00B56453" w14:paraId="39BD5F1A" w14:textId="77777777" w:rsidTr="00782F33">
        <w:trPr>
          <w:cantSplit/>
        </w:trPr>
        <w:tc>
          <w:tcPr>
            <w:tcW w:w="567" w:type="dxa"/>
            <w:tcBorders>
              <w:top w:val="nil"/>
              <w:left w:val="nil"/>
              <w:bottom w:val="nil"/>
              <w:right w:val="nil"/>
            </w:tcBorders>
            <w:shd w:val="clear" w:color="auto" w:fill="FFFFFF"/>
          </w:tcPr>
          <w:p w14:paraId="1C42103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18</w:t>
            </w:r>
          </w:p>
        </w:tc>
        <w:tc>
          <w:tcPr>
            <w:tcW w:w="6946" w:type="dxa"/>
            <w:tcBorders>
              <w:top w:val="nil"/>
              <w:left w:val="nil"/>
              <w:bottom w:val="nil"/>
              <w:right w:val="nil"/>
            </w:tcBorders>
            <w:shd w:val="clear" w:color="auto" w:fill="FFFFFF"/>
          </w:tcPr>
          <w:p w14:paraId="2D754628"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When I’m trying to change something, I pay a lot of attention to how I’m doing.</w:t>
            </w:r>
          </w:p>
        </w:tc>
        <w:tc>
          <w:tcPr>
            <w:tcW w:w="851" w:type="dxa"/>
            <w:tcBorders>
              <w:top w:val="nil"/>
              <w:left w:val="nil"/>
              <w:bottom w:val="nil"/>
              <w:right w:val="nil"/>
            </w:tcBorders>
            <w:shd w:val="clear" w:color="auto" w:fill="FFFFFF"/>
          </w:tcPr>
          <w:p w14:paraId="07113225"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0.502</w:t>
            </w:r>
          </w:p>
        </w:tc>
      </w:tr>
      <w:tr w:rsidR="00782F33" w:rsidRPr="00B56453" w14:paraId="2FBF4E4B" w14:textId="77777777" w:rsidTr="00782F33">
        <w:trPr>
          <w:cantSplit/>
        </w:trPr>
        <w:tc>
          <w:tcPr>
            <w:tcW w:w="567" w:type="dxa"/>
            <w:tcBorders>
              <w:top w:val="nil"/>
              <w:left w:val="nil"/>
              <w:bottom w:val="nil"/>
              <w:right w:val="nil"/>
            </w:tcBorders>
            <w:shd w:val="clear" w:color="auto" w:fill="FFFFFF"/>
          </w:tcPr>
          <w:p w14:paraId="30F641F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8</w:t>
            </w:r>
          </w:p>
        </w:tc>
        <w:tc>
          <w:tcPr>
            <w:tcW w:w="6946" w:type="dxa"/>
            <w:tcBorders>
              <w:top w:val="nil"/>
              <w:left w:val="nil"/>
              <w:bottom w:val="nil"/>
              <w:right w:val="nil"/>
            </w:tcBorders>
            <w:shd w:val="clear" w:color="auto" w:fill="FFFFFF"/>
          </w:tcPr>
          <w:p w14:paraId="724E3CB5"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If I wanted to change, I am confident that I could do it.</w:t>
            </w:r>
          </w:p>
        </w:tc>
        <w:tc>
          <w:tcPr>
            <w:tcW w:w="851" w:type="dxa"/>
            <w:tcBorders>
              <w:top w:val="nil"/>
              <w:left w:val="nil"/>
              <w:bottom w:val="nil"/>
              <w:right w:val="nil"/>
            </w:tcBorders>
            <w:shd w:val="clear" w:color="auto" w:fill="FFFFFF"/>
          </w:tcPr>
          <w:p w14:paraId="3E7BD5A1"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0.491</w:t>
            </w:r>
          </w:p>
        </w:tc>
      </w:tr>
      <w:tr w:rsidR="00782F33" w:rsidRPr="00B56453" w14:paraId="0C7A4839" w14:textId="77777777" w:rsidTr="00782F33">
        <w:trPr>
          <w:cantSplit/>
        </w:trPr>
        <w:tc>
          <w:tcPr>
            <w:tcW w:w="567" w:type="dxa"/>
            <w:tcBorders>
              <w:top w:val="nil"/>
              <w:left w:val="nil"/>
              <w:bottom w:val="nil"/>
              <w:right w:val="nil"/>
            </w:tcBorders>
            <w:shd w:val="clear" w:color="auto" w:fill="FFFFFF"/>
          </w:tcPr>
          <w:p w14:paraId="592B4DB0"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w:t>
            </w:r>
          </w:p>
        </w:tc>
        <w:tc>
          <w:tcPr>
            <w:tcW w:w="6946" w:type="dxa"/>
            <w:tcBorders>
              <w:top w:val="nil"/>
              <w:left w:val="nil"/>
              <w:bottom w:val="nil"/>
              <w:right w:val="nil"/>
            </w:tcBorders>
            <w:shd w:val="clear" w:color="auto" w:fill="FFFFFF"/>
          </w:tcPr>
          <w:p w14:paraId="6D504CD9"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usually keep track of my progress toward my goals.</w:t>
            </w:r>
          </w:p>
        </w:tc>
        <w:tc>
          <w:tcPr>
            <w:tcW w:w="851" w:type="dxa"/>
            <w:tcBorders>
              <w:top w:val="nil"/>
              <w:left w:val="nil"/>
              <w:bottom w:val="nil"/>
              <w:right w:val="nil"/>
            </w:tcBorders>
            <w:shd w:val="clear" w:color="auto" w:fill="FFFFFF"/>
          </w:tcPr>
          <w:p w14:paraId="3CA120F6"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0.475</w:t>
            </w:r>
          </w:p>
        </w:tc>
      </w:tr>
      <w:tr w:rsidR="00782F33" w:rsidRPr="00B56453" w14:paraId="54C3922B" w14:textId="77777777" w:rsidTr="00782F33">
        <w:trPr>
          <w:cantSplit/>
        </w:trPr>
        <w:tc>
          <w:tcPr>
            <w:tcW w:w="567" w:type="dxa"/>
            <w:tcBorders>
              <w:top w:val="nil"/>
              <w:left w:val="nil"/>
              <w:bottom w:val="nil"/>
              <w:right w:val="nil"/>
            </w:tcBorders>
            <w:shd w:val="clear" w:color="auto" w:fill="FFFFFF"/>
          </w:tcPr>
          <w:p w14:paraId="4A3177C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6</w:t>
            </w:r>
          </w:p>
        </w:tc>
        <w:tc>
          <w:tcPr>
            <w:tcW w:w="6946" w:type="dxa"/>
            <w:tcBorders>
              <w:top w:val="nil"/>
              <w:left w:val="nil"/>
              <w:bottom w:val="nil"/>
              <w:right w:val="nil"/>
            </w:tcBorders>
            <w:shd w:val="clear" w:color="auto" w:fill="FFFFFF"/>
          </w:tcPr>
          <w:p w14:paraId="66CD6C5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put off making decisions.</w:t>
            </w:r>
          </w:p>
        </w:tc>
        <w:tc>
          <w:tcPr>
            <w:tcW w:w="851" w:type="dxa"/>
            <w:tcBorders>
              <w:top w:val="nil"/>
              <w:left w:val="nil"/>
              <w:bottom w:val="nil"/>
              <w:right w:val="nil"/>
            </w:tcBorders>
            <w:shd w:val="clear" w:color="auto" w:fill="FFFFFF"/>
          </w:tcPr>
          <w:p w14:paraId="71C2AF14"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0.463</w:t>
            </w:r>
          </w:p>
        </w:tc>
      </w:tr>
      <w:tr w:rsidR="00782F33" w:rsidRPr="00B56453" w14:paraId="37BBDD23" w14:textId="77777777" w:rsidTr="00782F33">
        <w:trPr>
          <w:cantSplit/>
        </w:trPr>
        <w:tc>
          <w:tcPr>
            <w:tcW w:w="567" w:type="dxa"/>
            <w:tcBorders>
              <w:top w:val="nil"/>
              <w:left w:val="nil"/>
              <w:bottom w:val="nil"/>
              <w:right w:val="nil"/>
            </w:tcBorders>
            <w:shd w:val="clear" w:color="auto" w:fill="FFFFFF"/>
          </w:tcPr>
          <w:p w14:paraId="6DCB57DB"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27</w:t>
            </w:r>
          </w:p>
        </w:tc>
        <w:tc>
          <w:tcPr>
            <w:tcW w:w="6946" w:type="dxa"/>
            <w:tcBorders>
              <w:top w:val="nil"/>
              <w:left w:val="nil"/>
              <w:bottom w:val="nil"/>
              <w:right w:val="nil"/>
            </w:tcBorders>
            <w:shd w:val="clear" w:color="auto" w:fill="FFFFFF"/>
          </w:tcPr>
          <w:p w14:paraId="2CF65D67"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Often I don’t notice what I’m doing until someone calls it to my attention.</w:t>
            </w:r>
          </w:p>
        </w:tc>
        <w:tc>
          <w:tcPr>
            <w:tcW w:w="851" w:type="dxa"/>
            <w:tcBorders>
              <w:top w:val="nil"/>
              <w:left w:val="nil"/>
              <w:bottom w:val="nil"/>
              <w:right w:val="nil"/>
            </w:tcBorders>
            <w:shd w:val="clear" w:color="auto" w:fill="FFFFFF"/>
          </w:tcPr>
          <w:p w14:paraId="026A012D"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0.459</w:t>
            </w:r>
          </w:p>
        </w:tc>
      </w:tr>
      <w:tr w:rsidR="00782F33" w:rsidRPr="00B56453" w14:paraId="6D30BA05" w14:textId="77777777" w:rsidTr="00782F33">
        <w:trPr>
          <w:cantSplit/>
        </w:trPr>
        <w:tc>
          <w:tcPr>
            <w:tcW w:w="567" w:type="dxa"/>
            <w:tcBorders>
              <w:top w:val="nil"/>
              <w:left w:val="nil"/>
              <w:bottom w:val="nil"/>
              <w:right w:val="nil"/>
            </w:tcBorders>
            <w:shd w:val="clear" w:color="auto" w:fill="FFFFFF"/>
          </w:tcPr>
          <w:p w14:paraId="3D1F4DA0"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4</w:t>
            </w:r>
          </w:p>
        </w:tc>
        <w:tc>
          <w:tcPr>
            <w:tcW w:w="6946" w:type="dxa"/>
            <w:tcBorders>
              <w:top w:val="nil"/>
              <w:left w:val="nil"/>
              <w:bottom w:val="nil"/>
              <w:right w:val="nil"/>
            </w:tcBorders>
            <w:shd w:val="clear" w:color="auto" w:fill="FFFFFF"/>
          </w:tcPr>
          <w:p w14:paraId="74F1CFA9"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don’t notice the effects of my actions until it’s too late.</w:t>
            </w:r>
          </w:p>
        </w:tc>
        <w:tc>
          <w:tcPr>
            <w:tcW w:w="851" w:type="dxa"/>
            <w:tcBorders>
              <w:top w:val="nil"/>
              <w:left w:val="nil"/>
              <w:bottom w:val="nil"/>
              <w:right w:val="nil"/>
            </w:tcBorders>
            <w:shd w:val="clear" w:color="auto" w:fill="FFFFFF"/>
          </w:tcPr>
          <w:p w14:paraId="7BB86CBE"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0.457</w:t>
            </w:r>
          </w:p>
        </w:tc>
      </w:tr>
      <w:tr w:rsidR="00782F33" w:rsidRPr="00B56453" w14:paraId="2C0B364D" w14:textId="77777777" w:rsidTr="00782F33">
        <w:trPr>
          <w:cantSplit/>
        </w:trPr>
        <w:tc>
          <w:tcPr>
            <w:tcW w:w="567" w:type="dxa"/>
            <w:tcBorders>
              <w:top w:val="nil"/>
              <w:left w:val="nil"/>
              <w:bottom w:val="nil"/>
              <w:right w:val="nil"/>
            </w:tcBorders>
            <w:shd w:val="clear" w:color="auto" w:fill="FFFFFF"/>
          </w:tcPr>
          <w:p w14:paraId="015D3B8B"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15</w:t>
            </w:r>
          </w:p>
        </w:tc>
        <w:tc>
          <w:tcPr>
            <w:tcW w:w="6946" w:type="dxa"/>
            <w:tcBorders>
              <w:top w:val="nil"/>
              <w:left w:val="nil"/>
              <w:bottom w:val="nil"/>
              <w:right w:val="nil"/>
            </w:tcBorders>
            <w:shd w:val="clear" w:color="auto" w:fill="FFFFFF"/>
          </w:tcPr>
          <w:p w14:paraId="70C2025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As soon as I see a problem or challenge, I start looking for possible solutions.</w:t>
            </w:r>
          </w:p>
        </w:tc>
        <w:tc>
          <w:tcPr>
            <w:tcW w:w="851" w:type="dxa"/>
            <w:tcBorders>
              <w:top w:val="nil"/>
              <w:left w:val="nil"/>
              <w:bottom w:val="nil"/>
              <w:right w:val="nil"/>
            </w:tcBorders>
            <w:shd w:val="clear" w:color="auto" w:fill="FFFFFF"/>
          </w:tcPr>
          <w:p w14:paraId="5DE16C79"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0.456</w:t>
            </w:r>
          </w:p>
        </w:tc>
      </w:tr>
      <w:tr w:rsidR="00782F33" w:rsidRPr="00B56453" w14:paraId="13DF1CDE" w14:textId="77777777" w:rsidTr="00782F33">
        <w:trPr>
          <w:cantSplit/>
        </w:trPr>
        <w:tc>
          <w:tcPr>
            <w:tcW w:w="567" w:type="dxa"/>
            <w:tcBorders>
              <w:top w:val="nil"/>
              <w:left w:val="nil"/>
              <w:bottom w:val="nil"/>
              <w:right w:val="nil"/>
            </w:tcBorders>
            <w:shd w:val="clear" w:color="auto" w:fill="FFFFFF"/>
          </w:tcPr>
          <w:p w14:paraId="452EE15E"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29</w:t>
            </w:r>
          </w:p>
        </w:tc>
        <w:tc>
          <w:tcPr>
            <w:tcW w:w="6946" w:type="dxa"/>
            <w:tcBorders>
              <w:top w:val="nil"/>
              <w:left w:val="nil"/>
              <w:bottom w:val="nil"/>
              <w:right w:val="nil"/>
            </w:tcBorders>
            <w:shd w:val="clear" w:color="auto" w:fill="FFFFFF"/>
          </w:tcPr>
          <w:p w14:paraId="3288B23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learn from my mistakes.</w:t>
            </w:r>
          </w:p>
        </w:tc>
        <w:tc>
          <w:tcPr>
            <w:tcW w:w="851" w:type="dxa"/>
            <w:tcBorders>
              <w:top w:val="nil"/>
              <w:left w:val="nil"/>
              <w:bottom w:val="nil"/>
              <w:right w:val="nil"/>
            </w:tcBorders>
            <w:shd w:val="clear" w:color="auto" w:fill="FFFFFF"/>
          </w:tcPr>
          <w:p w14:paraId="412A6E88"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0.452</w:t>
            </w:r>
          </w:p>
        </w:tc>
      </w:tr>
      <w:tr w:rsidR="00782F33" w:rsidRPr="00B56453" w14:paraId="4AD9E7A3" w14:textId="77777777" w:rsidTr="00782F33">
        <w:trPr>
          <w:cantSplit/>
        </w:trPr>
        <w:tc>
          <w:tcPr>
            <w:tcW w:w="567" w:type="dxa"/>
            <w:tcBorders>
              <w:top w:val="nil"/>
              <w:left w:val="nil"/>
              <w:bottom w:val="nil"/>
              <w:right w:val="nil"/>
            </w:tcBorders>
            <w:shd w:val="clear" w:color="auto" w:fill="FFFFFF"/>
          </w:tcPr>
          <w:p w14:paraId="716332BC"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23</w:t>
            </w:r>
          </w:p>
        </w:tc>
        <w:tc>
          <w:tcPr>
            <w:tcW w:w="6946" w:type="dxa"/>
            <w:tcBorders>
              <w:top w:val="nil"/>
              <w:left w:val="nil"/>
              <w:bottom w:val="nil"/>
              <w:right w:val="nil"/>
            </w:tcBorders>
            <w:shd w:val="clear" w:color="auto" w:fill="FFFFFF"/>
          </w:tcPr>
          <w:p w14:paraId="059E3815"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tend to keep doing the same thing, even when it doesn’t work.</w:t>
            </w:r>
          </w:p>
        </w:tc>
        <w:tc>
          <w:tcPr>
            <w:tcW w:w="851" w:type="dxa"/>
            <w:tcBorders>
              <w:top w:val="nil"/>
              <w:left w:val="nil"/>
              <w:bottom w:val="nil"/>
              <w:right w:val="nil"/>
            </w:tcBorders>
            <w:shd w:val="clear" w:color="auto" w:fill="FFFFFF"/>
          </w:tcPr>
          <w:p w14:paraId="21DA32C1"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0.448</w:t>
            </w:r>
          </w:p>
        </w:tc>
      </w:tr>
      <w:tr w:rsidR="00782F33" w:rsidRPr="00B56453" w14:paraId="648EFF04" w14:textId="77777777" w:rsidTr="00782F33">
        <w:trPr>
          <w:cantSplit/>
        </w:trPr>
        <w:tc>
          <w:tcPr>
            <w:tcW w:w="567" w:type="dxa"/>
            <w:tcBorders>
              <w:top w:val="nil"/>
              <w:left w:val="nil"/>
              <w:bottom w:val="nil"/>
              <w:right w:val="nil"/>
            </w:tcBorders>
            <w:shd w:val="clear" w:color="auto" w:fill="FFFFFF"/>
          </w:tcPr>
          <w:p w14:paraId="249823AB"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w:t>
            </w:r>
          </w:p>
        </w:tc>
        <w:tc>
          <w:tcPr>
            <w:tcW w:w="6946" w:type="dxa"/>
            <w:tcBorders>
              <w:top w:val="nil"/>
              <w:left w:val="nil"/>
              <w:bottom w:val="nil"/>
              <w:right w:val="nil"/>
            </w:tcBorders>
            <w:shd w:val="clear" w:color="auto" w:fill="FFFFFF"/>
          </w:tcPr>
          <w:p w14:paraId="7B9D2D9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trouble making up my mind about things.</w:t>
            </w:r>
          </w:p>
        </w:tc>
        <w:tc>
          <w:tcPr>
            <w:tcW w:w="851" w:type="dxa"/>
            <w:tcBorders>
              <w:top w:val="nil"/>
              <w:left w:val="nil"/>
              <w:bottom w:val="nil"/>
              <w:right w:val="nil"/>
            </w:tcBorders>
            <w:shd w:val="clear" w:color="auto" w:fill="FFFFFF"/>
          </w:tcPr>
          <w:p w14:paraId="57EAC4DC"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0.437</w:t>
            </w:r>
          </w:p>
        </w:tc>
      </w:tr>
      <w:tr w:rsidR="00782F33" w:rsidRPr="00B56453" w14:paraId="51BDC0B0" w14:textId="77777777" w:rsidTr="00782F33">
        <w:trPr>
          <w:cantSplit/>
        </w:trPr>
        <w:tc>
          <w:tcPr>
            <w:tcW w:w="567" w:type="dxa"/>
            <w:tcBorders>
              <w:top w:val="nil"/>
              <w:left w:val="nil"/>
              <w:bottom w:val="nil"/>
              <w:right w:val="nil"/>
            </w:tcBorders>
            <w:shd w:val="clear" w:color="auto" w:fill="FFFFFF"/>
          </w:tcPr>
          <w:p w14:paraId="5CDA272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14</w:t>
            </w:r>
          </w:p>
        </w:tc>
        <w:tc>
          <w:tcPr>
            <w:tcW w:w="6946" w:type="dxa"/>
            <w:tcBorders>
              <w:top w:val="nil"/>
              <w:left w:val="nil"/>
              <w:bottom w:val="nil"/>
              <w:right w:val="nil"/>
            </w:tcBorders>
            <w:shd w:val="clear" w:color="auto" w:fill="FFFFFF"/>
          </w:tcPr>
          <w:p w14:paraId="381CCFD2"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have personal standards, and try to live up to them.</w:t>
            </w:r>
          </w:p>
        </w:tc>
        <w:tc>
          <w:tcPr>
            <w:tcW w:w="851" w:type="dxa"/>
            <w:tcBorders>
              <w:top w:val="nil"/>
              <w:left w:val="nil"/>
              <w:bottom w:val="nil"/>
              <w:right w:val="nil"/>
            </w:tcBorders>
            <w:shd w:val="clear" w:color="auto" w:fill="FFFFFF"/>
          </w:tcPr>
          <w:p w14:paraId="445D7E29"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0.420</w:t>
            </w:r>
          </w:p>
        </w:tc>
      </w:tr>
      <w:tr w:rsidR="00782F33" w:rsidRPr="00B56453" w14:paraId="65FF0220" w14:textId="77777777" w:rsidTr="00782F33">
        <w:trPr>
          <w:cantSplit/>
        </w:trPr>
        <w:tc>
          <w:tcPr>
            <w:tcW w:w="567" w:type="dxa"/>
            <w:tcBorders>
              <w:top w:val="nil"/>
              <w:left w:val="nil"/>
              <w:bottom w:val="nil"/>
              <w:right w:val="nil"/>
            </w:tcBorders>
            <w:shd w:val="clear" w:color="auto" w:fill="FFFFFF"/>
          </w:tcPr>
          <w:p w14:paraId="7795F8F3"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30</w:t>
            </w:r>
          </w:p>
        </w:tc>
        <w:tc>
          <w:tcPr>
            <w:tcW w:w="6946" w:type="dxa"/>
            <w:tcBorders>
              <w:top w:val="nil"/>
              <w:left w:val="nil"/>
              <w:bottom w:val="nil"/>
              <w:right w:val="nil"/>
            </w:tcBorders>
            <w:shd w:val="clear" w:color="auto" w:fill="FFFFFF"/>
          </w:tcPr>
          <w:p w14:paraId="4F7C7A63"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know how I want to be.</w:t>
            </w:r>
          </w:p>
        </w:tc>
        <w:tc>
          <w:tcPr>
            <w:tcW w:w="851" w:type="dxa"/>
            <w:tcBorders>
              <w:top w:val="nil"/>
              <w:left w:val="nil"/>
              <w:bottom w:val="nil"/>
              <w:right w:val="nil"/>
            </w:tcBorders>
            <w:shd w:val="clear" w:color="auto" w:fill="FFFFFF"/>
          </w:tcPr>
          <w:p w14:paraId="75700865"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0.412</w:t>
            </w:r>
          </w:p>
        </w:tc>
      </w:tr>
      <w:tr w:rsidR="00782F33" w:rsidRPr="00B56453" w14:paraId="49249FE4" w14:textId="77777777" w:rsidTr="00782F33">
        <w:trPr>
          <w:cantSplit/>
        </w:trPr>
        <w:tc>
          <w:tcPr>
            <w:tcW w:w="567" w:type="dxa"/>
            <w:tcBorders>
              <w:top w:val="nil"/>
              <w:left w:val="nil"/>
              <w:bottom w:val="nil"/>
              <w:right w:val="nil"/>
            </w:tcBorders>
            <w:shd w:val="clear" w:color="auto" w:fill="FFFFFF"/>
          </w:tcPr>
          <w:p w14:paraId="03017426"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28</w:t>
            </w:r>
          </w:p>
        </w:tc>
        <w:tc>
          <w:tcPr>
            <w:tcW w:w="6946" w:type="dxa"/>
            <w:tcBorders>
              <w:top w:val="nil"/>
              <w:left w:val="nil"/>
              <w:bottom w:val="nil"/>
              <w:right w:val="nil"/>
            </w:tcBorders>
            <w:shd w:val="clear" w:color="auto" w:fill="FFFFFF"/>
          </w:tcPr>
          <w:p w14:paraId="69D18635"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usually think before I act.</w:t>
            </w:r>
          </w:p>
        </w:tc>
        <w:tc>
          <w:tcPr>
            <w:tcW w:w="851" w:type="dxa"/>
            <w:tcBorders>
              <w:top w:val="nil"/>
              <w:left w:val="nil"/>
              <w:bottom w:val="nil"/>
              <w:right w:val="nil"/>
            </w:tcBorders>
            <w:shd w:val="clear" w:color="auto" w:fill="FFFFFF"/>
          </w:tcPr>
          <w:p w14:paraId="26168622"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0.406</w:t>
            </w:r>
          </w:p>
        </w:tc>
      </w:tr>
      <w:tr w:rsidR="00782F33" w:rsidRPr="00B56453" w14:paraId="2FCB703A" w14:textId="77777777" w:rsidTr="00782F33">
        <w:trPr>
          <w:cantSplit/>
        </w:trPr>
        <w:tc>
          <w:tcPr>
            <w:tcW w:w="567" w:type="dxa"/>
            <w:tcBorders>
              <w:top w:val="nil"/>
              <w:left w:val="nil"/>
              <w:bottom w:val="nil"/>
              <w:right w:val="nil"/>
            </w:tcBorders>
            <w:shd w:val="clear" w:color="auto" w:fill="FFFFFF"/>
          </w:tcPr>
          <w:p w14:paraId="1D16C9FE"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7</w:t>
            </w:r>
          </w:p>
        </w:tc>
        <w:tc>
          <w:tcPr>
            <w:tcW w:w="6946" w:type="dxa"/>
            <w:tcBorders>
              <w:top w:val="nil"/>
              <w:left w:val="nil"/>
              <w:bottom w:val="nil"/>
              <w:right w:val="nil"/>
            </w:tcBorders>
            <w:shd w:val="clear" w:color="auto" w:fill="FFFFFF"/>
          </w:tcPr>
          <w:p w14:paraId="0E4FD8CA"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It’s hard for me to notice when I’ve “had enough” (alcohol, food, sweets).</w:t>
            </w:r>
          </w:p>
        </w:tc>
        <w:tc>
          <w:tcPr>
            <w:tcW w:w="851" w:type="dxa"/>
            <w:tcBorders>
              <w:top w:val="nil"/>
              <w:left w:val="nil"/>
              <w:bottom w:val="nil"/>
              <w:right w:val="nil"/>
            </w:tcBorders>
            <w:shd w:val="clear" w:color="auto" w:fill="FFFFFF"/>
          </w:tcPr>
          <w:p w14:paraId="283C63BF"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0.397</w:t>
            </w:r>
          </w:p>
        </w:tc>
      </w:tr>
      <w:tr w:rsidR="00782F33" w:rsidRPr="00B56453" w14:paraId="13D2440D" w14:textId="77777777" w:rsidTr="00782F33">
        <w:trPr>
          <w:cantSplit/>
        </w:trPr>
        <w:tc>
          <w:tcPr>
            <w:tcW w:w="567" w:type="dxa"/>
            <w:tcBorders>
              <w:top w:val="nil"/>
              <w:left w:val="nil"/>
              <w:bottom w:val="nil"/>
              <w:right w:val="nil"/>
            </w:tcBorders>
            <w:shd w:val="clear" w:color="auto" w:fill="FFFFFF"/>
          </w:tcPr>
          <w:p w14:paraId="2A9D32BE"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5</w:t>
            </w:r>
          </w:p>
        </w:tc>
        <w:tc>
          <w:tcPr>
            <w:tcW w:w="6946" w:type="dxa"/>
            <w:tcBorders>
              <w:top w:val="nil"/>
              <w:left w:val="nil"/>
              <w:bottom w:val="nil"/>
              <w:right w:val="nil"/>
            </w:tcBorders>
            <w:shd w:val="clear" w:color="auto" w:fill="FFFFFF"/>
          </w:tcPr>
          <w:p w14:paraId="6BB07C69"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am able to accomplish goals I set for myself.</w:t>
            </w:r>
          </w:p>
        </w:tc>
        <w:tc>
          <w:tcPr>
            <w:tcW w:w="851" w:type="dxa"/>
            <w:tcBorders>
              <w:top w:val="nil"/>
              <w:left w:val="nil"/>
              <w:bottom w:val="nil"/>
              <w:right w:val="nil"/>
            </w:tcBorders>
            <w:shd w:val="clear" w:color="auto" w:fill="FFFFFF"/>
          </w:tcPr>
          <w:p w14:paraId="6CA1BCBB"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0.378</w:t>
            </w:r>
          </w:p>
        </w:tc>
      </w:tr>
      <w:tr w:rsidR="00782F33" w:rsidRPr="00B56453" w14:paraId="3123991B" w14:textId="77777777" w:rsidTr="00782F33">
        <w:trPr>
          <w:cantSplit/>
        </w:trPr>
        <w:tc>
          <w:tcPr>
            <w:tcW w:w="567" w:type="dxa"/>
            <w:tcBorders>
              <w:top w:val="nil"/>
              <w:left w:val="nil"/>
              <w:bottom w:val="nil"/>
              <w:right w:val="nil"/>
            </w:tcBorders>
            <w:shd w:val="clear" w:color="auto" w:fill="FFFFFF"/>
          </w:tcPr>
          <w:p w14:paraId="048972C7"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13</w:t>
            </w:r>
          </w:p>
        </w:tc>
        <w:tc>
          <w:tcPr>
            <w:tcW w:w="6946" w:type="dxa"/>
            <w:tcBorders>
              <w:top w:val="nil"/>
              <w:left w:val="nil"/>
              <w:bottom w:val="nil"/>
              <w:right w:val="nil"/>
            </w:tcBorders>
            <w:shd w:val="clear" w:color="auto" w:fill="FFFFFF"/>
          </w:tcPr>
          <w:p w14:paraId="2804FDC8"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usually only have to make a mistake one time in order to learn from it.</w:t>
            </w:r>
          </w:p>
        </w:tc>
        <w:tc>
          <w:tcPr>
            <w:tcW w:w="851" w:type="dxa"/>
            <w:tcBorders>
              <w:top w:val="nil"/>
              <w:left w:val="nil"/>
              <w:bottom w:val="nil"/>
              <w:right w:val="nil"/>
            </w:tcBorders>
            <w:shd w:val="clear" w:color="auto" w:fill="FFFFFF"/>
          </w:tcPr>
          <w:p w14:paraId="6288B20D"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0.366</w:t>
            </w:r>
          </w:p>
        </w:tc>
      </w:tr>
      <w:tr w:rsidR="00782F33" w:rsidRPr="00B56453" w14:paraId="0C9FDF72" w14:textId="77777777" w:rsidTr="00782F33">
        <w:trPr>
          <w:cantSplit/>
        </w:trPr>
        <w:tc>
          <w:tcPr>
            <w:tcW w:w="567" w:type="dxa"/>
            <w:tcBorders>
              <w:top w:val="nil"/>
              <w:left w:val="nil"/>
              <w:bottom w:val="nil"/>
              <w:right w:val="nil"/>
            </w:tcBorders>
            <w:shd w:val="clear" w:color="auto" w:fill="FFFFFF"/>
          </w:tcPr>
          <w:p w14:paraId="3DB5685E"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12</w:t>
            </w:r>
          </w:p>
        </w:tc>
        <w:tc>
          <w:tcPr>
            <w:tcW w:w="6946" w:type="dxa"/>
            <w:tcBorders>
              <w:top w:val="nil"/>
              <w:left w:val="nil"/>
              <w:bottom w:val="nil"/>
              <w:right w:val="nil"/>
            </w:tcBorders>
            <w:shd w:val="clear" w:color="auto" w:fill="FFFFFF"/>
          </w:tcPr>
          <w:p w14:paraId="7371A387"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can stick to a plan that’s working well.</w:t>
            </w:r>
          </w:p>
        </w:tc>
        <w:tc>
          <w:tcPr>
            <w:tcW w:w="851" w:type="dxa"/>
            <w:tcBorders>
              <w:top w:val="nil"/>
              <w:left w:val="nil"/>
              <w:bottom w:val="nil"/>
              <w:right w:val="nil"/>
            </w:tcBorders>
            <w:shd w:val="clear" w:color="auto" w:fill="FFFFFF"/>
          </w:tcPr>
          <w:p w14:paraId="699B79E3"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0.366</w:t>
            </w:r>
          </w:p>
        </w:tc>
      </w:tr>
      <w:tr w:rsidR="00782F33" w:rsidRPr="00B56453" w14:paraId="4F5F5D06" w14:textId="77777777" w:rsidTr="00782F33">
        <w:trPr>
          <w:cantSplit/>
        </w:trPr>
        <w:tc>
          <w:tcPr>
            <w:tcW w:w="567" w:type="dxa"/>
            <w:tcBorders>
              <w:top w:val="nil"/>
              <w:left w:val="nil"/>
              <w:bottom w:val="single" w:sz="4" w:space="0" w:color="auto"/>
              <w:right w:val="nil"/>
            </w:tcBorders>
            <w:shd w:val="clear" w:color="auto" w:fill="FFFFFF"/>
          </w:tcPr>
          <w:p w14:paraId="6C4BD40E"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rPr>
              <w:t>24</w:t>
            </w:r>
          </w:p>
        </w:tc>
        <w:tc>
          <w:tcPr>
            <w:tcW w:w="6946" w:type="dxa"/>
            <w:tcBorders>
              <w:top w:val="nil"/>
              <w:left w:val="nil"/>
              <w:bottom w:val="single" w:sz="4" w:space="0" w:color="auto"/>
              <w:right w:val="nil"/>
            </w:tcBorders>
            <w:shd w:val="clear" w:color="auto" w:fill="FFFFFF"/>
          </w:tcPr>
          <w:p w14:paraId="34130D68"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sz w:val="20"/>
                <w:szCs w:val="20"/>
              </w:rPr>
              <w:t>I can usually find several different possibilities when I want to change something.</w:t>
            </w:r>
          </w:p>
        </w:tc>
        <w:tc>
          <w:tcPr>
            <w:tcW w:w="851" w:type="dxa"/>
            <w:tcBorders>
              <w:top w:val="nil"/>
              <w:left w:val="nil"/>
              <w:bottom w:val="single" w:sz="4" w:space="0" w:color="auto"/>
              <w:right w:val="nil"/>
            </w:tcBorders>
            <w:shd w:val="clear" w:color="auto" w:fill="FFFFFF"/>
          </w:tcPr>
          <w:p w14:paraId="59F60D0C" w14:textId="77777777" w:rsidR="00782F33" w:rsidRPr="00B56453" w:rsidRDefault="00782F33" w:rsidP="00782F33">
            <w:pPr>
              <w:autoSpaceDE w:val="0"/>
              <w:autoSpaceDN w:val="0"/>
              <w:adjustRightInd w:val="0"/>
              <w:spacing w:after="0" w:line="240" w:lineRule="auto"/>
              <w:ind w:left="62" w:right="62"/>
              <w:jc w:val="center"/>
              <w:rPr>
                <w:rFonts w:cs="Times New Roman"/>
                <w:color w:val="000000"/>
                <w:sz w:val="20"/>
                <w:szCs w:val="20"/>
              </w:rPr>
            </w:pPr>
            <w:r w:rsidRPr="00B56453">
              <w:rPr>
                <w:rFonts w:cs="Times New Roman"/>
                <w:color w:val="000000"/>
                <w:sz w:val="20"/>
                <w:szCs w:val="20"/>
              </w:rPr>
              <w:t>0.325</w:t>
            </w:r>
          </w:p>
        </w:tc>
      </w:tr>
      <w:tr w:rsidR="00782F33" w:rsidRPr="00B56453" w14:paraId="1911F417" w14:textId="77777777" w:rsidTr="00782F33">
        <w:trPr>
          <w:cantSplit/>
        </w:trPr>
        <w:tc>
          <w:tcPr>
            <w:tcW w:w="8364" w:type="dxa"/>
            <w:gridSpan w:val="3"/>
            <w:tcBorders>
              <w:top w:val="single" w:sz="4" w:space="0" w:color="auto"/>
              <w:left w:val="nil"/>
              <w:bottom w:val="single" w:sz="4" w:space="0" w:color="auto"/>
              <w:right w:val="nil"/>
            </w:tcBorders>
            <w:shd w:val="clear" w:color="auto" w:fill="FFFFFF"/>
          </w:tcPr>
          <w:p w14:paraId="18809CF4" w14:textId="77777777" w:rsidR="00782F33" w:rsidRPr="00B56453" w:rsidRDefault="00782F33" w:rsidP="00782F33">
            <w:pPr>
              <w:autoSpaceDE w:val="0"/>
              <w:autoSpaceDN w:val="0"/>
              <w:adjustRightInd w:val="0"/>
              <w:spacing w:after="0" w:line="240" w:lineRule="auto"/>
              <w:ind w:left="62" w:right="62"/>
              <w:rPr>
                <w:rFonts w:cs="Times New Roman"/>
                <w:color w:val="000000"/>
                <w:sz w:val="20"/>
                <w:szCs w:val="20"/>
              </w:rPr>
            </w:pPr>
            <w:r w:rsidRPr="00B56453">
              <w:rPr>
                <w:rFonts w:cs="Times New Roman"/>
                <w:color w:val="000000"/>
                <w:sz w:val="20"/>
                <w:szCs w:val="20"/>
                <w:vertAlign w:val="superscript"/>
              </w:rPr>
              <w:t>a</w:t>
            </w:r>
            <w:r w:rsidRPr="00B56453">
              <w:rPr>
                <w:rFonts w:cs="Times New Roman"/>
                <w:color w:val="000000"/>
                <w:sz w:val="20"/>
                <w:szCs w:val="20"/>
              </w:rPr>
              <w:t>Extraction Method: Principal Component Analysis.</w:t>
            </w:r>
          </w:p>
        </w:tc>
      </w:tr>
    </w:tbl>
    <w:p w14:paraId="3EB95BBE" w14:textId="5FB743CE" w:rsidR="00FA111F" w:rsidRPr="00B56453" w:rsidRDefault="00721871" w:rsidP="00721871">
      <w:pPr>
        <w:pStyle w:val="Tablelist"/>
        <w:rPr>
          <w:lang w:val="en-GB"/>
        </w:rPr>
      </w:pPr>
      <w:bookmarkStart w:id="371" w:name="_Toc500319515"/>
      <w:bookmarkEnd w:id="370"/>
      <w:r w:rsidRPr="00B56453">
        <w:rPr>
          <w:lang w:val="en-GB"/>
        </w:rPr>
        <w:t>Table C1.</w:t>
      </w:r>
      <w:r w:rsidRPr="007638B6">
        <w:rPr>
          <w:lang w:val="en-GB"/>
        </w:rPr>
        <w:fldChar w:fldCharType="begin"/>
      </w:r>
      <w:r w:rsidRPr="00B56453">
        <w:rPr>
          <w:lang w:val="en-GB"/>
        </w:rPr>
        <w:instrText xml:space="preserve"> SEQ Table_C1. \* ARABIC </w:instrText>
      </w:r>
      <w:r w:rsidRPr="00B27F0B">
        <w:rPr>
          <w:lang w:val="en-GB"/>
        </w:rPr>
        <w:fldChar w:fldCharType="separate"/>
      </w:r>
      <w:r w:rsidR="00E44881" w:rsidRPr="00B56453">
        <w:rPr>
          <w:noProof/>
          <w:lang w:val="en-GB"/>
        </w:rPr>
        <w:t>2</w:t>
      </w:r>
      <w:r w:rsidRPr="007638B6">
        <w:rPr>
          <w:lang w:val="en-GB"/>
        </w:rPr>
        <w:fldChar w:fldCharType="end"/>
      </w:r>
      <w:r w:rsidRPr="00B56453">
        <w:rPr>
          <w:lang w:val="en-GB"/>
        </w:rPr>
        <w:t xml:space="preserve"> SSRQ Component matrix</w:t>
      </w:r>
      <w:r w:rsidR="00885CB3" w:rsidRPr="00B56453">
        <w:rPr>
          <w:lang w:val="en-GB"/>
        </w:rPr>
        <w:t xml:space="preserve"> including each item and its respective loading value</w:t>
      </w:r>
      <w:r w:rsidRPr="00B56453">
        <w:rPr>
          <w:lang w:val="en-GB"/>
        </w:rPr>
        <w:t>.</w:t>
      </w:r>
      <w:bookmarkEnd w:id="368"/>
      <w:bookmarkEnd w:id="369"/>
      <w:bookmarkEnd w:id="371"/>
      <w:r w:rsidR="00FA111F" w:rsidRPr="00B56453">
        <w:rPr>
          <w:lang w:val="en-GB"/>
        </w:rPr>
        <w:br w:type="page"/>
      </w:r>
    </w:p>
    <w:p w14:paraId="4CC47C69" w14:textId="77777777" w:rsidR="0068459B" w:rsidRPr="00B56453" w:rsidRDefault="0068459B" w:rsidP="00026049">
      <w:pPr>
        <w:pStyle w:val="Normal1"/>
        <w:rPr>
          <w:lang w:val="en-GB"/>
        </w:rPr>
      </w:pPr>
    </w:p>
    <w:p w14:paraId="4B0EE559" w14:textId="542626A2" w:rsidR="0060631D" w:rsidRPr="00B56453" w:rsidRDefault="00782F33" w:rsidP="00026049">
      <w:pPr>
        <w:pStyle w:val="Normal1"/>
        <w:rPr>
          <w:lang w:val="en-GB"/>
        </w:rPr>
      </w:pPr>
      <w:r w:rsidRPr="00B56453">
        <w:rPr>
          <w:lang w:val="en-GB"/>
        </w:rPr>
        <w:t>T</w:t>
      </w:r>
      <w:r w:rsidR="0060631D" w:rsidRPr="00B56453">
        <w:rPr>
          <w:lang w:val="en-GB"/>
        </w:rPr>
        <w:t xml:space="preserve">o test </w:t>
      </w:r>
      <w:r w:rsidR="00721871" w:rsidRPr="00B56453">
        <w:rPr>
          <w:lang w:val="en-GB"/>
        </w:rPr>
        <w:t>t</w:t>
      </w:r>
      <w:r w:rsidR="0060631D" w:rsidRPr="00B56453">
        <w:rPr>
          <w:lang w:val="en-GB"/>
        </w:rPr>
        <w:t>he relation</w:t>
      </w:r>
      <w:r w:rsidR="00721871" w:rsidRPr="00B56453">
        <w:rPr>
          <w:lang w:val="en-GB"/>
        </w:rPr>
        <w:t>ship</w:t>
      </w:r>
      <w:r w:rsidR="0060631D" w:rsidRPr="00B56453">
        <w:rPr>
          <w:lang w:val="en-GB"/>
        </w:rPr>
        <w:t xml:space="preserve"> between </w:t>
      </w:r>
      <w:r w:rsidR="00721871" w:rsidRPr="00B56453">
        <w:rPr>
          <w:lang w:val="en-GB"/>
        </w:rPr>
        <w:t xml:space="preserve">the </w:t>
      </w:r>
      <w:r w:rsidR="0060631D" w:rsidRPr="00B56453">
        <w:rPr>
          <w:lang w:val="en-GB"/>
        </w:rPr>
        <w:t>SSRQ scores and GSE scores, SSRQ total scores</w:t>
      </w:r>
      <w:r w:rsidR="00582D25" w:rsidRPr="00B56453">
        <w:rPr>
          <w:lang w:val="en-GB"/>
        </w:rPr>
        <w:t xml:space="preserve"> were computed</w:t>
      </w:r>
      <w:r w:rsidR="0060631D" w:rsidRPr="00B56453">
        <w:rPr>
          <w:lang w:val="en-GB"/>
        </w:rPr>
        <w:t xml:space="preserve"> by reversing the scores of all negatively worded items (</w:t>
      </w:r>
      <w:r w:rsidR="00582D25" w:rsidRPr="00B56453">
        <w:rPr>
          <w:lang w:val="en-GB"/>
        </w:rPr>
        <w:t>2, 3, 4, 6, 7, 9, 10, 11, 16, 19, 22, 23, 27, 31</w:t>
      </w:r>
      <w:r w:rsidR="0060631D" w:rsidRPr="00B56453">
        <w:rPr>
          <w:lang w:val="en-GB"/>
        </w:rPr>
        <w:t>), and subsequently by adding up the score of all the items endorsed in the scale. Similarly, GSE total scores</w:t>
      </w:r>
      <w:r w:rsidR="00582D25" w:rsidRPr="00B56453">
        <w:rPr>
          <w:lang w:val="en-GB"/>
        </w:rPr>
        <w:t xml:space="preserve"> were computed</w:t>
      </w:r>
      <w:r w:rsidR="0060631D" w:rsidRPr="00B56453">
        <w:rPr>
          <w:lang w:val="en-GB"/>
        </w:rPr>
        <w:t xml:space="preserve"> by adding up the score of all the items endorsed in the scale. </w:t>
      </w:r>
      <w:r w:rsidR="00582D25" w:rsidRPr="00B56453">
        <w:rPr>
          <w:lang w:val="en-GB"/>
        </w:rPr>
        <w:t>A</w:t>
      </w:r>
      <w:r w:rsidR="0060631D" w:rsidRPr="00B56453">
        <w:rPr>
          <w:lang w:val="en-GB"/>
        </w:rPr>
        <w:t xml:space="preserve"> significant positive correlation</w:t>
      </w:r>
      <w:r w:rsidR="00582D25" w:rsidRPr="00B56453">
        <w:rPr>
          <w:lang w:val="en-GB"/>
        </w:rPr>
        <w:t xml:space="preserve"> was found</w:t>
      </w:r>
      <w:r w:rsidR="00721871" w:rsidRPr="00B56453">
        <w:rPr>
          <w:lang w:val="en-GB"/>
        </w:rPr>
        <w:t xml:space="preserve"> between the two measures</w:t>
      </w:r>
      <w:r w:rsidR="0060631D" w:rsidRPr="00B56453">
        <w:rPr>
          <w:lang w:val="en-GB"/>
        </w:rPr>
        <w:t xml:space="preserve"> (r = </w:t>
      </w:r>
      <w:r w:rsidR="000E4B90" w:rsidRPr="00B56453">
        <w:rPr>
          <w:lang w:val="en-GB"/>
        </w:rPr>
        <w:t>0</w:t>
      </w:r>
      <w:r w:rsidR="0060631D" w:rsidRPr="00B56453">
        <w:rPr>
          <w:lang w:val="en-GB"/>
        </w:rPr>
        <w:t xml:space="preserve">.33, p = &lt; </w:t>
      </w:r>
      <w:r w:rsidR="000E4B90" w:rsidRPr="00B56453">
        <w:rPr>
          <w:lang w:val="en-GB"/>
        </w:rPr>
        <w:t>0</w:t>
      </w:r>
      <w:r w:rsidR="0060631D" w:rsidRPr="00B56453">
        <w:rPr>
          <w:lang w:val="en-GB"/>
        </w:rPr>
        <w:t>.001).</w:t>
      </w:r>
    </w:p>
    <w:p w14:paraId="0DE5A251" w14:textId="77777777" w:rsidR="0068459B" w:rsidRPr="00B56453" w:rsidRDefault="0068459B" w:rsidP="00026049">
      <w:pPr>
        <w:pStyle w:val="Normal1"/>
        <w:rPr>
          <w:lang w:val="en-GB"/>
        </w:rPr>
      </w:pPr>
    </w:p>
    <w:p w14:paraId="158173D5" w14:textId="2E8E1B3E" w:rsidR="0060631D" w:rsidRPr="00B56453" w:rsidRDefault="0060631D" w:rsidP="00026049">
      <w:pPr>
        <w:pStyle w:val="Normal1"/>
        <w:rPr>
          <w:lang w:val="en-GB"/>
        </w:rPr>
      </w:pPr>
      <w:r w:rsidRPr="00B56453">
        <w:rPr>
          <w:lang w:val="en-GB"/>
        </w:rPr>
        <w:t>Results from the independent sample t-test showed there were no differences between the scores of females (M = 117.03, SD = 11.37), and the scores of males (M = 116.6, SD = 1.02) (t</w:t>
      </w:r>
      <w:r w:rsidRPr="00B56453">
        <w:rPr>
          <w:vertAlign w:val="subscript"/>
          <w:lang w:val="en-GB"/>
        </w:rPr>
        <w:t>(343)</w:t>
      </w:r>
      <w:r w:rsidRPr="00B56453">
        <w:rPr>
          <w:lang w:val="en-GB"/>
        </w:rPr>
        <w:t xml:space="preserve"> = </w:t>
      </w:r>
      <w:r w:rsidRPr="00B56453">
        <w:rPr>
          <w:lang w:val="en-GB"/>
        </w:rPr>
        <w:sym w:font="Symbol" w:char="F02D"/>
      </w:r>
      <w:r w:rsidR="000E4B90" w:rsidRPr="00B56453">
        <w:rPr>
          <w:lang w:val="en-GB"/>
        </w:rPr>
        <w:t>0</w:t>
      </w:r>
      <w:r w:rsidRPr="00B56453">
        <w:rPr>
          <w:lang w:val="en-GB"/>
        </w:rPr>
        <w:t xml:space="preserve">.359, p = </w:t>
      </w:r>
      <w:r w:rsidR="000E4B90" w:rsidRPr="00B56453">
        <w:rPr>
          <w:lang w:val="en-GB"/>
        </w:rPr>
        <w:t>0</w:t>
      </w:r>
      <w:r w:rsidRPr="00B56453">
        <w:rPr>
          <w:lang w:val="en-GB"/>
        </w:rPr>
        <w:t xml:space="preserve">.720). Results from the linear regression showed no significant effect of age on SSRQ scores (Standardized Beta Coefficient = 0.09, t = 1.58, p = </w:t>
      </w:r>
      <w:r w:rsidR="000E4B90" w:rsidRPr="00B56453">
        <w:rPr>
          <w:lang w:val="en-GB"/>
        </w:rPr>
        <w:t>0</w:t>
      </w:r>
      <w:r w:rsidRPr="00B56453">
        <w:rPr>
          <w:lang w:val="en-GB"/>
        </w:rPr>
        <w:t xml:space="preserve">.116). </w:t>
      </w:r>
    </w:p>
    <w:p w14:paraId="44514E9E" w14:textId="4416E814" w:rsidR="00A43456" w:rsidRPr="00B56453" w:rsidRDefault="00A43456" w:rsidP="00026049">
      <w:pPr>
        <w:pStyle w:val="Normal1"/>
        <w:rPr>
          <w:lang w:val="en-GB"/>
        </w:rPr>
      </w:pPr>
      <w:r w:rsidRPr="00B56453">
        <w:rPr>
          <w:lang w:val="en-GB"/>
        </w:rPr>
        <w:br w:type="page"/>
      </w:r>
    </w:p>
    <w:p w14:paraId="6AFB5F0F" w14:textId="3CBA4FE0" w:rsidR="00A43456" w:rsidRPr="00B56453" w:rsidRDefault="000E241D" w:rsidP="00B1638D">
      <w:pPr>
        <w:pStyle w:val="Heading2"/>
        <w:rPr>
          <w:lang w:val="en-GB"/>
        </w:rPr>
      </w:pPr>
      <w:bookmarkStart w:id="372" w:name="_Toc500319412"/>
      <w:r w:rsidRPr="00B56453">
        <w:rPr>
          <w:lang w:val="en-GB"/>
        </w:rPr>
        <w:lastRenderedPageBreak/>
        <w:t>C1.5</w:t>
      </w:r>
      <w:r w:rsidR="00FA111F" w:rsidRPr="00B56453">
        <w:rPr>
          <w:lang w:val="en-GB"/>
        </w:rPr>
        <w:t xml:space="preserve"> </w:t>
      </w:r>
      <w:r w:rsidR="00A43456" w:rsidRPr="00B56453">
        <w:rPr>
          <w:lang w:val="en-GB"/>
        </w:rPr>
        <w:t>Chapter Summary</w:t>
      </w:r>
      <w:bookmarkEnd w:id="372"/>
    </w:p>
    <w:p w14:paraId="25BE92B2" w14:textId="77777777" w:rsidR="00A43456" w:rsidRPr="00B56453" w:rsidRDefault="00A43456" w:rsidP="00026049">
      <w:pPr>
        <w:pStyle w:val="Normal1"/>
        <w:rPr>
          <w:lang w:val="en-GB"/>
        </w:rPr>
      </w:pPr>
    </w:p>
    <w:p w14:paraId="75E86EEB" w14:textId="4A1537DF" w:rsidR="00A43456" w:rsidRPr="00B56453" w:rsidRDefault="00FA111F" w:rsidP="00026049">
      <w:pPr>
        <w:pStyle w:val="Normal1"/>
        <w:rPr>
          <w:lang w:val="en-GB"/>
        </w:rPr>
      </w:pPr>
      <w:r w:rsidRPr="00B56453">
        <w:rPr>
          <w:lang w:val="en-GB"/>
        </w:rPr>
        <w:t>Results from t</w:t>
      </w:r>
      <w:r w:rsidR="00CF212C" w:rsidRPr="00B56453">
        <w:rPr>
          <w:lang w:val="en-GB"/>
        </w:rPr>
        <w:t>his chapter</w:t>
      </w:r>
      <w:r w:rsidR="00A43456" w:rsidRPr="00B56453">
        <w:rPr>
          <w:lang w:val="en-GB"/>
        </w:rPr>
        <w:t xml:space="preserve"> revealed that the SSRQ tool was a valid tool of measurement for SRL capacity, informing the interpretation of data using the tool in this </w:t>
      </w:r>
      <w:r w:rsidR="00CF212C" w:rsidRPr="00B56453">
        <w:rPr>
          <w:lang w:val="en-GB"/>
        </w:rPr>
        <w:t>study</w:t>
      </w:r>
      <w:r w:rsidR="00A43456" w:rsidRPr="00B56453">
        <w:rPr>
          <w:lang w:val="en-GB"/>
        </w:rPr>
        <w:t xml:space="preserve">. This gave credibility to the findings in </w:t>
      </w:r>
      <w:r w:rsidR="00CF212C" w:rsidRPr="00B56453">
        <w:rPr>
          <w:lang w:val="en-GB"/>
        </w:rPr>
        <w:t>Chapter B3</w:t>
      </w:r>
      <w:r w:rsidR="00A43456" w:rsidRPr="00B56453">
        <w:rPr>
          <w:lang w:val="en-GB"/>
        </w:rPr>
        <w:t xml:space="preserve"> which explored the impact of the different methods of feedback giving on SRL capacity and self-efficacy using the SSRQ and GSE tools. A particular strength of the SSRQ was that it was able to predict GSE scores,</w:t>
      </w:r>
      <w:r w:rsidR="00721871" w:rsidRPr="00B56453">
        <w:rPr>
          <w:lang w:val="en-GB"/>
        </w:rPr>
        <w:t xml:space="preserve"> </w:t>
      </w:r>
      <w:r w:rsidR="00A43456" w:rsidRPr="00B56453">
        <w:rPr>
          <w:lang w:val="en-GB"/>
        </w:rPr>
        <w:t xml:space="preserve">this </w:t>
      </w:r>
      <w:r w:rsidR="00721871" w:rsidRPr="00B56453">
        <w:rPr>
          <w:lang w:val="en-GB"/>
        </w:rPr>
        <w:t>link is also suggested in the results in Chapter B3 which showed similar trajectories between SSRQ and GSE scores</w:t>
      </w:r>
      <w:r w:rsidR="00A43456" w:rsidRPr="00B56453">
        <w:rPr>
          <w:lang w:val="en-GB"/>
        </w:rPr>
        <w:t xml:space="preserve">. </w:t>
      </w:r>
    </w:p>
    <w:p w14:paraId="7D6FA745" w14:textId="77777777" w:rsidR="00A43456" w:rsidRPr="00B56453" w:rsidRDefault="00A43456" w:rsidP="00026049">
      <w:pPr>
        <w:pStyle w:val="Normal1"/>
        <w:rPr>
          <w:lang w:val="en-GB"/>
        </w:rPr>
      </w:pPr>
    </w:p>
    <w:p w14:paraId="3F70F1DC" w14:textId="4DABE7C7" w:rsidR="00A43456" w:rsidRPr="00B56453" w:rsidRDefault="00A43456" w:rsidP="00026049">
      <w:pPr>
        <w:pStyle w:val="Normal1"/>
        <w:rPr>
          <w:lang w:val="en-GB"/>
        </w:rPr>
      </w:pPr>
      <w:r w:rsidRPr="00B56453">
        <w:rPr>
          <w:lang w:val="en-GB"/>
        </w:rPr>
        <w:t xml:space="preserve">This </w:t>
      </w:r>
      <w:r w:rsidR="00721871" w:rsidRPr="00B56453">
        <w:rPr>
          <w:lang w:val="en-GB"/>
        </w:rPr>
        <w:t>validation</w:t>
      </w:r>
      <w:r w:rsidRPr="00B56453">
        <w:rPr>
          <w:lang w:val="en-GB"/>
        </w:rPr>
        <w:t xml:space="preserve"> also gave insights into the potential weaknesses of the SSRQ in understanding speci</w:t>
      </w:r>
      <w:r w:rsidR="00E74AC3" w:rsidRPr="00B56453">
        <w:rPr>
          <w:lang w:val="en-GB"/>
        </w:rPr>
        <w:t>fic factors within SRL capacity. M</w:t>
      </w:r>
      <w:r w:rsidRPr="00B56453">
        <w:rPr>
          <w:lang w:val="en-GB"/>
        </w:rPr>
        <w:t>ost notably</w:t>
      </w:r>
      <w:r w:rsidR="00E74AC3" w:rsidRPr="00B56453">
        <w:rPr>
          <w:lang w:val="en-GB"/>
        </w:rPr>
        <w:t>,</w:t>
      </w:r>
      <w:r w:rsidRPr="00B56453">
        <w:rPr>
          <w:lang w:val="en-GB"/>
        </w:rPr>
        <w:t xml:space="preserve"> a multiple factor solution could not be reached without sacrificing significant variance explanation. A further data collection on the next </w:t>
      </w:r>
      <w:r w:rsidR="003F1A1C" w:rsidRPr="00B56453">
        <w:rPr>
          <w:lang w:val="en-GB"/>
        </w:rPr>
        <w:t>consecutive</w:t>
      </w:r>
      <w:r w:rsidRPr="00B56453">
        <w:rPr>
          <w:lang w:val="en-GB"/>
        </w:rPr>
        <w:t xml:space="preserve"> cohort of students</w:t>
      </w:r>
      <w:r w:rsidR="00CF212C" w:rsidRPr="00B56453">
        <w:rPr>
          <w:lang w:val="en-GB"/>
        </w:rPr>
        <w:t xml:space="preserve"> and the use of confirmatory factor analysis</w:t>
      </w:r>
      <w:r w:rsidRPr="00B56453">
        <w:rPr>
          <w:lang w:val="en-GB"/>
        </w:rPr>
        <w:t xml:space="preserve"> </w:t>
      </w:r>
      <w:r w:rsidR="00782F33" w:rsidRPr="00B56453">
        <w:rPr>
          <w:lang w:val="en-GB"/>
        </w:rPr>
        <w:t>may</w:t>
      </w:r>
      <w:r w:rsidR="00E74AC3" w:rsidRPr="00B56453">
        <w:rPr>
          <w:lang w:val="en-GB"/>
        </w:rPr>
        <w:t xml:space="preserve"> give a better understanding of</w:t>
      </w:r>
      <w:r w:rsidRPr="00B56453">
        <w:rPr>
          <w:lang w:val="en-GB"/>
        </w:rPr>
        <w:t xml:space="preserve"> this phenomena. </w:t>
      </w:r>
    </w:p>
    <w:p w14:paraId="0F2ECF4E" w14:textId="42C750AC" w:rsidR="006B4916" w:rsidRPr="00B56453" w:rsidRDefault="00A43456" w:rsidP="00026049">
      <w:pPr>
        <w:pStyle w:val="Normal1"/>
        <w:rPr>
          <w:rFonts w:asciiTheme="majorHAnsi" w:eastAsiaTheme="majorEastAsia" w:hAnsiTheme="majorHAnsi" w:cstheme="majorBidi"/>
          <w:color w:val="2E74B5" w:themeColor="accent1" w:themeShade="BF"/>
          <w:sz w:val="32"/>
          <w:szCs w:val="32"/>
          <w:lang w:val="en-GB"/>
        </w:rPr>
      </w:pPr>
      <w:r w:rsidRPr="00B56453">
        <w:rPr>
          <w:lang w:val="en-GB"/>
        </w:rPr>
        <w:t xml:space="preserve"> </w:t>
      </w:r>
      <w:r w:rsidR="006B4916" w:rsidRPr="00B56453">
        <w:rPr>
          <w:lang w:val="en-GB"/>
        </w:rPr>
        <w:br w:type="page"/>
      </w:r>
    </w:p>
    <w:p w14:paraId="7CD1C401" w14:textId="46340932" w:rsidR="00A0607E" w:rsidRPr="00B56453" w:rsidRDefault="001F0F9F" w:rsidP="00426FCB">
      <w:pPr>
        <w:pStyle w:val="Heading1"/>
      </w:pPr>
      <w:bookmarkStart w:id="373" w:name="_Toc487456846"/>
      <w:bookmarkStart w:id="374" w:name="_Toc487811226"/>
      <w:bookmarkStart w:id="375" w:name="_Toc488147569"/>
      <w:bookmarkStart w:id="376" w:name="_Toc488930143"/>
      <w:bookmarkStart w:id="377" w:name="_Toc489017357"/>
      <w:bookmarkStart w:id="378" w:name="_Toc489447711"/>
      <w:bookmarkStart w:id="379" w:name="_Toc490650198"/>
      <w:bookmarkStart w:id="380" w:name="_Toc500319413"/>
      <w:bookmarkStart w:id="381" w:name="_Toc500319560"/>
      <w:r w:rsidRPr="00B56453">
        <w:lastRenderedPageBreak/>
        <w:t>Chapter C2</w:t>
      </w:r>
      <w:r w:rsidR="006B4916" w:rsidRPr="00B56453">
        <w:t xml:space="preserve">: </w:t>
      </w:r>
      <w:r w:rsidR="00A0607E" w:rsidRPr="00B56453">
        <w:t>Student Focus Groups and Interviews</w:t>
      </w:r>
      <w:bookmarkEnd w:id="373"/>
      <w:bookmarkEnd w:id="374"/>
      <w:bookmarkEnd w:id="375"/>
      <w:bookmarkEnd w:id="376"/>
      <w:bookmarkEnd w:id="377"/>
      <w:bookmarkEnd w:id="378"/>
      <w:bookmarkEnd w:id="379"/>
      <w:bookmarkEnd w:id="380"/>
      <w:bookmarkEnd w:id="381"/>
    </w:p>
    <w:p w14:paraId="610D2074" w14:textId="77777777" w:rsidR="00CF212C" w:rsidRPr="00B56453" w:rsidRDefault="00CF212C" w:rsidP="00026049">
      <w:pPr>
        <w:pStyle w:val="Normal1"/>
        <w:rPr>
          <w:lang w:val="en-GB"/>
        </w:rPr>
      </w:pPr>
    </w:p>
    <w:p w14:paraId="3CB8D4B0" w14:textId="19CCD897" w:rsidR="00CF212C" w:rsidRPr="00B56453" w:rsidRDefault="00FA111F" w:rsidP="00B1638D">
      <w:pPr>
        <w:pStyle w:val="Heading2"/>
        <w:rPr>
          <w:lang w:val="en-GB"/>
        </w:rPr>
      </w:pPr>
      <w:bookmarkStart w:id="382" w:name="_Toc500319414"/>
      <w:r w:rsidRPr="00B56453">
        <w:rPr>
          <w:lang w:val="en-GB"/>
        </w:rPr>
        <w:t xml:space="preserve">C2.1 </w:t>
      </w:r>
      <w:r w:rsidR="00CF212C" w:rsidRPr="00B56453">
        <w:rPr>
          <w:lang w:val="en-GB"/>
        </w:rPr>
        <w:t xml:space="preserve">Chapter </w:t>
      </w:r>
      <w:r w:rsidR="004D6EBA" w:rsidRPr="00B56453">
        <w:rPr>
          <w:lang w:val="en-GB"/>
        </w:rPr>
        <w:t>C</w:t>
      </w:r>
      <w:r w:rsidR="00CF212C" w:rsidRPr="00B56453">
        <w:rPr>
          <w:lang w:val="en-GB"/>
        </w:rPr>
        <w:t>ontext</w:t>
      </w:r>
      <w:bookmarkEnd w:id="382"/>
    </w:p>
    <w:p w14:paraId="27FC95D8" w14:textId="7F84011E" w:rsidR="00DF1217" w:rsidRPr="00B56453" w:rsidRDefault="00DF1217" w:rsidP="00026049">
      <w:pPr>
        <w:pStyle w:val="Normal1"/>
        <w:rPr>
          <w:lang w:val="en-GB"/>
        </w:rPr>
      </w:pPr>
    </w:p>
    <w:p w14:paraId="483F2D64" w14:textId="5F8BB1FB" w:rsidR="00615CBC" w:rsidRPr="00B56453" w:rsidRDefault="00ED78C1" w:rsidP="00026049">
      <w:pPr>
        <w:pStyle w:val="Normal1"/>
        <w:rPr>
          <w:lang w:val="en-GB"/>
        </w:rPr>
      </w:pPr>
      <w:r w:rsidRPr="00B56453">
        <w:rPr>
          <w:lang w:val="en-GB"/>
        </w:rPr>
        <w:t>Th</w:t>
      </w:r>
      <w:r w:rsidR="00DE48AC" w:rsidRPr="00B56453">
        <w:rPr>
          <w:lang w:val="en-GB"/>
        </w:rPr>
        <w:t>e</w:t>
      </w:r>
      <w:r w:rsidRPr="00B56453">
        <w:rPr>
          <w:lang w:val="en-GB"/>
        </w:rPr>
        <w:t xml:space="preserve"> purpose of this part of the study was to determine the </w:t>
      </w:r>
      <w:r w:rsidR="001246F8" w:rsidRPr="00B56453">
        <w:rPr>
          <w:lang w:val="en-GB"/>
        </w:rPr>
        <w:t xml:space="preserve">transferred </w:t>
      </w:r>
      <w:r w:rsidRPr="00B56453">
        <w:rPr>
          <w:lang w:val="en-GB"/>
        </w:rPr>
        <w:t xml:space="preserve">impact of the different </w:t>
      </w:r>
      <w:r w:rsidR="00FA111F" w:rsidRPr="00B56453">
        <w:rPr>
          <w:lang w:val="en-GB"/>
        </w:rPr>
        <w:t>models</w:t>
      </w:r>
      <w:r w:rsidRPr="00B56453">
        <w:rPr>
          <w:lang w:val="en-GB"/>
        </w:rPr>
        <w:t xml:space="preserve"> of giving feedback on students SRL and feedback behaviours</w:t>
      </w:r>
      <w:r w:rsidR="001246F8" w:rsidRPr="00B56453">
        <w:rPr>
          <w:lang w:val="en-GB"/>
        </w:rPr>
        <w:t xml:space="preserve"> whilst on clinical placements. Data collection was conducted using focus groups in July 2016</w:t>
      </w:r>
      <w:r w:rsidR="000A5A12" w:rsidRPr="00B56453">
        <w:rPr>
          <w:lang w:val="en-GB"/>
        </w:rPr>
        <w:t>,</w:t>
      </w:r>
      <w:r w:rsidR="001246F8" w:rsidRPr="00B56453">
        <w:rPr>
          <w:lang w:val="en-GB"/>
        </w:rPr>
        <w:t xml:space="preserve"> and interviews </w:t>
      </w:r>
      <w:r w:rsidR="000A5A12" w:rsidRPr="00B56453">
        <w:rPr>
          <w:lang w:val="en-GB"/>
        </w:rPr>
        <w:t xml:space="preserve">in September and October 2016. These occurred before the final questionnaire data collection in </w:t>
      </w:r>
      <w:r w:rsidR="000D1927" w:rsidRPr="00B56453">
        <w:rPr>
          <w:lang w:val="en-GB"/>
        </w:rPr>
        <w:t>October</w:t>
      </w:r>
      <w:r w:rsidR="000A5A12" w:rsidRPr="00B56453">
        <w:rPr>
          <w:lang w:val="en-GB"/>
        </w:rPr>
        <w:t xml:space="preserve"> 2016</w:t>
      </w:r>
      <w:r w:rsidR="001F1DCD" w:rsidRPr="00B56453">
        <w:rPr>
          <w:lang w:val="en-GB"/>
        </w:rPr>
        <w:t xml:space="preserve"> and the validation analysis</w:t>
      </w:r>
      <w:r w:rsidR="000A5A12" w:rsidRPr="00B56453">
        <w:rPr>
          <w:lang w:val="en-GB"/>
        </w:rPr>
        <w:t xml:space="preserve"> (</w:t>
      </w:r>
      <w:r w:rsidR="00AE17C9" w:rsidRPr="00B56453">
        <w:rPr>
          <w:lang w:val="en-GB"/>
        </w:rPr>
        <w:t>Figure</w:t>
      </w:r>
      <w:r w:rsidR="000A5A12" w:rsidRPr="00B56453">
        <w:rPr>
          <w:lang w:val="en-GB"/>
        </w:rPr>
        <w:t xml:space="preserve"> </w:t>
      </w:r>
      <w:r w:rsidR="004444CD" w:rsidRPr="00B56453">
        <w:rPr>
          <w:lang w:val="en-GB"/>
        </w:rPr>
        <w:t>C2.1</w:t>
      </w:r>
      <w:r w:rsidR="000A5A12" w:rsidRPr="00B56453">
        <w:rPr>
          <w:lang w:val="en-GB"/>
        </w:rPr>
        <w:t>).</w:t>
      </w:r>
    </w:p>
    <w:p w14:paraId="3ABD3D7B" w14:textId="52AB90BC" w:rsidR="00615CBC" w:rsidRPr="00B56453" w:rsidRDefault="00135002" w:rsidP="00615CBC">
      <w:r w:rsidRPr="00B56453">
        <w:rPr>
          <w:noProof/>
          <w:lang w:eastAsia="en-GB"/>
        </w:rPr>
        <mc:AlternateContent>
          <mc:Choice Requires="wpg">
            <w:drawing>
              <wp:anchor distT="0" distB="0" distL="114300" distR="114300" simplePos="0" relativeHeight="251696128" behindDoc="0" locked="0" layoutInCell="1" allowOverlap="1" wp14:anchorId="24D45049" wp14:editId="7A88341B">
                <wp:simplePos x="0" y="0"/>
                <wp:positionH relativeFrom="column">
                  <wp:posOffset>-71755</wp:posOffset>
                </wp:positionH>
                <wp:positionV relativeFrom="paragraph">
                  <wp:posOffset>421005</wp:posOffset>
                </wp:positionV>
                <wp:extent cx="5634990" cy="4597400"/>
                <wp:effectExtent l="0" t="0" r="3810" b="12700"/>
                <wp:wrapTopAndBottom/>
                <wp:docPr id="502" name="Group 502"/>
                <wp:cNvGraphicFramePr/>
                <a:graphic xmlns:a="http://schemas.openxmlformats.org/drawingml/2006/main">
                  <a:graphicData uri="http://schemas.microsoft.com/office/word/2010/wordprocessingGroup">
                    <wpg:wgp>
                      <wpg:cNvGrpSpPr/>
                      <wpg:grpSpPr>
                        <a:xfrm>
                          <a:off x="0" y="0"/>
                          <a:ext cx="5634990" cy="4597400"/>
                          <a:chOff x="0" y="0"/>
                          <a:chExt cx="6816712" cy="4597400"/>
                        </a:xfrm>
                      </wpg:grpSpPr>
                      <wpg:grpSp>
                        <wpg:cNvPr id="503" name="Group 503"/>
                        <wpg:cNvGrpSpPr/>
                        <wpg:grpSpPr>
                          <a:xfrm>
                            <a:off x="0" y="0"/>
                            <a:ext cx="6816712" cy="4597400"/>
                            <a:chOff x="1" y="-9"/>
                            <a:chExt cx="6817346" cy="4598147"/>
                          </a:xfrm>
                        </wpg:grpSpPr>
                        <wpg:grpSp>
                          <wpg:cNvPr id="504" name="Group 504"/>
                          <wpg:cNvGrpSpPr/>
                          <wpg:grpSpPr>
                            <a:xfrm>
                              <a:off x="1" y="-9"/>
                              <a:ext cx="6817346" cy="4598147"/>
                              <a:chOff x="2" y="-9"/>
                              <a:chExt cx="6818643" cy="4600876"/>
                            </a:xfrm>
                          </wpg:grpSpPr>
                          <wpg:grpSp>
                            <wpg:cNvPr id="505" name="Group 505"/>
                            <wpg:cNvGrpSpPr>
                              <a:grpSpLocks/>
                            </wpg:cNvGrpSpPr>
                            <wpg:grpSpPr bwMode="auto">
                              <a:xfrm>
                                <a:off x="2" y="-9"/>
                                <a:ext cx="6818643" cy="3044480"/>
                                <a:chOff x="961537" y="1183386"/>
                                <a:chExt cx="134737" cy="59130"/>
                              </a:xfrm>
                            </wpg:grpSpPr>
                            <wps:wsp>
                              <wps:cNvPr id="506" name="AutoShape 3"/>
                              <wps:cNvSpPr>
                                <a:spLocks noChangeArrowheads="1"/>
                              </wps:cNvSpPr>
                              <wps:spPr bwMode="auto">
                                <a:xfrm>
                                  <a:off x="981158" y="1183386"/>
                                  <a:ext cx="28610" cy="6359"/>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5A5F761" w14:textId="77777777" w:rsidR="00C8402C" w:rsidRPr="004E5070" w:rsidRDefault="00C8402C" w:rsidP="00615CBC">
                                    <w:pPr>
                                      <w:widowControl w:val="0"/>
                                      <w:jc w:val="center"/>
                                      <w:rPr>
                                        <w:szCs w:val="24"/>
                                      </w:rPr>
                                    </w:pPr>
                                    <w:r>
                                      <w:rPr>
                                        <w:szCs w:val="24"/>
                                      </w:rPr>
                                      <w:t>Teache</w:t>
                                    </w:r>
                                    <w:r w:rsidRPr="004E5070">
                                      <w:rPr>
                                        <w:szCs w:val="24"/>
                                      </w:rPr>
                                      <w:t>r training</w:t>
                                    </w:r>
                                  </w:p>
                                </w:txbxContent>
                              </wps:txbx>
                              <wps:bodyPr rot="0" vert="horz" wrap="square" lIns="36576" tIns="36576" rIns="36576" bIns="36576" anchor="t" anchorCtr="0" upright="1">
                                <a:noAutofit/>
                              </wps:bodyPr>
                            </wps:wsp>
                            <wps:wsp>
                              <wps:cNvPr id="507" name="AutoShape 4"/>
                              <wps:cNvSpPr>
                                <a:spLocks noChangeArrowheads="1"/>
                              </wps:cNvSpPr>
                              <wps:spPr bwMode="auto">
                                <a:xfrm>
                                  <a:off x="961537"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104079"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508" name="AutoShape 5"/>
                              <wps:cNvSpPr>
                                <a:spLocks noChangeArrowheads="1"/>
                              </wps:cNvSpPr>
                              <wps:spPr bwMode="auto">
                                <a:xfrm>
                                  <a:off x="1006495" y="1195705"/>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861B94"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SRLF</w:t>
                                    </w:r>
                                  </w:p>
                                </w:txbxContent>
                              </wps:txbx>
                              <wps:bodyPr rot="0" vert="horz" wrap="square" lIns="36576" tIns="36576" rIns="36576" bIns="36576" anchor="t" anchorCtr="0" upright="1">
                                <a:noAutofit/>
                              </wps:bodyPr>
                            </wps:wsp>
                            <wps:wsp>
                              <wps:cNvPr id="509" name="AutoShape 6"/>
                              <wps:cNvSpPr>
                                <a:spLocks noChangeArrowheads="1"/>
                              </wps:cNvSpPr>
                              <wps:spPr bwMode="auto">
                                <a:xfrm>
                                  <a:off x="971205" y="1206323"/>
                                  <a:ext cx="48498"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8DCCA65" w14:textId="77777777" w:rsidR="00C8402C" w:rsidRPr="004E5070" w:rsidRDefault="00C8402C" w:rsidP="00615CBC">
                                    <w:pPr>
                                      <w:widowControl w:val="0"/>
                                      <w:jc w:val="center"/>
                                      <w:rPr>
                                        <w:szCs w:val="24"/>
                                      </w:rPr>
                                    </w:pPr>
                                    <w:r w:rsidRPr="004E5070">
                                      <w:rPr>
                                        <w:szCs w:val="24"/>
                                      </w:rPr>
                                      <w:t>2nd year medical students</w:t>
                                    </w:r>
                                  </w:p>
                                </w:txbxContent>
                              </wps:txbx>
                              <wps:bodyPr rot="0" vert="horz" wrap="square" lIns="36576" tIns="36576" rIns="36576" bIns="36576" anchor="t" anchorCtr="0" upright="1">
                                <a:noAutofit/>
                              </wps:bodyPr>
                            </wps:wsp>
                            <wps:wsp>
                              <wps:cNvPr id="510" name="AutoShape 7"/>
                              <wps:cNvSpPr>
                                <a:spLocks noChangeArrowheads="1"/>
                              </wps:cNvSpPr>
                              <wps:spPr bwMode="auto">
                                <a:xfrm>
                                  <a:off x="961537"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94D3F0F"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BPF</w:t>
                                    </w:r>
                                  </w:p>
                                </w:txbxContent>
                              </wps:txbx>
                              <wps:bodyPr rot="0" vert="horz" wrap="square" lIns="36576" tIns="36576" rIns="36576" bIns="36576" anchor="t" anchorCtr="0" upright="1">
                                <a:noAutofit/>
                              </wps:bodyPr>
                            </wps:wsp>
                            <wps:wsp>
                              <wps:cNvPr id="511" name="AutoShape 8"/>
                              <wps:cNvSpPr>
                                <a:spLocks noChangeArrowheads="1"/>
                              </wps:cNvSpPr>
                              <wps:spPr bwMode="auto">
                                <a:xfrm>
                                  <a:off x="1006495" y="1222248"/>
                                  <a:ext cx="22459" cy="6223"/>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3790F65"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SRLF</w:t>
                                    </w:r>
                                  </w:p>
                                </w:txbxContent>
                              </wps:txbx>
                              <wps:bodyPr rot="0" vert="horz" wrap="square" lIns="36576" tIns="36576" rIns="36576" bIns="36576" anchor="t" anchorCtr="0" upright="1">
                                <a:noAutofit/>
                              </wps:bodyPr>
                            </wps:wsp>
                            <wps:wsp>
                              <wps:cNvPr id="512" name="Text Box 9"/>
                              <wps:cNvSpPr txBox="1">
                                <a:spLocks noChangeArrowheads="1"/>
                              </wps:cNvSpPr>
                              <wps:spPr bwMode="auto">
                                <a:xfrm>
                                  <a:off x="1074018" y="1207090"/>
                                  <a:ext cx="22256" cy="9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507393" w14:textId="77777777" w:rsidR="00C8402C" w:rsidRPr="00B42412" w:rsidRDefault="00C8402C" w:rsidP="00615CBC">
                                    <w:pPr>
                                      <w:widowControl w:val="0"/>
                                      <w:spacing w:after="0"/>
                                      <w:jc w:val="center"/>
                                      <w:rPr>
                                        <w:bCs/>
                                        <w:szCs w:val="24"/>
                                      </w:rPr>
                                    </w:pPr>
                                    <w:r w:rsidRPr="00B42412">
                                      <w:rPr>
                                        <w:bCs/>
                                        <w:szCs w:val="24"/>
                                      </w:rPr>
                                      <w:t>Intervention phase</w:t>
                                    </w:r>
                                  </w:p>
                                </w:txbxContent>
                              </wps:txbx>
                              <wps:bodyPr rot="0" vert="horz" wrap="square" lIns="36576" tIns="36576" rIns="36576" bIns="36576" anchor="t" anchorCtr="0" upright="1">
                                <a:noAutofit/>
                              </wps:bodyPr>
                            </wps:wsp>
                            <wps:wsp>
                              <wps:cNvPr id="513" name="Text Box 10"/>
                              <wps:cNvSpPr txBox="1">
                                <a:spLocks noChangeArrowheads="1"/>
                              </wps:cNvSpPr>
                              <wps:spPr bwMode="auto">
                                <a:xfrm>
                                  <a:off x="1039750" y="1206323"/>
                                  <a:ext cx="27082" cy="55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6EBF18" w14:textId="200334B3"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1</w:t>
                                    </w:r>
                                  </w:p>
                                </w:txbxContent>
                              </wps:txbx>
                              <wps:bodyPr rot="0" vert="horz" wrap="square" lIns="36576" tIns="36576" rIns="36576" bIns="36576" anchor="t" anchorCtr="0" upright="1">
                                <a:noAutofit/>
                              </wps:bodyPr>
                            </wps:wsp>
                            <wps:wsp>
                              <wps:cNvPr id="514" name="Text Box 11"/>
                              <wps:cNvSpPr txBox="1">
                                <a:spLocks noChangeArrowheads="1"/>
                              </wps:cNvSpPr>
                              <wps:spPr bwMode="auto">
                                <a:xfrm>
                                  <a:off x="1040022" y="1230409"/>
                                  <a:ext cx="26998" cy="5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A5DCC1" w14:textId="2691B722"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2</w:t>
                                    </w:r>
                                  </w:p>
                                </w:txbxContent>
                              </wps:txbx>
                              <wps:bodyPr rot="0" vert="horz" wrap="square" lIns="36576" tIns="36576" rIns="36576" bIns="36576" anchor="t" anchorCtr="0" upright="1">
                                <a:noAutofit/>
                              </wps:bodyPr>
                            </wps:wsp>
                            <wps:wsp>
                              <wps:cNvPr id="515" name="Text Box 12"/>
                              <wps:cNvSpPr txBox="1">
                                <a:spLocks noChangeArrowheads="1"/>
                              </wps:cNvSpPr>
                              <wps:spPr bwMode="auto">
                                <a:xfrm>
                                  <a:off x="1038350" y="1219921"/>
                                  <a:ext cx="27187" cy="90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129435" w14:textId="77777777" w:rsidR="00C8402C" w:rsidRPr="004E5070" w:rsidRDefault="00C8402C" w:rsidP="00615CBC">
                                    <w:pPr>
                                      <w:widowControl w:val="0"/>
                                      <w:spacing w:after="0"/>
                                      <w:jc w:val="center"/>
                                      <w:rPr>
                                        <w:szCs w:val="24"/>
                                      </w:rPr>
                                    </w:pPr>
                                    <w:r>
                                      <w:rPr>
                                        <w:szCs w:val="24"/>
                                      </w:rPr>
                                      <w:t>Teaching and feedback</w:t>
                                    </w:r>
                                  </w:p>
                                </w:txbxContent>
                              </wps:txbx>
                              <wps:bodyPr rot="0" vert="horz" wrap="square" lIns="36576" tIns="36576" rIns="36576" bIns="36576" anchor="t" anchorCtr="0" upright="1">
                                <a:noAutofit/>
                              </wps:bodyPr>
                            </wps:wsp>
                            <wps:wsp>
                              <wps:cNvPr id="516" name="AutoShape 16"/>
                              <wps:cNvSpPr>
                                <a:spLocks noChangeArrowheads="1"/>
                              </wps:cNvSpPr>
                              <wps:spPr bwMode="auto">
                                <a:xfrm>
                                  <a:off x="978291" y="1235515"/>
                                  <a:ext cx="35369" cy="7001"/>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CC82A7" w14:textId="77777777" w:rsidR="00C8402C" w:rsidRPr="00D9523C" w:rsidRDefault="00C8402C" w:rsidP="00615CBC">
                                    <w:pPr>
                                      <w:widowControl w:val="0"/>
                                      <w:jc w:val="center"/>
                                      <w:rPr>
                                        <w:szCs w:val="24"/>
                                      </w:rPr>
                                    </w:pPr>
                                    <w:r w:rsidRPr="00D9523C">
                                      <w:rPr>
                                        <w:szCs w:val="24"/>
                                      </w:rPr>
                                      <w:t>Teacher interviews</w:t>
                                    </w:r>
                                  </w:p>
                                </w:txbxContent>
                              </wps:txbx>
                              <wps:bodyPr rot="0" vert="horz" wrap="square" lIns="36576" tIns="36576" rIns="36576" bIns="36576" anchor="t" anchorCtr="0" upright="1">
                                <a:noAutofit/>
                              </wps:bodyPr>
                            </wps:wsp>
                            <wps:wsp>
                              <wps:cNvPr id="517" name="AutoShape 22"/>
                              <wps:cNvSpPr>
                                <a:spLocks/>
                              </wps:cNvSpPr>
                              <wps:spPr bwMode="auto">
                                <a:xfrm>
                                  <a:off x="1067353" y="1183386"/>
                                  <a:ext cx="5399" cy="59130"/>
                                </a:xfrm>
                                <a:prstGeom prst="rightBrace">
                                  <a:avLst>
                                    <a:gd name="adj1" fmla="val 69315"/>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8" name="AutoShape 26"/>
                              <wps:cNvCnPr>
                                <a:cxnSpLocks noChangeShapeType="1"/>
                              </wps:cNvCnPr>
                              <wps:spPr bwMode="auto">
                                <a:xfrm>
                                  <a:off x="995365" y="1189578"/>
                                  <a:ext cx="22611"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19" name="AutoShape 27"/>
                              <wps:cNvCnPr>
                                <a:cxnSpLocks noChangeShapeType="1"/>
                              </wps:cNvCnPr>
                              <wps:spPr bwMode="auto">
                                <a:xfrm flipH="1">
                                  <a:off x="972921" y="1189578"/>
                                  <a:ext cx="22777" cy="598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0" name="AutoShape 28"/>
                              <wps:cNvCnPr>
                                <a:cxnSpLocks noChangeShapeType="1"/>
                              </wps:cNvCnPr>
                              <wps:spPr bwMode="auto">
                                <a:xfrm>
                                  <a:off x="1017477" y="1202048"/>
                                  <a:ext cx="0" cy="4156"/>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1" name="AutoShape 29"/>
                              <wps:cNvCnPr>
                                <a:cxnSpLocks noChangeShapeType="1"/>
                              </wps:cNvCnPr>
                              <wps:spPr bwMode="auto">
                                <a:xfrm>
                                  <a:off x="973087" y="1202048"/>
                                  <a:ext cx="0" cy="39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2" name="AutoShape 30"/>
                              <wps:cNvCnPr>
                                <a:cxnSpLocks noChangeShapeType="1"/>
                              </wps:cNvCnPr>
                              <wps:spPr bwMode="auto">
                                <a:xfrm>
                                  <a:off x="1017644" y="1213187"/>
                                  <a:ext cx="498" cy="93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3" name="AutoShape 31"/>
                              <wps:cNvCnPr>
                                <a:cxnSpLocks noChangeShapeType="1"/>
                              </wps:cNvCnPr>
                              <wps:spPr bwMode="auto">
                                <a:xfrm flipH="1">
                                  <a:off x="972755" y="1213187"/>
                                  <a:ext cx="499" cy="9144"/>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4" name="AutoShape 32"/>
                              <wps:cNvSpPr>
                                <a:spLocks noChangeArrowheads="1"/>
                              </wps:cNvSpPr>
                              <wps:spPr bwMode="auto">
                                <a:xfrm>
                                  <a:off x="1030287" y="1207090"/>
                                  <a:ext cx="9098" cy="4821"/>
                                </a:xfrm>
                                <a:prstGeom prst="leftArrow">
                                  <a:avLst>
                                    <a:gd name="adj1" fmla="val 50000"/>
                                    <a:gd name="adj2" fmla="val 47179"/>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5" name="AutoShape 33"/>
                              <wps:cNvSpPr>
                                <a:spLocks noChangeArrowheads="1"/>
                              </wps:cNvSpPr>
                              <wps:spPr bwMode="auto">
                                <a:xfrm>
                                  <a:off x="1031608" y="1222248"/>
                                  <a:ext cx="9311" cy="5115"/>
                                </a:xfrm>
                                <a:prstGeom prst="leftArrow">
                                  <a:avLst>
                                    <a:gd name="adj1" fmla="val 50000"/>
                                    <a:gd name="adj2" fmla="val 69560"/>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6" name="AutoShape 34"/>
                              <wps:cNvSpPr>
                                <a:spLocks noChangeArrowheads="1"/>
                              </wps:cNvSpPr>
                              <wps:spPr bwMode="auto">
                                <a:xfrm>
                                  <a:off x="1030287" y="1230967"/>
                                  <a:ext cx="9406" cy="4821"/>
                                </a:xfrm>
                                <a:prstGeom prst="leftArrow">
                                  <a:avLst>
                                    <a:gd name="adj1" fmla="val 50000"/>
                                    <a:gd name="adj2" fmla="val 48776"/>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527" name="Text Box 527"/>
                            <wps:cNvSpPr txBox="1">
                              <a:spLocks noChangeArrowheads="1"/>
                            </wps:cNvSpPr>
                            <wps:spPr bwMode="auto">
                              <a:xfrm>
                                <a:off x="5628266" y="3728355"/>
                                <a:ext cx="1183005" cy="570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BD32DC" w14:textId="77777777" w:rsidR="00C8402C" w:rsidRPr="009028A6" w:rsidRDefault="00C8402C" w:rsidP="00615CBC">
                                  <w:pPr>
                                    <w:widowControl w:val="0"/>
                                    <w:spacing w:after="0"/>
                                    <w:jc w:val="center"/>
                                    <w:rPr>
                                      <w:b/>
                                      <w:bCs/>
                                      <w:szCs w:val="24"/>
                                    </w:rPr>
                                  </w:pPr>
                                  <w:r w:rsidRPr="009028A6">
                                    <w:rPr>
                                      <w:b/>
                                      <w:bCs/>
                                      <w:szCs w:val="24"/>
                                    </w:rPr>
                                    <w:t>Follow-up phase</w:t>
                                  </w:r>
                                </w:p>
                              </w:txbxContent>
                            </wps:txbx>
                            <wps:bodyPr rot="0" vert="horz" wrap="square" lIns="36576" tIns="36576" rIns="36576" bIns="36576" anchor="ctr" anchorCtr="0" upright="1">
                              <a:noAutofit/>
                            </wps:bodyPr>
                          </wps:wsp>
                          <wps:wsp>
                            <wps:cNvPr id="528" name="AutoShape 21"/>
                            <wps:cNvSpPr>
                              <a:spLocks/>
                            </wps:cNvSpPr>
                            <wps:spPr bwMode="auto">
                              <a:xfrm>
                                <a:off x="5326423" y="3116482"/>
                                <a:ext cx="218775" cy="1484385"/>
                              </a:xfrm>
                              <a:prstGeom prst="rightBrace">
                                <a:avLst>
                                  <a:gd name="adj1" fmla="val 18103"/>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529" name="AutoShape 16"/>
                          <wps:cNvSpPr>
                            <a:spLocks noChangeArrowheads="1"/>
                          </wps:cNvSpPr>
                          <wps:spPr bwMode="auto">
                            <a:xfrm>
                              <a:off x="267419" y="3226286"/>
                              <a:ext cx="2882665" cy="638355"/>
                            </a:xfrm>
                            <a:prstGeom prst="roundRect">
                              <a:avLst>
                                <a:gd name="adj" fmla="val 16667"/>
                              </a:avLst>
                            </a:prstGeom>
                            <a:solidFill>
                              <a:srgbClr val="92D050"/>
                            </a:solidFill>
                            <a:ln w="25400">
                              <a:solidFill>
                                <a:schemeClr val="dk1">
                                  <a:lumMod val="0"/>
                                  <a:lumOff val="0"/>
                                </a:schemeClr>
                              </a:solidFill>
                              <a:round/>
                              <a:headEnd/>
                              <a:tailEnd/>
                            </a:ln>
                            <a:effectLst/>
                            <a:extLst/>
                          </wps:spPr>
                          <wps:txbx>
                            <w:txbxContent>
                              <w:p w14:paraId="0D37CCCB" w14:textId="77777777" w:rsidR="00C8402C" w:rsidRDefault="00C8402C" w:rsidP="00615CBC">
                                <w:pPr>
                                  <w:widowControl w:val="0"/>
                                  <w:jc w:val="center"/>
                                  <w:rPr>
                                    <w:b/>
                                    <w:szCs w:val="24"/>
                                    <w:u w:val="single"/>
                                  </w:rPr>
                                </w:pPr>
                                <w:r w:rsidRPr="00501BC0">
                                  <w:rPr>
                                    <w:b/>
                                    <w:szCs w:val="24"/>
                                    <w:u w:val="single"/>
                                  </w:rPr>
                                  <w:t xml:space="preserve">Student clinical placements </w:t>
                                </w:r>
                              </w:p>
                              <w:p w14:paraId="4C54F4DE" w14:textId="30B83CB9" w:rsidR="00C8402C" w:rsidRPr="00501BC0" w:rsidRDefault="00C8402C" w:rsidP="00615CBC">
                                <w:pPr>
                                  <w:widowControl w:val="0"/>
                                  <w:jc w:val="center"/>
                                  <w:rPr>
                                    <w:b/>
                                    <w:szCs w:val="24"/>
                                    <w:u w:val="single"/>
                                  </w:rPr>
                                </w:pPr>
                                <w:r w:rsidRPr="00501BC0">
                                  <w:rPr>
                                    <w:b/>
                                    <w:szCs w:val="24"/>
                                    <w:u w:val="single"/>
                                  </w:rPr>
                                  <w:t>4x</w:t>
                                </w:r>
                                <w:r>
                                  <w:rPr>
                                    <w:b/>
                                    <w:szCs w:val="24"/>
                                    <w:u w:val="single"/>
                                  </w:rPr>
                                  <w:t>3</w:t>
                                </w:r>
                                <w:r w:rsidRPr="00501BC0">
                                  <w:rPr>
                                    <w:b/>
                                    <w:szCs w:val="24"/>
                                    <w:u w:val="single"/>
                                  </w:rPr>
                                  <w:t xml:space="preserve"> weeks</w:t>
                                </w:r>
                              </w:p>
                              <w:p w14:paraId="7242C568" w14:textId="77777777" w:rsidR="00C8402C" w:rsidRPr="00501BC0" w:rsidRDefault="00C8402C" w:rsidP="00615CBC">
                                <w:pPr>
                                  <w:widowControl w:val="0"/>
                                  <w:jc w:val="center"/>
                                  <w:rPr>
                                    <w:b/>
                                    <w:i/>
                                    <w:iCs/>
                                    <w:szCs w:val="24"/>
                                  </w:rPr>
                                </w:pPr>
                                <w:r w:rsidRPr="00501BC0">
                                  <w:rPr>
                                    <w:b/>
                                    <w:szCs w:val="24"/>
                                  </w:rPr>
                                  <w:t>Student focus groups and interviews</w:t>
                                </w:r>
                              </w:p>
                              <w:p w14:paraId="069C220B" w14:textId="77777777" w:rsidR="00C8402C" w:rsidRPr="00A771E3" w:rsidRDefault="00C8402C" w:rsidP="00615CBC">
                                <w:pPr>
                                  <w:widowControl w:val="0"/>
                                  <w:jc w:val="center"/>
                                  <w:rPr>
                                    <w:b/>
                                    <w:szCs w:val="24"/>
                                  </w:rPr>
                                </w:pPr>
                              </w:p>
                            </w:txbxContent>
                          </wps:txbx>
                          <wps:bodyPr rot="0" vert="horz" wrap="square" lIns="36576" tIns="36576" rIns="36576" bIns="36576" anchor="t" anchorCtr="0" upright="1">
                            <a:noAutofit/>
                          </wps:bodyPr>
                        </wps:wsp>
                        <wps:wsp>
                          <wps:cNvPr id="530" name="Text Box 11"/>
                          <wps:cNvSpPr txBox="1">
                            <a:spLocks noChangeArrowheads="1"/>
                          </wps:cNvSpPr>
                          <wps:spPr bwMode="auto">
                            <a:xfrm>
                              <a:off x="3959524" y="3795623"/>
                              <a:ext cx="136588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D2ABD5" w14:textId="7FC3C593"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3</w:t>
                                </w:r>
                              </w:p>
                            </w:txbxContent>
                          </wps:txbx>
                          <wps:bodyPr rot="0" vert="horz" wrap="square" lIns="36576" tIns="36576" rIns="36576" bIns="36576" anchor="t" anchorCtr="0" upright="1">
                            <a:noAutofit/>
                          </wps:bodyPr>
                        </wps:wsp>
                        <wps:wsp>
                          <wps:cNvPr id="531" name="AutoShape 34"/>
                          <wps:cNvSpPr>
                            <a:spLocks noChangeArrowheads="1"/>
                          </wps:cNvSpPr>
                          <wps:spPr bwMode="auto">
                            <a:xfrm>
                              <a:off x="3467819" y="3821502"/>
                              <a:ext cx="475919" cy="248076"/>
                            </a:xfrm>
                            <a:prstGeom prst="leftArrow">
                              <a:avLst>
                                <a:gd name="adj1" fmla="val 50000"/>
                                <a:gd name="adj2" fmla="val 48776"/>
                              </a:avLst>
                            </a:prstGeom>
                            <a:solidFill>
                              <a:srgbClr val="FFC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532" name="AutoShape 16"/>
                        <wps:cNvSpPr>
                          <a:spLocks noChangeArrowheads="1"/>
                        </wps:cNvSpPr>
                        <wps:spPr bwMode="auto">
                          <a:xfrm>
                            <a:off x="491706" y="4157932"/>
                            <a:ext cx="2454067" cy="360299"/>
                          </a:xfrm>
                          <a:prstGeom prst="roundRect">
                            <a:avLst>
                              <a:gd name="adj" fmla="val 16667"/>
                            </a:avLst>
                          </a:prstGeom>
                          <a:solidFill>
                            <a:schemeClr val="accent4"/>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316C7D1" w14:textId="77777777" w:rsidR="00C8402C" w:rsidRPr="00501BC0" w:rsidRDefault="00C8402C" w:rsidP="00615CBC">
                              <w:pPr>
                                <w:widowControl w:val="0"/>
                                <w:jc w:val="center"/>
                                <w:rPr>
                                  <w:szCs w:val="24"/>
                                </w:rPr>
                              </w:pPr>
                              <w:r w:rsidRPr="00501BC0">
                                <w:rPr>
                                  <w:szCs w:val="24"/>
                                </w:rPr>
                                <w:t>Validation of the SSRQ</w:t>
                              </w:r>
                            </w:p>
                          </w:txbxContent>
                        </wps:txbx>
                        <wps:bodyPr rot="0" vert="horz" wrap="square" lIns="36576" tIns="36576" rIns="36576" bIns="36576" anchor="t" anchorCtr="0" upright="1">
                          <a:noAutofit/>
                        </wps:bodyPr>
                      </wps:wsp>
                    </wpg:wgp>
                  </a:graphicData>
                </a:graphic>
                <wp14:sizeRelH relativeFrom="margin">
                  <wp14:pctWidth>0</wp14:pctWidth>
                </wp14:sizeRelH>
              </wp:anchor>
            </w:drawing>
          </mc:Choice>
          <mc:Fallback>
            <w:pict>
              <v:group w14:anchorId="24D45049" id="Group 502" o:spid="_x0000_s1268" style="position:absolute;margin-left:-5.65pt;margin-top:33.15pt;width:443.7pt;height:362pt;z-index:251696128;mso-width-relative:margin" coordsize="6816712,459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">
                <v:group id="Group 503" o:spid="_x0000_s1269" style="position:absolute;width:6816712;height:4597400" coordorigin="1,-9" coordsize="6817346,4598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group id="Group 504" o:spid="_x0000_s1270" style="position:absolute;left:1;top:-9;width:6817346;height:4598147" coordorigin="2,-9" coordsize="6818643,4600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group id="Group 505" o:spid="_x0000_s1271" style="position:absolute;left:2;top:-9;width:6818643;height:3044480" coordorigin="961537,1183386" coordsize="134737,59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V3cUAAADcAAAA&#10;DwAAAAAAAAAAAAAAAACpAgAAZHJzL2Rvd25yZXYueG1sUEsFBgAAAAAEAAQA+gAAAJsDAAAAAA==&#10;">
                      <v:roundrect id="AutoShape 3" o:spid="_x0000_s1272" style="position:absolute;left:981158;top:1183386;width:28610;height:635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oYbwwAA&#10;ANwAAAAPAAAAZHJzL2Rvd25yZXYueG1sRI9Ba8JAFITvhf6H5RW81Y0tWo2u0lZSetWK50f2mcRm&#10;34bdZ4z/vlso9DjMzDfMajO4VvUUYuPZwGScgSIuvW24MnD4Kh7noKIgW2w9k4EbRdis7+9WmFt/&#10;5R31e6lUgnDM0UAt0uVax7Imh3HsO+LknXxwKEmGStuA1wR3rX7Kspl22HBaqLGj95rK7/3FGbi8&#10;yOJ43BbNh4T+7YwFlxN+Nmb0MLwuQQkN8h/+a39aA9NsBr9n0hH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4oYbwwAAANwAAAAPAAAAAAAAAAAAAAAAAJcCAABkcnMvZG93&#10;bnJldi54bWxQSwUGAAAAAAQABAD1AAAAhwMAAAAA&#10;" fillcolor="#ffc000" strokecolor="black [0]" strokeweight="2pt">
                        <v:shadow color="#eeece1" opacity="1" mv:blur="0" offset="2pt,2pt"/>
                        <v:textbox inset="2.88pt,2.88pt,2.88pt,2.88pt">
                          <w:txbxContent>
                            <w:p w14:paraId="65A5F761" w14:textId="77777777" w:rsidR="00C8402C" w:rsidRPr="004E5070" w:rsidRDefault="00C8402C" w:rsidP="00615CBC">
                              <w:pPr>
                                <w:widowControl w:val="0"/>
                                <w:jc w:val="center"/>
                                <w:rPr>
                                  <w:szCs w:val="24"/>
                                </w:rPr>
                              </w:pPr>
                              <w:r>
                                <w:rPr>
                                  <w:szCs w:val="24"/>
                                </w:rPr>
                                <w:t>Teache</w:t>
                              </w:r>
                              <w:r w:rsidRPr="004E5070">
                                <w:rPr>
                                  <w:szCs w:val="24"/>
                                </w:rPr>
                                <w:t>r training</w:t>
                              </w:r>
                            </w:p>
                          </w:txbxContent>
                        </v:textbox>
                      </v:roundrect>
                      <v:roundrect id="AutoShape 4" o:spid="_x0000_s1273" style="position:absolute;left:961537;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XKhxQAA&#10;ANwAAAAPAAAAZHJzL2Rvd25yZXYueG1sRI/NbsIwEITvlfoO1iL1VhzoDxAwqGrVqhcOBS7cVvGS&#10;BOJ1ZG9C+vZ1pUo9jmbmG81qM7hG9RRi7dnAZJyBIi68rbk0cNi/389BRUG22HgmA98UYbO+vVlh&#10;bv2Vv6jfSakShGOOBiqRNtc6FhU5jGPfEifv5INDSTKU2ga8Jrhr9DTLnrXDmtNChS29VlRcdp0z&#10;0D28neWI04/weOz62Vbs6eAWxtyNhpclKKFB/sN/7U9r4Cmbwe+ZdAT0+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VcqHFAAAA3AAAAA8AAAAAAAAAAAAAAAAAlwIAAGRycy9k&#10;b3ducmV2LnhtbFBLBQYAAAAABAAEAPUAAACJAwAAAAA=&#10;" fillcolor="#ffc000 [3207]" strokecolor="black [0]" strokeweight="2pt">
                        <v:shadow color="#eeece1" opacity="1" mv:blur="0" offset="2pt,2pt"/>
                        <v:textbox inset="2.88pt,2.88pt,2.88pt,2.88pt">
                          <w:txbxContent>
                            <w:p w14:paraId="2B104079"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BPF</w:t>
                              </w:r>
                            </w:p>
                          </w:txbxContent>
                        </v:textbox>
                      </v:roundrect>
                      <v:roundrect id="AutoShape 5" o:spid="_x0000_s1274" style="position:absolute;left:1006495;top:1195705;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ubTwgAA&#10;ANwAAAAPAAAAZHJzL2Rvd25yZXYueG1sRE9NT8JAEL2b+B82Y8JNtoIKFBZiJBgvHAQu3CbdoS12&#10;Z5vdaan/3j2YeHx536vN4BrVU4i1ZwNP4wwUceFtzaWB03H3OAcVBdli45kM/FCEzfr+boW59Tf+&#10;ov4gpUohHHM0UIm0udaxqMhhHPuWOHEXHxxKgqHUNuAthbtGT7LsVTusOTVU2NJ7RcX3oXMGuun2&#10;KmecfITnc9fP9mIvJ7cwZvQwvC1BCQ3yL/5zf1oDL1lam86kI6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K5tPCAAAA3AAAAA8AAAAAAAAAAAAAAAAAlwIAAGRycy9kb3du&#10;cmV2LnhtbFBLBQYAAAAABAAEAPUAAACGAwAAAAA=&#10;" fillcolor="#ffc000 [3207]" strokecolor="black [0]" strokeweight="2pt">
                        <v:shadow color="#eeece1" opacity="1" mv:blur="0" offset="2pt,2pt"/>
                        <v:textbox inset="2.88pt,2.88pt,2.88pt,2.88pt">
                          <w:txbxContent>
                            <w:p w14:paraId="29861B94"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SRLF</w:t>
                              </w:r>
                            </w:p>
                          </w:txbxContent>
                        </v:textbox>
                      </v:roundrect>
                      <v:roundrect id="AutoShape 6" o:spid="_x0000_s1275" style="position:absolute;left:971205;top:1206323;width:48498;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RJpwwAA&#10;ANwAAAAPAAAAZHJzL2Rvd25yZXYueG1sRI/NbsIwEITvlfoO1lbiVhyKKCVgUH8U1CtQcV7FS5I2&#10;Xkf2EtK3x0iVehzNzDea1WZwreopxMazgck4A0VcettwZeDrUDy+gIqCbLH1TAZ+KcJmfX+3wtz6&#10;C++o30ulEoRjjgZqkS7XOpY1OYxj3xEn7+SDQ0kyVNoGvCS4a/VTlj1rhw2nhRo7eq+p/NmfnYHz&#10;XBbH40fRbCX0b99YcDnhqTGjh+F1CUpokP/wX/vTGphlC7idSUdAr6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fRJpwwAAANwAAAAPAAAAAAAAAAAAAAAAAJcCAABkcnMvZG93&#10;bnJldi54bWxQSwUGAAAAAAQABAD1AAAAhwMAAAAA&#10;" fillcolor="#ffc000" strokecolor="black [0]" strokeweight="2pt">
                        <v:shadow color="#eeece1" opacity="1" mv:blur="0" offset="2pt,2pt"/>
                        <v:textbox inset="2.88pt,2.88pt,2.88pt,2.88pt">
                          <w:txbxContent>
                            <w:p w14:paraId="18DCCA65" w14:textId="77777777" w:rsidR="00C8402C" w:rsidRPr="004E5070" w:rsidRDefault="00C8402C" w:rsidP="00615CBC">
                              <w:pPr>
                                <w:widowControl w:val="0"/>
                                <w:jc w:val="center"/>
                                <w:rPr>
                                  <w:szCs w:val="24"/>
                                </w:rPr>
                              </w:pPr>
                              <w:r w:rsidRPr="004E5070">
                                <w:rPr>
                                  <w:szCs w:val="24"/>
                                </w:rPr>
                                <w:t>2nd year medical students</w:t>
                              </w:r>
                            </w:p>
                          </w:txbxContent>
                        </v:textbox>
                      </v:roundrect>
                      <v:roundrect id="AutoShape 7" o:spid="_x0000_s1276" style="position:absolute;left:961537;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XwIwgAA&#10;ANwAAAAPAAAAZHJzL2Rvd25yZXYueG1sRE9NT8JAEL2b+B82Y+JNtiAKFBZiNBIvHkQu3CbdoS10&#10;Z5vdaSn/nj2YeHx536vN4BrVU4i1ZwPjUQaKuPC25tLA/vfzaQ4qCrLFxjMZuFKEzfr+boW59Rf+&#10;oX4npUohHHM0UIm0udaxqMhhHPmWOHFHHxxKgqHUNuAlhbtGT7LsVTusOTVU2NJ7RcV51zkD3fPH&#10;SQ442Ybpoetn32KPe7cw5vFheFuCEhrkX/zn/rIGXsZpfjqTjoBe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lfAjCAAAA3AAAAA8AAAAAAAAAAAAAAAAAlwIAAGRycy9kb3du&#10;cmV2LnhtbFBLBQYAAAAABAAEAPUAAACGAwAAAAA=&#10;" fillcolor="#ffc000 [3207]" strokecolor="black [0]" strokeweight="2pt">
                        <v:shadow color="#eeece1" opacity="1" mv:blur="0" offset="2pt,2pt"/>
                        <v:textbox inset="2.88pt,2.88pt,2.88pt,2.88pt">
                          <w:txbxContent>
                            <w:p w14:paraId="694D3F0F"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BPF</w:t>
                              </w:r>
                            </w:p>
                          </w:txbxContent>
                        </v:textbox>
                      </v:roundrect>
                      <v:roundrect id="AutoShape 8" o:spid="_x0000_s1277" style="position:absolute;left:1006495;top:1222248;width:22459;height:62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dmTxQAA&#10;ANwAAAAPAAAAZHJzL2Rvd25yZXYueG1sRI/BTsMwEETvSP0Ha5G4UScFShvqVhUIxKWHll56W8Xb&#10;JBCvI3uThr/HSEgcRzPzRrPajK5VA4XYeDaQTzNQxKW3DVcGjh+vtwtQUZAttp7JwDdF2KwnVyss&#10;rL/wnoaDVCpBOBZooBbpCq1jWZPDOPUdcfLOPjiUJEOlbcBLgrtWz7Jsrh02nBZq7Oi5pvLr0DsD&#10;/d3Lp5xw9hbuT/3wuBN7PrqlMTfX4/YJlNAo/+G/9rs18JDn8HsmHQG9/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p2ZPFAAAA3AAAAA8AAAAAAAAAAAAAAAAAlwIAAGRycy9k&#10;b3ducmV2LnhtbFBLBQYAAAAABAAEAPUAAACJAwAAAAA=&#10;" fillcolor="#ffc000 [3207]" strokecolor="black [0]" strokeweight="2pt">
                        <v:shadow color="#eeece1" opacity="1" mv:blur="0" offset="2pt,2pt"/>
                        <v:textbox inset="2.88pt,2.88pt,2.88pt,2.88pt">
                          <w:txbxContent>
                            <w:p w14:paraId="53790F65" w14:textId="77777777" w:rsidR="00C8402C" w:rsidRPr="00950528" w:rsidRDefault="00C8402C" w:rsidP="00615CBC">
                              <w:pPr>
                                <w:widowControl w:val="0"/>
                                <w:jc w:val="center"/>
                                <w:rPr>
                                  <w:b/>
                                  <w:bCs/>
                                  <w:color w:val="000000" w:themeColor="text1"/>
                                  <w:szCs w:val="24"/>
                                </w:rPr>
                              </w:pPr>
                              <w:r w:rsidRPr="00950528">
                                <w:rPr>
                                  <w:b/>
                                  <w:bCs/>
                                  <w:color w:val="000000" w:themeColor="text1"/>
                                  <w:szCs w:val="24"/>
                                </w:rPr>
                                <w:t>SRLF</w:t>
                              </w:r>
                            </w:p>
                          </w:txbxContent>
                        </v:textbox>
                      </v:roundrect>
                      <v:shape id="Text Box 9" o:spid="_x0000_s1278" type="#_x0000_t202" style="position:absolute;left:1074018;top:1207090;width:22256;height:9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m+xQAA&#10;ANwAAAAPAAAAZHJzL2Rvd25yZXYueG1sRI9RS8MwFIXfhf2HcAe+bWlLdVKXjSEqIshY3Q+4a65N&#10;t+amJHGr/94IAx8P55zvcJbr0fbiTD50jhXk8wwEceN0x62C/efL7AFEiMgae8ek4IcCrFeTmyVW&#10;2l14R+c6tiJBOFSowMQ4VFKGxpDFMHcDcfK+nLcYk/St1B4vCW57WWTZvbTYcVowONCToeZUf1sF&#10;z7m3r3X5cSwPZvHui2Z7lKVU6nY6bh5BRBrjf/jaftMK7vIC/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4Cb7FAAAA3AAAAA8AAAAAAAAAAAAAAAAAlwIAAGRycy9k&#10;b3ducmV2LnhtbFBLBQYAAAAABAAEAPUAAACJAwAAAAA=&#10;" filled="f" stroked="f" strokecolor="black [0]" strokeweight="2pt">
                        <v:textbox inset="2.88pt,2.88pt,2.88pt,2.88pt">
                          <w:txbxContent>
                            <w:p w14:paraId="66507393" w14:textId="77777777" w:rsidR="00C8402C" w:rsidRPr="00B42412" w:rsidRDefault="00C8402C" w:rsidP="00615CBC">
                              <w:pPr>
                                <w:widowControl w:val="0"/>
                                <w:spacing w:after="0"/>
                                <w:jc w:val="center"/>
                                <w:rPr>
                                  <w:bCs/>
                                  <w:szCs w:val="24"/>
                                </w:rPr>
                              </w:pPr>
                              <w:r w:rsidRPr="00B42412">
                                <w:rPr>
                                  <w:bCs/>
                                  <w:szCs w:val="24"/>
                                </w:rPr>
                                <w:t>Intervention phase</w:t>
                              </w:r>
                            </w:p>
                          </w:txbxContent>
                        </v:textbox>
                      </v:shape>
                      <v:shape id="Text Box 10" o:spid="_x0000_s1279" type="#_x0000_t202" style="position:absolute;left:1039750;top:1206323;width:27082;height:5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KwlxQAA&#10;ANwAAAAPAAAAZHJzL2Rvd25yZXYueG1sRI/dagIxFITvC75DOAXvNLt2+8NqlFKqFKGUbvsAx83p&#10;ZnVzsiRRt29vCkIvh5n5hlmsBtuJE/nQOlaQTzMQxLXTLTcKvr/WkycQISJr7ByTgl8KsFqObhZY&#10;anfmTzpVsREJwqFEBSbGvpQy1IYshqnriZP347zFmKRvpPZ4TnDbyVmWPUiLLacFgz29GKoP1dEq&#10;eM293VTF+77Ymcetn9Ufe1lIpca3w/McRKQh/oev7Tet4D6/g78z6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0rCXFAAAA3AAAAA8AAAAAAAAAAAAAAAAAlwIAAGRycy9k&#10;b3ducmV2LnhtbFBLBQYAAAAABAAEAPUAAACJAwAAAAA=&#10;" filled="f" stroked="f" strokecolor="black [0]" strokeweight="2pt">
                        <v:textbox inset="2.88pt,2.88pt,2.88pt,2.88pt">
                          <w:txbxContent>
                            <w:p w14:paraId="376EBF18" w14:textId="200334B3"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1</w:t>
                              </w:r>
                            </w:p>
                          </w:txbxContent>
                        </v:textbox>
                      </v:shape>
                      <v:shape id="Text Box 11" o:spid="_x0000_s1280" type="#_x0000_t202" style="position:absolute;left:1040022;top:1230409;width:26998;height:5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TRRxQAA&#10;ANwAAAAPAAAAZHJzL2Rvd25yZXYueG1sRI9Ra8IwFIXfB/6HcAd7m2mlzlGNImMbIgyx8wdcm2tT&#10;19yUJNPu3y/CYI+Hc853OIvVYDtxIR9axwrycQaCuHa65UbB4fPt8RlEiMgaO8ek4IcCrJajuwWW&#10;2l15T5cqNiJBOJSowMTYl1KG2pDFMHY9cfJOzluMSfpGao/XBLednGTZk7TYclow2NOLofqr+rYK&#10;XnNv36vi41wczWzrJ/XuLAup1MP9sJ6DiDTE//Bfe6MVTPMCbm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dNFHFAAAA3AAAAA8AAAAAAAAAAAAAAAAAlwIAAGRycy9k&#10;b3ducmV2LnhtbFBLBQYAAAAABAAEAPUAAACJAwAAAAA=&#10;" filled="f" stroked="f" strokecolor="black [0]" strokeweight="2pt">
                        <v:textbox inset="2.88pt,2.88pt,2.88pt,2.88pt">
                          <w:txbxContent>
                            <w:p w14:paraId="2EA5DCC1" w14:textId="2691B722"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2</w:t>
                              </w:r>
                            </w:p>
                          </w:txbxContent>
                        </v:textbox>
                      </v:shape>
                      <v:shape id="Text Box 12" o:spid="_x0000_s1281" type="#_x0000_t202" style="position:absolute;left:1038350;top:1219921;width:27187;height:9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ZHKxQAA&#10;ANwAAAAPAAAAZHJzL2Rvd25yZXYueG1sRI9Ra8IwFIXfB/sP4Q72pmmlbqMzioiKCGOs2w+4a+6a&#10;uuamJJnWf28EYY+Hc853OLPFYDtxJB9axwrycQaCuHa65UbB1+dm9AIiRGSNnWNScKYAi/n93QxL&#10;7U78QccqNiJBOJSowMTYl1KG2pDFMHY9cfJ+nLcYk/SN1B5PCW47OcmyJ2mx5bRgsKeVofq3+rMK&#10;1rm326p4OxTf5nnvJ/X7QRZSqceHYfkKItIQ/8O39k4rmOZTuJ5JR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RkcrFAAAA3AAAAA8AAAAAAAAAAAAAAAAAlwIAAGRycy9k&#10;b3ducmV2LnhtbFBLBQYAAAAABAAEAPUAAACJAwAAAAA=&#10;" filled="f" stroked="f" strokecolor="black [0]" strokeweight="2pt">
                        <v:textbox inset="2.88pt,2.88pt,2.88pt,2.88pt">
                          <w:txbxContent>
                            <w:p w14:paraId="2C129435" w14:textId="77777777" w:rsidR="00C8402C" w:rsidRPr="004E5070" w:rsidRDefault="00C8402C" w:rsidP="00615CBC">
                              <w:pPr>
                                <w:widowControl w:val="0"/>
                                <w:spacing w:after="0"/>
                                <w:jc w:val="center"/>
                                <w:rPr>
                                  <w:szCs w:val="24"/>
                                </w:rPr>
                              </w:pPr>
                              <w:r>
                                <w:rPr>
                                  <w:szCs w:val="24"/>
                                </w:rPr>
                                <w:t>Teaching and feedback</w:t>
                              </w:r>
                            </w:p>
                          </w:txbxContent>
                        </v:textbox>
                      </v:shape>
                      <v:roundrect id="AutoShape 16" o:spid="_x0000_s1282" style="position:absolute;left:978291;top:1235515;width:35369;height:700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xDGwwAA&#10;ANwAAAAPAAAAZHJzL2Rvd25yZXYueG1sRI/NbsIwEITvlfoO1iL1Vpy0KoWAQf1Rql6hiPMqXpJA&#10;vI7sJaRvX1eq1ONoZr7RrDaj69RAIbaeDeTTDBRx5W3LtYH9V3k/BxUF2WLnmQx8U4TN+vZmhYX1&#10;V97SsJNaJQjHAg00In2hdawachinvidO3tEHh5JkqLUNeE1w1+mHLJtphy2nhQZ7emuoOu8uzsDl&#10;WRaHw3vZfkgYXk9YcpXzozF3k/FlCUpolP/wX/vTGnjKZ/B7Jh0B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OxDGwwAAANwAAAAPAAAAAAAAAAAAAAAAAJcCAABkcnMvZG93&#10;bnJldi54bWxQSwUGAAAAAAQABAD1AAAAhwMAAAAA&#10;" fillcolor="#ffc000" strokecolor="black [0]" strokeweight="2pt">
                        <v:shadow color="#eeece1" opacity="1" mv:blur="0" offset="2pt,2pt"/>
                        <v:textbox inset="2.88pt,2.88pt,2.88pt,2.88pt">
                          <w:txbxContent>
                            <w:p w14:paraId="5FCC82A7" w14:textId="77777777" w:rsidR="00C8402C" w:rsidRPr="00D9523C" w:rsidRDefault="00C8402C" w:rsidP="00615CBC">
                              <w:pPr>
                                <w:widowControl w:val="0"/>
                                <w:jc w:val="center"/>
                                <w:rPr>
                                  <w:szCs w:val="24"/>
                                </w:rPr>
                              </w:pPr>
                              <w:r w:rsidRPr="00D9523C">
                                <w:rPr>
                                  <w:szCs w:val="24"/>
                                </w:rPr>
                                <w:t>Teacher interviews</w:t>
                              </w:r>
                            </w:p>
                          </w:txbxContent>
                        </v:textbox>
                      </v:roundrect>
                      <v:shape id="AutoShape 22" o:spid="_x0000_s1283" type="#_x0000_t88" style="position:absolute;left:1067353;top:1183386;width:5399;height:59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YQwgAA&#10;ANwAAAAPAAAAZHJzL2Rvd25yZXYueG1sRI/RagIxFETfBf8hXME3zVqo1tWslNJC8c1tP+B2c90s&#10;m9yETdT17xuh0MdhZs4w+8PorLjSEDvPClbLAgRx43XHrYLvr4/FC4iYkDVaz6TgThEO1XSyx1L7&#10;G5/oWqdWZAjHEhWYlEIpZWwMOYxLH4izd/aDw5Tl0Eo94C3DnZVPRbGWDjvOCwYDvRlq+vriFFj7&#10;Xof+ePkJsvbJxLCl4rhVaj4bX3cgEo3pP/zX/tQKnlcbeJzJR0B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7VhDCAAAA3AAAAA8AAAAAAAAAAAAAAAAAlwIAAGRycy9kb3du&#10;cmV2LnhtbFBLBQYAAAAABAAEAPUAAACGAwAAAAA=&#10;" adj="1367" strokecolor="black [0]" strokeweight="2pt">
                        <v:shadow color="#eeece1" opacity="1" mv:blur="0" offset="2pt,2pt"/>
                        <v:textbox inset="2.88pt,2.88pt,2.88pt,2.88pt"/>
                      </v:shape>
                      <v:shape id="AutoShape 26" o:spid="_x0000_s1284" type="#_x0000_t32" style="position:absolute;left:995365;top:1189578;width:22611;height:59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5lr8EAAADcAAAADwAAAGRycy9kb3ducmV2LnhtbERPPU/DMBDdkfgP1iF1o06qUlWhboWg&#10;FMamMMB2io8kIj5HtknSf88NlTo+ve/NbnKdGijE1rOBfJ6BIq68bbk28Pnxer8GFROyxc4zGThT&#10;hN329maDhfUjlzScUq0khGOBBpqU+kLrWDXkMM59Tyzcjw8Ok8BQaxtwlHDX6UWWrbTDlqWhwZ6e&#10;G6p+T3/OwMNL6eLhqxycXbRvYf897pf50ZjZ3fT0CCrRlK7ii/vdii+XtXJGjoDe/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zmWvwQAAANwAAAAPAAAAAAAAAAAAAAAA&#10;AKECAABkcnMvZG93bnJldi54bWxQSwUGAAAAAAQABAD5AAAAjwMAAAAA&#10;" strokecolor="black [0]" strokeweight="2pt">
                        <v:stroke endarrow="block"/>
                        <v:shadow color="#eeece1" opacity="1" mv:blur="0" offset="2pt,2pt"/>
                      </v:shape>
                      <v:shape id="AutoShape 27" o:spid="_x0000_s1285" type="#_x0000_t32" style="position:absolute;left:972921;top:1189578;width:22777;height:598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jUM8IAAADcAAAADwAAAGRycy9kb3ducmV2LnhtbESPzWoCMRSF9wXfIVzBXSdRUOrUKCIq&#10;bgRrpbi8TG5nQic34yTq+PamUOjycH4+zmzRuVrcqA3Ws4ZhpkAQF95YLjWcPjevbyBCRDZYeyYN&#10;DwqwmPdeZpgbf+cPuh1jKdIIhxw1VDE2uZShqMhhyHxDnLxv3zqMSbalNC3e07ir5UipiXRoOREq&#10;bGhVUfFzvLrEVe56ob2yeLGHc7m27uy3X1oP+t3yHUSkLv6H/9o7o2E8nMLvmXQE5Pw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8jUM8IAAADcAAAADwAAAAAAAAAAAAAA&#10;AAChAgAAZHJzL2Rvd25yZXYueG1sUEsFBgAAAAAEAAQA+QAAAJADAAAAAA==&#10;" strokecolor="black [0]" strokeweight="2pt">
                        <v:stroke endarrow="block"/>
                        <v:shadow color="#eeece1" opacity="1" mv:blur="0" offset="2pt,2pt"/>
                      </v:shape>
                      <v:shape id="AutoShape 28" o:spid="_x0000_s1286" type="#_x0000_t32" style="position:absolute;left:1017477;top:1202048;width:0;height:41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SjFMEAAADcAAAADwAAAGRycy9kb3ducmV2LnhtbERPPU/DMBDdkfgP1iF1o06jUlWhboWg&#10;FMamMMB2io8kIj5HtknSf88NlTo+ve/NbnKdGijE1rOBxTwDRVx523Jt4PPj9X4NKiZki51nMnCm&#10;CLvt7c0GC+tHLmk4pVpJCMcCDTQp9YXWsWrIYZz7nli4Hx8cJoGh1jbgKOGu03mWrbTDlqWhwZ6e&#10;G6p+T3/OwMNL6eLhqxyczdu3sP8e98vF0ZjZ3fT0CCrRlK7ii/vdii+X+XJGjoDe/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1KMUwQAAANwAAAAPAAAAAAAAAAAAAAAA&#10;AKECAABkcnMvZG93bnJldi54bWxQSwUGAAAAAAQABAD5AAAAjwMAAAAA&#10;" strokecolor="black [0]" strokeweight="2pt">
                        <v:stroke endarrow="block"/>
                        <v:shadow color="#eeece1" opacity="1" mv:blur="0" offset="2pt,2pt"/>
                      </v:shape>
                      <v:shape id="AutoShape 29" o:spid="_x0000_s1287" type="#_x0000_t32" style="position:absolute;left:973087;top:1202048;width:0;height:39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gGj8QAAADcAAAADwAAAGRycy9kb3ducmV2LnhtbESPQWvCQBSE7wX/w/KE3uomoRZJXaW0&#10;tnps1IPeHtnXJDT7Nuxuk/Tfu4LgcZj5ZpjlejSt6Mn5xrKCdJaAIC6tbrhScDx8Pi1A+ICssbVM&#10;Cv7Jw3o1eVhiru3ABfX7UIlYwj5HBXUIXS6lL2sy6Ge2I47ej3UGQ5SuktrhEMtNK7MkeZEGG44L&#10;NXb0XlP5u/8zCuYfhfFfp6I3Omu2bnMeNs/pt1KP0/HtFUSgMdzDN3qnI5elcD0Tj4Bc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mAaPxAAAANwAAAAPAAAAAAAAAAAA&#10;AAAAAKECAABkcnMvZG93bnJldi54bWxQSwUGAAAAAAQABAD5AAAAkgMAAAAA&#10;" strokecolor="black [0]" strokeweight="2pt">
                        <v:stroke endarrow="block"/>
                        <v:shadow color="#eeece1" opacity="1" mv:blur="0" offset="2pt,2pt"/>
                      </v:shape>
                      <v:shape id="AutoShape 30" o:spid="_x0000_s1288" type="#_x0000_t32" style="position:absolute;left:1017644;top:1213187;width:498;height:9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qY+MQAAADcAAAADwAAAGRycy9kb3ducmV2LnhtbESPT2vCQBTE7wW/w/KE3urG0BaJriJq&#10;/xyb6EFvj+wzCWbfht1tkn77bqHgcZj5zTCrzWha0ZPzjWUF81kCgri0uuFKwen49rQA4QOyxtYy&#10;KfghD5v15GGFmbYD59QXoRKxhH2GCuoQukxKX9Zk0M9sRxy9q3UGQ5SuktrhEMtNK9MkeZUGG44L&#10;NXa0q6m8Fd9Gwcs+N/79nPdGp82HO1yGw/P8S6nH6bhdggg0hnv4n/7UkUtT+DsTj4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Spj4xAAAANwAAAAPAAAAAAAAAAAA&#10;AAAAAKECAABkcnMvZG93bnJldi54bWxQSwUGAAAAAAQABAD5AAAAkgMAAAAA&#10;" strokecolor="black [0]" strokeweight="2pt">
                        <v:stroke endarrow="block"/>
                        <v:shadow color="#eeece1" opacity="1" mv:blur="0" offset="2pt,2pt"/>
                      </v:shape>
                      <v:shape id="AutoShape 31" o:spid="_x0000_s1289" type="#_x0000_t32" style="position:absolute;left:972755;top:1213187;width:499;height:914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wpZMMAAADcAAAADwAAAGRycy9kb3ducmV2LnhtbESPX2vCMBTF3wW/Q7jC3jSZYzI60zJE&#10;xZfB1DF8vDR3bVhzU5uo9dsvguDj4fz5ceZF7xpxpi5YzxqeJwoEcemN5UrD9341fgMRIrLBxjNp&#10;uFKAIh8O5pgZf+EtnXexEmmEQ4Ya6hjbTMpQ1uQwTHxLnLxf3zmMSXaVNB1e0rhr5FSpmXRoORFq&#10;bGlRU/m3O7nEVe50pE9l8Wi/DtXSuoNf/2j9NOo/3kFE6uMjfG9vjIbX6QvczqQjI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MKWTDAAAA3AAAAA8AAAAAAAAAAAAA&#10;AAAAoQIAAGRycy9kb3ducmV2LnhtbFBLBQYAAAAABAAEAPkAAACRAwAAAAA=&#10;" strokecolor="black [0]" strokeweight="2pt">
                        <v:stroke endarrow="block"/>
                        <v:shadow color="#eeece1" opacity="1" mv:blur="0" offset="2pt,2pt"/>
                      </v:shape>
                      <v:shape id="AutoShape 32" o:spid="_x0000_s1290" type="#_x0000_t66" style="position:absolute;left:1030287;top:1207090;width:9098;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IBFxAAA&#10;ANwAAAAPAAAAZHJzL2Rvd25yZXYueG1sRI9Pi8IwFMTvgt8hPGFvmqpVlm5TEUXYw3rwD7jHR/O2&#10;rTYvpYlav/1GEDwOM/MbJl10phY3al1lWcF4FIEgzq2uuFBwPGyGnyCcR9ZYWyYFD3KwyPq9FBNt&#10;77yj294XIkDYJaig9L5JpHR5SQbdyDbEwfuzrUEfZFtI3eI9wE0tJ1E0lwYrDgslNrQqKb/sr0bB&#10;72nc1dtquj6eTRzP7EP6HyOV+hh0yy8Qnjr/Dr/a31rBbBLD80w4Aj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3iARcQAAADcAAAADwAAAAAAAAAAAAAAAACXAgAAZHJzL2Rv&#10;d25yZXYueG1sUEsFBgAAAAAEAAQA9QAAAIgDAAAAAA==&#10;" fillcolor="#ffc000" strokecolor="black [0]" strokeweight="2pt">
                        <v:shadow color="#eeece1" opacity="1" mv:blur="0" offset="2pt,2pt"/>
                        <v:textbox inset="2.88pt,2.88pt,2.88pt,2.88pt"/>
                      </v:shape>
                      <v:shape id="AutoShape 33" o:spid="_x0000_s1291" type="#_x0000_t66" style="position:absolute;left:1031608;top:1222248;width:9311;height: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9V1mxQAA&#10;ANwAAAAPAAAAZHJzL2Rvd25yZXYueG1sRI/NasMwEITvhbyD2EIuJZZrcGncKMEEmvjQQ+vkARZr&#10;a5taK2Mp/nn7qFDocZiZb5jdYTadGGlwrWUFz1EMgriyuuVawfXyvnkF4Tyyxs4yKVjIwWG/ethh&#10;pu3EXzSWvhYBwi5DBY33fSalqxoy6CLbEwfv2w4GfZBDLfWAU4CbTiZx/CINthwWGuzp2FD1U96M&#10;AnN7Ok/L+JHwvM1P/JnU3VLkSq0f5/wNhKfZ/4f/2oVWkCYp/J4JR0D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1XWbFAAAA3AAAAA8AAAAAAAAAAAAAAAAAlwIAAGRycy9k&#10;b3ducmV2LnhtbFBLBQYAAAAABAAEAPUAAACJAwAAAAA=&#10;" adj="8254" fillcolor="#ffc000" strokecolor="black [0]" strokeweight="2pt">
                        <v:shadow color="#eeece1" opacity="1" mv:blur="0" offset="2pt,2pt"/>
                        <v:textbox inset="2.88pt,2.88pt,2.88pt,2.88pt"/>
                      </v:shape>
                      <v:shape id="AutoShape 34" o:spid="_x0000_s1292" type="#_x0000_t66" style="position:absolute;left:1030287;top:1230967;width:9406;height:4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5rupxAAA&#10;ANwAAAAPAAAAZHJzL2Rvd25yZXYueG1sRI9Pi8IwFMTvwn6H8Ba8aeq/IrWpLCuCBz3oCuvx0Tzb&#10;7jYvpYlav70RBI/DzPyGSZedqcWVWldZVjAaRiCIc6srLhQcf9aDOQjnkTXWlknBnRwss49eiom2&#10;N97T9eALESDsElRQet8kUrq8JINuaBvi4J1ta9AH2RZSt3gLcFPLcRTF0mDFYaHEhr5Lyv8PF6Pg&#10;9Dvq6l01WR3/zHQ6s3fpt0Yq1f/svhYgPHX+HX61N1rBbBzD80w4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a7qcQAAADcAAAADwAAAAAAAAAAAAAAAACXAgAAZHJzL2Rv&#10;d25yZXYueG1sUEsFBgAAAAAEAAQA9QAAAIgDAAAAAA==&#10;" fillcolor="#ffc000" strokecolor="black [0]" strokeweight="2pt">
                        <v:shadow color="#eeece1" opacity="1" mv:blur="0" offset="2pt,2pt"/>
                        <v:textbox inset="2.88pt,2.88pt,2.88pt,2.88pt"/>
                      </v:shape>
                    </v:group>
                    <v:shape id="Text Box 527" o:spid="_x0000_s1293" type="#_x0000_t202" style="position:absolute;left:5628266;top:3728355;width:1183005;height:5704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jHqxgAA&#10;ANwAAAAPAAAAZHJzL2Rvd25yZXYueG1sRI/dagIxFITvC75DOII3pWa7uLasRimCtJRS8OcBTjfH&#10;zbabkzWJun17IxR6OczMN8x82dtWnMmHxrGCx3EGgrhyuuFawX63fngGESKyxtYxKfilAMvF4G6O&#10;pXYX3tB5G2uRIBxKVGBi7EopQ2XIYhi7jjh5B+ctxiR9LbXHS4LbVuZZNpUWG04LBjtaGap+tier&#10;4Ov13uhJ/vFdHPfNxPP7ZzHlk1KjYf8yAxGpj//hv/abVlDkT3A7k4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VjHqxgAAANwAAAAPAAAAAAAAAAAAAAAAAJcCAABkcnMv&#10;ZG93bnJldi54bWxQSwUGAAAAAAQABAD1AAAAigMAAAAA&#10;" filled="f" stroked="f" strokecolor="black [0]" strokeweight="2pt">
                      <v:textbox inset="2.88pt,2.88pt,2.88pt,2.88pt">
                        <w:txbxContent>
                          <w:p w14:paraId="43BD32DC" w14:textId="77777777" w:rsidR="00C8402C" w:rsidRPr="009028A6" w:rsidRDefault="00C8402C" w:rsidP="00615CBC">
                            <w:pPr>
                              <w:widowControl w:val="0"/>
                              <w:spacing w:after="0"/>
                              <w:jc w:val="center"/>
                              <w:rPr>
                                <w:b/>
                                <w:bCs/>
                                <w:szCs w:val="24"/>
                              </w:rPr>
                            </w:pPr>
                            <w:r w:rsidRPr="009028A6">
                              <w:rPr>
                                <w:b/>
                                <w:bCs/>
                                <w:szCs w:val="24"/>
                              </w:rPr>
                              <w:t>Follow-up phase</w:t>
                            </w:r>
                          </w:p>
                        </w:txbxContent>
                      </v:textbox>
                    </v:shape>
                    <v:shape id="AutoShape 21" o:spid="_x0000_s1294" type="#_x0000_t88" style="position:absolute;left:5326423;top:3116482;width:218775;height:1484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WxvxQAA&#10;ANwAAAAPAAAAZHJzL2Rvd25yZXYueG1sRI/BasJAEIbvhb7DMgVvdbfBiqTZSGkRPfRSFfQ4ZqdJ&#10;MDsbsqvGt+8cCj0O//zffFMsR9+pKw2xDWzhZWpAEVfBtVxb2O9WzwtQMSE77AKThTtFWJaPDwXm&#10;Ltz4m67bVCuBcMzRQpNSn2sdq4Y8xmnoiSX7CYPHJONQazfgTeC+05kxc+2xZbnQYE8fDVXn7cWL&#10;hv/UO3M+Llbm1IcwXx8PX9nM2snT+P4GKtGY/pf/2htn4TUTW3lGCK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FbG/FAAAA3AAAAA8AAAAAAAAAAAAAAAAAlwIAAGRycy9k&#10;b3ducmV2LnhtbFBLBQYAAAAABAAEAPUAAACJAwAAAAA=&#10;" adj="576" strokecolor="black [0]" strokeweight="2pt">
                      <v:shadow color="#eeece1" opacity="1" mv:blur="0" offset="2pt,2pt"/>
                      <v:textbox inset="2.88pt,2.88pt,2.88pt,2.88pt"/>
                    </v:shape>
                  </v:group>
                  <v:roundrect id="AutoShape 16" o:spid="_x0000_s1295" style="position:absolute;left:267419;top:3226286;width:2882665;height:63835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nVxQAA&#10;ANwAAAAPAAAAZHJzL2Rvd25yZXYueG1sRI9Ba8JAFITvQv/D8gredFOhYqKbEArSgidtD+3tNfvc&#10;pM2+jdltjP/eFQoeh5n5htkUo23FQL1vHCt4micgiCunGzYKPt63sxUIH5A1to5JwYU8FPnDZIOZ&#10;dmfe03AIRkQI+wwV1CF0mZS+qsmin7uOOHpH11sMUfZG6h7PEW5buUiSpbTYcFyosaOXmqrfw59V&#10;0Bp+LZffw5c5pTu5+0HzuS+NUtPHsVyDCDSGe/i//aYVPC9SuJ2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OSdXFAAAA3AAAAA8AAAAAAAAAAAAAAAAAlwIAAGRycy9k&#10;b3ducmV2LnhtbFBLBQYAAAAABAAEAPUAAACJAwAAAAA=&#10;" fillcolor="#92d050" strokecolor="black [0]" strokeweight="2pt">
                    <v:textbox inset="2.88pt,2.88pt,2.88pt,2.88pt">
                      <w:txbxContent>
                        <w:p w14:paraId="0D37CCCB" w14:textId="77777777" w:rsidR="00C8402C" w:rsidRDefault="00C8402C" w:rsidP="00615CBC">
                          <w:pPr>
                            <w:widowControl w:val="0"/>
                            <w:jc w:val="center"/>
                            <w:rPr>
                              <w:b/>
                              <w:szCs w:val="24"/>
                              <w:u w:val="single"/>
                            </w:rPr>
                          </w:pPr>
                          <w:r w:rsidRPr="00501BC0">
                            <w:rPr>
                              <w:b/>
                              <w:szCs w:val="24"/>
                              <w:u w:val="single"/>
                            </w:rPr>
                            <w:t xml:space="preserve">Student clinical placements </w:t>
                          </w:r>
                        </w:p>
                        <w:p w14:paraId="4C54F4DE" w14:textId="30B83CB9" w:rsidR="00C8402C" w:rsidRPr="00501BC0" w:rsidRDefault="00C8402C" w:rsidP="00615CBC">
                          <w:pPr>
                            <w:widowControl w:val="0"/>
                            <w:jc w:val="center"/>
                            <w:rPr>
                              <w:b/>
                              <w:szCs w:val="24"/>
                              <w:u w:val="single"/>
                            </w:rPr>
                          </w:pPr>
                          <w:r w:rsidRPr="00501BC0">
                            <w:rPr>
                              <w:b/>
                              <w:szCs w:val="24"/>
                              <w:u w:val="single"/>
                            </w:rPr>
                            <w:t>4x</w:t>
                          </w:r>
                          <w:r>
                            <w:rPr>
                              <w:b/>
                              <w:szCs w:val="24"/>
                              <w:u w:val="single"/>
                            </w:rPr>
                            <w:t>3</w:t>
                          </w:r>
                          <w:r w:rsidRPr="00501BC0">
                            <w:rPr>
                              <w:b/>
                              <w:szCs w:val="24"/>
                              <w:u w:val="single"/>
                            </w:rPr>
                            <w:t xml:space="preserve"> weeks</w:t>
                          </w:r>
                        </w:p>
                        <w:p w14:paraId="7242C568" w14:textId="77777777" w:rsidR="00C8402C" w:rsidRPr="00501BC0" w:rsidRDefault="00C8402C" w:rsidP="00615CBC">
                          <w:pPr>
                            <w:widowControl w:val="0"/>
                            <w:jc w:val="center"/>
                            <w:rPr>
                              <w:b/>
                              <w:i/>
                              <w:iCs/>
                              <w:szCs w:val="24"/>
                            </w:rPr>
                          </w:pPr>
                          <w:r w:rsidRPr="00501BC0">
                            <w:rPr>
                              <w:b/>
                              <w:szCs w:val="24"/>
                            </w:rPr>
                            <w:t>Student focus groups and interviews</w:t>
                          </w:r>
                        </w:p>
                        <w:p w14:paraId="069C220B" w14:textId="77777777" w:rsidR="00C8402C" w:rsidRPr="00A771E3" w:rsidRDefault="00C8402C" w:rsidP="00615CBC">
                          <w:pPr>
                            <w:widowControl w:val="0"/>
                            <w:jc w:val="center"/>
                            <w:rPr>
                              <w:b/>
                              <w:szCs w:val="24"/>
                            </w:rPr>
                          </w:pPr>
                        </w:p>
                      </w:txbxContent>
                    </v:textbox>
                  </v:roundrect>
                  <v:shape id="Text Box 11" o:spid="_x0000_s1296" type="#_x0000_t202" style="position:absolute;left:3959524;top:3795623;width:136588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024ywgAA&#10;ANwAAAAPAAAAZHJzL2Rvd25yZXYueG1sRE/dasIwFL4f+A7hCLvTVNepdEYZY5MxELH6AMfmrKlr&#10;TkqSaX375ULY5cf3v1z3thUX8qFxrGAyzkAQV043XCs4Hj5GCxAhImtsHZOCGwVYrwYPSyy0u/Ke&#10;LmWsRQrhUKACE2NXSBkqQxbD2HXEift23mJM0NdSe7ymcNvKaZbNpMWGU4PBjt4MVT/lr1XwPvF2&#10;U+bbc34y8y8/rXZnmUulHof96wuISH38F9/dn1rB81Oan86kIy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TbjLCAAAA3AAAAA8AAAAAAAAAAAAAAAAAlwIAAGRycy9kb3du&#10;cmV2LnhtbFBLBQYAAAAABAAEAPUAAACGAwAAAAA=&#10;" filled="f" stroked="f" strokecolor="black [0]" strokeweight="2pt">
                    <v:textbox inset="2.88pt,2.88pt,2.88pt,2.88pt">
                      <w:txbxContent>
                        <w:p w14:paraId="2ED2ABD5" w14:textId="7FC3C593" w:rsidR="00C8402C" w:rsidRPr="000143BD" w:rsidRDefault="00C8402C" w:rsidP="00615CBC">
                          <w:pPr>
                            <w:widowControl w:val="0"/>
                            <w:spacing w:after="0"/>
                            <w:jc w:val="center"/>
                            <w:rPr>
                              <w:sz w:val="22"/>
                              <w:szCs w:val="24"/>
                            </w:rPr>
                          </w:pPr>
                          <w:r w:rsidRPr="00950528">
                            <w:rPr>
                              <w:sz w:val="22"/>
                              <w:szCs w:val="24"/>
                            </w:rPr>
                            <w:t>Questionnaires</w:t>
                          </w:r>
                          <w:r w:rsidRPr="000143BD">
                            <w:rPr>
                              <w:sz w:val="22"/>
                              <w:szCs w:val="24"/>
                            </w:rPr>
                            <w:t xml:space="preserve"> 3</w:t>
                          </w:r>
                        </w:p>
                      </w:txbxContent>
                    </v:textbox>
                  </v:shape>
                  <v:shape id="AutoShape 34" o:spid="_x0000_s1297" type="#_x0000_t66" style="position:absolute;left:3467819;top:3821502;width:475919;height:2480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JzQxQAA&#10;ANwAAAAPAAAAZHJzL2Rvd25yZXYueG1sRI9Ba8JAFITvBf/D8oReRDdWKiV1FVELYg9i6iW3R/Y1&#10;CWbfJtmtif/eFYQeh5n5hlmselOJK7WutKxgOolAEGdWl5wrOP98jT9AOI+ssbJMCm7kYLUcvCww&#10;1rbjE10Tn4sAYRejgsL7OpbSZQUZdBNbEwfv17YGfZBtLnWLXYCbSr5F0VwaLDksFFjTpqDskvwZ&#10;BfUWE97Zhma30bb7PpombdKDUq/Dfv0JwlPv/8PP9l4reJ9N4XEmHA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MnNDFAAAA3AAAAA8AAAAAAAAAAAAAAAAAlwIAAGRycy9k&#10;b3ducmV2LnhtbFBLBQYAAAAABAAEAPUAAACJAwAAAAA=&#10;" adj="5492" fillcolor="#ffc000" strokecolor="black [0]" strokeweight="2pt">
                    <v:shadow color="#eeece1" opacity="1" mv:blur="0" offset="2pt,2pt"/>
                    <v:textbox inset="2.88pt,2.88pt,2.88pt,2.88pt"/>
                  </v:shape>
                </v:group>
                <v:roundrect id="AutoShape 16" o:spid="_x0000_s1298" style="position:absolute;left:491706;top:4157932;width:2454067;height:360299;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huExQAA&#10;ANwAAAAPAAAAZHJzL2Rvd25yZXYueG1sRI/BTsMwEETvSP0Haytxow4plDbUrRAIxKWHll56W8Xb&#10;JBCvI3uThr/HSEgcRzPzRrPejq5VA4XYeDZwO8tAEZfeNlwZOH683ixBRUG22HomA98UYbuZXK2x&#10;sP7CexoOUqkE4ViggVqkK7SOZU0O48x3xMk7++BQkgyVtgEvCe5anWfZQjtsOC3U2NFzTeXXoXcG&#10;+vnLp5wwfwt3p3542Ik9H93KmOvp+PQISmiU//Bf+90auJ/n8HsmHQG9+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OG4TFAAAA3AAAAA8AAAAAAAAAAAAAAAAAlwIAAGRycy9k&#10;b3ducmV2LnhtbFBLBQYAAAAABAAEAPUAAACJAwAAAAA=&#10;" fillcolor="#ffc000 [3207]" strokecolor="black [0]" strokeweight="2pt">
                  <v:shadow color="#eeece1" opacity="1" mv:blur="0" offset="2pt,2pt"/>
                  <v:textbox inset="2.88pt,2.88pt,2.88pt,2.88pt">
                    <w:txbxContent>
                      <w:p w14:paraId="6316C7D1" w14:textId="77777777" w:rsidR="00C8402C" w:rsidRPr="00501BC0" w:rsidRDefault="00C8402C" w:rsidP="00615CBC">
                        <w:pPr>
                          <w:widowControl w:val="0"/>
                          <w:jc w:val="center"/>
                          <w:rPr>
                            <w:szCs w:val="24"/>
                          </w:rPr>
                        </w:pPr>
                        <w:r w:rsidRPr="00501BC0">
                          <w:rPr>
                            <w:szCs w:val="24"/>
                          </w:rPr>
                          <w:t>Validation of the SSRQ</w:t>
                        </w:r>
                      </w:p>
                    </w:txbxContent>
                  </v:textbox>
                </v:roundrect>
                <w10:wrap type="topAndBottom"/>
              </v:group>
            </w:pict>
          </mc:Fallback>
        </mc:AlternateContent>
      </w:r>
    </w:p>
    <w:p w14:paraId="08EC5D98" w14:textId="7673C723" w:rsidR="00615CBC" w:rsidRPr="00BD42AF" w:rsidRDefault="00615CBC" w:rsidP="00615CBC"/>
    <w:p w14:paraId="6ECF55C0" w14:textId="2A813940" w:rsidR="00615CBC" w:rsidRPr="00B56453" w:rsidRDefault="004444CD" w:rsidP="004444CD">
      <w:pPr>
        <w:pStyle w:val="Caption"/>
      </w:pPr>
      <w:bookmarkStart w:id="383" w:name="_Toc500319561"/>
      <w:r w:rsidRPr="00BD42AF">
        <w:t>Figure C2.</w:t>
      </w:r>
      <w:fldSimple w:instr=" SEQ Figure_C2. \* ARABIC ">
        <w:r w:rsidR="00E44881" w:rsidRPr="00B56453">
          <w:rPr>
            <w:noProof/>
          </w:rPr>
          <w:t>1</w:t>
        </w:r>
      </w:fldSimple>
      <w:r w:rsidRPr="00B56453">
        <w:t xml:space="preserve"> Flow diagram of study operations. Student focus groups and interviews (in green) in the follow-up phase is highlighted.</w:t>
      </w:r>
      <w:bookmarkEnd w:id="383"/>
    </w:p>
    <w:p w14:paraId="6CCE33ED" w14:textId="3A530300" w:rsidR="00CF212C" w:rsidRPr="00B56453" w:rsidRDefault="00CF212C" w:rsidP="00DE48AC">
      <w:r w:rsidRPr="00B56453">
        <w:br w:type="page"/>
      </w:r>
    </w:p>
    <w:p w14:paraId="3DAAFBB7" w14:textId="4036D426" w:rsidR="00CF212C" w:rsidRPr="00B56453" w:rsidRDefault="00473DB7" w:rsidP="00B1638D">
      <w:pPr>
        <w:pStyle w:val="Heading2"/>
        <w:rPr>
          <w:lang w:val="en-GB"/>
        </w:rPr>
      </w:pPr>
      <w:bookmarkStart w:id="384" w:name="_Toc500319415"/>
      <w:r w:rsidRPr="00B56453">
        <w:rPr>
          <w:lang w:val="en-GB"/>
        </w:rPr>
        <w:lastRenderedPageBreak/>
        <w:t xml:space="preserve">C.2.2 </w:t>
      </w:r>
      <w:r w:rsidR="00CF212C" w:rsidRPr="00B56453">
        <w:rPr>
          <w:lang w:val="en-GB"/>
        </w:rPr>
        <w:t>Methods</w:t>
      </w:r>
      <w:bookmarkEnd w:id="384"/>
    </w:p>
    <w:p w14:paraId="6387759E" w14:textId="77777777" w:rsidR="00CF212C" w:rsidRPr="00B56453" w:rsidRDefault="00CF212C" w:rsidP="00026049">
      <w:pPr>
        <w:pStyle w:val="Normal1"/>
        <w:rPr>
          <w:lang w:val="en-GB"/>
        </w:rPr>
      </w:pPr>
    </w:p>
    <w:p w14:paraId="5EB81BF1" w14:textId="24FD547F" w:rsidR="00CF212C" w:rsidRPr="00B56453" w:rsidRDefault="00473DB7" w:rsidP="00BA4521">
      <w:pPr>
        <w:pStyle w:val="Heading3"/>
      </w:pPr>
      <w:bookmarkStart w:id="385" w:name="_Toc500319416"/>
      <w:r w:rsidRPr="00B56453">
        <w:t xml:space="preserve">C2.2.1 </w:t>
      </w:r>
      <w:r w:rsidR="00CF212C" w:rsidRPr="00B56453">
        <w:t>Participants</w:t>
      </w:r>
      <w:bookmarkEnd w:id="385"/>
    </w:p>
    <w:p w14:paraId="5814DBD1" w14:textId="77777777" w:rsidR="00CF212C" w:rsidRPr="00B56453" w:rsidRDefault="00CF212C" w:rsidP="00026049">
      <w:pPr>
        <w:pStyle w:val="Normal1"/>
        <w:rPr>
          <w:lang w:val="en-GB"/>
        </w:rPr>
      </w:pPr>
    </w:p>
    <w:p w14:paraId="3341D704" w14:textId="68C53A15" w:rsidR="00CF212C" w:rsidRPr="00B56453" w:rsidRDefault="007E535C" w:rsidP="00026049">
      <w:pPr>
        <w:pStyle w:val="Normal1"/>
        <w:rPr>
          <w:b/>
          <w:lang w:val="en-GB"/>
        </w:rPr>
      </w:pPr>
      <w:r w:rsidRPr="00B56453">
        <w:rPr>
          <w:lang w:val="en-GB"/>
        </w:rPr>
        <w:t>The student cohort</w:t>
      </w:r>
      <w:r w:rsidR="00CF212C" w:rsidRPr="00B56453">
        <w:rPr>
          <w:lang w:val="en-GB"/>
        </w:rPr>
        <w:t xml:space="preserve"> who had participated in the earlier stages of this research were contacted and invited to contribute to this follow-up study during their four </w:t>
      </w:r>
      <w:r w:rsidRPr="00B56453">
        <w:rPr>
          <w:lang w:val="en-GB"/>
        </w:rPr>
        <w:t>blocks of</w:t>
      </w:r>
      <w:r w:rsidR="00CF212C" w:rsidRPr="00B56453">
        <w:rPr>
          <w:lang w:val="en-GB"/>
        </w:rPr>
        <w:t xml:space="preserve"> </w:t>
      </w:r>
      <w:r w:rsidR="005C46C3" w:rsidRPr="00B56453">
        <w:rPr>
          <w:lang w:val="en-GB"/>
        </w:rPr>
        <w:t>three</w:t>
      </w:r>
      <w:r w:rsidR="00CF212C" w:rsidRPr="00B56453">
        <w:rPr>
          <w:lang w:val="en-GB"/>
        </w:rPr>
        <w:t xml:space="preserve"> weeks clinical placement rotations. </w:t>
      </w:r>
      <w:r w:rsidRPr="00B56453">
        <w:rPr>
          <w:lang w:val="en-GB"/>
        </w:rPr>
        <w:t>The r</w:t>
      </w:r>
      <w:r w:rsidR="004F2565" w:rsidRPr="00B56453">
        <w:rPr>
          <w:lang w:val="en-GB"/>
        </w:rPr>
        <w:t>ecruitment materials, information sheet</w:t>
      </w:r>
      <w:r w:rsidRPr="00B56453">
        <w:rPr>
          <w:lang w:val="en-GB"/>
        </w:rPr>
        <w:t>s</w:t>
      </w:r>
      <w:r w:rsidR="004F2565" w:rsidRPr="00B56453">
        <w:rPr>
          <w:lang w:val="en-GB"/>
        </w:rPr>
        <w:t xml:space="preserve">, consent forms, and the member checking form is included in Appendix </w:t>
      </w:r>
      <w:r w:rsidR="00B76E6D" w:rsidRPr="00B56453">
        <w:rPr>
          <w:lang w:val="en-GB"/>
        </w:rPr>
        <w:t>18</w:t>
      </w:r>
      <w:r w:rsidR="004F2565" w:rsidRPr="00B56453">
        <w:rPr>
          <w:lang w:val="en-GB"/>
        </w:rPr>
        <w:t xml:space="preserve">. </w:t>
      </w:r>
      <w:r w:rsidR="00CF212C" w:rsidRPr="00B56453">
        <w:rPr>
          <w:lang w:val="en-GB"/>
        </w:rPr>
        <w:t xml:space="preserve">These students had received either SRLF or BPF as part of their clinical skills learning which occurred approximately </w:t>
      </w:r>
      <w:r w:rsidR="008F2848" w:rsidRPr="00B56453">
        <w:rPr>
          <w:lang w:val="en-GB"/>
        </w:rPr>
        <w:t>eight to nine</w:t>
      </w:r>
      <w:r w:rsidR="00CF212C" w:rsidRPr="00B56453">
        <w:rPr>
          <w:lang w:val="en-GB"/>
        </w:rPr>
        <w:t xml:space="preserve"> months before this qualitative data collection. Apart from prior participation, the other major eligibility criterion was that only students who had completed at least one of the four placement blocks were invit</w:t>
      </w:r>
      <w:r w:rsidR="007A5DAB" w:rsidRPr="00B56453">
        <w:rPr>
          <w:lang w:val="en-GB"/>
        </w:rPr>
        <w:t>ed to focus group or interview.</w:t>
      </w:r>
    </w:p>
    <w:p w14:paraId="2D40D58C" w14:textId="77777777" w:rsidR="00CF212C" w:rsidRPr="00B56453" w:rsidRDefault="00CF212C" w:rsidP="00026049">
      <w:pPr>
        <w:pStyle w:val="Normal1"/>
        <w:rPr>
          <w:lang w:val="en-GB"/>
        </w:rPr>
      </w:pPr>
    </w:p>
    <w:p w14:paraId="2B4D1E06" w14:textId="0A00C72D" w:rsidR="00CF212C" w:rsidRPr="00B56453" w:rsidRDefault="00CF212C" w:rsidP="00026049">
      <w:pPr>
        <w:pStyle w:val="Normal1"/>
        <w:rPr>
          <w:lang w:val="en-GB"/>
        </w:rPr>
      </w:pPr>
      <w:r w:rsidRPr="00B56453">
        <w:rPr>
          <w:lang w:val="en-GB"/>
        </w:rPr>
        <w:t xml:space="preserve">A purposive stratified sampling method was used to select </w:t>
      </w:r>
      <w:r w:rsidR="009F1882" w:rsidRPr="00B56453">
        <w:rPr>
          <w:lang w:val="en-GB"/>
        </w:rPr>
        <w:t>student</w:t>
      </w:r>
      <w:r w:rsidRPr="00B56453">
        <w:rPr>
          <w:lang w:val="en-GB"/>
        </w:rPr>
        <w:t xml:space="preserve">s for this study according to pre-determined criteria </w:t>
      </w:r>
      <w:r w:rsidR="00EF281A" w:rsidRPr="007638B6">
        <w:rPr>
          <w:lang w:val="en-GB"/>
        </w:rPr>
        <w:fldChar w:fldCharType="begin"/>
      </w:r>
      <w:r w:rsidR="008B61BE" w:rsidRPr="00B56453">
        <w:rPr>
          <w:lang w:val="en-GB"/>
        </w:rPr>
        <w:instrText xml:space="preserve"> ADDIN EN.CITE &lt;EndNote&gt;&lt;Cite&gt;&lt;Author&gt;Coyne&lt;/Author&gt;&lt;Year&gt;1997&lt;/Year&gt;&lt;RecNum&gt;51&lt;/RecNum&gt;&lt;DisplayText&gt;(Coyne 1997)&lt;/DisplayText&gt;&lt;record&gt;&lt;rec-number&gt;51&lt;/rec-number&gt;&lt;foreign-keys&gt;&lt;key app="EN" db-id="xa2r2ewea92trkef5dt5arvbzafvpv2za5ft" timestamp="1442161763"&gt;51&lt;/key&gt;&lt;/foreign-keys&gt;&lt;ref-type name="Journal Article"&gt;17&lt;/ref-type&gt;&lt;contributors&gt;&lt;authors&gt;&lt;author&gt;Coyne, Imelda T.&lt;/author&gt;&lt;/authors&gt;&lt;/contributors&gt;&lt;titles&gt;&lt;title&gt;Sampling in qualitative research. Purposeful and theoretical sampling; merging or clear boundaries?&lt;/title&gt;&lt;secondary-title&gt;Journal of advanced nursing&lt;/secondary-title&gt;&lt;/titles&gt;&lt;periodical&gt;&lt;full-title&gt;Journal of advanced nursing&lt;/full-title&gt;&lt;/periodical&gt;&lt;pages&gt;623-630&lt;/pages&gt;&lt;volume&gt;26&lt;/volume&gt;&lt;number&gt;3&lt;/number&gt;&lt;dates&gt;&lt;year&gt;1997&lt;/year&gt;&lt;/dates&gt;&lt;publisher&gt;Wiley Online Library&lt;/publisher&gt;&lt;urls&gt;&lt;related-urls&gt;&lt;url&gt;http://onlinelibrary.wiley.com/doi/10.1046/j.1365-2648.1997.t01-25-00999.x/abstract&lt;/url&gt;&lt;/related-urls&gt;&lt;/urls&gt;&lt;/record&gt;&lt;/Cite&gt;&lt;/EndNote&gt;</w:instrText>
      </w:r>
      <w:r w:rsidR="00EF281A" w:rsidRPr="00B27F0B">
        <w:rPr>
          <w:lang w:val="en-GB"/>
        </w:rPr>
        <w:fldChar w:fldCharType="separate"/>
      </w:r>
      <w:r w:rsidR="004E5A78" w:rsidRPr="00B56453">
        <w:rPr>
          <w:noProof/>
          <w:lang w:val="en-GB"/>
        </w:rPr>
        <w:t>(</w:t>
      </w:r>
      <w:hyperlink w:anchor="_ENREF_97" w:tooltip="Coyne, 1997 #51" w:history="1">
        <w:r w:rsidR="0094469E" w:rsidRPr="00B56453">
          <w:rPr>
            <w:noProof/>
            <w:lang w:val="en-GB"/>
          </w:rPr>
          <w:t>Coyne 1997</w:t>
        </w:r>
      </w:hyperlink>
      <w:r w:rsidR="004E5A78" w:rsidRPr="00B56453">
        <w:rPr>
          <w:noProof/>
          <w:lang w:val="en-GB"/>
        </w:rPr>
        <w:t>)</w:t>
      </w:r>
      <w:r w:rsidR="00EF281A" w:rsidRPr="007638B6">
        <w:rPr>
          <w:lang w:val="en-GB"/>
        </w:rPr>
        <w:fldChar w:fldCharType="end"/>
      </w:r>
      <w:r w:rsidRPr="00B56453">
        <w:rPr>
          <w:lang w:val="en-GB"/>
        </w:rPr>
        <w:t xml:space="preserve">. This had the aim of selecting an information rich source specific to the purposes of the study </w:t>
      </w:r>
      <w:r w:rsidR="00EF281A" w:rsidRPr="007638B6">
        <w:rPr>
          <w:lang w:val="en-GB"/>
        </w:rPr>
        <w:fldChar w:fldCharType="begin"/>
      </w:r>
      <w:r w:rsidR="008B61BE" w:rsidRPr="00B56453">
        <w:rPr>
          <w:lang w:val="en-GB"/>
        </w:rPr>
        <w:instrText xml:space="preserve"> ADDIN EN.CITE &lt;EndNote&gt;&lt;Cite&gt;&lt;Author&gt;Patton&lt;/Author&gt;&lt;Year&gt;2005&lt;/Year&gt;&lt;RecNum&gt;198&lt;/RecNum&gt;&lt;DisplayText&gt;(Patton 2005)&lt;/DisplayText&gt;&lt;record&gt;&lt;rec-number&gt;198&lt;/rec-number&gt;&lt;foreign-keys&gt;&lt;key app="EN" db-id="xa2r2ewea92trkef5dt5arvbzafvpv2za5ft" timestamp="1442161765"&gt;198&lt;/key&gt;&lt;/foreign-keys&gt;&lt;ref-type name="Book"&gt;6&lt;/ref-type&gt;&lt;contributors&gt;&lt;authors&gt;&lt;author&gt;Patton, Michael Quinn&lt;/author&gt;&lt;/authors&gt;&lt;/contributors&gt;&lt;titles&gt;&lt;title&gt;Qualitative research&lt;/title&gt;&lt;/titles&gt;&lt;number&gt;Book, Whole&lt;/number&gt;&lt;dates&gt;&lt;year&gt;2005&lt;/year&gt;&lt;/dates&gt;&lt;publisher&gt;Wiley Online Library&lt;/publisher&gt;&lt;urls&gt;&lt;/urls&gt;&lt;/record&gt;&lt;/Cite&gt;&lt;/EndNote&gt;</w:instrText>
      </w:r>
      <w:r w:rsidR="00EF281A" w:rsidRPr="00B27F0B">
        <w:rPr>
          <w:lang w:val="en-GB"/>
        </w:rPr>
        <w:fldChar w:fldCharType="separate"/>
      </w:r>
      <w:r w:rsidR="004E5A78" w:rsidRPr="00B56453">
        <w:rPr>
          <w:noProof/>
          <w:lang w:val="en-GB"/>
        </w:rPr>
        <w:t>(</w:t>
      </w:r>
      <w:hyperlink w:anchor="_ENREF_320" w:tooltip="Patton, 2005 #198" w:history="1">
        <w:r w:rsidR="0094469E" w:rsidRPr="00B56453">
          <w:rPr>
            <w:noProof/>
            <w:lang w:val="en-GB"/>
          </w:rPr>
          <w:t>Patton 2005</w:t>
        </w:r>
      </w:hyperlink>
      <w:r w:rsidR="004E5A78" w:rsidRPr="00B56453">
        <w:rPr>
          <w:noProof/>
          <w:lang w:val="en-GB"/>
        </w:rPr>
        <w:t>)</w:t>
      </w:r>
      <w:r w:rsidR="00EF281A" w:rsidRPr="007638B6">
        <w:rPr>
          <w:lang w:val="en-GB"/>
        </w:rPr>
        <w:fldChar w:fldCharType="end"/>
      </w:r>
      <w:r w:rsidRPr="00B56453">
        <w:rPr>
          <w:lang w:val="en-GB"/>
        </w:rPr>
        <w:t xml:space="preserve">. </w:t>
      </w:r>
      <w:r w:rsidR="00FC6E6B" w:rsidRPr="00B56453">
        <w:rPr>
          <w:lang w:val="en-GB"/>
        </w:rPr>
        <w:t>A</w:t>
      </w:r>
      <w:r w:rsidRPr="00B56453">
        <w:rPr>
          <w:lang w:val="en-GB"/>
        </w:rPr>
        <w:t>n equal representation of all levels of SRL capacity was identified to include diverse perspectives on SRL and feedback behaviours in each feedback group. The pre-determined selection characteristics were as follows: feedback condition (SRLF / BPF), change in SSRQ score (high / low)</w:t>
      </w:r>
      <w:r w:rsidR="00FC6E6B" w:rsidRPr="00B56453">
        <w:rPr>
          <w:lang w:val="en-GB"/>
        </w:rPr>
        <w:t>,</w:t>
      </w:r>
      <w:r w:rsidRPr="00B56453">
        <w:rPr>
          <w:lang w:val="en-GB"/>
        </w:rPr>
        <w:t xml:space="preserve"> and initial SSRQ score (high / low)</w:t>
      </w:r>
      <w:r w:rsidR="00803EBA" w:rsidRPr="00B56453">
        <w:rPr>
          <w:lang w:val="en-GB"/>
        </w:rPr>
        <w:t xml:space="preserve"> (see Appendix 20)</w:t>
      </w:r>
      <w:r w:rsidRPr="00B56453">
        <w:rPr>
          <w:lang w:val="en-GB"/>
        </w:rPr>
        <w:t>.</w:t>
      </w:r>
    </w:p>
    <w:p w14:paraId="48858E91" w14:textId="77777777" w:rsidR="00CF212C" w:rsidRPr="00B56453" w:rsidRDefault="00CF212C" w:rsidP="00026049">
      <w:pPr>
        <w:pStyle w:val="Normal1"/>
        <w:rPr>
          <w:lang w:val="en-GB"/>
        </w:rPr>
      </w:pPr>
    </w:p>
    <w:p w14:paraId="46BB27F8" w14:textId="76A359A4" w:rsidR="00CF212C" w:rsidRPr="00B56453" w:rsidRDefault="00473DB7" w:rsidP="00BA4521">
      <w:pPr>
        <w:pStyle w:val="Heading3"/>
      </w:pPr>
      <w:bookmarkStart w:id="386" w:name="_Toc500319417"/>
      <w:r w:rsidRPr="00B56453">
        <w:t xml:space="preserve">C2.2.1 </w:t>
      </w:r>
      <w:r w:rsidR="00CF212C" w:rsidRPr="00B56453">
        <w:t>Procedure and materials</w:t>
      </w:r>
      <w:bookmarkEnd w:id="386"/>
    </w:p>
    <w:p w14:paraId="14F92006" w14:textId="77777777" w:rsidR="00CF212C" w:rsidRPr="00B56453" w:rsidRDefault="00CF212C" w:rsidP="00026049">
      <w:pPr>
        <w:pStyle w:val="Normal1"/>
        <w:rPr>
          <w:lang w:val="en-GB"/>
        </w:rPr>
      </w:pPr>
    </w:p>
    <w:p w14:paraId="344E523C" w14:textId="78DBC791" w:rsidR="00CF212C" w:rsidRPr="00B56453" w:rsidRDefault="00CF212C" w:rsidP="00026049">
      <w:pPr>
        <w:pStyle w:val="Normal1"/>
        <w:rPr>
          <w:lang w:val="en-GB"/>
        </w:rPr>
      </w:pPr>
      <w:r w:rsidRPr="00B56453">
        <w:rPr>
          <w:lang w:val="en-GB"/>
        </w:rPr>
        <w:t xml:space="preserve">After sampling and selection, students were randomly allocated to attend focus groups or interviews. </w:t>
      </w:r>
      <w:r w:rsidR="008F2848" w:rsidRPr="00B56453">
        <w:rPr>
          <w:lang w:val="en-GB"/>
        </w:rPr>
        <w:t>A low uptake in focus group recruitment according to the selection criteria meant that focus groups were only organised by feedback condition as it was not possible to equally distribute students according to the sampling framework. This issue did not occur with interviews and students were successfully sampled according to the criteria in equally numbered groups (four groups of four).</w:t>
      </w:r>
    </w:p>
    <w:p w14:paraId="3BB58949" w14:textId="77777777" w:rsidR="00CF212C" w:rsidRPr="00B56453" w:rsidRDefault="00CF212C" w:rsidP="00026049">
      <w:pPr>
        <w:pStyle w:val="Normal1"/>
        <w:rPr>
          <w:lang w:val="en-GB"/>
        </w:rPr>
      </w:pPr>
    </w:p>
    <w:p w14:paraId="4A24B6B8" w14:textId="77777777" w:rsidR="0094469E" w:rsidRPr="00B56453" w:rsidRDefault="0094469E">
      <w:pPr>
        <w:rPr>
          <w:rFonts w:eastAsiaTheme="majorEastAsia" w:cstheme="majorBidi"/>
          <w:i/>
          <w:iCs/>
        </w:rPr>
      </w:pPr>
      <w:r w:rsidRPr="00B56453">
        <w:br w:type="page"/>
      </w:r>
    </w:p>
    <w:p w14:paraId="3E6085EB" w14:textId="68F2EAC0" w:rsidR="00CF212C" w:rsidRPr="00B56453" w:rsidRDefault="00473DB7" w:rsidP="00426FCB">
      <w:pPr>
        <w:pStyle w:val="Heading4"/>
      </w:pPr>
      <w:r w:rsidRPr="00B56453">
        <w:lastRenderedPageBreak/>
        <w:t xml:space="preserve">C2.2.1.1 </w:t>
      </w:r>
      <w:r w:rsidR="00CF212C" w:rsidRPr="00B56453">
        <w:t>Focus groups</w:t>
      </w:r>
    </w:p>
    <w:p w14:paraId="17FE5E64" w14:textId="77777777" w:rsidR="00CF212C" w:rsidRPr="00B56453" w:rsidRDefault="00CF212C" w:rsidP="00026049">
      <w:pPr>
        <w:pStyle w:val="Normal1"/>
        <w:rPr>
          <w:lang w:val="en-GB"/>
        </w:rPr>
      </w:pPr>
    </w:p>
    <w:p w14:paraId="28DAF432" w14:textId="0922994E" w:rsidR="00D64D7C" w:rsidRPr="00B56453" w:rsidRDefault="00D64D7C" w:rsidP="00D64D7C">
      <w:pPr>
        <w:pStyle w:val="Normal1"/>
        <w:rPr>
          <w:lang w:val="en-GB"/>
        </w:rPr>
      </w:pPr>
      <w:r w:rsidRPr="00B56453">
        <w:rPr>
          <w:lang w:val="en-GB"/>
        </w:rPr>
        <w:t xml:space="preserve">On the advice of experts in focus group research </w:t>
      </w:r>
      <w:r w:rsidRPr="009C2746">
        <w:rPr>
          <w:lang w:val="en-GB"/>
        </w:rPr>
        <w:fldChar w:fldCharType="begin"/>
      </w:r>
      <w:r w:rsidRPr="00B56453">
        <w:rPr>
          <w:lang w:val="en-GB"/>
        </w:rPr>
        <w:instrText xml:space="preserve"> ADDIN EN.CITE &lt;EndNote&gt;&lt;Cite&gt;&lt;Author&gt;Bloor&lt;/Author&gt;&lt;Year&gt;2001&lt;/Year&gt;&lt;RecNum&gt;789&lt;/RecNum&gt;&lt;DisplayText&gt;(Bloor 2001; Finch and Lewis 2003; Barbour 2005)&lt;/DisplayText&gt;&lt;record&gt;&lt;rec-number&gt;789&lt;/rec-number&gt;&lt;foreign-keys&gt;&lt;key app="EN" db-id="xa2r2ewea92trkef5dt5arvbzafvpv2za5ft" timestamp="1496417594"&gt;789&lt;/key&gt;&lt;/foreign-keys&gt;&lt;ref-type name="Book"&gt;6&lt;/ref-type&gt;&lt;contributors&gt;&lt;authors&gt;&lt;author&gt;Bloor, Michael&lt;/author&gt;&lt;/authors&gt;&lt;/contributors&gt;&lt;titles&gt;&lt;title&gt;Focus groups in social research&lt;/title&gt;&lt;/titles&gt;&lt;dates&gt;&lt;year&gt;2001&lt;/year&gt;&lt;/dates&gt;&lt;publisher&gt;Sage&lt;/publisher&gt;&lt;isbn&gt;076195743X&lt;/isbn&gt;&lt;urls&gt;&lt;/urls&gt;&lt;/record&gt;&lt;/Cite&gt;&lt;Cite&gt;&lt;Author&gt;Finch&lt;/Author&gt;&lt;Year&gt;2003&lt;/Year&gt;&lt;RecNum&gt;795&lt;/RecNum&gt;&lt;record&gt;&lt;rec-number&gt;795&lt;/rec-number&gt;&lt;foreign-keys&gt;&lt;key app="EN" db-id="xa2r2ewea92trkef5dt5arvbzafvpv2za5ft" timestamp="1496417594"&gt;795&lt;/key&gt;&lt;/foreign-keys&gt;&lt;ref-type name="Journal Article"&gt;17&lt;/ref-type&gt;&lt;contributors&gt;&lt;authors&gt;&lt;author&gt;Finch, Helen&lt;/author&gt;&lt;author&gt;Lewis, Jane&lt;/author&gt;&lt;/authors&gt;&lt;/contributors&gt;&lt;titles&gt;&lt;title&gt;Focus groups&lt;/title&gt;&lt;secondary-title&gt;Qualitative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170-198&lt;/pages&gt;&lt;dates&gt;&lt;year&gt;2003&lt;/year&gt;&lt;/dates&gt;&lt;urls&gt;&lt;/urls&gt;&lt;/record&gt;&lt;/Cite&gt;&lt;Cite&gt;&lt;Author&gt;Barbour&lt;/Author&gt;&lt;Year&gt;2005&lt;/Year&gt;&lt;RecNum&gt;788&lt;/RecNum&gt;&lt;record&gt;&lt;rec-number&gt;788&lt;/rec-number&gt;&lt;foreign-keys&gt;&lt;key app="EN" db-id="xa2r2ewea92trkef5dt5arvbzafvpv2za5ft" timestamp="1496417594"&gt;788&lt;/key&gt;&lt;/foreign-keys&gt;&lt;ref-type name="Journal Article"&gt;17&lt;/ref-type&gt;&lt;contributors&gt;&lt;authors&gt;&lt;author&gt;Barbour, Rosaline S&lt;/author&gt;&lt;/authors&gt;&lt;/contributors&gt;&lt;titles&gt;&lt;title&gt;Making sense of focus groups&lt;/title&gt;&lt;secondary-title&gt;Medical education&lt;/secondary-title&gt;&lt;/titles&gt;&lt;periodical&gt;&lt;full-title&gt;Medical education&lt;/full-title&gt;&lt;/periodical&gt;&lt;pages&gt;742-750&lt;/pages&gt;&lt;volume&gt;39&lt;/volume&gt;&lt;number&gt;7&lt;/number&gt;&lt;dates&gt;&lt;year&gt;2005&lt;/year&gt;&lt;/dates&gt;&lt;isbn&gt;1365-2923&lt;/isbn&gt;&lt;urls&gt;&lt;/urls&gt;&lt;/record&gt;&lt;/Cite&gt;&lt;/EndNote&gt;</w:instrText>
      </w:r>
      <w:r w:rsidRPr="00B27F0B">
        <w:rPr>
          <w:lang w:val="en-GB"/>
        </w:rPr>
        <w:fldChar w:fldCharType="separate"/>
      </w:r>
      <w:r w:rsidRPr="00B56453">
        <w:rPr>
          <w:noProof/>
          <w:lang w:val="en-GB"/>
        </w:rPr>
        <w:t>(</w:t>
      </w:r>
      <w:hyperlink w:anchor="_ENREF_37" w:tooltip="Bloor, 2001 #789" w:history="1">
        <w:r w:rsidR="0094469E" w:rsidRPr="00B56453">
          <w:rPr>
            <w:noProof/>
            <w:lang w:val="en-GB"/>
          </w:rPr>
          <w:t>Bloor 2001</w:t>
        </w:r>
      </w:hyperlink>
      <w:r w:rsidRPr="00B56453">
        <w:rPr>
          <w:noProof/>
          <w:lang w:val="en-GB"/>
        </w:rPr>
        <w:t xml:space="preserve">; </w:t>
      </w:r>
      <w:hyperlink w:anchor="_ENREF_148" w:tooltip="Finch, 2003 #795" w:history="1">
        <w:r w:rsidR="0094469E" w:rsidRPr="00B56453">
          <w:rPr>
            <w:noProof/>
            <w:lang w:val="en-GB"/>
          </w:rPr>
          <w:t>Finch and Lewis 2003</w:t>
        </w:r>
      </w:hyperlink>
      <w:r w:rsidRPr="00B56453">
        <w:rPr>
          <w:noProof/>
          <w:lang w:val="en-GB"/>
        </w:rPr>
        <w:t xml:space="preserve">; </w:t>
      </w:r>
      <w:hyperlink w:anchor="_ENREF_21" w:tooltip="Barbour, 2005 #788" w:history="1">
        <w:r w:rsidR="0094469E" w:rsidRPr="00B56453">
          <w:rPr>
            <w:noProof/>
            <w:lang w:val="en-GB"/>
          </w:rPr>
          <w:t>Barbour 2005</w:t>
        </w:r>
      </w:hyperlink>
      <w:r w:rsidRPr="00B56453">
        <w:rPr>
          <w:noProof/>
          <w:lang w:val="en-GB"/>
        </w:rPr>
        <w:t>)</w:t>
      </w:r>
      <w:r w:rsidRPr="009C2746">
        <w:rPr>
          <w:lang w:val="en-GB"/>
        </w:rPr>
        <w:fldChar w:fldCharType="end"/>
      </w:r>
      <w:r w:rsidRPr="00B56453">
        <w:rPr>
          <w:lang w:val="en-GB"/>
        </w:rPr>
        <w:t xml:space="preserve">, students were </w:t>
      </w:r>
      <w:r w:rsidR="00363838" w:rsidRPr="00B56453">
        <w:rPr>
          <w:lang w:val="en-GB"/>
        </w:rPr>
        <w:t>encouraged</w:t>
      </w:r>
      <w:r w:rsidRPr="00B56453">
        <w:rPr>
          <w:lang w:val="en-GB"/>
        </w:rPr>
        <w:t xml:space="preserve"> to lead the discussion but were paced using prompts to ensure the topics were sufficiently covered. The venues of all focus groups were at the students’ respective </w:t>
      </w:r>
      <w:r w:rsidR="00483DED" w:rsidRPr="00B56453">
        <w:rPr>
          <w:lang w:val="en-GB"/>
        </w:rPr>
        <w:t xml:space="preserve">clinical </w:t>
      </w:r>
      <w:r w:rsidRPr="00B56453">
        <w:rPr>
          <w:lang w:val="en-GB"/>
        </w:rPr>
        <w:t xml:space="preserve">placement sites with the aim of grounding their discussion in the context of authentic clinical learning experiences as opposed to a remote and decontextualized location. Small group dynamics were considered, based on </w:t>
      </w:r>
      <w:hyperlink w:anchor="_ENREF_409" w:tooltip="Tuckman, 1977 #798" w:history="1">
        <w:r w:rsidR="0094469E" w:rsidRPr="00B27F0B">
          <w:rPr>
            <w:lang w:val="en-GB"/>
          </w:rPr>
          <w:fldChar w:fldCharType="begin"/>
        </w:r>
        <w:r w:rsidR="0094469E" w:rsidRPr="00B56453">
          <w:rPr>
            <w:lang w:val="en-GB"/>
          </w:rPr>
          <w:instrText xml:space="preserve"> ADDIN EN.CITE &lt;EndNote&gt;&lt;Cite AuthorYear="1"&gt;&lt;Author&gt;Tuckman&lt;/Author&gt;&lt;Year&gt;1977&lt;/Year&gt;&lt;RecNum&gt;798&lt;/RecNum&gt;&lt;DisplayText&gt;Tuckman and Jensen (1977)&lt;/DisplayText&gt;&lt;record&gt;&lt;rec-number&gt;798&lt;/rec-number&gt;&lt;foreign-keys&gt;&lt;key app="EN" db-id="xa2r2ewea92trkef5dt5arvbzafvpv2za5ft" timestamp="1496417594"&gt;798&lt;/key&gt;&lt;/foreign-keys&gt;&lt;ref-type name="Journal Article"&gt;17&lt;/ref-type&gt;&lt;contributors&gt;&lt;authors&gt;&lt;author&gt;Tuckman, Bruce W&lt;/author&gt;&lt;author&gt;Jensen, Mary Ann C&lt;/author&gt;&lt;/authors&gt;&lt;/contributors&gt;&lt;titles&gt;&lt;title&gt;Stages of small-group development revisited&lt;/title&gt;&lt;secondary-title&gt;Group &amp;amp; Organization Studies&lt;/secondary-title&gt;&lt;/titles&gt;&lt;periodical&gt;&lt;full-title&gt;Group &amp;amp; Organization Studies&lt;/full-title&gt;&lt;/periodical&gt;&lt;pages&gt;419-427&lt;/pages&gt;&lt;volume&gt;2&lt;/volume&gt;&lt;number&gt;4&lt;/number&gt;&lt;dates&gt;&lt;year&gt;1977&lt;/year&gt;&lt;/dates&gt;&lt;isbn&gt;0364-1082&lt;/isbn&gt;&lt;urls&gt;&lt;/urls&gt;&lt;/record&gt;&lt;/Cite&gt;&lt;/EndNote&gt;</w:instrText>
        </w:r>
        <w:r w:rsidR="0094469E" w:rsidRPr="00B27F0B">
          <w:rPr>
            <w:lang w:val="en-GB"/>
          </w:rPr>
          <w:fldChar w:fldCharType="separate"/>
        </w:r>
        <w:r w:rsidR="0094469E" w:rsidRPr="00B56453">
          <w:rPr>
            <w:noProof/>
            <w:lang w:val="en-GB"/>
          </w:rPr>
          <w:t>Tuckman and Jensen (1977)</w:t>
        </w:r>
        <w:r w:rsidR="0094469E" w:rsidRPr="00B27F0B">
          <w:rPr>
            <w:lang w:val="en-GB"/>
          </w:rPr>
          <w:fldChar w:fldCharType="end"/>
        </w:r>
      </w:hyperlink>
      <w:r w:rsidR="007A5DAB" w:rsidRPr="00B56453">
        <w:rPr>
          <w:lang w:val="en-GB"/>
        </w:rPr>
        <w:t>,</w:t>
      </w:r>
      <w:r w:rsidRPr="00B56453">
        <w:rPr>
          <w:lang w:val="en-GB"/>
        </w:rPr>
        <w:t xml:space="preserve"> and outlined in the context of focus groups by </w:t>
      </w:r>
      <w:hyperlink w:anchor="_ENREF_148" w:tooltip="Finch, 2003 #795" w:history="1">
        <w:r w:rsidR="0094469E" w:rsidRPr="00B27F0B">
          <w:rPr>
            <w:lang w:val="en-GB"/>
          </w:rPr>
          <w:fldChar w:fldCharType="begin"/>
        </w:r>
        <w:r w:rsidR="0094469E" w:rsidRPr="00B56453">
          <w:rPr>
            <w:lang w:val="en-GB"/>
          </w:rPr>
          <w:instrText xml:space="preserve"> ADDIN EN.CITE &lt;EndNote&gt;&lt;Cite AuthorYear="1"&gt;&lt;Author&gt;Finch&lt;/Author&gt;&lt;Year&gt;2003&lt;/Year&gt;&lt;RecNum&gt;795&lt;/RecNum&gt;&lt;DisplayText&gt;Finch and Lewis (2003)&lt;/DisplayText&gt;&lt;record&gt;&lt;rec-number&gt;795&lt;/rec-number&gt;&lt;foreign-keys&gt;&lt;key app="EN" db-id="xa2r2ewea92trkef5dt5arvbzafvpv2za5ft" timestamp="1496417594"&gt;795&lt;/key&gt;&lt;/foreign-keys&gt;&lt;ref-type name="Journal Article"&gt;17&lt;/ref-type&gt;&lt;contributors&gt;&lt;authors&gt;&lt;author&gt;Finch, Helen&lt;/author&gt;&lt;author&gt;Lewis, Jane&lt;/author&gt;&lt;/authors&gt;&lt;/contributors&gt;&lt;titles&gt;&lt;title&gt;Focus groups&lt;/title&gt;&lt;secondary-title&gt;Qualitative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researchers&lt;/full-title&gt;&lt;/periodical&gt;&lt;pages&gt;170-198&lt;/pages&gt;&lt;dates&gt;&lt;year&gt;2003&lt;/year&gt;&lt;/dates&gt;&lt;urls&gt;&lt;/urls&gt;&lt;/record&gt;&lt;/Cite&gt;&lt;/EndNote&gt;</w:instrText>
        </w:r>
        <w:r w:rsidR="0094469E" w:rsidRPr="00B27F0B">
          <w:rPr>
            <w:lang w:val="en-GB"/>
          </w:rPr>
          <w:fldChar w:fldCharType="separate"/>
        </w:r>
        <w:r w:rsidR="0094469E" w:rsidRPr="00B56453">
          <w:rPr>
            <w:noProof/>
            <w:lang w:val="en-GB"/>
          </w:rPr>
          <w:t>Finch and Lewis (2003)</w:t>
        </w:r>
        <w:r w:rsidR="0094469E" w:rsidRPr="00B27F0B">
          <w:rPr>
            <w:lang w:val="en-GB"/>
          </w:rPr>
          <w:fldChar w:fldCharType="end"/>
        </w:r>
      </w:hyperlink>
      <w:r w:rsidRPr="00B56453">
        <w:rPr>
          <w:lang w:val="en-GB"/>
        </w:rPr>
        <w:t xml:space="preserve"> when moderating the groups which involved: </w:t>
      </w:r>
    </w:p>
    <w:p w14:paraId="72D6F854" w14:textId="77777777" w:rsidR="00D64D7C" w:rsidRPr="00B56453" w:rsidRDefault="00D64D7C" w:rsidP="00D64D7C">
      <w:pPr>
        <w:pStyle w:val="Normal1"/>
        <w:rPr>
          <w:lang w:val="en-GB"/>
        </w:rPr>
      </w:pPr>
    </w:p>
    <w:p w14:paraId="3C01AA5F" w14:textId="77777777" w:rsidR="00D64D7C" w:rsidRPr="00B56453" w:rsidRDefault="00D64D7C" w:rsidP="00D64D7C">
      <w:pPr>
        <w:pStyle w:val="Normal1"/>
        <w:numPr>
          <w:ilvl w:val="0"/>
          <w:numId w:val="20"/>
        </w:numPr>
        <w:rPr>
          <w:lang w:val="en-GB"/>
        </w:rPr>
      </w:pPr>
      <w:r w:rsidRPr="00B56453">
        <w:rPr>
          <w:i/>
          <w:lang w:val="en-GB"/>
        </w:rPr>
        <w:t>Setting the ground rules and setting the scene</w:t>
      </w:r>
      <w:r w:rsidRPr="00B56453">
        <w:rPr>
          <w:lang w:val="en-GB"/>
        </w:rPr>
        <w:t xml:space="preserve"> – conducting introductions, reviewing the procedures and explaining the research with careful attention to ethical procedures. </w:t>
      </w:r>
    </w:p>
    <w:p w14:paraId="26F1E218" w14:textId="13D6913E" w:rsidR="00D64D7C" w:rsidRPr="00B56453" w:rsidRDefault="00D64D7C" w:rsidP="00D64D7C">
      <w:pPr>
        <w:pStyle w:val="Normal1"/>
        <w:numPr>
          <w:ilvl w:val="0"/>
          <w:numId w:val="20"/>
        </w:numPr>
        <w:rPr>
          <w:lang w:val="en-GB"/>
        </w:rPr>
      </w:pPr>
      <w:r w:rsidRPr="00B56453">
        <w:rPr>
          <w:i/>
          <w:lang w:val="en-GB"/>
        </w:rPr>
        <w:t xml:space="preserve">Introductions </w:t>
      </w:r>
      <w:r w:rsidRPr="00B56453">
        <w:rPr>
          <w:lang w:val="en-GB"/>
        </w:rPr>
        <w:t>– participants are asked to introduce themselves to build initial familiarity and for the researcher to take notes on spatial placement and any other background information given.</w:t>
      </w:r>
    </w:p>
    <w:p w14:paraId="287B758E" w14:textId="56572157" w:rsidR="00D64D7C" w:rsidRPr="00B56453" w:rsidRDefault="00D64D7C" w:rsidP="00D64D7C">
      <w:pPr>
        <w:pStyle w:val="Normal1"/>
        <w:numPr>
          <w:ilvl w:val="0"/>
          <w:numId w:val="20"/>
        </w:numPr>
        <w:rPr>
          <w:lang w:val="en-GB"/>
        </w:rPr>
      </w:pPr>
      <w:r w:rsidRPr="00B56453">
        <w:rPr>
          <w:i/>
          <w:lang w:val="en-GB"/>
        </w:rPr>
        <w:t xml:space="preserve">Introductory topic </w:t>
      </w:r>
      <w:r w:rsidRPr="00B56453">
        <w:rPr>
          <w:lang w:val="en-GB"/>
        </w:rPr>
        <w:t>– opening with a neutral and easy topic in the research to encourage discussion amongst all of the participants.</w:t>
      </w:r>
    </w:p>
    <w:p w14:paraId="2359A354" w14:textId="0930D940" w:rsidR="00D64D7C" w:rsidRPr="00B56453" w:rsidRDefault="00D64D7C" w:rsidP="00D64D7C">
      <w:pPr>
        <w:pStyle w:val="Normal1"/>
        <w:numPr>
          <w:ilvl w:val="0"/>
          <w:numId w:val="20"/>
        </w:numPr>
        <w:rPr>
          <w:lang w:val="en-GB"/>
        </w:rPr>
      </w:pPr>
      <w:r w:rsidRPr="00B56453">
        <w:rPr>
          <w:i/>
          <w:lang w:val="en-GB"/>
        </w:rPr>
        <w:t xml:space="preserve">Discussion </w:t>
      </w:r>
      <w:r w:rsidRPr="00B56453">
        <w:rPr>
          <w:lang w:val="en-GB"/>
        </w:rPr>
        <w:t>–</w:t>
      </w:r>
      <w:r w:rsidRPr="00B56453">
        <w:rPr>
          <w:i/>
          <w:lang w:val="en-GB"/>
        </w:rPr>
        <w:t xml:space="preserve"> </w:t>
      </w:r>
      <w:r w:rsidRPr="00B56453">
        <w:rPr>
          <w:lang w:val="en-GB"/>
        </w:rPr>
        <w:t>using active listening to prompt the discussion and involve less active members whilst managing overpowering members. Raising challenges to stimulate deeper discussion.</w:t>
      </w:r>
    </w:p>
    <w:p w14:paraId="40DB7FB8" w14:textId="77777777" w:rsidR="00D64D7C" w:rsidRPr="00B56453" w:rsidRDefault="00D64D7C" w:rsidP="00D64D7C">
      <w:pPr>
        <w:pStyle w:val="Normal1"/>
        <w:numPr>
          <w:ilvl w:val="0"/>
          <w:numId w:val="20"/>
        </w:numPr>
        <w:rPr>
          <w:lang w:val="en-GB"/>
        </w:rPr>
      </w:pPr>
      <w:r w:rsidRPr="00B56453">
        <w:rPr>
          <w:i/>
          <w:lang w:val="en-GB"/>
        </w:rPr>
        <w:t xml:space="preserve">Concluding </w:t>
      </w:r>
      <w:r w:rsidRPr="00B56453">
        <w:rPr>
          <w:lang w:val="en-GB"/>
        </w:rPr>
        <w:t>– introducing the final topic and winding down the session to finish on a positive note, and to be present after the session for informal debriefs.</w:t>
      </w:r>
    </w:p>
    <w:p w14:paraId="0BCF401B" w14:textId="77777777" w:rsidR="00D64D7C" w:rsidRPr="00B56453" w:rsidRDefault="00D64D7C" w:rsidP="00026049">
      <w:pPr>
        <w:pStyle w:val="Normal1"/>
        <w:rPr>
          <w:lang w:val="en-GB"/>
        </w:rPr>
      </w:pPr>
    </w:p>
    <w:p w14:paraId="1477E9E3" w14:textId="342FBEB8" w:rsidR="00CF212C" w:rsidRPr="00B56453" w:rsidRDefault="00CF212C" w:rsidP="00026049">
      <w:pPr>
        <w:pStyle w:val="Normal1"/>
        <w:rPr>
          <w:lang w:val="en-GB"/>
        </w:rPr>
      </w:pPr>
      <w:r w:rsidRPr="00B56453">
        <w:rPr>
          <w:lang w:val="en-GB"/>
        </w:rPr>
        <w:t xml:space="preserve">The purpose of the focus groups was to explore how </w:t>
      </w:r>
      <w:r w:rsidR="00C82435" w:rsidRPr="00B56453">
        <w:rPr>
          <w:lang w:val="en-GB"/>
        </w:rPr>
        <w:t>students</w:t>
      </w:r>
      <w:r w:rsidRPr="00B56453">
        <w:rPr>
          <w:lang w:val="en-GB"/>
        </w:rPr>
        <w:t xml:space="preserve"> engaged with their learning during thei</w:t>
      </w:r>
      <w:r w:rsidR="00C82435" w:rsidRPr="00B56453">
        <w:rPr>
          <w:lang w:val="en-GB"/>
        </w:rPr>
        <w:t xml:space="preserve">r </w:t>
      </w:r>
      <w:r w:rsidR="00483DED" w:rsidRPr="00B56453">
        <w:rPr>
          <w:lang w:val="en-GB"/>
        </w:rPr>
        <w:t xml:space="preserve">clinical </w:t>
      </w:r>
      <w:r w:rsidR="00C82435" w:rsidRPr="00B56453">
        <w:rPr>
          <w:lang w:val="en-GB"/>
        </w:rPr>
        <w:t>placement</w:t>
      </w:r>
      <w:r w:rsidR="007A5DAB" w:rsidRPr="00B56453">
        <w:rPr>
          <w:lang w:val="en-GB"/>
        </w:rPr>
        <w:t>s</w:t>
      </w:r>
      <w:r w:rsidRPr="00B56453">
        <w:rPr>
          <w:lang w:val="en-GB"/>
        </w:rPr>
        <w:t xml:space="preserve"> and to what extent the clinical skills teaching and aligned feedback they received in simulation prepared them for placements. Focus groups were conducted in seminar meeting rooms over three different hospital sites where students were on their </w:t>
      </w:r>
      <w:r w:rsidR="001246F8" w:rsidRPr="00B56453">
        <w:rPr>
          <w:lang w:val="en-GB"/>
        </w:rPr>
        <w:t xml:space="preserve">first </w:t>
      </w:r>
      <w:r w:rsidRPr="00B56453">
        <w:rPr>
          <w:lang w:val="en-GB"/>
        </w:rPr>
        <w:t>clinical placements</w:t>
      </w:r>
      <w:r w:rsidR="001246F8" w:rsidRPr="00B56453">
        <w:rPr>
          <w:lang w:val="en-GB"/>
        </w:rPr>
        <w:t xml:space="preserve"> in their final week (July 2016)</w:t>
      </w:r>
      <w:r w:rsidRPr="00B56453">
        <w:rPr>
          <w:lang w:val="en-GB"/>
        </w:rPr>
        <w:t>. A topic guide</w:t>
      </w:r>
      <w:r w:rsidR="00A42813" w:rsidRPr="00B56453">
        <w:rPr>
          <w:lang w:val="en-GB"/>
        </w:rPr>
        <w:t xml:space="preserve"> (Appendix </w:t>
      </w:r>
      <w:r w:rsidR="00B76E6D" w:rsidRPr="00B56453">
        <w:rPr>
          <w:lang w:val="en-GB"/>
        </w:rPr>
        <w:t>21</w:t>
      </w:r>
      <w:r w:rsidR="00A42813" w:rsidRPr="00B56453">
        <w:rPr>
          <w:lang w:val="en-GB"/>
        </w:rPr>
        <w:t>)</w:t>
      </w:r>
      <w:r w:rsidRPr="00B56453">
        <w:rPr>
          <w:lang w:val="en-GB"/>
        </w:rPr>
        <w:t xml:space="preserve"> was developed with the research team for use in each focus group to address key concepts of the research questions, including: (1) </w:t>
      </w:r>
      <w:r w:rsidR="008E7D00" w:rsidRPr="00B56453">
        <w:rPr>
          <w:lang w:val="en-GB"/>
        </w:rPr>
        <w:t>Conceptualisation</w:t>
      </w:r>
      <w:r w:rsidRPr="00B56453">
        <w:rPr>
          <w:lang w:val="en-GB"/>
        </w:rPr>
        <w:t>s o</w:t>
      </w:r>
      <w:r w:rsidR="007A5DAB" w:rsidRPr="00B56453">
        <w:rPr>
          <w:lang w:val="en-GB"/>
        </w:rPr>
        <w:t>f Feedback in medical education -</w:t>
      </w:r>
      <w:r w:rsidRPr="00B56453">
        <w:rPr>
          <w:lang w:val="en-GB"/>
        </w:rPr>
        <w:t xml:space="preserve"> attachments and clinical skills specifically; (2) Learning strategies in clinical skills; (3) Interplay between feedback and learning strategies on clinical attachment. One aim of the guide was to ensur</w:t>
      </w:r>
      <w:r w:rsidR="00FC6E6B" w:rsidRPr="00B56453">
        <w:rPr>
          <w:lang w:val="en-GB"/>
        </w:rPr>
        <w:t xml:space="preserve">e the </w:t>
      </w:r>
      <w:r w:rsidR="00FC6E6B" w:rsidRPr="00B56453">
        <w:rPr>
          <w:lang w:val="en-GB"/>
        </w:rPr>
        <w:lastRenderedPageBreak/>
        <w:t>students’ thoughts were</w:t>
      </w:r>
      <w:r w:rsidRPr="00B56453">
        <w:rPr>
          <w:lang w:val="en-GB"/>
        </w:rPr>
        <w:t xml:space="preserve"> structured in terms of recalling clinical skills teaching and feedback</w:t>
      </w:r>
      <w:r w:rsidR="00FC6E6B" w:rsidRPr="00B56453">
        <w:rPr>
          <w:lang w:val="en-GB"/>
        </w:rPr>
        <w:t xml:space="preserve"> experiences</w:t>
      </w:r>
      <w:r w:rsidRPr="00B56453">
        <w:rPr>
          <w:lang w:val="en-GB"/>
        </w:rPr>
        <w:t xml:space="preserve"> as well as other l</w:t>
      </w:r>
      <w:r w:rsidR="00FC6E6B" w:rsidRPr="00B56453">
        <w:rPr>
          <w:lang w:val="en-GB"/>
        </w:rPr>
        <w:t>earning and feedback experiences</w:t>
      </w:r>
      <w:r w:rsidRPr="00B56453">
        <w:rPr>
          <w:lang w:val="en-GB"/>
        </w:rPr>
        <w:t xml:space="preserve"> on</w:t>
      </w:r>
      <w:r w:rsidR="00483DED" w:rsidRPr="00B56453">
        <w:rPr>
          <w:lang w:val="en-GB"/>
        </w:rPr>
        <w:t xml:space="preserve"> clinical</w:t>
      </w:r>
      <w:r w:rsidRPr="00B56453">
        <w:rPr>
          <w:lang w:val="en-GB"/>
        </w:rPr>
        <w:t xml:space="preserve"> placement.</w:t>
      </w:r>
      <w:r w:rsidRPr="00B56453">
        <w:rPr>
          <w:b/>
          <w:lang w:val="en-GB"/>
        </w:rPr>
        <w:t xml:space="preserve"> </w:t>
      </w:r>
      <w:r w:rsidRPr="00B56453">
        <w:rPr>
          <w:lang w:val="en-GB"/>
        </w:rPr>
        <w:t xml:space="preserve">The core questions in the guide were used consistently to ensure that the responses from each group could be analysed based upon an equal inquiry structure as opposed to a free flowing style more akin to grounded theory approaches. </w:t>
      </w:r>
    </w:p>
    <w:p w14:paraId="57546ED9" w14:textId="77777777" w:rsidR="00CF212C" w:rsidRPr="00B56453" w:rsidRDefault="00CF212C" w:rsidP="00026049">
      <w:pPr>
        <w:pStyle w:val="Normal1"/>
        <w:rPr>
          <w:lang w:val="en-GB"/>
        </w:rPr>
      </w:pPr>
    </w:p>
    <w:p w14:paraId="5D2D5C50" w14:textId="2DBE75BA" w:rsidR="00CF212C" w:rsidRPr="00B56453" w:rsidRDefault="00473DB7" w:rsidP="00426FCB">
      <w:pPr>
        <w:pStyle w:val="Heading4"/>
      </w:pPr>
      <w:r w:rsidRPr="00B56453">
        <w:t xml:space="preserve">C2.2.1.2 </w:t>
      </w:r>
      <w:r w:rsidR="00CF212C" w:rsidRPr="00B56453">
        <w:t>Interviews</w:t>
      </w:r>
    </w:p>
    <w:p w14:paraId="303B4EF7" w14:textId="77777777" w:rsidR="00CF212C" w:rsidRPr="00B56453" w:rsidRDefault="00CF212C" w:rsidP="00026049">
      <w:pPr>
        <w:pStyle w:val="Normal1"/>
        <w:rPr>
          <w:lang w:val="en-GB"/>
        </w:rPr>
      </w:pPr>
    </w:p>
    <w:p w14:paraId="6E5134C4" w14:textId="6E484D96" w:rsidR="00CF212C" w:rsidRPr="00B56453" w:rsidRDefault="00CF212C" w:rsidP="00026049">
      <w:pPr>
        <w:pStyle w:val="Normal1"/>
        <w:rPr>
          <w:lang w:val="en-GB"/>
        </w:rPr>
      </w:pPr>
      <w:r w:rsidRPr="00B56453">
        <w:rPr>
          <w:lang w:val="en-GB"/>
        </w:rPr>
        <w:t xml:space="preserve">Semi-structured interviews were carried out on-site at each student’s current </w:t>
      </w:r>
      <w:r w:rsidR="00483DED" w:rsidRPr="00B56453">
        <w:rPr>
          <w:lang w:val="en-GB"/>
        </w:rPr>
        <w:t xml:space="preserve">clinical </w:t>
      </w:r>
      <w:r w:rsidRPr="00B56453">
        <w:rPr>
          <w:lang w:val="en-GB"/>
        </w:rPr>
        <w:t>placement location</w:t>
      </w:r>
      <w:r w:rsidR="00C82435" w:rsidRPr="00B56453">
        <w:rPr>
          <w:lang w:val="en-GB"/>
        </w:rPr>
        <w:t xml:space="preserve"> (three sites in total)</w:t>
      </w:r>
      <w:r w:rsidRPr="00B56453">
        <w:rPr>
          <w:lang w:val="en-GB"/>
        </w:rPr>
        <w:t>.</w:t>
      </w:r>
      <w:r w:rsidR="001246F8" w:rsidRPr="00B56453">
        <w:rPr>
          <w:lang w:val="en-GB"/>
        </w:rPr>
        <w:t xml:space="preserve"> These were conducted on </w:t>
      </w:r>
      <w:r w:rsidR="00D531CD" w:rsidRPr="00B56453">
        <w:rPr>
          <w:lang w:val="en-GB"/>
        </w:rPr>
        <w:t>their</w:t>
      </w:r>
      <w:r w:rsidR="001246F8" w:rsidRPr="00B56453">
        <w:rPr>
          <w:lang w:val="en-GB"/>
        </w:rPr>
        <w:t xml:space="preserve"> second or third placements in September 2016.</w:t>
      </w:r>
      <w:r w:rsidRPr="00B56453">
        <w:rPr>
          <w:lang w:val="en-GB"/>
        </w:rPr>
        <w:t xml:space="preserve"> After each student agreed to an interview date they were sent a link to complete the day reconstruction diary</w:t>
      </w:r>
      <w:r w:rsidR="00803EBA" w:rsidRPr="00B56453">
        <w:rPr>
          <w:lang w:val="en-GB"/>
        </w:rPr>
        <w:t xml:space="preserve"> which they used to record their daily placement activities</w:t>
      </w:r>
      <w:r w:rsidR="00A42813" w:rsidRPr="00B56453">
        <w:rPr>
          <w:lang w:val="en-GB"/>
        </w:rPr>
        <w:t xml:space="preserve"> (Appendix </w:t>
      </w:r>
      <w:r w:rsidR="00B76E6D" w:rsidRPr="00B56453">
        <w:rPr>
          <w:lang w:val="en-GB"/>
        </w:rPr>
        <w:t>22</w:t>
      </w:r>
      <w:r w:rsidR="00A42813" w:rsidRPr="00B56453">
        <w:rPr>
          <w:lang w:val="en-GB"/>
        </w:rPr>
        <w:t>)</w:t>
      </w:r>
      <w:r w:rsidRPr="00B56453">
        <w:rPr>
          <w:lang w:val="en-GB"/>
        </w:rPr>
        <w:t xml:space="preserve"> which </w:t>
      </w:r>
      <w:r w:rsidR="00D618FD" w:rsidRPr="00B56453">
        <w:rPr>
          <w:lang w:val="en-GB"/>
        </w:rPr>
        <w:t>could be viewed to inform the interview</w:t>
      </w:r>
      <w:r w:rsidRPr="00B56453">
        <w:rPr>
          <w:lang w:val="en-GB"/>
        </w:rPr>
        <w:t xml:space="preserve"> upon completion. At the start of the interview and before recording, students were asked to complete the Educational Alliance Inventory</w:t>
      </w:r>
      <w:r w:rsidR="00A42813" w:rsidRPr="00B56453">
        <w:rPr>
          <w:lang w:val="en-GB"/>
        </w:rPr>
        <w:t xml:space="preserve"> (Appendix </w:t>
      </w:r>
      <w:r w:rsidR="00B76E6D" w:rsidRPr="00B56453">
        <w:rPr>
          <w:lang w:val="en-GB"/>
        </w:rPr>
        <w:t>23</w:t>
      </w:r>
      <w:r w:rsidR="00A42813" w:rsidRPr="00B56453">
        <w:rPr>
          <w:lang w:val="en-GB"/>
        </w:rPr>
        <w:t>)</w:t>
      </w:r>
      <w:r w:rsidRPr="00B56453">
        <w:rPr>
          <w:lang w:val="en-GB"/>
        </w:rPr>
        <w:t xml:space="preserve"> and to stipulate the hierarchical position of their chosen supervisor whom they were focusing on when answering the form (foundation year doctor, consultant etc.). </w:t>
      </w:r>
      <w:r w:rsidR="00D618FD" w:rsidRPr="00B56453">
        <w:rPr>
          <w:lang w:val="en-GB"/>
        </w:rPr>
        <w:t>The purpose of</w:t>
      </w:r>
      <w:r w:rsidR="004D48B1" w:rsidRPr="00B56453">
        <w:rPr>
          <w:lang w:val="en-GB"/>
        </w:rPr>
        <w:t xml:space="preserve"> this was to prime students in</w:t>
      </w:r>
      <w:r w:rsidR="00D618FD" w:rsidRPr="00B56453">
        <w:rPr>
          <w:lang w:val="en-GB"/>
        </w:rPr>
        <w:t xml:space="preserve"> discussing the topic of supervision.</w:t>
      </w:r>
    </w:p>
    <w:p w14:paraId="3C6237A4" w14:textId="77777777" w:rsidR="00CF212C" w:rsidRPr="00B56453" w:rsidRDefault="00CF212C" w:rsidP="00026049">
      <w:pPr>
        <w:pStyle w:val="Normal1"/>
        <w:rPr>
          <w:lang w:val="en-GB"/>
        </w:rPr>
      </w:pPr>
    </w:p>
    <w:p w14:paraId="1EFD72E9" w14:textId="25AEA346" w:rsidR="00CF212C" w:rsidRPr="00B56453" w:rsidRDefault="00CF212C" w:rsidP="00026049">
      <w:pPr>
        <w:pStyle w:val="Normal1"/>
        <w:rPr>
          <w:lang w:val="en-GB"/>
        </w:rPr>
      </w:pPr>
      <w:r w:rsidRPr="00B56453">
        <w:rPr>
          <w:lang w:val="en-GB"/>
        </w:rPr>
        <w:t>The topic guide</w:t>
      </w:r>
      <w:r w:rsidR="00D618FD" w:rsidRPr="00B56453">
        <w:rPr>
          <w:lang w:val="en-GB"/>
        </w:rPr>
        <w:t xml:space="preserve"> (Appendix </w:t>
      </w:r>
      <w:r w:rsidR="00B76E6D" w:rsidRPr="00B56453">
        <w:rPr>
          <w:lang w:val="en-GB"/>
        </w:rPr>
        <w:t>24</w:t>
      </w:r>
      <w:r w:rsidR="00D618FD" w:rsidRPr="00B56453">
        <w:rPr>
          <w:lang w:val="en-GB"/>
        </w:rPr>
        <w:t>)</w:t>
      </w:r>
      <w:r w:rsidRPr="00B56453">
        <w:rPr>
          <w:lang w:val="en-GB"/>
        </w:rPr>
        <w:t xml:space="preserve"> was piloted with two students beforehand and was reviewed with the research team. The pilots revealed some key conceptual points, mainly the significant impact of </w:t>
      </w:r>
      <w:r w:rsidR="004D48B1" w:rsidRPr="00B56453">
        <w:rPr>
          <w:lang w:val="en-GB"/>
        </w:rPr>
        <w:t>the supervisor</w:t>
      </w:r>
      <w:r w:rsidRPr="00B56453">
        <w:rPr>
          <w:lang w:val="en-GB"/>
        </w:rPr>
        <w:t xml:space="preserve"> on students’ feedback and SRL behaviours. Questions on these topics were edited and became more established in the subsequent analysis. Practical points raised were that the diary exercise was positive as a prompting and reflective tool but specific days would need to be stipulated, which was </w:t>
      </w:r>
      <w:r w:rsidR="00803EBA" w:rsidRPr="00B56453">
        <w:rPr>
          <w:lang w:val="en-GB"/>
        </w:rPr>
        <w:t>sub</w:t>
      </w:r>
      <w:r w:rsidRPr="00B56453">
        <w:rPr>
          <w:lang w:val="en-GB"/>
        </w:rPr>
        <w:t>sequen</w:t>
      </w:r>
      <w:r w:rsidR="00A42813" w:rsidRPr="00B56453">
        <w:rPr>
          <w:lang w:val="en-GB"/>
        </w:rPr>
        <w:t>tly implemented in recruitment.</w:t>
      </w:r>
    </w:p>
    <w:p w14:paraId="7C2E106F" w14:textId="77777777" w:rsidR="00CF212C" w:rsidRPr="00B56453" w:rsidRDefault="00CF212C" w:rsidP="00026049">
      <w:pPr>
        <w:pStyle w:val="Normal1"/>
        <w:rPr>
          <w:lang w:val="en-GB"/>
        </w:rPr>
      </w:pPr>
    </w:p>
    <w:p w14:paraId="0E397095" w14:textId="77777777" w:rsidR="00CF212C" w:rsidRPr="00B56453" w:rsidRDefault="00CF212C" w:rsidP="00026049">
      <w:pPr>
        <w:pStyle w:val="Normal1"/>
        <w:rPr>
          <w:lang w:val="en-GB"/>
        </w:rPr>
      </w:pPr>
      <w:r w:rsidRPr="00B56453">
        <w:rPr>
          <w:lang w:val="en-GB"/>
        </w:rPr>
        <w:t>The final interview topic guide mirrored the three main themes outlined in the focus group topic guide to ensure inquiry was consistent across both methods. However, questions in the interviews addressed the diary and student-supervisor relationship more closely but still within the context of the themes. A slightly more conversational style with more follow-up questions was used as interviews are more closely focused on the individual perspective rather than attaining the collective view in focus groups.</w:t>
      </w:r>
    </w:p>
    <w:p w14:paraId="509134DB" w14:textId="77777777" w:rsidR="00CF212C" w:rsidRPr="00B56453" w:rsidRDefault="00CF212C" w:rsidP="00026049">
      <w:pPr>
        <w:pStyle w:val="Normal1"/>
        <w:rPr>
          <w:lang w:val="en-GB"/>
        </w:rPr>
      </w:pPr>
    </w:p>
    <w:p w14:paraId="6DA59085" w14:textId="747DCB49" w:rsidR="00CF212C" w:rsidRPr="00B56453" w:rsidRDefault="00473DB7" w:rsidP="00426FCB">
      <w:pPr>
        <w:pStyle w:val="Heading4"/>
      </w:pPr>
      <w:r w:rsidRPr="00B56453">
        <w:lastRenderedPageBreak/>
        <w:t xml:space="preserve">C2.2.1.3 </w:t>
      </w:r>
      <w:r w:rsidR="00CF212C" w:rsidRPr="00B56453">
        <w:t xml:space="preserve">The </w:t>
      </w:r>
      <w:r w:rsidR="007A5DAB" w:rsidRPr="00B56453">
        <w:t>Day Reconstruction Diary</w:t>
      </w:r>
    </w:p>
    <w:p w14:paraId="03A62BCA" w14:textId="77777777" w:rsidR="00CF212C" w:rsidRPr="00B56453" w:rsidRDefault="00CF212C" w:rsidP="00026049">
      <w:pPr>
        <w:pStyle w:val="Normal1"/>
        <w:rPr>
          <w:lang w:val="en-GB"/>
        </w:rPr>
      </w:pPr>
    </w:p>
    <w:p w14:paraId="7CFE4B80" w14:textId="3DFCF008" w:rsidR="00CF212C" w:rsidRPr="00B56453" w:rsidRDefault="00CF212C" w:rsidP="00026049">
      <w:pPr>
        <w:pStyle w:val="Normal1"/>
        <w:rPr>
          <w:lang w:val="en-GB"/>
        </w:rPr>
      </w:pPr>
      <w:r w:rsidRPr="00B56453">
        <w:rPr>
          <w:lang w:val="en-GB"/>
        </w:rPr>
        <w:t>Students selected for interviews were asked to complete an online diary</w:t>
      </w:r>
      <w:r w:rsidR="00CD2E7E" w:rsidRPr="00B56453">
        <w:rPr>
          <w:lang w:val="en-GB"/>
        </w:rPr>
        <w:t xml:space="preserve"> (using Google Forms)</w:t>
      </w:r>
      <w:r w:rsidRPr="00B56453">
        <w:rPr>
          <w:lang w:val="en-GB"/>
        </w:rPr>
        <w:t xml:space="preserve"> detailing their activities of the day before interview (for Monday interviews this was completed the previous Friday). The diary asked students to reconstruct what their day was like, as if they were writing in their diary. This was split into morning, afternoon, and evening – followed by a final summary</w:t>
      </w:r>
      <w:r w:rsidR="006B367E" w:rsidRPr="00B56453">
        <w:rPr>
          <w:lang w:val="en-GB"/>
        </w:rPr>
        <w:t xml:space="preserve"> (Appendix </w:t>
      </w:r>
      <w:r w:rsidR="00B76E6D" w:rsidRPr="00B56453">
        <w:rPr>
          <w:lang w:val="en-GB"/>
        </w:rPr>
        <w:t>22</w:t>
      </w:r>
      <w:r w:rsidR="006B367E" w:rsidRPr="00B56453">
        <w:rPr>
          <w:lang w:val="en-GB"/>
        </w:rPr>
        <w:t>)</w:t>
      </w:r>
      <w:r w:rsidRPr="00B56453">
        <w:rPr>
          <w:lang w:val="en-GB"/>
        </w:rPr>
        <w:t xml:space="preserve">. Students were asked to recount certain events as small episodes which they narrated. To answer: “what you did, why you did it, where you were, who was there, and what the outcomes were”. They were given examples of what they could record, including: clinical skills, taking histories, speaking to colleagues, or looking up a condition when they got home that night. They were also free to record social interactions. The purpose of this diary was to ensure a record of </w:t>
      </w:r>
      <w:r w:rsidR="00483DED" w:rsidRPr="00B56453">
        <w:rPr>
          <w:lang w:val="en-GB"/>
        </w:rPr>
        <w:t xml:space="preserve">clinical </w:t>
      </w:r>
      <w:r w:rsidRPr="00B56453">
        <w:rPr>
          <w:lang w:val="en-GB"/>
        </w:rPr>
        <w:t xml:space="preserve">placement experiences that could be compared between interviewees, confirming or refuting the assumption that their experiences were typical across the sample. Additional functions of the diary were to improve their recall of specific behaviours on </w:t>
      </w:r>
      <w:r w:rsidR="00483DED" w:rsidRPr="00B56453">
        <w:rPr>
          <w:lang w:val="en-GB"/>
        </w:rPr>
        <w:t xml:space="preserve">clinical </w:t>
      </w:r>
      <w:r w:rsidRPr="00B56453">
        <w:rPr>
          <w:lang w:val="en-GB"/>
        </w:rPr>
        <w:t>placement and to build a view of what each student’s experience was from their perspective that could be</w:t>
      </w:r>
      <w:r w:rsidR="006B367E" w:rsidRPr="00B56453">
        <w:rPr>
          <w:lang w:val="en-GB"/>
        </w:rPr>
        <w:t xml:space="preserve"> explored during the interview.</w:t>
      </w:r>
    </w:p>
    <w:p w14:paraId="138EDA50" w14:textId="77777777" w:rsidR="00CF212C" w:rsidRPr="00B56453" w:rsidRDefault="00CF212C" w:rsidP="00026049">
      <w:pPr>
        <w:pStyle w:val="Normal1"/>
        <w:rPr>
          <w:lang w:val="en-GB"/>
        </w:rPr>
      </w:pPr>
    </w:p>
    <w:p w14:paraId="6A59E2C3" w14:textId="536E80AA" w:rsidR="00CF212C" w:rsidRPr="00B56453" w:rsidRDefault="00473DB7" w:rsidP="00426FCB">
      <w:pPr>
        <w:pStyle w:val="Heading4"/>
      </w:pPr>
      <w:r w:rsidRPr="00B56453">
        <w:t xml:space="preserve">C2.2.1.4 </w:t>
      </w:r>
      <w:r w:rsidR="00CF212C" w:rsidRPr="00B56453">
        <w:t>The Educational Alliance Inventory</w:t>
      </w:r>
    </w:p>
    <w:p w14:paraId="155D396B" w14:textId="77777777" w:rsidR="00CF212C" w:rsidRPr="00B56453" w:rsidRDefault="00CF212C" w:rsidP="00026049">
      <w:pPr>
        <w:pStyle w:val="Normal1"/>
        <w:rPr>
          <w:lang w:val="en-GB"/>
        </w:rPr>
      </w:pPr>
    </w:p>
    <w:p w14:paraId="37FE4D78" w14:textId="76A421A5" w:rsidR="00CF212C" w:rsidRPr="00B56453" w:rsidRDefault="00CF212C" w:rsidP="004D48B1">
      <w:pPr>
        <w:pStyle w:val="Normal1"/>
        <w:rPr>
          <w:lang w:val="en-GB"/>
        </w:rPr>
      </w:pPr>
      <w:r w:rsidRPr="00B56453">
        <w:rPr>
          <w:lang w:val="en-GB"/>
        </w:rPr>
        <w:t>At the beginning of each interview, each student completed the Educational Alliance Inventory (EAI)</w:t>
      </w:r>
      <w:r w:rsidR="00274692" w:rsidRPr="00B56453">
        <w:rPr>
          <w:lang w:val="en-GB"/>
        </w:rPr>
        <w:t xml:space="preserve"> (Appendix </w:t>
      </w:r>
      <w:r w:rsidR="00B76E6D" w:rsidRPr="00B56453">
        <w:rPr>
          <w:lang w:val="en-GB"/>
        </w:rPr>
        <w:t>23</w:t>
      </w:r>
      <w:r w:rsidR="00274692" w:rsidRPr="00B56453">
        <w:rPr>
          <w:lang w:val="en-GB"/>
        </w:rPr>
        <w:t>)</w:t>
      </w:r>
      <w:r w:rsidRPr="00B56453">
        <w:rPr>
          <w:lang w:val="en-GB"/>
        </w:rPr>
        <w:t xml:space="preserve"> with the purpose </w:t>
      </w:r>
      <w:r w:rsidR="00803EBA" w:rsidRPr="00B56453">
        <w:rPr>
          <w:lang w:val="en-GB"/>
        </w:rPr>
        <w:t xml:space="preserve">of </w:t>
      </w:r>
      <w:r w:rsidR="00274692" w:rsidRPr="00B56453">
        <w:rPr>
          <w:lang w:val="en-GB"/>
        </w:rPr>
        <w:t>priming the discussion and improving recall of feedback experiences with supervisors</w:t>
      </w:r>
      <w:r w:rsidRPr="00B56453">
        <w:rPr>
          <w:lang w:val="en-GB"/>
        </w:rPr>
        <w:t xml:space="preserve"> whilst on </w:t>
      </w:r>
      <w:r w:rsidR="00483DED" w:rsidRPr="00B56453">
        <w:rPr>
          <w:lang w:val="en-GB"/>
        </w:rPr>
        <w:t xml:space="preserve">clinical </w:t>
      </w:r>
      <w:r w:rsidRPr="00B56453">
        <w:rPr>
          <w:lang w:val="en-GB"/>
        </w:rPr>
        <w:t xml:space="preserve">placement. The EAI was developed to identify characteristics of positive and negative educational relationships by </w:t>
      </w:r>
      <w:hyperlink w:anchor="_ENREF_402" w:tooltip="Telio, 2016 #616" w:history="1">
        <w:r w:rsidR="0094469E" w:rsidRPr="00B27F0B">
          <w:rPr>
            <w:lang w:val="en-GB"/>
          </w:rPr>
          <w:fldChar w:fldCharType="begin"/>
        </w:r>
        <w:r w:rsidR="0094469E" w:rsidRPr="00B56453">
          <w:rPr>
            <w:lang w:val="en-GB"/>
          </w:rPr>
          <w:instrText xml:space="preserve"> ADDIN EN.CITE &lt;EndNote&gt;&lt;Cite AuthorYear="1"&gt;&lt;Author&gt;Telio&lt;/Author&gt;&lt;Year&gt;2016&lt;/Year&gt;&lt;RecNum&gt;616&lt;/RecNum&gt;&lt;DisplayText&gt;Telio et al. (2016)&lt;/DisplayText&gt;&lt;record&gt;&lt;rec-number&gt;616&lt;/rec-number&gt;&lt;foreign-keys&gt;&lt;key app="EN" db-id="xa2r2ewea92trkef5dt5arvbzafvpv2za5ft" timestamp="1496417560"&gt;616&lt;/key&gt;&lt;/foreign-keys&gt;&lt;ref-type name="Journal Article"&gt;17&lt;/ref-type&gt;&lt;contributors&gt;&lt;authors&gt;&lt;author&gt;Telio, Summer&lt;/author&gt;&lt;author&gt;Regehr, Glenn&lt;/author&gt;&lt;author&gt;Ajjawi, Rola&lt;/author&gt;&lt;/authors&gt;&lt;/contributors&gt;&lt;titles&gt;&lt;title&gt;Feedback and the educational alliance: examining credibility judgements and their consequences&lt;/title&gt;&lt;secondary-title&gt;Medical Education&lt;/secondary-title&gt;&lt;/titles&gt;&lt;periodical&gt;&lt;full-title&gt;Medical education&lt;/full-title&gt;&lt;/periodical&gt;&lt;pages&gt;933-942&lt;/pages&gt;&lt;volume&gt;50&lt;/volume&gt;&lt;number&gt;9&lt;/number&gt;&lt;dates&gt;&lt;year&gt;2016&lt;/year&gt;&lt;/dates&gt;&lt;isbn&gt;1365-2923&lt;/isbn&gt;&lt;urls&gt;&lt;/urls&gt;&lt;/record&gt;&lt;/Cite&gt;&lt;/EndNote&gt;</w:instrText>
        </w:r>
        <w:r w:rsidR="0094469E" w:rsidRPr="00B27F0B">
          <w:rPr>
            <w:lang w:val="en-GB"/>
          </w:rPr>
          <w:fldChar w:fldCharType="separate"/>
        </w:r>
        <w:r w:rsidR="0094469E" w:rsidRPr="00B56453">
          <w:rPr>
            <w:noProof/>
            <w:lang w:val="en-GB"/>
          </w:rPr>
          <w:t>Telio et al. (2016)</w:t>
        </w:r>
        <w:r w:rsidR="0094469E" w:rsidRPr="00B27F0B">
          <w:rPr>
            <w:lang w:val="en-GB"/>
          </w:rPr>
          <w:fldChar w:fldCharType="end"/>
        </w:r>
      </w:hyperlink>
      <w:r w:rsidRPr="00B56453">
        <w:rPr>
          <w:lang w:val="en-GB"/>
        </w:rPr>
        <w:t xml:space="preserve"> from whom permission to use this tool was granted. They originally adapted the tool from the working alliance inventory </w:t>
      </w:r>
      <w:r w:rsidR="00EF281A" w:rsidRPr="007638B6">
        <w:rPr>
          <w:lang w:val="en-GB"/>
        </w:rPr>
        <w:fldChar w:fldCharType="begin"/>
      </w:r>
      <w:r w:rsidR="008B61BE" w:rsidRPr="00B56453">
        <w:rPr>
          <w:lang w:val="en-GB"/>
        </w:rPr>
        <w:instrText xml:space="preserve"> ADDIN EN.CITE &lt;EndNote&gt;&lt;Cite&gt;&lt;Author&gt;Horvath&lt;/Author&gt;&lt;Year&gt;1989&lt;/Year&gt;&lt;RecNum&gt;617&lt;/RecNum&gt;&lt;DisplayText&gt;(Horvath and Greenberg 1989)&lt;/DisplayText&gt;&lt;record&gt;&lt;rec-number&gt;617&lt;/rec-number&gt;&lt;foreign-keys&gt;&lt;key app="EN" db-id="xa2r2ewea92trkef5dt5arvbzafvpv2za5ft" timestamp="1496417560"&gt;617&lt;/key&gt;&lt;/foreign-keys&gt;&lt;ref-type name="Journal Article"&gt;17&lt;/ref-type&gt;&lt;contributors&gt;&lt;authors&gt;&lt;author&gt;Horvath, Adam O&lt;/author&gt;&lt;author&gt;Greenberg, Leslie S&lt;/author&gt;&lt;/authors&gt;&lt;/contributors&gt;&lt;titles&gt;&lt;title&gt;Development and validation of the Working Alliance Inventory&lt;/title&gt;&lt;secondary-title&gt;Journal of counseling psychology&lt;/secondary-title&gt;&lt;/titles&gt;&lt;periodical&gt;&lt;full-title&gt;Journal of counseling psychology&lt;/full-title&gt;&lt;/periodical&gt;&lt;pages&gt;223&lt;/pages&gt;&lt;volume&gt;36&lt;/volume&gt;&lt;number&gt;2&lt;/number&gt;&lt;dates&gt;&lt;year&gt;1989&lt;/year&gt;&lt;/dates&gt;&lt;isbn&gt;1939-2168&lt;/isbn&gt;&lt;urls&gt;&lt;/urls&gt;&lt;/record&gt;&lt;/Cite&gt;&lt;/EndNote&gt;</w:instrText>
      </w:r>
      <w:r w:rsidR="00EF281A" w:rsidRPr="00B27F0B">
        <w:rPr>
          <w:lang w:val="en-GB"/>
        </w:rPr>
        <w:fldChar w:fldCharType="separate"/>
      </w:r>
      <w:r w:rsidR="004E5A78" w:rsidRPr="00B56453">
        <w:rPr>
          <w:noProof/>
          <w:lang w:val="en-GB"/>
        </w:rPr>
        <w:t>(</w:t>
      </w:r>
      <w:hyperlink w:anchor="_ENREF_193" w:tooltip="Horvath, 1989 #617" w:history="1">
        <w:r w:rsidR="0094469E" w:rsidRPr="00B56453">
          <w:rPr>
            <w:noProof/>
            <w:lang w:val="en-GB"/>
          </w:rPr>
          <w:t>Horvath and Greenberg 1989</w:t>
        </w:r>
      </w:hyperlink>
      <w:r w:rsidR="004E5A78" w:rsidRPr="00B56453">
        <w:rPr>
          <w:noProof/>
          <w:lang w:val="en-GB"/>
        </w:rPr>
        <w:t>)</w:t>
      </w:r>
      <w:r w:rsidR="00EF281A" w:rsidRPr="007638B6">
        <w:rPr>
          <w:lang w:val="en-GB"/>
        </w:rPr>
        <w:fldChar w:fldCharType="end"/>
      </w:r>
      <w:r w:rsidRPr="00B56453">
        <w:rPr>
          <w:lang w:val="en-GB"/>
        </w:rPr>
        <w:t xml:space="preserve">. The EAI is a self-report 36-item form using a seven-point Likert scale (1=never, 4=sometimes, 7=always) with higher scores indicating a stronger supervisory relationship. Students were given instructions to </w:t>
      </w:r>
      <w:r w:rsidR="00803EBA" w:rsidRPr="00B56453">
        <w:rPr>
          <w:lang w:val="en-GB"/>
        </w:rPr>
        <w:t>complete</w:t>
      </w:r>
      <w:r w:rsidRPr="00B56453">
        <w:rPr>
          <w:lang w:val="en-GB"/>
        </w:rPr>
        <w:t xml:space="preserve"> the form while focusing their relationship with a recent supervisor whom they had known fo</w:t>
      </w:r>
      <w:r w:rsidR="00274692" w:rsidRPr="00B56453">
        <w:rPr>
          <w:lang w:val="en-GB"/>
        </w:rPr>
        <w:t>r at least three weeks or more.</w:t>
      </w:r>
      <w:r w:rsidR="004D48B1" w:rsidRPr="00B56453">
        <w:rPr>
          <w:lang w:val="en-GB"/>
        </w:rPr>
        <w:t xml:space="preserve"> The specific EAI scores were </w:t>
      </w:r>
      <w:r w:rsidRPr="00B56453">
        <w:rPr>
          <w:lang w:val="en-GB"/>
        </w:rPr>
        <w:t xml:space="preserve">not considered in this study as there is little guidance on </w:t>
      </w:r>
      <w:r w:rsidR="00803EBA" w:rsidRPr="00B56453">
        <w:rPr>
          <w:lang w:val="en-GB"/>
        </w:rPr>
        <w:t>how to meaningfully interpret the scores in relation to qualitative data</w:t>
      </w:r>
      <w:r w:rsidRPr="00B56453">
        <w:rPr>
          <w:lang w:val="en-GB"/>
        </w:rPr>
        <w:t xml:space="preserve"> </w:t>
      </w:r>
      <w:r w:rsidR="00EF281A" w:rsidRPr="007638B6">
        <w:rPr>
          <w:lang w:val="en-GB"/>
        </w:rPr>
        <w:fldChar w:fldCharType="begin"/>
      </w:r>
      <w:r w:rsidR="008B61BE" w:rsidRPr="00B56453">
        <w:rPr>
          <w:lang w:val="en-GB"/>
        </w:rPr>
        <w:instrText xml:space="preserve"> ADDIN EN.CITE &lt;EndNote&gt;&lt;Cite&gt;&lt;Author&gt;Telio&lt;/Author&gt;&lt;Year&gt;2016&lt;/Year&gt;&lt;RecNum&gt;616&lt;/RecNum&gt;&lt;DisplayText&gt;(Telio et al. 2016)&lt;/DisplayText&gt;&lt;record&gt;&lt;rec-number&gt;616&lt;/rec-number&gt;&lt;foreign-keys&gt;&lt;key app="EN" db-id="xa2r2ewea92trkef5dt5arvbzafvpv2za5ft" timestamp="1496417560"&gt;616&lt;/key&gt;&lt;/foreign-keys&gt;&lt;ref-type name="Journal Article"&gt;17&lt;/ref-type&gt;&lt;contributors&gt;&lt;authors&gt;&lt;author&gt;Telio, Summer&lt;/author&gt;&lt;author&gt;Regehr, Glenn&lt;/author&gt;&lt;author&gt;Ajjawi, Rola&lt;/author&gt;&lt;/authors&gt;&lt;/contributors&gt;&lt;titles&gt;&lt;title&gt;Feedback and the educational alliance: examining credibility judgements and their consequences&lt;/title&gt;&lt;secondary-title&gt;Medical Education&lt;/secondary-title&gt;&lt;/titles&gt;&lt;periodical&gt;&lt;full-title&gt;Medical education&lt;/full-title&gt;&lt;/periodical&gt;&lt;pages&gt;933-942&lt;/pages&gt;&lt;volume&gt;50&lt;/volume&gt;&lt;number&gt;9&lt;/number&gt;&lt;dates&gt;&lt;year&gt;2016&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402" w:tooltip="Telio, 2016 #616" w:history="1">
        <w:r w:rsidR="0094469E" w:rsidRPr="00B56453">
          <w:rPr>
            <w:noProof/>
            <w:lang w:val="en-GB"/>
          </w:rPr>
          <w:t>Telio et al. 2016</w:t>
        </w:r>
      </w:hyperlink>
      <w:r w:rsidR="004E5A78" w:rsidRPr="00B56453">
        <w:rPr>
          <w:noProof/>
          <w:lang w:val="en-GB"/>
        </w:rPr>
        <w:t>)</w:t>
      </w:r>
      <w:r w:rsidR="00EF281A" w:rsidRPr="007638B6">
        <w:rPr>
          <w:lang w:val="en-GB"/>
        </w:rPr>
        <w:fldChar w:fldCharType="end"/>
      </w:r>
      <w:r w:rsidR="00274692" w:rsidRPr="00B56453">
        <w:rPr>
          <w:lang w:val="en-GB"/>
        </w:rPr>
        <w:t>.</w:t>
      </w:r>
    </w:p>
    <w:p w14:paraId="319A8830" w14:textId="77777777" w:rsidR="00CF212C" w:rsidRPr="00B56453" w:rsidRDefault="00CF212C" w:rsidP="00026049">
      <w:pPr>
        <w:pStyle w:val="Normal1"/>
        <w:rPr>
          <w:lang w:val="en-GB"/>
        </w:rPr>
      </w:pPr>
    </w:p>
    <w:p w14:paraId="10675F80" w14:textId="0C6AB22B" w:rsidR="00CF212C" w:rsidRPr="00B56453" w:rsidRDefault="00473DB7" w:rsidP="00BA4521">
      <w:pPr>
        <w:pStyle w:val="Heading3"/>
      </w:pPr>
      <w:bookmarkStart w:id="387" w:name="_Toc500319418"/>
      <w:r w:rsidRPr="00B56453">
        <w:lastRenderedPageBreak/>
        <w:t>C2.2.2</w:t>
      </w:r>
      <w:r w:rsidR="003D24DC" w:rsidRPr="00B56453">
        <w:t xml:space="preserve"> </w:t>
      </w:r>
      <w:r w:rsidR="00CF212C" w:rsidRPr="00B56453">
        <w:t>Analysis</w:t>
      </w:r>
      <w:bookmarkEnd w:id="387"/>
    </w:p>
    <w:p w14:paraId="68C75E9B" w14:textId="77777777" w:rsidR="00CF212C" w:rsidRPr="00B56453" w:rsidRDefault="00CF212C" w:rsidP="00026049">
      <w:pPr>
        <w:pStyle w:val="Normal1"/>
        <w:rPr>
          <w:lang w:val="en-GB"/>
        </w:rPr>
      </w:pPr>
    </w:p>
    <w:p w14:paraId="4385477C" w14:textId="2D96D996" w:rsidR="00CF212C" w:rsidRPr="00B56453" w:rsidRDefault="00CF212C" w:rsidP="00026049">
      <w:pPr>
        <w:pStyle w:val="Normal1"/>
        <w:rPr>
          <w:lang w:val="en-GB"/>
        </w:rPr>
      </w:pPr>
      <w:r w:rsidRPr="00B56453">
        <w:rPr>
          <w:lang w:val="en-GB"/>
        </w:rPr>
        <w:t xml:space="preserve">Focus groups and interview recordings were transcribed and uploaded to Nvivo </w:t>
      </w:r>
      <w:r w:rsidR="007A5DAB" w:rsidRPr="00B56453">
        <w:rPr>
          <w:lang w:val="en-GB"/>
        </w:rPr>
        <w:t>(V</w:t>
      </w:r>
      <w:r w:rsidR="00E35D95" w:rsidRPr="00B56453">
        <w:rPr>
          <w:lang w:val="en-GB"/>
        </w:rPr>
        <w:t xml:space="preserve">ersion </w:t>
      </w:r>
      <w:r w:rsidRPr="00B56453">
        <w:rPr>
          <w:lang w:val="en-GB"/>
        </w:rPr>
        <w:t>11</w:t>
      </w:r>
      <w:r w:rsidR="00E35D95" w:rsidRPr="00B56453">
        <w:rPr>
          <w:lang w:val="en-GB"/>
        </w:rPr>
        <w:t>, QSR International, London, United Kingdom)</w:t>
      </w:r>
      <w:r w:rsidRPr="00B56453">
        <w:rPr>
          <w:lang w:val="en-GB"/>
        </w:rPr>
        <w:t xml:space="preserve"> for initial analysis. </w:t>
      </w:r>
      <w:r w:rsidR="009E65D0" w:rsidRPr="00B56453">
        <w:rPr>
          <w:lang w:val="en-GB"/>
        </w:rPr>
        <w:t>Thematic f</w:t>
      </w:r>
      <w:r w:rsidRPr="00B56453">
        <w:rPr>
          <w:lang w:val="en-GB"/>
        </w:rPr>
        <w:t xml:space="preserve">ramework analysis was used following the same approach as was outlined both in </w:t>
      </w:r>
      <w:r w:rsidR="00630F67" w:rsidRPr="00B56453">
        <w:rPr>
          <w:lang w:val="en-GB"/>
        </w:rPr>
        <w:t>A3</w:t>
      </w:r>
      <w:r w:rsidR="007A5DAB" w:rsidRPr="00B56453">
        <w:rPr>
          <w:lang w:val="en-GB"/>
        </w:rPr>
        <w:t>.9.3</w:t>
      </w:r>
      <w:r w:rsidRPr="00B56453">
        <w:rPr>
          <w:lang w:val="en-GB"/>
        </w:rPr>
        <w:t xml:space="preserve"> and</w:t>
      </w:r>
      <w:r w:rsidR="00630F67" w:rsidRPr="00B56453">
        <w:rPr>
          <w:lang w:val="en-GB"/>
        </w:rPr>
        <w:t xml:space="preserve"> B2</w:t>
      </w:r>
      <w:r w:rsidR="007A5DAB" w:rsidRPr="00B56453">
        <w:rPr>
          <w:lang w:val="en-GB"/>
        </w:rPr>
        <w:t>.2.2</w:t>
      </w:r>
      <w:r w:rsidRPr="00B56453">
        <w:rPr>
          <w:lang w:val="en-GB"/>
        </w:rPr>
        <w:t>. In addition to this process, the diaries from interviewees were used to contextualise the data but were not subject to any additional qualitative analytical methods.</w:t>
      </w:r>
      <w:r w:rsidR="00E35D95" w:rsidRPr="00B56453">
        <w:rPr>
          <w:lang w:val="en-GB"/>
        </w:rPr>
        <w:t xml:space="preserve"> Analysis was conducted in a constant comparative manner, involving comparisons between themes, </w:t>
      </w:r>
      <w:r w:rsidR="009F1882" w:rsidRPr="00B56453">
        <w:rPr>
          <w:lang w:val="en-GB"/>
        </w:rPr>
        <w:t>student</w:t>
      </w:r>
      <w:r w:rsidR="00E35D95" w:rsidRPr="00B56453">
        <w:rPr>
          <w:lang w:val="en-GB"/>
        </w:rPr>
        <w:t xml:space="preserve">s, and study groups iteratively and systematically </w:t>
      </w:r>
      <w:r w:rsidR="00EF281A" w:rsidRPr="007638B6">
        <w:rPr>
          <w:lang w:val="en-GB"/>
        </w:rPr>
        <w:fldChar w:fldCharType="begin"/>
      </w:r>
      <w:r w:rsidR="008B61BE" w:rsidRPr="00B56453">
        <w:rPr>
          <w:lang w:val="en-GB"/>
        </w:rPr>
        <w:instrText xml:space="preserve"> ADDIN EN.CITE &lt;EndNote&gt;&lt;Cite&gt;&lt;Author&gt;Boeije&lt;/Author&gt;&lt;Year&gt;2009&lt;/Year&gt;&lt;RecNum&gt;921&lt;/RecNum&gt;&lt;DisplayText&gt;(Boeije 2009)&lt;/DisplayText&gt;&lt;record&gt;&lt;rec-number&gt;921&lt;/rec-number&gt;&lt;foreign-keys&gt;&lt;key app="EN" db-id="xa2r2ewea92trkef5dt5arvbzafvpv2za5ft" timestamp="1496417606"&gt;921&lt;/key&gt;&lt;/foreign-keys&gt;&lt;ref-type name="Book"&gt;6&lt;/ref-type&gt;&lt;contributors&gt;&lt;authors&gt;&lt;author&gt;Boeije, Hennie&lt;/author&gt;&lt;/authors&gt;&lt;/contributors&gt;&lt;titles&gt;&lt;title&gt;Analysis in qualitative research&lt;/title&gt;&lt;/titles&gt;&lt;dates&gt;&lt;year&gt;2009&lt;/year&gt;&lt;/dates&gt;&lt;publisher&gt;Sage&lt;/publisher&gt;&lt;isbn&gt;1847870074&lt;/isbn&gt;&lt;urls&gt;&lt;/urls&gt;&lt;/record&gt;&lt;/Cite&gt;&lt;/EndNote&gt;</w:instrText>
      </w:r>
      <w:r w:rsidR="00EF281A" w:rsidRPr="00B27F0B">
        <w:rPr>
          <w:lang w:val="en-GB"/>
        </w:rPr>
        <w:fldChar w:fldCharType="separate"/>
      </w:r>
      <w:r w:rsidR="004E5A78" w:rsidRPr="00B56453">
        <w:rPr>
          <w:noProof/>
          <w:lang w:val="en-GB"/>
        </w:rPr>
        <w:t>(</w:t>
      </w:r>
      <w:hyperlink w:anchor="_ENREF_39" w:tooltip="Boeije, 2009 #921" w:history="1">
        <w:r w:rsidR="0094469E" w:rsidRPr="00B56453">
          <w:rPr>
            <w:noProof/>
            <w:lang w:val="en-GB"/>
          </w:rPr>
          <w:t>Boeije 2009</w:t>
        </w:r>
      </w:hyperlink>
      <w:r w:rsidR="004E5A78" w:rsidRPr="00B56453">
        <w:rPr>
          <w:noProof/>
          <w:lang w:val="en-GB"/>
        </w:rPr>
        <w:t>)</w:t>
      </w:r>
      <w:r w:rsidR="00EF281A" w:rsidRPr="007638B6">
        <w:rPr>
          <w:lang w:val="en-GB"/>
        </w:rPr>
        <w:fldChar w:fldCharType="end"/>
      </w:r>
    </w:p>
    <w:p w14:paraId="2E1CB521" w14:textId="77777777" w:rsidR="00AD7C1D" w:rsidRPr="00B56453" w:rsidRDefault="00AD7C1D" w:rsidP="00026049">
      <w:pPr>
        <w:pStyle w:val="Normal1"/>
        <w:rPr>
          <w:lang w:val="en-GB"/>
        </w:rPr>
      </w:pPr>
    </w:p>
    <w:p w14:paraId="41CB9AD7" w14:textId="53EFE168" w:rsidR="00106909" w:rsidRPr="00B56453" w:rsidRDefault="00106909" w:rsidP="00026049">
      <w:pPr>
        <w:pStyle w:val="Normal1"/>
        <w:rPr>
          <w:lang w:val="en-GB"/>
        </w:rPr>
      </w:pPr>
      <w:r w:rsidRPr="00B56453">
        <w:rPr>
          <w:lang w:val="en-GB"/>
        </w:rPr>
        <w:t xml:space="preserve">Following </w:t>
      </w:r>
      <w:r w:rsidR="00966BDA" w:rsidRPr="00B56453">
        <w:rPr>
          <w:lang w:val="en-GB"/>
        </w:rPr>
        <w:t xml:space="preserve">two rounds of </w:t>
      </w:r>
      <w:r w:rsidRPr="00B56453">
        <w:rPr>
          <w:lang w:val="en-GB"/>
        </w:rPr>
        <w:t xml:space="preserve">coding, the first stage of analysis involved gathering quotes into </w:t>
      </w:r>
      <w:r w:rsidR="00E35D95" w:rsidRPr="00B56453">
        <w:rPr>
          <w:lang w:val="en-GB"/>
        </w:rPr>
        <w:t xml:space="preserve">early </w:t>
      </w:r>
      <w:r w:rsidRPr="00B56453">
        <w:rPr>
          <w:lang w:val="en-GB"/>
        </w:rPr>
        <w:t>categories based on general topic</w:t>
      </w:r>
      <w:r w:rsidR="009E65D0" w:rsidRPr="00B56453">
        <w:rPr>
          <w:lang w:val="en-GB"/>
        </w:rPr>
        <w:t>s</w:t>
      </w:r>
      <w:r w:rsidRPr="00B56453">
        <w:rPr>
          <w:lang w:val="en-GB"/>
        </w:rPr>
        <w:t xml:space="preserve"> and concepts </w:t>
      </w:r>
      <w:r w:rsidR="00803EBA" w:rsidRPr="00B56453">
        <w:rPr>
          <w:lang w:val="en-GB"/>
        </w:rPr>
        <w:t>e.g</w:t>
      </w:r>
      <w:r w:rsidRPr="00B56453">
        <w:rPr>
          <w:lang w:val="en-GB"/>
        </w:rPr>
        <w:t xml:space="preserve">. ‘trust’ was categorised under </w:t>
      </w:r>
      <w:r w:rsidR="00966BDA" w:rsidRPr="00B56453">
        <w:rPr>
          <w:lang w:val="en-GB"/>
        </w:rPr>
        <w:t>‘supervisor relationship’. This process was also influenced</w:t>
      </w:r>
      <w:r w:rsidR="009E65D0" w:rsidRPr="00B56453">
        <w:rPr>
          <w:lang w:val="en-GB"/>
        </w:rPr>
        <w:t xml:space="preserve"> by the density of coded quotes;</w:t>
      </w:r>
      <w:r w:rsidR="00966BDA" w:rsidRPr="00B56453">
        <w:rPr>
          <w:lang w:val="en-GB"/>
        </w:rPr>
        <w:t xml:space="preserve"> codes that had high densities of quotes became higher order categorical factors than those with low densities, although none were deleted or disregarded.</w:t>
      </w:r>
      <w:r w:rsidR="00071A48" w:rsidRPr="00B56453">
        <w:rPr>
          <w:lang w:val="en-GB"/>
        </w:rPr>
        <w:t xml:space="preserve"> The codebook used here is included in Appendix </w:t>
      </w:r>
      <w:r w:rsidR="00B76E6D" w:rsidRPr="00B56453">
        <w:rPr>
          <w:lang w:val="en-GB"/>
        </w:rPr>
        <w:t>25</w:t>
      </w:r>
      <w:r w:rsidR="00071A48" w:rsidRPr="00B56453">
        <w:rPr>
          <w:lang w:val="en-GB"/>
        </w:rPr>
        <w:t>.</w:t>
      </w:r>
    </w:p>
    <w:p w14:paraId="3F98D3BA" w14:textId="77777777" w:rsidR="00966BDA" w:rsidRPr="00B56453" w:rsidRDefault="00966BDA" w:rsidP="00026049">
      <w:pPr>
        <w:pStyle w:val="Normal1"/>
        <w:rPr>
          <w:lang w:val="en-GB"/>
        </w:rPr>
      </w:pPr>
    </w:p>
    <w:p w14:paraId="34676AB7" w14:textId="32D66ECC" w:rsidR="00966BDA" w:rsidRPr="00B56453" w:rsidRDefault="00966BDA" w:rsidP="00026049">
      <w:pPr>
        <w:pStyle w:val="Normal1"/>
        <w:rPr>
          <w:lang w:val="en-GB"/>
        </w:rPr>
      </w:pPr>
      <w:r w:rsidRPr="00B56453">
        <w:rPr>
          <w:lang w:val="en-GB"/>
        </w:rPr>
        <w:t>This collection of codes and quotes were then analysed using the lenses of the research questions. This process revealed the first version</w:t>
      </w:r>
      <w:r w:rsidR="00713856" w:rsidRPr="00B56453">
        <w:rPr>
          <w:lang w:val="en-GB"/>
        </w:rPr>
        <w:t>s</w:t>
      </w:r>
      <w:r w:rsidRPr="00B56453">
        <w:rPr>
          <w:lang w:val="en-GB"/>
        </w:rPr>
        <w:t xml:space="preserve"> of themes and sub-themes (</w:t>
      </w:r>
      <w:r w:rsidR="00C6465A" w:rsidRPr="00B56453">
        <w:rPr>
          <w:lang w:val="en-GB"/>
        </w:rPr>
        <w:t>Appendix</w:t>
      </w:r>
      <w:r w:rsidRPr="00B56453">
        <w:rPr>
          <w:lang w:val="en-GB"/>
        </w:rPr>
        <w:t xml:space="preserve"> </w:t>
      </w:r>
      <w:r w:rsidR="00B76E6D" w:rsidRPr="00B56453">
        <w:rPr>
          <w:lang w:val="en-GB"/>
        </w:rPr>
        <w:t>26</w:t>
      </w:r>
      <w:r w:rsidRPr="00B56453">
        <w:rPr>
          <w:lang w:val="en-GB"/>
        </w:rPr>
        <w:t xml:space="preserve">), these focused on the supervisory relationship, feedback filtering, and contextual factors. When validated with the </w:t>
      </w:r>
      <w:r w:rsidR="00374149" w:rsidRPr="00B56453">
        <w:rPr>
          <w:lang w:val="en-GB"/>
        </w:rPr>
        <w:t>supervisory</w:t>
      </w:r>
      <w:r w:rsidRPr="00B56453">
        <w:rPr>
          <w:lang w:val="en-GB"/>
        </w:rPr>
        <w:t xml:space="preserve"> team, the themes were deemed too outcome focused</w:t>
      </w:r>
      <w:r w:rsidR="00713856" w:rsidRPr="00B56453">
        <w:rPr>
          <w:lang w:val="en-GB"/>
        </w:rPr>
        <w:t>,</w:t>
      </w:r>
      <w:r w:rsidRPr="00B56453">
        <w:rPr>
          <w:lang w:val="en-GB"/>
        </w:rPr>
        <w:t xml:space="preserve"> rather than understanding the underlying influences of learning behaviours on </w:t>
      </w:r>
      <w:r w:rsidR="00483DED" w:rsidRPr="00B56453">
        <w:rPr>
          <w:lang w:val="en-GB"/>
        </w:rPr>
        <w:t xml:space="preserve">clinical </w:t>
      </w:r>
      <w:r w:rsidRPr="00B56453">
        <w:rPr>
          <w:lang w:val="en-GB"/>
        </w:rPr>
        <w:t>placement. The themes were re-foc</w:t>
      </w:r>
      <w:r w:rsidR="00374149" w:rsidRPr="00B56453">
        <w:rPr>
          <w:lang w:val="en-GB"/>
        </w:rPr>
        <w:t xml:space="preserve">used during this validation, producing a second interpretation focusing on behavioural influences on </w:t>
      </w:r>
      <w:r w:rsidR="00483DED" w:rsidRPr="00B56453">
        <w:rPr>
          <w:lang w:val="en-GB"/>
        </w:rPr>
        <w:t xml:space="preserve">clinical </w:t>
      </w:r>
      <w:r w:rsidR="00374149" w:rsidRPr="00B56453">
        <w:rPr>
          <w:lang w:val="en-GB"/>
        </w:rPr>
        <w:t>placement experiences</w:t>
      </w:r>
      <w:r w:rsidR="00713856" w:rsidRPr="00B56453">
        <w:rPr>
          <w:lang w:val="en-GB"/>
        </w:rPr>
        <w:t xml:space="preserve"> (Appendix 27)</w:t>
      </w:r>
      <w:r w:rsidR="00274692" w:rsidRPr="00B56453">
        <w:rPr>
          <w:lang w:val="en-GB"/>
        </w:rPr>
        <w:t>.</w:t>
      </w:r>
      <w:r w:rsidR="00374149" w:rsidRPr="00B56453">
        <w:rPr>
          <w:lang w:val="en-GB"/>
        </w:rPr>
        <w:t xml:space="preserve"> </w:t>
      </w:r>
      <w:r w:rsidR="00274692" w:rsidRPr="00B56453">
        <w:rPr>
          <w:lang w:val="en-GB"/>
        </w:rPr>
        <w:t>T</w:t>
      </w:r>
      <w:r w:rsidR="00374149" w:rsidRPr="00B56453">
        <w:rPr>
          <w:lang w:val="en-GB"/>
        </w:rPr>
        <w:t xml:space="preserve">hese were: contextual and situational, stage of learning and personal development, supervisors, and individual learner factors </w:t>
      </w:r>
      <w:r w:rsidR="00F27613" w:rsidRPr="00B56453">
        <w:rPr>
          <w:lang w:val="en-GB"/>
        </w:rPr>
        <w:t>(Table C2.2)</w:t>
      </w:r>
      <w:r w:rsidR="00374149" w:rsidRPr="00B56453">
        <w:rPr>
          <w:lang w:val="en-GB"/>
        </w:rPr>
        <w:t xml:space="preserve">. After subsequent validation with the supervisory team these themes and their sub-themes </w:t>
      </w:r>
      <w:r w:rsidR="00274692" w:rsidRPr="00B56453">
        <w:rPr>
          <w:lang w:val="en-GB"/>
        </w:rPr>
        <w:t>were refined and checked</w:t>
      </w:r>
      <w:r w:rsidR="00374149" w:rsidRPr="00B56453">
        <w:rPr>
          <w:lang w:val="en-GB"/>
        </w:rPr>
        <w:t xml:space="preserve">. </w:t>
      </w:r>
      <w:r w:rsidR="00713856" w:rsidRPr="00B56453">
        <w:rPr>
          <w:lang w:val="en-GB"/>
        </w:rPr>
        <w:t>A final</w:t>
      </w:r>
      <w:r w:rsidR="00374149" w:rsidRPr="00B56453">
        <w:rPr>
          <w:lang w:val="en-GB"/>
        </w:rPr>
        <w:t xml:space="preserve"> version was re-validated against the raw data and small modifications were made to ensure the interpretation was representative of the data. This was checked with the supervisory team again to finalise the thematic framework</w:t>
      </w:r>
      <w:r w:rsidR="00713856" w:rsidRPr="00B56453">
        <w:rPr>
          <w:lang w:val="en-GB"/>
        </w:rPr>
        <w:t xml:space="preserve"> presented in the following results</w:t>
      </w:r>
      <w:r w:rsidR="00374149" w:rsidRPr="00B56453">
        <w:rPr>
          <w:lang w:val="en-GB"/>
        </w:rPr>
        <w:t>.</w:t>
      </w:r>
    </w:p>
    <w:p w14:paraId="3B000811" w14:textId="77777777" w:rsidR="00106909" w:rsidRPr="00B56453" w:rsidRDefault="00106909" w:rsidP="00026049">
      <w:pPr>
        <w:pStyle w:val="Normal1"/>
        <w:rPr>
          <w:lang w:val="en-GB"/>
        </w:rPr>
      </w:pPr>
    </w:p>
    <w:p w14:paraId="6B143E74" w14:textId="0CF68221" w:rsidR="00CF212C" w:rsidRPr="00B56453" w:rsidRDefault="00374149" w:rsidP="00026049">
      <w:pPr>
        <w:pStyle w:val="Normal1"/>
        <w:rPr>
          <w:lang w:val="en-GB"/>
        </w:rPr>
      </w:pPr>
      <w:r w:rsidRPr="00B56453">
        <w:rPr>
          <w:lang w:val="en-GB"/>
        </w:rPr>
        <w:t xml:space="preserve">The final step in the analysis process was to </w:t>
      </w:r>
      <w:r w:rsidR="00274692" w:rsidRPr="00B56453">
        <w:rPr>
          <w:lang w:val="en-GB"/>
        </w:rPr>
        <w:t>separate the quotes according to</w:t>
      </w:r>
      <w:r w:rsidRPr="00B56453">
        <w:rPr>
          <w:lang w:val="en-GB"/>
        </w:rPr>
        <w:t xml:space="preserve"> SRLF and BPF groups. The supervisory team was kept blind to the groupings when </w:t>
      </w:r>
      <w:r w:rsidR="00803EBA" w:rsidRPr="00B56453">
        <w:rPr>
          <w:lang w:val="en-GB"/>
        </w:rPr>
        <w:t xml:space="preserve">independently </w:t>
      </w:r>
      <w:r w:rsidRPr="00B56453">
        <w:rPr>
          <w:lang w:val="en-GB"/>
        </w:rPr>
        <w:lastRenderedPageBreak/>
        <w:t xml:space="preserve">validating to more authentically determine any difference between the group’s SRL behaviours. Subsequent meetings revealed the potential influences of the </w:t>
      </w:r>
      <w:r w:rsidR="00483DED" w:rsidRPr="00B56453">
        <w:rPr>
          <w:lang w:val="en-GB"/>
        </w:rPr>
        <w:t>feedback</w:t>
      </w:r>
      <w:r w:rsidRPr="00B56453">
        <w:rPr>
          <w:lang w:val="en-GB"/>
        </w:rPr>
        <w:t xml:space="preserve"> groupings which are discussed in </w:t>
      </w:r>
      <w:r w:rsidR="00713856" w:rsidRPr="00B56453">
        <w:rPr>
          <w:lang w:val="en-GB"/>
        </w:rPr>
        <w:t>Table C2.3</w:t>
      </w:r>
      <w:r w:rsidRPr="00B56453">
        <w:rPr>
          <w:lang w:val="en-GB"/>
        </w:rPr>
        <w:t>.</w:t>
      </w:r>
      <w:r w:rsidR="00CF212C" w:rsidRPr="00B56453">
        <w:rPr>
          <w:lang w:val="en-GB"/>
        </w:rPr>
        <w:br w:type="page"/>
      </w:r>
    </w:p>
    <w:p w14:paraId="02ACE340" w14:textId="38AF337E" w:rsidR="00CF212C" w:rsidRPr="00B56453" w:rsidRDefault="00473DB7" w:rsidP="00B1638D">
      <w:pPr>
        <w:pStyle w:val="Heading2"/>
        <w:rPr>
          <w:lang w:val="en-GB"/>
        </w:rPr>
      </w:pPr>
      <w:bookmarkStart w:id="388" w:name="_Toc500319419"/>
      <w:r w:rsidRPr="00B56453">
        <w:rPr>
          <w:lang w:val="en-GB"/>
        </w:rPr>
        <w:lastRenderedPageBreak/>
        <w:t xml:space="preserve">C2.3 </w:t>
      </w:r>
      <w:r w:rsidR="00CF212C" w:rsidRPr="00B56453">
        <w:rPr>
          <w:lang w:val="en-GB"/>
        </w:rPr>
        <w:t>Results</w:t>
      </w:r>
      <w:bookmarkEnd w:id="388"/>
    </w:p>
    <w:p w14:paraId="3D96D283" w14:textId="77777777" w:rsidR="00CF212C" w:rsidRPr="00B56453" w:rsidRDefault="00CF212C" w:rsidP="00026049">
      <w:pPr>
        <w:pStyle w:val="Normal1"/>
        <w:rPr>
          <w:lang w:val="en-GB"/>
        </w:rPr>
      </w:pPr>
    </w:p>
    <w:p w14:paraId="5E16B146" w14:textId="566D4687" w:rsidR="00CF212C" w:rsidRPr="00B56453" w:rsidRDefault="00CF212C" w:rsidP="00026049">
      <w:pPr>
        <w:pStyle w:val="Normal1"/>
        <w:rPr>
          <w:lang w:val="en-GB"/>
        </w:rPr>
      </w:pPr>
      <w:r w:rsidRPr="00B56453">
        <w:rPr>
          <w:lang w:val="en-GB"/>
        </w:rPr>
        <w:t>A total of 73 st</w:t>
      </w:r>
      <w:r w:rsidR="00C83378" w:rsidRPr="00B56453">
        <w:rPr>
          <w:lang w:val="en-GB"/>
        </w:rPr>
        <w:t xml:space="preserve">udents agreed to participate in seven </w:t>
      </w:r>
      <w:r w:rsidRPr="00B56453">
        <w:rPr>
          <w:lang w:val="en-GB"/>
        </w:rPr>
        <w:t xml:space="preserve">focus groups (n=57) and interviews (n=16). </w:t>
      </w:r>
      <w:r w:rsidR="006B1351" w:rsidRPr="00B56453">
        <w:rPr>
          <w:lang w:val="en-GB"/>
        </w:rPr>
        <w:t>Interviews lasted 00:36:40 on average</w:t>
      </w:r>
      <w:r w:rsidR="004568F5" w:rsidRPr="00B56453">
        <w:rPr>
          <w:lang w:val="en-GB"/>
        </w:rPr>
        <w:t xml:space="preserve"> and focus groups lasted 00:48:25 on average</w:t>
      </w:r>
      <w:r w:rsidR="006B1351" w:rsidRPr="00B56453">
        <w:rPr>
          <w:lang w:val="en-GB"/>
        </w:rPr>
        <w:t xml:space="preserve">. </w:t>
      </w:r>
      <w:r w:rsidR="00755619" w:rsidRPr="00B56453">
        <w:rPr>
          <w:lang w:val="en-GB"/>
        </w:rPr>
        <w:t>All</w:t>
      </w:r>
      <w:r w:rsidRPr="00B56453">
        <w:rPr>
          <w:lang w:val="en-GB"/>
        </w:rPr>
        <w:t xml:space="preserve"> socio-demographic characteristics are summarised in </w:t>
      </w:r>
      <w:r w:rsidR="002849FA" w:rsidRPr="00B56453">
        <w:rPr>
          <w:lang w:val="en-GB"/>
        </w:rPr>
        <w:t>T</w:t>
      </w:r>
      <w:r w:rsidRPr="00B56453">
        <w:rPr>
          <w:lang w:val="en-GB"/>
        </w:rPr>
        <w:t xml:space="preserve">able </w:t>
      </w:r>
      <w:r w:rsidR="00BD3D58" w:rsidRPr="00B56453">
        <w:rPr>
          <w:lang w:val="en-GB"/>
        </w:rPr>
        <w:t>C2.1</w:t>
      </w:r>
      <w:r w:rsidR="009045D2" w:rsidRPr="00B56453">
        <w:rPr>
          <w:lang w:val="en-GB"/>
        </w:rPr>
        <w:t xml:space="preserve"> and interviewee </w:t>
      </w:r>
      <w:r w:rsidR="00D531CD" w:rsidRPr="00B56453">
        <w:rPr>
          <w:lang w:val="en-GB"/>
        </w:rPr>
        <w:t>characteristics</w:t>
      </w:r>
      <w:r w:rsidR="009045D2" w:rsidRPr="00B56453">
        <w:rPr>
          <w:lang w:val="en-GB"/>
        </w:rPr>
        <w:t xml:space="preserve"> can be discerned with the use of Table C2.2</w:t>
      </w:r>
      <w:r w:rsidRPr="00B56453">
        <w:rPr>
          <w:lang w:val="en-GB"/>
        </w:rPr>
        <w:t>.</w:t>
      </w:r>
      <w:r w:rsidR="009045D2" w:rsidRPr="00B56453">
        <w:rPr>
          <w:lang w:val="en-GB"/>
        </w:rPr>
        <w:t xml:space="preserve"> Focus groups are numbered and their feedback condition is labelled.</w:t>
      </w:r>
      <w:r w:rsidR="00C264A5" w:rsidRPr="00B56453">
        <w:rPr>
          <w:lang w:val="en-GB"/>
        </w:rPr>
        <w:t xml:space="preserve"> Two students did not complete the diary prior to their interviews (G7 - 2, G5 – 1).</w:t>
      </w:r>
      <w:r w:rsidR="00BA2422" w:rsidRPr="00B56453">
        <w:rPr>
          <w:lang w:val="en-GB"/>
        </w:rPr>
        <w:t xml:space="preserve"> </w:t>
      </w:r>
      <w:r w:rsidR="00755619" w:rsidRPr="00B56453">
        <w:rPr>
          <w:lang w:val="en-GB"/>
        </w:rPr>
        <w:t>Full d</w:t>
      </w:r>
      <w:r w:rsidR="00BA2422" w:rsidRPr="00B56453">
        <w:rPr>
          <w:lang w:val="en-GB"/>
        </w:rPr>
        <w:t xml:space="preserve">etails of </w:t>
      </w:r>
      <w:r w:rsidR="004568F5" w:rsidRPr="00B56453">
        <w:rPr>
          <w:lang w:val="en-GB"/>
        </w:rPr>
        <w:t>all</w:t>
      </w:r>
      <w:r w:rsidR="00BA2422" w:rsidRPr="00B56453">
        <w:rPr>
          <w:lang w:val="en-GB"/>
        </w:rPr>
        <w:t xml:space="preserve"> demographics are </w:t>
      </w:r>
      <w:r w:rsidR="004568F5" w:rsidRPr="00B56453">
        <w:rPr>
          <w:lang w:val="en-GB"/>
        </w:rPr>
        <w:t>included</w:t>
      </w:r>
      <w:r w:rsidR="00BA2422" w:rsidRPr="00B56453">
        <w:rPr>
          <w:lang w:val="en-GB"/>
        </w:rPr>
        <w:t xml:space="preserve"> in Appendix </w:t>
      </w:r>
      <w:r w:rsidR="00B76E6D" w:rsidRPr="00B56453">
        <w:rPr>
          <w:lang w:val="en-GB"/>
        </w:rPr>
        <w:t>19</w:t>
      </w:r>
      <w:r w:rsidR="00BA2422" w:rsidRPr="00B56453">
        <w:rPr>
          <w:lang w:val="en-GB"/>
        </w:rPr>
        <w:t>.</w:t>
      </w:r>
    </w:p>
    <w:tbl>
      <w:tblPr>
        <w:tblpPr w:leftFromText="180" w:rightFromText="180" w:vertAnchor="page" w:horzAnchor="margin" w:tblpY="5747"/>
        <w:tblW w:w="8364" w:type="dxa"/>
        <w:tblLayout w:type="fixed"/>
        <w:tblCellMar>
          <w:left w:w="70" w:type="dxa"/>
          <w:right w:w="70" w:type="dxa"/>
        </w:tblCellMar>
        <w:tblLook w:val="0000" w:firstRow="0" w:lastRow="0" w:firstColumn="0" w:lastColumn="0" w:noHBand="0" w:noVBand="0"/>
      </w:tblPr>
      <w:tblGrid>
        <w:gridCol w:w="2410"/>
        <w:gridCol w:w="2268"/>
        <w:gridCol w:w="1966"/>
        <w:gridCol w:w="19"/>
        <w:gridCol w:w="141"/>
        <w:gridCol w:w="1560"/>
      </w:tblGrid>
      <w:tr w:rsidR="00AF0BAF" w:rsidRPr="00B56453" w14:paraId="43EAF670" w14:textId="77777777" w:rsidTr="007C73DC">
        <w:trPr>
          <w:cantSplit/>
          <w:trHeight w:val="532"/>
        </w:trPr>
        <w:tc>
          <w:tcPr>
            <w:tcW w:w="4678" w:type="dxa"/>
            <w:gridSpan w:val="2"/>
            <w:tcBorders>
              <w:top w:val="single" w:sz="4" w:space="0" w:color="auto"/>
              <w:bottom w:val="single" w:sz="8" w:space="0" w:color="000000"/>
            </w:tcBorders>
            <w:shd w:val="clear" w:color="auto" w:fill="auto"/>
          </w:tcPr>
          <w:p w14:paraId="05C25C85" w14:textId="7E29ED48" w:rsidR="00AF0BAF" w:rsidRPr="00B56453" w:rsidRDefault="00AF0BAF" w:rsidP="00AF49F7">
            <w:pPr>
              <w:pStyle w:val="Normal1"/>
              <w:spacing w:line="240" w:lineRule="auto"/>
              <w:rPr>
                <w:sz w:val="22"/>
                <w:szCs w:val="22"/>
                <w:lang w:val="en-GB"/>
              </w:rPr>
            </w:pPr>
            <w:r w:rsidRPr="00B56453">
              <w:rPr>
                <w:sz w:val="22"/>
                <w:szCs w:val="22"/>
                <w:lang w:val="en-GB"/>
              </w:rPr>
              <w:t>Characteristics</w:t>
            </w:r>
          </w:p>
        </w:tc>
        <w:tc>
          <w:tcPr>
            <w:tcW w:w="1985" w:type="dxa"/>
            <w:gridSpan w:val="2"/>
            <w:tcBorders>
              <w:top w:val="single" w:sz="4" w:space="0" w:color="auto"/>
              <w:bottom w:val="single" w:sz="8" w:space="0" w:color="000000"/>
            </w:tcBorders>
            <w:shd w:val="clear" w:color="auto" w:fill="auto"/>
          </w:tcPr>
          <w:p w14:paraId="0C64155D"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Focus groups</w:t>
            </w:r>
          </w:p>
          <w:p w14:paraId="7694495A"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(N = 57)</w:t>
            </w:r>
          </w:p>
        </w:tc>
        <w:tc>
          <w:tcPr>
            <w:tcW w:w="1701" w:type="dxa"/>
            <w:gridSpan w:val="2"/>
            <w:tcBorders>
              <w:top w:val="single" w:sz="4" w:space="0" w:color="auto"/>
              <w:bottom w:val="single" w:sz="8" w:space="0" w:color="000000"/>
            </w:tcBorders>
          </w:tcPr>
          <w:p w14:paraId="31CF0738"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Interviews</w:t>
            </w:r>
          </w:p>
          <w:p w14:paraId="6E54BD31"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(N = 16)</w:t>
            </w:r>
          </w:p>
        </w:tc>
      </w:tr>
      <w:tr w:rsidR="00AF0BAF" w:rsidRPr="00B56453" w14:paraId="6F4573DC" w14:textId="77777777" w:rsidTr="007C73DC">
        <w:trPr>
          <w:cantSplit/>
          <w:trHeight w:val="273"/>
        </w:trPr>
        <w:tc>
          <w:tcPr>
            <w:tcW w:w="2410" w:type="dxa"/>
            <w:shd w:val="clear" w:color="auto" w:fill="auto"/>
          </w:tcPr>
          <w:p w14:paraId="27FD076C" w14:textId="77777777" w:rsidR="00AF0BAF" w:rsidRPr="00B56453" w:rsidRDefault="00AF0BAF" w:rsidP="00AF49F7">
            <w:pPr>
              <w:pStyle w:val="Predefinito"/>
              <w:autoSpaceDE w:val="0"/>
              <w:rPr>
                <w:rFonts w:cs="Times New Roman"/>
                <w:sz w:val="22"/>
                <w:szCs w:val="22"/>
                <w:lang w:val="en-GB"/>
              </w:rPr>
            </w:pPr>
            <w:r w:rsidRPr="00B56453">
              <w:rPr>
                <w:rFonts w:cs="Times New Roman"/>
                <w:sz w:val="22"/>
                <w:szCs w:val="22"/>
                <w:lang w:val="en-GB"/>
              </w:rPr>
              <w:t>Gender (%)</w:t>
            </w:r>
          </w:p>
        </w:tc>
        <w:tc>
          <w:tcPr>
            <w:tcW w:w="2268" w:type="dxa"/>
            <w:shd w:val="clear" w:color="auto" w:fill="auto"/>
          </w:tcPr>
          <w:p w14:paraId="311280D1" w14:textId="77777777" w:rsidR="00AF0BAF" w:rsidRPr="00B56453" w:rsidRDefault="00AF0BAF" w:rsidP="00AF49F7">
            <w:pPr>
              <w:pStyle w:val="Predefinito"/>
              <w:autoSpaceDE w:val="0"/>
              <w:snapToGrid w:val="0"/>
              <w:rPr>
                <w:rFonts w:cs="Times New Roman"/>
                <w:sz w:val="22"/>
                <w:szCs w:val="22"/>
                <w:lang w:val="en-GB"/>
              </w:rPr>
            </w:pPr>
          </w:p>
        </w:tc>
        <w:tc>
          <w:tcPr>
            <w:tcW w:w="1985" w:type="dxa"/>
            <w:gridSpan w:val="2"/>
            <w:shd w:val="clear" w:color="auto" w:fill="auto"/>
          </w:tcPr>
          <w:p w14:paraId="2DE4AFD0"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 xml:space="preserve"> </w:t>
            </w:r>
          </w:p>
        </w:tc>
        <w:tc>
          <w:tcPr>
            <w:tcW w:w="1701" w:type="dxa"/>
            <w:gridSpan w:val="2"/>
          </w:tcPr>
          <w:p w14:paraId="393988E4" w14:textId="77777777" w:rsidR="00AF0BAF" w:rsidRPr="00B56453" w:rsidRDefault="00AF0BAF" w:rsidP="00AF49F7">
            <w:pPr>
              <w:pStyle w:val="Predefinito"/>
              <w:autoSpaceDE w:val="0"/>
              <w:jc w:val="center"/>
              <w:rPr>
                <w:rFonts w:cs="Times New Roman"/>
                <w:sz w:val="22"/>
                <w:szCs w:val="22"/>
                <w:lang w:val="en-GB"/>
              </w:rPr>
            </w:pPr>
          </w:p>
        </w:tc>
      </w:tr>
      <w:tr w:rsidR="00AF0BAF" w:rsidRPr="00B56453" w14:paraId="509ADABD" w14:textId="77777777" w:rsidTr="007C73DC">
        <w:trPr>
          <w:cantSplit/>
          <w:trHeight w:val="258"/>
        </w:trPr>
        <w:tc>
          <w:tcPr>
            <w:tcW w:w="2410" w:type="dxa"/>
            <w:shd w:val="clear" w:color="auto" w:fill="auto"/>
          </w:tcPr>
          <w:p w14:paraId="567AA160" w14:textId="77777777" w:rsidR="00AF0BAF" w:rsidRPr="00B56453" w:rsidRDefault="00AF0BAF" w:rsidP="00AF49F7">
            <w:pPr>
              <w:pStyle w:val="Predefinito"/>
              <w:autoSpaceDE w:val="0"/>
              <w:snapToGrid w:val="0"/>
              <w:rPr>
                <w:rFonts w:cs="Times New Roman"/>
                <w:sz w:val="22"/>
                <w:szCs w:val="22"/>
                <w:lang w:val="en-GB"/>
              </w:rPr>
            </w:pPr>
          </w:p>
        </w:tc>
        <w:tc>
          <w:tcPr>
            <w:tcW w:w="2268" w:type="dxa"/>
            <w:shd w:val="clear" w:color="auto" w:fill="auto"/>
          </w:tcPr>
          <w:p w14:paraId="398DD3CA"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Female</w:t>
            </w:r>
          </w:p>
        </w:tc>
        <w:tc>
          <w:tcPr>
            <w:tcW w:w="1985" w:type="dxa"/>
            <w:gridSpan w:val="2"/>
            <w:shd w:val="clear" w:color="auto" w:fill="auto"/>
          </w:tcPr>
          <w:p w14:paraId="1102C626"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36 (63.2)</w:t>
            </w:r>
          </w:p>
        </w:tc>
        <w:tc>
          <w:tcPr>
            <w:tcW w:w="1701" w:type="dxa"/>
            <w:gridSpan w:val="2"/>
          </w:tcPr>
          <w:p w14:paraId="32786A82"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12 (75)</w:t>
            </w:r>
          </w:p>
        </w:tc>
      </w:tr>
      <w:tr w:rsidR="00AF0BAF" w:rsidRPr="00B56453" w14:paraId="0CC65A29" w14:textId="77777777" w:rsidTr="007C73DC">
        <w:trPr>
          <w:cantSplit/>
          <w:trHeight w:val="258"/>
        </w:trPr>
        <w:tc>
          <w:tcPr>
            <w:tcW w:w="2410" w:type="dxa"/>
            <w:shd w:val="clear" w:color="auto" w:fill="auto"/>
          </w:tcPr>
          <w:p w14:paraId="5FC65282" w14:textId="77777777" w:rsidR="00AF0BAF" w:rsidRPr="00B56453" w:rsidRDefault="00AF0BAF" w:rsidP="00AF49F7">
            <w:pPr>
              <w:pStyle w:val="Predefinito"/>
              <w:autoSpaceDE w:val="0"/>
              <w:snapToGrid w:val="0"/>
              <w:rPr>
                <w:rFonts w:cs="Times New Roman"/>
                <w:sz w:val="22"/>
                <w:szCs w:val="22"/>
                <w:lang w:val="en-GB"/>
              </w:rPr>
            </w:pPr>
          </w:p>
        </w:tc>
        <w:tc>
          <w:tcPr>
            <w:tcW w:w="2268" w:type="dxa"/>
            <w:shd w:val="clear" w:color="auto" w:fill="auto"/>
          </w:tcPr>
          <w:p w14:paraId="56583ADD"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Male</w:t>
            </w:r>
          </w:p>
        </w:tc>
        <w:tc>
          <w:tcPr>
            <w:tcW w:w="1985" w:type="dxa"/>
            <w:gridSpan w:val="2"/>
            <w:shd w:val="clear" w:color="auto" w:fill="auto"/>
          </w:tcPr>
          <w:p w14:paraId="11D710DF"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21 (36.8)</w:t>
            </w:r>
          </w:p>
        </w:tc>
        <w:tc>
          <w:tcPr>
            <w:tcW w:w="1701" w:type="dxa"/>
            <w:gridSpan w:val="2"/>
          </w:tcPr>
          <w:p w14:paraId="02AEF3A9"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4 (25)</w:t>
            </w:r>
          </w:p>
        </w:tc>
      </w:tr>
      <w:tr w:rsidR="00AF0BAF" w:rsidRPr="00B56453" w14:paraId="7218AEA2" w14:textId="77777777" w:rsidTr="007C73DC">
        <w:trPr>
          <w:cantSplit/>
          <w:trHeight w:val="273"/>
        </w:trPr>
        <w:tc>
          <w:tcPr>
            <w:tcW w:w="2410" w:type="dxa"/>
            <w:shd w:val="clear" w:color="auto" w:fill="auto"/>
          </w:tcPr>
          <w:p w14:paraId="307DA07A" w14:textId="77777777" w:rsidR="00AF0BAF" w:rsidRPr="00B56453" w:rsidRDefault="00AF0BAF" w:rsidP="00AF49F7">
            <w:pPr>
              <w:pStyle w:val="Predefinito"/>
              <w:autoSpaceDE w:val="0"/>
              <w:rPr>
                <w:rFonts w:cs="Times New Roman"/>
                <w:sz w:val="22"/>
                <w:szCs w:val="22"/>
                <w:lang w:val="en-GB"/>
              </w:rPr>
            </w:pPr>
            <w:r w:rsidRPr="00B56453">
              <w:rPr>
                <w:rFonts w:cs="Times New Roman"/>
                <w:sz w:val="22"/>
                <w:szCs w:val="22"/>
                <w:lang w:val="en-GB"/>
              </w:rPr>
              <w:t>Age (years)</w:t>
            </w:r>
          </w:p>
        </w:tc>
        <w:tc>
          <w:tcPr>
            <w:tcW w:w="2268" w:type="dxa"/>
            <w:shd w:val="clear" w:color="auto" w:fill="auto"/>
          </w:tcPr>
          <w:p w14:paraId="5E824106" w14:textId="77777777" w:rsidR="00AF0BAF" w:rsidRPr="00B56453" w:rsidRDefault="00AF0BAF" w:rsidP="00AF49F7">
            <w:pPr>
              <w:pStyle w:val="Predefinito"/>
              <w:autoSpaceDE w:val="0"/>
              <w:snapToGrid w:val="0"/>
              <w:rPr>
                <w:rFonts w:cs="Times New Roman"/>
                <w:sz w:val="22"/>
                <w:szCs w:val="22"/>
                <w:lang w:val="en-GB"/>
              </w:rPr>
            </w:pPr>
          </w:p>
        </w:tc>
        <w:tc>
          <w:tcPr>
            <w:tcW w:w="1985" w:type="dxa"/>
            <w:gridSpan w:val="2"/>
            <w:shd w:val="clear" w:color="auto" w:fill="auto"/>
          </w:tcPr>
          <w:p w14:paraId="46057688"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20.71 ± 0.52</w:t>
            </w:r>
            <w:r w:rsidRPr="00B56453">
              <w:rPr>
                <w:rFonts w:cs="Times New Roman"/>
                <w:sz w:val="22"/>
                <w:szCs w:val="22"/>
                <w:vertAlign w:val="superscript"/>
                <w:lang w:val="en-GB"/>
              </w:rPr>
              <w:t>a</w:t>
            </w:r>
          </w:p>
        </w:tc>
        <w:tc>
          <w:tcPr>
            <w:tcW w:w="1701" w:type="dxa"/>
            <w:gridSpan w:val="2"/>
          </w:tcPr>
          <w:p w14:paraId="5AA11E6A" w14:textId="77777777" w:rsidR="00AF0BAF" w:rsidRPr="00B56453" w:rsidRDefault="00AF0BAF" w:rsidP="00AF49F7">
            <w:pPr>
              <w:pStyle w:val="Predefinito"/>
              <w:autoSpaceDE w:val="0"/>
              <w:jc w:val="center"/>
              <w:rPr>
                <w:rFonts w:cs="Times New Roman"/>
                <w:sz w:val="22"/>
                <w:szCs w:val="22"/>
                <w:vertAlign w:val="superscript"/>
                <w:lang w:val="en-GB"/>
              </w:rPr>
            </w:pPr>
            <w:r w:rsidRPr="00B56453">
              <w:rPr>
                <w:rFonts w:cs="Times New Roman"/>
                <w:sz w:val="22"/>
                <w:szCs w:val="22"/>
                <w:lang w:val="en-GB"/>
              </w:rPr>
              <w:t>20.69 ± 0.87</w:t>
            </w:r>
            <w:r w:rsidRPr="00B56453">
              <w:rPr>
                <w:rFonts w:cs="Times New Roman"/>
                <w:sz w:val="22"/>
                <w:szCs w:val="22"/>
                <w:vertAlign w:val="superscript"/>
                <w:lang w:val="en-GB"/>
              </w:rPr>
              <w:t>a</w:t>
            </w:r>
          </w:p>
        </w:tc>
      </w:tr>
      <w:tr w:rsidR="00AF0BAF" w:rsidRPr="00B56453" w14:paraId="6EFD1A75" w14:textId="77777777" w:rsidTr="007C73DC">
        <w:trPr>
          <w:cantSplit/>
          <w:trHeight w:val="258"/>
        </w:trPr>
        <w:tc>
          <w:tcPr>
            <w:tcW w:w="2410" w:type="dxa"/>
            <w:shd w:val="clear" w:color="auto" w:fill="FFFFFF" w:themeFill="background1"/>
          </w:tcPr>
          <w:p w14:paraId="37F06CCC" w14:textId="77777777" w:rsidR="00AF0BAF" w:rsidRPr="00B56453" w:rsidRDefault="00AF0BAF" w:rsidP="00AF49F7">
            <w:pPr>
              <w:pStyle w:val="Predefinito"/>
              <w:autoSpaceDE w:val="0"/>
              <w:rPr>
                <w:rFonts w:cs="Times New Roman"/>
                <w:sz w:val="22"/>
                <w:szCs w:val="22"/>
                <w:lang w:val="en-GB"/>
              </w:rPr>
            </w:pPr>
            <w:r w:rsidRPr="00B56453">
              <w:rPr>
                <w:rFonts w:cs="Times New Roman"/>
                <w:sz w:val="22"/>
                <w:szCs w:val="22"/>
                <w:lang w:val="en-GB"/>
              </w:rPr>
              <w:t>Ethnicity grouped (%)</w:t>
            </w:r>
          </w:p>
        </w:tc>
        <w:tc>
          <w:tcPr>
            <w:tcW w:w="2268" w:type="dxa"/>
            <w:shd w:val="clear" w:color="auto" w:fill="FFFFFF" w:themeFill="background1"/>
          </w:tcPr>
          <w:p w14:paraId="1D8A8FF9" w14:textId="77777777" w:rsidR="00AF0BAF" w:rsidRPr="00B56453" w:rsidRDefault="00AF0BAF" w:rsidP="00AF49F7">
            <w:pPr>
              <w:pStyle w:val="Predefinito"/>
              <w:autoSpaceDE w:val="0"/>
              <w:snapToGrid w:val="0"/>
              <w:rPr>
                <w:rFonts w:cs="Times New Roman"/>
                <w:sz w:val="22"/>
                <w:szCs w:val="22"/>
                <w:lang w:val="en-GB"/>
              </w:rPr>
            </w:pPr>
          </w:p>
        </w:tc>
        <w:tc>
          <w:tcPr>
            <w:tcW w:w="1985" w:type="dxa"/>
            <w:gridSpan w:val="2"/>
            <w:shd w:val="clear" w:color="auto" w:fill="FFFFFF" w:themeFill="background1"/>
          </w:tcPr>
          <w:p w14:paraId="67C21055" w14:textId="77777777" w:rsidR="00AF0BAF" w:rsidRPr="00B56453" w:rsidRDefault="00AF0BAF" w:rsidP="00AF49F7">
            <w:pPr>
              <w:pStyle w:val="Predefinito"/>
              <w:autoSpaceDE w:val="0"/>
              <w:jc w:val="center"/>
              <w:rPr>
                <w:rFonts w:cs="Times New Roman"/>
                <w:sz w:val="22"/>
                <w:szCs w:val="22"/>
                <w:lang w:val="en-GB"/>
              </w:rPr>
            </w:pPr>
          </w:p>
        </w:tc>
        <w:tc>
          <w:tcPr>
            <w:tcW w:w="1701" w:type="dxa"/>
            <w:gridSpan w:val="2"/>
            <w:shd w:val="clear" w:color="auto" w:fill="FFFFFF" w:themeFill="background1"/>
          </w:tcPr>
          <w:p w14:paraId="1AF974A8" w14:textId="77777777" w:rsidR="00AF0BAF" w:rsidRPr="00B56453" w:rsidRDefault="00AF0BAF" w:rsidP="00AF49F7">
            <w:pPr>
              <w:pStyle w:val="Predefinito"/>
              <w:autoSpaceDE w:val="0"/>
              <w:jc w:val="center"/>
              <w:rPr>
                <w:rFonts w:cs="Times New Roman"/>
                <w:sz w:val="22"/>
                <w:szCs w:val="22"/>
                <w:lang w:val="en-GB"/>
              </w:rPr>
            </w:pPr>
          </w:p>
        </w:tc>
      </w:tr>
      <w:tr w:rsidR="00AF0BAF" w:rsidRPr="00B56453" w14:paraId="4DE1E709" w14:textId="77777777" w:rsidTr="007C73DC">
        <w:trPr>
          <w:cantSplit/>
          <w:trHeight w:val="273"/>
        </w:trPr>
        <w:tc>
          <w:tcPr>
            <w:tcW w:w="2410" w:type="dxa"/>
            <w:shd w:val="clear" w:color="auto" w:fill="FFFFFF" w:themeFill="background1"/>
          </w:tcPr>
          <w:p w14:paraId="7EECFB01" w14:textId="77777777" w:rsidR="00AF0BAF" w:rsidRPr="00B56453" w:rsidRDefault="00AF0BAF" w:rsidP="00AF49F7">
            <w:pPr>
              <w:pStyle w:val="Predefinito"/>
              <w:autoSpaceDE w:val="0"/>
              <w:rPr>
                <w:rFonts w:cs="Times New Roman"/>
                <w:sz w:val="22"/>
                <w:szCs w:val="22"/>
                <w:lang w:val="en-GB"/>
              </w:rPr>
            </w:pPr>
          </w:p>
        </w:tc>
        <w:tc>
          <w:tcPr>
            <w:tcW w:w="2268" w:type="dxa"/>
            <w:shd w:val="clear" w:color="auto" w:fill="FFFFFF" w:themeFill="background1"/>
          </w:tcPr>
          <w:p w14:paraId="646642FB"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White – British/Irish</w:t>
            </w:r>
          </w:p>
        </w:tc>
        <w:tc>
          <w:tcPr>
            <w:tcW w:w="1985" w:type="dxa"/>
            <w:gridSpan w:val="2"/>
            <w:shd w:val="clear" w:color="auto" w:fill="FFFFFF" w:themeFill="background1"/>
          </w:tcPr>
          <w:p w14:paraId="42248D7F"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46 (80.7)</w:t>
            </w:r>
          </w:p>
        </w:tc>
        <w:tc>
          <w:tcPr>
            <w:tcW w:w="1701" w:type="dxa"/>
            <w:gridSpan w:val="2"/>
            <w:shd w:val="clear" w:color="auto" w:fill="FFFFFF" w:themeFill="background1"/>
          </w:tcPr>
          <w:p w14:paraId="0F5513B6"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12 (75)</w:t>
            </w:r>
          </w:p>
        </w:tc>
      </w:tr>
      <w:tr w:rsidR="00AF0BAF" w:rsidRPr="00B56453" w14:paraId="58596591" w14:textId="77777777" w:rsidTr="007C73DC">
        <w:trPr>
          <w:cantSplit/>
          <w:trHeight w:val="258"/>
        </w:trPr>
        <w:tc>
          <w:tcPr>
            <w:tcW w:w="2410" w:type="dxa"/>
            <w:shd w:val="clear" w:color="auto" w:fill="FFFFFF" w:themeFill="background1"/>
          </w:tcPr>
          <w:p w14:paraId="6E692DC4" w14:textId="77777777" w:rsidR="00AF0BAF" w:rsidRPr="00B56453" w:rsidRDefault="00AF0BAF" w:rsidP="00AF49F7">
            <w:pPr>
              <w:pStyle w:val="Predefinito"/>
              <w:autoSpaceDE w:val="0"/>
              <w:rPr>
                <w:rFonts w:cs="Times New Roman"/>
                <w:sz w:val="22"/>
                <w:szCs w:val="22"/>
                <w:lang w:val="en-GB"/>
              </w:rPr>
            </w:pPr>
          </w:p>
        </w:tc>
        <w:tc>
          <w:tcPr>
            <w:tcW w:w="2268" w:type="dxa"/>
            <w:shd w:val="clear" w:color="auto" w:fill="FFFFFF" w:themeFill="background1"/>
          </w:tcPr>
          <w:p w14:paraId="540DAED0"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Asian - British</w:t>
            </w:r>
          </w:p>
        </w:tc>
        <w:tc>
          <w:tcPr>
            <w:tcW w:w="1985" w:type="dxa"/>
            <w:gridSpan w:val="2"/>
            <w:shd w:val="clear" w:color="auto" w:fill="FFFFFF" w:themeFill="background1"/>
          </w:tcPr>
          <w:p w14:paraId="2BF85015"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4 (7.0)</w:t>
            </w:r>
          </w:p>
        </w:tc>
        <w:tc>
          <w:tcPr>
            <w:tcW w:w="1701" w:type="dxa"/>
            <w:gridSpan w:val="2"/>
            <w:shd w:val="clear" w:color="auto" w:fill="FFFFFF" w:themeFill="background1"/>
          </w:tcPr>
          <w:p w14:paraId="70250C65"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2 (12.5)</w:t>
            </w:r>
          </w:p>
        </w:tc>
      </w:tr>
      <w:tr w:rsidR="00AF0BAF" w:rsidRPr="00B56453" w14:paraId="35A91C00" w14:textId="77777777" w:rsidTr="007C73DC">
        <w:trPr>
          <w:cantSplit/>
          <w:trHeight w:val="273"/>
        </w:trPr>
        <w:tc>
          <w:tcPr>
            <w:tcW w:w="2410" w:type="dxa"/>
            <w:shd w:val="clear" w:color="auto" w:fill="FFFFFF" w:themeFill="background1"/>
          </w:tcPr>
          <w:p w14:paraId="789A54A6" w14:textId="77777777" w:rsidR="00AF0BAF" w:rsidRPr="00B56453" w:rsidRDefault="00AF0BAF" w:rsidP="00AF49F7">
            <w:pPr>
              <w:pStyle w:val="Predefinito"/>
              <w:autoSpaceDE w:val="0"/>
              <w:rPr>
                <w:rFonts w:cs="Times New Roman"/>
                <w:sz w:val="22"/>
                <w:szCs w:val="22"/>
                <w:lang w:val="en-GB"/>
              </w:rPr>
            </w:pPr>
          </w:p>
        </w:tc>
        <w:tc>
          <w:tcPr>
            <w:tcW w:w="2268" w:type="dxa"/>
            <w:shd w:val="clear" w:color="auto" w:fill="FFFFFF" w:themeFill="background1"/>
          </w:tcPr>
          <w:p w14:paraId="53AE5080"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Asian - Chinese</w:t>
            </w:r>
          </w:p>
        </w:tc>
        <w:tc>
          <w:tcPr>
            <w:tcW w:w="1985" w:type="dxa"/>
            <w:gridSpan w:val="2"/>
            <w:shd w:val="clear" w:color="auto" w:fill="FFFFFF" w:themeFill="background1"/>
          </w:tcPr>
          <w:p w14:paraId="6153236D"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4 (7.0)</w:t>
            </w:r>
          </w:p>
        </w:tc>
        <w:tc>
          <w:tcPr>
            <w:tcW w:w="1701" w:type="dxa"/>
            <w:gridSpan w:val="2"/>
            <w:shd w:val="clear" w:color="auto" w:fill="FFFFFF" w:themeFill="background1"/>
          </w:tcPr>
          <w:p w14:paraId="4D830023"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0</w:t>
            </w:r>
          </w:p>
        </w:tc>
      </w:tr>
      <w:tr w:rsidR="00AF0BAF" w:rsidRPr="00B56453" w14:paraId="79D3FE3C" w14:textId="77777777" w:rsidTr="007C73DC">
        <w:trPr>
          <w:cantSplit/>
          <w:trHeight w:val="258"/>
        </w:trPr>
        <w:tc>
          <w:tcPr>
            <w:tcW w:w="2410" w:type="dxa"/>
            <w:shd w:val="clear" w:color="auto" w:fill="FFFFFF" w:themeFill="background1"/>
          </w:tcPr>
          <w:p w14:paraId="33A40B4F" w14:textId="77777777" w:rsidR="00AF0BAF" w:rsidRPr="00B56453" w:rsidRDefault="00AF0BAF" w:rsidP="00AF49F7">
            <w:pPr>
              <w:pStyle w:val="Predefinito"/>
              <w:autoSpaceDE w:val="0"/>
              <w:rPr>
                <w:rFonts w:cs="Times New Roman"/>
                <w:sz w:val="22"/>
                <w:szCs w:val="22"/>
                <w:lang w:val="en-GB"/>
              </w:rPr>
            </w:pPr>
          </w:p>
        </w:tc>
        <w:tc>
          <w:tcPr>
            <w:tcW w:w="2268" w:type="dxa"/>
            <w:shd w:val="clear" w:color="auto" w:fill="FFFFFF" w:themeFill="background1"/>
          </w:tcPr>
          <w:p w14:paraId="3752B156"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Other</w:t>
            </w:r>
          </w:p>
        </w:tc>
        <w:tc>
          <w:tcPr>
            <w:tcW w:w="1985" w:type="dxa"/>
            <w:gridSpan w:val="2"/>
            <w:shd w:val="clear" w:color="auto" w:fill="FFFFFF" w:themeFill="background1"/>
          </w:tcPr>
          <w:p w14:paraId="7A6A0FB3"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3 (5.3)</w:t>
            </w:r>
          </w:p>
        </w:tc>
        <w:tc>
          <w:tcPr>
            <w:tcW w:w="1701" w:type="dxa"/>
            <w:gridSpan w:val="2"/>
            <w:shd w:val="clear" w:color="auto" w:fill="FFFFFF" w:themeFill="background1"/>
          </w:tcPr>
          <w:p w14:paraId="51E92F9A"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2 (12.5)</w:t>
            </w:r>
          </w:p>
        </w:tc>
      </w:tr>
      <w:tr w:rsidR="00AF0BAF" w:rsidRPr="00B56453" w14:paraId="4B3D6858" w14:textId="77777777" w:rsidTr="007C73DC">
        <w:trPr>
          <w:cantSplit/>
          <w:trHeight w:val="273"/>
        </w:trPr>
        <w:tc>
          <w:tcPr>
            <w:tcW w:w="2410" w:type="dxa"/>
            <w:shd w:val="clear" w:color="auto" w:fill="auto"/>
          </w:tcPr>
          <w:p w14:paraId="54CD3516" w14:textId="77777777" w:rsidR="00AF0BAF" w:rsidRPr="00B56453" w:rsidRDefault="00AF0BAF" w:rsidP="00AF49F7">
            <w:pPr>
              <w:pStyle w:val="Predefinito"/>
              <w:autoSpaceDE w:val="0"/>
              <w:rPr>
                <w:rFonts w:cs="Times New Roman"/>
                <w:sz w:val="22"/>
                <w:szCs w:val="22"/>
                <w:lang w:val="en-GB"/>
              </w:rPr>
            </w:pPr>
            <w:r w:rsidRPr="00B56453">
              <w:rPr>
                <w:rFonts w:cs="Times New Roman"/>
                <w:sz w:val="22"/>
                <w:szCs w:val="22"/>
                <w:lang w:val="en-GB"/>
              </w:rPr>
              <w:t>Condition (%)</w:t>
            </w:r>
          </w:p>
        </w:tc>
        <w:tc>
          <w:tcPr>
            <w:tcW w:w="2268" w:type="dxa"/>
            <w:shd w:val="clear" w:color="auto" w:fill="auto"/>
          </w:tcPr>
          <w:p w14:paraId="5F7A7F68" w14:textId="77777777" w:rsidR="00AF0BAF" w:rsidRPr="00B56453" w:rsidRDefault="00AF0BAF" w:rsidP="00AF49F7">
            <w:pPr>
              <w:pStyle w:val="Predefinito"/>
              <w:autoSpaceDE w:val="0"/>
              <w:snapToGrid w:val="0"/>
              <w:rPr>
                <w:rFonts w:cs="Times New Roman"/>
                <w:sz w:val="22"/>
                <w:szCs w:val="22"/>
                <w:lang w:val="en-GB"/>
              </w:rPr>
            </w:pPr>
          </w:p>
        </w:tc>
        <w:tc>
          <w:tcPr>
            <w:tcW w:w="1985" w:type="dxa"/>
            <w:gridSpan w:val="2"/>
            <w:shd w:val="clear" w:color="auto" w:fill="auto"/>
          </w:tcPr>
          <w:p w14:paraId="7976A0A1" w14:textId="77777777" w:rsidR="00AF0BAF" w:rsidRPr="00B56453" w:rsidRDefault="00AF0BAF" w:rsidP="00AF49F7">
            <w:pPr>
              <w:pStyle w:val="Predefinito"/>
              <w:autoSpaceDE w:val="0"/>
              <w:jc w:val="center"/>
              <w:rPr>
                <w:rFonts w:cs="Times New Roman"/>
                <w:color w:val="FF0000"/>
                <w:sz w:val="22"/>
                <w:szCs w:val="22"/>
                <w:lang w:val="en-GB"/>
              </w:rPr>
            </w:pPr>
            <w:r w:rsidRPr="00B56453">
              <w:rPr>
                <w:rFonts w:cs="Times New Roman"/>
                <w:color w:val="FF0000"/>
                <w:sz w:val="22"/>
                <w:szCs w:val="22"/>
                <w:lang w:val="en-GB"/>
              </w:rPr>
              <w:t xml:space="preserve"> </w:t>
            </w:r>
          </w:p>
        </w:tc>
        <w:tc>
          <w:tcPr>
            <w:tcW w:w="1701" w:type="dxa"/>
            <w:gridSpan w:val="2"/>
          </w:tcPr>
          <w:p w14:paraId="56FD3740" w14:textId="77777777" w:rsidR="00AF0BAF" w:rsidRPr="00B56453" w:rsidRDefault="00AF0BAF" w:rsidP="00AF49F7">
            <w:pPr>
              <w:pStyle w:val="Predefinito"/>
              <w:autoSpaceDE w:val="0"/>
              <w:jc w:val="center"/>
              <w:rPr>
                <w:rFonts w:cs="Times New Roman"/>
                <w:color w:val="FF0000"/>
                <w:sz w:val="22"/>
                <w:szCs w:val="22"/>
                <w:lang w:val="en-GB"/>
              </w:rPr>
            </w:pPr>
          </w:p>
        </w:tc>
      </w:tr>
      <w:tr w:rsidR="00AF0BAF" w:rsidRPr="00B56453" w14:paraId="4B42D8FA" w14:textId="77777777" w:rsidTr="007C73DC">
        <w:trPr>
          <w:cantSplit/>
          <w:trHeight w:val="258"/>
        </w:trPr>
        <w:tc>
          <w:tcPr>
            <w:tcW w:w="2410" w:type="dxa"/>
            <w:shd w:val="clear" w:color="auto" w:fill="auto"/>
          </w:tcPr>
          <w:p w14:paraId="0DD8C67F" w14:textId="77777777" w:rsidR="00AF0BAF" w:rsidRPr="00B56453" w:rsidRDefault="00AF0BAF" w:rsidP="00AF49F7">
            <w:pPr>
              <w:pStyle w:val="Predefinito"/>
              <w:autoSpaceDE w:val="0"/>
              <w:snapToGrid w:val="0"/>
              <w:rPr>
                <w:rFonts w:cs="Times New Roman"/>
                <w:sz w:val="22"/>
                <w:szCs w:val="22"/>
                <w:lang w:val="en-GB"/>
              </w:rPr>
            </w:pPr>
          </w:p>
        </w:tc>
        <w:tc>
          <w:tcPr>
            <w:tcW w:w="2268" w:type="dxa"/>
            <w:shd w:val="clear" w:color="auto" w:fill="auto"/>
          </w:tcPr>
          <w:p w14:paraId="5043B766"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BPF</w:t>
            </w:r>
          </w:p>
        </w:tc>
        <w:tc>
          <w:tcPr>
            <w:tcW w:w="1985" w:type="dxa"/>
            <w:gridSpan w:val="2"/>
            <w:shd w:val="clear" w:color="auto" w:fill="auto"/>
          </w:tcPr>
          <w:p w14:paraId="50DFA5E9"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21 (36.8)</w:t>
            </w:r>
          </w:p>
        </w:tc>
        <w:tc>
          <w:tcPr>
            <w:tcW w:w="1701" w:type="dxa"/>
            <w:gridSpan w:val="2"/>
          </w:tcPr>
          <w:p w14:paraId="2EECBE07"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8 (50)</w:t>
            </w:r>
          </w:p>
        </w:tc>
      </w:tr>
      <w:tr w:rsidR="00AF0BAF" w:rsidRPr="00B56453" w14:paraId="7D0F12F6" w14:textId="77777777" w:rsidTr="007C73DC">
        <w:trPr>
          <w:cantSplit/>
          <w:trHeight w:val="258"/>
        </w:trPr>
        <w:tc>
          <w:tcPr>
            <w:tcW w:w="2410" w:type="dxa"/>
            <w:shd w:val="clear" w:color="auto" w:fill="auto"/>
          </w:tcPr>
          <w:p w14:paraId="5E8ABEC4" w14:textId="77777777" w:rsidR="00AF0BAF" w:rsidRPr="00B56453" w:rsidRDefault="00AF0BAF" w:rsidP="00AF49F7">
            <w:pPr>
              <w:pStyle w:val="Predefinito"/>
              <w:autoSpaceDE w:val="0"/>
              <w:snapToGrid w:val="0"/>
              <w:rPr>
                <w:rFonts w:cs="Times New Roman"/>
                <w:sz w:val="22"/>
                <w:szCs w:val="22"/>
                <w:lang w:val="en-GB"/>
              </w:rPr>
            </w:pPr>
          </w:p>
        </w:tc>
        <w:tc>
          <w:tcPr>
            <w:tcW w:w="2268" w:type="dxa"/>
            <w:shd w:val="clear" w:color="auto" w:fill="auto"/>
          </w:tcPr>
          <w:p w14:paraId="0BC55E24" w14:textId="77777777" w:rsidR="00AF0BAF" w:rsidRPr="00B56453" w:rsidRDefault="00AF0BAF" w:rsidP="00AF49F7">
            <w:pPr>
              <w:pStyle w:val="Predefinito"/>
              <w:autoSpaceDE w:val="0"/>
              <w:snapToGrid w:val="0"/>
              <w:rPr>
                <w:rFonts w:cs="Times New Roman"/>
                <w:sz w:val="22"/>
                <w:szCs w:val="22"/>
                <w:lang w:val="en-GB"/>
              </w:rPr>
            </w:pPr>
            <w:r w:rsidRPr="00B56453">
              <w:rPr>
                <w:rFonts w:cs="Times New Roman"/>
                <w:sz w:val="22"/>
                <w:szCs w:val="22"/>
                <w:lang w:val="en-GB"/>
              </w:rPr>
              <w:t>SRLF</w:t>
            </w:r>
          </w:p>
        </w:tc>
        <w:tc>
          <w:tcPr>
            <w:tcW w:w="1985" w:type="dxa"/>
            <w:gridSpan w:val="2"/>
            <w:shd w:val="clear" w:color="auto" w:fill="auto"/>
          </w:tcPr>
          <w:p w14:paraId="2DB94500"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36 (63.2)</w:t>
            </w:r>
          </w:p>
        </w:tc>
        <w:tc>
          <w:tcPr>
            <w:tcW w:w="1701" w:type="dxa"/>
            <w:gridSpan w:val="2"/>
          </w:tcPr>
          <w:p w14:paraId="3798D423" w14:textId="77777777" w:rsidR="00AF0BAF" w:rsidRPr="00B56453" w:rsidRDefault="00AF0BAF" w:rsidP="00AF49F7">
            <w:pPr>
              <w:pStyle w:val="Predefinito"/>
              <w:autoSpaceDE w:val="0"/>
              <w:jc w:val="center"/>
              <w:rPr>
                <w:rFonts w:cs="Times New Roman"/>
                <w:sz w:val="22"/>
                <w:szCs w:val="22"/>
                <w:lang w:val="en-GB"/>
              </w:rPr>
            </w:pPr>
            <w:r w:rsidRPr="00B56453">
              <w:rPr>
                <w:rFonts w:cs="Times New Roman"/>
                <w:sz w:val="22"/>
                <w:szCs w:val="22"/>
                <w:lang w:val="en-GB"/>
              </w:rPr>
              <w:t>8 (50)</w:t>
            </w:r>
          </w:p>
        </w:tc>
      </w:tr>
      <w:tr w:rsidR="00AF0BAF" w:rsidRPr="00B56453" w14:paraId="0308E52E" w14:textId="77777777" w:rsidTr="007C73DC">
        <w:trPr>
          <w:cantSplit/>
          <w:trHeight w:val="273"/>
        </w:trPr>
        <w:tc>
          <w:tcPr>
            <w:tcW w:w="6644" w:type="dxa"/>
            <w:gridSpan w:val="3"/>
            <w:tcBorders>
              <w:top w:val="single" w:sz="8" w:space="0" w:color="000000"/>
              <w:bottom w:val="single" w:sz="4" w:space="0" w:color="auto"/>
            </w:tcBorders>
            <w:shd w:val="clear" w:color="auto" w:fill="auto"/>
          </w:tcPr>
          <w:p w14:paraId="465755D0" w14:textId="77777777" w:rsidR="00AF0BAF" w:rsidRPr="00B56453" w:rsidRDefault="00AF0BAF" w:rsidP="00AF49F7">
            <w:pPr>
              <w:pStyle w:val="Predefinito"/>
              <w:autoSpaceDE w:val="0"/>
              <w:rPr>
                <w:sz w:val="22"/>
                <w:szCs w:val="22"/>
                <w:lang w:val="en-GB"/>
              </w:rPr>
            </w:pPr>
            <w:r w:rsidRPr="00B56453">
              <w:rPr>
                <w:rFonts w:cs="Times New Roman"/>
                <w:sz w:val="22"/>
                <w:szCs w:val="22"/>
                <w:vertAlign w:val="superscript"/>
                <w:lang w:val="en-GB"/>
              </w:rPr>
              <w:t>a</w:t>
            </w:r>
            <w:r w:rsidRPr="00B56453">
              <w:rPr>
                <w:rFonts w:cs="Times New Roman"/>
                <w:sz w:val="22"/>
                <w:szCs w:val="22"/>
                <w:lang w:val="en-GB"/>
              </w:rPr>
              <w:t xml:space="preserve"> Values shown as mean ± SD.</w:t>
            </w:r>
          </w:p>
        </w:tc>
        <w:tc>
          <w:tcPr>
            <w:tcW w:w="160" w:type="dxa"/>
            <w:gridSpan w:val="2"/>
            <w:tcBorders>
              <w:top w:val="single" w:sz="8" w:space="0" w:color="000000"/>
              <w:bottom w:val="single" w:sz="4" w:space="0" w:color="auto"/>
            </w:tcBorders>
            <w:shd w:val="clear" w:color="auto" w:fill="auto"/>
          </w:tcPr>
          <w:p w14:paraId="1F83DC83" w14:textId="77777777" w:rsidR="00AF0BAF" w:rsidRPr="00B56453" w:rsidRDefault="00AF0BAF" w:rsidP="00AF49F7">
            <w:pPr>
              <w:pStyle w:val="Predefinito"/>
              <w:autoSpaceDE w:val="0"/>
              <w:rPr>
                <w:sz w:val="22"/>
                <w:szCs w:val="22"/>
                <w:lang w:val="en-GB"/>
              </w:rPr>
            </w:pPr>
          </w:p>
        </w:tc>
        <w:tc>
          <w:tcPr>
            <w:tcW w:w="1560" w:type="dxa"/>
            <w:tcBorders>
              <w:top w:val="single" w:sz="8" w:space="0" w:color="000000"/>
              <w:bottom w:val="single" w:sz="4" w:space="0" w:color="auto"/>
            </w:tcBorders>
          </w:tcPr>
          <w:p w14:paraId="20AF602A" w14:textId="77777777" w:rsidR="00AF0BAF" w:rsidRPr="00B56453" w:rsidRDefault="00AF0BAF" w:rsidP="00AF49F7">
            <w:pPr>
              <w:pStyle w:val="Predefinito"/>
              <w:autoSpaceDE w:val="0"/>
              <w:rPr>
                <w:sz w:val="22"/>
                <w:szCs w:val="22"/>
                <w:lang w:val="en-GB"/>
              </w:rPr>
            </w:pPr>
          </w:p>
        </w:tc>
      </w:tr>
    </w:tbl>
    <w:p w14:paraId="00E2F654" w14:textId="77777777" w:rsidR="00BD3D58" w:rsidRPr="00B56453" w:rsidRDefault="00BD3D58" w:rsidP="00CF212C"/>
    <w:p w14:paraId="6532C2C7" w14:textId="1572DC2B" w:rsidR="00BD3D58" w:rsidRPr="00B56453" w:rsidRDefault="00BD3D58" w:rsidP="00026049">
      <w:pPr>
        <w:pStyle w:val="Tablelist"/>
        <w:rPr>
          <w:lang w:val="en-GB"/>
        </w:rPr>
      </w:pPr>
      <w:bookmarkStart w:id="389" w:name="_Toc487454845"/>
      <w:bookmarkStart w:id="390" w:name="_Toc487456797"/>
      <w:bookmarkStart w:id="391" w:name="_Toc500319516"/>
      <w:r w:rsidRPr="00B56453">
        <w:rPr>
          <w:lang w:val="en-GB"/>
        </w:rPr>
        <w:t>Table C2.</w:t>
      </w:r>
      <w:r w:rsidRPr="007638B6">
        <w:rPr>
          <w:lang w:val="en-GB"/>
        </w:rPr>
        <w:fldChar w:fldCharType="begin"/>
      </w:r>
      <w:r w:rsidRPr="00B56453">
        <w:rPr>
          <w:lang w:val="en-GB"/>
        </w:rPr>
        <w:instrText xml:space="preserve"> SEQ Table_C2. \* ARABIC </w:instrText>
      </w:r>
      <w:r w:rsidRPr="00B27F0B">
        <w:rPr>
          <w:lang w:val="en-GB"/>
        </w:rPr>
        <w:fldChar w:fldCharType="separate"/>
      </w:r>
      <w:r w:rsidR="00E44881" w:rsidRPr="00B56453">
        <w:rPr>
          <w:noProof/>
          <w:lang w:val="en-GB"/>
        </w:rPr>
        <w:t>1</w:t>
      </w:r>
      <w:r w:rsidRPr="007638B6">
        <w:rPr>
          <w:lang w:val="en-GB"/>
        </w:rPr>
        <w:fldChar w:fldCharType="end"/>
      </w:r>
      <w:r w:rsidRPr="00B56453">
        <w:rPr>
          <w:lang w:val="en-GB"/>
        </w:rPr>
        <w:t xml:space="preserve"> Socio-demographic characteristics of focus group and interview participants</w:t>
      </w:r>
      <w:bookmarkEnd w:id="389"/>
      <w:bookmarkEnd w:id="390"/>
      <w:r w:rsidR="00B76E6D" w:rsidRPr="00B56453">
        <w:rPr>
          <w:lang w:val="en-GB"/>
        </w:rPr>
        <w:t>.</w:t>
      </w:r>
      <w:bookmarkEnd w:id="391"/>
    </w:p>
    <w:p w14:paraId="4AF7081B" w14:textId="77777777" w:rsidR="00AF0BAF" w:rsidRPr="00B56453" w:rsidRDefault="00AF0BAF" w:rsidP="00CF212C"/>
    <w:tbl>
      <w:tblPr>
        <w:tblStyle w:val="PlainTable5"/>
        <w:tblpPr w:leftFromText="180" w:rightFromText="180" w:vertAnchor="page" w:horzAnchor="margin" w:tblpY="10828"/>
        <w:tblW w:w="8359" w:type="dxa"/>
        <w:tblLayout w:type="fixed"/>
        <w:tblLook w:val="04A0" w:firstRow="1" w:lastRow="0" w:firstColumn="1" w:lastColumn="0" w:noHBand="0" w:noVBand="1"/>
      </w:tblPr>
      <w:tblGrid>
        <w:gridCol w:w="2089"/>
        <w:gridCol w:w="2090"/>
        <w:gridCol w:w="2090"/>
        <w:gridCol w:w="2090"/>
      </w:tblGrid>
      <w:tr w:rsidR="004568F5" w:rsidRPr="00B56453" w14:paraId="386D4C11" w14:textId="77777777" w:rsidTr="007C73D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89" w:type="dxa"/>
            <w:tcBorders>
              <w:top w:val="single" w:sz="4" w:space="0" w:color="auto"/>
              <w:left w:val="single" w:sz="4" w:space="0" w:color="auto"/>
            </w:tcBorders>
            <w:noWrap/>
            <w:hideMark/>
          </w:tcPr>
          <w:p w14:paraId="0C6707A1" w14:textId="3B5B6AB8" w:rsidR="004568F5" w:rsidRPr="00B56453" w:rsidRDefault="007C73DC" w:rsidP="007C73DC">
            <w:pPr>
              <w:pStyle w:val="Normal1"/>
              <w:tabs>
                <w:tab w:val="center" w:pos="990"/>
                <w:tab w:val="right" w:pos="1980"/>
              </w:tabs>
              <w:jc w:val="left"/>
              <w:rPr>
                <w:b/>
                <w:i w:val="0"/>
                <w:sz w:val="22"/>
                <w:lang w:val="en-GB"/>
              </w:rPr>
            </w:pPr>
            <w:r w:rsidRPr="00B56453">
              <w:rPr>
                <w:b/>
                <w:sz w:val="22"/>
                <w:lang w:val="en-GB"/>
              </w:rPr>
              <w:tab/>
            </w:r>
            <w:r w:rsidR="004568F5" w:rsidRPr="00B56453">
              <w:rPr>
                <w:b/>
                <w:sz w:val="22"/>
                <w:lang w:val="en-GB"/>
              </w:rPr>
              <w:t>Group</w:t>
            </w:r>
            <w:r w:rsidRPr="00B56453">
              <w:rPr>
                <w:b/>
                <w:sz w:val="22"/>
                <w:lang w:val="en-GB"/>
              </w:rPr>
              <w:tab/>
            </w:r>
          </w:p>
        </w:tc>
        <w:tc>
          <w:tcPr>
            <w:tcW w:w="2090" w:type="dxa"/>
            <w:tcBorders>
              <w:top w:val="single" w:sz="4" w:space="0" w:color="auto"/>
            </w:tcBorders>
            <w:noWrap/>
            <w:vAlign w:val="center"/>
            <w:hideMark/>
          </w:tcPr>
          <w:p w14:paraId="679C5E10" w14:textId="20987729" w:rsidR="004568F5" w:rsidRPr="00B56453" w:rsidRDefault="00483DED" w:rsidP="00483DED">
            <w:pPr>
              <w:pStyle w:val="Normal1"/>
              <w:jc w:val="center"/>
              <w:cnfStyle w:val="100000000000" w:firstRow="1" w:lastRow="0" w:firstColumn="0" w:lastColumn="0" w:oddVBand="0" w:evenVBand="0" w:oddHBand="0" w:evenHBand="0" w:firstRowFirstColumn="0" w:firstRowLastColumn="0" w:lastRowFirstColumn="0" w:lastRowLastColumn="0"/>
              <w:rPr>
                <w:i w:val="0"/>
                <w:sz w:val="22"/>
                <w:lang w:val="en-GB"/>
              </w:rPr>
            </w:pPr>
            <w:r w:rsidRPr="00B56453">
              <w:rPr>
                <w:sz w:val="22"/>
                <w:lang w:val="en-GB"/>
              </w:rPr>
              <w:t>Feedback c</w:t>
            </w:r>
            <w:r w:rsidR="004568F5" w:rsidRPr="00B56453">
              <w:rPr>
                <w:sz w:val="22"/>
                <w:lang w:val="en-GB"/>
              </w:rPr>
              <w:t>ondition</w:t>
            </w:r>
          </w:p>
        </w:tc>
        <w:tc>
          <w:tcPr>
            <w:tcW w:w="2090" w:type="dxa"/>
            <w:tcBorders>
              <w:top w:val="single" w:sz="4" w:space="0" w:color="auto"/>
            </w:tcBorders>
            <w:noWrap/>
            <w:vAlign w:val="center"/>
            <w:hideMark/>
          </w:tcPr>
          <w:p w14:paraId="74D17CF4" w14:textId="77777777" w:rsidR="004568F5" w:rsidRPr="00B56453" w:rsidRDefault="004568F5" w:rsidP="004568F5">
            <w:pPr>
              <w:pStyle w:val="Normal1"/>
              <w:jc w:val="center"/>
              <w:cnfStyle w:val="100000000000" w:firstRow="1" w:lastRow="0" w:firstColumn="0" w:lastColumn="0" w:oddVBand="0" w:evenVBand="0" w:oddHBand="0" w:evenHBand="0" w:firstRowFirstColumn="0" w:firstRowLastColumn="0" w:lastRowFirstColumn="0" w:lastRowLastColumn="0"/>
              <w:rPr>
                <w:i w:val="0"/>
                <w:sz w:val="22"/>
                <w:lang w:val="en-GB"/>
              </w:rPr>
            </w:pPr>
            <w:r w:rsidRPr="00B56453">
              <w:rPr>
                <w:sz w:val="22"/>
                <w:lang w:val="en-GB"/>
              </w:rPr>
              <w:t>SRL Change</w:t>
            </w:r>
          </w:p>
        </w:tc>
        <w:tc>
          <w:tcPr>
            <w:tcW w:w="2090" w:type="dxa"/>
            <w:tcBorders>
              <w:top w:val="single" w:sz="4" w:space="0" w:color="auto"/>
              <w:right w:val="single" w:sz="4" w:space="0" w:color="auto"/>
            </w:tcBorders>
            <w:noWrap/>
            <w:vAlign w:val="center"/>
            <w:hideMark/>
          </w:tcPr>
          <w:p w14:paraId="23B3811F" w14:textId="77777777" w:rsidR="004568F5" w:rsidRPr="00B56453" w:rsidRDefault="004568F5" w:rsidP="004568F5">
            <w:pPr>
              <w:pStyle w:val="Normal1"/>
              <w:jc w:val="center"/>
              <w:cnfStyle w:val="100000000000" w:firstRow="1" w:lastRow="0" w:firstColumn="0" w:lastColumn="0" w:oddVBand="0" w:evenVBand="0" w:oddHBand="0" w:evenHBand="0" w:firstRowFirstColumn="0" w:firstRowLastColumn="0" w:lastRowFirstColumn="0" w:lastRowLastColumn="0"/>
              <w:rPr>
                <w:i w:val="0"/>
                <w:sz w:val="22"/>
                <w:lang w:val="en-GB"/>
              </w:rPr>
            </w:pPr>
            <w:r w:rsidRPr="00B56453">
              <w:rPr>
                <w:sz w:val="22"/>
                <w:lang w:val="en-GB"/>
              </w:rPr>
              <w:t>SRL score</w:t>
            </w:r>
          </w:p>
        </w:tc>
      </w:tr>
      <w:tr w:rsidR="004568F5" w:rsidRPr="00B56453" w14:paraId="187322D7" w14:textId="77777777" w:rsidTr="007C73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540BFECB" w14:textId="77777777" w:rsidR="004568F5" w:rsidRPr="00B56453" w:rsidRDefault="004568F5" w:rsidP="004568F5">
            <w:pPr>
              <w:pStyle w:val="Normal1"/>
              <w:jc w:val="center"/>
              <w:rPr>
                <w:b/>
                <w:i w:val="0"/>
                <w:sz w:val="22"/>
                <w:lang w:val="en-GB"/>
              </w:rPr>
            </w:pPr>
            <w:r w:rsidRPr="00B56453">
              <w:rPr>
                <w:b/>
                <w:sz w:val="22"/>
                <w:lang w:val="en-GB"/>
              </w:rPr>
              <w:t>G1</w:t>
            </w:r>
          </w:p>
        </w:tc>
        <w:tc>
          <w:tcPr>
            <w:tcW w:w="2090" w:type="dxa"/>
            <w:noWrap/>
            <w:vAlign w:val="center"/>
            <w:hideMark/>
          </w:tcPr>
          <w:p w14:paraId="6B3A8AAF"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SRLF</w:t>
            </w:r>
          </w:p>
        </w:tc>
        <w:tc>
          <w:tcPr>
            <w:tcW w:w="2090" w:type="dxa"/>
            <w:noWrap/>
            <w:vAlign w:val="center"/>
            <w:hideMark/>
          </w:tcPr>
          <w:p w14:paraId="3FE74CB7"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High</w:t>
            </w:r>
          </w:p>
        </w:tc>
        <w:tc>
          <w:tcPr>
            <w:tcW w:w="2090" w:type="dxa"/>
            <w:tcBorders>
              <w:right w:val="single" w:sz="4" w:space="0" w:color="auto"/>
            </w:tcBorders>
            <w:noWrap/>
            <w:vAlign w:val="center"/>
            <w:hideMark/>
          </w:tcPr>
          <w:p w14:paraId="2776ED1C"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r>
      <w:tr w:rsidR="004568F5" w:rsidRPr="00B56453" w14:paraId="4697D87F" w14:textId="77777777" w:rsidTr="007C73DC">
        <w:trPr>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140C5984" w14:textId="77777777" w:rsidR="004568F5" w:rsidRPr="00B56453" w:rsidRDefault="004568F5" w:rsidP="004568F5">
            <w:pPr>
              <w:pStyle w:val="Normal1"/>
              <w:jc w:val="center"/>
              <w:rPr>
                <w:b/>
                <w:i w:val="0"/>
                <w:sz w:val="22"/>
                <w:lang w:val="en-GB"/>
              </w:rPr>
            </w:pPr>
            <w:r w:rsidRPr="00B56453">
              <w:rPr>
                <w:b/>
                <w:sz w:val="22"/>
                <w:lang w:val="en-GB"/>
              </w:rPr>
              <w:t>G2</w:t>
            </w:r>
          </w:p>
        </w:tc>
        <w:tc>
          <w:tcPr>
            <w:tcW w:w="2090" w:type="dxa"/>
            <w:noWrap/>
            <w:vAlign w:val="center"/>
            <w:hideMark/>
          </w:tcPr>
          <w:p w14:paraId="38D2D467"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SRLF</w:t>
            </w:r>
          </w:p>
        </w:tc>
        <w:tc>
          <w:tcPr>
            <w:tcW w:w="2090" w:type="dxa"/>
            <w:noWrap/>
            <w:vAlign w:val="center"/>
            <w:hideMark/>
          </w:tcPr>
          <w:p w14:paraId="0B2B36C8"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c>
          <w:tcPr>
            <w:tcW w:w="2090" w:type="dxa"/>
            <w:tcBorders>
              <w:right w:val="single" w:sz="4" w:space="0" w:color="auto"/>
            </w:tcBorders>
            <w:noWrap/>
            <w:vAlign w:val="center"/>
            <w:hideMark/>
          </w:tcPr>
          <w:p w14:paraId="13E15573"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r>
      <w:tr w:rsidR="004568F5" w:rsidRPr="00B56453" w14:paraId="5DF63CF6" w14:textId="77777777" w:rsidTr="007C73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4A59510F" w14:textId="77777777" w:rsidR="004568F5" w:rsidRPr="00B56453" w:rsidRDefault="004568F5" w:rsidP="004568F5">
            <w:pPr>
              <w:pStyle w:val="Normal1"/>
              <w:jc w:val="center"/>
              <w:rPr>
                <w:b/>
                <w:i w:val="0"/>
                <w:sz w:val="22"/>
                <w:lang w:val="en-GB"/>
              </w:rPr>
            </w:pPr>
            <w:r w:rsidRPr="00B56453">
              <w:rPr>
                <w:b/>
                <w:sz w:val="22"/>
                <w:lang w:val="en-GB"/>
              </w:rPr>
              <w:t>G3</w:t>
            </w:r>
          </w:p>
        </w:tc>
        <w:tc>
          <w:tcPr>
            <w:tcW w:w="2090" w:type="dxa"/>
            <w:noWrap/>
            <w:vAlign w:val="center"/>
            <w:hideMark/>
          </w:tcPr>
          <w:p w14:paraId="5F878CE1"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SRLF</w:t>
            </w:r>
          </w:p>
        </w:tc>
        <w:tc>
          <w:tcPr>
            <w:tcW w:w="2090" w:type="dxa"/>
            <w:noWrap/>
            <w:vAlign w:val="center"/>
            <w:hideMark/>
          </w:tcPr>
          <w:p w14:paraId="6E348B2C"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c>
          <w:tcPr>
            <w:tcW w:w="2090" w:type="dxa"/>
            <w:tcBorders>
              <w:right w:val="single" w:sz="4" w:space="0" w:color="auto"/>
            </w:tcBorders>
            <w:noWrap/>
            <w:vAlign w:val="center"/>
            <w:hideMark/>
          </w:tcPr>
          <w:p w14:paraId="70CC055A"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r>
      <w:tr w:rsidR="004568F5" w:rsidRPr="00B56453" w14:paraId="3044C173" w14:textId="77777777" w:rsidTr="007C73DC">
        <w:trPr>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4A8D9F87" w14:textId="77777777" w:rsidR="004568F5" w:rsidRPr="00B56453" w:rsidRDefault="004568F5" w:rsidP="004568F5">
            <w:pPr>
              <w:pStyle w:val="Normal1"/>
              <w:jc w:val="center"/>
              <w:rPr>
                <w:b/>
                <w:i w:val="0"/>
                <w:sz w:val="22"/>
                <w:lang w:val="en-GB"/>
              </w:rPr>
            </w:pPr>
            <w:r w:rsidRPr="00B56453">
              <w:rPr>
                <w:b/>
                <w:sz w:val="22"/>
                <w:lang w:val="en-GB"/>
              </w:rPr>
              <w:t>G4</w:t>
            </w:r>
          </w:p>
        </w:tc>
        <w:tc>
          <w:tcPr>
            <w:tcW w:w="2090" w:type="dxa"/>
            <w:noWrap/>
            <w:vAlign w:val="center"/>
            <w:hideMark/>
          </w:tcPr>
          <w:p w14:paraId="362DE90B"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SRLF</w:t>
            </w:r>
          </w:p>
        </w:tc>
        <w:tc>
          <w:tcPr>
            <w:tcW w:w="2090" w:type="dxa"/>
            <w:noWrap/>
            <w:vAlign w:val="center"/>
            <w:hideMark/>
          </w:tcPr>
          <w:p w14:paraId="1A520D29"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Low</w:t>
            </w:r>
          </w:p>
        </w:tc>
        <w:tc>
          <w:tcPr>
            <w:tcW w:w="2090" w:type="dxa"/>
            <w:tcBorders>
              <w:right w:val="single" w:sz="4" w:space="0" w:color="auto"/>
            </w:tcBorders>
            <w:noWrap/>
            <w:vAlign w:val="center"/>
            <w:hideMark/>
          </w:tcPr>
          <w:p w14:paraId="58CFA048"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r>
      <w:tr w:rsidR="004568F5" w:rsidRPr="00B56453" w14:paraId="65B1C942" w14:textId="77777777" w:rsidTr="007C73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58BE23B4" w14:textId="77777777" w:rsidR="004568F5" w:rsidRPr="00B56453" w:rsidRDefault="004568F5" w:rsidP="004568F5">
            <w:pPr>
              <w:pStyle w:val="Normal1"/>
              <w:jc w:val="center"/>
              <w:rPr>
                <w:b/>
                <w:i w:val="0"/>
                <w:sz w:val="22"/>
                <w:lang w:val="en-GB"/>
              </w:rPr>
            </w:pPr>
            <w:r w:rsidRPr="00B56453">
              <w:rPr>
                <w:b/>
                <w:sz w:val="22"/>
                <w:lang w:val="en-GB"/>
              </w:rPr>
              <w:t>G5</w:t>
            </w:r>
          </w:p>
        </w:tc>
        <w:tc>
          <w:tcPr>
            <w:tcW w:w="2090" w:type="dxa"/>
            <w:noWrap/>
            <w:vAlign w:val="center"/>
            <w:hideMark/>
          </w:tcPr>
          <w:p w14:paraId="116CA2CF"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BPF</w:t>
            </w:r>
          </w:p>
        </w:tc>
        <w:tc>
          <w:tcPr>
            <w:tcW w:w="2090" w:type="dxa"/>
            <w:noWrap/>
            <w:vAlign w:val="center"/>
            <w:hideMark/>
          </w:tcPr>
          <w:p w14:paraId="0FAEA0B1"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High</w:t>
            </w:r>
          </w:p>
        </w:tc>
        <w:tc>
          <w:tcPr>
            <w:tcW w:w="2090" w:type="dxa"/>
            <w:tcBorders>
              <w:right w:val="single" w:sz="4" w:space="0" w:color="auto"/>
            </w:tcBorders>
            <w:noWrap/>
            <w:vAlign w:val="center"/>
            <w:hideMark/>
          </w:tcPr>
          <w:p w14:paraId="39575056"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r>
      <w:tr w:rsidR="004568F5" w:rsidRPr="00B56453" w14:paraId="3F05BD00" w14:textId="77777777" w:rsidTr="007C73DC">
        <w:trPr>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7082D6E5" w14:textId="77777777" w:rsidR="004568F5" w:rsidRPr="00B56453" w:rsidRDefault="004568F5" w:rsidP="004568F5">
            <w:pPr>
              <w:pStyle w:val="Normal1"/>
              <w:jc w:val="center"/>
              <w:rPr>
                <w:b/>
                <w:i w:val="0"/>
                <w:sz w:val="22"/>
                <w:lang w:val="en-GB"/>
              </w:rPr>
            </w:pPr>
            <w:r w:rsidRPr="00B56453">
              <w:rPr>
                <w:b/>
                <w:sz w:val="22"/>
                <w:lang w:val="en-GB"/>
              </w:rPr>
              <w:t>G6</w:t>
            </w:r>
          </w:p>
        </w:tc>
        <w:tc>
          <w:tcPr>
            <w:tcW w:w="2090" w:type="dxa"/>
            <w:noWrap/>
            <w:vAlign w:val="center"/>
            <w:hideMark/>
          </w:tcPr>
          <w:p w14:paraId="667AFAF0"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BPF</w:t>
            </w:r>
          </w:p>
        </w:tc>
        <w:tc>
          <w:tcPr>
            <w:tcW w:w="2090" w:type="dxa"/>
            <w:noWrap/>
            <w:vAlign w:val="center"/>
            <w:hideMark/>
          </w:tcPr>
          <w:p w14:paraId="16F9AAD2"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c>
          <w:tcPr>
            <w:tcW w:w="2090" w:type="dxa"/>
            <w:tcBorders>
              <w:right w:val="single" w:sz="4" w:space="0" w:color="auto"/>
            </w:tcBorders>
            <w:noWrap/>
            <w:vAlign w:val="center"/>
            <w:hideMark/>
          </w:tcPr>
          <w:p w14:paraId="031B07C5"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r>
      <w:tr w:rsidR="004568F5" w:rsidRPr="00B56453" w14:paraId="5B1C243B" w14:textId="77777777" w:rsidTr="007C73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tcBorders>
            <w:noWrap/>
            <w:hideMark/>
          </w:tcPr>
          <w:p w14:paraId="5A3077D3" w14:textId="77777777" w:rsidR="004568F5" w:rsidRPr="00B56453" w:rsidRDefault="004568F5" w:rsidP="004568F5">
            <w:pPr>
              <w:pStyle w:val="Normal1"/>
              <w:jc w:val="center"/>
              <w:rPr>
                <w:b/>
                <w:i w:val="0"/>
                <w:sz w:val="22"/>
                <w:lang w:val="en-GB"/>
              </w:rPr>
            </w:pPr>
            <w:r w:rsidRPr="00B56453">
              <w:rPr>
                <w:b/>
                <w:sz w:val="22"/>
                <w:lang w:val="en-GB"/>
              </w:rPr>
              <w:t>G7</w:t>
            </w:r>
          </w:p>
        </w:tc>
        <w:tc>
          <w:tcPr>
            <w:tcW w:w="2090" w:type="dxa"/>
            <w:noWrap/>
            <w:vAlign w:val="center"/>
            <w:hideMark/>
          </w:tcPr>
          <w:p w14:paraId="1071CDCB"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BPF</w:t>
            </w:r>
          </w:p>
        </w:tc>
        <w:tc>
          <w:tcPr>
            <w:tcW w:w="2090" w:type="dxa"/>
            <w:noWrap/>
            <w:vAlign w:val="center"/>
            <w:hideMark/>
          </w:tcPr>
          <w:p w14:paraId="78F0AD0C"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c>
          <w:tcPr>
            <w:tcW w:w="2090" w:type="dxa"/>
            <w:tcBorders>
              <w:right w:val="single" w:sz="4" w:space="0" w:color="auto"/>
            </w:tcBorders>
            <w:noWrap/>
            <w:vAlign w:val="center"/>
            <w:hideMark/>
          </w:tcPr>
          <w:p w14:paraId="442BB06D" w14:textId="77777777" w:rsidR="004568F5" w:rsidRPr="00B56453" w:rsidRDefault="004568F5" w:rsidP="004568F5">
            <w:pPr>
              <w:pStyle w:val="Normal1"/>
              <w:jc w:val="center"/>
              <w:cnfStyle w:val="000000100000" w:firstRow="0" w:lastRow="0" w:firstColumn="0" w:lastColumn="0" w:oddVBand="0" w:evenVBand="0" w:oddHBand="1" w:evenHBand="0" w:firstRowFirstColumn="0" w:firstRowLastColumn="0" w:lastRowFirstColumn="0" w:lastRowLastColumn="0"/>
              <w:rPr>
                <w:sz w:val="22"/>
                <w:lang w:val="en-GB"/>
              </w:rPr>
            </w:pPr>
            <w:r w:rsidRPr="00B56453">
              <w:rPr>
                <w:sz w:val="22"/>
                <w:lang w:val="en-GB"/>
              </w:rPr>
              <w:t>Low</w:t>
            </w:r>
          </w:p>
        </w:tc>
      </w:tr>
      <w:tr w:rsidR="004568F5" w:rsidRPr="00B56453" w14:paraId="452C09B4" w14:textId="77777777" w:rsidTr="007C73DC">
        <w:trPr>
          <w:trHeight w:val="315"/>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auto"/>
              <w:bottom w:val="single" w:sz="4" w:space="0" w:color="auto"/>
            </w:tcBorders>
            <w:noWrap/>
            <w:hideMark/>
          </w:tcPr>
          <w:p w14:paraId="61A6D515" w14:textId="77777777" w:rsidR="004568F5" w:rsidRPr="00B56453" w:rsidRDefault="004568F5" w:rsidP="004568F5">
            <w:pPr>
              <w:pStyle w:val="Normal1"/>
              <w:jc w:val="center"/>
              <w:rPr>
                <w:b/>
                <w:i w:val="0"/>
                <w:sz w:val="22"/>
                <w:lang w:val="en-GB"/>
              </w:rPr>
            </w:pPr>
            <w:r w:rsidRPr="00B56453">
              <w:rPr>
                <w:b/>
                <w:sz w:val="22"/>
                <w:lang w:val="en-GB"/>
              </w:rPr>
              <w:t>G8</w:t>
            </w:r>
          </w:p>
        </w:tc>
        <w:tc>
          <w:tcPr>
            <w:tcW w:w="2090" w:type="dxa"/>
            <w:tcBorders>
              <w:bottom w:val="single" w:sz="4" w:space="0" w:color="auto"/>
            </w:tcBorders>
            <w:noWrap/>
            <w:vAlign w:val="center"/>
            <w:hideMark/>
          </w:tcPr>
          <w:p w14:paraId="584964D0"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BPF</w:t>
            </w:r>
          </w:p>
        </w:tc>
        <w:tc>
          <w:tcPr>
            <w:tcW w:w="2090" w:type="dxa"/>
            <w:tcBorders>
              <w:bottom w:val="single" w:sz="4" w:space="0" w:color="auto"/>
            </w:tcBorders>
            <w:noWrap/>
            <w:vAlign w:val="center"/>
            <w:hideMark/>
          </w:tcPr>
          <w:p w14:paraId="12AD65C5"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Low</w:t>
            </w:r>
          </w:p>
        </w:tc>
        <w:tc>
          <w:tcPr>
            <w:tcW w:w="2090" w:type="dxa"/>
            <w:tcBorders>
              <w:bottom w:val="single" w:sz="4" w:space="0" w:color="auto"/>
              <w:right w:val="single" w:sz="4" w:space="0" w:color="auto"/>
            </w:tcBorders>
            <w:noWrap/>
            <w:vAlign w:val="center"/>
            <w:hideMark/>
          </w:tcPr>
          <w:p w14:paraId="2125E0C1" w14:textId="77777777" w:rsidR="004568F5" w:rsidRPr="00B56453" w:rsidRDefault="004568F5" w:rsidP="004568F5">
            <w:pPr>
              <w:pStyle w:val="Normal1"/>
              <w:jc w:val="center"/>
              <w:cnfStyle w:val="000000000000" w:firstRow="0" w:lastRow="0" w:firstColumn="0" w:lastColumn="0" w:oddVBand="0" w:evenVBand="0" w:oddHBand="0" w:evenHBand="0" w:firstRowFirstColumn="0" w:firstRowLastColumn="0" w:lastRowFirstColumn="0" w:lastRowLastColumn="0"/>
              <w:rPr>
                <w:sz w:val="22"/>
                <w:lang w:val="en-GB"/>
              </w:rPr>
            </w:pPr>
            <w:r w:rsidRPr="00B56453">
              <w:rPr>
                <w:sz w:val="22"/>
                <w:lang w:val="en-GB"/>
              </w:rPr>
              <w:t>High</w:t>
            </w:r>
          </w:p>
        </w:tc>
      </w:tr>
    </w:tbl>
    <w:p w14:paraId="266FCE80" w14:textId="77777777" w:rsidR="004568F5" w:rsidRPr="00B56453" w:rsidRDefault="004568F5" w:rsidP="004568F5">
      <w:pPr>
        <w:pStyle w:val="Tablelist"/>
        <w:rPr>
          <w:lang w:val="en-GB"/>
        </w:rPr>
      </w:pPr>
      <w:bookmarkStart w:id="392" w:name="_Toc500319517"/>
      <w:r w:rsidRPr="00B56453">
        <w:rPr>
          <w:lang w:val="en-GB"/>
        </w:rPr>
        <w:t>Table C2.</w:t>
      </w:r>
      <w:r w:rsidRPr="007638B6">
        <w:rPr>
          <w:lang w:val="en-GB"/>
        </w:rPr>
        <w:fldChar w:fldCharType="begin"/>
      </w:r>
      <w:r w:rsidRPr="00B56453">
        <w:rPr>
          <w:lang w:val="en-GB"/>
        </w:rPr>
        <w:instrText xml:space="preserve"> SEQ Table_C2. \* ARABIC </w:instrText>
      </w:r>
      <w:r w:rsidRPr="00B27F0B">
        <w:rPr>
          <w:lang w:val="en-GB"/>
        </w:rPr>
        <w:fldChar w:fldCharType="separate"/>
      </w:r>
      <w:r w:rsidR="00E44881" w:rsidRPr="00B56453">
        <w:rPr>
          <w:noProof/>
          <w:lang w:val="en-GB"/>
        </w:rPr>
        <w:t>2</w:t>
      </w:r>
      <w:r w:rsidRPr="007638B6">
        <w:rPr>
          <w:lang w:val="en-GB"/>
        </w:rPr>
        <w:fldChar w:fldCharType="end"/>
      </w:r>
      <w:r w:rsidRPr="00B56453">
        <w:rPr>
          <w:lang w:val="en-GB"/>
        </w:rPr>
        <w:t xml:space="preserve"> Interview participant key.</w:t>
      </w:r>
      <w:bookmarkEnd w:id="392"/>
    </w:p>
    <w:p w14:paraId="7D561FA3" w14:textId="77777777" w:rsidR="00B76E6D" w:rsidRPr="00B56453" w:rsidRDefault="00B76E6D" w:rsidP="0060463E">
      <w:pPr>
        <w:pStyle w:val="Tablelist"/>
        <w:rPr>
          <w:lang w:val="en-GB"/>
        </w:rPr>
      </w:pPr>
    </w:p>
    <w:p w14:paraId="6C08A074" w14:textId="77777777" w:rsidR="00B76E6D" w:rsidRPr="00B56453" w:rsidRDefault="00B76E6D" w:rsidP="0060463E">
      <w:pPr>
        <w:pStyle w:val="Tablelist"/>
        <w:rPr>
          <w:lang w:val="en-GB"/>
        </w:rPr>
      </w:pPr>
    </w:p>
    <w:p w14:paraId="7ADF30BA" w14:textId="77777777" w:rsidR="007A5DAB" w:rsidRPr="00B56453" w:rsidRDefault="007A5DAB">
      <w:pPr>
        <w:rPr>
          <w:rFonts w:eastAsia="Lucida Sans Unicode" w:cs="Mangal"/>
          <w:kern w:val="1"/>
          <w:szCs w:val="24"/>
          <w:lang w:eastAsia="hi-IN" w:bidi="hi-IN"/>
        </w:rPr>
      </w:pPr>
      <w:r w:rsidRPr="00B56453">
        <w:br w:type="page"/>
      </w:r>
    </w:p>
    <w:p w14:paraId="0EAC7205" w14:textId="359A4894" w:rsidR="00AB73D0" w:rsidRPr="00B56453" w:rsidRDefault="004568F5" w:rsidP="00026049">
      <w:pPr>
        <w:pStyle w:val="Normal1"/>
        <w:rPr>
          <w:lang w:val="en-GB"/>
        </w:rPr>
      </w:pPr>
      <w:r w:rsidRPr="00B56453">
        <w:rPr>
          <w:lang w:val="en-GB"/>
        </w:rPr>
        <w:lastRenderedPageBreak/>
        <w:t>After iterative</w:t>
      </w:r>
      <w:r w:rsidR="00AF0BAF" w:rsidRPr="00B56453">
        <w:rPr>
          <w:lang w:val="en-GB"/>
        </w:rPr>
        <w:t xml:space="preserve"> thematic analysis, distinct themes</w:t>
      </w:r>
      <w:r w:rsidR="00274692" w:rsidRPr="00B56453">
        <w:rPr>
          <w:lang w:val="en-GB"/>
        </w:rPr>
        <w:t xml:space="preserve"> and sub-themes arose from the data </w:t>
      </w:r>
      <w:r w:rsidR="008A645B" w:rsidRPr="00B56453">
        <w:rPr>
          <w:lang w:val="en-GB"/>
        </w:rPr>
        <w:t>(</w:t>
      </w:r>
      <w:r w:rsidR="008A645B" w:rsidRPr="00B56453">
        <w:rPr>
          <w:color w:val="000000" w:themeColor="text1"/>
          <w:lang w:val="en-GB"/>
        </w:rPr>
        <w:t xml:space="preserve">see </w:t>
      </w:r>
      <w:r w:rsidR="002849FA" w:rsidRPr="00B56453">
        <w:rPr>
          <w:color w:val="000000" w:themeColor="text1"/>
          <w:lang w:val="en-GB"/>
        </w:rPr>
        <w:t>T</w:t>
      </w:r>
      <w:r w:rsidR="008A645B" w:rsidRPr="00B56453">
        <w:rPr>
          <w:color w:val="000000" w:themeColor="text1"/>
          <w:lang w:val="en-GB"/>
        </w:rPr>
        <w:t xml:space="preserve">able </w:t>
      </w:r>
      <w:r w:rsidR="00BD3D58" w:rsidRPr="00B56453">
        <w:rPr>
          <w:color w:val="000000" w:themeColor="text1"/>
          <w:lang w:val="en-GB"/>
        </w:rPr>
        <w:t>C2.</w:t>
      </w:r>
      <w:r w:rsidR="0060463E" w:rsidRPr="00B56453">
        <w:rPr>
          <w:color w:val="000000" w:themeColor="text1"/>
          <w:lang w:val="en-GB"/>
        </w:rPr>
        <w:t>3</w:t>
      </w:r>
      <w:r w:rsidR="008A645B" w:rsidRPr="00B56453">
        <w:rPr>
          <w:lang w:val="en-GB"/>
        </w:rPr>
        <w:t xml:space="preserve">). Following the analysis of themes and supporting quotes using the lenses of the research questions and </w:t>
      </w:r>
      <w:r w:rsidR="00755619" w:rsidRPr="00B56453">
        <w:rPr>
          <w:lang w:val="en-GB"/>
        </w:rPr>
        <w:t xml:space="preserve">SRL </w:t>
      </w:r>
      <w:r w:rsidR="008A645B" w:rsidRPr="00B56453">
        <w:rPr>
          <w:lang w:val="en-GB"/>
        </w:rPr>
        <w:t>theoretical framework, three conceptual models</w:t>
      </w:r>
      <w:r w:rsidR="00274692" w:rsidRPr="00B56453">
        <w:rPr>
          <w:lang w:val="en-GB"/>
        </w:rPr>
        <w:t xml:space="preserve"> of clinical learning experiences</w:t>
      </w:r>
      <w:r w:rsidR="008A645B" w:rsidRPr="00B56453">
        <w:rPr>
          <w:lang w:val="en-GB"/>
        </w:rPr>
        <w:t xml:space="preserve"> were developed</w:t>
      </w:r>
      <w:r w:rsidR="00274692" w:rsidRPr="00B56453">
        <w:rPr>
          <w:lang w:val="en-GB"/>
        </w:rPr>
        <w:t xml:space="preserve"> to </w:t>
      </w:r>
      <w:r w:rsidR="00A251B8" w:rsidRPr="00B56453">
        <w:rPr>
          <w:lang w:val="en-GB"/>
        </w:rPr>
        <w:t>illustrate the transferred impact of feedback models</w:t>
      </w:r>
      <w:r w:rsidR="008A645B" w:rsidRPr="00B56453">
        <w:rPr>
          <w:lang w:val="en-GB"/>
        </w:rPr>
        <w:t xml:space="preserve">: (1) </w:t>
      </w:r>
      <w:r w:rsidR="00C82435" w:rsidRPr="00B56453">
        <w:rPr>
          <w:lang w:val="en-GB"/>
        </w:rPr>
        <w:t>Contextual and cultural factors;</w:t>
      </w:r>
      <w:r w:rsidR="008A645B" w:rsidRPr="00B56453">
        <w:rPr>
          <w:lang w:val="en-GB"/>
        </w:rPr>
        <w:t xml:space="preserve"> (2) F</w:t>
      </w:r>
      <w:r w:rsidR="00C82435" w:rsidRPr="00B56453">
        <w:rPr>
          <w:lang w:val="en-GB"/>
        </w:rPr>
        <w:t>eedback behaviours;</w:t>
      </w:r>
      <w:r w:rsidR="008A645B" w:rsidRPr="00B56453">
        <w:rPr>
          <w:lang w:val="en-GB"/>
        </w:rPr>
        <w:t xml:space="preserve"> (3) Learning behaviours. A full set of quotes </w:t>
      </w:r>
      <w:r w:rsidR="00274692" w:rsidRPr="00B56453">
        <w:rPr>
          <w:lang w:val="en-GB"/>
        </w:rPr>
        <w:t>representing</w:t>
      </w:r>
      <w:r w:rsidR="004E3161" w:rsidRPr="00B56453">
        <w:rPr>
          <w:lang w:val="en-GB"/>
        </w:rPr>
        <w:t xml:space="preserve"> the themes </w:t>
      </w:r>
      <w:r w:rsidR="008A645B" w:rsidRPr="00B56453">
        <w:rPr>
          <w:lang w:val="en-GB"/>
        </w:rPr>
        <w:t xml:space="preserve">can be found in Appendix </w:t>
      </w:r>
      <w:r w:rsidR="00B76E6D" w:rsidRPr="00B56453">
        <w:rPr>
          <w:lang w:val="en-GB"/>
        </w:rPr>
        <w:t>2</w:t>
      </w:r>
      <w:r w:rsidR="00442DBC" w:rsidRPr="00B56453">
        <w:rPr>
          <w:lang w:val="en-GB"/>
        </w:rPr>
        <w:t>8</w:t>
      </w:r>
      <w:r w:rsidR="004E3161" w:rsidRPr="00B56453">
        <w:rPr>
          <w:lang w:val="en-GB"/>
        </w:rPr>
        <w:t xml:space="preserve"> and full conceptual models with relationships labelled with all quotes is included in Appendix </w:t>
      </w:r>
      <w:r w:rsidR="00B76E6D" w:rsidRPr="00B56453">
        <w:rPr>
          <w:lang w:val="en-GB"/>
        </w:rPr>
        <w:t>2</w:t>
      </w:r>
      <w:r w:rsidR="00442DBC" w:rsidRPr="00B56453">
        <w:rPr>
          <w:lang w:val="en-GB"/>
        </w:rPr>
        <w:t>9</w:t>
      </w:r>
      <w:r w:rsidR="008A645B" w:rsidRPr="00B56453">
        <w:rPr>
          <w:lang w:val="en-GB"/>
        </w:rPr>
        <w:t xml:space="preserve">. </w:t>
      </w:r>
      <w:r w:rsidR="00442DBC" w:rsidRPr="00B56453">
        <w:rPr>
          <w:lang w:val="en-GB"/>
        </w:rPr>
        <w:t>Key q</w:t>
      </w:r>
      <w:r w:rsidR="008A645B" w:rsidRPr="00B56453">
        <w:rPr>
          <w:lang w:val="en-GB"/>
        </w:rPr>
        <w:t>uotes</w:t>
      </w:r>
      <w:r w:rsidR="00442DBC" w:rsidRPr="00B56453">
        <w:rPr>
          <w:lang w:val="en-GB"/>
        </w:rPr>
        <w:t xml:space="preserve"> corresponding to the themes</w:t>
      </w:r>
      <w:r w:rsidR="008A645B" w:rsidRPr="00B56453">
        <w:rPr>
          <w:lang w:val="en-GB"/>
        </w:rPr>
        <w:t xml:space="preserve"> are presented </w:t>
      </w:r>
      <w:r w:rsidR="00BD3D58" w:rsidRPr="00B56453">
        <w:rPr>
          <w:lang w:val="en-GB"/>
        </w:rPr>
        <w:t>in Table C2.</w:t>
      </w:r>
      <w:r w:rsidR="0060463E" w:rsidRPr="00B56453">
        <w:rPr>
          <w:lang w:val="en-GB"/>
        </w:rPr>
        <w:t>3</w:t>
      </w:r>
      <w:r w:rsidR="008A645B" w:rsidRPr="00B56453">
        <w:rPr>
          <w:lang w:val="en-GB"/>
        </w:rPr>
        <w:t>.</w:t>
      </w:r>
    </w:p>
    <w:p w14:paraId="700ED8E1" w14:textId="77777777" w:rsidR="000D2871" w:rsidRPr="00B56453" w:rsidRDefault="000D2871" w:rsidP="00026049">
      <w:pPr>
        <w:pStyle w:val="Normal1"/>
        <w:rPr>
          <w:lang w:val="en-GB"/>
        </w:rPr>
        <w:sectPr w:rsidR="000D2871" w:rsidRPr="00B56453" w:rsidSect="003E3774">
          <w:type w:val="continuous"/>
          <w:pgSz w:w="11906" w:h="16838"/>
          <w:pgMar w:top="1134" w:right="1134" w:bottom="1134" w:left="2268" w:header="709" w:footer="709" w:gutter="0"/>
          <w:pgNumType w:start="1"/>
          <w:cols w:space="708"/>
          <w:docGrid w:linePitch="360"/>
        </w:sectPr>
      </w:pPr>
    </w:p>
    <w:tbl>
      <w:tblPr>
        <w:tblStyle w:val="TableGrid"/>
        <w:tblpPr w:leftFromText="181" w:rightFromText="181" w:vertAnchor="text" w:tblpY="-129"/>
        <w:tblOverlap w:val="never"/>
        <w:tblW w:w="13325" w:type="dxa"/>
        <w:tblLook w:val="04A0" w:firstRow="1" w:lastRow="0" w:firstColumn="1" w:lastColumn="0" w:noHBand="0" w:noVBand="1"/>
      </w:tblPr>
      <w:tblGrid>
        <w:gridCol w:w="1524"/>
        <w:gridCol w:w="1878"/>
        <w:gridCol w:w="1418"/>
        <w:gridCol w:w="8505"/>
      </w:tblGrid>
      <w:tr w:rsidR="003C7F44" w:rsidRPr="00B56453" w14:paraId="1A0B60FA" w14:textId="77777777" w:rsidTr="00B70841">
        <w:tc>
          <w:tcPr>
            <w:tcW w:w="13325" w:type="dxa"/>
            <w:gridSpan w:val="4"/>
            <w:tcBorders>
              <w:top w:val="nil"/>
              <w:left w:val="nil"/>
              <w:bottom w:val="single" w:sz="4" w:space="0" w:color="auto"/>
              <w:right w:val="nil"/>
            </w:tcBorders>
          </w:tcPr>
          <w:p w14:paraId="72BEBAA6" w14:textId="740B8293" w:rsidR="003C7F44" w:rsidRPr="00B56453" w:rsidRDefault="00BD3D58" w:rsidP="00885CB3">
            <w:pPr>
              <w:pStyle w:val="Tablelist"/>
              <w:rPr>
                <w:lang w:val="en-GB"/>
              </w:rPr>
            </w:pPr>
            <w:bookmarkStart w:id="393" w:name="_Toc487454846"/>
            <w:bookmarkStart w:id="394" w:name="_Toc487456798"/>
            <w:bookmarkStart w:id="395" w:name="_Toc500319518"/>
            <w:r w:rsidRPr="00B56453">
              <w:rPr>
                <w:lang w:val="en-GB"/>
              </w:rPr>
              <w:lastRenderedPageBreak/>
              <w:t>Table C2.</w:t>
            </w:r>
            <w:r w:rsidRPr="007638B6">
              <w:rPr>
                <w:lang w:val="en-GB"/>
              </w:rPr>
              <w:fldChar w:fldCharType="begin"/>
            </w:r>
            <w:r w:rsidRPr="00B56453">
              <w:rPr>
                <w:lang w:val="en-GB"/>
              </w:rPr>
              <w:instrText xml:space="preserve"> SEQ Table_C2. \* ARABIC </w:instrText>
            </w:r>
            <w:r w:rsidRPr="00B27F0B">
              <w:rPr>
                <w:lang w:val="en-GB"/>
              </w:rPr>
              <w:fldChar w:fldCharType="separate"/>
            </w:r>
            <w:r w:rsidR="00E44881" w:rsidRPr="00B56453">
              <w:rPr>
                <w:noProof/>
                <w:lang w:val="en-GB"/>
              </w:rPr>
              <w:t>3</w:t>
            </w:r>
            <w:r w:rsidRPr="007638B6">
              <w:rPr>
                <w:lang w:val="en-GB"/>
              </w:rPr>
              <w:fldChar w:fldCharType="end"/>
            </w:r>
            <w:r w:rsidR="003C7F44" w:rsidRPr="00B56453">
              <w:rPr>
                <w:lang w:val="en-GB"/>
              </w:rPr>
              <w:t xml:space="preserve"> Key themes and sub-themes from focus groups and interviews affecting learning and feedback behaviours</w:t>
            </w:r>
            <w:r w:rsidR="00885CB3" w:rsidRPr="00B56453">
              <w:rPr>
                <w:lang w:val="en-GB"/>
              </w:rPr>
              <w:t xml:space="preserve"> with illustrative quotes</w:t>
            </w:r>
            <w:r w:rsidR="003C7F44" w:rsidRPr="00B56453">
              <w:rPr>
                <w:lang w:val="en-GB"/>
              </w:rPr>
              <w:t>.</w:t>
            </w:r>
            <w:bookmarkEnd w:id="393"/>
            <w:bookmarkEnd w:id="394"/>
            <w:bookmarkEnd w:id="395"/>
          </w:p>
        </w:tc>
      </w:tr>
      <w:tr w:rsidR="003C7F44" w:rsidRPr="00B56453" w14:paraId="11901E9F" w14:textId="77777777" w:rsidTr="00B70841">
        <w:tc>
          <w:tcPr>
            <w:tcW w:w="1524" w:type="dxa"/>
            <w:tcBorders>
              <w:top w:val="single" w:sz="4" w:space="0" w:color="auto"/>
            </w:tcBorders>
            <w:shd w:val="clear" w:color="auto" w:fill="E7E6E6" w:themeFill="background2"/>
            <w:vAlign w:val="center"/>
          </w:tcPr>
          <w:p w14:paraId="4194153C" w14:textId="77777777" w:rsidR="003C7F44" w:rsidRPr="00B56453" w:rsidRDefault="003C7F44" w:rsidP="004E3161">
            <w:pPr>
              <w:jc w:val="center"/>
              <w:rPr>
                <w:b/>
              </w:rPr>
            </w:pPr>
            <w:r w:rsidRPr="00B56453">
              <w:rPr>
                <w:b/>
              </w:rPr>
              <w:t>Theme</w:t>
            </w:r>
          </w:p>
        </w:tc>
        <w:tc>
          <w:tcPr>
            <w:tcW w:w="1878" w:type="dxa"/>
            <w:tcBorders>
              <w:top w:val="single" w:sz="4" w:space="0" w:color="auto"/>
            </w:tcBorders>
            <w:shd w:val="clear" w:color="auto" w:fill="E7E6E6" w:themeFill="background2"/>
            <w:vAlign w:val="center"/>
          </w:tcPr>
          <w:p w14:paraId="68FF8466" w14:textId="77777777" w:rsidR="003C7F44" w:rsidRPr="00B56453" w:rsidRDefault="003C7F44" w:rsidP="004E3161">
            <w:pPr>
              <w:jc w:val="center"/>
              <w:rPr>
                <w:b/>
              </w:rPr>
            </w:pPr>
            <w:r w:rsidRPr="00B56453">
              <w:rPr>
                <w:b/>
              </w:rPr>
              <w:t>Sub-theme</w:t>
            </w:r>
          </w:p>
        </w:tc>
        <w:tc>
          <w:tcPr>
            <w:tcW w:w="1418" w:type="dxa"/>
            <w:tcBorders>
              <w:top w:val="single" w:sz="4" w:space="0" w:color="auto"/>
            </w:tcBorders>
            <w:shd w:val="clear" w:color="auto" w:fill="E7E6E6" w:themeFill="background2"/>
            <w:vAlign w:val="center"/>
          </w:tcPr>
          <w:p w14:paraId="2D872295" w14:textId="4619170A" w:rsidR="003C7F44" w:rsidRPr="00B56453" w:rsidRDefault="009F1882" w:rsidP="004E3161">
            <w:pPr>
              <w:jc w:val="center"/>
              <w:rPr>
                <w:b/>
              </w:rPr>
            </w:pPr>
            <w:r w:rsidRPr="00B56453">
              <w:rPr>
                <w:b/>
              </w:rPr>
              <w:t>Student</w:t>
            </w:r>
          </w:p>
        </w:tc>
        <w:tc>
          <w:tcPr>
            <w:tcW w:w="8505" w:type="dxa"/>
            <w:tcBorders>
              <w:top w:val="single" w:sz="4" w:space="0" w:color="auto"/>
            </w:tcBorders>
            <w:shd w:val="clear" w:color="auto" w:fill="E7E6E6" w:themeFill="background2"/>
            <w:vAlign w:val="center"/>
          </w:tcPr>
          <w:p w14:paraId="34468CB0" w14:textId="77777777" w:rsidR="003C7F44" w:rsidRPr="00B56453" w:rsidRDefault="003C7F44" w:rsidP="004E3161">
            <w:pPr>
              <w:jc w:val="center"/>
              <w:rPr>
                <w:b/>
              </w:rPr>
            </w:pPr>
            <w:r w:rsidRPr="00B56453">
              <w:rPr>
                <w:b/>
              </w:rPr>
              <w:t>Illustrative quote</w:t>
            </w:r>
          </w:p>
        </w:tc>
      </w:tr>
      <w:tr w:rsidR="003C7F44" w:rsidRPr="00B56453" w14:paraId="71173EAF" w14:textId="77777777" w:rsidTr="00B70841">
        <w:tc>
          <w:tcPr>
            <w:tcW w:w="1524" w:type="dxa"/>
            <w:vMerge w:val="restart"/>
            <w:vAlign w:val="center"/>
          </w:tcPr>
          <w:p w14:paraId="60F375B4" w14:textId="77777777" w:rsidR="003C7F44" w:rsidRPr="00B56453" w:rsidRDefault="003C7F44" w:rsidP="00BD3D58">
            <w:pPr>
              <w:jc w:val="center"/>
            </w:pPr>
            <w:r w:rsidRPr="00B56453">
              <w:t>Contextual and cultural factors</w:t>
            </w:r>
          </w:p>
        </w:tc>
        <w:tc>
          <w:tcPr>
            <w:tcW w:w="1878" w:type="dxa"/>
            <w:vAlign w:val="center"/>
          </w:tcPr>
          <w:p w14:paraId="76F76037" w14:textId="77777777" w:rsidR="003C7F44" w:rsidRPr="00B56453" w:rsidRDefault="003C7F44" w:rsidP="00BD3D58">
            <w:pPr>
              <w:jc w:val="center"/>
            </w:pPr>
            <w:r w:rsidRPr="00B56453">
              <w:t>Characteristics of the learning environment</w:t>
            </w:r>
          </w:p>
        </w:tc>
        <w:tc>
          <w:tcPr>
            <w:tcW w:w="1418" w:type="dxa"/>
            <w:vAlign w:val="center"/>
          </w:tcPr>
          <w:p w14:paraId="0B33186B" w14:textId="18F505B1" w:rsidR="003C7F44" w:rsidRPr="00B56453" w:rsidRDefault="009045D2" w:rsidP="004E3161">
            <w:pPr>
              <w:jc w:val="center"/>
            </w:pPr>
            <w:r w:rsidRPr="00B56453">
              <w:t>G5 - 1</w:t>
            </w:r>
          </w:p>
        </w:tc>
        <w:tc>
          <w:tcPr>
            <w:tcW w:w="8505" w:type="dxa"/>
          </w:tcPr>
          <w:p w14:paraId="423C6CDB" w14:textId="77777777" w:rsidR="003C7F44" w:rsidRPr="00B56453" w:rsidRDefault="003C7F44" w:rsidP="00755619">
            <w:pPr>
              <w:spacing w:line="276" w:lineRule="auto"/>
              <w:rPr>
                <w:i/>
              </w:rPr>
            </w:pPr>
            <w:r w:rsidRPr="00B56453">
              <w:rPr>
                <w:b/>
                <w:i/>
              </w:rPr>
              <w:t>Interviewer:</w:t>
            </w:r>
            <w:r w:rsidRPr="00B56453">
              <w:rPr>
                <w:i/>
              </w:rPr>
              <w:t xml:space="preserve"> “why have you chosen to go to clinics?”</w:t>
            </w:r>
          </w:p>
          <w:p w14:paraId="2328D8F0" w14:textId="2658E3C6" w:rsidR="003C7F44" w:rsidRPr="00B56453" w:rsidRDefault="00BD3D58" w:rsidP="00755619">
            <w:pPr>
              <w:spacing w:line="276" w:lineRule="auto"/>
              <w:rPr>
                <w:i/>
              </w:rPr>
            </w:pPr>
            <w:r w:rsidRPr="00B56453">
              <w:rPr>
                <w:b/>
                <w:i/>
              </w:rPr>
              <w:t>Student</w:t>
            </w:r>
            <w:r w:rsidR="003C7F44" w:rsidRPr="00B56453">
              <w:rPr>
                <w:b/>
                <w:i/>
              </w:rPr>
              <w:t>:</w:t>
            </w:r>
            <w:r w:rsidR="003C7F44" w:rsidRPr="00B56453">
              <w:rPr>
                <w:i/>
              </w:rPr>
              <w:t xml:space="preserve"> “because I can actually see patients myself, I’ve got OSCEs coming up so going to theatre is of no benefit to me, I don’t speak to any patients, no communications skills to improve. It’s either sit or stand for two hours, or speak to some patients and get feedback on examinations which is helpful for me at this stage.”</w:t>
            </w:r>
          </w:p>
        </w:tc>
      </w:tr>
      <w:tr w:rsidR="003C7F44" w:rsidRPr="00B56453" w14:paraId="0C336337" w14:textId="77777777" w:rsidTr="00B70841">
        <w:tc>
          <w:tcPr>
            <w:tcW w:w="1524" w:type="dxa"/>
            <w:vMerge/>
            <w:vAlign w:val="center"/>
          </w:tcPr>
          <w:p w14:paraId="23CCB510" w14:textId="77777777" w:rsidR="003C7F44" w:rsidRPr="00B56453" w:rsidRDefault="003C7F44" w:rsidP="00BD3D58">
            <w:pPr>
              <w:jc w:val="center"/>
            </w:pPr>
          </w:p>
        </w:tc>
        <w:tc>
          <w:tcPr>
            <w:tcW w:w="1878" w:type="dxa"/>
            <w:vAlign w:val="center"/>
          </w:tcPr>
          <w:p w14:paraId="7F4AF974" w14:textId="77777777" w:rsidR="003C7F44" w:rsidRPr="00B56453" w:rsidRDefault="003C7F44" w:rsidP="00BD3D58">
            <w:pPr>
              <w:jc w:val="center"/>
            </w:pPr>
            <w:r w:rsidRPr="00B56453">
              <w:t>Workplace culture</w:t>
            </w:r>
          </w:p>
        </w:tc>
        <w:tc>
          <w:tcPr>
            <w:tcW w:w="1418" w:type="dxa"/>
            <w:vAlign w:val="center"/>
          </w:tcPr>
          <w:p w14:paraId="7A50E4C0" w14:textId="1E996188" w:rsidR="003C7F44" w:rsidRPr="00B56453" w:rsidRDefault="009045D2" w:rsidP="004E3161">
            <w:pPr>
              <w:jc w:val="center"/>
            </w:pPr>
            <w:r w:rsidRPr="00B56453">
              <w:t>G3 - 2</w:t>
            </w:r>
          </w:p>
        </w:tc>
        <w:tc>
          <w:tcPr>
            <w:tcW w:w="8505" w:type="dxa"/>
          </w:tcPr>
          <w:p w14:paraId="0C64A5A5" w14:textId="77777777" w:rsidR="003C7F44" w:rsidRPr="00B56453" w:rsidRDefault="003C7F44" w:rsidP="00755619">
            <w:pPr>
              <w:spacing w:line="276" w:lineRule="auto"/>
              <w:rPr>
                <w:i/>
              </w:rPr>
            </w:pPr>
            <w:r w:rsidRPr="00B56453">
              <w:rPr>
                <w:i/>
              </w:rPr>
              <w:t>“Since going on the ward round I’m more familiar with the patients and how the ward works. I can be more independent in that I can speak to patients by myself and I’ll ask if bloods need doing, go off and read some patient notes so generally getting more comfortable around the wards. When I’m on the ward for the first time I don’t know how things work and the etiquette, I don’t want to get in the way.”</w:t>
            </w:r>
          </w:p>
        </w:tc>
      </w:tr>
      <w:tr w:rsidR="003C7F44" w:rsidRPr="00B56453" w14:paraId="538BAC13" w14:textId="77777777" w:rsidTr="00B70841">
        <w:tc>
          <w:tcPr>
            <w:tcW w:w="1524" w:type="dxa"/>
            <w:vMerge/>
            <w:vAlign w:val="center"/>
          </w:tcPr>
          <w:p w14:paraId="2A71F845" w14:textId="77777777" w:rsidR="003C7F44" w:rsidRPr="00B56453" w:rsidRDefault="003C7F44" w:rsidP="00BD3D58">
            <w:pPr>
              <w:jc w:val="center"/>
            </w:pPr>
          </w:p>
        </w:tc>
        <w:tc>
          <w:tcPr>
            <w:tcW w:w="1878" w:type="dxa"/>
            <w:vAlign w:val="center"/>
          </w:tcPr>
          <w:p w14:paraId="714E26E3" w14:textId="77777777" w:rsidR="003C7F44" w:rsidRPr="00B56453" w:rsidRDefault="003C7F44" w:rsidP="00BD3D58">
            <w:pPr>
              <w:jc w:val="center"/>
            </w:pPr>
            <w:r w:rsidRPr="00B56453">
              <w:t>Recognition and awareness of the team</w:t>
            </w:r>
          </w:p>
        </w:tc>
        <w:tc>
          <w:tcPr>
            <w:tcW w:w="1418" w:type="dxa"/>
            <w:vAlign w:val="center"/>
          </w:tcPr>
          <w:p w14:paraId="5E36B8AA" w14:textId="2CF9AEEC" w:rsidR="003C7F44" w:rsidRPr="00B56453" w:rsidRDefault="009045D2" w:rsidP="004E3161">
            <w:pPr>
              <w:jc w:val="center"/>
            </w:pPr>
            <w:r w:rsidRPr="00B56453">
              <w:t>G7 - 1</w:t>
            </w:r>
          </w:p>
        </w:tc>
        <w:tc>
          <w:tcPr>
            <w:tcW w:w="8505" w:type="dxa"/>
          </w:tcPr>
          <w:p w14:paraId="745748AB" w14:textId="77777777" w:rsidR="003C7F44" w:rsidRPr="00B56453" w:rsidRDefault="003C7F44" w:rsidP="00755619">
            <w:pPr>
              <w:spacing w:line="276" w:lineRule="auto"/>
              <w:rPr>
                <w:i/>
              </w:rPr>
            </w:pPr>
            <w:r w:rsidRPr="00B56453">
              <w:rPr>
                <w:i/>
              </w:rPr>
              <w:t>“The F1 has asked me if I need mini-CEX’s done and because I’ve helped out on the ward round they ask to help me get those done. It’s almost like an exchange. Trying to be as friendly as possible to them made them be friendly back. I think they like me. It definitely made it like we were part of the team which did make a big difference I think.”</w:t>
            </w:r>
          </w:p>
        </w:tc>
      </w:tr>
      <w:tr w:rsidR="003C7F44" w:rsidRPr="00B56453" w14:paraId="06F484DC" w14:textId="77777777" w:rsidTr="00B70841">
        <w:tc>
          <w:tcPr>
            <w:tcW w:w="1524" w:type="dxa"/>
            <w:vMerge w:val="restart"/>
            <w:vAlign w:val="center"/>
          </w:tcPr>
          <w:p w14:paraId="30553ABB" w14:textId="77777777" w:rsidR="003C7F44" w:rsidRPr="00B56453" w:rsidRDefault="003C7F44" w:rsidP="00BD3D58">
            <w:pPr>
              <w:jc w:val="center"/>
            </w:pPr>
            <w:r w:rsidRPr="00B56453">
              <w:t>Stage of learning and development</w:t>
            </w:r>
          </w:p>
        </w:tc>
        <w:tc>
          <w:tcPr>
            <w:tcW w:w="1878" w:type="dxa"/>
            <w:vAlign w:val="center"/>
          </w:tcPr>
          <w:p w14:paraId="50BAEC01" w14:textId="77777777" w:rsidR="003C7F44" w:rsidRPr="00B56453" w:rsidRDefault="003C7F44" w:rsidP="00BD3D58">
            <w:pPr>
              <w:jc w:val="center"/>
            </w:pPr>
            <w:r w:rsidRPr="00B56453">
              <w:t>Learning priorities</w:t>
            </w:r>
          </w:p>
        </w:tc>
        <w:tc>
          <w:tcPr>
            <w:tcW w:w="1418" w:type="dxa"/>
            <w:vAlign w:val="center"/>
          </w:tcPr>
          <w:p w14:paraId="03FD025A" w14:textId="63F546A8" w:rsidR="003C7F44" w:rsidRPr="00B56453" w:rsidRDefault="00525706" w:rsidP="004E3161">
            <w:pPr>
              <w:jc w:val="center"/>
            </w:pPr>
            <w:r w:rsidRPr="00B56453">
              <w:t>FG5 - SRLF</w:t>
            </w:r>
          </w:p>
          <w:p w14:paraId="2DFCB490" w14:textId="1C4FE095" w:rsidR="00632B0D" w:rsidRPr="00B56453" w:rsidRDefault="00632B0D" w:rsidP="004E3161">
            <w:pPr>
              <w:jc w:val="center"/>
            </w:pPr>
            <w:r w:rsidRPr="00B56453">
              <w:t>Student 7</w:t>
            </w:r>
          </w:p>
        </w:tc>
        <w:tc>
          <w:tcPr>
            <w:tcW w:w="8505" w:type="dxa"/>
          </w:tcPr>
          <w:p w14:paraId="52A7B5C1" w14:textId="77777777" w:rsidR="003C7F44" w:rsidRPr="00B56453" w:rsidRDefault="003C7F44" w:rsidP="00755619">
            <w:pPr>
              <w:spacing w:line="276" w:lineRule="auto"/>
              <w:rPr>
                <w:i/>
              </w:rPr>
            </w:pPr>
            <w:r w:rsidRPr="00B56453">
              <w:rPr>
                <w:i/>
              </w:rPr>
              <w:t>“It sounds bad but I associate good feedback with what is going to help us in our exams which sounds bad but we have OSCEs soon. It’s the practical use.”</w:t>
            </w:r>
          </w:p>
        </w:tc>
      </w:tr>
      <w:tr w:rsidR="003C7F44" w:rsidRPr="00B56453" w14:paraId="11C72D69" w14:textId="77777777" w:rsidTr="00B70841">
        <w:tc>
          <w:tcPr>
            <w:tcW w:w="1524" w:type="dxa"/>
            <w:vMerge/>
            <w:vAlign w:val="center"/>
          </w:tcPr>
          <w:p w14:paraId="6D9993EE" w14:textId="77777777" w:rsidR="003C7F44" w:rsidRPr="00B56453" w:rsidRDefault="003C7F44" w:rsidP="00BD3D58">
            <w:pPr>
              <w:jc w:val="center"/>
            </w:pPr>
          </w:p>
        </w:tc>
        <w:tc>
          <w:tcPr>
            <w:tcW w:w="1878" w:type="dxa"/>
            <w:vAlign w:val="center"/>
          </w:tcPr>
          <w:p w14:paraId="37CD1184" w14:textId="77777777" w:rsidR="003C7F44" w:rsidRPr="00B56453" w:rsidRDefault="003C7F44" w:rsidP="00BD3D58">
            <w:pPr>
              <w:jc w:val="center"/>
            </w:pPr>
            <w:r w:rsidRPr="00B56453">
              <w:t>Personal and professional progression</w:t>
            </w:r>
          </w:p>
        </w:tc>
        <w:tc>
          <w:tcPr>
            <w:tcW w:w="1418" w:type="dxa"/>
            <w:vAlign w:val="center"/>
          </w:tcPr>
          <w:p w14:paraId="2D34FDAA" w14:textId="19993D39" w:rsidR="003C7F44" w:rsidRPr="00B56453" w:rsidRDefault="00525706" w:rsidP="004E3161">
            <w:pPr>
              <w:jc w:val="center"/>
            </w:pPr>
            <w:r w:rsidRPr="00B56453">
              <w:t>FG6 - BPF</w:t>
            </w:r>
          </w:p>
          <w:p w14:paraId="5125B8C3" w14:textId="64F41CAD" w:rsidR="00632B0D" w:rsidRPr="00B56453" w:rsidRDefault="00632B0D" w:rsidP="004E3161">
            <w:pPr>
              <w:jc w:val="center"/>
            </w:pPr>
            <w:r w:rsidRPr="00B56453">
              <w:t>Student 2</w:t>
            </w:r>
          </w:p>
        </w:tc>
        <w:tc>
          <w:tcPr>
            <w:tcW w:w="8505" w:type="dxa"/>
          </w:tcPr>
          <w:p w14:paraId="2F2DF971" w14:textId="77777777" w:rsidR="003C7F44" w:rsidRPr="00B56453" w:rsidRDefault="003C7F44" w:rsidP="00755619">
            <w:pPr>
              <w:spacing w:line="276" w:lineRule="auto"/>
              <w:rPr>
                <w:i/>
              </w:rPr>
            </w:pPr>
            <w:r w:rsidRPr="00B56453">
              <w:rPr>
                <w:i/>
              </w:rPr>
              <w:t>“It’s different. The first two years is just ‘how can I learn this better? How can I understand more things?’ but now in our clinical years, it’s more like ‘how can I function better with the team? How do I be more efficient when I’m working with the team? How do I help the patient better?’ it’s gone from academic to a more holistic professional mind-set.”</w:t>
            </w:r>
          </w:p>
        </w:tc>
      </w:tr>
      <w:tr w:rsidR="003C7F44" w:rsidRPr="00B56453" w14:paraId="615A31AA" w14:textId="77777777" w:rsidTr="00B70841">
        <w:tc>
          <w:tcPr>
            <w:tcW w:w="1524" w:type="dxa"/>
            <w:vMerge w:val="restart"/>
            <w:vAlign w:val="center"/>
          </w:tcPr>
          <w:p w14:paraId="2125C1F4" w14:textId="77777777" w:rsidR="003C7F44" w:rsidRPr="00B56453" w:rsidRDefault="003C7F44" w:rsidP="00BD3D58">
            <w:pPr>
              <w:jc w:val="center"/>
            </w:pPr>
            <w:r w:rsidRPr="00B56453">
              <w:t>Supervisor factors</w:t>
            </w:r>
          </w:p>
        </w:tc>
        <w:tc>
          <w:tcPr>
            <w:tcW w:w="1878" w:type="dxa"/>
            <w:vAlign w:val="center"/>
          </w:tcPr>
          <w:p w14:paraId="408E78F2" w14:textId="77777777" w:rsidR="003C7F44" w:rsidRPr="00B56453" w:rsidRDefault="003C7F44" w:rsidP="00BD3D58">
            <w:pPr>
              <w:jc w:val="center"/>
            </w:pPr>
            <w:r w:rsidRPr="00B56453">
              <w:t>Supportive</w:t>
            </w:r>
          </w:p>
        </w:tc>
        <w:tc>
          <w:tcPr>
            <w:tcW w:w="1418" w:type="dxa"/>
            <w:vAlign w:val="center"/>
          </w:tcPr>
          <w:p w14:paraId="34C2A472" w14:textId="466ECC26" w:rsidR="003C7F44" w:rsidRPr="00B56453" w:rsidRDefault="009045D2" w:rsidP="004E3161">
            <w:pPr>
              <w:jc w:val="center"/>
            </w:pPr>
            <w:r w:rsidRPr="00B56453">
              <w:t>G4 - 2</w:t>
            </w:r>
          </w:p>
        </w:tc>
        <w:tc>
          <w:tcPr>
            <w:tcW w:w="8505" w:type="dxa"/>
          </w:tcPr>
          <w:p w14:paraId="2A2B7CA9" w14:textId="77777777" w:rsidR="003C7F44" w:rsidRPr="00B56453" w:rsidRDefault="003C7F44" w:rsidP="00755619">
            <w:pPr>
              <w:spacing w:line="276" w:lineRule="auto"/>
              <w:rPr>
                <w:i/>
              </w:rPr>
            </w:pPr>
            <w:r w:rsidRPr="00B56453">
              <w:rPr>
                <w:i/>
              </w:rPr>
              <w:t xml:space="preserve">“My relationship with the F1 is good. I think it makes it easier for her to give me feedback because if she didn’t know me that well then she wouldn’t really know my flaws or how to criticise me in a sense. But because we have a good relationship it’s </w:t>
            </w:r>
            <w:r w:rsidRPr="00B56453">
              <w:rPr>
                <w:i/>
              </w:rPr>
              <w:lastRenderedPageBreak/>
              <w:t>more like it’s informal and formal. She can tell “wait try it this way” or if I ask her for formal feedback on a mini-CEX for example she’s happy to do it, and if she knows me she can tell me the good bits and the bad bits as well which is really good.”</w:t>
            </w:r>
          </w:p>
        </w:tc>
      </w:tr>
      <w:tr w:rsidR="003C7F44" w:rsidRPr="00B56453" w14:paraId="525A9C00" w14:textId="77777777" w:rsidTr="00B70841">
        <w:tc>
          <w:tcPr>
            <w:tcW w:w="1524" w:type="dxa"/>
            <w:vMerge/>
            <w:vAlign w:val="center"/>
          </w:tcPr>
          <w:p w14:paraId="5C303187" w14:textId="77777777" w:rsidR="003C7F44" w:rsidRPr="00B56453" w:rsidRDefault="003C7F44" w:rsidP="00BD3D58">
            <w:pPr>
              <w:jc w:val="center"/>
            </w:pPr>
          </w:p>
        </w:tc>
        <w:tc>
          <w:tcPr>
            <w:tcW w:w="1878" w:type="dxa"/>
            <w:vAlign w:val="center"/>
          </w:tcPr>
          <w:p w14:paraId="3FE90207" w14:textId="77777777" w:rsidR="003C7F44" w:rsidRPr="00B56453" w:rsidRDefault="003C7F44" w:rsidP="00BD3D58">
            <w:pPr>
              <w:jc w:val="center"/>
            </w:pPr>
            <w:r w:rsidRPr="00B56453">
              <w:t>Credibility</w:t>
            </w:r>
          </w:p>
        </w:tc>
        <w:tc>
          <w:tcPr>
            <w:tcW w:w="1418" w:type="dxa"/>
            <w:vAlign w:val="center"/>
          </w:tcPr>
          <w:p w14:paraId="68FF954A" w14:textId="0702D727" w:rsidR="003C7F44" w:rsidRPr="00B56453" w:rsidRDefault="009045D2" w:rsidP="004E3161">
            <w:pPr>
              <w:jc w:val="center"/>
            </w:pPr>
            <w:r w:rsidRPr="00B56453">
              <w:t>G5 - 1</w:t>
            </w:r>
          </w:p>
        </w:tc>
        <w:tc>
          <w:tcPr>
            <w:tcW w:w="8505" w:type="dxa"/>
          </w:tcPr>
          <w:p w14:paraId="300F346A" w14:textId="77777777" w:rsidR="003C7F44" w:rsidRPr="00B56453" w:rsidRDefault="003C7F44" w:rsidP="00755619">
            <w:pPr>
              <w:spacing w:line="276" w:lineRule="auto"/>
              <w:rPr>
                <w:i/>
              </w:rPr>
            </w:pPr>
            <w:r w:rsidRPr="00B56453">
              <w:rPr>
                <w:i/>
              </w:rPr>
              <w:t>“I’m not going to take it personally if an orthopaedic surgeon tells me I need to improve my anatomy because I probably do but if he says I need to improve my communication skills I would think that he’s seen me for five minutes and not with a patient so it’s not got much grounding. It’s difficult because they know more than I do about medicine and I should be taking it and being on board with what they say but it’s difficult when I don’t have a relationship with them.”</w:t>
            </w:r>
          </w:p>
        </w:tc>
      </w:tr>
      <w:tr w:rsidR="003C7F44" w:rsidRPr="00B56453" w14:paraId="459D04B7" w14:textId="77777777" w:rsidTr="00B70841">
        <w:tc>
          <w:tcPr>
            <w:tcW w:w="1524" w:type="dxa"/>
            <w:vMerge w:val="restart"/>
            <w:vAlign w:val="center"/>
          </w:tcPr>
          <w:p w14:paraId="791F8F80" w14:textId="77777777" w:rsidR="003C7F44" w:rsidRPr="00B56453" w:rsidRDefault="003C7F44" w:rsidP="00BD3D58">
            <w:pPr>
              <w:jc w:val="center"/>
            </w:pPr>
            <w:r w:rsidRPr="00B56453">
              <w:t>Individual factors</w:t>
            </w:r>
          </w:p>
        </w:tc>
        <w:tc>
          <w:tcPr>
            <w:tcW w:w="1878" w:type="dxa"/>
            <w:vAlign w:val="center"/>
          </w:tcPr>
          <w:p w14:paraId="4AD12A18" w14:textId="77777777" w:rsidR="003C7F44" w:rsidRPr="00B56453" w:rsidRDefault="003C7F44" w:rsidP="00BD3D58">
            <w:pPr>
              <w:jc w:val="center"/>
            </w:pPr>
            <w:r w:rsidRPr="00B56453">
              <w:t>Self-confidence</w:t>
            </w:r>
          </w:p>
        </w:tc>
        <w:tc>
          <w:tcPr>
            <w:tcW w:w="1418" w:type="dxa"/>
            <w:vAlign w:val="center"/>
          </w:tcPr>
          <w:p w14:paraId="5548B9A7" w14:textId="2AB07019" w:rsidR="003C7F44" w:rsidRPr="00B56453" w:rsidRDefault="00525706" w:rsidP="004E3161">
            <w:pPr>
              <w:jc w:val="center"/>
            </w:pPr>
            <w:r w:rsidRPr="00B56453">
              <w:t>FG2 - SRLF</w:t>
            </w:r>
          </w:p>
        </w:tc>
        <w:tc>
          <w:tcPr>
            <w:tcW w:w="8505" w:type="dxa"/>
          </w:tcPr>
          <w:p w14:paraId="4E5A2642" w14:textId="36DB6736" w:rsidR="003C7F44" w:rsidRPr="00B56453" w:rsidRDefault="003C7F44" w:rsidP="00755619">
            <w:pPr>
              <w:spacing w:line="276" w:lineRule="auto"/>
              <w:rPr>
                <w:i/>
              </w:rPr>
            </w:pPr>
            <w:r w:rsidRPr="00B56453">
              <w:rPr>
                <w:i/>
              </w:rPr>
              <w:t>"</w:t>
            </w:r>
            <w:r w:rsidR="00B07929" w:rsidRPr="00B56453">
              <w:rPr>
                <w:b/>
                <w:i/>
              </w:rPr>
              <w:t>Student 2</w:t>
            </w:r>
            <w:r w:rsidRPr="00B56453">
              <w:rPr>
                <w:b/>
                <w:i/>
              </w:rPr>
              <w:t>:</w:t>
            </w:r>
            <w:r w:rsidRPr="00B56453">
              <w:rPr>
                <w:i/>
              </w:rPr>
              <w:t xml:space="preserve"> it’s hard to approach some of them for feedback, if they’re telling you to help you then that’s fine but when they’re just telling you to make you feel bad then you won’t listen to it.</w:t>
            </w:r>
          </w:p>
          <w:p w14:paraId="737A8478" w14:textId="713F63A9" w:rsidR="003C7F44" w:rsidRPr="00B56453" w:rsidRDefault="00B07929" w:rsidP="00755619">
            <w:pPr>
              <w:spacing w:line="276" w:lineRule="auto"/>
              <w:rPr>
                <w:i/>
              </w:rPr>
            </w:pPr>
            <w:r w:rsidRPr="00B56453">
              <w:rPr>
                <w:b/>
                <w:i/>
              </w:rPr>
              <w:t>Student 1</w:t>
            </w:r>
            <w:r w:rsidR="003C7F44" w:rsidRPr="00B56453">
              <w:rPr>
                <w:b/>
                <w:i/>
              </w:rPr>
              <w:t>:</w:t>
            </w:r>
            <w:r w:rsidR="003C7F44" w:rsidRPr="00B56453">
              <w:rPr>
                <w:i/>
              </w:rPr>
              <w:t xml:space="preserve"> if it is negative and I can tell it’s not meant to help me move forward, I disregard it.</w:t>
            </w:r>
          </w:p>
          <w:p w14:paraId="62071AD3" w14:textId="394103BB" w:rsidR="003C7F44" w:rsidRPr="00B56453" w:rsidRDefault="00B07929" w:rsidP="00755619">
            <w:pPr>
              <w:spacing w:line="276" w:lineRule="auto"/>
              <w:rPr>
                <w:i/>
              </w:rPr>
            </w:pPr>
            <w:r w:rsidRPr="00B56453">
              <w:rPr>
                <w:b/>
                <w:i/>
              </w:rPr>
              <w:t>Student 5</w:t>
            </w:r>
            <w:r w:rsidR="003C7F44" w:rsidRPr="00B56453">
              <w:rPr>
                <w:b/>
                <w:i/>
              </w:rPr>
              <w:t>:</w:t>
            </w:r>
            <w:r w:rsidR="003C7F44" w:rsidRPr="00B56453">
              <w:rPr>
                <w:i/>
              </w:rPr>
              <w:t xml:space="preserve"> it knocks your confidence"</w:t>
            </w:r>
          </w:p>
        </w:tc>
      </w:tr>
      <w:tr w:rsidR="003C7F44" w:rsidRPr="00B56453" w14:paraId="67490CFB" w14:textId="77777777" w:rsidTr="00B70841">
        <w:tc>
          <w:tcPr>
            <w:tcW w:w="1524" w:type="dxa"/>
            <w:vMerge/>
          </w:tcPr>
          <w:p w14:paraId="33CAC82F" w14:textId="77777777" w:rsidR="003C7F44" w:rsidRPr="00B56453" w:rsidRDefault="003C7F44" w:rsidP="00BD3D58">
            <w:pPr>
              <w:jc w:val="center"/>
            </w:pPr>
          </w:p>
        </w:tc>
        <w:tc>
          <w:tcPr>
            <w:tcW w:w="1878" w:type="dxa"/>
            <w:vAlign w:val="center"/>
          </w:tcPr>
          <w:p w14:paraId="056E758A" w14:textId="77777777" w:rsidR="003C7F44" w:rsidRPr="00B56453" w:rsidRDefault="003C7F44" w:rsidP="00BD3D58">
            <w:pPr>
              <w:jc w:val="center"/>
            </w:pPr>
            <w:r w:rsidRPr="00B56453">
              <w:t>Planning and monitoring</w:t>
            </w:r>
          </w:p>
        </w:tc>
        <w:tc>
          <w:tcPr>
            <w:tcW w:w="1418" w:type="dxa"/>
            <w:vAlign w:val="center"/>
          </w:tcPr>
          <w:p w14:paraId="799FE707" w14:textId="39CC47C6" w:rsidR="003C7F44" w:rsidRPr="00B56453" w:rsidRDefault="00525706" w:rsidP="004E3161">
            <w:pPr>
              <w:jc w:val="center"/>
            </w:pPr>
            <w:r w:rsidRPr="00B56453">
              <w:t>FG2 - SRLF</w:t>
            </w:r>
          </w:p>
        </w:tc>
        <w:tc>
          <w:tcPr>
            <w:tcW w:w="8505" w:type="dxa"/>
          </w:tcPr>
          <w:p w14:paraId="16D006F0" w14:textId="2869A3FC" w:rsidR="003C7F44" w:rsidRPr="00B56453" w:rsidRDefault="003C7F44" w:rsidP="00755619">
            <w:pPr>
              <w:spacing w:line="276" w:lineRule="auto"/>
              <w:rPr>
                <w:i/>
              </w:rPr>
            </w:pPr>
            <w:r w:rsidRPr="00B56453">
              <w:rPr>
                <w:i/>
              </w:rPr>
              <w:t>“</w:t>
            </w:r>
            <w:r w:rsidR="00B07929" w:rsidRPr="00B56453">
              <w:rPr>
                <w:b/>
                <w:i/>
              </w:rPr>
              <w:t xml:space="preserve">Student </w:t>
            </w:r>
            <w:r w:rsidR="00442DBC" w:rsidRPr="00B56453">
              <w:rPr>
                <w:b/>
                <w:i/>
              </w:rPr>
              <w:t>12</w:t>
            </w:r>
            <w:r w:rsidRPr="00B56453">
              <w:rPr>
                <w:b/>
                <w:i/>
              </w:rPr>
              <w:t>:</w:t>
            </w:r>
            <w:r w:rsidRPr="00B56453">
              <w:rPr>
                <w:i/>
              </w:rPr>
              <w:t xml:space="preserve"> I have an idea of what we want to do each day, I can map it out on my timetable. Because the patients are so variable, you can’t definitely do what you set out to do in the day, some days are better than others.</w:t>
            </w:r>
          </w:p>
          <w:p w14:paraId="066EE4B8" w14:textId="323682CF" w:rsidR="003C7F44" w:rsidRPr="00B56453" w:rsidRDefault="00442DBC" w:rsidP="00755619">
            <w:pPr>
              <w:spacing w:line="276" w:lineRule="auto"/>
              <w:rPr>
                <w:i/>
              </w:rPr>
            </w:pPr>
            <w:r w:rsidRPr="00B56453">
              <w:rPr>
                <w:b/>
                <w:i/>
              </w:rPr>
              <w:t>Student 7</w:t>
            </w:r>
            <w:r w:rsidR="003C7F44" w:rsidRPr="00B56453">
              <w:rPr>
                <w:b/>
                <w:i/>
              </w:rPr>
              <w:t>:</w:t>
            </w:r>
            <w:r w:rsidR="003C7F44" w:rsidRPr="00B56453">
              <w:rPr>
                <w:i/>
              </w:rPr>
              <w:t xml:space="preserve"> we have a mental checklist of the stuff we have to get done over the three weeks as opposed to day-to-day”</w:t>
            </w:r>
          </w:p>
        </w:tc>
      </w:tr>
      <w:tr w:rsidR="003C7F44" w:rsidRPr="00B56453" w14:paraId="78484F55" w14:textId="77777777" w:rsidTr="00B70841">
        <w:tc>
          <w:tcPr>
            <w:tcW w:w="1524" w:type="dxa"/>
            <w:vMerge/>
          </w:tcPr>
          <w:p w14:paraId="7883E47A" w14:textId="77777777" w:rsidR="003C7F44" w:rsidRPr="00B56453" w:rsidRDefault="003C7F44" w:rsidP="00BD3D58">
            <w:pPr>
              <w:jc w:val="center"/>
            </w:pPr>
          </w:p>
        </w:tc>
        <w:tc>
          <w:tcPr>
            <w:tcW w:w="1878" w:type="dxa"/>
            <w:vAlign w:val="center"/>
          </w:tcPr>
          <w:p w14:paraId="76E120B7" w14:textId="77777777" w:rsidR="003C7F44" w:rsidRPr="00B56453" w:rsidRDefault="003C7F44" w:rsidP="00BD3D58">
            <w:pPr>
              <w:jc w:val="center"/>
            </w:pPr>
            <w:r w:rsidRPr="00B56453">
              <w:t>Self-evaluation</w:t>
            </w:r>
          </w:p>
        </w:tc>
        <w:tc>
          <w:tcPr>
            <w:tcW w:w="1418" w:type="dxa"/>
            <w:vAlign w:val="center"/>
          </w:tcPr>
          <w:p w14:paraId="35B10B2F" w14:textId="7C331931" w:rsidR="003C7F44" w:rsidRPr="00B56453" w:rsidRDefault="009045D2" w:rsidP="004E3161">
            <w:pPr>
              <w:jc w:val="center"/>
            </w:pPr>
            <w:r w:rsidRPr="00B56453">
              <w:t>G3 - 1</w:t>
            </w:r>
          </w:p>
        </w:tc>
        <w:tc>
          <w:tcPr>
            <w:tcW w:w="8505" w:type="dxa"/>
          </w:tcPr>
          <w:p w14:paraId="6406E9E8" w14:textId="051BA188" w:rsidR="003C7F44" w:rsidRPr="00B56453" w:rsidRDefault="00E121C9" w:rsidP="00755619">
            <w:pPr>
              <w:spacing w:line="276" w:lineRule="auto"/>
              <w:rPr>
                <w:i/>
              </w:rPr>
            </w:pPr>
            <w:r w:rsidRPr="00B56453">
              <w:rPr>
                <w:i/>
              </w:rPr>
              <w:t>“In the moment I just accept it, I can’t say “no” (laughs). Then when I reflect upon it later or if I discuss it with someone else and ask them “have you thought this about me?” or “do you think I’m bad in this area?” then I think about it more. That’s when I decide if they’re right or wrong, sometimes they can be right and sometimes they can be very wrong it just depends what happens when I reflect upon it.</w:t>
            </w:r>
            <w:r w:rsidR="003C7F44" w:rsidRPr="00B56453">
              <w:rPr>
                <w:i/>
              </w:rPr>
              <w:t>”</w:t>
            </w:r>
          </w:p>
        </w:tc>
      </w:tr>
      <w:tr w:rsidR="003C7F44" w:rsidRPr="00B56453" w14:paraId="06158F78" w14:textId="77777777" w:rsidTr="00B70841">
        <w:tc>
          <w:tcPr>
            <w:tcW w:w="13325" w:type="dxa"/>
            <w:gridSpan w:val="4"/>
          </w:tcPr>
          <w:p w14:paraId="091858DB" w14:textId="74D49DBC" w:rsidR="003C7F44" w:rsidRPr="00B56453" w:rsidRDefault="006930D6" w:rsidP="006930D6">
            <w:r w:rsidRPr="00B56453">
              <w:rPr>
                <w:b/>
              </w:rPr>
              <w:t>B</w:t>
            </w:r>
            <w:r w:rsidR="003D5BB6" w:rsidRPr="00B56453">
              <w:rPr>
                <w:b/>
              </w:rPr>
              <w:t>old</w:t>
            </w:r>
            <w:r w:rsidR="003D5BB6" w:rsidRPr="00B56453">
              <w:t xml:space="preserve"> indicates different speakers.</w:t>
            </w:r>
          </w:p>
        </w:tc>
      </w:tr>
    </w:tbl>
    <w:p w14:paraId="5EE18674" w14:textId="77777777" w:rsidR="004D6CB6" w:rsidRPr="00B56453" w:rsidRDefault="004D6CB6" w:rsidP="00AF0BAF"/>
    <w:p w14:paraId="1F8DD473" w14:textId="77777777" w:rsidR="004D6CB6" w:rsidRPr="00B56453" w:rsidRDefault="004D6CB6" w:rsidP="00AF0BAF"/>
    <w:p w14:paraId="63735419" w14:textId="77777777" w:rsidR="000D2871" w:rsidRPr="00B56453" w:rsidRDefault="000D2871" w:rsidP="00AF0BAF">
      <w:pPr>
        <w:rPr>
          <w:rFonts w:eastAsiaTheme="majorEastAsia" w:cstheme="majorBidi"/>
          <w:b/>
          <w:i/>
          <w:szCs w:val="24"/>
        </w:rPr>
        <w:sectPr w:rsidR="000D2871" w:rsidRPr="00B56453" w:rsidSect="007C73DC">
          <w:pgSz w:w="16838" w:h="11906" w:orient="landscape"/>
          <w:pgMar w:top="1134" w:right="1134" w:bottom="1134" w:left="2268" w:header="709" w:footer="709" w:gutter="0"/>
          <w:cols w:space="708"/>
          <w:docGrid w:linePitch="360"/>
        </w:sectPr>
      </w:pPr>
    </w:p>
    <w:p w14:paraId="2E5F5ADE" w14:textId="42C9C1FA" w:rsidR="003441C5" w:rsidRPr="00B56453" w:rsidRDefault="00473DB7" w:rsidP="00BA4521">
      <w:pPr>
        <w:pStyle w:val="Heading3"/>
      </w:pPr>
      <w:bookmarkStart w:id="396" w:name="_Toc500319420"/>
      <w:r w:rsidRPr="00B56453">
        <w:lastRenderedPageBreak/>
        <w:t xml:space="preserve">C2.3.1 </w:t>
      </w:r>
      <w:r w:rsidR="00ED452B" w:rsidRPr="00B56453">
        <w:t>Contextual</w:t>
      </w:r>
      <w:r w:rsidR="003441C5" w:rsidRPr="00B56453">
        <w:t xml:space="preserve"> and </w:t>
      </w:r>
      <w:r w:rsidR="00ED452B" w:rsidRPr="00B56453">
        <w:t>cultural</w:t>
      </w:r>
      <w:r w:rsidR="003441C5" w:rsidRPr="00B56453">
        <w:t xml:space="preserve"> factors</w:t>
      </w:r>
      <w:bookmarkEnd w:id="396"/>
    </w:p>
    <w:p w14:paraId="195FF355" w14:textId="16D5B771" w:rsidR="00660FB3" w:rsidRPr="00B56453" w:rsidRDefault="00660FB3" w:rsidP="00026049">
      <w:pPr>
        <w:pStyle w:val="Normal1"/>
        <w:rPr>
          <w:lang w:val="en-GB"/>
        </w:rPr>
      </w:pPr>
    </w:p>
    <w:p w14:paraId="65684BED" w14:textId="2DF06A18" w:rsidR="00143759" w:rsidRPr="00B56453" w:rsidRDefault="00ED452B" w:rsidP="00026049">
      <w:pPr>
        <w:pStyle w:val="Normal1"/>
        <w:rPr>
          <w:lang w:val="en-GB"/>
        </w:rPr>
      </w:pPr>
      <w:r w:rsidRPr="00B56453">
        <w:rPr>
          <w:lang w:val="en-GB"/>
        </w:rPr>
        <w:t xml:space="preserve">Learners identified several factors relating to concepts of context and culture which were impacting upon their learning and feedback behaviours whilst on </w:t>
      </w:r>
      <w:r w:rsidR="00483DED" w:rsidRPr="00B56453">
        <w:rPr>
          <w:lang w:val="en-GB"/>
        </w:rPr>
        <w:t xml:space="preserve">clinical </w:t>
      </w:r>
      <w:r w:rsidRPr="00B56453">
        <w:rPr>
          <w:lang w:val="en-GB"/>
        </w:rPr>
        <w:t>placement: (1) characteristics of the learning environment</w:t>
      </w:r>
      <w:r w:rsidR="00C82435" w:rsidRPr="00B56453">
        <w:rPr>
          <w:lang w:val="en-GB"/>
        </w:rPr>
        <w:t>; (2) workplace culture;</w:t>
      </w:r>
      <w:r w:rsidRPr="00B56453">
        <w:rPr>
          <w:lang w:val="en-GB"/>
        </w:rPr>
        <w:t xml:space="preserve"> (3) team recognition and awareness. The model below illustrates how these factors interact</w:t>
      </w:r>
      <w:r w:rsidR="003E04F2" w:rsidRPr="00B56453">
        <w:rPr>
          <w:lang w:val="en-GB"/>
        </w:rPr>
        <w:t>ed</w:t>
      </w:r>
      <w:r w:rsidRPr="00B56453">
        <w:rPr>
          <w:lang w:val="en-GB"/>
        </w:rPr>
        <w:t xml:space="preserve"> with others which </w:t>
      </w:r>
      <w:r w:rsidR="003E04F2" w:rsidRPr="00B56453">
        <w:rPr>
          <w:lang w:val="en-GB"/>
        </w:rPr>
        <w:t>influenced them</w:t>
      </w:r>
      <w:r w:rsidRPr="00B56453">
        <w:rPr>
          <w:lang w:val="en-GB"/>
        </w:rPr>
        <w:t>, as well as the relationships between them (</w:t>
      </w:r>
      <w:r w:rsidR="009A1184" w:rsidRPr="00B56453">
        <w:rPr>
          <w:lang w:val="en-GB"/>
        </w:rPr>
        <w:t>F</w:t>
      </w:r>
      <w:r w:rsidRPr="00B56453">
        <w:rPr>
          <w:lang w:val="en-GB"/>
        </w:rPr>
        <w:t xml:space="preserve">igure </w:t>
      </w:r>
      <w:r w:rsidR="00937006" w:rsidRPr="00B56453">
        <w:rPr>
          <w:lang w:val="en-GB"/>
        </w:rPr>
        <w:t>C2.2</w:t>
      </w:r>
      <w:r w:rsidRPr="00B56453">
        <w:rPr>
          <w:lang w:val="en-GB"/>
        </w:rPr>
        <w:t xml:space="preserve">). </w:t>
      </w:r>
      <w:r w:rsidR="003D5BB6" w:rsidRPr="00B56453">
        <w:rPr>
          <w:lang w:val="en-GB"/>
        </w:rPr>
        <w:t xml:space="preserve">Only representative quotes are presented </w:t>
      </w:r>
      <w:r w:rsidR="00A251B8" w:rsidRPr="00B56453">
        <w:rPr>
          <w:lang w:val="en-GB"/>
        </w:rPr>
        <w:t>below</w:t>
      </w:r>
      <w:r w:rsidR="003D5BB6" w:rsidRPr="00B56453">
        <w:rPr>
          <w:lang w:val="en-GB"/>
        </w:rPr>
        <w:t>. A model with all</w:t>
      </w:r>
      <w:r w:rsidRPr="00B56453">
        <w:rPr>
          <w:lang w:val="en-GB"/>
        </w:rPr>
        <w:t xml:space="preserve"> quotes representing the relationships can be found in Appendix </w:t>
      </w:r>
      <w:r w:rsidR="00B76E6D" w:rsidRPr="00B56453">
        <w:rPr>
          <w:lang w:val="en-GB"/>
        </w:rPr>
        <w:t>2</w:t>
      </w:r>
      <w:r w:rsidR="003E04F2" w:rsidRPr="00B56453">
        <w:rPr>
          <w:lang w:val="en-GB"/>
        </w:rPr>
        <w:t>9</w:t>
      </w:r>
      <w:r w:rsidRPr="00B56453">
        <w:rPr>
          <w:lang w:val="en-GB"/>
        </w:rPr>
        <w:t>.</w:t>
      </w:r>
      <w:r w:rsidR="003D5BB6" w:rsidRPr="00B56453">
        <w:rPr>
          <w:lang w:val="en-GB"/>
        </w:rPr>
        <w:t xml:space="preserve"> </w:t>
      </w:r>
    </w:p>
    <w:p w14:paraId="3F001BC5" w14:textId="1C7347AF" w:rsidR="00143759" w:rsidRPr="00B56453" w:rsidRDefault="00937006" w:rsidP="00AD45DC">
      <w:r w:rsidRPr="00B56453">
        <w:rPr>
          <w:noProof/>
          <w:lang w:eastAsia="en-GB"/>
        </w:rPr>
        <mc:AlternateContent>
          <mc:Choice Requires="wpg">
            <w:drawing>
              <wp:anchor distT="0" distB="0" distL="114300" distR="114300" simplePos="0" relativeHeight="251890688" behindDoc="0" locked="0" layoutInCell="1" allowOverlap="1" wp14:anchorId="4B03F618" wp14:editId="68376E68">
                <wp:simplePos x="0" y="0"/>
                <wp:positionH relativeFrom="margin">
                  <wp:align>left</wp:align>
                </wp:positionH>
                <wp:positionV relativeFrom="paragraph">
                  <wp:posOffset>325755</wp:posOffset>
                </wp:positionV>
                <wp:extent cx="5387975" cy="5675630"/>
                <wp:effectExtent l="0" t="0" r="3175" b="1270"/>
                <wp:wrapTopAndBottom/>
                <wp:docPr id="459" name="Group 459"/>
                <wp:cNvGraphicFramePr/>
                <a:graphic xmlns:a="http://schemas.openxmlformats.org/drawingml/2006/main">
                  <a:graphicData uri="http://schemas.microsoft.com/office/word/2010/wordprocessingGroup">
                    <wpg:wgp>
                      <wpg:cNvGrpSpPr/>
                      <wpg:grpSpPr>
                        <a:xfrm>
                          <a:off x="0" y="0"/>
                          <a:ext cx="5387975" cy="5675630"/>
                          <a:chOff x="0" y="0"/>
                          <a:chExt cx="5952493" cy="5675980"/>
                        </a:xfrm>
                      </wpg:grpSpPr>
                      <wpg:grpSp>
                        <wpg:cNvPr id="25876" name="Group 25876"/>
                        <wpg:cNvGrpSpPr/>
                        <wpg:grpSpPr>
                          <a:xfrm>
                            <a:off x="0" y="0"/>
                            <a:ext cx="5392463" cy="4561946"/>
                            <a:chOff x="0" y="0"/>
                            <a:chExt cx="6517385" cy="5441950"/>
                          </a:xfrm>
                        </wpg:grpSpPr>
                        <wps:wsp>
                          <wps:cNvPr id="25859" name="Flowchart: Alternate Process 25859"/>
                          <wps:cNvSpPr/>
                          <wps:spPr>
                            <a:xfrm>
                              <a:off x="2447925" y="160020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295C4" w14:textId="77777777" w:rsidR="00C8402C" w:rsidRPr="00D326A9" w:rsidRDefault="00C8402C" w:rsidP="00660FB3">
                                <w:pPr>
                                  <w:jc w:val="center"/>
                                  <w:rPr>
                                    <w:color w:val="000000" w:themeColor="text1"/>
                                  </w:rPr>
                                </w:pPr>
                                <w:r w:rsidRPr="00D326A9">
                                  <w:rPr>
                                    <w:color w:val="000000" w:themeColor="text1"/>
                                  </w:rPr>
                                  <w:t>Workplace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0" name="Flowchart: Alternate Process 25860"/>
                          <wps:cNvSpPr/>
                          <wps:spPr>
                            <a:xfrm>
                              <a:off x="2447925" y="306705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85AB7" w14:textId="77777777" w:rsidR="00C8402C" w:rsidRPr="00D326A9" w:rsidRDefault="00C8402C" w:rsidP="00660FB3">
                                <w:pPr>
                                  <w:jc w:val="center"/>
                                  <w:rPr>
                                    <w:color w:val="000000" w:themeColor="text1"/>
                                  </w:rPr>
                                </w:pPr>
                                <w:r w:rsidRPr="00D326A9">
                                  <w:rPr>
                                    <w:color w:val="000000" w:themeColor="text1"/>
                                  </w:rP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1" name="Flowchart: Alternate Process 25861"/>
                          <wps:cNvSpPr/>
                          <wps:spPr>
                            <a:xfrm>
                              <a:off x="2447925" y="4562475"/>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D0881" w14:textId="54249DC1" w:rsidR="00C8402C" w:rsidRPr="00D326A9" w:rsidRDefault="00C8402C" w:rsidP="00660FB3">
                                <w:pPr>
                                  <w:jc w:val="center"/>
                                  <w:rPr>
                                    <w:color w:val="000000" w:themeColor="text1"/>
                                  </w:rPr>
                                </w:pPr>
                                <w:r>
                                  <w:rPr>
                                    <w:color w:val="000000" w:themeColor="text1"/>
                                  </w:rPr>
                                  <w:t>R</w:t>
                                </w:r>
                                <w:r w:rsidRPr="00D326A9">
                                  <w:rPr>
                                    <w:color w:val="000000" w:themeColor="text1"/>
                                  </w:rPr>
                                  <w:t>ecognition and awareness</w:t>
                                </w:r>
                                <w:r>
                                  <w:rPr>
                                    <w:color w:val="000000" w:themeColor="text1"/>
                                  </w:rPr>
                                  <w:t xml:space="preserve"> of the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2" name="Flowchart: Alternate Process 25862"/>
                          <wps:cNvSpPr/>
                          <wps:spPr>
                            <a:xfrm>
                              <a:off x="0" y="160020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C1787" w14:textId="5347BE97" w:rsidR="00C8402C" w:rsidRPr="00D326A9" w:rsidRDefault="00C8402C" w:rsidP="00660FB3">
                                <w:pPr>
                                  <w:jc w:val="center"/>
                                  <w:rPr>
                                    <w:color w:val="000000" w:themeColor="text1"/>
                                  </w:rPr>
                                </w:pPr>
                                <w:r w:rsidRPr="00D326A9">
                                  <w:rPr>
                                    <w:color w:val="000000" w:themeColor="text1"/>
                                  </w:rPr>
                                  <w:t>Confidence</w:t>
                                </w:r>
                                <w:r>
                                  <w:rPr>
                                    <w:color w:val="000000" w:themeColor="text1"/>
                                  </w:rPr>
                                  <w:t xml:space="preserv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3" name="Flowchart: Alternate Process 25863"/>
                          <wps:cNvSpPr/>
                          <wps:spPr>
                            <a:xfrm>
                              <a:off x="4752975" y="161925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F67A3" w14:textId="77777777" w:rsidR="00C8402C" w:rsidRPr="00D326A9" w:rsidRDefault="00C8402C" w:rsidP="00660FB3">
                                <w:pPr>
                                  <w:jc w:val="center"/>
                                  <w:rPr>
                                    <w:color w:val="000000" w:themeColor="text1"/>
                                  </w:rPr>
                                </w:pPr>
                                <w:r w:rsidRPr="00D326A9">
                                  <w:rPr>
                                    <w:color w:val="000000" w:themeColor="text1"/>
                                  </w:rP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4" name="Flowchart: Alternate Process 25864"/>
                          <wps:cNvSpPr/>
                          <wps:spPr>
                            <a:xfrm>
                              <a:off x="4757800" y="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7D100" w14:textId="77777777" w:rsidR="00C8402C" w:rsidRPr="00D326A9" w:rsidRDefault="00C8402C" w:rsidP="00660FB3">
                                <w:pPr>
                                  <w:jc w:val="center"/>
                                  <w:rPr>
                                    <w:color w:val="000000" w:themeColor="text1"/>
                                  </w:rPr>
                                </w:pPr>
                                <w:r w:rsidRPr="00D326A9">
                                  <w:rPr>
                                    <w:color w:val="000000" w:themeColor="text1"/>
                                  </w:rPr>
                                  <w:t>Characteristics of the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6" name="Straight Arrow Connector 25866"/>
                          <wps:cNvCnPr>
                            <a:stCxn id="25859" idx="2"/>
                            <a:endCxn id="25860" idx="0"/>
                          </wps:cNvCnPr>
                          <wps:spPr>
                            <a:xfrm>
                              <a:off x="3327464" y="2479675"/>
                              <a:ext cx="0" cy="58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67" name="Straight Arrow Connector 25867"/>
                          <wps:cNvCnPr>
                            <a:stCxn id="25860" idx="2"/>
                            <a:endCxn id="25861" idx="0"/>
                          </wps:cNvCnPr>
                          <wps:spPr>
                            <a:xfrm>
                              <a:off x="3327464" y="3946525"/>
                              <a:ext cx="0" cy="61595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25868" name="Straight Arrow Connector 25868"/>
                          <wps:cNvCnPr>
                            <a:stCxn id="25859" idx="1"/>
                            <a:endCxn id="25862" idx="3"/>
                          </wps:cNvCnPr>
                          <wps:spPr>
                            <a:xfrm flipH="1">
                              <a:off x="1759451" y="2039938"/>
                              <a:ext cx="6882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69" name="Straight Arrow Connector 25869"/>
                          <wps:cNvCnPr>
                            <a:stCxn id="25864" idx="2"/>
                            <a:endCxn id="25863" idx="0"/>
                          </wps:cNvCnPr>
                          <wps:spPr>
                            <a:xfrm flipH="1">
                              <a:off x="5632768" y="879475"/>
                              <a:ext cx="4825" cy="73977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25870" name="Curved Connector 25870"/>
                          <wps:cNvCnPr>
                            <a:stCxn id="25863" idx="2"/>
                            <a:endCxn id="25861" idx="3"/>
                          </wps:cNvCnPr>
                          <wps:spPr>
                            <a:xfrm rot="5400000">
                              <a:off x="3668022" y="3037895"/>
                              <a:ext cx="2503487" cy="1425151"/>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74" name="Curved Connector 25874"/>
                          <wps:cNvCnPr>
                            <a:stCxn id="25861" idx="1"/>
                            <a:endCxn id="25862" idx="2"/>
                          </wps:cNvCnPr>
                          <wps:spPr>
                            <a:xfrm rot="10800000">
                              <a:off x="879794" y="2479675"/>
                              <a:ext cx="1568132" cy="2522538"/>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57" name="Text Box 457"/>
                        <wps:cNvSpPr txBox="1"/>
                        <wps:spPr>
                          <a:xfrm>
                            <a:off x="66691" y="4760290"/>
                            <a:ext cx="5885802" cy="915690"/>
                          </a:xfrm>
                          <a:prstGeom prst="rect">
                            <a:avLst/>
                          </a:prstGeom>
                          <a:solidFill>
                            <a:prstClr val="white"/>
                          </a:solidFill>
                          <a:ln>
                            <a:noFill/>
                          </a:ln>
                          <a:effectLst/>
                        </wps:spPr>
                        <wps:txbx>
                          <w:txbxContent>
                            <w:p w14:paraId="0C5A3F42" w14:textId="3F2E3F66" w:rsidR="00C8402C" w:rsidRPr="002F6E8D" w:rsidRDefault="00C8402C" w:rsidP="00937006">
                              <w:pPr>
                                <w:pStyle w:val="Caption"/>
                                <w:rPr>
                                  <w:noProof/>
                                </w:rPr>
                              </w:pPr>
                              <w:bookmarkStart w:id="397" w:name="_Toc500319562"/>
                              <w:r>
                                <w:t>Figure C2.</w:t>
                              </w:r>
                              <w:fldSimple w:instr=" SEQ Figure_C2. \* ARABIC ">
                                <w:r>
                                  <w:rPr>
                                    <w:noProof/>
                                  </w:rPr>
                                  <w:t>2</w:t>
                                </w:r>
                              </w:fldSimple>
                              <w:r w:rsidRPr="00937006">
                                <w:t xml:space="preserve"> </w:t>
                              </w:r>
                              <w:r w:rsidRPr="00FA111F">
                                <w:t>Contextual and cultural factors impacting upon learning and feedback behaviours and the relationships between them. Thickness of line indicates strength of relationship and direction indicates the linkages between factors.</w:t>
                              </w:r>
                              <w:bookmarkEnd w:id="3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03F618" id="Group 459" o:spid="_x0000_s1299" style="position:absolute;margin-left:0;margin-top:25.65pt;width:424.25pt;height:446.9pt;z-index:251890688;mso-position-horizontal:left;mso-position-horizontal-relative:margin;mso-width-relative:margin;mso-height-relative:margin" coordsize="5952493,5675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">
                <v:group id="Group 25876" o:spid="_x0000_s1300" style="position:absolute;width:5392463;height:4561946" coordsize="6517385,5441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Og3kxwAAAN4A&#10;AAAPAAAAAAAAAAAAAAAAAKkCAABkcnMvZG93bnJldi54bWxQSwUGAAAAAAQABAD6AAAAnQM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859" o:spid="_x0000_s1301" type="#_x0000_t176" style="position:absolute;left:2447925;top:160020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4N6yAAA&#10;AN4AAAAPAAAAZHJzL2Rvd25yZXYueG1sRI9PawIxFMTvgt8hPKE3zVa0brdGKWJB6KHU/rs+Nq+7&#10;aTcv6yZ1Uz99IxQ8DjPzG2a5jrYRR+q8cazgepKBIC6dNlwpeH15GOcgfEDW2DgmBb/kYb0aDpZY&#10;aNfzMx33oRIJwr5ABXUIbSGlL2uy6CeuJU7ep+sshiS7SuoO+wS3jZxm2Y20aDgt1NjSpqbye/9j&#10;FZjHnZHb2eHt6X2Rf32YNvYnjkpdjeL9HYhAMVzC/+2dVjCd5/NbON9JV0C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ULg3rIAAAA3gAAAA8AAAAAAAAAAAAAAAAAlwIAAGRy&#10;cy9kb3ducmV2LnhtbFBLBQYAAAAABAAEAPUAAACMAwAAAAA=&#10;" filled="f" strokecolor="black [3213]" strokeweight="1.5pt">
                    <v:textbox>
                      <w:txbxContent>
                        <w:p w14:paraId="427295C4" w14:textId="77777777" w:rsidR="00C8402C" w:rsidRPr="00D326A9" w:rsidRDefault="00C8402C" w:rsidP="00660FB3">
                          <w:pPr>
                            <w:jc w:val="center"/>
                            <w:rPr>
                              <w:color w:val="000000" w:themeColor="text1"/>
                            </w:rPr>
                          </w:pPr>
                          <w:r w:rsidRPr="00D326A9">
                            <w:rPr>
                              <w:color w:val="000000" w:themeColor="text1"/>
                            </w:rPr>
                            <w:t>Workplace culture</w:t>
                          </w:r>
                        </w:p>
                      </w:txbxContent>
                    </v:textbox>
                  </v:shape>
                  <v:shape id="Flowchart: Alternate Process 25860" o:spid="_x0000_s1302" type="#_x0000_t176" style="position:absolute;left:2447925;top:306705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eBaxgAA&#10;AN4AAAAPAAAAZHJzL2Rvd25yZXYueG1sRI/NagIxFIX3Bd8hXKG7mqlYO4xGEVEQupBqW7eXye1M&#10;2snNOEmd2KdvFkKXh/PHN19G24gLdd44VvA4ykAQl04brhS8HbcPOQgfkDU2jknBlTwsF4O7ORba&#10;9fxKl0OoRBphX6CCOoS2kNKXNVn0I9cSJ+/TdRZDkl0ldYd9GreNHGfZVFo0nB5qbGldU/l9+LEK&#10;zMvOyM3k/L7/eM6/TqaN/S9Hpe6HcTUDESiG//CtvdMKxk/5NAEknIQ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XeBaxgAAAN4AAAAPAAAAAAAAAAAAAAAAAJcCAABkcnMv&#10;ZG93bnJldi54bWxQSwUGAAAAAAQABAD1AAAAigMAAAAA&#10;" filled="f" strokecolor="black [3213]" strokeweight="1.5pt">
                    <v:textbox>
                      <w:txbxContent>
                        <w:p w14:paraId="40E85AB7" w14:textId="77777777" w:rsidR="00C8402C" w:rsidRPr="00D326A9" w:rsidRDefault="00C8402C" w:rsidP="00660FB3">
                          <w:pPr>
                            <w:jc w:val="center"/>
                            <w:rPr>
                              <w:color w:val="000000" w:themeColor="text1"/>
                            </w:rPr>
                          </w:pPr>
                          <w:r w:rsidRPr="00D326A9">
                            <w:rPr>
                              <w:color w:val="000000" w:themeColor="text1"/>
                            </w:rPr>
                            <w:t>Supportive</w:t>
                          </w:r>
                        </w:p>
                      </w:txbxContent>
                    </v:textbox>
                  </v:shape>
                  <v:shape id="Flowchart: Alternate Process 25861" o:spid="_x0000_s1303" type="#_x0000_t176" style="position:absolute;left:2447925;top:4562475;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UXByAAA&#10;AN4AAAAPAAAAZHJzL2Rvd25yZXYueG1sRI9PawIxFMTvhX6H8AreNKtYu2yNUoqC0INU++f62Dx3&#10;Yzcv203qpn76RhB6HGbmN8x8GW0jTtR541jBeJSBIC6dNlwpeNuvhzkIH5A1No5JwS95WC5ub+ZY&#10;aNfzK512oRIJwr5ABXUIbSGlL2uy6EeuJU7ewXUWQ5JdJXWHfYLbRk6ybCYtGk4LNbb0XFP5tfux&#10;CszLxsjV9Pt9+/GQHz9NG/szR6UGd/HpEUSgGP7D1/ZGK5jc57MxXO6kK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URRcHIAAAA3gAAAA8AAAAAAAAAAAAAAAAAlwIAAGRy&#10;cy9kb3ducmV2LnhtbFBLBQYAAAAABAAEAPUAAACMAwAAAAA=&#10;" filled="f" strokecolor="black [3213]" strokeweight="1.5pt">
                    <v:textbox>
                      <w:txbxContent>
                        <w:p w14:paraId="2CED0881" w14:textId="54249DC1" w:rsidR="00C8402C" w:rsidRPr="00D326A9" w:rsidRDefault="00C8402C" w:rsidP="00660FB3">
                          <w:pPr>
                            <w:jc w:val="center"/>
                            <w:rPr>
                              <w:color w:val="000000" w:themeColor="text1"/>
                            </w:rPr>
                          </w:pPr>
                          <w:r>
                            <w:rPr>
                              <w:color w:val="000000" w:themeColor="text1"/>
                            </w:rPr>
                            <w:t>R</w:t>
                          </w:r>
                          <w:r w:rsidRPr="00D326A9">
                            <w:rPr>
                              <w:color w:val="000000" w:themeColor="text1"/>
                            </w:rPr>
                            <w:t>ecognition and awareness</w:t>
                          </w:r>
                          <w:r>
                            <w:rPr>
                              <w:color w:val="000000" w:themeColor="text1"/>
                            </w:rPr>
                            <w:t xml:space="preserve"> of the team</w:t>
                          </w:r>
                        </w:p>
                      </w:txbxContent>
                    </v:textbox>
                  </v:shape>
                  <v:shape id="Flowchart: Alternate Process 25862" o:spid="_x0000_s1304" type="#_x0000_t176" style="position:absolute;top:160020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9u2yAAA&#10;AN4AAAAPAAAAZHJzL2Rvd25yZXYueG1sRI9BSwMxFITvQv9DeAVvNttF67I2LUUUCh6KVdvrY/Pc&#10;Tbt5WTexG/vrTUHwOMzMN8x8GW0rTtR741jBdJKBIK6cNlwreH97vilA+ICssXVMCn7Iw3Ixuppj&#10;qd3Ar3TahlokCPsSFTQhdKWUvmrIop+4jjh5n663GJLsa6l7HBLctjLPspm0aDgtNNjRY0PVcftt&#10;FZiXtZFPt18fm919cdibLg5njkpdj+PqAUSgGP7Df+21VpDfFbMcLnfSF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XD27bIAAAA3gAAAA8AAAAAAAAAAAAAAAAAlwIAAGRy&#10;cy9kb3ducmV2LnhtbFBLBQYAAAAABAAEAPUAAACMAwAAAAA=&#10;" filled="f" strokecolor="black [3213]" strokeweight="1.5pt">
                    <v:textbox>
                      <w:txbxContent>
                        <w:p w14:paraId="1C6C1787" w14:textId="5347BE97" w:rsidR="00C8402C" w:rsidRPr="00D326A9" w:rsidRDefault="00C8402C" w:rsidP="00660FB3">
                          <w:pPr>
                            <w:jc w:val="center"/>
                            <w:rPr>
                              <w:color w:val="000000" w:themeColor="text1"/>
                            </w:rPr>
                          </w:pPr>
                          <w:r w:rsidRPr="00D326A9">
                            <w:rPr>
                              <w:color w:val="000000" w:themeColor="text1"/>
                            </w:rPr>
                            <w:t>Confidence</w:t>
                          </w:r>
                          <w:r>
                            <w:rPr>
                              <w:color w:val="000000" w:themeColor="text1"/>
                            </w:rPr>
                            <w:t xml:space="preserve"> and motivation</w:t>
                          </w:r>
                        </w:p>
                      </w:txbxContent>
                    </v:textbox>
                  </v:shape>
                  <v:shape id="Flowchart: Alternate Process 25863" o:spid="_x0000_s1305" type="#_x0000_t176" style="position:absolute;left:4752975;top:161925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34tyAAA&#10;AN4AAAAPAAAAZHJzL2Rvd25yZXYueG1sRI9PawIxFMTvBb9DeAVvNVtt7bI1SikWBA9F++/62Dx3&#10;o5uXdZO6sZ++EQo9DjPzG2a2iLYRJ+q8cazgdpSBIC6dNlwpeH97uclB+ICssXFMCs7kYTEfXM2w&#10;0K7nDZ22oRIJwr5ABXUIbSGlL2uy6EeuJU7eznUWQ5JdJXWHfYLbRo6zbCotGk4LNbb0XFN52H5b&#10;BWa9MnJ5d/x4/XzI91+mjf0PR6WG1/HpEUSgGP7Df+2VVjC+z6cTuNxJV0DO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qPfi3IAAAA3gAAAA8AAAAAAAAAAAAAAAAAlwIAAGRy&#10;cy9kb3ducmV2LnhtbFBLBQYAAAAABAAEAPUAAACMAwAAAAA=&#10;" filled="f" strokecolor="black [3213]" strokeweight="1.5pt">
                    <v:textbox>
                      <w:txbxContent>
                        <w:p w14:paraId="79CF67A3" w14:textId="77777777" w:rsidR="00C8402C" w:rsidRPr="00D326A9" w:rsidRDefault="00C8402C" w:rsidP="00660FB3">
                          <w:pPr>
                            <w:jc w:val="center"/>
                            <w:rPr>
                              <w:color w:val="000000" w:themeColor="text1"/>
                            </w:rPr>
                          </w:pPr>
                          <w:r w:rsidRPr="00D326A9">
                            <w:rPr>
                              <w:color w:val="000000" w:themeColor="text1"/>
                            </w:rPr>
                            <w:t>Learning priorities</w:t>
                          </w:r>
                        </w:p>
                      </w:txbxContent>
                    </v:textbox>
                  </v:shape>
                  <v:shape id="Flowchart: Alternate Process 25864" o:spid="_x0000_s1306" type="#_x0000_t176" style="position:absolute;left:475780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uZZxwAA&#10;AN4AAAAPAAAAZHJzL2Rvd25yZXYueG1sRI9PawIxFMTvhX6H8AreNKtYu2yNUoqC4EFq/10fm9fd&#10;1M3Luolu6qdvCkKPw8z8hpkvo23EmTpvHCsYjzIQxKXThisFb6/rYQ7CB2SNjWNS8EMelovbmzkW&#10;2vX8Qud9qESCsC9QQR1CW0jpy5os+pFriZP35TqLIcmukrrDPsFtIydZNpMWDaeFGlt6rqk87E9W&#10;gdlujFxNj++7j4f8+9O0sb9wVGpwF58eQQSK4T98bW+0gsl9PpvC3510Be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WbmWccAAADeAAAADwAAAAAAAAAAAAAAAACXAgAAZHJz&#10;L2Rvd25yZXYueG1sUEsFBgAAAAAEAAQA9QAAAIsDAAAAAA==&#10;" filled="f" strokecolor="black [3213]" strokeweight="1.5pt">
                    <v:textbox>
                      <w:txbxContent>
                        <w:p w14:paraId="24C7D100" w14:textId="77777777" w:rsidR="00C8402C" w:rsidRPr="00D326A9" w:rsidRDefault="00C8402C" w:rsidP="00660FB3">
                          <w:pPr>
                            <w:jc w:val="center"/>
                            <w:rPr>
                              <w:color w:val="000000" w:themeColor="text1"/>
                            </w:rPr>
                          </w:pPr>
                          <w:r w:rsidRPr="00D326A9">
                            <w:rPr>
                              <w:color w:val="000000" w:themeColor="text1"/>
                            </w:rPr>
                            <w:t>Characteristics of the learning environment</w:t>
                          </w:r>
                        </w:p>
                      </w:txbxContent>
                    </v:textbox>
                  </v:shape>
                  <v:shape id="Straight Arrow Connector 25866" o:spid="_x0000_s1307" type="#_x0000_t32" style="position:absolute;left:3327464;top:2479675;width:0;height:5873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CMmcYAAADeAAAADwAAAGRycy9kb3ducmV2LnhtbESPQWuDQBSE74X+h+UVcmvWCBFrXUNi&#10;CdjcmoSeH+6rSty3xt1G+++7hUCPw8x8w+Sb2fTiRqPrLCtYLSMQxLXVHTcKzqf9cwrCeWSNvWVS&#10;8EMONsXjQ46ZthN/0O3oGxEg7DJU0Ho/ZFK6uiWDbmkH4uB92dGgD3JspB5xCnDTyziKEmmw47DQ&#10;4kBlS/Xl+G0UTOg/X3bb5lru3t6red1fk9P5oNTiad6+gvA0+//wvV1pBfE6TRL4uxOugC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6gjJnGAAAA3gAAAA8AAAAAAAAA&#10;AAAAAAAAoQIAAGRycy9kb3ducmV2LnhtbFBLBQYAAAAABAAEAPkAAACUAwAAAAA=&#10;" strokecolor="black [3200]" strokeweight=".5pt">
                    <v:stroke endarrow="block" joinstyle="miter"/>
                  </v:shape>
                  <v:shape id="Straight Arrow Connector 25867" o:spid="_x0000_s1308" type="#_x0000_t32" style="position:absolute;left:3327464;top:3946525;width:0;height:6159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pIicYAAADeAAAADwAAAGRycy9kb3ducmV2LnhtbESPQYvCMBSE7wv+h/CEva3pCqtSjbIK&#10;ohcRdcHr2+bZVpuX0sS2+uuNIHgcZuYbZjJrTSFqqlxuWcF3LwJBnFidc6rg77D8GoFwHlljYZkU&#10;3MjBbNr5mGCsbcM7qvc+FQHCLkYFmfdlLKVLMjLoerYkDt7JVgZ9kFUqdYVNgJtC9qNoIA3mHBYy&#10;LGmRUXLZX42C5dz55r8+bIbbe37U183xfJ+vlPrstr9jEJ5a/w6/2mutoP8zGgzheSdcATl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9qSInGAAAA3gAAAA8AAAAAAAAA&#10;AAAAAAAAoQIAAGRycy9kb3ducmV2LnhtbFBLBQYAAAAABAAEAPkAAACUAwAAAAA=&#10;" strokecolor="black [3200]" strokeweight="6pt">
                    <v:stroke endarrow="block" joinstyle="miter"/>
                  </v:shape>
                  <v:shape id="Straight Arrow Connector 25868" o:spid="_x0000_s1309" type="#_x0000_t32" style="position:absolute;left:1759451;top:2039938;width:68828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boOcQAAADeAAAADwAAAGRycy9kb3ducmV2LnhtbERPTU/CQBC9m/gfNmPixcjWFpFUFmIk&#10;BK5UQ/A2dse2sTvbdBYo/549kHB8ed+zxeBadaReGs8GXkYJKOLS24YrA99fq+cpKAnIFlvPZOBM&#10;Aov5/d0Mc+tPvKVjESoVQ1hyNFCH0OVaS1mTQxn5jjhyf753GCLsK217PMVw1+o0SSbaYcOxocaO&#10;Pmsq/4uDM5CFsaTb8f5Nip/q98kus0x2a2MeH4aPd1CBhnATX90bayB9nU7i3ngnXgE9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Nug5xAAAAN4AAAAPAAAAAAAAAAAA&#10;AAAAAKECAABkcnMvZG93bnJldi54bWxQSwUGAAAAAAQABAD5AAAAkgMAAAAA&#10;" strokecolor="black [3200]" strokeweight=".5pt">
                    <v:stroke endarrow="block" joinstyle="miter"/>
                  </v:shape>
                  <v:shape id="Straight Arrow Connector 25869" o:spid="_x0000_s1310" type="#_x0000_t32" style="position:absolute;left:5632768;top:879475;width:4825;height:7397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R0s8UAAADeAAAADwAAAGRycy9kb3ducmV2LnhtbESP3YrCMBSE7wXfIRxh7zRVULQaRQQX&#10;hXXBv/tDc2yLzUk3idq+/WZhwcthZr5hFqvGVOJJzpeWFQwHCQjizOqScwWX87Y/BeEDssbKMilo&#10;ycNq2e0sMNX2xUd6nkIuIoR9igqKEOpUSp8VZNAPbE0cvZt1BkOULpfa4SvCTSVHSTKRBkuOCwXW&#10;tCkou58eRsHnNWlkW7Xj45fb4/57e7j9HGZKffSa9RxEoCa8w//tnVYwGk8nM/i7E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R0s8UAAADeAAAADwAAAAAAAAAA&#10;AAAAAAChAgAAZHJzL2Rvd25yZXYueG1sUEsFBgAAAAAEAAQA+QAAAJMDAAAAAA==&#10;" strokecolor="black [3200]" strokeweight="6pt">
                    <v:stroke endarrow="block" joinstyle="miter"/>
                  </v:shape>
                  <v:shapetype id="_x0000_t37" coordsize="21600,21600" o:spt="37" o:oned="t" path="m0,0c10800,,21600,10800,21600,21600e" filled="f">
                    <v:path arrowok="t" fillok="f" o:connecttype="none"/>
                    <o:lock v:ext="edit" shapetype="t"/>
                  </v:shapetype>
                  <v:shape id="Curved Connector 25870" o:spid="_x0000_s1311" type="#_x0000_t37" style="position:absolute;left:3668022;top:3037895;width:2503487;height:1425151;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6nrMcAAADeAAAADwAAAGRycy9kb3ducmV2LnhtbESPy2rCQBSG9wXfYTiCuzox9CLRMWgx&#10;0lWpaTfuDpljEs2cCZkxSX36zqLQ5c9/41uno2lET52rLStYzCMQxIXVNZcKvr+yxyUI55E1NpZJ&#10;wQ85SDeThzUm2g58pD73pQgj7BJUUHnfJlK6oiKDbm5b4uCdbWfQB9mVUnc4hHHTyDiKXqTBmsND&#10;hS29VVRc85tRcLjvx+P50+uPU5bvhsPTZdjv7krNpuN2BcLT6P/Df+13rSB+Xr4GgIATUEB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vqesxwAAAN4AAAAPAAAAAAAA&#10;AAAAAAAAAKECAABkcnMvZG93bnJldi54bWxQSwUGAAAAAAQABAD5AAAAlQMAAAAA&#10;" strokecolor="black [3200]" strokeweight=".5pt">
                    <v:stroke endarrow="block" joinstyle="miter"/>
                  </v:shape>
                  <v:shape id="Curved Connector 25874" o:spid="_x0000_s1312" type="#_x0000_t37" style="position:absolute;left:879794;top:2479675;width:1568132;height:2522538;rotation:18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wXHsYAAADeAAAADwAAAGRycy9kb3ducmV2LnhtbESPX2vCQBDE3wv9DscWfKuXhFoleooI&#10;UhER/IPPa26bhOb2wt2p8dt7QsHHYXZ+szOZdaYRV3K+tqwg7ScgiAuray4VHA/LzxEIH5A1NpZJ&#10;wZ08zKbvbxPMtb3xjq77UIoIYZ+jgiqENpfSFxUZ9H3bEkfv1zqDIUpXSu3wFuGmkVmSfEuDNceG&#10;CltaVFT87S8mvrFOz9us3Orhz2lhLy7FwSZbK9X76OZjEIG68Dr+T6+0gmwwGn7Bc05kgJw+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MFx7GAAAA3gAAAA8AAAAAAAAA&#10;AAAAAAAAoQIAAGRycy9kb3ducmV2LnhtbFBLBQYAAAAABAAEAPkAAACUAwAAAAA=&#10;" strokecolor="black [3200]" strokeweight=".5pt">
                    <v:stroke endarrow="block" joinstyle="miter"/>
                  </v:shape>
                </v:group>
                <v:shape id="Text Box 457" o:spid="_x0000_s1313" type="#_x0000_t202" style="position:absolute;left:66691;top:4760290;width:5885802;height:915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6LmxgAA&#10;ANwAAAAPAAAAZHJzL2Rvd25yZXYueG1sRI9Pa8JAFMTvQr/D8gQvUjeVmkp0lVYteGgP/sHzI/tM&#10;gtm3YXc18dt3C4LHYWZ+w8yXnanFjZyvLCt4GyUgiHOrKy4UHA/fr1MQPiBrrC2Tgjt5WC5eenPM&#10;tG15R7d9KESEsM9QQRlCk0np85IM+pFtiKN3ts5giNIVUjtsI9zUcpwkqTRYcVwosaFVSfllfzUK&#10;0rW7tjteDdfHzQ/+NsX49HU/KTXod58zEIG68Aw/2lut4H3yAf9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U6LmxgAAANwAAAAPAAAAAAAAAAAAAAAAAJcCAABkcnMv&#10;ZG93bnJldi54bWxQSwUGAAAAAAQABAD1AAAAigMAAAAA&#10;" stroked="f">
                  <v:textbox inset="0,0,0,0">
                    <w:txbxContent>
                      <w:p w14:paraId="0C5A3F42" w14:textId="3F2E3F66" w:rsidR="00C8402C" w:rsidRPr="002F6E8D" w:rsidRDefault="00C8402C" w:rsidP="00937006">
                        <w:pPr>
                          <w:pStyle w:val="Caption"/>
                          <w:rPr>
                            <w:noProof/>
                          </w:rPr>
                        </w:pPr>
                        <w:bookmarkStart w:id="398" w:name="_Toc500319562"/>
                        <w:r>
                          <w:t>Figure C2.</w:t>
                        </w:r>
                        <w:fldSimple w:instr=" SEQ Figure_C2. \* ARABIC ">
                          <w:r>
                            <w:rPr>
                              <w:noProof/>
                            </w:rPr>
                            <w:t>2</w:t>
                          </w:r>
                        </w:fldSimple>
                        <w:r w:rsidRPr="00937006">
                          <w:t xml:space="preserve"> </w:t>
                        </w:r>
                        <w:r w:rsidRPr="00FA111F">
                          <w:t>Contextual and cultural factors impacting upon learning and feedback behaviours and the relationships between them. Thickness of line indicates strength of relationship and direction indicates the linkages between factors.</w:t>
                        </w:r>
                        <w:bookmarkEnd w:id="398"/>
                      </w:p>
                    </w:txbxContent>
                  </v:textbox>
                </v:shape>
                <w10:wrap type="topAndBottom" anchorx="margin"/>
              </v:group>
            </w:pict>
          </mc:Fallback>
        </mc:AlternateContent>
      </w:r>
    </w:p>
    <w:p w14:paraId="2EE2E870" w14:textId="528A3DD7" w:rsidR="00937006" w:rsidRPr="00BD42AF" w:rsidRDefault="00937006" w:rsidP="00937006"/>
    <w:p w14:paraId="01DBD1D7" w14:textId="77777777" w:rsidR="007A5DAB" w:rsidRPr="00BD42AF" w:rsidRDefault="007A5DAB">
      <w:pPr>
        <w:rPr>
          <w:rFonts w:eastAsia="Lucida Sans Unicode" w:cs="Mangal"/>
          <w:kern w:val="1"/>
          <w:szCs w:val="24"/>
          <w:lang w:eastAsia="hi-IN" w:bidi="hi-IN"/>
        </w:rPr>
      </w:pPr>
      <w:r w:rsidRPr="00BD42AF">
        <w:br w:type="page"/>
      </w:r>
    </w:p>
    <w:p w14:paraId="52CB2A7E" w14:textId="31937AD4" w:rsidR="0084451B" w:rsidRPr="00C71126" w:rsidRDefault="0084451B" w:rsidP="007C73DC">
      <w:pPr>
        <w:pStyle w:val="Normal1"/>
        <w:rPr>
          <w:lang w:val="en-GB"/>
        </w:rPr>
      </w:pPr>
      <w:r w:rsidRPr="00BD42AF">
        <w:rPr>
          <w:lang w:val="en-GB"/>
        </w:rPr>
        <w:lastRenderedPageBreak/>
        <w:t xml:space="preserve">A </w:t>
      </w:r>
      <w:r w:rsidR="003E04F2" w:rsidRPr="00BD42AF">
        <w:rPr>
          <w:lang w:val="en-GB"/>
        </w:rPr>
        <w:t>minor</w:t>
      </w:r>
      <w:r w:rsidRPr="00BD42AF">
        <w:rPr>
          <w:lang w:val="en-GB"/>
        </w:rPr>
        <w:t xml:space="preserve"> but distinct directional link from workplace culture to the learner</w:t>
      </w:r>
      <w:r w:rsidR="003E04F2" w:rsidRPr="00BD42AF">
        <w:rPr>
          <w:lang w:val="en-GB"/>
        </w:rPr>
        <w:t>’</w:t>
      </w:r>
      <w:r w:rsidRPr="00BD42AF">
        <w:rPr>
          <w:lang w:val="en-GB"/>
        </w:rPr>
        <w:t>s</w:t>
      </w:r>
      <w:r w:rsidR="003E04F2" w:rsidRPr="00BD42AF">
        <w:rPr>
          <w:lang w:val="en-GB"/>
        </w:rPr>
        <w:t xml:space="preserve"> confidence was identified.</w:t>
      </w:r>
      <w:r w:rsidRPr="00BD42AF">
        <w:rPr>
          <w:lang w:val="en-GB"/>
        </w:rPr>
        <w:t xml:space="preserve"> </w:t>
      </w:r>
      <w:r w:rsidR="003E04F2" w:rsidRPr="00BD42AF">
        <w:rPr>
          <w:lang w:val="en-GB"/>
        </w:rPr>
        <w:t>Learners articulated how their</w:t>
      </w:r>
      <w:r w:rsidRPr="00BD42AF">
        <w:rPr>
          <w:lang w:val="en-GB"/>
        </w:rPr>
        <w:t xml:space="preserve"> perceptions of the cultural norms which existed within the workplace </w:t>
      </w:r>
      <w:r w:rsidR="004F4570" w:rsidRPr="001046E5">
        <w:rPr>
          <w:lang w:val="en-GB"/>
        </w:rPr>
        <w:t xml:space="preserve">influenced their </w:t>
      </w:r>
      <w:r w:rsidR="003E04F2" w:rsidRPr="00C71126">
        <w:rPr>
          <w:lang w:val="en-GB"/>
        </w:rPr>
        <w:t xml:space="preserve">confidence and </w:t>
      </w:r>
      <w:r w:rsidR="004F4570" w:rsidRPr="00C71126">
        <w:rPr>
          <w:lang w:val="en-GB"/>
        </w:rPr>
        <w:t>behaviour</w:t>
      </w:r>
      <w:r w:rsidR="003E04F2" w:rsidRPr="00C71126">
        <w:rPr>
          <w:lang w:val="en-GB"/>
        </w:rPr>
        <w:t>s</w:t>
      </w:r>
      <w:r w:rsidR="004F4570" w:rsidRPr="00C71126">
        <w:rPr>
          <w:lang w:val="en-GB"/>
        </w:rPr>
        <w:t>.</w:t>
      </w:r>
    </w:p>
    <w:p w14:paraId="572A064E" w14:textId="77777777" w:rsidR="0084451B" w:rsidRPr="00C71126" w:rsidRDefault="0084451B" w:rsidP="00AD45DC"/>
    <w:p w14:paraId="57188856" w14:textId="34DA0794" w:rsidR="0084451B" w:rsidRPr="00C71126" w:rsidRDefault="009045D2" w:rsidP="00026049">
      <w:pPr>
        <w:pStyle w:val="Quote"/>
        <w:rPr>
          <w:lang w:val="en-GB"/>
        </w:rPr>
      </w:pPr>
      <w:r w:rsidRPr="00C71126">
        <w:rPr>
          <w:lang w:val="en-GB"/>
        </w:rPr>
        <w:t>G3 - 1</w:t>
      </w:r>
      <w:r w:rsidR="0084451B" w:rsidRPr="00C71126">
        <w:rPr>
          <w:lang w:val="en-GB"/>
        </w:rPr>
        <w:t>: “If I have a good team, a good consultant, a good interest in it then I’m more motivated to do things, I wouldn’t be scared to staple the skin or ask about things, I actually want to do that. It’s the environment.”</w:t>
      </w:r>
    </w:p>
    <w:p w14:paraId="6D9AAA72" w14:textId="77777777" w:rsidR="004F4570" w:rsidRPr="00C71126" w:rsidRDefault="004F4570" w:rsidP="007C73DC">
      <w:pPr>
        <w:pStyle w:val="Normal1"/>
        <w:rPr>
          <w:lang w:val="en-GB"/>
        </w:rPr>
      </w:pPr>
    </w:p>
    <w:p w14:paraId="7FFF1BB2" w14:textId="66FEA46E" w:rsidR="004F4570" w:rsidRPr="00521DE8" w:rsidRDefault="003E04F2" w:rsidP="00026049">
      <w:pPr>
        <w:pStyle w:val="Normal1"/>
        <w:rPr>
          <w:lang w:val="en-GB"/>
        </w:rPr>
      </w:pPr>
      <w:r w:rsidRPr="00C71126">
        <w:rPr>
          <w:lang w:val="en-GB"/>
        </w:rPr>
        <w:t>Some described this</w:t>
      </w:r>
      <w:r w:rsidR="004F4570" w:rsidRPr="00521DE8">
        <w:rPr>
          <w:lang w:val="en-GB"/>
        </w:rPr>
        <w:t xml:space="preserve"> as a process of </w:t>
      </w:r>
      <w:r w:rsidR="00181B39" w:rsidRPr="00521DE8">
        <w:rPr>
          <w:lang w:val="en-GB"/>
        </w:rPr>
        <w:t>understanding the community of practice</w:t>
      </w:r>
      <w:r w:rsidR="004F4570" w:rsidRPr="00521DE8">
        <w:rPr>
          <w:lang w:val="en-GB"/>
        </w:rPr>
        <w:t xml:space="preserve"> where they found that they could learn the culture or “etiquette” over time and develop more independence as they conformed to those norms.</w:t>
      </w:r>
    </w:p>
    <w:p w14:paraId="6189D6B7" w14:textId="77777777" w:rsidR="004F4570" w:rsidRPr="00521DE8" w:rsidRDefault="004F4570" w:rsidP="00026049">
      <w:pPr>
        <w:pStyle w:val="Normal1"/>
        <w:rPr>
          <w:lang w:val="en-GB"/>
        </w:rPr>
      </w:pPr>
    </w:p>
    <w:p w14:paraId="093459EE" w14:textId="50DC1917" w:rsidR="004F4570" w:rsidRPr="00B56453" w:rsidRDefault="009045D2" w:rsidP="00026049">
      <w:pPr>
        <w:pStyle w:val="Quote"/>
        <w:rPr>
          <w:lang w:val="en-GB"/>
        </w:rPr>
      </w:pPr>
      <w:r w:rsidRPr="00521DE8">
        <w:rPr>
          <w:lang w:val="en-GB"/>
        </w:rPr>
        <w:t>G3 - 2</w:t>
      </w:r>
      <w:r w:rsidR="007A5DAB" w:rsidRPr="00521DE8">
        <w:rPr>
          <w:lang w:val="en-GB"/>
        </w:rPr>
        <w:t>: “S</w:t>
      </w:r>
      <w:r w:rsidR="0084451B" w:rsidRPr="00FD5859">
        <w:rPr>
          <w:lang w:val="en-GB"/>
        </w:rPr>
        <w:t>ince going on the ward round I’m more familiar with the patients and how the ward works. I can be more independent in that I can speak to patients by myself and I’ll ask if bloods need doing, go off and read some patient notes so generally getti</w:t>
      </w:r>
      <w:r w:rsidR="0084451B" w:rsidRPr="00B56453">
        <w:rPr>
          <w:lang w:val="en-GB"/>
        </w:rPr>
        <w:t>ng more comfortable around the wards. When I’m on the ward for the first time I don’t know how things work and the etiquette, I don’t want to get in the way.”</w:t>
      </w:r>
    </w:p>
    <w:p w14:paraId="7330F265" w14:textId="77777777" w:rsidR="004F4570" w:rsidRPr="00B56453" w:rsidRDefault="004F4570" w:rsidP="007C73DC">
      <w:pPr>
        <w:pStyle w:val="Normal1"/>
        <w:rPr>
          <w:lang w:val="en-GB"/>
        </w:rPr>
      </w:pPr>
    </w:p>
    <w:p w14:paraId="3D0E30E6" w14:textId="177DA1D5" w:rsidR="004F4570" w:rsidRPr="00B56453" w:rsidRDefault="003E04F2" w:rsidP="00026049">
      <w:pPr>
        <w:pStyle w:val="Normal1"/>
        <w:rPr>
          <w:lang w:val="en-GB"/>
        </w:rPr>
      </w:pPr>
      <w:r w:rsidRPr="00B56453">
        <w:rPr>
          <w:lang w:val="en-GB"/>
        </w:rPr>
        <w:t>Learners perceived the workplace culture as having</w:t>
      </w:r>
      <w:r w:rsidR="007B288E" w:rsidRPr="00B56453">
        <w:rPr>
          <w:lang w:val="en-GB"/>
        </w:rPr>
        <w:t xml:space="preserve"> an impact upon their relationships with those teaching them. Perceived hierarchies were seen as a barrier but these could be overcome if the teacher was </w:t>
      </w:r>
      <w:r w:rsidRPr="00B56453">
        <w:rPr>
          <w:lang w:val="en-GB"/>
        </w:rPr>
        <w:t>seen to be invested in the learner’s</w:t>
      </w:r>
      <w:r w:rsidR="007B288E" w:rsidRPr="00B56453">
        <w:rPr>
          <w:lang w:val="en-GB"/>
        </w:rPr>
        <w:t xml:space="preserve"> development and was willing to work in a collaborative way.</w:t>
      </w:r>
    </w:p>
    <w:p w14:paraId="325D36DB" w14:textId="77777777" w:rsidR="004F4570" w:rsidRPr="00B56453" w:rsidRDefault="004F4570" w:rsidP="007C73DC">
      <w:pPr>
        <w:pStyle w:val="Normal1"/>
        <w:rPr>
          <w:lang w:val="en-GB"/>
        </w:rPr>
      </w:pPr>
    </w:p>
    <w:p w14:paraId="2FB7F75C" w14:textId="0D8CD43F" w:rsidR="004F4570" w:rsidRPr="00B56453" w:rsidRDefault="00525706" w:rsidP="00026049">
      <w:pPr>
        <w:pStyle w:val="Quote"/>
        <w:rPr>
          <w:lang w:val="en-GB"/>
        </w:rPr>
      </w:pPr>
      <w:r w:rsidRPr="00B56453">
        <w:rPr>
          <w:lang w:val="en-GB"/>
        </w:rPr>
        <w:t>FG4 - SRLF</w:t>
      </w:r>
      <w:r w:rsidR="004F4570" w:rsidRPr="00B56453">
        <w:rPr>
          <w:lang w:val="en-GB"/>
        </w:rPr>
        <w:t xml:space="preserve"> </w:t>
      </w:r>
      <w:r w:rsidR="00632B0D" w:rsidRPr="00B56453">
        <w:rPr>
          <w:lang w:val="en-GB"/>
        </w:rPr>
        <w:t>Student 1</w:t>
      </w:r>
      <w:r w:rsidR="004F4570" w:rsidRPr="00B56453">
        <w:rPr>
          <w:lang w:val="en-GB"/>
        </w:rPr>
        <w:t xml:space="preserve">: </w:t>
      </w:r>
      <w:r w:rsidR="003E04F2" w:rsidRPr="00B56453">
        <w:rPr>
          <w:lang w:val="en-GB"/>
        </w:rPr>
        <w:t>“</w:t>
      </w:r>
      <w:r w:rsidR="007B288E" w:rsidRPr="00B56453">
        <w:rPr>
          <w:lang w:val="en-GB"/>
        </w:rPr>
        <w:t>“</w:t>
      </w:r>
      <w:r w:rsidR="004F4570" w:rsidRPr="00B56453">
        <w:rPr>
          <w:lang w:val="en-GB"/>
        </w:rPr>
        <w:t xml:space="preserve">I think there’s a stigma that there’s a hierarchy that the consultants know everything so you should just accept it what they say, and you always feel like you’re in the way so you don’t ask many questions and what you can improve on but it is important otherwise we won’t learn. Although we’ve had a good consultant. He spends time with us everywhere, he goes through patients with us, shows us chest x-rays and asks us questions like </w:t>
      </w:r>
      <w:r w:rsidR="003E04F2" w:rsidRPr="00B56453">
        <w:rPr>
          <w:lang w:val="en-GB"/>
        </w:rPr>
        <w:t>“</w:t>
      </w:r>
      <w:r w:rsidR="004F4570" w:rsidRPr="00B56453">
        <w:rPr>
          <w:lang w:val="en-GB"/>
        </w:rPr>
        <w:t>I wouldn’t expect you to know this but can you guess?</w:t>
      </w:r>
      <w:r w:rsidR="003E04F2" w:rsidRPr="00B56453">
        <w:rPr>
          <w:lang w:val="en-GB"/>
        </w:rPr>
        <w:t>”</w:t>
      </w:r>
      <w:r w:rsidR="004F4570" w:rsidRPr="00B56453">
        <w:rPr>
          <w:lang w:val="en-GB"/>
        </w:rPr>
        <w:t xml:space="preserve"> that kind of thing</w:t>
      </w:r>
      <w:r w:rsidR="007B288E" w:rsidRPr="00B56453">
        <w:rPr>
          <w:lang w:val="en-GB"/>
        </w:rPr>
        <w:t>”</w:t>
      </w:r>
      <w:r w:rsidR="003E04F2" w:rsidRPr="00B56453">
        <w:rPr>
          <w:lang w:val="en-GB"/>
        </w:rPr>
        <w:t>”</w:t>
      </w:r>
    </w:p>
    <w:p w14:paraId="09C494D6" w14:textId="77777777" w:rsidR="007B288E" w:rsidRPr="00B56453" w:rsidRDefault="007B288E" w:rsidP="007B288E">
      <w:pPr>
        <w:rPr>
          <w:lang w:eastAsia="en-GB"/>
        </w:rPr>
      </w:pPr>
    </w:p>
    <w:p w14:paraId="7F023C05" w14:textId="77777777" w:rsidR="007A5DAB" w:rsidRPr="00B56453" w:rsidRDefault="007A5DAB">
      <w:pPr>
        <w:rPr>
          <w:rFonts w:eastAsia="Lucida Sans Unicode" w:cs="Mangal"/>
          <w:kern w:val="1"/>
          <w:szCs w:val="24"/>
          <w:lang w:eastAsia="hi-IN" w:bidi="hi-IN"/>
        </w:rPr>
      </w:pPr>
      <w:r w:rsidRPr="00B56453">
        <w:br w:type="page"/>
      </w:r>
    </w:p>
    <w:p w14:paraId="57C89FCD" w14:textId="26BB6AF0" w:rsidR="007B288E" w:rsidRPr="00B56453" w:rsidRDefault="00181B39" w:rsidP="00026049">
      <w:pPr>
        <w:pStyle w:val="Normal1"/>
        <w:rPr>
          <w:lang w:val="en-GB"/>
        </w:rPr>
      </w:pPr>
      <w:r w:rsidRPr="00B56453">
        <w:rPr>
          <w:lang w:val="en-GB"/>
        </w:rPr>
        <w:lastRenderedPageBreak/>
        <w:t>Views were expressed</w:t>
      </w:r>
      <w:r w:rsidR="007B288E" w:rsidRPr="00B56453">
        <w:rPr>
          <w:lang w:val="en-GB"/>
        </w:rPr>
        <w:t xml:space="preserve"> more generally about the wider </w:t>
      </w:r>
      <w:r w:rsidR="00D62FEF" w:rsidRPr="00B56453">
        <w:rPr>
          <w:lang w:val="en-GB"/>
        </w:rPr>
        <w:t xml:space="preserve">clinical </w:t>
      </w:r>
      <w:r w:rsidR="007B288E" w:rsidRPr="00B56453">
        <w:rPr>
          <w:lang w:val="en-GB"/>
        </w:rPr>
        <w:t>care team. If the cult</w:t>
      </w:r>
      <w:r w:rsidR="003E04F2" w:rsidRPr="00B56453">
        <w:rPr>
          <w:lang w:val="en-GB"/>
        </w:rPr>
        <w:t>ure was more welcoming learners</w:t>
      </w:r>
      <w:r w:rsidR="007B288E" w:rsidRPr="00B56453">
        <w:rPr>
          <w:lang w:val="en-GB"/>
        </w:rPr>
        <w:t xml:space="preserve"> </w:t>
      </w:r>
      <w:r w:rsidRPr="00B56453">
        <w:rPr>
          <w:lang w:val="en-GB"/>
        </w:rPr>
        <w:t>articulated</w:t>
      </w:r>
      <w:r w:rsidR="007B288E" w:rsidRPr="00B56453">
        <w:rPr>
          <w:lang w:val="en-GB"/>
        </w:rPr>
        <w:t xml:space="preserve"> their desire to reciprocate positively, </w:t>
      </w:r>
      <w:r w:rsidR="00D62FEF" w:rsidRPr="00B56453">
        <w:rPr>
          <w:lang w:val="en-GB"/>
        </w:rPr>
        <w:t>encouraging</w:t>
      </w:r>
      <w:r w:rsidR="007B288E" w:rsidRPr="00B56453">
        <w:rPr>
          <w:lang w:val="en-GB"/>
        </w:rPr>
        <w:t xml:space="preserve"> a mutually beneficial relationship.</w:t>
      </w:r>
    </w:p>
    <w:p w14:paraId="558E8672" w14:textId="77777777" w:rsidR="007B288E" w:rsidRPr="00B56453" w:rsidRDefault="007B288E" w:rsidP="007B288E">
      <w:pPr>
        <w:rPr>
          <w:lang w:eastAsia="en-GB"/>
        </w:rPr>
      </w:pPr>
    </w:p>
    <w:p w14:paraId="4B024D53" w14:textId="031AE6EC" w:rsidR="004F4570" w:rsidRPr="00B56453" w:rsidRDefault="009045D2" w:rsidP="00026049">
      <w:pPr>
        <w:pStyle w:val="Quote"/>
        <w:rPr>
          <w:lang w:val="en-GB"/>
        </w:rPr>
      </w:pPr>
      <w:r w:rsidRPr="00B56453">
        <w:rPr>
          <w:lang w:val="en-GB"/>
        </w:rPr>
        <w:t>G7 - 1</w:t>
      </w:r>
      <w:r w:rsidR="004F4570" w:rsidRPr="00B56453">
        <w:rPr>
          <w:lang w:val="en-GB"/>
        </w:rPr>
        <w:t xml:space="preserve">: </w:t>
      </w:r>
      <w:r w:rsidR="007B288E" w:rsidRPr="00B56453">
        <w:rPr>
          <w:lang w:val="en-GB"/>
        </w:rPr>
        <w:t>“</w:t>
      </w:r>
      <w:r w:rsidR="004F4570" w:rsidRPr="00B56453">
        <w:rPr>
          <w:lang w:val="en-GB"/>
        </w:rPr>
        <w:t>They say good morning when we arrive, on my last placement they didn’t do that. They made a point of saying hello and asking how we were, asked if we wanted a copy of the list. Little things like that make it less daunting to join the ward round and other tasks. Because they’re keener to help me, I’m keener to make myself helpful a few days in a row.</w:t>
      </w:r>
      <w:r w:rsidR="007B288E" w:rsidRPr="00B56453">
        <w:rPr>
          <w:lang w:val="en-GB"/>
        </w:rPr>
        <w:t>”</w:t>
      </w:r>
    </w:p>
    <w:p w14:paraId="65ADE8C1" w14:textId="77777777" w:rsidR="003E04F2" w:rsidRPr="00B56453" w:rsidRDefault="003E04F2" w:rsidP="00026049">
      <w:pPr>
        <w:pStyle w:val="Normal1"/>
        <w:rPr>
          <w:lang w:val="en-GB"/>
        </w:rPr>
      </w:pPr>
    </w:p>
    <w:p w14:paraId="66C6B05B" w14:textId="5BDBF5FF" w:rsidR="00D62FEF" w:rsidRPr="00B56453" w:rsidRDefault="00D62FEF" w:rsidP="00026049">
      <w:pPr>
        <w:pStyle w:val="Normal1"/>
        <w:rPr>
          <w:lang w:val="en-GB"/>
        </w:rPr>
      </w:pPr>
      <w:r w:rsidRPr="00B56453">
        <w:rPr>
          <w:lang w:val="en-GB"/>
        </w:rPr>
        <w:t xml:space="preserve">There was a particularly strong relationship </w:t>
      </w:r>
      <w:r w:rsidR="003E04F2" w:rsidRPr="00B56453">
        <w:rPr>
          <w:lang w:val="en-GB"/>
        </w:rPr>
        <w:t xml:space="preserve">described </w:t>
      </w:r>
      <w:r w:rsidRPr="00B56453">
        <w:rPr>
          <w:lang w:val="en-GB"/>
        </w:rPr>
        <w:t xml:space="preserve">between the level of support received from teachers and/or staff and how integrated learners felt within the clinical team, or indeed their </w:t>
      </w:r>
      <w:r w:rsidR="008E7D00" w:rsidRPr="00B56453">
        <w:rPr>
          <w:lang w:val="en-GB"/>
        </w:rPr>
        <w:t>conceptualisation</w:t>
      </w:r>
      <w:r w:rsidRPr="00B56453">
        <w:rPr>
          <w:lang w:val="en-GB"/>
        </w:rPr>
        <w:t>s of what the team’s purpose was</w:t>
      </w:r>
      <w:r w:rsidR="00EF1599" w:rsidRPr="00B56453">
        <w:rPr>
          <w:lang w:val="en-GB"/>
        </w:rPr>
        <w:t xml:space="preserve"> and their </w:t>
      </w:r>
      <w:r w:rsidR="003E04F2" w:rsidRPr="00B56453">
        <w:rPr>
          <w:lang w:val="en-GB"/>
        </w:rPr>
        <w:t xml:space="preserve">individual </w:t>
      </w:r>
      <w:r w:rsidR="00EF1599" w:rsidRPr="00B56453">
        <w:rPr>
          <w:lang w:val="en-GB"/>
        </w:rPr>
        <w:t>role within it</w:t>
      </w:r>
      <w:r w:rsidRPr="00B56453">
        <w:rPr>
          <w:lang w:val="en-GB"/>
        </w:rPr>
        <w:t>.</w:t>
      </w:r>
    </w:p>
    <w:p w14:paraId="6F6884CC" w14:textId="77777777" w:rsidR="00D62FEF" w:rsidRPr="00B56453" w:rsidRDefault="00D62FEF" w:rsidP="00026049">
      <w:pPr>
        <w:pStyle w:val="Normal1"/>
        <w:rPr>
          <w:lang w:val="en-GB"/>
        </w:rPr>
      </w:pPr>
    </w:p>
    <w:p w14:paraId="0AF6BC2C" w14:textId="1D5CEF64" w:rsidR="000C5621" w:rsidRPr="00B56453" w:rsidRDefault="00525706" w:rsidP="00026049">
      <w:pPr>
        <w:pStyle w:val="Quote"/>
        <w:rPr>
          <w:lang w:val="en-GB"/>
        </w:rPr>
      </w:pPr>
      <w:r w:rsidRPr="00B56453">
        <w:rPr>
          <w:lang w:val="en-GB"/>
        </w:rPr>
        <w:t>FG4 - SRLF</w:t>
      </w:r>
      <w:r w:rsidR="000C5621" w:rsidRPr="00B56453">
        <w:rPr>
          <w:lang w:val="en-GB"/>
        </w:rPr>
        <w:t xml:space="preserve"> </w:t>
      </w:r>
      <w:r w:rsidR="00632B0D" w:rsidRPr="00B56453">
        <w:rPr>
          <w:b/>
          <w:bCs/>
          <w:lang w:val="en-GB"/>
        </w:rPr>
        <w:t>Student 1</w:t>
      </w:r>
      <w:r w:rsidR="000C5621" w:rsidRPr="00B56453">
        <w:rPr>
          <w:b/>
          <w:bCs/>
          <w:lang w:val="en-GB"/>
        </w:rPr>
        <w:t>:</w:t>
      </w:r>
      <w:r w:rsidR="000C5621" w:rsidRPr="00B56453">
        <w:rPr>
          <w:lang w:val="en-GB"/>
        </w:rPr>
        <w:t xml:space="preserve"> </w:t>
      </w:r>
      <w:r w:rsidR="007A5DAB" w:rsidRPr="00B56453">
        <w:rPr>
          <w:lang w:val="en-GB"/>
        </w:rPr>
        <w:t>““</w:t>
      </w:r>
      <w:r w:rsidR="000C5621" w:rsidRPr="00B56453">
        <w:rPr>
          <w:lang w:val="en-GB"/>
        </w:rPr>
        <w:t>we’ve had a good consultant. He spends time with us everywhere, he goes through patients with us, shows us chest x-rays and asks us questions like “I wouldn’t expect you to know this but can you guess?” that kind of thing</w:t>
      </w:r>
      <w:r w:rsidR="007A5DAB" w:rsidRPr="00B56453">
        <w:rPr>
          <w:lang w:val="en-GB"/>
        </w:rPr>
        <w:t>””</w:t>
      </w:r>
      <w:r w:rsidR="000C5621" w:rsidRPr="00B56453">
        <w:rPr>
          <w:lang w:val="en-GB"/>
        </w:rPr>
        <w:t xml:space="preserve"> </w:t>
      </w:r>
      <w:r w:rsidR="00632B0D" w:rsidRPr="00B56453">
        <w:rPr>
          <w:b/>
          <w:bCs/>
          <w:lang w:val="en-GB"/>
        </w:rPr>
        <w:t>Student 2</w:t>
      </w:r>
      <w:r w:rsidR="000C5621" w:rsidRPr="00B56453">
        <w:rPr>
          <w:b/>
          <w:bCs/>
          <w:lang w:val="en-GB"/>
        </w:rPr>
        <w:t>:</w:t>
      </w:r>
      <w:r w:rsidR="000C5621" w:rsidRPr="00B56453">
        <w:rPr>
          <w:lang w:val="en-GB"/>
        </w:rPr>
        <w:t xml:space="preserve"> </w:t>
      </w:r>
      <w:r w:rsidR="007A5DAB" w:rsidRPr="00B56453">
        <w:rPr>
          <w:lang w:val="en-GB"/>
        </w:rPr>
        <w:t>“H</w:t>
      </w:r>
      <w:r w:rsidR="000C5621" w:rsidRPr="00B56453">
        <w:rPr>
          <w:lang w:val="en-GB"/>
        </w:rPr>
        <w:t>e’s been amazing. He always encourages you and that you’re part of the team, not a spare part which is different.</w:t>
      </w:r>
      <w:r w:rsidR="007A5DAB" w:rsidRPr="00B56453">
        <w:rPr>
          <w:lang w:val="en-GB"/>
        </w:rPr>
        <w:t>”</w:t>
      </w:r>
      <w:r w:rsidR="000C5621" w:rsidRPr="00B56453">
        <w:rPr>
          <w:lang w:val="en-GB"/>
        </w:rPr>
        <w:t xml:space="preserve"> </w:t>
      </w:r>
      <w:r w:rsidR="00632B0D" w:rsidRPr="00B56453">
        <w:rPr>
          <w:b/>
          <w:bCs/>
          <w:lang w:val="en-GB"/>
        </w:rPr>
        <w:t>Student 3</w:t>
      </w:r>
      <w:r w:rsidR="000C5621" w:rsidRPr="00B56453">
        <w:rPr>
          <w:b/>
          <w:bCs/>
          <w:lang w:val="en-GB"/>
        </w:rPr>
        <w:t>:</w:t>
      </w:r>
      <w:r w:rsidR="000C5621" w:rsidRPr="00B56453">
        <w:rPr>
          <w:lang w:val="en-GB"/>
        </w:rPr>
        <w:t xml:space="preserve"> </w:t>
      </w:r>
      <w:r w:rsidR="007A5DAB" w:rsidRPr="00B56453">
        <w:rPr>
          <w:lang w:val="en-GB"/>
        </w:rPr>
        <w:t>“</w:t>
      </w:r>
      <w:r w:rsidR="000C5621" w:rsidRPr="00B56453">
        <w:rPr>
          <w:lang w:val="en-GB"/>
        </w:rPr>
        <w:t>makes you feel valued rather than feeling like a sheep hiding in the corner. Trying to stay out of the way.</w:t>
      </w:r>
      <w:r w:rsidR="007A5DAB" w:rsidRPr="00B56453">
        <w:rPr>
          <w:lang w:val="en-GB"/>
        </w:rPr>
        <w:t>”</w:t>
      </w:r>
    </w:p>
    <w:p w14:paraId="0C68F42C" w14:textId="3CD7337E" w:rsidR="000C5621" w:rsidRPr="00B56453" w:rsidRDefault="00525706" w:rsidP="00026049">
      <w:pPr>
        <w:pStyle w:val="Quote"/>
        <w:rPr>
          <w:lang w:val="en-GB"/>
        </w:rPr>
      </w:pPr>
      <w:r w:rsidRPr="00B56453">
        <w:rPr>
          <w:lang w:val="en-GB"/>
        </w:rPr>
        <w:t>FG4 - SRLF</w:t>
      </w:r>
      <w:r w:rsidR="000C5621" w:rsidRPr="00B56453">
        <w:rPr>
          <w:lang w:val="en-GB"/>
        </w:rPr>
        <w:t xml:space="preserve"> </w:t>
      </w:r>
      <w:r w:rsidR="00632B0D" w:rsidRPr="00B56453">
        <w:rPr>
          <w:lang w:val="en-GB"/>
        </w:rPr>
        <w:t>Student 6</w:t>
      </w:r>
      <w:r w:rsidR="000C5621" w:rsidRPr="00B56453">
        <w:rPr>
          <w:lang w:val="en-GB"/>
        </w:rPr>
        <w:t xml:space="preserve">: </w:t>
      </w:r>
      <w:r w:rsidR="007A5DAB" w:rsidRPr="00B56453">
        <w:rPr>
          <w:lang w:val="en-GB"/>
        </w:rPr>
        <w:t>“W</w:t>
      </w:r>
      <w:r w:rsidR="000C5621" w:rsidRPr="00B56453">
        <w:rPr>
          <w:lang w:val="en-GB"/>
        </w:rPr>
        <w:t xml:space="preserve">e still need a bit of coddling on the wards because </w:t>
      </w:r>
      <w:r w:rsidR="00D531CD" w:rsidRPr="00B56453">
        <w:rPr>
          <w:lang w:val="en-GB"/>
        </w:rPr>
        <w:t>it’s</w:t>
      </w:r>
      <w:r w:rsidR="000C5621" w:rsidRPr="00B56453">
        <w:rPr>
          <w:lang w:val="en-GB"/>
        </w:rPr>
        <w:t xml:space="preserve"> our first clinical placement and think “nobody cares about me, why am I here?” at the same time I want direction about my learning, so I think now </w:t>
      </w:r>
      <w:r w:rsidR="00803EBA" w:rsidRPr="00B56453">
        <w:rPr>
          <w:lang w:val="en-GB"/>
        </w:rPr>
        <w:t xml:space="preserve">it </w:t>
      </w:r>
      <w:r w:rsidR="000C5621" w:rsidRPr="00B56453">
        <w:rPr>
          <w:lang w:val="en-GB"/>
        </w:rPr>
        <w:t>is important to get attention from the team, because if you don’t you won’t get any support.</w:t>
      </w:r>
      <w:r w:rsidR="007A5DAB" w:rsidRPr="00B56453">
        <w:rPr>
          <w:lang w:val="en-GB"/>
        </w:rPr>
        <w:t>”</w:t>
      </w:r>
    </w:p>
    <w:p w14:paraId="3306AB14" w14:textId="77777777" w:rsidR="00D62FEF" w:rsidRPr="00B56453" w:rsidRDefault="00D62FEF" w:rsidP="00026049">
      <w:pPr>
        <w:pStyle w:val="Quote"/>
        <w:rPr>
          <w:lang w:val="en-GB"/>
        </w:rPr>
      </w:pPr>
    </w:p>
    <w:p w14:paraId="5AA69F70" w14:textId="7292AA2A" w:rsidR="00D62FEF" w:rsidRPr="00B56453" w:rsidRDefault="00EF1599" w:rsidP="00026049">
      <w:pPr>
        <w:pStyle w:val="Normal1"/>
        <w:rPr>
          <w:lang w:val="en-GB"/>
        </w:rPr>
      </w:pPr>
      <w:r w:rsidRPr="00B56453">
        <w:rPr>
          <w:lang w:val="en-GB"/>
        </w:rPr>
        <w:t xml:space="preserve">In some cases learners </w:t>
      </w:r>
      <w:r w:rsidR="00826C3B" w:rsidRPr="00B56453">
        <w:rPr>
          <w:lang w:val="en-GB"/>
        </w:rPr>
        <w:t>recounted responding</w:t>
      </w:r>
      <w:r w:rsidRPr="00B56453">
        <w:rPr>
          <w:lang w:val="en-GB"/>
        </w:rPr>
        <w:t xml:space="preserve"> to this support by attempting to further </w:t>
      </w:r>
      <w:r w:rsidR="00F663D8" w:rsidRPr="00B56453">
        <w:rPr>
          <w:lang w:val="en-GB"/>
        </w:rPr>
        <w:t>develop</w:t>
      </w:r>
      <w:r w:rsidRPr="00B56453">
        <w:rPr>
          <w:lang w:val="en-GB"/>
        </w:rPr>
        <w:t xml:space="preserve"> the relationship by being more proactive with day-to-day ward work</w:t>
      </w:r>
      <w:r w:rsidR="000220E4" w:rsidRPr="00B56453">
        <w:rPr>
          <w:lang w:val="en-GB"/>
        </w:rPr>
        <w:t>.</w:t>
      </w:r>
    </w:p>
    <w:p w14:paraId="21DDF256" w14:textId="77777777" w:rsidR="00D62FEF" w:rsidRPr="00B56453" w:rsidRDefault="00D62FEF" w:rsidP="00D62FEF">
      <w:pPr>
        <w:rPr>
          <w:lang w:eastAsia="en-GB"/>
        </w:rPr>
      </w:pPr>
    </w:p>
    <w:p w14:paraId="2E920641" w14:textId="572513DF" w:rsidR="00D62FEF" w:rsidRPr="00B56453" w:rsidRDefault="009045D2" w:rsidP="00026049">
      <w:pPr>
        <w:pStyle w:val="Quote"/>
        <w:rPr>
          <w:lang w:val="en-GB"/>
        </w:rPr>
      </w:pPr>
      <w:r w:rsidRPr="00B56453">
        <w:rPr>
          <w:lang w:val="en-GB"/>
        </w:rPr>
        <w:t>G7 - 1</w:t>
      </w:r>
      <w:r w:rsidR="00D62FEF" w:rsidRPr="00B56453">
        <w:rPr>
          <w:lang w:val="en-GB"/>
        </w:rPr>
        <w:t xml:space="preserve">: </w:t>
      </w:r>
      <w:r w:rsidR="007A5DAB" w:rsidRPr="00B56453">
        <w:rPr>
          <w:lang w:val="en-GB"/>
        </w:rPr>
        <w:t>“</w:t>
      </w:r>
      <w:r w:rsidR="00D62FEF" w:rsidRPr="00B56453">
        <w:rPr>
          <w:lang w:val="en-GB"/>
        </w:rPr>
        <w:t>The F1 has asked me if I need mini-CEX’s done and because I’ve helped out on the ward round they ask to help me get those done. It’s almost like an exchange. Trying to be as friendly as possible to them made them be friendly back. I think they like me. It definitely made it</w:t>
      </w:r>
      <w:r w:rsidR="00826C3B" w:rsidRPr="00B56453">
        <w:rPr>
          <w:lang w:val="en-GB"/>
        </w:rPr>
        <w:t xml:space="preserve"> feel</w:t>
      </w:r>
      <w:r w:rsidR="00D62FEF" w:rsidRPr="00B56453">
        <w:rPr>
          <w:lang w:val="en-GB"/>
        </w:rPr>
        <w:t xml:space="preserve"> like we were part of the team which did make a big difference.</w:t>
      </w:r>
      <w:r w:rsidR="007A5DAB" w:rsidRPr="00B56453">
        <w:rPr>
          <w:lang w:val="en-GB"/>
        </w:rPr>
        <w:t>”</w:t>
      </w:r>
    </w:p>
    <w:p w14:paraId="15B5B8D9" w14:textId="77777777" w:rsidR="007B288E" w:rsidRPr="00B56453" w:rsidRDefault="007B288E" w:rsidP="00026049">
      <w:pPr>
        <w:pStyle w:val="Normal1"/>
        <w:rPr>
          <w:lang w:val="en-GB"/>
        </w:rPr>
      </w:pPr>
    </w:p>
    <w:p w14:paraId="46BB0E19" w14:textId="5A2D814F" w:rsidR="00EF1599" w:rsidRPr="00B56453" w:rsidRDefault="00EF1599" w:rsidP="00026049">
      <w:pPr>
        <w:pStyle w:val="Normal1"/>
        <w:rPr>
          <w:lang w:val="en-GB"/>
        </w:rPr>
      </w:pPr>
      <w:r w:rsidRPr="00B56453">
        <w:rPr>
          <w:lang w:val="en-GB"/>
        </w:rPr>
        <w:t xml:space="preserve">Learners who felt that they were integrated into the team </w:t>
      </w:r>
      <w:r w:rsidR="00826C3B" w:rsidRPr="00B56453">
        <w:rPr>
          <w:lang w:val="en-GB"/>
        </w:rPr>
        <w:t>articulated</w:t>
      </w:r>
      <w:r w:rsidRPr="00B56453">
        <w:rPr>
          <w:lang w:val="en-GB"/>
        </w:rPr>
        <w:t xml:space="preserve"> that their confidence and motivation increased, leading to some feeling a sense of belonging and a boost in motivation to engage in ward work and </w:t>
      </w:r>
      <w:r w:rsidR="00483DED" w:rsidRPr="00B56453">
        <w:rPr>
          <w:lang w:val="en-GB"/>
        </w:rPr>
        <w:t xml:space="preserve">clinical </w:t>
      </w:r>
      <w:r w:rsidRPr="00B56453">
        <w:rPr>
          <w:lang w:val="en-GB"/>
        </w:rPr>
        <w:t>placement learning.</w:t>
      </w:r>
    </w:p>
    <w:p w14:paraId="61C46748" w14:textId="77777777" w:rsidR="00EF1599" w:rsidRPr="00B56453" w:rsidRDefault="00EF1599" w:rsidP="00026049">
      <w:pPr>
        <w:pStyle w:val="Normal1"/>
        <w:rPr>
          <w:lang w:val="en-GB"/>
        </w:rPr>
      </w:pPr>
    </w:p>
    <w:p w14:paraId="3A6401E1" w14:textId="6CBB7066" w:rsidR="00EF1599" w:rsidRPr="00B56453" w:rsidRDefault="009045D2" w:rsidP="00026049">
      <w:pPr>
        <w:pStyle w:val="Quote"/>
        <w:rPr>
          <w:lang w:val="en-GB"/>
        </w:rPr>
      </w:pPr>
      <w:r w:rsidRPr="00B56453">
        <w:rPr>
          <w:lang w:val="en-GB"/>
        </w:rPr>
        <w:t>G2 - 2</w:t>
      </w:r>
      <w:r w:rsidR="00EF1599" w:rsidRPr="00B56453">
        <w:rPr>
          <w:lang w:val="en-GB"/>
        </w:rPr>
        <w:t xml:space="preserve">: </w:t>
      </w:r>
      <w:r w:rsidR="0088036B" w:rsidRPr="00B56453">
        <w:rPr>
          <w:lang w:val="en-GB"/>
        </w:rPr>
        <w:t>“</w:t>
      </w:r>
      <w:r w:rsidR="00EF1599" w:rsidRPr="00B56453">
        <w:rPr>
          <w:lang w:val="en-GB"/>
        </w:rPr>
        <w:t xml:space="preserve">Sometimes I can get really bored or tired, not very involved, but when I’m included like that I feel like I have a bit of a role, so I enjoyed doing that on Monday. It gave me some good learning points to reflect upon. It’s </w:t>
      </w:r>
      <w:r w:rsidR="00803EBA" w:rsidRPr="00B56453">
        <w:rPr>
          <w:lang w:val="en-GB"/>
        </w:rPr>
        <w:t>more important to work, the day</w:t>
      </w:r>
      <w:r w:rsidR="00EF1599" w:rsidRPr="00B56453">
        <w:rPr>
          <w:lang w:val="en-GB"/>
        </w:rPr>
        <w:t xml:space="preserve"> goes quicker and have good fun while getting work done if I’m less structured. I’ve learned that a lot. It’s really beneficial and I’ve enjoyed it much more. I felt more like a medical student.</w:t>
      </w:r>
      <w:r w:rsidR="0088036B" w:rsidRPr="00B56453">
        <w:rPr>
          <w:lang w:val="en-GB"/>
        </w:rPr>
        <w:t>”</w:t>
      </w:r>
    </w:p>
    <w:p w14:paraId="1F871757" w14:textId="07F2993D" w:rsidR="00EF1599" w:rsidRPr="00B56453" w:rsidRDefault="009045D2" w:rsidP="00026049">
      <w:pPr>
        <w:pStyle w:val="Quote"/>
        <w:rPr>
          <w:lang w:val="en-GB"/>
        </w:rPr>
      </w:pPr>
      <w:r w:rsidRPr="00B56453">
        <w:rPr>
          <w:lang w:val="en-GB"/>
        </w:rPr>
        <w:t>G7 - 2</w:t>
      </w:r>
      <w:r w:rsidR="00EF1599" w:rsidRPr="00B56453">
        <w:rPr>
          <w:lang w:val="en-GB"/>
        </w:rPr>
        <w:t xml:space="preserve">: </w:t>
      </w:r>
      <w:r w:rsidR="0088036B" w:rsidRPr="00B56453">
        <w:rPr>
          <w:lang w:val="en-GB"/>
        </w:rPr>
        <w:t>“</w:t>
      </w:r>
      <w:r w:rsidR="00EF1599" w:rsidRPr="00B56453">
        <w:rPr>
          <w:lang w:val="en-GB"/>
        </w:rPr>
        <w:t>I love being a part of something and feeling like I can help, I love that, that’s why I want to come in, because I want to help them, like mutually beneficial. At (different trust) it feels like they don’t want us there, like we’re in the way, because there’s so many of us as well.</w:t>
      </w:r>
      <w:r w:rsidR="0088036B" w:rsidRPr="00B56453">
        <w:rPr>
          <w:lang w:val="en-GB"/>
        </w:rPr>
        <w:t>”</w:t>
      </w:r>
    </w:p>
    <w:p w14:paraId="7335362A" w14:textId="77777777" w:rsidR="0088036B" w:rsidRPr="00B56453" w:rsidRDefault="0088036B"/>
    <w:p w14:paraId="5B6BE078" w14:textId="504D17E4" w:rsidR="0088036B" w:rsidRPr="00B56453" w:rsidRDefault="00DD7FBD" w:rsidP="00026049">
      <w:pPr>
        <w:pStyle w:val="Normal1"/>
        <w:rPr>
          <w:lang w:val="en-GB"/>
        </w:rPr>
      </w:pPr>
      <w:r w:rsidRPr="00B56453">
        <w:rPr>
          <w:lang w:val="en-GB"/>
        </w:rPr>
        <w:t xml:space="preserve">A minor link was identified between learners’ perceptions of the team environment and their learning priorities, particularly that the transition into the clinical environment where teamwork is the norm had an effect on </w:t>
      </w:r>
      <w:r w:rsidR="00F663D8" w:rsidRPr="00B56453">
        <w:rPr>
          <w:lang w:val="en-GB"/>
        </w:rPr>
        <w:t>their</w:t>
      </w:r>
      <w:r w:rsidRPr="00B56453">
        <w:rPr>
          <w:lang w:val="en-GB"/>
        </w:rPr>
        <w:t xml:space="preserve"> learning priorities. Some recognised more than others the importance of the professionalism element of clinical learning as a result.</w:t>
      </w:r>
    </w:p>
    <w:p w14:paraId="12914495" w14:textId="77777777" w:rsidR="00DD7FBD" w:rsidRPr="00B56453" w:rsidRDefault="00DD7FBD"/>
    <w:p w14:paraId="0B5863EF" w14:textId="19645B5A" w:rsidR="0088036B" w:rsidRPr="00B56453" w:rsidRDefault="009045D2" w:rsidP="00026049">
      <w:pPr>
        <w:pStyle w:val="Quote"/>
        <w:rPr>
          <w:lang w:val="en-GB"/>
        </w:rPr>
      </w:pPr>
      <w:r w:rsidRPr="00B56453">
        <w:rPr>
          <w:lang w:val="en-GB"/>
        </w:rPr>
        <w:t>G5 - 1</w:t>
      </w:r>
      <w:r w:rsidR="0088036B" w:rsidRPr="00B56453">
        <w:rPr>
          <w:lang w:val="en-GB"/>
        </w:rPr>
        <w:t xml:space="preserve">: </w:t>
      </w:r>
      <w:r w:rsidR="00DD7FBD" w:rsidRPr="00B56453">
        <w:rPr>
          <w:lang w:val="en-GB"/>
        </w:rPr>
        <w:t>“</w:t>
      </w:r>
      <w:r w:rsidR="000220E4" w:rsidRPr="00B56453">
        <w:rPr>
          <w:lang w:val="en-GB"/>
        </w:rPr>
        <w:t>Y</w:t>
      </w:r>
      <w:r w:rsidR="0088036B" w:rsidRPr="00B56453">
        <w:rPr>
          <w:lang w:val="en-GB"/>
        </w:rPr>
        <w:t>eah it’s just more challenging, confidence to ask. At the start I felt like I was hassling them but at the end of the day they’ve accepted me onto the ward, I won’t learn or become a decent doctor unless I ask and get involved. Part of the opportunity is asking for it. That’s why it’s been such a steep learning curve, we go from sitting in lectures which is so passive to actually having to be professiona</w:t>
      </w:r>
      <w:r w:rsidR="00DD7FBD" w:rsidRPr="00B56453">
        <w:rPr>
          <w:lang w:val="en-GB"/>
        </w:rPr>
        <w:t>l.”</w:t>
      </w:r>
    </w:p>
    <w:p w14:paraId="38FA50FD" w14:textId="12728C7B" w:rsidR="00DD7FBD" w:rsidRPr="00B56453" w:rsidRDefault="009045D2" w:rsidP="00026049">
      <w:pPr>
        <w:pStyle w:val="Quote"/>
        <w:rPr>
          <w:lang w:val="en-GB"/>
        </w:rPr>
      </w:pPr>
      <w:r w:rsidRPr="00B56453">
        <w:rPr>
          <w:lang w:val="en-GB"/>
        </w:rPr>
        <w:t>G2 - 2</w:t>
      </w:r>
      <w:r w:rsidR="00DD7FBD" w:rsidRPr="00B56453">
        <w:rPr>
          <w:lang w:val="en-GB"/>
        </w:rPr>
        <w:t xml:space="preserve">: “I learned a lot about what a junior doctor does which is good because I learn it more and more as I see the day to day stuff. </w:t>
      </w:r>
      <w:r w:rsidR="00B716CC" w:rsidRPr="00B56453">
        <w:rPr>
          <w:lang w:val="en-GB"/>
        </w:rPr>
        <w:t>[…]</w:t>
      </w:r>
      <w:r w:rsidR="00DD7FBD" w:rsidRPr="00B56453">
        <w:rPr>
          <w:lang w:val="en-GB"/>
        </w:rPr>
        <w:t xml:space="preserve">Beyond the wards I could see what my job will look like in the next few years so finding out more about it was good. When I learn more then I can do more, they were also doing discharge letters and one of the juniors taught me to do it and then I could help him do that, sped his work along which I liked and also it helped me to know it. Sometimes I get the uncertainty of how I’m </w:t>
      </w:r>
      <w:r w:rsidR="00DD7FBD" w:rsidRPr="00B56453">
        <w:rPr>
          <w:lang w:val="en-GB"/>
        </w:rPr>
        <w:lastRenderedPageBreak/>
        <w:t xml:space="preserve">going to be a doctor in a few years, learning more about what that will look like will help me think about what area I want to go into. </w:t>
      </w:r>
      <w:r w:rsidR="00B716CC" w:rsidRPr="00B56453">
        <w:rPr>
          <w:lang w:val="en-GB"/>
        </w:rPr>
        <w:t>[…]</w:t>
      </w:r>
      <w:r w:rsidR="00DD7FBD" w:rsidRPr="00B56453">
        <w:rPr>
          <w:lang w:val="en-GB"/>
        </w:rPr>
        <w:t>. Makes me feel more comfortable and useful.”</w:t>
      </w:r>
    </w:p>
    <w:p w14:paraId="1C12272C" w14:textId="77777777" w:rsidR="00DD7FBD" w:rsidRPr="00B56453" w:rsidRDefault="00DD7FBD"/>
    <w:p w14:paraId="7F757170" w14:textId="4284150E" w:rsidR="00DD7FBD" w:rsidRPr="00B56453" w:rsidRDefault="000220E4" w:rsidP="00026049">
      <w:pPr>
        <w:pStyle w:val="Normal1"/>
        <w:rPr>
          <w:lang w:val="en-GB"/>
        </w:rPr>
      </w:pPr>
      <w:r w:rsidRPr="00B56453">
        <w:rPr>
          <w:lang w:val="en-GB"/>
        </w:rPr>
        <w:t>Learners perceived that the</w:t>
      </w:r>
      <w:r w:rsidR="00263826" w:rsidRPr="00B56453">
        <w:rPr>
          <w:lang w:val="en-GB"/>
        </w:rPr>
        <w:t xml:space="preserve"> </w:t>
      </w:r>
      <w:r w:rsidR="008F56C0" w:rsidRPr="00B56453">
        <w:rPr>
          <w:lang w:val="en-GB"/>
        </w:rPr>
        <w:t xml:space="preserve">clinical learning </w:t>
      </w:r>
      <w:r w:rsidR="00263826" w:rsidRPr="00B56453">
        <w:rPr>
          <w:lang w:val="en-GB"/>
        </w:rPr>
        <w:t xml:space="preserve">environment </w:t>
      </w:r>
      <w:r w:rsidR="008F56C0" w:rsidRPr="00B56453">
        <w:rPr>
          <w:lang w:val="en-GB"/>
        </w:rPr>
        <w:t xml:space="preserve">had a particularly strong directional link to </w:t>
      </w:r>
      <w:r w:rsidRPr="00B56453">
        <w:rPr>
          <w:lang w:val="en-GB"/>
        </w:rPr>
        <w:t>their</w:t>
      </w:r>
      <w:r w:rsidR="008F56C0" w:rsidRPr="00B56453">
        <w:rPr>
          <w:lang w:val="en-GB"/>
        </w:rPr>
        <w:t xml:space="preserve"> learning priorities.</w:t>
      </w:r>
      <w:r w:rsidR="00263826" w:rsidRPr="00B56453">
        <w:rPr>
          <w:lang w:val="en-GB"/>
        </w:rPr>
        <w:t xml:space="preserve"> The accessibility of patients on particular </w:t>
      </w:r>
      <w:r w:rsidR="00483DED" w:rsidRPr="00B56453">
        <w:rPr>
          <w:lang w:val="en-GB"/>
        </w:rPr>
        <w:t xml:space="preserve">clinical </w:t>
      </w:r>
      <w:r w:rsidR="00263826" w:rsidRPr="00B56453">
        <w:rPr>
          <w:lang w:val="en-GB"/>
        </w:rPr>
        <w:t xml:space="preserve">placements had a direct impact upon those whose learning priorities were focused more towards assessment since physical examinations and </w:t>
      </w:r>
      <w:r w:rsidRPr="00B56453">
        <w:rPr>
          <w:lang w:val="en-GB"/>
        </w:rPr>
        <w:t xml:space="preserve">patient </w:t>
      </w:r>
      <w:r w:rsidR="00263826" w:rsidRPr="00B56453">
        <w:rPr>
          <w:lang w:val="en-GB"/>
        </w:rPr>
        <w:t>communica</w:t>
      </w:r>
      <w:r w:rsidRPr="00B56453">
        <w:rPr>
          <w:lang w:val="en-GB"/>
        </w:rPr>
        <w:t>tion</w:t>
      </w:r>
      <w:r w:rsidR="00263826" w:rsidRPr="00B56453">
        <w:rPr>
          <w:lang w:val="en-GB"/>
        </w:rPr>
        <w:t xml:space="preserve"> were to be scrutinised in those assessments.</w:t>
      </w:r>
    </w:p>
    <w:p w14:paraId="578DC734" w14:textId="77777777" w:rsidR="00DD7FBD" w:rsidRPr="00B56453" w:rsidRDefault="00DD7FBD"/>
    <w:p w14:paraId="5EB03E23" w14:textId="7B296AF7" w:rsidR="00DD7FBD" w:rsidRPr="00B56453" w:rsidRDefault="005F095D" w:rsidP="00026049">
      <w:pPr>
        <w:pStyle w:val="Quote"/>
        <w:rPr>
          <w:lang w:val="en-GB"/>
        </w:rPr>
      </w:pPr>
      <w:r w:rsidRPr="00B56453">
        <w:rPr>
          <w:b/>
          <w:lang w:val="en-GB"/>
        </w:rPr>
        <w:t>Interviewer</w:t>
      </w:r>
      <w:r w:rsidR="00DD7FBD" w:rsidRPr="00B56453">
        <w:rPr>
          <w:lang w:val="en-GB"/>
        </w:rPr>
        <w:t xml:space="preserve">: </w:t>
      </w:r>
      <w:r w:rsidRPr="00B56453">
        <w:rPr>
          <w:lang w:val="en-GB"/>
        </w:rPr>
        <w:t>“</w:t>
      </w:r>
      <w:r w:rsidR="00DD7FBD" w:rsidRPr="00B56453">
        <w:rPr>
          <w:lang w:val="en-GB"/>
        </w:rPr>
        <w:t>why have you chosen to go to clinics?</w:t>
      </w:r>
      <w:r w:rsidRPr="00B56453">
        <w:rPr>
          <w:lang w:val="en-GB"/>
        </w:rPr>
        <w:t>”</w:t>
      </w:r>
      <w:r w:rsidR="00DD7FBD" w:rsidRPr="00B56453">
        <w:rPr>
          <w:lang w:val="en-GB"/>
        </w:rPr>
        <w:br/>
      </w:r>
      <w:r w:rsidR="009045D2" w:rsidRPr="00B56453">
        <w:rPr>
          <w:b/>
          <w:lang w:val="en-GB"/>
        </w:rPr>
        <w:t>G5 - 1</w:t>
      </w:r>
      <w:r w:rsidR="00DD7FBD" w:rsidRPr="00B56453">
        <w:rPr>
          <w:b/>
          <w:lang w:val="en-GB"/>
        </w:rPr>
        <w:t>:</w:t>
      </w:r>
      <w:r w:rsidR="00DD7FBD" w:rsidRPr="00B56453">
        <w:rPr>
          <w:lang w:val="en-GB"/>
        </w:rPr>
        <w:t xml:space="preserve"> </w:t>
      </w:r>
      <w:r w:rsidRPr="00B56453">
        <w:rPr>
          <w:lang w:val="en-GB"/>
        </w:rPr>
        <w:t>“</w:t>
      </w:r>
      <w:r w:rsidR="00B716CC" w:rsidRPr="00B56453">
        <w:rPr>
          <w:lang w:val="en-GB"/>
        </w:rPr>
        <w:t>B</w:t>
      </w:r>
      <w:r w:rsidR="00DD7FBD" w:rsidRPr="00B56453">
        <w:rPr>
          <w:lang w:val="en-GB"/>
        </w:rPr>
        <w:t xml:space="preserve">ecause I can actually see patients myself, I’ve got OSCEs coming up so going to theatre is of no benefit to me, I don’t speak to any patients, no communications skills to improve. It’s either sit or stand for two hours, or speak to some patients and get feedback on examinations which </w:t>
      </w:r>
      <w:r w:rsidRPr="00B56453">
        <w:rPr>
          <w:lang w:val="en-GB"/>
        </w:rPr>
        <w:t>is helpful for me at this stage.”</w:t>
      </w:r>
    </w:p>
    <w:p w14:paraId="3CB3055F" w14:textId="2E6506C9" w:rsidR="008F56C0" w:rsidRPr="00B56453" w:rsidRDefault="009045D2" w:rsidP="00026049">
      <w:pPr>
        <w:pStyle w:val="Quote"/>
        <w:rPr>
          <w:lang w:val="en-GB"/>
        </w:rPr>
      </w:pPr>
      <w:r w:rsidRPr="00B56453">
        <w:rPr>
          <w:lang w:val="en-GB"/>
        </w:rPr>
        <w:t>G7 - 2</w:t>
      </w:r>
      <w:r w:rsidR="008F56C0" w:rsidRPr="00B56453">
        <w:rPr>
          <w:lang w:val="en-GB"/>
        </w:rPr>
        <w:t>: “They have a common room so we practice examinations with each other and practice histories on each other, there’s quite a few of us in the common room, we all get involved and we are working hard even though we’re not on the ward, that’s the only way we can make good use of our time, it’s all well and good being on the ward doing examinations but we don’t know if we’re doing it right and we don’t know how to take a good history, there’s not an F1 in there analysing us because they’re busy so we can’t expect that. So everyone goes down to the common room and practices”</w:t>
      </w:r>
    </w:p>
    <w:p w14:paraId="3606C4A7" w14:textId="77777777" w:rsidR="008F56C0" w:rsidRPr="00B56453" w:rsidRDefault="008F56C0" w:rsidP="008F56C0">
      <w:pPr>
        <w:rPr>
          <w:lang w:eastAsia="en-GB"/>
        </w:rPr>
      </w:pPr>
    </w:p>
    <w:p w14:paraId="08021309" w14:textId="6ECA8D21" w:rsidR="008F56C0" w:rsidRPr="00B56453" w:rsidRDefault="00A21507" w:rsidP="00026049">
      <w:pPr>
        <w:pStyle w:val="Normal1"/>
        <w:rPr>
          <w:lang w:val="en-GB"/>
        </w:rPr>
      </w:pPr>
      <w:r w:rsidRPr="00B56453">
        <w:rPr>
          <w:lang w:val="en-GB"/>
        </w:rPr>
        <w:t xml:space="preserve">The transition from the safe and often simulated nature of </w:t>
      </w:r>
      <w:r w:rsidR="00F663D8" w:rsidRPr="00B56453">
        <w:rPr>
          <w:lang w:val="en-GB"/>
        </w:rPr>
        <w:t>pre-clinical</w:t>
      </w:r>
      <w:r w:rsidRPr="00B56453">
        <w:rPr>
          <w:lang w:val="en-GB"/>
        </w:rPr>
        <w:t xml:space="preserve"> medical learning to the clinical learning environment was described by many learners as influential </w:t>
      </w:r>
      <w:r w:rsidR="000220E4" w:rsidRPr="00B56453">
        <w:rPr>
          <w:lang w:val="en-GB"/>
        </w:rPr>
        <w:t>on</w:t>
      </w:r>
      <w:r w:rsidRPr="00B56453">
        <w:rPr>
          <w:lang w:val="en-GB"/>
        </w:rPr>
        <w:t xml:space="preserve"> their </w:t>
      </w:r>
      <w:r w:rsidR="000220E4" w:rsidRPr="00B56453">
        <w:rPr>
          <w:lang w:val="en-GB"/>
        </w:rPr>
        <w:t xml:space="preserve">chosen </w:t>
      </w:r>
      <w:r w:rsidRPr="00B56453">
        <w:rPr>
          <w:lang w:val="en-GB"/>
        </w:rPr>
        <w:t>learning priorities and the importance of feedback.</w:t>
      </w:r>
    </w:p>
    <w:p w14:paraId="3AE1EB06" w14:textId="77777777" w:rsidR="008F56C0" w:rsidRPr="00B56453" w:rsidRDefault="008F56C0" w:rsidP="008F56C0">
      <w:pPr>
        <w:rPr>
          <w:lang w:eastAsia="en-GB"/>
        </w:rPr>
      </w:pPr>
    </w:p>
    <w:p w14:paraId="6900C7E0" w14:textId="6355B871" w:rsidR="00DD7FBD" w:rsidRPr="00B56453" w:rsidRDefault="00525706" w:rsidP="00026049">
      <w:pPr>
        <w:pStyle w:val="Quote"/>
        <w:rPr>
          <w:lang w:val="en-GB"/>
        </w:rPr>
      </w:pPr>
      <w:r w:rsidRPr="00B56453">
        <w:rPr>
          <w:lang w:val="en-GB"/>
        </w:rPr>
        <w:t>FG7 - SRLF</w:t>
      </w:r>
      <w:r w:rsidR="00DD7FBD" w:rsidRPr="00B56453">
        <w:rPr>
          <w:lang w:val="en-GB"/>
        </w:rPr>
        <w:t xml:space="preserve"> </w:t>
      </w:r>
      <w:r w:rsidR="00632B0D" w:rsidRPr="00B56453">
        <w:rPr>
          <w:b/>
          <w:bCs/>
          <w:lang w:val="en-GB"/>
        </w:rPr>
        <w:t>Student 4</w:t>
      </w:r>
      <w:r w:rsidR="00DD7FBD" w:rsidRPr="00B56453">
        <w:rPr>
          <w:b/>
          <w:bCs/>
          <w:lang w:val="en-GB"/>
        </w:rPr>
        <w:t>:</w:t>
      </w:r>
      <w:r w:rsidR="00DD7FBD" w:rsidRPr="00B56453">
        <w:rPr>
          <w:lang w:val="en-GB"/>
        </w:rPr>
        <w:t xml:space="preserve"> </w:t>
      </w:r>
      <w:r w:rsidR="005F095D" w:rsidRPr="00B56453">
        <w:rPr>
          <w:lang w:val="en-GB"/>
        </w:rPr>
        <w:t>“</w:t>
      </w:r>
      <w:r w:rsidR="00B716CC" w:rsidRPr="00B56453">
        <w:rPr>
          <w:lang w:val="en-GB"/>
        </w:rPr>
        <w:t>I</w:t>
      </w:r>
      <w:r w:rsidR="00DD7FBD" w:rsidRPr="00B56453">
        <w:rPr>
          <w:lang w:val="en-GB"/>
        </w:rPr>
        <w:t>t feels more real. The difference between simulation and what we do now is that we might potentially hurt someone.</w:t>
      </w:r>
      <w:r w:rsidR="00B716CC" w:rsidRPr="00B56453">
        <w:rPr>
          <w:lang w:val="en-GB"/>
        </w:rPr>
        <w:t>”</w:t>
      </w:r>
      <w:r w:rsidR="00DD7FBD" w:rsidRPr="00B56453">
        <w:rPr>
          <w:lang w:val="en-GB"/>
        </w:rPr>
        <w:t xml:space="preserve"> </w:t>
      </w:r>
      <w:r w:rsidR="00632B0D" w:rsidRPr="00B56453">
        <w:rPr>
          <w:b/>
          <w:bCs/>
          <w:lang w:val="en-GB"/>
        </w:rPr>
        <w:t>Student 2</w:t>
      </w:r>
      <w:r w:rsidR="00DD7FBD" w:rsidRPr="00B56453">
        <w:rPr>
          <w:b/>
          <w:bCs/>
          <w:lang w:val="en-GB"/>
        </w:rPr>
        <w:t>:</w:t>
      </w:r>
      <w:r w:rsidR="00DD7FBD" w:rsidRPr="00B56453">
        <w:rPr>
          <w:lang w:val="en-GB"/>
        </w:rPr>
        <w:t xml:space="preserve"> </w:t>
      </w:r>
      <w:r w:rsidR="00B716CC" w:rsidRPr="00B56453">
        <w:rPr>
          <w:lang w:val="en-GB"/>
        </w:rPr>
        <w:t>“</w:t>
      </w:r>
      <w:r w:rsidR="00DD7FBD" w:rsidRPr="00B56453">
        <w:rPr>
          <w:lang w:val="en-GB"/>
        </w:rPr>
        <w:t>I feel like I need it a lot more than I did before. Even in phase 1 and 2a I feel like I wanted a bit more feedback because you just sit your exam at the end of the year and that’s it so we don’t really know where we are, now I feel I get more here because its more skills based</w:t>
      </w:r>
      <w:r w:rsidR="00B716CC" w:rsidRPr="00B56453">
        <w:rPr>
          <w:lang w:val="en-GB"/>
        </w:rPr>
        <w:t xml:space="preserve"> […] </w:t>
      </w:r>
      <w:r w:rsidR="00DD7FBD" w:rsidRPr="00B56453">
        <w:rPr>
          <w:lang w:val="en-GB"/>
        </w:rPr>
        <w:t>The feedback matters more, there’s more agency to act upon it because we’re in real practical situations day-to-day.</w:t>
      </w:r>
      <w:r w:rsidR="005F095D" w:rsidRPr="00B56453">
        <w:rPr>
          <w:lang w:val="en-GB"/>
        </w:rPr>
        <w:t>”</w:t>
      </w:r>
    </w:p>
    <w:p w14:paraId="1E030E06" w14:textId="4A579F40" w:rsidR="005F095D" w:rsidRPr="00B56453" w:rsidRDefault="00525706" w:rsidP="00026049">
      <w:pPr>
        <w:pStyle w:val="Quote"/>
        <w:rPr>
          <w:lang w:val="en-GB"/>
        </w:rPr>
      </w:pPr>
      <w:r w:rsidRPr="00B56453">
        <w:rPr>
          <w:lang w:val="en-GB"/>
        </w:rPr>
        <w:lastRenderedPageBreak/>
        <w:t>FG6 - BPF</w:t>
      </w:r>
      <w:r w:rsidR="00632B0D" w:rsidRPr="00B56453">
        <w:rPr>
          <w:lang w:val="en-GB"/>
        </w:rPr>
        <w:t xml:space="preserve"> Student 2</w:t>
      </w:r>
      <w:r w:rsidR="00B716CC" w:rsidRPr="00B56453">
        <w:rPr>
          <w:lang w:val="en-GB"/>
        </w:rPr>
        <w:t>: “I</w:t>
      </w:r>
      <w:r w:rsidR="005F095D" w:rsidRPr="00B56453">
        <w:rPr>
          <w:lang w:val="en-GB"/>
        </w:rPr>
        <w:t>t’s differen</w:t>
      </w:r>
      <w:r w:rsidR="00575F1F" w:rsidRPr="00B56453">
        <w:rPr>
          <w:lang w:val="en-GB"/>
        </w:rPr>
        <w:t>t. The first two years is just ‘</w:t>
      </w:r>
      <w:r w:rsidR="005F095D" w:rsidRPr="00B56453">
        <w:rPr>
          <w:lang w:val="en-GB"/>
        </w:rPr>
        <w:t>how can I learn this better? Ho</w:t>
      </w:r>
      <w:r w:rsidR="00575F1F" w:rsidRPr="00B56453">
        <w:rPr>
          <w:lang w:val="en-GB"/>
        </w:rPr>
        <w:t>w can I understand more things?’</w:t>
      </w:r>
      <w:r w:rsidR="005F095D" w:rsidRPr="00B56453">
        <w:rPr>
          <w:lang w:val="en-GB"/>
        </w:rPr>
        <w:t xml:space="preserve"> but now in our </w:t>
      </w:r>
      <w:r w:rsidR="00575F1F" w:rsidRPr="00B56453">
        <w:rPr>
          <w:lang w:val="en-GB"/>
        </w:rPr>
        <w:t>clinical years, it’s more like ‘</w:t>
      </w:r>
      <w:r w:rsidR="005F095D" w:rsidRPr="00B56453">
        <w:rPr>
          <w:lang w:val="en-GB"/>
        </w:rPr>
        <w:t xml:space="preserve">how can I function better with the team? How do I be more efficient </w:t>
      </w:r>
      <w:r w:rsidR="00575F1F" w:rsidRPr="00B56453">
        <w:rPr>
          <w:lang w:val="en-GB"/>
        </w:rPr>
        <w:t>when I’m working with the team?</w:t>
      </w:r>
      <w:r w:rsidR="005F095D" w:rsidRPr="00B56453">
        <w:rPr>
          <w:lang w:val="en-GB"/>
        </w:rPr>
        <w:t xml:space="preserve"> </w:t>
      </w:r>
      <w:r w:rsidR="00D531CD" w:rsidRPr="00B56453">
        <w:rPr>
          <w:lang w:val="en-GB"/>
        </w:rPr>
        <w:t>How</w:t>
      </w:r>
      <w:r w:rsidR="00575F1F" w:rsidRPr="00B56453">
        <w:rPr>
          <w:lang w:val="en-GB"/>
        </w:rPr>
        <w:t xml:space="preserve"> do I help the patient better?’</w:t>
      </w:r>
      <w:r w:rsidR="005F095D" w:rsidRPr="00B56453">
        <w:rPr>
          <w:lang w:val="en-GB"/>
        </w:rPr>
        <w:t xml:space="preserve"> it’s gone from academic to a more holistic professional mind-set.”</w:t>
      </w:r>
    </w:p>
    <w:p w14:paraId="2ED6E74D" w14:textId="77777777" w:rsidR="007B288E" w:rsidRPr="00B56453" w:rsidRDefault="007B288E">
      <w:pPr>
        <w:rPr>
          <w:rFonts w:eastAsiaTheme="majorEastAsia" w:cstheme="majorBidi"/>
          <w:b/>
          <w:i/>
          <w:szCs w:val="24"/>
        </w:rPr>
      </w:pPr>
      <w:r w:rsidRPr="00B56453">
        <w:br w:type="page"/>
      </w:r>
    </w:p>
    <w:p w14:paraId="41717639" w14:textId="51236544" w:rsidR="00BC2EF0" w:rsidRPr="00B56453" w:rsidRDefault="00473DB7" w:rsidP="00BA4521">
      <w:pPr>
        <w:pStyle w:val="Heading3"/>
      </w:pPr>
      <w:bookmarkStart w:id="399" w:name="_Toc500319421"/>
      <w:r w:rsidRPr="00B56453">
        <w:lastRenderedPageBreak/>
        <w:t xml:space="preserve">C2.3.2 </w:t>
      </w:r>
      <w:r w:rsidR="00BC2EF0" w:rsidRPr="00B56453">
        <w:t>Learning Behaviours</w:t>
      </w:r>
      <w:bookmarkEnd w:id="399"/>
    </w:p>
    <w:p w14:paraId="3DE09C0F" w14:textId="2A51527C" w:rsidR="00D718ED" w:rsidRPr="00B56453" w:rsidRDefault="00D718ED" w:rsidP="00026049">
      <w:pPr>
        <w:pStyle w:val="Normal1"/>
        <w:rPr>
          <w:lang w:val="en-GB"/>
        </w:rPr>
      </w:pPr>
    </w:p>
    <w:p w14:paraId="0F22CED9" w14:textId="737B0A89" w:rsidR="00560162" w:rsidRPr="00B56453" w:rsidRDefault="008B3B09" w:rsidP="00026049">
      <w:pPr>
        <w:pStyle w:val="Normal1"/>
        <w:rPr>
          <w:lang w:val="en-GB"/>
        </w:rPr>
      </w:pPr>
      <w:r w:rsidRPr="00B56453">
        <w:rPr>
          <w:lang w:val="en-GB"/>
        </w:rPr>
        <w:t xml:space="preserve">Learning behaviours were perceived in a complex and interdependent way by </w:t>
      </w:r>
      <w:r w:rsidR="009F1882" w:rsidRPr="00B56453">
        <w:rPr>
          <w:lang w:val="en-GB"/>
        </w:rPr>
        <w:t>student</w:t>
      </w:r>
      <w:r w:rsidRPr="00B56453">
        <w:rPr>
          <w:lang w:val="en-GB"/>
        </w:rPr>
        <w:t>s</w:t>
      </w:r>
      <w:r w:rsidR="001E1046" w:rsidRPr="00B56453">
        <w:rPr>
          <w:lang w:val="en-GB"/>
        </w:rPr>
        <w:t xml:space="preserve"> who cited</w:t>
      </w:r>
      <w:r w:rsidRPr="00B56453">
        <w:rPr>
          <w:lang w:val="en-GB"/>
        </w:rPr>
        <w:t xml:space="preserve"> a mix of </w:t>
      </w:r>
      <w:r w:rsidR="001E1046" w:rsidRPr="00B56453">
        <w:rPr>
          <w:lang w:val="en-GB"/>
        </w:rPr>
        <w:t>internal</w:t>
      </w:r>
      <w:r w:rsidRPr="00B56453">
        <w:rPr>
          <w:lang w:val="en-GB"/>
        </w:rPr>
        <w:t xml:space="preserve"> and external factors at play </w:t>
      </w:r>
      <w:r w:rsidR="00F663D8" w:rsidRPr="00B56453">
        <w:rPr>
          <w:lang w:val="en-GB"/>
        </w:rPr>
        <w:t>that</w:t>
      </w:r>
      <w:r w:rsidRPr="00B56453">
        <w:rPr>
          <w:lang w:val="en-GB"/>
        </w:rPr>
        <w:t xml:space="preserve"> linked to one another. All individual factors as well as personal development sub-themes were key linked components in this model, forging strong links with the supportive sub-them</w:t>
      </w:r>
      <w:r w:rsidR="001E1046" w:rsidRPr="00B56453">
        <w:rPr>
          <w:lang w:val="en-GB"/>
        </w:rPr>
        <w:t>e</w:t>
      </w:r>
      <w:r w:rsidRPr="00B56453">
        <w:rPr>
          <w:lang w:val="en-GB"/>
        </w:rPr>
        <w:t>.</w:t>
      </w:r>
      <w:r w:rsidR="00CB3F91" w:rsidRPr="00B56453">
        <w:rPr>
          <w:lang w:val="en-GB"/>
        </w:rPr>
        <w:t xml:space="preserve"> </w:t>
      </w:r>
      <w:r w:rsidR="00BA261E" w:rsidRPr="00B56453">
        <w:rPr>
          <w:lang w:val="en-GB"/>
        </w:rPr>
        <w:t>B</w:t>
      </w:r>
      <w:r w:rsidR="00BA261E" w:rsidRPr="00B56453">
        <w:rPr>
          <w:rFonts w:eastAsiaTheme="minorHAnsi" w:cstheme="minorBidi"/>
          <w:kern w:val="0"/>
          <w:szCs w:val="22"/>
          <w:lang w:val="en-GB" w:eastAsia="en-US" w:bidi="ar-SA"/>
        </w:rPr>
        <w:t>ehaviours</w:t>
      </w:r>
      <w:r w:rsidR="00CB3F91" w:rsidRPr="00B56453">
        <w:rPr>
          <w:rFonts w:eastAsiaTheme="minorHAnsi" w:cstheme="minorBidi"/>
          <w:kern w:val="0"/>
          <w:szCs w:val="22"/>
          <w:lang w:val="en-GB" w:eastAsia="en-US" w:bidi="ar-SA"/>
        </w:rPr>
        <w:t xml:space="preserve"> that </w:t>
      </w:r>
      <w:r w:rsidR="001E1046" w:rsidRPr="00B56453">
        <w:rPr>
          <w:rFonts w:eastAsiaTheme="minorHAnsi" w:cstheme="minorBidi"/>
          <w:kern w:val="0"/>
          <w:szCs w:val="22"/>
          <w:lang w:val="en-GB" w:eastAsia="en-US" w:bidi="ar-SA"/>
        </w:rPr>
        <w:t xml:space="preserve">showed similarities to established </w:t>
      </w:r>
      <w:r w:rsidR="00F663D8" w:rsidRPr="00B56453">
        <w:rPr>
          <w:rFonts w:eastAsiaTheme="minorHAnsi" w:cstheme="minorBidi"/>
          <w:kern w:val="0"/>
          <w:szCs w:val="22"/>
          <w:lang w:val="en-GB" w:eastAsia="en-US" w:bidi="ar-SA"/>
        </w:rPr>
        <w:t xml:space="preserve">SRL </w:t>
      </w:r>
      <w:r w:rsidR="001E1046" w:rsidRPr="00B56453">
        <w:rPr>
          <w:rFonts w:eastAsiaTheme="minorHAnsi" w:cstheme="minorBidi"/>
          <w:kern w:val="0"/>
          <w:szCs w:val="22"/>
          <w:lang w:val="en-GB" w:eastAsia="en-US" w:bidi="ar-SA"/>
        </w:rPr>
        <w:t xml:space="preserve">processes </w:t>
      </w:r>
      <w:r w:rsidR="00CB3F91" w:rsidRPr="00B56453">
        <w:rPr>
          <w:rFonts w:eastAsiaTheme="minorHAnsi" w:cstheme="minorBidi"/>
          <w:kern w:val="0"/>
          <w:szCs w:val="22"/>
          <w:lang w:val="en-GB" w:eastAsia="en-US" w:bidi="ar-SA"/>
        </w:rPr>
        <w:t>were major themes in how students described their learning behaviours on clinical placement, affecting their perception of their learning as well as how they approached it. Those in the SRLF group articulated these behaviours in their accounts more than their colleagues in the BPF group.</w:t>
      </w:r>
      <w:r w:rsidRPr="00B56453">
        <w:rPr>
          <w:lang w:val="en-GB"/>
        </w:rPr>
        <w:t xml:space="preserve"> </w:t>
      </w:r>
      <w:r w:rsidR="00457AC2" w:rsidRPr="00B56453">
        <w:rPr>
          <w:lang w:val="en-GB"/>
        </w:rPr>
        <w:t xml:space="preserve">Figure </w:t>
      </w:r>
      <w:r w:rsidR="00937006" w:rsidRPr="00B56453">
        <w:rPr>
          <w:lang w:val="en-GB"/>
        </w:rPr>
        <w:t>C2.3</w:t>
      </w:r>
      <w:r w:rsidRPr="00B56453">
        <w:rPr>
          <w:lang w:val="en-GB"/>
        </w:rPr>
        <w:t xml:space="preserve"> illustrates these </w:t>
      </w:r>
      <w:r w:rsidR="00457AC2" w:rsidRPr="00B56453">
        <w:rPr>
          <w:lang w:val="en-GB"/>
        </w:rPr>
        <w:t>complexities and relationships</w:t>
      </w:r>
      <w:r w:rsidRPr="00B56453">
        <w:rPr>
          <w:lang w:val="en-GB"/>
        </w:rPr>
        <w:t xml:space="preserve">. </w:t>
      </w:r>
      <w:r w:rsidR="003D5BB6" w:rsidRPr="00B56453">
        <w:rPr>
          <w:lang w:val="en-GB"/>
        </w:rPr>
        <w:t xml:space="preserve">Only representative illustrative quotes are presented </w:t>
      </w:r>
      <w:r w:rsidR="001E1046" w:rsidRPr="00B56453">
        <w:rPr>
          <w:lang w:val="en-GB"/>
        </w:rPr>
        <w:t>below</w:t>
      </w:r>
      <w:r w:rsidR="003D5BB6" w:rsidRPr="00B56453">
        <w:rPr>
          <w:lang w:val="en-GB"/>
        </w:rPr>
        <w:t xml:space="preserve">. A model with all quotes representing the relationships can be found in Appendix </w:t>
      </w:r>
      <w:r w:rsidR="00B76E6D" w:rsidRPr="00B56453">
        <w:rPr>
          <w:lang w:val="en-GB"/>
        </w:rPr>
        <w:t>2</w:t>
      </w:r>
      <w:r w:rsidR="002E5B8D" w:rsidRPr="00B56453">
        <w:rPr>
          <w:lang w:val="en-GB"/>
        </w:rPr>
        <w:t>9</w:t>
      </w:r>
      <w:r w:rsidR="003D5BB6" w:rsidRPr="00B56453">
        <w:rPr>
          <w:lang w:val="en-GB"/>
        </w:rPr>
        <w:t>.</w:t>
      </w:r>
    </w:p>
    <w:p w14:paraId="72EA78F6" w14:textId="77777777" w:rsidR="006F437F" w:rsidRPr="00B56453" w:rsidRDefault="006F437F" w:rsidP="00026049">
      <w:pPr>
        <w:pStyle w:val="Normal1"/>
        <w:rPr>
          <w:lang w:val="en-GB"/>
        </w:rPr>
      </w:pPr>
    </w:p>
    <w:p w14:paraId="09645A79" w14:textId="4B83935A" w:rsidR="006F437F" w:rsidRPr="00B56453" w:rsidRDefault="00937006" w:rsidP="00026049">
      <w:pPr>
        <w:pStyle w:val="Normal1"/>
        <w:rPr>
          <w:lang w:val="en-GB" w:eastAsia="en-US"/>
        </w:rPr>
      </w:pPr>
      <w:r w:rsidRPr="007638B6">
        <w:rPr>
          <w:noProof/>
          <w:lang w:val="en-GB" w:eastAsia="en-GB" w:bidi="ar-SA"/>
        </w:rPr>
        <mc:AlternateContent>
          <mc:Choice Requires="wpg">
            <w:drawing>
              <wp:anchor distT="0" distB="0" distL="114300" distR="114300" simplePos="0" relativeHeight="251893760" behindDoc="0" locked="0" layoutInCell="1" allowOverlap="1" wp14:anchorId="11B8D152" wp14:editId="424B9CAB">
                <wp:simplePos x="0" y="0"/>
                <wp:positionH relativeFrom="column">
                  <wp:posOffset>-5080</wp:posOffset>
                </wp:positionH>
                <wp:positionV relativeFrom="paragraph">
                  <wp:posOffset>213360</wp:posOffset>
                </wp:positionV>
                <wp:extent cx="5215255" cy="4741545"/>
                <wp:effectExtent l="0" t="0" r="23495" b="1905"/>
                <wp:wrapTopAndBottom/>
                <wp:docPr id="461" name="Group 461"/>
                <wp:cNvGraphicFramePr/>
                <a:graphic xmlns:a="http://schemas.openxmlformats.org/drawingml/2006/main">
                  <a:graphicData uri="http://schemas.microsoft.com/office/word/2010/wordprocessingGroup">
                    <wpg:wgp>
                      <wpg:cNvGrpSpPr/>
                      <wpg:grpSpPr>
                        <a:xfrm>
                          <a:off x="0" y="0"/>
                          <a:ext cx="5215255" cy="4741545"/>
                          <a:chOff x="166313" y="0"/>
                          <a:chExt cx="5444798" cy="4742120"/>
                        </a:xfrm>
                      </wpg:grpSpPr>
                      <wpg:grpSp>
                        <wpg:cNvPr id="25882" name="Group 25882"/>
                        <wpg:cNvGrpSpPr/>
                        <wpg:grpSpPr>
                          <a:xfrm>
                            <a:off x="232913" y="0"/>
                            <a:ext cx="5378198" cy="3768546"/>
                            <a:chOff x="1006744" y="180748"/>
                            <a:chExt cx="6340575" cy="4464277"/>
                          </a:xfrm>
                        </wpg:grpSpPr>
                        <wpg:grpSp>
                          <wpg:cNvPr id="25883" name="Group 25883"/>
                          <wpg:cNvGrpSpPr/>
                          <wpg:grpSpPr>
                            <a:xfrm>
                              <a:off x="1006744" y="180748"/>
                              <a:ext cx="6340575" cy="4464277"/>
                              <a:chOff x="-3369" y="180754"/>
                              <a:chExt cx="6341590" cy="4464432"/>
                            </a:xfrm>
                          </wpg:grpSpPr>
                          <wps:wsp>
                            <wps:cNvPr id="25884" name="Flowchart: Alternate Process 25884"/>
                            <wps:cNvSpPr/>
                            <wps:spPr>
                              <a:xfrm>
                                <a:off x="4663800" y="191386"/>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D1A14B" w14:textId="77777777" w:rsidR="00C8402C" w:rsidRDefault="00C8402C" w:rsidP="006F437F">
                                  <w:pPr>
                                    <w:jc w:val="center"/>
                                  </w:pPr>
                                  <w: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5" name="Flowchart: Alternate Process 25885"/>
                            <wps:cNvSpPr/>
                            <wps:spPr>
                              <a:xfrm>
                                <a:off x="-3369" y="3742661"/>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1257DE9" w14:textId="77777777" w:rsidR="00C8402C" w:rsidRDefault="00C8402C" w:rsidP="006F437F">
                                  <w:pPr>
                                    <w:jc w:val="center"/>
                                  </w:pPr>
                                  <w:r>
                                    <w:t>Planning and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6" name="Flowchart: Alternate Process 25886"/>
                            <wps:cNvSpPr/>
                            <wps:spPr>
                              <a:xfrm>
                                <a:off x="2339163" y="2775099"/>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65C07F3" w14:textId="77777777" w:rsidR="00C8402C" w:rsidRDefault="00C8402C" w:rsidP="006F437F">
                                  <w:pPr>
                                    <w:jc w:val="center"/>
                                  </w:pPr>
                                  <w: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7" name="Flowchart: Alternate Process 25887"/>
                            <wps:cNvSpPr/>
                            <wps:spPr>
                              <a:xfrm>
                                <a:off x="0" y="2020186"/>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3A9A083" w14:textId="77777777" w:rsidR="00C8402C" w:rsidRDefault="00C8402C" w:rsidP="006F437F">
                                  <w:pPr>
                                    <w:jc w:val="center"/>
                                  </w:pPr>
                                  <w: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8" name="Flowchart: Alternate Process 25888"/>
                            <wps:cNvSpPr/>
                            <wps:spPr>
                              <a:xfrm>
                                <a:off x="1190847" y="180754"/>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D7F9F82" w14:textId="77777777" w:rsidR="00C8402C" w:rsidRDefault="00C8402C" w:rsidP="006F437F">
                                  <w:pPr>
                                    <w:jc w:val="center"/>
                                  </w:pPr>
                                  <w:r>
                                    <w:t>Confidence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89" name="Flowchart: Alternate Process 25889"/>
                            <wps:cNvSpPr/>
                            <wps:spPr>
                              <a:xfrm>
                                <a:off x="4657061" y="2016751"/>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417458D" w14:textId="77777777" w:rsidR="00C8402C" w:rsidRDefault="00C8402C" w:rsidP="006F437F">
                                  <w:pPr>
                                    <w:jc w:val="center"/>
                                  </w:pPr>
                                  <w:r>
                                    <w:t>Self-evaluation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90" name="Straight Arrow Connector 25890"/>
                            <wps:cNvCnPr>
                              <a:stCxn id="25886" idx="0"/>
                              <a:endCxn id="25888" idx="2"/>
                            </wps:cNvCnPr>
                            <wps:spPr>
                              <a:xfrm flipH="1" flipV="1">
                                <a:off x="2028034" y="1083170"/>
                                <a:ext cx="1148301" cy="169161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25891" name="Straight Connector 25891"/>
                            <wps:cNvCnPr>
                              <a:stCxn id="25889" idx="0"/>
                              <a:endCxn id="25884" idx="2"/>
                            </wps:cNvCnPr>
                            <wps:spPr>
                              <a:xfrm flipV="1">
                                <a:off x="5494272" y="1093911"/>
                                <a:ext cx="6739" cy="92284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25892" name="Straight Connector 25892"/>
                            <wps:cNvCnPr>
                              <a:stCxn id="25886" idx="3"/>
                              <a:endCxn id="25889" idx="1"/>
                            </wps:cNvCnPr>
                            <wps:spPr>
                              <a:xfrm flipV="1">
                                <a:off x="4013584" y="2468014"/>
                                <a:ext cx="643477" cy="75834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893" name="Straight Arrow Connector 25893"/>
                            <wps:cNvCnPr>
                              <a:stCxn id="25888" idx="3"/>
                              <a:endCxn id="25884" idx="1"/>
                            </wps:cNvCnPr>
                            <wps:spPr>
                              <a:xfrm>
                                <a:off x="2865268" y="632017"/>
                                <a:ext cx="1798532" cy="1063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894" name="Straight Arrow Connector 25894"/>
                            <wps:cNvCnPr/>
                            <wps:spPr>
                              <a:xfrm>
                                <a:off x="2828226" y="1041887"/>
                                <a:ext cx="1864404" cy="1033027"/>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895" name="Straight Arrow Connector 25895"/>
                            <wps:cNvCnPr>
                              <a:stCxn id="25887" idx="2"/>
                              <a:endCxn id="25885" idx="0"/>
                            </wps:cNvCnPr>
                            <wps:spPr>
                              <a:xfrm flipH="1">
                                <a:off x="833842" y="2922711"/>
                                <a:ext cx="3369" cy="819950"/>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25903" name="Straight Arrow Connector 25903"/>
                          <wps:cNvCnPr>
                            <a:stCxn id="25887" idx="3"/>
                            <a:endCxn id="25889" idx="1"/>
                          </wps:cNvCnPr>
                          <wps:spPr>
                            <a:xfrm flipV="1">
                              <a:off x="2684265" y="2467928"/>
                              <a:ext cx="2982163" cy="3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04" name="Straight Connector 25904"/>
                          <wps:cNvCnPr>
                            <a:stCxn id="25887" idx="3"/>
                            <a:endCxn id="25886" idx="1"/>
                          </wps:cNvCnPr>
                          <wps:spPr>
                            <a:xfrm>
                              <a:off x="2684245" y="2471087"/>
                              <a:ext cx="664627" cy="754795"/>
                            </a:xfrm>
                            <a:prstGeom prst="line">
                              <a:avLst/>
                            </a:prstGeom>
                          </wps:spPr>
                          <wps:style>
                            <a:lnRef idx="1">
                              <a:schemeClr val="dk1"/>
                            </a:lnRef>
                            <a:fillRef idx="0">
                              <a:schemeClr val="dk1"/>
                            </a:fillRef>
                            <a:effectRef idx="0">
                              <a:schemeClr val="dk1"/>
                            </a:effectRef>
                            <a:fontRef idx="minor">
                              <a:schemeClr val="tx1"/>
                            </a:fontRef>
                          </wps:style>
                          <wps:bodyPr/>
                        </wps:wsp>
                        <wps:wsp>
                          <wps:cNvPr id="25906" name="Straight Connector 25906"/>
                          <wps:cNvCnPr>
                            <a:stCxn id="25887" idx="0"/>
                          </wps:cNvCnPr>
                          <wps:spPr>
                            <a:xfrm flipV="1">
                              <a:off x="1847179" y="1105526"/>
                              <a:ext cx="1190593" cy="914368"/>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460" name="Text Box 460"/>
                        <wps:cNvSpPr txBox="1"/>
                        <wps:spPr>
                          <a:xfrm>
                            <a:off x="166313" y="4010659"/>
                            <a:ext cx="5444797" cy="731461"/>
                          </a:xfrm>
                          <a:prstGeom prst="rect">
                            <a:avLst/>
                          </a:prstGeom>
                          <a:solidFill>
                            <a:prstClr val="white"/>
                          </a:solidFill>
                          <a:ln>
                            <a:noFill/>
                          </a:ln>
                          <a:effectLst/>
                        </wps:spPr>
                        <wps:txbx>
                          <w:txbxContent>
                            <w:p w14:paraId="4FA9A889" w14:textId="5A494249" w:rsidR="00C8402C" w:rsidRPr="00FA34BC" w:rsidRDefault="00C8402C" w:rsidP="00937006">
                              <w:pPr>
                                <w:pStyle w:val="Caption"/>
                                <w:rPr>
                                  <w:rFonts w:eastAsia="Lucida Sans Unicode" w:cs="Mangal"/>
                                  <w:noProof/>
                                  <w:kern w:val="1"/>
                                  <w:szCs w:val="24"/>
                                </w:rPr>
                              </w:pPr>
                              <w:bookmarkStart w:id="400" w:name="_Toc500319563"/>
                              <w:r>
                                <w:t>Figure C2.</w:t>
                              </w:r>
                              <w:fldSimple w:instr=" SEQ Figure_C2. \* ARABIC ">
                                <w:r>
                                  <w:rPr>
                                    <w:noProof/>
                                  </w:rPr>
                                  <w:t>3</w:t>
                                </w:r>
                              </w:fldSimple>
                              <w:r>
                                <w:t xml:space="preserve"> Conceptual model of factors which impacted upon learning behaviours. Thickness of line indicates strength of relationship and direction indicates the linkages between factors.</w:t>
                              </w:r>
                              <w:bookmarkEnd w:id="4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8D152" id="Group 461" o:spid="_x0000_s1314" style="position:absolute;margin-left:-.4pt;margin-top:16.8pt;width:410.65pt;height:373.35pt;z-index:251893760;mso-width-relative:margin;mso-height-relative:margin" coordorigin="166313" coordsize="5444798,4742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">
                <v:group id="Group 25882" o:spid="_x0000_s1315" style="position:absolute;left:232913;width:5378198;height:3768546" coordorigin="1006744,180748" coordsize="6340575,4464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3Ue8DGAAAA3gAA&#10;AA8AAAAAAAAAAAAAAAAAqQIAAGRycy9kb3ducmV2LnhtbFBLBQYAAAAABAAEAPoAAACcAwAAAAA=&#10;">
                  <v:group id="Group 25883" o:spid="_x0000_s1316" style="position:absolute;left:1006744;top:180748;width:6340575;height:4464277" coordorigin="-3369,180754" coordsize="6341590,4464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KY3lvGAAAA3gAA&#10;AA8AAAAAAAAAAAAAAAAAqQIAAGRycy9kb3ducmV2LnhtbFBLBQYAAAAABAAEAPoAAACcAwAAAAA=&#10;">
                    <v:shape id="Flowchart: Alternate Process 25884" o:spid="_x0000_s1317" type="#_x0000_t176" style="position:absolute;left:4663800;top:191386;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xvvygAA&#10;AN4AAAAPAAAAZHJzL2Rvd25yZXYueG1sRI9PawIxFMTvBb9DeEIvRbNKLctqFNGWFmkL/jno7XXz&#10;ulndvCybqNtv3wiFHoeZ+Q0zmbW2EhdqfOlYwaCfgCDOnS65ULDbvvRSED4ga6wck4If8jCbdu4m&#10;mGl35TVdNqEQEcI+QwUmhDqT0ueGLPq+q4mj9+0aiyHKppC6wWuE20oOk+RJWiw5LhisaWEoP23O&#10;VsFihOnKhP3x67Va7p+Ph/PD+8enUvfddj4GEagN/+G/9ptWMByl6SPc7sQrIK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cMb78oAAADeAAAADwAAAAAAAAAAAAAAAACXAgAA&#10;ZHJzL2Rvd25yZXYueG1sUEsFBgAAAAAEAAQA9QAAAI4DAAAAAA==&#10;" fillcolor="white [3201]" strokecolor="black [3213]" strokeweight="1pt">
                      <v:textbox>
                        <w:txbxContent>
                          <w:p w14:paraId="2CD1A14B" w14:textId="77777777" w:rsidR="00C8402C" w:rsidRDefault="00C8402C" w:rsidP="006F437F">
                            <w:pPr>
                              <w:jc w:val="center"/>
                            </w:pPr>
                            <w:r>
                              <w:t>Learning priorities</w:t>
                            </w:r>
                          </w:p>
                        </w:txbxContent>
                      </v:textbox>
                    </v:shape>
                    <v:shape id="Flowchart: Alternate Process 25885" o:spid="_x0000_s1318" type="#_x0000_t176" style="position:absolute;left:-3369;top:3742661;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750yQAA&#10;AN4AAAAPAAAAZHJzL2Rvd25yZXYueG1sRI9Ba8JAFITvBf/D8oReSt0opITUVcRaLKUWtD3o7Zl9&#10;ZmOzb0N21fTfu4WCx2FmvmHG087W4kytrxwrGA4SEMSF0xWXCr6/Xh8zED4ga6wdk4Jf8jCd9O7G&#10;mGt34TWdN6EUEcI+RwUmhCaX0heGLPqBa4ijd3CtxRBlW0rd4iXCbS1HSfIkLVYcFww2NDdU/GxO&#10;VsE8xezdhO1xv6xftovj7vTwsfpU6r7fzZ5BBOrCLfzfftMKRmmWpfB3J14BObk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Oj750yQAAAN4AAAAPAAAAAAAAAAAAAAAAAJcCAABk&#10;cnMvZG93bnJldi54bWxQSwUGAAAAAAQABAD1AAAAjQMAAAAA&#10;" fillcolor="white [3201]" strokecolor="black [3213]" strokeweight="1pt">
                      <v:textbox>
                        <w:txbxContent>
                          <w:p w14:paraId="01257DE9" w14:textId="77777777" w:rsidR="00C8402C" w:rsidRDefault="00C8402C" w:rsidP="006F437F">
                            <w:pPr>
                              <w:jc w:val="center"/>
                            </w:pPr>
                            <w:r>
                              <w:t>Planning and monitoring</w:t>
                            </w:r>
                          </w:p>
                        </w:txbxContent>
                      </v:textbox>
                    </v:shape>
                    <v:shape id="Flowchart: Alternate Process 25886" o:spid="_x0000_s1319" type="#_x0000_t176" style="position:absolute;left:2339163;top:2775099;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ADyQAA&#10;AN4AAAAPAAAAZHJzL2Rvd25yZXYueG1sRI9PawIxFMTvhX6H8ApeimYrKMtqlGKVFmkF/xz09rp5&#10;3azdvCybqNtvb4SCx2FmfsOMp62txJkaXzpW8NJLQBDnTpdcKNhtF90UhA/IGivHpOCPPEwnjw9j&#10;zLS78JrOm1CICGGfoQITQp1J6XNDFn3P1cTR+3GNxRBlU0jd4CXCbSX7STKUFkuOCwZrmhnKfzcn&#10;q2A2wHRpwv74/V697efHw+n582ulVOepfR2BCNSGe/i//aEV9AdpOoTbnXgF5OQK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XSADyQAAAN4AAAAPAAAAAAAAAAAAAAAAAJcCAABk&#10;cnMvZG93bnJldi54bWxQSwUGAAAAAAQABAD1AAAAjQMAAAAA&#10;" fillcolor="white [3201]" strokecolor="black [3213]" strokeweight="1pt">
                      <v:textbox>
                        <w:txbxContent>
                          <w:p w14:paraId="165C07F3" w14:textId="77777777" w:rsidR="00C8402C" w:rsidRDefault="00C8402C" w:rsidP="006F437F">
                            <w:pPr>
                              <w:jc w:val="center"/>
                            </w:pPr>
                            <w:r>
                              <w:t>Supportive</w:t>
                            </w:r>
                          </w:p>
                        </w:txbxContent>
                      </v:textbox>
                    </v:shape>
                    <v:shape id="Flowchart: Alternate Process 25887" o:spid="_x0000_s1320" type="#_x0000_t176" style="position:absolute;top:2020186;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YWYygAA&#10;AN4AAAAPAAAAZHJzL2Rvd25yZXYueG1sRI9PawIxFMTvBb9DeEIvRbMK2mU1StGWirQF/xz09rp5&#10;3azdvCybqNtv3wiFHoeZ+Q0znbe2EhdqfOlYwaCfgCDOnS65ULDfvfRSED4ga6wck4If8jCfde6m&#10;mGl35Q1dtqEQEcI+QwUmhDqT0ueGLPq+q4mj9+UaiyHKppC6wWuE20oOk2QsLZYcFwzWtDCUf2/P&#10;VsFihOnahMPp87VaHp5Px/PD2/uHUvfd9mkCIlAb/sN/7ZVWMByl6SPc7sQr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0RGFmMoAAADeAAAADwAAAAAAAAAAAAAAAACXAgAA&#10;ZHJzL2Rvd25yZXYueG1sUEsFBgAAAAAEAAQA9QAAAI4DAAAAAA==&#10;" fillcolor="white [3201]" strokecolor="black [3213]" strokeweight="1pt">
                      <v:textbox>
                        <w:txbxContent>
                          <w:p w14:paraId="63A9A083" w14:textId="77777777" w:rsidR="00C8402C" w:rsidRDefault="00C8402C" w:rsidP="006F437F">
                            <w:pPr>
                              <w:jc w:val="center"/>
                            </w:pPr>
                            <w:r>
                              <w:t>Progression</w:t>
                            </w:r>
                          </w:p>
                        </w:txbxContent>
                      </v:textbox>
                    </v:shape>
                    <v:shape id="Flowchart: Alternate Process 25888" o:spid="_x0000_s1321" type="#_x0000_t176" style="position:absolute;left:1190847;top:180754;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hHqxgAA&#10;AN4AAAAPAAAAZHJzL2Rvd25yZXYueG1sRE/Pa8IwFL4P/B/CE3YZmk5QSjXK0I2N4QarHvT2bN6a&#10;avNSmqj1v18Owo4f3+/ZorO1uFDrK8cKnocJCOLC6YpLBdvN2yAF4QOyxtoxKbiRh8W89zDDTLsr&#10;/9AlD6WIIewzVGBCaDIpfWHIoh+6hjhyv661GCJsS6lbvMZwW8tRkkykxYpjg8GGloaKU362CpZj&#10;TD9N2B0P7/Vq93rcn5/WX99KPfa7lymIQF34F9/dH1rBaJymcW+8E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jhHqxgAAAN4AAAAPAAAAAAAAAAAAAAAAAJcCAABkcnMv&#10;ZG93bnJldi54bWxQSwUGAAAAAAQABAD1AAAAigMAAAAA&#10;" fillcolor="white [3201]" strokecolor="black [3213]" strokeweight="1pt">
                      <v:textbox>
                        <w:txbxContent>
                          <w:p w14:paraId="7D7F9F82" w14:textId="77777777" w:rsidR="00C8402C" w:rsidRDefault="00C8402C" w:rsidP="006F437F">
                            <w:pPr>
                              <w:jc w:val="center"/>
                            </w:pPr>
                            <w:r>
                              <w:t>Confidence and motivation</w:t>
                            </w:r>
                          </w:p>
                        </w:txbxContent>
                      </v:textbox>
                    </v:shape>
                    <v:shape id="Flowchart: Alternate Process 25889" o:spid="_x0000_s1322" type="#_x0000_t176" style="position:absolute;left:4657061;top:2016751;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rRxygAA&#10;AN4AAAAPAAAAZHJzL2Rvd25yZXYueG1sRI9PawIxFMTvgt8hPKGXotkKynZrFPEPLdIWqj3Y2+vm&#10;uVm7eVk2Ubff3hQKHoeZ+Q0zmbW2EmdqfOlYwcMgAUGcO11yoeBzt+6nIHxA1lg5JgW/5GE27XYm&#10;mGl34Q86b0MhIoR9hgpMCHUmpc8NWfQDVxNH7+AaiyHKppC6wUuE20oOk2QsLZYcFwzWtDCU/2xP&#10;VsFihOnGhP3x+7la7lfHr9P969u7Une9dv4EIlAbbuH/9otWMByl6SP83YlXQE6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z8K0ccoAAADeAAAADwAAAAAAAAAAAAAAAACXAgAA&#10;ZHJzL2Rvd25yZXYueG1sUEsFBgAAAAAEAAQA9QAAAI4DAAAAAA==&#10;" fillcolor="white [3201]" strokecolor="black [3213]" strokeweight="1pt">
                      <v:textbox>
                        <w:txbxContent>
                          <w:p w14:paraId="2417458D" w14:textId="77777777" w:rsidR="00C8402C" w:rsidRDefault="00C8402C" w:rsidP="006F437F">
                            <w:pPr>
                              <w:jc w:val="center"/>
                            </w:pPr>
                            <w:r>
                              <w:t>Self-evaluation</w:t>
                            </w:r>
                          </w:p>
                        </w:txbxContent>
                      </v:textbox>
                    </v:shape>
                    <v:shape id="Straight Arrow Connector 25890" o:spid="_x0000_s1323" type="#_x0000_t32" style="position:absolute;left:2028034;top:1083170;width:1148301;height:1691616;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vxAcYAAADeAAAADwAAAGRycy9kb3ducmV2LnhtbESPzUoDMRSF94LvEG7BnU1aVNKxaRFR&#10;EIRaa1u6vE5uZwYnN0MSp9O3Nwuhy8P545svB9eKnkJsPBuYjBUI4tLbhisD26/XWw0iJmSLrWcy&#10;cKYIy8X11RwL60/8Sf0mVSKPcCzQQJ1SV0gZy5ocxrHviLN39MFhyjJU0gY85XHXyqlSD9Jhw/mh&#10;xo6eayp/Nr/OgArdujnstV3t3tXkTuuP/ct3b8zNaHh6BJFoSJfwf/vNGpje61kGyDgZBe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7r8QHGAAAA3gAAAA8AAAAAAAAA&#10;AAAAAAAAoQIAAGRycy9kb3ducmV2LnhtbFBLBQYAAAAABAAEAPkAAACUAwAAAAA=&#10;" strokecolor="black [3200]" strokeweight="6pt">
                      <v:stroke endarrow="block" joinstyle="miter"/>
                    </v:shape>
                    <v:line id="Straight Connector 25891" o:spid="_x0000_s1324" style="position:absolute;flip:y;visibility:visible;mso-wrap-style:square" from="5494272,1093911" to="5501011,2016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iT5sgAAADeAAAADwAAAGRycy9kb3ducmV2LnhtbESPS2vDMBCE74X+B7GF3ho5oQmJGzmE&#10;QEsJNCavQ25ba/0g1spYqu3++6oQyHGYmW+Y5WowteiodZVlBeNRBII4s7riQsHp+P4yB+E8ssba&#10;Min4JQer5PFhibG2Pe+pO/hCBAi7GBWU3jexlC4ryaAb2YY4eLltDfog20LqFvsAN7WcRNFMGqw4&#10;LJTY0Kak7Hr4MQq+v7pNdrE23X2k1Xmby0gPryelnp+G9RsIT4O/h2/tT61gMp0vxvB/J1wBmf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KiT5sgAAADeAAAADwAAAAAA&#10;AAAAAAAAAAChAgAAZHJzL2Rvd25yZXYueG1sUEsFBgAAAAAEAAQA+QAAAJYDAAAAAA==&#10;" strokecolor="black [3200]" strokeweight="6pt">
                      <v:stroke joinstyle="miter"/>
                    </v:line>
                    <v:line id="Straight Connector 25892" o:spid="_x0000_s1325" style="position:absolute;flip:y;visibility:visible;mso-wrap-style:square" from="4013584,2468014" to="4657061,3226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I45McAAADeAAAADwAAAGRycy9kb3ducmV2LnhtbESPT2sCMRDF74V+hzCF3mq2ayu6GqUU&#10;pV7906K3YTPuLt1MliRq7Kc3gtDj4837vXmTWTStOJHzjWUFr70MBHFpdcOVgu1m8TIE4QOyxtYy&#10;KbiQh9n08WGChbZnXtFpHSqRIOwLVFCH0BVS+rImg75nO+LkHawzGJJ0ldQOzwluWpln2UAabDg1&#10;1NjRZ03l7/po0hu7br84xsufy37evueHiP6rj0o9P8WPMYhAMfwf39NLrSB/H45yuM1JDJDT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EjjkxwAAAN4AAAAPAAAAAAAA&#10;AAAAAAAAAKECAABkcnMvZG93bnJldi54bWxQSwUGAAAAAAQABAD5AAAAlQMAAAAA&#10;" strokecolor="black [3200]" strokeweight="2.25pt">
                      <v:stroke joinstyle="miter"/>
                    </v:line>
                    <v:shape id="Straight Arrow Connector 25893" o:spid="_x0000_s1326" type="#_x0000_t32" style="position:absolute;left:2865268;top:632017;width:1798532;height:106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Sog8YAAADeAAAADwAAAGRycy9kb3ducmV2LnhtbESPQWvCQBSE70L/w/IKvUjdGFGS6Cql&#10;UOqpEg09P7LPJDT7NmS3Mc2v7xYKHoeZb4bZHUbTioF611hWsFxEIIhLqxuuFBSXt+cEhPPIGlvL&#10;pOCHHBz2D7MdZtreOKfh7CsRSthlqKD2vsukdGVNBt3CdsTBu9reoA+yr6Tu8RbKTSvjKNpIgw2H&#10;hRo7eq2p/Dp/GwVxgUN7mjf551TojzRevhfThpV6ehxftiA8jf4e/qePOnDrJF3B351wBeT+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kqIPGAAAA3gAAAA8AAAAAAAAA&#10;AAAAAAAAoQIAAGRycy9kb3ducmV2LnhtbFBLBQYAAAAABAAEAPkAAACUAwAAAAA=&#10;" strokecolor="black [3200]" strokeweight=".5pt">
                      <v:stroke startarrow="block" endarrow="block" joinstyle="miter"/>
                    </v:shape>
                    <v:shape id="Straight Arrow Connector 25894" o:spid="_x0000_s1327" type="#_x0000_t32" style="position:absolute;left:2828226;top:1041887;width:1864404;height:103302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pvh8cAAADeAAAADwAAAGRycy9kb3ducmV2LnhtbESPT2sCMRTE70K/Q3hCL6JZbRW7NUop&#10;lOpBxL/nx+a52bp5WTbRXb+9KRR6HGbmN8xs0dpS3Kj2hWMFw0ECgjhzuuBcwWH/1Z+C8AFZY+mY&#10;FNzJw2L+1Jlhql3DW7rtQi4ihH2KCkwIVSqlzwxZ9ANXEUfv7GqLIco6l7rGJsJtKUdJMpEWC44L&#10;Biv6NJRddlerQI632lwbXu977rherk7fP/fNi1LP3fbjHUSgNvyH/9pLrWA0nr69wu+deAXk/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46m+HxwAAAN4AAAAPAAAAAAAA&#10;AAAAAAAAAKECAABkcnMvZG93bnJldi54bWxQSwUGAAAAAAQABAD5AAAAlQMAAAAA&#10;" strokecolor="black [3200]" strokeweight="6pt">
                      <v:stroke startarrow="block" endarrow="block" joinstyle="miter"/>
                    </v:shape>
                    <v:shape id="Straight Arrow Connector 25895" o:spid="_x0000_s1328" type="#_x0000_t32" style="position:absolute;left:833842;top:2922711;width:3369;height:8199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kk7sUAAADeAAAADwAAAGRycy9kb3ducmV2LnhtbESP0WrCQBRE3wv+w3KFvtWNSkKMriJC&#10;RRQKTfoBl+w1CWbvht2tpn/fLQh9HGbmDLPZjaYXd3K+s6xgPktAENdWd9wo+Kre33IQPiBr7C2T&#10;gh/ysNtOXjZYaPvgT7qXoRERwr5ABW0IQyGlr1sy6Gd2II7e1TqDIUrXSO3wEeGml4skyaTBjuNC&#10;iwMdWqpv5bdRUKGz58sJG6z648eyXmV8u56Vep2O+zWIQGP4Dz/bJ61gkearFP7uxCsgt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Wkk7sUAAADeAAAADwAAAAAAAAAA&#10;AAAAAAChAgAAZHJzL2Rvd25yZXYueG1sUEsFBgAAAAAEAAQA+QAAAJMDAAAAAA==&#10;" strokecolor="black [3200]" strokeweight="6pt">
                      <v:stroke startarrow="block" endarrow="block" joinstyle="miter"/>
                    </v:shape>
                  </v:group>
                  <v:shape id="Straight Arrow Connector 25903" o:spid="_x0000_s1329" type="#_x0000_t32" style="position:absolute;left:2684265;top:2467928;width:2982163;height:34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yQdccAAADeAAAADwAAAGRycy9kb3ducmV2LnhtbESPQUvDQBSE74L/YXlCL9JuTGqrsdsi&#10;LWKvTUvR2zP7TILZtyFv28Z/7wqCx2FmvmEWq8G16ky9NJ4N3E0SUMSltw1XBg77l/EDKAnIFlvP&#10;ZOCbBFbL66sF5tZfeEfnIlQqQlhyNFCH0OVaS1mTQ5n4jjh6n753GKLsK217vES4a3WaJDPtsOG4&#10;UGNH65rKr+LkDGRhKulu+jaX4r36uLWbLJPjqzGjm+H5CVSgIfyH/9pbayC9f0wy+L0Tr4Be/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rJB1xwAAAN4AAAAPAAAAAAAA&#10;AAAAAAAAAKECAABkcnMvZG93bnJldi54bWxQSwUGAAAAAAQABAD5AAAAlQMAAAAA&#10;" strokecolor="black [3200]" strokeweight=".5pt">
                    <v:stroke endarrow="block" joinstyle="miter"/>
                  </v:shape>
                  <v:line id="Straight Connector 25904" o:spid="_x0000_s1330" style="position:absolute;visibility:visible;mso-wrap-style:square" from="2684245,2471087" to="3348872,3225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hNWcgAAADeAAAADwAAAGRycy9kb3ducmV2LnhtbESP3WrCQBSE74W+w3IK3pS60f6gqauI&#10;WBAstcbF60P2NAlmz4bsqvHt3ULBy2FmvmGm887W4kytrxwrGA4SEMS5MxUXCvT+83kMwgdkg7Vj&#10;UnAlD/PZQ2+KqXEX3tE5C4WIEPYpKihDaFIpfV6SRT9wDXH0fl1rMUTZFtK0eIlwW8tRkrxLixXH&#10;hRIbWpaUH7OTVbDRk8PTy3astd1n3/ijq9X2a6lU/7FbfIAI1IV7+L+9NgpGb5PkFf7uxCsgZz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6hNWcgAAADeAAAADwAAAAAA&#10;AAAAAAAAAAChAgAAZHJzL2Rvd25yZXYueG1sUEsFBgAAAAAEAAQA+QAAAJYDAAAAAA==&#10;" strokecolor="black [3200]" strokeweight=".5pt">
                    <v:stroke joinstyle="miter"/>
                  </v:line>
                  <v:line id="Straight Connector 25906" o:spid="_x0000_s1331" style="position:absolute;flip:y;visibility:visible;mso-wrap-style:square" from="1847179,1105526" to="3037772,2019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Kk/cYAAADeAAAADwAAAGRycy9kb3ducmV2LnhtbESPT2sCMRDF74LfIUyhN01qW7Fbo0ip&#10;tNf6D3sbNuPu0s1kSaLGfnojFHp8vHm/N286T7YVJ/KhcazhYahAEJfONFxp2KyXgwmIEJENto5J&#10;w4UCzGf93hQL4878RadVrESGcChQQx1jV0gZyposhqHriLN3cN5izNJX0ng8Z7ht5UipsbTYcG6o&#10;saO3msqf1dHmN/bd9/KYLr9e7Z6274eE4eMRtb6/S4tXEJFS/D/+S38aDaPnFzWG25zMAD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CpP3GAAAA3gAAAA8AAAAAAAAA&#10;AAAAAAAAoQIAAGRycy9kb3ducmV2LnhtbFBLBQYAAAAABAAEAPkAAACUAwAAAAA=&#10;" strokecolor="black [3200]" strokeweight="2.25pt">
                    <v:stroke joinstyle="miter"/>
                  </v:line>
                </v:group>
                <v:shape id="Text Box 460" o:spid="_x0000_s1332" type="#_x0000_t202" style="position:absolute;left:166313;top:4010659;width:5444797;height:731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1vAvwQAA&#10;ANwAAAAPAAAAZHJzL2Rvd25yZXYueG1sRE/LisIwFN0P+A/hCm4GTRUp0jHK+AIXuvCB60tzpy3T&#10;3JQk2vr3ZiG4PJz3fNmZWjzI+cqygvEoAUGcW11xoeB62Q1nIHxA1lhbJgVP8rBc9L7mmGnb8oke&#10;51CIGMI+QwVlCE0mpc9LMuhHtiGO3J91BkOErpDaYRvDTS0nSZJKgxXHhhIbWpeU/5/vRkG6cff2&#10;xOvvzXV7wGNTTG6r502pQb/7/QERqAsf8du91wqmaZwfz8Qj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dbwL8EAAADcAAAADwAAAAAAAAAAAAAAAACXAgAAZHJzL2Rvd25y&#10;ZXYueG1sUEsFBgAAAAAEAAQA9QAAAIUDAAAAAA==&#10;" stroked="f">
                  <v:textbox inset="0,0,0,0">
                    <w:txbxContent>
                      <w:p w14:paraId="4FA9A889" w14:textId="5A494249" w:rsidR="00C8402C" w:rsidRPr="00FA34BC" w:rsidRDefault="00C8402C" w:rsidP="00937006">
                        <w:pPr>
                          <w:pStyle w:val="Caption"/>
                          <w:rPr>
                            <w:rFonts w:eastAsia="Lucida Sans Unicode" w:cs="Mangal"/>
                            <w:noProof/>
                            <w:kern w:val="1"/>
                            <w:szCs w:val="24"/>
                          </w:rPr>
                        </w:pPr>
                        <w:bookmarkStart w:id="401" w:name="_Toc500319563"/>
                        <w:r>
                          <w:t>Figure C2.</w:t>
                        </w:r>
                        <w:fldSimple w:instr=" SEQ Figure_C2. \* ARABIC ">
                          <w:r>
                            <w:rPr>
                              <w:noProof/>
                            </w:rPr>
                            <w:t>3</w:t>
                          </w:r>
                        </w:fldSimple>
                        <w:r>
                          <w:t xml:space="preserve"> Conceptual model of factors which impacted upon learning behaviours. Thickness of line indicates strength of relationship and direction indicates the linkages between factors.</w:t>
                        </w:r>
                        <w:bookmarkEnd w:id="401"/>
                      </w:p>
                    </w:txbxContent>
                  </v:textbox>
                </v:shape>
                <w10:wrap type="topAndBottom"/>
              </v:group>
            </w:pict>
          </mc:Fallback>
        </mc:AlternateContent>
      </w:r>
    </w:p>
    <w:p w14:paraId="2539DE5A" w14:textId="0C0C9B70" w:rsidR="006F437F" w:rsidRPr="00B56453" w:rsidRDefault="006F437F" w:rsidP="00026049">
      <w:pPr>
        <w:pStyle w:val="Normal1"/>
        <w:rPr>
          <w:lang w:val="en-GB"/>
        </w:rPr>
      </w:pPr>
    </w:p>
    <w:p w14:paraId="4B80685F" w14:textId="77777777" w:rsidR="00B716CC" w:rsidRPr="00B56453" w:rsidRDefault="00B716CC">
      <w:pPr>
        <w:rPr>
          <w:rFonts w:eastAsia="Lucida Sans Unicode" w:cs="Mangal"/>
          <w:kern w:val="1"/>
          <w:szCs w:val="24"/>
          <w:lang w:eastAsia="hi-IN" w:bidi="hi-IN"/>
        </w:rPr>
      </w:pPr>
      <w:r w:rsidRPr="00B56453">
        <w:br w:type="page"/>
      </w:r>
    </w:p>
    <w:p w14:paraId="40F83AF1" w14:textId="471D5631" w:rsidR="00712ACD" w:rsidRPr="00B56453" w:rsidRDefault="00B736D4" w:rsidP="00026049">
      <w:pPr>
        <w:pStyle w:val="Normal1"/>
        <w:rPr>
          <w:lang w:val="en-GB"/>
        </w:rPr>
      </w:pPr>
      <w:r w:rsidRPr="00B56453">
        <w:rPr>
          <w:lang w:val="en-GB"/>
        </w:rPr>
        <w:lastRenderedPageBreak/>
        <w:t>A</w:t>
      </w:r>
      <w:r w:rsidR="00CB3F91" w:rsidRPr="00B56453">
        <w:rPr>
          <w:lang w:val="en-GB"/>
        </w:rPr>
        <w:t xml:space="preserve"> two-way directional link between </w:t>
      </w:r>
      <w:r w:rsidRPr="00B56453">
        <w:rPr>
          <w:lang w:val="en-GB"/>
        </w:rPr>
        <w:t>learners’</w:t>
      </w:r>
      <w:r w:rsidR="00CB3F91" w:rsidRPr="00B56453">
        <w:rPr>
          <w:lang w:val="en-GB"/>
        </w:rPr>
        <w:t xml:space="preserve"> planning and monitoring behaviours and their progression</w:t>
      </w:r>
      <w:r w:rsidRPr="00B56453">
        <w:rPr>
          <w:lang w:val="en-GB"/>
        </w:rPr>
        <w:t xml:space="preserve"> was identified</w:t>
      </w:r>
      <w:r w:rsidR="00CB3F91" w:rsidRPr="00B56453">
        <w:rPr>
          <w:lang w:val="en-GB"/>
        </w:rPr>
        <w:t xml:space="preserve">. </w:t>
      </w:r>
      <w:r w:rsidR="0093028F" w:rsidRPr="00B56453">
        <w:rPr>
          <w:lang w:val="en-GB"/>
        </w:rPr>
        <w:t>This</w:t>
      </w:r>
      <w:r w:rsidRPr="00B56453">
        <w:rPr>
          <w:lang w:val="en-GB"/>
        </w:rPr>
        <w:t xml:space="preserve"> appeared to</w:t>
      </w:r>
      <w:r w:rsidR="0093028F" w:rsidRPr="00B56453">
        <w:rPr>
          <w:lang w:val="en-GB"/>
        </w:rPr>
        <w:t xml:space="preserve"> </w:t>
      </w:r>
      <w:r w:rsidRPr="00B56453">
        <w:rPr>
          <w:lang w:val="en-GB"/>
        </w:rPr>
        <w:t>manifest</w:t>
      </w:r>
      <w:r w:rsidR="0093028F" w:rsidRPr="00B56453">
        <w:rPr>
          <w:lang w:val="en-GB"/>
        </w:rPr>
        <w:t xml:space="preserve"> in different ways but </w:t>
      </w:r>
      <w:r w:rsidR="000220E4" w:rsidRPr="00B56453">
        <w:rPr>
          <w:lang w:val="en-GB"/>
        </w:rPr>
        <w:t>predominantly</w:t>
      </w:r>
      <w:r w:rsidR="00DF28A1" w:rsidRPr="00B56453">
        <w:rPr>
          <w:lang w:val="en-GB"/>
        </w:rPr>
        <w:t xml:space="preserve"> </w:t>
      </w:r>
      <w:r w:rsidRPr="00B56453">
        <w:rPr>
          <w:lang w:val="en-GB"/>
        </w:rPr>
        <w:t>SRLF learners articulated this view</w:t>
      </w:r>
      <w:r w:rsidR="0093028F" w:rsidRPr="00B56453">
        <w:rPr>
          <w:lang w:val="en-GB"/>
        </w:rPr>
        <w:t xml:space="preserve"> through checking exercises or note taking to monitor </w:t>
      </w:r>
      <w:r w:rsidR="000B2999" w:rsidRPr="00B56453">
        <w:rPr>
          <w:lang w:val="en-GB"/>
        </w:rPr>
        <w:t>feedback and learning progress</w:t>
      </w:r>
      <w:r w:rsidRPr="00B56453">
        <w:rPr>
          <w:lang w:val="en-GB"/>
        </w:rPr>
        <w:t>ion</w:t>
      </w:r>
      <w:r w:rsidR="0093028F" w:rsidRPr="00B56453">
        <w:rPr>
          <w:lang w:val="en-GB"/>
        </w:rPr>
        <w:t>.</w:t>
      </w:r>
    </w:p>
    <w:p w14:paraId="19DF97CA" w14:textId="77777777" w:rsidR="000B2999" w:rsidRPr="00B56453" w:rsidRDefault="000B2999" w:rsidP="00026049">
      <w:pPr>
        <w:pStyle w:val="Normal1"/>
        <w:rPr>
          <w:lang w:val="en-GB"/>
        </w:rPr>
      </w:pPr>
    </w:p>
    <w:p w14:paraId="7B184C8E" w14:textId="3C5517AA" w:rsidR="00712ACD" w:rsidRPr="00B56453" w:rsidRDefault="009045D2" w:rsidP="00026049">
      <w:pPr>
        <w:pStyle w:val="Quote"/>
        <w:rPr>
          <w:lang w:val="en-GB"/>
        </w:rPr>
      </w:pPr>
      <w:r w:rsidRPr="00B56453">
        <w:rPr>
          <w:lang w:val="en-GB"/>
        </w:rPr>
        <w:t>G1</w:t>
      </w:r>
      <w:r w:rsidR="00B07929" w:rsidRPr="00B56453">
        <w:rPr>
          <w:lang w:val="en-GB"/>
        </w:rPr>
        <w:t xml:space="preserve"> </w:t>
      </w:r>
      <w:r w:rsidRPr="00B56453">
        <w:rPr>
          <w:lang w:val="en-GB"/>
        </w:rPr>
        <w:t>- 2</w:t>
      </w:r>
      <w:r w:rsidR="00712ACD" w:rsidRPr="00B56453">
        <w:rPr>
          <w:lang w:val="en-GB"/>
        </w:rPr>
        <w:t xml:space="preserve">: </w:t>
      </w:r>
      <w:r w:rsidR="00575F1F" w:rsidRPr="00B56453">
        <w:rPr>
          <w:lang w:val="en-GB"/>
        </w:rPr>
        <w:t>“</w:t>
      </w:r>
      <w:r w:rsidR="00712ACD" w:rsidRPr="00B56453">
        <w:rPr>
          <w:lang w:val="en-GB"/>
        </w:rPr>
        <w:t>I notice myself remembering more and more, needing less prompting throughout my examinations, that’s really nice because I can see myself improving, that’s just coming from lots of practice.</w:t>
      </w:r>
      <w:r w:rsidR="00575F1F" w:rsidRPr="00B56453">
        <w:rPr>
          <w:lang w:val="en-GB"/>
        </w:rPr>
        <w:t>”</w:t>
      </w:r>
    </w:p>
    <w:p w14:paraId="58F2592D" w14:textId="736A6047" w:rsidR="00712ACD" w:rsidRPr="00B56453" w:rsidRDefault="009045D2" w:rsidP="00026049">
      <w:pPr>
        <w:pStyle w:val="Quote"/>
        <w:rPr>
          <w:lang w:val="en-GB"/>
        </w:rPr>
      </w:pPr>
      <w:r w:rsidRPr="00B56453">
        <w:rPr>
          <w:lang w:val="en-GB"/>
        </w:rPr>
        <w:t>G4 - 2</w:t>
      </w:r>
      <w:r w:rsidR="00712ACD" w:rsidRPr="00B56453">
        <w:rPr>
          <w:lang w:val="en-GB"/>
        </w:rPr>
        <w:t xml:space="preserve">: </w:t>
      </w:r>
      <w:r w:rsidR="00B716CC" w:rsidRPr="00B56453">
        <w:rPr>
          <w:lang w:val="en-GB"/>
        </w:rPr>
        <w:t>“</w:t>
      </w:r>
      <w:r w:rsidR="00575F1F" w:rsidRPr="00B56453">
        <w:rPr>
          <w:lang w:val="en-GB"/>
        </w:rPr>
        <w:t>“</w:t>
      </w:r>
      <w:r w:rsidR="00712ACD" w:rsidRPr="00B56453">
        <w:rPr>
          <w:lang w:val="en-GB"/>
        </w:rPr>
        <w:t xml:space="preserve">I write down what I see, not just “I took bloods today or whatever” it’s more just if I’ve seen a case that’s interesting or I’ve seen a new procedure or if I’ve been given feedback a different way </w:t>
      </w:r>
      <w:r w:rsidR="0093028F" w:rsidRPr="00B56453">
        <w:rPr>
          <w:lang w:val="en-GB"/>
        </w:rPr>
        <w:t>I’</w:t>
      </w:r>
      <w:r w:rsidR="00712ACD" w:rsidRPr="00B56453">
        <w:rPr>
          <w:lang w:val="en-GB"/>
        </w:rPr>
        <w:t>ll note it down and I think gives me an idea of how I’m progressing in that way</w:t>
      </w:r>
      <w:r w:rsidR="00575F1F" w:rsidRPr="00B56453">
        <w:rPr>
          <w:lang w:val="en-GB"/>
        </w:rPr>
        <w:t>”</w:t>
      </w:r>
      <w:r w:rsidR="00B716CC" w:rsidRPr="00B56453">
        <w:rPr>
          <w:lang w:val="en-GB"/>
        </w:rPr>
        <w:t>”</w:t>
      </w:r>
    </w:p>
    <w:p w14:paraId="132E49AA" w14:textId="77777777" w:rsidR="00712ACD" w:rsidRPr="00B56453" w:rsidRDefault="00712ACD" w:rsidP="000220E4">
      <w:pPr>
        <w:pStyle w:val="Normal1"/>
        <w:rPr>
          <w:lang w:val="en-GB"/>
        </w:rPr>
      </w:pPr>
    </w:p>
    <w:p w14:paraId="565FA823" w14:textId="1844C636" w:rsidR="00712ACD" w:rsidRPr="00B56453" w:rsidRDefault="00B736D4" w:rsidP="00026049">
      <w:pPr>
        <w:pStyle w:val="Normal1"/>
        <w:rPr>
          <w:lang w:val="en-GB"/>
        </w:rPr>
      </w:pPr>
      <w:r w:rsidRPr="00B56453">
        <w:rPr>
          <w:lang w:val="en-GB"/>
        </w:rPr>
        <w:t>Others</w:t>
      </w:r>
      <w:r w:rsidR="00712ACD" w:rsidRPr="00B56453">
        <w:rPr>
          <w:lang w:val="en-GB"/>
        </w:rPr>
        <w:t xml:space="preserve"> described monitoring their progress </w:t>
      </w:r>
      <w:r w:rsidRPr="00B56453">
        <w:rPr>
          <w:lang w:val="en-GB"/>
        </w:rPr>
        <w:t>by</w:t>
      </w:r>
      <w:r w:rsidR="00712ACD" w:rsidRPr="00B56453">
        <w:rPr>
          <w:lang w:val="en-GB"/>
        </w:rPr>
        <w:t xml:space="preserve"> using mental checklists</w:t>
      </w:r>
      <w:r w:rsidR="0093028F" w:rsidRPr="00B56453">
        <w:rPr>
          <w:lang w:val="en-GB"/>
        </w:rPr>
        <w:t xml:space="preserve"> which then </w:t>
      </w:r>
      <w:r w:rsidR="00826C3B" w:rsidRPr="00B56453">
        <w:rPr>
          <w:lang w:val="en-GB"/>
        </w:rPr>
        <w:t>helped them to analyse their plans or goals</w:t>
      </w:r>
      <w:r w:rsidR="0093028F" w:rsidRPr="00B56453">
        <w:rPr>
          <w:lang w:val="en-GB"/>
        </w:rPr>
        <w:t>.</w:t>
      </w:r>
    </w:p>
    <w:p w14:paraId="71CCBC45" w14:textId="77777777" w:rsidR="00712ACD" w:rsidRPr="00B56453" w:rsidRDefault="00712ACD" w:rsidP="000220E4">
      <w:pPr>
        <w:pStyle w:val="Normal1"/>
        <w:rPr>
          <w:lang w:val="en-GB"/>
        </w:rPr>
      </w:pPr>
    </w:p>
    <w:p w14:paraId="0C7C0912" w14:textId="38D44840" w:rsidR="00712ACD" w:rsidRPr="00B56453" w:rsidRDefault="00525706" w:rsidP="00026049">
      <w:pPr>
        <w:pStyle w:val="Quote"/>
        <w:rPr>
          <w:lang w:val="en-GB"/>
        </w:rPr>
      </w:pPr>
      <w:r w:rsidRPr="00B56453">
        <w:rPr>
          <w:lang w:val="en-GB"/>
        </w:rPr>
        <w:t>FG6 - BPF</w:t>
      </w:r>
      <w:r w:rsidR="00712ACD" w:rsidRPr="00B56453">
        <w:rPr>
          <w:lang w:val="en-GB"/>
        </w:rPr>
        <w:t xml:space="preserve"> </w:t>
      </w:r>
      <w:r w:rsidR="00632B0D" w:rsidRPr="00B56453">
        <w:rPr>
          <w:lang w:val="en-GB"/>
        </w:rPr>
        <w:t>Student 3</w:t>
      </w:r>
      <w:r w:rsidR="00712ACD" w:rsidRPr="00B56453">
        <w:rPr>
          <w:lang w:val="en-GB"/>
        </w:rPr>
        <w:t xml:space="preserve">: </w:t>
      </w:r>
      <w:r w:rsidR="001A7226" w:rsidRPr="00B56453">
        <w:rPr>
          <w:lang w:val="en-GB"/>
        </w:rPr>
        <w:t>“</w:t>
      </w:r>
      <w:r w:rsidR="00B716CC" w:rsidRPr="00B56453">
        <w:rPr>
          <w:lang w:val="en-GB"/>
        </w:rPr>
        <w:t>Y</w:t>
      </w:r>
      <w:r w:rsidR="00712ACD" w:rsidRPr="00B56453">
        <w:rPr>
          <w:lang w:val="en-GB"/>
        </w:rPr>
        <w:t>eah we keep a mental checklist of what tasks we have to check off along the way, definitely, because this is our surgical placement so the things like the scrub form, we need to get those done and the mini-CEX so at the start I went in and needed to get my scrubs done so I got them done a little bit earlier on. I just try to get anything I can signed off, signed off ASAP so that I can enjoy the rest of my placements without thinking of those things again.</w:t>
      </w:r>
      <w:r w:rsidR="001A7226" w:rsidRPr="00B56453">
        <w:rPr>
          <w:lang w:val="en-GB"/>
        </w:rPr>
        <w:t>”</w:t>
      </w:r>
    </w:p>
    <w:p w14:paraId="70C00FE2" w14:textId="577B7165" w:rsidR="00712ACD" w:rsidRPr="00B56453" w:rsidRDefault="00525706" w:rsidP="00026049">
      <w:pPr>
        <w:pStyle w:val="Quote"/>
        <w:rPr>
          <w:lang w:val="en-GB"/>
        </w:rPr>
      </w:pPr>
      <w:r w:rsidRPr="00B56453">
        <w:rPr>
          <w:lang w:val="en-GB"/>
        </w:rPr>
        <w:t>FG2 - SRLF</w:t>
      </w:r>
      <w:r w:rsidR="00712ACD" w:rsidRPr="00B56453">
        <w:rPr>
          <w:lang w:val="en-GB"/>
        </w:rPr>
        <w:t xml:space="preserve"> </w:t>
      </w:r>
      <w:r w:rsidR="00632B0D" w:rsidRPr="00B56453">
        <w:rPr>
          <w:b/>
          <w:bCs/>
          <w:lang w:val="en-GB"/>
        </w:rPr>
        <w:t>Student 12</w:t>
      </w:r>
      <w:r w:rsidR="00712ACD" w:rsidRPr="00B56453">
        <w:rPr>
          <w:b/>
          <w:bCs/>
          <w:lang w:val="en-GB"/>
        </w:rPr>
        <w:t>:</w:t>
      </w:r>
      <w:r w:rsidR="00712ACD" w:rsidRPr="00B56453">
        <w:rPr>
          <w:lang w:val="en-GB"/>
        </w:rPr>
        <w:t xml:space="preserve"> </w:t>
      </w:r>
      <w:r w:rsidR="001A7226" w:rsidRPr="00B56453">
        <w:rPr>
          <w:lang w:val="en-GB"/>
        </w:rPr>
        <w:t>“</w:t>
      </w:r>
      <w:r w:rsidR="00712ACD" w:rsidRPr="00B56453">
        <w:rPr>
          <w:lang w:val="en-GB"/>
        </w:rPr>
        <w:t xml:space="preserve">I have an idea of what we want to do each day, I can map it out on my timetable. Because the patients are so variable, you </w:t>
      </w:r>
      <w:r w:rsidR="001A7226" w:rsidRPr="00B56453">
        <w:rPr>
          <w:lang w:val="en-GB"/>
        </w:rPr>
        <w:t>can’t</w:t>
      </w:r>
      <w:r w:rsidR="00712ACD" w:rsidRPr="00B56453">
        <w:rPr>
          <w:lang w:val="en-GB"/>
        </w:rPr>
        <w:t xml:space="preserve"> definitely do what you set out to do in the day, some days are better than others.</w:t>
      </w:r>
      <w:r w:rsidR="001A7226" w:rsidRPr="00B56453">
        <w:rPr>
          <w:lang w:val="en-GB"/>
        </w:rPr>
        <w:t>”</w:t>
      </w:r>
      <w:r w:rsidR="00712ACD" w:rsidRPr="00B56453">
        <w:rPr>
          <w:lang w:val="en-GB"/>
        </w:rPr>
        <w:br/>
      </w:r>
      <w:r w:rsidR="00632B0D" w:rsidRPr="00B56453">
        <w:rPr>
          <w:b/>
          <w:bCs/>
          <w:lang w:val="en-GB"/>
        </w:rPr>
        <w:t>Student 7</w:t>
      </w:r>
      <w:r w:rsidR="00712ACD" w:rsidRPr="00B56453">
        <w:rPr>
          <w:b/>
          <w:bCs/>
          <w:lang w:val="en-GB"/>
        </w:rPr>
        <w:t>:</w:t>
      </w:r>
      <w:r w:rsidR="00712ACD" w:rsidRPr="00B56453">
        <w:rPr>
          <w:lang w:val="en-GB"/>
        </w:rPr>
        <w:t xml:space="preserve"> </w:t>
      </w:r>
      <w:r w:rsidR="001A7226" w:rsidRPr="00B56453">
        <w:rPr>
          <w:lang w:val="en-GB"/>
        </w:rPr>
        <w:t>“</w:t>
      </w:r>
      <w:r w:rsidR="00B716CC" w:rsidRPr="00B56453">
        <w:rPr>
          <w:lang w:val="en-GB"/>
        </w:rPr>
        <w:t>W</w:t>
      </w:r>
      <w:r w:rsidR="00712ACD" w:rsidRPr="00B56453">
        <w:rPr>
          <w:lang w:val="en-GB"/>
        </w:rPr>
        <w:t>e have a mental checklist of the stuff we have to get done over the three weeks as opposed to day-to-day</w:t>
      </w:r>
      <w:r w:rsidR="001A7226" w:rsidRPr="00B56453">
        <w:rPr>
          <w:lang w:val="en-GB"/>
        </w:rPr>
        <w:t>”</w:t>
      </w:r>
    </w:p>
    <w:p w14:paraId="14DCAC06" w14:textId="77777777" w:rsidR="00712ACD" w:rsidRPr="00B56453" w:rsidRDefault="00712ACD" w:rsidP="00712ACD">
      <w:pPr>
        <w:rPr>
          <w:lang w:eastAsia="en-GB"/>
        </w:rPr>
      </w:pPr>
    </w:p>
    <w:p w14:paraId="051541CE" w14:textId="35BA227C" w:rsidR="00A1001B" w:rsidRPr="00B56453" w:rsidRDefault="00DF28A1" w:rsidP="00026049">
      <w:pPr>
        <w:pStyle w:val="Normal1"/>
        <w:rPr>
          <w:lang w:val="en-GB"/>
        </w:rPr>
      </w:pPr>
      <w:r w:rsidRPr="00B56453">
        <w:rPr>
          <w:lang w:val="en-GB"/>
        </w:rPr>
        <w:t>Equally i</w:t>
      </w:r>
      <w:r w:rsidR="000B2999" w:rsidRPr="00B56453">
        <w:rPr>
          <w:lang w:val="en-GB"/>
        </w:rPr>
        <w:t xml:space="preserve">n </w:t>
      </w:r>
      <w:r w:rsidR="00A1001B" w:rsidRPr="00B56453">
        <w:rPr>
          <w:lang w:val="en-GB"/>
        </w:rPr>
        <w:t>both groups</w:t>
      </w:r>
      <w:r w:rsidR="000B2999" w:rsidRPr="00B56453">
        <w:rPr>
          <w:lang w:val="en-GB"/>
        </w:rPr>
        <w:t>, pro</w:t>
      </w:r>
      <w:r w:rsidR="000220E4" w:rsidRPr="00B56453">
        <w:rPr>
          <w:lang w:val="en-GB"/>
        </w:rPr>
        <w:t>gression also linked to learner</w:t>
      </w:r>
      <w:r w:rsidR="000B2999" w:rsidRPr="00B56453">
        <w:rPr>
          <w:lang w:val="en-GB"/>
        </w:rPr>
        <w:t>s</w:t>
      </w:r>
      <w:r w:rsidR="000220E4" w:rsidRPr="00B56453">
        <w:rPr>
          <w:lang w:val="en-GB"/>
        </w:rPr>
        <w:t>’</w:t>
      </w:r>
      <w:r w:rsidR="000B2999" w:rsidRPr="00B56453">
        <w:rPr>
          <w:lang w:val="en-GB"/>
        </w:rPr>
        <w:t xml:space="preserve"> perceptions of their confidence and motivation</w:t>
      </w:r>
      <w:r w:rsidR="00B716CC" w:rsidRPr="00B56453">
        <w:rPr>
          <w:lang w:val="en-GB"/>
        </w:rPr>
        <w:t>,</w:t>
      </w:r>
      <w:r w:rsidR="000B2999" w:rsidRPr="00B56453">
        <w:rPr>
          <w:lang w:val="en-GB"/>
        </w:rPr>
        <w:t xml:space="preserve"> although this effect was not </w:t>
      </w:r>
      <w:r w:rsidR="00403EE9" w:rsidRPr="00B56453">
        <w:rPr>
          <w:lang w:val="en-GB"/>
        </w:rPr>
        <w:t>explicitly</w:t>
      </w:r>
      <w:r w:rsidR="000B2999" w:rsidRPr="00B56453">
        <w:rPr>
          <w:lang w:val="en-GB"/>
        </w:rPr>
        <w:t xml:space="preserve"> directional. </w:t>
      </w:r>
      <w:r w:rsidR="00403EE9" w:rsidRPr="00B56453">
        <w:rPr>
          <w:lang w:val="en-GB"/>
        </w:rPr>
        <w:t xml:space="preserve">Learners </w:t>
      </w:r>
      <w:r w:rsidR="00B736D4" w:rsidRPr="00B56453">
        <w:rPr>
          <w:lang w:val="en-GB"/>
        </w:rPr>
        <w:t>articulated using changes in their perceived</w:t>
      </w:r>
      <w:r w:rsidR="00403EE9" w:rsidRPr="00B56453">
        <w:rPr>
          <w:lang w:val="en-GB"/>
        </w:rPr>
        <w:t xml:space="preserve"> confidence </w:t>
      </w:r>
      <w:r w:rsidR="00B736D4" w:rsidRPr="00B56453">
        <w:rPr>
          <w:lang w:val="en-GB"/>
        </w:rPr>
        <w:t xml:space="preserve">levels </w:t>
      </w:r>
      <w:r w:rsidR="00403EE9" w:rsidRPr="00B56453">
        <w:rPr>
          <w:lang w:val="en-GB"/>
        </w:rPr>
        <w:t xml:space="preserve">as </w:t>
      </w:r>
      <w:r w:rsidR="00B736D4" w:rsidRPr="00B56453">
        <w:rPr>
          <w:lang w:val="en-GB"/>
        </w:rPr>
        <w:t xml:space="preserve">a </w:t>
      </w:r>
      <w:r w:rsidR="00403EE9" w:rsidRPr="00B56453">
        <w:rPr>
          <w:lang w:val="en-GB"/>
        </w:rPr>
        <w:t xml:space="preserve">way of </w:t>
      </w:r>
      <w:r w:rsidR="002E1A52" w:rsidRPr="00B56453">
        <w:rPr>
          <w:lang w:val="en-GB"/>
        </w:rPr>
        <w:t>measuring</w:t>
      </w:r>
      <w:r w:rsidR="000220E4" w:rsidRPr="00B56453">
        <w:rPr>
          <w:lang w:val="en-GB"/>
        </w:rPr>
        <w:t xml:space="preserve"> progress;</w:t>
      </w:r>
      <w:r w:rsidR="00403EE9" w:rsidRPr="00B56453">
        <w:rPr>
          <w:lang w:val="en-GB"/>
        </w:rPr>
        <w:t xml:space="preserve"> their self-</w:t>
      </w:r>
      <w:r w:rsidR="00B736D4" w:rsidRPr="00B56453">
        <w:rPr>
          <w:lang w:val="en-GB"/>
        </w:rPr>
        <w:t>efficacy</w:t>
      </w:r>
      <w:r w:rsidR="00403EE9" w:rsidRPr="00B56453">
        <w:rPr>
          <w:lang w:val="en-GB"/>
        </w:rPr>
        <w:t xml:space="preserve"> performing certain clinical skills was also cited.</w:t>
      </w:r>
      <w:r w:rsidR="002E1A52" w:rsidRPr="00B56453">
        <w:rPr>
          <w:lang w:val="en-GB"/>
        </w:rPr>
        <w:t xml:space="preserve"> In other cases, their perceived confidence </w:t>
      </w:r>
      <w:r w:rsidR="00B736D4" w:rsidRPr="00B56453">
        <w:rPr>
          <w:lang w:val="en-GB"/>
        </w:rPr>
        <w:t>was implied to</w:t>
      </w:r>
      <w:r w:rsidR="002E1A52" w:rsidRPr="00B56453">
        <w:rPr>
          <w:lang w:val="en-GB"/>
        </w:rPr>
        <w:t xml:space="preserve"> have been hindering their progress</w:t>
      </w:r>
      <w:r w:rsidR="00B736D4" w:rsidRPr="00B56453">
        <w:rPr>
          <w:lang w:val="en-GB"/>
        </w:rPr>
        <w:t>,</w:t>
      </w:r>
      <w:r w:rsidR="002E1A52" w:rsidRPr="00B56453">
        <w:rPr>
          <w:lang w:val="en-GB"/>
        </w:rPr>
        <w:t xml:space="preserve"> as </w:t>
      </w:r>
      <w:r w:rsidR="002E1A52" w:rsidRPr="00B56453">
        <w:rPr>
          <w:lang w:val="en-GB"/>
        </w:rPr>
        <w:lastRenderedPageBreak/>
        <w:t xml:space="preserve">in the second quote, requiring confidence to be </w:t>
      </w:r>
      <w:r w:rsidR="00B736D4" w:rsidRPr="00B56453">
        <w:rPr>
          <w:lang w:val="en-GB"/>
        </w:rPr>
        <w:t>built</w:t>
      </w:r>
      <w:r w:rsidR="002E1A52" w:rsidRPr="00B56453">
        <w:rPr>
          <w:lang w:val="en-GB"/>
        </w:rPr>
        <w:t xml:space="preserve"> before they considered th</w:t>
      </w:r>
      <w:r w:rsidR="000220E4" w:rsidRPr="00B56453">
        <w:rPr>
          <w:lang w:val="en-GB"/>
        </w:rPr>
        <w:t xml:space="preserve">e feedback which challenged their current approach to </w:t>
      </w:r>
      <w:r w:rsidR="002E1A52" w:rsidRPr="00B56453">
        <w:rPr>
          <w:lang w:val="en-GB"/>
        </w:rPr>
        <w:t>a certain skill.</w:t>
      </w:r>
    </w:p>
    <w:p w14:paraId="1D999502" w14:textId="77777777" w:rsidR="00A1001B" w:rsidRPr="00B56453" w:rsidRDefault="00A1001B" w:rsidP="00026049">
      <w:pPr>
        <w:pStyle w:val="Normal1"/>
        <w:rPr>
          <w:lang w:val="en-GB"/>
        </w:rPr>
      </w:pPr>
    </w:p>
    <w:p w14:paraId="3FF4385F" w14:textId="69BC0EFD" w:rsidR="00A1001B" w:rsidRPr="00B56453" w:rsidRDefault="009045D2" w:rsidP="00026049">
      <w:pPr>
        <w:pStyle w:val="Quote"/>
        <w:rPr>
          <w:lang w:val="en-GB"/>
        </w:rPr>
      </w:pPr>
      <w:r w:rsidRPr="00B56453">
        <w:rPr>
          <w:lang w:val="en-GB"/>
        </w:rPr>
        <w:t>G4 - 2</w:t>
      </w:r>
      <w:r w:rsidR="00A1001B" w:rsidRPr="00B56453">
        <w:rPr>
          <w:lang w:val="en-GB"/>
        </w:rPr>
        <w:t xml:space="preserve">: </w:t>
      </w:r>
      <w:r w:rsidR="001A7226" w:rsidRPr="00B56453">
        <w:rPr>
          <w:lang w:val="en-GB"/>
        </w:rPr>
        <w:t>“</w:t>
      </w:r>
      <w:r w:rsidR="000220E4" w:rsidRPr="00B56453">
        <w:rPr>
          <w:lang w:val="en-GB"/>
        </w:rPr>
        <w:t>M</w:t>
      </w:r>
      <w:r w:rsidR="00A1001B" w:rsidRPr="00B56453">
        <w:rPr>
          <w:lang w:val="en-GB"/>
        </w:rPr>
        <w:t>y confidence is sort of a bar set for where I am and I can tell from where I started compared to now it was a huge difference as well. I think one of the biggest differences from then to now is not shaking when I’m doing the skills, I notice it now, when I do stuff its more… not natural because I’m still practicing</w:t>
      </w:r>
      <w:r w:rsidR="001A7226" w:rsidRPr="00B56453">
        <w:rPr>
          <w:lang w:val="en-GB"/>
        </w:rPr>
        <w:t>,</w:t>
      </w:r>
      <w:r w:rsidR="00A1001B" w:rsidRPr="00B56453">
        <w:rPr>
          <w:lang w:val="en-GB"/>
        </w:rPr>
        <w:t xml:space="preserve"> but it’s going on a lot better rather than w</w:t>
      </w:r>
      <w:r w:rsidR="001A7226" w:rsidRPr="00B56453">
        <w:rPr>
          <w:lang w:val="en-GB"/>
        </w:rPr>
        <w:t>hen I first started, I was like ‘</w:t>
      </w:r>
      <w:r w:rsidR="00A1001B" w:rsidRPr="00B56453">
        <w:rPr>
          <w:lang w:val="en-GB"/>
        </w:rPr>
        <w:t>what do I d</w:t>
      </w:r>
      <w:r w:rsidR="001A7226" w:rsidRPr="00B56453">
        <w:rPr>
          <w:lang w:val="en-GB"/>
        </w:rPr>
        <w:t>o next, I don’t have any hands…’</w:t>
      </w:r>
      <w:r w:rsidR="00A1001B" w:rsidRPr="00B56453">
        <w:rPr>
          <w:lang w:val="en-GB"/>
        </w:rPr>
        <w:t xml:space="preserve"> you know that kind of thing, fumbling around and stuff</w:t>
      </w:r>
      <w:r w:rsidR="001A7226" w:rsidRPr="00B56453">
        <w:rPr>
          <w:lang w:val="en-GB"/>
        </w:rPr>
        <w:t>,</w:t>
      </w:r>
      <w:r w:rsidR="00A1001B" w:rsidRPr="00B56453">
        <w:rPr>
          <w:lang w:val="en-GB"/>
        </w:rPr>
        <w:t xml:space="preserve"> but it’s a lot better now.</w:t>
      </w:r>
      <w:r w:rsidR="001A7226" w:rsidRPr="00B56453">
        <w:rPr>
          <w:lang w:val="en-GB"/>
        </w:rPr>
        <w:t>”</w:t>
      </w:r>
    </w:p>
    <w:p w14:paraId="49061865" w14:textId="6DD3F74E" w:rsidR="001A7226" w:rsidRPr="00B56453" w:rsidRDefault="00525706" w:rsidP="00026049">
      <w:pPr>
        <w:pStyle w:val="Quote"/>
        <w:rPr>
          <w:lang w:val="en-GB"/>
        </w:rPr>
      </w:pPr>
      <w:r w:rsidRPr="00B56453">
        <w:rPr>
          <w:lang w:val="en-GB"/>
        </w:rPr>
        <w:t>FG4 - SRLF</w:t>
      </w:r>
      <w:r w:rsidR="00C85E0D" w:rsidRPr="00B56453">
        <w:rPr>
          <w:lang w:val="en-GB"/>
        </w:rPr>
        <w:t xml:space="preserve"> </w:t>
      </w:r>
      <w:r w:rsidR="00632B0D" w:rsidRPr="00B56453">
        <w:rPr>
          <w:lang w:val="en-GB"/>
        </w:rPr>
        <w:t>Student 6</w:t>
      </w:r>
      <w:r w:rsidR="00C85E0D" w:rsidRPr="00B56453">
        <w:rPr>
          <w:lang w:val="en-GB"/>
        </w:rPr>
        <w:t xml:space="preserve">: </w:t>
      </w:r>
      <w:r w:rsidR="001A7226" w:rsidRPr="00B56453">
        <w:rPr>
          <w:lang w:val="en-GB"/>
        </w:rPr>
        <w:t>“</w:t>
      </w:r>
      <w:r w:rsidR="000220E4" w:rsidRPr="00B56453">
        <w:rPr>
          <w:lang w:val="en-GB"/>
        </w:rPr>
        <w:t>A</w:t>
      </w:r>
      <w:r w:rsidR="00C85E0D" w:rsidRPr="00B56453">
        <w:rPr>
          <w:lang w:val="en-GB"/>
        </w:rPr>
        <w:t xml:space="preserve"> good example is the butterfly needle and the blue one, loads of doctors say use the blue on</w:t>
      </w:r>
      <w:r w:rsidR="00803EBA" w:rsidRPr="00B56453">
        <w:rPr>
          <w:lang w:val="en-GB"/>
        </w:rPr>
        <w:t>e</w:t>
      </w:r>
      <w:r w:rsidR="00C85E0D" w:rsidRPr="00B56453">
        <w:rPr>
          <w:lang w:val="en-GB"/>
        </w:rPr>
        <w:t>, but I find the butterfly a lot easier but I think that’s just because I’m a novice. So I’m going to ignore the feedback for a little while then I’m going to use the other one later so I guess I will come to my own conclusion about the feedback they give me. I know they’re right but for the minute I’m going to stick with what is working.</w:t>
      </w:r>
      <w:r w:rsidR="001A7226" w:rsidRPr="00B56453">
        <w:rPr>
          <w:lang w:val="en-GB"/>
        </w:rPr>
        <w:t>”</w:t>
      </w:r>
    </w:p>
    <w:p w14:paraId="57406D94" w14:textId="77777777" w:rsidR="001A7226" w:rsidRPr="00B56453" w:rsidRDefault="001A7226" w:rsidP="00026049">
      <w:pPr>
        <w:pStyle w:val="Quote"/>
        <w:rPr>
          <w:lang w:val="en-GB"/>
        </w:rPr>
      </w:pPr>
    </w:p>
    <w:p w14:paraId="6B6CE397" w14:textId="1A10B44D" w:rsidR="00335093" w:rsidRPr="00B56453" w:rsidRDefault="001A7226" w:rsidP="00026049">
      <w:pPr>
        <w:pStyle w:val="Normal1"/>
        <w:rPr>
          <w:lang w:val="en-GB"/>
        </w:rPr>
      </w:pPr>
      <w:r w:rsidRPr="00B56453">
        <w:rPr>
          <w:lang w:val="en-GB"/>
        </w:rPr>
        <w:t xml:space="preserve">Measures of progression </w:t>
      </w:r>
      <w:r w:rsidR="000220E4" w:rsidRPr="00B56453">
        <w:rPr>
          <w:lang w:val="en-GB"/>
        </w:rPr>
        <w:t xml:space="preserve">were perceived to have </w:t>
      </w:r>
      <w:r w:rsidRPr="00B56453">
        <w:rPr>
          <w:lang w:val="en-GB"/>
        </w:rPr>
        <w:t>impacted directly onto SRLF group learners’ self-evaluation behaviours</w:t>
      </w:r>
      <w:r w:rsidR="005A7690" w:rsidRPr="00B56453">
        <w:rPr>
          <w:lang w:val="en-GB"/>
        </w:rPr>
        <w:t xml:space="preserve"> in the form of reflective practice, comparing themselves at different key points in their development.</w:t>
      </w:r>
    </w:p>
    <w:p w14:paraId="57B16394" w14:textId="77777777" w:rsidR="00335093" w:rsidRPr="00B56453" w:rsidRDefault="00335093" w:rsidP="00026049">
      <w:pPr>
        <w:pStyle w:val="Normal1"/>
        <w:rPr>
          <w:lang w:val="en-GB"/>
        </w:rPr>
      </w:pPr>
    </w:p>
    <w:p w14:paraId="683F862E" w14:textId="64011F0A" w:rsidR="00335093" w:rsidRPr="00B56453" w:rsidRDefault="00525706" w:rsidP="00026049">
      <w:pPr>
        <w:pStyle w:val="Quote"/>
        <w:rPr>
          <w:lang w:val="en-GB"/>
        </w:rPr>
      </w:pPr>
      <w:r w:rsidRPr="00B56453">
        <w:rPr>
          <w:lang w:val="en-GB"/>
        </w:rPr>
        <w:t>FG4 - SRLF</w:t>
      </w:r>
      <w:r w:rsidR="00335093" w:rsidRPr="00B56453">
        <w:rPr>
          <w:lang w:val="en-GB"/>
        </w:rPr>
        <w:t xml:space="preserve"> </w:t>
      </w:r>
      <w:r w:rsidR="00632B0D" w:rsidRPr="00B56453">
        <w:rPr>
          <w:lang w:val="en-GB"/>
        </w:rPr>
        <w:t>Student 5</w:t>
      </w:r>
      <w:r w:rsidR="00335093" w:rsidRPr="00B56453">
        <w:rPr>
          <w:lang w:val="en-GB"/>
        </w:rPr>
        <w:t xml:space="preserve">: </w:t>
      </w:r>
      <w:r w:rsidR="00082127" w:rsidRPr="00B56453">
        <w:rPr>
          <w:lang w:val="en-GB"/>
        </w:rPr>
        <w:t>“</w:t>
      </w:r>
      <w:r w:rsidR="000220E4" w:rsidRPr="00B56453">
        <w:rPr>
          <w:lang w:val="en-GB"/>
        </w:rPr>
        <w:t>W</w:t>
      </w:r>
      <w:r w:rsidR="00335093" w:rsidRPr="00B56453">
        <w:rPr>
          <w:lang w:val="en-GB"/>
        </w:rPr>
        <w:t>hen they as</w:t>
      </w:r>
      <w:r w:rsidR="005A7690" w:rsidRPr="00B56453">
        <w:rPr>
          <w:lang w:val="en-GB"/>
        </w:rPr>
        <w:t>k me what I want to know I say ‘everything really’</w:t>
      </w:r>
      <w:r w:rsidR="00335093" w:rsidRPr="00B56453">
        <w:rPr>
          <w:lang w:val="en-GB"/>
        </w:rPr>
        <w:t xml:space="preserve"> but then as the week is set out and its begun, we’ve been here a while I know ECGs and I can put them on, so that’s one thing. You pick up on the way you’ve realised what you’re doing.</w:t>
      </w:r>
      <w:r w:rsidR="00082127" w:rsidRPr="00B56453">
        <w:rPr>
          <w:lang w:val="en-GB"/>
        </w:rPr>
        <w:t>”</w:t>
      </w:r>
    </w:p>
    <w:p w14:paraId="72166559" w14:textId="01CA57D6" w:rsidR="00335093" w:rsidRPr="00B56453" w:rsidRDefault="009045D2" w:rsidP="00026049">
      <w:pPr>
        <w:pStyle w:val="Quote"/>
        <w:rPr>
          <w:lang w:val="en-GB"/>
        </w:rPr>
      </w:pPr>
      <w:r w:rsidRPr="00B56453">
        <w:rPr>
          <w:lang w:val="en-GB"/>
        </w:rPr>
        <w:t>G2 - 1</w:t>
      </w:r>
      <w:r w:rsidR="00335093" w:rsidRPr="00B56453">
        <w:rPr>
          <w:lang w:val="en-GB"/>
        </w:rPr>
        <w:t xml:space="preserve">: </w:t>
      </w:r>
      <w:r w:rsidR="00082127" w:rsidRPr="00B56453">
        <w:rPr>
          <w:lang w:val="en-GB"/>
        </w:rPr>
        <w:t>“</w:t>
      </w:r>
      <w:r w:rsidR="00335093" w:rsidRPr="00B56453">
        <w:rPr>
          <w:lang w:val="en-GB"/>
        </w:rPr>
        <w:t>I’ve got six weeks of case studies and I look at the ones in the first week and they’re pretty shocking quality so I can track that, writing up weekly it gets easier as I go on. I used to have a plan, and I used to fill out bits and now I can just write it out, and histories are a lot easier in terms of flow and I remember the questions to ask whereas before I had prompts to remind myself whereas now I just go over with an empty notebook. I can tell from comparing myself</w:t>
      </w:r>
      <w:r w:rsidR="00082127" w:rsidRPr="00B56453">
        <w:rPr>
          <w:lang w:val="en-GB"/>
        </w:rPr>
        <w:t xml:space="preserve"> from before 6 weeks ago to now”</w:t>
      </w:r>
    </w:p>
    <w:p w14:paraId="181C6891" w14:textId="77777777" w:rsidR="005A7690" w:rsidRPr="00B56453" w:rsidRDefault="005A7690" w:rsidP="00026049">
      <w:pPr>
        <w:pStyle w:val="Normal1"/>
        <w:rPr>
          <w:lang w:val="en-GB"/>
        </w:rPr>
      </w:pPr>
    </w:p>
    <w:p w14:paraId="14E44C68" w14:textId="3368AD96" w:rsidR="005A7690" w:rsidRPr="00B56453" w:rsidRDefault="005A7690" w:rsidP="00026049">
      <w:pPr>
        <w:pStyle w:val="Normal1"/>
        <w:rPr>
          <w:lang w:val="en-GB"/>
        </w:rPr>
      </w:pPr>
      <w:r w:rsidRPr="00B56453">
        <w:rPr>
          <w:lang w:val="en-GB"/>
        </w:rPr>
        <w:lastRenderedPageBreak/>
        <w:t>Perceived support from supervisors was a theme linked to both pr</w:t>
      </w:r>
      <w:r w:rsidR="0063172F" w:rsidRPr="00B56453">
        <w:rPr>
          <w:lang w:val="en-GB"/>
        </w:rPr>
        <w:t>ogression and self-evaluation be</w:t>
      </w:r>
      <w:r w:rsidRPr="00B56453">
        <w:rPr>
          <w:lang w:val="en-GB"/>
        </w:rPr>
        <w:t xml:space="preserve">haviours. </w:t>
      </w:r>
      <w:r w:rsidR="00765313" w:rsidRPr="00B56453">
        <w:rPr>
          <w:lang w:val="en-GB"/>
        </w:rPr>
        <w:t xml:space="preserve">Students </w:t>
      </w:r>
      <w:r w:rsidR="00FD4B58" w:rsidRPr="00B56453">
        <w:rPr>
          <w:lang w:val="en-GB"/>
        </w:rPr>
        <w:t>articulated</w:t>
      </w:r>
      <w:r w:rsidR="00765313" w:rsidRPr="00B56453">
        <w:rPr>
          <w:lang w:val="en-GB"/>
        </w:rPr>
        <w:t xml:space="preserve"> that </w:t>
      </w:r>
      <w:r w:rsidR="00FD4B58" w:rsidRPr="00B56453">
        <w:rPr>
          <w:lang w:val="en-GB"/>
        </w:rPr>
        <w:t>they perceived their supervisor to be highly knowledgeable</w:t>
      </w:r>
      <w:r w:rsidR="00765313" w:rsidRPr="00B56453">
        <w:rPr>
          <w:lang w:val="en-GB"/>
        </w:rPr>
        <w:t xml:space="preserve"> and subsequently felt that any </w:t>
      </w:r>
      <w:r w:rsidR="00FD4B58" w:rsidRPr="00B56453">
        <w:rPr>
          <w:lang w:val="en-GB"/>
        </w:rPr>
        <w:t>feedback they gave</w:t>
      </w:r>
      <w:r w:rsidR="00765313" w:rsidRPr="00B56453">
        <w:rPr>
          <w:lang w:val="en-GB"/>
        </w:rPr>
        <w:t xml:space="preserve"> should be </w:t>
      </w:r>
      <w:r w:rsidR="00FD4B58" w:rsidRPr="00B56453">
        <w:rPr>
          <w:lang w:val="en-GB"/>
        </w:rPr>
        <w:t>accepted and used</w:t>
      </w:r>
      <w:r w:rsidR="00765313" w:rsidRPr="00B56453">
        <w:rPr>
          <w:lang w:val="en-GB"/>
        </w:rPr>
        <w:t xml:space="preserve"> </w:t>
      </w:r>
      <w:r w:rsidR="00FD4B58" w:rsidRPr="00B56453">
        <w:rPr>
          <w:lang w:val="en-GB"/>
        </w:rPr>
        <w:t>with little critique</w:t>
      </w:r>
      <w:r w:rsidR="00765313" w:rsidRPr="00B56453">
        <w:rPr>
          <w:lang w:val="en-GB"/>
        </w:rPr>
        <w:t>.</w:t>
      </w:r>
    </w:p>
    <w:p w14:paraId="723EB9FD" w14:textId="77777777" w:rsidR="0063172F" w:rsidRPr="00B56453" w:rsidRDefault="0063172F" w:rsidP="00026049">
      <w:pPr>
        <w:pStyle w:val="Normal1"/>
        <w:rPr>
          <w:lang w:val="en-GB"/>
        </w:rPr>
      </w:pPr>
    </w:p>
    <w:p w14:paraId="290D1C08" w14:textId="3F9DFEC7" w:rsidR="0063172F" w:rsidRPr="00B56453" w:rsidRDefault="009045D2" w:rsidP="00026049">
      <w:pPr>
        <w:pStyle w:val="Quote"/>
        <w:rPr>
          <w:lang w:val="en-GB"/>
        </w:rPr>
      </w:pPr>
      <w:r w:rsidRPr="00B56453">
        <w:rPr>
          <w:lang w:val="en-GB"/>
        </w:rPr>
        <w:t>G4 - 2</w:t>
      </w:r>
      <w:r w:rsidR="0063172F" w:rsidRPr="00B56453">
        <w:rPr>
          <w:lang w:val="en-GB"/>
        </w:rPr>
        <w:t xml:space="preserve">: </w:t>
      </w:r>
      <w:r w:rsidR="00B716CC" w:rsidRPr="00B56453">
        <w:rPr>
          <w:lang w:val="en-GB"/>
        </w:rPr>
        <w:t>“</w:t>
      </w:r>
      <w:r w:rsidR="0063172F" w:rsidRPr="00B56453">
        <w:rPr>
          <w:lang w:val="en-GB"/>
        </w:rPr>
        <w:t xml:space="preserve">I take it very seriously when they tell me the feedback, not that I get offended or whatever, </w:t>
      </w:r>
      <w:r w:rsidR="009549FE" w:rsidRPr="00B56453">
        <w:rPr>
          <w:lang w:val="en-GB"/>
        </w:rPr>
        <w:t>it’s</w:t>
      </w:r>
      <w:r w:rsidR="0063172F" w:rsidRPr="00B56453">
        <w:rPr>
          <w:lang w:val="en-GB"/>
        </w:rPr>
        <w:t xml:space="preserve"> jus</w:t>
      </w:r>
      <w:r w:rsidR="00765313" w:rsidRPr="00B56453">
        <w:rPr>
          <w:lang w:val="en-GB"/>
        </w:rPr>
        <w:t>t</w:t>
      </w:r>
      <w:r w:rsidR="0063172F" w:rsidRPr="00B56453">
        <w:rPr>
          <w:lang w:val="en-GB"/>
        </w:rPr>
        <w:t xml:space="preserve"> the fact that there’s so much I don’t know yet, eve</w:t>
      </w:r>
      <w:r w:rsidR="00765313" w:rsidRPr="00B56453">
        <w:rPr>
          <w:lang w:val="en-GB"/>
        </w:rPr>
        <w:t xml:space="preserve">rything they say to me is like </w:t>
      </w:r>
      <w:r w:rsidR="0063172F" w:rsidRPr="00B56453">
        <w:rPr>
          <w:lang w:val="en-GB"/>
        </w:rPr>
        <w:t xml:space="preserve">wow ok this is definitely a way I can do it much better than what I know because I don’t know anything at the moment compared to them” </w:t>
      </w:r>
    </w:p>
    <w:p w14:paraId="655F73F8" w14:textId="77777777" w:rsidR="00745621" w:rsidRPr="00B56453" w:rsidRDefault="00745621" w:rsidP="00026049">
      <w:pPr>
        <w:pStyle w:val="Quote"/>
        <w:rPr>
          <w:lang w:val="en-GB"/>
        </w:rPr>
      </w:pPr>
    </w:p>
    <w:p w14:paraId="19F0E589" w14:textId="33EAC946" w:rsidR="00745621" w:rsidRPr="00B56453" w:rsidRDefault="000220E4" w:rsidP="00026049">
      <w:pPr>
        <w:pStyle w:val="Normal1"/>
        <w:rPr>
          <w:lang w:val="en-GB"/>
        </w:rPr>
      </w:pPr>
      <w:r w:rsidRPr="00B56453">
        <w:rPr>
          <w:lang w:val="en-GB"/>
        </w:rPr>
        <w:t>A strong</w:t>
      </w:r>
      <w:r w:rsidR="00745621" w:rsidRPr="00B56453">
        <w:rPr>
          <w:lang w:val="en-GB"/>
        </w:rPr>
        <w:t xml:space="preserve"> </w:t>
      </w:r>
      <w:r w:rsidRPr="00B56453">
        <w:rPr>
          <w:lang w:val="en-GB"/>
        </w:rPr>
        <w:t>link</w:t>
      </w:r>
      <w:r w:rsidR="00745621" w:rsidRPr="00B56453">
        <w:rPr>
          <w:lang w:val="en-GB"/>
        </w:rPr>
        <w:t xml:space="preserve"> was identified between the supportive theme and self-evaluation. Differences in attribution were </w:t>
      </w:r>
      <w:r w:rsidR="00DF28A1" w:rsidRPr="00B56453">
        <w:rPr>
          <w:lang w:val="en-GB"/>
        </w:rPr>
        <w:t>evident</w:t>
      </w:r>
      <w:r w:rsidR="00745621" w:rsidRPr="00B56453">
        <w:rPr>
          <w:lang w:val="en-GB"/>
        </w:rPr>
        <w:t xml:space="preserve"> but a more productive learner-supervisor relationship was desired when students reflected upon their clinical learning experiences.</w:t>
      </w:r>
    </w:p>
    <w:p w14:paraId="7A22ADE5" w14:textId="52503044" w:rsidR="0063172F" w:rsidRPr="00B27F0B" w:rsidRDefault="0063172F" w:rsidP="00F663D8">
      <w:pPr>
        <w:pStyle w:val="Normal1"/>
        <w:rPr>
          <w:lang w:val="en-GB"/>
        </w:rPr>
      </w:pPr>
    </w:p>
    <w:p w14:paraId="48C65CBA" w14:textId="21078094" w:rsidR="00765313" w:rsidRPr="00BD42AF" w:rsidRDefault="009045D2" w:rsidP="00026049">
      <w:pPr>
        <w:pStyle w:val="Quote"/>
        <w:rPr>
          <w:lang w:val="en-GB"/>
        </w:rPr>
      </w:pPr>
      <w:r w:rsidRPr="00B56453">
        <w:rPr>
          <w:lang w:val="en-GB"/>
        </w:rPr>
        <w:t>G3 - 2</w:t>
      </w:r>
      <w:r w:rsidR="00745621" w:rsidRPr="00BD42AF">
        <w:rPr>
          <w:lang w:val="en-GB"/>
        </w:rPr>
        <w:t>: “</w:t>
      </w:r>
      <w:r w:rsidR="00765313" w:rsidRPr="00BD42AF">
        <w:rPr>
          <w:lang w:val="en-GB"/>
        </w:rPr>
        <w:t>I would make an effort to see my supervisor more, I would greet them and ask them for a timetable, to ask if I could come to clinic as well. Rather than hanging around on the wards sometimes I think I waste a lot of my time, standing there hoping something will happen. I’d encourage myself to be more proactive in that respect.</w:t>
      </w:r>
      <w:r w:rsidR="00745621" w:rsidRPr="00BD42AF">
        <w:rPr>
          <w:lang w:val="en-GB"/>
        </w:rPr>
        <w:t>”</w:t>
      </w:r>
    </w:p>
    <w:p w14:paraId="1F3F691C" w14:textId="4DF432AB" w:rsidR="00765313" w:rsidRPr="00C71126" w:rsidRDefault="00525706" w:rsidP="00026049">
      <w:pPr>
        <w:pStyle w:val="Quote"/>
        <w:rPr>
          <w:lang w:val="en-GB"/>
        </w:rPr>
      </w:pPr>
      <w:r w:rsidRPr="00BD42AF">
        <w:rPr>
          <w:lang w:val="en-GB"/>
        </w:rPr>
        <w:t>FG7 - SRLF</w:t>
      </w:r>
      <w:r w:rsidR="00765313" w:rsidRPr="00BD42AF">
        <w:rPr>
          <w:lang w:val="en-GB"/>
        </w:rPr>
        <w:t xml:space="preserve"> </w:t>
      </w:r>
      <w:r w:rsidR="00632B0D" w:rsidRPr="00BD42AF">
        <w:rPr>
          <w:lang w:val="en-GB"/>
        </w:rPr>
        <w:t>Student 8</w:t>
      </w:r>
      <w:r w:rsidR="00765313" w:rsidRPr="00BD42AF">
        <w:rPr>
          <w:lang w:val="en-GB"/>
        </w:rPr>
        <w:t xml:space="preserve">: </w:t>
      </w:r>
      <w:r w:rsidR="00745621" w:rsidRPr="00BD42AF">
        <w:rPr>
          <w:lang w:val="en-GB"/>
        </w:rPr>
        <w:t>“I</w:t>
      </w:r>
      <w:r w:rsidR="00765313" w:rsidRPr="00BD42AF">
        <w:rPr>
          <w:lang w:val="en-GB"/>
        </w:rPr>
        <w:t>t would be nice to get a sit down meeting with the care team, I know it’s logistically hard, just to discuss what we’d like to get out of placement and what they’d like to see from us. It’s just got to the stage where they now know what we’re here for and what we’re trying to get out of it. It would be nice to have that mutual understanding from the outset be</w:t>
      </w:r>
      <w:r w:rsidR="00765313" w:rsidRPr="001046E5">
        <w:rPr>
          <w:lang w:val="en-GB"/>
        </w:rPr>
        <w:t>cause it’s got up until this stage before they knew.</w:t>
      </w:r>
      <w:r w:rsidR="00745621" w:rsidRPr="00C71126">
        <w:rPr>
          <w:lang w:val="en-GB"/>
        </w:rPr>
        <w:t>”</w:t>
      </w:r>
    </w:p>
    <w:p w14:paraId="45A29596" w14:textId="39FD7DAB" w:rsidR="00765313" w:rsidRPr="00C71126" w:rsidRDefault="009045D2" w:rsidP="00026049">
      <w:pPr>
        <w:pStyle w:val="Quote"/>
        <w:rPr>
          <w:lang w:val="en-GB"/>
        </w:rPr>
      </w:pPr>
      <w:r w:rsidRPr="00C71126">
        <w:rPr>
          <w:lang w:val="en-GB"/>
        </w:rPr>
        <w:t>G5 - 2</w:t>
      </w:r>
      <w:r w:rsidR="00745621" w:rsidRPr="00C71126">
        <w:rPr>
          <w:lang w:val="en-GB"/>
        </w:rPr>
        <w:t>: “</w:t>
      </w:r>
      <w:r w:rsidR="00765313" w:rsidRPr="00C71126">
        <w:rPr>
          <w:lang w:val="en-GB"/>
        </w:rPr>
        <w:t>Maybe when I found a good consultant I should’ve hung out with them a bit more. Just stayed with them, it would’ve got more rapport going but I don’t see them often enough.</w:t>
      </w:r>
      <w:r w:rsidR="00745621" w:rsidRPr="00C71126">
        <w:rPr>
          <w:lang w:val="en-GB"/>
        </w:rPr>
        <w:t>”</w:t>
      </w:r>
    </w:p>
    <w:p w14:paraId="63F95B50" w14:textId="77777777" w:rsidR="00745621" w:rsidRPr="00C71126" w:rsidRDefault="00745621" w:rsidP="00026049">
      <w:pPr>
        <w:pStyle w:val="Normal1"/>
        <w:rPr>
          <w:lang w:val="en-GB"/>
        </w:rPr>
      </w:pPr>
    </w:p>
    <w:p w14:paraId="690BAFC1" w14:textId="77777777" w:rsidR="00B716CC" w:rsidRPr="00C71126" w:rsidRDefault="00B716CC">
      <w:pPr>
        <w:rPr>
          <w:rFonts w:eastAsia="Lucida Sans Unicode" w:cs="Mangal"/>
          <w:kern w:val="1"/>
          <w:szCs w:val="24"/>
          <w:lang w:eastAsia="hi-IN" w:bidi="hi-IN"/>
        </w:rPr>
      </w:pPr>
      <w:r w:rsidRPr="00C71126">
        <w:br w:type="page"/>
      </w:r>
    </w:p>
    <w:p w14:paraId="7030F5EF" w14:textId="2B43F49B" w:rsidR="00745621" w:rsidRPr="00B56453" w:rsidRDefault="000220E4" w:rsidP="00026049">
      <w:pPr>
        <w:pStyle w:val="Normal1"/>
        <w:rPr>
          <w:lang w:val="en-GB"/>
        </w:rPr>
      </w:pPr>
      <w:r w:rsidRPr="00C71126">
        <w:rPr>
          <w:lang w:val="en-GB"/>
        </w:rPr>
        <w:lastRenderedPageBreak/>
        <w:t>Support was perceived to have</w:t>
      </w:r>
      <w:r w:rsidR="00B34746" w:rsidRPr="00521DE8">
        <w:rPr>
          <w:lang w:val="en-GB"/>
        </w:rPr>
        <w:t xml:space="preserve"> had a strong influence upon </w:t>
      </w:r>
      <w:r w:rsidRPr="00521DE8">
        <w:rPr>
          <w:lang w:val="en-GB"/>
        </w:rPr>
        <w:t>their</w:t>
      </w:r>
      <w:r w:rsidR="00B34746" w:rsidRPr="00521DE8">
        <w:rPr>
          <w:lang w:val="en-GB"/>
        </w:rPr>
        <w:t xml:space="preserve"> perceptions of confidence and motivational beliefs</w:t>
      </w:r>
      <w:r w:rsidR="00524C6D" w:rsidRPr="00521DE8">
        <w:rPr>
          <w:lang w:val="en-GB"/>
        </w:rPr>
        <w:t xml:space="preserve"> –</w:t>
      </w:r>
      <w:r w:rsidR="00DF28A1" w:rsidRPr="00521DE8">
        <w:rPr>
          <w:lang w:val="en-GB"/>
        </w:rPr>
        <w:t xml:space="preserve"> </w:t>
      </w:r>
      <w:r w:rsidR="00524C6D" w:rsidRPr="00521DE8">
        <w:rPr>
          <w:lang w:val="en-GB"/>
        </w:rPr>
        <w:t>a view</w:t>
      </w:r>
      <w:r w:rsidR="00DF28A1" w:rsidRPr="00FD5859">
        <w:rPr>
          <w:lang w:val="en-GB"/>
        </w:rPr>
        <w:t xml:space="preserve"> expressed predominantly by SRLF learners</w:t>
      </w:r>
      <w:r w:rsidR="00B34746" w:rsidRPr="00B56453">
        <w:rPr>
          <w:lang w:val="en-GB"/>
        </w:rPr>
        <w:t xml:space="preserve">. A stronger perceived relationship between the learner and supervisor imbued confidence, they </w:t>
      </w:r>
      <w:r w:rsidR="00524C6D" w:rsidRPr="00B56453">
        <w:rPr>
          <w:lang w:val="en-GB"/>
        </w:rPr>
        <w:t>described how</w:t>
      </w:r>
      <w:r w:rsidR="00B34746" w:rsidRPr="00B56453">
        <w:rPr>
          <w:lang w:val="en-GB"/>
        </w:rPr>
        <w:t xml:space="preserve"> this encouraged them in their skills development.</w:t>
      </w:r>
    </w:p>
    <w:p w14:paraId="2157C4EB" w14:textId="77777777" w:rsidR="00745621" w:rsidRPr="00B56453" w:rsidRDefault="00745621" w:rsidP="00026049">
      <w:pPr>
        <w:pStyle w:val="Normal1"/>
        <w:rPr>
          <w:lang w:val="en-GB"/>
        </w:rPr>
      </w:pPr>
    </w:p>
    <w:p w14:paraId="6B2934CE" w14:textId="574DEC7B" w:rsidR="00745621" w:rsidRPr="00B56453" w:rsidRDefault="009045D2" w:rsidP="00026049">
      <w:pPr>
        <w:pStyle w:val="Quote"/>
        <w:rPr>
          <w:lang w:val="en-GB"/>
        </w:rPr>
      </w:pPr>
      <w:r w:rsidRPr="00B56453">
        <w:rPr>
          <w:lang w:val="en-GB"/>
        </w:rPr>
        <w:t>G3 - 1</w:t>
      </w:r>
      <w:r w:rsidR="00745621" w:rsidRPr="00B56453">
        <w:rPr>
          <w:lang w:val="en-GB"/>
        </w:rPr>
        <w:t xml:space="preserve">: </w:t>
      </w:r>
      <w:r w:rsidR="00FD0C5E" w:rsidRPr="00B56453">
        <w:rPr>
          <w:lang w:val="en-GB"/>
        </w:rPr>
        <w:t>“</w:t>
      </w:r>
      <w:r w:rsidR="00745621" w:rsidRPr="00B56453">
        <w:rPr>
          <w:lang w:val="en-GB"/>
        </w:rPr>
        <w:t>It’s also nice that the lead (consultant), I have a good rapport with him, I can tell it’s better. He reminded me that I always miss a certain bit in my history so he remembered it, it encourages me and makes me a lot more motivated rather than scared which I would be. It makes such a differenc</w:t>
      </w:r>
      <w:r w:rsidR="00FD0C5E" w:rsidRPr="00B56453">
        <w:rPr>
          <w:lang w:val="en-GB"/>
        </w:rPr>
        <w:t>e, I think all of us feel that.”</w:t>
      </w:r>
    </w:p>
    <w:p w14:paraId="3B9FD83F" w14:textId="5FE58A18" w:rsidR="00B34746" w:rsidRPr="00B56453" w:rsidRDefault="009045D2" w:rsidP="00026049">
      <w:pPr>
        <w:pStyle w:val="Quote"/>
        <w:rPr>
          <w:lang w:val="en-GB"/>
        </w:rPr>
      </w:pPr>
      <w:r w:rsidRPr="00B56453">
        <w:rPr>
          <w:lang w:val="en-GB"/>
        </w:rPr>
        <w:t>G5 - 1</w:t>
      </w:r>
      <w:r w:rsidR="00B34746" w:rsidRPr="00B56453">
        <w:rPr>
          <w:lang w:val="en-GB"/>
        </w:rPr>
        <w:t xml:space="preserve">: </w:t>
      </w:r>
      <w:r w:rsidR="00FD0C5E" w:rsidRPr="00B56453">
        <w:rPr>
          <w:lang w:val="en-GB"/>
        </w:rPr>
        <w:t>“</w:t>
      </w:r>
      <w:r w:rsidR="00B34746" w:rsidRPr="00B56453">
        <w:rPr>
          <w:lang w:val="en-GB"/>
        </w:rPr>
        <w:t>Registrars are good too but they don’t know me as well, it’s more general, that’s why I value the F1s more because I spend longer with them and they understand me more. It’s more specific to my skills which helps me build confidence</w:t>
      </w:r>
      <w:r w:rsidR="00FD0C5E" w:rsidRPr="00B56453">
        <w:rPr>
          <w:lang w:val="en-GB"/>
        </w:rPr>
        <w:t>”</w:t>
      </w:r>
    </w:p>
    <w:p w14:paraId="7936EA46" w14:textId="77777777" w:rsidR="00B34746" w:rsidRPr="00B56453" w:rsidRDefault="00B34746" w:rsidP="00B34746">
      <w:pPr>
        <w:rPr>
          <w:lang w:eastAsia="en-GB"/>
        </w:rPr>
      </w:pPr>
    </w:p>
    <w:p w14:paraId="3DD5E7AF" w14:textId="4E0AE406" w:rsidR="00B34746" w:rsidRPr="00B56453" w:rsidRDefault="00A36F28" w:rsidP="00026049">
      <w:pPr>
        <w:pStyle w:val="Normal1"/>
        <w:rPr>
          <w:lang w:val="en-GB"/>
        </w:rPr>
      </w:pPr>
      <w:r w:rsidRPr="00B56453">
        <w:rPr>
          <w:lang w:val="en-GB"/>
        </w:rPr>
        <w:t>Some students expressed how</w:t>
      </w:r>
      <w:r w:rsidR="006A6017" w:rsidRPr="00B56453">
        <w:rPr>
          <w:lang w:val="en-GB"/>
        </w:rPr>
        <w:t xml:space="preserve"> negative learning</w:t>
      </w:r>
      <w:r w:rsidRPr="00B56453">
        <w:rPr>
          <w:lang w:val="en-GB"/>
        </w:rPr>
        <w:t xml:space="preserve"> experiences harming their confidence would encourage them to avoid</w:t>
      </w:r>
      <w:r w:rsidR="006A6017" w:rsidRPr="00B56453">
        <w:rPr>
          <w:lang w:val="en-GB"/>
        </w:rPr>
        <w:t xml:space="preserve"> supervisors and their feedback. </w:t>
      </w:r>
      <w:r w:rsidR="00FD0C5E" w:rsidRPr="00B56453">
        <w:rPr>
          <w:lang w:val="en-GB"/>
        </w:rPr>
        <w:t>In</w:t>
      </w:r>
      <w:r w:rsidR="006A6017" w:rsidRPr="00B56453">
        <w:rPr>
          <w:lang w:val="en-GB"/>
        </w:rPr>
        <w:t xml:space="preserve"> some of these cases the lack of supervisor support led to maladaptive learning experiences where the feedback loop was not closed, resulting in low self-efficacy in performing certain skills.</w:t>
      </w:r>
    </w:p>
    <w:p w14:paraId="4AC68B2C" w14:textId="77777777" w:rsidR="00B34746" w:rsidRPr="00B56453" w:rsidRDefault="00B34746" w:rsidP="00B34746">
      <w:pPr>
        <w:rPr>
          <w:lang w:eastAsia="en-GB"/>
        </w:rPr>
      </w:pPr>
    </w:p>
    <w:p w14:paraId="20EA5DCE" w14:textId="301E1C03" w:rsidR="00B34746" w:rsidRPr="00B56453" w:rsidRDefault="00525706" w:rsidP="00026049">
      <w:pPr>
        <w:pStyle w:val="Quote"/>
        <w:rPr>
          <w:lang w:val="en-GB"/>
        </w:rPr>
      </w:pPr>
      <w:r w:rsidRPr="00B56453">
        <w:rPr>
          <w:lang w:val="en-GB"/>
        </w:rPr>
        <w:t>FG4 - SRLF</w:t>
      </w:r>
      <w:r w:rsidR="00B34746" w:rsidRPr="00B56453">
        <w:rPr>
          <w:lang w:val="en-GB"/>
        </w:rPr>
        <w:t xml:space="preserve"> </w:t>
      </w:r>
      <w:r w:rsidR="00632B0D" w:rsidRPr="00B56453">
        <w:rPr>
          <w:lang w:val="en-GB"/>
        </w:rPr>
        <w:t>Student 1</w:t>
      </w:r>
      <w:r w:rsidR="00B34746" w:rsidRPr="00B56453">
        <w:rPr>
          <w:lang w:val="en-GB"/>
        </w:rPr>
        <w:t xml:space="preserve">: </w:t>
      </w:r>
      <w:r w:rsidR="00FD0C5E" w:rsidRPr="00B56453">
        <w:rPr>
          <w:lang w:val="en-GB"/>
        </w:rPr>
        <w:t>“</w:t>
      </w:r>
      <w:r w:rsidR="00524C6D" w:rsidRPr="00B56453">
        <w:rPr>
          <w:lang w:val="en-GB"/>
        </w:rPr>
        <w:t>Y</w:t>
      </w:r>
      <w:r w:rsidR="00B34746" w:rsidRPr="00B56453">
        <w:rPr>
          <w:lang w:val="en-GB"/>
        </w:rPr>
        <w:t>ou end up avoiding them if they’re not accommodating, we had a consultant who asked us to take a history from someone and examine them on the first day so I was a bit nervous about doing that because it had been the first time I’d done it and we were new on the ward, and I thought we didn’t do too badly and he ripped to shreds everything we said, it was quite sarcastic and dismissive and laughing at us if we’d done something wrong. I felt rubbish after that and I’ve avoided him since and not wanted to shadow him, so I’ve chosen other nice doctors because it made me feel rubbish and stupid.</w:t>
      </w:r>
      <w:r w:rsidR="00FD0C5E" w:rsidRPr="00B56453">
        <w:rPr>
          <w:lang w:val="en-GB"/>
        </w:rPr>
        <w:t>”</w:t>
      </w:r>
    </w:p>
    <w:p w14:paraId="7A64ED21" w14:textId="18F4AF5F" w:rsidR="00B34746" w:rsidRPr="00B56453" w:rsidRDefault="009045D2" w:rsidP="00026049">
      <w:pPr>
        <w:pStyle w:val="Quote"/>
        <w:rPr>
          <w:lang w:val="en-GB"/>
        </w:rPr>
      </w:pPr>
      <w:r w:rsidRPr="00B56453">
        <w:rPr>
          <w:lang w:val="en-GB"/>
        </w:rPr>
        <w:t>G1- 2</w:t>
      </w:r>
      <w:r w:rsidR="00B34746" w:rsidRPr="00B56453">
        <w:rPr>
          <w:lang w:val="en-GB"/>
        </w:rPr>
        <w:t xml:space="preserve">: </w:t>
      </w:r>
      <w:r w:rsidR="00FD0C5E" w:rsidRPr="00B56453">
        <w:rPr>
          <w:lang w:val="en-GB"/>
        </w:rPr>
        <w:t>“</w:t>
      </w:r>
      <w:r w:rsidR="00B34746" w:rsidRPr="00B56453">
        <w:rPr>
          <w:lang w:val="en-GB"/>
        </w:rPr>
        <w:t>Knowing where the right equipment is and getting used to it, it varies between trusts, he just told me to go and do it but I felt confused because I hadn’t done it there before, I’d not done it in a long time either. He seemed a little bit busy and didn’t support me that much so that was nerve-wracking, I did it and I’m sure it was fine but I was worried after that I should check on the patient again to make sure their arm wasn’t bleeding, silly things like that because I didn’t have anyone there to talk me through it.</w:t>
      </w:r>
      <w:r w:rsidR="00FD0C5E" w:rsidRPr="00B56453">
        <w:rPr>
          <w:lang w:val="en-GB"/>
        </w:rPr>
        <w:t>”</w:t>
      </w:r>
    </w:p>
    <w:p w14:paraId="1F40D2D3" w14:textId="77777777" w:rsidR="00021635" w:rsidRPr="00B56453" w:rsidRDefault="00021635" w:rsidP="00026049">
      <w:pPr>
        <w:pStyle w:val="Normal1"/>
        <w:rPr>
          <w:lang w:val="en-GB"/>
        </w:rPr>
      </w:pPr>
    </w:p>
    <w:p w14:paraId="4ECCD4CC" w14:textId="0F04E52E" w:rsidR="00021635" w:rsidRPr="00B56453" w:rsidRDefault="00021635" w:rsidP="00026049">
      <w:pPr>
        <w:pStyle w:val="Normal1"/>
        <w:rPr>
          <w:lang w:val="en-GB"/>
        </w:rPr>
      </w:pPr>
      <w:r w:rsidRPr="00B56453">
        <w:rPr>
          <w:lang w:val="en-GB"/>
        </w:rPr>
        <w:lastRenderedPageBreak/>
        <w:t xml:space="preserve">Another strong two-way </w:t>
      </w:r>
      <w:r w:rsidR="00826C3B" w:rsidRPr="00B56453">
        <w:rPr>
          <w:lang w:val="en-GB"/>
        </w:rPr>
        <w:t>relationship</w:t>
      </w:r>
      <w:r w:rsidR="00524C6D" w:rsidRPr="00B56453">
        <w:rPr>
          <w:lang w:val="en-GB"/>
        </w:rPr>
        <w:t xml:space="preserve"> emerged between </w:t>
      </w:r>
      <w:r w:rsidRPr="00B56453">
        <w:rPr>
          <w:lang w:val="en-GB"/>
        </w:rPr>
        <w:t xml:space="preserve">confidence and self-evaluation. </w:t>
      </w:r>
      <w:r w:rsidR="00A36F28" w:rsidRPr="00B56453">
        <w:rPr>
          <w:lang w:val="en-GB"/>
        </w:rPr>
        <w:t>Similar to</w:t>
      </w:r>
      <w:r w:rsidR="00846E5B" w:rsidRPr="00B56453">
        <w:rPr>
          <w:lang w:val="en-GB"/>
        </w:rPr>
        <w:t xml:space="preserve"> the link between progression and confidence, </w:t>
      </w:r>
      <w:r w:rsidR="00DF28A1" w:rsidRPr="00B56453">
        <w:rPr>
          <w:lang w:val="en-GB"/>
        </w:rPr>
        <w:t xml:space="preserve">SRLF </w:t>
      </w:r>
      <w:r w:rsidR="00846E5B" w:rsidRPr="00B56453">
        <w:rPr>
          <w:lang w:val="en-GB"/>
        </w:rPr>
        <w:t xml:space="preserve">learners </w:t>
      </w:r>
      <w:r w:rsidR="00524C6D" w:rsidRPr="00B56453">
        <w:rPr>
          <w:lang w:val="en-GB"/>
        </w:rPr>
        <w:t>described using</w:t>
      </w:r>
      <w:r w:rsidR="00A36F28" w:rsidRPr="00B56453">
        <w:rPr>
          <w:lang w:val="en-GB"/>
        </w:rPr>
        <w:t xml:space="preserve"> their perceived confidence levels</w:t>
      </w:r>
      <w:r w:rsidR="00846E5B" w:rsidRPr="00B56453">
        <w:rPr>
          <w:lang w:val="en-GB"/>
        </w:rPr>
        <w:t xml:space="preserve"> </w:t>
      </w:r>
      <w:r w:rsidR="00A36F28" w:rsidRPr="00B56453">
        <w:rPr>
          <w:lang w:val="en-GB"/>
        </w:rPr>
        <w:t>as a way to self-evaluate</w:t>
      </w:r>
      <w:r w:rsidR="00846E5B" w:rsidRPr="00B56453">
        <w:rPr>
          <w:lang w:val="en-GB"/>
        </w:rPr>
        <w:t xml:space="preserve">, typically comparing themselves at the beginning of </w:t>
      </w:r>
      <w:r w:rsidR="00483DED" w:rsidRPr="00B56453">
        <w:rPr>
          <w:lang w:val="en-GB"/>
        </w:rPr>
        <w:t xml:space="preserve">clinical </w:t>
      </w:r>
      <w:r w:rsidR="00846E5B" w:rsidRPr="00B56453">
        <w:rPr>
          <w:lang w:val="en-GB"/>
        </w:rPr>
        <w:t>placement to their current state.</w:t>
      </w:r>
    </w:p>
    <w:p w14:paraId="2D35A5B6" w14:textId="77777777" w:rsidR="00021635" w:rsidRPr="00B56453" w:rsidRDefault="00021635" w:rsidP="00026049">
      <w:pPr>
        <w:pStyle w:val="Normal1"/>
        <w:rPr>
          <w:lang w:val="en-GB"/>
        </w:rPr>
      </w:pPr>
    </w:p>
    <w:p w14:paraId="2C157BA6" w14:textId="551CFA15" w:rsidR="00021635" w:rsidRPr="00B56453" w:rsidRDefault="009045D2" w:rsidP="00026049">
      <w:pPr>
        <w:pStyle w:val="Quote"/>
        <w:rPr>
          <w:lang w:val="en-GB"/>
        </w:rPr>
      </w:pPr>
      <w:r w:rsidRPr="00B56453">
        <w:rPr>
          <w:lang w:val="en-GB"/>
        </w:rPr>
        <w:t>G2 - 1</w:t>
      </w:r>
      <w:r w:rsidR="00021635" w:rsidRPr="00B56453">
        <w:rPr>
          <w:lang w:val="en-GB"/>
        </w:rPr>
        <w:t xml:space="preserve">: </w:t>
      </w:r>
      <w:r w:rsidR="0043333F" w:rsidRPr="00B56453">
        <w:rPr>
          <w:lang w:val="en-GB"/>
        </w:rPr>
        <w:t>“</w:t>
      </w:r>
      <w:r w:rsidR="00021635" w:rsidRPr="00B56453">
        <w:rPr>
          <w:lang w:val="en-GB"/>
        </w:rPr>
        <w:t xml:space="preserve">It was interesting thinking back to what I did on the first day and I thought </w:t>
      </w:r>
      <w:r w:rsidR="0043333F" w:rsidRPr="00B56453">
        <w:rPr>
          <w:lang w:val="en-GB"/>
        </w:rPr>
        <w:t>‘</w:t>
      </w:r>
      <w:r w:rsidR="00021635" w:rsidRPr="00B56453">
        <w:rPr>
          <w:lang w:val="en-GB"/>
        </w:rPr>
        <w:t>oh gosh what can I do?</w:t>
      </w:r>
      <w:r w:rsidR="0043333F" w:rsidRPr="00B56453">
        <w:rPr>
          <w:lang w:val="en-GB"/>
        </w:rPr>
        <w:t>’</w:t>
      </w:r>
      <w:r w:rsidR="00021635" w:rsidRPr="00B56453">
        <w:rPr>
          <w:lang w:val="en-GB"/>
        </w:rPr>
        <w:t xml:space="preserve"> whereas now I know what I can do and I’m more confident, I can speak to patients whereas before I’d ask the consultant if it was ok, and now I know I can and they don’t mind.</w:t>
      </w:r>
      <w:r w:rsidR="0043333F" w:rsidRPr="00B56453">
        <w:rPr>
          <w:lang w:val="en-GB"/>
        </w:rPr>
        <w:t>”</w:t>
      </w:r>
    </w:p>
    <w:p w14:paraId="54319757" w14:textId="77777777" w:rsidR="00846E5B" w:rsidRPr="00B56453" w:rsidRDefault="00846E5B" w:rsidP="00846E5B"/>
    <w:p w14:paraId="2AD5D645" w14:textId="1C7FEA0D" w:rsidR="00846E5B" w:rsidRPr="00B56453" w:rsidRDefault="00A36F28" w:rsidP="00026049">
      <w:pPr>
        <w:pStyle w:val="Normal1"/>
        <w:rPr>
          <w:lang w:val="en-GB"/>
        </w:rPr>
      </w:pPr>
      <w:r w:rsidRPr="00B56453">
        <w:rPr>
          <w:lang w:val="en-GB"/>
        </w:rPr>
        <w:t>L</w:t>
      </w:r>
      <w:r w:rsidR="00846E5B" w:rsidRPr="00B56453">
        <w:rPr>
          <w:lang w:val="en-GB"/>
        </w:rPr>
        <w:t>earners</w:t>
      </w:r>
      <w:r w:rsidRPr="00B56453">
        <w:rPr>
          <w:lang w:val="en-GB"/>
        </w:rPr>
        <w:t xml:space="preserve"> from both groups</w:t>
      </w:r>
      <w:r w:rsidR="00846E5B" w:rsidRPr="00B56453">
        <w:rPr>
          <w:lang w:val="en-GB"/>
        </w:rPr>
        <w:t xml:space="preserve"> recognised that their motivation and proactivity was a key factor for a successful </w:t>
      </w:r>
      <w:r w:rsidR="00483DED" w:rsidRPr="00B56453">
        <w:rPr>
          <w:lang w:val="en-GB"/>
        </w:rPr>
        <w:t xml:space="preserve">clinical </w:t>
      </w:r>
      <w:r w:rsidR="00846E5B" w:rsidRPr="00B56453">
        <w:rPr>
          <w:lang w:val="en-GB"/>
        </w:rPr>
        <w:t>placement learning experience.</w:t>
      </w:r>
    </w:p>
    <w:p w14:paraId="0D87B921" w14:textId="77777777" w:rsidR="00846E5B" w:rsidRPr="00B56453" w:rsidRDefault="00846E5B" w:rsidP="00846E5B"/>
    <w:p w14:paraId="35054F63" w14:textId="1D4F761A" w:rsidR="005575E2" w:rsidRPr="00B56453" w:rsidRDefault="009045D2" w:rsidP="00026049">
      <w:pPr>
        <w:pStyle w:val="Quote"/>
        <w:rPr>
          <w:lang w:val="en-GB"/>
        </w:rPr>
      </w:pPr>
      <w:r w:rsidRPr="00B56453">
        <w:rPr>
          <w:lang w:val="en-GB"/>
        </w:rPr>
        <w:t>G6 - 2</w:t>
      </w:r>
      <w:r w:rsidR="00021635" w:rsidRPr="00B56453">
        <w:rPr>
          <w:lang w:val="en-GB"/>
        </w:rPr>
        <w:t xml:space="preserve">:  </w:t>
      </w:r>
      <w:r w:rsidR="0043333F" w:rsidRPr="00B56453">
        <w:rPr>
          <w:lang w:val="en-GB"/>
        </w:rPr>
        <w:t>“</w:t>
      </w:r>
      <w:r w:rsidR="00021635" w:rsidRPr="00B56453">
        <w:rPr>
          <w:lang w:val="en-GB"/>
        </w:rPr>
        <w:t>I’ve had better days and it feels better afterwards, making sure I put myself out there and making sure I have a good day. Taking responsibility for it. People won’t come and give me opportunities on a plate, I have to go out of my way and get them for myself.</w:t>
      </w:r>
      <w:r w:rsidR="0043333F" w:rsidRPr="00B56453">
        <w:rPr>
          <w:lang w:val="en-GB"/>
        </w:rPr>
        <w:t>”</w:t>
      </w:r>
    </w:p>
    <w:p w14:paraId="1DF8240C" w14:textId="77777777" w:rsidR="005575E2" w:rsidRPr="00B27F0B" w:rsidRDefault="005575E2" w:rsidP="00F663D8">
      <w:pPr>
        <w:pStyle w:val="Normal1"/>
        <w:rPr>
          <w:lang w:val="en-GB"/>
        </w:rPr>
      </w:pPr>
    </w:p>
    <w:p w14:paraId="538BB1E1" w14:textId="05ADF680" w:rsidR="005575E2" w:rsidRPr="00C71126" w:rsidRDefault="005575E2" w:rsidP="00026049">
      <w:pPr>
        <w:pStyle w:val="Normal1"/>
        <w:rPr>
          <w:lang w:val="en-GB"/>
        </w:rPr>
      </w:pPr>
      <w:r w:rsidRPr="00B56453">
        <w:rPr>
          <w:lang w:val="en-GB"/>
        </w:rPr>
        <w:t xml:space="preserve">A </w:t>
      </w:r>
      <w:r w:rsidR="00524C6D" w:rsidRPr="00BD42AF">
        <w:rPr>
          <w:lang w:val="en-GB"/>
        </w:rPr>
        <w:t>minor link</w:t>
      </w:r>
      <w:r w:rsidRPr="00BD42AF">
        <w:rPr>
          <w:lang w:val="en-GB"/>
        </w:rPr>
        <w:t xml:space="preserve"> </w:t>
      </w:r>
      <w:r w:rsidR="00826C3B" w:rsidRPr="00BD42AF">
        <w:rPr>
          <w:lang w:val="en-GB"/>
        </w:rPr>
        <w:t>was determined</w:t>
      </w:r>
      <w:r w:rsidRPr="00BD42AF">
        <w:rPr>
          <w:lang w:val="en-GB"/>
        </w:rPr>
        <w:t xml:space="preserve"> between con</w:t>
      </w:r>
      <w:r w:rsidR="0043333F" w:rsidRPr="00BD42AF">
        <w:rPr>
          <w:lang w:val="en-GB"/>
        </w:rPr>
        <w:t>fidence and learning priorities</w:t>
      </w:r>
      <w:r w:rsidRPr="00BD42AF">
        <w:rPr>
          <w:lang w:val="en-GB"/>
        </w:rPr>
        <w:t xml:space="preserve">. </w:t>
      </w:r>
      <w:r w:rsidR="0043333F" w:rsidRPr="00BD42AF">
        <w:rPr>
          <w:lang w:val="en-GB"/>
        </w:rPr>
        <w:t xml:space="preserve">Some commented that </w:t>
      </w:r>
      <w:r w:rsidR="00483DED" w:rsidRPr="00BD42AF">
        <w:rPr>
          <w:lang w:val="en-GB"/>
        </w:rPr>
        <w:t xml:space="preserve">clinical </w:t>
      </w:r>
      <w:r w:rsidR="0043333F" w:rsidRPr="00BD42AF">
        <w:rPr>
          <w:lang w:val="en-GB"/>
        </w:rPr>
        <w:t xml:space="preserve">placement learning activities, like ward rounds, </w:t>
      </w:r>
      <w:r w:rsidR="00A36F28" w:rsidRPr="00BD42AF">
        <w:rPr>
          <w:lang w:val="en-GB"/>
        </w:rPr>
        <w:t>interfered</w:t>
      </w:r>
      <w:r w:rsidR="0043333F" w:rsidRPr="00BD42AF">
        <w:rPr>
          <w:lang w:val="en-GB"/>
        </w:rPr>
        <w:t xml:space="preserve"> with their personal learning goals which were </w:t>
      </w:r>
      <w:r w:rsidR="00A36F28" w:rsidRPr="001046E5">
        <w:rPr>
          <w:lang w:val="en-GB"/>
        </w:rPr>
        <w:t>directed toward</w:t>
      </w:r>
      <w:r w:rsidR="0043333F" w:rsidRPr="00C71126">
        <w:rPr>
          <w:lang w:val="en-GB"/>
        </w:rPr>
        <w:t xml:space="preserve"> assessment</w:t>
      </w:r>
      <w:r w:rsidR="00A36F28" w:rsidRPr="00C71126">
        <w:rPr>
          <w:lang w:val="en-GB"/>
        </w:rPr>
        <w:t>s</w:t>
      </w:r>
      <w:r w:rsidR="0043333F" w:rsidRPr="00C71126">
        <w:rPr>
          <w:lang w:val="en-GB"/>
        </w:rPr>
        <w:t xml:space="preserve">, resulting in a drop in </w:t>
      </w:r>
      <w:r w:rsidR="00524C6D" w:rsidRPr="00C71126">
        <w:rPr>
          <w:lang w:val="en-GB"/>
        </w:rPr>
        <w:t>confidence</w:t>
      </w:r>
      <w:r w:rsidR="0043333F" w:rsidRPr="00C71126">
        <w:rPr>
          <w:lang w:val="en-GB"/>
        </w:rPr>
        <w:t>.</w:t>
      </w:r>
    </w:p>
    <w:p w14:paraId="3133F68E" w14:textId="77777777" w:rsidR="005575E2" w:rsidRPr="00B27F0B" w:rsidRDefault="005575E2" w:rsidP="00F663D8">
      <w:pPr>
        <w:pStyle w:val="Normal1"/>
        <w:rPr>
          <w:lang w:val="en-GB"/>
        </w:rPr>
      </w:pPr>
    </w:p>
    <w:p w14:paraId="483C1493" w14:textId="231A35ED" w:rsidR="00E517B8" w:rsidRPr="00BD42AF" w:rsidRDefault="009045D2" w:rsidP="00026049">
      <w:pPr>
        <w:pStyle w:val="Quote"/>
        <w:rPr>
          <w:lang w:val="en-GB"/>
        </w:rPr>
      </w:pPr>
      <w:r w:rsidRPr="00B56453">
        <w:rPr>
          <w:lang w:val="en-GB"/>
        </w:rPr>
        <w:t>G8 - 1</w:t>
      </w:r>
      <w:r w:rsidR="00E517B8" w:rsidRPr="00BD42AF">
        <w:rPr>
          <w:lang w:val="en-GB"/>
        </w:rPr>
        <w:t xml:space="preserve">: </w:t>
      </w:r>
      <w:r w:rsidR="00A7199B" w:rsidRPr="00BD42AF">
        <w:rPr>
          <w:lang w:val="en-GB"/>
        </w:rPr>
        <w:t>“</w:t>
      </w:r>
      <w:r w:rsidR="00E517B8" w:rsidRPr="00BD42AF">
        <w:rPr>
          <w:lang w:val="en-GB"/>
        </w:rPr>
        <w:t>When I go on wards for 5 hours and come back shattered and not being able to practice on patients its makes my confidence low because I’ve wasted time and not learned anything.</w:t>
      </w:r>
      <w:r w:rsidR="00A7199B" w:rsidRPr="00BD42AF">
        <w:rPr>
          <w:lang w:val="en-GB"/>
        </w:rPr>
        <w:t>”</w:t>
      </w:r>
      <w:r w:rsidR="00E517B8" w:rsidRPr="00BD42AF">
        <w:rPr>
          <w:lang w:val="en-GB"/>
        </w:rPr>
        <w:t xml:space="preserve"> </w:t>
      </w:r>
    </w:p>
    <w:p w14:paraId="08855AA8" w14:textId="77777777" w:rsidR="004F2EE7" w:rsidRPr="00BD42AF" w:rsidRDefault="004F2EE7" w:rsidP="00026049">
      <w:pPr>
        <w:pStyle w:val="Normal1"/>
        <w:rPr>
          <w:lang w:val="en-GB"/>
        </w:rPr>
      </w:pPr>
    </w:p>
    <w:p w14:paraId="5F234F99" w14:textId="605850AE" w:rsidR="004F2EE7" w:rsidRPr="00BD42AF" w:rsidRDefault="004F2EE7" w:rsidP="00026049">
      <w:pPr>
        <w:pStyle w:val="Normal1"/>
        <w:rPr>
          <w:lang w:val="en-GB"/>
        </w:rPr>
      </w:pPr>
      <w:r w:rsidRPr="00BD42AF">
        <w:rPr>
          <w:lang w:val="en-GB"/>
        </w:rPr>
        <w:t>From a different perspective, other students found that they were more motivated towards contributing to ward work, then reflecting that they should have been working towards clinical skills development by asking for support.</w:t>
      </w:r>
    </w:p>
    <w:p w14:paraId="7EF38431" w14:textId="77777777" w:rsidR="004F2EE7" w:rsidRPr="00BD42AF" w:rsidRDefault="004F2EE7" w:rsidP="00026049">
      <w:pPr>
        <w:pStyle w:val="Normal1"/>
        <w:rPr>
          <w:lang w:val="en-GB"/>
        </w:rPr>
      </w:pPr>
    </w:p>
    <w:p w14:paraId="006269F7" w14:textId="77777777" w:rsidR="00B716CC" w:rsidRPr="00BD42AF" w:rsidRDefault="00B716CC" w:rsidP="00026049">
      <w:pPr>
        <w:pStyle w:val="Normal1"/>
        <w:rPr>
          <w:lang w:val="en-GB"/>
        </w:rPr>
      </w:pPr>
    </w:p>
    <w:p w14:paraId="5A87DCF4" w14:textId="77777777" w:rsidR="00B716CC" w:rsidRPr="00BD42AF" w:rsidRDefault="00B716CC" w:rsidP="00026049">
      <w:pPr>
        <w:pStyle w:val="Normal1"/>
        <w:rPr>
          <w:lang w:val="en-GB"/>
        </w:rPr>
      </w:pPr>
    </w:p>
    <w:p w14:paraId="47A5AAD1" w14:textId="1182F4C6" w:rsidR="0043333F" w:rsidRPr="00C71126" w:rsidRDefault="009045D2" w:rsidP="00026049">
      <w:pPr>
        <w:pStyle w:val="Quote"/>
        <w:rPr>
          <w:lang w:val="en-GB"/>
        </w:rPr>
      </w:pPr>
      <w:r w:rsidRPr="00BD42AF">
        <w:rPr>
          <w:lang w:val="en-GB"/>
        </w:rPr>
        <w:lastRenderedPageBreak/>
        <w:t>G2 - 2</w:t>
      </w:r>
      <w:r w:rsidR="0043333F" w:rsidRPr="001046E5">
        <w:rPr>
          <w:lang w:val="en-GB"/>
        </w:rPr>
        <w:t xml:space="preserve">: </w:t>
      </w:r>
      <w:r w:rsidR="00A7199B" w:rsidRPr="00C71126">
        <w:rPr>
          <w:lang w:val="en-GB"/>
        </w:rPr>
        <w:t>“</w:t>
      </w:r>
      <w:r w:rsidR="0043333F" w:rsidRPr="00C71126">
        <w:rPr>
          <w:lang w:val="en-GB"/>
        </w:rPr>
        <w:t>There was three junior doctors on the ward round every day and I developed a relationship with them. One thing I did miss out on is that I got too involved in helping them with their work rather than going to take more histories, I wrote them up but I didn’t present it to them. I was just getting on with helping them. I learned that and it’s something I’ll take on board as my own feedback to myself for my next attachment. I’m feeling a bit insecure about holding them back but I should just use them for my own development instead of being worried about doing their job for them. I know they wouldn’t mind if I asked to present to them or help me with something.</w:t>
      </w:r>
      <w:r w:rsidR="00A7199B" w:rsidRPr="00C71126">
        <w:rPr>
          <w:lang w:val="en-GB"/>
        </w:rPr>
        <w:t>”</w:t>
      </w:r>
    </w:p>
    <w:p w14:paraId="27FD4C33" w14:textId="77777777" w:rsidR="00E517B8" w:rsidRPr="00C71126" w:rsidRDefault="00E517B8" w:rsidP="00026049">
      <w:pPr>
        <w:pStyle w:val="Normal1"/>
        <w:rPr>
          <w:lang w:val="en-GB"/>
        </w:rPr>
      </w:pPr>
    </w:p>
    <w:p w14:paraId="47E7DA69" w14:textId="585CBD2F" w:rsidR="003B0732" w:rsidRPr="00521DE8" w:rsidRDefault="007D57B9" w:rsidP="00026049">
      <w:pPr>
        <w:pStyle w:val="Normal1"/>
        <w:rPr>
          <w:lang w:val="en-GB"/>
        </w:rPr>
      </w:pPr>
      <w:r w:rsidRPr="00C71126">
        <w:rPr>
          <w:lang w:val="en-GB"/>
        </w:rPr>
        <w:t xml:space="preserve">Learners predominantly in the SRLF group described behaviours which linked between the learning priorities and self-evaluation themes. </w:t>
      </w:r>
      <w:r w:rsidR="00907621" w:rsidRPr="00C71126">
        <w:rPr>
          <w:lang w:val="en-GB"/>
        </w:rPr>
        <w:t xml:space="preserve">Some learners were very clear about what their learning priorities were, particularly those who were working more towards assessments, they </w:t>
      </w:r>
      <w:r w:rsidR="00DF28A1" w:rsidRPr="00C71126">
        <w:rPr>
          <w:lang w:val="en-GB"/>
        </w:rPr>
        <w:t>knew</w:t>
      </w:r>
      <w:r w:rsidR="00907621" w:rsidRPr="00521DE8">
        <w:rPr>
          <w:lang w:val="en-GB"/>
        </w:rPr>
        <w:t xml:space="preserve"> what needs they had and how they might seek feedback to </w:t>
      </w:r>
      <w:r w:rsidR="00F663D8" w:rsidRPr="00521DE8">
        <w:rPr>
          <w:lang w:val="en-GB"/>
        </w:rPr>
        <w:t>address</w:t>
      </w:r>
      <w:r w:rsidR="00907621" w:rsidRPr="00521DE8">
        <w:rPr>
          <w:lang w:val="en-GB"/>
        </w:rPr>
        <w:t xml:space="preserve"> them.</w:t>
      </w:r>
    </w:p>
    <w:p w14:paraId="551C125B" w14:textId="77777777" w:rsidR="0049687A" w:rsidRPr="00521DE8" w:rsidRDefault="0049687A" w:rsidP="00026049">
      <w:pPr>
        <w:pStyle w:val="Normal1"/>
        <w:rPr>
          <w:lang w:val="en-GB"/>
        </w:rPr>
      </w:pPr>
    </w:p>
    <w:p w14:paraId="1B900C95" w14:textId="50FCA1D0" w:rsidR="0049687A" w:rsidRPr="00B56453" w:rsidRDefault="009045D2" w:rsidP="00026049">
      <w:pPr>
        <w:pStyle w:val="Quote"/>
        <w:rPr>
          <w:lang w:val="en-GB"/>
        </w:rPr>
      </w:pPr>
      <w:r w:rsidRPr="00FD5859">
        <w:rPr>
          <w:lang w:val="en-GB"/>
        </w:rPr>
        <w:t>G1 - 1</w:t>
      </w:r>
      <w:r w:rsidR="0049687A" w:rsidRPr="00B56453">
        <w:rPr>
          <w:lang w:val="en-GB"/>
        </w:rPr>
        <w:t xml:space="preserve">: </w:t>
      </w:r>
      <w:r w:rsidR="00B716CC" w:rsidRPr="00B56453">
        <w:rPr>
          <w:lang w:val="en-GB"/>
        </w:rPr>
        <w:t>“</w:t>
      </w:r>
      <w:r w:rsidR="0049687A" w:rsidRPr="00B56453">
        <w:rPr>
          <w:lang w:val="en-GB"/>
        </w:rPr>
        <w:t>If its good feedback I don’t really listen to it that much, it’s not as constructive. If it’s about improving my skills and I practice it again and it sounds and works better, it is easier, then I take it on board. In terms of knowledge I’ll write the feedback down and look it up. I’m working up to the exams in November, there’s bits that I’m more confident at and bits I need to work on. If I get feedback on something I’m more confident on I’ll listen to it and take in the positives but I’m looking for ways to improve, that’s my priority.</w:t>
      </w:r>
      <w:r w:rsidR="00B716CC" w:rsidRPr="00B56453">
        <w:rPr>
          <w:lang w:val="en-GB"/>
        </w:rPr>
        <w:t>”</w:t>
      </w:r>
    </w:p>
    <w:p w14:paraId="0372D126" w14:textId="6A0B31F5" w:rsidR="0049687A" w:rsidRPr="00B56453" w:rsidRDefault="00525706" w:rsidP="00026049">
      <w:pPr>
        <w:pStyle w:val="Quote"/>
        <w:rPr>
          <w:lang w:val="en-GB"/>
        </w:rPr>
      </w:pPr>
      <w:r w:rsidRPr="00B56453">
        <w:rPr>
          <w:lang w:val="en-GB"/>
        </w:rPr>
        <w:t>FG5 - SRLF</w:t>
      </w:r>
      <w:r w:rsidR="0049687A" w:rsidRPr="00B56453">
        <w:rPr>
          <w:lang w:val="en-GB"/>
        </w:rPr>
        <w:t xml:space="preserve"> </w:t>
      </w:r>
      <w:r w:rsidR="00632B0D" w:rsidRPr="00B56453">
        <w:rPr>
          <w:lang w:val="en-GB"/>
        </w:rPr>
        <w:t>Student 2</w:t>
      </w:r>
      <w:r w:rsidR="00B716CC" w:rsidRPr="00B56453">
        <w:rPr>
          <w:lang w:val="en-GB"/>
        </w:rPr>
        <w:t>: “I</w:t>
      </w:r>
      <w:r w:rsidR="0049687A" w:rsidRPr="00B56453">
        <w:rPr>
          <w:lang w:val="en-GB"/>
        </w:rPr>
        <w:t>t’s a lot easier to take feedback when you know what you’re supposed to be getting feedback on, we know roughly what we’re supposed to be doing in our OSCE and so we know we’ll be getting exam and practical advice, we know how to take it.</w:t>
      </w:r>
      <w:r w:rsidR="00B716CC" w:rsidRPr="00B56453">
        <w:rPr>
          <w:lang w:val="en-GB"/>
        </w:rPr>
        <w:t>”</w:t>
      </w:r>
    </w:p>
    <w:p w14:paraId="7660EB48" w14:textId="77777777" w:rsidR="00907621" w:rsidRPr="00B56453" w:rsidRDefault="00907621" w:rsidP="00026049">
      <w:pPr>
        <w:pStyle w:val="Normal1"/>
        <w:rPr>
          <w:lang w:val="en-GB"/>
        </w:rPr>
      </w:pPr>
    </w:p>
    <w:p w14:paraId="4CE59C1A" w14:textId="1F726AB8" w:rsidR="00907621" w:rsidRPr="00B56453" w:rsidRDefault="00907621" w:rsidP="00026049">
      <w:pPr>
        <w:pStyle w:val="Normal1"/>
        <w:rPr>
          <w:lang w:val="en-GB"/>
        </w:rPr>
      </w:pPr>
      <w:r w:rsidRPr="00B56453">
        <w:rPr>
          <w:lang w:val="en-GB"/>
        </w:rPr>
        <w:t xml:space="preserve">Others articulated how their priorities were more aligned towards the experiential </w:t>
      </w:r>
      <w:r w:rsidR="00DF28A1" w:rsidRPr="00B56453">
        <w:rPr>
          <w:lang w:val="en-GB"/>
        </w:rPr>
        <w:t>perspective</w:t>
      </w:r>
      <w:r w:rsidRPr="00B56453">
        <w:rPr>
          <w:lang w:val="en-GB"/>
        </w:rPr>
        <w:t xml:space="preserve"> of </w:t>
      </w:r>
      <w:r w:rsidR="00483DED" w:rsidRPr="00B56453">
        <w:rPr>
          <w:lang w:val="en-GB"/>
        </w:rPr>
        <w:t xml:space="preserve">clinical </w:t>
      </w:r>
      <w:r w:rsidRPr="00B56453">
        <w:rPr>
          <w:lang w:val="en-GB"/>
        </w:rPr>
        <w:t>placement learning, this was done through explicit reflective processes.</w:t>
      </w:r>
    </w:p>
    <w:p w14:paraId="7F2F192C" w14:textId="77777777" w:rsidR="00907621" w:rsidRPr="00B56453" w:rsidRDefault="00907621" w:rsidP="00026049">
      <w:pPr>
        <w:pStyle w:val="Normal1"/>
        <w:rPr>
          <w:lang w:val="en-GB"/>
        </w:rPr>
      </w:pPr>
    </w:p>
    <w:p w14:paraId="393AB704" w14:textId="77777777" w:rsidR="00B716CC" w:rsidRPr="00B56453" w:rsidRDefault="00B716CC" w:rsidP="00026049">
      <w:pPr>
        <w:pStyle w:val="Normal1"/>
        <w:rPr>
          <w:lang w:val="en-GB"/>
        </w:rPr>
      </w:pPr>
    </w:p>
    <w:p w14:paraId="1C8BDD49" w14:textId="77777777" w:rsidR="00B716CC" w:rsidRPr="00B56453" w:rsidRDefault="00B716CC" w:rsidP="00026049">
      <w:pPr>
        <w:pStyle w:val="Normal1"/>
        <w:rPr>
          <w:lang w:val="en-GB"/>
        </w:rPr>
      </w:pPr>
    </w:p>
    <w:p w14:paraId="2A2CC5C0" w14:textId="400C76EA" w:rsidR="0049687A" w:rsidRPr="00B56453" w:rsidRDefault="009045D2" w:rsidP="00026049">
      <w:pPr>
        <w:pStyle w:val="Quote"/>
        <w:rPr>
          <w:lang w:val="en-GB"/>
        </w:rPr>
      </w:pPr>
      <w:r w:rsidRPr="00B56453">
        <w:rPr>
          <w:bCs/>
          <w:lang w:val="en-GB"/>
        </w:rPr>
        <w:lastRenderedPageBreak/>
        <w:t>G2 - 2</w:t>
      </w:r>
      <w:r w:rsidR="0049687A" w:rsidRPr="00B56453">
        <w:rPr>
          <w:bCs/>
          <w:lang w:val="en-GB"/>
        </w:rPr>
        <w:t>:</w:t>
      </w:r>
      <w:r w:rsidR="0049687A" w:rsidRPr="00B56453">
        <w:rPr>
          <w:lang w:val="en-GB"/>
        </w:rPr>
        <w:t xml:space="preserve"> </w:t>
      </w:r>
      <w:r w:rsidR="00B716CC" w:rsidRPr="00B56453">
        <w:rPr>
          <w:lang w:val="en-GB"/>
        </w:rPr>
        <w:t>“</w:t>
      </w:r>
      <w:r w:rsidR="0049687A" w:rsidRPr="00B56453">
        <w:rPr>
          <w:lang w:val="en-GB"/>
        </w:rPr>
        <w:t>I’d push more toward experiencing what it’s like to work in the NHS, learning about the common conditions and how it affects the patients. I find it more enjoyable, how each doctor works and what level they’re at. Preparing for exams I feel like I see being able to do through my examination book and practicing it.</w:t>
      </w:r>
      <w:r w:rsidR="000F3966" w:rsidRPr="00B56453">
        <w:rPr>
          <w:lang w:val="en-GB"/>
        </w:rPr>
        <w:t>”</w:t>
      </w:r>
    </w:p>
    <w:p w14:paraId="4F1592DF" w14:textId="3D4B8AC7" w:rsidR="0049687A" w:rsidRPr="00B56453" w:rsidRDefault="009045D2" w:rsidP="00026049">
      <w:pPr>
        <w:pStyle w:val="Quote"/>
        <w:rPr>
          <w:lang w:val="en-GB"/>
        </w:rPr>
      </w:pPr>
      <w:r w:rsidRPr="00B56453">
        <w:rPr>
          <w:lang w:val="en-GB"/>
        </w:rPr>
        <w:t>G6 - 1</w:t>
      </w:r>
      <w:r w:rsidR="0049687A" w:rsidRPr="00B56453">
        <w:rPr>
          <w:lang w:val="en-GB"/>
        </w:rPr>
        <w:t xml:space="preserve">: </w:t>
      </w:r>
      <w:r w:rsidR="000F3966" w:rsidRPr="00B56453">
        <w:rPr>
          <w:lang w:val="en-GB"/>
        </w:rPr>
        <w:t>“</w:t>
      </w:r>
      <w:r w:rsidR="0049687A" w:rsidRPr="00B56453">
        <w:rPr>
          <w:lang w:val="en-GB"/>
        </w:rPr>
        <w:t>I fall much towards the end of experiencing placements. It stresses me out when I come home because I get back at 4 and they’ve all been back practicing OSCEs together for</w:t>
      </w:r>
      <w:r w:rsidR="000F3966" w:rsidRPr="00B56453">
        <w:rPr>
          <w:lang w:val="en-GB"/>
        </w:rPr>
        <w:t xml:space="preserve"> 3 hours and I panic and think ‘</w:t>
      </w:r>
      <w:r w:rsidR="0049687A" w:rsidRPr="00B56453">
        <w:rPr>
          <w:lang w:val="en-GB"/>
        </w:rPr>
        <w:t>that’s</w:t>
      </w:r>
      <w:r w:rsidR="000F3966" w:rsidRPr="00B56453">
        <w:rPr>
          <w:lang w:val="en-GB"/>
        </w:rPr>
        <w:t xml:space="preserve"> what I should have been doing!’</w:t>
      </w:r>
      <w:r w:rsidR="0049687A" w:rsidRPr="00B56453">
        <w:rPr>
          <w:lang w:val="en-GB"/>
        </w:rPr>
        <w:t xml:space="preserve"> but I tell myself that its different, </w:t>
      </w:r>
      <w:r w:rsidR="000F3966" w:rsidRPr="00B56453">
        <w:rPr>
          <w:lang w:val="en-GB"/>
        </w:rPr>
        <w:t>[...]</w:t>
      </w:r>
      <w:r w:rsidR="0049687A" w:rsidRPr="00B56453">
        <w:rPr>
          <w:lang w:val="en-GB"/>
        </w:rPr>
        <w:t xml:space="preserve"> I stick with my guns and enjoy the placement.</w:t>
      </w:r>
      <w:r w:rsidR="000F3966" w:rsidRPr="00B56453">
        <w:rPr>
          <w:lang w:val="en-GB"/>
        </w:rPr>
        <w:t>”</w:t>
      </w:r>
    </w:p>
    <w:p w14:paraId="61B55E4B" w14:textId="37EC613A" w:rsidR="00C50E54" w:rsidRPr="00B56453" w:rsidRDefault="00C50E54">
      <w:pPr>
        <w:rPr>
          <w:rFonts w:eastAsiaTheme="majorEastAsia" w:cstheme="majorBidi"/>
          <w:b/>
          <w:i/>
          <w:szCs w:val="24"/>
          <w:lang w:eastAsia="hi-IN" w:bidi="hi-IN"/>
        </w:rPr>
      </w:pPr>
    </w:p>
    <w:p w14:paraId="07251F95" w14:textId="77777777" w:rsidR="00B716CC" w:rsidRPr="00B56453" w:rsidRDefault="00B716CC">
      <w:pPr>
        <w:rPr>
          <w:rFonts w:eastAsiaTheme="majorEastAsia" w:cstheme="majorBidi"/>
          <w:b/>
          <w:i/>
          <w:szCs w:val="24"/>
          <w:lang w:eastAsia="hi-IN" w:bidi="hi-IN"/>
        </w:rPr>
      </w:pPr>
      <w:r w:rsidRPr="00B56453">
        <w:br w:type="page"/>
      </w:r>
    </w:p>
    <w:p w14:paraId="0326E110" w14:textId="3CB50247" w:rsidR="00531CE2" w:rsidRPr="00B56453" w:rsidRDefault="00473DB7" w:rsidP="00BA4521">
      <w:pPr>
        <w:pStyle w:val="Heading3"/>
      </w:pPr>
      <w:bookmarkStart w:id="402" w:name="_Toc500319422"/>
      <w:r w:rsidRPr="00B56453">
        <w:lastRenderedPageBreak/>
        <w:t xml:space="preserve">C2.3.3 </w:t>
      </w:r>
      <w:r w:rsidR="00531CE2" w:rsidRPr="00B56453">
        <w:t>Feedback Behaviours</w:t>
      </w:r>
      <w:bookmarkEnd w:id="402"/>
    </w:p>
    <w:p w14:paraId="3A666120" w14:textId="78F58116" w:rsidR="00531CE2" w:rsidRPr="00B56453" w:rsidRDefault="00531CE2" w:rsidP="00026049">
      <w:pPr>
        <w:pStyle w:val="Normal1"/>
        <w:rPr>
          <w:lang w:val="en-GB"/>
        </w:rPr>
      </w:pPr>
    </w:p>
    <w:p w14:paraId="55181E2C" w14:textId="5EF3EF77" w:rsidR="00457AC2" w:rsidRPr="00B56453" w:rsidRDefault="00457AC2" w:rsidP="00026049">
      <w:pPr>
        <w:pStyle w:val="Normal1"/>
        <w:rPr>
          <w:lang w:val="en-GB"/>
        </w:rPr>
      </w:pPr>
      <w:r w:rsidRPr="00B56453">
        <w:rPr>
          <w:lang w:val="en-GB"/>
        </w:rPr>
        <w:t xml:space="preserve">Quotes relating to feedback behaviours </w:t>
      </w:r>
      <w:r w:rsidR="00DF28A1" w:rsidRPr="00B56453">
        <w:rPr>
          <w:lang w:val="en-GB"/>
        </w:rPr>
        <w:t>were evident in</w:t>
      </w:r>
      <w:r w:rsidRPr="00B56453">
        <w:rPr>
          <w:lang w:val="en-GB"/>
        </w:rPr>
        <w:t xml:space="preserve"> all themes</w:t>
      </w:r>
      <w:r w:rsidR="00C60286" w:rsidRPr="00B56453">
        <w:rPr>
          <w:lang w:val="en-GB"/>
        </w:rPr>
        <w:t xml:space="preserve"> and sub-themes. As a result, sub-themes across the broader themes feature in this model, largely formed around supervisor factors as central concepts which were directly influenced by contextual and cultural factors.</w:t>
      </w:r>
      <w:r w:rsidRPr="00B56453">
        <w:rPr>
          <w:lang w:val="en-GB"/>
        </w:rPr>
        <w:t xml:space="preserve"> </w:t>
      </w:r>
      <w:r w:rsidR="003D5BB6" w:rsidRPr="00B56453">
        <w:rPr>
          <w:lang w:val="en-GB"/>
        </w:rPr>
        <w:t xml:space="preserve">Only representative illustrative quotes are presented </w:t>
      </w:r>
      <w:r w:rsidR="00DF28A1" w:rsidRPr="00B56453">
        <w:rPr>
          <w:lang w:val="en-GB"/>
        </w:rPr>
        <w:t>below</w:t>
      </w:r>
      <w:r w:rsidR="00937006" w:rsidRPr="00B56453">
        <w:rPr>
          <w:lang w:val="en-GB"/>
        </w:rPr>
        <w:t xml:space="preserve"> (Figure C2.4)</w:t>
      </w:r>
      <w:r w:rsidR="003D5BB6" w:rsidRPr="00B56453">
        <w:rPr>
          <w:lang w:val="en-GB"/>
        </w:rPr>
        <w:t xml:space="preserve">. A model with all quotes representing the relationships can be found in Appendix </w:t>
      </w:r>
      <w:r w:rsidR="00B76E6D" w:rsidRPr="00B56453">
        <w:rPr>
          <w:lang w:val="en-GB"/>
        </w:rPr>
        <w:t>2</w:t>
      </w:r>
      <w:r w:rsidR="002E5B8D" w:rsidRPr="00B56453">
        <w:rPr>
          <w:lang w:val="en-GB"/>
        </w:rPr>
        <w:t>9</w:t>
      </w:r>
      <w:r w:rsidR="003D5BB6" w:rsidRPr="00B56453">
        <w:rPr>
          <w:lang w:val="en-GB"/>
        </w:rPr>
        <w:t xml:space="preserve">. </w:t>
      </w:r>
    </w:p>
    <w:p w14:paraId="742D3A59" w14:textId="4DE82CC4" w:rsidR="000D0D1E" w:rsidRPr="00B56453" w:rsidRDefault="0052217A" w:rsidP="00026049">
      <w:pPr>
        <w:pStyle w:val="Normal1"/>
        <w:rPr>
          <w:lang w:val="en-GB"/>
        </w:rPr>
      </w:pPr>
      <w:r w:rsidRPr="007638B6">
        <w:rPr>
          <w:noProof/>
          <w:lang w:val="en-GB" w:eastAsia="en-GB" w:bidi="ar-SA"/>
        </w:rPr>
        <mc:AlternateContent>
          <mc:Choice Requires="wps">
            <w:drawing>
              <wp:anchor distT="0" distB="0" distL="114300" distR="114300" simplePos="0" relativeHeight="251866112" behindDoc="0" locked="0" layoutInCell="1" allowOverlap="1" wp14:anchorId="05CAE491" wp14:editId="2B30B9B2">
                <wp:simplePos x="0" y="0"/>
                <wp:positionH relativeFrom="column">
                  <wp:posOffset>2568294</wp:posOffset>
                </wp:positionH>
                <wp:positionV relativeFrom="paragraph">
                  <wp:posOffset>2566729</wp:posOffset>
                </wp:positionV>
                <wp:extent cx="1021441" cy="1033676"/>
                <wp:effectExtent l="38100" t="38100" r="45720" b="52705"/>
                <wp:wrapNone/>
                <wp:docPr id="236" name="Straight Arrow Connector 236"/>
                <wp:cNvGraphicFramePr/>
                <a:graphic xmlns:a="http://schemas.openxmlformats.org/drawingml/2006/main">
                  <a:graphicData uri="http://schemas.microsoft.com/office/word/2010/wordprocessingShape">
                    <wps:wsp>
                      <wps:cNvCnPr/>
                      <wps:spPr>
                        <a:xfrm>
                          <a:off x="0" y="0"/>
                          <a:ext cx="1021441" cy="1033676"/>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ABDA5" id="Straight Arrow Connector 236" o:spid="_x0000_s1026" type="#_x0000_t32" style="position:absolute;margin-left:202.25pt;margin-top:202.1pt;width:80.45pt;height:81.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" strokecolor="black [3200]" strokeweight="2.25pt">
                <v:stroke startarrow="block" endarrow="block" joinstyle="miter"/>
              </v:shape>
            </w:pict>
          </mc:Fallback>
        </mc:AlternateContent>
      </w:r>
      <w:r w:rsidR="00937006" w:rsidRPr="00B27F0B">
        <w:rPr>
          <w:noProof/>
          <w:lang w:val="en-GB" w:eastAsia="en-GB" w:bidi="ar-SA"/>
        </w:rPr>
        <mc:AlternateContent>
          <mc:Choice Requires="wpg">
            <w:drawing>
              <wp:anchor distT="0" distB="0" distL="114300" distR="114300" simplePos="0" relativeHeight="251896832" behindDoc="0" locked="0" layoutInCell="1" allowOverlap="1" wp14:anchorId="523E2CC3" wp14:editId="5F0A2C59">
                <wp:simplePos x="0" y="0"/>
                <wp:positionH relativeFrom="column">
                  <wp:posOffset>15875</wp:posOffset>
                </wp:positionH>
                <wp:positionV relativeFrom="paragraph">
                  <wp:posOffset>333375</wp:posOffset>
                </wp:positionV>
                <wp:extent cx="5379720" cy="5055870"/>
                <wp:effectExtent l="0" t="0" r="0" b="0"/>
                <wp:wrapTopAndBottom/>
                <wp:docPr id="463" name="Group 463"/>
                <wp:cNvGraphicFramePr/>
                <a:graphic xmlns:a="http://schemas.openxmlformats.org/drawingml/2006/main">
                  <a:graphicData uri="http://schemas.microsoft.com/office/word/2010/wordprocessingGroup">
                    <wpg:wgp>
                      <wpg:cNvGrpSpPr/>
                      <wpg:grpSpPr>
                        <a:xfrm>
                          <a:off x="0" y="0"/>
                          <a:ext cx="5379720" cy="5055870"/>
                          <a:chOff x="129928" y="0"/>
                          <a:chExt cx="5976697" cy="5055870"/>
                        </a:xfrm>
                      </wpg:grpSpPr>
                      <wpg:grpSp>
                        <wpg:cNvPr id="25907" name="Group 25907"/>
                        <wpg:cNvGrpSpPr/>
                        <wpg:grpSpPr>
                          <a:xfrm>
                            <a:off x="224287" y="0"/>
                            <a:ext cx="5787287" cy="3992774"/>
                            <a:chOff x="379685" y="-82730"/>
                            <a:chExt cx="7117430" cy="4961834"/>
                          </a:xfrm>
                        </wpg:grpSpPr>
                        <wpg:grpSp>
                          <wpg:cNvPr id="25908" name="Group 25908"/>
                          <wpg:cNvGrpSpPr/>
                          <wpg:grpSpPr>
                            <a:xfrm>
                              <a:off x="379685" y="-82730"/>
                              <a:ext cx="7117430" cy="4961834"/>
                              <a:chOff x="379685" y="-82730"/>
                              <a:chExt cx="7117430" cy="4961834"/>
                            </a:xfrm>
                          </wpg:grpSpPr>
                          <wps:wsp>
                            <wps:cNvPr id="25909" name="Flowchart: Alternate Process 25909"/>
                            <wps:cNvSpPr/>
                            <wps:spPr>
                              <a:xfrm>
                                <a:off x="5822694" y="1779263"/>
                                <a:ext cx="1674421" cy="902526"/>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D88AAB3" w14:textId="77777777" w:rsidR="00C8402C" w:rsidRDefault="00C8402C" w:rsidP="00070ACE">
                                  <w:pPr>
                                    <w:jc w:val="center"/>
                                  </w:pPr>
                                  <w:r>
                                    <w:t>Credibility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0" name="Flowchart: Alternate Process 25910"/>
                            <wps:cNvSpPr/>
                            <wps:spPr>
                              <a:xfrm>
                                <a:off x="4308606" y="3976578"/>
                                <a:ext cx="1674421" cy="902526"/>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F09656C" w14:textId="77777777" w:rsidR="00C8402C" w:rsidRDefault="00C8402C" w:rsidP="00070ACE">
                                  <w:pPr>
                                    <w:jc w:val="center"/>
                                  </w:pPr>
                                  <w: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1" name="Flowchart: Alternate Process 25911"/>
                            <wps:cNvSpPr/>
                            <wps:spPr>
                              <a:xfrm>
                                <a:off x="1565407" y="3976578"/>
                                <a:ext cx="1674421" cy="902526"/>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684DC9D" w14:textId="77777777" w:rsidR="00C8402C" w:rsidRDefault="00C8402C" w:rsidP="00070ACE">
                                  <w:pPr>
                                    <w:jc w:val="center"/>
                                  </w:pPr>
                                  <w:r>
                                    <w:t>Self-evaluation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2" name="Flowchart: Alternate Process 25912"/>
                            <wps:cNvSpPr/>
                            <wps:spPr>
                              <a:xfrm>
                                <a:off x="379685" y="1771514"/>
                                <a:ext cx="1673860" cy="902334"/>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21060F5" w14:textId="77777777" w:rsidR="00C8402C" w:rsidRDefault="00C8402C" w:rsidP="00070ACE">
                                  <w:pPr>
                                    <w:jc w:val="center"/>
                                  </w:pPr>
                                  <w:r>
                                    <w:t>Confidence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3" name="Flowchart: Alternate Process 25913"/>
                            <wps:cNvSpPr/>
                            <wps:spPr>
                              <a:xfrm>
                                <a:off x="2910100" y="-82730"/>
                                <a:ext cx="1673861" cy="902142"/>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9645C64" w14:textId="277BC967" w:rsidR="00C8402C" w:rsidRDefault="00C8402C" w:rsidP="00070ACE">
                                  <w:pPr>
                                    <w:jc w:val="center"/>
                                  </w:pPr>
                                  <w:r>
                                    <w:t>Contextual and cultural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4" name="Flowchart: Alternate Process 25914"/>
                            <wps:cNvSpPr/>
                            <wps:spPr>
                              <a:xfrm>
                                <a:off x="2927603" y="1775638"/>
                                <a:ext cx="1673861" cy="902334"/>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D11B251" w14:textId="6A3F8FBC" w:rsidR="00C8402C" w:rsidRDefault="00C8402C" w:rsidP="00361682">
                                  <w:pPr>
                                    <w:jc w:val="center"/>
                                  </w:pPr>
                                  <w: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5" name="Straight Arrow Connector 25915"/>
                            <wps:cNvCnPr>
                              <a:stCxn id="25912" idx="2"/>
                              <a:endCxn id="25911" idx="0"/>
                            </wps:cNvCnPr>
                            <wps:spPr>
                              <a:xfrm>
                                <a:off x="1216616" y="2673847"/>
                                <a:ext cx="1186002" cy="13027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916" name="Straight Arrow Connector 25916"/>
                            <wps:cNvCnPr>
                              <a:stCxn id="25914" idx="3"/>
                              <a:endCxn id="25909" idx="1"/>
                            </wps:cNvCnPr>
                            <wps:spPr>
                              <a:xfrm>
                                <a:off x="4601463" y="2226805"/>
                                <a:ext cx="1221231" cy="3719"/>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917" name="Straight Arrow Connector 25917"/>
                            <wps:cNvCnPr>
                              <a:stCxn id="25913" idx="2"/>
                              <a:endCxn id="25914" idx="0"/>
                            </wps:cNvCnPr>
                            <wps:spPr>
                              <a:xfrm>
                                <a:off x="3747031" y="819412"/>
                                <a:ext cx="17503" cy="95622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25918" name="Straight Arrow Connector 25918"/>
                            <wps:cNvCnPr>
                              <a:stCxn id="25913" idx="2"/>
                              <a:endCxn id="25909" idx="0"/>
                            </wps:cNvCnPr>
                            <wps:spPr>
                              <a:xfrm>
                                <a:off x="3747031" y="819412"/>
                                <a:ext cx="2912875" cy="95985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25919" name="Straight Arrow Connector 25919"/>
                            <wps:cNvCnPr>
                              <a:stCxn id="25909" idx="2"/>
                              <a:endCxn id="25910" idx="0"/>
                            </wps:cNvCnPr>
                            <wps:spPr>
                              <a:xfrm flipH="1">
                                <a:off x="5145818" y="2681787"/>
                                <a:ext cx="1514088" cy="1294791"/>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920" name="Straight Connector 25920"/>
                            <wps:cNvCnPr>
                              <a:stCxn id="25911" idx="3"/>
                              <a:endCxn id="25910" idx="1"/>
                            </wps:cNvCnPr>
                            <wps:spPr>
                              <a:xfrm>
                                <a:off x="3239828" y="4427840"/>
                                <a:ext cx="1068779" cy="0"/>
                              </a:xfrm>
                              <a:prstGeom prst="line">
                                <a:avLst/>
                              </a:prstGeom>
                              <a:ln w="3175"/>
                            </wps:spPr>
                            <wps:style>
                              <a:lnRef idx="1">
                                <a:schemeClr val="dk1"/>
                              </a:lnRef>
                              <a:fillRef idx="0">
                                <a:schemeClr val="dk1"/>
                              </a:fillRef>
                              <a:effectRef idx="0">
                                <a:schemeClr val="dk1"/>
                              </a:effectRef>
                              <a:fontRef idx="minor">
                                <a:schemeClr val="tx1"/>
                              </a:fontRef>
                            </wps:style>
                            <wps:bodyPr/>
                          </wps:wsp>
                        </wpg:grpSp>
                        <wps:wsp>
                          <wps:cNvPr id="25932" name="Straight Arrow Connector 25932"/>
                          <wps:cNvCnPr>
                            <a:stCxn id="25914" idx="1"/>
                            <a:endCxn id="25912" idx="3"/>
                          </wps:cNvCnPr>
                          <wps:spPr>
                            <a:xfrm flipH="1" flipV="1">
                              <a:off x="2053546" y="2222680"/>
                              <a:ext cx="874057" cy="412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g:grpSp>
                      <wps:wsp>
                        <wps:cNvPr id="462" name="Text Box 462"/>
                        <wps:cNvSpPr txBox="1"/>
                        <wps:spPr>
                          <a:xfrm>
                            <a:off x="129928" y="4140200"/>
                            <a:ext cx="5976697" cy="915670"/>
                          </a:xfrm>
                          <a:prstGeom prst="rect">
                            <a:avLst/>
                          </a:prstGeom>
                          <a:solidFill>
                            <a:prstClr val="white"/>
                          </a:solidFill>
                          <a:ln>
                            <a:noFill/>
                          </a:ln>
                          <a:effectLst/>
                        </wps:spPr>
                        <wps:txbx>
                          <w:txbxContent>
                            <w:p w14:paraId="316DDFC0" w14:textId="639641F8" w:rsidR="00C8402C" w:rsidRPr="006300CF" w:rsidRDefault="00C8402C" w:rsidP="00937006">
                              <w:pPr>
                                <w:pStyle w:val="Caption"/>
                                <w:rPr>
                                  <w:rFonts w:eastAsia="Lucida Sans Unicode" w:cs="Mangal"/>
                                  <w:noProof/>
                                  <w:kern w:val="1"/>
                                  <w:szCs w:val="24"/>
                                </w:rPr>
                              </w:pPr>
                              <w:bookmarkStart w:id="403" w:name="_Toc500319564"/>
                              <w:r>
                                <w:t>Figure C2.</w:t>
                              </w:r>
                              <w:fldSimple w:instr=" SEQ Figure_C2. \* ARABIC ">
                                <w:r>
                                  <w:rPr>
                                    <w:noProof/>
                                  </w:rPr>
                                  <w:t>4</w:t>
                                </w:r>
                              </w:fldSimple>
                              <w:r>
                                <w:t xml:space="preserve"> Conceptual model of factors identified which learners identified as impacting upon learners’ feedback behaviours. Thickness of line indicates strength of relationship and direction indicates the linkages between factors.</w:t>
                              </w:r>
                              <w:bookmarkEnd w:id="4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E2CC3" id="Group 463" o:spid="_x0000_s1333" style="position:absolute;margin-left:1.25pt;margin-top:26.25pt;width:423.6pt;height:398.1pt;z-index:251896832;mso-width-relative:margin;mso-height-relative:margin" coordorigin="129928" coordsize="5976697,5055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">
                <v:group id="Group 25907" o:spid="_x0000_s1334" style="position:absolute;left:224287;width:5787287;height:3992774" coordorigin="379685,-82730" coordsize="7117430,49618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kdSfxwAAAN4A&#10;AAAPAAAAAAAAAAAAAAAAAKkCAABkcnMvZG93bnJldi54bWxQSwUGAAAAAAQABAD6AAAAnQMAAAAA&#10;">
                  <v:group id="Group 25908" o:spid="_x0000_s1335" style="position:absolute;left:379685;top:-82730;width:7117430;height:4961834" coordorigin="379685,-82730" coordsize="7117430,49618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5A7cUAAADeAAAA&#10;DwAAAAAAAAAAAAAAAACpAgAAZHJzL2Rvd25yZXYueG1sUEsFBgAAAAAEAAQA+gAAAJsDAAAAAA==&#10;">
                    <v:shape id="Flowchart: Alternate Process 25909" o:spid="_x0000_s1336" type="#_x0000_t176" style="position:absolute;left:5822694;top:1779263;width:1674421;height:9025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Li2yQAA&#10;AN4AAAAPAAAAZHJzL2Rvd25yZXYueG1sRI9PawIxFMTvBb9DeIVeimYrKLo1iviHFtFCtQe9PTev&#10;m7Wbl2UTdfvtjVDocZiZ3zCjSWNLcaHaF44VvHQSEMSZ0wXnCr52y/YAhA/IGkvHpOCXPEzGrYcR&#10;ptpd+ZMu25CLCGGfogITQpVK6TNDFn3HVcTR+3a1xRBlnUtd4zXCbSm7SdKXFguOCwYrmhnKfrZn&#10;q2DWw8HKhP3p+FbO94vT4fy83nwo9fTYTF9BBGrCf/iv/a4VdHvDZAj3O/EKyPEN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U8Li2yQAAAN4AAAAPAAAAAAAAAAAAAAAAAJcCAABk&#10;cnMvZG93bnJldi54bWxQSwUGAAAAAAQABAD1AAAAjQMAAAAA&#10;" fillcolor="white [3201]" strokecolor="black [3213]" strokeweight="1pt">
                      <v:textbox>
                        <w:txbxContent>
                          <w:p w14:paraId="2D88AAB3" w14:textId="77777777" w:rsidR="00C8402C" w:rsidRDefault="00C8402C" w:rsidP="00070ACE">
                            <w:pPr>
                              <w:jc w:val="center"/>
                            </w:pPr>
                            <w:r>
                              <w:t>Credibility</w:t>
                            </w:r>
                          </w:p>
                        </w:txbxContent>
                      </v:textbox>
                    </v:shape>
                    <v:shape id="Flowchart: Alternate Process 25910" o:spid="_x0000_s1337" type="#_x0000_t176" style="position:absolute;left:4308606;top:3976578;width:1674421;height:9025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4f2yAAA&#10;AN4AAAAPAAAAZHJzL2Rvd25yZXYueG1sRI/NagIxFIX3Qt8h3IIbqRkFxY5GKVaxFFuodaG76+R2&#10;MnZyM0yijm9vFoLLw/njm8waW4oz1b5wrKDXTUAQZ04XnCvY/i5fRiB8QNZYOiYFV/Iwmz61Jphq&#10;d+EfOm9CLuII+xQVmBCqVEqfGbLou64ijt6fqy2GKOtc6hovcdyWsp8kQ2mx4PhgsKK5oex/c7IK&#10;5gMcfZqwOx5W5ftucdyfOuuvb6Xaz83bGESgJjzC9/aHVtAfvPYiQMSJKC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ATh/bIAAAA3gAAAA8AAAAAAAAAAAAAAAAAlwIAAGRy&#10;cy9kb3ducmV2LnhtbFBLBQYAAAAABAAEAPUAAACMAwAAAAA=&#10;" fillcolor="white [3201]" strokecolor="black [3213]" strokeweight="1pt">
                      <v:textbox>
                        <w:txbxContent>
                          <w:p w14:paraId="6F09656C" w14:textId="77777777" w:rsidR="00C8402C" w:rsidRDefault="00C8402C" w:rsidP="00070ACE">
                            <w:pPr>
                              <w:jc w:val="center"/>
                            </w:pPr>
                            <w:r>
                              <w:t>Learning priorities</w:t>
                            </w:r>
                          </w:p>
                        </w:txbxContent>
                      </v:textbox>
                    </v:shape>
                    <v:shape id="Flowchart: Alternate Process 25911" o:spid="_x0000_s1338" type="#_x0000_t176" style="position:absolute;left:1565407;top:3976578;width:1674421;height:9025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yJtyQAA&#10;AN4AAAAPAAAAZHJzL2Rvd25yZXYueG1sRI9BawIxFITvgv8hPKGXotkVFF2NUmxLi9hCbQ96e26e&#10;m7Wbl2UTdfvvm0LB4zAz3zDzZWsrcaHGl44VpIMEBHHudMmFgq/P5/4EhA/IGivHpOCHPCwX3c4c&#10;M+2u/EGXbShEhLDPUIEJoc6k9Lkhi37gauLoHV1jMUTZFFI3eI1wW8lhkoylxZLjgsGaVoby7+3Z&#10;KliNcLI2YXc6vFSPu6fT/ny/eXtX6q7XPsxABGrDLfzfftUKhqNpmsLfnXgF5O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vXyJtyQAAAN4AAAAPAAAAAAAAAAAAAAAAAJcCAABk&#10;cnMvZG93bnJldi54bWxQSwUGAAAAAAQABAD1AAAAjQMAAAAA&#10;" fillcolor="white [3201]" strokecolor="black [3213]" strokeweight="1pt">
                      <v:textbox>
                        <w:txbxContent>
                          <w:p w14:paraId="5684DC9D" w14:textId="77777777" w:rsidR="00C8402C" w:rsidRDefault="00C8402C" w:rsidP="00070ACE">
                            <w:pPr>
                              <w:jc w:val="center"/>
                            </w:pPr>
                            <w:r>
                              <w:t>Self-evaluation</w:t>
                            </w:r>
                          </w:p>
                        </w:txbxContent>
                      </v:textbox>
                    </v:shape>
                    <v:shape id="Flowchart: Alternate Process 25912" o:spid="_x0000_s1339" type="#_x0000_t176" style="position:absolute;left:379685;top:1771514;width:1673860;height:902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bwayQAA&#10;AN4AAAAPAAAAZHJzL2Rvd25yZXYueG1sRI9BawIxFITvgv8hPMFLqVkXFLs1SlFLi9hCbQ/29tw8&#10;N2s3L8sm6vrvm0LB4zAz3zDTeWsrcabGl44VDAcJCOLc6ZILBV+fz/cTED4ga6wck4IreZjPup0p&#10;Ztpd+IPO21CICGGfoQITQp1J6XNDFv3A1cTRO7jGYoiyKaRu8BLhtpJpkoylxZLjgsGaFobyn+3J&#10;KliMcLI2YXfcv1TL3er4fbrbvL0r1e+1T48gArXhFv5vv2oF6ehhmMLfnXgF5Ow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jbwayQAAAN4AAAAPAAAAAAAAAAAAAAAAAJcCAABk&#10;cnMvZG93bnJldi54bWxQSwUGAAAAAAQABAD1AAAAjQMAAAAA&#10;" fillcolor="white [3201]" strokecolor="black [3213]" strokeweight="1pt">
                      <v:textbox>
                        <w:txbxContent>
                          <w:p w14:paraId="421060F5" w14:textId="77777777" w:rsidR="00C8402C" w:rsidRDefault="00C8402C" w:rsidP="00070ACE">
                            <w:pPr>
                              <w:jc w:val="center"/>
                            </w:pPr>
                            <w:r>
                              <w:t>Confidence and motivation</w:t>
                            </w:r>
                          </w:p>
                        </w:txbxContent>
                      </v:textbox>
                    </v:shape>
                    <v:shape id="Flowchart: Alternate Process 25913" o:spid="_x0000_s1340" type="#_x0000_t176" style="position:absolute;left:2910100;top:-82730;width:1673861;height:9021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RmBygAA&#10;AN4AAAAPAAAAZHJzL2Rvd25yZXYueG1sRI9PawIxFMTvhX6H8ApeimZVLLo1StFKS2kF/xz09rp5&#10;3axuXpZN1PXbN4WCx2FmfsOMp40txZlqXzhW0O0kIIgzpwvOFWw3i/YQhA/IGkvHpOBKHqaT+7sx&#10;ptpdeEXndchFhLBPUYEJoUql9Jkhi77jKuLo/bjaYoiyzqWu8RLhtpS9JHmSFguOCwYrmhnKjuuT&#10;VTAb4PDDhN3h+62c714P+9Pj59dSqdZD8/IMIlATbuH/9rtW0BuMun34uxOvgJ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MMEZgcoAAADeAAAADwAAAAAAAAAAAAAAAACXAgAA&#10;ZHJzL2Rvd25yZXYueG1sUEsFBgAAAAAEAAQA9QAAAI4DAAAAAA==&#10;" fillcolor="white [3201]" strokecolor="black [3213]" strokeweight="1pt">
                      <v:textbox>
                        <w:txbxContent>
                          <w:p w14:paraId="09645C64" w14:textId="277BC967" w:rsidR="00C8402C" w:rsidRDefault="00C8402C" w:rsidP="00070ACE">
                            <w:pPr>
                              <w:jc w:val="center"/>
                            </w:pPr>
                            <w:r>
                              <w:t>Contextual and cultural factors</w:t>
                            </w:r>
                          </w:p>
                        </w:txbxContent>
                      </v:textbox>
                    </v:shape>
                    <v:shape id="Flowchart: Alternate Process 25914" o:spid="_x0000_s1341" type="#_x0000_t176" style="position:absolute;left:2927603;top:1775638;width:1673861;height:902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H1ygAA&#10;AN4AAAAPAAAAZHJzL2Rvd25yZXYueG1sRI9PawIxFMTvhX6H8ApeimYVLbo1StFKS2kF/xz09rp5&#10;3axuXpZN1PXbN4WCx2FmfsOMp40txZlqXzhW0O0kIIgzpwvOFWw3i/YQhA/IGkvHpOBKHqaT+7sx&#10;ptpdeEXndchFhLBPUYEJoUql9Jkhi77jKuLo/bjaYoiyzqWu8RLhtpS9JHmSFguOCwYrmhnKjuuT&#10;VTAb4PDDhN3h+62c714P+9Pj59dSqdZD8/IMIlATbuH/9rtW0BuMun34uxOvgJ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vyiB9coAAADeAAAADwAAAAAAAAAAAAAAAACXAgAA&#10;ZHJzL2Rvd25yZXYueG1sUEsFBgAAAAAEAAQA9QAAAI4DAAAAAA==&#10;" fillcolor="white [3201]" strokecolor="black [3213]" strokeweight="1pt">
                      <v:textbox>
                        <w:txbxContent>
                          <w:p w14:paraId="2D11B251" w14:textId="6A3F8FBC" w:rsidR="00C8402C" w:rsidRDefault="00C8402C" w:rsidP="00361682">
                            <w:pPr>
                              <w:jc w:val="center"/>
                            </w:pPr>
                            <w:r>
                              <w:t>Supportive</w:t>
                            </w:r>
                          </w:p>
                        </w:txbxContent>
                      </v:textbox>
                    </v:shape>
                    <v:shape id="Straight Arrow Connector 25915" o:spid="_x0000_s1342" type="#_x0000_t32" style="position:absolute;left:1216616;top:2673847;width:1186002;height:13027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OZq8YAAADeAAAADwAAAGRycy9kb3ducmV2LnhtbESPQWuDQBSE74X8h+UFeinJqmBITDYh&#10;BEp7ajGRnB/uq0rdt+Ju1frru4VCj8PMN8McTpNpxUC9aywriNcRCOLS6oYrBcXtebUF4TyyxtYy&#10;KfgmB6fj4uGAmbYj5zRcfSVCCbsMFdTed5mUrqzJoFvbjjh4H7Y36IPsK6l7HEO5aWUSRRtpsOGw&#10;UGNHl5rKz+uXUZAUOLTvT01+nwv9tkvil2LesFKPy+m8B+Fp8v/hP/pVBy7dxSn83glXQB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zmavGAAAA3gAAAA8AAAAAAAAA&#10;AAAAAAAAoQIAAGRycy9kb3ducmV2LnhtbFBLBQYAAAAABAAEAPkAAACUAwAAAAA=&#10;" strokecolor="black [3200]" strokeweight=".5pt">
                      <v:stroke startarrow="block" endarrow="block" joinstyle="miter"/>
                    </v:shape>
                    <v:shape id="Straight Arrow Connector 25916" o:spid="_x0000_s1343" type="#_x0000_t32" style="position:absolute;left:4601463;top:2226805;width:1221231;height:371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ZYrMcAAADeAAAADwAAAGRycy9kb3ducmV2LnhtbESPT2sCMRTE70K/Q3iFXqRmtSh1NYoI&#10;pfYg4t/zY/PcbLt5WTbRXb+9KQgeh5n5DTOdt7YUV6p94VhBv5eAIM6cLjhXcNh/vX+C8AFZY+mY&#10;FNzIw3z20pliql3DW7ruQi4ihH2KCkwIVSqlzwxZ9D1XEUfv7GqLIco6l7rGJsJtKQdJMpIWC44L&#10;BitaGsr+dherQA632lwaXu+77rhe/Zy+f2+bD6XeXtvFBESgNjzDj/ZKKxgMx/0R/N+JV0DO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RlisxwAAAN4AAAAPAAAAAAAA&#10;AAAAAAAAAKECAABkcnMvZG93bnJldi54bWxQSwUGAAAAAAQABAD5AAAAlQMAAAAA&#10;" strokecolor="black [3200]" strokeweight="6pt">
                      <v:stroke startarrow="block" endarrow="block" joinstyle="miter"/>
                    </v:shape>
                    <v:shape id="Straight Arrow Connector 25917" o:spid="_x0000_s1344" type="#_x0000_t32" style="position:absolute;left:3747031;top:819412;width:17503;height:956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00accAAADeAAAADwAAAGRycy9kb3ducmV2LnhtbESPT2vCQBTE7wW/w/IEb3WjYLWpq6gg&#10;7UXEP+D1NfuaRLNvQ3ZNUj+9Kwgeh5n5DTOdt6YQNVUut6xg0I9AECdW55wqOB7W7xMQziNrLCyT&#10;gn9yMJ913qYYa9vwjuq9T0WAsItRQeZ9GUvpkowMur4tiYP3ZyuDPsgqlbrCJsBNIYdR9CEN5hwW&#10;MixplVFy2V+NgvXS+ea3PmzG21t+0tfN6XxbfivV67aLLxCeWv8KP9s/WsFw9DkYw+NOuAJyd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jTRpxwAAAN4AAAAPAAAAAAAA&#10;AAAAAAAAAKECAABkcnMvZG93bnJldi54bWxQSwUGAAAAAAQABAD5AAAAlQMAAAAA&#10;" strokecolor="black [3200]" strokeweight="6pt">
                      <v:stroke endarrow="block" joinstyle="miter"/>
                    </v:shape>
                    <v:shape id="Straight Arrow Connector 25918" o:spid="_x0000_s1345" type="#_x0000_t32" style="position:absolute;left:3747031;top:819412;width:2912875;height:9598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FY0cQAAADeAAAADwAAAGRycy9kb3ducmV2LnhtbERPy2rCQBTdC/2H4Rbc6UStYlPHEAqC&#10;j5Va2u1t5jYTzNwJmdGk/frOQnB5OO9V1tta3Kj1lWMFk3ECgrhwuuJSwcd5M1qC8AFZY+2YFPyS&#10;h2z9NFhhql3HR7qdQiliCPsUFZgQmlRKXxiy6MeuIY7cj2sthgjbUuoWuxhuazlNkoW0WHFsMNjQ&#10;u6HicrpaBfu/l72cbc136Jz+vOTLr2Z3mCk1fO7zNxCB+vAQ391brWA6f53EvfFOvAJ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cVjRxAAAAN4AAAAPAAAAAAAAAAAA&#10;AAAAAKECAABkcnMvZG93bnJldi54bWxQSwUGAAAAAAQABAD5AAAAkgMAAAAA&#10;" strokecolor="black [3200]" strokeweight=".25pt">
                      <v:stroke endarrow="block" joinstyle="miter"/>
                    </v:shape>
                    <v:shape id="Straight Arrow Connector 25919" o:spid="_x0000_s1346" type="#_x0000_t32" style="position:absolute;left:5145818;top:2681787;width:1514088;height:129479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YiLMUAAADeAAAADwAAAGRycy9kb3ducmV2LnhtbESP0WrCQBRE3wX/YbmFvulGS6VJ3QQp&#10;tIQUBE0/4JK9JsHs3bC71fj3bqHg4zAzZ5htMZlBXMj53rKC1TIBQdxY3XOr4Kf+XLyB8AFZ42CZ&#10;FNzIQ5HPZ1vMtL3ygS7H0IoIYZ+hgi6EMZPSNx0Z9Es7EkfvZJ3BEKVrpXZ4jXAzyHWSbKTBnuNC&#10;hyN9dNScj79GQY3OVt8ltlgPX/uXJt3w+VQp9fw07d5BBJrCI/zfLrWC9Wu6SuHvTrwCMr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YiLMUAAADeAAAADwAAAAAAAAAA&#10;AAAAAAChAgAAZHJzL2Rvd25yZXYueG1sUEsFBgAAAAAEAAQA+QAAAJMDAAAAAA==&#10;" strokecolor="black [3200]" strokeweight="6pt">
                      <v:stroke startarrow="block" endarrow="block" joinstyle="miter"/>
                    </v:shape>
                    <v:line id="Straight Connector 25920" o:spid="_x0000_s1347" style="position:absolute;visibility:visible;mso-wrap-style:square" from="3239828,4427840" to="4308607,4427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jVMMYAAADeAAAADwAAAGRycy9kb3ducmV2LnhtbESPzYrCMBSF98K8Q7gD7jS1omg1igqF&#10;2bjQunF3ba5tZ5qb0kRt5+nNYmCWh/PHt952phZPal1lWcFkHIEgzq2uuFBwydLRAoTzyBpry6Sg&#10;JwfbzcdgjYm2Lz7R8+wLEUbYJaig9L5JpHR5SQbd2DbEwbvb1qAPsi2kbvEVxk0t4yiaS4MVh4cS&#10;GzqUlP+cH0bB8XpLp5Npby/f+1O/n9W/fp5mSg0/u90KhKfO/4f/2l9aQTxbxgEg4AQUkJs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I1TDGAAAA3gAAAA8AAAAAAAAA&#10;AAAAAAAAoQIAAGRycy9kb3ducmV2LnhtbFBLBQYAAAAABAAEAPkAAACUAwAAAAA=&#10;" strokecolor="black [3200]" strokeweight=".25pt">
                      <v:stroke joinstyle="miter"/>
                    </v:line>
                  </v:group>
                  <v:shape id="Straight Arrow Connector 25932" o:spid="_x0000_s1348" type="#_x0000_t32" style="position:absolute;left:2053546;top:2222680;width:874057;height:41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KaSsgAAADeAAAADwAAAGRycy9kb3ducmV2LnhtbESPX0vDMBTF3wW/Q7iCby5Zp9J1y4bI&#10;hIGg7o/Dx7vm2habm5JkXf32RhB8PJxzfoczXw62FT350DjWMB4pEMSlMw1XGva7p5scRIjIBlvH&#10;pOGbAiwXlxdzLIw784b6baxEgnAoUEMdY1dIGcqaLIaR64iT9+m8xZikr6TxeE5w28pMqXtpseG0&#10;UGNHjzWVX9uT1aB899Z8HHLz8v6sxrd5/npYHXutr6+GhxmISEP8D/+110ZDdjedZPB7J10Bufg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fKaSsgAAADeAAAADwAAAAAA&#10;AAAAAAAAAAChAgAAZHJzL2Rvd25yZXYueG1sUEsFBgAAAAAEAAQA+QAAAJYDAAAAAA==&#10;" strokecolor="black [3200]" strokeweight="6pt">
                    <v:stroke endarrow="block" joinstyle="miter"/>
                  </v:shape>
                </v:group>
                <v:shape id="Text Box 462" o:spid="_x0000_s1349" type="#_x0000_t202" style="position:absolute;left:129928;top:4140200;width:5976697;height:915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MvDxQAA&#10;ANwAAAAPAAAAZHJzL2Rvd25yZXYueG1sRI9Pi8IwFMTvC36H8AQvi6ZbpCzVKP5ZYQ/uQVc8P5pn&#10;W2xeShJt/fYbQdjjMDO/YebL3jTiTs7XlhV8TBIQxIXVNZcKTr+78ScIH5A1NpZJwYM8LBeDtznm&#10;2nZ8oPsxlCJC2OeooAqhzaX0RUUG/cS2xNG7WGcwROlKqR12EW4amSZJJg3WHBcqbGlTUXE93oyC&#10;bOtu3YE379vT1x5/2jI9rx9npUbDfjUDEagP/+FX+1srmGYpPM/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Iy8PFAAAA3AAAAA8AAAAAAAAAAAAAAAAAlwIAAGRycy9k&#10;b3ducmV2LnhtbFBLBQYAAAAABAAEAPUAAACJAwAAAAA=&#10;" stroked="f">
                  <v:textbox inset="0,0,0,0">
                    <w:txbxContent>
                      <w:p w14:paraId="316DDFC0" w14:textId="639641F8" w:rsidR="00C8402C" w:rsidRPr="006300CF" w:rsidRDefault="00C8402C" w:rsidP="00937006">
                        <w:pPr>
                          <w:pStyle w:val="Caption"/>
                          <w:rPr>
                            <w:rFonts w:eastAsia="Lucida Sans Unicode" w:cs="Mangal"/>
                            <w:noProof/>
                            <w:kern w:val="1"/>
                            <w:szCs w:val="24"/>
                          </w:rPr>
                        </w:pPr>
                        <w:bookmarkStart w:id="404" w:name="_Toc500319564"/>
                        <w:r>
                          <w:t>Figure C2.</w:t>
                        </w:r>
                        <w:fldSimple w:instr=" SEQ Figure_C2. \* ARABIC ">
                          <w:r>
                            <w:rPr>
                              <w:noProof/>
                            </w:rPr>
                            <w:t>4</w:t>
                          </w:r>
                        </w:fldSimple>
                        <w:r>
                          <w:t xml:space="preserve"> Conceptual model of factors identified which learners identified as impacting upon learners’ feedback behaviours. Thickness of line indicates strength of relationship and direction indicates the linkages between factors.</w:t>
                        </w:r>
                        <w:bookmarkEnd w:id="404"/>
                      </w:p>
                    </w:txbxContent>
                  </v:textbox>
                </v:shape>
                <w10:wrap type="topAndBottom"/>
              </v:group>
            </w:pict>
          </mc:Fallback>
        </mc:AlternateContent>
      </w:r>
      <w:r w:rsidR="006F4901" w:rsidRPr="00B56453">
        <w:rPr>
          <w:noProof/>
          <w:lang w:val="en-GB"/>
        </w:rPr>
        <w:t xml:space="preserve"> </w:t>
      </w:r>
    </w:p>
    <w:p w14:paraId="06245DF9" w14:textId="08DF8736" w:rsidR="000D0D1E" w:rsidRPr="00B56453" w:rsidRDefault="000D0D1E" w:rsidP="00026049">
      <w:pPr>
        <w:pStyle w:val="Normal1"/>
        <w:rPr>
          <w:lang w:val="en-GB"/>
        </w:rPr>
      </w:pPr>
    </w:p>
    <w:p w14:paraId="42F6BD55" w14:textId="0E185C74" w:rsidR="00992120" w:rsidRPr="00B56453" w:rsidRDefault="000C766A" w:rsidP="00026049">
      <w:pPr>
        <w:pStyle w:val="Normal1"/>
        <w:rPr>
          <w:lang w:val="en-GB"/>
        </w:rPr>
      </w:pPr>
      <w:r w:rsidRPr="00B56453">
        <w:rPr>
          <w:lang w:val="en-GB"/>
        </w:rPr>
        <w:t xml:space="preserve">Contextual and cultural factors </w:t>
      </w:r>
      <w:r w:rsidR="002E5B8D" w:rsidRPr="00B56453">
        <w:rPr>
          <w:lang w:val="en-GB"/>
        </w:rPr>
        <w:t xml:space="preserve">were perceived to have </w:t>
      </w:r>
      <w:r w:rsidRPr="00B56453">
        <w:rPr>
          <w:lang w:val="en-GB"/>
        </w:rPr>
        <w:t>had a significant impact upon feedback behaviours relating to the supervisory relationship</w:t>
      </w:r>
      <w:r w:rsidR="00992120" w:rsidRPr="00B56453">
        <w:rPr>
          <w:lang w:val="en-GB"/>
        </w:rPr>
        <w:t xml:space="preserve">, this impact was articulated mostly by those in the SRLF group. </w:t>
      </w:r>
      <w:r w:rsidR="00D854A3" w:rsidRPr="00B56453">
        <w:rPr>
          <w:lang w:val="en-GB"/>
        </w:rPr>
        <w:t>The link was attributed to the busy nature of clinical work and feedback availability from supervisors, some articulate</w:t>
      </w:r>
      <w:r w:rsidR="002E5B8D" w:rsidRPr="00B56453">
        <w:rPr>
          <w:lang w:val="en-GB"/>
        </w:rPr>
        <w:t>d</w:t>
      </w:r>
      <w:r w:rsidR="00D854A3" w:rsidRPr="00B56453">
        <w:rPr>
          <w:lang w:val="en-GB"/>
        </w:rPr>
        <w:t xml:space="preserve"> this awareness and described how they adapted to the situation.</w:t>
      </w:r>
    </w:p>
    <w:p w14:paraId="7D914351" w14:textId="77777777" w:rsidR="00992120" w:rsidRPr="00B56453" w:rsidRDefault="00992120" w:rsidP="00026049">
      <w:pPr>
        <w:pStyle w:val="Normal1"/>
        <w:rPr>
          <w:lang w:val="en-GB"/>
        </w:rPr>
      </w:pPr>
    </w:p>
    <w:p w14:paraId="6394FFB2" w14:textId="34F8DB24" w:rsidR="00992120" w:rsidRPr="00B56453" w:rsidRDefault="00992120" w:rsidP="00026049">
      <w:pPr>
        <w:pStyle w:val="Quote"/>
        <w:rPr>
          <w:lang w:val="en-GB"/>
        </w:rPr>
      </w:pPr>
      <w:r w:rsidRPr="00B56453">
        <w:rPr>
          <w:lang w:val="en-GB"/>
        </w:rPr>
        <w:lastRenderedPageBreak/>
        <w:t>"</w:t>
      </w:r>
      <w:r w:rsidR="00525706" w:rsidRPr="00B56453">
        <w:rPr>
          <w:lang w:val="en-GB"/>
        </w:rPr>
        <w:t>FG7 - SRLF</w:t>
      </w:r>
      <w:r w:rsidRPr="00B56453">
        <w:rPr>
          <w:lang w:val="en-GB"/>
        </w:rPr>
        <w:t xml:space="preserve"> </w:t>
      </w:r>
      <w:r w:rsidR="00632B0D" w:rsidRPr="00B56453">
        <w:rPr>
          <w:lang w:val="en-GB"/>
        </w:rPr>
        <w:t>Student 2</w:t>
      </w:r>
      <w:r w:rsidRPr="00B56453">
        <w:rPr>
          <w:lang w:val="en-GB"/>
        </w:rPr>
        <w:t xml:space="preserve">: </w:t>
      </w:r>
      <w:r w:rsidR="004170C5" w:rsidRPr="00B56453">
        <w:rPr>
          <w:lang w:val="en-GB"/>
        </w:rPr>
        <w:t>“</w:t>
      </w:r>
      <w:r w:rsidR="002E5B8D" w:rsidRPr="00B56453">
        <w:rPr>
          <w:lang w:val="en-GB"/>
        </w:rPr>
        <w:t>I</w:t>
      </w:r>
      <w:r w:rsidRPr="00B56453">
        <w:rPr>
          <w:lang w:val="en-GB"/>
        </w:rPr>
        <w:t>t’s different to medical school. In medical school they would try and give you feedback for absolutely everything and feedback on yourself on everything, but on pl</w:t>
      </w:r>
      <w:r w:rsidR="004170C5" w:rsidRPr="00B56453">
        <w:rPr>
          <w:lang w:val="en-GB"/>
        </w:rPr>
        <w:t>acement you have to go and ask ‘</w:t>
      </w:r>
      <w:r w:rsidRPr="00B56453">
        <w:rPr>
          <w:lang w:val="en-GB"/>
        </w:rPr>
        <w:t>can you watch me do this? Can yo</w:t>
      </w:r>
      <w:r w:rsidR="004170C5" w:rsidRPr="00B56453">
        <w:rPr>
          <w:lang w:val="en-GB"/>
        </w:rPr>
        <w:t>u tell me what I’ve done wrong?’</w:t>
      </w:r>
      <w:r w:rsidRPr="00B56453">
        <w:rPr>
          <w:lang w:val="en-GB"/>
        </w:rPr>
        <w:t xml:space="preserve">" </w:t>
      </w:r>
    </w:p>
    <w:p w14:paraId="115AF817" w14:textId="5D1D1646" w:rsidR="00992120" w:rsidRPr="00B56453" w:rsidRDefault="009045D2" w:rsidP="00026049">
      <w:pPr>
        <w:pStyle w:val="Quote"/>
        <w:rPr>
          <w:lang w:val="en-GB"/>
        </w:rPr>
      </w:pPr>
      <w:r w:rsidRPr="00B56453">
        <w:rPr>
          <w:lang w:val="en-GB"/>
        </w:rPr>
        <w:t>G1 - 1</w:t>
      </w:r>
      <w:r w:rsidR="00992120" w:rsidRPr="00B56453">
        <w:rPr>
          <w:lang w:val="en-GB"/>
        </w:rPr>
        <w:t xml:space="preserve">: </w:t>
      </w:r>
      <w:r w:rsidR="004170C5" w:rsidRPr="00B56453">
        <w:rPr>
          <w:lang w:val="en-GB"/>
        </w:rPr>
        <w:t>“</w:t>
      </w:r>
      <w:r w:rsidR="002E5B8D" w:rsidRPr="00B56453">
        <w:rPr>
          <w:lang w:val="en-GB"/>
        </w:rPr>
        <w:t>I</w:t>
      </w:r>
      <w:r w:rsidR="00992120" w:rsidRPr="00B56453">
        <w:rPr>
          <w:lang w:val="en-GB"/>
        </w:rPr>
        <w:t>t’s both internal and external. If there’s opportunities to do things, patients to examine but I choose not to do it for some reason then that’s down to me. Other times I’ve been on the ward round asking questions and the doctors and nurses are busy and don’t have time for me. If I take a history and want to present it but they can’t observe me then I’ve done what I can. I don’t blame the doctors and nurses, it’s the nature of their work and they prioritise patients over students which is totally fine. If I pass up on an opportunity I can only blame myself. Sometimes there isn’t time or the opportunity to get the feedback but I do what I can.</w:t>
      </w:r>
      <w:r w:rsidR="004170C5" w:rsidRPr="00B56453">
        <w:rPr>
          <w:lang w:val="en-GB"/>
        </w:rPr>
        <w:t>”</w:t>
      </w:r>
    </w:p>
    <w:p w14:paraId="04C0F475" w14:textId="77777777" w:rsidR="004170C5" w:rsidRPr="00B56453" w:rsidRDefault="004170C5" w:rsidP="00026049">
      <w:pPr>
        <w:pStyle w:val="Quote"/>
        <w:rPr>
          <w:lang w:val="en-GB"/>
        </w:rPr>
      </w:pPr>
    </w:p>
    <w:p w14:paraId="6DEA4E8B" w14:textId="476A7870" w:rsidR="004170C5" w:rsidRPr="00B56453" w:rsidRDefault="00F905D5" w:rsidP="00026049">
      <w:pPr>
        <w:pStyle w:val="Normal1"/>
        <w:rPr>
          <w:lang w:val="en-GB"/>
        </w:rPr>
      </w:pPr>
      <w:r w:rsidRPr="00B56453">
        <w:rPr>
          <w:lang w:val="en-GB"/>
        </w:rPr>
        <w:t>Students</w:t>
      </w:r>
      <w:r w:rsidR="004170C5" w:rsidRPr="00B56453">
        <w:rPr>
          <w:lang w:val="en-GB"/>
        </w:rPr>
        <w:t xml:space="preserve"> also identified the </w:t>
      </w:r>
      <w:r w:rsidR="002E5B8D" w:rsidRPr="00B56453">
        <w:rPr>
          <w:lang w:val="en-GB"/>
        </w:rPr>
        <w:t>impact</w:t>
      </w:r>
      <w:r w:rsidR="004170C5" w:rsidRPr="00B56453">
        <w:rPr>
          <w:lang w:val="en-GB"/>
        </w:rPr>
        <w:t xml:space="preserve"> of context and culture on their credibility</w:t>
      </w:r>
      <w:r w:rsidR="000C2987" w:rsidRPr="00B56453">
        <w:rPr>
          <w:lang w:val="en-GB"/>
        </w:rPr>
        <w:t xml:space="preserve"> judgements of feedback givers. The authenticity of the clinical environment was identified as a key factor </w:t>
      </w:r>
      <w:r w:rsidR="001A2C9C" w:rsidRPr="00B56453">
        <w:rPr>
          <w:lang w:val="en-GB"/>
        </w:rPr>
        <w:t>in how they valued</w:t>
      </w:r>
      <w:r w:rsidR="000C2987" w:rsidRPr="00B56453">
        <w:rPr>
          <w:lang w:val="en-GB"/>
        </w:rPr>
        <w:t xml:space="preserve"> the given feedback.</w:t>
      </w:r>
    </w:p>
    <w:p w14:paraId="71F91A80" w14:textId="77777777" w:rsidR="004170C5" w:rsidRPr="00B56453" w:rsidRDefault="004170C5" w:rsidP="00026049">
      <w:pPr>
        <w:pStyle w:val="Normal1"/>
        <w:rPr>
          <w:lang w:val="en-GB"/>
        </w:rPr>
      </w:pPr>
    </w:p>
    <w:p w14:paraId="7CB2ABA5" w14:textId="51B30E2A" w:rsidR="004170C5" w:rsidRPr="00B56453" w:rsidRDefault="00525706" w:rsidP="00026049">
      <w:pPr>
        <w:pStyle w:val="Quote"/>
        <w:rPr>
          <w:lang w:val="en-GB"/>
        </w:rPr>
      </w:pPr>
      <w:r w:rsidRPr="00B56453">
        <w:rPr>
          <w:lang w:val="en-GB"/>
        </w:rPr>
        <w:t>FG5 - SRLF</w:t>
      </w:r>
      <w:r w:rsidR="004170C5" w:rsidRPr="00B56453">
        <w:rPr>
          <w:lang w:val="en-GB"/>
        </w:rPr>
        <w:t xml:space="preserve"> </w:t>
      </w:r>
      <w:r w:rsidR="00632B0D" w:rsidRPr="00B56453">
        <w:rPr>
          <w:b/>
          <w:bCs/>
          <w:lang w:val="en-GB"/>
        </w:rPr>
        <w:t>Student 7</w:t>
      </w:r>
      <w:r w:rsidR="004170C5" w:rsidRPr="00B56453">
        <w:rPr>
          <w:b/>
          <w:bCs/>
          <w:lang w:val="en-GB"/>
        </w:rPr>
        <w:t>:</w:t>
      </w:r>
      <w:r w:rsidR="004170C5" w:rsidRPr="00B56453">
        <w:rPr>
          <w:lang w:val="en-GB"/>
        </w:rPr>
        <w:t xml:space="preserve"> </w:t>
      </w:r>
      <w:r w:rsidR="000C2987" w:rsidRPr="00B56453">
        <w:rPr>
          <w:lang w:val="en-GB"/>
        </w:rPr>
        <w:t>“</w:t>
      </w:r>
      <w:r w:rsidR="002E5B8D" w:rsidRPr="00B56453">
        <w:rPr>
          <w:lang w:val="en-GB"/>
        </w:rPr>
        <w:t>T</w:t>
      </w:r>
      <w:r w:rsidR="004170C5" w:rsidRPr="00B56453">
        <w:rPr>
          <w:lang w:val="en-GB"/>
        </w:rPr>
        <w:t>he best feedback to get is on the wards, I think that even though the demonstrators can give you feedback it’s not going to be as good as the nurses because if you get a real patient and you run into problems and the feedback you get on how to get around it is a lot more useful. If you miss the vein or something on the dummies then it doesn’t matter but it matters more now here.</w:t>
      </w:r>
      <w:r w:rsidR="000C2987" w:rsidRPr="00B56453">
        <w:rPr>
          <w:lang w:val="en-GB"/>
        </w:rPr>
        <w:t>”</w:t>
      </w:r>
      <w:r w:rsidR="004170C5" w:rsidRPr="00B56453">
        <w:rPr>
          <w:lang w:val="en-GB"/>
        </w:rPr>
        <w:t xml:space="preserve"> </w:t>
      </w:r>
      <w:r w:rsidR="00632B0D" w:rsidRPr="00B56453">
        <w:rPr>
          <w:b/>
          <w:bCs/>
          <w:lang w:val="en-GB"/>
        </w:rPr>
        <w:t>Student 5</w:t>
      </w:r>
      <w:r w:rsidR="004170C5" w:rsidRPr="00B56453">
        <w:rPr>
          <w:b/>
          <w:bCs/>
          <w:lang w:val="en-GB"/>
        </w:rPr>
        <w:t>:</w:t>
      </w:r>
      <w:r w:rsidR="004170C5" w:rsidRPr="00B56453">
        <w:rPr>
          <w:lang w:val="en-GB"/>
        </w:rPr>
        <w:t xml:space="preserve"> </w:t>
      </w:r>
      <w:r w:rsidR="000C2987" w:rsidRPr="00B56453">
        <w:rPr>
          <w:lang w:val="en-GB"/>
        </w:rPr>
        <w:t>“</w:t>
      </w:r>
      <w:r w:rsidR="00B716CC" w:rsidRPr="00B56453">
        <w:rPr>
          <w:lang w:val="en-GB"/>
        </w:rPr>
        <w:t>I</w:t>
      </w:r>
      <w:r w:rsidR="004170C5" w:rsidRPr="00B56453">
        <w:rPr>
          <w:lang w:val="en-GB"/>
        </w:rPr>
        <w:t>n clinical skills they teach you how to do it and when I got onto the wards I noticed that they never taught us how to do it if it goes wrong. The other day a vein started balloonin</w:t>
      </w:r>
      <w:r w:rsidR="000C2987" w:rsidRPr="00B56453">
        <w:rPr>
          <w:lang w:val="en-GB"/>
        </w:rPr>
        <w:t>g and I didn’t know what to do.”</w:t>
      </w:r>
    </w:p>
    <w:p w14:paraId="76F3A065" w14:textId="7C306252" w:rsidR="004170C5" w:rsidRPr="00B56453" w:rsidRDefault="00525706" w:rsidP="00026049">
      <w:pPr>
        <w:pStyle w:val="Quote"/>
        <w:rPr>
          <w:lang w:val="en-GB"/>
        </w:rPr>
      </w:pPr>
      <w:r w:rsidRPr="00B56453">
        <w:rPr>
          <w:lang w:val="en-GB"/>
        </w:rPr>
        <w:t>FG7 - SRLF</w:t>
      </w:r>
      <w:r w:rsidR="004170C5" w:rsidRPr="00B56453">
        <w:rPr>
          <w:lang w:val="en-GB"/>
        </w:rPr>
        <w:t xml:space="preserve"> </w:t>
      </w:r>
      <w:r w:rsidR="00632B0D" w:rsidRPr="00B56453">
        <w:rPr>
          <w:b/>
          <w:bCs/>
          <w:lang w:val="en-GB"/>
        </w:rPr>
        <w:t>Student 1</w:t>
      </w:r>
      <w:r w:rsidR="004170C5" w:rsidRPr="00B56453">
        <w:rPr>
          <w:b/>
          <w:bCs/>
          <w:lang w:val="en-GB"/>
        </w:rPr>
        <w:t>:</w:t>
      </w:r>
      <w:r w:rsidR="004170C5" w:rsidRPr="00B56453">
        <w:rPr>
          <w:lang w:val="en-GB"/>
        </w:rPr>
        <w:t xml:space="preserve"> </w:t>
      </w:r>
      <w:r w:rsidR="000C2987" w:rsidRPr="00B56453">
        <w:rPr>
          <w:lang w:val="en-GB"/>
        </w:rPr>
        <w:t>“</w:t>
      </w:r>
      <w:r w:rsidR="002E5B8D" w:rsidRPr="00B56453">
        <w:rPr>
          <w:lang w:val="en-GB"/>
        </w:rPr>
        <w:t>I</w:t>
      </w:r>
      <w:r w:rsidR="004170C5" w:rsidRPr="00B56453">
        <w:rPr>
          <w:lang w:val="en-GB"/>
        </w:rPr>
        <w:t>t feels more real. The difference between simulation and what we do now is that we might potentially hurt someone.</w:t>
      </w:r>
      <w:r w:rsidR="000C2987" w:rsidRPr="00B56453">
        <w:rPr>
          <w:lang w:val="en-GB"/>
        </w:rPr>
        <w:t>”</w:t>
      </w:r>
      <w:r w:rsidR="004170C5" w:rsidRPr="00B56453">
        <w:rPr>
          <w:lang w:val="en-GB"/>
        </w:rPr>
        <w:t xml:space="preserve"> </w:t>
      </w:r>
      <w:r w:rsidR="00632B0D" w:rsidRPr="00B56453">
        <w:rPr>
          <w:b/>
          <w:bCs/>
          <w:lang w:val="en-GB"/>
        </w:rPr>
        <w:t>Student 6</w:t>
      </w:r>
      <w:r w:rsidR="004170C5" w:rsidRPr="00B56453">
        <w:rPr>
          <w:b/>
          <w:bCs/>
          <w:lang w:val="en-GB"/>
        </w:rPr>
        <w:t>:</w:t>
      </w:r>
      <w:r w:rsidR="004170C5" w:rsidRPr="00B56453">
        <w:rPr>
          <w:lang w:val="en-GB"/>
        </w:rPr>
        <w:t xml:space="preserve"> </w:t>
      </w:r>
      <w:r w:rsidR="000C2987" w:rsidRPr="00B56453">
        <w:rPr>
          <w:lang w:val="en-GB"/>
        </w:rPr>
        <w:t>“</w:t>
      </w:r>
      <w:r w:rsidR="004170C5" w:rsidRPr="00B56453">
        <w:rPr>
          <w:lang w:val="en-GB"/>
        </w:rPr>
        <w:t>I feel like I need it a lot more than I did before. Even in phase 1 and 2a I feel like I wanted a bit more feedback because you just sit your exam at the end of the year and that’s it so we don’t really know where we are, now I feel I get more here because its more skills based: communications, clinical skills, history taking skills, you can’t learn it from a book, you need someone telling you. The feedback matters more, there’s more agency to act upon it because we’re in real practical situations day-to-day.</w:t>
      </w:r>
      <w:r w:rsidR="000C2987" w:rsidRPr="00B56453">
        <w:rPr>
          <w:lang w:val="en-GB"/>
        </w:rPr>
        <w:t>”</w:t>
      </w:r>
    </w:p>
    <w:p w14:paraId="4745A272" w14:textId="77777777" w:rsidR="000C2987" w:rsidRPr="00B56453" w:rsidRDefault="000C2987" w:rsidP="00026049">
      <w:pPr>
        <w:pStyle w:val="Normal1"/>
        <w:rPr>
          <w:lang w:val="en-GB"/>
        </w:rPr>
      </w:pPr>
    </w:p>
    <w:p w14:paraId="0F7BBDE9" w14:textId="4C21B184" w:rsidR="000C2987" w:rsidRPr="00B56453" w:rsidRDefault="000C2987" w:rsidP="00026049">
      <w:pPr>
        <w:pStyle w:val="Normal1"/>
        <w:rPr>
          <w:lang w:val="en-GB"/>
        </w:rPr>
      </w:pPr>
      <w:r w:rsidRPr="00B56453">
        <w:rPr>
          <w:lang w:val="en-GB"/>
        </w:rPr>
        <w:t xml:space="preserve">A strong two-way link was identified, mostly by SRLF group learners, between the supportive and credibility themes, acting interdependently. </w:t>
      </w:r>
      <w:r w:rsidR="00B17AB1" w:rsidRPr="00B56453">
        <w:rPr>
          <w:lang w:val="en-GB"/>
        </w:rPr>
        <w:t>Learners expressed how their</w:t>
      </w:r>
      <w:r w:rsidR="00BB6331" w:rsidRPr="00B56453">
        <w:rPr>
          <w:lang w:val="en-GB"/>
        </w:rPr>
        <w:t xml:space="preserve"> credibility judgements had a direct impact upon their feedback interactions with supervisors. The relationship also gave them knowledge on their supervisor’s credibility.</w:t>
      </w:r>
    </w:p>
    <w:p w14:paraId="4378A5D1" w14:textId="77777777" w:rsidR="00F26287" w:rsidRPr="00B56453" w:rsidRDefault="00F26287" w:rsidP="00026049">
      <w:pPr>
        <w:pStyle w:val="Normal1"/>
        <w:rPr>
          <w:lang w:val="en-GB"/>
        </w:rPr>
      </w:pPr>
    </w:p>
    <w:p w14:paraId="270DB3C6" w14:textId="14AADA83" w:rsidR="000C2987" w:rsidRPr="00B56453" w:rsidRDefault="009045D2" w:rsidP="00026049">
      <w:pPr>
        <w:pStyle w:val="Quote"/>
        <w:rPr>
          <w:lang w:val="en-GB"/>
        </w:rPr>
      </w:pPr>
      <w:r w:rsidRPr="00B56453">
        <w:rPr>
          <w:lang w:val="en-GB"/>
        </w:rPr>
        <w:t>G2 - 1</w:t>
      </w:r>
      <w:r w:rsidR="000C2987" w:rsidRPr="00B56453">
        <w:rPr>
          <w:lang w:val="en-GB"/>
        </w:rPr>
        <w:t xml:space="preserve">: </w:t>
      </w:r>
      <w:r w:rsidR="007A2267" w:rsidRPr="00B56453">
        <w:rPr>
          <w:lang w:val="en-GB"/>
        </w:rPr>
        <w:t>“</w:t>
      </w:r>
      <w:r w:rsidR="00B716CC" w:rsidRPr="00B56453">
        <w:rPr>
          <w:lang w:val="en-GB"/>
        </w:rPr>
        <w:t>S</w:t>
      </w:r>
      <w:r w:rsidR="000C2987" w:rsidRPr="00B56453">
        <w:rPr>
          <w:lang w:val="en-GB"/>
        </w:rPr>
        <w:t>ome consultants that I get on better with I respect them more especially being on vascular for 6 weeks, you get to see a lot of them and see how they work and how they interact with other people, especially in surgery and how they interact with nurses and others, I do respect some more than others, I appreciate their feedback more than consultants who are a bit rude, it shouldn’t be that way but I do find that I don’t listen their feedback as much because I don’t want to be a doctor like they are. Even then, they’ve got to where they are so I have to take it really.</w:t>
      </w:r>
      <w:r w:rsidR="007A2267" w:rsidRPr="00B56453">
        <w:rPr>
          <w:lang w:val="en-GB"/>
        </w:rPr>
        <w:t>”</w:t>
      </w:r>
    </w:p>
    <w:p w14:paraId="70B64FB3" w14:textId="45CE257C" w:rsidR="007A2267" w:rsidRPr="00B56453" w:rsidRDefault="009045D2" w:rsidP="00026049">
      <w:pPr>
        <w:pStyle w:val="Quote"/>
        <w:rPr>
          <w:lang w:val="en-GB"/>
        </w:rPr>
      </w:pPr>
      <w:r w:rsidRPr="00B56453">
        <w:rPr>
          <w:lang w:val="en-GB"/>
        </w:rPr>
        <w:t>G8 - 2</w:t>
      </w:r>
      <w:r w:rsidR="00B716CC" w:rsidRPr="00B56453">
        <w:rPr>
          <w:lang w:val="en-GB"/>
        </w:rPr>
        <w:t>: “I</w:t>
      </w:r>
      <w:r w:rsidR="007A2267" w:rsidRPr="00B56453">
        <w:rPr>
          <w:lang w:val="en-GB"/>
        </w:rPr>
        <w:t>f I can tell that they care about me developing as a doctor I will take note of the feedback. My first consultant was really on-it, the feedback he was giving, you could tell that he really enjoyed teaching people and wanted us to be good doctors whereas some people give feedback just for the sake of giving you feedback [...] I can tell if it’s the kind of feedback where they want to help me or not, if they want to help me then I will take the feedback automatically because it comes across in a positive way.”</w:t>
      </w:r>
    </w:p>
    <w:p w14:paraId="7ABCD215" w14:textId="77777777" w:rsidR="00F26287" w:rsidRPr="00B56453" w:rsidRDefault="00F26287" w:rsidP="00026049">
      <w:pPr>
        <w:pStyle w:val="Normal1"/>
        <w:rPr>
          <w:lang w:val="en-GB"/>
        </w:rPr>
      </w:pPr>
    </w:p>
    <w:p w14:paraId="4906CDCC" w14:textId="38F47539" w:rsidR="00F26287" w:rsidRPr="00B56453" w:rsidRDefault="00B17AB1" w:rsidP="00026049">
      <w:pPr>
        <w:pStyle w:val="Normal1"/>
        <w:rPr>
          <w:lang w:val="en-GB"/>
        </w:rPr>
      </w:pPr>
      <w:r w:rsidRPr="00B56453">
        <w:rPr>
          <w:lang w:val="en-GB"/>
        </w:rPr>
        <w:t>Learners articulated how their perceptions of credibility influenced their perception of the feedback they received. W</w:t>
      </w:r>
      <w:r w:rsidR="00BB6331" w:rsidRPr="00B56453">
        <w:rPr>
          <w:lang w:val="en-GB"/>
        </w:rPr>
        <w:t>hen a poor relationship o</w:t>
      </w:r>
      <w:r w:rsidRPr="00B56453">
        <w:rPr>
          <w:lang w:val="en-GB"/>
        </w:rPr>
        <w:t>r low credibility was perceived</w:t>
      </w:r>
      <w:r w:rsidR="00BB6331" w:rsidRPr="00B56453">
        <w:rPr>
          <w:lang w:val="en-GB"/>
        </w:rPr>
        <w:t xml:space="preserve"> learners described rejecting feedback or avoiding feedback interactions. </w:t>
      </w:r>
    </w:p>
    <w:p w14:paraId="38D4712E" w14:textId="77777777" w:rsidR="00F26287" w:rsidRPr="00B56453" w:rsidRDefault="00F26287" w:rsidP="00026049">
      <w:pPr>
        <w:pStyle w:val="Normal1"/>
        <w:rPr>
          <w:lang w:val="en-GB"/>
        </w:rPr>
      </w:pPr>
    </w:p>
    <w:p w14:paraId="37B4DC12" w14:textId="3C394C34" w:rsidR="007A2267" w:rsidRPr="00B56453" w:rsidRDefault="009045D2" w:rsidP="00026049">
      <w:pPr>
        <w:pStyle w:val="Quote"/>
        <w:rPr>
          <w:lang w:val="en-GB"/>
        </w:rPr>
      </w:pPr>
      <w:r w:rsidRPr="00B56453">
        <w:rPr>
          <w:lang w:val="en-GB"/>
        </w:rPr>
        <w:t>G1- 2</w:t>
      </w:r>
      <w:r w:rsidR="00F26287" w:rsidRPr="00B56453">
        <w:rPr>
          <w:lang w:val="en-GB"/>
        </w:rPr>
        <w:t xml:space="preserve">: </w:t>
      </w:r>
      <w:r w:rsidR="007A2267" w:rsidRPr="00B56453">
        <w:rPr>
          <w:lang w:val="en-GB"/>
        </w:rPr>
        <w:t>“</w:t>
      </w:r>
      <w:r w:rsidR="00B716CC" w:rsidRPr="00B56453">
        <w:rPr>
          <w:lang w:val="en-GB"/>
        </w:rPr>
        <w:t>T</w:t>
      </w:r>
      <w:r w:rsidR="00F26287" w:rsidRPr="00B56453">
        <w:rPr>
          <w:lang w:val="en-GB"/>
        </w:rPr>
        <w:t>he manner of the consultant was quite harsh, he wasn’t forgiving of things that we didn’t know, he would be brash with us like, “you need to know this”. I got quite embarrassed so I would rather say nothing to him rather than suggest an answer that</w:t>
      </w:r>
      <w:r w:rsidR="007A2267" w:rsidRPr="00B56453">
        <w:rPr>
          <w:lang w:val="en-GB"/>
        </w:rPr>
        <w:t xml:space="preserve"> was wrong.”</w:t>
      </w:r>
    </w:p>
    <w:p w14:paraId="242CE77A" w14:textId="77777777" w:rsidR="007A2267" w:rsidRPr="00B27F0B" w:rsidRDefault="007A2267" w:rsidP="0094469E">
      <w:pPr>
        <w:pStyle w:val="Normal1"/>
        <w:rPr>
          <w:lang w:val="en-GB"/>
        </w:rPr>
      </w:pPr>
    </w:p>
    <w:p w14:paraId="2B1D7F09" w14:textId="131C51B5" w:rsidR="00DD0E1A" w:rsidRPr="00BD42AF" w:rsidRDefault="00B17AB1" w:rsidP="00026049">
      <w:pPr>
        <w:pStyle w:val="Normal1"/>
        <w:rPr>
          <w:lang w:val="en-GB"/>
        </w:rPr>
      </w:pPr>
      <w:r w:rsidRPr="00B56453">
        <w:rPr>
          <w:lang w:val="en-GB"/>
        </w:rPr>
        <w:t>A</w:t>
      </w:r>
      <w:r w:rsidR="00DD0E1A" w:rsidRPr="00BD42AF">
        <w:rPr>
          <w:lang w:val="en-GB"/>
        </w:rPr>
        <w:t xml:space="preserve"> strong two-way link emerged between the credibility and learning priorities themes. </w:t>
      </w:r>
      <w:r w:rsidR="00A009EA" w:rsidRPr="00BD42AF">
        <w:rPr>
          <w:lang w:val="en-GB"/>
        </w:rPr>
        <w:t xml:space="preserve">Learners </w:t>
      </w:r>
      <w:r w:rsidR="00AE44CC" w:rsidRPr="00BD42AF">
        <w:rPr>
          <w:lang w:val="en-GB"/>
        </w:rPr>
        <w:t>articulated</w:t>
      </w:r>
      <w:r w:rsidR="00A009EA" w:rsidRPr="00BD42AF">
        <w:rPr>
          <w:lang w:val="en-GB"/>
        </w:rPr>
        <w:t xml:space="preserve"> how their learning priorities, either related to assessments or stage of learning, impacted upon how credible they deemed feedback.</w:t>
      </w:r>
    </w:p>
    <w:p w14:paraId="6C9D6301" w14:textId="77777777" w:rsidR="00DD0E1A" w:rsidRPr="00BD42AF" w:rsidRDefault="00DD0E1A" w:rsidP="00026049">
      <w:pPr>
        <w:pStyle w:val="Normal1"/>
        <w:rPr>
          <w:lang w:val="en-GB"/>
        </w:rPr>
      </w:pPr>
    </w:p>
    <w:p w14:paraId="54DEF89B" w14:textId="5773A3AF" w:rsidR="00DD0E1A" w:rsidRPr="00BD42AF" w:rsidRDefault="009045D2" w:rsidP="00026049">
      <w:pPr>
        <w:pStyle w:val="Quote"/>
        <w:rPr>
          <w:lang w:val="en-GB"/>
        </w:rPr>
      </w:pPr>
      <w:r w:rsidRPr="00BD42AF">
        <w:rPr>
          <w:lang w:val="en-GB"/>
        </w:rPr>
        <w:t>G1- 2</w:t>
      </w:r>
      <w:r w:rsidR="00DD0E1A" w:rsidRPr="00BD42AF">
        <w:rPr>
          <w:lang w:val="en-GB"/>
        </w:rPr>
        <w:t>: “In previous placements, there’s been elements of doctors telling me that they do an examination a certain way different from me, and for me it doesn’t matter because they’re not asking</w:t>
      </w:r>
      <w:r w:rsidR="003668CC" w:rsidRPr="00BD42AF">
        <w:rPr>
          <w:lang w:val="en-GB"/>
        </w:rPr>
        <w:t xml:space="preserve"> for</w:t>
      </w:r>
      <w:r w:rsidR="00DD0E1A" w:rsidRPr="00BD42AF">
        <w:rPr>
          <w:lang w:val="en-GB"/>
        </w:rPr>
        <w:t xml:space="preserve"> my OSCE, I have to work to the mark scheme that the medical school has given me, so I don’t think that feedback is important, I stick to the med school scheme, at least for now. Everyone has their own way of doing things.”</w:t>
      </w:r>
    </w:p>
    <w:p w14:paraId="34B391C3" w14:textId="15E89BE1" w:rsidR="00DD0E1A" w:rsidRPr="00C71126" w:rsidRDefault="00525706" w:rsidP="00026049">
      <w:pPr>
        <w:pStyle w:val="Quote"/>
        <w:rPr>
          <w:lang w:val="en-GB"/>
        </w:rPr>
      </w:pPr>
      <w:r w:rsidRPr="001046E5">
        <w:rPr>
          <w:lang w:val="en-GB"/>
        </w:rPr>
        <w:t>FG4 - SRLF</w:t>
      </w:r>
      <w:r w:rsidR="00DD0E1A" w:rsidRPr="00C71126">
        <w:rPr>
          <w:lang w:val="en-GB"/>
        </w:rPr>
        <w:t xml:space="preserve"> </w:t>
      </w:r>
      <w:r w:rsidR="009045D2" w:rsidRPr="00C71126">
        <w:rPr>
          <w:lang w:val="en-GB"/>
        </w:rPr>
        <w:t>Student 2</w:t>
      </w:r>
      <w:r w:rsidR="00DD0E1A" w:rsidRPr="00C71126">
        <w:rPr>
          <w:lang w:val="en-GB"/>
        </w:rPr>
        <w:t>: “</w:t>
      </w:r>
      <w:r w:rsidR="00164ABE" w:rsidRPr="00C71126">
        <w:rPr>
          <w:lang w:val="en-GB"/>
        </w:rPr>
        <w:t>A</w:t>
      </w:r>
      <w:r w:rsidR="00DD0E1A" w:rsidRPr="00C71126">
        <w:rPr>
          <w:lang w:val="en-GB"/>
        </w:rPr>
        <w:t xml:space="preserve"> good example is the butterfly needle and the blue one, loads of doctors say use the blue on, but I find the butterfly a lot easier but I think that’s just because I’m a novice. So I’m going to ignore the feedback for a little while then I’m going to use the other one later so I guess I will come to my own conclusion about the feedback they give me. I know they’re right but for the minute I’m going to stick with what is working.”</w:t>
      </w:r>
    </w:p>
    <w:p w14:paraId="45D5C356" w14:textId="77777777" w:rsidR="00DD0E1A" w:rsidRPr="00C71126" w:rsidRDefault="00DD0E1A" w:rsidP="00026049">
      <w:pPr>
        <w:pStyle w:val="Normal1"/>
        <w:rPr>
          <w:lang w:val="en-GB"/>
        </w:rPr>
      </w:pPr>
    </w:p>
    <w:p w14:paraId="577366EB" w14:textId="1237FD8B" w:rsidR="00DD0E1A" w:rsidRPr="00B56453" w:rsidRDefault="00AE44CC" w:rsidP="00026049">
      <w:pPr>
        <w:pStyle w:val="Normal1"/>
        <w:rPr>
          <w:lang w:val="en-GB"/>
        </w:rPr>
      </w:pPr>
      <w:r w:rsidRPr="00C71126">
        <w:rPr>
          <w:lang w:val="en-GB"/>
        </w:rPr>
        <w:t>Many l</w:t>
      </w:r>
      <w:r w:rsidR="00F84F19" w:rsidRPr="00C71126">
        <w:rPr>
          <w:lang w:val="en-GB"/>
        </w:rPr>
        <w:t>earners</w:t>
      </w:r>
      <w:r w:rsidRPr="00C71126">
        <w:rPr>
          <w:lang w:val="en-GB"/>
        </w:rPr>
        <w:t xml:space="preserve"> expressed that they </w:t>
      </w:r>
      <w:r w:rsidR="00F84F19" w:rsidRPr="00C71126">
        <w:rPr>
          <w:lang w:val="en-GB"/>
        </w:rPr>
        <w:t>viewed</w:t>
      </w:r>
      <w:r w:rsidRPr="00521DE8">
        <w:rPr>
          <w:lang w:val="en-GB"/>
        </w:rPr>
        <w:t xml:space="preserve"> </w:t>
      </w:r>
      <w:r w:rsidR="00164ABE" w:rsidRPr="00521DE8">
        <w:rPr>
          <w:lang w:val="en-GB"/>
        </w:rPr>
        <w:t>younger doctors</w:t>
      </w:r>
      <w:r w:rsidR="00F84F19" w:rsidRPr="00521DE8">
        <w:rPr>
          <w:lang w:val="en-GB"/>
        </w:rPr>
        <w:t xml:space="preserve"> differently in terms of credibility, especially </w:t>
      </w:r>
      <w:r w:rsidRPr="00521DE8">
        <w:rPr>
          <w:lang w:val="en-GB"/>
        </w:rPr>
        <w:t xml:space="preserve">by </w:t>
      </w:r>
      <w:r w:rsidR="00164ABE" w:rsidRPr="00521DE8">
        <w:rPr>
          <w:lang w:val="en-GB"/>
        </w:rPr>
        <w:t>learners</w:t>
      </w:r>
      <w:r w:rsidR="00F84F19" w:rsidRPr="00FD5859">
        <w:rPr>
          <w:lang w:val="en-GB"/>
        </w:rPr>
        <w:t xml:space="preserve"> who wer</w:t>
      </w:r>
      <w:r w:rsidR="004765C8" w:rsidRPr="00B56453">
        <w:rPr>
          <w:lang w:val="en-GB"/>
        </w:rPr>
        <w:t>e focused upon assessments. Their feedback</w:t>
      </w:r>
      <w:r w:rsidR="00F84F19" w:rsidRPr="00B56453">
        <w:rPr>
          <w:lang w:val="en-GB"/>
        </w:rPr>
        <w:t xml:space="preserve"> </w:t>
      </w:r>
      <w:r w:rsidR="004765C8" w:rsidRPr="00B56453">
        <w:rPr>
          <w:lang w:val="en-GB"/>
        </w:rPr>
        <w:t>was</w:t>
      </w:r>
      <w:r w:rsidR="00F84F19" w:rsidRPr="00B56453">
        <w:rPr>
          <w:lang w:val="en-GB"/>
        </w:rPr>
        <w:t xml:space="preserve"> considered more useful to learners</w:t>
      </w:r>
      <w:r w:rsidR="00164ABE" w:rsidRPr="00B56453">
        <w:rPr>
          <w:lang w:val="en-GB"/>
        </w:rPr>
        <w:t xml:space="preserve"> in these cases</w:t>
      </w:r>
      <w:r w:rsidRPr="00B56453">
        <w:rPr>
          <w:lang w:val="en-GB"/>
        </w:rPr>
        <w:t>, the common justification for this was</w:t>
      </w:r>
      <w:r w:rsidR="00F84F19" w:rsidRPr="00B56453">
        <w:rPr>
          <w:lang w:val="en-GB"/>
        </w:rPr>
        <w:t xml:space="preserve"> </w:t>
      </w:r>
      <w:r w:rsidR="008F479D" w:rsidRPr="00B56453">
        <w:rPr>
          <w:lang w:val="en-GB"/>
        </w:rPr>
        <w:t>because</w:t>
      </w:r>
      <w:r w:rsidR="00F84F19" w:rsidRPr="00B56453">
        <w:rPr>
          <w:lang w:val="en-GB"/>
        </w:rPr>
        <w:t xml:space="preserve"> of their comparative stage of development</w:t>
      </w:r>
      <w:r w:rsidRPr="00B56453">
        <w:rPr>
          <w:lang w:val="en-GB"/>
        </w:rPr>
        <w:t xml:space="preserve"> in comparison to the more advanced level consultants</w:t>
      </w:r>
      <w:r w:rsidR="00F84F19" w:rsidRPr="00B56453">
        <w:rPr>
          <w:lang w:val="en-GB"/>
        </w:rPr>
        <w:t>.</w:t>
      </w:r>
    </w:p>
    <w:p w14:paraId="67EBADB2" w14:textId="77777777" w:rsidR="00DD0E1A" w:rsidRPr="00B56453" w:rsidRDefault="00DD0E1A" w:rsidP="00026049">
      <w:pPr>
        <w:pStyle w:val="Normal1"/>
        <w:rPr>
          <w:lang w:val="en-GB"/>
        </w:rPr>
      </w:pPr>
    </w:p>
    <w:p w14:paraId="063DA3F7" w14:textId="3D20D049" w:rsidR="00DD0E1A" w:rsidRPr="00B56453" w:rsidRDefault="00525706" w:rsidP="00026049">
      <w:pPr>
        <w:pStyle w:val="Quote"/>
        <w:rPr>
          <w:lang w:val="en-GB"/>
        </w:rPr>
      </w:pPr>
      <w:r w:rsidRPr="00B56453">
        <w:rPr>
          <w:lang w:val="en-GB"/>
        </w:rPr>
        <w:t>FG5 - SRLF</w:t>
      </w:r>
      <w:r w:rsidR="00DD0E1A" w:rsidRPr="00B56453">
        <w:rPr>
          <w:lang w:val="en-GB"/>
        </w:rPr>
        <w:t xml:space="preserve"> </w:t>
      </w:r>
      <w:r w:rsidR="009045D2" w:rsidRPr="00B56453">
        <w:rPr>
          <w:lang w:val="en-GB"/>
        </w:rPr>
        <w:t>Student 5</w:t>
      </w:r>
      <w:r w:rsidR="00DD0E1A" w:rsidRPr="00B56453">
        <w:rPr>
          <w:lang w:val="en-GB"/>
        </w:rPr>
        <w:t>: “we actually have a consultant on this ward who gives us feedback which seems more relevant for passing our exams and doing examinations with him the med school way but then sometimes we get taught stuff by consultants and it’s not what I need right now but F1’s will be giving much more relevant information which is for the course. It’s valuable.”</w:t>
      </w:r>
    </w:p>
    <w:p w14:paraId="130016B0" w14:textId="597057E0" w:rsidR="00DD0E1A" w:rsidRPr="00B56453" w:rsidRDefault="009045D2" w:rsidP="00026049">
      <w:pPr>
        <w:pStyle w:val="Quote"/>
        <w:rPr>
          <w:lang w:val="en-GB"/>
        </w:rPr>
      </w:pPr>
      <w:r w:rsidRPr="00B56453">
        <w:rPr>
          <w:lang w:val="en-GB"/>
        </w:rPr>
        <w:t>G8 - 2</w:t>
      </w:r>
      <w:r w:rsidR="00DD0E1A" w:rsidRPr="00B56453">
        <w:rPr>
          <w:lang w:val="en-GB"/>
        </w:rPr>
        <w:t>: “</w:t>
      </w:r>
      <w:r w:rsidR="00164ABE" w:rsidRPr="00B56453">
        <w:rPr>
          <w:lang w:val="en-GB"/>
        </w:rPr>
        <w:t>I</w:t>
      </w:r>
      <w:r w:rsidR="00DD0E1A" w:rsidRPr="00B56453">
        <w:rPr>
          <w:lang w:val="en-GB"/>
        </w:rPr>
        <w:t>f I get F1s who are Sheffield graduates because they know the routine. They know that we need certain forms signing and what we’re supposed to be doing at this stage whereas a lot of the consultants don’t actually know what we need to do or what we’re allowed to do.”</w:t>
      </w:r>
    </w:p>
    <w:p w14:paraId="14E97BB1" w14:textId="77777777" w:rsidR="002B44DA" w:rsidRPr="00B56453" w:rsidRDefault="002B44DA" w:rsidP="00026049">
      <w:pPr>
        <w:pStyle w:val="Normal1"/>
        <w:rPr>
          <w:lang w:val="en-GB"/>
        </w:rPr>
      </w:pPr>
    </w:p>
    <w:p w14:paraId="4D83474F" w14:textId="77777777" w:rsidR="00B716CC" w:rsidRPr="00B56453" w:rsidRDefault="00B716CC">
      <w:pPr>
        <w:rPr>
          <w:rFonts w:eastAsia="Lucida Sans Unicode" w:cs="Mangal"/>
          <w:kern w:val="1"/>
          <w:szCs w:val="24"/>
          <w:lang w:eastAsia="hi-IN" w:bidi="hi-IN"/>
        </w:rPr>
      </w:pPr>
      <w:r w:rsidRPr="00B56453">
        <w:br w:type="page"/>
      </w:r>
    </w:p>
    <w:p w14:paraId="47245AC0" w14:textId="7D2D4A2B" w:rsidR="00B27A8D" w:rsidRPr="00B56453" w:rsidRDefault="008F3BD7" w:rsidP="00026049">
      <w:pPr>
        <w:pStyle w:val="Normal1"/>
        <w:rPr>
          <w:lang w:val="en-GB"/>
        </w:rPr>
      </w:pPr>
      <w:r w:rsidRPr="00B56453">
        <w:rPr>
          <w:lang w:val="en-GB"/>
        </w:rPr>
        <w:lastRenderedPageBreak/>
        <w:t xml:space="preserve">A </w:t>
      </w:r>
      <w:r w:rsidR="008F479D" w:rsidRPr="00B56453">
        <w:rPr>
          <w:lang w:val="en-GB"/>
        </w:rPr>
        <w:t>moderately strong</w:t>
      </w:r>
      <w:r w:rsidR="002B44DA" w:rsidRPr="00B56453">
        <w:rPr>
          <w:lang w:val="en-GB"/>
        </w:rPr>
        <w:t xml:space="preserve"> </w:t>
      </w:r>
      <w:r w:rsidRPr="00B56453">
        <w:rPr>
          <w:lang w:val="en-GB"/>
        </w:rPr>
        <w:t>link</w:t>
      </w:r>
      <w:r w:rsidR="002B44DA" w:rsidRPr="00B56453">
        <w:rPr>
          <w:lang w:val="en-GB"/>
        </w:rPr>
        <w:t xml:space="preserve"> w</w:t>
      </w:r>
      <w:r w:rsidRPr="00B56453">
        <w:rPr>
          <w:lang w:val="en-GB"/>
        </w:rPr>
        <w:t>as</w:t>
      </w:r>
      <w:r w:rsidR="002B44DA" w:rsidRPr="00B56453">
        <w:rPr>
          <w:lang w:val="en-GB"/>
        </w:rPr>
        <w:t xml:space="preserve"> identified between the supportive and </w:t>
      </w:r>
      <w:r w:rsidR="00B27A8D" w:rsidRPr="00B56453">
        <w:rPr>
          <w:lang w:val="en-GB"/>
        </w:rPr>
        <w:t>lear</w:t>
      </w:r>
      <w:r w:rsidR="00164ABE" w:rsidRPr="00B56453">
        <w:rPr>
          <w:lang w:val="en-GB"/>
        </w:rPr>
        <w:t>ning priorities themes. Learner</w:t>
      </w:r>
      <w:r w:rsidR="00B27A8D" w:rsidRPr="00B56453">
        <w:rPr>
          <w:lang w:val="en-GB"/>
        </w:rPr>
        <w:t>s</w:t>
      </w:r>
      <w:r w:rsidR="00164ABE" w:rsidRPr="00B56453">
        <w:rPr>
          <w:lang w:val="en-GB"/>
        </w:rPr>
        <w:t>’</w:t>
      </w:r>
      <w:r w:rsidR="00B27A8D" w:rsidRPr="00B56453">
        <w:rPr>
          <w:lang w:val="en-GB"/>
        </w:rPr>
        <w:t xml:space="preserve"> perceptions of their learning priorities influenced how they in turn perceived the role of the supervisor in feedback, in both positive and negative lights and in terms of whose responsibility it was to develop that relationship according to learning priorities.  </w:t>
      </w:r>
    </w:p>
    <w:p w14:paraId="7D2C92CB" w14:textId="77777777" w:rsidR="00B27A8D" w:rsidRPr="00B56453" w:rsidRDefault="00B27A8D" w:rsidP="00026049">
      <w:pPr>
        <w:pStyle w:val="Normal1"/>
        <w:rPr>
          <w:lang w:val="en-GB"/>
        </w:rPr>
      </w:pPr>
    </w:p>
    <w:p w14:paraId="6798C41F" w14:textId="503DC263" w:rsidR="00B27A8D" w:rsidRPr="00B56453" w:rsidRDefault="009045D2" w:rsidP="00026049">
      <w:pPr>
        <w:pStyle w:val="Quote"/>
        <w:rPr>
          <w:lang w:val="en-GB"/>
        </w:rPr>
      </w:pPr>
      <w:r w:rsidRPr="00B56453">
        <w:rPr>
          <w:lang w:val="en-GB"/>
        </w:rPr>
        <w:t>G2 - 1</w:t>
      </w:r>
      <w:r w:rsidR="00B27A8D" w:rsidRPr="00B56453">
        <w:rPr>
          <w:lang w:val="en-GB"/>
        </w:rPr>
        <w:t xml:space="preserve">: </w:t>
      </w:r>
      <w:r w:rsidR="008F3BD7" w:rsidRPr="00B56453">
        <w:rPr>
          <w:lang w:val="en-GB"/>
        </w:rPr>
        <w:t>“</w:t>
      </w:r>
      <w:r w:rsidR="00164ABE" w:rsidRPr="00B56453">
        <w:rPr>
          <w:lang w:val="en-GB"/>
        </w:rPr>
        <w:t>I</w:t>
      </w:r>
      <w:r w:rsidR="00B27A8D" w:rsidRPr="00B56453">
        <w:rPr>
          <w:lang w:val="en-GB"/>
        </w:rPr>
        <w:t>f they’ve spent some time with me and know how I think they can give more personalised feedback rather than generic med school student feedback, that’s always useful, rather than spending 5 minutes on ward round with them or a two hour clinic, they can see how I work and what level I am and what I need to improve upon rather than two questions to ask me and everyone else.</w:t>
      </w:r>
      <w:r w:rsidR="008F3BD7" w:rsidRPr="00B56453">
        <w:rPr>
          <w:lang w:val="en-GB"/>
        </w:rPr>
        <w:t>”</w:t>
      </w:r>
    </w:p>
    <w:p w14:paraId="5DDC3482" w14:textId="68EB3E7C" w:rsidR="006F4901" w:rsidRPr="00B56453" w:rsidRDefault="00525706" w:rsidP="00026049">
      <w:pPr>
        <w:pStyle w:val="Quote"/>
        <w:rPr>
          <w:lang w:val="en-GB"/>
        </w:rPr>
      </w:pPr>
      <w:r w:rsidRPr="00B56453">
        <w:rPr>
          <w:lang w:val="en-GB"/>
        </w:rPr>
        <w:t>FG2 - SRLF</w:t>
      </w:r>
      <w:r w:rsidR="00B27A8D" w:rsidRPr="00B56453">
        <w:rPr>
          <w:lang w:val="en-GB"/>
        </w:rPr>
        <w:t xml:space="preserve"> </w:t>
      </w:r>
      <w:r w:rsidR="00632B0D" w:rsidRPr="00B56453">
        <w:rPr>
          <w:lang w:val="en-GB"/>
        </w:rPr>
        <w:t>Student 2</w:t>
      </w:r>
      <w:r w:rsidR="00B27A8D" w:rsidRPr="00B56453">
        <w:rPr>
          <w:lang w:val="en-GB"/>
        </w:rPr>
        <w:t xml:space="preserve">: </w:t>
      </w:r>
      <w:r w:rsidR="008F3BD7" w:rsidRPr="00B56453">
        <w:rPr>
          <w:lang w:val="en-GB"/>
        </w:rPr>
        <w:t>“</w:t>
      </w:r>
      <w:r w:rsidR="00164ABE" w:rsidRPr="00B56453">
        <w:rPr>
          <w:lang w:val="en-GB"/>
        </w:rPr>
        <w:t>O</w:t>
      </w:r>
      <w:r w:rsidR="00B27A8D" w:rsidRPr="00B56453">
        <w:rPr>
          <w:lang w:val="en-GB"/>
        </w:rPr>
        <w:t xml:space="preserve">ne of our consultants who we’re assigned to, we’ve been here for a week and a half, we just saw him for the first time yesterday and when we introduced ourselves he said he’s not teaching and he </w:t>
      </w:r>
      <w:r w:rsidR="008F479D" w:rsidRPr="00B56453">
        <w:rPr>
          <w:lang w:val="en-GB"/>
        </w:rPr>
        <w:t>won’t</w:t>
      </w:r>
      <w:r w:rsidR="00B27A8D" w:rsidRPr="00B56453">
        <w:rPr>
          <w:lang w:val="en-GB"/>
        </w:rPr>
        <w:t xml:space="preserve"> be there for the rest of the week. It just shows… we’re there dumbfounded, what are we supposed to do, we’re here to learn as much as we can, </w:t>
      </w:r>
      <w:r w:rsidR="008F479D" w:rsidRPr="00B56453">
        <w:rPr>
          <w:lang w:val="en-GB"/>
        </w:rPr>
        <w:t>and it’s</w:t>
      </w:r>
      <w:r w:rsidR="00B27A8D" w:rsidRPr="00B56453">
        <w:rPr>
          <w:lang w:val="en-GB"/>
        </w:rPr>
        <w:t xml:space="preserve"> difficult for us. It varies on the ward as well and the consultant. They could just reach out to us and it’d make a big difference.</w:t>
      </w:r>
      <w:r w:rsidR="008F3BD7" w:rsidRPr="00B56453">
        <w:rPr>
          <w:lang w:val="en-GB"/>
        </w:rPr>
        <w:t>”</w:t>
      </w:r>
      <w:r w:rsidR="00B27A8D" w:rsidRPr="00B56453">
        <w:rPr>
          <w:lang w:val="en-GB"/>
        </w:rPr>
        <w:t xml:space="preserve"> </w:t>
      </w:r>
    </w:p>
    <w:p w14:paraId="724C1697" w14:textId="77777777" w:rsidR="006F4901" w:rsidRPr="00B56453" w:rsidRDefault="006F4901" w:rsidP="00026049">
      <w:pPr>
        <w:pStyle w:val="Normal1"/>
        <w:rPr>
          <w:lang w:val="en-GB"/>
        </w:rPr>
      </w:pPr>
    </w:p>
    <w:p w14:paraId="56BFE44A" w14:textId="4BE096C2" w:rsidR="006F4901" w:rsidRPr="00B56453" w:rsidRDefault="00A6178B" w:rsidP="00026049">
      <w:pPr>
        <w:pStyle w:val="Normal1"/>
        <w:rPr>
          <w:lang w:val="en-GB"/>
        </w:rPr>
      </w:pPr>
      <w:r w:rsidRPr="00B56453">
        <w:rPr>
          <w:lang w:val="en-GB"/>
        </w:rPr>
        <w:t>In s</w:t>
      </w:r>
      <w:r w:rsidR="00AE44CC" w:rsidRPr="00B56453">
        <w:rPr>
          <w:lang w:val="en-GB"/>
        </w:rPr>
        <w:t>ome</w:t>
      </w:r>
      <w:r w:rsidRPr="00B56453">
        <w:rPr>
          <w:lang w:val="en-GB"/>
        </w:rPr>
        <w:t xml:space="preserve"> cases,</w:t>
      </w:r>
      <w:r w:rsidR="00AE44CC" w:rsidRPr="00B56453">
        <w:rPr>
          <w:lang w:val="en-GB"/>
        </w:rPr>
        <w:t xml:space="preserve"> learners perceived difficulties when their relationship with supervisors was too relaxed</w:t>
      </w:r>
      <w:r w:rsidR="008F3BD7" w:rsidRPr="00B56453">
        <w:rPr>
          <w:lang w:val="en-GB"/>
        </w:rPr>
        <w:t xml:space="preserve">, leading to </w:t>
      </w:r>
      <w:r w:rsidR="00C15036" w:rsidRPr="00B56453">
        <w:rPr>
          <w:lang w:val="en-GB"/>
        </w:rPr>
        <w:t>the feedback experienced being perceived differently</w:t>
      </w:r>
      <w:r w:rsidRPr="00B56453">
        <w:rPr>
          <w:lang w:val="en-GB"/>
        </w:rPr>
        <w:t>.</w:t>
      </w:r>
    </w:p>
    <w:p w14:paraId="6C0B99A9" w14:textId="77777777" w:rsidR="006F4901" w:rsidRPr="00B56453" w:rsidRDefault="006F4901" w:rsidP="00026049">
      <w:pPr>
        <w:pStyle w:val="Normal1"/>
        <w:rPr>
          <w:lang w:val="en-GB"/>
        </w:rPr>
      </w:pPr>
    </w:p>
    <w:p w14:paraId="57E67D43" w14:textId="0EFB97B7" w:rsidR="00D64331" w:rsidRPr="00B56453" w:rsidRDefault="009045D2" w:rsidP="00026049">
      <w:pPr>
        <w:pStyle w:val="Quote"/>
        <w:rPr>
          <w:lang w:val="en-GB"/>
        </w:rPr>
      </w:pPr>
      <w:r w:rsidRPr="00B56453">
        <w:rPr>
          <w:lang w:val="en-GB"/>
        </w:rPr>
        <w:t>G2 - 2</w:t>
      </w:r>
      <w:r w:rsidR="006F4901" w:rsidRPr="00B56453">
        <w:rPr>
          <w:lang w:val="en-GB"/>
        </w:rPr>
        <w:t xml:space="preserve">: </w:t>
      </w:r>
      <w:r w:rsidR="008F3BD7" w:rsidRPr="00B56453">
        <w:rPr>
          <w:lang w:val="en-GB"/>
        </w:rPr>
        <w:t>“</w:t>
      </w:r>
      <w:r w:rsidR="006F4901" w:rsidRPr="00B56453">
        <w:rPr>
          <w:lang w:val="en-GB"/>
        </w:rPr>
        <w:t xml:space="preserve">It also depends on my relationship with the junior doctor I’ve been shadowing. This attachment I felt like I was friends with them so it felt relaxed which is really good. I felt like I could present to them. But I feel like I lose a skill when it’s so informal, I become a bit lazy in presenting my history because it feels like a friendly chat, then they’re to really bothered about giving feedback, just to say </w:t>
      </w:r>
      <w:r w:rsidR="00B56453" w:rsidRPr="00B56453">
        <w:rPr>
          <w:lang w:val="en-GB"/>
        </w:rPr>
        <w:t>it’s</w:t>
      </w:r>
      <w:r w:rsidR="006F4901" w:rsidRPr="00B56453">
        <w:rPr>
          <w:lang w:val="en-GB"/>
        </w:rPr>
        <w:t xml:space="preserve"> fine and have a chat. That can be good because I feel relaxed and able to share and things but there’s definitely a limitation to it, it’s good to have formal feedback because I know I’m getting a good level of anxiousness in that I want to present this well</w:t>
      </w:r>
      <w:r w:rsidR="008F3BD7" w:rsidRPr="00B56453">
        <w:rPr>
          <w:lang w:val="en-GB"/>
        </w:rPr>
        <w:t>”</w:t>
      </w:r>
    </w:p>
    <w:p w14:paraId="5765B172" w14:textId="77777777" w:rsidR="00A6178B" w:rsidRPr="00B56453" w:rsidRDefault="00A6178B" w:rsidP="00026049">
      <w:pPr>
        <w:pStyle w:val="Normal1"/>
        <w:rPr>
          <w:lang w:val="en-GB"/>
        </w:rPr>
      </w:pPr>
    </w:p>
    <w:p w14:paraId="57CC2D93" w14:textId="49A681F9" w:rsidR="005F4B5D" w:rsidRPr="00B56453" w:rsidRDefault="00B529F8" w:rsidP="00026049">
      <w:pPr>
        <w:pStyle w:val="Normal1"/>
        <w:rPr>
          <w:lang w:val="en-GB"/>
        </w:rPr>
      </w:pPr>
      <w:r w:rsidRPr="00B56453">
        <w:rPr>
          <w:lang w:val="en-GB"/>
        </w:rPr>
        <w:t>Some learners were cognisant of an effect</w:t>
      </w:r>
      <w:r w:rsidR="001A61B4" w:rsidRPr="00B56453">
        <w:rPr>
          <w:lang w:val="en-GB"/>
        </w:rPr>
        <w:t xml:space="preserve"> between their priorities and their self-evaluative processes. This manifested as a self-awareness of their learning needs which had a subsequent impact upon their perspectives of feedback needs.</w:t>
      </w:r>
    </w:p>
    <w:p w14:paraId="4EFD3572" w14:textId="77777777" w:rsidR="005F4B5D" w:rsidRPr="00B56453" w:rsidRDefault="005F4B5D" w:rsidP="00026049">
      <w:pPr>
        <w:pStyle w:val="Normal1"/>
        <w:rPr>
          <w:lang w:val="en-GB"/>
        </w:rPr>
      </w:pPr>
    </w:p>
    <w:p w14:paraId="08FFC8EF" w14:textId="491D9BE3" w:rsidR="005F4B5D" w:rsidRPr="00B56453" w:rsidRDefault="00525706" w:rsidP="00026049">
      <w:pPr>
        <w:pStyle w:val="Quote"/>
        <w:rPr>
          <w:lang w:val="en-GB"/>
        </w:rPr>
      </w:pPr>
      <w:r w:rsidRPr="00B56453">
        <w:rPr>
          <w:lang w:val="en-GB"/>
        </w:rPr>
        <w:t>FG5 - SRLF</w:t>
      </w:r>
      <w:r w:rsidR="005F4B5D" w:rsidRPr="00B56453">
        <w:rPr>
          <w:lang w:val="en-GB"/>
        </w:rPr>
        <w:t xml:space="preserve"> </w:t>
      </w:r>
      <w:r w:rsidR="00632B0D" w:rsidRPr="00B56453">
        <w:rPr>
          <w:lang w:val="en-GB"/>
        </w:rPr>
        <w:t xml:space="preserve">Student </w:t>
      </w:r>
      <w:r w:rsidR="00C50E54" w:rsidRPr="00B56453">
        <w:rPr>
          <w:lang w:val="en-GB"/>
        </w:rPr>
        <w:t>2</w:t>
      </w:r>
      <w:r w:rsidR="00B716CC" w:rsidRPr="00B56453">
        <w:rPr>
          <w:lang w:val="en-GB"/>
        </w:rPr>
        <w:t>: “I</w:t>
      </w:r>
      <w:r w:rsidR="005F4B5D" w:rsidRPr="00B56453">
        <w:rPr>
          <w:lang w:val="en-GB"/>
        </w:rPr>
        <w:t>t’s a lot easier to take feedback when you know what you’re supposed to be getting feedback on, we know roughly what we’re supposed to be doing in our OSCE and so we know we’ll be getting exam and practical advice, we know how to take it.</w:t>
      </w:r>
      <w:r w:rsidR="00B716CC" w:rsidRPr="00B56453">
        <w:rPr>
          <w:lang w:val="en-GB"/>
        </w:rPr>
        <w:t>”</w:t>
      </w:r>
    </w:p>
    <w:p w14:paraId="309A9005" w14:textId="14E2ED09" w:rsidR="005F4B5D" w:rsidRPr="00B56453" w:rsidRDefault="00525706" w:rsidP="00026049">
      <w:pPr>
        <w:pStyle w:val="Quote"/>
        <w:rPr>
          <w:lang w:val="en-GB"/>
        </w:rPr>
      </w:pPr>
      <w:r w:rsidRPr="00B56453">
        <w:rPr>
          <w:lang w:val="en-GB"/>
        </w:rPr>
        <w:t>FG3 - BPF</w:t>
      </w:r>
      <w:r w:rsidR="005F4B5D" w:rsidRPr="00B56453">
        <w:rPr>
          <w:lang w:val="en-GB"/>
        </w:rPr>
        <w:t xml:space="preserve"> </w:t>
      </w:r>
      <w:r w:rsidR="00632B0D" w:rsidRPr="00B56453">
        <w:rPr>
          <w:lang w:val="en-GB"/>
        </w:rPr>
        <w:t>Student 10</w:t>
      </w:r>
      <w:r w:rsidR="005F4B5D" w:rsidRPr="00B56453">
        <w:rPr>
          <w:lang w:val="en-GB"/>
        </w:rPr>
        <w:t xml:space="preserve">: </w:t>
      </w:r>
      <w:r w:rsidR="00B716CC" w:rsidRPr="00B56453">
        <w:rPr>
          <w:lang w:val="en-GB"/>
        </w:rPr>
        <w:t>“S</w:t>
      </w:r>
      <w:r w:rsidR="005F4B5D" w:rsidRPr="00B56453">
        <w:rPr>
          <w:lang w:val="en-GB"/>
        </w:rPr>
        <w:t>ometimes we get constant feedback because if you’ve got someone over you whilst you’re doing something like an examination or a clinical skill it might give you tips and tricks as you’re going through to help you get a hold of it and it’s important to take it on board even if you are trying to concentrate so it’s not something… so it’s not like “now you’re finished its time to start scrutinising you” it’s something you’ve got to take on board while you’re doing it and you’ve got to realise where you’re going wrong yourself as well and be able to self-evaluate and it’s a constant process not just something that’s at the end of the day.</w:t>
      </w:r>
      <w:r w:rsidR="00B716CC" w:rsidRPr="00B56453">
        <w:rPr>
          <w:lang w:val="en-GB"/>
        </w:rPr>
        <w:t>”</w:t>
      </w:r>
    </w:p>
    <w:p w14:paraId="13795D07" w14:textId="77777777" w:rsidR="00F90C75" w:rsidRPr="00B56453" w:rsidRDefault="00F90C75" w:rsidP="00026049">
      <w:pPr>
        <w:pStyle w:val="Normal1"/>
        <w:rPr>
          <w:lang w:val="en-GB"/>
        </w:rPr>
      </w:pPr>
    </w:p>
    <w:p w14:paraId="5F3A8518" w14:textId="3C442748" w:rsidR="00F90C75" w:rsidRPr="00B56453" w:rsidRDefault="00F90C75" w:rsidP="00026049">
      <w:pPr>
        <w:pStyle w:val="Normal1"/>
        <w:rPr>
          <w:lang w:val="en-GB"/>
        </w:rPr>
      </w:pPr>
      <w:r w:rsidRPr="00B56453">
        <w:rPr>
          <w:lang w:val="en-GB"/>
        </w:rPr>
        <w:t xml:space="preserve">Another minor two-way link emerged between the confidence and self-evaluation themes. </w:t>
      </w:r>
      <w:r w:rsidR="00AC600C" w:rsidRPr="00B56453">
        <w:rPr>
          <w:lang w:val="en-GB"/>
        </w:rPr>
        <w:t>There were some learners who described their understanding of feedback in relation to their goals and their confidence in achieving those goals. These both related to the relationship between the feedback and their self-perceptions.</w:t>
      </w:r>
    </w:p>
    <w:p w14:paraId="14AC9C50" w14:textId="77777777" w:rsidR="00F90C75" w:rsidRPr="00B56453" w:rsidRDefault="00F90C75" w:rsidP="00026049">
      <w:pPr>
        <w:pStyle w:val="Normal1"/>
        <w:rPr>
          <w:lang w:val="en-GB"/>
        </w:rPr>
      </w:pPr>
    </w:p>
    <w:p w14:paraId="028093E6" w14:textId="46CE0466" w:rsidR="00F90C75" w:rsidRPr="00B56453" w:rsidRDefault="00525706" w:rsidP="00026049">
      <w:pPr>
        <w:pStyle w:val="Quote"/>
        <w:rPr>
          <w:lang w:val="en-GB"/>
        </w:rPr>
      </w:pPr>
      <w:r w:rsidRPr="00B56453">
        <w:rPr>
          <w:lang w:val="en-GB"/>
        </w:rPr>
        <w:t>FG5 - SRLF</w:t>
      </w:r>
      <w:r w:rsidR="00F90C75" w:rsidRPr="00B56453">
        <w:rPr>
          <w:lang w:val="en-GB"/>
        </w:rPr>
        <w:t xml:space="preserve"> </w:t>
      </w:r>
      <w:r w:rsidR="00632B0D" w:rsidRPr="00B56453">
        <w:rPr>
          <w:b/>
          <w:bCs/>
          <w:lang w:val="en-GB"/>
        </w:rPr>
        <w:t xml:space="preserve">Student </w:t>
      </w:r>
      <w:r w:rsidR="00C50E54" w:rsidRPr="00B56453">
        <w:rPr>
          <w:b/>
          <w:bCs/>
          <w:lang w:val="en-GB"/>
        </w:rPr>
        <w:t>5</w:t>
      </w:r>
      <w:r w:rsidR="00F90C75" w:rsidRPr="00B56453">
        <w:rPr>
          <w:b/>
          <w:bCs/>
          <w:lang w:val="en-GB"/>
        </w:rPr>
        <w:t>:</w:t>
      </w:r>
      <w:r w:rsidR="00F90C75" w:rsidRPr="00B56453">
        <w:rPr>
          <w:lang w:val="en-GB"/>
        </w:rPr>
        <w:t xml:space="preserve"> </w:t>
      </w:r>
      <w:r w:rsidR="00B716CC" w:rsidRPr="00B56453">
        <w:rPr>
          <w:lang w:val="en-GB"/>
        </w:rPr>
        <w:t>“Y</w:t>
      </w:r>
      <w:r w:rsidR="00F90C75" w:rsidRPr="00B56453">
        <w:rPr>
          <w:lang w:val="en-GB"/>
        </w:rPr>
        <w:t>ou actually need this feedback at the moment, you really do need it to be a doctor</w:t>
      </w:r>
      <w:r w:rsidR="00B716CC" w:rsidRPr="00B56453">
        <w:rPr>
          <w:lang w:val="en-GB"/>
        </w:rPr>
        <w:t>.”</w:t>
      </w:r>
      <w:r w:rsidR="00F90C75" w:rsidRPr="00B56453">
        <w:rPr>
          <w:lang w:val="en-GB"/>
        </w:rPr>
        <w:br/>
      </w:r>
      <w:r w:rsidR="00632B0D" w:rsidRPr="00B56453">
        <w:rPr>
          <w:b/>
          <w:bCs/>
          <w:lang w:val="en-GB"/>
        </w:rPr>
        <w:t>Student 1</w:t>
      </w:r>
      <w:r w:rsidR="00F90C75" w:rsidRPr="00B56453">
        <w:rPr>
          <w:b/>
          <w:bCs/>
          <w:lang w:val="en-GB"/>
        </w:rPr>
        <w:t>:</w:t>
      </w:r>
      <w:r w:rsidR="00F90C75" w:rsidRPr="00B56453">
        <w:rPr>
          <w:lang w:val="en-GB"/>
        </w:rPr>
        <w:t xml:space="preserve"> </w:t>
      </w:r>
      <w:r w:rsidR="00B716CC" w:rsidRPr="00B56453">
        <w:rPr>
          <w:lang w:val="en-GB"/>
        </w:rPr>
        <w:t>“Y</w:t>
      </w:r>
      <w:r w:rsidR="00F90C75" w:rsidRPr="00B56453">
        <w:rPr>
          <w:lang w:val="en-GB"/>
        </w:rPr>
        <w:t>eah you’re happier to accept negative feedback, at the start of medical school you just don’t want people to tell you that you aren’t rubbish</w:t>
      </w:r>
      <w:r w:rsidR="00B716CC" w:rsidRPr="00B56453">
        <w:rPr>
          <w:lang w:val="en-GB"/>
        </w:rPr>
        <w:t>.”</w:t>
      </w:r>
      <w:r w:rsidR="00F90C75" w:rsidRPr="00B56453">
        <w:rPr>
          <w:lang w:val="en-GB"/>
        </w:rPr>
        <w:br/>
      </w:r>
      <w:r w:rsidR="00632B0D" w:rsidRPr="00B56453">
        <w:rPr>
          <w:b/>
          <w:bCs/>
          <w:lang w:val="en-GB"/>
        </w:rPr>
        <w:t>Student 4</w:t>
      </w:r>
      <w:r w:rsidR="00F90C75" w:rsidRPr="00B56453">
        <w:rPr>
          <w:b/>
          <w:bCs/>
          <w:lang w:val="en-GB"/>
        </w:rPr>
        <w:t>:</w:t>
      </w:r>
      <w:r w:rsidR="00B716CC" w:rsidRPr="00B56453">
        <w:rPr>
          <w:lang w:val="en-GB"/>
        </w:rPr>
        <w:t xml:space="preserve"> “Y</w:t>
      </w:r>
      <w:r w:rsidR="00F90C75" w:rsidRPr="00B56453">
        <w:rPr>
          <w:lang w:val="en-GB"/>
        </w:rPr>
        <w:t>ou need the confidence, but now… we’re all high achievers and we’re not going to be the best anymore but we need feedback to improve.</w:t>
      </w:r>
      <w:r w:rsidR="00B716CC" w:rsidRPr="00B56453">
        <w:rPr>
          <w:lang w:val="en-GB"/>
        </w:rPr>
        <w:t>”</w:t>
      </w:r>
    </w:p>
    <w:p w14:paraId="01F1CA7A" w14:textId="7FF080E6" w:rsidR="00F90C75" w:rsidRPr="00B56453" w:rsidRDefault="009045D2" w:rsidP="00026049">
      <w:pPr>
        <w:pStyle w:val="Quote"/>
        <w:rPr>
          <w:lang w:val="en-GB"/>
        </w:rPr>
      </w:pPr>
      <w:r w:rsidRPr="00B56453">
        <w:rPr>
          <w:lang w:val="en-GB"/>
        </w:rPr>
        <w:t>G8 - 2</w:t>
      </w:r>
      <w:r w:rsidR="00F90C75" w:rsidRPr="00B56453">
        <w:rPr>
          <w:lang w:val="en-GB"/>
        </w:rPr>
        <w:t xml:space="preserve">: </w:t>
      </w:r>
      <w:r w:rsidR="00B716CC" w:rsidRPr="00B56453">
        <w:rPr>
          <w:lang w:val="en-GB"/>
        </w:rPr>
        <w:t>“</w:t>
      </w:r>
      <w:r w:rsidR="00F90C75" w:rsidRPr="00B56453">
        <w:rPr>
          <w:lang w:val="en-GB"/>
        </w:rPr>
        <w:t>I just put it in different places. I’d still take note of their feedback if a consultant tells me to do a specific thing I note it down like I do with everything on placement, I can read those back, I do have to take things with a pinch of salt, have a good idea of what I need to do. Some people get feedback from consultants and think they need to learn ridiculous things from loads of books. Whereas if I know what I need to do I can use the feedback and categorise as something I need to know now or write it down for later.</w:t>
      </w:r>
      <w:r w:rsidR="00B716CC" w:rsidRPr="00B56453">
        <w:rPr>
          <w:lang w:val="en-GB"/>
        </w:rPr>
        <w:t>”</w:t>
      </w:r>
    </w:p>
    <w:p w14:paraId="6413696D" w14:textId="77777777" w:rsidR="00A33B65" w:rsidRPr="00B56453" w:rsidRDefault="00A33B65" w:rsidP="00026049">
      <w:pPr>
        <w:pStyle w:val="Normal1"/>
        <w:rPr>
          <w:lang w:val="en-GB"/>
        </w:rPr>
      </w:pPr>
    </w:p>
    <w:p w14:paraId="1110F15A" w14:textId="157074E3" w:rsidR="00737902" w:rsidRPr="00B56453" w:rsidRDefault="00A6178B" w:rsidP="00026049">
      <w:pPr>
        <w:pStyle w:val="Normal1"/>
        <w:rPr>
          <w:lang w:val="en-GB"/>
        </w:rPr>
      </w:pPr>
      <w:r w:rsidRPr="00B56453">
        <w:rPr>
          <w:lang w:val="en-GB"/>
        </w:rPr>
        <w:lastRenderedPageBreak/>
        <w:t>Learners</w:t>
      </w:r>
      <w:r w:rsidR="00A33B65" w:rsidRPr="00B56453">
        <w:rPr>
          <w:lang w:val="en-GB"/>
        </w:rPr>
        <w:t xml:space="preserve"> identified the </w:t>
      </w:r>
      <w:r w:rsidR="00E81F79" w:rsidRPr="00B56453">
        <w:rPr>
          <w:lang w:val="en-GB"/>
        </w:rPr>
        <w:t xml:space="preserve">significant </w:t>
      </w:r>
      <w:r w:rsidR="00A33B65" w:rsidRPr="00B56453">
        <w:rPr>
          <w:lang w:val="en-GB"/>
        </w:rPr>
        <w:t>impact of the supervisor relationship upon their confidence and motivational beliefs</w:t>
      </w:r>
      <w:r w:rsidR="00164ABE" w:rsidRPr="00B56453">
        <w:rPr>
          <w:lang w:val="en-GB"/>
        </w:rPr>
        <w:t xml:space="preserve"> - </w:t>
      </w:r>
      <w:r w:rsidRPr="00B56453">
        <w:rPr>
          <w:lang w:val="en-GB"/>
        </w:rPr>
        <w:t>predominantly from the SRLF group</w:t>
      </w:r>
      <w:r w:rsidR="00A33B65" w:rsidRPr="00B56453">
        <w:rPr>
          <w:lang w:val="en-GB"/>
        </w:rPr>
        <w:t xml:space="preserve">. </w:t>
      </w:r>
      <w:r w:rsidRPr="00B56453">
        <w:rPr>
          <w:lang w:val="en-GB"/>
        </w:rPr>
        <w:t>They</w:t>
      </w:r>
      <w:r w:rsidR="00E81F79" w:rsidRPr="00B56453">
        <w:rPr>
          <w:lang w:val="en-GB"/>
        </w:rPr>
        <w:t xml:space="preserve"> experienced higher levels of confidence if </w:t>
      </w:r>
      <w:r w:rsidR="001A2C9C" w:rsidRPr="00B56453">
        <w:rPr>
          <w:lang w:val="en-GB"/>
        </w:rPr>
        <w:t xml:space="preserve">there was </w:t>
      </w:r>
      <w:r w:rsidR="00E81F79" w:rsidRPr="00B56453">
        <w:rPr>
          <w:lang w:val="en-GB"/>
        </w:rPr>
        <w:t xml:space="preserve">a better relationship and positive feedback interactions occurred that met the </w:t>
      </w:r>
      <w:r w:rsidR="008F479D" w:rsidRPr="00B56453">
        <w:rPr>
          <w:lang w:val="en-GB"/>
        </w:rPr>
        <w:t>learner’s</w:t>
      </w:r>
      <w:r w:rsidR="00E81F79" w:rsidRPr="00B56453">
        <w:rPr>
          <w:lang w:val="en-GB"/>
        </w:rPr>
        <w:t xml:space="preserve"> needs, resulting in a strengthening of the relationship.</w:t>
      </w:r>
    </w:p>
    <w:p w14:paraId="0FD9BCAD" w14:textId="77777777" w:rsidR="00737902" w:rsidRPr="00B56453" w:rsidRDefault="00737902" w:rsidP="00026049">
      <w:pPr>
        <w:pStyle w:val="Normal1"/>
        <w:rPr>
          <w:lang w:val="en-GB"/>
        </w:rPr>
      </w:pPr>
    </w:p>
    <w:p w14:paraId="621741D6" w14:textId="0ACDEEFC" w:rsidR="00737902" w:rsidRPr="00B56453" w:rsidRDefault="009045D2" w:rsidP="00026049">
      <w:pPr>
        <w:pStyle w:val="Quote"/>
        <w:rPr>
          <w:lang w:val="en-GB"/>
        </w:rPr>
      </w:pPr>
      <w:r w:rsidRPr="00B56453">
        <w:rPr>
          <w:lang w:val="en-GB"/>
        </w:rPr>
        <w:t>G4 - 2</w:t>
      </w:r>
      <w:r w:rsidR="00737902" w:rsidRPr="00B56453">
        <w:rPr>
          <w:lang w:val="en-GB"/>
        </w:rPr>
        <w:t xml:space="preserve">: </w:t>
      </w:r>
      <w:r w:rsidR="00E81F79" w:rsidRPr="00B56453">
        <w:rPr>
          <w:lang w:val="en-GB"/>
        </w:rPr>
        <w:t>“</w:t>
      </w:r>
      <w:r w:rsidR="00B716CC" w:rsidRPr="00B56453">
        <w:rPr>
          <w:lang w:val="en-GB"/>
        </w:rPr>
        <w:t>I</w:t>
      </w:r>
      <w:r w:rsidR="00737902" w:rsidRPr="00B56453">
        <w:rPr>
          <w:lang w:val="en-GB"/>
        </w:rPr>
        <w:t>t makes me feel better, it really does. It makes me feel like “yeah one day I’ll be like that” and that’s good that I’m getting praise from them, I’m moving step by step closer to their level.</w:t>
      </w:r>
      <w:r w:rsidR="00E81F79" w:rsidRPr="00B56453">
        <w:rPr>
          <w:lang w:val="en-GB"/>
        </w:rPr>
        <w:t>”</w:t>
      </w:r>
    </w:p>
    <w:p w14:paraId="75D33425" w14:textId="2BA88CED" w:rsidR="00737902" w:rsidRPr="00B56453" w:rsidRDefault="00525706" w:rsidP="00026049">
      <w:pPr>
        <w:pStyle w:val="Quote"/>
        <w:rPr>
          <w:lang w:val="en-GB"/>
        </w:rPr>
      </w:pPr>
      <w:r w:rsidRPr="00B56453">
        <w:rPr>
          <w:lang w:val="en-GB"/>
        </w:rPr>
        <w:t>FG7 - SRLF</w:t>
      </w:r>
      <w:r w:rsidR="00737902" w:rsidRPr="00B56453">
        <w:rPr>
          <w:lang w:val="en-GB"/>
        </w:rPr>
        <w:t xml:space="preserve"> </w:t>
      </w:r>
      <w:r w:rsidR="00632B0D" w:rsidRPr="00B56453">
        <w:rPr>
          <w:lang w:val="en-GB"/>
        </w:rPr>
        <w:t>Student 1</w:t>
      </w:r>
      <w:r w:rsidR="00737902" w:rsidRPr="00B56453">
        <w:rPr>
          <w:lang w:val="en-GB"/>
        </w:rPr>
        <w:t xml:space="preserve">: </w:t>
      </w:r>
      <w:r w:rsidR="00E81F79" w:rsidRPr="00B56453">
        <w:rPr>
          <w:lang w:val="en-GB"/>
        </w:rPr>
        <w:t>“Our consultant</w:t>
      </w:r>
      <w:r w:rsidR="00737902" w:rsidRPr="00B56453">
        <w:rPr>
          <w:lang w:val="en-GB"/>
        </w:rPr>
        <w:t xml:space="preserve"> is quite good at pushing us but you wonder what exact part was good so you can focus on certain parts, it also feels like they are listening to you if they do that if they pick up specific points. It had a positive impact on the relationship you have with them because you would hope they will remember those specifics and they can check up on you to see if you’re improving and taking it on board. It feels like I can go back to them for support.</w:t>
      </w:r>
      <w:r w:rsidR="00E81F79" w:rsidRPr="00B56453">
        <w:rPr>
          <w:lang w:val="en-GB"/>
        </w:rPr>
        <w:t>”</w:t>
      </w:r>
    </w:p>
    <w:p w14:paraId="23D6AAC0" w14:textId="77777777" w:rsidR="00E81F79" w:rsidRPr="00B56453" w:rsidRDefault="00E81F79" w:rsidP="00026049">
      <w:pPr>
        <w:pStyle w:val="Quote"/>
        <w:rPr>
          <w:lang w:val="en-GB"/>
        </w:rPr>
      </w:pPr>
    </w:p>
    <w:p w14:paraId="17BF3F83" w14:textId="343D0988" w:rsidR="00E81F79" w:rsidRPr="00B56453" w:rsidRDefault="00A6178B" w:rsidP="00026049">
      <w:pPr>
        <w:pStyle w:val="Normal1"/>
        <w:rPr>
          <w:lang w:val="en-GB"/>
        </w:rPr>
      </w:pPr>
      <w:r w:rsidRPr="00B56453">
        <w:rPr>
          <w:lang w:val="en-GB"/>
        </w:rPr>
        <w:t xml:space="preserve">If learners </w:t>
      </w:r>
      <w:r w:rsidR="001A2C9C" w:rsidRPr="00B56453">
        <w:rPr>
          <w:lang w:val="en-GB"/>
        </w:rPr>
        <w:t>felt</w:t>
      </w:r>
      <w:r w:rsidRPr="00B56453">
        <w:rPr>
          <w:lang w:val="en-GB"/>
        </w:rPr>
        <w:t xml:space="preserve"> a lack of support</w:t>
      </w:r>
      <w:r w:rsidR="00E81F79" w:rsidRPr="00B56453">
        <w:rPr>
          <w:lang w:val="en-GB"/>
        </w:rPr>
        <w:t xml:space="preserve"> and feedback inte</w:t>
      </w:r>
      <w:r w:rsidRPr="00B56453">
        <w:rPr>
          <w:lang w:val="en-GB"/>
        </w:rPr>
        <w:t>ractions were negative, they articulated</w:t>
      </w:r>
      <w:r w:rsidR="00E81F79" w:rsidRPr="00B56453">
        <w:rPr>
          <w:lang w:val="en-GB"/>
        </w:rPr>
        <w:t xml:space="preserve"> that those interactions only reduced their confidence and the feedback </w:t>
      </w:r>
      <w:r w:rsidRPr="00B56453">
        <w:rPr>
          <w:lang w:val="en-GB"/>
        </w:rPr>
        <w:t>was more likely to</w:t>
      </w:r>
      <w:r w:rsidR="00E81F79" w:rsidRPr="00B56453">
        <w:rPr>
          <w:lang w:val="en-GB"/>
        </w:rPr>
        <w:t xml:space="preserve"> be ignored.</w:t>
      </w:r>
    </w:p>
    <w:p w14:paraId="7D6145CA" w14:textId="77777777" w:rsidR="00E81F79" w:rsidRPr="00B56453" w:rsidRDefault="00E81F79" w:rsidP="00026049">
      <w:pPr>
        <w:pStyle w:val="Normal1"/>
        <w:rPr>
          <w:lang w:val="en-GB"/>
        </w:rPr>
      </w:pPr>
    </w:p>
    <w:p w14:paraId="0B1C0DE2" w14:textId="4C8776E9" w:rsidR="00E81F79" w:rsidRPr="00B56453" w:rsidRDefault="00525706" w:rsidP="00026049">
      <w:pPr>
        <w:pStyle w:val="Quote"/>
        <w:rPr>
          <w:lang w:val="en-GB"/>
        </w:rPr>
      </w:pPr>
      <w:r w:rsidRPr="00B56453">
        <w:rPr>
          <w:lang w:val="en-GB"/>
        </w:rPr>
        <w:t>FG2 - SRLF</w:t>
      </w:r>
      <w:r w:rsidR="00737902" w:rsidRPr="00B56453">
        <w:rPr>
          <w:lang w:val="en-GB"/>
        </w:rPr>
        <w:t xml:space="preserve"> </w:t>
      </w:r>
      <w:r w:rsidR="00632B0D" w:rsidRPr="00B56453">
        <w:rPr>
          <w:b/>
          <w:bCs/>
          <w:lang w:val="en-GB"/>
        </w:rPr>
        <w:t>Student 14</w:t>
      </w:r>
      <w:r w:rsidR="00737902" w:rsidRPr="00B56453">
        <w:rPr>
          <w:b/>
          <w:bCs/>
          <w:lang w:val="en-GB"/>
        </w:rPr>
        <w:t>:</w:t>
      </w:r>
      <w:r w:rsidR="00737902" w:rsidRPr="00B56453">
        <w:rPr>
          <w:lang w:val="en-GB"/>
        </w:rPr>
        <w:t xml:space="preserve"> </w:t>
      </w:r>
      <w:r w:rsidR="00E81F79" w:rsidRPr="00B56453">
        <w:rPr>
          <w:lang w:val="en-GB"/>
        </w:rPr>
        <w:t>“</w:t>
      </w:r>
      <w:r w:rsidR="00164ABE" w:rsidRPr="00B56453">
        <w:rPr>
          <w:lang w:val="en-GB"/>
        </w:rPr>
        <w:t>I</w:t>
      </w:r>
      <w:r w:rsidR="008F479D" w:rsidRPr="00B56453">
        <w:rPr>
          <w:lang w:val="en-GB"/>
        </w:rPr>
        <w:t>t’s</w:t>
      </w:r>
      <w:r w:rsidR="00737902" w:rsidRPr="00B56453">
        <w:rPr>
          <w:lang w:val="en-GB"/>
        </w:rPr>
        <w:t xml:space="preserve"> hard to approach some of them for feedback, if they’re telling you to help you then that’s fine but when </w:t>
      </w:r>
      <w:r w:rsidR="008F479D" w:rsidRPr="00B56453">
        <w:rPr>
          <w:lang w:val="en-GB"/>
        </w:rPr>
        <w:t>they’re</w:t>
      </w:r>
      <w:r w:rsidR="00737902" w:rsidRPr="00B56453">
        <w:rPr>
          <w:lang w:val="en-GB"/>
        </w:rPr>
        <w:t xml:space="preserve"> just telling you to make you feel bad then you </w:t>
      </w:r>
      <w:r w:rsidR="008F479D" w:rsidRPr="00B56453">
        <w:rPr>
          <w:lang w:val="en-GB"/>
        </w:rPr>
        <w:t>won’t</w:t>
      </w:r>
      <w:r w:rsidR="00737902" w:rsidRPr="00B56453">
        <w:rPr>
          <w:lang w:val="en-GB"/>
        </w:rPr>
        <w:t xml:space="preserve"> listen to it.</w:t>
      </w:r>
      <w:r w:rsidR="00E81F79" w:rsidRPr="00B56453">
        <w:rPr>
          <w:lang w:val="en-GB"/>
        </w:rPr>
        <w:t>”</w:t>
      </w:r>
      <w:r w:rsidR="00737902" w:rsidRPr="00B56453">
        <w:rPr>
          <w:lang w:val="en-GB"/>
        </w:rPr>
        <w:br/>
      </w:r>
      <w:r w:rsidR="00632B0D" w:rsidRPr="00B56453">
        <w:rPr>
          <w:b/>
          <w:bCs/>
          <w:lang w:val="en-GB"/>
        </w:rPr>
        <w:t>Student 3</w:t>
      </w:r>
      <w:r w:rsidR="00737902" w:rsidRPr="00B56453">
        <w:rPr>
          <w:b/>
          <w:bCs/>
          <w:lang w:val="en-GB"/>
        </w:rPr>
        <w:t>:</w:t>
      </w:r>
      <w:r w:rsidR="00737902" w:rsidRPr="00B56453">
        <w:rPr>
          <w:lang w:val="en-GB"/>
        </w:rPr>
        <w:t xml:space="preserve"> </w:t>
      </w:r>
      <w:r w:rsidR="00E81F79" w:rsidRPr="00B56453">
        <w:rPr>
          <w:lang w:val="en-GB"/>
        </w:rPr>
        <w:t>“</w:t>
      </w:r>
      <w:r w:rsidR="00B716CC" w:rsidRPr="00B56453">
        <w:rPr>
          <w:lang w:val="en-GB"/>
        </w:rPr>
        <w:t>I</w:t>
      </w:r>
      <w:r w:rsidR="00737902" w:rsidRPr="00B56453">
        <w:rPr>
          <w:lang w:val="en-GB"/>
        </w:rPr>
        <w:t xml:space="preserve">f it is negative and I can tell </w:t>
      </w:r>
      <w:r w:rsidR="008F479D" w:rsidRPr="00B56453">
        <w:rPr>
          <w:lang w:val="en-GB"/>
        </w:rPr>
        <w:t>it’s</w:t>
      </w:r>
      <w:r w:rsidR="00737902" w:rsidRPr="00B56453">
        <w:rPr>
          <w:lang w:val="en-GB"/>
        </w:rPr>
        <w:t xml:space="preserve"> not meant to help me move forward, I disregard it.</w:t>
      </w:r>
      <w:r w:rsidR="00E81F79" w:rsidRPr="00B56453">
        <w:rPr>
          <w:lang w:val="en-GB"/>
        </w:rPr>
        <w:t>”</w:t>
      </w:r>
      <w:r w:rsidR="00737902" w:rsidRPr="00B56453">
        <w:rPr>
          <w:lang w:val="en-GB"/>
        </w:rPr>
        <w:br/>
      </w:r>
      <w:r w:rsidR="00632B0D" w:rsidRPr="00B56453">
        <w:rPr>
          <w:b/>
          <w:bCs/>
          <w:lang w:val="en-GB"/>
        </w:rPr>
        <w:t>Student 4</w:t>
      </w:r>
      <w:r w:rsidR="00737902" w:rsidRPr="00B56453">
        <w:rPr>
          <w:b/>
          <w:bCs/>
          <w:lang w:val="en-GB"/>
        </w:rPr>
        <w:t>:</w:t>
      </w:r>
      <w:r w:rsidR="00737902" w:rsidRPr="00B56453">
        <w:rPr>
          <w:lang w:val="en-GB"/>
        </w:rPr>
        <w:t xml:space="preserve"> </w:t>
      </w:r>
      <w:r w:rsidR="00E81F79" w:rsidRPr="00B56453">
        <w:rPr>
          <w:lang w:val="en-GB"/>
        </w:rPr>
        <w:t>“</w:t>
      </w:r>
      <w:r w:rsidR="00B716CC" w:rsidRPr="00B56453">
        <w:rPr>
          <w:lang w:val="en-GB"/>
        </w:rPr>
        <w:t>I</w:t>
      </w:r>
      <w:r w:rsidR="00737902" w:rsidRPr="00B56453">
        <w:rPr>
          <w:lang w:val="en-GB"/>
        </w:rPr>
        <w:t>t knocks your confidence</w:t>
      </w:r>
      <w:r w:rsidR="00E81F79" w:rsidRPr="00B56453">
        <w:rPr>
          <w:lang w:val="en-GB"/>
        </w:rPr>
        <w:t>”</w:t>
      </w:r>
    </w:p>
    <w:p w14:paraId="25515034" w14:textId="291B0DBC" w:rsidR="00CF212C" w:rsidRPr="00B56453" w:rsidRDefault="009045D2" w:rsidP="00026049">
      <w:pPr>
        <w:pStyle w:val="Quote"/>
        <w:rPr>
          <w:lang w:val="en-GB"/>
        </w:rPr>
      </w:pPr>
      <w:r w:rsidRPr="00B56453">
        <w:rPr>
          <w:lang w:val="en-GB"/>
        </w:rPr>
        <w:t>G6 - 1</w:t>
      </w:r>
      <w:r w:rsidR="00E81F79" w:rsidRPr="00B56453">
        <w:rPr>
          <w:lang w:val="en-GB"/>
        </w:rPr>
        <w:t xml:space="preserve">: “Sometimes being left and trusted isn’t always good, </w:t>
      </w:r>
      <w:r w:rsidR="00BA261E" w:rsidRPr="00B56453">
        <w:rPr>
          <w:lang w:val="en-GB"/>
        </w:rPr>
        <w:t xml:space="preserve">[...] </w:t>
      </w:r>
      <w:r w:rsidR="00E81F79" w:rsidRPr="00B56453">
        <w:rPr>
          <w:lang w:val="en-GB"/>
        </w:rPr>
        <w:t>when they just don’t ask you whether you’re happy to do and leave you then it’s hard. I didn’t necessarily agree to that level of autonomy.”</w:t>
      </w:r>
      <w:r w:rsidR="00CF212C" w:rsidRPr="00B56453">
        <w:rPr>
          <w:lang w:val="en-GB"/>
        </w:rPr>
        <w:br w:type="page"/>
      </w:r>
    </w:p>
    <w:p w14:paraId="306EFE50" w14:textId="571A1818" w:rsidR="000535B6" w:rsidRPr="00B56453" w:rsidRDefault="00473DB7" w:rsidP="00B1638D">
      <w:pPr>
        <w:pStyle w:val="Heading2"/>
        <w:rPr>
          <w:lang w:val="en-GB"/>
        </w:rPr>
      </w:pPr>
      <w:bookmarkStart w:id="405" w:name="_Toc500319423"/>
      <w:r w:rsidRPr="00B56453">
        <w:rPr>
          <w:lang w:val="en-GB"/>
        </w:rPr>
        <w:lastRenderedPageBreak/>
        <w:t xml:space="preserve">C2.4 </w:t>
      </w:r>
      <w:r w:rsidR="00CF212C" w:rsidRPr="00B56453">
        <w:rPr>
          <w:lang w:val="en-GB"/>
        </w:rPr>
        <w:t>Chapter summary</w:t>
      </w:r>
      <w:bookmarkEnd w:id="405"/>
    </w:p>
    <w:p w14:paraId="45CCD1A9" w14:textId="77777777" w:rsidR="000535B6" w:rsidRPr="00B56453" w:rsidRDefault="000535B6" w:rsidP="00026049">
      <w:pPr>
        <w:pStyle w:val="Normal1"/>
        <w:rPr>
          <w:lang w:val="en-GB"/>
        </w:rPr>
      </w:pPr>
    </w:p>
    <w:p w14:paraId="46ACD239" w14:textId="61E21CE6" w:rsidR="00164ABE" w:rsidRPr="00B56453" w:rsidRDefault="00C47AB5" w:rsidP="00164ABE">
      <w:pPr>
        <w:pStyle w:val="Normal1"/>
        <w:rPr>
          <w:lang w:val="en-GB"/>
        </w:rPr>
      </w:pPr>
      <w:r w:rsidRPr="00B56453">
        <w:rPr>
          <w:lang w:val="en-GB"/>
        </w:rPr>
        <w:t>The</w:t>
      </w:r>
      <w:r w:rsidR="000535B6" w:rsidRPr="00B56453">
        <w:rPr>
          <w:lang w:val="en-GB"/>
        </w:rPr>
        <w:t xml:space="preserve"> results</w:t>
      </w:r>
      <w:r w:rsidRPr="00B56453">
        <w:rPr>
          <w:lang w:val="en-GB"/>
        </w:rPr>
        <w:t xml:space="preserve"> presented in this chapter</w:t>
      </w:r>
      <w:r w:rsidR="000535B6" w:rsidRPr="00B56453">
        <w:rPr>
          <w:lang w:val="en-GB"/>
        </w:rPr>
        <w:t xml:space="preserve"> </w:t>
      </w:r>
      <w:r w:rsidR="00164ABE" w:rsidRPr="00B56453">
        <w:rPr>
          <w:lang w:val="en-GB"/>
        </w:rPr>
        <w:t>address</w:t>
      </w:r>
      <w:r w:rsidRPr="00B56453">
        <w:rPr>
          <w:lang w:val="en-GB"/>
        </w:rPr>
        <w:t>ed</w:t>
      </w:r>
      <w:r w:rsidR="000535B6" w:rsidRPr="00B56453">
        <w:rPr>
          <w:lang w:val="en-GB"/>
        </w:rPr>
        <w:t xml:space="preserve"> the </w:t>
      </w:r>
      <w:r w:rsidRPr="00B56453">
        <w:rPr>
          <w:lang w:val="en-GB"/>
        </w:rPr>
        <w:t>qualitative</w:t>
      </w:r>
      <w:r w:rsidR="000535B6" w:rsidRPr="00B56453">
        <w:rPr>
          <w:lang w:val="en-GB"/>
        </w:rPr>
        <w:t xml:space="preserve"> research question of how both feedback</w:t>
      </w:r>
      <w:r w:rsidR="00164ABE" w:rsidRPr="00B56453">
        <w:rPr>
          <w:lang w:val="en-GB"/>
        </w:rPr>
        <w:t xml:space="preserve"> models</w:t>
      </w:r>
      <w:r w:rsidR="000535B6" w:rsidRPr="00B56453">
        <w:rPr>
          <w:lang w:val="en-GB"/>
        </w:rPr>
        <w:t xml:space="preserve"> impact</w:t>
      </w:r>
      <w:r w:rsidR="00164ABE" w:rsidRPr="00B56453">
        <w:rPr>
          <w:lang w:val="en-GB"/>
        </w:rPr>
        <w:t>ed</w:t>
      </w:r>
      <w:r w:rsidR="000535B6" w:rsidRPr="00B56453">
        <w:rPr>
          <w:lang w:val="en-GB"/>
        </w:rPr>
        <w:t xml:space="preserve"> upon </w:t>
      </w:r>
      <w:r w:rsidR="00826050" w:rsidRPr="00B56453">
        <w:rPr>
          <w:lang w:val="en-GB"/>
        </w:rPr>
        <w:t>longer-term</w:t>
      </w:r>
      <w:r w:rsidR="000535B6" w:rsidRPr="00B56453">
        <w:rPr>
          <w:lang w:val="en-GB"/>
        </w:rPr>
        <w:t xml:space="preserve"> learning and feedback behaviours. Supported by the results in Chapter B3, learners who received SRLF displayed more positive SRL behaviours, indicating that this feedback model may be more beneficial</w:t>
      </w:r>
      <w:r w:rsidR="00164ABE" w:rsidRPr="00B56453">
        <w:rPr>
          <w:lang w:val="en-GB"/>
        </w:rPr>
        <w:t xml:space="preserve"> for empowering learners’ SRL</w:t>
      </w:r>
      <w:r w:rsidR="000535B6" w:rsidRPr="00B56453">
        <w:rPr>
          <w:lang w:val="en-GB"/>
        </w:rPr>
        <w:t xml:space="preserve"> than usual best practices based upon these results.  In addition, SRL</w:t>
      </w:r>
      <w:r w:rsidR="00164ABE" w:rsidRPr="00B56453">
        <w:rPr>
          <w:lang w:val="en-GB"/>
        </w:rPr>
        <w:t>F</w:t>
      </w:r>
      <w:r w:rsidR="000535B6" w:rsidRPr="00B56453">
        <w:rPr>
          <w:lang w:val="en-GB"/>
        </w:rPr>
        <w:t xml:space="preserve"> provides the tools for those with weak supervisory relationships in clinical learning environments, although some use these tools better than others. This may or may not have been a direct consequence of the </w:t>
      </w:r>
      <w:r w:rsidR="00240F75" w:rsidRPr="00B56453">
        <w:rPr>
          <w:lang w:val="en-GB"/>
        </w:rPr>
        <w:t>feedback models</w:t>
      </w:r>
      <w:r w:rsidR="000535B6" w:rsidRPr="00B56453">
        <w:rPr>
          <w:lang w:val="en-GB"/>
        </w:rPr>
        <w:t>, but nonetheless is apparent for medical und</w:t>
      </w:r>
      <w:bookmarkStart w:id="406" w:name="_Toc487456851"/>
      <w:bookmarkStart w:id="407" w:name="_Toc487811231"/>
      <w:r w:rsidR="00164ABE" w:rsidRPr="00B56453">
        <w:rPr>
          <w:lang w:val="en-GB"/>
        </w:rPr>
        <w:t>ergraduates in these settings.</w:t>
      </w:r>
      <w:r w:rsidR="00164ABE" w:rsidRPr="00B56453">
        <w:rPr>
          <w:lang w:val="en-GB"/>
        </w:rPr>
        <w:br w:type="page"/>
      </w:r>
    </w:p>
    <w:p w14:paraId="33E0D576" w14:textId="5DD4C595" w:rsidR="00125F28" w:rsidRPr="00B56453" w:rsidRDefault="00A0607E" w:rsidP="0049059B">
      <w:pPr>
        <w:pStyle w:val="Heading1"/>
        <w:jc w:val="center"/>
      </w:pPr>
      <w:bookmarkStart w:id="408" w:name="_Toc488147574"/>
      <w:bookmarkStart w:id="409" w:name="_Toc488309186"/>
      <w:bookmarkStart w:id="410" w:name="_Toc488930148"/>
      <w:bookmarkStart w:id="411" w:name="_Toc489017362"/>
      <w:bookmarkStart w:id="412" w:name="_Toc489447716"/>
      <w:bookmarkStart w:id="413" w:name="_Toc490650203"/>
      <w:bookmarkStart w:id="414" w:name="_Toc500319424"/>
      <w:bookmarkStart w:id="415" w:name="_Toc500319565"/>
      <w:r w:rsidRPr="00B56453">
        <w:lastRenderedPageBreak/>
        <w:t>Section C</w:t>
      </w:r>
      <w:r w:rsidR="00F176D2" w:rsidRPr="00B56453">
        <w:t xml:space="preserve">: </w:t>
      </w:r>
      <w:r w:rsidR="00125F28" w:rsidRPr="00B56453">
        <w:t xml:space="preserve">Summary </w:t>
      </w:r>
      <w:r w:rsidR="00F176D2" w:rsidRPr="00B56453">
        <w:t xml:space="preserve">of </w:t>
      </w:r>
      <w:r w:rsidR="00D435EF" w:rsidRPr="00B56453">
        <w:t>the Follow-up Phase</w:t>
      </w:r>
      <w:bookmarkEnd w:id="406"/>
      <w:bookmarkEnd w:id="407"/>
      <w:bookmarkEnd w:id="408"/>
      <w:bookmarkEnd w:id="409"/>
      <w:bookmarkEnd w:id="410"/>
      <w:bookmarkEnd w:id="411"/>
      <w:bookmarkEnd w:id="412"/>
      <w:bookmarkEnd w:id="413"/>
      <w:bookmarkEnd w:id="414"/>
      <w:bookmarkEnd w:id="415"/>
    </w:p>
    <w:p w14:paraId="45A3FCC8" w14:textId="77777777" w:rsidR="00CA4865" w:rsidRPr="00B56453" w:rsidRDefault="00CA4865" w:rsidP="00164ABE">
      <w:pPr>
        <w:pStyle w:val="Normal1"/>
        <w:rPr>
          <w:lang w:val="en-GB"/>
        </w:rPr>
      </w:pPr>
    </w:p>
    <w:p w14:paraId="5369CDC2" w14:textId="6D0E5BA6" w:rsidR="00B43CBC" w:rsidRPr="00B56453" w:rsidRDefault="00164ABE" w:rsidP="00164ABE">
      <w:pPr>
        <w:pStyle w:val="Normal1"/>
        <w:rPr>
          <w:rFonts w:asciiTheme="majorHAnsi" w:eastAsiaTheme="majorEastAsia" w:hAnsiTheme="majorHAnsi" w:cstheme="majorBidi"/>
          <w:color w:val="2E74B5" w:themeColor="accent1" w:themeShade="BF"/>
          <w:sz w:val="32"/>
          <w:szCs w:val="32"/>
          <w:lang w:val="en-GB"/>
        </w:rPr>
      </w:pPr>
      <w:r w:rsidRPr="00B56453">
        <w:rPr>
          <w:lang w:val="en-GB"/>
        </w:rPr>
        <w:t>Results in this section have shown that t</w:t>
      </w:r>
      <w:r w:rsidR="00CA4865" w:rsidRPr="00B56453">
        <w:rPr>
          <w:lang w:val="en-GB"/>
        </w:rPr>
        <w:t xml:space="preserve">he SSRQ </w:t>
      </w:r>
      <w:r w:rsidRPr="00B56453">
        <w:rPr>
          <w:lang w:val="en-GB"/>
        </w:rPr>
        <w:t>is</w:t>
      </w:r>
      <w:r w:rsidR="00CA4865" w:rsidRPr="00B56453">
        <w:rPr>
          <w:lang w:val="en-GB"/>
        </w:rPr>
        <w:t xml:space="preserve"> a valid measure of SRL in this population. Students who received SRLF articulated more positive SRL behaviours related to their learning and feedback behaviours on clinical placement. Both feedback and SRL behaviours were influenced by contextual and cultural factors.</w:t>
      </w:r>
      <w:r w:rsidR="00F176D2" w:rsidRPr="00B56453">
        <w:rPr>
          <w:lang w:val="en-GB"/>
        </w:rPr>
        <w:br w:type="page"/>
      </w:r>
    </w:p>
    <w:p w14:paraId="0C3DF716" w14:textId="77777777" w:rsidR="00D435EF" w:rsidRPr="00B56453" w:rsidRDefault="00D15382" w:rsidP="0049059B">
      <w:pPr>
        <w:pStyle w:val="Heading1"/>
        <w:jc w:val="center"/>
      </w:pPr>
      <w:bookmarkStart w:id="416" w:name="_Toc487456852"/>
      <w:bookmarkStart w:id="417" w:name="_Toc487811232"/>
      <w:bookmarkStart w:id="418" w:name="_Toc488147575"/>
      <w:bookmarkStart w:id="419" w:name="_Toc488309187"/>
      <w:bookmarkStart w:id="420" w:name="_Toc488930149"/>
      <w:bookmarkStart w:id="421" w:name="_Toc489017363"/>
      <w:bookmarkStart w:id="422" w:name="_Toc489447717"/>
      <w:bookmarkStart w:id="423" w:name="_Toc490650204"/>
      <w:bookmarkStart w:id="424" w:name="_Toc500319425"/>
      <w:bookmarkStart w:id="425" w:name="_Toc500319566"/>
      <w:r w:rsidRPr="00B56453">
        <w:lastRenderedPageBreak/>
        <w:t>Section D</w:t>
      </w:r>
      <w:r w:rsidR="00F176D2" w:rsidRPr="00B56453">
        <w:t xml:space="preserve">: </w:t>
      </w:r>
      <w:r w:rsidR="00550AAD" w:rsidRPr="00B56453">
        <w:t>Discussion</w:t>
      </w:r>
      <w:bookmarkEnd w:id="416"/>
      <w:bookmarkEnd w:id="417"/>
      <w:bookmarkEnd w:id="418"/>
      <w:bookmarkEnd w:id="419"/>
      <w:bookmarkEnd w:id="420"/>
      <w:bookmarkEnd w:id="421"/>
      <w:bookmarkEnd w:id="422"/>
      <w:bookmarkEnd w:id="423"/>
      <w:bookmarkEnd w:id="424"/>
      <w:bookmarkEnd w:id="425"/>
    </w:p>
    <w:p w14:paraId="595A15D5" w14:textId="77777777" w:rsidR="00D435EF" w:rsidRPr="00B56453" w:rsidRDefault="00D435EF" w:rsidP="00026049">
      <w:pPr>
        <w:pStyle w:val="Normal1"/>
        <w:rPr>
          <w:lang w:val="en-GB"/>
        </w:rPr>
      </w:pPr>
    </w:p>
    <w:p w14:paraId="0DA85978" w14:textId="5B232DAE" w:rsidR="0015045A" w:rsidRPr="00B56453" w:rsidRDefault="00C42D2E" w:rsidP="00026049">
      <w:pPr>
        <w:pStyle w:val="Normal1"/>
        <w:rPr>
          <w:lang w:val="en-GB"/>
        </w:rPr>
      </w:pPr>
      <w:r w:rsidRPr="00B56453">
        <w:rPr>
          <w:lang w:val="en-GB"/>
        </w:rPr>
        <w:t xml:space="preserve">An extensive evaluation of the research design and findings is first provided followed by </w:t>
      </w:r>
      <w:r w:rsidR="0003736C" w:rsidRPr="00B56453">
        <w:rPr>
          <w:lang w:val="en-GB"/>
        </w:rPr>
        <w:t>an in-depth discussion of the findings presented in Chapters B2, B3, C1, and C2. These are described in the context of the research quest</w:t>
      </w:r>
      <w:r w:rsidRPr="00B56453">
        <w:rPr>
          <w:lang w:val="en-GB"/>
        </w:rPr>
        <w:t>ions and the current literature</w:t>
      </w:r>
      <w:r w:rsidR="0003736C" w:rsidRPr="00B56453">
        <w:rPr>
          <w:lang w:val="en-GB"/>
        </w:rPr>
        <w:t xml:space="preserve"> </w:t>
      </w:r>
      <w:r w:rsidRPr="00B56453">
        <w:rPr>
          <w:lang w:val="en-GB"/>
        </w:rPr>
        <w:t>before</w:t>
      </w:r>
      <w:r w:rsidR="0003736C" w:rsidRPr="00B56453">
        <w:rPr>
          <w:lang w:val="en-GB"/>
        </w:rPr>
        <w:t xml:space="preserve"> leading to </w:t>
      </w:r>
      <w:r w:rsidR="00F74DCA" w:rsidRPr="00B56453">
        <w:rPr>
          <w:lang w:val="en-GB"/>
        </w:rPr>
        <w:t>the final conclusions and implications of the findings.</w:t>
      </w:r>
      <w:r w:rsidR="0015045A" w:rsidRPr="00B56453">
        <w:rPr>
          <w:lang w:val="en-GB"/>
        </w:rPr>
        <w:br w:type="page"/>
      </w:r>
    </w:p>
    <w:p w14:paraId="06E249B3" w14:textId="752C7C71" w:rsidR="0021662A" w:rsidRPr="00B56453" w:rsidRDefault="0021662A" w:rsidP="0021662A">
      <w:pPr>
        <w:pStyle w:val="Heading1"/>
      </w:pPr>
      <w:bookmarkStart w:id="426" w:name="_Toc487456854"/>
      <w:bookmarkStart w:id="427" w:name="_Toc487811234"/>
      <w:bookmarkStart w:id="428" w:name="_Toc488147577"/>
      <w:bookmarkStart w:id="429" w:name="_Toc488309189"/>
      <w:bookmarkStart w:id="430" w:name="_Toc488930151"/>
      <w:bookmarkStart w:id="431" w:name="_Toc489017365"/>
      <w:bookmarkStart w:id="432" w:name="_Toc489447719"/>
      <w:bookmarkStart w:id="433" w:name="_Toc490650205"/>
      <w:bookmarkStart w:id="434" w:name="_Toc487456853"/>
      <w:bookmarkStart w:id="435" w:name="_Toc487811233"/>
      <w:bookmarkStart w:id="436" w:name="_Toc488147576"/>
      <w:bookmarkStart w:id="437" w:name="_Toc488309188"/>
      <w:bookmarkStart w:id="438" w:name="_Toc488930150"/>
      <w:bookmarkStart w:id="439" w:name="_Toc489017364"/>
      <w:bookmarkStart w:id="440" w:name="_Toc489447718"/>
      <w:bookmarkStart w:id="441" w:name="_Toc500319426"/>
      <w:bookmarkStart w:id="442" w:name="_Toc500319567"/>
      <w:r w:rsidRPr="00B56453">
        <w:lastRenderedPageBreak/>
        <w:t xml:space="preserve">Chapter </w:t>
      </w:r>
      <w:r w:rsidR="00BF6160" w:rsidRPr="00B56453">
        <w:t>D1</w:t>
      </w:r>
      <w:r w:rsidRPr="00B56453">
        <w:t>: Evaluation of the Research Methodology and Intervention</w:t>
      </w:r>
      <w:bookmarkEnd w:id="426"/>
      <w:bookmarkEnd w:id="427"/>
      <w:bookmarkEnd w:id="428"/>
      <w:bookmarkEnd w:id="429"/>
      <w:bookmarkEnd w:id="430"/>
      <w:bookmarkEnd w:id="431"/>
      <w:bookmarkEnd w:id="432"/>
      <w:bookmarkEnd w:id="433"/>
      <w:bookmarkEnd w:id="441"/>
      <w:bookmarkEnd w:id="442"/>
    </w:p>
    <w:p w14:paraId="32321F36" w14:textId="77777777" w:rsidR="0021662A" w:rsidRPr="00B27F0B" w:rsidRDefault="0021662A" w:rsidP="0021662A">
      <w:pPr>
        <w:pStyle w:val="Normal1"/>
        <w:rPr>
          <w:lang w:val="en-GB"/>
        </w:rPr>
      </w:pPr>
    </w:p>
    <w:p w14:paraId="47E42386" w14:textId="32FC26F5" w:rsidR="0021662A" w:rsidRPr="00B27F0B" w:rsidRDefault="0021662A" w:rsidP="0021662A">
      <w:pPr>
        <w:pStyle w:val="Normal1"/>
        <w:rPr>
          <w:lang w:val="en-GB"/>
        </w:rPr>
      </w:pPr>
      <w:r w:rsidRPr="00B27F0B">
        <w:rPr>
          <w:lang w:val="en-GB"/>
        </w:rPr>
        <w:t>This evaluation was designed to assess how useful and robust the mixed methodology approach was in answering the research questions. It closely a</w:t>
      </w:r>
      <w:r w:rsidR="00B716CC" w:rsidRPr="00B27F0B">
        <w:rPr>
          <w:lang w:val="en-GB"/>
        </w:rPr>
        <w:t>nalysed</w:t>
      </w:r>
      <w:r w:rsidR="00240F75" w:rsidRPr="00B27F0B">
        <w:rPr>
          <w:lang w:val="en-GB"/>
        </w:rPr>
        <w:t xml:space="preserve"> the SRL MA intervention</w:t>
      </w:r>
      <w:r w:rsidRPr="00B27F0B">
        <w:rPr>
          <w:lang w:val="en-GB"/>
        </w:rPr>
        <w:t xml:space="preserve"> to learn how it may have brought about the changes outlined in the previous chapter. The aim of this was to situate this research within the current body of literature surrounding SRL and feedback practices so that future researchers may build upon the successes and amend the limitations of SRL MA. The methodology, and its constituent components, were </w:t>
      </w:r>
      <w:r w:rsidR="00240F75" w:rsidRPr="00B56453">
        <w:rPr>
          <w:lang w:val="en-GB"/>
        </w:rPr>
        <w:t>evaluated</w:t>
      </w:r>
      <w:r w:rsidRPr="00B27F0B">
        <w:rPr>
          <w:lang w:val="en-GB"/>
        </w:rPr>
        <w:t xml:space="preserve"> to ensure that they were appropriate and of a sufficient quality to address the research problem. The process </w:t>
      </w:r>
      <w:r w:rsidR="0040789B" w:rsidRPr="00B27F0B">
        <w:rPr>
          <w:lang w:val="en-GB"/>
        </w:rPr>
        <w:t>evaluation</w:t>
      </w:r>
      <w:r w:rsidRPr="00B27F0B">
        <w:rPr>
          <w:lang w:val="en-GB"/>
        </w:rPr>
        <w:t xml:space="preserve"> critique</w:t>
      </w:r>
      <w:r w:rsidR="00161B1D" w:rsidRPr="00B27F0B">
        <w:rPr>
          <w:lang w:val="en-GB"/>
        </w:rPr>
        <w:t>d</w:t>
      </w:r>
      <w:r w:rsidRPr="00B27F0B">
        <w:rPr>
          <w:lang w:val="en-GB"/>
        </w:rPr>
        <w:t xml:space="preserve"> the intervention design and delivery phase</w:t>
      </w:r>
      <w:r w:rsidR="0040789B" w:rsidRPr="00B27F0B">
        <w:rPr>
          <w:lang w:val="en-GB"/>
        </w:rPr>
        <w:t>.</w:t>
      </w:r>
      <w:r w:rsidRPr="00B27F0B">
        <w:rPr>
          <w:lang w:val="en-GB"/>
        </w:rPr>
        <w:br w:type="page"/>
      </w:r>
    </w:p>
    <w:p w14:paraId="16339B68" w14:textId="4835F851" w:rsidR="0021662A" w:rsidRPr="00BD42AF" w:rsidRDefault="00BF6160" w:rsidP="0021662A">
      <w:pPr>
        <w:pStyle w:val="Heading2"/>
        <w:rPr>
          <w:lang w:val="en-GB"/>
        </w:rPr>
      </w:pPr>
      <w:bookmarkStart w:id="443" w:name="_Toc500319427"/>
      <w:r w:rsidRPr="00B56453">
        <w:rPr>
          <w:lang w:val="en-GB"/>
        </w:rPr>
        <w:lastRenderedPageBreak/>
        <w:t>D1</w:t>
      </w:r>
      <w:r w:rsidR="0021662A" w:rsidRPr="00B56453">
        <w:rPr>
          <w:lang w:val="en-GB"/>
        </w:rPr>
        <w:t>.1</w:t>
      </w:r>
      <w:r w:rsidR="0021662A" w:rsidRPr="00BD42AF">
        <w:rPr>
          <w:lang w:val="en-GB"/>
        </w:rPr>
        <w:t xml:space="preserve"> Evaluation of the Mixed Methodology</w:t>
      </w:r>
      <w:bookmarkEnd w:id="443"/>
    </w:p>
    <w:p w14:paraId="54DDA272" w14:textId="77777777" w:rsidR="0021662A" w:rsidRPr="00BD42AF" w:rsidRDefault="0021662A" w:rsidP="0021662A">
      <w:pPr>
        <w:pStyle w:val="Normal1"/>
        <w:rPr>
          <w:lang w:val="en-GB"/>
        </w:rPr>
      </w:pPr>
    </w:p>
    <w:p w14:paraId="55ADDC0F" w14:textId="4F3D7708" w:rsidR="0021662A" w:rsidRPr="00B56453" w:rsidRDefault="0021662A" w:rsidP="0021662A">
      <w:pPr>
        <w:pStyle w:val="Normal1"/>
        <w:rPr>
          <w:lang w:val="en-GB"/>
        </w:rPr>
      </w:pPr>
      <w:r w:rsidRPr="00BD42AF">
        <w:rPr>
          <w:lang w:val="en-GB"/>
        </w:rPr>
        <w:t xml:space="preserve">Pluye et al.’s </w:t>
      </w:r>
      <w:r w:rsidRPr="007638B6">
        <w:rPr>
          <w:lang w:val="en-GB"/>
        </w:rPr>
        <w:fldChar w:fldCharType="begin"/>
      </w:r>
      <w:r w:rsidRPr="00B56453">
        <w:rPr>
          <w:lang w:val="en-GB"/>
        </w:rPr>
        <w:instrText xml:space="preserve"> ADDIN EN.CITE &lt;EndNote&gt;&lt;Cite ExcludeAuth="1"&gt;&lt;Author&gt;Pluye&lt;/Author&gt;&lt;Year&gt;2011&lt;/Year&gt;&lt;RecNum&gt;476&lt;/RecNum&gt;&lt;DisplayText&gt;(2011)&lt;/DisplayText&gt;&lt;record&gt;&lt;rec-number&gt;476&lt;/rec-number&gt;&lt;foreign-keys&gt;&lt;key app="EN" db-id="xa2r2ewea92trkef5dt5arvbzafvpv2za5ft" timestamp="1496417548"&gt;476&lt;/key&gt;&lt;/foreign-keys&gt;&lt;ref-type name="Journal Article"&gt;17&lt;/ref-type&gt;&lt;contributors&gt;&lt;authors&gt;&lt;author&gt;Pluye, P.&lt;/author&gt;&lt;author&gt;Robert, E.&lt;/author&gt;&lt;author&gt;Cargo, M.&lt;/author&gt;&lt;author&gt;Bartlett, G.&lt;/author&gt;&lt;author&gt;O’Cathain, A.&lt;/author&gt;&lt;author&gt;Griffiths, F.&lt;/author&gt;&lt;author&gt;Boardman, F.&lt;/author&gt;&lt;author&gt;Gagnon, M. P.&lt;/author&gt;&lt;author&gt;Rousseau, M. C.&lt;/author&gt;&lt;/authors&gt;&lt;/contributors&gt;&lt;titles&gt;&lt;title&gt;Proposal: A mixed methods appraisal tool for systematic mixed studies reviews&lt;/title&gt;&lt;secondary-title&gt;Montréal: McGill University&lt;/secondary-title&gt;&lt;/titles&gt;&lt;periodical&gt;&lt;full-title&gt;Montréal: McGill University&lt;/full-title&gt;&lt;/periodical&gt;&lt;pages&gt;1-8&lt;/pages&gt;&lt;dates&gt;&lt;year&gt;2011&lt;/year&gt;&lt;/dates&gt;&lt;urls&gt;&lt;/urls&gt;&lt;/record&gt;&lt;/Cite&gt;&lt;/EndNote&gt;</w:instrText>
      </w:r>
      <w:r w:rsidRPr="00B27F0B">
        <w:rPr>
          <w:lang w:val="en-GB"/>
        </w:rPr>
        <w:fldChar w:fldCharType="separate"/>
      </w:r>
      <w:r w:rsidRPr="00B56453">
        <w:rPr>
          <w:noProof/>
          <w:lang w:val="en-GB"/>
        </w:rPr>
        <w:t>(</w:t>
      </w:r>
      <w:hyperlink w:anchor="_ENREF_331" w:tooltip="Pluye, 2011 #476" w:history="1">
        <w:r w:rsidR="0094469E" w:rsidRPr="00B56453">
          <w:rPr>
            <w:noProof/>
            <w:lang w:val="en-GB"/>
          </w:rPr>
          <w:t>2011</w:t>
        </w:r>
      </w:hyperlink>
      <w:r w:rsidRPr="00B56453">
        <w:rPr>
          <w:noProof/>
          <w:lang w:val="en-GB"/>
        </w:rPr>
        <w:t>)</w:t>
      </w:r>
      <w:r w:rsidRPr="007638B6">
        <w:rPr>
          <w:lang w:val="en-GB"/>
        </w:rPr>
        <w:fldChar w:fldCharType="end"/>
      </w:r>
      <w:r w:rsidRPr="00B56453">
        <w:rPr>
          <w:lang w:val="en-GB"/>
        </w:rPr>
        <w:t xml:space="preserve"> quality appraisal criteria for mixed methods research was used as a guide for designing and evaluating this study in a rigorous way to identify what could be learned from the strengths and weaknesses in this research. </w:t>
      </w:r>
      <w:hyperlink w:anchor="_ENREF_328" w:tooltip="Pluye, 2013 #203" w:history="1">
        <w:r w:rsidR="0094469E" w:rsidRPr="00B27F0B">
          <w:rPr>
            <w:lang w:val="en-GB"/>
          </w:rPr>
          <w:fldChar w:fldCharType="begin"/>
        </w:r>
        <w:r w:rsidR="0094469E" w:rsidRPr="00B56453">
          <w:rPr>
            <w:lang w:val="en-GB"/>
          </w:rPr>
          <w:instrText xml:space="preserve"> ADDIN EN.CITE &lt;EndNote&gt;&lt;Cite AuthorYear="1"&gt;&lt;Author&gt;Pluye&lt;/Author&gt;&lt;Year&gt;2013&lt;/Year&gt;&lt;RecNum&gt;477&lt;/RecNum&gt;&lt;DisplayText&gt;Pluye (2013)&lt;/DisplayText&gt;&lt;record&gt;&lt;rec-number&gt;477&lt;/rec-number&gt;&lt;foreign-keys&gt;&lt;key app="EN" db-id="xa2r2ewea92trkef5dt5arvbzafvpv2za5ft" timestamp="1496417548"&gt;477&lt;/key&gt;&lt;/foreign-keys&gt;&lt;ref-type name="Journal Article"&gt;17&lt;/ref-type&gt;&lt;contributors&gt;&lt;authors&gt;&lt;author&gt;Pluye, Pierre&lt;/author&gt;&lt;/authors&gt;&lt;/contributors&gt;&lt;titles&gt;&lt;title&gt;Critical appraisal tools for assessing the methodological quality of qualitative, quantitative and mixed methods studies included in systematic mixed studies reviews&lt;/title&gt;&lt;secondary-title&gt;Journal of evaluation in clinical practice&lt;/secondary-title&gt;&lt;/titles&gt;&lt;periodical&gt;&lt;full-title&gt;Journal of evaluation in clinical practice&lt;/full-title&gt;&lt;/periodical&gt;&lt;pages&gt;722-722&lt;/pages&gt;&lt;volume&gt;19&lt;/volume&gt;&lt;number&gt;4&lt;/number&gt;&lt;dates&gt;&lt;year&gt;2013&lt;/year&gt;&lt;/dates&gt;&lt;publisher&gt;Wiley Online Library&lt;/publisher&gt;&lt;urls&gt;&lt;related-urls&gt;&lt;url&gt;http://onlinelibrary.wiley.com/doi/10.1111/jep.12017/abstract&lt;/url&gt;&lt;/related-urls&gt;&lt;/urls&gt;&lt;/record&gt;&lt;/Cite&gt;&lt;/EndNote&gt;</w:instrText>
        </w:r>
        <w:r w:rsidR="0094469E" w:rsidRPr="00B27F0B">
          <w:rPr>
            <w:lang w:val="en-GB"/>
          </w:rPr>
          <w:fldChar w:fldCharType="separate"/>
        </w:r>
        <w:r w:rsidR="0094469E" w:rsidRPr="00B56453">
          <w:rPr>
            <w:noProof/>
            <w:lang w:val="en-GB"/>
          </w:rPr>
          <w:t>Pluye (2013)</w:t>
        </w:r>
        <w:r w:rsidR="0094469E" w:rsidRPr="00B27F0B">
          <w:rPr>
            <w:lang w:val="en-GB"/>
          </w:rPr>
          <w:fldChar w:fldCharType="end"/>
        </w:r>
      </w:hyperlink>
      <w:r w:rsidRPr="00B56453">
        <w:rPr>
          <w:lang w:val="en-GB"/>
        </w:rPr>
        <w:t xml:space="preserve"> developed the Mixed Methods Appraisal Tool (MMAT) based on evidence gathered in a literature review </w:t>
      </w:r>
      <w:r w:rsidRPr="009C2746">
        <w:rPr>
          <w:lang w:val="en-GB"/>
        </w:rPr>
        <w:fldChar w:fldCharType="begin"/>
      </w:r>
      <w:r w:rsidRPr="00B56453">
        <w:rPr>
          <w:lang w:val="en-GB"/>
        </w:rPr>
        <w:instrText xml:space="preserve"> ADDIN EN.CITE &lt;EndNote&gt;&lt;Cite&gt;&lt;Author&gt;Pluye&lt;/Author&gt;&lt;Year&gt;2009&lt;/Year&gt;&lt;RecNum&gt;204&lt;/RecNum&gt;&lt;DisplayText&gt;(Pluye et al. 2009)&lt;/DisplayText&gt;&lt;record&gt;&lt;rec-number&gt;204&lt;/rec-number&gt;&lt;foreign-keys&gt;&lt;key app="EN" db-id="xa2r2ewea92trkef5dt5arvbzafvpv2za5ft" timestamp="1442161765"&gt;204&lt;/key&gt;&lt;/foreign-keys&gt;&lt;ref-type name="Journal Article"&gt;17&lt;/ref-type&gt;&lt;contributors&gt;&lt;authors&gt;&lt;author&gt;Pluye, Pierre&lt;/author&gt;&lt;author&gt;Gagnon, Marie-Pierre&lt;/author&gt;&lt;author&gt;Griffiths, Frances&lt;/author&gt;&lt;author&gt;Johnson-Lafleur, Janique&lt;/author&gt;&lt;/authors&gt;&lt;/contributors&gt;&lt;titles&gt;&lt;title&gt;A scoring system for appraising mixed methods research, and concomitantly appraising qualitative, quantitative and mixed methods primary studies in Mixed Studies Reviews&lt;/title&gt;&lt;secondary-title&gt;International journal of nursing studies&lt;/secondary-title&gt;&lt;/titles&gt;&lt;periodical&gt;&lt;full-title&gt;International journal of nursing studies&lt;/full-title&gt;&lt;/periodical&gt;&lt;pages&gt;529-546&lt;/pages&gt;&lt;volume&gt;46&lt;/volume&gt;&lt;number&gt;4&lt;/number&gt;&lt;dates&gt;&lt;year&gt;2009&lt;/year&gt;&lt;/dates&gt;&lt;publisher&gt;Elsevier&lt;/publisher&gt;&lt;urls&gt;&lt;related-urls&gt;&lt;url&gt;http://www.journalofnursingstudies.com/article/S0020-7489(09)00014-5/abstract&lt;/url&gt;&lt;/related-urls&gt;&lt;/urls&gt;&lt;/record&gt;&lt;/Cite&gt;&lt;/EndNote&gt;</w:instrText>
      </w:r>
      <w:r w:rsidRPr="00B27F0B">
        <w:rPr>
          <w:lang w:val="en-GB"/>
        </w:rPr>
        <w:fldChar w:fldCharType="separate"/>
      </w:r>
      <w:r w:rsidRPr="00B56453">
        <w:rPr>
          <w:noProof/>
          <w:lang w:val="en-GB"/>
        </w:rPr>
        <w:t>(</w:t>
      </w:r>
      <w:hyperlink w:anchor="_ENREF_329" w:tooltip="Pluye, 2009 #204" w:history="1">
        <w:r w:rsidR="0094469E" w:rsidRPr="00B56453">
          <w:rPr>
            <w:noProof/>
            <w:lang w:val="en-GB"/>
          </w:rPr>
          <w:t>Pluye et al. 2009</w:t>
        </w:r>
      </w:hyperlink>
      <w:r w:rsidRPr="00B56453">
        <w:rPr>
          <w:noProof/>
          <w:lang w:val="en-GB"/>
        </w:rPr>
        <w:t>)</w:t>
      </w:r>
      <w:r w:rsidRPr="009C2746">
        <w:rPr>
          <w:lang w:val="en-GB"/>
        </w:rPr>
        <w:fldChar w:fldCharType="end"/>
      </w:r>
      <w:r w:rsidRPr="00B56453">
        <w:rPr>
          <w:lang w:val="en-GB"/>
        </w:rPr>
        <w:t xml:space="preserve"> and a pilot study </w:t>
      </w:r>
      <w:r w:rsidRPr="009C2746">
        <w:rPr>
          <w:lang w:val="en-GB"/>
        </w:rPr>
        <w:fldChar w:fldCharType="begin"/>
      </w:r>
      <w:r w:rsidRPr="00B56453">
        <w:rPr>
          <w:lang w:val="en-GB"/>
        </w:rPr>
        <w:instrText xml:space="preserve"> ADDIN EN.CITE &lt;EndNote&gt;&lt;Cite&gt;&lt;Author&gt;Pace&lt;/Author&gt;&lt;Year&gt;2012&lt;/Year&gt;&lt;RecNum&gt;192&lt;/RecNum&gt;&lt;DisplayText&gt;(Pace et al. 2012)&lt;/DisplayText&gt;&lt;record&gt;&lt;rec-number&gt;192&lt;/rec-number&gt;&lt;foreign-keys&gt;&lt;key app="EN" db-id="xa2r2ewea92trkef5dt5arvbzafvpv2za5ft" timestamp="1442161765"&gt;192&lt;/key&gt;&lt;/foreign-keys&gt;&lt;ref-type name="Journal Article"&gt;17&lt;/ref-type&gt;&lt;contributors&gt;&lt;authors&gt;&lt;author&gt;Pace, Romina&lt;/author&gt;&lt;author&gt;Pluye, Pierre&lt;/author&gt;&lt;author&gt;Bartlett, Gillian&lt;/author&gt;&lt;author&gt;Macaulay, Ann C.&lt;/author&gt;&lt;author&gt;Salsberg, Jon&lt;/author&gt;&lt;author&gt;Jagosh, Justin&lt;/author&gt;&lt;author&gt;Seller, Robbyn&lt;/author&gt;&lt;/authors&gt;&lt;/contributors&gt;&lt;titles&gt;&lt;title&gt;Testing the reliability and efficiency of the pilot Mixed Methods Appraisal Tool (MMAT) for systematic mixed studies review&lt;/title&gt;&lt;secondary-title&gt;International journal of nursing studies&lt;/secondary-title&gt;&lt;/titles&gt;&lt;periodical&gt;&lt;full-title&gt;International journal of nursing studies&lt;/full-title&gt;&lt;/periodical&gt;&lt;pages&gt;47-53&lt;/pages&gt;&lt;volume&gt;49&lt;/volume&gt;&lt;number&gt;1&lt;/number&gt;&lt;dates&gt;&lt;year&gt;2012&lt;/year&gt;&lt;/dates&gt;&lt;publisher&gt;Elsevier&lt;/publisher&gt;&lt;urls&gt;&lt;related-urls&gt;&lt;url&gt;http://www.journalofnursingstudies.com/article/S0020-7489(11)00266-5/abstract&lt;/url&gt;&lt;/related-urls&gt;&lt;/urls&gt;&lt;/record&gt;&lt;/Cite&gt;&lt;/EndNote&gt;</w:instrText>
      </w:r>
      <w:r w:rsidRPr="00B27F0B">
        <w:rPr>
          <w:lang w:val="en-GB"/>
        </w:rPr>
        <w:fldChar w:fldCharType="separate"/>
      </w:r>
      <w:r w:rsidRPr="00B56453">
        <w:rPr>
          <w:noProof/>
          <w:lang w:val="en-GB"/>
        </w:rPr>
        <w:t>(</w:t>
      </w:r>
      <w:hyperlink w:anchor="_ENREF_311" w:tooltip="Pace, 2012 #192" w:history="1">
        <w:r w:rsidR="0094469E" w:rsidRPr="00B56453">
          <w:rPr>
            <w:noProof/>
            <w:lang w:val="en-GB"/>
          </w:rPr>
          <w:t>Pace et al. 2012</w:t>
        </w:r>
      </w:hyperlink>
      <w:r w:rsidRPr="00B56453">
        <w:rPr>
          <w:noProof/>
          <w:lang w:val="en-GB"/>
        </w:rPr>
        <w:t>)</w:t>
      </w:r>
      <w:r w:rsidRPr="009C2746">
        <w:rPr>
          <w:lang w:val="en-GB"/>
        </w:rPr>
        <w:fldChar w:fldCharType="end"/>
      </w:r>
      <w:r w:rsidRPr="00B56453">
        <w:rPr>
          <w:lang w:val="en-GB"/>
        </w:rPr>
        <w:t xml:space="preserve">. It is based on a constructionist view </w:t>
      </w:r>
      <w:r w:rsidRPr="009C2746">
        <w:rPr>
          <w:lang w:val="en-GB"/>
        </w:rPr>
        <w:fldChar w:fldCharType="begin"/>
      </w:r>
      <w:r w:rsidRPr="00B56453">
        <w:rPr>
          <w:lang w:val="en-GB"/>
        </w:rPr>
        <w:instrText xml:space="preserve"> ADDIN EN.CITE &lt;EndNote&gt;&lt;Cite&gt;&lt;Author&gt;Hacking&lt;/Author&gt;&lt;Year&gt;1999&lt;/Year&gt;&lt;RecNum&gt;103&lt;/RecNum&gt;&lt;DisplayText&gt;(Hacking 1999)&lt;/DisplayText&gt;&lt;record&gt;&lt;rec-number&gt;103&lt;/rec-number&gt;&lt;foreign-keys&gt;&lt;key app="EN" db-id="xa2r2ewea92trkef5dt5arvbzafvpv2za5ft" timestamp="1442161764"&gt;103&lt;/key&gt;&lt;/foreign-keys&gt;&lt;ref-type name="Book"&gt;6&lt;/ref-type&gt;&lt;contributors&gt;&lt;authors&gt;&lt;author&gt;Hacking, Ian&lt;/author&gt;&lt;/authors&gt;&lt;/contributors&gt;&lt;titles&gt;&lt;title&gt;The social construction of what?&lt;/title&gt;&lt;/titles&gt;&lt;number&gt;Book, Whole&lt;/number&gt;&lt;dates&gt;&lt;year&gt;1999&lt;/year&gt;&lt;/dates&gt;&lt;pub-location&gt;Cambridge, MA&lt;/pub-location&gt;&lt;publisher&gt;Harvard university press&lt;/publisher&gt;&lt;urls&gt;&lt;/urls&gt;&lt;/record&gt;&lt;/Cite&gt;&lt;/EndNote&gt;</w:instrText>
      </w:r>
      <w:r w:rsidRPr="00B27F0B">
        <w:rPr>
          <w:lang w:val="en-GB"/>
        </w:rPr>
        <w:fldChar w:fldCharType="separate"/>
      </w:r>
      <w:r w:rsidRPr="00B56453">
        <w:rPr>
          <w:noProof/>
          <w:lang w:val="en-GB"/>
        </w:rPr>
        <w:t>(</w:t>
      </w:r>
      <w:hyperlink w:anchor="_ENREF_177" w:tooltip="Hacking, 1999 #103" w:history="1">
        <w:r w:rsidR="0094469E" w:rsidRPr="00B56453">
          <w:rPr>
            <w:noProof/>
            <w:lang w:val="en-GB"/>
          </w:rPr>
          <w:t>Hacking 1999</w:t>
        </w:r>
      </w:hyperlink>
      <w:r w:rsidRPr="00B56453">
        <w:rPr>
          <w:noProof/>
          <w:lang w:val="en-GB"/>
        </w:rPr>
        <w:t>)</w:t>
      </w:r>
      <w:r w:rsidRPr="009C2746">
        <w:rPr>
          <w:lang w:val="en-GB"/>
        </w:rPr>
        <w:fldChar w:fldCharType="end"/>
      </w:r>
      <w:r w:rsidRPr="00B56453">
        <w:rPr>
          <w:lang w:val="en-GB"/>
        </w:rPr>
        <w:t xml:space="preserve"> that proposes that by conducting mixed methods research the researcher “builds a new mixed kind of evidence” via a looping effect of qualitative and quantitative data </w:t>
      </w:r>
      <w:r w:rsidRPr="009C2746">
        <w:rPr>
          <w:lang w:val="en-GB"/>
        </w:rPr>
        <w:fldChar w:fldCharType="begin"/>
      </w:r>
      <w:r w:rsidRPr="00B56453">
        <w:rPr>
          <w:lang w:val="en-GB"/>
        </w:rPr>
        <w:instrText xml:space="preserve"> ADDIN EN.CITE &lt;EndNote&gt;&lt;Cite&gt;&lt;Author&gt;Pluye&lt;/Author&gt;&lt;Year&gt;2014&lt;/Year&gt;&lt;RecNum&gt;479&lt;/RecNum&gt;&lt;Pages&gt;35&lt;/Pages&gt;&lt;DisplayText&gt;(Pluye and Hong 2014, p. 35)&lt;/DisplayText&gt;&lt;record&gt;&lt;rec-number&gt;479&lt;/rec-number&gt;&lt;foreign-keys&gt;&lt;key app="EN" db-id="xa2r2ewea92trkef5dt5arvbzafvpv2za5ft" timestamp="1496417548"&gt;479&lt;/key&gt;&lt;/foreign-keys&gt;&lt;ref-type name="Journal Article"&gt;17&lt;/ref-type&gt;&lt;contributors&gt;&lt;authors&gt;&lt;author&gt;Pluye, Pierre&lt;/author&gt;&lt;author&gt;Hong, Quan Nha&lt;/author&gt;&lt;/authors&gt;&lt;/contributors&gt;&lt;titles&gt;&lt;title&gt;Combining the power of stories and the power of numbers: mixed methods research and mixed studies reviews&lt;/title&gt;&lt;secondary-title&gt;Public health&lt;/secondary-title&gt;&lt;/titles&gt;&lt;periodical&gt;&lt;full-title&gt;Public health&lt;/full-title&gt;&lt;/periodical&gt;&lt;pages&gt;29&lt;/pages&gt;&lt;volume&gt;35&lt;/volume&gt;&lt;number&gt;1&lt;/number&gt;&lt;dates&gt;&lt;year&gt;2014&lt;/year&gt;&lt;/dates&gt;&lt;urls&gt;&lt;/urls&gt;&lt;/record&gt;&lt;/Cite&gt;&lt;/EndNote&gt;</w:instrText>
      </w:r>
      <w:r w:rsidRPr="00B27F0B">
        <w:rPr>
          <w:lang w:val="en-GB"/>
        </w:rPr>
        <w:fldChar w:fldCharType="separate"/>
      </w:r>
      <w:r w:rsidRPr="00B56453">
        <w:rPr>
          <w:noProof/>
          <w:lang w:val="en-GB"/>
        </w:rPr>
        <w:t>(</w:t>
      </w:r>
      <w:hyperlink w:anchor="_ENREF_330" w:tooltip="Pluye, 2014 #479" w:history="1">
        <w:r w:rsidR="0094469E" w:rsidRPr="00B56453">
          <w:rPr>
            <w:noProof/>
            <w:lang w:val="en-GB"/>
          </w:rPr>
          <w:t>Pluye and Hong 2014, p. 35</w:t>
        </w:r>
      </w:hyperlink>
      <w:r w:rsidRPr="00B56453">
        <w:rPr>
          <w:noProof/>
          <w:lang w:val="en-GB"/>
        </w:rPr>
        <w:t>)</w:t>
      </w:r>
      <w:r w:rsidRPr="009C2746">
        <w:rPr>
          <w:lang w:val="en-GB"/>
        </w:rPr>
        <w:fldChar w:fldCharType="end"/>
      </w:r>
      <w:r w:rsidRPr="00B56453">
        <w:rPr>
          <w:lang w:val="en-GB"/>
        </w:rPr>
        <w:t xml:space="preserve">. </w:t>
      </w:r>
    </w:p>
    <w:p w14:paraId="09E013D4" w14:textId="77777777" w:rsidR="0021662A" w:rsidRPr="00B56453" w:rsidRDefault="0021662A" w:rsidP="0021662A">
      <w:pPr>
        <w:pStyle w:val="Normal1"/>
        <w:rPr>
          <w:lang w:val="en-GB"/>
        </w:rPr>
      </w:pPr>
    </w:p>
    <w:p w14:paraId="74656076" w14:textId="27D0D645" w:rsidR="0021662A" w:rsidRPr="00B56453" w:rsidRDefault="002A1C63" w:rsidP="0021662A">
      <w:pPr>
        <w:pStyle w:val="Normal1"/>
        <w:rPr>
          <w:lang w:val="en-GB"/>
        </w:rPr>
      </w:pPr>
      <w:hyperlink w:anchor="_ENREF_106" w:tooltip="Crowe, 2011 #955" w:history="1">
        <w:r w:rsidR="0094469E" w:rsidRPr="00B27F0B">
          <w:rPr>
            <w:lang w:val="en-GB"/>
          </w:rPr>
          <w:fldChar w:fldCharType="begin"/>
        </w:r>
        <w:r w:rsidR="0094469E" w:rsidRPr="00B56453">
          <w:rPr>
            <w:lang w:val="en-GB"/>
          </w:rPr>
          <w:instrText xml:space="preserve"> ADDIN EN.CITE &lt;EndNote&gt;&lt;Cite AuthorYear="1"&gt;&lt;Author&gt;Crowe&lt;/Author&gt;&lt;Year&gt;2011&lt;/Year&gt;&lt;RecNum&gt;955&lt;/RecNum&gt;&lt;DisplayText&gt;Crowe and Sheppard (2011)&lt;/DisplayText&gt;&lt;record&gt;&lt;rec-number&gt;955&lt;/rec-number&gt;&lt;foreign-keys&gt;&lt;key app="EN" db-id="xa2r2ewea92trkef5dt5arvbzafvpv2za5ft" timestamp="1500909950"&gt;955&lt;/key&gt;&lt;/foreign-keys&gt;&lt;ref-type name="Journal Article"&gt;17&lt;/ref-type&gt;&lt;contributors&gt;&lt;authors&gt;&lt;author&gt;Crowe, Michael&lt;/author&gt;&lt;author&gt;Sheppard, Lorraine&lt;/author&gt;&lt;/authors&gt;&lt;/contributors&gt;&lt;titles&gt;&lt;title&gt;A review of critical appraisal tools show they lack rigor: alternative tool structure is proposed&lt;/title&gt;&lt;secondary-title&gt;Journal of clinical epidemiology&lt;/secondary-title&gt;&lt;/titles&gt;&lt;periodical&gt;&lt;full-title&gt;Journal of clinical epidemiology&lt;/full-title&gt;&lt;/periodical&gt;&lt;pages&gt;79-89&lt;/pages&gt;&lt;volume&gt;64&lt;/volume&gt;&lt;number&gt;1&lt;/number&gt;&lt;dates&gt;&lt;year&gt;2011&lt;/year&gt;&lt;/dates&gt;&lt;isbn&gt;0895-4356&lt;/isbn&gt;&lt;urls&gt;&lt;/urls&gt;&lt;/record&gt;&lt;/Cite&gt;&lt;/EndNote&gt;</w:instrText>
        </w:r>
        <w:r w:rsidR="0094469E" w:rsidRPr="00B27F0B">
          <w:rPr>
            <w:lang w:val="en-GB"/>
          </w:rPr>
          <w:fldChar w:fldCharType="separate"/>
        </w:r>
        <w:r w:rsidR="0094469E" w:rsidRPr="00B56453">
          <w:rPr>
            <w:noProof/>
            <w:lang w:val="en-GB"/>
          </w:rPr>
          <w:t>Crowe and Sheppard (2011)</w:t>
        </w:r>
        <w:r w:rsidR="0094469E" w:rsidRPr="00B27F0B">
          <w:rPr>
            <w:lang w:val="en-GB"/>
          </w:rPr>
          <w:fldChar w:fldCharType="end"/>
        </w:r>
      </w:hyperlink>
      <w:r w:rsidR="0021662A" w:rsidRPr="00B56453">
        <w:rPr>
          <w:lang w:val="en-GB"/>
        </w:rPr>
        <w:t xml:space="preserve"> conducted a review of quality appraisal tools and found that the MMAT was the only tool that evaluated the quality of mixed methods studies, and to a high standard. Since then, it has been content validated using workshops and expert accounts </w:t>
      </w:r>
      <w:r w:rsidR="0021662A" w:rsidRPr="009C2746">
        <w:rPr>
          <w:lang w:val="en-GB"/>
        </w:rPr>
        <w:fldChar w:fldCharType="begin"/>
      </w:r>
      <w:r w:rsidR="0021662A" w:rsidRPr="00B56453">
        <w:rPr>
          <w:lang w:val="en-GB"/>
        </w:rPr>
        <w:instrText xml:space="preserve"> ADDIN EN.CITE &lt;EndNote&gt;&lt;Cite&gt;&lt;Author&gt;Pluye&lt;/Author&gt;&lt;Year&gt;2011&lt;/Year&gt;&lt;RecNum&gt;476&lt;/RecNum&gt;&lt;DisplayText&gt;(Pluye et al. 2011)&lt;/DisplayText&gt;&lt;record&gt;&lt;rec-number&gt;476&lt;/rec-number&gt;&lt;foreign-keys&gt;&lt;key app="EN" db-id="xa2r2ewea92trkef5dt5arvbzafvpv2za5ft" timestamp="1496417548"&gt;476&lt;/key&gt;&lt;/foreign-keys&gt;&lt;ref-type name="Journal Article"&gt;17&lt;/ref-type&gt;&lt;contributors&gt;&lt;authors&gt;&lt;author&gt;Pluye, P.&lt;/author&gt;&lt;author&gt;Robert, E.&lt;/author&gt;&lt;author&gt;Cargo, M.&lt;/author&gt;&lt;author&gt;Bartlett, G.&lt;/author&gt;&lt;author&gt;O’Cathain, A.&lt;/author&gt;&lt;author&gt;Griffiths, F.&lt;/author&gt;&lt;author&gt;Boardman, F.&lt;/author&gt;&lt;author&gt;Gagnon, M. P.&lt;/author&gt;&lt;author&gt;Rousseau, M. C.&lt;/author&gt;&lt;/authors&gt;&lt;/contributors&gt;&lt;titles&gt;&lt;title&gt;Proposal: A mixed methods appraisal tool for systematic mixed studies reviews&lt;/title&gt;&lt;secondary-title&gt;Montréal: McGill University&lt;/secondary-title&gt;&lt;/titles&gt;&lt;periodical&gt;&lt;full-title&gt;Montréal: McGill University&lt;/full-title&gt;&lt;/periodical&gt;&lt;pages&gt;1-8&lt;/pages&gt;&lt;dates&gt;&lt;year&gt;2011&lt;/year&gt;&lt;/dates&gt;&lt;urls&gt;&lt;/urls&gt;&lt;/record&gt;&lt;/Cite&gt;&lt;/EndNote&gt;</w:instrText>
      </w:r>
      <w:r w:rsidR="0021662A" w:rsidRPr="00B27F0B">
        <w:rPr>
          <w:lang w:val="en-GB"/>
        </w:rPr>
        <w:fldChar w:fldCharType="separate"/>
      </w:r>
      <w:r w:rsidR="0021662A" w:rsidRPr="00B56453">
        <w:rPr>
          <w:noProof/>
          <w:lang w:val="en-GB"/>
        </w:rPr>
        <w:t>(</w:t>
      </w:r>
      <w:hyperlink w:anchor="_ENREF_331" w:tooltip="Pluye, 2011 #476" w:history="1">
        <w:r w:rsidR="0094469E" w:rsidRPr="00B56453">
          <w:rPr>
            <w:noProof/>
            <w:lang w:val="en-GB"/>
          </w:rPr>
          <w:t>Pluye et al. 2011</w:t>
        </w:r>
      </w:hyperlink>
      <w:r w:rsidR="0021662A" w:rsidRPr="00B56453">
        <w:rPr>
          <w:noProof/>
          <w:lang w:val="en-GB"/>
        </w:rPr>
        <w:t>)</w:t>
      </w:r>
      <w:r w:rsidR="0021662A" w:rsidRPr="009C2746">
        <w:rPr>
          <w:lang w:val="en-GB"/>
        </w:rPr>
        <w:fldChar w:fldCharType="end"/>
      </w:r>
      <w:r w:rsidR="0021662A" w:rsidRPr="00B56453">
        <w:rPr>
          <w:lang w:val="en-GB"/>
        </w:rPr>
        <w:t xml:space="preserve"> and has undergone tests of reliability and efficiency </w:t>
      </w:r>
      <w:r w:rsidR="0021662A" w:rsidRPr="009C2746">
        <w:rPr>
          <w:lang w:val="en-GB"/>
        </w:rPr>
        <w:fldChar w:fldCharType="begin">
          <w:fldData xml:space="preserve">PEVuZE5vdGU+PENpdGU+PEF1dGhvcj5QYWNlPC9BdXRob3I+PFllYXI+MjAxMjwvWWVhcj48UmVj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</w:fldData>
        </w:fldChar>
      </w:r>
      <w:r w:rsidR="0021662A" w:rsidRPr="00B56453">
        <w:rPr>
          <w:lang w:val="en-GB"/>
        </w:rPr>
        <w:instrText xml:space="preserve"> ADDIN EN.CITE </w:instrText>
      </w:r>
      <w:r w:rsidR="0021662A" w:rsidRPr="00B27F0B">
        <w:rPr>
          <w:lang w:val="en-GB"/>
        </w:rPr>
        <w:fldChar w:fldCharType="begin">
          <w:fldData xml:space="preserve">PEVuZE5vdGU+PENpdGU+PEF1dGhvcj5QYWNlPC9BdXRob3I+PFllYXI+MjAxMjwvWWVhcj48UmVj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</w:fldData>
        </w:fldChar>
      </w:r>
      <w:r w:rsidR="0021662A" w:rsidRPr="00B56453">
        <w:rPr>
          <w:lang w:val="en-GB"/>
        </w:rPr>
        <w:instrText xml:space="preserve"> ADDIN EN.CITE.DATA </w:instrText>
      </w:r>
      <w:r w:rsidR="0021662A" w:rsidRPr="00B27F0B">
        <w:rPr>
          <w:lang w:val="en-GB"/>
        </w:rPr>
      </w:r>
      <w:r w:rsidR="0021662A" w:rsidRPr="00B27F0B">
        <w:rPr>
          <w:lang w:val="en-GB"/>
        </w:rPr>
        <w:fldChar w:fldCharType="end"/>
      </w:r>
      <w:r w:rsidR="0021662A" w:rsidRPr="00B27F0B">
        <w:rPr>
          <w:lang w:val="en-GB"/>
        </w:rPr>
      </w:r>
      <w:r w:rsidR="0021662A" w:rsidRPr="00B27F0B">
        <w:rPr>
          <w:lang w:val="en-GB"/>
        </w:rPr>
        <w:fldChar w:fldCharType="separate"/>
      </w:r>
      <w:r w:rsidR="0021662A" w:rsidRPr="00B56453">
        <w:rPr>
          <w:noProof/>
          <w:lang w:val="en-GB"/>
        </w:rPr>
        <w:t>(</w:t>
      </w:r>
      <w:hyperlink w:anchor="_ENREF_311" w:tooltip="Pace, 2012 #192" w:history="1">
        <w:r w:rsidR="0094469E" w:rsidRPr="00B56453">
          <w:rPr>
            <w:noProof/>
            <w:lang w:val="en-GB"/>
          </w:rPr>
          <w:t>Pace et al. 2012</w:t>
        </w:r>
      </w:hyperlink>
      <w:r w:rsidR="0021662A" w:rsidRPr="00B56453">
        <w:rPr>
          <w:noProof/>
          <w:lang w:val="en-GB"/>
        </w:rPr>
        <w:t xml:space="preserve">; </w:t>
      </w:r>
      <w:hyperlink w:anchor="_ENREF_391" w:tooltip="Souto, 2015 #512" w:history="1">
        <w:r w:rsidR="0094469E" w:rsidRPr="00B56453">
          <w:rPr>
            <w:noProof/>
            <w:lang w:val="en-GB"/>
          </w:rPr>
          <w:t>Souto et al. 2015</w:t>
        </w:r>
      </w:hyperlink>
      <w:r w:rsidR="0021662A" w:rsidRPr="00B56453">
        <w:rPr>
          <w:noProof/>
          <w:lang w:val="en-GB"/>
        </w:rPr>
        <w:t>)</w:t>
      </w:r>
      <w:r w:rsidR="0021662A" w:rsidRPr="009C2746">
        <w:rPr>
          <w:lang w:val="en-GB"/>
        </w:rPr>
        <w:fldChar w:fldCharType="end"/>
      </w:r>
      <w:r w:rsidR="0021662A" w:rsidRPr="00B56453">
        <w:rPr>
          <w:lang w:val="en-GB"/>
        </w:rPr>
        <w:t xml:space="preserve">. The tool has proven popular and has been used in over 50 systematic reviews to specifically </w:t>
      </w:r>
      <w:r w:rsidR="009A1184" w:rsidRPr="00B56453">
        <w:rPr>
          <w:lang w:val="en-GB"/>
        </w:rPr>
        <w:t>evaluate</w:t>
      </w:r>
      <w:r w:rsidR="0021662A" w:rsidRPr="00B56453">
        <w:rPr>
          <w:lang w:val="en-GB"/>
        </w:rPr>
        <w:t xml:space="preserve"> the quality of mixed methods studies </w:t>
      </w:r>
      <w:r w:rsidR="0021662A" w:rsidRPr="009C2746">
        <w:rPr>
          <w:lang w:val="en-GB"/>
        </w:rPr>
        <w:fldChar w:fldCharType="begin"/>
      </w:r>
      <w:r w:rsidR="0021662A" w:rsidRPr="00B56453">
        <w:rPr>
          <w:lang w:val="en-GB"/>
        </w:rPr>
        <w:instrText xml:space="preserve"> ADDIN EN.CITE &lt;EndNote&gt;&lt;Cite&gt;&lt;Author&gt;Pluye&lt;/Author&gt;&lt;Year&gt;2013&lt;/Year&gt;&lt;RecNum&gt;203&lt;/RecNum&gt;&lt;DisplayText&gt;(Pluye 2013)&lt;/DisplayText&gt;&lt;record&gt;&lt;rec-number&gt;203&lt;/rec-number&gt;&lt;foreign-keys&gt;&lt;key app="EN" db-id="xa2r2ewea92trkef5dt5arvbzafvpv2za5ft" timestamp="1442161765"&gt;203&lt;/key&gt;&lt;/foreign-keys&gt;&lt;ref-type name="Journal Article"&gt;17&lt;/ref-type&gt;&lt;contributors&gt;&lt;authors&gt;&lt;author&gt;Pluye, Pierre&lt;/author&gt;&lt;/authors&gt;&lt;/contributors&gt;&lt;titles&gt;&lt;title&gt;Critical appraisal tools for assessing the methodological quality of qualitative, quantitative and mixed methods studies included in systematic mixed studies reviews&lt;/title&gt;&lt;secondary-title&gt;Journal of evaluation in clinical practice&lt;/secondary-title&gt;&lt;/titles&gt;&lt;periodical&gt;&lt;full-title&gt;Journal of evaluation in clinical practice&lt;/full-title&gt;&lt;/periodical&gt;&lt;pages&gt;722-722&lt;/pages&gt;&lt;volume&gt;19&lt;/volume&gt;&lt;number&gt;4&lt;/number&gt;&lt;dates&gt;&lt;year&gt;2013&lt;/year&gt;&lt;/dates&gt;&lt;publisher&gt;Wiley Online Library&lt;/publisher&gt;&lt;urls&gt;&lt;related-urls&gt;&lt;url&gt;http://onlinelibrary.wiley.com/doi/10.1111/jep.12017/abstract&lt;/url&gt;&lt;/related-urls&gt;&lt;/urls&gt;&lt;/record&gt;&lt;/Cite&gt;&lt;/EndNote&gt;</w:instrText>
      </w:r>
      <w:r w:rsidR="0021662A" w:rsidRPr="00B27F0B">
        <w:rPr>
          <w:lang w:val="en-GB"/>
        </w:rPr>
        <w:fldChar w:fldCharType="separate"/>
      </w:r>
      <w:r w:rsidR="0021662A" w:rsidRPr="00B56453">
        <w:rPr>
          <w:noProof/>
          <w:lang w:val="en-GB"/>
        </w:rPr>
        <w:t>(</w:t>
      </w:r>
      <w:hyperlink w:anchor="_ENREF_328" w:tooltip="Pluye, 2013 #203" w:history="1">
        <w:r w:rsidR="0094469E" w:rsidRPr="00B56453">
          <w:rPr>
            <w:noProof/>
            <w:lang w:val="en-GB"/>
          </w:rPr>
          <w:t>Pluye 2013</w:t>
        </w:r>
      </w:hyperlink>
      <w:r w:rsidR="0021662A" w:rsidRPr="00B56453">
        <w:rPr>
          <w:noProof/>
          <w:lang w:val="en-GB"/>
        </w:rPr>
        <w:t>)</w:t>
      </w:r>
      <w:r w:rsidR="0021662A" w:rsidRPr="009C2746">
        <w:rPr>
          <w:lang w:val="en-GB"/>
        </w:rPr>
        <w:fldChar w:fldCharType="end"/>
      </w:r>
      <w:r w:rsidR="0021662A" w:rsidRPr="00B56453">
        <w:rPr>
          <w:lang w:val="en-GB"/>
        </w:rPr>
        <w:t xml:space="preserve">. The specific criteria used to evaluate the design of this study can be found in Table </w:t>
      </w:r>
      <w:r w:rsidR="00BF6160" w:rsidRPr="00B56453">
        <w:rPr>
          <w:lang w:val="en-GB"/>
        </w:rPr>
        <w:t>D1</w:t>
      </w:r>
      <w:r w:rsidR="0021662A" w:rsidRPr="00B56453">
        <w:rPr>
          <w:lang w:val="en-GB"/>
        </w:rPr>
        <w:t>.1 followed by an appraisal according to the quality criteria.</w:t>
      </w:r>
      <w:r w:rsidR="0021662A" w:rsidRPr="00B27F0B">
        <w:rPr>
          <w:lang w:val="en-GB"/>
        </w:rPr>
        <w:br w:type="page"/>
      </w:r>
    </w:p>
    <w:p w14:paraId="703294C3" w14:textId="77777777" w:rsidR="0021662A" w:rsidRPr="00B56453" w:rsidRDefault="0021662A" w:rsidP="0021662A">
      <w:pPr>
        <w:rPr>
          <w:color w:val="000000" w:themeColor="text1"/>
        </w:rPr>
      </w:pPr>
    </w:p>
    <w:p w14:paraId="5F81ED75" w14:textId="4855D9B8" w:rsidR="0021662A" w:rsidRPr="00B56453" w:rsidRDefault="0021662A" w:rsidP="0021662A">
      <w:pPr>
        <w:pStyle w:val="Tablelist"/>
        <w:rPr>
          <w:lang w:val="en-GB"/>
        </w:rPr>
      </w:pPr>
      <w:bookmarkStart w:id="444" w:name="_Toc487454850"/>
      <w:bookmarkStart w:id="445" w:name="_Toc487456799"/>
      <w:bookmarkStart w:id="446" w:name="_Toc500319519"/>
      <w:r w:rsidRPr="00BD42AF">
        <w:rPr>
          <w:lang w:val="en-GB"/>
        </w:rPr>
        <w:t xml:space="preserve">Table </w:t>
      </w:r>
      <w:r w:rsidR="00BF6160" w:rsidRPr="00BD42AF">
        <w:rPr>
          <w:lang w:val="en-GB"/>
        </w:rPr>
        <w:t>D1</w:t>
      </w:r>
      <w:r w:rsidRPr="00BD42AF">
        <w:rPr>
          <w:lang w:val="en-GB"/>
        </w:rPr>
        <w:t>.</w:t>
      </w:r>
      <w:r w:rsidRPr="007638B6">
        <w:rPr>
          <w:lang w:val="en-GB"/>
        </w:rPr>
        <w:fldChar w:fldCharType="begin"/>
      </w:r>
      <w:r w:rsidRPr="00B56453">
        <w:rPr>
          <w:lang w:val="en-GB"/>
        </w:rPr>
        <w:instrText xml:space="preserve"> SEQ Table_D2. \* ARABIC </w:instrText>
      </w:r>
      <w:r w:rsidRPr="00B27F0B">
        <w:rPr>
          <w:lang w:val="en-GB"/>
        </w:rPr>
        <w:fldChar w:fldCharType="separate"/>
      </w:r>
      <w:r w:rsidRPr="00B56453">
        <w:rPr>
          <w:noProof/>
          <w:lang w:val="en-GB"/>
        </w:rPr>
        <w:t>1</w:t>
      </w:r>
      <w:r w:rsidRPr="007638B6">
        <w:rPr>
          <w:lang w:val="en-GB"/>
        </w:rPr>
        <w:fldChar w:fldCharType="end"/>
      </w:r>
      <w:r w:rsidRPr="00B56453">
        <w:rPr>
          <w:lang w:val="en-GB"/>
        </w:rPr>
        <w:t xml:space="preserve"> The mixed methods appraisal tool with design components and corresponding quality criteria, adapted from </w:t>
      </w:r>
      <w:hyperlink w:anchor="_ENREF_331" w:tooltip="Pluye, 2011 #476" w:history="1">
        <w:r w:rsidR="0094469E" w:rsidRPr="00B27F0B">
          <w:rPr>
            <w:lang w:val="en-GB"/>
          </w:rPr>
          <w:fldChar w:fldCharType="begin"/>
        </w:r>
        <w:r w:rsidR="0094469E" w:rsidRPr="00B56453">
          <w:rPr>
            <w:lang w:val="en-GB"/>
          </w:rPr>
          <w:instrText xml:space="preserve"> ADDIN EN.CITE &lt;EndNote&gt;&lt;Cite AuthorYear="1"&gt;&lt;Author&gt;Pluye&lt;/Author&gt;&lt;Year&gt;2011&lt;/Year&gt;&lt;RecNum&gt;476&lt;/RecNum&gt;&lt;DisplayText&gt;Pluye et al. (2011)&lt;/DisplayText&gt;&lt;record&gt;&lt;rec-number&gt;476&lt;/rec-number&gt;&lt;foreign-keys&gt;&lt;key app="EN" db-id="xa2r2ewea92trkef5dt5arvbzafvpv2za5ft" timestamp="1496417548"&gt;476&lt;/key&gt;&lt;/foreign-keys&gt;&lt;ref-type name="Journal Article"&gt;17&lt;/ref-type&gt;&lt;contributors&gt;&lt;authors&gt;&lt;author&gt;Pluye, P.&lt;/author&gt;&lt;author&gt;Robert, E.&lt;/author&gt;&lt;author&gt;Cargo, M.&lt;/author&gt;&lt;author&gt;Bartlett, G.&lt;/author&gt;&lt;author&gt;O’Cathain, A.&lt;/author&gt;&lt;author&gt;Griffiths, F.&lt;/author&gt;&lt;author&gt;Boardman, F.&lt;/author&gt;&lt;author&gt;Gagnon, M. P.&lt;/author&gt;&lt;author&gt;Rousseau, M. C.&lt;/author&gt;&lt;/authors&gt;&lt;/contributors&gt;&lt;titles&gt;&lt;title&gt;Proposal: A mixed methods appraisal tool for systematic mixed studies reviews&lt;/title&gt;&lt;secondary-title&gt;Montréal: McGill University&lt;/secondary-title&gt;&lt;/titles&gt;&lt;periodical&gt;&lt;full-title&gt;Montréal: McGill University&lt;/full-title&gt;&lt;/periodical&gt;&lt;pages&gt;1-8&lt;/pages&gt;&lt;dates&gt;&lt;year&gt;2011&lt;/year&gt;&lt;/dates&gt;&lt;urls&gt;&lt;/urls&gt;&lt;/record&gt;&lt;/Cite&gt;&lt;/EndNote&gt;</w:instrText>
        </w:r>
        <w:r w:rsidR="0094469E" w:rsidRPr="00B27F0B">
          <w:rPr>
            <w:lang w:val="en-GB"/>
          </w:rPr>
          <w:fldChar w:fldCharType="separate"/>
        </w:r>
        <w:r w:rsidR="0094469E" w:rsidRPr="00B56453">
          <w:rPr>
            <w:noProof/>
            <w:lang w:val="en-GB"/>
          </w:rPr>
          <w:t>Pluye et al. (2011)</w:t>
        </w:r>
        <w:r w:rsidR="0094469E" w:rsidRPr="00B27F0B">
          <w:rPr>
            <w:lang w:val="en-GB"/>
          </w:rPr>
          <w:fldChar w:fldCharType="end"/>
        </w:r>
      </w:hyperlink>
      <w:r w:rsidRPr="00B56453">
        <w:rPr>
          <w:lang w:val="en-GB"/>
        </w:rPr>
        <w:t>.</w:t>
      </w:r>
      <w:bookmarkEnd w:id="444"/>
      <w:bookmarkEnd w:id="445"/>
      <w:bookmarkEnd w:id="446"/>
    </w:p>
    <w:tbl>
      <w:tblPr>
        <w:tblStyle w:val="TableGrid"/>
        <w:tblW w:w="0" w:type="auto"/>
        <w:tblLook w:val="04A0" w:firstRow="1" w:lastRow="0" w:firstColumn="1" w:lastColumn="0" w:noHBand="0" w:noVBand="1"/>
      </w:tblPr>
      <w:tblGrid>
        <w:gridCol w:w="1980"/>
        <w:gridCol w:w="6379"/>
      </w:tblGrid>
      <w:tr w:rsidR="0021662A" w:rsidRPr="00B56453" w14:paraId="15BE0488" w14:textId="77777777" w:rsidTr="0021662A">
        <w:tc>
          <w:tcPr>
            <w:tcW w:w="1980" w:type="dxa"/>
            <w:vAlign w:val="center"/>
          </w:tcPr>
          <w:p w14:paraId="167F7BA5" w14:textId="77777777" w:rsidR="0021662A" w:rsidRPr="00B56453" w:rsidRDefault="0021662A" w:rsidP="0021662A">
            <w:pPr>
              <w:jc w:val="center"/>
              <w:rPr>
                <w:b/>
                <w:color w:val="000000" w:themeColor="text1"/>
              </w:rPr>
            </w:pPr>
            <w:r w:rsidRPr="00B56453">
              <w:rPr>
                <w:b/>
                <w:color w:val="000000" w:themeColor="text1"/>
              </w:rPr>
              <w:t>Study design components</w:t>
            </w:r>
          </w:p>
        </w:tc>
        <w:tc>
          <w:tcPr>
            <w:tcW w:w="6379" w:type="dxa"/>
            <w:vAlign w:val="center"/>
          </w:tcPr>
          <w:p w14:paraId="33B73020" w14:textId="77777777" w:rsidR="0021662A" w:rsidRPr="00B56453" w:rsidRDefault="0021662A" w:rsidP="0021662A">
            <w:pPr>
              <w:jc w:val="center"/>
              <w:rPr>
                <w:b/>
                <w:color w:val="000000" w:themeColor="text1"/>
              </w:rPr>
            </w:pPr>
            <w:r w:rsidRPr="00B56453">
              <w:rPr>
                <w:b/>
                <w:color w:val="000000" w:themeColor="text1"/>
              </w:rPr>
              <w:t>Methodological quality criteria</w:t>
            </w:r>
          </w:p>
        </w:tc>
      </w:tr>
      <w:tr w:rsidR="0021662A" w:rsidRPr="00B56453" w14:paraId="5A11ADD3" w14:textId="77777777" w:rsidTr="0021662A">
        <w:tc>
          <w:tcPr>
            <w:tcW w:w="1980" w:type="dxa"/>
            <w:vAlign w:val="center"/>
          </w:tcPr>
          <w:p w14:paraId="35C0A522" w14:textId="77777777" w:rsidR="0021662A" w:rsidRPr="00B56453" w:rsidRDefault="0021662A" w:rsidP="0021662A">
            <w:pPr>
              <w:jc w:val="center"/>
              <w:rPr>
                <w:color w:val="000000" w:themeColor="text1"/>
              </w:rPr>
            </w:pPr>
            <w:r w:rsidRPr="00B56453">
              <w:rPr>
                <w:color w:val="000000" w:themeColor="text1"/>
              </w:rPr>
              <w:t>Quantitative component (RCT)</w:t>
            </w:r>
          </w:p>
        </w:tc>
        <w:tc>
          <w:tcPr>
            <w:tcW w:w="6379" w:type="dxa"/>
          </w:tcPr>
          <w:p w14:paraId="3A8BC705"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 randomisation appropriate (clear description)?</w:t>
            </w:r>
          </w:p>
          <w:p w14:paraId="1F5ED11A"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there a clear description of allocation concealment or blinding?</w:t>
            </w:r>
          </w:p>
          <w:p w14:paraId="13889476"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Are measurements appropriate (standardised, valid, no contamination between groups) for the intervention and its outcomes?</w:t>
            </w:r>
          </w:p>
          <w:p w14:paraId="79B42750"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Are participants comparable in each group? Or do the researchers control for differences between groups?</w:t>
            </w:r>
          </w:p>
          <w:p w14:paraId="0F552DF6"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there complete outcome data (80% or above)?</w:t>
            </w:r>
          </w:p>
          <w:p w14:paraId="51D1009F" w14:textId="77777777" w:rsidR="0021662A" w:rsidRPr="00B56453" w:rsidRDefault="0021662A" w:rsidP="0021662A">
            <w:pPr>
              <w:pStyle w:val="ListParagraph"/>
              <w:numPr>
                <w:ilvl w:val="0"/>
                <w:numId w:val="52"/>
              </w:numPr>
              <w:tabs>
                <w:tab w:val="left" w:pos="2579"/>
              </w:tabs>
              <w:spacing w:line="276" w:lineRule="auto"/>
              <w:ind w:left="317" w:hanging="261"/>
              <w:rPr>
                <w:color w:val="000000" w:themeColor="text1"/>
              </w:rPr>
            </w:pPr>
            <w:r w:rsidRPr="00B56453">
              <w:rPr>
                <w:color w:val="000000" w:themeColor="text1"/>
              </w:rPr>
              <w:t>Is the dropout rate low (below 20%)?</w:t>
            </w:r>
            <w:r w:rsidRPr="00B56453">
              <w:rPr>
                <w:color w:val="000000" w:themeColor="text1"/>
              </w:rPr>
              <w:tab/>
            </w:r>
          </w:p>
        </w:tc>
      </w:tr>
      <w:tr w:rsidR="0021662A" w:rsidRPr="00B56453" w14:paraId="1D20C6A4" w14:textId="77777777" w:rsidTr="0021662A">
        <w:tc>
          <w:tcPr>
            <w:tcW w:w="1980" w:type="dxa"/>
            <w:vAlign w:val="center"/>
          </w:tcPr>
          <w:p w14:paraId="73465E3A" w14:textId="77777777" w:rsidR="0021662A" w:rsidRPr="00B56453" w:rsidRDefault="0021662A" w:rsidP="0021662A">
            <w:pPr>
              <w:jc w:val="center"/>
              <w:rPr>
                <w:color w:val="000000" w:themeColor="text1"/>
              </w:rPr>
            </w:pPr>
            <w:r w:rsidRPr="00B56453">
              <w:rPr>
                <w:color w:val="000000" w:themeColor="text1"/>
              </w:rPr>
              <w:t>Qualitative component</w:t>
            </w:r>
          </w:p>
        </w:tc>
        <w:tc>
          <w:tcPr>
            <w:tcW w:w="6379" w:type="dxa"/>
          </w:tcPr>
          <w:p w14:paraId="6D99CA75"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Are the data sources appropriate and relevant to answer the research question/aim?</w:t>
            </w:r>
          </w:p>
          <w:p w14:paraId="3FF8E037"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 data analysis relevant to the research problem?</w:t>
            </w:r>
          </w:p>
          <w:p w14:paraId="49BE859B"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Are contextual influences considered during data analysis?</w:t>
            </w:r>
          </w:p>
          <w:p w14:paraId="2D186D2B"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 researcher reflexive and considers their influence on findings?</w:t>
            </w:r>
          </w:p>
        </w:tc>
      </w:tr>
      <w:tr w:rsidR="0021662A" w:rsidRPr="00B56453" w14:paraId="2BCE197C" w14:textId="77777777" w:rsidTr="0021662A">
        <w:trPr>
          <w:trHeight w:val="1511"/>
        </w:trPr>
        <w:tc>
          <w:tcPr>
            <w:tcW w:w="1980" w:type="dxa"/>
            <w:vAlign w:val="center"/>
          </w:tcPr>
          <w:p w14:paraId="0D714804" w14:textId="77777777" w:rsidR="0021662A" w:rsidRPr="00B56453" w:rsidRDefault="0021662A" w:rsidP="0021662A">
            <w:pPr>
              <w:jc w:val="center"/>
              <w:rPr>
                <w:color w:val="000000" w:themeColor="text1"/>
              </w:rPr>
            </w:pPr>
            <w:r w:rsidRPr="00B56453">
              <w:rPr>
                <w:color w:val="000000" w:themeColor="text1"/>
              </w:rPr>
              <w:t>Mixed methods component</w:t>
            </w:r>
          </w:p>
        </w:tc>
        <w:tc>
          <w:tcPr>
            <w:tcW w:w="6379" w:type="dxa"/>
          </w:tcPr>
          <w:p w14:paraId="4DE46B0A"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 mixed methods design relevant to answer the qualitative and quantitative research questions?</w:t>
            </w:r>
          </w:p>
          <w:p w14:paraId="4EEB3134"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Is the integration of quantitative and qualitative evidence appropriate to answer the research question?</w:t>
            </w:r>
          </w:p>
          <w:p w14:paraId="2FCB782D" w14:textId="77777777" w:rsidR="0021662A" w:rsidRPr="00B56453" w:rsidRDefault="0021662A" w:rsidP="0021662A">
            <w:pPr>
              <w:pStyle w:val="ListParagraph"/>
              <w:numPr>
                <w:ilvl w:val="0"/>
                <w:numId w:val="52"/>
              </w:numPr>
              <w:spacing w:line="276" w:lineRule="auto"/>
              <w:ind w:left="317" w:hanging="261"/>
              <w:rPr>
                <w:color w:val="000000" w:themeColor="text1"/>
              </w:rPr>
            </w:pPr>
            <w:r w:rsidRPr="00B56453">
              <w:rPr>
                <w:color w:val="000000" w:themeColor="text1"/>
              </w:rPr>
              <w:t>Are limitations of the integration appropriately considered?</w:t>
            </w:r>
          </w:p>
        </w:tc>
      </w:tr>
    </w:tbl>
    <w:p w14:paraId="1CB47A4C" w14:textId="77777777" w:rsidR="0021662A" w:rsidRPr="00B56453" w:rsidRDefault="0021662A" w:rsidP="0021662A"/>
    <w:p w14:paraId="52C47DB1" w14:textId="7803A66B" w:rsidR="0021662A" w:rsidRPr="00B56453" w:rsidRDefault="00BF6160" w:rsidP="0021662A">
      <w:pPr>
        <w:pStyle w:val="Heading3"/>
      </w:pPr>
      <w:bookmarkStart w:id="447" w:name="_Toc500319428"/>
      <w:r w:rsidRPr="00B56453">
        <w:t>D1</w:t>
      </w:r>
      <w:r w:rsidR="006967C4" w:rsidRPr="00B56453">
        <w:t>.1.1 Quantitative C</w:t>
      </w:r>
      <w:r w:rsidR="0021662A" w:rsidRPr="00B56453">
        <w:t>omponent</w:t>
      </w:r>
      <w:bookmarkEnd w:id="447"/>
    </w:p>
    <w:p w14:paraId="5716BF19" w14:textId="77777777" w:rsidR="0021662A" w:rsidRPr="00B56453" w:rsidRDefault="0021662A" w:rsidP="0021662A">
      <w:pPr>
        <w:pStyle w:val="Normal1"/>
        <w:rPr>
          <w:lang w:val="en-GB"/>
        </w:rPr>
      </w:pPr>
    </w:p>
    <w:p w14:paraId="1EAE0D15" w14:textId="77777777" w:rsidR="0021662A" w:rsidRPr="00B56453" w:rsidRDefault="0021662A" w:rsidP="0021662A">
      <w:pPr>
        <w:pStyle w:val="Normal1"/>
        <w:rPr>
          <w:lang w:val="en-GB"/>
        </w:rPr>
      </w:pPr>
      <w:r w:rsidRPr="00B56453">
        <w:rPr>
          <w:lang w:val="en-GB"/>
        </w:rPr>
        <w:t xml:space="preserve">Double random allocation was used in this study. Teachers were first randomly allocated to feedback conditions (controlling for experience) and then learners to teachers. Teachers in both groups were aware that different feedback models were being explored in the study but were not aware of which one was ‘experimental’ and ‘control’. The models were simply presented to each group separately as different ways of giving feedback as opposed to new and improved methods. Teachers in both groups were also asked not to confer between groups to minimise contamination. All who were interviewed confirmed that they had not although there was no method to fully verify this. Therefore, the teachers were not fully blinded although efforts were made to ensure significant cross-contamination did not take place during training and delivery. </w:t>
      </w:r>
    </w:p>
    <w:p w14:paraId="1638A0CB" w14:textId="77777777" w:rsidR="0021662A" w:rsidRPr="00B56453" w:rsidRDefault="0021662A" w:rsidP="0021662A">
      <w:pPr>
        <w:pStyle w:val="Normal1"/>
        <w:rPr>
          <w:lang w:val="en-GB"/>
        </w:rPr>
      </w:pPr>
    </w:p>
    <w:p w14:paraId="157D4E23" w14:textId="77777777" w:rsidR="0021662A" w:rsidRPr="00B56453" w:rsidRDefault="0021662A" w:rsidP="0021662A">
      <w:pPr>
        <w:pStyle w:val="Normal1"/>
        <w:rPr>
          <w:lang w:val="en-GB"/>
        </w:rPr>
      </w:pPr>
      <w:r w:rsidRPr="00B56453">
        <w:rPr>
          <w:lang w:val="en-GB"/>
        </w:rPr>
        <w:lastRenderedPageBreak/>
        <w:t>Upon being randomly allocated to teachers, learners received either model of feedback in their first clinical skills session. Each teaching room was private ensuring that learners would not mix with other groups receiving a different feedback model. To guard against direct contamination (learners receiving one feedback model at the first session and another at the second session), teachers ensured that when they collected learners to bring them to their session they would ask that they only come with them if they had had that teacher for their first session. To verify this, for every learner in the SRLF group the teacher collected the learner’s unique student identifier at both taught sessions. This allowed for the tracking of learners across these two sessions to verify that they had received their allocated feedback model in both instances. In the few cases that these measures failed, the learner’s identifier was flagged and their data was removed from the dataset and they were excluded from participating in the qualitative strand of the study (see B3.3). Because of the nature of this study it was not possible to determine whether learners conferred with peers about the feedback they received which could have potentially caused cross-contamination. However, when asked about the feedback received in those sessions during focus groups and interviews learners described not noticing anything noteworthy enough to confer with peers on. This does not rule out an effect but does indicate that any effect was likely insignificant.</w:t>
      </w:r>
    </w:p>
    <w:p w14:paraId="032B45A6" w14:textId="77777777" w:rsidR="0021662A" w:rsidRPr="00B56453" w:rsidRDefault="0021662A" w:rsidP="0021662A">
      <w:pPr>
        <w:pStyle w:val="Normal1"/>
        <w:rPr>
          <w:lang w:val="en-GB"/>
        </w:rPr>
      </w:pPr>
    </w:p>
    <w:p w14:paraId="2E1B95DF" w14:textId="77777777" w:rsidR="0021662A" w:rsidRPr="00B56453" w:rsidRDefault="0021662A" w:rsidP="0021662A">
      <w:pPr>
        <w:pStyle w:val="Normal1"/>
        <w:rPr>
          <w:lang w:val="en-GB"/>
        </w:rPr>
      </w:pPr>
      <w:r w:rsidRPr="00B56453">
        <w:rPr>
          <w:lang w:val="en-GB"/>
        </w:rPr>
        <w:t>The SSRQ tool had been previously used and validated in education settings but not in UK medical education settings. The SSRQ was validated as part of this research to improve the reliability of the quantitative findings and to provide a useful tool for other researchers who wish to explore SRL using large samples in medical education settings. As part of this work, the GSE tool was also used as a well-validated comparator and was found to correlate well to SSRQ scores (see C1.4). Data collection and recruitment procedures were standardised for all students in the target sample over the three iterations of questionnaires. Analytical methods used to scrutinise results from both Chapter B3 and Chapter C1 were appropriate and robust based upon best practices in the literature.</w:t>
      </w:r>
    </w:p>
    <w:p w14:paraId="73515810" w14:textId="77777777" w:rsidR="0021662A" w:rsidRPr="00B56453" w:rsidRDefault="0021662A" w:rsidP="0021662A">
      <w:pPr>
        <w:pStyle w:val="Normal1"/>
        <w:rPr>
          <w:lang w:val="en-GB"/>
        </w:rPr>
      </w:pPr>
    </w:p>
    <w:p w14:paraId="12AC5CAB" w14:textId="77777777" w:rsidR="0021662A" w:rsidRPr="00B56453" w:rsidRDefault="0021662A" w:rsidP="0021662A">
      <w:pPr>
        <w:pStyle w:val="Normal1"/>
        <w:rPr>
          <w:lang w:val="en-GB"/>
        </w:rPr>
      </w:pPr>
      <w:r w:rsidRPr="00B56453">
        <w:rPr>
          <w:lang w:val="en-GB"/>
        </w:rPr>
        <w:t xml:space="preserve">No significant differences in student characteristics were found between each group and the whole sample was found to be comparable to the wider cohort of learners at the medical school. Response rate for the surveys was 75% of the total sample, not including those who entered incomplete submissions or had not completed all three iterations which made up 3% of the initial respondents. These figures are positive </w:t>
      </w:r>
      <w:r w:rsidRPr="00B56453">
        <w:rPr>
          <w:lang w:val="en-GB"/>
        </w:rPr>
        <w:lastRenderedPageBreak/>
        <w:t>considering the 12 month period the study took place over where more learners could have lost motivation to complete more of the same surveys in person.</w:t>
      </w:r>
    </w:p>
    <w:p w14:paraId="0E6F51CF" w14:textId="77777777" w:rsidR="00161B1D" w:rsidRPr="00B56453" w:rsidRDefault="00161B1D" w:rsidP="0021662A">
      <w:pPr>
        <w:pStyle w:val="Normal1"/>
        <w:rPr>
          <w:lang w:val="en-GB"/>
        </w:rPr>
      </w:pPr>
    </w:p>
    <w:p w14:paraId="5FA22CA4" w14:textId="1093093E" w:rsidR="00161B1D" w:rsidRPr="00B56453" w:rsidRDefault="00161B1D" w:rsidP="0021662A">
      <w:pPr>
        <w:pStyle w:val="Normal1"/>
        <w:rPr>
          <w:lang w:val="en-GB"/>
        </w:rPr>
      </w:pPr>
      <w:r w:rsidRPr="00B56453">
        <w:rPr>
          <w:lang w:val="en-GB"/>
        </w:rPr>
        <w:t>One limitation of this component was that a third ‘no feedback’ condition was not used as a control to compare with the SRLF and BPF groups. However, this would have been unethical to the students in that group and it is likely that their performance would have suffered in subsequent assessments. A third group would also have reduced the numbers-per-group and consequently harmed the reliability of the statistical analysis. The logistics of organising the third group within the teaching sessions could also have been overwhelming for the management and teaching staff.</w:t>
      </w:r>
    </w:p>
    <w:p w14:paraId="796BD386" w14:textId="77777777" w:rsidR="0021662A" w:rsidRPr="00B56453" w:rsidRDefault="0021662A" w:rsidP="0021662A">
      <w:pPr>
        <w:pStyle w:val="Normal1"/>
        <w:rPr>
          <w:lang w:val="en-GB"/>
        </w:rPr>
      </w:pPr>
    </w:p>
    <w:p w14:paraId="389EBFDB" w14:textId="0A0CC946" w:rsidR="0021662A" w:rsidRPr="00B56453" w:rsidRDefault="00BF6160" w:rsidP="0021662A">
      <w:pPr>
        <w:pStyle w:val="Heading3"/>
      </w:pPr>
      <w:bookmarkStart w:id="448" w:name="_Toc500319429"/>
      <w:r w:rsidRPr="00B56453">
        <w:t>D1</w:t>
      </w:r>
      <w:r w:rsidR="006967C4" w:rsidRPr="00B56453">
        <w:t>.1.2 Qualitative C</w:t>
      </w:r>
      <w:r w:rsidR="0021662A" w:rsidRPr="00B56453">
        <w:t>omponent</w:t>
      </w:r>
      <w:bookmarkEnd w:id="448"/>
    </w:p>
    <w:p w14:paraId="3D32F7EB" w14:textId="77777777" w:rsidR="0021662A" w:rsidRPr="00B56453" w:rsidRDefault="0021662A" w:rsidP="0021662A">
      <w:pPr>
        <w:pStyle w:val="Normal1"/>
        <w:rPr>
          <w:lang w:val="en-GB"/>
        </w:rPr>
      </w:pPr>
    </w:p>
    <w:p w14:paraId="675DD786" w14:textId="77777777" w:rsidR="0021662A" w:rsidRPr="00B56453" w:rsidRDefault="0021662A" w:rsidP="0021662A">
      <w:pPr>
        <w:pStyle w:val="Normal1"/>
        <w:rPr>
          <w:lang w:val="en-GB"/>
        </w:rPr>
      </w:pPr>
      <w:r w:rsidRPr="00B56453">
        <w:rPr>
          <w:lang w:val="en-GB"/>
        </w:rPr>
        <w:t>Interviews and focus groups were used to collect qualitative data because these methods allowed for in-depth explorations of learners’ unique perceptions, both as individuals and groups, of SRL and feedback behaviours. Their perceptions of these behaviours helped to illustrate the major factors which influenced their ability to be successful self-regulated learners. They also helped to illustrate how learners perceived feedback interactions on clinical placements, giving future researchers and practitioners insights into how feedback can be improved and how SRL can be empowered as well as the challenges involved.</w:t>
      </w:r>
    </w:p>
    <w:p w14:paraId="162211C4" w14:textId="77777777" w:rsidR="0021662A" w:rsidRPr="00B56453" w:rsidRDefault="0021662A" w:rsidP="0021662A">
      <w:pPr>
        <w:pStyle w:val="Normal1"/>
        <w:rPr>
          <w:lang w:val="en-GB"/>
        </w:rPr>
      </w:pPr>
    </w:p>
    <w:p w14:paraId="5528AA86" w14:textId="41E46A1C" w:rsidR="002B77AB" w:rsidRPr="00B56453" w:rsidRDefault="0021662A" w:rsidP="0021662A">
      <w:pPr>
        <w:pStyle w:val="Normal1"/>
        <w:rPr>
          <w:lang w:val="en-GB"/>
        </w:rPr>
      </w:pPr>
      <w:r w:rsidRPr="00B56453">
        <w:rPr>
          <w:lang w:val="en-GB"/>
        </w:rPr>
        <w:t xml:space="preserve">The thematic framework approach was used to analyse the accounts of both teachers and students. This approach allowed for a structured and iterative critical appraisal of the data whilst auditing each stage and keeping records. This method also fit well with quality measures such as peer debriefing where analyses were checked for bias. Although the analysis was </w:t>
      </w:r>
      <w:r w:rsidR="002B77AB" w:rsidRPr="00B56453">
        <w:rPr>
          <w:lang w:val="en-GB"/>
        </w:rPr>
        <w:t>directed</w:t>
      </w:r>
      <w:r w:rsidRPr="00B56453">
        <w:rPr>
          <w:lang w:val="en-GB"/>
        </w:rPr>
        <w:t xml:space="preserve"> by the chosen theoretical and conceptual ideas of SRL and feedback, the process of extracting and organising data using this method </w:t>
      </w:r>
      <w:r w:rsidR="002B77AB" w:rsidRPr="00B56453">
        <w:rPr>
          <w:lang w:val="en-GB"/>
        </w:rPr>
        <w:t>was systematic and several measures to embed reliability and trustworthiness were utilised (see A3.8)</w:t>
      </w:r>
      <w:r w:rsidRPr="00B56453">
        <w:rPr>
          <w:lang w:val="en-GB"/>
        </w:rPr>
        <w:t>. A social cognitive approach was used when examining the qualitative evidence in both teacher and student data collections</w:t>
      </w:r>
      <w:r w:rsidR="002B77AB" w:rsidRPr="00B56453">
        <w:rPr>
          <w:lang w:val="en-GB"/>
        </w:rPr>
        <w:t xml:space="preserve"> to ensure contextual factors would be accounted for. I</w:t>
      </w:r>
      <w:r w:rsidRPr="00B56453">
        <w:rPr>
          <w:lang w:val="en-GB"/>
        </w:rPr>
        <w:t>n both cases a clear contextual and cultural impact was observed (see B2</w:t>
      </w:r>
      <w:r w:rsidR="00474DB0" w:rsidRPr="00B56453">
        <w:rPr>
          <w:lang w:val="en-GB"/>
        </w:rPr>
        <w:t>.3.2</w:t>
      </w:r>
      <w:r w:rsidRPr="00B56453">
        <w:rPr>
          <w:lang w:val="en-GB"/>
        </w:rPr>
        <w:t xml:space="preserve"> and C2</w:t>
      </w:r>
      <w:r w:rsidR="00474DB0" w:rsidRPr="00B56453">
        <w:rPr>
          <w:lang w:val="en-GB"/>
        </w:rPr>
        <w:t>.3.1</w:t>
      </w:r>
      <w:r w:rsidRPr="00B56453">
        <w:rPr>
          <w:lang w:val="en-GB"/>
        </w:rPr>
        <w:t xml:space="preserve">). </w:t>
      </w:r>
    </w:p>
    <w:p w14:paraId="110039D2" w14:textId="77777777" w:rsidR="002B77AB" w:rsidRPr="00B56453" w:rsidRDefault="002B77AB" w:rsidP="0021662A">
      <w:pPr>
        <w:pStyle w:val="Normal1"/>
        <w:rPr>
          <w:lang w:val="en-GB"/>
        </w:rPr>
      </w:pPr>
    </w:p>
    <w:p w14:paraId="7D828B0E" w14:textId="77777777" w:rsidR="0094469E" w:rsidRPr="00B56453" w:rsidRDefault="0094469E" w:rsidP="0021662A">
      <w:pPr>
        <w:pStyle w:val="Normal1"/>
        <w:rPr>
          <w:lang w:val="en-GB"/>
        </w:rPr>
      </w:pPr>
    </w:p>
    <w:p w14:paraId="341036C3" w14:textId="49B16051" w:rsidR="0021662A" w:rsidRPr="00B56453" w:rsidRDefault="0021662A" w:rsidP="0021662A">
      <w:pPr>
        <w:pStyle w:val="Normal1"/>
        <w:rPr>
          <w:lang w:val="en-GB"/>
        </w:rPr>
      </w:pPr>
      <w:r w:rsidRPr="00B56453">
        <w:rPr>
          <w:lang w:val="en-GB"/>
        </w:rPr>
        <w:lastRenderedPageBreak/>
        <w:t xml:space="preserve">In providing a short statement of my own background at the beginning of this thesis as well as a reflective account </w:t>
      </w:r>
      <w:r w:rsidR="00474DB0" w:rsidRPr="00B56453">
        <w:rPr>
          <w:lang w:val="en-GB"/>
        </w:rPr>
        <w:t xml:space="preserve">towards the end </w:t>
      </w:r>
      <w:r w:rsidRPr="00B56453">
        <w:rPr>
          <w:lang w:val="en-GB"/>
        </w:rPr>
        <w:t>I aimed to be reflexive both in writing this report and considering my role in influencing how the data was collected and interpreted. In both qualitative investigations</w:t>
      </w:r>
      <w:r w:rsidR="00474DB0" w:rsidRPr="00B56453">
        <w:rPr>
          <w:lang w:val="en-GB"/>
        </w:rPr>
        <w:t>,</w:t>
      </w:r>
      <w:r w:rsidRPr="00B56453">
        <w:rPr>
          <w:lang w:val="en-GB"/>
        </w:rPr>
        <w:t xml:space="preserve"> I directly considered my potential influence in the context of the Hawthorne effect and how I incorporated measures to attenuate it. For example, my influence was clear in the teacher training and delivery of the intervention as teachers recounted that they appreciated my on-site and online support, a service that was not accessed by all.</w:t>
      </w:r>
    </w:p>
    <w:p w14:paraId="6D11B745" w14:textId="77777777" w:rsidR="0021662A" w:rsidRPr="00B56453" w:rsidRDefault="0021662A" w:rsidP="0021662A">
      <w:pPr>
        <w:pStyle w:val="Normal1"/>
        <w:rPr>
          <w:lang w:val="en-GB"/>
        </w:rPr>
      </w:pPr>
    </w:p>
    <w:p w14:paraId="5BB0C980" w14:textId="507E0B95" w:rsidR="0021662A" w:rsidRPr="00B56453" w:rsidRDefault="00BF6160" w:rsidP="0021662A">
      <w:pPr>
        <w:pStyle w:val="Heading3"/>
      </w:pPr>
      <w:bookmarkStart w:id="449" w:name="_Toc500319430"/>
      <w:r w:rsidRPr="00B56453">
        <w:t>D1</w:t>
      </w:r>
      <w:r w:rsidR="006967C4" w:rsidRPr="00B56453">
        <w:t>.1.3 Mixed Methods C</w:t>
      </w:r>
      <w:r w:rsidR="0021662A" w:rsidRPr="00B56453">
        <w:t>omponent</w:t>
      </w:r>
      <w:bookmarkEnd w:id="449"/>
    </w:p>
    <w:p w14:paraId="282F2205" w14:textId="77777777" w:rsidR="0021662A" w:rsidRPr="00B56453" w:rsidRDefault="0021662A" w:rsidP="0021662A">
      <w:pPr>
        <w:pStyle w:val="Normal1"/>
        <w:rPr>
          <w:lang w:val="en-GB"/>
        </w:rPr>
      </w:pPr>
    </w:p>
    <w:p w14:paraId="3338F096" w14:textId="5FA52FB7" w:rsidR="0021662A" w:rsidRPr="00B56453" w:rsidRDefault="0021662A" w:rsidP="0021662A">
      <w:pPr>
        <w:pStyle w:val="Normal1"/>
        <w:rPr>
          <w:lang w:val="en-GB"/>
        </w:rPr>
      </w:pPr>
      <w:r w:rsidRPr="00B56453">
        <w:rPr>
          <w:lang w:val="en-GB"/>
        </w:rPr>
        <w:t>The purpose of using a mixed methods design in this study was to address the research questions by using complimentary methods that corroborated to explore how SRL transferred across environments and how feedback perceptions were affected. The sequential explanatory design was informed by the research questions which focused on how the feedback models impacted upon long</w:t>
      </w:r>
      <w:r w:rsidR="00826050" w:rsidRPr="00B56453">
        <w:rPr>
          <w:lang w:val="en-GB"/>
        </w:rPr>
        <w:t>er</w:t>
      </w:r>
      <w:r w:rsidRPr="00B56453">
        <w:rPr>
          <w:lang w:val="en-GB"/>
        </w:rPr>
        <w:t xml:space="preserve"> and </w:t>
      </w:r>
      <w:r w:rsidR="00826050" w:rsidRPr="00B56453">
        <w:rPr>
          <w:lang w:val="en-GB"/>
        </w:rPr>
        <w:t>immediate</w:t>
      </w:r>
      <w:r w:rsidRPr="00B56453">
        <w:rPr>
          <w:lang w:val="en-GB"/>
        </w:rPr>
        <w:t xml:space="preserve"> learning strategies from simulated to clinical environments. Thus, the quantitative method explored both the </w:t>
      </w:r>
      <w:r w:rsidR="000470C2" w:rsidRPr="00B56453">
        <w:rPr>
          <w:lang w:val="en-GB"/>
        </w:rPr>
        <w:t>immediate</w:t>
      </w:r>
      <w:r w:rsidRPr="00B56453">
        <w:rPr>
          <w:lang w:val="en-GB"/>
        </w:rPr>
        <w:t xml:space="preserve"> and </w:t>
      </w:r>
      <w:r w:rsidR="00826050" w:rsidRPr="00B56453">
        <w:rPr>
          <w:lang w:val="en-GB"/>
        </w:rPr>
        <w:t>longer-term</w:t>
      </w:r>
      <w:r w:rsidRPr="00B56453">
        <w:rPr>
          <w:lang w:val="en-GB"/>
        </w:rPr>
        <w:t xml:space="preserve"> impact with surveys, and the qualitative methods explored the </w:t>
      </w:r>
      <w:r w:rsidR="00826050" w:rsidRPr="00B56453">
        <w:rPr>
          <w:lang w:val="en-GB"/>
        </w:rPr>
        <w:t>longer-term</w:t>
      </w:r>
      <w:r w:rsidRPr="00B56453">
        <w:rPr>
          <w:lang w:val="en-GB"/>
        </w:rPr>
        <w:t xml:space="preserve"> impact, the former also informing the latter in how the methods were carried out. </w:t>
      </w:r>
    </w:p>
    <w:p w14:paraId="2A726B02" w14:textId="77777777" w:rsidR="0021662A" w:rsidRPr="00B56453" w:rsidRDefault="0021662A" w:rsidP="0021662A">
      <w:pPr>
        <w:pStyle w:val="Normal1"/>
        <w:rPr>
          <w:lang w:val="en-GB"/>
        </w:rPr>
      </w:pPr>
    </w:p>
    <w:p w14:paraId="027FEE44" w14:textId="77777777" w:rsidR="0021662A" w:rsidRPr="00B56453" w:rsidRDefault="0021662A" w:rsidP="0021662A">
      <w:pPr>
        <w:pStyle w:val="Normal1"/>
        <w:rPr>
          <w:lang w:val="en-GB"/>
        </w:rPr>
      </w:pPr>
      <w:r w:rsidRPr="00B56453">
        <w:rPr>
          <w:lang w:val="en-GB"/>
        </w:rPr>
        <w:t>There were several points of interface where both types of methods were mixed. Integration occurred mainly at the interpretation stage; conclusions were drawn based upon what emerged from the combination of results from both strands and viewed through the SRL theoretical lens and in relation to the research questions. The strands were analysed using appropriate methods separately then interpretations were made from those results. This approach was chosen to directly answer each research question in each strand and then to answer the overriding mixed methods research question. One criticism of this approach is that the data were not analysed concurrently using one unified analytical strategy. However, this approach was deemed unnecessary because it would have unduly limited the tailored analytical approach to each strand which used best practice analysis procedures, reflecting the pragmatic approach taken in this research.</w:t>
      </w:r>
    </w:p>
    <w:p w14:paraId="00E46592" w14:textId="77777777" w:rsidR="0021662A" w:rsidRPr="00B56453" w:rsidRDefault="0021662A" w:rsidP="0021662A">
      <w:pPr>
        <w:pStyle w:val="Normal1"/>
        <w:rPr>
          <w:rFonts w:asciiTheme="majorHAnsi" w:hAnsiTheme="majorHAnsi"/>
          <w:color w:val="000000" w:themeColor="text1"/>
          <w:sz w:val="32"/>
          <w:szCs w:val="32"/>
          <w:lang w:val="en-GB"/>
        </w:rPr>
      </w:pPr>
      <w:r w:rsidRPr="00B56453">
        <w:rPr>
          <w:lang w:val="en-GB"/>
        </w:rPr>
        <w:br w:type="page"/>
      </w:r>
    </w:p>
    <w:p w14:paraId="551954BA" w14:textId="45292D3C" w:rsidR="0021662A" w:rsidRPr="00B56453" w:rsidRDefault="00BF6160" w:rsidP="0021662A">
      <w:pPr>
        <w:pStyle w:val="Heading2"/>
        <w:rPr>
          <w:lang w:val="en-GB"/>
        </w:rPr>
      </w:pPr>
      <w:bookmarkStart w:id="450" w:name="_Toc500319431"/>
      <w:r w:rsidRPr="00B56453">
        <w:rPr>
          <w:lang w:val="en-GB"/>
        </w:rPr>
        <w:lastRenderedPageBreak/>
        <w:t>D1</w:t>
      </w:r>
      <w:r w:rsidR="0021662A" w:rsidRPr="00B56453">
        <w:rPr>
          <w:lang w:val="en-GB"/>
        </w:rPr>
        <w:t>.2 Process Evaluation of the Faculty Development Intervention</w:t>
      </w:r>
      <w:bookmarkEnd w:id="450"/>
    </w:p>
    <w:p w14:paraId="47D4475E" w14:textId="77777777" w:rsidR="0021662A" w:rsidRPr="00B56453" w:rsidRDefault="0021662A" w:rsidP="0021662A">
      <w:pPr>
        <w:pStyle w:val="Normal1"/>
        <w:rPr>
          <w:lang w:val="en-GB"/>
        </w:rPr>
      </w:pPr>
    </w:p>
    <w:p w14:paraId="6885DF7A" w14:textId="4F80BB09" w:rsidR="0021662A" w:rsidRPr="00B56453" w:rsidRDefault="0021662A" w:rsidP="0021662A">
      <w:pPr>
        <w:pStyle w:val="Normal1"/>
        <w:rPr>
          <w:lang w:val="en-GB"/>
        </w:rPr>
      </w:pPr>
      <w:r w:rsidRPr="00B56453">
        <w:rPr>
          <w:lang w:val="en-GB"/>
        </w:rPr>
        <w:t xml:space="preserve">The most recent process evaluation guidance from the Medical Research Council is used here, drawing upon the relevant components to produce this short evaluation </w:t>
      </w:r>
      <w:r w:rsidRPr="009C2746">
        <w:rPr>
          <w:lang w:val="en-GB"/>
        </w:rPr>
        <w:fldChar w:fldCharType="begin"/>
      </w:r>
      <w:r w:rsidRPr="00B56453">
        <w:rPr>
          <w:lang w:val="en-GB"/>
        </w:rPr>
        <w:instrText xml:space="preserve"> ADDIN EN.CITE &lt;EndNote&gt;&lt;Cite&gt;&lt;Author&gt;Moore&lt;/Author&gt;&lt;Year&gt;2015&lt;/Year&gt;&lt;RecNum&gt;169&lt;/RecNum&gt;&lt;DisplayText&gt;(Moore et al. 2015)&lt;/DisplayText&gt;&lt;record&gt;&lt;rec-number&gt;169&lt;/rec-number&gt;&lt;foreign-keys&gt;&lt;key app="EN" db-id="xa2r2ewea92trkef5dt5arvbzafvpv2za5ft" timestamp="1442161765"&gt;169&lt;/key&gt;&lt;/foreign-keys&gt;&lt;ref-type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Pr="00B27F0B">
        <w:rPr>
          <w:lang w:val="en-GB"/>
        </w:rPr>
        <w:fldChar w:fldCharType="separate"/>
      </w:r>
      <w:r w:rsidRPr="00B56453">
        <w:rPr>
          <w:noProof/>
          <w:lang w:val="en-GB"/>
        </w:rPr>
        <w:t>(</w:t>
      </w:r>
      <w:hyperlink w:anchor="_ENREF_279" w:tooltip="Moore, 2015 #169" w:history="1">
        <w:r w:rsidR="0094469E" w:rsidRPr="00B56453">
          <w:rPr>
            <w:noProof/>
            <w:lang w:val="en-GB"/>
          </w:rPr>
          <w:t>Moore et al. 2015</w:t>
        </w:r>
      </w:hyperlink>
      <w:r w:rsidRPr="00B56453">
        <w:rPr>
          <w:noProof/>
          <w:lang w:val="en-GB"/>
        </w:rPr>
        <w:t>)</w:t>
      </w:r>
      <w:r w:rsidRPr="009C2746">
        <w:rPr>
          <w:lang w:val="en-GB"/>
        </w:rPr>
        <w:fldChar w:fldCharType="end"/>
      </w:r>
      <w:r w:rsidRPr="00B56453">
        <w:rPr>
          <w:lang w:val="en-GB"/>
        </w:rPr>
        <w:t>. They recommended that their evaluation framework is highly relevant to complex interventions in health education settings, such as</w:t>
      </w:r>
      <w:r w:rsidR="006967C4" w:rsidRPr="00B56453">
        <w:rPr>
          <w:lang w:val="en-GB"/>
        </w:rPr>
        <w:t xml:space="preserve"> the one used in this research. </w:t>
      </w:r>
      <w:r w:rsidRPr="00B56453">
        <w:rPr>
          <w:lang w:val="en-GB"/>
        </w:rPr>
        <w:t xml:space="preserve">Process evaluations focus on how interventions are implemented in context and how the active ingredients exert their effects to alter causal mechanisms within the intervention </w:t>
      </w:r>
      <w:r w:rsidRPr="009C2746">
        <w:rPr>
          <w:lang w:val="en-GB"/>
        </w:rPr>
        <w:fldChar w:fldCharType="begin">
          <w:fldData xml:space="preserve">PEVuZE5vdGU+PENpdGU+PEF1dGhvcj5DcmFpZzwvQXV0aG9yPjxZZWFyPjIwMDg8L1llYXI+PFJl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</w:fldData>
        </w:fldChar>
      </w:r>
      <w:r w:rsidRPr="00B56453">
        <w:rPr>
          <w:lang w:val="en-GB"/>
        </w:rPr>
        <w:instrText xml:space="preserve"> ADDIN EN.CITE </w:instrText>
      </w:r>
      <w:r w:rsidRPr="00B27F0B">
        <w:rPr>
          <w:lang w:val="en-GB"/>
        </w:rPr>
        <w:fldChar w:fldCharType="begin">
          <w:fldData xml:space="preserve">PEVuZE5vdGU+PENpdGU+PEF1dGhvcj5DcmFpZzwvQXV0aG9yPjxZZWFyPjIwMDg8L1llYXI+PFJl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</w:fldData>
        </w:fldChar>
      </w:r>
      <w:r w:rsidRPr="00B56453">
        <w:rPr>
          <w:lang w:val="en-GB"/>
        </w:rPr>
        <w:instrText xml:space="preserve"> ADDIN EN.CITE.DATA </w:instrText>
      </w:r>
      <w:r w:rsidRPr="00B27F0B">
        <w:rPr>
          <w:lang w:val="en-GB"/>
        </w:rPr>
      </w:r>
      <w:r w:rsidRPr="00B27F0B">
        <w:rPr>
          <w:lang w:val="en-GB"/>
        </w:rPr>
        <w:fldChar w:fldCharType="end"/>
      </w:r>
      <w:r w:rsidRPr="00B27F0B">
        <w:rPr>
          <w:lang w:val="en-GB"/>
        </w:rPr>
      </w:r>
      <w:r w:rsidRPr="00B27F0B">
        <w:rPr>
          <w:lang w:val="en-GB"/>
        </w:rPr>
        <w:fldChar w:fldCharType="separate"/>
      </w:r>
      <w:r w:rsidRPr="00B56453">
        <w:rPr>
          <w:noProof/>
          <w:lang w:val="en-GB"/>
        </w:rPr>
        <w:t>(</w:t>
      </w:r>
      <w:hyperlink w:anchor="_ENREF_98" w:tooltip="Craig, 2008 #52" w:history="1">
        <w:r w:rsidR="0094469E" w:rsidRPr="00B56453">
          <w:rPr>
            <w:noProof/>
            <w:lang w:val="en-GB"/>
          </w:rPr>
          <w:t>Craig et al. 2008</w:t>
        </w:r>
      </w:hyperlink>
      <w:r w:rsidRPr="00B56453">
        <w:rPr>
          <w:noProof/>
          <w:lang w:val="en-GB"/>
        </w:rPr>
        <w:t xml:space="preserve">; </w:t>
      </w:r>
      <w:hyperlink w:anchor="_ENREF_279" w:tooltip="Moore, 2015 #169" w:history="1">
        <w:r w:rsidR="0094469E" w:rsidRPr="00B56453">
          <w:rPr>
            <w:noProof/>
            <w:lang w:val="en-GB"/>
          </w:rPr>
          <w:t>Moore et al. 2015</w:t>
        </w:r>
      </w:hyperlink>
      <w:r w:rsidRPr="00B56453">
        <w:rPr>
          <w:noProof/>
          <w:lang w:val="en-GB"/>
        </w:rPr>
        <w:t>)</w:t>
      </w:r>
      <w:r w:rsidRPr="009C2746">
        <w:rPr>
          <w:lang w:val="en-GB"/>
        </w:rPr>
        <w:fldChar w:fldCharType="end"/>
      </w:r>
      <w:r w:rsidRPr="00B56453">
        <w:rPr>
          <w:lang w:val="en-GB"/>
        </w:rPr>
        <w:t xml:space="preserve">. This process evaluation aimed to </w:t>
      </w:r>
      <w:r w:rsidR="009A1184" w:rsidRPr="00B56453">
        <w:rPr>
          <w:lang w:val="en-GB"/>
        </w:rPr>
        <w:t>evaluate</w:t>
      </w:r>
      <w:r w:rsidRPr="00B56453">
        <w:rPr>
          <w:lang w:val="en-GB"/>
        </w:rPr>
        <w:t xml:space="preserve"> the quality of implementation (mechanisms of impact), intended delivery (fidelity), and effectiveness of the intervention in the present study (see Figure </w:t>
      </w:r>
      <w:r w:rsidR="00BF6160" w:rsidRPr="00B56453">
        <w:rPr>
          <w:lang w:val="en-GB"/>
        </w:rPr>
        <w:t>D1</w:t>
      </w:r>
      <w:r w:rsidRPr="00B56453">
        <w:rPr>
          <w:lang w:val="en-GB"/>
        </w:rPr>
        <w:t>.1).</w:t>
      </w:r>
    </w:p>
    <w:p w14:paraId="72DB48F9" w14:textId="77777777" w:rsidR="0021662A" w:rsidRPr="00B56453" w:rsidRDefault="0021662A" w:rsidP="0021662A"/>
    <w:p w14:paraId="618B69BF" w14:textId="77777777" w:rsidR="0021662A" w:rsidRPr="00B56453" w:rsidRDefault="0021662A" w:rsidP="0021662A">
      <w:pPr>
        <w:rPr>
          <w:b/>
        </w:rPr>
      </w:pPr>
    </w:p>
    <w:p w14:paraId="3C64B6CE" w14:textId="78BF8109" w:rsidR="0021662A" w:rsidRPr="00B27F0B" w:rsidRDefault="0021662A" w:rsidP="002B77AB">
      <w:pPr>
        <w:pStyle w:val="Normal1"/>
        <w:rPr>
          <w:lang w:val="en-GB"/>
        </w:rPr>
      </w:pPr>
      <w:r w:rsidRPr="00B27F0B">
        <w:rPr>
          <w:lang w:val="en-GB"/>
        </w:rPr>
        <w:t xml:space="preserve">Figure </w:t>
      </w:r>
      <w:r w:rsidR="00BF6160" w:rsidRPr="00B27F0B">
        <w:rPr>
          <w:lang w:val="en-GB"/>
        </w:rPr>
        <w:t>D1</w:t>
      </w:r>
      <w:r w:rsidRPr="00B27F0B">
        <w:rPr>
          <w:lang w:val="en-GB"/>
        </w:rPr>
        <w:t>.</w:t>
      </w:r>
      <w:r w:rsidR="002B77AB" w:rsidRPr="00B27F0B">
        <w:rPr>
          <w:lang w:val="en-GB"/>
        </w:rPr>
        <w:fldChar w:fldCharType="begin"/>
      </w:r>
      <w:r w:rsidR="002B77AB" w:rsidRPr="00B27F0B">
        <w:rPr>
          <w:lang w:val="en-GB"/>
        </w:rPr>
        <w:instrText xml:space="preserve"> SEQ Figure_D2. \* ARABIC </w:instrText>
      </w:r>
      <w:r w:rsidR="002B77AB" w:rsidRPr="00B27F0B">
        <w:rPr>
          <w:lang w:val="en-GB"/>
        </w:rPr>
        <w:fldChar w:fldCharType="separate"/>
      </w:r>
      <w:r w:rsidRPr="00B27F0B">
        <w:rPr>
          <w:noProof/>
          <w:lang w:val="en-GB"/>
        </w:rPr>
        <w:t>1</w:t>
      </w:r>
      <w:r w:rsidR="002B77AB" w:rsidRPr="00B27F0B">
        <w:rPr>
          <w:noProof/>
          <w:lang w:val="en-GB"/>
        </w:rPr>
        <w:fldChar w:fldCharType="end"/>
      </w:r>
      <w:r w:rsidRPr="00B56453">
        <w:rPr>
          <w:noProof/>
          <w:lang w:val="en-GB" w:eastAsia="en-GB" w:bidi="ar-SA"/>
        </w:rPr>
        <mc:AlternateContent>
          <mc:Choice Requires="wpg">
            <w:drawing>
              <wp:anchor distT="0" distB="0" distL="114300" distR="114300" simplePos="0" relativeHeight="252038144" behindDoc="1" locked="1" layoutInCell="1" allowOverlap="1" wp14:anchorId="12B945B1" wp14:editId="68B35018">
                <wp:simplePos x="0" y="0"/>
                <wp:positionH relativeFrom="column">
                  <wp:posOffset>26035</wp:posOffset>
                </wp:positionH>
                <wp:positionV relativeFrom="paragraph">
                  <wp:posOffset>-311785</wp:posOffset>
                </wp:positionV>
                <wp:extent cx="5419725" cy="4441825"/>
                <wp:effectExtent l="19050" t="19050" r="28575" b="15875"/>
                <wp:wrapTopAndBottom/>
                <wp:docPr id="239" name="Group 239"/>
                <wp:cNvGraphicFramePr/>
                <a:graphic xmlns:a="http://schemas.openxmlformats.org/drawingml/2006/main">
                  <a:graphicData uri="http://schemas.microsoft.com/office/word/2010/wordprocessingGroup">
                    <wpg:wgp>
                      <wpg:cNvGrpSpPr/>
                      <wpg:grpSpPr>
                        <a:xfrm>
                          <a:off x="0" y="0"/>
                          <a:ext cx="5419725" cy="4441825"/>
                          <a:chOff x="-1" y="-18481"/>
                          <a:chExt cx="6715126" cy="4452186"/>
                        </a:xfrm>
                      </wpg:grpSpPr>
                      <wpg:grpSp>
                        <wpg:cNvPr id="240" name="Group 240"/>
                        <wpg:cNvGrpSpPr/>
                        <wpg:grpSpPr>
                          <a:xfrm>
                            <a:off x="-1" y="-18481"/>
                            <a:ext cx="6715126" cy="4452186"/>
                            <a:chOff x="-1" y="-18481"/>
                            <a:chExt cx="6715126" cy="4452186"/>
                          </a:xfrm>
                        </wpg:grpSpPr>
                        <wpg:grpSp>
                          <wpg:cNvPr id="345" name="Group 345"/>
                          <wpg:cNvGrpSpPr/>
                          <wpg:grpSpPr>
                            <a:xfrm>
                              <a:off x="-1" y="-18481"/>
                              <a:ext cx="6715126" cy="3829116"/>
                              <a:chOff x="-1" y="-18492"/>
                              <a:chExt cx="6715126" cy="3829711"/>
                            </a:xfrm>
                          </wpg:grpSpPr>
                          <wpg:grpSp>
                            <wpg:cNvPr id="347" name="Group 347"/>
                            <wpg:cNvGrpSpPr/>
                            <wpg:grpSpPr>
                              <a:xfrm>
                                <a:off x="-1" y="-18492"/>
                                <a:ext cx="6715126" cy="3829127"/>
                                <a:chOff x="-21946" y="34816"/>
                                <a:chExt cx="6715691" cy="3831488"/>
                              </a:xfrm>
                            </wpg:grpSpPr>
                            <wps:wsp>
                              <wps:cNvPr id="348" name="Rounded Rectangle 348"/>
                              <wps:cNvSpPr/>
                              <wps:spPr>
                                <a:xfrm>
                                  <a:off x="-21946" y="34816"/>
                                  <a:ext cx="6634888" cy="1245005"/>
                                </a:xfrm>
                                <a:prstGeom prst="roundRect">
                                  <a:avLst/>
                                </a:prstGeom>
                                <a:solidFill>
                                  <a:schemeClr val="bg1"/>
                                </a:solidFill>
                                <a:ln w="381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85AF0" w14:textId="77777777" w:rsidR="00C8402C" w:rsidRPr="0052217A" w:rsidRDefault="00C8402C" w:rsidP="0021662A">
                                    <w:pPr>
                                      <w:spacing w:line="240" w:lineRule="auto"/>
                                      <w:jc w:val="center"/>
                                      <w:rPr>
                                        <w:b/>
                                        <w:color w:val="000000" w:themeColor="text1"/>
                                        <w:sz w:val="20"/>
                                        <w:szCs w:val="20"/>
                                      </w:rPr>
                                    </w:pPr>
                                    <w:r w:rsidRPr="0052217A">
                                      <w:rPr>
                                        <w:b/>
                                        <w:color w:val="000000" w:themeColor="text1"/>
                                        <w:sz w:val="20"/>
                                        <w:szCs w:val="20"/>
                                      </w:rPr>
                                      <w:t>Context</w:t>
                                    </w:r>
                                  </w:p>
                                  <w:p w14:paraId="7AA55A0A"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Contextual factors which influence the theories of how the intervention works to produce the outcomes.</w:t>
                                    </w:r>
                                  </w:p>
                                  <w:p w14:paraId="347C1BF5"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The role of context affecting, and being affected by, implementation, mechanisms of impact, and outcomes.</w:t>
                                    </w:r>
                                  </w:p>
                                  <w:p w14:paraId="18495641"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Contextual causal mechanisms may sustain the status quo or contribute towards the potentiation of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Rounded Rectangle 349"/>
                              <wps:cNvSpPr/>
                              <wps:spPr>
                                <a:xfrm>
                                  <a:off x="-6601" y="1635568"/>
                                  <a:ext cx="1416648" cy="2230736"/>
                                </a:xfrm>
                                <a:prstGeom prst="round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07EC3B2" w14:textId="77777777" w:rsidR="00C8402C" w:rsidRPr="0052217A" w:rsidRDefault="00C8402C" w:rsidP="0021662A">
                                    <w:pPr>
                                      <w:ind w:right="-85"/>
                                      <w:jc w:val="center"/>
                                      <w:rPr>
                                        <w:b/>
                                        <w:color w:val="000000" w:themeColor="text1"/>
                                        <w:sz w:val="20"/>
                                        <w:szCs w:val="20"/>
                                      </w:rPr>
                                    </w:pPr>
                                    <w:r w:rsidRPr="0052217A">
                                      <w:rPr>
                                        <w:b/>
                                        <w:color w:val="000000" w:themeColor="text1"/>
                                        <w:sz w:val="20"/>
                                        <w:szCs w:val="20"/>
                                      </w:rPr>
                                      <w:t>Description and causal assumptions of the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ounded Rectangle 350"/>
                              <wps:cNvSpPr/>
                              <wps:spPr>
                                <a:xfrm>
                                  <a:off x="5632451" y="1663662"/>
                                  <a:ext cx="1061294" cy="2180206"/>
                                </a:xfrm>
                                <a:prstGeom prst="round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A265377" w14:textId="77777777" w:rsidR="00C8402C" w:rsidRPr="0052217A" w:rsidRDefault="00C8402C" w:rsidP="0021662A">
                                    <w:pPr>
                                      <w:jc w:val="center"/>
                                      <w:rPr>
                                        <w:b/>
                                        <w:color w:val="000000" w:themeColor="text1"/>
                                        <w:sz w:val="20"/>
                                        <w:szCs w:val="20"/>
                                      </w:rPr>
                                    </w:pPr>
                                    <w:r w:rsidRPr="0052217A">
                                      <w:rPr>
                                        <w:b/>
                                        <w:color w:val="000000" w:themeColor="text1"/>
                                        <w:sz w:val="20"/>
                                        <w:szCs w:val="20"/>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Up-Down Arrow 351"/>
                              <wps:cNvSpPr/>
                              <wps:spPr>
                                <a:xfrm>
                                  <a:off x="4450984" y="1328235"/>
                                  <a:ext cx="144104" cy="307334"/>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Up-Down Arrow 353"/>
                              <wps:cNvSpPr/>
                              <wps:spPr>
                                <a:xfrm>
                                  <a:off x="6050182" y="1342285"/>
                                  <a:ext cx="139001" cy="30074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ounded Rectangle 354"/>
                              <wps:cNvSpPr/>
                              <wps:spPr>
                                <a:xfrm>
                                  <a:off x="3600922" y="1656009"/>
                                  <a:ext cx="1900112" cy="2202497"/>
                                </a:xfrm>
                                <a:prstGeom prst="roundRect">
                                  <a:avLst/>
                                </a:prstGeom>
                                <a:solidFill>
                                  <a:schemeClr val="bg1"/>
                                </a:solidFill>
                                <a:ln w="381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B5CC0DE" w14:textId="77777777" w:rsidR="00C8402C" w:rsidRPr="0052217A" w:rsidRDefault="00C8402C" w:rsidP="0021662A">
                                    <w:pPr>
                                      <w:spacing w:after="0" w:line="240" w:lineRule="auto"/>
                                      <w:jc w:val="center"/>
                                      <w:rPr>
                                        <w:color w:val="000000" w:themeColor="text1"/>
                                        <w:sz w:val="20"/>
                                        <w:szCs w:val="20"/>
                                      </w:rPr>
                                    </w:pPr>
                                    <w:r w:rsidRPr="0052217A">
                                      <w:rPr>
                                        <w:b/>
                                        <w:color w:val="000000" w:themeColor="text1"/>
                                        <w:sz w:val="20"/>
                                        <w:szCs w:val="20"/>
                                      </w:rPr>
                                      <w:t>Mechanism</w:t>
                                    </w:r>
                                    <w:r w:rsidRPr="0052217A">
                                      <w:rPr>
                                        <w:color w:val="000000" w:themeColor="text1"/>
                                        <w:sz w:val="20"/>
                                        <w:szCs w:val="20"/>
                                      </w:rPr>
                                      <w:t xml:space="preserve"> </w:t>
                                    </w:r>
                                    <w:r w:rsidRPr="0052217A">
                                      <w:rPr>
                                        <w:b/>
                                        <w:color w:val="000000" w:themeColor="text1"/>
                                        <w:sz w:val="20"/>
                                        <w:szCs w:val="20"/>
                                      </w:rPr>
                                      <w:t>of</w:t>
                                    </w:r>
                                    <w:r w:rsidRPr="0052217A">
                                      <w:rPr>
                                        <w:color w:val="000000" w:themeColor="text1"/>
                                        <w:sz w:val="20"/>
                                        <w:szCs w:val="20"/>
                                      </w:rPr>
                                      <w:t xml:space="preserve"> </w:t>
                                    </w:r>
                                    <w:r w:rsidRPr="0052217A">
                                      <w:rPr>
                                        <w:b/>
                                        <w:color w:val="000000" w:themeColor="text1"/>
                                        <w:sz w:val="20"/>
                                        <w:szCs w:val="20"/>
                                      </w:rPr>
                                      <w:t>impact</w:t>
                                    </w:r>
                                  </w:p>
                                  <w:p w14:paraId="505FC6CF" w14:textId="77777777" w:rsidR="00C8402C" w:rsidRPr="0052217A" w:rsidRDefault="00C8402C" w:rsidP="0021662A">
                                    <w:pPr>
                                      <w:spacing w:after="0" w:line="240" w:lineRule="auto"/>
                                      <w:jc w:val="center"/>
                                      <w:rPr>
                                        <w:color w:val="000000" w:themeColor="text1"/>
                                        <w:sz w:val="20"/>
                                        <w:szCs w:val="20"/>
                                      </w:rPr>
                                    </w:pPr>
                                  </w:p>
                                  <w:p w14:paraId="055ADBF4"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Responses of the participants and their interactions with the intervention.</w:t>
                                    </w:r>
                                  </w:p>
                                  <w:p w14:paraId="09B4D093"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Unexpected outcomes and pathways</w:t>
                                    </w:r>
                                  </w:p>
                                  <w:p w14:paraId="78B23BF7"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Mediators and other players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Down Arrow 355"/>
                              <wps:cNvSpPr/>
                              <wps:spPr>
                                <a:xfrm rot="16200000">
                                  <a:off x="5495437" y="3307301"/>
                                  <a:ext cx="262255" cy="6327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Rounded Rectangle 365"/>
                            <wps:cNvSpPr/>
                            <wps:spPr>
                              <a:xfrm>
                                <a:off x="1594713" y="1587399"/>
                                <a:ext cx="1899920" cy="2223820"/>
                              </a:xfrm>
                              <a:prstGeom prst="roundRect">
                                <a:avLst/>
                              </a:prstGeom>
                              <a:solidFill>
                                <a:schemeClr val="bg1"/>
                              </a:solidFill>
                              <a:ln w="381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B36525" w14:textId="77777777" w:rsidR="00C8402C" w:rsidRPr="0052217A" w:rsidRDefault="00C8402C" w:rsidP="0021662A">
                                  <w:pPr>
                                    <w:spacing w:after="0" w:line="240" w:lineRule="auto"/>
                                    <w:jc w:val="center"/>
                                    <w:rPr>
                                      <w:b/>
                                      <w:color w:val="000000" w:themeColor="text1"/>
                                      <w:sz w:val="20"/>
                                      <w:szCs w:val="20"/>
                                    </w:rPr>
                                  </w:pPr>
                                  <w:r w:rsidRPr="0052217A">
                                    <w:rPr>
                                      <w:b/>
                                      <w:color w:val="000000" w:themeColor="text1"/>
                                      <w:sz w:val="20"/>
                                      <w:szCs w:val="20"/>
                                    </w:rPr>
                                    <w:t>Implementation process</w:t>
                                  </w:r>
                                </w:p>
                                <w:p w14:paraId="453C245E" w14:textId="77777777" w:rsidR="00C8402C" w:rsidRPr="0052217A" w:rsidRDefault="00C8402C" w:rsidP="0021662A">
                                  <w:pPr>
                                    <w:spacing w:after="0" w:line="240" w:lineRule="auto"/>
                                    <w:jc w:val="center"/>
                                    <w:rPr>
                                      <w:b/>
                                      <w:color w:val="000000" w:themeColor="text1"/>
                                      <w:sz w:val="20"/>
                                      <w:szCs w:val="20"/>
                                    </w:rPr>
                                  </w:pPr>
                                </w:p>
                                <w:p w14:paraId="2F4C0184" w14:textId="77777777" w:rsidR="00C8402C" w:rsidRPr="0052217A" w:rsidRDefault="00C8402C" w:rsidP="0021662A">
                                  <w:pPr>
                                    <w:spacing w:after="0" w:line="240" w:lineRule="auto"/>
                                    <w:ind w:left="-142" w:right="-60"/>
                                    <w:rPr>
                                      <w:color w:val="000000" w:themeColor="text1"/>
                                      <w:sz w:val="20"/>
                                      <w:szCs w:val="20"/>
                                    </w:rPr>
                                  </w:pPr>
                                  <w:r w:rsidRPr="0052217A">
                                    <w:rPr>
                                      <w:color w:val="000000" w:themeColor="text1"/>
                                      <w:sz w:val="20"/>
                                      <w:szCs w:val="20"/>
                                    </w:rPr>
                                    <w:t>Delivery of the intervention:</w:t>
                                  </w:r>
                                </w:p>
                                <w:p w14:paraId="11E2F6DA" w14:textId="77777777" w:rsidR="00C8402C" w:rsidRPr="0052217A" w:rsidRDefault="00C8402C" w:rsidP="0021662A">
                                  <w:pPr>
                                    <w:spacing w:after="0" w:line="240" w:lineRule="auto"/>
                                    <w:ind w:left="-142" w:right="-60"/>
                                    <w:rPr>
                                      <w:color w:val="000000" w:themeColor="text1"/>
                                      <w:sz w:val="20"/>
                                      <w:szCs w:val="20"/>
                                    </w:rPr>
                                  </w:pPr>
                                </w:p>
                                <w:p w14:paraId="4B24D120"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Fidelity</w:t>
                                  </w:r>
                                </w:p>
                                <w:p w14:paraId="5E77A0D9"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Quantity (Dose)</w:t>
                                  </w:r>
                                </w:p>
                                <w:p w14:paraId="2E629813"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Adaptations</w:t>
                                  </w:r>
                                </w:p>
                                <w:p w14:paraId="1770D251"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Reach</w:t>
                                  </w:r>
                                </w:p>
                                <w:p w14:paraId="5E4136DB" w14:textId="77777777" w:rsidR="00C8402C" w:rsidRPr="0052217A" w:rsidRDefault="00C8402C" w:rsidP="0021662A">
                                  <w:pPr>
                                    <w:spacing w:line="240" w:lineRule="auto"/>
                                    <w:ind w:right="-85"/>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Up-Down Arrow 366"/>
                          <wps:cNvSpPr/>
                          <wps:spPr>
                            <a:xfrm>
                              <a:off x="2462367" y="1234361"/>
                              <a:ext cx="146304" cy="3365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Up-Down Arrow 367"/>
                          <wps:cNvSpPr/>
                          <wps:spPr>
                            <a:xfrm>
                              <a:off x="604300" y="1256307"/>
                              <a:ext cx="153620" cy="314554"/>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Curved Up Arrow 368"/>
                          <wps:cNvSpPr/>
                          <wps:spPr>
                            <a:xfrm flipH="1">
                              <a:off x="1129086" y="3823191"/>
                              <a:ext cx="869182" cy="246184"/>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urved Up Arrow 370"/>
                          <wps:cNvSpPr/>
                          <wps:spPr>
                            <a:xfrm flipH="1">
                              <a:off x="3188473" y="3824578"/>
                              <a:ext cx="868680" cy="24574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Curved Up Arrow 380"/>
                          <wps:cNvSpPr/>
                          <wps:spPr>
                            <a:xfrm flipH="1">
                              <a:off x="803082" y="3824578"/>
                              <a:ext cx="3696970" cy="492125"/>
                            </a:xfrm>
                            <a:prstGeom prst="curvedUpArrow">
                              <a:avLst>
                                <a:gd name="adj1" fmla="val 12878"/>
                                <a:gd name="adj2" fmla="val 27382"/>
                                <a:gd name="adj3" fmla="val 1479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Curved Up Arrow 443"/>
                          <wps:cNvSpPr/>
                          <wps:spPr>
                            <a:xfrm flipH="1">
                              <a:off x="500933" y="3799340"/>
                              <a:ext cx="5431790" cy="634365"/>
                            </a:xfrm>
                            <a:prstGeom prst="curvedUpArrow">
                              <a:avLst>
                                <a:gd name="adj1" fmla="val 12878"/>
                                <a:gd name="adj2" fmla="val 24641"/>
                                <a:gd name="adj3" fmla="val 1342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Down Arrow 444"/>
                          <wps:cNvSpPr/>
                          <wps:spPr>
                            <a:xfrm rot="16200000">
                              <a:off x="1445214" y="3260258"/>
                              <a:ext cx="256623" cy="6351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5" name="Down Arrow 445"/>
                        <wps:cNvSpPr/>
                        <wps:spPr>
                          <a:xfrm rot="16200000">
                            <a:off x="3484241" y="3264714"/>
                            <a:ext cx="262054" cy="6326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945B1" id="Group 239" o:spid="_x0000_s1350" style="position:absolute;margin-left:2.05pt;margin-top:-24.5pt;width:426.75pt;height:349.75pt;z-index:-251278336;mso-width-relative:margin;mso-height-relative:margin" coordorigin="-1,-18481" coordsize="6715126,4452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">
                <v:group id="Group 240" o:spid="_x0000_s1351" style="position:absolute;left:-1;top:-18481;width:6715126;height:4452186" coordorigin="-1,-18481" coordsize="6715126,4452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group id="Group 345" o:spid="_x0000_s1352" style="position:absolute;left:-1;top:-18481;width:6715126;height:3829116" coordorigin="-1,-18492" coordsize="6715126,3829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group id="Group 347" o:spid="_x0000_s1353" style="position:absolute;left:-1;top:-18492;width:6715126;height:3829127" coordorigin="-21946,34816" coordsize="6715691,3831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roundrect id="Rounded Rectangle 348" o:spid="_x0000_s1354" style="position:absolute;left:-21946;top:34816;width:6634888;height:124500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JhzvQAA&#10;ANwAAAAPAAAAZHJzL2Rvd25yZXYueG1sRE/JCsIwEL0L/kMYwZumrmg1ioiiFw9u96EZ22ozKU3U&#10;+vfmIHh8vH2+rE0hXlS53LKCXjcCQZxYnXOq4HLediYgnEfWWFgmBR9ysFw0G3OMtX3zkV4nn4oQ&#10;wi5GBZn3ZSylSzIy6Lq2JA7czVYGfYBVKnWF7xBuCtmPorE0mHNoyLCkdUbJ4/Q0ClI/xOix205v&#10;10lvQ/o+OpjpSKl2q17NQHiq/V/8c++1gsEwrA1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rLJhzvQAAANwAAAAPAAAAAAAAAAAAAAAAAJcCAABkcnMvZG93bnJldi54&#10;bWxQSwUGAAAAAAQABAD1AAAAgQMAAAAA&#10;" fillcolor="white [3212]" strokecolor="#1f4d78 [1604]" strokeweight="3pt">
                        <v:stroke dashstyle="dash" joinstyle="miter"/>
                        <v:textbox>
                          <w:txbxContent>
                            <w:p w14:paraId="0A585AF0" w14:textId="77777777" w:rsidR="00C8402C" w:rsidRPr="0052217A" w:rsidRDefault="00C8402C" w:rsidP="0021662A">
                              <w:pPr>
                                <w:spacing w:line="240" w:lineRule="auto"/>
                                <w:jc w:val="center"/>
                                <w:rPr>
                                  <w:b/>
                                  <w:color w:val="000000" w:themeColor="text1"/>
                                  <w:sz w:val="20"/>
                                  <w:szCs w:val="20"/>
                                </w:rPr>
                              </w:pPr>
                              <w:r w:rsidRPr="0052217A">
                                <w:rPr>
                                  <w:b/>
                                  <w:color w:val="000000" w:themeColor="text1"/>
                                  <w:sz w:val="20"/>
                                  <w:szCs w:val="20"/>
                                </w:rPr>
                                <w:t>Context</w:t>
                              </w:r>
                            </w:p>
                            <w:p w14:paraId="7AA55A0A"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Contextual factors which influence the theories of how the intervention works to produce the outcomes.</w:t>
                              </w:r>
                            </w:p>
                            <w:p w14:paraId="347C1BF5"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The role of context affecting, and being affected by, implementation, mechanisms of impact, and outcomes.</w:t>
                              </w:r>
                            </w:p>
                            <w:p w14:paraId="18495641" w14:textId="77777777" w:rsidR="00C8402C" w:rsidRPr="0052217A" w:rsidRDefault="00C8402C" w:rsidP="0021662A">
                              <w:pPr>
                                <w:pStyle w:val="ListParagraph"/>
                                <w:numPr>
                                  <w:ilvl w:val="0"/>
                                  <w:numId w:val="8"/>
                                </w:numPr>
                                <w:spacing w:line="192" w:lineRule="auto"/>
                                <w:ind w:left="142" w:hanging="284"/>
                                <w:rPr>
                                  <w:color w:val="000000" w:themeColor="text1"/>
                                  <w:sz w:val="20"/>
                                  <w:szCs w:val="20"/>
                                </w:rPr>
                              </w:pPr>
                              <w:r w:rsidRPr="0052217A">
                                <w:rPr>
                                  <w:color w:val="000000" w:themeColor="text1"/>
                                  <w:sz w:val="20"/>
                                  <w:szCs w:val="20"/>
                                </w:rPr>
                                <w:t>Contextual causal mechanisms may sustain the status quo or contribute towards the potentiation of effects.</w:t>
                              </w:r>
                            </w:p>
                          </w:txbxContent>
                        </v:textbox>
                      </v:roundrect>
                      <v:roundrect id="Rounded Rectangle 349" o:spid="_x0000_s1355" style="position:absolute;left:-6601;top:1635568;width:1416648;height:22307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xHExQAA&#10;ANwAAAAPAAAAZHJzL2Rvd25yZXYueG1sRI9Ba8JAEIXvhf6HZQre6sYYRFNXqUVBvBRtL96G7DSJ&#10;zc6G3W0S/70rCD0+3rzvzVuuB9OIjpyvLSuYjBMQxIXVNZcKvr92r3MQPiBrbCyTgit5WK+en5aY&#10;a9vzkbpTKEWEsM9RQRVCm0vpi4oM+rFtiaP3Y53BEKUrpXbYR7hpZJokM2mw5thQYUsfFRW/pz8T&#10;3zhkfZdtN13KGzNzk/Ml/TQXpUYvw/sbiEBD+D9+pPdawTRbwH1MJI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bEcTFAAAA3AAAAA8AAAAAAAAAAAAAAAAAlwIAAGRycy9k&#10;b3ducmV2LnhtbFBLBQYAAAAABAAEAPUAAACJAwAAAAA=&#10;" fillcolor="white [3212]" strokecolor="#1f4d78 [1604]" strokeweight="3pt">
                        <v:stroke joinstyle="miter"/>
                        <v:textbox>
                          <w:txbxContent>
                            <w:p w14:paraId="507EC3B2" w14:textId="77777777" w:rsidR="00C8402C" w:rsidRPr="0052217A" w:rsidRDefault="00C8402C" w:rsidP="0021662A">
                              <w:pPr>
                                <w:ind w:right="-85"/>
                                <w:jc w:val="center"/>
                                <w:rPr>
                                  <w:b/>
                                  <w:color w:val="000000" w:themeColor="text1"/>
                                  <w:sz w:val="20"/>
                                  <w:szCs w:val="20"/>
                                </w:rPr>
                              </w:pPr>
                              <w:r w:rsidRPr="0052217A">
                                <w:rPr>
                                  <w:b/>
                                  <w:color w:val="000000" w:themeColor="text1"/>
                                  <w:sz w:val="20"/>
                                  <w:szCs w:val="20"/>
                                </w:rPr>
                                <w:t>Description and causal assumptions of the intervention</w:t>
                              </w:r>
                            </w:p>
                          </w:txbxContent>
                        </v:textbox>
                      </v:roundrect>
                      <v:roundrect id="Rounded Rectangle 350" o:spid="_x0000_s1356" style="position:absolute;left:5632451;top:1663662;width:1061294;height:21802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C6ExQAA&#10;ANwAAAAPAAAAZHJzL2Rvd25yZXYueG1sRI/BTsMwDIbvk3iHyEjctnRlq1BZNrEJJMRl2uDCzWpM&#10;29E4VZK15e3xAYmj9fv//Hmzm1ynBgqx9WxguchAEVfetlwb+Hh/mT+AignZYueZDPxQhN32ZrbB&#10;0vqRTzScU60EwrFEA01Kfal1rBpyGBe+J5bsyweHScZQaxtwFLjrdJ5lhXbYslxosKdDQ9X3+epE&#10;4201Dqvn/ZDz3hVh+XnJj+5izN3t9PQIKtGU/pf/2q/WwP1a9OUZIYD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4LoTFAAAA3AAAAA8AAAAAAAAAAAAAAAAAlwIAAGRycy9k&#10;b3ducmV2LnhtbFBLBQYAAAAABAAEAPUAAACJAwAAAAA=&#10;" fillcolor="white [3212]" strokecolor="#1f4d78 [1604]" strokeweight="3pt">
                        <v:stroke joinstyle="miter"/>
                        <v:textbox>
                          <w:txbxContent>
                            <w:p w14:paraId="2A265377" w14:textId="77777777" w:rsidR="00C8402C" w:rsidRPr="0052217A" w:rsidRDefault="00C8402C" w:rsidP="0021662A">
                              <w:pPr>
                                <w:jc w:val="center"/>
                                <w:rPr>
                                  <w:b/>
                                  <w:color w:val="000000" w:themeColor="text1"/>
                                  <w:sz w:val="20"/>
                                  <w:szCs w:val="20"/>
                                </w:rPr>
                              </w:pPr>
                              <w:r w:rsidRPr="0052217A">
                                <w:rPr>
                                  <w:b/>
                                  <w:color w:val="000000" w:themeColor="text1"/>
                                  <w:sz w:val="20"/>
                                  <w:szCs w:val="20"/>
                                </w:rPr>
                                <w:t>Outcomes</w:t>
                              </w:r>
                            </w:p>
                          </w:txbxContent>
                        </v:textbox>
                      </v:roundrect>
                      <v:shape id="Up-Down Arrow 351" o:spid="_x0000_s1357" type="#_x0000_t70" style="position:absolute;left:4450984;top:1328235;width:144104;height:307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LqfxAAA&#10;ANwAAAAPAAAAZHJzL2Rvd25yZXYueG1sRI9PawIxFMTvBb9DeEJvNavFsq5GEUGoR/+06O2ZPHcX&#10;k5dlk+r67U2h0OMwM79hZovOWXGjNtSeFQwHGQhi7U3NpYLDfv2WgwgR2aD1TAoeFGAx773MsDD+&#10;zlu67WIpEoRDgQqqGJtCyqArchgGviFO3sW3DmOSbSlNi/cEd1aOsuxDOqw5LVTY0Koifd39OAWb&#10;r30c5dae8+a41PW3POnJeqzUa79bTkFE6uJ/+K/9aRS8j4fweyYd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S6n8QAAADcAAAADwAAAAAAAAAAAAAAAACXAgAAZHJzL2Rv&#10;d25yZXYueG1sUEsFBgAAAAAEAAQA9QAAAIgDAAAAAA==&#10;" adj=",5064" fillcolor="#5b9bd5 [3204]" strokecolor="#1f4d78 [1604]" strokeweight="1pt"/>
                      <v:shape id="Up-Down Arrow 353" o:spid="_x0000_s1358" type="#_x0000_t70" style="position:absolute;left:6050182;top:1342285;width:139001;height:3007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42sxgAA&#10;ANwAAAAPAAAAZHJzL2Rvd25yZXYueG1sRI9PawIxFMTvBb9DeIXearaVimyNIouFSvHgv0Jvr5vX&#10;3aXJy5LEdf32RhA8DjPzG2Y6760RHfnQOFbwMsxAEJdON1wp2O8+nicgQkTWaByTgjMFmM8GD1PM&#10;tTvxhrptrESCcMhRQR1jm0sZyposhqFriZP357zFmKSvpPZ4SnBr5GuWjaXFhtNCjS0VNZX/26NV&#10;sDbdz+/XTvputV8uzPehcHJcKPX02C/eQUTq4z18a39qBaO3EVzPpCMgZ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G42sxgAAANwAAAAPAAAAAAAAAAAAAAAAAJcCAABkcnMv&#10;ZG93bnJldi54bWxQSwUGAAAAAAQABAD1AAAAigMAAAAA&#10;" adj=",4992" fillcolor="#5b9bd5 [3204]" strokecolor="#1f4d78 [1604]" strokeweight="1pt"/>
                      <v:roundrect id="Rounded Rectangle 354" o:spid="_x0000_s1359" style="position:absolute;left:3600922;top:1656009;width:1900112;height:22024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flAxQAA&#10;ANwAAAAPAAAAZHJzL2Rvd25yZXYueG1sRI/NasJAFIX3hb7DcAvu6qS1isSMIqUppbjQaMDlJXOb&#10;hGbuhMyYpG/fEQSXh/PzcZLNaBrRU+dqywpephEI4sLqmksFp2P6vAThPLLGxjIp+CMHm/XjQ4Kx&#10;tgMfqM98KcIIuxgVVN63sZSuqMigm9qWOHg/tjPog+xKqTscwrhp5GsULaTBmgOhwpbeKyp+s4sJ&#10;EL1w2ezje/9ptnKXp2aQ+Xmv1ORp3K5AeBr9PXxrf2kFs/kbXM+EI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F+UDFAAAA3AAAAA8AAAAAAAAAAAAAAAAAlwIAAGRycy9k&#10;b3ducmV2LnhtbFBLBQYAAAAABAAEAPUAAACJAwAAAAA=&#10;" fillcolor="white [3212]" strokecolor="#1f4d78 [1604]" strokeweight="3pt">
                        <v:stroke dashstyle="dash" joinstyle="miter"/>
                        <v:textbox>
                          <w:txbxContent>
                            <w:p w14:paraId="1B5CC0DE" w14:textId="77777777" w:rsidR="00C8402C" w:rsidRPr="0052217A" w:rsidRDefault="00C8402C" w:rsidP="0021662A">
                              <w:pPr>
                                <w:spacing w:after="0" w:line="240" w:lineRule="auto"/>
                                <w:jc w:val="center"/>
                                <w:rPr>
                                  <w:color w:val="000000" w:themeColor="text1"/>
                                  <w:sz w:val="20"/>
                                  <w:szCs w:val="20"/>
                                </w:rPr>
                              </w:pPr>
                              <w:r w:rsidRPr="0052217A">
                                <w:rPr>
                                  <w:b/>
                                  <w:color w:val="000000" w:themeColor="text1"/>
                                  <w:sz w:val="20"/>
                                  <w:szCs w:val="20"/>
                                </w:rPr>
                                <w:t>Mechanism</w:t>
                              </w:r>
                              <w:r w:rsidRPr="0052217A">
                                <w:rPr>
                                  <w:color w:val="000000" w:themeColor="text1"/>
                                  <w:sz w:val="20"/>
                                  <w:szCs w:val="20"/>
                                </w:rPr>
                                <w:t xml:space="preserve"> </w:t>
                              </w:r>
                              <w:r w:rsidRPr="0052217A">
                                <w:rPr>
                                  <w:b/>
                                  <w:color w:val="000000" w:themeColor="text1"/>
                                  <w:sz w:val="20"/>
                                  <w:szCs w:val="20"/>
                                </w:rPr>
                                <w:t>of</w:t>
                              </w:r>
                              <w:r w:rsidRPr="0052217A">
                                <w:rPr>
                                  <w:color w:val="000000" w:themeColor="text1"/>
                                  <w:sz w:val="20"/>
                                  <w:szCs w:val="20"/>
                                </w:rPr>
                                <w:t xml:space="preserve"> </w:t>
                              </w:r>
                              <w:r w:rsidRPr="0052217A">
                                <w:rPr>
                                  <w:b/>
                                  <w:color w:val="000000" w:themeColor="text1"/>
                                  <w:sz w:val="20"/>
                                  <w:szCs w:val="20"/>
                                </w:rPr>
                                <w:t>impact</w:t>
                              </w:r>
                            </w:p>
                            <w:p w14:paraId="505FC6CF" w14:textId="77777777" w:rsidR="00C8402C" w:rsidRPr="0052217A" w:rsidRDefault="00C8402C" w:rsidP="0021662A">
                              <w:pPr>
                                <w:spacing w:after="0" w:line="240" w:lineRule="auto"/>
                                <w:jc w:val="center"/>
                                <w:rPr>
                                  <w:color w:val="000000" w:themeColor="text1"/>
                                  <w:sz w:val="20"/>
                                  <w:szCs w:val="20"/>
                                </w:rPr>
                              </w:pPr>
                            </w:p>
                            <w:p w14:paraId="055ADBF4"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Responses of the participants and their interactions with the intervention.</w:t>
                              </w:r>
                            </w:p>
                            <w:p w14:paraId="09B4D093"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Unexpected outcomes and pathways</w:t>
                              </w:r>
                            </w:p>
                            <w:p w14:paraId="78B23BF7" w14:textId="77777777" w:rsidR="00C8402C" w:rsidRPr="0052217A" w:rsidRDefault="00C8402C" w:rsidP="0021662A">
                              <w:pPr>
                                <w:pStyle w:val="ListParagraph"/>
                                <w:numPr>
                                  <w:ilvl w:val="0"/>
                                  <w:numId w:val="10"/>
                                </w:numPr>
                                <w:spacing w:line="240" w:lineRule="auto"/>
                                <w:ind w:left="142" w:right="-60" w:hanging="284"/>
                                <w:rPr>
                                  <w:color w:val="000000" w:themeColor="text1"/>
                                  <w:sz w:val="20"/>
                                  <w:szCs w:val="20"/>
                                </w:rPr>
                              </w:pPr>
                              <w:r w:rsidRPr="0052217A">
                                <w:rPr>
                                  <w:color w:val="000000" w:themeColor="text1"/>
                                  <w:sz w:val="20"/>
                                  <w:szCs w:val="20"/>
                                </w:rPr>
                                <w:t>Mediators and other players</w:t>
                              </w:r>
                            </w:p>
                          </w:txbxContent>
                        </v:textbox>
                      </v:roundrect>
                      <v:shape id="Down Arrow 355" o:spid="_x0000_s1360" type="#_x0000_t67" style="position:absolute;left:5495437;top:3307301;width:262255;height:63270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WnxgAA&#10;ANwAAAAPAAAAZHJzL2Rvd25yZXYueG1sRI9Ba8JAFITvgv9heQUvpW6qWJrUVYqQVvAgWsUeH9nX&#10;JJh9G3ZXE/99t1DwOMzMN8x82ZtGXMn52rKC53ECgriwuuZSweErf3oF4QOyxsYyKbiRh+ViOJhj&#10;pm3HO7ruQykihH2GCqoQ2kxKX1Rk0I9tSxy9H+sMhihdKbXDLsJNIydJ8iIN1hwXKmxpVVFx3l+M&#10;gg13x+9Nfjzl/PmYfky3aXBJqtTooX9/AxGoD/fwf3utFUxnM/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VWnxgAAANwAAAAPAAAAAAAAAAAAAAAAAJcCAABkcnMv&#10;ZG93bnJldi54bWxQSwUGAAAAAAQABAD1AAAAigMAAAAA&#10;" adj="17123" fillcolor="#5b9bd5 [3204]" strokecolor="#1f4d78 [1604]" strokeweight="1pt"/>
                    </v:group>
                    <v:roundrect id="Rounded Rectangle 365" o:spid="_x0000_s1361" style="position:absolute;left:1594713;top:1587399;width:1899920;height:22238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ZZmxQAA&#10;ANwAAAAPAAAAZHJzL2Rvd25yZXYueG1sRI/NasJAFIX3Bd9huAV3ddKGhhIdRaQRkS7StILLS+aa&#10;BDN3QmZM4tt3CoUuD+fn46w2k2nFQL1rLCt4XkQgiEurG64UfH9lT28gnEfW2FomBXdysFnPHlaY&#10;ajvyJw2Fr0QYYZeigtr7LpXSlTUZdAvbEQfvYnuDPsi+krrHMYybVr5EUSINNhwINXa0q6m8FjcT&#10;IDpxRfx+zPdmKz9OmRnl6ZwrNX+ctksQnib/H/5rH7SCOHmF3zPh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llmbFAAAA3AAAAA8AAAAAAAAAAAAAAAAAlwIAAGRycy9k&#10;b3ducmV2LnhtbFBLBQYAAAAABAAEAPUAAACJAwAAAAA=&#10;" fillcolor="white [3212]" strokecolor="#1f4d78 [1604]" strokeweight="3pt">
                      <v:stroke dashstyle="dash" joinstyle="miter"/>
                      <v:textbox>
                        <w:txbxContent>
                          <w:p w14:paraId="68B36525" w14:textId="77777777" w:rsidR="00C8402C" w:rsidRPr="0052217A" w:rsidRDefault="00C8402C" w:rsidP="0021662A">
                            <w:pPr>
                              <w:spacing w:after="0" w:line="240" w:lineRule="auto"/>
                              <w:jc w:val="center"/>
                              <w:rPr>
                                <w:b/>
                                <w:color w:val="000000" w:themeColor="text1"/>
                                <w:sz w:val="20"/>
                                <w:szCs w:val="20"/>
                              </w:rPr>
                            </w:pPr>
                            <w:r w:rsidRPr="0052217A">
                              <w:rPr>
                                <w:b/>
                                <w:color w:val="000000" w:themeColor="text1"/>
                                <w:sz w:val="20"/>
                                <w:szCs w:val="20"/>
                              </w:rPr>
                              <w:t>Implementation process</w:t>
                            </w:r>
                          </w:p>
                          <w:p w14:paraId="453C245E" w14:textId="77777777" w:rsidR="00C8402C" w:rsidRPr="0052217A" w:rsidRDefault="00C8402C" w:rsidP="0021662A">
                            <w:pPr>
                              <w:spacing w:after="0" w:line="240" w:lineRule="auto"/>
                              <w:jc w:val="center"/>
                              <w:rPr>
                                <w:b/>
                                <w:color w:val="000000" w:themeColor="text1"/>
                                <w:sz w:val="20"/>
                                <w:szCs w:val="20"/>
                              </w:rPr>
                            </w:pPr>
                          </w:p>
                          <w:p w14:paraId="2F4C0184" w14:textId="77777777" w:rsidR="00C8402C" w:rsidRPr="0052217A" w:rsidRDefault="00C8402C" w:rsidP="0021662A">
                            <w:pPr>
                              <w:spacing w:after="0" w:line="240" w:lineRule="auto"/>
                              <w:ind w:left="-142" w:right="-60"/>
                              <w:rPr>
                                <w:color w:val="000000" w:themeColor="text1"/>
                                <w:sz w:val="20"/>
                                <w:szCs w:val="20"/>
                              </w:rPr>
                            </w:pPr>
                            <w:r w:rsidRPr="0052217A">
                              <w:rPr>
                                <w:color w:val="000000" w:themeColor="text1"/>
                                <w:sz w:val="20"/>
                                <w:szCs w:val="20"/>
                              </w:rPr>
                              <w:t>Delivery of the intervention:</w:t>
                            </w:r>
                          </w:p>
                          <w:p w14:paraId="11E2F6DA" w14:textId="77777777" w:rsidR="00C8402C" w:rsidRPr="0052217A" w:rsidRDefault="00C8402C" w:rsidP="0021662A">
                            <w:pPr>
                              <w:spacing w:after="0" w:line="240" w:lineRule="auto"/>
                              <w:ind w:left="-142" w:right="-60"/>
                              <w:rPr>
                                <w:color w:val="000000" w:themeColor="text1"/>
                                <w:sz w:val="20"/>
                                <w:szCs w:val="20"/>
                              </w:rPr>
                            </w:pPr>
                          </w:p>
                          <w:p w14:paraId="4B24D120"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Fidelity</w:t>
                            </w:r>
                          </w:p>
                          <w:p w14:paraId="5E77A0D9"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Quantity (Dose)</w:t>
                            </w:r>
                          </w:p>
                          <w:p w14:paraId="2E629813"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Adaptations</w:t>
                            </w:r>
                          </w:p>
                          <w:p w14:paraId="1770D251" w14:textId="77777777" w:rsidR="00C8402C" w:rsidRPr="0052217A" w:rsidRDefault="00C8402C" w:rsidP="0021662A">
                            <w:pPr>
                              <w:pStyle w:val="ListParagraph"/>
                              <w:numPr>
                                <w:ilvl w:val="0"/>
                                <w:numId w:val="9"/>
                              </w:numPr>
                              <w:spacing w:after="0" w:line="240" w:lineRule="auto"/>
                              <w:ind w:left="284" w:hanging="283"/>
                              <w:rPr>
                                <w:color w:val="000000" w:themeColor="text1"/>
                                <w:sz w:val="20"/>
                                <w:szCs w:val="20"/>
                              </w:rPr>
                            </w:pPr>
                            <w:r w:rsidRPr="0052217A">
                              <w:rPr>
                                <w:color w:val="000000" w:themeColor="text1"/>
                                <w:sz w:val="20"/>
                                <w:szCs w:val="20"/>
                              </w:rPr>
                              <w:t>Reach</w:t>
                            </w:r>
                          </w:p>
                          <w:p w14:paraId="5E4136DB" w14:textId="77777777" w:rsidR="00C8402C" w:rsidRPr="0052217A" w:rsidRDefault="00C8402C" w:rsidP="0021662A">
                            <w:pPr>
                              <w:spacing w:line="240" w:lineRule="auto"/>
                              <w:ind w:right="-85"/>
                              <w:jc w:val="center"/>
                              <w:rPr>
                                <w:color w:val="000000" w:themeColor="text1"/>
                                <w:sz w:val="20"/>
                                <w:szCs w:val="20"/>
                              </w:rPr>
                            </w:pPr>
                          </w:p>
                        </w:txbxContent>
                      </v:textbox>
                    </v:roundrect>
                  </v:group>
                  <v:shape id="Up-Down Arrow 366" o:spid="_x0000_s1362" type="#_x0000_t70" style="position:absolute;left:2462367;top:1234361;width:146304;height:336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rbuxgAA&#10;ANwAAAAPAAAAZHJzL2Rvd25yZXYueG1sRI9Ba8JAFITvhf6H5RW81U0rBEldRQpCC3pQm4O35+4z&#10;CWbfptk1Rn+9Kwgeh5n5hpnMeluLjlpfOVbwMUxAEGtnKi4U/G0X72MQPiAbrB2Tggt5mE1fXyaY&#10;GXfmNXWbUIgIYZ+hgjKEJpPS65Is+qFriKN3cK3FEGVbSNPiOcJtLT+TJJUWK44LJTb0XZI+bk5W&#10;wf6y2C7DLv+tVyP9f92hHnf5UqnBWz//AhGoD8/wo/1jFIzSFO5n4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rbuxgAAANwAAAAPAAAAAAAAAAAAAAAAAJcCAABkcnMv&#10;ZG93bnJldi54bWxQSwUGAAAAAAQABAD1AAAAigMAAAAA&#10;" adj=",4696" fillcolor="#5b9bd5 [3204]" strokecolor="#1f4d78 [1604]" strokeweight="1pt"/>
                  <v:shape id="Up-Down Arrow 367" o:spid="_x0000_s1363" type="#_x0000_t70" style="position:absolute;left:604300;top:1256307;width:153620;height:3145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QbxQAA&#10;ANwAAAAPAAAAZHJzL2Rvd25yZXYueG1sRI9BawIxFITvgv8hPMGLaFaLVrZGkZaC9FS1YI+vm9fd&#10;YPKybOK6/ntTKHgcZuYbZrXpnBUtNcF4VjCdZCCIC68Nlwq+ju/jJYgQkTVaz6TgRgE2635vhbn2&#10;V95Te4ilSBAOOSqoYqxzKUNRkcMw8TVx8n594zAm2ZRSN3hNcGflLMsW0qHhtFBhTa8VFefDxSm4&#10;+I+l+Wx/Tiabz3dvbjS139IqNRx02xcQkbr4CP+3d1rB0+IZ/s6k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n5BvFAAAA3AAAAA8AAAAAAAAAAAAAAAAAlwIAAGRycy9k&#10;b3ducmV2LnhtbFBLBQYAAAAABAAEAPUAAACJAwAAAAA=&#10;" adj=",5274" fillcolor="#5b9bd5 [3204]" strokecolor="#1f4d78 [1604]" strokeweight="1pt"/>
                  <v:shape id="Curved Up Arrow 368" o:spid="_x0000_s1364" type="#_x0000_t104" style="position:absolute;left:1129086;top:3823191;width:869182;height:246184;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8ZVwwAA&#10;ANwAAAAPAAAAZHJzL2Rvd25yZXYueG1sRE9La8JAEL4X/A/LFHopdeODYFNXEUG0PQjGFnocstMk&#10;JDsbslON/757KHj8+N7L9eBadaE+1J4NTMYJKOLC25pLA5/n3csCVBBki61nMnCjAOvV6GGJmfVX&#10;PtEll1LFEA4ZGqhEukzrUFTkMIx9Rxy5H987lAj7UtserzHctXqaJKl2WHNsqLCjbUVFk/86A9JM&#10;96f5d7PNQ/qefrx+0VyOz8Y8PQ6bN1BCg9zF/+6DNTBL49p4Jh4Bv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A8ZVwwAAANwAAAAPAAAAAAAAAAAAAAAAAJcCAABkcnMvZG93&#10;bnJldi54bWxQSwUGAAAAAAQABAD1AAAAhwMAAAAA&#10;" adj="18541,20835,5400" fillcolor="#5b9bd5 [3204]" strokecolor="#1f4d78 [1604]" strokeweight="1pt"/>
                  <v:shape id="Curved Up Arrow 370" o:spid="_x0000_s1365" type="#_x0000_t104" style="position:absolute;left:3188473;top:3824578;width:868680;height:24574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VXhxQAA&#10;ANwAAAAPAAAAZHJzL2Rvd25yZXYueG1sRE/LasJAFN0X/IfhCt3VSX1UjY5SWkulCyE+wOUlc5sE&#10;M3diZhpjv95ZCC4P5z1ftqYUDdWusKzgtReBIE6tLjhTsN99vUxAOI+ssbRMCq7kYLnoPM0x1vbC&#10;CTVbn4kQwi5GBbn3VSylS3My6Hq2Ig7cr60N+gDrTOoaLyHclLIfRW/SYMGhIceKPnJKT9s/o+Dw&#10;cxyeB/5/1ZxH39f9NNltkvWnUs/d9n0GwlPrH+K7e60VDMZhfjg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ZVeHFAAAA3AAAAA8AAAAAAAAAAAAAAAAAlwIAAGRycy9k&#10;b3ducmV2LnhtbFBLBQYAAAAABAAEAPUAAACJAwAAAAA=&#10;" adj="18545,20836,5400" fillcolor="#5b9bd5 [3204]" strokecolor="#1f4d78 [1604]" strokeweight="1pt"/>
                  <v:shape id="Curved Up Arrow 380" o:spid="_x0000_s1366" type="#_x0000_t104" style="position:absolute;left:803082;top:3824578;width:3696970;height:49212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Z75wgAA&#10;ANwAAAAPAAAAZHJzL2Rvd25yZXYueG1sRE/LisIwFN0L/kO4A7MRTX0gpWMUkZlBUSg+PuDS3GnL&#10;NDelibX69WYhuDyc92LVmUq01LjSsoLxKAJBnFldcq7gcv4ZxiCcR9ZYWSYFd3KwWvZ7C0y0vfGR&#10;2pPPRQhhl6CCwvs6kdJlBRl0I1sTB+7PNgZ9gE0udYO3EG4qOYmiuTRYcmgosKZNQdn/6WoUXAdp&#10;lx72hzbF3UPawffEpLNfpT4/uvUXCE+df4tf7q1WMI3D/HAmHAG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BnvnCAAAA3AAAAA8AAAAAAAAAAAAAAAAAlwIAAGRycy9kb3du&#10;cmV2LnhtbFBLBQYAAAAABAAEAPUAAACGAwAAAAA=&#10;" adj="20813,21392,3195" fillcolor="#5b9bd5 [3204]" strokecolor="#1f4d78 [1604]" strokeweight="1pt"/>
                  <v:shape id="Curved Up Arrow 443" o:spid="_x0000_s1367" type="#_x0000_t104" style="position:absolute;left:500933;top:3799340;width:5431790;height:63436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Vl4xAAA&#10;ANwAAAAPAAAAZHJzL2Rvd25yZXYueG1sRI9PawIxFMTvgt8hPMGLaLZVRFejFKEg9OQfxONj89ws&#10;bl62Sequ374RCj0OM/MbZr3tbC0e5EPlWMHbJANBXDhdcangfPocL0CEiKyxdkwKnhRgu+n31phr&#10;1/KBHsdYigThkKMCE2OTSxkKQxbDxDXEybs5bzEm6UupPbYJbmv5nmVzabHitGCwoZ2h4n78sQoO&#10;sZbdV+ur8+h7bq7Lyy5j91RqOOg+ViAidfE//NfeawWz2RReZ9IR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1ZeMQAAADcAAAADwAAAAAAAAAAAAAAAACXAgAAZHJzL2Rv&#10;d25yZXYueG1sUEsFBgAAAAAEAAQA9QAAAIgDAAAAAA==&#10;" adj="20978,21451,2900" fillcolor="#5b9bd5 [3204]" strokecolor="#1f4d78 [1604]" strokeweight="1pt"/>
                  <v:shape id="Down Arrow 444" o:spid="_x0000_s1368" type="#_x0000_t67" style="position:absolute;left:1445214;top:3260258;width:256623;height:6351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pb9wgAA&#10;ANwAAAAPAAAAZHJzL2Rvd25yZXYueG1sRI9Ba8JAFITvhf6H5RW81U0lFY2uUgTFa1MPPT6yr0ls&#10;9m26b9X4711B6HGYmW+Y5XpwnTpTkNazgbdxBoq48rbl2sDha/s6AyUR2WLnmQxcSWC9en5aYmH9&#10;hT/pXMZaJQhLgQaaGPtCa6kacihj3xMn78cHhzHJUGsb8JLgrtOTLJtqhy2nhQZ72jRU/ZYnZ2D/&#10;Haa6nHe7yXEjNPur5u8i1pjRy/CxABVpiP/hR3tvDeR5Dvcz6Qjo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Clv3CAAAA3AAAAA8AAAAAAAAAAAAAAAAAlwIAAGRycy9kb3du&#10;cmV2LnhtbFBLBQYAAAAABAAEAPUAAACGAwAAAAA=&#10;" adj="17237" fillcolor="#5b9bd5 [3204]" strokecolor="#1f4d78 [1604]" strokeweight="1pt"/>
                </v:group>
                <v:shape id="Down Arrow 445" o:spid="_x0000_s1369" type="#_x0000_t67" style="position:absolute;left:3484241;top:3264714;width:262054;height:63264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6v2kxQAA&#10;ANwAAAAPAAAAZHJzL2Rvd25yZXYueG1sRI9Ba8JAFITvBf/D8oTe6kaJIqmrhIKtF0XTgh4f2dck&#10;mH2bZrca/fWuIHgcZuYbZrboTC1O1LrKsoLhIAJBnFtdcaHg53v5NgXhPLLG2jIpuJCDxbz3MsNE&#10;2zPv6JT5QgQIuwQVlN43iZQuL8mgG9iGOHi/tjXog2wLqVs8B7ip5SiKJtJgxWGhxIY+SsqP2b9R&#10;MDn8fS3j1OzT9XWzbSj7rGIaKfXa79J3EJ46/ww/2iutII7HcD8Tj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q/aTFAAAA3AAAAA8AAAAAAAAAAAAAAAAAlwIAAGRycy9k&#10;b3ducmV2LnhtbFBLBQYAAAAABAAEAPUAAACJAwAAAAA=&#10;" adj="17126" fillcolor="#5b9bd5 [3204]" strokecolor="#1f4d78 [1604]" strokeweight="1pt"/>
                <w10:wrap type="topAndBottom"/>
                <w10:anchorlock/>
              </v:group>
            </w:pict>
          </mc:Fallback>
        </mc:AlternateContent>
      </w:r>
      <w:r w:rsidRPr="00B27F0B">
        <w:rPr>
          <w:lang w:val="en-GB"/>
        </w:rPr>
        <w:t xml:space="preserve"> Key features of the process evaluation and existing inter-relationships. Un-dashed boxes represent the three components of the evaluation</w:t>
      </w:r>
      <w:r w:rsidRPr="00B27F0B">
        <w:rPr>
          <w:b/>
          <w:color w:val="000000" w:themeColor="text1"/>
          <w:lang w:val="en-GB"/>
        </w:rPr>
        <w:t>,</w:t>
      </w:r>
      <w:r w:rsidRPr="00B27F0B">
        <w:rPr>
          <w:lang w:val="en-GB"/>
        </w:rPr>
        <w:t xml:space="preserve"> which inform </w:t>
      </w:r>
      <w:r w:rsidRPr="00B27F0B">
        <w:rPr>
          <w:b/>
          <w:color w:val="000000" w:themeColor="text1"/>
          <w:lang w:val="en-GB"/>
        </w:rPr>
        <w:t>-</w:t>
      </w:r>
      <w:r w:rsidRPr="00B27F0B">
        <w:rPr>
          <w:lang w:val="en-GB"/>
        </w:rPr>
        <w:t xml:space="preserve"> and are informed by </w:t>
      </w:r>
      <w:r w:rsidRPr="00B27F0B">
        <w:rPr>
          <w:b/>
          <w:color w:val="000000" w:themeColor="text1"/>
          <w:lang w:val="en-GB"/>
        </w:rPr>
        <w:t>-</w:t>
      </w:r>
      <w:r w:rsidRPr="00B27F0B">
        <w:rPr>
          <w:lang w:val="en-GB"/>
        </w:rPr>
        <w:t xml:space="preserve"> the description and outcomes. Information from </w:t>
      </w:r>
      <w:hyperlink w:anchor="_ENREF_279" w:tooltip="Moore, 2015 #169" w:history="1">
        <w:r w:rsidR="0094469E" w:rsidRPr="00B27F0B">
          <w:rPr>
            <w:lang w:val="en-GB"/>
          </w:rPr>
          <w:fldChar w:fldCharType="begin"/>
        </w:r>
        <w:r w:rsidR="0094469E" w:rsidRPr="00B27F0B">
          <w:rPr>
            <w:lang w:val="en-GB"/>
          </w:rPr>
          <w:instrText xml:space="preserve"> ADDIN EN.CITE &lt;EndNote&gt;&lt;Cite AuthorYear="1"&gt;&lt;Author&gt;Moore&lt;/Author&gt;&lt;Year&gt;2015&lt;/Year&gt;&lt;RecNum&gt;169&lt;/RecNum&gt;&lt;DisplayText&gt;Moore et al. (2015)&lt;/DisplayText&gt;&lt;record&gt;&lt;rec-number&gt;169&lt;/rec-number&gt;&lt;foreign-keys&gt;&lt;key app="EN" db-id="xa2r2ewea92trkef5dt5arvbzafvpv2za5ft" timestamp="1442161765"&gt;169&lt;/key&gt;&lt;/foreign-keys&gt;&lt;ref-type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0094469E" w:rsidRPr="00B27F0B">
          <w:rPr>
            <w:lang w:val="en-GB"/>
          </w:rPr>
          <w:fldChar w:fldCharType="separate"/>
        </w:r>
        <w:r w:rsidR="0094469E" w:rsidRPr="00B27F0B">
          <w:rPr>
            <w:noProof/>
            <w:lang w:val="en-GB"/>
          </w:rPr>
          <w:t>Moore et al. (2015)</w:t>
        </w:r>
        <w:r w:rsidR="0094469E" w:rsidRPr="00B27F0B">
          <w:rPr>
            <w:lang w:val="en-GB"/>
          </w:rPr>
          <w:fldChar w:fldCharType="end"/>
        </w:r>
      </w:hyperlink>
      <w:r w:rsidRPr="00B27F0B">
        <w:rPr>
          <w:lang w:val="en-GB"/>
        </w:rPr>
        <w:t xml:space="preserve">. </w:t>
      </w:r>
    </w:p>
    <w:p w14:paraId="7EC5BE52" w14:textId="0D13C990" w:rsidR="0021662A" w:rsidRPr="00B56453" w:rsidRDefault="0021662A" w:rsidP="002B77AB">
      <w:pPr>
        <w:pStyle w:val="Normal1"/>
        <w:rPr>
          <w:lang w:val="en-GB"/>
        </w:rPr>
      </w:pPr>
    </w:p>
    <w:p w14:paraId="0323468E" w14:textId="025AF0BC" w:rsidR="0021662A" w:rsidRPr="00B56453" w:rsidRDefault="0021662A" w:rsidP="002B77AB">
      <w:pPr>
        <w:pStyle w:val="Normal1"/>
        <w:rPr>
          <w:lang w:val="en-GB"/>
        </w:rPr>
      </w:pPr>
      <w:r w:rsidRPr="00BD42AF">
        <w:rPr>
          <w:lang w:val="en-GB"/>
        </w:rPr>
        <w:t xml:space="preserve">Process questions must be flexible given that emerging issues during and after the intervention can bring about adaptations, which should be explored by modifying questions as appropriate </w:t>
      </w:r>
      <w:r w:rsidRPr="007638B6">
        <w:rPr>
          <w:lang w:val="en-GB"/>
        </w:rPr>
        <w:fldChar w:fldCharType="begin"/>
      </w:r>
      <w:r w:rsidRPr="00B56453">
        <w:rPr>
          <w:lang w:val="en-GB"/>
        </w:rPr>
        <w:instrText xml:space="preserve"> ADDIN EN.CITE &lt;EndNote&gt;&lt;Cite&gt;&lt;Author&gt;Moore&lt;/Author&gt;&lt;Year&gt;2015&lt;/Year&gt;&lt;RecNum&gt;768&lt;/RecNum&gt;&lt;DisplayText&gt;(Moore et al. 2015)&lt;/DisplayText&gt;&lt;record&gt;&lt;rec-number&gt;768&lt;/rec-number&gt;&lt;foreign-keys&gt;&lt;key app="EN" db-id="xa2r2ewea92trkef5dt5arvbzafvpv2za5ft" timestamp="1496417581"&gt;768&lt;/key&gt;&lt;key app="ENWeb" db-id=""&gt;0&lt;/key&gt;&lt;/foreign-keys&gt;&lt;ref-type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Pr="00B27F0B">
        <w:rPr>
          <w:lang w:val="en-GB"/>
        </w:rPr>
        <w:fldChar w:fldCharType="separate"/>
      </w:r>
      <w:r w:rsidRPr="00B56453">
        <w:rPr>
          <w:noProof/>
          <w:lang w:val="en-GB"/>
        </w:rPr>
        <w:t>(</w:t>
      </w:r>
      <w:hyperlink w:anchor="_ENREF_279" w:tooltip="Moore, 2015 #169" w:history="1">
        <w:r w:rsidR="0094469E" w:rsidRPr="00B56453">
          <w:rPr>
            <w:noProof/>
            <w:lang w:val="en-GB"/>
          </w:rPr>
          <w:t>Moore et al. 2015</w:t>
        </w:r>
      </w:hyperlink>
      <w:r w:rsidRPr="00B56453">
        <w:rPr>
          <w:noProof/>
          <w:lang w:val="en-GB"/>
        </w:rPr>
        <w:t>)</w:t>
      </w:r>
      <w:r w:rsidRPr="007638B6">
        <w:rPr>
          <w:lang w:val="en-GB"/>
        </w:rPr>
        <w:fldChar w:fldCharType="end"/>
      </w:r>
      <w:r w:rsidRPr="00B56453">
        <w:rPr>
          <w:lang w:val="en-GB"/>
        </w:rPr>
        <w:t>. The key process questions for this research were as follows:</w:t>
      </w:r>
    </w:p>
    <w:p w14:paraId="7B566550" w14:textId="77777777" w:rsidR="0021662A" w:rsidRPr="00B27F0B" w:rsidRDefault="0021662A" w:rsidP="0021662A">
      <w:pPr>
        <w:pStyle w:val="Normal1"/>
        <w:rPr>
          <w:lang w:val="en-GB"/>
        </w:rPr>
      </w:pPr>
    </w:p>
    <w:p w14:paraId="3C79A2F4" w14:textId="77777777" w:rsidR="0021662A" w:rsidRPr="00B27F0B" w:rsidRDefault="0021662A" w:rsidP="0021662A">
      <w:pPr>
        <w:pStyle w:val="Normal1"/>
        <w:numPr>
          <w:ilvl w:val="0"/>
          <w:numId w:val="53"/>
        </w:numPr>
        <w:rPr>
          <w:lang w:val="en-GB"/>
        </w:rPr>
      </w:pPr>
      <w:r w:rsidRPr="00B27F0B">
        <w:rPr>
          <w:lang w:val="en-GB"/>
        </w:rPr>
        <w:t>Why and how was the intervention useful/not useful for students and teachers?</w:t>
      </w:r>
    </w:p>
    <w:p w14:paraId="216D42FC" w14:textId="77777777" w:rsidR="0021662A" w:rsidRPr="00B27F0B" w:rsidRDefault="0021662A" w:rsidP="0021662A">
      <w:pPr>
        <w:pStyle w:val="Normal1"/>
        <w:numPr>
          <w:ilvl w:val="0"/>
          <w:numId w:val="53"/>
        </w:numPr>
        <w:rPr>
          <w:lang w:val="en-GB"/>
        </w:rPr>
      </w:pPr>
      <w:r w:rsidRPr="00B27F0B">
        <w:rPr>
          <w:lang w:val="en-GB"/>
        </w:rPr>
        <w:t>To what extent was the intervention feasible and accessible for teachers?</w:t>
      </w:r>
    </w:p>
    <w:p w14:paraId="77AF76F0" w14:textId="77777777" w:rsidR="0021662A" w:rsidRPr="00B27F0B" w:rsidRDefault="0021662A" w:rsidP="0021662A">
      <w:pPr>
        <w:pStyle w:val="Normal1"/>
        <w:numPr>
          <w:ilvl w:val="0"/>
          <w:numId w:val="53"/>
        </w:numPr>
        <w:rPr>
          <w:lang w:val="en-GB"/>
        </w:rPr>
      </w:pPr>
      <w:r w:rsidRPr="00B27F0B">
        <w:rPr>
          <w:lang w:val="en-GB"/>
        </w:rPr>
        <w:t>How and for whom does the intervention promote behaviour change?</w:t>
      </w:r>
    </w:p>
    <w:p w14:paraId="2172DAA3" w14:textId="21625A13" w:rsidR="0021662A" w:rsidRPr="00B27F0B" w:rsidRDefault="0021662A" w:rsidP="0021662A">
      <w:pPr>
        <w:pStyle w:val="Normal1"/>
        <w:numPr>
          <w:ilvl w:val="0"/>
          <w:numId w:val="53"/>
        </w:numPr>
        <w:rPr>
          <w:lang w:val="en-GB"/>
        </w:rPr>
      </w:pPr>
      <w:r w:rsidRPr="00B27F0B">
        <w:rPr>
          <w:lang w:val="en-GB"/>
        </w:rPr>
        <w:t xml:space="preserve">To what extent was the intervention consistent with the </w:t>
      </w:r>
      <w:r w:rsidR="00240F75" w:rsidRPr="00B27F0B">
        <w:rPr>
          <w:lang w:val="en-GB"/>
        </w:rPr>
        <w:t>underlying theoretical model</w:t>
      </w:r>
      <w:r w:rsidRPr="00B27F0B">
        <w:rPr>
          <w:lang w:val="en-GB"/>
        </w:rPr>
        <w:t>?</w:t>
      </w:r>
    </w:p>
    <w:p w14:paraId="4E3A6606" w14:textId="77777777" w:rsidR="0021662A" w:rsidRPr="00B56453" w:rsidRDefault="0021662A" w:rsidP="0021662A">
      <w:pPr>
        <w:pStyle w:val="Normal1"/>
        <w:rPr>
          <w:lang w:val="en-GB"/>
        </w:rPr>
      </w:pPr>
    </w:p>
    <w:p w14:paraId="3168C09C" w14:textId="63B62695" w:rsidR="0021662A" w:rsidRPr="00B56453" w:rsidRDefault="0021662A" w:rsidP="0021662A">
      <w:pPr>
        <w:pStyle w:val="Normal1"/>
        <w:rPr>
          <w:lang w:val="en-GB"/>
        </w:rPr>
      </w:pPr>
      <w:r w:rsidRPr="00BD42AF">
        <w:rPr>
          <w:lang w:val="en-GB"/>
        </w:rPr>
        <w:t xml:space="preserve">This process evaluation was informed by indirect observations (video recordings), focus groups with students, and interviews with the staff and students separately. The main advantage of observations as opposed to self-report methods (questionnaires, diaries) is that they are less prone to response bias, despite requiring more resources given the sample size used in this study. The interviews and focus groups allowed for the in-depth exploration of theories as to why the intervention was or was not effective from the perspective of those who implemented or received it </w:t>
      </w:r>
      <w:r w:rsidRPr="007638B6">
        <w:rPr>
          <w:lang w:val="en-GB"/>
        </w:rPr>
        <w:fldChar w:fldCharType="begin"/>
      </w:r>
      <w:r w:rsidRPr="00B56453">
        <w:rPr>
          <w:lang w:val="en-GB"/>
        </w:rPr>
        <w:instrText xml:space="preserve"> ADDIN EN.CITE &lt;EndNote&gt;&lt;Cite&gt;&lt;Author&gt;Craig&lt;/Author&gt;&lt;Year&gt;2008&lt;/Year&gt;&lt;RecNum&gt;52&lt;/RecNum&gt;&lt;DisplayText&gt;(Craig et al. 2008)&lt;/DisplayText&gt;&lt;record&gt;&lt;rec-number&gt;52&lt;/rec-number&gt;&lt;foreign-keys&gt;&lt;key app="EN" db-id="xa2r2ewea92trkef5dt5arvbzafvpv2za5ft" timestamp="1442161763"&gt;52&lt;/key&gt;&lt;/foreign-keys&gt;&lt;ref-type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M.&lt;/author&gt;&lt;/authors&gt;&lt;/contributors&gt;&lt;titles&gt;&lt;title&gt;Developing and evaluating complex interventions: the new Medical Research Council guidance&lt;/title&gt;&lt;secondary-title&gt;BMJ (Clinical research ed.)&lt;/secondary-title&gt;&lt;/titles&gt;&lt;periodical&gt;&lt;full-title&gt;BMJ (Clinical research ed.)&lt;/full-title&gt;&lt;/periodical&gt;&lt;pages&gt;1655&lt;/pages&gt;&lt;volume&gt;337&lt;/volume&gt;&lt;dates&gt;&lt;year&gt;2008&lt;/year&gt;&lt;/dates&gt;&lt;pub-location&gt;England&lt;/pub-location&gt;&lt;urls&gt;&lt;/urls&gt;&lt;/record&gt;&lt;/Cite&gt;&lt;/EndNote&gt;</w:instrText>
      </w:r>
      <w:r w:rsidRPr="00B27F0B">
        <w:rPr>
          <w:lang w:val="en-GB"/>
        </w:rPr>
        <w:fldChar w:fldCharType="separate"/>
      </w:r>
      <w:r w:rsidRPr="00B56453">
        <w:rPr>
          <w:noProof/>
          <w:lang w:val="en-GB"/>
        </w:rPr>
        <w:t>(</w:t>
      </w:r>
      <w:hyperlink w:anchor="_ENREF_98" w:tooltip="Craig, 2008 #52" w:history="1">
        <w:r w:rsidR="0094469E" w:rsidRPr="00B56453">
          <w:rPr>
            <w:noProof/>
            <w:lang w:val="en-GB"/>
          </w:rPr>
          <w:t>Craig et al. 2008</w:t>
        </w:r>
      </w:hyperlink>
      <w:r w:rsidRPr="00B56453">
        <w:rPr>
          <w:noProof/>
          <w:lang w:val="en-GB"/>
        </w:rPr>
        <w:t>)</w:t>
      </w:r>
      <w:r w:rsidRPr="007638B6">
        <w:rPr>
          <w:lang w:val="en-GB"/>
        </w:rPr>
        <w:fldChar w:fldCharType="end"/>
      </w:r>
      <w:r w:rsidRPr="00B56453">
        <w:rPr>
          <w:lang w:val="en-GB"/>
        </w:rPr>
        <w:t>.</w:t>
      </w:r>
    </w:p>
    <w:p w14:paraId="1AB1DEA4" w14:textId="77777777" w:rsidR="0021662A" w:rsidRPr="00B56453" w:rsidRDefault="0021662A" w:rsidP="0021662A">
      <w:pPr>
        <w:pStyle w:val="Normal1"/>
        <w:rPr>
          <w:lang w:val="en-GB"/>
        </w:rPr>
      </w:pPr>
    </w:p>
    <w:p w14:paraId="34B6F55F" w14:textId="6C962E02" w:rsidR="0021662A" w:rsidRPr="00B56453" w:rsidRDefault="0021662A" w:rsidP="0021662A">
      <w:pPr>
        <w:pStyle w:val="Normal1"/>
        <w:rPr>
          <w:lang w:val="en-GB"/>
        </w:rPr>
      </w:pPr>
      <w:r w:rsidRPr="00B56453">
        <w:rPr>
          <w:lang w:val="en-GB"/>
        </w:rPr>
        <w:t>This process evaluation raises challenges regarding reflexivity, subject expertise, and the relationship with the outcome evaluation. The reflective account at the end of this thesis considers how relationships with stakeholders (students and tutors) may have impacted upon the findings. A passive role in feeding back to the stakeholders about the outcomes of the intervention by informing them about the evaluation findings after the full study, so not to affect how the intervention</w:t>
      </w:r>
      <w:r w:rsidR="00240F75" w:rsidRPr="00B56453">
        <w:rPr>
          <w:lang w:val="en-GB"/>
        </w:rPr>
        <w:t xml:space="preserve"> and feedback models</w:t>
      </w:r>
      <w:r w:rsidRPr="00B56453">
        <w:rPr>
          <w:lang w:val="en-GB"/>
        </w:rPr>
        <w:t xml:space="preserve"> </w:t>
      </w:r>
      <w:r w:rsidR="00240F75" w:rsidRPr="00B56453">
        <w:rPr>
          <w:lang w:val="en-GB"/>
        </w:rPr>
        <w:t>were</w:t>
      </w:r>
      <w:r w:rsidRPr="00B56453">
        <w:rPr>
          <w:lang w:val="en-GB"/>
        </w:rPr>
        <w:t xml:space="preserve"> delivered which may have affected external validity </w:t>
      </w:r>
      <w:r w:rsidRPr="009C2746">
        <w:rPr>
          <w:lang w:val="en-GB"/>
        </w:rPr>
        <w:fldChar w:fldCharType="begin"/>
      </w:r>
      <w:r w:rsidRPr="00B56453">
        <w:rPr>
          <w:lang w:val="en-GB"/>
        </w:rPr>
        <w:instrText xml:space="preserve"> ADDIN EN.CITE &lt;EndNote&gt;&lt;Cite&gt;&lt;Author&gt;Moore&lt;/Author&gt;&lt;Year&gt;2015&lt;/Year&gt;&lt;RecNum&gt;768&lt;/RecNum&gt;&lt;DisplayText&gt;(Moore et al. 2015)&lt;/DisplayText&gt;&lt;record&gt;&lt;rec-number&gt;768&lt;/rec-number&gt;&lt;foreign-keys&gt;&lt;key app="EN" db-id="xa2r2ewea92trkef5dt5arvbzafvpv2za5ft" timestamp="1496417581"&gt;768&lt;/key&gt;&lt;key app="ENWeb" db-id=""&gt;0&lt;/key&gt;&lt;/foreign-keys&gt;&lt;ref-type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lt;/secondary-title&gt;&lt;/titles&gt;&lt;periodical&gt;&lt;full-title&gt;BMJ&lt;/full-title&gt;&lt;/periodical&gt;&lt;volume&gt;350&lt;/volume&gt;&lt;dates&gt;&lt;year&gt;2015&lt;/year&gt;&lt;/dates&gt;&lt;urls&gt;&lt;related-urls&gt;&lt;url&gt;http://www.bmj.com/content/350/bmj.h1258.abstract&lt;/url&gt;&lt;url&gt;http://www.bmj.com/content/bmj/350/bmj.h1258.full.pdf&lt;/url&gt;&lt;/related-urls&gt;&lt;/urls&gt;&lt;electronic-resource-num&gt;10.1136/bmj.h1258&lt;/electronic-resource-num&gt;&lt;access-date&gt;BMJ Publishing Group Ltd&lt;/access-date&gt;&lt;/record&gt;&lt;/Cite&gt;&lt;/EndNote&gt;</w:instrText>
      </w:r>
      <w:r w:rsidRPr="00B27F0B">
        <w:rPr>
          <w:lang w:val="en-GB"/>
        </w:rPr>
        <w:fldChar w:fldCharType="separate"/>
      </w:r>
      <w:r w:rsidRPr="00B56453">
        <w:rPr>
          <w:noProof/>
          <w:lang w:val="en-GB"/>
        </w:rPr>
        <w:t>(</w:t>
      </w:r>
      <w:hyperlink w:anchor="_ENREF_279" w:tooltip="Moore, 2015 #169" w:history="1">
        <w:r w:rsidR="0094469E" w:rsidRPr="00B56453">
          <w:rPr>
            <w:noProof/>
            <w:lang w:val="en-GB"/>
          </w:rPr>
          <w:t>Moore et al. 2015</w:t>
        </w:r>
      </w:hyperlink>
      <w:r w:rsidRPr="00B56453">
        <w:rPr>
          <w:noProof/>
          <w:lang w:val="en-GB"/>
        </w:rPr>
        <w:t>)</w:t>
      </w:r>
      <w:r w:rsidRPr="009C2746">
        <w:rPr>
          <w:lang w:val="en-GB"/>
        </w:rPr>
        <w:fldChar w:fldCharType="end"/>
      </w:r>
      <w:r w:rsidRPr="00B56453">
        <w:rPr>
          <w:lang w:val="en-GB"/>
        </w:rPr>
        <w:t>.</w:t>
      </w:r>
    </w:p>
    <w:p w14:paraId="69F01566" w14:textId="77777777" w:rsidR="0021662A" w:rsidRPr="00B56453" w:rsidRDefault="0021662A" w:rsidP="0021662A">
      <w:pPr>
        <w:pStyle w:val="Normal1"/>
        <w:rPr>
          <w:lang w:val="en-GB"/>
        </w:rPr>
      </w:pPr>
    </w:p>
    <w:p w14:paraId="3A71ECBB" w14:textId="72CFF4DE" w:rsidR="0021662A" w:rsidRPr="00B56453" w:rsidRDefault="0021662A" w:rsidP="0021662A">
      <w:pPr>
        <w:pStyle w:val="Normal1"/>
        <w:rPr>
          <w:lang w:val="en-GB"/>
        </w:rPr>
      </w:pPr>
      <w:r w:rsidRPr="00B56453">
        <w:rPr>
          <w:lang w:val="en-GB"/>
        </w:rPr>
        <w:t>It is recommended that the process and outcome evaluations mutually benefit one another, in this case the process evaluation informs the outcome evaluation by explaining the potential mechanisms of impact which help to explain the outcomes. Communications were maintained between supervisors and colleagues involved in evaluation activities</w:t>
      </w:r>
      <w:r w:rsidR="006967C4" w:rsidRPr="00B56453">
        <w:rPr>
          <w:lang w:val="en-GB"/>
        </w:rPr>
        <w:t xml:space="preserve"> (observations, peer reviewing)</w:t>
      </w:r>
      <w:r w:rsidRPr="00B56453">
        <w:rPr>
          <w:lang w:val="en-GB"/>
        </w:rPr>
        <w:t xml:space="preserve"> to promote openness in the interpretation of data and to allow integration of the outcome and process data </w:t>
      </w:r>
      <w:r w:rsidRPr="009C2746">
        <w:rPr>
          <w:lang w:val="en-GB"/>
        </w:rPr>
        <w:fldChar w:fldCharType="begin"/>
      </w:r>
      <w:r w:rsidRPr="00B56453">
        <w:rPr>
          <w:lang w:val="en-GB"/>
        </w:rPr>
        <w:instrText xml:space="preserve"> ADDIN EN.CITE &lt;EndNote&gt;&lt;Cite&gt;&lt;Author&gt;O&amp;apos;Cathain&lt;/Author&gt;&lt;Year&gt;2008&lt;/Year&gt;&lt;RecNum&gt;462&lt;/RecNum&gt;&lt;DisplayText&gt;(O&amp;apos;Cathain et al. 2008)&lt;/DisplayText&gt;&lt;record&gt;&lt;rec-number&gt;462&lt;/rec-number&gt;&lt;foreign-keys&gt;&lt;key app="EN" db-id="xa2r2ewea92trkef5dt5arvbzafvpv2za5ft" timestamp="1496417547"&gt;462&lt;/key&gt;&lt;/foreign-keys&gt;&lt;ref-type name="Journal Article"&gt;17&lt;/ref-type&gt;&lt;contributors&gt;&lt;authors&gt;&lt;author&gt;O&amp;apos;Cathain, A.&lt;/author&gt;&lt;author&gt;Murphy, E.&lt;/author&gt;&lt;author&gt;Nicholl, J.&lt;/author&gt;&lt;/authors&gt;&lt;/contributors&gt;&lt;auth-address&gt;University of Sheffield, Sheffield, United Kingdom.&lt;/auth-address&gt;&lt;titles&gt;&lt;title&gt;Multidisciplinary, interdisciplinary, or dysfunctional? Team working in mixed-methods research&lt;/title&gt;&lt;secondary-title&gt;Qualitative health research&lt;/secondary-title&gt;&lt;/titles&gt;&lt;periodical&gt;&lt;full-title&gt;Qualitative health research&lt;/full-title&gt;&lt;/periodical&gt;&lt;pages&gt;1574-1585&lt;/pages&gt;&lt;volume&gt;18&lt;/volume&gt;&lt;number&gt;11&lt;/number&gt;&lt;keywords&gt;&lt;keyword&gt;Great Britain&lt;/keyword&gt;&lt;keyword&gt;Health Surveys&lt;/keyword&gt;&lt;keyword&gt;Humans&lt;/keyword&gt;&lt;keyword&gt;Interdisciplinary Communication&lt;/keyword&gt;&lt;keyword&gt;Interviews as Topic&lt;/keyword&gt;&lt;keyword&gt;Patient Care Team&lt;/keyword&gt;&lt;keyword&gt;Qualitative Research&lt;/keyword&gt;&lt;keyword&gt;Research Personnel/organization &amp;amp; administration&lt;/keyword&gt;&lt;/keywords&gt;&lt;dates&gt;&lt;year&gt;2008&lt;/year&gt;&lt;/dates&gt;&lt;pub-location&gt;United States&lt;/pub-location&gt;&lt;isbn&gt;1049-7323; 1049-7323&lt;/isbn&gt;&lt;urls&gt;&lt;related-urls&gt;&lt;url&gt;http://qhr.sagepub.com/content/18/11/1574&lt;/url&gt;&lt;/related-urls&gt;&lt;/urls&gt;&lt;electronic-resource-num&gt;10.1177/1049732308325535 [doi]&lt;/electronic-resource-num&gt;&lt;access-date&gt;Nov&lt;/access-date&gt;&lt;/record&gt;&lt;/Cite&gt;&lt;/EndNote&gt;</w:instrText>
      </w:r>
      <w:r w:rsidRPr="00B27F0B">
        <w:rPr>
          <w:lang w:val="en-GB"/>
        </w:rPr>
        <w:fldChar w:fldCharType="separate"/>
      </w:r>
      <w:r w:rsidRPr="00B56453">
        <w:rPr>
          <w:noProof/>
          <w:lang w:val="en-GB"/>
        </w:rPr>
        <w:t>(</w:t>
      </w:r>
      <w:hyperlink w:anchor="_ENREF_307" w:tooltip="O'Cathain, 2008 #462" w:history="1">
        <w:r w:rsidR="0094469E" w:rsidRPr="00B56453">
          <w:rPr>
            <w:noProof/>
            <w:lang w:val="en-GB"/>
          </w:rPr>
          <w:t>O'Cathain et al. 2008</w:t>
        </w:r>
      </w:hyperlink>
      <w:r w:rsidRPr="00B56453">
        <w:rPr>
          <w:noProof/>
          <w:lang w:val="en-GB"/>
        </w:rPr>
        <w:t>)</w:t>
      </w:r>
      <w:r w:rsidRPr="009C2746">
        <w:rPr>
          <w:lang w:val="en-GB"/>
        </w:rPr>
        <w:fldChar w:fldCharType="end"/>
      </w:r>
      <w:r w:rsidRPr="00B56453">
        <w:rPr>
          <w:lang w:val="en-GB"/>
        </w:rPr>
        <w:t xml:space="preserve">. </w:t>
      </w:r>
    </w:p>
    <w:p w14:paraId="3F939362" w14:textId="77777777" w:rsidR="0021662A" w:rsidRPr="00B56453" w:rsidRDefault="0021662A" w:rsidP="0021662A">
      <w:pPr>
        <w:pStyle w:val="Normal1"/>
        <w:rPr>
          <w:lang w:val="en-GB"/>
        </w:rPr>
      </w:pPr>
    </w:p>
    <w:p w14:paraId="5340CE42" w14:textId="3D1531CA" w:rsidR="00881450" w:rsidRPr="00B56453" w:rsidRDefault="00881450" w:rsidP="00881450">
      <w:pPr>
        <w:pStyle w:val="Normal1"/>
        <w:rPr>
          <w:lang w:val="en-GB"/>
        </w:rPr>
      </w:pPr>
      <w:r w:rsidRPr="00B56453">
        <w:rPr>
          <w:lang w:val="en-GB"/>
        </w:rPr>
        <w:t>The underlying theory for this intervention was Zimmerman’s model of SRL. The theory drove the intervention at all stages; the design, training, and delivery of the SRLF model explicitly followed the principles of Zimmerman’s model using specific SRL processes from each phase of the loop to give SRLF to students. The delivery of the intervention was contextualised and therefore slightly different for each student because of their SRLF needs, this is consistent with the view that SRL is a contextualised skill. The SRL MA protocol asked students about their awareness of their surroundings and how they were monitoring themselves in the situation. These questions were included as the programmed theory was informed by the social cognitive view which takes cultural and social factors into account. A within-group effect was identified by teachers as well as other contextual factors which impacted upon how they interacted with the intervention.</w:t>
      </w:r>
      <w:r w:rsidR="00713C7D" w:rsidRPr="00B56453">
        <w:rPr>
          <w:lang w:val="en-GB"/>
        </w:rPr>
        <w:t xml:space="preserve"> It used SRL MA as the key component in delivery with SRLF as the ‘active ingredients’. Causal assumptions are outlined in Chapter B1.</w:t>
      </w:r>
    </w:p>
    <w:p w14:paraId="07C25167" w14:textId="77777777" w:rsidR="00881450" w:rsidRPr="00B56453" w:rsidRDefault="00881450" w:rsidP="0021662A">
      <w:pPr>
        <w:pStyle w:val="Normal1"/>
        <w:rPr>
          <w:lang w:val="en-GB"/>
        </w:rPr>
      </w:pPr>
    </w:p>
    <w:p w14:paraId="12A6B595" w14:textId="77777777" w:rsidR="0021662A" w:rsidRPr="00B56453" w:rsidRDefault="0021662A" w:rsidP="0021662A"/>
    <w:p w14:paraId="2090DFC2" w14:textId="4CCAA87D" w:rsidR="0021662A" w:rsidRPr="00B56453" w:rsidRDefault="00BF6160" w:rsidP="0021662A">
      <w:pPr>
        <w:pStyle w:val="Heading3"/>
      </w:pPr>
      <w:bookmarkStart w:id="451" w:name="_Toc500319432"/>
      <w:r w:rsidRPr="00B56453">
        <w:t>D1</w:t>
      </w:r>
      <w:r w:rsidR="0021662A" w:rsidRPr="00B56453">
        <w:t>.2.1 Implementation</w:t>
      </w:r>
      <w:bookmarkEnd w:id="451"/>
    </w:p>
    <w:p w14:paraId="70E4EC04" w14:textId="77777777" w:rsidR="0021662A" w:rsidRPr="00B56453" w:rsidRDefault="0021662A" w:rsidP="0021662A">
      <w:pPr>
        <w:pStyle w:val="Normal1"/>
        <w:rPr>
          <w:lang w:val="en-GB"/>
        </w:rPr>
      </w:pPr>
    </w:p>
    <w:p w14:paraId="193F4DCA" w14:textId="38A1CF18" w:rsidR="0021662A" w:rsidRPr="00B56453" w:rsidRDefault="002A1C63" w:rsidP="0021662A">
      <w:pPr>
        <w:pStyle w:val="Normal1"/>
        <w:rPr>
          <w:lang w:val="en-GB"/>
        </w:rPr>
      </w:pPr>
      <w:hyperlink w:anchor="_ENREF_291" w:tooltip="Munro, 2010 #177" w:history="1">
        <w:r w:rsidR="0094469E" w:rsidRPr="00B27F0B">
          <w:rPr>
            <w:lang w:val="en-GB"/>
          </w:rPr>
          <w:fldChar w:fldCharType="begin"/>
        </w:r>
        <w:r w:rsidR="0094469E" w:rsidRPr="00B56453">
          <w:rPr>
            <w:lang w:val="en-GB"/>
          </w:rPr>
          <w:instrText xml:space="preserve"> ADDIN EN.CITE &lt;EndNote&gt;&lt;Cite AuthorYear="1"&gt;&lt;Author&gt;Munro&lt;/Author&gt;&lt;Year&gt;2010&lt;/Year&gt;&lt;RecNum&gt;177&lt;/RecNum&gt;&lt;DisplayText&gt;Munro and Bloor (2010)&lt;/DisplayText&gt;&lt;record&gt;&lt;rec-number&gt;177&lt;/rec-number&gt;&lt;foreign-keys&gt;&lt;key app="EN" db-id="xa2r2ewea92trkef5dt5arvbzafvpv2za5ft" timestamp="1442161765"&gt;177&lt;/key&gt;&lt;/foreign-keys&gt;&lt;ref-type name="Journal Article"&gt;17&lt;/ref-type&gt;&lt;contributors&gt;&lt;authors&gt;&lt;author&gt;Munro, Alison&lt;/author&gt;&lt;author&gt;Bloor, Michael&lt;/author&gt;&lt;/authors&gt;&lt;/contributors&gt;&lt;titles&gt;&lt;title&gt;Process evaluation: the new miracle ingredient in public health research?&lt;/title&gt;&lt;secondary-title&gt;Qualitative Research&lt;/secondary-title&gt;&lt;/titles&gt;&lt;periodical&gt;&lt;full-title&gt;Qualitative Research&lt;/full-title&gt;&lt;/periodical&gt;&lt;pages&gt;699-713&lt;/pages&gt;&lt;volume&gt;10&lt;/volume&gt;&lt;number&gt;6&lt;/number&gt;&lt;dates&gt;&lt;year&gt;2010&lt;/year&gt;&lt;/dates&gt;&lt;publisher&gt;SAGE Publications&lt;/publisher&gt;&lt;urls&gt;&lt;/urls&gt;&lt;/record&gt;&lt;/Cite&gt;&lt;/EndNote&gt;</w:instrText>
        </w:r>
        <w:r w:rsidR="0094469E" w:rsidRPr="00B27F0B">
          <w:rPr>
            <w:lang w:val="en-GB"/>
          </w:rPr>
          <w:fldChar w:fldCharType="separate"/>
        </w:r>
        <w:r w:rsidR="0094469E" w:rsidRPr="00B56453">
          <w:rPr>
            <w:noProof/>
            <w:lang w:val="en-GB"/>
          </w:rPr>
          <w:t>Munro and Bloor (2010)</w:t>
        </w:r>
        <w:r w:rsidR="0094469E" w:rsidRPr="00B27F0B">
          <w:rPr>
            <w:lang w:val="en-GB"/>
          </w:rPr>
          <w:fldChar w:fldCharType="end"/>
        </w:r>
      </w:hyperlink>
      <w:r w:rsidR="0021662A" w:rsidRPr="00B56453">
        <w:rPr>
          <w:lang w:val="en-GB"/>
        </w:rPr>
        <w:t xml:space="preserve"> Identified sampling as an area for consideration in process evaluations and warned against sampling too many individuals, leading to unrealistic workloads, and too few implementers per participant, generalising perhaps unjustly for the whole population. In the present study there were 14 implementers of which 13 were interviewed. In contrast, 171 students participated in the quantitative data collection. The aim for the focus groups and interviews with these students was to collect process evaluation data from approximately 20% of that sample, this target was exceeded resulting in a 42.1% response rate. These individuals were purposively sampled to include different perspectives based equally on feedback condition (SRLF or BPF), SSRQ score (high/medium/low) change in questionnaire score (high/low). The only criteria which had an impact upon the results was the feedback condition (see C2.3).</w:t>
      </w:r>
    </w:p>
    <w:p w14:paraId="2C980D6F" w14:textId="77777777" w:rsidR="0021662A" w:rsidRPr="00B56453" w:rsidRDefault="0021662A" w:rsidP="0021662A">
      <w:pPr>
        <w:pStyle w:val="Normal1"/>
        <w:rPr>
          <w:lang w:val="en-GB"/>
        </w:rPr>
      </w:pPr>
    </w:p>
    <w:p w14:paraId="60482700" w14:textId="3BB2A7A1" w:rsidR="0021662A" w:rsidRPr="00B56453" w:rsidRDefault="0021662A" w:rsidP="0021662A">
      <w:pPr>
        <w:pStyle w:val="Normal1"/>
        <w:rPr>
          <w:lang w:val="en-GB"/>
        </w:rPr>
      </w:pPr>
      <w:r w:rsidRPr="00B56453">
        <w:rPr>
          <w:lang w:val="en-GB"/>
        </w:rPr>
        <w:t xml:space="preserve">Observations of the teaching sessions, during which the </w:t>
      </w:r>
      <w:r w:rsidR="00240F75" w:rsidRPr="00B56453">
        <w:rPr>
          <w:lang w:val="en-GB"/>
        </w:rPr>
        <w:t>feedback models were</w:t>
      </w:r>
      <w:r w:rsidRPr="00B56453">
        <w:rPr>
          <w:lang w:val="en-GB"/>
        </w:rPr>
        <w:t xml:space="preserve"> implemented, was conducted using video technology typically used for examination and learning resources with which teaching staff and students were familiar. A random sample of videos from both the control and experimental conditions was assessed to study fidelity and consistency. </w:t>
      </w:r>
      <w:hyperlink w:anchor="_ENREF_182" w:tooltip="Hasson, 2015 #106" w:history="1">
        <w:r w:rsidR="0094469E" w:rsidRPr="00B27F0B">
          <w:rPr>
            <w:lang w:val="en-GB"/>
          </w:rPr>
          <w:fldChar w:fldCharType="begin"/>
        </w:r>
        <w:r w:rsidR="0094469E" w:rsidRPr="00B56453">
          <w:rPr>
            <w:lang w:val="en-GB"/>
          </w:rPr>
          <w:instrText xml:space="preserve"> ADDIN EN.CITE &lt;EndNote&gt;&lt;Cite AuthorYear="1"&gt;&lt;Author&gt;Hasson&lt;/Author&gt;&lt;Year&gt;2015&lt;/Year&gt;&lt;RecNum&gt;106&lt;/RecNum&gt;&lt;Pages&gt;233&lt;/Pages&gt;&lt;DisplayText&gt;Hasson (2015, p. 233)&lt;/DisplayText&gt;&lt;record&gt;&lt;rec-number&gt;106&lt;/rec-number&gt;&lt;foreign-keys&gt;&lt;key app="EN" db-id="xa2r2ewea92trkef5dt5arvbzafvpv2za5ft" timestamp="1442161764"&gt;106&lt;/key&gt;&lt;/foreign-keys&gt;&lt;ref-type name="Journal Article"&gt;17&lt;/ref-type&gt;&lt;contributors&gt;&lt;authors&gt;&lt;author&gt;Hasson, Henna&lt;/author&gt;&lt;/authors&gt;&lt;/contributors&gt;&lt;titles&gt;&lt;title&gt;Intervention fIdelity in ClinIcal trials&lt;/title&gt;&lt;secondary-title&gt;Complex Interventions in Health: An Overview of Research Methods&lt;/secondary-title&gt;&lt;/titles&gt;&lt;periodical&gt;&lt;full-title&gt;Complex Interventions in Health: An Overview of Research Methods&lt;/full-title&gt;&lt;/periodical&gt;&lt;pages&gt;232-238&lt;/pages&gt;&lt;dates&gt;&lt;year&gt;2015&lt;/year&gt;&lt;/dates&gt;&lt;publisher&gt;Routledge&lt;/publisher&gt;&lt;urls&gt;&lt;/urls&gt;&lt;/record&gt;&lt;/Cite&gt;&lt;/EndNote&gt;</w:instrText>
        </w:r>
        <w:r w:rsidR="0094469E" w:rsidRPr="00B27F0B">
          <w:rPr>
            <w:lang w:val="en-GB"/>
          </w:rPr>
          <w:fldChar w:fldCharType="separate"/>
        </w:r>
        <w:r w:rsidR="0094469E" w:rsidRPr="00B56453">
          <w:rPr>
            <w:noProof/>
            <w:lang w:val="en-GB"/>
          </w:rPr>
          <w:t>Hasson (2015, p. 233)</w:t>
        </w:r>
        <w:r w:rsidR="0094469E" w:rsidRPr="00B27F0B">
          <w:rPr>
            <w:lang w:val="en-GB"/>
          </w:rPr>
          <w:fldChar w:fldCharType="end"/>
        </w:r>
      </w:hyperlink>
      <w:r w:rsidRPr="00B56453">
        <w:rPr>
          <w:lang w:val="en-GB"/>
        </w:rPr>
        <w:t xml:space="preserve"> outlined the importance of fidelity, </w:t>
      </w:r>
      <w:r w:rsidRPr="00B56453">
        <w:rPr>
          <w:lang w:val="en-GB"/>
        </w:rPr>
        <w:lastRenderedPageBreak/>
        <w:t xml:space="preserve">“Fidelity is often defined as the degree to which implementation of a particular program follows a program model. Thus, fidelity can act as a potential mediator of the relationship between interventions and their intended outcomes”. Identifying high and low fidelity groups is crucial when exploring mechanisms of action which may lead to significant effects </w:t>
      </w:r>
      <w:r w:rsidRPr="009C2746">
        <w:rPr>
          <w:lang w:val="en-GB"/>
        </w:rPr>
        <w:fldChar w:fldCharType="begin"/>
      </w:r>
      <w:r w:rsidRPr="00B56453">
        <w:rPr>
          <w:lang w:val="en-GB"/>
        </w:rPr>
        <w:instrText xml:space="preserve"> ADDIN EN.CITE &lt;EndNote&gt;&lt;Cite&gt;&lt;Author&gt;McGrew&lt;/Author&gt;&lt;Year&gt;2005&lt;/Year&gt;&lt;RecNum&gt;162&lt;/RecNum&gt;&lt;DisplayText&gt;(McGrew and Griss 2005; Keith et al. 2010)&lt;/DisplayText&gt;&lt;record&gt;&lt;rec-number&gt;162&lt;/rec-number&gt;&lt;foreign-keys&gt;&lt;key app="EN" db-id="xa2r2ewea92trkef5dt5arvbzafvpv2za5ft" timestamp="1442161765"&gt;162&lt;/key&gt;&lt;/foreign-keys&gt;&lt;ref-type name="Journal Article"&gt;17&lt;/ref-type&gt;&lt;contributors&gt;&lt;authors&gt;&lt;author&gt;McGrew, John H.&lt;/author&gt;&lt;author&gt;Griss, Melina E.&lt;/author&gt;&lt;/authors&gt;&lt;/contributors&gt;&lt;titles&gt;&lt;title&gt;Concurrent and predictive validity of two scales to assess the fidelity of implementation of supported employment&lt;/title&gt;&lt;secondary-title&gt;Psychiatric rehabilitation journal&lt;/secondary-title&gt;&lt;/titles&gt;&lt;periodical&gt;&lt;full-title&gt;Psychiatric rehabilitation journal&lt;/full-title&gt;&lt;/periodical&gt;&lt;pages&gt;41&lt;/pages&gt;&lt;volume&gt;29&lt;/volume&gt;&lt;number&gt;1&lt;/number&gt;&lt;dates&gt;&lt;year&gt;2005&lt;/year&gt;&lt;/dates&gt;&lt;publisher&gt;International Association of Psychosocial Rehabilitation Services and Department of Rehabilitation Counseling, Sargent College of Health and Rehabilitation Services, Boston University&lt;/publisher&gt;&lt;urls&gt;&lt;related-urls&gt;&lt;url&gt;http://psycnet.apa.org/journals/prj/29/1/41/&lt;/url&gt;&lt;/related-urls&gt;&lt;/urls&gt;&lt;/record&gt;&lt;/Cite&gt;&lt;Cite&gt;&lt;Author&gt;Keith&lt;/Author&gt;&lt;Year&gt;2010&lt;/Year&gt;&lt;RecNum&gt;403&lt;/RecNum&gt;&lt;record&gt;&lt;rec-number&gt;403&lt;/rec-number&gt;&lt;foreign-keys&gt;&lt;key app="EN" db-id="xa2r2ewea92trkef5dt5arvbzafvpv2za5ft" timestamp="1496417542"&gt;403&lt;/key&gt;&lt;/foreign-keys&gt;&lt;ref-type name="Journal Article"&gt;17&lt;/ref-type&gt;&lt;contributors&gt;&lt;authors&gt;&lt;author&gt;Keith, Rosalind E.&lt;/author&gt;&lt;author&gt;Hopp, Faith P.&lt;/author&gt;&lt;author&gt;Subramanian, Usha&lt;/author&gt;&lt;author&gt;Wiitala, Wyndy&lt;/author&gt;&lt;author&gt;Lowery, Julie C.&lt;/author&gt;&lt;/authors&gt;&lt;/contributors&gt;&lt;titles&gt;&lt;title&gt;Fidelity of implementation: development and testing of a measure&lt;/title&gt;&lt;secondary-title&gt;Implement Sci&lt;/secondary-title&gt;&lt;/titles&gt;&lt;periodical&gt;&lt;full-title&gt;Implement Sci&lt;/full-title&gt;&lt;/periodical&gt;&lt;pages&gt;99&lt;/pages&gt;&lt;volume&gt;5&lt;/volume&gt;&lt;number&gt;1&lt;/number&gt;&lt;dates&gt;&lt;year&gt;2010&lt;/year&gt;&lt;/dates&gt;&lt;urls&gt;&lt;/urls&gt;&lt;/record&gt;&lt;/Cite&gt;&lt;/EndNote&gt;</w:instrText>
      </w:r>
      <w:r w:rsidRPr="00B27F0B">
        <w:rPr>
          <w:lang w:val="en-GB"/>
        </w:rPr>
        <w:fldChar w:fldCharType="separate"/>
      </w:r>
      <w:r w:rsidRPr="00B56453">
        <w:rPr>
          <w:noProof/>
          <w:lang w:val="en-GB"/>
        </w:rPr>
        <w:t>(</w:t>
      </w:r>
      <w:hyperlink w:anchor="_ENREF_266" w:tooltip="McGrew, 2005 #162" w:history="1">
        <w:r w:rsidR="0094469E" w:rsidRPr="00B56453">
          <w:rPr>
            <w:noProof/>
            <w:lang w:val="en-GB"/>
          </w:rPr>
          <w:t>McGrew and Griss 2005</w:t>
        </w:r>
      </w:hyperlink>
      <w:r w:rsidRPr="00B56453">
        <w:rPr>
          <w:noProof/>
          <w:lang w:val="en-GB"/>
        </w:rPr>
        <w:t xml:space="preserve">; </w:t>
      </w:r>
      <w:hyperlink w:anchor="_ENREF_213" w:tooltip="Keith, 2010 #403" w:history="1">
        <w:r w:rsidR="0094469E" w:rsidRPr="00B56453">
          <w:rPr>
            <w:noProof/>
            <w:lang w:val="en-GB"/>
          </w:rPr>
          <w:t>Keith et al. 2010</w:t>
        </w:r>
      </w:hyperlink>
      <w:r w:rsidRPr="00B56453">
        <w:rPr>
          <w:noProof/>
          <w:lang w:val="en-GB"/>
        </w:rPr>
        <w:t>)</w:t>
      </w:r>
      <w:r w:rsidRPr="009C2746">
        <w:rPr>
          <w:lang w:val="en-GB"/>
        </w:rPr>
        <w:fldChar w:fldCharType="end"/>
      </w:r>
      <w:r w:rsidRPr="00B56453">
        <w:rPr>
          <w:lang w:val="en-GB"/>
        </w:rPr>
        <w:t xml:space="preserve">. Fidelity was judged upon sub-categories identified by </w:t>
      </w:r>
      <w:hyperlink w:anchor="_ENREF_182" w:tooltip="Hasson, 2015 #106" w:history="1">
        <w:r w:rsidR="0094469E" w:rsidRPr="00B27F0B">
          <w:rPr>
            <w:lang w:val="en-GB"/>
          </w:rPr>
          <w:fldChar w:fldCharType="begin"/>
        </w:r>
        <w:r w:rsidR="0094469E" w:rsidRPr="00B56453">
          <w:rPr>
            <w:lang w:val="en-GB"/>
          </w:rPr>
          <w:instrText xml:space="preserve"> ADDIN EN.CITE &lt;EndNote&gt;&lt;Cite AuthorYear="1"&gt;&lt;Author&gt;Hasson&lt;/Author&gt;&lt;Year&gt;2015&lt;/Year&gt;&lt;RecNum&gt;106&lt;/RecNum&gt;&lt;DisplayText&gt;Hasson (2015)&lt;/DisplayText&gt;&lt;record&gt;&lt;rec-number&gt;106&lt;/rec-number&gt;&lt;foreign-keys&gt;&lt;key app="EN" db-id="xa2r2ewea92trkef5dt5arvbzafvpv2za5ft" timestamp="1442161764"&gt;106&lt;/key&gt;&lt;/foreign-keys&gt;&lt;ref-type name="Journal Article"&gt;17&lt;/ref-type&gt;&lt;contributors&gt;&lt;authors&gt;&lt;author&gt;Hasson, Henna&lt;/author&gt;&lt;/authors&gt;&lt;/contributors&gt;&lt;titles&gt;&lt;title&gt;Intervention fIdelity in ClinIcal trials&lt;/title&gt;&lt;secondary-title&gt;Complex Interventions in Health: An Overview of Research Methods&lt;/secondary-title&gt;&lt;/titles&gt;&lt;periodical&gt;&lt;full-title&gt;Complex Interventions in Health: An Overview of Research Methods&lt;/full-title&gt;&lt;/periodical&gt;&lt;pages&gt;232-238&lt;/pages&gt;&lt;dates&gt;&lt;year&gt;2015&lt;/year&gt;&lt;/dates&gt;&lt;publisher&gt;Routledge&lt;/publisher&gt;&lt;urls&gt;&lt;/urls&gt;&lt;/record&gt;&lt;/Cite&gt;&lt;/EndNote&gt;</w:instrText>
        </w:r>
        <w:r w:rsidR="0094469E" w:rsidRPr="00B27F0B">
          <w:rPr>
            <w:lang w:val="en-GB"/>
          </w:rPr>
          <w:fldChar w:fldCharType="separate"/>
        </w:r>
        <w:r w:rsidR="0094469E" w:rsidRPr="00B56453">
          <w:rPr>
            <w:noProof/>
            <w:lang w:val="en-GB"/>
          </w:rPr>
          <w:t>Hasson (2015)</w:t>
        </w:r>
        <w:r w:rsidR="0094469E" w:rsidRPr="00B27F0B">
          <w:rPr>
            <w:lang w:val="en-GB"/>
          </w:rPr>
          <w:fldChar w:fldCharType="end"/>
        </w:r>
      </w:hyperlink>
      <w:r w:rsidRPr="00B56453">
        <w:rPr>
          <w:lang w:val="en-GB"/>
        </w:rPr>
        <w:t>: Content, frequency/duration, reach, and timeliness.</w:t>
      </w:r>
    </w:p>
    <w:p w14:paraId="4B0D165F" w14:textId="77777777" w:rsidR="0021662A" w:rsidRPr="00B27F0B" w:rsidRDefault="0021662A" w:rsidP="0021662A">
      <w:pPr>
        <w:pStyle w:val="Normal1"/>
        <w:rPr>
          <w:lang w:val="en-GB"/>
        </w:rPr>
      </w:pPr>
    </w:p>
    <w:p w14:paraId="50201F84" w14:textId="77777777" w:rsidR="0021662A" w:rsidRPr="00B27F0B" w:rsidRDefault="0021662A" w:rsidP="0021662A">
      <w:pPr>
        <w:pStyle w:val="Normal1"/>
        <w:numPr>
          <w:ilvl w:val="0"/>
          <w:numId w:val="54"/>
        </w:numPr>
        <w:rPr>
          <w:i/>
          <w:lang w:val="en-GB"/>
        </w:rPr>
      </w:pPr>
      <w:r w:rsidRPr="00B27F0B">
        <w:rPr>
          <w:i/>
          <w:lang w:val="en-GB"/>
        </w:rPr>
        <w:t xml:space="preserve">Content: </w:t>
      </w:r>
      <w:r w:rsidRPr="00B27F0B">
        <w:rPr>
          <w:lang w:val="en-GB"/>
        </w:rPr>
        <w:t>The content of the intervention (feedback on SRL processes) was implemented by all teachers allocated to the model. From video observations, teachers did not feedback on every SRL process, instead they focused on one or two key processes in their feedback to each student. When asked during interviews, most teachers claimed they found certain processes more useful than others to feedback on, particularly: self-efficacy and strategic planning. In general, each feedback model was implemented consistently across the sample.</w:t>
      </w:r>
    </w:p>
    <w:p w14:paraId="7B65DF18" w14:textId="77777777" w:rsidR="0021662A" w:rsidRPr="00B27F0B" w:rsidRDefault="0021662A" w:rsidP="0021662A">
      <w:pPr>
        <w:pStyle w:val="Normal1"/>
        <w:numPr>
          <w:ilvl w:val="0"/>
          <w:numId w:val="54"/>
        </w:numPr>
        <w:rPr>
          <w:i/>
          <w:lang w:val="en-GB"/>
        </w:rPr>
      </w:pPr>
      <w:r w:rsidRPr="00B27F0B">
        <w:rPr>
          <w:i/>
          <w:lang w:val="en-GB"/>
        </w:rPr>
        <w:t xml:space="preserve">Frequency/duration: </w:t>
      </w:r>
      <w:r w:rsidRPr="00B27F0B">
        <w:rPr>
          <w:lang w:val="en-GB"/>
        </w:rPr>
        <w:t>No specific amount of feedback was stipulated and teachers were asked to give what they perceived to be an appropriate amount of feedback to each student regardless of feedback model. The only requirement for SRLF teachers was that they ask the before/during/after MA questions, which all of them did although some teachers did describe some difficulty putting the questions into appropriate colloquial language.</w:t>
      </w:r>
    </w:p>
    <w:p w14:paraId="0E2C9B40" w14:textId="77777777" w:rsidR="0021662A" w:rsidRPr="00B27F0B" w:rsidRDefault="0021662A" w:rsidP="0021662A">
      <w:pPr>
        <w:pStyle w:val="Normal1"/>
        <w:numPr>
          <w:ilvl w:val="0"/>
          <w:numId w:val="54"/>
        </w:numPr>
        <w:rPr>
          <w:i/>
          <w:lang w:val="en-GB"/>
        </w:rPr>
      </w:pPr>
      <w:r w:rsidRPr="00B27F0B">
        <w:rPr>
          <w:i/>
          <w:lang w:val="en-GB"/>
        </w:rPr>
        <w:t xml:space="preserve">Reach: </w:t>
      </w:r>
      <w:r w:rsidRPr="00B27F0B">
        <w:rPr>
          <w:lang w:val="en-GB"/>
        </w:rPr>
        <w:t>The whole student cohort (n=237) received either BPF or SRLF. 171 students participated in the three-part survey evaluation and 73 of those took part in qualitative data collection. All 14 teachers delivered their feedback models and 13 participated in the interviews designed to evaluate their experiences.</w:t>
      </w:r>
    </w:p>
    <w:p w14:paraId="604C9FB8" w14:textId="77777777" w:rsidR="0021662A" w:rsidRPr="00B27F0B" w:rsidRDefault="0021662A" w:rsidP="0021662A">
      <w:pPr>
        <w:pStyle w:val="Normal1"/>
        <w:numPr>
          <w:ilvl w:val="0"/>
          <w:numId w:val="54"/>
        </w:numPr>
        <w:rPr>
          <w:i/>
          <w:lang w:val="en-GB"/>
        </w:rPr>
      </w:pPr>
      <w:r w:rsidRPr="00B27F0B">
        <w:rPr>
          <w:i/>
          <w:lang w:val="en-GB"/>
        </w:rPr>
        <w:t xml:space="preserve">Timeliness: </w:t>
      </w:r>
      <w:r w:rsidRPr="00B27F0B">
        <w:rPr>
          <w:lang w:val="en-GB"/>
        </w:rPr>
        <w:t>Video observations confirmed that both feedback models were delivered at the correct times. SRL MA was implemented one-on-one before during and after performance, feedback was given after performance.</w:t>
      </w:r>
    </w:p>
    <w:p w14:paraId="76983BE5" w14:textId="77777777" w:rsidR="0021662A" w:rsidRPr="00B27F0B" w:rsidRDefault="0021662A" w:rsidP="0021662A">
      <w:pPr>
        <w:pStyle w:val="Normal1"/>
        <w:rPr>
          <w:lang w:val="en-GB"/>
        </w:rPr>
      </w:pPr>
    </w:p>
    <w:p w14:paraId="493EA92A" w14:textId="77777777" w:rsidR="0021662A" w:rsidRPr="00B27F0B" w:rsidRDefault="0021662A" w:rsidP="0021662A">
      <w:pPr>
        <w:pStyle w:val="Normal1"/>
        <w:rPr>
          <w:lang w:val="en-GB"/>
        </w:rPr>
      </w:pPr>
      <w:r w:rsidRPr="00B27F0B">
        <w:rPr>
          <w:lang w:val="en-GB"/>
        </w:rPr>
        <w:t>As for adaptations, key changes to the intervention protocol as a result of the pilot study and operational constraints are outlined in B1.7.</w:t>
      </w:r>
    </w:p>
    <w:p w14:paraId="03EC9C88" w14:textId="77777777" w:rsidR="0021662A" w:rsidRPr="00B56453" w:rsidRDefault="0021662A" w:rsidP="0021662A">
      <w:pPr>
        <w:pStyle w:val="Normal1"/>
        <w:rPr>
          <w:lang w:val="en-GB"/>
        </w:rPr>
      </w:pPr>
    </w:p>
    <w:p w14:paraId="0E4BD7CF" w14:textId="77777777" w:rsidR="006967C4" w:rsidRPr="00BD42AF" w:rsidRDefault="006967C4">
      <w:pPr>
        <w:rPr>
          <w:rFonts w:eastAsiaTheme="majorEastAsia" w:cstheme="majorBidi"/>
          <w:b/>
          <w:i/>
          <w:szCs w:val="24"/>
          <w:lang w:eastAsia="hi-IN" w:bidi="hi-IN"/>
        </w:rPr>
      </w:pPr>
      <w:r w:rsidRPr="00BD42AF">
        <w:br w:type="page"/>
      </w:r>
    </w:p>
    <w:p w14:paraId="273DD2F1" w14:textId="6AB07380" w:rsidR="0021662A" w:rsidRPr="00BD42AF" w:rsidRDefault="00BF6160" w:rsidP="0021662A">
      <w:pPr>
        <w:pStyle w:val="Heading3"/>
      </w:pPr>
      <w:bookmarkStart w:id="452" w:name="_Toc500319433"/>
      <w:r w:rsidRPr="00BD42AF">
        <w:lastRenderedPageBreak/>
        <w:t>D1</w:t>
      </w:r>
      <w:r w:rsidR="0021662A" w:rsidRPr="00BD42AF">
        <w:t>.2.2 Mechanisms of Impact</w:t>
      </w:r>
      <w:bookmarkEnd w:id="452"/>
    </w:p>
    <w:p w14:paraId="09D2309C" w14:textId="77777777" w:rsidR="0021662A" w:rsidRPr="00BD42AF" w:rsidRDefault="0021662A" w:rsidP="0021662A">
      <w:pPr>
        <w:pStyle w:val="Normal1"/>
        <w:rPr>
          <w:lang w:val="en-GB"/>
        </w:rPr>
      </w:pPr>
    </w:p>
    <w:p w14:paraId="5F9F87F8" w14:textId="69FDEF21" w:rsidR="0021662A" w:rsidRPr="00B56453" w:rsidRDefault="0021662A" w:rsidP="0021662A">
      <w:pPr>
        <w:pStyle w:val="Normal1"/>
        <w:rPr>
          <w:lang w:val="en-GB"/>
        </w:rPr>
      </w:pPr>
      <w:r w:rsidRPr="00BD42AF">
        <w:rPr>
          <w:lang w:val="en-GB"/>
        </w:rPr>
        <w:t xml:space="preserve">Evaluating the mechanisms of impact aimed to identify how the intervention brought about change and how these insights can be used to inform future researchers </w:t>
      </w:r>
      <w:r w:rsidRPr="007638B6">
        <w:rPr>
          <w:lang w:val="en-GB"/>
        </w:rPr>
        <w:fldChar w:fldCharType="begin"/>
      </w:r>
      <w:r w:rsidRPr="00B56453">
        <w:rPr>
          <w:lang w:val="en-GB"/>
        </w:rPr>
        <w:instrText xml:space="preserve"> ADDIN EN.CITE &lt;EndNote&gt;&lt;Cite&gt;&lt;Author&gt;Grant&lt;/Author&gt;&lt;Year&gt;2013&lt;/Year&gt;&lt;RecNum&gt;927&lt;/RecNum&gt;&lt;DisplayText&gt;(Grant et al. 2013)&lt;/DisplayText&gt;&lt;record&gt;&lt;rec-number&gt;927&lt;/rec-number&gt;&lt;foreign-keys&gt;&lt;key app="EN" db-id="xa2r2ewea92trkef5dt5arvbzafvpv2za5ft" timestamp="1498560403"&gt;927&lt;/key&gt;&lt;/foreign-keys&gt;&lt;ref-type name="Journal Article"&gt;17&lt;/ref-type&gt;&lt;contributors&gt;&lt;authors&gt;&lt;author&gt;Grant, Aileen&lt;/author&gt;&lt;author&gt;Treweek, Shaun&lt;/author&gt;&lt;author&gt;Dreischulte, Tobias&lt;/author&gt;&lt;author&gt;Foy, Robbie&lt;/author&gt;&lt;author&gt;Guthrie, Bruce&lt;/author&gt;&lt;/authors&gt;&lt;/contributors&gt;&lt;titles&gt;&lt;title&gt;Process evaluations for cluster-randomised trials of complex interventions: a proposed framework for design and reporting&lt;/title&gt;&lt;secondary-title&gt;Trials&lt;/secondary-title&gt;&lt;/titles&gt;&lt;periodical&gt;&lt;full-title&gt;Trials&lt;/full-title&gt;&lt;/periodical&gt;&lt;pages&gt;15&lt;/pages&gt;&lt;volume&gt;14&lt;/volume&gt;&lt;number&gt;1&lt;/number&gt;&lt;dates&gt;&lt;year&gt;2013&lt;/year&gt;&lt;/dates&gt;&lt;isbn&gt;1745-6215&lt;/isbn&gt;&lt;urls&gt;&lt;/urls&gt;&lt;/record&gt;&lt;/Cite&gt;&lt;/EndNote&gt;</w:instrText>
      </w:r>
      <w:r w:rsidRPr="00B27F0B">
        <w:rPr>
          <w:lang w:val="en-GB"/>
        </w:rPr>
        <w:fldChar w:fldCharType="separate"/>
      </w:r>
      <w:r w:rsidRPr="00B56453">
        <w:rPr>
          <w:noProof/>
          <w:lang w:val="en-GB"/>
        </w:rPr>
        <w:t>(</w:t>
      </w:r>
      <w:hyperlink w:anchor="_ENREF_166" w:tooltip="Grant, 2013 #927" w:history="1">
        <w:r w:rsidR="0094469E" w:rsidRPr="00B56453">
          <w:rPr>
            <w:noProof/>
            <w:lang w:val="en-GB"/>
          </w:rPr>
          <w:t>Grant et al. 2013</w:t>
        </w:r>
      </w:hyperlink>
      <w:r w:rsidRPr="00B56453">
        <w:rPr>
          <w:noProof/>
          <w:lang w:val="en-GB"/>
        </w:rPr>
        <w:t>)</w:t>
      </w:r>
      <w:r w:rsidRPr="007638B6">
        <w:rPr>
          <w:lang w:val="en-GB"/>
        </w:rPr>
        <w:fldChar w:fldCharType="end"/>
      </w:r>
      <w:r w:rsidRPr="00B56453">
        <w:rPr>
          <w:lang w:val="en-GB"/>
        </w:rPr>
        <w:t xml:space="preserve">. Exploring these mechanisms may also identify if the intended goals and processes of the intervention were successful or not, unintended mechanisms were also searched for as complex interventions are influenced by many external factors </w:t>
      </w:r>
      <w:r w:rsidRPr="009C2746">
        <w:rPr>
          <w:lang w:val="en-GB"/>
        </w:rPr>
        <w:fldChar w:fldCharType="begin"/>
      </w:r>
      <w:r w:rsidRPr="00B56453">
        <w:rPr>
          <w:lang w:val="en-GB"/>
        </w:rPr>
        <w:instrText xml:space="preserve"> ADDIN EN.CITE &lt;EndNote&gt;&lt;Cite&gt;&lt;Author&gt;Bonell&lt;/Author&gt;&lt;Year&gt;2012&lt;/Year&gt;&lt;RecNum&gt;928&lt;/RecNum&gt;&lt;DisplayText&gt;(Bonell et al. 2012)&lt;/DisplayText&gt;&lt;record&gt;&lt;rec-number&gt;928&lt;/rec-number&gt;&lt;foreign-keys&gt;&lt;key app="EN" db-id="xa2r2ewea92trkef5dt5arvbzafvpv2za5ft" timestamp="1498560410"&gt;928&lt;/key&gt;&lt;/foreign-keys&gt;&lt;ref-type name="Journal Article"&gt;17&lt;/ref-type&gt;&lt;contributors&gt;&lt;authors&gt;&lt;author&gt;Bonell, Chris&lt;/author&gt;&lt;author&gt;Fletcher, Adam&lt;/author&gt;&lt;author&gt;Morton, Matthew&lt;/author&gt;&lt;author&gt;Lorenc, Theo&lt;/author&gt;&lt;author&gt;Moore, Laurence&lt;/author&gt;&lt;/authors&gt;&lt;/contributors&gt;&lt;titles&gt;&lt;title&gt;Realist randomised controlled trials: a new approach to evaluating complex public health interventions&lt;/title&gt;&lt;secondary-title&gt;Social science &amp;amp; medicine&lt;/secondary-title&gt;&lt;/titles&gt;&lt;periodical&gt;&lt;full-title&gt;Social science &amp;amp; medicine&lt;/full-title&gt;&lt;/periodical&gt;&lt;pages&gt;2299-2306&lt;/pages&gt;&lt;volume&gt;75&lt;/volume&gt;&lt;number&gt;12&lt;/number&gt;&lt;dates&gt;&lt;year&gt;2012&lt;/year&gt;&lt;/dates&gt;&lt;isbn&gt;0277-9536&lt;/isbn&gt;&lt;urls&gt;&lt;/urls&gt;&lt;/record&gt;&lt;/Cite&gt;&lt;/EndNote&gt;</w:instrText>
      </w:r>
      <w:r w:rsidRPr="00B27F0B">
        <w:rPr>
          <w:lang w:val="en-GB"/>
        </w:rPr>
        <w:fldChar w:fldCharType="separate"/>
      </w:r>
      <w:r w:rsidRPr="00B56453">
        <w:rPr>
          <w:noProof/>
          <w:lang w:val="en-GB"/>
        </w:rPr>
        <w:t>(</w:t>
      </w:r>
      <w:hyperlink w:anchor="_ENREF_47" w:tooltip="Bonell, 2012 #928" w:history="1">
        <w:r w:rsidR="0094469E" w:rsidRPr="00B56453">
          <w:rPr>
            <w:noProof/>
            <w:lang w:val="en-GB"/>
          </w:rPr>
          <w:t>Bonell et al. 2012</w:t>
        </w:r>
      </w:hyperlink>
      <w:r w:rsidRPr="00B56453">
        <w:rPr>
          <w:noProof/>
          <w:lang w:val="en-GB"/>
        </w:rPr>
        <w:t>)</w:t>
      </w:r>
      <w:r w:rsidRPr="009C2746">
        <w:rPr>
          <w:lang w:val="en-GB"/>
        </w:rPr>
        <w:fldChar w:fldCharType="end"/>
      </w:r>
      <w:r w:rsidRPr="00B56453">
        <w:rPr>
          <w:lang w:val="en-GB"/>
        </w:rPr>
        <w:t>.</w:t>
      </w:r>
    </w:p>
    <w:p w14:paraId="7D047521" w14:textId="77777777" w:rsidR="0021662A" w:rsidRPr="00B56453" w:rsidRDefault="0021662A" w:rsidP="0021662A">
      <w:pPr>
        <w:pStyle w:val="Normal1"/>
        <w:rPr>
          <w:lang w:val="en-GB"/>
        </w:rPr>
      </w:pPr>
    </w:p>
    <w:p w14:paraId="2F0E7AAF" w14:textId="77777777" w:rsidR="0021662A" w:rsidRPr="00B56453" w:rsidRDefault="0021662A" w:rsidP="0021662A">
      <w:pPr>
        <w:pStyle w:val="Normal1"/>
        <w:rPr>
          <w:lang w:val="en-GB"/>
        </w:rPr>
      </w:pPr>
      <w:r w:rsidRPr="00B56453">
        <w:rPr>
          <w:lang w:val="en-GB"/>
        </w:rPr>
        <w:t>Direct responses to the intervention were only collected from the teachers. Responses in the form of changes in SRL and self-efficacy were collected after all the teaching was completed but immediate reactions from students were not directly explored. Only when a group effect was observed where some students appeared to learn from hearing the questions, answers, and feedback given to their colleagues as the sessions progressed. This can be viewed as a positive reaction as the group was learning together from the SRL feedback being given. This was an unexpected mechanism in this study, future researchers should anticipate this effect and aim to directly explore it using qualitative methods soon after implementation to reduce issues with retrospective recall.</w:t>
      </w:r>
    </w:p>
    <w:p w14:paraId="5985639D" w14:textId="77777777" w:rsidR="0021662A" w:rsidRPr="00B56453" w:rsidRDefault="0021662A" w:rsidP="0021662A">
      <w:pPr>
        <w:pStyle w:val="Normal1"/>
        <w:rPr>
          <w:lang w:val="en-GB"/>
        </w:rPr>
      </w:pPr>
    </w:p>
    <w:p w14:paraId="6D4B6848" w14:textId="6124875D" w:rsidR="0021662A" w:rsidRPr="00B56453" w:rsidRDefault="0021662A" w:rsidP="0021662A">
      <w:pPr>
        <w:pStyle w:val="Normal1"/>
        <w:rPr>
          <w:lang w:val="en-GB"/>
        </w:rPr>
      </w:pPr>
      <w:r w:rsidRPr="00B56453">
        <w:rPr>
          <w:lang w:val="en-GB"/>
        </w:rPr>
        <w:t xml:space="preserve">Another unexpected factor in the delivery of the intervention was the impact of the support provided to teachers in the form of informal debriefs. Those who accessed this on-site support </w:t>
      </w:r>
      <w:r w:rsidR="00881450" w:rsidRPr="00B56453">
        <w:rPr>
          <w:lang w:val="en-GB"/>
        </w:rPr>
        <w:t>articulated their appreciation during interviews and informally during the study</w:t>
      </w:r>
      <w:r w:rsidRPr="00B56453">
        <w:rPr>
          <w:lang w:val="en-GB"/>
        </w:rPr>
        <w:t xml:space="preserve">. The provision of support is a well-established component in successful faculty development interventions </w:t>
      </w:r>
      <w:r w:rsidRPr="009C2746">
        <w:rPr>
          <w:lang w:val="en-GB"/>
        </w:rPr>
        <w:fldChar w:fldCharType="begin"/>
      </w:r>
      <w:r w:rsidRPr="00B56453">
        <w:rPr>
          <w:lang w:val="en-GB"/>
        </w:rPr>
        <w:instrText xml:space="preserve"> ADDIN EN.CITE &lt;EndNote&gt;&lt;Cite&gt;&lt;Author&gt;Coomarasamy&lt;/Author&gt;&lt;Year&gt;2004&lt;/Year&gt;&lt;RecNum&gt;730&lt;/RecNum&gt;&lt;DisplayText&gt;(Coomarasamy and Khan 2004)&lt;/DisplayText&gt;&lt;record&gt;&lt;rec-number&gt;730&lt;/rec-number&gt;&lt;foreign-keys&gt;&lt;key app="EN" db-id="xa2r2ewea92trkef5dt5arvbzafvpv2za5ft" timestamp="1496417571"&gt;730&lt;/key&gt;&lt;/foreign-keys&gt;&lt;ref-type name="Journal Article"&gt;17&lt;/ref-type&gt;&lt;contributors&gt;&lt;authors&gt;&lt;author&gt;Coomarasamy, Arri&lt;/author&gt;&lt;author&gt;Khan, Khalid S&lt;/author&gt;&lt;/authors&gt;&lt;/contributors&gt;&lt;titles&gt;&lt;title&gt;What is the evidence that postgraduate teaching in evidence based medicine changes anything? A systematic review&lt;/title&gt;&lt;secondary-title&gt;Bmj&lt;/secondary-title&gt;&lt;/titles&gt;&lt;periodical&gt;&lt;full-title&gt;BMJ&lt;/full-title&gt;&lt;/periodical&gt;&lt;pages&gt;1017&lt;/pages&gt;&lt;volume&gt;329&lt;/volume&gt;&lt;number&gt;7473&lt;/number&gt;&lt;dates&gt;&lt;year&gt;2004&lt;/year&gt;&lt;/dates&gt;&lt;isbn&gt;0959-8138&lt;/isbn&gt;&lt;urls&gt;&lt;/urls&gt;&lt;/record&gt;&lt;/Cite&gt;&lt;/EndNote&gt;</w:instrText>
      </w:r>
      <w:r w:rsidRPr="00B27F0B">
        <w:rPr>
          <w:lang w:val="en-GB"/>
        </w:rPr>
        <w:fldChar w:fldCharType="separate"/>
      </w:r>
      <w:r w:rsidRPr="00B56453">
        <w:rPr>
          <w:noProof/>
          <w:lang w:val="en-GB"/>
        </w:rPr>
        <w:t>(</w:t>
      </w:r>
      <w:hyperlink w:anchor="_ENREF_96" w:tooltip="Coomarasamy, 2004 #730" w:history="1">
        <w:r w:rsidR="0094469E" w:rsidRPr="00B56453">
          <w:rPr>
            <w:noProof/>
            <w:lang w:val="en-GB"/>
          </w:rPr>
          <w:t>Coomarasamy and Khan 2004</w:t>
        </w:r>
      </w:hyperlink>
      <w:r w:rsidRPr="00B56453">
        <w:rPr>
          <w:noProof/>
          <w:lang w:val="en-GB"/>
        </w:rPr>
        <w:t>)</w:t>
      </w:r>
      <w:r w:rsidRPr="009C2746">
        <w:rPr>
          <w:lang w:val="en-GB"/>
        </w:rPr>
        <w:fldChar w:fldCharType="end"/>
      </w:r>
      <w:r w:rsidRPr="00B56453">
        <w:rPr>
          <w:lang w:val="en-GB"/>
        </w:rPr>
        <w:t>. Future researchers embedding SRL techniques into teaching practices must offer this support and could go further by scheduling structured debriefs with teachers after sessions to support their development.</w:t>
      </w:r>
    </w:p>
    <w:p w14:paraId="00EC81BB" w14:textId="77777777" w:rsidR="0021662A" w:rsidRPr="00B56453" w:rsidRDefault="0021662A" w:rsidP="0021662A">
      <w:pPr>
        <w:pStyle w:val="Normal1"/>
        <w:rPr>
          <w:lang w:val="en-GB"/>
        </w:rPr>
      </w:pPr>
    </w:p>
    <w:p w14:paraId="0C3981E2" w14:textId="176DF715" w:rsidR="0021662A" w:rsidRPr="00B56453" w:rsidRDefault="0021662A" w:rsidP="0021662A">
      <w:pPr>
        <w:pStyle w:val="Normal1"/>
        <w:rPr>
          <w:lang w:val="en-GB"/>
        </w:rPr>
      </w:pPr>
      <w:r w:rsidRPr="00B56453">
        <w:rPr>
          <w:lang w:val="en-GB"/>
        </w:rPr>
        <w:t xml:space="preserve">As detailed in Chapter B2, there were differences in how novice and experienced teachers interacted with the SRL MA technique. Novice teachers tended to focus on delivering the content ‘to the letter’ and struggled with certain questions that they felt uncomfortable asking and giving feedback on. More experienced teachers were able to </w:t>
      </w:r>
      <w:r w:rsidR="00881450" w:rsidRPr="00B56453">
        <w:rPr>
          <w:lang w:val="en-GB"/>
        </w:rPr>
        <w:t>embed</w:t>
      </w:r>
      <w:r w:rsidRPr="00B56453">
        <w:rPr>
          <w:lang w:val="en-GB"/>
        </w:rPr>
        <w:t xml:space="preserve"> SRL MA as part of their normal practice, adopting what they felt added to their approach and adapting it to their preference. Those designing and evaluating faculty development interventions in any context should consider this experience factor and </w:t>
      </w:r>
      <w:r w:rsidRPr="00B56453">
        <w:rPr>
          <w:lang w:val="en-GB"/>
        </w:rPr>
        <w:lastRenderedPageBreak/>
        <w:t xml:space="preserve">embed support where necessary, as other researchers have suggested </w:t>
      </w:r>
      <w:r w:rsidRPr="009C2746">
        <w:rPr>
          <w:lang w:val="en-GB"/>
        </w:rPr>
        <w:fldChar w:fldCharType="begin"/>
      </w:r>
      <w:r w:rsidRPr="00B56453">
        <w:rPr>
          <w:lang w:val="en-GB"/>
        </w:rPr>
        <w:instrText xml:space="preserve"> ADDIN EN.CITE &lt;EndNote&gt;&lt;Cite&gt;&lt;Author&gt;Norman&lt;/Author&gt;&lt;Year&gt;2011&lt;/Year&gt;&lt;RecNum&gt;725&lt;/RecNum&gt;&lt;DisplayText&gt;(Norman 2011; Ross 2012)&lt;/DisplayText&gt;&lt;record&gt;&lt;rec-number&gt;725&lt;/rec-number&gt;&lt;foreign-keys&gt;&lt;key app="EN" db-id="xa2r2ewea92trkef5dt5arvbzafvpv2za5ft" timestamp="1496417570"&gt;725&lt;/key&gt;&lt;/foreign-keys&gt;&lt;ref-type name="Journal Article"&gt;17&lt;/ref-type&gt;&lt;contributors&gt;&lt;authors&gt;&lt;author&gt;Norman, Geoff&lt;/author&gt;&lt;/authors&gt;&lt;/contributors&gt;&lt;titles&gt;&lt;title&gt;Fifty years of medical education research: waves of migration&lt;/title&gt;&lt;secondary-title&gt;Medical education&lt;/secondary-title&gt;&lt;/titles&gt;&lt;periodical&gt;&lt;full-title&gt;Medical education&lt;/full-title&gt;&lt;/periodical&gt;&lt;pages&gt;785-791&lt;/pages&gt;&lt;volume&gt;45&lt;/volume&gt;&lt;number&gt;8&lt;/number&gt;&lt;dates&gt;&lt;year&gt;2011&lt;/year&gt;&lt;/dates&gt;&lt;isbn&gt;1365-2923&lt;/isbn&gt;&lt;urls&gt;&lt;/urls&gt;&lt;/record&gt;&lt;/Cite&gt;&lt;Cite&gt;&lt;Author&gt;Ross&lt;/Author&gt;&lt;Year&gt;2012&lt;/Year&gt;&lt;RecNum&gt;726&lt;/RecNum&gt;&lt;record&gt;&lt;rec-number&gt;726&lt;/rec-number&gt;&lt;foreign-keys&gt;&lt;key app="EN" db-id="xa2r2ewea92trkef5dt5arvbzafvpv2za5ft" timestamp="1496417570"&gt;726&lt;/key&gt;&lt;/foreign-keys&gt;&lt;ref-type name="Journal Article"&gt;17&lt;/ref-type&gt;&lt;contributors&gt;&lt;authors&gt;&lt;author&gt;Ross, Michael Taylor&lt;/author&gt;&lt;/authors&gt;&lt;/contributors&gt;&lt;titles&gt;&lt;title&gt;Learning about teaching as part of the undergraduate medical curriculum: perspectives and learning outcomes&lt;/title&gt;&lt;/titles&gt;&lt;dates&gt;&lt;year&gt;2012&lt;/year&gt;&lt;/dates&gt;&lt;urls&gt;&lt;/urls&gt;&lt;/record&gt;&lt;/Cite&gt;&lt;/EndNote&gt;</w:instrText>
      </w:r>
      <w:r w:rsidRPr="00B27F0B">
        <w:rPr>
          <w:lang w:val="en-GB"/>
        </w:rPr>
        <w:fldChar w:fldCharType="separate"/>
      </w:r>
      <w:r w:rsidRPr="00B56453">
        <w:rPr>
          <w:noProof/>
          <w:lang w:val="en-GB"/>
        </w:rPr>
        <w:t>(</w:t>
      </w:r>
      <w:hyperlink w:anchor="_ENREF_304" w:tooltip="Norman, 2011 #725" w:history="1">
        <w:r w:rsidR="0094469E" w:rsidRPr="00B56453">
          <w:rPr>
            <w:noProof/>
            <w:lang w:val="en-GB"/>
          </w:rPr>
          <w:t>Norman 2011</w:t>
        </w:r>
      </w:hyperlink>
      <w:r w:rsidRPr="00B56453">
        <w:rPr>
          <w:noProof/>
          <w:lang w:val="en-GB"/>
        </w:rPr>
        <w:t xml:space="preserve">; </w:t>
      </w:r>
      <w:hyperlink w:anchor="_ENREF_351" w:tooltip="Ross, 2012 #726" w:history="1">
        <w:r w:rsidR="0094469E" w:rsidRPr="00B56453">
          <w:rPr>
            <w:noProof/>
            <w:lang w:val="en-GB"/>
          </w:rPr>
          <w:t>Ross 2012</w:t>
        </w:r>
      </w:hyperlink>
      <w:r w:rsidRPr="00B56453">
        <w:rPr>
          <w:noProof/>
          <w:lang w:val="en-GB"/>
        </w:rPr>
        <w:t>)</w:t>
      </w:r>
      <w:r w:rsidRPr="009C2746">
        <w:rPr>
          <w:lang w:val="en-GB"/>
        </w:rPr>
        <w:fldChar w:fldCharType="end"/>
      </w:r>
      <w:r w:rsidRPr="00B56453">
        <w:rPr>
          <w:lang w:val="en-GB"/>
        </w:rPr>
        <w:t>. As the conceptual model (Figure B2.5</w:t>
      </w:r>
      <w:r w:rsidR="009A1184" w:rsidRPr="00B56453">
        <w:rPr>
          <w:lang w:val="en-GB"/>
        </w:rPr>
        <w:t xml:space="preserve">, page: </w:t>
      </w:r>
      <w:r w:rsidR="00ED770A">
        <w:rPr>
          <w:lang w:val="en-GB"/>
        </w:rPr>
        <w:t>116</w:t>
      </w:r>
      <w:r w:rsidRPr="00ED770A">
        <w:rPr>
          <w:lang w:val="en-GB"/>
        </w:rPr>
        <w:t>) suggested, conceptualisations of teaching and feedback were key in any meaningful practice change. Changin</w:t>
      </w:r>
      <w:r w:rsidRPr="00BD42AF">
        <w:rPr>
          <w:lang w:val="en-GB"/>
        </w:rPr>
        <w:t xml:space="preserve">g these beliefs and values are crucial in effective faculty development interventions, those aiming to incorporate SRL into teaching practices must embed this in their approach </w:t>
      </w:r>
      <w:r w:rsidRPr="007638B6">
        <w:rPr>
          <w:lang w:val="en-GB"/>
        </w:rPr>
        <w:fldChar w:fldCharType="begin"/>
      </w:r>
      <w:r w:rsidRPr="00B56453">
        <w:rPr>
          <w:lang w:val="en-GB"/>
        </w:rPr>
        <w:instrText xml:space="preserve"> ADDIN EN.CITE &lt;EndNote&gt;&lt;Cite&gt;&lt;Author&gt;Timperley&lt;/Author&gt;&lt;Year&gt;2008&lt;/Year&gt;&lt;RecNum&gt;952&lt;/RecNum&gt;&lt;DisplayText&gt;(Timperley et al. 2008)&lt;/DisplayText&gt;&lt;record&gt;&lt;rec-number&gt;952&lt;/rec-number&gt;&lt;foreign-keys&gt;&lt;key app="EN" db-id="xa2r2ewea92trkef5dt5arvbzafvpv2za5ft" timestamp="1500904395"&gt;952&lt;/key&gt;&lt;/foreign-keys&gt;&lt;ref-type name="Journal Article"&gt;17&lt;/ref-type&gt;&lt;contributors&gt;&lt;authors&gt;&lt;author&gt;Timperley, Helen&lt;/author&gt;&lt;author&gt;Wilson, Aaron&lt;/author&gt;&lt;author&gt;Barrar, Heather&lt;/author&gt;&lt;author&gt;Fung, Irene&lt;/author&gt;&lt;/authors&gt;&lt;/contributors&gt;&lt;titles&gt;&lt;title&gt;Teacher professional learning and development&lt;/title&gt;&lt;/titles&gt;&lt;dates&gt;&lt;year&gt;2008&lt;/year&gt;&lt;/dates&gt;&lt;urls&gt;&lt;/urls&gt;&lt;/record&gt;&lt;/Cite&gt;&lt;/EndNote&gt;</w:instrText>
      </w:r>
      <w:r w:rsidRPr="00B27F0B">
        <w:rPr>
          <w:lang w:val="en-GB"/>
        </w:rPr>
        <w:fldChar w:fldCharType="separate"/>
      </w:r>
      <w:r w:rsidRPr="00B56453">
        <w:rPr>
          <w:noProof/>
          <w:lang w:val="en-GB"/>
        </w:rPr>
        <w:t>(</w:t>
      </w:r>
      <w:hyperlink w:anchor="_ENREF_404" w:tooltip="Timperley, 2008 #952" w:history="1">
        <w:r w:rsidR="0094469E" w:rsidRPr="00B56453">
          <w:rPr>
            <w:noProof/>
            <w:lang w:val="en-GB"/>
          </w:rPr>
          <w:t>Timperley et al. 2008</w:t>
        </w:r>
      </w:hyperlink>
      <w:r w:rsidRPr="00B56453">
        <w:rPr>
          <w:noProof/>
          <w:lang w:val="en-GB"/>
        </w:rPr>
        <w:t>)</w:t>
      </w:r>
      <w:r w:rsidRPr="007638B6">
        <w:rPr>
          <w:lang w:val="en-GB"/>
        </w:rPr>
        <w:fldChar w:fldCharType="end"/>
      </w:r>
      <w:r w:rsidRPr="00B56453">
        <w:rPr>
          <w:lang w:val="en-GB"/>
        </w:rPr>
        <w:t>.</w:t>
      </w:r>
    </w:p>
    <w:p w14:paraId="3110DFC7" w14:textId="77777777" w:rsidR="0021662A" w:rsidRPr="00B56453" w:rsidRDefault="0021662A" w:rsidP="0021662A">
      <w:pPr>
        <w:pStyle w:val="Normal1"/>
        <w:rPr>
          <w:lang w:val="en-GB"/>
        </w:rPr>
      </w:pPr>
    </w:p>
    <w:p w14:paraId="6F65983D" w14:textId="569D41EA" w:rsidR="0021662A" w:rsidRPr="00B56453" w:rsidRDefault="0021662A" w:rsidP="0021662A">
      <w:pPr>
        <w:pStyle w:val="Normal1"/>
        <w:rPr>
          <w:lang w:val="en-GB"/>
        </w:rPr>
      </w:pPr>
      <w:r w:rsidRPr="00B56453">
        <w:rPr>
          <w:lang w:val="en-GB"/>
        </w:rPr>
        <w:t>A significant drop in both SRL and perceived self-efficacy</w:t>
      </w:r>
      <w:r w:rsidR="00881450" w:rsidRPr="00B56453">
        <w:rPr>
          <w:lang w:val="en-GB"/>
        </w:rPr>
        <w:t xml:space="preserve"> scores</w:t>
      </w:r>
      <w:r w:rsidRPr="00B56453">
        <w:rPr>
          <w:lang w:val="en-GB"/>
        </w:rPr>
        <w:t xml:space="preserve"> was observed in the BPF group from before to after the </w:t>
      </w:r>
      <w:r w:rsidR="00240F75" w:rsidRPr="00B56453">
        <w:rPr>
          <w:lang w:val="en-GB"/>
        </w:rPr>
        <w:t>teaching</w:t>
      </w:r>
      <w:r w:rsidRPr="00B56453">
        <w:rPr>
          <w:lang w:val="en-GB"/>
        </w:rPr>
        <w:t xml:space="preserve"> (see Chapter B3). This was unexpected as the BPF condition was designed to provide typical clinical skills feedback to students, no different to what was considered ‘usual best practice’. It is difficult to reliably explain why this negative effect occurred but some hypotheses are suggested here. The style of feedback regularly given in that simulated clinical skills learning environment may not be suitable for the development of SRL and self-efficacy despite the research informed principles that were used. The general environment may have also had an effect; for many students that was the first time they had attempted those skills and could have been demotivated by either the difficulty of the skills or other factors in the session. This could link to the comments made by teachers in the interviews where they suggested the time limits and format of the teaching sessions were not optimal for teaching and feedback. Given the importance of self-efficacy and SRL to medical learning in general, it would be beneficial for future researchers to explore why clinical skills training may have had this effect </w:t>
      </w:r>
      <w:r w:rsidRPr="009C2746">
        <w:rPr>
          <w:lang w:val="en-GB"/>
        </w:rPr>
        <w:fldChar w:fldCharType="begin"/>
      </w:r>
      <w:r w:rsidRPr="00B56453">
        <w:rPr>
          <w:lang w:val="en-GB"/>
        </w:rPr>
        <w:instrText xml:space="preserve"> ADDIN EN.CITE &lt;EndNote&gt;&lt;Cite&gt;&lt;Author&gt;Turan&lt;/Author&gt;&lt;Year&gt;2013&lt;/Year&gt;&lt;RecNum&gt;596&lt;/RecNum&gt;&lt;DisplayText&gt;(Turan et al. 2013)&lt;/DisplayText&gt;&lt;record&gt;&lt;rec-number&gt;596&lt;/rec-number&gt;&lt;foreign-keys&gt;&lt;key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Pr="00B27F0B">
        <w:rPr>
          <w:lang w:val="en-GB"/>
        </w:rPr>
        <w:fldChar w:fldCharType="separate"/>
      </w:r>
      <w:r w:rsidRPr="00B56453">
        <w:rPr>
          <w:noProof/>
          <w:lang w:val="en-GB"/>
        </w:rPr>
        <w:t>(</w:t>
      </w:r>
      <w:hyperlink w:anchor="_ENREF_410" w:tooltip="Turan, 2013 #596" w:history="1">
        <w:r w:rsidR="0094469E" w:rsidRPr="00B56453">
          <w:rPr>
            <w:noProof/>
            <w:lang w:val="en-GB"/>
          </w:rPr>
          <w:t>Turan et al. 2013</w:t>
        </w:r>
      </w:hyperlink>
      <w:r w:rsidRPr="00B56453">
        <w:rPr>
          <w:noProof/>
          <w:lang w:val="en-GB"/>
        </w:rPr>
        <w:t>)</w:t>
      </w:r>
      <w:r w:rsidRPr="009C2746">
        <w:rPr>
          <w:lang w:val="en-GB"/>
        </w:rPr>
        <w:fldChar w:fldCharType="end"/>
      </w:r>
      <w:r w:rsidRPr="00B56453">
        <w:rPr>
          <w:lang w:val="en-GB"/>
        </w:rPr>
        <w:t>.</w:t>
      </w:r>
    </w:p>
    <w:p w14:paraId="278E5489" w14:textId="77777777" w:rsidR="0021662A" w:rsidRPr="00B56453" w:rsidRDefault="0021662A" w:rsidP="0021662A">
      <w:pPr>
        <w:pStyle w:val="Normal1"/>
        <w:rPr>
          <w:lang w:val="en-GB"/>
        </w:rPr>
      </w:pPr>
    </w:p>
    <w:p w14:paraId="1A4DCB16" w14:textId="71723402" w:rsidR="0021662A" w:rsidRPr="00B56453" w:rsidRDefault="00BF6160" w:rsidP="0021662A">
      <w:pPr>
        <w:pStyle w:val="Heading3"/>
      </w:pPr>
      <w:bookmarkStart w:id="453" w:name="_Toc500319434"/>
      <w:r w:rsidRPr="00B56453">
        <w:t>D1</w:t>
      </w:r>
      <w:r w:rsidR="0021662A" w:rsidRPr="00B56453">
        <w:t>.2.3 Context</w:t>
      </w:r>
      <w:bookmarkEnd w:id="453"/>
    </w:p>
    <w:p w14:paraId="3574D120" w14:textId="77777777" w:rsidR="0021662A" w:rsidRPr="00B56453" w:rsidRDefault="0021662A" w:rsidP="0021662A">
      <w:pPr>
        <w:pStyle w:val="Normal1"/>
        <w:rPr>
          <w:lang w:val="en-GB"/>
        </w:rPr>
      </w:pPr>
    </w:p>
    <w:p w14:paraId="5D879310" w14:textId="3EA09D34" w:rsidR="0021662A" w:rsidRPr="00B56453" w:rsidRDefault="0021662A" w:rsidP="0021662A">
      <w:pPr>
        <w:pStyle w:val="Normal1"/>
        <w:rPr>
          <w:lang w:val="en-GB"/>
        </w:rPr>
      </w:pPr>
      <w:r w:rsidRPr="00B56453">
        <w:rPr>
          <w:lang w:val="en-GB"/>
        </w:rPr>
        <w:t xml:space="preserve">A social cognitive view of SRL was adopted for data analysis. This perspective was not limited to factors only related to SRL and was subsequently used to explore context in all qualitative data analyses. The impact of context and culture was evident in both qualitative explorations of teachers’ and students’ experiences. These findings are presented and discussed in detail in Chapters B2 and C2 and inform how these factors impacted upon the delivery and outcomes of the </w:t>
      </w:r>
      <w:r w:rsidR="00240F75" w:rsidRPr="00B56453">
        <w:rPr>
          <w:lang w:val="en-GB"/>
        </w:rPr>
        <w:t>feedback models</w:t>
      </w:r>
      <w:r w:rsidRPr="00B56453">
        <w:rPr>
          <w:lang w:val="en-GB"/>
        </w:rPr>
        <w:t>. The impact on teachers is most relevant for this process evaluation and is summarised below.</w:t>
      </w:r>
    </w:p>
    <w:p w14:paraId="3521AFDE" w14:textId="77777777" w:rsidR="0021662A" w:rsidRPr="00B56453" w:rsidRDefault="0021662A" w:rsidP="0021662A">
      <w:pPr>
        <w:pStyle w:val="Normal1"/>
        <w:rPr>
          <w:lang w:val="en-GB"/>
        </w:rPr>
      </w:pPr>
    </w:p>
    <w:p w14:paraId="6864B66E" w14:textId="08830E45" w:rsidR="0021662A" w:rsidRPr="00B56453" w:rsidRDefault="0021662A" w:rsidP="0021662A">
      <w:pPr>
        <w:pStyle w:val="Normal1"/>
        <w:rPr>
          <w:lang w:val="en-GB"/>
        </w:rPr>
      </w:pPr>
      <w:r w:rsidRPr="00B56453">
        <w:rPr>
          <w:lang w:val="en-GB"/>
        </w:rPr>
        <w:t xml:space="preserve">Teachers described several contextual influences which impacted upon their practice and delivery of the intervention. The time constraints of the session and numbers of </w:t>
      </w:r>
      <w:r w:rsidRPr="00B56453">
        <w:rPr>
          <w:lang w:val="en-GB"/>
        </w:rPr>
        <w:lastRenderedPageBreak/>
        <w:t xml:space="preserve">students were a challenge for teachers, they expressed that they could not always provide an optimal feedback experience to each student because of these factors. This may have led to less feedback being given to each student as teachers described how they prioritised certain factors within the feedback to be efficient. Because the sessions were delivered in </w:t>
      </w:r>
      <w:r w:rsidR="00881450" w:rsidRPr="00B56453">
        <w:rPr>
          <w:lang w:val="en-GB"/>
        </w:rPr>
        <w:t xml:space="preserve">small </w:t>
      </w:r>
      <w:r w:rsidRPr="00B56453">
        <w:rPr>
          <w:lang w:val="en-GB"/>
        </w:rPr>
        <w:t>groups, teachers described how they occasionally perceived a group learning effect: observing students listened to the SRL MA questions and answers and may have copied their peers’ responses. This was mentioned by three teachers and does have implications for others who wish to implement SRL MA in different contexts.</w:t>
      </w:r>
    </w:p>
    <w:p w14:paraId="7AB7918B" w14:textId="77777777" w:rsidR="0021662A" w:rsidRPr="00B56453" w:rsidRDefault="0021662A" w:rsidP="0021662A">
      <w:pPr>
        <w:pStyle w:val="Normal1"/>
        <w:rPr>
          <w:lang w:val="en-GB"/>
        </w:rPr>
      </w:pPr>
    </w:p>
    <w:p w14:paraId="6F577DCD" w14:textId="196B50D4" w:rsidR="0021662A" w:rsidRPr="00B56453" w:rsidRDefault="00BF6160" w:rsidP="0021662A">
      <w:pPr>
        <w:pStyle w:val="Heading3"/>
      </w:pPr>
      <w:bookmarkStart w:id="454" w:name="_Toc500319435"/>
      <w:r w:rsidRPr="00B56453">
        <w:t>D1</w:t>
      </w:r>
      <w:r w:rsidR="006967C4" w:rsidRPr="00B56453">
        <w:t>.2.4 Feasibility and A</w:t>
      </w:r>
      <w:r w:rsidR="0021662A" w:rsidRPr="00B56453">
        <w:t>ccessibility</w:t>
      </w:r>
      <w:bookmarkEnd w:id="454"/>
    </w:p>
    <w:p w14:paraId="0A820881" w14:textId="77777777" w:rsidR="0021662A" w:rsidRPr="00B56453" w:rsidRDefault="0021662A" w:rsidP="0021662A">
      <w:pPr>
        <w:pStyle w:val="Normal1"/>
        <w:rPr>
          <w:lang w:val="en-GB"/>
        </w:rPr>
      </w:pPr>
    </w:p>
    <w:p w14:paraId="398CE70C" w14:textId="6620AB6B" w:rsidR="0021662A" w:rsidRPr="00B56453" w:rsidRDefault="0021662A" w:rsidP="0021662A">
      <w:pPr>
        <w:pStyle w:val="Normal1"/>
        <w:rPr>
          <w:lang w:val="en-GB"/>
        </w:rPr>
      </w:pPr>
      <w:r w:rsidRPr="00B56453">
        <w:rPr>
          <w:lang w:val="en-GB"/>
        </w:rPr>
        <w:t xml:space="preserve">Feasibility and accessibility were assessed as part of the interviews with teachers (Appendix 11). </w:t>
      </w:r>
      <w:hyperlink w:anchor="_ENREF_86" w:tooltip="Cleary, 2016 #605" w:history="1">
        <w:r w:rsidR="0094469E" w:rsidRPr="00B27F0B">
          <w:rPr>
            <w:lang w:val="en-GB"/>
          </w:rPr>
          <w:fldChar w:fldCharType="begin"/>
        </w:r>
        <w:r w:rsidR="0094469E" w:rsidRPr="00B56453">
          <w:rPr>
            <w:lang w:val="en-GB"/>
          </w:rPr>
          <w:instrText xml:space="preserve"> ADDIN EN.CITE &lt;EndNote&gt;&lt;Cite AuthorYear="1"&gt;&lt;Author&gt;Cleary&lt;/Author&gt;&lt;Year&gt;2016&lt;/Year&gt;&lt;RecNum&gt;605&lt;/RecNum&gt;&lt;Pages&gt;9&lt;/Pages&gt;&lt;DisplayText&gt;Cleary et al. (2016, p. 9)&lt;/DisplayText&gt;&lt;record&gt;&lt;rec-number&gt;605&lt;/rec-number&gt;&lt;foreign-keys&gt;&lt;key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0094469E" w:rsidRPr="00B27F0B">
          <w:rPr>
            <w:lang w:val="en-GB"/>
          </w:rPr>
          <w:fldChar w:fldCharType="separate"/>
        </w:r>
        <w:r w:rsidR="0094469E" w:rsidRPr="00B56453">
          <w:rPr>
            <w:noProof/>
            <w:lang w:val="en-GB"/>
          </w:rPr>
          <w:t>Cleary et al. (2016, p. 9)</w:t>
        </w:r>
        <w:r w:rsidR="0094469E" w:rsidRPr="00B27F0B">
          <w:rPr>
            <w:lang w:val="en-GB"/>
          </w:rPr>
          <w:fldChar w:fldCharType="end"/>
        </w:r>
      </w:hyperlink>
      <w:r w:rsidRPr="00B56453">
        <w:rPr>
          <w:lang w:val="en-GB"/>
        </w:rPr>
        <w:t>, who used SRL MA but not to provide SRLF, asked the following questions which are directly addressed in this research: “How well can medical educators use these data in real time to provide feedback? Does this type of process or actionable feedback actually lead to adaptive changes in trainees’ strategic behaviours?” The following paragraphs discuss the former question whereas the latter question is answered in the outcome evaluation.</w:t>
      </w:r>
    </w:p>
    <w:p w14:paraId="6D889B50" w14:textId="77777777" w:rsidR="0021662A" w:rsidRPr="00B56453" w:rsidRDefault="0021662A" w:rsidP="0021662A">
      <w:pPr>
        <w:pStyle w:val="Normal1"/>
        <w:rPr>
          <w:lang w:val="en-GB"/>
        </w:rPr>
      </w:pPr>
    </w:p>
    <w:p w14:paraId="2CBB31BE" w14:textId="2733BC84" w:rsidR="0021662A" w:rsidRPr="00B56453" w:rsidRDefault="0021662A" w:rsidP="0021662A">
      <w:pPr>
        <w:pStyle w:val="Normal1"/>
        <w:rPr>
          <w:lang w:val="en-GB"/>
        </w:rPr>
      </w:pPr>
      <w:r w:rsidRPr="00B56453">
        <w:rPr>
          <w:lang w:val="en-GB"/>
        </w:rPr>
        <w:t xml:space="preserve">Some educators found that their education and training background affected how they interacted with their allocated feedback model. One teacher with a health psychology background integrated SRL MA quickly, attributing this to their previous studies. This previous knowledge seemed to give them an advantage when using the model, in terms of how easy it was to implement. However, the typical response to the question of prior SRL knowledge was that many tutors had heard of fragments of the model, as opposed to the whole concept. For those with a mostly clinical background, their style of feedback was typically gleaned from colleagues and honed by experience or in-house training. Those who were novice teachers were heavily influenced by their feedback experiences at medical school, which then influenced how they gave feedback in their sessions. This is typically the case for novice teachers who are early in their teaching careers </w:t>
      </w:r>
      <w:r w:rsidRPr="009C2746">
        <w:rPr>
          <w:lang w:val="en-GB"/>
        </w:rPr>
        <w:fldChar w:fldCharType="begin"/>
      </w:r>
      <w:r w:rsidRPr="00B56453">
        <w:rPr>
          <w:lang w:val="en-GB"/>
        </w:rPr>
        <w:instrText xml:space="preserve"> ADDIN EN.CITE &lt;EndNote&gt;&lt;Cite&gt;&lt;Author&gt;Posner&lt;/Author&gt;&lt;Year&gt;2000&lt;/Year&gt;&lt;RecNum&gt;954&lt;/RecNum&gt;&lt;DisplayText&gt;(Posner 2000)&lt;/DisplayText&gt;&lt;record&gt;&lt;rec-number&gt;954&lt;/rec-number&gt;&lt;foreign-keys&gt;&lt;key app="EN" db-id="xa2r2ewea92trkef5dt5arvbzafvpv2za5ft" timestamp="1500906921"&gt;954&lt;/key&gt;&lt;/foreign-keys&gt;&lt;ref-type name="Book"&gt;6&lt;/ref-type&gt;&lt;contributors&gt;&lt;authors&gt;&lt;author&gt;Posner, George J.&lt;/author&gt;&lt;/authors&gt;&lt;/contributors&gt;&lt;titles&gt;&lt;title&gt;Field experience : a guide to reflective teaching&lt;/title&gt;&lt;/titles&gt;&lt;edition&gt;5th&lt;/edition&gt;&lt;dates&gt;&lt;year&gt;2000&lt;/year&gt;&lt;/dates&gt;&lt;pub-location&gt;New York&lt;/pub-location&gt;&lt;publisher&gt;Longman&lt;/publisher&gt;&lt;urls&gt;&lt;/urls&gt;&lt;/record&gt;&lt;/Cite&gt;&lt;/EndNote&gt;</w:instrText>
      </w:r>
      <w:r w:rsidRPr="00B27F0B">
        <w:rPr>
          <w:lang w:val="en-GB"/>
        </w:rPr>
        <w:fldChar w:fldCharType="separate"/>
      </w:r>
      <w:r w:rsidRPr="00B56453">
        <w:rPr>
          <w:noProof/>
          <w:lang w:val="en-GB"/>
        </w:rPr>
        <w:t>(</w:t>
      </w:r>
      <w:hyperlink w:anchor="_ENREF_332" w:tooltip="Posner, 2000 #954" w:history="1">
        <w:r w:rsidR="0094469E" w:rsidRPr="00B56453">
          <w:rPr>
            <w:noProof/>
            <w:lang w:val="en-GB"/>
          </w:rPr>
          <w:t>Posner 2000</w:t>
        </w:r>
      </w:hyperlink>
      <w:r w:rsidRPr="00B56453">
        <w:rPr>
          <w:noProof/>
          <w:lang w:val="en-GB"/>
        </w:rPr>
        <w:t>)</w:t>
      </w:r>
      <w:r w:rsidRPr="009C2746">
        <w:rPr>
          <w:lang w:val="en-GB"/>
        </w:rPr>
        <w:fldChar w:fldCharType="end"/>
      </w:r>
      <w:r w:rsidRPr="00B56453">
        <w:rPr>
          <w:lang w:val="en-GB"/>
        </w:rPr>
        <w:t>.</w:t>
      </w:r>
    </w:p>
    <w:p w14:paraId="24700C3C" w14:textId="77777777" w:rsidR="0021662A" w:rsidRPr="00B56453" w:rsidRDefault="0021662A" w:rsidP="0021662A">
      <w:pPr>
        <w:pStyle w:val="Normal1"/>
        <w:rPr>
          <w:lang w:val="en-GB"/>
        </w:rPr>
      </w:pPr>
    </w:p>
    <w:p w14:paraId="799214D6" w14:textId="77777777" w:rsidR="0021662A" w:rsidRPr="00B56453" w:rsidRDefault="0021662A" w:rsidP="0021662A">
      <w:pPr>
        <w:pStyle w:val="Normal1"/>
        <w:rPr>
          <w:lang w:val="en-GB"/>
        </w:rPr>
      </w:pPr>
      <w:r w:rsidRPr="00B56453">
        <w:rPr>
          <w:lang w:val="en-GB"/>
        </w:rPr>
        <w:t xml:space="preserve">Teachers in the SRLF group commented that they would not have usually included information on SRL in their feedback, but they believed it would be beneficial to include in their future practice - as many said they would. Teachers using SRL MA </w:t>
      </w:r>
      <w:r w:rsidRPr="00B56453">
        <w:rPr>
          <w:lang w:val="en-GB"/>
        </w:rPr>
        <w:lastRenderedPageBreak/>
        <w:t>found that the research element of the task and the “new way of doing things” was difficult to overcome at first. This seemed to limit some teachers’ ability to give the feedback the way they wanted to. For most, this challenge lessened over time as they began to internalise the method. Those in the BPF group commented on how their feedback changed based upon the level of student engagement in the learning process. One teacher described concentrating more on the students they perceived to be more engaged and provided extra feedback at the end of one session.</w:t>
      </w:r>
    </w:p>
    <w:p w14:paraId="74365B09" w14:textId="77777777" w:rsidR="0021662A" w:rsidRPr="00B56453" w:rsidRDefault="0021662A" w:rsidP="0021662A">
      <w:pPr>
        <w:pStyle w:val="Normal1"/>
        <w:rPr>
          <w:lang w:val="en-GB"/>
        </w:rPr>
      </w:pPr>
    </w:p>
    <w:p w14:paraId="644F6DDD" w14:textId="64F809CA" w:rsidR="0021662A" w:rsidRPr="00B56453" w:rsidRDefault="0021662A" w:rsidP="0021662A">
      <w:pPr>
        <w:pStyle w:val="Normal1"/>
        <w:rPr>
          <w:lang w:val="en-GB"/>
        </w:rPr>
      </w:pPr>
      <w:r w:rsidRPr="00B56453">
        <w:rPr>
          <w:lang w:val="en-GB"/>
        </w:rPr>
        <w:t xml:space="preserve">The effect of taking part in the study and giving feedback based on the training the teachers received had a variety of different impacts between and within both groups. Two BPF teachers adopted a questioning style similar to the SRL MA method, they encouraged students through their feedback to be more aware of their performance and monitoring skills. </w:t>
      </w:r>
      <w:r w:rsidR="00B56453" w:rsidRPr="00B56453">
        <w:rPr>
          <w:lang w:val="en-GB"/>
        </w:rPr>
        <w:t>In regard to</w:t>
      </w:r>
      <w:r w:rsidRPr="00B56453">
        <w:rPr>
          <w:lang w:val="en-GB"/>
        </w:rPr>
        <w:t xml:space="preserve"> the training component of the intervention, the BPF refresher session was viewed as being generally useful. Teachers described it as refreshing their minds on feedback giving but did not seem to add anything novel to their teaching. Most teachers believed that they were already using these principles in their everyday teaching but found it useful to help reinforce good practice. An exception to this view was one novice teacher who developed their own way of feeding back mistakes made in maintaining sterility during catheter teaching. The BPF training session appeared to have met its purpose of standardising every teacher’s knowledge and practice in core feedback principles. This was essential in levelling the playing field for all the teachers in terms of feedback giving, and it provided a base on which to add the SRL MA technique for those randomly allocated to the further SRL training.</w:t>
      </w:r>
    </w:p>
    <w:p w14:paraId="5636B264" w14:textId="77777777" w:rsidR="0021662A" w:rsidRPr="00B56453" w:rsidRDefault="0021662A" w:rsidP="0021662A">
      <w:pPr>
        <w:pStyle w:val="Normal1"/>
        <w:rPr>
          <w:lang w:val="en-GB"/>
        </w:rPr>
      </w:pPr>
    </w:p>
    <w:p w14:paraId="0B6690E1" w14:textId="5695315B" w:rsidR="0021662A" w:rsidRPr="00B56453" w:rsidRDefault="0021662A" w:rsidP="0021662A">
      <w:pPr>
        <w:pStyle w:val="Normal1"/>
        <w:rPr>
          <w:lang w:val="en-GB"/>
        </w:rPr>
      </w:pPr>
      <w:r w:rsidRPr="00B56453">
        <w:rPr>
          <w:lang w:val="en-GB"/>
        </w:rPr>
        <w:t xml:space="preserve">When asked, most teachers found the training phase useful in preparing them to deliver the </w:t>
      </w:r>
      <w:r w:rsidR="00240F75" w:rsidRPr="00B56453">
        <w:rPr>
          <w:lang w:val="en-GB"/>
        </w:rPr>
        <w:t xml:space="preserve">feedback models </w:t>
      </w:r>
      <w:r w:rsidRPr="00B56453">
        <w:rPr>
          <w:lang w:val="en-GB"/>
        </w:rPr>
        <w:t xml:space="preserve">later on in the taught sessions. All teachers found the use of the video examples to be an advantage simply to see the technique being used in a familiar setting. When suggesting improvements, all the SRLF teachers would have preferred a practical element in the training phase. This reflects the difficulty many of the SRLF teachers experienced when implementing the </w:t>
      </w:r>
      <w:r w:rsidR="00240F75" w:rsidRPr="00B56453">
        <w:rPr>
          <w:lang w:val="en-GB"/>
        </w:rPr>
        <w:t>feedback models</w:t>
      </w:r>
      <w:r w:rsidRPr="00B56453">
        <w:rPr>
          <w:lang w:val="en-GB"/>
        </w:rPr>
        <w:t>: an anxiety in directly questioning students as they were performing the skills. One teacher felt that some elements of the feedback giving on SRL processes were easier than others and that those more difficult aspects of SRL should be dealt with more closely during training, namely the attribution and awareness processes.</w:t>
      </w:r>
    </w:p>
    <w:p w14:paraId="78D0C673" w14:textId="77777777" w:rsidR="0021662A" w:rsidRPr="00B56453" w:rsidRDefault="0021662A" w:rsidP="0021662A">
      <w:pPr>
        <w:pStyle w:val="Normal1"/>
        <w:rPr>
          <w:lang w:val="en-GB"/>
        </w:rPr>
      </w:pPr>
    </w:p>
    <w:p w14:paraId="7C5A2B40" w14:textId="72DC0BB3" w:rsidR="0021662A" w:rsidRPr="00B56453" w:rsidRDefault="0021662A" w:rsidP="0021662A">
      <w:pPr>
        <w:pStyle w:val="Normal1"/>
        <w:rPr>
          <w:lang w:val="en-GB"/>
        </w:rPr>
      </w:pPr>
      <w:r w:rsidRPr="00B56453">
        <w:rPr>
          <w:lang w:val="en-GB"/>
        </w:rPr>
        <w:lastRenderedPageBreak/>
        <w:t xml:space="preserve">Many of the SRLF teachers </w:t>
      </w:r>
      <w:r w:rsidR="00881450" w:rsidRPr="00B56453">
        <w:rPr>
          <w:lang w:val="en-GB"/>
        </w:rPr>
        <w:t>expressed views</w:t>
      </w:r>
      <w:r w:rsidRPr="00B56453">
        <w:rPr>
          <w:lang w:val="en-GB"/>
        </w:rPr>
        <w:t xml:space="preserve"> of</w:t>
      </w:r>
      <w:r w:rsidR="00881450" w:rsidRPr="00B56453">
        <w:rPr>
          <w:lang w:val="en-GB"/>
        </w:rPr>
        <w:t xml:space="preserve"> uncertainty towards</w:t>
      </w:r>
      <w:r w:rsidRPr="00B56453">
        <w:rPr>
          <w:lang w:val="en-GB"/>
        </w:rPr>
        <w:t xml:space="preserve"> the technique at first but began to feel more comfortable as time went on. This </w:t>
      </w:r>
      <w:r w:rsidR="00881450" w:rsidRPr="00B56453">
        <w:rPr>
          <w:lang w:val="en-GB"/>
        </w:rPr>
        <w:t>could indicate a</w:t>
      </w:r>
      <w:r w:rsidRPr="00B56453">
        <w:rPr>
          <w:lang w:val="en-GB"/>
        </w:rPr>
        <w:t xml:space="preserve"> </w:t>
      </w:r>
      <w:r w:rsidR="00881450" w:rsidRPr="00B56453">
        <w:rPr>
          <w:lang w:val="en-GB"/>
        </w:rPr>
        <w:t>barrier</w:t>
      </w:r>
      <w:r w:rsidRPr="00B56453">
        <w:rPr>
          <w:lang w:val="en-GB"/>
        </w:rPr>
        <w:t xml:space="preserve"> in adding a new element </w:t>
      </w:r>
      <w:r w:rsidR="00881450" w:rsidRPr="00B56453">
        <w:rPr>
          <w:lang w:val="en-GB"/>
        </w:rPr>
        <w:t xml:space="preserve">of teaching and giving feedback </w:t>
      </w:r>
      <w:r w:rsidRPr="00B56453">
        <w:rPr>
          <w:lang w:val="en-GB"/>
        </w:rPr>
        <w:t xml:space="preserve">that may contradict </w:t>
      </w:r>
      <w:r w:rsidR="00881450" w:rsidRPr="00B56453">
        <w:rPr>
          <w:lang w:val="en-GB"/>
        </w:rPr>
        <w:t>teachers’ current established practices</w:t>
      </w:r>
      <w:r w:rsidRPr="00B56453">
        <w:rPr>
          <w:lang w:val="en-GB"/>
        </w:rPr>
        <w:t>. Some SRLF teachers were dubious as to whether the students were engaging with the feedback technique and whether it would make a tangible difference to their performance.  This view was held by some others, yet some SRLF teachers thought the opposite was true. Such varied comments suggest that there were differences of opinion as to whether the technique was effective in engaging students with SRLF. After their first session one teacher began to use more colloquial wording when questioning students and did not use the answer sheet until the end, opting instead to memorise the questions and answers.</w:t>
      </w:r>
    </w:p>
    <w:p w14:paraId="2A3A31A9" w14:textId="77777777" w:rsidR="0021662A" w:rsidRPr="00B56453" w:rsidRDefault="0021662A" w:rsidP="0021662A">
      <w:pPr>
        <w:pStyle w:val="Normal1"/>
        <w:rPr>
          <w:lang w:val="en-GB"/>
        </w:rPr>
      </w:pPr>
    </w:p>
    <w:p w14:paraId="158FDA2B" w14:textId="77777777" w:rsidR="0021662A" w:rsidRPr="00B56453" w:rsidRDefault="0021662A" w:rsidP="0021662A">
      <w:pPr>
        <w:pStyle w:val="Normal1"/>
        <w:rPr>
          <w:lang w:val="en-GB"/>
        </w:rPr>
      </w:pPr>
      <w:r w:rsidRPr="00B56453">
        <w:rPr>
          <w:lang w:val="en-GB"/>
        </w:rPr>
        <w:t xml:space="preserve">Modifications were adopted or suggested by teachers who felt restricted or limited by the wording of the questions and the use of a sheet to record responses. Some teachers felt that the wording of the questions could create an artificial environment for feedback, or a feeling of false-ness. This feeling was not exclusive to the SRLF teachers; a teacher also identified this feeling as a limitation in the BPF condition which also impacted on students’ engagement with the feedback. SRLF teachers were asked to quickly brief students before starting the session about the use of mark sheets for this study, and students were pre-warned of this via an online announcement. Despite this, some teachers felt that students were distracted by the sheet. On the other hand, some teachers found the sheet useful for structuring and recording their feedback. These views suggest that the use of a sheet to record responses is not appropriate in authentic clinical skills teaching as it seems to cause concern to both students and teachers. Although, mark sheets are used in clinical skills exams to record performance and feedback, so as the students have experienced this before it may not bother them as much. Additionally, it is clear that in the early stages of implementation the sheets were key in helping educators to internalise and adhere to SRL MA to give effective SRLF. </w:t>
      </w:r>
    </w:p>
    <w:p w14:paraId="4AB158D2" w14:textId="77777777" w:rsidR="0021662A" w:rsidRPr="00B56453" w:rsidRDefault="0021662A" w:rsidP="0021662A">
      <w:pPr>
        <w:pStyle w:val="Normal1"/>
        <w:rPr>
          <w:lang w:val="en-GB"/>
        </w:rPr>
      </w:pPr>
    </w:p>
    <w:p w14:paraId="10A948C8" w14:textId="15A2DEE5" w:rsidR="0021662A" w:rsidRPr="00B56453" w:rsidRDefault="0021662A" w:rsidP="0021662A">
      <w:pPr>
        <w:pStyle w:val="Normal1"/>
        <w:rPr>
          <w:lang w:val="en-GB"/>
        </w:rPr>
      </w:pPr>
      <w:r w:rsidRPr="00B56453">
        <w:rPr>
          <w:lang w:val="en-GB"/>
        </w:rPr>
        <w:t xml:space="preserve">In most cases, SRLF teachers made modifications in their delivery of the </w:t>
      </w:r>
      <w:r w:rsidR="00240F75" w:rsidRPr="00B56453">
        <w:rPr>
          <w:lang w:val="en-GB"/>
        </w:rPr>
        <w:t>feedback models</w:t>
      </w:r>
      <w:r w:rsidRPr="00B56453">
        <w:rPr>
          <w:lang w:val="en-GB"/>
        </w:rPr>
        <w:t xml:space="preserve"> over time. Some of these modifications were involuntary and consequently corrected (e.g. forgot to ask certain questions), or they were voluntary (e.g. purposefully omitted or changed the order of questions). The most popular modification to SRL MA was to use more colloquial wording and this seemed to elicit a good response from students. Some SRLF teachers accepted that they, and their colleagues, were applying </w:t>
      </w:r>
      <w:r w:rsidRPr="00B56453">
        <w:rPr>
          <w:lang w:val="en-GB"/>
        </w:rPr>
        <w:lastRenderedPageBreak/>
        <w:t>the method differently. They suggested a more unified approach would be beneficial for future faculty development interventions.</w:t>
      </w:r>
    </w:p>
    <w:p w14:paraId="4959E7FD" w14:textId="77777777" w:rsidR="0021662A" w:rsidRPr="00B56453" w:rsidRDefault="0021662A" w:rsidP="0021662A">
      <w:pPr>
        <w:pStyle w:val="Normal1"/>
        <w:rPr>
          <w:lang w:val="en-GB"/>
        </w:rPr>
      </w:pPr>
    </w:p>
    <w:p w14:paraId="1925ABC1" w14:textId="303C21CB" w:rsidR="0021662A" w:rsidRPr="00B56453" w:rsidRDefault="0021662A" w:rsidP="0021662A">
      <w:pPr>
        <w:pStyle w:val="Normal1"/>
        <w:rPr>
          <w:lang w:val="en-GB"/>
        </w:rPr>
      </w:pPr>
      <w:r w:rsidRPr="00B56453">
        <w:rPr>
          <w:lang w:val="en-GB"/>
        </w:rPr>
        <w:t xml:space="preserve">It had become apparent in the pilot phase that applying the SRLF model may add time to each teaching session due to the use of the mark sheet and structured questioning. When asked how the technique affected timings, teachers answered with mixed feelings with around half claiming SRL MA added some time to their sessions. Such views show that the effect of time was difficult to accurately quantify for the teachers, yet many claimed they were willing to make the extra effort to incorporate it in their teaching, despite time constraints. It is important to note that </w:t>
      </w:r>
      <w:r w:rsidR="00881450" w:rsidRPr="00B56453">
        <w:rPr>
          <w:lang w:val="en-GB"/>
        </w:rPr>
        <w:t>most</w:t>
      </w:r>
      <w:r w:rsidRPr="00B56453">
        <w:rPr>
          <w:lang w:val="en-GB"/>
        </w:rPr>
        <w:t xml:space="preserve"> teachers identified time as a barrier to providing good feedback in clinical skills teaching more generally.</w:t>
      </w:r>
    </w:p>
    <w:p w14:paraId="553AD298" w14:textId="77777777" w:rsidR="0021662A" w:rsidRPr="00B56453" w:rsidRDefault="0021662A" w:rsidP="0021662A">
      <w:pPr>
        <w:pStyle w:val="Normal1"/>
        <w:rPr>
          <w:lang w:val="en-GB"/>
        </w:rPr>
      </w:pPr>
    </w:p>
    <w:p w14:paraId="08194880" w14:textId="757795FF" w:rsidR="0021662A" w:rsidRPr="00B56453" w:rsidRDefault="0021662A" w:rsidP="0021662A">
      <w:pPr>
        <w:pStyle w:val="Normal1"/>
        <w:rPr>
          <w:lang w:val="en-GB"/>
        </w:rPr>
      </w:pPr>
      <w:r w:rsidRPr="00B56453">
        <w:rPr>
          <w:lang w:val="en-GB"/>
        </w:rPr>
        <w:t>Those in the BPF group found that the environment and setting were acceptable but not optimal for the best practice principles to be delivered. Some SRLF teachers voiced their opinions on whether the intervention was feasible in the clinical skills context or more specifically, the simulated environment which lacked authenticity. Others believed there were some practical barriers to its feasibility, particularly the time factor. Most SRLF teachers found the intervention less challenging and more accessible over time, which then allowed them to begin internalising the process. Although the technique was adopted quickly it could have benefited from a more in-depth training and familiarisati</w:t>
      </w:r>
      <w:r w:rsidR="00881450" w:rsidRPr="00B56453">
        <w:rPr>
          <w:lang w:val="en-GB"/>
        </w:rPr>
        <w:t>on stage before implementation.</w:t>
      </w:r>
      <w:r w:rsidRPr="00B56453">
        <w:rPr>
          <w:lang w:val="en-GB"/>
        </w:rPr>
        <w:br w:type="page"/>
      </w:r>
    </w:p>
    <w:p w14:paraId="66FD92AC" w14:textId="32FB3A55" w:rsidR="001E33ED" w:rsidRPr="007638B6" w:rsidRDefault="00D15382" w:rsidP="00B27F0B">
      <w:pPr>
        <w:pStyle w:val="Heading1"/>
      </w:pPr>
      <w:bookmarkStart w:id="455" w:name="_Toc490650206"/>
      <w:bookmarkStart w:id="456" w:name="_Toc500319436"/>
      <w:bookmarkStart w:id="457" w:name="_Toc500319568"/>
      <w:r w:rsidRPr="00B56453">
        <w:rPr>
          <w:b w:val="0"/>
        </w:rPr>
        <w:lastRenderedPageBreak/>
        <w:t>Chapter D</w:t>
      </w:r>
      <w:r w:rsidR="00BF6160" w:rsidRPr="00B56453">
        <w:rPr>
          <w:b w:val="0"/>
        </w:rPr>
        <w:t>2</w:t>
      </w:r>
      <w:r w:rsidRPr="00B56453">
        <w:rPr>
          <w:b w:val="0"/>
        </w:rPr>
        <w:t xml:space="preserve">: </w:t>
      </w:r>
      <w:r w:rsidR="00CC3E26" w:rsidRPr="00B56453">
        <w:rPr>
          <w:b w:val="0"/>
        </w:rPr>
        <w:t xml:space="preserve">Discussion of the </w:t>
      </w:r>
      <w:r w:rsidR="008405CF" w:rsidRPr="00B56453">
        <w:rPr>
          <w:b w:val="0"/>
        </w:rPr>
        <w:t>Intervention and Follow-Up Phases</w:t>
      </w:r>
      <w:bookmarkEnd w:id="434"/>
      <w:bookmarkEnd w:id="435"/>
      <w:bookmarkEnd w:id="436"/>
      <w:bookmarkEnd w:id="437"/>
      <w:bookmarkEnd w:id="438"/>
      <w:bookmarkEnd w:id="439"/>
      <w:bookmarkEnd w:id="440"/>
      <w:bookmarkEnd w:id="455"/>
      <w:bookmarkEnd w:id="456"/>
      <w:bookmarkEnd w:id="457"/>
      <w:r w:rsidR="008405CF" w:rsidRPr="00B56453">
        <w:rPr>
          <w:b w:val="0"/>
        </w:rPr>
        <w:t xml:space="preserve"> </w:t>
      </w:r>
    </w:p>
    <w:p w14:paraId="6DFFFCBA" w14:textId="77777777" w:rsidR="001E33ED" w:rsidRPr="00B56453" w:rsidRDefault="001E33ED" w:rsidP="001E33ED">
      <w:pPr>
        <w:pStyle w:val="Normal1"/>
        <w:rPr>
          <w:lang w:val="en-GB"/>
        </w:rPr>
      </w:pPr>
    </w:p>
    <w:p w14:paraId="36C2C7D8" w14:textId="13604D1E" w:rsidR="00D435EF" w:rsidRPr="00B27F0B" w:rsidRDefault="00D435EF" w:rsidP="00B263C4">
      <w:pPr>
        <w:pStyle w:val="Heading2"/>
        <w:rPr>
          <w:lang w:val="en-GB"/>
        </w:rPr>
      </w:pPr>
      <w:bookmarkStart w:id="458" w:name="_Toc500319437"/>
      <w:r w:rsidRPr="00B27F0B">
        <w:rPr>
          <w:lang w:val="en-GB"/>
        </w:rPr>
        <w:t>D</w:t>
      </w:r>
      <w:r w:rsidR="00BF6160" w:rsidRPr="00B27F0B">
        <w:rPr>
          <w:lang w:val="en-GB"/>
        </w:rPr>
        <w:t>2</w:t>
      </w:r>
      <w:r w:rsidRPr="00B27F0B">
        <w:rPr>
          <w:lang w:val="en-GB"/>
        </w:rPr>
        <w:t>.</w:t>
      </w:r>
      <w:r w:rsidR="001D4869" w:rsidRPr="00B27F0B">
        <w:rPr>
          <w:lang w:val="en-GB"/>
        </w:rPr>
        <w:t>1</w:t>
      </w:r>
      <w:r w:rsidRPr="00B27F0B">
        <w:rPr>
          <w:lang w:val="en-GB"/>
        </w:rPr>
        <w:t xml:space="preserve"> A New Model for Changing the Practices of </w:t>
      </w:r>
      <w:r w:rsidR="00BD42AF">
        <w:rPr>
          <w:lang w:val="en-GB"/>
        </w:rPr>
        <w:t>Medical teacher</w:t>
      </w:r>
      <w:r w:rsidRPr="00B27F0B">
        <w:rPr>
          <w:lang w:val="en-GB"/>
        </w:rPr>
        <w:t>s</w:t>
      </w:r>
      <w:bookmarkEnd w:id="458"/>
    </w:p>
    <w:p w14:paraId="697986C1" w14:textId="77777777" w:rsidR="00D435EF" w:rsidRPr="00B56453" w:rsidRDefault="00D435EF" w:rsidP="00D435EF"/>
    <w:p w14:paraId="7633796B" w14:textId="02128193" w:rsidR="00D435EF" w:rsidRPr="00B56453" w:rsidRDefault="00D435EF" w:rsidP="00026049">
      <w:pPr>
        <w:pStyle w:val="Normal1"/>
        <w:rPr>
          <w:lang w:val="en-GB"/>
        </w:rPr>
      </w:pPr>
      <w:r w:rsidRPr="00BD42AF">
        <w:rPr>
          <w:lang w:val="en-GB"/>
        </w:rPr>
        <w:t xml:space="preserve">This study represents the first effort to use SRL </w:t>
      </w:r>
      <w:r w:rsidR="007040AC" w:rsidRPr="00BD42AF">
        <w:rPr>
          <w:lang w:val="en-GB"/>
        </w:rPr>
        <w:t>MA</w:t>
      </w:r>
      <w:r w:rsidRPr="00BD42AF">
        <w:rPr>
          <w:lang w:val="en-GB"/>
        </w:rPr>
        <w:t xml:space="preserve"> for giving </w:t>
      </w:r>
      <w:r w:rsidR="006967C4" w:rsidRPr="00BD42AF">
        <w:rPr>
          <w:lang w:val="en-GB"/>
        </w:rPr>
        <w:t>SRLF</w:t>
      </w:r>
      <w:r w:rsidRPr="00BD42AF">
        <w:rPr>
          <w:lang w:val="en-GB"/>
        </w:rPr>
        <w:t xml:space="preserve"> to students</w:t>
      </w:r>
      <w:r w:rsidR="005E380F" w:rsidRPr="00BD42AF">
        <w:rPr>
          <w:lang w:val="en-GB"/>
        </w:rPr>
        <w:t xml:space="preserve"> in any context.</w:t>
      </w:r>
      <w:r w:rsidRPr="00BD42AF">
        <w:rPr>
          <w:lang w:val="en-GB"/>
        </w:rPr>
        <w:t xml:space="preserve"> </w:t>
      </w:r>
      <w:r w:rsidR="005E380F" w:rsidRPr="00BD42AF">
        <w:rPr>
          <w:lang w:val="en-GB"/>
        </w:rPr>
        <w:t>T</w:t>
      </w:r>
      <w:r w:rsidRPr="00BD42AF">
        <w:rPr>
          <w:lang w:val="en-GB"/>
        </w:rPr>
        <w:t xml:space="preserve">he technique was found to be feasible and </w:t>
      </w:r>
      <w:r w:rsidR="00B56BB0" w:rsidRPr="00BD42AF">
        <w:rPr>
          <w:lang w:val="en-GB"/>
        </w:rPr>
        <w:t>all</w:t>
      </w:r>
      <w:r w:rsidR="005E380F" w:rsidRPr="00BD42AF">
        <w:rPr>
          <w:lang w:val="en-GB"/>
        </w:rPr>
        <w:t xml:space="preserve"> teachers using it</w:t>
      </w:r>
      <w:r w:rsidRPr="001046E5">
        <w:rPr>
          <w:lang w:val="en-GB"/>
        </w:rPr>
        <w:t xml:space="preserve"> commented that they had taken key aspects of the technique into their future practice - a key finding </w:t>
      </w:r>
      <w:r w:rsidR="00726C4A" w:rsidRPr="00C71126">
        <w:rPr>
          <w:lang w:val="en-GB"/>
        </w:rPr>
        <w:t>for</w:t>
      </w:r>
      <w:r w:rsidRPr="00C71126">
        <w:rPr>
          <w:lang w:val="en-GB"/>
        </w:rPr>
        <w:t xml:space="preserve"> the SRL literature </w:t>
      </w:r>
      <w:r w:rsidR="00EF281A" w:rsidRPr="00FD5859">
        <w:rPr>
          <w:lang w:val="en-GB"/>
        </w:rPr>
        <w:fldChar w:fldCharType="begin"/>
      </w:r>
      <w:r w:rsidR="008B61BE" w:rsidRPr="00B56453">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B27F0B">
        <w:rPr>
          <w:lang w:val="en-GB"/>
        </w:rPr>
        <w:fldChar w:fldCharType="separate"/>
      </w:r>
      <w:r w:rsidR="004E5A78" w:rsidRPr="00FD5859">
        <w:rPr>
          <w:noProof/>
          <w:lang w:val="en-GB"/>
        </w:rPr>
        <w:t>(</w:t>
      </w:r>
      <w:hyperlink w:anchor="_ENREF_83" w:tooltip="Cleary, 2012 #35" w:history="1">
        <w:r w:rsidR="0094469E" w:rsidRPr="00B56453">
          <w:rPr>
            <w:noProof/>
            <w:lang w:val="en-GB"/>
          </w:rPr>
          <w:t>Cleary et al. 2012</w:t>
        </w:r>
      </w:hyperlink>
      <w:r w:rsidR="004E5A78" w:rsidRPr="00FD5859">
        <w:rPr>
          <w:noProof/>
          <w:lang w:val="en-GB"/>
        </w:rPr>
        <w:t>)</w:t>
      </w:r>
      <w:r w:rsidR="00EF281A" w:rsidRPr="00FD5859">
        <w:rPr>
          <w:lang w:val="en-GB"/>
        </w:rPr>
        <w:fldChar w:fldCharType="end"/>
      </w:r>
      <w:r w:rsidRPr="00FD5859">
        <w:rPr>
          <w:lang w:val="en-GB"/>
        </w:rPr>
        <w:t xml:space="preserve">. Many teachers slightly altered the wording of the </w:t>
      </w:r>
      <w:r w:rsidR="007040AC" w:rsidRPr="00B56453">
        <w:rPr>
          <w:lang w:val="en-GB"/>
        </w:rPr>
        <w:t>MA</w:t>
      </w:r>
      <w:r w:rsidRPr="00B56453">
        <w:rPr>
          <w:lang w:val="en-GB"/>
        </w:rPr>
        <w:t xml:space="preserve"> </w:t>
      </w:r>
      <w:r w:rsidR="005E380F" w:rsidRPr="00B56453">
        <w:rPr>
          <w:lang w:val="en-GB"/>
        </w:rPr>
        <w:t>items</w:t>
      </w:r>
      <w:r w:rsidRPr="00B56453">
        <w:rPr>
          <w:lang w:val="en-GB"/>
        </w:rPr>
        <w:t xml:space="preserve"> to be more colloquial in their interactions with students and </w:t>
      </w:r>
      <w:r w:rsidR="00726C4A" w:rsidRPr="00B56453">
        <w:rPr>
          <w:lang w:val="en-GB"/>
        </w:rPr>
        <w:t>relied less on the</w:t>
      </w:r>
      <w:r w:rsidRPr="00B56453">
        <w:rPr>
          <w:lang w:val="en-GB"/>
        </w:rPr>
        <w:t xml:space="preserve"> </w:t>
      </w:r>
      <w:r w:rsidR="00726C4A" w:rsidRPr="00B56453">
        <w:rPr>
          <w:lang w:val="en-GB"/>
        </w:rPr>
        <w:t>checklists</w:t>
      </w:r>
      <w:r w:rsidRPr="00B56453">
        <w:rPr>
          <w:lang w:val="en-GB"/>
        </w:rPr>
        <w:t xml:space="preserve"> as the study went on. This is an important consideration for those designing faculty interventions, a</w:t>
      </w:r>
      <w:r w:rsidR="00726C4A" w:rsidRPr="00B56453">
        <w:rPr>
          <w:lang w:val="en-GB"/>
        </w:rPr>
        <w:t>n initial</w:t>
      </w:r>
      <w:r w:rsidRPr="00B56453">
        <w:rPr>
          <w:lang w:val="en-GB"/>
        </w:rPr>
        <w:t xml:space="preserve"> period </w:t>
      </w:r>
      <w:r w:rsidR="00726C4A" w:rsidRPr="00B56453">
        <w:rPr>
          <w:lang w:val="en-GB"/>
        </w:rPr>
        <w:t>must be accounted for to allow</w:t>
      </w:r>
      <w:r w:rsidRPr="00B56453">
        <w:rPr>
          <w:lang w:val="en-GB"/>
        </w:rPr>
        <w:t xml:space="preserve"> teachers to become more familiar with the technique before </w:t>
      </w:r>
      <w:r w:rsidR="00726C4A" w:rsidRPr="00B56453">
        <w:rPr>
          <w:lang w:val="en-GB"/>
        </w:rPr>
        <w:t>mastering it</w:t>
      </w:r>
      <w:r w:rsidRPr="00B56453">
        <w:rPr>
          <w:lang w:val="en-GB"/>
        </w:rPr>
        <w:t xml:space="preserve">. Video recordings were important not only to observe the </w:t>
      </w:r>
      <w:r w:rsidR="009F1882" w:rsidRPr="00B56453">
        <w:rPr>
          <w:lang w:val="en-GB"/>
        </w:rPr>
        <w:t>teacher</w:t>
      </w:r>
      <w:r w:rsidRPr="00B56453">
        <w:rPr>
          <w:lang w:val="en-GB"/>
        </w:rPr>
        <w:t xml:space="preserve">s’ adherence to the feedback models, but also to cross reference their self-reported interview accounts to their actual performance </w:t>
      </w:r>
      <w:r w:rsidR="00EF281A" w:rsidRPr="009C2746">
        <w:rPr>
          <w:lang w:val="en-GB"/>
        </w:rPr>
        <w:fldChar w:fldCharType="begin"/>
      </w:r>
      <w:r w:rsidR="008B61BE" w:rsidRPr="00B56453">
        <w:rPr>
          <w:lang w:val="en-GB"/>
        </w:rPr>
        <w:instrText xml:space="preserve"> ADDIN EN.CITE &lt;EndNote&gt;&lt;Cite&gt;&lt;Author&gt;Leslie&lt;/Author&gt;&lt;Year&gt;2013&lt;/Year&gt;&lt;RecNum&gt;718&lt;/RecNum&gt;&lt;DisplayText&gt;(Leslie et al. 2013)&lt;/DisplayText&gt;&lt;record&gt;&lt;rec-number&gt;718&lt;/rec-number&gt;&lt;foreign-keys&gt;&lt;key app="EN" db-id="xa2r2ewea92trkef5dt5arvbzafvpv2za5ft" timestamp="1496417570"&gt;718&lt;/key&gt;&lt;/foreign-keys&gt;&lt;ref-type name="Journal Article"&gt;17&lt;/ref-type&gt;&lt;contributors&gt;&lt;authors&gt;&lt;author&gt;Leslie, Karen&lt;/author&gt;&lt;author&gt;Baker, Lindsay&lt;/author&gt;&lt;author&gt;Egan-Lee, Eileen&lt;/author&gt;&lt;author&gt;Esdaile, Martina&lt;/author&gt;&lt;author&gt;Reeves, Scott&lt;/author&gt;&lt;/authors&gt;&lt;/contributors&gt;&lt;titles&gt;&lt;title&gt;Advancing faculty development in medical education: a systematic review&lt;/title&gt;&lt;secondary-title&gt;Academic medicine&lt;/secondary-title&gt;&lt;/titles&gt;&lt;periodical&gt;&lt;full-title&gt;Academic Medicine&lt;/full-title&gt;&lt;/periodical&gt;&lt;pages&gt;1038-1045&lt;/pages&gt;&lt;volume&gt;88&lt;/volume&gt;&lt;number&gt;7&lt;/number&gt;&lt;dates&gt;&lt;year&gt;2013&lt;/year&gt;&lt;/dates&gt;&lt;isbn&gt;1040-2446&lt;/isbn&gt;&lt;urls&gt;&lt;/urls&gt;&lt;/record&gt;&lt;/Cite&gt;&lt;/EndNote&gt;</w:instrText>
      </w:r>
      <w:r w:rsidR="00EF281A" w:rsidRPr="00B27F0B">
        <w:rPr>
          <w:lang w:val="en-GB"/>
        </w:rPr>
        <w:fldChar w:fldCharType="separate"/>
      </w:r>
      <w:r w:rsidR="004E5A78" w:rsidRPr="00B56453">
        <w:rPr>
          <w:noProof/>
          <w:lang w:val="en-GB"/>
        </w:rPr>
        <w:t>(</w:t>
      </w:r>
      <w:hyperlink w:anchor="_ENREF_240" w:tooltip="Leslie, 2013 #718" w:history="1">
        <w:r w:rsidR="0094469E" w:rsidRPr="00B56453">
          <w:rPr>
            <w:noProof/>
            <w:lang w:val="en-GB"/>
          </w:rPr>
          <w:t>Leslie et al. 2013</w:t>
        </w:r>
      </w:hyperlink>
      <w:r w:rsidR="004E5A78" w:rsidRPr="00B56453">
        <w:rPr>
          <w:noProof/>
          <w:lang w:val="en-GB"/>
        </w:rPr>
        <w:t>)</w:t>
      </w:r>
      <w:r w:rsidR="00EF281A" w:rsidRPr="009C2746">
        <w:rPr>
          <w:lang w:val="en-GB"/>
        </w:rPr>
        <w:fldChar w:fldCharType="end"/>
      </w:r>
      <w:r w:rsidRPr="00B56453">
        <w:rPr>
          <w:lang w:val="en-GB"/>
        </w:rPr>
        <w:t>.</w:t>
      </w:r>
    </w:p>
    <w:p w14:paraId="2FC5FFDF" w14:textId="77777777" w:rsidR="00D435EF" w:rsidRPr="00B56453" w:rsidRDefault="00D435EF" w:rsidP="00026049">
      <w:pPr>
        <w:pStyle w:val="Normal1"/>
        <w:rPr>
          <w:lang w:val="en-GB"/>
        </w:rPr>
      </w:pPr>
    </w:p>
    <w:p w14:paraId="0A8869F1" w14:textId="68D03BDE" w:rsidR="006D4726" w:rsidRPr="00B56453" w:rsidRDefault="00D435EF" w:rsidP="00026049">
      <w:pPr>
        <w:pStyle w:val="Normal1"/>
        <w:rPr>
          <w:lang w:val="en-GB"/>
        </w:rPr>
      </w:pPr>
      <w:r w:rsidRPr="00B56453">
        <w:rPr>
          <w:lang w:val="en-GB"/>
        </w:rPr>
        <w:t xml:space="preserve">Teachers described how their </w:t>
      </w:r>
      <w:r w:rsidR="008E7D00" w:rsidRPr="00B56453">
        <w:rPr>
          <w:lang w:val="en-GB"/>
        </w:rPr>
        <w:t>conceptualisation</w:t>
      </w:r>
      <w:r w:rsidRPr="00B56453">
        <w:rPr>
          <w:lang w:val="en-GB"/>
        </w:rPr>
        <w:t>s of teaching and feedback informed their practice, these consisted of memorable experiences from their education and working careers. This theme has been identified before in educati</w:t>
      </w:r>
      <w:r w:rsidR="009D30A3" w:rsidRPr="00B56453">
        <w:rPr>
          <w:lang w:val="en-GB"/>
        </w:rPr>
        <w:t>onal research as an influence</w:t>
      </w:r>
      <w:r w:rsidRPr="00B56453">
        <w:rPr>
          <w:lang w:val="en-GB"/>
        </w:rPr>
        <w:t xml:space="preserve"> on teaching practice and subsequent student learning </w:t>
      </w:r>
      <w:r w:rsidRPr="009C2746">
        <w:rPr>
          <w:lang w:val="en-GB"/>
        </w:rPr>
        <w:fldChar w:fldCharType="begin"/>
      </w:r>
      <w:r w:rsidR="008B61BE" w:rsidRPr="00B56453">
        <w:rPr>
          <w:lang w:val="en-GB"/>
        </w:rPr>
        <w:instrText xml:space="preserve"> ADDIN EN.CITE &lt;EndNote&gt;&lt;Cite&gt;&lt;Author&gt;Trigwell&lt;/Author&gt;&lt;Year&gt;1996&lt;/Year&gt;&lt;RecNum&gt;722&lt;/RecNum&gt;&lt;DisplayText&gt;(Trigwell and Prosser 1996; Ross 2017)&lt;/DisplayText&gt;&lt;record&gt;&lt;rec-number&gt;722&lt;/rec-number&gt;&lt;foreign-keys&gt;&lt;key app="EN" db-id="xa2r2ewea92trkef5dt5arvbzafvpv2za5ft" timestamp="1496417570"&gt;722&lt;/key&gt;&lt;/foreign-keys&gt;&lt;ref-type name="Journal Article"&gt;17&lt;/ref-type&gt;&lt;contributors&gt;&lt;authors&gt;&lt;author&gt;Trigwell, Keith&lt;/author&gt;&lt;author&gt;Prosser, Michael&lt;/author&gt;&lt;/authors&gt;&lt;/contributors&gt;&lt;titles&gt;&lt;title&gt;Changing approaches to teaching: A relational perspective&lt;/title&gt;&lt;secondary-title&gt;Studies in Higher Education&lt;/secondary-title&gt;&lt;/titles&gt;&lt;periodical&gt;&lt;full-title&gt;Studies in Higher Education&lt;/full-title&gt;&lt;/periodical&gt;&lt;pages&gt;275-284&lt;/pages&gt;&lt;volume&gt;21&lt;/volume&gt;&lt;number&gt;3&lt;/number&gt;&lt;dates&gt;&lt;year&gt;1996&lt;/year&gt;&lt;/dates&gt;&lt;isbn&gt;0307-5079&lt;/isbn&gt;&lt;urls&gt;&lt;/urls&gt;&lt;/record&gt;&lt;/Cite&gt;&lt;Cite&gt;&lt;Author&gt;Ross&lt;/Author&gt;&lt;Year&gt;2017&lt;/Year&gt;&lt;RecNum&gt;717&lt;/RecNum&gt;&lt;record&gt;&lt;rec-number&gt;717&lt;/rec-number&gt;&lt;foreign-keys&gt;&lt;key app="EN" db-id="xa2r2ewea92trkef5dt5arvbzafvpv2za5ft" timestamp="1496417570"&gt;717&lt;/key&gt;&lt;/foreign-keys&gt;&lt;ref-type name="Journal Article"&gt;17&lt;/ref-type&gt;&lt;contributors&gt;&lt;authors&gt;&lt;author&gt;Ross, Michael&lt;/author&gt;&lt;/authors&gt;&lt;/contributors&gt;&lt;titles&gt;&lt;title&gt;Conceptions of teaching: an illustrated review&lt;/title&gt;&lt;secondary-title&gt;The clinical teacher&lt;/secondary-title&gt;&lt;/titles&gt;&lt;periodical&gt;&lt;full-title&gt;The clinical teacher&lt;/full-title&gt;&lt;/periodical&gt;&lt;pages&gt;8-14&lt;/pages&gt;&lt;volume&gt;14&lt;/volume&gt;&lt;number&gt;1&lt;/number&gt;&lt;dates&gt;&lt;year&gt;2017&lt;/year&gt;&lt;/dates&gt;&lt;isbn&gt;1743-498X&lt;/isbn&gt;&lt;urls&gt;&lt;/urls&gt;&lt;/record&gt;&lt;/Cite&gt;&lt;/EndNote&gt;</w:instrText>
      </w:r>
      <w:r w:rsidRPr="00B27F0B">
        <w:rPr>
          <w:lang w:val="en-GB"/>
        </w:rPr>
        <w:fldChar w:fldCharType="separate"/>
      </w:r>
      <w:r w:rsidR="004E5A78" w:rsidRPr="00B56453">
        <w:rPr>
          <w:noProof/>
          <w:lang w:val="en-GB"/>
        </w:rPr>
        <w:t>(</w:t>
      </w:r>
      <w:hyperlink w:anchor="_ENREF_407" w:tooltip="Trigwell, 1996 #722" w:history="1">
        <w:r w:rsidR="0094469E" w:rsidRPr="00B56453">
          <w:rPr>
            <w:noProof/>
            <w:lang w:val="en-GB"/>
          </w:rPr>
          <w:t>Trigwell and Prosser 1996</w:t>
        </w:r>
      </w:hyperlink>
      <w:r w:rsidR="004E5A78" w:rsidRPr="00B56453">
        <w:rPr>
          <w:noProof/>
          <w:lang w:val="en-GB"/>
        </w:rPr>
        <w:t xml:space="preserve">; </w:t>
      </w:r>
      <w:hyperlink w:anchor="_ENREF_350" w:tooltip="Ross, 2017 #717" w:history="1">
        <w:r w:rsidR="0094469E" w:rsidRPr="00B56453">
          <w:rPr>
            <w:noProof/>
            <w:lang w:val="en-GB"/>
          </w:rPr>
          <w:t>Ross 2017</w:t>
        </w:r>
      </w:hyperlink>
      <w:r w:rsidR="004E5A78" w:rsidRPr="00B56453">
        <w:rPr>
          <w:noProof/>
          <w:lang w:val="en-GB"/>
        </w:rPr>
        <w:t>)</w:t>
      </w:r>
      <w:r w:rsidRPr="009C2746">
        <w:rPr>
          <w:lang w:val="en-GB"/>
        </w:rPr>
        <w:fldChar w:fldCharType="end"/>
      </w:r>
      <w:r w:rsidRPr="00B56453">
        <w:rPr>
          <w:lang w:val="en-GB"/>
        </w:rPr>
        <w:t xml:space="preserve">. Teachers had </w:t>
      </w:r>
      <w:r w:rsidR="00490C48" w:rsidRPr="00B56453">
        <w:rPr>
          <w:lang w:val="en-GB"/>
        </w:rPr>
        <w:t>diverse</w:t>
      </w:r>
      <w:r w:rsidRPr="00B56453">
        <w:rPr>
          <w:lang w:val="en-GB"/>
        </w:rPr>
        <w:t xml:space="preserve"> </w:t>
      </w:r>
      <w:r w:rsidR="00531CDB" w:rsidRPr="00B56453">
        <w:rPr>
          <w:lang w:val="en-GB"/>
        </w:rPr>
        <w:t xml:space="preserve">prior teaching </w:t>
      </w:r>
      <w:r w:rsidRPr="00B56453">
        <w:rPr>
          <w:lang w:val="en-GB"/>
        </w:rPr>
        <w:t xml:space="preserve">experiences which influenced their practice, suggesting </w:t>
      </w:r>
      <w:r w:rsidR="00531CDB" w:rsidRPr="00B56453">
        <w:rPr>
          <w:lang w:val="en-GB"/>
        </w:rPr>
        <w:t xml:space="preserve">that </w:t>
      </w:r>
      <w:r w:rsidRPr="00B56453">
        <w:rPr>
          <w:lang w:val="en-GB"/>
        </w:rPr>
        <w:t xml:space="preserve">there were multiple </w:t>
      </w:r>
      <w:r w:rsidR="008E7D00" w:rsidRPr="00B56453">
        <w:rPr>
          <w:lang w:val="en-GB"/>
        </w:rPr>
        <w:t>conceptualisation</w:t>
      </w:r>
      <w:r w:rsidRPr="00B56453">
        <w:rPr>
          <w:lang w:val="en-GB"/>
        </w:rPr>
        <w:t xml:space="preserve">s informing their practice </w:t>
      </w:r>
      <w:r w:rsidR="00EF281A" w:rsidRPr="009C2746">
        <w:rPr>
          <w:lang w:val="en-GB"/>
        </w:rPr>
        <w:fldChar w:fldCharType="begin"/>
      </w:r>
      <w:r w:rsidR="008B61BE" w:rsidRPr="00B56453">
        <w:rPr>
          <w:lang w:val="en-GB"/>
        </w:rPr>
        <w:instrText xml:space="preserve"> ADDIN EN.CITE &lt;EndNote&gt;&lt;Cite&gt;&lt;Author&gt;Ross&lt;/Author&gt;&lt;Year&gt;2017&lt;/Year&gt;&lt;RecNum&gt;717&lt;/RecNum&gt;&lt;DisplayText&gt;(Ross 2017)&lt;/DisplayText&gt;&lt;record&gt;&lt;rec-number&gt;717&lt;/rec-number&gt;&lt;foreign-keys&gt;&lt;key app="EN" db-id="xa2r2ewea92trkef5dt5arvbzafvpv2za5ft" timestamp="1496417570"&gt;717&lt;/key&gt;&lt;/foreign-keys&gt;&lt;ref-type name="Journal Article"&gt;17&lt;/ref-type&gt;&lt;contributors&gt;&lt;authors&gt;&lt;author&gt;Ross, Michael&lt;/author&gt;&lt;/authors&gt;&lt;/contributors&gt;&lt;titles&gt;&lt;title&gt;Conceptions of teaching: an illustrated review&lt;/title&gt;&lt;secondary-title&gt;The clinical teacher&lt;/secondary-title&gt;&lt;/titles&gt;&lt;periodical&gt;&lt;full-title&gt;The clinical teacher&lt;/full-title&gt;&lt;/periodical&gt;&lt;pages&gt;8-14&lt;/pages&gt;&lt;volume&gt;14&lt;/volume&gt;&lt;number&gt;1&lt;/number&gt;&lt;dates&gt;&lt;year&gt;2017&lt;/year&gt;&lt;/dates&gt;&lt;isbn&gt;1743-498X&lt;/isbn&gt;&lt;urls&gt;&lt;/urls&gt;&lt;/record&gt;&lt;/Cite&gt;&lt;/EndNote&gt;</w:instrText>
      </w:r>
      <w:r w:rsidR="00EF281A" w:rsidRPr="00B27F0B">
        <w:rPr>
          <w:lang w:val="en-GB"/>
        </w:rPr>
        <w:fldChar w:fldCharType="separate"/>
      </w:r>
      <w:r w:rsidR="004E5A78" w:rsidRPr="00B56453">
        <w:rPr>
          <w:noProof/>
          <w:lang w:val="en-GB"/>
        </w:rPr>
        <w:t>(</w:t>
      </w:r>
      <w:hyperlink w:anchor="_ENREF_350" w:tooltip="Ross, 2017 #717" w:history="1">
        <w:r w:rsidR="0094469E" w:rsidRPr="00B56453">
          <w:rPr>
            <w:noProof/>
            <w:lang w:val="en-GB"/>
          </w:rPr>
          <w:t>Ross 2017</w:t>
        </w:r>
      </w:hyperlink>
      <w:r w:rsidR="004E5A78" w:rsidRPr="00B56453">
        <w:rPr>
          <w:noProof/>
          <w:lang w:val="en-GB"/>
        </w:rPr>
        <w:t>)</w:t>
      </w:r>
      <w:r w:rsidR="00EF281A" w:rsidRPr="009C2746">
        <w:rPr>
          <w:lang w:val="en-GB"/>
        </w:rPr>
        <w:fldChar w:fldCharType="end"/>
      </w:r>
      <w:r w:rsidRPr="00B56453">
        <w:rPr>
          <w:lang w:val="en-GB"/>
        </w:rPr>
        <w:t xml:space="preserve">. These </w:t>
      </w:r>
      <w:r w:rsidR="008E7D00" w:rsidRPr="00B56453">
        <w:rPr>
          <w:lang w:val="en-GB"/>
        </w:rPr>
        <w:t>conceptualisation</w:t>
      </w:r>
      <w:r w:rsidRPr="00B56453">
        <w:rPr>
          <w:lang w:val="en-GB"/>
        </w:rPr>
        <w:t xml:space="preserve">s and subsequent actions could be characterised as </w:t>
      </w:r>
      <w:r w:rsidR="00374A63" w:rsidRPr="00B56453">
        <w:rPr>
          <w:lang w:val="en-GB"/>
        </w:rPr>
        <w:t>‘</w:t>
      </w:r>
      <w:r w:rsidRPr="00B56453">
        <w:rPr>
          <w:lang w:val="en-GB"/>
        </w:rPr>
        <w:t>espoused theory</w:t>
      </w:r>
      <w:r w:rsidR="00374A63" w:rsidRPr="00B56453">
        <w:rPr>
          <w:lang w:val="en-GB"/>
        </w:rPr>
        <w:t>’</w:t>
      </w:r>
      <w:r w:rsidRPr="00B56453">
        <w:rPr>
          <w:lang w:val="en-GB"/>
        </w:rPr>
        <w:t xml:space="preserve"> and </w:t>
      </w:r>
      <w:r w:rsidR="00374A63" w:rsidRPr="00B56453">
        <w:rPr>
          <w:lang w:val="en-GB"/>
        </w:rPr>
        <w:t>‘</w:t>
      </w:r>
      <w:r w:rsidRPr="00B56453">
        <w:rPr>
          <w:lang w:val="en-GB"/>
        </w:rPr>
        <w:t>theory in use</w:t>
      </w:r>
      <w:r w:rsidR="00374A63" w:rsidRPr="00B56453">
        <w:rPr>
          <w:lang w:val="en-GB"/>
        </w:rPr>
        <w:t>’</w:t>
      </w:r>
      <w:r w:rsidRPr="00B56453">
        <w:rPr>
          <w:lang w:val="en-GB"/>
        </w:rPr>
        <w:t xml:space="preserve">, shifting depending on the teaching context </w:t>
      </w:r>
      <w:r w:rsidRPr="009C2746">
        <w:rPr>
          <w:lang w:val="en-GB"/>
        </w:rPr>
        <w:fldChar w:fldCharType="begin"/>
      </w:r>
      <w:r w:rsidR="008B61BE" w:rsidRPr="00B56453">
        <w:rPr>
          <w:lang w:val="en-GB"/>
        </w:rPr>
        <w:instrText xml:space="preserve"> ADDIN EN.CITE &lt;EndNote&gt;&lt;Cite&gt;&lt;Author&gt;Argyris&lt;/Author&gt;&lt;Year&gt;1974&lt;/Year&gt;&lt;RecNum&gt;834&lt;/RecNum&gt;&lt;DisplayText&gt;(Argyris and Schon 1974; Squires 2002)&lt;/DisplayText&gt;&lt;record&gt;&lt;rec-number&gt;834&lt;/rec-number&gt;&lt;foreign-keys&gt;&lt;key app="EN" db-id="xa2r2ewea92trkef5dt5arvbzafvpv2za5ft" timestamp="1496417598"&gt;834&lt;/key&gt;&lt;/foreign-keys&gt;&lt;ref-type name="Book"&gt;6&lt;/ref-type&gt;&lt;contributors&gt;&lt;authors&gt;&lt;author&gt;Argyris, Chris&lt;/author&gt;&lt;author&gt;Schon, Donald A&lt;/author&gt;&lt;/authors&gt;&lt;/contributors&gt;&lt;titles&gt;&lt;title&gt;Theory in practice: Increasing professional effectiveness&lt;/title&gt;&lt;/titles&gt;&lt;dates&gt;&lt;year&gt;1974&lt;/year&gt;&lt;/dates&gt;&lt;publisher&gt;Jossey-Bass&lt;/publisher&gt;&lt;isbn&gt;0875892302&lt;/isbn&gt;&lt;urls&gt;&lt;/urls&gt;&lt;/record&gt;&lt;/Cite&gt;&lt;Cite&gt;&lt;Author&gt;Squires&lt;/Author&gt;&lt;Year&gt;2002&lt;/Year&gt;&lt;RecNum&gt;835&lt;/RecNum&gt;&lt;record&gt;&lt;rec-number&gt;835&lt;/rec-number&gt;&lt;foreign-keys&gt;&lt;key app="EN" db-id="xa2r2ewea92trkef5dt5arvbzafvpv2za5ft" timestamp="1496417598"&gt;835&lt;/key&gt;&lt;/foreign-keys&gt;&lt;ref-type name="Book"&gt;6&lt;/ref-type&gt;&lt;contributors&gt;&lt;authors&gt;&lt;author&gt;Squires, Geoffrey&lt;/author&gt;&lt;/authors&gt;&lt;/contributors&gt;&lt;titles&gt;&lt;title&gt;Teaching as a Professional Discipline: A Multi-dimensional Model&lt;/title&gt;&lt;/titles&gt;&lt;dates&gt;&lt;year&gt;2002&lt;/year&gt;&lt;/dates&gt;&lt;publisher&gt;Routledge&lt;/publisher&gt;&lt;isbn&gt;1135701563&lt;/isbn&gt;&lt;urls&gt;&lt;/urls&gt;&lt;/record&gt;&lt;/Cite&gt;&lt;/EndNote&gt;</w:instrText>
      </w:r>
      <w:r w:rsidRPr="00B27F0B">
        <w:rPr>
          <w:lang w:val="en-GB"/>
        </w:rPr>
        <w:fldChar w:fldCharType="separate"/>
      </w:r>
      <w:r w:rsidR="004E5A78" w:rsidRPr="00B56453">
        <w:rPr>
          <w:noProof/>
          <w:lang w:val="en-GB"/>
        </w:rPr>
        <w:t>(</w:t>
      </w:r>
      <w:hyperlink w:anchor="_ENREF_6" w:tooltip="Argyris, 1974 #834" w:history="1">
        <w:r w:rsidR="0094469E" w:rsidRPr="00B56453">
          <w:rPr>
            <w:noProof/>
            <w:lang w:val="en-GB"/>
          </w:rPr>
          <w:t>Argyris and Schon 1974</w:t>
        </w:r>
      </w:hyperlink>
      <w:r w:rsidR="004E5A78" w:rsidRPr="00B56453">
        <w:rPr>
          <w:noProof/>
          <w:lang w:val="en-GB"/>
        </w:rPr>
        <w:t xml:space="preserve">; </w:t>
      </w:r>
      <w:hyperlink w:anchor="_ENREF_393" w:tooltip="Squires, 2002 #835" w:history="1">
        <w:r w:rsidR="0094469E" w:rsidRPr="00B56453">
          <w:rPr>
            <w:noProof/>
            <w:lang w:val="en-GB"/>
          </w:rPr>
          <w:t>Squires 2002</w:t>
        </w:r>
      </w:hyperlink>
      <w:r w:rsidR="004E5A78" w:rsidRPr="00B56453">
        <w:rPr>
          <w:noProof/>
          <w:lang w:val="en-GB"/>
        </w:rPr>
        <w:t>)</w:t>
      </w:r>
      <w:r w:rsidRPr="009C2746">
        <w:rPr>
          <w:lang w:val="en-GB"/>
        </w:rPr>
        <w:fldChar w:fldCharType="end"/>
      </w:r>
      <w:r w:rsidRPr="00B56453">
        <w:rPr>
          <w:lang w:val="en-GB"/>
        </w:rPr>
        <w:t>.</w:t>
      </w:r>
      <w:r w:rsidR="00374A63" w:rsidRPr="00B56453">
        <w:rPr>
          <w:lang w:val="en-GB"/>
        </w:rPr>
        <w:t xml:space="preserve"> </w:t>
      </w:r>
      <w:r w:rsidR="006D4726" w:rsidRPr="00B56453">
        <w:rPr>
          <w:lang w:val="en-GB"/>
        </w:rPr>
        <w:t xml:space="preserve">Some teachers articulated how they had recognised some of the SRL concepts during the training, either from their educational experiences or by linking </w:t>
      </w:r>
      <w:r w:rsidR="00FC0FFB" w:rsidRPr="00B56453">
        <w:rPr>
          <w:lang w:val="en-GB"/>
        </w:rPr>
        <w:t>characteristics</w:t>
      </w:r>
      <w:r w:rsidR="006D4726" w:rsidRPr="00B56453">
        <w:rPr>
          <w:lang w:val="en-GB"/>
        </w:rPr>
        <w:t xml:space="preserve"> in their usual practice to the new concepts. </w:t>
      </w:r>
      <w:hyperlink w:anchor="_ENREF_5" w:tooltip="Argyris, 1980 #944" w:history="1">
        <w:r w:rsidR="0094469E" w:rsidRPr="00B27F0B">
          <w:rPr>
            <w:lang w:val="en-GB"/>
          </w:rPr>
          <w:fldChar w:fldCharType="begin"/>
        </w:r>
        <w:r w:rsidR="0094469E" w:rsidRPr="00B56453">
          <w:rPr>
            <w:lang w:val="en-GB"/>
          </w:rPr>
          <w:instrText xml:space="preserve"> ADDIN EN.CITE &lt;EndNote&gt;&lt;Cite AuthorYear="1"&gt;&lt;Author&gt;Argyris&lt;/Author&gt;&lt;Year&gt;1980&lt;/Year&gt;&lt;RecNum&gt;944&lt;/RecNum&gt;&lt;DisplayText&gt;Argyris (1980)&lt;/DisplayText&gt;&lt;record&gt;&lt;rec-number&gt;944&lt;/rec-number&gt;&lt;foreign-keys&gt;&lt;key app="EN" db-id="xa2r2ewea92trkef5dt5arvbzafvpv2za5ft" timestamp="1500631556"&gt;944&lt;/key&gt;&lt;/foreign-keys&gt;&lt;ref-type name="Book"&gt;6&lt;/ref-type&gt;&lt;contributors&gt;&lt;authors&gt;&lt;author&gt;Argyris, Chris&lt;/author&gt;&lt;/authors&gt;&lt;/contributors&gt;&lt;titles&gt;&lt;title&gt;Inner contradictions of rigorous research&lt;/title&gt;&lt;/titles&gt;&lt;dates&gt;&lt;year&gt;1980&lt;/year&gt;&lt;/dates&gt;&lt;pub-location&gt;New York&lt;/pub-location&gt;&lt;publisher&gt;Academic Press&lt;/publisher&gt;&lt;isbn&gt;0120601508&lt;/isbn&gt;&lt;urls&gt;&lt;/urls&gt;&lt;/record&gt;&lt;/Cite&gt;&lt;/EndNote&gt;</w:instrText>
        </w:r>
        <w:r w:rsidR="0094469E" w:rsidRPr="00B27F0B">
          <w:rPr>
            <w:lang w:val="en-GB"/>
          </w:rPr>
          <w:fldChar w:fldCharType="separate"/>
        </w:r>
        <w:r w:rsidR="0094469E" w:rsidRPr="00B56453">
          <w:rPr>
            <w:noProof/>
            <w:lang w:val="en-GB"/>
          </w:rPr>
          <w:t>Argyris (1980)</w:t>
        </w:r>
        <w:r w:rsidR="0094469E" w:rsidRPr="00B27F0B">
          <w:rPr>
            <w:lang w:val="en-GB"/>
          </w:rPr>
          <w:fldChar w:fldCharType="end"/>
        </w:r>
      </w:hyperlink>
      <w:r w:rsidR="00374A63" w:rsidRPr="00FD5859">
        <w:rPr>
          <w:lang w:val="en-GB"/>
        </w:rPr>
        <w:t xml:space="preserve"> suggested that this was a common </w:t>
      </w:r>
      <w:r w:rsidR="00FC0FFB" w:rsidRPr="00B56453">
        <w:rPr>
          <w:lang w:val="en-GB"/>
        </w:rPr>
        <w:t>occurrence</w:t>
      </w:r>
      <w:r w:rsidR="00374A63" w:rsidRPr="00B56453">
        <w:rPr>
          <w:lang w:val="en-GB"/>
        </w:rPr>
        <w:t xml:space="preserve"> in all practitioners and went further to postulate that the theories of action that individuals actually use are not the ones they espouse to use. </w:t>
      </w:r>
    </w:p>
    <w:p w14:paraId="4AA6DE0A" w14:textId="77777777" w:rsidR="00D435EF" w:rsidRPr="00B56453" w:rsidRDefault="00D435EF" w:rsidP="00026049">
      <w:pPr>
        <w:pStyle w:val="Normal1"/>
        <w:rPr>
          <w:lang w:val="en-GB"/>
        </w:rPr>
      </w:pPr>
    </w:p>
    <w:p w14:paraId="0A4D6693" w14:textId="13E3FAF3" w:rsidR="00E2396F" w:rsidRPr="00B56453" w:rsidRDefault="005173AA" w:rsidP="007A665C">
      <w:pPr>
        <w:pStyle w:val="Normal1"/>
        <w:rPr>
          <w:lang w:val="en-GB"/>
        </w:rPr>
      </w:pPr>
      <w:r w:rsidRPr="00B56453">
        <w:rPr>
          <w:lang w:val="en-GB"/>
        </w:rPr>
        <w:t xml:space="preserve">Understanding teachers’ beliefs and theories on their practice has been identified as important by </w:t>
      </w:r>
      <w:hyperlink w:anchor="_ENREF_404" w:tooltip="Timperley, 2008 #952" w:history="1">
        <w:r w:rsidR="0094469E" w:rsidRPr="00B27F0B">
          <w:rPr>
            <w:lang w:val="en-GB"/>
          </w:rPr>
          <w:fldChar w:fldCharType="begin"/>
        </w:r>
        <w:r w:rsidR="0094469E" w:rsidRPr="00B56453">
          <w:rPr>
            <w:lang w:val="en-GB"/>
          </w:rPr>
          <w:instrText xml:space="preserve"> ADDIN EN.CITE &lt;EndNote&gt;&lt;Cite AuthorYear="1"&gt;&lt;Author&gt;Timperley&lt;/Author&gt;&lt;Year&gt;2008&lt;/Year&gt;&lt;RecNum&gt;952&lt;/RecNum&gt;&lt;Pages&gt;196&lt;/Pages&gt;&lt;DisplayText&gt;Timperley et al. (2008, p. 196)&lt;/DisplayText&gt;&lt;record&gt;&lt;rec-number&gt;952&lt;/rec-number&gt;&lt;foreign-keys&gt;&lt;key app="EN" db-id="xa2r2ewea92trkef5dt5arvbzafvpv2za5ft" timestamp="1500904395"&gt;952&lt;/key&gt;&lt;/foreign-keys&gt;&lt;ref-type name="Journal Article"&gt;17&lt;/ref-type&gt;&lt;contributors&gt;&lt;authors&gt;&lt;author&gt;Timperley, Helen&lt;/author&gt;&lt;author&gt;Wilson, Aaron&lt;/author&gt;&lt;author&gt;Barrar, Heather&lt;/author&gt;&lt;author&gt;Fung, Irene&lt;/author&gt;&lt;/authors&gt;&lt;/contributors&gt;&lt;titles&gt;&lt;title&gt;Teacher professional learning and development&lt;/title&gt;&lt;/titles&gt;&lt;dates&gt;&lt;year&gt;2008&lt;/year&gt;&lt;/dates&gt;&lt;urls&gt;&lt;/urls&gt;&lt;/record&gt;&lt;/Cite&gt;&lt;/EndNote&gt;</w:instrText>
        </w:r>
        <w:r w:rsidR="0094469E" w:rsidRPr="00B27F0B">
          <w:rPr>
            <w:lang w:val="en-GB"/>
          </w:rPr>
          <w:fldChar w:fldCharType="separate"/>
        </w:r>
        <w:r w:rsidR="0094469E" w:rsidRPr="00B56453">
          <w:rPr>
            <w:noProof/>
            <w:lang w:val="en-GB"/>
          </w:rPr>
          <w:t>Timperley et al. (2008, p. 196)</w:t>
        </w:r>
        <w:r w:rsidR="0094469E" w:rsidRPr="00B27F0B">
          <w:rPr>
            <w:lang w:val="en-GB"/>
          </w:rPr>
          <w:fldChar w:fldCharType="end"/>
        </w:r>
      </w:hyperlink>
      <w:r w:rsidRPr="00FD5859">
        <w:rPr>
          <w:lang w:val="en-GB"/>
        </w:rPr>
        <w:t xml:space="preserve"> who found that effective faculty development interventions included efforts to engage with faculty members’ values and </w:t>
      </w:r>
      <w:r w:rsidRPr="00FD5859">
        <w:rPr>
          <w:lang w:val="en-GB"/>
        </w:rPr>
        <w:lastRenderedPageBreak/>
        <w:t xml:space="preserve">beliefs. Teachers’ </w:t>
      </w:r>
      <w:r w:rsidR="008E7D00" w:rsidRPr="00B56453">
        <w:rPr>
          <w:lang w:val="en-GB"/>
        </w:rPr>
        <w:t>conceptualisation</w:t>
      </w:r>
      <w:r w:rsidRPr="00B56453">
        <w:rPr>
          <w:lang w:val="en-GB"/>
        </w:rPr>
        <w:t xml:space="preserve">s of their </w:t>
      </w:r>
      <w:r w:rsidR="004C0885" w:rsidRPr="00B56453">
        <w:rPr>
          <w:lang w:val="en-GB"/>
        </w:rPr>
        <w:t xml:space="preserve">own </w:t>
      </w:r>
      <w:r w:rsidRPr="00B56453">
        <w:rPr>
          <w:lang w:val="en-GB"/>
        </w:rPr>
        <w:t xml:space="preserve">practice have </w:t>
      </w:r>
      <w:r w:rsidR="004C0885" w:rsidRPr="00B56453">
        <w:rPr>
          <w:lang w:val="en-GB"/>
        </w:rPr>
        <w:t xml:space="preserve">previously been linked to their actual approaches to teaching and that efforts to engage teachers in adopting conceptual change are crucial for positive practice change </w:t>
      </w:r>
      <w:r w:rsidR="004C0885" w:rsidRPr="00FD5859">
        <w:rPr>
          <w:lang w:val="en-GB"/>
        </w:rPr>
        <w:fldChar w:fldCharType="begin"/>
      </w:r>
      <w:r w:rsidR="008B61BE" w:rsidRPr="00B56453">
        <w:rPr>
          <w:lang w:val="en-GB"/>
        </w:rPr>
        <w:instrText xml:space="preserve"> ADDIN EN.CITE &lt;EndNote&gt;&lt;Cite&gt;&lt;Author&gt;Trigwell&lt;/Author&gt;&lt;Year&gt;1999&lt;/Year&gt;&lt;RecNum&gt;953&lt;/RecNum&gt;&lt;DisplayText&gt;(Trigwell et al. 1999)&lt;/DisplayText&gt;&lt;record&gt;&lt;rec-number&gt;953&lt;/rec-number&gt;&lt;foreign-keys&gt;&lt;key app="EN" db-id="xa2r2ewea92trkef5dt5arvbzafvpv2za5ft" timestamp="1500905684"&gt;953&lt;/key&gt;&lt;/foreign-keys&gt;&lt;ref-type name="Journal Article"&gt;17&lt;/ref-type&gt;&lt;contributors&gt;&lt;authors&gt;&lt;author&gt;Trigwell, Keith&lt;/author&gt;&lt;author&gt;Prosser, Michael&lt;/author&gt;&lt;author&gt;Waterhouse, Fiona&lt;/author&gt;&lt;/authors&gt;&lt;/contributors&gt;&lt;titles&gt;&lt;title&gt;Relations between teachers&amp;apos; approaches to teaching and students&amp;apos; approaches to learning&lt;/title&gt;&lt;secondary-title&gt;Higher education&lt;/secondary-title&gt;&lt;/titles&gt;&lt;periodical&gt;&lt;full-title&gt;Higher Education&lt;/full-title&gt;&lt;/periodical&gt;&lt;pages&gt;57-70&lt;/pages&gt;&lt;volume&gt;37&lt;/volume&gt;&lt;number&gt;1&lt;/number&gt;&lt;dates&gt;&lt;year&gt;1999&lt;/year&gt;&lt;/dates&gt;&lt;isbn&gt;0018-1560&lt;/isbn&gt;&lt;urls&gt;&lt;/urls&gt;&lt;/record&gt;&lt;/Cite&gt;&lt;/EndNote&gt;</w:instrText>
      </w:r>
      <w:r w:rsidR="004C0885" w:rsidRPr="00B27F0B">
        <w:rPr>
          <w:lang w:val="en-GB"/>
        </w:rPr>
        <w:fldChar w:fldCharType="separate"/>
      </w:r>
      <w:r w:rsidR="004C0885" w:rsidRPr="00FD5859">
        <w:rPr>
          <w:noProof/>
          <w:lang w:val="en-GB"/>
        </w:rPr>
        <w:t>(</w:t>
      </w:r>
      <w:hyperlink w:anchor="_ENREF_408" w:tooltip="Trigwell, 1999 #953" w:history="1">
        <w:r w:rsidR="0094469E" w:rsidRPr="00B56453">
          <w:rPr>
            <w:noProof/>
            <w:lang w:val="en-GB"/>
          </w:rPr>
          <w:t>Trigwell et al. 1999</w:t>
        </w:r>
      </w:hyperlink>
      <w:r w:rsidR="004C0885" w:rsidRPr="00FD5859">
        <w:rPr>
          <w:noProof/>
          <w:lang w:val="en-GB"/>
        </w:rPr>
        <w:t>)</w:t>
      </w:r>
      <w:r w:rsidR="004C0885" w:rsidRPr="00FD5859">
        <w:rPr>
          <w:lang w:val="en-GB"/>
        </w:rPr>
        <w:fldChar w:fldCharType="end"/>
      </w:r>
      <w:r w:rsidR="004C0885" w:rsidRPr="00FD5859">
        <w:rPr>
          <w:lang w:val="en-GB"/>
        </w:rPr>
        <w:t>.</w:t>
      </w:r>
      <w:r w:rsidR="00E2396F" w:rsidRPr="00FD5859">
        <w:rPr>
          <w:lang w:val="en-GB"/>
        </w:rPr>
        <w:t xml:space="preserve"> </w:t>
      </w:r>
      <w:hyperlink w:anchor="_ENREF_332" w:tooltip="Posner, 2000 #954" w:history="1">
        <w:r w:rsidR="0094469E" w:rsidRPr="00B27F0B">
          <w:rPr>
            <w:lang w:val="en-GB"/>
          </w:rPr>
          <w:fldChar w:fldCharType="begin"/>
        </w:r>
        <w:r w:rsidR="0094469E" w:rsidRPr="00B56453">
          <w:rPr>
            <w:lang w:val="en-GB"/>
          </w:rPr>
          <w:instrText xml:space="preserve"> ADDIN EN.CITE &lt;EndNote&gt;&lt;Cite AuthorYear="1"&gt;&lt;Author&gt;Posner&lt;/Author&gt;&lt;Year&gt;2000&lt;/Year&gt;&lt;RecNum&gt;954&lt;/RecNum&gt;&lt;DisplayText&gt;Posner (2000)&lt;/DisplayText&gt;&lt;record&gt;&lt;rec-number&gt;954&lt;/rec-number&gt;&lt;foreign-keys&gt;&lt;key app="EN" db-id="xa2r2ewea92trkef5dt5arvbzafvpv2za5ft" timestamp="1500906921"&gt;954&lt;/key&gt;&lt;/foreign-keys&gt;&lt;ref-type name="Book"&gt;6&lt;/ref-type&gt;&lt;contributors&gt;&lt;authors&gt;&lt;author&gt;Posner, George J.&lt;/author&gt;&lt;/authors&gt;&lt;/contributors&gt;&lt;titles&gt;&lt;title&gt;Field experience : a guide to reflective teaching&lt;/title&gt;&lt;/titles&gt;&lt;edition&gt;5th&lt;/edition&gt;&lt;dates&gt;&lt;year&gt;2000&lt;/year&gt;&lt;/dates&gt;&lt;pub-location&gt;New York&lt;/pub-location&gt;&lt;publisher&gt;Longman&lt;/publisher&gt;&lt;urls&gt;&lt;/urls&gt;&lt;/record&gt;&lt;/Cite&gt;&lt;/EndNote&gt;</w:instrText>
        </w:r>
        <w:r w:rsidR="0094469E" w:rsidRPr="00B27F0B">
          <w:rPr>
            <w:lang w:val="en-GB"/>
          </w:rPr>
          <w:fldChar w:fldCharType="separate"/>
        </w:r>
        <w:r w:rsidR="0094469E" w:rsidRPr="00B56453">
          <w:rPr>
            <w:noProof/>
            <w:lang w:val="en-GB"/>
          </w:rPr>
          <w:t>Posner (2000)</w:t>
        </w:r>
        <w:r w:rsidR="0094469E" w:rsidRPr="00B27F0B">
          <w:rPr>
            <w:lang w:val="en-GB"/>
          </w:rPr>
          <w:fldChar w:fldCharType="end"/>
        </w:r>
      </w:hyperlink>
      <w:r w:rsidR="006476A1" w:rsidRPr="00FD5859">
        <w:rPr>
          <w:lang w:val="en-GB"/>
        </w:rPr>
        <w:t xml:space="preserve"> suggested that these </w:t>
      </w:r>
      <w:r w:rsidR="008E7D00" w:rsidRPr="00B56453">
        <w:rPr>
          <w:lang w:val="en-GB"/>
        </w:rPr>
        <w:t>conceptualisation</w:t>
      </w:r>
      <w:r w:rsidR="006476A1" w:rsidRPr="00B56453">
        <w:rPr>
          <w:lang w:val="en-GB"/>
        </w:rPr>
        <w:t>s change depending on the experience level of the teache</w:t>
      </w:r>
      <w:r w:rsidR="007A665C" w:rsidRPr="00B56453">
        <w:rPr>
          <w:lang w:val="en-GB"/>
        </w:rPr>
        <w:t>r; younger teachers tend to use</w:t>
      </w:r>
      <w:r w:rsidR="006476A1" w:rsidRPr="00B56453">
        <w:rPr>
          <w:lang w:val="en-GB"/>
        </w:rPr>
        <w:t xml:space="preserve"> their own education</w:t>
      </w:r>
      <w:r w:rsidR="007A665C" w:rsidRPr="00B56453">
        <w:rPr>
          <w:lang w:val="en-GB"/>
        </w:rPr>
        <w:t>al</w:t>
      </w:r>
      <w:r w:rsidR="006476A1" w:rsidRPr="00B56453">
        <w:rPr>
          <w:lang w:val="en-GB"/>
        </w:rPr>
        <w:t xml:space="preserve"> experiences</w:t>
      </w:r>
      <w:r w:rsidR="007A665C" w:rsidRPr="00B56453">
        <w:rPr>
          <w:lang w:val="en-GB"/>
        </w:rPr>
        <w:t xml:space="preserve"> to inform their pedagogy, which is pervasive even with teacher training. Younger teachers in this study were more likely to mention their experiences as medical students than their experienced colleagues. In fact, only one experienced teacher mentioned their educational background in regard to how it helped them understand the methodology behind SRLF.</w:t>
      </w:r>
    </w:p>
    <w:p w14:paraId="14437971" w14:textId="77777777" w:rsidR="006B2BEC" w:rsidRPr="00B56453" w:rsidRDefault="006B2BEC" w:rsidP="00026049">
      <w:pPr>
        <w:pStyle w:val="Normal1"/>
        <w:rPr>
          <w:lang w:val="en-GB"/>
        </w:rPr>
      </w:pPr>
    </w:p>
    <w:p w14:paraId="7EA0F8BA" w14:textId="2C986CCF" w:rsidR="00D435EF" w:rsidRPr="00B56453" w:rsidRDefault="00D435EF" w:rsidP="00026049">
      <w:pPr>
        <w:pStyle w:val="Normal1"/>
        <w:rPr>
          <w:lang w:val="en-GB"/>
        </w:rPr>
      </w:pPr>
      <w:r w:rsidRPr="00B56453">
        <w:rPr>
          <w:lang w:val="en-GB"/>
        </w:rPr>
        <w:t>Teachers described a myriad of factors influencing their feedback encounters</w:t>
      </w:r>
      <w:r w:rsidR="00490C48" w:rsidRPr="00B56453">
        <w:rPr>
          <w:lang w:val="en-GB"/>
        </w:rPr>
        <w:t xml:space="preserve">, </w:t>
      </w:r>
      <w:r w:rsidR="000E3899" w:rsidRPr="00B56453">
        <w:rPr>
          <w:lang w:val="en-GB"/>
        </w:rPr>
        <w:t xml:space="preserve">many of them </w:t>
      </w:r>
      <w:r w:rsidR="00490C48" w:rsidRPr="00B56453">
        <w:rPr>
          <w:lang w:val="en-GB"/>
        </w:rPr>
        <w:t xml:space="preserve">consistent with the </w:t>
      </w:r>
      <w:r w:rsidRPr="00B56453">
        <w:rPr>
          <w:lang w:val="en-GB"/>
        </w:rPr>
        <w:t xml:space="preserve">body of literature in medical education which identifies some of these factors </w:t>
      </w:r>
      <w:r w:rsidR="00EF281A" w:rsidRPr="009C2746">
        <w:rPr>
          <w:lang w:val="en-GB"/>
        </w:rPr>
        <w:fldChar w:fldCharType="begin"/>
      </w:r>
      <w:r w:rsidR="008443D6" w:rsidRPr="00B56453">
        <w:rPr>
          <w:lang w:val="en-GB"/>
        </w:rPr>
        <w:instrText xml:space="preserve"> ADDIN EN.CITE &lt;EndNote&gt;&lt;Cite&gt;&lt;Author&gt;Ridder&lt;/Author&gt;&lt;Year&gt;2015&lt;/Year&gt;&lt;RecNum&gt;211&lt;/RecNum&gt;&lt;DisplayText&gt;(Van de Ridder et al. 2015)&lt;/DisplayText&gt;&lt;record&gt;&lt;rec-number&gt;211&lt;/rec-number&gt;&lt;foreign-keys&gt;&lt;key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sidRPr="00B56453">
        <w:rPr>
          <w:rFonts w:ascii="Cambria Math" w:hAnsi="Cambria Math" w:cs="Cambria Math"/>
          <w:lang w:val="en-GB"/>
        </w:rPr>
        <w:instrText>‐</w:instrText>
      </w:r>
      <w:r w:rsidR="008443D6" w:rsidRPr="00B56453">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00EF281A" w:rsidRPr="00B27F0B">
        <w:rPr>
          <w:lang w:val="en-GB"/>
        </w:rPr>
        <w:fldChar w:fldCharType="separate"/>
      </w:r>
      <w:r w:rsidR="00782498" w:rsidRPr="00B56453">
        <w:rPr>
          <w:noProof/>
          <w:lang w:val="en-GB"/>
        </w:rPr>
        <w:t>(</w:t>
      </w:r>
      <w:hyperlink w:anchor="_ENREF_416" w:tooltip="Van de Ridder, 2015 #211" w:history="1">
        <w:r w:rsidR="0094469E" w:rsidRPr="00B56453">
          <w:rPr>
            <w:noProof/>
            <w:lang w:val="en-GB"/>
          </w:rPr>
          <w:t>Van de Ridder et al. 2015</w:t>
        </w:r>
      </w:hyperlink>
      <w:r w:rsidR="00782498" w:rsidRPr="00B56453">
        <w:rPr>
          <w:noProof/>
          <w:lang w:val="en-GB"/>
        </w:rPr>
        <w:t>)</w:t>
      </w:r>
      <w:r w:rsidR="00EF281A" w:rsidRPr="009C2746">
        <w:rPr>
          <w:lang w:val="en-GB"/>
        </w:rPr>
        <w:fldChar w:fldCharType="end"/>
      </w:r>
      <w:r w:rsidRPr="00B56453">
        <w:rPr>
          <w:lang w:val="en-GB"/>
        </w:rPr>
        <w:t xml:space="preserve">. </w:t>
      </w:r>
      <w:r w:rsidR="000E3899" w:rsidRPr="00B56453">
        <w:rPr>
          <w:lang w:val="en-GB"/>
        </w:rPr>
        <w:t>T</w:t>
      </w:r>
      <w:r w:rsidRPr="00B56453">
        <w:rPr>
          <w:lang w:val="en-GB"/>
        </w:rPr>
        <w:t xml:space="preserve">eachers in this study cited their perception of </w:t>
      </w:r>
      <w:r w:rsidR="009D30A3" w:rsidRPr="00B56453">
        <w:rPr>
          <w:lang w:val="en-GB"/>
        </w:rPr>
        <w:t>a</w:t>
      </w:r>
      <w:r w:rsidRPr="00B56453">
        <w:rPr>
          <w:lang w:val="en-GB"/>
        </w:rPr>
        <w:t xml:space="preserve"> student’s reaction to feedback and the</w:t>
      </w:r>
      <w:r w:rsidR="009D30A3" w:rsidRPr="00B56453">
        <w:rPr>
          <w:lang w:val="en-GB"/>
        </w:rPr>
        <w:t>ir student</w:t>
      </w:r>
      <w:r w:rsidRPr="00B56453">
        <w:rPr>
          <w:lang w:val="en-GB"/>
        </w:rPr>
        <w:t xml:space="preserve"> learning needs relative to their competency </w:t>
      </w:r>
      <w:r w:rsidR="00EF281A" w:rsidRPr="009C2746">
        <w:rPr>
          <w:lang w:val="en-GB"/>
        </w:rPr>
        <w:fldChar w:fldCharType="begin"/>
      </w:r>
      <w:r w:rsidR="008B61BE" w:rsidRPr="00B56453">
        <w:rPr>
          <w:lang w:val="en-GB"/>
        </w:rPr>
        <w:instrText xml:space="preserve"> ADDIN EN.CITE &lt;EndNote&gt;&lt;Cite&gt;&lt;Author&gt;Huang&lt;/Author&gt;&lt;Year&gt;2009&lt;/Year&gt;&lt;RecNum&gt;836&lt;/RecNum&gt;&lt;DisplayText&gt;(Huang 2009)&lt;/DisplayText&gt;&lt;record&gt;&lt;rec-number&gt;836&lt;/rec-number&gt;&lt;foreign-keys&gt;&lt;key app="EN" db-id="xa2r2ewea92trkef5dt5arvbzafvpv2za5ft" timestamp="1496417598"&gt;836&lt;/key&gt;&lt;/foreign-keys&gt;&lt;ref-type name="Journal Article"&gt;17&lt;/ref-type&gt;&lt;contributors&gt;&lt;authors&gt;&lt;author&gt;Huang, Chiungjung&lt;/author&gt;&lt;/authors&gt;&lt;/contributors&gt;&lt;titles&gt;&lt;title&gt;Magnitude of task-sampling variability in performance assessment: A meta-analysis&lt;/title&gt;&lt;secondary-title&gt;Educational and Psychological Measurement&lt;/secondary-title&gt;&lt;/titles&gt;&lt;periodical&gt;&lt;full-title&gt;Educational and psychological measurement&lt;/full-title&gt;&lt;/periodical&gt;&lt;pages&gt;887-912&lt;/pages&gt;&lt;volume&gt;69&lt;/volume&gt;&lt;number&gt;6&lt;/number&gt;&lt;dates&gt;&lt;year&gt;2009&lt;/year&gt;&lt;/dates&gt;&lt;isbn&gt;0013-1644&lt;/isbn&gt;&lt;urls&gt;&lt;/urls&gt;&lt;/record&gt;&lt;/Cite&gt;&lt;/EndNote&gt;</w:instrText>
      </w:r>
      <w:r w:rsidR="00EF281A" w:rsidRPr="00B27F0B">
        <w:rPr>
          <w:lang w:val="en-GB"/>
        </w:rPr>
        <w:fldChar w:fldCharType="separate"/>
      </w:r>
      <w:r w:rsidR="004E5A78" w:rsidRPr="00B56453">
        <w:rPr>
          <w:noProof/>
          <w:lang w:val="en-GB"/>
        </w:rPr>
        <w:t>(</w:t>
      </w:r>
      <w:hyperlink w:anchor="_ENREF_195" w:tooltip="Huang, 2009 #836" w:history="1">
        <w:r w:rsidR="0094469E" w:rsidRPr="00B56453">
          <w:rPr>
            <w:noProof/>
            <w:lang w:val="en-GB"/>
          </w:rPr>
          <w:t>Huang 2009</w:t>
        </w:r>
      </w:hyperlink>
      <w:r w:rsidR="004E5A78" w:rsidRPr="00B56453">
        <w:rPr>
          <w:noProof/>
          <w:lang w:val="en-GB"/>
        </w:rPr>
        <w:t>)</w:t>
      </w:r>
      <w:r w:rsidR="00EF281A" w:rsidRPr="009C2746">
        <w:rPr>
          <w:lang w:val="en-GB"/>
        </w:rPr>
        <w:fldChar w:fldCharType="end"/>
      </w:r>
      <w:r w:rsidRPr="00B56453">
        <w:rPr>
          <w:lang w:val="en-GB"/>
        </w:rPr>
        <w:t>. Most teachers identified a lack of time per student as a contextual challenge to providing good feedback in the clinical skills context, creating a barrier for establishing relationships with learners</w:t>
      </w:r>
      <w:r w:rsidR="000E3899" w:rsidRPr="00B56453">
        <w:rPr>
          <w:lang w:val="en-GB"/>
        </w:rPr>
        <w:t>,</w:t>
      </w:r>
      <w:r w:rsidR="00531CDB" w:rsidRPr="00B56453">
        <w:rPr>
          <w:lang w:val="en-GB"/>
        </w:rPr>
        <w:t xml:space="preserve"> which has been previously identified</w:t>
      </w:r>
      <w:r w:rsidRPr="00B56453">
        <w:rPr>
          <w:lang w:val="en-GB"/>
        </w:rPr>
        <w:t xml:space="preserve"> </w:t>
      </w:r>
      <w:r w:rsidR="00EF281A" w:rsidRPr="009C2746">
        <w:rPr>
          <w:lang w:val="en-GB"/>
        </w:rPr>
        <w:fldChar w:fldCharType="begin"/>
      </w:r>
      <w:r w:rsidR="008B61BE" w:rsidRPr="00B56453">
        <w:rPr>
          <w:lang w:val="en-GB"/>
        </w:rPr>
        <w:instrText xml:space="preserve"> ADDIN EN.CITE &lt;EndNote&gt;&lt;Cite&gt;&lt;Author&gt;van Gennip&lt;/Author&gt;&lt;Year&gt;2009&lt;/Year&gt;&lt;RecNum&gt;837&lt;/RecNum&gt;&lt;DisplayText&gt;(van Gennip et al. 2009)&lt;/DisplayText&gt;&lt;record&gt;&lt;rec-number&gt;837&lt;/rec-number&gt;&lt;foreign-keys&gt;&lt;key app="EN" db-id="xa2r2ewea92trkef5dt5arvbzafvpv2za5ft" timestamp="1496417598"&gt;837&lt;/key&gt;&lt;/foreign-keys&gt;&lt;ref-type name="Journal Article"&gt;17&lt;/ref-type&gt;&lt;contributors&gt;&lt;authors&gt;&lt;author&gt;van Gennip, Nanine AE&lt;/author&gt;&lt;author&gt;Segers, Mien SR&lt;/author&gt;&lt;author&gt;Tillema, Harm H&lt;/author&gt;&lt;/authors&gt;&lt;/contributors&gt;&lt;titles&gt;&lt;title&gt;Peer assessment for learning from a social perspective: The influence of interpersonal variables and structural features&lt;/title&gt;&lt;secondary-title&gt;Educational Research Review&lt;/secondary-title&gt;&lt;/titles&gt;&lt;periodical&gt;&lt;full-title&gt;Educational Research Review&lt;/full-title&gt;&lt;/periodical&gt;&lt;pages&gt;41-54&lt;/pages&gt;&lt;volume&gt;4&lt;/volume&gt;&lt;number&gt;1&lt;/number&gt;&lt;dates&gt;&lt;year&gt;2009&lt;/year&gt;&lt;/dates&gt;&lt;isbn&gt;1747-938X&lt;/isbn&gt;&lt;urls&gt;&lt;/urls&gt;&lt;/record&gt;&lt;/Cite&gt;&lt;/EndNote&gt;</w:instrText>
      </w:r>
      <w:r w:rsidR="00EF281A" w:rsidRPr="00B27F0B">
        <w:rPr>
          <w:lang w:val="en-GB"/>
        </w:rPr>
        <w:fldChar w:fldCharType="separate"/>
      </w:r>
      <w:r w:rsidR="004E5A78" w:rsidRPr="00B56453">
        <w:rPr>
          <w:noProof/>
          <w:lang w:val="en-GB"/>
        </w:rPr>
        <w:t>(</w:t>
      </w:r>
      <w:hyperlink w:anchor="_ENREF_419" w:tooltip="van Gennip, 2009 #837" w:history="1">
        <w:r w:rsidR="0094469E" w:rsidRPr="00B56453">
          <w:rPr>
            <w:noProof/>
            <w:lang w:val="en-GB"/>
          </w:rPr>
          <w:t>van Gennip et al. 2009</w:t>
        </w:r>
      </w:hyperlink>
      <w:r w:rsidR="004E5A78" w:rsidRPr="00B56453">
        <w:rPr>
          <w:noProof/>
          <w:lang w:val="en-GB"/>
        </w:rPr>
        <w:t>)</w:t>
      </w:r>
      <w:r w:rsidR="00EF281A" w:rsidRPr="009C2746">
        <w:rPr>
          <w:lang w:val="en-GB"/>
        </w:rPr>
        <w:fldChar w:fldCharType="end"/>
      </w:r>
      <w:r w:rsidRPr="00B56453">
        <w:rPr>
          <w:lang w:val="en-GB"/>
        </w:rPr>
        <w:t>.</w:t>
      </w:r>
      <w:r w:rsidR="000E3899" w:rsidRPr="00B56453">
        <w:rPr>
          <w:lang w:val="en-GB"/>
        </w:rPr>
        <w:t xml:space="preserve"> </w:t>
      </w:r>
    </w:p>
    <w:p w14:paraId="0072E246" w14:textId="77777777" w:rsidR="00D435EF" w:rsidRPr="00B56453" w:rsidRDefault="00D435EF" w:rsidP="00026049">
      <w:pPr>
        <w:pStyle w:val="Normal1"/>
        <w:rPr>
          <w:lang w:val="en-GB"/>
        </w:rPr>
      </w:pPr>
    </w:p>
    <w:p w14:paraId="525F3DB8" w14:textId="4A948862" w:rsidR="00D435EF" w:rsidRPr="00B56453" w:rsidRDefault="00D435EF" w:rsidP="00026049">
      <w:pPr>
        <w:pStyle w:val="Normal1"/>
        <w:rPr>
          <w:lang w:val="en-GB"/>
        </w:rPr>
      </w:pPr>
      <w:r w:rsidRPr="00B56453">
        <w:rPr>
          <w:lang w:val="en-GB"/>
        </w:rPr>
        <w:t xml:space="preserve">The dynamic adjustments and reflective changes in teachers’ feedback practices were an emergent theme arising from the data and may represent a mechanism for modifying teaching practice in future faculty development interventions. Dynamic changes were typically </w:t>
      </w:r>
      <w:r w:rsidR="00826050" w:rsidRPr="00B56453">
        <w:rPr>
          <w:lang w:val="en-GB"/>
        </w:rPr>
        <w:t>immediate</w:t>
      </w:r>
      <w:r w:rsidRPr="00B56453">
        <w:rPr>
          <w:lang w:val="en-GB"/>
        </w:rPr>
        <w:t xml:space="preserve">, occurring either during the encounter or between encounters during the teaching session. Teachers described making these </w:t>
      </w:r>
      <w:r w:rsidR="008D1C34" w:rsidRPr="00B56453">
        <w:rPr>
          <w:lang w:val="en-GB"/>
        </w:rPr>
        <w:t xml:space="preserve">situational adaptations </w:t>
      </w:r>
      <w:r w:rsidRPr="00B56453">
        <w:rPr>
          <w:lang w:val="en-GB"/>
        </w:rPr>
        <w:t>by making modifications to the</w:t>
      </w:r>
      <w:r w:rsidR="008D1C34" w:rsidRPr="00B56453">
        <w:rPr>
          <w:lang w:val="en-GB"/>
        </w:rPr>
        <w:t>ir delivery of the</w:t>
      </w:r>
      <w:r w:rsidRPr="00B56453">
        <w:rPr>
          <w:lang w:val="en-GB"/>
        </w:rPr>
        <w:t xml:space="preserve"> SRLF or BPF models. Long-term reflective changes occurred when the teacher saw parts of the feedback model as useful for their practice and found it feasible to use</w:t>
      </w:r>
      <w:r w:rsidR="00531CDB" w:rsidRPr="00B56453">
        <w:rPr>
          <w:lang w:val="en-GB"/>
        </w:rPr>
        <w:t xml:space="preserve"> in the clinical skills context</w:t>
      </w:r>
      <w:r w:rsidRPr="00B56453">
        <w:rPr>
          <w:lang w:val="en-GB"/>
        </w:rPr>
        <w:t xml:space="preserve">. This could describe a change in their </w:t>
      </w:r>
      <w:r w:rsidR="00374A63" w:rsidRPr="00B56453">
        <w:rPr>
          <w:lang w:val="en-GB"/>
        </w:rPr>
        <w:t>‘</w:t>
      </w:r>
      <w:r w:rsidRPr="00B56453">
        <w:rPr>
          <w:lang w:val="en-GB"/>
        </w:rPr>
        <w:t>espoused theory</w:t>
      </w:r>
      <w:r w:rsidR="00374A63" w:rsidRPr="00B56453">
        <w:rPr>
          <w:lang w:val="en-GB"/>
        </w:rPr>
        <w:t>’</w:t>
      </w:r>
      <w:r w:rsidRPr="00B56453">
        <w:rPr>
          <w:lang w:val="en-GB"/>
        </w:rPr>
        <w:t xml:space="preserve"> leading to tangible practice changes </w:t>
      </w:r>
      <w:r w:rsidR="00EF281A" w:rsidRPr="009C2746">
        <w:rPr>
          <w:lang w:val="en-GB"/>
        </w:rPr>
        <w:fldChar w:fldCharType="begin"/>
      </w:r>
      <w:r w:rsidR="008B61BE" w:rsidRPr="00B56453">
        <w:rPr>
          <w:lang w:val="en-GB"/>
        </w:rPr>
        <w:instrText xml:space="preserve"> ADDIN EN.CITE &lt;EndNote&gt;&lt;Cite&gt;&lt;Author&gt;Squires&lt;/Author&gt;&lt;Year&gt;2002&lt;/Year&gt;&lt;RecNum&gt;835&lt;/RecNum&gt;&lt;DisplayText&gt;(Squires 2002)&lt;/DisplayText&gt;&lt;record&gt;&lt;rec-number&gt;835&lt;/rec-number&gt;&lt;foreign-keys&gt;&lt;key app="EN" db-id="xa2r2ewea92trkef5dt5arvbzafvpv2za5ft" timestamp="1496417598"&gt;835&lt;/key&gt;&lt;/foreign-keys&gt;&lt;ref-type name="Book"&gt;6&lt;/ref-type&gt;&lt;contributors&gt;&lt;authors&gt;&lt;author&gt;Squires, Geoffrey&lt;/author&gt;&lt;/authors&gt;&lt;/contributors&gt;&lt;titles&gt;&lt;title&gt;Teaching as a Professional Discipline: A Multi-dimensional Model&lt;/title&gt;&lt;/titles&gt;&lt;dates&gt;&lt;year&gt;2002&lt;/year&gt;&lt;/dates&gt;&lt;publisher&gt;Routledge&lt;/publisher&gt;&lt;isbn&gt;1135701563&lt;/isbn&gt;&lt;urls&gt;&lt;/urls&gt;&lt;/record&gt;&lt;/Cite&gt;&lt;/EndNote&gt;</w:instrText>
      </w:r>
      <w:r w:rsidR="00EF281A" w:rsidRPr="00B27F0B">
        <w:rPr>
          <w:lang w:val="en-GB"/>
        </w:rPr>
        <w:fldChar w:fldCharType="separate"/>
      </w:r>
      <w:r w:rsidR="004E5A78" w:rsidRPr="00B56453">
        <w:rPr>
          <w:noProof/>
          <w:lang w:val="en-GB"/>
        </w:rPr>
        <w:t>(</w:t>
      </w:r>
      <w:hyperlink w:anchor="_ENREF_393" w:tooltip="Squires, 2002 #835" w:history="1">
        <w:r w:rsidR="0094469E" w:rsidRPr="00B56453">
          <w:rPr>
            <w:noProof/>
            <w:lang w:val="en-GB"/>
          </w:rPr>
          <w:t>Squires 2002</w:t>
        </w:r>
      </w:hyperlink>
      <w:r w:rsidR="004E5A78" w:rsidRPr="00B56453">
        <w:rPr>
          <w:noProof/>
          <w:lang w:val="en-GB"/>
        </w:rPr>
        <w:t>)</w:t>
      </w:r>
      <w:r w:rsidR="00EF281A" w:rsidRPr="009C2746">
        <w:rPr>
          <w:lang w:val="en-GB"/>
        </w:rPr>
        <w:fldChar w:fldCharType="end"/>
      </w:r>
      <w:r w:rsidRPr="00B56453">
        <w:rPr>
          <w:lang w:val="en-GB"/>
        </w:rPr>
        <w:t xml:space="preserve">. </w:t>
      </w:r>
    </w:p>
    <w:p w14:paraId="220677E5" w14:textId="77777777" w:rsidR="000E3899" w:rsidRPr="00B56453" w:rsidRDefault="000E3899" w:rsidP="00026049">
      <w:pPr>
        <w:pStyle w:val="Normal1"/>
        <w:rPr>
          <w:lang w:val="en-GB"/>
        </w:rPr>
      </w:pPr>
    </w:p>
    <w:p w14:paraId="6D324F1A" w14:textId="3D7C729A" w:rsidR="000E3899" w:rsidRPr="00B27F0B" w:rsidRDefault="000E3899" w:rsidP="003730AD">
      <w:pPr>
        <w:pStyle w:val="Normal1"/>
        <w:rPr>
          <w:lang w:val="en-GB"/>
        </w:rPr>
      </w:pPr>
      <w:r w:rsidRPr="00B56453">
        <w:rPr>
          <w:lang w:val="en-GB"/>
        </w:rPr>
        <w:t xml:space="preserve">These </w:t>
      </w:r>
      <w:r w:rsidR="008D1C34" w:rsidRPr="00B56453">
        <w:rPr>
          <w:lang w:val="en-GB"/>
        </w:rPr>
        <w:t>immediate</w:t>
      </w:r>
      <w:r w:rsidRPr="00B56453">
        <w:rPr>
          <w:lang w:val="en-GB"/>
        </w:rPr>
        <w:t xml:space="preserve"> and </w:t>
      </w:r>
      <w:r w:rsidR="00826050" w:rsidRPr="00B56453">
        <w:rPr>
          <w:lang w:val="en-GB"/>
        </w:rPr>
        <w:t>longer-term</w:t>
      </w:r>
      <w:r w:rsidRPr="00B56453">
        <w:rPr>
          <w:lang w:val="en-GB"/>
        </w:rPr>
        <w:t xml:space="preserve"> changes in practice are </w:t>
      </w:r>
      <w:r w:rsidR="00374A63" w:rsidRPr="00B56453">
        <w:rPr>
          <w:lang w:val="en-GB"/>
        </w:rPr>
        <w:t xml:space="preserve">also </w:t>
      </w:r>
      <w:r w:rsidRPr="00B56453">
        <w:rPr>
          <w:lang w:val="en-GB"/>
        </w:rPr>
        <w:t xml:space="preserve">similar in principle to the theories of ‘reflection-in-action’ and ‘reflection-on-action’ in professional learning proposed by </w:t>
      </w:r>
      <w:hyperlink w:anchor="_ENREF_365" w:tooltip="Schön, 1983 #971" w:history="1">
        <w:r w:rsidR="0094469E" w:rsidRPr="00B27F0B">
          <w:rPr>
            <w:lang w:val="en-GB"/>
          </w:rPr>
          <w:fldChar w:fldCharType="begin"/>
        </w:r>
        <w:r w:rsidR="0094469E" w:rsidRPr="00B56453">
          <w:rPr>
            <w:lang w:val="en-GB"/>
          </w:rPr>
          <w:instrText xml:space="preserve"> ADDIN EN.CITE &lt;EndNote&gt;&lt;Cite AuthorYear="1"&gt;&lt;Author&gt;Schön&lt;/Author&gt;&lt;Year&gt;1983&lt;/Year&gt;&lt;RecNum&gt;971&lt;/RecNum&gt;&lt;DisplayText&gt;Schön (1983)&lt;/DisplayText&gt;&lt;record&gt;&lt;rec-number&gt;971&lt;/rec-number&gt;&lt;foreign-keys&gt;&lt;key app="EN" db-id="xa2r2ewea92trkef5dt5arvbzafvpv2za5ft" timestamp="1501167124"&gt;971&lt;/key&gt;&lt;/foreign-keys&gt;&lt;ref-type name="Book"&gt;6&lt;/ref-type&gt;&lt;contributors&gt;&lt;authors&gt;&lt;author&gt;Schön, Donald A&lt;/author&gt;&lt;/authors&gt;&lt;/contributors&gt;&lt;titles&gt;&lt;title&gt;The reflective practitioner: How professionals think in action&lt;/title&gt;&lt;/titles&gt;&lt;volume&gt;5126&lt;/volume&gt;&lt;dates&gt;&lt;year&gt;1983&lt;/year&gt;&lt;/dates&gt;&lt;publisher&gt;Basic books&lt;/publisher&gt;&lt;isbn&gt;0465068782&lt;/isbn&gt;&lt;urls&gt;&lt;/urls&gt;&lt;/record&gt;&lt;/Cite&gt;&lt;/EndNote&gt;</w:instrText>
        </w:r>
        <w:r w:rsidR="0094469E" w:rsidRPr="00B27F0B">
          <w:rPr>
            <w:lang w:val="en-GB"/>
          </w:rPr>
          <w:fldChar w:fldCharType="separate"/>
        </w:r>
        <w:r w:rsidR="0094469E" w:rsidRPr="00B56453">
          <w:rPr>
            <w:noProof/>
            <w:lang w:val="en-GB"/>
          </w:rPr>
          <w:t>Schön (1983)</w:t>
        </w:r>
        <w:r w:rsidR="0094469E" w:rsidRPr="00B27F0B">
          <w:rPr>
            <w:lang w:val="en-GB"/>
          </w:rPr>
          <w:fldChar w:fldCharType="end"/>
        </w:r>
      </w:hyperlink>
      <w:r w:rsidR="003730AD" w:rsidRPr="00FD5859">
        <w:rPr>
          <w:lang w:val="en-GB"/>
        </w:rPr>
        <w:t>. Teachers</w:t>
      </w:r>
      <w:r w:rsidR="00AC2D48" w:rsidRPr="00FD5859">
        <w:rPr>
          <w:lang w:val="en-GB"/>
        </w:rPr>
        <w:t xml:space="preserve"> used</w:t>
      </w:r>
      <w:r w:rsidR="003730AD" w:rsidRPr="00B56453">
        <w:rPr>
          <w:lang w:val="en-GB"/>
        </w:rPr>
        <w:t xml:space="preserve"> reflect</w:t>
      </w:r>
      <w:r w:rsidR="00AC2D48" w:rsidRPr="00B56453">
        <w:rPr>
          <w:lang w:val="en-GB"/>
        </w:rPr>
        <w:t>ion</w:t>
      </w:r>
      <w:r w:rsidR="003730AD" w:rsidRPr="00B56453">
        <w:rPr>
          <w:lang w:val="en-GB"/>
        </w:rPr>
        <w:t>-in-action</w:t>
      </w:r>
      <w:r w:rsidRPr="00B56453">
        <w:rPr>
          <w:lang w:val="en-GB"/>
        </w:rPr>
        <w:t xml:space="preserve"> </w:t>
      </w:r>
      <w:r w:rsidR="003730AD" w:rsidRPr="00B56453">
        <w:rPr>
          <w:lang w:val="en-GB"/>
        </w:rPr>
        <w:t>to make</w:t>
      </w:r>
      <w:r w:rsidRPr="00B56453">
        <w:rPr>
          <w:lang w:val="en-GB"/>
        </w:rPr>
        <w:t xml:space="preserve"> </w:t>
      </w:r>
      <w:r w:rsidR="003730AD" w:rsidRPr="00B56453">
        <w:rPr>
          <w:lang w:val="en-GB"/>
        </w:rPr>
        <w:t xml:space="preserve">dynamic </w:t>
      </w:r>
      <w:r w:rsidRPr="00B56453">
        <w:rPr>
          <w:lang w:val="en-GB"/>
        </w:rPr>
        <w:t xml:space="preserve">changes while they still had </w:t>
      </w:r>
      <w:r w:rsidR="008D1C34" w:rsidRPr="00B56453">
        <w:rPr>
          <w:lang w:val="en-GB"/>
        </w:rPr>
        <w:t>the opportunity to enhance their approach</w:t>
      </w:r>
      <w:r w:rsidRPr="00B56453">
        <w:rPr>
          <w:lang w:val="en-GB"/>
        </w:rPr>
        <w:t xml:space="preserve">. </w:t>
      </w:r>
      <w:r w:rsidR="003730AD" w:rsidRPr="00B56453">
        <w:rPr>
          <w:lang w:val="en-GB"/>
        </w:rPr>
        <w:t xml:space="preserve">In this they created </w:t>
      </w:r>
      <w:r w:rsidR="003730AD" w:rsidRPr="00B56453">
        <w:rPr>
          <w:lang w:val="en-GB"/>
        </w:rPr>
        <w:lastRenderedPageBreak/>
        <w:t xml:space="preserve">temporary coping mechanisms and tested them in real time. </w:t>
      </w:r>
      <w:hyperlink w:anchor="_ENREF_365" w:tooltip="Schön, 1983 #971" w:history="1">
        <w:r w:rsidR="0094469E" w:rsidRPr="00B27F0B">
          <w:rPr>
            <w:lang w:val="en-GB"/>
          </w:rPr>
          <w:fldChar w:fldCharType="begin"/>
        </w:r>
        <w:r w:rsidR="0094469E" w:rsidRPr="00B56453">
          <w:rPr>
            <w:lang w:val="en-GB"/>
          </w:rPr>
          <w:instrText xml:space="preserve"> ADDIN EN.CITE &lt;EndNote&gt;&lt;Cite AuthorYear="1"&gt;&lt;Author&gt;Schön&lt;/Author&gt;&lt;Year&gt;1983&lt;/Year&gt;&lt;RecNum&gt;971&lt;/RecNum&gt;&lt;Pages&gt;68&lt;/Pages&gt;&lt;DisplayText&gt;Schön (1983, p. 68)&lt;/DisplayText&gt;&lt;record&gt;&lt;rec-number&gt;971&lt;/rec-number&gt;&lt;foreign-keys&gt;&lt;key app="EN" db-id="xa2r2ewea92trkef5dt5arvbzafvpv2za5ft" timestamp="1501167124"&gt;971&lt;/key&gt;&lt;/foreign-keys&gt;&lt;ref-type name="Book"&gt;6&lt;/ref-type&gt;&lt;contributors&gt;&lt;authors&gt;&lt;author&gt;Schön, Donald A&lt;/author&gt;&lt;/authors&gt;&lt;/contributors&gt;&lt;titles&gt;&lt;title&gt;The reflective practitioner: How professionals think in action&lt;/title&gt;&lt;/titles&gt;&lt;volume&gt;5126&lt;/volume&gt;&lt;dates&gt;&lt;year&gt;1983&lt;/year&gt;&lt;/dates&gt;&lt;publisher&gt;Basic books&lt;/publisher&gt;&lt;isbn&gt;0465068782&lt;/isbn&gt;&lt;urls&gt;&lt;/urls&gt;&lt;/record&gt;&lt;/Cite&gt;&lt;/EndNote&gt;</w:instrText>
        </w:r>
        <w:r w:rsidR="0094469E" w:rsidRPr="00B27F0B">
          <w:rPr>
            <w:lang w:val="en-GB"/>
          </w:rPr>
          <w:fldChar w:fldCharType="separate"/>
        </w:r>
        <w:r w:rsidR="0094469E" w:rsidRPr="00B56453">
          <w:rPr>
            <w:noProof/>
            <w:lang w:val="en-GB"/>
          </w:rPr>
          <w:t>Schön (1983, p. 68)</w:t>
        </w:r>
        <w:r w:rsidR="0094469E" w:rsidRPr="00B27F0B">
          <w:rPr>
            <w:lang w:val="en-GB"/>
          </w:rPr>
          <w:fldChar w:fldCharType="end"/>
        </w:r>
      </w:hyperlink>
      <w:r w:rsidR="003730AD" w:rsidRPr="00FD5859">
        <w:rPr>
          <w:lang w:val="en-GB"/>
        </w:rPr>
        <w:t xml:space="preserve"> further illustrates this point, “When someone reflects-in-action, he becomes a researcher in the practice context. He is not dependent on the categories or established theory and technique, but constructs a new theory of the unique case”. The reflective ch</w:t>
      </w:r>
      <w:r w:rsidR="003730AD" w:rsidRPr="00B56453">
        <w:rPr>
          <w:lang w:val="en-GB"/>
        </w:rPr>
        <w:t xml:space="preserve">anges which occurred over time were akin to the reflection-on-action concept where “We reflect on action, thinking back on what we have done  to discover how our knowing-in-action may have contributed to an unexpected outcome” </w:t>
      </w:r>
      <w:r w:rsidR="003730AD" w:rsidRPr="00B27F0B">
        <w:rPr>
          <w:lang w:val="en-GB"/>
        </w:rPr>
        <w:fldChar w:fldCharType="begin"/>
      </w:r>
      <w:r w:rsidR="008B61BE" w:rsidRPr="00B27F0B">
        <w:rPr>
          <w:lang w:val="en-GB"/>
        </w:rPr>
        <w:instrText xml:space="preserve"> ADDIN EN.CITE &lt;EndNote&gt;&lt;Cite&gt;&lt;Author&gt;Schön&lt;/Author&gt;&lt;Year&gt;1983&lt;/Year&gt;&lt;RecNum&gt;971&lt;/RecNum&gt;&lt;Pages&gt;26&lt;/Pages&gt;&lt;DisplayText&gt;(Schön 1983, p. 26)&lt;/DisplayText&gt;&lt;record&gt;&lt;rec-number&gt;971&lt;/rec-number&gt;&lt;foreign-keys&gt;&lt;key app="EN" db-id="xa2r2ewea92trkef5dt5arvbzafvpv2za5ft" timestamp="1501167124"&gt;971&lt;/key&gt;&lt;/foreign-keys&gt;&lt;ref-type name="Book"&gt;6&lt;/ref-type&gt;&lt;contributors&gt;&lt;authors&gt;&lt;author&gt;Schön, Donald A&lt;/author&gt;&lt;/authors&gt;&lt;/contributors&gt;&lt;titles&gt;&lt;title&gt;The reflective practitioner: How professionals think in action&lt;/title&gt;&lt;/titles&gt;&lt;volume&gt;5126&lt;/volume&gt;&lt;dates&gt;&lt;year&gt;1983&lt;/year&gt;&lt;/dates&gt;&lt;publisher&gt;Basic books&lt;/publisher&gt;&lt;isbn&gt;0465068782&lt;/isbn&gt;&lt;urls&gt;&lt;/urls&gt;&lt;/record&gt;&lt;/Cite&gt;&lt;/EndNote&gt;</w:instrText>
      </w:r>
      <w:r w:rsidR="003730AD" w:rsidRPr="00B27F0B">
        <w:rPr>
          <w:lang w:val="en-GB"/>
        </w:rPr>
        <w:fldChar w:fldCharType="separate"/>
      </w:r>
      <w:r w:rsidR="003730AD" w:rsidRPr="00B27F0B">
        <w:rPr>
          <w:noProof/>
          <w:lang w:val="en-GB"/>
        </w:rPr>
        <w:t>(</w:t>
      </w:r>
      <w:hyperlink w:anchor="_ENREF_365" w:tooltip="Schön, 1983 #971" w:history="1">
        <w:r w:rsidR="0094469E" w:rsidRPr="00B27F0B">
          <w:rPr>
            <w:noProof/>
            <w:lang w:val="en-GB"/>
          </w:rPr>
          <w:t>Schön 1983, p. 26</w:t>
        </w:r>
      </w:hyperlink>
      <w:r w:rsidR="003730AD" w:rsidRPr="00B27F0B">
        <w:rPr>
          <w:noProof/>
          <w:lang w:val="en-GB"/>
        </w:rPr>
        <w:t>)</w:t>
      </w:r>
      <w:r w:rsidR="003730AD" w:rsidRPr="00B27F0B">
        <w:rPr>
          <w:lang w:val="en-GB"/>
        </w:rPr>
        <w:fldChar w:fldCharType="end"/>
      </w:r>
      <w:r w:rsidR="003730AD" w:rsidRPr="00B27F0B">
        <w:rPr>
          <w:lang w:val="en-GB"/>
        </w:rPr>
        <w:t>. This also relates to the adaptive c</w:t>
      </w:r>
      <w:r w:rsidR="008D1C34" w:rsidRPr="00B27F0B">
        <w:rPr>
          <w:lang w:val="en-GB"/>
        </w:rPr>
        <w:t>hanges process in SRL theory;</w:t>
      </w:r>
      <w:r w:rsidR="00AC2D48" w:rsidRPr="00B27F0B">
        <w:rPr>
          <w:lang w:val="en-GB"/>
        </w:rPr>
        <w:t xml:space="preserve"> teachers described </w:t>
      </w:r>
      <w:r w:rsidR="00C729CD" w:rsidRPr="00B27F0B">
        <w:rPr>
          <w:lang w:val="en-GB"/>
        </w:rPr>
        <w:t>their evaluation of</w:t>
      </w:r>
      <w:r w:rsidR="00AC2D48" w:rsidRPr="00B27F0B">
        <w:rPr>
          <w:lang w:val="en-GB"/>
        </w:rPr>
        <w:t xml:space="preserve"> how certain aspects of their feedback model worked and made plans to use it in the future.</w:t>
      </w:r>
    </w:p>
    <w:p w14:paraId="0E045135" w14:textId="77777777" w:rsidR="00AC2D48" w:rsidRPr="00B27F0B" w:rsidRDefault="00AC2D48" w:rsidP="003730AD">
      <w:pPr>
        <w:pStyle w:val="Normal1"/>
        <w:rPr>
          <w:lang w:val="en-GB"/>
        </w:rPr>
      </w:pPr>
    </w:p>
    <w:p w14:paraId="56AC0EBB" w14:textId="1113F3AF" w:rsidR="00AC2D48" w:rsidRPr="00B56453" w:rsidRDefault="00C729CD" w:rsidP="003730AD">
      <w:pPr>
        <w:pStyle w:val="Normal1"/>
        <w:rPr>
          <w:lang w:val="en-GB"/>
        </w:rPr>
      </w:pPr>
      <w:r w:rsidRPr="00B56453">
        <w:rPr>
          <w:lang w:val="en-GB"/>
        </w:rPr>
        <w:t>Not all teachers used these reflective processes in the same way. In some cases, teachers would persist with uncomfortable parts of</w:t>
      </w:r>
      <w:r w:rsidRPr="00BD42AF">
        <w:rPr>
          <w:lang w:val="en-GB"/>
        </w:rPr>
        <w:t xml:space="preserve"> the method and others would immediately begin to adapt the model to suit their preferred style. These differences may stem from their individual </w:t>
      </w:r>
      <w:r w:rsidR="008E7D00" w:rsidRPr="00BD42AF">
        <w:rPr>
          <w:lang w:val="en-GB"/>
        </w:rPr>
        <w:t>conceptualisation</w:t>
      </w:r>
      <w:r w:rsidRPr="00BD42AF">
        <w:rPr>
          <w:lang w:val="en-GB"/>
        </w:rPr>
        <w:t xml:space="preserve">s of feedback and teaching experiences, as </w:t>
      </w:r>
      <w:hyperlink w:anchor="_ENREF_452" w:tooltip="Zeichner, 1996 #943" w:history="1">
        <w:r w:rsidR="0094469E" w:rsidRPr="00B27F0B">
          <w:rPr>
            <w:lang w:val="en-GB"/>
          </w:rPr>
          <w:fldChar w:fldCharType="begin"/>
        </w:r>
        <w:r w:rsidR="0094469E" w:rsidRPr="00B56453">
          <w:rPr>
            <w:lang w:val="en-GB"/>
          </w:rPr>
          <w:instrText xml:space="preserve"> ADDIN EN.CITE &lt;EndNote&gt;&lt;Cite AuthorYear="1"&gt;&lt;Author&gt;Zeichner&lt;/Author&gt;&lt;Year&gt;1996&lt;/Year&gt;&lt;RecNum&gt;943&lt;/RecNum&gt;&lt;Pages&gt;20&lt;/Pages&gt;&lt;DisplayText&gt;Zeichner and Liston (1996, p. 20)&lt;/DisplayText&gt;&lt;record&gt;&lt;rec-number&gt;943&lt;/rec-number&gt;&lt;foreign-keys&gt;&lt;key app="EN" db-id="xa2r2ewea92trkef5dt5arvbzafvpv2za5ft" timestamp="1500630568"&gt;943&lt;/key&gt;&lt;/foreign-keys&gt;&lt;ref-type name="Book"&gt;6&lt;/ref-type&gt;&lt;contributors&gt;&lt;authors&gt;&lt;author&gt;Zeichner, Kenneth M&lt;/author&gt;&lt;author&gt;Liston, Daniel P&lt;/author&gt;&lt;/authors&gt;&lt;/contributors&gt;&lt;titles&gt;&lt;title&gt;Reflective teaching: An introduction.&lt;/title&gt;&lt;/titles&gt;&lt;dates&gt;&lt;year&gt;1996&lt;/year&gt;&lt;/dates&gt;&lt;pub-location&gt;Mahwah, New Jersey&lt;/pub-location&gt;&lt;publisher&gt;Lawrence Erlbaum Associates.&lt;/publisher&gt;&lt;urls&gt;&lt;/urls&gt;&lt;/record&gt;&lt;/Cite&gt;&lt;/EndNote&gt;</w:instrText>
        </w:r>
        <w:r w:rsidR="0094469E" w:rsidRPr="00B27F0B">
          <w:rPr>
            <w:lang w:val="en-GB"/>
          </w:rPr>
          <w:fldChar w:fldCharType="separate"/>
        </w:r>
        <w:r w:rsidR="0094469E" w:rsidRPr="00B56453">
          <w:rPr>
            <w:noProof/>
            <w:lang w:val="en-GB"/>
          </w:rPr>
          <w:t>Zeichner and Liston (1996, p. 20)</w:t>
        </w:r>
        <w:r w:rsidR="0094469E" w:rsidRPr="00B27F0B">
          <w:rPr>
            <w:lang w:val="en-GB"/>
          </w:rPr>
          <w:fldChar w:fldCharType="end"/>
        </w:r>
      </w:hyperlink>
      <w:r w:rsidRPr="00FD5859">
        <w:rPr>
          <w:lang w:val="en-GB"/>
        </w:rPr>
        <w:t xml:space="preserve"> state, </w:t>
      </w:r>
      <w:r w:rsidRPr="00B27F0B">
        <w:rPr>
          <w:lang w:val="en-GB"/>
        </w:rPr>
        <w:t>‘‘reflective teaching entails a recognition, examination, and rumination over the implications of one’s beliefs, experiences, attitudes, knowledge, and values as well as the opportunities and constraints provided by the social conditions in which the teacher works’’. This suggests that both internal and external factors influence their reflective processes</w:t>
      </w:r>
      <w:r w:rsidR="006D4726" w:rsidRPr="00B27F0B">
        <w:rPr>
          <w:lang w:val="en-GB"/>
        </w:rPr>
        <w:t xml:space="preserve"> and are therefore different for each individual. </w:t>
      </w:r>
    </w:p>
    <w:p w14:paraId="2ACF8EB8" w14:textId="77777777" w:rsidR="00D435EF" w:rsidRPr="00BD42AF" w:rsidRDefault="00D435EF" w:rsidP="00026049">
      <w:pPr>
        <w:pStyle w:val="Normal1"/>
        <w:rPr>
          <w:lang w:val="en-GB"/>
        </w:rPr>
      </w:pPr>
    </w:p>
    <w:p w14:paraId="3E1A35A4" w14:textId="33E07C0F" w:rsidR="000421F0" w:rsidRPr="00C71126" w:rsidRDefault="000421F0" w:rsidP="00026049">
      <w:pPr>
        <w:pStyle w:val="Normal1"/>
        <w:rPr>
          <w:lang w:val="en-GB"/>
        </w:rPr>
      </w:pPr>
      <w:r w:rsidRPr="00BD42AF">
        <w:rPr>
          <w:lang w:val="en-GB"/>
        </w:rPr>
        <w:t>The conceptual model (Figure B2.5</w:t>
      </w:r>
      <w:r w:rsidR="009A1184" w:rsidRPr="00BD42AF">
        <w:rPr>
          <w:lang w:val="en-GB"/>
        </w:rPr>
        <w:t xml:space="preserve">, page: </w:t>
      </w:r>
      <w:r w:rsidRPr="00BD42AF">
        <w:rPr>
          <w:lang w:val="en-GB"/>
        </w:rPr>
        <w:t xml:space="preserve">) ties the </w:t>
      </w:r>
      <w:r w:rsidR="008D1C34" w:rsidRPr="00BD42AF">
        <w:rPr>
          <w:lang w:val="en-GB"/>
        </w:rPr>
        <w:t>key</w:t>
      </w:r>
      <w:r w:rsidRPr="00BD42AF">
        <w:rPr>
          <w:lang w:val="en-GB"/>
        </w:rPr>
        <w:t xml:space="preserve"> themes together into a cyclical process </w:t>
      </w:r>
      <w:r w:rsidR="008D1C34" w:rsidRPr="00BD42AF">
        <w:rPr>
          <w:lang w:val="en-GB"/>
        </w:rPr>
        <w:t>reflecting how</w:t>
      </w:r>
      <w:r w:rsidRPr="00BD42AF">
        <w:rPr>
          <w:lang w:val="en-GB"/>
        </w:rPr>
        <w:t xml:space="preserve"> teachers’ </w:t>
      </w:r>
      <w:r w:rsidR="008E7D00" w:rsidRPr="00BD42AF">
        <w:rPr>
          <w:lang w:val="en-GB"/>
        </w:rPr>
        <w:t>conceptualisation</w:t>
      </w:r>
      <w:r w:rsidRPr="00BD42AF">
        <w:rPr>
          <w:lang w:val="en-GB"/>
        </w:rPr>
        <w:t xml:space="preserve">s of teaching and feedback influence their feedback giving practices. Contextual and situation factors impact upon how the feedback is given during the encounter along with real time </w:t>
      </w:r>
      <w:r w:rsidR="008D1C34" w:rsidRPr="00BD42AF">
        <w:rPr>
          <w:lang w:val="en-GB"/>
        </w:rPr>
        <w:t>evaluations</w:t>
      </w:r>
      <w:r w:rsidRPr="001046E5">
        <w:rPr>
          <w:lang w:val="en-GB"/>
        </w:rPr>
        <w:t xml:space="preserve"> </w:t>
      </w:r>
      <w:r w:rsidRPr="00C71126">
        <w:rPr>
          <w:lang w:val="en-GB"/>
        </w:rPr>
        <w:t xml:space="preserve">of the learner and their responses which can cause the message to be reformulated in a process of dynamic change. Any changes which are viewed as beneficial to the teacher’s practice are retained and become part of their </w:t>
      </w:r>
      <w:r w:rsidR="008E7D00" w:rsidRPr="00C71126">
        <w:rPr>
          <w:lang w:val="en-GB"/>
        </w:rPr>
        <w:t>conceptualisation</w:t>
      </w:r>
      <w:r w:rsidRPr="00C71126">
        <w:rPr>
          <w:lang w:val="en-GB"/>
        </w:rPr>
        <w:t>s of teaching and feedback.</w:t>
      </w:r>
      <w:r w:rsidR="00DF2C1D" w:rsidRPr="00C71126">
        <w:rPr>
          <w:lang w:val="en-GB"/>
        </w:rPr>
        <w:t xml:space="preserve"> The feedback models in this study were either rejected or accepted in this final process, only some components that were deemed useful surviving the critical process.</w:t>
      </w:r>
    </w:p>
    <w:p w14:paraId="52130100" w14:textId="77777777" w:rsidR="000421F0" w:rsidRPr="00C71126" w:rsidRDefault="000421F0" w:rsidP="00026049">
      <w:pPr>
        <w:pStyle w:val="Normal1"/>
        <w:rPr>
          <w:lang w:val="en-GB"/>
        </w:rPr>
      </w:pPr>
    </w:p>
    <w:p w14:paraId="77A2E3BC" w14:textId="1A5A0B49" w:rsidR="00D435EF" w:rsidRPr="00B56453" w:rsidRDefault="00D435EF" w:rsidP="00026049">
      <w:pPr>
        <w:pStyle w:val="Normal1"/>
        <w:rPr>
          <w:lang w:val="en-GB"/>
        </w:rPr>
      </w:pPr>
      <w:r w:rsidRPr="00C71126">
        <w:rPr>
          <w:lang w:val="en-GB"/>
        </w:rPr>
        <w:t xml:space="preserve">Some differences were identified in how novice and experienced teachers articulated their perceptions of feedback and teaching in clinical skills as well as how they perceived and used the feedback models. This finding was anticipated to some degree as the experience level was purposefully sampled for. Some medical education researchers </w:t>
      </w:r>
      <w:r w:rsidRPr="00C71126">
        <w:rPr>
          <w:lang w:val="en-GB"/>
        </w:rPr>
        <w:lastRenderedPageBreak/>
        <w:t xml:space="preserve">also suggest that generational differences impact upon teaching approaches and </w:t>
      </w:r>
      <w:r w:rsidR="008E7D00" w:rsidRPr="00C71126">
        <w:rPr>
          <w:lang w:val="en-GB"/>
        </w:rPr>
        <w:t>conceptualisation</w:t>
      </w:r>
      <w:r w:rsidRPr="00C71126">
        <w:rPr>
          <w:lang w:val="en-GB"/>
        </w:rPr>
        <w:t xml:space="preserve">s </w:t>
      </w:r>
      <w:r w:rsidR="00EF281A" w:rsidRPr="00FD5859">
        <w:rPr>
          <w:lang w:val="en-GB"/>
        </w:rPr>
        <w:fldChar w:fldCharType="begin">
          <w:fldData xml:space="preserve">PEVuZE5vdGU+PENpdGU+PEF1dGhvcj5Ud2VuZ2U8L0F1dGhvcj48WWVhcj4yMDA5PC9ZZWFyPjxS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</w:fldData>
        </w:fldChar>
      </w:r>
      <w:r w:rsidR="008B61BE" w:rsidRPr="00B56453">
        <w:rPr>
          <w:lang w:val="en-GB"/>
        </w:rPr>
        <w:instrText xml:space="preserve"> ADDIN EN.CITE </w:instrText>
      </w:r>
      <w:r w:rsidR="008B61BE" w:rsidRPr="00B27F0B">
        <w:rPr>
          <w:lang w:val="en-GB"/>
        </w:rPr>
        <w:fldChar w:fldCharType="begin">
          <w:fldData xml:space="preserve">PEVuZE5vdGU+PENpdGU+PEF1dGhvcj5Ud2VuZ2U8L0F1dGhvcj48WWVhcj4yMDA5PC9ZZWFyPjxS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00EF281A" w:rsidRPr="00B27F0B">
        <w:rPr>
          <w:lang w:val="en-GB"/>
        </w:rPr>
      </w:r>
      <w:r w:rsidR="00EF281A" w:rsidRPr="00B27F0B">
        <w:rPr>
          <w:lang w:val="en-GB"/>
        </w:rPr>
        <w:fldChar w:fldCharType="separate"/>
      </w:r>
      <w:r w:rsidR="004E5A78" w:rsidRPr="00FD5859">
        <w:rPr>
          <w:noProof/>
          <w:lang w:val="en-GB"/>
        </w:rPr>
        <w:t>(</w:t>
      </w:r>
      <w:hyperlink w:anchor="_ENREF_412" w:tooltip="Twenge, 2009 #727" w:history="1">
        <w:r w:rsidR="0094469E" w:rsidRPr="00B56453">
          <w:rPr>
            <w:noProof/>
            <w:lang w:val="en-GB"/>
          </w:rPr>
          <w:t>Twenge 2009</w:t>
        </w:r>
      </w:hyperlink>
      <w:r w:rsidR="004E5A78" w:rsidRPr="00FD5859">
        <w:rPr>
          <w:noProof/>
          <w:lang w:val="en-GB"/>
        </w:rPr>
        <w:t xml:space="preserve">; </w:t>
      </w:r>
      <w:hyperlink w:anchor="_ENREF_304" w:tooltip="Norman, 2011 #725" w:history="1">
        <w:r w:rsidR="0094469E" w:rsidRPr="00B56453">
          <w:rPr>
            <w:noProof/>
            <w:lang w:val="en-GB"/>
          </w:rPr>
          <w:t>Norman 2011</w:t>
        </w:r>
      </w:hyperlink>
      <w:r w:rsidR="004E5A78" w:rsidRPr="00FD5859">
        <w:rPr>
          <w:noProof/>
          <w:lang w:val="en-GB"/>
        </w:rPr>
        <w:t xml:space="preserve">; </w:t>
      </w:r>
      <w:hyperlink w:anchor="_ENREF_351" w:tooltip="Ross, 2012 #726" w:history="1">
        <w:r w:rsidR="0094469E" w:rsidRPr="00B56453">
          <w:rPr>
            <w:noProof/>
            <w:lang w:val="en-GB"/>
          </w:rPr>
          <w:t>Ross 2012</w:t>
        </w:r>
      </w:hyperlink>
      <w:r w:rsidR="004E5A78" w:rsidRPr="00FD5859">
        <w:rPr>
          <w:noProof/>
          <w:lang w:val="en-GB"/>
        </w:rPr>
        <w:t>)</w:t>
      </w:r>
      <w:r w:rsidR="00EF281A" w:rsidRPr="00FD5859">
        <w:rPr>
          <w:lang w:val="en-GB"/>
        </w:rPr>
        <w:fldChar w:fldCharType="end"/>
      </w:r>
      <w:r w:rsidRPr="00FD5859">
        <w:rPr>
          <w:lang w:val="en-GB"/>
        </w:rPr>
        <w:t xml:space="preserve">, although this study may be the first to explicitly explore this topic in the present context. One of the differences identified in the wider educational literature is how </w:t>
      </w:r>
      <w:r w:rsidRPr="00B56453">
        <w:rPr>
          <w:lang w:val="en-GB"/>
        </w:rPr>
        <w:t>expert teachers use more complex schemata in their teaching compared to novices, meaning that experts’ pedagogical reasoning skills may be more developed</w:t>
      </w:r>
      <w:r w:rsidR="00531CDB" w:rsidRPr="00B56453">
        <w:rPr>
          <w:lang w:val="en-GB"/>
        </w:rPr>
        <w:t>,</w:t>
      </w:r>
      <w:r w:rsidRPr="00B56453">
        <w:rPr>
          <w:lang w:val="en-GB"/>
        </w:rPr>
        <w:t xml:space="preserve"> which could explain their more holistic approaches to teaching compared to novices in this study </w:t>
      </w:r>
      <w:r w:rsidRPr="009C2746">
        <w:rPr>
          <w:lang w:val="en-GB"/>
        </w:rPr>
        <w:fldChar w:fldCharType="begin"/>
      </w:r>
      <w:r w:rsidR="008B61BE" w:rsidRPr="00B56453">
        <w:rPr>
          <w:lang w:val="en-GB"/>
        </w:rPr>
        <w:instrText xml:space="preserve"> ADDIN EN.CITE &lt;EndNote&gt;&lt;Cite&gt;&lt;Author&gt;Livingston&lt;/Author&gt;&lt;Year&gt;1989&lt;/Year&gt;&lt;RecNum&gt;910&lt;/RecNum&gt;&lt;DisplayText&gt;(Livingston and Borko 1989; Meyer 2004)&lt;/DisplayText&gt;&lt;record&gt;&lt;rec-number&gt;910&lt;/rec-number&gt;&lt;foreign-keys&gt;&lt;key app="EN" db-id="xa2r2ewea92trkef5dt5arvbzafvpv2za5ft" timestamp="1496417604"&gt;910&lt;/key&gt;&lt;key app="ENWeb" db-id=""&gt;0&lt;/key&gt;&lt;/foreign-keys&gt;&lt;ref-type name="Journal Article"&gt;17&lt;/ref-type&gt;&lt;contributors&gt;&lt;authors&gt;&lt;author&gt;Livingston, Carol&lt;/author&gt;&lt;author&gt;Borko, Hilda&lt;/author&gt;&lt;/authors&gt;&lt;/contributors&gt;&lt;titles&gt;&lt;title&gt;Expert-novice differences in teaching: A cognitive analysis and implications for teacher education&lt;/title&gt;&lt;secondary-title&gt;Journal of teacher education&lt;/secondary-title&gt;&lt;/titles&gt;&lt;periodical&gt;&lt;full-title&gt;Journal of Teacher Education&lt;/full-title&gt;&lt;/periodical&gt;&lt;pages&gt;36-42&lt;/pages&gt;&lt;volume&gt;40&lt;/volume&gt;&lt;number&gt;4&lt;/number&gt;&lt;dates&gt;&lt;year&gt;1989&lt;/year&gt;&lt;/dates&gt;&lt;isbn&gt;0022-4871&lt;/isbn&gt;&lt;urls&gt;&lt;/urls&gt;&lt;/record&gt;&lt;/Cite&gt;&lt;Cite&gt;&lt;Author&gt;Meyer&lt;/Author&gt;&lt;Year&gt;2004&lt;/Year&gt;&lt;RecNum&gt;838&lt;/RecNum&gt;&lt;record&gt;&lt;rec-number&gt;838&lt;/rec-number&gt;&lt;foreign-keys&gt;&lt;key app="EN" db-id="xa2r2ewea92trkef5dt5arvbzafvpv2za5ft" timestamp="1496417598"&gt;838&lt;/key&gt;&lt;/foreign-keys&gt;&lt;ref-type name="Journal Article"&gt;17&lt;/ref-type&gt;&lt;contributors&gt;&lt;authors&gt;&lt;author&gt;Meyer, Helen&lt;/author&gt;&lt;/authors&gt;&lt;/contributors&gt;&lt;titles&gt;&lt;title&gt;Novice and expert teachers&amp;apos; conceptions of learners&amp;apos; prior knowledge&lt;/title&gt;&lt;secondary-title&gt;Science Education&lt;/secondary-title&gt;&lt;/titles&gt;&lt;periodical&gt;&lt;full-title&gt;Science Education&lt;/full-title&gt;&lt;/periodical&gt;&lt;pages&gt;970-983&lt;/pages&gt;&lt;volume&gt;88&lt;/volume&gt;&lt;number&gt;6&lt;/number&gt;&lt;dates&gt;&lt;year&gt;2004&lt;/year&gt;&lt;/dates&gt;&lt;isbn&gt;1098-237X&lt;/isbn&gt;&lt;urls&gt;&lt;/urls&gt;&lt;/record&gt;&lt;/Cite&gt;&lt;/EndNote&gt;</w:instrText>
      </w:r>
      <w:r w:rsidRPr="00B27F0B">
        <w:rPr>
          <w:lang w:val="en-GB"/>
        </w:rPr>
        <w:fldChar w:fldCharType="separate"/>
      </w:r>
      <w:r w:rsidR="004E5A78" w:rsidRPr="00B56453">
        <w:rPr>
          <w:noProof/>
          <w:lang w:val="en-GB"/>
        </w:rPr>
        <w:t>(</w:t>
      </w:r>
      <w:hyperlink w:anchor="_ENREF_245" w:tooltip="Livingston, 1989 #910" w:history="1">
        <w:r w:rsidR="0094469E" w:rsidRPr="00B56453">
          <w:rPr>
            <w:noProof/>
            <w:lang w:val="en-GB"/>
          </w:rPr>
          <w:t>Livingston and Borko 1989</w:t>
        </w:r>
      </w:hyperlink>
      <w:r w:rsidR="004E5A78" w:rsidRPr="00B56453">
        <w:rPr>
          <w:noProof/>
          <w:lang w:val="en-GB"/>
        </w:rPr>
        <w:t xml:space="preserve">; </w:t>
      </w:r>
      <w:hyperlink w:anchor="_ENREF_274" w:tooltip="Meyer, 2004 #838" w:history="1">
        <w:r w:rsidR="0094469E" w:rsidRPr="00B56453">
          <w:rPr>
            <w:noProof/>
            <w:lang w:val="en-GB"/>
          </w:rPr>
          <w:t>Meyer 2004</w:t>
        </w:r>
      </w:hyperlink>
      <w:r w:rsidR="004E5A78" w:rsidRPr="00B56453">
        <w:rPr>
          <w:noProof/>
          <w:lang w:val="en-GB"/>
        </w:rPr>
        <w:t>)</w:t>
      </w:r>
      <w:r w:rsidRPr="009C2746">
        <w:rPr>
          <w:lang w:val="en-GB"/>
        </w:rPr>
        <w:fldChar w:fldCharType="end"/>
      </w:r>
      <w:r w:rsidRPr="00B56453">
        <w:rPr>
          <w:lang w:val="en-GB"/>
        </w:rPr>
        <w:t>.</w:t>
      </w:r>
    </w:p>
    <w:p w14:paraId="7EF8ECEC" w14:textId="77777777" w:rsidR="00D57CF8" w:rsidRPr="00B56453" w:rsidRDefault="00D57CF8" w:rsidP="00026049">
      <w:pPr>
        <w:pStyle w:val="Normal1"/>
        <w:rPr>
          <w:lang w:val="en-GB"/>
        </w:rPr>
      </w:pPr>
    </w:p>
    <w:p w14:paraId="2EA61D63" w14:textId="6937D6FB" w:rsidR="00D57CF8" w:rsidRPr="00B56453" w:rsidRDefault="00D57CF8" w:rsidP="00026049">
      <w:pPr>
        <w:pStyle w:val="Normal1"/>
        <w:rPr>
          <w:lang w:val="en-GB"/>
        </w:rPr>
      </w:pPr>
      <w:r w:rsidRPr="00B56453">
        <w:rPr>
          <w:lang w:val="en-GB"/>
        </w:rPr>
        <w:t xml:space="preserve">Novice teachers were often more rigid in their approach to using the feedback models, opting not make many changes to the protocol, whereas experienced teachers described making adaptations </w:t>
      </w:r>
      <w:r w:rsidR="008D1C34" w:rsidRPr="00B56453">
        <w:rPr>
          <w:lang w:val="en-GB"/>
        </w:rPr>
        <w:t>more easily</w:t>
      </w:r>
      <w:r w:rsidRPr="00B56453">
        <w:rPr>
          <w:lang w:val="en-GB"/>
        </w:rPr>
        <w:t xml:space="preserve">. Novices </w:t>
      </w:r>
      <w:r w:rsidR="008D1C34" w:rsidRPr="00B56453">
        <w:rPr>
          <w:lang w:val="en-GB"/>
        </w:rPr>
        <w:t>appeared to</w:t>
      </w:r>
      <w:r w:rsidRPr="00B56453">
        <w:rPr>
          <w:lang w:val="en-GB"/>
        </w:rPr>
        <w:t xml:space="preserve"> not</w:t>
      </w:r>
      <w:r w:rsidR="008D1C34" w:rsidRPr="00B56453">
        <w:rPr>
          <w:lang w:val="en-GB"/>
        </w:rPr>
        <w:t xml:space="preserve"> be</w:t>
      </w:r>
      <w:r w:rsidRPr="00B56453">
        <w:rPr>
          <w:lang w:val="en-GB"/>
        </w:rPr>
        <w:t xml:space="preserve"> using their reflective processes to make the dynamic changes their experienced colleagues were. This could be due to the novices being early in their development as teachers, </w:t>
      </w:r>
      <w:r w:rsidR="004A77DF" w:rsidRPr="00B56453">
        <w:rPr>
          <w:lang w:val="en-GB"/>
        </w:rPr>
        <w:t xml:space="preserve">still focusing on their learning of the core principles required before being able to incorporate a new feedback giving tool. This has been observed before in the literature, as teachers gain more experience they are able to focus more upon adapting to different situations and students fluidly due to their mastery of the basics </w:t>
      </w:r>
      <w:r w:rsidR="004A77DF" w:rsidRPr="009C2746">
        <w:rPr>
          <w:lang w:val="en-GB"/>
        </w:rPr>
        <w:fldChar w:fldCharType="begin"/>
      </w:r>
      <w:r w:rsidR="008B61BE" w:rsidRPr="00B56453">
        <w:rPr>
          <w:lang w:val="en-GB"/>
        </w:rPr>
        <w:instrText xml:space="preserve"> ADDIN EN.CITE &lt;EndNote&gt;&lt;Cite&gt;&lt;Author&gt;Westerman&lt;/Author&gt;&lt;Year&gt;1991&lt;/Year&gt;&lt;RecNum&gt;946&lt;/RecNum&gt;&lt;DisplayText&gt;(Westerman 1991; MacDougall and Drummond 2005)&lt;/DisplayText&gt;&lt;record&gt;&lt;rec-number&gt;946&lt;/rec-number&gt;&lt;foreign-keys&gt;&lt;key app="EN" db-id="xa2r2ewea92trkef5dt5arvbzafvpv2za5ft" timestamp="1500633353"&gt;946&lt;/key&gt;&lt;/foreign-keys&gt;&lt;ref-type name="Journal Article"&gt;17&lt;/ref-type&gt;&lt;contributors&gt;&lt;authors&gt;&lt;author&gt;Westerman, Delores A&lt;/author&gt;&lt;/authors&gt;&lt;/contributors&gt;&lt;titles&gt;&lt;title&gt;Expert and novice teacher decision making&lt;/title&gt;&lt;secondary-title&gt;Journal of teacher education&lt;/secondary-title&gt;&lt;/titles&gt;&lt;periodical&gt;&lt;full-title&gt;Journal of Teacher Education&lt;/full-title&gt;&lt;/periodical&gt;&lt;pages&gt;292-305&lt;/pages&gt;&lt;volume&gt;42&lt;/volume&gt;&lt;number&gt;4&lt;/number&gt;&lt;dates&gt;&lt;year&gt;1991&lt;/year&gt;&lt;/dates&gt;&lt;isbn&gt;0022-4871&lt;/isbn&gt;&lt;urls&gt;&lt;/urls&gt;&lt;/record&gt;&lt;/Cite&gt;&lt;Cite&gt;&lt;Author&gt;MacDougall&lt;/Author&gt;&lt;Year&gt;2005&lt;/Year&gt;&lt;RecNum&gt;945&lt;/RecNum&gt;&lt;record&gt;&lt;rec-number&gt;945&lt;/rec-number&gt;&lt;foreign-keys&gt;&lt;key app="EN" db-id="xa2r2ewea92trkef5dt5arvbzafvpv2za5ft" timestamp="1500633345"&gt;945&lt;/key&gt;&lt;/foreign-keys&gt;&lt;ref-type name="Journal Article"&gt;17&lt;/ref-type&gt;&lt;contributors&gt;&lt;authors&gt;&lt;author&gt;MacDougall, Jane&lt;/author&gt;&lt;author&gt;Drummond, Mary Jane&lt;/author&gt;&lt;/authors&gt;&lt;/contributors&gt;&lt;titles&gt;&lt;title&gt;The development of medical teachers: an enquiry into the learning histories of 10 experienced medical teachers&lt;/title&gt;&lt;secondary-title&gt;Medical education&lt;/secondary-title&gt;&lt;/titles&gt;&lt;periodical&gt;&lt;full-title&gt;Medical education&lt;/full-title&gt;&lt;/periodical&gt;&lt;pages&gt;1213-1220&lt;/pages&gt;&lt;volume&gt;39&lt;/volume&gt;&lt;number&gt;12&lt;/number&gt;&lt;dates&gt;&lt;year&gt;2005&lt;/year&gt;&lt;/dates&gt;&lt;isbn&gt;1365-2923&lt;/isbn&gt;&lt;urls&gt;&lt;/urls&gt;&lt;/record&gt;&lt;/Cite&gt;&lt;/EndNote&gt;</w:instrText>
      </w:r>
      <w:r w:rsidR="004A77DF" w:rsidRPr="00B27F0B">
        <w:rPr>
          <w:lang w:val="en-GB"/>
        </w:rPr>
        <w:fldChar w:fldCharType="separate"/>
      </w:r>
      <w:r w:rsidR="004A77DF" w:rsidRPr="00B56453">
        <w:rPr>
          <w:noProof/>
          <w:lang w:val="en-GB"/>
        </w:rPr>
        <w:t>(</w:t>
      </w:r>
      <w:hyperlink w:anchor="_ENREF_435" w:tooltip="Westerman, 1991 #946" w:history="1">
        <w:r w:rsidR="0094469E" w:rsidRPr="00B56453">
          <w:rPr>
            <w:noProof/>
            <w:lang w:val="en-GB"/>
          </w:rPr>
          <w:t>Westerman 1991</w:t>
        </w:r>
      </w:hyperlink>
      <w:r w:rsidR="004A77DF" w:rsidRPr="00B56453">
        <w:rPr>
          <w:noProof/>
          <w:lang w:val="en-GB"/>
        </w:rPr>
        <w:t xml:space="preserve">; </w:t>
      </w:r>
      <w:hyperlink w:anchor="_ENREF_252" w:tooltip="MacDougall, 2005 #945" w:history="1">
        <w:r w:rsidR="0094469E" w:rsidRPr="00B56453">
          <w:rPr>
            <w:noProof/>
            <w:lang w:val="en-GB"/>
          </w:rPr>
          <w:t>MacDougall and Drummond 2005</w:t>
        </w:r>
      </w:hyperlink>
      <w:r w:rsidR="004A77DF" w:rsidRPr="00B56453">
        <w:rPr>
          <w:noProof/>
          <w:lang w:val="en-GB"/>
        </w:rPr>
        <w:t>)</w:t>
      </w:r>
      <w:r w:rsidR="004A77DF" w:rsidRPr="009C2746">
        <w:rPr>
          <w:lang w:val="en-GB"/>
        </w:rPr>
        <w:fldChar w:fldCharType="end"/>
      </w:r>
      <w:r w:rsidR="004A77DF" w:rsidRPr="00B56453">
        <w:rPr>
          <w:lang w:val="en-GB"/>
        </w:rPr>
        <w:t>.</w:t>
      </w:r>
    </w:p>
    <w:p w14:paraId="720A806C" w14:textId="77777777" w:rsidR="008E7D00" w:rsidRPr="00B56453" w:rsidRDefault="008E7D00" w:rsidP="00026049">
      <w:pPr>
        <w:pStyle w:val="Normal1"/>
        <w:rPr>
          <w:lang w:val="en-GB"/>
        </w:rPr>
      </w:pPr>
    </w:p>
    <w:p w14:paraId="13E633A5" w14:textId="70357FA5" w:rsidR="008E7D00" w:rsidRPr="00B56453" w:rsidRDefault="008E7D00" w:rsidP="008E7D00">
      <w:pPr>
        <w:pStyle w:val="Normal1"/>
        <w:rPr>
          <w:lang w:val="en-GB"/>
        </w:rPr>
      </w:pPr>
      <w:r w:rsidRPr="00B56453">
        <w:rPr>
          <w:lang w:val="en-GB"/>
        </w:rPr>
        <w:t xml:space="preserve">This </w:t>
      </w:r>
      <w:r w:rsidR="0049047B" w:rsidRPr="00B56453">
        <w:rPr>
          <w:lang w:val="en-GB"/>
        </w:rPr>
        <w:t>finding</w:t>
      </w:r>
      <w:r w:rsidRPr="00B56453">
        <w:rPr>
          <w:lang w:val="en-GB"/>
        </w:rPr>
        <w:t xml:space="preserve"> is also important for the faculty development literature. Differences between how novices and experienced teacher</w:t>
      </w:r>
      <w:r w:rsidR="00700DC5" w:rsidRPr="00B56453">
        <w:rPr>
          <w:lang w:val="en-GB"/>
        </w:rPr>
        <w:t>s engage with interventions are unexplored, despite teaching approaches</w:t>
      </w:r>
      <w:r w:rsidRPr="00B56453">
        <w:rPr>
          <w:lang w:val="en-GB"/>
        </w:rPr>
        <w:t xml:space="preserve"> and conceptualisations of teaching differ</w:t>
      </w:r>
      <w:r w:rsidR="00700DC5" w:rsidRPr="00B56453">
        <w:rPr>
          <w:lang w:val="en-GB"/>
        </w:rPr>
        <w:t>ing</w:t>
      </w:r>
      <w:r w:rsidRPr="00B56453">
        <w:rPr>
          <w:lang w:val="en-GB"/>
        </w:rPr>
        <w:t xml:space="preserve"> in these groups </w:t>
      </w:r>
      <w:r w:rsidRPr="009C2746">
        <w:rPr>
          <w:lang w:val="en-GB"/>
        </w:rPr>
        <w:fldChar w:fldCharType="begin">
          <w:fldData xml:space="preserve">PEVuZE5vdGU+PENpdGU+PEF1dGhvcj5Ud2VuZ2U8L0F1dGhvcj48WWVhcj4yMDA5PC9ZZWFyPjxS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</w:fldData>
        </w:fldChar>
      </w:r>
      <w:r w:rsidRPr="00B56453">
        <w:rPr>
          <w:lang w:val="en-GB"/>
        </w:rPr>
        <w:instrText xml:space="preserve"> ADDIN EN.CITE </w:instrText>
      </w:r>
      <w:r w:rsidRPr="00B27F0B">
        <w:rPr>
          <w:lang w:val="en-GB"/>
        </w:rPr>
        <w:fldChar w:fldCharType="begin">
          <w:fldData xml:space="preserve">PEVuZE5vdGU+PENpdGU+PEF1dGhvcj5Ud2VuZ2U8L0F1dGhvcj48WWVhcj4yMDA5PC9ZZWFyPjxS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</w:fldData>
        </w:fldChar>
      </w:r>
      <w:r w:rsidRPr="00B56453">
        <w:rPr>
          <w:lang w:val="en-GB"/>
        </w:rPr>
        <w:instrText xml:space="preserve"> ADDIN EN.CITE.DATA </w:instrText>
      </w:r>
      <w:r w:rsidRPr="00B27F0B">
        <w:rPr>
          <w:lang w:val="en-GB"/>
        </w:rPr>
      </w:r>
      <w:r w:rsidRPr="00B27F0B">
        <w:rPr>
          <w:lang w:val="en-GB"/>
        </w:rPr>
        <w:fldChar w:fldCharType="end"/>
      </w:r>
      <w:r w:rsidRPr="00B27F0B">
        <w:rPr>
          <w:lang w:val="en-GB"/>
        </w:rPr>
      </w:r>
      <w:r w:rsidRPr="00B27F0B">
        <w:rPr>
          <w:lang w:val="en-GB"/>
        </w:rPr>
        <w:fldChar w:fldCharType="separate"/>
      </w:r>
      <w:r w:rsidRPr="00B56453">
        <w:rPr>
          <w:noProof/>
          <w:lang w:val="en-GB"/>
        </w:rPr>
        <w:t>(</w:t>
      </w:r>
      <w:hyperlink w:anchor="_ENREF_412" w:tooltip="Twenge, 2009 #727" w:history="1">
        <w:r w:rsidR="0094469E" w:rsidRPr="00B56453">
          <w:rPr>
            <w:noProof/>
            <w:lang w:val="en-GB"/>
          </w:rPr>
          <w:t>Twenge 2009</w:t>
        </w:r>
      </w:hyperlink>
      <w:r w:rsidRPr="00B56453">
        <w:rPr>
          <w:noProof/>
          <w:lang w:val="en-GB"/>
        </w:rPr>
        <w:t xml:space="preserve">; </w:t>
      </w:r>
      <w:hyperlink w:anchor="_ENREF_304" w:tooltip="Norman, 2011 #725" w:history="1">
        <w:r w:rsidR="0094469E" w:rsidRPr="00B56453">
          <w:rPr>
            <w:noProof/>
            <w:lang w:val="en-GB"/>
          </w:rPr>
          <w:t>Norman 2011</w:t>
        </w:r>
      </w:hyperlink>
      <w:r w:rsidRPr="00B56453">
        <w:rPr>
          <w:noProof/>
          <w:lang w:val="en-GB"/>
        </w:rPr>
        <w:t xml:space="preserve">; </w:t>
      </w:r>
      <w:hyperlink w:anchor="_ENREF_351" w:tooltip="Ross, 2012 #726" w:history="1">
        <w:r w:rsidR="0094469E" w:rsidRPr="00B56453">
          <w:rPr>
            <w:noProof/>
            <w:lang w:val="en-GB"/>
          </w:rPr>
          <w:t>Ross 2012</w:t>
        </w:r>
      </w:hyperlink>
      <w:r w:rsidRPr="00B56453">
        <w:rPr>
          <w:noProof/>
          <w:lang w:val="en-GB"/>
        </w:rPr>
        <w:t>)</w:t>
      </w:r>
      <w:r w:rsidRPr="009C2746">
        <w:rPr>
          <w:lang w:val="en-GB"/>
        </w:rPr>
        <w:fldChar w:fldCharType="end"/>
      </w:r>
      <w:r w:rsidRPr="00B56453">
        <w:rPr>
          <w:lang w:val="en-GB"/>
        </w:rPr>
        <w:t>.</w:t>
      </w:r>
      <w:r w:rsidR="00700DC5" w:rsidRPr="00B56453">
        <w:rPr>
          <w:lang w:val="en-GB"/>
        </w:rPr>
        <w:t xml:space="preserve"> This study aimed to address this gap in the </w:t>
      </w:r>
      <w:r w:rsidR="008D1C34" w:rsidRPr="00B56453">
        <w:rPr>
          <w:lang w:val="en-GB"/>
        </w:rPr>
        <w:t>literature</w:t>
      </w:r>
      <w:r w:rsidR="00700DC5" w:rsidRPr="00B56453">
        <w:rPr>
          <w:lang w:val="en-GB"/>
        </w:rPr>
        <w:t xml:space="preserve"> and has identified the different approaches the teachers adopted when using the feedback models. However, it was more difficult to understand the exact processes involved that contributed to novices struggling more with the models apart from their teaching skill level.</w:t>
      </w:r>
      <w:r w:rsidRPr="00B56453">
        <w:rPr>
          <w:lang w:val="en-GB"/>
        </w:rPr>
        <w:t xml:space="preserve"> </w:t>
      </w:r>
      <w:hyperlink w:anchor="_ENREF_228" w:tooltip="Kugel, 1993 #729" w:history="1">
        <w:r w:rsidR="0094469E" w:rsidRPr="00B27F0B">
          <w:rPr>
            <w:lang w:val="en-GB"/>
          </w:rPr>
          <w:fldChar w:fldCharType="begin"/>
        </w:r>
        <w:r w:rsidR="0094469E" w:rsidRPr="00B56453">
          <w:rPr>
            <w:lang w:val="en-GB"/>
          </w:rPr>
          <w:instrText xml:space="preserve"> ADDIN EN.CITE &lt;EndNote&gt;&lt;Cite AuthorYear="1"&gt;&lt;Author&gt;Kugel&lt;/Author&gt;&lt;Year&gt;1993&lt;/Year&gt;&lt;RecNum&gt;729&lt;/RecNum&gt;&lt;DisplayText&gt;Kugel (1993)&lt;/DisplayText&gt;&lt;record&gt;&lt;rec-number&gt;729&lt;/rec-number&gt;&lt;foreign-keys&gt;&lt;key app="EN" db-id="xa2r2ewea92trkef5dt5arvbzafvpv2za5ft" timestamp="1496417571"&gt;729&lt;/key&gt;&lt;/foreign-keys&gt;&lt;ref-type name="Journal Article"&gt;17&lt;/ref-type&gt;&lt;contributors&gt;&lt;authors&gt;&lt;author&gt;Kugel, Peter&lt;/author&gt;&lt;/authors&gt;&lt;/contributors&gt;&lt;titles&gt;&lt;title&gt;How professors develop as teachers&lt;/title&gt;&lt;secondary-title&gt;Studies in higher education&lt;/secondary-title&gt;&lt;/titles&gt;&lt;periodical&gt;&lt;full-title&gt;Studies in Higher Education&lt;/full-title&gt;&lt;/periodical&gt;&lt;pages&gt;315-328&lt;/pages&gt;&lt;volume&gt;18&lt;/volume&gt;&lt;number&gt;3&lt;/number&gt;&lt;dates&gt;&lt;year&gt;1993&lt;/year&gt;&lt;/dates&gt;&lt;isbn&gt;0307-5079&lt;/isbn&gt;&lt;urls&gt;&lt;/urls&gt;&lt;/record&gt;&lt;/Cite&gt;&lt;/EndNote&gt;</w:instrText>
        </w:r>
        <w:r w:rsidR="0094469E" w:rsidRPr="00B27F0B">
          <w:rPr>
            <w:lang w:val="en-GB"/>
          </w:rPr>
          <w:fldChar w:fldCharType="separate"/>
        </w:r>
        <w:r w:rsidR="0094469E" w:rsidRPr="00B56453">
          <w:rPr>
            <w:noProof/>
            <w:lang w:val="en-GB"/>
          </w:rPr>
          <w:t>Kugel (1993)</w:t>
        </w:r>
        <w:r w:rsidR="0094469E" w:rsidRPr="00B27F0B">
          <w:rPr>
            <w:lang w:val="en-GB"/>
          </w:rPr>
          <w:fldChar w:fldCharType="end"/>
        </w:r>
      </w:hyperlink>
      <w:r w:rsidRPr="00FD5859">
        <w:rPr>
          <w:lang w:val="en-GB"/>
        </w:rPr>
        <w:t xml:space="preserve"> </w:t>
      </w:r>
      <w:r w:rsidR="008D1C34" w:rsidRPr="00FD5859">
        <w:rPr>
          <w:lang w:val="en-GB"/>
        </w:rPr>
        <w:t>articulated</w:t>
      </w:r>
      <w:r w:rsidRPr="00B56453">
        <w:rPr>
          <w:lang w:val="en-GB"/>
        </w:rPr>
        <w:t xml:space="preserve"> the concept that teachers develop in stages much like their learners. Kugel proposed a framework that detail</w:t>
      </w:r>
      <w:r w:rsidR="00700DC5" w:rsidRPr="00B56453">
        <w:rPr>
          <w:lang w:val="en-GB"/>
        </w:rPr>
        <w:t>ed</w:t>
      </w:r>
      <w:r w:rsidRPr="00B56453">
        <w:rPr>
          <w:lang w:val="en-GB"/>
        </w:rPr>
        <w:t xml:space="preserve"> how teachers move from the initial stages of development (focusing on the self and the subject matter) to more advanced stages (student focused and facilitative) eventually leading to helping stud</w:t>
      </w:r>
      <w:r w:rsidR="008D1C34" w:rsidRPr="00B56453">
        <w:rPr>
          <w:lang w:val="en-GB"/>
        </w:rPr>
        <w:t>ents to be independent learners;</w:t>
      </w:r>
      <w:r w:rsidRPr="00B56453">
        <w:rPr>
          <w:lang w:val="en-GB"/>
        </w:rPr>
        <w:t xml:space="preserve"> this could be interpreted as SRL development. Interventions could impact in varied ways upon teachers at these different proposed stages. </w:t>
      </w:r>
      <w:r w:rsidR="00700DC5" w:rsidRPr="00B56453">
        <w:rPr>
          <w:lang w:val="en-GB"/>
        </w:rPr>
        <w:t xml:space="preserve">These factors could have contributed to the findings between teaching skill level in this study as SRL self-reflective processes were identified by teachers in </w:t>
      </w:r>
      <w:r w:rsidR="00700DC5" w:rsidRPr="00B56453">
        <w:rPr>
          <w:lang w:val="en-GB"/>
        </w:rPr>
        <w:lastRenderedPageBreak/>
        <w:t>both groups.</w:t>
      </w:r>
    </w:p>
    <w:p w14:paraId="17EDABD8" w14:textId="77777777" w:rsidR="008E7D00" w:rsidRPr="00B56453" w:rsidRDefault="008E7D00" w:rsidP="00026049">
      <w:pPr>
        <w:pStyle w:val="Normal1"/>
        <w:rPr>
          <w:lang w:val="en-GB"/>
        </w:rPr>
      </w:pPr>
    </w:p>
    <w:p w14:paraId="18BE8954" w14:textId="77777777" w:rsidR="000421F0" w:rsidRPr="00B56453" w:rsidRDefault="000421F0" w:rsidP="00026049">
      <w:pPr>
        <w:pStyle w:val="Normal1"/>
        <w:rPr>
          <w:lang w:val="en-GB"/>
        </w:rPr>
      </w:pPr>
    </w:p>
    <w:p w14:paraId="21C50682" w14:textId="7AFF5381" w:rsidR="00D435EF" w:rsidRPr="00B56453" w:rsidRDefault="00D435EF" w:rsidP="00026049">
      <w:pPr>
        <w:pStyle w:val="Normal1"/>
        <w:rPr>
          <w:lang w:val="en-GB"/>
        </w:rPr>
      </w:pPr>
      <w:r w:rsidRPr="00B56453">
        <w:rPr>
          <w:lang w:val="en-GB"/>
        </w:rPr>
        <w:t xml:space="preserve">However, these findings do not represent a </w:t>
      </w:r>
      <w:r w:rsidR="008D1C34" w:rsidRPr="00B56453">
        <w:rPr>
          <w:lang w:val="en-GB"/>
        </w:rPr>
        <w:t>comprehensive</w:t>
      </w:r>
      <w:r w:rsidRPr="00B56453">
        <w:rPr>
          <w:lang w:val="en-GB"/>
        </w:rPr>
        <w:t xml:space="preserve"> </w:t>
      </w:r>
      <w:r w:rsidR="000421F0" w:rsidRPr="00B56453">
        <w:rPr>
          <w:lang w:val="en-GB"/>
        </w:rPr>
        <w:t>explanatory framework</w:t>
      </w:r>
      <w:r w:rsidRPr="00B56453">
        <w:rPr>
          <w:lang w:val="en-GB"/>
        </w:rPr>
        <w:t xml:space="preserve"> of how teachers adapt their practice in authentic</w:t>
      </w:r>
      <w:r w:rsidR="00531CDB" w:rsidRPr="00B56453">
        <w:rPr>
          <w:lang w:val="en-GB"/>
        </w:rPr>
        <w:t xml:space="preserve"> educational</w:t>
      </w:r>
      <w:r w:rsidRPr="00B56453">
        <w:rPr>
          <w:lang w:val="en-GB"/>
        </w:rPr>
        <w:t xml:space="preserve"> environments. Other researchers furthering this line of inquiry should aim to explore the perceptions of a </w:t>
      </w:r>
      <w:r w:rsidR="008D1C34" w:rsidRPr="00B56453">
        <w:rPr>
          <w:lang w:val="en-GB"/>
        </w:rPr>
        <w:t>more diverse</w:t>
      </w:r>
      <w:r w:rsidRPr="00B56453">
        <w:rPr>
          <w:lang w:val="en-GB"/>
        </w:rPr>
        <w:t xml:space="preserve"> sample of teachers, specifically aiming to compare the views of those with even more diverse educational and working backgrounds </w:t>
      </w:r>
      <w:r w:rsidR="00EF281A" w:rsidRPr="009C2746">
        <w:rPr>
          <w:lang w:val="en-GB"/>
        </w:rPr>
        <w:fldChar w:fldCharType="begin"/>
      </w:r>
      <w:r w:rsidR="008B61BE" w:rsidRPr="00B56453">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00EF281A" w:rsidRPr="00B27F0B">
        <w:rPr>
          <w:lang w:val="en-GB"/>
        </w:rPr>
        <w:fldChar w:fldCharType="separate"/>
      </w:r>
      <w:r w:rsidR="004E5A78" w:rsidRPr="00B56453">
        <w:rPr>
          <w:noProof/>
          <w:lang w:val="en-GB"/>
        </w:rPr>
        <w:t>(</w:t>
      </w:r>
      <w:hyperlink w:anchor="_ENREF_395" w:tooltip="Steinert, 2016 #719" w:history="1">
        <w:r w:rsidR="0094469E" w:rsidRPr="00B56453">
          <w:rPr>
            <w:noProof/>
            <w:lang w:val="en-GB"/>
          </w:rPr>
          <w:t>Steinert et al. 2016</w:t>
        </w:r>
      </w:hyperlink>
      <w:r w:rsidR="004E5A78" w:rsidRPr="00B56453">
        <w:rPr>
          <w:noProof/>
          <w:lang w:val="en-GB"/>
        </w:rPr>
        <w:t>)</w:t>
      </w:r>
      <w:r w:rsidR="00EF281A" w:rsidRPr="009C2746">
        <w:rPr>
          <w:lang w:val="en-GB"/>
        </w:rPr>
        <w:fldChar w:fldCharType="end"/>
      </w:r>
      <w:r w:rsidRPr="00B56453">
        <w:rPr>
          <w:lang w:val="en-GB"/>
        </w:rPr>
        <w:t xml:space="preserve">. Due to teaching schedules and feasibility of data collection, only the teaching of two </w:t>
      </w:r>
      <w:r w:rsidR="008D1C34" w:rsidRPr="00B56453">
        <w:rPr>
          <w:lang w:val="en-GB"/>
        </w:rPr>
        <w:t xml:space="preserve">core </w:t>
      </w:r>
      <w:r w:rsidRPr="00B56453">
        <w:rPr>
          <w:lang w:val="en-GB"/>
        </w:rPr>
        <w:t xml:space="preserve">skills were </w:t>
      </w:r>
      <w:r w:rsidR="008D1C34" w:rsidRPr="00B56453">
        <w:rPr>
          <w:lang w:val="en-GB"/>
        </w:rPr>
        <w:t xml:space="preserve">selected for study </w:t>
      </w:r>
      <w:r w:rsidRPr="00B56453">
        <w:rPr>
          <w:lang w:val="en-GB"/>
        </w:rPr>
        <w:t xml:space="preserve">which limits the generalisability of </w:t>
      </w:r>
      <w:r w:rsidR="008D1C34" w:rsidRPr="00B56453">
        <w:rPr>
          <w:lang w:val="en-GB"/>
        </w:rPr>
        <w:t>the</w:t>
      </w:r>
      <w:r w:rsidRPr="00B56453">
        <w:rPr>
          <w:lang w:val="en-GB"/>
        </w:rPr>
        <w:t xml:space="preserve"> findings. Researchers should explore how different models of feedback training impact upon the practice of teachers who focus on other sk</w:t>
      </w:r>
      <w:r w:rsidR="0021662A" w:rsidRPr="00B56453">
        <w:rPr>
          <w:lang w:val="en-GB"/>
        </w:rPr>
        <w:t>ills in different environments.</w:t>
      </w:r>
    </w:p>
    <w:p w14:paraId="1E977D26" w14:textId="77777777" w:rsidR="00D435EF" w:rsidRPr="00B56453" w:rsidRDefault="00D435EF" w:rsidP="00D435EF"/>
    <w:p w14:paraId="34A8DF11" w14:textId="13D402DD" w:rsidR="00D435EF" w:rsidRPr="00B56453" w:rsidRDefault="00D435EF" w:rsidP="00BA4521">
      <w:pPr>
        <w:pStyle w:val="Heading3"/>
      </w:pPr>
      <w:bookmarkStart w:id="459" w:name="_Toc500319438"/>
      <w:r w:rsidRPr="00B56453">
        <w:t>D</w:t>
      </w:r>
      <w:r w:rsidR="00BF6160" w:rsidRPr="00B56453">
        <w:t>2</w:t>
      </w:r>
      <w:r w:rsidRPr="00B56453">
        <w:t>.</w:t>
      </w:r>
      <w:r w:rsidR="001D4869" w:rsidRPr="00B56453">
        <w:t>1</w:t>
      </w:r>
      <w:r w:rsidRPr="00B56453">
        <w:t xml:space="preserve">.1 SRL MA </w:t>
      </w:r>
      <w:r w:rsidR="0051568B" w:rsidRPr="00B56453">
        <w:t>C</w:t>
      </w:r>
      <w:r w:rsidRPr="00B56453">
        <w:t xml:space="preserve">ontributing to an </w:t>
      </w:r>
      <w:r w:rsidR="0051568B" w:rsidRPr="00B56453">
        <w:t>Existing T</w:t>
      </w:r>
      <w:r w:rsidRPr="00B56453">
        <w:t>ool-kit</w:t>
      </w:r>
      <w:bookmarkEnd w:id="459"/>
    </w:p>
    <w:p w14:paraId="4D8254DC" w14:textId="77777777" w:rsidR="00D435EF" w:rsidRPr="00B56453" w:rsidRDefault="00D435EF" w:rsidP="00531CDB">
      <w:pPr>
        <w:pStyle w:val="Normal1"/>
        <w:rPr>
          <w:lang w:val="en-GB"/>
        </w:rPr>
      </w:pPr>
    </w:p>
    <w:p w14:paraId="1BFE52EB" w14:textId="7EB3154D" w:rsidR="00D435EF" w:rsidRPr="00B56453" w:rsidRDefault="00D435EF" w:rsidP="00531CDB">
      <w:pPr>
        <w:pStyle w:val="Normal1"/>
        <w:rPr>
          <w:lang w:val="en-GB"/>
        </w:rPr>
      </w:pPr>
      <w:r w:rsidRPr="00B56453">
        <w:rPr>
          <w:lang w:val="en-GB"/>
        </w:rPr>
        <w:t xml:space="preserve">There is no standardised all-encompassing model when clinical teachers (in simulation or in clinical settings) teach and provide feedback, their experiences and skills form their own unique style </w:t>
      </w:r>
      <w:r w:rsidR="00EF281A" w:rsidRPr="009C2746">
        <w:rPr>
          <w:lang w:val="en-GB"/>
        </w:rPr>
        <w:fldChar w:fldCharType="begin"/>
      </w:r>
      <w:r w:rsidR="008B61BE" w:rsidRPr="00B56453">
        <w:rPr>
          <w:lang w:val="en-GB"/>
        </w:rPr>
        <w:instrText xml:space="preserve"> ADDIN EN.CITE &lt;EndNote&gt;&lt;Cite&gt;&lt;Author&gt;Norman&lt;/Author&gt;&lt;Year&gt;2005&lt;/Year&gt;&lt;RecNum&gt;929&lt;/RecNum&gt;&lt;DisplayText&gt;(Norman 2005)&lt;/DisplayText&gt;&lt;record&gt;&lt;rec-number&gt;929&lt;/rec-number&gt;&lt;foreign-keys&gt;&lt;key app="EN" db-id="xa2r2ewea92trkef5dt5arvbzafvpv2za5ft" timestamp="1498645434"&gt;929&lt;/key&gt;&lt;/foreign-keys&gt;&lt;ref-type name="Journal Article"&gt;17&lt;/ref-type&gt;&lt;contributors&gt;&lt;authors&gt;&lt;author&gt;Norman, Geoffrey&lt;/author&gt;&lt;/authors&gt;&lt;/contributors&gt;&lt;titles&gt;&lt;title&gt;Research in clinical reasoning: past history and current trends&lt;/title&gt;&lt;secondary-title&gt;Medical education&lt;/secondary-title&gt;&lt;/titles&gt;&lt;periodical&gt;&lt;full-title&gt;Medical education&lt;/full-title&gt;&lt;/periodical&gt;&lt;pages&gt;418-427&lt;/pages&gt;&lt;volume&gt;39&lt;/volume&gt;&lt;number&gt;4&lt;/number&gt;&lt;dates&gt;&lt;year&gt;2005&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303" w:tooltip="Norman, 2005 #929" w:history="1">
        <w:r w:rsidR="0094469E" w:rsidRPr="00B56453">
          <w:rPr>
            <w:noProof/>
            <w:lang w:val="en-GB"/>
          </w:rPr>
          <w:t>Norman 2005</w:t>
        </w:r>
      </w:hyperlink>
      <w:r w:rsidR="004E5A78" w:rsidRPr="00B56453">
        <w:rPr>
          <w:noProof/>
          <w:lang w:val="en-GB"/>
        </w:rPr>
        <w:t>)</w:t>
      </w:r>
      <w:r w:rsidR="00EF281A" w:rsidRPr="009C2746">
        <w:rPr>
          <w:lang w:val="en-GB"/>
        </w:rPr>
        <w:fldChar w:fldCharType="end"/>
      </w:r>
      <w:r w:rsidRPr="00B56453">
        <w:rPr>
          <w:lang w:val="en-GB"/>
        </w:rPr>
        <w:t>. Therefore</w:t>
      </w:r>
      <w:r w:rsidR="009D30A3" w:rsidRPr="00B56453">
        <w:rPr>
          <w:lang w:val="en-GB"/>
        </w:rPr>
        <w:t>,</w:t>
      </w:r>
      <w:r w:rsidRPr="00B56453">
        <w:rPr>
          <w:lang w:val="en-GB"/>
        </w:rPr>
        <w:t xml:space="preserve"> the goal in this research was not to replace their preferred model but to r</w:t>
      </w:r>
      <w:r w:rsidR="00531CDB" w:rsidRPr="00B56453">
        <w:rPr>
          <w:lang w:val="en-GB"/>
        </w:rPr>
        <w:t>efresh them on BPF principles and, for some,</w:t>
      </w:r>
      <w:r w:rsidRPr="00B56453">
        <w:rPr>
          <w:lang w:val="en-GB"/>
        </w:rPr>
        <w:t xml:space="preserve"> add SRL MA to their repertoire of fe</w:t>
      </w:r>
      <w:r w:rsidR="00531CDB" w:rsidRPr="00B56453">
        <w:rPr>
          <w:lang w:val="en-GB"/>
        </w:rPr>
        <w:t xml:space="preserve">edback giving skills. SRL MA </w:t>
      </w:r>
      <w:r w:rsidR="00BA7353" w:rsidRPr="00B56453">
        <w:rPr>
          <w:lang w:val="en-GB"/>
        </w:rPr>
        <w:t>was described as</w:t>
      </w:r>
      <w:r w:rsidRPr="00B56453">
        <w:rPr>
          <w:lang w:val="en-GB"/>
        </w:rPr>
        <w:t xml:space="preserve"> an add-on for teachers to provide structured SRLF within what they would already provid</w:t>
      </w:r>
      <w:r w:rsidR="00BA7353" w:rsidRPr="00B56453">
        <w:rPr>
          <w:lang w:val="en-GB"/>
        </w:rPr>
        <w:t xml:space="preserve">e in their feedback to </w:t>
      </w:r>
      <w:r w:rsidR="00FC0FFB" w:rsidRPr="00B56453">
        <w:rPr>
          <w:lang w:val="en-GB"/>
        </w:rPr>
        <w:t>students. They</w:t>
      </w:r>
      <w:r w:rsidRPr="00B56453">
        <w:rPr>
          <w:lang w:val="en-GB"/>
        </w:rPr>
        <w:t xml:space="preserve"> adopted what they found worked best within their </w:t>
      </w:r>
      <w:r w:rsidR="008D1C34" w:rsidRPr="00B56453">
        <w:rPr>
          <w:lang w:val="en-GB"/>
        </w:rPr>
        <w:t>individual</w:t>
      </w:r>
      <w:r w:rsidRPr="00B56453">
        <w:rPr>
          <w:lang w:val="en-GB"/>
        </w:rPr>
        <w:t xml:space="preserve"> approach as the teaching sessions progressed. Given more time using the SRL model, further adaptations could have occurred by them incorporating more or less of the SRL processes into their assessment and feedback. The </w:t>
      </w:r>
      <w:r w:rsidR="00531CDB" w:rsidRPr="00B56453">
        <w:rPr>
          <w:lang w:val="en-GB"/>
        </w:rPr>
        <w:t xml:space="preserve">key </w:t>
      </w:r>
      <w:r w:rsidRPr="00B56453">
        <w:rPr>
          <w:lang w:val="en-GB"/>
        </w:rPr>
        <w:t xml:space="preserve">strength of the SRL MA technique was that it was accessible without causing significant disruption to their practice or their teaching sessions. </w:t>
      </w:r>
    </w:p>
    <w:p w14:paraId="06BFB06E" w14:textId="77777777" w:rsidR="00D435EF" w:rsidRPr="00B56453" w:rsidRDefault="00D435EF" w:rsidP="00531CDB">
      <w:pPr>
        <w:pStyle w:val="Normal1"/>
        <w:rPr>
          <w:lang w:val="en-GB"/>
        </w:rPr>
      </w:pPr>
    </w:p>
    <w:p w14:paraId="02E02223" w14:textId="28A8B974" w:rsidR="00D435EF" w:rsidRPr="00B56453" w:rsidRDefault="00D435EF" w:rsidP="00531CDB">
      <w:pPr>
        <w:pStyle w:val="Normal1"/>
        <w:rPr>
          <w:lang w:val="en-GB"/>
        </w:rPr>
      </w:pPr>
      <w:r w:rsidRPr="00B56453">
        <w:rPr>
          <w:lang w:val="en-GB"/>
        </w:rPr>
        <w:t xml:space="preserve">This finding confirms suggestions by previous researchers that a </w:t>
      </w:r>
      <w:r w:rsidR="00531CDB" w:rsidRPr="00B56453">
        <w:rPr>
          <w:lang w:val="en-GB"/>
        </w:rPr>
        <w:t>MA</w:t>
      </w:r>
      <w:r w:rsidRPr="00B56453">
        <w:rPr>
          <w:lang w:val="en-GB"/>
        </w:rPr>
        <w:t xml:space="preserve"> questioning approach can be used to provide SRLF in authentic teaching settings </w:t>
      </w:r>
      <w:r w:rsidRPr="009C2746">
        <w:rPr>
          <w:lang w:val="en-GB"/>
        </w:rPr>
        <w:fldChar w:fldCharType="begin"/>
      </w:r>
      <w:r w:rsidR="008B61BE" w:rsidRPr="00B56453">
        <w:rPr>
          <w:lang w:val="en-GB"/>
        </w:rPr>
        <w:instrText xml:space="preserve"> ADDIN EN.CITE &lt;EndNote&gt;&lt;Cite&gt;&lt;Author&gt;Cleary&lt;/Author&gt;&lt;Year&gt;2014&lt;/Year&gt;&lt;RecNum&gt;313&lt;/RecNum&gt;&lt;DisplayText&gt;(Cleary et al. 2014; Cleary et al. 2016)&lt;/DisplayText&gt;&lt;record&gt;&lt;rec-number&gt;313&lt;/rec-number&gt;&lt;foreign-keys&gt;&lt;key app="EN" db-id="xa2r2ewea92trkef5dt5arvbzafvpv2za5ft" timestamp="1496417534"&gt;313&lt;/key&gt;&lt;/foreign-keys&gt;&lt;ref-type name="Journal Article"&gt;17&lt;/ref-type&gt;&lt;contributors&gt;&lt;authors&gt;&lt;author&gt;Cleary, Timothy J.&lt;/author&gt;&lt;author&gt;Dong, Ting&lt;/author&gt;&lt;author&gt;Artino Jr, Anthony R.&lt;/author&gt;&lt;/authors&gt;&lt;/contributors&gt;&lt;titles&gt;&lt;title&gt;Examining shifts in medical students’ microanalytic motivation beliefs and regulatory processes during a diagnostic reasoning task&lt;/title&gt;&lt;secondary-title&gt;Advances in Health Sciences Education&lt;/secondary-title&gt;&lt;/titles&gt;&lt;periodical&gt;&lt;full-title&gt;Advances in Health Sciences Education&lt;/full-title&gt;&lt;/periodical&gt;&lt;pages&gt;1-16&lt;/pages&gt;&lt;dates&gt;&lt;year&gt;2014&lt;/year&gt;&lt;/dates&gt;&lt;publisher&gt;Springer&lt;/publisher&gt;&lt;urls&gt;&lt;/urls&gt;&lt;/record&gt;&lt;/Cite&gt;&lt;Cite&gt;&lt;Author&gt;Cleary&lt;/Author&gt;&lt;Year&gt;2016&lt;/Year&gt;&lt;RecNum&gt;605&lt;/RecNum&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Pr="00B27F0B">
        <w:rPr>
          <w:lang w:val="en-GB"/>
        </w:rPr>
        <w:fldChar w:fldCharType="separate"/>
      </w:r>
      <w:r w:rsidR="004E5A78" w:rsidRPr="00B56453">
        <w:rPr>
          <w:noProof/>
          <w:lang w:val="en-GB"/>
        </w:rPr>
        <w:t>(</w:t>
      </w:r>
      <w:hyperlink w:anchor="_ENREF_85" w:tooltip="Cleary, 2014 #36" w:history="1">
        <w:r w:rsidR="0094469E" w:rsidRPr="00B56453">
          <w:rPr>
            <w:noProof/>
            <w:lang w:val="en-GB"/>
          </w:rPr>
          <w:t>Cleary et al. 2014</w:t>
        </w:r>
      </w:hyperlink>
      <w:r w:rsidR="004E5A78" w:rsidRPr="00B56453">
        <w:rPr>
          <w:noProof/>
          <w:lang w:val="en-GB"/>
        </w:rPr>
        <w:t xml:space="preserve">; </w:t>
      </w:r>
      <w:hyperlink w:anchor="_ENREF_86" w:tooltip="Cleary, 2016 #605" w:history="1">
        <w:r w:rsidR="0094469E" w:rsidRPr="00B56453">
          <w:rPr>
            <w:noProof/>
            <w:lang w:val="en-GB"/>
          </w:rPr>
          <w:t>Cleary et al. 2016</w:t>
        </w:r>
      </w:hyperlink>
      <w:r w:rsidR="004E5A78" w:rsidRPr="00B56453">
        <w:rPr>
          <w:noProof/>
          <w:lang w:val="en-GB"/>
        </w:rPr>
        <w:t>)</w:t>
      </w:r>
      <w:r w:rsidRPr="009C2746">
        <w:rPr>
          <w:lang w:val="en-GB"/>
        </w:rPr>
        <w:fldChar w:fldCharType="end"/>
      </w:r>
      <w:r w:rsidRPr="00B56453">
        <w:rPr>
          <w:lang w:val="en-GB"/>
        </w:rPr>
        <w:t>. From a more practical standpoint, SRL MA provides a way for teachers to empower students</w:t>
      </w:r>
      <w:r w:rsidR="00531CDB" w:rsidRPr="00B56453">
        <w:rPr>
          <w:lang w:val="en-GB"/>
        </w:rPr>
        <w:t>’</w:t>
      </w:r>
      <w:r w:rsidRPr="00B56453">
        <w:rPr>
          <w:lang w:val="en-GB"/>
        </w:rPr>
        <w:t xml:space="preserve"> SRL through structured feedback without extensive</w:t>
      </w:r>
      <w:r w:rsidR="00F129BD" w:rsidRPr="00B56453">
        <w:rPr>
          <w:lang w:val="en-GB"/>
        </w:rPr>
        <w:t xml:space="preserve"> additional</w:t>
      </w:r>
      <w:r w:rsidRPr="00B56453">
        <w:rPr>
          <w:lang w:val="en-GB"/>
        </w:rPr>
        <w:t xml:space="preserve"> training. Thus, embedding SRL MA into existing programmes of teaching </w:t>
      </w:r>
      <w:r w:rsidR="00BA7353" w:rsidRPr="00B56453">
        <w:rPr>
          <w:lang w:val="en-GB"/>
        </w:rPr>
        <w:t xml:space="preserve">may </w:t>
      </w:r>
      <w:r w:rsidRPr="00B56453">
        <w:rPr>
          <w:lang w:val="en-GB"/>
        </w:rPr>
        <w:t xml:space="preserve">provide an economical solution to enhancing SRL support </w:t>
      </w:r>
      <w:r w:rsidR="00C47AB5" w:rsidRPr="00B56453">
        <w:rPr>
          <w:lang w:val="en-GB"/>
        </w:rPr>
        <w:t>for students.</w:t>
      </w:r>
      <w:r w:rsidR="008D1C34" w:rsidRPr="00B56453">
        <w:rPr>
          <w:lang w:val="en-GB"/>
        </w:rPr>
        <w:t xml:space="preserve"> </w:t>
      </w:r>
    </w:p>
    <w:p w14:paraId="6B8A58B4" w14:textId="77777777" w:rsidR="00D435EF" w:rsidRPr="00B56453" w:rsidRDefault="00D435EF" w:rsidP="00531CDB">
      <w:pPr>
        <w:pStyle w:val="Normal1"/>
        <w:rPr>
          <w:lang w:val="en-GB"/>
        </w:rPr>
      </w:pPr>
    </w:p>
    <w:p w14:paraId="3579CFE1" w14:textId="5D8DC075" w:rsidR="00D435EF" w:rsidRPr="00B56453" w:rsidRDefault="00D435EF" w:rsidP="00BA4521">
      <w:pPr>
        <w:pStyle w:val="Heading3"/>
      </w:pPr>
      <w:bookmarkStart w:id="460" w:name="_Toc500319439"/>
      <w:r w:rsidRPr="00B56453">
        <w:lastRenderedPageBreak/>
        <w:t>D</w:t>
      </w:r>
      <w:r w:rsidR="00BF6160" w:rsidRPr="00B56453">
        <w:t>2</w:t>
      </w:r>
      <w:r w:rsidRPr="00B56453">
        <w:t>.</w:t>
      </w:r>
      <w:r w:rsidR="001D4869" w:rsidRPr="00B56453">
        <w:t>1</w:t>
      </w:r>
      <w:r w:rsidR="0051568B" w:rsidRPr="00B56453">
        <w:t>.2 Barriers in A</w:t>
      </w:r>
      <w:r w:rsidRPr="00B56453">
        <w:t>pplying SRL MA</w:t>
      </w:r>
      <w:bookmarkEnd w:id="460"/>
    </w:p>
    <w:p w14:paraId="1D28B718" w14:textId="77777777" w:rsidR="00D435EF" w:rsidRPr="00B56453" w:rsidRDefault="00D435EF" w:rsidP="00026049">
      <w:pPr>
        <w:pStyle w:val="Normal1"/>
        <w:rPr>
          <w:lang w:val="en-GB"/>
        </w:rPr>
      </w:pPr>
    </w:p>
    <w:p w14:paraId="65E04DFE" w14:textId="4874847A" w:rsidR="00D435EF" w:rsidRPr="00B56453" w:rsidRDefault="00D435EF" w:rsidP="00026049">
      <w:pPr>
        <w:pStyle w:val="Normal1"/>
        <w:rPr>
          <w:lang w:val="en-GB"/>
        </w:rPr>
      </w:pPr>
      <w:r w:rsidRPr="00B56453">
        <w:rPr>
          <w:lang w:val="en-GB"/>
        </w:rPr>
        <w:t>If the goal of programme designers or researchers is to apply SRL MA optimally and consistently across the curriculum they must consider the logistical barriers identifie</w:t>
      </w:r>
      <w:r w:rsidR="00862FBE" w:rsidRPr="00B56453">
        <w:rPr>
          <w:lang w:val="en-GB"/>
        </w:rPr>
        <w:t xml:space="preserve">d in the course of this study. </w:t>
      </w:r>
      <w:r w:rsidRPr="00B56453">
        <w:rPr>
          <w:lang w:val="en-GB"/>
        </w:rPr>
        <w:t>In health professions research, the typical barrier in applying interventions is usually recruitment and participant ‘buy</w:t>
      </w:r>
      <w:r w:rsidR="00531CDB" w:rsidRPr="00B56453">
        <w:rPr>
          <w:lang w:val="en-GB"/>
        </w:rPr>
        <w:t>-</w:t>
      </w:r>
      <w:r w:rsidRPr="00B56453">
        <w:rPr>
          <w:lang w:val="en-GB"/>
        </w:rPr>
        <w:t xml:space="preserve">in’ </w:t>
      </w:r>
      <w:r w:rsidR="00EF281A" w:rsidRPr="009C2746">
        <w:rPr>
          <w:lang w:val="en-GB"/>
        </w:rPr>
        <w:fldChar w:fldCharType="begin"/>
      </w:r>
      <w:r w:rsidR="008B61BE" w:rsidRPr="00B56453">
        <w:rPr>
          <w:lang w:val="en-GB"/>
        </w:rPr>
        <w:instrText xml:space="preserve"> ADDIN EN.CITE &lt;EndNote&gt;&lt;Cite&gt;&lt;Author&gt;Wilson&lt;/Author&gt;&lt;Year&gt;2000&lt;/Year&gt;&lt;RecNum&gt;931&lt;/RecNum&gt;&lt;DisplayText&gt;(Wilson et al. 2000)&lt;/DisplayText&gt;&lt;record&gt;&lt;rec-number&gt;931&lt;/rec-number&gt;&lt;foreign-keys&gt;&lt;key app="EN" db-id="xa2r2ewea92trkef5dt5arvbzafvpv2za5ft" timestamp="1499076811"&gt;931&lt;/key&gt;&lt;/foreign-keys&gt;&lt;ref-type name="Journal Article"&gt;17&lt;/ref-type&gt;&lt;contributors&gt;&lt;authors&gt;&lt;author&gt;Wilson, Sue&lt;/author&gt;&lt;author&gt;Delaney, Brendan C&lt;/author&gt;&lt;author&gt;Roalfe, Andrea&lt;/author&gt;&lt;author&gt;Roberts, Lesley&lt;/author&gt;&lt;author&gt;Redman, Val&lt;/author&gt;&lt;author&gt;Wearn, Andy M&lt;/author&gt;&lt;author&gt;Hobbs, FD Richard&lt;/author&gt;&lt;/authors&gt;&lt;/contributors&gt;&lt;titles&gt;&lt;title&gt;Randomised controlled trials in primary care: case study&lt;/title&gt;&lt;secondary-title&gt;Bmj&lt;/secondary-title&gt;&lt;/titles&gt;&lt;periodical&gt;&lt;full-title&gt;BMJ&lt;/full-title&gt;&lt;/periodical&gt;&lt;pages&gt;24-27&lt;/pages&gt;&lt;volume&gt;321&lt;/volume&gt;&lt;number&gt;7252&lt;/number&gt;&lt;dates&gt;&lt;year&gt;2000&lt;/year&gt;&lt;/dates&gt;&lt;isbn&gt;0959-8138&lt;/isbn&gt;&lt;urls&gt;&lt;/urls&gt;&lt;/record&gt;&lt;/Cite&gt;&lt;/EndNote&gt;</w:instrText>
      </w:r>
      <w:r w:rsidR="00EF281A" w:rsidRPr="00B27F0B">
        <w:rPr>
          <w:lang w:val="en-GB"/>
        </w:rPr>
        <w:fldChar w:fldCharType="separate"/>
      </w:r>
      <w:r w:rsidR="004E5A78" w:rsidRPr="00B56453">
        <w:rPr>
          <w:noProof/>
          <w:lang w:val="en-GB"/>
        </w:rPr>
        <w:t>(</w:t>
      </w:r>
      <w:hyperlink w:anchor="_ENREF_439" w:tooltip="Wilson, 2000 #931" w:history="1">
        <w:r w:rsidR="0094469E" w:rsidRPr="00B56453">
          <w:rPr>
            <w:noProof/>
            <w:lang w:val="en-GB"/>
          </w:rPr>
          <w:t>Wilson et al. 2000</w:t>
        </w:r>
      </w:hyperlink>
      <w:r w:rsidR="004E5A78" w:rsidRPr="00B56453">
        <w:rPr>
          <w:noProof/>
          <w:lang w:val="en-GB"/>
        </w:rPr>
        <w:t>)</w:t>
      </w:r>
      <w:r w:rsidR="00EF281A" w:rsidRPr="009C2746">
        <w:rPr>
          <w:lang w:val="en-GB"/>
        </w:rPr>
        <w:fldChar w:fldCharType="end"/>
      </w:r>
      <w:r w:rsidRPr="00B56453">
        <w:rPr>
          <w:lang w:val="en-GB"/>
        </w:rPr>
        <w:t>. Although there were no issues in recruitment in this research</w:t>
      </w:r>
      <w:r w:rsidR="00F129BD" w:rsidRPr="00B56453">
        <w:rPr>
          <w:lang w:val="en-GB"/>
        </w:rPr>
        <w:t>,</w:t>
      </w:r>
      <w:r w:rsidRPr="00B56453">
        <w:rPr>
          <w:lang w:val="en-GB"/>
        </w:rPr>
        <w:t xml:space="preserve"> the teachers’ commitment and adherence to the feedback models </w:t>
      </w:r>
      <w:r w:rsidR="00C47AB5" w:rsidRPr="00B56453">
        <w:rPr>
          <w:lang w:val="en-GB"/>
        </w:rPr>
        <w:t>were</w:t>
      </w:r>
      <w:r w:rsidRPr="00B56453">
        <w:rPr>
          <w:lang w:val="en-GB"/>
        </w:rPr>
        <w:t xml:space="preserve"> more difficult to attain and monitor. As the results in Chapter B2 show, each teacher went through a process of learning, applying, and embedding SRL MA into their practice. Several teaching sessions were required for </w:t>
      </w:r>
      <w:r w:rsidR="002F0A4C" w:rsidRPr="00B56453">
        <w:rPr>
          <w:lang w:val="en-GB"/>
        </w:rPr>
        <w:t>them</w:t>
      </w:r>
      <w:r w:rsidRPr="00B56453">
        <w:rPr>
          <w:lang w:val="en-GB"/>
        </w:rPr>
        <w:t xml:space="preserve"> to become comfortable </w:t>
      </w:r>
      <w:r w:rsidR="002F0A4C" w:rsidRPr="00B56453">
        <w:rPr>
          <w:lang w:val="en-GB"/>
        </w:rPr>
        <w:t xml:space="preserve">in </w:t>
      </w:r>
      <w:r w:rsidRPr="00B56453">
        <w:rPr>
          <w:lang w:val="en-GB"/>
        </w:rPr>
        <w:t xml:space="preserve">applying SRL MA </w:t>
      </w:r>
      <w:r w:rsidR="002F0A4C" w:rsidRPr="00B56453">
        <w:rPr>
          <w:lang w:val="en-GB"/>
        </w:rPr>
        <w:t>in</w:t>
      </w:r>
      <w:r w:rsidRPr="00B56453">
        <w:rPr>
          <w:lang w:val="en-GB"/>
        </w:rPr>
        <w:t xml:space="preserve"> their sessions</w:t>
      </w:r>
      <w:r w:rsidR="00F129BD" w:rsidRPr="00B56453">
        <w:rPr>
          <w:lang w:val="en-GB"/>
        </w:rPr>
        <w:t>, although some adapted quicker than others</w:t>
      </w:r>
      <w:r w:rsidRPr="00B56453">
        <w:rPr>
          <w:lang w:val="en-GB"/>
        </w:rPr>
        <w:t xml:space="preserve">. This was due both to </w:t>
      </w:r>
      <w:r w:rsidR="0065458B" w:rsidRPr="00B56453">
        <w:rPr>
          <w:lang w:val="en-GB"/>
        </w:rPr>
        <w:t>each</w:t>
      </w:r>
      <w:r w:rsidRPr="00B56453">
        <w:rPr>
          <w:lang w:val="en-GB"/>
        </w:rPr>
        <w:t xml:space="preserve"> </w:t>
      </w:r>
      <w:r w:rsidR="00D531CD" w:rsidRPr="00B56453">
        <w:rPr>
          <w:lang w:val="en-GB"/>
        </w:rPr>
        <w:t>teacher’s</w:t>
      </w:r>
      <w:r w:rsidRPr="00B56453">
        <w:rPr>
          <w:lang w:val="en-GB"/>
        </w:rPr>
        <w:t xml:space="preserve"> mastery</w:t>
      </w:r>
      <w:r w:rsidR="002F0A4C" w:rsidRPr="00B56453">
        <w:rPr>
          <w:lang w:val="en-GB"/>
        </w:rPr>
        <w:t xml:space="preserve"> level</w:t>
      </w:r>
      <w:r w:rsidRPr="00B56453">
        <w:rPr>
          <w:lang w:val="en-GB"/>
        </w:rPr>
        <w:t xml:space="preserve"> of the method and th</w:t>
      </w:r>
      <w:r w:rsidR="002F0A4C" w:rsidRPr="00B56453">
        <w:rPr>
          <w:lang w:val="en-GB"/>
        </w:rPr>
        <w:t xml:space="preserve">e </w:t>
      </w:r>
      <w:r w:rsidR="00FC0FFB" w:rsidRPr="00B56453">
        <w:rPr>
          <w:lang w:val="en-GB"/>
        </w:rPr>
        <w:t>constraints</w:t>
      </w:r>
      <w:r w:rsidR="002F0A4C" w:rsidRPr="00B56453">
        <w:rPr>
          <w:lang w:val="en-GB"/>
        </w:rPr>
        <w:t xml:space="preserve"> of the environment</w:t>
      </w:r>
      <w:r w:rsidRPr="00B56453">
        <w:rPr>
          <w:lang w:val="en-GB"/>
        </w:rPr>
        <w:t xml:space="preserve">. Additionally, teachers described how they modified SRL MA to their preferences over time potentially leading to uneven delivery across the student sample. This was an unavoidable outcome given the complex nature of students’ SRL support needs and teachers’ use of the method but evaluations must take this factor into account. The interviews and videos were able to identify these issues but future researchers may wish to provide more ‘test-runs’ for teachers or formally assess them before rolling out SRL MA in </w:t>
      </w:r>
      <w:r w:rsidR="009D30A3" w:rsidRPr="00B56453">
        <w:rPr>
          <w:lang w:val="en-GB"/>
        </w:rPr>
        <w:t>authentic</w:t>
      </w:r>
      <w:r w:rsidRPr="00B56453">
        <w:rPr>
          <w:lang w:val="en-GB"/>
        </w:rPr>
        <w:t xml:space="preserve"> teaching sessions. </w:t>
      </w:r>
    </w:p>
    <w:p w14:paraId="691CE91B" w14:textId="77777777" w:rsidR="00D435EF" w:rsidRPr="00B56453" w:rsidRDefault="00D435EF" w:rsidP="00026049">
      <w:pPr>
        <w:pStyle w:val="Normal1"/>
        <w:rPr>
          <w:lang w:val="en-GB"/>
        </w:rPr>
      </w:pPr>
    </w:p>
    <w:p w14:paraId="152796DD" w14:textId="5A091CA9" w:rsidR="00D435EF" w:rsidRPr="00B56453" w:rsidRDefault="00D435EF" w:rsidP="00026049">
      <w:pPr>
        <w:pStyle w:val="Normal1"/>
        <w:rPr>
          <w:lang w:val="en-GB"/>
        </w:rPr>
      </w:pPr>
      <w:r w:rsidRPr="00B56453">
        <w:rPr>
          <w:lang w:val="en-GB"/>
        </w:rPr>
        <w:t xml:space="preserve">Time </w:t>
      </w:r>
      <w:r w:rsidR="00D531CD" w:rsidRPr="00B56453">
        <w:rPr>
          <w:lang w:val="en-GB"/>
        </w:rPr>
        <w:t>constraints</w:t>
      </w:r>
      <w:r w:rsidRPr="00B56453">
        <w:rPr>
          <w:lang w:val="en-GB"/>
        </w:rPr>
        <w:t xml:space="preserve"> were a logistical barrier</w:t>
      </w:r>
      <w:r w:rsidR="000D7F92" w:rsidRPr="00B56453">
        <w:rPr>
          <w:lang w:val="en-GB"/>
        </w:rPr>
        <w:t>. T</w:t>
      </w:r>
      <w:r w:rsidRPr="00B56453">
        <w:rPr>
          <w:lang w:val="en-GB"/>
        </w:rPr>
        <w:t xml:space="preserve">eachers </w:t>
      </w:r>
      <w:r w:rsidR="000D7F92" w:rsidRPr="00B56453">
        <w:rPr>
          <w:lang w:val="en-GB"/>
        </w:rPr>
        <w:t>articulated</w:t>
      </w:r>
      <w:r w:rsidRPr="00B56453">
        <w:rPr>
          <w:lang w:val="en-GB"/>
        </w:rPr>
        <w:t xml:space="preserve"> how a small amount of time was added for each student due to tasks related to this research, specifically the collection of each student’s unique identifier and the use of </w:t>
      </w:r>
      <w:r w:rsidR="00F129BD" w:rsidRPr="00B56453">
        <w:rPr>
          <w:lang w:val="en-GB"/>
        </w:rPr>
        <w:t>checklists</w:t>
      </w:r>
      <w:r w:rsidRPr="00B56453">
        <w:rPr>
          <w:lang w:val="en-GB"/>
        </w:rPr>
        <w:t xml:space="preserve"> to record SRL question responses. This issue was compounded by</w:t>
      </w:r>
      <w:r w:rsidR="002F0A4C" w:rsidRPr="00B56453">
        <w:rPr>
          <w:lang w:val="en-GB"/>
        </w:rPr>
        <w:t xml:space="preserve"> existing</w:t>
      </w:r>
      <w:r w:rsidRPr="00B56453">
        <w:rPr>
          <w:lang w:val="en-GB"/>
        </w:rPr>
        <w:t xml:space="preserve"> time </w:t>
      </w:r>
      <w:r w:rsidR="00D531CD" w:rsidRPr="00B56453">
        <w:rPr>
          <w:lang w:val="en-GB"/>
        </w:rPr>
        <w:t>constraints</w:t>
      </w:r>
      <w:r w:rsidRPr="00B56453">
        <w:rPr>
          <w:lang w:val="en-GB"/>
        </w:rPr>
        <w:t xml:space="preserve"> in the sessions due to class sizes which was identified as a general barrier to giving feedback by </w:t>
      </w:r>
      <w:r w:rsidR="002F0A4C" w:rsidRPr="00B56453">
        <w:rPr>
          <w:lang w:val="en-GB"/>
        </w:rPr>
        <w:t>most</w:t>
      </w:r>
      <w:r w:rsidRPr="00B56453">
        <w:rPr>
          <w:lang w:val="en-GB"/>
        </w:rPr>
        <w:t xml:space="preserve"> </w:t>
      </w:r>
      <w:r w:rsidR="009F1882" w:rsidRPr="00B56453">
        <w:rPr>
          <w:lang w:val="en-GB"/>
        </w:rPr>
        <w:t>teacher</w:t>
      </w:r>
      <w:r w:rsidRPr="00B56453">
        <w:rPr>
          <w:lang w:val="en-GB"/>
        </w:rPr>
        <w:t>s. To remedy this</w:t>
      </w:r>
      <w:r w:rsidR="000D7F92" w:rsidRPr="00B56453">
        <w:rPr>
          <w:lang w:val="en-GB"/>
        </w:rPr>
        <w:t xml:space="preserve"> in the future</w:t>
      </w:r>
      <w:r w:rsidRPr="00B56453">
        <w:rPr>
          <w:lang w:val="en-GB"/>
        </w:rPr>
        <w:t>, the sheets and collection of identifiers can be removed altogether</w:t>
      </w:r>
      <w:r w:rsidR="00C47AB5" w:rsidRPr="00B56453">
        <w:rPr>
          <w:lang w:val="en-GB"/>
        </w:rPr>
        <w:t>,</w:t>
      </w:r>
      <w:r w:rsidRPr="00B56453">
        <w:rPr>
          <w:lang w:val="en-GB"/>
        </w:rPr>
        <w:t xml:space="preserve"> provided teachers are </w:t>
      </w:r>
      <w:r w:rsidR="002F0A4C" w:rsidRPr="00B56453">
        <w:rPr>
          <w:lang w:val="en-GB"/>
        </w:rPr>
        <w:t xml:space="preserve">sufficiently </w:t>
      </w:r>
      <w:r w:rsidRPr="00B56453">
        <w:rPr>
          <w:lang w:val="en-GB"/>
        </w:rPr>
        <w:t>trained to use SRL MA without the sheets. This would apply outside of the research context in situations where SRL MA was being rolled out purely to put into practice the recommendations from t</w:t>
      </w:r>
      <w:r w:rsidR="002F0A4C" w:rsidRPr="00B56453">
        <w:rPr>
          <w:lang w:val="en-GB"/>
        </w:rPr>
        <w:t>his</w:t>
      </w:r>
      <w:r w:rsidRPr="00B56453">
        <w:rPr>
          <w:lang w:val="en-GB"/>
        </w:rPr>
        <w:t xml:space="preserve"> research. Those wishing to further research SRL MA and SRLF may need to consider other methods of tracking who received SRLF and monitoring teachers. </w:t>
      </w:r>
    </w:p>
    <w:p w14:paraId="2AD35EE6" w14:textId="77777777" w:rsidR="00D435EF" w:rsidRPr="00B56453" w:rsidRDefault="00D435EF" w:rsidP="00026049">
      <w:pPr>
        <w:pStyle w:val="Normal1"/>
        <w:rPr>
          <w:lang w:val="en-GB"/>
        </w:rPr>
      </w:pPr>
    </w:p>
    <w:p w14:paraId="52DB3A2D" w14:textId="6DC5C4E5" w:rsidR="00F129BD" w:rsidRPr="00B56453" w:rsidRDefault="00F129BD" w:rsidP="00026049">
      <w:pPr>
        <w:pStyle w:val="Normal1"/>
        <w:rPr>
          <w:lang w:val="en-GB"/>
        </w:rPr>
      </w:pPr>
      <w:r w:rsidRPr="00B56453">
        <w:rPr>
          <w:lang w:val="en-GB"/>
        </w:rPr>
        <w:t xml:space="preserve">A potential solution to some of these limitations could be to use the video recording facilities as a teaching and development tool for the teachers. They could develop their </w:t>
      </w:r>
      <w:r w:rsidRPr="00B56453">
        <w:rPr>
          <w:lang w:val="en-GB"/>
        </w:rPr>
        <w:lastRenderedPageBreak/>
        <w:t>own SRL by assessing their performance on video and be encouraged to adapt their approach for the next session. After several iterations of this with support from researchers, they may be able to accurately self-regulate their performance with the feedback model. Peer observation using the videos may also contribute to both their own development and that of their colleagues through peer feedback.</w:t>
      </w:r>
    </w:p>
    <w:p w14:paraId="41F799FC" w14:textId="77777777" w:rsidR="00F129BD" w:rsidRPr="00B56453" w:rsidRDefault="00F129BD" w:rsidP="00026049">
      <w:pPr>
        <w:pStyle w:val="Normal1"/>
        <w:rPr>
          <w:lang w:val="en-GB"/>
        </w:rPr>
      </w:pPr>
    </w:p>
    <w:p w14:paraId="09EC6364" w14:textId="5828CEFA" w:rsidR="00D435EF" w:rsidRPr="00B56453" w:rsidRDefault="00D435EF" w:rsidP="00026049">
      <w:pPr>
        <w:pStyle w:val="Normal1"/>
        <w:rPr>
          <w:lang w:val="en-GB"/>
        </w:rPr>
      </w:pPr>
      <w:r w:rsidRPr="00B56453">
        <w:rPr>
          <w:lang w:val="en-GB"/>
        </w:rPr>
        <w:t xml:space="preserve">Along with the barriers aforementioned, an allocation of resources would be required to set up rolling training sessions for new teachers as well as extra support for those who require it. Top-up sessions or information resources may also be needed to maintain optimal practice in enhancing students’ SRL through feedback. These considerations would be crucial if SRL MA were to be applied across the medical undergraduate curriculum, particularly since students receive feedback from so many sources inside and outside of the faculty </w:t>
      </w:r>
      <w:r w:rsidR="00EF281A" w:rsidRPr="009C2746">
        <w:rPr>
          <w:lang w:val="en-GB"/>
        </w:rPr>
        <w:fldChar w:fldCharType="begin"/>
      </w:r>
      <w:r w:rsidR="008B61BE" w:rsidRPr="00B56453">
        <w:rPr>
          <w:lang w:val="en-GB"/>
        </w:rPr>
        <w:instrText xml:space="preserve"> ADDIN EN.CITE &lt;EndNote&gt;&lt;Cite&gt;&lt;Author&gt;Sargeant&lt;/Author&gt;&lt;Year&gt;2008&lt;/Year&gt;&lt;RecNum&gt;493&lt;/RecNum&gt;&lt;DisplayText&gt;(Sargeant et al. 2008)&lt;/DisplayText&gt;&lt;record&gt;&lt;rec-number&gt;493&lt;/rec-number&gt;&lt;foreign-keys&gt;&lt;key app="EN" db-id="xa2r2ewea92trkef5dt5arvbzafvpv2za5ft" timestamp="1496417549"&gt;493&lt;/key&gt;&lt;/foreign-keys&gt;&lt;ref-type name="Journal Article"&gt;17&lt;/ref-type&gt;&lt;contributors&gt;&lt;authors&gt;&lt;author&gt;Sargeant, Joan&lt;/author&gt;&lt;author&gt;Mann, Karen&lt;/author&gt;&lt;author&gt;Sinclair, Douglas&lt;/author&gt;&lt;author&gt;Van der Vleuten, Cees&lt;/author&gt;&lt;author&gt;Metsemakers, Job&lt;/author&gt;&lt;/authors&gt;&lt;/contributors&gt;&lt;titles&gt;&lt;title&gt;Understanding the influence of emotions and reflection upon multi-source feedback acceptance and use&lt;/title&gt;&lt;secondary-title&gt;Advances in Health Sciences Education&lt;/secondary-title&gt;&lt;/titles&gt;&lt;periodical&gt;&lt;full-title&gt;Advances in Health Sciences Education&lt;/full-title&gt;&lt;/periodical&gt;&lt;pages&gt;275-288&lt;/pages&gt;&lt;volume&gt;13&lt;/volume&gt;&lt;number&gt;3&lt;/number&gt;&lt;dates&gt;&lt;year&gt;2008&lt;/year&gt;&lt;/dates&gt;&lt;publisher&gt;Springer&lt;/publisher&gt;&lt;urls&gt;&lt;related-urls&gt;&lt;url&gt;http://link.springer.com/article/10.1007%2Fs10459-006-9039-x&lt;/url&gt;&lt;/related-urls&gt;&lt;/urls&gt;&lt;/record&gt;&lt;/Cite&gt;&lt;/EndNote&gt;</w:instrText>
      </w:r>
      <w:r w:rsidR="00EF281A" w:rsidRPr="00B27F0B">
        <w:rPr>
          <w:lang w:val="en-GB"/>
        </w:rPr>
        <w:fldChar w:fldCharType="separate"/>
      </w:r>
      <w:r w:rsidR="004E5A78" w:rsidRPr="00B56453">
        <w:rPr>
          <w:noProof/>
          <w:lang w:val="en-GB"/>
        </w:rPr>
        <w:t>(</w:t>
      </w:r>
      <w:hyperlink w:anchor="_ENREF_360" w:tooltip="Sargeant, 2008 #493" w:history="1">
        <w:r w:rsidR="0094469E" w:rsidRPr="00B56453">
          <w:rPr>
            <w:noProof/>
            <w:lang w:val="en-GB"/>
          </w:rPr>
          <w:t>Sargeant et al. 2008</w:t>
        </w:r>
      </w:hyperlink>
      <w:r w:rsidR="004E5A78" w:rsidRPr="00B56453">
        <w:rPr>
          <w:noProof/>
          <w:lang w:val="en-GB"/>
        </w:rPr>
        <w:t>)</w:t>
      </w:r>
      <w:r w:rsidR="00EF281A" w:rsidRPr="009C2746">
        <w:rPr>
          <w:lang w:val="en-GB"/>
        </w:rPr>
        <w:fldChar w:fldCharType="end"/>
      </w:r>
      <w:r w:rsidRPr="00B56453">
        <w:rPr>
          <w:lang w:val="en-GB"/>
        </w:rPr>
        <w:t>.</w:t>
      </w:r>
    </w:p>
    <w:p w14:paraId="4CADB1E5" w14:textId="77777777" w:rsidR="00D435EF" w:rsidRPr="00B56453" w:rsidRDefault="00D435EF" w:rsidP="00D435EF"/>
    <w:p w14:paraId="0B6DC163" w14:textId="77777777" w:rsidR="006D4726" w:rsidRPr="00B56453" w:rsidRDefault="006D4726">
      <w:pPr>
        <w:rPr>
          <w:rFonts w:eastAsia="Lucida Sans Unicode" w:cs="Mangal"/>
          <w:b/>
          <w:kern w:val="1"/>
          <w:sz w:val="28"/>
          <w:szCs w:val="24"/>
          <w:lang w:eastAsia="hi-IN" w:bidi="hi-IN"/>
        </w:rPr>
      </w:pPr>
      <w:r w:rsidRPr="00B56453">
        <w:br w:type="page"/>
      </w:r>
    </w:p>
    <w:p w14:paraId="3B908B4B" w14:textId="2B9E5499" w:rsidR="00BC28A2" w:rsidRPr="00B56453" w:rsidRDefault="00DF187A" w:rsidP="00B1638D">
      <w:pPr>
        <w:pStyle w:val="Heading2"/>
        <w:rPr>
          <w:lang w:val="en-GB"/>
        </w:rPr>
      </w:pPr>
      <w:bookmarkStart w:id="461" w:name="_Toc500319440"/>
      <w:r w:rsidRPr="00B56453">
        <w:rPr>
          <w:lang w:val="en-GB"/>
        </w:rPr>
        <w:lastRenderedPageBreak/>
        <w:t>D</w:t>
      </w:r>
      <w:r w:rsidR="00BF6160" w:rsidRPr="00B56453">
        <w:rPr>
          <w:lang w:val="en-GB"/>
        </w:rPr>
        <w:t>2</w:t>
      </w:r>
      <w:r w:rsidRPr="00B56453">
        <w:rPr>
          <w:lang w:val="en-GB"/>
        </w:rPr>
        <w:t>.</w:t>
      </w:r>
      <w:r w:rsidR="001D4869" w:rsidRPr="00B56453">
        <w:rPr>
          <w:lang w:val="en-GB"/>
        </w:rPr>
        <w:t>2</w:t>
      </w:r>
      <w:r w:rsidR="00BC28A2" w:rsidRPr="00B56453">
        <w:rPr>
          <w:lang w:val="en-GB"/>
        </w:rPr>
        <w:t xml:space="preserve"> Improved SRL</w:t>
      </w:r>
      <w:r w:rsidR="00C97E0B" w:rsidRPr="00B56453">
        <w:rPr>
          <w:lang w:val="en-GB"/>
        </w:rPr>
        <w:t xml:space="preserve"> </w:t>
      </w:r>
      <w:r w:rsidR="00CB5CBE" w:rsidRPr="00B56453">
        <w:rPr>
          <w:lang w:val="en-GB"/>
        </w:rPr>
        <w:t>and Self-efficacy</w:t>
      </w:r>
      <w:bookmarkEnd w:id="461"/>
    </w:p>
    <w:p w14:paraId="64ACF6E4" w14:textId="77777777" w:rsidR="0015045A" w:rsidRPr="00B56453" w:rsidRDefault="0015045A" w:rsidP="0015045A">
      <w:pPr>
        <w:spacing w:after="0" w:line="276" w:lineRule="auto"/>
        <w:rPr>
          <w:rFonts w:cs="Times New Roman"/>
          <w:sz w:val="20"/>
          <w:szCs w:val="20"/>
        </w:rPr>
      </w:pPr>
    </w:p>
    <w:p w14:paraId="5A887027" w14:textId="363D01F6" w:rsidR="0015045A" w:rsidRPr="00B56453" w:rsidRDefault="007E6A69" w:rsidP="00026049">
      <w:pPr>
        <w:pStyle w:val="Normal1"/>
        <w:rPr>
          <w:lang w:val="en-GB"/>
        </w:rPr>
      </w:pPr>
      <w:r w:rsidRPr="00B56453">
        <w:rPr>
          <w:lang w:val="en-GB"/>
        </w:rPr>
        <w:t>The results reported in Chapter B3</w:t>
      </w:r>
      <w:r w:rsidR="0015045A" w:rsidRPr="00B56453">
        <w:rPr>
          <w:lang w:val="en-GB"/>
        </w:rPr>
        <w:t xml:space="preserve"> </w:t>
      </w:r>
      <w:r w:rsidRPr="00B56453">
        <w:rPr>
          <w:lang w:val="en-GB"/>
        </w:rPr>
        <w:t>aim</w:t>
      </w:r>
      <w:r w:rsidR="009A3617" w:rsidRPr="00B56453">
        <w:rPr>
          <w:lang w:val="en-GB"/>
        </w:rPr>
        <w:t>ed</w:t>
      </w:r>
      <w:r w:rsidRPr="00B56453">
        <w:rPr>
          <w:lang w:val="en-GB"/>
        </w:rPr>
        <w:t xml:space="preserve"> </w:t>
      </w:r>
      <w:r w:rsidR="0015045A" w:rsidRPr="00B56453">
        <w:rPr>
          <w:lang w:val="en-GB"/>
        </w:rPr>
        <w:t xml:space="preserve">to </w:t>
      </w:r>
      <w:r w:rsidR="004E5A78" w:rsidRPr="00B56453">
        <w:rPr>
          <w:lang w:val="en-GB"/>
        </w:rPr>
        <w:t>address</w:t>
      </w:r>
      <w:r w:rsidR="008D5822" w:rsidRPr="00B56453">
        <w:rPr>
          <w:lang w:val="en-GB"/>
        </w:rPr>
        <w:t xml:space="preserve"> the </w:t>
      </w:r>
      <w:r w:rsidR="00D531CD" w:rsidRPr="00B56453">
        <w:rPr>
          <w:lang w:val="en-GB"/>
        </w:rPr>
        <w:t>quantitative</w:t>
      </w:r>
      <w:r w:rsidR="008D5822" w:rsidRPr="00B56453">
        <w:rPr>
          <w:lang w:val="en-GB"/>
        </w:rPr>
        <w:t xml:space="preserve"> research question exploring</w:t>
      </w:r>
      <w:r w:rsidR="0015045A" w:rsidRPr="00B56453">
        <w:rPr>
          <w:lang w:val="en-GB"/>
        </w:rPr>
        <w:t xml:space="preserve"> the impact of </w:t>
      </w:r>
      <w:r w:rsidR="004E5A78" w:rsidRPr="00B56453">
        <w:rPr>
          <w:lang w:val="en-GB"/>
        </w:rPr>
        <w:t xml:space="preserve">the </w:t>
      </w:r>
      <w:r w:rsidR="0015045A" w:rsidRPr="00B56453">
        <w:rPr>
          <w:lang w:val="en-GB"/>
        </w:rPr>
        <w:t xml:space="preserve">two </w:t>
      </w:r>
      <w:r w:rsidR="00675729" w:rsidRPr="00B56453">
        <w:rPr>
          <w:lang w:val="en-GB"/>
        </w:rPr>
        <w:t>models</w:t>
      </w:r>
      <w:r w:rsidR="0015045A" w:rsidRPr="00B56453">
        <w:rPr>
          <w:lang w:val="en-GB"/>
        </w:rPr>
        <w:t xml:space="preserve"> of giving feedback on students’ SRL capacity and self-efficacy in the </w:t>
      </w:r>
      <w:r w:rsidR="00923E9D" w:rsidRPr="00B56453">
        <w:rPr>
          <w:lang w:val="en-GB"/>
        </w:rPr>
        <w:t>immediate</w:t>
      </w:r>
      <w:r w:rsidR="0015045A" w:rsidRPr="00B56453">
        <w:rPr>
          <w:lang w:val="en-GB"/>
        </w:rPr>
        <w:t xml:space="preserve"> and </w:t>
      </w:r>
      <w:r w:rsidR="00826050" w:rsidRPr="00B56453">
        <w:rPr>
          <w:lang w:val="en-GB"/>
        </w:rPr>
        <w:t>longer-term</w:t>
      </w:r>
      <w:r w:rsidR="0015045A" w:rsidRPr="00B56453">
        <w:rPr>
          <w:lang w:val="en-GB"/>
        </w:rPr>
        <w:t>. The analysis on the SRLF group showed a significant increase in SRL capacity and self-</w:t>
      </w:r>
      <w:r w:rsidR="00D531CD" w:rsidRPr="00B56453">
        <w:rPr>
          <w:lang w:val="en-GB"/>
        </w:rPr>
        <w:t>efficacy scores from</w:t>
      </w:r>
      <w:r w:rsidR="0015045A" w:rsidRPr="00B56453">
        <w:rPr>
          <w:lang w:val="en-GB"/>
        </w:rPr>
        <w:t xml:space="preserve"> pre-</w:t>
      </w:r>
      <w:r w:rsidR="00826050" w:rsidRPr="00B56453">
        <w:rPr>
          <w:lang w:val="en-GB"/>
        </w:rPr>
        <w:t>teaching</w:t>
      </w:r>
      <w:r w:rsidR="0015045A" w:rsidRPr="00B56453">
        <w:rPr>
          <w:lang w:val="en-GB"/>
        </w:rPr>
        <w:t xml:space="preserve"> to </w:t>
      </w:r>
      <w:r w:rsidR="009A3617" w:rsidRPr="00B56453">
        <w:rPr>
          <w:lang w:val="en-GB"/>
        </w:rPr>
        <w:t>post-</w:t>
      </w:r>
      <w:r w:rsidR="00826050" w:rsidRPr="00B56453">
        <w:rPr>
          <w:lang w:val="en-GB"/>
        </w:rPr>
        <w:t>teaching</w:t>
      </w:r>
      <w:r w:rsidR="009A3617" w:rsidRPr="00B56453">
        <w:rPr>
          <w:lang w:val="en-GB"/>
        </w:rPr>
        <w:t xml:space="preserve"> (8 months)</w:t>
      </w:r>
      <w:r w:rsidR="0015045A" w:rsidRPr="00B56453">
        <w:rPr>
          <w:lang w:val="en-GB"/>
        </w:rPr>
        <w:t xml:space="preserve"> after students had completed </w:t>
      </w:r>
      <w:r w:rsidR="00483DED" w:rsidRPr="00B56453">
        <w:rPr>
          <w:lang w:val="en-GB"/>
        </w:rPr>
        <w:t xml:space="preserve">clinical </w:t>
      </w:r>
      <w:r w:rsidR="0015045A" w:rsidRPr="00B56453">
        <w:rPr>
          <w:lang w:val="en-GB"/>
        </w:rPr>
        <w:t xml:space="preserve">placements. Students receiving BPF scored significantly lower in SRL capacity from pre to post </w:t>
      </w:r>
      <w:r w:rsidR="00826050" w:rsidRPr="00B56453">
        <w:rPr>
          <w:lang w:val="en-GB"/>
        </w:rPr>
        <w:t>teaching</w:t>
      </w:r>
      <w:r w:rsidR="0015045A" w:rsidRPr="00B56453">
        <w:rPr>
          <w:lang w:val="en-GB"/>
        </w:rPr>
        <w:t xml:space="preserve"> but significantly higher </w:t>
      </w:r>
      <w:r w:rsidR="00D926D4" w:rsidRPr="00B56453">
        <w:rPr>
          <w:lang w:val="en-GB"/>
        </w:rPr>
        <w:t>pre-teaching to post-clinical placements</w:t>
      </w:r>
      <w:r w:rsidR="0015045A" w:rsidRPr="00B56453">
        <w:rPr>
          <w:lang w:val="en-GB"/>
        </w:rPr>
        <w:t xml:space="preserve">. The BPF group also reported significantly lower self-efficacy scores pre to post </w:t>
      </w:r>
      <w:r w:rsidR="00826050" w:rsidRPr="00B56453">
        <w:rPr>
          <w:lang w:val="en-GB"/>
        </w:rPr>
        <w:t>teaching</w:t>
      </w:r>
      <w:r w:rsidR="0015045A" w:rsidRPr="00B56453">
        <w:rPr>
          <w:lang w:val="en-GB"/>
        </w:rPr>
        <w:t xml:space="preserve"> but an overall increase across all time points.</w:t>
      </w:r>
    </w:p>
    <w:p w14:paraId="50862570" w14:textId="77777777" w:rsidR="0015045A" w:rsidRPr="00B56453" w:rsidRDefault="0015045A" w:rsidP="00026049">
      <w:pPr>
        <w:pStyle w:val="Normal1"/>
        <w:rPr>
          <w:lang w:val="en-GB"/>
        </w:rPr>
      </w:pPr>
    </w:p>
    <w:p w14:paraId="3935EC79" w14:textId="639561EE" w:rsidR="0015045A" w:rsidRPr="00B56453" w:rsidRDefault="005C7C97" w:rsidP="00026049">
      <w:pPr>
        <w:pStyle w:val="Normal1"/>
        <w:rPr>
          <w:lang w:val="en-GB"/>
        </w:rPr>
      </w:pPr>
      <w:r w:rsidRPr="00B56453">
        <w:rPr>
          <w:lang w:val="en-GB"/>
        </w:rPr>
        <w:t>These</w:t>
      </w:r>
      <w:r w:rsidR="0015045A" w:rsidRPr="00B56453">
        <w:rPr>
          <w:lang w:val="en-GB"/>
        </w:rPr>
        <w:t xml:space="preserve"> results confirm with others that there is likely a positive </w:t>
      </w:r>
      <w:r w:rsidR="00D926D4" w:rsidRPr="00B56453">
        <w:rPr>
          <w:lang w:val="en-GB"/>
        </w:rPr>
        <w:t>impact</w:t>
      </w:r>
      <w:r w:rsidR="0015045A" w:rsidRPr="00B56453">
        <w:rPr>
          <w:lang w:val="en-GB"/>
        </w:rPr>
        <w:t xml:space="preserve"> on students’ </w:t>
      </w:r>
      <w:r w:rsidRPr="00B56453">
        <w:rPr>
          <w:lang w:val="en-GB"/>
        </w:rPr>
        <w:t>SRL</w:t>
      </w:r>
      <w:r w:rsidR="0015045A" w:rsidRPr="00B56453">
        <w:rPr>
          <w:lang w:val="en-GB"/>
        </w:rPr>
        <w:t xml:space="preserve"> when SRL supports are embedded into skills based teaching </w:t>
      </w:r>
      <w:r w:rsidR="00EF281A" w:rsidRPr="009C2746">
        <w:rPr>
          <w:lang w:val="en-GB"/>
        </w:rPr>
        <w:fldChar w:fldCharType="begin"/>
      </w:r>
      <w:r w:rsidR="008B61BE" w:rsidRPr="00B56453">
        <w:rPr>
          <w:lang w:val="en-GB"/>
        </w:rPr>
        <w:instrText xml:space="preserve"> ADDIN EN.CITE &lt;EndNote&gt;&lt;Cite&gt;&lt;Author&gt;Brydges&lt;/Author&gt;&lt;Year&gt;2015&lt;/Year&gt;&lt;RecNum&gt;18&lt;/RecNum&gt;&lt;DisplayText&gt;(Brydges et al. 2015)&lt;/DisplayText&gt;&lt;record&gt;&lt;rec-number&gt;18&lt;/rec-number&gt;&lt;foreign-keys&gt;&lt;key app="EN" db-id="xa2r2ewea92trkef5dt5arvbzafvpv2za5ft" timestamp="1442161763"&gt;18&lt;/key&gt;&lt;/foreign-keys&gt;&lt;ref-type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sidRPr="00B56453">
        <w:rPr>
          <w:rFonts w:ascii="Cambria Math" w:hAnsi="Cambria Math" w:cs="Cambria Math"/>
          <w:lang w:val="en-GB"/>
        </w:rPr>
        <w:instrText>‐</w:instrText>
      </w:r>
      <w:r w:rsidR="008B61BE" w:rsidRPr="00B56453">
        <w:rPr>
          <w:lang w:val="en-GB"/>
        </w:rPr>
        <w:instrText>regulated learning in simulation</w:instrText>
      </w:r>
      <w:r w:rsidR="008B61BE" w:rsidRPr="00B56453">
        <w:rPr>
          <w:rFonts w:ascii="Cambria Math" w:hAnsi="Cambria Math" w:cs="Cambria Math"/>
          <w:lang w:val="en-GB"/>
        </w:rPr>
        <w:instrText>‐</w:instrText>
      </w:r>
      <w:r w:rsidR="008B61BE" w:rsidRPr="00B56453">
        <w:rPr>
          <w:lang w:val="en-GB"/>
        </w:rPr>
        <w:instrText>based training: a systematic review and meta</w:instrText>
      </w:r>
      <w:r w:rsidR="008B61BE" w:rsidRPr="00B56453">
        <w:rPr>
          <w:rFonts w:ascii="Cambria Math" w:hAnsi="Cambria Math" w:cs="Cambria Math"/>
          <w:lang w:val="en-GB"/>
        </w:rPr>
        <w:instrText>‐</w:instrText>
      </w:r>
      <w:r w:rsidR="008B61B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B27F0B">
        <w:rPr>
          <w:lang w:val="en-GB"/>
        </w:rPr>
        <w:fldChar w:fldCharType="separate"/>
      </w:r>
      <w:r w:rsidR="004E5A78" w:rsidRPr="00B56453">
        <w:rPr>
          <w:noProof/>
          <w:lang w:val="en-GB"/>
        </w:rPr>
        <w:t>(</w:t>
      </w:r>
      <w:hyperlink w:anchor="_ENREF_56" w:tooltip="Brydges, 2015 #18" w:history="1">
        <w:r w:rsidR="0094469E" w:rsidRPr="00B56453">
          <w:rPr>
            <w:noProof/>
            <w:lang w:val="en-GB"/>
          </w:rPr>
          <w:t>Brydges et al. 2015</w:t>
        </w:r>
      </w:hyperlink>
      <w:r w:rsidR="004E5A78" w:rsidRPr="00B56453">
        <w:rPr>
          <w:noProof/>
          <w:lang w:val="en-GB"/>
        </w:rPr>
        <w:t>)</w:t>
      </w:r>
      <w:r w:rsidR="00EF281A" w:rsidRPr="009C2746">
        <w:rPr>
          <w:lang w:val="en-GB"/>
        </w:rPr>
        <w:fldChar w:fldCharType="end"/>
      </w:r>
      <w:r w:rsidR="0015045A" w:rsidRPr="00B56453">
        <w:rPr>
          <w:lang w:val="en-GB"/>
        </w:rPr>
        <w:t xml:space="preserve">. It aligns with the conceptual and theoretical models proposed by experts in the field who recommend embedding SRL into the feedback message </w:t>
      </w:r>
      <w:r w:rsidR="0015045A" w:rsidRPr="009C2746">
        <w:rPr>
          <w:lang w:val="en-GB"/>
        </w:rPr>
        <w:fldChar w:fldCharType="begin"/>
      </w:r>
      <w:r w:rsidR="008B61BE" w:rsidRPr="00B56453">
        <w:rPr>
          <w:lang w:val="en-GB"/>
        </w:rPr>
        <w:instrText xml:space="preserve"> ADDIN EN.CITE &lt;EndNote&gt;&lt;Cite&gt;&lt;Author&gt;Butler&lt;/Author&gt;&lt;Year&gt;1995&lt;/Year&gt;&lt;RecNum&gt;590&lt;/RecNum&gt;&lt;DisplayText&gt;(Butler and Winne 1995; Hattie and Timperley 2007)&lt;/DisplayText&gt;&lt;record&gt;&lt;rec-number&gt;590&lt;/rec-number&gt;&lt;foreign-keys&gt;&lt;key app="EN" db-id="xa2r2ewea92trkef5dt5arvbzafvpv2za5ft" timestamp="1496417558"&gt;590&lt;/key&gt;&lt;/foreign-keys&gt;&lt;ref-type name="Journal Article"&gt;17&lt;/ref-type&gt;&lt;contributors&gt;&lt;authors&gt;&lt;author&gt;Butler, Deborah L&lt;/author&gt;&lt;author&gt;Winne, Philip H&lt;/author&gt;&lt;/authors&gt;&lt;/contributors&gt;&lt;titles&gt;&lt;title&gt;Feedback and self-regulated learning: A theoretical synthesis&lt;/title&gt;&lt;secondary-title&gt;Review of educational research&lt;/secondary-title&gt;&lt;/titles&gt;&lt;periodical&gt;&lt;full-title&gt;Review of educational research&lt;/full-title&gt;&lt;/periodical&gt;&lt;pages&gt;245-281&lt;/pages&gt;&lt;volume&gt;65&lt;/volume&gt;&lt;number&gt;3&lt;/number&gt;&lt;dates&gt;&lt;year&gt;1995&lt;/year&gt;&lt;/dates&gt;&lt;isbn&gt;0034-6543&lt;/isbn&gt;&lt;urls&gt;&lt;/urls&gt;&lt;/record&gt;&lt;/Cite&gt;&lt;Cite&gt;&lt;Author&gt;Hattie&lt;/Author&gt;&lt;Year&gt;2007&lt;/Year&gt;&lt;RecNum&gt;109&lt;/RecNum&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15045A" w:rsidRPr="00B27F0B">
        <w:rPr>
          <w:lang w:val="en-GB"/>
        </w:rPr>
        <w:fldChar w:fldCharType="separate"/>
      </w:r>
      <w:r w:rsidR="004E5A78" w:rsidRPr="00B56453">
        <w:rPr>
          <w:noProof/>
          <w:lang w:val="en-GB"/>
        </w:rPr>
        <w:t>(</w:t>
      </w:r>
      <w:hyperlink w:anchor="_ENREF_66" w:tooltip="Butler, 1995 #590" w:history="1">
        <w:r w:rsidR="0094469E" w:rsidRPr="00B56453">
          <w:rPr>
            <w:noProof/>
            <w:lang w:val="en-GB"/>
          </w:rPr>
          <w:t>Butler and Winne 1995</w:t>
        </w:r>
      </w:hyperlink>
      <w:r w:rsidR="004E5A78" w:rsidRPr="00B56453">
        <w:rPr>
          <w:noProof/>
          <w:lang w:val="en-GB"/>
        </w:rPr>
        <w:t xml:space="preserve">; </w:t>
      </w:r>
      <w:hyperlink w:anchor="_ENREF_184" w:tooltip="Hattie, 2007 #109" w:history="1">
        <w:r w:rsidR="0094469E" w:rsidRPr="00B56453">
          <w:rPr>
            <w:noProof/>
            <w:lang w:val="en-GB"/>
          </w:rPr>
          <w:t>Hattie and Timperley 2007</w:t>
        </w:r>
      </w:hyperlink>
      <w:r w:rsidR="004E5A78" w:rsidRPr="00B56453">
        <w:rPr>
          <w:noProof/>
          <w:lang w:val="en-GB"/>
        </w:rPr>
        <w:t>)</w:t>
      </w:r>
      <w:r w:rsidR="0015045A" w:rsidRPr="009C2746">
        <w:rPr>
          <w:lang w:val="en-GB"/>
        </w:rPr>
        <w:fldChar w:fldCharType="end"/>
      </w:r>
      <w:r w:rsidR="0015045A" w:rsidRPr="00B56453">
        <w:rPr>
          <w:lang w:val="en-GB"/>
        </w:rPr>
        <w:t xml:space="preserve">. The underlying cause of this sustained impact could have been the facilitative approach of </w:t>
      </w:r>
      <w:r w:rsidRPr="00B56453">
        <w:rPr>
          <w:lang w:val="en-GB"/>
        </w:rPr>
        <w:t>SRL MA</w:t>
      </w:r>
      <w:r w:rsidR="0015045A" w:rsidRPr="00B56453">
        <w:rPr>
          <w:lang w:val="en-GB"/>
        </w:rPr>
        <w:t xml:space="preserve"> which allows for a conversational approach to feedback that is person and context specific </w:t>
      </w:r>
      <w:r w:rsidR="00EF281A" w:rsidRPr="007638B6">
        <w:rPr>
          <w:lang w:val="en-GB"/>
        </w:rPr>
        <w:fldChar w:fldCharType="begin"/>
      </w:r>
      <w:r w:rsidR="008B61BE" w:rsidRPr="00B56453">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B27F0B">
        <w:rPr>
          <w:lang w:val="en-GB"/>
        </w:rPr>
        <w:fldChar w:fldCharType="separate"/>
      </w:r>
      <w:r w:rsidR="004E5A78" w:rsidRPr="00B56453">
        <w:rPr>
          <w:noProof/>
          <w:lang w:val="en-GB"/>
        </w:rPr>
        <w:t>(</w:t>
      </w:r>
      <w:hyperlink w:anchor="_ENREF_83" w:tooltip="Cleary, 2012 #35" w:history="1">
        <w:r w:rsidR="0094469E" w:rsidRPr="00B56453">
          <w:rPr>
            <w:noProof/>
            <w:lang w:val="en-GB"/>
          </w:rPr>
          <w:t>Cleary et al. 2012</w:t>
        </w:r>
      </w:hyperlink>
      <w:r w:rsidR="004E5A78" w:rsidRPr="00B56453">
        <w:rPr>
          <w:noProof/>
          <w:lang w:val="en-GB"/>
        </w:rPr>
        <w:t>)</w:t>
      </w:r>
      <w:r w:rsidR="00EF281A" w:rsidRPr="007638B6">
        <w:rPr>
          <w:lang w:val="en-GB"/>
        </w:rPr>
        <w:fldChar w:fldCharType="end"/>
      </w:r>
      <w:r w:rsidR="0015045A" w:rsidRPr="00FD5859">
        <w:rPr>
          <w:lang w:val="en-GB"/>
        </w:rPr>
        <w:t xml:space="preserve">. Teacher </w:t>
      </w:r>
      <w:r w:rsidR="00B56453" w:rsidRPr="00B56453">
        <w:rPr>
          <w:lang w:val="en-GB"/>
        </w:rPr>
        <w:t xml:space="preserve">supported </w:t>
      </w:r>
      <w:r w:rsidR="0015045A" w:rsidRPr="00B56453">
        <w:rPr>
          <w:lang w:val="en-GB"/>
        </w:rPr>
        <w:t xml:space="preserve">approaches to improving SRL are known to have a greater effect than </w:t>
      </w:r>
      <w:r w:rsidR="00B56453" w:rsidRPr="00B56453">
        <w:rPr>
          <w:lang w:val="en-GB"/>
        </w:rPr>
        <w:t>independent learning approaches</w:t>
      </w:r>
      <w:r w:rsidR="0015045A" w:rsidRPr="00B56453">
        <w:rPr>
          <w:lang w:val="en-GB"/>
        </w:rPr>
        <w:t xml:space="preserve"> and could have led to relationship building between teachers and students, akin to the </w:t>
      </w:r>
      <w:r w:rsidRPr="00B56453">
        <w:rPr>
          <w:lang w:val="en-GB"/>
        </w:rPr>
        <w:t>‘</w:t>
      </w:r>
      <w:r w:rsidR="0015045A" w:rsidRPr="00B56453">
        <w:rPr>
          <w:lang w:val="en-GB"/>
        </w:rPr>
        <w:t>educational alliance</w:t>
      </w:r>
      <w:r w:rsidRPr="00B56453">
        <w:rPr>
          <w:lang w:val="en-GB"/>
        </w:rPr>
        <w:t>’</w:t>
      </w:r>
      <w:r w:rsidR="0015045A" w:rsidRPr="00B56453">
        <w:rPr>
          <w:lang w:val="en-GB"/>
        </w:rPr>
        <w:t xml:space="preserve"> model for feedback </w:t>
      </w:r>
      <w:r w:rsidR="0015045A" w:rsidRPr="009C2746">
        <w:rPr>
          <w:lang w:val="en-GB"/>
        </w:rPr>
        <w:fldChar w:fldCharType="begin"/>
      </w:r>
      <w:r w:rsidR="008B61BE" w:rsidRPr="00B56453">
        <w:rPr>
          <w:lang w:val="en-GB"/>
        </w:rPr>
        <w:instrText xml:space="preserve"> ADDIN EN.CITE &lt;EndNote&gt;&lt;Cite&gt;&lt;Author&gt;Brydges&lt;/Author&gt;&lt;Year&gt;2015&lt;/Year&gt;&lt;RecNum&gt;19&lt;/RecNum&gt;&lt;DisplayText&gt;(Brydges et al. 2015; Bowen et al. 2017)&lt;/DisplayText&gt;&lt;record&gt;&lt;rec-number&gt;19&lt;/rec-number&gt;&lt;foreign-keys&gt;&lt;key app="EN" db-id="xa2r2ewea92trkef5dt5arvbzafvpv2za5ft" timestamp="1442161763"&gt;19&lt;/key&gt;&lt;/foreign-keys&gt;&lt;ref-type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sidRPr="00B56453">
        <w:rPr>
          <w:rFonts w:ascii="Cambria Math" w:hAnsi="Cambria Math" w:cs="Cambria Math"/>
          <w:lang w:val="en-GB"/>
        </w:rPr>
        <w:instrText>‐</w:instrText>
      </w:r>
      <w:r w:rsidR="008B61BE" w:rsidRPr="00B56453">
        <w:rPr>
          <w:lang w:val="en-GB"/>
        </w:rPr>
        <w:instrText>regulated learning in simulation</w:instrText>
      </w:r>
      <w:r w:rsidR="008B61BE" w:rsidRPr="00B56453">
        <w:rPr>
          <w:rFonts w:ascii="Cambria Math" w:hAnsi="Cambria Math" w:cs="Cambria Math"/>
          <w:lang w:val="en-GB"/>
        </w:rPr>
        <w:instrText>‐</w:instrText>
      </w:r>
      <w:r w:rsidR="008B61BE" w:rsidRPr="00B56453">
        <w:rPr>
          <w:lang w:val="en-GB"/>
        </w:rPr>
        <w:instrText>based training: a systematic review and meta</w:instrText>
      </w:r>
      <w:r w:rsidR="008B61BE" w:rsidRPr="00B56453">
        <w:rPr>
          <w:rFonts w:ascii="Cambria Math" w:hAnsi="Cambria Math" w:cs="Cambria Math"/>
          <w:lang w:val="en-GB"/>
        </w:rPr>
        <w:instrText>‐</w:instrText>
      </w:r>
      <w:r w:rsidR="008B61B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Cite&gt;&lt;Author&gt;Bowen&lt;/Author&gt;&lt;Year&gt;2017&lt;/Year&gt;&lt;RecNum&gt;591&lt;/RecNum&gt;&lt;record&gt;&lt;rec-number&gt;591&lt;/rec-number&gt;&lt;foreign-keys&gt;&lt;key app="EN" db-id="xa2r2ewea92trkef5dt5arvbzafvpv2za5ft" timestamp="1496417558"&gt;591&lt;/key&gt;&lt;/foreign-keys&gt;&lt;ref-type name="Journal Article"&gt;17&lt;/ref-type&gt;&lt;contributors&gt;&lt;authors&gt;&lt;author&gt;Bowen, Lucy&lt;/author&gt;&lt;author&gt;Marshall, Michelle&lt;/author&gt;&lt;author&gt;Murdoch-Eaton, Deborah&lt;/author&gt;&lt;/authors&gt;&lt;/contributors&gt;&lt;titles&gt;&lt;title&gt;Medical Student Perceptions of Feedback and Feedback Behaviors Within the Context of the&amp;quot; Educational Alliance&amp;quot;&lt;/title&gt;&lt;secondary-title&gt;Academic Medicine&lt;/secondary-title&gt;&lt;/titles&gt;&lt;periodical&gt;&lt;full-title&gt;Academic Medicine&lt;/full-title&gt;&lt;/periodical&gt;&lt;dates&gt;&lt;year&gt;2017&lt;/year&gt;&lt;/dates&gt;&lt;isbn&gt;1040-2446&lt;/isbn&gt;&lt;urls&gt;&lt;/urls&gt;&lt;/record&gt;&lt;/Cite&gt;&lt;/EndNote&gt;</w:instrText>
      </w:r>
      <w:r w:rsidR="0015045A" w:rsidRPr="00B27F0B">
        <w:rPr>
          <w:lang w:val="en-GB"/>
        </w:rPr>
        <w:fldChar w:fldCharType="separate"/>
      </w:r>
      <w:r w:rsidR="004E5A78" w:rsidRPr="00B56453">
        <w:rPr>
          <w:noProof/>
          <w:lang w:val="en-GB"/>
        </w:rPr>
        <w:t>(</w:t>
      </w:r>
      <w:hyperlink w:anchor="_ENREF_56" w:tooltip="Brydges, 2015 #18" w:history="1">
        <w:r w:rsidR="0094469E" w:rsidRPr="00B56453">
          <w:rPr>
            <w:noProof/>
            <w:lang w:val="en-GB"/>
          </w:rPr>
          <w:t>Brydges et al. 2015</w:t>
        </w:r>
      </w:hyperlink>
      <w:r w:rsidR="004E5A78" w:rsidRPr="00B56453">
        <w:rPr>
          <w:noProof/>
          <w:lang w:val="en-GB"/>
        </w:rPr>
        <w:t xml:space="preserve">; </w:t>
      </w:r>
      <w:hyperlink w:anchor="_ENREF_51" w:tooltip="Bowen, 2017 #591" w:history="1">
        <w:r w:rsidR="0094469E" w:rsidRPr="00B56453">
          <w:rPr>
            <w:noProof/>
            <w:lang w:val="en-GB"/>
          </w:rPr>
          <w:t>Bowen et al. 2017</w:t>
        </w:r>
      </w:hyperlink>
      <w:r w:rsidR="004E5A78" w:rsidRPr="00B56453">
        <w:rPr>
          <w:noProof/>
          <w:lang w:val="en-GB"/>
        </w:rPr>
        <w:t>)</w:t>
      </w:r>
      <w:r w:rsidR="0015045A" w:rsidRPr="009C2746">
        <w:rPr>
          <w:lang w:val="en-GB"/>
        </w:rPr>
        <w:fldChar w:fldCharType="end"/>
      </w:r>
      <w:r w:rsidR="0015045A" w:rsidRPr="00B56453">
        <w:rPr>
          <w:lang w:val="en-GB"/>
        </w:rPr>
        <w:t xml:space="preserve">. It is more difficult to account for the immediate decrease in </w:t>
      </w:r>
      <w:r w:rsidRPr="00B56453">
        <w:rPr>
          <w:lang w:val="en-GB"/>
        </w:rPr>
        <w:t>both measures</w:t>
      </w:r>
      <w:r w:rsidR="0015045A" w:rsidRPr="00B56453">
        <w:rPr>
          <w:lang w:val="en-GB"/>
        </w:rPr>
        <w:t xml:space="preserve"> for the BPF group</w:t>
      </w:r>
      <w:r w:rsidR="00D926D4" w:rsidRPr="00B56453">
        <w:rPr>
          <w:lang w:val="en-GB"/>
        </w:rPr>
        <w:t>;</w:t>
      </w:r>
      <w:r w:rsidR="0015045A" w:rsidRPr="00B56453">
        <w:rPr>
          <w:lang w:val="en-GB"/>
        </w:rPr>
        <w:t xml:space="preserve"> it could indicate that the net effect of BPF is negative in the </w:t>
      </w:r>
      <w:r w:rsidR="00826050" w:rsidRPr="00B56453">
        <w:rPr>
          <w:lang w:val="en-GB"/>
        </w:rPr>
        <w:t>immediate</w:t>
      </w:r>
      <w:r w:rsidR="0015045A" w:rsidRPr="00B56453">
        <w:rPr>
          <w:lang w:val="en-GB"/>
        </w:rPr>
        <w:t xml:space="preserve"> or that it may not be appropriate for that learning context. Although feedback has been found to have a moderately positive effect in simulated clinical skills learning, this may not translate directly into SRL or self-efficacy outcomes as has been shown in the BPF group </w:t>
      </w:r>
      <w:r w:rsidR="00EF281A" w:rsidRPr="009C2746">
        <w:rPr>
          <w:lang w:val="en-GB"/>
        </w:rPr>
        <w:fldChar w:fldCharType="begin"/>
      </w:r>
      <w:r w:rsidR="008B61BE" w:rsidRPr="00B56453">
        <w:rPr>
          <w:lang w:val="en-GB"/>
        </w:rPr>
        <w:instrText xml:space="preserve"> ADDIN EN.CITE &lt;EndNote&gt;&lt;Cite&gt;&lt;Author&gt;Hatala&lt;/Author&gt;&lt;Year&gt;2014&lt;/Year&gt;&lt;RecNum&gt;107&lt;/RecNum&gt;&lt;DisplayText&gt;(Hatala et al. 2014)&lt;/DisplayText&gt;&lt;record&gt;&lt;rec-number&gt;107&lt;/rec-number&gt;&lt;foreign-keys&gt;&lt;key app="EN" db-id="xa2r2ewea92trkef5dt5arvbzafvpv2za5ft" timestamp="1442161764"&gt;107&lt;/key&gt;&lt;/foreign-keys&gt;&lt;ref-type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00EF281A" w:rsidRPr="00B27F0B">
        <w:rPr>
          <w:lang w:val="en-GB"/>
        </w:rPr>
        <w:fldChar w:fldCharType="separate"/>
      </w:r>
      <w:r w:rsidR="004E5A78" w:rsidRPr="00B56453">
        <w:rPr>
          <w:noProof/>
          <w:lang w:val="en-GB"/>
        </w:rPr>
        <w:t>(</w:t>
      </w:r>
      <w:hyperlink w:anchor="_ENREF_183" w:tooltip="Hatala, 2014 #108" w:history="1">
        <w:r w:rsidR="0094469E" w:rsidRPr="00B56453">
          <w:rPr>
            <w:noProof/>
            <w:lang w:val="en-GB"/>
          </w:rPr>
          <w:t>Hatala et al. 2014</w:t>
        </w:r>
      </w:hyperlink>
      <w:r w:rsidR="004E5A78" w:rsidRPr="00B56453">
        <w:rPr>
          <w:noProof/>
          <w:lang w:val="en-GB"/>
        </w:rPr>
        <w:t>)</w:t>
      </w:r>
      <w:r w:rsidR="00EF281A" w:rsidRPr="009C2746">
        <w:rPr>
          <w:lang w:val="en-GB"/>
        </w:rPr>
        <w:fldChar w:fldCharType="end"/>
      </w:r>
      <w:r w:rsidR="0015045A" w:rsidRPr="00B56453">
        <w:rPr>
          <w:lang w:val="en-GB"/>
        </w:rPr>
        <w:t>.</w:t>
      </w:r>
      <w:r w:rsidR="005978CB" w:rsidRPr="00B56453">
        <w:rPr>
          <w:lang w:val="en-GB"/>
        </w:rPr>
        <w:t xml:space="preserve"> </w:t>
      </w:r>
    </w:p>
    <w:p w14:paraId="5D18A097" w14:textId="77777777" w:rsidR="0015045A" w:rsidRPr="00B56453" w:rsidRDefault="0015045A" w:rsidP="00026049">
      <w:pPr>
        <w:pStyle w:val="Normal1"/>
        <w:rPr>
          <w:lang w:val="en-GB"/>
        </w:rPr>
      </w:pPr>
      <w:r w:rsidRPr="00B56453">
        <w:rPr>
          <w:lang w:val="en-GB"/>
        </w:rPr>
        <w:tab/>
      </w:r>
    </w:p>
    <w:p w14:paraId="14D5AD94" w14:textId="60B8F4A3" w:rsidR="0015045A" w:rsidRPr="00B56453" w:rsidRDefault="005C7C97" w:rsidP="00026049">
      <w:pPr>
        <w:pStyle w:val="Normal1"/>
        <w:rPr>
          <w:lang w:val="en-GB"/>
        </w:rPr>
      </w:pPr>
      <w:r w:rsidRPr="00B56453">
        <w:rPr>
          <w:lang w:val="en-GB"/>
        </w:rPr>
        <w:t>T</w:t>
      </w:r>
      <w:r w:rsidR="0015045A" w:rsidRPr="00B56453">
        <w:rPr>
          <w:lang w:val="en-GB"/>
        </w:rPr>
        <w:t xml:space="preserve">he increases and decreases between each time point and </w:t>
      </w:r>
      <w:r w:rsidR="00483DED" w:rsidRPr="00B56453">
        <w:rPr>
          <w:lang w:val="en-GB"/>
        </w:rPr>
        <w:t xml:space="preserve">feedback </w:t>
      </w:r>
      <w:r w:rsidR="0015045A" w:rsidRPr="00B56453">
        <w:rPr>
          <w:lang w:val="en-GB"/>
        </w:rPr>
        <w:t xml:space="preserve">condition were mirrored in each </w:t>
      </w:r>
      <w:r w:rsidR="00483DED" w:rsidRPr="00B56453">
        <w:rPr>
          <w:lang w:val="en-GB"/>
        </w:rPr>
        <w:t xml:space="preserve">feedback </w:t>
      </w:r>
      <w:r w:rsidR="0015045A" w:rsidRPr="00B56453">
        <w:rPr>
          <w:lang w:val="en-GB"/>
        </w:rPr>
        <w:t xml:space="preserve">condition across both measurements of SRL capacity and self-efficacy. These trends were not unexpected due to the well-established link between SRL and self-efficacy </w:t>
      </w:r>
      <w:r w:rsidR="00EF281A" w:rsidRPr="009C2746">
        <w:rPr>
          <w:lang w:val="en-GB"/>
        </w:rPr>
        <w:fldChar w:fldCharType="begin"/>
      </w:r>
      <w:r w:rsidR="008B61BE" w:rsidRPr="00B56453">
        <w:rPr>
          <w:lang w:val="en-GB"/>
        </w:rPr>
        <w:instrText xml:space="preserve"> ADDIN EN.CITE &lt;EndNote&gt;&lt;Cite&gt;&lt;Author&gt;Pajares&lt;/Author&gt;&lt;Year&gt;2002&lt;/Year&gt;&lt;RecNum&gt;193&lt;/RecNum&gt;&lt;DisplayText&gt;(Pajares 2002)&lt;/DisplayText&gt;&lt;record&gt;&lt;rec-number&gt;193&lt;/rec-number&gt;&lt;foreign-keys&gt;&lt;key app="EN" db-id="xa2r2ewea92trkef5dt5arvbzafvpv2za5ft" timestamp="1442161765"&gt;193&lt;/key&gt;&lt;/foreign-keys&gt;&lt;ref-type name="Journal Article"&gt;17&lt;/ref-type&gt;&lt;contributors&gt;&lt;authors&gt;&lt;author&gt;Pajares, Frank&lt;/author&gt;&lt;/authors&gt;&lt;/contributors&gt;&lt;titles&gt;&lt;title&gt;Gender and perceived self-efficacy in self-regulated learning&lt;/title&gt;&lt;secondary-title&gt;Theory into practice&lt;/secondary-title&gt;&lt;/titles&gt;&lt;periodical&gt;&lt;full-title&gt;Theory into practice&lt;/full-title&gt;&lt;/periodical&gt;&lt;pages&gt;116-125&lt;/pages&gt;&lt;volume&gt;41&lt;/volume&gt;&lt;number&gt;2&lt;/number&gt;&lt;dates&gt;&lt;year&gt;2002&lt;/year&gt;&lt;/dates&gt;&lt;publisher&gt;Taylor &amp;amp; Francis&lt;/publisher&gt;&lt;urls&gt;&lt;/urls&gt;&lt;/record&gt;&lt;/Cite&gt;&lt;/EndNote&gt;</w:instrText>
      </w:r>
      <w:r w:rsidR="00EF281A" w:rsidRPr="00B27F0B">
        <w:rPr>
          <w:lang w:val="en-GB"/>
        </w:rPr>
        <w:fldChar w:fldCharType="separate"/>
      </w:r>
      <w:r w:rsidR="004E5A78" w:rsidRPr="00B56453">
        <w:rPr>
          <w:noProof/>
          <w:lang w:val="en-GB"/>
        </w:rPr>
        <w:t>(</w:t>
      </w:r>
      <w:hyperlink w:anchor="_ENREF_312" w:tooltip="Pajares, 2002 #467" w:history="1">
        <w:r w:rsidR="0094469E" w:rsidRPr="00B56453">
          <w:rPr>
            <w:noProof/>
            <w:lang w:val="en-GB"/>
          </w:rPr>
          <w:t>Pajares 2002</w:t>
        </w:r>
      </w:hyperlink>
      <w:r w:rsidR="004E5A78" w:rsidRPr="00B56453">
        <w:rPr>
          <w:noProof/>
          <w:lang w:val="en-GB"/>
        </w:rPr>
        <w:t>)</w:t>
      </w:r>
      <w:r w:rsidR="00EF281A" w:rsidRPr="009C2746">
        <w:rPr>
          <w:lang w:val="en-GB"/>
        </w:rPr>
        <w:fldChar w:fldCharType="end"/>
      </w:r>
      <w:r w:rsidR="0015045A" w:rsidRPr="00B56453">
        <w:rPr>
          <w:lang w:val="en-GB"/>
        </w:rPr>
        <w:t xml:space="preserve"> and serve to strengthen the validity of these results. Although, they could indicate that there are powerful contextual factors, </w:t>
      </w:r>
      <w:r w:rsidR="0021662A" w:rsidRPr="00B56453">
        <w:rPr>
          <w:lang w:val="en-GB"/>
        </w:rPr>
        <w:t>including</w:t>
      </w:r>
      <w:r w:rsidR="0015045A" w:rsidRPr="00B56453">
        <w:rPr>
          <w:lang w:val="en-GB"/>
        </w:rPr>
        <w:t xml:space="preserve"> the curriculum, which influence SRL and self-efficacy in medical education. </w:t>
      </w:r>
      <w:r w:rsidR="0015045A" w:rsidRPr="00B56453">
        <w:rPr>
          <w:lang w:val="en-GB"/>
        </w:rPr>
        <w:lastRenderedPageBreak/>
        <w:t>This is particularly apparent between time points two and three where both averages increased by similar amounts</w:t>
      </w:r>
      <w:r w:rsidR="00D6142E" w:rsidRPr="00B56453">
        <w:rPr>
          <w:lang w:val="en-GB"/>
        </w:rPr>
        <w:t xml:space="preserve"> in both measures</w:t>
      </w:r>
      <w:r w:rsidR="0015045A" w:rsidRPr="00B56453">
        <w:rPr>
          <w:lang w:val="en-GB"/>
        </w:rPr>
        <w:t>, perhaps identifying the</w:t>
      </w:r>
      <w:r w:rsidR="00483DED" w:rsidRPr="00B56453">
        <w:rPr>
          <w:lang w:val="en-GB"/>
        </w:rPr>
        <w:t xml:space="preserve"> clinical</w:t>
      </w:r>
      <w:r w:rsidR="0015045A" w:rsidRPr="00B56453">
        <w:rPr>
          <w:lang w:val="en-GB"/>
        </w:rPr>
        <w:t xml:space="preserve"> placement experience as developing these outcomes more so than simulated </w:t>
      </w:r>
      <w:r w:rsidRPr="00B56453">
        <w:rPr>
          <w:lang w:val="en-GB"/>
        </w:rPr>
        <w:t>learning environments</w:t>
      </w:r>
      <w:r w:rsidR="0015045A" w:rsidRPr="00B56453">
        <w:rPr>
          <w:lang w:val="en-GB"/>
        </w:rPr>
        <w:t xml:space="preserve">. </w:t>
      </w:r>
    </w:p>
    <w:p w14:paraId="1D680BED" w14:textId="77777777" w:rsidR="008B7479" w:rsidRPr="00B56453" w:rsidRDefault="008B7479" w:rsidP="00026049">
      <w:pPr>
        <w:pStyle w:val="Normal1"/>
        <w:rPr>
          <w:lang w:val="en-GB"/>
        </w:rPr>
      </w:pPr>
    </w:p>
    <w:p w14:paraId="43B22AF6" w14:textId="6CB680D6" w:rsidR="00E21E24" w:rsidRPr="00B56453" w:rsidRDefault="00E21E24" w:rsidP="00E21E24">
      <w:pPr>
        <w:pStyle w:val="Normal1"/>
        <w:rPr>
          <w:lang w:val="en-GB"/>
        </w:rPr>
      </w:pPr>
      <w:r w:rsidRPr="00B56453">
        <w:rPr>
          <w:lang w:val="en-GB"/>
        </w:rPr>
        <w:t xml:space="preserve">Pervasive factors within the medical curriculum, as well as contextual factors, may have influenced students’ perceptions of their SRL and self-efficacy beliefs in addition to any impact the feedback models may have had. Only two studies have had similar goals in attempting to measure SRL across time periods or year groups in medical education </w:t>
      </w:r>
      <w:r w:rsidRPr="009C2746">
        <w:rPr>
          <w:lang w:val="en-GB"/>
        </w:rPr>
        <w:fldChar w:fldCharType="begin"/>
      </w:r>
      <w:r w:rsidRPr="00B56453">
        <w:rPr>
          <w:lang w:val="en-GB"/>
        </w:rPr>
        <w:instrText xml:space="preserve"> ADDIN EN.CITE &lt;EndNote&gt;&lt;Cite&gt;&lt;Author&gt;Lucieer&lt;/Author&gt;&lt;Year&gt;2015&lt;/Year&gt;&lt;RecNum&gt;958&lt;/RecNum&gt;&lt;DisplayText&gt;(Lucieer et al. 2015; Cho et al. 2017)&lt;/DisplayText&gt;&lt;record&gt;&lt;rec-number&gt;958&lt;/rec-number&gt;&lt;foreign-keys&gt;&lt;key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Cite&gt;&lt;Author&gt;Cho&lt;/Author&gt;&lt;Year&gt;2017&lt;/Year&gt;&lt;RecNum&gt;670&lt;/RecNum&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Pr="00B27F0B">
        <w:rPr>
          <w:lang w:val="en-GB"/>
        </w:rPr>
        <w:fldChar w:fldCharType="separate"/>
      </w:r>
      <w:r w:rsidRPr="00B56453">
        <w:rPr>
          <w:noProof/>
          <w:lang w:val="en-GB"/>
        </w:rPr>
        <w:t>(</w:t>
      </w:r>
      <w:hyperlink w:anchor="_ENREF_249" w:tooltip="Lucieer, 2015 #958" w:history="1">
        <w:r w:rsidR="0094469E" w:rsidRPr="00B56453">
          <w:rPr>
            <w:noProof/>
            <w:lang w:val="en-GB"/>
          </w:rPr>
          <w:t>Lucieer et al. 2015</w:t>
        </w:r>
      </w:hyperlink>
      <w:r w:rsidRPr="00B56453">
        <w:rPr>
          <w:noProof/>
          <w:lang w:val="en-GB"/>
        </w:rPr>
        <w:t xml:space="preserve">; </w:t>
      </w:r>
      <w:hyperlink w:anchor="_ENREF_75" w:tooltip="Cho, 2017 #670" w:history="1">
        <w:r w:rsidR="0094469E" w:rsidRPr="00B56453">
          <w:rPr>
            <w:noProof/>
            <w:lang w:val="en-GB"/>
          </w:rPr>
          <w:t>Cho et al. 2017</w:t>
        </w:r>
      </w:hyperlink>
      <w:r w:rsidRPr="00B56453">
        <w:rPr>
          <w:noProof/>
          <w:lang w:val="en-GB"/>
        </w:rPr>
        <w:t>)</w:t>
      </w:r>
      <w:r w:rsidRPr="009C2746">
        <w:rPr>
          <w:lang w:val="en-GB"/>
        </w:rPr>
        <w:fldChar w:fldCharType="end"/>
      </w:r>
      <w:r w:rsidRPr="00B56453">
        <w:rPr>
          <w:lang w:val="en-GB"/>
        </w:rPr>
        <w:t xml:space="preserve">. Although these studies used different measurement tools their findings showed that SRL scores do vary somewhat across cohorts of students and from simulated to authentic clinical learning environments. However, </w:t>
      </w:r>
      <w:hyperlink w:anchor="_ENREF_249" w:tooltip="Lucieer, 2015 #958" w:history="1">
        <w:r w:rsidR="0094469E" w:rsidRPr="00B27F0B">
          <w:rPr>
            <w:lang w:val="en-GB"/>
          </w:rPr>
          <w:fldChar w:fldCharType="begin"/>
        </w:r>
        <w:r w:rsidR="0094469E" w:rsidRPr="00B56453">
          <w:rPr>
            <w:lang w:val="en-GB"/>
          </w:rPr>
          <w:instrText xml:space="preserve"> ADDIN EN.CITE &lt;EndNote&gt;&lt;Cite AuthorYear="1"&gt;&lt;Author&gt;Lucieer&lt;/Author&gt;&lt;Year&gt;2015&lt;/Year&gt;&lt;RecNum&gt;958&lt;/RecNum&gt;&lt;DisplayText&gt;Lucieer et al. (2015)&lt;/DisplayText&gt;&lt;record&gt;&lt;rec-number&gt;958&lt;/rec-number&gt;&lt;foreign-keys&gt;&lt;key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teacher&lt;/full-title&gt;&lt;/periodical&gt;&lt;pages&gt;1-9&lt;/pages&gt;&lt;dates&gt;&lt;year&gt;2015&lt;/year&gt;&lt;/dates&gt;&lt;isbn&gt;0142-159X&lt;/isbn&gt;&lt;urls&gt;&lt;/urls&gt;&lt;/record&gt;&lt;/Cite&gt;&lt;/EndNote&gt;</w:instrText>
        </w:r>
        <w:r w:rsidR="0094469E" w:rsidRPr="00B27F0B">
          <w:rPr>
            <w:lang w:val="en-GB"/>
          </w:rPr>
          <w:fldChar w:fldCharType="separate"/>
        </w:r>
        <w:r w:rsidR="0094469E" w:rsidRPr="00B56453">
          <w:rPr>
            <w:noProof/>
            <w:lang w:val="en-GB"/>
          </w:rPr>
          <w:t>Lucieer et al. (2015)</w:t>
        </w:r>
        <w:r w:rsidR="0094469E" w:rsidRPr="00B27F0B">
          <w:rPr>
            <w:lang w:val="en-GB"/>
          </w:rPr>
          <w:fldChar w:fldCharType="end"/>
        </w:r>
      </w:hyperlink>
      <w:r w:rsidRPr="00FD5859">
        <w:rPr>
          <w:lang w:val="en-GB"/>
        </w:rPr>
        <w:t xml:space="preserve"> only found a small change from first to third years in the reflection domain of the Self-Regulation of Learning Self-Rep</w:t>
      </w:r>
      <w:r w:rsidRPr="00B56453">
        <w:rPr>
          <w:lang w:val="en-GB"/>
        </w:rPr>
        <w:t xml:space="preserve">ort Scale (SRL-SRS), with other domains showing no differences over the sample (including self-efficacy). They suggested that these results may be due to the overly structured nature of the medical curriculum, which could limit the opportunities students have to apply SRL skills in authentic situations </w:t>
      </w:r>
      <w:r w:rsidRPr="007638B6">
        <w:rPr>
          <w:lang w:val="en-GB"/>
        </w:rPr>
        <w:fldChar w:fldCharType="begin"/>
      </w:r>
      <w:r w:rsidRPr="00B56453">
        <w:rPr>
          <w:lang w:val="en-GB"/>
        </w:rPr>
        <w:instrText xml:space="preserve"> ADDIN EN.CITE &lt;EndNote&gt;&lt;Cite&gt;&lt;Author&gt;Premkumar&lt;/Author&gt;&lt;Year&gt;2013&lt;/Year&gt;&lt;RecNum&gt;947&lt;/RecNum&gt;&lt;DisplayText&gt;(Premkumar et al. 2013)&lt;/DisplayText&gt;&lt;record&gt;&lt;rec-number&gt;947&lt;/rec-number&gt;&lt;foreign-keys&gt;&lt;key app="EN" db-id="xa2r2ewea92trkef5dt5arvbzafvpv2za5ft" timestamp="1500892955"&gt;947&lt;/key&gt;&lt;/foreign-keys&gt;&lt;ref-type name="Journal Article"&gt;17&lt;/ref-type&gt;&lt;contributors&gt;&lt;authors&gt;&lt;author&gt;Premkumar, Kalyani&lt;/author&gt;&lt;author&gt;Pahwa, Punam&lt;/author&gt;&lt;author&gt;Banerjee, Ankona&lt;/author&gt;&lt;author&gt;Baptiste, Kellen&lt;/author&gt;&lt;author&gt;Bhatt, Hitesh&lt;/author&gt;&lt;author&gt;Lim, Hyun J&lt;/author&gt;&lt;/authors&gt;&lt;/contributors&gt;&lt;titles&gt;&lt;title&gt;Does medical training promote or deter self-directed learning? A longitudinal mixed-methods study&lt;/title&gt;&lt;secondary-title&gt;Academic Medicine&lt;/secondary-title&gt;&lt;/titles&gt;&lt;periodical&gt;&lt;full-title&gt;Academic Medicine&lt;/full-title&gt;&lt;/periodical&gt;&lt;pages&gt;1754-1764&lt;/pages&gt;&lt;volume&gt;88&lt;/volume&gt;&lt;number&gt;11&lt;/number&gt;&lt;dates&gt;&lt;year&gt;2013&lt;/year&gt;&lt;/dates&gt;&lt;isbn&gt;1040-2446&lt;/isbn&gt;&lt;urls&gt;&lt;/urls&gt;&lt;/record&gt;&lt;/Cite&gt;&lt;/EndNote&gt;</w:instrText>
      </w:r>
      <w:r w:rsidRPr="00B27F0B">
        <w:rPr>
          <w:lang w:val="en-GB"/>
        </w:rPr>
        <w:fldChar w:fldCharType="separate"/>
      </w:r>
      <w:r w:rsidRPr="00B56453">
        <w:rPr>
          <w:noProof/>
          <w:lang w:val="en-GB"/>
        </w:rPr>
        <w:t>(</w:t>
      </w:r>
      <w:hyperlink w:anchor="_ENREF_334" w:tooltip="Premkumar, 2013 #947" w:history="1">
        <w:r w:rsidR="0094469E" w:rsidRPr="00B56453">
          <w:rPr>
            <w:noProof/>
            <w:lang w:val="en-GB"/>
          </w:rPr>
          <w:t>Premkumar et al. 2013</w:t>
        </w:r>
      </w:hyperlink>
      <w:r w:rsidRPr="00B56453">
        <w:rPr>
          <w:noProof/>
          <w:lang w:val="en-GB"/>
        </w:rPr>
        <w:t>)</w:t>
      </w:r>
      <w:r w:rsidRPr="007638B6">
        <w:rPr>
          <w:lang w:val="en-GB"/>
        </w:rPr>
        <w:fldChar w:fldCharType="end"/>
      </w:r>
      <w:r w:rsidRPr="00FD5859">
        <w:rPr>
          <w:lang w:val="en-GB"/>
        </w:rPr>
        <w:t xml:space="preserve">. This is supported by </w:t>
      </w:r>
      <w:hyperlink w:anchor="_ENREF_56" w:tooltip="Brydges, 2015 #18" w:history="1">
        <w:r w:rsidR="0094469E" w:rsidRPr="00B27F0B">
          <w:rPr>
            <w:lang w:val="en-GB"/>
          </w:rPr>
          <w:fldChar w:fldCharType="begin"/>
        </w:r>
        <w:r w:rsidR="0094469E" w:rsidRPr="00B56453">
          <w:rPr>
            <w:lang w:val="en-GB"/>
          </w:rPr>
          <w:instrText xml:space="preserve"> ADDIN EN.CITE &lt;EndNote&gt;&lt;Cite AuthorYear="1"&gt;&lt;Author&gt;Brydges&lt;/Author&gt;&lt;Year&gt;2015&lt;/Year&gt;&lt;RecNum&gt;296&lt;/RecNum&gt;&lt;DisplayText&gt;Brydges et al. (2015)&lt;/DisplayText&gt;&lt;record&gt;&lt;rec-number&gt;296&lt;/rec-number&gt;&lt;foreign-keys&gt;&lt;key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94469E" w:rsidRPr="00B56453">
          <w:rPr>
            <w:rFonts w:ascii="Cambria Math" w:hAnsi="Cambria Math" w:cs="Cambria Math"/>
            <w:lang w:val="en-GB"/>
          </w:rPr>
          <w:instrText>‐</w:instrText>
        </w:r>
        <w:r w:rsidR="0094469E" w:rsidRPr="00B56453">
          <w:rPr>
            <w:lang w:val="en-GB"/>
          </w:rPr>
          <w:instrText>regulated learning in simulation</w:instrText>
        </w:r>
        <w:r w:rsidR="0094469E" w:rsidRPr="00B56453">
          <w:rPr>
            <w:rFonts w:ascii="Cambria Math" w:hAnsi="Cambria Math" w:cs="Cambria Math"/>
            <w:lang w:val="en-GB"/>
          </w:rPr>
          <w:instrText>‐</w:instrText>
        </w:r>
        <w:r w:rsidR="0094469E" w:rsidRPr="00B56453">
          <w:rPr>
            <w:lang w:val="en-GB"/>
          </w:rPr>
          <w:instrText>based training: a systematic review and meta</w:instrText>
        </w:r>
        <w:r w:rsidR="0094469E" w:rsidRPr="00B56453">
          <w:rPr>
            <w:rFonts w:ascii="Cambria Math" w:hAnsi="Cambria Math" w:cs="Cambria Math"/>
            <w:lang w:val="en-GB"/>
          </w:rPr>
          <w:instrText>‐</w:instrText>
        </w:r>
        <w:r w:rsidR="0094469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94469E" w:rsidRPr="00B27F0B">
          <w:rPr>
            <w:lang w:val="en-GB"/>
          </w:rPr>
          <w:fldChar w:fldCharType="separate"/>
        </w:r>
        <w:r w:rsidR="0094469E" w:rsidRPr="00B56453">
          <w:rPr>
            <w:noProof/>
            <w:lang w:val="en-GB"/>
          </w:rPr>
          <w:t>Brydges et al. (2015)</w:t>
        </w:r>
        <w:r w:rsidR="0094469E" w:rsidRPr="00B27F0B">
          <w:rPr>
            <w:lang w:val="en-GB"/>
          </w:rPr>
          <w:fldChar w:fldCharType="end"/>
        </w:r>
      </w:hyperlink>
      <w:r w:rsidRPr="00FD5859">
        <w:rPr>
          <w:lang w:val="en-GB"/>
        </w:rPr>
        <w:t xml:space="preserve"> who found that SRL development is often unsupported in medical learning. The present study’s findings suggest that an explicit SRL support using feedback impacts upon students’ SRL positively. It also contradicts </w:t>
      </w:r>
      <w:hyperlink w:anchor="_ENREF_249" w:tooltip="Lucieer, 2015 #958" w:history="1">
        <w:r w:rsidR="0094469E" w:rsidRPr="00B27F0B">
          <w:rPr>
            <w:lang w:val="en-GB"/>
          </w:rPr>
          <w:fldChar w:fldCharType="begin"/>
        </w:r>
        <w:r w:rsidR="0094469E" w:rsidRPr="00B56453">
          <w:rPr>
            <w:lang w:val="en-GB"/>
          </w:rPr>
          <w:instrText xml:space="preserve"> ADDIN EN.CITE &lt;EndNote&gt;&lt;Cite AuthorYear="1"&gt;&lt;Author&gt;Lucieer&lt;/Author&gt;&lt;Year&gt;2015&lt;/Year&gt;&lt;RecNum&gt;958&lt;/RecNum&gt;&lt;DisplayText&gt;Lucieer et al. (2015)&lt;/DisplayText&gt;&lt;record&gt;&lt;rec-number&gt;958&lt;/rec-number&gt;&lt;foreign-keys&gt;&lt;key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teacher&lt;/full-title&gt;&lt;/periodical&gt;&lt;pages&gt;1-9&lt;/pages&gt;&lt;dates&gt;&lt;year&gt;2015&lt;/year&gt;&lt;/dates&gt;&lt;isbn&gt;0142-159X&lt;/isbn&gt;&lt;urls&gt;&lt;/urls&gt;&lt;/record&gt;&lt;/Cite&gt;&lt;/EndNote&gt;</w:instrText>
        </w:r>
        <w:r w:rsidR="0094469E" w:rsidRPr="00B27F0B">
          <w:rPr>
            <w:lang w:val="en-GB"/>
          </w:rPr>
          <w:fldChar w:fldCharType="separate"/>
        </w:r>
        <w:r w:rsidR="0094469E" w:rsidRPr="00B56453">
          <w:rPr>
            <w:noProof/>
            <w:lang w:val="en-GB"/>
          </w:rPr>
          <w:t>Lucieer et al. (2015)</w:t>
        </w:r>
        <w:r w:rsidR="0094469E" w:rsidRPr="00B27F0B">
          <w:rPr>
            <w:lang w:val="en-GB"/>
          </w:rPr>
          <w:fldChar w:fldCharType="end"/>
        </w:r>
      </w:hyperlink>
      <w:r w:rsidRPr="00FD5859">
        <w:rPr>
          <w:lang w:val="en-GB"/>
        </w:rPr>
        <w:t xml:space="preserve"> in that both the SRL and self-efficacy scores in the BPF condition varied across al</w:t>
      </w:r>
      <w:r w:rsidRPr="00B56453">
        <w:rPr>
          <w:lang w:val="en-GB"/>
        </w:rPr>
        <w:t xml:space="preserve">l time points, indicating that changes in these variables are apparent over time but may be </w:t>
      </w:r>
      <w:r w:rsidR="00826050" w:rsidRPr="00B56453">
        <w:rPr>
          <w:lang w:val="en-GB"/>
        </w:rPr>
        <w:t>immediate</w:t>
      </w:r>
      <w:r w:rsidRPr="00B56453">
        <w:rPr>
          <w:lang w:val="en-GB"/>
        </w:rPr>
        <w:t xml:space="preserve"> and in response to particular events.</w:t>
      </w:r>
    </w:p>
    <w:p w14:paraId="4E83C349" w14:textId="77777777" w:rsidR="009E62DB" w:rsidRPr="00B56453" w:rsidRDefault="009E62DB" w:rsidP="00855E01">
      <w:pPr>
        <w:pStyle w:val="Normal1"/>
        <w:rPr>
          <w:lang w:val="en-GB"/>
        </w:rPr>
      </w:pPr>
    </w:p>
    <w:p w14:paraId="66272D86" w14:textId="6286A3B4" w:rsidR="005978CB" w:rsidRPr="00B56453" w:rsidRDefault="009E62DB" w:rsidP="00026049">
      <w:pPr>
        <w:pStyle w:val="Normal1"/>
        <w:rPr>
          <w:shd w:val="clear" w:color="auto" w:fill="FFFFFF"/>
          <w:lang w:val="en-GB"/>
        </w:rPr>
      </w:pPr>
      <w:r w:rsidRPr="00B56453">
        <w:rPr>
          <w:lang w:val="en-GB"/>
        </w:rPr>
        <w:t>Another perspective of this was</w:t>
      </w:r>
      <w:r w:rsidR="00D926D4" w:rsidRPr="00B56453">
        <w:rPr>
          <w:lang w:val="en-GB"/>
        </w:rPr>
        <w:t xml:space="preserve"> articulated by</w:t>
      </w:r>
      <w:r w:rsidRPr="00B56453">
        <w:rPr>
          <w:lang w:val="en-GB"/>
        </w:rPr>
        <w:t xml:space="preserve"> </w:t>
      </w:r>
      <w:hyperlink w:anchor="_ENREF_75" w:tooltip="Cho, 2017 #670" w:history="1">
        <w:r w:rsidR="0094469E" w:rsidRPr="00B27F0B">
          <w:rPr>
            <w:lang w:val="en-GB"/>
          </w:rPr>
          <w:fldChar w:fldCharType="begin"/>
        </w:r>
        <w:r w:rsidR="0094469E" w:rsidRPr="00B56453">
          <w:rPr>
            <w:lang w:val="en-GB"/>
          </w:rPr>
          <w:instrText xml:space="preserve"> ADDIN EN.CITE &lt;EndNote&gt;&lt;Cite AuthorYear="1"&gt;&lt;Author&gt;Cho&lt;/Author&gt;&lt;Year&gt;2017&lt;/Year&gt;&lt;RecNum&gt;670&lt;/RecNum&gt;&lt;DisplayText&gt;Cho et al. (2017)&lt;/DisplayText&gt;&lt;record&gt;&lt;rec-number&gt;670&lt;/rec-number&gt;&lt;foreign-keys&gt;&lt;key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0094469E" w:rsidRPr="00B27F0B">
          <w:rPr>
            <w:lang w:val="en-GB"/>
          </w:rPr>
          <w:fldChar w:fldCharType="separate"/>
        </w:r>
        <w:r w:rsidR="0094469E" w:rsidRPr="00B56453">
          <w:rPr>
            <w:noProof/>
            <w:lang w:val="en-GB"/>
          </w:rPr>
          <w:t>Cho et al. (2017)</w:t>
        </w:r>
        <w:r w:rsidR="0094469E" w:rsidRPr="00B27F0B">
          <w:rPr>
            <w:lang w:val="en-GB"/>
          </w:rPr>
          <w:fldChar w:fldCharType="end"/>
        </w:r>
      </w:hyperlink>
      <w:r w:rsidRPr="00FD5859">
        <w:rPr>
          <w:lang w:val="en-GB"/>
        </w:rPr>
        <w:t xml:space="preserve"> who explored how the transition from preclinical to clinical learning environments impacted upon st</w:t>
      </w:r>
      <w:r w:rsidRPr="00B56453">
        <w:rPr>
          <w:lang w:val="en-GB"/>
        </w:rPr>
        <w:t xml:space="preserve">udents’ self-reported SRL scores. </w:t>
      </w:r>
      <w:r w:rsidR="006070B5" w:rsidRPr="00B56453">
        <w:rPr>
          <w:lang w:val="en-GB"/>
        </w:rPr>
        <w:t xml:space="preserve">Similarly to this study, they found significant differences in students’ SRL, finding </w:t>
      </w:r>
      <w:r w:rsidR="006070B5" w:rsidRPr="00B56453">
        <w:rPr>
          <w:shd w:val="clear" w:color="auto" w:fill="FFFFFF"/>
          <w:lang w:val="en-GB"/>
        </w:rPr>
        <w:t>significant changes in goal orientation and metacognition. The</w:t>
      </w:r>
      <w:r w:rsidR="00D926D4" w:rsidRPr="00B56453">
        <w:rPr>
          <w:shd w:val="clear" w:color="auto" w:fill="FFFFFF"/>
          <w:lang w:val="en-GB"/>
        </w:rPr>
        <w:t>y</w:t>
      </w:r>
      <w:r w:rsidR="006070B5" w:rsidRPr="00B56453">
        <w:rPr>
          <w:shd w:val="clear" w:color="auto" w:fill="FFFFFF"/>
          <w:lang w:val="en-GB"/>
        </w:rPr>
        <w:t xml:space="preserve"> suggested that these changes could have been due to the different learning and practice demands s</w:t>
      </w:r>
      <w:r w:rsidR="00E21E24" w:rsidRPr="00B56453">
        <w:rPr>
          <w:shd w:val="clear" w:color="auto" w:fill="FFFFFF"/>
          <w:lang w:val="en-GB"/>
        </w:rPr>
        <w:t>tudents</w:t>
      </w:r>
      <w:r w:rsidR="006070B5" w:rsidRPr="00B56453">
        <w:rPr>
          <w:shd w:val="clear" w:color="auto" w:fill="FFFFFF"/>
          <w:lang w:val="en-GB"/>
        </w:rPr>
        <w:t xml:space="preserve"> must deal with when entering the clinical environment, potentially filling gaps in SRL development. Th</w:t>
      </w:r>
      <w:r w:rsidR="00321851" w:rsidRPr="00B56453">
        <w:rPr>
          <w:shd w:val="clear" w:color="auto" w:fill="FFFFFF"/>
          <w:lang w:val="en-GB"/>
        </w:rPr>
        <w:t>eir</w:t>
      </w:r>
      <w:r w:rsidR="006070B5" w:rsidRPr="00B56453">
        <w:rPr>
          <w:shd w:val="clear" w:color="auto" w:fill="FFFFFF"/>
          <w:lang w:val="en-GB"/>
        </w:rPr>
        <w:t xml:space="preserve"> finding</w:t>
      </w:r>
      <w:r w:rsidR="00321851" w:rsidRPr="00B56453">
        <w:rPr>
          <w:shd w:val="clear" w:color="auto" w:fill="FFFFFF"/>
          <w:lang w:val="en-GB"/>
        </w:rPr>
        <w:t>s</w:t>
      </w:r>
      <w:r w:rsidR="006070B5" w:rsidRPr="00B56453">
        <w:rPr>
          <w:shd w:val="clear" w:color="auto" w:fill="FFFFFF"/>
          <w:lang w:val="en-GB"/>
        </w:rPr>
        <w:t>, although achieved with a</w:t>
      </w:r>
      <w:r w:rsidR="00321851" w:rsidRPr="00B56453">
        <w:rPr>
          <w:shd w:val="clear" w:color="auto" w:fill="FFFFFF"/>
          <w:lang w:val="en-GB"/>
        </w:rPr>
        <w:t xml:space="preserve"> different survey tool, reflect the changes between post-</w:t>
      </w:r>
      <w:r w:rsidR="00826050" w:rsidRPr="00B56453">
        <w:rPr>
          <w:shd w:val="clear" w:color="auto" w:fill="FFFFFF"/>
          <w:lang w:val="en-GB"/>
        </w:rPr>
        <w:t>teaching</w:t>
      </w:r>
      <w:r w:rsidR="00321851" w:rsidRPr="00B56453">
        <w:rPr>
          <w:shd w:val="clear" w:color="auto" w:fill="FFFFFF"/>
          <w:lang w:val="en-GB"/>
        </w:rPr>
        <w:t xml:space="preserve"> and post-</w:t>
      </w:r>
      <w:r w:rsidR="00D926D4" w:rsidRPr="00B56453">
        <w:rPr>
          <w:shd w:val="clear" w:color="auto" w:fill="FFFFFF"/>
          <w:lang w:val="en-GB"/>
        </w:rPr>
        <w:t>clinical placements</w:t>
      </w:r>
      <w:r w:rsidR="006070B5" w:rsidRPr="00B56453">
        <w:rPr>
          <w:shd w:val="clear" w:color="auto" w:fill="FFFFFF"/>
          <w:lang w:val="en-GB"/>
        </w:rPr>
        <w:t xml:space="preserve"> observed in this study in both </w:t>
      </w:r>
      <w:r w:rsidR="00483DED" w:rsidRPr="00B56453">
        <w:rPr>
          <w:lang w:val="en-GB"/>
        </w:rPr>
        <w:t xml:space="preserve">feedback </w:t>
      </w:r>
      <w:r w:rsidR="006070B5" w:rsidRPr="00B56453">
        <w:rPr>
          <w:shd w:val="clear" w:color="auto" w:fill="FFFFFF"/>
          <w:lang w:val="en-GB"/>
        </w:rPr>
        <w:t xml:space="preserve">conditions. They recommended that the gap in </w:t>
      </w:r>
      <w:r w:rsidR="00321851" w:rsidRPr="00B56453">
        <w:rPr>
          <w:shd w:val="clear" w:color="auto" w:fill="FFFFFF"/>
          <w:lang w:val="en-GB"/>
        </w:rPr>
        <w:t>S</w:t>
      </w:r>
      <w:r w:rsidR="006070B5" w:rsidRPr="00B56453">
        <w:rPr>
          <w:shd w:val="clear" w:color="auto" w:fill="FFFFFF"/>
          <w:lang w:val="en-GB"/>
        </w:rPr>
        <w:t xml:space="preserve">RL development before the transition could be addressed with SRL supports. The </w:t>
      </w:r>
      <w:r w:rsidR="006070B5" w:rsidRPr="00B56453">
        <w:rPr>
          <w:shd w:val="clear" w:color="auto" w:fill="FFFFFF"/>
          <w:lang w:val="en-GB"/>
        </w:rPr>
        <w:lastRenderedPageBreak/>
        <w:t>present study provides evidence which</w:t>
      </w:r>
      <w:r w:rsidR="00D926D4" w:rsidRPr="00B56453">
        <w:rPr>
          <w:shd w:val="clear" w:color="auto" w:fill="FFFFFF"/>
          <w:lang w:val="en-GB"/>
        </w:rPr>
        <w:t xml:space="preserve"> could confirm their hypothesis;</w:t>
      </w:r>
      <w:r w:rsidR="006070B5" w:rsidRPr="00B56453">
        <w:rPr>
          <w:shd w:val="clear" w:color="auto" w:fill="FFFFFF"/>
          <w:lang w:val="en-GB"/>
        </w:rPr>
        <w:t xml:space="preserve"> the SRLF group’s scores improved pre </w:t>
      </w:r>
      <w:r w:rsidR="00E21E24" w:rsidRPr="00B56453">
        <w:rPr>
          <w:shd w:val="clear" w:color="auto" w:fill="FFFFFF"/>
          <w:lang w:val="en-GB"/>
        </w:rPr>
        <w:t>to post-</w:t>
      </w:r>
      <w:r w:rsidR="00826050" w:rsidRPr="00B56453">
        <w:rPr>
          <w:shd w:val="clear" w:color="auto" w:fill="FFFFFF"/>
          <w:lang w:val="en-GB"/>
        </w:rPr>
        <w:t>teaching</w:t>
      </w:r>
      <w:r w:rsidR="006070B5" w:rsidRPr="00B56453">
        <w:rPr>
          <w:shd w:val="clear" w:color="auto" w:fill="FFFFFF"/>
          <w:lang w:val="en-GB"/>
        </w:rPr>
        <w:t xml:space="preserve"> and were higher than the BPF group at all time points.</w:t>
      </w:r>
    </w:p>
    <w:p w14:paraId="413C8AF3" w14:textId="77777777" w:rsidR="006070B5" w:rsidRPr="00B56453" w:rsidRDefault="006070B5" w:rsidP="00026049">
      <w:pPr>
        <w:pStyle w:val="Normal1"/>
        <w:rPr>
          <w:lang w:val="en-GB"/>
        </w:rPr>
      </w:pPr>
    </w:p>
    <w:p w14:paraId="40C0CAEA" w14:textId="54A6CC45" w:rsidR="005978CB" w:rsidRPr="00B56453" w:rsidRDefault="005978CB" w:rsidP="00A25ADA">
      <w:pPr>
        <w:pStyle w:val="Normal1"/>
        <w:rPr>
          <w:lang w:val="en-GB"/>
        </w:rPr>
      </w:pPr>
      <w:r w:rsidRPr="00B56453">
        <w:rPr>
          <w:lang w:val="en-GB"/>
        </w:rPr>
        <w:t xml:space="preserve">Video monitoring revealed that teachers in both </w:t>
      </w:r>
      <w:r w:rsidR="00483DED" w:rsidRPr="00B56453">
        <w:rPr>
          <w:lang w:val="en-GB"/>
        </w:rPr>
        <w:t xml:space="preserve">feedback </w:t>
      </w:r>
      <w:r w:rsidRPr="00B56453">
        <w:rPr>
          <w:lang w:val="en-GB"/>
        </w:rPr>
        <w:t>conditions adhered to their allocated feedback model</w:t>
      </w:r>
      <w:r w:rsidR="00E21E24" w:rsidRPr="00B56453">
        <w:rPr>
          <w:lang w:val="en-GB"/>
        </w:rPr>
        <w:t>,</w:t>
      </w:r>
      <w:r w:rsidRPr="00B56453">
        <w:rPr>
          <w:lang w:val="en-GB"/>
        </w:rPr>
        <w:t xml:space="preserve"> which was an important control factor in this part of the study. This also supports the quantitative results </w:t>
      </w:r>
      <w:r w:rsidR="00D926D4" w:rsidRPr="00B56453">
        <w:rPr>
          <w:lang w:val="en-GB"/>
        </w:rPr>
        <w:t>in</w:t>
      </w:r>
      <w:r w:rsidRPr="00B56453">
        <w:rPr>
          <w:lang w:val="en-GB"/>
        </w:rPr>
        <w:t xml:space="preserve"> confirming that students in each </w:t>
      </w:r>
      <w:r w:rsidR="00483DED" w:rsidRPr="00B56453">
        <w:rPr>
          <w:lang w:val="en-GB"/>
        </w:rPr>
        <w:t xml:space="preserve">feedback </w:t>
      </w:r>
      <w:r w:rsidRPr="00B56453">
        <w:rPr>
          <w:lang w:val="en-GB"/>
        </w:rPr>
        <w:t>condition received feedback model which was randomly allocated to them. However, each model was not implemented identically between teachers as some made minor modifications. This could have resulted in some groups of students receiving slightly different forms of the models</w:t>
      </w:r>
      <w:r w:rsidR="00D926D4" w:rsidRPr="00B56453">
        <w:rPr>
          <w:lang w:val="en-GB"/>
        </w:rPr>
        <w:t xml:space="preserve"> (e.g. small modifications in the wording of SRL MA questions)</w:t>
      </w:r>
      <w:r w:rsidRPr="00B56453">
        <w:rPr>
          <w:lang w:val="en-GB"/>
        </w:rPr>
        <w:t>, although these effects were not deemed significant. As the study was conducted in authentic teaching and learning environments this eventuality was expected given the varied experience and styles of the teachers. Subsequent individual interviews with these teachers explored the impact upon their teaching practices and also confirmed that no collusion o</w:t>
      </w:r>
      <w:r w:rsidR="00E21E24" w:rsidRPr="00B56453">
        <w:rPr>
          <w:lang w:val="en-GB"/>
        </w:rPr>
        <w:t>r cross-</w:t>
      </w:r>
      <w:r w:rsidRPr="00B56453">
        <w:rPr>
          <w:lang w:val="en-GB"/>
        </w:rPr>
        <w:t>contamination had taken place which could have skewed the results towards a favoured model.</w:t>
      </w:r>
    </w:p>
    <w:p w14:paraId="78D80943" w14:textId="77777777" w:rsidR="005978CB" w:rsidRPr="00B56453" w:rsidRDefault="005978CB" w:rsidP="00A25ADA">
      <w:pPr>
        <w:pStyle w:val="Normal1"/>
        <w:rPr>
          <w:lang w:val="en-GB"/>
        </w:rPr>
      </w:pPr>
    </w:p>
    <w:p w14:paraId="0BD6EFC7" w14:textId="5A9227F5" w:rsidR="00F861E2" w:rsidRPr="00B56453" w:rsidRDefault="00A25ADA" w:rsidP="00A25ADA">
      <w:pPr>
        <w:pStyle w:val="Normal1"/>
        <w:rPr>
          <w:lang w:val="en-GB"/>
        </w:rPr>
      </w:pPr>
      <w:r w:rsidRPr="00B56453">
        <w:rPr>
          <w:lang w:val="en-GB"/>
        </w:rPr>
        <w:t xml:space="preserve">It was not possible to compare </w:t>
      </w:r>
      <w:r w:rsidR="008B7479" w:rsidRPr="00B56453">
        <w:rPr>
          <w:lang w:val="en-GB"/>
        </w:rPr>
        <w:t>the two</w:t>
      </w:r>
      <w:r w:rsidRPr="00B56453">
        <w:rPr>
          <w:lang w:val="en-GB"/>
        </w:rPr>
        <w:t xml:space="preserve"> </w:t>
      </w:r>
      <w:r w:rsidR="00483DED" w:rsidRPr="00B56453">
        <w:rPr>
          <w:lang w:val="en-GB"/>
        </w:rPr>
        <w:t xml:space="preserve">feedback </w:t>
      </w:r>
      <w:r w:rsidRPr="00B56453">
        <w:rPr>
          <w:lang w:val="en-GB"/>
        </w:rPr>
        <w:t>conditions with a</w:t>
      </w:r>
      <w:r w:rsidR="008B7479" w:rsidRPr="00B56453">
        <w:rPr>
          <w:lang w:val="en-GB"/>
        </w:rPr>
        <w:t>n additional</w:t>
      </w:r>
      <w:r w:rsidRPr="00B56453">
        <w:rPr>
          <w:lang w:val="en-GB"/>
        </w:rPr>
        <w:t xml:space="preserve"> ‘no feedback’ </w:t>
      </w:r>
      <w:r w:rsidR="008B7479" w:rsidRPr="00B56453">
        <w:rPr>
          <w:lang w:val="en-GB"/>
        </w:rPr>
        <w:t>variation,</w:t>
      </w:r>
      <w:r w:rsidRPr="00B56453">
        <w:rPr>
          <w:lang w:val="en-GB"/>
        </w:rPr>
        <w:t xml:space="preserve"> as others have explored in different contexts </w:t>
      </w:r>
      <w:r w:rsidRPr="009C2746">
        <w:rPr>
          <w:lang w:val="en-GB"/>
        </w:rPr>
        <w:fldChar w:fldCharType="begin"/>
      </w:r>
      <w:r w:rsidR="008B61BE" w:rsidRPr="00B56453">
        <w:rPr>
          <w:lang w:val="en-GB"/>
        </w:rPr>
        <w:instrText xml:space="preserve"> ADDIN EN.CITE &lt;EndNote&gt;&lt;Cite&gt;&lt;Author&gt;Kim&lt;/Author&gt;&lt;Year&gt;2009&lt;/Year&gt;&lt;RecNum&gt;589&lt;/RecNum&gt;&lt;DisplayText&gt;(Kim 2009)&lt;/DisplayText&gt;&lt;record&gt;&lt;rec-number&gt;589&lt;/rec-number&gt;&lt;foreign-keys&gt;&lt;key app="EN" db-id="xa2r2ewea92trkef5dt5arvbzafvpv2za5ft" timestamp="1496417557"&gt;589&lt;/key&gt;&lt;/foreign-keys&gt;&lt;ref-type name="Journal Article"&gt;17&lt;/ref-type&gt;&lt;contributors&gt;&lt;authors&gt;&lt;author&gt;Kim, Minjeong&lt;/author&gt;&lt;/authors&gt;&lt;/contributors&gt;&lt;titles&gt;&lt;title&gt;The impact of an elaborated assessee’s role in peer assessment&lt;/title&gt;&lt;secondary-title&gt;Assessment &amp;amp; Evaluation in Higher Education&lt;/secondary-title&gt;&lt;/titles&gt;&lt;periodical&gt;&lt;full-title&gt;Assessment &amp;amp; Evaluation in Higher Education&lt;/full-title&gt;&lt;/periodical&gt;&lt;pages&gt;105-114&lt;/pages&gt;&lt;volume&gt;34&lt;/volume&gt;&lt;number&gt;1&lt;/number&gt;&lt;dates&gt;&lt;year&gt;2009&lt;/year&gt;&lt;/dates&gt;&lt;isbn&gt;0260-2938&lt;/isbn&gt;&lt;urls&gt;&lt;/urls&gt;&lt;/record&gt;&lt;/Cite&gt;&lt;/EndNote&gt;</w:instrText>
      </w:r>
      <w:r w:rsidRPr="00B27F0B">
        <w:rPr>
          <w:lang w:val="en-GB"/>
        </w:rPr>
        <w:fldChar w:fldCharType="separate"/>
      </w:r>
      <w:r w:rsidRPr="00B56453">
        <w:rPr>
          <w:noProof/>
          <w:lang w:val="en-GB"/>
        </w:rPr>
        <w:t>(</w:t>
      </w:r>
      <w:hyperlink w:anchor="_ENREF_216" w:tooltip="Kim, 2009 #589" w:history="1">
        <w:r w:rsidR="0094469E" w:rsidRPr="00B56453">
          <w:rPr>
            <w:noProof/>
            <w:lang w:val="en-GB"/>
          </w:rPr>
          <w:t>Kim 2009</w:t>
        </w:r>
      </w:hyperlink>
      <w:r w:rsidRPr="00B56453">
        <w:rPr>
          <w:noProof/>
          <w:lang w:val="en-GB"/>
        </w:rPr>
        <w:t>)</w:t>
      </w:r>
      <w:r w:rsidRPr="009C2746">
        <w:rPr>
          <w:lang w:val="en-GB"/>
        </w:rPr>
        <w:fldChar w:fldCharType="end"/>
      </w:r>
      <w:r w:rsidRPr="00B56453">
        <w:rPr>
          <w:lang w:val="en-GB"/>
        </w:rPr>
        <w:t xml:space="preserve">. This </w:t>
      </w:r>
      <w:r w:rsidR="00483DED" w:rsidRPr="00B56453">
        <w:rPr>
          <w:lang w:val="en-GB"/>
        </w:rPr>
        <w:t>variation</w:t>
      </w:r>
      <w:r w:rsidRPr="00B56453">
        <w:rPr>
          <w:lang w:val="en-GB"/>
        </w:rPr>
        <w:t xml:space="preserve"> was not used due to the authentic teaching setting where removing feed</w:t>
      </w:r>
      <w:r w:rsidR="005978CB" w:rsidRPr="00B56453">
        <w:rPr>
          <w:lang w:val="en-GB"/>
        </w:rPr>
        <w:t>back would have been unethical.</w:t>
      </w:r>
      <w:r w:rsidR="00F861E2" w:rsidRPr="00B27F0B">
        <w:rPr>
          <w:lang w:val="en-GB"/>
        </w:rPr>
        <w:br w:type="page"/>
      </w:r>
    </w:p>
    <w:p w14:paraId="5A124B78" w14:textId="221D3454" w:rsidR="00D971FD" w:rsidRPr="00BD42AF" w:rsidRDefault="00D971FD" w:rsidP="00B1638D">
      <w:pPr>
        <w:pStyle w:val="Heading2"/>
        <w:rPr>
          <w:lang w:val="en-GB"/>
        </w:rPr>
      </w:pPr>
      <w:bookmarkStart w:id="462" w:name="_Toc500319441"/>
      <w:r w:rsidRPr="00B56453">
        <w:rPr>
          <w:lang w:val="en-GB"/>
        </w:rPr>
        <w:lastRenderedPageBreak/>
        <w:t>D</w:t>
      </w:r>
      <w:r w:rsidR="00BF6160" w:rsidRPr="00ED770A">
        <w:rPr>
          <w:lang w:val="en-GB"/>
        </w:rPr>
        <w:t>2</w:t>
      </w:r>
      <w:r w:rsidRPr="00BD42AF">
        <w:rPr>
          <w:lang w:val="en-GB"/>
        </w:rPr>
        <w:t>.</w:t>
      </w:r>
      <w:r w:rsidR="001D4869" w:rsidRPr="00BD42AF">
        <w:rPr>
          <w:lang w:val="en-GB"/>
        </w:rPr>
        <w:t>3</w:t>
      </w:r>
      <w:r w:rsidRPr="00BD42AF">
        <w:rPr>
          <w:lang w:val="en-GB"/>
        </w:rPr>
        <w:t xml:space="preserve"> </w:t>
      </w:r>
      <w:r w:rsidR="00D16A9B" w:rsidRPr="00BD42AF">
        <w:rPr>
          <w:lang w:val="en-GB"/>
        </w:rPr>
        <w:t xml:space="preserve">The SSRQ: </w:t>
      </w:r>
      <w:r w:rsidRPr="00BD42AF">
        <w:rPr>
          <w:lang w:val="en-GB"/>
        </w:rPr>
        <w:t xml:space="preserve">A Reliable Tool to Measure SRL in </w:t>
      </w:r>
      <w:r w:rsidR="0051568B" w:rsidRPr="00BD42AF">
        <w:rPr>
          <w:lang w:val="en-GB"/>
        </w:rPr>
        <w:t xml:space="preserve">UK </w:t>
      </w:r>
      <w:r w:rsidRPr="00BD42AF">
        <w:rPr>
          <w:lang w:val="en-GB"/>
        </w:rPr>
        <w:t>Medical Education</w:t>
      </w:r>
      <w:bookmarkEnd w:id="462"/>
    </w:p>
    <w:p w14:paraId="6E89B68B" w14:textId="37091DA0" w:rsidR="00D971FD" w:rsidRPr="00BD42AF" w:rsidRDefault="00D971FD" w:rsidP="00026049">
      <w:pPr>
        <w:pStyle w:val="Normal1"/>
        <w:rPr>
          <w:lang w:val="en-GB"/>
        </w:rPr>
      </w:pPr>
    </w:p>
    <w:p w14:paraId="11CAED0B" w14:textId="383C3DB8" w:rsidR="00592DA7" w:rsidRPr="00B27F0B" w:rsidRDefault="00EE5E4B" w:rsidP="00490C48">
      <w:pPr>
        <w:pStyle w:val="Normal1"/>
        <w:rPr>
          <w:lang w:val="en-GB"/>
        </w:rPr>
      </w:pPr>
      <w:r w:rsidRPr="00BD42AF">
        <w:rPr>
          <w:lang w:val="en-GB"/>
        </w:rPr>
        <w:t xml:space="preserve">The main purpose of this </w:t>
      </w:r>
      <w:r w:rsidR="00592DA7" w:rsidRPr="00BD42AF">
        <w:rPr>
          <w:lang w:val="en-GB"/>
        </w:rPr>
        <w:t>validation</w:t>
      </w:r>
      <w:r w:rsidRPr="00BD42AF">
        <w:rPr>
          <w:lang w:val="en-GB"/>
        </w:rPr>
        <w:t xml:space="preserve"> was to explore the factor structure and psychometric properties of the SSRQ </w:t>
      </w:r>
      <w:r w:rsidR="00592DA7" w:rsidRPr="00BD42AF">
        <w:rPr>
          <w:lang w:val="en-GB"/>
        </w:rPr>
        <w:t>to test the strength of the inferences that could be mad</w:t>
      </w:r>
      <w:r w:rsidR="00592DA7" w:rsidRPr="001046E5">
        <w:rPr>
          <w:lang w:val="en-GB"/>
        </w:rPr>
        <w:t>e from the results presented in Chapter B3</w:t>
      </w:r>
      <w:r w:rsidRPr="00C71126">
        <w:rPr>
          <w:lang w:val="en-GB"/>
        </w:rPr>
        <w:t>. Specifically, the construct validity and the adaptability of the instrument in assessing SRL</w:t>
      </w:r>
      <w:r w:rsidR="00592DA7" w:rsidRPr="00C71126">
        <w:rPr>
          <w:lang w:val="en-GB"/>
        </w:rPr>
        <w:t xml:space="preserve"> was investigated</w:t>
      </w:r>
      <w:r w:rsidRPr="00C71126">
        <w:rPr>
          <w:lang w:val="en-GB"/>
        </w:rPr>
        <w:t>.</w:t>
      </w:r>
      <w:r w:rsidR="00592DA7" w:rsidRPr="00C71126">
        <w:rPr>
          <w:lang w:val="en-GB"/>
        </w:rPr>
        <w:t xml:space="preserve"> </w:t>
      </w:r>
      <w:r w:rsidR="00737ACB" w:rsidRPr="00C71126">
        <w:rPr>
          <w:lang w:val="en-GB"/>
        </w:rPr>
        <w:t>Another aim</w:t>
      </w:r>
      <w:r w:rsidR="00592DA7" w:rsidRPr="00C71126">
        <w:rPr>
          <w:lang w:val="en-GB"/>
        </w:rPr>
        <w:t xml:space="preserve"> was to determine whether the SSRQ was a reliable measure of SRL in </w:t>
      </w:r>
      <w:r w:rsidR="00A65CCA" w:rsidRPr="00C71126">
        <w:rPr>
          <w:lang w:val="en-GB"/>
        </w:rPr>
        <w:t xml:space="preserve">UK </w:t>
      </w:r>
      <w:r w:rsidR="00592DA7" w:rsidRPr="00C71126">
        <w:rPr>
          <w:lang w:val="en-GB"/>
        </w:rPr>
        <w:t>medical education</w:t>
      </w:r>
      <w:r w:rsidR="00A65CCA" w:rsidRPr="00C71126">
        <w:rPr>
          <w:lang w:val="en-GB"/>
        </w:rPr>
        <w:t xml:space="preserve"> </w:t>
      </w:r>
      <w:r w:rsidR="00592DA7" w:rsidRPr="00C71126">
        <w:rPr>
          <w:lang w:val="en-GB"/>
        </w:rPr>
        <w:t xml:space="preserve">as there was no other reliable tool in </w:t>
      </w:r>
      <w:r w:rsidR="00A65CCA" w:rsidRPr="00521DE8">
        <w:rPr>
          <w:lang w:val="en-GB"/>
        </w:rPr>
        <w:t>this context</w:t>
      </w:r>
      <w:r w:rsidR="00592DA7" w:rsidRPr="00521DE8">
        <w:rPr>
          <w:lang w:val="en-GB"/>
        </w:rPr>
        <w:t xml:space="preserve"> despite the importance of SRL to medical education </w:t>
      </w:r>
      <w:r w:rsidR="00EF281A" w:rsidRPr="00FD5859">
        <w:rPr>
          <w:lang w:val="en-GB"/>
        </w:rPr>
        <w:fldChar w:fldCharType="begin"/>
      </w:r>
      <w:r w:rsidR="008B61BE" w:rsidRPr="00B56453">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B27F0B">
        <w:rPr>
          <w:lang w:val="en-GB"/>
        </w:rPr>
        <w:fldChar w:fldCharType="separate"/>
      </w:r>
      <w:r w:rsidR="004E5A78" w:rsidRPr="00FD5859">
        <w:rPr>
          <w:noProof/>
          <w:lang w:val="en-GB"/>
        </w:rPr>
        <w:t>(</w:t>
      </w:r>
      <w:hyperlink w:anchor="_ENREF_87" w:tooltip="Cleary, 2013 #593" w:history="1">
        <w:r w:rsidR="0094469E" w:rsidRPr="00B56453">
          <w:rPr>
            <w:noProof/>
            <w:lang w:val="en-GB"/>
          </w:rPr>
          <w:t>Cleary et al. 2013</w:t>
        </w:r>
      </w:hyperlink>
      <w:r w:rsidR="004E5A78" w:rsidRPr="00FD5859">
        <w:rPr>
          <w:noProof/>
          <w:lang w:val="en-GB"/>
        </w:rPr>
        <w:t>)</w:t>
      </w:r>
      <w:r w:rsidR="00EF281A" w:rsidRPr="00FD5859">
        <w:rPr>
          <w:lang w:val="en-GB"/>
        </w:rPr>
        <w:fldChar w:fldCharType="end"/>
      </w:r>
      <w:r w:rsidR="00592DA7" w:rsidRPr="00FD5859">
        <w:rPr>
          <w:lang w:val="en-GB"/>
        </w:rPr>
        <w:t>.</w:t>
      </w:r>
      <w:r w:rsidRPr="00B56453">
        <w:rPr>
          <w:lang w:val="en-GB"/>
        </w:rPr>
        <w:t xml:space="preserve"> </w:t>
      </w:r>
    </w:p>
    <w:p w14:paraId="2C2065E8" w14:textId="77777777" w:rsidR="00592DA7" w:rsidRPr="00B56453" w:rsidRDefault="00592DA7" w:rsidP="00026049">
      <w:pPr>
        <w:pStyle w:val="Normal1"/>
        <w:rPr>
          <w:lang w:val="en-GB"/>
        </w:rPr>
      </w:pPr>
    </w:p>
    <w:p w14:paraId="74968C28" w14:textId="61D79EE9" w:rsidR="00AF2250" w:rsidRPr="00B56453" w:rsidRDefault="00EE5E4B" w:rsidP="00026049">
      <w:pPr>
        <w:pStyle w:val="Normal1"/>
        <w:rPr>
          <w:lang w:val="en-GB"/>
        </w:rPr>
      </w:pPr>
      <w:r w:rsidRPr="00BD42AF">
        <w:rPr>
          <w:lang w:val="en-GB"/>
        </w:rPr>
        <w:t>Co</w:t>
      </w:r>
      <w:r w:rsidR="00E64544" w:rsidRPr="00BD42AF">
        <w:rPr>
          <w:lang w:val="en-GB"/>
        </w:rPr>
        <w:t xml:space="preserve">nstruct validity was confirmed and </w:t>
      </w:r>
      <w:r w:rsidRPr="00BD42AF">
        <w:rPr>
          <w:lang w:val="en-GB"/>
        </w:rPr>
        <w:t xml:space="preserve">the SSRQ was </w:t>
      </w:r>
      <w:r w:rsidR="00E64544" w:rsidRPr="00BD42AF">
        <w:rPr>
          <w:lang w:val="en-GB"/>
        </w:rPr>
        <w:t xml:space="preserve">found to be </w:t>
      </w:r>
      <w:r w:rsidRPr="00BD42AF">
        <w:rPr>
          <w:lang w:val="en-GB"/>
        </w:rPr>
        <w:t>a self-report measure that adequately represented the construct o</w:t>
      </w:r>
      <w:r w:rsidR="00592DA7" w:rsidRPr="00BD42AF">
        <w:rPr>
          <w:lang w:val="en-GB"/>
        </w:rPr>
        <w:t xml:space="preserve">f </w:t>
      </w:r>
      <w:r w:rsidR="00E64544" w:rsidRPr="00BD42AF">
        <w:rPr>
          <w:lang w:val="en-GB"/>
        </w:rPr>
        <w:t>SRL</w:t>
      </w:r>
      <w:r w:rsidR="00592DA7" w:rsidRPr="00BD42AF">
        <w:rPr>
          <w:lang w:val="en-GB"/>
        </w:rPr>
        <w:t xml:space="preserve"> in this</w:t>
      </w:r>
      <w:r w:rsidRPr="00BD42AF">
        <w:rPr>
          <w:lang w:val="en-GB"/>
        </w:rPr>
        <w:t xml:space="preserve"> sample of medical undergraduates, consistent with the theoretical model presented in the original paper by </w:t>
      </w:r>
      <w:hyperlink w:anchor="_ENREF_70" w:tooltip="Carey, 2004 #839" w:history="1">
        <w:r w:rsidR="0094469E" w:rsidRPr="00B27F0B">
          <w:rPr>
            <w:lang w:val="en-GB"/>
          </w:rPr>
          <w:fldChar w:fldCharType="begin"/>
        </w:r>
        <w:r w:rsidR="0094469E" w:rsidRPr="00B56453">
          <w:rPr>
            <w:lang w:val="en-GB"/>
          </w:rPr>
          <w:instrText xml:space="preserve"> ADDIN EN.CITE &lt;EndNote&gt;&lt;Cite AuthorYear="1"&gt;&lt;Author&gt;Carey&lt;/Author&gt;&lt;Year&gt;2004&lt;/Year&gt;&lt;RecNum&gt;839&lt;/RecNum&gt;&lt;DisplayText&gt;Carey et al. (2004)&lt;/DisplayText&gt;&lt;record&gt;&lt;rec-number&gt;839&lt;/rec-number&gt;&lt;foreign-keys&gt;&lt;key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EndNote&gt;</w:instrText>
        </w:r>
        <w:r w:rsidR="0094469E" w:rsidRPr="00B27F0B">
          <w:rPr>
            <w:lang w:val="en-GB"/>
          </w:rPr>
          <w:fldChar w:fldCharType="separate"/>
        </w:r>
        <w:r w:rsidR="0094469E" w:rsidRPr="00B56453">
          <w:rPr>
            <w:noProof/>
            <w:lang w:val="en-GB"/>
          </w:rPr>
          <w:t>Carey et al. (2004)</w:t>
        </w:r>
        <w:r w:rsidR="0094469E" w:rsidRPr="00B27F0B">
          <w:rPr>
            <w:lang w:val="en-GB"/>
          </w:rPr>
          <w:fldChar w:fldCharType="end"/>
        </w:r>
      </w:hyperlink>
      <w:r w:rsidRPr="00FD5859">
        <w:rPr>
          <w:lang w:val="en-GB"/>
        </w:rPr>
        <w:t xml:space="preserve">. The scale showed high internal consistency (Cronbach’s alpha = </w:t>
      </w:r>
      <w:r w:rsidR="0051568B" w:rsidRPr="00B56453">
        <w:rPr>
          <w:lang w:val="en-GB"/>
        </w:rPr>
        <w:t>0</w:t>
      </w:r>
      <w:r w:rsidRPr="00B56453">
        <w:rPr>
          <w:lang w:val="en-GB"/>
        </w:rPr>
        <w:t xml:space="preserve">.89), and positive moderate correlation with GSE scores, confirming that self-regulation and self-efficacy are related but </w:t>
      </w:r>
      <w:r w:rsidR="00E64544" w:rsidRPr="00B56453">
        <w:rPr>
          <w:lang w:val="en-GB"/>
        </w:rPr>
        <w:t xml:space="preserve">are </w:t>
      </w:r>
      <w:r w:rsidRPr="00B56453">
        <w:rPr>
          <w:lang w:val="en-GB"/>
        </w:rPr>
        <w:t xml:space="preserve">substantially different constructs. </w:t>
      </w:r>
      <w:r w:rsidR="002A3754" w:rsidRPr="00B56453">
        <w:rPr>
          <w:lang w:val="en-GB"/>
        </w:rPr>
        <w:t>This finding was not surprising as</w:t>
      </w:r>
      <w:r w:rsidR="00697C08" w:rsidRPr="00B56453">
        <w:rPr>
          <w:lang w:val="en-GB"/>
        </w:rPr>
        <w:t xml:space="preserve"> previous research </w:t>
      </w:r>
      <w:r w:rsidR="00274CE2" w:rsidRPr="00B56453">
        <w:rPr>
          <w:lang w:val="en-GB"/>
        </w:rPr>
        <w:t>has</w:t>
      </w:r>
      <w:r w:rsidR="002A3754" w:rsidRPr="00B56453">
        <w:rPr>
          <w:lang w:val="en-GB"/>
        </w:rPr>
        <w:t xml:space="preserve"> </w:t>
      </w:r>
      <w:r w:rsidR="00697C08" w:rsidRPr="00B56453">
        <w:rPr>
          <w:lang w:val="en-GB"/>
        </w:rPr>
        <w:t xml:space="preserve">identified correlations between the two constructs </w:t>
      </w:r>
      <w:r w:rsidR="00697C08" w:rsidRPr="009C2746">
        <w:rPr>
          <w:lang w:val="en-GB"/>
        </w:rPr>
        <w:fldChar w:fldCharType="begin"/>
      </w:r>
      <w:r w:rsidR="008B61BE" w:rsidRPr="00B56453">
        <w:rPr>
          <w:lang w:val="en-GB"/>
        </w:rPr>
        <w:instrText xml:space="preserve"> ADDIN EN.CITE &lt;EndNote&gt;&lt;Cite&gt;&lt;Author&gt;Bouffard&lt;/Author&gt;&lt;Year&gt;2005&lt;/Year&gt;&lt;RecNum&gt;671&lt;/RecNum&gt;&lt;DisplayText&gt;(Bidjerano 2005; Bouffard et al. 2005)&lt;/DisplayText&gt;&lt;record&gt;&lt;rec-number&gt;671&lt;/rec-number&gt;&lt;foreign-keys&gt;&lt;key app="EN" db-id="xa2r2ewea92trkef5dt5arvbzafvpv2za5ft" timestamp="1496417565"&gt;671&lt;/key&gt;&lt;/foreign-keys&gt;&lt;ref-type name="Journal Article"&gt;17&lt;/ref-type&gt;&lt;contributors&gt;&lt;authors&gt;&lt;author&gt;Bouffard, Thérèse&lt;/author&gt;&lt;author&gt;Bouchard, Maryse&lt;/author&gt;&lt;author&gt;Goulet, Geneviève&lt;/author&gt;&lt;author&gt;Denoncourt, Isabelle&lt;/author&gt;&lt;author&gt;Couture, Nathalie&lt;/author&gt;&lt;/authors&gt;&lt;/contributors&gt;&lt;titles&gt;&lt;title&gt;Influence of achievement goals and self</w:instrText>
      </w:r>
      <w:r w:rsidR="008B61BE" w:rsidRPr="00B56453">
        <w:rPr>
          <w:rFonts w:ascii="Cambria Math" w:hAnsi="Cambria Math" w:cs="Cambria Math"/>
          <w:lang w:val="en-GB"/>
        </w:rPr>
        <w:instrText>‐</w:instrText>
      </w:r>
      <w:r w:rsidR="008B61BE" w:rsidRPr="00B56453">
        <w:rPr>
          <w:lang w:val="en-GB"/>
        </w:rPr>
        <w:instrText>efficacy on students&amp;apos; self</w:instrText>
      </w:r>
      <w:r w:rsidR="008B61BE" w:rsidRPr="00B56453">
        <w:rPr>
          <w:rFonts w:ascii="Cambria Math" w:hAnsi="Cambria Math" w:cs="Cambria Math"/>
          <w:lang w:val="en-GB"/>
        </w:rPr>
        <w:instrText>‐</w:instrText>
      </w:r>
      <w:r w:rsidR="008B61BE" w:rsidRPr="00B56453">
        <w:rPr>
          <w:lang w:val="en-GB"/>
        </w:rPr>
        <w:instrText>regulation and performance&lt;/title&gt;&lt;secondary-title&gt;International journal of psychology&lt;/secondary-title&gt;&lt;/titles&gt;&lt;periodical&gt;&lt;full-title&gt;International journal of psychology&lt;/full-title&gt;&lt;/periodical&gt;&lt;pages&gt;373-384&lt;/pages&gt;&lt;volume&gt;40&lt;/volume&gt;&lt;number&gt;6&lt;/number&gt;&lt;dates&gt;&lt;year&gt;2005&lt;/year&gt;&lt;/dates&gt;&lt;isbn&gt;1464-066X&lt;/isbn&gt;&lt;urls&gt;&lt;/urls&gt;&lt;/record&gt;&lt;/Cite&gt;&lt;Cite&gt;&lt;Author&gt;Bidjerano&lt;/Author&gt;&lt;Year&gt;2005&lt;/Year&gt;&lt;RecNum&gt;672&lt;/RecNum&gt;&lt;record&gt;&lt;rec-number&gt;672&lt;/rec-number&gt;&lt;foreign-keys&gt;&lt;key app="EN" db-id="xa2r2ewea92trkef5dt5arvbzafvpv2za5ft" timestamp="1496417565"&gt;672&lt;/key&gt;&lt;/foreign-keys&gt;&lt;ref-type name="Conference Paper"&gt;47&lt;/ref-type&gt;&lt;contributors&gt;&lt;authors&gt;&lt;author&gt;Bidjerano, Temi&lt;/author&gt;&lt;/authors&gt;&lt;/contributors&gt;&lt;titles&gt;&lt;title&gt;Gender Differences in Self-Regulated Learning&lt;/title&gt;&lt;secondary-title&gt;Annual Meeting of the Northeastern Educational Research Association&lt;/secondary-title&gt;&lt;/titles&gt;&lt;dates&gt;&lt;year&gt;2005&lt;/year&gt;&lt;/dates&gt;&lt;pub-location&gt;Kerhonkson, NY&lt;/pub-location&gt;&lt;publisher&gt;ERIC&lt;/publisher&gt;&lt;urls&gt;&lt;/urls&gt;&lt;/record&gt;&lt;/Cite&gt;&lt;/EndNote&gt;</w:instrText>
      </w:r>
      <w:r w:rsidR="00697C08" w:rsidRPr="00B27F0B">
        <w:rPr>
          <w:lang w:val="en-GB"/>
        </w:rPr>
        <w:fldChar w:fldCharType="separate"/>
      </w:r>
      <w:r w:rsidR="004E5A78" w:rsidRPr="00B56453">
        <w:rPr>
          <w:noProof/>
          <w:lang w:val="en-GB"/>
        </w:rPr>
        <w:t>(</w:t>
      </w:r>
      <w:hyperlink w:anchor="_ENREF_30" w:tooltip="Bidjerano, 2005 #672" w:history="1">
        <w:r w:rsidR="0094469E" w:rsidRPr="00B56453">
          <w:rPr>
            <w:noProof/>
            <w:lang w:val="en-GB"/>
          </w:rPr>
          <w:t>Bidjerano 2005</w:t>
        </w:r>
      </w:hyperlink>
      <w:r w:rsidR="004E5A78" w:rsidRPr="00B56453">
        <w:rPr>
          <w:noProof/>
          <w:lang w:val="en-GB"/>
        </w:rPr>
        <w:t xml:space="preserve">; </w:t>
      </w:r>
      <w:hyperlink w:anchor="_ENREF_50" w:tooltip="Bouffard, 2005 #671" w:history="1">
        <w:r w:rsidR="0094469E" w:rsidRPr="00B56453">
          <w:rPr>
            <w:noProof/>
            <w:lang w:val="en-GB"/>
          </w:rPr>
          <w:t>Bouffard et al. 2005</w:t>
        </w:r>
      </w:hyperlink>
      <w:r w:rsidR="004E5A78" w:rsidRPr="00B56453">
        <w:rPr>
          <w:noProof/>
          <w:lang w:val="en-GB"/>
        </w:rPr>
        <w:t>)</w:t>
      </w:r>
      <w:r w:rsidR="00697C08" w:rsidRPr="009C2746">
        <w:rPr>
          <w:lang w:val="en-GB"/>
        </w:rPr>
        <w:fldChar w:fldCharType="end"/>
      </w:r>
      <w:r w:rsidR="00697C08" w:rsidRPr="00B56453">
        <w:rPr>
          <w:lang w:val="en-GB"/>
        </w:rPr>
        <w:t>.</w:t>
      </w:r>
      <w:r w:rsidR="00D76AC1" w:rsidRPr="00B56453">
        <w:rPr>
          <w:lang w:val="en-GB"/>
        </w:rPr>
        <w:t xml:space="preserve"> Self-</w:t>
      </w:r>
      <w:r w:rsidR="00D531CD" w:rsidRPr="00B56453">
        <w:rPr>
          <w:lang w:val="en-GB"/>
        </w:rPr>
        <w:t>efficacy</w:t>
      </w:r>
      <w:r w:rsidR="00D76AC1" w:rsidRPr="00B56453">
        <w:rPr>
          <w:lang w:val="en-GB"/>
        </w:rPr>
        <w:t xml:space="preserve"> is also a key part of Zimmerman’s model </w:t>
      </w:r>
      <w:r w:rsidR="00EF281A" w:rsidRPr="009C2746">
        <w:rPr>
          <w:lang w:val="en-GB"/>
        </w:rPr>
        <w:fldChar w:fldCharType="begin"/>
      </w:r>
      <w:r w:rsidR="008B61BE" w:rsidRPr="00B56453">
        <w:rPr>
          <w:lang w:val="en-GB"/>
        </w:rPr>
        <w:instrText xml:space="preserve"> ADDIN EN.CITE &lt;EndNote&gt;&lt;Cite ExcludeAuth="1"&gt;&lt;Author&gt;Zimmerman&lt;/Author&gt;&lt;Year&gt;2000&lt;/Year&gt;&lt;RecNum&gt;595&lt;/RecNum&gt;&lt;DisplayText&gt;(2000a)&lt;/DisplayText&gt;&lt;record&gt;&lt;rec-number&gt;595&lt;/rec-number&gt;&lt;foreign-keys&gt;&lt;key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B27F0B">
        <w:rPr>
          <w:lang w:val="en-GB"/>
        </w:rPr>
        <w:fldChar w:fldCharType="separate"/>
      </w:r>
      <w:r w:rsidR="00E04EC9" w:rsidRPr="00B56453">
        <w:rPr>
          <w:noProof/>
          <w:lang w:val="en-GB"/>
        </w:rPr>
        <w:t>(</w:t>
      </w:r>
      <w:hyperlink w:anchor="_ENREF_455" w:tooltip="Zimmerman, 2000 #595" w:history="1">
        <w:r w:rsidR="0094469E" w:rsidRPr="00B56453">
          <w:rPr>
            <w:noProof/>
            <w:lang w:val="en-GB"/>
          </w:rPr>
          <w:t>2000a</w:t>
        </w:r>
      </w:hyperlink>
      <w:r w:rsidR="00E04EC9" w:rsidRPr="00B56453">
        <w:rPr>
          <w:noProof/>
          <w:lang w:val="en-GB"/>
        </w:rPr>
        <w:t>)</w:t>
      </w:r>
      <w:r w:rsidR="00EF281A" w:rsidRPr="009C2746">
        <w:rPr>
          <w:lang w:val="en-GB"/>
        </w:rPr>
        <w:fldChar w:fldCharType="end"/>
      </w:r>
      <w:r w:rsidR="002A3754" w:rsidRPr="00B56453">
        <w:rPr>
          <w:lang w:val="en-GB"/>
        </w:rPr>
        <w:t>, these results indicate that focusing on both constructs within that paradigm were significant. Further supporting the link between SRL and self-</w:t>
      </w:r>
      <w:r w:rsidR="00D531CD" w:rsidRPr="00B56453">
        <w:rPr>
          <w:lang w:val="en-GB"/>
        </w:rPr>
        <w:t>efficacy</w:t>
      </w:r>
      <w:r w:rsidR="002A3754" w:rsidRPr="00B56453">
        <w:rPr>
          <w:lang w:val="en-GB"/>
        </w:rPr>
        <w:t xml:space="preserve">, strong links to confidence were identified in the focus groups and interviews with students. More research exploring </w:t>
      </w:r>
      <w:r w:rsidR="00254E18" w:rsidRPr="00B56453">
        <w:rPr>
          <w:lang w:val="en-GB"/>
        </w:rPr>
        <w:t>how varying levels</w:t>
      </w:r>
      <w:r w:rsidR="002A3754" w:rsidRPr="00B56453">
        <w:rPr>
          <w:lang w:val="en-GB"/>
        </w:rPr>
        <w:t xml:space="preserve"> of self-</w:t>
      </w:r>
      <w:r w:rsidR="00D531CD" w:rsidRPr="00B56453">
        <w:rPr>
          <w:lang w:val="en-GB"/>
        </w:rPr>
        <w:t>efficacy</w:t>
      </w:r>
      <w:r w:rsidR="002A3754" w:rsidRPr="00B56453">
        <w:rPr>
          <w:lang w:val="en-GB"/>
        </w:rPr>
        <w:t xml:space="preserve"> and SRL behaviours in medical education could be conducted using the </w:t>
      </w:r>
      <w:r w:rsidR="00254E18" w:rsidRPr="00B56453">
        <w:rPr>
          <w:lang w:val="en-GB"/>
        </w:rPr>
        <w:t xml:space="preserve">measurement tools in this study, as others have recommended </w:t>
      </w:r>
      <w:r w:rsidR="00EF281A" w:rsidRPr="009C2746">
        <w:rPr>
          <w:lang w:val="en-GB"/>
        </w:rPr>
        <w:fldChar w:fldCharType="begin"/>
      </w:r>
      <w:r w:rsidR="008B61BE" w:rsidRPr="00B56453">
        <w:rPr>
          <w:lang w:val="en-GB"/>
        </w:rPr>
        <w:instrText xml:space="preserve"> ADDIN EN.CITE &lt;EndNote&gt;&lt;Cite&gt;&lt;Author&gt;Turan&lt;/Author&gt;&lt;Year&gt;2013&lt;/Year&gt;&lt;RecNum&gt;596&lt;/RecNum&gt;&lt;DisplayText&gt;(Turan et al. 2013)&lt;/DisplayText&gt;&lt;record&gt;&lt;rec-number&gt;596&lt;/rec-number&gt;&lt;foreign-keys&gt;&lt;key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00EF281A" w:rsidRPr="00B27F0B">
        <w:rPr>
          <w:lang w:val="en-GB"/>
        </w:rPr>
        <w:fldChar w:fldCharType="separate"/>
      </w:r>
      <w:r w:rsidR="004E5A78" w:rsidRPr="00B56453">
        <w:rPr>
          <w:noProof/>
          <w:lang w:val="en-GB"/>
        </w:rPr>
        <w:t>(</w:t>
      </w:r>
      <w:hyperlink w:anchor="_ENREF_410" w:tooltip="Turan, 2013 #596" w:history="1">
        <w:r w:rsidR="0094469E" w:rsidRPr="00B56453">
          <w:rPr>
            <w:noProof/>
            <w:lang w:val="en-GB"/>
          </w:rPr>
          <w:t>Turan et al. 2013</w:t>
        </w:r>
      </w:hyperlink>
      <w:r w:rsidR="004E5A78" w:rsidRPr="00B56453">
        <w:rPr>
          <w:noProof/>
          <w:lang w:val="en-GB"/>
        </w:rPr>
        <w:t>)</w:t>
      </w:r>
      <w:r w:rsidR="00EF281A" w:rsidRPr="009C2746">
        <w:rPr>
          <w:lang w:val="en-GB"/>
        </w:rPr>
        <w:fldChar w:fldCharType="end"/>
      </w:r>
      <w:r w:rsidR="00254E18" w:rsidRPr="00B56453">
        <w:rPr>
          <w:lang w:val="en-GB"/>
        </w:rPr>
        <w:t>.</w:t>
      </w:r>
    </w:p>
    <w:p w14:paraId="64C3A1F1" w14:textId="77777777" w:rsidR="00AF2250" w:rsidRPr="00B56453" w:rsidRDefault="00AF2250" w:rsidP="00026049">
      <w:pPr>
        <w:pStyle w:val="Normal1"/>
        <w:rPr>
          <w:lang w:val="en-GB"/>
        </w:rPr>
      </w:pPr>
    </w:p>
    <w:p w14:paraId="300D8B28" w14:textId="772E9E55" w:rsidR="00EE5E4B" w:rsidRPr="00B56453" w:rsidRDefault="00EE5E4B" w:rsidP="00026049">
      <w:pPr>
        <w:pStyle w:val="Normal1"/>
        <w:rPr>
          <w:lang w:val="en-GB"/>
        </w:rPr>
      </w:pPr>
      <w:r w:rsidRPr="00B56453">
        <w:rPr>
          <w:lang w:val="en-GB"/>
        </w:rPr>
        <w:t>There were no differences in SSRQ scores relevant to gender, and to age, respectively</w:t>
      </w:r>
      <w:r w:rsidR="00E64544" w:rsidRPr="00B56453">
        <w:rPr>
          <w:lang w:val="en-GB"/>
        </w:rPr>
        <w:t xml:space="preserve"> although previous researchers have suggested a link exists between SRL and gender, albeit in younger populations </w:t>
      </w:r>
      <w:r w:rsidR="00E64544" w:rsidRPr="009C2746">
        <w:rPr>
          <w:lang w:val="en-GB"/>
        </w:rPr>
        <w:fldChar w:fldCharType="begin">
          <w:fldData xml:space="preserve">PEVuZE5vdGU+PENpdGU+PEF1dGhvcj5QYWphcmVzPC9BdXRob3I+PFllYXI+MjAwMjwvWWVhcj48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</w:fldData>
        </w:fldChar>
      </w:r>
      <w:r w:rsidR="008B61BE" w:rsidRPr="00B56453">
        <w:rPr>
          <w:lang w:val="en-GB"/>
        </w:rPr>
        <w:instrText xml:space="preserve"> ADDIN EN.CITE </w:instrText>
      </w:r>
      <w:r w:rsidR="008B61BE" w:rsidRPr="00B27F0B">
        <w:rPr>
          <w:lang w:val="en-GB"/>
        </w:rPr>
        <w:fldChar w:fldCharType="begin">
          <w:fldData xml:space="preserve">PEVuZE5vdGU+PENpdGU+PEF1dGhvcj5QYWphcmVzPC9BdXRob3I+PFllYXI+MjAwMjwvWWVhcj48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00E64544" w:rsidRPr="00B27F0B">
        <w:rPr>
          <w:lang w:val="en-GB"/>
        </w:rPr>
      </w:r>
      <w:r w:rsidR="00E64544" w:rsidRPr="00B27F0B">
        <w:rPr>
          <w:lang w:val="en-GB"/>
        </w:rPr>
        <w:fldChar w:fldCharType="separate"/>
      </w:r>
      <w:r w:rsidR="004E5A78" w:rsidRPr="00B56453">
        <w:rPr>
          <w:noProof/>
          <w:lang w:val="en-GB"/>
        </w:rPr>
        <w:t>(</w:t>
      </w:r>
      <w:hyperlink w:anchor="_ENREF_312" w:tooltip="Pajares, 2002 #467" w:history="1">
        <w:r w:rsidR="0094469E" w:rsidRPr="00B56453">
          <w:rPr>
            <w:noProof/>
            <w:lang w:val="en-GB"/>
          </w:rPr>
          <w:t>Pajares 2002</w:t>
        </w:r>
      </w:hyperlink>
      <w:r w:rsidR="004E5A78" w:rsidRPr="00B56453">
        <w:rPr>
          <w:noProof/>
          <w:lang w:val="en-GB"/>
        </w:rPr>
        <w:t xml:space="preserve">; </w:t>
      </w:r>
      <w:hyperlink w:anchor="_ENREF_30" w:tooltip="Bidjerano, 2005 #672" w:history="1">
        <w:r w:rsidR="0094469E" w:rsidRPr="00B56453">
          <w:rPr>
            <w:noProof/>
            <w:lang w:val="en-GB"/>
          </w:rPr>
          <w:t>Bidjerano 2005</w:t>
        </w:r>
      </w:hyperlink>
      <w:r w:rsidR="004E5A78" w:rsidRPr="00B56453">
        <w:rPr>
          <w:noProof/>
          <w:lang w:val="en-GB"/>
        </w:rPr>
        <w:t xml:space="preserve">; </w:t>
      </w:r>
      <w:hyperlink w:anchor="_ENREF_62" w:tooltip="Bussey, 2011 #22" w:history="1">
        <w:r w:rsidR="0094469E" w:rsidRPr="00B56453">
          <w:rPr>
            <w:noProof/>
            <w:lang w:val="en-GB"/>
          </w:rPr>
          <w:t>Bussey 2011</w:t>
        </w:r>
      </w:hyperlink>
      <w:r w:rsidR="004E5A78" w:rsidRPr="00B56453">
        <w:rPr>
          <w:noProof/>
          <w:lang w:val="en-GB"/>
        </w:rPr>
        <w:t>)</w:t>
      </w:r>
      <w:r w:rsidR="00E64544" w:rsidRPr="009C2746">
        <w:rPr>
          <w:lang w:val="en-GB"/>
        </w:rPr>
        <w:fldChar w:fldCharType="end"/>
      </w:r>
      <w:r w:rsidRPr="00B56453">
        <w:rPr>
          <w:lang w:val="en-GB"/>
        </w:rPr>
        <w:t>.</w:t>
      </w:r>
      <w:r w:rsidR="00E64544" w:rsidRPr="00B56453">
        <w:rPr>
          <w:lang w:val="en-GB"/>
        </w:rPr>
        <w:t xml:space="preserve"> A larger sample may be needed to more thoroughly </w:t>
      </w:r>
      <w:r w:rsidR="00AF2250" w:rsidRPr="00B56453">
        <w:rPr>
          <w:lang w:val="en-GB"/>
        </w:rPr>
        <w:t>test if the SSRQ can detect this. Differences could be likely</w:t>
      </w:r>
      <w:r w:rsidR="00E64544" w:rsidRPr="00B56453">
        <w:rPr>
          <w:lang w:val="en-GB"/>
        </w:rPr>
        <w:t xml:space="preserve"> as some </w:t>
      </w:r>
      <w:r w:rsidR="00AF2250" w:rsidRPr="00B56453">
        <w:rPr>
          <w:lang w:val="en-GB"/>
        </w:rPr>
        <w:t>distinctions</w:t>
      </w:r>
      <w:r w:rsidR="00E64544" w:rsidRPr="00B56453">
        <w:rPr>
          <w:lang w:val="en-GB"/>
        </w:rPr>
        <w:t xml:space="preserve"> between genders have already been identified in medical learning and practice that relate to SRL behaviours</w:t>
      </w:r>
      <w:r w:rsidR="00991B9B" w:rsidRPr="00B56453">
        <w:rPr>
          <w:lang w:val="en-GB"/>
        </w:rPr>
        <w:t xml:space="preserve"> and emotional regulation</w:t>
      </w:r>
      <w:r w:rsidR="00E64544" w:rsidRPr="00B56453">
        <w:rPr>
          <w:lang w:val="en-GB"/>
        </w:rPr>
        <w:t xml:space="preserve"> </w:t>
      </w:r>
      <w:r w:rsidR="00E64544" w:rsidRPr="009C2746">
        <w:rPr>
          <w:lang w:val="en-GB"/>
        </w:rPr>
        <w:fldChar w:fldCharType="begin">
          <w:fldData xml:space="preserve">PEVuZE5vdGU+PENpdGU+PEF1dGhvcj5Ib2phdDwvQXV0aG9yPjxZZWFyPjIwMDI8L1llYXI+PFJl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==
</w:fldData>
        </w:fldChar>
      </w:r>
      <w:r w:rsidR="008B61BE" w:rsidRPr="00B56453">
        <w:rPr>
          <w:lang w:val="en-GB"/>
        </w:rPr>
        <w:instrText xml:space="preserve"> ADDIN EN.CITE </w:instrText>
      </w:r>
      <w:r w:rsidR="008B61BE" w:rsidRPr="00B27F0B">
        <w:rPr>
          <w:lang w:val="en-GB"/>
        </w:rPr>
        <w:fldChar w:fldCharType="begin">
          <w:fldData xml:space="preserve">PEVuZE5vdGU+PENpdGU+PEF1dGhvcj5Ib2phdDwvQXV0aG9yPjxZZWFyPjIwMDI8L1llYXI+PFJl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==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00E64544" w:rsidRPr="00B27F0B">
        <w:rPr>
          <w:lang w:val="en-GB"/>
        </w:rPr>
      </w:r>
      <w:r w:rsidR="00E64544" w:rsidRPr="00B27F0B">
        <w:rPr>
          <w:lang w:val="en-GB"/>
        </w:rPr>
        <w:fldChar w:fldCharType="separate"/>
      </w:r>
      <w:r w:rsidR="004E5A78" w:rsidRPr="00B56453">
        <w:rPr>
          <w:noProof/>
          <w:lang w:val="en-GB"/>
        </w:rPr>
        <w:t>(</w:t>
      </w:r>
      <w:hyperlink w:anchor="_ENREF_191" w:tooltip="Hojat, 2002 #662" w:history="1">
        <w:r w:rsidR="0094469E" w:rsidRPr="00B56453">
          <w:rPr>
            <w:noProof/>
            <w:lang w:val="en-GB"/>
          </w:rPr>
          <w:t>Hojat et al. 2002</w:t>
        </w:r>
      </w:hyperlink>
      <w:r w:rsidR="004E5A78" w:rsidRPr="00B56453">
        <w:rPr>
          <w:noProof/>
          <w:lang w:val="en-GB"/>
        </w:rPr>
        <w:t xml:space="preserve">; </w:t>
      </w:r>
      <w:hyperlink w:anchor="_ENREF_238" w:tooltip="Lempp, 2006 #766" w:history="1">
        <w:r w:rsidR="0094469E" w:rsidRPr="00B56453">
          <w:rPr>
            <w:noProof/>
            <w:lang w:val="en-GB"/>
          </w:rPr>
          <w:t>Lempp and Seale 2006</w:t>
        </w:r>
      </w:hyperlink>
      <w:r w:rsidR="004E5A78" w:rsidRPr="00B56453">
        <w:rPr>
          <w:noProof/>
          <w:lang w:val="en-GB"/>
        </w:rPr>
        <w:t>)</w:t>
      </w:r>
      <w:r w:rsidR="00E64544" w:rsidRPr="009C2746">
        <w:rPr>
          <w:lang w:val="en-GB"/>
        </w:rPr>
        <w:fldChar w:fldCharType="end"/>
      </w:r>
      <w:r w:rsidR="00E64544" w:rsidRPr="00B56453">
        <w:rPr>
          <w:lang w:val="en-GB"/>
        </w:rPr>
        <w:t>.</w:t>
      </w:r>
    </w:p>
    <w:p w14:paraId="6A664530" w14:textId="77777777" w:rsidR="00EE5E4B" w:rsidRPr="00B56453" w:rsidRDefault="00EE5E4B" w:rsidP="00026049">
      <w:pPr>
        <w:pStyle w:val="Normal1"/>
        <w:rPr>
          <w:lang w:val="en-GB"/>
        </w:rPr>
      </w:pPr>
    </w:p>
    <w:p w14:paraId="396F3BF5" w14:textId="50479859" w:rsidR="00421C1B" w:rsidRPr="00B56453" w:rsidRDefault="00EE5E4B" w:rsidP="00026049">
      <w:pPr>
        <w:pStyle w:val="Normal1"/>
        <w:rPr>
          <w:lang w:val="en-GB"/>
        </w:rPr>
      </w:pPr>
      <w:r w:rsidRPr="00B56453">
        <w:rPr>
          <w:lang w:val="en-GB"/>
        </w:rPr>
        <w:lastRenderedPageBreak/>
        <w:t>These results have a number of implications, particularly regarding the use of SSRQ in assessing SRL in medical students in the transitional phase between preclinical and clinical learning.</w:t>
      </w:r>
      <w:r w:rsidR="00421C1B" w:rsidRPr="00B56453">
        <w:rPr>
          <w:lang w:val="en-GB"/>
        </w:rPr>
        <w:t xml:space="preserve"> Research has shown that assessing SRL in the phase between preclinical and clinical stages at the undergraduate level is crucial, enabling assessors to map motivations, learning strategies and directions, with dramatic consequences on the student’s achievement and potentially informing curricular and research developments </w:t>
      </w:r>
      <w:r w:rsidR="00421C1B" w:rsidRPr="009C2746">
        <w:rPr>
          <w:lang w:val="en-GB"/>
        </w:rPr>
        <w:fldChar w:fldCharType="begin"/>
      </w:r>
      <w:r w:rsidR="008B61BE" w:rsidRPr="00B56453">
        <w:rPr>
          <w:lang w:val="en-GB"/>
        </w:rPr>
        <w:instrText xml:space="preserve"> ADDIN EN.CITE &lt;EndNote&gt;&lt;Cite&gt;&lt;Author&gt;Lucieer&lt;/Author&gt;&lt;Year&gt;2015&lt;/Year&gt;&lt;RecNum&gt;958&lt;/RecNum&gt;&lt;DisplayText&gt;(Lucieer et al. 2015; Cho et al. 2017)&lt;/DisplayText&gt;&lt;record&gt;&lt;rec-number&gt;958&lt;/rec-number&gt;&lt;foreign-keys&gt;&lt;key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Cite&gt;&lt;Author&gt;Cho&lt;/Author&gt;&lt;Year&gt;2017&lt;/Year&gt;&lt;RecNum&gt;670&lt;/RecNum&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00421C1B" w:rsidRPr="00B27F0B">
        <w:rPr>
          <w:lang w:val="en-GB"/>
        </w:rPr>
        <w:fldChar w:fldCharType="separate"/>
      </w:r>
      <w:r w:rsidR="004E5A78" w:rsidRPr="00B56453">
        <w:rPr>
          <w:noProof/>
          <w:lang w:val="en-GB"/>
        </w:rPr>
        <w:t>(</w:t>
      </w:r>
      <w:hyperlink w:anchor="_ENREF_249" w:tooltip="Lucieer, 2015 #958" w:history="1">
        <w:r w:rsidR="0094469E" w:rsidRPr="00B56453">
          <w:rPr>
            <w:noProof/>
            <w:lang w:val="en-GB"/>
          </w:rPr>
          <w:t>Lucieer et al. 2015</w:t>
        </w:r>
      </w:hyperlink>
      <w:r w:rsidR="004E5A78" w:rsidRPr="00B56453">
        <w:rPr>
          <w:noProof/>
          <w:lang w:val="en-GB"/>
        </w:rPr>
        <w:t xml:space="preserve">; </w:t>
      </w:r>
      <w:hyperlink w:anchor="_ENREF_75" w:tooltip="Cho, 2017 #670" w:history="1">
        <w:r w:rsidR="0094469E" w:rsidRPr="00B56453">
          <w:rPr>
            <w:noProof/>
            <w:lang w:val="en-GB"/>
          </w:rPr>
          <w:t>Cho et al. 2017</w:t>
        </w:r>
      </w:hyperlink>
      <w:r w:rsidR="004E5A78" w:rsidRPr="00B56453">
        <w:rPr>
          <w:noProof/>
          <w:lang w:val="en-GB"/>
        </w:rPr>
        <w:t>)</w:t>
      </w:r>
      <w:r w:rsidR="00421C1B" w:rsidRPr="009C2746">
        <w:rPr>
          <w:lang w:val="en-GB"/>
        </w:rPr>
        <w:fldChar w:fldCharType="end"/>
      </w:r>
      <w:r w:rsidR="00421C1B" w:rsidRPr="00B56453">
        <w:rPr>
          <w:lang w:val="en-GB"/>
        </w:rPr>
        <w:t>.</w:t>
      </w:r>
      <w:r w:rsidR="00FE7887" w:rsidRPr="00B56453">
        <w:rPr>
          <w:lang w:val="en-GB"/>
        </w:rPr>
        <w:t xml:space="preserve"> In addition, there is a need for health professionals to be self-regulating in response to the complex and constantly changing culture of the medical profession </w:t>
      </w:r>
      <w:r w:rsidR="00FE7887" w:rsidRPr="009C2746">
        <w:rPr>
          <w:lang w:val="en-GB"/>
        </w:rPr>
        <w:fldChar w:fldCharType="begin"/>
      </w:r>
      <w:r w:rsidR="008B61BE" w:rsidRPr="00B56453">
        <w:rPr>
          <w:lang w:val="en-GB"/>
        </w:rPr>
        <w:instrText xml:space="preserve"> ADDIN EN.CITE &lt;EndNote&gt;&lt;Cite&gt;&lt;Author&gt;Bjork&lt;/Author&gt;&lt;Year&gt;2013&lt;/Year&gt;&lt;RecNum&gt;603&lt;/RecNum&gt;&lt;DisplayText&gt;(Bjork et al. 2013; Lucieer et al. 2015)&lt;/DisplayText&gt;&lt;record&gt;&lt;rec-number&gt;603&lt;/rec-number&gt;&lt;foreign-keys&gt;&lt;key app="EN" db-id="xa2r2ewea92trkef5dt5arvbzafvpv2za5ft" timestamp="1496417559"&gt;603&lt;/key&gt;&lt;/foreign-keys&gt;&lt;ref-type name="Journal Article"&gt;17&lt;/ref-type&gt;&lt;contributors&gt;&lt;authors&gt;&lt;author&gt;Bjork, Robert A&lt;/author&gt;&lt;author&gt;Dunlosky, John&lt;/author&gt;&lt;author&gt;Kornell, Nate&lt;/author&gt;&lt;/authors&gt;&lt;/contributors&gt;&lt;titles&gt;&lt;title&gt;Self-regulated learning: Beliefs, techniques, and illusions&lt;/title&gt;&lt;secondary-title&gt;Annual review of psychology&lt;/secondary-title&gt;&lt;/titles&gt;&lt;periodical&gt;&lt;full-title&gt;Annual review of psychology&lt;/full-title&gt;&lt;/periodical&gt;&lt;pages&gt;417-444&lt;/pages&gt;&lt;volume&gt;64&lt;/volume&gt;&lt;dates&gt;&lt;year&gt;2013&lt;/year&gt;&lt;/dates&gt;&lt;isbn&gt;0066-4308&lt;/isbn&gt;&lt;urls&gt;&lt;/urls&gt;&lt;/record&gt;&lt;/Cite&gt;&lt;Cite&gt;&lt;Author&gt;Lucieer&lt;/Author&gt;&lt;Year&gt;2015&lt;/Year&gt;&lt;RecNum&gt;958&lt;/RecNum&gt;&lt;record&gt;&lt;rec-number&gt;958&lt;/rec-number&gt;&lt;foreign-keys&gt;&lt;key app="EN" db-id="xa2r2ewea92trkef5dt5arvbzafvpv2za5ft" timestamp="1501167121"&gt;958&lt;/key&gt;&lt;/foreign-keys&gt;&lt;ref-type name="Journal Article"&gt;17&lt;/ref-type&gt;&lt;contributors&gt;&lt;authors&gt;&lt;author&gt;Lucieer, Susanna M&lt;/author&gt;&lt;author&gt;Jonker, Laura&lt;/author&gt;&lt;author&gt;Visscher, Chris&lt;/author&gt;&lt;author&gt;Rikers, Remy MJP&lt;/author&gt;&lt;author&gt;Themmen, Axel PN&lt;/author&gt;&lt;/authors&gt;&lt;/contributors&gt;&lt;titles&gt;&lt;title&gt;Self-regulated learning and academic performance in medical education&lt;/title&gt;&lt;secondary-title&gt;Medical teacher&lt;/secondary-title&gt;&lt;/titles&gt;&lt;periodical&gt;&lt;full-title&gt;Medical teacher&lt;/full-title&gt;&lt;/periodical&gt;&lt;pages&gt;1-9&lt;/pages&gt;&lt;dates&gt;&lt;year&gt;2015&lt;/year&gt;&lt;/dates&gt;&lt;isbn&gt;0142-159X&lt;/isbn&gt;&lt;urls&gt;&lt;/urls&gt;&lt;/record&gt;&lt;/Cite&gt;&lt;/EndNote&gt;</w:instrText>
      </w:r>
      <w:r w:rsidR="00FE7887" w:rsidRPr="00B27F0B">
        <w:rPr>
          <w:lang w:val="en-GB"/>
        </w:rPr>
        <w:fldChar w:fldCharType="separate"/>
      </w:r>
      <w:r w:rsidR="004E5A78" w:rsidRPr="00B56453">
        <w:rPr>
          <w:noProof/>
          <w:lang w:val="en-GB"/>
        </w:rPr>
        <w:t>(</w:t>
      </w:r>
      <w:hyperlink w:anchor="_ENREF_34" w:tooltip="Bjork, 2013 #603" w:history="1">
        <w:r w:rsidR="0094469E" w:rsidRPr="00B56453">
          <w:rPr>
            <w:noProof/>
            <w:lang w:val="en-GB"/>
          </w:rPr>
          <w:t>Bjork et al. 2013</w:t>
        </w:r>
      </w:hyperlink>
      <w:r w:rsidR="004E5A78" w:rsidRPr="00B56453">
        <w:rPr>
          <w:noProof/>
          <w:lang w:val="en-GB"/>
        </w:rPr>
        <w:t xml:space="preserve">; </w:t>
      </w:r>
      <w:hyperlink w:anchor="_ENREF_249" w:tooltip="Lucieer, 2015 #958" w:history="1">
        <w:r w:rsidR="0094469E" w:rsidRPr="00B56453">
          <w:rPr>
            <w:noProof/>
            <w:lang w:val="en-GB"/>
          </w:rPr>
          <w:t>Lucieer et al. 2015</w:t>
        </w:r>
      </w:hyperlink>
      <w:r w:rsidR="004E5A78" w:rsidRPr="00B56453">
        <w:rPr>
          <w:noProof/>
          <w:lang w:val="en-GB"/>
        </w:rPr>
        <w:t>)</w:t>
      </w:r>
      <w:r w:rsidR="00FE7887" w:rsidRPr="009C2746">
        <w:rPr>
          <w:lang w:val="en-GB"/>
        </w:rPr>
        <w:fldChar w:fldCharType="end"/>
      </w:r>
      <w:r w:rsidR="00FE7887" w:rsidRPr="00B56453">
        <w:rPr>
          <w:lang w:val="en-GB"/>
        </w:rPr>
        <w:t xml:space="preserve">. The SSRQ may provide a helpful way to monitor this development at all levels, indicating problematic stages of medical training where SRL development is lacking </w:t>
      </w:r>
      <w:r w:rsidR="009D30A3" w:rsidRPr="00B56453">
        <w:rPr>
          <w:lang w:val="en-GB"/>
        </w:rPr>
        <w:t xml:space="preserve">and </w:t>
      </w:r>
      <w:r w:rsidR="00FE7887" w:rsidRPr="00B56453">
        <w:rPr>
          <w:lang w:val="en-GB"/>
        </w:rPr>
        <w:t xml:space="preserve">in which targeted support can be given, perhaps using SRL MA. </w:t>
      </w:r>
    </w:p>
    <w:p w14:paraId="5B9F2497" w14:textId="77777777" w:rsidR="00421C1B" w:rsidRPr="00B56453" w:rsidRDefault="00421C1B" w:rsidP="00026049">
      <w:pPr>
        <w:pStyle w:val="Normal1"/>
        <w:rPr>
          <w:lang w:val="en-GB"/>
        </w:rPr>
      </w:pPr>
    </w:p>
    <w:p w14:paraId="003A1E19" w14:textId="671CF141" w:rsidR="00013929" w:rsidRPr="00B56453" w:rsidRDefault="00013929" w:rsidP="00026049">
      <w:pPr>
        <w:pStyle w:val="Normal1"/>
        <w:rPr>
          <w:lang w:val="en-GB"/>
        </w:rPr>
      </w:pPr>
      <w:r w:rsidRPr="00B56453">
        <w:rPr>
          <w:lang w:val="en-GB"/>
        </w:rPr>
        <w:t xml:space="preserve">The SSRQ was based upon a questionnaire which derived its items from a theoretical framework which is </w:t>
      </w:r>
      <w:r w:rsidR="00F861E2" w:rsidRPr="00B56453">
        <w:rPr>
          <w:lang w:val="en-GB"/>
        </w:rPr>
        <w:t>not a popular model</w:t>
      </w:r>
      <w:r w:rsidRPr="00B56453">
        <w:rPr>
          <w:lang w:val="en-GB"/>
        </w:rPr>
        <w:t xml:space="preserve"> in contemporary SRL research </w:t>
      </w:r>
      <w:r w:rsidR="00EF281A" w:rsidRPr="009C2746">
        <w:rPr>
          <w:lang w:val="en-GB"/>
        </w:rPr>
        <w:fldChar w:fldCharType="begin"/>
      </w:r>
      <w:r w:rsidR="008B61BE" w:rsidRPr="00B56453">
        <w:rPr>
          <w:lang w:val="en-GB"/>
        </w:rPr>
        <w:instrText xml:space="preserve"> ADDIN EN.CITE &lt;EndNote&gt;&lt;Cite&gt;&lt;Author&gt;Carey&lt;/Author&gt;&lt;Year&gt;2004&lt;/Year&gt;&lt;RecNum&gt;839&lt;/RecNum&gt;&lt;DisplayText&gt;(Carey et al. 2004)&lt;/DisplayText&gt;&lt;record&gt;&lt;rec-number&gt;839&lt;/rec-number&gt;&lt;foreign-keys&gt;&lt;key app="EN" db-id="xa2r2ewea92trkef5dt5arvbzafvpv2za5ft" timestamp="1496417598"&gt;839&lt;/key&gt;&lt;/foreign-keys&gt;&lt;ref-type name="Journal Article"&gt;17&lt;/ref-type&gt;&lt;contributors&gt;&lt;authors&gt;&lt;author&gt;Carey, Kate B&lt;/author&gt;&lt;author&gt;Neal, Dan J&lt;/author&gt;&lt;author&gt;Collins, Susan E&lt;/author&gt;&lt;/authors&gt;&lt;/contributors&gt;&lt;titles&gt;&lt;title&gt;A psychometric analysis of the self-regulation questionnaire&lt;/title&gt;&lt;secondary-title&gt;Addictive Behaviors&lt;/secondary-title&gt;&lt;/titles&gt;&lt;periodical&gt;&lt;full-title&gt;Addictive Behaviors&lt;/full-title&gt;&lt;/periodical&gt;&lt;pages&gt;253-260&lt;/pages&gt;&lt;volume&gt;29&lt;/volume&gt;&lt;number&gt;2&lt;/number&gt;&lt;dates&gt;&lt;year&gt;2004&lt;/year&gt;&lt;/dates&gt;&lt;isbn&gt;0306-4603&lt;/isbn&gt;&lt;urls&gt;&lt;/urls&gt;&lt;/record&gt;&lt;/Cite&gt;&lt;/EndNote&gt;</w:instrText>
      </w:r>
      <w:r w:rsidR="00EF281A" w:rsidRPr="00B27F0B">
        <w:rPr>
          <w:lang w:val="en-GB"/>
        </w:rPr>
        <w:fldChar w:fldCharType="separate"/>
      </w:r>
      <w:r w:rsidR="004E5A78" w:rsidRPr="00B56453">
        <w:rPr>
          <w:noProof/>
          <w:lang w:val="en-GB"/>
        </w:rPr>
        <w:t>(</w:t>
      </w:r>
      <w:hyperlink w:anchor="_ENREF_70" w:tooltip="Carey, 2004 #839" w:history="1">
        <w:r w:rsidR="0094469E" w:rsidRPr="00B56453">
          <w:rPr>
            <w:noProof/>
            <w:lang w:val="en-GB"/>
          </w:rPr>
          <w:t>Carey et al. 2004</w:t>
        </w:r>
      </w:hyperlink>
      <w:r w:rsidR="004E5A78" w:rsidRPr="00B56453">
        <w:rPr>
          <w:noProof/>
          <w:lang w:val="en-GB"/>
        </w:rPr>
        <w:t>)</w:t>
      </w:r>
      <w:r w:rsidR="00EF281A" w:rsidRPr="009C2746">
        <w:rPr>
          <w:lang w:val="en-GB"/>
        </w:rPr>
        <w:fldChar w:fldCharType="end"/>
      </w:r>
      <w:r w:rsidRPr="00B56453">
        <w:rPr>
          <w:lang w:val="en-GB"/>
        </w:rPr>
        <w:t xml:space="preserve">, it is therefore worth speculating on how the items may relate to other educational constructs and ideas. </w:t>
      </w:r>
      <w:r w:rsidR="00421C1B" w:rsidRPr="00B56453">
        <w:rPr>
          <w:lang w:val="en-GB"/>
        </w:rPr>
        <w:t>The elements of reflection throughout the items share similarities to the theories of ‘reflection-in-action’ and ‘reflection-on-action’</w:t>
      </w:r>
      <w:r w:rsidR="000F60DF" w:rsidRPr="00B56453">
        <w:rPr>
          <w:lang w:val="en-GB"/>
        </w:rPr>
        <w:t xml:space="preserve"> in professional learning</w:t>
      </w:r>
      <w:r w:rsidR="00421C1B" w:rsidRPr="00B56453">
        <w:rPr>
          <w:lang w:val="en-GB"/>
        </w:rPr>
        <w:t xml:space="preserve"> proposed by </w:t>
      </w:r>
      <w:hyperlink w:anchor="_ENREF_365" w:tooltip="Schön, 1983 #971" w:history="1">
        <w:r w:rsidR="0094469E" w:rsidRPr="00B27F0B">
          <w:rPr>
            <w:lang w:val="en-GB"/>
          </w:rPr>
          <w:fldChar w:fldCharType="begin"/>
        </w:r>
        <w:r w:rsidR="0094469E" w:rsidRPr="00B56453">
          <w:rPr>
            <w:lang w:val="en-GB"/>
          </w:rPr>
          <w:instrText xml:space="preserve"> ADDIN EN.CITE &lt;EndNote&gt;&lt;Cite AuthorYear="1"&gt;&lt;Author&gt;Schön&lt;/Author&gt;&lt;Year&gt;1983&lt;/Year&gt;&lt;RecNum&gt;971&lt;/RecNum&gt;&lt;DisplayText&gt;Schön (1983)&lt;/DisplayText&gt;&lt;record&gt;&lt;rec-number&gt;971&lt;/rec-number&gt;&lt;foreign-keys&gt;&lt;key app="EN" db-id="xa2r2ewea92trkef5dt5arvbzafvpv2za5ft" timestamp="1501167124"&gt;971&lt;/key&gt;&lt;/foreign-keys&gt;&lt;ref-type name="Book"&gt;6&lt;/ref-type&gt;&lt;contributors&gt;&lt;authors&gt;&lt;author&gt;Schön, Donald A&lt;/author&gt;&lt;/authors&gt;&lt;/contributors&gt;&lt;titles&gt;&lt;title&gt;The reflective practitioner: How professionals think in action&lt;/title&gt;&lt;/titles&gt;&lt;volume&gt;5126&lt;/volume&gt;&lt;dates&gt;&lt;year&gt;1983&lt;/year&gt;&lt;/dates&gt;&lt;publisher&gt;Basic books&lt;/publisher&gt;&lt;isbn&gt;0465068782&lt;/isbn&gt;&lt;urls&gt;&lt;/urls&gt;&lt;/record&gt;&lt;/Cite&gt;&lt;/EndNote&gt;</w:instrText>
        </w:r>
        <w:r w:rsidR="0094469E" w:rsidRPr="00B27F0B">
          <w:rPr>
            <w:lang w:val="en-GB"/>
          </w:rPr>
          <w:fldChar w:fldCharType="separate"/>
        </w:r>
        <w:r w:rsidR="0094469E" w:rsidRPr="00B56453">
          <w:rPr>
            <w:noProof/>
            <w:lang w:val="en-GB"/>
          </w:rPr>
          <w:t>Schön (1983)</w:t>
        </w:r>
        <w:r w:rsidR="0094469E" w:rsidRPr="00B27F0B">
          <w:rPr>
            <w:lang w:val="en-GB"/>
          </w:rPr>
          <w:fldChar w:fldCharType="end"/>
        </w:r>
      </w:hyperlink>
      <w:r w:rsidR="00421C1B" w:rsidRPr="00FD5859">
        <w:rPr>
          <w:lang w:val="en-GB"/>
        </w:rPr>
        <w:t>.</w:t>
      </w:r>
      <w:r w:rsidR="000F60DF" w:rsidRPr="00B56453">
        <w:rPr>
          <w:lang w:val="en-GB"/>
        </w:rPr>
        <w:t xml:space="preserve"> Reflection-in-action refers to an individual thinking about an event or task they are still in the process of completing while they still have time to influence the outcome. Reflection-</w:t>
      </w:r>
      <w:r w:rsidR="009D30A3" w:rsidRPr="00B56453">
        <w:rPr>
          <w:lang w:val="en-GB"/>
        </w:rPr>
        <w:t>o</w:t>
      </w:r>
      <w:r w:rsidR="000F60DF" w:rsidRPr="00B56453">
        <w:rPr>
          <w:lang w:val="en-GB"/>
        </w:rPr>
        <w:t>n-action refers to an individual thinking about what they could have done and will do differently for next time.</w:t>
      </w:r>
      <w:r w:rsidR="00421C1B" w:rsidRPr="00B56453">
        <w:rPr>
          <w:lang w:val="en-GB"/>
        </w:rPr>
        <w:t xml:space="preserve"> </w:t>
      </w:r>
      <w:r w:rsidR="009A76E3" w:rsidRPr="00B56453">
        <w:rPr>
          <w:lang w:val="en-GB"/>
        </w:rPr>
        <w:t>Items 4, 11, 13, 23, 24, and 29 relate closely to reflection</w:t>
      </w:r>
      <w:r w:rsidR="000F60DF" w:rsidRPr="00B56453">
        <w:rPr>
          <w:lang w:val="en-GB"/>
        </w:rPr>
        <w:t>-</w:t>
      </w:r>
      <w:r w:rsidR="009A76E3" w:rsidRPr="00B56453">
        <w:rPr>
          <w:lang w:val="en-GB"/>
        </w:rPr>
        <w:t>on</w:t>
      </w:r>
      <w:r w:rsidR="000F60DF" w:rsidRPr="00B56453">
        <w:rPr>
          <w:lang w:val="en-GB"/>
        </w:rPr>
        <w:t>-</w:t>
      </w:r>
      <w:r w:rsidR="009A76E3" w:rsidRPr="00B56453">
        <w:rPr>
          <w:lang w:val="en-GB"/>
        </w:rPr>
        <w:t xml:space="preserve">action as they ask about thought processes typically occurring after an event or task. Items </w:t>
      </w:r>
      <w:r w:rsidR="000F60DF" w:rsidRPr="00B56453">
        <w:rPr>
          <w:lang w:val="en-GB"/>
        </w:rPr>
        <w:t>1, 3, 4, 7, 12, 18, 20, 21, 22, 26, 27, and 3</w:t>
      </w:r>
      <w:r w:rsidR="00A3705B" w:rsidRPr="00B56453">
        <w:rPr>
          <w:lang w:val="en-GB"/>
        </w:rPr>
        <w:t>1</w:t>
      </w:r>
      <w:r w:rsidR="000F60DF" w:rsidRPr="00B56453">
        <w:rPr>
          <w:lang w:val="en-GB"/>
        </w:rPr>
        <w:t xml:space="preserve"> ask about thought processes related to reflection-in-action occurring during task performance. Similarly, many of the items can be mapped to Zimmerman’s </w:t>
      </w:r>
      <w:r w:rsidR="00B52FBE" w:rsidRPr="00B56453">
        <w:rPr>
          <w:lang w:val="en-GB"/>
        </w:rPr>
        <w:t>model</w:t>
      </w:r>
      <w:r w:rsidR="000F60DF" w:rsidRPr="00B56453">
        <w:rPr>
          <w:lang w:val="en-GB"/>
        </w:rPr>
        <w:t xml:space="preserve"> of SRL. The items mentioned above relating to reflection-in-action could assess SRL processes in the performance phase of the cyclical model</w:t>
      </w:r>
      <w:r w:rsidR="00A3705B" w:rsidRPr="00B56453">
        <w:rPr>
          <w:lang w:val="en-GB"/>
        </w:rPr>
        <w:t xml:space="preserve"> and those relating to reflection-on-action may be used to assess SRL processes in the self-reflection stage. Additionally for the forethought stage, items 2, 5, 8, 9, 10, 14, 15, 16, 17, 19, 21, 24, 25, 28, and 30 describe processes involving goal setting, planning, and motivation. </w:t>
      </w:r>
      <w:r w:rsidRPr="00B56453">
        <w:rPr>
          <w:lang w:val="en-GB"/>
        </w:rPr>
        <w:t xml:space="preserve">However, similarities are to be expected given that most SRL theories are generally based upon </w:t>
      </w:r>
      <w:r w:rsidR="009A76E3" w:rsidRPr="00B56453">
        <w:rPr>
          <w:lang w:val="en-GB"/>
        </w:rPr>
        <w:t xml:space="preserve">common principles </w:t>
      </w:r>
      <w:r w:rsidR="00EF281A" w:rsidRPr="009C2746">
        <w:rPr>
          <w:lang w:val="en-GB"/>
        </w:rPr>
        <w:fldChar w:fldCharType="begin"/>
      </w:r>
      <w:r w:rsidR="008B61BE" w:rsidRPr="00B56453">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B27F0B">
        <w:rPr>
          <w:lang w:val="en-GB"/>
        </w:rPr>
        <w:fldChar w:fldCharType="separate"/>
      </w:r>
      <w:r w:rsidR="004E5A78" w:rsidRPr="00B56453">
        <w:rPr>
          <w:noProof/>
          <w:lang w:val="en-GB"/>
        </w:rPr>
        <w:t>(</w:t>
      </w:r>
      <w:hyperlink w:anchor="_ENREF_87" w:tooltip="Cleary, 2013 #593" w:history="1">
        <w:r w:rsidR="0094469E" w:rsidRPr="00B56453">
          <w:rPr>
            <w:noProof/>
            <w:lang w:val="en-GB"/>
          </w:rPr>
          <w:t>Cleary et al. 2013</w:t>
        </w:r>
      </w:hyperlink>
      <w:r w:rsidR="004E5A78" w:rsidRPr="00B56453">
        <w:rPr>
          <w:noProof/>
          <w:lang w:val="en-GB"/>
        </w:rPr>
        <w:t>)</w:t>
      </w:r>
      <w:r w:rsidR="00EF281A" w:rsidRPr="009C2746">
        <w:rPr>
          <w:lang w:val="en-GB"/>
        </w:rPr>
        <w:fldChar w:fldCharType="end"/>
      </w:r>
      <w:r w:rsidR="009A76E3" w:rsidRPr="00B56453">
        <w:rPr>
          <w:lang w:val="en-GB"/>
        </w:rPr>
        <w:t>, as outlined in Chapter A1.</w:t>
      </w:r>
    </w:p>
    <w:p w14:paraId="0CA88E7E" w14:textId="77777777" w:rsidR="00421C1B" w:rsidRPr="00B56453" w:rsidRDefault="00421C1B" w:rsidP="00026049">
      <w:pPr>
        <w:pStyle w:val="Normal1"/>
        <w:rPr>
          <w:lang w:val="en-GB"/>
        </w:rPr>
      </w:pPr>
    </w:p>
    <w:p w14:paraId="56686720" w14:textId="592AB720" w:rsidR="0015008D" w:rsidRPr="00B56453" w:rsidRDefault="00EE5E4B" w:rsidP="00026049">
      <w:pPr>
        <w:pStyle w:val="Normal1"/>
        <w:rPr>
          <w:lang w:val="en-GB"/>
        </w:rPr>
      </w:pPr>
      <w:r w:rsidRPr="00B56453">
        <w:rPr>
          <w:lang w:val="en-GB"/>
        </w:rPr>
        <w:t>Further research must take the next step in using confirmatory factor analysis to cross-</w:t>
      </w:r>
      <w:r w:rsidRPr="00B56453">
        <w:rPr>
          <w:lang w:val="en-GB"/>
        </w:rPr>
        <w:lastRenderedPageBreak/>
        <w:t xml:space="preserve">validate the </w:t>
      </w:r>
      <w:r w:rsidR="0015008D" w:rsidRPr="00B56453">
        <w:rPr>
          <w:lang w:val="en-GB"/>
        </w:rPr>
        <w:t>single factor model</w:t>
      </w:r>
      <w:r w:rsidRPr="00B56453">
        <w:rPr>
          <w:lang w:val="en-GB"/>
        </w:rPr>
        <w:t xml:space="preserve"> identified in the present study in larger and more diverse populations </w:t>
      </w:r>
      <w:r w:rsidR="00D531CD" w:rsidRPr="00B56453">
        <w:rPr>
          <w:lang w:val="en-GB"/>
        </w:rPr>
        <w:t>to further</w:t>
      </w:r>
      <w:r w:rsidRPr="00B56453">
        <w:rPr>
          <w:lang w:val="en-GB"/>
        </w:rPr>
        <w:t xml:space="preserve"> validate the SSRQ. This would support the study of invariance of the model across gender, age, and fee status, in wider medical student populations. Moreover, the SSRQ revealed an internally-consistent self-report measure of SRL, showing satisfactory Cronbach’s alpha values however future studies should further investigate the reliability and the psychometric properties of the instrument. Future investigations in health education contexts should attempt to provide objective SRL measures and test relations with self-report measures. The data could be used to develop SRL support strategies, </w:t>
      </w:r>
      <w:r w:rsidR="0021662A" w:rsidRPr="00B56453">
        <w:rPr>
          <w:lang w:val="en-GB"/>
        </w:rPr>
        <w:t>including</w:t>
      </w:r>
      <w:r w:rsidRPr="00B56453">
        <w:rPr>
          <w:lang w:val="en-GB"/>
        </w:rPr>
        <w:t xml:space="preserve"> SRL </w:t>
      </w:r>
      <w:r w:rsidR="007040AC" w:rsidRPr="00B56453">
        <w:rPr>
          <w:lang w:val="en-GB"/>
        </w:rPr>
        <w:t>MA</w:t>
      </w:r>
      <w:r w:rsidRPr="00B56453">
        <w:rPr>
          <w:lang w:val="en-GB"/>
        </w:rPr>
        <w:t xml:space="preserve"> which has been shown to improve test scores in struggling students (Andrews et al., 2017)</w:t>
      </w:r>
      <w:r w:rsidR="00592DA7" w:rsidRPr="00B56453">
        <w:rPr>
          <w:lang w:val="en-GB"/>
        </w:rPr>
        <w:t>.</w:t>
      </w:r>
      <w:r w:rsidR="003D4CCA" w:rsidRPr="00B56453">
        <w:rPr>
          <w:lang w:val="en-GB"/>
        </w:rPr>
        <w:t xml:space="preserve"> </w:t>
      </w:r>
    </w:p>
    <w:p w14:paraId="57ACC933" w14:textId="77777777" w:rsidR="00592DA7" w:rsidRPr="00B56453" w:rsidRDefault="00592DA7" w:rsidP="00026049">
      <w:pPr>
        <w:pStyle w:val="Normal1"/>
        <w:rPr>
          <w:lang w:val="en-GB"/>
        </w:rPr>
      </w:pPr>
    </w:p>
    <w:p w14:paraId="44945BD5" w14:textId="646D9BE7" w:rsidR="003D4CCA" w:rsidRPr="00B56453" w:rsidRDefault="00EE5E4B" w:rsidP="00EC2869">
      <w:pPr>
        <w:pStyle w:val="Normal1"/>
        <w:rPr>
          <w:lang w:val="en-GB"/>
        </w:rPr>
      </w:pPr>
      <w:r w:rsidRPr="00B56453">
        <w:rPr>
          <w:lang w:val="en-GB"/>
        </w:rPr>
        <w:t>The key implication of this research for medical education practice is that the SSRQ can be used as a consistent tool for measuring SRL and discriminate between dimensions of the identified SRL factors.</w:t>
      </w:r>
      <w:r w:rsidR="00421C1B" w:rsidRPr="00B56453">
        <w:rPr>
          <w:lang w:val="en-GB"/>
        </w:rPr>
        <w:t xml:space="preserve"> It also represents the first attempt to validate </w:t>
      </w:r>
      <w:r w:rsidR="0015008D" w:rsidRPr="00B56453">
        <w:rPr>
          <w:lang w:val="en-GB"/>
        </w:rPr>
        <w:t>the SSRQ</w:t>
      </w:r>
      <w:r w:rsidR="00A65CCA" w:rsidRPr="00B56453">
        <w:rPr>
          <w:lang w:val="en-GB"/>
        </w:rPr>
        <w:t xml:space="preserve"> in the UK</w:t>
      </w:r>
      <w:r w:rsidR="00421C1B" w:rsidRPr="00B56453">
        <w:rPr>
          <w:lang w:val="en-GB"/>
        </w:rPr>
        <w:t xml:space="preserve"> context. </w:t>
      </w:r>
      <w:r w:rsidR="003D4CCA" w:rsidRPr="00B56453">
        <w:rPr>
          <w:lang w:val="en-GB"/>
        </w:rPr>
        <w:t xml:space="preserve">There are other SRL measurement tools that have been validated in medical education contexts, </w:t>
      </w:r>
      <w:r w:rsidR="0021662A" w:rsidRPr="00B56453">
        <w:rPr>
          <w:lang w:val="en-GB"/>
        </w:rPr>
        <w:t>including</w:t>
      </w:r>
      <w:r w:rsidR="003D4CCA" w:rsidRPr="00B56453">
        <w:rPr>
          <w:lang w:val="en-GB"/>
        </w:rPr>
        <w:t xml:space="preserve"> the MSLQ and the SRL-SRS tools. However, these have not yet been validated in UK medical student populations. </w:t>
      </w:r>
      <w:r w:rsidR="00553156" w:rsidRPr="00B56453">
        <w:rPr>
          <w:lang w:val="en-GB"/>
        </w:rPr>
        <w:t xml:space="preserve">It was important to validate a SRL tool adapted to UK populations to this end to ensure a good cultural and contextual </w:t>
      </w:r>
      <w:r w:rsidR="00B02870" w:rsidRPr="00B56453">
        <w:rPr>
          <w:lang w:val="en-GB"/>
        </w:rPr>
        <w:t xml:space="preserve">fit as these factors can impact upon how questionnaires are answered across contexts </w:t>
      </w:r>
      <w:r w:rsidR="00B02870" w:rsidRPr="009C2746">
        <w:rPr>
          <w:lang w:val="en-GB"/>
        </w:rPr>
        <w:fldChar w:fldCharType="begin"/>
      </w:r>
      <w:r w:rsidR="008B61BE" w:rsidRPr="00B56453">
        <w:rPr>
          <w:lang w:val="en-GB"/>
        </w:rPr>
        <w:instrText xml:space="preserve"> ADDIN EN.CITE &lt;EndNote&gt;&lt;Cite&gt;&lt;Author&gt;Hambleton&lt;/Author&gt;&lt;Year&gt;2005&lt;/Year&gt;&lt;RecNum&gt;950&lt;/RecNum&gt;&lt;DisplayText&gt;(Hambleton 2005; Sireci et al. 2006)&lt;/DisplayText&gt;&lt;record&gt;&lt;rec-number&gt;950&lt;/rec-number&gt;&lt;foreign-keys&gt;&lt;key app="EN" db-id="xa2r2ewea92trkef5dt5arvbzafvpv2za5ft" timestamp="1500901507"&gt;950&lt;/key&gt;&lt;/foreign-keys&gt;&lt;ref-type name="Journal Article"&gt;17&lt;/ref-type&gt;&lt;contributors&gt;&lt;authors&gt;&lt;author&gt;Hambleton, Ronald K&lt;/author&gt;&lt;/authors&gt;&lt;/contributors&gt;&lt;titles&gt;&lt;title&gt;Issues, designs, and technical guidelines for adapting tests into multiple languages and cultures&lt;/title&gt;&lt;secondary-title&gt;Adapting educational and psychological tests for cross-cultural assessment&lt;/secondary-title&gt;&lt;/titles&gt;&lt;periodical&gt;&lt;full-title&gt;Adapting educational and psychological tests for cross-cultural assessment&lt;/full-title&gt;&lt;/periodical&gt;&lt;pages&gt;3-38&lt;/pages&gt;&lt;volume&gt;1&lt;/volume&gt;&lt;dates&gt;&lt;year&gt;2005&lt;/year&gt;&lt;/dates&gt;&lt;urls&gt;&lt;/urls&gt;&lt;/record&gt;&lt;/Cite&gt;&lt;Cite&gt;&lt;Author&gt;Sireci&lt;/Author&gt;&lt;Year&gt;2006&lt;/Year&gt;&lt;RecNum&gt;951&lt;/RecNum&gt;&lt;record&gt;&lt;rec-number&gt;951&lt;/rec-number&gt;&lt;foreign-keys&gt;&lt;key app="EN" db-id="xa2r2ewea92trkef5dt5arvbzafvpv2za5ft" timestamp="1500901523"&gt;951&lt;/key&gt;&lt;/foreign-keys&gt;&lt;ref-type name="Journal Article"&gt;17&lt;/ref-type&gt;&lt;contributors&gt;&lt;authors&gt;&lt;author&gt;Sireci, Stephen G&lt;/author&gt;&lt;author&gt;Yang, Yongwei&lt;/author&gt;&lt;author&gt;Harter, James&lt;/author&gt;&lt;author&gt;Ehrlich, Eldin J&lt;/author&gt;&lt;/authors&gt;&lt;/contributors&gt;&lt;titles&gt;&lt;title&gt;Evaluating guidelines for test adaptations: A methodological analysis of translation quality&lt;/title&gt;&lt;secondary-title&gt;Journal of Cross-Cultural Psychology&lt;/secondary-title&gt;&lt;/titles&gt;&lt;periodical&gt;&lt;full-title&gt;Journal of Cross-Cultural Psychology&lt;/full-title&gt;&lt;/periodical&gt;&lt;pages&gt;557-567&lt;/pages&gt;&lt;volume&gt;37&lt;/volume&gt;&lt;number&gt;5&lt;/number&gt;&lt;dates&gt;&lt;year&gt;2006&lt;/year&gt;&lt;/dates&gt;&lt;isbn&gt;0022-0221&lt;/isbn&gt;&lt;urls&gt;&lt;/urls&gt;&lt;/record&gt;&lt;/Cite&gt;&lt;/EndNote&gt;</w:instrText>
      </w:r>
      <w:r w:rsidR="00B02870" w:rsidRPr="00B27F0B">
        <w:rPr>
          <w:lang w:val="en-GB"/>
        </w:rPr>
        <w:fldChar w:fldCharType="separate"/>
      </w:r>
      <w:r w:rsidR="00B02870" w:rsidRPr="00B56453">
        <w:rPr>
          <w:noProof/>
          <w:lang w:val="en-GB"/>
        </w:rPr>
        <w:t>(</w:t>
      </w:r>
      <w:hyperlink w:anchor="_ENREF_180" w:tooltip="Hambleton, 2005 #950" w:history="1">
        <w:r w:rsidR="0094469E" w:rsidRPr="00B56453">
          <w:rPr>
            <w:noProof/>
            <w:lang w:val="en-GB"/>
          </w:rPr>
          <w:t>Hambleton 2005</w:t>
        </w:r>
      </w:hyperlink>
      <w:r w:rsidR="00B02870" w:rsidRPr="00B56453">
        <w:rPr>
          <w:noProof/>
          <w:lang w:val="en-GB"/>
        </w:rPr>
        <w:t xml:space="preserve">; </w:t>
      </w:r>
      <w:hyperlink w:anchor="_ENREF_388" w:tooltip="Sireci, 2006 #951" w:history="1">
        <w:r w:rsidR="0094469E" w:rsidRPr="00B56453">
          <w:rPr>
            <w:noProof/>
            <w:lang w:val="en-GB"/>
          </w:rPr>
          <w:t>Sireci et al. 2006</w:t>
        </w:r>
      </w:hyperlink>
      <w:r w:rsidR="00B02870" w:rsidRPr="00B56453">
        <w:rPr>
          <w:noProof/>
          <w:lang w:val="en-GB"/>
        </w:rPr>
        <w:t>)</w:t>
      </w:r>
      <w:r w:rsidR="00B02870" w:rsidRPr="009C2746">
        <w:rPr>
          <w:lang w:val="en-GB"/>
        </w:rPr>
        <w:fldChar w:fldCharType="end"/>
      </w:r>
      <w:r w:rsidR="00EC2869" w:rsidRPr="00B56453">
        <w:rPr>
          <w:lang w:val="en-GB"/>
        </w:rPr>
        <w:t>.</w:t>
      </w:r>
    </w:p>
    <w:p w14:paraId="64DF52E7" w14:textId="77777777" w:rsidR="003D4CCA" w:rsidRPr="00B56453" w:rsidRDefault="003D4CCA" w:rsidP="00026049">
      <w:pPr>
        <w:pStyle w:val="Normal1"/>
        <w:rPr>
          <w:lang w:val="en-GB"/>
        </w:rPr>
      </w:pPr>
    </w:p>
    <w:p w14:paraId="17133246" w14:textId="20B8A91A" w:rsidR="00F861E2" w:rsidRPr="00B56453" w:rsidRDefault="00421C1B" w:rsidP="0049047B">
      <w:pPr>
        <w:pStyle w:val="Normal1"/>
        <w:rPr>
          <w:lang w:val="en-GB"/>
        </w:rPr>
      </w:pPr>
      <w:r w:rsidRPr="00B56453">
        <w:rPr>
          <w:lang w:val="en-GB"/>
        </w:rPr>
        <w:t xml:space="preserve">The main strengths of this were that data were collected from two </w:t>
      </w:r>
      <w:r w:rsidR="003F1A1C" w:rsidRPr="00B56453">
        <w:rPr>
          <w:lang w:val="en-GB"/>
        </w:rPr>
        <w:t>consecutive</w:t>
      </w:r>
      <w:r w:rsidRPr="00B56453">
        <w:rPr>
          <w:lang w:val="en-GB"/>
        </w:rPr>
        <w:t xml:space="preserve"> cohorts that shared similar socio-demographic characteristics and that the psychometric properties of the component matrix provided a good foundation on which to interpret the single factor.</w:t>
      </w:r>
      <w:r w:rsidR="00EE5E4B" w:rsidRPr="00B56453">
        <w:rPr>
          <w:lang w:val="en-GB"/>
        </w:rPr>
        <w:t xml:space="preserve"> The evidence from this study may represent a significant step forward in the use of SRL in medical education and thus, hopefully, will encourage others to engage in this kind of research in health related contexts to su</w:t>
      </w:r>
      <w:r w:rsidR="0051568B" w:rsidRPr="00B56453">
        <w:rPr>
          <w:lang w:val="en-GB"/>
        </w:rPr>
        <w:t xml:space="preserve">pport professional development. </w:t>
      </w:r>
      <w:r w:rsidR="003E106D" w:rsidRPr="00B56453">
        <w:rPr>
          <w:lang w:val="en-GB"/>
        </w:rPr>
        <w:t>In the context of this thesis, the positive results from this validation support the conclusions made in Chapter B3 which presents results obtained through the use of the SSRQ. Although these results do not mean that the SSRQ is a perfectly accurate measurement tool for assessing SRL they do add some credibility to any inferences made from the use of it. This is further supported by the fac</w:t>
      </w:r>
      <w:r w:rsidR="008F37BE" w:rsidRPr="00B56453">
        <w:rPr>
          <w:lang w:val="en-GB"/>
        </w:rPr>
        <w:t xml:space="preserve">t that the data used to validate the SSRQ here was collected from two </w:t>
      </w:r>
      <w:r w:rsidR="003F1A1C" w:rsidRPr="00B56453">
        <w:rPr>
          <w:lang w:val="en-GB"/>
        </w:rPr>
        <w:t>consecutive</w:t>
      </w:r>
      <w:r w:rsidR="008F37BE" w:rsidRPr="00B56453">
        <w:rPr>
          <w:lang w:val="en-GB"/>
        </w:rPr>
        <w:t xml:space="preserve"> cohorts of second year </w:t>
      </w:r>
      <w:r w:rsidR="00D531CD" w:rsidRPr="00B56453">
        <w:rPr>
          <w:lang w:val="en-GB"/>
        </w:rPr>
        <w:t>medical</w:t>
      </w:r>
      <w:r w:rsidR="008F37BE" w:rsidRPr="00B56453">
        <w:rPr>
          <w:lang w:val="en-GB"/>
        </w:rPr>
        <w:t xml:space="preserve"> undergraduates, these were at the same stage that the cohort under study were at when the three surveys were collected.</w:t>
      </w:r>
      <w:r w:rsidR="00F861E2" w:rsidRPr="00B27F0B">
        <w:rPr>
          <w:lang w:val="en-GB"/>
        </w:rPr>
        <w:br w:type="page"/>
      </w:r>
    </w:p>
    <w:p w14:paraId="38A1ECE0" w14:textId="632F52C1" w:rsidR="00D971FD" w:rsidRPr="00BD42AF" w:rsidRDefault="000535B6" w:rsidP="00B1638D">
      <w:pPr>
        <w:pStyle w:val="Heading2"/>
        <w:rPr>
          <w:lang w:val="en-GB"/>
        </w:rPr>
      </w:pPr>
      <w:bookmarkStart w:id="463" w:name="_Toc500319442"/>
      <w:r w:rsidRPr="00B56453">
        <w:rPr>
          <w:lang w:val="en-GB"/>
        </w:rPr>
        <w:lastRenderedPageBreak/>
        <w:t>D</w:t>
      </w:r>
      <w:r w:rsidR="00BF6160" w:rsidRPr="00ED770A">
        <w:rPr>
          <w:lang w:val="en-GB"/>
        </w:rPr>
        <w:t>2</w:t>
      </w:r>
      <w:r w:rsidRPr="00BD42AF">
        <w:rPr>
          <w:lang w:val="en-GB"/>
        </w:rPr>
        <w:t>.</w:t>
      </w:r>
      <w:r w:rsidR="001D4869" w:rsidRPr="00BD42AF">
        <w:rPr>
          <w:lang w:val="en-GB"/>
        </w:rPr>
        <w:t>4</w:t>
      </w:r>
      <w:r w:rsidRPr="00BD42AF">
        <w:rPr>
          <w:lang w:val="en-GB"/>
        </w:rPr>
        <w:t xml:space="preserve"> </w:t>
      </w:r>
      <w:r w:rsidR="00367EA7" w:rsidRPr="00BD42AF">
        <w:rPr>
          <w:lang w:val="en-GB"/>
        </w:rPr>
        <w:t>Impact of the Feedback Models in the Clinical Learning Environment</w:t>
      </w:r>
      <w:bookmarkEnd w:id="463"/>
    </w:p>
    <w:p w14:paraId="4AE165A1" w14:textId="77777777" w:rsidR="00367EA7" w:rsidRPr="00BD42AF" w:rsidRDefault="00367EA7" w:rsidP="00367EA7"/>
    <w:p w14:paraId="4404C04F" w14:textId="19A53936" w:rsidR="00367EA7" w:rsidRPr="00521DE8" w:rsidRDefault="00367EA7" w:rsidP="00026049">
      <w:pPr>
        <w:pStyle w:val="Normal1"/>
        <w:rPr>
          <w:lang w:val="en-GB"/>
        </w:rPr>
      </w:pPr>
      <w:r w:rsidRPr="00BD42AF">
        <w:rPr>
          <w:lang w:val="en-GB"/>
        </w:rPr>
        <w:t xml:space="preserve">The </w:t>
      </w:r>
      <w:r w:rsidR="007E6A69" w:rsidRPr="00BD42AF">
        <w:rPr>
          <w:lang w:val="en-GB"/>
        </w:rPr>
        <w:t>results in Chapter C2 address</w:t>
      </w:r>
      <w:r w:rsidR="00D323C8" w:rsidRPr="00BD42AF">
        <w:rPr>
          <w:lang w:val="en-GB"/>
        </w:rPr>
        <w:t>ed</w:t>
      </w:r>
      <w:r w:rsidR="008D5822" w:rsidRPr="00BD42AF">
        <w:rPr>
          <w:lang w:val="en-GB"/>
        </w:rPr>
        <w:t xml:space="preserve"> the </w:t>
      </w:r>
      <w:r w:rsidR="00D531CD" w:rsidRPr="00BD42AF">
        <w:rPr>
          <w:lang w:val="en-GB"/>
        </w:rPr>
        <w:t>qualitative</w:t>
      </w:r>
      <w:r w:rsidR="008D5822" w:rsidRPr="00BD42AF">
        <w:rPr>
          <w:lang w:val="en-GB"/>
        </w:rPr>
        <w:t xml:space="preserve"> research question </w:t>
      </w:r>
      <w:r w:rsidR="00682908" w:rsidRPr="001046E5">
        <w:rPr>
          <w:lang w:val="en-GB"/>
        </w:rPr>
        <w:t>to explore</w:t>
      </w:r>
      <w:r w:rsidR="003E3991" w:rsidRPr="00C71126">
        <w:rPr>
          <w:lang w:val="en-GB"/>
        </w:rPr>
        <w:t xml:space="preserve"> how the different feedback models may have impacted upon </w:t>
      </w:r>
      <w:r w:rsidRPr="00C71126">
        <w:rPr>
          <w:lang w:val="en-GB"/>
        </w:rPr>
        <w:t xml:space="preserve">the learning and feedback behaviours of students on </w:t>
      </w:r>
      <w:r w:rsidR="004C548D" w:rsidRPr="00C71126">
        <w:rPr>
          <w:lang w:val="en-GB"/>
        </w:rPr>
        <w:t>their first clinical placements</w:t>
      </w:r>
      <w:r w:rsidRPr="00C71126">
        <w:rPr>
          <w:lang w:val="en-GB"/>
        </w:rPr>
        <w:t xml:space="preserve">. Three thematic models were built from </w:t>
      </w:r>
      <w:r w:rsidR="00D323C8" w:rsidRPr="00C71126">
        <w:rPr>
          <w:lang w:val="en-GB"/>
        </w:rPr>
        <w:t>data collected</w:t>
      </w:r>
      <w:r w:rsidRPr="00C71126">
        <w:rPr>
          <w:lang w:val="en-GB"/>
        </w:rPr>
        <w:t xml:space="preserve"> in the interviews and focus groups</w:t>
      </w:r>
      <w:r w:rsidR="00C15036" w:rsidRPr="00C71126">
        <w:rPr>
          <w:lang w:val="en-GB"/>
        </w:rPr>
        <w:t>.</w:t>
      </w:r>
      <w:r w:rsidRPr="00C71126">
        <w:rPr>
          <w:lang w:val="en-GB"/>
        </w:rPr>
        <w:t xml:space="preserve"> Learners in the SRLF group were more likely than the BPF group to articulate positive SRL learning behaviours in the corresponding thematic model. Key components of SRL theory arose from the dataset and subsequent thematic models. The thematic models are addressed in the same order as they are presented in </w:t>
      </w:r>
      <w:r w:rsidR="00C15036" w:rsidRPr="00C71126">
        <w:rPr>
          <w:lang w:val="en-GB"/>
        </w:rPr>
        <w:t xml:space="preserve">Chapter </w:t>
      </w:r>
      <w:r w:rsidR="00C15036" w:rsidRPr="00521DE8">
        <w:rPr>
          <w:lang w:val="en-GB"/>
        </w:rPr>
        <w:t>C2</w:t>
      </w:r>
      <w:r w:rsidRPr="00521DE8">
        <w:rPr>
          <w:lang w:val="en-GB"/>
        </w:rPr>
        <w:t>.</w:t>
      </w:r>
    </w:p>
    <w:p w14:paraId="055262FB" w14:textId="77777777" w:rsidR="00367EA7" w:rsidRPr="00521DE8" w:rsidRDefault="00367EA7" w:rsidP="00026049">
      <w:pPr>
        <w:pStyle w:val="Normal1"/>
        <w:rPr>
          <w:lang w:val="en-GB"/>
        </w:rPr>
      </w:pPr>
    </w:p>
    <w:p w14:paraId="44ABE736" w14:textId="07BF07EA" w:rsidR="00367EA7" w:rsidRPr="00FD5859" w:rsidRDefault="00367EA7" w:rsidP="00BA4521">
      <w:pPr>
        <w:pStyle w:val="Heading3"/>
      </w:pPr>
      <w:bookmarkStart w:id="464" w:name="_Toc500319443"/>
      <w:r w:rsidRPr="00521DE8">
        <w:t>D</w:t>
      </w:r>
      <w:r w:rsidR="00BF6160" w:rsidRPr="00521DE8">
        <w:t>2</w:t>
      </w:r>
      <w:r w:rsidRPr="00521DE8">
        <w:t>.</w:t>
      </w:r>
      <w:r w:rsidR="001D4869" w:rsidRPr="00FD5859">
        <w:t>4</w:t>
      </w:r>
      <w:r w:rsidR="0051568B" w:rsidRPr="00FD5859">
        <w:t>.1 Context and C</w:t>
      </w:r>
      <w:r w:rsidRPr="00FD5859">
        <w:t>ulture</w:t>
      </w:r>
      <w:bookmarkEnd w:id="464"/>
    </w:p>
    <w:p w14:paraId="74F9CCAF" w14:textId="77777777" w:rsidR="00367EA7" w:rsidRPr="00B56453" w:rsidRDefault="00367EA7" w:rsidP="00367EA7"/>
    <w:p w14:paraId="142B51AD" w14:textId="7A777317" w:rsidR="00F57D42" w:rsidRPr="00B56453" w:rsidRDefault="00367EA7" w:rsidP="00026049">
      <w:pPr>
        <w:pStyle w:val="Normal1"/>
        <w:rPr>
          <w:lang w:val="en-GB"/>
        </w:rPr>
      </w:pPr>
      <w:r w:rsidRPr="00B56453">
        <w:rPr>
          <w:lang w:val="en-GB"/>
        </w:rPr>
        <w:t>The clinical learning context was a point of interest in this part of the study as the transition from largely structured learning environments in classrooms and simulated setting</w:t>
      </w:r>
      <w:r w:rsidR="004C548D" w:rsidRPr="00B56453">
        <w:rPr>
          <w:lang w:val="en-GB"/>
        </w:rPr>
        <w:t>s</w:t>
      </w:r>
      <w:r w:rsidRPr="00B56453">
        <w:rPr>
          <w:lang w:val="en-GB"/>
        </w:rPr>
        <w:t xml:space="preserve"> to the clinical environment is an important factor in the development of medical trainees </w:t>
      </w:r>
      <w:r w:rsidR="00EF281A" w:rsidRPr="009C2746">
        <w:rPr>
          <w:lang w:val="en-GB"/>
        </w:rPr>
        <w:fldChar w:fldCharType="begin"/>
      </w:r>
      <w:r w:rsidR="008B61BE" w:rsidRPr="00B56453">
        <w:rPr>
          <w:lang w:val="en-GB"/>
        </w:rPr>
        <w:instrText xml:space="preserve"> ADDIN EN.CITE &lt;EndNote&gt;&lt;Cite&gt;&lt;Author&gt;Treadway&lt;/Author&gt;&lt;Year&gt;2011&lt;/Year&gt;&lt;RecNum&gt;676&lt;/RecNum&gt;&lt;DisplayText&gt;(Treadway and Chatterjee 2011)&lt;/DisplayText&gt;&lt;record&gt;&lt;rec-number&gt;676&lt;/rec-number&gt;&lt;foreign-keys&gt;&lt;key app="EN" db-id="xa2r2ewea92trkef5dt5arvbzafvpv2za5ft" timestamp="1496417566"&gt;676&lt;/key&gt;&lt;/foreign-keys&gt;&lt;ref-type name="Journal Article"&gt;17&lt;/ref-type&gt;&lt;contributors&gt;&lt;authors&gt;&lt;author&gt;Treadway, Katharine&lt;/author&gt;&lt;author&gt;Chatterjee, Neal&lt;/author&gt;&lt;/authors&gt;&lt;/contributors&gt;&lt;titles&gt;&lt;title&gt;Into the water—the clinical clerkships&lt;/title&gt;&lt;secondary-title&gt;New England Journal of Medicine&lt;/secondary-title&gt;&lt;/titles&gt;&lt;periodical&gt;&lt;full-title&gt;New England Journal of Medicine&lt;/full-title&gt;&lt;/periodical&gt;&lt;pages&gt;1190-1193&lt;/pages&gt;&lt;volume&gt;364&lt;/volume&gt;&lt;number&gt;13&lt;/number&gt;&lt;dates&gt;&lt;year&gt;2011&lt;/year&gt;&lt;/dates&gt;&lt;isbn&gt;0028-4793&lt;/isbn&gt;&lt;urls&gt;&lt;/urls&gt;&lt;/record&gt;&lt;/Cite&gt;&lt;/EndNote&gt;</w:instrText>
      </w:r>
      <w:r w:rsidR="00EF281A" w:rsidRPr="00B27F0B">
        <w:rPr>
          <w:lang w:val="en-GB"/>
        </w:rPr>
        <w:fldChar w:fldCharType="separate"/>
      </w:r>
      <w:r w:rsidR="004E5A78" w:rsidRPr="00B56453">
        <w:rPr>
          <w:noProof/>
          <w:lang w:val="en-GB"/>
        </w:rPr>
        <w:t>(</w:t>
      </w:r>
      <w:hyperlink w:anchor="_ENREF_406" w:tooltip="Treadway, 2011 #676" w:history="1">
        <w:r w:rsidR="0094469E" w:rsidRPr="00B56453">
          <w:rPr>
            <w:noProof/>
            <w:lang w:val="en-GB"/>
          </w:rPr>
          <w:t>Treadway and Chatterjee 2011</w:t>
        </w:r>
      </w:hyperlink>
      <w:r w:rsidR="004E5A78" w:rsidRPr="00B56453">
        <w:rPr>
          <w:noProof/>
          <w:lang w:val="en-GB"/>
        </w:rPr>
        <w:t>)</w:t>
      </w:r>
      <w:r w:rsidR="00EF281A" w:rsidRPr="009C2746">
        <w:rPr>
          <w:lang w:val="en-GB"/>
        </w:rPr>
        <w:fldChar w:fldCharType="end"/>
      </w:r>
      <w:r w:rsidRPr="00B56453">
        <w:rPr>
          <w:lang w:val="en-GB"/>
        </w:rPr>
        <w:t xml:space="preserve">. Contextual factors in this case refer to </w:t>
      </w:r>
      <w:r w:rsidR="00F57D42" w:rsidRPr="00B56453">
        <w:rPr>
          <w:lang w:val="en-GB"/>
        </w:rPr>
        <w:t>features</w:t>
      </w:r>
      <w:r w:rsidRPr="00B56453">
        <w:rPr>
          <w:lang w:val="en-GB"/>
        </w:rPr>
        <w:t xml:space="preserve"> </w:t>
      </w:r>
      <w:r w:rsidR="00F57D42" w:rsidRPr="00B56453">
        <w:rPr>
          <w:lang w:val="en-GB"/>
        </w:rPr>
        <w:t>of</w:t>
      </w:r>
      <w:r w:rsidRPr="00B56453">
        <w:rPr>
          <w:lang w:val="en-GB"/>
        </w:rPr>
        <w:t xml:space="preserve"> the environment and how these interact with factors within the learner </w:t>
      </w:r>
      <w:r w:rsidR="00EF281A" w:rsidRPr="009C2746">
        <w:rPr>
          <w:lang w:val="en-GB"/>
        </w:rPr>
        <w:fldChar w:fldCharType="begin"/>
      </w:r>
      <w:r w:rsidR="008B61BE" w:rsidRPr="00B56453">
        <w:rPr>
          <w:lang w:val="en-GB"/>
        </w:rPr>
        <w:instrText xml:space="preserve"> ADDIN EN.CITE &lt;EndNote&gt;&lt;Cite&gt;&lt;Author&gt;Efklides&lt;/Author&gt;&lt;Year&gt;2011&lt;/Year&gt;&lt;RecNum&gt;924&lt;/RecNum&gt;&lt;DisplayText&gt;(Efklides 2011)&lt;/DisplayText&gt;&lt;record&gt;&lt;rec-number&gt;924&lt;/rec-number&gt;&lt;foreign-keys&gt;&lt;key app="EN" db-id="xa2r2ewea92trkef5dt5arvbzafvpv2za5ft" timestamp="1497010172"&gt;924&lt;/key&gt;&lt;/foreign-keys&gt;&lt;ref-type name="Journal Article"&gt;17&lt;/ref-type&gt;&lt;contributors&gt;&lt;authors&gt;&lt;author&gt;Efklides, Anastasia&lt;/author&gt;&lt;/authors&gt;&lt;/contributors&gt;&lt;titles&gt;&lt;title&gt;Interactions of metacognition with motivation and affect in self-regulated learning: The MASRL model&lt;/title&gt;&lt;secondary-title&gt;Educational psychologist&lt;/secondary-title&gt;&lt;/titles&gt;&lt;periodical&gt;&lt;full-title&gt;Educational Psychologist&lt;/full-title&gt;&lt;/periodical&gt;&lt;pages&gt;6-25&lt;/pages&gt;&lt;volume&gt;46&lt;/volume&gt;&lt;number&gt;1&lt;/number&gt;&lt;dates&gt;&lt;year&gt;2011&lt;/year&gt;&lt;/dates&gt;&lt;isbn&gt;0046-1520&lt;/isbn&gt;&lt;urls&gt;&lt;/urls&gt;&lt;/record&gt;&lt;/Cite&gt;&lt;/EndNote&gt;</w:instrText>
      </w:r>
      <w:r w:rsidR="00EF281A" w:rsidRPr="00B27F0B">
        <w:rPr>
          <w:lang w:val="en-GB"/>
        </w:rPr>
        <w:fldChar w:fldCharType="separate"/>
      </w:r>
      <w:r w:rsidR="004E5A78" w:rsidRPr="00B56453">
        <w:rPr>
          <w:noProof/>
          <w:lang w:val="en-GB"/>
        </w:rPr>
        <w:t>(</w:t>
      </w:r>
      <w:hyperlink w:anchor="_ENREF_136" w:tooltip="Efklides, 2011 #924" w:history="1">
        <w:r w:rsidR="0094469E" w:rsidRPr="00B56453">
          <w:rPr>
            <w:noProof/>
            <w:lang w:val="en-GB"/>
          </w:rPr>
          <w:t>Efklides 2011</w:t>
        </w:r>
      </w:hyperlink>
      <w:r w:rsidR="004E5A78" w:rsidRPr="00B56453">
        <w:rPr>
          <w:noProof/>
          <w:lang w:val="en-GB"/>
        </w:rPr>
        <w:t>)</w:t>
      </w:r>
      <w:r w:rsidR="00EF281A" w:rsidRPr="009C2746">
        <w:rPr>
          <w:lang w:val="en-GB"/>
        </w:rPr>
        <w:fldChar w:fldCharType="end"/>
      </w:r>
      <w:r w:rsidRPr="00B56453">
        <w:rPr>
          <w:lang w:val="en-GB"/>
        </w:rPr>
        <w:t xml:space="preserve">. Context is a key component of SRL theory, always viewing SRL approaches to tasks as ‘contextualised’ in nature </w:t>
      </w:r>
      <w:r w:rsidRPr="009C2746">
        <w:rPr>
          <w:lang w:val="en-GB"/>
        </w:rPr>
        <w:fldChar w:fldCharType="begin"/>
      </w:r>
      <w:r w:rsidR="008B61BE" w:rsidRPr="00B56453">
        <w:rPr>
          <w:lang w:val="en-GB"/>
        </w:rPr>
        <w:instrText xml:space="preserve"> ADDIN EN.CITE &lt;EndNote&gt;&lt;Cite&gt;&lt;Author&gt;Zimmerman&lt;/Author&gt;&lt;Year&gt;2000&lt;/Year&gt;&lt;RecNum&gt;595&lt;/RecNum&gt;&lt;DisplayText&gt;(Zimmerman 2000a; Winne 2010)&lt;/DisplayText&gt;&lt;record&gt;&lt;rec-number&gt;595&lt;/rec-number&gt;&lt;foreign-keys&gt;&lt;key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Cite&gt;&lt;Author&gt;Winne&lt;/Author&gt;&lt;Year&gt;2010&lt;/Year&gt;&lt;RecNum&gt;270&lt;/RecNum&gt;&lt;record&gt;&lt;rec-number&gt;270&lt;/rec-number&gt;&lt;foreign-keys&gt;&lt;key app="EN" db-id="xa2r2ewea92trkef5dt5arvbzafvpv2za5ft" timestamp="1442161766"&gt;270&lt;/key&gt;&lt;/foreign-keys&gt;&lt;ref-type name="Journal Article"&gt;17&lt;/ref-type&gt;&lt;contributors&gt;&lt;authors&gt;&lt;author&gt;Winne, Philip H.&lt;/author&gt;&lt;/authors&gt;&lt;/contributors&gt;&lt;titles&gt;&lt;title&gt;Improving measurements of self-regulated learning&lt;/title&gt;&lt;secondary-title&gt;Educational Psychologist&lt;/secondary-title&gt;&lt;/titles&gt;&lt;periodical&gt;&lt;full-title&gt;Educational Psychologist&lt;/full-title&gt;&lt;/periodical&gt;&lt;pages&gt;267-276&lt;/pages&gt;&lt;volume&gt;45&lt;/volume&gt;&lt;number&gt;4&lt;/number&gt;&lt;dates&gt;&lt;year&gt;2010&lt;/year&gt;&lt;/dates&gt;&lt;publisher&gt;Taylor &amp;amp; Francis&lt;/publisher&gt;&lt;urls&gt;&lt;/urls&gt;&lt;/record&gt;&lt;/Cite&gt;&lt;/EndNote&gt;</w:instrText>
      </w:r>
      <w:r w:rsidRPr="00B27F0B">
        <w:rPr>
          <w:lang w:val="en-GB"/>
        </w:rPr>
        <w:fldChar w:fldCharType="separate"/>
      </w:r>
      <w:r w:rsidR="004E5A78" w:rsidRPr="00B56453">
        <w:rPr>
          <w:noProof/>
          <w:lang w:val="en-GB"/>
        </w:rPr>
        <w:t>(</w:t>
      </w:r>
      <w:hyperlink w:anchor="_ENREF_455" w:tooltip="Zimmerman, 2000 #595" w:history="1">
        <w:r w:rsidR="0094469E" w:rsidRPr="00B56453">
          <w:rPr>
            <w:noProof/>
            <w:lang w:val="en-GB"/>
          </w:rPr>
          <w:t>Zimmerman 2000a</w:t>
        </w:r>
      </w:hyperlink>
      <w:r w:rsidR="004E5A78" w:rsidRPr="00B56453">
        <w:rPr>
          <w:noProof/>
          <w:lang w:val="en-GB"/>
        </w:rPr>
        <w:t xml:space="preserve">; </w:t>
      </w:r>
      <w:hyperlink w:anchor="_ENREF_440" w:tooltip="Winne, 2010 #270" w:history="1">
        <w:r w:rsidR="0094469E" w:rsidRPr="00B56453">
          <w:rPr>
            <w:noProof/>
            <w:lang w:val="en-GB"/>
          </w:rPr>
          <w:t>Winne 2010</w:t>
        </w:r>
      </w:hyperlink>
      <w:r w:rsidR="004E5A78" w:rsidRPr="00B56453">
        <w:rPr>
          <w:noProof/>
          <w:lang w:val="en-GB"/>
        </w:rPr>
        <w:t>)</w:t>
      </w:r>
      <w:r w:rsidRPr="009C2746">
        <w:rPr>
          <w:lang w:val="en-GB"/>
        </w:rPr>
        <w:fldChar w:fldCharType="end"/>
      </w:r>
      <w:r w:rsidRPr="00B56453">
        <w:rPr>
          <w:lang w:val="en-GB"/>
        </w:rPr>
        <w:t xml:space="preserve">. </w:t>
      </w:r>
    </w:p>
    <w:p w14:paraId="7609BFCB" w14:textId="77777777" w:rsidR="00F57D42" w:rsidRPr="00B56453" w:rsidRDefault="00F57D42" w:rsidP="00026049">
      <w:pPr>
        <w:pStyle w:val="Normal1"/>
        <w:rPr>
          <w:lang w:val="en-GB"/>
        </w:rPr>
      </w:pPr>
    </w:p>
    <w:p w14:paraId="11D1ED05" w14:textId="18EE6EBB" w:rsidR="00367EA7" w:rsidRPr="00B56453" w:rsidRDefault="00367EA7" w:rsidP="00026049">
      <w:pPr>
        <w:pStyle w:val="Normal1"/>
        <w:rPr>
          <w:lang w:val="en-GB"/>
        </w:rPr>
      </w:pPr>
      <w:r w:rsidRPr="00B56453">
        <w:rPr>
          <w:lang w:val="en-GB"/>
        </w:rPr>
        <w:t>Two contextual and cultural themes identified in this rese</w:t>
      </w:r>
      <w:r w:rsidR="00F57D42" w:rsidRPr="00B56453">
        <w:rPr>
          <w:lang w:val="en-GB"/>
        </w:rPr>
        <w:t>arch had an impact upon learner</w:t>
      </w:r>
      <w:r w:rsidRPr="00B56453">
        <w:rPr>
          <w:lang w:val="en-GB"/>
        </w:rPr>
        <w:t>s</w:t>
      </w:r>
      <w:r w:rsidR="00F57D42" w:rsidRPr="00B56453">
        <w:rPr>
          <w:lang w:val="en-GB"/>
        </w:rPr>
        <w:t>’</w:t>
      </w:r>
      <w:r w:rsidRPr="00B56453">
        <w:rPr>
          <w:lang w:val="en-GB"/>
        </w:rPr>
        <w:t xml:space="preserve"> perceptions of their confidence and mo</w:t>
      </w:r>
      <w:r w:rsidR="00F57D42" w:rsidRPr="00B56453">
        <w:rPr>
          <w:lang w:val="en-GB"/>
        </w:rPr>
        <w:t>tivational beliefs which relate</w:t>
      </w:r>
      <w:r w:rsidR="00F94F8D" w:rsidRPr="00B56453">
        <w:rPr>
          <w:lang w:val="en-GB"/>
        </w:rPr>
        <w:t>d</w:t>
      </w:r>
      <w:r w:rsidRPr="00B56453">
        <w:rPr>
          <w:lang w:val="en-GB"/>
        </w:rPr>
        <w:t xml:space="preserve"> closely to forethought SRL processes</w:t>
      </w:r>
      <w:r w:rsidR="00713C29" w:rsidRPr="00B56453">
        <w:rPr>
          <w:lang w:val="en-GB"/>
        </w:rPr>
        <w:t xml:space="preserve"> (Figure C2.2, page </w:t>
      </w:r>
      <w:r w:rsidR="0094469E" w:rsidRPr="00B56453">
        <w:rPr>
          <w:lang w:val="en-GB"/>
        </w:rPr>
        <w:t>149</w:t>
      </w:r>
      <w:r w:rsidR="00713C29" w:rsidRPr="00B56453">
        <w:rPr>
          <w:lang w:val="en-GB"/>
        </w:rPr>
        <w:t>)</w:t>
      </w:r>
      <w:r w:rsidRPr="00B56453">
        <w:rPr>
          <w:lang w:val="en-GB"/>
        </w:rPr>
        <w:t>. Some described how both a supportive team and comfortable environment contribut</w:t>
      </w:r>
      <w:r w:rsidR="00F57D42" w:rsidRPr="00B56453">
        <w:rPr>
          <w:lang w:val="en-GB"/>
        </w:rPr>
        <w:t>ed to building their confidence and</w:t>
      </w:r>
      <w:r w:rsidRPr="00B56453">
        <w:rPr>
          <w:lang w:val="en-GB"/>
        </w:rPr>
        <w:t xml:space="preserve"> increasing their motivation to engage in clinical learning activities</w:t>
      </w:r>
      <w:r w:rsidR="00F57D42" w:rsidRPr="00B56453">
        <w:rPr>
          <w:lang w:val="en-GB"/>
        </w:rPr>
        <w:t>,</w:t>
      </w:r>
      <w:r w:rsidRPr="00B56453">
        <w:rPr>
          <w:lang w:val="en-GB"/>
        </w:rPr>
        <w:t xml:space="preserve"> </w:t>
      </w:r>
      <w:r w:rsidR="0021662A" w:rsidRPr="00B56453">
        <w:rPr>
          <w:lang w:val="en-GB"/>
        </w:rPr>
        <w:t>including</w:t>
      </w:r>
      <w:r w:rsidRPr="00B56453">
        <w:rPr>
          <w:lang w:val="en-GB"/>
        </w:rPr>
        <w:t xml:space="preserve"> basic procedural skills and history taking. </w:t>
      </w:r>
      <w:r w:rsidR="002F10CC" w:rsidRPr="00B56453">
        <w:rPr>
          <w:lang w:val="en-GB"/>
        </w:rPr>
        <w:t>Students who felt</w:t>
      </w:r>
      <w:r w:rsidRPr="00B56453">
        <w:rPr>
          <w:lang w:val="en-GB"/>
        </w:rPr>
        <w:t xml:space="preserve"> </w:t>
      </w:r>
      <w:r w:rsidR="002F10CC" w:rsidRPr="00B56453">
        <w:rPr>
          <w:lang w:val="en-GB"/>
        </w:rPr>
        <w:t>part of</w:t>
      </w:r>
      <w:r w:rsidRPr="00B56453">
        <w:rPr>
          <w:lang w:val="en-GB"/>
        </w:rPr>
        <w:t xml:space="preserve"> the care team </w:t>
      </w:r>
      <w:r w:rsidR="002F10CC" w:rsidRPr="00B56453">
        <w:rPr>
          <w:lang w:val="en-GB"/>
        </w:rPr>
        <w:t>described feeling more confident and useful</w:t>
      </w:r>
      <w:r w:rsidRPr="00B56453">
        <w:rPr>
          <w:lang w:val="en-GB"/>
        </w:rPr>
        <w:t xml:space="preserve">, making them feel part of something bigger than themselves and encouraging them to contribute to the work the team were doing. </w:t>
      </w:r>
    </w:p>
    <w:p w14:paraId="3D7E8998" w14:textId="77777777" w:rsidR="00367EA7" w:rsidRPr="00B56453" w:rsidRDefault="00367EA7" w:rsidP="00026049">
      <w:pPr>
        <w:pStyle w:val="Normal1"/>
        <w:rPr>
          <w:lang w:val="en-GB"/>
        </w:rPr>
      </w:pPr>
    </w:p>
    <w:p w14:paraId="3A716F93" w14:textId="5DFD9DA0" w:rsidR="00367EA7" w:rsidRPr="00B56453" w:rsidRDefault="00367EA7" w:rsidP="00026049">
      <w:pPr>
        <w:pStyle w:val="Normal1"/>
        <w:rPr>
          <w:lang w:val="en-GB"/>
        </w:rPr>
      </w:pPr>
      <w:r w:rsidRPr="00B56453">
        <w:rPr>
          <w:lang w:val="en-GB"/>
        </w:rPr>
        <w:t>Some learners compared the culture</w:t>
      </w:r>
      <w:r w:rsidR="009D30A3" w:rsidRPr="00B56453">
        <w:rPr>
          <w:lang w:val="en-GB"/>
        </w:rPr>
        <w:t>s</w:t>
      </w:r>
      <w:r w:rsidRPr="00B56453">
        <w:rPr>
          <w:lang w:val="en-GB"/>
        </w:rPr>
        <w:t xml:space="preserve"> between hospital trusts or wards, preferring environments that they perceived were more supportive and friendly while struggling with others that they perceived as less supportive. This</w:t>
      </w:r>
      <w:r w:rsidR="002F10CC" w:rsidRPr="00B56453">
        <w:rPr>
          <w:lang w:val="en-GB"/>
        </w:rPr>
        <w:t xml:space="preserve"> observation</w:t>
      </w:r>
      <w:r w:rsidRPr="00B56453">
        <w:rPr>
          <w:lang w:val="en-GB"/>
        </w:rPr>
        <w:t xml:space="preserve"> is to be expected of </w:t>
      </w:r>
      <w:r w:rsidRPr="00B56453">
        <w:rPr>
          <w:lang w:val="en-GB"/>
        </w:rPr>
        <w:lastRenderedPageBreak/>
        <w:t xml:space="preserve">young learners who prefer stable environments in which they can build relationships with the care team </w:t>
      </w:r>
      <w:r w:rsidR="00EF281A" w:rsidRPr="009C2746">
        <w:rPr>
          <w:lang w:val="en-GB"/>
        </w:rPr>
        <w:fldChar w:fldCharType="begin"/>
      </w:r>
      <w:r w:rsidR="008B61BE" w:rsidRPr="00B56453">
        <w:rPr>
          <w:lang w:val="en-GB"/>
        </w:rPr>
        <w:instrText xml:space="preserve"> ADDIN EN.CITE &lt;EndNote&gt;&lt;Cite&gt;&lt;Author&gt;Hauer&lt;/Author&gt;&lt;Year&gt;2012&lt;/Year&gt;&lt;RecNum&gt;704&lt;/RecNum&gt;&lt;DisplayText&gt;(Hauer et al. 2012)&lt;/DisplayText&gt;&lt;record&gt;&lt;rec-number&gt;704&lt;/rec-number&gt;&lt;foreign-keys&gt;&lt;key app="EN" db-id="xa2r2ewea92trkef5dt5arvbzafvpv2za5ft" timestamp="1496417568"&gt;704&lt;/key&gt;&lt;/foreign-keys&gt;&lt;ref-type name="Journal Article"&gt;17&lt;/ref-type&gt;&lt;contributors&gt;&lt;authors&gt;&lt;author&gt;Hauer, Karen E&lt;/author&gt;&lt;author&gt;Hirsh, David&lt;/author&gt;&lt;author&gt;Ma, Iris&lt;/author&gt;&lt;author&gt;Hansen, Lori&lt;/author&gt;&lt;author&gt;Ogur, Barbara&lt;/author&gt;&lt;author&gt;Poncelet, Ann N&lt;/author&gt;&lt;author&gt;Alexander, Erik K&lt;/author&gt;&lt;author&gt;O’Brien, Bridget C&lt;/author&gt;&lt;/authors&gt;&lt;/contributors&gt;&lt;titles&gt;&lt;title&gt;The role of role: learning in longitudinal integrated and traditional block clerkships&lt;/title&gt;&lt;secondary-title&gt;Medical education&lt;/secondary-title&gt;&lt;/titles&gt;&lt;periodical&gt;&lt;full-title&gt;Medical education&lt;/full-title&gt;&lt;/periodical&gt;&lt;pages&gt;698-710&lt;/pages&gt;&lt;volume&gt;46&lt;/volume&gt;&lt;number&gt;7&lt;/number&gt;&lt;dates&gt;&lt;year&gt;2012&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185" w:tooltip="Hauer, 2012 #704" w:history="1">
        <w:r w:rsidR="0094469E" w:rsidRPr="00B56453">
          <w:rPr>
            <w:noProof/>
            <w:lang w:val="en-GB"/>
          </w:rPr>
          <w:t>Hauer et al. 2012</w:t>
        </w:r>
      </w:hyperlink>
      <w:r w:rsidR="004E5A78" w:rsidRPr="00B56453">
        <w:rPr>
          <w:noProof/>
          <w:lang w:val="en-GB"/>
        </w:rPr>
        <w:t>)</w:t>
      </w:r>
      <w:r w:rsidR="00EF281A" w:rsidRPr="009C2746">
        <w:rPr>
          <w:lang w:val="en-GB"/>
        </w:rPr>
        <w:fldChar w:fldCharType="end"/>
      </w:r>
      <w:r w:rsidRPr="00B56453">
        <w:rPr>
          <w:lang w:val="en-GB"/>
        </w:rPr>
        <w:t xml:space="preserve">. Previous research has also found that </w:t>
      </w:r>
      <w:r w:rsidR="00713C29" w:rsidRPr="00B56453">
        <w:rPr>
          <w:lang w:val="en-GB"/>
        </w:rPr>
        <w:t xml:space="preserve">frequent changes in </w:t>
      </w:r>
      <w:r w:rsidRPr="00B56453">
        <w:rPr>
          <w:lang w:val="en-GB"/>
        </w:rPr>
        <w:t xml:space="preserve">clinical rotations can be difficult for early stage medical learners to develop their skills and access support specific to their needs </w:t>
      </w:r>
      <w:r w:rsidRPr="009C2746">
        <w:rPr>
          <w:lang w:val="en-GB"/>
        </w:rPr>
        <w:fldChar w:fldCharType="begin"/>
      </w:r>
      <w:r w:rsidR="008E7D00" w:rsidRPr="00B56453">
        <w:rPr>
          <w:lang w:val="en-GB"/>
        </w:rPr>
        <w:instrText xml:space="preserve"> ADDIN EN.CITE &lt;EndNote&gt;&lt;Cite&gt;&lt;Author&gt;Patel&lt;/Author&gt;&lt;Year&gt;1985&lt;/Year&gt;&lt;RecNum&gt;709&lt;/RecNum&gt;&lt;DisplayText&gt;(Patel and Dauphinee 1985; O&amp;apos;Brien et al. 2007)&lt;/DisplayText&gt;&lt;record&gt;&lt;rec-number&gt;709&lt;/rec-number&gt;&lt;foreign-keys&gt;&lt;key app="EN" db-id="xa2r2ewea92trkef5dt5arvbzafvpv2za5ft" timestamp="1496417569"&gt;709&lt;/key&gt;&lt;/foreign-keys&gt;&lt;ref-type name="Journal Article"&gt;17&lt;/ref-type&gt;&lt;contributors&gt;&lt;authors&gt;&lt;author&gt;Patel, Vimla L&lt;/author&gt;&lt;author&gt;Dauphinee, WD&lt;/author&gt;&lt;/authors&gt;&lt;/contributors&gt;&lt;titles&gt;&lt;title&gt;The clinical learning environments in medicine, paediatrics and surgery clerkships&lt;/title&gt;&lt;secondary-title&gt;Medical Education&lt;/secondary-title&gt;&lt;/titles&gt;&lt;periodical&gt;&lt;full-title&gt;Medical education&lt;/full-title&gt;&lt;/periodical&gt;&lt;pages&gt;54-60&lt;/pages&gt;&lt;volume&gt;19&lt;/volume&gt;&lt;number&gt;1&lt;/number&gt;&lt;dates&gt;&lt;year&gt;1985&lt;/year&gt;&lt;/dates&gt;&lt;isbn&gt;1365-2923&lt;/isbn&gt;&lt;urls&gt;&lt;/urls&gt;&lt;/record&gt;&lt;/Cite&gt;&lt;Cite&gt;&lt;Author&gt;O&amp;apos;brien&lt;/Author&gt;&lt;Year&gt;2007&lt;/Year&gt;&lt;RecNum&gt;708&lt;/RecNum&gt;&lt;record&gt;&lt;rec-number&gt;708&lt;/rec-number&gt;&lt;foreign-keys&gt;&lt;key app="EN" db-id="xa2r2ewea92trkef5dt5arvbzafvpv2za5ft" timestamp="1496417569"&gt;708&lt;/key&gt;&lt;/foreign-keys&gt;&lt;ref-type name="Journal Article"&gt;17&lt;/ref-type&gt;&lt;contributors&gt;&lt;authors&gt;&lt;author&gt;O&amp;apos;Brien, Bridget&lt;/author&gt;&lt;author&gt;Cooke, Molly&lt;/author&gt;&lt;author&gt;Irby, David M&lt;/author&gt;&lt;/authors&gt;&lt;/contributors&gt;&lt;titles&gt;&lt;title&gt;Perceptions and attributions of third-year student struggles in clerkships: do students and clerkship directors agree?&lt;/title&gt;&lt;secondary-title&gt;Academic Medicine&lt;/secondary-title&gt;&lt;/titles&gt;&lt;periodical&gt;&lt;full-title&gt;Academic Medicine&lt;/full-title&gt;&lt;/periodical&gt;&lt;pages&gt;970-978&lt;/pages&gt;&lt;volume&gt;82&lt;/volume&gt;&lt;number&gt;10&lt;/number&gt;&lt;dates&gt;&lt;year&gt;2007&lt;/year&gt;&lt;/dates&gt;&lt;isbn&gt;1040-2446&lt;/isbn&gt;&lt;urls&gt;&lt;/urls&gt;&lt;/record&gt;&lt;/Cite&gt;&lt;/EndNote&gt;</w:instrText>
      </w:r>
      <w:r w:rsidRPr="00B27F0B">
        <w:rPr>
          <w:lang w:val="en-GB"/>
        </w:rPr>
        <w:fldChar w:fldCharType="separate"/>
      </w:r>
      <w:r w:rsidR="008E7D00" w:rsidRPr="00B56453">
        <w:rPr>
          <w:noProof/>
          <w:lang w:val="en-GB"/>
        </w:rPr>
        <w:t>(</w:t>
      </w:r>
      <w:hyperlink w:anchor="_ENREF_318" w:tooltip="Patel, 1985 #709" w:history="1">
        <w:r w:rsidR="0094469E" w:rsidRPr="00B56453">
          <w:rPr>
            <w:noProof/>
            <w:lang w:val="en-GB"/>
          </w:rPr>
          <w:t>Patel and Dauphinee 1985</w:t>
        </w:r>
      </w:hyperlink>
      <w:r w:rsidR="008E7D00" w:rsidRPr="00B56453">
        <w:rPr>
          <w:noProof/>
          <w:lang w:val="en-GB"/>
        </w:rPr>
        <w:t xml:space="preserve">; </w:t>
      </w:r>
      <w:hyperlink w:anchor="_ENREF_306" w:tooltip="O'Brien, 2007 #708" w:history="1">
        <w:r w:rsidR="0094469E" w:rsidRPr="00B56453">
          <w:rPr>
            <w:noProof/>
            <w:lang w:val="en-GB"/>
          </w:rPr>
          <w:t>O'Brien et al. 2007</w:t>
        </w:r>
      </w:hyperlink>
      <w:r w:rsidR="008E7D00" w:rsidRPr="00B56453">
        <w:rPr>
          <w:noProof/>
          <w:lang w:val="en-GB"/>
        </w:rPr>
        <w:t>)</w:t>
      </w:r>
      <w:r w:rsidRPr="009C2746">
        <w:rPr>
          <w:lang w:val="en-GB"/>
        </w:rPr>
        <w:fldChar w:fldCharType="end"/>
      </w:r>
      <w:r w:rsidR="007A1416" w:rsidRPr="00B56453">
        <w:rPr>
          <w:lang w:val="en-GB"/>
        </w:rPr>
        <w:t>.</w:t>
      </w:r>
    </w:p>
    <w:p w14:paraId="2CD22EB3" w14:textId="77777777" w:rsidR="00367EA7" w:rsidRPr="00B56453" w:rsidRDefault="00367EA7" w:rsidP="00026049">
      <w:pPr>
        <w:pStyle w:val="Normal1"/>
        <w:rPr>
          <w:lang w:val="en-GB"/>
        </w:rPr>
      </w:pPr>
    </w:p>
    <w:p w14:paraId="165649C5" w14:textId="0DB9D0DB" w:rsidR="00367EA7" w:rsidRPr="00B56453" w:rsidRDefault="002F10CC" w:rsidP="00026049">
      <w:pPr>
        <w:pStyle w:val="Normal1"/>
        <w:rPr>
          <w:lang w:val="en-GB"/>
        </w:rPr>
      </w:pPr>
      <w:r w:rsidRPr="00B56453">
        <w:rPr>
          <w:lang w:val="en-GB"/>
        </w:rPr>
        <w:t>Learners articulated how their</w:t>
      </w:r>
      <w:r w:rsidR="00ED711A" w:rsidRPr="00B56453">
        <w:rPr>
          <w:lang w:val="en-GB"/>
        </w:rPr>
        <w:t xml:space="preserve"> perceptions of their</w:t>
      </w:r>
      <w:r w:rsidRPr="00B56453">
        <w:rPr>
          <w:lang w:val="en-GB"/>
        </w:rPr>
        <w:t xml:space="preserve"> l</w:t>
      </w:r>
      <w:r w:rsidR="00367EA7" w:rsidRPr="00B56453">
        <w:rPr>
          <w:lang w:val="en-GB"/>
        </w:rPr>
        <w:t>earning priorities were impacted upon significantly by the</w:t>
      </w:r>
      <w:r w:rsidRPr="00B56453">
        <w:rPr>
          <w:lang w:val="en-GB"/>
        </w:rPr>
        <w:t xml:space="preserve">ir perception of </w:t>
      </w:r>
      <w:r w:rsidR="00367EA7" w:rsidRPr="00B56453">
        <w:rPr>
          <w:lang w:val="en-GB"/>
        </w:rPr>
        <w:t xml:space="preserve">characteristics </w:t>
      </w:r>
      <w:r w:rsidRPr="00B56453">
        <w:rPr>
          <w:lang w:val="en-GB"/>
        </w:rPr>
        <w:t>within</w:t>
      </w:r>
      <w:r w:rsidR="00367EA7" w:rsidRPr="00B56453">
        <w:rPr>
          <w:lang w:val="en-GB"/>
        </w:rPr>
        <w:t xml:space="preserve"> the learning environment. Learners were often conflicted between experiencing the ward environment and practicing for their assessments, some would take a proactive initiative and mix both priorities into their daily practice although some were left unsure about how to manage this balance. Some have suggested that the transition to clinical learning can leave learners feeling unsure about their learning objectives, leading to engagement in activities that are misaligned to the goals of the</w:t>
      </w:r>
      <w:r w:rsidR="00483DED" w:rsidRPr="00B56453">
        <w:rPr>
          <w:lang w:val="en-GB"/>
        </w:rPr>
        <w:t xml:space="preserve"> clinical</w:t>
      </w:r>
      <w:r w:rsidR="00367EA7" w:rsidRPr="00B56453">
        <w:rPr>
          <w:lang w:val="en-GB"/>
        </w:rPr>
        <w:t xml:space="preserve"> placement </w:t>
      </w:r>
      <w:r w:rsidR="00367EA7" w:rsidRPr="009C2746">
        <w:rPr>
          <w:lang w:val="en-GB"/>
        </w:rPr>
        <w:fldChar w:fldCharType="begin"/>
      </w:r>
      <w:r w:rsidR="008B61BE" w:rsidRPr="00B56453">
        <w:rPr>
          <w:lang w:val="en-GB"/>
        </w:rPr>
        <w:instrText xml:space="preserve"> ADDIN EN.CITE &lt;EndNote&gt;&lt;Cite&gt;&lt;Author&gt;Prince&lt;/Author&gt;&lt;Year&gt;2000&lt;/Year&gt;&lt;RecNum&gt;681&lt;/RecNum&gt;&lt;DisplayText&gt;(Prince et al. 2000; Prince et al. 2005)&lt;/DisplayText&gt;&lt;record&gt;&lt;rec-number&gt;681&lt;/rec-number&gt;&lt;foreign-keys&gt;&lt;key app="EN" db-id="xa2r2ewea92trkef5dt5arvbzafvpv2za5ft" timestamp="1496417566"&gt;681&lt;/key&gt;&lt;/foreign-keys&gt;&lt;ref-type name="Journal Article"&gt;17&lt;/ref-type&gt;&lt;contributors&gt;&lt;authors&gt;&lt;author&gt;Prince, Katinka JAH&lt;/author&gt;&lt;author&gt;van de Wiel, Margaretha&lt;/author&gt;&lt;author&gt;Scherpbier, Albert JJA&lt;/author&gt;&lt;author&gt;can der Vleuten, Cess PM&lt;/author&gt;&lt;author&gt;Boshuizen, Henny PA&lt;/author&gt;&lt;/authors&gt;&lt;/contributors&gt;&lt;titles&gt;&lt;title&gt;A qualitative analysis of the transition from theory to practice in undergraduate training in a PBL-medical school&lt;/title&gt;&lt;secondary-title&gt;Advances in Health Sciences Education&lt;/secondary-title&gt;&lt;/titles&gt;&lt;periodical&gt;&lt;full-title&gt;Advances in Health Sciences Education&lt;/full-title&gt;&lt;/periodical&gt;&lt;pages&gt;105-116&lt;/pages&gt;&lt;volume&gt;5&lt;/volume&gt;&lt;number&gt;2&lt;/number&gt;&lt;dates&gt;&lt;year&gt;2000&lt;/year&gt;&lt;/dates&gt;&lt;isbn&gt;1382-4996&lt;/isbn&gt;&lt;urls&gt;&lt;/urls&gt;&lt;/record&gt;&lt;/Cite&gt;&lt;Cite&gt;&lt;Author&gt;Prince&lt;/Author&gt;&lt;Year&gt;2005&lt;/Year&gt;&lt;RecNum&gt;680&lt;/RecNum&gt;&lt;record&gt;&lt;rec-number&gt;680&lt;/rec-number&gt;&lt;foreign-keys&gt;&lt;key app="EN" db-id="xa2r2ewea92trkef5dt5arvbzafvpv2za5ft" timestamp="1496417566"&gt;680&lt;/key&gt;&lt;/foreign-keys&gt;&lt;ref-type name="Journal Article"&gt;17&lt;/ref-type&gt;&lt;contributors&gt;&lt;authors&gt;&lt;author&gt;Prince, Katinka JAH&lt;/author&gt;&lt;author&gt;Boshuizen, Henny&lt;/author&gt;&lt;author&gt;Van Der Vleuten, Cees PM&lt;/author&gt;&lt;author&gt;Scherpbier, Albert JJA&lt;/author&gt;&lt;/authors&gt;&lt;/contributors&gt;&lt;titles&gt;&lt;title&gt;Students&amp;apos; opinions about their preparation for clinical practice&lt;/title&gt;&lt;secondary-title&gt;Medical education&lt;/secondary-title&gt;&lt;/titles&gt;&lt;periodical&gt;&lt;full-title&gt;Medical education&lt;/full-title&gt;&lt;/periodical&gt;&lt;pages&gt;704-712&lt;/pages&gt;&lt;volume&gt;39&lt;/volume&gt;&lt;number&gt;7&lt;/number&gt;&lt;dates&gt;&lt;year&gt;2005&lt;/year&gt;&lt;/dates&gt;&lt;isbn&gt;1365-2923&lt;/isbn&gt;&lt;urls&gt;&lt;/urls&gt;&lt;/record&gt;&lt;/Cite&gt;&lt;/EndNote&gt;</w:instrText>
      </w:r>
      <w:r w:rsidR="00367EA7" w:rsidRPr="00B27F0B">
        <w:rPr>
          <w:lang w:val="en-GB"/>
        </w:rPr>
        <w:fldChar w:fldCharType="separate"/>
      </w:r>
      <w:r w:rsidR="004E5A78" w:rsidRPr="00B56453">
        <w:rPr>
          <w:noProof/>
          <w:lang w:val="en-GB"/>
        </w:rPr>
        <w:t>(</w:t>
      </w:r>
      <w:hyperlink w:anchor="_ENREF_336" w:tooltip="Prince, 2000 #681" w:history="1">
        <w:r w:rsidR="0094469E" w:rsidRPr="00B56453">
          <w:rPr>
            <w:noProof/>
            <w:lang w:val="en-GB"/>
          </w:rPr>
          <w:t>Prince et al. 2000</w:t>
        </w:r>
      </w:hyperlink>
      <w:r w:rsidR="004E5A78" w:rsidRPr="00B56453">
        <w:rPr>
          <w:noProof/>
          <w:lang w:val="en-GB"/>
        </w:rPr>
        <w:t xml:space="preserve">; </w:t>
      </w:r>
      <w:hyperlink w:anchor="_ENREF_335" w:tooltip="Prince, 2005 #680" w:history="1">
        <w:r w:rsidR="0094469E" w:rsidRPr="00B56453">
          <w:rPr>
            <w:noProof/>
            <w:lang w:val="en-GB"/>
          </w:rPr>
          <w:t>Prince et al. 2005</w:t>
        </w:r>
      </w:hyperlink>
      <w:r w:rsidR="004E5A78" w:rsidRPr="00B56453">
        <w:rPr>
          <w:noProof/>
          <w:lang w:val="en-GB"/>
        </w:rPr>
        <w:t>)</w:t>
      </w:r>
      <w:r w:rsidR="00367EA7" w:rsidRPr="009C2746">
        <w:rPr>
          <w:lang w:val="en-GB"/>
        </w:rPr>
        <w:fldChar w:fldCharType="end"/>
      </w:r>
      <w:r w:rsidR="009D30A3" w:rsidRPr="00B56453">
        <w:rPr>
          <w:lang w:val="en-GB"/>
        </w:rPr>
        <w:t xml:space="preserve">. </w:t>
      </w:r>
      <w:r w:rsidR="00713C29" w:rsidRPr="00B56453">
        <w:rPr>
          <w:lang w:val="en-GB"/>
        </w:rPr>
        <w:t>The feedback model students had received did not appear to impact upon how they perceived these contextual factors. T</w:t>
      </w:r>
      <w:r w:rsidR="00367EA7" w:rsidRPr="00B56453">
        <w:rPr>
          <w:lang w:val="en-GB"/>
        </w:rPr>
        <w:t xml:space="preserve">his is to be expected considering that </w:t>
      </w:r>
      <w:r w:rsidRPr="00B56453">
        <w:rPr>
          <w:lang w:val="en-GB"/>
        </w:rPr>
        <w:t xml:space="preserve">students were under similar </w:t>
      </w:r>
      <w:r w:rsidR="00367EA7" w:rsidRPr="00B56453">
        <w:rPr>
          <w:lang w:val="en-GB"/>
        </w:rPr>
        <w:t xml:space="preserve">contextual and cultural </w:t>
      </w:r>
      <w:r w:rsidRPr="00B56453">
        <w:rPr>
          <w:lang w:val="en-GB"/>
        </w:rPr>
        <w:t>conditions</w:t>
      </w:r>
      <w:r w:rsidR="00367EA7" w:rsidRPr="00B56453">
        <w:rPr>
          <w:lang w:val="en-GB"/>
        </w:rPr>
        <w:t>. However, how these factors impact</w:t>
      </w:r>
      <w:r w:rsidR="00F94F8D" w:rsidRPr="00B56453">
        <w:rPr>
          <w:lang w:val="en-GB"/>
        </w:rPr>
        <w:t>ed</w:t>
      </w:r>
      <w:r w:rsidR="00367EA7" w:rsidRPr="00B56453">
        <w:rPr>
          <w:lang w:val="en-GB"/>
        </w:rPr>
        <w:t xml:space="preserve"> upon learning and feedback behaviours may </w:t>
      </w:r>
      <w:r w:rsidR="00F94F8D" w:rsidRPr="00B56453">
        <w:rPr>
          <w:lang w:val="en-GB"/>
        </w:rPr>
        <w:t xml:space="preserve">have </w:t>
      </w:r>
      <w:r w:rsidR="00367EA7" w:rsidRPr="00B56453">
        <w:rPr>
          <w:lang w:val="en-GB"/>
        </w:rPr>
        <w:t>var</w:t>
      </w:r>
      <w:r w:rsidR="00F94F8D" w:rsidRPr="00B56453">
        <w:rPr>
          <w:lang w:val="en-GB"/>
        </w:rPr>
        <w:t>ied</w:t>
      </w:r>
      <w:r w:rsidR="00367EA7" w:rsidRPr="00B56453">
        <w:rPr>
          <w:lang w:val="en-GB"/>
        </w:rPr>
        <w:t xml:space="preserve"> depending u</w:t>
      </w:r>
      <w:r w:rsidR="00B6266A" w:rsidRPr="00B56453">
        <w:rPr>
          <w:lang w:val="en-GB"/>
        </w:rPr>
        <w:t xml:space="preserve">pon how self-regulated they </w:t>
      </w:r>
      <w:r w:rsidR="00713C29" w:rsidRPr="00B56453">
        <w:rPr>
          <w:lang w:val="en-GB"/>
        </w:rPr>
        <w:t xml:space="preserve">perceived they </w:t>
      </w:r>
      <w:r w:rsidR="00F94F8D" w:rsidRPr="00B56453">
        <w:rPr>
          <w:lang w:val="en-GB"/>
        </w:rPr>
        <w:t>we</w:t>
      </w:r>
      <w:r w:rsidR="00B6266A" w:rsidRPr="00B56453">
        <w:rPr>
          <w:lang w:val="en-GB"/>
        </w:rPr>
        <w:t>re</w:t>
      </w:r>
      <w:r w:rsidR="00367EA7" w:rsidRPr="00B56453">
        <w:rPr>
          <w:lang w:val="en-GB"/>
        </w:rPr>
        <w:t>.</w:t>
      </w:r>
    </w:p>
    <w:p w14:paraId="0758BBA6" w14:textId="77777777" w:rsidR="00367EA7" w:rsidRPr="00B56453" w:rsidRDefault="00367EA7" w:rsidP="00026049">
      <w:pPr>
        <w:pStyle w:val="Normal1"/>
        <w:rPr>
          <w:lang w:val="en-GB"/>
        </w:rPr>
      </w:pPr>
    </w:p>
    <w:p w14:paraId="722381CE" w14:textId="67070D3F" w:rsidR="00367EA7" w:rsidRPr="00B56453" w:rsidRDefault="00367EA7" w:rsidP="00BA4521">
      <w:pPr>
        <w:pStyle w:val="Heading3"/>
      </w:pPr>
      <w:bookmarkStart w:id="465" w:name="_Toc500319444"/>
      <w:r w:rsidRPr="00B56453">
        <w:t>D</w:t>
      </w:r>
      <w:r w:rsidR="00BF6160" w:rsidRPr="00B56453">
        <w:t>2</w:t>
      </w:r>
      <w:r w:rsidRPr="00B56453">
        <w:t>.</w:t>
      </w:r>
      <w:r w:rsidR="001D4869" w:rsidRPr="00B56453">
        <w:t>4</w:t>
      </w:r>
      <w:r w:rsidR="0051568B" w:rsidRPr="00B56453">
        <w:t>.2 Learning B</w:t>
      </w:r>
      <w:r w:rsidRPr="00B56453">
        <w:t>ehaviours</w:t>
      </w:r>
      <w:bookmarkEnd w:id="465"/>
    </w:p>
    <w:p w14:paraId="5737A602" w14:textId="77777777" w:rsidR="00367EA7" w:rsidRPr="00B56453" w:rsidRDefault="00367EA7" w:rsidP="00026049">
      <w:pPr>
        <w:pStyle w:val="Normal1"/>
        <w:rPr>
          <w:lang w:val="en-GB"/>
        </w:rPr>
      </w:pPr>
    </w:p>
    <w:p w14:paraId="0CE88368" w14:textId="5CF57D4E" w:rsidR="00367EA7" w:rsidRPr="00B56453" w:rsidRDefault="00367EA7" w:rsidP="00026049">
      <w:pPr>
        <w:pStyle w:val="Normal1"/>
        <w:rPr>
          <w:lang w:val="en-GB"/>
        </w:rPr>
      </w:pPr>
      <w:r w:rsidRPr="00B56453">
        <w:rPr>
          <w:lang w:val="en-GB"/>
        </w:rPr>
        <w:t>In the learning behaviours thematic model</w:t>
      </w:r>
      <w:r w:rsidR="00713C29" w:rsidRPr="00B56453">
        <w:rPr>
          <w:lang w:val="en-GB"/>
        </w:rPr>
        <w:t xml:space="preserve"> (Figure C2.3, page </w:t>
      </w:r>
      <w:r w:rsidR="0094469E" w:rsidRPr="00B56453">
        <w:rPr>
          <w:lang w:val="en-GB"/>
        </w:rPr>
        <w:t>155</w:t>
      </w:r>
      <w:r w:rsidR="00713C29" w:rsidRPr="00B56453">
        <w:rPr>
          <w:lang w:val="en-GB"/>
        </w:rPr>
        <w:t>)</w:t>
      </w:r>
      <w:r w:rsidRPr="00B56453">
        <w:rPr>
          <w:lang w:val="en-GB"/>
        </w:rPr>
        <w:t xml:space="preserve">, learners from the SRLF group </w:t>
      </w:r>
      <w:r w:rsidR="007A1416" w:rsidRPr="00B56453">
        <w:rPr>
          <w:lang w:val="en-GB"/>
        </w:rPr>
        <w:t xml:space="preserve">were more likely to </w:t>
      </w:r>
      <w:r w:rsidR="00F94F8D" w:rsidRPr="00B56453">
        <w:rPr>
          <w:lang w:val="en-GB"/>
        </w:rPr>
        <w:t>give</w:t>
      </w:r>
      <w:r w:rsidR="007A1416" w:rsidRPr="00B56453">
        <w:rPr>
          <w:lang w:val="en-GB"/>
        </w:rPr>
        <w:t xml:space="preserve"> </w:t>
      </w:r>
      <w:r w:rsidR="00F94F8D" w:rsidRPr="00B56453">
        <w:rPr>
          <w:lang w:val="en-GB"/>
        </w:rPr>
        <w:t>behavioural examples</w:t>
      </w:r>
      <w:r w:rsidRPr="00B56453">
        <w:rPr>
          <w:lang w:val="en-GB"/>
        </w:rPr>
        <w:t xml:space="preserve"> related to the SRL themes than learners in the BPF group. This was true for the majority of the relationships indicated between </w:t>
      </w:r>
      <w:r w:rsidR="009F282D" w:rsidRPr="00B56453">
        <w:rPr>
          <w:lang w:val="en-GB"/>
        </w:rPr>
        <w:t xml:space="preserve">SRL </w:t>
      </w:r>
      <w:r w:rsidRPr="00B56453">
        <w:rPr>
          <w:lang w:val="en-GB"/>
        </w:rPr>
        <w:t xml:space="preserve">themes in the </w:t>
      </w:r>
      <w:r w:rsidR="009F282D" w:rsidRPr="00B56453">
        <w:rPr>
          <w:lang w:val="en-GB"/>
        </w:rPr>
        <w:t xml:space="preserve">learning behaviours </w:t>
      </w:r>
      <w:r w:rsidRPr="00B56453">
        <w:rPr>
          <w:lang w:val="en-GB"/>
        </w:rPr>
        <w:t xml:space="preserve">model, particularly for the self-evaluation and planning and monitoring themes. These predominantly involved SRL processes </w:t>
      </w:r>
      <w:r w:rsidR="009D30A3" w:rsidRPr="00B56453">
        <w:rPr>
          <w:lang w:val="en-GB"/>
        </w:rPr>
        <w:t>what</w:t>
      </w:r>
      <w:r w:rsidRPr="00B56453">
        <w:rPr>
          <w:lang w:val="en-GB"/>
        </w:rPr>
        <w:t xml:space="preserve"> enabled learners to measure their progress using internal and external cues which they described as using </w:t>
      </w:r>
      <w:r w:rsidR="00805824" w:rsidRPr="00B56453">
        <w:rPr>
          <w:lang w:val="en-GB"/>
        </w:rPr>
        <w:t>‘</w:t>
      </w:r>
      <w:r w:rsidRPr="00B56453">
        <w:rPr>
          <w:lang w:val="en-GB"/>
        </w:rPr>
        <w:t>mental checklists</w:t>
      </w:r>
      <w:r w:rsidR="00805824" w:rsidRPr="00B56453">
        <w:rPr>
          <w:lang w:val="en-GB"/>
        </w:rPr>
        <w:t>’</w:t>
      </w:r>
      <w:r w:rsidRPr="00B56453">
        <w:rPr>
          <w:lang w:val="en-GB"/>
        </w:rPr>
        <w:t xml:space="preserve"> and </w:t>
      </w:r>
      <w:r w:rsidR="00F94F8D" w:rsidRPr="00B56453">
        <w:rPr>
          <w:lang w:val="en-GB"/>
        </w:rPr>
        <w:t xml:space="preserve">other </w:t>
      </w:r>
      <w:r w:rsidRPr="00B56453">
        <w:rPr>
          <w:lang w:val="en-GB"/>
        </w:rPr>
        <w:t>general reflective processes. These accounts included behaviours that were proactive and reflexive, indicating an internal feedback loop process. Although some evidence of this was found in the BPF group</w:t>
      </w:r>
      <w:r w:rsidR="00983491" w:rsidRPr="00B56453">
        <w:rPr>
          <w:lang w:val="en-GB"/>
        </w:rPr>
        <w:t>,</w:t>
      </w:r>
      <w:r w:rsidRPr="00B56453">
        <w:rPr>
          <w:lang w:val="en-GB"/>
        </w:rPr>
        <w:t xml:space="preserve"> these behaviours were more prevalent in </w:t>
      </w:r>
      <w:r w:rsidR="00623AB1" w:rsidRPr="00B56453">
        <w:rPr>
          <w:lang w:val="en-GB"/>
        </w:rPr>
        <w:t>the SRLF group.</w:t>
      </w:r>
    </w:p>
    <w:p w14:paraId="4F05D6BE" w14:textId="77777777" w:rsidR="00367EA7" w:rsidRPr="00B56453" w:rsidRDefault="00367EA7" w:rsidP="00026049">
      <w:pPr>
        <w:pStyle w:val="Normal1"/>
        <w:rPr>
          <w:lang w:val="en-GB"/>
        </w:rPr>
      </w:pPr>
    </w:p>
    <w:p w14:paraId="2E0C0613" w14:textId="0B970664" w:rsidR="00367EA7" w:rsidRPr="00B56453" w:rsidRDefault="00367EA7" w:rsidP="00026049">
      <w:pPr>
        <w:pStyle w:val="Normal1"/>
        <w:rPr>
          <w:lang w:val="en-GB"/>
        </w:rPr>
      </w:pPr>
      <w:r w:rsidRPr="00B56453">
        <w:rPr>
          <w:lang w:val="en-GB"/>
        </w:rPr>
        <w:t xml:space="preserve">In further answering the research question of what </w:t>
      </w:r>
      <w:r w:rsidR="009D30A3" w:rsidRPr="00B56453">
        <w:rPr>
          <w:lang w:val="en-GB"/>
        </w:rPr>
        <w:t>SRL</w:t>
      </w:r>
      <w:r w:rsidRPr="00B56453">
        <w:rPr>
          <w:lang w:val="en-GB"/>
        </w:rPr>
        <w:t xml:space="preserve"> strategies learners use</w:t>
      </w:r>
      <w:r w:rsidR="00983491" w:rsidRPr="00B56453">
        <w:rPr>
          <w:lang w:val="en-GB"/>
        </w:rPr>
        <w:t>d</w:t>
      </w:r>
      <w:r w:rsidRPr="00B56453">
        <w:rPr>
          <w:lang w:val="en-GB"/>
        </w:rPr>
        <w:t xml:space="preserve"> on clinical placements, this </w:t>
      </w:r>
      <w:r w:rsidR="00623AB1" w:rsidRPr="00B56453">
        <w:rPr>
          <w:lang w:val="en-GB"/>
        </w:rPr>
        <w:t>study</w:t>
      </w:r>
      <w:r w:rsidR="009D30A3" w:rsidRPr="00B56453">
        <w:rPr>
          <w:lang w:val="en-GB"/>
        </w:rPr>
        <w:t xml:space="preserve"> analysed</w:t>
      </w:r>
      <w:r w:rsidRPr="00B56453">
        <w:rPr>
          <w:lang w:val="en-GB"/>
        </w:rPr>
        <w:t xml:space="preserve"> accounts of </w:t>
      </w:r>
      <w:r w:rsidR="009D30A3" w:rsidRPr="00B56453">
        <w:rPr>
          <w:lang w:val="en-GB"/>
        </w:rPr>
        <w:t>student</w:t>
      </w:r>
      <w:r w:rsidRPr="00B56453">
        <w:rPr>
          <w:lang w:val="en-GB"/>
        </w:rPr>
        <w:t xml:space="preserve"> learning and feedback </w:t>
      </w:r>
      <w:r w:rsidRPr="00B56453">
        <w:rPr>
          <w:lang w:val="en-GB"/>
        </w:rPr>
        <w:lastRenderedPageBreak/>
        <w:t xml:space="preserve">behaviours through the lens of SRL theory and identified three key themes relating to established SRL processes: (1) Confidence and motivation; (2) Planning and monitoring; (3) Self-evaluation. Other SRL processes were identified, </w:t>
      </w:r>
      <w:r w:rsidR="0021662A" w:rsidRPr="00B56453">
        <w:rPr>
          <w:lang w:val="en-GB"/>
        </w:rPr>
        <w:t>including</w:t>
      </w:r>
      <w:r w:rsidRPr="00B56453">
        <w:rPr>
          <w:lang w:val="en-GB"/>
        </w:rPr>
        <w:t xml:space="preserve"> visualisation and attribution, but were not expressed representatively over the sample and thus the quotes attached to these processes were assimilated into the </w:t>
      </w:r>
      <w:r w:rsidR="00983491" w:rsidRPr="00B56453">
        <w:rPr>
          <w:lang w:val="en-GB"/>
        </w:rPr>
        <w:t>appropriate</w:t>
      </w:r>
      <w:r w:rsidRPr="00B56453">
        <w:rPr>
          <w:lang w:val="en-GB"/>
        </w:rPr>
        <w:t xml:space="preserve"> SRL themes.</w:t>
      </w:r>
    </w:p>
    <w:p w14:paraId="1E51D295" w14:textId="77777777" w:rsidR="00367EA7" w:rsidRPr="00B56453" w:rsidRDefault="00367EA7" w:rsidP="00026049">
      <w:pPr>
        <w:pStyle w:val="Normal1"/>
        <w:rPr>
          <w:lang w:val="en-GB"/>
        </w:rPr>
      </w:pPr>
    </w:p>
    <w:p w14:paraId="44086323" w14:textId="32721035" w:rsidR="00367EA7" w:rsidRPr="00B56453" w:rsidRDefault="00367EA7" w:rsidP="00026049">
      <w:pPr>
        <w:pStyle w:val="Normal1"/>
        <w:rPr>
          <w:lang w:val="en-GB"/>
        </w:rPr>
      </w:pPr>
      <w:r w:rsidRPr="00B56453">
        <w:rPr>
          <w:lang w:val="en-GB"/>
        </w:rPr>
        <w:t xml:space="preserve">Confidence and motivation was a major theme in this </w:t>
      </w:r>
      <w:r w:rsidR="00713C29" w:rsidRPr="00B56453">
        <w:rPr>
          <w:lang w:val="en-GB"/>
        </w:rPr>
        <w:t xml:space="preserve">part of the </w:t>
      </w:r>
      <w:r w:rsidR="00623AB1" w:rsidRPr="00B56453">
        <w:rPr>
          <w:lang w:val="en-GB"/>
        </w:rPr>
        <w:t>study</w:t>
      </w:r>
      <w:r w:rsidRPr="00B56453">
        <w:rPr>
          <w:lang w:val="en-GB"/>
        </w:rPr>
        <w:t>, appearing in all three models presented in the findings</w:t>
      </w:r>
      <w:r w:rsidR="00713C29" w:rsidRPr="00B56453">
        <w:rPr>
          <w:lang w:val="en-GB"/>
        </w:rPr>
        <w:t xml:space="preserve"> (see C2.3)</w:t>
      </w:r>
      <w:r w:rsidRPr="00B56453">
        <w:rPr>
          <w:lang w:val="en-GB"/>
        </w:rPr>
        <w:t xml:space="preserve">. It has clear links to the forethought stage of Zimmerman’s model of SRL, specifically within the motivational beliefs processes that include self-efficacy, intrinsic interest, and goal orientation </w:t>
      </w:r>
      <w:r w:rsidR="00EF281A" w:rsidRPr="009C2746">
        <w:rPr>
          <w:lang w:val="en-GB"/>
        </w:rPr>
        <w:fldChar w:fldCharType="begin"/>
      </w:r>
      <w:r w:rsidR="008B61BE" w:rsidRPr="00B56453">
        <w:rPr>
          <w:lang w:val="en-GB"/>
        </w:rPr>
        <w:instrText xml:space="preserve"> ADDIN EN.CITE &lt;EndNote&gt;&lt;Cite&gt;&lt;Author&gt;Zimmerman&lt;/Author&gt;&lt;Year&gt;2000&lt;/Year&gt;&lt;RecNum&gt;909&lt;/RecNum&gt;&lt;DisplayText&gt;(Zimmerman 2000b)&lt;/DisplayText&gt;&lt;record&gt;&lt;rec-number&gt;909&lt;/rec-number&gt;&lt;foreign-keys&gt;&lt;key app="EN" db-id="xa2r2ewea92trkef5dt5arvbzafvpv2za5ft" timestamp="1496417604"&gt;909&lt;/key&gt;&lt;/foreign-keys&gt;&lt;ref-type name="Journal Article"&gt;17&lt;/ref-type&gt;&lt;contributors&gt;&lt;authors&gt;&lt;author&gt;Zimmerman, Barry J.&lt;/author&gt;&lt;/authors&gt;&lt;/contributors&gt;&lt;titles&gt;&lt;title&gt;Attaining self-regulation: A social cognitive perspective&lt;/title&gt;&lt;short-title&gt;Attaining self-regulation: A social cognitive perspective&lt;/short-title&gt;&lt;/titles&gt;&lt;dates&gt;&lt;year&gt;2000&lt;/year&gt;&lt;/dates&gt;&lt;urls&gt;&lt;/urls&gt;&lt;/record&gt;&lt;/Cite&gt;&lt;/EndNote&gt;</w:instrText>
      </w:r>
      <w:r w:rsidR="00EF281A" w:rsidRPr="00B27F0B">
        <w:rPr>
          <w:lang w:val="en-GB"/>
        </w:rPr>
        <w:fldChar w:fldCharType="separate"/>
      </w:r>
      <w:r w:rsidR="004E5A78" w:rsidRPr="00B56453">
        <w:rPr>
          <w:noProof/>
          <w:lang w:val="en-GB"/>
        </w:rPr>
        <w:t>(</w:t>
      </w:r>
      <w:hyperlink w:anchor="_ENREF_456" w:tooltip="Zimmerman, 2000 #909" w:history="1">
        <w:r w:rsidR="0094469E" w:rsidRPr="00B56453">
          <w:rPr>
            <w:noProof/>
            <w:lang w:val="en-GB"/>
          </w:rPr>
          <w:t>Zimmerman 2000b</w:t>
        </w:r>
      </w:hyperlink>
      <w:r w:rsidR="004E5A78" w:rsidRPr="00B56453">
        <w:rPr>
          <w:noProof/>
          <w:lang w:val="en-GB"/>
        </w:rPr>
        <w:t>)</w:t>
      </w:r>
      <w:r w:rsidR="00EF281A" w:rsidRPr="009C2746">
        <w:rPr>
          <w:lang w:val="en-GB"/>
        </w:rPr>
        <w:fldChar w:fldCharType="end"/>
      </w:r>
      <w:r w:rsidRPr="00B56453">
        <w:rPr>
          <w:lang w:val="en-GB"/>
        </w:rPr>
        <w:t xml:space="preserve">. Learners often spoke about their confidence relating to specific tasks or skills (i.e. self-efficacy) as well as in relation to their overall progress and achievement. Links between self-efficacy and achievement have been identified before </w:t>
      </w:r>
      <w:r w:rsidRPr="009C2746">
        <w:rPr>
          <w:lang w:val="en-GB"/>
        </w:rPr>
        <w:fldChar w:fldCharType="begin"/>
      </w:r>
      <w:r w:rsidR="008B61BE" w:rsidRPr="00B56453">
        <w:rPr>
          <w:lang w:val="en-GB"/>
        </w:rPr>
        <w:instrText xml:space="preserve"> ADDIN EN.CITE &lt;EndNote&gt;&lt;Cite&gt;&lt;Author&gt;Pajares&lt;/Author&gt;&lt;Year&gt;2001&lt;/Year&gt;&lt;RecNum&gt;598&lt;/RecNum&gt;&lt;DisplayText&gt;(Pajares and Schunk 2001; Turan et al. 2013)&lt;/DisplayText&gt;&lt;record&gt;&lt;rec-number&gt;598&lt;/rec-number&gt;&lt;foreign-keys&gt;&lt;key app="EN" db-id="xa2r2ewea92trkef5dt5arvbzafvpv2za5ft" timestamp="1496417558"&gt;598&lt;/key&gt;&lt;/foreign-keys&gt;&lt;ref-type name="Journal Article"&gt;17&lt;/ref-type&gt;&lt;contributors&gt;&lt;authors&gt;&lt;author&gt;Pajares, Frank&lt;/author&gt;&lt;author&gt;Schunk, Dale&lt;/author&gt;&lt;/authors&gt;&lt;/contributors&gt;&lt;titles&gt;&lt;title&gt;The development of academic self-efficacy&lt;/title&gt;&lt;secondary-title&gt;Development of achievement motivation. United States&lt;/secondary-title&gt;&lt;/titles&gt;&lt;periodical&gt;&lt;full-title&gt;Development of achievement motivation. United States&lt;/full-title&gt;&lt;/periodical&gt;&lt;volume&gt;7&lt;/volume&gt;&lt;dates&gt;&lt;year&gt;2001&lt;/year&gt;&lt;/dates&gt;&lt;urls&gt;&lt;/urls&gt;&lt;/record&gt;&lt;/Cite&gt;&lt;Cite&gt;&lt;Author&gt;Turan&lt;/Author&gt;&lt;Year&gt;2013&lt;/Year&gt;&lt;RecNum&gt;596&lt;/RecNum&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Pr="00B27F0B">
        <w:rPr>
          <w:lang w:val="en-GB"/>
        </w:rPr>
        <w:fldChar w:fldCharType="separate"/>
      </w:r>
      <w:r w:rsidR="004E5A78" w:rsidRPr="00B56453">
        <w:rPr>
          <w:noProof/>
          <w:lang w:val="en-GB"/>
        </w:rPr>
        <w:t>(</w:t>
      </w:r>
      <w:hyperlink w:anchor="_ENREF_313" w:tooltip="Pajares, 2001 #598" w:history="1">
        <w:r w:rsidR="0094469E" w:rsidRPr="00B56453">
          <w:rPr>
            <w:noProof/>
            <w:lang w:val="en-GB"/>
          </w:rPr>
          <w:t>Pajares and Schunk 2001</w:t>
        </w:r>
      </w:hyperlink>
      <w:r w:rsidR="004E5A78" w:rsidRPr="00B56453">
        <w:rPr>
          <w:noProof/>
          <w:lang w:val="en-GB"/>
        </w:rPr>
        <w:t xml:space="preserve">; </w:t>
      </w:r>
      <w:hyperlink w:anchor="_ENREF_410" w:tooltip="Turan, 2013 #596" w:history="1">
        <w:r w:rsidR="0094469E" w:rsidRPr="00B56453">
          <w:rPr>
            <w:noProof/>
            <w:lang w:val="en-GB"/>
          </w:rPr>
          <w:t>Turan et al. 2013</w:t>
        </w:r>
      </w:hyperlink>
      <w:r w:rsidR="004E5A78" w:rsidRPr="00B56453">
        <w:rPr>
          <w:noProof/>
          <w:lang w:val="en-GB"/>
        </w:rPr>
        <w:t>)</w:t>
      </w:r>
      <w:r w:rsidRPr="009C2746">
        <w:rPr>
          <w:lang w:val="en-GB"/>
        </w:rPr>
        <w:fldChar w:fldCharType="end"/>
      </w:r>
      <w:r w:rsidRPr="00B56453">
        <w:rPr>
          <w:lang w:val="en-GB"/>
        </w:rPr>
        <w:t xml:space="preserve">, although it was not possible to </w:t>
      </w:r>
      <w:r w:rsidR="00ED711A" w:rsidRPr="00B56453">
        <w:rPr>
          <w:lang w:val="en-GB"/>
        </w:rPr>
        <w:t>evaluate</w:t>
      </w:r>
      <w:r w:rsidRPr="00B56453">
        <w:rPr>
          <w:lang w:val="en-GB"/>
        </w:rPr>
        <w:t xml:space="preserve"> students</w:t>
      </w:r>
      <w:r w:rsidR="00ED711A" w:rsidRPr="00B56453">
        <w:rPr>
          <w:lang w:val="en-GB"/>
        </w:rPr>
        <w:t>’</w:t>
      </w:r>
      <w:r w:rsidRPr="00B56453">
        <w:rPr>
          <w:lang w:val="en-GB"/>
        </w:rPr>
        <w:t xml:space="preserve"> consequent achievement</w:t>
      </w:r>
      <w:r w:rsidR="00ED711A" w:rsidRPr="00B56453">
        <w:rPr>
          <w:lang w:val="en-GB"/>
        </w:rPr>
        <w:t>s</w:t>
      </w:r>
      <w:r w:rsidRPr="00B56453">
        <w:rPr>
          <w:lang w:val="en-GB"/>
        </w:rPr>
        <w:t xml:space="preserve"> in this case. </w:t>
      </w:r>
    </w:p>
    <w:p w14:paraId="10D01AB9" w14:textId="77777777" w:rsidR="00367EA7" w:rsidRPr="00B56453" w:rsidRDefault="00367EA7" w:rsidP="00026049">
      <w:pPr>
        <w:pStyle w:val="Normal1"/>
        <w:rPr>
          <w:lang w:val="en-GB"/>
        </w:rPr>
      </w:pPr>
    </w:p>
    <w:p w14:paraId="1A9DD8FE" w14:textId="0E76337A" w:rsidR="00367EA7" w:rsidRPr="00B56453" w:rsidRDefault="00983491" w:rsidP="00026049">
      <w:pPr>
        <w:pStyle w:val="Normal1"/>
        <w:rPr>
          <w:lang w:val="en-GB"/>
        </w:rPr>
      </w:pPr>
      <w:r w:rsidRPr="00B56453">
        <w:rPr>
          <w:lang w:val="en-GB"/>
        </w:rPr>
        <w:t>Q</w:t>
      </w:r>
      <w:r w:rsidR="00367EA7" w:rsidRPr="00B56453">
        <w:rPr>
          <w:lang w:val="en-GB"/>
        </w:rPr>
        <w:t>uotes</w:t>
      </w:r>
      <w:r w:rsidR="00713C29" w:rsidRPr="00B56453">
        <w:rPr>
          <w:lang w:val="en-GB"/>
        </w:rPr>
        <w:t xml:space="preserve"> presented</w:t>
      </w:r>
      <w:r w:rsidR="00367EA7" w:rsidRPr="00B56453">
        <w:rPr>
          <w:lang w:val="en-GB"/>
        </w:rPr>
        <w:t xml:space="preserve"> in the confidence and motivation theme described </w:t>
      </w:r>
      <w:r w:rsidRPr="00B56453">
        <w:rPr>
          <w:lang w:val="en-GB"/>
        </w:rPr>
        <w:t>clear links between learner</w:t>
      </w:r>
      <w:r w:rsidR="00367EA7" w:rsidRPr="00B56453">
        <w:rPr>
          <w:lang w:val="en-GB"/>
        </w:rPr>
        <w:t>s</w:t>
      </w:r>
      <w:r w:rsidRPr="00B56453">
        <w:rPr>
          <w:lang w:val="en-GB"/>
        </w:rPr>
        <w:t>’</w:t>
      </w:r>
      <w:r w:rsidR="00367EA7" w:rsidRPr="00B56453">
        <w:rPr>
          <w:lang w:val="en-GB"/>
        </w:rPr>
        <w:t xml:space="preserve"> perceived self-confidence and relationship</w:t>
      </w:r>
      <w:r w:rsidRPr="00B56453">
        <w:rPr>
          <w:lang w:val="en-GB"/>
        </w:rPr>
        <w:t>s</w:t>
      </w:r>
      <w:r w:rsidR="00367EA7" w:rsidRPr="00B56453">
        <w:rPr>
          <w:lang w:val="en-GB"/>
        </w:rPr>
        <w:t xml:space="preserve"> with their supervisor</w:t>
      </w:r>
      <w:r w:rsidRPr="00B56453">
        <w:rPr>
          <w:lang w:val="en-GB"/>
        </w:rPr>
        <w:t>s</w:t>
      </w:r>
      <w:r w:rsidR="00367EA7" w:rsidRPr="00B56453">
        <w:rPr>
          <w:lang w:val="en-GB"/>
        </w:rPr>
        <w:t xml:space="preserve">. This often manifested in how they sought feedback, learners who perceived a stronger relationship between feedback givers described how much more comfortable and confident they were in seeking feedback. This relationship has recently been </w:t>
      </w:r>
      <w:r w:rsidRPr="00B56453">
        <w:rPr>
          <w:lang w:val="en-GB"/>
        </w:rPr>
        <w:t>corroborated</w:t>
      </w:r>
      <w:r w:rsidR="00367EA7" w:rsidRPr="00B56453">
        <w:rPr>
          <w:lang w:val="en-GB"/>
        </w:rPr>
        <w:t xml:space="preserve"> by evidence from </w:t>
      </w:r>
      <w:hyperlink w:anchor="_ENREF_272" w:tooltip="McSwiggan, 2017 #604" w:history="1">
        <w:r w:rsidR="0094469E" w:rsidRPr="00B27F0B">
          <w:rPr>
            <w:lang w:val="en-GB"/>
          </w:rPr>
          <w:fldChar w:fldCharType="begin"/>
        </w:r>
        <w:r w:rsidR="0094469E" w:rsidRPr="00B56453">
          <w:rPr>
            <w:lang w:val="en-GB"/>
          </w:rPr>
          <w:instrText xml:space="preserve"> ADDIN EN.CITE &lt;EndNote&gt;&lt;Cite AuthorYear="1"&gt;&lt;Author&gt;McSwiggan&lt;/Author&gt;&lt;Year&gt;2017&lt;/Year&gt;&lt;RecNum&gt;604&lt;/RecNum&gt;&lt;DisplayText&gt;McSwiggan and Campbell (2017)&lt;/DisplayText&gt;&lt;record&gt;&lt;rec-number&gt;604&lt;/rec-number&gt;&lt;foreign-keys&gt;&lt;key app="EN" db-id="xa2r2ewea92trkef5dt5arvbzafvpv2za5ft" timestamp="1496417559"&gt;604&lt;/key&gt;&lt;/foreign-keys&gt;&lt;ref-type name="Journal Article"&gt;17&lt;/ref-type&gt;&lt;contributors&gt;&lt;authors&gt;&lt;author&gt;McSwiggan, Linda C&lt;/author&gt;&lt;author&gt;Campbell, Maureen&lt;/author&gt;&lt;/authors&gt;&lt;/contributors&gt;&lt;titles&gt;&lt;title&gt;Can podcasts for assessment guidance and feedback promote self-efficacy among undergraduate nursing students? A qualitative study&lt;/title&gt;&lt;secondary-title&gt;Nurse Education Today&lt;/secondary-title&gt;&lt;/titles&gt;&lt;periodical&gt;&lt;full-title&gt;Nurse Education Today&lt;/full-title&gt;&lt;/periodical&gt;&lt;pages&gt;115-121&lt;/pages&gt;&lt;volume&gt;49&lt;/volume&gt;&lt;dates&gt;&lt;year&gt;2017&lt;/year&gt;&lt;/dates&gt;&lt;isbn&gt;0260-6917&lt;/isbn&gt;&lt;urls&gt;&lt;/urls&gt;&lt;/record&gt;&lt;/Cite&gt;&lt;/EndNote&gt;</w:instrText>
        </w:r>
        <w:r w:rsidR="0094469E" w:rsidRPr="00B27F0B">
          <w:rPr>
            <w:lang w:val="en-GB"/>
          </w:rPr>
          <w:fldChar w:fldCharType="separate"/>
        </w:r>
        <w:r w:rsidR="0094469E" w:rsidRPr="00B56453">
          <w:rPr>
            <w:noProof/>
            <w:lang w:val="en-GB"/>
          </w:rPr>
          <w:t>McSwiggan and Campbell (2017)</w:t>
        </w:r>
        <w:r w:rsidR="0094469E" w:rsidRPr="00B27F0B">
          <w:rPr>
            <w:lang w:val="en-GB"/>
          </w:rPr>
          <w:fldChar w:fldCharType="end"/>
        </w:r>
      </w:hyperlink>
      <w:r w:rsidR="00367EA7" w:rsidRPr="00FD5859">
        <w:rPr>
          <w:lang w:val="en-GB"/>
        </w:rPr>
        <w:t xml:space="preserve"> who found that nursing undergraduates with higher reported levels of self-efficacy than their col</w:t>
      </w:r>
      <w:r w:rsidR="00367EA7" w:rsidRPr="00B56453">
        <w:rPr>
          <w:lang w:val="en-GB"/>
        </w:rPr>
        <w:t xml:space="preserve">leagues were more likely to seek feedback. Self-efficacy beliefs were found to increase between the end of the </w:t>
      </w:r>
      <w:r w:rsidR="00826050" w:rsidRPr="00B56453">
        <w:rPr>
          <w:lang w:val="en-GB"/>
        </w:rPr>
        <w:t>teaching</w:t>
      </w:r>
      <w:r w:rsidR="00367EA7" w:rsidRPr="00B56453">
        <w:rPr>
          <w:lang w:val="en-GB"/>
        </w:rPr>
        <w:t xml:space="preserve"> and the end of </w:t>
      </w:r>
      <w:r w:rsidR="00483DED" w:rsidRPr="00B56453">
        <w:rPr>
          <w:lang w:val="en-GB"/>
        </w:rPr>
        <w:t xml:space="preserve">clinical </w:t>
      </w:r>
      <w:r w:rsidR="00367EA7" w:rsidRPr="00B56453">
        <w:rPr>
          <w:lang w:val="en-GB"/>
        </w:rPr>
        <w:t>placements in this study, and more learners in the SRLF group than the BPF group identified a link between confidence and support in the feedback behaviours model. However, this link is not conclusive evidence but may indicate that more self-regulated individuals seek feedback more than their colleagues, further research would be needed to confirm this as others have</w:t>
      </w:r>
      <w:r w:rsidRPr="00B56453">
        <w:rPr>
          <w:lang w:val="en-GB"/>
        </w:rPr>
        <w:t xml:space="preserve"> also</w:t>
      </w:r>
      <w:r w:rsidR="00367EA7" w:rsidRPr="00B56453">
        <w:rPr>
          <w:lang w:val="en-GB"/>
        </w:rPr>
        <w:t xml:space="preserve"> suggested </w:t>
      </w:r>
      <w:r w:rsidR="00EF281A" w:rsidRPr="009C2746">
        <w:rPr>
          <w:lang w:val="en-GB"/>
        </w:rPr>
        <w:fldChar w:fldCharType="begin"/>
      </w:r>
      <w:r w:rsidR="008B61BE" w:rsidRPr="00B56453">
        <w:rPr>
          <w:lang w:val="en-GB"/>
        </w:rPr>
        <w:instrText xml:space="preserve"> ADDIN EN.CITE &lt;EndNote&gt;&lt;Cite&gt;&lt;Author&gt;Turan&lt;/Author&gt;&lt;Year&gt;2013&lt;/Year&gt;&lt;RecNum&gt;596&lt;/RecNum&gt;&lt;DisplayText&gt;(Turan et al. 2013)&lt;/DisplayText&gt;&lt;record&gt;&lt;rec-number&gt;596&lt;/rec-number&gt;&lt;foreign-keys&gt;&lt;key app="EN" db-id="xa2r2ewea92trkef5dt5arvbzafvpv2za5ft" timestamp="1496417558"&gt;596&lt;/key&gt;&lt;/foreign-keys&gt;&lt;ref-type name="Journal Article"&gt;17&lt;/ref-type&gt;&lt;contributors&gt;&lt;authors&gt;&lt;author&gt;Turan, Sevgi&lt;/author&gt;&lt;author&gt;Valcke, Martin&lt;/author&gt;&lt;author&gt;Aper, Leen&lt;/author&gt;&lt;author&gt;Koole, Sebastiaan&lt;/author&gt;&lt;author&gt;Derese, Anselme&lt;/author&gt;&lt;/authors&gt;&lt;/contributors&gt;&lt;titles&gt;&lt;title&gt;Studying self-efficacy beliefs in medical education&lt;/title&gt;&lt;secondary-title&gt;Procedia-Social and Behavioral Sciences&lt;/secondary-title&gt;&lt;/titles&gt;&lt;periodical&gt;&lt;full-title&gt;Procedia-Social and Behavioral Sciences&lt;/full-title&gt;&lt;/periodical&gt;&lt;pages&gt;1311-1314&lt;/pages&gt;&lt;volume&gt;93&lt;/volume&gt;&lt;dates&gt;&lt;year&gt;2013&lt;/year&gt;&lt;/dates&gt;&lt;isbn&gt;1877-0428&lt;/isbn&gt;&lt;urls&gt;&lt;/urls&gt;&lt;/record&gt;&lt;/Cite&gt;&lt;/EndNote&gt;</w:instrText>
      </w:r>
      <w:r w:rsidR="00EF281A" w:rsidRPr="00B27F0B">
        <w:rPr>
          <w:lang w:val="en-GB"/>
        </w:rPr>
        <w:fldChar w:fldCharType="separate"/>
      </w:r>
      <w:r w:rsidR="004E5A78" w:rsidRPr="00B56453">
        <w:rPr>
          <w:noProof/>
          <w:lang w:val="en-GB"/>
        </w:rPr>
        <w:t>(</w:t>
      </w:r>
      <w:hyperlink w:anchor="_ENREF_410" w:tooltip="Turan, 2013 #596" w:history="1">
        <w:r w:rsidR="0094469E" w:rsidRPr="00B56453">
          <w:rPr>
            <w:noProof/>
            <w:lang w:val="en-GB"/>
          </w:rPr>
          <w:t>Turan et al. 2013</w:t>
        </w:r>
      </w:hyperlink>
      <w:r w:rsidR="004E5A78" w:rsidRPr="00B56453">
        <w:rPr>
          <w:noProof/>
          <w:lang w:val="en-GB"/>
        </w:rPr>
        <w:t>)</w:t>
      </w:r>
      <w:r w:rsidR="00EF281A" w:rsidRPr="009C2746">
        <w:rPr>
          <w:lang w:val="en-GB"/>
        </w:rPr>
        <w:fldChar w:fldCharType="end"/>
      </w:r>
      <w:r w:rsidR="00367EA7" w:rsidRPr="00B56453">
        <w:rPr>
          <w:lang w:val="en-GB"/>
        </w:rPr>
        <w:t xml:space="preserve">. </w:t>
      </w:r>
    </w:p>
    <w:p w14:paraId="349A3B13" w14:textId="77777777" w:rsidR="00367EA7" w:rsidRPr="00B56453" w:rsidRDefault="00367EA7" w:rsidP="00026049">
      <w:pPr>
        <w:pStyle w:val="Normal1"/>
        <w:rPr>
          <w:lang w:val="en-GB"/>
        </w:rPr>
      </w:pPr>
    </w:p>
    <w:p w14:paraId="1BD92797" w14:textId="39853042" w:rsidR="00367EA7" w:rsidRPr="00B56453" w:rsidRDefault="00367EA7" w:rsidP="00026049">
      <w:pPr>
        <w:pStyle w:val="Normal1"/>
        <w:rPr>
          <w:lang w:val="en-GB"/>
        </w:rPr>
      </w:pPr>
      <w:r w:rsidRPr="00B56453">
        <w:rPr>
          <w:lang w:val="en-GB"/>
        </w:rPr>
        <w:t xml:space="preserve">The theme of planning and monitoring relates closely to the processes of strategic planning in the forethought stage and metacognitive monitoring in the performance stage of Zimmerman’s model. This manifested for some learners in their use of ‘mental </w:t>
      </w:r>
      <w:r w:rsidRPr="00B56453">
        <w:rPr>
          <w:lang w:val="en-GB"/>
        </w:rPr>
        <w:lastRenderedPageBreak/>
        <w:t xml:space="preserve">checklists’ or physical notes to monitor and plan their learning, indicating an internal feedback loop </w:t>
      </w:r>
      <w:r w:rsidR="009D30A3" w:rsidRPr="00B56453">
        <w:rPr>
          <w:lang w:val="en-GB"/>
        </w:rPr>
        <w:t>influenced</w:t>
      </w:r>
      <w:r w:rsidRPr="00B56453">
        <w:rPr>
          <w:lang w:val="en-GB"/>
        </w:rPr>
        <w:t xml:space="preserve"> by external </w:t>
      </w:r>
      <w:r w:rsidR="00805824" w:rsidRPr="00B56453">
        <w:rPr>
          <w:lang w:val="en-GB"/>
        </w:rPr>
        <w:t>cues</w:t>
      </w:r>
      <w:r w:rsidRPr="00B56453">
        <w:rPr>
          <w:lang w:val="en-GB"/>
        </w:rPr>
        <w:t xml:space="preserve"> </w:t>
      </w:r>
      <w:r w:rsidR="00EF281A" w:rsidRPr="009C2746">
        <w:rPr>
          <w:lang w:val="en-GB"/>
        </w:rPr>
        <w:fldChar w:fldCharType="begin"/>
      </w:r>
      <w:r w:rsidR="008B61BE" w:rsidRPr="00B56453">
        <w:rPr>
          <w:lang w:val="en-GB"/>
        </w:rPr>
        <w:instrText xml:space="preserve"> ADDIN EN.CITE &lt;EndNote&gt;&lt;Cite&gt;&lt;Author&gt;Cleary&lt;/Author&gt;&lt;Year&gt;2012&lt;/Year&gt;&lt;RecNum&gt;35&lt;/RecNum&gt;&lt;DisplayText&gt;(Cleary et al. 2012)&lt;/DisplayText&gt;&lt;record&gt;&lt;rec-number&gt;35&lt;/rec-number&gt;&lt;foreign-keys&gt;&lt;key app="EN" db-id="xa2r2ewea92trkef5dt5arvbzafvpv2za5ft" timestamp="1442161763"&gt;35&lt;/key&gt;&lt;/foreign-keys&gt;&lt;ref-type name="Journal Article"&gt;17&lt;/ref-type&gt;&lt;contributors&gt;&lt;authors&gt;&lt;author&gt;Cleary, Timothy J.&lt;/author&gt;&lt;author&gt;Callan, Gregory L.&lt;/author&gt;&lt;author&gt;Zimmerman, Barry J.&lt;/author&gt;&lt;/authors&gt;&lt;/contributors&gt;&lt;titles&gt;&lt;title&gt;Assessing self-regulation as a cyclical, context-specific phenomenon: overview and analysis of SRL microanalytic protocols&lt;/title&gt;&lt;secondary-title&gt;Education Research International&lt;/secondary-title&gt;&lt;/titles&gt;&lt;periodical&gt;&lt;full-title&gt;Education Research International&lt;/full-title&gt;&lt;/periodical&gt;&lt;volume&gt;2012&lt;/volume&gt;&lt;dates&gt;&lt;year&gt;2012&lt;/year&gt;&lt;/dates&gt;&lt;publisher&gt;Hindawi Publishing Corporation&lt;/publisher&gt;&lt;urls&gt;&lt;/urls&gt;&lt;/record&gt;&lt;/Cite&gt;&lt;/EndNote&gt;</w:instrText>
      </w:r>
      <w:r w:rsidR="00EF281A" w:rsidRPr="00B27F0B">
        <w:rPr>
          <w:lang w:val="en-GB"/>
        </w:rPr>
        <w:fldChar w:fldCharType="separate"/>
      </w:r>
      <w:r w:rsidR="004E5A78" w:rsidRPr="00B56453">
        <w:rPr>
          <w:noProof/>
          <w:lang w:val="en-GB"/>
        </w:rPr>
        <w:t>(</w:t>
      </w:r>
      <w:hyperlink w:anchor="_ENREF_83" w:tooltip="Cleary, 2012 #35" w:history="1">
        <w:r w:rsidR="0094469E" w:rsidRPr="00B56453">
          <w:rPr>
            <w:noProof/>
            <w:lang w:val="en-GB"/>
          </w:rPr>
          <w:t>Cleary et al. 2012</w:t>
        </w:r>
      </w:hyperlink>
      <w:r w:rsidR="004E5A78" w:rsidRPr="00B56453">
        <w:rPr>
          <w:noProof/>
          <w:lang w:val="en-GB"/>
        </w:rPr>
        <w:t>)</w:t>
      </w:r>
      <w:r w:rsidR="00EF281A" w:rsidRPr="009C2746">
        <w:rPr>
          <w:lang w:val="en-GB"/>
        </w:rPr>
        <w:fldChar w:fldCharType="end"/>
      </w:r>
      <w:r w:rsidRPr="00B56453">
        <w:rPr>
          <w:lang w:val="en-GB"/>
        </w:rPr>
        <w:t xml:space="preserve">. Planning and monitoring </w:t>
      </w:r>
      <w:r w:rsidR="00805824" w:rsidRPr="00B56453">
        <w:rPr>
          <w:lang w:val="en-GB"/>
        </w:rPr>
        <w:t>was strongly related to learner</w:t>
      </w:r>
      <w:r w:rsidRPr="00B56453">
        <w:rPr>
          <w:lang w:val="en-GB"/>
        </w:rPr>
        <w:t>s</w:t>
      </w:r>
      <w:r w:rsidR="00805824" w:rsidRPr="00B56453">
        <w:rPr>
          <w:lang w:val="en-GB"/>
        </w:rPr>
        <w:t>’</w:t>
      </w:r>
      <w:r w:rsidRPr="00B56453">
        <w:rPr>
          <w:lang w:val="en-GB"/>
        </w:rPr>
        <w:t xml:space="preserve"> perceptions of their own progression, suggesting that this SRL theme was important for learners in making sense of where they were in their development. Previous evidence has indicated that learners who engage more in developing their own strategic learning are more academically successful than those who do not </w:t>
      </w:r>
      <w:r w:rsidR="00EF281A" w:rsidRPr="009C2746">
        <w:rPr>
          <w:lang w:val="en-GB"/>
        </w:rPr>
        <w:fldChar w:fldCharType="begin"/>
      </w:r>
      <w:r w:rsidR="008B61BE" w:rsidRPr="00B56453">
        <w:rPr>
          <w:lang w:val="en-GB"/>
        </w:rPr>
        <w:instrText xml:space="preserve"> ADDIN EN.CITE &lt;EndNote&gt;&lt;Cite&gt;&lt;Author&gt;Kitsantas&lt;/Author&gt;&lt;Year&gt;2002&lt;/Year&gt;&lt;RecNum&gt;408&lt;/RecNum&gt;&lt;DisplayText&gt;(Kitsantas and Zimmerman 2002)&lt;/DisplayText&gt;&lt;record&gt;&lt;rec-number&gt;408&lt;/rec-number&gt;&lt;foreign-keys&gt;&lt;key app="EN" db-id="xa2r2ewea92trkef5dt5arvbzafvpv2za5ft" timestamp="1496417543"&gt;408&lt;/key&gt;&lt;/foreign-keys&gt;&lt;ref-type name="Journal Article"&gt;17&lt;/ref-type&gt;&lt;contributors&gt;&lt;authors&gt;&lt;author&gt;Kitsantas, Anastasia&lt;/author&gt;&lt;author&gt;Zimmerman, Barry J.&lt;/author&gt;&lt;/authors&gt;&lt;/contributors&gt;&lt;titles&gt;&lt;title&gt;Comparing self-regulatory processes among novice, non-expert, and expert volleyball players: A microanalytic study&lt;/title&gt;&lt;secondary-title&gt;Journal of applied sport psychology&lt;/secondary-title&gt;&lt;/titles&gt;&lt;periodical&gt;&lt;full-title&gt;Journal of Applied Sport Psychology&lt;/full-title&gt;&lt;/periodical&gt;&lt;pages&gt;91-105&lt;/pages&gt;&lt;volume&gt;14&lt;/volume&gt;&lt;number&gt;2&lt;/number&gt;&lt;dates&gt;&lt;year&gt;2002&lt;/year&gt;&lt;/dates&gt;&lt;publisher&gt;Taylor &amp;amp; Francis&lt;/publisher&gt;&lt;urls&gt;&lt;/urls&gt;&lt;/record&gt;&lt;/Cite&gt;&lt;/EndNote&gt;</w:instrText>
      </w:r>
      <w:r w:rsidR="00EF281A" w:rsidRPr="00B27F0B">
        <w:rPr>
          <w:lang w:val="en-GB"/>
        </w:rPr>
        <w:fldChar w:fldCharType="separate"/>
      </w:r>
      <w:r w:rsidR="004E5A78" w:rsidRPr="00B56453">
        <w:rPr>
          <w:noProof/>
          <w:lang w:val="en-GB"/>
        </w:rPr>
        <w:t>(</w:t>
      </w:r>
      <w:hyperlink w:anchor="_ENREF_217" w:tooltip="Kitsantas, 2002 #129" w:history="1">
        <w:r w:rsidR="0094469E" w:rsidRPr="00B56453">
          <w:rPr>
            <w:noProof/>
            <w:lang w:val="en-GB"/>
          </w:rPr>
          <w:t>Kitsantas and Zimmerman 2002</w:t>
        </w:r>
      </w:hyperlink>
      <w:r w:rsidR="004E5A78" w:rsidRPr="00B56453">
        <w:rPr>
          <w:noProof/>
          <w:lang w:val="en-GB"/>
        </w:rPr>
        <w:t>)</w:t>
      </w:r>
      <w:r w:rsidR="00EF281A" w:rsidRPr="009C2746">
        <w:rPr>
          <w:lang w:val="en-GB"/>
        </w:rPr>
        <w:fldChar w:fldCharType="end"/>
      </w:r>
      <w:r w:rsidRPr="00B56453">
        <w:rPr>
          <w:lang w:val="en-GB"/>
        </w:rPr>
        <w:t>.</w:t>
      </w:r>
    </w:p>
    <w:p w14:paraId="74D07D9B" w14:textId="77777777" w:rsidR="00367EA7" w:rsidRPr="00B56453" w:rsidRDefault="00367EA7" w:rsidP="00026049">
      <w:pPr>
        <w:pStyle w:val="Normal1"/>
        <w:rPr>
          <w:lang w:val="en-GB"/>
        </w:rPr>
      </w:pPr>
    </w:p>
    <w:p w14:paraId="7D6F9486" w14:textId="3E6F4DB9" w:rsidR="00367EA7" w:rsidRPr="00B56453" w:rsidRDefault="00713C29" w:rsidP="00026049">
      <w:pPr>
        <w:pStyle w:val="Normal1"/>
        <w:rPr>
          <w:lang w:val="en-GB"/>
        </w:rPr>
      </w:pPr>
      <w:r w:rsidRPr="00B56453">
        <w:rPr>
          <w:lang w:val="en-GB"/>
        </w:rPr>
        <w:t>Elements of s</w:t>
      </w:r>
      <w:r w:rsidR="00367EA7" w:rsidRPr="00B56453">
        <w:rPr>
          <w:lang w:val="en-GB"/>
        </w:rPr>
        <w:t xml:space="preserve">elf-evaluation </w:t>
      </w:r>
      <w:r w:rsidRPr="00B56453">
        <w:rPr>
          <w:lang w:val="en-GB"/>
        </w:rPr>
        <w:t>were</w:t>
      </w:r>
      <w:r w:rsidR="00367EA7" w:rsidRPr="00B56453">
        <w:rPr>
          <w:lang w:val="en-GB"/>
        </w:rPr>
        <w:t xml:space="preserve"> present in both the learning and feedback behaviour models, indicating its importance in these areas. These links are unsurprising in principle given that self-reflection and self-assessment are key related SRL process</w:t>
      </w:r>
      <w:r w:rsidR="00805824" w:rsidRPr="00B56453">
        <w:rPr>
          <w:lang w:val="en-GB"/>
        </w:rPr>
        <w:t>es</w:t>
      </w:r>
      <w:r w:rsidR="00367EA7" w:rsidRPr="00B56453">
        <w:rPr>
          <w:lang w:val="en-GB"/>
        </w:rPr>
        <w:t xml:space="preserve"> for successful learning and practice in medical education </w:t>
      </w:r>
      <w:r w:rsidR="00367EA7" w:rsidRPr="009C2746">
        <w:rPr>
          <w:lang w:val="en-GB"/>
        </w:rPr>
        <w:fldChar w:fldCharType="begin">
          <w:fldData xml:space="preserve">PEVuZE5vdGU+PENpdGU+PEF1dGhvcj5EdWZmeTwvQXV0aG9yPjxZZWFyPjIwMDg8L1llYXI+PFJl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</w:fldData>
        </w:fldChar>
      </w:r>
      <w:r w:rsidR="008B61BE" w:rsidRPr="00B56453">
        <w:rPr>
          <w:lang w:val="en-GB"/>
        </w:rPr>
        <w:instrText xml:space="preserve"> ADDIN EN.CITE </w:instrText>
      </w:r>
      <w:r w:rsidR="008B61BE" w:rsidRPr="00B27F0B">
        <w:rPr>
          <w:lang w:val="en-GB"/>
        </w:rPr>
        <w:fldChar w:fldCharType="begin">
          <w:fldData xml:space="preserve">PEVuZE5vdGU+PENpdGU+PEF1dGhvcj5EdWZmeTwvQXV0aG9yPjxZZWFyPjIwMDg8L1llYXI+PFJl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00367EA7" w:rsidRPr="00B27F0B">
        <w:rPr>
          <w:lang w:val="en-GB"/>
        </w:rPr>
      </w:r>
      <w:r w:rsidR="00367EA7" w:rsidRPr="00B27F0B">
        <w:rPr>
          <w:lang w:val="en-GB"/>
        </w:rPr>
        <w:fldChar w:fldCharType="separate"/>
      </w:r>
      <w:r w:rsidR="004E5A78" w:rsidRPr="00B56453">
        <w:rPr>
          <w:noProof/>
          <w:lang w:val="en-GB"/>
        </w:rPr>
        <w:t>(</w:t>
      </w:r>
      <w:hyperlink w:anchor="_ENREF_130" w:tooltip="Duffy, 2008 #957" w:history="1">
        <w:r w:rsidR="0094469E" w:rsidRPr="00B56453">
          <w:rPr>
            <w:noProof/>
            <w:lang w:val="en-GB"/>
          </w:rPr>
          <w:t>Duffy et al. 2008</w:t>
        </w:r>
      </w:hyperlink>
      <w:r w:rsidR="004E5A78" w:rsidRPr="00B56453">
        <w:rPr>
          <w:noProof/>
          <w:lang w:val="en-GB"/>
        </w:rPr>
        <w:t xml:space="preserve">; </w:t>
      </w:r>
      <w:hyperlink w:anchor="_ENREF_436" w:tooltip="White, 2010 #266" w:history="1">
        <w:r w:rsidR="0094469E" w:rsidRPr="00B56453">
          <w:rPr>
            <w:noProof/>
            <w:lang w:val="en-GB"/>
          </w:rPr>
          <w:t>White et al. 2010</w:t>
        </w:r>
      </w:hyperlink>
      <w:r w:rsidR="004E5A78" w:rsidRPr="00B56453">
        <w:rPr>
          <w:noProof/>
          <w:lang w:val="en-GB"/>
        </w:rPr>
        <w:t xml:space="preserve">; </w:t>
      </w:r>
      <w:hyperlink w:anchor="_ENREF_138" w:tooltip="Embo, 2014 #72" w:history="1">
        <w:r w:rsidR="0094469E" w:rsidRPr="00B56453">
          <w:rPr>
            <w:noProof/>
            <w:lang w:val="en-GB"/>
          </w:rPr>
          <w:t>Embo et al. 2014</w:t>
        </w:r>
      </w:hyperlink>
      <w:r w:rsidR="004E5A78" w:rsidRPr="00B56453">
        <w:rPr>
          <w:noProof/>
          <w:lang w:val="en-GB"/>
        </w:rPr>
        <w:t>)</w:t>
      </w:r>
      <w:r w:rsidR="00367EA7" w:rsidRPr="009C2746">
        <w:rPr>
          <w:lang w:val="en-GB"/>
        </w:rPr>
        <w:fldChar w:fldCharType="end"/>
      </w:r>
      <w:r w:rsidR="00367EA7" w:rsidRPr="00B56453">
        <w:rPr>
          <w:lang w:val="en-GB"/>
        </w:rPr>
        <w:t xml:space="preserve">. This theme relates to the self-evaluation and adaptive inferences processes in the self-reflection stage of Zimmerman’s model, primarily concerning how learners judge their performance and make changes to it for next time. The measures used in self-evaluation were clear from the data and fit easily into the final thematic models. Learners often described comparing themselves at different points in their </w:t>
      </w:r>
      <w:r w:rsidR="00483DED" w:rsidRPr="00B56453">
        <w:rPr>
          <w:lang w:val="en-GB"/>
        </w:rPr>
        <w:t xml:space="preserve">clinical </w:t>
      </w:r>
      <w:r w:rsidR="00367EA7" w:rsidRPr="00B56453">
        <w:rPr>
          <w:lang w:val="en-GB"/>
        </w:rPr>
        <w:t xml:space="preserve">placements, noticing differences using key measures </w:t>
      </w:r>
      <w:r w:rsidR="0021662A" w:rsidRPr="00B56453">
        <w:rPr>
          <w:lang w:val="en-GB"/>
        </w:rPr>
        <w:t>including</w:t>
      </w:r>
      <w:r w:rsidR="00367EA7" w:rsidRPr="00B56453">
        <w:rPr>
          <w:lang w:val="en-GB"/>
        </w:rPr>
        <w:t xml:space="preserve"> perceived confidence and competence. There was also a strong relationship between self-e</w:t>
      </w:r>
      <w:r w:rsidR="00805824" w:rsidRPr="00B56453">
        <w:rPr>
          <w:lang w:val="en-GB"/>
        </w:rPr>
        <w:t>valuation and the support theme;</w:t>
      </w:r>
      <w:r w:rsidR="00367EA7" w:rsidRPr="00B56453">
        <w:rPr>
          <w:lang w:val="en-GB"/>
        </w:rPr>
        <w:t xml:space="preserve"> students reflected upon the importance of their supervisors in their development and often made the point that they would engage more in building that relationship and accessing more feedback. This further indicates the need for learners to develop stronger </w:t>
      </w:r>
      <w:r w:rsidRPr="00B56453">
        <w:rPr>
          <w:lang w:val="en-GB"/>
        </w:rPr>
        <w:t xml:space="preserve">longstanding </w:t>
      </w:r>
      <w:r w:rsidR="00367EA7" w:rsidRPr="00B56453">
        <w:rPr>
          <w:lang w:val="en-GB"/>
        </w:rPr>
        <w:t xml:space="preserve">relationships with supervisors, as others have suggested </w:t>
      </w:r>
      <w:r w:rsidR="00EF281A" w:rsidRPr="009C2746">
        <w:rPr>
          <w:lang w:val="en-GB"/>
        </w:rPr>
        <w:fldChar w:fldCharType="begin"/>
      </w:r>
      <w:r w:rsidR="008B61BE" w:rsidRPr="00B56453">
        <w:rPr>
          <w:lang w:val="en-GB"/>
        </w:rPr>
        <w:instrText xml:space="preserve"> ADDIN EN.CITE &lt;EndNote&gt;&lt;Cite&gt;&lt;Author&gt;Dornan&lt;/Author&gt;&lt;Year&gt;2007&lt;/Year&gt;&lt;RecNum&gt;705&lt;/RecNum&gt;&lt;DisplayText&gt;(Dornan et al. 2007)&lt;/DisplayText&gt;&lt;record&gt;&lt;rec-number&gt;705&lt;/rec-number&gt;&lt;foreign-keys&gt;&lt;key app="EN" db-id="xa2r2ewea92trkef5dt5arvbzafvpv2za5ft" timestamp="1496417568"&gt;705&lt;/key&gt;&lt;/foreign-keys&gt;&lt;ref-type name="Journal Article"&gt;17&lt;/ref-type&gt;&lt;contributors&gt;&lt;authors&gt;&lt;author&gt;Dornan, Tim&lt;/author&gt;&lt;author&gt;Boshuizen, Henny&lt;/author&gt;&lt;author&gt;King, Nigel&lt;/author&gt;&lt;author&gt;Scherpbier, Albert&lt;/author&gt;&lt;/authors&gt;&lt;/contributors&gt;&lt;titles&gt;&lt;title&gt;Experience</w:instrText>
      </w:r>
      <w:r w:rsidR="008B61BE" w:rsidRPr="00B56453">
        <w:rPr>
          <w:rFonts w:ascii="Cambria Math" w:hAnsi="Cambria Math" w:cs="Cambria Math"/>
          <w:lang w:val="en-GB"/>
        </w:rPr>
        <w:instrText>‐</w:instrText>
      </w:r>
      <w:r w:rsidR="008B61BE" w:rsidRPr="00B56453">
        <w:rPr>
          <w:lang w:val="en-GB"/>
        </w:rPr>
        <w:instrText>based learning: a model linking the processes and outcomes of medical students&amp;apos; workplace learning&lt;/title&gt;&lt;secondary-title&gt;Medical education&lt;/secondary-title&gt;&lt;/titles&gt;&lt;periodical&gt;&lt;full-title&gt;Medical education&lt;/full-title&gt;&lt;/periodical&gt;&lt;pages&gt;84-91&lt;/pages&gt;&lt;volume&gt;41&lt;/volume&gt;&lt;number&gt;1&lt;/number&gt;&lt;dates&gt;&lt;year&gt;2007&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127" w:tooltip="Dornan, 2007 #705" w:history="1">
        <w:r w:rsidR="0094469E" w:rsidRPr="00B56453">
          <w:rPr>
            <w:noProof/>
            <w:lang w:val="en-GB"/>
          </w:rPr>
          <w:t>Dornan et al. 2007</w:t>
        </w:r>
      </w:hyperlink>
      <w:r w:rsidR="004E5A78" w:rsidRPr="00B56453">
        <w:rPr>
          <w:noProof/>
          <w:lang w:val="en-GB"/>
        </w:rPr>
        <w:t>)</w:t>
      </w:r>
      <w:r w:rsidR="00EF281A" w:rsidRPr="009C2746">
        <w:rPr>
          <w:lang w:val="en-GB"/>
        </w:rPr>
        <w:fldChar w:fldCharType="end"/>
      </w:r>
      <w:r w:rsidR="00367EA7" w:rsidRPr="00B56453">
        <w:rPr>
          <w:lang w:val="en-GB"/>
        </w:rPr>
        <w:t xml:space="preserve">. However, learners who had poor experiences with </w:t>
      </w:r>
      <w:r w:rsidRPr="00B56453">
        <w:rPr>
          <w:lang w:val="en-GB"/>
        </w:rPr>
        <w:t>their</w:t>
      </w:r>
      <w:r w:rsidR="00367EA7" w:rsidRPr="00B56453">
        <w:rPr>
          <w:lang w:val="en-GB"/>
        </w:rPr>
        <w:t xml:space="preserve"> supervisors descri</w:t>
      </w:r>
      <w:r w:rsidR="00805824" w:rsidRPr="00B56453">
        <w:rPr>
          <w:lang w:val="en-GB"/>
        </w:rPr>
        <w:t xml:space="preserve">bed avoiding feedback </w:t>
      </w:r>
      <w:r w:rsidRPr="00B56453">
        <w:rPr>
          <w:lang w:val="en-GB"/>
        </w:rPr>
        <w:t>interactions</w:t>
      </w:r>
      <w:r w:rsidR="00805824" w:rsidRPr="00B56453">
        <w:rPr>
          <w:lang w:val="en-GB"/>
        </w:rPr>
        <w:t xml:space="preserve">. This is similar to the concept of </w:t>
      </w:r>
      <w:r w:rsidR="00367EA7" w:rsidRPr="00B56453">
        <w:rPr>
          <w:lang w:val="en-GB"/>
        </w:rPr>
        <w:t xml:space="preserve">defensive inferences where the learner protects themselves from further negative experiences but also has the effect of limiting SRL development as a result of this avoidance </w:t>
      </w:r>
      <w:r w:rsidR="00EF281A" w:rsidRPr="009C2746">
        <w:rPr>
          <w:lang w:val="en-GB"/>
        </w:rPr>
        <w:fldChar w:fldCharType="begin"/>
      </w:r>
      <w:r w:rsidR="008B61BE" w:rsidRPr="00B56453">
        <w:rPr>
          <w:lang w:val="en-GB"/>
        </w:rPr>
        <w:instrText xml:space="preserve"> ADDIN EN.CITE &lt;EndNote&gt;&lt;Cite&gt;&lt;Author&gt;Zimmerman&lt;/Author&gt;&lt;Year&gt;2000&lt;/Year&gt;&lt;RecNum&gt;595&lt;/RecNum&gt;&lt;DisplayText&gt;(Zimmerman 2000a)&lt;/DisplayText&gt;&lt;record&gt;&lt;rec-number&gt;595&lt;/rec-number&gt;&lt;foreign-keys&gt;&lt;key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00EF281A" w:rsidRPr="00B27F0B">
        <w:rPr>
          <w:lang w:val="en-GB"/>
        </w:rPr>
        <w:fldChar w:fldCharType="separate"/>
      </w:r>
      <w:r w:rsidR="004E5A78" w:rsidRPr="00B56453">
        <w:rPr>
          <w:noProof/>
          <w:lang w:val="en-GB"/>
        </w:rPr>
        <w:t>(</w:t>
      </w:r>
      <w:hyperlink w:anchor="_ENREF_455" w:tooltip="Zimmerman, 2000 #595" w:history="1">
        <w:r w:rsidR="0094469E" w:rsidRPr="00B56453">
          <w:rPr>
            <w:noProof/>
            <w:lang w:val="en-GB"/>
          </w:rPr>
          <w:t>Zimmerman 2000a</w:t>
        </w:r>
      </w:hyperlink>
      <w:r w:rsidR="004E5A78" w:rsidRPr="00B56453">
        <w:rPr>
          <w:noProof/>
          <w:lang w:val="en-GB"/>
        </w:rPr>
        <w:t>)</w:t>
      </w:r>
      <w:r w:rsidR="00EF281A" w:rsidRPr="009C2746">
        <w:rPr>
          <w:lang w:val="en-GB"/>
        </w:rPr>
        <w:fldChar w:fldCharType="end"/>
      </w:r>
      <w:r w:rsidR="00367EA7" w:rsidRPr="00B56453">
        <w:rPr>
          <w:lang w:val="en-GB"/>
        </w:rPr>
        <w:t>.</w:t>
      </w:r>
    </w:p>
    <w:p w14:paraId="3CA1C434" w14:textId="77777777" w:rsidR="00367EA7" w:rsidRPr="00B56453" w:rsidRDefault="00367EA7" w:rsidP="00026049">
      <w:pPr>
        <w:pStyle w:val="Normal1"/>
        <w:rPr>
          <w:lang w:val="en-GB"/>
        </w:rPr>
      </w:pPr>
    </w:p>
    <w:p w14:paraId="24F0CB8B" w14:textId="0332677B" w:rsidR="00367EA7" w:rsidRPr="00B56453" w:rsidRDefault="00367EA7" w:rsidP="00026049">
      <w:pPr>
        <w:pStyle w:val="Normal1"/>
        <w:rPr>
          <w:lang w:val="en-GB"/>
        </w:rPr>
      </w:pPr>
      <w:r w:rsidRPr="00B56453">
        <w:rPr>
          <w:lang w:val="en-GB"/>
        </w:rPr>
        <w:t xml:space="preserve">Although feedback supports SRL in clinical education </w:t>
      </w:r>
      <w:r w:rsidR="00EF281A" w:rsidRPr="009C2746">
        <w:rPr>
          <w:lang w:val="en-GB"/>
        </w:rPr>
        <w:fldChar w:fldCharType="begin"/>
      </w:r>
      <w:r w:rsidR="008B61BE" w:rsidRPr="00B56453">
        <w:rPr>
          <w:lang w:val="en-GB"/>
        </w:rPr>
        <w:instrText xml:space="preserve"> ADDIN EN.CITE &lt;EndNote&gt;&lt;Cite&gt;&lt;Author&gt;Watling&lt;/Author&gt;&lt;Year&gt;2012&lt;/Year&gt;&lt;RecNum&gt;902&lt;/RecNum&gt;&lt;DisplayText&gt;(Watling et al. 2012b)&lt;/DisplayText&gt;&lt;record&gt;&lt;rec-number&gt;902&lt;/rec-number&gt;&lt;foreign-keys&gt;&lt;key app="EN" db-id="xa2r2ewea92trkef5dt5arvbzafvpv2za5ft" timestamp="1496417604"&gt;902&lt;/key&gt;&lt;/foreign-keys&gt;&lt;ref-type name="Journal Article"&gt;17&lt;/ref-type&gt;&lt;contributors&gt;&lt;authors&gt;&lt;author&gt;Watling, Christopher&lt;/author&gt;&lt;author&gt;Driessen, Erik&lt;/author&gt;&lt;author&gt;van der Vleuten, Cees P. M.&lt;/author&gt;&lt;author&gt;Vanstone, Meredith&lt;/author&gt;&lt;author&gt;Lingard, Lorelei&lt;/author&gt;&lt;/authors&gt;&lt;/contributors&gt;&lt;titles&gt;&lt;title&gt;Understanding responses to feedback: the potential and limitations of regulatory focus theory&lt;/title&gt;&lt;secondary-title&gt;Medical education&lt;/secondary-title&gt;&lt;short-title&gt;Understanding responses to feedback: the potential and limitations of regulatory focus theory&lt;/short-title&gt;&lt;/titles&gt;&lt;periodical&gt;&lt;full-title&gt;Medical education&lt;/full-title&gt;&lt;/periodical&gt;&lt;pages&gt;593-603&lt;/pages&gt;&lt;volume&gt;46&lt;/volume&gt;&lt;number&gt;6&lt;/number&gt;&lt;dates&gt;&lt;year&gt;2012&lt;/year&gt;&lt;/dates&gt;&lt;urls&gt;&lt;/urls&gt;&lt;/record&gt;&lt;/Cite&gt;&lt;/EndNote&gt;</w:instrText>
      </w:r>
      <w:r w:rsidR="00EF281A" w:rsidRPr="00B27F0B">
        <w:rPr>
          <w:lang w:val="en-GB"/>
        </w:rPr>
        <w:fldChar w:fldCharType="separate"/>
      </w:r>
      <w:r w:rsidR="004E5A78" w:rsidRPr="00B56453">
        <w:rPr>
          <w:noProof/>
          <w:lang w:val="en-GB"/>
        </w:rPr>
        <w:t>(</w:t>
      </w:r>
      <w:hyperlink w:anchor="_ENREF_426" w:tooltip="Watling, 2012 #902" w:history="1">
        <w:r w:rsidR="0094469E" w:rsidRPr="00B56453">
          <w:rPr>
            <w:noProof/>
            <w:lang w:val="en-GB"/>
          </w:rPr>
          <w:t>Watling et al. 2012b</w:t>
        </w:r>
      </w:hyperlink>
      <w:r w:rsidR="004E5A78" w:rsidRPr="00B56453">
        <w:rPr>
          <w:noProof/>
          <w:lang w:val="en-GB"/>
        </w:rPr>
        <w:t>)</w:t>
      </w:r>
      <w:r w:rsidR="00EF281A" w:rsidRPr="009C2746">
        <w:rPr>
          <w:lang w:val="en-GB"/>
        </w:rPr>
        <w:fldChar w:fldCharType="end"/>
      </w:r>
      <w:r w:rsidRPr="00B56453">
        <w:rPr>
          <w:lang w:val="en-GB"/>
        </w:rPr>
        <w:t xml:space="preserve">, previous research has suggested that </w:t>
      </w:r>
      <w:r w:rsidR="00713C29" w:rsidRPr="00B56453">
        <w:rPr>
          <w:lang w:val="en-GB"/>
        </w:rPr>
        <w:t>SRL is usually unsupported</w:t>
      </w:r>
      <w:r w:rsidRPr="00B56453">
        <w:rPr>
          <w:lang w:val="en-GB"/>
        </w:rPr>
        <w:t xml:space="preserve"> in clinical learning contexts </w:t>
      </w:r>
      <w:r w:rsidR="00EF281A" w:rsidRPr="009C2746">
        <w:rPr>
          <w:lang w:val="en-GB"/>
        </w:rPr>
        <w:fldChar w:fldCharType="begin"/>
      </w:r>
      <w:r w:rsidR="008B61BE" w:rsidRPr="00B56453">
        <w:rPr>
          <w:lang w:val="en-GB"/>
        </w:rPr>
        <w:instrText xml:space="preserve"> ADDIN EN.CITE &lt;EndNote&gt;&lt;Cite&gt;&lt;Author&gt;Brydges&lt;/Author&gt;&lt;Year&gt;2015&lt;/Year&gt;&lt;RecNum&gt;296&lt;/RecNum&gt;&lt;DisplayText&gt;(Brydges et al. 2015)&lt;/DisplayText&gt;&lt;record&gt;&lt;rec-number&gt;296&lt;/rec-number&gt;&lt;foreign-keys&gt;&lt;key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8B61BE" w:rsidRPr="00B56453">
        <w:rPr>
          <w:rFonts w:ascii="Cambria Math" w:hAnsi="Cambria Math" w:cs="Cambria Math"/>
          <w:lang w:val="en-GB"/>
        </w:rPr>
        <w:instrText>‐</w:instrText>
      </w:r>
      <w:r w:rsidR="008B61BE" w:rsidRPr="00B56453">
        <w:rPr>
          <w:lang w:val="en-GB"/>
        </w:rPr>
        <w:instrText>regulated learning in simulation</w:instrText>
      </w:r>
      <w:r w:rsidR="008B61BE" w:rsidRPr="00B56453">
        <w:rPr>
          <w:rFonts w:ascii="Cambria Math" w:hAnsi="Cambria Math" w:cs="Cambria Math"/>
          <w:lang w:val="en-GB"/>
        </w:rPr>
        <w:instrText>‐</w:instrText>
      </w:r>
      <w:r w:rsidR="008B61BE" w:rsidRPr="00B56453">
        <w:rPr>
          <w:lang w:val="en-GB"/>
        </w:rPr>
        <w:instrText>based training: a systematic review and meta</w:instrText>
      </w:r>
      <w:r w:rsidR="008B61BE" w:rsidRPr="00B56453">
        <w:rPr>
          <w:rFonts w:ascii="Cambria Math" w:hAnsi="Cambria Math" w:cs="Cambria Math"/>
          <w:lang w:val="en-GB"/>
        </w:rPr>
        <w:instrText>‐</w:instrText>
      </w:r>
      <w:r w:rsidR="008B61B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EF281A" w:rsidRPr="00B27F0B">
        <w:rPr>
          <w:lang w:val="en-GB"/>
        </w:rPr>
        <w:fldChar w:fldCharType="separate"/>
      </w:r>
      <w:r w:rsidR="004E5A78" w:rsidRPr="00B56453">
        <w:rPr>
          <w:noProof/>
          <w:lang w:val="en-GB"/>
        </w:rPr>
        <w:t>(</w:t>
      </w:r>
      <w:hyperlink w:anchor="_ENREF_56" w:tooltip="Brydges, 2015 #18" w:history="1">
        <w:r w:rsidR="0094469E" w:rsidRPr="00B56453">
          <w:rPr>
            <w:noProof/>
            <w:lang w:val="en-GB"/>
          </w:rPr>
          <w:t>Brydges et al. 2015</w:t>
        </w:r>
      </w:hyperlink>
      <w:r w:rsidR="004E5A78" w:rsidRPr="00B56453">
        <w:rPr>
          <w:noProof/>
          <w:lang w:val="en-GB"/>
        </w:rPr>
        <w:t>)</w:t>
      </w:r>
      <w:r w:rsidR="00EF281A" w:rsidRPr="009C2746">
        <w:rPr>
          <w:lang w:val="en-GB"/>
        </w:rPr>
        <w:fldChar w:fldCharType="end"/>
      </w:r>
      <w:r w:rsidRPr="00B56453">
        <w:rPr>
          <w:lang w:val="en-GB"/>
        </w:rPr>
        <w:t xml:space="preserve">. </w:t>
      </w:r>
      <w:r w:rsidR="007A1416" w:rsidRPr="00B56453">
        <w:rPr>
          <w:lang w:val="en-GB"/>
        </w:rPr>
        <w:t>T</w:t>
      </w:r>
      <w:r w:rsidRPr="00B56453">
        <w:rPr>
          <w:lang w:val="en-GB"/>
        </w:rPr>
        <w:t>he</w:t>
      </w:r>
      <w:r w:rsidR="007A1416" w:rsidRPr="00B56453">
        <w:rPr>
          <w:lang w:val="en-GB"/>
        </w:rPr>
        <w:t xml:space="preserve"> present</w:t>
      </w:r>
      <w:r w:rsidRPr="00B56453">
        <w:rPr>
          <w:lang w:val="en-GB"/>
        </w:rPr>
        <w:t xml:space="preserve"> findings indicate that relationships that support SRL are complex and are influenced by multiple factors. The support theme was found to link strongly to the SRL themes, and examples given indicated that positive </w:t>
      </w:r>
      <w:r w:rsidR="007A1416" w:rsidRPr="00B56453">
        <w:rPr>
          <w:lang w:val="en-GB"/>
        </w:rPr>
        <w:t>relationships</w:t>
      </w:r>
      <w:r w:rsidRPr="00B56453">
        <w:rPr>
          <w:lang w:val="en-GB"/>
        </w:rPr>
        <w:t xml:space="preserve"> appeared to encourage SRL behaviour development in processes </w:t>
      </w:r>
      <w:r w:rsidR="0021662A" w:rsidRPr="00B56453">
        <w:rPr>
          <w:lang w:val="en-GB"/>
        </w:rPr>
        <w:t>including</w:t>
      </w:r>
      <w:r w:rsidRPr="00B56453">
        <w:rPr>
          <w:lang w:val="en-GB"/>
        </w:rPr>
        <w:t xml:space="preserve"> </w:t>
      </w:r>
      <w:r w:rsidRPr="00B56453">
        <w:rPr>
          <w:lang w:val="en-GB"/>
        </w:rPr>
        <w:lastRenderedPageBreak/>
        <w:t xml:space="preserve">motivational beliefs and self-evaluation. </w:t>
      </w:r>
      <w:r w:rsidR="00846AF8" w:rsidRPr="00B56453">
        <w:rPr>
          <w:lang w:val="en-GB"/>
        </w:rPr>
        <w:t>Student-s</w:t>
      </w:r>
      <w:r w:rsidRPr="00B56453">
        <w:rPr>
          <w:lang w:val="en-GB"/>
        </w:rPr>
        <w:t>upervisor relationships</w:t>
      </w:r>
      <w:r w:rsidR="00846AF8" w:rsidRPr="00B56453">
        <w:rPr>
          <w:lang w:val="en-GB"/>
        </w:rPr>
        <w:t xml:space="preserve"> that were perceived negatively </w:t>
      </w:r>
      <w:r w:rsidR="00805824" w:rsidRPr="00B56453">
        <w:rPr>
          <w:lang w:val="en-GB"/>
        </w:rPr>
        <w:t xml:space="preserve">by the student </w:t>
      </w:r>
      <w:r w:rsidR="0078618D" w:rsidRPr="00B56453">
        <w:rPr>
          <w:lang w:val="en-GB"/>
        </w:rPr>
        <w:t>were said</w:t>
      </w:r>
      <w:r w:rsidRPr="00B56453">
        <w:rPr>
          <w:lang w:val="en-GB"/>
        </w:rPr>
        <w:t xml:space="preserve"> </w:t>
      </w:r>
      <w:r w:rsidR="00846AF8" w:rsidRPr="00B56453">
        <w:rPr>
          <w:lang w:val="en-GB"/>
        </w:rPr>
        <w:t>to discourage positive</w:t>
      </w:r>
      <w:r w:rsidRPr="00B56453">
        <w:rPr>
          <w:lang w:val="en-GB"/>
        </w:rPr>
        <w:t xml:space="preserve"> SRL </w:t>
      </w:r>
      <w:r w:rsidR="00846AF8" w:rsidRPr="00B56453">
        <w:rPr>
          <w:lang w:val="en-GB"/>
        </w:rPr>
        <w:t>behaviours</w:t>
      </w:r>
      <w:r w:rsidRPr="00B56453">
        <w:rPr>
          <w:lang w:val="en-GB"/>
        </w:rPr>
        <w:t>,</w:t>
      </w:r>
      <w:r w:rsidR="00846AF8" w:rsidRPr="00B56453">
        <w:rPr>
          <w:lang w:val="en-GB"/>
        </w:rPr>
        <w:t xml:space="preserve"> particularly decreasing motivation and confidence. Students</w:t>
      </w:r>
      <w:r w:rsidRPr="00B56453">
        <w:rPr>
          <w:lang w:val="en-GB"/>
        </w:rPr>
        <w:t xml:space="preserve"> attributed </w:t>
      </w:r>
      <w:r w:rsidR="00846AF8" w:rsidRPr="00B56453">
        <w:rPr>
          <w:lang w:val="en-GB"/>
        </w:rPr>
        <w:t xml:space="preserve">this </w:t>
      </w:r>
      <w:r w:rsidRPr="00B56453">
        <w:rPr>
          <w:lang w:val="en-GB"/>
        </w:rPr>
        <w:t xml:space="preserve">to the lack of feedback available in these cases which is concerning given that medical undergraduates have been identified as a group in need of SRL support, particularly in self-efficacy </w:t>
      </w:r>
      <w:r w:rsidRPr="009C2746">
        <w:rPr>
          <w:lang w:val="en-GB"/>
        </w:rPr>
        <w:fldChar w:fldCharType="begin">
          <w:fldData xml:space="preserve">PEVuZE5vdGU+PENpdGU+PEF1dGhvcj5KZW5uaW5nczwvQXV0aG9yPjxZZWFyPjIwMDc8L1llYXI+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</w:fldData>
        </w:fldChar>
      </w:r>
      <w:r w:rsidR="008B61BE" w:rsidRPr="00B56453">
        <w:rPr>
          <w:lang w:val="en-GB"/>
        </w:rPr>
        <w:instrText xml:space="preserve"> ADDIN EN.CITE </w:instrText>
      </w:r>
      <w:r w:rsidR="008B61BE" w:rsidRPr="00B27F0B">
        <w:rPr>
          <w:lang w:val="en-GB"/>
        </w:rPr>
        <w:fldChar w:fldCharType="begin">
          <w:fldData xml:space="preserve">PEVuZE5vdGU+PENpdGU+PEF1dGhvcj5KZW5uaW5nczwvQXV0aG9yPjxZZWFyPjIwMDc8L1llYXI+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Pr="00B27F0B">
        <w:rPr>
          <w:lang w:val="en-GB"/>
        </w:rPr>
      </w:r>
      <w:r w:rsidRPr="00B27F0B">
        <w:rPr>
          <w:lang w:val="en-GB"/>
        </w:rPr>
        <w:fldChar w:fldCharType="separate"/>
      </w:r>
      <w:r w:rsidR="004E5A78" w:rsidRPr="00B56453">
        <w:rPr>
          <w:noProof/>
          <w:lang w:val="en-GB"/>
        </w:rPr>
        <w:t>(</w:t>
      </w:r>
      <w:hyperlink w:anchor="_ENREF_205" w:tooltip="Jennings, 2007 #650" w:history="1">
        <w:r w:rsidR="0094469E" w:rsidRPr="00B56453">
          <w:rPr>
            <w:noProof/>
            <w:lang w:val="en-GB"/>
          </w:rPr>
          <w:t>Jennings 2007</w:t>
        </w:r>
      </w:hyperlink>
      <w:r w:rsidR="004E5A78" w:rsidRPr="00B56453">
        <w:rPr>
          <w:noProof/>
          <w:lang w:val="en-GB"/>
        </w:rPr>
        <w:t xml:space="preserve">; </w:t>
      </w:r>
      <w:hyperlink w:anchor="_ENREF_410" w:tooltip="Turan, 2013 #596" w:history="1">
        <w:r w:rsidR="0094469E" w:rsidRPr="00B56453">
          <w:rPr>
            <w:noProof/>
            <w:lang w:val="en-GB"/>
          </w:rPr>
          <w:t>Turan et al. 2013</w:t>
        </w:r>
      </w:hyperlink>
      <w:r w:rsidR="004E5A78" w:rsidRPr="00B56453">
        <w:rPr>
          <w:noProof/>
          <w:lang w:val="en-GB"/>
        </w:rPr>
        <w:t xml:space="preserve">; </w:t>
      </w:r>
      <w:hyperlink w:anchor="_ENREF_220" w:tooltip="Klemenc-Ketis, 2014 #649" w:history="1">
        <w:r w:rsidR="0094469E" w:rsidRPr="00B56453">
          <w:rPr>
            <w:noProof/>
            <w:lang w:val="en-GB"/>
          </w:rPr>
          <w:t>Klemenc-Ketis and Kersnik 2014</w:t>
        </w:r>
      </w:hyperlink>
      <w:r w:rsidR="004E5A78" w:rsidRPr="00B56453">
        <w:rPr>
          <w:noProof/>
          <w:lang w:val="en-GB"/>
        </w:rPr>
        <w:t>)</w:t>
      </w:r>
      <w:r w:rsidRPr="009C2746">
        <w:rPr>
          <w:lang w:val="en-GB"/>
        </w:rPr>
        <w:fldChar w:fldCharType="end"/>
      </w:r>
      <w:r w:rsidRPr="00B56453">
        <w:rPr>
          <w:lang w:val="en-GB"/>
        </w:rPr>
        <w:t xml:space="preserve">. </w:t>
      </w:r>
      <w:r w:rsidR="00D942E6" w:rsidRPr="00B56453">
        <w:rPr>
          <w:lang w:val="en-GB"/>
        </w:rPr>
        <w:t>However</w:t>
      </w:r>
      <w:r w:rsidRPr="00B56453">
        <w:rPr>
          <w:lang w:val="en-GB"/>
        </w:rPr>
        <w:t xml:space="preserve"> it could be that structured SRL support for individuals who are already advanced self-regulated learners may not have a significant effect, having already attained a high level of independence </w:t>
      </w:r>
      <w:r w:rsidR="00EF281A" w:rsidRPr="009C2746">
        <w:rPr>
          <w:lang w:val="en-GB"/>
        </w:rPr>
        <w:fldChar w:fldCharType="begin"/>
      </w:r>
      <w:r w:rsidR="008B61BE" w:rsidRPr="00B56453">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00EF281A" w:rsidRPr="00B27F0B">
        <w:rPr>
          <w:lang w:val="en-GB"/>
        </w:rPr>
        <w:fldChar w:fldCharType="separate"/>
      </w:r>
      <w:r w:rsidR="004E5A78" w:rsidRPr="00B56453">
        <w:rPr>
          <w:noProof/>
          <w:lang w:val="en-GB"/>
        </w:rPr>
        <w:t>(</w:t>
      </w:r>
      <w:hyperlink w:anchor="_ENREF_87" w:tooltip="Cleary, 2013 #593" w:history="1">
        <w:r w:rsidR="0094469E" w:rsidRPr="00B56453">
          <w:rPr>
            <w:noProof/>
            <w:lang w:val="en-GB"/>
          </w:rPr>
          <w:t>Cleary et al. 2013</w:t>
        </w:r>
      </w:hyperlink>
      <w:r w:rsidR="004E5A78" w:rsidRPr="00B56453">
        <w:rPr>
          <w:noProof/>
          <w:lang w:val="en-GB"/>
        </w:rPr>
        <w:t>)</w:t>
      </w:r>
      <w:r w:rsidR="00EF281A" w:rsidRPr="009C2746">
        <w:rPr>
          <w:lang w:val="en-GB"/>
        </w:rPr>
        <w:fldChar w:fldCharType="end"/>
      </w:r>
      <w:r w:rsidRPr="00B56453">
        <w:rPr>
          <w:lang w:val="en-GB"/>
        </w:rPr>
        <w:t xml:space="preserve">. As the learners in this study were early in their medical training this </w:t>
      </w:r>
      <w:r w:rsidR="0078618D" w:rsidRPr="00B56453">
        <w:rPr>
          <w:lang w:val="en-GB"/>
        </w:rPr>
        <w:t xml:space="preserve">effect </w:t>
      </w:r>
      <w:r w:rsidRPr="00B56453">
        <w:rPr>
          <w:lang w:val="en-GB"/>
        </w:rPr>
        <w:t xml:space="preserve">was likely </w:t>
      </w:r>
      <w:r w:rsidR="0078618D" w:rsidRPr="00B56453">
        <w:rPr>
          <w:lang w:val="en-GB"/>
        </w:rPr>
        <w:t>insignificant</w:t>
      </w:r>
      <w:r w:rsidRPr="00B56453">
        <w:rPr>
          <w:lang w:val="en-GB"/>
        </w:rPr>
        <w:t xml:space="preserve"> in the sample, however more research into SRL capacity and support would provide more specific approaches to meeting a wider range of learner needs for SRL support. This is further supported by the evidence that learning cultures and support change between different </w:t>
      </w:r>
      <w:r w:rsidR="00483DED" w:rsidRPr="00B56453">
        <w:rPr>
          <w:lang w:val="en-GB"/>
        </w:rPr>
        <w:t xml:space="preserve">clinical </w:t>
      </w:r>
      <w:r w:rsidR="0078618D" w:rsidRPr="00B56453">
        <w:rPr>
          <w:lang w:val="en-GB"/>
        </w:rPr>
        <w:t>placement rotations</w:t>
      </w:r>
      <w:r w:rsidRPr="00B56453">
        <w:rPr>
          <w:lang w:val="en-GB"/>
        </w:rPr>
        <w:t xml:space="preserve">, particularly relevant given the traditional placement model this study occurs within </w:t>
      </w:r>
      <w:r w:rsidR="00EF281A" w:rsidRPr="009C2746">
        <w:rPr>
          <w:lang w:val="en-GB"/>
        </w:rPr>
        <w:fldChar w:fldCharType="begin"/>
      </w:r>
      <w:r w:rsidR="008E7D00" w:rsidRPr="00B56453">
        <w:rPr>
          <w:lang w:val="en-GB"/>
        </w:rPr>
        <w:instrText xml:space="preserve"> ADDIN EN.CITE &lt;EndNote&gt;&lt;Cite&gt;&lt;Author&gt;O&amp;apos;brien&lt;/Author&gt;&lt;Year&gt;2007&lt;/Year&gt;&lt;RecNum&gt;708&lt;/RecNum&gt;&lt;DisplayText&gt;(O&amp;apos;Brien et al. 2007)&lt;/DisplayText&gt;&lt;record&gt;&lt;rec-number&gt;708&lt;/rec-number&gt;&lt;foreign-keys&gt;&lt;key app="EN" db-id="xa2r2ewea92trkef5dt5arvbzafvpv2za5ft" timestamp="1496417569"&gt;708&lt;/key&gt;&lt;/foreign-keys&gt;&lt;ref-type name="Journal Article"&gt;17&lt;/ref-type&gt;&lt;contributors&gt;&lt;authors&gt;&lt;author&gt;O&amp;apos;Brien, Bridget&lt;/author&gt;&lt;author&gt;Cooke, Molly&lt;/author&gt;&lt;author&gt;Irby, David M&lt;/author&gt;&lt;/authors&gt;&lt;/contributors&gt;&lt;titles&gt;&lt;title&gt;Perceptions and attributions of third-year student struggles in clerkships: do students and clerkship directors agree?&lt;/title&gt;&lt;secondary-title&gt;Academic Medicine&lt;/secondary-title&gt;&lt;/titles&gt;&lt;periodical&gt;&lt;full-title&gt;Academic Medicine&lt;/full-title&gt;&lt;/periodical&gt;&lt;pages&gt;970-978&lt;/pages&gt;&lt;volume&gt;82&lt;/volume&gt;&lt;number&gt;10&lt;/number&gt;&lt;dates&gt;&lt;year&gt;2007&lt;/year&gt;&lt;/dates&gt;&lt;isbn&gt;1040-2446&lt;/isbn&gt;&lt;urls&gt;&lt;/urls&gt;&lt;/record&gt;&lt;/Cite&gt;&lt;/EndNote&gt;</w:instrText>
      </w:r>
      <w:r w:rsidR="00EF281A" w:rsidRPr="00B27F0B">
        <w:rPr>
          <w:lang w:val="en-GB"/>
        </w:rPr>
        <w:fldChar w:fldCharType="separate"/>
      </w:r>
      <w:r w:rsidR="008E7D00" w:rsidRPr="00B56453">
        <w:rPr>
          <w:noProof/>
          <w:lang w:val="en-GB"/>
        </w:rPr>
        <w:t>(</w:t>
      </w:r>
      <w:hyperlink w:anchor="_ENREF_306" w:tooltip="O'Brien, 2007 #708" w:history="1">
        <w:r w:rsidR="0094469E" w:rsidRPr="00B56453">
          <w:rPr>
            <w:noProof/>
            <w:lang w:val="en-GB"/>
          </w:rPr>
          <w:t>O'Brien et al. 2007</w:t>
        </w:r>
      </w:hyperlink>
      <w:r w:rsidR="008E7D00" w:rsidRPr="00B56453">
        <w:rPr>
          <w:noProof/>
          <w:lang w:val="en-GB"/>
        </w:rPr>
        <w:t>)</w:t>
      </w:r>
      <w:r w:rsidR="00EF281A" w:rsidRPr="009C2746">
        <w:rPr>
          <w:lang w:val="en-GB"/>
        </w:rPr>
        <w:fldChar w:fldCharType="end"/>
      </w:r>
      <w:r w:rsidRPr="00B56453">
        <w:rPr>
          <w:lang w:val="en-GB"/>
        </w:rPr>
        <w:t>.</w:t>
      </w:r>
    </w:p>
    <w:p w14:paraId="44BD665E" w14:textId="77777777" w:rsidR="00367EA7" w:rsidRPr="00B56453" w:rsidRDefault="00367EA7" w:rsidP="00026049">
      <w:pPr>
        <w:pStyle w:val="Normal1"/>
        <w:rPr>
          <w:lang w:val="en-GB"/>
        </w:rPr>
      </w:pPr>
    </w:p>
    <w:p w14:paraId="310CF9F1" w14:textId="0E935A68" w:rsidR="00367EA7" w:rsidRPr="00B56453" w:rsidRDefault="00367EA7" w:rsidP="00BA4521">
      <w:pPr>
        <w:pStyle w:val="Heading3"/>
      </w:pPr>
      <w:bookmarkStart w:id="466" w:name="_Toc500319445"/>
      <w:r w:rsidRPr="00B56453">
        <w:t>D</w:t>
      </w:r>
      <w:r w:rsidR="00BF6160" w:rsidRPr="00B56453">
        <w:t>2</w:t>
      </w:r>
      <w:r w:rsidRPr="00B56453">
        <w:t>.</w:t>
      </w:r>
      <w:r w:rsidR="001D4869" w:rsidRPr="00B56453">
        <w:t>4</w:t>
      </w:r>
      <w:r w:rsidR="0051568B" w:rsidRPr="00B56453">
        <w:t>.3 Feedback B</w:t>
      </w:r>
      <w:r w:rsidRPr="00B56453">
        <w:t>ehaviours</w:t>
      </w:r>
      <w:bookmarkEnd w:id="466"/>
    </w:p>
    <w:p w14:paraId="4A09CC92" w14:textId="77777777" w:rsidR="00367EA7" w:rsidRPr="00B56453" w:rsidRDefault="00367EA7" w:rsidP="00367EA7"/>
    <w:p w14:paraId="59DD6B90" w14:textId="50D505C2" w:rsidR="00367EA7" w:rsidRPr="00B56453" w:rsidRDefault="00367EA7" w:rsidP="00026049">
      <w:pPr>
        <w:pStyle w:val="Normal1"/>
        <w:rPr>
          <w:lang w:val="en-GB"/>
        </w:rPr>
      </w:pPr>
      <w:r w:rsidRPr="00B56453">
        <w:rPr>
          <w:lang w:val="en-GB"/>
        </w:rPr>
        <w:t xml:space="preserve">The </w:t>
      </w:r>
      <w:r w:rsidR="00623AB1" w:rsidRPr="00B56453">
        <w:rPr>
          <w:lang w:val="en-GB"/>
        </w:rPr>
        <w:t xml:space="preserve">feedback behaviours </w:t>
      </w:r>
      <w:r w:rsidRPr="00B56453">
        <w:rPr>
          <w:lang w:val="en-GB"/>
        </w:rPr>
        <w:t>thematic model</w:t>
      </w:r>
      <w:r w:rsidR="00D942E6" w:rsidRPr="00B56453">
        <w:rPr>
          <w:lang w:val="en-GB"/>
        </w:rPr>
        <w:t xml:space="preserve"> (Figure C2.4, page </w:t>
      </w:r>
      <w:r w:rsidR="0094469E" w:rsidRPr="00B56453">
        <w:rPr>
          <w:lang w:val="en-GB"/>
        </w:rPr>
        <w:t>163</w:t>
      </w:r>
      <w:r w:rsidR="00D942E6" w:rsidRPr="00B56453">
        <w:rPr>
          <w:lang w:val="en-GB"/>
        </w:rPr>
        <w:t>)</w:t>
      </w:r>
      <w:r w:rsidRPr="00B56453">
        <w:rPr>
          <w:lang w:val="en-GB"/>
        </w:rPr>
        <w:t xml:space="preserve"> shows the complexity of </w:t>
      </w:r>
      <w:r w:rsidR="00623AB1" w:rsidRPr="00B56453">
        <w:rPr>
          <w:lang w:val="en-GB"/>
        </w:rPr>
        <w:t>students</w:t>
      </w:r>
      <w:r w:rsidR="00183CFD" w:rsidRPr="00B56453">
        <w:rPr>
          <w:lang w:val="en-GB"/>
        </w:rPr>
        <w:t>’</w:t>
      </w:r>
      <w:r w:rsidRPr="00B56453">
        <w:rPr>
          <w:lang w:val="en-GB"/>
        </w:rPr>
        <w:t xml:space="preserve"> perceptions with many interrelated </w:t>
      </w:r>
      <w:r w:rsidR="00183CFD" w:rsidRPr="00B56453">
        <w:rPr>
          <w:lang w:val="en-GB"/>
        </w:rPr>
        <w:t>links</w:t>
      </w:r>
      <w:r w:rsidRPr="00B56453">
        <w:rPr>
          <w:lang w:val="en-GB"/>
        </w:rPr>
        <w:t xml:space="preserve"> and influences upon feedback interactions. This com</w:t>
      </w:r>
      <w:r w:rsidR="00183CFD" w:rsidRPr="00B56453">
        <w:rPr>
          <w:lang w:val="en-GB"/>
        </w:rPr>
        <w:t>plexity was expected as learner</w:t>
      </w:r>
      <w:r w:rsidRPr="00B56453">
        <w:rPr>
          <w:lang w:val="en-GB"/>
        </w:rPr>
        <w:t xml:space="preserve"> perceptions of feedback have lo</w:t>
      </w:r>
      <w:r w:rsidR="00183CFD" w:rsidRPr="00B56453">
        <w:rPr>
          <w:lang w:val="en-GB"/>
        </w:rPr>
        <w:t>ng been shrouded in uncertainty. M</w:t>
      </w:r>
      <w:r w:rsidRPr="00B56453">
        <w:rPr>
          <w:lang w:val="en-GB"/>
        </w:rPr>
        <w:t xml:space="preserve">any factors impact upon this process in general as well as in clinical education contexts </w:t>
      </w:r>
      <w:r w:rsidRPr="009C2746">
        <w:rPr>
          <w:lang w:val="en-GB"/>
        </w:rPr>
        <w:fldChar w:fldCharType="begin"/>
      </w:r>
      <w:r w:rsidR="008443D6" w:rsidRPr="00B56453">
        <w:rPr>
          <w:lang w:val="en-GB"/>
        </w:rPr>
        <w:instrText xml:space="preserve"> ADDIN EN.CITE &lt;EndNote&gt;&lt;Cite&gt;&lt;Author&gt;Branch&lt;/Author&gt;&lt;Year&gt;2002&lt;/Year&gt;&lt;RecNum&gt;294&lt;/RecNum&gt;&lt;DisplayText&gt;(Branch and Paranjape 2002; Van de Ridder et al. 2015)&lt;/DisplayText&gt;&lt;record&gt;&lt;rec-number&gt;294&lt;/rec-number&gt;&lt;foreign-keys&gt;&lt;key app="EN" db-id="xa2r2ewea92trkef5dt5arvbzafvpv2za5ft" timestamp="1496417531"&gt;294&lt;/key&gt;&lt;/foreign-keys&gt;&lt;ref-type name="Journal Article"&gt;17&lt;/ref-type&gt;&lt;contributors&gt;&lt;authors&gt;&lt;author&gt;Branch, William T.&lt;/author&gt;&lt;author&gt;Paranjape, Anuradha&lt;/author&gt;&lt;/authors&gt;&lt;/contributors&gt;&lt;titles&gt;&lt;title&gt;Feedback and reflection: teaching methods for clinical settings&lt;/title&gt;&lt;secondary-title&gt;Academic Medicine&lt;/secondary-title&gt;&lt;/titles&gt;&lt;periodical&gt;&lt;full-title&gt;Academic Medicine&lt;/full-title&gt;&lt;/periodical&gt;&lt;pages&gt;1185-1188&lt;/pages&gt;&lt;volume&gt;77&lt;/volume&gt;&lt;number&gt;12, Part 1&lt;/number&gt;&lt;dates&gt;&lt;year&gt;2002&lt;/year&gt;&lt;/dates&gt;&lt;publisher&gt;LWW&lt;/publisher&gt;&lt;urls&gt;&lt;/urls&gt;&lt;/record&gt;&lt;/Cite&gt;&lt;Cite&gt;&lt;Author&gt;Ridder&lt;/Author&gt;&lt;Year&gt;2015&lt;/Year&gt;&lt;RecNum&gt;211&lt;/RecNum&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sidRPr="00B56453">
        <w:rPr>
          <w:rFonts w:ascii="Cambria Math" w:hAnsi="Cambria Math" w:cs="Cambria Math"/>
          <w:lang w:val="en-GB"/>
        </w:rPr>
        <w:instrText>‐</w:instrText>
      </w:r>
      <w:r w:rsidR="008443D6" w:rsidRPr="00B56453">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Pr="00B27F0B">
        <w:rPr>
          <w:lang w:val="en-GB"/>
        </w:rPr>
        <w:fldChar w:fldCharType="separate"/>
      </w:r>
      <w:r w:rsidR="00782498" w:rsidRPr="00B56453">
        <w:rPr>
          <w:noProof/>
          <w:lang w:val="en-GB"/>
        </w:rPr>
        <w:t>(</w:t>
      </w:r>
      <w:hyperlink w:anchor="_ENREF_52" w:tooltip="Branch, 2002 #17" w:history="1">
        <w:r w:rsidR="0094469E" w:rsidRPr="00B56453">
          <w:rPr>
            <w:noProof/>
            <w:lang w:val="en-GB"/>
          </w:rPr>
          <w:t>Branch and Paranjape 2002</w:t>
        </w:r>
      </w:hyperlink>
      <w:r w:rsidR="00782498" w:rsidRPr="00B56453">
        <w:rPr>
          <w:noProof/>
          <w:lang w:val="en-GB"/>
        </w:rPr>
        <w:t xml:space="preserve">; </w:t>
      </w:r>
      <w:hyperlink w:anchor="_ENREF_416" w:tooltip="Van de Ridder, 2015 #211" w:history="1">
        <w:r w:rsidR="0094469E" w:rsidRPr="00B56453">
          <w:rPr>
            <w:noProof/>
            <w:lang w:val="en-GB"/>
          </w:rPr>
          <w:t>Van de Ridder et al. 2015</w:t>
        </w:r>
      </w:hyperlink>
      <w:r w:rsidR="00782498" w:rsidRPr="00B56453">
        <w:rPr>
          <w:noProof/>
          <w:lang w:val="en-GB"/>
        </w:rPr>
        <w:t>)</w:t>
      </w:r>
      <w:r w:rsidRPr="009C2746">
        <w:rPr>
          <w:lang w:val="en-GB"/>
        </w:rPr>
        <w:fldChar w:fldCharType="end"/>
      </w:r>
      <w:r w:rsidRPr="00B56453">
        <w:rPr>
          <w:lang w:val="en-GB"/>
        </w:rPr>
        <w:t>. There were some differences identified between those in the SRLF and BPF groups, particularly in how learners viewed the relationships between context, support factors, and perceived confidence. The feedback behaviours thematic model illustrates the themes which contributed to the learners perceptions of their feedback behaviours with the supportive theme at the centre, suggesting that super</w:t>
      </w:r>
      <w:r w:rsidR="00630F67" w:rsidRPr="00B56453">
        <w:rPr>
          <w:lang w:val="en-GB"/>
        </w:rPr>
        <w:t xml:space="preserve">visors play a </w:t>
      </w:r>
      <w:r w:rsidR="00D942E6" w:rsidRPr="00B56453">
        <w:rPr>
          <w:lang w:val="en-GB"/>
        </w:rPr>
        <w:t>pivotal</w:t>
      </w:r>
      <w:r w:rsidR="00630F67" w:rsidRPr="00B56453">
        <w:rPr>
          <w:lang w:val="en-GB"/>
        </w:rPr>
        <w:t xml:space="preserve"> role.</w:t>
      </w:r>
    </w:p>
    <w:p w14:paraId="1E746B6D" w14:textId="77777777" w:rsidR="00367EA7" w:rsidRPr="00B56453" w:rsidRDefault="00367EA7" w:rsidP="00026049">
      <w:pPr>
        <w:pStyle w:val="Normal1"/>
        <w:rPr>
          <w:lang w:val="en-GB"/>
        </w:rPr>
      </w:pPr>
    </w:p>
    <w:p w14:paraId="7349EE97" w14:textId="75BF6EBE" w:rsidR="00367EA7" w:rsidRPr="00B56453" w:rsidRDefault="00367EA7" w:rsidP="00026049">
      <w:pPr>
        <w:pStyle w:val="Normal1"/>
        <w:rPr>
          <w:lang w:val="en-GB"/>
        </w:rPr>
      </w:pPr>
      <w:r w:rsidRPr="00B56453">
        <w:rPr>
          <w:lang w:val="en-GB"/>
        </w:rPr>
        <w:t xml:space="preserve">Credibility judgements had a </w:t>
      </w:r>
      <w:r w:rsidR="00183CFD" w:rsidRPr="00B56453">
        <w:rPr>
          <w:lang w:val="en-GB"/>
        </w:rPr>
        <w:t>significant impact upon learners’</w:t>
      </w:r>
      <w:r w:rsidRPr="00B56453">
        <w:rPr>
          <w:lang w:val="en-GB"/>
        </w:rPr>
        <w:t xml:space="preserve"> perceptions of feedback and their own feedback needs related to their learning behaviours. This was most </w:t>
      </w:r>
      <w:r w:rsidR="00183CFD" w:rsidRPr="00B56453">
        <w:rPr>
          <w:lang w:val="en-GB"/>
        </w:rPr>
        <w:t>prevalent in terms of seniority;</w:t>
      </w:r>
      <w:r w:rsidRPr="00B56453">
        <w:rPr>
          <w:lang w:val="en-GB"/>
        </w:rPr>
        <w:t xml:space="preserve"> learners described how they were much more likely to accept feedback with less reservations if the giver was more senior. They were more likely to </w:t>
      </w:r>
      <w:r w:rsidR="00183CFD" w:rsidRPr="00B56453">
        <w:rPr>
          <w:lang w:val="en-GB"/>
        </w:rPr>
        <w:t xml:space="preserve">describe </w:t>
      </w:r>
      <w:r w:rsidRPr="00B56453">
        <w:rPr>
          <w:lang w:val="en-GB"/>
        </w:rPr>
        <w:t>question</w:t>
      </w:r>
      <w:r w:rsidR="00183CFD" w:rsidRPr="00B56453">
        <w:rPr>
          <w:lang w:val="en-GB"/>
        </w:rPr>
        <w:t xml:space="preserve">ing or </w:t>
      </w:r>
      <w:r w:rsidR="00FC0FFB" w:rsidRPr="00B56453">
        <w:rPr>
          <w:lang w:val="en-GB"/>
        </w:rPr>
        <w:t>critiquing</w:t>
      </w:r>
      <w:r w:rsidRPr="00B56453">
        <w:rPr>
          <w:lang w:val="en-GB"/>
        </w:rPr>
        <w:t xml:space="preserve"> feedback which was given to them by a junior doctor or patient. This impact is already well established in the medical education </w:t>
      </w:r>
      <w:r w:rsidRPr="00B56453">
        <w:rPr>
          <w:lang w:val="en-GB"/>
        </w:rPr>
        <w:lastRenderedPageBreak/>
        <w:t xml:space="preserve">literature and </w:t>
      </w:r>
      <w:r w:rsidR="00183CFD" w:rsidRPr="00B56453">
        <w:rPr>
          <w:lang w:val="en-GB"/>
        </w:rPr>
        <w:t>could be anticipated</w:t>
      </w:r>
      <w:r w:rsidRPr="00B56453">
        <w:rPr>
          <w:lang w:val="en-GB"/>
        </w:rPr>
        <w:t xml:space="preserve"> given the multi-source feedback available in clinical environments </w:t>
      </w:r>
      <w:r w:rsidRPr="009C2746">
        <w:rPr>
          <w:lang w:val="en-GB"/>
        </w:rPr>
        <w:fldChar w:fldCharType="begin"/>
      </w:r>
      <w:r w:rsidR="008443D6" w:rsidRPr="00B56453">
        <w:rPr>
          <w:lang w:val="en-GB"/>
        </w:rPr>
        <w:instrText xml:space="preserve"> ADDIN EN.CITE &lt;EndNote&gt;&lt;Cite&gt;&lt;Author&gt;Sargeant&lt;/Author&gt;&lt;Year&gt;2005&lt;/Year&gt;&lt;RecNum&gt;889&lt;/RecNum&gt;&lt;DisplayText&gt;(Sargeant et al. 2005; Van de Ridder et al. 2014)&lt;/DisplayText&gt;&lt;record&gt;&lt;rec-number&gt;889&lt;/rec-number&gt;&lt;foreign-keys&gt;&lt;key app="EN" db-id="xa2r2ewea92trkef5dt5arvbzafvpv2za5ft" timestamp="1496417603"&gt;889&lt;/key&gt;&lt;/foreign-keys&gt;&lt;ref-type name="Journal Article"&gt;17&lt;/ref-type&gt;&lt;contributors&gt;&lt;authors&gt;&lt;author&gt;Sargeant, Joan&lt;/author&gt;&lt;author&gt;Mann, Karen&lt;/author&gt;&lt;author&gt;Ferrier, Suzanne&lt;/author&gt;&lt;/authors&gt;&lt;/contributors&gt;&lt;titles&gt;&lt;title&gt;Exploring family physicians&amp;apos; reactions to multisource feedback: perceptions of credibility and usefulness&lt;/title&gt;&lt;secondary-title&gt;Medical education&lt;/secondary-title&gt;&lt;short-title&gt;Exploring family physicians&amp;apos; reactions to multisource feedback: perceptions of credibility and usefulness&lt;/short-title&gt;&lt;/titles&gt;&lt;periodical&gt;&lt;full-title&gt;Medical education&lt;/full-title&gt;&lt;/periodical&gt;&lt;pages&gt;497-504&lt;/pages&gt;&lt;volume&gt;39&lt;/volume&gt;&lt;number&gt;5&lt;/number&gt;&lt;dates&gt;&lt;year&gt;2005&lt;/year&gt;&lt;/dates&gt;&lt;urls&gt;&lt;/urls&gt;&lt;/record&gt;&lt;/Cite&gt;&lt;Cite&gt;&lt;Author&gt;Van De Ridder&lt;/Author&gt;&lt;Year&gt;2014&lt;/Year&gt;&lt;RecNum&gt;524&lt;/RecNum&gt;&lt;record&gt;&lt;rec-number&gt;524&lt;/rec-number&gt;&lt;foreign-keys&gt;&lt;key app="EN" db-id="xa2r2ewea92trkef5dt5arvbzafvpv2za5ft" timestamp="1496417551"&gt;524&lt;/key&gt;&lt;/foreign-keys&gt;&lt;ref-type name="Journal Article"&gt;17&lt;/ref-type&gt;&lt;contributors&gt;&lt;authors&gt;&lt;author&gt;Van de Ridder, J. M. Monica&lt;/author&gt;&lt;author&gt;Berk, Francisca C. J.&lt;/author&gt;&lt;author&gt;Stokking, Karel M.&lt;/author&gt;&lt;author&gt;Ten Cate, Olle Th J.&lt;/author&gt;&lt;/authors&gt;&lt;/contributors&gt;&lt;titles&gt;&lt;title&gt;Feedback providers&amp;apos; credibility impacts students&amp;apos; satisfaction with feedback and delayed performance&lt;/title&gt;&lt;secondary-title&gt;Medical teacher&lt;/secondary-title&gt;&lt;/titles&gt;&lt;periodical&gt;&lt;full-title&gt;Medical teacher&lt;/full-title&gt;&lt;/periodical&gt;&lt;pages&gt;1-8&lt;/pages&gt;&lt;volume&gt;37&lt;/volume&gt;&lt;number&gt;8&lt;/number&gt;&lt;dates&gt;&lt;year&gt;2014&lt;/year&gt;&lt;/dates&gt;&lt;publisher&gt;Informa UK Ltd. London&lt;/publisher&gt;&lt;urls&gt;&lt;/urls&gt;&lt;/record&gt;&lt;/Cite&gt;&lt;/EndNote&gt;</w:instrText>
      </w:r>
      <w:r w:rsidRPr="00B27F0B">
        <w:rPr>
          <w:lang w:val="en-GB"/>
        </w:rPr>
        <w:fldChar w:fldCharType="separate"/>
      </w:r>
      <w:r w:rsidR="00782498" w:rsidRPr="00B56453">
        <w:rPr>
          <w:noProof/>
          <w:lang w:val="en-GB"/>
        </w:rPr>
        <w:t>(</w:t>
      </w:r>
      <w:hyperlink w:anchor="_ENREF_359" w:tooltip="Sargeant, 2005 #889" w:history="1">
        <w:r w:rsidR="0094469E" w:rsidRPr="00B56453">
          <w:rPr>
            <w:noProof/>
            <w:lang w:val="en-GB"/>
          </w:rPr>
          <w:t>Sargeant et al. 2005</w:t>
        </w:r>
      </w:hyperlink>
      <w:r w:rsidR="00782498" w:rsidRPr="00B56453">
        <w:rPr>
          <w:noProof/>
          <w:lang w:val="en-GB"/>
        </w:rPr>
        <w:t xml:space="preserve">; </w:t>
      </w:r>
      <w:hyperlink w:anchor="_ENREF_415" w:tooltip="Van de Ridder, 2014 #524" w:history="1">
        <w:r w:rsidR="0094469E" w:rsidRPr="00B56453">
          <w:rPr>
            <w:noProof/>
            <w:lang w:val="en-GB"/>
          </w:rPr>
          <w:t>Van de Ridder et al. 2014</w:t>
        </w:r>
      </w:hyperlink>
      <w:r w:rsidR="00782498" w:rsidRPr="00B56453">
        <w:rPr>
          <w:noProof/>
          <w:lang w:val="en-GB"/>
        </w:rPr>
        <w:t>)</w:t>
      </w:r>
      <w:r w:rsidRPr="009C2746">
        <w:rPr>
          <w:lang w:val="en-GB"/>
        </w:rPr>
        <w:fldChar w:fldCharType="end"/>
      </w:r>
      <w:r w:rsidR="00183CFD" w:rsidRPr="00B56453">
        <w:rPr>
          <w:lang w:val="en-GB"/>
        </w:rPr>
        <w:t>. The student</w:t>
      </w:r>
      <w:r w:rsidRPr="00B56453">
        <w:rPr>
          <w:lang w:val="en-GB"/>
        </w:rPr>
        <w:t>s</w:t>
      </w:r>
      <w:r w:rsidR="00183CFD" w:rsidRPr="00B56453">
        <w:rPr>
          <w:lang w:val="en-GB"/>
        </w:rPr>
        <w:t>’</w:t>
      </w:r>
      <w:r w:rsidRPr="00B56453">
        <w:rPr>
          <w:lang w:val="en-GB"/>
        </w:rPr>
        <w:t xml:space="preserve"> stage of learning was also a factor in feedback behaviours, manifesting in how they described their learning priorities also related to feedback credibility. </w:t>
      </w:r>
      <w:r w:rsidR="00846AF8" w:rsidRPr="00B56453">
        <w:rPr>
          <w:lang w:val="en-GB"/>
        </w:rPr>
        <w:t>Many articulated that they much preferred feedback which was encouraging and positive, a few students reflected upon this during data collection and described how they really should be looking for developmental feedback that would help them improve</w:t>
      </w:r>
      <w:r w:rsidRPr="00B56453">
        <w:rPr>
          <w:lang w:val="en-GB"/>
        </w:rPr>
        <w:t xml:space="preserve">. Younger learners generally seek positive performance related feedback which affirms their own self-beliefs, although their feedback needs change as they progress, emulating the latter example of improvement focused feedback </w:t>
      </w:r>
      <w:r w:rsidR="00EF281A" w:rsidRPr="009C2746">
        <w:rPr>
          <w:lang w:val="en-GB"/>
        </w:rPr>
        <w:fldChar w:fldCharType="begin"/>
      </w:r>
      <w:r w:rsidR="008B61BE" w:rsidRPr="00B56453">
        <w:rPr>
          <w:lang w:val="en-GB"/>
        </w:rPr>
        <w:instrText xml:space="preserve"> ADDIN EN.CITE &lt;EndNote&gt;&lt;Cite&gt;&lt;Author&gt;Murdoch</w:instrText>
      </w:r>
      <w:r w:rsidR="008B61BE" w:rsidRPr="00B56453">
        <w:rPr>
          <w:rFonts w:ascii="Cambria Math" w:hAnsi="Cambria Math" w:cs="Cambria Math"/>
          <w:lang w:val="en-GB"/>
        </w:rPr>
        <w:instrText>‐</w:instrText>
      </w:r>
      <w:r w:rsidR="008B61BE" w:rsidRPr="00B56453">
        <w:rPr>
          <w:lang w:val="en-GB"/>
        </w:rPr>
        <w:instrText>Eaton&lt;/Author&gt;&lt;Year&gt;2012&lt;/Year&gt;&lt;RecNum&gt;179&lt;/RecNum&gt;&lt;DisplayText&gt;(Murdoch</w:instrText>
      </w:r>
      <w:r w:rsidR="008B61BE" w:rsidRPr="00B56453">
        <w:rPr>
          <w:rFonts w:ascii="Cambria Math" w:hAnsi="Cambria Math" w:cs="Cambria Math"/>
          <w:lang w:val="en-GB"/>
        </w:rPr>
        <w:instrText>‐</w:instrText>
      </w:r>
      <w:r w:rsidR="008B61BE" w:rsidRPr="00B56453">
        <w:rPr>
          <w:lang w:val="en-GB"/>
        </w:rPr>
        <w:instrText>Eaton and Sargeant 2012)&lt;/DisplayText&gt;&lt;record&gt;&lt;rec-number&gt;179&lt;/rec-number&gt;&lt;foreign-keys&gt;&lt;key app="EN" db-id="xa2r2ewea92trkef5dt5arvbzafvpv2za5ft" timestamp="1442161765"&gt;179&lt;/key&gt;&lt;/foreign-keys&gt;&lt;ref-type name="Journal Article"&gt;17&lt;/ref-type&gt;&lt;contributors&gt;&lt;authors&gt;&lt;author&gt;Murdoch</w:instrText>
      </w:r>
      <w:r w:rsidR="008B61BE" w:rsidRPr="00B56453">
        <w:rPr>
          <w:rFonts w:ascii="Cambria Math" w:hAnsi="Cambria Math" w:cs="Cambria Math"/>
          <w:lang w:val="en-GB"/>
        </w:rPr>
        <w:instrText>‐</w:instrText>
      </w:r>
      <w:r w:rsidR="008B61BE" w:rsidRPr="00B56453">
        <w:rPr>
          <w:lang w:val="en-GB"/>
        </w:rPr>
        <w:instrText>Eaton, Deborah&lt;/author&gt;&lt;author&gt;Sargeant, Joan&lt;/author&gt;&lt;/authors&gt;&lt;/contributors&gt;&lt;titles&gt;&lt;title&gt;Maturational differences in undergraduate medical students’ perceptions about feedback&lt;/title&gt;&lt;secondary-title&gt;Medical education&lt;/secondary-title&gt;&lt;/titles&gt;&lt;periodical&gt;&lt;full-title&gt;Medical education&lt;/full-title&gt;&lt;/periodical&gt;&lt;pages&gt;711-721&lt;/pages&gt;&lt;volume&gt;46&lt;/volume&gt;&lt;number&gt;7&lt;/number&gt;&lt;dates&gt;&lt;year&gt;2012&lt;/year&gt;&lt;/dates&gt;&lt;publisher&gt;Wiley Online Library&lt;/publisher&gt;&lt;urls&gt;&lt;related-urls&gt;&lt;url&gt;http://onlinelibrary.wiley.com/store/10.1111/j.1365-2923.2012.04291.x/asset/j.1365-2923.2012.04291.x.pdf?v=1&amp;amp;t=ieiq1535&amp;amp;s=3d2031e70f9574ede859e51689081ca984a5b52e&lt;/url&gt;&lt;/related-urls&gt;&lt;/urls&gt;&lt;/record&gt;&lt;/Cite&gt;&lt;/EndNote&gt;</w:instrText>
      </w:r>
      <w:r w:rsidR="00EF281A" w:rsidRPr="00B27F0B">
        <w:rPr>
          <w:lang w:val="en-GB"/>
        </w:rPr>
        <w:fldChar w:fldCharType="separate"/>
      </w:r>
      <w:r w:rsidR="004E5A78" w:rsidRPr="00B56453">
        <w:rPr>
          <w:noProof/>
          <w:lang w:val="en-GB"/>
        </w:rPr>
        <w:t>(</w:t>
      </w:r>
      <w:hyperlink w:anchor="_ENREF_294" w:tooltip="Murdoch‐Eaton, 2012 #179" w:history="1">
        <w:r w:rsidR="0094469E" w:rsidRPr="00B56453">
          <w:rPr>
            <w:noProof/>
            <w:lang w:val="en-GB"/>
          </w:rPr>
          <w:t>Murdoch</w:t>
        </w:r>
        <w:r w:rsidR="0094469E" w:rsidRPr="00B56453">
          <w:rPr>
            <w:rFonts w:ascii="Cambria Math" w:hAnsi="Cambria Math" w:cs="Cambria Math"/>
            <w:noProof/>
            <w:lang w:val="en-GB"/>
          </w:rPr>
          <w:t>‐</w:t>
        </w:r>
        <w:r w:rsidR="0094469E" w:rsidRPr="00B56453">
          <w:rPr>
            <w:noProof/>
            <w:lang w:val="en-GB"/>
          </w:rPr>
          <w:t>Eaton and Sargeant 2012</w:t>
        </w:r>
      </w:hyperlink>
      <w:r w:rsidR="004E5A78" w:rsidRPr="00B56453">
        <w:rPr>
          <w:noProof/>
          <w:lang w:val="en-GB"/>
        </w:rPr>
        <w:t>)</w:t>
      </w:r>
      <w:r w:rsidR="00EF281A" w:rsidRPr="009C2746">
        <w:rPr>
          <w:lang w:val="en-GB"/>
        </w:rPr>
        <w:fldChar w:fldCharType="end"/>
      </w:r>
      <w:r w:rsidRPr="00B56453">
        <w:rPr>
          <w:lang w:val="en-GB"/>
        </w:rPr>
        <w:t xml:space="preserve">. </w:t>
      </w:r>
    </w:p>
    <w:p w14:paraId="76530752" w14:textId="77777777" w:rsidR="00367EA7" w:rsidRPr="00B56453" w:rsidRDefault="00367EA7" w:rsidP="00026049">
      <w:pPr>
        <w:pStyle w:val="Normal1"/>
        <w:rPr>
          <w:lang w:val="en-GB"/>
        </w:rPr>
      </w:pPr>
    </w:p>
    <w:p w14:paraId="6A4CC75A" w14:textId="0D31DBFA" w:rsidR="00367EA7" w:rsidRPr="00B56453" w:rsidRDefault="00367EA7" w:rsidP="00026049">
      <w:pPr>
        <w:pStyle w:val="Normal1"/>
        <w:rPr>
          <w:lang w:val="en-GB"/>
        </w:rPr>
      </w:pPr>
      <w:r w:rsidRPr="00B56453">
        <w:rPr>
          <w:lang w:val="en-GB"/>
        </w:rPr>
        <w:t xml:space="preserve">If learners were focused upon assessment activities, they were more likely </w:t>
      </w:r>
      <w:r w:rsidR="00183CFD" w:rsidRPr="00B56453">
        <w:rPr>
          <w:lang w:val="en-GB"/>
        </w:rPr>
        <w:t xml:space="preserve">to </w:t>
      </w:r>
      <w:r w:rsidR="006040AC" w:rsidRPr="00B56453">
        <w:rPr>
          <w:lang w:val="en-GB"/>
        </w:rPr>
        <w:t>desc</w:t>
      </w:r>
      <w:r w:rsidR="00183CFD" w:rsidRPr="00B56453">
        <w:rPr>
          <w:lang w:val="en-GB"/>
        </w:rPr>
        <w:t>ribe</w:t>
      </w:r>
      <w:r w:rsidR="006040AC" w:rsidRPr="00B56453">
        <w:rPr>
          <w:lang w:val="en-GB"/>
        </w:rPr>
        <w:t xml:space="preserve"> pursuing</w:t>
      </w:r>
      <w:r w:rsidRPr="00B56453">
        <w:rPr>
          <w:lang w:val="en-GB"/>
        </w:rPr>
        <w:t xml:space="preserve"> feedback related to these activities as o</w:t>
      </w:r>
      <w:r w:rsidR="006040AC" w:rsidRPr="00B56453">
        <w:rPr>
          <w:lang w:val="en-GB"/>
        </w:rPr>
        <w:t>pposed to other feedback</w:t>
      </w:r>
      <w:r w:rsidRPr="00B56453">
        <w:rPr>
          <w:lang w:val="en-GB"/>
        </w:rPr>
        <w:t xml:space="preserve">. This </w:t>
      </w:r>
      <w:r w:rsidR="006040AC" w:rsidRPr="00B56453">
        <w:rPr>
          <w:lang w:val="en-GB"/>
        </w:rPr>
        <w:t>appeared to create</w:t>
      </w:r>
      <w:r w:rsidRPr="00B56453">
        <w:rPr>
          <w:lang w:val="en-GB"/>
        </w:rPr>
        <w:t xml:space="preserve"> a misalignment between learner</w:t>
      </w:r>
      <w:r w:rsidR="00183CFD" w:rsidRPr="00B56453">
        <w:rPr>
          <w:lang w:val="en-GB"/>
        </w:rPr>
        <w:t>s and supervisors in some cases;</w:t>
      </w:r>
      <w:r w:rsidRPr="00B56453">
        <w:rPr>
          <w:lang w:val="en-GB"/>
        </w:rPr>
        <w:t xml:space="preserve"> learners described disregarding </w:t>
      </w:r>
      <w:r w:rsidR="006040AC" w:rsidRPr="00B56453">
        <w:rPr>
          <w:lang w:val="en-GB"/>
        </w:rPr>
        <w:t xml:space="preserve">some </w:t>
      </w:r>
      <w:r w:rsidRPr="00B56453">
        <w:rPr>
          <w:lang w:val="en-GB"/>
        </w:rPr>
        <w:t>feedback from their supervisors if it was</w:t>
      </w:r>
      <w:r w:rsidR="006040AC" w:rsidRPr="00B56453">
        <w:rPr>
          <w:lang w:val="en-GB"/>
        </w:rPr>
        <w:t xml:space="preserve"> not aligned to their </w:t>
      </w:r>
      <w:r w:rsidR="009D30A3" w:rsidRPr="00B56453">
        <w:rPr>
          <w:lang w:val="en-GB"/>
        </w:rPr>
        <w:t xml:space="preserve">own </w:t>
      </w:r>
      <w:r w:rsidR="006040AC" w:rsidRPr="00B56453">
        <w:rPr>
          <w:lang w:val="en-GB"/>
        </w:rPr>
        <w:t>learning priorities</w:t>
      </w:r>
      <w:r w:rsidRPr="00B56453">
        <w:rPr>
          <w:lang w:val="en-GB"/>
        </w:rPr>
        <w:t xml:space="preserve">. Clinical learning goals are not always clear for the learner or the supervisor. Evidence suggests that clinical teachers </w:t>
      </w:r>
      <w:r w:rsidR="00D942E6" w:rsidRPr="00B56453">
        <w:rPr>
          <w:lang w:val="en-GB"/>
        </w:rPr>
        <w:t>may</w:t>
      </w:r>
      <w:r w:rsidRPr="00B56453">
        <w:rPr>
          <w:lang w:val="en-GB"/>
        </w:rPr>
        <w:t xml:space="preserve"> not adequately grasp the learning needs and processes of learners on </w:t>
      </w:r>
      <w:r w:rsidR="00483DED" w:rsidRPr="00B56453">
        <w:rPr>
          <w:lang w:val="en-GB"/>
        </w:rPr>
        <w:t xml:space="preserve">clinical </w:t>
      </w:r>
      <w:r w:rsidRPr="00B56453">
        <w:rPr>
          <w:lang w:val="en-GB"/>
        </w:rPr>
        <w:t xml:space="preserve">placement and feel pressure from balancing both professional and educational commitments while supervising students </w:t>
      </w:r>
      <w:r w:rsidR="00EF281A" w:rsidRPr="009C2746">
        <w:rPr>
          <w:lang w:val="en-GB"/>
        </w:rPr>
        <w:fldChar w:fldCharType="begin"/>
      </w:r>
      <w:r w:rsidR="008B61BE" w:rsidRPr="00B56453">
        <w:rPr>
          <w:lang w:val="en-GB"/>
        </w:rPr>
        <w:instrText xml:space="preserve"> ADDIN EN.CITE &lt;EndNote&gt;&lt;Cite&gt;&lt;Author&gt;Gordon&lt;/Author&gt;&lt;Year&gt;2000&lt;/Year&gt;&lt;RecNum&gt;923&lt;/RecNum&gt;&lt;DisplayText&gt;(Gordon et al. 2000)&lt;/DisplayText&gt;&lt;record&gt;&lt;rec-number&gt;923&lt;/rec-number&gt;&lt;foreign-keys&gt;&lt;key app="EN" db-id="xa2r2ewea92trkef5dt5arvbzafvpv2za5ft" timestamp="1497009817"&gt;923&lt;/key&gt;&lt;/foreign-keys&gt;&lt;ref-type name="Journal Article"&gt;17&lt;/ref-type&gt;&lt;contributors&gt;&lt;authors&gt;&lt;author&gt;Gordon, Jill&lt;/author&gt;&lt;author&gt;Hazlett, Clarke&lt;/author&gt;&lt;author&gt;Ten Cate, Olle&lt;/author&gt;&lt;author&gt;Mann, Karen&lt;/author&gt;&lt;author&gt;Kilminster, Sue&lt;/author&gt;&lt;author&gt;Prince, Katinka&lt;/author&gt;&lt;author&gt;O’Driscoll, Elizabeth&lt;/author&gt;&lt;author&gt;Snell, Linda&lt;/author&gt;&lt;author&gt;Newble, David&lt;/author&gt;&lt;/authors&gt;&lt;/contributors&gt;&lt;titles&gt;&lt;title&gt;Strategic planning in medical education: enhancing the learning environment for students in clinical settings&lt;/title&gt;&lt;secondary-title&gt;Medical Education&lt;/secondary-title&gt;&lt;/titles&gt;&lt;periodical&gt;&lt;full-title&gt;Medical education&lt;/full-title&gt;&lt;/periodical&gt;&lt;pages&gt;841-850&lt;/pages&gt;&lt;volume&gt;34&lt;/volume&gt;&lt;number&gt;10&lt;/number&gt;&lt;dates&gt;&lt;year&gt;2000&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163" w:tooltip="Gordon, 2000 #923" w:history="1">
        <w:r w:rsidR="0094469E" w:rsidRPr="00B56453">
          <w:rPr>
            <w:noProof/>
            <w:lang w:val="en-GB"/>
          </w:rPr>
          <w:t>Gordon et al. 2000</w:t>
        </w:r>
      </w:hyperlink>
      <w:r w:rsidR="004E5A78" w:rsidRPr="00B56453">
        <w:rPr>
          <w:noProof/>
          <w:lang w:val="en-GB"/>
        </w:rPr>
        <w:t>)</w:t>
      </w:r>
      <w:r w:rsidR="00EF281A" w:rsidRPr="009C2746">
        <w:rPr>
          <w:lang w:val="en-GB"/>
        </w:rPr>
        <w:fldChar w:fldCharType="end"/>
      </w:r>
      <w:r w:rsidRPr="00B56453">
        <w:rPr>
          <w:lang w:val="en-GB"/>
        </w:rPr>
        <w:t xml:space="preserve">. A stronger relationship between the two parties was seen as beneficial by students in this sample, thus a transparent and goal aligned relationship could be adopted  to overcome any confusion in clinical learning goals </w:t>
      </w:r>
      <w:r w:rsidR="00EF281A" w:rsidRPr="009C2746">
        <w:rPr>
          <w:lang w:val="en-GB"/>
        </w:rPr>
        <w:fldChar w:fldCharType="begin"/>
      </w:r>
      <w:r w:rsidR="008B61BE" w:rsidRPr="00B56453">
        <w:rPr>
          <w:lang w:val="en-GB"/>
        </w:rPr>
        <w:instrText xml:space="preserve"> ADDIN EN.CITE &lt;EndNote&gt;&lt;Cite&gt;&lt;Author&gt;Murdoch-Eaton&lt;/Author&gt;&lt;Year&gt;2017&lt;/Year&gt;&lt;RecNum&gt;710&lt;/RecNum&gt;&lt;DisplayText&gt;(Murdoch-Eaton and Bowen 2017)&lt;/DisplayText&gt;&lt;record&gt;&lt;rec-number&gt;710&lt;/rec-number&gt;&lt;foreign-keys&gt;&lt;key app="EN" db-id="xa2r2ewea92trkef5dt5arvbzafvpv2za5ft" timestamp="1496417569"&gt;710&lt;/key&gt;&lt;/foreign-keys&gt;&lt;ref-type name="Journal Article"&gt;17&lt;/ref-type&gt;&lt;contributors&gt;&lt;authors&gt;&lt;author&gt;Murdoch-Eaton, Deborah&lt;/author&gt;&lt;author&gt;Bowen, Lucy&lt;/author&gt;&lt;/authors&gt;&lt;/contributors&gt;&lt;titles&gt;&lt;title&gt;Feedback mapping–The curricular cornerstone of an “educational alliance”&lt;/title&gt;&lt;secondary-title&gt;Medical Teacher&lt;/secondary-title&gt;&lt;/titles&gt;&lt;periodical&gt;&lt;full-title&gt;Medical teacher&lt;/full-title&gt;&lt;/periodical&gt;&lt;pages&gt;540-547&lt;/pages&gt;&lt;volume&gt;39&lt;/volume&gt;&lt;number&gt;5&lt;/number&gt;&lt;dates&gt;&lt;year&gt;2017&lt;/year&gt;&lt;/dates&gt;&lt;isbn&gt;0142-159X&lt;/isbn&gt;&lt;urls&gt;&lt;/urls&gt;&lt;/record&gt;&lt;/Cite&gt;&lt;/EndNote&gt;</w:instrText>
      </w:r>
      <w:r w:rsidR="00EF281A" w:rsidRPr="00B27F0B">
        <w:rPr>
          <w:lang w:val="en-GB"/>
        </w:rPr>
        <w:fldChar w:fldCharType="separate"/>
      </w:r>
      <w:r w:rsidR="004E5A78" w:rsidRPr="00B56453">
        <w:rPr>
          <w:noProof/>
          <w:lang w:val="en-GB"/>
        </w:rPr>
        <w:t>(</w:t>
      </w:r>
      <w:hyperlink w:anchor="_ENREF_292" w:tooltip="Murdoch-Eaton, 2017 #710" w:history="1">
        <w:r w:rsidR="0094469E" w:rsidRPr="00B56453">
          <w:rPr>
            <w:noProof/>
            <w:lang w:val="en-GB"/>
          </w:rPr>
          <w:t>Murdoch-Eaton and Bowen 2017</w:t>
        </w:r>
      </w:hyperlink>
      <w:r w:rsidR="004E5A78" w:rsidRPr="00B56453">
        <w:rPr>
          <w:noProof/>
          <w:lang w:val="en-GB"/>
        </w:rPr>
        <w:t>)</w:t>
      </w:r>
      <w:r w:rsidR="00EF281A" w:rsidRPr="009C2746">
        <w:rPr>
          <w:lang w:val="en-GB"/>
        </w:rPr>
        <w:fldChar w:fldCharType="end"/>
      </w:r>
      <w:r w:rsidRPr="00B56453">
        <w:rPr>
          <w:lang w:val="en-GB"/>
        </w:rPr>
        <w:t>.</w:t>
      </w:r>
    </w:p>
    <w:p w14:paraId="1E88BD8F" w14:textId="77777777" w:rsidR="00367EA7" w:rsidRPr="00B56453" w:rsidRDefault="00367EA7" w:rsidP="00026049">
      <w:pPr>
        <w:pStyle w:val="Normal1"/>
        <w:rPr>
          <w:lang w:val="en-GB"/>
        </w:rPr>
      </w:pPr>
    </w:p>
    <w:p w14:paraId="7EDCE612" w14:textId="41BDC418" w:rsidR="00367EA7" w:rsidRPr="00B56453" w:rsidRDefault="00367EA7" w:rsidP="00026049">
      <w:pPr>
        <w:pStyle w:val="Normal1"/>
        <w:rPr>
          <w:lang w:val="en-GB"/>
        </w:rPr>
      </w:pPr>
      <w:r w:rsidRPr="00B56453">
        <w:rPr>
          <w:lang w:val="en-GB"/>
        </w:rPr>
        <w:t xml:space="preserve">Context and culture had a direct impact upon feedback behaviours, specifically in relation to the </w:t>
      </w:r>
      <w:r w:rsidR="001A6E2D" w:rsidRPr="00B56453">
        <w:rPr>
          <w:lang w:val="en-GB"/>
        </w:rPr>
        <w:t xml:space="preserve">supportive </w:t>
      </w:r>
      <w:r w:rsidRPr="00B56453">
        <w:rPr>
          <w:lang w:val="en-GB"/>
        </w:rPr>
        <w:t>theme. Mostly SRLF group learners articulated this impact using examples of feedback availability and credibility being different across contexts, moving toward a more professional and independent mind set where feedback is proactively sought. A social cognitive view was adopted in this research to understand these relationships</w:t>
      </w:r>
      <w:r w:rsidR="00D942E6" w:rsidRPr="00B56453">
        <w:rPr>
          <w:lang w:val="en-GB"/>
        </w:rPr>
        <w:t>. T</w:t>
      </w:r>
      <w:r w:rsidRPr="00B56453">
        <w:rPr>
          <w:lang w:val="en-GB"/>
        </w:rPr>
        <w:t xml:space="preserve">hese results confirm with others that context and culture has a significant impact upon how learners understand feedback, warranting future approaches that explicitly take into account these effects to avoid unjust generalisation </w:t>
      </w:r>
      <w:r w:rsidRPr="007638B6">
        <w:rPr>
          <w:lang w:val="en-GB"/>
        </w:rPr>
        <w:fldChar w:fldCharType="begin">
          <w:fldData xml:space="preserve">PEVuZE5vdGU+PENpdGU+PEF1dGhvcj5XYXRsaW5nPC9BdXRob3I+PFllYXI+MjAxMjwvWWVhcj48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</w:fldData>
        </w:fldChar>
      </w:r>
      <w:r w:rsidR="008B61BE" w:rsidRPr="00B56453">
        <w:rPr>
          <w:lang w:val="en-GB"/>
        </w:rPr>
        <w:instrText xml:space="preserve"> ADDIN EN.CITE </w:instrText>
      </w:r>
      <w:r w:rsidR="008B61BE" w:rsidRPr="00B27F0B">
        <w:rPr>
          <w:lang w:val="en-GB"/>
        </w:rPr>
        <w:fldChar w:fldCharType="begin">
          <w:fldData xml:space="preserve">PEVuZE5vdGU+PENpdGU+PEF1dGhvcj5XYXRsaW5nPC9BdXRob3I+PFllYXI+MjAxMjwvWWVhcj48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Pr="00B27F0B">
        <w:rPr>
          <w:lang w:val="en-GB"/>
        </w:rPr>
      </w:r>
      <w:r w:rsidRPr="00B27F0B">
        <w:rPr>
          <w:lang w:val="en-GB"/>
        </w:rPr>
        <w:fldChar w:fldCharType="separate"/>
      </w:r>
      <w:r w:rsidR="004E5A78" w:rsidRPr="00B56453">
        <w:rPr>
          <w:noProof/>
          <w:lang w:val="en-GB"/>
        </w:rPr>
        <w:t>(</w:t>
      </w:r>
      <w:hyperlink w:anchor="_ENREF_425" w:tooltip="Watling, 2012 #901" w:history="1">
        <w:r w:rsidR="0094469E" w:rsidRPr="00B56453">
          <w:rPr>
            <w:noProof/>
            <w:lang w:val="en-GB"/>
          </w:rPr>
          <w:t>Watling et al. 2012a</w:t>
        </w:r>
      </w:hyperlink>
      <w:r w:rsidR="004E5A78" w:rsidRPr="00B56453">
        <w:rPr>
          <w:noProof/>
          <w:lang w:val="en-GB"/>
        </w:rPr>
        <w:t xml:space="preserve">; </w:t>
      </w:r>
      <w:hyperlink w:anchor="_ENREF_424" w:tooltip="Watling, 2014 #899" w:history="1">
        <w:r w:rsidR="0094469E" w:rsidRPr="00B56453">
          <w:rPr>
            <w:noProof/>
            <w:lang w:val="en-GB"/>
          </w:rPr>
          <w:t>Watling 2014</w:t>
        </w:r>
      </w:hyperlink>
      <w:r w:rsidR="004E5A78" w:rsidRPr="00B56453">
        <w:rPr>
          <w:noProof/>
          <w:lang w:val="en-GB"/>
        </w:rPr>
        <w:t>)</w:t>
      </w:r>
      <w:r w:rsidRPr="007638B6">
        <w:rPr>
          <w:lang w:val="en-GB"/>
        </w:rPr>
        <w:fldChar w:fldCharType="end"/>
      </w:r>
      <w:r w:rsidRPr="00FD5859">
        <w:rPr>
          <w:lang w:val="en-GB"/>
        </w:rPr>
        <w:t>.</w:t>
      </w:r>
      <w:r w:rsidR="00BC343F" w:rsidRPr="00B56453">
        <w:rPr>
          <w:lang w:val="en-GB"/>
        </w:rPr>
        <w:t xml:space="preserve"> In a recent study, </w:t>
      </w:r>
      <w:hyperlink w:anchor="_ENREF_414" w:tooltip="Urquhart, 2017 #985" w:history="1">
        <w:r w:rsidR="0094469E" w:rsidRPr="00B27F0B">
          <w:rPr>
            <w:lang w:val="en-GB"/>
          </w:rPr>
          <w:fldChar w:fldCharType="begin"/>
        </w:r>
        <w:r w:rsidR="0094469E" w:rsidRPr="00B56453">
          <w:rPr>
            <w:lang w:val="en-GB"/>
          </w:rPr>
          <w:instrText xml:space="preserve"> ADDIN EN.CITE &lt;EndNote&gt;&lt;Cite AuthorYear="1"&gt;&lt;Author&gt;Urquhart&lt;/Author&gt;&lt;Year&gt;2017&lt;/Year&gt;&lt;RecNum&gt;985&lt;/RecNum&gt;&lt;Pages&gt;25&lt;/Pages&gt;&lt;DisplayText&gt;Urquhart et al. (2017, p. 25)&lt;/DisplayText&gt;&lt;record&gt;&lt;rec-number&gt;985&lt;/rec-number&gt;&lt;foreign-keys&gt;&lt;key app="EN" db-id="xa2r2ewea92trkef5dt5arvbzafvpv2za5ft" timestamp="1501855401"&gt;985&lt;/key&gt;&lt;/foreign-keys&gt;&lt;ref-type name="Journal Article"&gt;17&lt;/ref-type&gt;&lt;contributors&gt;&lt;authors&gt;&lt;author&gt;Urquhart, LM&lt;/author&gt;&lt;author&gt;Ker, JS&lt;/author&gt;&lt;author&gt;Rees, CE&lt;/author&gt;&lt;/authors&gt;&lt;/contributors&gt;&lt;titles&gt;&lt;title&gt;Exploring the influence of context on feedback at medical school: a video-ethnography study&lt;/title&gt;&lt;secondary-title&gt;Advances in Health Sciences Education&lt;/secondary-title&gt;&lt;/titles&gt;&lt;periodical&gt;&lt;full-title&gt;Advances in Health Sciences Education&lt;/full-title&gt;&lt;/periodical&gt;&lt;pages&gt;1-28&lt;/pages&gt;&lt;dates&gt;&lt;year&gt;2017&lt;/year&gt;&lt;/dates&gt;&lt;isbn&gt;1382-4996&lt;/isbn&gt;&lt;urls&gt;&lt;/urls&gt;&lt;/record&gt;&lt;/Cite&gt;&lt;/EndNote&gt;</w:instrText>
        </w:r>
        <w:r w:rsidR="0094469E" w:rsidRPr="00B27F0B">
          <w:rPr>
            <w:lang w:val="en-GB"/>
          </w:rPr>
          <w:fldChar w:fldCharType="separate"/>
        </w:r>
        <w:r w:rsidR="0094469E" w:rsidRPr="00B56453">
          <w:rPr>
            <w:noProof/>
            <w:lang w:val="en-GB"/>
          </w:rPr>
          <w:t>Urquhart et al. (2017, p. 25)</w:t>
        </w:r>
        <w:r w:rsidR="0094469E" w:rsidRPr="00B27F0B">
          <w:rPr>
            <w:lang w:val="en-GB"/>
          </w:rPr>
          <w:fldChar w:fldCharType="end"/>
        </w:r>
      </w:hyperlink>
      <w:r w:rsidR="00BC343F" w:rsidRPr="00FD5859">
        <w:rPr>
          <w:lang w:val="en-GB"/>
        </w:rPr>
        <w:t xml:space="preserve"> explored feedback processes using video ethnography in both simulated and clinical settings and found that “feedback processes are inextricably linked with context”. </w:t>
      </w:r>
      <w:r w:rsidR="00130436" w:rsidRPr="00B56453">
        <w:rPr>
          <w:lang w:val="en-GB"/>
        </w:rPr>
        <w:t xml:space="preserve">This </w:t>
      </w:r>
      <w:r w:rsidR="00130436" w:rsidRPr="00B56453">
        <w:rPr>
          <w:lang w:val="en-GB"/>
        </w:rPr>
        <w:lastRenderedPageBreak/>
        <w:t>potentially significant factor for feedback behaviours should be considered when SRL supports using feedback are utilised in these two settings.</w:t>
      </w:r>
    </w:p>
    <w:p w14:paraId="31452D1B" w14:textId="77777777" w:rsidR="0049047B" w:rsidRPr="00B56453" w:rsidRDefault="0049047B" w:rsidP="00026049">
      <w:pPr>
        <w:pStyle w:val="Normal1"/>
        <w:rPr>
          <w:lang w:val="en-GB"/>
        </w:rPr>
      </w:pPr>
    </w:p>
    <w:p w14:paraId="0E739730" w14:textId="0B2E23EF" w:rsidR="00367EA7" w:rsidRPr="00B56453" w:rsidRDefault="00367EA7" w:rsidP="00BA4521">
      <w:pPr>
        <w:pStyle w:val="Heading3"/>
      </w:pPr>
      <w:bookmarkStart w:id="467" w:name="_Toc500319446"/>
      <w:r w:rsidRPr="00B56453">
        <w:t>D</w:t>
      </w:r>
      <w:r w:rsidR="00BF6160" w:rsidRPr="00B56453">
        <w:t>2</w:t>
      </w:r>
      <w:r w:rsidRPr="00B56453">
        <w:t>.</w:t>
      </w:r>
      <w:r w:rsidR="001D4869" w:rsidRPr="00B56453">
        <w:t>4</w:t>
      </w:r>
      <w:r w:rsidR="0051568B" w:rsidRPr="00B56453">
        <w:t>.4 Supportive T</w:t>
      </w:r>
      <w:r w:rsidRPr="00B56453">
        <w:t>heme</w:t>
      </w:r>
      <w:bookmarkEnd w:id="467"/>
    </w:p>
    <w:p w14:paraId="43191F8E" w14:textId="77777777" w:rsidR="00367EA7" w:rsidRPr="00B56453" w:rsidRDefault="00367EA7" w:rsidP="00367EA7"/>
    <w:p w14:paraId="037BD280" w14:textId="0A9CD5F1" w:rsidR="00367EA7" w:rsidRPr="00B56453" w:rsidRDefault="00367EA7" w:rsidP="00026049">
      <w:pPr>
        <w:pStyle w:val="Normal1"/>
        <w:rPr>
          <w:lang w:val="en-GB"/>
        </w:rPr>
      </w:pPr>
      <w:r w:rsidRPr="00B56453">
        <w:rPr>
          <w:lang w:val="en-GB"/>
        </w:rPr>
        <w:t>The supportive t</w:t>
      </w:r>
      <w:r w:rsidR="009C56B0" w:rsidRPr="00B56453">
        <w:rPr>
          <w:lang w:val="en-GB"/>
        </w:rPr>
        <w:t>heme was central to all learner</w:t>
      </w:r>
      <w:r w:rsidRPr="00B56453">
        <w:rPr>
          <w:lang w:val="en-GB"/>
        </w:rPr>
        <w:t>s</w:t>
      </w:r>
      <w:r w:rsidR="009C56B0" w:rsidRPr="00B56453">
        <w:rPr>
          <w:lang w:val="en-GB"/>
        </w:rPr>
        <w:t>’</w:t>
      </w:r>
      <w:r w:rsidRPr="00B56453">
        <w:rPr>
          <w:lang w:val="en-GB"/>
        </w:rPr>
        <w:t xml:space="preserve"> accounts of their </w:t>
      </w:r>
      <w:r w:rsidR="00483DED" w:rsidRPr="00B56453">
        <w:rPr>
          <w:lang w:val="en-GB"/>
        </w:rPr>
        <w:t xml:space="preserve">clinical </w:t>
      </w:r>
      <w:r w:rsidRPr="00B56453">
        <w:rPr>
          <w:lang w:val="en-GB"/>
        </w:rPr>
        <w:t>placement learning experience</w:t>
      </w:r>
      <w:r w:rsidR="00130436" w:rsidRPr="00B56453">
        <w:rPr>
          <w:lang w:val="en-GB"/>
        </w:rPr>
        <w:t>s</w:t>
      </w:r>
      <w:r w:rsidRPr="00B56453">
        <w:rPr>
          <w:lang w:val="en-GB"/>
        </w:rPr>
        <w:t xml:space="preserve"> and became similarly central to the thematic models built from the </w:t>
      </w:r>
      <w:r w:rsidR="009C56B0" w:rsidRPr="00B56453">
        <w:rPr>
          <w:lang w:val="en-GB"/>
        </w:rPr>
        <w:t>dataset</w:t>
      </w:r>
      <w:r w:rsidR="00D942E6" w:rsidRPr="00B56453">
        <w:rPr>
          <w:lang w:val="en-GB"/>
        </w:rPr>
        <w:t xml:space="preserve"> (Figures C2.2, C2.3, </w:t>
      </w:r>
      <w:r w:rsidR="0051568B" w:rsidRPr="00B56453">
        <w:rPr>
          <w:lang w:val="en-GB"/>
        </w:rPr>
        <w:t>and C2.4</w:t>
      </w:r>
      <w:r w:rsidR="00D942E6" w:rsidRPr="00B56453">
        <w:rPr>
          <w:lang w:val="en-GB"/>
        </w:rPr>
        <w:t>)</w:t>
      </w:r>
      <w:r w:rsidRPr="00B56453">
        <w:rPr>
          <w:lang w:val="en-GB"/>
        </w:rPr>
        <w:t xml:space="preserve">. Learners </w:t>
      </w:r>
      <w:r w:rsidR="00130436" w:rsidRPr="00B56453">
        <w:rPr>
          <w:lang w:val="en-GB"/>
        </w:rPr>
        <w:t>recounted</w:t>
      </w:r>
      <w:r w:rsidRPr="00B56453">
        <w:rPr>
          <w:lang w:val="en-GB"/>
        </w:rPr>
        <w:t xml:space="preserve"> </w:t>
      </w:r>
      <w:r w:rsidR="00D942E6" w:rsidRPr="00B56453">
        <w:rPr>
          <w:lang w:val="en-GB"/>
        </w:rPr>
        <w:t xml:space="preserve">perceptions of </w:t>
      </w:r>
      <w:r w:rsidR="00130436" w:rsidRPr="00B56453">
        <w:rPr>
          <w:lang w:val="en-GB"/>
        </w:rPr>
        <w:t xml:space="preserve">either </w:t>
      </w:r>
      <w:r w:rsidRPr="00B56453">
        <w:rPr>
          <w:lang w:val="en-GB"/>
        </w:rPr>
        <w:t>an abundance or lack of support in their supervisory relationships dependent on their personal experiences and perspectives.</w:t>
      </w:r>
    </w:p>
    <w:p w14:paraId="4047259B" w14:textId="77777777" w:rsidR="00367EA7" w:rsidRPr="00B56453" w:rsidRDefault="00367EA7" w:rsidP="00026049">
      <w:pPr>
        <w:pStyle w:val="Normal1"/>
        <w:rPr>
          <w:lang w:val="en-GB"/>
        </w:rPr>
      </w:pPr>
    </w:p>
    <w:p w14:paraId="047A927D" w14:textId="174AB6F3" w:rsidR="00367EA7" w:rsidRPr="00B56453" w:rsidRDefault="00367EA7" w:rsidP="00026049">
      <w:pPr>
        <w:pStyle w:val="Normal1"/>
        <w:rPr>
          <w:lang w:val="en-GB"/>
        </w:rPr>
      </w:pPr>
      <w:r w:rsidRPr="00B56453">
        <w:rPr>
          <w:lang w:val="en-GB"/>
        </w:rPr>
        <w:t>The supportive theme was a strong component of the contextual and cultural model</w:t>
      </w:r>
      <w:r w:rsidR="00D942E6" w:rsidRPr="00B56453">
        <w:rPr>
          <w:lang w:val="en-GB"/>
        </w:rPr>
        <w:t xml:space="preserve"> (Figure C2.2, page </w:t>
      </w:r>
      <w:r w:rsidR="0094469E" w:rsidRPr="00B56453">
        <w:rPr>
          <w:lang w:val="en-GB"/>
        </w:rPr>
        <w:t>149</w:t>
      </w:r>
      <w:r w:rsidR="00D942E6" w:rsidRPr="00B56453">
        <w:rPr>
          <w:lang w:val="en-GB"/>
        </w:rPr>
        <w:t>)</w:t>
      </w:r>
      <w:r w:rsidRPr="00B56453">
        <w:rPr>
          <w:lang w:val="en-GB"/>
        </w:rPr>
        <w:t>, influenced by perceptions of the workplace culture and in turn havi</w:t>
      </w:r>
      <w:r w:rsidR="00130436" w:rsidRPr="00B56453">
        <w:rPr>
          <w:lang w:val="en-GB"/>
        </w:rPr>
        <w:t>ng a strong impact upon learner</w:t>
      </w:r>
      <w:r w:rsidRPr="00B56453">
        <w:rPr>
          <w:lang w:val="en-GB"/>
        </w:rPr>
        <w:t>s</w:t>
      </w:r>
      <w:r w:rsidR="00130436" w:rsidRPr="00B56453">
        <w:rPr>
          <w:lang w:val="en-GB"/>
        </w:rPr>
        <w:t>’</w:t>
      </w:r>
      <w:r w:rsidRPr="00B56453">
        <w:rPr>
          <w:lang w:val="en-GB"/>
        </w:rPr>
        <w:t xml:space="preserve"> recognition and awareness of the team. Learners commented that if they perceived a welcoming learning culture they would be more inclined to reciprocate their effort and motivation to developing the relationships between themselves, the supervisor, and the wider team. Opportunities to form longer term relationships with supervisors and the care team could be more common when longitudinal models are used in place of traditional placement models</w:t>
      </w:r>
      <w:r w:rsidR="009C56B0" w:rsidRPr="00B56453">
        <w:rPr>
          <w:lang w:val="en-GB"/>
        </w:rPr>
        <w:t>,</w:t>
      </w:r>
      <w:r w:rsidRPr="00B56453">
        <w:rPr>
          <w:lang w:val="en-GB"/>
        </w:rPr>
        <w:t xml:space="preserve"> where this research </w:t>
      </w:r>
      <w:r w:rsidR="009C56B0" w:rsidRPr="00B56453">
        <w:rPr>
          <w:lang w:val="en-GB"/>
        </w:rPr>
        <w:t>wa</w:t>
      </w:r>
      <w:r w:rsidRPr="00B56453">
        <w:rPr>
          <w:lang w:val="en-GB"/>
        </w:rPr>
        <w:t xml:space="preserve">s situated </w:t>
      </w:r>
      <w:r w:rsidR="00EF281A" w:rsidRPr="009C2746">
        <w:rPr>
          <w:lang w:val="en-GB"/>
        </w:rPr>
        <w:fldChar w:fldCharType="begin"/>
      </w:r>
      <w:r w:rsidR="008B61BE" w:rsidRPr="00B56453">
        <w:rPr>
          <w:lang w:val="en-GB"/>
        </w:rPr>
        <w:instrText xml:space="preserve"> ADDIN EN.CITE &lt;EndNote&gt;&lt;Cite&gt;&lt;Author&gt;Worley&lt;/Author&gt;&lt;Year&gt;2016&lt;/Year&gt;&lt;RecNum&gt;686&lt;/RecNum&gt;&lt;DisplayText&gt;(Worley et al. 2016)&lt;/DisplayText&gt;&lt;record&gt;&lt;rec-number&gt;686&lt;/rec-number&gt;&lt;foreign-keys&gt;&lt;key app="EN" db-id="xa2r2ewea92trkef5dt5arvbzafvpv2za5ft" timestamp="1496417566"&gt;686&lt;/key&gt;&lt;/foreign-keys&gt;&lt;ref-type name="Journal Article"&gt;17&lt;/ref-type&gt;&lt;contributors&gt;&lt;authors&gt;&lt;author&gt;Worley, Paul&lt;/author&gt;&lt;author&gt;Couper, Ian&lt;/author&gt;&lt;author&gt;Strasser, Roger&lt;/author&gt;&lt;author&gt;Graves, Lisa&lt;/author&gt;&lt;author&gt;Cummings, Beth</w:instrText>
      </w:r>
      <w:r w:rsidR="008B61BE" w:rsidRPr="00B56453">
        <w:rPr>
          <w:rFonts w:ascii="Cambria Math" w:hAnsi="Cambria Math" w:cs="Cambria Math"/>
          <w:lang w:val="en-GB"/>
        </w:rPr>
        <w:instrText>‐</w:instrText>
      </w:r>
      <w:r w:rsidR="008B61BE" w:rsidRPr="00B56453">
        <w:rPr>
          <w:lang w:val="en-GB"/>
        </w:rPr>
        <w:instrText>Ann&lt;/author&gt;&lt;author&gt;Woodman, Richard&lt;/author&gt;&lt;author&gt;Stagg, Pamela&lt;/author&gt;&lt;author&gt;Hirsh, David&lt;/author&gt;&lt;/authors&gt;&lt;/contributors&gt;&lt;titles&gt;&lt;title&gt;A typology of longitudinal integrated clerkships&lt;/title&gt;&lt;secondary-title&gt;Medical Education&lt;/secondary-title&gt;&lt;/titles&gt;&lt;periodical&gt;&lt;full-title&gt;Medical education&lt;/full-title&gt;&lt;/periodical&gt;&lt;pages&gt;922-932&lt;/pages&gt;&lt;volume&gt;50&lt;/volume&gt;&lt;number&gt;9&lt;/number&gt;&lt;dates&gt;&lt;year&gt;2016&lt;/year&gt;&lt;/dates&gt;&lt;isbn&gt;1365-2923&lt;/isbn&gt;&lt;urls&gt;&lt;/urls&gt;&lt;/record&gt;&lt;/Cite&gt;&lt;/EndNote&gt;</w:instrText>
      </w:r>
      <w:r w:rsidR="00EF281A" w:rsidRPr="00B27F0B">
        <w:rPr>
          <w:lang w:val="en-GB"/>
        </w:rPr>
        <w:fldChar w:fldCharType="separate"/>
      </w:r>
      <w:r w:rsidR="004E5A78" w:rsidRPr="00B56453">
        <w:rPr>
          <w:noProof/>
          <w:lang w:val="en-GB"/>
        </w:rPr>
        <w:t>(</w:t>
      </w:r>
      <w:hyperlink w:anchor="_ENREF_449" w:tooltip="Worley, 2016 #686" w:history="1">
        <w:r w:rsidR="0094469E" w:rsidRPr="00B56453">
          <w:rPr>
            <w:noProof/>
            <w:lang w:val="en-GB"/>
          </w:rPr>
          <w:t>Worley et al. 2016</w:t>
        </w:r>
      </w:hyperlink>
      <w:r w:rsidR="004E5A78" w:rsidRPr="00B56453">
        <w:rPr>
          <w:noProof/>
          <w:lang w:val="en-GB"/>
        </w:rPr>
        <w:t>)</w:t>
      </w:r>
      <w:r w:rsidR="00EF281A" w:rsidRPr="009C2746">
        <w:rPr>
          <w:lang w:val="en-GB"/>
        </w:rPr>
        <w:fldChar w:fldCharType="end"/>
      </w:r>
      <w:r w:rsidRPr="00B56453">
        <w:rPr>
          <w:lang w:val="en-GB"/>
        </w:rPr>
        <w:t xml:space="preserve">. Although given the degree of variability to which programmes deliver </w:t>
      </w:r>
      <w:r w:rsidR="00483DED" w:rsidRPr="00B56453">
        <w:rPr>
          <w:lang w:val="en-GB"/>
        </w:rPr>
        <w:t xml:space="preserve">clinical </w:t>
      </w:r>
      <w:r w:rsidRPr="00B56453">
        <w:rPr>
          <w:lang w:val="en-GB"/>
        </w:rPr>
        <w:t xml:space="preserve">placement learning experiences and how learners perceive them, it is difficult to attribute any impact to the placement model and more research is needed to explore this </w:t>
      </w:r>
      <w:r w:rsidR="009C56B0" w:rsidRPr="00B56453">
        <w:rPr>
          <w:lang w:val="en-GB"/>
        </w:rPr>
        <w:t>potential impact</w:t>
      </w:r>
      <w:r w:rsidRPr="00B56453">
        <w:rPr>
          <w:lang w:val="en-GB"/>
        </w:rPr>
        <w:t>.</w:t>
      </w:r>
    </w:p>
    <w:p w14:paraId="52D41E0F" w14:textId="77777777" w:rsidR="00D942E6" w:rsidRPr="00B56453" w:rsidRDefault="00D942E6" w:rsidP="00D942E6">
      <w:pPr>
        <w:pStyle w:val="Normal1"/>
        <w:rPr>
          <w:lang w:val="en-GB"/>
        </w:rPr>
      </w:pPr>
    </w:p>
    <w:p w14:paraId="6CC4BEAF" w14:textId="28594918" w:rsidR="00D942E6" w:rsidRPr="00B56453" w:rsidRDefault="00D942E6" w:rsidP="00D942E6">
      <w:pPr>
        <w:pStyle w:val="Normal1"/>
        <w:rPr>
          <w:lang w:val="en-GB"/>
        </w:rPr>
      </w:pPr>
      <w:r w:rsidRPr="00B56453">
        <w:rPr>
          <w:lang w:val="en-GB"/>
        </w:rPr>
        <w:t xml:space="preserve">The supportive theme was central to learners’ accounts of their feedback behaviours on clinical placement (Figure C2.4, page </w:t>
      </w:r>
      <w:r w:rsidR="0094469E" w:rsidRPr="00B56453">
        <w:rPr>
          <w:lang w:val="en-GB"/>
        </w:rPr>
        <w:t>163</w:t>
      </w:r>
      <w:r w:rsidRPr="00B56453">
        <w:rPr>
          <w:lang w:val="en-GB"/>
        </w:rPr>
        <w:t xml:space="preserve">). These behaviours were heavily influenced by contextual and cultural factors, which were largely attributed to the busy nature of the ward and the learner’s difficulty in acclimatising to the authenticity of the environment, reflecting the often chaotic transition into clinical learning from more structured learning environments </w:t>
      </w:r>
      <w:r w:rsidRPr="009C2746">
        <w:rPr>
          <w:lang w:val="en-GB"/>
        </w:rPr>
        <w:fldChar w:fldCharType="begin"/>
      </w:r>
      <w:r w:rsidRPr="00B56453">
        <w:rPr>
          <w:lang w:val="en-GB"/>
        </w:rPr>
        <w:instrText xml:space="preserve"> ADDIN EN.CITE &lt;EndNote&gt;&lt;Cite&gt;&lt;Author&gt;Dubé&lt;/Author&gt;&lt;Year&gt;2015&lt;/Year&gt;&lt;RecNum&gt;675&lt;/RecNum&gt;&lt;DisplayText&gt;(Dubé et al. 2015)&lt;/DisplayText&gt;&lt;record&gt;&lt;rec-number&gt;675&lt;/rec-number&gt;&lt;foreign-keys&gt;&lt;key app="EN" db-id="xa2r2ewea92trkef5dt5arvbzafvpv2za5ft" timestamp="1496417565"&gt;675&lt;/key&gt;&lt;/foreign-keys&gt;&lt;ref-type name="Journal Article"&gt;17&lt;/ref-type&gt;&lt;contributors&gt;&lt;authors&gt;&lt;author&gt;Dubé, Timothy V&lt;/author&gt;&lt;author&gt;Schinke, Robert J&lt;/author&gt;&lt;author&gt;Strasser, Roger&lt;/author&gt;&lt;author&gt;Couper, Ian&lt;/author&gt;&lt;author&gt;Lightfoot, Nancy E&lt;/author&gt;&lt;/authors&gt;&lt;/contributors&gt;&lt;titles&gt;&lt;title&gt;Transition processes through a longitudinal integrated clerkship: a qualitative study of medical students&amp;apos; experiences&lt;/title&gt;&lt;secondary-title&gt;Medical education&lt;/secondary-title&gt;&lt;/titles&gt;&lt;periodical&gt;&lt;full-title&gt;Medical education&lt;/full-title&gt;&lt;/periodical&gt;&lt;pages&gt;1028-1037&lt;/pages&gt;&lt;volume&gt;49&lt;/volume&gt;&lt;number&gt;10&lt;/number&gt;&lt;dates&gt;&lt;year&gt;2015&lt;/year&gt;&lt;/dates&gt;&lt;isbn&gt;1365-2923&lt;/isbn&gt;&lt;urls&gt;&lt;/urls&gt;&lt;/record&gt;&lt;/Cite&gt;&lt;/EndNote&gt;</w:instrText>
      </w:r>
      <w:r w:rsidRPr="00B27F0B">
        <w:rPr>
          <w:lang w:val="en-GB"/>
        </w:rPr>
        <w:fldChar w:fldCharType="separate"/>
      </w:r>
      <w:r w:rsidRPr="00B56453">
        <w:rPr>
          <w:noProof/>
          <w:lang w:val="en-GB"/>
        </w:rPr>
        <w:t>(</w:t>
      </w:r>
      <w:hyperlink w:anchor="_ENREF_129" w:tooltip="Dubé, 2015 #675" w:history="1">
        <w:r w:rsidR="0094469E" w:rsidRPr="00B56453">
          <w:rPr>
            <w:noProof/>
            <w:lang w:val="en-GB"/>
          </w:rPr>
          <w:t>Dubé et al. 2015</w:t>
        </w:r>
      </w:hyperlink>
      <w:r w:rsidRPr="00B56453">
        <w:rPr>
          <w:noProof/>
          <w:lang w:val="en-GB"/>
        </w:rPr>
        <w:t>)</w:t>
      </w:r>
      <w:r w:rsidRPr="009C2746">
        <w:rPr>
          <w:lang w:val="en-GB"/>
        </w:rPr>
        <w:fldChar w:fldCharType="end"/>
      </w:r>
      <w:r w:rsidRPr="00B56453">
        <w:rPr>
          <w:lang w:val="en-GB"/>
        </w:rPr>
        <w:t xml:space="preserve">. Learners also described struggling to choose appropriate learning activities. Some reflected upon how they perceived they should have concentrated on their own learning goals rather than engaging with tasks such as paperwork which had seemed more important at that time because they enjoyed “helping the doctors with their work”. This confusion with priorities and autonomy has been observed before in students transitioning to clinical learning environments, using </w:t>
      </w:r>
      <w:r w:rsidRPr="00B56453">
        <w:rPr>
          <w:lang w:val="en-GB"/>
        </w:rPr>
        <w:lastRenderedPageBreak/>
        <w:t xml:space="preserve">the same example of learners completing paperwork </w:t>
      </w:r>
      <w:r w:rsidRPr="009C2746">
        <w:rPr>
          <w:lang w:val="en-GB"/>
        </w:rPr>
        <w:fldChar w:fldCharType="begin"/>
      </w:r>
      <w:r w:rsidRPr="00B56453">
        <w:rPr>
          <w:lang w:val="en-GB"/>
        </w:rPr>
        <w:instrText xml:space="preserve"> ADDIN EN.CITE &lt;EndNote&gt;&lt;Cite&gt;&lt;Author&gt;Cho&lt;/Author&gt;&lt;Year&gt;2017&lt;/Year&gt;&lt;RecNum&gt;670&lt;/RecNum&gt;&lt;DisplayText&gt;(Shahi et al. 2015; Cho et al. 2017)&lt;/DisplayText&gt;&lt;record&gt;&lt;rec-number&gt;670&lt;/rec-number&gt;&lt;foreign-keys&gt;&lt;key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Cite&gt;&lt;Author&gt;Shahi&lt;/Author&gt;&lt;Year&gt;2015&lt;/Year&gt;&lt;RecNum&gt;695&lt;/RecNum&gt;&lt;record&gt;&lt;rec-number&gt;695&lt;/rec-number&gt;&lt;foreign-keys&gt;&lt;key app="EN" db-id="xa2r2ewea92trkef5dt5arvbzafvpv2za5ft" timestamp="1496417567"&gt;695&lt;/key&gt;&lt;/foreign-keys&gt;&lt;ref-type name="Journal Article"&gt;17&lt;/ref-type&gt;&lt;contributors&gt;&lt;authors&gt;&lt;author&gt;Shahi, Rashmi&lt;/author&gt;&lt;author&gt;Walters, Lucie&lt;/author&gt;&lt;author&gt;Ward, Helena&lt;/author&gt;&lt;author&gt;Woodman, Richard J&lt;/author&gt;&lt;author&gt;Prideaux, David&lt;/author&gt;&lt;/authors&gt;&lt;/contributors&gt;&lt;titles&gt;&lt;title&gt;Clinical participation of medical students in three contemporary training models&lt;/title&gt;&lt;secondary-title&gt;Medical education&lt;/secondary-title&gt;&lt;/titles&gt;&lt;periodical&gt;&lt;full-title&gt;Medical education&lt;/full-title&gt;&lt;/periodical&gt;&lt;pages&gt;1219-1228&lt;/pages&gt;&lt;volume&gt;49&lt;/volume&gt;&lt;number&gt;12&lt;/number&gt;&lt;dates&gt;&lt;year&gt;2015&lt;/year&gt;&lt;/dates&gt;&lt;isbn&gt;1365-2923&lt;/isbn&gt;&lt;urls&gt;&lt;/urls&gt;&lt;/record&gt;&lt;/Cite&gt;&lt;/EndNote&gt;</w:instrText>
      </w:r>
      <w:r w:rsidRPr="00B27F0B">
        <w:rPr>
          <w:lang w:val="en-GB"/>
        </w:rPr>
        <w:fldChar w:fldCharType="separate"/>
      </w:r>
      <w:r w:rsidRPr="00B56453">
        <w:rPr>
          <w:noProof/>
          <w:lang w:val="en-GB"/>
        </w:rPr>
        <w:t>(</w:t>
      </w:r>
      <w:hyperlink w:anchor="_ENREF_383" w:tooltip="Shahi, 2015 #695" w:history="1">
        <w:r w:rsidR="0094469E" w:rsidRPr="00B56453">
          <w:rPr>
            <w:noProof/>
            <w:lang w:val="en-GB"/>
          </w:rPr>
          <w:t>Shahi et al. 2015</w:t>
        </w:r>
      </w:hyperlink>
      <w:r w:rsidRPr="00B56453">
        <w:rPr>
          <w:noProof/>
          <w:lang w:val="en-GB"/>
        </w:rPr>
        <w:t xml:space="preserve">; </w:t>
      </w:r>
      <w:hyperlink w:anchor="_ENREF_75" w:tooltip="Cho, 2017 #670" w:history="1">
        <w:r w:rsidR="0094469E" w:rsidRPr="00B56453">
          <w:rPr>
            <w:noProof/>
            <w:lang w:val="en-GB"/>
          </w:rPr>
          <w:t>Cho et al. 2017</w:t>
        </w:r>
      </w:hyperlink>
      <w:r w:rsidRPr="00B56453">
        <w:rPr>
          <w:noProof/>
          <w:lang w:val="en-GB"/>
        </w:rPr>
        <w:t>)</w:t>
      </w:r>
      <w:r w:rsidRPr="009C2746">
        <w:rPr>
          <w:lang w:val="en-GB"/>
        </w:rPr>
        <w:fldChar w:fldCharType="end"/>
      </w:r>
      <w:r w:rsidRPr="00B56453">
        <w:rPr>
          <w:lang w:val="en-GB"/>
        </w:rPr>
        <w:t>.</w:t>
      </w:r>
    </w:p>
    <w:p w14:paraId="6D527D74" w14:textId="77777777" w:rsidR="00367EA7" w:rsidRPr="00B56453" w:rsidRDefault="00367EA7" w:rsidP="00026049">
      <w:pPr>
        <w:pStyle w:val="Normal1"/>
        <w:rPr>
          <w:lang w:val="en-GB"/>
        </w:rPr>
      </w:pPr>
    </w:p>
    <w:p w14:paraId="10A3C640" w14:textId="0455D5C5" w:rsidR="00367EA7" w:rsidRPr="00B56453" w:rsidRDefault="00367EA7" w:rsidP="00026049">
      <w:pPr>
        <w:pStyle w:val="Normal1"/>
        <w:rPr>
          <w:lang w:val="en-GB"/>
        </w:rPr>
      </w:pPr>
      <w:r w:rsidRPr="00B56453">
        <w:rPr>
          <w:lang w:val="en-GB"/>
        </w:rPr>
        <w:t>Perceptions of the support received and its influencing effects were clearly prevalent in the learning behaviours thematic model</w:t>
      </w:r>
      <w:r w:rsidR="00D942E6" w:rsidRPr="00B56453">
        <w:rPr>
          <w:lang w:val="en-GB"/>
        </w:rPr>
        <w:t xml:space="preserve"> (Figure C2.3, page </w:t>
      </w:r>
      <w:r w:rsidR="0094469E" w:rsidRPr="00B56453">
        <w:rPr>
          <w:lang w:val="en-GB"/>
        </w:rPr>
        <w:t>155</w:t>
      </w:r>
      <w:r w:rsidR="00D942E6" w:rsidRPr="00B56453">
        <w:rPr>
          <w:lang w:val="en-GB"/>
        </w:rPr>
        <w:t>)</w:t>
      </w:r>
      <w:r w:rsidRPr="00B56453">
        <w:rPr>
          <w:lang w:val="en-GB"/>
        </w:rPr>
        <w:t xml:space="preserve">, having a strong </w:t>
      </w:r>
      <w:r w:rsidR="009C56B0" w:rsidRPr="00B56453">
        <w:rPr>
          <w:lang w:val="en-GB"/>
        </w:rPr>
        <w:t>directional impact upon learner</w:t>
      </w:r>
      <w:r w:rsidRPr="00B56453">
        <w:rPr>
          <w:lang w:val="en-GB"/>
        </w:rPr>
        <w:t>s</w:t>
      </w:r>
      <w:r w:rsidR="009C56B0" w:rsidRPr="00B56453">
        <w:rPr>
          <w:lang w:val="en-GB"/>
        </w:rPr>
        <w:t>’</w:t>
      </w:r>
      <w:r w:rsidRPr="00B56453">
        <w:rPr>
          <w:lang w:val="en-GB"/>
        </w:rPr>
        <w:t xml:space="preserve"> confidence and motivational beliefs and linking to </w:t>
      </w:r>
      <w:r w:rsidR="009C56B0" w:rsidRPr="00B56453">
        <w:rPr>
          <w:lang w:val="en-GB"/>
        </w:rPr>
        <w:t>s</w:t>
      </w:r>
      <w:r w:rsidRPr="00B56453">
        <w:rPr>
          <w:lang w:val="en-GB"/>
        </w:rPr>
        <w:t xml:space="preserve">elf-evaluation behaviours. </w:t>
      </w:r>
      <w:r w:rsidR="006040AC" w:rsidRPr="00B56453">
        <w:rPr>
          <w:lang w:val="en-GB"/>
        </w:rPr>
        <w:t xml:space="preserve">Learners reflected that, </w:t>
      </w:r>
      <w:r w:rsidRPr="00B56453">
        <w:rPr>
          <w:lang w:val="en-GB"/>
        </w:rPr>
        <w:t>if given another opportunity to do so</w:t>
      </w:r>
      <w:r w:rsidR="006040AC" w:rsidRPr="00B56453">
        <w:rPr>
          <w:lang w:val="en-GB"/>
        </w:rPr>
        <w:t>,</w:t>
      </w:r>
      <w:r w:rsidRPr="00B56453">
        <w:rPr>
          <w:lang w:val="en-GB"/>
        </w:rPr>
        <w:t xml:space="preserve"> they would have worked to better develop productive relationships with their supervisors, indicating a need for </w:t>
      </w:r>
      <w:r w:rsidR="009C56B0" w:rsidRPr="00B56453">
        <w:rPr>
          <w:lang w:val="en-GB"/>
        </w:rPr>
        <w:t>those relationships to be facilitated</w:t>
      </w:r>
      <w:r w:rsidRPr="00B56453">
        <w:rPr>
          <w:lang w:val="en-GB"/>
        </w:rPr>
        <w:t>. The link between the supportive and confidence theme</w:t>
      </w:r>
      <w:r w:rsidR="009C56B0" w:rsidRPr="00B56453">
        <w:rPr>
          <w:lang w:val="en-GB"/>
        </w:rPr>
        <w:t>s</w:t>
      </w:r>
      <w:r w:rsidRPr="00B56453">
        <w:rPr>
          <w:lang w:val="en-GB"/>
        </w:rPr>
        <w:t xml:space="preserve"> was particularly impactful</w:t>
      </w:r>
      <w:r w:rsidR="009C56B0" w:rsidRPr="00B56453">
        <w:rPr>
          <w:lang w:val="en-GB"/>
        </w:rPr>
        <w:t>.</w:t>
      </w:r>
      <w:r w:rsidRPr="00B56453">
        <w:rPr>
          <w:lang w:val="en-GB"/>
        </w:rPr>
        <w:t xml:space="preserve"> </w:t>
      </w:r>
      <w:r w:rsidR="009C56B0" w:rsidRPr="00B56453">
        <w:rPr>
          <w:lang w:val="en-GB"/>
        </w:rPr>
        <w:t>L</w:t>
      </w:r>
      <w:r w:rsidRPr="00B56453">
        <w:rPr>
          <w:lang w:val="en-GB"/>
        </w:rPr>
        <w:t>earners who perceived a stronger relationship found that their self-efficacy for skills development benefited as a result of that support and facilitation. Whereas the opposite was true for those who perceived a negative relationship, expressing accounts of avoiding supervisors thereafter leading to maladaptive learning behaviours or a decline in confidence to attempt skills independently. These findings clearly indicate that supervisors have a significant impact upon students</w:t>
      </w:r>
      <w:r w:rsidR="009C56B0" w:rsidRPr="00B56453">
        <w:rPr>
          <w:lang w:val="en-GB"/>
        </w:rPr>
        <w:t>’</w:t>
      </w:r>
      <w:r w:rsidRPr="00B56453">
        <w:rPr>
          <w:lang w:val="en-GB"/>
        </w:rPr>
        <w:t xml:space="preserve"> l</w:t>
      </w:r>
      <w:r w:rsidR="009C56B0" w:rsidRPr="00B56453">
        <w:rPr>
          <w:lang w:val="en-GB"/>
        </w:rPr>
        <w:t xml:space="preserve">earning behaviours on </w:t>
      </w:r>
      <w:r w:rsidR="00483DED" w:rsidRPr="00B56453">
        <w:rPr>
          <w:lang w:val="en-GB"/>
        </w:rPr>
        <w:t xml:space="preserve">clinical </w:t>
      </w:r>
      <w:r w:rsidR="009C56B0" w:rsidRPr="00B56453">
        <w:rPr>
          <w:lang w:val="en-GB"/>
        </w:rPr>
        <w:t>placement.</w:t>
      </w:r>
      <w:r w:rsidR="00D942E6" w:rsidRPr="00B56453">
        <w:rPr>
          <w:lang w:val="en-GB"/>
        </w:rPr>
        <w:t xml:space="preserve"> This emphasises the need for feedback practices to be conversational and developmental as part of a longstanding student-supervisor relationship.</w:t>
      </w:r>
      <w:r w:rsidR="009C56B0" w:rsidRPr="00B56453">
        <w:rPr>
          <w:lang w:val="en-GB"/>
        </w:rPr>
        <w:t xml:space="preserve"> T</w:t>
      </w:r>
      <w:r w:rsidRPr="00B56453">
        <w:rPr>
          <w:lang w:val="en-GB"/>
        </w:rPr>
        <w:t>he thematic model and representative quotes also provide evidence that perceptions of the supportive relationship are interlinked with learners</w:t>
      </w:r>
      <w:r w:rsidR="009C56B0" w:rsidRPr="00B56453">
        <w:rPr>
          <w:lang w:val="en-GB"/>
        </w:rPr>
        <w:t>’</w:t>
      </w:r>
      <w:r w:rsidRPr="00B56453">
        <w:rPr>
          <w:lang w:val="en-GB"/>
        </w:rPr>
        <w:t xml:space="preserve"> SRL behaviours. Facilitated approache</w:t>
      </w:r>
      <w:r w:rsidR="00EF6612" w:rsidRPr="00B56453">
        <w:rPr>
          <w:lang w:val="en-GB"/>
        </w:rPr>
        <w:t>s</w:t>
      </w:r>
      <w:r w:rsidRPr="00B56453">
        <w:rPr>
          <w:lang w:val="en-GB"/>
        </w:rPr>
        <w:t xml:space="preserve"> to feedback and SRL have been recommended previously in the literature, the findings in the present research bolster these with evidence from the medical education field and provide clear examples of the impact upon learners </w:t>
      </w:r>
      <w:r w:rsidRPr="009C2746">
        <w:rPr>
          <w:lang w:val="en-GB"/>
        </w:rPr>
        <w:fldChar w:fldCharType="begin">
          <w:fldData xml:space="preserve">PEVuZE5vdGU+PENpdGU+PEF1dGhvcj5IYXRhbGE8L0F1dGhvcj48WWVhcj4yMDE0PC9ZZWFyPjxS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</w:fldData>
        </w:fldChar>
      </w:r>
      <w:r w:rsidR="008B61BE" w:rsidRPr="00B56453">
        <w:rPr>
          <w:lang w:val="en-GB"/>
        </w:rPr>
        <w:instrText xml:space="preserve"> ADDIN EN.CITE </w:instrText>
      </w:r>
      <w:r w:rsidR="008B61BE" w:rsidRPr="00B27F0B">
        <w:rPr>
          <w:lang w:val="en-GB"/>
        </w:rPr>
        <w:fldChar w:fldCharType="begin">
          <w:fldData xml:space="preserve">PEVuZE5vdGU+PENpdGU+PEF1dGhvcj5IYXRhbGE8L0F1dGhvcj48WWVhcj4yMDE0PC9ZZWFyPjxS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</w:fldData>
        </w:fldChar>
      </w:r>
      <w:r w:rsidR="008B61BE" w:rsidRPr="00B56453">
        <w:rPr>
          <w:lang w:val="en-GB"/>
        </w:rPr>
        <w:instrText xml:space="preserve"> ADDIN EN.CITE.DATA </w:instrText>
      </w:r>
      <w:r w:rsidR="008B61BE" w:rsidRPr="00B27F0B">
        <w:rPr>
          <w:lang w:val="en-GB"/>
        </w:rPr>
      </w:r>
      <w:r w:rsidR="008B61BE" w:rsidRPr="00B27F0B">
        <w:rPr>
          <w:lang w:val="en-GB"/>
        </w:rPr>
        <w:fldChar w:fldCharType="end"/>
      </w:r>
      <w:r w:rsidRPr="00B27F0B">
        <w:rPr>
          <w:lang w:val="en-GB"/>
        </w:rPr>
      </w:r>
      <w:r w:rsidRPr="00B27F0B">
        <w:rPr>
          <w:lang w:val="en-GB"/>
        </w:rPr>
        <w:fldChar w:fldCharType="separate"/>
      </w:r>
      <w:r w:rsidR="004E5A78" w:rsidRPr="00B56453">
        <w:rPr>
          <w:noProof/>
          <w:lang w:val="en-GB"/>
        </w:rPr>
        <w:t>(</w:t>
      </w:r>
      <w:hyperlink w:anchor="_ENREF_183" w:tooltip="Hatala, 2014 #108" w:history="1">
        <w:r w:rsidR="0094469E" w:rsidRPr="00B56453">
          <w:rPr>
            <w:noProof/>
            <w:lang w:val="en-GB"/>
          </w:rPr>
          <w:t>Hatala et al. 2014</w:t>
        </w:r>
      </w:hyperlink>
      <w:r w:rsidR="004E5A78" w:rsidRPr="00B56453">
        <w:rPr>
          <w:noProof/>
          <w:lang w:val="en-GB"/>
        </w:rPr>
        <w:t xml:space="preserve">; </w:t>
      </w:r>
      <w:hyperlink w:anchor="_ENREF_56" w:tooltip="Brydges, 2015 #18" w:history="1">
        <w:r w:rsidR="0094469E" w:rsidRPr="00B56453">
          <w:rPr>
            <w:noProof/>
            <w:lang w:val="en-GB"/>
          </w:rPr>
          <w:t>Brydges et al. 2015</w:t>
        </w:r>
      </w:hyperlink>
      <w:r w:rsidR="004E5A78" w:rsidRPr="00B56453">
        <w:rPr>
          <w:noProof/>
          <w:lang w:val="en-GB"/>
        </w:rPr>
        <w:t xml:space="preserve">; </w:t>
      </w:r>
      <w:hyperlink w:anchor="_ENREF_292" w:tooltip="Murdoch-Eaton, 2017 #710" w:history="1">
        <w:r w:rsidR="0094469E" w:rsidRPr="00B56453">
          <w:rPr>
            <w:noProof/>
            <w:lang w:val="en-GB"/>
          </w:rPr>
          <w:t>Murdoch-Eaton and Bowen 2017</w:t>
        </w:r>
      </w:hyperlink>
      <w:r w:rsidR="004E5A78" w:rsidRPr="00B56453">
        <w:rPr>
          <w:noProof/>
          <w:lang w:val="en-GB"/>
        </w:rPr>
        <w:t>)</w:t>
      </w:r>
      <w:r w:rsidRPr="009C2746">
        <w:rPr>
          <w:lang w:val="en-GB"/>
        </w:rPr>
        <w:fldChar w:fldCharType="end"/>
      </w:r>
      <w:r w:rsidRPr="00B56453">
        <w:rPr>
          <w:lang w:val="en-GB"/>
        </w:rPr>
        <w:t>.</w:t>
      </w:r>
    </w:p>
    <w:p w14:paraId="67C61092" w14:textId="77777777" w:rsidR="00367EA7" w:rsidRPr="00B56453" w:rsidRDefault="00367EA7" w:rsidP="00026049">
      <w:pPr>
        <w:pStyle w:val="Normal1"/>
        <w:rPr>
          <w:lang w:val="en-GB"/>
        </w:rPr>
      </w:pPr>
    </w:p>
    <w:p w14:paraId="2E4969A0" w14:textId="0BA18DB1" w:rsidR="007E6A69" w:rsidRPr="00B56453" w:rsidRDefault="00367EA7" w:rsidP="00026049">
      <w:pPr>
        <w:pStyle w:val="Normal1"/>
        <w:rPr>
          <w:lang w:val="en-GB"/>
        </w:rPr>
      </w:pPr>
      <w:r w:rsidRPr="00B56453">
        <w:rPr>
          <w:lang w:val="en-GB"/>
        </w:rPr>
        <w:t>A strong link was identified between the su</w:t>
      </w:r>
      <w:r w:rsidR="00FC3B02" w:rsidRPr="00B56453">
        <w:rPr>
          <w:lang w:val="en-GB"/>
        </w:rPr>
        <w:t>pportive and credibility themes. The perceived strength of the student-supervisor relationship</w:t>
      </w:r>
      <w:r w:rsidRPr="00B56453">
        <w:rPr>
          <w:lang w:val="en-GB"/>
        </w:rPr>
        <w:t xml:space="preserve"> impacted heavily upon </w:t>
      </w:r>
      <w:r w:rsidR="009C56B0" w:rsidRPr="00B56453">
        <w:rPr>
          <w:lang w:val="en-GB"/>
        </w:rPr>
        <w:t>student</w:t>
      </w:r>
      <w:r w:rsidR="00FC3B02" w:rsidRPr="00B56453">
        <w:rPr>
          <w:lang w:val="en-GB"/>
        </w:rPr>
        <w:t>s</w:t>
      </w:r>
      <w:r w:rsidR="009C56B0" w:rsidRPr="00B56453">
        <w:rPr>
          <w:lang w:val="en-GB"/>
        </w:rPr>
        <w:t>’</w:t>
      </w:r>
      <w:r w:rsidRPr="00B56453">
        <w:rPr>
          <w:lang w:val="en-GB"/>
        </w:rPr>
        <w:t xml:space="preserve"> judgements of the feedback they received, </w:t>
      </w:r>
      <w:r w:rsidR="00FC3B02" w:rsidRPr="00B56453">
        <w:rPr>
          <w:lang w:val="en-GB"/>
        </w:rPr>
        <w:t xml:space="preserve">subsequently affecting how they </w:t>
      </w:r>
      <w:r w:rsidR="00B516A9" w:rsidRPr="00B56453">
        <w:rPr>
          <w:lang w:val="en-GB"/>
        </w:rPr>
        <w:t>interpreted</w:t>
      </w:r>
      <w:r w:rsidR="00FC3B02" w:rsidRPr="00B56453">
        <w:rPr>
          <w:lang w:val="en-GB"/>
        </w:rPr>
        <w:t xml:space="preserve"> the feedback</w:t>
      </w:r>
      <w:r w:rsidRPr="00B56453">
        <w:rPr>
          <w:lang w:val="en-GB"/>
        </w:rPr>
        <w:t>.</w:t>
      </w:r>
      <w:r w:rsidR="00B516A9" w:rsidRPr="00B56453">
        <w:rPr>
          <w:lang w:val="en-GB"/>
        </w:rPr>
        <w:t xml:space="preserve"> However, it was evident from each interview and focus group that different students viewed each member of hospital staff differently in terms of their ability to give good feedback, showing the complexity and range of these judgements</w:t>
      </w:r>
      <w:r w:rsidR="009C56B0" w:rsidRPr="00B56453">
        <w:rPr>
          <w:lang w:val="en-GB"/>
        </w:rPr>
        <w:t>.</w:t>
      </w:r>
      <w:r w:rsidRPr="00B56453">
        <w:rPr>
          <w:lang w:val="en-GB"/>
        </w:rPr>
        <w:t xml:space="preserve"> The impact of cr</w:t>
      </w:r>
      <w:r w:rsidR="009C56B0" w:rsidRPr="00B56453">
        <w:rPr>
          <w:lang w:val="en-GB"/>
        </w:rPr>
        <w:t>edibility judgements on learner</w:t>
      </w:r>
      <w:r w:rsidRPr="00B56453">
        <w:rPr>
          <w:lang w:val="en-GB"/>
        </w:rPr>
        <w:t>s</w:t>
      </w:r>
      <w:r w:rsidR="009C56B0" w:rsidRPr="00B56453">
        <w:rPr>
          <w:lang w:val="en-GB"/>
        </w:rPr>
        <w:t>’</w:t>
      </w:r>
      <w:r w:rsidRPr="00B56453">
        <w:rPr>
          <w:lang w:val="en-GB"/>
        </w:rPr>
        <w:t xml:space="preserve"> feedback perceptions is now well-established knowledge in medical education, although the typical advice given is that teacher</w:t>
      </w:r>
      <w:r w:rsidR="00B516A9" w:rsidRPr="00B56453">
        <w:rPr>
          <w:lang w:val="en-GB"/>
        </w:rPr>
        <w:t>s</w:t>
      </w:r>
      <w:r w:rsidRPr="00B56453">
        <w:rPr>
          <w:lang w:val="en-GB"/>
        </w:rPr>
        <w:t xml:space="preserve"> should simply ‘be aware’ of this influencing factor when giving feedback </w:t>
      </w:r>
      <w:r w:rsidRPr="009C2746">
        <w:rPr>
          <w:lang w:val="en-GB"/>
        </w:rPr>
        <w:fldChar w:fldCharType="begin"/>
      </w:r>
      <w:r w:rsidR="008443D6" w:rsidRPr="00B56453">
        <w:rPr>
          <w:lang w:val="en-GB"/>
        </w:rPr>
        <w:instrText xml:space="preserve"> ADDIN EN.CITE &lt;EndNote&gt;&lt;Cite&gt;&lt;Author&gt;Van De Ridder&lt;/Author&gt;&lt;Year&gt;2014&lt;/Year&gt;&lt;RecNum&gt;525&lt;/RecNum&gt;&lt;DisplayText&gt;(Van de Ridder et al. 2014; Van de Ridder et al. 2015)&lt;/DisplayText&gt;&lt;record&gt;&lt;rec-number&gt;525&lt;/rec-number&gt;&lt;foreign-keys&gt;&lt;key app="EN" db-id="xa2r2ewea92trkef5dt5arvbzafvpv2za5ft" timestamp="1496417551"&gt;525&lt;/key&gt;&lt;/foreign-keys&gt;&lt;ref-type name="Journal Article"&gt;17&lt;/ref-type&gt;&lt;contributors&gt;&lt;authors&gt;&lt;author&gt;Van de Ridder, J. M. Monica&lt;/author&gt;&lt;author&gt;Berk, Francisca C. J.&lt;/author&gt;&lt;author&gt;Stokking, Karel M.&lt;/author&gt;&lt;author&gt;Ten Cate, Olle Th J.&lt;/author&gt;&lt;/authors&gt;&lt;/contributors&gt;&lt;titles&gt;&lt;title&gt;Feedback providers&amp;apos; credibility impacts students&amp;apos; satisfaction with feedback and delayed performance&lt;/title&gt;&lt;secondary-title&gt;Medical teacher&lt;/secondary-title&gt;&lt;/titles&gt;&lt;periodical&gt;&lt;full-title&gt;Medical teacher&lt;/full-title&gt;&lt;/periodical&gt;&lt;pages&gt;1-8&lt;/pages&gt;&lt;volume&gt;37&lt;/volume&gt;&lt;number&gt;8&lt;/number&gt;&lt;dates&gt;&lt;year&gt;2014&lt;/year&gt;&lt;/dates&gt;&lt;publisher&gt;Informa UK Ltd. London&lt;/publisher&gt;&lt;urls&gt;&lt;/urls&gt;&lt;/record&gt;&lt;/Cite&gt;&lt;Cite&gt;&lt;Author&gt;Ridder&lt;/Author&gt;&lt;Year&gt;2015&lt;/Year&gt;&lt;RecNum&gt;211&lt;/RecNum&gt;&lt;record&gt;&lt;rec-number&gt;211&lt;/rec-number&gt;&lt;foreign-keys&gt;&lt;key app="EN" db-id="xa2r2ewea92trkef5dt5arvbzafvpv2za5ft" timestamp="1442161765"&gt;211&lt;/key&gt;&lt;/foreign-keys&gt;&lt;ref-type name="Journal Article"&gt;17&lt;/ref-type&gt;&lt;contributors&gt;&lt;authors&gt;&lt;author&gt;Van de Ridder, J. M. Monica&lt;/author&gt;&lt;author&gt;McGaghie, William C.&lt;/author&gt;&lt;author&gt;Stokking, Karel M.&lt;/author&gt;&lt;author&gt;Ten Cate, Olle Th J.&lt;/author&gt;&lt;/authors&gt;&lt;/contributors&gt;&lt;titles&gt;&lt;title&gt;Variables that affect the process and outcome of feedback, relevant for medical training: a meta</w:instrText>
      </w:r>
      <w:r w:rsidR="008443D6" w:rsidRPr="00B56453">
        <w:rPr>
          <w:rFonts w:ascii="Cambria Math" w:hAnsi="Cambria Math" w:cs="Cambria Math"/>
          <w:lang w:val="en-GB"/>
        </w:rPr>
        <w:instrText>‐</w:instrText>
      </w:r>
      <w:r w:rsidR="008443D6" w:rsidRPr="00B56453">
        <w:rPr>
          <w:lang w:val="en-GB"/>
        </w:rPr>
        <w:instrText>review&lt;/title&gt;&lt;secondary-title&gt;Medical education&lt;/secondary-title&gt;&lt;/titles&gt;&lt;periodical&gt;&lt;full-title&gt;Medical education&lt;/full-title&gt;&lt;/periodical&gt;&lt;pages&gt;658-673&lt;/pages&gt;&lt;volume&gt;49&lt;/volume&gt;&lt;number&gt;7&lt;/number&gt;&lt;dates&gt;&lt;year&gt;2015&lt;/year&gt;&lt;/dates&gt;&lt;publisher&gt;Wiley Online Library&lt;/publisher&gt;&lt;urls&gt;&lt;related-urls&gt;&lt;url&gt;&lt;style face="underline" font="default" size="100%"&gt;http://onlinelibrary.wiley.com/doi/10.1111/medu.12744/abstract&lt;/style&gt;&lt;/url&gt;&lt;/related-urls&gt;&lt;/urls&gt;&lt;/record&gt;&lt;/Cite&gt;&lt;/EndNote&gt;</w:instrText>
      </w:r>
      <w:r w:rsidRPr="00B27F0B">
        <w:rPr>
          <w:lang w:val="en-GB"/>
        </w:rPr>
        <w:fldChar w:fldCharType="separate"/>
      </w:r>
      <w:r w:rsidR="00782498" w:rsidRPr="00B56453">
        <w:rPr>
          <w:noProof/>
          <w:lang w:val="en-GB"/>
        </w:rPr>
        <w:t>(</w:t>
      </w:r>
      <w:hyperlink w:anchor="_ENREF_415" w:tooltip="Van de Ridder, 2014 #524" w:history="1">
        <w:r w:rsidR="0094469E" w:rsidRPr="00B56453">
          <w:rPr>
            <w:noProof/>
            <w:lang w:val="en-GB"/>
          </w:rPr>
          <w:t>Van de Ridder et al. 2014</w:t>
        </w:r>
      </w:hyperlink>
      <w:r w:rsidR="00782498" w:rsidRPr="00B56453">
        <w:rPr>
          <w:noProof/>
          <w:lang w:val="en-GB"/>
        </w:rPr>
        <w:t xml:space="preserve">; </w:t>
      </w:r>
      <w:hyperlink w:anchor="_ENREF_416" w:tooltip="Van de Ridder, 2015 #211" w:history="1">
        <w:r w:rsidR="0094469E" w:rsidRPr="00B56453">
          <w:rPr>
            <w:noProof/>
            <w:lang w:val="en-GB"/>
          </w:rPr>
          <w:t>Van de Ridder et al. 2015</w:t>
        </w:r>
      </w:hyperlink>
      <w:r w:rsidR="00782498" w:rsidRPr="00B56453">
        <w:rPr>
          <w:noProof/>
          <w:lang w:val="en-GB"/>
        </w:rPr>
        <w:t>)</w:t>
      </w:r>
      <w:r w:rsidRPr="009C2746">
        <w:rPr>
          <w:lang w:val="en-GB"/>
        </w:rPr>
        <w:fldChar w:fldCharType="end"/>
      </w:r>
      <w:r w:rsidRPr="00FD5859">
        <w:rPr>
          <w:lang w:val="en-GB"/>
        </w:rPr>
        <w:t>.</w:t>
      </w:r>
      <w:r w:rsidR="007E6A69" w:rsidRPr="00B56453">
        <w:rPr>
          <w:lang w:val="en-GB"/>
        </w:rPr>
        <w:br w:type="page"/>
      </w:r>
    </w:p>
    <w:p w14:paraId="50A82EE4" w14:textId="53CB2648" w:rsidR="00713C7D" w:rsidRPr="00B56453" w:rsidRDefault="00713C7D" w:rsidP="00713C7D">
      <w:pPr>
        <w:pStyle w:val="Heading2"/>
        <w:rPr>
          <w:lang w:val="en-GB"/>
        </w:rPr>
      </w:pPr>
      <w:bookmarkStart w:id="468" w:name="_Toc487456856"/>
      <w:bookmarkStart w:id="469" w:name="_Toc487811236"/>
      <w:bookmarkStart w:id="470" w:name="_Toc488147579"/>
      <w:bookmarkStart w:id="471" w:name="_Toc488309191"/>
      <w:bookmarkStart w:id="472" w:name="_Toc488930153"/>
      <w:bookmarkStart w:id="473" w:name="_Toc489017367"/>
      <w:bookmarkStart w:id="474" w:name="_Toc489447721"/>
      <w:bookmarkStart w:id="475" w:name="_Toc500319447"/>
      <w:r w:rsidRPr="00B56453">
        <w:rPr>
          <w:lang w:val="en-GB"/>
        </w:rPr>
        <w:lastRenderedPageBreak/>
        <w:t>D2.5 Outcome Evaluation</w:t>
      </w:r>
      <w:bookmarkEnd w:id="475"/>
    </w:p>
    <w:p w14:paraId="5F1BBAD1" w14:textId="77777777" w:rsidR="00713C7D" w:rsidRPr="00B56453" w:rsidRDefault="00713C7D" w:rsidP="00713C7D">
      <w:pPr>
        <w:pStyle w:val="Normal1"/>
        <w:rPr>
          <w:lang w:val="en-GB"/>
        </w:rPr>
      </w:pPr>
    </w:p>
    <w:p w14:paraId="45DAC389" w14:textId="3B7E8E61" w:rsidR="00713C7D" w:rsidRPr="00B56453" w:rsidRDefault="00713C7D" w:rsidP="00713C7D">
      <w:pPr>
        <w:pStyle w:val="Normal1"/>
        <w:rPr>
          <w:lang w:val="en-GB"/>
        </w:rPr>
      </w:pPr>
      <w:r w:rsidRPr="00B56453">
        <w:rPr>
          <w:lang w:val="en-GB"/>
        </w:rPr>
        <w:t xml:space="preserve">This outcome evaluation presented here does not aim to be a fully-fledged piece of research. Its purpose was to evaluate the intervention to inform future researchers and practitioners in the development of new educational interventions </w:t>
      </w:r>
      <w:r w:rsidRPr="009C2746">
        <w:rPr>
          <w:lang w:val="en-GB"/>
        </w:rPr>
        <w:fldChar w:fldCharType="begin"/>
      </w:r>
      <w:r w:rsidRPr="00B56453">
        <w:rPr>
          <w:lang w:val="en-GB"/>
        </w:rPr>
        <w:instrText xml:space="preserve"> ADDIN EN.CITE &lt;EndNote&gt;&lt;Cite&gt;&lt;Author&gt;Hutchinson&lt;/Author&gt;&lt;Year&gt;1999&lt;/Year&gt;&lt;RecNum&gt;925&lt;/RecNum&gt;&lt;DisplayText&gt;(Hutchinson 1999)&lt;/DisplayText&gt;&lt;record&gt;&lt;rec-number&gt;925&lt;/rec-number&gt;&lt;foreign-keys&gt;&lt;key app="EN" db-id="xa2r2ewea92trkef5dt5arvbzafvpv2za5ft" timestamp="1498558171"&gt;925&lt;/key&gt;&lt;/foreign-keys&gt;&lt;ref-type name="Journal Article"&gt;17&lt;/ref-type&gt;&lt;contributors&gt;&lt;authors&gt;&lt;author&gt;Hutchinson, Linda&lt;/author&gt;&lt;/authors&gt;&lt;/contributors&gt;&lt;titles&gt;&lt;title&gt;Evaluating and researching the effectiveness of educational interventions&lt;/title&gt;&lt;secondary-title&gt;BMJ: British Medical Journal&lt;/secondary-title&gt;&lt;/titles&gt;&lt;periodical&gt;&lt;full-title&gt;BMJ: British Medical Journal&lt;/full-title&gt;&lt;/periodical&gt;&lt;pages&gt;1267&lt;/pages&gt;&lt;volume&gt;318&lt;/volume&gt;&lt;number&gt;7193&lt;/number&gt;&lt;dates&gt;&lt;year&gt;1999&lt;/year&gt;&lt;/dates&gt;&lt;urls&gt;&lt;/urls&gt;&lt;/record&gt;&lt;/Cite&gt;&lt;/EndNote&gt;</w:instrText>
      </w:r>
      <w:r w:rsidRPr="00B27F0B">
        <w:rPr>
          <w:lang w:val="en-GB"/>
        </w:rPr>
        <w:fldChar w:fldCharType="separate"/>
      </w:r>
      <w:r w:rsidRPr="00B56453">
        <w:rPr>
          <w:noProof/>
          <w:lang w:val="en-GB"/>
        </w:rPr>
        <w:t>(</w:t>
      </w:r>
      <w:hyperlink w:anchor="_ENREF_196" w:tooltip="Hutchinson, 1999 #925" w:history="1">
        <w:r w:rsidR="0094469E" w:rsidRPr="00B56453">
          <w:rPr>
            <w:noProof/>
            <w:lang w:val="en-GB"/>
          </w:rPr>
          <w:t>Hutchinson 1999</w:t>
        </w:r>
      </w:hyperlink>
      <w:r w:rsidRPr="00B56453">
        <w:rPr>
          <w:noProof/>
          <w:lang w:val="en-GB"/>
        </w:rPr>
        <w:t>)</w:t>
      </w:r>
      <w:r w:rsidRPr="009C2746">
        <w:rPr>
          <w:lang w:val="en-GB"/>
        </w:rPr>
        <w:fldChar w:fldCharType="end"/>
      </w:r>
      <w:r w:rsidRPr="00B56453">
        <w:rPr>
          <w:lang w:val="en-GB"/>
        </w:rPr>
        <w:t>. The following intended outcomes were identified for exploration in Chapter B1 and are evaluated sequentially here.</w:t>
      </w:r>
    </w:p>
    <w:p w14:paraId="748C2FEA" w14:textId="77777777" w:rsidR="00713C7D" w:rsidRPr="00B56453" w:rsidRDefault="00713C7D" w:rsidP="00713C7D">
      <w:pPr>
        <w:pStyle w:val="Normal1"/>
        <w:rPr>
          <w:lang w:val="en-GB"/>
        </w:rPr>
      </w:pPr>
    </w:p>
    <w:p w14:paraId="41171959" w14:textId="0339AD3F" w:rsidR="00713C7D" w:rsidRPr="00B56453" w:rsidRDefault="00713C7D" w:rsidP="00713C7D">
      <w:pPr>
        <w:pStyle w:val="Heading3"/>
      </w:pPr>
      <w:bookmarkStart w:id="476" w:name="_Toc500319448"/>
      <w:r w:rsidRPr="00B56453">
        <w:t>D2.5</w:t>
      </w:r>
      <w:r w:rsidR="0051568B" w:rsidRPr="00B56453">
        <w:t>.1 Feedback P</w:t>
      </w:r>
      <w:r w:rsidRPr="00B56453">
        <w:t>erception,</w:t>
      </w:r>
      <w:r w:rsidR="0051568B" w:rsidRPr="00B56453">
        <w:t xml:space="preserve"> Recognition, and Use for Future L</w:t>
      </w:r>
      <w:r w:rsidRPr="00B56453">
        <w:t>earning</w:t>
      </w:r>
      <w:bookmarkEnd w:id="476"/>
    </w:p>
    <w:p w14:paraId="2E343031" w14:textId="77777777" w:rsidR="00713C7D" w:rsidRPr="00B56453" w:rsidRDefault="00713C7D" w:rsidP="00713C7D">
      <w:pPr>
        <w:pStyle w:val="Normal1"/>
        <w:rPr>
          <w:lang w:val="en-GB"/>
        </w:rPr>
      </w:pPr>
    </w:p>
    <w:p w14:paraId="23299EDF" w14:textId="70D59DFC" w:rsidR="00713C7D" w:rsidRPr="00B56453" w:rsidRDefault="00713C7D" w:rsidP="00713C7D">
      <w:pPr>
        <w:pStyle w:val="Normal1"/>
        <w:rPr>
          <w:lang w:val="en-GB"/>
        </w:rPr>
      </w:pPr>
      <w:r w:rsidRPr="00B56453">
        <w:rPr>
          <w:lang w:val="en-GB"/>
        </w:rPr>
        <w:t>These outcomes were explored in the qualitative strand of this research using focus groups and interviews with students. Use of feedback for future learning was difficult to address as no students explicitly mentioned feedback that they had received from the feedback models, likely due to the time that had passed since. A clearer effect could be seen in how learners perceived and recognised feedback in their clinical learning experiences. In the feedback behaviours model students from the SRLF group were dominant, describing many more of the key themes and relationships than students in the BPF group. SRLF students were aware of how their perceptions of feedback were influenced by contextual factors present in the clinical environment, having implications particularly for credibility judgements and perceptions of supervision.</w:t>
      </w:r>
    </w:p>
    <w:p w14:paraId="0EC0870A" w14:textId="77777777" w:rsidR="00713C7D" w:rsidRPr="00B56453" w:rsidRDefault="00713C7D" w:rsidP="00713C7D">
      <w:pPr>
        <w:pStyle w:val="Normal1"/>
        <w:rPr>
          <w:lang w:val="en-GB"/>
        </w:rPr>
      </w:pPr>
    </w:p>
    <w:p w14:paraId="0B093CB0" w14:textId="77777777" w:rsidR="00713C7D" w:rsidRPr="00B56453" w:rsidRDefault="00713C7D" w:rsidP="00713C7D">
      <w:pPr>
        <w:pStyle w:val="Normal1"/>
        <w:rPr>
          <w:lang w:val="en-GB"/>
        </w:rPr>
      </w:pPr>
      <w:r w:rsidRPr="00B56453">
        <w:rPr>
          <w:lang w:val="en-GB"/>
        </w:rPr>
        <w:t>However, it was not appropriate to link this finding directly to the feedback models as there is no explicit process information or qualitative evidence to support the link apart from the instances of quotes in the feedback behaviours thematic model. Apart from this research there is no evidence to suggest a link between levels of SRL capacity and feedback behaviours. Further research should aim to directly explore this potential link which could inform faculty development interventions and further strengthen the link between SRL development and feedback.</w:t>
      </w:r>
    </w:p>
    <w:p w14:paraId="7C69EC4C" w14:textId="77777777" w:rsidR="00713C7D" w:rsidRPr="00B56453" w:rsidRDefault="00713C7D" w:rsidP="00713C7D">
      <w:pPr>
        <w:pStyle w:val="Normal1"/>
        <w:rPr>
          <w:lang w:val="en-GB"/>
        </w:rPr>
      </w:pPr>
    </w:p>
    <w:p w14:paraId="069B20F0" w14:textId="66DFB129" w:rsidR="00713C7D" w:rsidRPr="00B56453" w:rsidRDefault="0051568B" w:rsidP="00713C7D">
      <w:pPr>
        <w:pStyle w:val="Heading3"/>
      </w:pPr>
      <w:bookmarkStart w:id="477" w:name="_Toc500319449"/>
      <w:r w:rsidRPr="00B56453">
        <w:t>D2.5.2 SRL Capacity and Self-efficacy B</w:t>
      </w:r>
      <w:r w:rsidR="00713C7D" w:rsidRPr="00B56453">
        <w:t>eliefs</w:t>
      </w:r>
      <w:bookmarkEnd w:id="477"/>
    </w:p>
    <w:p w14:paraId="084B5E73" w14:textId="77777777" w:rsidR="00713C7D" w:rsidRPr="00B56453" w:rsidRDefault="00713C7D" w:rsidP="00713C7D">
      <w:pPr>
        <w:pStyle w:val="Normal1"/>
        <w:rPr>
          <w:lang w:val="en-GB"/>
        </w:rPr>
      </w:pPr>
    </w:p>
    <w:p w14:paraId="4E730B49" w14:textId="77777777" w:rsidR="00713C7D" w:rsidRPr="00B56453" w:rsidRDefault="00713C7D" w:rsidP="00713C7D">
      <w:pPr>
        <w:pStyle w:val="Normal1"/>
        <w:rPr>
          <w:lang w:val="en-GB"/>
        </w:rPr>
      </w:pPr>
      <w:r w:rsidRPr="00B56453">
        <w:rPr>
          <w:lang w:val="en-GB"/>
        </w:rPr>
        <w:t xml:space="preserve">These outcome measures were evaluated at three different time-points in the quantitative strand using surveys (see Chapter B3). The SRLF model was found to have had a more significant positive impact upon students’ SRL capacity and self-efficacy beliefs compared to the BPF model. These findings are encouraging as the goal of using </w:t>
      </w:r>
      <w:r w:rsidRPr="00B56453">
        <w:rPr>
          <w:lang w:val="en-GB"/>
        </w:rPr>
        <w:lastRenderedPageBreak/>
        <w:t xml:space="preserve">SRL MA to give SRLF was to develop both SRL and self-efficacy more broadly which the surveys suggest it did. The process evaluation of how the intervention and feedback models were delivered gives some credibility to this finding and suggest potential mechanisms of impact which aim to explain how the intervention worked. Although not fully conclusive, these findings indicate that SRL MA is a viable method to empower students’ SRL and self-efficacy in authentic medical education contexts. </w:t>
      </w:r>
    </w:p>
    <w:p w14:paraId="2E84E17D" w14:textId="77777777" w:rsidR="00713C7D" w:rsidRPr="00B56453" w:rsidRDefault="00713C7D" w:rsidP="00713C7D">
      <w:pPr>
        <w:pStyle w:val="Normal1"/>
        <w:rPr>
          <w:lang w:val="en-GB"/>
        </w:rPr>
      </w:pPr>
    </w:p>
    <w:p w14:paraId="3ACB3674" w14:textId="74DADB13" w:rsidR="00713C7D" w:rsidRPr="00B56453" w:rsidRDefault="00713C7D" w:rsidP="00713C7D">
      <w:pPr>
        <w:pStyle w:val="Normal1"/>
        <w:rPr>
          <w:lang w:val="en-GB"/>
        </w:rPr>
      </w:pPr>
      <w:r w:rsidRPr="00B56453">
        <w:rPr>
          <w:lang w:val="en-GB"/>
        </w:rPr>
        <w:t xml:space="preserve">These findings should be considered in light of limitations including issues with self-report measures. It is also important to consider that the questionnaires measured ‘trait’ SRL (a general view of SRL processes unaffected by the situation), whereas SRL processes are often differently used depending upon the context and situation i.e. ‘state’ measure. The use of mixed methods attempted to address these issues but other researchers should aim to confirm these findings in </w:t>
      </w:r>
      <w:r w:rsidR="00B56453" w:rsidRPr="00B56453">
        <w:rPr>
          <w:lang w:val="en-GB"/>
        </w:rPr>
        <w:t>other</w:t>
      </w:r>
      <w:r w:rsidRPr="00B56453">
        <w:rPr>
          <w:lang w:val="en-GB"/>
        </w:rPr>
        <w:t xml:space="preserve"> contexts.</w:t>
      </w:r>
    </w:p>
    <w:p w14:paraId="20F4C2E7" w14:textId="77777777" w:rsidR="00713C7D" w:rsidRPr="00B56453" w:rsidRDefault="00713C7D" w:rsidP="00713C7D">
      <w:pPr>
        <w:pStyle w:val="Normal1"/>
        <w:rPr>
          <w:lang w:val="en-GB"/>
        </w:rPr>
      </w:pPr>
    </w:p>
    <w:p w14:paraId="68E5EBB0" w14:textId="36A94AE8" w:rsidR="00713C7D" w:rsidRPr="00B56453" w:rsidRDefault="00713C7D" w:rsidP="00713C7D">
      <w:pPr>
        <w:pStyle w:val="Heading3"/>
      </w:pPr>
      <w:bookmarkStart w:id="478" w:name="_Toc500319450"/>
      <w:r w:rsidRPr="00B56453">
        <w:t>D2.5</w:t>
      </w:r>
      <w:r w:rsidR="0051568B" w:rsidRPr="00B56453">
        <w:t>.3 SRL Behaviours Relating to Clinical L</w:t>
      </w:r>
      <w:r w:rsidRPr="00B56453">
        <w:t>earning</w:t>
      </w:r>
      <w:bookmarkEnd w:id="478"/>
    </w:p>
    <w:p w14:paraId="578F9B9F" w14:textId="77777777" w:rsidR="00713C7D" w:rsidRPr="00B56453" w:rsidRDefault="00713C7D" w:rsidP="00713C7D">
      <w:pPr>
        <w:pStyle w:val="Normal1"/>
        <w:rPr>
          <w:lang w:val="en-GB"/>
        </w:rPr>
      </w:pPr>
    </w:p>
    <w:p w14:paraId="3B52170D" w14:textId="1DBBF9DB" w:rsidR="00713C7D" w:rsidRPr="00B56453" w:rsidRDefault="00713C7D" w:rsidP="00713C7D">
      <w:pPr>
        <w:pStyle w:val="Normal1"/>
        <w:rPr>
          <w:lang w:val="en-GB"/>
        </w:rPr>
      </w:pPr>
      <w:r w:rsidRPr="00B56453">
        <w:rPr>
          <w:lang w:val="en-GB"/>
        </w:rPr>
        <w:t xml:space="preserve">The feedback models had some impact upon learning behaviours, although students did not explicitly identify a link between specific instances of feedback and their clinical learning experience. Three clear SRL behaviours were identified in Chapter C2: (1) Confidence and motivational beliefs; (2) Planning and monitoring; (3) Self-evaluation. Students in the SRLF group articulated examples of these more than their peers from the BPF group in focus groups and interviews, showing more positive SRL processes which they used to engage with their clinical learning. Those behaviours mapped closely to the three-phase processes from Zimmerman’s model which was used in designing the SRL MA protocol, </w:t>
      </w:r>
      <w:r w:rsidR="00C47666" w:rsidRPr="00B56453">
        <w:rPr>
          <w:lang w:val="en-GB"/>
        </w:rPr>
        <w:t>suggesting</w:t>
      </w:r>
      <w:r w:rsidRPr="00B56453">
        <w:rPr>
          <w:lang w:val="en-GB"/>
        </w:rPr>
        <w:t xml:space="preserve"> a potential longer-term impact of the SRLF model. However, these examples were predominantly related to broader learning behaviours including their own learning goals/priorities and how they communicated with their supervisors. The aim of the intervention was to empower students’ SRL using SRLF, thus this finding was in line with that aim rather than improving specific clinical skills performance.</w:t>
      </w:r>
    </w:p>
    <w:p w14:paraId="574B23F7" w14:textId="77777777" w:rsidR="00713C7D" w:rsidRPr="00B56453" w:rsidRDefault="00713C7D" w:rsidP="00713C7D">
      <w:pPr>
        <w:pStyle w:val="Normal1"/>
        <w:rPr>
          <w:lang w:val="en-GB"/>
        </w:rPr>
      </w:pPr>
    </w:p>
    <w:p w14:paraId="78AF9730" w14:textId="77777777" w:rsidR="00713C7D" w:rsidRPr="00B56453" w:rsidRDefault="00713C7D" w:rsidP="00713C7D">
      <w:pPr>
        <w:pStyle w:val="Normal1"/>
        <w:rPr>
          <w:lang w:val="en-GB"/>
        </w:rPr>
      </w:pPr>
      <w:r w:rsidRPr="00B56453">
        <w:rPr>
          <w:lang w:val="en-GB"/>
        </w:rPr>
        <w:t xml:space="preserve">Although mostly students in the SRLF group reported SRL behaviours related to their learning on clinical placement, some students in the BPF group also described positive SRL behaviours. SRL skills vary across individuals and are trainable; some maintain high levels of SRL compared to others across situations and are less affected by external </w:t>
      </w:r>
      <w:r w:rsidRPr="00B56453">
        <w:rPr>
          <w:lang w:val="en-GB"/>
        </w:rPr>
        <w:lastRenderedPageBreak/>
        <w:t>interventions. Students from the BPF group who described a high level of SRL in their learning behaviours may have been those enduringly proficient SRL individuals. The same argument applies to those in the SRLF group for learning behaviours, although they were more prevalent in that theme. However, the only sampling characteristic that was found to have had an impact in the qualitative analysis was the feedback model (SRLF or BPF), not SSRQ scores. The sample size used in this research may not have been large enough to detect this likely subtle effect and researchers should aim to address this in the future by recruiting more participants to test this hypothesis.</w:t>
      </w:r>
    </w:p>
    <w:p w14:paraId="03481230" w14:textId="77777777" w:rsidR="00713C7D" w:rsidRPr="00B56453" w:rsidRDefault="00713C7D" w:rsidP="00713C7D">
      <w:pPr>
        <w:pStyle w:val="Normal1"/>
        <w:rPr>
          <w:lang w:val="en-GB"/>
        </w:rPr>
      </w:pPr>
    </w:p>
    <w:p w14:paraId="7EEE77C0" w14:textId="7FCEE7D4" w:rsidR="00713C7D" w:rsidRPr="00B56453" w:rsidRDefault="00713C7D" w:rsidP="00713C7D">
      <w:pPr>
        <w:pStyle w:val="Normal1"/>
        <w:rPr>
          <w:rFonts w:asciiTheme="majorHAnsi" w:hAnsiTheme="majorHAnsi"/>
          <w:color w:val="2E74B5" w:themeColor="accent1" w:themeShade="BF"/>
          <w:sz w:val="32"/>
          <w:szCs w:val="32"/>
          <w:lang w:val="en-GB"/>
        </w:rPr>
      </w:pPr>
      <w:r w:rsidRPr="00B56453">
        <w:rPr>
          <w:lang w:val="en-GB"/>
        </w:rPr>
        <w:t>Overall, the SRLF model can be said to have had a positive impact upon students’ SRL behaviours related to clinical learning</w:t>
      </w:r>
      <w:r w:rsidR="00C47666" w:rsidRPr="00B56453">
        <w:rPr>
          <w:lang w:val="en-GB"/>
        </w:rPr>
        <w:t xml:space="preserve"> in the context of this study</w:t>
      </w:r>
      <w:r w:rsidRPr="00B56453">
        <w:rPr>
          <w:lang w:val="en-GB"/>
        </w:rPr>
        <w:t>. However, a more in-depth exploration involving additional objective measures would be needed to fully confirm this finding. Repeated qualitative measures may also be useful in understanding the longevity of this impact.</w:t>
      </w:r>
      <w:r w:rsidRPr="00B56453">
        <w:rPr>
          <w:lang w:val="en-GB"/>
        </w:rPr>
        <w:br w:type="page"/>
      </w:r>
    </w:p>
    <w:p w14:paraId="2F1EE95C" w14:textId="6C1C73E6" w:rsidR="00713C7D" w:rsidRPr="00B56453" w:rsidRDefault="00713C7D" w:rsidP="00713C7D">
      <w:pPr>
        <w:pStyle w:val="Heading2"/>
        <w:rPr>
          <w:lang w:val="en-GB"/>
        </w:rPr>
      </w:pPr>
      <w:bookmarkStart w:id="479" w:name="_Toc500319451"/>
      <w:r w:rsidRPr="00B56453">
        <w:rPr>
          <w:lang w:val="en-GB"/>
        </w:rPr>
        <w:lastRenderedPageBreak/>
        <w:t>D2.6 Limitations</w:t>
      </w:r>
      <w:bookmarkEnd w:id="479"/>
    </w:p>
    <w:p w14:paraId="4FEB4962" w14:textId="77777777" w:rsidR="00713C7D" w:rsidRPr="00B56453" w:rsidRDefault="00713C7D" w:rsidP="00713C7D">
      <w:pPr>
        <w:pStyle w:val="Normal1"/>
        <w:rPr>
          <w:lang w:val="en-GB"/>
        </w:rPr>
      </w:pPr>
    </w:p>
    <w:p w14:paraId="106B2213" w14:textId="1352DD8F" w:rsidR="00713C7D" w:rsidRPr="00B56453" w:rsidRDefault="00713C7D" w:rsidP="00713C7D">
      <w:pPr>
        <w:pStyle w:val="Heading3"/>
      </w:pPr>
      <w:bookmarkStart w:id="480" w:name="_Toc500319452"/>
      <w:r w:rsidRPr="00B56453">
        <w:t xml:space="preserve">D2.6.1 Self-report </w:t>
      </w:r>
      <w:r w:rsidR="00C47666" w:rsidRPr="00B56453">
        <w:t>M</w:t>
      </w:r>
      <w:r w:rsidRPr="00B56453">
        <w:t>easures</w:t>
      </w:r>
      <w:bookmarkEnd w:id="480"/>
    </w:p>
    <w:p w14:paraId="7906F4D6" w14:textId="77777777" w:rsidR="00713C7D" w:rsidRPr="00B56453" w:rsidRDefault="00713C7D" w:rsidP="00713C7D">
      <w:pPr>
        <w:pStyle w:val="Normal1"/>
        <w:rPr>
          <w:lang w:val="en-GB"/>
        </w:rPr>
      </w:pPr>
    </w:p>
    <w:p w14:paraId="1AEBAFF4" w14:textId="377C1A2E" w:rsidR="00713C7D" w:rsidRPr="00B56453" w:rsidRDefault="00713C7D" w:rsidP="00713C7D">
      <w:pPr>
        <w:pStyle w:val="Normal1"/>
        <w:rPr>
          <w:rFonts w:cs="VnssbvAdvTT3713a231"/>
          <w:lang w:val="en-GB"/>
        </w:rPr>
      </w:pPr>
      <w:r w:rsidRPr="00B56453">
        <w:rPr>
          <w:lang w:val="en-GB"/>
        </w:rPr>
        <w:t xml:space="preserve">Self-report measures were the only form of data collection used in this research. This could be viewed as a limitation in the accuracy of the findings due to the problematic misjudgements medical trainees make when assessing themselves. The use of self-report measures can be problematic as medical trainees’ self-assessment skills have previously been shown as inaccurate in many cases </w:t>
      </w:r>
      <w:r w:rsidRPr="007638B6">
        <w:rPr>
          <w:lang w:val="en-GB"/>
        </w:rPr>
        <w:fldChar w:fldCharType="begin"/>
      </w:r>
      <w:r w:rsidRPr="00B56453">
        <w:rPr>
          <w:lang w:val="en-GB"/>
        </w:rPr>
        <w:instrText xml:space="preserve"> ADDIN EN.CITE &lt;EndNote&gt;&lt;Cite&gt;&lt;Author&gt;Norman&lt;/Author&gt;&lt;Year&gt;2002&lt;/Year&gt;&lt;RecNum&gt;459&lt;/RecNum&gt;&lt;DisplayText&gt;(Norman et al. 2002)&lt;/DisplayText&gt;&lt;record&gt;&lt;rec-number&gt;459&lt;/rec-number&gt;&lt;foreign-keys&gt;&lt;key app="EN" db-id="xa2r2ewea92trkef5dt5arvbzafvpv2za5ft" timestamp="1496417547"&gt;459&lt;/key&gt;&lt;/foreign-keys&gt;&lt;ref-type name="Book"&gt;6&lt;/ref-type&gt;&lt;contributors&gt;&lt;authors&gt;&lt;author&gt;Norman, Geoffrey R.&lt;/author&gt;&lt;author&gt;Van Der Vleuten, Cees P. M.&lt;/author&gt;&lt;author&gt;Newble, David I.&lt;/author&gt;&lt;/authors&gt;&lt;/contributors&gt;&lt;titles&gt;&lt;title&gt;International handbook of research in medical education&lt;/title&gt;&lt;/titles&gt;&lt;volume&gt;7&lt;/volume&gt;&lt;number&gt;Book, Whole&lt;/number&gt;&lt;dates&gt;&lt;year&gt;2002&lt;/year&gt;&lt;/dates&gt;&lt;publisher&gt;Springer Science &amp;amp; Business Media&lt;/publisher&gt;&lt;urls&gt;&lt;/urls&gt;&lt;/record&gt;&lt;/Cite&gt;&lt;/EndNote&gt;</w:instrText>
      </w:r>
      <w:r w:rsidRPr="00B27F0B">
        <w:rPr>
          <w:lang w:val="en-GB"/>
        </w:rPr>
        <w:fldChar w:fldCharType="separate"/>
      </w:r>
      <w:r w:rsidRPr="00B56453">
        <w:rPr>
          <w:noProof/>
          <w:lang w:val="en-GB"/>
        </w:rPr>
        <w:t>(</w:t>
      </w:r>
      <w:hyperlink w:anchor="_ENREF_305" w:tooltip="Norman, 2002 #459" w:history="1">
        <w:r w:rsidR="0094469E" w:rsidRPr="00B56453">
          <w:rPr>
            <w:noProof/>
            <w:lang w:val="en-GB"/>
          </w:rPr>
          <w:t>Norman et al. 2002</w:t>
        </w:r>
      </w:hyperlink>
      <w:r w:rsidRPr="00B56453">
        <w:rPr>
          <w:noProof/>
          <w:lang w:val="en-GB"/>
        </w:rPr>
        <w:t>)</w:t>
      </w:r>
      <w:r w:rsidRPr="007638B6">
        <w:rPr>
          <w:lang w:val="en-GB"/>
        </w:rPr>
        <w:fldChar w:fldCharType="end"/>
      </w:r>
      <w:r w:rsidRPr="00FD5859">
        <w:rPr>
          <w:lang w:val="en-GB"/>
        </w:rPr>
        <w:t xml:space="preserve">. Conversely, </w:t>
      </w:r>
      <w:hyperlink w:anchor="_ENREF_263" w:tooltip="McCardle, 2015 #160" w:history="1">
        <w:r w:rsidR="0094469E" w:rsidRPr="00B27F0B">
          <w:rPr>
            <w:lang w:val="en-GB"/>
          </w:rPr>
          <w:fldChar w:fldCharType="begin"/>
        </w:r>
        <w:r w:rsidR="0094469E" w:rsidRPr="00B56453">
          <w:rPr>
            <w:lang w:val="en-GB"/>
          </w:rPr>
          <w:instrText xml:space="preserve"> ADDIN EN.CITE &lt;EndNote&gt;&lt;Cite AuthorYear="1"&gt;&lt;Author&gt;McCardle&lt;/Author&gt;&lt;Year&gt;2015&lt;/Year&gt;&lt;RecNum&gt;437&lt;/RecNum&gt;&lt;DisplayText&gt;McCardle and Hadwin (2015)&lt;/DisplayText&gt;&lt;record&gt;&lt;rec-number&gt;437&lt;/rec-number&gt;&lt;foreign-keys&gt;&lt;key app="EN" db-id="xa2r2ewea92trkef5dt5arvbzafvpv2za5ft" timestamp="1496417545"&gt;437&lt;/key&gt;&lt;/foreign-keys&gt;&lt;ref-type name="Journal Article"&gt;17&lt;/ref-type&gt;&lt;contributors&gt;&lt;authors&gt;&lt;author&gt;McCardle, Lindsay&lt;/author&gt;&lt;author&gt;Hadwin, Allyson F.&lt;/author&gt;&lt;/authors&gt;&lt;/contributors&gt;&lt;titles&gt;&lt;title&gt;Using multiple, contextualized data sources to measure learners’ perceptions of their self-regulated learning&lt;/title&gt;&lt;secondary-title&gt;Metacognition and Learning&lt;/secondary-title&gt;&lt;/titles&gt;&lt;periodical&gt;&lt;full-title&gt;Metacognition and Learning&lt;/full-title&gt;&lt;/periodical&gt;&lt;pages&gt;1-33&lt;/pages&gt;&lt;dates&gt;&lt;year&gt;2015&lt;/year&gt;&lt;/dates&gt;&lt;publisher&gt;Springer&lt;/publisher&gt;&lt;urls&gt;&lt;/urls&gt;&lt;/record&gt;&lt;/Cite&gt;&lt;/EndNote&gt;</w:instrText>
        </w:r>
        <w:r w:rsidR="0094469E" w:rsidRPr="00B27F0B">
          <w:rPr>
            <w:lang w:val="en-GB"/>
          </w:rPr>
          <w:fldChar w:fldCharType="separate"/>
        </w:r>
        <w:r w:rsidR="0094469E" w:rsidRPr="00B56453">
          <w:rPr>
            <w:noProof/>
            <w:lang w:val="en-GB"/>
          </w:rPr>
          <w:t>McCardle and Hadwin (2015)</w:t>
        </w:r>
        <w:r w:rsidR="0094469E" w:rsidRPr="00B27F0B">
          <w:rPr>
            <w:lang w:val="en-GB"/>
          </w:rPr>
          <w:fldChar w:fldCharType="end"/>
        </w:r>
      </w:hyperlink>
      <w:r w:rsidRPr="00FD5859">
        <w:rPr>
          <w:lang w:val="en-GB"/>
        </w:rPr>
        <w:t xml:space="preserve"> argue that self-report measures provide an important insight into learners SRL processes and more importantly their perceptions of them, which are important if a researcher’s goal is to </w:t>
      </w:r>
      <w:r w:rsidRPr="00B56453">
        <w:rPr>
          <w:rFonts w:cs="VnssbvAdvTT3713a231"/>
          <w:lang w:val="en-GB"/>
        </w:rPr>
        <w:t xml:space="preserve">improve or understand how those processes manifest for learners. In this case, future researchers may consider using an additional ethnographic study or collection of cross-referenced supervisor evaluation forms to provide a corroborative measure to validate learners’ self-reported accounts of </w:t>
      </w:r>
      <w:r w:rsidRPr="00B56453">
        <w:rPr>
          <w:lang w:val="en-GB"/>
        </w:rPr>
        <w:t xml:space="preserve">clinical </w:t>
      </w:r>
      <w:r w:rsidRPr="00B56453">
        <w:rPr>
          <w:rFonts w:cs="VnssbvAdvTT3713a231"/>
          <w:lang w:val="en-GB"/>
        </w:rPr>
        <w:t>placement learning behaviours.</w:t>
      </w:r>
    </w:p>
    <w:p w14:paraId="5EC9E101" w14:textId="77777777" w:rsidR="00713C7D" w:rsidRPr="00B56453" w:rsidRDefault="00713C7D" w:rsidP="00713C7D">
      <w:pPr>
        <w:pStyle w:val="Normal1"/>
        <w:rPr>
          <w:lang w:val="en-GB"/>
        </w:rPr>
      </w:pPr>
    </w:p>
    <w:p w14:paraId="01C9DA81" w14:textId="75992FE9" w:rsidR="00713C7D" w:rsidRPr="00B56453" w:rsidRDefault="00713C7D" w:rsidP="00713C7D">
      <w:pPr>
        <w:pStyle w:val="Heading3"/>
      </w:pPr>
      <w:bookmarkStart w:id="481" w:name="_Toc500319453"/>
      <w:r w:rsidRPr="00B56453">
        <w:t>D2.6</w:t>
      </w:r>
      <w:r w:rsidR="00C47666" w:rsidRPr="00B56453">
        <w:t>.2 Single Qualitative M</w:t>
      </w:r>
      <w:r w:rsidRPr="00B56453">
        <w:t>easures</w:t>
      </w:r>
      <w:bookmarkEnd w:id="481"/>
    </w:p>
    <w:p w14:paraId="37D032FF" w14:textId="77777777" w:rsidR="00713C7D" w:rsidRPr="00B56453" w:rsidRDefault="00713C7D" w:rsidP="00713C7D">
      <w:pPr>
        <w:pStyle w:val="Normal1"/>
        <w:rPr>
          <w:lang w:val="en-GB"/>
        </w:rPr>
      </w:pPr>
    </w:p>
    <w:p w14:paraId="494139F4" w14:textId="77777777" w:rsidR="00713C7D" w:rsidRPr="00B56453" w:rsidRDefault="00713C7D" w:rsidP="00713C7D">
      <w:pPr>
        <w:pStyle w:val="Normal1"/>
        <w:rPr>
          <w:lang w:val="en-GB"/>
        </w:rPr>
      </w:pPr>
      <w:r w:rsidRPr="00B56453">
        <w:rPr>
          <w:lang w:val="en-GB"/>
        </w:rPr>
        <w:t>One measure of qualitative evaluation was conducted each for teachers and learners in addition to quantitative methods. Repeated qualitative measures before and after receiving either feedback model with the same students could have yielded a more in-depth account of how the feedback impacted upon them. The mixed methodology used in the study aimed to attenuate this gap by triangulating the data types and perspectives to gain a fuller picture of SRL and feedback behaviours over time. Repeated qualitative methods over time would provide a deeper account of this process but would be difficult logistically due to the time needed to gather this data from enough participants who are already providing a lot of repeated data.</w:t>
      </w:r>
    </w:p>
    <w:p w14:paraId="665923E6" w14:textId="77777777" w:rsidR="00713C7D" w:rsidRPr="00B56453" w:rsidRDefault="00713C7D" w:rsidP="00713C7D">
      <w:pPr>
        <w:pStyle w:val="Normal1"/>
        <w:rPr>
          <w:lang w:val="en-GB"/>
        </w:rPr>
      </w:pPr>
    </w:p>
    <w:p w14:paraId="04C31BBB" w14:textId="3CA2D280" w:rsidR="00713C7D" w:rsidRPr="00B56453" w:rsidRDefault="00713C7D" w:rsidP="00713C7D">
      <w:pPr>
        <w:pStyle w:val="Heading3"/>
      </w:pPr>
      <w:bookmarkStart w:id="482" w:name="_Toc500319454"/>
      <w:r w:rsidRPr="00B56453">
        <w:t xml:space="preserve">D2.6.3 Level of </w:t>
      </w:r>
      <w:r w:rsidR="00C47666" w:rsidRPr="00B56453">
        <w:t>Video An</w:t>
      </w:r>
      <w:r w:rsidRPr="00B56453">
        <w:t>alysis</w:t>
      </w:r>
      <w:bookmarkEnd w:id="482"/>
    </w:p>
    <w:p w14:paraId="4C0B7AFF" w14:textId="77777777" w:rsidR="00713C7D" w:rsidRPr="00B56453" w:rsidRDefault="00713C7D" w:rsidP="00713C7D">
      <w:pPr>
        <w:pStyle w:val="Normal1"/>
        <w:rPr>
          <w:lang w:val="en-GB"/>
        </w:rPr>
      </w:pPr>
    </w:p>
    <w:p w14:paraId="323720DB" w14:textId="07F44B40" w:rsidR="00F129BD" w:rsidRPr="00B56453" w:rsidRDefault="00713C7D" w:rsidP="00713C7D">
      <w:pPr>
        <w:pStyle w:val="Normal1"/>
        <w:rPr>
          <w:lang w:val="en-GB"/>
        </w:rPr>
      </w:pPr>
      <w:r w:rsidRPr="00B56453">
        <w:rPr>
          <w:lang w:val="en-GB"/>
        </w:rPr>
        <w:t xml:space="preserve">Video recordings of each teaching session in simulation were used purely as a tool to verify that teachers had used their assigned feedback model consistently across student groups and that the same students received the same feedback condition across both taught skills. They were not analysed in detail to collect comparative process </w:t>
      </w:r>
      <w:r w:rsidRPr="00B56453">
        <w:rPr>
          <w:lang w:val="en-GB"/>
        </w:rPr>
        <w:lastRenderedPageBreak/>
        <w:t>information, such as the average length of feedback interactions, amount of feedback given, or exactly what feedback was given for each student. The next step could be to conduct a video ethnographic analysis of these recordings to collect these data to further verify the research findings. Additionally, this analysis could be focused on many different factors at play in the session not limited to the one-to-one interactions with learners and teachers, but how the session flowed and what impact the feedback models had on the whole group.</w:t>
      </w:r>
    </w:p>
    <w:p w14:paraId="46B321E3" w14:textId="77777777" w:rsidR="00713C7D" w:rsidRPr="00B56453" w:rsidRDefault="00713C7D" w:rsidP="00713C7D">
      <w:pPr>
        <w:pStyle w:val="Normal1"/>
        <w:rPr>
          <w:lang w:val="en-GB"/>
        </w:rPr>
      </w:pPr>
    </w:p>
    <w:p w14:paraId="6127D981" w14:textId="3543AB7C" w:rsidR="00713C7D" w:rsidRPr="00B56453" w:rsidRDefault="00713C7D" w:rsidP="00713C7D">
      <w:pPr>
        <w:pStyle w:val="Heading3"/>
      </w:pPr>
      <w:bookmarkStart w:id="483" w:name="_Toc500319455"/>
      <w:r w:rsidRPr="00B56453">
        <w:t>D2.6</w:t>
      </w:r>
      <w:r w:rsidR="00C47666" w:rsidRPr="00B56453">
        <w:t>.4 Sample S</w:t>
      </w:r>
      <w:r w:rsidRPr="00B56453">
        <w:t>izes</w:t>
      </w:r>
      <w:bookmarkEnd w:id="483"/>
    </w:p>
    <w:p w14:paraId="50D0141C" w14:textId="77777777" w:rsidR="00713C7D" w:rsidRPr="00B56453" w:rsidRDefault="00713C7D" w:rsidP="00713C7D">
      <w:pPr>
        <w:pStyle w:val="Normal1"/>
        <w:rPr>
          <w:lang w:val="en-GB"/>
        </w:rPr>
      </w:pPr>
    </w:p>
    <w:p w14:paraId="59A065BD" w14:textId="0016936F" w:rsidR="00713C7D" w:rsidRPr="00B56453" w:rsidRDefault="00713C7D" w:rsidP="00713C7D">
      <w:pPr>
        <w:pStyle w:val="Normal1"/>
        <w:rPr>
          <w:lang w:val="en-GB"/>
        </w:rPr>
      </w:pPr>
      <w:r w:rsidRPr="00B56453">
        <w:rPr>
          <w:lang w:val="en-GB"/>
        </w:rPr>
        <w:t xml:space="preserve">The sample size for the quantitative strand of this study was suitable for robust statistical analysis but a much greater sample would be needed to more accurately support the significance of the difference between SRLF and BPF. However, the target sample was a full cohort of medical undergraduates who received their clinical skills teaching at the same time which was important to deliver and evaluate the feedback models concurrently and to explore the transitional period from simulation to clinical environments. The total </w:t>
      </w:r>
      <w:r w:rsidR="00C47666" w:rsidRPr="00B56453">
        <w:rPr>
          <w:lang w:val="en-GB"/>
        </w:rPr>
        <w:t xml:space="preserve">initial </w:t>
      </w:r>
      <w:r w:rsidRPr="00B56453">
        <w:rPr>
          <w:lang w:val="en-GB"/>
        </w:rPr>
        <w:t>sample was 237 and 75% of these students were reached successfully over three iterations – a 12 month period. These results can therefore be considered representative of the majority of the target sample although further research in subsequent cohorts could help to verify the findings presented here. A confirmatory factor analysis could also have been completed if a higher sample was attained, further validating the SSRQ tool.</w:t>
      </w:r>
    </w:p>
    <w:p w14:paraId="796BEF41" w14:textId="77777777" w:rsidR="00713C7D" w:rsidRPr="00B56453" w:rsidRDefault="00713C7D" w:rsidP="00713C7D">
      <w:pPr>
        <w:pStyle w:val="Normal1"/>
        <w:rPr>
          <w:lang w:val="en-GB"/>
        </w:rPr>
      </w:pPr>
    </w:p>
    <w:p w14:paraId="3CC68A86" w14:textId="77777777" w:rsidR="00713C7D" w:rsidRPr="00B56453" w:rsidRDefault="00713C7D" w:rsidP="00713C7D">
      <w:pPr>
        <w:pStyle w:val="Normal1"/>
        <w:rPr>
          <w:lang w:val="en-GB"/>
        </w:rPr>
      </w:pPr>
      <w:r w:rsidRPr="00B56453">
        <w:rPr>
          <w:lang w:val="en-GB"/>
        </w:rPr>
        <w:t>The samples for the qualitative strand of this study concerning both students and teachers were suitable for this type of research, but a greater number of participants would have yielded a more representative view of the target samples. Although in both cases response rates were high for qualitative research, all but one teacher agreed to be interviewed (93%) and 73 students agreed to focus groups or interviews (42.7%).</w:t>
      </w:r>
      <w:r w:rsidRPr="00B56453">
        <w:rPr>
          <w:lang w:val="en-GB"/>
        </w:rPr>
        <w:br w:type="page"/>
      </w:r>
    </w:p>
    <w:p w14:paraId="4FE0C221" w14:textId="1CA459A6" w:rsidR="00713C7D" w:rsidRPr="00B56453" w:rsidRDefault="00713C7D" w:rsidP="00713C7D">
      <w:pPr>
        <w:pStyle w:val="Heading2"/>
        <w:rPr>
          <w:lang w:val="en-GB"/>
        </w:rPr>
      </w:pPr>
      <w:bookmarkStart w:id="484" w:name="_Toc500319456"/>
      <w:r w:rsidRPr="00B56453">
        <w:rPr>
          <w:lang w:val="en-GB"/>
        </w:rPr>
        <w:lastRenderedPageBreak/>
        <w:t>D2.7 Strengths</w:t>
      </w:r>
      <w:bookmarkEnd w:id="484"/>
      <w:r w:rsidRPr="00B56453">
        <w:rPr>
          <w:lang w:val="en-GB"/>
        </w:rPr>
        <w:t xml:space="preserve"> </w:t>
      </w:r>
    </w:p>
    <w:p w14:paraId="7C843EEE" w14:textId="77777777" w:rsidR="00713C7D" w:rsidRPr="00B56453" w:rsidRDefault="00713C7D" w:rsidP="00713C7D">
      <w:pPr>
        <w:pStyle w:val="Normal1"/>
        <w:rPr>
          <w:lang w:val="en-GB"/>
        </w:rPr>
      </w:pPr>
    </w:p>
    <w:p w14:paraId="786F3395" w14:textId="20D0C91B" w:rsidR="00713C7D" w:rsidRPr="00B56453" w:rsidRDefault="00713C7D" w:rsidP="00713C7D">
      <w:pPr>
        <w:pStyle w:val="Heading3"/>
      </w:pPr>
      <w:bookmarkStart w:id="485" w:name="_Toc500319457"/>
      <w:r w:rsidRPr="00B56453">
        <w:t>D2.7</w:t>
      </w:r>
      <w:r w:rsidR="00C47666" w:rsidRPr="00B56453">
        <w:t>.1 Novel Research Focus and Method of I</w:t>
      </w:r>
      <w:r w:rsidRPr="00B56453">
        <w:t>nquiry</w:t>
      </w:r>
      <w:bookmarkEnd w:id="485"/>
    </w:p>
    <w:p w14:paraId="5D1AD689" w14:textId="77777777" w:rsidR="00713C7D" w:rsidRPr="00B56453" w:rsidRDefault="00713C7D" w:rsidP="00713C7D">
      <w:pPr>
        <w:pStyle w:val="Normal1"/>
        <w:rPr>
          <w:lang w:val="en-GB"/>
        </w:rPr>
      </w:pPr>
    </w:p>
    <w:p w14:paraId="69A525E6" w14:textId="5FA15C9F" w:rsidR="00713C7D" w:rsidRPr="00B56453" w:rsidRDefault="00713C7D" w:rsidP="00713C7D">
      <w:pPr>
        <w:pStyle w:val="Normal1"/>
        <w:rPr>
          <w:lang w:val="en-GB"/>
        </w:rPr>
      </w:pPr>
      <w:r w:rsidRPr="00B56453">
        <w:rPr>
          <w:lang w:val="en-GB"/>
        </w:rPr>
        <w:t xml:space="preserve">The primary purpose of this research was to fill an important gap in the knowledge: how medical undergraduates could be empowered in their SRL to transfer from simulated environments to authentic clinical learning settings using targeted feedback. This study is the first to explore this problem and to explicitly combine SRL and feedback in doing so. Other gaps in the literature were also addressed in answering the main research questions that were secondary to the main purpose of this study. There is a lack of longer-term repeated measures studies which tracked SRL development in response to an intervention designed to empower students’ SRL, prior studies often only used immediate measures in controlled laboratory settings. </w:t>
      </w:r>
    </w:p>
    <w:p w14:paraId="7FABEA7A" w14:textId="77777777" w:rsidR="00713C7D" w:rsidRPr="00B56453" w:rsidRDefault="00713C7D" w:rsidP="00713C7D">
      <w:pPr>
        <w:pStyle w:val="Normal1"/>
        <w:rPr>
          <w:lang w:val="en-GB"/>
        </w:rPr>
      </w:pPr>
    </w:p>
    <w:p w14:paraId="014F492E" w14:textId="4ADA90D5" w:rsidR="00713C7D" w:rsidRPr="00B56453" w:rsidRDefault="00713C7D" w:rsidP="00713C7D">
      <w:pPr>
        <w:pStyle w:val="Normal1"/>
        <w:rPr>
          <w:lang w:val="en-GB"/>
        </w:rPr>
      </w:pPr>
      <w:r w:rsidRPr="00B56453">
        <w:rPr>
          <w:lang w:val="en-GB"/>
        </w:rPr>
        <w:t xml:space="preserve">The longitudinal mixed methods design was a </w:t>
      </w:r>
      <w:r w:rsidR="00B263C4" w:rsidRPr="00B56453">
        <w:rPr>
          <w:lang w:val="en-GB"/>
        </w:rPr>
        <w:t>valuable</w:t>
      </w:r>
      <w:r w:rsidRPr="00B56453">
        <w:rPr>
          <w:lang w:val="en-GB"/>
        </w:rPr>
        <w:t xml:space="preserve"> method of exploring feedback and SRL</w:t>
      </w:r>
      <w:r w:rsidR="00B263C4" w:rsidRPr="00B56453">
        <w:rPr>
          <w:lang w:val="en-GB"/>
        </w:rPr>
        <w:t>. I</w:t>
      </w:r>
      <w:r w:rsidRPr="00B56453">
        <w:rPr>
          <w:lang w:val="en-GB"/>
        </w:rPr>
        <w:t xml:space="preserve">t allowed for a contextualised approach to quantitatively and qualitatively evaluate SRL and feedback behaviours across the transition from simulated to real clinical learning environments. Thus a more triangulated and pluralistic view of SRL development and feedback behaviours </w:t>
      </w:r>
      <w:r w:rsidR="00B263C4" w:rsidRPr="00B56453">
        <w:rPr>
          <w:lang w:val="en-GB"/>
        </w:rPr>
        <w:t>has been taken which helps</w:t>
      </w:r>
      <w:r w:rsidRPr="00B56453">
        <w:rPr>
          <w:lang w:val="en-GB"/>
        </w:rPr>
        <w:t xml:space="preserve"> to increase the applicability of these results to other health education settings. </w:t>
      </w:r>
    </w:p>
    <w:p w14:paraId="59B70AC1" w14:textId="77777777" w:rsidR="00713C7D" w:rsidRPr="00B56453" w:rsidRDefault="00713C7D" w:rsidP="00713C7D">
      <w:pPr>
        <w:pStyle w:val="Normal1"/>
        <w:rPr>
          <w:lang w:val="en-GB"/>
        </w:rPr>
      </w:pPr>
    </w:p>
    <w:p w14:paraId="5E246BEC" w14:textId="4F664D53" w:rsidR="00713C7D" w:rsidRPr="00B56453" w:rsidRDefault="00713C7D" w:rsidP="00713C7D">
      <w:pPr>
        <w:pStyle w:val="Heading3"/>
      </w:pPr>
      <w:bookmarkStart w:id="486" w:name="_Toc500319458"/>
      <w:r w:rsidRPr="00B56453">
        <w:t xml:space="preserve">D2.7.2 Authentic </w:t>
      </w:r>
      <w:r w:rsidR="00C47666" w:rsidRPr="00B56453">
        <w:t>S</w:t>
      </w:r>
      <w:r w:rsidRPr="00B56453">
        <w:t>ettings</w:t>
      </w:r>
      <w:bookmarkEnd w:id="486"/>
    </w:p>
    <w:p w14:paraId="364D31EC" w14:textId="77777777" w:rsidR="00713C7D" w:rsidRPr="00B56453" w:rsidRDefault="00713C7D" w:rsidP="00713C7D">
      <w:pPr>
        <w:pStyle w:val="Normal1"/>
        <w:rPr>
          <w:lang w:val="en-GB"/>
        </w:rPr>
      </w:pPr>
    </w:p>
    <w:p w14:paraId="4A8107DF" w14:textId="6780702D" w:rsidR="00713C7D" w:rsidRPr="00B56453" w:rsidRDefault="00713C7D" w:rsidP="00713C7D">
      <w:pPr>
        <w:pStyle w:val="Normal1"/>
        <w:rPr>
          <w:lang w:val="en-GB"/>
        </w:rPr>
      </w:pPr>
      <w:r w:rsidRPr="00B56453">
        <w:rPr>
          <w:lang w:val="en-GB"/>
        </w:rPr>
        <w:t xml:space="preserve">This research explored how a learner’s SRL could be empowered in authentic teaching environments in both simulated and clinical settings, a line of inquiry not attempted before in the literature. One major strength of this study is that it was conducted in contexts that were part of regular clinical skills teaching, in an attempt to add ecological validity and to increase the generalisability of the results </w:t>
      </w:r>
      <w:r w:rsidRPr="009C2746">
        <w:rPr>
          <w:lang w:val="en-GB"/>
        </w:rPr>
        <w:fldChar w:fldCharType="begin"/>
      </w:r>
      <w:r w:rsidRPr="00B56453">
        <w:rPr>
          <w:lang w:val="en-GB"/>
        </w:rPr>
        <w:instrText xml:space="preserve"> ADDIN EN.CITE &lt;EndNote&gt;&lt;Cite&gt;&lt;Author&gt;Lincoln&lt;/Author&gt;&lt;Year&gt;1985&lt;/Year&gt;&lt;RecNum&gt;148&lt;/RecNum&gt;&lt;DisplayText&gt;(Lincoln and Guba 1985)&lt;/DisplayText&gt;&lt;record&gt;&lt;rec-number&gt;148&lt;/rec-number&gt;&lt;foreign-keys&gt;&lt;key app="EN" db-id="xa2r2ewea92trkef5dt5arvbzafvpv2za5ft" timestamp="1442161764"&gt;148&lt;/key&gt;&lt;/foreign-keys&gt;&lt;ref-type name="Book"&gt;6&lt;/ref-type&gt;&lt;contributors&gt;&lt;authors&gt;&lt;author&gt;Lincoln, Yvonna S.&lt;/author&gt;&lt;author&gt;Guba, Egon G.&lt;/author&gt;&lt;/authors&gt;&lt;/contributors&gt;&lt;titles&gt;&lt;title&gt;Naturalistic inquiry&lt;/title&gt;&lt;/titles&gt;&lt;number&gt;Book, Whole&lt;/number&gt;&lt;dates&gt;&lt;year&gt;1985&lt;/year&gt;&lt;/dates&gt;&lt;pub-location&gt;Beverly Hills, CA&lt;/pub-location&gt;&lt;publisher&gt;Sage&lt;/publisher&gt;&lt;urls&gt;&lt;/urls&gt;&lt;/record&gt;&lt;/Cite&gt;&lt;/EndNote&gt;</w:instrText>
      </w:r>
      <w:r w:rsidRPr="00B27F0B">
        <w:rPr>
          <w:lang w:val="en-GB"/>
        </w:rPr>
        <w:fldChar w:fldCharType="separate"/>
      </w:r>
      <w:r w:rsidRPr="00B56453">
        <w:rPr>
          <w:noProof/>
          <w:lang w:val="en-GB"/>
        </w:rPr>
        <w:t>(</w:t>
      </w:r>
      <w:hyperlink w:anchor="_ENREF_243" w:tooltip="Lincoln, 1985 #148" w:history="1">
        <w:r w:rsidR="0094469E" w:rsidRPr="00B56453">
          <w:rPr>
            <w:noProof/>
            <w:lang w:val="en-GB"/>
          </w:rPr>
          <w:t>Lincoln and Guba 1985</w:t>
        </w:r>
      </w:hyperlink>
      <w:r w:rsidRPr="00B56453">
        <w:rPr>
          <w:noProof/>
          <w:lang w:val="en-GB"/>
        </w:rPr>
        <w:t>)</w:t>
      </w:r>
      <w:r w:rsidRPr="009C2746">
        <w:rPr>
          <w:lang w:val="en-GB"/>
        </w:rPr>
        <w:fldChar w:fldCharType="end"/>
      </w:r>
      <w:r w:rsidRPr="00B56453">
        <w:rPr>
          <w:lang w:val="en-GB"/>
        </w:rPr>
        <w:t>. Prior studies which used SRL MA purely for SRL assessment have mostly taken place in laboratory type conditions with a few exceptions</w:t>
      </w:r>
      <w:r w:rsidR="00B263C4" w:rsidRPr="00B56453">
        <w:rPr>
          <w:lang w:val="en-GB"/>
        </w:rPr>
        <w:t>:</w:t>
      </w:r>
      <w:r w:rsidRPr="00B56453">
        <w:rPr>
          <w:lang w:val="en-GB"/>
        </w:rPr>
        <w:t xml:space="preserve"> most notable of which was </w:t>
      </w:r>
      <w:hyperlink w:anchor="_ENREF_2" w:tooltip="Andrews, 2017 #588" w:history="1">
        <w:r w:rsidR="0094469E" w:rsidRPr="00B27F0B">
          <w:rPr>
            <w:lang w:val="en-GB"/>
          </w:rPr>
          <w:fldChar w:fldCharType="begin"/>
        </w:r>
        <w:r w:rsidR="0094469E" w:rsidRPr="00B56453">
          <w:rPr>
            <w:lang w:val="en-GB"/>
          </w:rPr>
          <w:instrText xml:space="preserve"> ADDIN EN.CITE &lt;EndNote&gt;&lt;Cite AuthorYear="1"&gt;&lt;Author&gt;Andrews&lt;/Author&gt;&lt;Year&gt;2017&lt;/Year&gt;&lt;RecNum&gt;588&lt;/RecNum&gt;&lt;DisplayText&gt;Andrews et al. (2017)&lt;/DisplayText&gt;&lt;record&gt;&lt;rec-number&gt;588&lt;/rec-number&gt;&lt;foreign-keys&gt;&lt;key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0094469E" w:rsidRPr="00B27F0B">
          <w:rPr>
            <w:lang w:val="en-GB"/>
          </w:rPr>
          <w:fldChar w:fldCharType="separate"/>
        </w:r>
        <w:r w:rsidR="0094469E" w:rsidRPr="00B56453">
          <w:rPr>
            <w:noProof/>
            <w:lang w:val="en-GB"/>
          </w:rPr>
          <w:t>Andrews et al. (2017)</w:t>
        </w:r>
        <w:r w:rsidR="0094469E" w:rsidRPr="00B27F0B">
          <w:rPr>
            <w:lang w:val="en-GB"/>
          </w:rPr>
          <w:fldChar w:fldCharType="end"/>
        </w:r>
      </w:hyperlink>
      <w:r w:rsidRPr="00FD5859">
        <w:rPr>
          <w:lang w:val="en-GB"/>
        </w:rPr>
        <w:t xml:space="preserve"> who used SRL MA in enhanced support settings</w:t>
      </w:r>
      <w:r w:rsidR="00B263C4" w:rsidRPr="00B56453">
        <w:rPr>
          <w:lang w:val="en-GB"/>
        </w:rPr>
        <w:t>, but did no</w:t>
      </w:r>
      <w:r w:rsidRPr="00B56453">
        <w:rPr>
          <w:lang w:val="en-GB"/>
        </w:rPr>
        <w:t>t provide SRLF</w:t>
      </w:r>
      <w:r w:rsidR="00B263C4" w:rsidRPr="00B56453">
        <w:rPr>
          <w:lang w:val="en-GB"/>
        </w:rPr>
        <w:t>.</w:t>
      </w:r>
    </w:p>
    <w:p w14:paraId="5317C762" w14:textId="77777777" w:rsidR="00713C7D" w:rsidRPr="00B56453" w:rsidRDefault="00713C7D" w:rsidP="00713C7D">
      <w:pPr>
        <w:pStyle w:val="Normal1"/>
        <w:rPr>
          <w:lang w:val="en-GB"/>
        </w:rPr>
      </w:pPr>
    </w:p>
    <w:p w14:paraId="5248DE7B" w14:textId="6C3889FF" w:rsidR="00713C7D" w:rsidRPr="00B56453" w:rsidRDefault="00713C7D" w:rsidP="00713C7D">
      <w:pPr>
        <w:pStyle w:val="Normal1"/>
        <w:rPr>
          <w:lang w:val="en-GB"/>
        </w:rPr>
      </w:pPr>
      <w:r w:rsidRPr="00B56453">
        <w:rPr>
          <w:lang w:val="en-GB"/>
        </w:rPr>
        <w:t xml:space="preserve">SRL is made up of contextualised processes which are directly influenced by the environment and the culture learners are situated in. Given the complexity and </w:t>
      </w:r>
      <w:r w:rsidRPr="00B56453">
        <w:rPr>
          <w:lang w:val="en-GB"/>
        </w:rPr>
        <w:lastRenderedPageBreak/>
        <w:t xml:space="preserve">uncertainty of the clinical learning environment </w:t>
      </w:r>
      <w:r w:rsidRPr="009C2746">
        <w:rPr>
          <w:lang w:val="en-GB"/>
        </w:rPr>
        <w:fldChar w:fldCharType="begin"/>
      </w:r>
      <w:r w:rsidRPr="00B56453">
        <w:rPr>
          <w:lang w:val="en-GB"/>
        </w:rPr>
        <w:instrText xml:space="preserve"> ADDIN EN.CITE &lt;EndNote&gt;&lt;Cite&gt;&lt;Author&gt;Bleakley&lt;/Author&gt;&lt;Year&gt;2011&lt;/Year&gt;&lt;RecNum&gt;291&lt;/RecNum&gt;&lt;DisplayText&gt;(Bleakley et al. 2011)&lt;/DisplayText&gt;&lt;record&gt;&lt;rec-number&gt;291&lt;/rec-number&gt;&lt;foreign-keys&gt;&lt;key app="EN" db-id="xa2r2ewea92trkef5dt5arvbzafvpv2za5ft" timestamp="1496417531"&gt;291&lt;/key&gt;&lt;/foreign-keys&gt;&lt;ref-type name="Book"&gt;6&lt;/ref-type&gt;&lt;contributors&gt;&lt;authors&gt;&lt;author&gt;Bleakley, Alan&lt;/author&gt;&lt;author&gt;Bligh, John&lt;/author&gt;&lt;author&gt;Browne, Julie&lt;/author&gt;&lt;/authors&gt;&lt;/contributors&gt;&lt;titles&gt;&lt;title&gt;Medical education for the future: Identity, power and location&lt;/title&gt;&lt;/titles&gt;&lt;number&gt;Book, Whole&lt;/number&gt;&lt;dates&gt;&lt;year&gt;2011&lt;/year&gt;&lt;/dates&gt;&lt;pub-location&gt;New York&lt;/pub-location&gt;&lt;publisher&gt;Springer&lt;/publisher&gt;&lt;urls&gt;&lt;/urls&gt;&lt;/record&gt;&lt;/Cite&gt;&lt;/EndNote&gt;</w:instrText>
      </w:r>
      <w:r w:rsidRPr="00B27F0B">
        <w:rPr>
          <w:lang w:val="en-GB"/>
        </w:rPr>
        <w:fldChar w:fldCharType="separate"/>
      </w:r>
      <w:r w:rsidRPr="00B56453">
        <w:rPr>
          <w:noProof/>
          <w:lang w:val="en-GB"/>
        </w:rPr>
        <w:t>(</w:t>
      </w:r>
      <w:hyperlink w:anchor="_ENREF_36" w:tooltip="Bleakley, 2011 #14" w:history="1">
        <w:r w:rsidR="0094469E" w:rsidRPr="00B56453">
          <w:rPr>
            <w:noProof/>
            <w:lang w:val="en-GB"/>
          </w:rPr>
          <w:t>Bleakley et al. 2011</w:t>
        </w:r>
      </w:hyperlink>
      <w:r w:rsidRPr="00B56453">
        <w:rPr>
          <w:noProof/>
          <w:lang w:val="en-GB"/>
        </w:rPr>
        <w:t>)</w:t>
      </w:r>
      <w:r w:rsidRPr="009C2746">
        <w:rPr>
          <w:lang w:val="en-GB"/>
        </w:rPr>
        <w:fldChar w:fldCharType="end"/>
      </w:r>
      <w:r w:rsidRPr="00B56453">
        <w:rPr>
          <w:lang w:val="en-GB"/>
        </w:rPr>
        <w:t xml:space="preserve">, it was clear that any study aiming to enhance students’ SRL going into the clinical setting needed to be evaluated both outside and within authentic learning and </w:t>
      </w:r>
      <w:r w:rsidR="00B263C4" w:rsidRPr="00B56453">
        <w:rPr>
          <w:lang w:val="en-GB"/>
        </w:rPr>
        <w:t>teaching environments</w:t>
      </w:r>
      <w:r w:rsidRPr="00B56453">
        <w:rPr>
          <w:lang w:val="en-GB"/>
        </w:rPr>
        <w:t xml:space="preserve"> </w:t>
      </w:r>
      <w:r w:rsidR="00B263C4" w:rsidRPr="00B56453">
        <w:rPr>
          <w:lang w:val="en-GB"/>
        </w:rPr>
        <w:t>using a</w:t>
      </w:r>
      <w:r w:rsidRPr="00B56453">
        <w:rPr>
          <w:lang w:val="en-GB"/>
        </w:rPr>
        <w:t xml:space="preserve"> mixed methods </w:t>
      </w:r>
      <w:r w:rsidR="00B263C4" w:rsidRPr="00B56453">
        <w:rPr>
          <w:lang w:val="en-GB"/>
        </w:rPr>
        <w:t>approach.</w:t>
      </w:r>
      <w:r w:rsidRPr="00B56453">
        <w:rPr>
          <w:lang w:val="en-GB"/>
        </w:rPr>
        <w:t xml:space="preserve"> </w:t>
      </w:r>
      <w:r w:rsidR="00B263C4" w:rsidRPr="00B56453">
        <w:rPr>
          <w:lang w:val="en-GB"/>
        </w:rPr>
        <w:t>A</w:t>
      </w:r>
      <w:r w:rsidRPr="00B56453">
        <w:rPr>
          <w:lang w:val="en-GB"/>
        </w:rPr>
        <w:t xml:space="preserve"> social cognitive view was adopted to better understand how learners could transfer SRL behaviours into the clinical learning environment, taking into account the important role of context and culture which was found to be significant.</w:t>
      </w:r>
    </w:p>
    <w:p w14:paraId="508BF364" w14:textId="77777777" w:rsidR="00713C7D" w:rsidRPr="00B56453" w:rsidRDefault="00713C7D" w:rsidP="00713C7D">
      <w:pPr>
        <w:pStyle w:val="Normal1"/>
        <w:rPr>
          <w:lang w:val="en-GB"/>
        </w:rPr>
      </w:pPr>
    </w:p>
    <w:p w14:paraId="240533F3" w14:textId="1C7BE8D7" w:rsidR="00713C7D" w:rsidRPr="00B56453" w:rsidRDefault="00713C7D" w:rsidP="00713C7D">
      <w:pPr>
        <w:pStyle w:val="Normal1"/>
        <w:rPr>
          <w:lang w:val="en-GB"/>
        </w:rPr>
      </w:pPr>
      <w:r w:rsidRPr="00B56453">
        <w:rPr>
          <w:lang w:val="en-GB"/>
        </w:rPr>
        <w:t xml:space="preserve">The opportunity to explore teachers’ lived experiences and perceptions of teaching using the feedback models in their regular practices was </w:t>
      </w:r>
      <w:r w:rsidR="00B263C4" w:rsidRPr="00B56453">
        <w:rPr>
          <w:lang w:val="en-GB"/>
        </w:rPr>
        <w:t>a key</w:t>
      </w:r>
      <w:r w:rsidRPr="00B56453">
        <w:rPr>
          <w:lang w:val="en-GB"/>
        </w:rPr>
        <w:t xml:space="preserve"> benefit of conducting this study within the scheduled curriculum. Practical insights </w:t>
      </w:r>
      <w:r w:rsidR="00B263C4" w:rsidRPr="00B56453">
        <w:rPr>
          <w:lang w:val="en-GB"/>
        </w:rPr>
        <w:t>are</w:t>
      </w:r>
      <w:r w:rsidRPr="00B56453">
        <w:rPr>
          <w:lang w:val="en-GB"/>
        </w:rPr>
        <w:t xml:space="preserve"> given into how the models could be further incorporated and expanded - mostly operational factors - these would not have been applicable if the study had occurred in laboratory conditions.</w:t>
      </w:r>
    </w:p>
    <w:p w14:paraId="76A6A4FA" w14:textId="77777777" w:rsidR="00713C7D" w:rsidRPr="00B56453" w:rsidRDefault="00713C7D" w:rsidP="00713C7D">
      <w:pPr>
        <w:pStyle w:val="Normal1"/>
        <w:rPr>
          <w:lang w:val="en-GB"/>
        </w:rPr>
      </w:pPr>
    </w:p>
    <w:p w14:paraId="7213F165" w14:textId="67E2DF05" w:rsidR="00713C7D" w:rsidRPr="00B56453" w:rsidRDefault="00713C7D" w:rsidP="00713C7D">
      <w:pPr>
        <w:pStyle w:val="Heading3"/>
      </w:pPr>
      <w:bookmarkStart w:id="487" w:name="_Toc500319459"/>
      <w:r w:rsidRPr="00B56453">
        <w:t>D2.7</w:t>
      </w:r>
      <w:r w:rsidR="00C47666" w:rsidRPr="00B56453">
        <w:t>.3 Structured Feedback A</w:t>
      </w:r>
      <w:r w:rsidRPr="00B56453">
        <w:t>pproach</w:t>
      </w:r>
      <w:bookmarkEnd w:id="487"/>
    </w:p>
    <w:p w14:paraId="0220A329" w14:textId="77777777" w:rsidR="00713C7D" w:rsidRPr="00B56453" w:rsidRDefault="00713C7D" w:rsidP="00713C7D">
      <w:pPr>
        <w:pStyle w:val="Normal1"/>
        <w:rPr>
          <w:lang w:val="en-GB"/>
        </w:rPr>
      </w:pPr>
    </w:p>
    <w:p w14:paraId="39200BED" w14:textId="4737CB48" w:rsidR="00713C7D" w:rsidRPr="00B56453" w:rsidRDefault="00713C7D" w:rsidP="00713C7D">
      <w:pPr>
        <w:pStyle w:val="Normal1"/>
        <w:rPr>
          <w:lang w:val="en-GB"/>
        </w:rPr>
      </w:pPr>
      <w:r w:rsidRPr="00B56453">
        <w:rPr>
          <w:lang w:val="en-GB"/>
        </w:rPr>
        <w:t xml:space="preserve">The faculty development intervention provided teachers with a structured model for giving SRLF. Other medical education teaching interventions in the literature have described providing teachers with feedback rubrics, </w:t>
      </w:r>
      <w:r w:rsidR="00B263C4" w:rsidRPr="00B56453">
        <w:rPr>
          <w:lang w:val="en-GB"/>
        </w:rPr>
        <w:t>however</w:t>
      </w:r>
      <w:r w:rsidRPr="00B56453">
        <w:rPr>
          <w:lang w:val="en-GB"/>
        </w:rPr>
        <w:t xml:space="preserve"> the feedback subsequently given is often unstructured </w:t>
      </w:r>
      <w:r w:rsidRPr="009C2746">
        <w:rPr>
          <w:lang w:val="en-GB"/>
        </w:rPr>
        <w:fldChar w:fldCharType="begin">
          <w:fldData xml:space="preserve">PEVuZE5vdGU+PENpdGU+PEF1dGhvcj5TdGVpbmVydDwvQXV0aG9yPjxZZWFyPjIwMDY8L1llYXI+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</w:fldData>
        </w:fldChar>
      </w:r>
      <w:r w:rsidRPr="00B56453">
        <w:rPr>
          <w:lang w:val="en-GB"/>
        </w:rPr>
        <w:instrText xml:space="preserve"> ADDIN EN.CITE </w:instrText>
      </w:r>
      <w:r w:rsidRPr="00B27F0B">
        <w:rPr>
          <w:lang w:val="en-GB"/>
        </w:rPr>
        <w:fldChar w:fldCharType="begin">
          <w:fldData xml:space="preserve">PEVuZE5vdGU+PENpdGU+PEF1dGhvcj5TdGVpbmVydDwvQXV0aG9yPjxZZWFyPjIwMDY8L1llYXI+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</w:fldData>
        </w:fldChar>
      </w:r>
      <w:r w:rsidRPr="00B56453">
        <w:rPr>
          <w:lang w:val="en-GB"/>
        </w:rPr>
        <w:instrText xml:space="preserve"> ADDIN EN.CITE.DATA </w:instrText>
      </w:r>
      <w:r w:rsidRPr="00B27F0B">
        <w:rPr>
          <w:lang w:val="en-GB"/>
        </w:rPr>
      </w:r>
      <w:r w:rsidRPr="00B27F0B">
        <w:rPr>
          <w:lang w:val="en-GB"/>
        </w:rPr>
        <w:fldChar w:fldCharType="end"/>
      </w:r>
      <w:r w:rsidRPr="00B27F0B">
        <w:rPr>
          <w:lang w:val="en-GB"/>
        </w:rPr>
      </w:r>
      <w:r w:rsidRPr="00B27F0B">
        <w:rPr>
          <w:lang w:val="en-GB"/>
        </w:rPr>
        <w:fldChar w:fldCharType="separate"/>
      </w:r>
      <w:r w:rsidRPr="00B56453">
        <w:rPr>
          <w:noProof/>
          <w:lang w:val="en-GB"/>
        </w:rPr>
        <w:t>(</w:t>
      </w:r>
      <w:hyperlink w:anchor="_ENREF_396" w:tooltip="Steinert, 2006 #720" w:history="1">
        <w:r w:rsidR="0094469E" w:rsidRPr="00B56453">
          <w:rPr>
            <w:noProof/>
            <w:lang w:val="en-GB"/>
          </w:rPr>
          <w:t>Steinert et al. 2006</w:t>
        </w:r>
      </w:hyperlink>
      <w:r w:rsidRPr="00B56453">
        <w:rPr>
          <w:noProof/>
          <w:lang w:val="en-GB"/>
        </w:rPr>
        <w:t xml:space="preserve">; </w:t>
      </w:r>
      <w:hyperlink w:anchor="_ENREF_395" w:tooltip="Steinert, 2016 #719" w:history="1">
        <w:r w:rsidR="0094469E" w:rsidRPr="00B56453">
          <w:rPr>
            <w:noProof/>
            <w:lang w:val="en-GB"/>
          </w:rPr>
          <w:t>Steinert et al. 2016</w:t>
        </w:r>
      </w:hyperlink>
      <w:r w:rsidRPr="00B56453">
        <w:rPr>
          <w:noProof/>
          <w:lang w:val="en-GB"/>
        </w:rPr>
        <w:t>)</w:t>
      </w:r>
      <w:r w:rsidRPr="009C2746">
        <w:rPr>
          <w:lang w:val="en-GB"/>
        </w:rPr>
        <w:fldChar w:fldCharType="end"/>
      </w:r>
      <w:r w:rsidRPr="00B56453">
        <w:rPr>
          <w:lang w:val="en-GB"/>
        </w:rPr>
        <w:t xml:space="preserve">. The SRL MA feedback model was delivered in a structured manner during workshops and subsequently in authentic teaching sessions, verified by video recording. Not only was the technique of SRL MA taught, specific feedback messages were incorporated to ensure teachers were prepared to give authentic SRLF, as opposed to purely assessing SRL then giving usual feedback. Teachers were able to distinguish in interviews which components they preferred or recognised more readily than others, large parts of which they described retaining after the study (particularly self-efficacy assessment). </w:t>
      </w:r>
      <w:r w:rsidR="00B263C4" w:rsidRPr="00B56453">
        <w:rPr>
          <w:lang w:val="en-GB"/>
        </w:rPr>
        <w:t>Most</w:t>
      </w:r>
      <w:r w:rsidRPr="00B56453">
        <w:rPr>
          <w:lang w:val="en-GB"/>
        </w:rPr>
        <w:t xml:space="preserve"> teachers commented that they were already using some components of the SRL MA technique in their teaching practice prior to the study, or were familiar with many of the SRL processes by name or as related concepts. Although not directly queried, this may indicate that prior familiarity may have facilitated the uptake of the SRL MA technique as an ‘add-on’ rather than a new paradigm of feedback giving. One educator with a psychology and human factors background was an apt example of prior knowledge of SRL processes helping them to adjust to the technique. More research is needed to specifically explore how SRL facilitation using feedback can be successfully incorporated into medical education teaching practices in different settings.</w:t>
      </w:r>
    </w:p>
    <w:p w14:paraId="1D764723" w14:textId="77777777" w:rsidR="00713C7D" w:rsidRPr="00B56453" w:rsidRDefault="00713C7D" w:rsidP="00713C7D">
      <w:pPr>
        <w:pStyle w:val="Normal1"/>
        <w:rPr>
          <w:lang w:val="en-GB"/>
        </w:rPr>
      </w:pPr>
    </w:p>
    <w:p w14:paraId="5D93D17F" w14:textId="067FEA8E" w:rsidR="00713C7D" w:rsidRPr="00B56453" w:rsidRDefault="00713C7D" w:rsidP="00713C7D">
      <w:pPr>
        <w:pStyle w:val="Heading3"/>
      </w:pPr>
      <w:bookmarkStart w:id="488" w:name="_Toc500319460"/>
      <w:r w:rsidRPr="00B56453">
        <w:t xml:space="preserve">D2.7.4 Conceptual and </w:t>
      </w:r>
      <w:r w:rsidR="00C47666" w:rsidRPr="00B56453">
        <w:t>P</w:t>
      </w:r>
      <w:r w:rsidRPr="00B56453">
        <w:t xml:space="preserve">rocedural </w:t>
      </w:r>
      <w:r w:rsidR="00C47666" w:rsidRPr="00B56453">
        <w:t>A</w:t>
      </w:r>
      <w:r w:rsidRPr="00B56453">
        <w:t>pproach of SRL MA</w:t>
      </w:r>
      <w:bookmarkEnd w:id="488"/>
    </w:p>
    <w:p w14:paraId="0AD8CF6E" w14:textId="77777777" w:rsidR="00713C7D" w:rsidRPr="00B56453" w:rsidRDefault="00713C7D" w:rsidP="00713C7D">
      <w:pPr>
        <w:pStyle w:val="Normal1"/>
        <w:rPr>
          <w:lang w:val="en-GB"/>
        </w:rPr>
      </w:pPr>
    </w:p>
    <w:p w14:paraId="3A9A5DB8" w14:textId="77777777" w:rsidR="00713C7D" w:rsidRPr="00B56453" w:rsidRDefault="00713C7D" w:rsidP="00713C7D">
      <w:pPr>
        <w:pStyle w:val="Normal1"/>
        <w:rPr>
          <w:lang w:val="en-GB"/>
        </w:rPr>
      </w:pPr>
      <w:r w:rsidRPr="00B56453">
        <w:rPr>
          <w:lang w:val="en-GB"/>
        </w:rPr>
        <w:t>The SRL MA feedback giving method was based upon Zimmerman’s model, giving the technique an evidence informed foundation on which to empower learners’ SRL. The SRL processes that were targeted in this study using SRL MA were derived from Zimmerman’s model and have previously been linked to learning outcomes in the literature. The results presented in this thesis provide a blueprint of SRL processes that may be useful to target in interventions aiming to empower SRL, but more detailed research is needed to attribute each process to overall SRL outcomes.</w:t>
      </w:r>
    </w:p>
    <w:p w14:paraId="4F0A1C82" w14:textId="77777777" w:rsidR="00713C7D" w:rsidRPr="00B56453" w:rsidRDefault="00713C7D" w:rsidP="00713C7D">
      <w:pPr>
        <w:pStyle w:val="Normal1"/>
        <w:rPr>
          <w:lang w:val="en-GB"/>
        </w:rPr>
      </w:pPr>
    </w:p>
    <w:p w14:paraId="51F477B3" w14:textId="0F9887D6" w:rsidR="00713C7D" w:rsidRPr="00B56453" w:rsidRDefault="00713C7D" w:rsidP="00713C7D">
      <w:pPr>
        <w:pStyle w:val="Normal1"/>
        <w:rPr>
          <w:lang w:val="en-GB"/>
        </w:rPr>
      </w:pPr>
      <w:r w:rsidRPr="00B56453">
        <w:rPr>
          <w:lang w:val="en-GB"/>
        </w:rPr>
        <w:t xml:space="preserve">SRL MA provided a framework for giving feedback that was not only based on contemporary best practice principles but also put into practice key conceptual recommendations from the literature. Teachers using the SRL MA technique engaged in a structured two-way dialogue with every learner, an approach encouraged by many experts in recent years </w:t>
      </w:r>
      <w:r w:rsidRPr="009C2746">
        <w:rPr>
          <w:lang w:val="en-GB"/>
        </w:rPr>
        <w:fldChar w:fldCharType="begin"/>
      </w:r>
      <w:r w:rsidRPr="00B56453">
        <w:rPr>
          <w:lang w:val="en-GB"/>
        </w:rPr>
        <w:instrText xml:space="preserve"> ADDIN EN.CITE &lt;EndNote&gt;&lt;Cite&gt;&lt;Author&gt;Nicol&lt;/Author&gt;&lt;Year&gt;2010&lt;/Year&gt;&lt;RecNum&gt;184&lt;/RecNum&gt;&lt;DisplayText&gt;(Nicol 2010; Murdoch</w:instrText>
      </w:r>
      <w:r w:rsidRPr="00B56453">
        <w:rPr>
          <w:rFonts w:ascii="Cambria Math" w:hAnsi="Cambria Math" w:cs="Cambria Math"/>
          <w:lang w:val="en-GB"/>
        </w:rPr>
        <w:instrText>‐</w:instrText>
      </w:r>
      <w:r w:rsidRPr="00B56453">
        <w:rPr>
          <w:lang w:val="en-GB"/>
        </w:rPr>
        <w:instrText>Eaton 2012)&lt;/DisplayText&gt;&lt;record&gt;&lt;rec-number&gt;184&lt;/rec-number&gt;&lt;foreign-keys&gt;&lt;key app="EN" db-id="xa2r2ewea92trkef5dt5arvbzafvpv2za5ft" timestamp="1442161765"&gt;184&lt;/key&gt;&lt;/foreign-keys&gt;&lt;ref-type name="Journal Article"&gt;17&lt;/ref-type&gt;&lt;contributors&gt;&lt;authors&gt;&lt;author&gt;Nicol, David&lt;/author&gt;&lt;/authors&gt;&lt;/contributors&gt;&lt;titles&gt;&lt;title&gt;From monologue to dialogue: improving written feedback processes in mass higher education&lt;/title&gt;&lt;secondary-title&gt;Assessment &amp;amp; Evaluation in Higher Education&lt;/secondary-title&gt;&lt;/titles&gt;&lt;periodical&gt;&lt;full-title&gt;Assessment &amp;amp; Evaluation in Higher Education&lt;/full-title&gt;&lt;/periodical&gt;&lt;pages&gt;501-517&lt;/pages&gt;&lt;volume&gt;35&lt;/volume&gt;&lt;number&gt;5&lt;/number&gt;&lt;dates&gt;&lt;year&gt;2010&lt;/year&gt;&lt;/dates&gt;&lt;publisher&gt;Taylor &amp;amp; Francis&lt;/publisher&gt;&lt;urls&gt;&lt;/urls&gt;&lt;/record&gt;&lt;/Cite&gt;&lt;Cite&gt;&lt;Author&gt;Murdoch</w:instrText>
      </w:r>
      <w:r w:rsidRPr="00B56453">
        <w:rPr>
          <w:rFonts w:ascii="Cambria Math" w:hAnsi="Cambria Math" w:cs="Cambria Math"/>
          <w:lang w:val="en-GB"/>
        </w:rPr>
        <w:instrText>‐</w:instrText>
      </w:r>
      <w:r w:rsidRPr="00B56453">
        <w:rPr>
          <w:lang w:val="en-GB"/>
        </w:rPr>
        <w:instrText>Eaton&lt;/Author&gt;&lt;Year&gt;2012&lt;/Year&gt;&lt;RecNum&gt;178&lt;/RecNum&gt;&lt;record&gt;&lt;rec-number&gt;178&lt;/rec-number&gt;&lt;foreign-keys&gt;&lt;key app="EN" db-id="xa2r2ewea92trkef5dt5arvbzafvpv2za5ft" timestamp="1442161765"&gt;178&lt;/key&gt;&lt;/foreign-keys&gt;&lt;ref-type name="Journal Article"&gt;17&lt;/ref-type&gt;&lt;contributors&gt;&lt;authors&gt;&lt;author&gt;Murdoch</w:instrText>
      </w:r>
      <w:r w:rsidRPr="00B56453">
        <w:rPr>
          <w:rFonts w:ascii="Cambria Math" w:hAnsi="Cambria Math" w:cs="Cambria Math"/>
          <w:lang w:val="en-GB"/>
        </w:rPr>
        <w:instrText>‐</w:instrText>
      </w:r>
      <w:r w:rsidRPr="00B56453">
        <w:rPr>
          <w:lang w:val="en-GB"/>
        </w:rPr>
        <w:instrText>Eaton, Deborah&lt;/author&gt;&lt;/authors&gt;&lt;/contributors&gt;&lt;titles&gt;&lt;title&gt;Feedback: the complexity of self</w:instrText>
      </w:r>
      <w:r w:rsidRPr="00B56453">
        <w:rPr>
          <w:rFonts w:ascii="Cambria Math" w:hAnsi="Cambria Math" w:cs="Cambria Math"/>
          <w:lang w:val="en-GB"/>
        </w:rPr>
        <w:instrText>‐</w:instrText>
      </w:r>
      <w:r w:rsidRPr="00B56453">
        <w:rPr>
          <w:lang w:val="en-GB"/>
        </w:rPr>
        <w:instrText xml:space="preserve">perception and the transition from </w:instrText>
      </w:r>
      <w:r w:rsidRPr="00B56453">
        <w:rPr>
          <w:rFonts w:cs="Times New Roman"/>
          <w:lang w:val="en-GB"/>
        </w:rPr>
        <w:instrText>‘</w:instrText>
      </w:r>
      <w:r w:rsidRPr="00B56453">
        <w:rPr>
          <w:lang w:val="en-GB"/>
        </w:rPr>
        <w:instrText>transmit</w:instrText>
      </w:r>
      <w:r w:rsidRPr="00B56453">
        <w:rPr>
          <w:rFonts w:cs="Times New Roman"/>
          <w:lang w:val="en-GB"/>
        </w:rPr>
        <w:instrText>’</w:instrText>
      </w:r>
      <w:r w:rsidRPr="00B56453">
        <w:rPr>
          <w:lang w:val="en-GB"/>
        </w:rPr>
        <w:instrText xml:space="preserve">to </w:instrText>
      </w:r>
      <w:r w:rsidRPr="00B56453">
        <w:rPr>
          <w:rFonts w:cs="Times New Roman"/>
          <w:lang w:val="en-GB"/>
        </w:rPr>
        <w:instrText>‘</w:instrText>
      </w:r>
      <w:r w:rsidRPr="00B56453">
        <w:rPr>
          <w:lang w:val="en-GB"/>
        </w:rPr>
        <w:instrText>received and understood</w:instrText>
      </w:r>
      <w:r w:rsidRPr="00B56453">
        <w:rPr>
          <w:rFonts w:cs="Times New Roman"/>
          <w:lang w:val="en-GB"/>
        </w:rPr>
        <w:instrText>’</w:instrText>
      </w:r>
      <w:r w:rsidRPr="00B56453">
        <w:rPr>
          <w:lang w:val="en-GB"/>
        </w:rPr>
        <w:instrText>&lt;/title&gt;&lt;secondary-title&gt;Medical education&lt;/secondary-title&gt;&lt;/titles&gt;&lt;periodical&gt;&lt;full-title&gt;Medical education&lt;/full-title&gt;&lt;/periodical&gt;&lt;pages&gt;538-540&lt;/pages&gt;&lt;volume&gt;46&lt;/volume&gt;&lt;number&gt;6&lt;/number&gt;&lt;dates&gt;&lt;year&gt;2012&lt;/year&gt;&lt;/dates&gt;&lt;publisher&gt;Wiley Online Library&lt;/publisher&gt;&lt;urls&gt;&lt;/urls&gt;&lt;/record&gt;&lt;/Cite&gt;&lt;/EndNote&gt;</w:instrText>
      </w:r>
      <w:r w:rsidRPr="00B27F0B">
        <w:rPr>
          <w:lang w:val="en-GB"/>
        </w:rPr>
        <w:fldChar w:fldCharType="separate"/>
      </w:r>
      <w:r w:rsidRPr="00B56453">
        <w:rPr>
          <w:noProof/>
          <w:lang w:val="en-GB"/>
        </w:rPr>
        <w:t>(</w:t>
      </w:r>
      <w:hyperlink w:anchor="_ENREF_300" w:tooltip="Nicol, 2010 #184" w:history="1">
        <w:r w:rsidR="0094469E" w:rsidRPr="00B56453">
          <w:rPr>
            <w:noProof/>
            <w:lang w:val="en-GB"/>
          </w:rPr>
          <w:t>Nicol 2010</w:t>
        </w:r>
      </w:hyperlink>
      <w:r w:rsidRPr="00B56453">
        <w:rPr>
          <w:noProof/>
          <w:lang w:val="en-GB"/>
        </w:rPr>
        <w:t xml:space="preserve">; </w:t>
      </w:r>
      <w:hyperlink w:anchor="_ENREF_293" w:tooltip="Murdoch‐Eaton, 2012 #178" w:history="1">
        <w:r w:rsidR="0094469E" w:rsidRPr="00B56453">
          <w:rPr>
            <w:noProof/>
            <w:lang w:val="en-GB"/>
          </w:rPr>
          <w:t>Murdoch</w:t>
        </w:r>
        <w:r w:rsidR="0094469E" w:rsidRPr="00B56453">
          <w:rPr>
            <w:rFonts w:ascii="Cambria Math" w:hAnsi="Cambria Math" w:cs="Cambria Math"/>
            <w:noProof/>
            <w:lang w:val="en-GB"/>
          </w:rPr>
          <w:t>‐</w:t>
        </w:r>
        <w:r w:rsidR="0094469E" w:rsidRPr="00B56453">
          <w:rPr>
            <w:noProof/>
            <w:lang w:val="en-GB"/>
          </w:rPr>
          <w:t>Eaton 2012</w:t>
        </w:r>
      </w:hyperlink>
      <w:r w:rsidRPr="00B56453">
        <w:rPr>
          <w:noProof/>
          <w:lang w:val="en-GB"/>
        </w:rPr>
        <w:t>)</w:t>
      </w:r>
      <w:r w:rsidRPr="009C2746">
        <w:rPr>
          <w:lang w:val="en-GB"/>
        </w:rPr>
        <w:fldChar w:fldCharType="end"/>
      </w:r>
      <w:r w:rsidRPr="00B56453">
        <w:rPr>
          <w:lang w:val="en-GB"/>
        </w:rPr>
        <w:t>. This opposes the often ineffective one-way approaches which can be disengaging for learners. The process of asking the individual about their own SRL processes is individualised and contextualised, capturing the learner’s unique perspective in real time to give the most relevant feedback aimed at empowering SRL.</w:t>
      </w:r>
      <w:r w:rsidR="00B263C4" w:rsidRPr="00B56453">
        <w:rPr>
          <w:lang w:val="en-GB"/>
        </w:rPr>
        <w:t xml:space="preserve"> It encourages a feedback conversation that is dialogic and co-productive.</w:t>
      </w:r>
      <w:r w:rsidRPr="00B56453">
        <w:rPr>
          <w:lang w:val="en-GB"/>
        </w:rPr>
        <w:t xml:space="preserve"> It has also been observed that multiphase interventions using all aspects of skill performance (forethought, performance, and self-reflection phases) to support SRL, as in this study, produce more positive increases in performance and SRL capacity than simpler designs </w:t>
      </w:r>
      <w:r w:rsidRPr="009C2746">
        <w:rPr>
          <w:lang w:val="en-GB"/>
        </w:rPr>
        <w:fldChar w:fldCharType="begin"/>
      </w:r>
      <w:r w:rsidRPr="00B56453">
        <w:rPr>
          <w:lang w:val="en-GB"/>
        </w:rPr>
        <w:instrText xml:space="preserve"> ADDIN EN.CITE &lt;EndNote&gt;&lt;Cite&gt;&lt;Author&gt;Cleary&lt;/Author&gt;&lt;Year&gt;2006&lt;/Year&gt;&lt;RecNum&gt;44&lt;/RecNum&gt;&lt;DisplayText&gt;(Cleary et al. 2006)&lt;/DisplayText&gt;&lt;record&gt;&lt;rec-number&gt;44&lt;/rec-number&gt;&lt;foreign-keys&gt;&lt;key app="EN" db-id="xa2r2ewea92trkef5dt5arvbzafvpv2za5ft" timestamp="1442161763"&gt;44&lt;/key&gt;&lt;/foreign-keys&gt;&lt;ref-type name="Journal Article"&gt;17&lt;/ref-type&gt;&lt;contributors&gt;&lt;authors&gt;&lt;author&gt;Cleary, Timothy J.&lt;/author&gt;&lt;author&gt;Zimmerman, Barry J.&lt;/author&gt;&lt;author&gt;Keating, Tedd&lt;/author&gt;&lt;/authors&gt;&lt;/contributors&gt;&lt;titles&gt;&lt;title&gt;Training physical education students to self-regulate during basketball free throw practice&lt;/title&gt;&lt;secondary-title&gt;Research quarterly for exercise and sport&lt;/secondary-title&gt;&lt;/titles&gt;&lt;periodical&gt;&lt;full-title&gt;Research quarterly for exercise and sport&lt;/full-title&gt;&lt;/periodical&gt;&lt;pages&gt;251-262&lt;/pages&gt;&lt;volume&gt;77&lt;/volume&gt;&lt;number&gt;2&lt;/number&gt;&lt;dates&gt;&lt;year&gt;2006&lt;/year&gt;&lt;/dates&gt;&lt;publisher&gt;Taylor &amp;amp; Francis&lt;/publisher&gt;&lt;urls&gt;&lt;related-urls&gt;&lt;url&gt;http://www.tandfonline.com/doi/abs/10.1080/02701367.2006.10599358?url_ver=Z39.88-2003&amp;amp;rfr_id=ori:rid:crossref.org&amp;amp;rfr_dat=cr_pub%3dpubmed&lt;/url&gt;&lt;/related-urls&gt;&lt;/urls&gt;&lt;/record&gt;&lt;/Cite&gt;&lt;/EndNote&gt;</w:instrText>
      </w:r>
      <w:r w:rsidRPr="00B27F0B">
        <w:rPr>
          <w:lang w:val="en-GB"/>
        </w:rPr>
        <w:fldChar w:fldCharType="separate"/>
      </w:r>
      <w:r w:rsidRPr="00B56453">
        <w:rPr>
          <w:noProof/>
          <w:lang w:val="en-GB"/>
        </w:rPr>
        <w:t>(</w:t>
      </w:r>
      <w:hyperlink w:anchor="_ENREF_93" w:tooltip="Cleary, 2006 #44" w:history="1">
        <w:r w:rsidR="0094469E" w:rsidRPr="00B56453">
          <w:rPr>
            <w:noProof/>
            <w:lang w:val="en-GB"/>
          </w:rPr>
          <w:t>Cleary et al. 2006</w:t>
        </w:r>
      </w:hyperlink>
      <w:r w:rsidRPr="00B56453">
        <w:rPr>
          <w:noProof/>
          <w:lang w:val="en-GB"/>
        </w:rPr>
        <w:t>)</w:t>
      </w:r>
      <w:r w:rsidRPr="009C2746">
        <w:rPr>
          <w:lang w:val="en-GB"/>
        </w:rPr>
        <w:fldChar w:fldCharType="end"/>
      </w:r>
      <w:r w:rsidRPr="00B56453">
        <w:rPr>
          <w:lang w:val="en-GB"/>
        </w:rPr>
        <w:t>.</w:t>
      </w:r>
    </w:p>
    <w:p w14:paraId="2AA0EB04" w14:textId="77777777" w:rsidR="00713C7D" w:rsidRPr="00B56453" w:rsidRDefault="00713C7D" w:rsidP="00713C7D">
      <w:pPr>
        <w:pStyle w:val="Normal1"/>
        <w:rPr>
          <w:lang w:val="en-GB"/>
        </w:rPr>
      </w:pPr>
    </w:p>
    <w:p w14:paraId="7A64BBE3" w14:textId="206C8618" w:rsidR="00713C7D" w:rsidRPr="00B56453" w:rsidRDefault="00713C7D" w:rsidP="00713C7D">
      <w:pPr>
        <w:pStyle w:val="Heading3"/>
      </w:pPr>
      <w:bookmarkStart w:id="489" w:name="_Toc500319461"/>
      <w:r w:rsidRPr="00B56453">
        <w:t>D2.7.5 Transferability of SRL MA</w:t>
      </w:r>
      <w:bookmarkEnd w:id="489"/>
    </w:p>
    <w:p w14:paraId="0588DF97" w14:textId="77777777" w:rsidR="00713C7D" w:rsidRPr="00B56453" w:rsidRDefault="00713C7D" w:rsidP="00713C7D">
      <w:pPr>
        <w:pStyle w:val="Normal1"/>
        <w:rPr>
          <w:lang w:val="en-GB"/>
        </w:rPr>
      </w:pPr>
    </w:p>
    <w:p w14:paraId="6EF65B86" w14:textId="77777777" w:rsidR="00713C7D" w:rsidRPr="00B56453" w:rsidRDefault="00713C7D" w:rsidP="00713C7D">
      <w:pPr>
        <w:pStyle w:val="Normal1"/>
        <w:rPr>
          <w:lang w:val="en-GB"/>
        </w:rPr>
      </w:pPr>
      <w:r w:rsidRPr="00B56453">
        <w:rPr>
          <w:lang w:val="en-GB"/>
        </w:rPr>
        <w:t xml:space="preserve">SRL MA has already been used in many other contexts, from sports performance to mathematics learning. This study was not the first to use the technique in medical education settings, but is the first to use it to inform feedback giving. This simple approach was well received by most of the teachers in this study. Despite some feeling sceptical at the beginning, most teachers were optimistic and had integrated the technique into their usual teaching practices by the end of the study. Many other similar teaching situations in medical education could use this research as a blueprint for building SRL support into the wider medical curriculum, where it is suitable and </w:t>
      </w:r>
      <w:r w:rsidRPr="00B56453">
        <w:rPr>
          <w:lang w:val="en-GB"/>
        </w:rPr>
        <w:lastRenderedPageBreak/>
        <w:t>beneficial to do so. Skills learning is a large part of health professions education, it is clear how SRL MA could be used in these wider areas to support the learning of undergraduates, postgraduates, and those in continuing health professions education. The use of SRL MA to give SRLF in this study had a significantly positive impact on learners’ SRL and self-efficacy across the transition from simulated to clinical environments. This apparent enduring effect is a clear benefit of SRL MA particularly for those in their early years of medical training. More research could explore how the technique impacts upon students in later years or if it could be of use as an enhanced support technique in remediation.</w:t>
      </w:r>
    </w:p>
    <w:p w14:paraId="7C22224E" w14:textId="77777777" w:rsidR="00713C7D" w:rsidRPr="00B56453" w:rsidRDefault="00713C7D" w:rsidP="00713C7D">
      <w:pPr>
        <w:pStyle w:val="Normal1"/>
        <w:rPr>
          <w:lang w:val="en-GB"/>
        </w:rPr>
      </w:pPr>
    </w:p>
    <w:p w14:paraId="448B09A4" w14:textId="5A88F90A" w:rsidR="00713C7D" w:rsidRPr="00B56453" w:rsidRDefault="00713C7D" w:rsidP="00713C7D">
      <w:pPr>
        <w:pStyle w:val="Heading3"/>
      </w:pPr>
      <w:bookmarkStart w:id="490" w:name="_Toc500319462"/>
      <w:r w:rsidRPr="00B56453">
        <w:t xml:space="preserve">D2.7.6 Measures </w:t>
      </w:r>
      <w:r w:rsidR="00C47666" w:rsidRPr="00B56453">
        <w:t>of Q</w:t>
      </w:r>
      <w:r w:rsidRPr="00B56453">
        <w:t xml:space="preserve">uality and </w:t>
      </w:r>
      <w:r w:rsidR="00C47666" w:rsidRPr="00B56453">
        <w:t>R</w:t>
      </w:r>
      <w:r w:rsidRPr="00B56453">
        <w:t>igour</w:t>
      </w:r>
      <w:bookmarkEnd w:id="490"/>
      <w:r w:rsidRPr="00B56453">
        <w:t xml:space="preserve"> </w:t>
      </w:r>
    </w:p>
    <w:p w14:paraId="24FDA36F" w14:textId="77777777" w:rsidR="00713C7D" w:rsidRPr="00B56453" w:rsidRDefault="00713C7D" w:rsidP="00713C7D">
      <w:pPr>
        <w:pStyle w:val="Normal1"/>
        <w:rPr>
          <w:lang w:val="en-GB"/>
        </w:rPr>
      </w:pPr>
    </w:p>
    <w:p w14:paraId="31739E69" w14:textId="77777777" w:rsidR="00713C7D" w:rsidRPr="00B56453" w:rsidRDefault="00713C7D" w:rsidP="00713C7D">
      <w:pPr>
        <w:pStyle w:val="Normal1"/>
        <w:rPr>
          <w:lang w:val="en-GB"/>
        </w:rPr>
      </w:pPr>
      <w:r w:rsidRPr="00B56453">
        <w:rPr>
          <w:lang w:val="en-GB"/>
        </w:rPr>
        <w:t xml:space="preserve">Various quality assurance measures were taken in the development, data collection, and analysis processes to better ensure that the findings from this study were transferable to other contexts. Although these measures can never fully assure generalisability, they can help to support it. </w:t>
      </w:r>
    </w:p>
    <w:p w14:paraId="3B90E7C1" w14:textId="77777777" w:rsidR="00713C7D" w:rsidRPr="00B56453" w:rsidRDefault="00713C7D" w:rsidP="00713C7D">
      <w:pPr>
        <w:pStyle w:val="Normal1"/>
        <w:rPr>
          <w:lang w:val="en-GB"/>
        </w:rPr>
      </w:pPr>
    </w:p>
    <w:p w14:paraId="4117A723" w14:textId="77777777" w:rsidR="00713C7D" w:rsidRPr="00B56453" w:rsidRDefault="00713C7D" w:rsidP="00713C7D">
      <w:pPr>
        <w:pStyle w:val="Normal1"/>
        <w:rPr>
          <w:lang w:val="en-GB"/>
        </w:rPr>
      </w:pPr>
      <w:r w:rsidRPr="00B56453">
        <w:rPr>
          <w:lang w:val="en-GB"/>
        </w:rPr>
        <w:t>In the development phase of this research a small-scale pilot was conducted with the purpose of understanding how the training intervention and feedback models would operate in real teaching settings. Several key changes were made in how the SRL MA was integrated into regular teaching practices and more careful double random allocation procedures were taken to guard against the contamination of either group. Troubleshooting for technical aspects of the video recording were also done. The video recordings were crucial in evidencing that feedback was given consistently across all sessions using the assigned models. They were also found not to have caused any significant distraction to teaching practices given that staff and students were accustomed to the use of video recording.</w:t>
      </w:r>
    </w:p>
    <w:p w14:paraId="4373C341" w14:textId="77777777" w:rsidR="00713C7D" w:rsidRPr="00B56453" w:rsidRDefault="00713C7D" w:rsidP="00713C7D">
      <w:pPr>
        <w:pStyle w:val="Normal1"/>
        <w:rPr>
          <w:lang w:val="en-GB"/>
        </w:rPr>
      </w:pPr>
    </w:p>
    <w:p w14:paraId="4B1670C6" w14:textId="1AA4BCE2" w:rsidR="00713C7D" w:rsidRPr="00B56453" w:rsidRDefault="00713C7D" w:rsidP="00713C7D">
      <w:pPr>
        <w:pStyle w:val="Normal1"/>
        <w:rPr>
          <w:lang w:val="en-GB"/>
        </w:rPr>
      </w:pPr>
      <w:r w:rsidRPr="00B56453">
        <w:rPr>
          <w:lang w:val="en-GB"/>
        </w:rPr>
        <w:t xml:space="preserve">Efforts to increase transferability of these findings to other contexts were made using measures including the random allocation to feedback models and use of videos which helped to confirm the fidelity of the intervention </w:t>
      </w:r>
      <w:r w:rsidRPr="009C2746">
        <w:rPr>
          <w:lang w:val="en-GB"/>
        </w:rPr>
        <w:fldChar w:fldCharType="begin"/>
      </w:r>
      <w:r w:rsidRPr="00B56453">
        <w:rPr>
          <w:lang w:val="en-GB"/>
        </w:rPr>
        <w:instrText xml:space="preserve"> ADDIN EN.CITE &lt;EndNote&gt;&lt;Cite&gt;&lt;Author&gt;Hoepfl&lt;/Author&gt;&lt;Year&gt;1997&lt;/Year&gt;&lt;RecNum&gt;112&lt;/RecNum&gt;&lt;DisplayText&gt;(Hoepfl 1997)&lt;/DisplayText&gt;&lt;record&gt;&lt;rec-number&gt;112&lt;/rec-number&gt;&lt;foreign-keys&gt;&lt;key app="EN" db-id="xa2r2ewea92trkef5dt5arvbzafvpv2za5ft" timestamp="1442161764"&gt;112&lt;/key&gt;&lt;/foreign-keys&gt;&lt;ref-type name="Journal Article"&gt;17&lt;/ref-type&gt;&lt;contributors&gt;&lt;authors&gt;&lt;author&gt;Hoepfl, Marie C.&lt;/author&gt;&lt;/authors&gt;&lt;/contributors&gt;&lt;titles&gt;&lt;title&gt;Choosing qualitative research: A primer for technology education researchers&lt;/title&gt;&lt;/titles&gt;&lt;dates&gt;&lt;year&gt;1997&lt;/year&gt;&lt;/dates&gt;&lt;publisher&gt;Digital Library and Archives of the Virginia Tech University Libraries&lt;/publisher&gt;&lt;urls&gt;&lt;/urls&gt;&lt;/record&gt;&lt;/Cite&gt;&lt;/EndNote&gt;</w:instrText>
      </w:r>
      <w:r w:rsidRPr="00B27F0B">
        <w:rPr>
          <w:lang w:val="en-GB"/>
        </w:rPr>
        <w:fldChar w:fldCharType="separate"/>
      </w:r>
      <w:r w:rsidRPr="00B56453">
        <w:rPr>
          <w:noProof/>
          <w:lang w:val="en-GB"/>
        </w:rPr>
        <w:t>(</w:t>
      </w:r>
      <w:hyperlink w:anchor="_ENREF_190" w:tooltip="Hoepfl, 1997 #112" w:history="1">
        <w:r w:rsidR="0094469E" w:rsidRPr="00B56453">
          <w:rPr>
            <w:noProof/>
            <w:lang w:val="en-GB"/>
          </w:rPr>
          <w:t>Hoepfl 1997</w:t>
        </w:r>
      </w:hyperlink>
      <w:r w:rsidRPr="00B56453">
        <w:rPr>
          <w:noProof/>
          <w:lang w:val="en-GB"/>
        </w:rPr>
        <w:t>)</w:t>
      </w:r>
      <w:r w:rsidRPr="009C2746">
        <w:rPr>
          <w:lang w:val="en-GB"/>
        </w:rPr>
        <w:fldChar w:fldCharType="end"/>
      </w:r>
      <w:r w:rsidRPr="00B56453">
        <w:rPr>
          <w:lang w:val="en-GB"/>
        </w:rPr>
        <w:t xml:space="preserve">. Based upon the advice of experts in the field, the faculty development intervention was qualitatively evaluated, informed by a theoretical model, and underlying motivational factors for teaching and changing practice were considered </w:t>
      </w:r>
      <w:r w:rsidRPr="009C2746">
        <w:rPr>
          <w:lang w:val="en-GB"/>
        </w:rPr>
        <w:fldChar w:fldCharType="begin"/>
      </w:r>
      <w:r w:rsidRPr="00B56453">
        <w:rPr>
          <w:lang w:val="en-GB"/>
        </w:rPr>
        <w:instrText xml:space="preserve"> ADDIN EN.CITE &lt;EndNote&gt;&lt;Cite&gt;&lt;Author&gt;Steinert&lt;/Author&gt;&lt;Year&gt;2016&lt;/Year&gt;&lt;RecNum&gt;719&lt;/RecNum&gt;&lt;DisplayText&gt;(Steinert et al. 2016)&lt;/DisplayText&gt;&lt;record&gt;&lt;rec-number&gt;719&lt;/rec-number&gt;&lt;foreign-keys&gt;&lt;key app="EN" db-id="xa2r2ewea92trkef5dt5arvbzafvpv2za5ft" timestamp="1496417570"&gt;719&lt;/key&gt;&lt;/foreign-keys&gt;&lt;ref-type name="Journal Article"&gt;17&lt;/ref-type&gt;&lt;contributors&gt;&lt;authors&gt;&lt;author&gt;Steinert, Yvonne&lt;/author&gt;&lt;author&gt;Mann, Karen&lt;/author&gt;&lt;author&gt;Anderson, Brownell&lt;/author&gt;&lt;author&gt;Barnett, Bonnie Maureen&lt;/author&gt;&lt;author&gt;Centeno, Angel&lt;/author&gt;&lt;author&gt;Naismith, Laura&lt;/author&gt;&lt;author&gt;Prideaux, David&lt;/author&gt;&lt;author&gt;Spencer, John&lt;/author&gt;&lt;author&gt;Tullo, Ellen&lt;/author&gt;&lt;author&gt;Viggiano, Thomas&lt;/author&gt;&lt;/authors&gt;&lt;/contributors&gt;&lt;titles&gt;&lt;title&gt;A systematic review of faculty development initiatives designed to enhance teaching effectiveness: A 10-year update: BEME Guide No. 40&lt;/title&gt;&lt;secondary-title&gt;Medical Teacher&lt;/secondary-title&gt;&lt;/titles&gt;&lt;periodical&gt;&lt;full-title&gt;Medical teacher&lt;/full-title&gt;&lt;/periodical&gt;&lt;pages&gt;769-786&lt;/pages&gt;&lt;volume&gt;38&lt;/volume&gt;&lt;number&gt;8&lt;/number&gt;&lt;dates&gt;&lt;year&gt;2016&lt;/year&gt;&lt;/dates&gt;&lt;isbn&gt;0142-159X&lt;/isbn&gt;&lt;urls&gt;&lt;/urls&gt;&lt;/record&gt;&lt;/Cite&gt;&lt;/EndNote&gt;</w:instrText>
      </w:r>
      <w:r w:rsidRPr="00B27F0B">
        <w:rPr>
          <w:lang w:val="en-GB"/>
        </w:rPr>
        <w:fldChar w:fldCharType="separate"/>
      </w:r>
      <w:r w:rsidRPr="00B56453">
        <w:rPr>
          <w:noProof/>
          <w:lang w:val="en-GB"/>
        </w:rPr>
        <w:t>(</w:t>
      </w:r>
      <w:hyperlink w:anchor="_ENREF_395" w:tooltip="Steinert, 2016 #719" w:history="1">
        <w:r w:rsidR="0094469E" w:rsidRPr="00B56453">
          <w:rPr>
            <w:noProof/>
            <w:lang w:val="en-GB"/>
          </w:rPr>
          <w:t>Steinert et al. 2016</w:t>
        </w:r>
      </w:hyperlink>
      <w:r w:rsidRPr="00B56453">
        <w:rPr>
          <w:noProof/>
          <w:lang w:val="en-GB"/>
        </w:rPr>
        <w:t>)</w:t>
      </w:r>
      <w:r w:rsidRPr="009C2746">
        <w:rPr>
          <w:lang w:val="en-GB"/>
        </w:rPr>
        <w:fldChar w:fldCharType="end"/>
      </w:r>
      <w:r w:rsidRPr="00B56453">
        <w:rPr>
          <w:lang w:val="en-GB"/>
        </w:rPr>
        <w:t>.</w:t>
      </w:r>
    </w:p>
    <w:p w14:paraId="36F145CE" w14:textId="77777777" w:rsidR="00713C7D" w:rsidRPr="00B56453" w:rsidRDefault="00713C7D" w:rsidP="00713C7D">
      <w:pPr>
        <w:pStyle w:val="Normal1"/>
        <w:rPr>
          <w:lang w:val="en-GB"/>
        </w:rPr>
      </w:pPr>
    </w:p>
    <w:p w14:paraId="610FBC90" w14:textId="74B44FD5" w:rsidR="00713C7D" w:rsidRPr="00B56453" w:rsidRDefault="00713C7D" w:rsidP="00713C7D">
      <w:pPr>
        <w:pStyle w:val="Normal1"/>
        <w:rPr>
          <w:lang w:val="en-GB"/>
        </w:rPr>
      </w:pPr>
      <w:r w:rsidRPr="00B56453">
        <w:rPr>
          <w:lang w:val="en-GB"/>
        </w:rPr>
        <w:lastRenderedPageBreak/>
        <w:t xml:space="preserve">The SSRQ tool was validated specifically to bolster the validity of the quantitative results and to allow others in the medical education field to more reliably evaluate SRL using the tool. Without this validation, the sampling method and subsequent findings illustrating the changes in SRL over time could have been inaccurate and/or misleading. </w:t>
      </w:r>
      <w:r w:rsidRPr="00B56453">
        <w:rPr>
          <w:rFonts w:cs="VnssbvAdvTT3713a231"/>
          <w:lang w:val="en-GB"/>
        </w:rPr>
        <w:t xml:space="preserve">The purposive sampling method provided additional rigour to the research process, it ensured that both SRLF and BPF groups could be compared successfully which addressed key research questions </w:t>
      </w:r>
      <w:r w:rsidRPr="009C2746">
        <w:rPr>
          <w:rFonts w:cs="VnssbvAdvTT3713a231"/>
          <w:lang w:val="en-GB"/>
        </w:rPr>
        <w:fldChar w:fldCharType="begin"/>
      </w:r>
      <w:r w:rsidRPr="00B56453">
        <w:rPr>
          <w:rFonts w:cs="VnssbvAdvTT3713a231"/>
          <w:lang w:val="en-GB"/>
        </w:rPr>
        <w:instrText xml:space="preserve"> ADDIN EN.CITE &lt;EndNote&gt;&lt;Cite&gt;&lt;Author&gt;Coyne&lt;/Author&gt;&lt;Year&gt;1997&lt;/Year&gt;&lt;RecNum&gt;51&lt;/RecNum&gt;&lt;DisplayText&gt;(Coyne 1997; Sandelowski 2000)&lt;/DisplayText&gt;&lt;record&gt;&lt;rec-number&gt;51&lt;/rec-number&gt;&lt;foreign-keys&gt;&lt;key app="EN" db-id="xa2r2ewea92trkef5dt5arvbzafvpv2za5ft" timestamp="1442161763"&gt;51&lt;/key&gt;&lt;/foreign-keys&gt;&lt;ref-type name="Journal Article"&gt;17&lt;/ref-type&gt;&lt;contributors&gt;&lt;authors&gt;&lt;author&gt;Coyne, Imelda T.&lt;/author&gt;&lt;/authors&gt;&lt;/contributors&gt;&lt;titles&gt;&lt;title&gt;Sampling in qualitative research. Purposeful and theoretical sampling; merging or clear boundaries?&lt;/title&gt;&lt;secondary-title&gt;Journal of advanced nursing&lt;/secondary-title&gt;&lt;/titles&gt;&lt;periodical&gt;&lt;full-title&gt;Journal of advanced nursing&lt;/full-title&gt;&lt;/periodical&gt;&lt;pages&gt;623-630&lt;/pages&gt;&lt;volume&gt;26&lt;/volume&gt;&lt;number&gt;3&lt;/number&gt;&lt;dates&gt;&lt;year&gt;1997&lt;/year&gt;&lt;/dates&gt;&lt;publisher&gt;Wiley Online Library&lt;/publisher&gt;&lt;urls&gt;&lt;related-urls&gt;&lt;url&gt;http://onlinelibrary.wiley.com/doi/10.1046/j.1365-2648.1997.t01-25-00999.x/abstract&lt;/url&gt;&lt;/related-urls&gt;&lt;/urls&gt;&lt;/record&gt;&lt;/Cite&gt;&lt;Cite&gt;&lt;Author&gt;Sandelowski&lt;/Author&gt;&lt;Year&gt;2000&lt;/Year&gt;&lt;RecNum&gt;492&lt;/RecNum&gt;&lt;record&gt;&lt;rec-number&gt;492&lt;/rec-number&gt;&lt;foreign-keys&gt;&lt;key app="EN" db-id="xa2r2ewea92trkef5dt5arvbzafvpv2za5ft" timestamp="1496417549"&gt;492&lt;/key&gt;&lt;/foreign-keys&gt;&lt;ref-type name="Journal Article"&gt;17&lt;/ref-type&gt;&lt;contributors&gt;&lt;authors&gt;&lt;author&gt;Sandelowski, Margarete&lt;/author&gt;&lt;/authors&gt;&lt;/contributors&gt;&lt;titles&gt;&lt;title&gt;Focus on research methods combining qualitative and quantitative sampling, data collection, and analysis techniques&lt;/title&gt;&lt;secondary-title&gt;Research in nursing &amp;amp; health&lt;/secondary-title&gt;&lt;/titles&gt;&lt;periodical&gt;&lt;full-title&gt;Research in nursing &amp;amp; health&lt;/full-title&gt;&lt;/periodical&gt;&lt;pages&gt;246-255&lt;/pages&gt;&lt;volume&gt;23&lt;/volume&gt;&lt;dates&gt;&lt;year&gt;2000&lt;/year&gt;&lt;/dates&gt;&lt;publisher&gt;Citeseer&lt;/publisher&gt;&lt;urls&gt;&lt;/urls&gt;&lt;/record&gt;&lt;/Cite&gt;&lt;/EndNote&gt;</w:instrText>
      </w:r>
      <w:r w:rsidRPr="00B27F0B">
        <w:rPr>
          <w:rFonts w:cs="VnssbvAdvTT3713a231"/>
          <w:lang w:val="en-GB"/>
        </w:rPr>
        <w:fldChar w:fldCharType="separate"/>
      </w:r>
      <w:r w:rsidRPr="00B56453">
        <w:rPr>
          <w:rFonts w:cs="VnssbvAdvTT3713a231"/>
          <w:noProof/>
          <w:lang w:val="en-GB"/>
        </w:rPr>
        <w:t>(</w:t>
      </w:r>
      <w:hyperlink w:anchor="_ENREF_97" w:tooltip="Coyne, 1997 #51" w:history="1">
        <w:r w:rsidR="0094469E" w:rsidRPr="00B56453">
          <w:rPr>
            <w:rFonts w:cs="VnssbvAdvTT3713a231"/>
            <w:noProof/>
            <w:lang w:val="en-GB"/>
          </w:rPr>
          <w:t>Coyne 1997</w:t>
        </w:r>
      </w:hyperlink>
      <w:r w:rsidRPr="00B56453">
        <w:rPr>
          <w:rFonts w:cs="VnssbvAdvTT3713a231"/>
          <w:noProof/>
          <w:lang w:val="en-GB"/>
        </w:rPr>
        <w:t xml:space="preserve">; </w:t>
      </w:r>
      <w:hyperlink w:anchor="_ENREF_358" w:tooltip="Sandelowski, 2000 #492" w:history="1">
        <w:r w:rsidR="0094469E" w:rsidRPr="00B56453">
          <w:rPr>
            <w:rFonts w:cs="VnssbvAdvTT3713a231"/>
            <w:noProof/>
            <w:lang w:val="en-GB"/>
          </w:rPr>
          <w:t>Sandelowski 2000</w:t>
        </w:r>
      </w:hyperlink>
      <w:r w:rsidRPr="00B56453">
        <w:rPr>
          <w:rFonts w:cs="VnssbvAdvTT3713a231"/>
          <w:noProof/>
          <w:lang w:val="en-GB"/>
        </w:rPr>
        <w:t>)</w:t>
      </w:r>
      <w:r w:rsidRPr="009C2746">
        <w:rPr>
          <w:rFonts w:cs="VnssbvAdvTT3713a231"/>
          <w:lang w:val="en-GB"/>
        </w:rPr>
        <w:fldChar w:fldCharType="end"/>
      </w:r>
      <w:r w:rsidRPr="00B56453">
        <w:rPr>
          <w:rFonts w:cs="VnssbvAdvTT3713a231"/>
          <w:lang w:val="en-GB"/>
        </w:rPr>
        <w:t>. Although no qualitative differences were observed between learners with different SSRQ scores it was important to confirm this result rather than to overlook this potential variable.</w:t>
      </w:r>
    </w:p>
    <w:p w14:paraId="33C1BA27" w14:textId="77777777" w:rsidR="00713C7D" w:rsidRPr="00B56453" w:rsidRDefault="00713C7D" w:rsidP="00713C7D">
      <w:pPr>
        <w:pStyle w:val="Normal1"/>
        <w:rPr>
          <w:lang w:val="en-GB"/>
        </w:rPr>
      </w:pPr>
    </w:p>
    <w:p w14:paraId="2A0F3BD7" w14:textId="5D562F4F" w:rsidR="00713C7D" w:rsidRPr="00B56453" w:rsidRDefault="00713C7D" w:rsidP="00713C7D">
      <w:pPr>
        <w:pStyle w:val="Normal1"/>
        <w:rPr>
          <w:lang w:val="en-GB"/>
        </w:rPr>
      </w:pPr>
      <w:r w:rsidRPr="00B56453">
        <w:rPr>
          <w:lang w:val="en-GB"/>
        </w:rPr>
        <w:t xml:space="preserve">The constant comparative process, member checking, and peer debriefing methods added key elements of qualitative trustworthiness to the interpretation of the data </w:t>
      </w:r>
      <w:r w:rsidRPr="009C2746">
        <w:rPr>
          <w:lang w:val="en-GB"/>
        </w:rPr>
        <w:fldChar w:fldCharType="begin"/>
      </w:r>
      <w:r w:rsidRPr="00B56453">
        <w:rPr>
          <w:lang w:val="en-GB"/>
        </w:rPr>
        <w:instrText xml:space="preserve"> ADDIN EN.CITE &lt;EndNote&gt;&lt;Cite&gt;&lt;Author&gt;Rolfe&lt;/Author&gt;&lt;Year&gt;2006&lt;/Year&gt;&lt;RecNum&gt;488&lt;/RecNum&gt;&lt;DisplayText&gt;(Rolfe 2006; Pluye 2013)&lt;/DisplayText&gt;&lt;record&gt;&lt;rec-number&gt;488&lt;/rec-number&gt;&lt;foreign-keys&gt;&lt;key app="EN" db-id="xa2r2ewea92trkef5dt5arvbzafvpv2za5ft" timestamp="1496417549"&gt;488&lt;/key&gt;&lt;/foreign-keys&gt;&lt;ref-type name="Journal Article"&gt;17&lt;/ref-type&gt;&lt;contributors&gt;&lt;authors&gt;&lt;author&gt;Rolfe, Gary&lt;/author&gt;&lt;/authors&gt;&lt;/contributors&gt;&lt;titles&gt;&lt;title&gt;Validity, trustworthiness and rigour: quality and the idea of qualitative research&lt;/title&gt;&lt;secondary-title&gt;Journal of advanced nursing&lt;/secondary-title&gt;&lt;/titles&gt;&lt;periodical&gt;&lt;full-title&gt;Journal of advanced nursing&lt;/full-title&gt;&lt;/periodical&gt;&lt;pages&gt;304-310&lt;/pages&gt;&lt;volume&gt;53&lt;/volume&gt;&lt;number&gt;3&lt;/number&gt;&lt;dates&gt;&lt;year&gt;2006&lt;/year&gt;&lt;/dates&gt;&lt;publisher&gt;Wiley Online Library&lt;/publisher&gt;&lt;urls&gt;&lt;related-urls&gt;&lt;url&gt;http://onlinelibrary.wiley.com/doi/10.1111/j.1365-2648.2006.03727.x/abstract&lt;/url&gt;&lt;/related-urls&gt;&lt;/urls&gt;&lt;/record&gt;&lt;/Cite&gt;&lt;Cite&gt;&lt;Author&gt;Pluye&lt;/Author&gt;&lt;Year&gt;2013&lt;/Year&gt;&lt;RecNum&gt;477&lt;/RecNum&gt;&lt;record&gt;&lt;rec-number&gt;477&lt;/rec-number&gt;&lt;foreign-keys&gt;&lt;key app="EN" db-id="xa2r2ewea92trkef5dt5arvbzafvpv2za5ft" timestamp="1496417548"&gt;477&lt;/key&gt;&lt;/foreign-keys&gt;&lt;ref-type name="Journal Article"&gt;17&lt;/ref-type&gt;&lt;contributors&gt;&lt;authors&gt;&lt;author&gt;Pluye, Pierre&lt;/author&gt;&lt;/authors&gt;&lt;/contributors&gt;&lt;titles&gt;&lt;title&gt;Critical appraisal tools for assessing the methodological quality of qualitative, quantitative and mixed methods studies included in systematic mixed studies reviews&lt;/title&gt;&lt;secondary-title&gt;Journal of evaluation in clinical practice&lt;/secondary-title&gt;&lt;/titles&gt;&lt;periodical&gt;&lt;full-title&gt;Journal of evaluation in clinical practice&lt;/full-title&gt;&lt;/periodical&gt;&lt;pages&gt;722-722&lt;/pages&gt;&lt;volume&gt;19&lt;/volume&gt;&lt;number&gt;4&lt;/number&gt;&lt;dates&gt;&lt;year&gt;2013&lt;/year&gt;&lt;/dates&gt;&lt;publisher&gt;Wiley Online Library&lt;/publisher&gt;&lt;urls&gt;&lt;related-urls&gt;&lt;url&gt;http://onlinelibrary.wiley.com/doi/10.1111/jep.12017/abstract&lt;/url&gt;&lt;/related-urls&gt;&lt;/urls&gt;&lt;/record&gt;&lt;/Cite&gt;&lt;/EndNote&gt;</w:instrText>
      </w:r>
      <w:r w:rsidRPr="00B27F0B">
        <w:rPr>
          <w:lang w:val="en-GB"/>
        </w:rPr>
        <w:fldChar w:fldCharType="separate"/>
      </w:r>
      <w:r w:rsidRPr="00B56453">
        <w:rPr>
          <w:noProof/>
          <w:lang w:val="en-GB"/>
        </w:rPr>
        <w:t>(</w:t>
      </w:r>
      <w:hyperlink w:anchor="_ENREF_349" w:tooltip="Rolfe, 2006 #488" w:history="1">
        <w:r w:rsidR="0094469E" w:rsidRPr="00B56453">
          <w:rPr>
            <w:noProof/>
            <w:lang w:val="en-GB"/>
          </w:rPr>
          <w:t>Rolfe 2006</w:t>
        </w:r>
      </w:hyperlink>
      <w:r w:rsidRPr="00B56453">
        <w:rPr>
          <w:noProof/>
          <w:lang w:val="en-GB"/>
        </w:rPr>
        <w:t xml:space="preserve">; </w:t>
      </w:r>
      <w:hyperlink w:anchor="_ENREF_328" w:tooltip="Pluye, 2013 #203" w:history="1">
        <w:r w:rsidR="0094469E" w:rsidRPr="00B56453">
          <w:rPr>
            <w:noProof/>
            <w:lang w:val="en-GB"/>
          </w:rPr>
          <w:t>Pluye 2013</w:t>
        </w:r>
      </w:hyperlink>
      <w:r w:rsidRPr="00B56453">
        <w:rPr>
          <w:noProof/>
          <w:lang w:val="en-GB"/>
        </w:rPr>
        <w:t>)</w:t>
      </w:r>
      <w:r w:rsidRPr="009C2746">
        <w:rPr>
          <w:lang w:val="en-GB"/>
        </w:rPr>
        <w:fldChar w:fldCharType="end"/>
      </w:r>
      <w:r w:rsidRPr="00B56453">
        <w:rPr>
          <w:lang w:val="en-GB"/>
        </w:rPr>
        <w:t>. Without these measures internal or confirmation biases could have misrepresented the findings. Another strength of this part of the study relating to the interviews were the measures taken to prompt students in recalling and recounting their experiences and perceptions of clinical placement learning using the reflective diary. The EAI was also particularly useful for framing students’ thoughts towards all aspects of the supervisory relationship. Although as it was not validated the tool was not deemed useful for analysis, however, other researchers may find a similar benefit in using the EAI as a prompting tool.</w:t>
      </w:r>
      <w:r w:rsidRPr="00B56453">
        <w:rPr>
          <w:lang w:val="en-GB"/>
        </w:rPr>
        <w:br w:type="page"/>
      </w:r>
    </w:p>
    <w:p w14:paraId="7E161413" w14:textId="5AAFC598" w:rsidR="00713C7D" w:rsidRPr="00B56453" w:rsidRDefault="00713C7D" w:rsidP="00713C7D">
      <w:pPr>
        <w:pStyle w:val="Heading2"/>
        <w:rPr>
          <w:lang w:val="en-GB"/>
        </w:rPr>
      </w:pPr>
      <w:bookmarkStart w:id="491" w:name="_Toc500319463"/>
      <w:r w:rsidRPr="00B56453">
        <w:rPr>
          <w:lang w:val="en-GB"/>
        </w:rPr>
        <w:lastRenderedPageBreak/>
        <w:t>D2.8 Reflective Account</w:t>
      </w:r>
      <w:bookmarkEnd w:id="491"/>
    </w:p>
    <w:p w14:paraId="300D1EAE" w14:textId="77777777" w:rsidR="00713C7D" w:rsidRPr="00B56453" w:rsidRDefault="00713C7D" w:rsidP="00713C7D">
      <w:pPr>
        <w:pStyle w:val="Normal1"/>
        <w:rPr>
          <w:lang w:val="en-GB"/>
        </w:rPr>
      </w:pPr>
    </w:p>
    <w:p w14:paraId="025EC3C5" w14:textId="77777777" w:rsidR="00713C7D" w:rsidRPr="00B56453" w:rsidRDefault="00713C7D" w:rsidP="00713C7D">
      <w:pPr>
        <w:pStyle w:val="Normal1"/>
        <w:rPr>
          <w:lang w:val="en-GB"/>
        </w:rPr>
      </w:pPr>
      <w:r w:rsidRPr="00B56453">
        <w:rPr>
          <w:lang w:val="en-GB"/>
        </w:rPr>
        <w:t xml:space="preserve">In these choice reflections I consider how my role in this research may have impacted upon the design, data collection, and interpretations of the data presented in this thesis.  </w:t>
      </w:r>
    </w:p>
    <w:p w14:paraId="088905C8" w14:textId="77777777" w:rsidR="00713C7D" w:rsidRPr="00B56453" w:rsidRDefault="00713C7D" w:rsidP="00713C7D">
      <w:pPr>
        <w:pStyle w:val="Normal1"/>
        <w:rPr>
          <w:lang w:val="en-GB"/>
        </w:rPr>
      </w:pPr>
    </w:p>
    <w:p w14:paraId="0BAF7964" w14:textId="3B65A2CD" w:rsidR="00713C7D" w:rsidRPr="00B56453" w:rsidRDefault="00713C7D" w:rsidP="00713C7D">
      <w:pPr>
        <w:pStyle w:val="Normal1"/>
        <w:rPr>
          <w:lang w:val="en-GB"/>
        </w:rPr>
      </w:pPr>
      <w:r w:rsidRPr="00B56453">
        <w:rPr>
          <w:lang w:val="en-GB"/>
        </w:rPr>
        <w:t xml:space="preserve">I had varying levels of direct and prolonged engagement with participants at different points in this research, thus the Hawthorne effect may have caused an impact where my direct involvement could have influenced the data </w:t>
      </w:r>
      <w:r w:rsidRPr="009C2746">
        <w:rPr>
          <w:lang w:val="en-GB"/>
        </w:rPr>
        <w:fldChar w:fldCharType="begin"/>
      </w:r>
      <w:r w:rsidRPr="00B56453">
        <w:rPr>
          <w:lang w:val="en-GB"/>
        </w:rPr>
        <w:instrText xml:space="preserve"> ADDIN EN.CITE &lt;EndNote&gt;&lt;Cite&gt;&lt;Author&gt;McCarney&lt;/Author&gt;&lt;Year&gt;2007&lt;/Year&gt;&lt;RecNum&gt;833&lt;/RecNum&gt;&lt;DisplayText&gt;(McCarney et al. 2007)&lt;/DisplayText&gt;&lt;record&gt;&lt;rec-number&gt;833&lt;/rec-number&gt;&lt;foreign-keys&gt;&lt;key app="EN" db-id="xa2r2ewea92trkef5dt5arvbzafvpv2za5ft" timestamp="1496417597"&gt;833&lt;/key&gt;&lt;/foreign-keys&gt;&lt;ref-type name="Journal Article"&gt;17&lt;/ref-type&gt;&lt;contributors&gt;&lt;authors&gt;&lt;author&gt;McCarney, Rob&lt;/author&gt;&lt;author&gt;Warner, James&lt;/author&gt;&lt;author&gt;Iliffe, Steve&lt;/author&gt;&lt;author&gt;Van Haselen, Robbert&lt;/author&gt;&lt;author&gt;Griffin, Mark&lt;/author&gt;&lt;author&gt;Fisher, Peter&lt;/author&gt;&lt;/authors&gt;&lt;/contributors&gt;&lt;titles&gt;&lt;title&gt;The Hawthorne Effect: a randomised, controlled trial&lt;/title&gt;&lt;secondary-title&gt;BMC medical research methodology&lt;/secondary-title&gt;&lt;/titles&gt;&lt;periodical&gt;&lt;full-title&gt;BMC medical research methodology&lt;/full-title&gt;&lt;/periodical&gt;&lt;pages&gt;30&lt;/pages&gt;&lt;volume&gt;7&lt;/volume&gt;&lt;number&gt;1&lt;/number&gt;&lt;dates&gt;&lt;year&gt;2007&lt;/year&gt;&lt;/dates&gt;&lt;isbn&gt;1471-2288&lt;/isbn&gt;&lt;urls&gt;&lt;/urls&gt;&lt;/record&gt;&lt;/Cite&gt;&lt;/EndNote&gt;</w:instrText>
      </w:r>
      <w:r w:rsidRPr="00B27F0B">
        <w:rPr>
          <w:lang w:val="en-GB"/>
        </w:rPr>
        <w:fldChar w:fldCharType="separate"/>
      </w:r>
      <w:r w:rsidRPr="00B56453">
        <w:rPr>
          <w:noProof/>
          <w:lang w:val="en-GB"/>
        </w:rPr>
        <w:t>(</w:t>
      </w:r>
      <w:hyperlink w:anchor="_ENREF_264" w:tooltip="McCarney, 2007 #833" w:history="1">
        <w:r w:rsidR="0094469E" w:rsidRPr="00B56453">
          <w:rPr>
            <w:noProof/>
            <w:lang w:val="en-GB"/>
          </w:rPr>
          <w:t>McCarney et al. 2007</w:t>
        </w:r>
      </w:hyperlink>
      <w:r w:rsidRPr="00B56453">
        <w:rPr>
          <w:noProof/>
          <w:lang w:val="en-GB"/>
        </w:rPr>
        <w:t>)</w:t>
      </w:r>
      <w:r w:rsidRPr="009C2746">
        <w:rPr>
          <w:lang w:val="en-GB"/>
        </w:rPr>
        <w:fldChar w:fldCharType="end"/>
      </w:r>
      <w:r w:rsidRPr="00B56453">
        <w:rPr>
          <w:lang w:val="en-GB"/>
        </w:rPr>
        <w:t xml:space="preserve">. Some of these instances were unavoidable, for example, the training of teachers in both feedback models required my presence to deliver and oversee this process. I also distributed and collected questionnaires, with the supervisory team on some occasions, which may have had some impact. Crucially, I was not present when feedback was given to students in the teaching sessions. Instead I observed using a video link from a control room so not to influence the teachers or students. </w:t>
      </w:r>
    </w:p>
    <w:p w14:paraId="65D0B07B" w14:textId="77777777" w:rsidR="00713C7D" w:rsidRPr="00B56453" w:rsidRDefault="00713C7D" w:rsidP="00713C7D">
      <w:pPr>
        <w:pStyle w:val="Normal1"/>
        <w:rPr>
          <w:lang w:val="en-GB"/>
        </w:rPr>
      </w:pPr>
    </w:p>
    <w:p w14:paraId="120F545A" w14:textId="77777777" w:rsidR="00713C7D" w:rsidRPr="00B56453" w:rsidRDefault="00713C7D" w:rsidP="00713C7D">
      <w:pPr>
        <w:pStyle w:val="Normal1"/>
        <w:rPr>
          <w:lang w:val="en-GB"/>
        </w:rPr>
      </w:pPr>
      <w:r w:rsidRPr="00B56453">
        <w:rPr>
          <w:lang w:val="en-GB"/>
        </w:rPr>
        <w:t>My position as a young researcher - who was not medically trained - may have had an impact at various points in this research. This was evident in my interactions with teachers; when I first met many of them they asked me about my background. Some were surprised to hear I did not have a medical background, assuming I was a junior doctor doing research. This assumption also came up in my interactions with students; most of them informally told me that they thought I was a clinician or teacher on their course before I introduced myself. This had an interesting impact in both cases, teachers and students commented in interviews and informally that they felt more comfortable speaking honestly about their experiences with me because they did not perceive me as part of the medical school faculty. It was not possible to quantify this effect but it does indicate that some participants may have relayed certain views or experiences to me that they otherwise would not have relayed to someone who better represented the medical school. Alternatively, I could have missed crucial information that they might have been more inclined to offer to a more authoritative figure in their field.</w:t>
      </w:r>
    </w:p>
    <w:p w14:paraId="7123C254" w14:textId="77777777" w:rsidR="00713C7D" w:rsidRPr="00B56453" w:rsidRDefault="00713C7D" w:rsidP="00713C7D">
      <w:pPr>
        <w:pStyle w:val="Normal1"/>
        <w:rPr>
          <w:lang w:val="en-GB"/>
        </w:rPr>
      </w:pPr>
    </w:p>
    <w:p w14:paraId="03E31538" w14:textId="0B134C29" w:rsidR="00713C7D" w:rsidRPr="00B56453" w:rsidRDefault="00713C7D" w:rsidP="00713C7D">
      <w:pPr>
        <w:pStyle w:val="Normal1"/>
        <w:rPr>
          <w:lang w:val="en-GB"/>
        </w:rPr>
      </w:pPr>
      <w:r w:rsidRPr="00B56453">
        <w:rPr>
          <w:lang w:val="en-GB"/>
        </w:rPr>
        <w:t xml:space="preserve">It was also evident in my interactions with participants that they were aware of who my supervisors were, usually through the participant information forms. This may have impacted mostly upon the recruitment process, one teacher joked that they didn’t want to refuse participation as my supervisor was superior to them. This was not mentioned again as an issue but may have had a </w:t>
      </w:r>
      <w:r w:rsidR="00B56453" w:rsidRPr="00B56453">
        <w:rPr>
          <w:lang w:val="en-GB"/>
        </w:rPr>
        <w:t>subtler</w:t>
      </w:r>
      <w:r w:rsidRPr="00B56453">
        <w:rPr>
          <w:lang w:val="en-GB"/>
        </w:rPr>
        <w:t xml:space="preserve"> impact overall.</w:t>
      </w:r>
    </w:p>
    <w:p w14:paraId="39B1ACD5" w14:textId="77777777" w:rsidR="00713C7D" w:rsidRPr="00B56453" w:rsidRDefault="00713C7D" w:rsidP="00713C7D">
      <w:pPr>
        <w:pStyle w:val="Normal1"/>
        <w:rPr>
          <w:lang w:val="en-GB"/>
        </w:rPr>
      </w:pPr>
    </w:p>
    <w:p w14:paraId="704036A7" w14:textId="77777777" w:rsidR="00713C7D" w:rsidRPr="00B56453" w:rsidRDefault="00713C7D" w:rsidP="00713C7D">
      <w:pPr>
        <w:pStyle w:val="Normal1"/>
        <w:rPr>
          <w:lang w:val="en-GB"/>
        </w:rPr>
      </w:pPr>
      <w:r w:rsidRPr="00B56453">
        <w:rPr>
          <w:lang w:val="en-GB"/>
        </w:rPr>
        <w:t>On a more positive note, students who participated in the interviews had commented that they agreed to participate in those activities as they had heard positive comments about me from those who had participated in the focus groups. My personal impression from all of the interviews was also positive, I would often chat with the students after recording more informally about their experiences. Building beneficial relationships with participants is important in research to avoid a transactional experience but brings the danger of influencing data collection and interpretation. In this case the only evidencable impact was an improved recruitment process at the end of the research.</w:t>
      </w:r>
    </w:p>
    <w:p w14:paraId="6A7D8540" w14:textId="77777777" w:rsidR="00713C7D" w:rsidRPr="00B56453" w:rsidRDefault="00713C7D" w:rsidP="00713C7D">
      <w:pPr>
        <w:pStyle w:val="Normal1"/>
        <w:rPr>
          <w:lang w:val="en-GB"/>
        </w:rPr>
      </w:pPr>
    </w:p>
    <w:p w14:paraId="6C6DC755" w14:textId="77777777" w:rsidR="00713C7D" w:rsidRPr="00B56453" w:rsidRDefault="00713C7D" w:rsidP="00713C7D">
      <w:pPr>
        <w:pStyle w:val="Normal1"/>
        <w:rPr>
          <w:lang w:val="en-GB"/>
        </w:rPr>
      </w:pPr>
      <w:r w:rsidRPr="00B56453">
        <w:rPr>
          <w:lang w:val="en-GB"/>
        </w:rPr>
        <w:t>These reflections were derived from the weekly research diary I kept throughout this project.</w:t>
      </w:r>
      <w:r w:rsidRPr="00B56453">
        <w:rPr>
          <w:lang w:val="en-GB"/>
        </w:rPr>
        <w:br w:type="page"/>
      </w:r>
    </w:p>
    <w:p w14:paraId="51A7BE32" w14:textId="378F5622" w:rsidR="0021662A" w:rsidRPr="00B56453" w:rsidRDefault="0021662A" w:rsidP="0021662A">
      <w:pPr>
        <w:pStyle w:val="Heading2"/>
        <w:rPr>
          <w:lang w:val="en-GB"/>
        </w:rPr>
      </w:pPr>
      <w:bookmarkStart w:id="492" w:name="_Toc500319464"/>
      <w:r w:rsidRPr="00B56453">
        <w:rPr>
          <w:lang w:val="en-GB"/>
        </w:rPr>
        <w:lastRenderedPageBreak/>
        <w:t>D</w:t>
      </w:r>
      <w:r w:rsidR="00BF6160" w:rsidRPr="00B56453">
        <w:rPr>
          <w:lang w:val="en-GB"/>
        </w:rPr>
        <w:t>2</w:t>
      </w:r>
      <w:r w:rsidRPr="00B56453">
        <w:rPr>
          <w:lang w:val="en-GB"/>
        </w:rPr>
        <w:t>.</w:t>
      </w:r>
      <w:r w:rsidR="00713C7D" w:rsidRPr="00B56453">
        <w:rPr>
          <w:lang w:val="en-GB"/>
        </w:rPr>
        <w:t>9</w:t>
      </w:r>
      <w:r w:rsidRPr="00B56453">
        <w:rPr>
          <w:lang w:val="en-GB"/>
        </w:rPr>
        <w:t xml:space="preserve"> Significance of this Research and Recommendations for Future Work</w:t>
      </w:r>
      <w:bookmarkEnd w:id="492"/>
    </w:p>
    <w:p w14:paraId="2B385311" w14:textId="77777777" w:rsidR="0021662A" w:rsidRPr="00B56453" w:rsidRDefault="0021662A" w:rsidP="0021662A">
      <w:pPr>
        <w:pStyle w:val="Normal1"/>
        <w:rPr>
          <w:lang w:val="en-GB"/>
        </w:rPr>
      </w:pPr>
    </w:p>
    <w:p w14:paraId="2AD770EB" w14:textId="4A15AD41" w:rsidR="0021662A" w:rsidRPr="00B56453" w:rsidRDefault="0021662A" w:rsidP="0021662A">
      <w:pPr>
        <w:pStyle w:val="Heading3"/>
      </w:pPr>
      <w:bookmarkStart w:id="493" w:name="_Toc500319465"/>
      <w:r w:rsidRPr="00B56453">
        <w:t>D</w:t>
      </w:r>
      <w:r w:rsidR="00713C7D" w:rsidRPr="00B56453">
        <w:t>2.9</w:t>
      </w:r>
      <w:r w:rsidR="00C47666" w:rsidRPr="00B56453">
        <w:t>.1 Learning Transfer and C</w:t>
      </w:r>
      <w:r w:rsidRPr="00B56453">
        <w:t>ontext</w:t>
      </w:r>
      <w:bookmarkEnd w:id="493"/>
    </w:p>
    <w:p w14:paraId="2613B4A0" w14:textId="77777777" w:rsidR="0021662A" w:rsidRPr="00B56453" w:rsidRDefault="0021662A" w:rsidP="0021662A">
      <w:pPr>
        <w:pStyle w:val="Normal1"/>
        <w:rPr>
          <w:lang w:val="en-GB"/>
        </w:rPr>
      </w:pPr>
    </w:p>
    <w:p w14:paraId="5D051C04" w14:textId="00F5229D" w:rsidR="0021662A" w:rsidRPr="00B56453" w:rsidRDefault="0021662A" w:rsidP="0021662A">
      <w:pPr>
        <w:pStyle w:val="Normal1"/>
        <w:rPr>
          <w:lang w:val="en-GB"/>
        </w:rPr>
      </w:pPr>
      <w:r w:rsidRPr="00B56453">
        <w:rPr>
          <w:lang w:val="en-GB"/>
        </w:rPr>
        <w:t xml:space="preserve">This study </w:t>
      </w:r>
      <w:r w:rsidR="00C47666" w:rsidRPr="00B56453">
        <w:rPr>
          <w:lang w:val="en-GB"/>
        </w:rPr>
        <w:t>is</w:t>
      </w:r>
      <w:r w:rsidRPr="00B56453">
        <w:rPr>
          <w:lang w:val="en-GB"/>
        </w:rPr>
        <w:t xml:space="preserve"> the first to </w:t>
      </w:r>
      <w:r w:rsidR="00ED711A" w:rsidRPr="00B56453">
        <w:rPr>
          <w:lang w:val="en-GB"/>
        </w:rPr>
        <w:t>evaluate</w:t>
      </w:r>
      <w:r w:rsidRPr="00B56453">
        <w:rPr>
          <w:lang w:val="en-GB"/>
        </w:rPr>
        <w:t xml:space="preserve"> the effects of an SRL intervention longitudinally to explore how </w:t>
      </w:r>
      <w:r w:rsidR="00C47666" w:rsidRPr="00B56453">
        <w:rPr>
          <w:lang w:val="en-GB"/>
        </w:rPr>
        <w:t>SRL and feedback</w:t>
      </w:r>
      <w:r w:rsidRPr="00B56453">
        <w:rPr>
          <w:lang w:val="en-GB"/>
        </w:rPr>
        <w:t xml:space="preserve"> behaviours develop as a result of targeted feedback. The significance of this study, in terms of SRL research, is rooted in the exploration of transferability to authentic, and specific, real-life contexts; identified as one of the most important topics of research by experts in the field </w:t>
      </w:r>
      <w:r w:rsidRPr="009C2746">
        <w:rPr>
          <w:lang w:val="en-GB"/>
        </w:rPr>
        <w:fldChar w:fldCharType="begin"/>
      </w:r>
      <w:r w:rsidRPr="00B56453">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Pr="00B27F0B">
        <w:rPr>
          <w:lang w:val="en-GB"/>
        </w:rPr>
        <w:fldChar w:fldCharType="separate"/>
      </w:r>
      <w:r w:rsidRPr="00B56453">
        <w:rPr>
          <w:noProof/>
          <w:lang w:val="en-GB"/>
        </w:rPr>
        <w:t>(</w:t>
      </w:r>
      <w:hyperlink w:anchor="_ENREF_87" w:tooltip="Cleary, 2013 #593" w:history="1">
        <w:r w:rsidR="0094469E" w:rsidRPr="00B56453">
          <w:rPr>
            <w:noProof/>
            <w:lang w:val="en-GB"/>
          </w:rPr>
          <w:t>Cleary et al. 2013</w:t>
        </w:r>
      </w:hyperlink>
      <w:r w:rsidRPr="00B56453">
        <w:rPr>
          <w:noProof/>
          <w:lang w:val="en-GB"/>
        </w:rPr>
        <w:t>)</w:t>
      </w:r>
      <w:r w:rsidRPr="009C2746">
        <w:rPr>
          <w:lang w:val="en-GB"/>
        </w:rPr>
        <w:fldChar w:fldCharType="end"/>
      </w:r>
      <w:r w:rsidRPr="00B56453">
        <w:rPr>
          <w:lang w:val="en-GB"/>
        </w:rPr>
        <w:t xml:space="preserve">. Additionally, the focus on individual as well as group differences in SRL outcomes is prioritised in this research as opposed to treating individual differences as ‘outliers’, this reflects the nature of SRL and provides opportunities to address why some interventions succeed and others fail </w:t>
      </w:r>
      <w:r w:rsidRPr="009C2746">
        <w:rPr>
          <w:lang w:val="en-GB"/>
        </w:rPr>
        <w:fldChar w:fldCharType="begin"/>
      </w:r>
      <w:r w:rsidRPr="00B56453">
        <w:rPr>
          <w:lang w:val="en-GB"/>
        </w:rPr>
        <w:instrText xml:space="preserve"> ADDIN EN.CITE &lt;EndNote&gt;&lt;Cite&gt;&lt;Author&gt;Cleary&lt;/Author&gt;&lt;Year&gt;2013&lt;/Year&gt;&lt;RecNum&gt;593&lt;/RecNum&gt;&lt;DisplayText&gt;(Cleary et al. 2013)&lt;/DisplayText&gt;&lt;record&gt;&lt;rec-number&gt;593&lt;/rec-number&gt;&lt;foreign-keys&gt;&lt;key app="EN" db-id="xa2r2ewea92trkef5dt5arvbzafvpv2za5ft" timestamp="1496417558"&gt;593&lt;/key&gt;&lt;/foreign-keys&gt;&lt;ref-type name="Book Section"&gt;5&lt;/ref-type&gt;&lt;contributors&gt;&lt;authors&gt;&lt;author&gt;Timothy J. Cleary&lt;/author&gt;&lt;author&gt;Steven J. Durning&lt;/author&gt;&lt;author&gt;Larry D. Gruppen&lt;/author&gt;&lt;author&gt;Paul A. Hemmer&lt;/author&gt;&lt;author&gt;Anthony R. Artino&lt;/author&gt;&lt;/authors&gt;&lt;secondary-authors&gt;&lt;author&gt;Kieran Walsh&lt;/author&gt;&lt;/secondary-authors&gt;&lt;/contributors&gt;&lt;titles&gt;&lt;title&gt;Self-regulated learning in medical education&lt;/title&gt;&lt;secondary-title&gt;The Oxford Textbook of Medical Education&lt;/secondary-title&gt;&lt;/titles&gt;&lt;pages&gt;465 - 477&lt;/pages&gt;&lt;edition&gt;1st&lt;/edition&gt;&lt;section&gt;40&lt;/section&gt;&lt;dates&gt;&lt;year&gt;2013&lt;/year&gt;&lt;/dates&gt;&lt;pub-location&gt;Oxford, UK&lt;/pub-location&gt;&lt;publisher&gt;Oxford University press&lt;/publisher&gt;&lt;urls&gt;&lt;/urls&gt;&lt;/record&gt;&lt;/Cite&gt;&lt;/EndNote&gt;</w:instrText>
      </w:r>
      <w:r w:rsidRPr="00B27F0B">
        <w:rPr>
          <w:lang w:val="en-GB"/>
        </w:rPr>
        <w:fldChar w:fldCharType="separate"/>
      </w:r>
      <w:r w:rsidRPr="00B56453">
        <w:rPr>
          <w:noProof/>
          <w:lang w:val="en-GB"/>
        </w:rPr>
        <w:t>(</w:t>
      </w:r>
      <w:hyperlink w:anchor="_ENREF_87" w:tooltip="Cleary, 2013 #593" w:history="1">
        <w:r w:rsidR="0094469E" w:rsidRPr="00B56453">
          <w:rPr>
            <w:noProof/>
            <w:lang w:val="en-GB"/>
          </w:rPr>
          <w:t>Cleary et al. 2013</w:t>
        </w:r>
      </w:hyperlink>
      <w:r w:rsidRPr="00B56453">
        <w:rPr>
          <w:noProof/>
          <w:lang w:val="en-GB"/>
        </w:rPr>
        <w:t>)</w:t>
      </w:r>
      <w:r w:rsidRPr="009C2746">
        <w:rPr>
          <w:lang w:val="en-GB"/>
        </w:rPr>
        <w:fldChar w:fldCharType="end"/>
      </w:r>
      <w:r w:rsidRPr="00B56453">
        <w:rPr>
          <w:lang w:val="en-GB"/>
        </w:rPr>
        <w:t xml:space="preserve">. This mixed methods approach allowed for the assessment of SRL during learning and for addressing its impact in authentic clinical environments where the behaviour is implemented which was so unexplored. No studies have explored how SRL abilities change after training to inform future learning </w:t>
      </w:r>
      <w:r w:rsidRPr="009C2746">
        <w:rPr>
          <w:lang w:val="en-GB"/>
        </w:rPr>
        <w:fldChar w:fldCharType="begin"/>
      </w:r>
      <w:r w:rsidRPr="00B56453">
        <w:rPr>
          <w:lang w:val="en-GB"/>
        </w:rPr>
        <w:instrText xml:space="preserve"> ADDIN EN.CITE &lt;EndNote&gt;&lt;Cite&gt;&lt;Author&gt;Brydges&lt;/Author&gt;&lt;Year&gt;2015&lt;/Year&gt;&lt;RecNum&gt;295&lt;/RecNum&gt;&lt;DisplayText&gt;(Brydges et al. 2015)&lt;/DisplayText&gt;&lt;record&gt;&lt;rec-number&gt;295&lt;/rec-number&gt;&lt;foreign-keys&gt;&lt;key app="EN" db-id="xa2r2ewea92trkef5dt5arvbzafvpv2za5ft" timestamp="1496417531"&gt;295&lt;/key&gt;&lt;/foreign-keys&gt;&lt;ref-type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Pr="00B56453">
        <w:rPr>
          <w:rFonts w:ascii="Cambria Math" w:hAnsi="Cambria Math" w:cs="Cambria Math"/>
          <w:lang w:val="en-GB"/>
        </w:rPr>
        <w:instrText>‐</w:instrText>
      </w:r>
      <w:r w:rsidRPr="00B56453">
        <w:rPr>
          <w:lang w:val="en-GB"/>
        </w:rPr>
        <w:instrText>regulated learning in simulation</w:instrText>
      </w:r>
      <w:r w:rsidRPr="00B56453">
        <w:rPr>
          <w:rFonts w:ascii="Cambria Math" w:hAnsi="Cambria Math" w:cs="Cambria Math"/>
          <w:lang w:val="en-GB"/>
        </w:rPr>
        <w:instrText>‐</w:instrText>
      </w:r>
      <w:r w:rsidRPr="00B56453">
        <w:rPr>
          <w:lang w:val="en-GB"/>
        </w:rPr>
        <w:instrText>based training: a systematic review and meta</w:instrText>
      </w:r>
      <w:r w:rsidRPr="00B56453">
        <w:rPr>
          <w:rFonts w:ascii="Cambria Math" w:hAnsi="Cambria Math" w:cs="Cambria Math"/>
          <w:lang w:val="en-GB"/>
        </w:rPr>
        <w:instrText>‐</w:instrText>
      </w:r>
      <w:r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Pr="00B27F0B">
        <w:rPr>
          <w:lang w:val="en-GB"/>
        </w:rPr>
        <w:fldChar w:fldCharType="separate"/>
      </w:r>
      <w:r w:rsidRPr="00B56453">
        <w:rPr>
          <w:noProof/>
          <w:lang w:val="en-GB"/>
        </w:rPr>
        <w:t>(</w:t>
      </w:r>
      <w:hyperlink w:anchor="_ENREF_56" w:tooltip="Brydges, 2015 #18" w:history="1">
        <w:r w:rsidR="0094469E" w:rsidRPr="00B56453">
          <w:rPr>
            <w:noProof/>
            <w:lang w:val="en-GB"/>
          </w:rPr>
          <w:t>Brydges et al. 2015</w:t>
        </w:r>
      </w:hyperlink>
      <w:r w:rsidRPr="00B56453">
        <w:rPr>
          <w:noProof/>
          <w:lang w:val="en-GB"/>
        </w:rPr>
        <w:t>)</w:t>
      </w:r>
      <w:r w:rsidRPr="009C2746">
        <w:rPr>
          <w:lang w:val="en-GB"/>
        </w:rPr>
        <w:fldChar w:fldCharType="end"/>
      </w:r>
      <w:r w:rsidRPr="00B56453">
        <w:rPr>
          <w:lang w:val="en-GB"/>
        </w:rPr>
        <w:t xml:space="preserve">. This is methodologically difficult to carry out, authors recommended the use of multiple methods to </w:t>
      </w:r>
      <w:r w:rsidR="00ED711A" w:rsidRPr="00B56453">
        <w:rPr>
          <w:lang w:val="en-GB"/>
        </w:rPr>
        <w:t>evaluate</w:t>
      </w:r>
      <w:r w:rsidRPr="00B56453">
        <w:rPr>
          <w:lang w:val="en-GB"/>
        </w:rPr>
        <w:t xml:space="preserve"> SRL over time </w:t>
      </w:r>
      <w:r w:rsidRPr="009C2746">
        <w:rPr>
          <w:lang w:val="en-GB"/>
        </w:rPr>
        <w:fldChar w:fldCharType="begin"/>
      </w:r>
      <w:r w:rsidRPr="00B56453">
        <w:rPr>
          <w:lang w:val="en-GB"/>
        </w:rPr>
        <w:instrText xml:space="preserve"> ADDIN EN.CITE &lt;EndNote&gt;&lt;Cite&gt;&lt;Author&gt;Ben-Eliyahu&lt;/Author&gt;&lt;Year&gt;2015&lt;/Year&gt;&lt;RecNum&gt;369&lt;/RecNum&gt;&lt;DisplayText&gt;(Ben-Eliyahu and Bernacki 2015)&lt;/DisplayText&gt;&lt;record&gt;&lt;rec-number&gt;369&lt;/rec-number&gt;&lt;foreign-keys&gt;&lt;key app="EN" db-id="xa2r2ewea92trkef5dt5arvbzafvpv2za5ft" timestamp="1496417540"&gt;369&lt;/key&gt;&lt;/foreign-keys&gt;&lt;ref-type name="Journal Article"&gt;17&lt;/ref-type&gt;&lt;contributors&gt;&lt;authors&gt;&lt;author&gt;Ben-Eliyahu, Adar&lt;/author&gt;&lt;author&gt;Bernacki, Matthew L.&lt;/author&gt;&lt;/authors&gt;&lt;/contributors&gt;&lt;titles&gt;&lt;title&gt;Addressing complexities in self-regulated learning: a focus on contextual factors, contingencies, and dynamic relations&lt;/title&gt;&lt;secondary-title&gt;Metacognition and Learning&lt;/secondary-title&gt;&lt;/titles&gt;&lt;periodical&gt;&lt;full-title&gt;Metacognition and Learning&lt;/full-title&gt;&lt;/periodical&gt;&lt;pages&gt;1-13&lt;/pages&gt;&lt;volume&gt;10&lt;/volume&gt;&lt;number&gt;1&lt;/number&gt;&lt;dates&gt;&lt;year&gt;2015&lt;/year&gt;&lt;/dates&gt;&lt;publisher&gt;Springer&lt;/publisher&gt;&lt;urls&gt;&lt;/urls&gt;&lt;/record&gt;&lt;/Cite&gt;&lt;/EndNote&gt;</w:instrText>
      </w:r>
      <w:r w:rsidRPr="00B27F0B">
        <w:rPr>
          <w:lang w:val="en-GB"/>
        </w:rPr>
        <w:fldChar w:fldCharType="separate"/>
      </w:r>
      <w:r w:rsidRPr="00B56453">
        <w:rPr>
          <w:noProof/>
          <w:lang w:val="en-GB"/>
        </w:rPr>
        <w:t>(</w:t>
      </w:r>
      <w:hyperlink w:anchor="_ENREF_25" w:tooltip="Ben-Eliyahu, 2015 #9" w:history="1">
        <w:r w:rsidR="0094469E" w:rsidRPr="00B56453">
          <w:rPr>
            <w:noProof/>
            <w:lang w:val="en-GB"/>
          </w:rPr>
          <w:t>Ben-Eliyahu and Bernacki 2015</w:t>
        </w:r>
      </w:hyperlink>
      <w:r w:rsidRPr="00B56453">
        <w:rPr>
          <w:noProof/>
          <w:lang w:val="en-GB"/>
        </w:rPr>
        <w:t>)</w:t>
      </w:r>
      <w:r w:rsidRPr="009C2746">
        <w:rPr>
          <w:lang w:val="en-GB"/>
        </w:rPr>
        <w:fldChar w:fldCharType="end"/>
      </w:r>
      <w:r w:rsidRPr="00B56453">
        <w:rPr>
          <w:lang w:val="en-GB"/>
        </w:rPr>
        <w:t>, as was used in this study. Those authors also recommended the use of triangulation to create a bigger picture of the phenomenon under study as often used single measures in SRL research limits the generalisability and transferability of findings to other educational contexts.</w:t>
      </w:r>
    </w:p>
    <w:p w14:paraId="2810A0A5" w14:textId="77777777" w:rsidR="0021662A" w:rsidRPr="00B56453" w:rsidRDefault="0021662A" w:rsidP="0021662A">
      <w:pPr>
        <w:pStyle w:val="Normal1"/>
        <w:rPr>
          <w:lang w:val="en-GB"/>
        </w:rPr>
      </w:pPr>
    </w:p>
    <w:p w14:paraId="20EF8F98" w14:textId="729DD3A7" w:rsidR="0021662A" w:rsidRPr="00B56453" w:rsidRDefault="0021662A" w:rsidP="0021662A">
      <w:pPr>
        <w:pStyle w:val="Normal1"/>
        <w:rPr>
          <w:lang w:val="en-GB"/>
        </w:rPr>
      </w:pPr>
      <w:r w:rsidRPr="00B56453">
        <w:rPr>
          <w:lang w:val="en-GB"/>
        </w:rPr>
        <w:t xml:space="preserve">No studies have explored how SRL support in simulated contexts transfers to authentic clinical environments, which this study has done. There is little research which considers the effect of contextual and situational factors. This is significant, as it is known that SRL behaviours are highly contextual and are directly affected by societal and environmental pressures </w:t>
      </w:r>
      <w:r w:rsidRPr="009C2746">
        <w:rPr>
          <w:lang w:val="en-GB"/>
        </w:rPr>
        <w:fldChar w:fldCharType="begin"/>
      </w:r>
      <w:r w:rsidRPr="00B56453">
        <w:rPr>
          <w:lang w:val="en-GB"/>
        </w:rPr>
        <w:instrText xml:space="preserve"> ADDIN EN.CITE &lt;EndNote&gt;&lt;Cite&gt;&lt;Author&gt;Malmberg&lt;/Author&gt;&lt;Year&gt;2014&lt;/Year&gt;&lt;RecNum&gt;152&lt;/RecNum&gt;&lt;DisplayText&gt;(Malmberg et al. 2014)&lt;/DisplayText&gt;&lt;record&gt;&lt;rec-number&gt;152&lt;/rec-number&gt;&lt;foreign-keys&gt;&lt;key app="EN" db-id="xa2r2ewea92trkef5dt5arvbzafvpv2za5ft" timestamp="1442161764"&gt;152&lt;/key&gt;&lt;/foreign-keys&gt;&lt;ref-type name="Journal Article"&gt;17&lt;/ref-type&gt;&lt;contributors&gt;&lt;authors&gt;&lt;author&gt;Malmberg, Jonna&lt;/author&gt;&lt;author&gt;Järvelä, Sanna&lt;/author&gt;&lt;author&gt;Kirschner, Paul A.&lt;/author&gt;&lt;/authors&gt;&lt;/contributors&gt;&lt;titles&gt;&lt;title&gt;Elementary school students’ strategic learning: does task-type matter?&lt;/title&gt;&lt;secondary-title&gt;Metacognition and learning&lt;/secondary-title&gt;&lt;/titles&gt;&lt;periodical&gt;&lt;full-title&gt;Metacognition and Learning&lt;/full-title&gt;&lt;/periodical&gt;&lt;pages&gt;113-136&lt;/pages&gt;&lt;volume&gt;9&lt;/volume&gt;&lt;number&gt;2&lt;/number&gt;&lt;dates&gt;&lt;year&gt;2014&lt;/year&gt;&lt;/dates&gt;&lt;publisher&gt;Springer&lt;/publisher&gt;&lt;urls&gt;&lt;/urls&gt;&lt;/record&gt;&lt;/Cite&gt;&lt;/EndNote&gt;</w:instrText>
      </w:r>
      <w:r w:rsidRPr="00B27F0B">
        <w:rPr>
          <w:lang w:val="en-GB"/>
        </w:rPr>
        <w:fldChar w:fldCharType="separate"/>
      </w:r>
      <w:r w:rsidRPr="00B56453">
        <w:rPr>
          <w:noProof/>
          <w:lang w:val="en-GB"/>
        </w:rPr>
        <w:t>(</w:t>
      </w:r>
      <w:hyperlink w:anchor="_ENREF_253" w:tooltip="Malmberg, 2014 #152" w:history="1">
        <w:r w:rsidR="0094469E" w:rsidRPr="00B56453">
          <w:rPr>
            <w:noProof/>
            <w:lang w:val="en-GB"/>
          </w:rPr>
          <w:t>Malmberg et al. 2014</w:t>
        </w:r>
      </w:hyperlink>
      <w:r w:rsidRPr="00B56453">
        <w:rPr>
          <w:noProof/>
          <w:lang w:val="en-GB"/>
        </w:rPr>
        <w:t>)</w:t>
      </w:r>
      <w:r w:rsidRPr="009C2746">
        <w:rPr>
          <w:lang w:val="en-GB"/>
        </w:rPr>
        <w:fldChar w:fldCharType="end"/>
      </w:r>
      <w:r w:rsidRPr="00B56453">
        <w:rPr>
          <w:lang w:val="en-GB"/>
        </w:rPr>
        <w:t xml:space="preserve">. To illustrate this point, Durning et al. </w:t>
      </w:r>
      <w:r w:rsidRPr="009C2746">
        <w:rPr>
          <w:lang w:val="en-GB"/>
        </w:rPr>
        <w:fldChar w:fldCharType="begin">
          <w:fldData xml:space="preserve">PEVuZE5vdGU+PENpdGUgRXhjbHVkZUF1dGg9IjEiPjxBdXRob3I+RHVybmluZzwvQXV0aG9yPjxZ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</w:fldData>
        </w:fldChar>
      </w:r>
      <w:r w:rsidRPr="00B56453">
        <w:rPr>
          <w:lang w:val="en-GB"/>
        </w:rPr>
        <w:instrText xml:space="preserve"> ADDIN EN.CITE </w:instrText>
      </w:r>
      <w:r w:rsidRPr="00B27F0B">
        <w:rPr>
          <w:lang w:val="en-GB"/>
        </w:rPr>
        <w:fldChar w:fldCharType="begin">
          <w:fldData xml:space="preserve">PEVuZE5vdGU+PENpdGUgRXhjbHVkZUF1dGg9IjEiPjxBdXRob3I+RHVybmluZzwvQXV0aG9yPjxZ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</w:fldData>
        </w:fldChar>
      </w:r>
      <w:r w:rsidRPr="00B56453">
        <w:rPr>
          <w:lang w:val="en-GB"/>
        </w:rPr>
        <w:instrText xml:space="preserve"> ADDIN EN.CITE.DATA </w:instrText>
      </w:r>
      <w:r w:rsidRPr="00B27F0B">
        <w:rPr>
          <w:lang w:val="en-GB"/>
        </w:rPr>
      </w:r>
      <w:r w:rsidRPr="00B27F0B">
        <w:rPr>
          <w:lang w:val="en-GB"/>
        </w:rPr>
        <w:fldChar w:fldCharType="end"/>
      </w:r>
      <w:r w:rsidRPr="00B27F0B">
        <w:rPr>
          <w:lang w:val="en-GB"/>
        </w:rPr>
      </w:r>
      <w:r w:rsidRPr="00B27F0B">
        <w:rPr>
          <w:lang w:val="en-GB"/>
        </w:rPr>
        <w:fldChar w:fldCharType="separate"/>
      </w:r>
      <w:r w:rsidRPr="00B56453">
        <w:rPr>
          <w:noProof/>
          <w:lang w:val="en-GB"/>
        </w:rPr>
        <w:t>(</w:t>
      </w:r>
      <w:hyperlink w:anchor="_ENREF_132" w:tooltip="Durning, 2010 #70" w:history="1">
        <w:r w:rsidR="0094469E" w:rsidRPr="00B56453">
          <w:rPr>
            <w:noProof/>
            <w:lang w:val="en-GB"/>
          </w:rPr>
          <w:t>2010</w:t>
        </w:r>
      </w:hyperlink>
      <w:r w:rsidRPr="00B56453">
        <w:rPr>
          <w:noProof/>
          <w:lang w:val="en-GB"/>
        </w:rPr>
        <w:t xml:space="preserve">; </w:t>
      </w:r>
      <w:hyperlink w:anchor="_ENREF_133" w:tooltip="Durning, 2012 #346" w:history="1">
        <w:r w:rsidR="0094469E" w:rsidRPr="00B56453">
          <w:rPr>
            <w:noProof/>
            <w:lang w:val="en-GB"/>
          </w:rPr>
          <w:t>2012</w:t>
        </w:r>
      </w:hyperlink>
      <w:r w:rsidRPr="00B56453">
        <w:rPr>
          <w:noProof/>
          <w:lang w:val="en-GB"/>
        </w:rPr>
        <w:t>)</w:t>
      </w:r>
      <w:r w:rsidRPr="009C2746">
        <w:rPr>
          <w:lang w:val="en-GB"/>
        </w:rPr>
        <w:fldChar w:fldCharType="end"/>
      </w:r>
      <w:r w:rsidRPr="00B56453">
        <w:rPr>
          <w:lang w:val="en-GB"/>
        </w:rPr>
        <w:t xml:space="preserve"> found that physicians respond differently to patients with the same underlying diagnosis, likely due to contextual effects </w:t>
      </w:r>
      <w:r w:rsidRPr="009C2746">
        <w:rPr>
          <w:lang w:val="en-GB"/>
        </w:rPr>
        <w:fldChar w:fldCharType="begin"/>
      </w:r>
      <w:r w:rsidRPr="00B56453">
        <w:rPr>
          <w:lang w:val="en-GB"/>
        </w:rPr>
        <w:instrText xml:space="preserve"> ADDIN EN.CITE &lt;EndNote&gt;&lt;Cite&gt;&lt;Author&gt;Eva&lt;/Author&gt;&lt;Year&gt;2003&lt;/Year&gt;&lt;RecNum&gt;78&lt;/RecNum&gt;&lt;DisplayText&gt;(Eva 2003)&lt;/DisplayText&gt;&lt;record&gt;&lt;rec-number&gt;78&lt;/rec-number&gt;&lt;foreign-keys&gt;&lt;key app="EN" db-id="xa2r2ewea92trkef5dt5arvbzafvpv2za5ft" timestamp="1442161763"&gt;78&lt;/key&gt;&lt;/foreign-keys&gt;&lt;ref-type name="Journal Article"&gt;17&lt;/ref-type&gt;&lt;contributors&gt;&lt;authors&gt;&lt;author&gt;Eva, Kevin W.&lt;/author&gt;&lt;/authors&gt;&lt;/contributors&gt;&lt;titles&gt;&lt;title&gt;On the generality of specificity&lt;/title&gt;&lt;secondary-title&gt;Medical education&lt;/secondary-title&gt;&lt;/titles&gt;&lt;periodical&gt;&lt;full-title&gt;Medical education&lt;/full-title&gt;&lt;/periodical&gt;&lt;pages&gt;587-588&lt;/pages&gt;&lt;volume&gt;37&lt;/volume&gt;&lt;number&gt;7&lt;/number&gt;&lt;dates&gt;&lt;year&gt;2003&lt;/year&gt;&lt;/dates&gt;&lt;publisher&gt;Wiley Online Library&lt;/publisher&gt;&lt;urls&gt;&lt;related-urls&gt;&lt;url&gt;http://onlinelibrary.wiley.com/doi/10.1046/j.1365-2923.2003.01563.x/abstract&lt;/url&gt;&lt;/related-urls&gt;&lt;/urls&gt;&lt;/record&gt;&lt;/Cite&gt;&lt;/EndNote&gt;</w:instrText>
      </w:r>
      <w:r w:rsidRPr="00B27F0B">
        <w:rPr>
          <w:lang w:val="en-GB"/>
        </w:rPr>
        <w:fldChar w:fldCharType="separate"/>
      </w:r>
      <w:r w:rsidRPr="00B56453">
        <w:rPr>
          <w:noProof/>
          <w:lang w:val="en-GB"/>
        </w:rPr>
        <w:t>(</w:t>
      </w:r>
      <w:hyperlink w:anchor="_ENREF_144" w:tooltip="Eva, 2003 #78" w:history="1">
        <w:r w:rsidR="0094469E" w:rsidRPr="00B56453">
          <w:rPr>
            <w:noProof/>
            <w:lang w:val="en-GB"/>
          </w:rPr>
          <w:t>Eva 2003</w:t>
        </w:r>
      </w:hyperlink>
      <w:r w:rsidRPr="00B56453">
        <w:rPr>
          <w:noProof/>
          <w:lang w:val="en-GB"/>
        </w:rPr>
        <w:t>)</w:t>
      </w:r>
      <w:r w:rsidRPr="009C2746">
        <w:rPr>
          <w:lang w:val="en-GB"/>
        </w:rPr>
        <w:fldChar w:fldCharType="end"/>
      </w:r>
      <w:r w:rsidRPr="00B56453">
        <w:rPr>
          <w:lang w:val="en-GB"/>
        </w:rPr>
        <w:t xml:space="preserve">. Contextual factors were found to be significant for students going through the transition into clinical learning environments, many found that the process was easier if they received support and encouragement from the care team. Clinical supervisors should aim to develop productive relationships with learners using ‘supported participation’ to attenuate this </w:t>
      </w:r>
      <w:r w:rsidRPr="00B56453">
        <w:rPr>
          <w:lang w:val="en-GB"/>
        </w:rPr>
        <w:lastRenderedPageBreak/>
        <w:t xml:space="preserve">transitional impact </w:t>
      </w:r>
      <w:r w:rsidRPr="009C2746">
        <w:rPr>
          <w:lang w:val="en-GB"/>
        </w:rPr>
        <w:fldChar w:fldCharType="begin"/>
      </w:r>
      <w:r w:rsidRPr="00B56453">
        <w:rPr>
          <w:lang w:val="en-GB"/>
        </w:rPr>
        <w:instrText xml:space="preserve"> ADDIN EN.CITE &lt;EndNote&gt;&lt;Cite&gt;&lt;Author&gt;Hirsh&lt;/Author&gt;&lt;Year&gt;2007&lt;/Year&gt;&lt;RecNum&gt;690&lt;/RecNum&gt;&lt;DisplayText&gt;(Dornan et al. 2007; Hirsh et al. 2007)&lt;/DisplayText&gt;&lt;record&gt;&lt;rec-number&gt;690&lt;/rec-number&gt;&lt;foreign-keys&gt;&lt;key app="EN" db-id="xa2r2ewea92trkef5dt5arvbzafvpv2za5ft" timestamp="1496417567"&gt;690&lt;/key&gt;&lt;/foreign-keys&gt;&lt;ref-type name="Journal Article"&gt;17&lt;/ref-type&gt;&lt;contributors&gt;&lt;authors&gt;&lt;author&gt;Hirsh, David A&lt;/author&gt;&lt;author&gt;Ogur, Barbara&lt;/author&gt;&lt;author&gt;Thibault, George E&lt;/author&gt;&lt;author&gt;Cox, Malcolm&lt;/author&gt;&lt;/authors&gt;&lt;/contributors&gt;&lt;titles&gt;&lt;title&gt;&amp;quot; Continuity&amp;quot; as an Organizing Principle for Clinical Education ReformMedical Education&lt;/title&gt;&lt;secondary-title&gt;The New England journal of medicine&lt;/secondary-title&gt;&lt;/titles&gt;&lt;periodical&gt;&lt;full-title&gt;The New England journal of medicine&lt;/full-title&gt;&lt;/periodical&gt;&lt;pages&gt;858&lt;/pages&gt;&lt;volume&gt;356&lt;/volume&gt;&lt;number&gt;8&lt;/number&gt;&lt;dates&gt;&lt;year&gt;2007&lt;/year&gt;&lt;/dates&gt;&lt;isbn&gt;0028-4793&lt;/isbn&gt;&lt;urls&gt;&lt;/urls&gt;&lt;/record&gt;&lt;/Cite&gt;&lt;Cite&gt;&lt;Author&gt;Dornan&lt;/Author&gt;&lt;Year&gt;2007&lt;/Year&gt;&lt;RecNum&gt;705&lt;/RecNum&gt;&lt;record&gt;&lt;rec-number&gt;705&lt;/rec-number&gt;&lt;foreign-keys&gt;&lt;key app="EN" db-id="xa2r2ewea92trkef5dt5arvbzafvpv2za5ft" timestamp="1496417568"&gt;705&lt;/key&gt;&lt;/foreign-keys&gt;&lt;ref-type name="Journal Article"&gt;17&lt;/ref-type&gt;&lt;contributors&gt;&lt;authors&gt;&lt;author&gt;Dornan, Tim&lt;/author&gt;&lt;author&gt;Boshuizen, Henny&lt;/author&gt;&lt;author&gt;King, Nigel&lt;/author&gt;&lt;author&gt;Scherpbier, Albert&lt;/author&gt;&lt;/authors&gt;&lt;/contributors&gt;&lt;titles&gt;&lt;title&gt;Experience</w:instrText>
      </w:r>
      <w:r w:rsidRPr="00B56453">
        <w:rPr>
          <w:rFonts w:ascii="Cambria Math" w:hAnsi="Cambria Math" w:cs="Cambria Math"/>
          <w:lang w:val="en-GB"/>
        </w:rPr>
        <w:instrText>‐</w:instrText>
      </w:r>
      <w:r w:rsidRPr="00B56453">
        <w:rPr>
          <w:lang w:val="en-GB"/>
        </w:rPr>
        <w:instrText>based learning: a model linking the processes and outcomes of medical students&amp;apos; workplace learning&lt;/title&gt;&lt;secondary-title&gt;Medical education&lt;/secondary-title&gt;&lt;/titles&gt;&lt;periodical&gt;&lt;full-title&gt;Medical education&lt;/full-title&gt;&lt;/periodical&gt;&lt;pages&gt;84-91&lt;/pages&gt;&lt;volume&gt;41&lt;/volume&gt;&lt;number&gt;1&lt;/number&gt;&lt;dates&gt;&lt;year&gt;2007&lt;/year&gt;&lt;/dates&gt;&lt;isbn&gt;1365-2923&lt;/isbn&gt;&lt;urls&gt;&lt;/urls&gt;&lt;/record&gt;&lt;/Cite&gt;&lt;/EndNote&gt;</w:instrText>
      </w:r>
      <w:r w:rsidRPr="00B27F0B">
        <w:rPr>
          <w:lang w:val="en-GB"/>
        </w:rPr>
        <w:fldChar w:fldCharType="separate"/>
      </w:r>
      <w:r w:rsidRPr="00B56453">
        <w:rPr>
          <w:noProof/>
          <w:lang w:val="en-GB"/>
        </w:rPr>
        <w:t>(</w:t>
      </w:r>
      <w:hyperlink w:anchor="_ENREF_127" w:tooltip="Dornan, 2007 #705" w:history="1">
        <w:r w:rsidR="0094469E" w:rsidRPr="00B56453">
          <w:rPr>
            <w:noProof/>
            <w:lang w:val="en-GB"/>
          </w:rPr>
          <w:t>Dornan et al. 2007</w:t>
        </w:r>
      </w:hyperlink>
      <w:r w:rsidRPr="00B56453">
        <w:rPr>
          <w:noProof/>
          <w:lang w:val="en-GB"/>
        </w:rPr>
        <w:t xml:space="preserve">; </w:t>
      </w:r>
      <w:hyperlink w:anchor="_ENREF_189" w:tooltip="Hirsh, 2007 #690" w:history="1">
        <w:r w:rsidR="0094469E" w:rsidRPr="00B56453">
          <w:rPr>
            <w:noProof/>
            <w:lang w:val="en-GB"/>
          </w:rPr>
          <w:t>Hirsh et al. 2007</w:t>
        </w:r>
      </w:hyperlink>
      <w:r w:rsidRPr="00B56453">
        <w:rPr>
          <w:noProof/>
          <w:lang w:val="en-GB"/>
        </w:rPr>
        <w:t>)</w:t>
      </w:r>
      <w:r w:rsidRPr="009C2746">
        <w:rPr>
          <w:lang w:val="en-GB"/>
        </w:rPr>
        <w:fldChar w:fldCharType="end"/>
      </w:r>
      <w:r w:rsidRPr="00B56453">
        <w:rPr>
          <w:lang w:val="en-GB"/>
        </w:rPr>
        <w:t>.</w:t>
      </w:r>
    </w:p>
    <w:p w14:paraId="21646FCB" w14:textId="77777777" w:rsidR="0021662A" w:rsidRPr="00B56453" w:rsidRDefault="0021662A" w:rsidP="0021662A">
      <w:pPr>
        <w:pStyle w:val="Normal1"/>
        <w:rPr>
          <w:lang w:val="en-GB"/>
        </w:rPr>
      </w:pPr>
    </w:p>
    <w:p w14:paraId="252193B7" w14:textId="02FDF071" w:rsidR="0021662A" w:rsidRPr="00B56453" w:rsidRDefault="0021662A" w:rsidP="0021662A">
      <w:pPr>
        <w:pStyle w:val="Normal1"/>
        <w:rPr>
          <w:lang w:val="en-GB"/>
        </w:rPr>
      </w:pPr>
      <w:r w:rsidRPr="00B56453">
        <w:rPr>
          <w:lang w:val="en-GB"/>
        </w:rPr>
        <w:t xml:space="preserve">Long-term studies on the effects of feedback, and how the effects change over time, are needed in the medical education literature </w:t>
      </w:r>
      <w:r w:rsidRPr="009C2746">
        <w:rPr>
          <w:lang w:val="en-GB"/>
        </w:rPr>
        <w:fldChar w:fldCharType="begin"/>
      </w:r>
      <w:r w:rsidRPr="00B56453">
        <w:rPr>
          <w:lang w:val="en-GB"/>
        </w:rPr>
        <w:instrText xml:space="preserve"> ADDIN EN.CITE &lt;EndNote&gt;&lt;Cite&gt;&lt;Author&gt;Hatala&lt;/Author&gt;&lt;Year&gt;2014&lt;/Year&gt;&lt;RecNum&gt;387&lt;/RecNum&gt;&lt;DisplayText&gt;(Hatala et al. 2014)&lt;/DisplayText&gt;&lt;record&gt;&lt;rec-number&gt;387&lt;/rec-number&gt;&lt;foreign-keys&gt;&lt;key app="EN" db-id="xa2r2ewea92trkef5dt5arvbzafvpv2za5ft" timestamp="1496417541"&gt;387&lt;/key&gt;&lt;/foreign-keys&gt;&lt;ref-type name="Journal Article"&gt;17&lt;/ref-type&gt;&lt;contributors&gt;&lt;authors&gt;&lt;author&gt;Hatala, Rose&lt;/author&gt;&lt;author&gt;Cook, David A.&lt;/author&gt;&lt;author&gt;Zendejas, Benjamin&lt;/author&gt;&lt;author&gt;Hamstra, Stanley J.&lt;/author&gt;&lt;author&gt;Brydges, Ryan&lt;/author&gt;&lt;/authors&gt;&lt;/contributors&gt;&lt;titles&gt;&lt;title&gt;Feedback for simulation-based procedural skills training: a meta-analysis and critical narrative synthesis&lt;/title&gt;&lt;secondary-title&gt;Advances in Health Sciences Education&lt;/secondary-title&gt;&lt;/titles&gt;&lt;periodical&gt;&lt;full-title&gt;Advances in Health Sciences Education&lt;/full-title&gt;&lt;/periodical&gt;&lt;pages&gt;251-272&lt;/pages&gt;&lt;volume&gt;19&lt;/volume&gt;&lt;number&gt;2&lt;/number&gt;&lt;dates&gt;&lt;year&gt;2014&lt;/year&gt;&lt;/dates&gt;&lt;publisher&gt;Springer&lt;/publisher&gt;&lt;urls&gt;&lt;related-urls&gt;&lt;url&gt;http://link.springer.com/article/10.1007%2Fs10459-013-9462-8&lt;/url&gt;&lt;/related-urls&gt;&lt;/urls&gt;&lt;/record&gt;&lt;/Cite&gt;&lt;/EndNote&gt;</w:instrText>
      </w:r>
      <w:r w:rsidRPr="00B27F0B">
        <w:rPr>
          <w:lang w:val="en-GB"/>
        </w:rPr>
        <w:fldChar w:fldCharType="separate"/>
      </w:r>
      <w:r w:rsidRPr="00B56453">
        <w:rPr>
          <w:noProof/>
          <w:lang w:val="en-GB"/>
        </w:rPr>
        <w:t>(</w:t>
      </w:r>
      <w:hyperlink w:anchor="_ENREF_183" w:tooltip="Hatala, 2014 #108" w:history="1">
        <w:r w:rsidR="0094469E" w:rsidRPr="00B56453">
          <w:rPr>
            <w:noProof/>
            <w:lang w:val="en-GB"/>
          </w:rPr>
          <w:t>Hatala et al. 2014</w:t>
        </w:r>
      </w:hyperlink>
      <w:r w:rsidRPr="00B56453">
        <w:rPr>
          <w:noProof/>
          <w:lang w:val="en-GB"/>
        </w:rPr>
        <w:t>)</w:t>
      </w:r>
      <w:r w:rsidRPr="009C2746">
        <w:rPr>
          <w:lang w:val="en-GB"/>
        </w:rPr>
        <w:fldChar w:fldCharType="end"/>
      </w:r>
      <w:r w:rsidRPr="00B56453">
        <w:rPr>
          <w:lang w:val="en-GB"/>
        </w:rPr>
        <w:t xml:space="preserve">, this study aimed to address this issue by investigating how students used feedback for future learning. It is known that many studies on feedback generally do not include a theoretical framework, posing threats to internal consistency </w:t>
      </w:r>
      <w:r w:rsidRPr="009C2746">
        <w:rPr>
          <w:lang w:val="en-GB"/>
        </w:rPr>
        <w:fldChar w:fldCharType="begin"/>
      </w:r>
      <w:r w:rsidRPr="00B56453">
        <w:rPr>
          <w:lang w:val="en-GB"/>
        </w:rPr>
        <w:instrText xml:space="preserve"> ADDIN EN.CITE &lt;EndNote&gt;&lt;Cite&gt;&lt;Author&gt;Rees&lt;/Author&gt;&lt;Year&gt;2010&lt;/Year&gt;&lt;RecNum&gt;481&lt;/RecNum&gt;&lt;DisplayText&gt;(Rees and Monrouxe 2010)&lt;/DisplayText&gt;&lt;record&gt;&lt;rec-number&gt;481&lt;/rec-number&gt;&lt;foreign-keys&gt;&lt;key app="EN" db-id="xa2r2ewea92trkef5dt5arvbzafvpv2za5ft" timestamp="1496417548"&gt;481&lt;/key&gt;&lt;/foreign-keys&gt;&lt;ref-type name="Journal Article"&gt;17&lt;/ref-type&gt;&lt;contributors&gt;&lt;authors&gt;&lt;author&gt;Rees, Charlotte E.&lt;/author&gt;&lt;author&gt;Monrouxe, Lynn V.&lt;/author&gt;&lt;/authors&gt;&lt;/contributors&gt;&lt;titles&gt;&lt;title&gt;Theory in medical education research: how do we get there?&lt;/title&gt;&lt;secondary-title&gt;Medical education&lt;/secondary-title&gt;&lt;/titles&gt;&lt;periodical&gt;&lt;full-title&gt;Medical education&lt;/full-title&gt;&lt;/periodical&gt;&lt;pages&gt;334-339&lt;/pages&gt;&lt;volume&gt;44&lt;/volume&gt;&lt;number&gt;4&lt;/number&gt;&lt;dates&gt;&lt;year&gt;2010&lt;/year&gt;&lt;/dates&gt;&lt;publisher&gt;Wiley Online Library&lt;/publisher&gt;&lt;urls&gt;&lt;related-urls&gt;&lt;url&gt;http://onlinelibrary.wiley.com/doi/10.1111/j.1365-2923.2009.03615.x/abstract&lt;/url&gt;&lt;/related-urls&gt;&lt;/urls&gt;&lt;/record&gt;&lt;/Cite&gt;&lt;/EndNote&gt;</w:instrText>
      </w:r>
      <w:r w:rsidRPr="00B27F0B">
        <w:rPr>
          <w:lang w:val="en-GB"/>
        </w:rPr>
        <w:fldChar w:fldCharType="separate"/>
      </w:r>
      <w:r w:rsidRPr="00B56453">
        <w:rPr>
          <w:noProof/>
          <w:lang w:val="en-GB"/>
        </w:rPr>
        <w:t>(</w:t>
      </w:r>
      <w:hyperlink w:anchor="_ENREF_339" w:tooltip="Rees, 2010 #481" w:history="1">
        <w:r w:rsidR="0094469E" w:rsidRPr="00B56453">
          <w:rPr>
            <w:noProof/>
            <w:lang w:val="en-GB"/>
          </w:rPr>
          <w:t>Rees and Monrouxe 2010</w:t>
        </w:r>
      </w:hyperlink>
      <w:r w:rsidRPr="00B56453">
        <w:rPr>
          <w:noProof/>
          <w:lang w:val="en-GB"/>
        </w:rPr>
        <w:t>)</w:t>
      </w:r>
      <w:r w:rsidRPr="009C2746">
        <w:rPr>
          <w:lang w:val="en-GB"/>
        </w:rPr>
        <w:fldChar w:fldCharType="end"/>
      </w:r>
      <w:r w:rsidRPr="00B56453">
        <w:rPr>
          <w:lang w:val="en-GB"/>
        </w:rPr>
        <w:t xml:space="preserve"> and making it difficult to understand how feedback is operant in the intervention. This study used Zimmerman’s model on which to base causal assumptions and identify how SRL feedback changes a student’s approach to future learning. </w:t>
      </w:r>
      <w:r w:rsidRPr="00B56453">
        <w:rPr>
          <w:rFonts w:cs="Times New Roman"/>
          <w:lang w:val="en-GB"/>
        </w:rPr>
        <w:t>This study represents the first attempt to measure SRL capacity over a long period of time, this is strengthened by the repeated measures and the use of a unitive intervention compared to a control condition to map these changes.</w:t>
      </w:r>
    </w:p>
    <w:p w14:paraId="142CAC93" w14:textId="77777777" w:rsidR="0021662A" w:rsidRPr="00B56453" w:rsidRDefault="0021662A" w:rsidP="0021662A">
      <w:pPr>
        <w:pStyle w:val="Normal1"/>
        <w:rPr>
          <w:lang w:val="en-GB"/>
        </w:rPr>
      </w:pPr>
    </w:p>
    <w:p w14:paraId="10E535C2" w14:textId="226E7064" w:rsidR="0021662A" w:rsidRPr="00B56453" w:rsidRDefault="0021662A" w:rsidP="0021662A">
      <w:pPr>
        <w:pStyle w:val="Heading3"/>
      </w:pPr>
      <w:bookmarkStart w:id="494" w:name="_Toc500319466"/>
      <w:r w:rsidRPr="00B56453">
        <w:t>D</w:t>
      </w:r>
      <w:r w:rsidR="00713C7D" w:rsidRPr="00B56453">
        <w:t>2.9</w:t>
      </w:r>
      <w:r w:rsidR="00C47666" w:rsidRPr="00B56453">
        <w:t>.2 Focusing on SRL Informed F</w:t>
      </w:r>
      <w:r w:rsidRPr="00B56453">
        <w:t>eedback</w:t>
      </w:r>
      <w:bookmarkEnd w:id="494"/>
    </w:p>
    <w:p w14:paraId="444C095A" w14:textId="77777777" w:rsidR="0021662A" w:rsidRPr="00B56453" w:rsidRDefault="0021662A" w:rsidP="0021662A">
      <w:pPr>
        <w:pStyle w:val="Normal1"/>
        <w:rPr>
          <w:lang w:val="en-GB"/>
        </w:rPr>
      </w:pPr>
    </w:p>
    <w:p w14:paraId="340F8C2D" w14:textId="7E5D75DE" w:rsidR="0021662A" w:rsidRPr="00B56453" w:rsidRDefault="0021662A" w:rsidP="0021662A">
      <w:pPr>
        <w:pStyle w:val="Normal1"/>
        <w:rPr>
          <w:lang w:val="en-GB"/>
        </w:rPr>
      </w:pPr>
      <w:r w:rsidRPr="00B56453">
        <w:rPr>
          <w:lang w:val="en-GB"/>
        </w:rPr>
        <w:t xml:space="preserve">Using SRL MA to provide SRLF unites both concepts in a practical and impactful way, giving researchers and practitioners a viable method to empower students’ SRL in authentic educational contexts. As discussed in Chapter D1, this research fills key gaps in the literature </w:t>
      </w:r>
      <w:r w:rsidR="00B56453" w:rsidRPr="00B56453">
        <w:rPr>
          <w:lang w:val="en-GB"/>
        </w:rPr>
        <w:t>in regard to</w:t>
      </w:r>
      <w:r w:rsidRPr="00B56453">
        <w:rPr>
          <w:lang w:val="en-GB"/>
        </w:rPr>
        <w:t xml:space="preserve"> embedding SRL into feedback to empower learners’ SRL development. In addition, this research provides a contribution to the current knowledge on SRL and feedback theory at various levels that is descriptive and prescriptive in nature </w:t>
      </w:r>
      <w:r w:rsidRPr="009C2746">
        <w:rPr>
          <w:lang w:val="en-GB"/>
        </w:rPr>
        <w:fldChar w:fldCharType="begin"/>
      </w:r>
      <w:r w:rsidRPr="00B56453">
        <w:rPr>
          <w:lang w:val="en-GB"/>
        </w:rPr>
        <w:instrText xml:space="preserve"> ADDIN EN.CITE &lt;EndNote&gt;&lt;Cite&gt;&lt;Author&gt;McKenney&lt;/Author&gt;&lt;Year&gt;2013&lt;/Year&gt;&lt;RecNum&gt;930&lt;/RecNum&gt;&lt;DisplayText&gt;(McKenney and Reeves 2013)&lt;/DisplayText&gt;&lt;record&gt;&lt;rec-number&gt;930&lt;/rec-number&gt;&lt;foreign-keys&gt;&lt;key app="EN" db-id="xa2r2ewea92trkef5dt5arvbzafvpv2za5ft" timestamp="1498737288"&gt;930&lt;/key&gt;&lt;/foreign-keys&gt;&lt;ref-type name="Book"&gt;6&lt;/ref-type&gt;&lt;contributors&gt;&lt;authors&gt;&lt;author&gt;McKenney, Susan&lt;/author&gt;&lt;author&gt;Reeves, Thomas C&lt;/author&gt;&lt;/authors&gt;&lt;/contributors&gt;&lt;titles&gt;&lt;title&gt;Conducting educational design research&lt;/title&gt;&lt;/titles&gt;&lt;dates&gt;&lt;year&gt;2013&lt;/year&gt;&lt;/dates&gt;&lt;publisher&gt;Routledge&lt;/publisher&gt;&lt;isbn&gt;1136734384&lt;/isbn&gt;&lt;urls&gt;&lt;/urls&gt;&lt;/record&gt;&lt;/Cite&gt;&lt;/EndNote&gt;</w:instrText>
      </w:r>
      <w:r w:rsidRPr="00B27F0B">
        <w:rPr>
          <w:lang w:val="en-GB"/>
        </w:rPr>
        <w:fldChar w:fldCharType="separate"/>
      </w:r>
      <w:r w:rsidRPr="00B56453">
        <w:rPr>
          <w:noProof/>
          <w:lang w:val="en-GB"/>
        </w:rPr>
        <w:t>(</w:t>
      </w:r>
      <w:hyperlink w:anchor="_ENREF_267" w:tooltip="McKenney, 2013 #930" w:history="1">
        <w:r w:rsidR="0094469E" w:rsidRPr="00B56453">
          <w:rPr>
            <w:noProof/>
            <w:lang w:val="en-GB"/>
          </w:rPr>
          <w:t>McKenney and Reeves 2013</w:t>
        </w:r>
      </w:hyperlink>
      <w:r w:rsidRPr="00B56453">
        <w:rPr>
          <w:noProof/>
          <w:lang w:val="en-GB"/>
        </w:rPr>
        <w:t>)</w:t>
      </w:r>
      <w:r w:rsidRPr="009C2746">
        <w:rPr>
          <w:lang w:val="en-GB"/>
        </w:rPr>
        <w:fldChar w:fldCharType="end"/>
      </w:r>
      <w:r w:rsidRPr="00B56453">
        <w:rPr>
          <w:lang w:val="en-GB"/>
        </w:rPr>
        <w:t>. It contributes to the understanding of the role of SRL in medical education and the opportunities for embedding it, and helps to inform future researchers on how best to apply SRL and feedback in authentic settings.</w:t>
      </w:r>
    </w:p>
    <w:p w14:paraId="538162F4" w14:textId="77777777" w:rsidR="0021662A" w:rsidRPr="00B56453" w:rsidRDefault="0021662A" w:rsidP="0021662A">
      <w:pPr>
        <w:pStyle w:val="Normal1"/>
        <w:rPr>
          <w:lang w:val="en-GB"/>
        </w:rPr>
      </w:pPr>
    </w:p>
    <w:p w14:paraId="25BE04DB" w14:textId="530EFB4F" w:rsidR="0021662A" w:rsidRPr="00B56453" w:rsidRDefault="0021662A" w:rsidP="0021662A">
      <w:pPr>
        <w:pStyle w:val="Normal1"/>
        <w:rPr>
          <w:lang w:val="en-GB"/>
        </w:rPr>
      </w:pPr>
      <w:r w:rsidRPr="00B56453">
        <w:rPr>
          <w:lang w:val="en-GB"/>
        </w:rPr>
        <w:t xml:space="preserve">The results outlined in Chapter B3 and C2 indicate that giving SRL informed feedback using SRL MA has a more positive impact upon SRL behaviours in the </w:t>
      </w:r>
      <w:r w:rsidR="000470C2" w:rsidRPr="00B56453">
        <w:rPr>
          <w:lang w:val="en-GB"/>
        </w:rPr>
        <w:t>immediate</w:t>
      </w:r>
      <w:r w:rsidRPr="00B56453">
        <w:rPr>
          <w:lang w:val="en-GB"/>
        </w:rPr>
        <w:t xml:space="preserve"> and </w:t>
      </w:r>
      <w:r w:rsidR="00826050" w:rsidRPr="00B56453">
        <w:rPr>
          <w:lang w:val="en-GB"/>
        </w:rPr>
        <w:t>longer-term</w:t>
      </w:r>
      <w:r w:rsidRPr="00B56453">
        <w:rPr>
          <w:lang w:val="en-GB"/>
        </w:rPr>
        <w:t xml:space="preserve"> compared to BPF. This finding supports the feedback giving model proposed by </w:t>
      </w:r>
      <w:hyperlink w:anchor="_ENREF_184" w:tooltip="Hattie, 2007 #109" w:history="1">
        <w:r w:rsidR="0094469E" w:rsidRPr="00B27F0B">
          <w:rPr>
            <w:lang w:val="en-GB"/>
          </w:rPr>
          <w:fldChar w:fldCharType="begin"/>
        </w:r>
        <w:r w:rsidR="0094469E" w:rsidRPr="00B56453">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0094469E" w:rsidRPr="00B27F0B">
          <w:rPr>
            <w:lang w:val="en-GB"/>
          </w:rPr>
          <w:fldChar w:fldCharType="separate"/>
        </w:r>
        <w:r w:rsidR="0094469E" w:rsidRPr="00B56453">
          <w:rPr>
            <w:noProof/>
            <w:lang w:val="en-GB"/>
          </w:rPr>
          <w:t>Hattie and Timperley (2007)</w:t>
        </w:r>
        <w:r w:rsidR="0094469E" w:rsidRPr="00B27F0B">
          <w:rPr>
            <w:lang w:val="en-GB"/>
          </w:rPr>
          <w:fldChar w:fldCharType="end"/>
        </w:r>
      </w:hyperlink>
      <w:r w:rsidRPr="00FD5859">
        <w:rPr>
          <w:lang w:val="en-GB"/>
        </w:rPr>
        <w:t xml:space="preserve"> which includes SRL as the fourth level of effective feedback giving. It also supports the hypotheses of other SRL r</w:t>
      </w:r>
      <w:r w:rsidRPr="00B56453">
        <w:rPr>
          <w:lang w:val="en-GB"/>
        </w:rPr>
        <w:t xml:space="preserve">esearchers who suggested that feedback is enhanced by SRL and leads to improvements in SRL strategies </w:t>
      </w:r>
      <w:r w:rsidRPr="009C2746">
        <w:rPr>
          <w:lang w:val="en-GB"/>
        </w:rPr>
        <w:fldChar w:fldCharType="begin"/>
      </w:r>
      <w:r w:rsidRPr="00B56453">
        <w:rPr>
          <w:lang w:val="en-GB"/>
        </w:rPr>
        <w:instrText xml:space="preserve"> ADDIN EN.CITE &lt;EndNote&gt;&lt;Cite&gt;&lt;Author&gt;Butler&lt;/Author&gt;&lt;Year&gt;1995&lt;/Year&gt;&lt;RecNum&gt;590&lt;/RecNum&gt;&lt;DisplayText&gt;(Butler and Winne 1995; Sandars and Cleary 2011)&lt;/DisplayText&gt;&lt;record&gt;&lt;rec-number&gt;590&lt;/rec-number&gt;&lt;foreign-keys&gt;&lt;key app="EN" db-id="xa2r2ewea92trkef5dt5arvbzafvpv2za5ft" timestamp="1496417558"&gt;590&lt;/key&gt;&lt;/foreign-keys&gt;&lt;ref-type name="Journal Article"&gt;17&lt;/ref-type&gt;&lt;contributors&gt;&lt;authors&gt;&lt;author&gt;Butler, Deborah L&lt;/author&gt;&lt;author&gt;Winne, Philip H&lt;/author&gt;&lt;/authors&gt;&lt;/contributors&gt;&lt;titles&gt;&lt;title&gt;Feedback and self-regulated learning: A theoretical synthesis&lt;/title&gt;&lt;secondary-title&gt;Review of educational research&lt;/secondary-title&gt;&lt;/titles&gt;&lt;periodical&gt;&lt;full-title&gt;Review of educational research&lt;/full-title&gt;&lt;/periodical&gt;&lt;pages&gt;245-281&lt;/pages&gt;&lt;volume&gt;65&lt;/volume&gt;&lt;number&gt;3&lt;/number&gt;&lt;dates&gt;&lt;year&gt;1995&lt;/year&gt;&lt;/dates&gt;&lt;isbn&gt;0034-6543&lt;/isbn&gt;&lt;urls&gt;&lt;/urls&gt;&lt;/record&gt;&lt;/Cite&gt;&lt;Cite&gt;&lt;Author&gt;Sandars&lt;/Author&gt;&lt;Year&gt;2011&lt;/Year&gt;&lt;RecNum&gt;600&lt;/RecNum&gt;&lt;record&gt;&lt;rec-number&gt;600&lt;/rec-number&gt;&lt;foreign-keys&gt;&lt;key app="EN" db-id="xa2r2ewea92trkef5dt5arvbzafvpv2za5ft" timestamp="1496417558"&gt;600&lt;/key&gt;&lt;/foreign-keys&gt;&lt;ref-type name="Journal Article"&gt;17&lt;/ref-type&gt;&lt;contributors&gt;&lt;authors&gt;&lt;author&gt;Sandars, John&lt;/author&gt;&lt;author&gt;Cleary, Timothy J&lt;/author&gt;&lt;/authors&gt;&lt;/contributors&gt;&lt;titles&gt;&lt;title&gt;Self-regulation theory: applications to medical education: AMEE Guide No. 58&lt;/title&gt;&lt;secondary-title&gt;Medical teacher&lt;/secondary-title&gt;&lt;/titles&gt;&lt;periodical&gt;&lt;full-title&gt;Medical teacher&lt;/full-title&gt;&lt;/periodical&gt;&lt;pages&gt;875-886&lt;/pages&gt;&lt;volume&gt;33&lt;/volume&gt;&lt;number&gt;11&lt;/number&gt;&lt;dates&gt;&lt;year&gt;2011&lt;/year&gt;&lt;/dates&gt;&lt;isbn&gt;0142-159X&lt;/isbn&gt;&lt;urls&gt;&lt;/urls&gt;&lt;/record&gt;&lt;/Cite&gt;&lt;/EndNote&gt;</w:instrText>
      </w:r>
      <w:r w:rsidRPr="00B27F0B">
        <w:rPr>
          <w:lang w:val="en-GB"/>
        </w:rPr>
        <w:fldChar w:fldCharType="separate"/>
      </w:r>
      <w:r w:rsidRPr="00B56453">
        <w:rPr>
          <w:noProof/>
          <w:lang w:val="en-GB"/>
        </w:rPr>
        <w:t>(</w:t>
      </w:r>
      <w:hyperlink w:anchor="_ENREF_66" w:tooltip="Butler, 1995 #590" w:history="1">
        <w:r w:rsidR="0094469E" w:rsidRPr="00B56453">
          <w:rPr>
            <w:noProof/>
            <w:lang w:val="en-GB"/>
          </w:rPr>
          <w:t>Butler and Winne 1995</w:t>
        </w:r>
      </w:hyperlink>
      <w:r w:rsidRPr="00B56453">
        <w:rPr>
          <w:noProof/>
          <w:lang w:val="en-GB"/>
        </w:rPr>
        <w:t xml:space="preserve">; </w:t>
      </w:r>
      <w:hyperlink w:anchor="_ENREF_356" w:tooltip="Sandars, 2011 #600" w:history="1">
        <w:r w:rsidR="0094469E" w:rsidRPr="00B56453">
          <w:rPr>
            <w:noProof/>
            <w:lang w:val="en-GB"/>
          </w:rPr>
          <w:t>Sandars and Cleary 2011</w:t>
        </w:r>
      </w:hyperlink>
      <w:r w:rsidRPr="00B56453">
        <w:rPr>
          <w:noProof/>
          <w:lang w:val="en-GB"/>
        </w:rPr>
        <w:t>)</w:t>
      </w:r>
      <w:r w:rsidRPr="009C2746">
        <w:rPr>
          <w:lang w:val="en-GB"/>
        </w:rPr>
        <w:fldChar w:fldCharType="end"/>
      </w:r>
      <w:r w:rsidRPr="00B56453">
        <w:rPr>
          <w:lang w:val="en-GB"/>
        </w:rPr>
        <w:t xml:space="preserve">. </w:t>
      </w:r>
    </w:p>
    <w:p w14:paraId="05CD13B6" w14:textId="77777777" w:rsidR="0021662A" w:rsidRPr="00B56453" w:rsidRDefault="0021662A" w:rsidP="0021662A">
      <w:pPr>
        <w:pStyle w:val="Normal1"/>
        <w:rPr>
          <w:lang w:val="en-GB"/>
        </w:rPr>
      </w:pPr>
    </w:p>
    <w:p w14:paraId="141D8C9A" w14:textId="77777777" w:rsidR="0094469E" w:rsidRPr="00B56453" w:rsidRDefault="0094469E" w:rsidP="0021662A">
      <w:pPr>
        <w:pStyle w:val="Normal1"/>
        <w:rPr>
          <w:lang w:val="en-GB"/>
        </w:rPr>
      </w:pPr>
    </w:p>
    <w:p w14:paraId="2779F1E7" w14:textId="6E17701A" w:rsidR="0021662A" w:rsidRPr="00FD5859" w:rsidRDefault="0021662A" w:rsidP="0021662A">
      <w:pPr>
        <w:pStyle w:val="Normal1"/>
        <w:rPr>
          <w:lang w:val="en-GB"/>
        </w:rPr>
      </w:pPr>
      <w:r w:rsidRPr="00B56453">
        <w:rPr>
          <w:lang w:val="en-GB"/>
        </w:rPr>
        <w:lastRenderedPageBreak/>
        <w:t xml:space="preserve">Context and culture was a significant influencing factor in the learning and teaching behaviours of teachers and students. This supports the social cognitive aspect of Zimmerman’s model which suggests that the environment impacts upon students’ SRL behaviours </w:t>
      </w:r>
      <w:r w:rsidRPr="009C2746">
        <w:rPr>
          <w:lang w:val="en-GB"/>
        </w:rPr>
        <w:fldChar w:fldCharType="begin"/>
      </w:r>
      <w:r w:rsidRPr="00B56453">
        <w:rPr>
          <w:lang w:val="en-GB"/>
        </w:rPr>
        <w:instrText xml:space="preserve"> ADDIN EN.CITE &lt;EndNote&gt;&lt;Cite&gt;&lt;Author&gt;Zimmerman&lt;/Author&gt;&lt;Year&gt;1989&lt;/Year&gt;&lt;RecNum&gt;275&lt;/RecNum&gt;&lt;DisplayText&gt;(Zimmerman 1989; Zimmerman 2000a)&lt;/DisplayText&gt;&lt;record&gt;&lt;rec-number&gt;275&lt;/rec-number&gt;&lt;foreign-keys&gt;&lt;key app="EN" db-id="xa2r2ewea92trkef5dt5arvbzafvpv2za5ft" timestamp="1442161766"&gt;275&lt;/key&gt;&lt;/foreign-keys&gt;&lt;ref-type name="Journal Article"&gt;17&lt;/ref-type&gt;&lt;contributors&gt;&lt;authors&gt;&lt;author&gt;Zimmerman, Barry J.&lt;/author&gt;&lt;/authors&gt;&lt;/contributors&gt;&lt;titles&gt;&lt;title&gt;A social cognitive view of self-regulated academic learning&lt;/title&gt;&lt;secondary-title&gt;Journal of educational psychology&lt;/secondary-title&gt;&lt;/titles&gt;&lt;periodical&gt;&lt;full-title&gt;Journal of educational psychology&lt;/full-title&gt;&lt;/periodical&gt;&lt;pages&gt;329&lt;/pages&gt;&lt;volume&gt;81&lt;/volume&gt;&lt;number&gt;3&lt;/number&gt;&lt;dates&gt;&lt;year&gt;1989&lt;/year&gt;&lt;/dates&gt;&lt;publisher&gt;American Psychological Association&lt;/publisher&gt;&lt;urls&gt;&lt;/urls&gt;&lt;/record&gt;&lt;/Cite&gt;&lt;Cite&gt;&lt;Author&gt;Zimmerman&lt;/Author&gt;&lt;Year&gt;2000&lt;/Year&gt;&lt;RecNum&gt;595&lt;/RecNum&gt;&lt;record&gt;&lt;rec-number&gt;595&lt;/rec-number&gt;&lt;foreign-keys&gt;&lt;key app="EN" db-id="xa2r2ewea92trkef5dt5arvbzafvpv2za5ft" timestamp="1496417558"&gt;595&lt;/key&gt;&lt;/foreign-keys&gt;&lt;ref-type name="Book Section"&gt;5&lt;/ref-type&gt;&lt;contributors&gt;&lt;authors&gt;&lt;author&gt;Zimmerman, Barry J&lt;/author&gt;&lt;/authors&gt;&lt;secondary-authors&gt;&lt;author&gt;Boekarts, M&lt;/author&gt;&lt;author&gt;Pintrich, PR&lt;/author&gt;&lt;author&gt;Zeidner, M&lt;/author&gt;&lt;/secondary-authors&gt;&lt;/contributors&gt;&lt;titles&gt;&lt;title&gt;Attaining self-regulation: A social-cognitive perspective&lt;/title&gt;&lt;secondary-title&gt;Handbook of self-regulation&lt;/secondary-title&gt;&lt;/titles&gt;&lt;pages&gt;13-39&lt;/pages&gt;&lt;dates&gt;&lt;year&gt;2000&lt;/year&gt;&lt;/dates&gt;&lt;pub-location&gt;San Diego, CA&lt;/pub-location&gt;&lt;publisher&gt;Academic Press&lt;/publisher&gt;&lt;urls&gt;&lt;/urls&gt;&lt;electronic-resource-num&gt;doi:10.1016/B978-012109890-2/50030-5&lt;/electronic-resource-num&gt;&lt;/record&gt;&lt;/Cite&gt;&lt;/EndNote&gt;</w:instrText>
      </w:r>
      <w:r w:rsidRPr="00B27F0B">
        <w:rPr>
          <w:lang w:val="en-GB"/>
        </w:rPr>
        <w:fldChar w:fldCharType="separate"/>
      </w:r>
      <w:r w:rsidRPr="00B56453">
        <w:rPr>
          <w:noProof/>
          <w:lang w:val="en-GB"/>
        </w:rPr>
        <w:t>(</w:t>
      </w:r>
      <w:hyperlink w:anchor="_ENREF_454" w:tooltip="Zimmerman, 1989 #275" w:history="1">
        <w:r w:rsidR="0094469E" w:rsidRPr="00B56453">
          <w:rPr>
            <w:noProof/>
            <w:lang w:val="en-GB"/>
          </w:rPr>
          <w:t>Zimmerman 1989</w:t>
        </w:r>
      </w:hyperlink>
      <w:r w:rsidRPr="00B56453">
        <w:rPr>
          <w:noProof/>
          <w:lang w:val="en-GB"/>
        </w:rPr>
        <w:t xml:space="preserve">; </w:t>
      </w:r>
      <w:hyperlink w:anchor="_ENREF_455" w:tooltip="Zimmerman, 2000 #595" w:history="1">
        <w:r w:rsidR="0094469E" w:rsidRPr="00B56453">
          <w:rPr>
            <w:noProof/>
            <w:lang w:val="en-GB"/>
          </w:rPr>
          <w:t>Zimmerman 2000a</w:t>
        </w:r>
      </w:hyperlink>
      <w:r w:rsidRPr="00B56453">
        <w:rPr>
          <w:noProof/>
          <w:lang w:val="en-GB"/>
        </w:rPr>
        <w:t>)</w:t>
      </w:r>
      <w:r w:rsidRPr="009C2746">
        <w:rPr>
          <w:lang w:val="en-GB"/>
        </w:rPr>
        <w:fldChar w:fldCharType="end"/>
      </w:r>
      <w:r w:rsidRPr="00B56453">
        <w:rPr>
          <w:lang w:val="en-GB"/>
        </w:rPr>
        <w:t xml:space="preserve">. The impact of context upon feedback has also been suggested by </w:t>
      </w:r>
      <w:hyperlink w:anchor="_ENREF_424" w:tooltip="Watling, 2014 #899" w:history="1">
        <w:r w:rsidR="0094469E" w:rsidRPr="00B27F0B">
          <w:rPr>
            <w:lang w:val="en-GB"/>
          </w:rPr>
          <w:fldChar w:fldCharType="begin"/>
        </w:r>
        <w:r w:rsidR="0094469E" w:rsidRPr="00B56453">
          <w:rPr>
            <w:lang w:val="en-GB"/>
          </w:rPr>
          <w:instrText xml:space="preserve"> ADDIN EN.CITE &lt;EndNote&gt;&lt;Cite AuthorYear="1"&gt;&lt;Author&gt;Watling&lt;/Author&gt;&lt;Year&gt;2014&lt;/Year&gt;&lt;RecNum&gt;899&lt;/RecNum&gt;&lt;DisplayText&gt;Watling (2014)&lt;/DisplayText&gt;&lt;record&gt;&lt;rec-number&gt;899&lt;/rec-number&gt;&lt;foreign-keys&gt;&lt;key app="EN" db-id="xa2r2ewea92trkef5dt5arvbzafvpv2za5ft" timestamp="1496417604"&gt;899&lt;/key&gt;&lt;/foreign-keys&gt;&lt;ref-type name="Journal Article"&gt;17&lt;/ref-type&gt;&lt;contributors&gt;&lt;authors&gt;&lt;author&gt;Watling, C.&lt;/author&gt;&lt;/authors&gt;&lt;/contributors&gt;&lt;auth-address&gt;Postgraduate Medical Education, Schulich School of Medicine and Dentistry, Western University, Medical Sciences Building Room M103, London, ON, N6A 5C1, Canada, chris.watling@schulich.uwo.ca.&lt;/auth-address&gt;&lt;titles&gt;&lt;title&gt;Cognition, culture, and credibility: deconstructing feedback in medical education&lt;/title&gt;&lt;secondary-title&gt;Perspectives on medical education&lt;/secondary-title&gt;&lt;short-title&gt;Cognition, culture, and credibility: deconstructing feedback in medical education&lt;/short-title&gt;&lt;/titles&gt;&lt;periodical&gt;&lt;full-title&gt;Perspectives on Medical Education&lt;/full-title&gt;&lt;/periodical&gt;&lt;pages&gt;124-128&lt;/pages&gt;&lt;volume&gt;3&lt;/volume&gt;&lt;number&gt;2&lt;/number&gt;&lt;dates&gt;&lt;year&gt;2014&lt;/year&gt;&lt;/dates&gt;&lt;isbn&gt;2212-2761; 2212-2761&lt;/isbn&gt;&lt;urls&gt;&lt;/urls&gt;&lt;electronic-resource-num&gt;10.1007/s40037-014-0115-2 [doi]&lt;/electronic-resource-num&gt;&lt;access-date&gt;Apr&lt;/access-date&gt;&lt;/record&gt;&lt;/Cite&gt;&lt;/EndNote&gt;</w:instrText>
        </w:r>
        <w:r w:rsidR="0094469E" w:rsidRPr="00B27F0B">
          <w:rPr>
            <w:lang w:val="en-GB"/>
          </w:rPr>
          <w:fldChar w:fldCharType="separate"/>
        </w:r>
        <w:r w:rsidR="0094469E" w:rsidRPr="00B56453">
          <w:rPr>
            <w:noProof/>
            <w:lang w:val="en-GB"/>
          </w:rPr>
          <w:t>Watling (2014)</w:t>
        </w:r>
        <w:r w:rsidR="0094469E" w:rsidRPr="00B27F0B">
          <w:rPr>
            <w:lang w:val="en-GB"/>
          </w:rPr>
          <w:fldChar w:fldCharType="end"/>
        </w:r>
      </w:hyperlink>
      <w:r w:rsidRPr="00FD5859">
        <w:rPr>
          <w:lang w:val="en-GB"/>
        </w:rPr>
        <w:t>, future researchers should anticipate this impact when studying feedback and SRL in authentic educational settings.</w:t>
      </w:r>
    </w:p>
    <w:p w14:paraId="0C41FB05" w14:textId="77777777" w:rsidR="0021662A" w:rsidRPr="00B56453" w:rsidRDefault="0021662A" w:rsidP="0021662A">
      <w:pPr>
        <w:pStyle w:val="Normal1"/>
        <w:rPr>
          <w:lang w:val="en-GB"/>
        </w:rPr>
      </w:pPr>
    </w:p>
    <w:p w14:paraId="5A47A8F6" w14:textId="305619A5" w:rsidR="0021662A" w:rsidRPr="00B56453" w:rsidRDefault="0021662A" w:rsidP="0021662A">
      <w:pPr>
        <w:pStyle w:val="Heading3"/>
      </w:pPr>
      <w:bookmarkStart w:id="495" w:name="_Toc500319467"/>
      <w:r w:rsidRPr="00B56453">
        <w:t>D</w:t>
      </w:r>
      <w:r w:rsidR="00713C7D" w:rsidRPr="00B56453">
        <w:t>2.9</w:t>
      </w:r>
      <w:r w:rsidRPr="00B56453">
        <w:t>.3 Contribution of the SRL MA method and conceptual models</w:t>
      </w:r>
      <w:bookmarkEnd w:id="495"/>
    </w:p>
    <w:p w14:paraId="0A29BD69" w14:textId="77777777" w:rsidR="0021662A" w:rsidRPr="00B56453" w:rsidRDefault="0021662A" w:rsidP="0021662A">
      <w:pPr>
        <w:pStyle w:val="Normal1"/>
        <w:rPr>
          <w:lang w:val="en-GB"/>
        </w:rPr>
      </w:pPr>
    </w:p>
    <w:p w14:paraId="7E542907" w14:textId="7B162F58" w:rsidR="0021662A" w:rsidRPr="00B56453" w:rsidRDefault="0021662A" w:rsidP="0021662A">
      <w:pPr>
        <w:pStyle w:val="Normal1"/>
        <w:rPr>
          <w:lang w:val="en-GB"/>
        </w:rPr>
      </w:pPr>
      <w:r w:rsidRPr="00B56453">
        <w:rPr>
          <w:lang w:val="en-GB"/>
        </w:rPr>
        <w:t xml:space="preserve">SRL MA provides a practical and effective method to empower medical undergraduates’ SRL behaviours through structured feedback, filling a significant gap in the research that has encouraged SRL development but has so far produced no proven methods </w:t>
      </w:r>
      <w:r w:rsidRPr="009C2746">
        <w:rPr>
          <w:lang w:val="en-GB"/>
        </w:rPr>
        <w:fldChar w:fldCharType="begin"/>
      </w:r>
      <w:r w:rsidRPr="00B56453">
        <w:rPr>
          <w:lang w:val="en-GB"/>
        </w:rPr>
        <w:instrText xml:space="preserve"> ADDIN EN.CITE &lt;EndNote&gt;&lt;Cite&gt;&lt;Author&gt;Brydges&lt;/Author&gt;&lt;Year&gt;2015&lt;/Year&gt;&lt;RecNum&gt;296&lt;/RecNum&gt;&lt;DisplayText&gt;(Brydges et al. 2015; Cleary et al. 2016)&lt;/DisplayText&gt;&lt;record&gt;&lt;rec-number&gt;296&lt;/rec-number&gt;&lt;foreign-keys&gt;&lt;key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Pr="00B56453">
        <w:rPr>
          <w:rFonts w:ascii="Cambria Math" w:hAnsi="Cambria Math" w:cs="Cambria Math"/>
          <w:lang w:val="en-GB"/>
        </w:rPr>
        <w:instrText>‐</w:instrText>
      </w:r>
      <w:r w:rsidRPr="00B56453">
        <w:rPr>
          <w:lang w:val="en-GB"/>
        </w:rPr>
        <w:instrText>regulated learning in simulation</w:instrText>
      </w:r>
      <w:r w:rsidRPr="00B56453">
        <w:rPr>
          <w:rFonts w:ascii="Cambria Math" w:hAnsi="Cambria Math" w:cs="Cambria Math"/>
          <w:lang w:val="en-GB"/>
        </w:rPr>
        <w:instrText>‐</w:instrText>
      </w:r>
      <w:r w:rsidRPr="00B56453">
        <w:rPr>
          <w:lang w:val="en-GB"/>
        </w:rPr>
        <w:instrText>based training: a systematic review and meta</w:instrText>
      </w:r>
      <w:r w:rsidRPr="00B56453">
        <w:rPr>
          <w:rFonts w:ascii="Cambria Math" w:hAnsi="Cambria Math" w:cs="Cambria Math"/>
          <w:lang w:val="en-GB"/>
        </w:rPr>
        <w:instrText>‐</w:instrText>
      </w:r>
      <w:r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Cite&gt;&lt;Author&gt;Cleary&lt;/Author&gt;&lt;Year&gt;2016&lt;/Year&gt;&lt;RecNum&gt;605&lt;/RecNum&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Pr="00B27F0B">
        <w:rPr>
          <w:lang w:val="en-GB"/>
        </w:rPr>
        <w:fldChar w:fldCharType="separate"/>
      </w:r>
      <w:r w:rsidRPr="00B56453">
        <w:rPr>
          <w:noProof/>
          <w:lang w:val="en-GB"/>
        </w:rPr>
        <w:t>(</w:t>
      </w:r>
      <w:hyperlink w:anchor="_ENREF_56" w:tooltip="Brydges, 2015 #18" w:history="1">
        <w:r w:rsidR="0094469E" w:rsidRPr="00B56453">
          <w:rPr>
            <w:noProof/>
            <w:lang w:val="en-GB"/>
          </w:rPr>
          <w:t>Brydges et al. 2015</w:t>
        </w:r>
      </w:hyperlink>
      <w:r w:rsidRPr="00B56453">
        <w:rPr>
          <w:noProof/>
          <w:lang w:val="en-GB"/>
        </w:rPr>
        <w:t xml:space="preserve">; </w:t>
      </w:r>
      <w:hyperlink w:anchor="_ENREF_86" w:tooltip="Cleary, 2016 #605" w:history="1">
        <w:r w:rsidR="0094469E" w:rsidRPr="00B56453">
          <w:rPr>
            <w:noProof/>
            <w:lang w:val="en-GB"/>
          </w:rPr>
          <w:t>Cleary et al. 2016</w:t>
        </w:r>
      </w:hyperlink>
      <w:r w:rsidRPr="00B56453">
        <w:rPr>
          <w:noProof/>
          <w:lang w:val="en-GB"/>
        </w:rPr>
        <w:t>)</w:t>
      </w:r>
      <w:r w:rsidRPr="009C2746">
        <w:rPr>
          <w:lang w:val="en-GB"/>
        </w:rPr>
        <w:fldChar w:fldCharType="end"/>
      </w:r>
      <w:r w:rsidRPr="00B56453">
        <w:rPr>
          <w:lang w:val="en-GB"/>
        </w:rPr>
        <w:t>. After some refinement of the method, addressing some of the limitations outlined in this discussion, it could be readily implemented in other areas of medical education at different institutions. The general SRL MA method can be transferable to those settings, only requiring contextual adjustments to suit the operational and content requirements of the users.</w:t>
      </w:r>
    </w:p>
    <w:p w14:paraId="7DB6E11C" w14:textId="77777777" w:rsidR="0021662A" w:rsidRPr="00B56453" w:rsidRDefault="0021662A" w:rsidP="0021662A">
      <w:pPr>
        <w:pStyle w:val="Normal1"/>
        <w:rPr>
          <w:lang w:val="en-GB"/>
        </w:rPr>
      </w:pPr>
    </w:p>
    <w:p w14:paraId="6BE6DAD7" w14:textId="4FA36F0C" w:rsidR="0021662A" w:rsidRPr="00B56453" w:rsidRDefault="0021662A" w:rsidP="0021662A">
      <w:pPr>
        <w:pStyle w:val="Normal1"/>
        <w:rPr>
          <w:lang w:val="en-GB"/>
        </w:rPr>
      </w:pPr>
      <w:r w:rsidRPr="00B56453">
        <w:rPr>
          <w:lang w:val="en-GB"/>
        </w:rPr>
        <w:t xml:space="preserve">It was clear in the interviews with teachers that their experience of being involved in the research had contributed to their professional development, regardless of the feedback model used. For those who used SRL MA in particular, teachers claimed that they gained a deeper knowledge of feedback and the SRL processes involved in clinical skills learning than they had before. Many teachers were aware of the concepts but had not linked them directly to the technical terms introduced to them in the training. SRLF group teachers claimed that they had taken some of the key SRL concepts and were continuing to use them in their practice as a result of participating in the study. Similarly, those in the BPF articulated that the experience had made them think more about their feedback practices and consider whether their approach was optimal. These findings were to be expected as the </w:t>
      </w:r>
      <w:r w:rsidR="00826050" w:rsidRPr="00B56453">
        <w:rPr>
          <w:lang w:val="en-GB"/>
        </w:rPr>
        <w:t>SRLF model</w:t>
      </w:r>
      <w:r w:rsidRPr="00B56453">
        <w:rPr>
          <w:lang w:val="en-GB"/>
        </w:rPr>
        <w:t xml:space="preserve"> was designed to develop their knowledge and skills but their confirmation of this illustrates the impact of the </w:t>
      </w:r>
      <w:r w:rsidR="00826050" w:rsidRPr="00B56453">
        <w:rPr>
          <w:lang w:val="en-GB"/>
        </w:rPr>
        <w:t>model</w:t>
      </w:r>
      <w:r w:rsidRPr="00B56453">
        <w:rPr>
          <w:lang w:val="en-GB"/>
        </w:rPr>
        <w:t xml:space="preserve">. Although most of both groups articulated these benefits there were others who felt that their allocated technique had not worked for them but had enjoyed the experience of being part of educational research. </w:t>
      </w:r>
    </w:p>
    <w:p w14:paraId="12666B0F" w14:textId="77777777" w:rsidR="0021662A" w:rsidRPr="00B56453" w:rsidRDefault="0021662A" w:rsidP="0021662A">
      <w:pPr>
        <w:pStyle w:val="Normal1"/>
        <w:rPr>
          <w:lang w:val="en-GB"/>
        </w:rPr>
      </w:pPr>
    </w:p>
    <w:p w14:paraId="01DA7AEF" w14:textId="77777777" w:rsidR="00C47666" w:rsidRPr="00B56453" w:rsidRDefault="00C47666" w:rsidP="0021662A">
      <w:pPr>
        <w:pStyle w:val="Normal1"/>
        <w:rPr>
          <w:lang w:val="en-GB"/>
        </w:rPr>
      </w:pPr>
    </w:p>
    <w:p w14:paraId="7E25E926" w14:textId="51F96561" w:rsidR="0021662A" w:rsidRPr="00B56453" w:rsidRDefault="0021662A" w:rsidP="0021662A">
      <w:pPr>
        <w:pStyle w:val="Normal1"/>
        <w:rPr>
          <w:lang w:val="en-GB"/>
        </w:rPr>
      </w:pPr>
      <w:r w:rsidRPr="00B56453">
        <w:rPr>
          <w:lang w:val="en-GB"/>
        </w:rPr>
        <w:t xml:space="preserve">From the teaching perspective, this study was the first to develop and use SRL informed feedback approaches in any context and to explore the impact upon the teachers in an authentic educational setting. Medical teachers were able to </w:t>
      </w:r>
      <w:r w:rsidR="00B263C4" w:rsidRPr="00B56453">
        <w:rPr>
          <w:lang w:val="en-GB"/>
        </w:rPr>
        <w:t>adapt</w:t>
      </w:r>
      <w:r w:rsidRPr="00B56453">
        <w:rPr>
          <w:lang w:val="en-GB"/>
        </w:rPr>
        <w:t xml:space="preserve"> their teaching practices to explicitly support students’ SRL following a training intervention. The conceptual model (Figure B2.5</w:t>
      </w:r>
      <w:r w:rsidR="009A1184" w:rsidRPr="00B56453">
        <w:rPr>
          <w:lang w:val="en-GB"/>
        </w:rPr>
        <w:t xml:space="preserve">, page: </w:t>
      </w:r>
      <w:r w:rsidRPr="00B56453">
        <w:rPr>
          <w:lang w:val="en-GB"/>
        </w:rPr>
        <w:t>) illustrates the importance of the teacher’s conceptualisations of feedback giving to change practice as well as other influencing factors, including teaching experience. Further research is needed to explore how these findings translate into other areas of medical education, both in classroom and clinical education settings. Training teachers in the explicit use of SRL feedback in comparison to conventional feedback models may provide a way forward in ensuring SRL is supported during classroom teaching sessions and beyond.</w:t>
      </w:r>
    </w:p>
    <w:p w14:paraId="0F6E5AAF" w14:textId="77777777" w:rsidR="0021662A" w:rsidRPr="00B56453" w:rsidRDefault="0021662A" w:rsidP="0021662A">
      <w:pPr>
        <w:pStyle w:val="Normal1"/>
        <w:rPr>
          <w:lang w:val="en-GB"/>
        </w:rPr>
      </w:pPr>
    </w:p>
    <w:p w14:paraId="17999310" w14:textId="61072062" w:rsidR="0021662A" w:rsidRPr="00B56453" w:rsidRDefault="0021662A" w:rsidP="0021662A">
      <w:pPr>
        <w:pStyle w:val="Normal1"/>
        <w:rPr>
          <w:lang w:val="en-GB"/>
        </w:rPr>
      </w:pPr>
      <w:r w:rsidRPr="00B56453">
        <w:rPr>
          <w:lang w:val="en-GB"/>
        </w:rPr>
        <w:t xml:space="preserve">The conceptual models presented in Chapter C2 provide multiple perspectives on the clinical learning experience from the student view. They contribute to the current knowledge on how students perceive the transfer into clinical learning environments by highlighting specific contextual and cultural components that influence their experience. Some of these were known factors, including a lack of self-assurance and confusion about learning goals </w:t>
      </w:r>
      <w:r w:rsidRPr="009C2746">
        <w:rPr>
          <w:lang w:val="en-GB"/>
        </w:rPr>
        <w:fldChar w:fldCharType="begin"/>
      </w:r>
      <w:r w:rsidRPr="00B56453">
        <w:rPr>
          <w:lang w:val="en-GB"/>
        </w:rPr>
        <w:instrText xml:space="preserve"> ADDIN EN.CITE &lt;EndNote&gt;&lt;Cite&gt;&lt;Author&gt;Cho&lt;/Author&gt;&lt;Year&gt;2017&lt;/Year&gt;&lt;RecNum&gt;670&lt;/RecNum&gt;&lt;DisplayText&gt;(Cho et al. 2017)&lt;/DisplayText&gt;&lt;record&gt;&lt;rec-number&gt;670&lt;/rec-number&gt;&lt;foreign-keys&gt;&lt;key app="EN" db-id="xa2r2ewea92trkef5dt5arvbzafvpv2za5ft" timestamp="1496417565"&gt;670&lt;/key&gt;&lt;/foreign-keys&gt;&lt;ref-type name="Journal Article"&gt;17&lt;/ref-type&gt;&lt;contributors&gt;&lt;authors&gt;&lt;author&gt;Cho, Kenneth K&lt;/author&gt;&lt;author&gt;Marjadi, Brahm&lt;/author&gt;&lt;author&gt;Langendyk, Vicki&lt;/author&gt;&lt;author&gt;Hu, Wendy&lt;/author&gt;&lt;/authors&gt;&lt;/contributors&gt;&lt;titles&gt;&lt;title&gt;Medical student changes in self-regulated learning during the transition to the clinical environment&lt;/title&gt;&lt;secondary-title&gt;BMC medical education&lt;/secondary-title&gt;&lt;/titles&gt;&lt;periodical&gt;&lt;full-title&gt;BMC medical education&lt;/full-title&gt;&lt;/periodical&gt;&lt;pages&gt;59&lt;/pages&gt;&lt;volume&gt;17&lt;/volume&gt;&lt;number&gt;1&lt;/number&gt;&lt;dates&gt;&lt;year&gt;2017&lt;/year&gt;&lt;/dates&gt;&lt;isbn&gt;1472-6920&lt;/isbn&gt;&lt;urls&gt;&lt;/urls&gt;&lt;/record&gt;&lt;/Cite&gt;&lt;/EndNote&gt;</w:instrText>
      </w:r>
      <w:r w:rsidRPr="00B27F0B">
        <w:rPr>
          <w:lang w:val="en-GB"/>
        </w:rPr>
        <w:fldChar w:fldCharType="separate"/>
      </w:r>
      <w:r w:rsidRPr="00B56453">
        <w:rPr>
          <w:noProof/>
          <w:lang w:val="en-GB"/>
        </w:rPr>
        <w:t>(</w:t>
      </w:r>
      <w:hyperlink w:anchor="_ENREF_75" w:tooltip="Cho, 2017 #670" w:history="1">
        <w:r w:rsidR="0094469E" w:rsidRPr="00B56453">
          <w:rPr>
            <w:noProof/>
            <w:lang w:val="en-GB"/>
          </w:rPr>
          <w:t>Cho et al. 2017</w:t>
        </w:r>
      </w:hyperlink>
      <w:r w:rsidRPr="00B56453">
        <w:rPr>
          <w:noProof/>
          <w:lang w:val="en-GB"/>
        </w:rPr>
        <w:t>)</w:t>
      </w:r>
      <w:r w:rsidRPr="009C2746">
        <w:rPr>
          <w:lang w:val="en-GB"/>
        </w:rPr>
        <w:fldChar w:fldCharType="end"/>
      </w:r>
      <w:r w:rsidRPr="00B56453">
        <w:rPr>
          <w:lang w:val="en-GB"/>
        </w:rPr>
        <w:t xml:space="preserve">, but the context and culture model added to these by illustrating the relationships between those factors and learning behaviours. The centrality of the supervisor in both learning and feedback conceptual models was significant and linked heavily to SRL behaviours. This reflects the recommendation by </w:t>
      </w:r>
      <w:hyperlink w:anchor="_ENREF_56" w:tooltip="Brydges, 2015 #18" w:history="1">
        <w:r w:rsidR="0094469E" w:rsidRPr="00B27F0B">
          <w:rPr>
            <w:lang w:val="en-GB"/>
          </w:rPr>
          <w:fldChar w:fldCharType="begin"/>
        </w:r>
        <w:r w:rsidR="0094469E" w:rsidRPr="00B56453">
          <w:rPr>
            <w:lang w:val="en-GB"/>
          </w:rPr>
          <w:instrText xml:space="preserve"> ADDIN EN.CITE &lt;EndNote&gt;&lt;Cite AuthorYear="1"&gt;&lt;Author&gt;Brydges&lt;/Author&gt;&lt;Year&gt;2015&lt;/Year&gt;&lt;RecNum&gt;296&lt;/RecNum&gt;&lt;DisplayText&gt;Brydges et al. (2015)&lt;/DisplayText&gt;&lt;record&gt;&lt;rec-number&gt;296&lt;/rec-number&gt;&lt;foreign-keys&gt;&lt;key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0094469E" w:rsidRPr="00B56453">
          <w:rPr>
            <w:rFonts w:ascii="Cambria Math" w:hAnsi="Cambria Math" w:cs="Cambria Math"/>
            <w:lang w:val="en-GB"/>
          </w:rPr>
          <w:instrText>‐</w:instrText>
        </w:r>
        <w:r w:rsidR="0094469E" w:rsidRPr="00B56453">
          <w:rPr>
            <w:lang w:val="en-GB"/>
          </w:rPr>
          <w:instrText>regulated learning in simulation</w:instrText>
        </w:r>
        <w:r w:rsidR="0094469E" w:rsidRPr="00B56453">
          <w:rPr>
            <w:rFonts w:ascii="Cambria Math" w:hAnsi="Cambria Math" w:cs="Cambria Math"/>
            <w:lang w:val="en-GB"/>
          </w:rPr>
          <w:instrText>‐</w:instrText>
        </w:r>
        <w:r w:rsidR="0094469E" w:rsidRPr="00B56453">
          <w:rPr>
            <w:lang w:val="en-GB"/>
          </w:rPr>
          <w:instrText>based training: a systematic review and meta</w:instrText>
        </w:r>
        <w:r w:rsidR="0094469E" w:rsidRPr="00B56453">
          <w:rPr>
            <w:rFonts w:ascii="Cambria Math" w:hAnsi="Cambria Math" w:cs="Cambria Math"/>
            <w:lang w:val="en-GB"/>
          </w:rPr>
          <w:instrText>‐</w:instrText>
        </w:r>
        <w:r w:rsidR="0094469E" w:rsidRPr="00B56453">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Library&lt;/publisher&gt;&lt;urls&gt;&lt;related-urls&gt;&lt;url&gt;http://onlinelibrary.wiley.com/doi/10.1111/medu.12649/abstract&lt;/url&gt;&lt;/related-urls&gt;&lt;/urls&gt;&lt;/record&gt;&lt;/Cite&gt;&lt;/EndNote&gt;</w:instrText>
        </w:r>
        <w:r w:rsidR="0094469E" w:rsidRPr="00B27F0B">
          <w:rPr>
            <w:lang w:val="en-GB"/>
          </w:rPr>
          <w:fldChar w:fldCharType="separate"/>
        </w:r>
        <w:r w:rsidR="0094469E" w:rsidRPr="00B56453">
          <w:rPr>
            <w:noProof/>
            <w:lang w:val="en-GB"/>
          </w:rPr>
          <w:t>Brydges et al. (2015)</w:t>
        </w:r>
        <w:r w:rsidR="0094469E" w:rsidRPr="00B27F0B">
          <w:rPr>
            <w:lang w:val="en-GB"/>
          </w:rPr>
          <w:fldChar w:fldCharType="end"/>
        </w:r>
      </w:hyperlink>
      <w:r w:rsidRPr="00FD5859">
        <w:rPr>
          <w:lang w:val="en-GB"/>
        </w:rPr>
        <w:t xml:space="preserve"> that SRL development is enhanced by supervisors in medical education. Insights from these models may contribute to researchers exploring SRL and feedback in clinical learning and may contribute to curriculum design work. These findings </w:t>
      </w:r>
      <w:r w:rsidRPr="00B56453">
        <w:rPr>
          <w:lang w:val="en-GB"/>
        </w:rPr>
        <w:t xml:space="preserve">may also contribute to the development of a larger scale medical curriculum intervention incorporating SRL, similar to a programme proposed by </w:t>
      </w:r>
      <w:hyperlink w:anchor="_ENREF_92" w:tooltip="Cleary, 2004 #317" w:history="1">
        <w:r w:rsidR="0094469E" w:rsidRPr="00B27F0B">
          <w:rPr>
            <w:lang w:val="en-GB"/>
          </w:rPr>
          <w:fldChar w:fldCharType="begin"/>
        </w:r>
        <w:r w:rsidR="0094469E" w:rsidRPr="00B56453">
          <w:rPr>
            <w:lang w:val="en-GB"/>
          </w:rPr>
          <w:instrText xml:space="preserve"> ADDIN EN.CITE &lt;EndNote&gt;&lt;Cite AuthorYear="1"&gt;&lt;Author&gt;Cleary&lt;/Author&gt;&lt;Year&gt;2004&lt;/Year&gt;&lt;RecNum&gt;317&lt;/RecNum&gt;&lt;DisplayText&gt;Cleary and Zimmerman (2004)&lt;/DisplayText&gt;&lt;record&gt;&lt;rec-number&gt;317&lt;/rec-number&gt;&lt;foreign-keys&gt;&lt;key app="EN" db-id="xa2r2ewea92trkef5dt5arvbzafvpv2za5ft" timestamp="1496417534"&gt;317&lt;/key&gt;&lt;/foreign-keys&gt;&lt;ref-type name="Journal Article"&gt;17&lt;/ref-type&gt;&lt;contributors&gt;&lt;authors&gt;&lt;author&gt;Cleary, Timothy J.&lt;/author&gt;&lt;author&gt;Zimmerman, Barry J.&lt;/author&gt;&lt;/authors&gt;&lt;/contributors&gt;&lt;titles&gt;&lt;title&gt;Self</w:instrText>
        </w:r>
        <w:r w:rsidR="0094469E" w:rsidRPr="00B56453">
          <w:rPr>
            <w:rFonts w:ascii="Cambria Math" w:hAnsi="Cambria Math" w:cs="Cambria Math"/>
            <w:lang w:val="en-GB"/>
          </w:rPr>
          <w:instrText>‐</w:instrText>
        </w:r>
        <w:r w:rsidR="0094469E" w:rsidRPr="00B56453">
          <w:rPr>
            <w:lang w:val="en-GB"/>
          </w:rPr>
          <w:instrText>regulation empowerment program: A school</w:instrText>
        </w:r>
        <w:r w:rsidR="0094469E" w:rsidRPr="00B56453">
          <w:rPr>
            <w:rFonts w:ascii="Cambria Math" w:hAnsi="Cambria Math" w:cs="Cambria Math"/>
            <w:lang w:val="en-GB"/>
          </w:rPr>
          <w:instrText>‐</w:instrText>
        </w:r>
        <w:r w:rsidR="0094469E" w:rsidRPr="00B56453">
          <w:rPr>
            <w:lang w:val="en-GB"/>
          </w:rPr>
          <w:instrText>based program to enhance self</w:instrText>
        </w:r>
        <w:r w:rsidR="0094469E" w:rsidRPr="00B56453">
          <w:rPr>
            <w:rFonts w:ascii="Cambria Math" w:hAnsi="Cambria Math" w:cs="Cambria Math"/>
            <w:lang w:val="en-GB"/>
          </w:rPr>
          <w:instrText>‐</w:instrText>
        </w:r>
        <w:r w:rsidR="0094469E" w:rsidRPr="00B56453">
          <w:rPr>
            <w:lang w:val="en-GB"/>
          </w:rPr>
          <w:instrText>regulated and self</w:instrText>
        </w:r>
        <w:r w:rsidR="0094469E" w:rsidRPr="00B56453">
          <w:rPr>
            <w:rFonts w:ascii="Cambria Math" w:hAnsi="Cambria Math" w:cs="Cambria Math"/>
            <w:lang w:val="en-GB"/>
          </w:rPr>
          <w:instrText>‐</w:instrText>
        </w:r>
        <w:r w:rsidR="0094469E" w:rsidRPr="00B56453">
          <w:rPr>
            <w:lang w:val="en-GB"/>
          </w:rPr>
          <w:instrText>motivated cycles of student learning&lt;/title&gt;&lt;secondary-title&gt;Psychology in the Schools&lt;/secondary-title&gt;&lt;/titles&gt;&lt;periodical&gt;&lt;full-title&gt;Psychology in the Schools&lt;/full-title&gt;&lt;/periodical&gt;&lt;pages&gt;537-550&lt;/pages&gt;&lt;volume&gt;41&lt;/volume&gt;&lt;number&gt;5&lt;/number&gt;&lt;dates&gt;&lt;year&gt;2004&lt;/year&gt;&lt;/dates&gt;&lt;publisher&gt;Wiley Online Library&lt;/publisher&gt;&lt;urls&gt;&lt;/urls&gt;&lt;/record&gt;&lt;/Cite&gt;&lt;/EndNote&gt;</w:instrText>
        </w:r>
        <w:r w:rsidR="0094469E" w:rsidRPr="00B27F0B">
          <w:rPr>
            <w:lang w:val="en-GB"/>
          </w:rPr>
          <w:fldChar w:fldCharType="separate"/>
        </w:r>
        <w:r w:rsidR="0094469E" w:rsidRPr="00B56453">
          <w:rPr>
            <w:noProof/>
            <w:lang w:val="en-GB"/>
          </w:rPr>
          <w:t>Cleary and Zimmerman (2004)</w:t>
        </w:r>
        <w:r w:rsidR="0094469E" w:rsidRPr="00B27F0B">
          <w:rPr>
            <w:lang w:val="en-GB"/>
          </w:rPr>
          <w:fldChar w:fldCharType="end"/>
        </w:r>
      </w:hyperlink>
      <w:r w:rsidRPr="00B56453">
        <w:rPr>
          <w:lang w:val="en-GB"/>
        </w:rPr>
        <w:t xml:space="preserve"> but more suited to a higher education and vocational context.</w:t>
      </w:r>
    </w:p>
    <w:p w14:paraId="79AB9C15" w14:textId="77777777" w:rsidR="0021662A" w:rsidRPr="00B56453" w:rsidRDefault="0021662A" w:rsidP="0021662A">
      <w:pPr>
        <w:pStyle w:val="Normal1"/>
        <w:rPr>
          <w:lang w:val="en-GB"/>
        </w:rPr>
      </w:pPr>
    </w:p>
    <w:p w14:paraId="478FD893" w14:textId="786EBE4A" w:rsidR="0021662A" w:rsidRPr="00B56453" w:rsidRDefault="0021662A" w:rsidP="0021662A">
      <w:pPr>
        <w:pStyle w:val="Normal1"/>
        <w:rPr>
          <w:rFonts w:cs="Times New Roman"/>
          <w:lang w:val="en-GB"/>
        </w:rPr>
      </w:pPr>
      <w:r w:rsidRPr="00B56453">
        <w:rPr>
          <w:lang w:val="en-GB"/>
        </w:rPr>
        <w:t xml:space="preserve">Ultimately, this research shows that SRL can be successfully integrated into feedback practices in authentic teaching environments which can lead to the empowerment of learners’ SRL in the </w:t>
      </w:r>
      <w:r w:rsidR="00826050" w:rsidRPr="00B56453">
        <w:rPr>
          <w:lang w:val="en-GB"/>
        </w:rPr>
        <w:t>immediate</w:t>
      </w:r>
      <w:r w:rsidRPr="00B56453">
        <w:rPr>
          <w:lang w:val="en-GB"/>
        </w:rPr>
        <w:t xml:space="preserve"> and long</w:t>
      </w:r>
      <w:r w:rsidR="00826050" w:rsidRPr="00B56453">
        <w:rPr>
          <w:lang w:val="en-GB"/>
        </w:rPr>
        <w:t>er</w:t>
      </w:r>
      <w:r w:rsidRPr="00B56453">
        <w:rPr>
          <w:lang w:val="en-GB"/>
        </w:rPr>
        <w:t xml:space="preserve">-term. </w:t>
      </w:r>
      <w:r w:rsidRPr="00B56453">
        <w:rPr>
          <w:rFonts w:cs="Times New Roman"/>
          <w:lang w:val="en-GB"/>
        </w:rPr>
        <w:t xml:space="preserve">This approach can be built upon and has already been trialled in student support with some successful performance outcomes using SRL MA </w:t>
      </w:r>
      <w:r w:rsidRPr="009C2746">
        <w:rPr>
          <w:rFonts w:cs="Times New Roman"/>
          <w:lang w:val="en-GB"/>
        </w:rPr>
        <w:fldChar w:fldCharType="begin"/>
      </w:r>
      <w:r w:rsidRPr="00B56453">
        <w:rPr>
          <w:rFonts w:cs="Times New Roman"/>
          <w:lang w:val="en-GB"/>
        </w:rPr>
        <w:instrText xml:space="preserve"> ADDIN EN.CITE &lt;EndNote&gt;&lt;Cite&gt;&lt;Author&gt;Andrews&lt;/Author&gt;&lt;Year&gt;2017&lt;/Year&gt;&lt;RecNum&gt;588&lt;/RecNum&gt;&lt;DisplayText&gt;(Andrews et al. 2017)&lt;/DisplayText&gt;&lt;record&gt;&lt;rec-number&gt;588&lt;/rec-number&gt;&lt;foreign-keys&gt;&lt;key app="EN" db-id="xa2r2ewea92trkef5dt5arvbzafvpv2za5ft" timestamp="1496417557"&gt;588&lt;/key&gt;&lt;/foreign-keys&gt;&lt;ref-type name="Journal Article"&gt;17&lt;/ref-type&gt;&lt;contributors&gt;&lt;authors&gt;&lt;author&gt;Andrews, Mary A&lt;/author&gt;&lt;author&gt;Kelly, William F&lt;/author&gt;&lt;author&gt;DeZee, Kent J&lt;/author&gt;&lt;/authors&gt;&lt;/contributors&gt;&lt;titles&gt;&lt;title&gt;Why Does This Learner Perform Poorly on Tests? Using Self-Regulated Learning Theory to Diagnose the Problem and Implement Solutions&lt;/title&gt;&lt;secondary-title&gt;Academic Medicine&lt;/secondary-title&gt;&lt;/titles&gt;&lt;periodical&gt;&lt;full-title&gt;Academic Medicine&lt;/full-title&gt;&lt;/periodical&gt;&lt;dates&gt;&lt;year&gt;2017&lt;/year&gt;&lt;/dates&gt;&lt;isbn&gt;1040-2446&lt;/isbn&gt;&lt;urls&gt;&lt;/urls&gt;&lt;/record&gt;&lt;/Cite&gt;&lt;/EndNote&gt;</w:instrText>
      </w:r>
      <w:r w:rsidRPr="00B27F0B">
        <w:rPr>
          <w:rFonts w:cs="Times New Roman"/>
          <w:lang w:val="en-GB"/>
        </w:rPr>
        <w:fldChar w:fldCharType="separate"/>
      </w:r>
      <w:r w:rsidRPr="00B56453">
        <w:rPr>
          <w:rFonts w:cs="Times New Roman"/>
          <w:noProof/>
          <w:lang w:val="en-GB"/>
        </w:rPr>
        <w:t>(</w:t>
      </w:r>
      <w:hyperlink w:anchor="_ENREF_2" w:tooltip="Andrews, 2017 #588" w:history="1">
        <w:r w:rsidR="0094469E" w:rsidRPr="00B56453">
          <w:rPr>
            <w:rFonts w:cs="Times New Roman"/>
            <w:noProof/>
            <w:lang w:val="en-GB"/>
          </w:rPr>
          <w:t>Andrews et al. 2017</w:t>
        </w:r>
      </w:hyperlink>
      <w:r w:rsidRPr="00B56453">
        <w:rPr>
          <w:rFonts w:cs="Times New Roman"/>
          <w:noProof/>
          <w:lang w:val="en-GB"/>
        </w:rPr>
        <w:t>)</w:t>
      </w:r>
      <w:r w:rsidRPr="009C2746">
        <w:rPr>
          <w:rFonts w:cs="Times New Roman"/>
          <w:lang w:val="en-GB"/>
        </w:rPr>
        <w:fldChar w:fldCharType="end"/>
      </w:r>
      <w:r w:rsidRPr="00B56453">
        <w:rPr>
          <w:rFonts w:cs="Times New Roman"/>
          <w:lang w:val="en-GB"/>
        </w:rPr>
        <w:t>.</w:t>
      </w:r>
    </w:p>
    <w:p w14:paraId="74745E7C" w14:textId="77777777" w:rsidR="0021662A" w:rsidRPr="00B56453" w:rsidRDefault="0021662A" w:rsidP="0021662A">
      <w:pPr>
        <w:pStyle w:val="Normal1"/>
        <w:rPr>
          <w:lang w:val="en-GB"/>
        </w:rPr>
      </w:pPr>
    </w:p>
    <w:p w14:paraId="2F59A825" w14:textId="2426136B" w:rsidR="0021662A" w:rsidRPr="00B56453" w:rsidRDefault="0021662A" w:rsidP="0021662A">
      <w:pPr>
        <w:pStyle w:val="Heading3"/>
      </w:pPr>
      <w:bookmarkStart w:id="496" w:name="_Toc500319468"/>
      <w:r w:rsidRPr="00B56453">
        <w:lastRenderedPageBreak/>
        <w:t>D</w:t>
      </w:r>
      <w:r w:rsidR="00713C7D" w:rsidRPr="00B56453">
        <w:t>2.9</w:t>
      </w:r>
      <w:r w:rsidRPr="00B56453">
        <w:t xml:space="preserve">.4 </w:t>
      </w:r>
      <w:r w:rsidR="00C47666" w:rsidRPr="00B56453">
        <w:t>SRL Support from C</w:t>
      </w:r>
      <w:r w:rsidRPr="00B56453">
        <w:t>linica</w:t>
      </w:r>
      <w:r w:rsidR="00C47666" w:rsidRPr="00B56453">
        <w:t>l S</w:t>
      </w:r>
      <w:r w:rsidRPr="00B56453">
        <w:t>upervisors</w:t>
      </w:r>
      <w:bookmarkEnd w:id="496"/>
    </w:p>
    <w:p w14:paraId="1D9458E7" w14:textId="77777777" w:rsidR="0021662A" w:rsidRPr="00B56453" w:rsidRDefault="0021662A" w:rsidP="0021662A">
      <w:pPr>
        <w:pStyle w:val="Normal1"/>
        <w:rPr>
          <w:lang w:val="en-GB"/>
        </w:rPr>
      </w:pPr>
    </w:p>
    <w:p w14:paraId="5F235801" w14:textId="6BCF7C55" w:rsidR="0021662A" w:rsidRPr="00B56453" w:rsidRDefault="0021662A" w:rsidP="0021662A">
      <w:pPr>
        <w:pStyle w:val="Normal1"/>
        <w:rPr>
          <w:rFonts w:cs="Times New Roman"/>
          <w:lang w:val="en-GB"/>
        </w:rPr>
      </w:pPr>
      <w:r w:rsidRPr="00B56453">
        <w:rPr>
          <w:lang w:val="en-GB"/>
        </w:rPr>
        <w:t xml:space="preserve">A clear finding from the interviews and focus groups with students was that their perceptions of supervision significantly impacted upon their learning and feedback behaviours. These qualitative accounts, viewed through the lens of the educational alliance model could provide a productive framework with which to make sense of these findings </w:t>
      </w:r>
      <w:r w:rsidRPr="009C2746">
        <w:rPr>
          <w:lang w:val="en-GB"/>
        </w:rPr>
        <w:fldChar w:fldCharType="begin"/>
      </w:r>
      <w:r w:rsidRPr="00B56453">
        <w:rPr>
          <w:lang w:val="en-GB"/>
        </w:rPr>
        <w:instrText xml:space="preserve"> ADDIN EN.CITE &lt;EndNote&gt;&lt;Cite&gt;&lt;Author&gt;Telio&lt;/Author&gt;&lt;Year&gt;2014&lt;/Year&gt;&lt;RecNum&gt;250&lt;/RecNum&gt;&lt;DisplayText&gt;(Telio et al. 2014)&lt;/DisplayText&gt;&lt;record&gt;&lt;rec-number&gt;250&lt;/rec-number&gt;&lt;foreign-keys&gt;&lt;key app="EN" db-id="xa2r2ewea92trkef5dt5arvbzafvpv2za5ft" timestamp="1442161766"&gt;250&lt;/key&gt;&lt;/foreign-keys&gt;&lt;ref-type name="Journal Article"&gt;17&lt;/ref-type&gt;&lt;contributors&gt;&lt;authors&gt;&lt;author&gt;Telio, S.&lt;/author&gt;&lt;author&gt;Ajjawi, R.&lt;/author&gt;&lt;author&gt;Regehr, G.&lt;/author&gt;&lt;/authors&gt;&lt;/contributors&gt;&lt;auth-address&gt;Dr. Telio is clinical instructor, Department of Psychiatry, Faculty of Medicine, University of British Columbia, Vancouver, British Columbia, Canada. Dr. Ajjawi is senior lecturer in medical education, Centre for Medical Education, Medical Educa(TRUNCATED)&lt;/auth-address&gt;&lt;titles&gt;&lt;title&gt;The &amp;quot;Educational Alliance&amp;quot; as a Framework for Reconceptualizing Feedback in Medical Education&lt;/title&gt;&lt;secondary-title&gt;Academic medicine : journal of the Association of American Medical Colleges&lt;/secondary-title&gt;&lt;/titles&gt;&lt;periodical&gt;&lt;full-title&gt;Academic medicine : journal of the Association of American Medical Colleges&lt;/full-title&gt;&lt;/periodical&gt;&lt;dates&gt;&lt;year&gt;2014&lt;/year&gt;&lt;/dates&gt;&lt;isbn&gt;1938-808X; 1040-2446&lt;/isbn&gt;&lt;urls&gt;&lt;/urls&gt;&lt;electronic-resource-num&gt;10.1097/ACM.0000000000000560 [doi]&lt;/electronic-resource-num&gt;&lt;access-date&gt;Nov 18&lt;/access-date&gt;&lt;/record&gt;&lt;/Cite&gt;&lt;/EndNote&gt;</w:instrText>
      </w:r>
      <w:r w:rsidRPr="00B27F0B">
        <w:rPr>
          <w:lang w:val="en-GB"/>
        </w:rPr>
        <w:fldChar w:fldCharType="separate"/>
      </w:r>
      <w:r w:rsidRPr="00B56453">
        <w:rPr>
          <w:noProof/>
          <w:lang w:val="en-GB"/>
        </w:rPr>
        <w:t>(</w:t>
      </w:r>
      <w:hyperlink w:anchor="_ENREF_401" w:tooltip="Telio, 2014 #250" w:history="1">
        <w:r w:rsidR="0094469E" w:rsidRPr="00B56453">
          <w:rPr>
            <w:noProof/>
            <w:lang w:val="en-GB"/>
          </w:rPr>
          <w:t>Telio et al. 2014</w:t>
        </w:r>
      </w:hyperlink>
      <w:r w:rsidRPr="00B56453">
        <w:rPr>
          <w:noProof/>
          <w:lang w:val="en-GB"/>
        </w:rPr>
        <w:t>)</w:t>
      </w:r>
      <w:r w:rsidRPr="009C2746">
        <w:rPr>
          <w:lang w:val="en-GB"/>
        </w:rPr>
        <w:fldChar w:fldCharType="end"/>
      </w:r>
      <w:r w:rsidRPr="00B56453">
        <w:rPr>
          <w:lang w:val="en-GB"/>
        </w:rPr>
        <w:t xml:space="preserve">. The educational alliance framework encompasses a positive mutual understanding and agreement between learner and supervisor in which the learner perceives the supervisor as a trusted proponent and active facilitator in their development within the wider context of feedback and learning interactions </w:t>
      </w:r>
      <w:r w:rsidRPr="009C2746">
        <w:rPr>
          <w:lang w:val="en-GB"/>
        </w:rPr>
        <w:fldChar w:fldCharType="begin"/>
      </w:r>
      <w:r w:rsidRPr="00B56453">
        <w:rPr>
          <w:lang w:val="en-GB"/>
        </w:rPr>
        <w:instrText xml:space="preserve"> ADDIN EN.CITE &lt;EndNote&gt;&lt;Cite&gt;&lt;Author&gt;Telio&lt;/Author&gt;&lt;Year&gt;2014&lt;/Year&gt;&lt;RecNum&gt;250&lt;/RecNum&gt;&lt;DisplayText&gt;(Telio et al. 2014)&lt;/DisplayText&gt;&lt;record&gt;&lt;rec-number&gt;250&lt;/rec-number&gt;&lt;foreign-keys&gt;&lt;key app="EN" db-id="xa2r2ewea92trkef5dt5arvbzafvpv2za5ft" timestamp="1442161766"&gt;250&lt;/key&gt;&lt;/foreign-keys&gt;&lt;ref-type name="Journal Article"&gt;17&lt;/ref-type&gt;&lt;contributors&gt;&lt;authors&gt;&lt;author&gt;Telio, S.&lt;/author&gt;&lt;author&gt;Ajjawi, R.&lt;/author&gt;&lt;author&gt;Regehr, G.&lt;/author&gt;&lt;/authors&gt;&lt;/contributors&gt;&lt;auth-address&gt;Dr. Telio is clinical instructor, Department of Psychiatry, Faculty of Medicine, University of British Columbia, Vancouver, British Columbia, Canada. Dr. Ajjawi is senior lecturer in medical education, Centre for Medical Education, Medical Educa(TRUNCATED)&lt;/auth-address&gt;&lt;titles&gt;&lt;title&gt;The &amp;quot;Educational Alliance&amp;quot; as a Framework for Reconceptualizing Feedback in Medical Education&lt;/title&gt;&lt;secondary-title&gt;Academic medicine : journal of the Association of American Medical Colleges&lt;/secondary-title&gt;&lt;/titles&gt;&lt;periodical&gt;&lt;full-title&gt;Academic medicine : journal of the Association of American Medical Colleges&lt;/full-title&gt;&lt;/periodical&gt;&lt;dates&gt;&lt;year&gt;2014&lt;/year&gt;&lt;/dates&gt;&lt;isbn&gt;1938-808X; 1040-2446&lt;/isbn&gt;&lt;urls&gt;&lt;/urls&gt;&lt;electronic-resource-num&gt;10.1097/ACM.0000000000000560 [doi]&lt;/electronic-resource-num&gt;&lt;access-date&gt;Nov 18&lt;/access-date&gt;&lt;/record&gt;&lt;/Cite&gt;&lt;/EndNote&gt;</w:instrText>
      </w:r>
      <w:r w:rsidRPr="00B27F0B">
        <w:rPr>
          <w:lang w:val="en-GB"/>
        </w:rPr>
        <w:fldChar w:fldCharType="separate"/>
      </w:r>
      <w:r w:rsidRPr="00B56453">
        <w:rPr>
          <w:noProof/>
          <w:lang w:val="en-GB"/>
        </w:rPr>
        <w:t>(</w:t>
      </w:r>
      <w:hyperlink w:anchor="_ENREF_401" w:tooltip="Telio, 2014 #250" w:history="1">
        <w:r w:rsidR="0094469E" w:rsidRPr="00B56453">
          <w:rPr>
            <w:noProof/>
            <w:lang w:val="en-GB"/>
          </w:rPr>
          <w:t>Telio et al. 2014</w:t>
        </w:r>
      </w:hyperlink>
      <w:r w:rsidRPr="00B56453">
        <w:rPr>
          <w:noProof/>
          <w:lang w:val="en-GB"/>
        </w:rPr>
        <w:t>)</w:t>
      </w:r>
      <w:r w:rsidRPr="009C2746">
        <w:rPr>
          <w:lang w:val="en-GB"/>
        </w:rPr>
        <w:fldChar w:fldCharType="end"/>
      </w:r>
      <w:r w:rsidRPr="00B56453">
        <w:rPr>
          <w:lang w:val="en-GB"/>
        </w:rPr>
        <w:t xml:space="preserve">. </w:t>
      </w:r>
      <w:r w:rsidRPr="00B56453">
        <w:rPr>
          <w:rFonts w:cs="Times New Roman"/>
          <w:lang w:val="en-GB"/>
        </w:rPr>
        <w:t xml:space="preserve">Feedback is more effective when both parties share similar goals and are able to converse dialogically to develop ‘educational alliances’ </w:t>
      </w:r>
      <w:r w:rsidRPr="009C2746">
        <w:rPr>
          <w:rFonts w:cs="Times New Roman"/>
          <w:lang w:val="en-GB"/>
        </w:rPr>
        <w:fldChar w:fldCharType="begin">
          <w:fldData xml:space="preserve">PEVuZE5vdGU+PENpdGU+PEF1dGhvcj5SaWRkZXI8L0F1dGhvcj48WWVhcj4yMDE1PC9ZZWFyPjxS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</w:fldData>
        </w:fldChar>
      </w:r>
      <w:r w:rsidRPr="00B56453">
        <w:rPr>
          <w:rFonts w:cs="Times New Roman"/>
          <w:lang w:val="en-GB"/>
        </w:rPr>
        <w:instrText xml:space="preserve"> ADDIN EN.CITE </w:instrText>
      </w:r>
      <w:r w:rsidRPr="00B27F0B">
        <w:rPr>
          <w:rFonts w:cs="Times New Roman"/>
          <w:lang w:val="en-GB"/>
        </w:rPr>
        <w:fldChar w:fldCharType="begin">
          <w:fldData xml:space="preserve">PEVuZE5vdGU+PENpdGU+PEF1dGhvcj5SaWRkZXI8L0F1dGhvcj48WWVhcj4yMDE1PC9ZZWFyPjxS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</w:fldData>
        </w:fldChar>
      </w:r>
      <w:r w:rsidRPr="00B56453">
        <w:rPr>
          <w:rFonts w:cs="Times New Roman"/>
          <w:lang w:val="en-GB"/>
        </w:rPr>
        <w:instrText xml:space="preserve"> ADDIN EN.CITE.DATA </w:instrText>
      </w:r>
      <w:r w:rsidRPr="00B27F0B">
        <w:rPr>
          <w:rFonts w:cs="Times New Roman"/>
          <w:lang w:val="en-GB"/>
        </w:rPr>
      </w:r>
      <w:r w:rsidRPr="00B27F0B">
        <w:rPr>
          <w:rFonts w:cs="Times New Roman"/>
          <w:lang w:val="en-GB"/>
        </w:rPr>
        <w:fldChar w:fldCharType="end"/>
      </w:r>
      <w:r w:rsidRPr="00B27F0B">
        <w:rPr>
          <w:rFonts w:cs="Times New Roman"/>
          <w:lang w:val="en-GB"/>
        </w:rPr>
      </w:r>
      <w:r w:rsidRPr="00B27F0B">
        <w:rPr>
          <w:rFonts w:cs="Times New Roman"/>
          <w:lang w:val="en-GB"/>
        </w:rPr>
        <w:fldChar w:fldCharType="separate"/>
      </w:r>
      <w:r w:rsidRPr="00B56453">
        <w:rPr>
          <w:rFonts w:cs="Times New Roman"/>
          <w:noProof/>
          <w:lang w:val="en-GB"/>
        </w:rPr>
        <w:t>(</w:t>
      </w:r>
      <w:hyperlink w:anchor="_ENREF_293" w:tooltip="Murdoch‐Eaton, 2012 #178" w:history="1">
        <w:r w:rsidR="0094469E" w:rsidRPr="00B56453">
          <w:rPr>
            <w:rFonts w:cs="Times New Roman"/>
            <w:noProof/>
            <w:lang w:val="en-GB"/>
          </w:rPr>
          <w:t>Murdoch</w:t>
        </w:r>
        <w:r w:rsidR="0094469E" w:rsidRPr="00B56453">
          <w:rPr>
            <w:rFonts w:ascii="Cambria Math" w:hAnsi="Cambria Math" w:cs="Cambria Math"/>
            <w:noProof/>
            <w:lang w:val="en-GB"/>
          </w:rPr>
          <w:t>‐</w:t>
        </w:r>
        <w:r w:rsidR="0094469E" w:rsidRPr="00B56453">
          <w:rPr>
            <w:rFonts w:cs="Times New Roman"/>
            <w:noProof/>
            <w:lang w:val="en-GB"/>
          </w:rPr>
          <w:t>Eaton 2012</w:t>
        </w:r>
      </w:hyperlink>
      <w:r w:rsidRPr="00B56453">
        <w:rPr>
          <w:rFonts w:cs="Times New Roman"/>
          <w:noProof/>
          <w:lang w:val="en-GB"/>
        </w:rPr>
        <w:t xml:space="preserve">; </w:t>
      </w:r>
      <w:hyperlink w:anchor="_ENREF_416" w:tooltip="Van de Ridder, 2015 #211" w:history="1">
        <w:r w:rsidR="0094469E" w:rsidRPr="00B56453">
          <w:rPr>
            <w:rFonts w:cs="Times New Roman"/>
            <w:noProof/>
            <w:lang w:val="en-GB"/>
          </w:rPr>
          <w:t>Van de Ridder et al. 2015</w:t>
        </w:r>
      </w:hyperlink>
      <w:r w:rsidRPr="00B56453">
        <w:rPr>
          <w:rFonts w:cs="Times New Roman"/>
          <w:noProof/>
          <w:lang w:val="en-GB"/>
        </w:rPr>
        <w:t xml:space="preserve">; </w:t>
      </w:r>
      <w:hyperlink w:anchor="_ENREF_402" w:tooltip="Telio, 2016 #616" w:history="1">
        <w:r w:rsidR="0094469E" w:rsidRPr="00B56453">
          <w:rPr>
            <w:rFonts w:cs="Times New Roman"/>
            <w:noProof/>
            <w:lang w:val="en-GB"/>
          </w:rPr>
          <w:t>Telio et al. 2016</w:t>
        </w:r>
      </w:hyperlink>
      <w:r w:rsidRPr="00B56453">
        <w:rPr>
          <w:rFonts w:cs="Times New Roman"/>
          <w:noProof/>
          <w:lang w:val="en-GB"/>
        </w:rPr>
        <w:t>)</w:t>
      </w:r>
      <w:r w:rsidRPr="009C2746">
        <w:rPr>
          <w:rFonts w:cs="Times New Roman"/>
          <w:lang w:val="en-GB"/>
        </w:rPr>
        <w:fldChar w:fldCharType="end"/>
      </w:r>
      <w:r w:rsidRPr="00B56453">
        <w:rPr>
          <w:rFonts w:cs="Times New Roman"/>
          <w:lang w:val="en-GB"/>
        </w:rPr>
        <w:t>. Their model describes a mutual responsibility of the learner, supervisor, and the wider context of feedback in learning from the perspective of the learner.</w:t>
      </w:r>
    </w:p>
    <w:p w14:paraId="69F40024" w14:textId="77777777" w:rsidR="0021662A" w:rsidRPr="00B56453" w:rsidRDefault="0021662A" w:rsidP="0021662A">
      <w:pPr>
        <w:pStyle w:val="Normal1"/>
        <w:rPr>
          <w:lang w:val="en-GB"/>
        </w:rPr>
      </w:pPr>
    </w:p>
    <w:p w14:paraId="50B666DA" w14:textId="1B83C05D" w:rsidR="0021662A" w:rsidRPr="00FD5859" w:rsidRDefault="0021662A" w:rsidP="0021662A">
      <w:pPr>
        <w:pStyle w:val="Normal1"/>
        <w:rPr>
          <w:lang w:val="en-GB"/>
        </w:rPr>
      </w:pPr>
      <w:r w:rsidRPr="00B56453">
        <w:rPr>
          <w:lang w:val="en-GB"/>
        </w:rPr>
        <w:t xml:space="preserve">This concept of a positive two-way relationship where goals were aligned was central to the resulting thematic model and aligned closely to the general principles of the educational alliance. The educational alliance model takes into account the contextual and cultural factors which influence the learner-supervisor relationship with the aim of developing a culture of transparency between the two parties </w:t>
      </w:r>
      <w:r w:rsidRPr="00FD5859">
        <w:rPr>
          <w:lang w:val="en-GB"/>
        </w:rPr>
        <w:fldChar w:fldCharType="begin"/>
      </w:r>
      <w:r w:rsidRPr="00B56453">
        <w:rPr>
          <w:lang w:val="en-GB"/>
        </w:rPr>
        <w:instrText xml:space="preserve"> ADDIN EN.CITE &lt;EndNote&gt;&lt;Cite&gt;&lt;Author&gt;Murdoch-Eaton&lt;/Author&gt;&lt;Year&gt;2017&lt;/Year&gt;&lt;RecNum&gt;710&lt;/RecNum&gt;&lt;DisplayText&gt;(Murdoch-Eaton and Bowen 2017)&lt;/DisplayText&gt;&lt;record&gt;&lt;rec-number&gt;710&lt;/rec-number&gt;&lt;foreign-keys&gt;&lt;key app="EN" db-id="xa2r2ewea92trkef5dt5arvbzafvpv2za5ft" timestamp="1496417569"&gt;710&lt;/key&gt;&lt;/foreign-keys&gt;&lt;ref-type name="Journal Article"&gt;17&lt;/ref-type&gt;&lt;contributors&gt;&lt;authors&gt;&lt;author&gt;Murdoch-Eaton, Deborah&lt;/author&gt;&lt;author&gt;Bowen, Lucy&lt;/author&gt;&lt;/authors&gt;&lt;/contributors&gt;&lt;titles&gt;&lt;title&gt;Feedback mapping–The curricular cornerstone of an “educational alliance”&lt;/title&gt;&lt;secondary-title&gt;Medical Teacher&lt;/secondary-title&gt;&lt;/titles&gt;&lt;periodical&gt;&lt;full-title&gt;Medical teacher&lt;/full-title&gt;&lt;/periodical&gt;&lt;pages&gt;540-547&lt;/pages&gt;&lt;volume&gt;39&lt;/volume&gt;&lt;number&gt;5&lt;/number&gt;&lt;dates&gt;&lt;year&gt;2017&lt;/year&gt;&lt;/dates&gt;&lt;isbn&gt;0142-159X&lt;/isbn&gt;&lt;urls&gt;&lt;/urls&gt;&lt;/record&gt;&lt;/Cite&gt;&lt;/EndNote&gt;</w:instrText>
      </w:r>
      <w:r w:rsidRPr="00B27F0B">
        <w:rPr>
          <w:lang w:val="en-GB"/>
        </w:rPr>
        <w:fldChar w:fldCharType="separate"/>
      </w:r>
      <w:r w:rsidRPr="00FD5859">
        <w:rPr>
          <w:noProof/>
          <w:lang w:val="en-GB"/>
        </w:rPr>
        <w:t>(</w:t>
      </w:r>
      <w:hyperlink w:anchor="_ENREF_292" w:tooltip="Murdoch-Eaton, 2017 #710" w:history="1">
        <w:r w:rsidR="0094469E" w:rsidRPr="00B56453">
          <w:rPr>
            <w:noProof/>
            <w:lang w:val="en-GB"/>
          </w:rPr>
          <w:t>Murdoch-Eaton and Bowen 2017</w:t>
        </w:r>
      </w:hyperlink>
      <w:r w:rsidRPr="00FD5859">
        <w:rPr>
          <w:noProof/>
          <w:lang w:val="en-GB"/>
        </w:rPr>
        <w:t>)</w:t>
      </w:r>
      <w:r w:rsidRPr="00FD5859">
        <w:rPr>
          <w:lang w:val="en-GB"/>
        </w:rPr>
        <w:fldChar w:fldCharType="end"/>
      </w:r>
      <w:r w:rsidRPr="00FD5859">
        <w:rPr>
          <w:lang w:val="en-GB"/>
        </w:rPr>
        <w:t xml:space="preserve">. </w:t>
      </w:r>
      <w:hyperlink w:anchor="_ENREF_51" w:tooltip="Bowen, 2017 #591" w:history="1">
        <w:r w:rsidR="0094469E" w:rsidRPr="00B27F0B">
          <w:rPr>
            <w:lang w:val="en-GB"/>
          </w:rPr>
          <w:fldChar w:fldCharType="begin"/>
        </w:r>
        <w:r w:rsidR="0094469E" w:rsidRPr="00B56453">
          <w:rPr>
            <w:lang w:val="en-GB"/>
          </w:rPr>
          <w:instrText xml:space="preserve"> ADDIN EN.CITE &lt;EndNote&gt;&lt;Cite AuthorYear="1"&gt;&lt;Author&gt;Bowen&lt;/Author&gt;&lt;Year&gt;2017&lt;/Year&gt;&lt;RecNum&gt;591&lt;/RecNum&gt;&lt;DisplayText&gt;Bowen et al. (2017)&lt;/DisplayText&gt;&lt;record&gt;&lt;rec-number&gt;591&lt;/rec-number&gt;&lt;foreign-keys&gt;&lt;key app="EN" db-id="xa2r2ewea92trkef5dt5arvbzafvpv2za5ft" timestamp="1496417558"&gt;591&lt;/key&gt;&lt;/foreign-keys&gt;&lt;ref-type name="Journal Article"&gt;17&lt;/ref-type&gt;&lt;contributors&gt;&lt;authors&gt;&lt;author&gt;Bowen, Lucy&lt;/author&gt;&lt;author&gt;Marshall, Michelle&lt;/author&gt;&lt;author&gt;Murdoch-Eaton, Deborah&lt;/author&gt;&lt;/authors&gt;&lt;/contributors&gt;&lt;titles&gt;&lt;title&gt;Medical Student Perceptions of Feedback and Feedback Behaviors Within the Context of the&amp;quot; Educational Alliance&amp;quot;&lt;/title&gt;&lt;secondary-title&gt;Academic Medicine&lt;/secondary-title&gt;&lt;/titles&gt;&lt;periodical&gt;&lt;full-title&gt;Academic Medicine&lt;/full-title&gt;&lt;/periodical&gt;&lt;dates&gt;&lt;year&gt;2017&lt;/year&gt;&lt;/dates&gt;&lt;isbn&gt;1040-2446&lt;/isbn&gt;&lt;urls&gt;&lt;/urls&gt;&lt;/record&gt;&lt;/Cite&gt;&lt;/EndNote&gt;</w:instrText>
        </w:r>
        <w:r w:rsidR="0094469E" w:rsidRPr="00B27F0B">
          <w:rPr>
            <w:lang w:val="en-GB"/>
          </w:rPr>
          <w:fldChar w:fldCharType="separate"/>
        </w:r>
        <w:r w:rsidR="0094469E" w:rsidRPr="00B56453">
          <w:rPr>
            <w:noProof/>
            <w:lang w:val="en-GB"/>
          </w:rPr>
          <w:t>Bowen et al. (2017)</w:t>
        </w:r>
        <w:r w:rsidR="0094469E" w:rsidRPr="00B27F0B">
          <w:rPr>
            <w:lang w:val="en-GB"/>
          </w:rPr>
          <w:fldChar w:fldCharType="end"/>
        </w:r>
      </w:hyperlink>
      <w:r w:rsidRPr="00FD5859">
        <w:rPr>
          <w:lang w:val="en-GB"/>
        </w:rPr>
        <w:t xml:space="preserve"> in their exploration of feedback behaviours within the educational alliance model also found that the learning culture had a strong impact on all domains of learning behaviours, adding to the emerging evidence of the observable link between context, the educational alliance model, and learning beh</w:t>
      </w:r>
      <w:r w:rsidRPr="00B56453">
        <w:rPr>
          <w:lang w:val="en-GB"/>
        </w:rPr>
        <w:t xml:space="preserve">aviours. One recommendation could be that the wider curriculum be modified to better facilitate educational alliance relationships in clinical learning with the aim of promoting more optimal feedback practices, including SRL facilitation </w:t>
      </w:r>
      <w:r w:rsidRPr="007638B6">
        <w:rPr>
          <w:lang w:val="en-GB"/>
        </w:rPr>
        <w:fldChar w:fldCharType="begin"/>
      </w:r>
      <w:r w:rsidRPr="00B56453">
        <w:rPr>
          <w:lang w:val="en-GB"/>
        </w:rPr>
        <w:instrText xml:space="preserve"> ADDIN EN.CITE &lt;EndNote&gt;&lt;Cite&gt;&lt;Author&gt;Boud&lt;/Author&gt;&lt;Year&gt;2013&lt;/Year&gt;&lt;RecNum&gt;714&lt;/RecNum&gt;&lt;DisplayText&gt;(Boud and Molloy 2013)&lt;/DisplayText&gt;&lt;record&gt;&lt;rec-number&gt;714&lt;/rec-number&gt;&lt;foreign-keys&gt;&lt;key app="EN" db-id="xa2r2ewea92trkef5dt5arvbzafvpv2za5ft" timestamp="1496417569"&gt;714&lt;/key&gt;&lt;/foreign-keys&gt;&lt;ref-type name="Journal Article"&gt;17&lt;/ref-type&gt;&lt;contributors&gt;&lt;authors&gt;&lt;author&gt;Boud, David&lt;/author&gt;&lt;author&gt;Molloy, Elizabeth&lt;/author&gt;&lt;/authors&gt;&lt;/contributors&gt;&lt;titles&gt;&lt;title&gt;Rethinking models of feedback for learning: the challenge of design&lt;/title&gt;&lt;secondary-title&gt;Assessment &amp;amp; Evaluation in Higher Education&lt;/secondary-title&gt;&lt;/titles&gt;&lt;periodical&gt;&lt;full-title&gt;Assessment &amp;amp; Evaluation in Higher Education&lt;/full-title&gt;&lt;/periodical&gt;&lt;pages&gt;698-712&lt;/pages&gt;&lt;volume&gt;38&lt;/volume&gt;&lt;number&gt;6&lt;/number&gt;&lt;dates&gt;&lt;year&gt;2013&lt;/year&gt;&lt;/dates&gt;&lt;isbn&gt;0260-2938&lt;/isbn&gt;&lt;urls&gt;&lt;/urls&gt;&lt;/record&gt;&lt;/Cite&gt;&lt;/EndNote&gt;</w:instrText>
      </w:r>
      <w:r w:rsidRPr="00B27F0B">
        <w:rPr>
          <w:lang w:val="en-GB"/>
        </w:rPr>
        <w:fldChar w:fldCharType="separate"/>
      </w:r>
      <w:r w:rsidRPr="00B56453">
        <w:rPr>
          <w:noProof/>
          <w:lang w:val="en-GB"/>
        </w:rPr>
        <w:t>(</w:t>
      </w:r>
      <w:hyperlink w:anchor="_ENREF_49" w:tooltip="Boud, 2013 #714" w:history="1">
        <w:r w:rsidR="0094469E" w:rsidRPr="00B56453">
          <w:rPr>
            <w:noProof/>
            <w:lang w:val="en-GB"/>
          </w:rPr>
          <w:t>Boud and Molloy 2013</w:t>
        </w:r>
      </w:hyperlink>
      <w:r w:rsidRPr="00B56453">
        <w:rPr>
          <w:noProof/>
          <w:lang w:val="en-GB"/>
        </w:rPr>
        <w:t>)</w:t>
      </w:r>
      <w:r w:rsidRPr="007638B6">
        <w:rPr>
          <w:lang w:val="en-GB"/>
        </w:rPr>
        <w:fldChar w:fldCharType="end"/>
      </w:r>
      <w:r w:rsidRPr="00FD5859">
        <w:rPr>
          <w:lang w:val="en-GB"/>
        </w:rPr>
        <w:t>.</w:t>
      </w:r>
    </w:p>
    <w:p w14:paraId="0094AA1E" w14:textId="77777777" w:rsidR="0021662A" w:rsidRPr="00B56453" w:rsidRDefault="0021662A" w:rsidP="0021662A">
      <w:pPr>
        <w:pStyle w:val="Normal1"/>
        <w:rPr>
          <w:lang w:val="en-GB"/>
        </w:rPr>
      </w:pPr>
    </w:p>
    <w:p w14:paraId="624EEA1B" w14:textId="57214A8E" w:rsidR="00FD5859" w:rsidRDefault="0021662A" w:rsidP="0021662A">
      <w:pPr>
        <w:pStyle w:val="Normal1"/>
        <w:rPr>
          <w:lang w:val="en-GB"/>
        </w:rPr>
      </w:pPr>
      <w:r w:rsidRPr="00B56453">
        <w:rPr>
          <w:lang w:val="en-GB"/>
        </w:rPr>
        <w:t xml:space="preserve">It is important to also mention that these relationships were heavily influenced by the supervisor’s perceived credibility. Although, as evidenced in this research, credibility does not only stem from superficial characteristics like seniority. Learners judged credibility upon a range of factors including how others perceived the supervisor, their motivation to teach, and the quality of their patient communication. Based upon this, </w:t>
      </w:r>
      <w:r w:rsidRPr="00B56453">
        <w:rPr>
          <w:lang w:val="en-GB"/>
        </w:rPr>
        <w:lastRenderedPageBreak/>
        <w:t>medical teachers can aim to improve their credibility in feedback interactions by addressing these factors as well as by working to develop stronger educational relationships with their learners.</w:t>
      </w:r>
    </w:p>
    <w:p w14:paraId="33360167" w14:textId="77777777" w:rsidR="00FD5859" w:rsidRDefault="00FD5859">
      <w:pPr>
        <w:rPr>
          <w:rFonts w:eastAsia="Lucida Sans Unicode" w:cs="Mangal"/>
          <w:kern w:val="1"/>
          <w:szCs w:val="24"/>
          <w:lang w:eastAsia="hi-IN" w:bidi="hi-IN"/>
        </w:rPr>
      </w:pPr>
      <w:r>
        <w:br w:type="page"/>
      </w:r>
    </w:p>
    <w:p w14:paraId="0EA07ECE" w14:textId="32B53792" w:rsidR="00FD5859" w:rsidRDefault="00FD5859" w:rsidP="00B27F0B">
      <w:pPr>
        <w:pStyle w:val="Heading3"/>
      </w:pPr>
      <w:bookmarkStart w:id="497" w:name="_Toc500319469"/>
      <w:r>
        <w:lastRenderedPageBreak/>
        <w:t>D2.9.5 Final summary</w:t>
      </w:r>
      <w:bookmarkEnd w:id="497"/>
    </w:p>
    <w:p w14:paraId="3E2D6B0B" w14:textId="77777777" w:rsidR="00FD5859" w:rsidRDefault="00FD5859" w:rsidP="00FD5859">
      <w:pPr>
        <w:pStyle w:val="Normal1"/>
        <w:rPr>
          <w:lang w:val="en-GB"/>
        </w:rPr>
      </w:pPr>
    </w:p>
    <w:p w14:paraId="39E0A1C3" w14:textId="209387D3" w:rsidR="00FD5859" w:rsidRPr="00CC7C70" w:rsidRDefault="00FD5859" w:rsidP="00FD5859">
      <w:pPr>
        <w:pStyle w:val="Normal1"/>
        <w:rPr>
          <w:lang w:val="en-GB"/>
        </w:rPr>
      </w:pPr>
      <w:r w:rsidRPr="00CC7C70">
        <w:rPr>
          <w:lang w:val="en-GB"/>
        </w:rPr>
        <w:t xml:space="preserve">The purpose of this research was to explore the impact of two feedback giving models informed by SRL and best practice principles on medical undergraduate students’ immediate and longer-term learning strategies, from simulated to </w:t>
      </w:r>
      <w:r w:rsidR="00FD729E">
        <w:rPr>
          <w:lang w:val="en-GB"/>
        </w:rPr>
        <w:t>clinical learning environments.</w:t>
      </w:r>
    </w:p>
    <w:p w14:paraId="79AA8B68" w14:textId="77777777" w:rsidR="00FD5859" w:rsidRPr="00CC7C70" w:rsidRDefault="00FD5859" w:rsidP="00FD5859">
      <w:pPr>
        <w:pStyle w:val="Normal1"/>
        <w:rPr>
          <w:lang w:val="en-GB"/>
        </w:rPr>
      </w:pPr>
    </w:p>
    <w:p w14:paraId="1EB2FF42" w14:textId="090B7600" w:rsidR="00FD5859" w:rsidRPr="00CC7C70" w:rsidRDefault="00FD5859" w:rsidP="00FD5859">
      <w:pPr>
        <w:pStyle w:val="Normal1"/>
        <w:rPr>
          <w:lang w:val="en-GB"/>
        </w:rPr>
      </w:pPr>
      <w:r w:rsidRPr="00CC7C70">
        <w:rPr>
          <w:lang w:val="en-GB"/>
        </w:rPr>
        <w:t xml:space="preserve">After identifying a clear need for SRL support in undergraduate medical training, particularly in clinical skills, an intervention using SRL MA to deliver SRLF was designed and piloted. This method was based on Zimmerman’s model of SRL and implemented the recommendations of </w:t>
      </w:r>
      <w:hyperlink w:anchor="_ENREF_184" w:tooltip="Hattie, 2007 #109" w:history="1">
        <w:r w:rsidRPr="00CC7C70">
          <w:rPr>
            <w:lang w:val="en-GB"/>
          </w:rPr>
          <w:fldChar w:fldCharType="begin"/>
        </w:r>
        <w:r w:rsidRPr="00CC7C70">
          <w:rPr>
            <w:lang w:val="en-GB"/>
          </w:rPr>
          <w:instrText xml:space="preserve"> ADDIN EN.CITE &lt;EndNote&gt;&lt;Cite AuthorYear="1"&gt;&lt;Author&gt;Hattie&lt;/Author&gt;&lt;Year&gt;2007&lt;/Year&gt;&lt;RecNum&gt;109&lt;/RecNum&gt;&lt;DisplayText&gt;Hattie and Timperley (2007)&lt;/DisplayText&gt;&lt;record&gt;&lt;rec-number&gt;109&lt;/rec-number&gt;&lt;foreign-keys&gt;&lt;key app="EN" db-id="xa2r2ewea92trkef5dt5arvbzafvpv2za5ft" timestamp="1442161764"&gt;109&lt;/key&gt;&lt;/foreign-keys&gt;&lt;ref-type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research&lt;/secondary-title&gt;&lt;/titles&gt;&lt;periodical&gt;&lt;full-title&gt;Review of educational research&lt;/full-title&gt;&lt;/periodical&gt;&lt;pages&gt;81-112&lt;/pages&gt;&lt;volume&gt;77&lt;/volume&gt;&lt;number&gt;1&lt;/number&gt;&lt;dates&gt;&lt;year&gt;2007&lt;/year&gt;&lt;/dates&gt;&lt;publisher&gt;Sage Publications&lt;/publisher&gt;&lt;urls&gt;&lt;/urls&gt;&lt;/record&gt;&lt;/Cite&gt;&lt;/EndNote&gt;</w:instrText>
        </w:r>
        <w:r w:rsidRPr="00CC7C70">
          <w:rPr>
            <w:lang w:val="en-GB"/>
          </w:rPr>
          <w:fldChar w:fldCharType="separate"/>
        </w:r>
        <w:r w:rsidRPr="00CC7C70">
          <w:rPr>
            <w:noProof/>
            <w:lang w:val="en-GB"/>
          </w:rPr>
          <w:t>Hattie and Timperley (2007)</w:t>
        </w:r>
        <w:r w:rsidRPr="00CC7C70">
          <w:rPr>
            <w:lang w:val="en-GB"/>
          </w:rPr>
          <w:fldChar w:fldCharType="end"/>
        </w:r>
      </w:hyperlink>
      <w:r w:rsidRPr="00CC7C70">
        <w:rPr>
          <w:lang w:val="en-GB"/>
        </w:rPr>
        <w:t xml:space="preserve"> and others </w:t>
      </w:r>
      <w:r w:rsidRPr="00CC7C70">
        <w:rPr>
          <w:lang w:val="en-GB"/>
        </w:rPr>
        <w:fldChar w:fldCharType="begin"/>
      </w:r>
      <w:r w:rsidRPr="00CC7C70">
        <w:rPr>
          <w:lang w:val="en-GB"/>
        </w:rPr>
        <w:instrText xml:space="preserve"> ADDIN EN.CITE &lt;EndNote&gt;&lt;Cite&gt;&lt;Author&gt;Brydges&lt;/Author&gt;&lt;Year&gt;2015&lt;/Year&gt;&lt;RecNum&gt;296&lt;/RecNum&gt;&lt;DisplayText&gt;(Brydges et al. 2015; Cleary et al. 2016)&lt;/DisplayText&gt;&lt;record&gt;&lt;rec-number&gt;296&lt;/rec-number&gt;&lt;foreign-keys&gt;&lt;key app="EN" db-id="xa2r2ewea92trkef5dt5arvbzafvpv2za5ft" timestamp="1496417531"&gt;296&lt;/key&gt;&lt;/foreign-keys&gt;&lt;ref-type name="Journal Article"&gt;17&lt;/ref-type&gt;&lt;contributors&gt;&lt;authors&gt;&lt;author&gt;Brydges, Ryan&lt;/author&gt;&lt;author&gt;Manzone, Julian&lt;/author&gt;&lt;author&gt;Shanks, David&lt;/author&gt;&lt;author&gt;Hatala, Rose&lt;/author&gt;&lt;author&gt;Hamstra, Stanley J.&lt;/author&gt;&lt;author&gt;Zendejas, Benjamin&lt;/author&gt;&lt;author&gt;Cook, David A.&lt;/author&gt;&lt;/authors&gt;&lt;/contributors&gt;&lt;titles&gt;&lt;title&gt;Self</w:instrText>
      </w:r>
      <w:r w:rsidRPr="00CC7C70">
        <w:rPr>
          <w:rFonts w:ascii="Cambria Math" w:hAnsi="Cambria Math" w:cs="Cambria Math"/>
          <w:lang w:val="en-GB"/>
        </w:rPr>
        <w:instrText>‐</w:instrText>
      </w:r>
      <w:r w:rsidRPr="00CC7C70">
        <w:rPr>
          <w:lang w:val="en-GB"/>
        </w:rPr>
        <w:instrText>regulated learning in simulation</w:instrText>
      </w:r>
      <w:r w:rsidRPr="00CC7C70">
        <w:rPr>
          <w:rFonts w:ascii="Cambria Math" w:hAnsi="Cambria Math" w:cs="Cambria Math"/>
          <w:lang w:val="en-GB"/>
        </w:rPr>
        <w:instrText>‐</w:instrText>
      </w:r>
      <w:r w:rsidRPr="00CC7C70">
        <w:rPr>
          <w:lang w:val="en-GB"/>
        </w:rPr>
        <w:instrText>based training: a systematic review and meta</w:instrText>
      </w:r>
      <w:r w:rsidRPr="00CC7C70">
        <w:rPr>
          <w:rFonts w:ascii="Cambria Math" w:hAnsi="Cambria Math" w:cs="Cambria Math"/>
          <w:lang w:val="en-GB"/>
        </w:rPr>
        <w:instrText>‐</w:instrText>
      </w:r>
      <w:r w:rsidRPr="00CC7C70">
        <w:rPr>
          <w:lang w:val="en-GB"/>
        </w:rPr>
        <w:instrText>analysis&lt;/title&gt;&lt;secondary-title&gt;Medical education&lt;/secondary-title&gt;&lt;/titles&gt;&lt;periodical&gt;&lt;full-title&gt;Medical education&lt;/full-title&gt;&lt;/periodical&gt;&lt;pages&gt;368-378&lt;/pages&gt;&lt;volume&gt;49&lt;/volume&gt;&lt;number&gt;4&lt;/number&gt;&lt;dates&gt;&lt;year&gt;2015&lt;/year&gt;&lt;/dates&gt;&lt;publisher&gt;Wiley Online Library&lt;/publisher&gt;&lt;urls&gt;&lt;related-urls&gt;&lt;url&gt;http://onlinelibrary.wiley.com/doi/10.1111/medu.12649/abstract&lt;/url&gt;&lt;/related-urls&gt;&lt;/urls&gt;&lt;/record&gt;&lt;/Cite&gt;&lt;Cite&gt;&lt;Author&gt;Cleary&lt;/Author&gt;&lt;Year&gt;2016&lt;/Year&gt;&lt;RecNum&gt;605&lt;/RecNum&gt;&lt;record&gt;&lt;rec-number&gt;605&lt;/rec-number&gt;&lt;foreign-keys&gt;&lt;key app="EN" db-id="xa2r2ewea92trkef5dt5arvbzafvpv2za5ft" timestamp="1496417559"&gt;605&lt;/key&gt;&lt;/foreign-keys&gt;&lt;ref-type name="Journal Article"&gt;17&lt;/ref-type&gt;&lt;contributors&gt;&lt;authors&gt;&lt;author&gt;Cleary, Timothy J&lt;/author&gt;&lt;author&gt;Durning, Steven J&lt;/author&gt;&lt;author&gt;Artino Jr, Anthony R&lt;/author&gt;&lt;/authors&gt;&lt;/contributors&gt;&lt;titles&gt;&lt;title&gt;Microanalytic Assessment of Self-Regulated Learning During Clinical Reasoning Tasks: Recent Developments and Next Steps&lt;/title&gt;&lt;secondary-title&gt;Academic Medicine&lt;/secondary-title&gt;&lt;/titles&gt;&lt;periodical&gt;&lt;full-title&gt;Academic Medicine&lt;/full-title&gt;&lt;/periodical&gt;&lt;pages&gt;1516-1521&lt;/pages&gt;&lt;volume&gt;91&lt;/volume&gt;&lt;number&gt;11&lt;/number&gt;&lt;dates&gt;&lt;year&gt;2016&lt;/year&gt;&lt;/dates&gt;&lt;isbn&gt;1040-2446&lt;/isbn&gt;&lt;urls&gt;&lt;/urls&gt;&lt;/record&gt;&lt;/Cite&gt;&lt;/EndNote&gt;</w:instrText>
      </w:r>
      <w:r w:rsidRPr="00CC7C70">
        <w:rPr>
          <w:lang w:val="en-GB"/>
        </w:rPr>
        <w:fldChar w:fldCharType="separate"/>
      </w:r>
      <w:r w:rsidRPr="00CC7C70">
        <w:rPr>
          <w:noProof/>
          <w:lang w:val="en-GB"/>
        </w:rPr>
        <w:t>(</w:t>
      </w:r>
      <w:hyperlink w:anchor="_ENREF_56" w:tooltip="Brydges, 2015 #18" w:history="1">
        <w:r w:rsidRPr="00CC7C70">
          <w:rPr>
            <w:noProof/>
            <w:lang w:val="en-GB"/>
          </w:rPr>
          <w:t>Brydges et al. 2015</w:t>
        </w:r>
      </w:hyperlink>
      <w:r w:rsidRPr="00CC7C70">
        <w:rPr>
          <w:noProof/>
          <w:lang w:val="en-GB"/>
        </w:rPr>
        <w:t xml:space="preserve">; </w:t>
      </w:r>
      <w:hyperlink w:anchor="_ENREF_86" w:tooltip="Cleary, 2016 #605" w:history="1">
        <w:r w:rsidRPr="00CC7C70">
          <w:rPr>
            <w:noProof/>
            <w:lang w:val="en-GB"/>
          </w:rPr>
          <w:t>Cleary et al. 2016</w:t>
        </w:r>
      </w:hyperlink>
      <w:r w:rsidRPr="00CC7C70">
        <w:rPr>
          <w:noProof/>
          <w:lang w:val="en-GB"/>
        </w:rPr>
        <w:t>)</w:t>
      </w:r>
      <w:r w:rsidRPr="00CC7C70">
        <w:rPr>
          <w:lang w:val="en-GB"/>
        </w:rPr>
        <w:fldChar w:fldCharType="end"/>
      </w:r>
      <w:r w:rsidRPr="00CC7C70">
        <w:rPr>
          <w:lang w:val="en-GB"/>
        </w:rPr>
        <w:t xml:space="preserve"> who called for SRL support through targeted feedback. After recruitment of clinical skills teachers, the faculty development intervention was successfully implemented within authentic clinical skills teaching settings. A cohort of students was randomly allocated to receive SRLF or BPF.</w:t>
      </w:r>
    </w:p>
    <w:p w14:paraId="53F73ECC" w14:textId="77777777" w:rsidR="00FD5859" w:rsidRPr="00CC7C70" w:rsidRDefault="00FD5859" w:rsidP="00FD5859">
      <w:pPr>
        <w:pStyle w:val="Normal1"/>
        <w:rPr>
          <w:lang w:val="en-GB"/>
        </w:rPr>
      </w:pPr>
    </w:p>
    <w:p w14:paraId="4F30FE50" w14:textId="77777777" w:rsidR="00FD5859" w:rsidRPr="00CC7C70" w:rsidRDefault="00FD5859" w:rsidP="00FD5859">
      <w:pPr>
        <w:pStyle w:val="Normal1"/>
        <w:rPr>
          <w:lang w:val="en-GB"/>
        </w:rPr>
      </w:pPr>
      <w:r w:rsidRPr="00CC7C70">
        <w:rPr>
          <w:lang w:val="en-GB"/>
        </w:rPr>
        <w:t>The teachers who delivered the two feedback models reported that their feedback giving behaviours were influenced by their conceptualisations of feedback and that practice changes only occurred when these were challenged. Teachers who used the SRLF model found it to be an accessible and feasible method of feedback giving in authentic teaching settings. Survey data showed that students who had received SRLF reported significantly higher perceived levels of SRL and self-efficacy than students who had received BPF both immediately after the teaching and after clinical placements. The SSRQ tool was successfully validated to support these findings. Whilst on clinical placement, students in the SRLF group reported that they engaged in more positive SRL behaviours related to their confidence, planning and monitoring, and self-evaluation.</w:t>
      </w:r>
    </w:p>
    <w:p w14:paraId="2599139D" w14:textId="77777777" w:rsidR="00FD5859" w:rsidRPr="00CC7C70" w:rsidRDefault="00FD5859" w:rsidP="00FD5859">
      <w:pPr>
        <w:pStyle w:val="Normal1"/>
        <w:rPr>
          <w:lang w:val="en-GB"/>
        </w:rPr>
      </w:pPr>
    </w:p>
    <w:p w14:paraId="7C922B9F" w14:textId="6B15E3D3" w:rsidR="00FD5859" w:rsidRPr="00CC7C70" w:rsidRDefault="00FD729E" w:rsidP="00FD5859">
      <w:pPr>
        <w:pStyle w:val="Normal1"/>
        <w:rPr>
          <w:lang w:val="en-GB"/>
        </w:rPr>
      </w:pPr>
      <w:r w:rsidRPr="00FD729E">
        <w:rPr>
          <w:lang w:val="en-GB"/>
        </w:rPr>
        <w:t xml:space="preserve">The original objectives was to develop a new feedback giving model focusing on enhancing SRL and to evaluate it’s use and impact – this was </w:t>
      </w:r>
      <w:r w:rsidR="00387F79" w:rsidRPr="00FD729E">
        <w:rPr>
          <w:lang w:val="en-GB"/>
        </w:rPr>
        <w:t>achieved.</w:t>
      </w:r>
      <w:r>
        <w:rPr>
          <w:lang w:val="en-GB"/>
        </w:rPr>
        <w:t xml:space="preserve"> </w:t>
      </w:r>
      <w:r w:rsidR="00FD5859" w:rsidRPr="00CC7C70">
        <w:rPr>
          <w:lang w:val="en-GB"/>
        </w:rPr>
        <w:t>This research has contributed to the current body of knowledge on SRL and feedback in the medical education and wider educational fields. It is the first to combine SRL and feedback in authentic teaching settings and to explore how SRL support transfers across contexts and time.</w:t>
      </w:r>
    </w:p>
    <w:p w14:paraId="4E2406AF" w14:textId="77777777" w:rsidR="0021662A" w:rsidRPr="00FD5859" w:rsidRDefault="0021662A" w:rsidP="0021662A">
      <w:pPr>
        <w:pStyle w:val="Normal1"/>
        <w:rPr>
          <w:lang w:val="en-GB"/>
        </w:rPr>
      </w:pPr>
    </w:p>
    <w:p w14:paraId="08780A45" w14:textId="77777777" w:rsidR="0021662A" w:rsidRPr="003726FE" w:rsidRDefault="0021662A" w:rsidP="0021662A">
      <w:pPr>
        <w:pStyle w:val="Normal1"/>
        <w:rPr>
          <w:lang w:val="en-GB"/>
        </w:rPr>
      </w:pPr>
      <w:r w:rsidRPr="003726FE">
        <w:rPr>
          <w:lang w:val="en-GB"/>
        </w:rPr>
        <w:br w:type="page"/>
      </w:r>
    </w:p>
    <w:p w14:paraId="75BCBB60" w14:textId="3D7FFFD8" w:rsidR="004D2A4D" w:rsidRPr="003726FE" w:rsidRDefault="004D2A4D" w:rsidP="00426FCB">
      <w:pPr>
        <w:pStyle w:val="Heading1"/>
      </w:pPr>
      <w:bookmarkStart w:id="498" w:name="_Toc487456857"/>
      <w:bookmarkStart w:id="499" w:name="_Toc487811237"/>
      <w:bookmarkStart w:id="500" w:name="_Toc488147580"/>
      <w:bookmarkStart w:id="501" w:name="_Toc488309192"/>
      <w:bookmarkStart w:id="502" w:name="_Toc488930154"/>
      <w:bookmarkStart w:id="503" w:name="_Toc489017368"/>
      <w:bookmarkStart w:id="504" w:name="_Toc489447722"/>
      <w:bookmarkStart w:id="505" w:name="_Toc490650207"/>
      <w:bookmarkStart w:id="506" w:name="_Toc500319470"/>
      <w:bookmarkStart w:id="507" w:name="_Toc500319569"/>
      <w:bookmarkEnd w:id="468"/>
      <w:bookmarkEnd w:id="469"/>
      <w:bookmarkEnd w:id="470"/>
      <w:bookmarkEnd w:id="471"/>
      <w:bookmarkEnd w:id="472"/>
      <w:bookmarkEnd w:id="473"/>
      <w:bookmarkEnd w:id="474"/>
      <w:r w:rsidRPr="003726FE">
        <w:lastRenderedPageBreak/>
        <w:t>References</w:t>
      </w:r>
      <w:bookmarkEnd w:id="498"/>
      <w:bookmarkEnd w:id="499"/>
      <w:bookmarkEnd w:id="500"/>
      <w:bookmarkEnd w:id="501"/>
      <w:bookmarkEnd w:id="502"/>
      <w:bookmarkEnd w:id="503"/>
      <w:bookmarkEnd w:id="504"/>
      <w:bookmarkEnd w:id="505"/>
      <w:bookmarkEnd w:id="506"/>
      <w:bookmarkEnd w:id="507"/>
    </w:p>
    <w:p w14:paraId="646D3E4B" w14:textId="77777777" w:rsidR="00A13542" w:rsidRPr="0094469E" w:rsidRDefault="00A13542" w:rsidP="0094469E">
      <w:pPr>
        <w:pStyle w:val="Normal1"/>
        <w:spacing w:line="240" w:lineRule="auto"/>
        <w:rPr>
          <w:rFonts w:cs="Times New Roman"/>
          <w:lang w:val="en-GB"/>
        </w:rPr>
      </w:pPr>
    </w:p>
    <w:p w14:paraId="383ED489" w14:textId="187E42C9" w:rsidR="0094469E" w:rsidRPr="0094469E" w:rsidRDefault="00A13542" w:rsidP="0094469E">
      <w:pPr>
        <w:pStyle w:val="EndNoteBibliography"/>
        <w:spacing w:line="360" w:lineRule="auto"/>
        <w:rPr>
          <w:rFonts w:ascii="Times New Roman" w:hAnsi="Times New Roman" w:cs="Times New Roman"/>
          <w:sz w:val="24"/>
          <w:szCs w:val="24"/>
        </w:rPr>
      </w:pPr>
      <w:r w:rsidRPr="0094469E">
        <w:rPr>
          <w:rFonts w:ascii="Times New Roman" w:hAnsi="Times New Roman" w:cs="Times New Roman"/>
          <w:sz w:val="24"/>
          <w:szCs w:val="24"/>
          <w:lang w:val="en-GB"/>
        </w:rPr>
        <w:fldChar w:fldCharType="begin"/>
      </w:r>
      <w:r w:rsidRPr="0094469E">
        <w:rPr>
          <w:rFonts w:ascii="Times New Roman" w:hAnsi="Times New Roman" w:cs="Times New Roman"/>
          <w:sz w:val="24"/>
          <w:szCs w:val="24"/>
          <w:lang w:val="en-GB"/>
        </w:rPr>
        <w:instrText xml:space="preserve"> ADDIN EN.REFLIST </w:instrText>
      </w:r>
      <w:r w:rsidRPr="0094469E">
        <w:rPr>
          <w:rFonts w:ascii="Times New Roman" w:hAnsi="Times New Roman" w:cs="Times New Roman"/>
          <w:sz w:val="24"/>
          <w:szCs w:val="24"/>
          <w:lang w:val="en-GB"/>
        </w:rPr>
        <w:fldChar w:fldCharType="separate"/>
      </w:r>
      <w:bookmarkStart w:id="508" w:name="_ENREF_1"/>
      <w:r w:rsidR="0094469E" w:rsidRPr="0094469E">
        <w:rPr>
          <w:rFonts w:ascii="Times New Roman" w:hAnsi="Times New Roman" w:cs="Times New Roman"/>
          <w:sz w:val="24"/>
          <w:szCs w:val="24"/>
        </w:rPr>
        <w:t xml:space="preserve">Al-Elq, A. H. (2010). Simulation-based medical teaching and learning. </w:t>
      </w:r>
      <w:r w:rsidR="00ED770A" w:rsidRPr="0094469E">
        <w:rPr>
          <w:rFonts w:ascii="Times New Roman" w:hAnsi="Times New Roman" w:cs="Times New Roman"/>
          <w:i/>
          <w:sz w:val="24"/>
          <w:szCs w:val="24"/>
        </w:rPr>
        <w:t>Journal of family and community medicine</w:t>
      </w:r>
      <w:r w:rsidR="0094469E" w:rsidRPr="0094469E">
        <w:rPr>
          <w:rFonts w:ascii="Times New Roman" w:hAnsi="Times New Roman" w:cs="Times New Roman"/>
          <w:i/>
          <w:sz w:val="24"/>
          <w:szCs w:val="24"/>
        </w:rPr>
        <w:t xml:space="preserve">, </w:t>
      </w:r>
      <w:r w:rsidR="0094469E" w:rsidRPr="0094469E">
        <w:rPr>
          <w:rFonts w:ascii="Times New Roman" w:hAnsi="Times New Roman" w:cs="Times New Roman"/>
          <w:b/>
          <w:sz w:val="24"/>
          <w:szCs w:val="24"/>
        </w:rPr>
        <w:t>17</w:t>
      </w:r>
      <w:r w:rsidR="0094469E" w:rsidRPr="0094469E">
        <w:rPr>
          <w:rFonts w:ascii="Times New Roman" w:hAnsi="Times New Roman" w:cs="Times New Roman"/>
          <w:sz w:val="24"/>
          <w:szCs w:val="24"/>
        </w:rPr>
        <w:t>(1), 35.</w:t>
      </w:r>
      <w:bookmarkEnd w:id="508"/>
    </w:p>
    <w:p w14:paraId="386D3F48" w14:textId="17BFE0A4" w:rsidR="0094469E" w:rsidRPr="0094469E" w:rsidRDefault="0094469E" w:rsidP="0094469E">
      <w:pPr>
        <w:pStyle w:val="EndNoteBibliography"/>
        <w:spacing w:line="360" w:lineRule="auto"/>
        <w:rPr>
          <w:rFonts w:ascii="Times New Roman" w:hAnsi="Times New Roman" w:cs="Times New Roman"/>
          <w:sz w:val="24"/>
          <w:szCs w:val="24"/>
        </w:rPr>
      </w:pPr>
      <w:bookmarkStart w:id="509" w:name="_ENREF_2"/>
      <w:r w:rsidRPr="0094469E">
        <w:rPr>
          <w:rFonts w:ascii="Times New Roman" w:hAnsi="Times New Roman" w:cs="Times New Roman"/>
          <w:sz w:val="24"/>
          <w:szCs w:val="24"/>
        </w:rPr>
        <w:t xml:space="preserve">Andrews, M. A., Kelly, W. F., and DeZee, K. J. (2017). Why Does This Learner Perform Poorly on Tests? Using Self-Regulated Learning Theory to Diagnose the Problem and Implement Solutions. </w:t>
      </w:r>
      <w:r w:rsidRPr="0094469E">
        <w:rPr>
          <w:rFonts w:ascii="Times New Roman" w:hAnsi="Times New Roman" w:cs="Times New Roman"/>
          <w:i/>
          <w:sz w:val="24"/>
          <w:szCs w:val="24"/>
        </w:rPr>
        <w:t xml:space="preserve">Academic </w:t>
      </w:r>
      <w:r w:rsidR="00ED770A">
        <w:rPr>
          <w:rFonts w:ascii="Times New Roman" w:hAnsi="Times New Roman" w:cs="Times New Roman"/>
          <w:i/>
          <w:sz w:val="24"/>
          <w:szCs w:val="24"/>
        </w:rPr>
        <w:t>m</w:t>
      </w:r>
      <w:r w:rsidR="00ED770A" w:rsidRPr="0094469E">
        <w:rPr>
          <w:rFonts w:ascii="Times New Roman" w:hAnsi="Times New Roman" w:cs="Times New Roman"/>
          <w:i/>
          <w:sz w:val="24"/>
          <w:szCs w:val="24"/>
        </w:rPr>
        <w:t>edicine</w:t>
      </w:r>
      <w:r w:rsidRPr="0094469E">
        <w:rPr>
          <w:rFonts w:ascii="Times New Roman" w:hAnsi="Times New Roman" w:cs="Times New Roman"/>
          <w:sz w:val="24"/>
          <w:szCs w:val="24"/>
        </w:rPr>
        <w:t>.</w:t>
      </w:r>
      <w:bookmarkEnd w:id="509"/>
    </w:p>
    <w:p w14:paraId="73278BB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0" w:name="_ENREF_3"/>
      <w:r w:rsidRPr="0094469E">
        <w:rPr>
          <w:rFonts w:ascii="Times New Roman" w:hAnsi="Times New Roman" w:cs="Times New Roman"/>
          <w:sz w:val="24"/>
          <w:szCs w:val="24"/>
        </w:rPr>
        <w:t xml:space="preserve">Apatira, L., Boyd, E. A., Malvar, G., Evans, L. R., Luce, J. M., Lo, B., and White, D. B. (2008). Hope, truth, and preparing for death: perspectives of surrogate decision makers. </w:t>
      </w:r>
      <w:r w:rsidRPr="0094469E">
        <w:rPr>
          <w:rFonts w:ascii="Times New Roman" w:hAnsi="Times New Roman" w:cs="Times New Roman"/>
          <w:i/>
          <w:sz w:val="24"/>
          <w:szCs w:val="24"/>
        </w:rPr>
        <w:t xml:space="preserve">Annals of internal medicine, </w:t>
      </w:r>
      <w:r w:rsidRPr="0094469E">
        <w:rPr>
          <w:rFonts w:ascii="Times New Roman" w:hAnsi="Times New Roman" w:cs="Times New Roman"/>
          <w:b/>
          <w:sz w:val="24"/>
          <w:szCs w:val="24"/>
        </w:rPr>
        <w:t>149</w:t>
      </w:r>
      <w:r w:rsidRPr="0094469E">
        <w:rPr>
          <w:rFonts w:ascii="Times New Roman" w:hAnsi="Times New Roman" w:cs="Times New Roman"/>
          <w:sz w:val="24"/>
          <w:szCs w:val="24"/>
        </w:rPr>
        <w:t>(12), 861-868.</w:t>
      </w:r>
      <w:bookmarkEnd w:id="510"/>
    </w:p>
    <w:p w14:paraId="5F68EE6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1" w:name="_ENREF_4"/>
      <w:r w:rsidRPr="0094469E">
        <w:rPr>
          <w:rFonts w:ascii="Times New Roman" w:hAnsi="Times New Roman" w:cs="Times New Roman"/>
          <w:sz w:val="24"/>
          <w:szCs w:val="24"/>
        </w:rPr>
        <w:t xml:space="preserve">Archer, J. C. (2010). State of the science in health professional education: effective feedback.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44</w:t>
      </w:r>
      <w:r w:rsidRPr="0094469E">
        <w:rPr>
          <w:rFonts w:ascii="Times New Roman" w:hAnsi="Times New Roman" w:cs="Times New Roman"/>
          <w:sz w:val="24"/>
          <w:szCs w:val="24"/>
        </w:rPr>
        <w:t>(1), 101-108.</w:t>
      </w:r>
      <w:bookmarkEnd w:id="511"/>
    </w:p>
    <w:p w14:paraId="7852449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2" w:name="_ENREF_5"/>
      <w:r w:rsidRPr="0094469E">
        <w:rPr>
          <w:rFonts w:ascii="Times New Roman" w:hAnsi="Times New Roman" w:cs="Times New Roman"/>
          <w:sz w:val="24"/>
          <w:szCs w:val="24"/>
        </w:rPr>
        <w:t xml:space="preserve">Argyris, C. (1980). </w:t>
      </w:r>
      <w:r w:rsidRPr="0094469E">
        <w:rPr>
          <w:rFonts w:ascii="Times New Roman" w:hAnsi="Times New Roman" w:cs="Times New Roman"/>
          <w:i/>
          <w:sz w:val="24"/>
          <w:szCs w:val="24"/>
        </w:rPr>
        <w:t>Inner contradictions of rigorous research</w:t>
      </w:r>
      <w:r w:rsidRPr="0094469E">
        <w:rPr>
          <w:rFonts w:ascii="Times New Roman" w:hAnsi="Times New Roman" w:cs="Times New Roman"/>
          <w:sz w:val="24"/>
          <w:szCs w:val="24"/>
        </w:rPr>
        <w:t>. New York: Academic Press.</w:t>
      </w:r>
      <w:bookmarkEnd w:id="512"/>
    </w:p>
    <w:p w14:paraId="166EAC3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3" w:name="_ENREF_6"/>
      <w:r w:rsidRPr="0094469E">
        <w:rPr>
          <w:rFonts w:ascii="Times New Roman" w:hAnsi="Times New Roman" w:cs="Times New Roman"/>
          <w:sz w:val="24"/>
          <w:szCs w:val="24"/>
        </w:rPr>
        <w:t xml:space="preserve">Argyris, C., and Schon, D. A. (1974). </w:t>
      </w:r>
      <w:r w:rsidRPr="0094469E">
        <w:rPr>
          <w:rFonts w:ascii="Times New Roman" w:hAnsi="Times New Roman" w:cs="Times New Roman"/>
          <w:i/>
          <w:sz w:val="24"/>
          <w:szCs w:val="24"/>
        </w:rPr>
        <w:t>Theory in practice: Increasing professional effectiveness</w:t>
      </w:r>
      <w:r w:rsidRPr="0094469E">
        <w:rPr>
          <w:rFonts w:ascii="Times New Roman" w:hAnsi="Times New Roman" w:cs="Times New Roman"/>
          <w:sz w:val="24"/>
          <w:szCs w:val="24"/>
        </w:rPr>
        <w:t>: Jossey-Bass.</w:t>
      </w:r>
      <w:bookmarkEnd w:id="513"/>
    </w:p>
    <w:p w14:paraId="22135A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4" w:name="_ENREF_7"/>
      <w:r w:rsidRPr="0094469E">
        <w:rPr>
          <w:rFonts w:ascii="Times New Roman" w:hAnsi="Times New Roman" w:cs="Times New Roman"/>
          <w:sz w:val="24"/>
          <w:szCs w:val="24"/>
        </w:rPr>
        <w:t>Artino Jr, A. R., Brydges, R., and Gruppen, L. D. (Eds.). (2015) Researching Medical Education.</w:t>
      </w:r>
      <w:bookmarkEnd w:id="514"/>
    </w:p>
    <w:p w14:paraId="1748529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5" w:name="_ENREF_8"/>
      <w:r w:rsidRPr="0094469E">
        <w:rPr>
          <w:rFonts w:ascii="Times New Roman" w:hAnsi="Times New Roman" w:cs="Times New Roman"/>
          <w:sz w:val="24"/>
          <w:szCs w:val="24"/>
        </w:rPr>
        <w:t>Artino Jr, A. R., Cleary, T. J., Dong, T., Hemmer, P. A., and Durning, S. J. (2014a). Exploring clinical reasoning in novices: a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regulated learning microanalytic assessment approach.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48</w:t>
      </w:r>
      <w:r w:rsidRPr="0094469E">
        <w:rPr>
          <w:rFonts w:ascii="Times New Roman" w:hAnsi="Times New Roman" w:cs="Times New Roman"/>
          <w:sz w:val="24"/>
          <w:szCs w:val="24"/>
        </w:rPr>
        <w:t>(3), 280-291.</w:t>
      </w:r>
      <w:bookmarkEnd w:id="515"/>
    </w:p>
    <w:p w14:paraId="7409588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6" w:name="_ENREF_9"/>
      <w:r w:rsidRPr="0094469E">
        <w:rPr>
          <w:rFonts w:ascii="Times New Roman" w:hAnsi="Times New Roman" w:cs="Times New Roman"/>
          <w:sz w:val="24"/>
          <w:szCs w:val="24"/>
        </w:rPr>
        <w:t xml:space="preserve">Artino Jr, A. R., La Rochelle, J. S., Dezee, K. J., and Gehlbach, H. (2014b). Developing questionnaires for educational research: AMEE Guide No. 87.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36</w:t>
      </w:r>
      <w:r w:rsidRPr="0094469E">
        <w:rPr>
          <w:rFonts w:ascii="Times New Roman" w:hAnsi="Times New Roman" w:cs="Times New Roman"/>
          <w:sz w:val="24"/>
          <w:szCs w:val="24"/>
        </w:rPr>
        <w:t>(6), 463-474.</w:t>
      </w:r>
      <w:bookmarkEnd w:id="516"/>
    </w:p>
    <w:p w14:paraId="620F665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7" w:name="_ENREF_10"/>
      <w:r w:rsidRPr="0094469E">
        <w:rPr>
          <w:rFonts w:ascii="Times New Roman" w:hAnsi="Times New Roman" w:cs="Times New Roman"/>
          <w:sz w:val="24"/>
          <w:szCs w:val="24"/>
        </w:rPr>
        <w:t xml:space="preserve">Atkinson, P. (1997). Narrative turn or blind alley? </w:t>
      </w:r>
      <w:r w:rsidRPr="0094469E">
        <w:rPr>
          <w:rFonts w:ascii="Times New Roman" w:hAnsi="Times New Roman" w:cs="Times New Roman"/>
          <w:i/>
          <w:sz w:val="24"/>
          <w:szCs w:val="24"/>
        </w:rPr>
        <w:t xml:space="preserve">Qualitative health research, </w:t>
      </w:r>
      <w:r w:rsidRPr="0094469E">
        <w:rPr>
          <w:rFonts w:ascii="Times New Roman" w:hAnsi="Times New Roman" w:cs="Times New Roman"/>
          <w:b/>
          <w:sz w:val="24"/>
          <w:szCs w:val="24"/>
        </w:rPr>
        <w:t>7</w:t>
      </w:r>
      <w:r w:rsidRPr="0094469E">
        <w:rPr>
          <w:rFonts w:ascii="Times New Roman" w:hAnsi="Times New Roman" w:cs="Times New Roman"/>
          <w:sz w:val="24"/>
          <w:szCs w:val="24"/>
        </w:rPr>
        <w:t>(3), 325-344.</w:t>
      </w:r>
      <w:bookmarkEnd w:id="517"/>
    </w:p>
    <w:p w14:paraId="5F7E5847" w14:textId="3719B9C9" w:rsidR="0094469E" w:rsidRPr="0094469E" w:rsidRDefault="0094469E" w:rsidP="0094469E">
      <w:pPr>
        <w:pStyle w:val="EndNoteBibliography"/>
        <w:spacing w:line="360" w:lineRule="auto"/>
        <w:rPr>
          <w:rFonts w:ascii="Times New Roman" w:hAnsi="Times New Roman" w:cs="Times New Roman"/>
          <w:sz w:val="24"/>
          <w:szCs w:val="24"/>
        </w:rPr>
      </w:pPr>
      <w:bookmarkStart w:id="518" w:name="_ENREF_11"/>
      <w:r w:rsidRPr="0094469E">
        <w:rPr>
          <w:rFonts w:ascii="Times New Roman" w:hAnsi="Times New Roman" w:cs="Times New Roman"/>
          <w:sz w:val="24"/>
          <w:szCs w:val="24"/>
        </w:rPr>
        <w:t xml:space="preserve">Azevedo, R., Greene, J. A., and Moos, D. C. (2007). The effect of a human agent’s external regulation upon college students’ hypermedia learning. </w:t>
      </w:r>
      <w:r w:rsidRPr="0094469E">
        <w:rPr>
          <w:rFonts w:ascii="Times New Roman" w:hAnsi="Times New Roman" w:cs="Times New Roman"/>
          <w:i/>
          <w:sz w:val="24"/>
          <w:szCs w:val="24"/>
        </w:rPr>
        <w:t xml:space="preserve">Metacognition and </w:t>
      </w:r>
      <w:r w:rsidR="00ED770A">
        <w:rPr>
          <w:rFonts w:ascii="Times New Roman" w:hAnsi="Times New Roman" w:cs="Times New Roman"/>
          <w:i/>
          <w:sz w:val="24"/>
          <w:szCs w:val="24"/>
        </w:rPr>
        <w:t>l</w:t>
      </w:r>
      <w:r w:rsidRPr="0094469E">
        <w:rPr>
          <w:rFonts w:ascii="Times New Roman" w:hAnsi="Times New Roman" w:cs="Times New Roman"/>
          <w:i/>
          <w:sz w:val="24"/>
          <w:szCs w:val="24"/>
        </w:rPr>
        <w:t xml:space="preserve">earning, </w:t>
      </w:r>
      <w:r w:rsidRPr="0094469E">
        <w:rPr>
          <w:rFonts w:ascii="Times New Roman" w:hAnsi="Times New Roman" w:cs="Times New Roman"/>
          <w:b/>
          <w:sz w:val="24"/>
          <w:szCs w:val="24"/>
        </w:rPr>
        <w:t>2</w:t>
      </w:r>
      <w:r w:rsidRPr="0094469E">
        <w:rPr>
          <w:rFonts w:ascii="Times New Roman" w:hAnsi="Times New Roman" w:cs="Times New Roman"/>
          <w:sz w:val="24"/>
          <w:szCs w:val="24"/>
        </w:rPr>
        <w:t>(2-3), 67-87.</w:t>
      </w:r>
      <w:bookmarkEnd w:id="518"/>
    </w:p>
    <w:p w14:paraId="45E8A85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19" w:name="_ENREF_12"/>
      <w:r w:rsidRPr="0094469E">
        <w:rPr>
          <w:rFonts w:ascii="Times New Roman" w:hAnsi="Times New Roman" w:cs="Times New Roman"/>
          <w:sz w:val="24"/>
          <w:szCs w:val="24"/>
        </w:rPr>
        <w:lastRenderedPageBreak/>
        <w:t xml:space="preserve">Bahar-Ozvaris, S., Aslan, D., Sahin-Hodoglugil, N., and Sayek, I. (2004). A faculty development program evaluation: From needs assessment to long-term effects, of the teaching skills improvement program. </w:t>
      </w:r>
      <w:r w:rsidRPr="0094469E">
        <w:rPr>
          <w:rFonts w:ascii="Times New Roman" w:hAnsi="Times New Roman" w:cs="Times New Roman"/>
          <w:i/>
          <w:sz w:val="24"/>
          <w:szCs w:val="24"/>
        </w:rPr>
        <w:t xml:space="preserve">Teaching and learning in medicine, </w:t>
      </w:r>
      <w:r w:rsidRPr="0094469E">
        <w:rPr>
          <w:rFonts w:ascii="Times New Roman" w:hAnsi="Times New Roman" w:cs="Times New Roman"/>
          <w:b/>
          <w:sz w:val="24"/>
          <w:szCs w:val="24"/>
        </w:rPr>
        <w:t>16</w:t>
      </w:r>
      <w:r w:rsidRPr="0094469E">
        <w:rPr>
          <w:rFonts w:ascii="Times New Roman" w:hAnsi="Times New Roman" w:cs="Times New Roman"/>
          <w:sz w:val="24"/>
          <w:szCs w:val="24"/>
        </w:rPr>
        <w:t>(4), 368-375.</w:t>
      </w:r>
      <w:bookmarkEnd w:id="519"/>
    </w:p>
    <w:p w14:paraId="5824487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0" w:name="_ENREF_13"/>
      <w:r w:rsidRPr="0094469E">
        <w:rPr>
          <w:rFonts w:ascii="Times New Roman" w:hAnsi="Times New Roman" w:cs="Times New Roman"/>
          <w:sz w:val="24"/>
          <w:szCs w:val="24"/>
        </w:rPr>
        <w:t xml:space="preserve">Baker, L., and Brown, A. L. (1984). Metacognitive skills and reading. </w:t>
      </w:r>
      <w:r w:rsidRPr="0094469E">
        <w:rPr>
          <w:rFonts w:ascii="Times New Roman" w:hAnsi="Times New Roman" w:cs="Times New Roman"/>
          <w:i/>
          <w:sz w:val="24"/>
          <w:szCs w:val="24"/>
        </w:rPr>
        <w:t xml:space="preserve">Handbook of reading research, </w:t>
      </w:r>
      <w:r w:rsidRPr="0094469E">
        <w:rPr>
          <w:rFonts w:ascii="Times New Roman" w:hAnsi="Times New Roman" w:cs="Times New Roman"/>
          <w:b/>
          <w:sz w:val="24"/>
          <w:szCs w:val="24"/>
        </w:rPr>
        <w:t>1</w:t>
      </w:r>
      <w:r w:rsidRPr="0094469E">
        <w:rPr>
          <w:rFonts w:ascii="Times New Roman" w:hAnsi="Times New Roman" w:cs="Times New Roman"/>
          <w:sz w:val="24"/>
          <w:szCs w:val="24"/>
        </w:rPr>
        <w:t>(353), V394.</w:t>
      </w:r>
      <w:bookmarkEnd w:id="520"/>
    </w:p>
    <w:p w14:paraId="4367656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1" w:name="_ENREF_14"/>
      <w:r w:rsidRPr="0094469E">
        <w:rPr>
          <w:rFonts w:ascii="Times New Roman" w:hAnsi="Times New Roman" w:cs="Times New Roman"/>
          <w:sz w:val="24"/>
          <w:szCs w:val="24"/>
        </w:rPr>
        <w:t xml:space="preserve">Bandura, A. (1986). </w:t>
      </w:r>
      <w:r w:rsidRPr="0094469E">
        <w:rPr>
          <w:rFonts w:ascii="Times New Roman" w:hAnsi="Times New Roman" w:cs="Times New Roman"/>
          <w:i/>
          <w:sz w:val="24"/>
          <w:szCs w:val="24"/>
        </w:rPr>
        <w:t>Social foundations of thought and action: A social-cognitive theory</w:t>
      </w:r>
      <w:r w:rsidRPr="0094469E">
        <w:rPr>
          <w:rFonts w:ascii="Times New Roman" w:hAnsi="Times New Roman" w:cs="Times New Roman"/>
          <w:sz w:val="24"/>
          <w:szCs w:val="24"/>
        </w:rPr>
        <w:t>. Englewood Cliffs, NJ: Prentice Hall.</w:t>
      </w:r>
      <w:bookmarkEnd w:id="521"/>
    </w:p>
    <w:p w14:paraId="2BC8B4F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2" w:name="_ENREF_15"/>
      <w:r w:rsidRPr="0094469E">
        <w:rPr>
          <w:rFonts w:ascii="Times New Roman" w:hAnsi="Times New Roman" w:cs="Times New Roman"/>
          <w:sz w:val="24"/>
          <w:szCs w:val="24"/>
        </w:rPr>
        <w:t xml:space="preserve">Bandura, A. (1997). </w:t>
      </w:r>
      <w:r w:rsidRPr="0094469E">
        <w:rPr>
          <w:rFonts w:ascii="Times New Roman" w:hAnsi="Times New Roman" w:cs="Times New Roman"/>
          <w:i/>
          <w:sz w:val="24"/>
          <w:szCs w:val="24"/>
        </w:rPr>
        <w:t>Self-efficacy: The exercise of control</w:t>
      </w:r>
      <w:r w:rsidRPr="0094469E">
        <w:rPr>
          <w:rFonts w:ascii="Times New Roman" w:hAnsi="Times New Roman" w:cs="Times New Roman"/>
          <w:sz w:val="24"/>
          <w:szCs w:val="24"/>
        </w:rPr>
        <w:t>. New York: Freeman.</w:t>
      </w:r>
      <w:bookmarkEnd w:id="522"/>
    </w:p>
    <w:p w14:paraId="42C252A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3" w:name="_ENREF_16"/>
      <w:r w:rsidRPr="0094469E">
        <w:rPr>
          <w:rFonts w:ascii="Times New Roman" w:hAnsi="Times New Roman" w:cs="Times New Roman"/>
          <w:sz w:val="24"/>
          <w:szCs w:val="24"/>
        </w:rPr>
        <w:t xml:space="preserve">Bandura, A., Adams, N. E., and Beyer, J. (1977). Cognitive processes mediating behavioral change. </w:t>
      </w:r>
      <w:r w:rsidRPr="0094469E">
        <w:rPr>
          <w:rFonts w:ascii="Times New Roman" w:hAnsi="Times New Roman" w:cs="Times New Roman"/>
          <w:i/>
          <w:sz w:val="24"/>
          <w:szCs w:val="24"/>
        </w:rPr>
        <w:t xml:space="preserve">Journal of personality and social psychology, </w:t>
      </w:r>
      <w:r w:rsidRPr="0094469E">
        <w:rPr>
          <w:rFonts w:ascii="Times New Roman" w:hAnsi="Times New Roman" w:cs="Times New Roman"/>
          <w:b/>
          <w:sz w:val="24"/>
          <w:szCs w:val="24"/>
        </w:rPr>
        <w:t>35</w:t>
      </w:r>
      <w:r w:rsidRPr="0094469E">
        <w:rPr>
          <w:rFonts w:ascii="Times New Roman" w:hAnsi="Times New Roman" w:cs="Times New Roman"/>
          <w:sz w:val="24"/>
          <w:szCs w:val="24"/>
        </w:rPr>
        <w:t>(3), 125.</w:t>
      </w:r>
      <w:bookmarkEnd w:id="523"/>
    </w:p>
    <w:p w14:paraId="16DFDFF3" w14:textId="70F9356C" w:rsidR="0094469E" w:rsidRPr="0094469E" w:rsidRDefault="0094469E" w:rsidP="0094469E">
      <w:pPr>
        <w:pStyle w:val="EndNoteBibliography"/>
        <w:spacing w:line="360" w:lineRule="auto"/>
        <w:rPr>
          <w:rFonts w:ascii="Times New Roman" w:hAnsi="Times New Roman" w:cs="Times New Roman"/>
          <w:sz w:val="24"/>
          <w:szCs w:val="24"/>
        </w:rPr>
      </w:pPr>
      <w:bookmarkStart w:id="524" w:name="_ENREF_17"/>
      <w:r w:rsidRPr="0094469E">
        <w:rPr>
          <w:rFonts w:ascii="Times New Roman" w:hAnsi="Times New Roman" w:cs="Times New Roman"/>
          <w:sz w:val="24"/>
          <w:szCs w:val="24"/>
        </w:rPr>
        <w:t xml:space="preserve">Barad, K. (2007). </w:t>
      </w:r>
      <w:r w:rsidRPr="0094469E">
        <w:rPr>
          <w:rFonts w:ascii="Times New Roman" w:hAnsi="Times New Roman" w:cs="Times New Roman"/>
          <w:i/>
          <w:sz w:val="24"/>
          <w:szCs w:val="24"/>
        </w:rPr>
        <w:t>Meeting the universe halfway: Quantum physics and the entanglement of matter and meaning</w:t>
      </w:r>
      <w:r w:rsidRPr="0094469E">
        <w:rPr>
          <w:rFonts w:ascii="Times New Roman" w:hAnsi="Times New Roman" w:cs="Times New Roman"/>
          <w:sz w:val="24"/>
          <w:szCs w:val="24"/>
        </w:rPr>
        <w:t xml:space="preserve">: </w:t>
      </w:r>
      <w:r w:rsidR="00ED770A">
        <w:rPr>
          <w:rFonts w:ascii="Times New Roman" w:hAnsi="Times New Roman" w:cs="Times New Roman"/>
          <w:sz w:val="24"/>
          <w:szCs w:val="24"/>
        </w:rPr>
        <w:t>D</w:t>
      </w:r>
      <w:r w:rsidRPr="0094469E">
        <w:rPr>
          <w:rFonts w:ascii="Times New Roman" w:hAnsi="Times New Roman" w:cs="Times New Roman"/>
          <w:sz w:val="24"/>
          <w:szCs w:val="24"/>
        </w:rPr>
        <w:t>uke university Press.</w:t>
      </w:r>
      <w:bookmarkEnd w:id="524"/>
    </w:p>
    <w:p w14:paraId="54D318A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5" w:name="_ENREF_18"/>
      <w:r w:rsidRPr="0094469E">
        <w:rPr>
          <w:rFonts w:ascii="Times New Roman" w:hAnsi="Times New Roman" w:cs="Times New Roman"/>
          <w:sz w:val="24"/>
          <w:szCs w:val="24"/>
        </w:rPr>
        <w:t xml:space="preserve">Barber, J. P., and Walczak, K. K. (2009). Conscience and Critic: Peer Debriefing Strategies in Grounded Theory Re search. </w:t>
      </w:r>
      <w:r w:rsidRPr="0094469E">
        <w:rPr>
          <w:rFonts w:ascii="Times New Roman" w:hAnsi="Times New Roman" w:cs="Times New Roman"/>
          <w:i/>
          <w:sz w:val="24"/>
          <w:szCs w:val="24"/>
        </w:rPr>
        <w:t xml:space="preserve">Ann Arbor, </w:t>
      </w:r>
      <w:r w:rsidRPr="0094469E">
        <w:rPr>
          <w:rFonts w:ascii="Times New Roman" w:hAnsi="Times New Roman" w:cs="Times New Roman"/>
          <w:b/>
          <w:sz w:val="24"/>
          <w:szCs w:val="24"/>
        </w:rPr>
        <w:t>1001</w:t>
      </w:r>
      <w:r w:rsidRPr="0094469E">
        <w:rPr>
          <w:rFonts w:ascii="Times New Roman" w:hAnsi="Times New Roman" w:cs="Times New Roman"/>
          <w:sz w:val="24"/>
          <w:szCs w:val="24"/>
        </w:rPr>
        <w:t>, 48109-41259.</w:t>
      </w:r>
      <w:bookmarkEnd w:id="525"/>
    </w:p>
    <w:p w14:paraId="13C0BB7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6" w:name="_ENREF_19"/>
      <w:r w:rsidRPr="0094469E">
        <w:rPr>
          <w:rFonts w:ascii="Times New Roman" w:hAnsi="Times New Roman" w:cs="Times New Roman"/>
          <w:sz w:val="24"/>
          <w:szCs w:val="24"/>
        </w:rPr>
        <w:t xml:space="preserve">Barbour, R. (1998). </w:t>
      </w:r>
      <w:r w:rsidRPr="0094469E">
        <w:rPr>
          <w:rFonts w:ascii="Times New Roman" w:hAnsi="Times New Roman" w:cs="Times New Roman"/>
          <w:i/>
          <w:sz w:val="24"/>
          <w:szCs w:val="24"/>
        </w:rPr>
        <w:t>Engagement, representation and presentation in research practice</w:t>
      </w:r>
      <w:r w:rsidRPr="0094469E">
        <w:rPr>
          <w:rFonts w:ascii="Times New Roman" w:hAnsi="Times New Roman" w:cs="Times New Roman"/>
          <w:sz w:val="24"/>
          <w:szCs w:val="24"/>
        </w:rPr>
        <w:t>. London: Routledge.</w:t>
      </w:r>
      <w:bookmarkEnd w:id="526"/>
    </w:p>
    <w:p w14:paraId="29214F51" w14:textId="0540C1A5" w:rsidR="0094469E" w:rsidRPr="0094469E" w:rsidRDefault="0094469E" w:rsidP="0094469E">
      <w:pPr>
        <w:pStyle w:val="EndNoteBibliography"/>
        <w:spacing w:line="360" w:lineRule="auto"/>
        <w:rPr>
          <w:rFonts w:ascii="Times New Roman" w:hAnsi="Times New Roman" w:cs="Times New Roman"/>
          <w:sz w:val="24"/>
          <w:szCs w:val="24"/>
        </w:rPr>
      </w:pPr>
      <w:bookmarkStart w:id="527" w:name="_ENREF_20"/>
      <w:r w:rsidRPr="0094469E">
        <w:rPr>
          <w:rFonts w:ascii="Times New Roman" w:hAnsi="Times New Roman" w:cs="Times New Roman"/>
          <w:sz w:val="24"/>
          <w:szCs w:val="24"/>
        </w:rPr>
        <w:t xml:space="preserve">Barbour, R. S. (2001). Checklists for improving rigour in qualitative research: a case of the tail wagging the dog? </w:t>
      </w:r>
      <w:r w:rsidRPr="0094469E">
        <w:rPr>
          <w:rFonts w:ascii="Times New Roman" w:hAnsi="Times New Roman" w:cs="Times New Roman"/>
          <w:i/>
          <w:sz w:val="24"/>
          <w:szCs w:val="24"/>
        </w:rPr>
        <w:t xml:space="preserve">British </w:t>
      </w:r>
      <w:r w:rsidR="00ED770A">
        <w:rPr>
          <w:rFonts w:ascii="Times New Roman" w:hAnsi="Times New Roman" w:cs="Times New Roman"/>
          <w:i/>
          <w:sz w:val="24"/>
          <w:szCs w:val="24"/>
        </w:rPr>
        <w:t>m</w:t>
      </w:r>
      <w:r w:rsidRPr="0094469E">
        <w:rPr>
          <w:rFonts w:ascii="Times New Roman" w:hAnsi="Times New Roman" w:cs="Times New Roman"/>
          <w:i/>
          <w:sz w:val="24"/>
          <w:szCs w:val="24"/>
        </w:rPr>
        <w:t xml:space="preserve">edical </w:t>
      </w:r>
      <w:r w:rsidR="00ED770A">
        <w:rPr>
          <w:rFonts w:ascii="Times New Roman" w:hAnsi="Times New Roman" w:cs="Times New Roman"/>
          <w:i/>
          <w:sz w:val="24"/>
          <w:szCs w:val="24"/>
        </w:rPr>
        <w:t>j</w:t>
      </w:r>
      <w:r w:rsidRPr="0094469E">
        <w:rPr>
          <w:rFonts w:ascii="Times New Roman" w:hAnsi="Times New Roman" w:cs="Times New Roman"/>
          <w:i/>
          <w:sz w:val="24"/>
          <w:szCs w:val="24"/>
        </w:rPr>
        <w:t xml:space="preserve">ournal, </w:t>
      </w:r>
      <w:r w:rsidRPr="0094469E">
        <w:rPr>
          <w:rFonts w:ascii="Times New Roman" w:hAnsi="Times New Roman" w:cs="Times New Roman"/>
          <w:b/>
          <w:sz w:val="24"/>
          <w:szCs w:val="24"/>
        </w:rPr>
        <w:t>322</w:t>
      </w:r>
      <w:r w:rsidRPr="0094469E">
        <w:rPr>
          <w:rFonts w:ascii="Times New Roman" w:hAnsi="Times New Roman" w:cs="Times New Roman"/>
          <w:sz w:val="24"/>
          <w:szCs w:val="24"/>
        </w:rPr>
        <w:t>(7294), 1115.</w:t>
      </w:r>
      <w:bookmarkEnd w:id="527"/>
    </w:p>
    <w:p w14:paraId="7AC8C2A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28" w:name="_ENREF_21"/>
      <w:r w:rsidRPr="0094469E">
        <w:rPr>
          <w:rFonts w:ascii="Times New Roman" w:hAnsi="Times New Roman" w:cs="Times New Roman"/>
          <w:sz w:val="24"/>
          <w:szCs w:val="24"/>
        </w:rPr>
        <w:t xml:space="preserve">Barbour, R. S. (2005). Making sense of focus groups.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39</w:t>
      </w:r>
      <w:r w:rsidRPr="0094469E">
        <w:rPr>
          <w:rFonts w:ascii="Times New Roman" w:hAnsi="Times New Roman" w:cs="Times New Roman"/>
          <w:sz w:val="24"/>
          <w:szCs w:val="24"/>
        </w:rPr>
        <w:t>(7), 742-750.</w:t>
      </w:r>
      <w:bookmarkEnd w:id="528"/>
    </w:p>
    <w:p w14:paraId="70D47197" w14:textId="7271A577" w:rsidR="0094469E" w:rsidRPr="0094469E" w:rsidRDefault="0094469E" w:rsidP="0094469E">
      <w:pPr>
        <w:pStyle w:val="EndNoteBibliography"/>
        <w:spacing w:line="360" w:lineRule="auto"/>
        <w:rPr>
          <w:rFonts w:ascii="Times New Roman" w:hAnsi="Times New Roman" w:cs="Times New Roman"/>
          <w:sz w:val="24"/>
          <w:szCs w:val="24"/>
        </w:rPr>
      </w:pPr>
      <w:bookmarkStart w:id="529" w:name="_ENREF_22"/>
      <w:r w:rsidRPr="0094469E">
        <w:rPr>
          <w:rFonts w:ascii="Times New Roman" w:hAnsi="Times New Roman" w:cs="Times New Roman"/>
          <w:sz w:val="24"/>
          <w:szCs w:val="24"/>
        </w:rPr>
        <w:t xml:space="preserve">Barclay, L. J., Skarlicki, D. P., and Pugh, S. D. (2005). Exploring the role of emotions in injustice perceptions and retaliation. </w:t>
      </w:r>
      <w:r w:rsidRPr="0094469E">
        <w:rPr>
          <w:rFonts w:ascii="Times New Roman" w:hAnsi="Times New Roman" w:cs="Times New Roman"/>
          <w:i/>
          <w:sz w:val="24"/>
          <w:szCs w:val="24"/>
        </w:rPr>
        <w:t xml:space="preserve">Journal of </w:t>
      </w:r>
      <w:r w:rsidR="00ED770A">
        <w:rPr>
          <w:rFonts w:ascii="Times New Roman" w:hAnsi="Times New Roman" w:cs="Times New Roman"/>
          <w:i/>
          <w:sz w:val="24"/>
          <w:szCs w:val="24"/>
        </w:rPr>
        <w:t>a</w:t>
      </w:r>
      <w:r w:rsidRPr="0094469E">
        <w:rPr>
          <w:rFonts w:ascii="Times New Roman" w:hAnsi="Times New Roman" w:cs="Times New Roman"/>
          <w:i/>
          <w:sz w:val="24"/>
          <w:szCs w:val="24"/>
        </w:rPr>
        <w:t xml:space="preserve">pplied </w:t>
      </w:r>
      <w:r w:rsidR="00ED770A">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Pr="0094469E">
        <w:rPr>
          <w:rFonts w:ascii="Times New Roman" w:hAnsi="Times New Roman" w:cs="Times New Roman"/>
          <w:b/>
          <w:sz w:val="24"/>
          <w:szCs w:val="24"/>
        </w:rPr>
        <w:t>90</w:t>
      </w:r>
      <w:r w:rsidRPr="0094469E">
        <w:rPr>
          <w:rFonts w:ascii="Times New Roman" w:hAnsi="Times New Roman" w:cs="Times New Roman"/>
          <w:sz w:val="24"/>
          <w:szCs w:val="24"/>
        </w:rPr>
        <w:t>(4), 629.</w:t>
      </w:r>
      <w:bookmarkEnd w:id="529"/>
    </w:p>
    <w:p w14:paraId="121A567B" w14:textId="131D5098" w:rsidR="0094469E" w:rsidRPr="0094469E" w:rsidRDefault="0094469E" w:rsidP="0094469E">
      <w:pPr>
        <w:pStyle w:val="EndNoteBibliography"/>
        <w:spacing w:line="360" w:lineRule="auto"/>
        <w:rPr>
          <w:rFonts w:ascii="Times New Roman" w:hAnsi="Times New Roman" w:cs="Times New Roman"/>
          <w:sz w:val="24"/>
          <w:szCs w:val="24"/>
        </w:rPr>
      </w:pPr>
      <w:bookmarkStart w:id="530" w:name="_ENREF_23"/>
      <w:r w:rsidRPr="0094469E">
        <w:rPr>
          <w:rFonts w:ascii="Times New Roman" w:hAnsi="Times New Roman" w:cs="Times New Roman"/>
          <w:sz w:val="24"/>
          <w:szCs w:val="24"/>
        </w:rPr>
        <w:t xml:space="preserve">Barnard, L., Lan, W. Y., To, Y. M., Paton, V. O., and Lai, S.-L. (2009). Measuring self-regulation in online and blended learning environments. </w:t>
      </w:r>
      <w:r w:rsidRPr="0094469E">
        <w:rPr>
          <w:rFonts w:ascii="Times New Roman" w:hAnsi="Times New Roman" w:cs="Times New Roman"/>
          <w:i/>
          <w:sz w:val="24"/>
          <w:szCs w:val="24"/>
        </w:rPr>
        <w:t xml:space="preserve">The </w:t>
      </w:r>
      <w:r w:rsidR="00ED770A">
        <w:rPr>
          <w:rFonts w:ascii="Times New Roman" w:hAnsi="Times New Roman" w:cs="Times New Roman"/>
          <w:i/>
          <w:sz w:val="24"/>
          <w:szCs w:val="24"/>
        </w:rPr>
        <w:t>i</w:t>
      </w:r>
      <w:r w:rsidRPr="0094469E">
        <w:rPr>
          <w:rFonts w:ascii="Times New Roman" w:hAnsi="Times New Roman" w:cs="Times New Roman"/>
          <w:i/>
          <w:sz w:val="24"/>
          <w:szCs w:val="24"/>
        </w:rPr>
        <w:t xml:space="preserve">nternet and </w:t>
      </w:r>
      <w:r w:rsidR="00ED770A">
        <w:rPr>
          <w:rFonts w:ascii="Times New Roman" w:hAnsi="Times New Roman" w:cs="Times New Roman"/>
          <w:i/>
          <w:sz w:val="24"/>
          <w:szCs w:val="24"/>
        </w:rPr>
        <w:t>h</w:t>
      </w:r>
      <w:r w:rsidRPr="0094469E">
        <w:rPr>
          <w:rFonts w:ascii="Times New Roman" w:hAnsi="Times New Roman" w:cs="Times New Roman"/>
          <w:i/>
          <w:sz w:val="24"/>
          <w:szCs w:val="24"/>
        </w:rPr>
        <w:t xml:space="preserve">igher </w:t>
      </w:r>
      <w:r w:rsidR="00ED770A">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Pr="0094469E">
        <w:rPr>
          <w:rFonts w:ascii="Times New Roman" w:hAnsi="Times New Roman" w:cs="Times New Roman"/>
          <w:b/>
          <w:sz w:val="24"/>
          <w:szCs w:val="24"/>
        </w:rPr>
        <w:t>12</w:t>
      </w:r>
      <w:r w:rsidRPr="0094469E">
        <w:rPr>
          <w:rFonts w:ascii="Times New Roman" w:hAnsi="Times New Roman" w:cs="Times New Roman"/>
          <w:sz w:val="24"/>
          <w:szCs w:val="24"/>
        </w:rPr>
        <w:t>(1), 1-6.</w:t>
      </w:r>
      <w:bookmarkEnd w:id="530"/>
    </w:p>
    <w:p w14:paraId="216110F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1" w:name="_ENREF_24"/>
      <w:r w:rsidRPr="0094469E">
        <w:rPr>
          <w:rFonts w:ascii="Times New Roman" w:hAnsi="Times New Roman" w:cs="Times New Roman"/>
          <w:sz w:val="24"/>
          <w:szCs w:val="24"/>
        </w:rPr>
        <w:t xml:space="preserve">Bartlett, M. S. (1937). Properties of sufficiency and statistical tests. </w:t>
      </w:r>
      <w:r w:rsidRPr="0094469E">
        <w:rPr>
          <w:rFonts w:ascii="Times New Roman" w:hAnsi="Times New Roman" w:cs="Times New Roman"/>
          <w:i/>
          <w:sz w:val="24"/>
          <w:szCs w:val="24"/>
        </w:rPr>
        <w:t>Proceedings of the Royal Society of London. Series A, Mathematical and Physical Sciences</w:t>
      </w:r>
      <w:r w:rsidRPr="0094469E">
        <w:rPr>
          <w:rFonts w:ascii="Times New Roman" w:hAnsi="Times New Roman" w:cs="Times New Roman"/>
          <w:sz w:val="24"/>
          <w:szCs w:val="24"/>
        </w:rPr>
        <w:t>, 268-282.</w:t>
      </w:r>
      <w:bookmarkEnd w:id="531"/>
    </w:p>
    <w:p w14:paraId="0534E4FE" w14:textId="66A9A584" w:rsidR="0094469E" w:rsidRPr="0094469E" w:rsidRDefault="0094469E" w:rsidP="0094469E">
      <w:pPr>
        <w:pStyle w:val="EndNoteBibliography"/>
        <w:spacing w:line="360" w:lineRule="auto"/>
        <w:rPr>
          <w:rFonts w:ascii="Times New Roman" w:hAnsi="Times New Roman" w:cs="Times New Roman"/>
          <w:sz w:val="24"/>
          <w:szCs w:val="24"/>
        </w:rPr>
      </w:pPr>
      <w:bookmarkStart w:id="532" w:name="_ENREF_25"/>
      <w:r w:rsidRPr="0094469E">
        <w:rPr>
          <w:rFonts w:ascii="Times New Roman" w:hAnsi="Times New Roman" w:cs="Times New Roman"/>
          <w:sz w:val="24"/>
          <w:szCs w:val="24"/>
        </w:rPr>
        <w:lastRenderedPageBreak/>
        <w:t xml:space="preserve">Ben-Eliyahu, A., and Bernacki, M. L. (2015). Addressing complexities in self-regulated learning: a focus on contextual factors, contingencies, and dynamic relations. </w:t>
      </w:r>
      <w:r w:rsidRPr="0094469E">
        <w:rPr>
          <w:rFonts w:ascii="Times New Roman" w:hAnsi="Times New Roman" w:cs="Times New Roman"/>
          <w:i/>
          <w:sz w:val="24"/>
          <w:szCs w:val="24"/>
        </w:rPr>
        <w:t xml:space="preserve">Metacognition and </w:t>
      </w:r>
      <w:r w:rsidR="00ED770A">
        <w:rPr>
          <w:rFonts w:ascii="Times New Roman" w:hAnsi="Times New Roman" w:cs="Times New Roman"/>
          <w:i/>
          <w:sz w:val="24"/>
          <w:szCs w:val="24"/>
        </w:rPr>
        <w:t>l</w:t>
      </w:r>
      <w:r w:rsidRPr="0094469E">
        <w:rPr>
          <w:rFonts w:ascii="Times New Roman" w:hAnsi="Times New Roman" w:cs="Times New Roman"/>
          <w:i/>
          <w:sz w:val="24"/>
          <w:szCs w:val="24"/>
        </w:rPr>
        <w:t xml:space="preserve">earning, </w:t>
      </w:r>
      <w:r w:rsidRPr="0094469E">
        <w:rPr>
          <w:rFonts w:ascii="Times New Roman" w:hAnsi="Times New Roman" w:cs="Times New Roman"/>
          <w:b/>
          <w:sz w:val="24"/>
          <w:szCs w:val="24"/>
        </w:rPr>
        <w:t>10</w:t>
      </w:r>
      <w:r w:rsidRPr="0094469E">
        <w:rPr>
          <w:rFonts w:ascii="Times New Roman" w:hAnsi="Times New Roman" w:cs="Times New Roman"/>
          <w:sz w:val="24"/>
          <w:szCs w:val="24"/>
        </w:rPr>
        <w:t>(1), 1-13.</w:t>
      </w:r>
      <w:bookmarkEnd w:id="532"/>
    </w:p>
    <w:p w14:paraId="7554DA39" w14:textId="153FB20A" w:rsidR="0094469E" w:rsidRPr="0094469E" w:rsidRDefault="0094469E" w:rsidP="0094469E">
      <w:pPr>
        <w:pStyle w:val="EndNoteBibliography"/>
        <w:spacing w:line="360" w:lineRule="auto"/>
        <w:rPr>
          <w:rFonts w:ascii="Times New Roman" w:hAnsi="Times New Roman" w:cs="Times New Roman"/>
          <w:sz w:val="24"/>
          <w:szCs w:val="24"/>
        </w:rPr>
      </w:pPr>
      <w:bookmarkStart w:id="533" w:name="_ENREF_26"/>
      <w:r w:rsidRPr="0094469E">
        <w:rPr>
          <w:rFonts w:ascii="Times New Roman" w:hAnsi="Times New Roman" w:cs="Times New Roman"/>
          <w:sz w:val="24"/>
          <w:szCs w:val="24"/>
        </w:rPr>
        <w:t xml:space="preserve">Ben-Eliyahu, A., and Linnenbrink-Garcia, L. (2015). Integrating the regulation of affect, behavior, and cognition into self-regulated learning paradigms among secondary and post-secondary students. </w:t>
      </w:r>
      <w:r w:rsidRPr="0094469E">
        <w:rPr>
          <w:rFonts w:ascii="Times New Roman" w:hAnsi="Times New Roman" w:cs="Times New Roman"/>
          <w:i/>
          <w:sz w:val="24"/>
          <w:szCs w:val="24"/>
        </w:rPr>
        <w:t xml:space="preserve">Metacognition and </w:t>
      </w:r>
      <w:r w:rsidR="00ED770A">
        <w:rPr>
          <w:rFonts w:ascii="Times New Roman" w:hAnsi="Times New Roman" w:cs="Times New Roman"/>
          <w:i/>
          <w:sz w:val="24"/>
          <w:szCs w:val="24"/>
        </w:rPr>
        <w:t>l</w:t>
      </w:r>
      <w:r w:rsidRPr="0094469E">
        <w:rPr>
          <w:rFonts w:ascii="Times New Roman" w:hAnsi="Times New Roman" w:cs="Times New Roman"/>
          <w:i/>
          <w:sz w:val="24"/>
          <w:szCs w:val="24"/>
        </w:rPr>
        <w:t xml:space="preserve">earning, </w:t>
      </w:r>
      <w:r w:rsidRPr="0094469E">
        <w:rPr>
          <w:rFonts w:ascii="Times New Roman" w:hAnsi="Times New Roman" w:cs="Times New Roman"/>
          <w:b/>
          <w:sz w:val="24"/>
          <w:szCs w:val="24"/>
        </w:rPr>
        <w:t>10</w:t>
      </w:r>
      <w:r w:rsidRPr="0094469E">
        <w:rPr>
          <w:rFonts w:ascii="Times New Roman" w:hAnsi="Times New Roman" w:cs="Times New Roman"/>
          <w:sz w:val="24"/>
          <w:szCs w:val="24"/>
        </w:rPr>
        <w:t>(1), 15-42.</w:t>
      </w:r>
      <w:bookmarkEnd w:id="533"/>
    </w:p>
    <w:p w14:paraId="06B93DB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4" w:name="_ENREF_27"/>
      <w:r w:rsidRPr="0094469E">
        <w:rPr>
          <w:rFonts w:ascii="Times New Roman" w:hAnsi="Times New Roman" w:cs="Times New Roman"/>
          <w:sz w:val="24"/>
          <w:szCs w:val="24"/>
        </w:rPr>
        <w:t xml:space="preserve">Bentler, P. (2005). </w:t>
      </w:r>
      <w:r w:rsidRPr="0094469E">
        <w:rPr>
          <w:rFonts w:ascii="Times New Roman" w:hAnsi="Times New Roman" w:cs="Times New Roman"/>
          <w:i/>
          <w:sz w:val="24"/>
          <w:szCs w:val="24"/>
        </w:rPr>
        <w:t>EQS 6 structural equations program manual.</w:t>
      </w:r>
      <w:r w:rsidRPr="0094469E">
        <w:rPr>
          <w:rFonts w:ascii="Times New Roman" w:hAnsi="Times New Roman" w:cs="Times New Roman"/>
          <w:sz w:val="24"/>
          <w:szCs w:val="24"/>
        </w:rPr>
        <w:t xml:space="preserve"> Encino, CA: Multivariate Software.</w:t>
      </w:r>
      <w:bookmarkEnd w:id="534"/>
    </w:p>
    <w:p w14:paraId="58966FB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5" w:name="_ENREF_28"/>
      <w:r w:rsidRPr="0094469E">
        <w:rPr>
          <w:rFonts w:ascii="Times New Roman" w:hAnsi="Times New Roman" w:cs="Times New Roman"/>
          <w:sz w:val="24"/>
          <w:szCs w:val="24"/>
        </w:rPr>
        <w:t xml:space="preserve">Bergman, M. M. (2008). The straw men of the qualitative-quantitative divide and their influence on mixed methods research. </w:t>
      </w:r>
      <w:r w:rsidRPr="0094469E">
        <w:rPr>
          <w:rFonts w:ascii="Times New Roman" w:hAnsi="Times New Roman" w:cs="Times New Roman"/>
          <w:i/>
          <w:sz w:val="24"/>
          <w:szCs w:val="24"/>
        </w:rPr>
        <w:t>Advances in mixed methods research: Theories and applications</w:t>
      </w:r>
      <w:r w:rsidRPr="0094469E">
        <w:rPr>
          <w:rFonts w:ascii="Times New Roman" w:hAnsi="Times New Roman" w:cs="Times New Roman"/>
          <w:sz w:val="24"/>
          <w:szCs w:val="24"/>
        </w:rPr>
        <w:t>, 11-21.</w:t>
      </w:r>
      <w:bookmarkEnd w:id="535"/>
    </w:p>
    <w:p w14:paraId="695F8EC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6" w:name="_ENREF_29"/>
      <w:r w:rsidRPr="0094469E">
        <w:rPr>
          <w:rFonts w:ascii="Times New Roman" w:hAnsi="Times New Roman" w:cs="Times New Roman"/>
          <w:sz w:val="24"/>
          <w:szCs w:val="24"/>
        </w:rPr>
        <w:t>Berkhout, J. J., Helmich, E., Teunissen, P. W., Berg, J. W., Vleuten, C. P., and Jaarsma, A. D. C. (2015). Exploring the factors influencing clinical students’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regulated learning.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(6), 589-600.</w:t>
      </w:r>
      <w:bookmarkEnd w:id="536"/>
    </w:p>
    <w:p w14:paraId="6D2FFE4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7" w:name="_ENREF_30"/>
      <w:r w:rsidRPr="0094469E">
        <w:rPr>
          <w:rFonts w:ascii="Times New Roman" w:hAnsi="Times New Roman" w:cs="Times New Roman"/>
          <w:sz w:val="24"/>
          <w:szCs w:val="24"/>
        </w:rPr>
        <w:t xml:space="preserve">Bidjerano, T. (2005). </w:t>
      </w:r>
      <w:r w:rsidRPr="0094469E">
        <w:rPr>
          <w:rFonts w:ascii="Times New Roman" w:hAnsi="Times New Roman" w:cs="Times New Roman"/>
          <w:i/>
          <w:sz w:val="24"/>
          <w:szCs w:val="24"/>
        </w:rPr>
        <w:t>Gender Differences in Self-Regulated Learning</w:t>
      </w:r>
      <w:r w:rsidRPr="0094469E">
        <w:rPr>
          <w:rFonts w:ascii="Times New Roman" w:hAnsi="Times New Roman" w:cs="Times New Roman"/>
          <w:sz w:val="24"/>
          <w:szCs w:val="24"/>
        </w:rPr>
        <w:t xml:space="preserve">. Paper presented at the Annual Meeting of the Northeastern Educational Research Association, Kerhonkson, NY. </w:t>
      </w:r>
      <w:bookmarkEnd w:id="537"/>
    </w:p>
    <w:p w14:paraId="11B39438" w14:textId="479DF17D" w:rsidR="0094469E" w:rsidRPr="0094469E" w:rsidRDefault="0094469E" w:rsidP="0094469E">
      <w:pPr>
        <w:pStyle w:val="EndNoteBibliography"/>
        <w:spacing w:line="360" w:lineRule="auto"/>
        <w:rPr>
          <w:rFonts w:ascii="Times New Roman" w:hAnsi="Times New Roman" w:cs="Times New Roman"/>
          <w:sz w:val="24"/>
          <w:szCs w:val="24"/>
        </w:rPr>
      </w:pPr>
      <w:bookmarkStart w:id="538" w:name="_ENREF_31"/>
      <w:r w:rsidRPr="0094469E">
        <w:rPr>
          <w:rFonts w:ascii="Times New Roman" w:hAnsi="Times New Roman" w:cs="Times New Roman"/>
          <w:sz w:val="24"/>
          <w:szCs w:val="24"/>
        </w:rPr>
        <w:t xml:space="preserve">Billett, S. (2000). Guided learning at work. </w:t>
      </w:r>
      <w:r w:rsidRPr="0094469E">
        <w:rPr>
          <w:rFonts w:ascii="Times New Roman" w:hAnsi="Times New Roman" w:cs="Times New Roman"/>
          <w:i/>
          <w:sz w:val="24"/>
          <w:szCs w:val="24"/>
        </w:rPr>
        <w:t xml:space="preserve">Journal of </w:t>
      </w:r>
      <w:r w:rsidR="00ED770A">
        <w:rPr>
          <w:rFonts w:ascii="Times New Roman" w:hAnsi="Times New Roman" w:cs="Times New Roman"/>
          <w:i/>
          <w:sz w:val="24"/>
          <w:szCs w:val="24"/>
        </w:rPr>
        <w:t>w</w:t>
      </w:r>
      <w:r w:rsidRPr="0094469E">
        <w:rPr>
          <w:rFonts w:ascii="Times New Roman" w:hAnsi="Times New Roman" w:cs="Times New Roman"/>
          <w:i/>
          <w:sz w:val="24"/>
          <w:szCs w:val="24"/>
        </w:rPr>
        <w:t xml:space="preserve">orkplace learning, </w:t>
      </w:r>
      <w:r w:rsidRPr="0094469E">
        <w:rPr>
          <w:rFonts w:ascii="Times New Roman" w:hAnsi="Times New Roman" w:cs="Times New Roman"/>
          <w:b/>
          <w:sz w:val="24"/>
          <w:szCs w:val="24"/>
        </w:rPr>
        <w:t>12</w:t>
      </w:r>
      <w:r w:rsidRPr="0094469E">
        <w:rPr>
          <w:rFonts w:ascii="Times New Roman" w:hAnsi="Times New Roman" w:cs="Times New Roman"/>
          <w:sz w:val="24"/>
          <w:szCs w:val="24"/>
        </w:rPr>
        <w:t>(7), 272-285.</w:t>
      </w:r>
      <w:bookmarkEnd w:id="538"/>
    </w:p>
    <w:p w14:paraId="3DC1FF1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39" w:name="_ENREF_32"/>
      <w:r w:rsidRPr="0094469E">
        <w:rPr>
          <w:rFonts w:ascii="Times New Roman" w:hAnsi="Times New Roman" w:cs="Times New Roman"/>
          <w:sz w:val="24"/>
          <w:szCs w:val="24"/>
        </w:rPr>
        <w:t xml:space="preserve">Bing-You, R. G., Paterson, J., and Levine, M. A. (1997). Feedback falling on deaf ears: residents' receptivity to feedback tempered by sender credibility.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19</w:t>
      </w:r>
      <w:r w:rsidRPr="0094469E">
        <w:rPr>
          <w:rFonts w:ascii="Times New Roman" w:hAnsi="Times New Roman" w:cs="Times New Roman"/>
          <w:sz w:val="24"/>
          <w:szCs w:val="24"/>
        </w:rPr>
        <w:t>(1), 40-44.</w:t>
      </w:r>
      <w:bookmarkEnd w:id="539"/>
    </w:p>
    <w:p w14:paraId="471F4575" w14:textId="114629AC" w:rsidR="0094469E" w:rsidRPr="0094469E" w:rsidRDefault="0094469E" w:rsidP="0094469E">
      <w:pPr>
        <w:pStyle w:val="EndNoteBibliography"/>
        <w:spacing w:line="360" w:lineRule="auto"/>
        <w:rPr>
          <w:rFonts w:ascii="Times New Roman" w:hAnsi="Times New Roman" w:cs="Times New Roman"/>
          <w:sz w:val="24"/>
          <w:szCs w:val="24"/>
        </w:rPr>
      </w:pPr>
      <w:bookmarkStart w:id="540" w:name="_ENREF_33"/>
      <w:r w:rsidRPr="0094469E">
        <w:rPr>
          <w:rFonts w:ascii="Times New Roman" w:hAnsi="Times New Roman" w:cs="Times New Roman"/>
          <w:sz w:val="24"/>
          <w:szCs w:val="24"/>
        </w:rPr>
        <w:t xml:space="preserve">Bing-You, R. G., and Trowbridge, R. L. (2009). Why medical educators may be failing at feedback. </w:t>
      </w:r>
      <w:r w:rsidR="00BD42AF">
        <w:rPr>
          <w:rFonts w:ascii="Times New Roman" w:hAnsi="Times New Roman" w:cs="Times New Roman"/>
          <w:i/>
          <w:sz w:val="24"/>
          <w:szCs w:val="24"/>
        </w:rPr>
        <w:t xml:space="preserve">The journal of the american medical association </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302</w:t>
      </w:r>
      <w:r w:rsidRPr="0094469E">
        <w:rPr>
          <w:rFonts w:ascii="Times New Roman" w:hAnsi="Times New Roman" w:cs="Times New Roman"/>
          <w:sz w:val="24"/>
          <w:szCs w:val="24"/>
        </w:rPr>
        <w:t>(12), 1330-1331.</w:t>
      </w:r>
      <w:bookmarkEnd w:id="540"/>
    </w:p>
    <w:p w14:paraId="5F11357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1" w:name="_ENREF_34"/>
      <w:r w:rsidRPr="0094469E">
        <w:rPr>
          <w:rFonts w:ascii="Times New Roman" w:hAnsi="Times New Roman" w:cs="Times New Roman"/>
          <w:sz w:val="24"/>
          <w:szCs w:val="24"/>
        </w:rPr>
        <w:t xml:space="preserve">Bjork, R. A., Dunlosky, J., and Kornell, N. (2013). Self-regulated learning: Beliefs, techniques, and illusions. </w:t>
      </w:r>
      <w:r w:rsidRPr="0094469E">
        <w:rPr>
          <w:rFonts w:ascii="Times New Roman" w:hAnsi="Times New Roman" w:cs="Times New Roman"/>
          <w:i/>
          <w:sz w:val="24"/>
          <w:szCs w:val="24"/>
        </w:rPr>
        <w:t xml:space="preserve">Annual review of psychology, </w:t>
      </w:r>
      <w:r w:rsidRPr="0094469E">
        <w:rPr>
          <w:rFonts w:ascii="Times New Roman" w:hAnsi="Times New Roman" w:cs="Times New Roman"/>
          <w:b/>
          <w:sz w:val="24"/>
          <w:szCs w:val="24"/>
        </w:rPr>
        <w:t>64</w:t>
      </w:r>
      <w:r w:rsidRPr="0094469E">
        <w:rPr>
          <w:rFonts w:ascii="Times New Roman" w:hAnsi="Times New Roman" w:cs="Times New Roman"/>
          <w:sz w:val="24"/>
          <w:szCs w:val="24"/>
        </w:rPr>
        <w:t>, 417-444.</w:t>
      </w:r>
      <w:bookmarkEnd w:id="541"/>
    </w:p>
    <w:p w14:paraId="591F980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2" w:name="_ENREF_35"/>
      <w:r w:rsidRPr="0094469E">
        <w:rPr>
          <w:rFonts w:ascii="Times New Roman" w:hAnsi="Times New Roman" w:cs="Times New Roman"/>
          <w:sz w:val="24"/>
          <w:szCs w:val="24"/>
        </w:rPr>
        <w:t xml:space="preserve">Bleakley, A. (2006). Broadening conceptions of learning in medical education: the message from teamworking.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40</w:t>
      </w:r>
      <w:r w:rsidRPr="0094469E">
        <w:rPr>
          <w:rFonts w:ascii="Times New Roman" w:hAnsi="Times New Roman" w:cs="Times New Roman"/>
          <w:sz w:val="24"/>
          <w:szCs w:val="24"/>
        </w:rPr>
        <w:t>(2), 150-157.</w:t>
      </w:r>
      <w:bookmarkEnd w:id="542"/>
    </w:p>
    <w:p w14:paraId="1C3F7C8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3" w:name="_ENREF_36"/>
      <w:r w:rsidRPr="0094469E">
        <w:rPr>
          <w:rFonts w:ascii="Times New Roman" w:hAnsi="Times New Roman" w:cs="Times New Roman"/>
          <w:sz w:val="24"/>
          <w:szCs w:val="24"/>
        </w:rPr>
        <w:t xml:space="preserve">Bleakley, A., Bligh, J., and Browne, J. (2011). </w:t>
      </w:r>
      <w:r w:rsidRPr="0094469E">
        <w:rPr>
          <w:rFonts w:ascii="Times New Roman" w:hAnsi="Times New Roman" w:cs="Times New Roman"/>
          <w:i/>
          <w:sz w:val="24"/>
          <w:szCs w:val="24"/>
        </w:rPr>
        <w:t>Medical education for the future: Identity, power and location</w:t>
      </w:r>
      <w:r w:rsidRPr="0094469E">
        <w:rPr>
          <w:rFonts w:ascii="Times New Roman" w:hAnsi="Times New Roman" w:cs="Times New Roman"/>
          <w:sz w:val="24"/>
          <w:szCs w:val="24"/>
        </w:rPr>
        <w:t>. New York: Springer.</w:t>
      </w:r>
      <w:bookmarkEnd w:id="543"/>
    </w:p>
    <w:p w14:paraId="0E08B0C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4" w:name="_ENREF_37"/>
      <w:r w:rsidRPr="0094469E">
        <w:rPr>
          <w:rFonts w:ascii="Times New Roman" w:hAnsi="Times New Roman" w:cs="Times New Roman"/>
          <w:sz w:val="24"/>
          <w:szCs w:val="24"/>
        </w:rPr>
        <w:lastRenderedPageBreak/>
        <w:t xml:space="preserve">Bloor, M. (2001). </w:t>
      </w:r>
      <w:r w:rsidRPr="0094469E">
        <w:rPr>
          <w:rFonts w:ascii="Times New Roman" w:hAnsi="Times New Roman" w:cs="Times New Roman"/>
          <w:i/>
          <w:sz w:val="24"/>
          <w:szCs w:val="24"/>
        </w:rPr>
        <w:t>Focus groups in social research</w:t>
      </w:r>
      <w:r w:rsidRPr="0094469E">
        <w:rPr>
          <w:rFonts w:ascii="Times New Roman" w:hAnsi="Times New Roman" w:cs="Times New Roman"/>
          <w:sz w:val="24"/>
          <w:szCs w:val="24"/>
        </w:rPr>
        <w:t>: Sage.</w:t>
      </w:r>
      <w:bookmarkEnd w:id="544"/>
    </w:p>
    <w:p w14:paraId="25FE54D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5" w:name="_ENREF_38"/>
      <w:r w:rsidRPr="0094469E">
        <w:rPr>
          <w:rFonts w:ascii="Times New Roman" w:hAnsi="Times New Roman" w:cs="Times New Roman"/>
          <w:sz w:val="24"/>
          <w:szCs w:val="24"/>
        </w:rPr>
        <w:t xml:space="preserve">Boehler, M. L., Rogers, D. A., Schwind, C. J., Mayforth, R., Quin, J., Williams, R. G., and Dunnington, G. (2006). An investigation of medical student reactions to feedback: a randomised controlled trial.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40</w:t>
      </w:r>
      <w:r w:rsidRPr="0094469E">
        <w:rPr>
          <w:rFonts w:ascii="Times New Roman" w:hAnsi="Times New Roman" w:cs="Times New Roman"/>
          <w:sz w:val="24"/>
          <w:szCs w:val="24"/>
        </w:rPr>
        <w:t>(8), 746-749.</w:t>
      </w:r>
      <w:bookmarkEnd w:id="545"/>
    </w:p>
    <w:p w14:paraId="276D7FA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6" w:name="_ENREF_39"/>
      <w:r w:rsidRPr="0094469E">
        <w:rPr>
          <w:rFonts w:ascii="Times New Roman" w:hAnsi="Times New Roman" w:cs="Times New Roman"/>
          <w:sz w:val="24"/>
          <w:szCs w:val="24"/>
        </w:rPr>
        <w:t xml:space="preserve">Boeije, H. (2009). </w:t>
      </w:r>
      <w:r w:rsidRPr="0094469E">
        <w:rPr>
          <w:rFonts w:ascii="Times New Roman" w:hAnsi="Times New Roman" w:cs="Times New Roman"/>
          <w:i/>
          <w:sz w:val="24"/>
          <w:szCs w:val="24"/>
        </w:rPr>
        <w:t>Analysis in qualitative research</w:t>
      </w:r>
      <w:r w:rsidRPr="0094469E">
        <w:rPr>
          <w:rFonts w:ascii="Times New Roman" w:hAnsi="Times New Roman" w:cs="Times New Roman"/>
          <w:sz w:val="24"/>
          <w:szCs w:val="24"/>
        </w:rPr>
        <w:t>: Sage.</w:t>
      </w:r>
      <w:bookmarkEnd w:id="546"/>
    </w:p>
    <w:p w14:paraId="24A1DB1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7" w:name="_ENREF_40"/>
      <w:r w:rsidRPr="0094469E">
        <w:rPr>
          <w:rFonts w:ascii="Times New Roman" w:hAnsi="Times New Roman" w:cs="Times New Roman"/>
          <w:sz w:val="24"/>
          <w:szCs w:val="24"/>
        </w:rPr>
        <w:t xml:space="preserve">Boekaerts, M. (1988). Motivated learning: Bias in appraisals. </w:t>
      </w:r>
      <w:r w:rsidRPr="0094469E">
        <w:rPr>
          <w:rFonts w:ascii="Times New Roman" w:hAnsi="Times New Roman" w:cs="Times New Roman"/>
          <w:i/>
          <w:sz w:val="24"/>
          <w:szCs w:val="24"/>
        </w:rPr>
        <w:t xml:space="preserve">International journal of educational research, </w:t>
      </w:r>
      <w:r w:rsidRPr="0094469E">
        <w:rPr>
          <w:rFonts w:ascii="Times New Roman" w:hAnsi="Times New Roman" w:cs="Times New Roman"/>
          <w:b/>
          <w:sz w:val="24"/>
          <w:szCs w:val="24"/>
        </w:rPr>
        <w:t>12</w:t>
      </w:r>
      <w:r w:rsidRPr="0094469E">
        <w:rPr>
          <w:rFonts w:ascii="Times New Roman" w:hAnsi="Times New Roman" w:cs="Times New Roman"/>
          <w:sz w:val="24"/>
          <w:szCs w:val="24"/>
        </w:rPr>
        <w:t>(3), 267-280.</w:t>
      </w:r>
      <w:bookmarkEnd w:id="547"/>
    </w:p>
    <w:p w14:paraId="0730AEE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8" w:name="_ENREF_41"/>
      <w:r w:rsidRPr="0094469E">
        <w:rPr>
          <w:rFonts w:ascii="Times New Roman" w:hAnsi="Times New Roman" w:cs="Times New Roman"/>
          <w:sz w:val="24"/>
          <w:szCs w:val="24"/>
        </w:rPr>
        <w:t xml:space="preserve">Boekaerts, M. (1996). Self-regulated learning at the junction of cognition and motivation. </w:t>
      </w:r>
      <w:r w:rsidRPr="0094469E">
        <w:rPr>
          <w:rFonts w:ascii="Times New Roman" w:hAnsi="Times New Roman" w:cs="Times New Roman"/>
          <w:i/>
          <w:sz w:val="24"/>
          <w:szCs w:val="24"/>
        </w:rPr>
        <w:t xml:space="preserve">European psychologist, </w:t>
      </w:r>
      <w:r w:rsidRPr="0094469E">
        <w:rPr>
          <w:rFonts w:ascii="Times New Roman" w:hAnsi="Times New Roman" w:cs="Times New Roman"/>
          <w:b/>
          <w:sz w:val="24"/>
          <w:szCs w:val="24"/>
        </w:rPr>
        <w:t>1</w:t>
      </w:r>
      <w:r w:rsidRPr="0094469E">
        <w:rPr>
          <w:rFonts w:ascii="Times New Roman" w:hAnsi="Times New Roman" w:cs="Times New Roman"/>
          <w:sz w:val="24"/>
          <w:szCs w:val="24"/>
        </w:rPr>
        <w:t>(2), 100-112.</w:t>
      </w:r>
      <w:bookmarkEnd w:id="548"/>
    </w:p>
    <w:p w14:paraId="0C290A7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49" w:name="_ENREF_42"/>
      <w:r w:rsidRPr="0094469E">
        <w:rPr>
          <w:rFonts w:ascii="Times New Roman" w:hAnsi="Times New Roman" w:cs="Times New Roman"/>
          <w:sz w:val="24"/>
          <w:szCs w:val="24"/>
        </w:rPr>
        <w:t xml:space="preserve">Boekaerts, M. (2002). The on-line motivation questionnaire: A self-report instrument to assess students’ context sensitivity. </w:t>
      </w:r>
      <w:r w:rsidRPr="0094469E">
        <w:rPr>
          <w:rFonts w:ascii="Times New Roman" w:hAnsi="Times New Roman" w:cs="Times New Roman"/>
          <w:i/>
          <w:sz w:val="24"/>
          <w:szCs w:val="24"/>
        </w:rPr>
        <w:t xml:space="preserve">Advances in motivation and achievement, </w:t>
      </w:r>
      <w:r w:rsidRPr="0094469E">
        <w:rPr>
          <w:rFonts w:ascii="Times New Roman" w:hAnsi="Times New Roman" w:cs="Times New Roman"/>
          <w:b/>
          <w:sz w:val="24"/>
          <w:szCs w:val="24"/>
        </w:rPr>
        <w:t>12</w:t>
      </w:r>
      <w:r w:rsidRPr="0094469E">
        <w:rPr>
          <w:rFonts w:ascii="Times New Roman" w:hAnsi="Times New Roman" w:cs="Times New Roman"/>
          <w:sz w:val="24"/>
          <w:szCs w:val="24"/>
        </w:rPr>
        <w:t>, 77-120.</w:t>
      </w:r>
      <w:bookmarkEnd w:id="549"/>
    </w:p>
    <w:p w14:paraId="5E1EF55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50" w:name="_ENREF_43"/>
      <w:r w:rsidRPr="0094469E">
        <w:rPr>
          <w:rFonts w:ascii="Times New Roman" w:hAnsi="Times New Roman" w:cs="Times New Roman"/>
          <w:sz w:val="24"/>
          <w:szCs w:val="24"/>
        </w:rPr>
        <w:t xml:space="preserve">Boekaerts, M. (2011). Emotions, emotion regulation, and self-regulation of learning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xml:space="preserve"> (pp. 408-425).</w:t>
      </w:r>
      <w:bookmarkEnd w:id="550"/>
    </w:p>
    <w:p w14:paraId="75FBA4D5" w14:textId="2029A44D" w:rsidR="0094469E" w:rsidRPr="0094469E" w:rsidRDefault="0094469E" w:rsidP="0094469E">
      <w:pPr>
        <w:pStyle w:val="EndNoteBibliography"/>
        <w:spacing w:line="360" w:lineRule="auto"/>
        <w:rPr>
          <w:rFonts w:ascii="Times New Roman" w:hAnsi="Times New Roman" w:cs="Times New Roman"/>
          <w:sz w:val="24"/>
          <w:szCs w:val="24"/>
        </w:rPr>
      </w:pPr>
      <w:bookmarkStart w:id="551" w:name="_ENREF_44"/>
      <w:r w:rsidRPr="0094469E">
        <w:rPr>
          <w:rFonts w:ascii="Times New Roman" w:hAnsi="Times New Roman" w:cs="Times New Roman"/>
          <w:sz w:val="24"/>
          <w:szCs w:val="24"/>
        </w:rPr>
        <w:t xml:space="preserve">Boekaerts, M., and Cascallar, E. (2006). How far have we moved toward the integration of theory and practice in self-regulation? </w:t>
      </w:r>
      <w:r w:rsidRPr="0094469E">
        <w:rPr>
          <w:rFonts w:ascii="Times New Roman" w:hAnsi="Times New Roman" w:cs="Times New Roman"/>
          <w:i/>
          <w:sz w:val="24"/>
          <w:szCs w:val="24"/>
        </w:rPr>
        <w:t xml:space="preserve">Educational </w:t>
      </w:r>
      <w:r w:rsidR="00ED770A">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00ED770A">
        <w:rPr>
          <w:rFonts w:ascii="Times New Roman" w:hAnsi="Times New Roman" w:cs="Times New Roman"/>
          <w:i/>
          <w:sz w:val="24"/>
          <w:szCs w:val="24"/>
        </w:rPr>
        <w:t>r</w:t>
      </w:r>
      <w:r w:rsidRPr="0094469E">
        <w:rPr>
          <w:rFonts w:ascii="Times New Roman" w:hAnsi="Times New Roman" w:cs="Times New Roman"/>
          <w:i/>
          <w:sz w:val="24"/>
          <w:szCs w:val="24"/>
        </w:rPr>
        <w:t xml:space="preserve">eview, </w:t>
      </w:r>
      <w:r w:rsidRPr="0094469E">
        <w:rPr>
          <w:rFonts w:ascii="Times New Roman" w:hAnsi="Times New Roman" w:cs="Times New Roman"/>
          <w:b/>
          <w:sz w:val="24"/>
          <w:szCs w:val="24"/>
        </w:rPr>
        <w:t>18</w:t>
      </w:r>
      <w:r w:rsidRPr="0094469E">
        <w:rPr>
          <w:rFonts w:ascii="Times New Roman" w:hAnsi="Times New Roman" w:cs="Times New Roman"/>
          <w:sz w:val="24"/>
          <w:szCs w:val="24"/>
        </w:rPr>
        <w:t>(3), 199-210.</w:t>
      </w:r>
      <w:bookmarkEnd w:id="551"/>
    </w:p>
    <w:p w14:paraId="6912EA80" w14:textId="7890EAEC" w:rsidR="0094469E" w:rsidRPr="0094469E" w:rsidRDefault="0094469E" w:rsidP="0094469E">
      <w:pPr>
        <w:pStyle w:val="EndNoteBibliography"/>
        <w:spacing w:line="360" w:lineRule="auto"/>
        <w:rPr>
          <w:rFonts w:ascii="Times New Roman" w:hAnsi="Times New Roman" w:cs="Times New Roman"/>
          <w:sz w:val="24"/>
          <w:szCs w:val="24"/>
        </w:rPr>
      </w:pPr>
      <w:bookmarkStart w:id="552" w:name="_ENREF_45"/>
      <w:r w:rsidRPr="0094469E">
        <w:rPr>
          <w:rFonts w:ascii="Times New Roman" w:hAnsi="Times New Roman" w:cs="Times New Roman"/>
          <w:sz w:val="24"/>
          <w:szCs w:val="24"/>
        </w:rPr>
        <w:t>Boekaerts, M., and Corno, L. (2005).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regulation in the classroom: A perspective on assessment and intervention. </w:t>
      </w:r>
      <w:r w:rsidRPr="0094469E">
        <w:rPr>
          <w:rFonts w:ascii="Times New Roman" w:hAnsi="Times New Roman" w:cs="Times New Roman"/>
          <w:i/>
          <w:sz w:val="24"/>
          <w:szCs w:val="24"/>
        </w:rPr>
        <w:t xml:space="preserve">Applied </w:t>
      </w:r>
      <w:r w:rsidR="00ED770A">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Pr="0094469E">
        <w:rPr>
          <w:rFonts w:ascii="Times New Roman" w:hAnsi="Times New Roman" w:cs="Times New Roman"/>
          <w:b/>
          <w:sz w:val="24"/>
          <w:szCs w:val="24"/>
        </w:rPr>
        <w:t>54</w:t>
      </w:r>
      <w:r w:rsidRPr="0094469E">
        <w:rPr>
          <w:rFonts w:ascii="Times New Roman" w:hAnsi="Times New Roman" w:cs="Times New Roman"/>
          <w:sz w:val="24"/>
          <w:szCs w:val="24"/>
        </w:rPr>
        <w:t>(2), 199-231.</w:t>
      </w:r>
      <w:bookmarkEnd w:id="552"/>
    </w:p>
    <w:p w14:paraId="5E41FE9B" w14:textId="637C8A24" w:rsidR="0094469E" w:rsidRPr="0094469E" w:rsidRDefault="0094469E" w:rsidP="0094469E">
      <w:pPr>
        <w:pStyle w:val="EndNoteBibliography"/>
        <w:spacing w:line="360" w:lineRule="auto"/>
        <w:rPr>
          <w:rFonts w:ascii="Times New Roman" w:hAnsi="Times New Roman" w:cs="Times New Roman"/>
          <w:sz w:val="24"/>
          <w:szCs w:val="24"/>
        </w:rPr>
      </w:pPr>
      <w:bookmarkStart w:id="553" w:name="_ENREF_46"/>
      <w:r w:rsidRPr="0094469E">
        <w:rPr>
          <w:rFonts w:ascii="Times New Roman" w:hAnsi="Times New Roman" w:cs="Times New Roman"/>
          <w:sz w:val="24"/>
          <w:szCs w:val="24"/>
        </w:rPr>
        <w:t xml:space="preserve">Boekaerts, M., and Rozendaal, J. S. (2007). New insights into the self-regulation of writing skills in secondary vocational education. </w:t>
      </w:r>
      <w:r w:rsidRPr="0094469E">
        <w:rPr>
          <w:rFonts w:ascii="Times New Roman" w:hAnsi="Times New Roman" w:cs="Times New Roman"/>
          <w:i/>
          <w:sz w:val="24"/>
          <w:szCs w:val="24"/>
        </w:rPr>
        <w:t xml:space="preserve">Journal of </w:t>
      </w:r>
      <w:r w:rsidR="00ED770A">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Pr="0094469E">
        <w:rPr>
          <w:rFonts w:ascii="Times New Roman" w:hAnsi="Times New Roman" w:cs="Times New Roman"/>
          <w:b/>
          <w:sz w:val="24"/>
          <w:szCs w:val="24"/>
        </w:rPr>
        <w:t>215</w:t>
      </w:r>
      <w:r w:rsidRPr="0094469E">
        <w:rPr>
          <w:rFonts w:ascii="Times New Roman" w:hAnsi="Times New Roman" w:cs="Times New Roman"/>
          <w:sz w:val="24"/>
          <w:szCs w:val="24"/>
        </w:rPr>
        <w:t>(3), 164-173.</w:t>
      </w:r>
      <w:bookmarkEnd w:id="553"/>
    </w:p>
    <w:p w14:paraId="619DBFC6" w14:textId="3BCC6F87" w:rsidR="0094469E" w:rsidRPr="0094469E" w:rsidRDefault="0094469E" w:rsidP="0094469E">
      <w:pPr>
        <w:pStyle w:val="EndNoteBibliography"/>
        <w:spacing w:line="360" w:lineRule="auto"/>
        <w:rPr>
          <w:rFonts w:ascii="Times New Roman" w:hAnsi="Times New Roman" w:cs="Times New Roman"/>
          <w:sz w:val="24"/>
          <w:szCs w:val="24"/>
        </w:rPr>
      </w:pPr>
      <w:bookmarkStart w:id="554" w:name="_ENREF_47"/>
      <w:r w:rsidRPr="0094469E">
        <w:rPr>
          <w:rFonts w:ascii="Times New Roman" w:hAnsi="Times New Roman" w:cs="Times New Roman"/>
          <w:sz w:val="24"/>
          <w:szCs w:val="24"/>
        </w:rPr>
        <w:t xml:space="preserve">Bonell, C., Fletcher, A., Morton, M., Lorenc, T., and Moore, L. (2012). Realist randomised controlled trials: a new approach to evaluating complex public health interventions. </w:t>
      </w:r>
      <w:r w:rsidRPr="0094469E">
        <w:rPr>
          <w:rFonts w:ascii="Times New Roman" w:hAnsi="Times New Roman" w:cs="Times New Roman"/>
          <w:i/>
          <w:sz w:val="24"/>
          <w:szCs w:val="24"/>
        </w:rPr>
        <w:t xml:space="preserve">Social science </w:t>
      </w:r>
      <w:r w:rsidR="00ED770A">
        <w:rPr>
          <w:rFonts w:ascii="Times New Roman" w:hAnsi="Times New Roman" w:cs="Times New Roman"/>
          <w:i/>
          <w:sz w:val="24"/>
          <w:szCs w:val="24"/>
        </w:rPr>
        <w:t>and</w:t>
      </w:r>
      <w:r w:rsidRPr="0094469E">
        <w:rPr>
          <w:rFonts w:ascii="Times New Roman" w:hAnsi="Times New Roman" w:cs="Times New Roman"/>
          <w:i/>
          <w:sz w:val="24"/>
          <w:szCs w:val="24"/>
        </w:rPr>
        <w:t xml:space="preserve"> medicine, </w:t>
      </w:r>
      <w:r w:rsidRPr="0094469E">
        <w:rPr>
          <w:rFonts w:ascii="Times New Roman" w:hAnsi="Times New Roman" w:cs="Times New Roman"/>
          <w:b/>
          <w:sz w:val="24"/>
          <w:szCs w:val="24"/>
        </w:rPr>
        <w:t>75</w:t>
      </w:r>
      <w:r w:rsidRPr="0094469E">
        <w:rPr>
          <w:rFonts w:ascii="Times New Roman" w:hAnsi="Times New Roman" w:cs="Times New Roman"/>
          <w:sz w:val="24"/>
          <w:szCs w:val="24"/>
        </w:rPr>
        <w:t>(12), 2299-2306.</w:t>
      </w:r>
      <w:bookmarkEnd w:id="554"/>
    </w:p>
    <w:p w14:paraId="6918529E" w14:textId="12D1CD11" w:rsidR="0094469E" w:rsidRPr="0094469E" w:rsidRDefault="0094469E" w:rsidP="0094469E">
      <w:pPr>
        <w:pStyle w:val="EndNoteBibliography"/>
        <w:spacing w:line="360" w:lineRule="auto"/>
        <w:rPr>
          <w:rFonts w:ascii="Times New Roman" w:hAnsi="Times New Roman" w:cs="Times New Roman"/>
          <w:sz w:val="24"/>
          <w:szCs w:val="24"/>
        </w:rPr>
      </w:pPr>
      <w:bookmarkStart w:id="555" w:name="_ENREF_48"/>
      <w:r w:rsidRPr="0094469E">
        <w:rPr>
          <w:rFonts w:ascii="Times New Roman" w:hAnsi="Times New Roman" w:cs="Times New Roman"/>
          <w:sz w:val="24"/>
          <w:szCs w:val="24"/>
        </w:rPr>
        <w:t xml:space="preserve">Bouchard, T. J. (1976). Unobtrusive measures an i nventory of uses. </w:t>
      </w:r>
      <w:r w:rsidRPr="0094469E">
        <w:rPr>
          <w:rFonts w:ascii="Times New Roman" w:hAnsi="Times New Roman" w:cs="Times New Roman"/>
          <w:i/>
          <w:sz w:val="24"/>
          <w:szCs w:val="24"/>
        </w:rPr>
        <w:t xml:space="preserve">Sociological </w:t>
      </w:r>
      <w:r w:rsidR="00ED770A">
        <w:rPr>
          <w:rFonts w:ascii="Times New Roman" w:hAnsi="Times New Roman" w:cs="Times New Roman"/>
          <w:i/>
          <w:sz w:val="24"/>
          <w:szCs w:val="24"/>
        </w:rPr>
        <w:t>m</w:t>
      </w:r>
      <w:r w:rsidRPr="0094469E">
        <w:rPr>
          <w:rFonts w:ascii="Times New Roman" w:hAnsi="Times New Roman" w:cs="Times New Roman"/>
          <w:i/>
          <w:sz w:val="24"/>
          <w:szCs w:val="24"/>
        </w:rPr>
        <w:t xml:space="preserve">ethods &amp; </w:t>
      </w:r>
      <w:r w:rsidR="00ED770A">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Pr="0094469E">
        <w:rPr>
          <w:rFonts w:ascii="Times New Roman" w:hAnsi="Times New Roman" w:cs="Times New Roman"/>
          <w:b/>
          <w:sz w:val="24"/>
          <w:szCs w:val="24"/>
        </w:rPr>
        <w:t>4</w:t>
      </w:r>
      <w:r w:rsidRPr="0094469E">
        <w:rPr>
          <w:rFonts w:ascii="Times New Roman" w:hAnsi="Times New Roman" w:cs="Times New Roman"/>
          <w:sz w:val="24"/>
          <w:szCs w:val="24"/>
        </w:rPr>
        <w:t>(3), 267-300.</w:t>
      </w:r>
      <w:bookmarkEnd w:id="555"/>
    </w:p>
    <w:p w14:paraId="635442B9" w14:textId="706CCD50" w:rsidR="0094469E" w:rsidRPr="0094469E" w:rsidRDefault="0094469E" w:rsidP="0094469E">
      <w:pPr>
        <w:pStyle w:val="EndNoteBibliography"/>
        <w:spacing w:line="360" w:lineRule="auto"/>
        <w:rPr>
          <w:rFonts w:ascii="Times New Roman" w:hAnsi="Times New Roman" w:cs="Times New Roman"/>
          <w:sz w:val="24"/>
          <w:szCs w:val="24"/>
        </w:rPr>
      </w:pPr>
      <w:bookmarkStart w:id="556" w:name="_ENREF_49"/>
      <w:r w:rsidRPr="0094469E">
        <w:rPr>
          <w:rFonts w:ascii="Times New Roman" w:hAnsi="Times New Roman" w:cs="Times New Roman"/>
          <w:sz w:val="24"/>
          <w:szCs w:val="24"/>
        </w:rPr>
        <w:t xml:space="preserve">Boud, D., and Molloy, E. (2013). Rethinking models of feedback for learning: the challenge of design. </w:t>
      </w:r>
      <w:r w:rsidRPr="0094469E">
        <w:rPr>
          <w:rFonts w:ascii="Times New Roman" w:hAnsi="Times New Roman" w:cs="Times New Roman"/>
          <w:i/>
          <w:sz w:val="24"/>
          <w:szCs w:val="24"/>
        </w:rPr>
        <w:t xml:space="preserve">Assessment </w:t>
      </w:r>
      <w:r w:rsidR="00ED770A">
        <w:rPr>
          <w:rFonts w:ascii="Times New Roman" w:hAnsi="Times New Roman" w:cs="Times New Roman"/>
          <w:i/>
          <w:sz w:val="24"/>
          <w:szCs w:val="24"/>
        </w:rPr>
        <w:t>and</w:t>
      </w:r>
      <w:r w:rsidRPr="0094469E">
        <w:rPr>
          <w:rFonts w:ascii="Times New Roman" w:hAnsi="Times New Roman" w:cs="Times New Roman"/>
          <w:i/>
          <w:sz w:val="24"/>
          <w:szCs w:val="24"/>
        </w:rPr>
        <w:t xml:space="preserve"> </w:t>
      </w:r>
      <w:r w:rsidR="00ED770A">
        <w:rPr>
          <w:rFonts w:ascii="Times New Roman" w:hAnsi="Times New Roman" w:cs="Times New Roman"/>
          <w:i/>
          <w:sz w:val="24"/>
          <w:szCs w:val="24"/>
        </w:rPr>
        <w:t>e</w:t>
      </w:r>
      <w:r w:rsidRPr="0094469E">
        <w:rPr>
          <w:rFonts w:ascii="Times New Roman" w:hAnsi="Times New Roman" w:cs="Times New Roman"/>
          <w:i/>
          <w:sz w:val="24"/>
          <w:szCs w:val="24"/>
        </w:rPr>
        <w:t xml:space="preserve">valuation in </w:t>
      </w:r>
      <w:r w:rsidR="00ED770A">
        <w:rPr>
          <w:rFonts w:ascii="Times New Roman" w:hAnsi="Times New Roman" w:cs="Times New Roman"/>
          <w:i/>
          <w:sz w:val="24"/>
          <w:szCs w:val="24"/>
        </w:rPr>
        <w:t>h</w:t>
      </w:r>
      <w:r w:rsidRPr="0094469E">
        <w:rPr>
          <w:rFonts w:ascii="Times New Roman" w:hAnsi="Times New Roman" w:cs="Times New Roman"/>
          <w:i/>
          <w:sz w:val="24"/>
          <w:szCs w:val="24"/>
        </w:rPr>
        <w:t xml:space="preserve">igher </w:t>
      </w:r>
      <w:r w:rsidR="00ED770A">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Pr="0094469E">
        <w:rPr>
          <w:rFonts w:ascii="Times New Roman" w:hAnsi="Times New Roman" w:cs="Times New Roman"/>
          <w:b/>
          <w:sz w:val="24"/>
          <w:szCs w:val="24"/>
        </w:rPr>
        <w:t>38</w:t>
      </w:r>
      <w:r w:rsidRPr="0094469E">
        <w:rPr>
          <w:rFonts w:ascii="Times New Roman" w:hAnsi="Times New Roman" w:cs="Times New Roman"/>
          <w:sz w:val="24"/>
          <w:szCs w:val="24"/>
        </w:rPr>
        <w:t>(6), 698-712.</w:t>
      </w:r>
      <w:bookmarkEnd w:id="556"/>
    </w:p>
    <w:p w14:paraId="78185DF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57" w:name="_ENREF_50"/>
      <w:r w:rsidRPr="0094469E">
        <w:rPr>
          <w:rFonts w:ascii="Times New Roman" w:hAnsi="Times New Roman" w:cs="Times New Roman"/>
          <w:sz w:val="24"/>
          <w:szCs w:val="24"/>
        </w:rPr>
        <w:lastRenderedPageBreak/>
        <w:t>Bouffard, T., Bouchard, M., Goulet, G., Denoncourt, I., and Couture, N. (2005). Influence of achievement goals and self</w:t>
      </w:r>
      <w:r w:rsidRPr="0094469E">
        <w:rPr>
          <w:rFonts w:ascii="Cambria Math" w:hAnsi="Cambria Math" w:cs="Cambria Math"/>
          <w:sz w:val="24"/>
          <w:szCs w:val="24"/>
        </w:rPr>
        <w:t>‐</w:t>
      </w:r>
      <w:r w:rsidRPr="0094469E">
        <w:rPr>
          <w:rFonts w:ascii="Times New Roman" w:hAnsi="Times New Roman" w:cs="Times New Roman"/>
          <w:sz w:val="24"/>
          <w:szCs w:val="24"/>
        </w:rPr>
        <w:t>efficacy on students'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regulation and performance. </w:t>
      </w:r>
      <w:r w:rsidRPr="0094469E">
        <w:rPr>
          <w:rFonts w:ascii="Times New Roman" w:hAnsi="Times New Roman" w:cs="Times New Roman"/>
          <w:i/>
          <w:sz w:val="24"/>
          <w:szCs w:val="24"/>
        </w:rPr>
        <w:t xml:space="preserve">International journal of psychology, </w:t>
      </w:r>
      <w:r w:rsidRPr="0094469E">
        <w:rPr>
          <w:rFonts w:ascii="Times New Roman" w:hAnsi="Times New Roman" w:cs="Times New Roman"/>
          <w:b/>
          <w:sz w:val="24"/>
          <w:szCs w:val="24"/>
        </w:rPr>
        <w:t>40</w:t>
      </w:r>
      <w:r w:rsidRPr="0094469E">
        <w:rPr>
          <w:rFonts w:ascii="Times New Roman" w:hAnsi="Times New Roman" w:cs="Times New Roman"/>
          <w:sz w:val="24"/>
          <w:szCs w:val="24"/>
        </w:rPr>
        <w:t>(6), 373-384.</w:t>
      </w:r>
      <w:bookmarkEnd w:id="557"/>
    </w:p>
    <w:p w14:paraId="2A2F4F35" w14:textId="190D5DB1" w:rsidR="0094469E" w:rsidRPr="0094469E" w:rsidRDefault="0094469E" w:rsidP="0094469E">
      <w:pPr>
        <w:pStyle w:val="EndNoteBibliography"/>
        <w:spacing w:line="360" w:lineRule="auto"/>
        <w:rPr>
          <w:rFonts w:ascii="Times New Roman" w:hAnsi="Times New Roman" w:cs="Times New Roman"/>
          <w:sz w:val="24"/>
          <w:szCs w:val="24"/>
        </w:rPr>
      </w:pPr>
      <w:bookmarkStart w:id="558" w:name="_ENREF_51"/>
      <w:r w:rsidRPr="0094469E">
        <w:rPr>
          <w:rFonts w:ascii="Times New Roman" w:hAnsi="Times New Roman" w:cs="Times New Roman"/>
          <w:sz w:val="24"/>
          <w:szCs w:val="24"/>
        </w:rPr>
        <w:t xml:space="preserve">Bowen, L., Marshall, M., and Murdoch-Eaton, D. (2017). Medical Student Perceptions of Feedback and Feedback Behaviors Within the Context of the" Educational Alliance". </w:t>
      </w:r>
      <w:r w:rsidRPr="0094469E">
        <w:rPr>
          <w:rFonts w:ascii="Times New Roman" w:hAnsi="Times New Roman" w:cs="Times New Roman"/>
          <w:i/>
          <w:sz w:val="24"/>
          <w:szCs w:val="24"/>
        </w:rPr>
        <w:t xml:space="preserve">Academic </w:t>
      </w:r>
      <w:r w:rsidR="00ED770A">
        <w:rPr>
          <w:rFonts w:ascii="Times New Roman" w:hAnsi="Times New Roman" w:cs="Times New Roman"/>
          <w:i/>
          <w:sz w:val="24"/>
          <w:szCs w:val="24"/>
        </w:rPr>
        <w:t>m</w:t>
      </w:r>
      <w:r w:rsidRPr="0094469E">
        <w:rPr>
          <w:rFonts w:ascii="Times New Roman" w:hAnsi="Times New Roman" w:cs="Times New Roman"/>
          <w:i/>
          <w:sz w:val="24"/>
          <w:szCs w:val="24"/>
        </w:rPr>
        <w:t>edicine</w:t>
      </w:r>
      <w:r w:rsidRPr="0094469E">
        <w:rPr>
          <w:rFonts w:ascii="Times New Roman" w:hAnsi="Times New Roman" w:cs="Times New Roman"/>
          <w:sz w:val="24"/>
          <w:szCs w:val="24"/>
        </w:rPr>
        <w:t>.</w:t>
      </w:r>
      <w:bookmarkEnd w:id="558"/>
    </w:p>
    <w:p w14:paraId="03BCC177" w14:textId="30D01669" w:rsidR="0094469E" w:rsidRPr="0094469E" w:rsidRDefault="0094469E" w:rsidP="0094469E">
      <w:pPr>
        <w:pStyle w:val="EndNoteBibliography"/>
        <w:spacing w:line="360" w:lineRule="auto"/>
        <w:rPr>
          <w:rFonts w:ascii="Times New Roman" w:hAnsi="Times New Roman" w:cs="Times New Roman"/>
          <w:sz w:val="24"/>
          <w:szCs w:val="24"/>
        </w:rPr>
      </w:pPr>
      <w:bookmarkStart w:id="559" w:name="_ENREF_52"/>
      <w:r w:rsidRPr="0094469E">
        <w:rPr>
          <w:rFonts w:ascii="Times New Roman" w:hAnsi="Times New Roman" w:cs="Times New Roman"/>
          <w:sz w:val="24"/>
          <w:szCs w:val="24"/>
        </w:rPr>
        <w:t xml:space="preserve">Branch, W. T., and Paranjape, A. (2002). Feedback and reflection: teaching methods for clinical settings. </w:t>
      </w:r>
      <w:r w:rsidRPr="0094469E">
        <w:rPr>
          <w:rFonts w:ascii="Times New Roman" w:hAnsi="Times New Roman" w:cs="Times New Roman"/>
          <w:i/>
          <w:sz w:val="24"/>
          <w:szCs w:val="24"/>
        </w:rPr>
        <w:t xml:space="preserve">Academic </w:t>
      </w:r>
      <w:r w:rsidR="00ED770A">
        <w:rPr>
          <w:rFonts w:ascii="Times New Roman" w:hAnsi="Times New Roman" w:cs="Times New Roman"/>
          <w:i/>
          <w:sz w:val="24"/>
          <w:szCs w:val="24"/>
        </w:rPr>
        <w:t>m</w:t>
      </w:r>
      <w:r w:rsidRPr="0094469E">
        <w:rPr>
          <w:rFonts w:ascii="Times New Roman" w:hAnsi="Times New Roman" w:cs="Times New Roman"/>
          <w:i/>
          <w:sz w:val="24"/>
          <w:szCs w:val="24"/>
        </w:rPr>
        <w:t xml:space="preserve">edicine, </w:t>
      </w:r>
      <w:r w:rsidRPr="0094469E">
        <w:rPr>
          <w:rFonts w:ascii="Times New Roman" w:hAnsi="Times New Roman" w:cs="Times New Roman"/>
          <w:b/>
          <w:sz w:val="24"/>
          <w:szCs w:val="24"/>
        </w:rPr>
        <w:t>77</w:t>
      </w:r>
      <w:r w:rsidRPr="0094469E">
        <w:rPr>
          <w:rFonts w:ascii="Times New Roman" w:hAnsi="Times New Roman" w:cs="Times New Roman"/>
          <w:sz w:val="24"/>
          <w:szCs w:val="24"/>
        </w:rPr>
        <w:t>(12, Part 1), 1185-1188.</w:t>
      </w:r>
      <w:bookmarkEnd w:id="559"/>
    </w:p>
    <w:p w14:paraId="3872AF8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0" w:name="_ENREF_53"/>
      <w:r w:rsidRPr="0094469E">
        <w:rPr>
          <w:rFonts w:ascii="Times New Roman" w:hAnsi="Times New Roman" w:cs="Times New Roman"/>
          <w:sz w:val="24"/>
          <w:szCs w:val="24"/>
        </w:rPr>
        <w:t xml:space="preserve">Brannen, J., and Bergman, M. (2008). The practice of a mixed methods research strategy: Personal, professional and project considerations </w:t>
      </w:r>
      <w:r w:rsidRPr="0094469E">
        <w:rPr>
          <w:rFonts w:ascii="Times New Roman" w:hAnsi="Times New Roman" w:cs="Times New Roman"/>
          <w:i/>
          <w:sz w:val="24"/>
          <w:szCs w:val="24"/>
        </w:rPr>
        <w:t>Advances in mixed methods research: Theories and applications</w:t>
      </w:r>
      <w:r w:rsidRPr="0094469E">
        <w:rPr>
          <w:rFonts w:ascii="Times New Roman" w:hAnsi="Times New Roman" w:cs="Times New Roman"/>
          <w:sz w:val="24"/>
          <w:szCs w:val="24"/>
        </w:rPr>
        <w:t xml:space="preserve"> (pp. 53-65).</w:t>
      </w:r>
      <w:bookmarkEnd w:id="560"/>
    </w:p>
    <w:p w14:paraId="2E09E9B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1" w:name="_ENREF_54"/>
      <w:r w:rsidRPr="0094469E">
        <w:rPr>
          <w:rFonts w:ascii="Times New Roman" w:hAnsi="Times New Roman" w:cs="Times New Roman"/>
          <w:sz w:val="24"/>
          <w:szCs w:val="24"/>
        </w:rPr>
        <w:t xml:space="preserve">Braun, V., and Clarke, V. (2006). Using thematic analysis in psychology. </w:t>
      </w:r>
      <w:r w:rsidRPr="0094469E">
        <w:rPr>
          <w:rFonts w:ascii="Times New Roman" w:hAnsi="Times New Roman" w:cs="Times New Roman"/>
          <w:i/>
          <w:sz w:val="24"/>
          <w:szCs w:val="24"/>
        </w:rPr>
        <w:t xml:space="preserve">Qualitative research in psychology, </w:t>
      </w:r>
      <w:r w:rsidRPr="0094469E">
        <w:rPr>
          <w:rFonts w:ascii="Times New Roman" w:hAnsi="Times New Roman" w:cs="Times New Roman"/>
          <w:b/>
          <w:sz w:val="24"/>
          <w:szCs w:val="24"/>
        </w:rPr>
        <w:t>3</w:t>
      </w:r>
      <w:r w:rsidRPr="0094469E">
        <w:rPr>
          <w:rFonts w:ascii="Times New Roman" w:hAnsi="Times New Roman" w:cs="Times New Roman"/>
          <w:sz w:val="24"/>
          <w:szCs w:val="24"/>
        </w:rPr>
        <w:t>(2), 77-101.</w:t>
      </w:r>
      <w:bookmarkEnd w:id="561"/>
    </w:p>
    <w:p w14:paraId="6ADE974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2" w:name="_ENREF_55"/>
      <w:r w:rsidRPr="0094469E">
        <w:rPr>
          <w:rFonts w:ascii="Times New Roman" w:hAnsi="Times New Roman" w:cs="Times New Roman"/>
          <w:sz w:val="24"/>
          <w:szCs w:val="24"/>
        </w:rPr>
        <w:t xml:space="preserve">Brown, J. M., Miller, W. R., and Lawendowski, L. A. (1999). The Self-Regulation Questionnaire. In L. V. T. L. Jackson (Ed.), </w:t>
      </w:r>
      <w:r w:rsidRPr="0094469E">
        <w:rPr>
          <w:rFonts w:ascii="Times New Roman" w:hAnsi="Times New Roman" w:cs="Times New Roman"/>
          <w:i/>
          <w:sz w:val="24"/>
          <w:szCs w:val="24"/>
        </w:rPr>
        <w:t>Innovations in clinical practice: A source book</w:t>
      </w:r>
      <w:r w:rsidRPr="0094469E">
        <w:rPr>
          <w:rFonts w:ascii="Times New Roman" w:hAnsi="Times New Roman" w:cs="Times New Roman"/>
          <w:sz w:val="24"/>
          <w:szCs w:val="24"/>
        </w:rPr>
        <w:t xml:space="preserve"> (Vol. 17, pp. 281-292). Sarasota, FL: Professional Resources Press.</w:t>
      </w:r>
      <w:bookmarkEnd w:id="562"/>
    </w:p>
    <w:p w14:paraId="2353552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3" w:name="_ENREF_56"/>
      <w:r w:rsidRPr="0094469E">
        <w:rPr>
          <w:rFonts w:ascii="Times New Roman" w:hAnsi="Times New Roman" w:cs="Times New Roman"/>
          <w:sz w:val="24"/>
          <w:szCs w:val="24"/>
        </w:rPr>
        <w:t>Brydges, R., Manzone, J., Shanks, D., Hatala, R., Hamstra, S. J., Zendejas, B., and Cook, D. A. (2015). Self</w:t>
      </w:r>
      <w:r w:rsidRPr="0094469E">
        <w:rPr>
          <w:rFonts w:ascii="Cambria Math" w:hAnsi="Cambria Math" w:cs="Cambria Math"/>
          <w:sz w:val="24"/>
          <w:szCs w:val="24"/>
        </w:rPr>
        <w:t>‐</w:t>
      </w:r>
      <w:r w:rsidRPr="0094469E">
        <w:rPr>
          <w:rFonts w:ascii="Times New Roman" w:hAnsi="Times New Roman" w:cs="Times New Roman"/>
          <w:sz w:val="24"/>
          <w:szCs w:val="24"/>
        </w:rPr>
        <w:t>regulated learning in simulation</w:t>
      </w:r>
      <w:r w:rsidRPr="0094469E">
        <w:rPr>
          <w:rFonts w:ascii="Cambria Math" w:hAnsi="Cambria Math" w:cs="Cambria Math"/>
          <w:sz w:val="24"/>
          <w:szCs w:val="24"/>
        </w:rPr>
        <w:t>‐</w:t>
      </w:r>
      <w:r w:rsidRPr="0094469E">
        <w:rPr>
          <w:rFonts w:ascii="Times New Roman" w:hAnsi="Times New Roman" w:cs="Times New Roman"/>
          <w:sz w:val="24"/>
          <w:szCs w:val="24"/>
        </w:rPr>
        <w:t>based training: a systematic review and meta</w:t>
      </w:r>
      <w:r w:rsidRPr="0094469E">
        <w:rPr>
          <w:rFonts w:ascii="Cambria Math" w:hAnsi="Cambria Math" w:cs="Cambria Math"/>
          <w:sz w:val="24"/>
          <w:szCs w:val="24"/>
        </w:rPr>
        <w:t>‐</w:t>
      </w:r>
      <w:r w:rsidRPr="0094469E">
        <w:rPr>
          <w:rFonts w:ascii="Times New Roman" w:hAnsi="Times New Roman" w:cs="Times New Roman"/>
          <w:sz w:val="24"/>
          <w:szCs w:val="24"/>
        </w:rPr>
        <w:t xml:space="preserve">analysis.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(4), 368-378.</w:t>
      </w:r>
      <w:bookmarkEnd w:id="563"/>
    </w:p>
    <w:p w14:paraId="03BBF35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4" w:name="_ENREF_57"/>
      <w:r w:rsidRPr="0094469E">
        <w:rPr>
          <w:rFonts w:ascii="Times New Roman" w:hAnsi="Times New Roman" w:cs="Times New Roman"/>
          <w:sz w:val="24"/>
          <w:szCs w:val="24"/>
        </w:rPr>
        <w:t xml:space="preserve">Bryman, A. (2003). </w:t>
      </w:r>
      <w:r w:rsidRPr="0094469E">
        <w:rPr>
          <w:rFonts w:ascii="Times New Roman" w:hAnsi="Times New Roman" w:cs="Times New Roman"/>
          <w:i/>
          <w:sz w:val="24"/>
          <w:szCs w:val="24"/>
        </w:rPr>
        <w:t>Quantity and quality in social research</w:t>
      </w:r>
      <w:r w:rsidRPr="0094469E">
        <w:rPr>
          <w:rFonts w:ascii="Times New Roman" w:hAnsi="Times New Roman" w:cs="Times New Roman"/>
          <w:sz w:val="24"/>
          <w:szCs w:val="24"/>
        </w:rPr>
        <w:t>: Routledge.</w:t>
      </w:r>
      <w:bookmarkEnd w:id="564"/>
    </w:p>
    <w:p w14:paraId="1B96D648" w14:textId="39F87C15" w:rsidR="0094469E" w:rsidRPr="0094469E" w:rsidRDefault="0094469E" w:rsidP="0094469E">
      <w:pPr>
        <w:pStyle w:val="EndNoteBibliography"/>
        <w:spacing w:line="360" w:lineRule="auto"/>
        <w:rPr>
          <w:rFonts w:ascii="Times New Roman" w:hAnsi="Times New Roman" w:cs="Times New Roman"/>
          <w:sz w:val="24"/>
          <w:szCs w:val="24"/>
        </w:rPr>
      </w:pPr>
      <w:bookmarkStart w:id="565" w:name="_ENREF_58"/>
      <w:r w:rsidRPr="0094469E">
        <w:rPr>
          <w:rFonts w:ascii="Times New Roman" w:hAnsi="Times New Roman" w:cs="Times New Roman"/>
          <w:sz w:val="24"/>
          <w:szCs w:val="24"/>
        </w:rPr>
        <w:t xml:space="preserve">Bryman, A. (2006a). Integrating quantitative and qualitative research: how is it done? </w:t>
      </w:r>
      <w:r w:rsidRPr="0094469E">
        <w:rPr>
          <w:rFonts w:ascii="Times New Roman" w:hAnsi="Times New Roman" w:cs="Times New Roman"/>
          <w:i/>
          <w:sz w:val="24"/>
          <w:szCs w:val="24"/>
        </w:rPr>
        <w:t xml:space="preserve">Qualitative </w:t>
      </w:r>
      <w:r w:rsidR="00ED770A">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Pr="0094469E">
        <w:rPr>
          <w:rFonts w:ascii="Times New Roman" w:hAnsi="Times New Roman" w:cs="Times New Roman"/>
          <w:b/>
          <w:sz w:val="24"/>
          <w:szCs w:val="24"/>
        </w:rPr>
        <w:t>6</w:t>
      </w:r>
      <w:r w:rsidRPr="0094469E">
        <w:rPr>
          <w:rFonts w:ascii="Times New Roman" w:hAnsi="Times New Roman" w:cs="Times New Roman"/>
          <w:sz w:val="24"/>
          <w:szCs w:val="24"/>
        </w:rPr>
        <w:t>(1), 97-113.</w:t>
      </w:r>
      <w:bookmarkEnd w:id="565"/>
    </w:p>
    <w:p w14:paraId="02355E48" w14:textId="58410ED7" w:rsidR="0094469E" w:rsidRPr="0094469E" w:rsidRDefault="0094469E" w:rsidP="0094469E">
      <w:pPr>
        <w:pStyle w:val="EndNoteBibliography"/>
        <w:spacing w:line="360" w:lineRule="auto"/>
        <w:rPr>
          <w:rFonts w:ascii="Times New Roman" w:hAnsi="Times New Roman" w:cs="Times New Roman"/>
          <w:sz w:val="24"/>
          <w:szCs w:val="24"/>
        </w:rPr>
      </w:pPr>
      <w:bookmarkStart w:id="566" w:name="_ENREF_59"/>
      <w:r w:rsidRPr="0094469E">
        <w:rPr>
          <w:rFonts w:ascii="Times New Roman" w:hAnsi="Times New Roman" w:cs="Times New Roman"/>
          <w:sz w:val="24"/>
          <w:szCs w:val="24"/>
        </w:rPr>
        <w:t xml:space="preserve">Bryman, A. (2006b). Paradigm peace and the implications for quality. </w:t>
      </w:r>
      <w:r w:rsidRPr="0094469E">
        <w:rPr>
          <w:rFonts w:ascii="Times New Roman" w:hAnsi="Times New Roman" w:cs="Times New Roman"/>
          <w:i/>
          <w:sz w:val="24"/>
          <w:szCs w:val="24"/>
        </w:rPr>
        <w:t xml:space="preserve">International Journal of </w:t>
      </w:r>
      <w:r w:rsidR="00ED770A">
        <w:rPr>
          <w:rFonts w:ascii="Times New Roman" w:hAnsi="Times New Roman" w:cs="Times New Roman"/>
          <w:i/>
          <w:sz w:val="24"/>
          <w:szCs w:val="24"/>
        </w:rPr>
        <w:t>s</w:t>
      </w:r>
      <w:r w:rsidRPr="0094469E">
        <w:rPr>
          <w:rFonts w:ascii="Times New Roman" w:hAnsi="Times New Roman" w:cs="Times New Roman"/>
          <w:i/>
          <w:sz w:val="24"/>
          <w:szCs w:val="24"/>
        </w:rPr>
        <w:t xml:space="preserve">ocial </w:t>
      </w:r>
      <w:r w:rsidR="00ED770A">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00ED770A">
        <w:rPr>
          <w:rFonts w:ascii="Times New Roman" w:hAnsi="Times New Roman" w:cs="Times New Roman"/>
          <w:i/>
          <w:sz w:val="24"/>
          <w:szCs w:val="24"/>
        </w:rPr>
        <w:t>m</w:t>
      </w:r>
      <w:r w:rsidRPr="0094469E">
        <w:rPr>
          <w:rFonts w:ascii="Times New Roman" w:hAnsi="Times New Roman" w:cs="Times New Roman"/>
          <w:i/>
          <w:sz w:val="24"/>
          <w:szCs w:val="24"/>
        </w:rPr>
        <w:t xml:space="preserve">ethodology, </w:t>
      </w:r>
      <w:r w:rsidRPr="0094469E">
        <w:rPr>
          <w:rFonts w:ascii="Times New Roman" w:hAnsi="Times New Roman" w:cs="Times New Roman"/>
          <w:b/>
          <w:sz w:val="24"/>
          <w:szCs w:val="24"/>
        </w:rPr>
        <w:t>9</w:t>
      </w:r>
      <w:r w:rsidRPr="0094469E">
        <w:rPr>
          <w:rFonts w:ascii="Times New Roman" w:hAnsi="Times New Roman" w:cs="Times New Roman"/>
          <w:sz w:val="24"/>
          <w:szCs w:val="24"/>
        </w:rPr>
        <w:t>(2), 111-126.</w:t>
      </w:r>
      <w:bookmarkEnd w:id="566"/>
    </w:p>
    <w:p w14:paraId="329C9A2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67" w:name="_ENREF_60"/>
      <w:r w:rsidRPr="0094469E">
        <w:rPr>
          <w:rFonts w:ascii="Times New Roman" w:hAnsi="Times New Roman" w:cs="Times New Roman"/>
          <w:sz w:val="24"/>
          <w:szCs w:val="24"/>
        </w:rPr>
        <w:t xml:space="preserve">Bryman, A. (2008). Why do researchers integrate/combine/mesh/blend/mix/merge/fuse quantitative and qualitative research </w:t>
      </w:r>
      <w:r w:rsidRPr="0094469E">
        <w:rPr>
          <w:rFonts w:ascii="Times New Roman" w:hAnsi="Times New Roman" w:cs="Times New Roman"/>
          <w:i/>
          <w:sz w:val="24"/>
          <w:szCs w:val="24"/>
        </w:rPr>
        <w:t>Advances in mixed methods research</w:t>
      </w:r>
      <w:r w:rsidRPr="0094469E">
        <w:rPr>
          <w:rFonts w:ascii="Times New Roman" w:hAnsi="Times New Roman" w:cs="Times New Roman"/>
          <w:sz w:val="24"/>
          <w:szCs w:val="24"/>
        </w:rPr>
        <w:t xml:space="preserve"> (pp. 87-100): Sage.</w:t>
      </w:r>
      <w:bookmarkEnd w:id="567"/>
    </w:p>
    <w:p w14:paraId="26AA1422" w14:textId="6F04A625" w:rsidR="0094469E" w:rsidRPr="0094469E" w:rsidRDefault="0094469E" w:rsidP="0094469E">
      <w:pPr>
        <w:pStyle w:val="EndNoteBibliography"/>
        <w:spacing w:line="360" w:lineRule="auto"/>
        <w:rPr>
          <w:rFonts w:ascii="Times New Roman" w:hAnsi="Times New Roman" w:cs="Times New Roman"/>
          <w:sz w:val="24"/>
          <w:szCs w:val="24"/>
        </w:rPr>
      </w:pPr>
      <w:bookmarkStart w:id="568" w:name="_ENREF_61"/>
      <w:r w:rsidRPr="0094469E">
        <w:rPr>
          <w:rFonts w:ascii="Times New Roman" w:hAnsi="Times New Roman" w:cs="Times New Roman"/>
          <w:sz w:val="24"/>
          <w:szCs w:val="24"/>
        </w:rPr>
        <w:t xml:space="preserve">Buchbinder, E. (2011). Beyond checking: Experiences of the validation interview. </w:t>
      </w:r>
      <w:r w:rsidRPr="0094469E">
        <w:rPr>
          <w:rFonts w:ascii="Times New Roman" w:hAnsi="Times New Roman" w:cs="Times New Roman"/>
          <w:i/>
          <w:sz w:val="24"/>
          <w:szCs w:val="24"/>
        </w:rPr>
        <w:t xml:space="preserve">Qualitative </w:t>
      </w:r>
      <w:r w:rsidR="00ED770A">
        <w:rPr>
          <w:rFonts w:ascii="Times New Roman" w:hAnsi="Times New Roman" w:cs="Times New Roman"/>
          <w:i/>
          <w:sz w:val="24"/>
          <w:szCs w:val="24"/>
        </w:rPr>
        <w:t>s</w:t>
      </w:r>
      <w:r w:rsidRPr="0094469E">
        <w:rPr>
          <w:rFonts w:ascii="Times New Roman" w:hAnsi="Times New Roman" w:cs="Times New Roman"/>
          <w:i/>
          <w:sz w:val="24"/>
          <w:szCs w:val="24"/>
        </w:rPr>
        <w:t xml:space="preserve">ocial </w:t>
      </w:r>
      <w:r w:rsidR="00ED770A">
        <w:rPr>
          <w:rFonts w:ascii="Times New Roman" w:hAnsi="Times New Roman" w:cs="Times New Roman"/>
          <w:i/>
          <w:sz w:val="24"/>
          <w:szCs w:val="24"/>
        </w:rPr>
        <w:t>w</w:t>
      </w:r>
      <w:r w:rsidRPr="0094469E">
        <w:rPr>
          <w:rFonts w:ascii="Times New Roman" w:hAnsi="Times New Roman" w:cs="Times New Roman"/>
          <w:i/>
          <w:sz w:val="24"/>
          <w:szCs w:val="24"/>
        </w:rPr>
        <w:t xml:space="preserve">ork, </w:t>
      </w:r>
      <w:r w:rsidRPr="0094469E">
        <w:rPr>
          <w:rFonts w:ascii="Times New Roman" w:hAnsi="Times New Roman" w:cs="Times New Roman"/>
          <w:b/>
          <w:sz w:val="24"/>
          <w:szCs w:val="24"/>
        </w:rPr>
        <w:t>10</w:t>
      </w:r>
      <w:r w:rsidRPr="0094469E">
        <w:rPr>
          <w:rFonts w:ascii="Times New Roman" w:hAnsi="Times New Roman" w:cs="Times New Roman"/>
          <w:sz w:val="24"/>
          <w:szCs w:val="24"/>
        </w:rPr>
        <w:t>(1), 106-122.</w:t>
      </w:r>
      <w:bookmarkEnd w:id="568"/>
    </w:p>
    <w:p w14:paraId="761F7046" w14:textId="2066CA96" w:rsidR="0094469E" w:rsidRPr="0094469E" w:rsidRDefault="0094469E" w:rsidP="0094469E">
      <w:pPr>
        <w:pStyle w:val="EndNoteBibliography"/>
        <w:spacing w:line="360" w:lineRule="auto"/>
        <w:rPr>
          <w:rFonts w:ascii="Times New Roman" w:hAnsi="Times New Roman" w:cs="Times New Roman"/>
          <w:sz w:val="24"/>
          <w:szCs w:val="24"/>
        </w:rPr>
      </w:pPr>
      <w:bookmarkStart w:id="569" w:name="_ENREF_62"/>
      <w:r w:rsidRPr="0094469E">
        <w:rPr>
          <w:rFonts w:ascii="Times New Roman" w:hAnsi="Times New Roman" w:cs="Times New Roman"/>
          <w:sz w:val="24"/>
          <w:szCs w:val="24"/>
        </w:rPr>
        <w:lastRenderedPageBreak/>
        <w:t xml:space="preserve">Bussey, K. (2011). The influence of gender on students’ self-regulated learning and performance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xml:space="preserve"> (pp. 408-441): Taylor </w:t>
      </w:r>
      <w:r w:rsidR="00ED770A">
        <w:rPr>
          <w:rFonts w:ascii="Times New Roman" w:hAnsi="Times New Roman" w:cs="Times New Roman"/>
          <w:sz w:val="24"/>
          <w:szCs w:val="24"/>
        </w:rPr>
        <w:t>and</w:t>
      </w:r>
      <w:r w:rsidRPr="0094469E">
        <w:rPr>
          <w:rFonts w:ascii="Times New Roman" w:hAnsi="Times New Roman" w:cs="Times New Roman"/>
          <w:sz w:val="24"/>
          <w:szCs w:val="24"/>
        </w:rPr>
        <w:t xml:space="preserve"> Francis.</w:t>
      </w:r>
      <w:bookmarkEnd w:id="569"/>
    </w:p>
    <w:p w14:paraId="742A2B2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0" w:name="_ENREF_63"/>
      <w:r w:rsidRPr="0094469E">
        <w:rPr>
          <w:rFonts w:ascii="Times New Roman" w:hAnsi="Times New Roman" w:cs="Times New Roman"/>
          <w:sz w:val="24"/>
          <w:szCs w:val="24"/>
        </w:rPr>
        <w:t xml:space="preserve">Butler, D. L. (2002). Individualizing instruction in self-regulated learning. </w:t>
      </w:r>
      <w:r w:rsidRPr="0094469E">
        <w:rPr>
          <w:rFonts w:ascii="Times New Roman" w:hAnsi="Times New Roman" w:cs="Times New Roman"/>
          <w:i/>
          <w:sz w:val="24"/>
          <w:szCs w:val="24"/>
        </w:rPr>
        <w:t xml:space="preserve">Theory into practice, </w:t>
      </w:r>
      <w:r w:rsidRPr="0094469E">
        <w:rPr>
          <w:rFonts w:ascii="Times New Roman" w:hAnsi="Times New Roman" w:cs="Times New Roman"/>
          <w:b/>
          <w:sz w:val="24"/>
          <w:szCs w:val="24"/>
        </w:rPr>
        <w:t>41</w:t>
      </w:r>
      <w:r w:rsidRPr="0094469E">
        <w:rPr>
          <w:rFonts w:ascii="Times New Roman" w:hAnsi="Times New Roman" w:cs="Times New Roman"/>
          <w:sz w:val="24"/>
          <w:szCs w:val="24"/>
        </w:rPr>
        <w:t>(2), 81-92.</w:t>
      </w:r>
      <w:bookmarkEnd w:id="570"/>
    </w:p>
    <w:p w14:paraId="475F1E9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1" w:name="_ENREF_64"/>
      <w:r w:rsidRPr="0094469E">
        <w:rPr>
          <w:rFonts w:ascii="Times New Roman" w:hAnsi="Times New Roman" w:cs="Times New Roman"/>
          <w:sz w:val="24"/>
          <w:szCs w:val="24"/>
        </w:rPr>
        <w:t>Butler, D. L., and Brydges, R. (2013). Learning in the health professions: what does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regulation have to do with it?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47</w:t>
      </w:r>
      <w:r w:rsidRPr="0094469E">
        <w:rPr>
          <w:rFonts w:ascii="Times New Roman" w:hAnsi="Times New Roman" w:cs="Times New Roman"/>
          <w:sz w:val="24"/>
          <w:szCs w:val="24"/>
        </w:rPr>
        <w:t>(11), 1057-1059.</w:t>
      </w:r>
      <w:bookmarkEnd w:id="571"/>
    </w:p>
    <w:p w14:paraId="7AF3E7B1" w14:textId="3B1BDC25" w:rsidR="0094469E" w:rsidRPr="0094469E" w:rsidRDefault="0094469E" w:rsidP="0094469E">
      <w:pPr>
        <w:pStyle w:val="EndNoteBibliography"/>
        <w:spacing w:line="360" w:lineRule="auto"/>
        <w:rPr>
          <w:rFonts w:ascii="Times New Roman" w:hAnsi="Times New Roman" w:cs="Times New Roman"/>
          <w:sz w:val="24"/>
          <w:szCs w:val="24"/>
        </w:rPr>
      </w:pPr>
      <w:bookmarkStart w:id="572" w:name="_ENREF_65"/>
      <w:r w:rsidRPr="0094469E">
        <w:rPr>
          <w:rFonts w:ascii="Times New Roman" w:hAnsi="Times New Roman" w:cs="Times New Roman"/>
          <w:sz w:val="24"/>
          <w:szCs w:val="24"/>
        </w:rPr>
        <w:t xml:space="preserve">Butler, D. L., and Cartier, S. C. (2004). Promoting effective task interpretation as an important work habit: A key to successful teaching and learning. </w:t>
      </w:r>
      <w:r w:rsidRPr="0094469E">
        <w:rPr>
          <w:rFonts w:ascii="Times New Roman" w:hAnsi="Times New Roman" w:cs="Times New Roman"/>
          <w:i/>
          <w:sz w:val="24"/>
          <w:szCs w:val="24"/>
        </w:rPr>
        <w:t xml:space="preserve">Teachers </w:t>
      </w:r>
      <w:r w:rsidR="00ED770A">
        <w:rPr>
          <w:rFonts w:ascii="Times New Roman" w:hAnsi="Times New Roman" w:cs="Times New Roman"/>
          <w:i/>
          <w:sz w:val="24"/>
          <w:szCs w:val="24"/>
        </w:rPr>
        <w:t>c</w:t>
      </w:r>
      <w:r w:rsidRPr="0094469E">
        <w:rPr>
          <w:rFonts w:ascii="Times New Roman" w:hAnsi="Times New Roman" w:cs="Times New Roman"/>
          <w:i/>
          <w:sz w:val="24"/>
          <w:szCs w:val="24"/>
        </w:rPr>
        <w:t xml:space="preserve">ollege </w:t>
      </w:r>
      <w:r w:rsidR="00ED770A">
        <w:rPr>
          <w:rFonts w:ascii="Times New Roman" w:hAnsi="Times New Roman" w:cs="Times New Roman"/>
          <w:i/>
          <w:sz w:val="24"/>
          <w:szCs w:val="24"/>
        </w:rPr>
        <w:t>r</w:t>
      </w:r>
      <w:r w:rsidRPr="0094469E">
        <w:rPr>
          <w:rFonts w:ascii="Times New Roman" w:hAnsi="Times New Roman" w:cs="Times New Roman"/>
          <w:i/>
          <w:sz w:val="24"/>
          <w:szCs w:val="24"/>
        </w:rPr>
        <w:t xml:space="preserve">ecord, </w:t>
      </w:r>
      <w:r w:rsidRPr="0094469E">
        <w:rPr>
          <w:rFonts w:ascii="Times New Roman" w:hAnsi="Times New Roman" w:cs="Times New Roman"/>
          <w:b/>
          <w:sz w:val="24"/>
          <w:szCs w:val="24"/>
        </w:rPr>
        <w:t>106</w:t>
      </w:r>
      <w:r w:rsidRPr="0094469E">
        <w:rPr>
          <w:rFonts w:ascii="Times New Roman" w:hAnsi="Times New Roman" w:cs="Times New Roman"/>
          <w:sz w:val="24"/>
          <w:szCs w:val="24"/>
        </w:rPr>
        <w:t>(9), 1729-1758.</w:t>
      </w:r>
      <w:bookmarkEnd w:id="572"/>
    </w:p>
    <w:p w14:paraId="7027824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3" w:name="_ENREF_66"/>
      <w:r w:rsidRPr="0094469E">
        <w:rPr>
          <w:rFonts w:ascii="Times New Roman" w:hAnsi="Times New Roman" w:cs="Times New Roman"/>
          <w:sz w:val="24"/>
          <w:szCs w:val="24"/>
        </w:rPr>
        <w:t xml:space="preserve">Butler, D. L., and Winne, P. H. (1995). Feedback and self-regulated learning: A theoretical synthesis. </w:t>
      </w:r>
      <w:r w:rsidRPr="0094469E">
        <w:rPr>
          <w:rFonts w:ascii="Times New Roman" w:hAnsi="Times New Roman" w:cs="Times New Roman"/>
          <w:i/>
          <w:sz w:val="24"/>
          <w:szCs w:val="24"/>
        </w:rPr>
        <w:t xml:space="preserve">Review of educational research, </w:t>
      </w:r>
      <w:r w:rsidRPr="0094469E">
        <w:rPr>
          <w:rFonts w:ascii="Times New Roman" w:hAnsi="Times New Roman" w:cs="Times New Roman"/>
          <w:b/>
          <w:sz w:val="24"/>
          <w:szCs w:val="24"/>
        </w:rPr>
        <w:t>65</w:t>
      </w:r>
      <w:r w:rsidRPr="0094469E">
        <w:rPr>
          <w:rFonts w:ascii="Times New Roman" w:hAnsi="Times New Roman" w:cs="Times New Roman"/>
          <w:sz w:val="24"/>
          <w:szCs w:val="24"/>
        </w:rPr>
        <w:t>(3), 245-281.</w:t>
      </w:r>
      <w:bookmarkEnd w:id="573"/>
    </w:p>
    <w:p w14:paraId="46DF729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4" w:name="_ENREF_67"/>
      <w:r w:rsidRPr="0094469E">
        <w:rPr>
          <w:rFonts w:ascii="Times New Roman" w:hAnsi="Times New Roman" w:cs="Times New Roman"/>
          <w:sz w:val="24"/>
          <w:szCs w:val="24"/>
        </w:rPr>
        <w:t xml:space="preserve">Campbell, D. T., and Fiske, D. W. (1959). Convergent and discriminant validation by the multitrait-multimethod matrix. </w:t>
      </w:r>
      <w:r w:rsidRPr="0094469E">
        <w:rPr>
          <w:rFonts w:ascii="Times New Roman" w:hAnsi="Times New Roman" w:cs="Times New Roman"/>
          <w:i/>
          <w:sz w:val="24"/>
          <w:szCs w:val="24"/>
        </w:rPr>
        <w:t xml:space="preserve">Psychological bulletin, </w:t>
      </w:r>
      <w:r w:rsidRPr="0094469E">
        <w:rPr>
          <w:rFonts w:ascii="Times New Roman" w:hAnsi="Times New Roman" w:cs="Times New Roman"/>
          <w:b/>
          <w:sz w:val="24"/>
          <w:szCs w:val="24"/>
        </w:rPr>
        <w:t>56</w:t>
      </w:r>
      <w:r w:rsidRPr="0094469E">
        <w:rPr>
          <w:rFonts w:ascii="Times New Roman" w:hAnsi="Times New Roman" w:cs="Times New Roman"/>
          <w:sz w:val="24"/>
          <w:szCs w:val="24"/>
        </w:rPr>
        <w:t>(2), 81.</w:t>
      </w:r>
      <w:bookmarkEnd w:id="574"/>
    </w:p>
    <w:p w14:paraId="30A0266A" w14:textId="36D93ED9" w:rsidR="0094469E" w:rsidRPr="0094469E" w:rsidRDefault="0094469E" w:rsidP="0094469E">
      <w:pPr>
        <w:pStyle w:val="EndNoteBibliography"/>
        <w:spacing w:line="360" w:lineRule="auto"/>
        <w:rPr>
          <w:rFonts w:ascii="Times New Roman" w:hAnsi="Times New Roman" w:cs="Times New Roman"/>
          <w:sz w:val="24"/>
          <w:szCs w:val="24"/>
        </w:rPr>
      </w:pPr>
      <w:bookmarkStart w:id="575" w:name="_ENREF_68"/>
      <w:r w:rsidRPr="0094469E">
        <w:rPr>
          <w:rFonts w:ascii="Times New Roman" w:hAnsi="Times New Roman" w:cs="Times New Roman"/>
          <w:sz w:val="24"/>
          <w:szCs w:val="24"/>
        </w:rPr>
        <w:t xml:space="preserve">Campbell, M., Fitzpatrick, R., Haines, A., Kinmonth, A. L., Sandercock, P., Spiegelhalter, D., and Tyrer, P. (2000). Framework for design and evaluation of complex interventions to improve health.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(Clinical research ed.), </w:t>
      </w:r>
      <w:r w:rsidRPr="0094469E">
        <w:rPr>
          <w:rFonts w:ascii="Times New Roman" w:hAnsi="Times New Roman" w:cs="Times New Roman"/>
          <w:b/>
          <w:sz w:val="24"/>
          <w:szCs w:val="24"/>
        </w:rPr>
        <w:t>321</w:t>
      </w:r>
      <w:r w:rsidRPr="0094469E">
        <w:rPr>
          <w:rFonts w:ascii="Times New Roman" w:hAnsi="Times New Roman" w:cs="Times New Roman"/>
          <w:sz w:val="24"/>
          <w:szCs w:val="24"/>
        </w:rPr>
        <w:t>(7262), 694-696.</w:t>
      </w:r>
      <w:bookmarkEnd w:id="575"/>
    </w:p>
    <w:p w14:paraId="3A2CE2FA" w14:textId="474CE8A4" w:rsidR="0094469E" w:rsidRPr="0094469E" w:rsidRDefault="0094469E" w:rsidP="0094469E">
      <w:pPr>
        <w:pStyle w:val="EndNoteBibliography"/>
        <w:spacing w:line="360" w:lineRule="auto"/>
        <w:rPr>
          <w:rFonts w:ascii="Times New Roman" w:hAnsi="Times New Roman" w:cs="Times New Roman"/>
          <w:sz w:val="24"/>
          <w:szCs w:val="24"/>
        </w:rPr>
      </w:pPr>
      <w:bookmarkStart w:id="576" w:name="_ENREF_69"/>
      <w:r w:rsidRPr="0094469E">
        <w:rPr>
          <w:rFonts w:ascii="Times New Roman" w:hAnsi="Times New Roman" w:cs="Times New Roman"/>
          <w:sz w:val="24"/>
          <w:szCs w:val="24"/>
        </w:rPr>
        <w:t xml:space="preserve">Campbell, N. C., Murray, E., Darbyshire, J., Emery, J., Farmer, A., Griffiths, F., Guthrie, B., Lester, H., Wilson, P., and Kinmonth, A. L. (2007). Designing and evaluating complex interventions to improve health care.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(Clinical research ed.), </w:t>
      </w:r>
      <w:r w:rsidRPr="0094469E">
        <w:rPr>
          <w:rFonts w:ascii="Times New Roman" w:hAnsi="Times New Roman" w:cs="Times New Roman"/>
          <w:b/>
          <w:sz w:val="24"/>
          <w:szCs w:val="24"/>
        </w:rPr>
        <w:t>334</w:t>
      </w:r>
      <w:r w:rsidRPr="0094469E">
        <w:rPr>
          <w:rFonts w:ascii="Times New Roman" w:hAnsi="Times New Roman" w:cs="Times New Roman"/>
          <w:sz w:val="24"/>
          <w:szCs w:val="24"/>
        </w:rPr>
        <w:t>(7591), 455-459.</w:t>
      </w:r>
      <w:bookmarkEnd w:id="576"/>
    </w:p>
    <w:p w14:paraId="63EB957A" w14:textId="6C85C54D" w:rsidR="0094469E" w:rsidRPr="0094469E" w:rsidRDefault="0094469E" w:rsidP="0094469E">
      <w:pPr>
        <w:pStyle w:val="EndNoteBibliography"/>
        <w:spacing w:line="360" w:lineRule="auto"/>
        <w:rPr>
          <w:rFonts w:ascii="Times New Roman" w:hAnsi="Times New Roman" w:cs="Times New Roman"/>
          <w:sz w:val="24"/>
          <w:szCs w:val="24"/>
        </w:rPr>
      </w:pPr>
      <w:bookmarkStart w:id="577" w:name="_ENREF_70"/>
      <w:r w:rsidRPr="0094469E">
        <w:rPr>
          <w:rFonts w:ascii="Times New Roman" w:hAnsi="Times New Roman" w:cs="Times New Roman"/>
          <w:sz w:val="24"/>
          <w:szCs w:val="24"/>
        </w:rPr>
        <w:t xml:space="preserve">Carey, K. B., Neal, D. J., and Collins, S. E. (2004). A psychometric analysis of the self-regulation questionnaire. </w:t>
      </w:r>
      <w:r w:rsidRPr="0094469E">
        <w:rPr>
          <w:rFonts w:ascii="Times New Roman" w:hAnsi="Times New Roman" w:cs="Times New Roman"/>
          <w:i/>
          <w:sz w:val="24"/>
          <w:szCs w:val="24"/>
        </w:rPr>
        <w:t xml:space="preserve">Addictive </w:t>
      </w:r>
      <w:r w:rsidR="00ED770A">
        <w:rPr>
          <w:rFonts w:ascii="Times New Roman" w:hAnsi="Times New Roman" w:cs="Times New Roman"/>
          <w:i/>
          <w:sz w:val="24"/>
          <w:szCs w:val="24"/>
        </w:rPr>
        <w:t>b</w:t>
      </w:r>
      <w:r w:rsidRPr="0094469E">
        <w:rPr>
          <w:rFonts w:ascii="Times New Roman" w:hAnsi="Times New Roman" w:cs="Times New Roman"/>
          <w:i/>
          <w:sz w:val="24"/>
          <w:szCs w:val="24"/>
        </w:rPr>
        <w:t xml:space="preserve">ehaviors, </w:t>
      </w:r>
      <w:r w:rsidRPr="0094469E">
        <w:rPr>
          <w:rFonts w:ascii="Times New Roman" w:hAnsi="Times New Roman" w:cs="Times New Roman"/>
          <w:b/>
          <w:sz w:val="24"/>
          <w:szCs w:val="24"/>
        </w:rPr>
        <w:t>29</w:t>
      </w:r>
      <w:r w:rsidRPr="0094469E">
        <w:rPr>
          <w:rFonts w:ascii="Times New Roman" w:hAnsi="Times New Roman" w:cs="Times New Roman"/>
          <w:sz w:val="24"/>
          <w:szCs w:val="24"/>
        </w:rPr>
        <w:t>(2), 253-260.</w:t>
      </w:r>
      <w:bookmarkEnd w:id="577"/>
    </w:p>
    <w:p w14:paraId="4773CBD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8" w:name="_ENREF_71"/>
      <w:r w:rsidRPr="0094469E">
        <w:rPr>
          <w:rFonts w:ascii="Times New Roman" w:hAnsi="Times New Roman" w:cs="Times New Roman"/>
          <w:sz w:val="24"/>
          <w:szCs w:val="24"/>
        </w:rPr>
        <w:t xml:space="preserve">Carver, C. S., and Scheier, M. F. (1981). </w:t>
      </w:r>
      <w:r w:rsidRPr="0094469E">
        <w:rPr>
          <w:rFonts w:ascii="Times New Roman" w:hAnsi="Times New Roman" w:cs="Times New Roman"/>
          <w:i/>
          <w:sz w:val="24"/>
          <w:szCs w:val="24"/>
        </w:rPr>
        <w:t>Attention and self-regulation: A control-theory approach to human behavior</w:t>
      </w:r>
      <w:r w:rsidRPr="0094469E">
        <w:rPr>
          <w:rFonts w:ascii="Times New Roman" w:hAnsi="Times New Roman" w:cs="Times New Roman"/>
          <w:sz w:val="24"/>
          <w:szCs w:val="24"/>
        </w:rPr>
        <w:t>. New York: Springer-Verlag.</w:t>
      </w:r>
      <w:bookmarkEnd w:id="578"/>
    </w:p>
    <w:p w14:paraId="4B85D7C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79" w:name="_ENREF_72"/>
      <w:r w:rsidRPr="0094469E">
        <w:rPr>
          <w:rFonts w:ascii="Times New Roman" w:hAnsi="Times New Roman" w:cs="Times New Roman"/>
          <w:sz w:val="24"/>
          <w:szCs w:val="24"/>
        </w:rPr>
        <w:t xml:space="preserve">Carver, C. S., and Scheier, M. F. (2004). Self-regulation of action and affect. </w:t>
      </w:r>
      <w:r w:rsidRPr="0094469E">
        <w:rPr>
          <w:rFonts w:ascii="Times New Roman" w:hAnsi="Times New Roman" w:cs="Times New Roman"/>
          <w:i/>
          <w:sz w:val="24"/>
          <w:szCs w:val="24"/>
        </w:rPr>
        <w:t>Handbook of self-regulation: Research, theory, and applications</w:t>
      </w:r>
      <w:r w:rsidRPr="0094469E">
        <w:rPr>
          <w:rFonts w:ascii="Times New Roman" w:hAnsi="Times New Roman" w:cs="Times New Roman"/>
          <w:sz w:val="24"/>
          <w:szCs w:val="24"/>
        </w:rPr>
        <w:t>, 13-39.</w:t>
      </w:r>
      <w:bookmarkEnd w:id="579"/>
    </w:p>
    <w:p w14:paraId="204A61D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0" w:name="_ENREF_73"/>
      <w:r w:rsidRPr="0094469E">
        <w:rPr>
          <w:rFonts w:ascii="Times New Roman" w:hAnsi="Times New Roman" w:cs="Times New Roman"/>
          <w:sz w:val="24"/>
          <w:szCs w:val="24"/>
        </w:rPr>
        <w:t xml:space="preserve">Charmaz, K. (1995). Between positivism and postmodernism: Implications for methods. </w:t>
      </w:r>
      <w:r w:rsidRPr="0094469E">
        <w:rPr>
          <w:rFonts w:ascii="Times New Roman" w:hAnsi="Times New Roman" w:cs="Times New Roman"/>
          <w:i/>
          <w:sz w:val="24"/>
          <w:szCs w:val="24"/>
        </w:rPr>
        <w:t xml:space="preserve">Studies in symbolic interaction, </w:t>
      </w:r>
      <w:r w:rsidRPr="0094469E">
        <w:rPr>
          <w:rFonts w:ascii="Times New Roman" w:hAnsi="Times New Roman" w:cs="Times New Roman"/>
          <w:b/>
          <w:sz w:val="24"/>
          <w:szCs w:val="24"/>
        </w:rPr>
        <w:t>17</w:t>
      </w:r>
      <w:r w:rsidRPr="0094469E">
        <w:rPr>
          <w:rFonts w:ascii="Times New Roman" w:hAnsi="Times New Roman" w:cs="Times New Roman"/>
          <w:sz w:val="24"/>
          <w:szCs w:val="24"/>
        </w:rPr>
        <w:t>(2), 43-72.</w:t>
      </w:r>
      <w:bookmarkEnd w:id="580"/>
    </w:p>
    <w:p w14:paraId="23E234D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1" w:name="_ENREF_74"/>
      <w:r w:rsidRPr="0094469E">
        <w:rPr>
          <w:rFonts w:ascii="Times New Roman" w:hAnsi="Times New Roman" w:cs="Times New Roman"/>
          <w:sz w:val="24"/>
          <w:szCs w:val="24"/>
        </w:rPr>
        <w:lastRenderedPageBreak/>
        <w:t xml:space="preserve">Chew, K. S., Durning, S. J., and van Merriënboer, J. J. (2016). Teaching metacognition in clinical decision-making using a novel mnemonic checklist: an exploratory study. </w:t>
      </w:r>
      <w:r w:rsidRPr="0094469E">
        <w:rPr>
          <w:rFonts w:ascii="Times New Roman" w:hAnsi="Times New Roman" w:cs="Times New Roman"/>
          <w:i/>
          <w:sz w:val="24"/>
          <w:szCs w:val="24"/>
        </w:rPr>
        <w:t xml:space="preserve">Singapore medical journal, </w:t>
      </w:r>
      <w:r w:rsidRPr="0094469E">
        <w:rPr>
          <w:rFonts w:ascii="Times New Roman" w:hAnsi="Times New Roman" w:cs="Times New Roman"/>
          <w:b/>
          <w:sz w:val="24"/>
          <w:szCs w:val="24"/>
        </w:rPr>
        <w:t>57</w:t>
      </w:r>
      <w:r w:rsidRPr="0094469E">
        <w:rPr>
          <w:rFonts w:ascii="Times New Roman" w:hAnsi="Times New Roman" w:cs="Times New Roman"/>
          <w:sz w:val="24"/>
          <w:szCs w:val="24"/>
        </w:rPr>
        <w:t>(12), 694.</w:t>
      </w:r>
      <w:bookmarkEnd w:id="581"/>
    </w:p>
    <w:p w14:paraId="2ACEE91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2" w:name="_ENREF_75"/>
      <w:r w:rsidRPr="0094469E">
        <w:rPr>
          <w:rFonts w:ascii="Times New Roman" w:hAnsi="Times New Roman" w:cs="Times New Roman"/>
          <w:sz w:val="24"/>
          <w:szCs w:val="24"/>
        </w:rPr>
        <w:t xml:space="preserve">Cho, K. K., Marjadi, B., Langendyk, V., and Hu, W. (2017). Medical student changes in self-regulated learning during the transition to the clinical environment. </w:t>
      </w:r>
      <w:r w:rsidRPr="0094469E">
        <w:rPr>
          <w:rFonts w:ascii="Times New Roman" w:hAnsi="Times New Roman" w:cs="Times New Roman"/>
          <w:i/>
          <w:sz w:val="24"/>
          <w:szCs w:val="24"/>
        </w:rPr>
        <w:t xml:space="preserve">BMC medical education, </w:t>
      </w:r>
      <w:r w:rsidRPr="0094469E">
        <w:rPr>
          <w:rFonts w:ascii="Times New Roman" w:hAnsi="Times New Roman" w:cs="Times New Roman"/>
          <w:b/>
          <w:sz w:val="24"/>
          <w:szCs w:val="24"/>
        </w:rPr>
        <w:t>17</w:t>
      </w:r>
      <w:r w:rsidRPr="0094469E">
        <w:rPr>
          <w:rFonts w:ascii="Times New Roman" w:hAnsi="Times New Roman" w:cs="Times New Roman"/>
          <w:sz w:val="24"/>
          <w:szCs w:val="24"/>
        </w:rPr>
        <w:t>(1), 59.</w:t>
      </w:r>
      <w:bookmarkEnd w:id="582"/>
    </w:p>
    <w:p w14:paraId="0A8A654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3" w:name="_ENREF_76"/>
      <w:r w:rsidRPr="0094469E">
        <w:rPr>
          <w:rFonts w:ascii="Times New Roman" w:hAnsi="Times New Roman" w:cs="Times New Roman"/>
          <w:sz w:val="24"/>
          <w:szCs w:val="24"/>
        </w:rPr>
        <w:t xml:space="preserve">Clark, V. L. P., and Creswell, J. W. (2011). </w:t>
      </w:r>
      <w:r w:rsidRPr="0094469E">
        <w:rPr>
          <w:rFonts w:ascii="Times New Roman" w:hAnsi="Times New Roman" w:cs="Times New Roman"/>
          <w:i/>
          <w:sz w:val="24"/>
          <w:szCs w:val="24"/>
        </w:rPr>
        <w:t>Designing and conducting mixed methods research</w:t>
      </w:r>
      <w:r w:rsidRPr="0094469E">
        <w:rPr>
          <w:rFonts w:ascii="Times New Roman" w:hAnsi="Times New Roman" w:cs="Times New Roman"/>
          <w:sz w:val="24"/>
          <w:szCs w:val="24"/>
        </w:rPr>
        <w:t>: Thousand Oaks, CA: Sage.</w:t>
      </w:r>
      <w:bookmarkEnd w:id="583"/>
    </w:p>
    <w:p w14:paraId="5AFCA53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4" w:name="_ENREF_77"/>
      <w:r w:rsidRPr="0094469E">
        <w:rPr>
          <w:rFonts w:ascii="Times New Roman" w:hAnsi="Times New Roman" w:cs="Times New Roman"/>
          <w:sz w:val="24"/>
          <w:szCs w:val="24"/>
        </w:rPr>
        <w:t xml:space="preserve">Clark, V. L. P., Creswell, J. W., Green, D. O. N., and Shope, R. J. (2008). </w:t>
      </w:r>
      <w:r w:rsidRPr="0094469E">
        <w:rPr>
          <w:rFonts w:ascii="Times New Roman" w:hAnsi="Times New Roman" w:cs="Times New Roman"/>
          <w:i/>
          <w:sz w:val="24"/>
          <w:szCs w:val="24"/>
        </w:rPr>
        <w:t>Mixing quantitative and qualitative approaches: An introduction to emergent mixed methods research</w:t>
      </w:r>
      <w:r w:rsidRPr="0094469E">
        <w:rPr>
          <w:rFonts w:ascii="Times New Roman" w:hAnsi="Times New Roman" w:cs="Times New Roman"/>
          <w:sz w:val="24"/>
          <w:szCs w:val="24"/>
        </w:rPr>
        <w:t>. New York: Guilford.</w:t>
      </w:r>
      <w:bookmarkEnd w:id="584"/>
    </w:p>
    <w:p w14:paraId="091C8C9D" w14:textId="62EF0020" w:rsidR="0094469E" w:rsidRPr="0094469E" w:rsidRDefault="0094469E" w:rsidP="0094469E">
      <w:pPr>
        <w:pStyle w:val="EndNoteBibliography"/>
        <w:spacing w:line="360" w:lineRule="auto"/>
        <w:rPr>
          <w:rFonts w:ascii="Times New Roman" w:hAnsi="Times New Roman" w:cs="Times New Roman"/>
          <w:sz w:val="24"/>
          <w:szCs w:val="24"/>
        </w:rPr>
      </w:pPr>
      <w:bookmarkStart w:id="585" w:name="_ENREF_78"/>
      <w:r w:rsidRPr="0094469E">
        <w:rPr>
          <w:rFonts w:ascii="Times New Roman" w:hAnsi="Times New Roman" w:cs="Times New Roman"/>
          <w:sz w:val="24"/>
          <w:szCs w:val="24"/>
        </w:rPr>
        <w:t xml:space="preserve">Clarke, P. (2003). Towards a greater understanding of the experience of stroke: Integrating quantitative and qualitative methods. </w:t>
      </w:r>
      <w:r w:rsidRPr="0094469E">
        <w:rPr>
          <w:rFonts w:ascii="Times New Roman" w:hAnsi="Times New Roman" w:cs="Times New Roman"/>
          <w:i/>
          <w:sz w:val="24"/>
          <w:szCs w:val="24"/>
        </w:rPr>
        <w:t xml:space="preserve">Journal of </w:t>
      </w:r>
      <w:r w:rsidR="00ED770A">
        <w:rPr>
          <w:rFonts w:ascii="Times New Roman" w:hAnsi="Times New Roman" w:cs="Times New Roman"/>
          <w:i/>
          <w:sz w:val="24"/>
          <w:szCs w:val="24"/>
        </w:rPr>
        <w:t>a</w:t>
      </w:r>
      <w:r w:rsidRPr="0094469E">
        <w:rPr>
          <w:rFonts w:ascii="Times New Roman" w:hAnsi="Times New Roman" w:cs="Times New Roman"/>
          <w:i/>
          <w:sz w:val="24"/>
          <w:szCs w:val="24"/>
        </w:rPr>
        <w:t xml:space="preserve">ging studies, </w:t>
      </w:r>
      <w:r w:rsidRPr="0094469E">
        <w:rPr>
          <w:rFonts w:ascii="Times New Roman" w:hAnsi="Times New Roman" w:cs="Times New Roman"/>
          <w:b/>
          <w:sz w:val="24"/>
          <w:szCs w:val="24"/>
        </w:rPr>
        <w:t>17</w:t>
      </w:r>
      <w:r w:rsidRPr="0094469E">
        <w:rPr>
          <w:rFonts w:ascii="Times New Roman" w:hAnsi="Times New Roman" w:cs="Times New Roman"/>
          <w:sz w:val="24"/>
          <w:szCs w:val="24"/>
        </w:rPr>
        <w:t>(2), 171-187.</w:t>
      </w:r>
      <w:bookmarkEnd w:id="585"/>
    </w:p>
    <w:p w14:paraId="38D42761" w14:textId="30EE896B" w:rsidR="0094469E" w:rsidRPr="0094469E" w:rsidRDefault="0094469E" w:rsidP="0094469E">
      <w:pPr>
        <w:pStyle w:val="EndNoteBibliography"/>
        <w:spacing w:line="360" w:lineRule="auto"/>
        <w:rPr>
          <w:rFonts w:ascii="Times New Roman" w:hAnsi="Times New Roman" w:cs="Times New Roman"/>
          <w:sz w:val="24"/>
          <w:szCs w:val="24"/>
        </w:rPr>
      </w:pPr>
      <w:bookmarkStart w:id="586" w:name="_ENREF_79"/>
      <w:r w:rsidRPr="0094469E">
        <w:rPr>
          <w:rFonts w:ascii="Times New Roman" w:hAnsi="Times New Roman" w:cs="Times New Roman"/>
          <w:sz w:val="24"/>
          <w:szCs w:val="24"/>
        </w:rPr>
        <w:t xml:space="preserve">Cleary, T. J. (2009). School-based motivation and self-regulation assessments: An examination of school psychologist beliefs and practices. </w:t>
      </w:r>
      <w:r w:rsidRPr="0094469E">
        <w:rPr>
          <w:rFonts w:ascii="Times New Roman" w:hAnsi="Times New Roman" w:cs="Times New Roman"/>
          <w:i/>
          <w:sz w:val="24"/>
          <w:szCs w:val="24"/>
        </w:rPr>
        <w:t xml:space="preserve">Journal of </w:t>
      </w:r>
      <w:r w:rsidR="00ED770A">
        <w:rPr>
          <w:rFonts w:ascii="Times New Roman" w:hAnsi="Times New Roman" w:cs="Times New Roman"/>
          <w:i/>
          <w:sz w:val="24"/>
          <w:szCs w:val="24"/>
        </w:rPr>
        <w:t>a</w:t>
      </w:r>
      <w:r w:rsidRPr="0094469E">
        <w:rPr>
          <w:rFonts w:ascii="Times New Roman" w:hAnsi="Times New Roman" w:cs="Times New Roman"/>
          <w:i/>
          <w:sz w:val="24"/>
          <w:szCs w:val="24"/>
        </w:rPr>
        <w:t xml:space="preserve">pplied </w:t>
      </w:r>
      <w:r w:rsidR="00ED770A">
        <w:rPr>
          <w:rFonts w:ascii="Times New Roman" w:hAnsi="Times New Roman" w:cs="Times New Roman"/>
          <w:i/>
          <w:sz w:val="24"/>
          <w:szCs w:val="24"/>
        </w:rPr>
        <w:t>s</w:t>
      </w:r>
      <w:r w:rsidRPr="0094469E">
        <w:rPr>
          <w:rFonts w:ascii="Times New Roman" w:hAnsi="Times New Roman" w:cs="Times New Roman"/>
          <w:i/>
          <w:sz w:val="24"/>
          <w:szCs w:val="24"/>
        </w:rPr>
        <w:t xml:space="preserve">chool Psychology, </w:t>
      </w:r>
      <w:r w:rsidRPr="0094469E">
        <w:rPr>
          <w:rFonts w:ascii="Times New Roman" w:hAnsi="Times New Roman" w:cs="Times New Roman"/>
          <w:b/>
          <w:sz w:val="24"/>
          <w:szCs w:val="24"/>
        </w:rPr>
        <w:t>25</w:t>
      </w:r>
      <w:r w:rsidRPr="0094469E">
        <w:rPr>
          <w:rFonts w:ascii="Times New Roman" w:hAnsi="Times New Roman" w:cs="Times New Roman"/>
          <w:sz w:val="24"/>
          <w:szCs w:val="24"/>
        </w:rPr>
        <w:t>(1), 71-94.</w:t>
      </w:r>
      <w:bookmarkEnd w:id="586"/>
    </w:p>
    <w:p w14:paraId="012642B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87" w:name="_ENREF_80"/>
      <w:r w:rsidRPr="0094469E">
        <w:rPr>
          <w:rFonts w:ascii="Times New Roman" w:hAnsi="Times New Roman" w:cs="Times New Roman"/>
          <w:sz w:val="24"/>
          <w:szCs w:val="24"/>
        </w:rPr>
        <w:t xml:space="preserve">Cleary, T. J. (2011). Emergence of self-regulated learning microanalysis.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329-345.</w:t>
      </w:r>
      <w:bookmarkEnd w:id="587"/>
    </w:p>
    <w:p w14:paraId="08086288" w14:textId="2981D20A" w:rsidR="0094469E" w:rsidRPr="0094469E" w:rsidRDefault="0094469E" w:rsidP="0094469E">
      <w:pPr>
        <w:pStyle w:val="EndNoteBibliography"/>
        <w:spacing w:line="360" w:lineRule="auto"/>
        <w:rPr>
          <w:rFonts w:ascii="Times New Roman" w:hAnsi="Times New Roman" w:cs="Times New Roman"/>
          <w:sz w:val="24"/>
          <w:szCs w:val="24"/>
        </w:rPr>
      </w:pPr>
      <w:bookmarkStart w:id="588" w:name="_ENREF_81"/>
      <w:r w:rsidRPr="0094469E">
        <w:rPr>
          <w:rFonts w:ascii="Times New Roman" w:hAnsi="Times New Roman" w:cs="Times New Roman"/>
          <w:sz w:val="24"/>
          <w:szCs w:val="24"/>
        </w:rPr>
        <w:t>Cleary, T. J., and Callan, G. L. (201</w:t>
      </w:r>
      <w:r w:rsidR="00BD42AF">
        <w:rPr>
          <w:rFonts w:ascii="Times New Roman" w:hAnsi="Times New Roman" w:cs="Times New Roman"/>
          <w:sz w:val="24"/>
          <w:szCs w:val="24"/>
        </w:rPr>
        <w:t>4</w:t>
      </w:r>
      <w:r w:rsidRPr="0094469E">
        <w:rPr>
          <w:rFonts w:ascii="Times New Roman" w:hAnsi="Times New Roman" w:cs="Times New Roman"/>
          <w:sz w:val="24"/>
          <w:szCs w:val="24"/>
        </w:rPr>
        <w:t xml:space="preserve">). Student self-regulated learning in an urban high school: Predictive validity and relations between teacher ratings and student self-reports. </w:t>
      </w:r>
      <w:r w:rsidRPr="0094469E">
        <w:rPr>
          <w:rFonts w:ascii="Times New Roman" w:hAnsi="Times New Roman" w:cs="Times New Roman"/>
          <w:i/>
          <w:sz w:val="24"/>
          <w:szCs w:val="24"/>
        </w:rPr>
        <w:t xml:space="preserve">Journal of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sychoeducational </w:t>
      </w:r>
      <w:r w:rsidR="00BD42AF">
        <w:rPr>
          <w:rFonts w:ascii="Times New Roman" w:hAnsi="Times New Roman" w:cs="Times New Roman"/>
          <w:i/>
          <w:sz w:val="24"/>
          <w:szCs w:val="24"/>
        </w:rPr>
        <w:t>a</w:t>
      </w:r>
      <w:r w:rsidRPr="0094469E">
        <w:rPr>
          <w:rFonts w:ascii="Times New Roman" w:hAnsi="Times New Roman" w:cs="Times New Roman"/>
          <w:i/>
          <w:sz w:val="24"/>
          <w:szCs w:val="24"/>
        </w:rPr>
        <w:t>ssessment</w:t>
      </w:r>
      <w:r w:rsidRPr="00B27F0B">
        <w:rPr>
          <w:rFonts w:ascii="Times New Roman" w:hAnsi="Times New Roman" w:cs="Times New Roman"/>
          <w:b/>
          <w:sz w:val="24"/>
          <w:szCs w:val="24"/>
        </w:rPr>
        <w:t>,</w:t>
      </w:r>
      <w:r w:rsidR="00BD42AF">
        <w:rPr>
          <w:rFonts w:ascii="Times New Roman" w:hAnsi="Times New Roman" w:cs="Times New Roman"/>
          <w:b/>
          <w:sz w:val="24"/>
          <w:szCs w:val="24"/>
        </w:rPr>
        <w:t xml:space="preserve"> 32</w:t>
      </w:r>
      <w:r w:rsidR="00BD42AF">
        <w:rPr>
          <w:rFonts w:ascii="Times New Roman" w:hAnsi="Times New Roman" w:cs="Times New Roman"/>
          <w:sz w:val="24"/>
          <w:szCs w:val="24"/>
        </w:rPr>
        <w:t>(4), 295-305</w:t>
      </w:r>
      <w:r w:rsidRPr="00B27F0B">
        <w:rPr>
          <w:rFonts w:ascii="Times New Roman" w:hAnsi="Times New Roman" w:cs="Times New Roman"/>
          <w:b/>
          <w:sz w:val="24"/>
          <w:szCs w:val="24"/>
        </w:rPr>
        <w:t>.</w:t>
      </w:r>
      <w:bookmarkEnd w:id="588"/>
    </w:p>
    <w:p w14:paraId="1FFEF89F" w14:textId="29C315D3" w:rsidR="0094469E" w:rsidRPr="0094469E" w:rsidRDefault="0094469E" w:rsidP="0094469E">
      <w:pPr>
        <w:pStyle w:val="EndNoteBibliography"/>
        <w:spacing w:line="360" w:lineRule="auto"/>
        <w:rPr>
          <w:rFonts w:ascii="Times New Roman" w:hAnsi="Times New Roman" w:cs="Times New Roman"/>
          <w:sz w:val="24"/>
          <w:szCs w:val="24"/>
        </w:rPr>
      </w:pPr>
      <w:bookmarkStart w:id="589" w:name="_ENREF_82"/>
      <w:r w:rsidRPr="0094469E">
        <w:rPr>
          <w:rFonts w:ascii="Times New Roman" w:hAnsi="Times New Roman" w:cs="Times New Roman"/>
          <w:sz w:val="24"/>
          <w:szCs w:val="24"/>
        </w:rPr>
        <w:t xml:space="preserve">Cleary, T. J., Callan, G. L., Malatesta, J., and Adams, T. (2015). Examining the level of convergence among self-regulated learning microanalytic processes, achievement, and a self-report questionnaire. </w:t>
      </w:r>
      <w:r w:rsidRPr="0094469E">
        <w:rPr>
          <w:rFonts w:ascii="Times New Roman" w:hAnsi="Times New Roman" w:cs="Times New Roman"/>
          <w:i/>
          <w:sz w:val="24"/>
          <w:szCs w:val="24"/>
        </w:rPr>
        <w:t xml:space="preserve">Journal of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sychoeducational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ssessment, </w:t>
      </w:r>
      <w:r w:rsidRPr="0094469E">
        <w:rPr>
          <w:rFonts w:ascii="Times New Roman" w:hAnsi="Times New Roman" w:cs="Times New Roman"/>
          <w:b/>
          <w:sz w:val="24"/>
          <w:szCs w:val="24"/>
        </w:rPr>
        <w:t>33</w:t>
      </w:r>
      <w:r w:rsidRPr="0094469E">
        <w:rPr>
          <w:rFonts w:ascii="Times New Roman" w:hAnsi="Times New Roman" w:cs="Times New Roman"/>
          <w:sz w:val="24"/>
          <w:szCs w:val="24"/>
        </w:rPr>
        <w:t>(5), 439-450.</w:t>
      </w:r>
      <w:bookmarkEnd w:id="589"/>
    </w:p>
    <w:p w14:paraId="1F1DCB39" w14:textId="0F00513E" w:rsidR="0094469E" w:rsidRPr="0094469E" w:rsidRDefault="0094469E" w:rsidP="0094469E">
      <w:pPr>
        <w:pStyle w:val="EndNoteBibliography"/>
        <w:spacing w:line="360" w:lineRule="auto"/>
        <w:rPr>
          <w:rFonts w:ascii="Times New Roman" w:hAnsi="Times New Roman" w:cs="Times New Roman"/>
          <w:sz w:val="24"/>
          <w:szCs w:val="24"/>
        </w:rPr>
      </w:pPr>
      <w:bookmarkStart w:id="590" w:name="_ENREF_83"/>
      <w:r w:rsidRPr="0094469E">
        <w:rPr>
          <w:rFonts w:ascii="Times New Roman" w:hAnsi="Times New Roman" w:cs="Times New Roman"/>
          <w:sz w:val="24"/>
          <w:szCs w:val="24"/>
        </w:rPr>
        <w:t xml:space="preserve">Cleary, T. J., Callan, G. L., and Zimmerman, B. J. (2012). Assessing self-regulation as a cyclical, context-specific phenomenon: overview and analysis of SRL microanalytic protocols. </w:t>
      </w:r>
      <w:r w:rsidRPr="0094469E">
        <w:rPr>
          <w:rFonts w:ascii="Times New Roman" w:hAnsi="Times New Roman" w:cs="Times New Roman"/>
          <w:i/>
          <w:sz w:val="24"/>
          <w:szCs w:val="24"/>
        </w:rPr>
        <w:t xml:space="preserve">Education </w:t>
      </w:r>
      <w:r w:rsidR="00BD42AF">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00BD42AF">
        <w:rPr>
          <w:rFonts w:ascii="Times New Roman" w:hAnsi="Times New Roman" w:cs="Times New Roman"/>
          <w:i/>
          <w:sz w:val="24"/>
          <w:szCs w:val="24"/>
        </w:rPr>
        <w:t>i</w:t>
      </w:r>
      <w:r w:rsidRPr="0094469E">
        <w:rPr>
          <w:rFonts w:ascii="Times New Roman" w:hAnsi="Times New Roman" w:cs="Times New Roman"/>
          <w:i/>
          <w:sz w:val="24"/>
          <w:szCs w:val="24"/>
        </w:rPr>
        <w:t xml:space="preserve">nternational, </w:t>
      </w:r>
      <w:r w:rsidRPr="0094469E">
        <w:rPr>
          <w:rFonts w:ascii="Times New Roman" w:hAnsi="Times New Roman" w:cs="Times New Roman"/>
          <w:b/>
          <w:sz w:val="24"/>
          <w:szCs w:val="24"/>
        </w:rPr>
        <w:t>2012</w:t>
      </w:r>
      <w:r w:rsidRPr="0094469E">
        <w:rPr>
          <w:rFonts w:ascii="Times New Roman" w:hAnsi="Times New Roman" w:cs="Times New Roman"/>
          <w:sz w:val="24"/>
          <w:szCs w:val="24"/>
        </w:rPr>
        <w:t>.</w:t>
      </w:r>
      <w:bookmarkEnd w:id="590"/>
    </w:p>
    <w:p w14:paraId="7D9B8AB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91" w:name="_ENREF_84"/>
      <w:r w:rsidRPr="0094469E">
        <w:rPr>
          <w:rFonts w:ascii="Times New Roman" w:hAnsi="Times New Roman" w:cs="Times New Roman"/>
          <w:sz w:val="24"/>
          <w:szCs w:val="24"/>
        </w:rPr>
        <w:t xml:space="preserve">Cleary, T. J., and Chen, P. P. (2009). Self-regulation, motivation, and math achievement in middle school: Variations across grade level and math context. </w:t>
      </w:r>
      <w:r w:rsidRPr="0094469E">
        <w:rPr>
          <w:rFonts w:ascii="Times New Roman" w:hAnsi="Times New Roman" w:cs="Times New Roman"/>
          <w:i/>
          <w:sz w:val="24"/>
          <w:szCs w:val="24"/>
        </w:rPr>
        <w:t xml:space="preserve">Journal of school psychology, </w:t>
      </w:r>
      <w:r w:rsidRPr="0094469E">
        <w:rPr>
          <w:rFonts w:ascii="Times New Roman" w:hAnsi="Times New Roman" w:cs="Times New Roman"/>
          <w:b/>
          <w:sz w:val="24"/>
          <w:szCs w:val="24"/>
        </w:rPr>
        <w:t>47</w:t>
      </w:r>
      <w:r w:rsidRPr="0094469E">
        <w:rPr>
          <w:rFonts w:ascii="Times New Roman" w:hAnsi="Times New Roman" w:cs="Times New Roman"/>
          <w:sz w:val="24"/>
          <w:szCs w:val="24"/>
        </w:rPr>
        <w:t>(5), 291-314.</w:t>
      </w:r>
      <w:bookmarkEnd w:id="591"/>
    </w:p>
    <w:p w14:paraId="210F7EEF" w14:textId="1A39763E" w:rsidR="0094469E" w:rsidRPr="0094469E" w:rsidRDefault="0094469E" w:rsidP="0094469E">
      <w:pPr>
        <w:pStyle w:val="EndNoteBibliography"/>
        <w:spacing w:line="360" w:lineRule="auto"/>
        <w:rPr>
          <w:rFonts w:ascii="Times New Roman" w:hAnsi="Times New Roman" w:cs="Times New Roman"/>
          <w:sz w:val="24"/>
          <w:szCs w:val="24"/>
        </w:rPr>
      </w:pPr>
      <w:bookmarkStart w:id="592" w:name="_ENREF_85"/>
      <w:r w:rsidRPr="0094469E">
        <w:rPr>
          <w:rFonts w:ascii="Times New Roman" w:hAnsi="Times New Roman" w:cs="Times New Roman"/>
          <w:sz w:val="24"/>
          <w:szCs w:val="24"/>
        </w:rPr>
        <w:lastRenderedPageBreak/>
        <w:t xml:space="preserve">Cleary, T. J., Dong, T., and Artino Jr, A. R. (2014). Examining shifts in medical students’ microanalytic motivation beliefs and regulatory processes during a diagnostic reasoning task. </w:t>
      </w:r>
      <w:r w:rsidR="00BD42AF">
        <w:rPr>
          <w:rFonts w:ascii="Times New Roman" w:hAnsi="Times New Roman" w:cs="Times New Roman"/>
          <w:i/>
          <w:sz w:val="24"/>
          <w:szCs w:val="24"/>
        </w:rPr>
        <w:t>Advances in health sciences education</w:t>
      </w:r>
      <w:r w:rsidRPr="0094469E">
        <w:rPr>
          <w:rFonts w:ascii="Times New Roman" w:hAnsi="Times New Roman" w:cs="Times New Roman"/>
          <w:sz w:val="24"/>
          <w:szCs w:val="24"/>
        </w:rPr>
        <w:t>, 1-16.</w:t>
      </w:r>
      <w:bookmarkEnd w:id="592"/>
    </w:p>
    <w:p w14:paraId="5C714EED" w14:textId="2979DD46" w:rsidR="0094469E" w:rsidRPr="0094469E" w:rsidRDefault="0094469E" w:rsidP="0094469E">
      <w:pPr>
        <w:pStyle w:val="EndNoteBibliography"/>
        <w:spacing w:line="360" w:lineRule="auto"/>
        <w:rPr>
          <w:rFonts w:ascii="Times New Roman" w:hAnsi="Times New Roman" w:cs="Times New Roman"/>
          <w:sz w:val="24"/>
          <w:szCs w:val="24"/>
        </w:rPr>
      </w:pPr>
      <w:bookmarkStart w:id="593" w:name="_ENREF_86"/>
      <w:r w:rsidRPr="0094469E">
        <w:rPr>
          <w:rFonts w:ascii="Times New Roman" w:hAnsi="Times New Roman" w:cs="Times New Roman"/>
          <w:sz w:val="24"/>
          <w:szCs w:val="24"/>
        </w:rPr>
        <w:t xml:space="preserve">Cleary, T. J., Durning, S. J., and Artino Jr, A. R. (2016). Microanalytic Assessment of Self-Regulated Learning During Clinical Reasoning Tasks: Recent Developments and Next Steps.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91</w:t>
      </w:r>
      <w:r w:rsidRPr="0094469E">
        <w:rPr>
          <w:rFonts w:ascii="Times New Roman" w:hAnsi="Times New Roman" w:cs="Times New Roman"/>
          <w:sz w:val="24"/>
          <w:szCs w:val="24"/>
        </w:rPr>
        <w:t>(11), 1516-1521.</w:t>
      </w:r>
      <w:bookmarkEnd w:id="593"/>
    </w:p>
    <w:p w14:paraId="3D02C43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94" w:name="_ENREF_87"/>
      <w:r w:rsidRPr="0094469E">
        <w:rPr>
          <w:rFonts w:ascii="Times New Roman" w:hAnsi="Times New Roman" w:cs="Times New Roman"/>
          <w:sz w:val="24"/>
          <w:szCs w:val="24"/>
        </w:rPr>
        <w:t xml:space="preserve">Cleary, T. J., Durning, S. J., Gruppen, L. D., Hemmer, P. A., and Artino, A. R. (2013). Self-regulated learning in medical education. In K. Walsh (Ed.), </w:t>
      </w:r>
      <w:r w:rsidRPr="0094469E">
        <w:rPr>
          <w:rFonts w:ascii="Times New Roman" w:hAnsi="Times New Roman" w:cs="Times New Roman"/>
          <w:i/>
          <w:sz w:val="24"/>
          <w:szCs w:val="24"/>
        </w:rPr>
        <w:t>The Oxford Textbook of Medical Education</w:t>
      </w:r>
      <w:r w:rsidRPr="0094469E">
        <w:rPr>
          <w:rFonts w:ascii="Times New Roman" w:hAnsi="Times New Roman" w:cs="Times New Roman"/>
          <w:sz w:val="24"/>
          <w:szCs w:val="24"/>
        </w:rPr>
        <w:t xml:space="preserve"> (1st ed., pp. 465 - 477). Oxford, UK: Oxford University press.</w:t>
      </w:r>
      <w:bookmarkEnd w:id="594"/>
    </w:p>
    <w:p w14:paraId="77FAA5E5" w14:textId="549B5104" w:rsidR="0094469E" w:rsidRPr="0094469E" w:rsidRDefault="0094469E" w:rsidP="0094469E">
      <w:pPr>
        <w:pStyle w:val="EndNoteBibliography"/>
        <w:spacing w:line="360" w:lineRule="auto"/>
        <w:rPr>
          <w:rFonts w:ascii="Times New Roman" w:hAnsi="Times New Roman" w:cs="Times New Roman"/>
          <w:sz w:val="24"/>
          <w:szCs w:val="24"/>
        </w:rPr>
      </w:pPr>
      <w:bookmarkStart w:id="595" w:name="_ENREF_88"/>
      <w:r w:rsidRPr="0094469E">
        <w:rPr>
          <w:rFonts w:ascii="Times New Roman" w:hAnsi="Times New Roman" w:cs="Times New Roman"/>
          <w:sz w:val="24"/>
          <w:szCs w:val="24"/>
        </w:rPr>
        <w:t xml:space="preserve">Cleary, T. J., Platten, P., and Nelson, A. (2008). Effectiveness of the self-regulation empowerment program with urban high school students. </w:t>
      </w:r>
      <w:r w:rsidRPr="0094469E">
        <w:rPr>
          <w:rFonts w:ascii="Times New Roman" w:hAnsi="Times New Roman" w:cs="Times New Roman"/>
          <w:i/>
          <w:sz w:val="24"/>
          <w:szCs w:val="24"/>
        </w:rPr>
        <w:t xml:space="preserve">Journal of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dvanced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cademics, </w:t>
      </w:r>
      <w:r w:rsidRPr="0094469E">
        <w:rPr>
          <w:rFonts w:ascii="Times New Roman" w:hAnsi="Times New Roman" w:cs="Times New Roman"/>
          <w:b/>
          <w:sz w:val="24"/>
          <w:szCs w:val="24"/>
        </w:rPr>
        <w:t>20</w:t>
      </w:r>
      <w:r w:rsidRPr="0094469E">
        <w:rPr>
          <w:rFonts w:ascii="Times New Roman" w:hAnsi="Times New Roman" w:cs="Times New Roman"/>
          <w:sz w:val="24"/>
          <w:szCs w:val="24"/>
        </w:rPr>
        <w:t>(1), 70-107.</w:t>
      </w:r>
      <w:bookmarkEnd w:id="595"/>
    </w:p>
    <w:p w14:paraId="59B0084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96" w:name="_ENREF_89"/>
      <w:r w:rsidRPr="0094469E">
        <w:rPr>
          <w:rFonts w:ascii="Times New Roman" w:hAnsi="Times New Roman" w:cs="Times New Roman"/>
          <w:sz w:val="24"/>
          <w:szCs w:val="24"/>
        </w:rPr>
        <w:t xml:space="preserve">Cleary, T. J., and Sandars, J. (2011). Assessing self-regulatory processes during clinical skill performance: A pilot study.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33</w:t>
      </w:r>
      <w:r w:rsidRPr="0094469E">
        <w:rPr>
          <w:rFonts w:ascii="Times New Roman" w:hAnsi="Times New Roman" w:cs="Times New Roman"/>
          <w:sz w:val="24"/>
          <w:szCs w:val="24"/>
        </w:rPr>
        <w:t>(7), e368-e374.</w:t>
      </w:r>
      <w:bookmarkEnd w:id="596"/>
    </w:p>
    <w:p w14:paraId="52B0348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597" w:name="_ENREF_90"/>
      <w:r w:rsidRPr="0094469E">
        <w:rPr>
          <w:rFonts w:ascii="Times New Roman" w:hAnsi="Times New Roman" w:cs="Times New Roman"/>
          <w:sz w:val="24"/>
          <w:szCs w:val="24"/>
        </w:rPr>
        <w:t xml:space="preserve">Cleary, T. J., Velardi, B., and Schnaidman, B. (2017). Effects of the Self-Regulation Empowerment Program (SREP) on middle school students' strategic skills, self-efficacy, and mathematics achievement. </w:t>
      </w:r>
      <w:r w:rsidRPr="0094469E">
        <w:rPr>
          <w:rFonts w:ascii="Times New Roman" w:hAnsi="Times New Roman" w:cs="Times New Roman"/>
          <w:i/>
          <w:sz w:val="24"/>
          <w:szCs w:val="24"/>
        </w:rPr>
        <w:t xml:space="preserve">Journal of school psychology, </w:t>
      </w:r>
      <w:r w:rsidRPr="0094469E">
        <w:rPr>
          <w:rFonts w:ascii="Times New Roman" w:hAnsi="Times New Roman" w:cs="Times New Roman"/>
          <w:b/>
          <w:sz w:val="24"/>
          <w:szCs w:val="24"/>
        </w:rPr>
        <w:t>64</w:t>
      </w:r>
      <w:r w:rsidRPr="0094469E">
        <w:rPr>
          <w:rFonts w:ascii="Times New Roman" w:hAnsi="Times New Roman" w:cs="Times New Roman"/>
          <w:sz w:val="24"/>
          <w:szCs w:val="24"/>
        </w:rPr>
        <w:t>, 28-42.</w:t>
      </w:r>
      <w:bookmarkEnd w:id="597"/>
    </w:p>
    <w:p w14:paraId="321F723A" w14:textId="1787126B" w:rsidR="0094469E" w:rsidRPr="0094469E" w:rsidRDefault="0094469E" w:rsidP="0094469E">
      <w:pPr>
        <w:pStyle w:val="EndNoteBibliography"/>
        <w:spacing w:line="360" w:lineRule="auto"/>
        <w:rPr>
          <w:rFonts w:ascii="Times New Roman" w:hAnsi="Times New Roman" w:cs="Times New Roman"/>
          <w:sz w:val="24"/>
          <w:szCs w:val="24"/>
        </w:rPr>
      </w:pPr>
      <w:bookmarkStart w:id="598" w:name="_ENREF_91"/>
      <w:r w:rsidRPr="0094469E">
        <w:rPr>
          <w:rFonts w:ascii="Times New Roman" w:hAnsi="Times New Roman" w:cs="Times New Roman"/>
          <w:sz w:val="24"/>
          <w:szCs w:val="24"/>
        </w:rPr>
        <w:t xml:space="preserve">Cleary, T. J., and Zimmerman, B. J. (2001). Self-regulation differences during athletic practice by experts, non-experts, and novices. </w:t>
      </w:r>
      <w:r w:rsidRPr="0094469E">
        <w:rPr>
          <w:rFonts w:ascii="Times New Roman" w:hAnsi="Times New Roman" w:cs="Times New Roman"/>
          <w:i/>
          <w:sz w:val="24"/>
          <w:szCs w:val="24"/>
        </w:rPr>
        <w:t xml:space="preserve">Journal of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pplied </w:t>
      </w:r>
      <w:r w:rsidR="00BD42AF">
        <w:rPr>
          <w:rFonts w:ascii="Times New Roman" w:hAnsi="Times New Roman" w:cs="Times New Roman"/>
          <w:i/>
          <w:sz w:val="24"/>
          <w:szCs w:val="24"/>
        </w:rPr>
        <w:t>s</w:t>
      </w:r>
      <w:r w:rsidRPr="0094469E">
        <w:rPr>
          <w:rFonts w:ascii="Times New Roman" w:hAnsi="Times New Roman" w:cs="Times New Roman"/>
          <w:i/>
          <w:sz w:val="24"/>
          <w:szCs w:val="24"/>
        </w:rPr>
        <w:t xml:space="preserve">port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Pr="0094469E">
        <w:rPr>
          <w:rFonts w:ascii="Times New Roman" w:hAnsi="Times New Roman" w:cs="Times New Roman"/>
          <w:b/>
          <w:sz w:val="24"/>
          <w:szCs w:val="24"/>
        </w:rPr>
        <w:t>13</w:t>
      </w:r>
      <w:r w:rsidRPr="0094469E">
        <w:rPr>
          <w:rFonts w:ascii="Times New Roman" w:hAnsi="Times New Roman" w:cs="Times New Roman"/>
          <w:sz w:val="24"/>
          <w:szCs w:val="24"/>
        </w:rPr>
        <w:t>(2), 185-206.</w:t>
      </w:r>
      <w:bookmarkEnd w:id="598"/>
    </w:p>
    <w:p w14:paraId="792DA895" w14:textId="33DA46F3" w:rsidR="0094469E" w:rsidRPr="0094469E" w:rsidRDefault="0094469E" w:rsidP="0094469E">
      <w:pPr>
        <w:pStyle w:val="EndNoteBibliography"/>
        <w:spacing w:line="360" w:lineRule="auto"/>
        <w:rPr>
          <w:rFonts w:ascii="Times New Roman" w:hAnsi="Times New Roman" w:cs="Times New Roman"/>
          <w:sz w:val="24"/>
          <w:szCs w:val="24"/>
        </w:rPr>
      </w:pPr>
      <w:bookmarkStart w:id="599" w:name="_ENREF_92"/>
      <w:r w:rsidRPr="0094469E">
        <w:rPr>
          <w:rFonts w:ascii="Times New Roman" w:hAnsi="Times New Roman" w:cs="Times New Roman"/>
          <w:sz w:val="24"/>
          <w:szCs w:val="24"/>
        </w:rPr>
        <w:t>Cleary, T. J., and Zimmerman, B. J. (2004). Self</w:t>
      </w:r>
      <w:r w:rsidRPr="0094469E">
        <w:rPr>
          <w:rFonts w:ascii="Cambria Math" w:hAnsi="Cambria Math" w:cs="Cambria Math"/>
          <w:sz w:val="24"/>
          <w:szCs w:val="24"/>
        </w:rPr>
        <w:t>‐</w:t>
      </w:r>
      <w:r w:rsidRPr="0094469E">
        <w:rPr>
          <w:rFonts w:ascii="Times New Roman" w:hAnsi="Times New Roman" w:cs="Times New Roman"/>
          <w:sz w:val="24"/>
          <w:szCs w:val="24"/>
        </w:rPr>
        <w:t>regulation empowerment program: A school</w:t>
      </w:r>
      <w:r w:rsidRPr="0094469E">
        <w:rPr>
          <w:rFonts w:ascii="Cambria Math" w:hAnsi="Cambria Math" w:cs="Cambria Math"/>
          <w:sz w:val="24"/>
          <w:szCs w:val="24"/>
        </w:rPr>
        <w:t>‐</w:t>
      </w:r>
      <w:r w:rsidRPr="0094469E">
        <w:rPr>
          <w:rFonts w:ascii="Times New Roman" w:hAnsi="Times New Roman" w:cs="Times New Roman"/>
          <w:sz w:val="24"/>
          <w:szCs w:val="24"/>
        </w:rPr>
        <w:t>based program to enhance self</w:t>
      </w:r>
      <w:r w:rsidRPr="0094469E">
        <w:rPr>
          <w:rFonts w:ascii="Cambria Math" w:hAnsi="Cambria Math" w:cs="Cambria Math"/>
          <w:sz w:val="24"/>
          <w:szCs w:val="24"/>
        </w:rPr>
        <w:t>‐</w:t>
      </w:r>
      <w:r w:rsidRPr="0094469E">
        <w:rPr>
          <w:rFonts w:ascii="Times New Roman" w:hAnsi="Times New Roman" w:cs="Times New Roman"/>
          <w:sz w:val="24"/>
          <w:szCs w:val="24"/>
        </w:rPr>
        <w:t>regulated and self</w:t>
      </w:r>
      <w:r w:rsidRPr="0094469E">
        <w:rPr>
          <w:rFonts w:ascii="Cambria Math" w:hAnsi="Cambria Math" w:cs="Cambria Math"/>
          <w:sz w:val="24"/>
          <w:szCs w:val="24"/>
        </w:rPr>
        <w:t>‐</w:t>
      </w:r>
      <w:r w:rsidRPr="0094469E">
        <w:rPr>
          <w:rFonts w:ascii="Times New Roman" w:hAnsi="Times New Roman" w:cs="Times New Roman"/>
          <w:sz w:val="24"/>
          <w:szCs w:val="24"/>
        </w:rPr>
        <w:t xml:space="preserve">motivated cycles of student learning. </w:t>
      </w:r>
      <w:r w:rsidRPr="0094469E">
        <w:rPr>
          <w:rFonts w:ascii="Times New Roman" w:hAnsi="Times New Roman" w:cs="Times New Roman"/>
          <w:i/>
          <w:sz w:val="24"/>
          <w:szCs w:val="24"/>
        </w:rPr>
        <w:t xml:space="preserve">Psychology in the </w:t>
      </w:r>
      <w:r w:rsidR="00BD42AF">
        <w:rPr>
          <w:rFonts w:ascii="Times New Roman" w:hAnsi="Times New Roman" w:cs="Times New Roman"/>
          <w:i/>
          <w:sz w:val="24"/>
          <w:szCs w:val="24"/>
        </w:rPr>
        <w:t>s</w:t>
      </w:r>
      <w:r w:rsidRPr="0094469E">
        <w:rPr>
          <w:rFonts w:ascii="Times New Roman" w:hAnsi="Times New Roman" w:cs="Times New Roman"/>
          <w:i/>
          <w:sz w:val="24"/>
          <w:szCs w:val="24"/>
        </w:rPr>
        <w:t xml:space="preserve">chools, </w:t>
      </w:r>
      <w:r w:rsidRPr="0094469E">
        <w:rPr>
          <w:rFonts w:ascii="Times New Roman" w:hAnsi="Times New Roman" w:cs="Times New Roman"/>
          <w:b/>
          <w:sz w:val="24"/>
          <w:szCs w:val="24"/>
        </w:rPr>
        <w:t>41</w:t>
      </w:r>
      <w:r w:rsidRPr="0094469E">
        <w:rPr>
          <w:rFonts w:ascii="Times New Roman" w:hAnsi="Times New Roman" w:cs="Times New Roman"/>
          <w:sz w:val="24"/>
          <w:szCs w:val="24"/>
        </w:rPr>
        <w:t>(5), 537-550.</w:t>
      </w:r>
      <w:bookmarkEnd w:id="599"/>
    </w:p>
    <w:p w14:paraId="0ED371A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0" w:name="_ENREF_93"/>
      <w:r w:rsidRPr="0094469E">
        <w:rPr>
          <w:rFonts w:ascii="Times New Roman" w:hAnsi="Times New Roman" w:cs="Times New Roman"/>
          <w:sz w:val="24"/>
          <w:szCs w:val="24"/>
        </w:rPr>
        <w:t xml:space="preserve">Cleary, T. J., Zimmerman, B. J., and Keating, T. (2006). Training physical education students to self-regulate during basketball free throw practice. </w:t>
      </w:r>
      <w:r w:rsidRPr="0094469E">
        <w:rPr>
          <w:rFonts w:ascii="Times New Roman" w:hAnsi="Times New Roman" w:cs="Times New Roman"/>
          <w:i/>
          <w:sz w:val="24"/>
          <w:szCs w:val="24"/>
        </w:rPr>
        <w:t xml:space="preserve">Research quarterly for exercise and sport, </w:t>
      </w:r>
      <w:r w:rsidRPr="0094469E">
        <w:rPr>
          <w:rFonts w:ascii="Times New Roman" w:hAnsi="Times New Roman" w:cs="Times New Roman"/>
          <w:b/>
          <w:sz w:val="24"/>
          <w:szCs w:val="24"/>
        </w:rPr>
        <w:t>77</w:t>
      </w:r>
      <w:r w:rsidRPr="0094469E">
        <w:rPr>
          <w:rFonts w:ascii="Times New Roman" w:hAnsi="Times New Roman" w:cs="Times New Roman"/>
          <w:sz w:val="24"/>
          <w:szCs w:val="24"/>
        </w:rPr>
        <w:t>(2), 251-262.</w:t>
      </w:r>
      <w:bookmarkEnd w:id="600"/>
    </w:p>
    <w:p w14:paraId="5BE6DF5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1" w:name="_ENREF_94"/>
      <w:r w:rsidRPr="0094469E">
        <w:rPr>
          <w:rFonts w:ascii="Times New Roman" w:hAnsi="Times New Roman" w:cs="Times New Roman"/>
          <w:sz w:val="24"/>
          <w:szCs w:val="24"/>
        </w:rPr>
        <w:t xml:space="preserve">Cleland, J., Leggett, H., Sandars, J., Costa, M. J., Patel, R., and Moffat, M. (2013). The remediation challenge: theoretical and methodological insights from a systematic review.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47</w:t>
      </w:r>
      <w:r w:rsidRPr="0094469E">
        <w:rPr>
          <w:rFonts w:ascii="Times New Roman" w:hAnsi="Times New Roman" w:cs="Times New Roman"/>
          <w:sz w:val="24"/>
          <w:szCs w:val="24"/>
        </w:rPr>
        <w:t>(3), 242-251.</w:t>
      </w:r>
      <w:bookmarkEnd w:id="601"/>
    </w:p>
    <w:p w14:paraId="67F19B1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2" w:name="_ENREF_95"/>
      <w:r w:rsidRPr="0094469E">
        <w:rPr>
          <w:rFonts w:ascii="Times New Roman" w:hAnsi="Times New Roman" w:cs="Times New Roman"/>
          <w:sz w:val="24"/>
          <w:szCs w:val="24"/>
        </w:rPr>
        <w:t xml:space="preserve">Cohen, L., Manion, L., and Morrison, K. (2000). </w:t>
      </w:r>
      <w:r w:rsidRPr="0094469E">
        <w:rPr>
          <w:rFonts w:ascii="Times New Roman" w:hAnsi="Times New Roman" w:cs="Times New Roman"/>
          <w:i/>
          <w:sz w:val="24"/>
          <w:szCs w:val="24"/>
        </w:rPr>
        <w:t>Research Methods in Education</w:t>
      </w:r>
      <w:r w:rsidRPr="0094469E">
        <w:rPr>
          <w:rFonts w:ascii="Times New Roman" w:hAnsi="Times New Roman" w:cs="Times New Roman"/>
          <w:sz w:val="24"/>
          <w:szCs w:val="24"/>
        </w:rPr>
        <w:t xml:space="preserve"> (Vol. 41). London: Routledge Falmer.</w:t>
      </w:r>
      <w:bookmarkEnd w:id="602"/>
    </w:p>
    <w:p w14:paraId="63356357" w14:textId="57E094F8" w:rsidR="0094469E" w:rsidRPr="0094469E" w:rsidRDefault="0094469E" w:rsidP="0094469E">
      <w:pPr>
        <w:pStyle w:val="EndNoteBibliography"/>
        <w:spacing w:line="360" w:lineRule="auto"/>
        <w:rPr>
          <w:rFonts w:ascii="Times New Roman" w:hAnsi="Times New Roman" w:cs="Times New Roman"/>
          <w:sz w:val="24"/>
          <w:szCs w:val="24"/>
        </w:rPr>
      </w:pPr>
      <w:bookmarkStart w:id="603" w:name="_ENREF_96"/>
      <w:r w:rsidRPr="0094469E">
        <w:rPr>
          <w:rFonts w:ascii="Times New Roman" w:hAnsi="Times New Roman" w:cs="Times New Roman"/>
          <w:sz w:val="24"/>
          <w:szCs w:val="24"/>
        </w:rPr>
        <w:lastRenderedPageBreak/>
        <w:t xml:space="preserve">Coomarasamy, A., and Khan, K. S. (2004). What is the evidence that postgraduate teaching in evidence based medicine changes anything? A systematic review.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329</w:t>
      </w:r>
      <w:r w:rsidRPr="0094469E">
        <w:rPr>
          <w:rFonts w:ascii="Times New Roman" w:hAnsi="Times New Roman" w:cs="Times New Roman"/>
          <w:sz w:val="24"/>
          <w:szCs w:val="24"/>
        </w:rPr>
        <w:t>(7473), 1017.</w:t>
      </w:r>
      <w:bookmarkEnd w:id="603"/>
    </w:p>
    <w:p w14:paraId="7B102CD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4" w:name="_ENREF_97"/>
      <w:r w:rsidRPr="0094469E">
        <w:rPr>
          <w:rFonts w:ascii="Times New Roman" w:hAnsi="Times New Roman" w:cs="Times New Roman"/>
          <w:sz w:val="24"/>
          <w:szCs w:val="24"/>
        </w:rPr>
        <w:t xml:space="preserve">Coyne, I. T. (1997). Sampling in qualitative research. Purposeful and theoretical sampling; merging or clear boundaries? </w:t>
      </w:r>
      <w:r w:rsidRPr="0094469E">
        <w:rPr>
          <w:rFonts w:ascii="Times New Roman" w:hAnsi="Times New Roman" w:cs="Times New Roman"/>
          <w:i/>
          <w:sz w:val="24"/>
          <w:szCs w:val="24"/>
        </w:rPr>
        <w:t xml:space="preserve">Journal of advanced nursing, </w:t>
      </w:r>
      <w:r w:rsidRPr="0094469E">
        <w:rPr>
          <w:rFonts w:ascii="Times New Roman" w:hAnsi="Times New Roman" w:cs="Times New Roman"/>
          <w:b/>
          <w:sz w:val="24"/>
          <w:szCs w:val="24"/>
        </w:rPr>
        <w:t>26</w:t>
      </w:r>
      <w:r w:rsidRPr="0094469E">
        <w:rPr>
          <w:rFonts w:ascii="Times New Roman" w:hAnsi="Times New Roman" w:cs="Times New Roman"/>
          <w:sz w:val="24"/>
          <w:szCs w:val="24"/>
        </w:rPr>
        <w:t>(3), 623-630.</w:t>
      </w:r>
      <w:bookmarkEnd w:id="604"/>
    </w:p>
    <w:p w14:paraId="343D1BD6" w14:textId="5DBFCCE0" w:rsidR="0094469E" w:rsidRPr="0094469E" w:rsidRDefault="0094469E" w:rsidP="0094469E">
      <w:pPr>
        <w:pStyle w:val="EndNoteBibliography"/>
        <w:spacing w:line="360" w:lineRule="auto"/>
        <w:rPr>
          <w:rFonts w:ascii="Times New Roman" w:hAnsi="Times New Roman" w:cs="Times New Roman"/>
          <w:sz w:val="24"/>
          <w:szCs w:val="24"/>
        </w:rPr>
      </w:pPr>
      <w:bookmarkStart w:id="605" w:name="_ENREF_98"/>
      <w:r w:rsidRPr="0094469E">
        <w:rPr>
          <w:rFonts w:ascii="Times New Roman" w:hAnsi="Times New Roman" w:cs="Times New Roman"/>
          <w:sz w:val="24"/>
          <w:szCs w:val="24"/>
        </w:rPr>
        <w:t xml:space="preserve">Craig, P., Dieppe, P., Macintyre, S., Michie, S., Nazareth, I., and Petticrew, M. (2008). Developing and evaluating complex interventions: the new Medical Research Council guidance.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(Clinical research ed.), </w:t>
      </w:r>
      <w:r w:rsidRPr="0094469E">
        <w:rPr>
          <w:rFonts w:ascii="Times New Roman" w:hAnsi="Times New Roman" w:cs="Times New Roman"/>
          <w:b/>
          <w:sz w:val="24"/>
          <w:szCs w:val="24"/>
        </w:rPr>
        <w:t>337</w:t>
      </w:r>
      <w:r w:rsidRPr="0094469E">
        <w:rPr>
          <w:rFonts w:ascii="Times New Roman" w:hAnsi="Times New Roman" w:cs="Times New Roman"/>
          <w:sz w:val="24"/>
          <w:szCs w:val="24"/>
        </w:rPr>
        <w:t>, 1655.</w:t>
      </w:r>
      <w:bookmarkEnd w:id="605"/>
    </w:p>
    <w:p w14:paraId="33ED21D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6" w:name="_ENREF_99"/>
      <w:r w:rsidRPr="0094469E">
        <w:rPr>
          <w:rFonts w:ascii="Times New Roman" w:hAnsi="Times New Roman" w:cs="Times New Roman"/>
          <w:sz w:val="24"/>
          <w:szCs w:val="24"/>
        </w:rPr>
        <w:t>Creswell, J. W., and Clark, V. L. P. (2007). Designing and conducting mixed methods research.</w:t>
      </w:r>
      <w:bookmarkEnd w:id="606"/>
    </w:p>
    <w:p w14:paraId="0D5FAE9F" w14:textId="4C7C474F" w:rsidR="0094469E" w:rsidRPr="0094469E" w:rsidRDefault="0094469E" w:rsidP="0094469E">
      <w:pPr>
        <w:pStyle w:val="EndNoteBibliography"/>
        <w:spacing w:line="360" w:lineRule="auto"/>
        <w:rPr>
          <w:rFonts w:ascii="Times New Roman" w:hAnsi="Times New Roman" w:cs="Times New Roman"/>
          <w:sz w:val="24"/>
          <w:szCs w:val="24"/>
        </w:rPr>
      </w:pPr>
      <w:bookmarkStart w:id="607" w:name="_ENREF_100"/>
      <w:r w:rsidRPr="0094469E">
        <w:rPr>
          <w:rFonts w:ascii="Times New Roman" w:hAnsi="Times New Roman" w:cs="Times New Roman"/>
          <w:sz w:val="24"/>
          <w:szCs w:val="24"/>
        </w:rPr>
        <w:t xml:space="preserve">Creswell, J. W., Klassen, A. C., Plano Clark, V. L., and Smith, K. C. (2011). Best practices for mixed methods research in the health sciences. </w:t>
      </w:r>
      <w:r w:rsidRPr="0094469E">
        <w:rPr>
          <w:rFonts w:ascii="Times New Roman" w:hAnsi="Times New Roman" w:cs="Times New Roman"/>
          <w:i/>
          <w:sz w:val="24"/>
          <w:szCs w:val="24"/>
        </w:rPr>
        <w:t xml:space="preserve">Bethesda (Maryland): National </w:t>
      </w:r>
      <w:r w:rsidR="00BD42AF">
        <w:rPr>
          <w:rFonts w:ascii="Times New Roman" w:hAnsi="Times New Roman" w:cs="Times New Roman"/>
          <w:i/>
          <w:sz w:val="24"/>
          <w:szCs w:val="24"/>
        </w:rPr>
        <w:t>i</w:t>
      </w:r>
      <w:r w:rsidRPr="0094469E">
        <w:rPr>
          <w:rFonts w:ascii="Times New Roman" w:hAnsi="Times New Roman" w:cs="Times New Roman"/>
          <w:i/>
          <w:sz w:val="24"/>
          <w:szCs w:val="24"/>
        </w:rPr>
        <w:t xml:space="preserve">nstitutes of </w:t>
      </w:r>
      <w:r w:rsidR="00BD42AF">
        <w:rPr>
          <w:rFonts w:ascii="Times New Roman" w:hAnsi="Times New Roman" w:cs="Times New Roman"/>
          <w:i/>
          <w:sz w:val="24"/>
          <w:szCs w:val="24"/>
        </w:rPr>
        <w:t>h</w:t>
      </w:r>
      <w:r w:rsidRPr="0094469E">
        <w:rPr>
          <w:rFonts w:ascii="Times New Roman" w:hAnsi="Times New Roman" w:cs="Times New Roman"/>
          <w:i/>
          <w:sz w:val="24"/>
          <w:szCs w:val="24"/>
        </w:rPr>
        <w:t>ealth</w:t>
      </w:r>
      <w:r w:rsidRPr="0094469E">
        <w:rPr>
          <w:rFonts w:ascii="Times New Roman" w:hAnsi="Times New Roman" w:cs="Times New Roman"/>
          <w:sz w:val="24"/>
          <w:szCs w:val="24"/>
        </w:rPr>
        <w:t>, 2094-2103.</w:t>
      </w:r>
      <w:bookmarkEnd w:id="607"/>
    </w:p>
    <w:p w14:paraId="5A0312E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8" w:name="_ENREF_101"/>
      <w:r w:rsidRPr="0094469E">
        <w:rPr>
          <w:rFonts w:ascii="Times New Roman" w:hAnsi="Times New Roman" w:cs="Times New Roman"/>
          <w:sz w:val="24"/>
          <w:szCs w:val="24"/>
        </w:rPr>
        <w:t xml:space="preserve">Creswell, J. W., and Miller, D. L. (2000). Determining validity in qualitative inquiry. </w:t>
      </w:r>
      <w:r w:rsidRPr="0094469E">
        <w:rPr>
          <w:rFonts w:ascii="Times New Roman" w:hAnsi="Times New Roman" w:cs="Times New Roman"/>
          <w:i/>
          <w:sz w:val="24"/>
          <w:szCs w:val="24"/>
        </w:rPr>
        <w:t xml:space="preserve">Theory into practice, </w:t>
      </w:r>
      <w:r w:rsidRPr="0094469E">
        <w:rPr>
          <w:rFonts w:ascii="Times New Roman" w:hAnsi="Times New Roman" w:cs="Times New Roman"/>
          <w:b/>
          <w:sz w:val="24"/>
          <w:szCs w:val="24"/>
        </w:rPr>
        <w:t>39</w:t>
      </w:r>
      <w:r w:rsidRPr="0094469E">
        <w:rPr>
          <w:rFonts w:ascii="Times New Roman" w:hAnsi="Times New Roman" w:cs="Times New Roman"/>
          <w:sz w:val="24"/>
          <w:szCs w:val="24"/>
        </w:rPr>
        <w:t>(3), 124-130.</w:t>
      </w:r>
      <w:bookmarkEnd w:id="608"/>
    </w:p>
    <w:p w14:paraId="04D9BE7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09" w:name="_ENREF_102"/>
      <w:r w:rsidRPr="0094469E">
        <w:rPr>
          <w:rFonts w:ascii="Times New Roman" w:hAnsi="Times New Roman" w:cs="Times New Roman"/>
          <w:sz w:val="24"/>
          <w:szCs w:val="24"/>
        </w:rPr>
        <w:t xml:space="preserve">Creswell, J. W., and Plano Clark, V. (2007). Choosing a mixed methods design. </w:t>
      </w:r>
      <w:r w:rsidRPr="0094469E">
        <w:rPr>
          <w:rFonts w:ascii="Times New Roman" w:hAnsi="Times New Roman" w:cs="Times New Roman"/>
          <w:i/>
          <w:sz w:val="24"/>
          <w:szCs w:val="24"/>
        </w:rPr>
        <w:t>Designing and conducting mixed methods research</w:t>
      </w:r>
      <w:r w:rsidRPr="0094469E">
        <w:rPr>
          <w:rFonts w:ascii="Times New Roman" w:hAnsi="Times New Roman" w:cs="Times New Roman"/>
          <w:sz w:val="24"/>
          <w:szCs w:val="24"/>
        </w:rPr>
        <w:t>, 58-88.</w:t>
      </w:r>
      <w:bookmarkEnd w:id="609"/>
    </w:p>
    <w:p w14:paraId="39F7216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0" w:name="_ENREF_103"/>
      <w:r w:rsidRPr="0094469E">
        <w:rPr>
          <w:rFonts w:ascii="Times New Roman" w:hAnsi="Times New Roman" w:cs="Times New Roman"/>
          <w:sz w:val="24"/>
          <w:szCs w:val="24"/>
        </w:rPr>
        <w:t xml:space="preserve">Creswell, J. W., Plano Clark, V. L., and Garrett, A. L. (2008). Methodological issues in conducting mixed methods research designs. </w:t>
      </w:r>
      <w:r w:rsidRPr="0094469E">
        <w:rPr>
          <w:rFonts w:ascii="Times New Roman" w:hAnsi="Times New Roman" w:cs="Times New Roman"/>
          <w:i/>
          <w:sz w:val="24"/>
          <w:szCs w:val="24"/>
        </w:rPr>
        <w:t>Advances in mixed methods research</w:t>
      </w:r>
      <w:r w:rsidRPr="0094469E">
        <w:rPr>
          <w:rFonts w:ascii="Times New Roman" w:hAnsi="Times New Roman" w:cs="Times New Roman"/>
          <w:sz w:val="24"/>
          <w:szCs w:val="24"/>
        </w:rPr>
        <w:t>, 66-83.</w:t>
      </w:r>
      <w:bookmarkEnd w:id="610"/>
    </w:p>
    <w:p w14:paraId="73056F3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1" w:name="_ENREF_104"/>
      <w:r w:rsidRPr="0094469E">
        <w:rPr>
          <w:rFonts w:ascii="Times New Roman" w:hAnsi="Times New Roman" w:cs="Times New Roman"/>
          <w:sz w:val="24"/>
          <w:szCs w:val="24"/>
        </w:rPr>
        <w:t xml:space="preserve">Creswell, J. W., Plano Clark, V. L., Gutmann, M. L., and Hanson, W. E. (2003). Advanced mixed methods research designs </w:t>
      </w:r>
      <w:r w:rsidRPr="0094469E">
        <w:rPr>
          <w:rFonts w:ascii="Times New Roman" w:hAnsi="Times New Roman" w:cs="Times New Roman"/>
          <w:i/>
          <w:sz w:val="24"/>
          <w:szCs w:val="24"/>
        </w:rPr>
        <w:t>Handbook of mixed methods in social &amp; behavioral research</w:t>
      </w:r>
      <w:r w:rsidRPr="0094469E">
        <w:rPr>
          <w:rFonts w:ascii="Times New Roman" w:hAnsi="Times New Roman" w:cs="Times New Roman"/>
          <w:sz w:val="24"/>
          <w:szCs w:val="24"/>
        </w:rPr>
        <w:t xml:space="preserve"> (pp. 209-240). Thousand Oaks, CA: Sage.</w:t>
      </w:r>
      <w:bookmarkEnd w:id="611"/>
    </w:p>
    <w:p w14:paraId="6507E8C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2" w:name="_ENREF_105"/>
      <w:r w:rsidRPr="0094469E">
        <w:rPr>
          <w:rFonts w:ascii="Times New Roman" w:hAnsi="Times New Roman" w:cs="Times New Roman"/>
          <w:sz w:val="24"/>
          <w:szCs w:val="24"/>
        </w:rPr>
        <w:t xml:space="preserve">Crotty, M. (1998). </w:t>
      </w:r>
      <w:r w:rsidRPr="0094469E">
        <w:rPr>
          <w:rFonts w:ascii="Times New Roman" w:hAnsi="Times New Roman" w:cs="Times New Roman"/>
          <w:i/>
          <w:sz w:val="24"/>
          <w:szCs w:val="24"/>
        </w:rPr>
        <w:t>The foundations of social research: Meaning and perspective in the research process</w:t>
      </w:r>
      <w:r w:rsidRPr="0094469E">
        <w:rPr>
          <w:rFonts w:ascii="Times New Roman" w:hAnsi="Times New Roman" w:cs="Times New Roman"/>
          <w:sz w:val="24"/>
          <w:szCs w:val="24"/>
        </w:rPr>
        <w:t>: Sage.</w:t>
      </w:r>
      <w:bookmarkEnd w:id="612"/>
    </w:p>
    <w:p w14:paraId="7F07D84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3" w:name="_ENREF_106"/>
      <w:r w:rsidRPr="0094469E">
        <w:rPr>
          <w:rFonts w:ascii="Times New Roman" w:hAnsi="Times New Roman" w:cs="Times New Roman"/>
          <w:sz w:val="24"/>
          <w:szCs w:val="24"/>
        </w:rPr>
        <w:t xml:space="preserve">Crowe, M., and Sheppard, L. (2011). A review of critical appraisal tools show they lack rigor: alternative tool structure is proposed. </w:t>
      </w:r>
      <w:r w:rsidRPr="0094469E">
        <w:rPr>
          <w:rFonts w:ascii="Times New Roman" w:hAnsi="Times New Roman" w:cs="Times New Roman"/>
          <w:i/>
          <w:sz w:val="24"/>
          <w:szCs w:val="24"/>
        </w:rPr>
        <w:t xml:space="preserve">Journal of clinical epidemiology, </w:t>
      </w:r>
      <w:r w:rsidRPr="0094469E">
        <w:rPr>
          <w:rFonts w:ascii="Times New Roman" w:hAnsi="Times New Roman" w:cs="Times New Roman"/>
          <w:b/>
          <w:sz w:val="24"/>
          <w:szCs w:val="24"/>
        </w:rPr>
        <w:t>64</w:t>
      </w:r>
      <w:r w:rsidRPr="0094469E">
        <w:rPr>
          <w:rFonts w:ascii="Times New Roman" w:hAnsi="Times New Roman" w:cs="Times New Roman"/>
          <w:sz w:val="24"/>
          <w:szCs w:val="24"/>
        </w:rPr>
        <w:t>(1), 79-89.</w:t>
      </w:r>
      <w:bookmarkEnd w:id="613"/>
    </w:p>
    <w:p w14:paraId="234A3B13" w14:textId="348448C8" w:rsidR="0094469E" w:rsidRPr="0094469E" w:rsidRDefault="0094469E" w:rsidP="0094469E">
      <w:pPr>
        <w:pStyle w:val="EndNoteBibliography"/>
        <w:spacing w:line="360" w:lineRule="auto"/>
        <w:rPr>
          <w:rFonts w:ascii="Times New Roman" w:hAnsi="Times New Roman" w:cs="Times New Roman"/>
          <w:sz w:val="24"/>
          <w:szCs w:val="24"/>
        </w:rPr>
      </w:pPr>
      <w:bookmarkStart w:id="614" w:name="_ENREF_107"/>
      <w:r w:rsidRPr="0094469E">
        <w:rPr>
          <w:rFonts w:ascii="Times New Roman" w:hAnsi="Times New Roman" w:cs="Times New Roman"/>
          <w:sz w:val="24"/>
          <w:szCs w:val="24"/>
        </w:rPr>
        <w:t xml:space="preserve">Crowther, M. A., and Cook, D. J. (2007). Trials and tribulations of systematic reviews and meta-analyses. </w:t>
      </w:r>
      <w:r w:rsidRPr="0094469E">
        <w:rPr>
          <w:rFonts w:ascii="Times New Roman" w:hAnsi="Times New Roman" w:cs="Times New Roman"/>
          <w:i/>
          <w:sz w:val="24"/>
          <w:szCs w:val="24"/>
        </w:rPr>
        <w:t xml:space="preserve">American </w:t>
      </w:r>
      <w:r w:rsidR="00BD42AF">
        <w:rPr>
          <w:rFonts w:ascii="Times New Roman" w:hAnsi="Times New Roman" w:cs="Times New Roman"/>
          <w:i/>
          <w:sz w:val="24"/>
          <w:szCs w:val="24"/>
        </w:rPr>
        <w:t>s</w:t>
      </w:r>
      <w:r w:rsidRPr="0094469E">
        <w:rPr>
          <w:rFonts w:ascii="Times New Roman" w:hAnsi="Times New Roman" w:cs="Times New Roman"/>
          <w:i/>
          <w:sz w:val="24"/>
          <w:szCs w:val="24"/>
        </w:rPr>
        <w:t xml:space="preserve">ociety of </w:t>
      </w:r>
      <w:r w:rsidR="00BD42AF">
        <w:rPr>
          <w:rFonts w:ascii="Times New Roman" w:hAnsi="Times New Roman" w:cs="Times New Roman"/>
          <w:i/>
          <w:sz w:val="24"/>
          <w:szCs w:val="24"/>
        </w:rPr>
        <w:t>h</w:t>
      </w:r>
      <w:r w:rsidRPr="0094469E">
        <w:rPr>
          <w:rFonts w:ascii="Times New Roman" w:hAnsi="Times New Roman" w:cs="Times New Roman"/>
          <w:i/>
          <w:sz w:val="24"/>
          <w:szCs w:val="24"/>
        </w:rPr>
        <w:t xml:space="preserve">ematology </w:t>
      </w:r>
      <w:r w:rsidR="00BD42AF">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00BD42AF">
        <w:rPr>
          <w:rFonts w:ascii="Times New Roman" w:hAnsi="Times New Roman" w:cs="Times New Roman"/>
          <w:i/>
          <w:sz w:val="24"/>
          <w:szCs w:val="24"/>
        </w:rPr>
        <w:t>p</w:t>
      </w:r>
      <w:r w:rsidRPr="0094469E">
        <w:rPr>
          <w:rFonts w:ascii="Times New Roman" w:hAnsi="Times New Roman" w:cs="Times New Roman"/>
          <w:i/>
          <w:sz w:val="24"/>
          <w:szCs w:val="24"/>
        </w:rPr>
        <w:t>rogram book</w:t>
      </w:r>
      <w:r w:rsidRPr="0094469E">
        <w:rPr>
          <w:rFonts w:ascii="Times New Roman" w:hAnsi="Times New Roman" w:cs="Times New Roman"/>
          <w:sz w:val="24"/>
          <w:szCs w:val="24"/>
        </w:rPr>
        <w:t>, 493-497.</w:t>
      </w:r>
      <w:bookmarkEnd w:id="614"/>
    </w:p>
    <w:p w14:paraId="4ACFF6D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5" w:name="_ENREF_108"/>
      <w:r w:rsidRPr="0094469E">
        <w:rPr>
          <w:rFonts w:ascii="Times New Roman" w:hAnsi="Times New Roman" w:cs="Times New Roman"/>
          <w:sz w:val="24"/>
          <w:szCs w:val="24"/>
        </w:rPr>
        <w:lastRenderedPageBreak/>
        <w:t xml:space="preserve">Cutting, M. F., and Saks, N. S. (2012). Twelve tips for utilizing principles of learning to support medical education.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34</w:t>
      </w:r>
      <w:r w:rsidRPr="0094469E">
        <w:rPr>
          <w:rFonts w:ascii="Times New Roman" w:hAnsi="Times New Roman" w:cs="Times New Roman"/>
          <w:sz w:val="24"/>
          <w:szCs w:val="24"/>
        </w:rPr>
        <w:t>(1), 20-24.</w:t>
      </w:r>
      <w:bookmarkEnd w:id="615"/>
    </w:p>
    <w:p w14:paraId="3FA0488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6" w:name="_ENREF_109"/>
      <w:r w:rsidRPr="0094469E">
        <w:rPr>
          <w:rFonts w:ascii="Times New Roman" w:hAnsi="Times New Roman" w:cs="Times New Roman"/>
          <w:sz w:val="24"/>
          <w:szCs w:val="24"/>
        </w:rPr>
        <w:t xml:space="preserve">Datta, L. e. (1994). Paradigm wars: A basis for peaceful coexistence and beyond. </w:t>
      </w:r>
      <w:r w:rsidRPr="0094469E">
        <w:rPr>
          <w:rFonts w:ascii="Times New Roman" w:hAnsi="Times New Roman" w:cs="Times New Roman"/>
          <w:i/>
          <w:sz w:val="24"/>
          <w:szCs w:val="24"/>
        </w:rPr>
        <w:t xml:space="preserve">New directions for program evaluation, </w:t>
      </w:r>
      <w:r w:rsidRPr="0094469E">
        <w:rPr>
          <w:rFonts w:ascii="Times New Roman" w:hAnsi="Times New Roman" w:cs="Times New Roman"/>
          <w:b/>
          <w:sz w:val="24"/>
          <w:szCs w:val="24"/>
        </w:rPr>
        <w:t>1994</w:t>
      </w:r>
      <w:r w:rsidRPr="0094469E">
        <w:rPr>
          <w:rFonts w:ascii="Times New Roman" w:hAnsi="Times New Roman" w:cs="Times New Roman"/>
          <w:sz w:val="24"/>
          <w:szCs w:val="24"/>
        </w:rPr>
        <w:t>(61), 53-70.</w:t>
      </w:r>
      <w:bookmarkEnd w:id="616"/>
    </w:p>
    <w:p w14:paraId="0815CEE7" w14:textId="51E8E9EF" w:rsidR="0094469E" w:rsidRPr="0094469E" w:rsidRDefault="0094469E" w:rsidP="0094469E">
      <w:pPr>
        <w:pStyle w:val="EndNoteBibliography"/>
        <w:spacing w:line="360" w:lineRule="auto"/>
        <w:rPr>
          <w:rFonts w:ascii="Times New Roman" w:hAnsi="Times New Roman" w:cs="Times New Roman"/>
          <w:sz w:val="24"/>
          <w:szCs w:val="24"/>
        </w:rPr>
      </w:pPr>
      <w:bookmarkStart w:id="617" w:name="_ENREF_110"/>
      <w:r w:rsidRPr="0094469E">
        <w:rPr>
          <w:rFonts w:ascii="Times New Roman" w:hAnsi="Times New Roman" w:cs="Times New Roman"/>
          <w:sz w:val="24"/>
          <w:szCs w:val="24"/>
        </w:rPr>
        <w:t xml:space="preserve">Davis, D. A., Mazmanian, P. E., Fordis, M., Van Harrison, R., Thorpe, K. E., and Perrier, L. (2006). Accuracy of physician self-assessment compared with observed measures of competence: a systematic review. </w:t>
      </w:r>
      <w:r w:rsidR="00BD42AF">
        <w:rPr>
          <w:rFonts w:ascii="Times New Roman" w:hAnsi="Times New Roman" w:cs="Times New Roman"/>
          <w:i/>
          <w:sz w:val="24"/>
          <w:szCs w:val="24"/>
        </w:rPr>
        <w:t xml:space="preserve">The journal of the american medical association </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296</w:t>
      </w:r>
      <w:r w:rsidRPr="0094469E">
        <w:rPr>
          <w:rFonts w:ascii="Times New Roman" w:hAnsi="Times New Roman" w:cs="Times New Roman"/>
          <w:sz w:val="24"/>
          <w:szCs w:val="24"/>
        </w:rPr>
        <w:t>(9), 1094-1102.</w:t>
      </w:r>
      <w:bookmarkEnd w:id="617"/>
    </w:p>
    <w:p w14:paraId="3A4FB048" w14:textId="53A893C0" w:rsidR="0094469E" w:rsidRPr="0094469E" w:rsidRDefault="0094469E" w:rsidP="0094469E">
      <w:pPr>
        <w:pStyle w:val="EndNoteBibliography"/>
        <w:spacing w:line="360" w:lineRule="auto"/>
        <w:rPr>
          <w:rFonts w:ascii="Times New Roman" w:hAnsi="Times New Roman" w:cs="Times New Roman"/>
          <w:sz w:val="24"/>
          <w:szCs w:val="24"/>
        </w:rPr>
      </w:pPr>
      <w:bookmarkStart w:id="618" w:name="_ENREF_111"/>
      <w:r w:rsidRPr="0094469E">
        <w:rPr>
          <w:rFonts w:ascii="Times New Roman" w:hAnsi="Times New Roman" w:cs="Times New Roman"/>
          <w:sz w:val="24"/>
          <w:szCs w:val="24"/>
        </w:rPr>
        <w:t xml:space="preserve">de Bruin, M., Viechtbauer, W., Schaalma, H. P., Kok, G., Abraham, C., and Hospers, H. J. (2010). Standard care impact on effects of highly active antiretroviral therapy adherence interventions: A meta-analysis of randomized controlled trials. </w:t>
      </w:r>
      <w:r w:rsidRPr="0094469E">
        <w:rPr>
          <w:rFonts w:ascii="Times New Roman" w:hAnsi="Times New Roman" w:cs="Times New Roman"/>
          <w:i/>
          <w:sz w:val="24"/>
          <w:szCs w:val="24"/>
        </w:rPr>
        <w:t xml:space="preserve">Archives of </w:t>
      </w:r>
      <w:r w:rsidR="00BD42AF">
        <w:rPr>
          <w:rFonts w:ascii="Times New Roman" w:hAnsi="Times New Roman" w:cs="Times New Roman"/>
          <w:i/>
          <w:sz w:val="24"/>
          <w:szCs w:val="24"/>
        </w:rPr>
        <w:t>i</w:t>
      </w:r>
      <w:r w:rsidRPr="0094469E">
        <w:rPr>
          <w:rFonts w:ascii="Times New Roman" w:hAnsi="Times New Roman" w:cs="Times New Roman"/>
          <w:i/>
          <w:sz w:val="24"/>
          <w:szCs w:val="24"/>
        </w:rPr>
        <w:t xml:space="preserve">nternal </w:t>
      </w:r>
      <w:r w:rsidR="00BD42AF">
        <w:rPr>
          <w:rFonts w:ascii="Times New Roman" w:hAnsi="Times New Roman" w:cs="Times New Roman"/>
          <w:i/>
          <w:sz w:val="24"/>
          <w:szCs w:val="24"/>
        </w:rPr>
        <w:t>m</w:t>
      </w:r>
      <w:r w:rsidRPr="0094469E">
        <w:rPr>
          <w:rFonts w:ascii="Times New Roman" w:hAnsi="Times New Roman" w:cs="Times New Roman"/>
          <w:i/>
          <w:sz w:val="24"/>
          <w:szCs w:val="24"/>
        </w:rPr>
        <w:t xml:space="preserve">edicine, </w:t>
      </w:r>
      <w:r w:rsidRPr="0094469E">
        <w:rPr>
          <w:rFonts w:ascii="Times New Roman" w:hAnsi="Times New Roman" w:cs="Times New Roman"/>
          <w:b/>
          <w:sz w:val="24"/>
          <w:szCs w:val="24"/>
        </w:rPr>
        <w:t>170</w:t>
      </w:r>
      <w:r w:rsidRPr="0094469E">
        <w:rPr>
          <w:rFonts w:ascii="Times New Roman" w:hAnsi="Times New Roman" w:cs="Times New Roman"/>
          <w:sz w:val="24"/>
          <w:szCs w:val="24"/>
        </w:rPr>
        <w:t>(3), 240-250.</w:t>
      </w:r>
      <w:bookmarkEnd w:id="618"/>
    </w:p>
    <w:p w14:paraId="4B8FE29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19" w:name="_ENREF_112"/>
      <w:r w:rsidRPr="0094469E">
        <w:rPr>
          <w:rFonts w:ascii="Times New Roman" w:hAnsi="Times New Roman" w:cs="Times New Roman"/>
          <w:sz w:val="24"/>
          <w:szCs w:val="24"/>
        </w:rPr>
        <w:t xml:space="preserve">De Corte, E., Mason, L., Depaepe, F., and Verschaffel, L. (2011). Self-regulation of mathematical knowledge and skills.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155-172.</w:t>
      </w:r>
      <w:bookmarkEnd w:id="619"/>
    </w:p>
    <w:p w14:paraId="72BCF705" w14:textId="7AD7FCD5" w:rsidR="0094469E" w:rsidRPr="0094469E" w:rsidRDefault="0094469E" w:rsidP="0094469E">
      <w:pPr>
        <w:pStyle w:val="EndNoteBibliography"/>
        <w:spacing w:line="360" w:lineRule="auto"/>
        <w:rPr>
          <w:rFonts w:ascii="Times New Roman" w:hAnsi="Times New Roman" w:cs="Times New Roman"/>
          <w:sz w:val="24"/>
          <w:szCs w:val="24"/>
        </w:rPr>
      </w:pPr>
      <w:bookmarkStart w:id="620" w:name="_ENREF_113"/>
      <w:r w:rsidRPr="0094469E">
        <w:rPr>
          <w:rFonts w:ascii="Times New Roman" w:hAnsi="Times New Roman" w:cs="Times New Roman"/>
          <w:sz w:val="24"/>
          <w:szCs w:val="24"/>
        </w:rPr>
        <w:t xml:space="preserve">De Cremer, D., Van Knippenberg, B., Van Knippenberg, D., Mullenders, D., and Stinglhamber, F. (2005). Rewarding leadership and fair procedures as determinants of self-esteem. </w:t>
      </w:r>
      <w:r w:rsidRPr="0094469E">
        <w:rPr>
          <w:rFonts w:ascii="Times New Roman" w:hAnsi="Times New Roman" w:cs="Times New Roman"/>
          <w:i/>
          <w:sz w:val="24"/>
          <w:szCs w:val="24"/>
        </w:rPr>
        <w:t xml:space="preserve">Journal of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pplied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Pr="0094469E">
        <w:rPr>
          <w:rFonts w:ascii="Times New Roman" w:hAnsi="Times New Roman" w:cs="Times New Roman"/>
          <w:b/>
          <w:sz w:val="24"/>
          <w:szCs w:val="24"/>
        </w:rPr>
        <w:t>90</w:t>
      </w:r>
      <w:r w:rsidRPr="0094469E">
        <w:rPr>
          <w:rFonts w:ascii="Times New Roman" w:hAnsi="Times New Roman" w:cs="Times New Roman"/>
          <w:sz w:val="24"/>
          <w:szCs w:val="24"/>
        </w:rPr>
        <w:t>(1), 3.</w:t>
      </w:r>
      <w:bookmarkEnd w:id="620"/>
    </w:p>
    <w:p w14:paraId="3FD859E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1" w:name="_ENREF_114"/>
      <w:r w:rsidRPr="0094469E">
        <w:rPr>
          <w:rFonts w:ascii="Times New Roman" w:hAnsi="Times New Roman" w:cs="Times New Roman"/>
          <w:sz w:val="24"/>
          <w:szCs w:val="24"/>
        </w:rPr>
        <w:t xml:space="preserve">Denford, S., Abraham, C., Smith, J., Lloyd, J. J., White, M., Tarrant, M., Wyatt, K., Greaves, C., Dean, S., and Reynolds, K. (2015). Designing and evaluating behavior change interventions to promote health. </w:t>
      </w:r>
      <w:r w:rsidRPr="0094469E">
        <w:rPr>
          <w:rFonts w:ascii="Times New Roman" w:hAnsi="Times New Roman" w:cs="Times New Roman"/>
          <w:i/>
          <w:sz w:val="24"/>
          <w:szCs w:val="24"/>
        </w:rPr>
        <w:t>The psychology of change: Life contexts, experiences, and identities</w:t>
      </w:r>
      <w:r w:rsidRPr="0094469E">
        <w:rPr>
          <w:rFonts w:ascii="Times New Roman" w:hAnsi="Times New Roman" w:cs="Times New Roman"/>
          <w:sz w:val="24"/>
          <w:szCs w:val="24"/>
        </w:rPr>
        <w:t>, 151-169.</w:t>
      </w:r>
      <w:bookmarkEnd w:id="621"/>
    </w:p>
    <w:p w14:paraId="388539DC" w14:textId="4B0B5E41" w:rsidR="0094469E" w:rsidRPr="0094469E" w:rsidRDefault="0094469E" w:rsidP="0094469E">
      <w:pPr>
        <w:pStyle w:val="EndNoteBibliography"/>
        <w:spacing w:line="360" w:lineRule="auto"/>
        <w:rPr>
          <w:rFonts w:ascii="Times New Roman" w:hAnsi="Times New Roman" w:cs="Times New Roman"/>
          <w:sz w:val="24"/>
          <w:szCs w:val="24"/>
        </w:rPr>
      </w:pPr>
      <w:bookmarkStart w:id="622" w:name="_ENREF_115"/>
      <w:r w:rsidRPr="0094469E">
        <w:rPr>
          <w:rFonts w:ascii="Times New Roman" w:hAnsi="Times New Roman" w:cs="Times New Roman"/>
          <w:sz w:val="24"/>
          <w:szCs w:val="24"/>
        </w:rPr>
        <w:t xml:space="preserve">Dent, A. L., and Hoyle, R. H. (2015). A framework for evaluating and enhancing alignment in self-regulated learning research. </w:t>
      </w:r>
      <w:r w:rsidRPr="0094469E">
        <w:rPr>
          <w:rFonts w:ascii="Times New Roman" w:hAnsi="Times New Roman" w:cs="Times New Roman"/>
          <w:i/>
          <w:sz w:val="24"/>
          <w:szCs w:val="24"/>
        </w:rPr>
        <w:t xml:space="preserve">Metacognition and </w:t>
      </w:r>
      <w:r w:rsidR="00BD42AF">
        <w:rPr>
          <w:rFonts w:ascii="Times New Roman" w:hAnsi="Times New Roman" w:cs="Times New Roman"/>
          <w:i/>
          <w:sz w:val="24"/>
          <w:szCs w:val="24"/>
        </w:rPr>
        <w:t>l</w:t>
      </w:r>
      <w:r w:rsidRPr="0094469E">
        <w:rPr>
          <w:rFonts w:ascii="Times New Roman" w:hAnsi="Times New Roman" w:cs="Times New Roman"/>
          <w:i/>
          <w:sz w:val="24"/>
          <w:szCs w:val="24"/>
        </w:rPr>
        <w:t xml:space="preserve">earning, </w:t>
      </w:r>
      <w:r w:rsidRPr="0094469E">
        <w:rPr>
          <w:rFonts w:ascii="Times New Roman" w:hAnsi="Times New Roman" w:cs="Times New Roman"/>
          <w:b/>
          <w:sz w:val="24"/>
          <w:szCs w:val="24"/>
        </w:rPr>
        <w:t>10</w:t>
      </w:r>
      <w:r w:rsidRPr="0094469E">
        <w:rPr>
          <w:rFonts w:ascii="Times New Roman" w:hAnsi="Times New Roman" w:cs="Times New Roman"/>
          <w:sz w:val="24"/>
          <w:szCs w:val="24"/>
        </w:rPr>
        <w:t>(1), 165-179.</w:t>
      </w:r>
      <w:bookmarkEnd w:id="622"/>
    </w:p>
    <w:p w14:paraId="40F2713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3" w:name="_ENREF_116"/>
      <w:r w:rsidRPr="0094469E">
        <w:rPr>
          <w:rFonts w:ascii="Times New Roman" w:hAnsi="Times New Roman" w:cs="Times New Roman"/>
          <w:sz w:val="24"/>
          <w:szCs w:val="24"/>
        </w:rPr>
        <w:t xml:space="preserve">Denzin, N. K. (1973). </w:t>
      </w:r>
      <w:r w:rsidRPr="0094469E">
        <w:rPr>
          <w:rFonts w:ascii="Times New Roman" w:hAnsi="Times New Roman" w:cs="Times New Roman"/>
          <w:i/>
          <w:sz w:val="24"/>
          <w:szCs w:val="24"/>
        </w:rPr>
        <w:t>The research act: A theoretical introduction to sociological methods</w:t>
      </w:r>
      <w:r w:rsidRPr="0094469E">
        <w:rPr>
          <w:rFonts w:ascii="Times New Roman" w:hAnsi="Times New Roman" w:cs="Times New Roman"/>
          <w:sz w:val="24"/>
          <w:szCs w:val="24"/>
        </w:rPr>
        <w:t>: Transaction publishers.</w:t>
      </w:r>
      <w:bookmarkEnd w:id="623"/>
    </w:p>
    <w:p w14:paraId="4C5DC96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4" w:name="_ENREF_117"/>
      <w:r w:rsidRPr="0094469E">
        <w:rPr>
          <w:rFonts w:ascii="Times New Roman" w:hAnsi="Times New Roman" w:cs="Times New Roman"/>
          <w:sz w:val="24"/>
          <w:szCs w:val="24"/>
        </w:rPr>
        <w:t xml:space="preserve">Denzin, N. K. (1989). </w:t>
      </w:r>
      <w:r w:rsidRPr="0094469E">
        <w:rPr>
          <w:rFonts w:ascii="Times New Roman" w:hAnsi="Times New Roman" w:cs="Times New Roman"/>
          <w:i/>
          <w:sz w:val="24"/>
          <w:szCs w:val="24"/>
        </w:rPr>
        <w:t>The research act 3rd ed</w:t>
      </w:r>
      <w:r w:rsidRPr="0094469E">
        <w:rPr>
          <w:rFonts w:ascii="Times New Roman" w:hAnsi="Times New Roman" w:cs="Times New Roman"/>
          <w:sz w:val="24"/>
          <w:szCs w:val="24"/>
        </w:rPr>
        <w:t xml:space="preserve"> (Vol. 3rd). Englewood Cliffs, NJ: Prentice Hall.</w:t>
      </w:r>
      <w:bookmarkEnd w:id="624"/>
    </w:p>
    <w:p w14:paraId="0B8584B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5" w:name="_ENREF_118"/>
      <w:r w:rsidRPr="0094469E">
        <w:rPr>
          <w:rFonts w:ascii="Times New Roman" w:hAnsi="Times New Roman" w:cs="Times New Roman"/>
          <w:sz w:val="24"/>
          <w:szCs w:val="24"/>
        </w:rPr>
        <w:t xml:space="preserve">Denzin, N. K., and Lincoln, Y. S. (1994). </w:t>
      </w:r>
      <w:r w:rsidRPr="0094469E">
        <w:rPr>
          <w:rFonts w:ascii="Times New Roman" w:hAnsi="Times New Roman" w:cs="Times New Roman"/>
          <w:i/>
          <w:sz w:val="24"/>
          <w:szCs w:val="24"/>
        </w:rPr>
        <w:t>Handbook of qualitative research</w:t>
      </w:r>
      <w:r w:rsidRPr="0094469E">
        <w:rPr>
          <w:rFonts w:ascii="Times New Roman" w:hAnsi="Times New Roman" w:cs="Times New Roman"/>
          <w:sz w:val="24"/>
          <w:szCs w:val="24"/>
        </w:rPr>
        <w:t>: Sage publications, inc.</w:t>
      </w:r>
      <w:bookmarkEnd w:id="625"/>
    </w:p>
    <w:p w14:paraId="0A988DC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6" w:name="_ENREF_119"/>
      <w:r w:rsidRPr="0094469E">
        <w:rPr>
          <w:rFonts w:ascii="Times New Roman" w:hAnsi="Times New Roman" w:cs="Times New Roman"/>
          <w:sz w:val="24"/>
          <w:szCs w:val="24"/>
        </w:rPr>
        <w:lastRenderedPageBreak/>
        <w:t xml:space="preserve">Denzin, N. K., and Lincoln, Y. S. (2002). </w:t>
      </w:r>
      <w:r w:rsidRPr="0094469E">
        <w:rPr>
          <w:rFonts w:ascii="Times New Roman" w:hAnsi="Times New Roman" w:cs="Times New Roman"/>
          <w:i/>
          <w:sz w:val="24"/>
          <w:szCs w:val="24"/>
        </w:rPr>
        <w:t>The qualitative inquiry reader</w:t>
      </w:r>
      <w:r w:rsidRPr="0094469E">
        <w:rPr>
          <w:rFonts w:ascii="Times New Roman" w:hAnsi="Times New Roman" w:cs="Times New Roman"/>
          <w:sz w:val="24"/>
          <w:szCs w:val="24"/>
        </w:rPr>
        <w:t>: Sage.</w:t>
      </w:r>
      <w:bookmarkEnd w:id="626"/>
    </w:p>
    <w:p w14:paraId="0A131C8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7" w:name="_ENREF_120"/>
      <w:r w:rsidRPr="0094469E">
        <w:rPr>
          <w:rFonts w:ascii="Times New Roman" w:hAnsi="Times New Roman" w:cs="Times New Roman"/>
          <w:sz w:val="24"/>
          <w:szCs w:val="24"/>
        </w:rPr>
        <w:t xml:space="preserve">Denzin, N. K., and Lincoln, Y. S. (2011). </w:t>
      </w:r>
      <w:r w:rsidRPr="0094469E">
        <w:rPr>
          <w:rFonts w:ascii="Times New Roman" w:hAnsi="Times New Roman" w:cs="Times New Roman"/>
          <w:i/>
          <w:sz w:val="24"/>
          <w:szCs w:val="24"/>
        </w:rPr>
        <w:t>The Sage handbook of qualitative research</w:t>
      </w:r>
      <w:r w:rsidRPr="0094469E">
        <w:rPr>
          <w:rFonts w:ascii="Times New Roman" w:hAnsi="Times New Roman" w:cs="Times New Roman"/>
          <w:sz w:val="24"/>
          <w:szCs w:val="24"/>
        </w:rPr>
        <w:t>: Sage.</w:t>
      </w:r>
      <w:bookmarkEnd w:id="627"/>
    </w:p>
    <w:p w14:paraId="5FEAB3A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28" w:name="_ENREF_121"/>
      <w:r w:rsidRPr="0094469E">
        <w:rPr>
          <w:rFonts w:ascii="Times New Roman" w:hAnsi="Times New Roman" w:cs="Times New Roman"/>
          <w:sz w:val="24"/>
          <w:szCs w:val="24"/>
        </w:rPr>
        <w:t xml:space="preserve">Denzin, N. K., and Lincoln, Y. S. (2013). </w:t>
      </w:r>
      <w:r w:rsidRPr="0094469E">
        <w:rPr>
          <w:rFonts w:ascii="Times New Roman" w:hAnsi="Times New Roman" w:cs="Times New Roman"/>
          <w:i/>
          <w:sz w:val="24"/>
          <w:szCs w:val="24"/>
        </w:rPr>
        <w:t>Collecting and interpreting qualitative materials</w:t>
      </w:r>
      <w:r w:rsidRPr="0094469E">
        <w:rPr>
          <w:rFonts w:ascii="Times New Roman" w:hAnsi="Times New Roman" w:cs="Times New Roman"/>
          <w:sz w:val="24"/>
          <w:szCs w:val="24"/>
        </w:rPr>
        <w:t xml:space="preserve"> (4th ed.): Sage.</w:t>
      </w:r>
      <w:bookmarkEnd w:id="628"/>
    </w:p>
    <w:p w14:paraId="30F8CFDD" w14:textId="62267EDD" w:rsidR="0094469E" w:rsidRPr="0094469E" w:rsidRDefault="0094469E" w:rsidP="0094469E">
      <w:pPr>
        <w:pStyle w:val="EndNoteBibliography"/>
        <w:spacing w:line="360" w:lineRule="auto"/>
        <w:rPr>
          <w:rFonts w:ascii="Times New Roman" w:hAnsi="Times New Roman" w:cs="Times New Roman"/>
          <w:sz w:val="24"/>
          <w:szCs w:val="24"/>
        </w:rPr>
      </w:pPr>
      <w:bookmarkStart w:id="629" w:name="_ENREF_122"/>
      <w:r w:rsidRPr="0094469E">
        <w:rPr>
          <w:rFonts w:ascii="Times New Roman" w:hAnsi="Times New Roman" w:cs="Times New Roman"/>
          <w:sz w:val="24"/>
          <w:szCs w:val="24"/>
        </w:rPr>
        <w:t xml:space="preserve">Des Jarlais, D. C., Lyles, C., Crepaz, N., and Group, T. (2004). Improving the reporting quality of nonrandomized evaluations of behavioral and public health interventions: the TREND statement. </w:t>
      </w:r>
      <w:r w:rsidRPr="0094469E">
        <w:rPr>
          <w:rFonts w:ascii="Times New Roman" w:hAnsi="Times New Roman" w:cs="Times New Roman"/>
          <w:i/>
          <w:sz w:val="24"/>
          <w:szCs w:val="24"/>
        </w:rPr>
        <w:t xml:space="preserve">American </w:t>
      </w:r>
      <w:r w:rsidR="00BD42AF">
        <w:rPr>
          <w:rFonts w:ascii="Times New Roman" w:hAnsi="Times New Roman" w:cs="Times New Roman"/>
          <w:i/>
          <w:sz w:val="24"/>
          <w:szCs w:val="24"/>
        </w:rPr>
        <w:t>j</w:t>
      </w:r>
      <w:r w:rsidRPr="0094469E">
        <w:rPr>
          <w:rFonts w:ascii="Times New Roman" w:hAnsi="Times New Roman" w:cs="Times New Roman"/>
          <w:i/>
          <w:sz w:val="24"/>
          <w:szCs w:val="24"/>
        </w:rPr>
        <w:t xml:space="preserve">ournal of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ublic </w:t>
      </w:r>
      <w:r w:rsidR="00BD42AF">
        <w:rPr>
          <w:rFonts w:ascii="Times New Roman" w:hAnsi="Times New Roman" w:cs="Times New Roman"/>
          <w:i/>
          <w:sz w:val="24"/>
          <w:szCs w:val="24"/>
        </w:rPr>
        <w:t>h</w:t>
      </w:r>
      <w:r w:rsidRPr="0094469E">
        <w:rPr>
          <w:rFonts w:ascii="Times New Roman" w:hAnsi="Times New Roman" w:cs="Times New Roman"/>
          <w:i/>
          <w:sz w:val="24"/>
          <w:szCs w:val="24"/>
        </w:rPr>
        <w:t xml:space="preserve">ealth, </w:t>
      </w:r>
      <w:r w:rsidRPr="0094469E">
        <w:rPr>
          <w:rFonts w:ascii="Times New Roman" w:hAnsi="Times New Roman" w:cs="Times New Roman"/>
          <w:b/>
          <w:sz w:val="24"/>
          <w:szCs w:val="24"/>
        </w:rPr>
        <w:t>94</w:t>
      </w:r>
      <w:r w:rsidRPr="0094469E">
        <w:rPr>
          <w:rFonts w:ascii="Times New Roman" w:hAnsi="Times New Roman" w:cs="Times New Roman"/>
          <w:sz w:val="24"/>
          <w:szCs w:val="24"/>
        </w:rPr>
        <w:t>(3), 361-366.</w:t>
      </w:r>
      <w:bookmarkEnd w:id="629"/>
    </w:p>
    <w:p w14:paraId="3B27C7DF" w14:textId="79A26047" w:rsidR="0094469E" w:rsidRPr="0094469E" w:rsidRDefault="0094469E" w:rsidP="0094469E">
      <w:pPr>
        <w:pStyle w:val="EndNoteBibliography"/>
        <w:spacing w:line="360" w:lineRule="auto"/>
        <w:rPr>
          <w:rFonts w:ascii="Times New Roman" w:hAnsi="Times New Roman" w:cs="Times New Roman"/>
          <w:sz w:val="24"/>
          <w:szCs w:val="24"/>
        </w:rPr>
      </w:pPr>
      <w:bookmarkStart w:id="630" w:name="_ENREF_123"/>
      <w:r w:rsidRPr="0094469E">
        <w:rPr>
          <w:rFonts w:ascii="Times New Roman" w:hAnsi="Times New Roman" w:cs="Times New Roman"/>
          <w:sz w:val="24"/>
          <w:szCs w:val="24"/>
        </w:rPr>
        <w:t xml:space="preserve">DiBenedetto, M. K., and Zimmerman, B. J. (2010). Differences in self-regulatory processes among students studying science: A microanalytic investigation. </w:t>
      </w:r>
      <w:r w:rsidRPr="0094469E">
        <w:rPr>
          <w:rFonts w:ascii="Times New Roman" w:hAnsi="Times New Roman" w:cs="Times New Roman"/>
          <w:i/>
          <w:sz w:val="24"/>
          <w:szCs w:val="24"/>
        </w:rPr>
        <w:t xml:space="preserve">The </w:t>
      </w:r>
      <w:r w:rsidR="00BD42AF">
        <w:rPr>
          <w:rFonts w:ascii="Times New Roman" w:hAnsi="Times New Roman" w:cs="Times New Roman"/>
          <w:i/>
          <w:sz w:val="24"/>
          <w:szCs w:val="24"/>
        </w:rPr>
        <w:t>i</w:t>
      </w:r>
      <w:r w:rsidRPr="0094469E">
        <w:rPr>
          <w:rFonts w:ascii="Times New Roman" w:hAnsi="Times New Roman" w:cs="Times New Roman"/>
          <w:i/>
          <w:sz w:val="24"/>
          <w:szCs w:val="24"/>
        </w:rPr>
        <w:t xml:space="preserve">nternational </w:t>
      </w:r>
      <w:r w:rsidR="00BD42AF">
        <w:rPr>
          <w:rFonts w:ascii="Times New Roman" w:hAnsi="Times New Roman" w:cs="Times New Roman"/>
          <w:i/>
          <w:sz w:val="24"/>
          <w:szCs w:val="24"/>
        </w:rPr>
        <w:t>j</w:t>
      </w:r>
      <w:r w:rsidRPr="0094469E">
        <w:rPr>
          <w:rFonts w:ascii="Times New Roman" w:hAnsi="Times New Roman" w:cs="Times New Roman"/>
          <w:i/>
          <w:sz w:val="24"/>
          <w:szCs w:val="24"/>
        </w:rPr>
        <w:t xml:space="preserve">ournal of </w:t>
      </w:r>
      <w:r w:rsidR="00BD42AF">
        <w:rPr>
          <w:rFonts w:ascii="Times New Roman" w:hAnsi="Times New Roman" w:cs="Times New Roman"/>
          <w:i/>
          <w:sz w:val="24"/>
          <w:szCs w:val="24"/>
        </w:rPr>
        <w:t>e</w:t>
      </w:r>
      <w:r w:rsidRPr="0094469E">
        <w:rPr>
          <w:rFonts w:ascii="Times New Roman" w:hAnsi="Times New Roman" w:cs="Times New Roman"/>
          <w:i/>
          <w:sz w:val="24"/>
          <w:szCs w:val="24"/>
        </w:rPr>
        <w:t xml:space="preserve">ducational and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sychological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ssessment, </w:t>
      </w:r>
      <w:r w:rsidRPr="0094469E">
        <w:rPr>
          <w:rFonts w:ascii="Times New Roman" w:hAnsi="Times New Roman" w:cs="Times New Roman"/>
          <w:b/>
          <w:sz w:val="24"/>
          <w:szCs w:val="24"/>
        </w:rPr>
        <w:t>5</w:t>
      </w:r>
      <w:r w:rsidRPr="0094469E">
        <w:rPr>
          <w:rFonts w:ascii="Times New Roman" w:hAnsi="Times New Roman" w:cs="Times New Roman"/>
          <w:sz w:val="24"/>
          <w:szCs w:val="24"/>
        </w:rPr>
        <w:t>, 2-24.</w:t>
      </w:r>
      <w:bookmarkEnd w:id="630"/>
    </w:p>
    <w:p w14:paraId="1E99F9A4" w14:textId="7302E5DE" w:rsidR="0094469E" w:rsidRPr="0094469E" w:rsidRDefault="0094469E" w:rsidP="0094469E">
      <w:pPr>
        <w:pStyle w:val="EndNoteBibliography"/>
        <w:spacing w:line="360" w:lineRule="auto"/>
        <w:rPr>
          <w:rFonts w:ascii="Times New Roman" w:hAnsi="Times New Roman" w:cs="Times New Roman"/>
          <w:sz w:val="24"/>
          <w:szCs w:val="24"/>
        </w:rPr>
      </w:pPr>
      <w:bookmarkStart w:id="631" w:name="_ENREF_124"/>
      <w:r w:rsidRPr="0094469E">
        <w:rPr>
          <w:rFonts w:ascii="Times New Roman" w:hAnsi="Times New Roman" w:cs="Times New Roman"/>
          <w:sz w:val="24"/>
          <w:szCs w:val="24"/>
        </w:rPr>
        <w:t xml:space="preserve">DiBenedetto, M. K., and Zimmerman, B. J. (2013). Construct and predictive validity of microanalytic measures of students' self-regulation of science learning. </w:t>
      </w:r>
      <w:r w:rsidRPr="0094469E">
        <w:rPr>
          <w:rFonts w:ascii="Times New Roman" w:hAnsi="Times New Roman" w:cs="Times New Roman"/>
          <w:i/>
          <w:sz w:val="24"/>
          <w:szCs w:val="24"/>
        </w:rPr>
        <w:t xml:space="preserve">Learning and </w:t>
      </w:r>
      <w:r w:rsidR="00BD42AF">
        <w:rPr>
          <w:rFonts w:ascii="Times New Roman" w:hAnsi="Times New Roman" w:cs="Times New Roman"/>
          <w:i/>
          <w:sz w:val="24"/>
          <w:szCs w:val="24"/>
        </w:rPr>
        <w:t>i</w:t>
      </w:r>
      <w:r w:rsidRPr="0094469E">
        <w:rPr>
          <w:rFonts w:ascii="Times New Roman" w:hAnsi="Times New Roman" w:cs="Times New Roman"/>
          <w:i/>
          <w:sz w:val="24"/>
          <w:szCs w:val="24"/>
        </w:rPr>
        <w:t xml:space="preserve">ndividual </w:t>
      </w:r>
      <w:r w:rsidR="00BD42AF">
        <w:rPr>
          <w:rFonts w:ascii="Times New Roman" w:hAnsi="Times New Roman" w:cs="Times New Roman"/>
          <w:i/>
          <w:sz w:val="24"/>
          <w:szCs w:val="24"/>
        </w:rPr>
        <w:t>d</w:t>
      </w:r>
      <w:r w:rsidRPr="0094469E">
        <w:rPr>
          <w:rFonts w:ascii="Times New Roman" w:hAnsi="Times New Roman" w:cs="Times New Roman"/>
          <w:i/>
          <w:sz w:val="24"/>
          <w:szCs w:val="24"/>
        </w:rPr>
        <w:t xml:space="preserve">ifferences, </w:t>
      </w:r>
      <w:r w:rsidRPr="0094469E">
        <w:rPr>
          <w:rFonts w:ascii="Times New Roman" w:hAnsi="Times New Roman" w:cs="Times New Roman"/>
          <w:b/>
          <w:sz w:val="24"/>
          <w:szCs w:val="24"/>
        </w:rPr>
        <w:t>26</w:t>
      </w:r>
      <w:r w:rsidRPr="0094469E">
        <w:rPr>
          <w:rFonts w:ascii="Times New Roman" w:hAnsi="Times New Roman" w:cs="Times New Roman"/>
          <w:sz w:val="24"/>
          <w:szCs w:val="24"/>
        </w:rPr>
        <w:t>, 30-41.</w:t>
      </w:r>
      <w:bookmarkEnd w:id="631"/>
    </w:p>
    <w:p w14:paraId="483DA0A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32" w:name="_ENREF_125"/>
      <w:r w:rsidRPr="0094469E">
        <w:rPr>
          <w:rFonts w:ascii="Times New Roman" w:hAnsi="Times New Roman" w:cs="Times New Roman"/>
          <w:sz w:val="24"/>
          <w:szCs w:val="24"/>
        </w:rPr>
        <w:t>DiCicco</w:t>
      </w:r>
      <w:r w:rsidRPr="0094469E">
        <w:rPr>
          <w:rFonts w:ascii="Cambria Math" w:hAnsi="Cambria Math" w:cs="Cambria Math"/>
          <w:sz w:val="24"/>
          <w:szCs w:val="24"/>
        </w:rPr>
        <w:t>‐</w:t>
      </w:r>
      <w:r w:rsidRPr="0094469E">
        <w:rPr>
          <w:rFonts w:ascii="Times New Roman" w:hAnsi="Times New Roman" w:cs="Times New Roman"/>
          <w:sz w:val="24"/>
          <w:szCs w:val="24"/>
        </w:rPr>
        <w:t xml:space="preserve">Bloom, B., and Crabtree, B. F. (2006). The qualitative research interview.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40</w:t>
      </w:r>
      <w:r w:rsidRPr="0094469E">
        <w:rPr>
          <w:rFonts w:ascii="Times New Roman" w:hAnsi="Times New Roman" w:cs="Times New Roman"/>
          <w:sz w:val="24"/>
          <w:szCs w:val="24"/>
        </w:rPr>
        <w:t>(4), 314-321.</w:t>
      </w:r>
      <w:bookmarkEnd w:id="632"/>
    </w:p>
    <w:p w14:paraId="69C1991F" w14:textId="2023CF4B" w:rsidR="0094469E" w:rsidRPr="0094469E" w:rsidRDefault="0094469E" w:rsidP="0094469E">
      <w:pPr>
        <w:pStyle w:val="EndNoteBibliography"/>
        <w:spacing w:line="360" w:lineRule="auto"/>
        <w:rPr>
          <w:rFonts w:ascii="Times New Roman" w:hAnsi="Times New Roman" w:cs="Times New Roman"/>
          <w:sz w:val="24"/>
          <w:szCs w:val="24"/>
        </w:rPr>
      </w:pPr>
      <w:bookmarkStart w:id="633" w:name="_ENREF_126"/>
      <w:r w:rsidRPr="0094469E">
        <w:rPr>
          <w:rFonts w:ascii="Times New Roman" w:hAnsi="Times New Roman" w:cs="Times New Roman"/>
          <w:sz w:val="24"/>
          <w:szCs w:val="24"/>
        </w:rPr>
        <w:t xml:space="preserve">Dinsmore, D. L., Alexander, P. A., and Loughlin, S. M. (2008). Focusing the conceptual lens on metacognition, self-regulation, and self-regulated learning. </w:t>
      </w:r>
      <w:r w:rsidRPr="0094469E">
        <w:rPr>
          <w:rFonts w:ascii="Times New Roman" w:hAnsi="Times New Roman" w:cs="Times New Roman"/>
          <w:i/>
          <w:sz w:val="24"/>
          <w:szCs w:val="24"/>
        </w:rPr>
        <w:t xml:space="preserve">Educational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sychology </w:t>
      </w:r>
      <w:r w:rsidR="00BD42AF">
        <w:rPr>
          <w:rFonts w:ascii="Times New Roman" w:hAnsi="Times New Roman" w:cs="Times New Roman"/>
          <w:i/>
          <w:sz w:val="24"/>
          <w:szCs w:val="24"/>
        </w:rPr>
        <w:t>r</w:t>
      </w:r>
      <w:r w:rsidRPr="0094469E">
        <w:rPr>
          <w:rFonts w:ascii="Times New Roman" w:hAnsi="Times New Roman" w:cs="Times New Roman"/>
          <w:i/>
          <w:sz w:val="24"/>
          <w:szCs w:val="24"/>
        </w:rPr>
        <w:t xml:space="preserve">eview, </w:t>
      </w:r>
      <w:r w:rsidRPr="0094469E">
        <w:rPr>
          <w:rFonts w:ascii="Times New Roman" w:hAnsi="Times New Roman" w:cs="Times New Roman"/>
          <w:b/>
          <w:sz w:val="24"/>
          <w:szCs w:val="24"/>
        </w:rPr>
        <w:t>20</w:t>
      </w:r>
      <w:r w:rsidRPr="0094469E">
        <w:rPr>
          <w:rFonts w:ascii="Times New Roman" w:hAnsi="Times New Roman" w:cs="Times New Roman"/>
          <w:sz w:val="24"/>
          <w:szCs w:val="24"/>
        </w:rPr>
        <w:t>(4), 391-409.</w:t>
      </w:r>
      <w:bookmarkEnd w:id="633"/>
    </w:p>
    <w:p w14:paraId="640E3DE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34" w:name="_ENREF_127"/>
      <w:r w:rsidRPr="0094469E">
        <w:rPr>
          <w:rFonts w:ascii="Times New Roman" w:hAnsi="Times New Roman" w:cs="Times New Roman"/>
          <w:sz w:val="24"/>
          <w:szCs w:val="24"/>
        </w:rPr>
        <w:t>Dornan, T., Boshuizen, H., King, N., and Scherpbier, A. (2007). Experience</w:t>
      </w:r>
      <w:r w:rsidRPr="0094469E">
        <w:rPr>
          <w:rFonts w:ascii="Cambria Math" w:hAnsi="Cambria Math" w:cs="Cambria Math"/>
          <w:sz w:val="24"/>
          <w:szCs w:val="24"/>
        </w:rPr>
        <w:t>‐</w:t>
      </w:r>
      <w:r w:rsidRPr="0094469E">
        <w:rPr>
          <w:rFonts w:ascii="Times New Roman" w:hAnsi="Times New Roman" w:cs="Times New Roman"/>
          <w:sz w:val="24"/>
          <w:szCs w:val="24"/>
        </w:rPr>
        <w:t xml:space="preserve">based learning: a model linking the processes and outcomes of medical students' workplace learning.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41</w:t>
      </w:r>
      <w:r w:rsidRPr="0094469E">
        <w:rPr>
          <w:rFonts w:ascii="Times New Roman" w:hAnsi="Times New Roman" w:cs="Times New Roman"/>
          <w:sz w:val="24"/>
          <w:szCs w:val="24"/>
        </w:rPr>
        <w:t>(1), 84-91.</w:t>
      </w:r>
      <w:bookmarkEnd w:id="634"/>
    </w:p>
    <w:p w14:paraId="24E8A0D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35" w:name="_ENREF_128"/>
      <w:r w:rsidRPr="0094469E">
        <w:rPr>
          <w:rFonts w:ascii="Times New Roman" w:hAnsi="Times New Roman" w:cs="Times New Roman"/>
          <w:sz w:val="24"/>
          <w:szCs w:val="24"/>
        </w:rPr>
        <w:t>Drescher, U., Warren, F., and Norton, K. (2004). Towards evidence</w:t>
      </w:r>
      <w:r w:rsidRPr="0094469E">
        <w:rPr>
          <w:rFonts w:ascii="Cambria Math" w:hAnsi="Cambria Math" w:cs="Cambria Math"/>
          <w:sz w:val="24"/>
          <w:szCs w:val="24"/>
        </w:rPr>
        <w:t>‐</w:t>
      </w:r>
      <w:r w:rsidRPr="0094469E">
        <w:rPr>
          <w:rFonts w:ascii="Times New Roman" w:hAnsi="Times New Roman" w:cs="Times New Roman"/>
          <w:sz w:val="24"/>
          <w:szCs w:val="24"/>
        </w:rPr>
        <w:t xml:space="preserve">based practice in medical training: making evaluations more meaningful.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38</w:t>
      </w:r>
      <w:r w:rsidRPr="0094469E">
        <w:rPr>
          <w:rFonts w:ascii="Times New Roman" w:hAnsi="Times New Roman" w:cs="Times New Roman"/>
          <w:sz w:val="24"/>
          <w:szCs w:val="24"/>
        </w:rPr>
        <w:t>(12), 1288-1294.</w:t>
      </w:r>
      <w:bookmarkEnd w:id="635"/>
    </w:p>
    <w:p w14:paraId="6304B6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36" w:name="_ENREF_129"/>
      <w:r w:rsidRPr="0094469E">
        <w:rPr>
          <w:rFonts w:ascii="Times New Roman" w:hAnsi="Times New Roman" w:cs="Times New Roman"/>
          <w:sz w:val="24"/>
          <w:szCs w:val="24"/>
        </w:rPr>
        <w:t xml:space="preserve">Dubé, T. V., Schinke, R. J., Strasser, R., Couper, I., and Lightfoot, N. E. (2015). Transition processes through a longitudinal integrated clerkship: a qualitative study of medical students' experiences.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(10), 1028-1037.</w:t>
      </w:r>
      <w:bookmarkEnd w:id="636"/>
    </w:p>
    <w:p w14:paraId="023D0044" w14:textId="18D42E70" w:rsidR="0094469E" w:rsidRPr="0094469E" w:rsidRDefault="0094469E" w:rsidP="0094469E">
      <w:pPr>
        <w:pStyle w:val="EndNoteBibliography"/>
        <w:spacing w:line="360" w:lineRule="auto"/>
        <w:rPr>
          <w:rFonts w:ascii="Times New Roman" w:hAnsi="Times New Roman" w:cs="Times New Roman"/>
          <w:sz w:val="24"/>
          <w:szCs w:val="24"/>
        </w:rPr>
      </w:pPr>
      <w:bookmarkStart w:id="637" w:name="_ENREF_130"/>
      <w:r w:rsidRPr="0094469E">
        <w:rPr>
          <w:rFonts w:ascii="Times New Roman" w:hAnsi="Times New Roman" w:cs="Times New Roman"/>
          <w:sz w:val="24"/>
          <w:szCs w:val="24"/>
        </w:rPr>
        <w:t>Duffy, F. D., Lynn, L. A., Didura, H., Hess, B., Caverzagie, K., Grosso, L., Lipner, R. A., and Holmboe, E. S. (2008). Self</w:t>
      </w:r>
      <w:r w:rsidRPr="0094469E">
        <w:rPr>
          <w:rFonts w:ascii="Cambria Math" w:hAnsi="Cambria Math" w:cs="Cambria Math"/>
          <w:sz w:val="24"/>
          <w:szCs w:val="24"/>
        </w:rPr>
        <w:t>‐</w:t>
      </w:r>
      <w:r w:rsidRPr="0094469E">
        <w:rPr>
          <w:rFonts w:ascii="Times New Roman" w:hAnsi="Times New Roman" w:cs="Times New Roman"/>
          <w:sz w:val="24"/>
          <w:szCs w:val="24"/>
        </w:rPr>
        <w:t xml:space="preserve">assessment of practice performance: Development </w:t>
      </w:r>
      <w:r w:rsidRPr="0094469E">
        <w:rPr>
          <w:rFonts w:ascii="Times New Roman" w:hAnsi="Times New Roman" w:cs="Times New Roman"/>
          <w:sz w:val="24"/>
          <w:szCs w:val="24"/>
        </w:rPr>
        <w:lastRenderedPageBreak/>
        <w:t xml:space="preserve">of the ABIM Practice Improvement Module (PIMSM). </w:t>
      </w:r>
      <w:r w:rsidR="00BD42AF">
        <w:rPr>
          <w:rFonts w:ascii="Times New Roman" w:hAnsi="Times New Roman" w:cs="Times New Roman"/>
          <w:i/>
          <w:sz w:val="24"/>
          <w:szCs w:val="24"/>
        </w:rPr>
        <w:t>Journal of continuing education in the health professions</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28</w:t>
      </w:r>
      <w:r w:rsidRPr="0094469E">
        <w:rPr>
          <w:rFonts w:ascii="Times New Roman" w:hAnsi="Times New Roman" w:cs="Times New Roman"/>
          <w:sz w:val="24"/>
          <w:szCs w:val="24"/>
        </w:rPr>
        <w:t>(1), 38-46.</w:t>
      </w:r>
      <w:bookmarkEnd w:id="637"/>
    </w:p>
    <w:p w14:paraId="7FC97C33" w14:textId="03564337" w:rsidR="0094469E" w:rsidRPr="0094469E" w:rsidRDefault="0094469E" w:rsidP="0094469E">
      <w:pPr>
        <w:pStyle w:val="EndNoteBibliography"/>
        <w:spacing w:line="360" w:lineRule="auto"/>
        <w:rPr>
          <w:rFonts w:ascii="Times New Roman" w:hAnsi="Times New Roman" w:cs="Times New Roman"/>
          <w:sz w:val="24"/>
          <w:szCs w:val="24"/>
        </w:rPr>
      </w:pPr>
      <w:bookmarkStart w:id="638" w:name="_ENREF_131"/>
      <w:r w:rsidRPr="0094469E">
        <w:rPr>
          <w:rFonts w:ascii="Times New Roman" w:hAnsi="Times New Roman" w:cs="Times New Roman"/>
          <w:sz w:val="24"/>
          <w:szCs w:val="24"/>
        </w:rPr>
        <w:t xml:space="preserve">Duffy, M. E. (1987). Methodological triangulation: a vehicle for merging quantitative and qualitative research methods. </w:t>
      </w:r>
      <w:r w:rsidRPr="0094469E">
        <w:rPr>
          <w:rFonts w:ascii="Times New Roman" w:hAnsi="Times New Roman" w:cs="Times New Roman"/>
          <w:i/>
          <w:sz w:val="24"/>
          <w:szCs w:val="24"/>
        </w:rPr>
        <w:t xml:space="preserve">Image: The </w:t>
      </w:r>
      <w:r w:rsidR="00BD42AF">
        <w:rPr>
          <w:rFonts w:ascii="Times New Roman" w:hAnsi="Times New Roman" w:cs="Times New Roman"/>
          <w:i/>
          <w:sz w:val="24"/>
          <w:szCs w:val="24"/>
        </w:rPr>
        <w:t>j</w:t>
      </w:r>
      <w:r w:rsidRPr="0094469E">
        <w:rPr>
          <w:rFonts w:ascii="Times New Roman" w:hAnsi="Times New Roman" w:cs="Times New Roman"/>
          <w:i/>
          <w:sz w:val="24"/>
          <w:szCs w:val="24"/>
        </w:rPr>
        <w:t xml:space="preserve">ournal of </w:t>
      </w:r>
      <w:r w:rsidR="00BD42AF">
        <w:rPr>
          <w:rFonts w:ascii="Times New Roman" w:hAnsi="Times New Roman" w:cs="Times New Roman"/>
          <w:i/>
          <w:sz w:val="24"/>
          <w:szCs w:val="24"/>
        </w:rPr>
        <w:t>n</w:t>
      </w:r>
      <w:r w:rsidRPr="0094469E">
        <w:rPr>
          <w:rFonts w:ascii="Times New Roman" w:hAnsi="Times New Roman" w:cs="Times New Roman"/>
          <w:i/>
          <w:sz w:val="24"/>
          <w:szCs w:val="24"/>
        </w:rPr>
        <w:t xml:space="preserve">ursing </w:t>
      </w:r>
      <w:r w:rsidR="00BD42AF">
        <w:rPr>
          <w:rFonts w:ascii="Times New Roman" w:hAnsi="Times New Roman" w:cs="Times New Roman"/>
          <w:i/>
          <w:sz w:val="24"/>
          <w:szCs w:val="24"/>
        </w:rPr>
        <w:t>s</w:t>
      </w:r>
      <w:r w:rsidRPr="0094469E">
        <w:rPr>
          <w:rFonts w:ascii="Times New Roman" w:hAnsi="Times New Roman" w:cs="Times New Roman"/>
          <w:i/>
          <w:sz w:val="24"/>
          <w:szCs w:val="24"/>
        </w:rPr>
        <w:t xml:space="preserve">cholarship, </w:t>
      </w:r>
      <w:r w:rsidRPr="0094469E">
        <w:rPr>
          <w:rFonts w:ascii="Times New Roman" w:hAnsi="Times New Roman" w:cs="Times New Roman"/>
          <w:b/>
          <w:sz w:val="24"/>
          <w:szCs w:val="24"/>
        </w:rPr>
        <w:t>19</w:t>
      </w:r>
      <w:r w:rsidRPr="0094469E">
        <w:rPr>
          <w:rFonts w:ascii="Times New Roman" w:hAnsi="Times New Roman" w:cs="Times New Roman"/>
          <w:sz w:val="24"/>
          <w:szCs w:val="24"/>
        </w:rPr>
        <w:t>(3), 130-133.</w:t>
      </w:r>
      <w:bookmarkEnd w:id="638"/>
    </w:p>
    <w:p w14:paraId="560CBF6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39" w:name="_ENREF_132"/>
      <w:r w:rsidRPr="0094469E">
        <w:rPr>
          <w:rFonts w:ascii="Times New Roman" w:hAnsi="Times New Roman" w:cs="Times New Roman"/>
          <w:sz w:val="24"/>
          <w:szCs w:val="24"/>
        </w:rPr>
        <w:t xml:space="preserve">Durning, S. J., Artino, A., Boulet, J., Van Der Vleuten, C. P. M., La Rochelle, J., Arze, B., and Schuwirth, L. (2010). Making use of contrasting participant views of the same encounter.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44</w:t>
      </w:r>
      <w:r w:rsidRPr="0094469E">
        <w:rPr>
          <w:rFonts w:ascii="Times New Roman" w:hAnsi="Times New Roman" w:cs="Times New Roman"/>
          <w:sz w:val="24"/>
          <w:szCs w:val="24"/>
        </w:rPr>
        <w:t>(10), 953-961.</w:t>
      </w:r>
      <w:bookmarkEnd w:id="639"/>
    </w:p>
    <w:p w14:paraId="1E951CB3" w14:textId="55DA42E5" w:rsidR="0094469E" w:rsidRPr="0094469E" w:rsidRDefault="0094469E" w:rsidP="0094469E">
      <w:pPr>
        <w:pStyle w:val="EndNoteBibliography"/>
        <w:spacing w:line="360" w:lineRule="auto"/>
        <w:rPr>
          <w:rFonts w:ascii="Times New Roman" w:hAnsi="Times New Roman" w:cs="Times New Roman"/>
          <w:sz w:val="24"/>
          <w:szCs w:val="24"/>
        </w:rPr>
      </w:pPr>
      <w:bookmarkStart w:id="640" w:name="_ENREF_133"/>
      <w:r w:rsidRPr="0094469E">
        <w:rPr>
          <w:rFonts w:ascii="Times New Roman" w:hAnsi="Times New Roman" w:cs="Times New Roman"/>
          <w:sz w:val="24"/>
          <w:szCs w:val="24"/>
        </w:rPr>
        <w:t xml:space="preserve">Durning, S. J., Artino, A. R., Boulet, J. R., Dorrance, K., van der Vleuten, C., and Schuwirth, L. (2012). The impact of selected contextual factors on experts’ clinical reasoning performance (does context impact clinical reasoning performance in experts?).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17</w:t>
      </w:r>
      <w:r w:rsidRPr="0094469E">
        <w:rPr>
          <w:rFonts w:ascii="Times New Roman" w:hAnsi="Times New Roman" w:cs="Times New Roman"/>
          <w:sz w:val="24"/>
          <w:szCs w:val="24"/>
        </w:rPr>
        <w:t>(1), 65-79.</w:t>
      </w:r>
      <w:bookmarkEnd w:id="640"/>
    </w:p>
    <w:p w14:paraId="6DFFA208" w14:textId="441544AB" w:rsidR="0094469E" w:rsidRPr="0094469E" w:rsidRDefault="0094469E" w:rsidP="0094469E">
      <w:pPr>
        <w:pStyle w:val="EndNoteBibliography"/>
        <w:spacing w:line="360" w:lineRule="auto"/>
        <w:rPr>
          <w:rFonts w:ascii="Times New Roman" w:hAnsi="Times New Roman" w:cs="Times New Roman"/>
          <w:sz w:val="24"/>
          <w:szCs w:val="24"/>
        </w:rPr>
      </w:pPr>
      <w:bookmarkStart w:id="641" w:name="_ENREF_134"/>
      <w:r w:rsidRPr="0094469E">
        <w:rPr>
          <w:rFonts w:ascii="Times New Roman" w:hAnsi="Times New Roman" w:cs="Times New Roman"/>
          <w:sz w:val="24"/>
          <w:szCs w:val="24"/>
        </w:rPr>
        <w:t xml:space="preserve">Durning, S. J., Cleary, T. J., Sandars, J., Hemmer, P., Kokotailo, P., and Artino, A. R. (2011). Perspective: viewing "strugglers" through a different lens: how a self-regulated learning perspective can help medical educators with assessment and remediation. </w:t>
      </w:r>
      <w:r w:rsidRPr="0094469E">
        <w:rPr>
          <w:rFonts w:ascii="Times New Roman" w:hAnsi="Times New Roman" w:cs="Times New Roman"/>
          <w:i/>
          <w:sz w:val="24"/>
          <w:szCs w:val="24"/>
        </w:rPr>
        <w:t xml:space="preserve">Academic medicine: journal of the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ssociation of </w:t>
      </w:r>
      <w:r w:rsidR="00BD42AF">
        <w:rPr>
          <w:rFonts w:ascii="Times New Roman" w:hAnsi="Times New Roman" w:cs="Times New Roman"/>
          <w:i/>
          <w:sz w:val="24"/>
          <w:szCs w:val="24"/>
        </w:rPr>
        <w:t>a</w:t>
      </w:r>
      <w:r w:rsidRPr="0094469E">
        <w:rPr>
          <w:rFonts w:ascii="Times New Roman" w:hAnsi="Times New Roman" w:cs="Times New Roman"/>
          <w:i/>
          <w:sz w:val="24"/>
          <w:szCs w:val="24"/>
        </w:rPr>
        <w:t xml:space="preserve">merican </w:t>
      </w:r>
      <w:r w:rsidR="00BD42AF">
        <w:rPr>
          <w:rFonts w:ascii="Times New Roman" w:hAnsi="Times New Roman" w:cs="Times New Roman"/>
          <w:i/>
          <w:sz w:val="24"/>
          <w:szCs w:val="24"/>
        </w:rPr>
        <w:t>m</w:t>
      </w:r>
      <w:r w:rsidRPr="0094469E">
        <w:rPr>
          <w:rFonts w:ascii="Times New Roman" w:hAnsi="Times New Roman" w:cs="Times New Roman"/>
          <w:i/>
          <w:sz w:val="24"/>
          <w:szCs w:val="24"/>
        </w:rPr>
        <w:t xml:space="preserve">edical </w:t>
      </w:r>
      <w:r w:rsidR="00BD42AF">
        <w:rPr>
          <w:rFonts w:ascii="Times New Roman" w:hAnsi="Times New Roman" w:cs="Times New Roman"/>
          <w:i/>
          <w:sz w:val="24"/>
          <w:szCs w:val="24"/>
        </w:rPr>
        <w:t>c</w:t>
      </w:r>
      <w:r w:rsidRPr="0094469E">
        <w:rPr>
          <w:rFonts w:ascii="Times New Roman" w:hAnsi="Times New Roman" w:cs="Times New Roman"/>
          <w:i/>
          <w:sz w:val="24"/>
          <w:szCs w:val="24"/>
        </w:rPr>
        <w:t xml:space="preserve">olleges, </w:t>
      </w:r>
      <w:r w:rsidRPr="0094469E">
        <w:rPr>
          <w:rFonts w:ascii="Times New Roman" w:hAnsi="Times New Roman" w:cs="Times New Roman"/>
          <w:b/>
          <w:sz w:val="24"/>
          <w:szCs w:val="24"/>
        </w:rPr>
        <w:t>86</w:t>
      </w:r>
      <w:r w:rsidRPr="0094469E">
        <w:rPr>
          <w:rFonts w:ascii="Times New Roman" w:hAnsi="Times New Roman" w:cs="Times New Roman"/>
          <w:sz w:val="24"/>
          <w:szCs w:val="24"/>
        </w:rPr>
        <w:t>(4), 488-495.</w:t>
      </w:r>
      <w:bookmarkEnd w:id="641"/>
    </w:p>
    <w:p w14:paraId="2085DB2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2" w:name="_ENREF_135"/>
      <w:r w:rsidRPr="0094469E">
        <w:rPr>
          <w:rFonts w:ascii="Times New Roman" w:hAnsi="Times New Roman" w:cs="Times New Roman"/>
          <w:sz w:val="24"/>
          <w:szCs w:val="24"/>
        </w:rPr>
        <w:t xml:space="preserve">Dweck, C. S. (1986). Motivational processes affecting learning. </w:t>
      </w:r>
      <w:r w:rsidRPr="0094469E">
        <w:rPr>
          <w:rFonts w:ascii="Times New Roman" w:hAnsi="Times New Roman" w:cs="Times New Roman"/>
          <w:i/>
          <w:sz w:val="24"/>
          <w:szCs w:val="24"/>
        </w:rPr>
        <w:t xml:space="preserve">American psychologist, </w:t>
      </w:r>
      <w:r w:rsidRPr="0094469E">
        <w:rPr>
          <w:rFonts w:ascii="Times New Roman" w:hAnsi="Times New Roman" w:cs="Times New Roman"/>
          <w:b/>
          <w:sz w:val="24"/>
          <w:szCs w:val="24"/>
        </w:rPr>
        <w:t>41</w:t>
      </w:r>
      <w:r w:rsidRPr="0094469E">
        <w:rPr>
          <w:rFonts w:ascii="Times New Roman" w:hAnsi="Times New Roman" w:cs="Times New Roman"/>
          <w:sz w:val="24"/>
          <w:szCs w:val="24"/>
        </w:rPr>
        <w:t>(10), 1040.</w:t>
      </w:r>
      <w:bookmarkEnd w:id="642"/>
    </w:p>
    <w:p w14:paraId="527B177E" w14:textId="7EF83453" w:rsidR="0094469E" w:rsidRPr="0094469E" w:rsidRDefault="0094469E" w:rsidP="0094469E">
      <w:pPr>
        <w:pStyle w:val="EndNoteBibliography"/>
        <w:spacing w:line="360" w:lineRule="auto"/>
        <w:rPr>
          <w:rFonts w:ascii="Times New Roman" w:hAnsi="Times New Roman" w:cs="Times New Roman"/>
          <w:sz w:val="24"/>
          <w:szCs w:val="24"/>
        </w:rPr>
      </w:pPr>
      <w:bookmarkStart w:id="643" w:name="_ENREF_136"/>
      <w:r w:rsidRPr="0094469E">
        <w:rPr>
          <w:rFonts w:ascii="Times New Roman" w:hAnsi="Times New Roman" w:cs="Times New Roman"/>
          <w:sz w:val="24"/>
          <w:szCs w:val="24"/>
        </w:rPr>
        <w:t xml:space="preserve">Efklides, A. (2011). Interactions of metacognition with motivation and affect in self-regulated learning: The MASRL model. </w:t>
      </w:r>
      <w:r w:rsidRPr="0094469E">
        <w:rPr>
          <w:rFonts w:ascii="Times New Roman" w:hAnsi="Times New Roman" w:cs="Times New Roman"/>
          <w:i/>
          <w:sz w:val="24"/>
          <w:szCs w:val="24"/>
        </w:rPr>
        <w:t xml:space="preserve">Educational </w:t>
      </w:r>
      <w:r w:rsidR="00BD42AF">
        <w:rPr>
          <w:rFonts w:ascii="Times New Roman" w:hAnsi="Times New Roman" w:cs="Times New Roman"/>
          <w:i/>
          <w:sz w:val="24"/>
          <w:szCs w:val="24"/>
        </w:rPr>
        <w:t>p</w:t>
      </w:r>
      <w:r w:rsidRPr="0094469E">
        <w:rPr>
          <w:rFonts w:ascii="Times New Roman" w:hAnsi="Times New Roman" w:cs="Times New Roman"/>
          <w:i/>
          <w:sz w:val="24"/>
          <w:szCs w:val="24"/>
        </w:rPr>
        <w:t xml:space="preserve">sychologist, </w:t>
      </w:r>
      <w:r w:rsidRPr="0094469E">
        <w:rPr>
          <w:rFonts w:ascii="Times New Roman" w:hAnsi="Times New Roman" w:cs="Times New Roman"/>
          <w:b/>
          <w:sz w:val="24"/>
          <w:szCs w:val="24"/>
        </w:rPr>
        <w:t>46</w:t>
      </w:r>
      <w:r w:rsidRPr="0094469E">
        <w:rPr>
          <w:rFonts w:ascii="Times New Roman" w:hAnsi="Times New Roman" w:cs="Times New Roman"/>
          <w:sz w:val="24"/>
          <w:szCs w:val="24"/>
        </w:rPr>
        <w:t>(1), 6-25.</w:t>
      </w:r>
      <w:bookmarkEnd w:id="643"/>
    </w:p>
    <w:p w14:paraId="7AE74A5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4" w:name="_ENREF_137"/>
      <w:r w:rsidRPr="0094469E">
        <w:rPr>
          <w:rFonts w:ascii="Times New Roman" w:hAnsi="Times New Roman" w:cs="Times New Roman"/>
          <w:sz w:val="24"/>
          <w:szCs w:val="24"/>
        </w:rPr>
        <w:t xml:space="preserve">Ellaway, R. H., Graves, L., and Cummings, B. A. (2016). Dimensions of integration, continuity and longitudinality in clinical clerkships.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50</w:t>
      </w:r>
      <w:r w:rsidRPr="0094469E">
        <w:rPr>
          <w:rFonts w:ascii="Times New Roman" w:hAnsi="Times New Roman" w:cs="Times New Roman"/>
          <w:sz w:val="24"/>
          <w:szCs w:val="24"/>
        </w:rPr>
        <w:t>(9), 912-921.</w:t>
      </w:r>
      <w:bookmarkEnd w:id="644"/>
    </w:p>
    <w:p w14:paraId="48317F7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5" w:name="_ENREF_138"/>
      <w:r w:rsidRPr="0094469E">
        <w:rPr>
          <w:rFonts w:ascii="Times New Roman" w:hAnsi="Times New Roman" w:cs="Times New Roman"/>
          <w:sz w:val="24"/>
          <w:szCs w:val="24"/>
        </w:rPr>
        <w:t xml:space="preserve">Embo, M. P. C., Driessen, E., Valcke, M., and Van Der Vleuten, C. P. M. (2014). Scaffolding reflective learning in clinical practice: A comparison of two types of reflective activities.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36</w:t>
      </w:r>
      <w:r w:rsidRPr="0094469E">
        <w:rPr>
          <w:rFonts w:ascii="Times New Roman" w:hAnsi="Times New Roman" w:cs="Times New Roman"/>
          <w:sz w:val="24"/>
          <w:szCs w:val="24"/>
        </w:rPr>
        <w:t>(7), 602-607.</w:t>
      </w:r>
      <w:bookmarkEnd w:id="645"/>
    </w:p>
    <w:p w14:paraId="57EC428E" w14:textId="12FC5D0D" w:rsidR="0094469E" w:rsidRPr="0094469E" w:rsidRDefault="0094469E" w:rsidP="0094469E">
      <w:pPr>
        <w:pStyle w:val="EndNoteBibliography"/>
        <w:spacing w:line="360" w:lineRule="auto"/>
        <w:rPr>
          <w:rFonts w:ascii="Times New Roman" w:hAnsi="Times New Roman" w:cs="Times New Roman"/>
          <w:sz w:val="24"/>
          <w:szCs w:val="24"/>
        </w:rPr>
      </w:pPr>
      <w:bookmarkStart w:id="646" w:name="_ENREF_139"/>
      <w:r w:rsidRPr="0094469E">
        <w:rPr>
          <w:rFonts w:ascii="Times New Roman" w:hAnsi="Times New Roman" w:cs="Times New Roman"/>
          <w:sz w:val="24"/>
          <w:szCs w:val="24"/>
        </w:rPr>
        <w:t xml:space="preserve">Ende, J. (1983). Feedback in clinical medical education. </w:t>
      </w:r>
      <w:r w:rsidR="00BD42AF">
        <w:rPr>
          <w:rFonts w:ascii="Times New Roman" w:hAnsi="Times New Roman" w:cs="Times New Roman"/>
          <w:i/>
          <w:sz w:val="24"/>
          <w:szCs w:val="24"/>
        </w:rPr>
        <w:t xml:space="preserve">The journal of the american medical association </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250</w:t>
      </w:r>
      <w:r w:rsidRPr="0094469E">
        <w:rPr>
          <w:rFonts w:ascii="Times New Roman" w:hAnsi="Times New Roman" w:cs="Times New Roman"/>
          <w:sz w:val="24"/>
          <w:szCs w:val="24"/>
        </w:rPr>
        <w:t>(6), 777-781.</w:t>
      </w:r>
      <w:bookmarkEnd w:id="646"/>
    </w:p>
    <w:p w14:paraId="5D518E6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7" w:name="_ENREF_140"/>
      <w:r w:rsidRPr="0094469E">
        <w:rPr>
          <w:rFonts w:ascii="Times New Roman" w:hAnsi="Times New Roman" w:cs="Times New Roman"/>
          <w:sz w:val="24"/>
          <w:szCs w:val="24"/>
        </w:rPr>
        <w:t xml:space="preserve">Ericsson, K. A. (2006). Protocol analysis and expert thought: Concurrent verbalizations of thinking during experts’ performance on representative tasks. </w:t>
      </w:r>
      <w:r w:rsidRPr="0094469E">
        <w:rPr>
          <w:rFonts w:ascii="Times New Roman" w:hAnsi="Times New Roman" w:cs="Times New Roman"/>
          <w:i/>
          <w:sz w:val="24"/>
          <w:szCs w:val="24"/>
        </w:rPr>
        <w:t>The Cambridge handbook of expertise and expert performance</w:t>
      </w:r>
      <w:r w:rsidRPr="0094469E">
        <w:rPr>
          <w:rFonts w:ascii="Times New Roman" w:hAnsi="Times New Roman" w:cs="Times New Roman"/>
          <w:sz w:val="24"/>
          <w:szCs w:val="24"/>
        </w:rPr>
        <w:t>, 223-241.</w:t>
      </w:r>
      <w:bookmarkEnd w:id="647"/>
    </w:p>
    <w:p w14:paraId="7F2AE45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8" w:name="_ENREF_141"/>
      <w:r w:rsidRPr="0094469E">
        <w:rPr>
          <w:rFonts w:ascii="Times New Roman" w:hAnsi="Times New Roman" w:cs="Times New Roman"/>
          <w:sz w:val="24"/>
          <w:szCs w:val="24"/>
        </w:rPr>
        <w:lastRenderedPageBreak/>
        <w:t xml:space="preserve">Erlandson, D. A., Harris, E. L., Skipper, B. L., and Allen, S. D. (1993). </w:t>
      </w:r>
      <w:r w:rsidRPr="00B27F0B">
        <w:rPr>
          <w:rFonts w:ascii="Times New Roman" w:hAnsi="Times New Roman" w:cs="Times New Roman"/>
          <w:i/>
          <w:sz w:val="24"/>
          <w:szCs w:val="24"/>
        </w:rPr>
        <w:t>Doing naturalistic inquiry: A guide to methods</w:t>
      </w:r>
      <w:r w:rsidRPr="0094469E">
        <w:rPr>
          <w:rFonts w:ascii="Times New Roman" w:hAnsi="Times New Roman" w:cs="Times New Roman"/>
          <w:sz w:val="24"/>
          <w:szCs w:val="24"/>
        </w:rPr>
        <w:t>: Sage.</w:t>
      </w:r>
      <w:bookmarkEnd w:id="648"/>
    </w:p>
    <w:p w14:paraId="5E4BAB8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49" w:name="_ENREF_142"/>
      <w:r w:rsidRPr="0094469E">
        <w:rPr>
          <w:rFonts w:ascii="Times New Roman" w:hAnsi="Times New Roman" w:cs="Times New Roman"/>
          <w:sz w:val="24"/>
          <w:szCs w:val="24"/>
        </w:rPr>
        <w:t xml:space="preserve">Erzberger, C., and Kelle, U. (2003a). Making inferences in mixed methods: The rules of integration. </w:t>
      </w:r>
      <w:r w:rsidRPr="0094469E">
        <w:rPr>
          <w:rFonts w:ascii="Times New Roman" w:hAnsi="Times New Roman" w:cs="Times New Roman"/>
          <w:i/>
          <w:sz w:val="24"/>
          <w:szCs w:val="24"/>
        </w:rPr>
        <w:t>Handbook of mixed methods in social and behavioral research</w:t>
      </w:r>
      <w:r w:rsidRPr="0094469E">
        <w:rPr>
          <w:rFonts w:ascii="Times New Roman" w:hAnsi="Times New Roman" w:cs="Times New Roman"/>
          <w:sz w:val="24"/>
          <w:szCs w:val="24"/>
        </w:rPr>
        <w:t>, 457-488.</w:t>
      </w:r>
      <w:bookmarkEnd w:id="649"/>
    </w:p>
    <w:p w14:paraId="386DCF1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0" w:name="_ENREF_143"/>
      <w:r w:rsidRPr="0094469E">
        <w:rPr>
          <w:rFonts w:ascii="Times New Roman" w:hAnsi="Times New Roman" w:cs="Times New Roman"/>
          <w:sz w:val="24"/>
          <w:szCs w:val="24"/>
        </w:rPr>
        <w:t>Erzberger, C., and Kelle, U. (2003b). Making Inferences in Mixed Methods: The Rules of Integration. IN TASHAKKORI, A. &amp; TEDDLIE, C.(Eds.) Handbook of Mixed Methods in Social and Behavioral Research.</w:t>
      </w:r>
      <w:bookmarkEnd w:id="650"/>
    </w:p>
    <w:p w14:paraId="11A6CB9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1" w:name="_ENREF_144"/>
      <w:r w:rsidRPr="0094469E">
        <w:rPr>
          <w:rFonts w:ascii="Times New Roman" w:hAnsi="Times New Roman" w:cs="Times New Roman"/>
          <w:sz w:val="24"/>
          <w:szCs w:val="24"/>
        </w:rPr>
        <w:t xml:space="preserve">Eva, K. W. (2003). On the generality of specificity.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37</w:t>
      </w:r>
      <w:r w:rsidRPr="0094469E">
        <w:rPr>
          <w:rFonts w:ascii="Times New Roman" w:hAnsi="Times New Roman" w:cs="Times New Roman"/>
          <w:sz w:val="24"/>
          <w:szCs w:val="24"/>
        </w:rPr>
        <w:t>(7), 587-588.</w:t>
      </w:r>
      <w:bookmarkEnd w:id="651"/>
    </w:p>
    <w:p w14:paraId="1BC23C41" w14:textId="3709D283" w:rsidR="0094469E" w:rsidRPr="0094469E" w:rsidRDefault="0094469E" w:rsidP="0094469E">
      <w:pPr>
        <w:pStyle w:val="EndNoteBibliography"/>
        <w:spacing w:line="360" w:lineRule="auto"/>
        <w:rPr>
          <w:rFonts w:ascii="Times New Roman" w:hAnsi="Times New Roman" w:cs="Times New Roman"/>
          <w:sz w:val="24"/>
          <w:szCs w:val="24"/>
        </w:rPr>
      </w:pPr>
      <w:bookmarkStart w:id="652" w:name="_ENREF_145"/>
      <w:r w:rsidRPr="0094469E">
        <w:rPr>
          <w:rFonts w:ascii="Times New Roman" w:hAnsi="Times New Roman" w:cs="Times New Roman"/>
          <w:sz w:val="24"/>
          <w:szCs w:val="24"/>
        </w:rPr>
        <w:t xml:space="preserve">Eva, K. W., and Regehr, G. (2005). Self-assessment in the health professions: a reformulation and research agenda.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80</w:t>
      </w:r>
      <w:r w:rsidRPr="0094469E">
        <w:rPr>
          <w:rFonts w:ascii="Times New Roman" w:hAnsi="Times New Roman" w:cs="Times New Roman"/>
          <w:sz w:val="24"/>
          <w:szCs w:val="24"/>
        </w:rPr>
        <w:t>(10), S46-S54.</w:t>
      </w:r>
      <w:bookmarkEnd w:id="652"/>
    </w:p>
    <w:p w14:paraId="1ADBDF7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3" w:name="_ENREF_146"/>
      <w:r w:rsidRPr="0094469E">
        <w:rPr>
          <w:rFonts w:ascii="Times New Roman" w:hAnsi="Times New Roman" w:cs="Times New Roman"/>
          <w:sz w:val="24"/>
          <w:szCs w:val="24"/>
        </w:rPr>
        <w:t xml:space="preserve">Fielding, N. (2008). Analytic density, postmodernism, and applied multiple method research </w:t>
      </w:r>
      <w:r w:rsidRPr="0094469E">
        <w:rPr>
          <w:rFonts w:ascii="Times New Roman" w:hAnsi="Times New Roman" w:cs="Times New Roman"/>
          <w:i/>
          <w:sz w:val="24"/>
          <w:szCs w:val="24"/>
        </w:rPr>
        <w:t>Advances in mixed methods research</w:t>
      </w:r>
      <w:r w:rsidRPr="0094469E">
        <w:rPr>
          <w:rFonts w:ascii="Times New Roman" w:hAnsi="Times New Roman" w:cs="Times New Roman"/>
          <w:sz w:val="24"/>
          <w:szCs w:val="24"/>
        </w:rPr>
        <w:t xml:space="preserve"> (pp. 37-52). Los Angeles: Sage.</w:t>
      </w:r>
      <w:bookmarkEnd w:id="653"/>
    </w:p>
    <w:p w14:paraId="42CC7474" w14:textId="0EDDBAF1" w:rsidR="0094469E" w:rsidRPr="0094469E" w:rsidRDefault="0094469E" w:rsidP="0094469E">
      <w:pPr>
        <w:pStyle w:val="EndNoteBibliography"/>
        <w:spacing w:line="360" w:lineRule="auto"/>
        <w:rPr>
          <w:rFonts w:ascii="Times New Roman" w:hAnsi="Times New Roman" w:cs="Times New Roman"/>
          <w:sz w:val="24"/>
          <w:szCs w:val="24"/>
        </w:rPr>
      </w:pPr>
      <w:bookmarkStart w:id="654" w:name="_ENREF_147"/>
      <w:r w:rsidRPr="0094469E">
        <w:rPr>
          <w:rFonts w:ascii="Times New Roman" w:hAnsi="Times New Roman" w:cs="Times New Roman"/>
          <w:sz w:val="24"/>
          <w:szCs w:val="24"/>
        </w:rPr>
        <w:t xml:space="preserve">Fielding, N. G., and Fielding, J. L. (1986). </w:t>
      </w:r>
      <w:r w:rsidRPr="0094469E">
        <w:rPr>
          <w:rFonts w:ascii="Times New Roman" w:hAnsi="Times New Roman" w:cs="Times New Roman"/>
          <w:i/>
          <w:sz w:val="24"/>
          <w:szCs w:val="24"/>
        </w:rPr>
        <w:t>Linking data</w:t>
      </w:r>
      <w:r w:rsidRPr="0094469E">
        <w:rPr>
          <w:rFonts w:ascii="Times New Roman" w:hAnsi="Times New Roman" w:cs="Times New Roman"/>
          <w:sz w:val="24"/>
          <w:szCs w:val="24"/>
        </w:rPr>
        <w:t xml:space="preserve"> (Vol. 4): S</w:t>
      </w:r>
      <w:r w:rsidR="001046E5">
        <w:rPr>
          <w:rFonts w:ascii="Times New Roman" w:hAnsi="Times New Roman" w:cs="Times New Roman"/>
          <w:sz w:val="24"/>
          <w:szCs w:val="24"/>
        </w:rPr>
        <w:t>age</w:t>
      </w:r>
      <w:r w:rsidRPr="0094469E">
        <w:rPr>
          <w:rFonts w:ascii="Times New Roman" w:hAnsi="Times New Roman" w:cs="Times New Roman"/>
          <w:sz w:val="24"/>
          <w:szCs w:val="24"/>
        </w:rPr>
        <w:t>.</w:t>
      </w:r>
      <w:bookmarkEnd w:id="654"/>
    </w:p>
    <w:p w14:paraId="4144D4D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5" w:name="_ENREF_148"/>
      <w:r w:rsidRPr="0094469E">
        <w:rPr>
          <w:rFonts w:ascii="Times New Roman" w:hAnsi="Times New Roman" w:cs="Times New Roman"/>
          <w:sz w:val="24"/>
          <w:szCs w:val="24"/>
        </w:rPr>
        <w:t xml:space="preserve">Finch, H., and Lewis, J. (2003). Focus groups. </w:t>
      </w:r>
      <w:r w:rsidRPr="0094469E">
        <w:rPr>
          <w:rFonts w:ascii="Times New Roman" w:hAnsi="Times New Roman" w:cs="Times New Roman"/>
          <w:i/>
          <w:sz w:val="24"/>
          <w:szCs w:val="24"/>
        </w:rPr>
        <w:t>Qualitative research practice: A guide for social science students and researchers</w:t>
      </w:r>
      <w:r w:rsidRPr="0094469E">
        <w:rPr>
          <w:rFonts w:ascii="Times New Roman" w:hAnsi="Times New Roman" w:cs="Times New Roman"/>
          <w:sz w:val="24"/>
          <w:szCs w:val="24"/>
        </w:rPr>
        <w:t>, 170-198.</w:t>
      </w:r>
      <w:bookmarkEnd w:id="655"/>
    </w:p>
    <w:p w14:paraId="6462F09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6" w:name="_ENREF_149"/>
      <w:r w:rsidRPr="0094469E">
        <w:rPr>
          <w:rFonts w:ascii="Times New Roman" w:hAnsi="Times New Roman" w:cs="Times New Roman"/>
          <w:sz w:val="24"/>
          <w:szCs w:val="24"/>
        </w:rPr>
        <w:t xml:space="preserve">Flexner, A. (1912). </w:t>
      </w:r>
      <w:r w:rsidRPr="0094469E">
        <w:rPr>
          <w:rFonts w:ascii="Times New Roman" w:hAnsi="Times New Roman" w:cs="Times New Roman"/>
          <w:i/>
          <w:sz w:val="24"/>
          <w:szCs w:val="24"/>
        </w:rPr>
        <w:t>Medical education in Europe: a report to the Carnegie Foundation for the Advancement of Teaching</w:t>
      </w:r>
      <w:r w:rsidRPr="0094469E">
        <w:rPr>
          <w:rFonts w:ascii="Times New Roman" w:hAnsi="Times New Roman" w:cs="Times New Roman"/>
          <w:sz w:val="24"/>
          <w:szCs w:val="24"/>
        </w:rPr>
        <w:t>: Carnegie Foundation for the Advancement of Teaching.</w:t>
      </w:r>
      <w:bookmarkEnd w:id="656"/>
    </w:p>
    <w:p w14:paraId="35B77E1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7" w:name="_ENREF_150"/>
      <w:r w:rsidRPr="0094469E">
        <w:rPr>
          <w:rFonts w:ascii="Times New Roman" w:hAnsi="Times New Roman" w:cs="Times New Roman"/>
          <w:sz w:val="24"/>
          <w:szCs w:val="24"/>
        </w:rPr>
        <w:t xml:space="preserve">Flick, U. (2009). </w:t>
      </w:r>
      <w:r w:rsidRPr="0094469E">
        <w:rPr>
          <w:rFonts w:ascii="Times New Roman" w:hAnsi="Times New Roman" w:cs="Times New Roman"/>
          <w:i/>
          <w:sz w:val="24"/>
          <w:szCs w:val="24"/>
        </w:rPr>
        <w:t>An introduction to qualitative research</w:t>
      </w:r>
      <w:r w:rsidRPr="0094469E">
        <w:rPr>
          <w:rFonts w:ascii="Times New Roman" w:hAnsi="Times New Roman" w:cs="Times New Roman"/>
          <w:sz w:val="24"/>
          <w:szCs w:val="24"/>
        </w:rPr>
        <w:t>: Sage.</w:t>
      </w:r>
      <w:bookmarkEnd w:id="657"/>
    </w:p>
    <w:p w14:paraId="114EEDD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58" w:name="_ENREF_151"/>
      <w:r w:rsidRPr="0094469E">
        <w:rPr>
          <w:rFonts w:ascii="Times New Roman" w:hAnsi="Times New Roman" w:cs="Times New Roman"/>
          <w:sz w:val="24"/>
          <w:szCs w:val="24"/>
        </w:rPr>
        <w:t>Frazer, E., and Lacey, N. (1993). The Politics of Community: A Feminist Critique of the Liberal-Communitarian Debate.</w:t>
      </w:r>
      <w:bookmarkEnd w:id="658"/>
    </w:p>
    <w:p w14:paraId="25913049" w14:textId="76AE2A6F" w:rsidR="0094469E" w:rsidRPr="0094469E" w:rsidRDefault="0094469E" w:rsidP="0094469E">
      <w:pPr>
        <w:pStyle w:val="EndNoteBibliography"/>
        <w:spacing w:line="360" w:lineRule="auto"/>
        <w:rPr>
          <w:rFonts w:ascii="Times New Roman" w:hAnsi="Times New Roman" w:cs="Times New Roman"/>
          <w:sz w:val="24"/>
          <w:szCs w:val="24"/>
        </w:rPr>
      </w:pPr>
      <w:bookmarkStart w:id="659" w:name="_ENREF_152"/>
      <w:r w:rsidRPr="0094469E">
        <w:rPr>
          <w:rFonts w:ascii="Times New Roman" w:hAnsi="Times New Roman" w:cs="Times New Roman"/>
          <w:sz w:val="24"/>
          <w:szCs w:val="24"/>
        </w:rPr>
        <w:t xml:space="preserve">Frey, J. H., and Fontana, A. (1991). The group interview in social research. </w:t>
      </w:r>
      <w:r w:rsidRPr="0094469E">
        <w:rPr>
          <w:rFonts w:ascii="Times New Roman" w:hAnsi="Times New Roman" w:cs="Times New Roman"/>
          <w:i/>
          <w:sz w:val="24"/>
          <w:szCs w:val="24"/>
        </w:rPr>
        <w:t xml:space="preserve">The </w:t>
      </w:r>
      <w:r w:rsidR="00C71126">
        <w:rPr>
          <w:rFonts w:ascii="Times New Roman" w:hAnsi="Times New Roman" w:cs="Times New Roman"/>
          <w:i/>
          <w:sz w:val="24"/>
          <w:szCs w:val="24"/>
        </w:rPr>
        <w:t>s</w:t>
      </w:r>
      <w:r w:rsidRPr="0094469E">
        <w:rPr>
          <w:rFonts w:ascii="Times New Roman" w:hAnsi="Times New Roman" w:cs="Times New Roman"/>
          <w:i/>
          <w:sz w:val="24"/>
          <w:szCs w:val="24"/>
        </w:rPr>
        <w:t xml:space="preserve">ocial </w:t>
      </w:r>
      <w:r w:rsidR="00C71126">
        <w:rPr>
          <w:rFonts w:ascii="Times New Roman" w:hAnsi="Times New Roman" w:cs="Times New Roman"/>
          <w:i/>
          <w:sz w:val="24"/>
          <w:szCs w:val="24"/>
        </w:rPr>
        <w:t>s</w:t>
      </w:r>
      <w:r w:rsidRPr="0094469E">
        <w:rPr>
          <w:rFonts w:ascii="Times New Roman" w:hAnsi="Times New Roman" w:cs="Times New Roman"/>
          <w:i/>
          <w:sz w:val="24"/>
          <w:szCs w:val="24"/>
        </w:rPr>
        <w:t xml:space="preserve">cience </w:t>
      </w:r>
      <w:r w:rsidR="00C71126">
        <w:rPr>
          <w:rFonts w:ascii="Times New Roman" w:hAnsi="Times New Roman" w:cs="Times New Roman"/>
          <w:i/>
          <w:sz w:val="24"/>
          <w:szCs w:val="24"/>
        </w:rPr>
        <w:t>j</w:t>
      </w:r>
      <w:r w:rsidRPr="0094469E">
        <w:rPr>
          <w:rFonts w:ascii="Times New Roman" w:hAnsi="Times New Roman" w:cs="Times New Roman"/>
          <w:i/>
          <w:sz w:val="24"/>
          <w:szCs w:val="24"/>
        </w:rPr>
        <w:t xml:space="preserve">ournal, </w:t>
      </w:r>
      <w:r w:rsidRPr="0094469E">
        <w:rPr>
          <w:rFonts w:ascii="Times New Roman" w:hAnsi="Times New Roman" w:cs="Times New Roman"/>
          <w:b/>
          <w:sz w:val="24"/>
          <w:szCs w:val="24"/>
        </w:rPr>
        <w:t>28</w:t>
      </w:r>
      <w:r w:rsidRPr="0094469E">
        <w:rPr>
          <w:rFonts w:ascii="Times New Roman" w:hAnsi="Times New Roman" w:cs="Times New Roman"/>
          <w:sz w:val="24"/>
          <w:szCs w:val="24"/>
        </w:rPr>
        <w:t>(2), 175-187.</w:t>
      </w:r>
      <w:bookmarkEnd w:id="659"/>
    </w:p>
    <w:p w14:paraId="760ABC8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0" w:name="_ENREF_153"/>
      <w:r w:rsidRPr="0094469E">
        <w:rPr>
          <w:rFonts w:ascii="Times New Roman" w:hAnsi="Times New Roman" w:cs="Times New Roman"/>
          <w:sz w:val="24"/>
          <w:szCs w:val="24"/>
        </w:rPr>
        <w:t>Fuchs, L. S., and Fuchs, D. (2003). Enhancing the mathematical problem solving of students with mathematics disabilities.</w:t>
      </w:r>
      <w:bookmarkEnd w:id="660"/>
    </w:p>
    <w:p w14:paraId="70C5F720" w14:textId="129ED7B8" w:rsidR="0094469E" w:rsidRPr="0094469E" w:rsidRDefault="0094469E" w:rsidP="0094469E">
      <w:pPr>
        <w:pStyle w:val="EndNoteBibliography"/>
        <w:spacing w:line="360" w:lineRule="auto"/>
        <w:rPr>
          <w:rFonts w:ascii="Times New Roman" w:hAnsi="Times New Roman" w:cs="Times New Roman"/>
          <w:sz w:val="24"/>
          <w:szCs w:val="24"/>
        </w:rPr>
      </w:pPr>
      <w:bookmarkStart w:id="661" w:name="_ENREF_154"/>
      <w:r w:rsidRPr="0094469E">
        <w:rPr>
          <w:rFonts w:ascii="Times New Roman" w:hAnsi="Times New Roman" w:cs="Times New Roman"/>
          <w:sz w:val="24"/>
          <w:szCs w:val="24"/>
        </w:rPr>
        <w:t xml:space="preserve">Furnborough, C., and Truman, M. (2009). Adult beginner distance language learner perceptions and use of assignment feedback. </w:t>
      </w:r>
      <w:r w:rsidRPr="0094469E">
        <w:rPr>
          <w:rFonts w:ascii="Times New Roman" w:hAnsi="Times New Roman" w:cs="Times New Roman"/>
          <w:i/>
          <w:sz w:val="24"/>
          <w:szCs w:val="24"/>
        </w:rPr>
        <w:t xml:space="preserve">Distance </w:t>
      </w:r>
      <w:r w:rsidR="00C71126">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Pr="0094469E">
        <w:rPr>
          <w:rFonts w:ascii="Times New Roman" w:hAnsi="Times New Roman" w:cs="Times New Roman"/>
          <w:b/>
          <w:sz w:val="24"/>
          <w:szCs w:val="24"/>
        </w:rPr>
        <w:t>30</w:t>
      </w:r>
      <w:r w:rsidRPr="0094469E">
        <w:rPr>
          <w:rFonts w:ascii="Times New Roman" w:hAnsi="Times New Roman" w:cs="Times New Roman"/>
          <w:sz w:val="24"/>
          <w:szCs w:val="24"/>
        </w:rPr>
        <w:t>(3), 399-418.</w:t>
      </w:r>
      <w:bookmarkEnd w:id="661"/>
    </w:p>
    <w:p w14:paraId="0DEEA30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2" w:name="_ENREF_155"/>
      <w:r w:rsidRPr="0094469E">
        <w:rPr>
          <w:rFonts w:ascii="Times New Roman" w:hAnsi="Times New Roman" w:cs="Times New Roman"/>
          <w:sz w:val="24"/>
          <w:szCs w:val="24"/>
        </w:rPr>
        <w:t xml:space="preserve">Fylan, F. (2005). Semi structured interviewing. </w:t>
      </w:r>
      <w:r w:rsidRPr="0094469E">
        <w:rPr>
          <w:rFonts w:ascii="Times New Roman" w:hAnsi="Times New Roman" w:cs="Times New Roman"/>
          <w:i/>
          <w:sz w:val="24"/>
          <w:szCs w:val="24"/>
        </w:rPr>
        <w:t>A handbook of research methods for clinical and health psychology</w:t>
      </w:r>
      <w:r w:rsidRPr="0094469E">
        <w:rPr>
          <w:rFonts w:ascii="Times New Roman" w:hAnsi="Times New Roman" w:cs="Times New Roman"/>
          <w:sz w:val="24"/>
          <w:szCs w:val="24"/>
        </w:rPr>
        <w:t>, 65-78.</w:t>
      </w:r>
      <w:bookmarkEnd w:id="662"/>
    </w:p>
    <w:p w14:paraId="34958B87" w14:textId="3DFDEA91" w:rsidR="0094469E" w:rsidRPr="0094469E" w:rsidRDefault="0094469E" w:rsidP="0094469E">
      <w:pPr>
        <w:pStyle w:val="EndNoteBibliography"/>
        <w:spacing w:line="360" w:lineRule="auto"/>
        <w:rPr>
          <w:rFonts w:ascii="Times New Roman" w:hAnsi="Times New Roman" w:cs="Times New Roman"/>
          <w:sz w:val="24"/>
          <w:szCs w:val="24"/>
        </w:rPr>
      </w:pPr>
      <w:bookmarkStart w:id="663" w:name="_ENREF_156"/>
      <w:r w:rsidRPr="0094469E">
        <w:rPr>
          <w:rFonts w:ascii="Times New Roman" w:hAnsi="Times New Roman" w:cs="Times New Roman"/>
          <w:sz w:val="24"/>
          <w:szCs w:val="24"/>
        </w:rPr>
        <w:lastRenderedPageBreak/>
        <w:t xml:space="preserve">Gagnon, M.-C. J., Durand-Bush, N., and Young, B. W. (2016). Self-regulation capacity is linked to wellbeing and burnout in physicians and medical students: Implications for nurturing self-help skills. </w:t>
      </w:r>
      <w:r w:rsidRPr="0094469E">
        <w:rPr>
          <w:rFonts w:ascii="Times New Roman" w:hAnsi="Times New Roman" w:cs="Times New Roman"/>
          <w:i/>
          <w:sz w:val="24"/>
          <w:szCs w:val="24"/>
        </w:rPr>
        <w:t xml:space="preserve">International </w:t>
      </w:r>
      <w:r w:rsidR="00C71126">
        <w:rPr>
          <w:rFonts w:ascii="Times New Roman" w:hAnsi="Times New Roman" w:cs="Times New Roman"/>
          <w:i/>
          <w:sz w:val="24"/>
          <w:szCs w:val="24"/>
        </w:rPr>
        <w:t>j</w:t>
      </w:r>
      <w:r w:rsidRPr="0094469E">
        <w:rPr>
          <w:rFonts w:ascii="Times New Roman" w:hAnsi="Times New Roman" w:cs="Times New Roman"/>
          <w:i/>
          <w:sz w:val="24"/>
          <w:szCs w:val="24"/>
        </w:rPr>
        <w:t xml:space="preserve">ournal of </w:t>
      </w:r>
      <w:r w:rsidR="00C71126">
        <w:rPr>
          <w:rFonts w:ascii="Times New Roman" w:hAnsi="Times New Roman" w:cs="Times New Roman"/>
          <w:i/>
          <w:sz w:val="24"/>
          <w:szCs w:val="24"/>
        </w:rPr>
        <w:t>w</w:t>
      </w:r>
      <w:r w:rsidRPr="0094469E">
        <w:rPr>
          <w:rFonts w:ascii="Times New Roman" w:hAnsi="Times New Roman" w:cs="Times New Roman"/>
          <w:i/>
          <w:sz w:val="24"/>
          <w:szCs w:val="24"/>
        </w:rPr>
        <w:t xml:space="preserve">ellbeing, </w:t>
      </w:r>
      <w:r w:rsidRPr="0094469E">
        <w:rPr>
          <w:rFonts w:ascii="Times New Roman" w:hAnsi="Times New Roman" w:cs="Times New Roman"/>
          <w:b/>
          <w:sz w:val="24"/>
          <w:szCs w:val="24"/>
        </w:rPr>
        <w:t>6</w:t>
      </w:r>
      <w:r w:rsidRPr="0094469E">
        <w:rPr>
          <w:rFonts w:ascii="Times New Roman" w:hAnsi="Times New Roman" w:cs="Times New Roman"/>
          <w:sz w:val="24"/>
          <w:szCs w:val="24"/>
        </w:rPr>
        <w:t>(1).</w:t>
      </w:r>
      <w:bookmarkEnd w:id="663"/>
    </w:p>
    <w:p w14:paraId="695B9BD9" w14:textId="511C97B7" w:rsidR="0094469E" w:rsidRPr="0094469E" w:rsidRDefault="0094469E" w:rsidP="0094469E">
      <w:pPr>
        <w:pStyle w:val="EndNoteBibliography"/>
        <w:spacing w:line="360" w:lineRule="auto"/>
        <w:rPr>
          <w:rFonts w:ascii="Times New Roman" w:hAnsi="Times New Roman" w:cs="Times New Roman"/>
          <w:sz w:val="24"/>
          <w:szCs w:val="24"/>
        </w:rPr>
      </w:pPr>
      <w:bookmarkStart w:id="664" w:name="_ENREF_157"/>
      <w:r w:rsidRPr="0094469E">
        <w:rPr>
          <w:rFonts w:ascii="Times New Roman" w:hAnsi="Times New Roman" w:cs="Times New Roman"/>
          <w:sz w:val="24"/>
          <w:szCs w:val="24"/>
        </w:rPr>
        <w:t>Gano</w:t>
      </w:r>
      <w:r w:rsidRPr="0094469E">
        <w:rPr>
          <w:rFonts w:ascii="Cambria Math" w:hAnsi="Cambria Math" w:cs="Cambria Math"/>
          <w:sz w:val="24"/>
          <w:szCs w:val="24"/>
        </w:rPr>
        <w:t>‐</w:t>
      </w:r>
      <w:r w:rsidRPr="0094469E">
        <w:rPr>
          <w:rFonts w:ascii="Times New Roman" w:hAnsi="Times New Roman" w:cs="Times New Roman"/>
          <w:sz w:val="24"/>
          <w:szCs w:val="24"/>
        </w:rPr>
        <w:t>Overway, L. A. (2008). The effect of goal involvement on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regulatory processes. </w:t>
      </w:r>
      <w:r w:rsidR="00C71126">
        <w:rPr>
          <w:rFonts w:ascii="Times New Roman" w:hAnsi="Times New Roman" w:cs="Times New Roman"/>
          <w:i/>
          <w:sz w:val="24"/>
          <w:szCs w:val="24"/>
        </w:rPr>
        <w:t>International journal of sport and exercise psychology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6</w:t>
      </w:r>
      <w:r w:rsidRPr="0094469E">
        <w:rPr>
          <w:rFonts w:ascii="Times New Roman" w:hAnsi="Times New Roman" w:cs="Times New Roman"/>
          <w:sz w:val="24"/>
          <w:szCs w:val="24"/>
        </w:rPr>
        <w:t>(2), 132-156.</w:t>
      </w:r>
      <w:bookmarkEnd w:id="664"/>
    </w:p>
    <w:p w14:paraId="3B1BB5AB" w14:textId="34E44F6C" w:rsidR="0094469E" w:rsidRPr="0094469E" w:rsidRDefault="0094469E" w:rsidP="0094469E">
      <w:pPr>
        <w:pStyle w:val="EndNoteBibliography"/>
        <w:spacing w:line="360" w:lineRule="auto"/>
        <w:rPr>
          <w:rFonts w:ascii="Times New Roman" w:hAnsi="Times New Roman" w:cs="Times New Roman"/>
          <w:sz w:val="24"/>
          <w:szCs w:val="24"/>
        </w:rPr>
      </w:pPr>
      <w:bookmarkStart w:id="665" w:name="_ENREF_158"/>
      <w:r w:rsidRPr="0094469E">
        <w:rPr>
          <w:rFonts w:ascii="Times New Roman" w:hAnsi="Times New Roman" w:cs="Times New Roman"/>
          <w:sz w:val="24"/>
          <w:szCs w:val="24"/>
        </w:rPr>
        <w:t xml:space="preserve">Gavora, P., Jakešová, J., and Kalenda, J. (2015). The Czech Validation of the Self-regulation Questionnaire. </w:t>
      </w:r>
      <w:r w:rsidRPr="0094469E">
        <w:rPr>
          <w:rFonts w:ascii="Times New Roman" w:hAnsi="Times New Roman" w:cs="Times New Roman"/>
          <w:i/>
          <w:sz w:val="24"/>
          <w:szCs w:val="24"/>
        </w:rPr>
        <w:t>Procedia-</w:t>
      </w:r>
      <w:r w:rsidR="00C71126">
        <w:rPr>
          <w:rFonts w:ascii="Times New Roman" w:hAnsi="Times New Roman" w:cs="Times New Roman"/>
          <w:i/>
          <w:sz w:val="24"/>
          <w:szCs w:val="24"/>
        </w:rPr>
        <w:t>s</w:t>
      </w:r>
      <w:r w:rsidRPr="0094469E">
        <w:rPr>
          <w:rFonts w:ascii="Times New Roman" w:hAnsi="Times New Roman" w:cs="Times New Roman"/>
          <w:i/>
          <w:sz w:val="24"/>
          <w:szCs w:val="24"/>
        </w:rPr>
        <w:t xml:space="preserve">ocial and </w:t>
      </w:r>
      <w:r w:rsidR="00C71126">
        <w:rPr>
          <w:rFonts w:ascii="Times New Roman" w:hAnsi="Times New Roman" w:cs="Times New Roman"/>
          <w:i/>
          <w:sz w:val="24"/>
          <w:szCs w:val="24"/>
        </w:rPr>
        <w:t>b</w:t>
      </w:r>
      <w:r w:rsidRPr="0094469E">
        <w:rPr>
          <w:rFonts w:ascii="Times New Roman" w:hAnsi="Times New Roman" w:cs="Times New Roman"/>
          <w:i/>
          <w:sz w:val="24"/>
          <w:szCs w:val="24"/>
        </w:rPr>
        <w:t xml:space="preserve">ehavioral </w:t>
      </w:r>
      <w:r w:rsidR="00C71126">
        <w:rPr>
          <w:rFonts w:ascii="Times New Roman" w:hAnsi="Times New Roman" w:cs="Times New Roman"/>
          <w:i/>
          <w:sz w:val="24"/>
          <w:szCs w:val="24"/>
        </w:rPr>
        <w:t>s</w:t>
      </w:r>
      <w:r w:rsidRPr="0094469E">
        <w:rPr>
          <w:rFonts w:ascii="Times New Roman" w:hAnsi="Times New Roman" w:cs="Times New Roman"/>
          <w:i/>
          <w:sz w:val="24"/>
          <w:szCs w:val="24"/>
        </w:rPr>
        <w:t xml:space="preserve">ciences, </w:t>
      </w:r>
      <w:r w:rsidRPr="0094469E">
        <w:rPr>
          <w:rFonts w:ascii="Times New Roman" w:hAnsi="Times New Roman" w:cs="Times New Roman"/>
          <w:b/>
          <w:sz w:val="24"/>
          <w:szCs w:val="24"/>
        </w:rPr>
        <w:t>171</w:t>
      </w:r>
      <w:r w:rsidRPr="0094469E">
        <w:rPr>
          <w:rFonts w:ascii="Times New Roman" w:hAnsi="Times New Roman" w:cs="Times New Roman"/>
          <w:sz w:val="24"/>
          <w:szCs w:val="24"/>
        </w:rPr>
        <w:t>, 222-230.</w:t>
      </w:r>
      <w:bookmarkEnd w:id="665"/>
    </w:p>
    <w:p w14:paraId="4C281DA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6" w:name="_ENREF_159"/>
      <w:r w:rsidRPr="0094469E">
        <w:rPr>
          <w:rFonts w:ascii="Times New Roman" w:hAnsi="Times New Roman" w:cs="Times New Roman"/>
          <w:sz w:val="24"/>
          <w:szCs w:val="24"/>
        </w:rPr>
        <w:t xml:space="preserve">Giangregorio, L. M., and Thabane, L. (2015). pIlot studies and feasIbility studies for Complex Interventions. </w:t>
      </w:r>
      <w:r w:rsidRPr="0094469E">
        <w:rPr>
          <w:rFonts w:ascii="Times New Roman" w:hAnsi="Times New Roman" w:cs="Times New Roman"/>
          <w:i/>
          <w:sz w:val="24"/>
          <w:szCs w:val="24"/>
        </w:rPr>
        <w:t>Complex Interventions in Health: An Overview of Research Methods</w:t>
      </w:r>
      <w:r w:rsidRPr="0094469E">
        <w:rPr>
          <w:rFonts w:ascii="Times New Roman" w:hAnsi="Times New Roman" w:cs="Times New Roman"/>
          <w:sz w:val="24"/>
          <w:szCs w:val="24"/>
        </w:rPr>
        <w:t>, 127-135.</w:t>
      </w:r>
      <w:bookmarkEnd w:id="666"/>
    </w:p>
    <w:p w14:paraId="0F6CB3D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7" w:name="_ENREF_160"/>
      <w:r w:rsidRPr="0094469E">
        <w:rPr>
          <w:rFonts w:ascii="Times New Roman" w:hAnsi="Times New Roman" w:cs="Times New Roman"/>
          <w:sz w:val="24"/>
          <w:szCs w:val="24"/>
        </w:rPr>
        <w:t xml:space="preserve">Girden, E. R. (1992). </w:t>
      </w:r>
      <w:r w:rsidRPr="0094469E">
        <w:rPr>
          <w:rFonts w:ascii="Times New Roman" w:hAnsi="Times New Roman" w:cs="Times New Roman"/>
          <w:i/>
          <w:sz w:val="24"/>
          <w:szCs w:val="24"/>
        </w:rPr>
        <w:t>ANOVA: Repeated measures</w:t>
      </w:r>
      <w:r w:rsidRPr="0094469E">
        <w:rPr>
          <w:rFonts w:ascii="Times New Roman" w:hAnsi="Times New Roman" w:cs="Times New Roman"/>
          <w:sz w:val="24"/>
          <w:szCs w:val="24"/>
        </w:rPr>
        <w:t>: Sage.</w:t>
      </w:r>
      <w:bookmarkEnd w:id="667"/>
    </w:p>
    <w:p w14:paraId="79A6063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8" w:name="_ENREF_161"/>
      <w:r w:rsidRPr="0094469E">
        <w:rPr>
          <w:rFonts w:ascii="Times New Roman" w:hAnsi="Times New Roman" w:cs="Times New Roman"/>
          <w:sz w:val="24"/>
          <w:szCs w:val="24"/>
        </w:rPr>
        <w:t xml:space="preserve">Glass, G. V., Peckham, P. D., and Sanders, J. R. (1972). Consequences of failure to meet assumptions underlying the fixed effects analyses of variance and covariance. </w:t>
      </w:r>
      <w:r w:rsidRPr="0094469E">
        <w:rPr>
          <w:rFonts w:ascii="Times New Roman" w:hAnsi="Times New Roman" w:cs="Times New Roman"/>
          <w:i/>
          <w:sz w:val="24"/>
          <w:szCs w:val="24"/>
        </w:rPr>
        <w:t xml:space="preserve">Review of educational research, </w:t>
      </w:r>
      <w:r w:rsidRPr="0094469E">
        <w:rPr>
          <w:rFonts w:ascii="Times New Roman" w:hAnsi="Times New Roman" w:cs="Times New Roman"/>
          <w:b/>
          <w:sz w:val="24"/>
          <w:szCs w:val="24"/>
        </w:rPr>
        <w:t>42</w:t>
      </w:r>
      <w:r w:rsidRPr="0094469E">
        <w:rPr>
          <w:rFonts w:ascii="Times New Roman" w:hAnsi="Times New Roman" w:cs="Times New Roman"/>
          <w:sz w:val="24"/>
          <w:szCs w:val="24"/>
        </w:rPr>
        <w:t>(3), 237-288.</w:t>
      </w:r>
      <w:bookmarkEnd w:id="668"/>
    </w:p>
    <w:p w14:paraId="6E0FC25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69" w:name="_ENREF_162"/>
      <w:r w:rsidRPr="0094469E">
        <w:rPr>
          <w:rFonts w:ascii="Times New Roman" w:hAnsi="Times New Roman" w:cs="Times New Roman"/>
          <w:sz w:val="24"/>
          <w:szCs w:val="24"/>
        </w:rPr>
        <w:t xml:space="preserve">Goldblatt, H., Karnieli-Miller, O., and Neumann, M. (2011). Sharing qualitative research findings with participants: Study experiences of methodological and ethical dilemmas. </w:t>
      </w:r>
      <w:r w:rsidRPr="0094469E">
        <w:rPr>
          <w:rFonts w:ascii="Times New Roman" w:hAnsi="Times New Roman" w:cs="Times New Roman"/>
          <w:i/>
          <w:sz w:val="24"/>
          <w:szCs w:val="24"/>
        </w:rPr>
        <w:t xml:space="preserve">Patient education and counseling, </w:t>
      </w:r>
      <w:r w:rsidRPr="0094469E">
        <w:rPr>
          <w:rFonts w:ascii="Times New Roman" w:hAnsi="Times New Roman" w:cs="Times New Roman"/>
          <w:b/>
          <w:sz w:val="24"/>
          <w:szCs w:val="24"/>
        </w:rPr>
        <w:t>82</w:t>
      </w:r>
      <w:r w:rsidRPr="0094469E">
        <w:rPr>
          <w:rFonts w:ascii="Times New Roman" w:hAnsi="Times New Roman" w:cs="Times New Roman"/>
          <w:sz w:val="24"/>
          <w:szCs w:val="24"/>
        </w:rPr>
        <w:t>(3), 389-395.</w:t>
      </w:r>
      <w:bookmarkEnd w:id="669"/>
    </w:p>
    <w:p w14:paraId="592578D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70" w:name="_ENREF_163"/>
      <w:r w:rsidRPr="0094469E">
        <w:rPr>
          <w:rFonts w:ascii="Times New Roman" w:hAnsi="Times New Roman" w:cs="Times New Roman"/>
          <w:sz w:val="24"/>
          <w:szCs w:val="24"/>
        </w:rPr>
        <w:t xml:space="preserve">Gordon, J., Hazlett, C., Ten Cate, O., Mann, K., Kilminster, S., Prince, K., O’Driscoll, E., Snell, L., and Newble, D. (2000). Strategic planning in medical education: enhancing the learning environment for students in clinical settings.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34</w:t>
      </w:r>
      <w:r w:rsidRPr="0094469E">
        <w:rPr>
          <w:rFonts w:ascii="Times New Roman" w:hAnsi="Times New Roman" w:cs="Times New Roman"/>
          <w:sz w:val="24"/>
          <w:szCs w:val="24"/>
        </w:rPr>
        <w:t>(10), 841-850.</w:t>
      </w:r>
      <w:bookmarkEnd w:id="670"/>
    </w:p>
    <w:p w14:paraId="63F4F24E" w14:textId="35C7C25E" w:rsidR="0094469E" w:rsidRPr="0094469E" w:rsidRDefault="0094469E" w:rsidP="0094469E">
      <w:pPr>
        <w:pStyle w:val="EndNoteBibliography"/>
        <w:spacing w:line="360" w:lineRule="auto"/>
        <w:rPr>
          <w:rFonts w:ascii="Times New Roman" w:hAnsi="Times New Roman" w:cs="Times New Roman"/>
          <w:sz w:val="24"/>
          <w:szCs w:val="24"/>
        </w:rPr>
      </w:pPr>
      <w:bookmarkStart w:id="671" w:name="_ENREF_164"/>
      <w:r w:rsidRPr="0094469E">
        <w:rPr>
          <w:rFonts w:ascii="Times New Roman" w:hAnsi="Times New Roman" w:cs="Times New Roman"/>
          <w:sz w:val="24"/>
          <w:szCs w:val="24"/>
        </w:rPr>
        <w:t xml:space="preserve">Goudas, M., Dermitzaki, I., and Kolovelonis, A. (2017). Self-regulated learning and students’ metacognitive feelings in physical education. </w:t>
      </w:r>
      <w:r w:rsidR="00C71126">
        <w:rPr>
          <w:rFonts w:ascii="Times New Roman" w:hAnsi="Times New Roman" w:cs="Times New Roman"/>
          <w:i/>
          <w:sz w:val="24"/>
          <w:szCs w:val="24"/>
        </w:rPr>
        <w:t>International journal of sport and exercise psychology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15</w:t>
      </w:r>
      <w:r w:rsidRPr="0094469E">
        <w:rPr>
          <w:rFonts w:ascii="Times New Roman" w:hAnsi="Times New Roman" w:cs="Times New Roman"/>
          <w:sz w:val="24"/>
          <w:szCs w:val="24"/>
        </w:rPr>
        <w:t>(2), 131-145.</w:t>
      </w:r>
      <w:bookmarkEnd w:id="671"/>
    </w:p>
    <w:p w14:paraId="59A45EE6" w14:textId="65B72A34" w:rsidR="0094469E" w:rsidRPr="0094469E" w:rsidRDefault="0094469E" w:rsidP="0094469E">
      <w:pPr>
        <w:pStyle w:val="EndNoteBibliography"/>
        <w:spacing w:line="360" w:lineRule="auto"/>
        <w:rPr>
          <w:rFonts w:ascii="Times New Roman" w:hAnsi="Times New Roman" w:cs="Times New Roman"/>
          <w:sz w:val="24"/>
          <w:szCs w:val="24"/>
        </w:rPr>
      </w:pPr>
      <w:bookmarkStart w:id="672" w:name="_ENREF_165"/>
      <w:r w:rsidRPr="0094469E">
        <w:rPr>
          <w:rFonts w:ascii="Times New Roman" w:hAnsi="Times New Roman" w:cs="Times New Roman"/>
          <w:sz w:val="24"/>
          <w:szCs w:val="24"/>
        </w:rPr>
        <w:t xml:space="preserve">Graham, S., and Harris, K. R. (2009). Almost 30 years of writing research: Making sense of it all with The Wrath of Khan. </w:t>
      </w:r>
      <w:r w:rsidRPr="0094469E">
        <w:rPr>
          <w:rFonts w:ascii="Times New Roman" w:hAnsi="Times New Roman" w:cs="Times New Roman"/>
          <w:i/>
          <w:sz w:val="24"/>
          <w:szCs w:val="24"/>
        </w:rPr>
        <w:t xml:space="preserve">Learning </w:t>
      </w:r>
      <w:r w:rsidR="00C71126">
        <w:rPr>
          <w:rFonts w:ascii="Times New Roman" w:hAnsi="Times New Roman" w:cs="Times New Roman"/>
          <w:i/>
          <w:sz w:val="24"/>
          <w:szCs w:val="24"/>
        </w:rPr>
        <w:t>d</w:t>
      </w:r>
      <w:r w:rsidRPr="0094469E">
        <w:rPr>
          <w:rFonts w:ascii="Times New Roman" w:hAnsi="Times New Roman" w:cs="Times New Roman"/>
          <w:i/>
          <w:sz w:val="24"/>
          <w:szCs w:val="24"/>
        </w:rPr>
        <w:t xml:space="preserve">isabilities </w:t>
      </w:r>
      <w:r w:rsidR="00C71126">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00C71126">
        <w:rPr>
          <w:rFonts w:ascii="Times New Roman" w:hAnsi="Times New Roman" w:cs="Times New Roman"/>
          <w:i/>
          <w:sz w:val="24"/>
          <w:szCs w:val="24"/>
        </w:rPr>
        <w:t>and</w:t>
      </w:r>
      <w:r w:rsidRPr="0094469E">
        <w:rPr>
          <w:rFonts w:ascii="Times New Roman" w:hAnsi="Times New Roman" w:cs="Times New Roman"/>
          <w:i/>
          <w:sz w:val="24"/>
          <w:szCs w:val="24"/>
        </w:rPr>
        <w:t xml:space="preserve"> </w:t>
      </w:r>
      <w:r w:rsidR="00C71126">
        <w:rPr>
          <w:rFonts w:ascii="Times New Roman" w:hAnsi="Times New Roman" w:cs="Times New Roman"/>
          <w:i/>
          <w:sz w:val="24"/>
          <w:szCs w:val="24"/>
        </w:rPr>
        <w:t>p</w:t>
      </w:r>
      <w:r w:rsidRPr="0094469E">
        <w:rPr>
          <w:rFonts w:ascii="Times New Roman" w:hAnsi="Times New Roman" w:cs="Times New Roman"/>
          <w:i/>
          <w:sz w:val="24"/>
          <w:szCs w:val="24"/>
        </w:rPr>
        <w:t xml:space="preserve">ractice, </w:t>
      </w:r>
      <w:r w:rsidRPr="0094469E">
        <w:rPr>
          <w:rFonts w:ascii="Times New Roman" w:hAnsi="Times New Roman" w:cs="Times New Roman"/>
          <w:b/>
          <w:sz w:val="24"/>
          <w:szCs w:val="24"/>
        </w:rPr>
        <w:t>24</w:t>
      </w:r>
      <w:r w:rsidRPr="0094469E">
        <w:rPr>
          <w:rFonts w:ascii="Times New Roman" w:hAnsi="Times New Roman" w:cs="Times New Roman"/>
          <w:sz w:val="24"/>
          <w:szCs w:val="24"/>
        </w:rPr>
        <w:t>(2), 58-68.</w:t>
      </w:r>
      <w:bookmarkEnd w:id="672"/>
    </w:p>
    <w:p w14:paraId="62BFC19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73" w:name="_ENREF_166"/>
      <w:r w:rsidRPr="0094469E">
        <w:rPr>
          <w:rFonts w:ascii="Times New Roman" w:hAnsi="Times New Roman" w:cs="Times New Roman"/>
          <w:sz w:val="24"/>
          <w:szCs w:val="24"/>
        </w:rPr>
        <w:t xml:space="preserve">Grant, A., Treweek, S., Dreischulte, T., Foy, R., and Guthrie, B. (2013). Process evaluations for cluster-randomised trials of complex interventions: a proposed framework for design and reporting. </w:t>
      </w:r>
      <w:r w:rsidRPr="0094469E">
        <w:rPr>
          <w:rFonts w:ascii="Times New Roman" w:hAnsi="Times New Roman" w:cs="Times New Roman"/>
          <w:i/>
          <w:sz w:val="24"/>
          <w:szCs w:val="24"/>
        </w:rPr>
        <w:t xml:space="preserve">Trials, </w:t>
      </w:r>
      <w:r w:rsidRPr="0094469E">
        <w:rPr>
          <w:rFonts w:ascii="Times New Roman" w:hAnsi="Times New Roman" w:cs="Times New Roman"/>
          <w:b/>
          <w:sz w:val="24"/>
          <w:szCs w:val="24"/>
        </w:rPr>
        <w:t>14</w:t>
      </w:r>
      <w:r w:rsidRPr="0094469E">
        <w:rPr>
          <w:rFonts w:ascii="Times New Roman" w:hAnsi="Times New Roman" w:cs="Times New Roman"/>
          <w:sz w:val="24"/>
          <w:szCs w:val="24"/>
        </w:rPr>
        <w:t>(1), 15.</w:t>
      </w:r>
      <w:bookmarkEnd w:id="673"/>
    </w:p>
    <w:p w14:paraId="73723BED" w14:textId="1C013582" w:rsidR="0094469E" w:rsidRPr="0094469E" w:rsidRDefault="0094469E" w:rsidP="0094469E">
      <w:pPr>
        <w:pStyle w:val="EndNoteBibliography"/>
        <w:spacing w:line="360" w:lineRule="auto"/>
        <w:rPr>
          <w:rFonts w:ascii="Times New Roman" w:hAnsi="Times New Roman" w:cs="Times New Roman"/>
          <w:sz w:val="24"/>
          <w:szCs w:val="24"/>
        </w:rPr>
      </w:pPr>
      <w:bookmarkStart w:id="674" w:name="_ENREF_167"/>
      <w:r w:rsidRPr="0094469E">
        <w:rPr>
          <w:rFonts w:ascii="Times New Roman" w:hAnsi="Times New Roman" w:cs="Times New Roman"/>
          <w:sz w:val="24"/>
          <w:szCs w:val="24"/>
        </w:rPr>
        <w:lastRenderedPageBreak/>
        <w:t xml:space="preserve">Greene, J. A., and Azevedo, R. (2007). Adolescents' use of self-regulatory processes and their relation to qualitative mental model shifts while using hypermedia. </w:t>
      </w:r>
      <w:r w:rsidRPr="0094469E">
        <w:rPr>
          <w:rFonts w:ascii="Times New Roman" w:hAnsi="Times New Roman" w:cs="Times New Roman"/>
          <w:i/>
          <w:sz w:val="24"/>
          <w:szCs w:val="24"/>
        </w:rPr>
        <w:t xml:space="preserve">Journal of </w:t>
      </w:r>
      <w:r w:rsidR="00C71126">
        <w:rPr>
          <w:rFonts w:ascii="Times New Roman" w:hAnsi="Times New Roman" w:cs="Times New Roman"/>
          <w:i/>
          <w:sz w:val="24"/>
          <w:szCs w:val="24"/>
        </w:rPr>
        <w:t>e</w:t>
      </w:r>
      <w:r w:rsidRPr="0094469E">
        <w:rPr>
          <w:rFonts w:ascii="Times New Roman" w:hAnsi="Times New Roman" w:cs="Times New Roman"/>
          <w:i/>
          <w:sz w:val="24"/>
          <w:szCs w:val="24"/>
        </w:rPr>
        <w:t xml:space="preserve">ducational </w:t>
      </w:r>
      <w:r w:rsidR="00C71126">
        <w:rPr>
          <w:rFonts w:ascii="Times New Roman" w:hAnsi="Times New Roman" w:cs="Times New Roman"/>
          <w:i/>
          <w:sz w:val="24"/>
          <w:szCs w:val="24"/>
        </w:rPr>
        <w:t>c</w:t>
      </w:r>
      <w:r w:rsidRPr="0094469E">
        <w:rPr>
          <w:rFonts w:ascii="Times New Roman" w:hAnsi="Times New Roman" w:cs="Times New Roman"/>
          <w:i/>
          <w:sz w:val="24"/>
          <w:szCs w:val="24"/>
        </w:rPr>
        <w:t xml:space="preserve">omputing </w:t>
      </w:r>
      <w:r w:rsidR="00C71126">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Pr="0094469E">
        <w:rPr>
          <w:rFonts w:ascii="Times New Roman" w:hAnsi="Times New Roman" w:cs="Times New Roman"/>
          <w:b/>
          <w:sz w:val="24"/>
          <w:szCs w:val="24"/>
        </w:rPr>
        <w:t>36</w:t>
      </w:r>
      <w:r w:rsidRPr="0094469E">
        <w:rPr>
          <w:rFonts w:ascii="Times New Roman" w:hAnsi="Times New Roman" w:cs="Times New Roman"/>
          <w:sz w:val="24"/>
          <w:szCs w:val="24"/>
        </w:rPr>
        <w:t>(2), 125-148.</w:t>
      </w:r>
      <w:bookmarkEnd w:id="674"/>
    </w:p>
    <w:p w14:paraId="1E6AA29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75" w:name="_ENREF_168"/>
      <w:r w:rsidRPr="0094469E">
        <w:rPr>
          <w:rFonts w:ascii="Times New Roman" w:hAnsi="Times New Roman" w:cs="Times New Roman"/>
          <w:sz w:val="24"/>
          <w:szCs w:val="24"/>
        </w:rPr>
        <w:t xml:space="preserve">Greene, J. C. (1994). Qualitative program evaluation. </w:t>
      </w:r>
      <w:r w:rsidRPr="0094469E">
        <w:rPr>
          <w:rFonts w:ascii="Times New Roman" w:hAnsi="Times New Roman" w:cs="Times New Roman"/>
          <w:i/>
          <w:sz w:val="24"/>
          <w:szCs w:val="24"/>
        </w:rPr>
        <w:t xml:space="preserve">Handbook of qualitative research, </w:t>
      </w:r>
      <w:r w:rsidRPr="0094469E">
        <w:rPr>
          <w:rFonts w:ascii="Times New Roman" w:hAnsi="Times New Roman" w:cs="Times New Roman"/>
          <w:b/>
          <w:sz w:val="24"/>
          <w:szCs w:val="24"/>
        </w:rPr>
        <w:t>530</w:t>
      </w:r>
      <w:r w:rsidRPr="0094469E">
        <w:rPr>
          <w:rFonts w:ascii="Times New Roman" w:hAnsi="Times New Roman" w:cs="Times New Roman"/>
          <w:sz w:val="24"/>
          <w:szCs w:val="24"/>
        </w:rPr>
        <w:t>, 544.</w:t>
      </w:r>
      <w:bookmarkEnd w:id="675"/>
    </w:p>
    <w:p w14:paraId="5D57BBA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76" w:name="_ENREF_169"/>
      <w:r w:rsidRPr="0094469E">
        <w:rPr>
          <w:rFonts w:ascii="Times New Roman" w:hAnsi="Times New Roman" w:cs="Times New Roman"/>
          <w:sz w:val="24"/>
          <w:szCs w:val="24"/>
        </w:rPr>
        <w:t xml:space="preserve">Greene, J. C. (2008). Is mixed methods social inquiry a distinctive methodology? </w:t>
      </w:r>
      <w:r w:rsidRPr="0094469E">
        <w:rPr>
          <w:rFonts w:ascii="Times New Roman" w:hAnsi="Times New Roman" w:cs="Times New Roman"/>
          <w:i/>
          <w:sz w:val="24"/>
          <w:szCs w:val="24"/>
        </w:rPr>
        <w:t xml:space="preserve">Journal of mixed methods research, </w:t>
      </w:r>
      <w:r w:rsidRPr="0094469E">
        <w:rPr>
          <w:rFonts w:ascii="Times New Roman" w:hAnsi="Times New Roman" w:cs="Times New Roman"/>
          <w:b/>
          <w:sz w:val="24"/>
          <w:szCs w:val="24"/>
        </w:rPr>
        <w:t>2</w:t>
      </w:r>
      <w:r w:rsidRPr="0094469E">
        <w:rPr>
          <w:rFonts w:ascii="Times New Roman" w:hAnsi="Times New Roman" w:cs="Times New Roman"/>
          <w:sz w:val="24"/>
          <w:szCs w:val="24"/>
        </w:rPr>
        <w:t>(1), 7-22.</w:t>
      </w:r>
      <w:bookmarkEnd w:id="676"/>
    </w:p>
    <w:p w14:paraId="7462226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77" w:name="_ENREF_170"/>
      <w:r w:rsidRPr="0094469E">
        <w:rPr>
          <w:rFonts w:ascii="Times New Roman" w:hAnsi="Times New Roman" w:cs="Times New Roman"/>
          <w:sz w:val="24"/>
          <w:szCs w:val="24"/>
        </w:rPr>
        <w:t xml:space="preserve">Greene, J. C., Caracelli, V. J., and Graham, W. F. (1989). Toward a conceptual framework for mixed-method evaluation designs. </w:t>
      </w:r>
      <w:r w:rsidRPr="0094469E">
        <w:rPr>
          <w:rFonts w:ascii="Times New Roman" w:hAnsi="Times New Roman" w:cs="Times New Roman"/>
          <w:i/>
          <w:sz w:val="24"/>
          <w:szCs w:val="24"/>
        </w:rPr>
        <w:t xml:space="preserve">Educational evaluation and policy analysis, </w:t>
      </w:r>
      <w:r w:rsidRPr="0094469E">
        <w:rPr>
          <w:rFonts w:ascii="Times New Roman" w:hAnsi="Times New Roman" w:cs="Times New Roman"/>
          <w:b/>
          <w:sz w:val="24"/>
          <w:szCs w:val="24"/>
        </w:rPr>
        <w:t>11</w:t>
      </w:r>
      <w:r w:rsidRPr="0094469E">
        <w:rPr>
          <w:rFonts w:ascii="Times New Roman" w:hAnsi="Times New Roman" w:cs="Times New Roman"/>
          <w:sz w:val="24"/>
          <w:szCs w:val="24"/>
        </w:rPr>
        <w:t>(3), 255-274.</w:t>
      </w:r>
      <w:bookmarkEnd w:id="677"/>
    </w:p>
    <w:p w14:paraId="5309D8E9" w14:textId="756E7B63" w:rsidR="0094469E" w:rsidRPr="0094469E" w:rsidRDefault="0094469E" w:rsidP="0094469E">
      <w:pPr>
        <w:pStyle w:val="EndNoteBibliography"/>
        <w:spacing w:line="360" w:lineRule="auto"/>
        <w:rPr>
          <w:rFonts w:ascii="Times New Roman" w:hAnsi="Times New Roman" w:cs="Times New Roman"/>
          <w:sz w:val="24"/>
          <w:szCs w:val="24"/>
        </w:rPr>
      </w:pPr>
      <w:bookmarkStart w:id="678" w:name="_ENREF_171"/>
      <w:r w:rsidRPr="0094469E">
        <w:rPr>
          <w:rFonts w:ascii="Times New Roman" w:hAnsi="Times New Roman" w:cs="Times New Roman"/>
          <w:sz w:val="24"/>
          <w:szCs w:val="24"/>
        </w:rPr>
        <w:t xml:space="preserve">Greenhalgh, T., Robert, G., Macfarlane, F., Bate, P., Kyriakidou, O., and Peacock, R. (2005). Storylines of research in diffusion of innovation: a meta-narrative approach to systematic review. </w:t>
      </w:r>
      <w:r w:rsidRPr="0094469E">
        <w:rPr>
          <w:rFonts w:ascii="Times New Roman" w:hAnsi="Times New Roman" w:cs="Times New Roman"/>
          <w:i/>
          <w:sz w:val="24"/>
          <w:szCs w:val="24"/>
        </w:rPr>
        <w:t xml:space="preserve">Social science </w:t>
      </w:r>
      <w:r w:rsidR="00C71126">
        <w:rPr>
          <w:rFonts w:ascii="Times New Roman" w:hAnsi="Times New Roman" w:cs="Times New Roman"/>
          <w:i/>
          <w:sz w:val="24"/>
          <w:szCs w:val="24"/>
        </w:rPr>
        <w:t>and</w:t>
      </w:r>
      <w:r w:rsidRPr="0094469E">
        <w:rPr>
          <w:rFonts w:ascii="Times New Roman" w:hAnsi="Times New Roman" w:cs="Times New Roman"/>
          <w:i/>
          <w:sz w:val="24"/>
          <w:szCs w:val="24"/>
        </w:rPr>
        <w:t xml:space="preserve"> medicine, </w:t>
      </w:r>
      <w:r w:rsidRPr="0094469E">
        <w:rPr>
          <w:rFonts w:ascii="Times New Roman" w:hAnsi="Times New Roman" w:cs="Times New Roman"/>
          <w:b/>
          <w:sz w:val="24"/>
          <w:szCs w:val="24"/>
        </w:rPr>
        <w:t>61</w:t>
      </w:r>
      <w:r w:rsidRPr="0094469E">
        <w:rPr>
          <w:rFonts w:ascii="Times New Roman" w:hAnsi="Times New Roman" w:cs="Times New Roman"/>
          <w:sz w:val="24"/>
          <w:szCs w:val="24"/>
        </w:rPr>
        <w:t>(2), 417-430.</w:t>
      </w:r>
      <w:bookmarkEnd w:id="678"/>
    </w:p>
    <w:p w14:paraId="6629BB6D" w14:textId="2A8089E4" w:rsidR="0094469E" w:rsidRPr="0094469E" w:rsidRDefault="0094469E" w:rsidP="0094469E">
      <w:pPr>
        <w:pStyle w:val="EndNoteBibliography"/>
        <w:spacing w:line="360" w:lineRule="auto"/>
        <w:rPr>
          <w:rFonts w:ascii="Times New Roman" w:hAnsi="Times New Roman" w:cs="Times New Roman"/>
          <w:sz w:val="24"/>
          <w:szCs w:val="24"/>
        </w:rPr>
      </w:pPr>
      <w:bookmarkStart w:id="679" w:name="_ENREF_172"/>
      <w:r w:rsidRPr="0094469E">
        <w:rPr>
          <w:rFonts w:ascii="Times New Roman" w:hAnsi="Times New Roman" w:cs="Times New Roman"/>
          <w:sz w:val="24"/>
          <w:szCs w:val="24"/>
        </w:rPr>
        <w:t>Gruppen, L. D., White, C., Fitzgerald, J. T., Grum, C. M., and Woolliscroft, J. O. (2000). Medical Students' Self</w:t>
      </w:r>
      <w:r w:rsidRPr="0094469E">
        <w:rPr>
          <w:rFonts w:ascii="Cambria Math" w:hAnsi="Cambria Math" w:cs="Cambria Math"/>
          <w:sz w:val="24"/>
          <w:szCs w:val="24"/>
        </w:rPr>
        <w:t>‐</w:t>
      </w:r>
      <w:r w:rsidRPr="0094469E">
        <w:rPr>
          <w:rFonts w:ascii="Times New Roman" w:hAnsi="Times New Roman" w:cs="Times New Roman"/>
          <w:sz w:val="24"/>
          <w:szCs w:val="24"/>
        </w:rPr>
        <w:t xml:space="preserve">assessments and Their Allocations of Learning Time.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75</w:t>
      </w:r>
      <w:r w:rsidRPr="0094469E">
        <w:rPr>
          <w:rFonts w:ascii="Times New Roman" w:hAnsi="Times New Roman" w:cs="Times New Roman"/>
          <w:sz w:val="24"/>
          <w:szCs w:val="24"/>
        </w:rPr>
        <w:t>(4), 374-379.</w:t>
      </w:r>
      <w:bookmarkEnd w:id="679"/>
    </w:p>
    <w:p w14:paraId="56AF476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0" w:name="_ENREF_173"/>
      <w:r w:rsidRPr="0094469E">
        <w:rPr>
          <w:rFonts w:ascii="Times New Roman" w:hAnsi="Times New Roman" w:cs="Times New Roman"/>
          <w:sz w:val="24"/>
          <w:szCs w:val="24"/>
        </w:rPr>
        <w:t xml:space="preserve">Guba, E. G., and Lincoln, Y. S. (1989). </w:t>
      </w:r>
      <w:r w:rsidRPr="0094469E">
        <w:rPr>
          <w:rFonts w:ascii="Times New Roman" w:hAnsi="Times New Roman" w:cs="Times New Roman"/>
          <w:i/>
          <w:sz w:val="24"/>
          <w:szCs w:val="24"/>
        </w:rPr>
        <w:t>Fourth generation evaluation</w:t>
      </w:r>
      <w:r w:rsidRPr="0094469E">
        <w:rPr>
          <w:rFonts w:ascii="Times New Roman" w:hAnsi="Times New Roman" w:cs="Times New Roman"/>
          <w:sz w:val="24"/>
          <w:szCs w:val="24"/>
        </w:rPr>
        <w:t>. Newbury Park, CA: Sage.</w:t>
      </w:r>
      <w:bookmarkEnd w:id="680"/>
    </w:p>
    <w:p w14:paraId="7A76965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1" w:name="_ENREF_174"/>
      <w:r w:rsidRPr="0094469E">
        <w:rPr>
          <w:rFonts w:ascii="Times New Roman" w:hAnsi="Times New Roman" w:cs="Times New Roman"/>
          <w:sz w:val="24"/>
          <w:szCs w:val="24"/>
        </w:rPr>
        <w:t xml:space="preserve">Guba, E. G., and Lincoln, Y. S. (1994). Competing paradigms in qualitative research. </w:t>
      </w:r>
      <w:r w:rsidRPr="0094469E">
        <w:rPr>
          <w:rFonts w:ascii="Times New Roman" w:hAnsi="Times New Roman" w:cs="Times New Roman"/>
          <w:i/>
          <w:sz w:val="24"/>
          <w:szCs w:val="24"/>
        </w:rPr>
        <w:t xml:space="preserve">Handbook of qualitative research, </w:t>
      </w:r>
      <w:r w:rsidRPr="0094469E">
        <w:rPr>
          <w:rFonts w:ascii="Times New Roman" w:hAnsi="Times New Roman" w:cs="Times New Roman"/>
          <w:b/>
          <w:sz w:val="24"/>
          <w:szCs w:val="24"/>
        </w:rPr>
        <w:t>2</w:t>
      </w:r>
      <w:r w:rsidRPr="0094469E">
        <w:rPr>
          <w:rFonts w:ascii="Times New Roman" w:hAnsi="Times New Roman" w:cs="Times New Roman"/>
          <w:sz w:val="24"/>
          <w:szCs w:val="24"/>
        </w:rPr>
        <w:t>(163-194).</w:t>
      </w:r>
      <w:bookmarkEnd w:id="681"/>
    </w:p>
    <w:p w14:paraId="7A2DDF1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2" w:name="_ENREF_175"/>
      <w:r w:rsidRPr="0094469E">
        <w:rPr>
          <w:rFonts w:ascii="Times New Roman" w:hAnsi="Times New Roman" w:cs="Times New Roman"/>
          <w:sz w:val="24"/>
          <w:szCs w:val="24"/>
        </w:rPr>
        <w:t xml:space="preserve">Gubrium, J. F., and Holstein, J. A. (1997). </w:t>
      </w:r>
      <w:r w:rsidRPr="0094469E">
        <w:rPr>
          <w:rFonts w:ascii="Times New Roman" w:hAnsi="Times New Roman" w:cs="Times New Roman"/>
          <w:i/>
          <w:sz w:val="24"/>
          <w:szCs w:val="24"/>
        </w:rPr>
        <w:t>The new language of qualitative method</w:t>
      </w:r>
      <w:r w:rsidRPr="0094469E">
        <w:rPr>
          <w:rFonts w:ascii="Times New Roman" w:hAnsi="Times New Roman" w:cs="Times New Roman"/>
          <w:sz w:val="24"/>
          <w:szCs w:val="24"/>
        </w:rPr>
        <w:t>: Oxford University Press on Demand.</w:t>
      </w:r>
      <w:bookmarkEnd w:id="682"/>
    </w:p>
    <w:p w14:paraId="64FEE90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3" w:name="_ENREF_176"/>
      <w:r w:rsidRPr="0094469E">
        <w:rPr>
          <w:rFonts w:ascii="Times New Roman" w:hAnsi="Times New Roman" w:cs="Times New Roman"/>
          <w:sz w:val="24"/>
          <w:szCs w:val="24"/>
        </w:rPr>
        <w:t xml:space="preserve">Guillemin, M., and Gillam, L. (2004). Ethics, reflexivity, and “ethically important moments” in research. </w:t>
      </w:r>
      <w:r w:rsidRPr="0094469E">
        <w:rPr>
          <w:rFonts w:ascii="Times New Roman" w:hAnsi="Times New Roman" w:cs="Times New Roman"/>
          <w:i/>
          <w:sz w:val="24"/>
          <w:szCs w:val="24"/>
        </w:rPr>
        <w:t xml:space="preserve">Qualitative inquiry, </w:t>
      </w:r>
      <w:r w:rsidRPr="0094469E">
        <w:rPr>
          <w:rFonts w:ascii="Times New Roman" w:hAnsi="Times New Roman" w:cs="Times New Roman"/>
          <w:b/>
          <w:sz w:val="24"/>
          <w:szCs w:val="24"/>
        </w:rPr>
        <w:t>10</w:t>
      </w:r>
      <w:r w:rsidRPr="0094469E">
        <w:rPr>
          <w:rFonts w:ascii="Times New Roman" w:hAnsi="Times New Roman" w:cs="Times New Roman"/>
          <w:sz w:val="24"/>
          <w:szCs w:val="24"/>
        </w:rPr>
        <w:t>(2), 261-280.</w:t>
      </w:r>
      <w:bookmarkEnd w:id="683"/>
    </w:p>
    <w:p w14:paraId="06EBFB1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4" w:name="_ENREF_177"/>
      <w:r w:rsidRPr="0094469E">
        <w:rPr>
          <w:rFonts w:ascii="Times New Roman" w:hAnsi="Times New Roman" w:cs="Times New Roman"/>
          <w:sz w:val="24"/>
          <w:szCs w:val="24"/>
        </w:rPr>
        <w:t xml:space="preserve">Hacking, I. (1999). </w:t>
      </w:r>
      <w:r w:rsidRPr="0094469E">
        <w:rPr>
          <w:rFonts w:ascii="Times New Roman" w:hAnsi="Times New Roman" w:cs="Times New Roman"/>
          <w:i/>
          <w:sz w:val="24"/>
          <w:szCs w:val="24"/>
        </w:rPr>
        <w:t>The social construction of what?</w:t>
      </w:r>
      <w:r w:rsidRPr="0094469E">
        <w:rPr>
          <w:rFonts w:ascii="Times New Roman" w:hAnsi="Times New Roman" w:cs="Times New Roman"/>
          <w:sz w:val="24"/>
          <w:szCs w:val="24"/>
        </w:rPr>
        <w:t xml:space="preserve"> Cambridge, MA: Harvard university press.</w:t>
      </w:r>
      <w:bookmarkEnd w:id="684"/>
    </w:p>
    <w:p w14:paraId="683D43F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5" w:name="_ENREF_178"/>
      <w:r w:rsidRPr="0094469E">
        <w:rPr>
          <w:rFonts w:ascii="Times New Roman" w:hAnsi="Times New Roman" w:cs="Times New Roman"/>
          <w:sz w:val="24"/>
          <w:szCs w:val="24"/>
        </w:rPr>
        <w:t xml:space="preserve">Hadwin, A. F., Winne, P. H., Stockley, D. B., Nesbit, J. C., and Woszczyna, C. (2001). Context moderates students' self-reports about how they study.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93</w:t>
      </w:r>
      <w:r w:rsidRPr="0094469E">
        <w:rPr>
          <w:rFonts w:ascii="Times New Roman" w:hAnsi="Times New Roman" w:cs="Times New Roman"/>
          <w:sz w:val="24"/>
          <w:szCs w:val="24"/>
        </w:rPr>
        <w:t>(3), 477.</w:t>
      </w:r>
      <w:bookmarkEnd w:id="685"/>
    </w:p>
    <w:p w14:paraId="7D5D7AF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6" w:name="_ENREF_179"/>
      <w:r w:rsidRPr="0094469E">
        <w:rPr>
          <w:rFonts w:ascii="Times New Roman" w:hAnsi="Times New Roman" w:cs="Times New Roman"/>
          <w:sz w:val="24"/>
          <w:szCs w:val="24"/>
        </w:rPr>
        <w:lastRenderedPageBreak/>
        <w:t xml:space="preserve">Hagens, V., Dobrow, M. J., and Chafe, R. (2009). Interviewee Transcript Review: assessing the impact on qualitative research. </w:t>
      </w:r>
      <w:r w:rsidRPr="0094469E">
        <w:rPr>
          <w:rFonts w:ascii="Times New Roman" w:hAnsi="Times New Roman" w:cs="Times New Roman"/>
          <w:i/>
          <w:sz w:val="24"/>
          <w:szCs w:val="24"/>
        </w:rPr>
        <w:t xml:space="preserve">BMC medical research methodology, </w:t>
      </w:r>
      <w:r w:rsidRPr="0094469E">
        <w:rPr>
          <w:rFonts w:ascii="Times New Roman" w:hAnsi="Times New Roman" w:cs="Times New Roman"/>
          <w:b/>
          <w:sz w:val="24"/>
          <w:szCs w:val="24"/>
        </w:rPr>
        <w:t>9</w:t>
      </w:r>
      <w:r w:rsidRPr="0094469E">
        <w:rPr>
          <w:rFonts w:ascii="Times New Roman" w:hAnsi="Times New Roman" w:cs="Times New Roman"/>
          <w:sz w:val="24"/>
          <w:szCs w:val="24"/>
        </w:rPr>
        <w:t>(1), 47.</w:t>
      </w:r>
      <w:bookmarkEnd w:id="686"/>
    </w:p>
    <w:p w14:paraId="5EA5D3C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7" w:name="_ENREF_180"/>
      <w:r w:rsidRPr="0094469E">
        <w:rPr>
          <w:rFonts w:ascii="Times New Roman" w:hAnsi="Times New Roman" w:cs="Times New Roman"/>
          <w:sz w:val="24"/>
          <w:szCs w:val="24"/>
        </w:rPr>
        <w:t xml:space="preserve">Hambleton, R. K. (2005). Issues, designs, and technical guidelines for adapting tests into multiple languages and cultures. </w:t>
      </w:r>
      <w:r w:rsidRPr="0094469E">
        <w:rPr>
          <w:rFonts w:ascii="Times New Roman" w:hAnsi="Times New Roman" w:cs="Times New Roman"/>
          <w:i/>
          <w:sz w:val="24"/>
          <w:szCs w:val="24"/>
        </w:rPr>
        <w:t xml:space="preserve">Adapting educational and psychological tests for cross-cultural assessment, </w:t>
      </w:r>
      <w:r w:rsidRPr="0094469E">
        <w:rPr>
          <w:rFonts w:ascii="Times New Roman" w:hAnsi="Times New Roman" w:cs="Times New Roman"/>
          <w:b/>
          <w:sz w:val="24"/>
          <w:szCs w:val="24"/>
        </w:rPr>
        <w:t>1</w:t>
      </w:r>
      <w:r w:rsidRPr="0094469E">
        <w:rPr>
          <w:rFonts w:ascii="Times New Roman" w:hAnsi="Times New Roman" w:cs="Times New Roman"/>
          <w:sz w:val="24"/>
          <w:szCs w:val="24"/>
        </w:rPr>
        <w:t>, 3-38.</w:t>
      </w:r>
      <w:bookmarkEnd w:id="687"/>
    </w:p>
    <w:p w14:paraId="5451A98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88" w:name="_ENREF_181"/>
      <w:r w:rsidRPr="0094469E">
        <w:rPr>
          <w:rFonts w:ascii="Times New Roman" w:hAnsi="Times New Roman" w:cs="Times New Roman"/>
          <w:sz w:val="24"/>
          <w:szCs w:val="24"/>
        </w:rPr>
        <w:t xml:space="preserve">Hammersley, M. (2008). Troubles with triangulation </w:t>
      </w:r>
      <w:r w:rsidRPr="0094469E">
        <w:rPr>
          <w:rFonts w:ascii="Times New Roman" w:hAnsi="Times New Roman" w:cs="Times New Roman"/>
          <w:i/>
          <w:sz w:val="24"/>
          <w:szCs w:val="24"/>
        </w:rPr>
        <w:t>Advances in mixed methods research</w:t>
      </w:r>
      <w:r w:rsidRPr="0094469E">
        <w:rPr>
          <w:rFonts w:ascii="Times New Roman" w:hAnsi="Times New Roman" w:cs="Times New Roman"/>
          <w:sz w:val="24"/>
          <w:szCs w:val="24"/>
        </w:rPr>
        <w:t xml:space="preserve"> (pp. 22-36). London: Sage.</w:t>
      </w:r>
      <w:bookmarkEnd w:id="688"/>
    </w:p>
    <w:p w14:paraId="785A933D" w14:textId="64CBD787" w:rsidR="0094469E" w:rsidRPr="0094469E" w:rsidRDefault="0094469E" w:rsidP="0094469E">
      <w:pPr>
        <w:pStyle w:val="EndNoteBibliography"/>
        <w:spacing w:line="360" w:lineRule="auto"/>
        <w:rPr>
          <w:rFonts w:ascii="Times New Roman" w:hAnsi="Times New Roman" w:cs="Times New Roman"/>
          <w:sz w:val="24"/>
          <w:szCs w:val="24"/>
        </w:rPr>
      </w:pPr>
      <w:bookmarkStart w:id="689" w:name="_ENREF_182"/>
      <w:r w:rsidRPr="0094469E">
        <w:rPr>
          <w:rFonts w:ascii="Times New Roman" w:hAnsi="Times New Roman" w:cs="Times New Roman"/>
          <w:sz w:val="24"/>
          <w:szCs w:val="24"/>
        </w:rPr>
        <w:t xml:space="preserve">Hasson, H. (2015). Intervention fIdelity in ClinIcal trials. </w:t>
      </w:r>
      <w:r w:rsidRPr="0094469E">
        <w:rPr>
          <w:rFonts w:ascii="Times New Roman" w:hAnsi="Times New Roman" w:cs="Times New Roman"/>
          <w:i/>
          <w:sz w:val="24"/>
          <w:szCs w:val="24"/>
        </w:rPr>
        <w:t xml:space="preserve">Complex </w:t>
      </w:r>
      <w:r w:rsidR="00C71126">
        <w:rPr>
          <w:rFonts w:ascii="Times New Roman" w:hAnsi="Times New Roman" w:cs="Times New Roman"/>
          <w:i/>
          <w:sz w:val="24"/>
          <w:szCs w:val="24"/>
        </w:rPr>
        <w:t>i</w:t>
      </w:r>
      <w:r w:rsidRPr="0094469E">
        <w:rPr>
          <w:rFonts w:ascii="Times New Roman" w:hAnsi="Times New Roman" w:cs="Times New Roman"/>
          <w:i/>
          <w:sz w:val="24"/>
          <w:szCs w:val="24"/>
        </w:rPr>
        <w:t xml:space="preserve">nterventions in </w:t>
      </w:r>
      <w:r w:rsidR="00C71126">
        <w:rPr>
          <w:rFonts w:ascii="Times New Roman" w:hAnsi="Times New Roman" w:cs="Times New Roman"/>
          <w:i/>
          <w:sz w:val="24"/>
          <w:szCs w:val="24"/>
        </w:rPr>
        <w:t>h</w:t>
      </w:r>
      <w:r w:rsidRPr="0094469E">
        <w:rPr>
          <w:rFonts w:ascii="Times New Roman" w:hAnsi="Times New Roman" w:cs="Times New Roman"/>
          <w:i/>
          <w:sz w:val="24"/>
          <w:szCs w:val="24"/>
        </w:rPr>
        <w:t xml:space="preserve">ealth: An </w:t>
      </w:r>
      <w:r w:rsidR="00C71126">
        <w:rPr>
          <w:rFonts w:ascii="Times New Roman" w:hAnsi="Times New Roman" w:cs="Times New Roman"/>
          <w:i/>
          <w:sz w:val="24"/>
          <w:szCs w:val="24"/>
        </w:rPr>
        <w:t>o</w:t>
      </w:r>
      <w:r w:rsidRPr="0094469E">
        <w:rPr>
          <w:rFonts w:ascii="Times New Roman" w:hAnsi="Times New Roman" w:cs="Times New Roman"/>
          <w:i/>
          <w:sz w:val="24"/>
          <w:szCs w:val="24"/>
        </w:rPr>
        <w:t xml:space="preserve">verview of </w:t>
      </w:r>
      <w:r w:rsidR="00C71126">
        <w:rPr>
          <w:rFonts w:ascii="Times New Roman" w:hAnsi="Times New Roman" w:cs="Times New Roman"/>
          <w:i/>
          <w:sz w:val="24"/>
          <w:szCs w:val="24"/>
        </w:rPr>
        <w:t>r</w:t>
      </w:r>
      <w:r w:rsidRPr="0094469E">
        <w:rPr>
          <w:rFonts w:ascii="Times New Roman" w:hAnsi="Times New Roman" w:cs="Times New Roman"/>
          <w:i/>
          <w:sz w:val="24"/>
          <w:szCs w:val="24"/>
        </w:rPr>
        <w:t xml:space="preserve">esearch </w:t>
      </w:r>
      <w:r w:rsidR="00C71126">
        <w:rPr>
          <w:rFonts w:ascii="Times New Roman" w:hAnsi="Times New Roman" w:cs="Times New Roman"/>
          <w:i/>
          <w:sz w:val="24"/>
          <w:szCs w:val="24"/>
        </w:rPr>
        <w:t>m</w:t>
      </w:r>
      <w:r w:rsidRPr="0094469E">
        <w:rPr>
          <w:rFonts w:ascii="Times New Roman" w:hAnsi="Times New Roman" w:cs="Times New Roman"/>
          <w:i/>
          <w:sz w:val="24"/>
          <w:szCs w:val="24"/>
        </w:rPr>
        <w:t>ethods</w:t>
      </w:r>
      <w:r w:rsidRPr="0094469E">
        <w:rPr>
          <w:rFonts w:ascii="Times New Roman" w:hAnsi="Times New Roman" w:cs="Times New Roman"/>
          <w:sz w:val="24"/>
          <w:szCs w:val="24"/>
        </w:rPr>
        <w:t>, 232-238.</w:t>
      </w:r>
      <w:bookmarkEnd w:id="689"/>
    </w:p>
    <w:p w14:paraId="2354F488" w14:textId="7B1832E0" w:rsidR="0094469E" w:rsidRPr="0094469E" w:rsidRDefault="0094469E" w:rsidP="0094469E">
      <w:pPr>
        <w:pStyle w:val="EndNoteBibliography"/>
        <w:spacing w:line="360" w:lineRule="auto"/>
        <w:rPr>
          <w:rFonts w:ascii="Times New Roman" w:hAnsi="Times New Roman" w:cs="Times New Roman"/>
          <w:sz w:val="24"/>
          <w:szCs w:val="24"/>
        </w:rPr>
      </w:pPr>
      <w:bookmarkStart w:id="690" w:name="_ENREF_183"/>
      <w:r w:rsidRPr="0094469E">
        <w:rPr>
          <w:rFonts w:ascii="Times New Roman" w:hAnsi="Times New Roman" w:cs="Times New Roman"/>
          <w:sz w:val="24"/>
          <w:szCs w:val="24"/>
        </w:rPr>
        <w:t xml:space="preserve">Hatala, R., Cook, D. A., Zendejas, B., Hamstra, S. J., and Brydges, R. (2014). Feedback for simulation-based procedural skills training: a meta-analysis and critical narrative synthesis.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19</w:t>
      </w:r>
      <w:r w:rsidRPr="0094469E">
        <w:rPr>
          <w:rFonts w:ascii="Times New Roman" w:hAnsi="Times New Roman" w:cs="Times New Roman"/>
          <w:sz w:val="24"/>
          <w:szCs w:val="24"/>
        </w:rPr>
        <w:t>(2), 251-272.</w:t>
      </w:r>
      <w:bookmarkEnd w:id="690"/>
    </w:p>
    <w:p w14:paraId="677FA07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1" w:name="_ENREF_184"/>
      <w:r w:rsidRPr="0094469E">
        <w:rPr>
          <w:rFonts w:ascii="Times New Roman" w:hAnsi="Times New Roman" w:cs="Times New Roman"/>
          <w:sz w:val="24"/>
          <w:szCs w:val="24"/>
        </w:rPr>
        <w:t xml:space="preserve">Hattie, J., and Timperley, H. (2007). The power of feedback. </w:t>
      </w:r>
      <w:r w:rsidRPr="0094469E">
        <w:rPr>
          <w:rFonts w:ascii="Times New Roman" w:hAnsi="Times New Roman" w:cs="Times New Roman"/>
          <w:i/>
          <w:sz w:val="24"/>
          <w:szCs w:val="24"/>
        </w:rPr>
        <w:t xml:space="preserve">Review of educational research, </w:t>
      </w:r>
      <w:r w:rsidRPr="0094469E">
        <w:rPr>
          <w:rFonts w:ascii="Times New Roman" w:hAnsi="Times New Roman" w:cs="Times New Roman"/>
          <w:b/>
          <w:sz w:val="24"/>
          <w:szCs w:val="24"/>
        </w:rPr>
        <w:t>77</w:t>
      </w:r>
      <w:r w:rsidRPr="0094469E">
        <w:rPr>
          <w:rFonts w:ascii="Times New Roman" w:hAnsi="Times New Roman" w:cs="Times New Roman"/>
          <w:sz w:val="24"/>
          <w:szCs w:val="24"/>
        </w:rPr>
        <w:t>(1), 81-112.</w:t>
      </w:r>
      <w:bookmarkEnd w:id="691"/>
    </w:p>
    <w:p w14:paraId="24D1F7E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2" w:name="_ENREF_185"/>
      <w:r w:rsidRPr="0094469E">
        <w:rPr>
          <w:rFonts w:ascii="Times New Roman" w:hAnsi="Times New Roman" w:cs="Times New Roman"/>
          <w:sz w:val="24"/>
          <w:szCs w:val="24"/>
        </w:rPr>
        <w:t xml:space="preserve">Hauer, K. E., Hirsh, D., Ma, I., Hansen, L., Ogur, B., Poncelet, A. N., Alexander, E. K., and O’Brien, B. C. (2012). The role of role: learning in longitudinal integrated and traditional block clerkships.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46</w:t>
      </w:r>
      <w:r w:rsidRPr="0094469E">
        <w:rPr>
          <w:rFonts w:ascii="Times New Roman" w:hAnsi="Times New Roman" w:cs="Times New Roman"/>
          <w:sz w:val="24"/>
          <w:szCs w:val="24"/>
        </w:rPr>
        <w:t>(7), 698-710.</w:t>
      </w:r>
      <w:bookmarkEnd w:id="692"/>
    </w:p>
    <w:p w14:paraId="216C4380" w14:textId="6A64BD99" w:rsidR="0094469E" w:rsidRPr="0094469E" w:rsidRDefault="0094469E" w:rsidP="0094469E">
      <w:pPr>
        <w:pStyle w:val="EndNoteBibliography"/>
        <w:spacing w:line="360" w:lineRule="auto"/>
        <w:rPr>
          <w:rFonts w:ascii="Times New Roman" w:hAnsi="Times New Roman" w:cs="Times New Roman"/>
          <w:sz w:val="24"/>
          <w:szCs w:val="24"/>
        </w:rPr>
      </w:pPr>
      <w:bookmarkStart w:id="693" w:name="_ENREF_186"/>
      <w:r w:rsidRPr="0094469E">
        <w:rPr>
          <w:rFonts w:ascii="Times New Roman" w:hAnsi="Times New Roman" w:cs="Times New Roman"/>
          <w:sz w:val="24"/>
          <w:szCs w:val="24"/>
        </w:rPr>
        <w:t xml:space="preserve">Hicks, L. K., Lin, Y., Robertson, D. W., Robinson, D. L., and Woodrow, S. I. (2001). Understanding the clinical dilemmas that shape medical students' ethical development: questionnaire survey and focus group study.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322</w:t>
      </w:r>
      <w:r w:rsidRPr="0094469E">
        <w:rPr>
          <w:rFonts w:ascii="Times New Roman" w:hAnsi="Times New Roman" w:cs="Times New Roman"/>
          <w:sz w:val="24"/>
          <w:szCs w:val="24"/>
        </w:rPr>
        <w:t>(7288), 709-710.</w:t>
      </w:r>
      <w:bookmarkEnd w:id="693"/>
    </w:p>
    <w:p w14:paraId="2F6D727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4" w:name="_ENREF_187"/>
      <w:r w:rsidRPr="0094469E">
        <w:rPr>
          <w:rFonts w:ascii="Times New Roman" w:hAnsi="Times New Roman" w:cs="Times New Roman"/>
          <w:sz w:val="24"/>
          <w:szCs w:val="24"/>
        </w:rPr>
        <w:t xml:space="preserve">Higgins, E. T. (1997). Beyond pleasure and pain. </w:t>
      </w:r>
      <w:r w:rsidRPr="0094469E">
        <w:rPr>
          <w:rFonts w:ascii="Times New Roman" w:hAnsi="Times New Roman" w:cs="Times New Roman"/>
          <w:i/>
          <w:sz w:val="24"/>
          <w:szCs w:val="24"/>
        </w:rPr>
        <w:t xml:space="preserve">American psychologist, </w:t>
      </w:r>
      <w:r w:rsidRPr="0094469E">
        <w:rPr>
          <w:rFonts w:ascii="Times New Roman" w:hAnsi="Times New Roman" w:cs="Times New Roman"/>
          <w:b/>
          <w:sz w:val="24"/>
          <w:szCs w:val="24"/>
        </w:rPr>
        <w:t>52</w:t>
      </w:r>
      <w:r w:rsidRPr="0094469E">
        <w:rPr>
          <w:rFonts w:ascii="Times New Roman" w:hAnsi="Times New Roman" w:cs="Times New Roman"/>
          <w:sz w:val="24"/>
          <w:szCs w:val="24"/>
        </w:rPr>
        <w:t>(12), 1280.</w:t>
      </w:r>
      <w:bookmarkEnd w:id="694"/>
    </w:p>
    <w:p w14:paraId="7B1C2BB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5" w:name="_ENREF_188"/>
      <w:r w:rsidRPr="0094469E">
        <w:rPr>
          <w:rFonts w:ascii="Times New Roman" w:hAnsi="Times New Roman" w:cs="Times New Roman"/>
          <w:sz w:val="24"/>
          <w:szCs w:val="24"/>
        </w:rPr>
        <w:t xml:space="preserve">Higgins, R., Hartley, P., and Skelton, A. (2001). Getting the message across: the problem of communicating assessment feedback. </w:t>
      </w:r>
      <w:r w:rsidRPr="0094469E">
        <w:rPr>
          <w:rFonts w:ascii="Times New Roman" w:hAnsi="Times New Roman" w:cs="Times New Roman"/>
          <w:i/>
          <w:sz w:val="24"/>
          <w:szCs w:val="24"/>
        </w:rPr>
        <w:t xml:space="preserve">Teaching in higher education, </w:t>
      </w:r>
      <w:r w:rsidRPr="0094469E">
        <w:rPr>
          <w:rFonts w:ascii="Times New Roman" w:hAnsi="Times New Roman" w:cs="Times New Roman"/>
          <w:b/>
          <w:sz w:val="24"/>
          <w:szCs w:val="24"/>
        </w:rPr>
        <w:t>6</w:t>
      </w:r>
      <w:r w:rsidRPr="0094469E">
        <w:rPr>
          <w:rFonts w:ascii="Times New Roman" w:hAnsi="Times New Roman" w:cs="Times New Roman"/>
          <w:sz w:val="24"/>
          <w:szCs w:val="24"/>
        </w:rPr>
        <w:t>(2), 269-274.</w:t>
      </w:r>
      <w:bookmarkEnd w:id="695"/>
    </w:p>
    <w:p w14:paraId="4E11BC3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6" w:name="_ENREF_189"/>
      <w:r w:rsidRPr="0094469E">
        <w:rPr>
          <w:rFonts w:ascii="Times New Roman" w:hAnsi="Times New Roman" w:cs="Times New Roman"/>
          <w:sz w:val="24"/>
          <w:szCs w:val="24"/>
        </w:rPr>
        <w:t xml:space="preserve">Hirsh, D. A., Ogur, B., Thibault, G. E., and Cox, M. (2007). " Continuity" as an Organizing Principle for Clinical Education ReformMedical Education. </w:t>
      </w:r>
      <w:r w:rsidRPr="0094469E">
        <w:rPr>
          <w:rFonts w:ascii="Times New Roman" w:hAnsi="Times New Roman" w:cs="Times New Roman"/>
          <w:i/>
          <w:sz w:val="24"/>
          <w:szCs w:val="24"/>
        </w:rPr>
        <w:t xml:space="preserve">The New England journal of medicine, </w:t>
      </w:r>
      <w:r w:rsidRPr="0094469E">
        <w:rPr>
          <w:rFonts w:ascii="Times New Roman" w:hAnsi="Times New Roman" w:cs="Times New Roman"/>
          <w:b/>
          <w:sz w:val="24"/>
          <w:szCs w:val="24"/>
        </w:rPr>
        <w:t>356</w:t>
      </w:r>
      <w:r w:rsidRPr="0094469E">
        <w:rPr>
          <w:rFonts w:ascii="Times New Roman" w:hAnsi="Times New Roman" w:cs="Times New Roman"/>
          <w:sz w:val="24"/>
          <w:szCs w:val="24"/>
        </w:rPr>
        <w:t>(8), 858.</w:t>
      </w:r>
      <w:bookmarkEnd w:id="696"/>
    </w:p>
    <w:p w14:paraId="7882859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7" w:name="_ENREF_190"/>
      <w:r w:rsidRPr="0094469E">
        <w:rPr>
          <w:rFonts w:ascii="Times New Roman" w:hAnsi="Times New Roman" w:cs="Times New Roman"/>
          <w:sz w:val="24"/>
          <w:szCs w:val="24"/>
        </w:rPr>
        <w:lastRenderedPageBreak/>
        <w:t>Hoepfl, M. C. (1997). Choosing qualitative research: A primer for technology education researchers.</w:t>
      </w:r>
      <w:bookmarkEnd w:id="697"/>
    </w:p>
    <w:p w14:paraId="713CAAC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8" w:name="_ENREF_191"/>
      <w:r w:rsidRPr="0094469E">
        <w:rPr>
          <w:rFonts w:ascii="Times New Roman" w:hAnsi="Times New Roman" w:cs="Times New Roman"/>
          <w:sz w:val="24"/>
          <w:szCs w:val="24"/>
        </w:rPr>
        <w:t xml:space="preserve">Hojat, M., Gonnella, J. S., Mangione, S., Nasca, T. J., Veloski, J. J., Erdmann, J. B., Callahan, C. A., and Magee, M. (2002). Empathy in medical students as related to academic performance, clinical competence and gender.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36</w:t>
      </w:r>
      <w:r w:rsidRPr="0094469E">
        <w:rPr>
          <w:rFonts w:ascii="Times New Roman" w:hAnsi="Times New Roman" w:cs="Times New Roman"/>
          <w:sz w:val="24"/>
          <w:szCs w:val="24"/>
        </w:rPr>
        <w:t>(6), 522-527.</w:t>
      </w:r>
      <w:bookmarkEnd w:id="698"/>
    </w:p>
    <w:p w14:paraId="4E92C3F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699" w:name="_ENREF_192"/>
      <w:r w:rsidRPr="0094469E">
        <w:rPr>
          <w:rFonts w:ascii="Times New Roman" w:hAnsi="Times New Roman" w:cs="Times New Roman"/>
          <w:sz w:val="24"/>
          <w:szCs w:val="24"/>
        </w:rPr>
        <w:t xml:space="preserve">Holmboe, E., Ginsburg, S., and Bernabeo, E. (2011). The rotational approach to medical education: time to confront our assumptions?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45</w:t>
      </w:r>
      <w:r w:rsidRPr="0094469E">
        <w:rPr>
          <w:rFonts w:ascii="Times New Roman" w:hAnsi="Times New Roman" w:cs="Times New Roman"/>
          <w:sz w:val="24"/>
          <w:szCs w:val="24"/>
        </w:rPr>
        <w:t>(1), 69-80.</w:t>
      </w:r>
      <w:bookmarkEnd w:id="699"/>
    </w:p>
    <w:p w14:paraId="32F0BDD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00" w:name="_ENREF_193"/>
      <w:r w:rsidRPr="0094469E">
        <w:rPr>
          <w:rFonts w:ascii="Times New Roman" w:hAnsi="Times New Roman" w:cs="Times New Roman"/>
          <w:sz w:val="24"/>
          <w:szCs w:val="24"/>
        </w:rPr>
        <w:t xml:space="preserve">Horvath, A. O., and Greenberg, L. S. (1989). Development and validation of the Working Alliance Inventory. </w:t>
      </w:r>
      <w:r w:rsidRPr="0094469E">
        <w:rPr>
          <w:rFonts w:ascii="Times New Roman" w:hAnsi="Times New Roman" w:cs="Times New Roman"/>
          <w:i/>
          <w:sz w:val="24"/>
          <w:szCs w:val="24"/>
        </w:rPr>
        <w:t xml:space="preserve">Journal of counseling psychology, </w:t>
      </w:r>
      <w:r w:rsidRPr="0094469E">
        <w:rPr>
          <w:rFonts w:ascii="Times New Roman" w:hAnsi="Times New Roman" w:cs="Times New Roman"/>
          <w:b/>
          <w:sz w:val="24"/>
          <w:szCs w:val="24"/>
        </w:rPr>
        <w:t>36</w:t>
      </w:r>
      <w:r w:rsidRPr="0094469E">
        <w:rPr>
          <w:rFonts w:ascii="Times New Roman" w:hAnsi="Times New Roman" w:cs="Times New Roman"/>
          <w:sz w:val="24"/>
          <w:szCs w:val="24"/>
        </w:rPr>
        <w:t>(2), 223.</w:t>
      </w:r>
      <w:bookmarkEnd w:id="700"/>
    </w:p>
    <w:p w14:paraId="66414BEA" w14:textId="35CA8B19" w:rsidR="0094469E" w:rsidRPr="0094469E" w:rsidRDefault="0094469E" w:rsidP="0094469E">
      <w:pPr>
        <w:pStyle w:val="EndNoteBibliography"/>
        <w:spacing w:line="360" w:lineRule="auto"/>
        <w:rPr>
          <w:rFonts w:ascii="Times New Roman" w:hAnsi="Times New Roman" w:cs="Times New Roman"/>
          <w:sz w:val="24"/>
          <w:szCs w:val="24"/>
        </w:rPr>
      </w:pPr>
      <w:bookmarkStart w:id="701" w:name="_ENREF_194"/>
      <w:r w:rsidRPr="0094469E">
        <w:rPr>
          <w:rFonts w:ascii="Times New Roman" w:hAnsi="Times New Roman" w:cs="Times New Roman"/>
          <w:sz w:val="24"/>
          <w:szCs w:val="24"/>
        </w:rPr>
        <w:t xml:space="preserve">Hounsell, D., McCune, V., Hounsell, J., and Litjens, J. (2008). The quality of guidance and feedback to students. </w:t>
      </w:r>
      <w:r w:rsidRPr="0094469E">
        <w:rPr>
          <w:rFonts w:ascii="Times New Roman" w:hAnsi="Times New Roman" w:cs="Times New Roman"/>
          <w:i/>
          <w:sz w:val="24"/>
          <w:szCs w:val="24"/>
        </w:rPr>
        <w:t xml:space="preserve">Higher education research </w:t>
      </w:r>
      <w:r w:rsidR="00C71126">
        <w:rPr>
          <w:rFonts w:ascii="Times New Roman" w:hAnsi="Times New Roman" w:cs="Times New Roman"/>
          <w:i/>
          <w:sz w:val="24"/>
          <w:szCs w:val="24"/>
        </w:rPr>
        <w:t>and</w:t>
      </w:r>
      <w:r w:rsidRPr="0094469E">
        <w:rPr>
          <w:rFonts w:ascii="Times New Roman" w:hAnsi="Times New Roman" w:cs="Times New Roman"/>
          <w:i/>
          <w:sz w:val="24"/>
          <w:szCs w:val="24"/>
        </w:rPr>
        <w:t xml:space="preserve"> development, </w:t>
      </w:r>
      <w:r w:rsidRPr="0094469E">
        <w:rPr>
          <w:rFonts w:ascii="Times New Roman" w:hAnsi="Times New Roman" w:cs="Times New Roman"/>
          <w:b/>
          <w:sz w:val="24"/>
          <w:szCs w:val="24"/>
        </w:rPr>
        <w:t>27</w:t>
      </w:r>
      <w:r w:rsidRPr="0094469E">
        <w:rPr>
          <w:rFonts w:ascii="Times New Roman" w:hAnsi="Times New Roman" w:cs="Times New Roman"/>
          <w:sz w:val="24"/>
          <w:szCs w:val="24"/>
        </w:rPr>
        <w:t>(1), 55-67.</w:t>
      </w:r>
      <w:bookmarkEnd w:id="701"/>
    </w:p>
    <w:p w14:paraId="0E4CD4F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02" w:name="_ENREF_195"/>
      <w:r w:rsidRPr="0094469E">
        <w:rPr>
          <w:rFonts w:ascii="Times New Roman" w:hAnsi="Times New Roman" w:cs="Times New Roman"/>
          <w:sz w:val="24"/>
          <w:szCs w:val="24"/>
        </w:rPr>
        <w:t xml:space="preserve">Huang, C. (2009). Magnitude of task-sampling variability in performance assessment: A meta-analysis. </w:t>
      </w:r>
      <w:r w:rsidRPr="0094469E">
        <w:rPr>
          <w:rFonts w:ascii="Times New Roman" w:hAnsi="Times New Roman" w:cs="Times New Roman"/>
          <w:i/>
          <w:sz w:val="24"/>
          <w:szCs w:val="24"/>
        </w:rPr>
        <w:t xml:space="preserve">Educational and psychological measurement, </w:t>
      </w:r>
      <w:r w:rsidRPr="0094469E">
        <w:rPr>
          <w:rFonts w:ascii="Times New Roman" w:hAnsi="Times New Roman" w:cs="Times New Roman"/>
          <w:b/>
          <w:sz w:val="24"/>
          <w:szCs w:val="24"/>
        </w:rPr>
        <w:t>69</w:t>
      </w:r>
      <w:r w:rsidRPr="0094469E">
        <w:rPr>
          <w:rFonts w:ascii="Times New Roman" w:hAnsi="Times New Roman" w:cs="Times New Roman"/>
          <w:sz w:val="24"/>
          <w:szCs w:val="24"/>
        </w:rPr>
        <w:t>(6), 887-912.</w:t>
      </w:r>
      <w:bookmarkEnd w:id="702"/>
    </w:p>
    <w:p w14:paraId="08517BD3" w14:textId="5A1955E5" w:rsidR="0094469E" w:rsidRPr="0094469E" w:rsidRDefault="0094469E" w:rsidP="0094469E">
      <w:pPr>
        <w:pStyle w:val="EndNoteBibliography"/>
        <w:spacing w:line="360" w:lineRule="auto"/>
        <w:rPr>
          <w:rFonts w:ascii="Times New Roman" w:hAnsi="Times New Roman" w:cs="Times New Roman"/>
          <w:sz w:val="24"/>
          <w:szCs w:val="24"/>
        </w:rPr>
      </w:pPr>
      <w:bookmarkStart w:id="703" w:name="_ENREF_196"/>
      <w:r w:rsidRPr="0094469E">
        <w:rPr>
          <w:rFonts w:ascii="Times New Roman" w:hAnsi="Times New Roman" w:cs="Times New Roman"/>
          <w:sz w:val="24"/>
          <w:szCs w:val="24"/>
        </w:rPr>
        <w:t xml:space="preserve">Hutchinson, L. (1999). Evaluating and researching the effectiveness of educational interventions.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British </w:t>
      </w:r>
      <w:r w:rsidR="00C71126">
        <w:rPr>
          <w:rFonts w:ascii="Times New Roman" w:hAnsi="Times New Roman" w:cs="Times New Roman"/>
          <w:i/>
          <w:sz w:val="24"/>
          <w:szCs w:val="24"/>
        </w:rPr>
        <w:t>m</w:t>
      </w:r>
      <w:r w:rsidRPr="0094469E">
        <w:rPr>
          <w:rFonts w:ascii="Times New Roman" w:hAnsi="Times New Roman" w:cs="Times New Roman"/>
          <w:i/>
          <w:sz w:val="24"/>
          <w:szCs w:val="24"/>
        </w:rPr>
        <w:t xml:space="preserve">edical </w:t>
      </w:r>
      <w:r w:rsidR="00C71126">
        <w:rPr>
          <w:rFonts w:ascii="Times New Roman" w:hAnsi="Times New Roman" w:cs="Times New Roman"/>
          <w:i/>
          <w:sz w:val="24"/>
          <w:szCs w:val="24"/>
        </w:rPr>
        <w:t>j</w:t>
      </w:r>
      <w:r w:rsidRPr="0094469E">
        <w:rPr>
          <w:rFonts w:ascii="Times New Roman" w:hAnsi="Times New Roman" w:cs="Times New Roman"/>
          <w:i/>
          <w:sz w:val="24"/>
          <w:szCs w:val="24"/>
        </w:rPr>
        <w:t xml:space="preserve">ournal, </w:t>
      </w:r>
      <w:r w:rsidRPr="0094469E">
        <w:rPr>
          <w:rFonts w:ascii="Times New Roman" w:hAnsi="Times New Roman" w:cs="Times New Roman"/>
          <w:b/>
          <w:sz w:val="24"/>
          <w:szCs w:val="24"/>
        </w:rPr>
        <w:t>318</w:t>
      </w:r>
      <w:r w:rsidRPr="0094469E">
        <w:rPr>
          <w:rFonts w:ascii="Times New Roman" w:hAnsi="Times New Roman" w:cs="Times New Roman"/>
          <w:sz w:val="24"/>
          <w:szCs w:val="24"/>
        </w:rPr>
        <w:t>(7193), 1267.</w:t>
      </w:r>
      <w:bookmarkEnd w:id="703"/>
    </w:p>
    <w:p w14:paraId="00B63377" w14:textId="200932E4" w:rsidR="0094469E" w:rsidRPr="0094469E" w:rsidRDefault="0094469E" w:rsidP="0094469E">
      <w:pPr>
        <w:pStyle w:val="EndNoteBibliography"/>
        <w:spacing w:line="360" w:lineRule="auto"/>
        <w:rPr>
          <w:rFonts w:ascii="Times New Roman" w:hAnsi="Times New Roman" w:cs="Times New Roman"/>
          <w:sz w:val="24"/>
          <w:szCs w:val="24"/>
        </w:rPr>
      </w:pPr>
      <w:bookmarkStart w:id="704" w:name="_ENREF_197"/>
      <w:r w:rsidRPr="0094469E">
        <w:rPr>
          <w:rFonts w:ascii="Times New Roman" w:hAnsi="Times New Roman" w:cs="Times New Roman"/>
          <w:sz w:val="24"/>
          <w:szCs w:val="24"/>
        </w:rPr>
        <w:t xml:space="preserve">Huxham, M. (2007). Fast and effective feedback: are model answers the answer? </w:t>
      </w:r>
      <w:r w:rsidRPr="0094469E">
        <w:rPr>
          <w:rFonts w:ascii="Times New Roman" w:hAnsi="Times New Roman" w:cs="Times New Roman"/>
          <w:i/>
          <w:sz w:val="24"/>
          <w:szCs w:val="24"/>
        </w:rPr>
        <w:t xml:space="preserve">Assessment </w:t>
      </w:r>
      <w:r w:rsidR="00C71126">
        <w:rPr>
          <w:rFonts w:ascii="Times New Roman" w:hAnsi="Times New Roman" w:cs="Times New Roman"/>
          <w:i/>
          <w:sz w:val="24"/>
          <w:szCs w:val="24"/>
        </w:rPr>
        <w:t>and</w:t>
      </w:r>
      <w:r w:rsidRPr="0094469E">
        <w:rPr>
          <w:rFonts w:ascii="Times New Roman" w:hAnsi="Times New Roman" w:cs="Times New Roman"/>
          <w:i/>
          <w:sz w:val="24"/>
          <w:szCs w:val="24"/>
        </w:rPr>
        <w:t xml:space="preserve"> </w:t>
      </w:r>
      <w:r w:rsidR="00C71126">
        <w:rPr>
          <w:rFonts w:ascii="Times New Roman" w:hAnsi="Times New Roman" w:cs="Times New Roman"/>
          <w:i/>
          <w:sz w:val="24"/>
          <w:szCs w:val="24"/>
        </w:rPr>
        <w:t>e</w:t>
      </w:r>
      <w:r w:rsidRPr="0094469E">
        <w:rPr>
          <w:rFonts w:ascii="Times New Roman" w:hAnsi="Times New Roman" w:cs="Times New Roman"/>
          <w:i/>
          <w:sz w:val="24"/>
          <w:szCs w:val="24"/>
        </w:rPr>
        <w:t xml:space="preserve">valuation in </w:t>
      </w:r>
      <w:r w:rsidR="00C71126">
        <w:rPr>
          <w:rFonts w:ascii="Times New Roman" w:hAnsi="Times New Roman" w:cs="Times New Roman"/>
          <w:i/>
          <w:sz w:val="24"/>
          <w:szCs w:val="24"/>
        </w:rPr>
        <w:t>h</w:t>
      </w:r>
      <w:r w:rsidRPr="0094469E">
        <w:rPr>
          <w:rFonts w:ascii="Times New Roman" w:hAnsi="Times New Roman" w:cs="Times New Roman"/>
          <w:i/>
          <w:sz w:val="24"/>
          <w:szCs w:val="24"/>
        </w:rPr>
        <w:t xml:space="preserve">igher </w:t>
      </w:r>
      <w:r w:rsidR="00C71126">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Pr="0094469E">
        <w:rPr>
          <w:rFonts w:ascii="Times New Roman" w:hAnsi="Times New Roman" w:cs="Times New Roman"/>
          <w:b/>
          <w:sz w:val="24"/>
          <w:szCs w:val="24"/>
        </w:rPr>
        <w:t>32</w:t>
      </w:r>
      <w:r w:rsidRPr="0094469E">
        <w:rPr>
          <w:rFonts w:ascii="Times New Roman" w:hAnsi="Times New Roman" w:cs="Times New Roman"/>
          <w:sz w:val="24"/>
          <w:szCs w:val="24"/>
        </w:rPr>
        <w:t>(6), 601-611.</w:t>
      </w:r>
      <w:bookmarkEnd w:id="704"/>
    </w:p>
    <w:p w14:paraId="1E9CE94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05" w:name="_ENREF_198"/>
      <w:r w:rsidRPr="0094469E">
        <w:rPr>
          <w:rFonts w:ascii="Times New Roman" w:hAnsi="Times New Roman" w:cs="Times New Roman"/>
          <w:sz w:val="24"/>
          <w:szCs w:val="24"/>
        </w:rPr>
        <w:t xml:space="preserve">Huynh, H., and Feldt, L. S. (1976). Estimation of the Box correction for degrees of freedom from sample data in randomized block and split-plot designs. </w:t>
      </w:r>
      <w:r w:rsidRPr="0094469E">
        <w:rPr>
          <w:rFonts w:ascii="Times New Roman" w:hAnsi="Times New Roman" w:cs="Times New Roman"/>
          <w:i/>
          <w:sz w:val="24"/>
          <w:szCs w:val="24"/>
        </w:rPr>
        <w:t xml:space="preserve">Journal of educational statistics, </w:t>
      </w:r>
      <w:r w:rsidRPr="0094469E">
        <w:rPr>
          <w:rFonts w:ascii="Times New Roman" w:hAnsi="Times New Roman" w:cs="Times New Roman"/>
          <w:b/>
          <w:sz w:val="24"/>
          <w:szCs w:val="24"/>
        </w:rPr>
        <w:t>1</w:t>
      </w:r>
      <w:r w:rsidRPr="0094469E">
        <w:rPr>
          <w:rFonts w:ascii="Times New Roman" w:hAnsi="Times New Roman" w:cs="Times New Roman"/>
          <w:sz w:val="24"/>
          <w:szCs w:val="24"/>
        </w:rPr>
        <w:t>(1), 69-82.</w:t>
      </w:r>
      <w:bookmarkEnd w:id="705"/>
    </w:p>
    <w:p w14:paraId="173CA6FB" w14:textId="1BF22860" w:rsidR="0094469E" w:rsidRPr="0094469E" w:rsidRDefault="0094469E" w:rsidP="0094469E">
      <w:pPr>
        <w:pStyle w:val="EndNoteBibliography"/>
        <w:spacing w:line="360" w:lineRule="auto"/>
        <w:rPr>
          <w:rFonts w:ascii="Times New Roman" w:hAnsi="Times New Roman" w:cs="Times New Roman"/>
          <w:sz w:val="24"/>
          <w:szCs w:val="24"/>
        </w:rPr>
      </w:pPr>
      <w:bookmarkStart w:id="706" w:name="_ENREF_199"/>
      <w:r w:rsidRPr="0094469E">
        <w:rPr>
          <w:rFonts w:ascii="Times New Roman" w:hAnsi="Times New Roman" w:cs="Times New Roman"/>
          <w:sz w:val="24"/>
          <w:szCs w:val="24"/>
        </w:rPr>
        <w:t xml:space="preserve">Irby, D. M. (1994). What clinical teachers in medicine need to know.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69</w:t>
      </w:r>
      <w:r w:rsidRPr="0094469E">
        <w:rPr>
          <w:rFonts w:ascii="Times New Roman" w:hAnsi="Times New Roman" w:cs="Times New Roman"/>
          <w:sz w:val="24"/>
          <w:szCs w:val="24"/>
        </w:rPr>
        <w:t>(5), 333-342.</w:t>
      </w:r>
      <w:bookmarkEnd w:id="706"/>
    </w:p>
    <w:p w14:paraId="5598D29F" w14:textId="3403B2A8" w:rsidR="0094469E" w:rsidRPr="0094469E" w:rsidRDefault="0094469E" w:rsidP="0094469E">
      <w:pPr>
        <w:pStyle w:val="EndNoteBibliography"/>
        <w:spacing w:line="360" w:lineRule="auto"/>
        <w:rPr>
          <w:rFonts w:ascii="Times New Roman" w:hAnsi="Times New Roman" w:cs="Times New Roman"/>
          <w:sz w:val="24"/>
          <w:szCs w:val="24"/>
        </w:rPr>
      </w:pPr>
      <w:bookmarkStart w:id="707" w:name="_ENREF_200"/>
      <w:r w:rsidRPr="0094469E">
        <w:rPr>
          <w:rFonts w:ascii="Times New Roman" w:hAnsi="Times New Roman" w:cs="Times New Roman"/>
          <w:sz w:val="24"/>
          <w:szCs w:val="24"/>
        </w:rPr>
        <w:t xml:space="preserve">Irby, D. M. (1995). Teaching and learning in ambulatory care settings: a thematic review of the literature.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70</w:t>
      </w:r>
      <w:r w:rsidRPr="0094469E">
        <w:rPr>
          <w:rFonts w:ascii="Times New Roman" w:hAnsi="Times New Roman" w:cs="Times New Roman"/>
          <w:sz w:val="24"/>
          <w:szCs w:val="24"/>
        </w:rPr>
        <w:t>(10), 898-931.</w:t>
      </w:r>
      <w:bookmarkEnd w:id="707"/>
    </w:p>
    <w:p w14:paraId="1A48D66A" w14:textId="0CE9B153" w:rsidR="0094469E" w:rsidRPr="0094469E" w:rsidRDefault="0094469E" w:rsidP="0094469E">
      <w:pPr>
        <w:pStyle w:val="EndNoteBibliography"/>
        <w:spacing w:line="360" w:lineRule="auto"/>
        <w:rPr>
          <w:rFonts w:ascii="Times New Roman" w:hAnsi="Times New Roman" w:cs="Times New Roman"/>
          <w:sz w:val="24"/>
          <w:szCs w:val="24"/>
        </w:rPr>
      </w:pPr>
      <w:bookmarkStart w:id="708" w:name="_ENREF_201"/>
      <w:r w:rsidRPr="0094469E">
        <w:rPr>
          <w:rFonts w:ascii="Times New Roman" w:hAnsi="Times New Roman" w:cs="Times New Roman"/>
          <w:sz w:val="24"/>
          <w:szCs w:val="24"/>
        </w:rPr>
        <w:t xml:space="preserve">Ivankova, N. V., Creswell, J. W., and Stick, S. L. (2006). Using mixed-methods sequential explanatory design: From theory to practice. </w:t>
      </w:r>
      <w:r w:rsidRPr="0094469E">
        <w:rPr>
          <w:rFonts w:ascii="Times New Roman" w:hAnsi="Times New Roman" w:cs="Times New Roman"/>
          <w:i/>
          <w:sz w:val="24"/>
          <w:szCs w:val="24"/>
        </w:rPr>
        <w:t xml:space="preserve">Field </w:t>
      </w:r>
      <w:r w:rsidR="00C71126">
        <w:rPr>
          <w:rFonts w:ascii="Times New Roman" w:hAnsi="Times New Roman" w:cs="Times New Roman"/>
          <w:i/>
          <w:sz w:val="24"/>
          <w:szCs w:val="24"/>
        </w:rPr>
        <w:t>m</w:t>
      </w:r>
      <w:r w:rsidRPr="0094469E">
        <w:rPr>
          <w:rFonts w:ascii="Times New Roman" w:hAnsi="Times New Roman" w:cs="Times New Roman"/>
          <w:i/>
          <w:sz w:val="24"/>
          <w:szCs w:val="24"/>
        </w:rPr>
        <w:t xml:space="preserve">ethods, </w:t>
      </w:r>
      <w:r w:rsidRPr="0094469E">
        <w:rPr>
          <w:rFonts w:ascii="Times New Roman" w:hAnsi="Times New Roman" w:cs="Times New Roman"/>
          <w:b/>
          <w:sz w:val="24"/>
          <w:szCs w:val="24"/>
        </w:rPr>
        <w:t>18</w:t>
      </w:r>
      <w:r w:rsidRPr="0094469E">
        <w:rPr>
          <w:rFonts w:ascii="Times New Roman" w:hAnsi="Times New Roman" w:cs="Times New Roman"/>
          <w:sz w:val="24"/>
          <w:szCs w:val="24"/>
        </w:rPr>
        <w:t>(1), 3-20.</w:t>
      </w:r>
      <w:bookmarkEnd w:id="708"/>
    </w:p>
    <w:p w14:paraId="4698B3F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09" w:name="_ENREF_202"/>
      <w:r w:rsidRPr="0094469E">
        <w:rPr>
          <w:rFonts w:ascii="Times New Roman" w:hAnsi="Times New Roman" w:cs="Times New Roman"/>
          <w:sz w:val="24"/>
          <w:szCs w:val="24"/>
        </w:rPr>
        <w:t xml:space="preserve">Jahoda, M., and Zeisel, H. (1974). </w:t>
      </w:r>
      <w:r w:rsidRPr="0094469E">
        <w:rPr>
          <w:rFonts w:ascii="Times New Roman" w:hAnsi="Times New Roman" w:cs="Times New Roman"/>
          <w:i/>
          <w:sz w:val="24"/>
          <w:szCs w:val="24"/>
        </w:rPr>
        <w:t>Marienthal: The sociography of an unemployed community</w:t>
      </w:r>
      <w:r w:rsidRPr="0094469E">
        <w:rPr>
          <w:rFonts w:ascii="Times New Roman" w:hAnsi="Times New Roman" w:cs="Times New Roman"/>
          <w:sz w:val="24"/>
          <w:szCs w:val="24"/>
        </w:rPr>
        <w:t>: Transaction Publishers.</w:t>
      </w:r>
      <w:bookmarkEnd w:id="709"/>
    </w:p>
    <w:p w14:paraId="6BDBEEF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0" w:name="_ENREF_203"/>
      <w:r w:rsidRPr="0094469E">
        <w:rPr>
          <w:rFonts w:ascii="Times New Roman" w:hAnsi="Times New Roman" w:cs="Times New Roman"/>
          <w:sz w:val="24"/>
          <w:szCs w:val="24"/>
        </w:rPr>
        <w:lastRenderedPageBreak/>
        <w:t xml:space="preserve">James, W. (1907). </w:t>
      </w:r>
      <w:r w:rsidRPr="0094469E">
        <w:rPr>
          <w:rFonts w:ascii="Times New Roman" w:hAnsi="Times New Roman" w:cs="Times New Roman"/>
          <w:i/>
          <w:sz w:val="24"/>
          <w:szCs w:val="24"/>
        </w:rPr>
        <w:t>Pragmatism: A new name for some old philosophy, old ways of thinking: Popular Lectures on Philosophy</w:t>
      </w:r>
      <w:r w:rsidRPr="0094469E">
        <w:rPr>
          <w:rFonts w:ascii="Times New Roman" w:hAnsi="Times New Roman" w:cs="Times New Roman"/>
          <w:sz w:val="24"/>
          <w:szCs w:val="24"/>
        </w:rPr>
        <w:t>: Longmans, Green.</w:t>
      </w:r>
      <w:bookmarkEnd w:id="710"/>
    </w:p>
    <w:p w14:paraId="186B683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1" w:name="_ENREF_204"/>
      <w:r w:rsidRPr="0094469E">
        <w:rPr>
          <w:rFonts w:ascii="Times New Roman" w:hAnsi="Times New Roman" w:cs="Times New Roman"/>
          <w:sz w:val="24"/>
          <w:szCs w:val="24"/>
        </w:rPr>
        <w:t xml:space="preserve">James, W. (1995). </w:t>
      </w:r>
      <w:r w:rsidRPr="0094469E">
        <w:rPr>
          <w:rFonts w:ascii="Times New Roman" w:hAnsi="Times New Roman" w:cs="Times New Roman"/>
          <w:i/>
          <w:sz w:val="24"/>
          <w:szCs w:val="24"/>
        </w:rPr>
        <w:t>Pragmatism</w:t>
      </w:r>
      <w:r w:rsidRPr="0094469E">
        <w:rPr>
          <w:rFonts w:ascii="Times New Roman" w:hAnsi="Times New Roman" w:cs="Times New Roman"/>
          <w:sz w:val="24"/>
          <w:szCs w:val="24"/>
        </w:rPr>
        <w:t>: Courier Corporation.</w:t>
      </w:r>
      <w:bookmarkEnd w:id="711"/>
    </w:p>
    <w:p w14:paraId="0009866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2" w:name="_ENREF_205"/>
      <w:r w:rsidRPr="0094469E">
        <w:rPr>
          <w:rFonts w:ascii="Times New Roman" w:hAnsi="Times New Roman" w:cs="Times New Roman"/>
          <w:sz w:val="24"/>
          <w:szCs w:val="24"/>
        </w:rPr>
        <w:t xml:space="preserve">Jennings, S. F. (2007). Personal development plans and self-directed learning for healthcare professionals: are they evidence based? </w:t>
      </w:r>
      <w:r w:rsidRPr="0094469E">
        <w:rPr>
          <w:rFonts w:ascii="Times New Roman" w:hAnsi="Times New Roman" w:cs="Times New Roman"/>
          <w:i/>
          <w:sz w:val="24"/>
          <w:szCs w:val="24"/>
        </w:rPr>
        <w:t xml:space="preserve">Postgraduate medical journal, </w:t>
      </w:r>
      <w:r w:rsidRPr="0094469E">
        <w:rPr>
          <w:rFonts w:ascii="Times New Roman" w:hAnsi="Times New Roman" w:cs="Times New Roman"/>
          <w:b/>
          <w:sz w:val="24"/>
          <w:szCs w:val="24"/>
        </w:rPr>
        <w:t>83</w:t>
      </w:r>
      <w:r w:rsidRPr="0094469E">
        <w:rPr>
          <w:rFonts w:ascii="Times New Roman" w:hAnsi="Times New Roman" w:cs="Times New Roman"/>
          <w:sz w:val="24"/>
          <w:szCs w:val="24"/>
        </w:rPr>
        <w:t>(982), 518-524.</w:t>
      </w:r>
      <w:bookmarkEnd w:id="712"/>
    </w:p>
    <w:p w14:paraId="4B0CE01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3" w:name="_ENREF_206"/>
      <w:r w:rsidRPr="0094469E">
        <w:rPr>
          <w:rFonts w:ascii="Times New Roman" w:hAnsi="Times New Roman" w:cs="Times New Roman"/>
          <w:sz w:val="24"/>
          <w:szCs w:val="24"/>
        </w:rPr>
        <w:t xml:space="preserve">Johnson, R. B., and Onwuegbuzie, A. J. (2004). Mixed methods research: A research paradigm whose time has come. </w:t>
      </w:r>
      <w:r w:rsidRPr="0094469E">
        <w:rPr>
          <w:rFonts w:ascii="Times New Roman" w:hAnsi="Times New Roman" w:cs="Times New Roman"/>
          <w:i/>
          <w:sz w:val="24"/>
          <w:szCs w:val="24"/>
        </w:rPr>
        <w:t xml:space="preserve">Educational researcher, </w:t>
      </w:r>
      <w:r w:rsidRPr="0094469E">
        <w:rPr>
          <w:rFonts w:ascii="Times New Roman" w:hAnsi="Times New Roman" w:cs="Times New Roman"/>
          <w:b/>
          <w:sz w:val="24"/>
          <w:szCs w:val="24"/>
        </w:rPr>
        <w:t>33</w:t>
      </w:r>
      <w:r w:rsidRPr="0094469E">
        <w:rPr>
          <w:rFonts w:ascii="Times New Roman" w:hAnsi="Times New Roman" w:cs="Times New Roman"/>
          <w:sz w:val="24"/>
          <w:szCs w:val="24"/>
        </w:rPr>
        <w:t>(7), 14-26.</w:t>
      </w:r>
      <w:bookmarkEnd w:id="713"/>
    </w:p>
    <w:p w14:paraId="339C1E2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4" w:name="_ENREF_207"/>
      <w:r w:rsidRPr="0094469E">
        <w:rPr>
          <w:rFonts w:ascii="Times New Roman" w:hAnsi="Times New Roman" w:cs="Times New Roman"/>
          <w:sz w:val="24"/>
          <w:szCs w:val="24"/>
        </w:rPr>
        <w:t xml:space="preserve">Johnson, R. B., Onwuegbuzie, A. J., and Turner, L. A. (2007). Toward a definition of mixed methods research. </w:t>
      </w:r>
      <w:r w:rsidRPr="0094469E">
        <w:rPr>
          <w:rFonts w:ascii="Times New Roman" w:hAnsi="Times New Roman" w:cs="Times New Roman"/>
          <w:i/>
          <w:sz w:val="24"/>
          <w:szCs w:val="24"/>
        </w:rPr>
        <w:t xml:space="preserve">Journal of mixed methods research, </w:t>
      </w:r>
      <w:r w:rsidRPr="0094469E">
        <w:rPr>
          <w:rFonts w:ascii="Times New Roman" w:hAnsi="Times New Roman" w:cs="Times New Roman"/>
          <w:b/>
          <w:sz w:val="24"/>
          <w:szCs w:val="24"/>
        </w:rPr>
        <w:t>1</w:t>
      </w:r>
      <w:r w:rsidRPr="0094469E">
        <w:rPr>
          <w:rFonts w:ascii="Times New Roman" w:hAnsi="Times New Roman" w:cs="Times New Roman"/>
          <w:sz w:val="24"/>
          <w:szCs w:val="24"/>
        </w:rPr>
        <w:t>(2), 112-133.</w:t>
      </w:r>
      <w:bookmarkEnd w:id="714"/>
    </w:p>
    <w:p w14:paraId="7C99B86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5" w:name="_ENREF_208"/>
      <w:r w:rsidRPr="0094469E">
        <w:rPr>
          <w:rFonts w:ascii="Times New Roman" w:hAnsi="Times New Roman" w:cs="Times New Roman"/>
          <w:sz w:val="24"/>
          <w:szCs w:val="24"/>
        </w:rPr>
        <w:t xml:space="preserve">Jonsson, A. (2013). Facilitating productive use of feedback in higher education. </w:t>
      </w:r>
      <w:r w:rsidRPr="0094469E">
        <w:rPr>
          <w:rFonts w:ascii="Times New Roman" w:hAnsi="Times New Roman" w:cs="Times New Roman"/>
          <w:i/>
          <w:sz w:val="24"/>
          <w:szCs w:val="24"/>
        </w:rPr>
        <w:t xml:space="preserve">Active learning in higher education, </w:t>
      </w:r>
      <w:r w:rsidRPr="0094469E">
        <w:rPr>
          <w:rFonts w:ascii="Times New Roman" w:hAnsi="Times New Roman" w:cs="Times New Roman"/>
          <w:b/>
          <w:sz w:val="24"/>
          <w:szCs w:val="24"/>
        </w:rPr>
        <w:t>14</w:t>
      </w:r>
      <w:r w:rsidRPr="0094469E">
        <w:rPr>
          <w:rFonts w:ascii="Times New Roman" w:hAnsi="Times New Roman" w:cs="Times New Roman"/>
          <w:sz w:val="24"/>
          <w:szCs w:val="24"/>
        </w:rPr>
        <w:t>(1), 63-76.</w:t>
      </w:r>
      <w:bookmarkEnd w:id="715"/>
    </w:p>
    <w:p w14:paraId="2DFAEEB1" w14:textId="16C2BD5B" w:rsidR="0094469E" w:rsidRPr="0094469E" w:rsidRDefault="0094469E" w:rsidP="0094469E">
      <w:pPr>
        <w:pStyle w:val="EndNoteBibliography"/>
        <w:spacing w:line="360" w:lineRule="auto"/>
        <w:rPr>
          <w:rFonts w:ascii="Times New Roman" w:hAnsi="Times New Roman" w:cs="Times New Roman"/>
          <w:sz w:val="24"/>
          <w:szCs w:val="24"/>
        </w:rPr>
      </w:pPr>
      <w:bookmarkStart w:id="716" w:name="_ENREF_209"/>
      <w:r w:rsidRPr="0094469E">
        <w:rPr>
          <w:rFonts w:ascii="Times New Roman" w:hAnsi="Times New Roman" w:cs="Times New Roman"/>
          <w:sz w:val="24"/>
          <w:szCs w:val="24"/>
        </w:rPr>
        <w:t xml:space="preserve">Kahneman, D., Kreuger, A. B., and Schkade, D. A. (2013). The Day Reconstruction Method (DRC). Measurement Instrument Database for the Social Science. Retrieved from </w:t>
      </w:r>
      <w:hyperlink r:id="rId61" w:history="1">
        <w:r w:rsidRPr="0094469E">
          <w:rPr>
            <w:rStyle w:val="Hyperlink"/>
            <w:rFonts w:ascii="Times New Roman" w:hAnsi="Times New Roman" w:cs="Times New Roman"/>
            <w:sz w:val="24"/>
            <w:szCs w:val="24"/>
          </w:rPr>
          <w:t>www.midss.ie</w:t>
        </w:r>
      </w:hyperlink>
      <w:r w:rsidRPr="0094469E">
        <w:rPr>
          <w:rFonts w:ascii="Times New Roman" w:hAnsi="Times New Roman" w:cs="Times New Roman"/>
          <w:sz w:val="24"/>
          <w:szCs w:val="24"/>
        </w:rPr>
        <w:t xml:space="preserve">. </w:t>
      </w:r>
      <w:bookmarkEnd w:id="716"/>
    </w:p>
    <w:p w14:paraId="4678457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7" w:name="_ENREF_210"/>
      <w:r w:rsidRPr="0094469E">
        <w:rPr>
          <w:rFonts w:ascii="Times New Roman" w:hAnsi="Times New Roman" w:cs="Times New Roman"/>
          <w:sz w:val="24"/>
          <w:szCs w:val="24"/>
        </w:rPr>
        <w:t xml:space="preserve">Kahneman, D., Krueger, A. B., Schkade, D. A., Schwarz, N., and Stone, A. A. (2004). A survey method for characterizing daily life experience: The day reconstruction method. </w:t>
      </w:r>
      <w:r w:rsidRPr="0094469E">
        <w:rPr>
          <w:rFonts w:ascii="Times New Roman" w:hAnsi="Times New Roman" w:cs="Times New Roman"/>
          <w:i/>
          <w:sz w:val="24"/>
          <w:szCs w:val="24"/>
        </w:rPr>
        <w:t xml:space="preserve">Science, </w:t>
      </w:r>
      <w:r w:rsidRPr="0094469E">
        <w:rPr>
          <w:rFonts w:ascii="Times New Roman" w:hAnsi="Times New Roman" w:cs="Times New Roman"/>
          <w:b/>
          <w:sz w:val="24"/>
          <w:szCs w:val="24"/>
        </w:rPr>
        <w:t>306</w:t>
      </w:r>
      <w:r w:rsidRPr="0094469E">
        <w:rPr>
          <w:rFonts w:ascii="Times New Roman" w:hAnsi="Times New Roman" w:cs="Times New Roman"/>
          <w:sz w:val="24"/>
          <w:szCs w:val="24"/>
        </w:rPr>
        <w:t>(5702), 1776-1780.</w:t>
      </w:r>
      <w:bookmarkEnd w:id="717"/>
    </w:p>
    <w:p w14:paraId="354DD2B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18" w:name="_ENREF_211"/>
      <w:r w:rsidRPr="0094469E">
        <w:rPr>
          <w:rFonts w:ascii="Times New Roman" w:hAnsi="Times New Roman" w:cs="Times New Roman"/>
          <w:sz w:val="24"/>
          <w:szCs w:val="24"/>
        </w:rPr>
        <w:t xml:space="preserve">Kaiser, H. F. (1974). An index of factorial simplicity. </w:t>
      </w:r>
      <w:r w:rsidRPr="0094469E">
        <w:rPr>
          <w:rFonts w:ascii="Times New Roman" w:hAnsi="Times New Roman" w:cs="Times New Roman"/>
          <w:i/>
          <w:sz w:val="24"/>
          <w:szCs w:val="24"/>
        </w:rPr>
        <w:t xml:space="preserve">Psychometrika, </w:t>
      </w:r>
      <w:r w:rsidRPr="0094469E">
        <w:rPr>
          <w:rFonts w:ascii="Times New Roman" w:hAnsi="Times New Roman" w:cs="Times New Roman"/>
          <w:b/>
          <w:sz w:val="24"/>
          <w:szCs w:val="24"/>
        </w:rPr>
        <w:t>39</w:t>
      </w:r>
      <w:r w:rsidRPr="0094469E">
        <w:rPr>
          <w:rFonts w:ascii="Times New Roman" w:hAnsi="Times New Roman" w:cs="Times New Roman"/>
          <w:sz w:val="24"/>
          <w:szCs w:val="24"/>
        </w:rPr>
        <w:t>(1), 31-36.</w:t>
      </w:r>
      <w:bookmarkEnd w:id="718"/>
    </w:p>
    <w:p w14:paraId="70E8ACD1" w14:textId="7C446BE7" w:rsidR="0094469E" w:rsidRPr="0094469E" w:rsidRDefault="0094469E" w:rsidP="0094469E">
      <w:pPr>
        <w:pStyle w:val="EndNoteBibliography"/>
        <w:spacing w:line="360" w:lineRule="auto"/>
        <w:rPr>
          <w:rFonts w:ascii="Times New Roman" w:hAnsi="Times New Roman" w:cs="Times New Roman"/>
          <w:sz w:val="24"/>
          <w:szCs w:val="24"/>
        </w:rPr>
      </w:pPr>
      <w:bookmarkStart w:id="719" w:name="_ENREF_212"/>
      <w:r w:rsidRPr="0094469E">
        <w:rPr>
          <w:rFonts w:ascii="Times New Roman" w:hAnsi="Times New Roman" w:cs="Times New Roman"/>
          <w:sz w:val="24"/>
          <w:szCs w:val="24"/>
        </w:rPr>
        <w:t xml:space="preserve">Karabenick, S. A., and Zusho, A. (2015). Examining approaches to research on self-regulated learning: conceptual and methodological considerations. </w:t>
      </w:r>
      <w:r w:rsidR="00C71126">
        <w:rPr>
          <w:rFonts w:ascii="Times New Roman" w:hAnsi="Times New Roman" w:cs="Times New Roman"/>
          <w:i/>
          <w:sz w:val="24"/>
          <w:szCs w:val="24"/>
        </w:rPr>
        <w:t>Metacognition and learning</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10</w:t>
      </w:r>
      <w:r w:rsidRPr="0094469E">
        <w:rPr>
          <w:rFonts w:ascii="Times New Roman" w:hAnsi="Times New Roman" w:cs="Times New Roman"/>
          <w:sz w:val="24"/>
          <w:szCs w:val="24"/>
        </w:rPr>
        <w:t>(1), 151-163.</w:t>
      </w:r>
      <w:bookmarkEnd w:id="719"/>
    </w:p>
    <w:p w14:paraId="61DB011D" w14:textId="67EC8A4E" w:rsidR="0094469E" w:rsidRPr="0094469E" w:rsidRDefault="0094469E" w:rsidP="0094469E">
      <w:pPr>
        <w:pStyle w:val="EndNoteBibliography"/>
        <w:spacing w:line="360" w:lineRule="auto"/>
        <w:rPr>
          <w:rFonts w:ascii="Times New Roman" w:hAnsi="Times New Roman" w:cs="Times New Roman"/>
          <w:sz w:val="24"/>
          <w:szCs w:val="24"/>
        </w:rPr>
      </w:pPr>
      <w:bookmarkStart w:id="720" w:name="_ENREF_213"/>
      <w:r w:rsidRPr="0094469E">
        <w:rPr>
          <w:rFonts w:ascii="Times New Roman" w:hAnsi="Times New Roman" w:cs="Times New Roman"/>
          <w:sz w:val="24"/>
          <w:szCs w:val="24"/>
        </w:rPr>
        <w:t xml:space="preserve">Keith, R. E., Hopp, F. P., Subramanian, U., Wiitala, W., and Lowery, J. C. (2010). Fidelity of implementation: development and testing of a measure. </w:t>
      </w:r>
      <w:r w:rsidRPr="0094469E">
        <w:rPr>
          <w:rFonts w:ascii="Times New Roman" w:hAnsi="Times New Roman" w:cs="Times New Roman"/>
          <w:i/>
          <w:sz w:val="24"/>
          <w:szCs w:val="24"/>
        </w:rPr>
        <w:t xml:space="preserve">Implement </w:t>
      </w:r>
      <w:r w:rsidR="00C71126">
        <w:rPr>
          <w:rFonts w:ascii="Times New Roman" w:hAnsi="Times New Roman" w:cs="Times New Roman"/>
          <w:i/>
          <w:sz w:val="24"/>
          <w:szCs w:val="24"/>
        </w:rPr>
        <w:t>s</w:t>
      </w:r>
      <w:r w:rsidRPr="0094469E">
        <w:rPr>
          <w:rFonts w:ascii="Times New Roman" w:hAnsi="Times New Roman" w:cs="Times New Roman"/>
          <w:i/>
          <w:sz w:val="24"/>
          <w:szCs w:val="24"/>
        </w:rPr>
        <w:t>ci</w:t>
      </w:r>
      <w:r w:rsidR="00C71126">
        <w:rPr>
          <w:rFonts w:ascii="Times New Roman" w:hAnsi="Times New Roman" w:cs="Times New Roman"/>
          <w:i/>
          <w:sz w:val="24"/>
          <w:szCs w:val="24"/>
        </w:rPr>
        <w:t>ence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5</w:t>
      </w:r>
      <w:r w:rsidRPr="0094469E">
        <w:rPr>
          <w:rFonts w:ascii="Times New Roman" w:hAnsi="Times New Roman" w:cs="Times New Roman"/>
          <w:sz w:val="24"/>
          <w:szCs w:val="24"/>
        </w:rPr>
        <w:t>(1), 99.</w:t>
      </w:r>
      <w:bookmarkEnd w:id="720"/>
    </w:p>
    <w:p w14:paraId="465C6F2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1" w:name="_ENREF_214"/>
      <w:r w:rsidRPr="0094469E">
        <w:rPr>
          <w:rFonts w:ascii="Times New Roman" w:hAnsi="Times New Roman" w:cs="Times New Roman"/>
          <w:sz w:val="24"/>
          <w:szCs w:val="24"/>
        </w:rPr>
        <w:t xml:space="preserve">Kennedy, T. J. T., Regehr, G., Baker, G. R., and Lingard, L. A. (2009). ‘It’sa cultural expectation…’The pressure on medical trainees to work independently in clinical practice.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43</w:t>
      </w:r>
      <w:r w:rsidRPr="0094469E">
        <w:rPr>
          <w:rFonts w:ascii="Times New Roman" w:hAnsi="Times New Roman" w:cs="Times New Roman"/>
          <w:sz w:val="24"/>
          <w:szCs w:val="24"/>
        </w:rPr>
        <w:t>(7), 645-653.</w:t>
      </w:r>
      <w:bookmarkEnd w:id="721"/>
    </w:p>
    <w:p w14:paraId="050DC8F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2" w:name="_ENREF_215"/>
      <w:r w:rsidRPr="0094469E">
        <w:rPr>
          <w:rFonts w:ascii="Times New Roman" w:hAnsi="Times New Roman" w:cs="Times New Roman"/>
          <w:sz w:val="24"/>
          <w:szCs w:val="24"/>
        </w:rPr>
        <w:t xml:space="preserve">Ker, J., and Bradley, P. (2010). Simulation in medical education. </w:t>
      </w:r>
      <w:r w:rsidRPr="0094469E">
        <w:rPr>
          <w:rFonts w:ascii="Times New Roman" w:hAnsi="Times New Roman" w:cs="Times New Roman"/>
          <w:i/>
          <w:sz w:val="24"/>
          <w:szCs w:val="24"/>
        </w:rPr>
        <w:t>Understanding medical education: Evidence, theory and practice</w:t>
      </w:r>
      <w:r w:rsidRPr="0094469E">
        <w:rPr>
          <w:rFonts w:ascii="Times New Roman" w:hAnsi="Times New Roman" w:cs="Times New Roman"/>
          <w:sz w:val="24"/>
          <w:szCs w:val="24"/>
        </w:rPr>
        <w:t>, 164-180.</w:t>
      </w:r>
      <w:bookmarkEnd w:id="722"/>
    </w:p>
    <w:p w14:paraId="742B12D3" w14:textId="7882C93E" w:rsidR="0094469E" w:rsidRPr="0094469E" w:rsidRDefault="0094469E" w:rsidP="0094469E">
      <w:pPr>
        <w:pStyle w:val="EndNoteBibliography"/>
        <w:spacing w:line="360" w:lineRule="auto"/>
        <w:rPr>
          <w:rFonts w:ascii="Times New Roman" w:hAnsi="Times New Roman" w:cs="Times New Roman"/>
          <w:sz w:val="24"/>
          <w:szCs w:val="24"/>
        </w:rPr>
      </w:pPr>
      <w:bookmarkStart w:id="723" w:name="_ENREF_216"/>
      <w:r w:rsidRPr="0094469E">
        <w:rPr>
          <w:rFonts w:ascii="Times New Roman" w:hAnsi="Times New Roman" w:cs="Times New Roman"/>
          <w:sz w:val="24"/>
          <w:szCs w:val="24"/>
        </w:rPr>
        <w:lastRenderedPageBreak/>
        <w:t xml:space="preserve">Kim, M. (2009). The impact of an elaborated assessee’s role in peer assessment. </w:t>
      </w:r>
      <w:r w:rsidR="00C71126">
        <w:rPr>
          <w:rFonts w:ascii="Times New Roman" w:hAnsi="Times New Roman" w:cs="Times New Roman"/>
          <w:i/>
          <w:sz w:val="24"/>
          <w:szCs w:val="24"/>
        </w:rPr>
        <w:t>Assessment and evaluation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34</w:t>
      </w:r>
      <w:r w:rsidRPr="0094469E">
        <w:rPr>
          <w:rFonts w:ascii="Times New Roman" w:hAnsi="Times New Roman" w:cs="Times New Roman"/>
          <w:sz w:val="24"/>
          <w:szCs w:val="24"/>
        </w:rPr>
        <w:t>(1), 105-114.</w:t>
      </w:r>
      <w:bookmarkEnd w:id="723"/>
    </w:p>
    <w:p w14:paraId="0AF1FFB9" w14:textId="4C6F59D7" w:rsidR="0094469E" w:rsidRPr="0094469E" w:rsidRDefault="0094469E" w:rsidP="0094469E">
      <w:pPr>
        <w:pStyle w:val="EndNoteBibliography"/>
        <w:spacing w:line="360" w:lineRule="auto"/>
        <w:rPr>
          <w:rFonts w:ascii="Times New Roman" w:hAnsi="Times New Roman" w:cs="Times New Roman"/>
          <w:sz w:val="24"/>
          <w:szCs w:val="24"/>
        </w:rPr>
      </w:pPr>
      <w:bookmarkStart w:id="724" w:name="_ENREF_217"/>
      <w:r w:rsidRPr="0094469E">
        <w:rPr>
          <w:rFonts w:ascii="Times New Roman" w:hAnsi="Times New Roman" w:cs="Times New Roman"/>
          <w:sz w:val="24"/>
          <w:szCs w:val="24"/>
        </w:rPr>
        <w:t xml:space="preserve">Kitsantas, A., and Zimmerman, B. J. (2002). Comparing self-regulatory processes among novice, non-expert, and expert volleyball players: A microanalytic study. </w:t>
      </w:r>
      <w:r w:rsidR="00C71126">
        <w:rPr>
          <w:rFonts w:ascii="Times New Roman" w:hAnsi="Times New Roman" w:cs="Times New Roman"/>
          <w:i/>
          <w:sz w:val="24"/>
          <w:szCs w:val="24"/>
        </w:rPr>
        <w:t>Journal of applied sport psychology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14</w:t>
      </w:r>
      <w:r w:rsidRPr="0094469E">
        <w:rPr>
          <w:rFonts w:ascii="Times New Roman" w:hAnsi="Times New Roman" w:cs="Times New Roman"/>
          <w:sz w:val="24"/>
          <w:szCs w:val="24"/>
        </w:rPr>
        <w:t>(2), 91-105.</w:t>
      </w:r>
      <w:bookmarkEnd w:id="724"/>
    </w:p>
    <w:p w14:paraId="4B8EA65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5" w:name="_ENREF_218"/>
      <w:r w:rsidRPr="0094469E">
        <w:rPr>
          <w:rFonts w:ascii="Times New Roman" w:hAnsi="Times New Roman" w:cs="Times New Roman"/>
          <w:sz w:val="24"/>
          <w:szCs w:val="24"/>
        </w:rPr>
        <w:t xml:space="preserve">Kitsantas, A., Zimmerman, B. J., and Cleary, T. (2000). The role of observation and emulation in the development of athletic self-regulation.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92</w:t>
      </w:r>
      <w:r w:rsidRPr="0094469E">
        <w:rPr>
          <w:rFonts w:ascii="Times New Roman" w:hAnsi="Times New Roman" w:cs="Times New Roman"/>
          <w:sz w:val="24"/>
          <w:szCs w:val="24"/>
        </w:rPr>
        <w:t>(4), 811.</w:t>
      </w:r>
      <w:bookmarkEnd w:id="725"/>
    </w:p>
    <w:p w14:paraId="7133EDB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6" w:name="_ENREF_219"/>
      <w:r w:rsidRPr="0094469E">
        <w:rPr>
          <w:rFonts w:ascii="Times New Roman" w:hAnsi="Times New Roman" w:cs="Times New Roman"/>
          <w:sz w:val="24"/>
          <w:szCs w:val="24"/>
        </w:rPr>
        <w:t xml:space="preserve">Klaber, B. (2012). Effective feedback: an essential skill. </w:t>
      </w:r>
      <w:r w:rsidRPr="0094469E">
        <w:rPr>
          <w:rFonts w:ascii="Times New Roman" w:hAnsi="Times New Roman" w:cs="Times New Roman"/>
          <w:i/>
          <w:sz w:val="24"/>
          <w:szCs w:val="24"/>
        </w:rPr>
        <w:t xml:space="preserve">Postgraduate medical journal, </w:t>
      </w:r>
      <w:r w:rsidRPr="0094469E">
        <w:rPr>
          <w:rFonts w:ascii="Times New Roman" w:hAnsi="Times New Roman" w:cs="Times New Roman"/>
          <w:b/>
          <w:sz w:val="24"/>
          <w:szCs w:val="24"/>
        </w:rPr>
        <w:t>88</w:t>
      </w:r>
      <w:r w:rsidRPr="0094469E">
        <w:rPr>
          <w:rFonts w:ascii="Times New Roman" w:hAnsi="Times New Roman" w:cs="Times New Roman"/>
          <w:sz w:val="24"/>
          <w:szCs w:val="24"/>
        </w:rPr>
        <w:t>, 187-188.</w:t>
      </w:r>
      <w:bookmarkEnd w:id="726"/>
    </w:p>
    <w:p w14:paraId="57CEF4E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7" w:name="_ENREF_220"/>
      <w:r w:rsidRPr="0094469E">
        <w:rPr>
          <w:rFonts w:ascii="Times New Roman" w:hAnsi="Times New Roman" w:cs="Times New Roman"/>
          <w:sz w:val="24"/>
          <w:szCs w:val="24"/>
        </w:rPr>
        <w:t xml:space="preserve">Klemenc-Ketis, Z., and Kersnik, J. (2014). Deficiency areas in decision making in undergraduate medical students. </w:t>
      </w:r>
      <w:r w:rsidRPr="0094469E">
        <w:rPr>
          <w:rFonts w:ascii="Times New Roman" w:hAnsi="Times New Roman" w:cs="Times New Roman"/>
          <w:i/>
          <w:sz w:val="24"/>
          <w:szCs w:val="24"/>
        </w:rPr>
        <w:t xml:space="preserve">Advances in medical education and practice, </w:t>
      </w:r>
      <w:r w:rsidRPr="0094469E">
        <w:rPr>
          <w:rFonts w:ascii="Times New Roman" w:hAnsi="Times New Roman" w:cs="Times New Roman"/>
          <w:b/>
          <w:sz w:val="24"/>
          <w:szCs w:val="24"/>
        </w:rPr>
        <w:t>5</w:t>
      </w:r>
      <w:r w:rsidRPr="0094469E">
        <w:rPr>
          <w:rFonts w:ascii="Times New Roman" w:hAnsi="Times New Roman" w:cs="Times New Roman"/>
          <w:sz w:val="24"/>
          <w:szCs w:val="24"/>
        </w:rPr>
        <w:t>, 223.</w:t>
      </w:r>
      <w:bookmarkEnd w:id="727"/>
    </w:p>
    <w:p w14:paraId="5E7B0B6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28" w:name="_ENREF_221"/>
      <w:r w:rsidRPr="0094469E">
        <w:rPr>
          <w:rFonts w:ascii="Times New Roman" w:hAnsi="Times New Roman" w:cs="Times New Roman"/>
          <w:sz w:val="24"/>
          <w:szCs w:val="24"/>
        </w:rPr>
        <w:t xml:space="preserve">Kluger, A. N., and DeNisi, A. (1996). The effects of feedback interventions on performance: a historical review, a meta-analysis, and a preliminary feedback intervention theory. </w:t>
      </w:r>
      <w:r w:rsidRPr="0094469E">
        <w:rPr>
          <w:rFonts w:ascii="Times New Roman" w:hAnsi="Times New Roman" w:cs="Times New Roman"/>
          <w:i/>
          <w:sz w:val="24"/>
          <w:szCs w:val="24"/>
        </w:rPr>
        <w:t xml:space="preserve">Psychological bulletin, </w:t>
      </w:r>
      <w:r w:rsidRPr="0094469E">
        <w:rPr>
          <w:rFonts w:ascii="Times New Roman" w:hAnsi="Times New Roman" w:cs="Times New Roman"/>
          <w:b/>
          <w:sz w:val="24"/>
          <w:szCs w:val="24"/>
        </w:rPr>
        <w:t>119</w:t>
      </w:r>
      <w:r w:rsidRPr="0094469E">
        <w:rPr>
          <w:rFonts w:ascii="Times New Roman" w:hAnsi="Times New Roman" w:cs="Times New Roman"/>
          <w:sz w:val="24"/>
          <w:szCs w:val="24"/>
        </w:rPr>
        <w:t>(2), 254.</w:t>
      </w:r>
      <w:bookmarkEnd w:id="728"/>
    </w:p>
    <w:p w14:paraId="439CDBF3" w14:textId="4C040EE5" w:rsidR="0094469E" w:rsidRPr="0094469E" w:rsidRDefault="0094469E" w:rsidP="0094469E">
      <w:pPr>
        <w:pStyle w:val="EndNoteBibliography"/>
        <w:spacing w:line="360" w:lineRule="auto"/>
        <w:rPr>
          <w:rFonts w:ascii="Times New Roman" w:hAnsi="Times New Roman" w:cs="Times New Roman"/>
          <w:sz w:val="24"/>
          <w:szCs w:val="24"/>
        </w:rPr>
      </w:pPr>
      <w:bookmarkStart w:id="729" w:name="_ENREF_222"/>
      <w:r w:rsidRPr="0094469E">
        <w:rPr>
          <w:rFonts w:ascii="Times New Roman" w:hAnsi="Times New Roman" w:cs="Times New Roman"/>
          <w:sz w:val="24"/>
          <w:szCs w:val="24"/>
        </w:rPr>
        <w:t xml:space="preserve">Knodel, J., and Saengtienchai, C. (2005). Older-Aged Parents The Final Safety Net for Adult Sons and Daughters With AIDS in Thailand. </w:t>
      </w:r>
      <w:r w:rsidRPr="0094469E">
        <w:rPr>
          <w:rFonts w:ascii="Times New Roman" w:hAnsi="Times New Roman" w:cs="Times New Roman"/>
          <w:i/>
          <w:sz w:val="24"/>
          <w:szCs w:val="24"/>
        </w:rPr>
        <w:t xml:space="preserve">Journal of </w:t>
      </w:r>
      <w:r w:rsidR="00C71126">
        <w:rPr>
          <w:rFonts w:ascii="Times New Roman" w:hAnsi="Times New Roman" w:cs="Times New Roman"/>
          <w:i/>
          <w:sz w:val="24"/>
          <w:szCs w:val="24"/>
        </w:rPr>
        <w:t>f</w:t>
      </w:r>
      <w:r w:rsidRPr="0094469E">
        <w:rPr>
          <w:rFonts w:ascii="Times New Roman" w:hAnsi="Times New Roman" w:cs="Times New Roman"/>
          <w:i/>
          <w:sz w:val="24"/>
          <w:szCs w:val="24"/>
        </w:rPr>
        <w:t xml:space="preserve">amily </w:t>
      </w:r>
      <w:r w:rsidR="00C71126">
        <w:rPr>
          <w:rFonts w:ascii="Times New Roman" w:hAnsi="Times New Roman" w:cs="Times New Roman"/>
          <w:i/>
          <w:sz w:val="24"/>
          <w:szCs w:val="24"/>
        </w:rPr>
        <w:t>i</w:t>
      </w:r>
      <w:r w:rsidRPr="0094469E">
        <w:rPr>
          <w:rFonts w:ascii="Times New Roman" w:hAnsi="Times New Roman" w:cs="Times New Roman"/>
          <w:i/>
          <w:sz w:val="24"/>
          <w:szCs w:val="24"/>
        </w:rPr>
        <w:t xml:space="preserve">ssues, </w:t>
      </w:r>
      <w:r w:rsidRPr="0094469E">
        <w:rPr>
          <w:rFonts w:ascii="Times New Roman" w:hAnsi="Times New Roman" w:cs="Times New Roman"/>
          <w:b/>
          <w:sz w:val="24"/>
          <w:szCs w:val="24"/>
        </w:rPr>
        <w:t>26</w:t>
      </w:r>
      <w:r w:rsidRPr="0094469E">
        <w:rPr>
          <w:rFonts w:ascii="Times New Roman" w:hAnsi="Times New Roman" w:cs="Times New Roman"/>
          <w:sz w:val="24"/>
          <w:szCs w:val="24"/>
        </w:rPr>
        <w:t>(5), 665-698.</w:t>
      </w:r>
      <w:bookmarkEnd w:id="729"/>
    </w:p>
    <w:p w14:paraId="16DFE0D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0" w:name="_ENREF_223"/>
      <w:r w:rsidRPr="0094469E">
        <w:rPr>
          <w:rFonts w:ascii="Times New Roman" w:hAnsi="Times New Roman" w:cs="Times New Roman"/>
          <w:sz w:val="24"/>
          <w:szCs w:val="24"/>
        </w:rPr>
        <w:t xml:space="preserve">Knowles, M. S. (1975). </w:t>
      </w:r>
      <w:r w:rsidRPr="0094469E">
        <w:rPr>
          <w:rFonts w:ascii="Times New Roman" w:hAnsi="Times New Roman" w:cs="Times New Roman"/>
          <w:i/>
          <w:sz w:val="24"/>
          <w:szCs w:val="24"/>
        </w:rPr>
        <w:t>Self-directed learning</w:t>
      </w:r>
      <w:r w:rsidRPr="0094469E">
        <w:rPr>
          <w:rFonts w:ascii="Times New Roman" w:hAnsi="Times New Roman" w:cs="Times New Roman"/>
          <w:sz w:val="24"/>
          <w:szCs w:val="24"/>
        </w:rPr>
        <w:t>: association Press New York.</w:t>
      </w:r>
      <w:bookmarkEnd w:id="730"/>
    </w:p>
    <w:p w14:paraId="5BBDAE9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1" w:name="_ENREF_224"/>
      <w:r w:rsidRPr="0094469E">
        <w:rPr>
          <w:rFonts w:ascii="Times New Roman" w:hAnsi="Times New Roman" w:cs="Times New Roman"/>
          <w:sz w:val="24"/>
          <w:szCs w:val="24"/>
        </w:rPr>
        <w:t xml:space="preserve">Knowles, M. S. (1984). </w:t>
      </w:r>
      <w:r w:rsidRPr="0094469E">
        <w:rPr>
          <w:rFonts w:ascii="Times New Roman" w:hAnsi="Times New Roman" w:cs="Times New Roman"/>
          <w:i/>
          <w:sz w:val="24"/>
          <w:szCs w:val="24"/>
        </w:rPr>
        <w:t>Andragogy in action: Applying modern principles of adult education</w:t>
      </w:r>
      <w:r w:rsidRPr="0094469E">
        <w:rPr>
          <w:rFonts w:ascii="Times New Roman" w:hAnsi="Times New Roman" w:cs="Times New Roman"/>
          <w:sz w:val="24"/>
          <w:szCs w:val="24"/>
        </w:rPr>
        <w:t>. San Francisco: Jossey Bass.</w:t>
      </w:r>
      <w:bookmarkEnd w:id="731"/>
    </w:p>
    <w:p w14:paraId="4589D019" w14:textId="04905350" w:rsidR="0094469E" w:rsidRPr="0094469E" w:rsidRDefault="0094469E" w:rsidP="0094469E">
      <w:pPr>
        <w:pStyle w:val="EndNoteBibliography"/>
        <w:spacing w:line="360" w:lineRule="auto"/>
        <w:rPr>
          <w:rFonts w:ascii="Times New Roman" w:hAnsi="Times New Roman" w:cs="Times New Roman"/>
          <w:sz w:val="24"/>
          <w:szCs w:val="24"/>
        </w:rPr>
      </w:pPr>
      <w:bookmarkStart w:id="732" w:name="_ENREF_225"/>
      <w:r w:rsidRPr="0094469E">
        <w:rPr>
          <w:rFonts w:ascii="Times New Roman" w:hAnsi="Times New Roman" w:cs="Times New Roman"/>
          <w:sz w:val="24"/>
          <w:szCs w:val="24"/>
        </w:rPr>
        <w:t xml:space="preserve">Kramarski, B., and Zeichner, O. (2001). Using technology to enhance mathematical reasoning: Effects of feedback and self-regulation learning. </w:t>
      </w:r>
      <w:r w:rsidRPr="0094469E">
        <w:rPr>
          <w:rFonts w:ascii="Times New Roman" w:hAnsi="Times New Roman" w:cs="Times New Roman"/>
          <w:i/>
          <w:sz w:val="24"/>
          <w:szCs w:val="24"/>
        </w:rPr>
        <w:t xml:space="preserve">Educational </w:t>
      </w:r>
      <w:r w:rsidR="00C71126">
        <w:rPr>
          <w:rFonts w:ascii="Times New Roman" w:hAnsi="Times New Roman" w:cs="Times New Roman"/>
          <w:i/>
          <w:sz w:val="24"/>
          <w:szCs w:val="24"/>
        </w:rPr>
        <w:t>m</w:t>
      </w:r>
      <w:r w:rsidRPr="0094469E">
        <w:rPr>
          <w:rFonts w:ascii="Times New Roman" w:hAnsi="Times New Roman" w:cs="Times New Roman"/>
          <w:i/>
          <w:sz w:val="24"/>
          <w:szCs w:val="24"/>
        </w:rPr>
        <w:t>edia</w:t>
      </w:r>
      <w:r w:rsidR="00C71126">
        <w:rPr>
          <w:rFonts w:ascii="Times New Roman" w:hAnsi="Times New Roman" w:cs="Times New Roman"/>
          <w:i/>
          <w:sz w:val="24"/>
          <w:szCs w:val="24"/>
        </w:rPr>
        <w:t xml:space="preserve"> i</w:t>
      </w:r>
      <w:r w:rsidRPr="0094469E">
        <w:rPr>
          <w:rFonts w:ascii="Times New Roman" w:hAnsi="Times New Roman" w:cs="Times New Roman"/>
          <w:i/>
          <w:sz w:val="24"/>
          <w:szCs w:val="24"/>
        </w:rPr>
        <w:t xml:space="preserve">nternational, </w:t>
      </w:r>
      <w:r w:rsidRPr="0094469E">
        <w:rPr>
          <w:rFonts w:ascii="Times New Roman" w:hAnsi="Times New Roman" w:cs="Times New Roman"/>
          <w:b/>
          <w:sz w:val="24"/>
          <w:szCs w:val="24"/>
        </w:rPr>
        <w:t>38</w:t>
      </w:r>
      <w:r w:rsidRPr="0094469E">
        <w:rPr>
          <w:rFonts w:ascii="Times New Roman" w:hAnsi="Times New Roman" w:cs="Times New Roman"/>
          <w:sz w:val="24"/>
          <w:szCs w:val="24"/>
        </w:rPr>
        <w:t>(2-3), 77-82.</w:t>
      </w:r>
      <w:bookmarkEnd w:id="732"/>
    </w:p>
    <w:p w14:paraId="4BDB27D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3" w:name="_ENREF_226"/>
      <w:r w:rsidRPr="0094469E">
        <w:rPr>
          <w:rFonts w:ascii="Times New Roman" w:hAnsi="Times New Roman" w:cs="Times New Roman"/>
          <w:sz w:val="24"/>
          <w:szCs w:val="24"/>
        </w:rPr>
        <w:t xml:space="preserve">Krueger, R., and Casey, M. (2000). Overview of focus groups. </w:t>
      </w:r>
      <w:r w:rsidRPr="0094469E">
        <w:rPr>
          <w:rFonts w:ascii="Times New Roman" w:hAnsi="Times New Roman" w:cs="Times New Roman"/>
          <w:i/>
          <w:sz w:val="24"/>
          <w:szCs w:val="24"/>
        </w:rPr>
        <w:t>Focus Groups: A practical guide for applied research</w:t>
      </w:r>
      <w:r w:rsidRPr="0094469E">
        <w:rPr>
          <w:rFonts w:ascii="Times New Roman" w:hAnsi="Times New Roman" w:cs="Times New Roman"/>
          <w:sz w:val="24"/>
          <w:szCs w:val="24"/>
        </w:rPr>
        <w:t>, 3-19.</w:t>
      </w:r>
      <w:bookmarkEnd w:id="733"/>
    </w:p>
    <w:p w14:paraId="2320317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4" w:name="_ENREF_227"/>
      <w:r w:rsidRPr="0094469E">
        <w:rPr>
          <w:rFonts w:ascii="Times New Roman" w:hAnsi="Times New Roman" w:cs="Times New Roman"/>
          <w:sz w:val="24"/>
          <w:szCs w:val="24"/>
        </w:rPr>
        <w:t xml:space="preserve">Krzywinski, M., and Altman, N. (2013). Points of significance: error bars. </w:t>
      </w:r>
      <w:r w:rsidRPr="0094469E">
        <w:rPr>
          <w:rFonts w:ascii="Times New Roman" w:hAnsi="Times New Roman" w:cs="Times New Roman"/>
          <w:i/>
          <w:sz w:val="24"/>
          <w:szCs w:val="24"/>
        </w:rPr>
        <w:t xml:space="preserve">Nature methods, </w:t>
      </w:r>
      <w:r w:rsidRPr="0094469E">
        <w:rPr>
          <w:rFonts w:ascii="Times New Roman" w:hAnsi="Times New Roman" w:cs="Times New Roman"/>
          <w:b/>
          <w:sz w:val="24"/>
          <w:szCs w:val="24"/>
        </w:rPr>
        <w:t>10</w:t>
      </w:r>
      <w:r w:rsidRPr="0094469E">
        <w:rPr>
          <w:rFonts w:ascii="Times New Roman" w:hAnsi="Times New Roman" w:cs="Times New Roman"/>
          <w:sz w:val="24"/>
          <w:szCs w:val="24"/>
        </w:rPr>
        <w:t>(10), 921-922.</w:t>
      </w:r>
      <w:bookmarkEnd w:id="734"/>
    </w:p>
    <w:p w14:paraId="27D86389" w14:textId="2B19CE98" w:rsidR="0094469E" w:rsidRPr="0094469E" w:rsidRDefault="0094469E" w:rsidP="0094469E">
      <w:pPr>
        <w:pStyle w:val="EndNoteBibliography"/>
        <w:spacing w:line="360" w:lineRule="auto"/>
        <w:rPr>
          <w:rFonts w:ascii="Times New Roman" w:hAnsi="Times New Roman" w:cs="Times New Roman"/>
          <w:sz w:val="24"/>
          <w:szCs w:val="24"/>
        </w:rPr>
      </w:pPr>
      <w:bookmarkStart w:id="735" w:name="_ENREF_228"/>
      <w:r w:rsidRPr="0094469E">
        <w:rPr>
          <w:rFonts w:ascii="Times New Roman" w:hAnsi="Times New Roman" w:cs="Times New Roman"/>
          <w:sz w:val="24"/>
          <w:szCs w:val="24"/>
        </w:rPr>
        <w:t xml:space="preserve">Kugel, P. (1993). How professors develop as teachers. </w:t>
      </w:r>
      <w:r w:rsidR="00C71126">
        <w:rPr>
          <w:rFonts w:ascii="Times New Roman" w:hAnsi="Times New Roman" w:cs="Times New Roman"/>
          <w:i/>
          <w:sz w:val="24"/>
          <w:szCs w:val="24"/>
        </w:rPr>
        <w:t>Studies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18</w:t>
      </w:r>
      <w:r w:rsidRPr="0094469E">
        <w:rPr>
          <w:rFonts w:ascii="Times New Roman" w:hAnsi="Times New Roman" w:cs="Times New Roman"/>
          <w:sz w:val="24"/>
          <w:szCs w:val="24"/>
        </w:rPr>
        <w:t>(3), 315-328.</w:t>
      </w:r>
      <w:bookmarkEnd w:id="735"/>
    </w:p>
    <w:p w14:paraId="50B5B53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6" w:name="_ENREF_229"/>
      <w:r w:rsidRPr="0094469E">
        <w:rPr>
          <w:rFonts w:ascii="Times New Roman" w:hAnsi="Times New Roman" w:cs="Times New Roman"/>
          <w:sz w:val="24"/>
          <w:szCs w:val="24"/>
        </w:rPr>
        <w:lastRenderedPageBreak/>
        <w:t xml:space="preserve">Kuhn, T. S., Conant, J., and Haugeland, J. (2000). </w:t>
      </w:r>
      <w:r w:rsidRPr="0094469E">
        <w:rPr>
          <w:rFonts w:ascii="Times New Roman" w:hAnsi="Times New Roman" w:cs="Times New Roman"/>
          <w:i/>
          <w:sz w:val="24"/>
          <w:szCs w:val="24"/>
        </w:rPr>
        <w:t>The road since structure: philosophical essays, 1970-1993, with an autobiographical interview</w:t>
      </w:r>
      <w:r w:rsidRPr="0094469E">
        <w:rPr>
          <w:rFonts w:ascii="Times New Roman" w:hAnsi="Times New Roman" w:cs="Times New Roman"/>
          <w:sz w:val="24"/>
          <w:szCs w:val="24"/>
        </w:rPr>
        <w:t>: University of Chicago Press.</w:t>
      </w:r>
      <w:bookmarkEnd w:id="736"/>
    </w:p>
    <w:p w14:paraId="3F9BBF1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7" w:name="_ENREF_230"/>
      <w:r w:rsidRPr="0094469E">
        <w:rPr>
          <w:rFonts w:ascii="Times New Roman" w:hAnsi="Times New Roman" w:cs="Times New Roman"/>
          <w:sz w:val="24"/>
          <w:szCs w:val="24"/>
        </w:rPr>
        <w:t xml:space="preserve">Kvale, S. (1983). The qualitative research interview: A phenomenological and a hermeneutical mode of understanding. </w:t>
      </w:r>
      <w:r w:rsidRPr="0094469E">
        <w:rPr>
          <w:rFonts w:ascii="Times New Roman" w:hAnsi="Times New Roman" w:cs="Times New Roman"/>
          <w:i/>
          <w:sz w:val="24"/>
          <w:szCs w:val="24"/>
        </w:rPr>
        <w:t xml:space="preserve">Journal of phenomenological psychology, </w:t>
      </w:r>
      <w:r w:rsidRPr="0094469E">
        <w:rPr>
          <w:rFonts w:ascii="Times New Roman" w:hAnsi="Times New Roman" w:cs="Times New Roman"/>
          <w:b/>
          <w:sz w:val="24"/>
          <w:szCs w:val="24"/>
        </w:rPr>
        <w:t>14</w:t>
      </w:r>
      <w:r w:rsidRPr="0094469E">
        <w:rPr>
          <w:rFonts w:ascii="Times New Roman" w:hAnsi="Times New Roman" w:cs="Times New Roman"/>
          <w:sz w:val="24"/>
          <w:szCs w:val="24"/>
        </w:rPr>
        <w:t>(2), 171.</w:t>
      </w:r>
      <w:bookmarkEnd w:id="737"/>
    </w:p>
    <w:p w14:paraId="1FEE628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38" w:name="_ENREF_231"/>
      <w:r w:rsidRPr="0094469E">
        <w:rPr>
          <w:rFonts w:ascii="Times New Roman" w:hAnsi="Times New Roman" w:cs="Times New Roman"/>
          <w:sz w:val="24"/>
          <w:szCs w:val="24"/>
        </w:rPr>
        <w:t xml:space="preserve">Kvale, S. (2008). </w:t>
      </w:r>
      <w:r w:rsidRPr="0094469E">
        <w:rPr>
          <w:rFonts w:ascii="Times New Roman" w:hAnsi="Times New Roman" w:cs="Times New Roman"/>
          <w:i/>
          <w:sz w:val="24"/>
          <w:szCs w:val="24"/>
        </w:rPr>
        <w:t>Doing interviews</w:t>
      </w:r>
      <w:r w:rsidRPr="0094469E">
        <w:rPr>
          <w:rFonts w:ascii="Times New Roman" w:hAnsi="Times New Roman" w:cs="Times New Roman"/>
          <w:sz w:val="24"/>
          <w:szCs w:val="24"/>
        </w:rPr>
        <w:t>: Sage.</w:t>
      </w:r>
      <w:bookmarkEnd w:id="738"/>
    </w:p>
    <w:p w14:paraId="23AE20EA" w14:textId="181760F5" w:rsidR="0094469E" w:rsidRPr="0094469E" w:rsidRDefault="0094469E" w:rsidP="0094469E">
      <w:pPr>
        <w:pStyle w:val="EndNoteBibliography"/>
        <w:spacing w:line="360" w:lineRule="auto"/>
        <w:rPr>
          <w:rFonts w:ascii="Times New Roman" w:hAnsi="Times New Roman" w:cs="Times New Roman"/>
          <w:sz w:val="24"/>
          <w:szCs w:val="24"/>
        </w:rPr>
      </w:pPr>
      <w:bookmarkStart w:id="739" w:name="_ENREF_232"/>
      <w:r w:rsidRPr="0094469E">
        <w:rPr>
          <w:rFonts w:ascii="Times New Roman" w:hAnsi="Times New Roman" w:cs="Times New Roman"/>
          <w:sz w:val="24"/>
          <w:szCs w:val="24"/>
        </w:rPr>
        <w:t xml:space="preserve">Labuhn, A. S., Zimmerman, B. J., and Hasselhorn, M. (2010). Enhancing students’ self-regulation and mathematics performance: the influence of feedback and self-evaluative standards. </w:t>
      </w:r>
      <w:r w:rsidR="00C71126">
        <w:rPr>
          <w:rFonts w:ascii="Times New Roman" w:hAnsi="Times New Roman" w:cs="Times New Roman"/>
          <w:i/>
          <w:sz w:val="24"/>
          <w:szCs w:val="24"/>
        </w:rPr>
        <w:t>Metacognition and learning</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5</w:t>
      </w:r>
      <w:r w:rsidRPr="0094469E">
        <w:rPr>
          <w:rFonts w:ascii="Times New Roman" w:hAnsi="Times New Roman" w:cs="Times New Roman"/>
          <w:sz w:val="24"/>
          <w:szCs w:val="24"/>
        </w:rPr>
        <w:t>(2), 173-194.</w:t>
      </w:r>
      <w:bookmarkEnd w:id="739"/>
    </w:p>
    <w:p w14:paraId="6055727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0" w:name="_ENREF_233"/>
      <w:r w:rsidRPr="0094469E">
        <w:rPr>
          <w:rFonts w:ascii="Times New Roman" w:hAnsi="Times New Roman" w:cs="Times New Roman"/>
          <w:sz w:val="24"/>
          <w:szCs w:val="24"/>
        </w:rPr>
        <w:t xml:space="preserve">Lam, T., Irwin, M., Chow, L., and Chan, P. (2001). The use of focus group interviews in Asian medical education evaluative research.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35</w:t>
      </w:r>
      <w:r w:rsidRPr="0094469E">
        <w:rPr>
          <w:rFonts w:ascii="Times New Roman" w:hAnsi="Times New Roman" w:cs="Times New Roman"/>
          <w:sz w:val="24"/>
          <w:szCs w:val="24"/>
        </w:rPr>
        <w:t>(5), 510-513.</w:t>
      </w:r>
      <w:bookmarkEnd w:id="740"/>
    </w:p>
    <w:p w14:paraId="7AE5BF8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1" w:name="_ENREF_234"/>
      <w:r w:rsidRPr="0094469E">
        <w:rPr>
          <w:rFonts w:ascii="Times New Roman" w:hAnsi="Times New Roman" w:cs="Times New Roman"/>
          <w:sz w:val="24"/>
          <w:szCs w:val="24"/>
        </w:rPr>
        <w:t xml:space="preserve">Lapadat, J. C., and Lindsay, A. C. (1999). Transcription in research and practice: From standardization of technique to interpretive positionings. </w:t>
      </w:r>
      <w:r w:rsidRPr="0094469E">
        <w:rPr>
          <w:rFonts w:ascii="Times New Roman" w:hAnsi="Times New Roman" w:cs="Times New Roman"/>
          <w:i/>
          <w:sz w:val="24"/>
          <w:szCs w:val="24"/>
        </w:rPr>
        <w:t xml:space="preserve">Qualitative inquiry, </w:t>
      </w:r>
      <w:r w:rsidRPr="0094469E">
        <w:rPr>
          <w:rFonts w:ascii="Times New Roman" w:hAnsi="Times New Roman" w:cs="Times New Roman"/>
          <w:b/>
          <w:sz w:val="24"/>
          <w:szCs w:val="24"/>
        </w:rPr>
        <w:t>5</w:t>
      </w:r>
      <w:r w:rsidRPr="0094469E">
        <w:rPr>
          <w:rFonts w:ascii="Times New Roman" w:hAnsi="Times New Roman" w:cs="Times New Roman"/>
          <w:sz w:val="24"/>
          <w:szCs w:val="24"/>
        </w:rPr>
        <w:t>(1), 64-86.</w:t>
      </w:r>
      <w:bookmarkEnd w:id="741"/>
    </w:p>
    <w:p w14:paraId="3083A090" w14:textId="1F3414E8" w:rsidR="0094469E" w:rsidRPr="0094469E" w:rsidRDefault="0094469E" w:rsidP="0094469E">
      <w:pPr>
        <w:pStyle w:val="EndNoteBibliography"/>
        <w:spacing w:line="360" w:lineRule="auto"/>
        <w:rPr>
          <w:rFonts w:ascii="Times New Roman" w:hAnsi="Times New Roman" w:cs="Times New Roman"/>
          <w:sz w:val="24"/>
          <w:szCs w:val="24"/>
        </w:rPr>
      </w:pPr>
      <w:bookmarkStart w:id="742" w:name="_ENREF_235"/>
      <w:r w:rsidRPr="0094469E">
        <w:rPr>
          <w:rFonts w:ascii="Times New Roman" w:hAnsi="Times New Roman" w:cs="Times New Roman"/>
          <w:sz w:val="24"/>
          <w:szCs w:val="24"/>
        </w:rPr>
        <w:t xml:space="preserve">Lave, J. (1993). The practice of learning. </w:t>
      </w:r>
      <w:r w:rsidRPr="0094469E">
        <w:rPr>
          <w:rFonts w:ascii="Times New Roman" w:hAnsi="Times New Roman" w:cs="Times New Roman"/>
          <w:i/>
          <w:sz w:val="24"/>
          <w:szCs w:val="24"/>
        </w:rPr>
        <w:t xml:space="preserve">Contemporary </w:t>
      </w:r>
      <w:r w:rsidR="00C71126">
        <w:rPr>
          <w:rFonts w:ascii="Times New Roman" w:hAnsi="Times New Roman" w:cs="Times New Roman"/>
          <w:i/>
          <w:sz w:val="24"/>
          <w:szCs w:val="24"/>
        </w:rPr>
        <w:t>l</w:t>
      </w:r>
      <w:r w:rsidRPr="0094469E">
        <w:rPr>
          <w:rFonts w:ascii="Times New Roman" w:hAnsi="Times New Roman" w:cs="Times New Roman"/>
          <w:i/>
          <w:sz w:val="24"/>
          <w:szCs w:val="24"/>
        </w:rPr>
        <w:t xml:space="preserve">earning </w:t>
      </w:r>
      <w:r w:rsidR="00C71126">
        <w:rPr>
          <w:rFonts w:ascii="Times New Roman" w:hAnsi="Times New Roman" w:cs="Times New Roman"/>
          <w:i/>
          <w:sz w:val="24"/>
          <w:szCs w:val="24"/>
        </w:rPr>
        <w:t>t</w:t>
      </w:r>
      <w:r w:rsidRPr="0094469E">
        <w:rPr>
          <w:rFonts w:ascii="Times New Roman" w:hAnsi="Times New Roman" w:cs="Times New Roman"/>
          <w:i/>
          <w:sz w:val="24"/>
          <w:szCs w:val="24"/>
        </w:rPr>
        <w:t>heory</w:t>
      </w:r>
      <w:r w:rsidR="00C71126">
        <w:rPr>
          <w:rFonts w:ascii="Times New Roman" w:hAnsi="Times New Roman" w:cs="Times New Roman"/>
          <w:i/>
          <w:sz w:val="24"/>
          <w:szCs w:val="24"/>
        </w:rPr>
        <w:t xml:space="preserve"> </w:t>
      </w:r>
      <w:r w:rsidRPr="0094469E">
        <w:rPr>
          <w:rFonts w:ascii="Times New Roman" w:hAnsi="Times New Roman" w:cs="Times New Roman"/>
          <w:sz w:val="24"/>
          <w:szCs w:val="24"/>
        </w:rPr>
        <w:t>(200).</w:t>
      </w:r>
      <w:bookmarkEnd w:id="742"/>
    </w:p>
    <w:p w14:paraId="34422F4C" w14:textId="3F7EE0CE" w:rsidR="0094469E" w:rsidRPr="0094469E" w:rsidRDefault="0094469E" w:rsidP="0094469E">
      <w:pPr>
        <w:pStyle w:val="EndNoteBibliography"/>
        <w:spacing w:line="360" w:lineRule="auto"/>
        <w:rPr>
          <w:rFonts w:ascii="Times New Roman" w:hAnsi="Times New Roman" w:cs="Times New Roman"/>
          <w:sz w:val="24"/>
          <w:szCs w:val="24"/>
        </w:rPr>
      </w:pPr>
      <w:bookmarkStart w:id="743" w:name="_ENREF_236"/>
      <w:r w:rsidRPr="0094469E">
        <w:rPr>
          <w:rFonts w:ascii="Times New Roman" w:hAnsi="Times New Roman" w:cs="Times New Roman"/>
          <w:sz w:val="24"/>
          <w:szCs w:val="24"/>
        </w:rPr>
        <w:t xml:space="preserve">Law, M., Stewart, D., Letts, L., Pollock, N., Bosch, J., and Westmorland, M. (1998). Guidelines for critical review of qualitative studies. </w:t>
      </w:r>
      <w:r w:rsidR="00C71126" w:rsidRPr="0094469E">
        <w:rPr>
          <w:rFonts w:ascii="Times New Roman" w:hAnsi="Times New Roman" w:cs="Times New Roman"/>
          <w:i/>
          <w:sz w:val="24"/>
          <w:szCs w:val="24"/>
        </w:rPr>
        <w:t>Mcmaster university occupational therapy evidence-based practice research group</w:t>
      </w:r>
      <w:r w:rsidR="00C71126" w:rsidRPr="0094469E">
        <w:rPr>
          <w:rFonts w:ascii="Times New Roman" w:hAnsi="Times New Roman" w:cs="Times New Roman"/>
          <w:sz w:val="24"/>
          <w:szCs w:val="24"/>
        </w:rPr>
        <w:t>.</w:t>
      </w:r>
      <w:bookmarkEnd w:id="743"/>
    </w:p>
    <w:p w14:paraId="45F20F23" w14:textId="6FEAEE7A" w:rsidR="0094469E" w:rsidRPr="0094469E" w:rsidRDefault="0094469E" w:rsidP="0094469E">
      <w:pPr>
        <w:pStyle w:val="EndNoteBibliography"/>
        <w:spacing w:line="360" w:lineRule="auto"/>
        <w:rPr>
          <w:rFonts w:ascii="Times New Roman" w:hAnsi="Times New Roman" w:cs="Times New Roman"/>
          <w:sz w:val="24"/>
          <w:szCs w:val="24"/>
        </w:rPr>
      </w:pPr>
      <w:bookmarkStart w:id="744" w:name="_ENREF_237"/>
      <w:r w:rsidRPr="0094469E">
        <w:rPr>
          <w:rFonts w:ascii="Times New Roman" w:hAnsi="Times New Roman" w:cs="Times New Roman"/>
          <w:sz w:val="24"/>
          <w:szCs w:val="24"/>
        </w:rPr>
        <w:t xml:space="preserve">Lee, H. W., Lim, K. Y., and Grabowski, B. L. (2010). Improving self-regulation, learning strategy use, and achievement with metacognitive feedback. </w:t>
      </w:r>
      <w:r w:rsidR="00C71126" w:rsidRPr="0094469E">
        <w:rPr>
          <w:rFonts w:ascii="Times New Roman" w:hAnsi="Times New Roman" w:cs="Times New Roman"/>
          <w:i/>
          <w:sz w:val="24"/>
          <w:szCs w:val="24"/>
        </w:rPr>
        <w:t>Educational technology research and development</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58</w:t>
      </w:r>
      <w:r w:rsidRPr="0094469E">
        <w:rPr>
          <w:rFonts w:ascii="Times New Roman" w:hAnsi="Times New Roman" w:cs="Times New Roman"/>
          <w:sz w:val="24"/>
          <w:szCs w:val="24"/>
        </w:rPr>
        <w:t>(6), 629-648.</w:t>
      </w:r>
      <w:bookmarkEnd w:id="744"/>
    </w:p>
    <w:p w14:paraId="5DC12D6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5" w:name="_ENREF_238"/>
      <w:r w:rsidRPr="0094469E">
        <w:rPr>
          <w:rFonts w:ascii="Times New Roman" w:hAnsi="Times New Roman" w:cs="Times New Roman"/>
          <w:sz w:val="24"/>
          <w:szCs w:val="24"/>
        </w:rPr>
        <w:t xml:space="preserve">Lempp, H., and Seale, C. (2006). Medical students' perceptions in relation to ethnicity and gender: a qualitative study. </w:t>
      </w:r>
      <w:r w:rsidRPr="0094469E">
        <w:rPr>
          <w:rFonts w:ascii="Times New Roman" w:hAnsi="Times New Roman" w:cs="Times New Roman"/>
          <w:i/>
          <w:sz w:val="24"/>
          <w:szCs w:val="24"/>
        </w:rPr>
        <w:t xml:space="preserve">BMC medical education, </w:t>
      </w:r>
      <w:r w:rsidRPr="0094469E">
        <w:rPr>
          <w:rFonts w:ascii="Times New Roman" w:hAnsi="Times New Roman" w:cs="Times New Roman"/>
          <w:b/>
          <w:sz w:val="24"/>
          <w:szCs w:val="24"/>
        </w:rPr>
        <w:t>6</w:t>
      </w:r>
      <w:r w:rsidRPr="0094469E">
        <w:rPr>
          <w:rFonts w:ascii="Times New Roman" w:hAnsi="Times New Roman" w:cs="Times New Roman"/>
          <w:sz w:val="24"/>
          <w:szCs w:val="24"/>
        </w:rPr>
        <w:t>, 17.</w:t>
      </w:r>
      <w:bookmarkEnd w:id="745"/>
    </w:p>
    <w:p w14:paraId="602A80B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6" w:name="_ENREF_239"/>
      <w:r w:rsidRPr="0094469E">
        <w:rPr>
          <w:rFonts w:ascii="Times New Roman" w:hAnsi="Times New Roman" w:cs="Times New Roman"/>
          <w:sz w:val="24"/>
          <w:szCs w:val="24"/>
        </w:rPr>
        <w:t xml:space="preserve">Lenk, H. (2003). </w:t>
      </w:r>
      <w:r w:rsidRPr="0094469E">
        <w:rPr>
          <w:rFonts w:ascii="Times New Roman" w:hAnsi="Times New Roman" w:cs="Times New Roman"/>
          <w:i/>
          <w:sz w:val="24"/>
          <w:szCs w:val="24"/>
        </w:rPr>
        <w:t>Grasping Reality: An interpretation-realistic epistemology</w:t>
      </w:r>
      <w:r w:rsidRPr="0094469E">
        <w:rPr>
          <w:rFonts w:ascii="Times New Roman" w:hAnsi="Times New Roman" w:cs="Times New Roman"/>
          <w:sz w:val="24"/>
          <w:szCs w:val="24"/>
        </w:rPr>
        <w:t>: Imperial College Press.</w:t>
      </w:r>
      <w:bookmarkEnd w:id="746"/>
    </w:p>
    <w:p w14:paraId="18E82CC7" w14:textId="2C12DB14" w:rsidR="0094469E" w:rsidRPr="0094469E" w:rsidRDefault="0094469E" w:rsidP="0094469E">
      <w:pPr>
        <w:pStyle w:val="EndNoteBibliography"/>
        <w:spacing w:line="360" w:lineRule="auto"/>
        <w:rPr>
          <w:rFonts w:ascii="Times New Roman" w:hAnsi="Times New Roman" w:cs="Times New Roman"/>
          <w:sz w:val="24"/>
          <w:szCs w:val="24"/>
        </w:rPr>
      </w:pPr>
      <w:bookmarkStart w:id="747" w:name="_ENREF_240"/>
      <w:r w:rsidRPr="0094469E">
        <w:rPr>
          <w:rFonts w:ascii="Times New Roman" w:hAnsi="Times New Roman" w:cs="Times New Roman"/>
          <w:sz w:val="24"/>
          <w:szCs w:val="24"/>
        </w:rPr>
        <w:t xml:space="preserve">Leslie, K., Baker, L., Egan-Lee, E., Esdaile, M., and Reeves, S. (2013). Advancing faculty development in medical education: a systematic review.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88</w:t>
      </w:r>
      <w:r w:rsidRPr="0094469E">
        <w:rPr>
          <w:rFonts w:ascii="Times New Roman" w:hAnsi="Times New Roman" w:cs="Times New Roman"/>
          <w:sz w:val="24"/>
          <w:szCs w:val="24"/>
        </w:rPr>
        <w:t>(7), 1038-1045.</w:t>
      </w:r>
      <w:bookmarkEnd w:id="747"/>
    </w:p>
    <w:p w14:paraId="102FC22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8" w:name="_ENREF_241"/>
      <w:r w:rsidRPr="0094469E">
        <w:rPr>
          <w:rFonts w:ascii="Times New Roman" w:hAnsi="Times New Roman" w:cs="Times New Roman"/>
          <w:sz w:val="24"/>
          <w:szCs w:val="24"/>
        </w:rPr>
        <w:lastRenderedPageBreak/>
        <w:t xml:space="preserve">Lewis, J. (2009). Redefining qualitative methods: Believability in the fifth moment. </w:t>
      </w:r>
      <w:r w:rsidRPr="0094469E">
        <w:rPr>
          <w:rFonts w:ascii="Times New Roman" w:hAnsi="Times New Roman" w:cs="Times New Roman"/>
          <w:i/>
          <w:sz w:val="24"/>
          <w:szCs w:val="24"/>
        </w:rPr>
        <w:t xml:space="preserve">International journal of qualitative methods, </w:t>
      </w:r>
      <w:r w:rsidRPr="0094469E">
        <w:rPr>
          <w:rFonts w:ascii="Times New Roman" w:hAnsi="Times New Roman" w:cs="Times New Roman"/>
          <w:b/>
          <w:sz w:val="24"/>
          <w:szCs w:val="24"/>
        </w:rPr>
        <w:t>8</w:t>
      </w:r>
      <w:r w:rsidRPr="0094469E">
        <w:rPr>
          <w:rFonts w:ascii="Times New Roman" w:hAnsi="Times New Roman" w:cs="Times New Roman"/>
          <w:sz w:val="24"/>
          <w:szCs w:val="24"/>
        </w:rPr>
        <w:t>(2), 1-14.</w:t>
      </w:r>
      <w:bookmarkEnd w:id="748"/>
    </w:p>
    <w:p w14:paraId="714CE8B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49" w:name="_ENREF_242"/>
      <w:r w:rsidRPr="0094469E">
        <w:rPr>
          <w:rFonts w:ascii="Times New Roman" w:hAnsi="Times New Roman" w:cs="Times New Roman"/>
          <w:sz w:val="24"/>
          <w:szCs w:val="24"/>
        </w:rPr>
        <w:t xml:space="preserve">Lewis, J., and Ritchie, J. (2003). Generalising from qualitative research. </w:t>
      </w:r>
      <w:r w:rsidRPr="0094469E">
        <w:rPr>
          <w:rFonts w:ascii="Times New Roman" w:hAnsi="Times New Roman" w:cs="Times New Roman"/>
          <w:i/>
          <w:sz w:val="24"/>
          <w:szCs w:val="24"/>
        </w:rPr>
        <w:t>Qualitative research practice: A guide for social science students and researchers</w:t>
      </w:r>
      <w:r w:rsidRPr="0094469E">
        <w:rPr>
          <w:rFonts w:ascii="Times New Roman" w:hAnsi="Times New Roman" w:cs="Times New Roman"/>
          <w:sz w:val="24"/>
          <w:szCs w:val="24"/>
        </w:rPr>
        <w:t>, 263-286.</w:t>
      </w:r>
      <w:bookmarkEnd w:id="749"/>
    </w:p>
    <w:p w14:paraId="0D6AF7E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0" w:name="_ENREF_243"/>
      <w:r w:rsidRPr="0094469E">
        <w:rPr>
          <w:rFonts w:ascii="Times New Roman" w:hAnsi="Times New Roman" w:cs="Times New Roman"/>
          <w:sz w:val="24"/>
          <w:szCs w:val="24"/>
        </w:rPr>
        <w:t xml:space="preserve">Lincoln, Y. S., and Guba, E. G. (1985). </w:t>
      </w:r>
      <w:r w:rsidRPr="0094469E">
        <w:rPr>
          <w:rFonts w:ascii="Times New Roman" w:hAnsi="Times New Roman" w:cs="Times New Roman"/>
          <w:i/>
          <w:sz w:val="24"/>
          <w:szCs w:val="24"/>
        </w:rPr>
        <w:t>Naturalistic inquiry</w:t>
      </w:r>
      <w:r w:rsidRPr="0094469E">
        <w:rPr>
          <w:rFonts w:ascii="Times New Roman" w:hAnsi="Times New Roman" w:cs="Times New Roman"/>
          <w:sz w:val="24"/>
          <w:szCs w:val="24"/>
        </w:rPr>
        <w:t>. Beverly Hills, CA: Sage.</w:t>
      </w:r>
      <w:bookmarkEnd w:id="750"/>
    </w:p>
    <w:p w14:paraId="47877FF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1" w:name="_ENREF_244"/>
      <w:r w:rsidRPr="0094469E">
        <w:rPr>
          <w:rFonts w:ascii="Times New Roman" w:hAnsi="Times New Roman" w:cs="Times New Roman"/>
          <w:sz w:val="24"/>
          <w:szCs w:val="24"/>
        </w:rPr>
        <w:t xml:space="preserve">Lincoln, Y. S., Lynham, S. A., and Guba, E. G. (2011). Paradigmatic controversies, contradictions, and emerging confluences, revisited. </w:t>
      </w:r>
      <w:r w:rsidRPr="0094469E">
        <w:rPr>
          <w:rFonts w:ascii="Times New Roman" w:hAnsi="Times New Roman" w:cs="Times New Roman"/>
          <w:i/>
          <w:sz w:val="24"/>
          <w:szCs w:val="24"/>
        </w:rPr>
        <w:t xml:space="preserve">The Sage handbook of qualitative research, </w:t>
      </w:r>
      <w:r w:rsidRPr="0094469E">
        <w:rPr>
          <w:rFonts w:ascii="Times New Roman" w:hAnsi="Times New Roman" w:cs="Times New Roman"/>
          <w:b/>
          <w:sz w:val="24"/>
          <w:szCs w:val="24"/>
        </w:rPr>
        <w:t>4</w:t>
      </w:r>
      <w:r w:rsidRPr="0094469E">
        <w:rPr>
          <w:rFonts w:ascii="Times New Roman" w:hAnsi="Times New Roman" w:cs="Times New Roman"/>
          <w:sz w:val="24"/>
          <w:szCs w:val="24"/>
        </w:rPr>
        <w:t>, 97-128.</w:t>
      </w:r>
      <w:bookmarkEnd w:id="751"/>
    </w:p>
    <w:p w14:paraId="070A785E" w14:textId="33DF187E" w:rsidR="0094469E" w:rsidRPr="0094469E" w:rsidRDefault="0094469E" w:rsidP="0094469E">
      <w:pPr>
        <w:pStyle w:val="EndNoteBibliography"/>
        <w:spacing w:line="360" w:lineRule="auto"/>
        <w:rPr>
          <w:rFonts w:ascii="Times New Roman" w:hAnsi="Times New Roman" w:cs="Times New Roman"/>
          <w:sz w:val="24"/>
          <w:szCs w:val="24"/>
        </w:rPr>
      </w:pPr>
      <w:bookmarkStart w:id="752" w:name="_ENREF_245"/>
      <w:r w:rsidRPr="0094469E">
        <w:rPr>
          <w:rFonts w:ascii="Times New Roman" w:hAnsi="Times New Roman" w:cs="Times New Roman"/>
          <w:sz w:val="24"/>
          <w:szCs w:val="24"/>
        </w:rPr>
        <w:t xml:space="preserve">Livingston, C., and Borko, H. (1989). Expert-novice differences in teaching: A cognitive analysis and implications for teacher education. </w:t>
      </w:r>
      <w:r w:rsidRPr="0094469E">
        <w:rPr>
          <w:rFonts w:ascii="Times New Roman" w:hAnsi="Times New Roman" w:cs="Times New Roman"/>
          <w:i/>
          <w:sz w:val="24"/>
          <w:szCs w:val="24"/>
        </w:rPr>
        <w:t xml:space="preserve">Journal of </w:t>
      </w:r>
      <w:r w:rsidR="00C71126">
        <w:rPr>
          <w:rFonts w:ascii="Times New Roman" w:hAnsi="Times New Roman" w:cs="Times New Roman"/>
          <w:i/>
          <w:sz w:val="24"/>
          <w:szCs w:val="24"/>
        </w:rPr>
        <w:t>t</w:t>
      </w:r>
      <w:r w:rsidRPr="0094469E">
        <w:rPr>
          <w:rFonts w:ascii="Times New Roman" w:hAnsi="Times New Roman" w:cs="Times New Roman"/>
          <w:i/>
          <w:sz w:val="24"/>
          <w:szCs w:val="24"/>
        </w:rPr>
        <w:t xml:space="preserve">eacher </w:t>
      </w:r>
      <w:r w:rsidR="00C71126">
        <w:rPr>
          <w:rFonts w:ascii="Times New Roman" w:hAnsi="Times New Roman" w:cs="Times New Roman"/>
          <w:i/>
          <w:sz w:val="24"/>
          <w:szCs w:val="24"/>
        </w:rPr>
        <w:t>e</w:t>
      </w:r>
      <w:r w:rsidRPr="0094469E">
        <w:rPr>
          <w:rFonts w:ascii="Times New Roman" w:hAnsi="Times New Roman" w:cs="Times New Roman"/>
          <w:i/>
          <w:sz w:val="24"/>
          <w:szCs w:val="24"/>
        </w:rPr>
        <w:t xml:space="preserve">ducation, </w:t>
      </w:r>
      <w:r w:rsidRPr="0094469E">
        <w:rPr>
          <w:rFonts w:ascii="Times New Roman" w:hAnsi="Times New Roman" w:cs="Times New Roman"/>
          <w:b/>
          <w:sz w:val="24"/>
          <w:szCs w:val="24"/>
        </w:rPr>
        <w:t>40</w:t>
      </w:r>
      <w:r w:rsidRPr="0094469E">
        <w:rPr>
          <w:rFonts w:ascii="Times New Roman" w:hAnsi="Times New Roman" w:cs="Times New Roman"/>
          <w:sz w:val="24"/>
          <w:szCs w:val="24"/>
        </w:rPr>
        <w:t>(4), 36-42.</w:t>
      </w:r>
      <w:bookmarkEnd w:id="752"/>
    </w:p>
    <w:p w14:paraId="3794C8F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3" w:name="_ENREF_246"/>
      <w:r w:rsidRPr="0094469E">
        <w:rPr>
          <w:rFonts w:ascii="Times New Roman" w:hAnsi="Times New Roman" w:cs="Times New Roman"/>
          <w:sz w:val="24"/>
          <w:szCs w:val="24"/>
        </w:rPr>
        <w:t xml:space="preserve">Lix, L. M., Keselman, J. C., and Keselman, H. (1996). Consequences of assumption violations revisited: A quantitative review of alternatives to the one-way analysis of variance F test. </w:t>
      </w:r>
      <w:r w:rsidRPr="0094469E">
        <w:rPr>
          <w:rFonts w:ascii="Times New Roman" w:hAnsi="Times New Roman" w:cs="Times New Roman"/>
          <w:i/>
          <w:sz w:val="24"/>
          <w:szCs w:val="24"/>
        </w:rPr>
        <w:t xml:space="preserve">Review of educational research, </w:t>
      </w:r>
      <w:r w:rsidRPr="0094469E">
        <w:rPr>
          <w:rFonts w:ascii="Times New Roman" w:hAnsi="Times New Roman" w:cs="Times New Roman"/>
          <w:b/>
          <w:sz w:val="24"/>
          <w:szCs w:val="24"/>
        </w:rPr>
        <w:t>66</w:t>
      </w:r>
      <w:r w:rsidRPr="0094469E">
        <w:rPr>
          <w:rFonts w:ascii="Times New Roman" w:hAnsi="Times New Roman" w:cs="Times New Roman"/>
          <w:sz w:val="24"/>
          <w:szCs w:val="24"/>
        </w:rPr>
        <w:t>(4), 579-619.</w:t>
      </w:r>
      <w:bookmarkEnd w:id="753"/>
    </w:p>
    <w:p w14:paraId="3A026B0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4" w:name="_ENREF_247"/>
      <w:r w:rsidRPr="0094469E">
        <w:rPr>
          <w:rFonts w:ascii="Times New Roman" w:hAnsi="Times New Roman" w:cs="Times New Roman"/>
          <w:sz w:val="24"/>
          <w:szCs w:val="24"/>
        </w:rPr>
        <w:t xml:space="preserve">Lofland, J., and Lofland, L. H. (2006). </w:t>
      </w:r>
      <w:r w:rsidRPr="0094469E">
        <w:rPr>
          <w:rFonts w:ascii="Times New Roman" w:hAnsi="Times New Roman" w:cs="Times New Roman"/>
          <w:i/>
          <w:sz w:val="24"/>
          <w:szCs w:val="24"/>
        </w:rPr>
        <w:t>Analyzing social settings</w:t>
      </w:r>
      <w:r w:rsidRPr="0094469E">
        <w:rPr>
          <w:rFonts w:ascii="Times New Roman" w:hAnsi="Times New Roman" w:cs="Times New Roman"/>
          <w:sz w:val="24"/>
          <w:szCs w:val="24"/>
        </w:rPr>
        <w:t>: Wadsworth Publishing Company Belmont, CA.</w:t>
      </w:r>
      <w:bookmarkEnd w:id="754"/>
    </w:p>
    <w:p w14:paraId="086F8EE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5" w:name="_ENREF_248"/>
      <w:r w:rsidRPr="0094469E">
        <w:rPr>
          <w:rFonts w:ascii="Times New Roman" w:hAnsi="Times New Roman" w:cs="Times New Roman"/>
          <w:sz w:val="24"/>
          <w:szCs w:val="24"/>
        </w:rPr>
        <w:t xml:space="preserve">Longhurst, R. (2003). Semi-structured interviews and focus groups </w:t>
      </w:r>
      <w:r w:rsidRPr="0094469E">
        <w:rPr>
          <w:rFonts w:ascii="Times New Roman" w:hAnsi="Times New Roman" w:cs="Times New Roman"/>
          <w:i/>
          <w:sz w:val="24"/>
          <w:szCs w:val="24"/>
        </w:rPr>
        <w:t>Key methods in geography</w:t>
      </w:r>
      <w:r w:rsidRPr="0094469E">
        <w:rPr>
          <w:rFonts w:ascii="Times New Roman" w:hAnsi="Times New Roman" w:cs="Times New Roman"/>
          <w:sz w:val="24"/>
          <w:szCs w:val="24"/>
        </w:rPr>
        <w:t xml:space="preserve"> (pp. 117-132): Sage London.</w:t>
      </w:r>
      <w:bookmarkEnd w:id="755"/>
    </w:p>
    <w:p w14:paraId="0DA29B9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6" w:name="_ENREF_249"/>
      <w:r w:rsidRPr="0094469E">
        <w:rPr>
          <w:rFonts w:ascii="Times New Roman" w:hAnsi="Times New Roman" w:cs="Times New Roman"/>
          <w:sz w:val="24"/>
          <w:szCs w:val="24"/>
        </w:rPr>
        <w:t xml:space="preserve">Lucieer, S. M., Jonker, L., Visscher, C., Rikers, R. M., and Themmen, A. P. (2015). Self-regulated learning and academic performance in medical education. </w:t>
      </w:r>
      <w:r w:rsidRPr="0094469E">
        <w:rPr>
          <w:rFonts w:ascii="Times New Roman" w:hAnsi="Times New Roman" w:cs="Times New Roman"/>
          <w:i/>
          <w:sz w:val="24"/>
          <w:szCs w:val="24"/>
        </w:rPr>
        <w:t>Medical teacher</w:t>
      </w:r>
      <w:r w:rsidRPr="0094469E">
        <w:rPr>
          <w:rFonts w:ascii="Times New Roman" w:hAnsi="Times New Roman" w:cs="Times New Roman"/>
          <w:sz w:val="24"/>
          <w:szCs w:val="24"/>
        </w:rPr>
        <w:t>, 1-9.</w:t>
      </w:r>
      <w:bookmarkEnd w:id="756"/>
    </w:p>
    <w:p w14:paraId="1E368663" w14:textId="036B7E81" w:rsidR="0094469E" w:rsidRPr="0094469E" w:rsidRDefault="0094469E" w:rsidP="0094469E">
      <w:pPr>
        <w:pStyle w:val="EndNoteBibliography"/>
        <w:spacing w:line="360" w:lineRule="auto"/>
        <w:rPr>
          <w:rFonts w:ascii="Times New Roman" w:hAnsi="Times New Roman" w:cs="Times New Roman"/>
          <w:sz w:val="24"/>
          <w:szCs w:val="24"/>
        </w:rPr>
      </w:pPr>
      <w:bookmarkStart w:id="757" w:name="_ENREF_250"/>
      <w:r w:rsidRPr="0094469E">
        <w:rPr>
          <w:rFonts w:ascii="Times New Roman" w:hAnsi="Times New Roman" w:cs="Times New Roman"/>
          <w:sz w:val="24"/>
          <w:szCs w:val="24"/>
        </w:rPr>
        <w:t xml:space="preserve">Luzzo, D. A. (1995). Gender differences in college students' career maturity and perceived barriers in career development. </w:t>
      </w:r>
      <w:r w:rsidRPr="0094469E">
        <w:rPr>
          <w:rFonts w:ascii="Times New Roman" w:hAnsi="Times New Roman" w:cs="Times New Roman"/>
          <w:i/>
          <w:sz w:val="24"/>
          <w:szCs w:val="24"/>
        </w:rPr>
        <w:t xml:space="preserve">Journal of </w:t>
      </w:r>
      <w:r w:rsidR="00C71126">
        <w:rPr>
          <w:rFonts w:ascii="Times New Roman" w:hAnsi="Times New Roman" w:cs="Times New Roman"/>
          <w:i/>
          <w:sz w:val="24"/>
          <w:szCs w:val="24"/>
        </w:rPr>
        <w:t>c</w:t>
      </w:r>
      <w:r w:rsidRPr="0094469E">
        <w:rPr>
          <w:rFonts w:ascii="Times New Roman" w:hAnsi="Times New Roman" w:cs="Times New Roman"/>
          <w:i/>
          <w:sz w:val="24"/>
          <w:szCs w:val="24"/>
        </w:rPr>
        <w:t xml:space="preserve">ounseling and </w:t>
      </w:r>
      <w:r w:rsidR="00C71126">
        <w:rPr>
          <w:rFonts w:ascii="Times New Roman" w:hAnsi="Times New Roman" w:cs="Times New Roman"/>
          <w:i/>
          <w:sz w:val="24"/>
          <w:szCs w:val="24"/>
        </w:rPr>
        <w:t>d</w:t>
      </w:r>
      <w:r w:rsidRPr="0094469E">
        <w:rPr>
          <w:rFonts w:ascii="Times New Roman" w:hAnsi="Times New Roman" w:cs="Times New Roman"/>
          <w:i/>
          <w:sz w:val="24"/>
          <w:szCs w:val="24"/>
        </w:rPr>
        <w:t xml:space="preserve">evelopment, </w:t>
      </w:r>
      <w:r w:rsidRPr="0094469E">
        <w:rPr>
          <w:rFonts w:ascii="Times New Roman" w:hAnsi="Times New Roman" w:cs="Times New Roman"/>
          <w:b/>
          <w:sz w:val="24"/>
          <w:szCs w:val="24"/>
        </w:rPr>
        <w:t>73</w:t>
      </w:r>
      <w:r w:rsidRPr="0094469E">
        <w:rPr>
          <w:rFonts w:ascii="Times New Roman" w:hAnsi="Times New Roman" w:cs="Times New Roman"/>
          <w:sz w:val="24"/>
          <w:szCs w:val="24"/>
        </w:rPr>
        <w:t>(3), 319.</w:t>
      </w:r>
      <w:bookmarkEnd w:id="757"/>
    </w:p>
    <w:p w14:paraId="4D029A0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8" w:name="_ENREF_251"/>
      <w:r w:rsidRPr="0094469E">
        <w:rPr>
          <w:rFonts w:ascii="Times New Roman" w:hAnsi="Times New Roman" w:cs="Times New Roman"/>
          <w:sz w:val="24"/>
          <w:szCs w:val="24"/>
        </w:rPr>
        <w:t xml:space="preserve">Lynd, R. S., and Lynd, H. M. (1957). Middletown: A Study in Modern American Culture. 1929. </w:t>
      </w:r>
      <w:r w:rsidRPr="0094469E">
        <w:rPr>
          <w:rFonts w:ascii="Times New Roman" w:hAnsi="Times New Roman" w:cs="Times New Roman"/>
          <w:i/>
          <w:sz w:val="24"/>
          <w:szCs w:val="24"/>
        </w:rPr>
        <w:t>Reprint, Florida: Harcourt Brace Jovanovich</w:t>
      </w:r>
      <w:r w:rsidRPr="0094469E">
        <w:rPr>
          <w:rFonts w:ascii="Times New Roman" w:hAnsi="Times New Roman" w:cs="Times New Roman"/>
          <w:sz w:val="24"/>
          <w:szCs w:val="24"/>
        </w:rPr>
        <w:t>.</w:t>
      </w:r>
      <w:bookmarkEnd w:id="758"/>
    </w:p>
    <w:p w14:paraId="3DA8F0C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59" w:name="_ENREF_252"/>
      <w:r w:rsidRPr="0094469E">
        <w:rPr>
          <w:rFonts w:ascii="Times New Roman" w:hAnsi="Times New Roman" w:cs="Times New Roman"/>
          <w:sz w:val="24"/>
          <w:szCs w:val="24"/>
        </w:rPr>
        <w:t xml:space="preserve">MacDougall, J., and Drummond, M. J. (2005). The development of medical teachers: an enquiry into the learning histories of 10 experienced medical teachers.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39</w:t>
      </w:r>
      <w:r w:rsidRPr="0094469E">
        <w:rPr>
          <w:rFonts w:ascii="Times New Roman" w:hAnsi="Times New Roman" w:cs="Times New Roman"/>
          <w:sz w:val="24"/>
          <w:szCs w:val="24"/>
        </w:rPr>
        <w:t>(12), 1213-1220.</w:t>
      </w:r>
      <w:bookmarkEnd w:id="759"/>
    </w:p>
    <w:p w14:paraId="4C22DF89" w14:textId="4202D7AD" w:rsidR="0094469E" w:rsidRPr="0094469E" w:rsidRDefault="0094469E" w:rsidP="0094469E">
      <w:pPr>
        <w:pStyle w:val="EndNoteBibliography"/>
        <w:spacing w:line="360" w:lineRule="auto"/>
        <w:rPr>
          <w:rFonts w:ascii="Times New Roman" w:hAnsi="Times New Roman" w:cs="Times New Roman"/>
          <w:sz w:val="24"/>
          <w:szCs w:val="24"/>
        </w:rPr>
      </w:pPr>
      <w:bookmarkStart w:id="760" w:name="_ENREF_253"/>
      <w:r w:rsidRPr="0094469E">
        <w:rPr>
          <w:rFonts w:ascii="Times New Roman" w:hAnsi="Times New Roman" w:cs="Times New Roman"/>
          <w:sz w:val="24"/>
          <w:szCs w:val="24"/>
        </w:rPr>
        <w:lastRenderedPageBreak/>
        <w:t xml:space="preserve">Malmberg, J., Järvelä, S., and Kirschner, P. A. (2014). Elementary school students’ strategic learning: does task-type matter? </w:t>
      </w:r>
      <w:r w:rsidR="00C71126">
        <w:rPr>
          <w:rFonts w:ascii="Times New Roman" w:hAnsi="Times New Roman" w:cs="Times New Roman"/>
          <w:i/>
          <w:sz w:val="24"/>
          <w:szCs w:val="24"/>
        </w:rPr>
        <w:t>Metacognition and learning</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9</w:t>
      </w:r>
      <w:r w:rsidRPr="0094469E">
        <w:rPr>
          <w:rFonts w:ascii="Times New Roman" w:hAnsi="Times New Roman" w:cs="Times New Roman"/>
          <w:sz w:val="24"/>
          <w:szCs w:val="24"/>
        </w:rPr>
        <w:t>(2), 113-136.</w:t>
      </w:r>
      <w:bookmarkEnd w:id="760"/>
    </w:p>
    <w:p w14:paraId="7C3DF63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61" w:name="_ENREF_254"/>
      <w:r w:rsidRPr="0094469E">
        <w:rPr>
          <w:rFonts w:ascii="Times New Roman" w:hAnsi="Times New Roman" w:cs="Times New Roman"/>
          <w:sz w:val="24"/>
          <w:szCs w:val="24"/>
        </w:rPr>
        <w:t xml:space="preserve">Malterud, K. (2001). Qualitative research: standards, challenges, and guidelines. </w:t>
      </w:r>
      <w:r w:rsidRPr="0094469E">
        <w:rPr>
          <w:rFonts w:ascii="Times New Roman" w:hAnsi="Times New Roman" w:cs="Times New Roman"/>
          <w:i/>
          <w:sz w:val="24"/>
          <w:szCs w:val="24"/>
        </w:rPr>
        <w:t xml:space="preserve">The lancet, </w:t>
      </w:r>
      <w:r w:rsidRPr="0094469E">
        <w:rPr>
          <w:rFonts w:ascii="Times New Roman" w:hAnsi="Times New Roman" w:cs="Times New Roman"/>
          <w:b/>
          <w:sz w:val="24"/>
          <w:szCs w:val="24"/>
        </w:rPr>
        <w:t>358</w:t>
      </w:r>
      <w:r w:rsidRPr="0094469E">
        <w:rPr>
          <w:rFonts w:ascii="Times New Roman" w:hAnsi="Times New Roman" w:cs="Times New Roman"/>
          <w:sz w:val="24"/>
          <w:szCs w:val="24"/>
        </w:rPr>
        <w:t>(9280), 483-488.</w:t>
      </w:r>
      <w:bookmarkEnd w:id="761"/>
    </w:p>
    <w:p w14:paraId="5411569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62" w:name="_ENREF_255"/>
      <w:r w:rsidRPr="0094469E">
        <w:rPr>
          <w:rFonts w:ascii="Times New Roman" w:hAnsi="Times New Roman" w:cs="Times New Roman"/>
          <w:sz w:val="24"/>
          <w:szCs w:val="24"/>
        </w:rPr>
        <w:t xml:space="preserve">Mardia, K. V. (1970). Measures of multivariate skewness and kurtosis with applications. </w:t>
      </w:r>
      <w:r w:rsidRPr="0094469E">
        <w:rPr>
          <w:rFonts w:ascii="Times New Roman" w:hAnsi="Times New Roman" w:cs="Times New Roman"/>
          <w:i/>
          <w:sz w:val="24"/>
          <w:szCs w:val="24"/>
        </w:rPr>
        <w:t>Biometrika</w:t>
      </w:r>
      <w:r w:rsidRPr="0094469E">
        <w:rPr>
          <w:rFonts w:ascii="Times New Roman" w:hAnsi="Times New Roman" w:cs="Times New Roman"/>
          <w:sz w:val="24"/>
          <w:szCs w:val="24"/>
        </w:rPr>
        <w:t>, 519-530.</w:t>
      </w:r>
      <w:bookmarkEnd w:id="762"/>
    </w:p>
    <w:p w14:paraId="552A0C7F" w14:textId="6FB82003" w:rsidR="0094469E" w:rsidRPr="0094469E" w:rsidRDefault="0094469E" w:rsidP="0094469E">
      <w:pPr>
        <w:pStyle w:val="EndNoteBibliography"/>
        <w:spacing w:line="360" w:lineRule="auto"/>
        <w:rPr>
          <w:rFonts w:ascii="Times New Roman" w:hAnsi="Times New Roman" w:cs="Times New Roman"/>
          <w:sz w:val="24"/>
          <w:szCs w:val="24"/>
        </w:rPr>
      </w:pPr>
      <w:bookmarkStart w:id="763" w:name="_ENREF_256"/>
      <w:r w:rsidRPr="0094469E">
        <w:rPr>
          <w:rFonts w:ascii="Times New Roman" w:hAnsi="Times New Roman" w:cs="Times New Roman"/>
          <w:sz w:val="24"/>
          <w:szCs w:val="24"/>
        </w:rPr>
        <w:t xml:space="preserve">Mardia, K. V. (1974). Applications of some measures of multivariate skewness and kurtosis in testing normality and robustness studies. </w:t>
      </w:r>
      <w:r w:rsidRPr="0094469E">
        <w:rPr>
          <w:rFonts w:ascii="Times New Roman" w:hAnsi="Times New Roman" w:cs="Times New Roman"/>
          <w:i/>
          <w:sz w:val="24"/>
          <w:szCs w:val="24"/>
        </w:rPr>
        <w:t xml:space="preserve">Sankhyā: The Indian </w:t>
      </w:r>
      <w:r w:rsidR="00C71126" w:rsidRPr="0094469E">
        <w:rPr>
          <w:rFonts w:ascii="Times New Roman" w:hAnsi="Times New Roman" w:cs="Times New Roman"/>
          <w:i/>
          <w:sz w:val="24"/>
          <w:szCs w:val="24"/>
        </w:rPr>
        <w:t>journal of statistics</w:t>
      </w:r>
      <w:r w:rsidRPr="0094469E">
        <w:rPr>
          <w:rFonts w:ascii="Times New Roman" w:hAnsi="Times New Roman" w:cs="Times New Roman"/>
          <w:i/>
          <w:sz w:val="24"/>
          <w:szCs w:val="24"/>
        </w:rPr>
        <w:t>, Series B</w:t>
      </w:r>
      <w:r w:rsidRPr="0094469E">
        <w:rPr>
          <w:rFonts w:ascii="Times New Roman" w:hAnsi="Times New Roman" w:cs="Times New Roman"/>
          <w:sz w:val="24"/>
          <w:szCs w:val="24"/>
        </w:rPr>
        <w:t>, 115-128.</w:t>
      </w:r>
      <w:bookmarkEnd w:id="763"/>
    </w:p>
    <w:p w14:paraId="1128ADAC" w14:textId="0218CF1C" w:rsidR="0094469E" w:rsidRPr="0094469E" w:rsidRDefault="0094469E" w:rsidP="0094469E">
      <w:pPr>
        <w:pStyle w:val="EndNoteBibliography"/>
        <w:spacing w:line="360" w:lineRule="auto"/>
        <w:rPr>
          <w:rFonts w:ascii="Times New Roman" w:hAnsi="Times New Roman" w:cs="Times New Roman"/>
          <w:sz w:val="24"/>
          <w:szCs w:val="24"/>
        </w:rPr>
      </w:pPr>
      <w:bookmarkStart w:id="764" w:name="_ENREF_257"/>
      <w:r w:rsidRPr="0094469E">
        <w:rPr>
          <w:rFonts w:ascii="Times New Roman" w:hAnsi="Times New Roman" w:cs="Times New Roman"/>
          <w:sz w:val="24"/>
          <w:szCs w:val="24"/>
        </w:rPr>
        <w:t xml:space="preserve">Marton, F., and Pong, W. Y. (2005). On the unit of description in phenomenography. </w:t>
      </w:r>
      <w:r w:rsidRPr="0094469E">
        <w:rPr>
          <w:rFonts w:ascii="Times New Roman" w:hAnsi="Times New Roman" w:cs="Times New Roman"/>
          <w:i/>
          <w:sz w:val="24"/>
          <w:szCs w:val="24"/>
        </w:rPr>
        <w:t xml:space="preserve">Higher education research </w:t>
      </w:r>
      <w:r w:rsidR="00C71126">
        <w:rPr>
          <w:rFonts w:ascii="Times New Roman" w:hAnsi="Times New Roman" w:cs="Times New Roman"/>
          <w:i/>
          <w:sz w:val="24"/>
          <w:szCs w:val="24"/>
        </w:rPr>
        <w:t>and</w:t>
      </w:r>
      <w:r w:rsidRPr="0094469E">
        <w:rPr>
          <w:rFonts w:ascii="Times New Roman" w:hAnsi="Times New Roman" w:cs="Times New Roman"/>
          <w:i/>
          <w:sz w:val="24"/>
          <w:szCs w:val="24"/>
        </w:rPr>
        <w:t xml:space="preserve"> development, </w:t>
      </w:r>
      <w:r w:rsidRPr="0094469E">
        <w:rPr>
          <w:rFonts w:ascii="Times New Roman" w:hAnsi="Times New Roman" w:cs="Times New Roman"/>
          <w:b/>
          <w:sz w:val="24"/>
          <w:szCs w:val="24"/>
        </w:rPr>
        <w:t>24</w:t>
      </w:r>
      <w:r w:rsidRPr="0094469E">
        <w:rPr>
          <w:rFonts w:ascii="Times New Roman" w:hAnsi="Times New Roman" w:cs="Times New Roman"/>
          <w:sz w:val="24"/>
          <w:szCs w:val="24"/>
        </w:rPr>
        <w:t>(4), 335-348.</w:t>
      </w:r>
      <w:bookmarkEnd w:id="764"/>
    </w:p>
    <w:p w14:paraId="524D8703" w14:textId="20137D43" w:rsidR="0094469E" w:rsidRPr="0094469E" w:rsidRDefault="0094469E" w:rsidP="0094469E">
      <w:pPr>
        <w:pStyle w:val="EndNoteBibliography"/>
        <w:spacing w:line="360" w:lineRule="auto"/>
        <w:rPr>
          <w:rFonts w:ascii="Times New Roman" w:hAnsi="Times New Roman" w:cs="Times New Roman"/>
          <w:sz w:val="24"/>
          <w:szCs w:val="24"/>
        </w:rPr>
      </w:pPr>
      <w:bookmarkStart w:id="765" w:name="_ENREF_258"/>
      <w:r w:rsidRPr="0094469E">
        <w:rPr>
          <w:rFonts w:ascii="Times New Roman" w:hAnsi="Times New Roman" w:cs="Times New Roman"/>
          <w:sz w:val="24"/>
          <w:szCs w:val="24"/>
        </w:rPr>
        <w:t xml:space="preserve">Mauchly, J. W. (1940). Significance test for sphericity of a normal n-variate distribution. </w:t>
      </w:r>
      <w:r w:rsidRPr="0094469E">
        <w:rPr>
          <w:rFonts w:ascii="Times New Roman" w:hAnsi="Times New Roman" w:cs="Times New Roman"/>
          <w:i/>
          <w:sz w:val="24"/>
          <w:szCs w:val="24"/>
        </w:rPr>
        <w:t xml:space="preserve">The </w:t>
      </w:r>
      <w:r w:rsidR="00C71126" w:rsidRPr="0094469E">
        <w:rPr>
          <w:rFonts w:ascii="Times New Roman" w:hAnsi="Times New Roman" w:cs="Times New Roman"/>
          <w:i/>
          <w:sz w:val="24"/>
          <w:szCs w:val="24"/>
        </w:rPr>
        <w:t>annals of mathematical statistics</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11</w:t>
      </w:r>
      <w:r w:rsidRPr="0094469E">
        <w:rPr>
          <w:rFonts w:ascii="Times New Roman" w:hAnsi="Times New Roman" w:cs="Times New Roman"/>
          <w:sz w:val="24"/>
          <w:szCs w:val="24"/>
        </w:rPr>
        <w:t>(2), 204-209.</w:t>
      </w:r>
      <w:bookmarkEnd w:id="765"/>
    </w:p>
    <w:p w14:paraId="5ED1849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66" w:name="_ENREF_259"/>
      <w:r w:rsidRPr="0094469E">
        <w:rPr>
          <w:rFonts w:ascii="Times New Roman" w:hAnsi="Times New Roman" w:cs="Times New Roman"/>
          <w:sz w:val="24"/>
          <w:szCs w:val="24"/>
        </w:rPr>
        <w:t xml:space="preserve">Maxwell, J. A. (2012). What Is Realism, and Why Should Qualitative Researchers Care? </w:t>
      </w:r>
      <w:r w:rsidRPr="0094469E">
        <w:rPr>
          <w:rFonts w:ascii="Times New Roman" w:hAnsi="Times New Roman" w:cs="Times New Roman"/>
          <w:i/>
          <w:sz w:val="24"/>
          <w:szCs w:val="24"/>
        </w:rPr>
        <w:t>A realist approach for qualitative research</w:t>
      </w:r>
      <w:r w:rsidRPr="0094469E">
        <w:rPr>
          <w:rFonts w:ascii="Times New Roman" w:hAnsi="Times New Roman" w:cs="Times New Roman"/>
          <w:sz w:val="24"/>
          <w:szCs w:val="24"/>
        </w:rPr>
        <w:t xml:space="preserve"> (pp. 3-13): Sage.</w:t>
      </w:r>
      <w:bookmarkEnd w:id="766"/>
    </w:p>
    <w:p w14:paraId="7E03BFBA" w14:textId="27FBF2A2" w:rsidR="0094469E" w:rsidRPr="0094469E" w:rsidRDefault="0094469E" w:rsidP="0094469E">
      <w:pPr>
        <w:pStyle w:val="EndNoteBibliography"/>
        <w:spacing w:line="360" w:lineRule="auto"/>
        <w:rPr>
          <w:rFonts w:ascii="Times New Roman" w:hAnsi="Times New Roman" w:cs="Times New Roman"/>
          <w:sz w:val="24"/>
          <w:szCs w:val="24"/>
        </w:rPr>
      </w:pPr>
      <w:bookmarkStart w:id="767" w:name="_ENREF_260"/>
      <w:r w:rsidRPr="0094469E">
        <w:rPr>
          <w:rFonts w:ascii="Times New Roman" w:hAnsi="Times New Roman" w:cs="Times New Roman"/>
          <w:sz w:val="24"/>
          <w:szCs w:val="24"/>
        </w:rPr>
        <w:t xml:space="preserve">May, D. B., and Etkina, E. (2002). College physics students’ epistemological self-reflection and its relationship to conceptual learning. </w:t>
      </w:r>
      <w:r w:rsidRPr="0094469E">
        <w:rPr>
          <w:rFonts w:ascii="Times New Roman" w:hAnsi="Times New Roman" w:cs="Times New Roman"/>
          <w:i/>
          <w:sz w:val="24"/>
          <w:szCs w:val="24"/>
        </w:rPr>
        <w:t xml:space="preserve">American </w:t>
      </w:r>
      <w:r w:rsidR="00C71126" w:rsidRPr="0094469E">
        <w:rPr>
          <w:rFonts w:ascii="Times New Roman" w:hAnsi="Times New Roman" w:cs="Times New Roman"/>
          <w:i/>
          <w:sz w:val="24"/>
          <w:szCs w:val="24"/>
        </w:rPr>
        <w:t xml:space="preserve">journal of physics, </w:t>
      </w:r>
      <w:r w:rsidRPr="0094469E">
        <w:rPr>
          <w:rFonts w:ascii="Times New Roman" w:hAnsi="Times New Roman" w:cs="Times New Roman"/>
          <w:b/>
          <w:sz w:val="24"/>
          <w:szCs w:val="24"/>
        </w:rPr>
        <w:t>70</w:t>
      </w:r>
      <w:r w:rsidRPr="0094469E">
        <w:rPr>
          <w:rFonts w:ascii="Times New Roman" w:hAnsi="Times New Roman" w:cs="Times New Roman"/>
          <w:sz w:val="24"/>
          <w:szCs w:val="24"/>
        </w:rPr>
        <w:t>(12), 1249-1258.</w:t>
      </w:r>
      <w:bookmarkEnd w:id="767"/>
    </w:p>
    <w:p w14:paraId="33EB59B2" w14:textId="58161B2E" w:rsidR="0094469E" w:rsidRPr="0094469E" w:rsidRDefault="0094469E" w:rsidP="0094469E">
      <w:pPr>
        <w:pStyle w:val="EndNoteBibliography"/>
        <w:spacing w:line="360" w:lineRule="auto"/>
        <w:rPr>
          <w:rFonts w:ascii="Times New Roman" w:hAnsi="Times New Roman" w:cs="Times New Roman"/>
          <w:sz w:val="24"/>
          <w:szCs w:val="24"/>
        </w:rPr>
      </w:pPr>
      <w:bookmarkStart w:id="768" w:name="_ENREF_261"/>
      <w:r w:rsidRPr="0094469E">
        <w:rPr>
          <w:rFonts w:ascii="Times New Roman" w:hAnsi="Times New Roman" w:cs="Times New Roman"/>
          <w:sz w:val="24"/>
          <w:szCs w:val="24"/>
        </w:rPr>
        <w:t xml:space="preserve">Mays, N., and Pope, C. (2000). Assessing quality in qualitative research. </w:t>
      </w:r>
      <w:r w:rsidRPr="0094469E">
        <w:rPr>
          <w:rFonts w:ascii="Times New Roman" w:hAnsi="Times New Roman" w:cs="Times New Roman"/>
          <w:i/>
          <w:sz w:val="24"/>
          <w:szCs w:val="24"/>
        </w:rPr>
        <w:t xml:space="preserve">British </w:t>
      </w:r>
      <w:r w:rsidR="00C71126">
        <w:rPr>
          <w:rFonts w:ascii="Times New Roman" w:hAnsi="Times New Roman" w:cs="Times New Roman"/>
          <w:i/>
          <w:sz w:val="24"/>
          <w:szCs w:val="24"/>
        </w:rPr>
        <w:t>m</w:t>
      </w:r>
      <w:r w:rsidRPr="0094469E">
        <w:rPr>
          <w:rFonts w:ascii="Times New Roman" w:hAnsi="Times New Roman" w:cs="Times New Roman"/>
          <w:i/>
          <w:sz w:val="24"/>
          <w:szCs w:val="24"/>
        </w:rPr>
        <w:t xml:space="preserve">edical </w:t>
      </w:r>
      <w:r w:rsidR="00C71126">
        <w:rPr>
          <w:rFonts w:ascii="Times New Roman" w:hAnsi="Times New Roman" w:cs="Times New Roman"/>
          <w:i/>
          <w:sz w:val="24"/>
          <w:szCs w:val="24"/>
        </w:rPr>
        <w:t>j</w:t>
      </w:r>
      <w:r w:rsidRPr="0094469E">
        <w:rPr>
          <w:rFonts w:ascii="Times New Roman" w:hAnsi="Times New Roman" w:cs="Times New Roman"/>
          <w:i/>
          <w:sz w:val="24"/>
          <w:szCs w:val="24"/>
        </w:rPr>
        <w:t xml:space="preserve">ournal, </w:t>
      </w:r>
      <w:r w:rsidRPr="0094469E">
        <w:rPr>
          <w:rFonts w:ascii="Times New Roman" w:hAnsi="Times New Roman" w:cs="Times New Roman"/>
          <w:b/>
          <w:sz w:val="24"/>
          <w:szCs w:val="24"/>
        </w:rPr>
        <w:t>320</w:t>
      </w:r>
      <w:r w:rsidRPr="0094469E">
        <w:rPr>
          <w:rFonts w:ascii="Times New Roman" w:hAnsi="Times New Roman" w:cs="Times New Roman"/>
          <w:sz w:val="24"/>
          <w:szCs w:val="24"/>
        </w:rPr>
        <w:t>(7226), 50.</w:t>
      </w:r>
      <w:bookmarkEnd w:id="768"/>
    </w:p>
    <w:p w14:paraId="3E993B2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69" w:name="_ENREF_262"/>
      <w:r w:rsidRPr="0094469E">
        <w:rPr>
          <w:rFonts w:ascii="Times New Roman" w:hAnsi="Times New Roman" w:cs="Times New Roman"/>
          <w:sz w:val="24"/>
          <w:szCs w:val="24"/>
        </w:rPr>
        <w:t xml:space="preserve">Mazotti, L., O’Brien, B., Tong, L., and Hauer, K. E. (2011). Perceptions of evaluation in longitudinal versus traditional clerkships.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45</w:t>
      </w:r>
      <w:r w:rsidRPr="0094469E">
        <w:rPr>
          <w:rFonts w:ascii="Times New Roman" w:hAnsi="Times New Roman" w:cs="Times New Roman"/>
          <w:sz w:val="24"/>
          <w:szCs w:val="24"/>
        </w:rPr>
        <w:t>(5), 464-470.</w:t>
      </w:r>
      <w:bookmarkEnd w:id="769"/>
    </w:p>
    <w:p w14:paraId="36BF99A3" w14:textId="631D88BE" w:rsidR="0094469E" w:rsidRPr="0094469E" w:rsidRDefault="0094469E" w:rsidP="0094469E">
      <w:pPr>
        <w:pStyle w:val="EndNoteBibliography"/>
        <w:spacing w:line="360" w:lineRule="auto"/>
        <w:rPr>
          <w:rFonts w:ascii="Times New Roman" w:hAnsi="Times New Roman" w:cs="Times New Roman"/>
          <w:sz w:val="24"/>
          <w:szCs w:val="24"/>
        </w:rPr>
      </w:pPr>
      <w:bookmarkStart w:id="770" w:name="_ENREF_263"/>
      <w:r w:rsidRPr="0094469E">
        <w:rPr>
          <w:rFonts w:ascii="Times New Roman" w:hAnsi="Times New Roman" w:cs="Times New Roman"/>
          <w:sz w:val="24"/>
          <w:szCs w:val="24"/>
        </w:rPr>
        <w:t xml:space="preserve">McCardle, L., and Hadwin, A. F. (2015). Using multiple, contextualized data sources to measure learners’ perceptions of their self-regulated learning. </w:t>
      </w:r>
      <w:r w:rsidR="00C71126">
        <w:rPr>
          <w:rFonts w:ascii="Times New Roman" w:hAnsi="Times New Roman" w:cs="Times New Roman"/>
          <w:i/>
          <w:sz w:val="24"/>
          <w:szCs w:val="24"/>
        </w:rPr>
        <w:t>Metacognition and learning</w:t>
      </w:r>
      <w:r w:rsidRPr="0094469E">
        <w:rPr>
          <w:rFonts w:ascii="Times New Roman" w:hAnsi="Times New Roman" w:cs="Times New Roman"/>
          <w:sz w:val="24"/>
          <w:szCs w:val="24"/>
        </w:rPr>
        <w:t>, 1-33.</w:t>
      </w:r>
      <w:bookmarkEnd w:id="770"/>
    </w:p>
    <w:p w14:paraId="08796D8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1" w:name="_ENREF_264"/>
      <w:r w:rsidRPr="0094469E">
        <w:rPr>
          <w:rFonts w:ascii="Times New Roman" w:hAnsi="Times New Roman" w:cs="Times New Roman"/>
          <w:sz w:val="24"/>
          <w:szCs w:val="24"/>
        </w:rPr>
        <w:t xml:space="preserve">McCarney, R., Warner, J., Iliffe, S., Van Haselen, R., Griffin, M., and Fisher, P. (2007). The Hawthorne Effect: a randomised, controlled trial. </w:t>
      </w:r>
      <w:r w:rsidRPr="0094469E">
        <w:rPr>
          <w:rFonts w:ascii="Times New Roman" w:hAnsi="Times New Roman" w:cs="Times New Roman"/>
          <w:i/>
          <w:sz w:val="24"/>
          <w:szCs w:val="24"/>
        </w:rPr>
        <w:t xml:space="preserve">BMC medical research methodology, </w:t>
      </w:r>
      <w:r w:rsidRPr="0094469E">
        <w:rPr>
          <w:rFonts w:ascii="Times New Roman" w:hAnsi="Times New Roman" w:cs="Times New Roman"/>
          <w:b/>
          <w:sz w:val="24"/>
          <w:szCs w:val="24"/>
        </w:rPr>
        <w:t>7</w:t>
      </w:r>
      <w:r w:rsidRPr="0094469E">
        <w:rPr>
          <w:rFonts w:ascii="Times New Roman" w:hAnsi="Times New Roman" w:cs="Times New Roman"/>
          <w:sz w:val="24"/>
          <w:szCs w:val="24"/>
        </w:rPr>
        <w:t>(1), 30.</w:t>
      </w:r>
      <w:bookmarkEnd w:id="771"/>
    </w:p>
    <w:p w14:paraId="3467395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2" w:name="_ENREF_265"/>
      <w:r w:rsidRPr="0094469E">
        <w:rPr>
          <w:rFonts w:ascii="Times New Roman" w:hAnsi="Times New Roman" w:cs="Times New Roman"/>
          <w:sz w:val="24"/>
          <w:szCs w:val="24"/>
        </w:rPr>
        <w:lastRenderedPageBreak/>
        <w:t>McGaghie, W. C., Issenberg, S. B., Petrusa, E. R., and Scalese, R. J. (2010). A critical review of simulation</w:t>
      </w:r>
      <w:r w:rsidRPr="0094469E">
        <w:rPr>
          <w:rFonts w:ascii="Cambria Math" w:hAnsi="Cambria Math" w:cs="Cambria Math"/>
          <w:sz w:val="24"/>
          <w:szCs w:val="24"/>
        </w:rPr>
        <w:t>‐</w:t>
      </w:r>
      <w:r w:rsidRPr="0094469E">
        <w:rPr>
          <w:rFonts w:ascii="Times New Roman" w:hAnsi="Times New Roman" w:cs="Times New Roman"/>
          <w:sz w:val="24"/>
          <w:szCs w:val="24"/>
        </w:rPr>
        <w:t xml:space="preserve">based medical education research: 2003–2009.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44</w:t>
      </w:r>
      <w:r w:rsidRPr="0094469E">
        <w:rPr>
          <w:rFonts w:ascii="Times New Roman" w:hAnsi="Times New Roman" w:cs="Times New Roman"/>
          <w:sz w:val="24"/>
          <w:szCs w:val="24"/>
        </w:rPr>
        <w:t>(1), 50-63.</w:t>
      </w:r>
      <w:bookmarkEnd w:id="772"/>
    </w:p>
    <w:p w14:paraId="515A74D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3" w:name="_ENREF_266"/>
      <w:r w:rsidRPr="0094469E">
        <w:rPr>
          <w:rFonts w:ascii="Times New Roman" w:hAnsi="Times New Roman" w:cs="Times New Roman"/>
          <w:sz w:val="24"/>
          <w:szCs w:val="24"/>
        </w:rPr>
        <w:t xml:space="preserve">McGrew, J. H., and Griss, M. E. (2005). Concurrent and predictive validity of two scales to assess the fidelity of implementation of supported employment. </w:t>
      </w:r>
      <w:r w:rsidRPr="0094469E">
        <w:rPr>
          <w:rFonts w:ascii="Times New Roman" w:hAnsi="Times New Roman" w:cs="Times New Roman"/>
          <w:i/>
          <w:sz w:val="24"/>
          <w:szCs w:val="24"/>
        </w:rPr>
        <w:t xml:space="preserve">Psychiatric rehabilitation journal, </w:t>
      </w:r>
      <w:r w:rsidRPr="0094469E">
        <w:rPr>
          <w:rFonts w:ascii="Times New Roman" w:hAnsi="Times New Roman" w:cs="Times New Roman"/>
          <w:b/>
          <w:sz w:val="24"/>
          <w:szCs w:val="24"/>
        </w:rPr>
        <w:t>29</w:t>
      </w:r>
      <w:r w:rsidRPr="0094469E">
        <w:rPr>
          <w:rFonts w:ascii="Times New Roman" w:hAnsi="Times New Roman" w:cs="Times New Roman"/>
          <w:sz w:val="24"/>
          <w:szCs w:val="24"/>
        </w:rPr>
        <w:t>(1), 41.</w:t>
      </w:r>
      <w:bookmarkEnd w:id="773"/>
    </w:p>
    <w:p w14:paraId="450755C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4" w:name="_ENREF_267"/>
      <w:r w:rsidRPr="0094469E">
        <w:rPr>
          <w:rFonts w:ascii="Times New Roman" w:hAnsi="Times New Roman" w:cs="Times New Roman"/>
          <w:sz w:val="24"/>
          <w:szCs w:val="24"/>
        </w:rPr>
        <w:t xml:space="preserve">McKenney, S., and Reeves, T. C. (2013). </w:t>
      </w:r>
      <w:r w:rsidRPr="0094469E">
        <w:rPr>
          <w:rFonts w:ascii="Times New Roman" w:hAnsi="Times New Roman" w:cs="Times New Roman"/>
          <w:i/>
          <w:sz w:val="24"/>
          <w:szCs w:val="24"/>
        </w:rPr>
        <w:t>Conducting educational design research</w:t>
      </w:r>
      <w:r w:rsidRPr="0094469E">
        <w:rPr>
          <w:rFonts w:ascii="Times New Roman" w:hAnsi="Times New Roman" w:cs="Times New Roman"/>
          <w:sz w:val="24"/>
          <w:szCs w:val="24"/>
        </w:rPr>
        <w:t>: Routledge.</w:t>
      </w:r>
      <w:bookmarkEnd w:id="774"/>
    </w:p>
    <w:p w14:paraId="3BDB373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5" w:name="_ENREF_268"/>
      <w:r w:rsidRPr="0094469E">
        <w:rPr>
          <w:rFonts w:ascii="Times New Roman" w:hAnsi="Times New Roman" w:cs="Times New Roman"/>
          <w:sz w:val="24"/>
          <w:szCs w:val="24"/>
        </w:rPr>
        <w:t xml:space="preserve">McLaughlin, K., Vitale, G., Coderre, S., Violato, C., and Wright, B. (2009). Clerkship evaluation–what are we measuring?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31</w:t>
      </w:r>
      <w:r w:rsidRPr="0094469E">
        <w:rPr>
          <w:rFonts w:ascii="Times New Roman" w:hAnsi="Times New Roman" w:cs="Times New Roman"/>
          <w:sz w:val="24"/>
          <w:szCs w:val="24"/>
        </w:rPr>
        <w:t>(2), 36-39.</w:t>
      </w:r>
      <w:bookmarkEnd w:id="775"/>
    </w:p>
    <w:p w14:paraId="1BAD6D24" w14:textId="7F13D828" w:rsidR="0094469E" w:rsidRPr="0094469E" w:rsidRDefault="0094469E" w:rsidP="0094469E">
      <w:pPr>
        <w:pStyle w:val="EndNoteBibliography"/>
        <w:spacing w:line="360" w:lineRule="auto"/>
        <w:rPr>
          <w:rFonts w:ascii="Times New Roman" w:hAnsi="Times New Roman" w:cs="Times New Roman"/>
          <w:sz w:val="24"/>
          <w:szCs w:val="24"/>
        </w:rPr>
      </w:pPr>
      <w:bookmarkStart w:id="776" w:name="_ENREF_269"/>
      <w:r w:rsidRPr="0094469E">
        <w:rPr>
          <w:rFonts w:ascii="Times New Roman" w:hAnsi="Times New Roman" w:cs="Times New Roman"/>
          <w:sz w:val="24"/>
          <w:szCs w:val="24"/>
        </w:rPr>
        <w:t xml:space="preserve">McLean, A. J., Bond, C. H., and Nicholson, H. D. (2015). An anatomy of feedback: a phenomenographic investigation of undergraduate students' conceptions of feedback. </w:t>
      </w:r>
      <w:r w:rsidR="00C71126">
        <w:rPr>
          <w:rFonts w:ascii="Times New Roman" w:hAnsi="Times New Roman" w:cs="Times New Roman"/>
          <w:i/>
          <w:sz w:val="24"/>
          <w:szCs w:val="24"/>
        </w:rPr>
        <w:t>Studies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40</w:t>
      </w:r>
      <w:r w:rsidRPr="0094469E">
        <w:rPr>
          <w:rFonts w:ascii="Times New Roman" w:hAnsi="Times New Roman" w:cs="Times New Roman"/>
          <w:sz w:val="24"/>
          <w:szCs w:val="24"/>
        </w:rPr>
        <w:t>(5), 921-932.</w:t>
      </w:r>
      <w:bookmarkEnd w:id="776"/>
    </w:p>
    <w:p w14:paraId="3B2FC07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7" w:name="_ENREF_270"/>
      <w:r w:rsidRPr="0094469E">
        <w:rPr>
          <w:rFonts w:ascii="Times New Roman" w:hAnsi="Times New Roman" w:cs="Times New Roman"/>
          <w:sz w:val="24"/>
          <w:szCs w:val="24"/>
        </w:rPr>
        <w:t xml:space="preserve">McLeod, J. (2011). </w:t>
      </w:r>
      <w:r w:rsidRPr="0094469E">
        <w:rPr>
          <w:rFonts w:ascii="Times New Roman" w:hAnsi="Times New Roman" w:cs="Times New Roman"/>
          <w:i/>
          <w:sz w:val="24"/>
          <w:szCs w:val="24"/>
        </w:rPr>
        <w:t>Qualitative research in counselling and psychotherapy</w:t>
      </w:r>
      <w:r w:rsidRPr="0094469E">
        <w:rPr>
          <w:rFonts w:ascii="Times New Roman" w:hAnsi="Times New Roman" w:cs="Times New Roman"/>
          <w:sz w:val="24"/>
          <w:szCs w:val="24"/>
        </w:rPr>
        <w:t>: Sage.</w:t>
      </w:r>
      <w:bookmarkEnd w:id="777"/>
    </w:p>
    <w:p w14:paraId="4BCB0D6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78" w:name="_ENREF_271"/>
      <w:r w:rsidRPr="0094469E">
        <w:rPr>
          <w:rFonts w:ascii="Times New Roman" w:hAnsi="Times New Roman" w:cs="Times New Roman"/>
          <w:sz w:val="24"/>
          <w:szCs w:val="24"/>
        </w:rPr>
        <w:t xml:space="preserve">McNamara, C. (2009). </w:t>
      </w:r>
      <w:r w:rsidRPr="0094469E">
        <w:rPr>
          <w:rFonts w:ascii="Times New Roman" w:hAnsi="Times New Roman" w:cs="Times New Roman"/>
          <w:i/>
          <w:sz w:val="24"/>
          <w:szCs w:val="24"/>
        </w:rPr>
        <w:t>General guidelines for conducting interviews.Retrieved June 8, 2011</w:t>
      </w:r>
      <w:r w:rsidRPr="0094469E">
        <w:rPr>
          <w:rFonts w:ascii="Times New Roman" w:hAnsi="Times New Roman" w:cs="Times New Roman"/>
          <w:sz w:val="24"/>
          <w:szCs w:val="24"/>
        </w:rPr>
        <w:t>.</w:t>
      </w:r>
      <w:bookmarkEnd w:id="778"/>
    </w:p>
    <w:p w14:paraId="6BEACD99" w14:textId="1150D37B" w:rsidR="0094469E" w:rsidRPr="0094469E" w:rsidRDefault="0094469E" w:rsidP="0094469E">
      <w:pPr>
        <w:pStyle w:val="EndNoteBibliography"/>
        <w:spacing w:line="360" w:lineRule="auto"/>
        <w:rPr>
          <w:rFonts w:ascii="Times New Roman" w:hAnsi="Times New Roman" w:cs="Times New Roman"/>
          <w:sz w:val="24"/>
          <w:szCs w:val="24"/>
        </w:rPr>
      </w:pPr>
      <w:bookmarkStart w:id="779" w:name="_ENREF_272"/>
      <w:r w:rsidRPr="0094469E">
        <w:rPr>
          <w:rFonts w:ascii="Times New Roman" w:hAnsi="Times New Roman" w:cs="Times New Roman"/>
          <w:sz w:val="24"/>
          <w:szCs w:val="24"/>
        </w:rPr>
        <w:t xml:space="preserve">McSwiggan, L. C., and Campbell, M. (2017). Can podcasts for assessment guidance and feedback promote self-efficacy among undergraduate nursing students? A qualitative study. </w:t>
      </w:r>
      <w:r w:rsidRPr="0094469E">
        <w:rPr>
          <w:rFonts w:ascii="Times New Roman" w:hAnsi="Times New Roman" w:cs="Times New Roman"/>
          <w:i/>
          <w:sz w:val="24"/>
          <w:szCs w:val="24"/>
        </w:rPr>
        <w:t xml:space="preserve">Nurse </w:t>
      </w:r>
      <w:r w:rsidR="00521DE8" w:rsidRPr="0094469E">
        <w:rPr>
          <w:rFonts w:ascii="Times New Roman" w:hAnsi="Times New Roman" w:cs="Times New Roman"/>
          <w:i/>
          <w:sz w:val="24"/>
          <w:szCs w:val="24"/>
        </w:rPr>
        <w:t>education toda</w:t>
      </w:r>
      <w:r w:rsidRPr="0094469E">
        <w:rPr>
          <w:rFonts w:ascii="Times New Roman" w:hAnsi="Times New Roman" w:cs="Times New Roman"/>
          <w:i/>
          <w:sz w:val="24"/>
          <w:szCs w:val="24"/>
        </w:rPr>
        <w:t xml:space="preserve">y, </w:t>
      </w:r>
      <w:r w:rsidRPr="0094469E">
        <w:rPr>
          <w:rFonts w:ascii="Times New Roman" w:hAnsi="Times New Roman" w:cs="Times New Roman"/>
          <w:b/>
          <w:sz w:val="24"/>
          <w:szCs w:val="24"/>
        </w:rPr>
        <w:t>49</w:t>
      </w:r>
      <w:r w:rsidRPr="0094469E">
        <w:rPr>
          <w:rFonts w:ascii="Times New Roman" w:hAnsi="Times New Roman" w:cs="Times New Roman"/>
          <w:sz w:val="24"/>
          <w:szCs w:val="24"/>
        </w:rPr>
        <w:t>, 115-121.</w:t>
      </w:r>
      <w:bookmarkEnd w:id="779"/>
    </w:p>
    <w:p w14:paraId="527091E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80" w:name="_ENREF_273"/>
      <w:r w:rsidRPr="0094469E">
        <w:rPr>
          <w:rFonts w:ascii="Times New Roman" w:hAnsi="Times New Roman" w:cs="Times New Roman"/>
          <w:sz w:val="24"/>
          <w:szCs w:val="24"/>
        </w:rPr>
        <w:t xml:space="preserve">Merriam, S. B. (2002). Assessing and evaluating qualitative research. </w:t>
      </w:r>
      <w:r w:rsidRPr="0094469E">
        <w:rPr>
          <w:rFonts w:ascii="Times New Roman" w:hAnsi="Times New Roman" w:cs="Times New Roman"/>
          <w:i/>
          <w:sz w:val="24"/>
          <w:szCs w:val="24"/>
        </w:rPr>
        <w:t xml:space="preserve">Qualitative research in practice: Examples for discussion and analysis, </w:t>
      </w:r>
      <w:r w:rsidRPr="0094469E">
        <w:rPr>
          <w:rFonts w:ascii="Times New Roman" w:hAnsi="Times New Roman" w:cs="Times New Roman"/>
          <w:b/>
          <w:sz w:val="24"/>
          <w:szCs w:val="24"/>
        </w:rPr>
        <w:t>1</w:t>
      </w:r>
      <w:r w:rsidRPr="0094469E">
        <w:rPr>
          <w:rFonts w:ascii="Times New Roman" w:hAnsi="Times New Roman" w:cs="Times New Roman"/>
          <w:sz w:val="24"/>
          <w:szCs w:val="24"/>
        </w:rPr>
        <w:t>, 18-36.</w:t>
      </w:r>
      <w:bookmarkEnd w:id="780"/>
    </w:p>
    <w:p w14:paraId="0E30E564" w14:textId="06C16014" w:rsidR="0094469E" w:rsidRPr="0094469E" w:rsidRDefault="0094469E" w:rsidP="0094469E">
      <w:pPr>
        <w:pStyle w:val="EndNoteBibliography"/>
        <w:spacing w:line="360" w:lineRule="auto"/>
        <w:rPr>
          <w:rFonts w:ascii="Times New Roman" w:hAnsi="Times New Roman" w:cs="Times New Roman"/>
          <w:sz w:val="24"/>
          <w:szCs w:val="24"/>
        </w:rPr>
      </w:pPr>
      <w:bookmarkStart w:id="781" w:name="_ENREF_274"/>
      <w:r w:rsidRPr="0094469E">
        <w:rPr>
          <w:rFonts w:ascii="Times New Roman" w:hAnsi="Times New Roman" w:cs="Times New Roman"/>
          <w:sz w:val="24"/>
          <w:szCs w:val="24"/>
        </w:rPr>
        <w:t xml:space="preserve">Meyer, H. (2004). Novice and expert teachers' conceptions of learners' prior knowledge. </w:t>
      </w:r>
      <w:r w:rsidRPr="0094469E">
        <w:rPr>
          <w:rFonts w:ascii="Times New Roman" w:hAnsi="Times New Roman" w:cs="Times New Roman"/>
          <w:i/>
          <w:sz w:val="24"/>
          <w:szCs w:val="24"/>
        </w:rPr>
        <w:t xml:space="preserve">Science </w:t>
      </w:r>
      <w:r w:rsidR="00521DE8" w:rsidRPr="0094469E">
        <w:rPr>
          <w:rFonts w:ascii="Times New Roman" w:hAnsi="Times New Roman" w:cs="Times New Roman"/>
          <w:i/>
          <w:sz w:val="24"/>
          <w:szCs w:val="24"/>
        </w:rPr>
        <w:t>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88</w:t>
      </w:r>
      <w:r w:rsidRPr="0094469E">
        <w:rPr>
          <w:rFonts w:ascii="Times New Roman" w:hAnsi="Times New Roman" w:cs="Times New Roman"/>
          <w:sz w:val="24"/>
          <w:szCs w:val="24"/>
        </w:rPr>
        <w:t>(6), 970-983.</w:t>
      </w:r>
      <w:bookmarkEnd w:id="781"/>
    </w:p>
    <w:p w14:paraId="28E28DE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82" w:name="_ENREF_275"/>
      <w:r w:rsidRPr="0094469E">
        <w:rPr>
          <w:rFonts w:ascii="Times New Roman" w:hAnsi="Times New Roman" w:cs="Times New Roman"/>
          <w:sz w:val="24"/>
          <w:szCs w:val="24"/>
        </w:rPr>
        <w:t>Michell, L. (1999). Combining focus groups and interviews: Telling how it is; telling how it feels.</w:t>
      </w:r>
      <w:bookmarkEnd w:id="782"/>
    </w:p>
    <w:p w14:paraId="4C6B8C4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83" w:name="_ENREF_276"/>
      <w:r w:rsidRPr="0094469E">
        <w:rPr>
          <w:rFonts w:ascii="Times New Roman" w:hAnsi="Times New Roman" w:cs="Times New Roman"/>
          <w:sz w:val="24"/>
          <w:szCs w:val="24"/>
        </w:rPr>
        <w:t xml:space="preserve">Miflin, B., Campbell, C., and Price, D. (2000). A conceptual framework to guide the development of self-directed, lifelong learning in problem-based medical curricula.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34</w:t>
      </w:r>
      <w:r w:rsidRPr="0094469E">
        <w:rPr>
          <w:rFonts w:ascii="Times New Roman" w:hAnsi="Times New Roman" w:cs="Times New Roman"/>
          <w:sz w:val="24"/>
          <w:szCs w:val="24"/>
        </w:rPr>
        <w:t>(4), 299-306.</w:t>
      </w:r>
      <w:bookmarkEnd w:id="783"/>
    </w:p>
    <w:p w14:paraId="2BA7B2C5" w14:textId="37586F64" w:rsidR="0094469E" w:rsidRPr="0094469E" w:rsidRDefault="0094469E" w:rsidP="0094469E">
      <w:pPr>
        <w:pStyle w:val="EndNoteBibliography"/>
        <w:spacing w:line="360" w:lineRule="auto"/>
        <w:rPr>
          <w:rFonts w:ascii="Times New Roman" w:hAnsi="Times New Roman" w:cs="Times New Roman"/>
          <w:sz w:val="24"/>
          <w:szCs w:val="24"/>
        </w:rPr>
      </w:pPr>
      <w:bookmarkStart w:id="784" w:name="_ENREF_277"/>
      <w:r w:rsidRPr="0094469E">
        <w:rPr>
          <w:rFonts w:ascii="Times New Roman" w:hAnsi="Times New Roman" w:cs="Times New Roman"/>
          <w:sz w:val="24"/>
          <w:szCs w:val="24"/>
        </w:rPr>
        <w:lastRenderedPageBreak/>
        <w:t xml:space="preserve">Miller, J. W., McKenna, M. C., and McKenna, B. A. (1998). A comparison of alternatively and traditionally prepared teachers. </w:t>
      </w:r>
      <w:r w:rsidR="00521DE8">
        <w:rPr>
          <w:rFonts w:ascii="Times New Roman" w:hAnsi="Times New Roman" w:cs="Times New Roman"/>
          <w:i/>
          <w:sz w:val="24"/>
          <w:szCs w:val="24"/>
        </w:rPr>
        <w:t>Journal of teacher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49</w:t>
      </w:r>
      <w:r w:rsidRPr="0094469E">
        <w:rPr>
          <w:rFonts w:ascii="Times New Roman" w:hAnsi="Times New Roman" w:cs="Times New Roman"/>
          <w:sz w:val="24"/>
          <w:szCs w:val="24"/>
        </w:rPr>
        <w:t>(3), 165.</w:t>
      </w:r>
      <w:bookmarkEnd w:id="784"/>
    </w:p>
    <w:p w14:paraId="21F862C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85" w:name="_ENREF_278"/>
      <w:r w:rsidRPr="0094469E">
        <w:rPr>
          <w:rFonts w:ascii="Times New Roman" w:hAnsi="Times New Roman" w:cs="Times New Roman"/>
          <w:sz w:val="24"/>
          <w:szCs w:val="24"/>
        </w:rPr>
        <w:t xml:space="preserve">Miller, W. R., and Brown, J. M. (1991). Self-regulation as a conceptual basis for the prevention and treatment of addictive behaviours. </w:t>
      </w:r>
      <w:r w:rsidRPr="0094469E">
        <w:rPr>
          <w:rFonts w:ascii="Times New Roman" w:hAnsi="Times New Roman" w:cs="Times New Roman"/>
          <w:i/>
          <w:sz w:val="24"/>
          <w:szCs w:val="24"/>
        </w:rPr>
        <w:t>Self-control and the addictive behaviours</w:t>
      </w:r>
      <w:r w:rsidRPr="0094469E">
        <w:rPr>
          <w:rFonts w:ascii="Times New Roman" w:hAnsi="Times New Roman" w:cs="Times New Roman"/>
          <w:sz w:val="24"/>
          <w:szCs w:val="24"/>
        </w:rPr>
        <w:t>, 3-79.</w:t>
      </w:r>
      <w:bookmarkEnd w:id="785"/>
    </w:p>
    <w:p w14:paraId="68657DA0" w14:textId="56B628B7" w:rsidR="0094469E" w:rsidRPr="0094469E" w:rsidRDefault="0094469E" w:rsidP="0094469E">
      <w:pPr>
        <w:pStyle w:val="EndNoteBibliography"/>
        <w:spacing w:line="360" w:lineRule="auto"/>
        <w:rPr>
          <w:rFonts w:ascii="Times New Roman" w:hAnsi="Times New Roman" w:cs="Times New Roman"/>
          <w:sz w:val="24"/>
          <w:szCs w:val="24"/>
        </w:rPr>
      </w:pPr>
      <w:bookmarkStart w:id="786" w:name="_ENREF_279"/>
      <w:r w:rsidRPr="0094469E">
        <w:rPr>
          <w:rFonts w:ascii="Times New Roman" w:hAnsi="Times New Roman" w:cs="Times New Roman"/>
          <w:sz w:val="24"/>
          <w:szCs w:val="24"/>
        </w:rPr>
        <w:t xml:space="preserve">Moore, G. F., Audrey, S., Barker, M., Bond, L., Bonell, C., Hardeman, W., Moore, L., O’Cathain, A., Tinati, T., Wight, D., and Baird, J. (2015). Process evaluation of complex interventions: Medical Research Council guidance.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350</w:t>
      </w:r>
      <w:r w:rsidRPr="0094469E">
        <w:rPr>
          <w:rFonts w:ascii="Times New Roman" w:hAnsi="Times New Roman" w:cs="Times New Roman"/>
          <w:sz w:val="24"/>
          <w:szCs w:val="24"/>
        </w:rPr>
        <w:t>.</w:t>
      </w:r>
      <w:bookmarkEnd w:id="786"/>
    </w:p>
    <w:p w14:paraId="2110C120" w14:textId="7FCD90EC" w:rsidR="0094469E" w:rsidRPr="0094469E" w:rsidRDefault="0094469E" w:rsidP="0094469E">
      <w:pPr>
        <w:pStyle w:val="EndNoteBibliography"/>
        <w:spacing w:line="360" w:lineRule="auto"/>
        <w:rPr>
          <w:rFonts w:ascii="Times New Roman" w:hAnsi="Times New Roman" w:cs="Times New Roman"/>
          <w:sz w:val="24"/>
          <w:szCs w:val="24"/>
        </w:rPr>
      </w:pPr>
      <w:bookmarkStart w:id="787" w:name="_ENREF_280"/>
      <w:r w:rsidRPr="0094469E">
        <w:rPr>
          <w:rFonts w:ascii="Times New Roman" w:hAnsi="Times New Roman" w:cs="Times New Roman"/>
          <w:sz w:val="24"/>
          <w:szCs w:val="24"/>
        </w:rPr>
        <w:t xml:space="preserve">Moos, D. C., and Ringdal, A. (2012). Self-regulated learning in the classroom: A literature review on the teacher’s role. </w:t>
      </w:r>
      <w:r w:rsidRPr="0094469E">
        <w:rPr>
          <w:rFonts w:ascii="Times New Roman" w:hAnsi="Times New Roman" w:cs="Times New Roman"/>
          <w:i/>
          <w:sz w:val="24"/>
          <w:szCs w:val="24"/>
        </w:rPr>
        <w:t xml:space="preserve">Education </w:t>
      </w:r>
      <w:r w:rsidR="00521DE8" w:rsidRPr="0094469E">
        <w:rPr>
          <w:rFonts w:ascii="Times New Roman" w:hAnsi="Times New Roman" w:cs="Times New Roman"/>
          <w:i/>
          <w:sz w:val="24"/>
          <w:szCs w:val="24"/>
        </w:rPr>
        <w:t>research international</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2012</w:t>
      </w:r>
      <w:r w:rsidRPr="0094469E">
        <w:rPr>
          <w:rFonts w:ascii="Times New Roman" w:hAnsi="Times New Roman" w:cs="Times New Roman"/>
          <w:sz w:val="24"/>
          <w:szCs w:val="24"/>
        </w:rPr>
        <w:t>.</w:t>
      </w:r>
      <w:bookmarkEnd w:id="787"/>
    </w:p>
    <w:p w14:paraId="39CF1AD2" w14:textId="2544E912" w:rsidR="0094469E" w:rsidRPr="0094469E" w:rsidRDefault="0094469E" w:rsidP="0094469E">
      <w:pPr>
        <w:pStyle w:val="EndNoteBibliography"/>
        <w:spacing w:line="360" w:lineRule="auto"/>
        <w:rPr>
          <w:rFonts w:ascii="Times New Roman" w:hAnsi="Times New Roman" w:cs="Times New Roman"/>
          <w:sz w:val="24"/>
          <w:szCs w:val="24"/>
        </w:rPr>
      </w:pPr>
      <w:bookmarkStart w:id="788" w:name="_ENREF_281"/>
      <w:r w:rsidRPr="0094469E">
        <w:rPr>
          <w:rFonts w:ascii="Times New Roman" w:hAnsi="Times New Roman" w:cs="Times New Roman"/>
          <w:sz w:val="24"/>
          <w:szCs w:val="24"/>
        </w:rPr>
        <w:t xml:space="preserve">Moran-Ellis, J., Alexander, V. D., Cronin, A., Dickinson, M., Fielding, J., Sleney, J., and Thomas, H. (2006). Triangulation and integration: processes, claims and implications. </w:t>
      </w:r>
      <w:r w:rsidRPr="0094469E">
        <w:rPr>
          <w:rFonts w:ascii="Times New Roman" w:hAnsi="Times New Roman" w:cs="Times New Roman"/>
          <w:i/>
          <w:sz w:val="24"/>
          <w:szCs w:val="24"/>
        </w:rPr>
        <w:t xml:space="preserve">Qualitative </w:t>
      </w:r>
      <w:r w:rsidR="00521DE8">
        <w:rPr>
          <w:rFonts w:ascii="Times New Roman" w:hAnsi="Times New Roman" w:cs="Times New Roman"/>
          <w:i/>
          <w:sz w:val="24"/>
          <w:szCs w:val="24"/>
        </w:rPr>
        <w:t>r</w:t>
      </w:r>
      <w:r w:rsidR="00521DE8" w:rsidRPr="0094469E">
        <w:rPr>
          <w:rFonts w:ascii="Times New Roman" w:hAnsi="Times New Roman" w:cs="Times New Roman"/>
          <w:i/>
          <w:sz w:val="24"/>
          <w:szCs w:val="24"/>
        </w:rPr>
        <w:t>esearch</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6</w:t>
      </w:r>
      <w:r w:rsidRPr="0094469E">
        <w:rPr>
          <w:rFonts w:ascii="Times New Roman" w:hAnsi="Times New Roman" w:cs="Times New Roman"/>
          <w:sz w:val="24"/>
          <w:szCs w:val="24"/>
        </w:rPr>
        <w:t>(1), 45-59.</w:t>
      </w:r>
      <w:bookmarkEnd w:id="788"/>
    </w:p>
    <w:p w14:paraId="3D44C1B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89" w:name="_ENREF_282"/>
      <w:r w:rsidRPr="0094469E">
        <w:rPr>
          <w:rFonts w:ascii="Times New Roman" w:hAnsi="Times New Roman" w:cs="Times New Roman"/>
          <w:sz w:val="24"/>
          <w:szCs w:val="24"/>
        </w:rPr>
        <w:t xml:space="preserve">Morgan, D. L. (1998). Practical strategies for combining qualitative and quantitative methods: applications to health research. </w:t>
      </w:r>
      <w:r w:rsidRPr="0094469E">
        <w:rPr>
          <w:rFonts w:ascii="Times New Roman" w:hAnsi="Times New Roman" w:cs="Times New Roman"/>
          <w:i/>
          <w:sz w:val="24"/>
          <w:szCs w:val="24"/>
        </w:rPr>
        <w:t xml:space="preserve">Qualitative health research, </w:t>
      </w:r>
      <w:r w:rsidRPr="0094469E">
        <w:rPr>
          <w:rFonts w:ascii="Times New Roman" w:hAnsi="Times New Roman" w:cs="Times New Roman"/>
          <w:b/>
          <w:sz w:val="24"/>
          <w:szCs w:val="24"/>
        </w:rPr>
        <w:t>8</w:t>
      </w:r>
      <w:r w:rsidRPr="0094469E">
        <w:rPr>
          <w:rFonts w:ascii="Times New Roman" w:hAnsi="Times New Roman" w:cs="Times New Roman"/>
          <w:sz w:val="24"/>
          <w:szCs w:val="24"/>
        </w:rPr>
        <w:t>(3), 362-376.</w:t>
      </w:r>
      <w:bookmarkEnd w:id="789"/>
    </w:p>
    <w:p w14:paraId="540015D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0" w:name="_ENREF_283"/>
      <w:r w:rsidRPr="0094469E">
        <w:rPr>
          <w:rFonts w:ascii="Times New Roman" w:hAnsi="Times New Roman" w:cs="Times New Roman"/>
          <w:sz w:val="24"/>
          <w:szCs w:val="24"/>
        </w:rPr>
        <w:t xml:space="preserve">Morgan, D. L. (2006). Connected contributions as a motivation for combining qualitative and quantitative methods. </w:t>
      </w:r>
      <w:r w:rsidRPr="0094469E">
        <w:rPr>
          <w:rFonts w:ascii="Times New Roman" w:hAnsi="Times New Roman" w:cs="Times New Roman"/>
          <w:i/>
          <w:sz w:val="24"/>
          <w:szCs w:val="24"/>
        </w:rPr>
        <w:t>Improving aging and public health research: Qualitative and mixed methods. Washington, DC: American Public Health Association and Gerontological Society of America</w:t>
      </w:r>
      <w:r w:rsidRPr="0094469E">
        <w:rPr>
          <w:rFonts w:ascii="Times New Roman" w:hAnsi="Times New Roman" w:cs="Times New Roman"/>
          <w:sz w:val="24"/>
          <w:szCs w:val="24"/>
        </w:rPr>
        <w:t>, 53-63.</w:t>
      </w:r>
      <w:bookmarkEnd w:id="790"/>
    </w:p>
    <w:p w14:paraId="4E1A2D0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1" w:name="_ENREF_284"/>
      <w:r w:rsidRPr="0094469E">
        <w:rPr>
          <w:rFonts w:ascii="Times New Roman" w:hAnsi="Times New Roman" w:cs="Times New Roman"/>
          <w:sz w:val="24"/>
          <w:szCs w:val="24"/>
        </w:rPr>
        <w:t xml:space="preserve">Morgan, D. L. (2007). Paradigms lost and pragmatism regained methodological implications of combining qualitative and quantitative methods. </w:t>
      </w:r>
      <w:r w:rsidRPr="0094469E">
        <w:rPr>
          <w:rFonts w:ascii="Times New Roman" w:hAnsi="Times New Roman" w:cs="Times New Roman"/>
          <w:i/>
          <w:sz w:val="24"/>
          <w:szCs w:val="24"/>
        </w:rPr>
        <w:t xml:space="preserve">Journal of mixed methods research, </w:t>
      </w:r>
      <w:r w:rsidRPr="0094469E">
        <w:rPr>
          <w:rFonts w:ascii="Times New Roman" w:hAnsi="Times New Roman" w:cs="Times New Roman"/>
          <w:b/>
          <w:sz w:val="24"/>
          <w:szCs w:val="24"/>
        </w:rPr>
        <w:t>1</w:t>
      </w:r>
      <w:r w:rsidRPr="0094469E">
        <w:rPr>
          <w:rFonts w:ascii="Times New Roman" w:hAnsi="Times New Roman" w:cs="Times New Roman"/>
          <w:sz w:val="24"/>
          <w:szCs w:val="24"/>
        </w:rPr>
        <w:t>(1), 48-76.</w:t>
      </w:r>
      <w:bookmarkEnd w:id="791"/>
    </w:p>
    <w:p w14:paraId="0FA29DB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2" w:name="_ENREF_285"/>
      <w:r w:rsidRPr="0094469E">
        <w:rPr>
          <w:rFonts w:ascii="Times New Roman" w:hAnsi="Times New Roman" w:cs="Times New Roman"/>
          <w:sz w:val="24"/>
          <w:szCs w:val="24"/>
        </w:rPr>
        <w:t xml:space="preserve">Morrison, K. (1993). </w:t>
      </w:r>
      <w:r w:rsidRPr="0094469E">
        <w:rPr>
          <w:rFonts w:ascii="Times New Roman" w:hAnsi="Times New Roman" w:cs="Times New Roman"/>
          <w:i/>
          <w:sz w:val="24"/>
          <w:szCs w:val="24"/>
        </w:rPr>
        <w:t>Planning and accomplishing school-centred evaluation</w:t>
      </w:r>
      <w:r w:rsidRPr="0094469E">
        <w:rPr>
          <w:rFonts w:ascii="Times New Roman" w:hAnsi="Times New Roman" w:cs="Times New Roman"/>
          <w:sz w:val="24"/>
          <w:szCs w:val="24"/>
        </w:rPr>
        <w:t>: Peter Francis.</w:t>
      </w:r>
      <w:bookmarkEnd w:id="792"/>
    </w:p>
    <w:p w14:paraId="45C0D81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3" w:name="_ENREF_286"/>
      <w:r w:rsidRPr="0094469E">
        <w:rPr>
          <w:rFonts w:ascii="Times New Roman" w:hAnsi="Times New Roman" w:cs="Times New Roman"/>
          <w:sz w:val="24"/>
          <w:szCs w:val="24"/>
        </w:rPr>
        <w:t>Morse, J., and Niehaus, L. (2009). Principles and procedures of mixed methods design: Walnut Creek, CA: Left Coast Press.</w:t>
      </w:r>
      <w:bookmarkEnd w:id="793"/>
    </w:p>
    <w:p w14:paraId="772DCD2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4" w:name="_ENREF_287"/>
      <w:r w:rsidRPr="0094469E">
        <w:rPr>
          <w:rFonts w:ascii="Times New Roman" w:hAnsi="Times New Roman" w:cs="Times New Roman"/>
          <w:sz w:val="24"/>
          <w:szCs w:val="24"/>
        </w:rPr>
        <w:t xml:space="preserve">Morse, J. M. (2015). Critical analysis of strategies for determining rigor in qualitative inquiry. </w:t>
      </w:r>
      <w:r w:rsidRPr="0094469E">
        <w:rPr>
          <w:rFonts w:ascii="Times New Roman" w:hAnsi="Times New Roman" w:cs="Times New Roman"/>
          <w:i/>
          <w:sz w:val="24"/>
          <w:szCs w:val="24"/>
        </w:rPr>
        <w:t xml:space="preserve">Qualitative health research, </w:t>
      </w:r>
      <w:r w:rsidRPr="0094469E">
        <w:rPr>
          <w:rFonts w:ascii="Times New Roman" w:hAnsi="Times New Roman" w:cs="Times New Roman"/>
          <w:b/>
          <w:sz w:val="24"/>
          <w:szCs w:val="24"/>
        </w:rPr>
        <w:t>25</w:t>
      </w:r>
      <w:r w:rsidRPr="0094469E">
        <w:rPr>
          <w:rFonts w:ascii="Times New Roman" w:hAnsi="Times New Roman" w:cs="Times New Roman"/>
          <w:sz w:val="24"/>
          <w:szCs w:val="24"/>
        </w:rPr>
        <w:t>(9), 1212-1222.</w:t>
      </w:r>
      <w:bookmarkEnd w:id="794"/>
    </w:p>
    <w:p w14:paraId="2627024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5" w:name="_ENREF_288"/>
      <w:r w:rsidRPr="0094469E">
        <w:rPr>
          <w:rFonts w:ascii="Times New Roman" w:hAnsi="Times New Roman" w:cs="Times New Roman"/>
          <w:sz w:val="24"/>
          <w:szCs w:val="24"/>
        </w:rPr>
        <w:lastRenderedPageBreak/>
        <w:t xml:space="preserve">Morse, J. M., Barrett, M., Mayan, M., Olson, K., and Spiers, J. (2002). Verification strategies for establishing reliability and validity in qualitative research. </w:t>
      </w:r>
      <w:r w:rsidRPr="0094469E">
        <w:rPr>
          <w:rFonts w:ascii="Times New Roman" w:hAnsi="Times New Roman" w:cs="Times New Roman"/>
          <w:i/>
          <w:sz w:val="24"/>
          <w:szCs w:val="24"/>
        </w:rPr>
        <w:t xml:space="preserve">International journal of qualitative methods, </w:t>
      </w:r>
      <w:r w:rsidRPr="0094469E">
        <w:rPr>
          <w:rFonts w:ascii="Times New Roman" w:hAnsi="Times New Roman" w:cs="Times New Roman"/>
          <w:b/>
          <w:sz w:val="24"/>
          <w:szCs w:val="24"/>
        </w:rPr>
        <w:t>1</w:t>
      </w:r>
      <w:r w:rsidRPr="0094469E">
        <w:rPr>
          <w:rFonts w:ascii="Times New Roman" w:hAnsi="Times New Roman" w:cs="Times New Roman"/>
          <w:sz w:val="24"/>
          <w:szCs w:val="24"/>
        </w:rPr>
        <w:t>(2), 13-22.</w:t>
      </w:r>
      <w:bookmarkEnd w:id="795"/>
    </w:p>
    <w:p w14:paraId="2CBACC1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6" w:name="_ENREF_289"/>
      <w:r w:rsidRPr="0094469E">
        <w:rPr>
          <w:rFonts w:ascii="Times New Roman" w:hAnsi="Times New Roman" w:cs="Times New Roman"/>
          <w:sz w:val="24"/>
          <w:szCs w:val="24"/>
        </w:rPr>
        <w:t>Morse, J. M., and Field, P. A. (1995). Qualitative research methods for health professionals.</w:t>
      </w:r>
      <w:bookmarkEnd w:id="796"/>
    </w:p>
    <w:p w14:paraId="6DC5ED8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7" w:name="_ENREF_290"/>
      <w:r w:rsidRPr="0094469E">
        <w:rPr>
          <w:rFonts w:ascii="Times New Roman" w:hAnsi="Times New Roman" w:cs="Times New Roman"/>
          <w:sz w:val="24"/>
          <w:szCs w:val="24"/>
        </w:rPr>
        <w:t xml:space="preserve">MRC, U. K. (2008). Developing and evaluating complex interventions: new guidance. </w:t>
      </w:r>
      <w:r w:rsidRPr="0094469E">
        <w:rPr>
          <w:rFonts w:ascii="Times New Roman" w:hAnsi="Times New Roman" w:cs="Times New Roman"/>
          <w:i/>
          <w:sz w:val="24"/>
          <w:szCs w:val="24"/>
        </w:rPr>
        <w:t>London: Medical Research Council</w:t>
      </w:r>
      <w:r w:rsidRPr="0094469E">
        <w:rPr>
          <w:rFonts w:ascii="Times New Roman" w:hAnsi="Times New Roman" w:cs="Times New Roman"/>
          <w:sz w:val="24"/>
          <w:szCs w:val="24"/>
        </w:rPr>
        <w:t>.</w:t>
      </w:r>
      <w:bookmarkEnd w:id="797"/>
    </w:p>
    <w:p w14:paraId="4B5CD132" w14:textId="5FAE234A" w:rsidR="0094469E" w:rsidRPr="0094469E" w:rsidRDefault="0094469E" w:rsidP="0094469E">
      <w:pPr>
        <w:pStyle w:val="EndNoteBibliography"/>
        <w:spacing w:line="360" w:lineRule="auto"/>
        <w:rPr>
          <w:rFonts w:ascii="Times New Roman" w:hAnsi="Times New Roman" w:cs="Times New Roman"/>
          <w:sz w:val="24"/>
          <w:szCs w:val="24"/>
        </w:rPr>
      </w:pPr>
      <w:bookmarkStart w:id="798" w:name="_ENREF_291"/>
      <w:r w:rsidRPr="0094469E">
        <w:rPr>
          <w:rFonts w:ascii="Times New Roman" w:hAnsi="Times New Roman" w:cs="Times New Roman"/>
          <w:sz w:val="24"/>
          <w:szCs w:val="24"/>
        </w:rPr>
        <w:t xml:space="preserve">Munro, A., and Bloor, M. (2010). Process evaluation: the new miracle ingredient in public health research? </w:t>
      </w:r>
      <w:r w:rsidRPr="0094469E">
        <w:rPr>
          <w:rFonts w:ascii="Times New Roman" w:hAnsi="Times New Roman" w:cs="Times New Roman"/>
          <w:i/>
          <w:sz w:val="24"/>
          <w:szCs w:val="24"/>
        </w:rPr>
        <w:t xml:space="preserve">Qualitative </w:t>
      </w:r>
      <w:r w:rsidR="00521DE8">
        <w:rPr>
          <w:rFonts w:ascii="Times New Roman" w:hAnsi="Times New Roman" w:cs="Times New Roman"/>
          <w:i/>
          <w:sz w:val="24"/>
          <w:szCs w:val="24"/>
        </w:rPr>
        <w:t>r</w:t>
      </w:r>
      <w:r w:rsidR="00521DE8" w:rsidRPr="0094469E">
        <w:rPr>
          <w:rFonts w:ascii="Times New Roman" w:hAnsi="Times New Roman" w:cs="Times New Roman"/>
          <w:i/>
          <w:sz w:val="24"/>
          <w:szCs w:val="24"/>
        </w:rPr>
        <w:t>esearch</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10</w:t>
      </w:r>
      <w:r w:rsidRPr="0094469E">
        <w:rPr>
          <w:rFonts w:ascii="Times New Roman" w:hAnsi="Times New Roman" w:cs="Times New Roman"/>
          <w:sz w:val="24"/>
          <w:szCs w:val="24"/>
        </w:rPr>
        <w:t>(6), 699-713.</w:t>
      </w:r>
      <w:bookmarkEnd w:id="798"/>
    </w:p>
    <w:p w14:paraId="1979F45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799" w:name="_ENREF_292"/>
      <w:r w:rsidRPr="0094469E">
        <w:rPr>
          <w:rFonts w:ascii="Times New Roman" w:hAnsi="Times New Roman" w:cs="Times New Roman"/>
          <w:sz w:val="24"/>
          <w:szCs w:val="24"/>
        </w:rPr>
        <w:t xml:space="preserve">Murdoch-Eaton, D., and Bowen, L. (2017). Feedback mapping–The curricular cornerstone of an “educational alliance”.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39</w:t>
      </w:r>
      <w:r w:rsidRPr="0094469E">
        <w:rPr>
          <w:rFonts w:ascii="Times New Roman" w:hAnsi="Times New Roman" w:cs="Times New Roman"/>
          <w:sz w:val="24"/>
          <w:szCs w:val="24"/>
        </w:rPr>
        <w:t>(5), 540-547.</w:t>
      </w:r>
      <w:bookmarkEnd w:id="799"/>
    </w:p>
    <w:p w14:paraId="24E8A68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00" w:name="_ENREF_293"/>
      <w:r w:rsidRPr="0094469E">
        <w:rPr>
          <w:rFonts w:ascii="Times New Roman" w:hAnsi="Times New Roman" w:cs="Times New Roman"/>
          <w:sz w:val="24"/>
          <w:szCs w:val="24"/>
        </w:rPr>
        <w:t>Murdoch</w:t>
      </w:r>
      <w:r w:rsidRPr="0094469E">
        <w:rPr>
          <w:rFonts w:ascii="Cambria Math" w:hAnsi="Cambria Math" w:cs="Cambria Math"/>
          <w:sz w:val="24"/>
          <w:szCs w:val="24"/>
        </w:rPr>
        <w:t>‐</w:t>
      </w:r>
      <w:r w:rsidRPr="0094469E">
        <w:rPr>
          <w:rFonts w:ascii="Times New Roman" w:hAnsi="Times New Roman" w:cs="Times New Roman"/>
          <w:sz w:val="24"/>
          <w:szCs w:val="24"/>
        </w:rPr>
        <w:t>Eaton, D. (2012). Feedback: the complexity of self</w:t>
      </w:r>
      <w:r w:rsidRPr="0094469E">
        <w:rPr>
          <w:rFonts w:ascii="Cambria Math" w:hAnsi="Cambria Math" w:cs="Cambria Math"/>
          <w:sz w:val="24"/>
          <w:szCs w:val="24"/>
        </w:rPr>
        <w:t>‐</w:t>
      </w:r>
      <w:r w:rsidRPr="0094469E">
        <w:rPr>
          <w:rFonts w:ascii="Times New Roman" w:hAnsi="Times New Roman" w:cs="Times New Roman"/>
          <w:sz w:val="24"/>
          <w:szCs w:val="24"/>
        </w:rPr>
        <w:t xml:space="preserve">perception and the transition from ‘transmit’to ‘received and understood’.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46</w:t>
      </w:r>
      <w:r w:rsidRPr="0094469E">
        <w:rPr>
          <w:rFonts w:ascii="Times New Roman" w:hAnsi="Times New Roman" w:cs="Times New Roman"/>
          <w:sz w:val="24"/>
          <w:szCs w:val="24"/>
        </w:rPr>
        <w:t>(6), 538-540.</w:t>
      </w:r>
      <w:bookmarkEnd w:id="800"/>
    </w:p>
    <w:p w14:paraId="4BC7392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01" w:name="_ENREF_294"/>
      <w:r w:rsidRPr="0094469E">
        <w:rPr>
          <w:rFonts w:ascii="Times New Roman" w:hAnsi="Times New Roman" w:cs="Times New Roman"/>
          <w:sz w:val="24"/>
          <w:szCs w:val="24"/>
        </w:rPr>
        <w:t>Murdoch</w:t>
      </w:r>
      <w:r w:rsidRPr="0094469E">
        <w:rPr>
          <w:rFonts w:ascii="Cambria Math" w:hAnsi="Cambria Math" w:cs="Cambria Math"/>
          <w:sz w:val="24"/>
          <w:szCs w:val="24"/>
        </w:rPr>
        <w:t>‐</w:t>
      </w:r>
      <w:r w:rsidRPr="0094469E">
        <w:rPr>
          <w:rFonts w:ascii="Times New Roman" w:hAnsi="Times New Roman" w:cs="Times New Roman"/>
          <w:sz w:val="24"/>
          <w:szCs w:val="24"/>
        </w:rPr>
        <w:t xml:space="preserve">Eaton, D., and Sargeant, J. (2012). Maturational differences in undergraduate medical students’ perceptions about feedback.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46</w:t>
      </w:r>
      <w:r w:rsidRPr="0094469E">
        <w:rPr>
          <w:rFonts w:ascii="Times New Roman" w:hAnsi="Times New Roman" w:cs="Times New Roman"/>
          <w:sz w:val="24"/>
          <w:szCs w:val="24"/>
        </w:rPr>
        <w:t>(7), 711-721.</w:t>
      </w:r>
      <w:bookmarkEnd w:id="801"/>
    </w:p>
    <w:p w14:paraId="01ED6A3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02" w:name="_ENREF_295"/>
      <w:r w:rsidRPr="0094469E">
        <w:rPr>
          <w:rFonts w:ascii="Times New Roman" w:hAnsi="Times New Roman" w:cs="Times New Roman"/>
          <w:sz w:val="24"/>
          <w:szCs w:val="24"/>
        </w:rPr>
        <w:t xml:space="preserve">Murphy, J. P. (1990). </w:t>
      </w:r>
      <w:r w:rsidRPr="0094469E">
        <w:rPr>
          <w:rFonts w:ascii="Times New Roman" w:hAnsi="Times New Roman" w:cs="Times New Roman"/>
          <w:i/>
          <w:sz w:val="24"/>
          <w:szCs w:val="24"/>
        </w:rPr>
        <w:t>Pragmatism: From Peirce to Davidson</w:t>
      </w:r>
      <w:r w:rsidRPr="0094469E">
        <w:rPr>
          <w:rFonts w:ascii="Times New Roman" w:hAnsi="Times New Roman" w:cs="Times New Roman"/>
          <w:sz w:val="24"/>
          <w:szCs w:val="24"/>
        </w:rPr>
        <w:t>: Westview Pr.</w:t>
      </w:r>
      <w:bookmarkEnd w:id="802"/>
    </w:p>
    <w:p w14:paraId="238FB21C" w14:textId="368CC039" w:rsidR="0094469E" w:rsidRPr="0094469E" w:rsidRDefault="0094469E" w:rsidP="0094469E">
      <w:pPr>
        <w:pStyle w:val="EndNoteBibliography"/>
        <w:spacing w:line="360" w:lineRule="auto"/>
        <w:rPr>
          <w:rFonts w:ascii="Times New Roman" w:hAnsi="Times New Roman" w:cs="Times New Roman"/>
          <w:sz w:val="24"/>
          <w:szCs w:val="24"/>
        </w:rPr>
      </w:pPr>
      <w:bookmarkStart w:id="803" w:name="_ENREF_296"/>
      <w:r w:rsidRPr="0094469E">
        <w:rPr>
          <w:rFonts w:ascii="Times New Roman" w:hAnsi="Times New Roman" w:cs="Times New Roman"/>
          <w:sz w:val="24"/>
          <w:szCs w:val="24"/>
        </w:rPr>
        <w:t xml:space="preserve">Myhre, D. L., Woloschuk, W., Jackson, W., and McLaughlin, K. (2014). Academic performance of longitudinal integrated clerkship versus rotation-based clerkship students: a matched-cohort study.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89</w:t>
      </w:r>
      <w:r w:rsidRPr="0094469E">
        <w:rPr>
          <w:rFonts w:ascii="Times New Roman" w:hAnsi="Times New Roman" w:cs="Times New Roman"/>
          <w:sz w:val="24"/>
          <w:szCs w:val="24"/>
        </w:rPr>
        <w:t>(2), 292-295.</w:t>
      </w:r>
      <w:bookmarkEnd w:id="803"/>
    </w:p>
    <w:p w14:paraId="591243CF" w14:textId="50B72B97" w:rsidR="0094469E" w:rsidRPr="0094469E" w:rsidRDefault="0094469E" w:rsidP="0094469E">
      <w:pPr>
        <w:pStyle w:val="EndNoteBibliography"/>
        <w:spacing w:line="360" w:lineRule="auto"/>
        <w:rPr>
          <w:rFonts w:ascii="Times New Roman" w:hAnsi="Times New Roman" w:cs="Times New Roman"/>
          <w:sz w:val="24"/>
          <w:szCs w:val="24"/>
        </w:rPr>
      </w:pPr>
      <w:bookmarkStart w:id="804" w:name="_ENREF_297"/>
      <w:r w:rsidRPr="0094469E">
        <w:rPr>
          <w:rFonts w:ascii="Times New Roman" w:hAnsi="Times New Roman" w:cs="Times New Roman"/>
          <w:sz w:val="24"/>
          <w:szCs w:val="24"/>
        </w:rPr>
        <w:t xml:space="preserve">Neal, D. J., and Carey, K. B. (2005). A follow-up psychometric analysis of the self-regulation questionnaire. </w:t>
      </w:r>
      <w:r w:rsidR="00521DE8">
        <w:rPr>
          <w:rFonts w:ascii="Times New Roman" w:hAnsi="Times New Roman" w:cs="Times New Roman"/>
          <w:i/>
          <w:sz w:val="24"/>
          <w:szCs w:val="24"/>
        </w:rPr>
        <w:t>Psychology of addictive behaviors</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19</w:t>
      </w:r>
      <w:r w:rsidRPr="0094469E">
        <w:rPr>
          <w:rFonts w:ascii="Times New Roman" w:hAnsi="Times New Roman" w:cs="Times New Roman"/>
          <w:sz w:val="24"/>
          <w:szCs w:val="24"/>
        </w:rPr>
        <w:t>(4), 414.</w:t>
      </w:r>
      <w:bookmarkEnd w:id="804"/>
    </w:p>
    <w:p w14:paraId="69697B5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05" w:name="_ENREF_298"/>
      <w:r w:rsidRPr="0094469E">
        <w:rPr>
          <w:rFonts w:ascii="Times New Roman" w:hAnsi="Times New Roman" w:cs="Times New Roman"/>
          <w:sz w:val="24"/>
          <w:szCs w:val="24"/>
        </w:rPr>
        <w:t xml:space="preserve">Nestel, D., Bello, F., and Kneebone, R. (2013). Feedback in clinical procedural skills simulations. </w:t>
      </w:r>
      <w:r w:rsidRPr="0094469E">
        <w:rPr>
          <w:rFonts w:ascii="Times New Roman" w:hAnsi="Times New Roman" w:cs="Times New Roman"/>
          <w:i/>
          <w:sz w:val="24"/>
          <w:szCs w:val="24"/>
        </w:rPr>
        <w:t>Feedback in higher and professional education: Understanding it and doing it well</w:t>
      </w:r>
      <w:r w:rsidRPr="0094469E">
        <w:rPr>
          <w:rFonts w:ascii="Times New Roman" w:hAnsi="Times New Roman" w:cs="Times New Roman"/>
          <w:sz w:val="24"/>
          <w:szCs w:val="24"/>
        </w:rPr>
        <w:t>, 140-157.</w:t>
      </w:r>
      <w:bookmarkEnd w:id="805"/>
    </w:p>
    <w:p w14:paraId="1DD0A53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06" w:name="_ENREF_299"/>
      <w:r w:rsidRPr="0094469E">
        <w:rPr>
          <w:rFonts w:ascii="Times New Roman" w:hAnsi="Times New Roman" w:cs="Times New Roman"/>
          <w:sz w:val="24"/>
          <w:szCs w:val="24"/>
        </w:rPr>
        <w:t xml:space="preserve">Nicklin, J. M., and Williams, K. J. (2011). Self-Regulation of Goals and Performance: Effects of Discrepancy Feedback, Regulatory Focus, and Self-Efficacy. </w:t>
      </w:r>
      <w:r w:rsidRPr="0094469E">
        <w:rPr>
          <w:rFonts w:ascii="Times New Roman" w:hAnsi="Times New Roman" w:cs="Times New Roman"/>
          <w:i/>
          <w:sz w:val="24"/>
          <w:szCs w:val="24"/>
        </w:rPr>
        <w:t xml:space="preserve">Psychology, </w:t>
      </w:r>
      <w:r w:rsidRPr="0094469E">
        <w:rPr>
          <w:rFonts w:ascii="Times New Roman" w:hAnsi="Times New Roman" w:cs="Times New Roman"/>
          <w:b/>
          <w:sz w:val="24"/>
          <w:szCs w:val="24"/>
        </w:rPr>
        <w:t>2</w:t>
      </w:r>
      <w:r w:rsidRPr="0094469E">
        <w:rPr>
          <w:rFonts w:ascii="Times New Roman" w:hAnsi="Times New Roman" w:cs="Times New Roman"/>
          <w:sz w:val="24"/>
          <w:szCs w:val="24"/>
        </w:rPr>
        <w:t>(03), 187.</w:t>
      </w:r>
      <w:bookmarkEnd w:id="806"/>
    </w:p>
    <w:p w14:paraId="53FF3D50" w14:textId="1E101461" w:rsidR="0094469E" w:rsidRPr="0094469E" w:rsidRDefault="0094469E" w:rsidP="0094469E">
      <w:pPr>
        <w:pStyle w:val="EndNoteBibliography"/>
        <w:spacing w:line="360" w:lineRule="auto"/>
        <w:rPr>
          <w:rFonts w:ascii="Times New Roman" w:hAnsi="Times New Roman" w:cs="Times New Roman"/>
          <w:sz w:val="24"/>
          <w:szCs w:val="24"/>
        </w:rPr>
      </w:pPr>
      <w:bookmarkStart w:id="807" w:name="_ENREF_300"/>
      <w:r w:rsidRPr="0094469E">
        <w:rPr>
          <w:rFonts w:ascii="Times New Roman" w:hAnsi="Times New Roman" w:cs="Times New Roman"/>
          <w:sz w:val="24"/>
          <w:szCs w:val="24"/>
        </w:rPr>
        <w:lastRenderedPageBreak/>
        <w:t xml:space="preserve">Nicol, D. (2010). From monologue to dialogue: improving written feedback processes in mass higher education. </w:t>
      </w:r>
      <w:r w:rsidR="00C71126">
        <w:rPr>
          <w:rFonts w:ascii="Times New Roman" w:hAnsi="Times New Roman" w:cs="Times New Roman"/>
          <w:i/>
          <w:sz w:val="24"/>
          <w:szCs w:val="24"/>
        </w:rPr>
        <w:t>Assessment and evaluation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35</w:t>
      </w:r>
      <w:r w:rsidRPr="0094469E">
        <w:rPr>
          <w:rFonts w:ascii="Times New Roman" w:hAnsi="Times New Roman" w:cs="Times New Roman"/>
          <w:sz w:val="24"/>
          <w:szCs w:val="24"/>
        </w:rPr>
        <w:t>(5), 501-517.</w:t>
      </w:r>
      <w:bookmarkEnd w:id="807"/>
    </w:p>
    <w:p w14:paraId="7556B768" w14:textId="69D5F3D8" w:rsidR="0094469E" w:rsidRPr="0094469E" w:rsidRDefault="0094469E" w:rsidP="0094469E">
      <w:pPr>
        <w:pStyle w:val="EndNoteBibliography"/>
        <w:spacing w:line="360" w:lineRule="auto"/>
        <w:rPr>
          <w:rFonts w:ascii="Times New Roman" w:hAnsi="Times New Roman" w:cs="Times New Roman"/>
          <w:sz w:val="24"/>
          <w:szCs w:val="24"/>
        </w:rPr>
      </w:pPr>
      <w:bookmarkStart w:id="808" w:name="_ENREF_301"/>
      <w:r w:rsidRPr="0094469E">
        <w:rPr>
          <w:rFonts w:ascii="Times New Roman" w:hAnsi="Times New Roman" w:cs="Times New Roman"/>
          <w:sz w:val="24"/>
          <w:szCs w:val="24"/>
        </w:rPr>
        <w:t xml:space="preserve">Nicol, D., and Macfarlane-Dick, D. (2004). Rethinking formative assessment in HE: a theoretical model and seven principles of good feedback practice. </w:t>
      </w:r>
      <w:hyperlink r:id="rId62" w:history="1">
        <w:r w:rsidRPr="0094469E">
          <w:rPr>
            <w:rStyle w:val="Hyperlink"/>
            <w:rFonts w:ascii="Times New Roman" w:hAnsi="Times New Roman" w:cs="Times New Roman"/>
            <w:sz w:val="24"/>
            <w:szCs w:val="24"/>
          </w:rPr>
          <w:t>http://www-new1.heacademy.ac.uk/assets/was%20York%20-%20delete%20this%20soon/Documents/ourwork/tla/assessment/web0015_rethinking_formative_assessment_in_he.pdf</w:t>
        </w:r>
        <w:bookmarkEnd w:id="808"/>
      </w:hyperlink>
    </w:p>
    <w:p w14:paraId="6DD9BC91" w14:textId="69EA7C84" w:rsidR="0094469E" w:rsidRPr="0094469E" w:rsidRDefault="0094469E" w:rsidP="0094469E">
      <w:pPr>
        <w:pStyle w:val="EndNoteBibliography"/>
        <w:spacing w:line="360" w:lineRule="auto"/>
        <w:rPr>
          <w:rFonts w:ascii="Times New Roman" w:hAnsi="Times New Roman" w:cs="Times New Roman"/>
          <w:sz w:val="24"/>
          <w:szCs w:val="24"/>
        </w:rPr>
      </w:pPr>
      <w:bookmarkStart w:id="809" w:name="_ENREF_302"/>
      <w:r w:rsidRPr="0094469E">
        <w:rPr>
          <w:rFonts w:ascii="Times New Roman" w:hAnsi="Times New Roman" w:cs="Times New Roman"/>
          <w:sz w:val="24"/>
          <w:szCs w:val="24"/>
        </w:rPr>
        <w:t>Nicol, D. J., and Macfarlane</w:t>
      </w:r>
      <w:r w:rsidRPr="0094469E">
        <w:rPr>
          <w:rFonts w:ascii="Cambria Math" w:hAnsi="Cambria Math" w:cs="Cambria Math"/>
          <w:sz w:val="24"/>
          <w:szCs w:val="24"/>
        </w:rPr>
        <w:t>‐</w:t>
      </w:r>
      <w:r w:rsidRPr="0094469E">
        <w:rPr>
          <w:rFonts w:ascii="Times New Roman" w:hAnsi="Times New Roman" w:cs="Times New Roman"/>
          <w:sz w:val="24"/>
          <w:szCs w:val="24"/>
        </w:rPr>
        <w:t>Dick, D. (2006). Formative assessment and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regulated learning: A model and seven principles of good feedback practice. </w:t>
      </w:r>
      <w:r w:rsidR="00C71126">
        <w:rPr>
          <w:rFonts w:ascii="Times New Roman" w:hAnsi="Times New Roman" w:cs="Times New Roman"/>
          <w:i/>
          <w:sz w:val="24"/>
          <w:szCs w:val="24"/>
        </w:rPr>
        <w:t>Studies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31</w:t>
      </w:r>
      <w:r w:rsidRPr="0094469E">
        <w:rPr>
          <w:rFonts w:ascii="Times New Roman" w:hAnsi="Times New Roman" w:cs="Times New Roman"/>
          <w:sz w:val="24"/>
          <w:szCs w:val="24"/>
        </w:rPr>
        <w:t>(2), 199-218.</w:t>
      </w:r>
      <w:bookmarkEnd w:id="809"/>
    </w:p>
    <w:p w14:paraId="5F54581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0" w:name="_ENREF_303"/>
      <w:r w:rsidRPr="0094469E">
        <w:rPr>
          <w:rFonts w:ascii="Times New Roman" w:hAnsi="Times New Roman" w:cs="Times New Roman"/>
          <w:sz w:val="24"/>
          <w:szCs w:val="24"/>
        </w:rPr>
        <w:t xml:space="preserve">Norman, G. (2005). Research in clinical reasoning: past history and current trends.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39</w:t>
      </w:r>
      <w:r w:rsidRPr="0094469E">
        <w:rPr>
          <w:rFonts w:ascii="Times New Roman" w:hAnsi="Times New Roman" w:cs="Times New Roman"/>
          <w:sz w:val="24"/>
          <w:szCs w:val="24"/>
        </w:rPr>
        <w:t>(4), 418-427.</w:t>
      </w:r>
      <w:bookmarkEnd w:id="810"/>
    </w:p>
    <w:p w14:paraId="031AC29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1" w:name="_ENREF_304"/>
      <w:r w:rsidRPr="0094469E">
        <w:rPr>
          <w:rFonts w:ascii="Times New Roman" w:hAnsi="Times New Roman" w:cs="Times New Roman"/>
          <w:sz w:val="24"/>
          <w:szCs w:val="24"/>
        </w:rPr>
        <w:t xml:space="preserve">Norman, G. (2011). Fifty years of medical education research: waves of migration.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45</w:t>
      </w:r>
      <w:r w:rsidRPr="0094469E">
        <w:rPr>
          <w:rFonts w:ascii="Times New Roman" w:hAnsi="Times New Roman" w:cs="Times New Roman"/>
          <w:sz w:val="24"/>
          <w:szCs w:val="24"/>
        </w:rPr>
        <w:t>(8), 785-791.</w:t>
      </w:r>
      <w:bookmarkEnd w:id="811"/>
    </w:p>
    <w:p w14:paraId="40CCA03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2" w:name="_ENREF_305"/>
      <w:r w:rsidRPr="0094469E">
        <w:rPr>
          <w:rFonts w:ascii="Times New Roman" w:hAnsi="Times New Roman" w:cs="Times New Roman"/>
          <w:sz w:val="24"/>
          <w:szCs w:val="24"/>
        </w:rPr>
        <w:t xml:space="preserve">Norman, G. R., Van Der Vleuten, C. P. M., and Newble, D. I. (2002). </w:t>
      </w:r>
      <w:r w:rsidRPr="0094469E">
        <w:rPr>
          <w:rFonts w:ascii="Times New Roman" w:hAnsi="Times New Roman" w:cs="Times New Roman"/>
          <w:i/>
          <w:sz w:val="24"/>
          <w:szCs w:val="24"/>
        </w:rPr>
        <w:t>International handbook of research in medical education</w:t>
      </w:r>
      <w:r w:rsidRPr="0094469E">
        <w:rPr>
          <w:rFonts w:ascii="Times New Roman" w:hAnsi="Times New Roman" w:cs="Times New Roman"/>
          <w:sz w:val="24"/>
          <w:szCs w:val="24"/>
        </w:rPr>
        <w:t xml:space="preserve"> (Vol. 7): Springer Science &amp; Business Media.</w:t>
      </w:r>
      <w:bookmarkEnd w:id="812"/>
    </w:p>
    <w:p w14:paraId="3CA6E2F8" w14:textId="63B7C565" w:rsidR="0094469E" w:rsidRPr="0094469E" w:rsidRDefault="0094469E" w:rsidP="0094469E">
      <w:pPr>
        <w:pStyle w:val="EndNoteBibliography"/>
        <w:spacing w:line="360" w:lineRule="auto"/>
        <w:rPr>
          <w:rFonts w:ascii="Times New Roman" w:hAnsi="Times New Roman" w:cs="Times New Roman"/>
          <w:sz w:val="24"/>
          <w:szCs w:val="24"/>
        </w:rPr>
      </w:pPr>
      <w:bookmarkStart w:id="813" w:name="_ENREF_306"/>
      <w:r w:rsidRPr="0094469E">
        <w:rPr>
          <w:rFonts w:ascii="Times New Roman" w:hAnsi="Times New Roman" w:cs="Times New Roman"/>
          <w:sz w:val="24"/>
          <w:szCs w:val="24"/>
        </w:rPr>
        <w:t xml:space="preserve">O'Brien, B., Cooke, M., and Irby, D. M. (2007). Perceptions and attributions of third-year student struggles in clerkships: do students and clerkship directors agree?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82</w:t>
      </w:r>
      <w:r w:rsidRPr="0094469E">
        <w:rPr>
          <w:rFonts w:ascii="Times New Roman" w:hAnsi="Times New Roman" w:cs="Times New Roman"/>
          <w:sz w:val="24"/>
          <w:szCs w:val="24"/>
        </w:rPr>
        <w:t>(10), 970-978.</w:t>
      </w:r>
      <w:bookmarkEnd w:id="813"/>
    </w:p>
    <w:p w14:paraId="6C14ACC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4" w:name="_ENREF_307"/>
      <w:r w:rsidRPr="0094469E">
        <w:rPr>
          <w:rFonts w:ascii="Times New Roman" w:hAnsi="Times New Roman" w:cs="Times New Roman"/>
          <w:sz w:val="24"/>
          <w:szCs w:val="24"/>
        </w:rPr>
        <w:t xml:space="preserve">O'Cathain, A., Murphy, E., and Nicholl, J. (2008). Multidisciplinary, interdisciplinary, or dysfunctional? Team working in mixed-methods research. </w:t>
      </w:r>
      <w:r w:rsidRPr="0094469E">
        <w:rPr>
          <w:rFonts w:ascii="Times New Roman" w:hAnsi="Times New Roman" w:cs="Times New Roman"/>
          <w:i/>
          <w:sz w:val="24"/>
          <w:szCs w:val="24"/>
        </w:rPr>
        <w:t xml:space="preserve">Qualitative health research, </w:t>
      </w:r>
      <w:r w:rsidRPr="0094469E">
        <w:rPr>
          <w:rFonts w:ascii="Times New Roman" w:hAnsi="Times New Roman" w:cs="Times New Roman"/>
          <w:b/>
          <w:sz w:val="24"/>
          <w:szCs w:val="24"/>
        </w:rPr>
        <w:t>18</w:t>
      </w:r>
      <w:r w:rsidRPr="0094469E">
        <w:rPr>
          <w:rFonts w:ascii="Times New Roman" w:hAnsi="Times New Roman" w:cs="Times New Roman"/>
          <w:sz w:val="24"/>
          <w:szCs w:val="24"/>
        </w:rPr>
        <w:t>(11), 1574-1585.</w:t>
      </w:r>
      <w:bookmarkEnd w:id="814"/>
    </w:p>
    <w:p w14:paraId="4642E9DA" w14:textId="2546A3DC" w:rsidR="0094469E" w:rsidRPr="0094469E" w:rsidRDefault="0094469E" w:rsidP="0094469E">
      <w:pPr>
        <w:pStyle w:val="EndNoteBibliography"/>
        <w:spacing w:line="360" w:lineRule="auto"/>
        <w:rPr>
          <w:rFonts w:ascii="Times New Roman" w:hAnsi="Times New Roman" w:cs="Times New Roman"/>
          <w:sz w:val="24"/>
          <w:szCs w:val="24"/>
        </w:rPr>
      </w:pPr>
      <w:bookmarkStart w:id="815" w:name="_ENREF_308"/>
      <w:r w:rsidRPr="0094469E">
        <w:rPr>
          <w:rFonts w:ascii="Times New Roman" w:hAnsi="Times New Roman" w:cs="Times New Roman"/>
          <w:sz w:val="24"/>
          <w:szCs w:val="24"/>
        </w:rPr>
        <w:t xml:space="preserve">O’Sullivan, P. S., and Irby, D. M. (2014). Promoting scholarship in faculty development: relevant research paradigms and methodologies </w:t>
      </w:r>
      <w:r w:rsidRPr="0094469E">
        <w:rPr>
          <w:rFonts w:ascii="Times New Roman" w:hAnsi="Times New Roman" w:cs="Times New Roman"/>
          <w:i/>
          <w:sz w:val="24"/>
          <w:szCs w:val="24"/>
        </w:rPr>
        <w:t xml:space="preserve">Faculty </w:t>
      </w:r>
      <w:r w:rsidR="00521DE8" w:rsidRPr="0094469E">
        <w:rPr>
          <w:rFonts w:ascii="Times New Roman" w:hAnsi="Times New Roman" w:cs="Times New Roman"/>
          <w:i/>
          <w:sz w:val="24"/>
          <w:szCs w:val="24"/>
        </w:rPr>
        <w:t>development in the health professions</w:t>
      </w:r>
      <w:r w:rsidRPr="0094469E">
        <w:rPr>
          <w:rFonts w:ascii="Times New Roman" w:hAnsi="Times New Roman" w:cs="Times New Roman"/>
          <w:sz w:val="24"/>
          <w:szCs w:val="24"/>
        </w:rPr>
        <w:t xml:space="preserve"> (pp. 375-398): Springer.</w:t>
      </w:r>
      <w:bookmarkEnd w:id="815"/>
    </w:p>
    <w:p w14:paraId="25AC7861" w14:textId="1C1C8DAF" w:rsidR="0094469E" w:rsidRPr="0094469E" w:rsidRDefault="0094469E" w:rsidP="0094469E">
      <w:pPr>
        <w:pStyle w:val="EndNoteBibliography"/>
        <w:spacing w:line="360" w:lineRule="auto"/>
        <w:rPr>
          <w:rFonts w:ascii="Times New Roman" w:hAnsi="Times New Roman" w:cs="Times New Roman"/>
          <w:sz w:val="24"/>
          <w:szCs w:val="24"/>
        </w:rPr>
      </w:pPr>
      <w:bookmarkStart w:id="816" w:name="_ENREF_309"/>
      <w:r w:rsidRPr="0094469E">
        <w:rPr>
          <w:rFonts w:ascii="Times New Roman" w:hAnsi="Times New Roman" w:cs="Times New Roman"/>
          <w:sz w:val="24"/>
          <w:szCs w:val="24"/>
        </w:rPr>
        <w:t xml:space="preserve">Onwuegbuzie, A. J., and Johnson, R. B. (2006). The validity issue in mixed research. </w:t>
      </w:r>
      <w:r w:rsidRPr="0094469E">
        <w:rPr>
          <w:rFonts w:ascii="Times New Roman" w:hAnsi="Times New Roman" w:cs="Times New Roman"/>
          <w:i/>
          <w:sz w:val="24"/>
          <w:szCs w:val="24"/>
        </w:rPr>
        <w:t xml:space="preserve">Research in the </w:t>
      </w:r>
      <w:r w:rsidR="00521DE8">
        <w:rPr>
          <w:rFonts w:ascii="Times New Roman" w:hAnsi="Times New Roman" w:cs="Times New Roman"/>
          <w:i/>
          <w:sz w:val="24"/>
          <w:szCs w:val="24"/>
        </w:rPr>
        <w:t>s</w:t>
      </w:r>
      <w:r w:rsidR="00521DE8" w:rsidRPr="0094469E">
        <w:rPr>
          <w:rFonts w:ascii="Times New Roman" w:hAnsi="Times New Roman" w:cs="Times New Roman"/>
          <w:i/>
          <w:sz w:val="24"/>
          <w:szCs w:val="24"/>
        </w:rPr>
        <w:t>chools</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13</w:t>
      </w:r>
      <w:r w:rsidRPr="0094469E">
        <w:rPr>
          <w:rFonts w:ascii="Times New Roman" w:hAnsi="Times New Roman" w:cs="Times New Roman"/>
          <w:sz w:val="24"/>
          <w:szCs w:val="24"/>
        </w:rPr>
        <w:t>(1), 48-63.</w:t>
      </w:r>
      <w:bookmarkEnd w:id="816"/>
    </w:p>
    <w:p w14:paraId="499802B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7" w:name="_ENREF_310"/>
      <w:r w:rsidRPr="0094469E">
        <w:rPr>
          <w:rFonts w:ascii="Times New Roman" w:hAnsi="Times New Roman" w:cs="Times New Roman"/>
          <w:sz w:val="24"/>
          <w:szCs w:val="24"/>
        </w:rPr>
        <w:lastRenderedPageBreak/>
        <w:t xml:space="preserve">Östlund, U., Kidd, L., Wengström, Y., and Rowa-Dewar, N. (2011). Combining qualitative and quantitative research within mixed method research designs: a methodological review. </w:t>
      </w:r>
      <w:r w:rsidRPr="0094469E">
        <w:rPr>
          <w:rFonts w:ascii="Times New Roman" w:hAnsi="Times New Roman" w:cs="Times New Roman"/>
          <w:i/>
          <w:sz w:val="24"/>
          <w:szCs w:val="24"/>
        </w:rPr>
        <w:t xml:space="preserve">International journal of nursing studies, </w:t>
      </w:r>
      <w:r w:rsidRPr="0094469E">
        <w:rPr>
          <w:rFonts w:ascii="Times New Roman" w:hAnsi="Times New Roman" w:cs="Times New Roman"/>
          <w:b/>
          <w:sz w:val="24"/>
          <w:szCs w:val="24"/>
        </w:rPr>
        <w:t>48</w:t>
      </w:r>
      <w:r w:rsidRPr="0094469E">
        <w:rPr>
          <w:rFonts w:ascii="Times New Roman" w:hAnsi="Times New Roman" w:cs="Times New Roman"/>
          <w:sz w:val="24"/>
          <w:szCs w:val="24"/>
        </w:rPr>
        <w:t>(3), 369-383.</w:t>
      </w:r>
      <w:bookmarkEnd w:id="817"/>
    </w:p>
    <w:p w14:paraId="372FA1B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8" w:name="_ENREF_311"/>
      <w:r w:rsidRPr="0094469E">
        <w:rPr>
          <w:rFonts w:ascii="Times New Roman" w:hAnsi="Times New Roman" w:cs="Times New Roman"/>
          <w:sz w:val="24"/>
          <w:szCs w:val="24"/>
        </w:rPr>
        <w:t xml:space="preserve">Pace, R., Pluye, P., Bartlett, G., Macaulay, A. C., Salsberg, J., Jagosh, J., and Seller, R. (2012). Testing the reliability and efficiency of the pilot Mixed Methods Appraisal Tool (MMAT) for systematic mixed studies review. </w:t>
      </w:r>
      <w:r w:rsidRPr="0094469E">
        <w:rPr>
          <w:rFonts w:ascii="Times New Roman" w:hAnsi="Times New Roman" w:cs="Times New Roman"/>
          <w:i/>
          <w:sz w:val="24"/>
          <w:szCs w:val="24"/>
        </w:rPr>
        <w:t xml:space="preserve">International journal of nursing studies, </w:t>
      </w:r>
      <w:r w:rsidRPr="0094469E">
        <w:rPr>
          <w:rFonts w:ascii="Times New Roman" w:hAnsi="Times New Roman" w:cs="Times New Roman"/>
          <w:b/>
          <w:sz w:val="24"/>
          <w:szCs w:val="24"/>
        </w:rPr>
        <w:t>49</w:t>
      </w:r>
      <w:r w:rsidRPr="0094469E">
        <w:rPr>
          <w:rFonts w:ascii="Times New Roman" w:hAnsi="Times New Roman" w:cs="Times New Roman"/>
          <w:sz w:val="24"/>
          <w:szCs w:val="24"/>
        </w:rPr>
        <w:t>(1), 47-53.</w:t>
      </w:r>
      <w:bookmarkEnd w:id="818"/>
    </w:p>
    <w:p w14:paraId="6E4C4B3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19" w:name="_ENREF_312"/>
      <w:r w:rsidRPr="0094469E">
        <w:rPr>
          <w:rFonts w:ascii="Times New Roman" w:hAnsi="Times New Roman" w:cs="Times New Roman"/>
          <w:sz w:val="24"/>
          <w:szCs w:val="24"/>
        </w:rPr>
        <w:t xml:space="preserve">Pajares, F. (2002). Gender and perceived self-efficacy in self-regulated learning. </w:t>
      </w:r>
      <w:r w:rsidRPr="0094469E">
        <w:rPr>
          <w:rFonts w:ascii="Times New Roman" w:hAnsi="Times New Roman" w:cs="Times New Roman"/>
          <w:i/>
          <w:sz w:val="24"/>
          <w:szCs w:val="24"/>
        </w:rPr>
        <w:t xml:space="preserve">Theory into practice, </w:t>
      </w:r>
      <w:r w:rsidRPr="0094469E">
        <w:rPr>
          <w:rFonts w:ascii="Times New Roman" w:hAnsi="Times New Roman" w:cs="Times New Roman"/>
          <w:b/>
          <w:sz w:val="24"/>
          <w:szCs w:val="24"/>
        </w:rPr>
        <w:t>41</w:t>
      </w:r>
      <w:r w:rsidRPr="0094469E">
        <w:rPr>
          <w:rFonts w:ascii="Times New Roman" w:hAnsi="Times New Roman" w:cs="Times New Roman"/>
          <w:sz w:val="24"/>
          <w:szCs w:val="24"/>
        </w:rPr>
        <w:t>(2), 116-125.</w:t>
      </w:r>
      <w:bookmarkEnd w:id="819"/>
    </w:p>
    <w:p w14:paraId="6B75FBE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0" w:name="_ENREF_313"/>
      <w:r w:rsidRPr="0094469E">
        <w:rPr>
          <w:rFonts w:ascii="Times New Roman" w:hAnsi="Times New Roman" w:cs="Times New Roman"/>
          <w:sz w:val="24"/>
          <w:szCs w:val="24"/>
        </w:rPr>
        <w:t xml:space="preserve">Pajares, F., and Schunk, D. (2001). The development of academic self-efficacy. </w:t>
      </w:r>
      <w:r w:rsidRPr="0094469E">
        <w:rPr>
          <w:rFonts w:ascii="Times New Roman" w:hAnsi="Times New Roman" w:cs="Times New Roman"/>
          <w:i/>
          <w:sz w:val="24"/>
          <w:szCs w:val="24"/>
        </w:rPr>
        <w:t xml:space="preserve">Development of achievement motivation. United States, </w:t>
      </w:r>
      <w:r w:rsidRPr="0094469E">
        <w:rPr>
          <w:rFonts w:ascii="Times New Roman" w:hAnsi="Times New Roman" w:cs="Times New Roman"/>
          <w:b/>
          <w:sz w:val="24"/>
          <w:szCs w:val="24"/>
        </w:rPr>
        <w:t>7</w:t>
      </w:r>
      <w:r w:rsidRPr="0094469E">
        <w:rPr>
          <w:rFonts w:ascii="Times New Roman" w:hAnsi="Times New Roman" w:cs="Times New Roman"/>
          <w:sz w:val="24"/>
          <w:szCs w:val="24"/>
        </w:rPr>
        <w:t>.</w:t>
      </w:r>
      <w:bookmarkEnd w:id="820"/>
    </w:p>
    <w:p w14:paraId="28BB7D7D" w14:textId="19C1E870" w:rsidR="0094469E" w:rsidRPr="0094469E" w:rsidRDefault="0094469E" w:rsidP="0094469E">
      <w:pPr>
        <w:pStyle w:val="EndNoteBibliography"/>
        <w:spacing w:line="360" w:lineRule="auto"/>
        <w:rPr>
          <w:rFonts w:ascii="Times New Roman" w:hAnsi="Times New Roman" w:cs="Times New Roman"/>
          <w:sz w:val="24"/>
          <w:szCs w:val="24"/>
        </w:rPr>
      </w:pPr>
      <w:bookmarkStart w:id="821" w:name="_ENREF_314"/>
      <w:r w:rsidRPr="0094469E">
        <w:rPr>
          <w:rFonts w:ascii="Times New Roman" w:hAnsi="Times New Roman" w:cs="Times New Roman"/>
          <w:sz w:val="24"/>
          <w:szCs w:val="24"/>
        </w:rPr>
        <w:t xml:space="preserve">Panadero, E. (2017). A Review of Self-regulated Learning: Six Models and Four Directions for Research. </w:t>
      </w:r>
      <w:r w:rsidRPr="0094469E">
        <w:rPr>
          <w:rFonts w:ascii="Times New Roman" w:hAnsi="Times New Roman" w:cs="Times New Roman"/>
          <w:i/>
          <w:sz w:val="24"/>
          <w:szCs w:val="24"/>
        </w:rPr>
        <w:t xml:space="preserve">Frontiers in </w:t>
      </w:r>
      <w:r w:rsidR="00521DE8">
        <w:rPr>
          <w:rFonts w:ascii="Times New Roman" w:hAnsi="Times New Roman" w:cs="Times New Roman"/>
          <w:i/>
          <w:sz w:val="24"/>
          <w:szCs w:val="24"/>
        </w:rPr>
        <w:t>p</w:t>
      </w:r>
      <w:r w:rsidR="00521DE8" w:rsidRPr="0094469E">
        <w:rPr>
          <w:rFonts w:ascii="Times New Roman" w:hAnsi="Times New Roman" w:cs="Times New Roman"/>
          <w:i/>
          <w:sz w:val="24"/>
          <w:szCs w:val="24"/>
        </w:rPr>
        <w:t>sychology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w:t>
      </w:r>
      <w:r w:rsidRPr="0094469E">
        <w:rPr>
          <w:rFonts w:ascii="Times New Roman" w:hAnsi="Times New Roman" w:cs="Times New Roman"/>
          <w:sz w:val="24"/>
          <w:szCs w:val="24"/>
        </w:rPr>
        <w:t>(422), 1-28.</w:t>
      </w:r>
      <w:bookmarkEnd w:id="821"/>
    </w:p>
    <w:p w14:paraId="0386B9F7" w14:textId="7865AC6E" w:rsidR="0094469E" w:rsidRPr="0094469E" w:rsidRDefault="0094469E" w:rsidP="0094469E">
      <w:pPr>
        <w:pStyle w:val="EndNoteBibliography"/>
        <w:spacing w:line="360" w:lineRule="auto"/>
        <w:rPr>
          <w:rFonts w:ascii="Times New Roman" w:hAnsi="Times New Roman" w:cs="Times New Roman"/>
          <w:sz w:val="24"/>
          <w:szCs w:val="24"/>
        </w:rPr>
      </w:pPr>
      <w:bookmarkStart w:id="822" w:name="_ENREF_315"/>
      <w:r w:rsidRPr="0094469E">
        <w:rPr>
          <w:rFonts w:ascii="Times New Roman" w:hAnsi="Times New Roman" w:cs="Times New Roman"/>
          <w:sz w:val="24"/>
          <w:szCs w:val="24"/>
        </w:rPr>
        <w:t xml:space="preserve">Panadero, E., Klug, J., and Järvelä, S. (2016). Third wave of measurement in the self-regulated learning field: When measurement and intervention come hand in hand. </w:t>
      </w:r>
      <w:r w:rsidRPr="0094469E">
        <w:rPr>
          <w:rFonts w:ascii="Times New Roman" w:hAnsi="Times New Roman" w:cs="Times New Roman"/>
          <w:i/>
          <w:sz w:val="24"/>
          <w:szCs w:val="24"/>
        </w:rPr>
        <w:t xml:space="preserve">Scandinavian </w:t>
      </w:r>
      <w:r w:rsidR="00521DE8" w:rsidRPr="0094469E">
        <w:rPr>
          <w:rFonts w:ascii="Times New Roman" w:hAnsi="Times New Roman" w:cs="Times New Roman"/>
          <w:i/>
          <w:sz w:val="24"/>
          <w:szCs w:val="24"/>
        </w:rPr>
        <w:t>journal of educational research</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60</w:t>
      </w:r>
      <w:r w:rsidRPr="0094469E">
        <w:rPr>
          <w:rFonts w:ascii="Times New Roman" w:hAnsi="Times New Roman" w:cs="Times New Roman"/>
          <w:sz w:val="24"/>
          <w:szCs w:val="24"/>
        </w:rPr>
        <w:t>(6), 723-735.</w:t>
      </w:r>
      <w:bookmarkEnd w:id="822"/>
    </w:p>
    <w:p w14:paraId="20C7122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3" w:name="_ENREF_316"/>
      <w:r w:rsidRPr="0094469E">
        <w:rPr>
          <w:rFonts w:ascii="Times New Roman" w:hAnsi="Times New Roman" w:cs="Times New Roman"/>
          <w:sz w:val="24"/>
          <w:szCs w:val="24"/>
        </w:rPr>
        <w:t xml:space="preserve">Paris, S. G., Byrnes, J. P., and Paris, A. H. (2001). Constructing theories, identities, and actions of self-regulated learners. </w:t>
      </w:r>
      <w:r w:rsidRPr="0094469E">
        <w:rPr>
          <w:rFonts w:ascii="Times New Roman" w:hAnsi="Times New Roman" w:cs="Times New Roman"/>
          <w:i/>
          <w:sz w:val="24"/>
          <w:szCs w:val="24"/>
        </w:rPr>
        <w:t xml:space="preserve">Self-regulated learning and academic achievement: Theoretical perspectives, </w:t>
      </w:r>
      <w:r w:rsidRPr="0094469E">
        <w:rPr>
          <w:rFonts w:ascii="Times New Roman" w:hAnsi="Times New Roman" w:cs="Times New Roman"/>
          <w:b/>
          <w:sz w:val="24"/>
          <w:szCs w:val="24"/>
        </w:rPr>
        <w:t>2</w:t>
      </w:r>
      <w:r w:rsidRPr="0094469E">
        <w:rPr>
          <w:rFonts w:ascii="Times New Roman" w:hAnsi="Times New Roman" w:cs="Times New Roman"/>
          <w:sz w:val="24"/>
          <w:szCs w:val="24"/>
        </w:rPr>
        <w:t>, 253-287.</w:t>
      </w:r>
      <w:bookmarkEnd w:id="823"/>
    </w:p>
    <w:p w14:paraId="4F89C27F"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4" w:name="_ENREF_317"/>
      <w:r w:rsidRPr="0094469E">
        <w:rPr>
          <w:rFonts w:ascii="Times New Roman" w:hAnsi="Times New Roman" w:cs="Times New Roman"/>
          <w:sz w:val="24"/>
          <w:szCs w:val="24"/>
        </w:rPr>
        <w:t xml:space="preserve">Passiment, M., Sacks, H., and Huang, G. (2011). Medical simulation in medical education: results of an AAMC survey. </w:t>
      </w:r>
      <w:r w:rsidRPr="0094469E">
        <w:rPr>
          <w:rFonts w:ascii="Times New Roman" w:hAnsi="Times New Roman" w:cs="Times New Roman"/>
          <w:i/>
          <w:sz w:val="24"/>
          <w:szCs w:val="24"/>
        </w:rPr>
        <w:t>Washington, DC: Association of American Medical Colleges</w:t>
      </w:r>
      <w:r w:rsidRPr="0094469E">
        <w:rPr>
          <w:rFonts w:ascii="Times New Roman" w:hAnsi="Times New Roman" w:cs="Times New Roman"/>
          <w:sz w:val="24"/>
          <w:szCs w:val="24"/>
        </w:rPr>
        <w:t>.</w:t>
      </w:r>
      <w:bookmarkEnd w:id="824"/>
    </w:p>
    <w:p w14:paraId="3FEFC82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5" w:name="_ENREF_318"/>
      <w:r w:rsidRPr="0094469E">
        <w:rPr>
          <w:rFonts w:ascii="Times New Roman" w:hAnsi="Times New Roman" w:cs="Times New Roman"/>
          <w:sz w:val="24"/>
          <w:szCs w:val="24"/>
        </w:rPr>
        <w:t xml:space="preserve">Patel, V. L., and Dauphinee, W. (1985). The clinical learning environments in medicine, paediatrics and surgery clerkships.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19</w:t>
      </w:r>
      <w:r w:rsidRPr="0094469E">
        <w:rPr>
          <w:rFonts w:ascii="Times New Roman" w:hAnsi="Times New Roman" w:cs="Times New Roman"/>
          <w:sz w:val="24"/>
          <w:szCs w:val="24"/>
        </w:rPr>
        <w:t>(1), 54-60.</w:t>
      </w:r>
      <w:bookmarkEnd w:id="825"/>
    </w:p>
    <w:p w14:paraId="181035A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6" w:name="_ENREF_319"/>
      <w:r w:rsidRPr="0094469E">
        <w:rPr>
          <w:rFonts w:ascii="Times New Roman" w:hAnsi="Times New Roman" w:cs="Times New Roman"/>
          <w:sz w:val="24"/>
          <w:szCs w:val="24"/>
        </w:rPr>
        <w:t xml:space="preserve">Patton, M. Q. (2002). Qualitative analysis and interpretation. </w:t>
      </w:r>
      <w:r w:rsidRPr="0094469E">
        <w:rPr>
          <w:rFonts w:ascii="Times New Roman" w:hAnsi="Times New Roman" w:cs="Times New Roman"/>
          <w:i/>
          <w:sz w:val="24"/>
          <w:szCs w:val="24"/>
        </w:rPr>
        <w:t xml:space="preserve">Qualitative research and evaluation methods, </w:t>
      </w:r>
      <w:r w:rsidRPr="0094469E">
        <w:rPr>
          <w:rFonts w:ascii="Times New Roman" w:hAnsi="Times New Roman" w:cs="Times New Roman"/>
          <w:b/>
          <w:sz w:val="24"/>
          <w:szCs w:val="24"/>
        </w:rPr>
        <w:t>3</w:t>
      </w:r>
      <w:r w:rsidRPr="0094469E">
        <w:rPr>
          <w:rFonts w:ascii="Times New Roman" w:hAnsi="Times New Roman" w:cs="Times New Roman"/>
          <w:sz w:val="24"/>
          <w:szCs w:val="24"/>
        </w:rPr>
        <w:t>, 431-539.</w:t>
      </w:r>
      <w:bookmarkEnd w:id="826"/>
    </w:p>
    <w:p w14:paraId="4EE5A84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7" w:name="_ENREF_320"/>
      <w:r w:rsidRPr="0094469E">
        <w:rPr>
          <w:rFonts w:ascii="Times New Roman" w:hAnsi="Times New Roman" w:cs="Times New Roman"/>
          <w:sz w:val="24"/>
          <w:szCs w:val="24"/>
        </w:rPr>
        <w:t xml:space="preserve">Patton, M. Q. (2005). </w:t>
      </w:r>
      <w:r w:rsidRPr="0094469E">
        <w:rPr>
          <w:rFonts w:ascii="Times New Roman" w:hAnsi="Times New Roman" w:cs="Times New Roman"/>
          <w:i/>
          <w:sz w:val="24"/>
          <w:szCs w:val="24"/>
        </w:rPr>
        <w:t>Qualitative research</w:t>
      </w:r>
      <w:r w:rsidRPr="0094469E">
        <w:rPr>
          <w:rFonts w:ascii="Times New Roman" w:hAnsi="Times New Roman" w:cs="Times New Roman"/>
          <w:sz w:val="24"/>
          <w:szCs w:val="24"/>
        </w:rPr>
        <w:t>: Wiley Online Library.</w:t>
      </w:r>
      <w:bookmarkEnd w:id="827"/>
    </w:p>
    <w:p w14:paraId="25B99E4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28" w:name="_ENREF_321"/>
      <w:r w:rsidRPr="0094469E">
        <w:rPr>
          <w:rFonts w:ascii="Times New Roman" w:hAnsi="Times New Roman" w:cs="Times New Roman"/>
          <w:sz w:val="24"/>
          <w:szCs w:val="24"/>
        </w:rPr>
        <w:t xml:space="preserve">Pendleton, D., Schofield, T., Tate, P., and Havelock, P. (1984). </w:t>
      </w:r>
      <w:r w:rsidRPr="0094469E">
        <w:rPr>
          <w:rFonts w:ascii="Times New Roman" w:hAnsi="Times New Roman" w:cs="Times New Roman"/>
          <w:i/>
          <w:sz w:val="24"/>
          <w:szCs w:val="24"/>
        </w:rPr>
        <w:t>The consultation: an approach to learning and teaching</w:t>
      </w:r>
      <w:r w:rsidRPr="0094469E">
        <w:rPr>
          <w:rFonts w:ascii="Times New Roman" w:hAnsi="Times New Roman" w:cs="Times New Roman"/>
          <w:sz w:val="24"/>
          <w:szCs w:val="24"/>
        </w:rPr>
        <w:t xml:space="preserve"> (Vol. 89): Oxford University Press Oxford.</w:t>
      </w:r>
      <w:bookmarkEnd w:id="828"/>
    </w:p>
    <w:p w14:paraId="5C6E1393" w14:textId="3DD6997A" w:rsidR="0094469E" w:rsidRPr="0094469E" w:rsidRDefault="0094469E" w:rsidP="0094469E">
      <w:pPr>
        <w:pStyle w:val="EndNoteBibliography"/>
        <w:spacing w:line="360" w:lineRule="auto"/>
        <w:rPr>
          <w:rFonts w:ascii="Times New Roman" w:hAnsi="Times New Roman" w:cs="Times New Roman"/>
          <w:sz w:val="24"/>
          <w:szCs w:val="24"/>
        </w:rPr>
      </w:pPr>
      <w:bookmarkStart w:id="829" w:name="_ENREF_322"/>
      <w:r w:rsidRPr="0094469E">
        <w:rPr>
          <w:rFonts w:ascii="Times New Roman" w:hAnsi="Times New Roman" w:cs="Times New Roman"/>
          <w:sz w:val="24"/>
          <w:szCs w:val="24"/>
        </w:rPr>
        <w:lastRenderedPageBreak/>
        <w:t xml:space="preserve">Perry, N. E., and Winne, P. H. (2006). Learning from learning kits: gStudy traces of students’ self-regulated engagements with computerized content. </w:t>
      </w:r>
      <w:r w:rsidRPr="0094469E">
        <w:rPr>
          <w:rFonts w:ascii="Times New Roman" w:hAnsi="Times New Roman" w:cs="Times New Roman"/>
          <w:i/>
          <w:sz w:val="24"/>
          <w:szCs w:val="24"/>
        </w:rPr>
        <w:t xml:space="preserve">Educational </w:t>
      </w:r>
      <w:r w:rsidR="00521DE8" w:rsidRPr="0094469E">
        <w:rPr>
          <w:rFonts w:ascii="Times New Roman" w:hAnsi="Times New Roman" w:cs="Times New Roman"/>
          <w:i/>
          <w:sz w:val="24"/>
          <w:szCs w:val="24"/>
        </w:rPr>
        <w:t>psychology review</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18</w:t>
      </w:r>
      <w:r w:rsidRPr="0094469E">
        <w:rPr>
          <w:rFonts w:ascii="Times New Roman" w:hAnsi="Times New Roman" w:cs="Times New Roman"/>
          <w:sz w:val="24"/>
          <w:szCs w:val="24"/>
        </w:rPr>
        <w:t>(3), 211-228.</w:t>
      </w:r>
      <w:bookmarkEnd w:id="829"/>
    </w:p>
    <w:p w14:paraId="7C36436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0" w:name="_ENREF_323"/>
      <w:r w:rsidRPr="0094469E">
        <w:rPr>
          <w:rFonts w:ascii="Times New Roman" w:hAnsi="Times New Roman" w:cs="Times New Roman"/>
          <w:sz w:val="24"/>
          <w:szCs w:val="24"/>
        </w:rPr>
        <w:t xml:space="preserve">Pichardo, C., Justicia, F., de la Fuente, J., Martínez-Vicente, J. M., and Berbén, A. B. (2014). Factor structure of the self-regulation questionnaire (SRQ) at Spanish Universities. </w:t>
      </w:r>
      <w:r w:rsidRPr="0094469E">
        <w:rPr>
          <w:rFonts w:ascii="Times New Roman" w:hAnsi="Times New Roman" w:cs="Times New Roman"/>
          <w:i/>
          <w:sz w:val="24"/>
          <w:szCs w:val="24"/>
        </w:rPr>
        <w:t xml:space="preserve">The Spanish journal of psychology, </w:t>
      </w:r>
      <w:r w:rsidRPr="0094469E">
        <w:rPr>
          <w:rFonts w:ascii="Times New Roman" w:hAnsi="Times New Roman" w:cs="Times New Roman"/>
          <w:b/>
          <w:sz w:val="24"/>
          <w:szCs w:val="24"/>
        </w:rPr>
        <w:t>17</w:t>
      </w:r>
      <w:r w:rsidRPr="0094469E">
        <w:rPr>
          <w:rFonts w:ascii="Times New Roman" w:hAnsi="Times New Roman" w:cs="Times New Roman"/>
          <w:sz w:val="24"/>
          <w:szCs w:val="24"/>
        </w:rPr>
        <w:t>, E62.</w:t>
      </w:r>
      <w:bookmarkEnd w:id="830"/>
    </w:p>
    <w:p w14:paraId="34E9B37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1" w:name="_ENREF_324"/>
      <w:r w:rsidRPr="0094469E">
        <w:rPr>
          <w:rFonts w:ascii="Times New Roman" w:hAnsi="Times New Roman" w:cs="Times New Roman"/>
          <w:sz w:val="24"/>
          <w:szCs w:val="24"/>
        </w:rPr>
        <w:t>Pintrich, P. R. (1991). A manual for the use of the Motivated Strategies for Learning Questionnaire (MSLQ).</w:t>
      </w:r>
      <w:bookmarkEnd w:id="831"/>
    </w:p>
    <w:p w14:paraId="2B7D07F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2" w:name="_ENREF_325"/>
      <w:r w:rsidRPr="0094469E">
        <w:rPr>
          <w:rFonts w:ascii="Times New Roman" w:hAnsi="Times New Roman" w:cs="Times New Roman"/>
          <w:sz w:val="24"/>
          <w:szCs w:val="24"/>
        </w:rPr>
        <w:t xml:space="preserve">Pintrich, P. R. (2000). The role of goal orientation in self-regulated learning </w:t>
      </w:r>
      <w:r w:rsidRPr="0094469E">
        <w:rPr>
          <w:rFonts w:ascii="Times New Roman" w:hAnsi="Times New Roman" w:cs="Times New Roman"/>
          <w:i/>
          <w:sz w:val="24"/>
          <w:szCs w:val="24"/>
        </w:rPr>
        <w:t>Handbook of self-regulation</w:t>
      </w:r>
      <w:r w:rsidRPr="0094469E">
        <w:rPr>
          <w:rFonts w:ascii="Times New Roman" w:hAnsi="Times New Roman" w:cs="Times New Roman"/>
          <w:sz w:val="24"/>
          <w:szCs w:val="24"/>
        </w:rPr>
        <w:t xml:space="preserve"> (pp. 451-502): Academic Press.</w:t>
      </w:r>
      <w:bookmarkEnd w:id="832"/>
    </w:p>
    <w:p w14:paraId="1EA8CAD5" w14:textId="34CDD501" w:rsidR="0094469E" w:rsidRPr="0094469E" w:rsidRDefault="0094469E" w:rsidP="0094469E">
      <w:pPr>
        <w:pStyle w:val="EndNoteBibliography"/>
        <w:spacing w:line="360" w:lineRule="auto"/>
        <w:rPr>
          <w:rFonts w:ascii="Times New Roman" w:hAnsi="Times New Roman" w:cs="Times New Roman"/>
          <w:sz w:val="24"/>
          <w:szCs w:val="24"/>
        </w:rPr>
      </w:pPr>
      <w:bookmarkStart w:id="833" w:name="_ENREF_326"/>
      <w:r w:rsidRPr="0094469E">
        <w:rPr>
          <w:rFonts w:ascii="Times New Roman" w:hAnsi="Times New Roman" w:cs="Times New Roman"/>
          <w:sz w:val="24"/>
          <w:szCs w:val="24"/>
        </w:rPr>
        <w:t xml:space="preserve">Pintrich, P. R. (2004). A conceptual framework for assessing motivation and self-regulated learning in college students. </w:t>
      </w:r>
      <w:r w:rsidRPr="0094469E">
        <w:rPr>
          <w:rFonts w:ascii="Times New Roman" w:hAnsi="Times New Roman" w:cs="Times New Roman"/>
          <w:i/>
          <w:sz w:val="24"/>
          <w:szCs w:val="24"/>
        </w:rPr>
        <w:t xml:space="preserve">Educational </w:t>
      </w:r>
      <w:r w:rsidR="00521DE8" w:rsidRPr="0094469E">
        <w:rPr>
          <w:rFonts w:ascii="Times New Roman" w:hAnsi="Times New Roman" w:cs="Times New Roman"/>
          <w:i/>
          <w:sz w:val="24"/>
          <w:szCs w:val="24"/>
        </w:rPr>
        <w:t>psychology revie</w:t>
      </w:r>
      <w:r w:rsidRPr="0094469E">
        <w:rPr>
          <w:rFonts w:ascii="Times New Roman" w:hAnsi="Times New Roman" w:cs="Times New Roman"/>
          <w:i/>
          <w:sz w:val="24"/>
          <w:szCs w:val="24"/>
        </w:rPr>
        <w:t xml:space="preserve">w, </w:t>
      </w:r>
      <w:r w:rsidRPr="0094469E">
        <w:rPr>
          <w:rFonts w:ascii="Times New Roman" w:hAnsi="Times New Roman" w:cs="Times New Roman"/>
          <w:b/>
          <w:sz w:val="24"/>
          <w:szCs w:val="24"/>
        </w:rPr>
        <w:t>16</w:t>
      </w:r>
      <w:r w:rsidRPr="0094469E">
        <w:rPr>
          <w:rFonts w:ascii="Times New Roman" w:hAnsi="Times New Roman" w:cs="Times New Roman"/>
          <w:sz w:val="24"/>
          <w:szCs w:val="24"/>
        </w:rPr>
        <w:t>(4), 385-407.</w:t>
      </w:r>
      <w:bookmarkEnd w:id="833"/>
    </w:p>
    <w:p w14:paraId="7858658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4" w:name="_ENREF_327"/>
      <w:r w:rsidRPr="0094469E">
        <w:rPr>
          <w:rFonts w:ascii="Times New Roman" w:hAnsi="Times New Roman" w:cs="Times New Roman"/>
          <w:sz w:val="24"/>
          <w:szCs w:val="24"/>
        </w:rPr>
        <w:t xml:space="preserve">Pintrich, P. R., Smith, D. A., Garcia, T., and McKeachie, W. J. (1993). Reliability and predictive validity of the Motivated Strategies for Learning Questionnaire (MSLQ). </w:t>
      </w:r>
      <w:r w:rsidRPr="0094469E">
        <w:rPr>
          <w:rFonts w:ascii="Times New Roman" w:hAnsi="Times New Roman" w:cs="Times New Roman"/>
          <w:i/>
          <w:sz w:val="24"/>
          <w:szCs w:val="24"/>
        </w:rPr>
        <w:t xml:space="preserve">Educational and psychological measurement, </w:t>
      </w:r>
      <w:r w:rsidRPr="0094469E">
        <w:rPr>
          <w:rFonts w:ascii="Times New Roman" w:hAnsi="Times New Roman" w:cs="Times New Roman"/>
          <w:b/>
          <w:sz w:val="24"/>
          <w:szCs w:val="24"/>
        </w:rPr>
        <w:t>53</w:t>
      </w:r>
      <w:r w:rsidRPr="0094469E">
        <w:rPr>
          <w:rFonts w:ascii="Times New Roman" w:hAnsi="Times New Roman" w:cs="Times New Roman"/>
          <w:sz w:val="24"/>
          <w:szCs w:val="24"/>
        </w:rPr>
        <w:t>(3), 801-813.</w:t>
      </w:r>
      <w:bookmarkEnd w:id="834"/>
    </w:p>
    <w:p w14:paraId="2C4D467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5" w:name="_ENREF_328"/>
      <w:r w:rsidRPr="0094469E">
        <w:rPr>
          <w:rFonts w:ascii="Times New Roman" w:hAnsi="Times New Roman" w:cs="Times New Roman"/>
          <w:sz w:val="24"/>
          <w:szCs w:val="24"/>
        </w:rPr>
        <w:t xml:space="preserve">Pluye, P. (2013). Critical appraisal tools for assessing the methodological quality of qualitative, quantitative and mixed methods studies included in systematic mixed studies reviews. </w:t>
      </w:r>
      <w:r w:rsidRPr="0094469E">
        <w:rPr>
          <w:rFonts w:ascii="Times New Roman" w:hAnsi="Times New Roman" w:cs="Times New Roman"/>
          <w:i/>
          <w:sz w:val="24"/>
          <w:szCs w:val="24"/>
        </w:rPr>
        <w:t xml:space="preserve">Journal of evaluation in clinical practice, </w:t>
      </w:r>
      <w:r w:rsidRPr="0094469E">
        <w:rPr>
          <w:rFonts w:ascii="Times New Roman" w:hAnsi="Times New Roman" w:cs="Times New Roman"/>
          <w:b/>
          <w:sz w:val="24"/>
          <w:szCs w:val="24"/>
        </w:rPr>
        <w:t>19</w:t>
      </w:r>
      <w:r w:rsidRPr="0094469E">
        <w:rPr>
          <w:rFonts w:ascii="Times New Roman" w:hAnsi="Times New Roman" w:cs="Times New Roman"/>
          <w:sz w:val="24"/>
          <w:szCs w:val="24"/>
        </w:rPr>
        <w:t>(4), 722-722.</w:t>
      </w:r>
      <w:bookmarkEnd w:id="835"/>
    </w:p>
    <w:p w14:paraId="2815D32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6" w:name="_ENREF_329"/>
      <w:r w:rsidRPr="0094469E">
        <w:rPr>
          <w:rFonts w:ascii="Times New Roman" w:hAnsi="Times New Roman" w:cs="Times New Roman"/>
          <w:sz w:val="24"/>
          <w:szCs w:val="24"/>
        </w:rPr>
        <w:t xml:space="preserve">Pluye, P., Gagnon, M.-P., Griffiths, F., and Johnson-Lafleur, J. (2009). A scoring system for appraising mixed methods research, and concomitantly appraising qualitative, quantitative and mixed methods primary studies in Mixed Studies Reviews. </w:t>
      </w:r>
      <w:r w:rsidRPr="0094469E">
        <w:rPr>
          <w:rFonts w:ascii="Times New Roman" w:hAnsi="Times New Roman" w:cs="Times New Roman"/>
          <w:i/>
          <w:sz w:val="24"/>
          <w:szCs w:val="24"/>
        </w:rPr>
        <w:t xml:space="preserve">International journal of nursing studies, </w:t>
      </w:r>
      <w:r w:rsidRPr="0094469E">
        <w:rPr>
          <w:rFonts w:ascii="Times New Roman" w:hAnsi="Times New Roman" w:cs="Times New Roman"/>
          <w:b/>
          <w:sz w:val="24"/>
          <w:szCs w:val="24"/>
        </w:rPr>
        <w:t>46</w:t>
      </w:r>
      <w:r w:rsidRPr="0094469E">
        <w:rPr>
          <w:rFonts w:ascii="Times New Roman" w:hAnsi="Times New Roman" w:cs="Times New Roman"/>
          <w:sz w:val="24"/>
          <w:szCs w:val="24"/>
        </w:rPr>
        <w:t>(4), 529-546.</w:t>
      </w:r>
      <w:bookmarkEnd w:id="836"/>
    </w:p>
    <w:p w14:paraId="3372262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7" w:name="_ENREF_330"/>
      <w:r w:rsidRPr="0094469E">
        <w:rPr>
          <w:rFonts w:ascii="Times New Roman" w:hAnsi="Times New Roman" w:cs="Times New Roman"/>
          <w:sz w:val="24"/>
          <w:szCs w:val="24"/>
        </w:rPr>
        <w:t xml:space="preserve">Pluye, P., and Hong, Q. N. (2014). Combining the power of stories and the power of numbers: mixed methods research and mixed studies reviews. </w:t>
      </w:r>
      <w:r w:rsidRPr="0094469E">
        <w:rPr>
          <w:rFonts w:ascii="Times New Roman" w:hAnsi="Times New Roman" w:cs="Times New Roman"/>
          <w:i/>
          <w:sz w:val="24"/>
          <w:szCs w:val="24"/>
        </w:rPr>
        <w:t xml:space="preserve">Public health, </w:t>
      </w:r>
      <w:r w:rsidRPr="0094469E">
        <w:rPr>
          <w:rFonts w:ascii="Times New Roman" w:hAnsi="Times New Roman" w:cs="Times New Roman"/>
          <w:b/>
          <w:sz w:val="24"/>
          <w:szCs w:val="24"/>
        </w:rPr>
        <w:t>35</w:t>
      </w:r>
      <w:r w:rsidRPr="0094469E">
        <w:rPr>
          <w:rFonts w:ascii="Times New Roman" w:hAnsi="Times New Roman" w:cs="Times New Roman"/>
          <w:sz w:val="24"/>
          <w:szCs w:val="24"/>
        </w:rPr>
        <w:t>(1), 29.</w:t>
      </w:r>
      <w:bookmarkEnd w:id="837"/>
    </w:p>
    <w:p w14:paraId="1994333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8" w:name="_ENREF_331"/>
      <w:r w:rsidRPr="0094469E">
        <w:rPr>
          <w:rFonts w:ascii="Times New Roman" w:hAnsi="Times New Roman" w:cs="Times New Roman"/>
          <w:sz w:val="24"/>
          <w:szCs w:val="24"/>
        </w:rPr>
        <w:t xml:space="preserve">Pluye, P., Robert, E., Cargo, M., Bartlett, G., O’Cathain, A., Griffiths, F., Boardman, F., Gagnon, M. P., and Rousseau, M. C. (2011). Proposal: A mixed methods appraisal tool for systematic mixed studies reviews. </w:t>
      </w:r>
      <w:r w:rsidRPr="0094469E">
        <w:rPr>
          <w:rFonts w:ascii="Times New Roman" w:hAnsi="Times New Roman" w:cs="Times New Roman"/>
          <w:i/>
          <w:sz w:val="24"/>
          <w:szCs w:val="24"/>
        </w:rPr>
        <w:t>Montréal: McGill University</w:t>
      </w:r>
      <w:r w:rsidRPr="0094469E">
        <w:rPr>
          <w:rFonts w:ascii="Times New Roman" w:hAnsi="Times New Roman" w:cs="Times New Roman"/>
          <w:sz w:val="24"/>
          <w:szCs w:val="24"/>
        </w:rPr>
        <w:t>, 1-8.</w:t>
      </w:r>
      <w:bookmarkEnd w:id="838"/>
    </w:p>
    <w:p w14:paraId="013C49C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39" w:name="_ENREF_332"/>
      <w:r w:rsidRPr="0094469E">
        <w:rPr>
          <w:rFonts w:ascii="Times New Roman" w:hAnsi="Times New Roman" w:cs="Times New Roman"/>
          <w:sz w:val="24"/>
          <w:szCs w:val="24"/>
        </w:rPr>
        <w:t xml:space="preserve">Posner, G. J. (2000). </w:t>
      </w:r>
      <w:r w:rsidRPr="0094469E">
        <w:rPr>
          <w:rFonts w:ascii="Times New Roman" w:hAnsi="Times New Roman" w:cs="Times New Roman"/>
          <w:i/>
          <w:sz w:val="24"/>
          <w:szCs w:val="24"/>
        </w:rPr>
        <w:t>Field experience : a guide to reflective teaching</w:t>
      </w:r>
      <w:r w:rsidRPr="0094469E">
        <w:rPr>
          <w:rFonts w:ascii="Times New Roman" w:hAnsi="Times New Roman" w:cs="Times New Roman"/>
          <w:sz w:val="24"/>
          <w:szCs w:val="24"/>
        </w:rPr>
        <w:t xml:space="preserve"> (5th ed.). New York: Longman.</w:t>
      </w:r>
      <w:bookmarkEnd w:id="839"/>
    </w:p>
    <w:p w14:paraId="3DFFE8F3" w14:textId="3057FFD8" w:rsidR="0094469E" w:rsidRPr="0094469E" w:rsidRDefault="0094469E" w:rsidP="0094469E">
      <w:pPr>
        <w:pStyle w:val="EndNoteBibliography"/>
        <w:spacing w:line="360" w:lineRule="auto"/>
        <w:rPr>
          <w:rFonts w:ascii="Times New Roman" w:hAnsi="Times New Roman" w:cs="Times New Roman"/>
          <w:sz w:val="24"/>
          <w:szCs w:val="24"/>
        </w:rPr>
      </w:pPr>
      <w:bookmarkStart w:id="840" w:name="_ENREF_333"/>
      <w:r w:rsidRPr="0094469E">
        <w:rPr>
          <w:rFonts w:ascii="Times New Roman" w:hAnsi="Times New Roman" w:cs="Times New Roman"/>
          <w:sz w:val="24"/>
          <w:szCs w:val="24"/>
        </w:rPr>
        <w:lastRenderedPageBreak/>
        <w:t xml:space="preserve">Potgieter, J. C., and Botha, K. F. (2009). Psychometric properties of the short self-regulation questionnaire (SSRQ) in a South African context. </w:t>
      </w:r>
      <w:r w:rsidRPr="0094469E">
        <w:rPr>
          <w:rFonts w:ascii="Times New Roman" w:hAnsi="Times New Roman" w:cs="Times New Roman"/>
          <w:i/>
          <w:sz w:val="24"/>
          <w:szCs w:val="24"/>
        </w:rPr>
        <w:t xml:space="preserve">Journal of </w:t>
      </w:r>
      <w:r w:rsidR="00521DE8" w:rsidRPr="0094469E">
        <w:rPr>
          <w:rFonts w:ascii="Times New Roman" w:hAnsi="Times New Roman" w:cs="Times New Roman"/>
          <w:i/>
          <w:sz w:val="24"/>
          <w:szCs w:val="24"/>
        </w:rPr>
        <w:t>psychology in afric</w:t>
      </w:r>
      <w:r w:rsidRPr="0094469E">
        <w:rPr>
          <w:rFonts w:ascii="Times New Roman" w:hAnsi="Times New Roman" w:cs="Times New Roman"/>
          <w:i/>
          <w:sz w:val="24"/>
          <w:szCs w:val="24"/>
        </w:rPr>
        <w:t xml:space="preserve">a, </w:t>
      </w:r>
      <w:r w:rsidRPr="0094469E">
        <w:rPr>
          <w:rFonts w:ascii="Times New Roman" w:hAnsi="Times New Roman" w:cs="Times New Roman"/>
          <w:b/>
          <w:sz w:val="24"/>
          <w:szCs w:val="24"/>
        </w:rPr>
        <w:t>19</w:t>
      </w:r>
      <w:r w:rsidRPr="0094469E">
        <w:rPr>
          <w:rFonts w:ascii="Times New Roman" w:hAnsi="Times New Roman" w:cs="Times New Roman"/>
          <w:sz w:val="24"/>
          <w:szCs w:val="24"/>
        </w:rPr>
        <w:t>(3), 321-328.</w:t>
      </w:r>
      <w:bookmarkEnd w:id="840"/>
    </w:p>
    <w:p w14:paraId="257915E4" w14:textId="3EFEDFAA" w:rsidR="0094469E" w:rsidRPr="0094469E" w:rsidRDefault="0094469E" w:rsidP="0094469E">
      <w:pPr>
        <w:pStyle w:val="EndNoteBibliography"/>
        <w:spacing w:line="360" w:lineRule="auto"/>
        <w:rPr>
          <w:rFonts w:ascii="Times New Roman" w:hAnsi="Times New Roman" w:cs="Times New Roman"/>
          <w:sz w:val="24"/>
          <w:szCs w:val="24"/>
        </w:rPr>
      </w:pPr>
      <w:bookmarkStart w:id="841" w:name="_ENREF_334"/>
      <w:r w:rsidRPr="0094469E">
        <w:rPr>
          <w:rFonts w:ascii="Times New Roman" w:hAnsi="Times New Roman" w:cs="Times New Roman"/>
          <w:sz w:val="24"/>
          <w:szCs w:val="24"/>
        </w:rPr>
        <w:t xml:space="preserve">Premkumar, K., Pahwa, P., Banerjee, A., Baptiste, K., Bhatt, H., and Lim, H. J. (2013). Does medical training promote or deter self-directed learning? A longitudinal mixed-methods study.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88</w:t>
      </w:r>
      <w:r w:rsidRPr="0094469E">
        <w:rPr>
          <w:rFonts w:ascii="Times New Roman" w:hAnsi="Times New Roman" w:cs="Times New Roman"/>
          <w:sz w:val="24"/>
          <w:szCs w:val="24"/>
        </w:rPr>
        <w:t>(11), 1754-1764.</w:t>
      </w:r>
      <w:bookmarkEnd w:id="841"/>
    </w:p>
    <w:p w14:paraId="3C0B995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2" w:name="_ENREF_335"/>
      <w:r w:rsidRPr="0094469E">
        <w:rPr>
          <w:rFonts w:ascii="Times New Roman" w:hAnsi="Times New Roman" w:cs="Times New Roman"/>
          <w:sz w:val="24"/>
          <w:szCs w:val="24"/>
        </w:rPr>
        <w:t xml:space="preserve">Prince, K. J., Boshuizen, H., Van Der Vleuten, C. P., and Scherpbier, A. J. (2005). Students' opinions about their preparation for clinical practice.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39</w:t>
      </w:r>
      <w:r w:rsidRPr="0094469E">
        <w:rPr>
          <w:rFonts w:ascii="Times New Roman" w:hAnsi="Times New Roman" w:cs="Times New Roman"/>
          <w:sz w:val="24"/>
          <w:szCs w:val="24"/>
        </w:rPr>
        <w:t>(7), 704-712.</w:t>
      </w:r>
      <w:bookmarkEnd w:id="842"/>
    </w:p>
    <w:p w14:paraId="5FB71813" w14:textId="52D74177" w:rsidR="0094469E" w:rsidRPr="0094469E" w:rsidRDefault="0094469E" w:rsidP="0094469E">
      <w:pPr>
        <w:pStyle w:val="EndNoteBibliography"/>
        <w:spacing w:line="360" w:lineRule="auto"/>
        <w:rPr>
          <w:rFonts w:ascii="Times New Roman" w:hAnsi="Times New Roman" w:cs="Times New Roman"/>
          <w:sz w:val="24"/>
          <w:szCs w:val="24"/>
        </w:rPr>
      </w:pPr>
      <w:bookmarkStart w:id="843" w:name="_ENREF_336"/>
      <w:r w:rsidRPr="0094469E">
        <w:rPr>
          <w:rFonts w:ascii="Times New Roman" w:hAnsi="Times New Roman" w:cs="Times New Roman"/>
          <w:sz w:val="24"/>
          <w:szCs w:val="24"/>
        </w:rPr>
        <w:t xml:space="preserve">Prince, K. J., van de Wiel, M., Scherpbier, A. J., can der Vleuten, C. P., and Boshuizen, H. P. (2000). A qualitative analysis of the transition from theory to practice in undergraduate training in a PBL-medical school.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5</w:t>
      </w:r>
      <w:r w:rsidRPr="0094469E">
        <w:rPr>
          <w:rFonts w:ascii="Times New Roman" w:hAnsi="Times New Roman" w:cs="Times New Roman"/>
          <w:sz w:val="24"/>
          <w:szCs w:val="24"/>
        </w:rPr>
        <w:t>(2), 105-116.</w:t>
      </w:r>
      <w:bookmarkEnd w:id="843"/>
    </w:p>
    <w:p w14:paraId="0101DE58" w14:textId="5CF40598" w:rsidR="0094469E" w:rsidRPr="0094469E" w:rsidRDefault="0094469E" w:rsidP="0094469E">
      <w:pPr>
        <w:pStyle w:val="EndNoteBibliography"/>
        <w:spacing w:line="360" w:lineRule="auto"/>
        <w:rPr>
          <w:rFonts w:ascii="Times New Roman" w:hAnsi="Times New Roman" w:cs="Times New Roman"/>
          <w:sz w:val="24"/>
          <w:szCs w:val="24"/>
        </w:rPr>
      </w:pPr>
      <w:bookmarkStart w:id="844" w:name="_ENREF_337"/>
      <w:r w:rsidRPr="0094469E">
        <w:rPr>
          <w:rFonts w:ascii="Times New Roman" w:hAnsi="Times New Roman" w:cs="Times New Roman"/>
          <w:sz w:val="24"/>
          <w:szCs w:val="24"/>
        </w:rPr>
        <w:t xml:space="preserve">Puustinen, M., and Pulkkinen, L. (2001). Models of self-regulated learning: A review. </w:t>
      </w:r>
      <w:r w:rsidRPr="0094469E">
        <w:rPr>
          <w:rFonts w:ascii="Times New Roman" w:hAnsi="Times New Roman" w:cs="Times New Roman"/>
          <w:i/>
          <w:sz w:val="24"/>
          <w:szCs w:val="24"/>
        </w:rPr>
        <w:t xml:space="preserve">Scandinavian </w:t>
      </w:r>
      <w:r w:rsidR="00521DE8" w:rsidRPr="0094469E">
        <w:rPr>
          <w:rFonts w:ascii="Times New Roman" w:hAnsi="Times New Roman" w:cs="Times New Roman"/>
          <w:i/>
          <w:sz w:val="24"/>
          <w:szCs w:val="24"/>
        </w:rPr>
        <w:t>journal of educational rese</w:t>
      </w:r>
      <w:r w:rsidRPr="0094469E">
        <w:rPr>
          <w:rFonts w:ascii="Times New Roman" w:hAnsi="Times New Roman" w:cs="Times New Roman"/>
          <w:i/>
          <w:sz w:val="24"/>
          <w:szCs w:val="24"/>
        </w:rPr>
        <w:t xml:space="preserve">arch, </w:t>
      </w:r>
      <w:r w:rsidRPr="0094469E">
        <w:rPr>
          <w:rFonts w:ascii="Times New Roman" w:hAnsi="Times New Roman" w:cs="Times New Roman"/>
          <w:b/>
          <w:sz w:val="24"/>
          <w:szCs w:val="24"/>
        </w:rPr>
        <w:t>45</w:t>
      </w:r>
      <w:r w:rsidRPr="0094469E">
        <w:rPr>
          <w:rFonts w:ascii="Times New Roman" w:hAnsi="Times New Roman" w:cs="Times New Roman"/>
          <w:sz w:val="24"/>
          <w:szCs w:val="24"/>
        </w:rPr>
        <w:t>(3), 269-286.</w:t>
      </w:r>
      <w:bookmarkEnd w:id="844"/>
    </w:p>
    <w:p w14:paraId="51AE533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5" w:name="_ENREF_338"/>
      <w:r w:rsidRPr="0094469E">
        <w:rPr>
          <w:rFonts w:ascii="Times New Roman" w:hAnsi="Times New Roman" w:cs="Times New Roman"/>
          <w:sz w:val="24"/>
          <w:szCs w:val="24"/>
        </w:rPr>
        <w:t xml:space="preserve">Radcliffe, C., and Lester, H. (2003). Perceived stress during undergraduate medical training: a qualitative study.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37</w:t>
      </w:r>
      <w:r w:rsidRPr="0094469E">
        <w:rPr>
          <w:rFonts w:ascii="Times New Roman" w:hAnsi="Times New Roman" w:cs="Times New Roman"/>
          <w:sz w:val="24"/>
          <w:szCs w:val="24"/>
        </w:rPr>
        <w:t>(1), 32-38.</w:t>
      </w:r>
      <w:bookmarkEnd w:id="845"/>
    </w:p>
    <w:p w14:paraId="42307A7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6" w:name="_ENREF_339"/>
      <w:r w:rsidRPr="0094469E">
        <w:rPr>
          <w:rFonts w:ascii="Times New Roman" w:hAnsi="Times New Roman" w:cs="Times New Roman"/>
          <w:sz w:val="24"/>
          <w:szCs w:val="24"/>
        </w:rPr>
        <w:t xml:space="preserve">Rees, C. E., and Monrouxe, L. V. (2010). Theory in medical education research: how do we get there?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44</w:t>
      </w:r>
      <w:r w:rsidRPr="0094469E">
        <w:rPr>
          <w:rFonts w:ascii="Times New Roman" w:hAnsi="Times New Roman" w:cs="Times New Roman"/>
          <w:sz w:val="24"/>
          <w:szCs w:val="24"/>
        </w:rPr>
        <w:t>(4), 334-339.</w:t>
      </w:r>
      <w:bookmarkEnd w:id="846"/>
    </w:p>
    <w:p w14:paraId="60DFE8E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7" w:name="_ENREF_340"/>
      <w:r w:rsidRPr="0094469E">
        <w:rPr>
          <w:rFonts w:ascii="Times New Roman" w:hAnsi="Times New Roman" w:cs="Times New Roman"/>
          <w:sz w:val="24"/>
          <w:szCs w:val="24"/>
        </w:rPr>
        <w:t>Rennie, S. C., and Crosby, J. R. (2002). Students' perceptions of whistle blowing: implications for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regulation. A questionnaire and focus group survey.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36</w:t>
      </w:r>
      <w:r w:rsidRPr="0094469E">
        <w:rPr>
          <w:rFonts w:ascii="Times New Roman" w:hAnsi="Times New Roman" w:cs="Times New Roman"/>
          <w:sz w:val="24"/>
          <w:szCs w:val="24"/>
        </w:rPr>
        <w:t>(2), 173-179.</w:t>
      </w:r>
      <w:bookmarkEnd w:id="847"/>
    </w:p>
    <w:p w14:paraId="3AD9B0D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8" w:name="_ENREF_341"/>
      <w:r w:rsidRPr="0094469E">
        <w:rPr>
          <w:rFonts w:ascii="Times New Roman" w:hAnsi="Times New Roman" w:cs="Times New Roman"/>
          <w:sz w:val="24"/>
          <w:szCs w:val="24"/>
        </w:rPr>
        <w:t xml:space="preserve">Richardson, L., and St Pierre, E. (2008). A method of inquiry. </w:t>
      </w:r>
      <w:r w:rsidRPr="0094469E">
        <w:rPr>
          <w:rFonts w:ascii="Times New Roman" w:hAnsi="Times New Roman" w:cs="Times New Roman"/>
          <w:i/>
          <w:sz w:val="24"/>
          <w:szCs w:val="24"/>
        </w:rPr>
        <w:t xml:space="preserve">Collecting and interpreting qualitative materials, </w:t>
      </w:r>
      <w:r w:rsidRPr="0094469E">
        <w:rPr>
          <w:rFonts w:ascii="Times New Roman" w:hAnsi="Times New Roman" w:cs="Times New Roman"/>
          <w:b/>
          <w:sz w:val="24"/>
          <w:szCs w:val="24"/>
        </w:rPr>
        <w:t>3</w:t>
      </w:r>
      <w:r w:rsidRPr="0094469E">
        <w:rPr>
          <w:rFonts w:ascii="Times New Roman" w:hAnsi="Times New Roman" w:cs="Times New Roman"/>
          <w:sz w:val="24"/>
          <w:szCs w:val="24"/>
        </w:rPr>
        <w:t>(4), 473.</w:t>
      </w:r>
      <w:bookmarkEnd w:id="848"/>
    </w:p>
    <w:p w14:paraId="0BABF70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49" w:name="_ENREF_342"/>
      <w:r w:rsidRPr="0094469E">
        <w:rPr>
          <w:rFonts w:ascii="Times New Roman" w:hAnsi="Times New Roman" w:cs="Times New Roman"/>
          <w:sz w:val="24"/>
          <w:szCs w:val="24"/>
        </w:rPr>
        <w:t xml:space="preserve">Riessman, C. K. (1993). </w:t>
      </w:r>
      <w:r w:rsidRPr="0094469E">
        <w:rPr>
          <w:rFonts w:ascii="Times New Roman" w:hAnsi="Times New Roman" w:cs="Times New Roman"/>
          <w:i/>
          <w:sz w:val="24"/>
          <w:szCs w:val="24"/>
        </w:rPr>
        <w:t>Narrative analysis</w:t>
      </w:r>
      <w:r w:rsidRPr="0094469E">
        <w:rPr>
          <w:rFonts w:ascii="Times New Roman" w:hAnsi="Times New Roman" w:cs="Times New Roman"/>
          <w:sz w:val="24"/>
          <w:szCs w:val="24"/>
        </w:rPr>
        <w:t xml:space="preserve"> (Vol. 30): Sage.</w:t>
      </w:r>
      <w:bookmarkEnd w:id="849"/>
    </w:p>
    <w:p w14:paraId="7C1C0A4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0" w:name="_ENREF_343"/>
      <w:r w:rsidRPr="0094469E">
        <w:rPr>
          <w:rFonts w:ascii="Times New Roman" w:hAnsi="Times New Roman" w:cs="Times New Roman"/>
          <w:sz w:val="24"/>
          <w:szCs w:val="24"/>
        </w:rPr>
        <w:t xml:space="preserve">Ritchie, J. (2003). The applications of qualitative methods to social research. </w:t>
      </w:r>
      <w:r w:rsidRPr="0094469E">
        <w:rPr>
          <w:rFonts w:ascii="Times New Roman" w:hAnsi="Times New Roman" w:cs="Times New Roman"/>
          <w:i/>
          <w:sz w:val="24"/>
          <w:szCs w:val="24"/>
        </w:rPr>
        <w:t>Qualitative research practice: A guide for social science students and researchers</w:t>
      </w:r>
      <w:r w:rsidRPr="0094469E">
        <w:rPr>
          <w:rFonts w:ascii="Times New Roman" w:hAnsi="Times New Roman" w:cs="Times New Roman"/>
          <w:sz w:val="24"/>
          <w:szCs w:val="24"/>
        </w:rPr>
        <w:t>, 24-46.</w:t>
      </w:r>
      <w:bookmarkEnd w:id="850"/>
    </w:p>
    <w:p w14:paraId="08F50EF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1" w:name="_ENREF_344"/>
      <w:r w:rsidRPr="0094469E">
        <w:rPr>
          <w:rFonts w:ascii="Times New Roman" w:hAnsi="Times New Roman" w:cs="Times New Roman"/>
          <w:sz w:val="24"/>
          <w:szCs w:val="24"/>
        </w:rPr>
        <w:t>Ritchie, J., and Lewis, J. (2003). Qualitative Research Methods.</w:t>
      </w:r>
      <w:bookmarkEnd w:id="851"/>
    </w:p>
    <w:p w14:paraId="5B96966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2" w:name="_ENREF_345"/>
      <w:r w:rsidRPr="0094469E">
        <w:rPr>
          <w:rFonts w:ascii="Times New Roman" w:hAnsi="Times New Roman" w:cs="Times New Roman"/>
          <w:sz w:val="24"/>
          <w:szCs w:val="24"/>
        </w:rPr>
        <w:lastRenderedPageBreak/>
        <w:t xml:space="preserve">Ritchie, J., and Spencer, L. (2002). Qualitative data analysis for applied policy research. </w:t>
      </w:r>
      <w:r w:rsidRPr="0094469E">
        <w:rPr>
          <w:rFonts w:ascii="Times New Roman" w:hAnsi="Times New Roman" w:cs="Times New Roman"/>
          <w:i/>
          <w:sz w:val="24"/>
          <w:szCs w:val="24"/>
        </w:rPr>
        <w:t xml:space="preserve">The qualitative researcher’s companion, </w:t>
      </w:r>
      <w:r w:rsidRPr="0094469E">
        <w:rPr>
          <w:rFonts w:ascii="Times New Roman" w:hAnsi="Times New Roman" w:cs="Times New Roman"/>
          <w:b/>
          <w:sz w:val="24"/>
          <w:szCs w:val="24"/>
        </w:rPr>
        <w:t>573</w:t>
      </w:r>
      <w:r w:rsidRPr="0094469E">
        <w:rPr>
          <w:rFonts w:ascii="Times New Roman" w:hAnsi="Times New Roman" w:cs="Times New Roman"/>
          <w:sz w:val="24"/>
          <w:szCs w:val="24"/>
        </w:rPr>
        <w:t>(2002), 305-329.</w:t>
      </w:r>
      <w:bookmarkEnd w:id="852"/>
    </w:p>
    <w:p w14:paraId="07776DD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3" w:name="_ENREF_346"/>
      <w:r w:rsidRPr="0094469E">
        <w:rPr>
          <w:rFonts w:ascii="Times New Roman" w:hAnsi="Times New Roman" w:cs="Times New Roman"/>
          <w:sz w:val="24"/>
          <w:szCs w:val="24"/>
        </w:rPr>
        <w:t xml:space="preserve">Ritchie, J., Spencer, L., and O’Connor, W. (2003). Carrying out qualitative analysis. </w:t>
      </w:r>
      <w:r w:rsidRPr="0094469E">
        <w:rPr>
          <w:rFonts w:ascii="Times New Roman" w:hAnsi="Times New Roman" w:cs="Times New Roman"/>
          <w:i/>
          <w:sz w:val="24"/>
          <w:szCs w:val="24"/>
        </w:rPr>
        <w:t>Qualitative research practice: A guide for social science students and researchers</w:t>
      </w:r>
      <w:r w:rsidRPr="0094469E">
        <w:rPr>
          <w:rFonts w:ascii="Times New Roman" w:hAnsi="Times New Roman" w:cs="Times New Roman"/>
          <w:sz w:val="24"/>
          <w:szCs w:val="24"/>
        </w:rPr>
        <w:t>, 219-262.</w:t>
      </w:r>
      <w:bookmarkEnd w:id="853"/>
    </w:p>
    <w:p w14:paraId="536EBF8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4" w:name="_ENREF_347"/>
      <w:r w:rsidRPr="0094469E">
        <w:rPr>
          <w:rFonts w:ascii="Times New Roman" w:hAnsi="Times New Roman" w:cs="Times New Roman"/>
          <w:sz w:val="24"/>
          <w:szCs w:val="24"/>
        </w:rPr>
        <w:t xml:space="preserve">Robson, C. (2002). </w:t>
      </w:r>
      <w:r w:rsidRPr="0094469E">
        <w:rPr>
          <w:rFonts w:ascii="Times New Roman" w:hAnsi="Times New Roman" w:cs="Times New Roman"/>
          <w:i/>
          <w:sz w:val="24"/>
          <w:szCs w:val="24"/>
        </w:rPr>
        <w:t>Real world research: A resource for social scientists and practitioner-researchers</w:t>
      </w:r>
      <w:r w:rsidRPr="0094469E">
        <w:rPr>
          <w:rFonts w:ascii="Times New Roman" w:hAnsi="Times New Roman" w:cs="Times New Roman"/>
          <w:sz w:val="24"/>
          <w:szCs w:val="24"/>
        </w:rPr>
        <w:t xml:space="preserve"> (Vol. 2): Blackwell Oxford.</w:t>
      </w:r>
      <w:bookmarkEnd w:id="854"/>
    </w:p>
    <w:p w14:paraId="3322698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5" w:name="_ENREF_348"/>
      <w:r w:rsidRPr="0094469E">
        <w:rPr>
          <w:rFonts w:ascii="Times New Roman" w:hAnsi="Times New Roman" w:cs="Times New Roman"/>
          <w:sz w:val="24"/>
          <w:szCs w:val="24"/>
        </w:rPr>
        <w:t>Rogoff, B. (1990). Apprenticeship in thinking: Cognitive development in sociocultural activity: New York: Oxford University Press.</w:t>
      </w:r>
      <w:bookmarkEnd w:id="855"/>
    </w:p>
    <w:p w14:paraId="0041315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6" w:name="_ENREF_349"/>
      <w:r w:rsidRPr="0094469E">
        <w:rPr>
          <w:rFonts w:ascii="Times New Roman" w:hAnsi="Times New Roman" w:cs="Times New Roman"/>
          <w:sz w:val="24"/>
          <w:szCs w:val="24"/>
        </w:rPr>
        <w:t xml:space="preserve">Rolfe, G. (2006). Validity, trustworthiness and rigour: quality and the idea of qualitative research. </w:t>
      </w:r>
      <w:r w:rsidRPr="0094469E">
        <w:rPr>
          <w:rFonts w:ascii="Times New Roman" w:hAnsi="Times New Roman" w:cs="Times New Roman"/>
          <w:i/>
          <w:sz w:val="24"/>
          <w:szCs w:val="24"/>
        </w:rPr>
        <w:t xml:space="preserve">Journal of advanced nursing, </w:t>
      </w:r>
      <w:r w:rsidRPr="0094469E">
        <w:rPr>
          <w:rFonts w:ascii="Times New Roman" w:hAnsi="Times New Roman" w:cs="Times New Roman"/>
          <w:b/>
          <w:sz w:val="24"/>
          <w:szCs w:val="24"/>
        </w:rPr>
        <w:t>53</w:t>
      </w:r>
      <w:r w:rsidRPr="0094469E">
        <w:rPr>
          <w:rFonts w:ascii="Times New Roman" w:hAnsi="Times New Roman" w:cs="Times New Roman"/>
          <w:sz w:val="24"/>
          <w:szCs w:val="24"/>
        </w:rPr>
        <w:t>(3), 304-310.</w:t>
      </w:r>
      <w:bookmarkEnd w:id="856"/>
    </w:p>
    <w:p w14:paraId="338A5DE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7" w:name="_ENREF_350"/>
      <w:r w:rsidRPr="0094469E">
        <w:rPr>
          <w:rFonts w:ascii="Times New Roman" w:hAnsi="Times New Roman" w:cs="Times New Roman"/>
          <w:sz w:val="24"/>
          <w:szCs w:val="24"/>
        </w:rPr>
        <w:t xml:space="preserve">Ross, M. (2017). Conceptions of teaching: an illustrated review. </w:t>
      </w:r>
      <w:r w:rsidRPr="0094469E">
        <w:rPr>
          <w:rFonts w:ascii="Times New Roman" w:hAnsi="Times New Roman" w:cs="Times New Roman"/>
          <w:i/>
          <w:sz w:val="24"/>
          <w:szCs w:val="24"/>
        </w:rPr>
        <w:t xml:space="preserve">The clinical teacher, </w:t>
      </w:r>
      <w:r w:rsidRPr="0094469E">
        <w:rPr>
          <w:rFonts w:ascii="Times New Roman" w:hAnsi="Times New Roman" w:cs="Times New Roman"/>
          <w:b/>
          <w:sz w:val="24"/>
          <w:szCs w:val="24"/>
        </w:rPr>
        <w:t>14</w:t>
      </w:r>
      <w:r w:rsidRPr="0094469E">
        <w:rPr>
          <w:rFonts w:ascii="Times New Roman" w:hAnsi="Times New Roman" w:cs="Times New Roman"/>
          <w:sz w:val="24"/>
          <w:szCs w:val="24"/>
        </w:rPr>
        <w:t>(1), 8-14.</w:t>
      </w:r>
      <w:bookmarkEnd w:id="857"/>
    </w:p>
    <w:p w14:paraId="13137DE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58" w:name="_ENREF_351"/>
      <w:r w:rsidRPr="0094469E">
        <w:rPr>
          <w:rFonts w:ascii="Times New Roman" w:hAnsi="Times New Roman" w:cs="Times New Roman"/>
          <w:sz w:val="24"/>
          <w:szCs w:val="24"/>
        </w:rPr>
        <w:t>Ross, M. T. (2012). Learning about teaching as part of the undergraduate medical curriculum: perspectives and learning outcomes.</w:t>
      </w:r>
      <w:bookmarkEnd w:id="858"/>
    </w:p>
    <w:p w14:paraId="7A4E2E7E" w14:textId="26F761BA" w:rsidR="0094469E" w:rsidRPr="0094469E" w:rsidRDefault="0094469E" w:rsidP="0094469E">
      <w:pPr>
        <w:pStyle w:val="EndNoteBibliography"/>
        <w:spacing w:line="360" w:lineRule="auto"/>
        <w:rPr>
          <w:rFonts w:ascii="Times New Roman" w:hAnsi="Times New Roman" w:cs="Times New Roman"/>
          <w:sz w:val="24"/>
          <w:szCs w:val="24"/>
        </w:rPr>
      </w:pPr>
      <w:bookmarkStart w:id="859" w:name="_ENREF_352"/>
      <w:r w:rsidRPr="0094469E">
        <w:rPr>
          <w:rFonts w:ascii="Times New Roman" w:hAnsi="Times New Roman" w:cs="Times New Roman"/>
          <w:sz w:val="24"/>
          <w:szCs w:val="24"/>
        </w:rPr>
        <w:t xml:space="preserve">Roter, D. L., Hall, J. A., and Aoki, Y. (2002). Physician gender effects in medical communication: a meta-analytic review. </w:t>
      </w:r>
      <w:r w:rsidR="00BD42AF">
        <w:rPr>
          <w:rFonts w:ascii="Times New Roman" w:hAnsi="Times New Roman" w:cs="Times New Roman"/>
          <w:i/>
          <w:sz w:val="24"/>
          <w:szCs w:val="24"/>
        </w:rPr>
        <w:t xml:space="preserve">The journal of the american medical association </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288</w:t>
      </w:r>
      <w:r w:rsidRPr="0094469E">
        <w:rPr>
          <w:rFonts w:ascii="Times New Roman" w:hAnsi="Times New Roman" w:cs="Times New Roman"/>
          <w:sz w:val="24"/>
          <w:szCs w:val="24"/>
        </w:rPr>
        <w:t>(6), 756-764.</w:t>
      </w:r>
      <w:bookmarkEnd w:id="859"/>
    </w:p>
    <w:p w14:paraId="3DFE31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0" w:name="_ENREF_353"/>
      <w:r w:rsidRPr="0094469E">
        <w:rPr>
          <w:rFonts w:ascii="Times New Roman" w:hAnsi="Times New Roman" w:cs="Times New Roman"/>
          <w:sz w:val="24"/>
          <w:szCs w:val="24"/>
        </w:rPr>
        <w:t xml:space="preserve">Rubin, H. J., and Rubin, I. S. (2011). </w:t>
      </w:r>
      <w:r w:rsidRPr="0094469E">
        <w:rPr>
          <w:rFonts w:ascii="Times New Roman" w:hAnsi="Times New Roman" w:cs="Times New Roman"/>
          <w:i/>
          <w:sz w:val="24"/>
          <w:szCs w:val="24"/>
        </w:rPr>
        <w:t>Qualitative interviewing: The art of hearing data</w:t>
      </w:r>
      <w:r w:rsidRPr="0094469E">
        <w:rPr>
          <w:rFonts w:ascii="Times New Roman" w:hAnsi="Times New Roman" w:cs="Times New Roman"/>
          <w:sz w:val="24"/>
          <w:szCs w:val="24"/>
        </w:rPr>
        <w:t>: Sage.</w:t>
      </w:r>
      <w:bookmarkEnd w:id="860"/>
    </w:p>
    <w:p w14:paraId="6E4312E8" w14:textId="7B6CDAD5" w:rsidR="0094469E" w:rsidRPr="0094469E" w:rsidRDefault="0094469E" w:rsidP="0094469E">
      <w:pPr>
        <w:pStyle w:val="EndNoteBibliography"/>
        <w:spacing w:line="360" w:lineRule="auto"/>
        <w:rPr>
          <w:rFonts w:ascii="Times New Roman" w:hAnsi="Times New Roman" w:cs="Times New Roman"/>
          <w:sz w:val="24"/>
          <w:szCs w:val="24"/>
        </w:rPr>
      </w:pPr>
      <w:bookmarkStart w:id="861" w:name="_ENREF_354"/>
      <w:r w:rsidRPr="0094469E">
        <w:rPr>
          <w:rFonts w:ascii="Times New Roman" w:hAnsi="Times New Roman" w:cs="Times New Roman"/>
          <w:sz w:val="24"/>
          <w:szCs w:val="24"/>
        </w:rPr>
        <w:t xml:space="preserve">Sadler, D. R. (2010). Beyond feedback: Developing student capability in complex appraisal. </w:t>
      </w:r>
      <w:r w:rsidR="00C71126">
        <w:rPr>
          <w:rFonts w:ascii="Times New Roman" w:hAnsi="Times New Roman" w:cs="Times New Roman"/>
          <w:i/>
          <w:sz w:val="24"/>
          <w:szCs w:val="24"/>
        </w:rPr>
        <w:t>Assessment and evaluation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35</w:t>
      </w:r>
      <w:r w:rsidRPr="0094469E">
        <w:rPr>
          <w:rFonts w:ascii="Times New Roman" w:hAnsi="Times New Roman" w:cs="Times New Roman"/>
          <w:sz w:val="24"/>
          <w:szCs w:val="24"/>
        </w:rPr>
        <w:t>(5), 535-550.</w:t>
      </w:r>
      <w:bookmarkEnd w:id="861"/>
    </w:p>
    <w:p w14:paraId="5C327C2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2" w:name="_ENREF_355"/>
      <w:r w:rsidRPr="0094469E">
        <w:rPr>
          <w:rFonts w:ascii="Times New Roman" w:hAnsi="Times New Roman" w:cs="Times New Roman"/>
          <w:sz w:val="24"/>
          <w:szCs w:val="24"/>
        </w:rPr>
        <w:t xml:space="preserve">Sandars, J. (2015). The challenge of feedback-insights from non-medical educational research. </w:t>
      </w:r>
      <w:r w:rsidRPr="0094469E">
        <w:rPr>
          <w:rFonts w:ascii="Times New Roman" w:hAnsi="Times New Roman" w:cs="Times New Roman"/>
          <w:i/>
          <w:sz w:val="24"/>
          <w:szCs w:val="24"/>
        </w:rPr>
        <w:t xml:space="preserve">International journal of medical education, </w:t>
      </w:r>
      <w:r w:rsidRPr="0094469E">
        <w:rPr>
          <w:rFonts w:ascii="Times New Roman" w:hAnsi="Times New Roman" w:cs="Times New Roman"/>
          <w:b/>
          <w:sz w:val="24"/>
          <w:szCs w:val="24"/>
        </w:rPr>
        <w:t>6</w:t>
      </w:r>
      <w:r w:rsidRPr="0094469E">
        <w:rPr>
          <w:rFonts w:ascii="Times New Roman" w:hAnsi="Times New Roman" w:cs="Times New Roman"/>
          <w:sz w:val="24"/>
          <w:szCs w:val="24"/>
        </w:rPr>
        <w:t>, 1-3.</w:t>
      </w:r>
      <w:bookmarkEnd w:id="862"/>
    </w:p>
    <w:p w14:paraId="7756EDC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3" w:name="_ENREF_356"/>
      <w:r w:rsidRPr="0094469E">
        <w:rPr>
          <w:rFonts w:ascii="Times New Roman" w:hAnsi="Times New Roman" w:cs="Times New Roman"/>
          <w:sz w:val="24"/>
          <w:szCs w:val="24"/>
        </w:rPr>
        <w:t xml:space="preserve">Sandars, J., and Cleary, T. J. (2011). Self-regulation theory: applications to medical education: AMEE Guide No. 58.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33</w:t>
      </w:r>
      <w:r w:rsidRPr="0094469E">
        <w:rPr>
          <w:rFonts w:ascii="Times New Roman" w:hAnsi="Times New Roman" w:cs="Times New Roman"/>
          <w:sz w:val="24"/>
          <w:szCs w:val="24"/>
        </w:rPr>
        <w:t>(11), 875-886.</w:t>
      </w:r>
      <w:bookmarkEnd w:id="863"/>
    </w:p>
    <w:p w14:paraId="2727D2E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4" w:name="_ENREF_357"/>
      <w:r w:rsidRPr="0094469E">
        <w:rPr>
          <w:rFonts w:ascii="Times New Roman" w:hAnsi="Times New Roman" w:cs="Times New Roman"/>
          <w:sz w:val="24"/>
          <w:szCs w:val="24"/>
        </w:rPr>
        <w:t xml:space="preserve">Sandars, J., and Patel, R. (2015). Self-regulated learning: the challenge of learning in clinical settings.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(6), 554-555.</w:t>
      </w:r>
      <w:bookmarkEnd w:id="864"/>
    </w:p>
    <w:p w14:paraId="1645A7F8" w14:textId="1A141B69" w:rsidR="0094469E" w:rsidRPr="0094469E" w:rsidRDefault="0094469E" w:rsidP="0094469E">
      <w:pPr>
        <w:pStyle w:val="EndNoteBibliography"/>
        <w:spacing w:line="360" w:lineRule="auto"/>
        <w:rPr>
          <w:rFonts w:ascii="Times New Roman" w:hAnsi="Times New Roman" w:cs="Times New Roman"/>
          <w:sz w:val="24"/>
          <w:szCs w:val="24"/>
        </w:rPr>
      </w:pPr>
      <w:bookmarkStart w:id="865" w:name="_ENREF_358"/>
      <w:r w:rsidRPr="0094469E">
        <w:rPr>
          <w:rFonts w:ascii="Times New Roman" w:hAnsi="Times New Roman" w:cs="Times New Roman"/>
          <w:sz w:val="24"/>
          <w:szCs w:val="24"/>
        </w:rPr>
        <w:lastRenderedPageBreak/>
        <w:t xml:space="preserve">Sandelowski, M. (2000). Focus on research methods combining qualitative and quantitative sampling, data collection, and analysis techniques. </w:t>
      </w:r>
      <w:r w:rsidRPr="0094469E">
        <w:rPr>
          <w:rFonts w:ascii="Times New Roman" w:hAnsi="Times New Roman" w:cs="Times New Roman"/>
          <w:i/>
          <w:sz w:val="24"/>
          <w:szCs w:val="24"/>
        </w:rPr>
        <w:t xml:space="preserve">Research in nursing </w:t>
      </w:r>
      <w:r w:rsidR="00521DE8">
        <w:rPr>
          <w:rFonts w:ascii="Times New Roman" w:hAnsi="Times New Roman" w:cs="Times New Roman"/>
          <w:i/>
          <w:sz w:val="24"/>
          <w:szCs w:val="24"/>
        </w:rPr>
        <w:t>and</w:t>
      </w:r>
      <w:r w:rsidR="00521DE8" w:rsidRPr="0094469E">
        <w:rPr>
          <w:rFonts w:ascii="Times New Roman" w:hAnsi="Times New Roman" w:cs="Times New Roman"/>
          <w:i/>
          <w:sz w:val="24"/>
          <w:szCs w:val="24"/>
        </w:rPr>
        <w:t xml:space="preserve"> </w:t>
      </w:r>
      <w:r w:rsidRPr="0094469E">
        <w:rPr>
          <w:rFonts w:ascii="Times New Roman" w:hAnsi="Times New Roman" w:cs="Times New Roman"/>
          <w:i/>
          <w:sz w:val="24"/>
          <w:szCs w:val="24"/>
        </w:rPr>
        <w:t xml:space="preserve">health, </w:t>
      </w:r>
      <w:r w:rsidRPr="0094469E">
        <w:rPr>
          <w:rFonts w:ascii="Times New Roman" w:hAnsi="Times New Roman" w:cs="Times New Roman"/>
          <w:b/>
          <w:sz w:val="24"/>
          <w:szCs w:val="24"/>
        </w:rPr>
        <w:t>23</w:t>
      </w:r>
      <w:r w:rsidRPr="0094469E">
        <w:rPr>
          <w:rFonts w:ascii="Times New Roman" w:hAnsi="Times New Roman" w:cs="Times New Roman"/>
          <w:sz w:val="24"/>
          <w:szCs w:val="24"/>
        </w:rPr>
        <w:t>, 246-255.</w:t>
      </w:r>
      <w:bookmarkEnd w:id="865"/>
    </w:p>
    <w:p w14:paraId="411E2B2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6" w:name="_ENREF_359"/>
      <w:r w:rsidRPr="0094469E">
        <w:rPr>
          <w:rFonts w:ascii="Times New Roman" w:hAnsi="Times New Roman" w:cs="Times New Roman"/>
          <w:sz w:val="24"/>
          <w:szCs w:val="24"/>
        </w:rPr>
        <w:t xml:space="preserve">Sargeant, J., Mann, K., and Ferrier, S. (2005). Exploring family physicians' reactions to multisource feedback: perceptions of credibility and usefulness.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39</w:t>
      </w:r>
      <w:r w:rsidRPr="0094469E">
        <w:rPr>
          <w:rFonts w:ascii="Times New Roman" w:hAnsi="Times New Roman" w:cs="Times New Roman"/>
          <w:sz w:val="24"/>
          <w:szCs w:val="24"/>
        </w:rPr>
        <w:t>(5), 497-504.</w:t>
      </w:r>
      <w:bookmarkEnd w:id="866"/>
    </w:p>
    <w:p w14:paraId="0F45836D" w14:textId="106C52B4" w:rsidR="0094469E" w:rsidRPr="0094469E" w:rsidRDefault="0094469E" w:rsidP="0094469E">
      <w:pPr>
        <w:pStyle w:val="EndNoteBibliography"/>
        <w:spacing w:line="360" w:lineRule="auto"/>
        <w:rPr>
          <w:rFonts w:ascii="Times New Roman" w:hAnsi="Times New Roman" w:cs="Times New Roman"/>
          <w:sz w:val="24"/>
          <w:szCs w:val="24"/>
        </w:rPr>
      </w:pPr>
      <w:bookmarkStart w:id="867" w:name="_ENREF_360"/>
      <w:r w:rsidRPr="0094469E">
        <w:rPr>
          <w:rFonts w:ascii="Times New Roman" w:hAnsi="Times New Roman" w:cs="Times New Roman"/>
          <w:sz w:val="24"/>
          <w:szCs w:val="24"/>
        </w:rPr>
        <w:t xml:space="preserve">Sargeant, J., Mann, K., Sinclair, D., Van der Vleuten, C., and Metsemakers, J. (2008). Understanding the influence of emotions and reflection upon multi-source feedback acceptance and use.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13</w:t>
      </w:r>
      <w:r w:rsidRPr="0094469E">
        <w:rPr>
          <w:rFonts w:ascii="Times New Roman" w:hAnsi="Times New Roman" w:cs="Times New Roman"/>
          <w:sz w:val="24"/>
          <w:szCs w:val="24"/>
        </w:rPr>
        <w:t>(3), 275-288.</w:t>
      </w:r>
      <w:bookmarkEnd w:id="867"/>
    </w:p>
    <w:p w14:paraId="195AB9E9" w14:textId="26AD88C7" w:rsidR="0094469E" w:rsidRPr="0094469E" w:rsidRDefault="0094469E" w:rsidP="0094469E">
      <w:pPr>
        <w:pStyle w:val="EndNoteBibliography"/>
        <w:spacing w:line="360" w:lineRule="auto"/>
        <w:rPr>
          <w:rFonts w:ascii="Times New Roman" w:hAnsi="Times New Roman" w:cs="Times New Roman"/>
          <w:sz w:val="24"/>
          <w:szCs w:val="24"/>
        </w:rPr>
      </w:pPr>
      <w:bookmarkStart w:id="868" w:name="_ENREF_361"/>
      <w:r w:rsidRPr="0094469E">
        <w:rPr>
          <w:rFonts w:ascii="Times New Roman" w:hAnsi="Times New Roman" w:cs="Times New Roman"/>
          <w:sz w:val="24"/>
          <w:szCs w:val="24"/>
        </w:rPr>
        <w:t xml:space="preserve">Sawyer, T., White, M., Zaveri, P., Chang, T., Ades, A., French, H., Anderson, J., Auerbach, M., Johnston, L., and Kessler, D. (2015). Learn, see, practice, prove, do, maintain: an evidence-based pedagogical framework for procedural skill training in medicine.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90</w:t>
      </w:r>
      <w:r w:rsidRPr="0094469E">
        <w:rPr>
          <w:rFonts w:ascii="Times New Roman" w:hAnsi="Times New Roman" w:cs="Times New Roman"/>
          <w:sz w:val="24"/>
          <w:szCs w:val="24"/>
        </w:rPr>
        <w:t>(8), 1025-1033.</w:t>
      </w:r>
      <w:bookmarkEnd w:id="868"/>
    </w:p>
    <w:p w14:paraId="76C49C6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69" w:name="_ENREF_362"/>
      <w:r w:rsidRPr="0094469E">
        <w:rPr>
          <w:rFonts w:ascii="Times New Roman" w:hAnsi="Times New Roman" w:cs="Times New Roman"/>
          <w:sz w:val="24"/>
          <w:szCs w:val="24"/>
        </w:rPr>
        <w:t xml:space="preserve">Schmidt, R. A., and Bjork, R. A. (1992). New conceptualizations of practice: Common principles in three paradigms suggest new concepts for training. </w:t>
      </w:r>
      <w:r w:rsidRPr="0094469E">
        <w:rPr>
          <w:rFonts w:ascii="Times New Roman" w:hAnsi="Times New Roman" w:cs="Times New Roman"/>
          <w:i/>
          <w:sz w:val="24"/>
          <w:szCs w:val="24"/>
        </w:rPr>
        <w:t xml:space="preserve">Psychological science, </w:t>
      </w:r>
      <w:r w:rsidRPr="0094469E">
        <w:rPr>
          <w:rFonts w:ascii="Times New Roman" w:hAnsi="Times New Roman" w:cs="Times New Roman"/>
          <w:b/>
          <w:sz w:val="24"/>
          <w:szCs w:val="24"/>
        </w:rPr>
        <w:t>3</w:t>
      </w:r>
      <w:r w:rsidRPr="0094469E">
        <w:rPr>
          <w:rFonts w:ascii="Times New Roman" w:hAnsi="Times New Roman" w:cs="Times New Roman"/>
          <w:sz w:val="24"/>
          <w:szCs w:val="24"/>
        </w:rPr>
        <w:t>(4), 207-217.</w:t>
      </w:r>
      <w:bookmarkEnd w:id="869"/>
    </w:p>
    <w:p w14:paraId="5C991C61" w14:textId="6A64F569" w:rsidR="0094469E" w:rsidRPr="0094469E" w:rsidRDefault="0094469E" w:rsidP="0094469E">
      <w:pPr>
        <w:pStyle w:val="EndNoteBibliography"/>
        <w:spacing w:line="360" w:lineRule="auto"/>
        <w:rPr>
          <w:rFonts w:ascii="Times New Roman" w:hAnsi="Times New Roman" w:cs="Times New Roman"/>
          <w:sz w:val="24"/>
          <w:szCs w:val="24"/>
        </w:rPr>
      </w:pPr>
      <w:bookmarkStart w:id="870" w:name="_ENREF_363"/>
      <w:r w:rsidRPr="0094469E">
        <w:rPr>
          <w:rFonts w:ascii="Times New Roman" w:hAnsi="Times New Roman" w:cs="Times New Roman"/>
          <w:sz w:val="24"/>
          <w:szCs w:val="24"/>
        </w:rPr>
        <w:t xml:space="preserve">Schoenherr, J. R., and Hamstra, S. J. (2016). Psychometrics and its discontents: an historical perspective on the discourse of the measurement tradition.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21</w:t>
      </w:r>
      <w:r w:rsidRPr="0094469E">
        <w:rPr>
          <w:rFonts w:ascii="Times New Roman" w:hAnsi="Times New Roman" w:cs="Times New Roman"/>
          <w:sz w:val="24"/>
          <w:szCs w:val="24"/>
        </w:rPr>
        <w:t>(3), 719-729.</w:t>
      </w:r>
      <w:bookmarkEnd w:id="870"/>
    </w:p>
    <w:p w14:paraId="2AF352A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1" w:name="_ENREF_364"/>
      <w:r w:rsidRPr="0094469E">
        <w:rPr>
          <w:rFonts w:ascii="Times New Roman" w:hAnsi="Times New Roman" w:cs="Times New Roman"/>
          <w:sz w:val="24"/>
          <w:szCs w:val="24"/>
        </w:rPr>
        <w:t xml:space="preserve">Scholz, U., Doña, B. G., Sud, S., and Schwarzer, R. (2002). Is general self-efficacy a universal construct? Psychometric findings from 25 countries. </w:t>
      </w:r>
      <w:r w:rsidRPr="0094469E">
        <w:rPr>
          <w:rFonts w:ascii="Times New Roman" w:hAnsi="Times New Roman" w:cs="Times New Roman"/>
          <w:i/>
          <w:sz w:val="24"/>
          <w:szCs w:val="24"/>
        </w:rPr>
        <w:t xml:space="preserve">European journal of psychological assessment, </w:t>
      </w:r>
      <w:r w:rsidRPr="0094469E">
        <w:rPr>
          <w:rFonts w:ascii="Times New Roman" w:hAnsi="Times New Roman" w:cs="Times New Roman"/>
          <w:b/>
          <w:sz w:val="24"/>
          <w:szCs w:val="24"/>
        </w:rPr>
        <w:t>18</w:t>
      </w:r>
      <w:r w:rsidRPr="0094469E">
        <w:rPr>
          <w:rFonts w:ascii="Times New Roman" w:hAnsi="Times New Roman" w:cs="Times New Roman"/>
          <w:sz w:val="24"/>
          <w:szCs w:val="24"/>
        </w:rPr>
        <w:t>(3), 242.</w:t>
      </w:r>
      <w:bookmarkEnd w:id="871"/>
    </w:p>
    <w:p w14:paraId="3FB5D5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2" w:name="_ENREF_365"/>
      <w:r w:rsidRPr="0094469E">
        <w:rPr>
          <w:rFonts w:ascii="Times New Roman" w:hAnsi="Times New Roman" w:cs="Times New Roman"/>
          <w:sz w:val="24"/>
          <w:szCs w:val="24"/>
        </w:rPr>
        <w:t xml:space="preserve">Schön, D. A. (1983). </w:t>
      </w:r>
      <w:r w:rsidRPr="0094469E">
        <w:rPr>
          <w:rFonts w:ascii="Times New Roman" w:hAnsi="Times New Roman" w:cs="Times New Roman"/>
          <w:i/>
          <w:sz w:val="24"/>
          <w:szCs w:val="24"/>
        </w:rPr>
        <w:t>The reflective practitioner: How professionals think in action</w:t>
      </w:r>
      <w:r w:rsidRPr="0094469E">
        <w:rPr>
          <w:rFonts w:ascii="Times New Roman" w:hAnsi="Times New Roman" w:cs="Times New Roman"/>
          <w:sz w:val="24"/>
          <w:szCs w:val="24"/>
        </w:rPr>
        <w:t xml:space="preserve"> (Vol. 5126): Basic books.</w:t>
      </w:r>
      <w:bookmarkEnd w:id="872"/>
    </w:p>
    <w:p w14:paraId="6076E36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3" w:name="_ENREF_366"/>
      <w:r w:rsidRPr="0094469E">
        <w:rPr>
          <w:rFonts w:ascii="Times New Roman" w:hAnsi="Times New Roman" w:cs="Times New Roman"/>
          <w:sz w:val="24"/>
          <w:szCs w:val="24"/>
        </w:rPr>
        <w:t>Schunk, D. (2001). Social cognitive theory and self regulated learning in Zimmerman, J. and Schunk, D.(Eds) Self regulated learning and academic achievement: theoretical perspectives (pp. 125-151): Mahwah: Lawrence Erlbaum Associates.</w:t>
      </w:r>
      <w:bookmarkEnd w:id="873"/>
    </w:p>
    <w:p w14:paraId="52177DA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4" w:name="_ENREF_367"/>
      <w:r w:rsidRPr="0094469E">
        <w:rPr>
          <w:rFonts w:ascii="Times New Roman" w:hAnsi="Times New Roman" w:cs="Times New Roman"/>
          <w:sz w:val="24"/>
          <w:szCs w:val="24"/>
        </w:rPr>
        <w:t xml:space="preserve">Schunk, D. H. (1981). Modeling and attributional effects on children's achievement: A self-efficacy analysis.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73</w:t>
      </w:r>
      <w:r w:rsidRPr="0094469E">
        <w:rPr>
          <w:rFonts w:ascii="Times New Roman" w:hAnsi="Times New Roman" w:cs="Times New Roman"/>
          <w:sz w:val="24"/>
          <w:szCs w:val="24"/>
        </w:rPr>
        <w:t>(1), 93.</w:t>
      </w:r>
      <w:bookmarkEnd w:id="874"/>
    </w:p>
    <w:p w14:paraId="4CED2FF9" w14:textId="3E27A30C" w:rsidR="0094469E" w:rsidRPr="0094469E" w:rsidRDefault="0094469E" w:rsidP="0094469E">
      <w:pPr>
        <w:pStyle w:val="EndNoteBibliography"/>
        <w:spacing w:line="360" w:lineRule="auto"/>
        <w:rPr>
          <w:rFonts w:ascii="Times New Roman" w:hAnsi="Times New Roman" w:cs="Times New Roman"/>
          <w:sz w:val="24"/>
          <w:szCs w:val="24"/>
        </w:rPr>
      </w:pPr>
      <w:bookmarkStart w:id="875" w:name="_ENREF_368"/>
      <w:r w:rsidRPr="0094469E">
        <w:rPr>
          <w:rFonts w:ascii="Times New Roman" w:hAnsi="Times New Roman" w:cs="Times New Roman"/>
          <w:sz w:val="24"/>
          <w:szCs w:val="24"/>
        </w:rPr>
        <w:t xml:space="preserve">Schunk, D. H. (1990). Goal setting and self-efficacy during self-regulated learning. </w:t>
      </w:r>
      <w:r w:rsidRPr="0094469E">
        <w:rPr>
          <w:rFonts w:ascii="Times New Roman" w:hAnsi="Times New Roman" w:cs="Times New Roman"/>
          <w:i/>
          <w:sz w:val="24"/>
          <w:szCs w:val="24"/>
        </w:rPr>
        <w:t xml:space="preserve">Educational </w:t>
      </w:r>
      <w:r w:rsidR="00521DE8">
        <w:rPr>
          <w:rFonts w:ascii="Times New Roman" w:hAnsi="Times New Roman" w:cs="Times New Roman"/>
          <w:i/>
          <w:sz w:val="24"/>
          <w:szCs w:val="24"/>
        </w:rPr>
        <w:t>p</w:t>
      </w:r>
      <w:r w:rsidR="00521DE8" w:rsidRPr="0094469E">
        <w:rPr>
          <w:rFonts w:ascii="Times New Roman" w:hAnsi="Times New Roman" w:cs="Times New Roman"/>
          <w:i/>
          <w:sz w:val="24"/>
          <w:szCs w:val="24"/>
        </w:rPr>
        <w:t>sychologist</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25</w:t>
      </w:r>
      <w:r w:rsidRPr="0094469E">
        <w:rPr>
          <w:rFonts w:ascii="Times New Roman" w:hAnsi="Times New Roman" w:cs="Times New Roman"/>
          <w:sz w:val="24"/>
          <w:szCs w:val="24"/>
        </w:rPr>
        <w:t>(1), 71-86.</w:t>
      </w:r>
      <w:bookmarkEnd w:id="875"/>
    </w:p>
    <w:p w14:paraId="522E749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6" w:name="_ENREF_369"/>
      <w:r w:rsidRPr="0094469E">
        <w:rPr>
          <w:rFonts w:ascii="Times New Roman" w:hAnsi="Times New Roman" w:cs="Times New Roman"/>
          <w:sz w:val="24"/>
          <w:szCs w:val="24"/>
        </w:rPr>
        <w:lastRenderedPageBreak/>
        <w:t xml:space="preserve">Schunk, D. H., and Ertmer, P. A. (1999). Self-regulatory processes during computer skill acquisition: Goal and self-evaluative influences.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91</w:t>
      </w:r>
      <w:r w:rsidRPr="0094469E">
        <w:rPr>
          <w:rFonts w:ascii="Times New Roman" w:hAnsi="Times New Roman" w:cs="Times New Roman"/>
          <w:sz w:val="24"/>
          <w:szCs w:val="24"/>
        </w:rPr>
        <w:t>(2), 251.</w:t>
      </w:r>
      <w:bookmarkEnd w:id="876"/>
    </w:p>
    <w:p w14:paraId="540ACAD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7" w:name="_ENREF_370"/>
      <w:r w:rsidRPr="0094469E">
        <w:rPr>
          <w:rFonts w:ascii="Times New Roman" w:hAnsi="Times New Roman" w:cs="Times New Roman"/>
          <w:sz w:val="24"/>
          <w:szCs w:val="24"/>
        </w:rPr>
        <w:t>Schunk, D. H., Pintrich, P. R., and Meece, J. L. (2008). Motivation in education: Theory, research, and applications.</w:t>
      </w:r>
      <w:bookmarkEnd w:id="877"/>
    </w:p>
    <w:p w14:paraId="59DB211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8" w:name="_ENREF_371"/>
      <w:r w:rsidRPr="0094469E">
        <w:rPr>
          <w:rFonts w:ascii="Times New Roman" w:hAnsi="Times New Roman" w:cs="Times New Roman"/>
          <w:sz w:val="24"/>
          <w:szCs w:val="24"/>
        </w:rPr>
        <w:t xml:space="preserve">Schunk, D. H., and Swartz, C. W. (1993). Goals and progress feedback: Effects on self-efficacy and writing achievement. </w:t>
      </w:r>
      <w:r w:rsidRPr="0094469E">
        <w:rPr>
          <w:rFonts w:ascii="Times New Roman" w:hAnsi="Times New Roman" w:cs="Times New Roman"/>
          <w:i/>
          <w:sz w:val="24"/>
          <w:szCs w:val="24"/>
        </w:rPr>
        <w:t xml:space="preserve">Contemporary educational psychology, </w:t>
      </w:r>
      <w:r w:rsidRPr="0094469E">
        <w:rPr>
          <w:rFonts w:ascii="Times New Roman" w:hAnsi="Times New Roman" w:cs="Times New Roman"/>
          <w:b/>
          <w:sz w:val="24"/>
          <w:szCs w:val="24"/>
        </w:rPr>
        <w:t>18</w:t>
      </w:r>
      <w:r w:rsidRPr="0094469E">
        <w:rPr>
          <w:rFonts w:ascii="Times New Roman" w:hAnsi="Times New Roman" w:cs="Times New Roman"/>
          <w:sz w:val="24"/>
          <w:szCs w:val="24"/>
        </w:rPr>
        <w:t>(3), 337-354.</w:t>
      </w:r>
      <w:bookmarkEnd w:id="878"/>
    </w:p>
    <w:p w14:paraId="48F0530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79" w:name="_ENREF_372"/>
      <w:r w:rsidRPr="0094469E">
        <w:rPr>
          <w:rFonts w:ascii="Times New Roman" w:hAnsi="Times New Roman" w:cs="Times New Roman"/>
          <w:sz w:val="24"/>
          <w:szCs w:val="24"/>
        </w:rPr>
        <w:t xml:space="preserve">Schunk, D. H., and Zimmerman, B. J. (2012). </w:t>
      </w:r>
      <w:r w:rsidRPr="0094469E">
        <w:rPr>
          <w:rFonts w:ascii="Times New Roman" w:hAnsi="Times New Roman" w:cs="Times New Roman"/>
          <w:i/>
          <w:sz w:val="24"/>
          <w:szCs w:val="24"/>
        </w:rPr>
        <w:t>Motivation and self-regulated learning: Theory, research, and applications</w:t>
      </w:r>
      <w:r w:rsidRPr="0094469E">
        <w:rPr>
          <w:rFonts w:ascii="Times New Roman" w:hAnsi="Times New Roman" w:cs="Times New Roman"/>
          <w:sz w:val="24"/>
          <w:szCs w:val="24"/>
        </w:rPr>
        <w:t>: Routledge.</w:t>
      </w:r>
      <w:bookmarkEnd w:id="879"/>
    </w:p>
    <w:p w14:paraId="7F0A41ED" w14:textId="149D668F" w:rsidR="0094469E" w:rsidRPr="0094469E" w:rsidRDefault="0094469E" w:rsidP="0094469E">
      <w:pPr>
        <w:pStyle w:val="EndNoteBibliography"/>
        <w:spacing w:line="360" w:lineRule="auto"/>
        <w:rPr>
          <w:rFonts w:ascii="Times New Roman" w:hAnsi="Times New Roman" w:cs="Times New Roman"/>
          <w:sz w:val="24"/>
          <w:szCs w:val="24"/>
        </w:rPr>
      </w:pPr>
      <w:bookmarkStart w:id="880" w:name="_ENREF_373"/>
      <w:r w:rsidRPr="0094469E">
        <w:rPr>
          <w:rFonts w:ascii="Times New Roman" w:hAnsi="Times New Roman" w:cs="Times New Roman"/>
          <w:sz w:val="24"/>
          <w:szCs w:val="24"/>
        </w:rPr>
        <w:t xml:space="preserve">Schwandt, T. (2006). Opposition redirected. </w:t>
      </w:r>
      <w:r w:rsidRPr="0094469E">
        <w:rPr>
          <w:rFonts w:ascii="Times New Roman" w:hAnsi="Times New Roman" w:cs="Times New Roman"/>
          <w:i/>
          <w:sz w:val="24"/>
          <w:szCs w:val="24"/>
        </w:rPr>
        <w:t xml:space="preserve">International </w:t>
      </w:r>
      <w:r w:rsidR="00521DE8" w:rsidRPr="0094469E">
        <w:rPr>
          <w:rFonts w:ascii="Times New Roman" w:hAnsi="Times New Roman" w:cs="Times New Roman"/>
          <w:i/>
          <w:sz w:val="24"/>
          <w:szCs w:val="24"/>
        </w:rPr>
        <w:t>journal of qualitative studies in educati</w:t>
      </w:r>
      <w:r w:rsidRPr="0094469E">
        <w:rPr>
          <w:rFonts w:ascii="Times New Roman" w:hAnsi="Times New Roman" w:cs="Times New Roman"/>
          <w:i/>
          <w:sz w:val="24"/>
          <w:szCs w:val="24"/>
        </w:rPr>
        <w:t xml:space="preserve">on, </w:t>
      </w:r>
      <w:r w:rsidRPr="0094469E">
        <w:rPr>
          <w:rFonts w:ascii="Times New Roman" w:hAnsi="Times New Roman" w:cs="Times New Roman"/>
          <w:b/>
          <w:sz w:val="24"/>
          <w:szCs w:val="24"/>
        </w:rPr>
        <w:t>19</w:t>
      </w:r>
      <w:r w:rsidRPr="0094469E">
        <w:rPr>
          <w:rFonts w:ascii="Times New Roman" w:hAnsi="Times New Roman" w:cs="Times New Roman"/>
          <w:sz w:val="24"/>
          <w:szCs w:val="24"/>
        </w:rPr>
        <w:t>(6), 803-810.</w:t>
      </w:r>
      <w:bookmarkEnd w:id="880"/>
    </w:p>
    <w:p w14:paraId="67CC0C8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1" w:name="_ENREF_374"/>
      <w:r w:rsidRPr="0094469E">
        <w:rPr>
          <w:rFonts w:ascii="Times New Roman" w:hAnsi="Times New Roman" w:cs="Times New Roman"/>
          <w:sz w:val="24"/>
          <w:szCs w:val="24"/>
        </w:rPr>
        <w:t xml:space="preserve">Schwandt, T. A. (2000). Three epistemological stances for qualitative inquiry. In N. K. Denzin &amp; Y. S. Lincoln (Eds.), </w:t>
      </w:r>
      <w:r w:rsidRPr="0094469E">
        <w:rPr>
          <w:rFonts w:ascii="Times New Roman" w:hAnsi="Times New Roman" w:cs="Times New Roman"/>
          <w:i/>
          <w:sz w:val="24"/>
          <w:szCs w:val="24"/>
        </w:rPr>
        <w:t>Handbook of qualitative research</w:t>
      </w:r>
      <w:r w:rsidRPr="0094469E">
        <w:rPr>
          <w:rFonts w:ascii="Times New Roman" w:hAnsi="Times New Roman" w:cs="Times New Roman"/>
          <w:sz w:val="24"/>
          <w:szCs w:val="24"/>
        </w:rPr>
        <w:t xml:space="preserve"> (Vol. 2nd, pp. 189-213).</w:t>
      </w:r>
      <w:bookmarkEnd w:id="881"/>
    </w:p>
    <w:p w14:paraId="329BD51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2" w:name="_ENREF_375"/>
      <w:r w:rsidRPr="0094469E">
        <w:rPr>
          <w:rFonts w:ascii="Times New Roman" w:hAnsi="Times New Roman" w:cs="Times New Roman"/>
          <w:sz w:val="24"/>
          <w:szCs w:val="24"/>
        </w:rPr>
        <w:t xml:space="preserve">Schwandt, T. A., Lincoln, Y. S., and Guba, E. G. (2007). Judging interpretations: but is it rigorous? trustworthiness and authenticity in naturalistic evaluation. </w:t>
      </w:r>
      <w:r w:rsidRPr="0094469E">
        <w:rPr>
          <w:rFonts w:ascii="Times New Roman" w:hAnsi="Times New Roman" w:cs="Times New Roman"/>
          <w:i/>
          <w:sz w:val="24"/>
          <w:szCs w:val="24"/>
        </w:rPr>
        <w:t xml:space="preserve">New directions for evaluation, </w:t>
      </w:r>
      <w:r w:rsidRPr="0094469E">
        <w:rPr>
          <w:rFonts w:ascii="Times New Roman" w:hAnsi="Times New Roman" w:cs="Times New Roman"/>
          <w:b/>
          <w:sz w:val="24"/>
          <w:szCs w:val="24"/>
        </w:rPr>
        <w:t>2007</w:t>
      </w:r>
      <w:r w:rsidRPr="0094469E">
        <w:rPr>
          <w:rFonts w:ascii="Times New Roman" w:hAnsi="Times New Roman" w:cs="Times New Roman"/>
          <w:sz w:val="24"/>
          <w:szCs w:val="24"/>
        </w:rPr>
        <w:t>(114), 11-25.</w:t>
      </w:r>
      <w:bookmarkEnd w:id="882"/>
    </w:p>
    <w:p w14:paraId="372FD7A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3" w:name="_ENREF_376"/>
      <w:r w:rsidRPr="0094469E">
        <w:rPr>
          <w:rFonts w:ascii="Times New Roman" w:hAnsi="Times New Roman" w:cs="Times New Roman"/>
          <w:sz w:val="24"/>
          <w:szCs w:val="24"/>
        </w:rPr>
        <w:t xml:space="preserve">Schwarzer, R., and Jerusalem, M. (1995). Generalized Self-Efficacy scale. In S. W. J. Weinman, &amp; M. Johnston (Ed.), </w:t>
      </w:r>
      <w:r w:rsidRPr="0094469E">
        <w:rPr>
          <w:rFonts w:ascii="Times New Roman" w:hAnsi="Times New Roman" w:cs="Times New Roman"/>
          <w:i/>
          <w:sz w:val="24"/>
          <w:szCs w:val="24"/>
        </w:rPr>
        <w:t>Measures in health psychology: A user’s portfolio. Causal and control beliefs</w:t>
      </w:r>
      <w:r w:rsidRPr="0094469E">
        <w:rPr>
          <w:rFonts w:ascii="Times New Roman" w:hAnsi="Times New Roman" w:cs="Times New Roman"/>
          <w:sz w:val="24"/>
          <w:szCs w:val="24"/>
        </w:rPr>
        <w:t xml:space="preserve"> (pp. 35-37). Windsor, UK: NFER-NELSON.</w:t>
      </w:r>
      <w:bookmarkEnd w:id="883"/>
    </w:p>
    <w:p w14:paraId="2AF6C7A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4" w:name="_ENREF_377"/>
      <w:r w:rsidRPr="0094469E">
        <w:rPr>
          <w:rFonts w:ascii="Times New Roman" w:hAnsi="Times New Roman" w:cs="Times New Roman"/>
          <w:sz w:val="24"/>
          <w:szCs w:val="24"/>
        </w:rPr>
        <w:t xml:space="preserve">Scott, P. J., and Briggs, J. S. (2009). A pragmatist argument for mixed methodology in medical informatics. </w:t>
      </w:r>
      <w:r w:rsidRPr="0094469E">
        <w:rPr>
          <w:rFonts w:ascii="Times New Roman" w:hAnsi="Times New Roman" w:cs="Times New Roman"/>
          <w:i/>
          <w:sz w:val="24"/>
          <w:szCs w:val="24"/>
        </w:rPr>
        <w:t>Journal of mixed methods research</w:t>
      </w:r>
      <w:r w:rsidRPr="0094469E">
        <w:rPr>
          <w:rFonts w:ascii="Times New Roman" w:hAnsi="Times New Roman" w:cs="Times New Roman"/>
          <w:sz w:val="24"/>
          <w:szCs w:val="24"/>
        </w:rPr>
        <w:t>.</w:t>
      </w:r>
      <w:bookmarkEnd w:id="884"/>
    </w:p>
    <w:p w14:paraId="59D6D2E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5" w:name="_ENREF_378"/>
      <w:r w:rsidRPr="0094469E">
        <w:rPr>
          <w:rFonts w:ascii="Times New Roman" w:hAnsi="Times New Roman" w:cs="Times New Roman"/>
          <w:sz w:val="24"/>
          <w:szCs w:val="24"/>
        </w:rPr>
        <w:t xml:space="preserve">Seabrook, M. A. (2004). Clinical students' initial reports of the educational climate in a single medical school.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38</w:t>
      </w:r>
      <w:r w:rsidRPr="0094469E">
        <w:rPr>
          <w:rFonts w:ascii="Times New Roman" w:hAnsi="Times New Roman" w:cs="Times New Roman"/>
          <w:sz w:val="24"/>
          <w:szCs w:val="24"/>
        </w:rPr>
        <w:t>(6), 659-669.</w:t>
      </w:r>
      <w:bookmarkEnd w:id="885"/>
    </w:p>
    <w:p w14:paraId="5B81563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6" w:name="_ENREF_379"/>
      <w:r w:rsidRPr="0094469E">
        <w:rPr>
          <w:rFonts w:ascii="Times New Roman" w:hAnsi="Times New Roman" w:cs="Times New Roman"/>
          <w:sz w:val="24"/>
          <w:szCs w:val="24"/>
        </w:rPr>
        <w:t xml:space="preserve">Seale, C. (1999). Quality in qualitative research. </w:t>
      </w:r>
      <w:r w:rsidRPr="0094469E">
        <w:rPr>
          <w:rFonts w:ascii="Times New Roman" w:hAnsi="Times New Roman" w:cs="Times New Roman"/>
          <w:i/>
          <w:sz w:val="24"/>
          <w:szCs w:val="24"/>
        </w:rPr>
        <w:t xml:space="preserve">Qualitative inquiry, </w:t>
      </w:r>
      <w:r w:rsidRPr="0094469E">
        <w:rPr>
          <w:rFonts w:ascii="Times New Roman" w:hAnsi="Times New Roman" w:cs="Times New Roman"/>
          <w:b/>
          <w:sz w:val="24"/>
          <w:szCs w:val="24"/>
        </w:rPr>
        <w:t>5</w:t>
      </w:r>
      <w:r w:rsidRPr="0094469E">
        <w:rPr>
          <w:rFonts w:ascii="Times New Roman" w:hAnsi="Times New Roman" w:cs="Times New Roman"/>
          <w:sz w:val="24"/>
          <w:szCs w:val="24"/>
        </w:rPr>
        <w:t>(4), 465-478.</w:t>
      </w:r>
      <w:bookmarkEnd w:id="886"/>
    </w:p>
    <w:p w14:paraId="3733DA97" w14:textId="0829394C" w:rsidR="0094469E" w:rsidRPr="0094469E" w:rsidRDefault="0094469E" w:rsidP="0094469E">
      <w:pPr>
        <w:pStyle w:val="EndNoteBibliography"/>
        <w:spacing w:line="360" w:lineRule="auto"/>
        <w:rPr>
          <w:rFonts w:ascii="Times New Roman" w:hAnsi="Times New Roman" w:cs="Times New Roman"/>
          <w:sz w:val="24"/>
          <w:szCs w:val="24"/>
        </w:rPr>
      </w:pPr>
      <w:bookmarkStart w:id="887" w:name="_ENREF_380"/>
      <w:r w:rsidRPr="0094469E">
        <w:rPr>
          <w:rFonts w:ascii="Times New Roman" w:hAnsi="Times New Roman" w:cs="Times New Roman"/>
          <w:sz w:val="24"/>
          <w:szCs w:val="24"/>
        </w:rPr>
        <w:t xml:space="preserve">Seers, K. (2012). What is a qualitative synthesis? </w:t>
      </w:r>
      <w:r w:rsidRPr="0094469E">
        <w:rPr>
          <w:rFonts w:ascii="Times New Roman" w:hAnsi="Times New Roman" w:cs="Times New Roman"/>
          <w:i/>
          <w:sz w:val="24"/>
          <w:szCs w:val="24"/>
        </w:rPr>
        <w:t xml:space="preserve">Evidence </w:t>
      </w:r>
      <w:r w:rsidR="00521DE8" w:rsidRPr="0094469E">
        <w:rPr>
          <w:rFonts w:ascii="Times New Roman" w:hAnsi="Times New Roman" w:cs="Times New Roman"/>
          <w:i/>
          <w:sz w:val="24"/>
          <w:szCs w:val="24"/>
        </w:rPr>
        <w:t>based nursin</w:t>
      </w:r>
      <w:r w:rsidRPr="0094469E">
        <w:rPr>
          <w:rFonts w:ascii="Times New Roman" w:hAnsi="Times New Roman" w:cs="Times New Roman"/>
          <w:i/>
          <w:sz w:val="24"/>
          <w:szCs w:val="24"/>
        </w:rPr>
        <w:t>g</w:t>
      </w:r>
      <w:r w:rsidRPr="0094469E">
        <w:rPr>
          <w:rFonts w:ascii="Times New Roman" w:hAnsi="Times New Roman" w:cs="Times New Roman"/>
          <w:sz w:val="24"/>
          <w:szCs w:val="24"/>
        </w:rPr>
        <w:t>, ebnurs-2012-100977.</w:t>
      </w:r>
      <w:bookmarkEnd w:id="887"/>
    </w:p>
    <w:p w14:paraId="7CE3C7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88" w:name="_ENREF_381"/>
      <w:r w:rsidRPr="0094469E">
        <w:rPr>
          <w:rFonts w:ascii="Times New Roman" w:hAnsi="Times New Roman" w:cs="Times New Roman"/>
          <w:sz w:val="24"/>
          <w:szCs w:val="24"/>
        </w:rPr>
        <w:lastRenderedPageBreak/>
        <w:t xml:space="preserve">Sender Liberman, A., Liberman, M., Steinert, Y., McLeod, P., and Meterissian, S. (2005). Surgery residents and attending surgeons have different perceptions of feedback.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27</w:t>
      </w:r>
      <w:r w:rsidRPr="0094469E">
        <w:rPr>
          <w:rFonts w:ascii="Times New Roman" w:hAnsi="Times New Roman" w:cs="Times New Roman"/>
          <w:sz w:val="24"/>
          <w:szCs w:val="24"/>
        </w:rPr>
        <w:t>(5), 470-472.</w:t>
      </w:r>
      <w:bookmarkEnd w:id="888"/>
    </w:p>
    <w:p w14:paraId="3FBC4E3D" w14:textId="49AEBD21" w:rsidR="0094469E" w:rsidRPr="0094469E" w:rsidRDefault="0094469E" w:rsidP="0094469E">
      <w:pPr>
        <w:pStyle w:val="EndNoteBibliography"/>
        <w:spacing w:line="360" w:lineRule="auto"/>
        <w:rPr>
          <w:rFonts w:ascii="Times New Roman" w:hAnsi="Times New Roman" w:cs="Times New Roman"/>
          <w:sz w:val="24"/>
          <w:szCs w:val="24"/>
        </w:rPr>
      </w:pPr>
      <w:bookmarkStart w:id="889" w:name="_ENREF_382"/>
      <w:r w:rsidRPr="0094469E">
        <w:rPr>
          <w:rFonts w:ascii="Times New Roman" w:hAnsi="Times New Roman" w:cs="Times New Roman"/>
          <w:sz w:val="24"/>
          <w:szCs w:val="24"/>
        </w:rPr>
        <w:t xml:space="preserve">Sermeus, W. (2015). ModellIng process and outcomes </w:t>
      </w:r>
      <w:r w:rsidR="00521DE8">
        <w:rPr>
          <w:rFonts w:ascii="Times New Roman" w:hAnsi="Times New Roman" w:cs="Times New Roman"/>
          <w:sz w:val="24"/>
          <w:szCs w:val="24"/>
        </w:rPr>
        <w:t>i</w:t>
      </w:r>
      <w:r w:rsidRPr="0094469E">
        <w:rPr>
          <w:rFonts w:ascii="Times New Roman" w:hAnsi="Times New Roman" w:cs="Times New Roman"/>
          <w:sz w:val="24"/>
          <w:szCs w:val="24"/>
        </w:rPr>
        <w:t>n complex intervent</w:t>
      </w:r>
      <w:r w:rsidR="00521DE8">
        <w:rPr>
          <w:rFonts w:ascii="Times New Roman" w:hAnsi="Times New Roman" w:cs="Times New Roman"/>
          <w:sz w:val="24"/>
          <w:szCs w:val="24"/>
        </w:rPr>
        <w:t>i</w:t>
      </w:r>
      <w:r w:rsidRPr="0094469E">
        <w:rPr>
          <w:rFonts w:ascii="Times New Roman" w:hAnsi="Times New Roman" w:cs="Times New Roman"/>
          <w:sz w:val="24"/>
          <w:szCs w:val="24"/>
        </w:rPr>
        <w:t xml:space="preserve">ons. </w:t>
      </w:r>
      <w:r w:rsidRPr="0094469E">
        <w:rPr>
          <w:rFonts w:ascii="Times New Roman" w:hAnsi="Times New Roman" w:cs="Times New Roman"/>
          <w:i/>
          <w:sz w:val="24"/>
          <w:szCs w:val="24"/>
        </w:rPr>
        <w:t xml:space="preserve">Complex </w:t>
      </w:r>
      <w:r w:rsidR="00521DE8" w:rsidRPr="0094469E">
        <w:rPr>
          <w:rFonts w:ascii="Times New Roman" w:hAnsi="Times New Roman" w:cs="Times New Roman"/>
          <w:i/>
          <w:sz w:val="24"/>
          <w:szCs w:val="24"/>
        </w:rPr>
        <w:t>interventions in health: an overview of research metho</w:t>
      </w:r>
      <w:r w:rsidRPr="0094469E">
        <w:rPr>
          <w:rFonts w:ascii="Times New Roman" w:hAnsi="Times New Roman" w:cs="Times New Roman"/>
          <w:i/>
          <w:sz w:val="24"/>
          <w:szCs w:val="24"/>
        </w:rPr>
        <w:t>ds</w:t>
      </w:r>
      <w:r w:rsidRPr="0094469E">
        <w:rPr>
          <w:rFonts w:ascii="Times New Roman" w:hAnsi="Times New Roman" w:cs="Times New Roman"/>
          <w:sz w:val="24"/>
          <w:szCs w:val="24"/>
        </w:rPr>
        <w:t>, 111-120.</w:t>
      </w:r>
      <w:bookmarkEnd w:id="889"/>
    </w:p>
    <w:p w14:paraId="4EE387D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0" w:name="_ENREF_383"/>
      <w:r w:rsidRPr="0094469E">
        <w:rPr>
          <w:rFonts w:ascii="Times New Roman" w:hAnsi="Times New Roman" w:cs="Times New Roman"/>
          <w:sz w:val="24"/>
          <w:szCs w:val="24"/>
        </w:rPr>
        <w:t xml:space="preserve">Shahi, R., Walters, L., Ward, H., Woodman, R. J., and Prideaux, D. (2015). Clinical participation of medical students in three contemporary training models.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(12), 1219-1228.</w:t>
      </w:r>
      <w:bookmarkEnd w:id="890"/>
    </w:p>
    <w:p w14:paraId="6AAA289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1" w:name="_ENREF_384"/>
      <w:r w:rsidRPr="0094469E">
        <w:rPr>
          <w:rFonts w:ascii="Times New Roman" w:hAnsi="Times New Roman" w:cs="Times New Roman"/>
          <w:sz w:val="24"/>
          <w:szCs w:val="24"/>
        </w:rPr>
        <w:t xml:space="preserve">Shanyinde, M., Pickering, R. M., and Weatherall, M. (2011). Questions asked and answered in pilot and feasibility randomized controlled trials. </w:t>
      </w:r>
      <w:r w:rsidRPr="0094469E">
        <w:rPr>
          <w:rFonts w:ascii="Times New Roman" w:hAnsi="Times New Roman" w:cs="Times New Roman"/>
          <w:i/>
          <w:sz w:val="24"/>
          <w:szCs w:val="24"/>
        </w:rPr>
        <w:t xml:space="preserve">BMC medical research methodology, </w:t>
      </w:r>
      <w:r w:rsidRPr="0094469E">
        <w:rPr>
          <w:rFonts w:ascii="Times New Roman" w:hAnsi="Times New Roman" w:cs="Times New Roman"/>
          <w:b/>
          <w:sz w:val="24"/>
          <w:szCs w:val="24"/>
        </w:rPr>
        <w:t>11</w:t>
      </w:r>
      <w:r w:rsidRPr="0094469E">
        <w:rPr>
          <w:rFonts w:ascii="Times New Roman" w:hAnsi="Times New Roman" w:cs="Times New Roman"/>
          <w:sz w:val="24"/>
          <w:szCs w:val="24"/>
        </w:rPr>
        <w:t>, 117-2288-2211-2117.</w:t>
      </w:r>
      <w:bookmarkEnd w:id="891"/>
    </w:p>
    <w:p w14:paraId="74CEFB3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2" w:name="_ENREF_385"/>
      <w:r w:rsidRPr="0094469E">
        <w:rPr>
          <w:rFonts w:ascii="Times New Roman" w:hAnsi="Times New Roman" w:cs="Times New Roman"/>
          <w:sz w:val="24"/>
          <w:szCs w:val="24"/>
        </w:rPr>
        <w:t xml:space="preserve">Sharma, R., Gordon, M., Dharamsi, S., and Gibbs, T. (2014). Systematic reviews in medical education: A practical approach: AMEE Guide 94. </w:t>
      </w:r>
      <w:r w:rsidRPr="0094469E">
        <w:rPr>
          <w:rFonts w:ascii="Times New Roman" w:hAnsi="Times New Roman" w:cs="Times New Roman"/>
          <w:i/>
          <w:sz w:val="24"/>
          <w:szCs w:val="24"/>
        </w:rPr>
        <w:t>Medical teacher</w:t>
      </w:r>
      <w:r w:rsidRPr="0094469E">
        <w:rPr>
          <w:rFonts w:ascii="Times New Roman" w:hAnsi="Times New Roman" w:cs="Times New Roman"/>
          <w:sz w:val="24"/>
          <w:szCs w:val="24"/>
        </w:rPr>
        <w:t>(0), 1-17.</w:t>
      </w:r>
      <w:bookmarkEnd w:id="892"/>
    </w:p>
    <w:p w14:paraId="263329C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3" w:name="_ENREF_386"/>
      <w:r w:rsidRPr="0094469E">
        <w:rPr>
          <w:rFonts w:ascii="Times New Roman" w:hAnsi="Times New Roman" w:cs="Times New Roman"/>
          <w:sz w:val="24"/>
          <w:szCs w:val="24"/>
        </w:rPr>
        <w:t xml:space="preserve">Shenton, A. K. (2004). Strategies for ensuring trustworthiness in qualitative research projects. </w:t>
      </w:r>
      <w:r w:rsidRPr="0094469E">
        <w:rPr>
          <w:rFonts w:ascii="Times New Roman" w:hAnsi="Times New Roman" w:cs="Times New Roman"/>
          <w:i/>
          <w:sz w:val="24"/>
          <w:szCs w:val="24"/>
        </w:rPr>
        <w:t xml:space="preserve">Education for information, </w:t>
      </w:r>
      <w:r w:rsidRPr="0094469E">
        <w:rPr>
          <w:rFonts w:ascii="Times New Roman" w:hAnsi="Times New Roman" w:cs="Times New Roman"/>
          <w:b/>
          <w:sz w:val="24"/>
          <w:szCs w:val="24"/>
        </w:rPr>
        <w:t>22</w:t>
      </w:r>
      <w:r w:rsidRPr="0094469E">
        <w:rPr>
          <w:rFonts w:ascii="Times New Roman" w:hAnsi="Times New Roman" w:cs="Times New Roman"/>
          <w:sz w:val="24"/>
          <w:szCs w:val="24"/>
        </w:rPr>
        <w:t>(2), 63-75.</w:t>
      </w:r>
      <w:bookmarkEnd w:id="893"/>
    </w:p>
    <w:p w14:paraId="329D2E8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4" w:name="_ENREF_387"/>
      <w:r w:rsidRPr="0094469E">
        <w:rPr>
          <w:rFonts w:ascii="Times New Roman" w:hAnsi="Times New Roman" w:cs="Times New Roman"/>
          <w:sz w:val="24"/>
          <w:szCs w:val="24"/>
        </w:rPr>
        <w:t xml:space="preserve">Sinclair, H. K., and Cleland, J. A. (2007). Undergraduate medical students: who seeks formative feedback?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41</w:t>
      </w:r>
      <w:r w:rsidRPr="0094469E">
        <w:rPr>
          <w:rFonts w:ascii="Times New Roman" w:hAnsi="Times New Roman" w:cs="Times New Roman"/>
          <w:sz w:val="24"/>
          <w:szCs w:val="24"/>
        </w:rPr>
        <w:t>(6), 580-582.</w:t>
      </w:r>
      <w:bookmarkEnd w:id="894"/>
    </w:p>
    <w:p w14:paraId="77CD3B9A" w14:textId="0F9E36B9" w:rsidR="0094469E" w:rsidRPr="0094469E" w:rsidRDefault="0094469E" w:rsidP="0094469E">
      <w:pPr>
        <w:pStyle w:val="EndNoteBibliography"/>
        <w:spacing w:line="360" w:lineRule="auto"/>
        <w:rPr>
          <w:rFonts w:ascii="Times New Roman" w:hAnsi="Times New Roman" w:cs="Times New Roman"/>
          <w:sz w:val="24"/>
          <w:szCs w:val="24"/>
        </w:rPr>
      </w:pPr>
      <w:bookmarkStart w:id="895" w:name="_ENREF_388"/>
      <w:r w:rsidRPr="0094469E">
        <w:rPr>
          <w:rFonts w:ascii="Times New Roman" w:hAnsi="Times New Roman" w:cs="Times New Roman"/>
          <w:sz w:val="24"/>
          <w:szCs w:val="24"/>
        </w:rPr>
        <w:t xml:space="preserve">Sireci, S. G., Yang, Y., Harter, J., and Ehrlich, E. J. (2006). Evaluating guidelines for test adaptations: A methodological analysis of translation quality. </w:t>
      </w:r>
      <w:r w:rsidRPr="0094469E">
        <w:rPr>
          <w:rFonts w:ascii="Times New Roman" w:hAnsi="Times New Roman" w:cs="Times New Roman"/>
          <w:i/>
          <w:sz w:val="24"/>
          <w:szCs w:val="24"/>
        </w:rPr>
        <w:t>Journ</w:t>
      </w:r>
      <w:r w:rsidR="00521DE8" w:rsidRPr="0094469E">
        <w:rPr>
          <w:rFonts w:ascii="Times New Roman" w:hAnsi="Times New Roman" w:cs="Times New Roman"/>
          <w:i/>
          <w:sz w:val="24"/>
          <w:szCs w:val="24"/>
        </w:rPr>
        <w:t>al of cross-cultural psychology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37</w:t>
      </w:r>
      <w:r w:rsidRPr="0094469E">
        <w:rPr>
          <w:rFonts w:ascii="Times New Roman" w:hAnsi="Times New Roman" w:cs="Times New Roman"/>
          <w:sz w:val="24"/>
          <w:szCs w:val="24"/>
        </w:rPr>
        <w:t>(5), 557-567.</w:t>
      </w:r>
      <w:bookmarkEnd w:id="895"/>
    </w:p>
    <w:p w14:paraId="0C16A6D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6" w:name="_ENREF_389"/>
      <w:r w:rsidRPr="0094469E">
        <w:rPr>
          <w:rFonts w:ascii="Times New Roman" w:hAnsi="Times New Roman" w:cs="Times New Roman"/>
          <w:sz w:val="24"/>
          <w:szCs w:val="24"/>
        </w:rPr>
        <w:t>Sitzmann, T., and Ely, K. (2011). A meta-analysis of self-regulated learning in work-related training and educational attainment: What we know and where we need to go: American Psychological Association.</w:t>
      </w:r>
      <w:bookmarkEnd w:id="896"/>
    </w:p>
    <w:p w14:paraId="2EB01F0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7" w:name="_ENREF_390"/>
      <w:r w:rsidRPr="0094469E">
        <w:rPr>
          <w:rFonts w:ascii="Times New Roman" w:hAnsi="Times New Roman" w:cs="Times New Roman"/>
          <w:sz w:val="24"/>
          <w:szCs w:val="24"/>
        </w:rPr>
        <w:t xml:space="preserve">Soederberg Miller, L. M., and West, R. L. (2009). The effects of age, control beliefs, and feedback on self-regulation of reading and problem solving. </w:t>
      </w:r>
      <w:r w:rsidRPr="0094469E">
        <w:rPr>
          <w:rFonts w:ascii="Times New Roman" w:hAnsi="Times New Roman" w:cs="Times New Roman"/>
          <w:i/>
          <w:sz w:val="24"/>
          <w:szCs w:val="24"/>
        </w:rPr>
        <w:t xml:space="preserve">Experimental aging research, </w:t>
      </w:r>
      <w:r w:rsidRPr="0094469E">
        <w:rPr>
          <w:rFonts w:ascii="Times New Roman" w:hAnsi="Times New Roman" w:cs="Times New Roman"/>
          <w:b/>
          <w:sz w:val="24"/>
          <w:szCs w:val="24"/>
        </w:rPr>
        <w:t>36</w:t>
      </w:r>
      <w:r w:rsidRPr="0094469E">
        <w:rPr>
          <w:rFonts w:ascii="Times New Roman" w:hAnsi="Times New Roman" w:cs="Times New Roman"/>
          <w:sz w:val="24"/>
          <w:szCs w:val="24"/>
        </w:rPr>
        <w:t>(1), 40-63.</w:t>
      </w:r>
      <w:bookmarkEnd w:id="897"/>
    </w:p>
    <w:p w14:paraId="3A60FFD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898" w:name="_ENREF_391"/>
      <w:r w:rsidRPr="0094469E">
        <w:rPr>
          <w:rFonts w:ascii="Times New Roman" w:hAnsi="Times New Roman" w:cs="Times New Roman"/>
          <w:sz w:val="24"/>
          <w:szCs w:val="24"/>
        </w:rPr>
        <w:t xml:space="preserve">Souto, R. Q., Khanassov, V., Hong, Q. N., Bush, P. L., Vedel, I., and Pluye, P. (2015). Systematic mixed studies reviews: updating results on the reliability and efficiency of the mixed methods appraisal tool. </w:t>
      </w:r>
      <w:r w:rsidRPr="0094469E">
        <w:rPr>
          <w:rFonts w:ascii="Times New Roman" w:hAnsi="Times New Roman" w:cs="Times New Roman"/>
          <w:i/>
          <w:sz w:val="24"/>
          <w:szCs w:val="24"/>
        </w:rPr>
        <w:t xml:space="preserve">International journal of nursing studies, </w:t>
      </w:r>
      <w:r w:rsidRPr="0094469E">
        <w:rPr>
          <w:rFonts w:ascii="Times New Roman" w:hAnsi="Times New Roman" w:cs="Times New Roman"/>
          <w:b/>
          <w:sz w:val="24"/>
          <w:szCs w:val="24"/>
        </w:rPr>
        <w:t>1</w:t>
      </w:r>
      <w:r w:rsidRPr="0094469E">
        <w:rPr>
          <w:rFonts w:ascii="Times New Roman" w:hAnsi="Times New Roman" w:cs="Times New Roman"/>
          <w:sz w:val="24"/>
          <w:szCs w:val="24"/>
        </w:rPr>
        <w:t>(52), 500-501.</w:t>
      </w:r>
      <w:bookmarkEnd w:id="898"/>
    </w:p>
    <w:p w14:paraId="4D08C2D1" w14:textId="55B7F8F1" w:rsidR="0094469E" w:rsidRPr="0094469E" w:rsidRDefault="0094469E" w:rsidP="0094469E">
      <w:pPr>
        <w:pStyle w:val="EndNoteBibliography"/>
        <w:spacing w:line="360" w:lineRule="auto"/>
        <w:rPr>
          <w:rFonts w:ascii="Times New Roman" w:hAnsi="Times New Roman" w:cs="Times New Roman"/>
          <w:sz w:val="24"/>
          <w:szCs w:val="24"/>
        </w:rPr>
      </w:pPr>
      <w:bookmarkStart w:id="899" w:name="_ENREF_392"/>
      <w:r w:rsidRPr="0094469E">
        <w:rPr>
          <w:rFonts w:ascii="Times New Roman" w:hAnsi="Times New Roman" w:cs="Times New Roman"/>
          <w:sz w:val="24"/>
          <w:szCs w:val="24"/>
        </w:rPr>
        <w:lastRenderedPageBreak/>
        <w:t xml:space="preserve">Spillett, M. A. (2003). Peer debriefing: Who, what, when, why, how. </w:t>
      </w:r>
      <w:r w:rsidRPr="0094469E">
        <w:rPr>
          <w:rFonts w:ascii="Times New Roman" w:hAnsi="Times New Roman" w:cs="Times New Roman"/>
          <w:i/>
          <w:sz w:val="24"/>
          <w:szCs w:val="24"/>
        </w:rPr>
        <w:t xml:space="preserve">Academic </w:t>
      </w:r>
      <w:r w:rsidR="00521DE8" w:rsidRPr="0094469E">
        <w:rPr>
          <w:rFonts w:ascii="Times New Roman" w:hAnsi="Times New Roman" w:cs="Times New Roman"/>
          <w:i/>
          <w:sz w:val="24"/>
          <w:szCs w:val="24"/>
        </w:rPr>
        <w:t>exchange quarterly</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w:t>
      </w:r>
      <w:r w:rsidRPr="0094469E">
        <w:rPr>
          <w:rFonts w:ascii="Times New Roman" w:hAnsi="Times New Roman" w:cs="Times New Roman"/>
          <w:sz w:val="24"/>
          <w:szCs w:val="24"/>
        </w:rPr>
        <w:t>(3), 36.</w:t>
      </w:r>
      <w:bookmarkEnd w:id="899"/>
    </w:p>
    <w:p w14:paraId="290B5C1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0" w:name="_ENREF_393"/>
      <w:r w:rsidRPr="0094469E">
        <w:rPr>
          <w:rFonts w:ascii="Times New Roman" w:hAnsi="Times New Roman" w:cs="Times New Roman"/>
          <w:sz w:val="24"/>
          <w:szCs w:val="24"/>
        </w:rPr>
        <w:t xml:space="preserve">Squires, G. (2002). </w:t>
      </w:r>
      <w:r w:rsidRPr="0094469E">
        <w:rPr>
          <w:rFonts w:ascii="Times New Roman" w:hAnsi="Times New Roman" w:cs="Times New Roman"/>
          <w:i/>
          <w:sz w:val="24"/>
          <w:szCs w:val="24"/>
        </w:rPr>
        <w:t>Teaching as a Professional Discipline: A Multi-dimensional Model</w:t>
      </w:r>
      <w:r w:rsidRPr="0094469E">
        <w:rPr>
          <w:rFonts w:ascii="Times New Roman" w:hAnsi="Times New Roman" w:cs="Times New Roman"/>
          <w:sz w:val="24"/>
          <w:szCs w:val="24"/>
        </w:rPr>
        <w:t>: Routledge.</w:t>
      </w:r>
      <w:bookmarkEnd w:id="900"/>
    </w:p>
    <w:p w14:paraId="3B0E638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1" w:name="_ENREF_394"/>
      <w:r w:rsidRPr="0094469E">
        <w:rPr>
          <w:rFonts w:ascii="Times New Roman" w:hAnsi="Times New Roman" w:cs="Times New Roman"/>
          <w:sz w:val="24"/>
          <w:szCs w:val="24"/>
        </w:rPr>
        <w:t xml:space="preserve">Steinert, Y. (2010). Becoming a better teacher: From intuition to intent. </w:t>
      </w:r>
      <w:r w:rsidRPr="0094469E">
        <w:rPr>
          <w:rFonts w:ascii="Times New Roman" w:hAnsi="Times New Roman" w:cs="Times New Roman"/>
          <w:i/>
          <w:sz w:val="24"/>
          <w:szCs w:val="24"/>
        </w:rPr>
        <w:t>Theory and Practice of Teaching Medicine. Philadelphia, Pa: American College of Physicians</w:t>
      </w:r>
      <w:r w:rsidRPr="0094469E">
        <w:rPr>
          <w:rFonts w:ascii="Times New Roman" w:hAnsi="Times New Roman" w:cs="Times New Roman"/>
          <w:sz w:val="24"/>
          <w:szCs w:val="24"/>
        </w:rPr>
        <w:t>.</w:t>
      </w:r>
      <w:bookmarkEnd w:id="901"/>
    </w:p>
    <w:p w14:paraId="4A8C8B1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2" w:name="_ENREF_395"/>
      <w:r w:rsidRPr="0094469E">
        <w:rPr>
          <w:rFonts w:ascii="Times New Roman" w:hAnsi="Times New Roman" w:cs="Times New Roman"/>
          <w:sz w:val="24"/>
          <w:szCs w:val="24"/>
        </w:rPr>
        <w:t xml:space="preserve">Steinert, Y., Mann, K., Anderson, B., Barnett, B. M., Centeno, A., Naismith, L., Prideaux, D., Spencer, J., Tullo, E., and Viggiano, T. (2016). A systematic review of faculty development initiatives designed to enhance teaching effectiveness: A 10-year update: BEME Guide No. 40.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38</w:t>
      </w:r>
      <w:r w:rsidRPr="0094469E">
        <w:rPr>
          <w:rFonts w:ascii="Times New Roman" w:hAnsi="Times New Roman" w:cs="Times New Roman"/>
          <w:sz w:val="24"/>
          <w:szCs w:val="24"/>
        </w:rPr>
        <w:t>(8), 769-786.</w:t>
      </w:r>
      <w:bookmarkEnd w:id="902"/>
    </w:p>
    <w:p w14:paraId="6040AAA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3" w:name="_ENREF_396"/>
      <w:r w:rsidRPr="0094469E">
        <w:rPr>
          <w:rFonts w:ascii="Times New Roman" w:hAnsi="Times New Roman" w:cs="Times New Roman"/>
          <w:sz w:val="24"/>
          <w:szCs w:val="24"/>
        </w:rPr>
        <w:t xml:space="preserve">Steinert, Y., Mann, K., Centeno, A., Dolmans, D., Spencer, J., Gelula, M., and Prideaux, D. (2006). A systematic review of faculty development initiatives designed to improve teaching effectiveness in medical education: BEME Guide No. 8.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28</w:t>
      </w:r>
      <w:r w:rsidRPr="0094469E">
        <w:rPr>
          <w:rFonts w:ascii="Times New Roman" w:hAnsi="Times New Roman" w:cs="Times New Roman"/>
          <w:sz w:val="24"/>
          <w:szCs w:val="24"/>
        </w:rPr>
        <w:t>(6), 497-526.</w:t>
      </w:r>
      <w:bookmarkEnd w:id="903"/>
    </w:p>
    <w:p w14:paraId="3EEB932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4" w:name="_ENREF_397"/>
      <w:r w:rsidRPr="0094469E">
        <w:rPr>
          <w:rFonts w:ascii="Times New Roman" w:hAnsi="Times New Roman" w:cs="Times New Roman"/>
          <w:sz w:val="24"/>
          <w:szCs w:val="24"/>
        </w:rPr>
        <w:t xml:space="preserve">Stewart, D. W., and Shamdasani, P. N. (2014). </w:t>
      </w:r>
      <w:r w:rsidRPr="0094469E">
        <w:rPr>
          <w:rFonts w:ascii="Times New Roman" w:hAnsi="Times New Roman" w:cs="Times New Roman"/>
          <w:i/>
          <w:sz w:val="24"/>
          <w:szCs w:val="24"/>
        </w:rPr>
        <w:t>Focus groups: Theory and practice</w:t>
      </w:r>
      <w:r w:rsidRPr="0094469E">
        <w:rPr>
          <w:rFonts w:ascii="Times New Roman" w:hAnsi="Times New Roman" w:cs="Times New Roman"/>
          <w:sz w:val="24"/>
          <w:szCs w:val="24"/>
        </w:rPr>
        <w:t xml:space="preserve"> (Vol. 20): Sage publications.</w:t>
      </w:r>
      <w:bookmarkEnd w:id="904"/>
    </w:p>
    <w:p w14:paraId="3B13E19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5" w:name="_ENREF_398"/>
      <w:r w:rsidRPr="0094469E">
        <w:rPr>
          <w:rFonts w:ascii="Times New Roman" w:hAnsi="Times New Roman" w:cs="Times New Roman"/>
          <w:sz w:val="24"/>
          <w:szCs w:val="24"/>
        </w:rPr>
        <w:t xml:space="preserve">Strauss, A., and Corbin, J. (1990). Open coding. </w:t>
      </w:r>
      <w:r w:rsidRPr="0094469E">
        <w:rPr>
          <w:rFonts w:ascii="Times New Roman" w:hAnsi="Times New Roman" w:cs="Times New Roman"/>
          <w:i/>
          <w:sz w:val="24"/>
          <w:szCs w:val="24"/>
        </w:rPr>
        <w:t xml:space="preserve">Basics of qualitative research: Grounded theory procedures and techniques, </w:t>
      </w:r>
      <w:r w:rsidRPr="0094469E">
        <w:rPr>
          <w:rFonts w:ascii="Times New Roman" w:hAnsi="Times New Roman" w:cs="Times New Roman"/>
          <w:b/>
          <w:sz w:val="24"/>
          <w:szCs w:val="24"/>
        </w:rPr>
        <w:t>2</w:t>
      </w:r>
      <w:r w:rsidRPr="0094469E">
        <w:rPr>
          <w:rFonts w:ascii="Times New Roman" w:hAnsi="Times New Roman" w:cs="Times New Roman"/>
          <w:sz w:val="24"/>
          <w:szCs w:val="24"/>
        </w:rPr>
        <w:t>(1990), 101-121.</w:t>
      </w:r>
      <w:bookmarkEnd w:id="905"/>
    </w:p>
    <w:p w14:paraId="41ABD649" w14:textId="4F9A7F2B" w:rsidR="0094469E" w:rsidRPr="0094469E" w:rsidRDefault="0094469E" w:rsidP="0094469E">
      <w:pPr>
        <w:pStyle w:val="EndNoteBibliography"/>
        <w:spacing w:line="360" w:lineRule="auto"/>
        <w:rPr>
          <w:rFonts w:ascii="Times New Roman" w:hAnsi="Times New Roman" w:cs="Times New Roman"/>
          <w:sz w:val="24"/>
          <w:szCs w:val="24"/>
        </w:rPr>
      </w:pPr>
      <w:bookmarkStart w:id="906" w:name="_ENREF_399"/>
      <w:r w:rsidRPr="0094469E">
        <w:rPr>
          <w:rFonts w:ascii="Times New Roman" w:hAnsi="Times New Roman" w:cs="Times New Roman"/>
          <w:sz w:val="24"/>
          <w:szCs w:val="24"/>
        </w:rPr>
        <w:t xml:space="preserve">Tashakkori, A., and Teddlie, C. (2010). </w:t>
      </w:r>
      <w:r w:rsidRPr="0094469E">
        <w:rPr>
          <w:rFonts w:ascii="Times New Roman" w:hAnsi="Times New Roman" w:cs="Times New Roman"/>
          <w:i/>
          <w:sz w:val="24"/>
          <w:szCs w:val="24"/>
        </w:rPr>
        <w:t xml:space="preserve">Sage handbook of mixed methods in social </w:t>
      </w:r>
      <w:r w:rsidR="00521DE8">
        <w:rPr>
          <w:rFonts w:ascii="Times New Roman" w:hAnsi="Times New Roman" w:cs="Times New Roman"/>
          <w:i/>
          <w:sz w:val="24"/>
          <w:szCs w:val="24"/>
        </w:rPr>
        <w:t>and</w:t>
      </w:r>
      <w:r w:rsidR="00521DE8" w:rsidRPr="0094469E">
        <w:rPr>
          <w:rFonts w:ascii="Times New Roman" w:hAnsi="Times New Roman" w:cs="Times New Roman"/>
          <w:i/>
          <w:sz w:val="24"/>
          <w:szCs w:val="24"/>
        </w:rPr>
        <w:t xml:space="preserve"> </w:t>
      </w:r>
      <w:r w:rsidRPr="0094469E">
        <w:rPr>
          <w:rFonts w:ascii="Times New Roman" w:hAnsi="Times New Roman" w:cs="Times New Roman"/>
          <w:i/>
          <w:sz w:val="24"/>
          <w:szCs w:val="24"/>
        </w:rPr>
        <w:t>behavioral research</w:t>
      </w:r>
      <w:r w:rsidRPr="0094469E">
        <w:rPr>
          <w:rFonts w:ascii="Times New Roman" w:hAnsi="Times New Roman" w:cs="Times New Roman"/>
          <w:sz w:val="24"/>
          <w:szCs w:val="24"/>
        </w:rPr>
        <w:t>: Sage.</w:t>
      </w:r>
      <w:bookmarkEnd w:id="906"/>
    </w:p>
    <w:p w14:paraId="46902AF2" w14:textId="6D54D821" w:rsidR="0094469E" w:rsidRPr="0094469E" w:rsidRDefault="0094469E" w:rsidP="0094469E">
      <w:pPr>
        <w:pStyle w:val="EndNoteBibliography"/>
        <w:spacing w:line="360" w:lineRule="auto"/>
        <w:rPr>
          <w:rFonts w:ascii="Times New Roman" w:hAnsi="Times New Roman" w:cs="Times New Roman"/>
          <w:sz w:val="24"/>
          <w:szCs w:val="24"/>
        </w:rPr>
      </w:pPr>
      <w:bookmarkStart w:id="907" w:name="_ENREF_400"/>
      <w:r w:rsidRPr="0094469E">
        <w:rPr>
          <w:rFonts w:ascii="Times New Roman" w:hAnsi="Times New Roman" w:cs="Times New Roman"/>
          <w:sz w:val="24"/>
          <w:szCs w:val="24"/>
        </w:rPr>
        <w:t xml:space="preserve">Teddlie, C., and Tashakkori, A. (2012). Common “core” characteristics of mixed methods research: A review of critical issues and call for greater convergence. </w:t>
      </w:r>
      <w:r w:rsidRPr="0094469E">
        <w:rPr>
          <w:rFonts w:ascii="Times New Roman" w:hAnsi="Times New Roman" w:cs="Times New Roman"/>
          <w:i/>
          <w:sz w:val="24"/>
          <w:szCs w:val="24"/>
        </w:rPr>
        <w:t>American</w:t>
      </w:r>
      <w:r w:rsidR="00521DE8" w:rsidRPr="0094469E">
        <w:rPr>
          <w:rFonts w:ascii="Times New Roman" w:hAnsi="Times New Roman" w:cs="Times New Roman"/>
          <w:i/>
          <w:sz w:val="24"/>
          <w:szCs w:val="24"/>
        </w:rPr>
        <w:t xml:space="preserve"> behavioral scien</w:t>
      </w:r>
      <w:r w:rsidRPr="0094469E">
        <w:rPr>
          <w:rFonts w:ascii="Times New Roman" w:hAnsi="Times New Roman" w:cs="Times New Roman"/>
          <w:i/>
          <w:sz w:val="24"/>
          <w:szCs w:val="24"/>
        </w:rPr>
        <w:t xml:space="preserve">tist, </w:t>
      </w:r>
      <w:r w:rsidRPr="0094469E">
        <w:rPr>
          <w:rFonts w:ascii="Times New Roman" w:hAnsi="Times New Roman" w:cs="Times New Roman"/>
          <w:b/>
          <w:sz w:val="24"/>
          <w:szCs w:val="24"/>
        </w:rPr>
        <w:t>56</w:t>
      </w:r>
      <w:r w:rsidRPr="0094469E">
        <w:rPr>
          <w:rFonts w:ascii="Times New Roman" w:hAnsi="Times New Roman" w:cs="Times New Roman"/>
          <w:sz w:val="24"/>
          <w:szCs w:val="24"/>
        </w:rPr>
        <w:t>(6), 774-788.</w:t>
      </w:r>
      <w:bookmarkEnd w:id="907"/>
    </w:p>
    <w:p w14:paraId="761D8405" w14:textId="750D68D6" w:rsidR="0094469E" w:rsidRPr="0094469E" w:rsidRDefault="0094469E" w:rsidP="0094469E">
      <w:pPr>
        <w:pStyle w:val="EndNoteBibliography"/>
        <w:spacing w:line="360" w:lineRule="auto"/>
        <w:rPr>
          <w:rFonts w:ascii="Times New Roman" w:hAnsi="Times New Roman" w:cs="Times New Roman"/>
          <w:sz w:val="24"/>
          <w:szCs w:val="24"/>
        </w:rPr>
      </w:pPr>
      <w:bookmarkStart w:id="908" w:name="_ENREF_401"/>
      <w:r w:rsidRPr="0094469E">
        <w:rPr>
          <w:rFonts w:ascii="Times New Roman" w:hAnsi="Times New Roman" w:cs="Times New Roman"/>
          <w:sz w:val="24"/>
          <w:szCs w:val="24"/>
        </w:rPr>
        <w:t xml:space="preserve">Telio, S., Ajjawi, R., and Regehr, G. (2014). The "Educational Alliance" as a Framework for Reconceptualizing Feedback in Medical Education. </w:t>
      </w:r>
      <w:r w:rsidRPr="0094469E">
        <w:rPr>
          <w:rFonts w:ascii="Times New Roman" w:hAnsi="Times New Roman" w:cs="Times New Roman"/>
          <w:i/>
          <w:sz w:val="24"/>
          <w:szCs w:val="24"/>
        </w:rPr>
        <w:t xml:space="preserve">Academic medicine: journal of the </w:t>
      </w:r>
      <w:r w:rsidR="00521DE8" w:rsidRPr="0094469E">
        <w:rPr>
          <w:rFonts w:ascii="Times New Roman" w:hAnsi="Times New Roman" w:cs="Times New Roman"/>
          <w:i/>
          <w:sz w:val="24"/>
          <w:szCs w:val="24"/>
        </w:rPr>
        <w:t>association of american medical colleg</w:t>
      </w:r>
      <w:r w:rsidRPr="0094469E">
        <w:rPr>
          <w:rFonts w:ascii="Times New Roman" w:hAnsi="Times New Roman" w:cs="Times New Roman"/>
          <w:i/>
          <w:sz w:val="24"/>
          <w:szCs w:val="24"/>
        </w:rPr>
        <w:t>es</w:t>
      </w:r>
      <w:r w:rsidRPr="0094469E">
        <w:rPr>
          <w:rFonts w:ascii="Times New Roman" w:hAnsi="Times New Roman" w:cs="Times New Roman"/>
          <w:sz w:val="24"/>
          <w:szCs w:val="24"/>
        </w:rPr>
        <w:t>.</w:t>
      </w:r>
      <w:bookmarkEnd w:id="908"/>
    </w:p>
    <w:p w14:paraId="7B050E6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09" w:name="_ENREF_402"/>
      <w:r w:rsidRPr="0094469E">
        <w:rPr>
          <w:rFonts w:ascii="Times New Roman" w:hAnsi="Times New Roman" w:cs="Times New Roman"/>
          <w:sz w:val="24"/>
          <w:szCs w:val="24"/>
        </w:rPr>
        <w:t xml:space="preserve">Telio, S., Regehr, G., and Ajjawi, R. (2016). Feedback and the educational alliance: examining credibility judgements and their consequences.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50</w:t>
      </w:r>
      <w:r w:rsidRPr="0094469E">
        <w:rPr>
          <w:rFonts w:ascii="Times New Roman" w:hAnsi="Times New Roman" w:cs="Times New Roman"/>
          <w:sz w:val="24"/>
          <w:szCs w:val="24"/>
        </w:rPr>
        <w:t>(9), 933-942.</w:t>
      </w:r>
      <w:bookmarkEnd w:id="909"/>
    </w:p>
    <w:p w14:paraId="02E3D2E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10" w:name="_ENREF_403"/>
      <w:r w:rsidRPr="0094469E">
        <w:rPr>
          <w:rFonts w:ascii="Times New Roman" w:hAnsi="Times New Roman" w:cs="Times New Roman"/>
          <w:sz w:val="24"/>
          <w:szCs w:val="24"/>
        </w:rPr>
        <w:lastRenderedPageBreak/>
        <w:t xml:space="preserve">Teunissen, P. W., and Westerman, M. (2011). Opportunity or threat: the ambiguity of the consequences of transitions in medical education.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45</w:t>
      </w:r>
      <w:r w:rsidRPr="0094469E">
        <w:rPr>
          <w:rFonts w:ascii="Times New Roman" w:hAnsi="Times New Roman" w:cs="Times New Roman"/>
          <w:sz w:val="24"/>
          <w:szCs w:val="24"/>
        </w:rPr>
        <w:t>(1), 51-59.</w:t>
      </w:r>
      <w:bookmarkEnd w:id="910"/>
    </w:p>
    <w:p w14:paraId="065E726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11" w:name="_ENREF_404"/>
      <w:r w:rsidRPr="0094469E">
        <w:rPr>
          <w:rFonts w:ascii="Times New Roman" w:hAnsi="Times New Roman" w:cs="Times New Roman"/>
          <w:sz w:val="24"/>
          <w:szCs w:val="24"/>
        </w:rPr>
        <w:t>Timperley, H., Wilson, A., Barrar, H., and Fung, I. (2008). Teacher professional learning and development.</w:t>
      </w:r>
      <w:bookmarkEnd w:id="911"/>
    </w:p>
    <w:p w14:paraId="1B9AA46C" w14:textId="012D34B8" w:rsidR="0094469E" w:rsidRPr="0094469E" w:rsidRDefault="0094469E" w:rsidP="0094469E">
      <w:pPr>
        <w:pStyle w:val="EndNoteBibliography"/>
        <w:spacing w:line="360" w:lineRule="auto"/>
        <w:rPr>
          <w:rFonts w:ascii="Times New Roman" w:hAnsi="Times New Roman" w:cs="Times New Roman"/>
          <w:sz w:val="24"/>
          <w:szCs w:val="24"/>
        </w:rPr>
      </w:pPr>
      <w:bookmarkStart w:id="912" w:name="_ENREF_405"/>
      <w:r w:rsidRPr="0094469E">
        <w:rPr>
          <w:rFonts w:ascii="Times New Roman" w:hAnsi="Times New Roman" w:cs="Times New Roman"/>
          <w:sz w:val="24"/>
          <w:szCs w:val="24"/>
        </w:rPr>
        <w:t xml:space="preserve">Torre, D., and Durning, S. J. (2015). 10 Social cognitive theory: thinking and learning in social settings. </w:t>
      </w:r>
      <w:r w:rsidRPr="0094469E">
        <w:rPr>
          <w:rFonts w:ascii="Times New Roman" w:hAnsi="Times New Roman" w:cs="Times New Roman"/>
          <w:i/>
          <w:sz w:val="24"/>
          <w:szCs w:val="24"/>
        </w:rPr>
        <w:t>Researching</w:t>
      </w:r>
      <w:r w:rsidR="00521DE8" w:rsidRPr="0094469E">
        <w:rPr>
          <w:rFonts w:ascii="Times New Roman" w:hAnsi="Times New Roman" w:cs="Times New Roman"/>
          <w:i/>
          <w:sz w:val="24"/>
          <w:szCs w:val="24"/>
        </w:rPr>
        <w:t xml:space="preserve"> medical edu</w:t>
      </w:r>
      <w:r w:rsidRPr="0094469E">
        <w:rPr>
          <w:rFonts w:ascii="Times New Roman" w:hAnsi="Times New Roman" w:cs="Times New Roman"/>
          <w:i/>
          <w:sz w:val="24"/>
          <w:szCs w:val="24"/>
        </w:rPr>
        <w:t>cation</w:t>
      </w:r>
      <w:r w:rsidRPr="0094469E">
        <w:rPr>
          <w:rFonts w:ascii="Times New Roman" w:hAnsi="Times New Roman" w:cs="Times New Roman"/>
          <w:sz w:val="24"/>
          <w:szCs w:val="24"/>
        </w:rPr>
        <w:t>, 105.</w:t>
      </w:r>
      <w:bookmarkEnd w:id="912"/>
    </w:p>
    <w:p w14:paraId="73910030" w14:textId="1EB2D989" w:rsidR="0094469E" w:rsidRPr="0094469E" w:rsidRDefault="0094469E" w:rsidP="0094469E">
      <w:pPr>
        <w:pStyle w:val="EndNoteBibliography"/>
        <w:spacing w:line="360" w:lineRule="auto"/>
        <w:rPr>
          <w:rFonts w:ascii="Times New Roman" w:hAnsi="Times New Roman" w:cs="Times New Roman"/>
          <w:sz w:val="24"/>
          <w:szCs w:val="24"/>
        </w:rPr>
      </w:pPr>
      <w:bookmarkStart w:id="913" w:name="_ENREF_406"/>
      <w:r w:rsidRPr="0094469E">
        <w:rPr>
          <w:rFonts w:ascii="Times New Roman" w:hAnsi="Times New Roman" w:cs="Times New Roman"/>
          <w:sz w:val="24"/>
          <w:szCs w:val="24"/>
        </w:rPr>
        <w:t xml:space="preserve">Treadway, K., and Chatterjee, N. (2011). Into the water—the clinical clerkships. </w:t>
      </w:r>
      <w:r w:rsidRPr="0094469E">
        <w:rPr>
          <w:rFonts w:ascii="Times New Roman" w:hAnsi="Times New Roman" w:cs="Times New Roman"/>
          <w:i/>
          <w:sz w:val="24"/>
          <w:szCs w:val="24"/>
        </w:rPr>
        <w:t>New England</w:t>
      </w:r>
      <w:r w:rsidR="00521DE8" w:rsidRPr="0094469E">
        <w:rPr>
          <w:rFonts w:ascii="Times New Roman" w:hAnsi="Times New Roman" w:cs="Times New Roman"/>
          <w:i/>
          <w:sz w:val="24"/>
          <w:szCs w:val="24"/>
        </w:rPr>
        <w:t xml:space="preserve"> journal of medicin</w:t>
      </w:r>
      <w:r w:rsidRPr="0094469E">
        <w:rPr>
          <w:rFonts w:ascii="Times New Roman" w:hAnsi="Times New Roman" w:cs="Times New Roman"/>
          <w:i/>
          <w:sz w:val="24"/>
          <w:szCs w:val="24"/>
        </w:rPr>
        <w:t xml:space="preserve">e, </w:t>
      </w:r>
      <w:r w:rsidRPr="0094469E">
        <w:rPr>
          <w:rFonts w:ascii="Times New Roman" w:hAnsi="Times New Roman" w:cs="Times New Roman"/>
          <w:b/>
          <w:sz w:val="24"/>
          <w:szCs w:val="24"/>
        </w:rPr>
        <w:t>364</w:t>
      </w:r>
      <w:r w:rsidRPr="0094469E">
        <w:rPr>
          <w:rFonts w:ascii="Times New Roman" w:hAnsi="Times New Roman" w:cs="Times New Roman"/>
          <w:sz w:val="24"/>
          <w:szCs w:val="24"/>
        </w:rPr>
        <w:t>(13), 1190-1193.</w:t>
      </w:r>
      <w:bookmarkEnd w:id="913"/>
    </w:p>
    <w:p w14:paraId="0D66F1E9" w14:textId="1E7BE03E" w:rsidR="0094469E" w:rsidRPr="0094469E" w:rsidRDefault="0094469E" w:rsidP="0094469E">
      <w:pPr>
        <w:pStyle w:val="EndNoteBibliography"/>
        <w:spacing w:line="360" w:lineRule="auto"/>
        <w:rPr>
          <w:rFonts w:ascii="Times New Roman" w:hAnsi="Times New Roman" w:cs="Times New Roman"/>
          <w:sz w:val="24"/>
          <w:szCs w:val="24"/>
        </w:rPr>
      </w:pPr>
      <w:bookmarkStart w:id="914" w:name="_ENREF_407"/>
      <w:r w:rsidRPr="0094469E">
        <w:rPr>
          <w:rFonts w:ascii="Times New Roman" w:hAnsi="Times New Roman" w:cs="Times New Roman"/>
          <w:sz w:val="24"/>
          <w:szCs w:val="24"/>
        </w:rPr>
        <w:t xml:space="preserve">Trigwell, K., and Prosser, M. (1996). Changing approaches to teaching: A relational perspective. </w:t>
      </w:r>
      <w:r w:rsidR="00C71126">
        <w:rPr>
          <w:rFonts w:ascii="Times New Roman" w:hAnsi="Times New Roman" w:cs="Times New Roman"/>
          <w:i/>
          <w:sz w:val="24"/>
          <w:szCs w:val="24"/>
        </w:rPr>
        <w:t>Studies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21</w:t>
      </w:r>
      <w:r w:rsidRPr="0094469E">
        <w:rPr>
          <w:rFonts w:ascii="Times New Roman" w:hAnsi="Times New Roman" w:cs="Times New Roman"/>
          <w:sz w:val="24"/>
          <w:szCs w:val="24"/>
        </w:rPr>
        <w:t>(3), 275-284.</w:t>
      </w:r>
      <w:bookmarkEnd w:id="914"/>
    </w:p>
    <w:p w14:paraId="501FE27E" w14:textId="11565FCD" w:rsidR="0094469E" w:rsidRPr="0094469E" w:rsidRDefault="0094469E" w:rsidP="0094469E">
      <w:pPr>
        <w:pStyle w:val="EndNoteBibliography"/>
        <w:spacing w:line="360" w:lineRule="auto"/>
        <w:rPr>
          <w:rFonts w:ascii="Times New Roman" w:hAnsi="Times New Roman" w:cs="Times New Roman"/>
          <w:sz w:val="24"/>
          <w:szCs w:val="24"/>
        </w:rPr>
      </w:pPr>
      <w:bookmarkStart w:id="915" w:name="_ENREF_408"/>
      <w:r w:rsidRPr="0094469E">
        <w:rPr>
          <w:rFonts w:ascii="Times New Roman" w:hAnsi="Times New Roman" w:cs="Times New Roman"/>
          <w:sz w:val="24"/>
          <w:szCs w:val="24"/>
        </w:rPr>
        <w:t xml:space="preserve">Trigwell, K., Prosser, M., and Waterhouse, F. (1999). Relations between teachers' approaches to teaching and students' approaches to learning. </w:t>
      </w:r>
      <w:r w:rsidRPr="0094469E">
        <w:rPr>
          <w:rFonts w:ascii="Times New Roman" w:hAnsi="Times New Roman" w:cs="Times New Roman"/>
          <w:i/>
          <w:sz w:val="24"/>
          <w:szCs w:val="24"/>
        </w:rPr>
        <w:t xml:space="preserve">Higher </w:t>
      </w:r>
      <w:r w:rsidR="00521DE8">
        <w:rPr>
          <w:rFonts w:ascii="Times New Roman" w:hAnsi="Times New Roman" w:cs="Times New Roman"/>
          <w:i/>
          <w:sz w:val="24"/>
          <w:szCs w:val="24"/>
        </w:rPr>
        <w:t>e</w:t>
      </w:r>
      <w:r w:rsidR="00521DE8" w:rsidRPr="0094469E">
        <w:rPr>
          <w:rFonts w:ascii="Times New Roman" w:hAnsi="Times New Roman" w:cs="Times New Roman"/>
          <w:i/>
          <w:sz w:val="24"/>
          <w:szCs w:val="24"/>
        </w:rPr>
        <w:t>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37</w:t>
      </w:r>
      <w:r w:rsidRPr="0094469E">
        <w:rPr>
          <w:rFonts w:ascii="Times New Roman" w:hAnsi="Times New Roman" w:cs="Times New Roman"/>
          <w:sz w:val="24"/>
          <w:szCs w:val="24"/>
        </w:rPr>
        <w:t>(1), 57-70.</w:t>
      </w:r>
      <w:bookmarkEnd w:id="915"/>
    </w:p>
    <w:p w14:paraId="3EA2BEF0" w14:textId="39A5F492" w:rsidR="0094469E" w:rsidRPr="0094469E" w:rsidRDefault="0094469E" w:rsidP="0094469E">
      <w:pPr>
        <w:pStyle w:val="EndNoteBibliography"/>
        <w:spacing w:line="360" w:lineRule="auto"/>
        <w:rPr>
          <w:rFonts w:ascii="Times New Roman" w:hAnsi="Times New Roman" w:cs="Times New Roman"/>
          <w:sz w:val="24"/>
          <w:szCs w:val="24"/>
        </w:rPr>
      </w:pPr>
      <w:bookmarkStart w:id="916" w:name="_ENREF_409"/>
      <w:r w:rsidRPr="0094469E">
        <w:rPr>
          <w:rFonts w:ascii="Times New Roman" w:hAnsi="Times New Roman" w:cs="Times New Roman"/>
          <w:sz w:val="24"/>
          <w:szCs w:val="24"/>
        </w:rPr>
        <w:t xml:space="preserve">Tuckman, B. W., and Jensen, M. A. C. (1977). Stages of small-group development revisited. </w:t>
      </w:r>
      <w:r w:rsidRPr="0094469E">
        <w:rPr>
          <w:rFonts w:ascii="Times New Roman" w:hAnsi="Times New Roman" w:cs="Times New Roman"/>
          <w:i/>
          <w:sz w:val="24"/>
          <w:szCs w:val="24"/>
        </w:rPr>
        <w:t xml:space="preserve">Group </w:t>
      </w:r>
      <w:r w:rsidR="00521DE8">
        <w:rPr>
          <w:rFonts w:ascii="Times New Roman" w:hAnsi="Times New Roman" w:cs="Times New Roman"/>
          <w:i/>
          <w:sz w:val="24"/>
          <w:szCs w:val="24"/>
        </w:rPr>
        <w:t>and</w:t>
      </w:r>
      <w:r w:rsidR="00521DE8" w:rsidRPr="0094469E">
        <w:rPr>
          <w:rFonts w:ascii="Times New Roman" w:hAnsi="Times New Roman" w:cs="Times New Roman"/>
          <w:i/>
          <w:sz w:val="24"/>
          <w:szCs w:val="24"/>
        </w:rPr>
        <w:t xml:space="preserve"> organization studies</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2</w:t>
      </w:r>
      <w:r w:rsidRPr="0094469E">
        <w:rPr>
          <w:rFonts w:ascii="Times New Roman" w:hAnsi="Times New Roman" w:cs="Times New Roman"/>
          <w:sz w:val="24"/>
          <w:szCs w:val="24"/>
        </w:rPr>
        <w:t>(4), 419-427.</w:t>
      </w:r>
      <w:bookmarkEnd w:id="916"/>
    </w:p>
    <w:p w14:paraId="01A96E27" w14:textId="771DBE15" w:rsidR="0094469E" w:rsidRPr="0094469E" w:rsidRDefault="0094469E" w:rsidP="0094469E">
      <w:pPr>
        <w:pStyle w:val="EndNoteBibliography"/>
        <w:spacing w:line="360" w:lineRule="auto"/>
        <w:rPr>
          <w:rFonts w:ascii="Times New Roman" w:hAnsi="Times New Roman" w:cs="Times New Roman"/>
          <w:sz w:val="24"/>
          <w:szCs w:val="24"/>
        </w:rPr>
      </w:pPr>
      <w:bookmarkStart w:id="917" w:name="_ENREF_410"/>
      <w:r w:rsidRPr="0094469E">
        <w:rPr>
          <w:rFonts w:ascii="Times New Roman" w:hAnsi="Times New Roman" w:cs="Times New Roman"/>
          <w:sz w:val="24"/>
          <w:szCs w:val="24"/>
        </w:rPr>
        <w:t xml:space="preserve">Turan, S., Valcke, M., Aper, L., Koole, S., and Derese, A. (2013). Studying self-efficacy beliefs in medical education. </w:t>
      </w:r>
      <w:r w:rsidRPr="0094469E">
        <w:rPr>
          <w:rFonts w:ascii="Times New Roman" w:hAnsi="Times New Roman" w:cs="Times New Roman"/>
          <w:i/>
          <w:sz w:val="24"/>
          <w:szCs w:val="24"/>
        </w:rPr>
        <w:t>Procedi</w:t>
      </w:r>
      <w:r w:rsidR="00521DE8" w:rsidRPr="0094469E">
        <w:rPr>
          <w:rFonts w:ascii="Times New Roman" w:hAnsi="Times New Roman" w:cs="Times New Roman"/>
          <w:i/>
          <w:sz w:val="24"/>
          <w:szCs w:val="24"/>
        </w:rPr>
        <w:t>a-social and behavioral sci</w:t>
      </w:r>
      <w:r w:rsidRPr="0094469E">
        <w:rPr>
          <w:rFonts w:ascii="Times New Roman" w:hAnsi="Times New Roman" w:cs="Times New Roman"/>
          <w:i/>
          <w:sz w:val="24"/>
          <w:szCs w:val="24"/>
        </w:rPr>
        <w:t xml:space="preserve">ences, </w:t>
      </w:r>
      <w:r w:rsidRPr="0094469E">
        <w:rPr>
          <w:rFonts w:ascii="Times New Roman" w:hAnsi="Times New Roman" w:cs="Times New Roman"/>
          <w:b/>
          <w:sz w:val="24"/>
          <w:szCs w:val="24"/>
        </w:rPr>
        <w:t>93</w:t>
      </w:r>
      <w:r w:rsidRPr="0094469E">
        <w:rPr>
          <w:rFonts w:ascii="Times New Roman" w:hAnsi="Times New Roman" w:cs="Times New Roman"/>
          <w:sz w:val="24"/>
          <w:szCs w:val="24"/>
        </w:rPr>
        <w:t>, 1311-1314.</w:t>
      </w:r>
      <w:bookmarkEnd w:id="917"/>
    </w:p>
    <w:p w14:paraId="28C047BD" w14:textId="2EA44840" w:rsidR="0094469E" w:rsidRPr="0094469E" w:rsidRDefault="0094469E" w:rsidP="0094469E">
      <w:pPr>
        <w:pStyle w:val="EndNoteBibliography"/>
        <w:spacing w:line="360" w:lineRule="auto"/>
        <w:rPr>
          <w:rFonts w:ascii="Times New Roman" w:hAnsi="Times New Roman" w:cs="Times New Roman"/>
          <w:sz w:val="24"/>
          <w:szCs w:val="24"/>
        </w:rPr>
      </w:pPr>
      <w:bookmarkStart w:id="918" w:name="_ENREF_411"/>
      <w:r w:rsidRPr="0094469E">
        <w:rPr>
          <w:rFonts w:ascii="Times New Roman" w:hAnsi="Times New Roman" w:cs="Times New Roman"/>
          <w:sz w:val="24"/>
          <w:szCs w:val="24"/>
        </w:rPr>
        <w:t xml:space="preserve">Tuysuzoglu, B. B., and Greene, J. A. (2015). An investigation of the role of contingent metacognitive behavior in self-regulated learning. </w:t>
      </w:r>
      <w:r w:rsidR="00C71126">
        <w:rPr>
          <w:rFonts w:ascii="Times New Roman" w:hAnsi="Times New Roman" w:cs="Times New Roman"/>
          <w:i/>
          <w:sz w:val="24"/>
          <w:szCs w:val="24"/>
        </w:rPr>
        <w:t>Metacognition and learning</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10</w:t>
      </w:r>
      <w:r w:rsidRPr="0094469E">
        <w:rPr>
          <w:rFonts w:ascii="Times New Roman" w:hAnsi="Times New Roman" w:cs="Times New Roman"/>
          <w:sz w:val="24"/>
          <w:szCs w:val="24"/>
        </w:rPr>
        <w:t>(1), 77-98.</w:t>
      </w:r>
      <w:bookmarkEnd w:id="918"/>
    </w:p>
    <w:p w14:paraId="00FA26F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19" w:name="_ENREF_412"/>
      <w:r w:rsidRPr="0094469E">
        <w:rPr>
          <w:rFonts w:ascii="Times New Roman" w:hAnsi="Times New Roman" w:cs="Times New Roman"/>
          <w:sz w:val="24"/>
          <w:szCs w:val="24"/>
        </w:rPr>
        <w:t xml:space="preserve">Twenge, J. M. (2009). Generational changes and their impact in the classroom: teaching Generation Me.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43</w:t>
      </w:r>
      <w:r w:rsidRPr="0094469E">
        <w:rPr>
          <w:rFonts w:ascii="Times New Roman" w:hAnsi="Times New Roman" w:cs="Times New Roman"/>
          <w:sz w:val="24"/>
          <w:szCs w:val="24"/>
        </w:rPr>
        <w:t>(5), 398-405.</w:t>
      </w:r>
      <w:bookmarkEnd w:id="919"/>
    </w:p>
    <w:p w14:paraId="7118C502" w14:textId="747C6077" w:rsidR="0094469E" w:rsidRPr="0094469E" w:rsidRDefault="0094469E" w:rsidP="0094469E">
      <w:pPr>
        <w:pStyle w:val="EndNoteBibliography"/>
        <w:spacing w:line="360" w:lineRule="auto"/>
        <w:rPr>
          <w:rFonts w:ascii="Times New Roman" w:hAnsi="Times New Roman" w:cs="Times New Roman"/>
          <w:sz w:val="24"/>
          <w:szCs w:val="24"/>
        </w:rPr>
      </w:pPr>
      <w:bookmarkStart w:id="920" w:name="_ENREF_413"/>
      <w:r w:rsidRPr="0094469E">
        <w:rPr>
          <w:rFonts w:ascii="Times New Roman" w:hAnsi="Times New Roman" w:cs="Times New Roman"/>
          <w:sz w:val="24"/>
          <w:szCs w:val="24"/>
        </w:rPr>
        <w:t xml:space="preserve">Umberson, D. (1995). Marriage as support or strain? Marital quality following the death of a parent. </w:t>
      </w:r>
      <w:r w:rsidRPr="0094469E">
        <w:rPr>
          <w:rFonts w:ascii="Times New Roman" w:hAnsi="Times New Roman" w:cs="Times New Roman"/>
          <w:i/>
          <w:sz w:val="24"/>
          <w:szCs w:val="24"/>
        </w:rPr>
        <w:t>Journal o</w:t>
      </w:r>
      <w:r w:rsidR="00521DE8" w:rsidRPr="0094469E">
        <w:rPr>
          <w:rFonts w:ascii="Times New Roman" w:hAnsi="Times New Roman" w:cs="Times New Roman"/>
          <w:i/>
          <w:sz w:val="24"/>
          <w:szCs w:val="24"/>
        </w:rPr>
        <w:t>f marriage and the family</w:t>
      </w:r>
      <w:r w:rsidR="00521DE8" w:rsidRPr="0094469E">
        <w:rPr>
          <w:rFonts w:ascii="Times New Roman" w:hAnsi="Times New Roman" w:cs="Times New Roman"/>
          <w:sz w:val="24"/>
          <w:szCs w:val="24"/>
        </w:rPr>
        <w:t xml:space="preserve">, </w:t>
      </w:r>
      <w:r w:rsidRPr="0094469E">
        <w:rPr>
          <w:rFonts w:ascii="Times New Roman" w:hAnsi="Times New Roman" w:cs="Times New Roman"/>
          <w:sz w:val="24"/>
          <w:szCs w:val="24"/>
        </w:rPr>
        <w:t>709-723.</w:t>
      </w:r>
      <w:bookmarkEnd w:id="920"/>
    </w:p>
    <w:p w14:paraId="78A83B4F" w14:textId="6F749677" w:rsidR="0094469E" w:rsidRPr="0094469E" w:rsidRDefault="0094469E" w:rsidP="0094469E">
      <w:pPr>
        <w:pStyle w:val="EndNoteBibliography"/>
        <w:spacing w:line="360" w:lineRule="auto"/>
        <w:rPr>
          <w:rFonts w:ascii="Times New Roman" w:hAnsi="Times New Roman" w:cs="Times New Roman"/>
          <w:sz w:val="24"/>
          <w:szCs w:val="24"/>
        </w:rPr>
      </w:pPr>
      <w:bookmarkStart w:id="921" w:name="_ENREF_414"/>
      <w:r w:rsidRPr="0094469E">
        <w:rPr>
          <w:rFonts w:ascii="Times New Roman" w:hAnsi="Times New Roman" w:cs="Times New Roman"/>
          <w:sz w:val="24"/>
          <w:szCs w:val="24"/>
        </w:rPr>
        <w:t xml:space="preserve">Urquhart, L., Ker, J., and Rees, C. (2017). Exploring the influence of context on feedback at medical school: a video-ethnography study. </w:t>
      </w:r>
      <w:r w:rsidR="00BD42AF">
        <w:rPr>
          <w:rFonts w:ascii="Times New Roman" w:hAnsi="Times New Roman" w:cs="Times New Roman"/>
          <w:i/>
          <w:sz w:val="24"/>
          <w:szCs w:val="24"/>
        </w:rPr>
        <w:t>Advances in health sciences education</w:t>
      </w:r>
      <w:r w:rsidRPr="0094469E">
        <w:rPr>
          <w:rFonts w:ascii="Times New Roman" w:hAnsi="Times New Roman" w:cs="Times New Roman"/>
          <w:sz w:val="24"/>
          <w:szCs w:val="24"/>
        </w:rPr>
        <w:t>, 1-28.</w:t>
      </w:r>
      <w:bookmarkEnd w:id="921"/>
    </w:p>
    <w:p w14:paraId="464C721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2" w:name="_ENREF_415"/>
      <w:r w:rsidRPr="0094469E">
        <w:rPr>
          <w:rFonts w:ascii="Times New Roman" w:hAnsi="Times New Roman" w:cs="Times New Roman"/>
          <w:sz w:val="24"/>
          <w:szCs w:val="24"/>
        </w:rPr>
        <w:lastRenderedPageBreak/>
        <w:t xml:space="preserve">Van de Ridder, J. M. M., Berk, F. C. J., Stokking, K. M., and Ten Cate, O. T. J. (2014). Feedback providers' credibility impacts students' satisfaction with feedback and delayed performance. </w:t>
      </w:r>
      <w:r w:rsidRPr="0094469E">
        <w:rPr>
          <w:rFonts w:ascii="Times New Roman" w:hAnsi="Times New Roman" w:cs="Times New Roman"/>
          <w:i/>
          <w:sz w:val="24"/>
          <w:szCs w:val="24"/>
        </w:rPr>
        <w:t xml:space="preserve">Medical teacher, </w:t>
      </w:r>
      <w:r w:rsidRPr="0094469E">
        <w:rPr>
          <w:rFonts w:ascii="Times New Roman" w:hAnsi="Times New Roman" w:cs="Times New Roman"/>
          <w:b/>
          <w:sz w:val="24"/>
          <w:szCs w:val="24"/>
        </w:rPr>
        <w:t>37</w:t>
      </w:r>
      <w:r w:rsidRPr="0094469E">
        <w:rPr>
          <w:rFonts w:ascii="Times New Roman" w:hAnsi="Times New Roman" w:cs="Times New Roman"/>
          <w:sz w:val="24"/>
          <w:szCs w:val="24"/>
        </w:rPr>
        <w:t>(8), 1-8.</w:t>
      </w:r>
      <w:bookmarkEnd w:id="922"/>
    </w:p>
    <w:p w14:paraId="55B29E2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3" w:name="_ENREF_416"/>
      <w:r w:rsidRPr="0094469E">
        <w:rPr>
          <w:rFonts w:ascii="Times New Roman" w:hAnsi="Times New Roman" w:cs="Times New Roman"/>
          <w:sz w:val="24"/>
          <w:szCs w:val="24"/>
        </w:rPr>
        <w:t>Van de Ridder, J. M. M., McGaghie, W. C., Stokking, K. M., and Ten Cate, O. T. J. (2015). Variables that affect the process and outcome of feedback, relevant for medical training: a meta</w:t>
      </w:r>
      <w:r w:rsidRPr="0094469E">
        <w:rPr>
          <w:rFonts w:ascii="Cambria Math" w:hAnsi="Cambria Math" w:cs="Cambria Math"/>
          <w:sz w:val="24"/>
          <w:szCs w:val="24"/>
        </w:rPr>
        <w:t>‐</w:t>
      </w:r>
      <w:r w:rsidRPr="0094469E">
        <w:rPr>
          <w:rFonts w:ascii="Times New Roman" w:hAnsi="Times New Roman" w:cs="Times New Roman"/>
          <w:sz w:val="24"/>
          <w:szCs w:val="24"/>
        </w:rPr>
        <w:t xml:space="preserve">review.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49</w:t>
      </w:r>
      <w:r w:rsidRPr="0094469E">
        <w:rPr>
          <w:rFonts w:ascii="Times New Roman" w:hAnsi="Times New Roman" w:cs="Times New Roman"/>
          <w:sz w:val="24"/>
          <w:szCs w:val="24"/>
        </w:rPr>
        <w:t>(7), 658-673.</w:t>
      </w:r>
      <w:bookmarkEnd w:id="923"/>
    </w:p>
    <w:p w14:paraId="7B7E87C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4" w:name="_ENREF_417"/>
      <w:r w:rsidRPr="0094469E">
        <w:rPr>
          <w:rFonts w:ascii="Times New Roman" w:hAnsi="Times New Roman" w:cs="Times New Roman"/>
          <w:sz w:val="24"/>
          <w:szCs w:val="24"/>
        </w:rPr>
        <w:t xml:space="preserve">Van de Ridder, J. M. M., Stokking, K. M., McGaghie, W. C., and Ten Cate, O. T. J. (2008). What is feedback in clinical education?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42</w:t>
      </w:r>
      <w:r w:rsidRPr="0094469E">
        <w:rPr>
          <w:rFonts w:ascii="Times New Roman" w:hAnsi="Times New Roman" w:cs="Times New Roman"/>
          <w:sz w:val="24"/>
          <w:szCs w:val="24"/>
        </w:rPr>
        <w:t>(2), 189-197.</w:t>
      </w:r>
      <w:bookmarkEnd w:id="924"/>
    </w:p>
    <w:p w14:paraId="3DB0B026" w14:textId="6D90C1DF" w:rsidR="0094469E" w:rsidRPr="0094469E" w:rsidRDefault="0094469E" w:rsidP="0094469E">
      <w:pPr>
        <w:pStyle w:val="EndNoteBibliography"/>
        <w:spacing w:line="360" w:lineRule="auto"/>
        <w:rPr>
          <w:rFonts w:ascii="Times New Roman" w:hAnsi="Times New Roman" w:cs="Times New Roman"/>
          <w:sz w:val="24"/>
          <w:szCs w:val="24"/>
        </w:rPr>
      </w:pPr>
      <w:bookmarkStart w:id="925" w:name="_ENREF_418"/>
      <w:r w:rsidRPr="0094469E">
        <w:rPr>
          <w:rFonts w:ascii="Times New Roman" w:hAnsi="Times New Roman" w:cs="Times New Roman"/>
          <w:sz w:val="24"/>
          <w:szCs w:val="24"/>
        </w:rPr>
        <w:t xml:space="preserve">Van den Boom, G., Paas, F., Van Merrienboer, J. J. G., and Van Gog, T. (2004). Reflection prompts and tutor feedback in a web-based learning environment: Effects on students' self-regulated learning competence. </w:t>
      </w:r>
      <w:r w:rsidRPr="0094469E">
        <w:rPr>
          <w:rFonts w:ascii="Times New Roman" w:hAnsi="Times New Roman" w:cs="Times New Roman"/>
          <w:i/>
          <w:sz w:val="24"/>
          <w:szCs w:val="24"/>
        </w:rPr>
        <w:t xml:space="preserve">Computers </w:t>
      </w:r>
      <w:r w:rsidR="00521DE8" w:rsidRPr="0094469E">
        <w:rPr>
          <w:rFonts w:ascii="Times New Roman" w:hAnsi="Times New Roman" w:cs="Times New Roman"/>
          <w:i/>
          <w:sz w:val="24"/>
          <w:szCs w:val="24"/>
        </w:rPr>
        <w:t>in human beh</w:t>
      </w:r>
      <w:r w:rsidRPr="0094469E">
        <w:rPr>
          <w:rFonts w:ascii="Times New Roman" w:hAnsi="Times New Roman" w:cs="Times New Roman"/>
          <w:i/>
          <w:sz w:val="24"/>
          <w:szCs w:val="24"/>
        </w:rPr>
        <w:t xml:space="preserve">avior, </w:t>
      </w:r>
      <w:r w:rsidRPr="0094469E">
        <w:rPr>
          <w:rFonts w:ascii="Times New Roman" w:hAnsi="Times New Roman" w:cs="Times New Roman"/>
          <w:b/>
          <w:sz w:val="24"/>
          <w:szCs w:val="24"/>
        </w:rPr>
        <w:t>20</w:t>
      </w:r>
      <w:r w:rsidRPr="0094469E">
        <w:rPr>
          <w:rFonts w:ascii="Times New Roman" w:hAnsi="Times New Roman" w:cs="Times New Roman"/>
          <w:sz w:val="24"/>
          <w:szCs w:val="24"/>
        </w:rPr>
        <w:t>(4), 551-567.</w:t>
      </w:r>
      <w:bookmarkEnd w:id="925"/>
    </w:p>
    <w:p w14:paraId="090DE6BF" w14:textId="3EBCC88F" w:rsidR="0094469E" w:rsidRPr="0094469E" w:rsidRDefault="0094469E" w:rsidP="0094469E">
      <w:pPr>
        <w:pStyle w:val="EndNoteBibliography"/>
        <w:spacing w:line="360" w:lineRule="auto"/>
        <w:rPr>
          <w:rFonts w:ascii="Times New Roman" w:hAnsi="Times New Roman" w:cs="Times New Roman"/>
          <w:sz w:val="24"/>
          <w:szCs w:val="24"/>
        </w:rPr>
      </w:pPr>
      <w:bookmarkStart w:id="926" w:name="_ENREF_419"/>
      <w:r w:rsidRPr="0094469E">
        <w:rPr>
          <w:rFonts w:ascii="Times New Roman" w:hAnsi="Times New Roman" w:cs="Times New Roman"/>
          <w:sz w:val="24"/>
          <w:szCs w:val="24"/>
        </w:rPr>
        <w:t xml:space="preserve">van Gennip, N. A., Segers, M. S., and Tillema, H. H. (2009). Peer assessment for learning from a social perspective: The influence of interpersonal variables and structural features. </w:t>
      </w:r>
      <w:r w:rsidRPr="0094469E">
        <w:rPr>
          <w:rFonts w:ascii="Times New Roman" w:hAnsi="Times New Roman" w:cs="Times New Roman"/>
          <w:i/>
          <w:sz w:val="24"/>
          <w:szCs w:val="24"/>
        </w:rPr>
        <w:t>Education</w:t>
      </w:r>
      <w:r w:rsidR="00521DE8" w:rsidRPr="0094469E">
        <w:rPr>
          <w:rFonts w:ascii="Times New Roman" w:hAnsi="Times New Roman" w:cs="Times New Roman"/>
          <w:i/>
          <w:sz w:val="24"/>
          <w:szCs w:val="24"/>
        </w:rPr>
        <w:t>al research revi</w:t>
      </w:r>
      <w:r w:rsidRPr="0094469E">
        <w:rPr>
          <w:rFonts w:ascii="Times New Roman" w:hAnsi="Times New Roman" w:cs="Times New Roman"/>
          <w:i/>
          <w:sz w:val="24"/>
          <w:szCs w:val="24"/>
        </w:rPr>
        <w:t xml:space="preserve">ew, </w:t>
      </w:r>
      <w:r w:rsidRPr="0094469E">
        <w:rPr>
          <w:rFonts w:ascii="Times New Roman" w:hAnsi="Times New Roman" w:cs="Times New Roman"/>
          <w:b/>
          <w:sz w:val="24"/>
          <w:szCs w:val="24"/>
        </w:rPr>
        <w:t>4</w:t>
      </w:r>
      <w:r w:rsidRPr="0094469E">
        <w:rPr>
          <w:rFonts w:ascii="Times New Roman" w:hAnsi="Times New Roman" w:cs="Times New Roman"/>
          <w:sz w:val="24"/>
          <w:szCs w:val="24"/>
        </w:rPr>
        <w:t>(1), 41-54.</w:t>
      </w:r>
      <w:bookmarkEnd w:id="926"/>
    </w:p>
    <w:p w14:paraId="4862A3F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7" w:name="_ENREF_420"/>
      <w:r w:rsidRPr="0094469E">
        <w:rPr>
          <w:rFonts w:ascii="Times New Roman" w:hAnsi="Times New Roman" w:cs="Times New Roman"/>
          <w:sz w:val="24"/>
          <w:szCs w:val="24"/>
        </w:rPr>
        <w:t xml:space="preserve">Varpio, L., Ajjawi, R., Monrouxe, L. V., O'brien, B. C., and Rees, C. E. (2017). Shedding the cobra effect: problematising thematic emergence, triangulation, saturation and member checking.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51</w:t>
      </w:r>
      <w:r w:rsidRPr="0094469E">
        <w:rPr>
          <w:rFonts w:ascii="Times New Roman" w:hAnsi="Times New Roman" w:cs="Times New Roman"/>
          <w:sz w:val="24"/>
          <w:szCs w:val="24"/>
        </w:rPr>
        <w:t>(1), 40-50.</w:t>
      </w:r>
      <w:bookmarkEnd w:id="927"/>
    </w:p>
    <w:p w14:paraId="50F83CF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8" w:name="_ENREF_421"/>
      <w:r w:rsidRPr="0094469E">
        <w:rPr>
          <w:rFonts w:ascii="Times New Roman" w:hAnsi="Times New Roman" w:cs="Times New Roman"/>
          <w:sz w:val="24"/>
          <w:szCs w:val="24"/>
        </w:rPr>
        <w:t xml:space="preserve">Vermeer, H. J., Boekaerts, M., and Seegers, G. (2000). Motivational and gender differences: Sixth-grade students' mathematical problem-solving behavior.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92</w:t>
      </w:r>
      <w:r w:rsidRPr="0094469E">
        <w:rPr>
          <w:rFonts w:ascii="Times New Roman" w:hAnsi="Times New Roman" w:cs="Times New Roman"/>
          <w:sz w:val="24"/>
          <w:szCs w:val="24"/>
        </w:rPr>
        <w:t>(2), 308.</w:t>
      </w:r>
      <w:bookmarkEnd w:id="928"/>
    </w:p>
    <w:p w14:paraId="23DE788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29" w:name="_ENREF_422"/>
      <w:r w:rsidRPr="0094469E">
        <w:rPr>
          <w:rFonts w:ascii="Times New Roman" w:hAnsi="Times New Roman" w:cs="Times New Roman"/>
          <w:sz w:val="24"/>
          <w:szCs w:val="24"/>
        </w:rPr>
        <w:t xml:space="preserve">Vohs, K. D., and Baumeister, R. F. (2011). </w:t>
      </w:r>
      <w:r w:rsidRPr="0094469E">
        <w:rPr>
          <w:rFonts w:ascii="Times New Roman" w:hAnsi="Times New Roman" w:cs="Times New Roman"/>
          <w:i/>
          <w:sz w:val="24"/>
          <w:szCs w:val="24"/>
        </w:rPr>
        <w:t>Handbook of self-regulation: Research, theory, and applications</w:t>
      </w:r>
      <w:r w:rsidRPr="0094469E">
        <w:rPr>
          <w:rFonts w:ascii="Times New Roman" w:hAnsi="Times New Roman" w:cs="Times New Roman"/>
          <w:sz w:val="24"/>
          <w:szCs w:val="24"/>
        </w:rPr>
        <w:t>: Guilford Press.</w:t>
      </w:r>
      <w:bookmarkEnd w:id="929"/>
    </w:p>
    <w:p w14:paraId="4AE02048" w14:textId="66BD3D8D" w:rsidR="0094469E" w:rsidRPr="0094469E" w:rsidRDefault="0094469E" w:rsidP="0094469E">
      <w:pPr>
        <w:pStyle w:val="EndNoteBibliography"/>
        <w:spacing w:line="360" w:lineRule="auto"/>
        <w:rPr>
          <w:rFonts w:ascii="Times New Roman" w:hAnsi="Times New Roman" w:cs="Times New Roman"/>
          <w:sz w:val="24"/>
          <w:szCs w:val="24"/>
        </w:rPr>
      </w:pPr>
      <w:bookmarkStart w:id="930" w:name="_ENREF_423"/>
      <w:r w:rsidRPr="0094469E">
        <w:rPr>
          <w:rFonts w:ascii="Times New Roman" w:hAnsi="Times New Roman" w:cs="Times New Roman"/>
          <w:sz w:val="24"/>
          <w:szCs w:val="24"/>
        </w:rPr>
        <w:t xml:space="preserve">Ward, M., Gruppen, L., and Regehr, G. (2002). Measuring self-assessment: current state of the art.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w:t>
      </w:r>
      <w:r w:rsidRPr="0094469E">
        <w:rPr>
          <w:rFonts w:ascii="Times New Roman" w:hAnsi="Times New Roman" w:cs="Times New Roman"/>
          <w:sz w:val="24"/>
          <w:szCs w:val="24"/>
        </w:rPr>
        <w:t>(1), 63-80.</w:t>
      </w:r>
      <w:bookmarkEnd w:id="930"/>
    </w:p>
    <w:p w14:paraId="74FCD164" w14:textId="662C9403" w:rsidR="0094469E" w:rsidRPr="0094469E" w:rsidRDefault="0094469E" w:rsidP="0094469E">
      <w:pPr>
        <w:pStyle w:val="EndNoteBibliography"/>
        <w:spacing w:line="360" w:lineRule="auto"/>
        <w:rPr>
          <w:rFonts w:ascii="Times New Roman" w:hAnsi="Times New Roman" w:cs="Times New Roman"/>
          <w:sz w:val="24"/>
          <w:szCs w:val="24"/>
        </w:rPr>
      </w:pPr>
      <w:bookmarkStart w:id="931" w:name="_ENREF_424"/>
      <w:r w:rsidRPr="0094469E">
        <w:rPr>
          <w:rFonts w:ascii="Times New Roman" w:hAnsi="Times New Roman" w:cs="Times New Roman"/>
          <w:sz w:val="24"/>
          <w:szCs w:val="24"/>
        </w:rPr>
        <w:t xml:space="preserve">Watling, C. (2014). Cognition, culture, and credibility: deconstructing feedback in medical education. </w:t>
      </w:r>
      <w:r w:rsidRPr="0094469E">
        <w:rPr>
          <w:rFonts w:ascii="Times New Roman" w:hAnsi="Times New Roman" w:cs="Times New Roman"/>
          <w:i/>
          <w:sz w:val="24"/>
          <w:szCs w:val="24"/>
        </w:rPr>
        <w:t>Perspective</w:t>
      </w:r>
      <w:r w:rsidR="00521DE8" w:rsidRPr="0094469E">
        <w:rPr>
          <w:rFonts w:ascii="Times New Roman" w:hAnsi="Times New Roman" w:cs="Times New Roman"/>
          <w:i/>
          <w:sz w:val="24"/>
          <w:szCs w:val="24"/>
        </w:rPr>
        <w:t>s on medical educati</w:t>
      </w:r>
      <w:r w:rsidRPr="0094469E">
        <w:rPr>
          <w:rFonts w:ascii="Times New Roman" w:hAnsi="Times New Roman" w:cs="Times New Roman"/>
          <w:i/>
          <w:sz w:val="24"/>
          <w:szCs w:val="24"/>
        </w:rPr>
        <w:t xml:space="preserve">on, </w:t>
      </w:r>
      <w:r w:rsidRPr="0094469E">
        <w:rPr>
          <w:rFonts w:ascii="Times New Roman" w:hAnsi="Times New Roman" w:cs="Times New Roman"/>
          <w:b/>
          <w:sz w:val="24"/>
          <w:szCs w:val="24"/>
        </w:rPr>
        <w:t>3</w:t>
      </w:r>
      <w:r w:rsidRPr="0094469E">
        <w:rPr>
          <w:rFonts w:ascii="Times New Roman" w:hAnsi="Times New Roman" w:cs="Times New Roman"/>
          <w:sz w:val="24"/>
          <w:szCs w:val="24"/>
        </w:rPr>
        <w:t>(2), 124-128.</w:t>
      </w:r>
      <w:bookmarkEnd w:id="931"/>
    </w:p>
    <w:p w14:paraId="5D65DB2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32" w:name="_ENREF_425"/>
      <w:r w:rsidRPr="0094469E">
        <w:rPr>
          <w:rFonts w:ascii="Times New Roman" w:hAnsi="Times New Roman" w:cs="Times New Roman"/>
          <w:sz w:val="24"/>
          <w:szCs w:val="24"/>
        </w:rPr>
        <w:t xml:space="preserve">Watling, C., Driessen, E., van der Vleuten, C. P. M., and Lingard, L. (2012a). Learning from clinical work: the roles of learning cues and credibility judgements.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46</w:t>
      </w:r>
      <w:r w:rsidRPr="0094469E">
        <w:rPr>
          <w:rFonts w:ascii="Times New Roman" w:hAnsi="Times New Roman" w:cs="Times New Roman"/>
          <w:sz w:val="24"/>
          <w:szCs w:val="24"/>
        </w:rPr>
        <w:t>(2), 192-200.</w:t>
      </w:r>
      <w:bookmarkEnd w:id="932"/>
    </w:p>
    <w:p w14:paraId="6757910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33" w:name="_ENREF_426"/>
      <w:r w:rsidRPr="0094469E">
        <w:rPr>
          <w:rFonts w:ascii="Times New Roman" w:hAnsi="Times New Roman" w:cs="Times New Roman"/>
          <w:sz w:val="24"/>
          <w:szCs w:val="24"/>
        </w:rPr>
        <w:lastRenderedPageBreak/>
        <w:t xml:space="preserve">Watling, C., Driessen, E., van der Vleuten, C. P. M., Vanstone, M., and Lingard, L. (2012b). Understanding responses to feedback: the potential and limitations of regulatory focus theory.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46</w:t>
      </w:r>
      <w:r w:rsidRPr="0094469E">
        <w:rPr>
          <w:rFonts w:ascii="Times New Roman" w:hAnsi="Times New Roman" w:cs="Times New Roman"/>
          <w:sz w:val="24"/>
          <w:szCs w:val="24"/>
        </w:rPr>
        <w:t>(6), 593-603.</w:t>
      </w:r>
      <w:bookmarkEnd w:id="933"/>
    </w:p>
    <w:p w14:paraId="08424E2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34" w:name="_ENREF_427"/>
      <w:r w:rsidRPr="0094469E">
        <w:rPr>
          <w:rFonts w:ascii="Times New Roman" w:hAnsi="Times New Roman" w:cs="Times New Roman"/>
          <w:sz w:val="24"/>
          <w:szCs w:val="24"/>
        </w:rPr>
        <w:t xml:space="preserve">Watling, C., Driessen, E., Vleuten, C. P., and Lingard, L. (2014). Learning culture and feedback: an international study of medical athletes and musicians.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48</w:t>
      </w:r>
      <w:r w:rsidRPr="0094469E">
        <w:rPr>
          <w:rFonts w:ascii="Times New Roman" w:hAnsi="Times New Roman" w:cs="Times New Roman"/>
          <w:sz w:val="24"/>
          <w:szCs w:val="24"/>
        </w:rPr>
        <w:t>(7), 713-723.</w:t>
      </w:r>
      <w:bookmarkEnd w:id="934"/>
    </w:p>
    <w:p w14:paraId="4646ABC4" w14:textId="699719D2" w:rsidR="0094469E" w:rsidRPr="0094469E" w:rsidRDefault="0094469E" w:rsidP="0094469E">
      <w:pPr>
        <w:pStyle w:val="EndNoteBibliography"/>
        <w:spacing w:line="360" w:lineRule="auto"/>
        <w:rPr>
          <w:rFonts w:ascii="Times New Roman" w:hAnsi="Times New Roman" w:cs="Times New Roman"/>
          <w:sz w:val="24"/>
          <w:szCs w:val="24"/>
        </w:rPr>
      </w:pPr>
      <w:bookmarkStart w:id="935" w:name="_ENREF_428"/>
      <w:r w:rsidRPr="0094469E">
        <w:rPr>
          <w:rFonts w:ascii="Times New Roman" w:hAnsi="Times New Roman" w:cs="Times New Roman"/>
          <w:sz w:val="24"/>
          <w:szCs w:val="24"/>
        </w:rPr>
        <w:t xml:space="preserve">Watling, C. J., and Lingard, L. (2012). Toward meaningful evaluation of medical trainees: the influence of participants’ perceptions of the process.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17</w:t>
      </w:r>
      <w:r w:rsidRPr="0094469E">
        <w:rPr>
          <w:rFonts w:ascii="Times New Roman" w:hAnsi="Times New Roman" w:cs="Times New Roman"/>
          <w:sz w:val="24"/>
          <w:szCs w:val="24"/>
        </w:rPr>
        <w:t>(2), 183-194.</w:t>
      </w:r>
      <w:bookmarkEnd w:id="935"/>
    </w:p>
    <w:p w14:paraId="674640E2" w14:textId="78127ACD" w:rsidR="0094469E" w:rsidRPr="0094469E" w:rsidRDefault="0094469E" w:rsidP="0094469E">
      <w:pPr>
        <w:pStyle w:val="EndNoteBibliography"/>
        <w:spacing w:line="360" w:lineRule="auto"/>
        <w:rPr>
          <w:rFonts w:ascii="Times New Roman" w:hAnsi="Times New Roman" w:cs="Times New Roman"/>
          <w:sz w:val="24"/>
          <w:szCs w:val="24"/>
        </w:rPr>
      </w:pPr>
      <w:bookmarkStart w:id="936" w:name="_ENREF_429"/>
      <w:r w:rsidRPr="0094469E">
        <w:rPr>
          <w:rFonts w:ascii="Times New Roman" w:hAnsi="Times New Roman" w:cs="Times New Roman"/>
          <w:sz w:val="24"/>
          <w:szCs w:val="24"/>
        </w:rPr>
        <w:t xml:space="preserve">Way, N., Stauber, H. Y., Nakkula, M. J., and London, P. (1994). Depression and substance use in two divergent high school cultures: A quantitative and qualitative analysis. </w:t>
      </w:r>
      <w:r w:rsidRPr="0094469E">
        <w:rPr>
          <w:rFonts w:ascii="Times New Roman" w:hAnsi="Times New Roman" w:cs="Times New Roman"/>
          <w:i/>
          <w:sz w:val="24"/>
          <w:szCs w:val="24"/>
        </w:rPr>
        <w:t xml:space="preserve">Journal </w:t>
      </w:r>
      <w:r w:rsidR="00521DE8" w:rsidRPr="0094469E">
        <w:rPr>
          <w:rFonts w:ascii="Times New Roman" w:hAnsi="Times New Roman" w:cs="Times New Roman"/>
          <w:i/>
          <w:sz w:val="24"/>
          <w:szCs w:val="24"/>
        </w:rPr>
        <w:t>of youth and adoles</w:t>
      </w:r>
      <w:r w:rsidRPr="0094469E">
        <w:rPr>
          <w:rFonts w:ascii="Times New Roman" w:hAnsi="Times New Roman" w:cs="Times New Roman"/>
          <w:i/>
          <w:sz w:val="24"/>
          <w:szCs w:val="24"/>
        </w:rPr>
        <w:t xml:space="preserve">cence, </w:t>
      </w:r>
      <w:r w:rsidRPr="0094469E">
        <w:rPr>
          <w:rFonts w:ascii="Times New Roman" w:hAnsi="Times New Roman" w:cs="Times New Roman"/>
          <w:b/>
          <w:sz w:val="24"/>
          <w:szCs w:val="24"/>
        </w:rPr>
        <w:t>23</w:t>
      </w:r>
      <w:r w:rsidRPr="0094469E">
        <w:rPr>
          <w:rFonts w:ascii="Times New Roman" w:hAnsi="Times New Roman" w:cs="Times New Roman"/>
          <w:sz w:val="24"/>
          <w:szCs w:val="24"/>
        </w:rPr>
        <w:t>(3), 331-357.</w:t>
      </w:r>
      <w:bookmarkEnd w:id="936"/>
    </w:p>
    <w:p w14:paraId="64AD16EE" w14:textId="65967B7E" w:rsidR="0094469E" w:rsidRPr="0094469E" w:rsidRDefault="0094469E" w:rsidP="0094469E">
      <w:pPr>
        <w:pStyle w:val="EndNoteBibliography"/>
        <w:spacing w:line="360" w:lineRule="auto"/>
        <w:rPr>
          <w:rFonts w:ascii="Times New Roman" w:hAnsi="Times New Roman" w:cs="Times New Roman"/>
          <w:sz w:val="24"/>
          <w:szCs w:val="24"/>
        </w:rPr>
      </w:pPr>
      <w:bookmarkStart w:id="937" w:name="_ENREF_430"/>
      <w:r w:rsidRPr="0094469E">
        <w:rPr>
          <w:rFonts w:ascii="Times New Roman" w:hAnsi="Times New Roman" w:cs="Times New Roman"/>
          <w:sz w:val="24"/>
          <w:szCs w:val="24"/>
        </w:rPr>
        <w:t xml:space="preserve">Waysman, M., and Savaya, R. (1997). Mixed method evaluation: A case study. </w:t>
      </w:r>
      <w:r w:rsidRPr="0094469E">
        <w:rPr>
          <w:rFonts w:ascii="Times New Roman" w:hAnsi="Times New Roman" w:cs="Times New Roman"/>
          <w:i/>
          <w:sz w:val="24"/>
          <w:szCs w:val="24"/>
        </w:rPr>
        <w:t>Americ</w:t>
      </w:r>
      <w:r w:rsidR="00521DE8" w:rsidRPr="0094469E">
        <w:rPr>
          <w:rFonts w:ascii="Times New Roman" w:hAnsi="Times New Roman" w:cs="Times New Roman"/>
          <w:i/>
          <w:sz w:val="24"/>
          <w:szCs w:val="24"/>
        </w:rPr>
        <w:t>an journal of evalu</w:t>
      </w:r>
      <w:r w:rsidRPr="0094469E">
        <w:rPr>
          <w:rFonts w:ascii="Times New Roman" w:hAnsi="Times New Roman" w:cs="Times New Roman"/>
          <w:i/>
          <w:sz w:val="24"/>
          <w:szCs w:val="24"/>
        </w:rPr>
        <w:t xml:space="preserve">ation, </w:t>
      </w:r>
      <w:r w:rsidRPr="0094469E">
        <w:rPr>
          <w:rFonts w:ascii="Times New Roman" w:hAnsi="Times New Roman" w:cs="Times New Roman"/>
          <w:b/>
          <w:sz w:val="24"/>
          <w:szCs w:val="24"/>
        </w:rPr>
        <w:t>18</w:t>
      </w:r>
      <w:r w:rsidRPr="0094469E">
        <w:rPr>
          <w:rFonts w:ascii="Times New Roman" w:hAnsi="Times New Roman" w:cs="Times New Roman"/>
          <w:sz w:val="24"/>
          <w:szCs w:val="24"/>
        </w:rPr>
        <w:t>(3), 227-237.</w:t>
      </w:r>
      <w:bookmarkEnd w:id="937"/>
    </w:p>
    <w:p w14:paraId="6FC7C66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38" w:name="_ENREF_431"/>
      <w:r w:rsidRPr="0094469E">
        <w:rPr>
          <w:rFonts w:ascii="Times New Roman" w:hAnsi="Times New Roman" w:cs="Times New Roman"/>
          <w:sz w:val="24"/>
          <w:szCs w:val="24"/>
        </w:rPr>
        <w:t xml:space="preserve">Webb, E. J., Campbell, D. T., Schwartz, R. D., and Sechrest, L. (1966). </w:t>
      </w:r>
      <w:r w:rsidRPr="0094469E">
        <w:rPr>
          <w:rFonts w:ascii="Times New Roman" w:hAnsi="Times New Roman" w:cs="Times New Roman"/>
          <w:i/>
          <w:sz w:val="24"/>
          <w:szCs w:val="24"/>
        </w:rPr>
        <w:t>Unobtrusive measures: Nonreactive research in the social sciences</w:t>
      </w:r>
      <w:r w:rsidRPr="0094469E">
        <w:rPr>
          <w:rFonts w:ascii="Times New Roman" w:hAnsi="Times New Roman" w:cs="Times New Roman"/>
          <w:sz w:val="24"/>
          <w:szCs w:val="24"/>
        </w:rPr>
        <w:t xml:space="preserve"> (Vol. 111): Rand McNally Chicago.</w:t>
      </w:r>
      <w:bookmarkEnd w:id="938"/>
    </w:p>
    <w:p w14:paraId="12D6CFF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39" w:name="_ENREF_432"/>
      <w:r w:rsidRPr="0094469E">
        <w:rPr>
          <w:rFonts w:ascii="Times New Roman" w:hAnsi="Times New Roman" w:cs="Times New Roman"/>
          <w:sz w:val="24"/>
          <w:szCs w:val="24"/>
        </w:rPr>
        <w:t xml:space="preserve">Weiner, B. (1979). A theory of motivation for some classroom experiences.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71</w:t>
      </w:r>
      <w:r w:rsidRPr="0094469E">
        <w:rPr>
          <w:rFonts w:ascii="Times New Roman" w:hAnsi="Times New Roman" w:cs="Times New Roman"/>
          <w:sz w:val="24"/>
          <w:szCs w:val="24"/>
        </w:rPr>
        <w:t>(1), 3.</w:t>
      </w:r>
      <w:bookmarkEnd w:id="939"/>
    </w:p>
    <w:p w14:paraId="41E9343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40" w:name="_ENREF_433"/>
      <w:r w:rsidRPr="0094469E">
        <w:rPr>
          <w:rFonts w:ascii="Times New Roman" w:hAnsi="Times New Roman" w:cs="Times New Roman"/>
          <w:sz w:val="24"/>
          <w:szCs w:val="24"/>
        </w:rPr>
        <w:t xml:space="preserve">Weiss, R. S. (1995). </w:t>
      </w:r>
      <w:r w:rsidRPr="0094469E">
        <w:rPr>
          <w:rFonts w:ascii="Times New Roman" w:hAnsi="Times New Roman" w:cs="Times New Roman"/>
          <w:i/>
          <w:sz w:val="24"/>
          <w:szCs w:val="24"/>
        </w:rPr>
        <w:t>Learning from strangers: The art and method of qualitative interview studies</w:t>
      </w:r>
      <w:r w:rsidRPr="0094469E">
        <w:rPr>
          <w:rFonts w:ascii="Times New Roman" w:hAnsi="Times New Roman" w:cs="Times New Roman"/>
          <w:sz w:val="24"/>
          <w:szCs w:val="24"/>
        </w:rPr>
        <w:t>: Simon and Schuster.</w:t>
      </w:r>
      <w:bookmarkEnd w:id="940"/>
    </w:p>
    <w:p w14:paraId="7AB0AC86" w14:textId="64C68373" w:rsidR="0094469E" w:rsidRPr="0094469E" w:rsidRDefault="0094469E" w:rsidP="0094469E">
      <w:pPr>
        <w:pStyle w:val="EndNoteBibliography"/>
        <w:spacing w:line="360" w:lineRule="auto"/>
        <w:rPr>
          <w:rFonts w:ascii="Times New Roman" w:hAnsi="Times New Roman" w:cs="Times New Roman"/>
          <w:sz w:val="24"/>
          <w:szCs w:val="24"/>
        </w:rPr>
      </w:pPr>
      <w:bookmarkStart w:id="941" w:name="_ENREF_434"/>
      <w:r w:rsidRPr="0094469E">
        <w:rPr>
          <w:rFonts w:ascii="Times New Roman" w:hAnsi="Times New Roman" w:cs="Times New Roman"/>
          <w:sz w:val="24"/>
          <w:szCs w:val="24"/>
        </w:rPr>
        <w:t xml:space="preserve">Weitzman, P. F., and Levkoff, S. E. (2000). Combining qualitative and quantitative methods in health research with minority elders: Lessons from a study of dementia caregiving. </w:t>
      </w:r>
      <w:r w:rsidRPr="0094469E">
        <w:rPr>
          <w:rFonts w:ascii="Times New Roman" w:hAnsi="Times New Roman" w:cs="Times New Roman"/>
          <w:i/>
          <w:sz w:val="24"/>
          <w:szCs w:val="24"/>
        </w:rPr>
        <w:t xml:space="preserve">Field </w:t>
      </w:r>
      <w:r w:rsidR="00521DE8">
        <w:rPr>
          <w:rFonts w:ascii="Times New Roman" w:hAnsi="Times New Roman" w:cs="Times New Roman"/>
          <w:i/>
          <w:sz w:val="24"/>
          <w:szCs w:val="24"/>
        </w:rPr>
        <w:t>m</w:t>
      </w:r>
      <w:r w:rsidRPr="0094469E">
        <w:rPr>
          <w:rFonts w:ascii="Times New Roman" w:hAnsi="Times New Roman" w:cs="Times New Roman"/>
          <w:i/>
          <w:sz w:val="24"/>
          <w:szCs w:val="24"/>
        </w:rPr>
        <w:t xml:space="preserve">ethods, </w:t>
      </w:r>
      <w:r w:rsidRPr="0094469E">
        <w:rPr>
          <w:rFonts w:ascii="Times New Roman" w:hAnsi="Times New Roman" w:cs="Times New Roman"/>
          <w:b/>
          <w:sz w:val="24"/>
          <w:szCs w:val="24"/>
        </w:rPr>
        <w:t>12</w:t>
      </w:r>
      <w:r w:rsidRPr="0094469E">
        <w:rPr>
          <w:rFonts w:ascii="Times New Roman" w:hAnsi="Times New Roman" w:cs="Times New Roman"/>
          <w:sz w:val="24"/>
          <w:szCs w:val="24"/>
        </w:rPr>
        <w:t>(3), 195-208.</w:t>
      </w:r>
      <w:bookmarkEnd w:id="941"/>
    </w:p>
    <w:p w14:paraId="4FA1F8A4" w14:textId="2EADBDC7" w:rsidR="0094469E" w:rsidRPr="0094469E" w:rsidRDefault="0094469E" w:rsidP="0094469E">
      <w:pPr>
        <w:pStyle w:val="EndNoteBibliography"/>
        <w:spacing w:line="360" w:lineRule="auto"/>
        <w:rPr>
          <w:rFonts w:ascii="Times New Roman" w:hAnsi="Times New Roman" w:cs="Times New Roman"/>
          <w:sz w:val="24"/>
          <w:szCs w:val="24"/>
        </w:rPr>
      </w:pPr>
      <w:bookmarkStart w:id="942" w:name="_ENREF_435"/>
      <w:r w:rsidRPr="0094469E">
        <w:rPr>
          <w:rFonts w:ascii="Times New Roman" w:hAnsi="Times New Roman" w:cs="Times New Roman"/>
          <w:sz w:val="24"/>
          <w:szCs w:val="24"/>
        </w:rPr>
        <w:t xml:space="preserve">Westerman, D. A. (1991). Expert and novice teacher decision making. </w:t>
      </w:r>
      <w:r w:rsidR="00521DE8">
        <w:rPr>
          <w:rFonts w:ascii="Times New Roman" w:hAnsi="Times New Roman" w:cs="Times New Roman"/>
          <w:i/>
          <w:sz w:val="24"/>
          <w:szCs w:val="24"/>
        </w:rPr>
        <w:t>Journal of teacher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42</w:t>
      </w:r>
      <w:r w:rsidRPr="0094469E">
        <w:rPr>
          <w:rFonts w:ascii="Times New Roman" w:hAnsi="Times New Roman" w:cs="Times New Roman"/>
          <w:sz w:val="24"/>
          <w:szCs w:val="24"/>
        </w:rPr>
        <w:t>(4), 292-305.</w:t>
      </w:r>
      <w:bookmarkEnd w:id="942"/>
    </w:p>
    <w:p w14:paraId="2A940F9C"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43" w:name="_ENREF_436"/>
      <w:r w:rsidRPr="0094469E">
        <w:rPr>
          <w:rFonts w:ascii="Times New Roman" w:hAnsi="Times New Roman" w:cs="Times New Roman"/>
          <w:sz w:val="24"/>
          <w:szCs w:val="24"/>
        </w:rPr>
        <w:t>White, C. B., Gruppen, L. D., and Fantone, J. C. (2010). Self</w:t>
      </w:r>
      <w:r w:rsidRPr="0094469E">
        <w:rPr>
          <w:rFonts w:ascii="Cambria Math" w:hAnsi="Cambria Math" w:cs="Cambria Math"/>
          <w:sz w:val="24"/>
          <w:szCs w:val="24"/>
        </w:rPr>
        <w:t>‐</w:t>
      </w:r>
      <w:r w:rsidRPr="0094469E">
        <w:rPr>
          <w:rFonts w:ascii="Times New Roman" w:hAnsi="Times New Roman" w:cs="Times New Roman"/>
          <w:sz w:val="24"/>
          <w:szCs w:val="24"/>
        </w:rPr>
        <w:t xml:space="preserve">Regulated Learning in Medical Education. </w:t>
      </w:r>
      <w:r w:rsidRPr="0094469E">
        <w:rPr>
          <w:rFonts w:ascii="Times New Roman" w:hAnsi="Times New Roman" w:cs="Times New Roman"/>
          <w:i/>
          <w:sz w:val="24"/>
          <w:szCs w:val="24"/>
        </w:rPr>
        <w:t>Understanding medical education: Evidence, theory and practice</w:t>
      </w:r>
      <w:r w:rsidRPr="0094469E">
        <w:rPr>
          <w:rFonts w:ascii="Times New Roman" w:hAnsi="Times New Roman" w:cs="Times New Roman"/>
          <w:sz w:val="24"/>
          <w:szCs w:val="24"/>
        </w:rPr>
        <w:t>, 201-211.</w:t>
      </w:r>
      <w:bookmarkEnd w:id="943"/>
    </w:p>
    <w:p w14:paraId="1690FFC2" w14:textId="400A5E47" w:rsidR="0094469E" w:rsidRPr="0094469E" w:rsidRDefault="0094469E" w:rsidP="0094469E">
      <w:pPr>
        <w:pStyle w:val="EndNoteBibliography"/>
        <w:spacing w:line="360" w:lineRule="auto"/>
        <w:rPr>
          <w:rFonts w:ascii="Times New Roman" w:hAnsi="Times New Roman" w:cs="Times New Roman"/>
          <w:sz w:val="24"/>
          <w:szCs w:val="24"/>
        </w:rPr>
      </w:pPr>
      <w:bookmarkStart w:id="944" w:name="_ENREF_437"/>
      <w:r w:rsidRPr="0094469E">
        <w:rPr>
          <w:rFonts w:ascii="Times New Roman" w:hAnsi="Times New Roman" w:cs="Times New Roman"/>
          <w:sz w:val="24"/>
          <w:szCs w:val="24"/>
        </w:rPr>
        <w:lastRenderedPageBreak/>
        <w:t xml:space="preserve">White, H., and Waddington, H. (2012). Why do we care about evidence synthesis? An introduction to the special issue on systematic reviews. </w:t>
      </w:r>
      <w:r w:rsidRPr="0094469E">
        <w:rPr>
          <w:rFonts w:ascii="Times New Roman" w:hAnsi="Times New Roman" w:cs="Times New Roman"/>
          <w:i/>
          <w:sz w:val="24"/>
          <w:szCs w:val="24"/>
        </w:rPr>
        <w:t xml:space="preserve">Journal </w:t>
      </w:r>
      <w:r w:rsidR="00521DE8" w:rsidRPr="0094469E">
        <w:rPr>
          <w:rFonts w:ascii="Times New Roman" w:hAnsi="Times New Roman" w:cs="Times New Roman"/>
          <w:i/>
          <w:sz w:val="24"/>
          <w:szCs w:val="24"/>
        </w:rPr>
        <w:t>of development effectivene</w:t>
      </w:r>
      <w:r w:rsidRPr="0094469E">
        <w:rPr>
          <w:rFonts w:ascii="Times New Roman" w:hAnsi="Times New Roman" w:cs="Times New Roman"/>
          <w:i/>
          <w:sz w:val="24"/>
          <w:szCs w:val="24"/>
        </w:rPr>
        <w:t xml:space="preserve">ss, </w:t>
      </w:r>
      <w:r w:rsidRPr="0094469E">
        <w:rPr>
          <w:rFonts w:ascii="Times New Roman" w:hAnsi="Times New Roman" w:cs="Times New Roman"/>
          <w:b/>
          <w:sz w:val="24"/>
          <w:szCs w:val="24"/>
        </w:rPr>
        <w:t>4</w:t>
      </w:r>
      <w:r w:rsidRPr="0094469E">
        <w:rPr>
          <w:rFonts w:ascii="Times New Roman" w:hAnsi="Times New Roman" w:cs="Times New Roman"/>
          <w:sz w:val="24"/>
          <w:szCs w:val="24"/>
        </w:rPr>
        <w:t>(3), 351-358.</w:t>
      </w:r>
      <w:bookmarkEnd w:id="944"/>
    </w:p>
    <w:p w14:paraId="449D0B93" w14:textId="5A563D74" w:rsidR="0094469E" w:rsidRPr="0094469E" w:rsidRDefault="0094469E" w:rsidP="0094469E">
      <w:pPr>
        <w:pStyle w:val="EndNoteBibliography"/>
        <w:spacing w:line="360" w:lineRule="auto"/>
        <w:rPr>
          <w:rFonts w:ascii="Times New Roman" w:hAnsi="Times New Roman" w:cs="Times New Roman"/>
          <w:sz w:val="24"/>
          <w:szCs w:val="24"/>
        </w:rPr>
      </w:pPr>
      <w:bookmarkStart w:id="945" w:name="_ENREF_438"/>
      <w:r w:rsidRPr="0094469E">
        <w:rPr>
          <w:rFonts w:ascii="Times New Roman" w:hAnsi="Times New Roman" w:cs="Times New Roman"/>
          <w:sz w:val="24"/>
          <w:szCs w:val="24"/>
        </w:rPr>
        <w:t xml:space="preserve">Wilkerson, L., and Irby, D. M. (1998). Strategies for improving teaching practices: a comprehensive approach to faculty development.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73</w:t>
      </w:r>
      <w:r w:rsidRPr="0094469E">
        <w:rPr>
          <w:rFonts w:ascii="Times New Roman" w:hAnsi="Times New Roman" w:cs="Times New Roman"/>
          <w:sz w:val="24"/>
          <w:szCs w:val="24"/>
        </w:rPr>
        <w:t>(4), 387-396.</w:t>
      </w:r>
      <w:bookmarkEnd w:id="945"/>
    </w:p>
    <w:p w14:paraId="2880889D" w14:textId="398073E4" w:rsidR="0094469E" w:rsidRPr="0094469E" w:rsidRDefault="0094469E" w:rsidP="0094469E">
      <w:pPr>
        <w:pStyle w:val="EndNoteBibliography"/>
        <w:spacing w:line="360" w:lineRule="auto"/>
        <w:rPr>
          <w:rFonts w:ascii="Times New Roman" w:hAnsi="Times New Roman" w:cs="Times New Roman"/>
          <w:sz w:val="24"/>
          <w:szCs w:val="24"/>
        </w:rPr>
      </w:pPr>
      <w:bookmarkStart w:id="946" w:name="_ENREF_439"/>
      <w:r w:rsidRPr="0094469E">
        <w:rPr>
          <w:rFonts w:ascii="Times New Roman" w:hAnsi="Times New Roman" w:cs="Times New Roman"/>
          <w:sz w:val="24"/>
          <w:szCs w:val="24"/>
        </w:rPr>
        <w:t xml:space="preserve">Wilson, S., Delaney, B. C., Roalfe, A., Roberts, L., Redman, V., Wearn, A. M., and Hobbs, F. R. (2000). Randomised controlled trials in primary care: case study. </w:t>
      </w:r>
      <w:r w:rsidR="00BD42AF">
        <w:rPr>
          <w:rFonts w:ascii="Times New Roman" w:hAnsi="Times New Roman" w:cs="Times New Roman"/>
          <w:i/>
          <w:sz w:val="24"/>
          <w:szCs w:val="24"/>
        </w:rPr>
        <w:t>British medical journal</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321</w:t>
      </w:r>
      <w:r w:rsidRPr="0094469E">
        <w:rPr>
          <w:rFonts w:ascii="Times New Roman" w:hAnsi="Times New Roman" w:cs="Times New Roman"/>
          <w:sz w:val="24"/>
          <w:szCs w:val="24"/>
        </w:rPr>
        <w:t>(7252), 24-27.</w:t>
      </w:r>
      <w:bookmarkEnd w:id="946"/>
    </w:p>
    <w:p w14:paraId="3E548FE4" w14:textId="0FEAC91F" w:rsidR="0094469E" w:rsidRPr="0094469E" w:rsidRDefault="0094469E" w:rsidP="0094469E">
      <w:pPr>
        <w:pStyle w:val="EndNoteBibliography"/>
        <w:spacing w:line="360" w:lineRule="auto"/>
        <w:rPr>
          <w:rFonts w:ascii="Times New Roman" w:hAnsi="Times New Roman" w:cs="Times New Roman"/>
          <w:sz w:val="24"/>
          <w:szCs w:val="24"/>
        </w:rPr>
      </w:pPr>
      <w:bookmarkStart w:id="947" w:name="_ENREF_440"/>
      <w:r w:rsidRPr="0094469E">
        <w:rPr>
          <w:rFonts w:ascii="Times New Roman" w:hAnsi="Times New Roman" w:cs="Times New Roman"/>
          <w:sz w:val="24"/>
          <w:szCs w:val="24"/>
        </w:rPr>
        <w:t xml:space="preserve">Winne, P. H. (2010). Improving measurements of self-regulated learning. </w:t>
      </w:r>
      <w:r w:rsidRPr="0094469E">
        <w:rPr>
          <w:rFonts w:ascii="Times New Roman" w:hAnsi="Times New Roman" w:cs="Times New Roman"/>
          <w:i/>
          <w:sz w:val="24"/>
          <w:szCs w:val="24"/>
        </w:rPr>
        <w:t xml:space="preserve">Educational </w:t>
      </w:r>
      <w:r w:rsidR="00521DE8">
        <w:rPr>
          <w:rFonts w:ascii="Times New Roman" w:hAnsi="Times New Roman" w:cs="Times New Roman"/>
          <w:i/>
          <w:sz w:val="24"/>
          <w:szCs w:val="24"/>
        </w:rPr>
        <w:t>p</w:t>
      </w:r>
      <w:r w:rsidR="00521DE8" w:rsidRPr="0094469E">
        <w:rPr>
          <w:rFonts w:ascii="Times New Roman" w:hAnsi="Times New Roman" w:cs="Times New Roman"/>
          <w:i/>
          <w:sz w:val="24"/>
          <w:szCs w:val="24"/>
        </w:rPr>
        <w:t>sychologist</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45</w:t>
      </w:r>
      <w:r w:rsidRPr="0094469E">
        <w:rPr>
          <w:rFonts w:ascii="Times New Roman" w:hAnsi="Times New Roman" w:cs="Times New Roman"/>
          <w:sz w:val="24"/>
          <w:szCs w:val="24"/>
        </w:rPr>
        <w:t>(4), 267-276.</w:t>
      </w:r>
      <w:bookmarkEnd w:id="947"/>
    </w:p>
    <w:p w14:paraId="05F2567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48" w:name="_ENREF_441"/>
      <w:r w:rsidRPr="0094469E">
        <w:rPr>
          <w:rFonts w:ascii="Times New Roman" w:hAnsi="Times New Roman" w:cs="Times New Roman"/>
          <w:sz w:val="24"/>
          <w:szCs w:val="24"/>
        </w:rPr>
        <w:t xml:space="preserve">Winne, P. H. (2011). A cognitive and metacognitive analysis of self-regulated learning.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15-32.</w:t>
      </w:r>
      <w:bookmarkEnd w:id="948"/>
    </w:p>
    <w:p w14:paraId="4DFF238F" w14:textId="3D327531" w:rsidR="0094469E" w:rsidRPr="0094469E" w:rsidRDefault="0094469E" w:rsidP="0094469E">
      <w:pPr>
        <w:pStyle w:val="EndNoteBibliography"/>
        <w:spacing w:line="360" w:lineRule="auto"/>
        <w:rPr>
          <w:rFonts w:ascii="Times New Roman" w:hAnsi="Times New Roman" w:cs="Times New Roman"/>
          <w:sz w:val="24"/>
          <w:szCs w:val="24"/>
        </w:rPr>
      </w:pPr>
      <w:bookmarkStart w:id="949" w:name="_ENREF_442"/>
      <w:r w:rsidRPr="0094469E">
        <w:rPr>
          <w:rFonts w:ascii="Times New Roman" w:hAnsi="Times New Roman" w:cs="Times New Roman"/>
          <w:sz w:val="24"/>
          <w:szCs w:val="24"/>
        </w:rPr>
        <w:t xml:space="preserve">Winne, P. H. (2014). Issues in researching self-regulated learning as patterns of events. </w:t>
      </w:r>
      <w:r w:rsidR="00C71126">
        <w:rPr>
          <w:rFonts w:ascii="Times New Roman" w:hAnsi="Times New Roman" w:cs="Times New Roman"/>
          <w:i/>
          <w:sz w:val="24"/>
          <w:szCs w:val="24"/>
        </w:rPr>
        <w:t>Metacognition and learning</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9</w:t>
      </w:r>
      <w:r w:rsidRPr="0094469E">
        <w:rPr>
          <w:rFonts w:ascii="Times New Roman" w:hAnsi="Times New Roman" w:cs="Times New Roman"/>
          <w:sz w:val="24"/>
          <w:szCs w:val="24"/>
        </w:rPr>
        <w:t>(2), 229-237.</w:t>
      </w:r>
      <w:bookmarkEnd w:id="949"/>
    </w:p>
    <w:p w14:paraId="4518B422"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0" w:name="_ENREF_443"/>
      <w:r w:rsidRPr="0094469E">
        <w:rPr>
          <w:rFonts w:ascii="Times New Roman" w:hAnsi="Times New Roman" w:cs="Times New Roman"/>
          <w:sz w:val="24"/>
          <w:szCs w:val="24"/>
        </w:rPr>
        <w:t xml:space="preserve">Winne, P. H., and Hadwin, A. F. (1998). Studying as self-regulated learning. </w:t>
      </w:r>
      <w:r w:rsidRPr="0094469E">
        <w:rPr>
          <w:rFonts w:ascii="Times New Roman" w:hAnsi="Times New Roman" w:cs="Times New Roman"/>
          <w:i/>
          <w:sz w:val="24"/>
          <w:szCs w:val="24"/>
        </w:rPr>
        <w:t xml:space="preserve">Metacognition in educational theory and practice, </w:t>
      </w:r>
      <w:r w:rsidRPr="0094469E">
        <w:rPr>
          <w:rFonts w:ascii="Times New Roman" w:hAnsi="Times New Roman" w:cs="Times New Roman"/>
          <w:b/>
          <w:sz w:val="24"/>
          <w:szCs w:val="24"/>
        </w:rPr>
        <w:t>93</w:t>
      </w:r>
      <w:r w:rsidRPr="0094469E">
        <w:rPr>
          <w:rFonts w:ascii="Times New Roman" w:hAnsi="Times New Roman" w:cs="Times New Roman"/>
          <w:sz w:val="24"/>
          <w:szCs w:val="24"/>
        </w:rPr>
        <w:t>, 27-30.</w:t>
      </w:r>
      <w:bookmarkEnd w:id="950"/>
    </w:p>
    <w:p w14:paraId="06B4A414"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1" w:name="_ENREF_444"/>
      <w:r w:rsidRPr="0094469E">
        <w:rPr>
          <w:rFonts w:ascii="Times New Roman" w:hAnsi="Times New Roman" w:cs="Times New Roman"/>
          <w:sz w:val="24"/>
          <w:szCs w:val="24"/>
        </w:rPr>
        <w:t xml:space="preserve">Winne, P. H., and Hadwin, A. F. (2008). The weave of motivation and self-regulated learning. </w:t>
      </w:r>
      <w:r w:rsidRPr="0094469E">
        <w:rPr>
          <w:rFonts w:ascii="Times New Roman" w:hAnsi="Times New Roman" w:cs="Times New Roman"/>
          <w:i/>
          <w:sz w:val="24"/>
          <w:szCs w:val="24"/>
        </w:rPr>
        <w:t>Motivation and self-regulated learning: Theory, research, and applications</w:t>
      </w:r>
      <w:r w:rsidRPr="0094469E">
        <w:rPr>
          <w:rFonts w:ascii="Times New Roman" w:hAnsi="Times New Roman" w:cs="Times New Roman"/>
          <w:sz w:val="24"/>
          <w:szCs w:val="24"/>
        </w:rPr>
        <w:t>, 297-314.</w:t>
      </w:r>
      <w:bookmarkEnd w:id="951"/>
    </w:p>
    <w:p w14:paraId="201E05AC" w14:textId="197AA392" w:rsidR="0094469E" w:rsidRPr="0094469E" w:rsidRDefault="0094469E" w:rsidP="0094469E">
      <w:pPr>
        <w:pStyle w:val="EndNoteBibliography"/>
        <w:spacing w:line="360" w:lineRule="auto"/>
        <w:rPr>
          <w:rFonts w:ascii="Times New Roman" w:hAnsi="Times New Roman" w:cs="Times New Roman"/>
          <w:sz w:val="24"/>
          <w:szCs w:val="24"/>
        </w:rPr>
      </w:pPr>
      <w:bookmarkStart w:id="952" w:name="_ENREF_445"/>
      <w:r w:rsidRPr="0094469E">
        <w:rPr>
          <w:rFonts w:ascii="Times New Roman" w:hAnsi="Times New Roman" w:cs="Times New Roman"/>
          <w:sz w:val="24"/>
          <w:szCs w:val="24"/>
        </w:rPr>
        <w:t xml:space="preserve">Winne, P. H., Hadwin, A. F., and Gress, C. (2010). The learning kit project: Software tools for supporting and researching regulation of collaborative learning. </w:t>
      </w:r>
      <w:r w:rsidRPr="0094469E">
        <w:rPr>
          <w:rFonts w:ascii="Times New Roman" w:hAnsi="Times New Roman" w:cs="Times New Roman"/>
          <w:i/>
          <w:sz w:val="24"/>
          <w:szCs w:val="24"/>
        </w:rPr>
        <w:t>Com</w:t>
      </w:r>
      <w:r w:rsidR="00521DE8" w:rsidRPr="0094469E">
        <w:rPr>
          <w:rFonts w:ascii="Times New Roman" w:hAnsi="Times New Roman" w:cs="Times New Roman"/>
          <w:i/>
          <w:sz w:val="24"/>
          <w:szCs w:val="24"/>
        </w:rPr>
        <w:t>puters in human be</w:t>
      </w:r>
      <w:r w:rsidRPr="0094469E">
        <w:rPr>
          <w:rFonts w:ascii="Times New Roman" w:hAnsi="Times New Roman" w:cs="Times New Roman"/>
          <w:i/>
          <w:sz w:val="24"/>
          <w:szCs w:val="24"/>
        </w:rPr>
        <w:t xml:space="preserve">havior, </w:t>
      </w:r>
      <w:r w:rsidRPr="0094469E">
        <w:rPr>
          <w:rFonts w:ascii="Times New Roman" w:hAnsi="Times New Roman" w:cs="Times New Roman"/>
          <w:b/>
          <w:sz w:val="24"/>
          <w:szCs w:val="24"/>
        </w:rPr>
        <w:t>26</w:t>
      </w:r>
      <w:r w:rsidRPr="0094469E">
        <w:rPr>
          <w:rFonts w:ascii="Times New Roman" w:hAnsi="Times New Roman" w:cs="Times New Roman"/>
          <w:sz w:val="24"/>
          <w:szCs w:val="24"/>
        </w:rPr>
        <w:t>(5), 787-793.</w:t>
      </w:r>
      <w:bookmarkEnd w:id="952"/>
    </w:p>
    <w:p w14:paraId="37E7871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3" w:name="_ENREF_446"/>
      <w:r w:rsidRPr="0094469E">
        <w:rPr>
          <w:rFonts w:ascii="Times New Roman" w:hAnsi="Times New Roman" w:cs="Times New Roman"/>
          <w:sz w:val="24"/>
          <w:szCs w:val="24"/>
        </w:rPr>
        <w:t xml:space="preserve">Winne, P. H., Zhou, M., and Egan, R. (2011). Designing assessments of self-regulated learning. </w:t>
      </w:r>
      <w:r w:rsidRPr="0094469E">
        <w:rPr>
          <w:rFonts w:ascii="Times New Roman" w:hAnsi="Times New Roman" w:cs="Times New Roman"/>
          <w:i/>
          <w:sz w:val="24"/>
          <w:szCs w:val="24"/>
        </w:rPr>
        <w:t>Assessment of higher order thinking skills</w:t>
      </w:r>
      <w:r w:rsidRPr="0094469E">
        <w:rPr>
          <w:rFonts w:ascii="Times New Roman" w:hAnsi="Times New Roman" w:cs="Times New Roman"/>
          <w:sz w:val="24"/>
          <w:szCs w:val="24"/>
        </w:rPr>
        <w:t>, 89-118.</w:t>
      </w:r>
      <w:bookmarkEnd w:id="953"/>
    </w:p>
    <w:p w14:paraId="0823B59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4" w:name="_ENREF_447"/>
      <w:r w:rsidRPr="0094469E">
        <w:rPr>
          <w:rFonts w:ascii="Times New Roman" w:hAnsi="Times New Roman" w:cs="Times New Roman"/>
          <w:sz w:val="24"/>
          <w:szCs w:val="24"/>
        </w:rPr>
        <w:t xml:space="preserve">Winne, P. H., and Zimmerman, B. J. (2001). Self-regulated learning viewed from models of information processing. </w:t>
      </w:r>
      <w:r w:rsidRPr="0094469E">
        <w:rPr>
          <w:rFonts w:ascii="Times New Roman" w:hAnsi="Times New Roman" w:cs="Times New Roman"/>
          <w:i/>
          <w:sz w:val="24"/>
          <w:szCs w:val="24"/>
        </w:rPr>
        <w:t xml:space="preserve">Self-regulated learning and academic achievement: Theoretical perspectives, </w:t>
      </w:r>
      <w:r w:rsidRPr="0094469E">
        <w:rPr>
          <w:rFonts w:ascii="Times New Roman" w:hAnsi="Times New Roman" w:cs="Times New Roman"/>
          <w:b/>
          <w:sz w:val="24"/>
          <w:szCs w:val="24"/>
        </w:rPr>
        <w:t>2</w:t>
      </w:r>
      <w:r w:rsidRPr="0094469E">
        <w:rPr>
          <w:rFonts w:ascii="Times New Roman" w:hAnsi="Times New Roman" w:cs="Times New Roman"/>
          <w:sz w:val="24"/>
          <w:szCs w:val="24"/>
        </w:rPr>
        <w:t>, 153-189.</w:t>
      </w:r>
      <w:bookmarkEnd w:id="954"/>
    </w:p>
    <w:p w14:paraId="5A428F70" w14:textId="53C6A4DA" w:rsidR="0094469E" w:rsidRPr="0094469E" w:rsidRDefault="0094469E" w:rsidP="0094469E">
      <w:pPr>
        <w:pStyle w:val="EndNoteBibliography"/>
        <w:spacing w:line="360" w:lineRule="auto"/>
        <w:rPr>
          <w:rFonts w:ascii="Times New Roman" w:hAnsi="Times New Roman" w:cs="Times New Roman"/>
          <w:sz w:val="24"/>
          <w:szCs w:val="24"/>
        </w:rPr>
      </w:pPr>
      <w:bookmarkStart w:id="955" w:name="_ENREF_448"/>
      <w:r w:rsidRPr="0094469E">
        <w:rPr>
          <w:rFonts w:ascii="Times New Roman" w:hAnsi="Times New Roman" w:cs="Times New Roman"/>
          <w:sz w:val="24"/>
          <w:szCs w:val="24"/>
        </w:rPr>
        <w:t xml:space="preserve">Woods, N. N., Mylopoulos, M., and Brydges, R. (2011). Informal self-regulated learning on a surgical rotation: uncovering student experiences in context. </w:t>
      </w:r>
      <w:r w:rsidR="00BD42AF">
        <w:rPr>
          <w:rFonts w:ascii="Times New Roman" w:hAnsi="Times New Roman" w:cs="Times New Roman"/>
          <w:i/>
          <w:sz w:val="24"/>
          <w:szCs w:val="24"/>
        </w:rPr>
        <w:t>Advances in health sciences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16</w:t>
      </w:r>
      <w:r w:rsidRPr="0094469E">
        <w:rPr>
          <w:rFonts w:ascii="Times New Roman" w:hAnsi="Times New Roman" w:cs="Times New Roman"/>
          <w:sz w:val="24"/>
          <w:szCs w:val="24"/>
        </w:rPr>
        <w:t>(5), 643-653.</w:t>
      </w:r>
      <w:bookmarkEnd w:id="955"/>
    </w:p>
    <w:p w14:paraId="59053295"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6" w:name="_ENREF_449"/>
      <w:r w:rsidRPr="0094469E">
        <w:rPr>
          <w:rFonts w:ascii="Times New Roman" w:hAnsi="Times New Roman" w:cs="Times New Roman"/>
          <w:sz w:val="24"/>
          <w:szCs w:val="24"/>
        </w:rPr>
        <w:lastRenderedPageBreak/>
        <w:t xml:space="preserve">Worley, P., Couper, I., Strasser, R., Graves, L., Cummings, B. A., Woodman, R., Stagg, P., and Hirsh, D. (2016). A typology of longitudinal integrated clerkships. </w:t>
      </w:r>
      <w:r w:rsidRPr="0094469E">
        <w:rPr>
          <w:rFonts w:ascii="Times New Roman" w:hAnsi="Times New Roman" w:cs="Times New Roman"/>
          <w:i/>
          <w:sz w:val="24"/>
          <w:szCs w:val="24"/>
        </w:rPr>
        <w:t xml:space="preserve">Medical education, </w:t>
      </w:r>
      <w:r w:rsidRPr="0094469E">
        <w:rPr>
          <w:rFonts w:ascii="Times New Roman" w:hAnsi="Times New Roman" w:cs="Times New Roman"/>
          <w:b/>
          <w:sz w:val="24"/>
          <w:szCs w:val="24"/>
        </w:rPr>
        <w:t>50</w:t>
      </w:r>
      <w:r w:rsidRPr="0094469E">
        <w:rPr>
          <w:rFonts w:ascii="Times New Roman" w:hAnsi="Times New Roman" w:cs="Times New Roman"/>
          <w:sz w:val="24"/>
          <w:szCs w:val="24"/>
        </w:rPr>
        <w:t>(9), 922-932.</w:t>
      </w:r>
      <w:bookmarkEnd w:id="956"/>
    </w:p>
    <w:p w14:paraId="003EEC1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7" w:name="_ENREF_450"/>
      <w:r w:rsidRPr="0094469E">
        <w:rPr>
          <w:rFonts w:ascii="Times New Roman" w:hAnsi="Times New Roman" w:cs="Times New Roman"/>
          <w:sz w:val="24"/>
          <w:szCs w:val="24"/>
        </w:rPr>
        <w:t>Wu, H. L., and Volker, D. L. (2009). The use of theory in qualitative approaches to research: application in end</w:t>
      </w:r>
      <w:r w:rsidRPr="0094469E">
        <w:rPr>
          <w:rFonts w:ascii="Cambria Math" w:hAnsi="Cambria Math" w:cs="Cambria Math"/>
          <w:sz w:val="24"/>
          <w:szCs w:val="24"/>
        </w:rPr>
        <w:t>‐</w:t>
      </w:r>
      <w:r w:rsidRPr="0094469E">
        <w:rPr>
          <w:rFonts w:ascii="Times New Roman" w:hAnsi="Times New Roman" w:cs="Times New Roman"/>
          <w:sz w:val="24"/>
          <w:szCs w:val="24"/>
        </w:rPr>
        <w:t>of</w:t>
      </w:r>
      <w:r w:rsidRPr="0094469E">
        <w:rPr>
          <w:rFonts w:ascii="Cambria Math" w:hAnsi="Cambria Math" w:cs="Cambria Math"/>
          <w:sz w:val="24"/>
          <w:szCs w:val="24"/>
        </w:rPr>
        <w:t>‐</w:t>
      </w:r>
      <w:r w:rsidRPr="0094469E">
        <w:rPr>
          <w:rFonts w:ascii="Times New Roman" w:hAnsi="Times New Roman" w:cs="Times New Roman"/>
          <w:sz w:val="24"/>
          <w:szCs w:val="24"/>
        </w:rPr>
        <w:t xml:space="preserve">life studies. </w:t>
      </w:r>
      <w:r w:rsidRPr="0094469E">
        <w:rPr>
          <w:rFonts w:ascii="Times New Roman" w:hAnsi="Times New Roman" w:cs="Times New Roman"/>
          <w:i/>
          <w:sz w:val="24"/>
          <w:szCs w:val="24"/>
        </w:rPr>
        <w:t xml:space="preserve">Journal of advanced nursing, </w:t>
      </w:r>
      <w:r w:rsidRPr="0094469E">
        <w:rPr>
          <w:rFonts w:ascii="Times New Roman" w:hAnsi="Times New Roman" w:cs="Times New Roman"/>
          <w:b/>
          <w:sz w:val="24"/>
          <w:szCs w:val="24"/>
        </w:rPr>
        <w:t>65</w:t>
      </w:r>
      <w:r w:rsidRPr="0094469E">
        <w:rPr>
          <w:rFonts w:ascii="Times New Roman" w:hAnsi="Times New Roman" w:cs="Times New Roman"/>
          <w:sz w:val="24"/>
          <w:szCs w:val="24"/>
        </w:rPr>
        <w:t>(12), 2719-2732.</w:t>
      </w:r>
      <w:bookmarkEnd w:id="957"/>
    </w:p>
    <w:p w14:paraId="7680362E"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8" w:name="_ENREF_451"/>
      <w:r w:rsidRPr="0094469E">
        <w:rPr>
          <w:rFonts w:ascii="Times New Roman" w:hAnsi="Times New Roman" w:cs="Times New Roman"/>
          <w:sz w:val="24"/>
          <w:szCs w:val="24"/>
        </w:rPr>
        <w:t xml:space="preserve">Wulf, G., and Shea, C. H. (2004). Understanding the role of augmented feedback. </w:t>
      </w:r>
      <w:r w:rsidRPr="0094469E">
        <w:rPr>
          <w:rFonts w:ascii="Times New Roman" w:hAnsi="Times New Roman" w:cs="Times New Roman"/>
          <w:i/>
          <w:sz w:val="24"/>
          <w:szCs w:val="24"/>
        </w:rPr>
        <w:t>Skill acquisition in sport: Research, theory and practice</w:t>
      </w:r>
      <w:r w:rsidRPr="0094469E">
        <w:rPr>
          <w:rFonts w:ascii="Times New Roman" w:hAnsi="Times New Roman" w:cs="Times New Roman"/>
          <w:sz w:val="24"/>
          <w:szCs w:val="24"/>
        </w:rPr>
        <w:t>, 121-144.</w:t>
      </w:r>
      <w:bookmarkEnd w:id="958"/>
    </w:p>
    <w:p w14:paraId="711F5C78"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59" w:name="_ENREF_452"/>
      <w:r w:rsidRPr="0094469E">
        <w:rPr>
          <w:rFonts w:ascii="Times New Roman" w:hAnsi="Times New Roman" w:cs="Times New Roman"/>
          <w:sz w:val="24"/>
          <w:szCs w:val="24"/>
        </w:rPr>
        <w:t xml:space="preserve">Zeichner, K. M., and Liston, D. P. (1996). </w:t>
      </w:r>
      <w:r w:rsidRPr="0094469E">
        <w:rPr>
          <w:rFonts w:ascii="Times New Roman" w:hAnsi="Times New Roman" w:cs="Times New Roman"/>
          <w:i/>
          <w:sz w:val="24"/>
          <w:szCs w:val="24"/>
        </w:rPr>
        <w:t>Reflective teaching: An introduction.</w:t>
      </w:r>
      <w:r w:rsidRPr="0094469E">
        <w:rPr>
          <w:rFonts w:ascii="Times New Roman" w:hAnsi="Times New Roman" w:cs="Times New Roman"/>
          <w:sz w:val="24"/>
          <w:szCs w:val="24"/>
        </w:rPr>
        <w:t xml:space="preserve"> Mahwah, New Jersey: Lawrence Erlbaum Associates.</w:t>
      </w:r>
      <w:bookmarkEnd w:id="959"/>
    </w:p>
    <w:p w14:paraId="41090A57" w14:textId="06AF270D" w:rsidR="0094469E" w:rsidRPr="0094469E" w:rsidRDefault="0094469E" w:rsidP="0094469E">
      <w:pPr>
        <w:pStyle w:val="EndNoteBibliography"/>
        <w:spacing w:line="360" w:lineRule="auto"/>
        <w:rPr>
          <w:rFonts w:ascii="Times New Roman" w:hAnsi="Times New Roman" w:cs="Times New Roman"/>
          <w:sz w:val="24"/>
          <w:szCs w:val="24"/>
        </w:rPr>
      </w:pPr>
      <w:bookmarkStart w:id="960" w:name="_ENREF_453"/>
      <w:r w:rsidRPr="0094469E">
        <w:rPr>
          <w:rFonts w:ascii="Times New Roman" w:hAnsi="Times New Roman" w:cs="Times New Roman"/>
          <w:sz w:val="24"/>
          <w:szCs w:val="24"/>
        </w:rPr>
        <w:t xml:space="preserve">Zimbardi, K., Colthorpe, K., Dekker, A., Engstrom, C., Bugarcic, A., Worthy, P., Victor, R., Chunduri, P., Lluka, L., and Long, P. (2017). Are they using my feedback? The extent of students’ feedback use has a large impact on subsequent academic performance. </w:t>
      </w:r>
      <w:r w:rsidR="00C71126">
        <w:rPr>
          <w:rFonts w:ascii="Times New Roman" w:hAnsi="Times New Roman" w:cs="Times New Roman"/>
          <w:i/>
          <w:sz w:val="24"/>
          <w:szCs w:val="24"/>
        </w:rPr>
        <w:t>Assessment and evaluation in higher education</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42</w:t>
      </w:r>
      <w:r w:rsidRPr="0094469E">
        <w:rPr>
          <w:rFonts w:ascii="Times New Roman" w:hAnsi="Times New Roman" w:cs="Times New Roman"/>
          <w:sz w:val="24"/>
          <w:szCs w:val="24"/>
        </w:rPr>
        <w:t>(4), 625-644.</w:t>
      </w:r>
      <w:bookmarkEnd w:id="960"/>
    </w:p>
    <w:p w14:paraId="7C8D054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1" w:name="_ENREF_454"/>
      <w:r w:rsidRPr="0094469E">
        <w:rPr>
          <w:rFonts w:ascii="Times New Roman" w:hAnsi="Times New Roman" w:cs="Times New Roman"/>
          <w:sz w:val="24"/>
          <w:szCs w:val="24"/>
        </w:rPr>
        <w:t xml:space="preserve">Zimmerman, B. J. (1989). A social cognitive view of self-regulated academic learning.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81</w:t>
      </w:r>
      <w:r w:rsidRPr="0094469E">
        <w:rPr>
          <w:rFonts w:ascii="Times New Roman" w:hAnsi="Times New Roman" w:cs="Times New Roman"/>
          <w:sz w:val="24"/>
          <w:szCs w:val="24"/>
        </w:rPr>
        <w:t>(3), 329.</w:t>
      </w:r>
      <w:bookmarkEnd w:id="961"/>
    </w:p>
    <w:p w14:paraId="02DD2F01"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2" w:name="_ENREF_455"/>
      <w:r w:rsidRPr="0094469E">
        <w:rPr>
          <w:rFonts w:ascii="Times New Roman" w:hAnsi="Times New Roman" w:cs="Times New Roman"/>
          <w:sz w:val="24"/>
          <w:szCs w:val="24"/>
        </w:rPr>
        <w:t xml:space="preserve">Zimmerman, B. J. (2000a). Attaining self-regulation: A social-cognitive perspective. In M. Boekarts, P. Pintrich &amp; M. Zeidner (Eds.), </w:t>
      </w:r>
      <w:r w:rsidRPr="0094469E">
        <w:rPr>
          <w:rFonts w:ascii="Times New Roman" w:hAnsi="Times New Roman" w:cs="Times New Roman"/>
          <w:i/>
          <w:sz w:val="24"/>
          <w:szCs w:val="24"/>
        </w:rPr>
        <w:t>Handbook of self-regulation</w:t>
      </w:r>
      <w:r w:rsidRPr="0094469E">
        <w:rPr>
          <w:rFonts w:ascii="Times New Roman" w:hAnsi="Times New Roman" w:cs="Times New Roman"/>
          <w:sz w:val="24"/>
          <w:szCs w:val="24"/>
        </w:rPr>
        <w:t xml:space="preserve"> (pp. 13-39). San Diego, CA: Academic Press.</w:t>
      </w:r>
      <w:bookmarkEnd w:id="962"/>
    </w:p>
    <w:p w14:paraId="2AC1560D"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3" w:name="_ENREF_456"/>
      <w:r w:rsidRPr="0094469E">
        <w:rPr>
          <w:rFonts w:ascii="Times New Roman" w:hAnsi="Times New Roman" w:cs="Times New Roman"/>
          <w:sz w:val="24"/>
          <w:szCs w:val="24"/>
        </w:rPr>
        <w:t>Zimmerman, B. J. (2000b). Attaining self-regulation: A social cognitive perspective.</w:t>
      </w:r>
      <w:bookmarkEnd w:id="963"/>
    </w:p>
    <w:p w14:paraId="15A2BB33"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4" w:name="_ENREF_457"/>
      <w:r w:rsidRPr="0094469E">
        <w:rPr>
          <w:rFonts w:ascii="Times New Roman" w:hAnsi="Times New Roman" w:cs="Times New Roman"/>
          <w:sz w:val="24"/>
          <w:szCs w:val="24"/>
        </w:rPr>
        <w:t xml:space="preserve">Zimmerman, B. J. (2002). Achieving self-regulation: The trial and triump of adolescence </w:t>
      </w:r>
      <w:r w:rsidRPr="0094469E">
        <w:rPr>
          <w:rFonts w:ascii="Times New Roman" w:hAnsi="Times New Roman" w:cs="Times New Roman"/>
          <w:i/>
          <w:sz w:val="24"/>
          <w:szCs w:val="24"/>
        </w:rPr>
        <w:t>Academic motivation of adolescents</w:t>
      </w:r>
      <w:r w:rsidRPr="0094469E">
        <w:rPr>
          <w:rFonts w:ascii="Times New Roman" w:hAnsi="Times New Roman" w:cs="Times New Roman"/>
          <w:sz w:val="24"/>
          <w:szCs w:val="24"/>
        </w:rPr>
        <w:t xml:space="preserve"> (Vol. 2, pp. 1-27). Greenwich, CT: Information Age.</w:t>
      </w:r>
      <w:bookmarkEnd w:id="964"/>
    </w:p>
    <w:p w14:paraId="490EB823" w14:textId="19098FF2" w:rsidR="0094469E" w:rsidRPr="0094469E" w:rsidRDefault="0094469E" w:rsidP="0094469E">
      <w:pPr>
        <w:pStyle w:val="EndNoteBibliography"/>
        <w:spacing w:line="360" w:lineRule="auto"/>
        <w:rPr>
          <w:rFonts w:ascii="Times New Roman" w:hAnsi="Times New Roman" w:cs="Times New Roman"/>
          <w:sz w:val="24"/>
          <w:szCs w:val="24"/>
        </w:rPr>
      </w:pPr>
      <w:bookmarkStart w:id="965" w:name="_ENREF_458"/>
      <w:r w:rsidRPr="0094469E">
        <w:rPr>
          <w:rFonts w:ascii="Times New Roman" w:hAnsi="Times New Roman" w:cs="Times New Roman"/>
          <w:sz w:val="24"/>
          <w:szCs w:val="24"/>
        </w:rPr>
        <w:t xml:space="preserve">Zimmerman, B. J. (2008). Investigating self-regulation and motivation: Historical background, methodological developments, and future prospects. </w:t>
      </w:r>
      <w:r w:rsidRPr="0094469E">
        <w:rPr>
          <w:rFonts w:ascii="Times New Roman" w:hAnsi="Times New Roman" w:cs="Times New Roman"/>
          <w:i/>
          <w:sz w:val="24"/>
          <w:szCs w:val="24"/>
        </w:rPr>
        <w:t>Ameri</w:t>
      </w:r>
      <w:r w:rsidR="00242DC4" w:rsidRPr="0094469E">
        <w:rPr>
          <w:rFonts w:ascii="Times New Roman" w:hAnsi="Times New Roman" w:cs="Times New Roman"/>
          <w:i/>
          <w:sz w:val="24"/>
          <w:szCs w:val="24"/>
        </w:rPr>
        <w:t>can educational research journ</w:t>
      </w:r>
      <w:r w:rsidRPr="0094469E">
        <w:rPr>
          <w:rFonts w:ascii="Times New Roman" w:hAnsi="Times New Roman" w:cs="Times New Roman"/>
          <w:i/>
          <w:sz w:val="24"/>
          <w:szCs w:val="24"/>
        </w:rPr>
        <w:t xml:space="preserve">al, </w:t>
      </w:r>
      <w:r w:rsidRPr="0094469E">
        <w:rPr>
          <w:rFonts w:ascii="Times New Roman" w:hAnsi="Times New Roman" w:cs="Times New Roman"/>
          <w:b/>
          <w:sz w:val="24"/>
          <w:szCs w:val="24"/>
        </w:rPr>
        <w:t>45</w:t>
      </w:r>
      <w:r w:rsidRPr="0094469E">
        <w:rPr>
          <w:rFonts w:ascii="Times New Roman" w:hAnsi="Times New Roman" w:cs="Times New Roman"/>
          <w:sz w:val="24"/>
          <w:szCs w:val="24"/>
        </w:rPr>
        <w:t>(1), 166-183.</w:t>
      </w:r>
      <w:bookmarkEnd w:id="965"/>
    </w:p>
    <w:p w14:paraId="492EFDAB"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6" w:name="_ENREF_459"/>
      <w:r w:rsidRPr="0094469E">
        <w:rPr>
          <w:rFonts w:ascii="Times New Roman" w:hAnsi="Times New Roman" w:cs="Times New Roman"/>
          <w:sz w:val="24"/>
          <w:szCs w:val="24"/>
        </w:rPr>
        <w:t xml:space="preserve">Zimmerman, B. J., and Kitsantas, A. (1997). Developmental phases in self-regulation: Shifting from process goals to outcome goals.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89</w:t>
      </w:r>
      <w:r w:rsidRPr="0094469E">
        <w:rPr>
          <w:rFonts w:ascii="Times New Roman" w:hAnsi="Times New Roman" w:cs="Times New Roman"/>
          <w:sz w:val="24"/>
          <w:szCs w:val="24"/>
        </w:rPr>
        <w:t>(1), 29.</w:t>
      </w:r>
      <w:bookmarkEnd w:id="966"/>
    </w:p>
    <w:p w14:paraId="19EBB0B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7" w:name="_ENREF_460"/>
      <w:r w:rsidRPr="0094469E">
        <w:rPr>
          <w:rFonts w:ascii="Times New Roman" w:hAnsi="Times New Roman" w:cs="Times New Roman"/>
          <w:sz w:val="24"/>
          <w:szCs w:val="24"/>
        </w:rPr>
        <w:lastRenderedPageBreak/>
        <w:t xml:space="preserve">Zimmerman, B. J., and Kitsantas, A. (2002). Acquiring writing revision and self-regulatory skill through observation and emulation.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94</w:t>
      </w:r>
      <w:r w:rsidRPr="0094469E">
        <w:rPr>
          <w:rFonts w:ascii="Times New Roman" w:hAnsi="Times New Roman" w:cs="Times New Roman"/>
          <w:sz w:val="24"/>
          <w:szCs w:val="24"/>
        </w:rPr>
        <w:t>(4), 660.</w:t>
      </w:r>
      <w:bookmarkEnd w:id="967"/>
    </w:p>
    <w:p w14:paraId="25FA3CE9"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8" w:name="_ENREF_461"/>
      <w:r w:rsidRPr="0094469E">
        <w:rPr>
          <w:rFonts w:ascii="Times New Roman" w:hAnsi="Times New Roman" w:cs="Times New Roman"/>
          <w:sz w:val="24"/>
          <w:szCs w:val="24"/>
        </w:rPr>
        <w:t xml:space="preserve">Zimmerman, B. J., and Kitsantas, A. (2005). Homework practices and academic achievement: The mediating role of self-efficacy and perceived responsibility beliefs. </w:t>
      </w:r>
      <w:r w:rsidRPr="0094469E">
        <w:rPr>
          <w:rFonts w:ascii="Times New Roman" w:hAnsi="Times New Roman" w:cs="Times New Roman"/>
          <w:i/>
          <w:sz w:val="24"/>
          <w:szCs w:val="24"/>
        </w:rPr>
        <w:t xml:space="preserve">Contemporary educational psychology, </w:t>
      </w:r>
      <w:r w:rsidRPr="0094469E">
        <w:rPr>
          <w:rFonts w:ascii="Times New Roman" w:hAnsi="Times New Roman" w:cs="Times New Roman"/>
          <w:b/>
          <w:sz w:val="24"/>
          <w:szCs w:val="24"/>
        </w:rPr>
        <w:t>30</w:t>
      </w:r>
      <w:r w:rsidRPr="0094469E">
        <w:rPr>
          <w:rFonts w:ascii="Times New Roman" w:hAnsi="Times New Roman" w:cs="Times New Roman"/>
          <w:sz w:val="24"/>
          <w:szCs w:val="24"/>
        </w:rPr>
        <w:t>(4), 397-417.</w:t>
      </w:r>
      <w:bookmarkEnd w:id="968"/>
    </w:p>
    <w:p w14:paraId="53B42F90"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69" w:name="_ENREF_462"/>
      <w:r w:rsidRPr="0094469E">
        <w:rPr>
          <w:rFonts w:ascii="Times New Roman" w:hAnsi="Times New Roman" w:cs="Times New Roman"/>
          <w:sz w:val="24"/>
          <w:szCs w:val="24"/>
        </w:rPr>
        <w:t xml:space="preserve">Zimmerman, B. J., and Lebeau, R. B. (2000). A commentary on self-directed learning. </w:t>
      </w:r>
      <w:r w:rsidRPr="0094469E">
        <w:rPr>
          <w:rFonts w:ascii="Times New Roman" w:hAnsi="Times New Roman" w:cs="Times New Roman"/>
          <w:i/>
          <w:sz w:val="24"/>
          <w:szCs w:val="24"/>
        </w:rPr>
        <w:t>Problem-based learning: A research perspective on learning interactions</w:t>
      </w:r>
      <w:r w:rsidRPr="0094469E">
        <w:rPr>
          <w:rFonts w:ascii="Times New Roman" w:hAnsi="Times New Roman" w:cs="Times New Roman"/>
          <w:sz w:val="24"/>
          <w:szCs w:val="24"/>
        </w:rPr>
        <w:t>, 299-313.</w:t>
      </w:r>
      <w:bookmarkEnd w:id="969"/>
    </w:p>
    <w:p w14:paraId="7058FD2A"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70" w:name="_ENREF_463"/>
      <w:r w:rsidRPr="0094469E">
        <w:rPr>
          <w:rFonts w:ascii="Times New Roman" w:hAnsi="Times New Roman" w:cs="Times New Roman"/>
          <w:sz w:val="24"/>
          <w:szCs w:val="24"/>
        </w:rPr>
        <w:t xml:space="preserve">Zimmerman, B. J., and Martinez-Pons, M. (1988). Construct validation of a strategy model of student self-regulated learning. </w:t>
      </w:r>
      <w:r w:rsidRPr="0094469E">
        <w:rPr>
          <w:rFonts w:ascii="Times New Roman" w:hAnsi="Times New Roman" w:cs="Times New Roman"/>
          <w:i/>
          <w:sz w:val="24"/>
          <w:szCs w:val="24"/>
        </w:rPr>
        <w:t xml:space="preserve">Journal of educational psychology, </w:t>
      </w:r>
      <w:r w:rsidRPr="0094469E">
        <w:rPr>
          <w:rFonts w:ascii="Times New Roman" w:hAnsi="Times New Roman" w:cs="Times New Roman"/>
          <w:b/>
          <w:sz w:val="24"/>
          <w:szCs w:val="24"/>
        </w:rPr>
        <w:t>80</w:t>
      </w:r>
      <w:r w:rsidRPr="0094469E">
        <w:rPr>
          <w:rFonts w:ascii="Times New Roman" w:hAnsi="Times New Roman" w:cs="Times New Roman"/>
          <w:sz w:val="24"/>
          <w:szCs w:val="24"/>
        </w:rPr>
        <w:t>(3), 284.</w:t>
      </w:r>
      <w:bookmarkEnd w:id="970"/>
    </w:p>
    <w:p w14:paraId="7857F6B7"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71" w:name="_ENREF_464"/>
      <w:r w:rsidRPr="0094469E">
        <w:rPr>
          <w:rFonts w:ascii="Times New Roman" w:hAnsi="Times New Roman" w:cs="Times New Roman"/>
          <w:sz w:val="24"/>
          <w:szCs w:val="24"/>
        </w:rPr>
        <w:t xml:space="preserve">Zimmerman, B. J., and Martinez-Pons, M. (1992). Perceptions of efficacy and strategy use in the self-regulation of learning. </w:t>
      </w:r>
      <w:r w:rsidRPr="0094469E">
        <w:rPr>
          <w:rFonts w:ascii="Times New Roman" w:hAnsi="Times New Roman" w:cs="Times New Roman"/>
          <w:i/>
          <w:sz w:val="24"/>
          <w:szCs w:val="24"/>
        </w:rPr>
        <w:t>Student perceptions in the classroom</w:t>
      </w:r>
      <w:r w:rsidRPr="0094469E">
        <w:rPr>
          <w:rFonts w:ascii="Times New Roman" w:hAnsi="Times New Roman" w:cs="Times New Roman"/>
          <w:sz w:val="24"/>
          <w:szCs w:val="24"/>
        </w:rPr>
        <w:t>, 185-207.</w:t>
      </w:r>
      <w:bookmarkEnd w:id="971"/>
    </w:p>
    <w:p w14:paraId="6DBBE551" w14:textId="36690B72" w:rsidR="0094469E" w:rsidRPr="0094469E" w:rsidRDefault="0094469E" w:rsidP="0094469E">
      <w:pPr>
        <w:pStyle w:val="EndNoteBibliography"/>
        <w:spacing w:line="360" w:lineRule="auto"/>
        <w:rPr>
          <w:rFonts w:ascii="Times New Roman" w:hAnsi="Times New Roman" w:cs="Times New Roman"/>
          <w:sz w:val="24"/>
          <w:szCs w:val="24"/>
        </w:rPr>
      </w:pPr>
      <w:bookmarkStart w:id="972" w:name="_ENREF_465"/>
      <w:r w:rsidRPr="0094469E">
        <w:rPr>
          <w:rFonts w:ascii="Times New Roman" w:hAnsi="Times New Roman" w:cs="Times New Roman"/>
          <w:sz w:val="24"/>
          <w:szCs w:val="24"/>
        </w:rPr>
        <w:t xml:space="preserve">Zimmerman, B. J., and Pons, M. M. (1986). Development of a structured interview for assessing student use of self-regulated learning strategies. </w:t>
      </w:r>
      <w:r w:rsidRPr="0094469E">
        <w:rPr>
          <w:rFonts w:ascii="Times New Roman" w:hAnsi="Times New Roman" w:cs="Times New Roman"/>
          <w:i/>
          <w:sz w:val="24"/>
          <w:szCs w:val="24"/>
        </w:rPr>
        <w:t>Amer</w:t>
      </w:r>
      <w:r w:rsidR="00242DC4" w:rsidRPr="0094469E">
        <w:rPr>
          <w:rFonts w:ascii="Times New Roman" w:hAnsi="Times New Roman" w:cs="Times New Roman"/>
          <w:i/>
          <w:sz w:val="24"/>
          <w:szCs w:val="24"/>
        </w:rPr>
        <w:t xml:space="preserve">ican educational research journal, </w:t>
      </w:r>
      <w:r w:rsidR="00242DC4" w:rsidRPr="0094469E">
        <w:rPr>
          <w:rFonts w:ascii="Times New Roman" w:hAnsi="Times New Roman" w:cs="Times New Roman"/>
          <w:b/>
          <w:sz w:val="24"/>
          <w:szCs w:val="24"/>
        </w:rPr>
        <w:t>23</w:t>
      </w:r>
      <w:r w:rsidR="00242DC4" w:rsidRPr="0094469E">
        <w:rPr>
          <w:rFonts w:ascii="Times New Roman" w:hAnsi="Times New Roman" w:cs="Times New Roman"/>
          <w:sz w:val="24"/>
          <w:szCs w:val="24"/>
        </w:rPr>
        <w:t>(4), 614-628.</w:t>
      </w:r>
      <w:bookmarkEnd w:id="972"/>
    </w:p>
    <w:p w14:paraId="32917666" w14:textId="77777777" w:rsidR="0094469E" w:rsidRPr="0094469E" w:rsidRDefault="0094469E" w:rsidP="0094469E">
      <w:pPr>
        <w:pStyle w:val="EndNoteBibliography"/>
        <w:spacing w:line="360" w:lineRule="auto"/>
        <w:rPr>
          <w:rFonts w:ascii="Times New Roman" w:hAnsi="Times New Roman" w:cs="Times New Roman"/>
          <w:sz w:val="24"/>
          <w:szCs w:val="24"/>
        </w:rPr>
      </w:pPr>
      <w:bookmarkStart w:id="973" w:name="_ENREF_466"/>
      <w:r w:rsidRPr="0094469E">
        <w:rPr>
          <w:rFonts w:ascii="Times New Roman" w:hAnsi="Times New Roman" w:cs="Times New Roman"/>
          <w:sz w:val="24"/>
          <w:szCs w:val="24"/>
        </w:rPr>
        <w:t xml:space="preserve">Zimmerman, B. J., and Schunk, D. H. (2011). </w:t>
      </w:r>
      <w:r w:rsidRPr="0094469E">
        <w:rPr>
          <w:rFonts w:ascii="Times New Roman" w:hAnsi="Times New Roman" w:cs="Times New Roman"/>
          <w:i/>
          <w:sz w:val="24"/>
          <w:szCs w:val="24"/>
        </w:rPr>
        <w:t>Handbook of self-regulation of learning and performance</w:t>
      </w:r>
      <w:r w:rsidRPr="0094469E">
        <w:rPr>
          <w:rFonts w:ascii="Times New Roman" w:hAnsi="Times New Roman" w:cs="Times New Roman"/>
          <w:sz w:val="24"/>
          <w:szCs w:val="24"/>
        </w:rPr>
        <w:t>: Taylor &amp; Francis.</w:t>
      </w:r>
      <w:bookmarkEnd w:id="973"/>
    </w:p>
    <w:p w14:paraId="3F7194C9" w14:textId="0879C7C3" w:rsidR="0094469E" w:rsidRPr="0094469E" w:rsidRDefault="0094469E" w:rsidP="0094469E">
      <w:pPr>
        <w:pStyle w:val="EndNoteBibliography"/>
        <w:spacing w:line="360" w:lineRule="auto"/>
        <w:rPr>
          <w:rFonts w:ascii="Times New Roman" w:hAnsi="Times New Roman" w:cs="Times New Roman"/>
          <w:sz w:val="24"/>
          <w:szCs w:val="24"/>
        </w:rPr>
      </w:pPr>
      <w:bookmarkStart w:id="974" w:name="_ENREF_467"/>
      <w:r w:rsidRPr="0094469E">
        <w:rPr>
          <w:rFonts w:ascii="Times New Roman" w:hAnsi="Times New Roman" w:cs="Times New Roman"/>
          <w:sz w:val="24"/>
          <w:szCs w:val="24"/>
        </w:rPr>
        <w:t>Ziv, A., Wolpe, P. R., Small, S. D., and Glick, S. (2003). Simulation</w:t>
      </w:r>
      <w:r w:rsidRPr="0094469E">
        <w:rPr>
          <w:rFonts w:ascii="Cambria Math" w:hAnsi="Cambria Math" w:cs="Cambria Math"/>
          <w:sz w:val="24"/>
          <w:szCs w:val="24"/>
        </w:rPr>
        <w:t>‐</w:t>
      </w:r>
      <w:r w:rsidRPr="0094469E">
        <w:rPr>
          <w:rFonts w:ascii="Times New Roman" w:hAnsi="Times New Roman" w:cs="Times New Roman"/>
          <w:sz w:val="24"/>
          <w:szCs w:val="24"/>
        </w:rPr>
        <w:t xml:space="preserve">based medical education: an ethical imperative. </w:t>
      </w:r>
      <w:r w:rsidR="00BD42AF">
        <w:rPr>
          <w:rFonts w:ascii="Times New Roman" w:hAnsi="Times New Roman" w:cs="Times New Roman"/>
          <w:i/>
          <w:sz w:val="24"/>
          <w:szCs w:val="24"/>
        </w:rPr>
        <w:t>Academic medicine</w:t>
      </w:r>
      <w:r w:rsidRPr="0094469E">
        <w:rPr>
          <w:rFonts w:ascii="Times New Roman" w:hAnsi="Times New Roman" w:cs="Times New Roman"/>
          <w:i/>
          <w:sz w:val="24"/>
          <w:szCs w:val="24"/>
        </w:rPr>
        <w:t xml:space="preserve">, </w:t>
      </w:r>
      <w:r w:rsidRPr="0094469E">
        <w:rPr>
          <w:rFonts w:ascii="Times New Roman" w:hAnsi="Times New Roman" w:cs="Times New Roman"/>
          <w:b/>
          <w:sz w:val="24"/>
          <w:szCs w:val="24"/>
        </w:rPr>
        <w:t>78</w:t>
      </w:r>
      <w:r w:rsidRPr="0094469E">
        <w:rPr>
          <w:rFonts w:ascii="Times New Roman" w:hAnsi="Times New Roman" w:cs="Times New Roman"/>
          <w:sz w:val="24"/>
          <w:szCs w:val="24"/>
        </w:rPr>
        <w:t>(8), 783-788.</w:t>
      </w:r>
      <w:bookmarkEnd w:id="974"/>
    </w:p>
    <w:p w14:paraId="10F4AAA3" w14:textId="1177E3F9" w:rsidR="00452373" w:rsidRPr="0094469E" w:rsidRDefault="00A13542" w:rsidP="0094469E">
      <w:pPr>
        <w:spacing w:before="240" w:line="360" w:lineRule="auto"/>
        <w:rPr>
          <w:rFonts w:cs="Times New Roman"/>
          <w:szCs w:val="24"/>
        </w:rPr>
      </w:pPr>
      <w:r w:rsidRPr="0094469E">
        <w:rPr>
          <w:rFonts w:cs="Times New Roman"/>
          <w:szCs w:val="24"/>
        </w:rPr>
        <w:fldChar w:fldCharType="end"/>
      </w:r>
    </w:p>
    <w:p w14:paraId="64EEBEEF" w14:textId="77777777" w:rsidR="00B063A9" w:rsidRDefault="00B063A9">
      <w:pPr>
        <w:rPr>
          <w:rFonts w:eastAsiaTheme="majorEastAsia" w:cstheme="majorBidi"/>
          <w:b/>
          <w:color w:val="000000" w:themeColor="text1"/>
          <w:sz w:val="32"/>
          <w:szCs w:val="32"/>
        </w:rPr>
      </w:pPr>
      <w:bookmarkStart w:id="975" w:name="_Toc487811238"/>
      <w:bookmarkStart w:id="976" w:name="_Toc488147581"/>
      <w:bookmarkStart w:id="977" w:name="_Toc488309193"/>
      <w:bookmarkStart w:id="978" w:name="_Toc488930155"/>
      <w:bookmarkStart w:id="979" w:name="_Toc489017369"/>
      <w:bookmarkStart w:id="980" w:name="_Toc487456858"/>
      <w:r>
        <w:br w:type="page"/>
      </w:r>
    </w:p>
    <w:p w14:paraId="4A7B71C7" w14:textId="62013F85" w:rsidR="009528DB" w:rsidRPr="003726FE" w:rsidRDefault="009528DB" w:rsidP="00426FCB">
      <w:pPr>
        <w:pStyle w:val="Heading1"/>
      </w:pPr>
      <w:bookmarkStart w:id="981" w:name="_Toc489447723"/>
      <w:bookmarkStart w:id="982" w:name="_Toc490650208"/>
      <w:bookmarkStart w:id="983" w:name="_Toc500319471"/>
      <w:bookmarkStart w:id="984" w:name="_Toc500319570"/>
      <w:r w:rsidRPr="003726FE">
        <w:lastRenderedPageBreak/>
        <w:t>Appendices</w:t>
      </w:r>
      <w:bookmarkEnd w:id="975"/>
      <w:bookmarkEnd w:id="976"/>
      <w:bookmarkEnd w:id="977"/>
      <w:bookmarkEnd w:id="978"/>
      <w:bookmarkEnd w:id="979"/>
      <w:bookmarkEnd w:id="981"/>
      <w:bookmarkEnd w:id="982"/>
      <w:bookmarkEnd w:id="983"/>
      <w:bookmarkEnd w:id="984"/>
    </w:p>
    <w:p w14:paraId="246631ED" w14:textId="77777777" w:rsidR="009528DB" w:rsidRPr="003726FE" w:rsidRDefault="009528DB" w:rsidP="00026049">
      <w:pPr>
        <w:pStyle w:val="Normal1"/>
        <w:rPr>
          <w:lang w:val="en-GB"/>
        </w:rPr>
      </w:pPr>
    </w:p>
    <w:p w14:paraId="4B2CFD52" w14:textId="132DACA8" w:rsidR="00A13542" w:rsidRPr="003726FE" w:rsidRDefault="00A13542" w:rsidP="00B1638D">
      <w:pPr>
        <w:pStyle w:val="Heading2"/>
        <w:rPr>
          <w:lang w:val="en-GB"/>
        </w:rPr>
      </w:pPr>
      <w:bookmarkStart w:id="985" w:name="_Toc500319472"/>
      <w:r w:rsidRPr="003726FE">
        <w:rPr>
          <w:lang w:val="en-GB"/>
        </w:rPr>
        <w:t>Appendi</w:t>
      </w:r>
      <w:bookmarkEnd w:id="980"/>
      <w:r w:rsidR="00F4751A" w:rsidRPr="003726FE">
        <w:rPr>
          <w:lang w:val="en-GB"/>
        </w:rPr>
        <w:t>x 1</w:t>
      </w:r>
      <w:r w:rsidR="00C47666">
        <w:rPr>
          <w:lang w:val="en-GB"/>
        </w:rPr>
        <w:t>. Sample SRL MA Checklist and Question S</w:t>
      </w:r>
      <w:r w:rsidR="009528DB" w:rsidRPr="003726FE">
        <w:rPr>
          <w:lang w:val="en-GB"/>
        </w:rPr>
        <w:t>heet.</w:t>
      </w:r>
      <w:bookmarkEnd w:id="985"/>
    </w:p>
    <w:p w14:paraId="1F31FEA4" w14:textId="5BFD8FC5" w:rsidR="000A7534" w:rsidRPr="003726FE" w:rsidRDefault="000532E2">
      <w:pPr>
        <w:sectPr w:rsidR="000A7534" w:rsidRPr="003726FE" w:rsidSect="007C73DC">
          <w:pgSz w:w="11906" w:h="16838"/>
          <w:pgMar w:top="1134" w:right="1134" w:bottom="1134" w:left="2268" w:header="708" w:footer="708" w:gutter="0"/>
          <w:cols w:space="708"/>
          <w:docGrid w:linePitch="360"/>
        </w:sectPr>
      </w:pPr>
      <w:r>
        <w:pict w14:anchorId="5DCF5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5pt;height:631.1pt">
            <v:imagedata r:id="rId63" o:title=""/>
          </v:shape>
        </w:pict>
      </w:r>
      <w:r w:rsidR="00F4751A" w:rsidRPr="003726FE">
        <w:br w:type="page"/>
      </w:r>
    </w:p>
    <w:p w14:paraId="1C6E204C" w14:textId="621EBA55" w:rsidR="009528DB" w:rsidRPr="003726FE" w:rsidRDefault="009528DB">
      <w:r w:rsidRPr="003726FE">
        <w:rPr>
          <w:noProof/>
          <w:lang w:eastAsia="en-GB"/>
        </w:rPr>
        <w:lastRenderedPageBreak/>
        <mc:AlternateContent>
          <mc:Choice Requires="wpg">
            <w:drawing>
              <wp:anchor distT="0" distB="0" distL="114300" distR="114300" simplePos="0" relativeHeight="251906048" behindDoc="0" locked="0" layoutInCell="1" allowOverlap="1" wp14:anchorId="4FDF3C33" wp14:editId="57C915E8">
                <wp:simplePos x="0" y="0"/>
                <wp:positionH relativeFrom="column">
                  <wp:posOffset>-59690</wp:posOffset>
                </wp:positionH>
                <wp:positionV relativeFrom="paragraph">
                  <wp:posOffset>-161713</wp:posOffset>
                </wp:positionV>
                <wp:extent cx="9153525" cy="5200650"/>
                <wp:effectExtent l="0" t="0" r="28575" b="19050"/>
                <wp:wrapNone/>
                <wp:docPr id="26070" name="Group 26070"/>
                <wp:cNvGraphicFramePr/>
                <a:graphic xmlns:a="http://schemas.openxmlformats.org/drawingml/2006/main">
                  <a:graphicData uri="http://schemas.microsoft.com/office/word/2010/wordprocessingGroup">
                    <wpg:wgp>
                      <wpg:cNvGrpSpPr/>
                      <wpg:grpSpPr>
                        <a:xfrm>
                          <a:off x="0" y="0"/>
                          <a:ext cx="9153525" cy="5200650"/>
                          <a:chOff x="57401" y="158891"/>
                          <a:chExt cx="10213089" cy="6360936"/>
                        </a:xfrm>
                      </wpg:grpSpPr>
                      <wpg:grpSp>
                        <wpg:cNvPr id="26064" name="Group 26064"/>
                        <wpg:cNvGrpSpPr/>
                        <wpg:grpSpPr>
                          <a:xfrm>
                            <a:off x="249978" y="4310080"/>
                            <a:ext cx="3263075" cy="2060063"/>
                            <a:chOff x="-359708" y="-193744"/>
                            <a:chExt cx="3263855" cy="1356485"/>
                          </a:xfrm>
                        </wpg:grpSpPr>
                        <wps:wsp>
                          <wps:cNvPr id="26065" name="Rounded Rectangle 26065"/>
                          <wps:cNvSpPr/>
                          <wps:spPr>
                            <a:xfrm>
                              <a:off x="-359708" y="746751"/>
                              <a:ext cx="3263855" cy="415990"/>
                            </a:xfrm>
                            <a:prstGeom prst="roundRect">
                              <a:avLst/>
                            </a:prstGeom>
                          </wps:spPr>
                          <wps:style>
                            <a:lnRef idx="2">
                              <a:schemeClr val="dk1"/>
                            </a:lnRef>
                            <a:fillRef idx="1">
                              <a:schemeClr val="lt1"/>
                            </a:fillRef>
                            <a:effectRef idx="0">
                              <a:schemeClr val="dk1"/>
                            </a:effectRef>
                            <a:fontRef idx="minor">
                              <a:schemeClr val="dk1"/>
                            </a:fontRef>
                          </wps:style>
                          <wps:txbx>
                            <w:txbxContent>
                              <w:p w14:paraId="3DE71B04" w14:textId="77777777" w:rsidR="00C8402C" w:rsidRPr="00DB701D" w:rsidRDefault="00C8402C" w:rsidP="009528DB">
                                <w:pPr>
                                  <w:jc w:val="center"/>
                                  <w:rPr>
                                    <w:sz w:val="20"/>
                                    <w:szCs w:val="20"/>
                                  </w:rPr>
                                </w:pPr>
                                <w:r w:rsidRPr="00DB701D">
                                  <w:rPr>
                                    <w:sz w:val="20"/>
                                    <w:szCs w:val="20"/>
                                  </w:rPr>
                                  <w:t>Can you tell me whether you think everything is going according to plan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66" name="Rounded Rectangle 26066"/>
                          <wps:cNvSpPr/>
                          <wps:spPr>
                            <a:xfrm>
                              <a:off x="142272" y="208324"/>
                              <a:ext cx="2281555" cy="246952"/>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6044AD5" w14:textId="77777777" w:rsidR="00C8402C" w:rsidRPr="00DB701D" w:rsidRDefault="00C8402C" w:rsidP="009528DB">
                                <w:pPr>
                                  <w:jc w:val="center"/>
                                  <w:rPr>
                                    <w:b/>
                                    <w:sz w:val="20"/>
                                    <w:szCs w:val="20"/>
                                  </w:rPr>
                                </w:pPr>
                                <w:r w:rsidRPr="00DB701D">
                                  <w:rPr>
                                    <w:b/>
                                    <w:sz w:val="20"/>
                                    <w:szCs w:val="20"/>
                                  </w:rPr>
                                  <w:t>Self-monitoring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7" name="Down Arrow 26067"/>
                          <wps:cNvSpPr/>
                          <wps:spPr>
                            <a:xfrm>
                              <a:off x="1163480" y="496361"/>
                              <a:ext cx="246380" cy="23787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8" name="Rounded Rectangle 26068"/>
                          <wps:cNvSpPr/>
                          <wps:spPr>
                            <a:xfrm>
                              <a:off x="-23983" y="-193744"/>
                              <a:ext cx="2624447" cy="317626"/>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DB7BA2D" w14:textId="77777777" w:rsidR="00C8402C" w:rsidRPr="00DB701D" w:rsidRDefault="00C8402C" w:rsidP="009528DB">
                                <w:pPr>
                                  <w:jc w:val="center"/>
                                  <w:rPr>
                                    <w:b/>
                                    <w:sz w:val="20"/>
                                    <w:szCs w:val="20"/>
                                  </w:rPr>
                                </w:pPr>
                                <w:r w:rsidRPr="00DB701D">
                                  <w:rPr>
                                    <w:b/>
                                    <w:sz w:val="20"/>
                                    <w:szCs w:val="20"/>
                                  </w:rPr>
                                  <w:t>During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32" name="Group 26032"/>
                        <wpg:cNvGrpSpPr/>
                        <wpg:grpSpPr>
                          <a:xfrm>
                            <a:off x="57401" y="581025"/>
                            <a:ext cx="10213089" cy="2933087"/>
                            <a:chOff x="-180724" y="0"/>
                            <a:chExt cx="10213089" cy="2933375"/>
                          </a:xfrm>
                        </wpg:grpSpPr>
                        <wps:wsp>
                          <wps:cNvPr id="26033" name="Down Arrow 26033"/>
                          <wps:cNvSpPr/>
                          <wps:spPr>
                            <a:xfrm rot="16200000">
                              <a:off x="7554434" y="643269"/>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34" name="Down Arrow 26034"/>
                          <wps:cNvSpPr/>
                          <wps:spPr>
                            <a:xfrm rot="16200000">
                              <a:off x="2376378" y="643269"/>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35" name="Group 26035"/>
                          <wpg:cNvGrpSpPr/>
                          <wpg:grpSpPr>
                            <a:xfrm>
                              <a:off x="-180724" y="0"/>
                              <a:ext cx="10213089" cy="2933375"/>
                              <a:chOff x="-202009" y="-127612"/>
                              <a:chExt cx="10214029" cy="2934322"/>
                            </a:xfrm>
                          </wpg:grpSpPr>
                          <wps:wsp>
                            <wps:cNvPr id="26036" name="Rounded Rectangle 26036"/>
                            <wps:cNvSpPr/>
                            <wps:spPr>
                              <a:xfrm>
                                <a:off x="-202009" y="1257657"/>
                                <a:ext cx="2698189" cy="1299354"/>
                              </a:xfrm>
                              <a:prstGeom prst="roundRect">
                                <a:avLst/>
                              </a:prstGeom>
                            </wps:spPr>
                            <wps:style>
                              <a:lnRef idx="2">
                                <a:schemeClr val="dk1"/>
                              </a:lnRef>
                              <a:fillRef idx="1">
                                <a:schemeClr val="lt1"/>
                              </a:fillRef>
                              <a:effectRef idx="0">
                                <a:schemeClr val="dk1"/>
                              </a:effectRef>
                              <a:fontRef idx="minor">
                                <a:schemeClr val="dk1"/>
                              </a:fontRef>
                            </wps:style>
                            <wps:txbx>
                              <w:txbxContent>
                                <w:p w14:paraId="3B38A5B9" w14:textId="77777777" w:rsidR="00C8402C" w:rsidRPr="00DB701D" w:rsidRDefault="00C8402C" w:rsidP="009528DB">
                                  <w:pPr>
                                    <w:ind w:left="-142"/>
                                    <w:jc w:val="center"/>
                                    <w:rPr>
                                      <w:sz w:val="20"/>
                                      <w:szCs w:val="20"/>
                                    </w:rPr>
                                  </w:pPr>
                                  <w:r w:rsidRPr="00DB701D">
                                    <w:rPr>
                                      <w:sz w:val="20"/>
                                      <w:szCs w:val="20"/>
                                    </w:rPr>
                                    <w:t>On a scale of 0-100, how sure are you that you will correctly draw blood/insert the catheter on this attempt? 10 is not  sure at all, 40 is somewhat sure, 70 is pretty sure and 100 is very sure.</w:t>
                                  </w:r>
                                </w:p>
                                <w:p w14:paraId="073A7C55" w14:textId="77777777" w:rsidR="00C8402C" w:rsidRPr="00DB701D" w:rsidRDefault="00C8402C" w:rsidP="009528DB">
                                  <w:pPr>
                                    <w:ind w:left="-142"/>
                                    <w:jc w:val="center"/>
                                    <w:rPr>
                                      <w:sz w:val="20"/>
                                      <w:szCs w:val="20"/>
                                    </w:rPr>
                                  </w:pPr>
                                </w:p>
                                <w:p w14:paraId="69C07F59" w14:textId="77777777" w:rsidR="00C8402C" w:rsidRPr="00DB701D" w:rsidRDefault="00C8402C" w:rsidP="009528DB">
                                  <w:pPr>
                                    <w:ind w:left="-142"/>
                                    <w:jc w:val="center"/>
                                    <w:rPr>
                                      <w:sz w:val="20"/>
                                      <w:szCs w:val="20"/>
                                    </w:rPr>
                                  </w:pPr>
                                </w:p>
                                <w:p w14:paraId="18E27B8F" w14:textId="77777777" w:rsidR="00C8402C" w:rsidRPr="00DB701D" w:rsidRDefault="00C8402C" w:rsidP="009528DB">
                                  <w:pPr>
                                    <w:ind w:left="-142"/>
                                    <w:jc w:val="center"/>
                                    <w:rPr>
                                      <w:sz w:val="20"/>
                                      <w:szCs w:val="20"/>
                                    </w:rPr>
                                  </w:pPr>
                                </w:p>
                                <w:p w14:paraId="43AAEAF3" w14:textId="77777777" w:rsidR="00C8402C" w:rsidRPr="00DB701D" w:rsidRDefault="00C8402C" w:rsidP="009528DB">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37" name="Rounded Rectangle 26037"/>
                            <wps:cNvSpPr/>
                            <wps:spPr>
                              <a:xfrm>
                                <a:off x="-21268" y="475013"/>
                                <a:ext cx="2281555" cy="3892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F04497E" w14:textId="77777777" w:rsidR="00C8402C" w:rsidRPr="00DB701D" w:rsidRDefault="00C8402C" w:rsidP="009528DB">
                                  <w:pPr>
                                    <w:jc w:val="center"/>
                                    <w:rPr>
                                      <w:b/>
                                      <w:sz w:val="20"/>
                                      <w:szCs w:val="20"/>
                                    </w:rPr>
                                  </w:pPr>
                                  <w:r w:rsidRPr="00DB701D">
                                    <w:rPr>
                                      <w:b/>
                                      <w:sz w:val="20"/>
                                      <w:szCs w:val="20"/>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38" name="Down Arrow 26038"/>
                            <wps:cNvSpPr/>
                            <wps:spPr>
                              <a:xfrm>
                                <a:off x="1000010" y="890650"/>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39" name="Rounded Rectangle 26039"/>
                            <wps:cNvSpPr/>
                            <wps:spPr>
                              <a:xfrm>
                                <a:off x="2683823" y="475013"/>
                                <a:ext cx="2138680" cy="3892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28418C0" w14:textId="35F98533" w:rsidR="00C8402C" w:rsidRPr="00DB701D" w:rsidRDefault="00C8402C" w:rsidP="009528DB">
                                  <w:pPr>
                                    <w:jc w:val="center"/>
                                    <w:rPr>
                                      <w:b/>
                                      <w:sz w:val="20"/>
                                      <w:szCs w:val="20"/>
                                    </w:rPr>
                                  </w:pPr>
                                  <w:r w:rsidRPr="00DB701D">
                                    <w:rPr>
                                      <w:b/>
                                      <w:sz w:val="20"/>
                                      <w:szCs w:val="20"/>
                                    </w:rPr>
                                    <w:t>Self/environmental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0" name="Rounded Rectangle 26040"/>
                            <wps:cNvSpPr/>
                            <wps:spPr>
                              <a:xfrm>
                                <a:off x="2683501" y="1257659"/>
                                <a:ext cx="2216761" cy="1549051"/>
                              </a:xfrm>
                              <a:prstGeom prst="roundRect">
                                <a:avLst/>
                              </a:prstGeom>
                            </wps:spPr>
                            <wps:style>
                              <a:lnRef idx="2">
                                <a:schemeClr val="dk1"/>
                              </a:lnRef>
                              <a:fillRef idx="1">
                                <a:schemeClr val="lt1"/>
                              </a:fillRef>
                              <a:effectRef idx="0">
                                <a:schemeClr val="dk1"/>
                              </a:effectRef>
                              <a:fontRef idx="minor">
                                <a:schemeClr val="dk1"/>
                              </a:fontRef>
                            </wps:style>
                            <wps:txbx>
                              <w:txbxContent>
                                <w:p w14:paraId="10B65D83" w14:textId="77777777" w:rsidR="00C8402C" w:rsidRPr="00DB701D" w:rsidRDefault="00C8402C" w:rsidP="009528DB">
                                  <w:pPr>
                                    <w:jc w:val="center"/>
                                    <w:rPr>
                                      <w:sz w:val="20"/>
                                      <w:szCs w:val="20"/>
                                    </w:rPr>
                                  </w:pPr>
                                  <w:r w:rsidRPr="00DB701D">
                                    <w:rPr>
                                      <w:sz w:val="20"/>
                                      <w:szCs w:val="20"/>
                                    </w:rPr>
                                    <w:t xml:space="preserve">Are you aware of any factors within yourself or around you that might interfere with how you draw blood/insert the catheter? </w:t>
                                  </w:r>
                                </w:p>
                                <w:p w14:paraId="3F2E2350" w14:textId="77777777" w:rsidR="00C8402C" w:rsidRPr="00DB701D" w:rsidRDefault="00C8402C" w:rsidP="009528DB">
                                  <w:pPr>
                                    <w:jc w:val="center"/>
                                    <w:rPr>
                                      <w:sz w:val="20"/>
                                      <w:szCs w:val="20"/>
                                    </w:rPr>
                                  </w:pPr>
                                  <w:r w:rsidRPr="00DB701D">
                                    <w:rPr>
                                      <w:sz w:val="20"/>
                                      <w:szCs w:val="20"/>
                                    </w:rPr>
                                    <w:t>If so, what is it/are 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41" name="Down Arrow 26041"/>
                            <wps:cNvSpPr/>
                            <wps:spPr>
                              <a:xfrm>
                                <a:off x="3621974" y="890650"/>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2" name="Rounded Rectangle 26042"/>
                            <wps:cNvSpPr/>
                            <wps:spPr>
                              <a:xfrm>
                                <a:off x="5308270" y="475013"/>
                                <a:ext cx="2138680" cy="3892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80D7ACB" w14:textId="77777777" w:rsidR="00C8402C" w:rsidRPr="00DB701D" w:rsidRDefault="00C8402C" w:rsidP="009528DB">
                                  <w:pPr>
                                    <w:jc w:val="center"/>
                                    <w:rPr>
                                      <w:b/>
                                      <w:sz w:val="20"/>
                                      <w:szCs w:val="20"/>
                                    </w:rPr>
                                  </w:pPr>
                                  <w:r w:rsidRPr="00DB701D">
                                    <w:rPr>
                                      <w:b/>
                                      <w:sz w:val="20"/>
                                      <w:szCs w:val="20"/>
                                    </w:rPr>
                                    <w:t>Goal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3" name="Rounded Rectangle 26043"/>
                            <wps:cNvSpPr/>
                            <wps:spPr>
                              <a:xfrm>
                                <a:off x="5296395" y="1258074"/>
                                <a:ext cx="2138680" cy="1206755"/>
                              </a:xfrm>
                              <a:prstGeom prst="roundRect">
                                <a:avLst/>
                              </a:prstGeom>
                            </wps:spPr>
                            <wps:style>
                              <a:lnRef idx="2">
                                <a:schemeClr val="dk1"/>
                              </a:lnRef>
                              <a:fillRef idx="1">
                                <a:schemeClr val="lt1"/>
                              </a:fillRef>
                              <a:effectRef idx="0">
                                <a:schemeClr val="dk1"/>
                              </a:effectRef>
                              <a:fontRef idx="minor">
                                <a:schemeClr val="dk1"/>
                              </a:fontRef>
                            </wps:style>
                            <wps:txbx>
                              <w:txbxContent>
                                <w:p w14:paraId="682CA991" w14:textId="77777777" w:rsidR="00C8402C" w:rsidRPr="00DB701D" w:rsidRDefault="00C8402C" w:rsidP="009528DB">
                                  <w:pPr>
                                    <w:jc w:val="center"/>
                                    <w:rPr>
                                      <w:sz w:val="20"/>
                                      <w:szCs w:val="20"/>
                                    </w:rPr>
                                  </w:pPr>
                                  <w:r w:rsidRPr="00DB701D">
                                    <w:rPr>
                                      <w:sz w:val="20"/>
                                      <w:szCs w:val="20"/>
                                    </w:rPr>
                                    <w:t>Do you have a goal – that is, what you want to achieve, in mind before drawing this blood sample/inserting the catheter? If so, what is it/are 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44" name="Down Arrow 26044"/>
                            <wps:cNvSpPr/>
                            <wps:spPr>
                              <a:xfrm>
                                <a:off x="6258296" y="890650"/>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5" name="Rounded Rectangle 26045"/>
                            <wps:cNvSpPr/>
                            <wps:spPr>
                              <a:xfrm>
                                <a:off x="7873340" y="475013"/>
                                <a:ext cx="2138680" cy="3892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4720821" w14:textId="77777777" w:rsidR="00C8402C" w:rsidRPr="00DB701D" w:rsidRDefault="00C8402C" w:rsidP="009528DB">
                                  <w:pPr>
                                    <w:jc w:val="center"/>
                                    <w:rPr>
                                      <w:b/>
                                      <w:sz w:val="20"/>
                                      <w:szCs w:val="20"/>
                                    </w:rPr>
                                  </w:pPr>
                                  <w:r w:rsidRPr="00DB701D">
                                    <w:rPr>
                                      <w:b/>
                                      <w:sz w:val="20"/>
                                      <w:szCs w:val="20"/>
                                    </w:rPr>
                                    <w:t>Strategy/technique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6" name="Rounded Rectangle 26046"/>
                            <wps:cNvSpPr/>
                            <wps:spPr>
                              <a:xfrm>
                                <a:off x="7849101" y="1258255"/>
                                <a:ext cx="2138680" cy="1049774"/>
                              </a:xfrm>
                              <a:prstGeom prst="roundRect">
                                <a:avLst/>
                              </a:prstGeom>
                            </wps:spPr>
                            <wps:style>
                              <a:lnRef idx="2">
                                <a:schemeClr val="dk1"/>
                              </a:lnRef>
                              <a:fillRef idx="1">
                                <a:schemeClr val="lt1"/>
                              </a:fillRef>
                              <a:effectRef idx="0">
                                <a:schemeClr val="dk1"/>
                              </a:effectRef>
                              <a:fontRef idx="minor">
                                <a:schemeClr val="dk1"/>
                              </a:fontRef>
                            </wps:style>
                            <wps:txbx>
                              <w:txbxContent>
                                <w:p w14:paraId="75AE9567" w14:textId="77777777" w:rsidR="00C8402C" w:rsidRPr="00DB701D" w:rsidRDefault="00C8402C" w:rsidP="009528DB">
                                  <w:pPr>
                                    <w:jc w:val="center"/>
                                    <w:rPr>
                                      <w:sz w:val="20"/>
                                      <w:szCs w:val="20"/>
                                    </w:rPr>
                                  </w:pPr>
                                  <w:r w:rsidRPr="00DB701D">
                                    <w:rPr>
                                      <w:sz w:val="20"/>
                                      <w:szCs w:val="20"/>
                                    </w:rPr>
                                    <w:t>Do you have a particular technique in mind to draw this blood sample / insert the catheter?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47" name="Down Arrow 26047"/>
                            <wps:cNvSpPr/>
                            <wps:spPr>
                              <a:xfrm>
                                <a:off x="8811491" y="890650"/>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8" name="Down Arrow 26048"/>
                            <wps:cNvSpPr/>
                            <wps:spPr>
                              <a:xfrm rot="16200000">
                                <a:off x="4940135" y="510639"/>
                                <a:ext cx="246380" cy="32575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49" name="Rounded Rectangle 26049"/>
                            <wps:cNvSpPr/>
                            <wps:spPr>
                              <a:xfrm>
                                <a:off x="3946207" y="-127612"/>
                                <a:ext cx="2221048" cy="463673"/>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5A69232" w14:textId="77777777" w:rsidR="00C8402C" w:rsidRPr="00DB701D" w:rsidRDefault="00C8402C" w:rsidP="009528DB">
                                  <w:pPr>
                                    <w:jc w:val="center"/>
                                    <w:rPr>
                                      <w:b/>
                                      <w:sz w:val="20"/>
                                      <w:szCs w:val="20"/>
                                    </w:rPr>
                                  </w:pPr>
                                  <w:r w:rsidRPr="00DB701D">
                                    <w:rPr>
                                      <w:b/>
                                      <w:sz w:val="20"/>
                                      <w:szCs w:val="20"/>
                                    </w:rPr>
                                    <w:t>Before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055" name="Group 26055"/>
                        <wpg:cNvGrpSpPr/>
                        <wpg:grpSpPr>
                          <a:xfrm>
                            <a:off x="4829175" y="4044403"/>
                            <a:ext cx="5233298" cy="2412666"/>
                            <a:chOff x="0" y="-230697"/>
                            <a:chExt cx="5234139" cy="2414679"/>
                          </a:xfrm>
                        </wpg:grpSpPr>
                        <wps:wsp>
                          <wps:cNvPr id="26056" name="Rounded Rectangle 26056"/>
                          <wps:cNvSpPr/>
                          <wps:spPr>
                            <a:xfrm>
                              <a:off x="2691047" y="1019000"/>
                              <a:ext cx="2543092" cy="1164982"/>
                            </a:xfrm>
                            <a:prstGeom prst="roundRect">
                              <a:avLst/>
                            </a:prstGeom>
                          </wps:spPr>
                          <wps:style>
                            <a:lnRef idx="2">
                              <a:schemeClr val="dk1"/>
                            </a:lnRef>
                            <a:fillRef idx="1">
                              <a:schemeClr val="lt1"/>
                            </a:fillRef>
                            <a:effectRef idx="0">
                              <a:schemeClr val="dk1"/>
                            </a:effectRef>
                            <a:fontRef idx="minor">
                              <a:schemeClr val="dk1"/>
                            </a:fontRef>
                          </wps:style>
                          <wps:txbx>
                            <w:txbxContent>
                              <w:p w14:paraId="224352B8" w14:textId="77777777" w:rsidR="00C8402C" w:rsidRPr="00DB701D" w:rsidRDefault="00C8402C" w:rsidP="009528DB">
                                <w:pPr>
                                  <w:jc w:val="center"/>
                                  <w:rPr>
                                    <w:sz w:val="20"/>
                                    <w:szCs w:val="20"/>
                                  </w:rPr>
                                </w:pPr>
                                <w:r w:rsidRPr="00DB701D">
                                  <w:rPr>
                                    <w:sz w:val="20"/>
                                    <w:szCs w:val="20"/>
                                  </w:rPr>
                                  <w:t xml:space="preserve">What is the main reason why you think you succeeded/failed to draw this blood sample correctly / insert the catheter correctly? Please explain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7" name="Rounded Rectangle 26057"/>
                          <wps:cNvSpPr/>
                          <wps:spPr>
                            <a:xfrm>
                              <a:off x="2933205" y="271260"/>
                              <a:ext cx="2281555" cy="349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BC92C6C" w14:textId="77777777" w:rsidR="00C8402C" w:rsidRPr="00DB701D" w:rsidRDefault="00C8402C" w:rsidP="009528DB">
                                <w:pPr>
                                  <w:jc w:val="center"/>
                                  <w:rPr>
                                    <w:b/>
                                    <w:sz w:val="20"/>
                                    <w:szCs w:val="20"/>
                                  </w:rPr>
                                </w:pPr>
                                <w:r w:rsidRPr="00DB701D">
                                  <w:rPr>
                                    <w:b/>
                                    <w:sz w:val="20"/>
                                    <w:szCs w:val="20"/>
                                  </w:rPr>
                                  <w:t>Attribution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58" name="Down Arrow 26058"/>
                          <wps:cNvSpPr/>
                          <wps:spPr>
                            <a:xfrm>
                              <a:off x="3978234" y="663145"/>
                              <a:ext cx="246380" cy="32575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59" name="Rounded Rectangle 26059"/>
                          <wps:cNvSpPr/>
                          <wps:spPr>
                            <a:xfrm>
                              <a:off x="35448" y="1017171"/>
                              <a:ext cx="2265680" cy="1166402"/>
                            </a:xfrm>
                            <a:prstGeom prst="roundRect">
                              <a:avLst/>
                            </a:prstGeom>
                          </wps:spPr>
                          <wps:style>
                            <a:lnRef idx="2">
                              <a:schemeClr val="dk1"/>
                            </a:lnRef>
                            <a:fillRef idx="1">
                              <a:schemeClr val="lt1"/>
                            </a:fillRef>
                            <a:effectRef idx="0">
                              <a:schemeClr val="dk1"/>
                            </a:effectRef>
                            <a:fontRef idx="minor">
                              <a:schemeClr val="dk1"/>
                            </a:fontRef>
                          </wps:style>
                          <wps:txbx>
                            <w:txbxContent>
                              <w:p w14:paraId="3FB9DAF7" w14:textId="77777777" w:rsidR="00C8402C" w:rsidRPr="00DB701D" w:rsidRDefault="00C8402C" w:rsidP="009528DB">
                                <w:pPr>
                                  <w:jc w:val="center"/>
                                  <w:rPr>
                                    <w:sz w:val="20"/>
                                    <w:szCs w:val="20"/>
                                  </w:rPr>
                                </w:pPr>
                                <w:r w:rsidRPr="00DB701D">
                                  <w:rPr>
                                    <w:sz w:val="20"/>
                                    <w:szCs w:val="20"/>
                                  </w:rPr>
                                  <w:t xml:space="preserve">What is the main thing you would change in how you perform this skill next time? Please explain.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60" name="Rounded Rectangle 26060"/>
                          <wps:cNvSpPr/>
                          <wps:spPr>
                            <a:xfrm>
                              <a:off x="0" y="259383"/>
                              <a:ext cx="2281555" cy="349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8120441" w14:textId="77777777" w:rsidR="00C8402C" w:rsidRPr="00DB701D" w:rsidRDefault="00C8402C" w:rsidP="009528DB">
                                <w:pPr>
                                  <w:jc w:val="center"/>
                                  <w:rPr>
                                    <w:b/>
                                    <w:sz w:val="20"/>
                                    <w:szCs w:val="20"/>
                                  </w:rPr>
                                </w:pPr>
                                <w:r w:rsidRPr="00DB701D">
                                  <w:rPr>
                                    <w:b/>
                                    <w:sz w:val="20"/>
                                    <w:szCs w:val="20"/>
                                  </w:rPr>
                                  <w:t>Adaptive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1" name="Down Arrow 26061"/>
                          <wps:cNvSpPr/>
                          <wps:spPr>
                            <a:xfrm>
                              <a:off x="1045028" y="651270"/>
                              <a:ext cx="246380" cy="32575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2" name="Down Arrow 26062"/>
                          <wps:cNvSpPr/>
                          <wps:spPr>
                            <a:xfrm rot="16200000">
                              <a:off x="2493818" y="271260"/>
                              <a:ext cx="246380" cy="32575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3" name="Rounded Rectangle 26063"/>
                          <wps:cNvSpPr/>
                          <wps:spPr>
                            <a:xfrm>
                              <a:off x="1270660" y="-230697"/>
                              <a:ext cx="2624447" cy="38925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63A193D" w14:textId="77777777" w:rsidR="00C8402C" w:rsidRPr="00DB701D" w:rsidRDefault="00C8402C" w:rsidP="009528DB">
                                <w:pPr>
                                  <w:jc w:val="center"/>
                                  <w:rPr>
                                    <w:b/>
                                    <w:sz w:val="20"/>
                                    <w:szCs w:val="20"/>
                                  </w:rPr>
                                </w:pPr>
                                <w:r w:rsidRPr="00DB701D">
                                  <w:rPr>
                                    <w:b/>
                                    <w:sz w:val="20"/>
                                    <w:szCs w:val="20"/>
                                  </w:rPr>
                                  <w:t>After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50" name="Group 26050"/>
                        <wpg:cNvGrpSpPr/>
                        <wpg:grpSpPr>
                          <a:xfrm>
                            <a:off x="57402" y="3580978"/>
                            <a:ext cx="10125885" cy="2938849"/>
                            <a:chOff x="57402" y="31477"/>
                            <a:chExt cx="10125885" cy="2939971"/>
                          </a:xfrm>
                        </wpg:grpSpPr>
                        <wps:wsp>
                          <wps:cNvPr id="26051" name="Rectangle 26051"/>
                          <wps:cNvSpPr/>
                          <wps:spPr>
                            <a:xfrm rot="5400000">
                              <a:off x="2596103" y="1421152"/>
                              <a:ext cx="2934331" cy="1662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52" name="Rectangle 26052"/>
                          <wps:cNvSpPr/>
                          <wps:spPr>
                            <a:xfrm>
                              <a:off x="57402" y="31477"/>
                              <a:ext cx="10125885" cy="1739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53" name="Rectangle 26053"/>
                          <wps:cNvSpPr/>
                          <wps:spPr>
                            <a:xfrm>
                              <a:off x="3990975" y="66675"/>
                              <a:ext cx="142875" cy="139065"/>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54" name="Down Arrow 26054"/>
                        <wps:cNvSpPr/>
                        <wps:spPr>
                          <a:xfrm>
                            <a:off x="1765847" y="3800192"/>
                            <a:ext cx="277317" cy="4122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69" name="Down Arrow 26069"/>
                        <wps:cNvSpPr/>
                        <wps:spPr>
                          <a:xfrm rot="16200000">
                            <a:off x="3390262" y="4959842"/>
                            <a:ext cx="312341" cy="4843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31" name="Rectangle 26031"/>
                        <wps:cNvSpPr/>
                        <wps:spPr>
                          <a:xfrm>
                            <a:off x="120755" y="158891"/>
                            <a:ext cx="3667697" cy="8572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D53A200" w14:textId="77777777" w:rsidR="00C8402C" w:rsidRPr="00DB701D" w:rsidRDefault="00C8402C" w:rsidP="009528DB">
                              <w:pPr>
                                <w:rPr>
                                  <w:b/>
                                  <w:sz w:val="20"/>
                                  <w:szCs w:val="20"/>
                                  <w:u w:val="single"/>
                                </w:rPr>
                              </w:pPr>
                              <w:r w:rsidRPr="00DB701D">
                                <w:rPr>
                                  <w:b/>
                                  <w:sz w:val="20"/>
                                  <w:szCs w:val="20"/>
                                  <w:u w:val="single"/>
                                </w:rPr>
                                <w:t>Self-Regulation Microanalysis – Question guide</w:t>
                              </w:r>
                            </w:p>
                            <w:p w14:paraId="5C7A8695" w14:textId="77777777" w:rsidR="00C8402C" w:rsidRPr="00DB701D" w:rsidRDefault="00C8402C" w:rsidP="009528DB">
                              <w:pPr>
                                <w:rPr>
                                  <w:b/>
                                  <w:sz w:val="20"/>
                                  <w:szCs w:val="20"/>
                                </w:rPr>
                              </w:pPr>
                              <w:r w:rsidRPr="00DB701D">
                                <w:rPr>
                                  <w:b/>
                                  <w:sz w:val="20"/>
                                  <w:szCs w:val="20"/>
                                </w:rPr>
                                <w:t>Please follow the sequence as outlined and fill in the accompanying mark sheet.</w:t>
                              </w:r>
                            </w:p>
                            <w:p w14:paraId="6389DEE3" w14:textId="77777777" w:rsidR="00C8402C" w:rsidRPr="00DB701D" w:rsidRDefault="00C8402C" w:rsidP="009528D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F3C33" id="Group 26070" o:spid="_x0000_s1370" style="position:absolute;margin-left:-4.7pt;margin-top:-12.7pt;width:720.75pt;height:409.5pt;z-index:251906048;mso-width-relative:margin;mso-height-relative:margin" coordorigin="57401,158891" coordsize="10213089,63609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">
                <v:group id="Group 26064" o:spid="_x0000_s1371" style="position:absolute;left:249978;top:4310080;width:3263075;height:2060063" coordorigin="-359708,-193744" coordsize="3263855,13564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CYT3xwAAAN4A&#10;AAAPAAAAAAAAAAAAAAAAAKkCAABkcnMvZG93bnJldi54bWxQSwUGAAAAAAQABAD6AAAAnQMAAAAA&#10;">
                  <v:roundrect id="Rounded Rectangle 26065" o:spid="_x0000_s1372" style="position:absolute;left:-359708;top:746751;width:3263855;height:41599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elfxwAA&#10;AN4AAAAPAAAAZHJzL2Rvd25yZXYueG1sRI9BSwMxFITvQv9DeII3m1joWtempSilLdhDq6LHx+a5&#10;WTZ5WTaxXf+9EYQeh5n5hpkvB+/EifrYBNZwN1YgiKtgGq41vL2ub2cgYkI26AKThh+KsFyMruZY&#10;mnDmA52OqRYZwrFEDTalrpQyVpY8xnHoiLP3FXqPKcu+lqbHc4Z7JydKFdJjw3nBYkdPlqr2+O01&#10;fL7s3b2ym4/WvT/snodde0istL65HlaPIBIN6RL+b2+Nhkmhiin83c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KnpX8cAAADeAAAADwAAAAAAAAAAAAAAAACXAgAAZHJz&#10;L2Rvd25yZXYueG1sUEsFBgAAAAAEAAQA9QAAAIsDAAAAAA==&#10;" fillcolor="white [3201]" strokecolor="black [3200]" strokeweight="1pt">
                    <v:stroke joinstyle="miter"/>
                    <v:textbox>
                      <w:txbxContent>
                        <w:p w14:paraId="3DE71B04" w14:textId="77777777" w:rsidR="00C8402C" w:rsidRPr="00DB701D" w:rsidRDefault="00C8402C" w:rsidP="009528DB">
                          <w:pPr>
                            <w:jc w:val="center"/>
                            <w:rPr>
                              <w:sz w:val="20"/>
                              <w:szCs w:val="20"/>
                            </w:rPr>
                          </w:pPr>
                          <w:r w:rsidRPr="00DB701D">
                            <w:rPr>
                              <w:sz w:val="20"/>
                              <w:szCs w:val="20"/>
                            </w:rPr>
                            <w:t>Can you tell me whether you think everything is going according to plan or not?</w:t>
                          </w:r>
                        </w:p>
                      </w:txbxContent>
                    </v:textbox>
                  </v:roundrect>
                  <v:roundrect id="Rounded Rectangle 26066" o:spid="_x0000_s1373" style="position:absolute;left:142272;top:208324;width:2281555;height:24695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qcXxAAA&#10;AN4AAAAPAAAAZHJzL2Rvd25yZXYueG1sRI/BasMwEETvhfyD2EJujVQT3OBaNk1ooD02yQcs1sY2&#10;tlbGUmw3X18VCj0OM/OGycvF9mKi0beONTxvFAjiypmWaw2X8/FpB8IHZIO9Y9LwTR7KYvWQY2bc&#10;zF80nUItIoR9hhqaEIZMSl81ZNFv3EAcvasbLYYox1qaEecIt71MlEqlxZbjQoMDHRqqutPNang3&#10;+6v57Pj2srd+uM/bBNWUaL1+XN5eQQRawn/4r/1hNCSpSlP4vROv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qnF8QAAADeAAAADwAAAAAAAAAAAAAAAACXAgAAZHJzL2Rv&#10;d25yZXYueG1sUEsFBgAAAAAEAAQA9QAAAIgDAAAAAA==&#10;" fillcolor="#82a0d7 [2168]" strokecolor="#4472c4 [3208]" strokeweight=".5pt">
                    <v:fill color2="#678ccf [2616]" rotate="t" colors="0 #a8b7df;.5 #9aabd9;1 #879ed7" focus="100%" type="gradient">
                      <o:fill v:ext="view" type="gradientUnscaled"/>
                    </v:fill>
                    <v:stroke joinstyle="miter"/>
                    <v:textbox>
                      <w:txbxContent>
                        <w:p w14:paraId="66044AD5" w14:textId="77777777" w:rsidR="00C8402C" w:rsidRPr="00DB701D" w:rsidRDefault="00C8402C" w:rsidP="009528DB">
                          <w:pPr>
                            <w:jc w:val="center"/>
                            <w:rPr>
                              <w:b/>
                              <w:sz w:val="20"/>
                              <w:szCs w:val="20"/>
                            </w:rPr>
                          </w:pPr>
                          <w:r w:rsidRPr="00DB701D">
                            <w:rPr>
                              <w:b/>
                              <w:sz w:val="20"/>
                              <w:szCs w:val="20"/>
                            </w:rPr>
                            <w:t>Self-monitoring</w:t>
                          </w:r>
                        </w:p>
                      </w:txbxContent>
                    </v:textbox>
                  </v:roundrect>
                  <v:shape id="Down Arrow 26067" o:spid="_x0000_s1374" type="#_x0000_t67" style="position:absolute;left:1163480;top:496361;width:246380;height:237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xXCyQAA&#10;AN4AAAAPAAAAZHJzL2Rvd25yZXYueG1sRI9BSwMxFITvQv9DeAVvNmmFtaxNi7QUFA/SVQ/enpvX&#10;3cXNyzZJu1t/vREKPQ4z8w2zWA22FSfyoXGsYTpRIIhLZxquNHy8b+/mIEJENtg6Jg1nCrBajm4W&#10;mBvX845ORaxEgnDIUUMdY5dLGcqaLIaJ64iTt3feYkzSV9J47BPctnKmVCYtNpwWauxoXVP5Uxyt&#10;hjf1ci663/tju5t/7fv1xh9eP7+1vh0PT48gIg3xGr60n42GWaayB/i/k66AX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YsxXCyQAAAN4AAAAPAAAAAAAAAAAAAAAAAJcCAABk&#10;cnMvZG93bnJldi54bWxQSwUGAAAAAAQABAD1AAAAjQMAAAAA&#10;" adj="10800" fillcolor="#82a0d7 [2168]" strokecolor="#4472c4 [3208]" strokeweight=".5pt">
                    <v:fill color2="#678ccf [2616]" rotate="t" colors="0 #a8b7df;.5 #9aabd9;1 #879ed7" focus="100%" type="gradient">
                      <o:fill v:ext="view" type="gradientUnscaled"/>
                    </v:fill>
                  </v:shape>
                  <v:roundrect id="Rounded Rectangle 26068" o:spid="_x0000_s1375" style="position:absolute;left:-23983;top:-193744;width:2624447;height:31762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Zb+wAAA&#10;AN4AAAAPAAAAZHJzL2Rvd25yZXYueG1sRE/LisIwFN0L8w/hDriziUXq0DGKDjOgSx8fcGmubbG5&#10;KU1sO369WQguD+e92oy2ET11vnasYZ4oEMSFMzWXGi7nv9kXCB+QDTaOScM/edisPyYrzI0b+Ej9&#10;KZQihrDPUUMVQptL6YuKLPrEtcSRu7rOYoiwK6XpcIjhtpGpUpm0WHNsqLCln4qK2+luNfya3dUc&#10;bnxf7qxvH8MiRdWnWk8/x+03iEBjeItf7r3RkGYqi3vjnXgF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uZb+wAAAAN4AAAAPAAAAAAAAAAAAAAAAAJcCAABkcnMvZG93bnJl&#10;di54bWxQSwUGAAAAAAQABAD1AAAAhAMAAAAA&#10;" fillcolor="#82a0d7 [2168]" strokecolor="#4472c4 [3208]" strokeweight=".5pt">
                    <v:fill color2="#678ccf [2616]" rotate="t" colors="0 #a8b7df;.5 #9aabd9;1 #879ed7" focus="100%" type="gradient">
                      <o:fill v:ext="view" type="gradientUnscaled"/>
                    </v:fill>
                    <v:stroke joinstyle="miter"/>
                    <v:textbox>
                      <w:txbxContent>
                        <w:p w14:paraId="4DB7BA2D" w14:textId="77777777" w:rsidR="00C8402C" w:rsidRPr="00DB701D" w:rsidRDefault="00C8402C" w:rsidP="009528DB">
                          <w:pPr>
                            <w:jc w:val="center"/>
                            <w:rPr>
                              <w:b/>
                              <w:sz w:val="20"/>
                              <w:szCs w:val="20"/>
                            </w:rPr>
                          </w:pPr>
                          <w:r w:rsidRPr="00DB701D">
                            <w:rPr>
                              <w:b/>
                              <w:sz w:val="20"/>
                              <w:szCs w:val="20"/>
                            </w:rPr>
                            <w:t>During the task</w:t>
                          </w:r>
                        </w:p>
                      </w:txbxContent>
                    </v:textbox>
                  </v:roundrect>
                </v:group>
                <v:group id="Group 26032" o:spid="_x0000_s1376" style="position:absolute;left:57401;top:581025;width:10213089;height:2933087" coordorigin="-180724" coordsize="10213089,2933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flgXGAAAA3gAA&#10;AA8AAAAAAAAAAAAAAAAAqQIAAGRycy9kb3ducmV2LnhtbFBLBQYAAAAABAAEAPoAAACcAwAAAAA=&#10;">
                  <v:shape id="Down Arrow 26033" o:spid="_x0000_s1377" type="#_x0000_t67" style="position:absolute;left:7554434;top:643269;width:246380;height:3257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EG+yAAA&#10;AN4AAAAPAAAAZHJzL2Rvd25yZXYueG1sRI9BawIxFITvBf9DeIK3mlXpIlujSKlab2qrpbfH5nWz&#10;7eZl2aS6+utNQfA4zMw3zGTW2kocqfGlYwWDfgKCOHe65ELBx/vicQzCB2SNlWNScCYPs2nnYYKZ&#10;dife0nEXChEh7DNUYEKoMyl9bsii77uaOHrfrrEYomwKqRs8Rbit5DBJUmmx5LhgsKYXQ/nv7s8q&#10;2K+2n4PUXA6vh6+ny8Yu1/v5z1qpXredP4MI1IZ7+NZ+0wqGaTIawf+deAXk9A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m8Qb7IAAAA3gAAAA8AAAAAAAAAAAAAAAAAlwIAAGRy&#10;cy9kb3ducmV2LnhtbFBLBQYAAAAABAAEAPUAAACMAwAAAAA=&#10;" adj="13432" fillcolor="#ffc000 [3207]" strokecolor="#7f5f00 [1607]" strokeweight="1pt"/>
                  <v:shape id="Down Arrow 26034" o:spid="_x0000_s1378" type="#_x0000_t67" style="position:absolute;left:2376378;top:643269;width:246380;height:3257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dnKyQAA&#10;AN4AAAAPAAAAZHJzL2Rvd25yZXYueG1sRI9PawIxFMTvBb9DeEJvNau1i6xGEbFVb9X6h94em9fN&#10;tpuXZZPq6qdvCoUeh5n5DTOZtbYSZ2p86VhBv5eAIM6dLrlQsH97fhiB8AFZY+WYFFzJw2zauZtg&#10;pt2Ft3TehUJECPsMFZgQ6kxKnxuy6HuuJo7eh2sshiibQuoGLxFuKzlIklRaLDkuGKxpYSj/2n1b&#10;BYfV9tRPze24PL4/3V7ty+Yw/9wodd9t52MQgdrwH/5rr7WCQZo8DuH3TrwCcv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mVdnKyQAAAN4AAAAPAAAAAAAAAAAAAAAAAJcCAABk&#10;cnMvZG93bnJldi54bWxQSwUGAAAAAAQABAD1AAAAjQMAAAAA&#10;" adj="13432" fillcolor="#ffc000 [3207]" strokecolor="#7f5f00 [1607]" strokeweight="1pt"/>
                  <v:group id="Group 26035" o:spid="_x0000_s1379" style="position:absolute;left:-180724;width:10213089;height:2933375" coordorigin="-202009,-127612" coordsize="10214029,2934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vYOccUAAADeAAAA&#10;DwAAAAAAAAAAAAAAAACpAgAAZHJzL2Rvd25yZXYueG1sUEsFBgAAAAAEAAQA+gAAAJsDAAAAAA==&#10;">
                    <v:roundrect id="Rounded Rectangle 26036" o:spid="_x0000_s1380" style="position:absolute;left:-202009;top:1257657;width:2698189;height:129935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Fg1xwAA&#10;AN4AAAAPAAAAZHJzL2Rvd25yZXYueG1sRI9BSwMxFITvQv9DeII3m9jCWtempSilLdhDq6LHx+a5&#10;WTZ5WTaxXf+9EYQeh5n5hpkvB+/EifrYBNZwN1YgiKtgGq41vL2ub2cgYkI26AKThh+KsFyMruZY&#10;mnDmA52OqRYZwrFEDTalrpQyVpY8xnHoiLP3FXqPKcu+lqbHc4Z7JydKFdJjw3nBYkdPlqr2+O01&#10;fL7s3b2ym4/WvT/snodde0istL65HlaPIBIN6RL+b2+NhkmhpgX83c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8hYNccAAADeAAAADwAAAAAAAAAAAAAAAACXAgAAZHJz&#10;L2Rvd25yZXYueG1sUEsFBgAAAAAEAAQA9QAAAIsDAAAAAA==&#10;" fillcolor="white [3201]" strokecolor="black [3200]" strokeweight="1pt">
                      <v:stroke joinstyle="miter"/>
                      <v:textbox>
                        <w:txbxContent>
                          <w:p w14:paraId="3B38A5B9" w14:textId="77777777" w:rsidR="00C8402C" w:rsidRPr="00DB701D" w:rsidRDefault="00C8402C" w:rsidP="009528DB">
                            <w:pPr>
                              <w:ind w:left="-142"/>
                              <w:jc w:val="center"/>
                              <w:rPr>
                                <w:sz w:val="20"/>
                                <w:szCs w:val="20"/>
                              </w:rPr>
                            </w:pPr>
                            <w:r w:rsidRPr="00DB701D">
                              <w:rPr>
                                <w:sz w:val="20"/>
                                <w:szCs w:val="20"/>
                              </w:rPr>
                              <w:t xml:space="preserve">On a scale of 0-100, how sure are you that you will correctly draw blood/insert the catheter on this attempt? 10 is </w:t>
                            </w:r>
                            <w:proofErr w:type="gramStart"/>
                            <w:r w:rsidRPr="00DB701D">
                              <w:rPr>
                                <w:sz w:val="20"/>
                                <w:szCs w:val="20"/>
                              </w:rPr>
                              <w:t>not  sure</w:t>
                            </w:r>
                            <w:proofErr w:type="gramEnd"/>
                            <w:r w:rsidRPr="00DB701D">
                              <w:rPr>
                                <w:sz w:val="20"/>
                                <w:szCs w:val="20"/>
                              </w:rPr>
                              <w:t xml:space="preserve"> at all, 40 is somewhat sure, 70 is pretty sure and 100 is very sure.</w:t>
                            </w:r>
                          </w:p>
                          <w:p w14:paraId="073A7C55" w14:textId="77777777" w:rsidR="00C8402C" w:rsidRPr="00DB701D" w:rsidRDefault="00C8402C" w:rsidP="009528DB">
                            <w:pPr>
                              <w:ind w:left="-142"/>
                              <w:jc w:val="center"/>
                              <w:rPr>
                                <w:sz w:val="20"/>
                                <w:szCs w:val="20"/>
                              </w:rPr>
                            </w:pPr>
                          </w:p>
                          <w:p w14:paraId="69C07F59" w14:textId="77777777" w:rsidR="00C8402C" w:rsidRPr="00DB701D" w:rsidRDefault="00C8402C" w:rsidP="009528DB">
                            <w:pPr>
                              <w:ind w:left="-142"/>
                              <w:jc w:val="center"/>
                              <w:rPr>
                                <w:sz w:val="20"/>
                                <w:szCs w:val="20"/>
                              </w:rPr>
                            </w:pPr>
                          </w:p>
                          <w:p w14:paraId="18E27B8F" w14:textId="77777777" w:rsidR="00C8402C" w:rsidRPr="00DB701D" w:rsidRDefault="00C8402C" w:rsidP="009528DB">
                            <w:pPr>
                              <w:ind w:left="-142"/>
                              <w:jc w:val="center"/>
                              <w:rPr>
                                <w:sz w:val="20"/>
                                <w:szCs w:val="20"/>
                              </w:rPr>
                            </w:pPr>
                          </w:p>
                          <w:p w14:paraId="43AAEAF3" w14:textId="77777777" w:rsidR="00C8402C" w:rsidRPr="00DB701D" w:rsidRDefault="00C8402C" w:rsidP="009528DB">
                            <w:pPr>
                              <w:jc w:val="center"/>
                              <w:rPr>
                                <w:sz w:val="20"/>
                                <w:szCs w:val="20"/>
                              </w:rPr>
                            </w:pPr>
                          </w:p>
                        </w:txbxContent>
                      </v:textbox>
                    </v:roundrect>
                    <v:roundrect id="Rounded Rectangle 26037" o:spid="_x0000_s1381" style="position:absolute;left:-21268;top:475013;width:2281555;height:3892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3yk4xwAA&#10;AN4AAAAPAAAAZHJzL2Rvd25yZXYueG1sRI9Ba8JAFITvBf/D8oReim5M0Up0lWIrFj1VxfMj+5pN&#10;m30bstsk/fduQfA4zMw3zHLd20q01PjSsYLJOAFBnDtdcqHgfNqO5iB8QNZYOSYFf+RhvRo8LDHT&#10;ruNPao+hEBHCPkMFJoQ6k9Lnhiz6sauJo/flGoshyqaQusEuwm0l0ySZSYslxwWDNW0M5T/HX6vg&#10;0nab77SYXs7V/u3pYLa7ybtlpR6H/esCRKA+3MO39odWkM6S5xf4vxOv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d8pOMcAAADeAAAADwAAAAAAAAAAAAAAAACXAgAAZHJz&#10;L2Rvd25yZXYueG1sUEsFBgAAAAAEAAQA9QAAAIsDAAAAAA==&#10;" fillcolor="#ffd555 [2167]" strokecolor="#ffc000 [3207]" strokeweight=".5pt">
                      <v:fill color2="#ffcc31 [2615]" rotate="t" colors="0 #ffdd9c;.5 #ffd78e;1 #ffd479" focus="100%" type="gradient">
                        <o:fill v:ext="view" type="gradientUnscaled"/>
                      </v:fill>
                      <v:stroke joinstyle="miter"/>
                      <v:textbox>
                        <w:txbxContent>
                          <w:p w14:paraId="0F04497E" w14:textId="77777777" w:rsidR="00C8402C" w:rsidRPr="00DB701D" w:rsidRDefault="00C8402C" w:rsidP="009528DB">
                            <w:pPr>
                              <w:jc w:val="center"/>
                              <w:rPr>
                                <w:b/>
                                <w:sz w:val="20"/>
                                <w:szCs w:val="20"/>
                              </w:rPr>
                            </w:pPr>
                            <w:r w:rsidRPr="00DB701D">
                              <w:rPr>
                                <w:b/>
                                <w:sz w:val="20"/>
                                <w:szCs w:val="20"/>
                              </w:rPr>
                              <w:t>Self-efficacy</w:t>
                            </w:r>
                          </w:p>
                        </w:txbxContent>
                      </v:textbox>
                    </v:roundrect>
                    <v:shape id="Down Arrow 26038" o:spid="_x0000_s1382" type="#_x0000_t67" style="position:absolute;left:1000010;top:890650;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asHwAAA&#10;AN4AAAAPAAAAZHJzL2Rvd25yZXYueG1sRE/Pa8IwFL4P/B/CG3gZNlnHRDqjOEHYjq31/mjemrLm&#10;pTSx1v/eHAY7fny/t/vZ9WKiMXSeNbxmCgRx403HrYb6fFptQISIbLD3TBruFGC/WzxtsTD+xiVN&#10;VWxFCuFQoAYb41BIGRpLDkPmB+LE/fjRYUxwbKUZ8ZbCXS9zpdbSYcepweJAR0vNb3V1GkrJ9uUz&#10;vpvq+zIYM1k1I9daL5/nwweISHP8F/+5v4yGfK3e0t50J10Bu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wasHwAAAAN4AAAAPAAAAAAAAAAAAAAAAAJcCAABkcnMvZG93bnJl&#10;di54bWxQSwUGAAAAAAQABAD1AAAAhAMAAAAA&#10;" adj="13432" fillcolor="#ffc000 [3207]" strokecolor="#7f5f00 [1607]" strokeweight="1pt"/>
                    <v:roundrect id="Rounded Rectangle 26039" o:spid="_x0000_s1383" style="position:absolute;left:2683823;top:475013;width:2138680;height:3892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jRxwAA&#10;AN4AAAAPAAAAZHJzL2Rvd25yZXYueG1sRI9Ba8JAFITvBf/D8oReim5MUWp0lWIrFj1VxfMj+5pN&#10;m30bstsk/fduQfA4zMw3zHLd20q01PjSsYLJOAFBnDtdcqHgfNqOXkD4gKyxckwK/sjDejV4WGKm&#10;Xcef1B5DISKEfYYKTAh1JqXPDVn0Y1cTR+/LNRZDlE0hdYNdhNtKpkkykxZLjgsGa9oYyn+Ov1bB&#10;pe0232kxvZyr/dvTwWx3k3fLSj0O+9cFiEB9uIdv7Q+tIJ0lz3P4vxOv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Y0ccAAADeAAAADwAAAAAAAAAAAAAAAACXAgAAZHJz&#10;L2Rvd25yZXYueG1sUEsFBgAAAAAEAAQA9QAAAIsDAAAAAA==&#10;" fillcolor="#ffd555 [2167]" strokecolor="#ffc000 [3207]" strokeweight=".5pt">
                      <v:fill color2="#ffcc31 [2615]" rotate="t" colors="0 #ffdd9c;.5 #ffd78e;1 #ffd479" focus="100%" type="gradient">
                        <o:fill v:ext="view" type="gradientUnscaled"/>
                      </v:fill>
                      <v:stroke joinstyle="miter"/>
                      <v:textbox>
                        <w:txbxContent>
                          <w:p w14:paraId="328418C0" w14:textId="35F98533" w:rsidR="00C8402C" w:rsidRPr="00DB701D" w:rsidRDefault="00C8402C" w:rsidP="009528DB">
                            <w:pPr>
                              <w:jc w:val="center"/>
                              <w:rPr>
                                <w:b/>
                                <w:sz w:val="20"/>
                                <w:szCs w:val="20"/>
                              </w:rPr>
                            </w:pPr>
                            <w:r w:rsidRPr="00DB701D">
                              <w:rPr>
                                <w:b/>
                                <w:sz w:val="20"/>
                                <w:szCs w:val="20"/>
                              </w:rPr>
                              <w:t>Self/environmental factors</w:t>
                            </w:r>
                          </w:p>
                        </w:txbxContent>
                      </v:textbox>
                    </v:roundrect>
                    <v:roundrect id="Rounded Rectangle 26040" o:spid="_x0000_s1384" style="position:absolute;left:2683501;top:1257659;width:2216761;height:154905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xanxgAA&#10;AN4AAAAPAAAAZHJzL2Rvd25yZXYueG1sRI/NagIxFIX3Bd8hXMFdTZSi7dQoohQV7ELb0i4vk9vJ&#10;MMnNMIk6fftmUejycP74FqveO3GlLtaBNUzGCgRxGUzNlYb3t5f7RxAxIRt0gUnDD0VYLQd3CyxM&#10;uPGJrudUiTzCsUANNqW2kDKWljzGcWiJs/cdOo8py66SpsNbHvdOTpWaSY815weLLW0slc354jV8&#10;HV/dXNndZ+M+ng7b/tCcEiutR8N+/QwiUZ/+w3/tvdEwnamHDJBxMgr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axanxgAAAN4AAAAPAAAAAAAAAAAAAAAAAJcCAABkcnMv&#10;ZG93bnJldi54bWxQSwUGAAAAAAQABAD1AAAAigMAAAAA&#10;" fillcolor="white [3201]" strokecolor="black [3200]" strokeweight="1pt">
                      <v:stroke joinstyle="miter"/>
                      <v:textbox>
                        <w:txbxContent>
                          <w:p w14:paraId="10B65D83" w14:textId="77777777" w:rsidR="00C8402C" w:rsidRPr="00DB701D" w:rsidRDefault="00C8402C" w:rsidP="009528DB">
                            <w:pPr>
                              <w:jc w:val="center"/>
                              <w:rPr>
                                <w:sz w:val="20"/>
                                <w:szCs w:val="20"/>
                              </w:rPr>
                            </w:pPr>
                            <w:r w:rsidRPr="00DB701D">
                              <w:rPr>
                                <w:sz w:val="20"/>
                                <w:szCs w:val="20"/>
                              </w:rPr>
                              <w:t xml:space="preserve">Are you aware of any factors within yourself or around you that might interfere with how you draw blood/insert the catheter? </w:t>
                            </w:r>
                          </w:p>
                          <w:p w14:paraId="3F2E2350" w14:textId="77777777" w:rsidR="00C8402C" w:rsidRPr="00DB701D" w:rsidRDefault="00C8402C" w:rsidP="009528DB">
                            <w:pPr>
                              <w:jc w:val="center"/>
                              <w:rPr>
                                <w:sz w:val="20"/>
                                <w:szCs w:val="20"/>
                              </w:rPr>
                            </w:pPr>
                            <w:r w:rsidRPr="00DB701D">
                              <w:rPr>
                                <w:sz w:val="20"/>
                                <w:szCs w:val="20"/>
                              </w:rPr>
                              <w:t>If so, what is it/are they?</w:t>
                            </w:r>
                          </w:p>
                        </w:txbxContent>
                      </v:textbox>
                    </v:roundrect>
                    <v:shape id="Down Arrow 26041" o:spid="_x0000_s1385" type="#_x0000_t67" style="position:absolute;left:3621974;top:890650;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HnwQAA&#10;AN4AAAAPAAAAZHJzL2Rvd25yZXYueG1sRI9Bi8IwFITvC/6H8IS9LJooKlKN4grCerTq/dE8m2Lz&#10;Upps7f77jSB4HGbmG2a97V0tOmpD5VnDZKxAEBfeVFxquJwPoyWIEJEN1p5Jwx8F2G4GH2vMjH/w&#10;ibo8liJBOGSowcbYZFKGwpLDMPYNcfJuvnUYk2xLaVp8JLir5VSphXRYcVqw2NDeUnHPf52Gk2T7&#10;9R3nJj9eG2M6q3rki9afw363AhGpj+/wq/1jNEwXajaB5510BeTm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x58EAAADeAAAADwAAAAAAAAAAAAAAAACXAgAAZHJzL2Rvd25y&#10;ZXYueG1sUEsFBgAAAAAEAAQA9QAAAIUDAAAAAA==&#10;" adj="13432" fillcolor="#ffc000 [3207]" strokecolor="#7f5f00 [1607]" strokeweight="1pt"/>
                    <v:roundrect id="Rounded Rectangle 26042" o:spid="_x0000_s1386" style="position:absolute;left:5308270;top:475013;width:2138680;height:3892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vndxgAA&#10;AN4AAAAPAAAAZHJzL2Rvd25yZXYueG1sRI9Ba8JAFITvBf/D8gQvohtDKxJdRWylpT1VxfMj+8xG&#10;s29Ddk3Sf98tCD0OM/MNs9r0thItNb50rGA2TUAQ506XXCg4HfeTBQgfkDVWjknBD3nYrAdPK8y0&#10;6/ib2kMoRISwz1CBCaHOpPS5IYt+6mri6F1cYzFE2RRSN9hFuK1kmiRzabHkuGCwpp2h/Ha4WwXn&#10;tttd0+LlfKo+X8dfZv8+e7Os1GjYb5cgAvXhP/xof2gF6Tx5TuHvTr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rvndxgAAAN4AAAAPAAAAAAAAAAAAAAAAAJcCAABkcnMv&#10;ZG93bnJldi54bWxQSwUGAAAAAAQABAD1AAAAigMAAAAA&#10;" fillcolor="#ffd555 [2167]" strokecolor="#ffc000 [3207]" strokeweight=".5pt">
                      <v:fill color2="#ffcc31 [2615]" rotate="t" colors="0 #ffdd9c;.5 #ffd78e;1 #ffd479" focus="100%" type="gradient">
                        <o:fill v:ext="view" type="gradientUnscaled"/>
                      </v:fill>
                      <v:stroke joinstyle="miter"/>
                      <v:textbox>
                        <w:txbxContent>
                          <w:p w14:paraId="680D7ACB" w14:textId="77777777" w:rsidR="00C8402C" w:rsidRPr="00DB701D" w:rsidRDefault="00C8402C" w:rsidP="009528DB">
                            <w:pPr>
                              <w:jc w:val="center"/>
                              <w:rPr>
                                <w:b/>
                                <w:sz w:val="20"/>
                                <w:szCs w:val="20"/>
                              </w:rPr>
                            </w:pPr>
                            <w:r w:rsidRPr="00DB701D">
                              <w:rPr>
                                <w:b/>
                                <w:sz w:val="20"/>
                                <w:szCs w:val="20"/>
                              </w:rPr>
                              <w:t>Goal setting</w:t>
                            </w:r>
                          </w:p>
                        </w:txbxContent>
                      </v:textbox>
                    </v:roundrect>
                    <v:roundrect id="Rounded Rectangle 26043" o:spid="_x0000_s1387" style="position:absolute;left:5296395;top:1258074;width:2138680;height:120675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YjQxwAA&#10;AN4AAAAPAAAAZHJzL2Rvd25yZXYueG1sRI9bSwMxFITfC/6HcIS+2cRWelmbFlFEC/rQG/p42Bw3&#10;yyYnyya26783gtDHYWa+YZbr3jtxoi7WgTXcjhQI4jKYmisNh/3zzRxETMgGXWDS8EMR1qurwRIL&#10;E868pdMuVSJDOBaowabUFlLG0pLHOAotcfa+QucxZdlV0nR4znDv5FipqfRYc16w2NKjpbLZfXsN&#10;n2/vbqbsy0fjjovNU79ptomV1sPr/uEeRKI+XcL/7VejYTxVdxP4u5Ov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7mI0McAAADeAAAADwAAAAAAAAAAAAAAAACXAgAAZHJz&#10;L2Rvd25yZXYueG1sUEsFBgAAAAAEAAQA9QAAAIsDAAAAAA==&#10;" fillcolor="white [3201]" strokecolor="black [3200]" strokeweight="1pt">
                      <v:stroke joinstyle="miter"/>
                      <v:textbox>
                        <w:txbxContent>
                          <w:p w14:paraId="682CA991" w14:textId="77777777" w:rsidR="00C8402C" w:rsidRPr="00DB701D" w:rsidRDefault="00C8402C" w:rsidP="009528DB">
                            <w:pPr>
                              <w:jc w:val="center"/>
                              <w:rPr>
                                <w:sz w:val="20"/>
                                <w:szCs w:val="20"/>
                              </w:rPr>
                            </w:pPr>
                            <w:r w:rsidRPr="00DB701D">
                              <w:rPr>
                                <w:sz w:val="20"/>
                                <w:szCs w:val="20"/>
                              </w:rPr>
                              <w:t>Do you have a goal – that is, what you want to achieve, in mind before drawing this blood sample/inserting the catheter? If so, what is it/are they?</w:t>
                            </w:r>
                          </w:p>
                        </w:txbxContent>
                      </v:textbox>
                    </v:roundrect>
                    <v:shape id="Down Arrow 26044" o:spid="_x0000_s1388" type="#_x0000_t67" style="position:absolute;left:6258296;top:890650;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tJ/wwAA&#10;AN4AAAAPAAAAZHJzL2Rvd25yZXYueG1sRI/BasMwEETvhf6D2EIvpZEaUlOcKKEtFJJjHOe+WBvL&#10;1FoZSXWcv48CgR6HmXnDrDaT68VIIXaeNbzNFAjixpuOWw314ef1A0RMyAZ7z6ThQhE268eHFZbG&#10;n3lPY5VakSEcS9RgUxpKKWNjyWGc+YE4eycfHKYsQytNwHOGu17OlSqkw47zgsWBvi01v9Wf07CX&#10;bF++0rupdsfBmNGqCbnW+vlp+lyCSDSl//C9vTUa5oVaLOB2J18Bub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tJ/wwAAAN4AAAAPAAAAAAAAAAAAAAAAAJcCAABkcnMvZG93&#10;bnJldi54bWxQSwUGAAAAAAQABAD1AAAAhwMAAAAA&#10;" adj="13432" fillcolor="#ffc000 [3207]" strokecolor="#7f5f00 [1607]" strokeweight="1pt"/>
                    <v:roundrect id="Rounded Rectangle 26045" o:spid="_x0000_s1389" style="position:absolute;left:7873340;top:475013;width:2138680;height:3892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2GpxwAA&#10;AN4AAAAPAAAAZHJzL2Rvd25yZXYueG1sRI9Pa8JAFMTvQr/D8gq9lLoxVCmpq4hWFD35B8+P7Gs2&#10;bfZtyK5J+u1doeBxmJnfMNN5byvRUuNLxwpGwwQEce50yYWC82n99gHCB2SNlWNS8Ece5rOnwRQz&#10;7To+UHsMhYgQ9hkqMCHUmZQ+N2TRD11NHL1v11gMUTaF1A12EW4rmSbJRFosOS4YrGlpKP89Xq2C&#10;S9stf9JifDlXu9Xr3qw3oy/LSr0894tPEIH68Aj/t7daQTpJ3sdwvxOv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dhqccAAADeAAAADwAAAAAAAAAAAAAAAACXAgAAZHJz&#10;L2Rvd25yZXYueG1sUEsFBgAAAAAEAAQA9QAAAIsDAAAAAA==&#10;" fillcolor="#ffd555 [2167]" strokecolor="#ffc000 [3207]" strokeweight=".5pt">
                      <v:fill color2="#ffcc31 [2615]" rotate="t" colors="0 #ffdd9c;.5 #ffd78e;1 #ffd479" focus="100%" type="gradient">
                        <o:fill v:ext="view" type="gradientUnscaled"/>
                      </v:fill>
                      <v:stroke joinstyle="miter"/>
                      <v:textbox>
                        <w:txbxContent>
                          <w:p w14:paraId="14720821" w14:textId="77777777" w:rsidR="00C8402C" w:rsidRPr="00DB701D" w:rsidRDefault="00C8402C" w:rsidP="009528DB">
                            <w:pPr>
                              <w:jc w:val="center"/>
                              <w:rPr>
                                <w:b/>
                                <w:sz w:val="20"/>
                                <w:szCs w:val="20"/>
                              </w:rPr>
                            </w:pPr>
                            <w:r w:rsidRPr="00DB701D">
                              <w:rPr>
                                <w:b/>
                                <w:sz w:val="20"/>
                                <w:szCs w:val="20"/>
                              </w:rPr>
                              <w:t>Strategy/technique selection</w:t>
                            </w:r>
                          </w:p>
                        </w:txbxContent>
                      </v:textbox>
                    </v:roundrect>
                    <v:roundrect id="Rounded Rectangle 26046" o:spid="_x0000_s1390" style="position:absolute;left:7849101;top:1258255;width:2138680;height:104977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itIxwAA&#10;AN4AAAAPAAAAZHJzL2Rvd25yZXYueG1sRI9BSwMxFITvQv9DeII3m1jKWtempSilLdhDq6LHx+a5&#10;WTZ5WTaxXf+9EYQeh5n5hpkvB+/EifrYBNZwN1YgiKtgGq41vL2ub2cgYkI26AKThh+KsFyMruZY&#10;mnDmA52OqRYZwrFEDTalrpQyVpY8xnHoiLP3FXqPKcu+lqbHc4Z7JydKFdJjw3nBYkdPlqr2+O01&#10;fL7s3b2ym4/WvT/snodde0istL65HlaPIBIN6RL+b2+NhkmhpgX83c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84rSMcAAADeAAAADwAAAAAAAAAAAAAAAACXAgAAZHJz&#10;L2Rvd25yZXYueG1sUEsFBgAAAAAEAAQA9QAAAIsDAAAAAA==&#10;" fillcolor="white [3201]" strokecolor="black [3200]" strokeweight="1pt">
                      <v:stroke joinstyle="miter"/>
                      <v:textbox>
                        <w:txbxContent>
                          <w:p w14:paraId="75AE9567" w14:textId="77777777" w:rsidR="00C8402C" w:rsidRPr="00DB701D" w:rsidRDefault="00C8402C" w:rsidP="009528DB">
                            <w:pPr>
                              <w:jc w:val="center"/>
                              <w:rPr>
                                <w:sz w:val="20"/>
                                <w:szCs w:val="20"/>
                              </w:rPr>
                            </w:pPr>
                            <w:r w:rsidRPr="00DB701D">
                              <w:rPr>
                                <w:sz w:val="20"/>
                                <w:szCs w:val="20"/>
                              </w:rPr>
                              <w:t>Do you have a particular technique in mind to draw this blood sample / insert the catheter?</w:t>
                            </w:r>
                          </w:p>
                        </w:txbxContent>
                      </v:textbox>
                    </v:roundrect>
                    <v:shape id="Down Arrow 26047" o:spid="_x0000_s1391" type="#_x0000_t67" style="position:absolute;left:8811491;top:890650;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EwIwwAA&#10;AN4AAAAPAAAAZHJzL2Rvd25yZXYueG1sRI9Ba8JAFITvQv/D8gpepO5WqpU0G6mC0B6Nen9kn9nQ&#10;7NuQXWP8991CweMwM98w+WZ0rRioD41nDa9zBYK48qbhWsPpuH9ZgwgR2WDrmTTcKcCmeJrkmBl/&#10;4wMNZaxFgnDIUIONscukDJUlh2HuO+LkXXzvMCbZ19L0eEtw18qFUivpsOG0YLGjnaXqp7w6DQfJ&#10;draNS1N+nztjBqtG5JPW0+fx8wNEpDE+wv/tL6NhsVJv7/B3J10BW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WEwIwwAAAN4AAAAPAAAAAAAAAAAAAAAAAJcCAABkcnMvZG93&#10;bnJldi54bWxQSwUGAAAAAAQABAD1AAAAhwMAAAAA&#10;" adj="13432" fillcolor="#ffc000 [3207]" strokecolor="#7f5f00 [1607]" strokeweight="1pt"/>
                    <v:shape id="Down Arrow 26048" o:spid="_x0000_s1392" type="#_x0000_t67" style="position:absolute;left:4940135;top:510639;width:246380;height:3257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CyxAAA&#10;AN4AAAAPAAAAZHJzL2Rvd25yZXYueG1sRE/JbsIwEL0j9R+sQeoNHFCJUMAgVHXjVnZxG8VDnDYe&#10;R7ELga/Hh0ocn94+nbe2EmdqfOlYwaCfgCDOnS65ULDdvPfGIHxA1lg5JgVX8jCfPXWmmGl34RWd&#10;16EQMYR9hgpMCHUmpc8NWfR9VxNH7uQaiyHCppC6wUsMt5UcJkkqLZYcGwzW9Goo/13/WQW7z9Vh&#10;kJrb/m1/HN2+7cdyt/hZKvXcbRcTEIHa8BD/u7+0gmGavMS98U68An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6gssQAAADeAAAADwAAAAAAAAAAAAAAAACXAgAAZHJzL2Rv&#10;d25yZXYueG1sUEsFBgAAAAAEAAQA9QAAAIgDAAAAAA==&#10;" adj="13432" fillcolor="#ffc000 [3207]" strokecolor="#7f5f00 [1607]" strokeweight="1pt"/>
                    <v:roundrect id="Rounded Rectangle 26049" o:spid="_x0000_s1393" style="position:absolute;left:3946207;top:-127612;width:2221048;height:46367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musxwAA&#10;AN4AAAAPAAAAZHJzL2Rvd25yZXYueG1sRI9Ba8JAFITvBf/D8oReim4MVWp0lWIrFj1VxfMj+5pN&#10;m30bstsk/fduQfA4zMw3zHLd20q01PjSsYLJOAFBnDtdcqHgfNqOXkD4gKyxckwK/sjDejV4WGKm&#10;Xcef1B5DISKEfYYKTAh1JqXPDVn0Y1cTR+/LNRZDlE0hdYNdhNtKpkkykxZLjgsGa9oYyn+Ov1bB&#10;pe0232kxvZyr/dvTwWx3k3fLSj0O+9cFiEB9uIdv7Q+tIJ0lz3P4vxOv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wprrMcAAADeAAAADwAAAAAAAAAAAAAAAACXAgAAZHJz&#10;L2Rvd25yZXYueG1sUEsFBgAAAAAEAAQA9QAAAIsDAAAAAA==&#10;" fillcolor="#ffd555 [2167]" strokecolor="#ffc000 [3207]" strokeweight=".5pt">
                      <v:fill color2="#ffcc31 [2615]" rotate="t" colors="0 #ffdd9c;.5 #ffd78e;1 #ffd479" focus="100%" type="gradient">
                        <o:fill v:ext="view" type="gradientUnscaled"/>
                      </v:fill>
                      <v:stroke joinstyle="miter"/>
                      <v:textbox>
                        <w:txbxContent>
                          <w:p w14:paraId="45A69232" w14:textId="77777777" w:rsidR="00C8402C" w:rsidRPr="00DB701D" w:rsidRDefault="00C8402C" w:rsidP="009528DB">
                            <w:pPr>
                              <w:jc w:val="center"/>
                              <w:rPr>
                                <w:b/>
                                <w:sz w:val="20"/>
                                <w:szCs w:val="20"/>
                              </w:rPr>
                            </w:pPr>
                            <w:r w:rsidRPr="00DB701D">
                              <w:rPr>
                                <w:b/>
                                <w:sz w:val="20"/>
                                <w:szCs w:val="20"/>
                              </w:rPr>
                              <w:t>Before the task</w:t>
                            </w:r>
                          </w:p>
                        </w:txbxContent>
                      </v:textbox>
                    </v:roundrect>
                  </v:group>
                </v:group>
                <v:group id="Group 26055" o:spid="_x0000_s1394" style="position:absolute;left:4829175;top:4044403;width:5233298;height:2412666" coordorigin=",-230697" coordsize="5234139,24146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Mp69HGAAAA3gAA&#10;AA8AAAAAAAAAAAAAAAAAqQIAAGRycy9kb3ducmV2LnhtbFBLBQYAAAAABAAEAPoAAACcAwAAAAA=&#10;">
                  <v:roundrect id="Rounded Rectangle 26056" o:spid="_x0000_s1395" style="position:absolute;left:2691047;top:1019000;width:2543092;height:11649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72VxwAA&#10;AN4AAAAPAAAAZHJzL2Rvd25yZXYueG1sRI9BSwMxFITvQv9DeII3m1joWtempSilLdhDq6LHx+a5&#10;WTZ5WTaxXf+9EYQeh5n5hpkvB+/EifrYBNZwN1YgiKtgGq41vL2ub2cgYkI26AKThh+KsFyMruZY&#10;mnDmA52OqRYZwrFEDTalrpQyVpY8xnHoiLP3FXqPKcu+lqbHc4Z7JydKFdJjw3nBYkdPlqr2+O01&#10;fL7s3b2ym4/WvT/snodde0istL65HlaPIBIN6RL+b2+NhkmhpgX83c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he9lccAAADeAAAADwAAAAAAAAAAAAAAAACXAgAAZHJz&#10;L2Rvd25yZXYueG1sUEsFBgAAAAAEAAQA9QAAAIsDAAAAAA==&#10;" fillcolor="white [3201]" strokecolor="black [3200]" strokeweight="1pt">
                    <v:stroke joinstyle="miter"/>
                    <v:textbox>
                      <w:txbxContent>
                        <w:p w14:paraId="224352B8" w14:textId="77777777" w:rsidR="00C8402C" w:rsidRPr="00DB701D" w:rsidRDefault="00C8402C" w:rsidP="009528DB">
                          <w:pPr>
                            <w:jc w:val="center"/>
                            <w:rPr>
                              <w:sz w:val="20"/>
                              <w:szCs w:val="20"/>
                            </w:rPr>
                          </w:pPr>
                          <w:r w:rsidRPr="00DB701D">
                            <w:rPr>
                              <w:sz w:val="20"/>
                              <w:szCs w:val="20"/>
                            </w:rPr>
                            <w:t xml:space="preserve">What is the main reason why you think you succeeded/failed to draw this blood sample correctly / insert the catheter correctly? Please explain  </w:t>
                          </w:r>
                        </w:p>
                      </w:txbxContent>
                    </v:textbox>
                  </v:roundrect>
                  <v:roundrect id="Rounded Rectangle 26057" o:spid="_x0000_s1396" style="position:absolute;left:2933205;top:271260;width:2281555;height:3492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nGayQAA&#10;AN4AAAAPAAAAZHJzL2Rvd25yZXYueG1sRI9Ba8JAFITvgv9heYIXqRuFppq6iloKeik0FWxvj+xr&#10;Esy+jdk1pv76bkHocZiZb5jFqjOVaKlxpWUFk3EEgjizuuRcweHj9WEGwnlkjZVlUvBDDlbLfm+B&#10;ibZXfqc29bkIEHYJKii8rxMpXVaQQTe2NXHwvm1j0AfZ5FI3eA1wU8lpFMXSYMlhocCatgVlp/Ri&#10;FNzms1tcbdrj/us8ly+TdPT5trsoNRx062cQnjr/H763d1rBNI4en+DvTrgCcvk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inGayQAAAN4AAAAPAAAAAAAAAAAAAAAAAJcCAABk&#10;cnMvZG93bnJldi54bWxQSwUGAAAAAAQABAD1AAAAjQMAAAAA&#10;" fillcolor="#9ecb81 [2169]" strokecolor="#70ad47 [3209]" strokeweight=".5pt">
                    <v:fill color2="#8ac066 [2617]" rotate="t" colors="0 #b5d5a7;.5 #aace99;1 #9cca86" focus="100%" type="gradient">
                      <o:fill v:ext="view" type="gradientUnscaled"/>
                    </v:fill>
                    <v:stroke joinstyle="miter"/>
                    <v:textbox>
                      <w:txbxContent>
                        <w:p w14:paraId="0BC92C6C" w14:textId="77777777" w:rsidR="00C8402C" w:rsidRPr="00DB701D" w:rsidRDefault="00C8402C" w:rsidP="009528DB">
                          <w:pPr>
                            <w:jc w:val="center"/>
                            <w:rPr>
                              <w:b/>
                              <w:sz w:val="20"/>
                              <w:szCs w:val="20"/>
                            </w:rPr>
                          </w:pPr>
                          <w:r w:rsidRPr="00DB701D">
                            <w:rPr>
                              <w:b/>
                              <w:sz w:val="20"/>
                              <w:szCs w:val="20"/>
                            </w:rPr>
                            <w:t>Attribution beliefs</w:t>
                          </w:r>
                        </w:p>
                      </w:txbxContent>
                    </v:textbox>
                  </v:roundrect>
                  <v:shape id="Down Arrow 26058" o:spid="_x0000_s1397" type="#_x0000_t67" style="position:absolute;left:3978234;top:663145;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lJ1wwAA&#10;AN4AAAAPAAAAZHJzL2Rvd25yZXYueG1sRE/Pa8IwFL4P9j+EN/AyNFWwzM4oKlTdwYOd3h/NW9qt&#10;eSlN1Prfm4Ow48f3e77sbSOu1PnasYLxKAFBXDpds1Fw+s6HHyB8QNbYOCYFd/KwXLy+zDHT7sZH&#10;uhbBiBjCPkMFVQhtJqUvK7LoR64ljtyP6yyGCDsjdYe3GG4bOUmSVFqsOTZU2NKmovKvuFgFX8W7&#10;Ocx63lqT79L7Or+cd7+k1OCtX32CCNSHf/HTvdcKJmkyjXvjnXgF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ClJ1wwAAAN4AAAAPAAAAAAAAAAAAAAAAAJcCAABkcnMvZG93&#10;bnJldi54bWxQSwUGAAAAAAQABAD1AAAAhwMAAAAA&#10;" adj="13432" fillcolor="#9ecb81 [2169]" strokecolor="#70ad47 [3209]" strokeweight=".5pt">
                    <v:fill color2="#8ac066 [2617]" rotate="t" colors="0 #b5d5a7;.5 #aace99;1 #9cca86" focus="100%" type="gradient">
                      <o:fill v:ext="view" type="gradientUnscaled"/>
                    </v:fill>
                  </v:shape>
                  <v:roundrect id="Rounded Rectangle 26059" o:spid="_x0000_s1398" style="position:absolute;left:35448;top:1017171;width:2265680;height:116640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CnnxwAA&#10;AN4AAAAPAAAAZHJzL2Rvd25yZXYueG1sRI9BawIxFITvhf6H8ArealKhtm6NUlqKCvagbdHjY/O6&#10;WTZ5WTZR139vhEKPw8x8w0znvXfiSF2sA2t4GCoQxGUwNVcavr8+7p9BxIRs0AUmDWeKMJ/d3kyx&#10;MOHEGzpuUyUyhGOBGmxKbSFlLC15jMPQEmfvN3QeU5ZdJU2Hpwz3To6UGkuPNecFiy29WSqb7cFr&#10;2K8/3ZOyi13jfiar937VbBIrrQd3/esLiER9+g//tZdGw2isHidwvZOvgJx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4gp58cAAADeAAAADwAAAAAAAAAAAAAAAACXAgAAZHJz&#10;L2Rvd25yZXYueG1sUEsFBgAAAAAEAAQA9QAAAIsDAAAAAA==&#10;" fillcolor="white [3201]" strokecolor="black [3200]" strokeweight="1pt">
                    <v:stroke joinstyle="miter"/>
                    <v:textbox>
                      <w:txbxContent>
                        <w:p w14:paraId="3FB9DAF7" w14:textId="77777777" w:rsidR="00C8402C" w:rsidRPr="00DB701D" w:rsidRDefault="00C8402C" w:rsidP="009528DB">
                          <w:pPr>
                            <w:jc w:val="center"/>
                            <w:rPr>
                              <w:sz w:val="20"/>
                              <w:szCs w:val="20"/>
                            </w:rPr>
                          </w:pPr>
                          <w:r w:rsidRPr="00DB701D">
                            <w:rPr>
                              <w:sz w:val="20"/>
                              <w:szCs w:val="20"/>
                            </w:rPr>
                            <w:t xml:space="preserve">What is the main thing you would change in how you perform this skill next time? Please explain. </w:t>
                          </w:r>
                        </w:p>
                      </w:txbxContent>
                    </v:textbox>
                  </v:roundrect>
                  <v:roundrect id="Rounded Rectangle 26060" o:spid="_x0000_s1399" style="position:absolute;top:259383;width:2281555;height:3492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yNTxwAA&#10;AN4AAAAPAAAAZHJzL2Rvd25yZXYueG1sRI/NasJAFIX3gu8wXKEbqRNdBBMdxbYUdFMwCm13l8w1&#10;CWbupJkxRp++sxBcHs4f33Ldm1p01LrKsoLpJAJBnFtdcaHgePh8nYNwHlljbZkU3MjBejUcLDHV&#10;9sp76jJfiDDCLkUFpfdNKqXLSzLoJrYhDt7JtgZ9kG0hdYvXMG5qOYuiWBqsODyU2NB7Sfk5uxgF&#10;92R+j+u37nv3+5fIj2k2/vnaXpR6GfWbBQhPvX+GH+2tVjCLozgABJyAAnL1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8jU8cAAADeAAAADwAAAAAAAAAAAAAAAACX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14:paraId="58120441" w14:textId="77777777" w:rsidR="00C8402C" w:rsidRPr="00DB701D" w:rsidRDefault="00C8402C" w:rsidP="009528DB">
                          <w:pPr>
                            <w:jc w:val="center"/>
                            <w:rPr>
                              <w:b/>
                              <w:sz w:val="20"/>
                              <w:szCs w:val="20"/>
                            </w:rPr>
                          </w:pPr>
                          <w:r w:rsidRPr="00DB701D">
                            <w:rPr>
                              <w:b/>
                              <w:sz w:val="20"/>
                              <w:szCs w:val="20"/>
                            </w:rPr>
                            <w:t>Adaptive changes</w:t>
                          </w:r>
                        </w:p>
                      </w:txbxContent>
                    </v:textbox>
                  </v:roundrect>
                  <v:shape id="Down Arrow 26061" o:spid="_x0000_s1400" type="#_x0000_t67" style="position:absolute;left:1045028;top:651270;width:246380;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DFVxgAA&#10;AN4AAAAPAAAAZHJzL2Rvd25yZXYueG1sRI9Ba8JAFITvQv/D8gq9FN3oIdToKm0htR48GPX+yD43&#10;sdm3Ibtq/PddQfA4zMw3zHzZ20ZcqPO1YwXjUQKCuHS6ZqNgv8uHHyB8QNbYOCYFN/KwXLwM5php&#10;d+UtXYpgRISwz1BBFUKbSenLiiz6kWuJo3d0ncUQZWek7vAa4baRkyRJpcWa40KFLX1XVP4VZ6tg&#10;XbybzbTnH2vyVXr7ys+H1YmUenvtP2cgAvXhGX60f7WCSZqkY7jfiV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XDFVxgAAAN4AAAAPAAAAAAAAAAAAAAAAAJcCAABkcnMv&#10;ZG93bnJldi54bWxQSwUGAAAAAAQABAD1AAAAigMAAAAA&#10;" adj="13432" fillcolor="#9ecb81 [2169]" strokecolor="#70ad47 [3209]" strokeweight=".5pt">
                    <v:fill color2="#8ac066 [2617]" rotate="t" colors="0 #b5d5a7;.5 #aace99;1 #9cca86" focus="100%" type="gradient">
                      <o:fill v:ext="view" type="gradientUnscaled"/>
                    </v:fill>
                  </v:shape>
                  <v:shape id="Down Arrow 26062" o:spid="_x0000_s1401" type="#_x0000_t67" style="position:absolute;left:2493818;top:271260;width:246380;height:3257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ETAxQAA&#10;AN4AAAAPAAAAZHJzL2Rvd25yZXYueG1sRI/BasMwEETvhf6D2EJujWwRjHGjhCSkYHqr00OPi7W1&#10;TKyVsZTY/fuqUOhxmJk3zHa/uEHcaQq9Zw35OgNB3HrTc6fh4/L6XIIIEdng4Jk0fFOA/e7xYYuV&#10;8TO/072JnUgQDhVqsDGOlZShteQwrP1InLwvPzmMSU6dNBPOCe4GqbKskA57TgsWRzpZaq/NzWkY&#10;Tvao1PX81oR6VmVefl42ea316mk5vICItMT/8F+7NhpUkRUKfu+kK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8RMDFAAAA3gAAAA8AAAAAAAAAAAAAAAAAlwIAAGRycy9k&#10;b3ducmV2LnhtbFBLBQYAAAAABAAEAPUAAACJAwAAAAA=&#10;" adj="13432" fillcolor="#9ecb81 [2169]" strokecolor="#70ad47 [3209]" strokeweight=".5pt">
                    <v:fill color2="#8ac066 [2617]" rotate="t" colors="0 #b5d5a7;.5 #aace99;1 #9cca86" focus="100%" type="gradient">
                      <o:fill v:ext="view" type="gradientUnscaled"/>
                    </v:fill>
                  </v:shape>
                  <v:roundrect id="Rounded Rectangle 26063" o:spid="_x0000_s1402" style="position:absolute;left:1270660;top:-230697;width:2624447;height:38925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b0kyQAA&#10;AN4AAAAPAAAAZHJzL2Rvd25yZXYueG1sRI9Ba8JAFITvBf/D8gq9FN2oEDS6ilUK9iKYFtTbI/tM&#10;QrNv0+wao7/eLRR6HGbmG2a+7EwlWmpcaVnBcBCBIM6sLjlX8PX53p+AcB5ZY2WZFNzIwXLRe5pj&#10;ou2V99SmPhcBwi5BBYX3dSKlywoy6Aa2Jg7e2TYGfZBNLnWD1wA3lRxFUSwNlhwWCqxpXVD2nV6M&#10;gvt0co+rt/bwcfqZys0wfT3uthelXp671QyEp87/h//aW61gFEfxGH7vhCsgFw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b3b0kyQAAAN4AAAAPAAAAAAAAAAAAAAAAAJcCAABk&#10;cnMvZG93bnJldi54bWxQSwUGAAAAAAQABAD1AAAAjQMAAAAA&#10;" fillcolor="#9ecb81 [2169]" strokecolor="#70ad47 [3209]" strokeweight=".5pt">
                    <v:fill color2="#8ac066 [2617]" rotate="t" colors="0 #b5d5a7;.5 #aace99;1 #9cca86" focus="100%" type="gradient">
                      <o:fill v:ext="view" type="gradientUnscaled"/>
                    </v:fill>
                    <v:stroke joinstyle="miter"/>
                    <v:textbox>
                      <w:txbxContent>
                        <w:p w14:paraId="463A193D" w14:textId="77777777" w:rsidR="00C8402C" w:rsidRPr="00DB701D" w:rsidRDefault="00C8402C" w:rsidP="009528DB">
                          <w:pPr>
                            <w:jc w:val="center"/>
                            <w:rPr>
                              <w:b/>
                              <w:sz w:val="20"/>
                              <w:szCs w:val="20"/>
                            </w:rPr>
                          </w:pPr>
                          <w:r w:rsidRPr="00DB701D">
                            <w:rPr>
                              <w:b/>
                              <w:sz w:val="20"/>
                              <w:szCs w:val="20"/>
                            </w:rPr>
                            <w:t>After the task</w:t>
                          </w:r>
                        </w:p>
                      </w:txbxContent>
                    </v:textbox>
                  </v:roundrect>
                </v:group>
                <v:group id="Group 26050" o:spid="_x0000_s1403" style="position:absolute;left:57402;top:3580978;width:10125885;height:2938849" coordorigin="57402,31477" coordsize="10125885,2939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15IScUAAADeAAAA&#10;DwAAAAAAAAAAAAAAAACpAgAAZHJzL2Rvd25yZXYueG1sUEsFBgAAAAAEAAQA+gAAAJsDAAAAAA==&#10;">
                  <v:rect id="Rectangle 26051" o:spid="_x0000_s1404" style="position:absolute;left:2596103;top:1421152;width:2934331;height:16626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b92yAAA&#10;AN4AAAAPAAAAZHJzL2Rvd25yZXYueG1sRI9RS8MwFIXfB/6HcAXftmSFblqXDREFB8Nh9QdcmmtT&#10;bG5qE7tuv34RBns8nHO+w1ltRteKgfrQeNYwnykQxJU3Ddcavj5fp/cgQkQ22HomDUcKsFnfTFZY&#10;GH/gDxrKWIsE4VCgBhtjV0gZKksOw8x3xMn79r3DmGRfS9PjIcFdKzOlFtJhw2nBYkfPlqqf8s9p&#10;qB/e1Wm/HfL2Zf+7tLtTvttmudZ3t+PTI4hIY7yGL+03oyFbqHwO/3fSFZDrM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KVv3bIAAAA3gAAAA8AAAAAAAAAAAAAAAAAlwIAAGRy&#10;cy9kb3ducmV2LnhtbFBLBQYAAAAABAAEAPUAAACMAwAAAAA=&#10;" fillcolor="#5b9bd5 [3204]" strokecolor="#1f4d78 [1604]" strokeweight="1pt"/>
                  <v:rect id="Rectangle 26052" o:spid="_x0000_s1405" style="position:absolute;left:57402;top:31477;width:10125885;height:1739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8dewwAA&#10;AN4AAAAPAAAAZHJzL2Rvd25yZXYueG1sRI/disIwEIXvhX2HMAveaWpBV7qmIsLCInih6wMMzWxT&#10;20xKE2379kYQvDycn4+z2Q62EXfqfOVYwWKegCAunK64VHD5+5mtQfiArLFxTApG8rDNPyYbzLTr&#10;+UT3cyhFHGGfoQITQptJ6QtDFv3ctcTR+3edxRBlV0rdYR/HbSPTJFlJixVHgsGW9oaK+nyzEYJ0&#10;Ghdf/b4+muFQUTNe6TYqNf0cdt8gAg3hHX61f7WCdJUsU3jeiVdA5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Y8dewwAAAN4AAAAPAAAAAAAAAAAAAAAAAJcCAABkcnMvZG93&#10;bnJldi54bWxQSwUGAAAAAAQABAD1AAAAhwMAAAAA&#10;" fillcolor="#5b9bd5 [3204]" strokecolor="#1f4d78 [1604]" strokeweight="1pt"/>
                  <v:rect id="Rectangle 26053" o:spid="_x0000_s1406" style="position:absolute;left:3990975;top:66675;width:142875;height:1390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V+NyAAA&#10;AN4AAAAPAAAAZHJzL2Rvd25yZXYueG1sRI9Pa8JAFMTvBb/D8oTe6m5tFUldRbSCh1LrH9Dja/Y1&#10;Ccm+Ddmtid/eLQg9DjPzG2Y672wlLtT4wrGG54ECQZw6U3Cm4XhYP01A+IBssHJMGq7kYT7rPUwx&#10;Ma7lHV32IRMRwj5BDXkIdSKlT3Oy6AeuJo7ej2sshiibTJoG2wi3lRwqNZYWC44LOda0zCkt979W&#10;w3az6lr1+f1xLuVqrexr+XWq3rV+7HeLNxCBuvAfvrc3RsNwrEYv8HcnXgE5u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tX43IAAAA3gAAAA8AAAAAAAAAAAAAAAAAlwIAAGRy&#10;cy9kb3ducmV2LnhtbFBLBQYAAAAABAAEAPUAAACMAwAAAAA=&#10;" fillcolor="#5b9bd5 [3204]" strokecolor="#5b9bd5 [3204]" strokeweight="1pt"/>
                </v:group>
                <v:shape id="Down Arrow 26054" o:spid="_x0000_s1407" type="#_x0000_t67" style="position:absolute;left:1765847;top:3800192;width:277317;height:4122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yTmxQAA&#10;AN4AAAAPAAAAZHJzL2Rvd25yZXYueG1sRI/NisJAEITvC77D0IK3daKoSHQU8Qdk9+TPAzSZNolm&#10;ekKm1ejT7yws7LGoqq+o+bJ1lXpQE0rPBgb9BBRx5m3JuYHzafc5BRUE2WLlmQy8KMBy0fmYY2r9&#10;kw/0OEquIoRDigYKkTrVOmQFOQx9XxNH7+IbhxJlk2vb4DPCXaWHSTLRDkuOCwXWtC4oux3vzkB5&#10;ON/rsXj53rntVW+n77X+2hjT67arGSihVv7Df+29NTCcJOMR/N6JV0A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PJObFAAAA3gAAAA8AAAAAAAAAAAAAAAAAlwIAAGRycy9k&#10;b3ducmV2LnhtbFBLBQYAAAAABAAEAPUAAACJAwAAAAA=&#10;" adj="14335" fillcolor="#5b9bd5 [3204]" strokecolor="#1f4d78 [1604]" strokeweight="1pt"/>
                <v:shape id="Down Arrow 26069" o:spid="_x0000_s1408" type="#_x0000_t67" style="position:absolute;left:3390262;top:4959842;width:312341;height:48432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RY2JxwAA&#10;AN4AAAAPAAAAZHJzL2Rvd25yZXYueG1sRI9PawIxFMTvBb9DeEJvNesetro1iohKsfTgn94fm9fN&#10;0uRl3URd++mbQqHHYWZ+w8wWvbPiSl1oPCsYjzIQxJXXDdcKTsfN0wREiMgarWdScKcAi/ngYYal&#10;9jfe0/UQa5EgHEpUYGJsSylDZchhGPmWOHmfvnMYk+xqqTu8JbizMs+yQjpsOC0YbGllqPo6XJyC&#10;iTxv7c6f37+NbY7r57WN+duHUo/DfvkCIlIf/8N/7VetIC+yYgq/d9IV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NiccAAADeAAAADwAAAAAAAAAAAAAAAACXAgAAZHJz&#10;L2Rvd25yZXYueG1sUEsFBgAAAAAEAAQA9QAAAIsDAAAAAA==&#10;" adj="14635" fillcolor="#5b9bd5 [3204]" strokecolor="#1f4d78 [1604]" strokeweight="1pt"/>
                <v:rect id="Rectangle 26031" o:spid="_x0000_s1409" style="position:absolute;left:120755;top:158891;width:3667697;height:857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J23xwAA&#10;AN4AAAAPAAAAZHJzL2Rvd25yZXYueG1sRI9Ba8JAFITvgv9heYXedNdURFI3oZYWxIKg5tLbM/ua&#10;hGbfhuw2xn/fLRQ8DjPzDbPJR9uKgXrfONawmCsQxKUzDVcaivP7bA3CB2SDrWPScCMPeTadbDA1&#10;7spHGk6hEhHCPkUNdQhdKqUva7Lo564jjt6X6y2GKPtKmh6vEW5bmSi1khYbjgs1dvRaU/l9+rEa&#10;lgd++7wlWMh9cRi2l93HMaiL1o8P48sziEBjuIf/2zujIVmppwX83YlXQG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Yydt8cAAADeAAAADwAAAAAAAAAAAAAAAACXAgAAZHJz&#10;L2Rvd25yZXYueG1sUEsFBgAAAAAEAAQA9QAAAIsDAAAAAA==&#10;" filled="f" strokecolor="black [3200]" strokeweight="1pt">
                  <v:textbox>
                    <w:txbxContent>
                      <w:p w14:paraId="0D53A200" w14:textId="77777777" w:rsidR="00C8402C" w:rsidRPr="00DB701D" w:rsidRDefault="00C8402C" w:rsidP="009528DB">
                        <w:pPr>
                          <w:rPr>
                            <w:b/>
                            <w:sz w:val="20"/>
                            <w:szCs w:val="20"/>
                            <w:u w:val="single"/>
                          </w:rPr>
                        </w:pPr>
                        <w:r w:rsidRPr="00DB701D">
                          <w:rPr>
                            <w:b/>
                            <w:sz w:val="20"/>
                            <w:szCs w:val="20"/>
                            <w:u w:val="single"/>
                          </w:rPr>
                          <w:t>Self-Regulation Microanalysis – Question guide</w:t>
                        </w:r>
                      </w:p>
                      <w:p w14:paraId="5C7A8695" w14:textId="77777777" w:rsidR="00C8402C" w:rsidRPr="00DB701D" w:rsidRDefault="00C8402C" w:rsidP="009528DB">
                        <w:pPr>
                          <w:rPr>
                            <w:b/>
                            <w:sz w:val="20"/>
                            <w:szCs w:val="20"/>
                          </w:rPr>
                        </w:pPr>
                        <w:r w:rsidRPr="00DB701D">
                          <w:rPr>
                            <w:b/>
                            <w:sz w:val="20"/>
                            <w:szCs w:val="20"/>
                          </w:rPr>
                          <w:t>Please follow the sequence as outlined and fill in the accompanying mark sheet.</w:t>
                        </w:r>
                      </w:p>
                      <w:p w14:paraId="6389DEE3" w14:textId="77777777" w:rsidR="00C8402C" w:rsidRPr="00DB701D" w:rsidRDefault="00C8402C" w:rsidP="009528DB">
                        <w:pPr>
                          <w:jc w:val="center"/>
                          <w:rPr>
                            <w:sz w:val="20"/>
                            <w:szCs w:val="20"/>
                          </w:rPr>
                        </w:pPr>
                      </w:p>
                    </w:txbxContent>
                  </v:textbox>
                </v:rect>
              </v:group>
            </w:pict>
          </mc:Fallback>
        </mc:AlternateContent>
      </w:r>
    </w:p>
    <w:p w14:paraId="47D9D62E" w14:textId="77777777" w:rsidR="009528DB" w:rsidRPr="003726FE" w:rsidRDefault="009528DB" w:rsidP="009528DB">
      <w:pPr>
        <w:rPr>
          <w:b/>
        </w:rPr>
      </w:pPr>
    </w:p>
    <w:p w14:paraId="0AFA82FF" w14:textId="77777777" w:rsidR="009528DB" w:rsidRPr="003726FE" w:rsidRDefault="009528DB" w:rsidP="009528DB">
      <w:pPr>
        <w:jc w:val="center"/>
        <w:rPr>
          <w:b/>
        </w:rPr>
      </w:pPr>
    </w:p>
    <w:p w14:paraId="478033C6" w14:textId="77777777" w:rsidR="009528DB" w:rsidRPr="003726FE" w:rsidRDefault="009528DB" w:rsidP="009528DB">
      <w:pPr>
        <w:jc w:val="center"/>
        <w:rPr>
          <w:b/>
        </w:rPr>
      </w:pPr>
    </w:p>
    <w:p w14:paraId="1C4F032E" w14:textId="77777777" w:rsidR="009528DB" w:rsidRPr="003726FE" w:rsidRDefault="009528DB" w:rsidP="009528DB">
      <w:pPr>
        <w:rPr>
          <w:b/>
        </w:rPr>
      </w:pPr>
    </w:p>
    <w:p w14:paraId="1E39C3CB" w14:textId="77777777" w:rsidR="009528DB" w:rsidRPr="003726FE" w:rsidRDefault="009528DB" w:rsidP="009528DB">
      <w:pPr>
        <w:rPr>
          <w:b/>
        </w:rPr>
      </w:pPr>
    </w:p>
    <w:p w14:paraId="2919128C" w14:textId="77777777" w:rsidR="009528DB" w:rsidRPr="003726FE" w:rsidRDefault="009528DB" w:rsidP="009528DB">
      <w:pPr>
        <w:rPr>
          <w:b/>
        </w:rPr>
      </w:pPr>
    </w:p>
    <w:p w14:paraId="41E9497E" w14:textId="77777777" w:rsidR="009528DB" w:rsidRPr="003726FE" w:rsidRDefault="009528DB" w:rsidP="009528DB">
      <w:pPr>
        <w:rPr>
          <w:b/>
        </w:rPr>
      </w:pPr>
    </w:p>
    <w:p w14:paraId="2DB54F4D" w14:textId="77777777" w:rsidR="009528DB" w:rsidRPr="003726FE" w:rsidRDefault="009528DB" w:rsidP="009528DB">
      <w:pPr>
        <w:rPr>
          <w:b/>
        </w:rPr>
      </w:pPr>
    </w:p>
    <w:p w14:paraId="1FAFFF5D" w14:textId="7DEEB248" w:rsidR="009528DB" w:rsidRPr="003726FE" w:rsidRDefault="009528DB" w:rsidP="009528DB">
      <w:pPr>
        <w:rPr>
          <w:b/>
        </w:rPr>
      </w:pPr>
    </w:p>
    <w:p w14:paraId="3DE443B7" w14:textId="25D7B158" w:rsidR="009528DB" w:rsidRPr="003726FE" w:rsidRDefault="009528DB" w:rsidP="009528DB">
      <w:pPr>
        <w:rPr>
          <w:b/>
        </w:rPr>
      </w:pPr>
    </w:p>
    <w:p w14:paraId="79068E68" w14:textId="77777777" w:rsidR="009528DB" w:rsidRPr="003726FE" w:rsidRDefault="009528DB" w:rsidP="009528DB">
      <w:pPr>
        <w:jc w:val="center"/>
        <w:rPr>
          <w:b/>
        </w:rPr>
      </w:pPr>
    </w:p>
    <w:p w14:paraId="0B921E33" w14:textId="4D05180D" w:rsidR="009528DB" w:rsidRPr="003726FE" w:rsidRDefault="009528DB" w:rsidP="009528DB">
      <w:pPr>
        <w:rPr>
          <w:b/>
        </w:rPr>
      </w:pPr>
    </w:p>
    <w:p w14:paraId="7F9D4C16" w14:textId="24FEE128" w:rsidR="009528DB" w:rsidRPr="003726FE" w:rsidRDefault="009528DB" w:rsidP="009528DB">
      <w:pPr>
        <w:tabs>
          <w:tab w:val="left" w:pos="2529"/>
        </w:tabs>
        <w:rPr>
          <w:b/>
        </w:rPr>
      </w:pPr>
      <w:r w:rsidRPr="003726FE">
        <w:rPr>
          <w:b/>
        </w:rPr>
        <w:tab/>
      </w:r>
    </w:p>
    <w:p w14:paraId="507CE5B9" w14:textId="77777777" w:rsidR="009528DB" w:rsidRPr="003726FE" w:rsidRDefault="009528DB" w:rsidP="009528DB">
      <w:pPr>
        <w:rPr>
          <w:b/>
        </w:rPr>
      </w:pPr>
    </w:p>
    <w:p w14:paraId="6285BC40" w14:textId="77777777" w:rsidR="009528DB" w:rsidRPr="003726FE" w:rsidRDefault="009528DB" w:rsidP="009528DB">
      <w:pPr>
        <w:rPr>
          <w:b/>
        </w:rPr>
      </w:pPr>
    </w:p>
    <w:p w14:paraId="3F93DF7B" w14:textId="590BC06B" w:rsidR="009528DB" w:rsidRPr="003726FE" w:rsidRDefault="009528DB" w:rsidP="009528DB">
      <w:pPr>
        <w:rPr>
          <w:b/>
        </w:rPr>
      </w:pPr>
    </w:p>
    <w:p w14:paraId="12D6DAC0" w14:textId="77777777" w:rsidR="009528DB" w:rsidRPr="003726FE" w:rsidRDefault="009528DB" w:rsidP="00AF4FFF">
      <w:pPr>
        <w:rPr>
          <w:b/>
        </w:rPr>
      </w:pPr>
    </w:p>
    <w:p w14:paraId="631030C0" w14:textId="77777777" w:rsidR="00FD3AFB" w:rsidRPr="003726FE" w:rsidRDefault="00FD3AFB">
      <w:pPr>
        <w:sectPr w:rsidR="00FD3AFB" w:rsidRPr="003726FE" w:rsidSect="0052217A">
          <w:pgSz w:w="16838" w:h="11906" w:orient="landscape"/>
          <w:pgMar w:top="2268" w:right="1134" w:bottom="1134" w:left="1134" w:header="709" w:footer="709" w:gutter="0"/>
          <w:cols w:space="708"/>
          <w:docGrid w:linePitch="360"/>
        </w:sectPr>
      </w:pPr>
    </w:p>
    <w:p w14:paraId="5770596F" w14:textId="5982E5EF" w:rsidR="00FD3AFB" w:rsidRPr="003726FE" w:rsidRDefault="00C47666" w:rsidP="00B1638D">
      <w:pPr>
        <w:pStyle w:val="Heading2"/>
        <w:rPr>
          <w:lang w:val="en-GB"/>
        </w:rPr>
      </w:pPr>
      <w:bookmarkStart w:id="986" w:name="_Toc500319473"/>
      <w:r>
        <w:rPr>
          <w:lang w:val="en-GB"/>
        </w:rPr>
        <w:lastRenderedPageBreak/>
        <w:t>Appendix 2. Systematic R</w:t>
      </w:r>
      <w:r w:rsidR="00FD3AFB" w:rsidRPr="003726FE">
        <w:rPr>
          <w:lang w:val="en-GB"/>
        </w:rPr>
        <w:t xml:space="preserve">eview </w:t>
      </w:r>
      <w:r>
        <w:rPr>
          <w:rFonts w:cs="Times New Roman"/>
          <w:lang w:val="en-GB"/>
        </w:rPr>
        <w:t>Search T</w:t>
      </w:r>
      <w:r w:rsidR="00FD3AFB" w:rsidRPr="003726FE">
        <w:rPr>
          <w:rFonts w:cs="Times New Roman"/>
          <w:lang w:val="en-GB"/>
        </w:rPr>
        <w:t>erms</w:t>
      </w:r>
      <w:r w:rsidR="00C20F57" w:rsidRPr="003726FE">
        <w:rPr>
          <w:rFonts w:cs="Times New Roman"/>
          <w:lang w:val="en-GB"/>
        </w:rPr>
        <w:t>.</w:t>
      </w:r>
      <w:bookmarkEnd w:id="986"/>
    </w:p>
    <w:p w14:paraId="0C23E985" w14:textId="77777777" w:rsidR="00FD3AFB" w:rsidRPr="003726FE" w:rsidRDefault="00FD3AFB" w:rsidP="00026049">
      <w:pPr>
        <w:pStyle w:val="Normal1"/>
        <w:rPr>
          <w:lang w:val="en-GB"/>
        </w:rPr>
      </w:pPr>
    </w:p>
    <w:p w14:paraId="58C23FE6" w14:textId="77777777" w:rsidR="00FD3AFB" w:rsidRPr="003726FE" w:rsidRDefault="00FD3AFB" w:rsidP="00026049">
      <w:pPr>
        <w:pStyle w:val="Normal1"/>
        <w:rPr>
          <w:lang w:val="en-GB"/>
        </w:rPr>
      </w:pPr>
      <w:r w:rsidRPr="003726FE">
        <w:rPr>
          <w:lang w:val="en-GB"/>
        </w:rPr>
        <w:t>Search terms (ungrouped):</w:t>
      </w:r>
    </w:p>
    <w:p w14:paraId="2F3F432A" w14:textId="77777777" w:rsidR="00FD3AFB" w:rsidRPr="003726FE" w:rsidRDefault="00FD3AFB" w:rsidP="00026049">
      <w:pPr>
        <w:pStyle w:val="Normal1"/>
        <w:rPr>
          <w:lang w:val="en-GB"/>
        </w:rPr>
      </w:pPr>
    </w:p>
    <w:p w14:paraId="2F1A3751"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Feedback.mp.</w:t>
      </w:r>
    </w:p>
    <w:p w14:paraId="1BC8F352"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Self-reg*.mp.</w:t>
      </w:r>
    </w:p>
    <w:p w14:paraId="072B62EA" w14:textId="77777777" w:rsidR="00FD3AFB" w:rsidRPr="003726FE" w:rsidRDefault="00FD3AFB" w:rsidP="00026049">
      <w:pPr>
        <w:pStyle w:val="ListParagraph"/>
        <w:numPr>
          <w:ilvl w:val="0"/>
          <w:numId w:val="26"/>
        </w:numPr>
        <w:rPr>
          <w:rFonts w:cs="Times New Roman"/>
          <w:b/>
          <w:szCs w:val="24"/>
        </w:rPr>
      </w:pPr>
      <w:r w:rsidRPr="003726FE">
        <w:rPr>
          <w:rFonts w:cs="Times New Roman"/>
          <w:b/>
          <w:szCs w:val="24"/>
        </w:rPr>
        <w:t>1 or 2</w:t>
      </w:r>
    </w:p>
    <w:p w14:paraId="267E617C"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 xml:space="preserve">medical education </w:t>
      </w:r>
    </w:p>
    <w:p w14:paraId="596E878B"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clinical skills, procedural skills</w:t>
      </w:r>
    </w:p>
    <w:p w14:paraId="0052D3DD"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Sport</w:t>
      </w:r>
    </w:p>
    <w:p w14:paraId="04967C23"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Students</w:t>
      </w:r>
    </w:p>
    <w:p w14:paraId="1C24FCB2"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 xml:space="preserve">Meta-cog*.mp., </w:t>
      </w:r>
    </w:p>
    <w:p w14:paraId="51FF006E" w14:textId="77777777" w:rsidR="00FD3AFB" w:rsidRPr="003726FE" w:rsidRDefault="00FD3AFB" w:rsidP="00026049">
      <w:pPr>
        <w:pStyle w:val="ListParagraph"/>
        <w:numPr>
          <w:ilvl w:val="0"/>
          <w:numId w:val="26"/>
        </w:numPr>
        <w:rPr>
          <w:rFonts w:cs="Times New Roman"/>
          <w:b/>
          <w:szCs w:val="24"/>
        </w:rPr>
      </w:pPr>
      <w:r w:rsidRPr="003726FE">
        <w:rPr>
          <w:rFonts w:cs="Times New Roman"/>
          <w:b/>
          <w:szCs w:val="24"/>
        </w:rPr>
        <w:t>4 or 5 or 6 or 7 or 8</w:t>
      </w:r>
    </w:p>
    <w:p w14:paraId="3EC065B9"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simulation, authentic contexts</w:t>
      </w:r>
    </w:p>
    <w:p w14:paraId="760B3F9F"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Motoric learning/ or learn*.mp. , technical skills</w:t>
      </w:r>
    </w:p>
    <w:p w14:paraId="2894B9AA"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Performance.mp.</w:t>
      </w:r>
    </w:p>
    <w:p w14:paraId="6CA36ED2"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Behaviour.mp.</w:t>
      </w:r>
    </w:p>
    <w:p w14:paraId="54DF53BE"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Adaptive inferences, self-goals, monitoring, task strategies</w:t>
      </w:r>
    </w:p>
    <w:p w14:paraId="169C77C4" w14:textId="77777777" w:rsidR="00FD3AFB" w:rsidRPr="003726FE" w:rsidRDefault="00FD3AFB" w:rsidP="00026049">
      <w:pPr>
        <w:pStyle w:val="ListParagraph"/>
        <w:numPr>
          <w:ilvl w:val="0"/>
          <w:numId w:val="26"/>
        </w:numPr>
        <w:rPr>
          <w:rFonts w:cs="Times New Roman"/>
          <w:b/>
          <w:szCs w:val="24"/>
        </w:rPr>
      </w:pPr>
      <w:r w:rsidRPr="003726FE">
        <w:rPr>
          <w:rFonts w:cs="Times New Roman"/>
          <w:b/>
          <w:szCs w:val="24"/>
        </w:rPr>
        <w:t>10 or 11 or 12 or 13 or 14</w:t>
      </w:r>
    </w:p>
    <w:p w14:paraId="0BAB6895" w14:textId="77777777" w:rsidR="00FD3AFB" w:rsidRPr="003726FE" w:rsidRDefault="00FD3AFB" w:rsidP="00026049">
      <w:pPr>
        <w:pStyle w:val="ListParagraph"/>
        <w:numPr>
          <w:ilvl w:val="0"/>
          <w:numId w:val="26"/>
        </w:numPr>
        <w:rPr>
          <w:rFonts w:cs="Times New Roman"/>
          <w:b/>
          <w:color w:val="FF0000"/>
          <w:szCs w:val="24"/>
        </w:rPr>
      </w:pPr>
      <w:r w:rsidRPr="003726FE">
        <w:rPr>
          <w:rFonts w:cs="Times New Roman"/>
          <w:b/>
          <w:color w:val="FF0000"/>
          <w:szCs w:val="24"/>
        </w:rPr>
        <w:t>3 and 9 and 16</w:t>
      </w:r>
    </w:p>
    <w:p w14:paraId="49D7CF74" w14:textId="77777777" w:rsidR="00FD3AFB" w:rsidRPr="003726FE" w:rsidRDefault="00FD3AFB" w:rsidP="00026049">
      <w:pPr>
        <w:pStyle w:val="ListParagraph"/>
        <w:numPr>
          <w:ilvl w:val="0"/>
          <w:numId w:val="26"/>
        </w:numPr>
        <w:rPr>
          <w:rFonts w:cs="Times New Roman"/>
          <w:szCs w:val="24"/>
        </w:rPr>
      </w:pPr>
      <w:r w:rsidRPr="003726FE">
        <w:rPr>
          <w:rFonts w:cs="Times New Roman"/>
          <w:szCs w:val="24"/>
        </w:rPr>
        <w:t>Limit 16 to yr=”01/01/1999-current”</w:t>
      </w:r>
    </w:p>
    <w:p w14:paraId="773E7F3C" w14:textId="77777777" w:rsidR="00FD3AFB" w:rsidRPr="003726FE" w:rsidRDefault="00FD3AFB" w:rsidP="006C0AA7">
      <w:pPr>
        <w:pStyle w:val="ListParagraph"/>
        <w:rPr>
          <w:rFonts w:cs="Times New Roman"/>
          <w:b/>
          <w:color w:val="FF0000"/>
          <w:szCs w:val="24"/>
        </w:rPr>
      </w:pPr>
    </w:p>
    <w:p w14:paraId="33A428CB"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Feedback.mp.</w:t>
      </w:r>
    </w:p>
    <w:p w14:paraId="3BBDC14C"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Self-reg*.mp.</w:t>
      </w:r>
    </w:p>
    <w:p w14:paraId="79AD5A5F" w14:textId="77777777" w:rsidR="00FD3AFB" w:rsidRPr="003726FE" w:rsidRDefault="00FD3AFB" w:rsidP="00026049">
      <w:pPr>
        <w:pStyle w:val="ListParagraph"/>
        <w:numPr>
          <w:ilvl w:val="0"/>
          <w:numId w:val="27"/>
        </w:numPr>
        <w:rPr>
          <w:rFonts w:cs="Times New Roman"/>
          <w:b/>
          <w:szCs w:val="24"/>
        </w:rPr>
      </w:pPr>
      <w:r w:rsidRPr="003726FE">
        <w:rPr>
          <w:rFonts w:cs="Times New Roman"/>
          <w:b/>
          <w:szCs w:val="24"/>
        </w:rPr>
        <w:t>1 or 2</w:t>
      </w:r>
    </w:p>
    <w:p w14:paraId="0A70DF95"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 xml:space="preserve">medical education </w:t>
      </w:r>
    </w:p>
    <w:p w14:paraId="273E0E5A"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clinical skills, procedural skills</w:t>
      </w:r>
    </w:p>
    <w:p w14:paraId="12B96784"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Sport</w:t>
      </w:r>
    </w:p>
    <w:p w14:paraId="6DC4FE1B"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Students</w:t>
      </w:r>
    </w:p>
    <w:p w14:paraId="395532C4"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Meta-cog*.mp.</w:t>
      </w:r>
    </w:p>
    <w:p w14:paraId="148964D8" w14:textId="77777777" w:rsidR="00FD3AFB" w:rsidRPr="003726FE" w:rsidRDefault="00FD3AFB" w:rsidP="00026049">
      <w:pPr>
        <w:pStyle w:val="ListParagraph"/>
        <w:numPr>
          <w:ilvl w:val="0"/>
          <w:numId w:val="27"/>
        </w:numPr>
        <w:rPr>
          <w:rFonts w:cs="Times New Roman"/>
          <w:b/>
          <w:szCs w:val="24"/>
        </w:rPr>
      </w:pPr>
      <w:r w:rsidRPr="003726FE">
        <w:rPr>
          <w:rFonts w:cs="Times New Roman"/>
          <w:szCs w:val="24"/>
        </w:rPr>
        <w:t xml:space="preserve"> </w:t>
      </w:r>
      <w:r w:rsidRPr="003726FE">
        <w:rPr>
          <w:rFonts w:cs="Times New Roman"/>
          <w:b/>
          <w:szCs w:val="24"/>
        </w:rPr>
        <w:t>4 or 5 or 6 or 7 or 8</w:t>
      </w:r>
    </w:p>
    <w:p w14:paraId="75EE6B90" w14:textId="27AE0623" w:rsidR="00FD3AFB" w:rsidRPr="003726FE" w:rsidRDefault="00F17F73" w:rsidP="00026049">
      <w:pPr>
        <w:pStyle w:val="ListParagraph"/>
        <w:numPr>
          <w:ilvl w:val="0"/>
          <w:numId w:val="27"/>
        </w:numPr>
        <w:rPr>
          <w:rFonts w:cs="Times New Roman"/>
          <w:szCs w:val="24"/>
        </w:rPr>
      </w:pPr>
      <w:r>
        <w:rPr>
          <w:rFonts w:cs="Times New Roman"/>
          <w:szCs w:val="24"/>
        </w:rPr>
        <w:t>Social cognitive</w:t>
      </w:r>
      <w:r w:rsidR="00FD3AFB" w:rsidRPr="003726FE">
        <w:rPr>
          <w:rFonts w:cs="Times New Roman"/>
          <w:szCs w:val="24"/>
        </w:rPr>
        <w:t>.mp.</w:t>
      </w:r>
    </w:p>
    <w:p w14:paraId="56A15CE3"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theory, model, framework</w:t>
      </w:r>
    </w:p>
    <w:p w14:paraId="077547C3" w14:textId="67399213" w:rsidR="00FD3AFB" w:rsidRPr="003726FE" w:rsidRDefault="006930D6" w:rsidP="00026049">
      <w:pPr>
        <w:pStyle w:val="ListParagraph"/>
        <w:numPr>
          <w:ilvl w:val="0"/>
          <w:numId w:val="27"/>
        </w:numPr>
        <w:rPr>
          <w:rFonts w:cs="Times New Roman"/>
          <w:szCs w:val="24"/>
        </w:rPr>
      </w:pPr>
      <w:r w:rsidRPr="003726FE">
        <w:rPr>
          <w:rFonts w:cs="Times New Roman"/>
          <w:szCs w:val="24"/>
        </w:rPr>
        <w:t>Forethought</w:t>
      </w:r>
      <w:r w:rsidR="00FD3AFB" w:rsidRPr="003726FE">
        <w:rPr>
          <w:rFonts w:cs="Times New Roman"/>
          <w:szCs w:val="24"/>
        </w:rPr>
        <w:t>, self-control, Reflection.mp.</w:t>
      </w:r>
    </w:p>
    <w:p w14:paraId="394EA868" w14:textId="77777777" w:rsidR="00FD3AFB" w:rsidRPr="003726FE" w:rsidRDefault="00FD3AFB" w:rsidP="00026049">
      <w:pPr>
        <w:pStyle w:val="ListParagraph"/>
        <w:numPr>
          <w:ilvl w:val="0"/>
          <w:numId w:val="27"/>
        </w:numPr>
        <w:rPr>
          <w:rFonts w:cs="Times New Roman"/>
          <w:b/>
          <w:szCs w:val="24"/>
        </w:rPr>
      </w:pPr>
      <w:r w:rsidRPr="003726FE">
        <w:rPr>
          <w:rFonts w:cs="Times New Roman"/>
          <w:b/>
          <w:szCs w:val="24"/>
        </w:rPr>
        <w:t>10 or 11 or 12</w:t>
      </w:r>
    </w:p>
    <w:p w14:paraId="199F69D6" w14:textId="77777777" w:rsidR="00FD3AFB" w:rsidRPr="003726FE" w:rsidRDefault="00FD3AFB" w:rsidP="00026049">
      <w:pPr>
        <w:pStyle w:val="ListParagraph"/>
        <w:numPr>
          <w:ilvl w:val="0"/>
          <w:numId w:val="27"/>
        </w:numPr>
        <w:rPr>
          <w:rFonts w:cs="Times New Roman"/>
          <w:b/>
          <w:color w:val="FF0000"/>
          <w:szCs w:val="24"/>
        </w:rPr>
      </w:pPr>
      <w:r w:rsidRPr="003726FE">
        <w:rPr>
          <w:rFonts w:cs="Times New Roman"/>
          <w:b/>
          <w:color w:val="FF0000"/>
          <w:szCs w:val="24"/>
        </w:rPr>
        <w:t>4 and 10 and 13</w:t>
      </w:r>
    </w:p>
    <w:p w14:paraId="13ABF83C" w14:textId="77777777" w:rsidR="00FD3AFB" w:rsidRPr="003726FE" w:rsidRDefault="00FD3AFB" w:rsidP="00026049">
      <w:pPr>
        <w:pStyle w:val="ListParagraph"/>
        <w:numPr>
          <w:ilvl w:val="0"/>
          <w:numId w:val="27"/>
        </w:numPr>
        <w:rPr>
          <w:rFonts w:cs="Times New Roman"/>
          <w:szCs w:val="24"/>
        </w:rPr>
      </w:pPr>
      <w:r w:rsidRPr="003726FE">
        <w:rPr>
          <w:rFonts w:cs="Times New Roman"/>
          <w:szCs w:val="24"/>
        </w:rPr>
        <w:t>Limit 14 to yr=”01/01/1999-current”</w:t>
      </w:r>
    </w:p>
    <w:p w14:paraId="475EBFD5" w14:textId="77777777" w:rsidR="00FD3AFB" w:rsidRPr="003726FE" w:rsidRDefault="00FD3AFB" w:rsidP="006C0AA7">
      <w:pPr>
        <w:pStyle w:val="ListParagraph"/>
        <w:rPr>
          <w:rFonts w:cs="Times New Roman"/>
          <w:szCs w:val="24"/>
        </w:rPr>
      </w:pPr>
    </w:p>
    <w:p w14:paraId="18F22466"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Feedback.mp.</w:t>
      </w:r>
    </w:p>
    <w:p w14:paraId="1C6B249D"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Self-reg*.mp.</w:t>
      </w:r>
    </w:p>
    <w:p w14:paraId="5568606B" w14:textId="77777777" w:rsidR="00FD3AFB" w:rsidRPr="003726FE" w:rsidRDefault="00FD3AFB" w:rsidP="00026049">
      <w:pPr>
        <w:pStyle w:val="ListParagraph"/>
        <w:numPr>
          <w:ilvl w:val="0"/>
          <w:numId w:val="28"/>
        </w:numPr>
        <w:rPr>
          <w:rFonts w:cs="Times New Roman"/>
          <w:b/>
          <w:szCs w:val="24"/>
        </w:rPr>
      </w:pPr>
      <w:r w:rsidRPr="003726FE">
        <w:rPr>
          <w:rFonts w:cs="Times New Roman"/>
          <w:b/>
          <w:szCs w:val="24"/>
        </w:rPr>
        <w:t>1 or 2</w:t>
      </w:r>
    </w:p>
    <w:p w14:paraId="2047CA5B"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 xml:space="preserve">medical education </w:t>
      </w:r>
    </w:p>
    <w:p w14:paraId="7D2AC498"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clinical skills, procedural skills</w:t>
      </w:r>
    </w:p>
    <w:p w14:paraId="6CC4FC9E"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Sport</w:t>
      </w:r>
    </w:p>
    <w:p w14:paraId="5C1C2DE9"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Students</w:t>
      </w:r>
    </w:p>
    <w:p w14:paraId="401A2EDE"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Meta-cog*.mp.</w:t>
      </w:r>
    </w:p>
    <w:p w14:paraId="4784D1B7" w14:textId="77777777" w:rsidR="00FD3AFB" w:rsidRPr="003726FE" w:rsidRDefault="00FD3AFB" w:rsidP="00026049">
      <w:pPr>
        <w:pStyle w:val="ListParagraph"/>
        <w:numPr>
          <w:ilvl w:val="0"/>
          <w:numId w:val="28"/>
        </w:numPr>
        <w:rPr>
          <w:rFonts w:cs="Times New Roman"/>
          <w:b/>
          <w:szCs w:val="24"/>
        </w:rPr>
      </w:pPr>
      <w:r w:rsidRPr="003726FE">
        <w:rPr>
          <w:rFonts w:cs="Times New Roman"/>
          <w:b/>
          <w:szCs w:val="24"/>
        </w:rPr>
        <w:lastRenderedPageBreak/>
        <w:t>4 or 5 or 6 or 7 or 8</w:t>
      </w:r>
    </w:p>
    <w:p w14:paraId="4D6E35DE"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 xml:space="preserve">Self-efficacy.mp., </w:t>
      </w:r>
    </w:p>
    <w:p w14:paraId="18155E11"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Motivation, beliefs</w:t>
      </w:r>
    </w:p>
    <w:p w14:paraId="06C6728B"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Affective processes, cognitive processes</w:t>
      </w:r>
    </w:p>
    <w:p w14:paraId="0624F31A"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Self-awareness, self-assessment</w:t>
      </w:r>
    </w:p>
    <w:p w14:paraId="528ECD30" w14:textId="77777777" w:rsidR="00FD3AFB" w:rsidRPr="003726FE" w:rsidRDefault="00FD3AFB" w:rsidP="00026049">
      <w:pPr>
        <w:pStyle w:val="ListParagraph"/>
        <w:numPr>
          <w:ilvl w:val="0"/>
          <w:numId w:val="28"/>
        </w:numPr>
        <w:rPr>
          <w:rFonts w:cs="Times New Roman"/>
          <w:szCs w:val="24"/>
        </w:rPr>
      </w:pPr>
      <w:r w:rsidRPr="003726FE">
        <w:rPr>
          <w:rFonts w:cs="Times New Roman"/>
          <w:szCs w:val="24"/>
        </w:rPr>
        <w:t>Goal setting, goal orientation/directed, strategic planning</w:t>
      </w:r>
    </w:p>
    <w:p w14:paraId="4B6292BD" w14:textId="77777777" w:rsidR="00FD3AFB" w:rsidRPr="003726FE" w:rsidRDefault="00FD3AFB" w:rsidP="00026049">
      <w:pPr>
        <w:pStyle w:val="ListParagraph"/>
        <w:numPr>
          <w:ilvl w:val="0"/>
          <w:numId w:val="28"/>
        </w:numPr>
        <w:rPr>
          <w:rFonts w:cs="Times New Roman"/>
          <w:b/>
          <w:szCs w:val="24"/>
        </w:rPr>
      </w:pPr>
      <w:r w:rsidRPr="003726FE">
        <w:rPr>
          <w:rFonts w:cs="Times New Roman"/>
          <w:b/>
          <w:szCs w:val="24"/>
        </w:rPr>
        <w:t>10 or 11 or 12 or 13 or 14</w:t>
      </w:r>
    </w:p>
    <w:p w14:paraId="1FA43082" w14:textId="77777777" w:rsidR="00FD3AFB" w:rsidRPr="003726FE" w:rsidRDefault="00FD3AFB" w:rsidP="00026049">
      <w:pPr>
        <w:pStyle w:val="ListParagraph"/>
        <w:numPr>
          <w:ilvl w:val="0"/>
          <w:numId w:val="28"/>
        </w:numPr>
        <w:rPr>
          <w:rFonts w:cs="Times New Roman"/>
          <w:b/>
          <w:szCs w:val="24"/>
        </w:rPr>
      </w:pPr>
      <w:r w:rsidRPr="003726FE">
        <w:rPr>
          <w:rFonts w:cs="Times New Roman"/>
          <w:b/>
          <w:color w:val="FF0000"/>
          <w:szCs w:val="24"/>
        </w:rPr>
        <w:t>4 and 10 and 15</w:t>
      </w:r>
    </w:p>
    <w:p w14:paraId="78E5A884" w14:textId="77777777" w:rsidR="00FD3AFB" w:rsidRPr="003726FE" w:rsidRDefault="00FD3AFB" w:rsidP="00026049">
      <w:pPr>
        <w:pStyle w:val="ListParagraph"/>
        <w:numPr>
          <w:ilvl w:val="0"/>
          <w:numId w:val="28"/>
        </w:numPr>
        <w:rPr>
          <w:rFonts w:cs="Times New Roman"/>
          <w:b/>
          <w:szCs w:val="24"/>
        </w:rPr>
      </w:pPr>
      <w:r w:rsidRPr="003726FE">
        <w:rPr>
          <w:rFonts w:cs="Times New Roman"/>
          <w:szCs w:val="24"/>
        </w:rPr>
        <w:t>Limit 16 to yr=”01/01/1999-current”</w:t>
      </w:r>
    </w:p>
    <w:p w14:paraId="1D7EC020" w14:textId="77777777" w:rsidR="00FD3AFB" w:rsidRPr="003726FE" w:rsidRDefault="00FD3AFB"/>
    <w:p w14:paraId="584ADAD0" w14:textId="77777777" w:rsidR="006C0AA7" w:rsidRPr="003726FE" w:rsidRDefault="006C0AA7">
      <w:pPr>
        <w:rPr>
          <w:rFonts w:eastAsia="Lucida Sans Unicode" w:cs="Mangal"/>
          <w:kern w:val="1"/>
          <w:szCs w:val="24"/>
          <w:lang w:eastAsia="hi-IN" w:bidi="hi-IN"/>
        </w:rPr>
      </w:pPr>
      <w:r w:rsidRPr="003726FE">
        <w:br w:type="page"/>
      </w:r>
    </w:p>
    <w:p w14:paraId="39F27E52" w14:textId="7C372B4C" w:rsidR="006C0AA7" w:rsidRPr="003726FE" w:rsidRDefault="006C0AA7" w:rsidP="00B1638D">
      <w:pPr>
        <w:pStyle w:val="Heading2"/>
        <w:rPr>
          <w:lang w:val="en-GB"/>
        </w:rPr>
        <w:sectPr w:rsidR="006C0AA7" w:rsidRPr="003726FE" w:rsidSect="007C73DC">
          <w:pgSz w:w="11906" w:h="16838"/>
          <w:pgMar w:top="1134" w:right="1134" w:bottom="1134" w:left="2268" w:header="708" w:footer="708" w:gutter="0"/>
          <w:cols w:space="708"/>
          <w:docGrid w:linePitch="360"/>
        </w:sectPr>
      </w:pPr>
      <w:bookmarkStart w:id="987" w:name="_Toc500319474"/>
      <w:r w:rsidRPr="003726FE">
        <w:rPr>
          <w:lang w:val="en-GB"/>
        </w:rPr>
        <w:lastRenderedPageBreak/>
        <w:t xml:space="preserve">Appendix 3. </w:t>
      </w:r>
      <w:r w:rsidR="00746B6C" w:rsidRPr="003726FE">
        <w:rPr>
          <w:lang w:val="en-GB"/>
        </w:rPr>
        <w:t xml:space="preserve"> The TREND </w:t>
      </w:r>
      <w:r w:rsidR="00C47666">
        <w:rPr>
          <w:lang w:val="en-GB"/>
        </w:rPr>
        <w:t>C</w:t>
      </w:r>
      <w:r w:rsidR="00746B6C" w:rsidRPr="003726FE">
        <w:rPr>
          <w:lang w:val="en-GB"/>
        </w:rPr>
        <w:t>hecklist.</w:t>
      </w:r>
      <w:bookmarkEnd w:id="987"/>
    </w:p>
    <w:p w14:paraId="555D4837" w14:textId="77777777" w:rsidR="006C0AA7" w:rsidRPr="003726FE" w:rsidRDefault="006C0AA7" w:rsidP="006C0AA7">
      <w:pPr>
        <w:spacing w:after="0"/>
        <w:ind w:right="11205"/>
      </w:pPr>
    </w:p>
    <w:tbl>
      <w:tblPr>
        <w:tblStyle w:val="TableGrid0"/>
        <w:tblW w:w="8789" w:type="dxa"/>
        <w:tblInd w:w="-6" w:type="dxa"/>
        <w:tblLayout w:type="fixed"/>
        <w:tblCellMar>
          <w:left w:w="6" w:type="dxa"/>
          <w:right w:w="52" w:type="dxa"/>
        </w:tblCellMar>
        <w:tblLook w:val="04A0" w:firstRow="1" w:lastRow="0" w:firstColumn="1" w:lastColumn="0" w:noHBand="0" w:noVBand="1"/>
      </w:tblPr>
      <w:tblGrid>
        <w:gridCol w:w="1276"/>
        <w:gridCol w:w="709"/>
        <w:gridCol w:w="5670"/>
        <w:gridCol w:w="425"/>
        <w:gridCol w:w="709"/>
      </w:tblGrid>
      <w:tr w:rsidR="006C0AA7" w:rsidRPr="003726FE" w14:paraId="2F04E8AF" w14:textId="77777777" w:rsidTr="00AF4FFF">
        <w:trPr>
          <w:trHeight w:val="462"/>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B1A0C6"/>
          </w:tcPr>
          <w:p w14:paraId="76A837E0" w14:textId="77777777" w:rsidR="006C0AA7" w:rsidRPr="003726FE" w:rsidRDefault="006C0AA7">
            <w:pPr>
              <w:spacing w:after="8"/>
              <w:rPr>
                <w:sz w:val="20"/>
              </w:rPr>
            </w:pPr>
            <w:r w:rsidRPr="003726FE">
              <w:rPr>
                <w:rFonts w:eastAsia="Times New Roman" w:cs="Times New Roman"/>
                <w:sz w:val="20"/>
              </w:rPr>
              <w:t xml:space="preserve"> </w:t>
            </w:r>
          </w:p>
          <w:p w14:paraId="2E747AAC" w14:textId="77777777" w:rsidR="006C0AA7" w:rsidRPr="003726FE" w:rsidRDefault="006C0AA7">
            <w:pPr>
              <w:ind w:left="103"/>
              <w:rPr>
                <w:sz w:val="20"/>
              </w:rPr>
            </w:pPr>
            <w:r w:rsidRPr="003726FE">
              <w:rPr>
                <w:rFonts w:ascii="Cambria" w:eastAsia="Cambria" w:hAnsi="Cambria" w:cs="Cambria"/>
                <w:b/>
                <w:sz w:val="20"/>
              </w:rPr>
              <w:t xml:space="preserve">Paper </w:t>
            </w:r>
          </w:p>
          <w:p w14:paraId="4592DA59" w14:textId="77777777" w:rsidR="006C0AA7" w:rsidRPr="003726FE" w:rsidRDefault="006C0AA7">
            <w:pPr>
              <w:ind w:left="103"/>
              <w:rPr>
                <w:sz w:val="20"/>
              </w:rPr>
            </w:pPr>
            <w:r w:rsidRPr="003726FE">
              <w:rPr>
                <w:rFonts w:ascii="Cambria" w:eastAsia="Cambria" w:hAnsi="Cambria" w:cs="Cambria"/>
                <w:b/>
                <w:sz w:val="20"/>
              </w:rPr>
              <w:t xml:space="preserve">Section/ </w:t>
            </w:r>
          </w:p>
          <w:p w14:paraId="2DCF5536" w14:textId="77777777" w:rsidR="006C0AA7" w:rsidRPr="003726FE" w:rsidRDefault="006C0AA7">
            <w:pPr>
              <w:ind w:left="103"/>
              <w:rPr>
                <w:sz w:val="20"/>
              </w:rPr>
            </w:pPr>
            <w:r w:rsidRPr="003726FE">
              <w:rPr>
                <w:rFonts w:ascii="Cambria" w:eastAsia="Cambria" w:hAnsi="Cambria" w:cs="Cambria"/>
                <w:b/>
                <w:sz w:val="20"/>
              </w:rPr>
              <w:t>Topic</w:t>
            </w:r>
            <w:r w:rsidRPr="003726FE">
              <w:rPr>
                <w:rFonts w:ascii="Cambria" w:eastAsia="Cambria" w:hAnsi="Cambria" w:cs="Cambria"/>
                <w:sz w:val="20"/>
              </w:rPr>
              <w:t xml:space="preserve"> </w:t>
            </w:r>
          </w:p>
        </w:tc>
        <w:tc>
          <w:tcPr>
            <w:tcW w:w="709" w:type="dxa"/>
            <w:vMerge w:val="restart"/>
            <w:tcBorders>
              <w:top w:val="single" w:sz="5" w:space="0" w:color="000000"/>
              <w:left w:val="single" w:sz="5" w:space="0" w:color="000000"/>
              <w:bottom w:val="single" w:sz="5" w:space="0" w:color="000000"/>
              <w:right w:val="single" w:sz="5" w:space="0" w:color="000000"/>
            </w:tcBorders>
            <w:shd w:val="clear" w:color="auto" w:fill="B1A0C6"/>
          </w:tcPr>
          <w:p w14:paraId="0604BA09" w14:textId="77777777" w:rsidR="006C0AA7" w:rsidRPr="003726FE" w:rsidRDefault="006C0AA7">
            <w:pPr>
              <w:spacing w:after="8"/>
              <w:rPr>
                <w:sz w:val="20"/>
              </w:rPr>
            </w:pPr>
            <w:r w:rsidRPr="003726FE">
              <w:rPr>
                <w:rFonts w:eastAsia="Times New Roman" w:cs="Times New Roman"/>
                <w:sz w:val="20"/>
              </w:rPr>
              <w:t xml:space="preserve"> </w:t>
            </w:r>
          </w:p>
          <w:p w14:paraId="7E618E55" w14:textId="77777777" w:rsidR="006C0AA7" w:rsidRPr="003726FE" w:rsidRDefault="006C0AA7">
            <w:pPr>
              <w:ind w:left="101"/>
              <w:rPr>
                <w:sz w:val="20"/>
              </w:rPr>
            </w:pPr>
            <w:r w:rsidRPr="003726FE">
              <w:rPr>
                <w:rFonts w:ascii="Cambria" w:eastAsia="Cambria" w:hAnsi="Cambria" w:cs="Cambria"/>
                <w:b/>
                <w:sz w:val="20"/>
              </w:rPr>
              <w:t>Item</w:t>
            </w:r>
            <w:r w:rsidRPr="003726FE">
              <w:rPr>
                <w:rFonts w:ascii="Cambria" w:eastAsia="Cambria" w:hAnsi="Cambria" w:cs="Cambria"/>
                <w:sz w:val="20"/>
              </w:rPr>
              <w:t xml:space="preserve"> </w:t>
            </w:r>
          </w:p>
          <w:p w14:paraId="7F9E5361" w14:textId="77777777" w:rsidR="006C0AA7" w:rsidRPr="003726FE" w:rsidRDefault="006C0AA7">
            <w:pPr>
              <w:ind w:left="101"/>
              <w:rPr>
                <w:sz w:val="20"/>
              </w:rPr>
            </w:pPr>
            <w:r w:rsidRPr="003726FE">
              <w:rPr>
                <w:rFonts w:ascii="Cambria" w:eastAsia="Cambria" w:hAnsi="Cambria" w:cs="Cambria"/>
                <w:b/>
                <w:sz w:val="20"/>
              </w:rPr>
              <w:t>No</w:t>
            </w:r>
            <w:r w:rsidRPr="003726FE">
              <w:rPr>
                <w:rFonts w:ascii="Cambria" w:eastAsia="Cambria" w:hAnsi="Cambria" w:cs="Cambria"/>
                <w:sz w:val="20"/>
              </w:rPr>
              <w:t xml:space="preserve"> </w:t>
            </w:r>
          </w:p>
        </w:tc>
        <w:tc>
          <w:tcPr>
            <w:tcW w:w="5670" w:type="dxa"/>
            <w:tcBorders>
              <w:top w:val="single" w:sz="5" w:space="0" w:color="000000"/>
              <w:left w:val="single" w:sz="5" w:space="0" w:color="000000"/>
              <w:bottom w:val="single" w:sz="5" w:space="0" w:color="B1A0C6"/>
              <w:right w:val="single" w:sz="5" w:space="0" w:color="000000"/>
            </w:tcBorders>
            <w:shd w:val="clear" w:color="auto" w:fill="B1A0C6"/>
          </w:tcPr>
          <w:p w14:paraId="77F19DDB" w14:textId="77777777" w:rsidR="006C0AA7" w:rsidRPr="003726FE" w:rsidRDefault="006C0AA7">
            <w:pPr>
              <w:rPr>
                <w:sz w:val="20"/>
              </w:rPr>
            </w:pPr>
            <w:r w:rsidRPr="003726FE">
              <w:rPr>
                <w:rFonts w:eastAsia="Times New Roman" w:cs="Times New Roman"/>
                <w:sz w:val="20"/>
              </w:rPr>
              <w:t xml:space="preserve"> </w:t>
            </w:r>
          </w:p>
          <w:p w14:paraId="0B41D0E0" w14:textId="77777777" w:rsidR="006C0AA7" w:rsidRPr="003726FE" w:rsidRDefault="006C0AA7">
            <w:pPr>
              <w:ind w:left="101"/>
              <w:rPr>
                <w:sz w:val="20"/>
              </w:rPr>
            </w:pPr>
            <w:r w:rsidRPr="003726FE">
              <w:rPr>
                <w:rFonts w:ascii="Cambria" w:eastAsia="Cambria" w:hAnsi="Cambria" w:cs="Cambria"/>
                <w:b/>
                <w:sz w:val="20"/>
              </w:rPr>
              <w:t>Descriptor</w:t>
            </w:r>
            <w:r w:rsidRPr="003726FE">
              <w:rPr>
                <w:rFonts w:ascii="Cambria" w:eastAsia="Cambria" w:hAnsi="Cambria" w:cs="Cambria"/>
                <w:sz w:val="20"/>
              </w:rPr>
              <w:t xml:space="preserve"> </w:t>
            </w:r>
          </w:p>
        </w:tc>
        <w:tc>
          <w:tcPr>
            <w:tcW w:w="1134" w:type="dxa"/>
            <w:gridSpan w:val="2"/>
            <w:tcBorders>
              <w:top w:val="single" w:sz="5" w:space="0" w:color="000000"/>
              <w:left w:val="single" w:sz="5" w:space="0" w:color="000000"/>
              <w:bottom w:val="single" w:sz="5" w:space="0" w:color="000000"/>
              <w:right w:val="single" w:sz="5" w:space="0" w:color="000000"/>
            </w:tcBorders>
            <w:shd w:val="clear" w:color="auto" w:fill="B1A0C6"/>
          </w:tcPr>
          <w:p w14:paraId="76F6CDA8" w14:textId="77777777" w:rsidR="006C0AA7" w:rsidRPr="003726FE" w:rsidRDefault="006C0AA7">
            <w:pPr>
              <w:rPr>
                <w:sz w:val="20"/>
              </w:rPr>
            </w:pPr>
            <w:r w:rsidRPr="003726FE">
              <w:rPr>
                <w:rFonts w:eastAsia="Times New Roman" w:cs="Times New Roman"/>
                <w:sz w:val="20"/>
              </w:rPr>
              <w:t xml:space="preserve"> </w:t>
            </w:r>
          </w:p>
          <w:p w14:paraId="753C8D48" w14:textId="77777777" w:rsidR="006C0AA7" w:rsidRPr="003726FE" w:rsidRDefault="006C0AA7">
            <w:pPr>
              <w:ind w:left="104"/>
              <w:rPr>
                <w:sz w:val="20"/>
              </w:rPr>
            </w:pPr>
            <w:r w:rsidRPr="003726FE">
              <w:rPr>
                <w:rFonts w:ascii="Cambria" w:eastAsia="Cambria" w:hAnsi="Cambria" w:cs="Cambria"/>
                <w:b/>
                <w:sz w:val="20"/>
              </w:rPr>
              <w:t>Reported?</w:t>
            </w:r>
            <w:r w:rsidRPr="003726FE">
              <w:rPr>
                <w:rFonts w:ascii="Cambria" w:eastAsia="Cambria" w:hAnsi="Cambria" w:cs="Cambria"/>
                <w:sz w:val="20"/>
              </w:rPr>
              <w:t xml:space="preserve"> </w:t>
            </w:r>
          </w:p>
        </w:tc>
      </w:tr>
      <w:tr w:rsidR="006C0AA7" w:rsidRPr="003726FE" w14:paraId="44AB1F7B" w14:textId="77777777" w:rsidTr="00AF4FFF">
        <w:trPr>
          <w:trHeight w:val="525"/>
        </w:trPr>
        <w:tc>
          <w:tcPr>
            <w:tcW w:w="1276" w:type="dxa"/>
            <w:vMerge/>
            <w:tcBorders>
              <w:top w:val="nil"/>
              <w:left w:val="single" w:sz="5" w:space="0" w:color="000000"/>
              <w:bottom w:val="single" w:sz="5" w:space="0" w:color="000000"/>
              <w:right w:val="single" w:sz="5" w:space="0" w:color="000000"/>
            </w:tcBorders>
          </w:tcPr>
          <w:p w14:paraId="6A5F6035"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67FABAE7" w14:textId="77777777" w:rsidR="006C0AA7" w:rsidRPr="003726FE" w:rsidRDefault="006C0AA7">
            <w:pPr>
              <w:rPr>
                <w:sz w:val="20"/>
              </w:rPr>
            </w:pPr>
          </w:p>
        </w:tc>
        <w:tc>
          <w:tcPr>
            <w:tcW w:w="5670" w:type="dxa"/>
            <w:tcBorders>
              <w:top w:val="single" w:sz="5" w:space="0" w:color="B1A0C6"/>
              <w:left w:val="single" w:sz="5" w:space="0" w:color="000000"/>
              <w:bottom w:val="single" w:sz="5" w:space="0" w:color="000000"/>
              <w:right w:val="single" w:sz="5" w:space="0" w:color="000000"/>
            </w:tcBorders>
            <w:shd w:val="clear" w:color="auto" w:fill="B1A0C6"/>
          </w:tcPr>
          <w:p w14:paraId="18E10E1B" w14:textId="77777777" w:rsidR="006C0AA7" w:rsidRPr="003726FE" w:rsidRDefault="006C0AA7">
            <w:pPr>
              <w:rPr>
                <w:sz w:val="20"/>
              </w:rPr>
            </w:pPr>
            <w:r w:rsidRPr="003726FE">
              <w:rPr>
                <w:rFonts w:eastAsia="Times New Roman" w:cs="Times New Roman"/>
                <w:sz w:val="20"/>
              </w:rPr>
              <w:t xml:space="preserve"> </w:t>
            </w:r>
          </w:p>
        </w:tc>
        <w:tc>
          <w:tcPr>
            <w:tcW w:w="425" w:type="dxa"/>
            <w:tcBorders>
              <w:top w:val="single" w:sz="5" w:space="0" w:color="000000"/>
              <w:left w:val="single" w:sz="5" w:space="0" w:color="000000"/>
              <w:bottom w:val="single" w:sz="8" w:space="0" w:color="B1A0C6"/>
              <w:right w:val="single" w:sz="5" w:space="0" w:color="000000"/>
            </w:tcBorders>
            <w:shd w:val="clear" w:color="auto" w:fill="B1A0C6"/>
          </w:tcPr>
          <w:p w14:paraId="0CE6E1A7" w14:textId="77777777" w:rsidR="006C0AA7" w:rsidRPr="003726FE" w:rsidRDefault="006C0AA7">
            <w:pPr>
              <w:ind w:right="52"/>
              <w:jc w:val="right"/>
              <w:rPr>
                <w:sz w:val="20"/>
              </w:rPr>
            </w:pPr>
            <w:r w:rsidRPr="003726FE">
              <w:rPr>
                <w:noProof/>
                <w:sz w:val="20"/>
              </w:rPr>
              <w:drawing>
                <wp:inline distT="0" distB="0" distL="0" distR="0" wp14:anchorId="7D1019C7" wp14:editId="0EA68CC7">
                  <wp:extent cx="266700" cy="181610"/>
                  <wp:effectExtent l="0" t="0" r="0" b="0"/>
                  <wp:docPr id="26072" name="Picture 2607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4"/>
                          <a:stretch>
                            <a:fillRect/>
                          </a:stretch>
                        </pic:blipFill>
                        <pic:spPr>
                          <a:xfrm>
                            <a:off x="0" y="0"/>
                            <a:ext cx="266700" cy="181610"/>
                          </a:xfrm>
                          <a:prstGeom prst="rect">
                            <a:avLst/>
                          </a:prstGeom>
                        </pic:spPr>
                      </pic:pic>
                    </a:graphicData>
                  </a:graphic>
                </wp:inline>
              </w:drawing>
            </w:r>
          </w:p>
        </w:tc>
        <w:tc>
          <w:tcPr>
            <w:tcW w:w="709" w:type="dxa"/>
            <w:tcBorders>
              <w:top w:val="single" w:sz="5" w:space="0" w:color="000000"/>
              <w:left w:val="single" w:sz="5" w:space="0" w:color="000000"/>
              <w:bottom w:val="single" w:sz="3" w:space="0" w:color="FFFFCC"/>
              <w:right w:val="single" w:sz="5" w:space="0" w:color="000000"/>
            </w:tcBorders>
            <w:shd w:val="clear" w:color="auto" w:fill="B1A0C6"/>
          </w:tcPr>
          <w:p w14:paraId="106B6DDB" w14:textId="77777777" w:rsidR="006C0AA7" w:rsidRPr="003726FE" w:rsidRDefault="006C0AA7">
            <w:pPr>
              <w:rPr>
                <w:sz w:val="20"/>
              </w:rPr>
            </w:pPr>
            <w:r w:rsidRPr="003726FE">
              <w:rPr>
                <w:rFonts w:eastAsia="Times New Roman" w:cs="Times New Roman"/>
                <w:sz w:val="20"/>
              </w:rPr>
              <w:t xml:space="preserve"> </w:t>
            </w:r>
          </w:p>
          <w:p w14:paraId="04622827" w14:textId="77777777" w:rsidR="006C0AA7" w:rsidRPr="003726FE" w:rsidRDefault="006C0AA7">
            <w:pPr>
              <w:ind w:left="101"/>
              <w:rPr>
                <w:sz w:val="20"/>
              </w:rPr>
            </w:pPr>
            <w:r w:rsidRPr="003726FE">
              <w:rPr>
                <w:rFonts w:ascii="Cambria" w:eastAsia="Cambria" w:hAnsi="Cambria" w:cs="Cambria"/>
                <w:b/>
                <w:sz w:val="20"/>
              </w:rPr>
              <w:t>Pg #</w:t>
            </w:r>
            <w:r w:rsidRPr="003726FE">
              <w:rPr>
                <w:rFonts w:ascii="Cambria" w:eastAsia="Cambria" w:hAnsi="Cambria" w:cs="Cambria"/>
                <w:sz w:val="20"/>
              </w:rPr>
              <w:t xml:space="preserve"> </w:t>
            </w:r>
          </w:p>
        </w:tc>
      </w:tr>
      <w:tr w:rsidR="006C0AA7" w:rsidRPr="003726FE" w14:paraId="799855DA" w14:textId="77777777" w:rsidTr="00AF4FFF">
        <w:trPr>
          <w:trHeight w:val="463"/>
        </w:trPr>
        <w:tc>
          <w:tcPr>
            <w:tcW w:w="1985" w:type="dxa"/>
            <w:gridSpan w:val="2"/>
            <w:tcBorders>
              <w:top w:val="single" w:sz="5" w:space="0" w:color="000000"/>
              <w:left w:val="single" w:sz="5" w:space="0" w:color="000000"/>
              <w:bottom w:val="single" w:sz="5" w:space="0" w:color="000000"/>
              <w:right w:val="nil"/>
            </w:tcBorders>
            <w:shd w:val="clear" w:color="auto" w:fill="FFFFCC"/>
          </w:tcPr>
          <w:p w14:paraId="73E39E2D" w14:textId="77777777" w:rsidR="006C0AA7" w:rsidRPr="003726FE" w:rsidRDefault="006C0AA7">
            <w:pPr>
              <w:spacing w:after="8"/>
              <w:rPr>
                <w:sz w:val="20"/>
              </w:rPr>
            </w:pPr>
            <w:r w:rsidRPr="003726FE">
              <w:rPr>
                <w:rFonts w:eastAsia="Times New Roman" w:cs="Times New Roman"/>
                <w:sz w:val="20"/>
              </w:rPr>
              <w:t xml:space="preserve"> </w:t>
            </w:r>
          </w:p>
          <w:p w14:paraId="7E382525" w14:textId="77777777" w:rsidR="006C0AA7" w:rsidRPr="003726FE" w:rsidRDefault="006C0AA7">
            <w:pPr>
              <w:ind w:left="103"/>
              <w:rPr>
                <w:sz w:val="20"/>
              </w:rPr>
            </w:pPr>
            <w:r w:rsidRPr="003726FE">
              <w:rPr>
                <w:rFonts w:ascii="Cambria" w:eastAsia="Cambria" w:hAnsi="Cambria" w:cs="Cambria"/>
                <w:b/>
                <w:sz w:val="20"/>
              </w:rPr>
              <w:t>Title and Abstract</w:t>
            </w:r>
            <w:r w:rsidRPr="003726FE">
              <w:rPr>
                <w:rFonts w:ascii="Cambria" w:eastAsia="Cambria" w:hAnsi="Cambria" w:cs="Cambria"/>
                <w:sz w:val="20"/>
              </w:rPr>
              <w:t xml:space="preserve"> </w:t>
            </w:r>
          </w:p>
        </w:tc>
        <w:tc>
          <w:tcPr>
            <w:tcW w:w="5670" w:type="dxa"/>
            <w:tcBorders>
              <w:top w:val="single" w:sz="5" w:space="0" w:color="000000"/>
              <w:left w:val="nil"/>
              <w:bottom w:val="single" w:sz="5" w:space="0" w:color="000000"/>
              <w:right w:val="nil"/>
            </w:tcBorders>
            <w:shd w:val="clear" w:color="auto" w:fill="FFFFCC"/>
          </w:tcPr>
          <w:p w14:paraId="4AF605EF" w14:textId="77777777" w:rsidR="006C0AA7" w:rsidRPr="003726FE" w:rsidRDefault="006C0AA7">
            <w:pPr>
              <w:rPr>
                <w:sz w:val="20"/>
              </w:rPr>
            </w:pPr>
          </w:p>
        </w:tc>
        <w:tc>
          <w:tcPr>
            <w:tcW w:w="425" w:type="dxa"/>
            <w:tcBorders>
              <w:top w:val="single" w:sz="8" w:space="0" w:color="B1A0C6"/>
              <w:left w:val="nil"/>
              <w:bottom w:val="single" w:sz="5" w:space="0" w:color="000000"/>
              <w:right w:val="nil"/>
            </w:tcBorders>
            <w:shd w:val="clear" w:color="auto" w:fill="FFFFCC"/>
          </w:tcPr>
          <w:p w14:paraId="5B4E87A7" w14:textId="77777777" w:rsidR="006C0AA7" w:rsidRPr="003726FE" w:rsidRDefault="006C0AA7">
            <w:pPr>
              <w:rPr>
                <w:sz w:val="20"/>
              </w:rPr>
            </w:pPr>
          </w:p>
        </w:tc>
        <w:tc>
          <w:tcPr>
            <w:tcW w:w="709" w:type="dxa"/>
            <w:tcBorders>
              <w:top w:val="single" w:sz="3" w:space="0" w:color="FFFFCC"/>
              <w:left w:val="nil"/>
              <w:bottom w:val="single" w:sz="5" w:space="0" w:color="000000"/>
              <w:right w:val="single" w:sz="5" w:space="0" w:color="000000"/>
            </w:tcBorders>
            <w:shd w:val="clear" w:color="auto" w:fill="FFFFCC"/>
          </w:tcPr>
          <w:p w14:paraId="6EB6E5BC" w14:textId="77777777" w:rsidR="006C0AA7" w:rsidRPr="003726FE" w:rsidRDefault="006C0AA7">
            <w:pPr>
              <w:rPr>
                <w:sz w:val="20"/>
              </w:rPr>
            </w:pPr>
          </w:p>
        </w:tc>
      </w:tr>
      <w:tr w:rsidR="006C0AA7" w:rsidRPr="003726FE" w14:paraId="2FF19437" w14:textId="77777777" w:rsidTr="00AF4FFF">
        <w:trPr>
          <w:trHeight w:val="291"/>
        </w:trPr>
        <w:tc>
          <w:tcPr>
            <w:tcW w:w="1276" w:type="dxa"/>
            <w:vMerge w:val="restart"/>
            <w:tcBorders>
              <w:top w:val="single" w:sz="5" w:space="0" w:color="000000"/>
              <w:left w:val="single" w:sz="5" w:space="0" w:color="000000"/>
              <w:bottom w:val="single" w:sz="5" w:space="0" w:color="000000"/>
              <w:right w:val="single" w:sz="5" w:space="0" w:color="000000"/>
            </w:tcBorders>
          </w:tcPr>
          <w:p w14:paraId="64229670" w14:textId="77777777" w:rsidR="006C0AA7" w:rsidRPr="003726FE" w:rsidRDefault="006C0AA7">
            <w:pPr>
              <w:ind w:left="103"/>
              <w:rPr>
                <w:sz w:val="20"/>
              </w:rPr>
            </w:pPr>
            <w:r w:rsidRPr="003726FE">
              <w:rPr>
                <w:rFonts w:ascii="Calibri" w:eastAsia="Calibri" w:hAnsi="Calibri" w:cs="Calibri"/>
                <w:sz w:val="20"/>
              </w:rPr>
              <w:t xml:space="preserve">Title and Abstract </w:t>
            </w:r>
          </w:p>
        </w:tc>
        <w:tc>
          <w:tcPr>
            <w:tcW w:w="709" w:type="dxa"/>
            <w:vMerge w:val="restart"/>
            <w:tcBorders>
              <w:top w:val="single" w:sz="5" w:space="0" w:color="000000"/>
              <w:left w:val="single" w:sz="5" w:space="0" w:color="000000"/>
              <w:bottom w:val="single" w:sz="5" w:space="0" w:color="000000"/>
              <w:right w:val="single" w:sz="5" w:space="0" w:color="000000"/>
            </w:tcBorders>
          </w:tcPr>
          <w:p w14:paraId="1DF22579" w14:textId="77777777" w:rsidR="006C0AA7" w:rsidRPr="003726FE" w:rsidRDefault="006C0AA7">
            <w:pPr>
              <w:ind w:left="43"/>
              <w:jc w:val="center"/>
              <w:rPr>
                <w:sz w:val="20"/>
              </w:rPr>
            </w:pPr>
            <w:r w:rsidRPr="003726FE">
              <w:rPr>
                <w:rFonts w:ascii="Calibri" w:eastAsia="Calibri" w:hAnsi="Calibri" w:cs="Calibri"/>
                <w:sz w:val="20"/>
              </w:rPr>
              <w:t xml:space="preserve">1 </w:t>
            </w:r>
          </w:p>
        </w:tc>
        <w:tc>
          <w:tcPr>
            <w:tcW w:w="5670" w:type="dxa"/>
            <w:tcBorders>
              <w:top w:val="single" w:sz="5" w:space="0" w:color="000000"/>
              <w:left w:val="single" w:sz="5" w:space="0" w:color="000000"/>
              <w:bottom w:val="dashed" w:sz="4" w:space="0" w:color="000000"/>
              <w:right w:val="single" w:sz="5" w:space="0" w:color="000000"/>
            </w:tcBorders>
          </w:tcPr>
          <w:p w14:paraId="6D94642D" w14:textId="77777777" w:rsidR="006C0AA7" w:rsidRPr="003726FE" w:rsidRDefault="006C0AA7" w:rsidP="00746B6C">
            <w:pPr>
              <w:ind w:left="48"/>
              <w:rPr>
                <w:sz w:val="20"/>
              </w:rPr>
            </w:pPr>
            <w:r w:rsidRPr="003726FE">
              <w:rPr>
                <w:rFonts w:ascii="Calibri" w:eastAsia="Calibri" w:hAnsi="Calibri" w:cs="Calibri"/>
                <w:sz w:val="20"/>
              </w:rPr>
              <w:t xml:space="preserve">Information on how unit were allocated to interventions </w:t>
            </w:r>
          </w:p>
        </w:tc>
        <w:tc>
          <w:tcPr>
            <w:tcW w:w="425" w:type="dxa"/>
            <w:tcBorders>
              <w:top w:val="single" w:sz="5" w:space="0" w:color="000000"/>
              <w:left w:val="single" w:sz="5" w:space="0" w:color="000000"/>
              <w:bottom w:val="dashed" w:sz="4" w:space="0" w:color="000000"/>
              <w:right w:val="single" w:sz="5" w:space="0" w:color="000000"/>
            </w:tcBorders>
          </w:tcPr>
          <w:p w14:paraId="70D40EA7"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124303B3" w14:textId="77777777" w:rsidR="006C0AA7" w:rsidRPr="003726FE" w:rsidRDefault="006C0AA7">
            <w:pPr>
              <w:rPr>
                <w:sz w:val="20"/>
              </w:rPr>
            </w:pPr>
            <w:r w:rsidRPr="003726FE">
              <w:rPr>
                <w:rFonts w:eastAsia="Times New Roman" w:cs="Times New Roman"/>
                <w:sz w:val="20"/>
              </w:rPr>
              <w:t xml:space="preserve"> </w:t>
            </w:r>
          </w:p>
        </w:tc>
      </w:tr>
      <w:tr w:rsidR="006C0AA7" w:rsidRPr="003726FE" w14:paraId="2C5C26B1" w14:textId="77777777" w:rsidTr="00AF4FFF">
        <w:trPr>
          <w:trHeight w:val="288"/>
        </w:trPr>
        <w:tc>
          <w:tcPr>
            <w:tcW w:w="1276" w:type="dxa"/>
            <w:vMerge/>
            <w:tcBorders>
              <w:top w:val="nil"/>
              <w:left w:val="single" w:sz="5" w:space="0" w:color="000000"/>
              <w:bottom w:val="nil"/>
              <w:right w:val="single" w:sz="5" w:space="0" w:color="000000"/>
            </w:tcBorders>
          </w:tcPr>
          <w:p w14:paraId="61CFBF92"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79F529B7"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4D4E3DFA" w14:textId="77777777" w:rsidR="006C0AA7" w:rsidRPr="003726FE" w:rsidRDefault="006C0AA7" w:rsidP="00746B6C">
            <w:pPr>
              <w:ind w:left="48"/>
              <w:rPr>
                <w:sz w:val="20"/>
              </w:rPr>
            </w:pPr>
            <w:r w:rsidRPr="003726FE">
              <w:rPr>
                <w:rFonts w:ascii="Calibri" w:eastAsia="Calibri" w:hAnsi="Calibri" w:cs="Calibri"/>
                <w:sz w:val="20"/>
              </w:rPr>
              <w:t xml:space="preserve">Structured abstract recommended </w:t>
            </w:r>
          </w:p>
        </w:tc>
        <w:tc>
          <w:tcPr>
            <w:tcW w:w="425" w:type="dxa"/>
            <w:tcBorders>
              <w:top w:val="dashed" w:sz="4" w:space="0" w:color="000000"/>
              <w:left w:val="single" w:sz="5" w:space="0" w:color="000000"/>
              <w:bottom w:val="dashed" w:sz="4" w:space="0" w:color="000000"/>
              <w:right w:val="single" w:sz="5" w:space="0" w:color="000000"/>
            </w:tcBorders>
          </w:tcPr>
          <w:p w14:paraId="4DAC7A42"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6CDB1908" w14:textId="77777777" w:rsidR="006C0AA7" w:rsidRPr="003726FE" w:rsidRDefault="006C0AA7">
            <w:pPr>
              <w:rPr>
                <w:sz w:val="20"/>
              </w:rPr>
            </w:pPr>
            <w:r w:rsidRPr="003726FE">
              <w:rPr>
                <w:rFonts w:eastAsia="Times New Roman" w:cs="Times New Roman"/>
                <w:sz w:val="20"/>
              </w:rPr>
              <w:t xml:space="preserve"> </w:t>
            </w:r>
          </w:p>
        </w:tc>
      </w:tr>
      <w:tr w:rsidR="006C0AA7" w:rsidRPr="003726FE" w14:paraId="1C385100" w14:textId="77777777" w:rsidTr="00AF4FFF">
        <w:trPr>
          <w:trHeight w:val="293"/>
        </w:trPr>
        <w:tc>
          <w:tcPr>
            <w:tcW w:w="1276" w:type="dxa"/>
            <w:vMerge/>
            <w:tcBorders>
              <w:top w:val="nil"/>
              <w:left w:val="single" w:sz="5" w:space="0" w:color="000000"/>
              <w:bottom w:val="single" w:sz="5" w:space="0" w:color="000000"/>
              <w:right w:val="single" w:sz="5" w:space="0" w:color="000000"/>
            </w:tcBorders>
          </w:tcPr>
          <w:p w14:paraId="66452599"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05C03B7F"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3AB7339B" w14:textId="77777777" w:rsidR="006C0AA7" w:rsidRPr="003726FE" w:rsidRDefault="006C0AA7" w:rsidP="00746B6C">
            <w:pPr>
              <w:ind w:left="48"/>
              <w:rPr>
                <w:sz w:val="20"/>
              </w:rPr>
            </w:pPr>
            <w:r w:rsidRPr="003726FE">
              <w:rPr>
                <w:rFonts w:ascii="Calibri" w:eastAsia="Calibri" w:hAnsi="Calibri" w:cs="Calibri"/>
                <w:sz w:val="20"/>
              </w:rPr>
              <w:t xml:space="preserve">Information on target population or study sample </w:t>
            </w:r>
          </w:p>
        </w:tc>
        <w:tc>
          <w:tcPr>
            <w:tcW w:w="425" w:type="dxa"/>
            <w:tcBorders>
              <w:top w:val="dashed" w:sz="4" w:space="0" w:color="000000"/>
              <w:left w:val="single" w:sz="5" w:space="0" w:color="000000"/>
              <w:bottom w:val="single" w:sz="5" w:space="0" w:color="000000"/>
              <w:right w:val="single" w:sz="5" w:space="0" w:color="000000"/>
            </w:tcBorders>
          </w:tcPr>
          <w:p w14:paraId="21438B31"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373F8E06" w14:textId="77777777" w:rsidR="006C0AA7" w:rsidRPr="003726FE" w:rsidRDefault="006C0AA7">
            <w:pPr>
              <w:rPr>
                <w:sz w:val="20"/>
              </w:rPr>
            </w:pPr>
            <w:r w:rsidRPr="003726FE">
              <w:rPr>
                <w:rFonts w:eastAsia="Times New Roman" w:cs="Times New Roman"/>
                <w:sz w:val="20"/>
              </w:rPr>
              <w:t xml:space="preserve"> </w:t>
            </w:r>
          </w:p>
        </w:tc>
      </w:tr>
      <w:tr w:rsidR="006C0AA7" w:rsidRPr="003726FE" w14:paraId="17A89E47" w14:textId="77777777" w:rsidTr="00AF4FFF">
        <w:trPr>
          <w:trHeight w:val="465"/>
        </w:trPr>
        <w:tc>
          <w:tcPr>
            <w:tcW w:w="1985" w:type="dxa"/>
            <w:gridSpan w:val="2"/>
            <w:tcBorders>
              <w:top w:val="single" w:sz="5" w:space="0" w:color="000000"/>
              <w:left w:val="single" w:sz="5" w:space="0" w:color="000000"/>
              <w:bottom w:val="single" w:sz="5" w:space="0" w:color="000000"/>
              <w:right w:val="nil"/>
            </w:tcBorders>
            <w:shd w:val="clear" w:color="auto" w:fill="FFFFCC"/>
          </w:tcPr>
          <w:p w14:paraId="37883827" w14:textId="77777777" w:rsidR="006C0AA7" w:rsidRPr="003726FE" w:rsidRDefault="006C0AA7">
            <w:pPr>
              <w:spacing w:after="10"/>
              <w:rPr>
                <w:sz w:val="20"/>
              </w:rPr>
            </w:pPr>
            <w:r w:rsidRPr="003726FE">
              <w:rPr>
                <w:rFonts w:eastAsia="Times New Roman" w:cs="Times New Roman"/>
                <w:sz w:val="20"/>
              </w:rPr>
              <w:t xml:space="preserve"> </w:t>
            </w:r>
          </w:p>
          <w:p w14:paraId="7FDF111F" w14:textId="77777777" w:rsidR="006C0AA7" w:rsidRPr="003726FE" w:rsidRDefault="006C0AA7">
            <w:pPr>
              <w:ind w:left="103"/>
              <w:rPr>
                <w:sz w:val="20"/>
              </w:rPr>
            </w:pPr>
            <w:r w:rsidRPr="003726FE">
              <w:rPr>
                <w:rFonts w:ascii="Cambria" w:eastAsia="Cambria" w:hAnsi="Cambria" w:cs="Cambria"/>
                <w:b/>
                <w:sz w:val="20"/>
              </w:rPr>
              <w:t>Introduction</w:t>
            </w:r>
            <w:r w:rsidRPr="003726FE">
              <w:rPr>
                <w:rFonts w:ascii="Cambria" w:eastAsia="Cambria" w:hAnsi="Cambria" w:cs="Cambria"/>
                <w:sz w:val="20"/>
              </w:rPr>
              <w:t xml:space="preserve"> </w:t>
            </w:r>
          </w:p>
        </w:tc>
        <w:tc>
          <w:tcPr>
            <w:tcW w:w="5670" w:type="dxa"/>
            <w:tcBorders>
              <w:top w:val="single" w:sz="5" w:space="0" w:color="000000"/>
              <w:left w:val="nil"/>
              <w:bottom w:val="single" w:sz="5" w:space="0" w:color="000000"/>
              <w:right w:val="nil"/>
            </w:tcBorders>
            <w:shd w:val="clear" w:color="auto" w:fill="FFFFCC"/>
          </w:tcPr>
          <w:p w14:paraId="2BA0D41D" w14:textId="77777777" w:rsidR="006C0AA7" w:rsidRPr="003726FE" w:rsidRDefault="006C0AA7">
            <w:pPr>
              <w:rPr>
                <w:sz w:val="20"/>
              </w:rPr>
            </w:pPr>
          </w:p>
        </w:tc>
        <w:tc>
          <w:tcPr>
            <w:tcW w:w="425" w:type="dxa"/>
            <w:tcBorders>
              <w:top w:val="single" w:sz="5" w:space="0" w:color="000000"/>
              <w:left w:val="nil"/>
              <w:bottom w:val="single" w:sz="5" w:space="0" w:color="000000"/>
              <w:right w:val="nil"/>
            </w:tcBorders>
            <w:shd w:val="clear" w:color="auto" w:fill="FFFFCC"/>
          </w:tcPr>
          <w:p w14:paraId="53F62E22" w14:textId="77777777" w:rsidR="006C0AA7" w:rsidRPr="003726FE" w:rsidRDefault="006C0AA7">
            <w:pPr>
              <w:rPr>
                <w:sz w:val="20"/>
              </w:rPr>
            </w:pPr>
          </w:p>
        </w:tc>
        <w:tc>
          <w:tcPr>
            <w:tcW w:w="709" w:type="dxa"/>
            <w:tcBorders>
              <w:top w:val="single" w:sz="5" w:space="0" w:color="000000"/>
              <w:left w:val="nil"/>
              <w:bottom w:val="single" w:sz="5" w:space="0" w:color="000000"/>
              <w:right w:val="single" w:sz="5" w:space="0" w:color="000000"/>
            </w:tcBorders>
            <w:shd w:val="clear" w:color="auto" w:fill="FFFFCC"/>
          </w:tcPr>
          <w:p w14:paraId="2654A0C6" w14:textId="77777777" w:rsidR="006C0AA7" w:rsidRPr="003726FE" w:rsidRDefault="006C0AA7">
            <w:pPr>
              <w:rPr>
                <w:sz w:val="20"/>
              </w:rPr>
            </w:pPr>
          </w:p>
        </w:tc>
      </w:tr>
      <w:tr w:rsidR="006C0AA7" w:rsidRPr="003726FE" w14:paraId="0939390B" w14:textId="77777777" w:rsidTr="00AF4FFF">
        <w:trPr>
          <w:trHeight w:val="291"/>
        </w:trPr>
        <w:tc>
          <w:tcPr>
            <w:tcW w:w="1276" w:type="dxa"/>
            <w:vMerge w:val="restart"/>
            <w:tcBorders>
              <w:top w:val="single" w:sz="5" w:space="0" w:color="000000"/>
              <w:left w:val="single" w:sz="5" w:space="0" w:color="000000"/>
              <w:bottom w:val="single" w:sz="5" w:space="0" w:color="000000"/>
              <w:right w:val="single" w:sz="5" w:space="0" w:color="000000"/>
            </w:tcBorders>
          </w:tcPr>
          <w:p w14:paraId="3ACCD52C" w14:textId="77777777" w:rsidR="006C0AA7" w:rsidRPr="003726FE" w:rsidRDefault="006C0AA7">
            <w:pPr>
              <w:ind w:left="103"/>
              <w:rPr>
                <w:sz w:val="20"/>
              </w:rPr>
            </w:pPr>
            <w:r w:rsidRPr="003726FE">
              <w:rPr>
                <w:rFonts w:ascii="Calibri" w:eastAsia="Calibri" w:hAnsi="Calibri" w:cs="Calibri"/>
                <w:sz w:val="20"/>
              </w:rPr>
              <w:t xml:space="preserve">Background </w:t>
            </w:r>
          </w:p>
        </w:tc>
        <w:tc>
          <w:tcPr>
            <w:tcW w:w="709" w:type="dxa"/>
            <w:vMerge w:val="restart"/>
            <w:tcBorders>
              <w:top w:val="single" w:sz="5" w:space="0" w:color="000000"/>
              <w:left w:val="single" w:sz="5" w:space="0" w:color="000000"/>
              <w:bottom w:val="single" w:sz="5" w:space="0" w:color="000000"/>
              <w:right w:val="single" w:sz="5" w:space="0" w:color="000000"/>
            </w:tcBorders>
          </w:tcPr>
          <w:p w14:paraId="5F1AC87B" w14:textId="77777777" w:rsidR="006C0AA7" w:rsidRPr="003726FE" w:rsidRDefault="006C0AA7">
            <w:pPr>
              <w:ind w:left="43"/>
              <w:jc w:val="center"/>
              <w:rPr>
                <w:sz w:val="20"/>
              </w:rPr>
            </w:pPr>
            <w:r w:rsidRPr="003726FE">
              <w:rPr>
                <w:rFonts w:ascii="Calibri" w:eastAsia="Calibri" w:hAnsi="Calibri" w:cs="Calibri"/>
                <w:sz w:val="20"/>
              </w:rPr>
              <w:t xml:space="preserve">2 </w:t>
            </w:r>
          </w:p>
        </w:tc>
        <w:tc>
          <w:tcPr>
            <w:tcW w:w="5670" w:type="dxa"/>
            <w:tcBorders>
              <w:top w:val="single" w:sz="5" w:space="0" w:color="000000"/>
              <w:left w:val="single" w:sz="5" w:space="0" w:color="000000"/>
              <w:bottom w:val="dashed" w:sz="4" w:space="0" w:color="000000"/>
              <w:right w:val="single" w:sz="5" w:space="0" w:color="000000"/>
            </w:tcBorders>
          </w:tcPr>
          <w:p w14:paraId="218A0C2C" w14:textId="77777777" w:rsidR="006C0AA7" w:rsidRPr="003726FE" w:rsidRDefault="006C0AA7" w:rsidP="00746B6C">
            <w:pPr>
              <w:ind w:left="48"/>
              <w:rPr>
                <w:sz w:val="20"/>
              </w:rPr>
            </w:pPr>
            <w:r w:rsidRPr="003726FE">
              <w:rPr>
                <w:rFonts w:ascii="Calibri" w:eastAsia="Calibri" w:hAnsi="Calibri" w:cs="Calibri"/>
                <w:sz w:val="20"/>
              </w:rPr>
              <w:t xml:space="preserve">Scientific background and explanation of rationale </w:t>
            </w:r>
          </w:p>
        </w:tc>
        <w:tc>
          <w:tcPr>
            <w:tcW w:w="425" w:type="dxa"/>
            <w:tcBorders>
              <w:top w:val="single" w:sz="5" w:space="0" w:color="000000"/>
              <w:left w:val="single" w:sz="5" w:space="0" w:color="000000"/>
              <w:bottom w:val="dashed" w:sz="4" w:space="0" w:color="000000"/>
              <w:right w:val="single" w:sz="5" w:space="0" w:color="000000"/>
            </w:tcBorders>
          </w:tcPr>
          <w:p w14:paraId="4801C6A1"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072DF5BE" w14:textId="77777777" w:rsidR="006C0AA7" w:rsidRPr="003726FE" w:rsidRDefault="006C0AA7">
            <w:pPr>
              <w:rPr>
                <w:sz w:val="20"/>
              </w:rPr>
            </w:pPr>
            <w:r w:rsidRPr="003726FE">
              <w:rPr>
                <w:rFonts w:eastAsia="Times New Roman" w:cs="Times New Roman"/>
                <w:sz w:val="20"/>
              </w:rPr>
              <w:t xml:space="preserve"> </w:t>
            </w:r>
          </w:p>
        </w:tc>
      </w:tr>
      <w:tr w:rsidR="006C0AA7" w:rsidRPr="003726FE" w14:paraId="38A861BC" w14:textId="77777777" w:rsidTr="00AF4FFF">
        <w:trPr>
          <w:trHeight w:val="293"/>
        </w:trPr>
        <w:tc>
          <w:tcPr>
            <w:tcW w:w="1276" w:type="dxa"/>
            <w:vMerge/>
            <w:tcBorders>
              <w:top w:val="nil"/>
              <w:left w:val="single" w:sz="5" w:space="0" w:color="000000"/>
              <w:bottom w:val="single" w:sz="5" w:space="0" w:color="000000"/>
              <w:right w:val="single" w:sz="5" w:space="0" w:color="000000"/>
            </w:tcBorders>
          </w:tcPr>
          <w:p w14:paraId="734E0541"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132C798A"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2C3F5E67" w14:textId="77777777" w:rsidR="006C0AA7" w:rsidRPr="003726FE" w:rsidRDefault="006C0AA7" w:rsidP="00746B6C">
            <w:pPr>
              <w:ind w:left="48"/>
              <w:rPr>
                <w:sz w:val="20"/>
              </w:rPr>
            </w:pPr>
            <w:r w:rsidRPr="003726FE">
              <w:rPr>
                <w:rFonts w:ascii="Calibri" w:eastAsia="Calibri" w:hAnsi="Calibri" w:cs="Calibri"/>
                <w:sz w:val="20"/>
              </w:rPr>
              <w:t xml:space="preserve">Theories used in designing behavioral interventions </w:t>
            </w:r>
          </w:p>
        </w:tc>
        <w:tc>
          <w:tcPr>
            <w:tcW w:w="425" w:type="dxa"/>
            <w:tcBorders>
              <w:top w:val="dashed" w:sz="4" w:space="0" w:color="000000"/>
              <w:left w:val="single" w:sz="5" w:space="0" w:color="000000"/>
              <w:bottom w:val="single" w:sz="5" w:space="0" w:color="000000"/>
              <w:right w:val="single" w:sz="5" w:space="0" w:color="000000"/>
            </w:tcBorders>
          </w:tcPr>
          <w:p w14:paraId="161562E6"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4D7FBDFD" w14:textId="77777777" w:rsidR="006C0AA7" w:rsidRPr="003726FE" w:rsidRDefault="006C0AA7">
            <w:pPr>
              <w:rPr>
                <w:sz w:val="20"/>
              </w:rPr>
            </w:pPr>
            <w:r w:rsidRPr="003726FE">
              <w:rPr>
                <w:rFonts w:eastAsia="Times New Roman" w:cs="Times New Roman"/>
                <w:sz w:val="20"/>
              </w:rPr>
              <w:t xml:space="preserve"> </w:t>
            </w:r>
          </w:p>
        </w:tc>
      </w:tr>
      <w:tr w:rsidR="006C0AA7" w:rsidRPr="003726FE" w14:paraId="5F77504A" w14:textId="77777777" w:rsidTr="00AF4FFF">
        <w:trPr>
          <w:trHeight w:val="465"/>
        </w:trPr>
        <w:tc>
          <w:tcPr>
            <w:tcW w:w="1985" w:type="dxa"/>
            <w:gridSpan w:val="2"/>
            <w:tcBorders>
              <w:top w:val="single" w:sz="5" w:space="0" w:color="000000"/>
              <w:left w:val="single" w:sz="5" w:space="0" w:color="000000"/>
              <w:bottom w:val="single" w:sz="5" w:space="0" w:color="000000"/>
              <w:right w:val="nil"/>
            </w:tcBorders>
            <w:shd w:val="clear" w:color="auto" w:fill="FFFFCC"/>
          </w:tcPr>
          <w:p w14:paraId="2EBA466F" w14:textId="77777777" w:rsidR="006C0AA7" w:rsidRPr="003726FE" w:rsidRDefault="006C0AA7">
            <w:pPr>
              <w:spacing w:after="8"/>
              <w:rPr>
                <w:sz w:val="20"/>
              </w:rPr>
            </w:pPr>
            <w:r w:rsidRPr="003726FE">
              <w:rPr>
                <w:rFonts w:eastAsia="Times New Roman" w:cs="Times New Roman"/>
                <w:sz w:val="20"/>
              </w:rPr>
              <w:t xml:space="preserve"> </w:t>
            </w:r>
          </w:p>
          <w:p w14:paraId="3B2CE1B2" w14:textId="77777777" w:rsidR="006C0AA7" w:rsidRPr="003726FE" w:rsidRDefault="006C0AA7">
            <w:pPr>
              <w:ind w:left="103"/>
              <w:rPr>
                <w:sz w:val="20"/>
              </w:rPr>
            </w:pPr>
            <w:r w:rsidRPr="003726FE">
              <w:rPr>
                <w:rFonts w:ascii="Cambria" w:eastAsia="Cambria" w:hAnsi="Cambria" w:cs="Cambria"/>
                <w:b/>
                <w:sz w:val="20"/>
              </w:rPr>
              <w:t>Methods</w:t>
            </w:r>
            <w:r w:rsidRPr="003726FE">
              <w:rPr>
                <w:rFonts w:ascii="Cambria" w:eastAsia="Cambria" w:hAnsi="Cambria" w:cs="Cambria"/>
                <w:sz w:val="20"/>
              </w:rPr>
              <w:t xml:space="preserve"> </w:t>
            </w:r>
          </w:p>
        </w:tc>
        <w:tc>
          <w:tcPr>
            <w:tcW w:w="5670" w:type="dxa"/>
            <w:tcBorders>
              <w:top w:val="single" w:sz="5" w:space="0" w:color="000000"/>
              <w:left w:val="nil"/>
              <w:bottom w:val="single" w:sz="5" w:space="0" w:color="000000"/>
              <w:right w:val="nil"/>
            </w:tcBorders>
            <w:shd w:val="clear" w:color="auto" w:fill="FFFFCC"/>
          </w:tcPr>
          <w:p w14:paraId="43DB4D8B" w14:textId="77777777" w:rsidR="006C0AA7" w:rsidRPr="003726FE" w:rsidRDefault="006C0AA7">
            <w:pPr>
              <w:rPr>
                <w:sz w:val="20"/>
              </w:rPr>
            </w:pPr>
          </w:p>
        </w:tc>
        <w:tc>
          <w:tcPr>
            <w:tcW w:w="425" w:type="dxa"/>
            <w:tcBorders>
              <w:top w:val="single" w:sz="5" w:space="0" w:color="000000"/>
              <w:left w:val="nil"/>
              <w:bottom w:val="single" w:sz="5" w:space="0" w:color="000000"/>
              <w:right w:val="nil"/>
            </w:tcBorders>
            <w:shd w:val="clear" w:color="auto" w:fill="FFFFCC"/>
          </w:tcPr>
          <w:p w14:paraId="4F3AAC34" w14:textId="77777777" w:rsidR="006C0AA7" w:rsidRPr="003726FE" w:rsidRDefault="006C0AA7">
            <w:pPr>
              <w:rPr>
                <w:sz w:val="20"/>
              </w:rPr>
            </w:pPr>
          </w:p>
        </w:tc>
        <w:tc>
          <w:tcPr>
            <w:tcW w:w="709" w:type="dxa"/>
            <w:tcBorders>
              <w:top w:val="single" w:sz="5" w:space="0" w:color="000000"/>
              <w:left w:val="nil"/>
              <w:bottom w:val="single" w:sz="5" w:space="0" w:color="000000"/>
              <w:right w:val="single" w:sz="5" w:space="0" w:color="000000"/>
            </w:tcBorders>
            <w:shd w:val="clear" w:color="auto" w:fill="FFFFCC"/>
          </w:tcPr>
          <w:p w14:paraId="18ED3783" w14:textId="77777777" w:rsidR="006C0AA7" w:rsidRPr="003726FE" w:rsidRDefault="006C0AA7">
            <w:pPr>
              <w:rPr>
                <w:sz w:val="20"/>
              </w:rPr>
            </w:pPr>
          </w:p>
        </w:tc>
      </w:tr>
      <w:tr w:rsidR="006C0AA7" w:rsidRPr="003726FE" w14:paraId="059AEA5F" w14:textId="77777777" w:rsidTr="00AF4FFF">
        <w:trPr>
          <w:trHeight w:val="560"/>
        </w:trPr>
        <w:tc>
          <w:tcPr>
            <w:tcW w:w="1276" w:type="dxa"/>
            <w:vMerge w:val="restart"/>
            <w:tcBorders>
              <w:top w:val="single" w:sz="5" w:space="0" w:color="000000"/>
              <w:left w:val="single" w:sz="5" w:space="0" w:color="000000"/>
              <w:bottom w:val="single" w:sz="5" w:space="0" w:color="000000"/>
              <w:right w:val="single" w:sz="5" w:space="0" w:color="000000"/>
            </w:tcBorders>
          </w:tcPr>
          <w:p w14:paraId="7F500D75" w14:textId="77777777" w:rsidR="006C0AA7" w:rsidRPr="003726FE" w:rsidRDefault="006C0AA7">
            <w:pPr>
              <w:ind w:left="103"/>
              <w:rPr>
                <w:sz w:val="20"/>
              </w:rPr>
            </w:pPr>
            <w:r w:rsidRPr="003726FE">
              <w:rPr>
                <w:rFonts w:ascii="Calibri" w:eastAsia="Calibri" w:hAnsi="Calibri" w:cs="Calibri"/>
                <w:sz w:val="20"/>
              </w:rPr>
              <w:t xml:space="preserve">Participants </w:t>
            </w:r>
          </w:p>
        </w:tc>
        <w:tc>
          <w:tcPr>
            <w:tcW w:w="709" w:type="dxa"/>
            <w:vMerge w:val="restart"/>
            <w:tcBorders>
              <w:top w:val="single" w:sz="5" w:space="0" w:color="000000"/>
              <w:left w:val="single" w:sz="5" w:space="0" w:color="000000"/>
              <w:bottom w:val="single" w:sz="5" w:space="0" w:color="000000"/>
              <w:right w:val="single" w:sz="5" w:space="0" w:color="000000"/>
            </w:tcBorders>
          </w:tcPr>
          <w:p w14:paraId="3D2134E5" w14:textId="77777777" w:rsidR="006C0AA7" w:rsidRPr="003726FE" w:rsidRDefault="006C0AA7">
            <w:pPr>
              <w:ind w:left="43"/>
              <w:jc w:val="center"/>
              <w:rPr>
                <w:sz w:val="20"/>
              </w:rPr>
            </w:pPr>
            <w:r w:rsidRPr="003726FE">
              <w:rPr>
                <w:rFonts w:ascii="Calibri" w:eastAsia="Calibri" w:hAnsi="Calibri" w:cs="Calibri"/>
                <w:sz w:val="20"/>
              </w:rPr>
              <w:t xml:space="preserve">3 </w:t>
            </w:r>
          </w:p>
        </w:tc>
        <w:tc>
          <w:tcPr>
            <w:tcW w:w="5670" w:type="dxa"/>
            <w:tcBorders>
              <w:top w:val="single" w:sz="5" w:space="0" w:color="000000"/>
              <w:left w:val="single" w:sz="5" w:space="0" w:color="000000"/>
              <w:bottom w:val="dashed" w:sz="4" w:space="0" w:color="000000"/>
              <w:right w:val="single" w:sz="5" w:space="0" w:color="000000"/>
            </w:tcBorders>
          </w:tcPr>
          <w:p w14:paraId="3DF7048A" w14:textId="77777777" w:rsidR="006C0AA7" w:rsidRPr="003726FE" w:rsidRDefault="006C0AA7" w:rsidP="00746B6C">
            <w:pPr>
              <w:ind w:left="48"/>
              <w:rPr>
                <w:sz w:val="20"/>
              </w:rPr>
            </w:pPr>
            <w:r w:rsidRPr="003726FE">
              <w:rPr>
                <w:rFonts w:ascii="Calibri" w:eastAsia="Calibri" w:hAnsi="Calibri" w:cs="Calibri"/>
                <w:sz w:val="20"/>
              </w:rPr>
              <w:t xml:space="preserve">Eligibility criteria for participants, including criteria at different levels in recruitment/sampling plan (e.g., cities, clinics, subjects) </w:t>
            </w:r>
          </w:p>
        </w:tc>
        <w:tc>
          <w:tcPr>
            <w:tcW w:w="425" w:type="dxa"/>
            <w:tcBorders>
              <w:top w:val="single" w:sz="5" w:space="0" w:color="000000"/>
              <w:left w:val="single" w:sz="5" w:space="0" w:color="000000"/>
              <w:bottom w:val="dashed" w:sz="4" w:space="0" w:color="000000"/>
              <w:right w:val="single" w:sz="5" w:space="0" w:color="000000"/>
            </w:tcBorders>
          </w:tcPr>
          <w:p w14:paraId="487609AF"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735E5976" w14:textId="77777777" w:rsidR="006C0AA7" w:rsidRPr="003726FE" w:rsidRDefault="006C0AA7">
            <w:pPr>
              <w:rPr>
                <w:sz w:val="20"/>
              </w:rPr>
            </w:pPr>
            <w:r w:rsidRPr="003726FE">
              <w:rPr>
                <w:rFonts w:eastAsia="Times New Roman" w:cs="Times New Roman"/>
                <w:sz w:val="20"/>
              </w:rPr>
              <w:t xml:space="preserve"> </w:t>
            </w:r>
          </w:p>
        </w:tc>
      </w:tr>
      <w:tr w:rsidR="006C0AA7" w:rsidRPr="003726FE" w14:paraId="37D1991A" w14:textId="77777777" w:rsidTr="00AF4FFF">
        <w:trPr>
          <w:trHeight w:val="559"/>
        </w:trPr>
        <w:tc>
          <w:tcPr>
            <w:tcW w:w="1276" w:type="dxa"/>
            <w:vMerge/>
            <w:tcBorders>
              <w:top w:val="nil"/>
              <w:left w:val="single" w:sz="5" w:space="0" w:color="000000"/>
              <w:bottom w:val="nil"/>
              <w:right w:val="single" w:sz="5" w:space="0" w:color="000000"/>
            </w:tcBorders>
          </w:tcPr>
          <w:p w14:paraId="231E0492"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51A22882"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54F8EA67" w14:textId="77777777" w:rsidR="006C0AA7" w:rsidRPr="003726FE" w:rsidRDefault="006C0AA7" w:rsidP="00746B6C">
            <w:pPr>
              <w:ind w:left="48" w:right="30"/>
              <w:rPr>
                <w:sz w:val="20"/>
              </w:rPr>
            </w:pPr>
            <w:r w:rsidRPr="003726FE">
              <w:rPr>
                <w:rFonts w:ascii="Calibri" w:eastAsia="Calibri" w:hAnsi="Calibri" w:cs="Calibri"/>
                <w:sz w:val="20"/>
              </w:rPr>
              <w:t xml:space="preserve">Method of recruitment (e.g., referral, self-selection), including the sampling method if a systematic sampling plan was implemented </w:t>
            </w:r>
          </w:p>
        </w:tc>
        <w:tc>
          <w:tcPr>
            <w:tcW w:w="425" w:type="dxa"/>
            <w:tcBorders>
              <w:top w:val="dashed" w:sz="4" w:space="0" w:color="000000"/>
              <w:left w:val="single" w:sz="5" w:space="0" w:color="000000"/>
              <w:bottom w:val="dashed" w:sz="4" w:space="0" w:color="000000"/>
              <w:right w:val="single" w:sz="5" w:space="0" w:color="000000"/>
            </w:tcBorders>
          </w:tcPr>
          <w:p w14:paraId="6C454FD3"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3A144CC3" w14:textId="77777777" w:rsidR="006C0AA7" w:rsidRPr="003726FE" w:rsidRDefault="006C0AA7">
            <w:pPr>
              <w:rPr>
                <w:sz w:val="20"/>
              </w:rPr>
            </w:pPr>
            <w:r w:rsidRPr="003726FE">
              <w:rPr>
                <w:rFonts w:eastAsia="Times New Roman" w:cs="Times New Roman"/>
                <w:sz w:val="20"/>
              </w:rPr>
              <w:t xml:space="preserve"> </w:t>
            </w:r>
          </w:p>
        </w:tc>
      </w:tr>
      <w:tr w:rsidR="006C0AA7" w:rsidRPr="003726FE" w14:paraId="71949AF4" w14:textId="77777777" w:rsidTr="00AF4FFF">
        <w:trPr>
          <w:trHeight w:val="290"/>
        </w:trPr>
        <w:tc>
          <w:tcPr>
            <w:tcW w:w="1276" w:type="dxa"/>
            <w:vMerge/>
            <w:tcBorders>
              <w:top w:val="nil"/>
              <w:left w:val="single" w:sz="5" w:space="0" w:color="000000"/>
              <w:bottom w:val="nil"/>
              <w:right w:val="single" w:sz="5" w:space="0" w:color="000000"/>
            </w:tcBorders>
          </w:tcPr>
          <w:p w14:paraId="7EEB4020"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220808FB"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294D5AAE" w14:textId="77777777" w:rsidR="006C0AA7" w:rsidRPr="003726FE" w:rsidRDefault="006C0AA7" w:rsidP="00746B6C">
            <w:pPr>
              <w:ind w:left="48"/>
              <w:rPr>
                <w:sz w:val="20"/>
              </w:rPr>
            </w:pPr>
            <w:r w:rsidRPr="003726FE">
              <w:rPr>
                <w:rFonts w:ascii="Calibri" w:eastAsia="Calibri" w:hAnsi="Calibri" w:cs="Calibri"/>
                <w:sz w:val="20"/>
              </w:rPr>
              <w:t xml:space="preserve">Recruitment setting </w:t>
            </w:r>
          </w:p>
        </w:tc>
        <w:tc>
          <w:tcPr>
            <w:tcW w:w="425" w:type="dxa"/>
            <w:tcBorders>
              <w:top w:val="dashed" w:sz="4" w:space="0" w:color="000000"/>
              <w:left w:val="single" w:sz="5" w:space="0" w:color="000000"/>
              <w:bottom w:val="dashed" w:sz="4" w:space="0" w:color="000000"/>
              <w:right w:val="single" w:sz="5" w:space="0" w:color="000000"/>
            </w:tcBorders>
          </w:tcPr>
          <w:p w14:paraId="179C825B"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6A4198ED" w14:textId="77777777" w:rsidR="006C0AA7" w:rsidRPr="003726FE" w:rsidRDefault="006C0AA7">
            <w:pPr>
              <w:rPr>
                <w:sz w:val="20"/>
              </w:rPr>
            </w:pPr>
            <w:r w:rsidRPr="003726FE">
              <w:rPr>
                <w:rFonts w:eastAsia="Times New Roman" w:cs="Times New Roman"/>
                <w:sz w:val="20"/>
              </w:rPr>
              <w:t xml:space="preserve"> </w:t>
            </w:r>
          </w:p>
        </w:tc>
      </w:tr>
      <w:tr w:rsidR="006C0AA7" w:rsidRPr="003726FE" w14:paraId="63341E9A" w14:textId="77777777" w:rsidTr="00AF4FFF">
        <w:trPr>
          <w:trHeight w:val="289"/>
        </w:trPr>
        <w:tc>
          <w:tcPr>
            <w:tcW w:w="1276" w:type="dxa"/>
            <w:vMerge/>
            <w:tcBorders>
              <w:top w:val="nil"/>
              <w:left w:val="single" w:sz="5" w:space="0" w:color="000000"/>
              <w:bottom w:val="single" w:sz="5" w:space="0" w:color="000000"/>
              <w:right w:val="single" w:sz="5" w:space="0" w:color="000000"/>
            </w:tcBorders>
          </w:tcPr>
          <w:p w14:paraId="6D098131"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20AE2D10"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550386D1" w14:textId="77777777" w:rsidR="006C0AA7" w:rsidRPr="003726FE" w:rsidRDefault="006C0AA7" w:rsidP="00746B6C">
            <w:pPr>
              <w:ind w:left="48"/>
              <w:rPr>
                <w:sz w:val="20"/>
              </w:rPr>
            </w:pPr>
            <w:r w:rsidRPr="003726FE">
              <w:rPr>
                <w:rFonts w:ascii="Calibri" w:eastAsia="Calibri" w:hAnsi="Calibri" w:cs="Calibri"/>
                <w:sz w:val="20"/>
              </w:rPr>
              <w:t xml:space="preserve">Settings and locations where the data were collected </w:t>
            </w:r>
          </w:p>
        </w:tc>
        <w:tc>
          <w:tcPr>
            <w:tcW w:w="425" w:type="dxa"/>
            <w:tcBorders>
              <w:top w:val="dashed" w:sz="4" w:space="0" w:color="000000"/>
              <w:left w:val="single" w:sz="5" w:space="0" w:color="000000"/>
              <w:bottom w:val="single" w:sz="5" w:space="0" w:color="000000"/>
              <w:right w:val="single" w:sz="5" w:space="0" w:color="000000"/>
            </w:tcBorders>
          </w:tcPr>
          <w:p w14:paraId="0357EF20"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5F7D4104" w14:textId="77777777" w:rsidR="006C0AA7" w:rsidRPr="003726FE" w:rsidRDefault="006C0AA7">
            <w:pPr>
              <w:rPr>
                <w:sz w:val="20"/>
              </w:rPr>
            </w:pPr>
            <w:r w:rsidRPr="003726FE">
              <w:rPr>
                <w:rFonts w:eastAsia="Times New Roman" w:cs="Times New Roman"/>
                <w:sz w:val="20"/>
              </w:rPr>
              <w:t xml:space="preserve"> </w:t>
            </w:r>
          </w:p>
        </w:tc>
      </w:tr>
      <w:tr w:rsidR="006C0AA7" w:rsidRPr="003726FE" w14:paraId="3897ED12" w14:textId="77777777" w:rsidTr="00AF4FFF">
        <w:trPr>
          <w:trHeight w:val="558"/>
        </w:trPr>
        <w:tc>
          <w:tcPr>
            <w:tcW w:w="1276" w:type="dxa"/>
            <w:vMerge w:val="restart"/>
            <w:tcBorders>
              <w:top w:val="single" w:sz="5" w:space="0" w:color="000000"/>
              <w:left w:val="single" w:sz="5" w:space="0" w:color="000000"/>
              <w:bottom w:val="single" w:sz="5" w:space="0" w:color="000000"/>
              <w:right w:val="single" w:sz="5" w:space="0" w:color="000000"/>
            </w:tcBorders>
          </w:tcPr>
          <w:p w14:paraId="6186E637" w14:textId="77777777" w:rsidR="006C0AA7" w:rsidRPr="003726FE" w:rsidRDefault="006C0AA7">
            <w:pPr>
              <w:ind w:left="103"/>
              <w:rPr>
                <w:sz w:val="20"/>
              </w:rPr>
            </w:pPr>
            <w:r w:rsidRPr="003726FE">
              <w:rPr>
                <w:rFonts w:ascii="Calibri" w:eastAsia="Calibri" w:hAnsi="Calibri" w:cs="Calibri"/>
                <w:sz w:val="20"/>
              </w:rPr>
              <w:t xml:space="preserve">Interventions </w:t>
            </w:r>
          </w:p>
        </w:tc>
        <w:tc>
          <w:tcPr>
            <w:tcW w:w="709" w:type="dxa"/>
            <w:vMerge w:val="restart"/>
            <w:tcBorders>
              <w:top w:val="single" w:sz="5" w:space="0" w:color="000000"/>
              <w:left w:val="single" w:sz="5" w:space="0" w:color="000000"/>
              <w:bottom w:val="single" w:sz="5" w:space="0" w:color="000000"/>
              <w:right w:val="single" w:sz="5" w:space="0" w:color="000000"/>
            </w:tcBorders>
          </w:tcPr>
          <w:p w14:paraId="0F3AB7E1" w14:textId="77777777" w:rsidR="006C0AA7" w:rsidRPr="003726FE" w:rsidRDefault="006C0AA7">
            <w:pPr>
              <w:ind w:left="43"/>
              <w:jc w:val="center"/>
              <w:rPr>
                <w:sz w:val="20"/>
              </w:rPr>
            </w:pPr>
            <w:r w:rsidRPr="003726FE">
              <w:rPr>
                <w:rFonts w:ascii="Calibri" w:eastAsia="Calibri" w:hAnsi="Calibri" w:cs="Calibri"/>
                <w:sz w:val="20"/>
              </w:rPr>
              <w:t xml:space="preserve">4 </w:t>
            </w:r>
          </w:p>
        </w:tc>
        <w:tc>
          <w:tcPr>
            <w:tcW w:w="5670" w:type="dxa"/>
            <w:tcBorders>
              <w:top w:val="single" w:sz="5" w:space="0" w:color="000000"/>
              <w:left w:val="single" w:sz="5" w:space="0" w:color="000000"/>
              <w:bottom w:val="dashed" w:sz="4" w:space="0" w:color="000000"/>
              <w:right w:val="single" w:sz="5" w:space="0" w:color="000000"/>
            </w:tcBorders>
          </w:tcPr>
          <w:p w14:paraId="5AACFBCB" w14:textId="77777777" w:rsidR="006C0AA7" w:rsidRPr="003726FE" w:rsidRDefault="006C0AA7" w:rsidP="00746B6C">
            <w:pPr>
              <w:ind w:left="48" w:right="76"/>
              <w:rPr>
                <w:sz w:val="20"/>
              </w:rPr>
            </w:pPr>
            <w:r w:rsidRPr="003726FE">
              <w:rPr>
                <w:rFonts w:ascii="Calibri" w:eastAsia="Calibri" w:hAnsi="Calibri" w:cs="Calibri"/>
                <w:sz w:val="20"/>
              </w:rPr>
              <w:t xml:space="preserve">Details of the interventions intended for each study condition and how and when they were actually administered, specifically including: </w:t>
            </w:r>
          </w:p>
        </w:tc>
        <w:tc>
          <w:tcPr>
            <w:tcW w:w="425" w:type="dxa"/>
            <w:tcBorders>
              <w:top w:val="single" w:sz="5" w:space="0" w:color="000000"/>
              <w:left w:val="single" w:sz="5" w:space="0" w:color="000000"/>
              <w:bottom w:val="dashed" w:sz="4" w:space="0" w:color="000000"/>
              <w:right w:val="single" w:sz="5" w:space="0" w:color="000000"/>
            </w:tcBorders>
          </w:tcPr>
          <w:p w14:paraId="39447868"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12CC0992" w14:textId="77777777" w:rsidR="006C0AA7" w:rsidRPr="003726FE" w:rsidRDefault="006C0AA7">
            <w:pPr>
              <w:rPr>
                <w:sz w:val="20"/>
              </w:rPr>
            </w:pPr>
            <w:r w:rsidRPr="003726FE">
              <w:rPr>
                <w:rFonts w:eastAsia="Times New Roman" w:cs="Times New Roman"/>
                <w:sz w:val="20"/>
              </w:rPr>
              <w:t xml:space="preserve"> </w:t>
            </w:r>
          </w:p>
        </w:tc>
      </w:tr>
      <w:tr w:rsidR="006C0AA7" w:rsidRPr="003726FE" w14:paraId="411E6E73" w14:textId="77777777" w:rsidTr="00AF4FFF">
        <w:trPr>
          <w:trHeight w:val="278"/>
        </w:trPr>
        <w:tc>
          <w:tcPr>
            <w:tcW w:w="1276" w:type="dxa"/>
            <w:vMerge/>
            <w:tcBorders>
              <w:top w:val="nil"/>
              <w:left w:val="single" w:sz="5" w:space="0" w:color="000000"/>
              <w:bottom w:val="nil"/>
              <w:right w:val="single" w:sz="5" w:space="0" w:color="000000"/>
            </w:tcBorders>
          </w:tcPr>
          <w:p w14:paraId="376EACDF"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2BEABEFB"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67AD6019"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Content: what was given? </w:t>
            </w:r>
          </w:p>
        </w:tc>
        <w:tc>
          <w:tcPr>
            <w:tcW w:w="425" w:type="dxa"/>
            <w:tcBorders>
              <w:top w:val="dashed" w:sz="4" w:space="0" w:color="000000"/>
              <w:left w:val="single" w:sz="5" w:space="0" w:color="000000"/>
              <w:bottom w:val="dashed" w:sz="4" w:space="0" w:color="000000"/>
              <w:right w:val="single" w:sz="5" w:space="0" w:color="000000"/>
            </w:tcBorders>
          </w:tcPr>
          <w:p w14:paraId="014C92C7"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71A77AC9" w14:textId="77777777" w:rsidR="006C0AA7" w:rsidRPr="003726FE" w:rsidRDefault="006C0AA7">
            <w:pPr>
              <w:rPr>
                <w:sz w:val="20"/>
              </w:rPr>
            </w:pPr>
            <w:r w:rsidRPr="003726FE">
              <w:rPr>
                <w:rFonts w:eastAsia="Times New Roman" w:cs="Times New Roman"/>
                <w:sz w:val="20"/>
              </w:rPr>
              <w:t xml:space="preserve"> </w:t>
            </w:r>
          </w:p>
        </w:tc>
      </w:tr>
      <w:tr w:rsidR="006C0AA7" w:rsidRPr="003726FE" w14:paraId="45EBE0B0" w14:textId="77777777" w:rsidTr="00AF4FFF">
        <w:trPr>
          <w:trHeight w:val="278"/>
        </w:trPr>
        <w:tc>
          <w:tcPr>
            <w:tcW w:w="1276" w:type="dxa"/>
            <w:vMerge/>
            <w:tcBorders>
              <w:top w:val="nil"/>
              <w:left w:val="single" w:sz="5" w:space="0" w:color="000000"/>
              <w:bottom w:val="nil"/>
              <w:right w:val="single" w:sz="5" w:space="0" w:color="000000"/>
            </w:tcBorders>
          </w:tcPr>
          <w:p w14:paraId="478019B4"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1866E5C2"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E891560"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Delivery method: how was the content given? </w:t>
            </w:r>
          </w:p>
        </w:tc>
        <w:tc>
          <w:tcPr>
            <w:tcW w:w="425" w:type="dxa"/>
            <w:tcBorders>
              <w:top w:val="dashed" w:sz="4" w:space="0" w:color="000000"/>
              <w:left w:val="single" w:sz="5" w:space="0" w:color="000000"/>
              <w:bottom w:val="dashed" w:sz="4" w:space="0" w:color="000000"/>
              <w:right w:val="single" w:sz="5" w:space="0" w:color="000000"/>
            </w:tcBorders>
          </w:tcPr>
          <w:p w14:paraId="2C05CBCF"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7568860F" w14:textId="77777777" w:rsidR="006C0AA7" w:rsidRPr="003726FE" w:rsidRDefault="006C0AA7">
            <w:pPr>
              <w:rPr>
                <w:sz w:val="20"/>
              </w:rPr>
            </w:pPr>
            <w:r w:rsidRPr="003726FE">
              <w:rPr>
                <w:rFonts w:eastAsia="Times New Roman" w:cs="Times New Roman"/>
                <w:sz w:val="20"/>
              </w:rPr>
              <w:t xml:space="preserve"> </w:t>
            </w:r>
          </w:p>
        </w:tc>
      </w:tr>
      <w:tr w:rsidR="006C0AA7" w:rsidRPr="003726FE" w14:paraId="0EC5028A" w14:textId="77777777" w:rsidTr="00AF4FFF">
        <w:trPr>
          <w:trHeight w:val="281"/>
        </w:trPr>
        <w:tc>
          <w:tcPr>
            <w:tcW w:w="1276" w:type="dxa"/>
            <w:vMerge/>
            <w:tcBorders>
              <w:top w:val="nil"/>
              <w:left w:val="single" w:sz="5" w:space="0" w:color="000000"/>
              <w:bottom w:val="nil"/>
              <w:right w:val="single" w:sz="5" w:space="0" w:color="000000"/>
            </w:tcBorders>
          </w:tcPr>
          <w:p w14:paraId="0517A7DE"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778FA0A6"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5C12F890"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Unit of delivery: how were the subjects grouped during delivery? </w:t>
            </w:r>
          </w:p>
        </w:tc>
        <w:tc>
          <w:tcPr>
            <w:tcW w:w="425" w:type="dxa"/>
            <w:tcBorders>
              <w:top w:val="dashed" w:sz="4" w:space="0" w:color="000000"/>
              <w:left w:val="single" w:sz="5" w:space="0" w:color="000000"/>
              <w:bottom w:val="dashed" w:sz="4" w:space="0" w:color="000000"/>
              <w:right w:val="single" w:sz="5" w:space="0" w:color="000000"/>
            </w:tcBorders>
          </w:tcPr>
          <w:p w14:paraId="5ED69AAE"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69F8F467" w14:textId="77777777" w:rsidR="006C0AA7" w:rsidRPr="003726FE" w:rsidRDefault="006C0AA7">
            <w:pPr>
              <w:rPr>
                <w:sz w:val="20"/>
              </w:rPr>
            </w:pPr>
            <w:r w:rsidRPr="003726FE">
              <w:rPr>
                <w:rFonts w:eastAsia="Times New Roman" w:cs="Times New Roman"/>
                <w:sz w:val="20"/>
              </w:rPr>
              <w:t xml:space="preserve"> </w:t>
            </w:r>
          </w:p>
        </w:tc>
      </w:tr>
      <w:tr w:rsidR="006C0AA7" w:rsidRPr="003726FE" w14:paraId="0422FF90" w14:textId="77777777" w:rsidTr="00AF4FFF">
        <w:trPr>
          <w:trHeight w:val="276"/>
        </w:trPr>
        <w:tc>
          <w:tcPr>
            <w:tcW w:w="1276" w:type="dxa"/>
            <w:vMerge/>
            <w:tcBorders>
              <w:top w:val="nil"/>
              <w:left w:val="single" w:sz="5" w:space="0" w:color="000000"/>
              <w:bottom w:val="nil"/>
              <w:right w:val="single" w:sz="5" w:space="0" w:color="000000"/>
            </w:tcBorders>
          </w:tcPr>
          <w:p w14:paraId="36FF29EC"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75F808A4"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4770677A"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Deliverer: who delivered the intervention? </w:t>
            </w:r>
          </w:p>
        </w:tc>
        <w:tc>
          <w:tcPr>
            <w:tcW w:w="425" w:type="dxa"/>
            <w:tcBorders>
              <w:top w:val="dashed" w:sz="4" w:space="0" w:color="000000"/>
              <w:left w:val="single" w:sz="5" w:space="0" w:color="000000"/>
              <w:bottom w:val="dashed" w:sz="4" w:space="0" w:color="000000"/>
              <w:right w:val="single" w:sz="5" w:space="0" w:color="000000"/>
            </w:tcBorders>
          </w:tcPr>
          <w:p w14:paraId="3E3E7C60"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7E364C88" w14:textId="77777777" w:rsidR="006C0AA7" w:rsidRPr="003726FE" w:rsidRDefault="006C0AA7">
            <w:pPr>
              <w:rPr>
                <w:sz w:val="20"/>
              </w:rPr>
            </w:pPr>
            <w:r w:rsidRPr="003726FE">
              <w:rPr>
                <w:rFonts w:eastAsia="Times New Roman" w:cs="Times New Roman"/>
                <w:sz w:val="20"/>
              </w:rPr>
              <w:t xml:space="preserve"> </w:t>
            </w:r>
          </w:p>
        </w:tc>
      </w:tr>
      <w:tr w:rsidR="006C0AA7" w:rsidRPr="003726FE" w14:paraId="5BDA5367" w14:textId="77777777" w:rsidTr="00AF4FFF">
        <w:trPr>
          <w:trHeight w:val="281"/>
        </w:trPr>
        <w:tc>
          <w:tcPr>
            <w:tcW w:w="1276" w:type="dxa"/>
            <w:vMerge/>
            <w:tcBorders>
              <w:top w:val="nil"/>
              <w:left w:val="single" w:sz="5" w:space="0" w:color="000000"/>
              <w:bottom w:val="nil"/>
              <w:right w:val="single" w:sz="5" w:space="0" w:color="000000"/>
            </w:tcBorders>
          </w:tcPr>
          <w:p w14:paraId="4DB2D80E"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61177962"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5C989ECF"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Setting: where was the intervention delivered? </w:t>
            </w:r>
          </w:p>
        </w:tc>
        <w:tc>
          <w:tcPr>
            <w:tcW w:w="425" w:type="dxa"/>
            <w:tcBorders>
              <w:top w:val="dashed" w:sz="4" w:space="0" w:color="000000"/>
              <w:left w:val="single" w:sz="5" w:space="0" w:color="000000"/>
              <w:bottom w:val="dashed" w:sz="4" w:space="0" w:color="000000"/>
              <w:right w:val="single" w:sz="5" w:space="0" w:color="000000"/>
            </w:tcBorders>
          </w:tcPr>
          <w:p w14:paraId="66114EDA"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410AF15D" w14:textId="77777777" w:rsidR="006C0AA7" w:rsidRPr="003726FE" w:rsidRDefault="006C0AA7">
            <w:pPr>
              <w:rPr>
                <w:sz w:val="20"/>
              </w:rPr>
            </w:pPr>
            <w:r w:rsidRPr="003726FE">
              <w:rPr>
                <w:rFonts w:eastAsia="Times New Roman" w:cs="Times New Roman"/>
                <w:sz w:val="20"/>
              </w:rPr>
              <w:t xml:space="preserve"> </w:t>
            </w:r>
          </w:p>
        </w:tc>
      </w:tr>
      <w:tr w:rsidR="006C0AA7" w:rsidRPr="003726FE" w14:paraId="5F2B374D" w14:textId="77777777" w:rsidTr="00AF4FFF">
        <w:trPr>
          <w:trHeight w:val="552"/>
        </w:trPr>
        <w:tc>
          <w:tcPr>
            <w:tcW w:w="1276" w:type="dxa"/>
            <w:vMerge/>
            <w:tcBorders>
              <w:top w:val="nil"/>
              <w:left w:val="single" w:sz="5" w:space="0" w:color="000000"/>
              <w:bottom w:val="nil"/>
              <w:right w:val="single" w:sz="5" w:space="0" w:color="000000"/>
            </w:tcBorders>
          </w:tcPr>
          <w:p w14:paraId="61BE6F5B"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61C2E733"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0D2C7402" w14:textId="77777777" w:rsidR="006C0AA7" w:rsidRPr="003726FE" w:rsidRDefault="006C0AA7" w:rsidP="00746B6C">
            <w:pPr>
              <w:ind w:left="615"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Exposure quantity and duration: how many sessions or episodes or events were intended to be delivered? How long were they intended to last? </w:t>
            </w:r>
          </w:p>
        </w:tc>
        <w:tc>
          <w:tcPr>
            <w:tcW w:w="425" w:type="dxa"/>
            <w:tcBorders>
              <w:top w:val="dashed" w:sz="4" w:space="0" w:color="000000"/>
              <w:left w:val="single" w:sz="5" w:space="0" w:color="000000"/>
              <w:bottom w:val="dashed" w:sz="4" w:space="0" w:color="000000"/>
              <w:right w:val="single" w:sz="5" w:space="0" w:color="000000"/>
            </w:tcBorders>
          </w:tcPr>
          <w:p w14:paraId="7D6B3A74"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15AE6A28" w14:textId="77777777" w:rsidR="006C0AA7" w:rsidRPr="003726FE" w:rsidRDefault="006C0AA7">
            <w:pPr>
              <w:rPr>
                <w:sz w:val="20"/>
              </w:rPr>
            </w:pPr>
            <w:r w:rsidRPr="003726FE">
              <w:rPr>
                <w:rFonts w:eastAsia="Times New Roman" w:cs="Times New Roman"/>
                <w:sz w:val="20"/>
              </w:rPr>
              <w:t xml:space="preserve"> </w:t>
            </w:r>
          </w:p>
        </w:tc>
      </w:tr>
      <w:tr w:rsidR="006C0AA7" w:rsidRPr="003726FE" w14:paraId="55EAA31B" w14:textId="77777777" w:rsidTr="00AF4FFF">
        <w:trPr>
          <w:trHeight w:val="547"/>
        </w:trPr>
        <w:tc>
          <w:tcPr>
            <w:tcW w:w="1276" w:type="dxa"/>
            <w:vMerge/>
            <w:tcBorders>
              <w:top w:val="nil"/>
              <w:left w:val="single" w:sz="5" w:space="0" w:color="000000"/>
              <w:bottom w:val="nil"/>
              <w:right w:val="single" w:sz="5" w:space="0" w:color="000000"/>
            </w:tcBorders>
          </w:tcPr>
          <w:p w14:paraId="17F57CB6"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3FBE0FA2"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796A988F" w14:textId="77777777" w:rsidR="006C0AA7" w:rsidRPr="003726FE" w:rsidRDefault="006C0AA7" w:rsidP="00746B6C">
            <w:pPr>
              <w:ind w:left="615"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Time span: how long was it intended to take to deliver the intervention to each unit? </w:t>
            </w:r>
          </w:p>
        </w:tc>
        <w:tc>
          <w:tcPr>
            <w:tcW w:w="425" w:type="dxa"/>
            <w:tcBorders>
              <w:top w:val="dashed" w:sz="4" w:space="0" w:color="000000"/>
              <w:left w:val="single" w:sz="5" w:space="0" w:color="000000"/>
              <w:bottom w:val="dashed" w:sz="4" w:space="0" w:color="000000"/>
              <w:right w:val="single" w:sz="5" w:space="0" w:color="000000"/>
            </w:tcBorders>
          </w:tcPr>
          <w:p w14:paraId="096B9692"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7F7C12D0" w14:textId="77777777" w:rsidR="006C0AA7" w:rsidRPr="003726FE" w:rsidRDefault="006C0AA7">
            <w:pPr>
              <w:rPr>
                <w:sz w:val="20"/>
              </w:rPr>
            </w:pPr>
            <w:r w:rsidRPr="003726FE">
              <w:rPr>
                <w:rFonts w:eastAsia="Times New Roman" w:cs="Times New Roman"/>
                <w:sz w:val="20"/>
              </w:rPr>
              <w:t xml:space="preserve"> </w:t>
            </w:r>
          </w:p>
        </w:tc>
      </w:tr>
      <w:tr w:rsidR="006C0AA7" w:rsidRPr="003726FE" w14:paraId="3BDFA7BD" w14:textId="77777777" w:rsidTr="00AF4FFF">
        <w:trPr>
          <w:trHeight w:val="282"/>
        </w:trPr>
        <w:tc>
          <w:tcPr>
            <w:tcW w:w="1276" w:type="dxa"/>
            <w:vMerge/>
            <w:tcBorders>
              <w:top w:val="nil"/>
              <w:left w:val="single" w:sz="5" w:space="0" w:color="000000"/>
              <w:bottom w:val="single" w:sz="5" w:space="0" w:color="000000"/>
              <w:right w:val="single" w:sz="5" w:space="0" w:color="000000"/>
            </w:tcBorders>
          </w:tcPr>
          <w:p w14:paraId="2580323B"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4213B8BB"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09A2B9B9" w14:textId="77777777" w:rsidR="006C0AA7" w:rsidRPr="003726FE" w:rsidRDefault="006C0AA7" w:rsidP="00746B6C">
            <w:pPr>
              <w:ind w:left="331"/>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Activities to increase compliance or adherence (e.g., incentives) </w:t>
            </w:r>
          </w:p>
        </w:tc>
        <w:tc>
          <w:tcPr>
            <w:tcW w:w="425" w:type="dxa"/>
            <w:tcBorders>
              <w:top w:val="dashed" w:sz="4" w:space="0" w:color="000000"/>
              <w:left w:val="single" w:sz="5" w:space="0" w:color="000000"/>
              <w:bottom w:val="single" w:sz="5" w:space="0" w:color="000000"/>
              <w:right w:val="single" w:sz="5" w:space="0" w:color="000000"/>
            </w:tcBorders>
          </w:tcPr>
          <w:p w14:paraId="42BBB53D"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3624C67E" w14:textId="77777777" w:rsidR="006C0AA7" w:rsidRPr="003726FE" w:rsidRDefault="006C0AA7">
            <w:pPr>
              <w:rPr>
                <w:sz w:val="20"/>
              </w:rPr>
            </w:pPr>
            <w:r w:rsidRPr="003726FE">
              <w:rPr>
                <w:rFonts w:eastAsia="Times New Roman" w:cs="Times New Roman"/>
                <w:sz w:val="20"/>
              </w:rPr>
              <w:t xml:space="preserve"> </w:t>
            </w:r>
          </w:p>
        </w:tc>
      </w:tr>
      <w:tr w:rsidR="006C0AA7" w:rsidRPr="003726FE" w14:paraId="740464B7" w14:textId="77777777" w:rsidTr="00AF4FFF">
        <w:trPr>
          <w:trHeight w:val="288"/>
        </w:trPr>
        <w:tc>
          <w:tcPr>
            <w:tcW w:w="1276" w:type="dxa"/>
            <w:tcBorders>
              <w:top w:val="single" w:sz="5" w:space="0" w:color="000000"/>
              <w:left w:val="single" w:sz="5" w:space="0" w:color="000000"/>
              <w:bottom w:val="single" w:sz="5" w:space="0" w:color="000000"/>
              <w:right w:val="single" w:sz="5" w:space="0" w:color="000000"/>
            </w:tcBorders>
          </w:tcPr>
          <w:p w14:paraId="0E32E0F2" w14:textId="77777777" w:rsidR="006C0AA7" w:rsidRPr="003726FE" w:rsidRDefault="006C0AA7">
            <w:pPr>
              <w:ind w:left="103"/>
              <w:rPr>
                <w:sz w:val="20"/>
              </w:rPr>
            </w:pPr>
            <w:r w:rsidRPr="003726FE">
              <w:rPr>
                <w:rFonts w:ascii="Calibri" w:eastAsia="Calibri" w:hAnsi="Calibri" w:cs="Calibri"/>
                <w:sz w:val="20"/>
              </w:rPr>
              <w:t xml:space="preserve">Objectives </w:t>
            </w:r>
          </w:p>
        </w:tc>
        <w:tc>
          <w:tcPr>
            <w:tcW w:w="709" w:type="dxa"/>
            <w:tcBorders>
              <w:top w:val="single" w:sz="5" w:space="0" w:color="000000"/>
              <w:left w:val="single" w:sz="5" w:space="0" w:color="000000"/>
              <w:bottom w:val="single" w:sz="5" w:space="0" w:color="000000"/>
              <w:right w:val="single" w:sz="5" w:space="0" w:color="000000"/>
            </w:tcBorders>
          </w:tcPr>
          <w:p w14:paraId="50EC4AE0" w14:textId="77777777" w:rsidR="006C0AA7" w:rsidRPr="003726FE" w:rsidRDefault="006C0AA7">
            <w:pPr>
              <w:ind w:left="43"/>
              <w:jc w:val="center"/>
              <w:rPr>
                <w:sz w:val="20"/>
              </w:rPr>
            </w:pPr>
            <w:r w:rsidRPr="003726FE">
              <w:rPr>
                <w:rFonts w:ascii="Calibri" w:eastAsia="Calibri" w:hAnsi="Calibri" w:cs="Calibri"/>
                <w:sz w:val="20"/>
              </w:rPr>
              <w:t xml:space="preserve">5 </w:t>
            </w:r>
          </w:p>
        </w:tc>
        <w:tc>
          <w:tcPr>
            <w:tcW w:w="5670" w:type="dxa"/>
            <w:tcBorders>
              <w:top w:val="single" w:sz="5" w:space="0" w:color="000000"/>
              <w:left w:val="single" w:sz="5" w:space="0" w:color="000000"/>
              <w:bottom w:val="single" w:sz="5" w:space="0" w:color="000000"/>
              <w:right w:val="single" w:sz="5" w:space="0" w:color="000000"/>
            </w:tcBorders>
          </w:tcPr>
          <w:p w14:paraId="14015E9A" w14:textId="77777777" w:rsidR="006C0AA7" w:rsidRPr="003726FE" w:rsidRDefault="006C0AA7" w:rsidP="00746B6C">
            <w:pPr>
              <w:ind w:left="48"/>
              <w:rPr>
                <w:sz w:val="20"/>
              </w:rPr>
            </w:pPr>
            <w:r w:rsidRPr="003726FE">
              <w:rPr>
                <w:rFonts w:ascii="Calibri" w:eastAsia="Calibri" w:hAnsi="Calibri" w:cs="Calibri"/>
                <w:sz w:val="20"/>
              </w:rPr>
              <w:t xml:space="preserve">Specific objectives and hypotheses </w:t>
            </w:r>
          </w:p>
        </w:tc>
        <w:tc>
          <w:tcPr>
            <w:tcW w:w="425" w:type="dxa"/>
            <w:tcBorders>
              <w:top w:val="single" w:sz="5" w:space="0" w:color="000000"/>
              <w:left w:val="single" w:sz="5" w:space="0" w:color="000000"/>
              <w:bottom w:val="single" w:sz="5" w:space="0" w:color="000000"/>
              <w:right w:val="single" w:sz="5" w:space="0" w:color="000000"/>
            </w:tcBorders>
          </w:tcPr>
          <w:p w14:paraId="1396EAA7"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1FB4BEB2" w14:textId="77777777" w:rsidR="006C0AA7" w:rsidRPr="003726FE" w:rsidRDefault="006C0AA7">
            <w:pPr>
              <w:rPr>
                <w:sz w:val="20"/>
              </w:rPr>
            </w:pPr>
            <w:r w:rsidRPr="003726FE">
              <w:rPr>
                <w:rFonts w:eastAsia="Times New Roman" w:cs="Times New Roman"/>
                <w:sz w:val="20"/>
              </w:rPr>
              <w:t xml:space="preserve"> </w:t>
            </w:r>
          </w:p>
        </w:tc>
      </w:tr>
      <w:tr w:rsidR="006C0AA7" w:rsidRPr="003726FE" w14:paraId="3808D632" w14:textId="77777777" w:rsidTr="00AF4FFF">
        <w:trPr>
          <w:trHeight w:val="289"/>
        </w:trPr>
        <w:tc>
          <w:tcPr>
            <w:tcW w:w="1276" w:type="dxa"/>
            <w:vMerge w:val="restart"/>
            <w:tcBorders>
              <w:top w:val="single" w:sz="5" w:space="0" w:color="000000"/>
              <w:left w:val="single" w:sz="5" w:space="0" w:color="000000"/>
              <w:bottom w:val="single" w:sz="5" w:space="0" w:color="000000"/>
              <w:right w:val="single" w:sz="5" w:space="0" w:color="000000"/>
            </w:tcBorders>
          </w:tcPr>
          <w:p w14:paraId="6798A734" w14:textId="77777777" w:rsidR="006C0AA7" w:rsidRPr="003726FE" w:rsidRDefault="006C0AA7">
            <w:pPr>
              <w:ind w:left="103"/>
              <w:rPr>
                <w:sz w:val="20"/>
              </w:rPr>
            </w:pPr>
            <w:r w:rsidRPr="003726FE">
              <w:rPr>
                <w:rFonts w:ascii="Calibri" w:eastAsia="Calibri" w:hAnsi="Calibri" w:cs="Calibri"/>
                <w:sz w:val="20"/>
              </w:rPr>
              <w:t xml:space="preserve">Outcomes </w:t>
            </w:r>
          </w:p>
        </w:tc>
        <w:tc>
          <w:tcPr>
            <w:tcW w:w="709" w:type="dxa"/>
            <w:vMerge w:val="restart"/>
            <w:tcBorders>
              <w:top w:val="single" w:sz="5" w:space="0" w:color="000000"/>
              <w:left w:val="single" w:sz="5" w:space="0" w:color="000000"/>
              <w:bottom w:val="single" w:sz="5" w:space="0" w:color="000000"/>
              <w:right w:val="single" w:sz="5" w:space="0" w:color="000000"/>
            </w:tcBorders>
          </w:tcPr>
          <w:p w14:paraId="6653774A" w14:textId="77777777" w:rsidR="006C0AA7" w:rsidRPr="003726FE" w:rsidRDefault="006C0AA7">
            <w:pPr>
              <w:ind w:left="43"/>
              <w:jc w:val="center"/>
              <w:rPr>
                <w:sz w:val="20"/>
              </w:rPr>
            </w:pPr>
            <w:r w:rsidRPr="003726FE">
              <w:rPr>
                <w:rFonts w:ascii="Calibri" w:eastAsia="Calibri" w:hAnsi="Calibri" w:cs="Calibri"/>
                <w:sz w:val="20"/>
              </w:rPr>
              <w:t xml:space="preserve">6 </w:t>
            </w:r>
          </w:p>
        </w:tc>
        <w:tc>
          <w:tcPr>
            <w:tcW w:w="5670" w:type="dxa"/>
            <w:tcBorders>
              <w:top w:val="single" w:sz="5" w:space="0" w:color="000000"/>
              <w:left w:val="single" w:sz="5" w:space="0" w:color="000000"/>
              <w:bottom w:val="dashed" w:sz="4" w:space="0" w:color="000000"/>
              <w:right w:val="single" w:sz="5" w:space="0" w:color="000000"/>
            </w:tcBorders>
          </w:tcPr>
          <w:p w14:paraId="2B144653" w14:textId="77777777" w:rsidR="006C0AA7" w:rsidRPr="003726FE" w:rsidRDefault="006C0AA7" w:rsidP="00746B6C">
            <w:pPr>
              <w:ind w:left="48"/>
              <w:rPr>
                <w:sz w:val="20"/>
              </w:rPr>
            </w:pPr>
            <w:r w:rsidRPr="003726FE">
              <w:rPr>
                <w:rFonts w:ascii="Calibri" w:eastAsia="Calibri" w:hAnsi="Calibri" w:cs="Calibri"/>
                <w:sz w:val="20"/>
              </w:rPr>
              <w:t xml:space="preserve">Clearly defined primary and secondary outcome measures </w:t>
            </w:r>
          </w:p>
        </w:tc>
        <w:tc>
          <w:tcPr>
            <w:tcW w:w="425" w:type="dxa"/>
            <w:tcBorders>
              <w:top w:val="single" w:sz="5" w:space="0" w:color="000000"/>
              <w:left w:val="single" w:sz="5" w:space="0" w:color="000000"/>
              <w:bottom w:val="dashed" w:sz="4" w:space="0" w:color="000000"/>
              <w:right w:val="single" w:sz="5" w:space="0" w:color="000000"/>
            </w:tcBorders>
          </w:tcPr>
          <w:p w14:paraId="43DA9BF8"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349E4D50" w14:textId="77777777" w:rsidR="006C0AA7" w:rsidRPr="003726FE" w:rsidRDefault="006C0AA7">
            <w:pPr>
              <w:rPr>
                <w:sz w:val="20"/>
              </w:rPr>
            </w:pPr>
            <w:r w:rsidRPr="003726FE">
              <w:rPr>
                <w:rFonts w:eastAsia="Times New Roman" w:cs="Times New Roman"/>
                <w:sz w:val="20"/>
              </w:rPr>
              <w:t xml:space="preserve"> </w:t>
            </w:r>
          </w:p>
        </w:tc>
      </w:tr>
      <w:tr w:rsidR="006C0AA7" w:rsidRPr="003726FE" w14:paraId="476D12C7" w14:textId="77777777" w:rsidTr="00AF4FFF">
        <w:trPr>
          <w:trHeight w:val="559"/>
        </w:trPr>
        <w:tc>
          <w:tcPr>
            <w:tcW w:w="1276" w:type="dxa"/>
            <w:vMerge/>
            <w:tcBorders>
              <w:top w:val="nil"/>
              <w:left w:val="single" w:sz="5" w:space="0" w:color="000000"/>
              <w:bottom w:val="nil"/>
              <w:right w:val="single" w:sz="5" w:space="0" w:color="000000"/>
            </w:tcBorders>
          </w:tcPr>
          <w:p w14:paraId="460E17BA"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25B11310"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15351426" w14:textId="77777777" w:rsidR="006C0AA7" w:rsidRPr="003726FE" w:rsidRDefault="006C0AA7" w:rsidP="00746B6C">
            <w:pPr>
              <w:ind w:left="48" w:right="45"/>
              <w:rPr>
                <w:sz w:val="20"/>
              </w:rPr>
            </w:pPr>
            <w:r w:rsidRPr="003726FE">
              <w:rPr>
                <w:rFonts w:ascii="Calibri" w:eastAsia="Calibri" w:hAnsi="Calibri" w:cs="Calibri"/>
                <w:sz w:val="20"/>
              </w:rPr>
              <w:t xml:space="preserve">Methods used to collect data and any methods used to enhance the quality of measurements </w:t>
            </w:r>
          </w:p>
        </w:tc>
        <w:tc>
          <w:tcPr>
            <w:tcW w:w="425" w:type="dxa"/>
            <w:tcBorders>
              <w:top w:val="dashed" w:sz="4" w:space="0" w:color="000000"/>
              <w:left w:val="single" w:sz="5" w:space="0" w:color="000000"/>
              <w:bottom w:val="dashed" w:sz="4" w:space="0" w:color="000000"/>
              <w:right w:val="single" w:sz="5" w:space="0" w:color="000000"/>
            </w:tcBorders>
          </w:tcPr>
          <w:p w14:paraId="3052A649"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6DC20600" w14:textId="77777777" w:rsidR="006C0AA7" w:rsidRPr="003726FE" w:rsidRDefault="006C0AA7">
            <w:pPr>
              <w:rPr>
                <w:sz w:val="20"/>
              </w:rPr>
            </w:pPr>
            <w:r w:rsidRPr="003726FE">
              <w:rPr>
                <w:rFonts w:eastAsia="Times New Roman" w:cs="Times New Roman"/>
                <w:sz w:val="20"/>
              </w:rPr>
              <w:t xml:space="preserve"> </w:t>
            </w:r>
          </w:p>
        </w:tc>
      </w:tr>
      <w:tr w:rsidR="006C0AA7" w:rsidRPr="003726FE" w14:paraId="1CC655B4" w14:textId="77777777" w:rsidTr="00AF4FFF">
        <w:trPr>
          <w:trHeight w:val="560"/>
        </w:trPr>
        <w:tc>
          <w:tcPr>
            <w:tcW w:w="1276" w:type="dxa"/>
            <w:vMerge/>
            <w:tcBorders>
              <w:top w:val="nil"/>
              <w:left w:val="single" w:sz="5" w:space="0" w:color="000000"/>
              <w:bottom w:val="single" w:sz="5" w:space="0" w:color="000000"/>
              <w:right w:val="single" w:sz="5" w:space="0" w:color="000000"/>
            </w:tcBorders>
          </w:tcPr>
          <w:p w14:paraId="3E7641F9"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59CDB397"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436F824B" w14:textId="77777777" w:rsidR="006C0AA7" w:rsidRPr="003726FE" w:rsidRDefault="006C0AA7" w:rsidP="00746B6C">
            <w:pPr>
              <w:ind w:left="48"/>
              <w:rPr>
                <w:sz w:val="20"/>
              </w:rPr>
            </w:pPr>
            <w:r w:rsidRPr="003726FE">
              <w:rPr>
                <w:rFonts w:ascii="Calibri" w:eastAsia="Calibri" w:hAnsi="Calibri" w:cs="Calibri"/>
                <w:sz w:val="20"/>
              </w:rPr>
              <w:t xml:space="preserve">Information on validated instruments such as psychometric and biometric properties </w:t>
            </w:r>
          </w:p>
        </w:tc>
        <w:tc>
          <w:tcPr>
            <w:tcW w:w="425" w:type="dxa"/>
            <w:tcBorders>
              <w:top w:val="dashed" w:sz="4" w:space="0" w:color="000000"/>
              <w:left w:val="single" w:sz="5" w:space="0" w:color="000000"/>
              <w:bottom w:val="single" w:sz="5" w:space="0" w:color="000000"/>
              <w:right w:val="single" w:sz="5" w:space="0" w:color="000000"/>
            </w:tcBorders>
          </w:tcPr>
          <w:p w14:paraId="27E65A4E"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4B231AC2" w14:textId="77777777" w:rsidR="006C0AA7" w:rsidRPr="003726FE" w:rsidRDefault="006C0AA7">
            <w:pPr>
              <w:rPr>
                <w:sz w:val="20"/>
              </w:rPr>
            </w:pPr>
            <w:r w:rsidRPr="003726FE">
              <w:rPr>
                <w:rFonts w:eastAsia="Times New Roman" w:cs="Times New Roman"/>
                <w:sz w:val="20"/>
              </w:rPr>
              <w:t xml:space="preserve"> </w:t>
            </w:r>
          </w:p>
        </w:tc>
      </w:tr>
      <w:tr w:rsidR="006C0AA7" w:rsidRPr="003726FE" w14:paraId="70351C9D" w14:textId="77777777" w:rsidTr="00AF4FFF">
        <w:trPr>
          <w:trHeight w:val="560"/>
        </w:trPr>
        <w:tc>
          <w:tcPr>
            <w:tcW w:w="1276" w:type="dxa"/>
            <w:tcBorders>
              <w:top w:val="single" w:sz="5" w:space="0" w:color="000000"/>
              <w:left w:val="single" w:sz="5" w:space="0" w:color="000000"/>
              <w:bottom w:val="single" w:sz="5" w:space="0" w:color="000000"/>
              <w:right w:val="single" w:sz="5" w:space="0" w:color="000000"/>
            </w:tcBorders>
          </w:tcPr>
          <w:p w14:paraId="7FD289F7" w14:textId="77777777" w:rsidR="006C0AA7" w:rsidRPr="003726FE" w:rsidRDefault="006C0AA7">
            <w:pPr>
              <w:ind w:left="103"/>
              <w:rPr>
                <w:sz w:val="20"/>
              </w:rPr>
            </w:pPr>
            <w:r w:rsidRPr="003726FE">
              <w:rPr>
                <w:rFonts w:ascii="Calibri" w:eastAsia="Calibri" w:hAnsi="Calibri" w:cs="Calibri"/>
                <w:sz w:val="20"/>
              </w:rPr>
              <w:t xml:space="preserve">Sample Size </w:t>
            </w:r>
          </w:p>
        </w:tc>
        <w:tc>
          <w:tcPr>
            <w:tcW w:w="709" w:type="dxa"/>
            <w:tcBorders>
              <w:top w:val="single" w:sz="5" w:space="0" w:color="000000"/>
              <w:left w:val="single" w:sz="5" w:space="0" w:color="000000"/>
              <w:bottom w:val="single" w:sz="5" w:space="0" w:color="000000"/>
              <w:right w:val="single" w:sz="5" w:space="0" w:color="000000"/>
            </w:tcBorders>
          </w:tcPr>
          <w:p w14:paraId="4B03D60B" w14:textId="77777777" w:rsidR="006C0AA7" w:rsidRPr="003726FE" w:rsidRDefault="006C0AA7">
            <w:pPr>
              <w:ind w:left="43"/>
              <w:jc w:val="center"/>
              <w:rPr>
                <w:sz w:val="20"/>
              </w:rPr>
            </w:pPr>
            <w:r w:rsidRPr="003726FE">
              <w:rPr>
                <w:rFonts w:ascii="Calibri" w:eastAsia="Calibri" w:hAnsi="Calibri" w:cs="Calibri"/>
                <w:sz w:val="20"/>
              </w:rPr>
              <w:t xml:space="preserve">7 </w:t>
            </w:r>
          </w:p>
        </w:tc>
        <w:tc>
          <w:tcPr>
            <w:tcW w:w="5670" w:type="dxa"/>
            <w:tcBorders>
              <w:top w:val="single" w:sz="5" w:space="0" w:color="000000"/>
              <w:left w:val="single" w:sz="5" w:space="0" w:color="000000"/>
              <w:bottom w:val="single" w:sz="5" w:space="0" w:color="000000"/>
              <w:right w:val="single" w:sz="5" w:space="0" w:color="000000"/>
            </w:tcBorders>
          </w:tcPr>
          <w:p w14:paraId="6D375403" w14:textId="77777777" w:rsidR="006C0AA7" w:rsidRPr="003726FE" w:rsidRDefault="006C0AA7" w:rsidP="00746B6C">
            <w:pPr>
              <w:ind w:left="48"/>
              <w:rPr>
                <w:sz w:val="20"/>
              </w:rPr>
            </w:pPr>
            <w:r w:rsidRPr="003726FE">
              <w:rPr>
                <w:rFonts w:ascii="Calibri" w:eastAsia="Calibri" w:hAnsi="Calibri" w:cs="Calibri"/>
                <w:sz w:val="20"/>
              </w:rPr>
              <w:t xml:space="preserve">How sample size was determined and, when applicable, explanation of any interim analyses and stopping rules </w:t>
            </w:r>
          </w:p>
        </w:tc>
        <w:tc>
          <w:tcPr>
            <w:tcW w:w="425" w:type="dxa"/>
            <w:tcBorders>
              <w:top w:val="single" w:sz="5" w:space="0" w:color="000000"/>
              <w:left w:val="single" w:sz="5" w:space="0" w:color="000000"/>
              <w:bottom w:val="single" w:sz="5" w:space="0" w:color="000000"/>
              <w:right w:val="single" w:sz="5" w:space="0" w:color="000000"/>
            </w:tcBorders>
          </w:tcPr>
          <w:p w14:paraId="7E9EE621"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30EF87AF" w14:textId="77777777" w:rsidR="006C0AA7" w:rsidRPr="003726FE" w:rsidRDefault="006C0AA7">
            <w:pPr>
              <w:rPr>
                <w:sz w:val="20"/>
              </w:rPr>
            </w:pPr>
            <w:r w:rsidRPr="003726FE">
              <w:rPr>
                <w:rFonts w:eastAsia="Times New Roman" w:cs="Times New Roman"/>
                <w:sz w:val="20"/>
              </w:rPr>
              <w:t xml:space="preserve"> </w:t>
            </w:r>
          </w:p>
        </w:tc>
      </w:tr>
      <w:tr w:rsidR="006C0AA7" w:rsidRPr="003726FE" w14:paraId="121ACBA2" w14:textId="77777777" w:rsidTr="00AF4FFF">
        <w:trPr>
          <w:trHeight w:val="558"/>
        </w:trPr>
        <w:tc>
          <w:tcPr>
            <w:tcW w:w="1276" w:type="dxa"/>
            <w:vMerge w:val="restart"/>
            <w:tcBorders>
              <w:top w:val="single" w:sz="5" w:space="0" w:color="000000"/>
              <w:left w:val="single" w:sz="5" w:space="0" w:color="000000"/>
              <w:bottom w:val="single" w:sz="5" w:space="0" w:color="000000"/>
              <w:right w:val="single" w:sz="5" w:space="0" w:color="000000"/>
            </w:tcBorders>
          </w:tcPr>
          <w:p w14:paraId="40979D49" w14:textId="77777777" w:rsidR="006C0AA7" w:rsidRPr="003726FE" w:rsidRDefault="006C0AA7">
            <w:pPr>
              <w:ind w:left="103"/>
              <w:rPr>
                <w:sz w:val="20"/>
              </w:rPr>
            </w:pPr>
            <w:r w:rsidRPr="003726FE">
              <w:rPr>
                <w:rFonts w:ascii="Calibri" w:eastAsia="Calibri" w:hAnsi="Calibri" w:cs="Calibri"/>
                <w:sz w:val="20"/>
              </w:rPr>
              <w:t xml:space="preserve">Assignment Method </w:t>
            </w:r>
          </w:p>
        </w:tc>
        <w:tc>
          <w:tcPr>
            <w:tcW w:w="709" w:type="dxa"/>
            <w:vMerge w:val="restart"/>
            <w:tcBorders>
              <w:top w:val="single" w:sz="5" w:space="0" w:color="000000"/>
              <w:left w:val="single" w:sz="5" w:space="0" w:color="000000"/>
              <w:bottom w:val="single" w:sz="5" w:space="0" w:color="000000"/>
              <w:right w:val="single" w:sz="5" w:space="0" w:color="000000"/>
            </w:tcBorders>
          </w:tcPr>
          <w:p w14:paraId="1379C2E1" w14:textId="77777777" w:rsidR="006C0AA7" w:rsidRPr="003726FE" w:rsidRDefault="006C0AA7">
            <w:pPr>
              <w:ind w:left="43"/>
              <w:jc w:val="center"/>
              <w:rPr>
                <w:sz w:val="20"/>
              </w:rPr>
            </w:pPr>
            <w:r w:rsidRPr="003726FE">
              <w:rPr>
                <w:rFonts w:ascii="Calibri" w:eastAsia="Calibri" w:hAnsi="Calibri" w:cs="Calibri"/>
                <w:sz w:val="20"/>
              </w:rPr>
              <w:t xml:space="preserve">8 </w:t>
            </w:r>
          </w:p>
        </w:tc>
        <w:tc>
          <w:tcPr>
            <w:tcW w:w="5670" w:type="dxa"/>
            <w:tcBorders>
              <w:top w:val="single" w:sz="5" w:space="0" w:color="000000"/>
              <w:left w:val="single" w:sz="5" w:space="0" w:color="000000"/>
              <w:bottom w:val="dashed" w:sz="4" w:space="0" w:color="000000"/>
              <w:right w:val="single" w:sz="5" w:space="0" w:color="000000"/>
            </w:tcBorders>
          </w:tcPr>
          <w:p w14:paraId="4135DE8C" w14:textId="77777777" w:rsidR="006C0AA7" w:rsidRPr="003726FE" w:rsidRDefault="006C0AA7" w:rsidP="00746B6C">
            <w:pPr>
              <w:ind w:left="48"/>
              <w:rPr>
                <w:sz w:val="20"/>
              </w:rPr>
            </w:pPr>
            <w:r w:rsidRPr="003726FE">
              <w:rPr>
                <w:rFonts w:ascii="Calibri" w:eastAsia="Calibri" w:hAnsi="Calibri" w:cs="Calibri"/>
                <w:sz w:val="20"/>
              </w:rPr>
              <w:t xml:space="preserve">Unit of assignment (the unit being assigned to study condition, e.g., individual, group, community) </w:t>
            </w:r>
          </w:p>
        </w:tc>
        <w:tc>
          <w:tcPr>
            <w:tcW w:w="425" w:type="dxa"/>
            <w:tcBorders>
              <w:top w:val="single" w:sz="5" w:space="0" w:color="000000"/>
              <w:left w:val="single" w:sz="5" w:space="0" w:color="000000"/>
              <w:bottom w:val="dashed" w:sz="4" w:space="0" w:color="000000"/>
              <w:right w:val="single" w:sz="5" w:space="0" w:color="000000"/>
            </w:tcBorders>
          </w:tcPr>
          <w:p w14:paraId="4AA76C29"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single" w:sz="5" w:space="0" w:color="000000"/>
              <w:left w:val="single" w:sz="5" w:space="0" w:color="000000"/>
              <w:bottom w:val="dashed" w:sz="4" w:space="0" w:color="000000"/>
              <w:right w:val="single" w:sz="5" w:space="0" w:color="000000"/>
            </w:tcBorders>
          </w:tcPr>
          <w:p w14:paraId="13ED4FCB" w14:textId="77777777" w:rsidR="006C0AA7" w:rsidRPr="003726FE" w:rsidRDefault="006C0AA7">
            <w:pPr>
              <w:rPr>
                <w:sz w:val="20"/>
              </w:rPr>
            </w:pPr>
            <w:r w:rsidRPr="003726FE">
              <w:rPr>
                <w:rFonts w:eastAsia="Times New Roman" w:cs="Times New Roman"/>
                <w:sz w:val="20"/>
              </w:rPr>
              <w:t xml:space="preserve"> </w:t>
            </w:r>
          </w:p>
        </w:tc>
      </w:tr>
      <w:tr w:rsidR="006C0AA7" w:rsidRPr="003726FE" w14:paraId="0FBDB218" w14:textId="77777777" w:rsidTr="00AF4FFF">
        <w:trPr>
          <w:trHeight w:val="559"/>
        </w:trPr>
        <w:tc>
          <w:tcPr>
            <w:tcW w:w="1276" w:type="dxa"/>
            <w:vMerge/>
            <w:tcBorders>
              <w:top w:val="nil"/>
              <w:left w:val="single" w:sz="5" w:space="0" w:color="000000"/>
              <w:bottom w:val="nil"/>
              <w:right w:val="single" w:sz="5" w:space="0" w:color="000000"/>
            </w:tcBorders>
          </w:tcPr>
          <w:p w14:paraId="2902B1C3" w14:textId="77777777" w:rsidR="006C0AA7" w:rsidRPr="003726FE" w:rsidRDefault="006C0AA7">
            <w:pPr>
              <w:rPr>
                <w:sz w:val="20"/>
              </w:rPr>
            </w:pPr>
          </w:p>
        </w:tc>
        <w:tc>
          <w:tcPr>
            <w:tcW w:w="709" w:type="dxa"/>
            <w:vMerge/>
            <w:tcBorders>
              <w:top w:val="nil"/>
              <w:left w:val="single" w:sz="5" w:space="0" w:color="000000"/>
              <w:bottom w:val="nil"/>
              <w:right w:val="single" w:sz="5" w:space="0" w:color="000000"/>
            </w:tcBorders>
          </w:tcPr>
          <w:p w14:paraId="676A4A3F"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73AF4CDE" w14:textId="77777777" w:rsidR="006C0AA7" w:rsidRPr="003726FE" w:rsidRDefault="006C0AA7" w:rsidP="00746B6C">
            <w:pPr>
              <w:ind w:left="48"/>
              <w:rPr>
                <w:sz w:val="20"/>
              </w:rPr>
            </w:pPr>
            <w:r w:rsidRPr="003726FE">
              <w:rPr>
                <w:rFonts w:ascii="Calibri" w:eastAsia="Calibri" w:hAnsi="Calibri" w:cs="Calibri"/>
                <w:sz w:val="20"/>
              </w:rPr>
              <w:t xml:space="preserve">Method used to assign units to study conditions, including details of any restriction (e.g., blocking, stratification, minimization) </w:t>
            </w:r>
          </w:p>
        </w:tc>
        <w:tc>
          <w:tcPr>
            <w:tcW w:w="425" w:type="dxa"/>
            <w:tcBorders>
              <w:top w:val="dashed" w:sz="4" w:space="0" w:color="000000"/>
              <w:left w:val="single" w:sz="5" w:space="0" w:color="000000"/>
              <w:bottom w:val="dashed" w:sz="4" w:space="0" w:color="000000"/>
              <w:right w:val="single" w:sz="5" w:space="0" w:color="000000"/>
            </w:tcBorders>
          </w:tcPr>
          <w:p w14:paraId="2724D5C3"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dashed" w:sz="4" w:space="0" w:color="000000"/>
              <w:right w:val="single" w:sz="5" w:space="0" w:color="000000"/>
            </w:tcBorders>
          </w:tcPr>
          <w:p w14:paraId="4B297015" w14:textId="77777777" w:rsidR="006C0AA7" w:rsidRPr="003726FE" w:rsidRDefault="006C0AA7">
            <w:pPr>
              <w:rPr>
                <w:sz w:val="20"/>
              </w:rPr>
            </w:pPr>
            <w:r w:rsidRPr="003726FE">
              <w:rPr>
                <w:rFonts w:eastAsia="Times New Roman" w:cs="Times New Roman"/>
                <w:sz w:val="20"/>
              </w:rPr>
              <w:t xml:space="preserve"> </w:t>
            </w:r>
          </w:p>
        </w:tc>
      </w:tr>
      <w:tr w:rsidR="006C0AA7" w:rsidRPr="003726FE" w14:paraId="7118F05E" w14:textId="77777777" w:rsidTr="00AF4FFF">
        <w:trPr>
          <w:trHeight w:val="560"/>
        </w:trPr>
        <w:tc>
          <w:tcPr>
            <w:tcW w:w="1276" w:type="dxa"/>
            <w:vMerge/>
            <w:tcBorders>
              <w:top w:val="nil"/>
              <w:left w:val="single" w:sz="5" w:space="0" w:color="000000"/>
              <w:bottom w:val="single" w:sz="5" w:space="0" w:color="000000"/>
              <w:right w:val="single" w:sz="5" w:space="0" w:color="000000"/>
            </w:tcBorders>
          </w:tcPr>
          <w:p w14:paraId="7B65FBBC" w14:textId="77777777" w:rsidR="006C0AA7" w:rsidRPr="003726FE" w:rsidRDefault="006C0AA7">
            <w:pPr>
              <w:rPr>
                <w:sz w:val="20"/>
              </w:rPr>
            </w:pPr>
          </w:p>
        </w:tc>
        <w:tc>
          <w:tcPr>
            <w:tcW w:w="709" w:type="dxa"/>
            <w:vMerge/>
            <w:tcBorders>
              <w:top w:val="nil"/>
              <w:left w:val="single" w:sz="5" w:space="0" w:color="000000"/>
              <w:bottom w:val="single" w:sz="5" w:space="0" w:color="000000"/>
              <w:right w:val="single" w:sz="5" w:space="0" w:color="000000"/>
            </w:tcBorders>
          </w:tcPr>
          <w:p w14:paraId="12776445"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094E600B" w14:textId="77777777" w:rsidR="006C0AA7" w:rsidRPr="003726FE" w:rsidRDefault="006C0AA7" w:rsidP="00746B6C">
            <w:pPr>
              <w:ind w:left="48"/>
              <w:jc w:val="both"/>
              <w:rPr>
                <w:sz w:val="20"/>
              </w:rPr>
            </w:pPr>
            <w:r w:rsidRPr="003726FE">
              <w:rPr>
                <w:rFonts w:ascii="Calibri" w:eastAsia="Calibri" w:hAnsi="Calibri" w:cs="Calibri"/>
                <w:sz w:val="20"/>
              </w:rPr>
              <w:t xml:space="preserve">Inclusion of aspects employed to help minimize potential bias induced due to non-randomization (e.g., matching) </w:t>
            </w:r>
          </w:p>
        </w:tc>
        <w:tc>
          <w:tcPr>
            <w:tcW w:w="425" w:type="dxa"/>
            <w:tcBorders>
              <w:top w:val="dashed" w:sz="4" w:space="0" w:color="000000"/>
              <w:left w:val="single" w:sz="5" w:space="0" w:color="000000"/>
              <w:bottom w:val="single" w:sz="5" w:space="0" w:color="000000"/>
              <w:right w:val="single" w:sz="5" w:space="0" w:color="000000"/>
            </w:tcBorders>
          </w:tcPr>
          <w:p w14:paraId="1EC74995" w14:textId="77777777" w:rsidR="006C0AA7" w:rsidRPr="003726FE" w:rsidRDefault="006C0AA7">
            <w:pPr>
              <w:rPr>
                <w:sz w:val="20"/>
              </w:rPr>
            </w:pPr>
            <w:r w:rsidRPr="003726FE">
              <w:rPr>
                <w:rFonts w:eastAsia="Times New Roman" w:cs="Times New Roman"/>
                <w:sz w:val="20"/>
              </w:rPr>
              <w:t xml:space="preserve"> </w:t>
            </w:r>
          </w:p>
        </w:tc>
        <w:tc>
          <w:tcPr>
            <w:tcW w:w="709" w:type="dxa"/>
            <w:tcBorders>
              <w:top w:val="dashed" w:sz="4" w:space="0" w:color="000000"/>
              <w:left w:val="single" w:sz="5" w:space="0" w:color="000000"/>
              <w:bottom w:val="single" w:sz="5" w:space="0" w:color="000000"/>
              <w:right w:val="single" w:sz="5" w:space="0" w:color="000000"/>
            </w:tcBorders>
          </w:tcPr>
          <w:p w14:paraId="5E5EACD3" w14:textId="77777777" w:rsidR="006C0AA7" w:rsidRPr="003726FE" w:rsidRDefault="006C0AA7">
            <w:pPr>
              <w:rPr>
                <w:sz w:val="20"/>
              </w:rPr>
            </w:pPr>
            <w:r w:rsidRPr="003726FE">
              <w:rPr>
                <w:rFonts w:eastAsia="Times New Roman" w:cs="Times New Roman"/>
                <w:sz w:val="20"/>
              </w:rPr>
              <w:t xml:space="preserve"> </w:t>
            </w:r>
          </w:p>
        </w:tc>
      </w:tr>
    </w:tbl>
    <w:p w14:paraId="64CA3E8E" w14:textId="77777777" w:rsidR="006C0AA7" w:rsidRPr="003726FE" w:rsidRDefault="006C0AA7">
      <w:pPr>
        <w:spacing w:after="0"/>
        <w:ind w:left="-499" w:right="7926"/>
      </w:pPr>
    </w:p>
    <w:tbl>
      <w:tblPr>
        <w:tblStyle w:val="TableGrid0"/>
        <w:tblW w:w="8790" w:type="dxa"/>
        <w:tblInd w:w="-6" w:type="dxa"/>
        <w:tblCellMar>
          <w:left w:w="6" w:type="dxa"/>
          <w:right w:w="66" w:type="dxa"/>
        </w:tblCellMar>
        <w:tblLook w:val="04A0" w:firstRow="1" w:lastRow="0" w:firstColumn="1" w:lastColumn="0" w:noHBand="0" w:noVBand="1"/>
      </w:tblPr>
      <w:tblGrid>
        <w:gridCol w:w="1438"/>
        <w:gridCol w:w="405"/>
        <w:gridCol w:w="5670"/>
        <w:gridCol w:w="425"/>
        <w:gridCol w:w="852"/>
      </w:tblGrid>
      <w:tr w:rsidR="006C0AA7" w:rsidRPr="003726FE" w14:paraId="697739E0" w14:textId="77777777" w:rsidTr="00AF4FFF">
        <w:trPr>
          <w:trHeight w:val="1093"/>
        </w:trPr>
        <w:tc>
          <w:tcPr>
            <w:tcW w:w="1438" w:type="dxa"/>
            <w:tcBorders>
              <w:top w:val="single" w:sz="5" w:space="0" w:color="000000"/>
              <w:left w:val="single" w:sz="5" w:space="0" w:color="000000"/>
              <w:bottom w:val="single" w:sz="5" w:space="0" w:color="000000"/>
              <w:right w:val="single" w:sz="5" w:space="0" w:color="000000"/>
            </w:tcBorders>
          </w:tcPr>
          <w:p w14:paraId="3DCEC9E4" w14:textId="77777777" w:rsidR="006C0AA7" w:rsidRPr="003726FE" w:rsidRDefault="006C0AA7">
            <w:pPr>
              <w:ind w:left="103"/>
              <w:rPr>
                <w:sz w:val="20"/>
              </w:rPr>
            </w:pPr>
            <w:r w:rsidRPr="003726FE">
              <w:rPr>
                <w:rFonts w:ascii="Calibri" w:eastAsia="Calibri" w:hAnsi="Calibri" w:cs="Calibri"/>
                <w:sz w:val="20"/>
              </w:rPr>
              <w:t xml:space="preserve">Blinding (masking) </w:t>
            </w:r>
          </w:p>
        </w:tc>
        <w:tc>
          <w:tcPr>
            <w:tcW w:w="405" w:type="dxa"/>
            <w:tcBorders>
              <w:top w:val="single" w:sz="5" w:space="0" w:color="000000"/>
              <w:left w:val="single" w:sz="5" w:space="0" w:color="000000"/>
              <w:bottom w:val="single" w:sz="5" w:space="0" w:color="000000"/>
              <w:right w:val="single" w:sz="5" w:space="0" w:color="000000"/>
            </w:tcBorders>
          </w:tcPr>
          <w:p w14:paraId="412416C8" w14:textId="77777777" w:rsidR="006C0AA7" w:rsidRPr="003726FE" w:rsidRDefault="006C0AA7">
            <w:pPr>
              <w:ind w:left="60"/>
              <w:jc w:val="center"/>
              <w:rPr>
                <w:sz w:val="20"/>
              </w:rPr>
            </w:pPr>
            <w:r w:rsidRPr="003726FE">
              <w:rPr>
                <w:rFonts w:ascii="Calibri" w:eastAsia="Calibri" w:hAnsi="Calibri" w:cs="Calibri"/>
                <w:sz w:val="20"/>
              </w:rPr>
              <w:t xml:space="preserve">9 </w:t>
            </w:r>
          </w:p>
        </w:tc>
        <w:tc>
          <w:tcPr>
            <w:tcW w:w="5670" w:type="dxa"/>
            <w:tcBorders>
              <w:top w:val="single" w:sz="5" w:space="0" w:color="000000"/>
              <w:left w:val="single" w:sz="5" w:space="0" w:color="000000"/>
              <w:bottom w:val="single" w:sz="5" w:space="0" w:color="000000"/>
              <w:right w:val="single" w:sz="5" w:space="0" w:color="000000"/>
            </w:tcBorders>
          </w:tcPr>
          <w:p w14:paraId="208AC02A" w14:textId="7FA287A4" w:rsidR="006C0AA7" w:rsidRPr="003726FE" w:rsidRDefault="006C0AA7" w:rsidP="00746B6C">
            <w:pPr>
              <w:ind w:left="113"/>
              <w:rPr>
                <w:sz w:val="20"/>
              </w:rPr>
            </w:pPr>
            <w:r w:rsidRPr="003726FE">
              <w:rPr>
                <w:rFonts w:ascii="Calibri" w:eastAsia="Calibri" w:hAnsi="Calibri" w:cs="Calibri"/>
                <w:sz w:val="20"/>
              </w:rPr>
              <w:t xml:space="preserve">Whether or not participants, those administering the interventions, and those assessing the outcomes were blinded to study condition assignment; if so, statement regarding how the blinding was accomplished and how it was assessed. </w:t>
            </w:r>
          </w:p>
        </w:tc>
        <w:tc>
          <w:tcPr>
            <w:tcW w:w="425" w:type="dxa"/>
            <w:tcBorders>
              <w:top w:val="single" w:sz="5" w:space="0" w:color="000000"/>
              <w:left w:val="single" w:sz="5" w:space="0" w:color="000000"/>
              <w:bottom w:val="single" w:sz="5" w:space="0" w:color="000000"/>
              <w:right w:val="single" w:sz="5" w:space="0" w:color="000000"/>
            </w:tcBorders>
          </w:tcPr>
          <w:p w14:paraId="05FAC601"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008AD76E"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65B22A8" w14:textId="77777777" w:rsidTr="00AF4FFF">
        <w:trPr>
          <w:trHeight w:val="558"/>
        </w:trPr>
        <w:tc>
          <w:tcPr>
            <w:tcW w:w="1438" w:type="dxa"/>
            <w:vMerge w:val="restart"/>
            <w:tcBorders>
              <w:top w:val="single" w:sz="5" w:space="0" w:color="000000"/>
              <w:left w:val="single" w:sz="5" w:space="0" w:color="000000"/>
              <w:bottom w:val="single" w:sz="5" w:space="0" w:color="000000"/>
              <w:right w:val="single" w:sz="5" w:space="0" w:color="000000"/>
            </w:tcBorders>
          </w:tcPr>
          <w:p w14:paraId="1DF438F2" w14:textId="77777777" w:rsidR="006C0AA7" w:rsidRPr="003726FE" w:rsidRDefault="006C0AA7">
            <w:pPr>
              <w:ind w:left="103"/>
              <w:rPr>
                <w:sz w:val="20"/>
              </w:rPr>
            </w:pPr>
            <w:r w:rsidRPr="003726FE">
              <w:rPr>
                <w:rFonts w:ascii="Calibri" w:eastAsia="Calibri" w:hAnsi="Calibri" w:cs="Calibri"/>
                <w:sz w:val="20"/>
              </w:rPr>
              <w:t xml:space="preserve">Unit of Analysis </w:t>
            </w:r>
          </w:p>
        </w:tc>
        <w:tc>
          <w:tcPr>
            <w:tcW w:w="405" w:type="dxa"/>
            <w:vMerge w:val="restart"/>
            <w:tcBorders>
              <w:top w:val="single" w:sz="5" w:space="0" w:color="000000"/>
              <w:left w:val="single" w:sz="5" w:space="0" w:color="000000"/>
              <w:bottom w:val="single" w:sz="5" w:space="0" w:color="000000"/>
              <w:right w:val="single" w:sz="5" w:space="0" w:color="000000"/>
            </w:tcBorders>
          </w:tcPr>
          <w:p w14:paraId="3D395070" w14:textId="77777777" w:rsidR="006C0AA7" w:rsidRPr="003726FE" w:rsidRDefault="006C0AA7">
            <w:pPr>
              <w:ind w:left="58"/>
              <w:jc w:val="center"/>
              <w:rPr>
                <w:sz w:val="20"/>
              </w:rPr>
            </w:pPr>
            <w:r w:rsidRPr="003726FE">
              <w:rPr>
                <w:rFonts w:ascii="Calibri" w:eastAsia="Calibri" w:hAnsi="Calibri" w:cs="Calibri"/>
                <w:sz w:val="20"/>
              </w:rPr>
              <w:t xml:space="preserve">10 </w:t>
            </w:r>
          </w:p>
        </w:tc>
        <w:tc>
          <w:tcPr>
            <w:tcW w:w="5670" w:type="dxa"/>
            <w:tcBorders>
              <w:top w:val="single" w:sz="5" w:space="0" w:color="000000"/>
              <w:left w:val="single" w:sz="5" w:space="0" w:color="000000"/>
              <w:bottom w:val="dashed" w:sz="4" w:space="0" w:color="000000"/>
              <w:right w:val="single" w:sz="5" w:space="0" w:color="000000"/>
            </w:tcBorders>
          </w:tcPr>
          <w:p w14:paraId="5ACFBF30" w14:textId="15F10777" w:rsidR="006C0AA7" w:rsidRPr="003726FE" w:rsidRDefault="006C0AA7" w:rsidP="00746B6C">
            <w:pPr>
              <w:ind w:left="113"/>
              <w:jc w:val="both"/>
              <w:rPr>
                <w:sz w:val="20"/>
              </w:rPr>
            </w:pPr>
            <w:r w:rsidRPr="003726FE">
              <w:rPr>
                <w:rFonts w:ascii="Calibri" w:eastAsia="Calibri" w:hAnsi="Calibri" w:cs="Calibri"/>
                <w:sz w:val="20"/>
              </w:rPr>
              <w:t xml:space="preserve">Description of the smallest unit that is being analyzed to assess intervention effects (e.g., individual, group, or community) </w:t>
            </w:r>
          </w:p>
        </w:tc>
        <w:tc>
          <w:tcPr>
            <w:tcW w:w="425" w:type="dxa"/>
            <w:tcBorders>
              <w:top w:val="single" w:sz="5" w:space="0" w:color="000000"/>
              <w:left w:val="single" w:sz="5" w:space="0" w:color="000000"/>
              <w:bottom w:val="dashed" w:sz="4" w:space="0" w:color="000000"/>
              <w:right w:val="single" w:sz="5" w:space="0" w:color="000000"/>
            </w:tcBorders>
          </w:tcPr>
          <w:p w14:paraId="6EE680DB"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1BEA4B65"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1D257574" w14:textId="77777777" w:rsidTr="00AF4FFF">
        <w:trPr>
          <w:trHeight w:val="827"/>
        </w:trPr>
        <w:tc>
          <w:tcPr>
            <w:tcW w:w="1438" w:type="dxa"/>
            <w:vMerge/>
            <w:tcBorders>
              <w:top w:val="nil"/>
              <w:left w:val="single" w:sz="5" w:space="0" w:color="000000"/>
              <w:bottom w:val="single" w:sz="5" w:space="0" w:color="000000"/>
              <w:right w:val="single" w:sz="5" w:space="0" w:color="000000"/>
            </w:tcBorders>
          </w:tcPr>
          <w:p w14:paraId="714D4D03"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3D905EF5"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6697A203" w14:textId="354BFA8F" w:rsidR="006C0AA7" w:rsidRPr="003726FE" w:rsidRDefault="006C0AA7" w:rsidP="00746B6C">
            <w:pPr>
              <w:ind w:left="113"/>
              <w:rPr>
                <w:sz w:val="20"/>
              </w:rPr>
            </w:pPr>
            <w:r w:rsidRPr="003726FE">
              <w:rPr>
                <w:rFonts w:ascii="Calibri" w:eastAsia="Calibri" w:hAnsi="Calibri" w:cs="Calibri"/>
                <w:sz w:val="20"/>
              </w:rPr>
              <w:t xml:space="preserve">If the unit of analysis differs from the unit of assignment, the analytical method used to account for this (e.g., adjusting the standard error estimates by the design effect or using multilevel analysis) </w:t>
            </w:r>
          </w:p>
        </w:tc>
        <w:tc>
          <w:tcPr>
            <w:tcW w:w="425" w:type="dxa"/>
            <w:tcBorders>
              <w:top w:val="dashed" w:sz="4" w:space="0" w:color="000000"/>
              <w:left w:val="single" w:sz="5" w:space="0" w:color="000000"/>
              <w:bottom w:val="single" w:sz="5" w:space="0" w:color="000000"/>
              <w:right w:val="single" w:sz="5" w:space="0" w:color="000000"/>
            </w:tcBorders>
          </w:tcPr>
          <w:p w14:paraId="622F3217"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47A196DD"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36767D81" w14:textId="77777777" w:rsidTr="00AF4FFF">
        <w:trPr>
          <w:trHeight w:val="558"/>
        </w:trPr>
        <w:tc>
          <w:tcPr>
            <w:tcW w:w="1438" w:type="dxa"/>
            <w:vMerge w:val="restart"/>
            <w:tcBorders>
              <w:top w:val="single" w:sz="5" w:space="0" w:color="000000"/>
              <w:left w:val="single" w:sz="5" w:space="0" w:color="000000"/>
              <w:bottom w:val="single" w:sz="5" w:space="0" w:color="000000"/>
              <w:right w:val="single" w:sz="5" w:space="0" w:color="000000"/>
            </w:tcBorders>
          </w:tcPr>
          <w:p w14:paraId="41179C76" w14:textId="77777777" w:rsidR="006C0AA7" w:rsidRPr="003726FE" w:rsidRDefault="006C0AA7">
            <w:pPr>
              <w:ind w:left="103"/>
              <w:rPr>
                <w:sz w:val="20"/>
              </w:rPr>
            </w:pPr>
            <w:r w:rsidRPr="003726FE">
              <w:rPr>
                <w:rFonts w:ascii="Calibri" w:eastAsia="Calibri" w:hAnsi="Calibri" w:cs="Calibri"/>
                <w:sz w:val="20"/>
              </w:rPr>
              <w:t xml:space="preserve">Statistical </w:t>
            </w:r>
          </w:p>
          <w:p w14:paraId="41DA32FC" w14:textId="77777777" w:rsidR="006C0AA7" w:rsidRPr="003726FE" w:rsidRDefault="006C0AA7">
            <w:pPr>
              <w:ind w:left="103"/>
              <w:rPr>
                <w:sz w:val="20"/>
              </w:rPr>
            </w:pPr>
            <w:r w:rsidRPr="003726FE">
              <w:rPr>
                <w:rFonts w:ascii="Calibri" w:eastAsia="Calibri" w:hAnsi="Calibri" w:cs="Calibri"/>
                <w:sz w:val="20"/>
              </w:rPr>
              <w:t xml:space="preserve">Methods </w:t>
            </w:r>
          </w:p>
        </w:tc>
        <w:tc>
          <w:tcPr>
            <w:tcW w:w="405" w:type="dxa"/>
            <w:vMerge w:val="restart"/>
            <w:tcBorders>
              <w:top w:val="single" w:sz="5" w:space="0" w:color="000000"/>
              <w:left w:val="single" w:sz="5" w:space="0" w:color="000000"/>
              <w:bottom w:val="single" w:sz="5" w:space="0" w:color="000000"/>
              <w:right w:val="single" w:sz="5" w:space="0" w:color="000000"/>
            </w:tcBorders>
          </w:tcPr>
          <w:p w14:paraId="6AE2B866" w14:textId="77777777" w:rsidR="006C0AA7" w:rsidRPr="003726FE" w:rsidRDefault="006C0AA7">
            <w:pPr>
              <w:ind w:left="58"/>
              <w:jc w:val="center"/>
              <w:rPr>
                <w:sz w:val="20"/>
              </w:rPr>
            </w:pPr>
            <w:r w:rsidRPr="003726FE">
              <w:rPr>
                <w:rFonts w:ascii="Calibri" w:eastAsia="Calibri" w:hAnsi="Calibri" w:cs="Calibri"/>
                <w:sz w:val="20"/>
              </w:rPr>
              <w:t xml:space="preserve">11 </w:t>
            </w:r>
          </w:p>
        </w:tc>
        <w:tc>
          <w:tcPr>
            <w:tcW w:w="5670" w:type="dxa"/>
            <w:tcBorders>
              <w:top w:val="single" w:sz="5" w:space="0" w:color="000000"/>
              <w:left w:val="single" w:sz="5" w:space="0" w:color="000000"/>
              <w:bottom w:val="dashed" w:sz="4" w:space="0" w:color="000000"/>
              <w:right w:val="single" w:sz="5" w:space="0" w:color="000000"/>
            </w:tcBorders>
          </w:tcPr>
          <w:p w14:paraId="16C90C81" w14:textId="2D23F86D" w:rsidR="006C0AA7" w:rsidRPr="003726FE" w:rsidRDefault="006C0AA7" w:rsidP="00746B6C">
            <w:pPr>
              <w:ind w:left="113"/>
              <w:rPr>
                <w:sz w:val="20"/>
              </w:rPr>
            </w:pPr>
            <w:r w:rsidRPr="003726FE">
              <w:rPr>
                <w:rFonts w:ascii="Calibri" w:eastAsia="Calibri" w:hAnsi="Calibri" w:cs="Calibri"/>
                <w:sz w:val="20"/>
              </w:rPr>
              <w:t xml:space="preserve">Statistical methods used to compare study groups for primary methods outcome(s), including complex methods of correlated data </w:t>
            </w:r>
          </w:p>
        </w:tc>
        <w:tc>
          <w:tcPr>
            <w:tcW w:w="425" w:type="dxa"/>
            <w:tcBorders>
              <w:top w:val="single" w:sz="5" w:space="0" w:color="000000"/>
              <w:left w:val="single" w:sz="5" w:space="0" w:color="000000"/>
              <w:bottom w:val="dashed" w:sz="4" w:space="0" w:color="000000"/>
              <w:right w:val="single" w:sz="5" w:space="0" w:color="000000"/>
            </w:tcBorders>
          </w:tcPr>
          <w:p w14:paraId="39F1769F"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7F608FB8"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77B49C2D" w14:textId="77777777" w:rsidTr="00AF4FFF">
        <w:trPr>
          <w:trHeight w:val="560"/>
        </w:trPr>
        <w:tc>
          <w:tcPr>
            <w:tcW w:w="1438" w:type="dxa"/>
            <w:vMerge/>
            <w:tcBorders>
              <w:top w:val="nil"/>
              <w:left w:val="single" w:sz="5" w:space="0" w:color="000000"/>
              <w:bottom w:val="nil"/>
              <w:right w:val="single" w:sz="5" w:space="0" w:color="000000"/>
            </w:tcBorders>
          </w:tcPr>
          <w:p w14:paraId="7AB99AD9"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3D7660A2"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0165EC9D" w14:textId="1271A1CC" w:rsidR="006C0AA7" w:rsidRPr="003726FE" w:rsidRDefault="006C0AA7" w:rsidP="00746B6C">
            <w:pPr>
              <w:ind w:left="113"/>
              <w:rPr>
                <w:sz w:val="20"/>
              </w:rPr>
            </w:pPr>
            <w:r w:rsidRPr="003726FE">
              <w:rPr>
                <w:rFonts w:ascii="Calibri" w:eastAsia="Calibri" w:hAnsi="Calibri" w:cs="Calibri"/>
                <w:sz w:val="20"/>
              </w:rPr>
              <w:t xml:space="preserve">Statistical methods used for additional analyses, such as a subgroup analyses and adjusted analysis </w:t>
            </w:r>
          </w:p>
        </w:tc>
        <w:tc>
          <w:tcPr>
            <w:tcW w:w="425" w:type="dxa"/>
            <w:tcBorders>
              <w:top w:val="dashed" w:sz="4" w:space="0" w:color="000000"/>
              <w:left w:val="single" w:sz="5" w:space="0" w:color="000000"/>
              <w:bottom w:val="dashed" w:sz="4" w:space="0" w:color="000000"/>
              <w:right w:val="single" w:sz="5" w:space="0" w:color="000000"/>
            </w:tcBorders>
          </w:tcPr>
          <w:p w14:paraId="3E32FAA2"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44C5EA26"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7FD8B52" w14:textId="77777777" w:rsidTr="00AF4FFF">
        <w:trPr>
          <w:trHeight w:val="290"/>
        </w:trPr>
        <w:tc>
          <w:tcPr>
            <w:tcW w:w="1438" w:type="dxa"/>
            <w:vMerge/>
            <w:tcBorders>
              <w:top w:val="nil"/>
              <w:left w:val="single" w:sz="5" w:space="0" w:color="000000"/>
              <w:bottom w:val="nil"/>
              <w:right w:val="single" w:sz="5" w:space="0" w:color="000000"/>
            </w:tcBorders>
          </w:tcPr>
          <w:p w14:paraId="66D86B86"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17A1D337"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630AF29" w14:textId="752AEF3F" w:rsidR="006C0AA7" w:rsidRPr="003726FE" w:rsidRDefault="006C0AA7" w:rsidP="00746B6C">
            <w:pPr>
              <w:ind w:left="113"/>
              <w:rPr>
                <w:sz w:val="20"/>
              </w:rPr>
            </w:pPr>
            <w:r w:rsidRPr="003726FE">
              <w:rPr>
                <w:rFonts w:ascii="Calibri" w:eastAsia="Calibri" w:hAnsi="Calibri" w:cs="Calibri"/>
                <w:sz w:val="20"/>
              </w:rPr>
              <w:t xml:space="preserve">Methods for imputing missing data, if used </w:t>
            </w:r>
          </w:p>
        </w:tc>
        <w:tc>
          <w:tcPr>
            <w:tcW w:w="425" w:type="dxa"/>
            <w:tcBorders>
              <w:top w:val="dashed" w:sz="4" w:space="0" w:color="000000"/>
              <w:left w:val="single" w:sz="5" w:space="0" w:color="000000"/>
              <w:bottom w:val="dashed" w:sz="4" w:space="0" w:color="000000"/>
              <w:right w:val="single" w:sz="5" w:space="0" w:color="000000"/>
            </w:tcBorders>
          </w:tcPr>
          <w:p w14:paraId="04BC8AFE"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502CF69B"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14C41DA" w14:textId="77777777" w:rsidTr="00AF4FFF">
        <w:trPr>
          <w:trHeight w:val="293"/>
        </w:trPr>
        <w:tc>
          <w:tcPr>
            <w:tcW w:w="1438" w:type="dxa"/>
            <w:vMerge/>
            <w:tcBorders>
              <w:top w:val="nil"/>
              <w:left w:val="single" w:sz="5" w:space="0" w:color="000000"/>
              <w:bottom w:val="single" w:sz="5" w:space="0" w:color="000000"/>
              <w:right w:val="single" w:sz="5" w:space="0" w:color="000000"/>
            </w:tcBorders>
          </w:tcPr>
          <w:p w14:paraId="04D6C207"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3DDE35F9"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10C96A7A" w14:textId="4DA2A33D" w:rsidR="006C0AA7" w:rsidRPr="003726FE" w:rsidRDefault="006C0AA7" w:rsidP="00746B6C">
            <w:pPr>
              <w:ind w:left="113"/>
              <w:rPr>
                <w:sz w:val="20"/>
              </w:rPr>
            </w:pPr>
            <w:r w:rsidRPr="003726FE">
              <w:rPr>
                <w:rFonts w:ascii="Calibri" w:eastAsia="Calibri" w:hAnsi="Calibri" w:cs="Calibri"/>
                <w:sz w:val="20"/>
              </w:rPr>
              <w:t xml:space="preserve">Statistical software or programs used </w:t>
            </w:r>
          </w:p>
        </w:tc>
        <w:tc>
          <w:tcPr>
            <w:tcW w:w="425" w:type="dxa"/>
            <w:tcBorders>
              <w:top w:val="dashed" w:sz="4" w:space="0" w:color="000000"/>
              <w:left w:val="single" w:sz="5" w:space="0" w:color="000000"/>
              <w:bottom w:val="single" w:sz="5" w:space="0" w:color="000000"/>
              <w:right w:val="single" w:sz="5" w:space="0" w:color="000000"/>
            </w:tcBorders>
          </w:tcPr>
          <w:p w14:paraId="1A0675B5"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04DE5AC1"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7B4400F7" w14:textId="77777777" w:rsidTr="00AF4FFF">
        <w:trPr>
          <w:trHeight w:val="465"/>
        </w:trPr>
        <w:tc>
          <w:tcPr>
            <w:tcW w:w="8790" w:type="dxa"/>
            <w:gridSpan w:val="5"/>
            <w:tcBorders>
              <w:top w:val="single" w:sz="5" w:space="0" w:color="000000"/>
              <w:left w:val="single" w:sz="5" w:space="0" w:color="000000"/>
              <w:bottom w:val="single" w:sz="5" w:space="0" w:color="000000"/>
              <w:right w:val="single" w:sz="5" w:space="0" w:color="000000"/>
            </w:tcBorders>
            <w:shd w:val="clear" w:color="auto" w:fill="FFFFCC"/>
          </w:tcPr>
          <w:p w14:paraId="45873AB0" w14:textId="77777777" w:rsidR="006C0AA7" w:rsidRPr="003726FE" w:rsidRDefault="006C0AA7">
            <w:pPr>
              <w:spacing w:after="8"/>
              <w:rPr>
                <w:sz w:val="20"/>
              </w:rPr>
            </w:pPr>
            <w:r w:rsidRPr="003726FE">
              <w:rPr>
                <w:rFonts w:eastAsia="Times New Roman" w:cs="Times New Roman"/>
                <w:sz w:val="20"/>
              </w:rPr>
              <w:t xml:space="preserve"> </w:t>
            </w:r>
          </w:p>
          <w:p w14:paraId="6FE33A64" w14:textId="77777777" w:rsidR="006C0AA7" w:rsidRPr="003726FE" w:rsidRDefault="006C0AA7">
            <w:pPr>
              <w:ind w:left="103"/>
              <w:rPr>
                <w:sz w:val="20"/>
              </w:rPr>
            </w:pPr>
            <w:r w:rsidRPr="003726FE">
              <w:rPr>
                <w:rFonts w:ascii="Cambria" w:eastAsia="Cambria" w:hAnsi="Cambria" w:cs="Cambria"/>
                <w:b/>
                <w:sz w:val="20"/>
              </w:rPr>
              <w:t>Results</w:t>
            </w:r>
            <w:r w:rsidRPr="003726FE">
              <w:rPr>
                <w:rFonts w:ascii="Cambria" w:eastAsia="Cambria" w:hAnsi="Cambria" w:cs="Cambria"/>
                <w:sz w:val="20"/>
              </w:rPr>
              <w:t xml:space="preserve"> </w:t>
            </w:r>
          </w:p>
        </w:tc>
      </w:tr>
      <w:tr w:rsidR="006C0AA7" w:rsidRPr="003726FE" w14:paraId="02FCC4F5" w14:textId="77777777" w:rsidTr="00AF4FFF">
        <w:trPr>
          <w:trHeight w:val="828"/>
        </w:trPr>
        <w:tc>
          <w:tcPr>
            <w:tcW w:w="1438" w:type="dxa"/>
            <w:vMerge w:val="restart"/>
            <w:tcBorders>
              <w:top w:val="single" w:sz="5" w:space="0" w:color="000000"/>
              <w:left w:val="single" w:sz="5" w:space="0" w:color="000000"/>
              <w:bottom w:val="single" w:sz="5" w:space="0" w:color="000000"/>
              <w:right w:val="single" w:sz="5" w:space="0" w:color="000000"/>
            </w:tcBorders>
          </w:tcPr>
          <w:p w14:paraId="7AE600A2" w14:textId="77777777" w:rsidR="006C0AA7" w:rsidRPr="003726FE" w:rsidRDefault="006C0AA7">
            <w:pPr>
              <w:ind w:left="103"/>
              <w:rPr>
                <w:sz w:val="20"/>
              </w:rPr>
            </w:pPr>
            <w:r w:rsidRPr="003726FE">
              <w:rPr>
                <w:rFonts w:ascii="Calibri" w:eastAsia="Calibri" w:hAnsi="Calibri" w:cs="Calibri"/>
                <w:sz w:val="20"/>
              </w:rPr>
              <w:t xml:space="preserve">Participant flow </w:t>
            </w:r>
          </w:p>
        </w:tc>
        <w:tc>
          <w:tcPr>
            <w:tcW w:w="405" w:type="dxa"/>
            <w:vMerge w:val="restart"/>
            <w:tcBorders>
              <w:top w:val="single" w:sz="5" w:space="0" w:color="000000"/>
              <w:left w:val="single" w:sz="5" w:space="0" w:color="000000"/>
              <w:bottom w:val="single" w:sz="5" w:space="0" w:color="000000"/>
              <w:right w:val="single" w:sz="5" w:space="0" w:color="000000"/>
            </w:tcBorders>
          </w:tcPr>
          <w:p w14:paraId="64B33F42" w14:textId="77777777" w:rsidR="006C0AA7" w:rsidRPr="003726FE" w:rsidRDefault="006C0AA7">
            <w:pPr>
              <w:ind w:left="58"/>
              <w:jc w:val="center"/>
              <w:rPr>
                <w:sz w:val="20"/>
              </w:rPr>
            </w:pPr>
            <w:r w:rsidRPr="003726FE">
              <w:rPr>
                <w:rFonts w:ascii="Calibri" w:eastAsia="Calibri" w:hAnsi="Calibri" w:cs="Calibri"/>
                <w:sz w:val="20"/>
              </w:rPr>
              <w:t xml:space="preserve">12 </w:t>
            </w:r>
          </w:p>
        </w:tc>
        <w:tc>
          <w:tcPr>
            <w:tcW w:w="5670" w:type="dxa"/>
            <w:tcBorders>
              <w:top w:val="single" w:sz="5" w:space="0" w:color="000000"/>
              <w:left w:val="single" w:sz="5" w:space="0" w:color="000000"/>
              <w:bottom w:val="dashed" w:sz="4" w:space="0" w:color="000000"/>
              <w:right w:val="single" w:sz="5" w:space="0" w:color="000000"/>
            </w:tcBorders>
          </w:tcPr>
          <w:p w14:paraId="4B8EC348" w14:textId="5711753E" w:rsidR="006C0AA7" w:rsidRPr="003726FE" w:rsidRDefault="006C0AA7" w:rsidP="00746B6C">
            <w:pPr>
              <w:ind w:left="48" w:right="314"/>
              <w:jc w:val="both"/>
              <w:rPr>
                <w:sz w:val="20"/>
              </w:rPr>
            </w:pPr>
            <w:r w:rsidRPr="003726FE">
              <w:rPr>
                <w:rFonts w:ascii="Calibri" w:eastAsia="Calibri" w:hAnsi="Calibri" w:cs="Calibri"/>
                <w:sz w:val="20"/>
              </w:rPr>
              <w:t xml:space="preserve">Flow of participants through each stage of the study: enrollment, assignment, allocation, and intervention exposure, follow-up, analysis (a diagram is strongly recommended) </w:t>
            </w:r>
          </w:p>
        </w:tc>
        <w:tc>
          <w:tcPr>
            <w:tcW w:w="425" w:type="dxa"/>
            <w:tcBorders>
              <w:top w:val="single" w:sz="5" w:space="0" w:color="000000"/>
              <w:left w:val="single" w:sz="5" w:space="0" w:color="000000"/>
              <w:bottom w:val="dashed" w:sz="4" w:space="0" w:color="000000"/>
              <w:right w:val="single" w:sz="5" w:space="0" w:color="000000"/>
            </w:tcBorders>
          </w:tcPr>
          <w:p w14:paraId="3EE6881C"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2D0063AE"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34718BAA" w14:textId="77777777" w:rsidTr="00AF4FFF">
        <w:trPr>
          <w:trHeight w:val="816"/>
        </w:trPr>
        <w:tc>
          <w:tcPr>
            <w:tcW w:w="1438" w:type="dxa"/>
            <w:vMerge/>
            <w:tcBorders>
              <w:top w:val="nil"/>
              <w:left w:val="single" w:sz="5" w:space="0" w:color="000000"/>
              <w:bottom w:val="nil"/>
              <w:right w:val="single" w:sz="5" w:space="0" w:color="000000"/>
            </w:tcBorders>
          </w:tcPr>
          <w:p w14:paraId="361CAE11"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054E8B76"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148EAB6" w14:textId="77777777" w:rsidR="006C0AA7" w:rsidRPr="003726FE" w:rsidRDefault="006C0AA7" w:rsidP="00746B6C">
            <w:pPr>
              <w:ind w:left="473"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Enrollment: the numbers of participants screened for eligibility, found to be eligible or not eligible, declined to be enrolled, and enrolled in the study </w:t>
            </w:r>
          </w:p>
        </w:tc>
        <w:tc>
          <w:tcPr>
            <w:tcW w:w="425" w:type="dxa"/>
            <w:tcBorders>
              <w:top w:val="dashed" w:sz="4" w:space="0" w:color="000000"/>
              <w:left w:val="single" w:sz="5" w:space="0" w:color="000000"/>
              <w:bottom w:val="dashed" w:sz="4" w:space="0" w:color="000000"/>
              <w:right w:val="single" w:sz="5" w:space="0" w:color="000000"/>
            </w:tcBorders>
          </w:tcPr>
          <w:p w14:paraId="55610E79"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0775274E"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E0C7082" w14:textId="77777777" w:rsidTr="00AF4FFF">
        <w:trPr>
          <w:trHeight w:val="547"/>
        </w:trPr>
        <w:tc>
          <w:tcPr>
            <w:tcW w:w="1438" w:type="dxa"/>
            <w:vMerge/>
            <w:tcBorders>
              <w:top w:val="nil"/>
              <w:left w:val="single" w:sz="5" w:space="0" w:color="000000"/>
              <w:bottom w:val="nil"/>
              <w:right w:val="single" w:sz="5" w:space="0" w:color="000000"/>
            </w:tcBorders>
          </w:tcPr>
          <w:p w14:paraId="0307D8AC"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5F0FDEC7"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7EE25D25" w14:textId="77777777" w:rsidR="006C0AA7" w:rsidRPr="003726FE" w:rsidRDefault="006C0AA7" w:rsidP="00746B6C">
            <w:pPr>
              <w:ind w:left="473"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Assignment: the numbers of participants assigned to a study condition </w:t>
            </w:r>
          </w:p>
        </w:tc>
        <w:tc>
          <w:tcPr>
            <w:tcW w:w="425" w:type="dxa"/>
            <w:tcBorders>
              <w:top w:val="dashed" w:sz="4" w:space="0" w:color="000000"/>
              <w:left w:val="single" w:sz="5" w:space="0" w:color="000000"/>
              <w:bottom w:val="dashed" w:sz="4" w:space="0" w:color="000000"/>
              <w:right w:val="single" w:sz="5" w:space="0" w:color="000000"/>
            </w:tcBorders>
          </w:tcPr>
          <w:p w14:paraId="4D1C5804"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536969CB"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4F89D1A" w14:textId="77777777" w:rsidTr="00AF4FFF">
        <w:trPr>
          <w:trHeight w:val="814"/>
        </w:trPr>
        <w:tc>
          <w:tcPr>
            <w:tcW w:w="1438" w:type="dxa"/>
            <w:vMerge/>
            <w:tcBorders>
              <w:top w:val="nil"/>
              <w:left w:val="single" w:sz="5" w:space="0" w:color="000000"/>
              <w:bottom w:val="nil"/>
              <w:right w:val="single" w:sz="5" w:space="0" w:color="000000"/>
            </w:tcBorders>
          </w:tcPr>
          <w:p w14:paraId="0E44E3F3"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03E9A803"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5DF408D" w14:textId="77777777" w:rsidR="006C0AA7" w:rsidRPr="003726FE" w:rsidRDefault="006C0AA7" w:rsidP="00746B6C">
            <w:pPr>
              <w:ind w:left="473"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Allocation and intervention exposure: the number of participants assigned to each study condition and the number of participants who received each intervention </w:t>
            </w:r>
          </w:p>
        </w:tc>
        <w:tc>
          <w:tcPr>
            <w:tcW w:w="425" w:type="dxa"/>
            <w:tcBorders>
              <w:top w:val="dashed" w:sz="4" w:space="0" w:color="000000"/>
              <w:left w:val="single" w:sz="5" w:space="0" w:color="000000"/>
              <w:bottom w:val="dashed" w:sz="4" w:space="0" w:color="000000"/>
              <w:right w:val="single" w:sz="5" w:space="0" w:color="000000"/>
            </w:tcBorders>
          </w:tcPr>
          <w:p w14:paraId="50BC234F"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5CA36F7B"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420F4577" w14:textId="77777777" w:rsidTr="00AF4FFF">
        <w:trPr>
          <w:trHeight w:val="816"/>
        </w:trPr>
        <w:tc>
          <w:tcPr>
            <w:tcW w:w="1438" w:type="dxa"/>
            <w:vMerge/>
            <w:tcBorders>
              <w:top w:val="nil"/>
              <w:left w:val="single" w:sz="5" w:space="0" w:color="000000"/>
              <w:bottom w:val="nil"/>
              <w:right w:val="single" w:sz="5" w:space="0" w:color="000000"/>
            </w:tcBorders>
          </w:tcPr>
          <w:p w14:paraId="50AF92A3"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7A9946C9"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653D8979" w14:textId="77777777" w:rsidR="006C0AA7" w:rsidRPr="003726FE" w:rsidRDefault="006C0AA7" w:rsidP="00746B6C">
            <w:pPr>
              <w:ind w:left="473"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Follow-up: the number of participants who completed the follow- up or did not complete the follow-up (i.e., lost to follow-up), by study condition </w:t>
            </w:r>
          </w:p>
        </w:tc>
        <w:tc>
          <w:tcPr>
            <w:tcW w:w="425" w:type="dxa"/>
            <w:tcBorders>
              <w:top w:val="dashed" w:sz="4" w:space="0" w:color="000000"/>
              <w:left w:val="single" w:sz="5" w:space="0" w:color="000000"/>
              <w:bottom w:val="dashed" w:sz="4" w:space="0" w:color="000000"/>
              <w:right w:val="single" w:sz="5" w:space="0" w:color="000000"/>
            </w:tcBorders>
          </w:tcPr>
          <w:p w14:paraId="04CFDBED"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3534B4F7"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DA81788" w14:textId="77777777" w:rsidTr="00AF4FFF">
        <w:trPr>
          <w:trHeight w:val="547"/>
        </w:trPr>
        <w:tc>
          <w:tcPr>
            <w:tcW w:w="1438" w:type="dxa"/>
            <w:vMerge/>
            <w:tcBorders>
              <w:top w:val="nil"/>
              <w:left w:val="single" w:sz="5" w:space="0" w:color="000000"/>
              <w:bottom w:val="nil"/>
              <w:right w:val="single" w:sz="5" w:space="0" w:color="000000"/>
            </w:tcBorders>
          </w:tcPr>
          <w:p w14:paraId="5EE8C8FC"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237354D3"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1A89DE00" w14:textId="77777777" w:rsidR="006C0AA7" w:rsidRPr="003726FE" w:rsidRDefault="006C0AA7" w:rsidP="00746B6C">
            <w:pPr>
              <w:ind w:left="473" w:hanging="363"/>
              <w:rPr>
                <w:sz w:val="20"/>
              </w:rPr>
            </w:pPr>
            <w:r w:rsidRPr="003726FE">
              <w:rPr>
                <w:rFonts w:ascii="Courier New" w:eastAsia="Courier New" w:hAnsi="Courier New" w:cs="Courier New"/>
                <w:sz w:val="20"/>
              </w:rPr>
              <w:t xml:space="preserve">o </w:t>
            </w:r>
            <w:r w:rsidRPr="003726FE">
              <w:rPr>
                <w:rFonts w:ascii="Calibri" w:eastAsia="Calibri" w:hAnsi="Calibri" w:cs="Calibri"/>
                <w:sz w:val="20"/>
              </w:rPr>
              <w:t xml:space="preserve">Analysis: the number of participants included in or excluded from the main analysis, by study condition </w:t>
            </w:r>
          </w:p>
        </w:tc>
        <w:tc>
          <w:tcPr>
            <w:tcW w:w="425" w:type="dxa"/>
            <w:tcBorders>
              <w:top w:val="dashed" w:sz="4" w:space="0" w:color="000000"/>
              <w:left w:val="single" w:sz="5" w:space="0" w:color="000000"/>
              <w:bottom w:val="dashed" w:sz="4" w:space="0" w:color="000000"/>
              <w:right w:val="single" w:sz="5" w:space="0" w:color="000000"/>
            </w:tcBorders>
          </w:tcPr>
          <w:p w14:paraId="36165415"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11A4784F"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54E158B5" w14:textId="77777777" w:rsidTr="00AF4FFF">
        <w:trPr>
          <w:trHeight w:val="560"/>
        </w:trPr>
        <w:tc>
          <w:tcPr>
            <w:tcW w:w="1438" w:type="dxa"/>
            <w:vMerge/>
            <w:tcBorders>
              <w:top w:val="nil"/>
              <w:left w:val="single" w:sz="5" w:space="0" w:color="000000"/>
              <w:bottom w:val="single" w:sz="5" w:space="0" w:color="000000"/>
              <w:right w:val="single" w:sz="5" w:space="0" w:color="000000"/>
            </w:tcBorders>
          </w:tcPr>
          <w:p w14:paraId="649BBC62"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4596DEBB"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47EB91B0" w14:textId="1194485A" w:rsidR="006C0AA7" w:rsidRPr="003726FE" w:rsidRDefault="006C0AA7">
            <w:pPr>
              <w:ind w:left="464" w:hanging="351"/>
              <w:rPr>
                <w:sz w:val="20"/>
              </w:rPr>
            </w:pPr>
            <w:r w:rsidRPr="003726FE">
              <w:rPr>
                <w:rFonts w:ascii="Calibri" w:eastAsia="Calibri" w:hAnsi="Calibri" w:cs="Calibri"/>
                <w:sz w:val="20"/>
              </w:rPr>
              <w:t xml:space="preserve">Description of protocol deviations from study as planned, along with reasons </w:t>
            </w:r>
          </w:p>
        </w:tc>
        <w:tc>
          <w:tcPr>
            <w:tcW w:w="425" w:type="dxa"/>
            <w:tcBorders>
              <w:top w:val="dashed" w:sz="4" w:space="0" w:color="000000"/>
              <w:left w:val="single" w:sz="5" w:space="0" w:color="000000"/>
              <w:bottom w:val="single" w:sz="5" w:space="0" w:color="000000"/>
              <w:right w:val="single" w:sz="5" w:space="0" w:color="000000"/>
            </w:tcBorders>
          </w:tcPr>
          <w:p w14:paraId="3340DA0A"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59F987F3"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131235F3" w14:textId="77777777" w:rsidTr="00AF4FFF">
        <w:trPr>
          <w:trHeight w:val="290"/>
        </w:trPr>
        <w:tc>
          <w:tcPr>
            <w:tcW w:w="1438" w:type="dxa"/>
            <w:tcBorders>
              <w:top w:val="single" w:sz="5" w:space="0" w:color="000000"/>
              <w:left w:val="single" w:sz="5" w:space="0" w:color="000000"/>
              <w:bottom w:val="single" w:sz="5" w:space="0" w:color="000000"/>
              <w:right w:val="single" w:sz="5" w:space="0" w:color="000000"/>
            </w:tcBorders>
          </w:tcPr>
          <w:p w14:paraId="6414F304" w14:textId="77777777" w:rsidR="006C0AA7" w:rsidRPr="003726FE" w:rsidRDefault="006C0AA7">
            <w:pPr>
              <w:ind w:left="103"/>
              <w:rPr>
                <w:sz w:val="20"/>
              </w:rPr>
            </w:pPr>
            <w:r w:rsidRPr="003726FE">
              <w:rPr>
                <w:rFonts w:ascii="Calibri" w:eastAsia="Calibri" w:hAnsi="Calibri" w:cs="Calibri"/>
                <w:sz w:val="20"/>
              </w:rPr>
              <w:t xml:space="preserve">Recruitment </w:t>
            </w:r>
          </w:p>
        </w:tc>
        <w:tc>
          <w:tcPr>
            <w:tcW w:w="405" w:type="dxa"/>
            <w:tcBorders>
              <w:top w:val="single" w:sz="5" w:space="0" w:color="000000"/>
              <w:left w:val="single" w:sz="5" w:space="0" w:color="000000"/>
              <w:bottom w:val="single" w:sz="5" w:space="0" w:color="000000"/>
              <w:right w:val="single" w:sz="5" w:space="0" w:color="000000"/>
            </w:tcBorders>
          </w:tcPr>
          <w:p w14:paraId="12BBC370" w14:textId="77777777" w:rsidR="006C0AA7" w:rsidRPr="003726FE" w:rsidRDefault="006C0AA7">
            <w:pPr>
              <w:ind w:left="58"/>
              <w:jc w:val="center"/>
              <w:rPr>
                <w:sz w:val="20"/>
              </w:rPr>
            </w:pPr>
            <w:r w:rsidRPr="003726FE">
              <w:rPr>
                <w:rFonts w:ascii="Calibri" w:eastAsia="Calibri" w:hAnsi="Calibri" w:cs="Calibri"/>
                <w:sz w:val="20"/>
              </w:rPr>
              <w:t xml:space="preserve">13 </w:t>
            </w:r>
          </w:p>
        </w:tc>
        <w:tc>
          <w:tcPr>
            <w:tcW w:w="5670" w:type="dxa"/>
            <w:tcBorders>
              <w:top w:val="single" w:sz="5" w:space="0" w:color="000000"/>
              <w:left w:val="single" w:sz="5" w:space="0" w:color="000000"/>
              <w:bottom w:val="single" w:sz="5" w:space="0" w:color="000000"/>
              <w:right w:val="single" w:sz="5" w:space="0" w:color="000000"/>
            </w:tcBorders>
          </w:tcPr>
          <w:p w14:paraId="48455124" w14:textId="5FC2EC27" w:rsidR="006C0AA7" w:rsidRPr="003726FE" w:rsidRDefault="006C0AA7">
            <w:pPr>
              <w:ind w:left="113"/>
              <w:rPr>
                <w:sz w:val="20"/>
              </w:rPr>
            </w:pPr>
            <w:r w:rsidRPr="003726FE">
              <w:rPr>
                <w:rFonts w:ascii="Calibri" w:eastAsia="Calibri" w:hAnsi="Calibri" w:cs="Calibri"/>
                <w:sz w:val="20"/>
              </w:rPr>
              <w:t xml:space="preserve">Dates defining the periods of recruitment and follow-up </w:t>
            </w:r>
          </w:p>
        </w:tc>
        <w:tc>
          <w:tcPr>
            <w:tcW w:w="425" w:type="dxa"/>
            <w:tcBorders>
              <w:top w:val="single" w:sz="5" w:space="0" w:color="000000"/>
              <w:left w:val="single" w:sz="5" w:space="0" w:color="000000"/>
              <w:bottom w:val="single" w:sz="5" w:space="0" w:color="000000"/>
              <w:right w:val="single" w:sz="5" w:space="0" w:color="000000"/>
            </w:tcBorders>
          </w:tcPr>
          <w:p w14:paraId="2646A76C"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F91AFCD"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DDE9240" w14:textId="77777777" w:rsidTr="00AF4FFF">
        <w:trPr>
          <w:trHeight w:val="559"/>
        </w:trPr>
        <w:tc>
          <w:tcPr>
            <w:tcW w:w="1438" w:type="dxa"/>
            <w:vMerge w:val="restart"/>
            <w:tcBorders>
              <w:top w:val="single" w:sz="5" w:space="0" w:color="000000"/>
              <w:left w:val="single" w:sz="5" w:space="0" w:color="000000"/>
              <w:bottom w:val="single" w:sz="5" w:space="0" w:color="000000"/>
              <w:right w:val="single" w:sz="5" w:space="0" w:color="000000"/>
            </w:tcBorders>
          </w:tcPr>
          <w:p w14:paraId="3CAC6319" w14:textId="77777777" w:rsidR="006C0AA7" w:rsidRPr="003726FE" w:rsidRDefault="006C0AA7">
            <w:pPr>
              <w:ind w:left="103"/>
              <w:rPr>
                <w:sz w:val="20"/>
              </w:rPr>
            </w:pPr>
            <w:r w:rsidRPr="003726FE">
              <w:rPr>
                <w:rFonts w:ascii="Calibri" w:eastAsia="Calibri" w:hAnsi="Calibri" w:cs="Calibri"/>
                <w:sz w:val="20"/>
              </w:rPr>
              <w:t xml:space="preserve">Baseline Data </w:t>
            </w:r>
          </w:p>
        </w:tc>
        <w:tc>
          <w:tcPr>
            <w:tcW w:w="405" w:type="dxa"/>
            <w:vMerge w:val="restart"/>
            <w:tcBorders>
              <w:top w:val="single" w:sz="5" w:space="0" w:color="000000"/>
              <w:left w:val="single" w:sz="5" w:space="0" w:color="000000"/>
              <w:bottom w:val="single" w:sz="5" w:space="0" w:color="000000"/>
              <w:right w:val="single" w:sz="5" w:space="0" w:color="000000"/>
            </w:tcBorders>
          </w:tcPr>
          <w:p w14:paraId="3C629C49" w14:textId="77777777" w:rsidR="006C0AA7" w:rsidRPr="003726FE" w:rsidRDefault="006C0AA7">
            <w:pPr>
              <w:ind w:left="58"/>
              <w:jc w:val="center"/>
              <w:rPr>
                <w:sz w:val="20"/>
              </w:rPr>
            </w:pPr>
            <w:r w:rsidRPr="003726FE">
              <w:rPr>
                <w:rFonts w:ascii="Calibri" w:eastAsia="Calibri" w:hAnsi="Calibri" w:cs="Calibri"/>
                <w:sz w:val="20"/>
              </w:rPr>
              <w:t xml:space="preserve">14 </w:t>
            </w:r>
          </w:p>
        </w:tc>
        <w:tc>
          <w:tcPr>
            <w:tcW w:w="5670" w:type="dxa"/>
            <w:tcBorders>
              <w:top w:val="single" w:sz="5" w:space="0" w:color="000000"/>
              <w:left w:val="single" w:sz="5" w:space="0" w:color="000000"/>
              <w:bottom w:val="dashed" w:sz="4" w:space="0" w:color="000000"/>
              <w:right w:val="single" w:sz="5" w:space="0" w:color="000000"/>
            </w:tcBorders>
          </w:tcPr>
          <w:p w14:paraId="2E126D12" w14:textId="3E5A747E" w:rsidR="006C0AA7" w:rsidRPr="003726FE" w:rsidRDefault="006C0AA7" w:rsidP="00746B6C">
            <w:pPr>
              <w:ind w:left="48" w:firstLine="9"/>
              <w:jc w:val="both"/>
              <w:rPr>
                <w:sz w:val="20"/>
              </w:rPr>
            </w:pPr>
            <w:r w:rsidRPr="003726FE">
              <w:rPr>
                <w:rFonts w:ascii="Calibri" w:eastAsia="Calibri" w:hAnsi="Calibri" w:cs="Calibri"/>
                <w:sz w:val="20"/>
              </w:rPr>
              <w:t xml:space="preserve">Baseline demographic and clinical characteristics of participants in each study condition </w:t>
            </w:r>
          </w:p>
        </w:tc>
        <w:tc>
          <w:tcPr>
            <w:tcW w:w="425" w:type="dxa"/>
            <w:tcBorders>
              <w:top w:val="single" w:sz="5" w:space="0" w:color="000000"/>
              <w:left w:val="single" w:sz="5" w:space="0" w:color="000000"/>
              <w:bottom w:val="dashed" w:sz="4" w:space="0" w:color="000000"/>
              <w:right w:val="single" w:sz="5" w:space="0" w:color="000000"/>
            </w:tcBorders>
          </w:tcPr>
          <w:p w14:paraId="13EF0922"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543E1CAA"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22868C05" w14:textId="77777777" w:rsidTr="00AF4FFF">
        <w:trPr>
          <w:trHeight w:val="559"/>
        </w:trPr>
        <w:tc>
          <w:tcPr>
            <w:tcW w:w="1438" w:type="dxa"/>
            <w:vMerge/>
            <w:tcBorders>
              <w:top w:val="nil"/>
              <w:left w:val="single" w:sz="5" w:space="0" w:color="000000"/>
              <w:bottom w:val="nil"/>
              <w:right w:val="single" w:sz="5" w:space="0" w:color="000000"/>
            </w:tcBorders>
          </w:tcPr>
          <w:p w14:paraId="0E9DA20E"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505EAFDA"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5B8D23F2" w14:textId="20B1F9ED" w:rsidR="006C0AA7" w:rsidRPr="003726FE" w:rsidRDefault="006C0AA7" w:rsidP="00746B6C">
            <w:pPr>
              <w:ind w:left="48" w:right="12" w:firstLine="9"/>
              <w:rPr>
                <w:sz w:val="20"/>
              </w:rPr>
            </w:pPr>
            <w:r w:rsidRPr="003726FE">
              <w:rPr>
                <w:rFonts w:ascii="Calibri" w:eastAsia="Calibri" w:hAnsi="Calibri" w:cs="Calibri"/>
                <w:sz w:val="20"/>
              </w:rPr>
              <w:t xml:space="preserve">Baseline characteristics for each study condition relevant to specific disease prevention research </w:t>
            </w:r>
          </w:p>
        </w:tc>
        <w:tc>
          <w:tcPr>
            <w:tcW w:w="425" w:type="dxa"/>
            <w:tcBorders>
              <w:top w:val="dashed" w:sz="4" w:space="0" w:color="000000"/>
              <w:left w:val="single" w:sz="5" w:space="0" w:color="000000"/>
              <w:bottom w:val="dashed" w:sz="4" w:space="0" w:color="000000"/>
              <w:right w:val="single" w:sz="5" w:space="0" w:color="000000"/>
            </w:tcBorders>
          </w:tcPr>
          <w:p w14:paraId="50A8EE61"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7BCDD58D"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4655ABA4" w14:textId="77777777" w:rsidTr="00AF4FFF">
        <w:trPr>
          <w:trHeight w:val="559"/>
        </w:trPr>
        <w:tc>
          <w:tcPr>
            <w:tcW w:w="1438" w:type="dxa"/>
            <w:vMerge/>
            <w:tcBorders>
              <w:top w:val="nil"/>
              <w:left w:val="single" w:sz="5" w:space="0" w:color="000000"/>
              <w:bottom w:val="nil"/>
              <w:right w:val="single" w:sz="5" w:space="0" w:color="000000"/>
            </w:tcBorders>
          </w:tcPr>
          <w:p w14:paraId="1EB650CB"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53463F55"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48F87393" w14:textId="5E9B82E0" w:rsidR="006C0AA7" w:rsidRPr="003726FE" w:rsidRDefault="006C0AA7" w:rsidP="00746B6C">
            <w:pPr>
              <w:ind w:left="48" w:firstLine="9"/>
              <w:rPr>
                <w:sz w:val="20"/>
              </w:rPr>
            </w:pPr>
            <w:r w:rsidRPr="003726FE">
              <w:rPr>
                <w:rFonts w:ascii="Calibri" w:eastAsia="Calibri" w:hAnsi="Calibri" w:cs="Calibri"/>
                <w:sz w:val="20"/>
              </w:rPr>
              <w:t xml:space="preserve">Baseline comparisons of those lost to follow-up and those retained, overall and by study condition </w:t>
            </w:r>
          </w:p>
        </w:tc>
        <w:tc>
          <w:tcPr>
            <w:tcW w:w="425" w:type="dxa"/>
            <w:tcBorders>
              <w:top w:val="dashed" w:sz="4" w:space="0" w:color="000000"/>
              <w:left w:val="single" w:sz="5" w:space="0" w:color="000000"/>
              <w:bottom w:val="dashed" w:sz="4" w:space="0" w:color="000000"/>
              <w:right w:val="single" w:sz="5" w:space="0" w:color="000000"/>
            </w:tcBorders>
          </w:tcPr>
          <w:p w14:paraId="7E76A41E"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28830B4F"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534C44B1" w14:textId="77777777" w:rsidTr="00AF4FFF">
        <w:trPr>
          <w:trHeight w:val="558"/>
        </w:trPr>
        <w:tc>
          <w:tcPr>
            <w:tcW w:w="1438" w:type="dxa"/>
            <w:vMerge/>
            <w:tcBorders>
              <w:top w:val="nil"/>
              <w:left w:val="single" w:sz="5" w:space="0" w:color="000000"/>
              <w:bottom w:val="single" w:sz="5" w:space="0" w:color="000000"/>
              <w:right w:val="single" w:sz="5" w:space="0" w:color="000000"/>
            </w:tcBorders>
          </w:tcPr>
          <w:p w14:paraId="5FA69987"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155CBFEA"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223B2EC1" w14:textId="4A445BB9" w:rsidR="006C0AA7" w:rsidRPr="003726FE" w:rsidRDefault="006C0AA7" w:rsidP="00746B6C">
            <w:pPr>
              <w:ind w:left="48" w:right="41" w:firstLine="9"/>
              <w:rPr>
                <w:sz w:val="20"/>
              </w:rPr>
            </w:pPr>
            <w:r w:rsidRPr="003726FE">
              <w:rPr>
                <w:rFonts w:ascii="Calibri" w:eastAsia="Calibri" w:hAnsi="Calibri" w:cs="Calibri"/>
                <w:sz w:val="20"/>
              </w:rPr>
              <w:t xml:space="preserve">Comparison between study population at baseline and target population of interest </w:t>
            </w:r>
          </w:p>
        </w:tc>
        <w:tc>
          <w:tcPr>
            <w:tcW w:w="425" w:type="dxa"/>
            <w:tcBorders>
              <w:top w:val="dashed" w:sz="4" w:space="0" w:color="000000"/>
              <w:left w:val="single" w:sz="5" w:space="0" w:color="000000"/>
              <w:bottom w:val="single" w:sz="5" w:space="0" w:color="000000"/>
              <w:right w:val="single" w:sz="5" w:space="0" w:color="000000"/>
            </w:tcBorders>
          </w:tcPr>
          <w:p w14:paraId="537D652C"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0C9F38A2"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60EB657" w14:textId="77777777" w:rsidTr="00AF4FFF">
        <w:trPr>
          <w:trHeight w:val="697"/>
        </w:trPr>
        <w:tc>
          <w:tcPr>
            <w:tcW w:w="1438" w:type="dxa"/>
            <w:tcBorders>
              <w:top w:val="single" w:sz="5" w:space="0" w:color="000000"/>
              <w:left w:val="single" w:sz="5" w:space="0" w:color="000000"/>
              <w:bottom w:val="single" w:sz="5" w:space="0" w:color="000000"/>
              <w:right w:val="single" w:sz="5" w:space="0" w:color="000000"/>
            </w:tcBorders>
          </w:tcPr>
          <w:p w14:paraId="2FF409BA" w14:textId="77777777" w:rsidR="006C0AA7" w:rsidRPr="003726FE" w:rsidRDefault="006C0AA7">
            <w:pPr>
              <w:ind w:left="103"/>
              <w:rPr>
                <w:sz w:val="20"/>
              </w:rPr>
            </w:pPr>
            <w:r w:rsidRPr="003726FE">
              <w:rPr>
                <w:rFonts w:ascii="Calibri" w:eastAsia="Calibri" w:hAnsi="Calibri" w:cs="Calibri"/>
                <w:sz w:val="20"/>
              </w:rPr>
              <w:t xml:space="preserve">Baseline equivalence </w:t>
            </w:r>
          </w:p>
        </w:tc>
        <w:tc>
          <w:tcPr>
            <w:tcW w:w="405" w:type="dxa"/>
            <w:tcBorders>
              <w:top w:val="single" w:sz="5" w:space="0" w:color="000000"/>
              <w:left w:val="single" w:sz="5" w:space="0" w:color="000000"/>
              <w:bottom w:val="single" w:sz="5" w:space="0" w:color="000000"/>
              <w:right w:val="single" w:sz="5" w:space="0" w:color="000000"/>
            </w:tcBorders>
          </w:tcPr>
          <w:p w14:paraId="4025ECBA" w14:textId="77777777" w:rsidR="006C0AA7" w:rsidRPr="003726FE" w:rsidRDefault="006C0AA7">
            <w:pPr>
              <w:ind w:left="58"/>
              <w:jc w:val="center"/>
              <w:rPr>
                <w:sz w:val="20"/>
              </w:rPr>
            </w:pPr>
            <w:r w:rsidRPr="003726FE">
              <w:rPr>
                <w:rFonts w:ascii="Calibri" w:eastAsia="Calibri" w:hAnsi="Calibri" w:cs="Calibri"/>
                <w:sz w:val="20"/>
              </w:rPr>
              <w:t xml:space="preserve">15 </w:t>
            </w:r>
          </w:p>
        </w:tc>
        <w:tc>
          <w:tcPr>
            <w:tcW w:w="5670" w:type="dxa"/>
            <w:tcBorders>
              <w:top w:val="single" w:sz="5" w:space="0" w:color="000000"/>
              <w:left w:val="single" w:sz="5" w:space="0" w:color="000000"/>
              <w:bottom w:val="single" w:sz="5" w:space="0" w:color="000000"/>
              <w:right w:val="single" w:sz="5" w:space="0" w:color="000000"/>
            </w:tcBorders>
          </w:tcPr>
          <w:p w14:paraId="09F77257" w14:textId="4DFFA998" w:rsidR="006C0AA7" w:rsidRPr="003726FE" w:rsidRDefault="006C0AA7" w:rsidP="00746B6C">
            <w:pPr>
              <w:ind w:left="48" w:firstLine="9"/>
              <w:rPr>
                <w:sz w:val="20"/>
              </w:rPr>
            </w:pPr>
            <w:r w:rsidRPr="003726FE">
              <w:rPr>
                <w:rFonts w:ascii="Calibri" w:eastAsia="Calibri" w:hAnsi="Calibri" w:cs="Calibri"/>
                <w:sz w:val="20"/>
              </w:rPr>
              <w:t xml:space="preserve">Data on study group equivalence at baseline and statistical methods used to control for baseline differences </w:t>
            </w:r>
          </w:p>
        </w:tc>
        <w:tc>
          <w:tcPr>
            <w:tcW w:w="425" w:type="dxa"/>
            <w:tcBorders>
              <w:top w:val="single" w:sz="5" w:space="0" w:color="000000"/>
              <w:left w:val="single" w:sz="5" w:space="0" w:color="000000"/>
              <w:bottom w:val="single" w:sz="5" w:space="0" w:color="000000"/>
              <w:right w:val="single" w:sz="5" w:space="0" w:color="000000"/>
            </w:tcBorders>
          </w:tcPr>
          <w:p w14:paraId="74EA341E"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57DE4BCC"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3A0491A8" w14:textId="77777777" w:rsidTr="00AF4FFF">
        <w:trPr>
          <w:trHeight w:val="827"/>
        </w:trPr>
        <w:tc>
          <w:tcPr>
            <w:tcW w:w="1438" w:type="dxa"/>
            <w:vMerge w:val="restart"/>
            <w:tcBorders>
              <w:top w:val="single" w:sz="5" w:space="0" w:color="000000"/>
              <w:left w:val="single" w:sz="5" w:space="0" w:color="000000"/>
              <w:bottom w:val="single" w:sz="5" w:space="0" w:color="000000"/>
              <w:right w:val="single" w:sz="5" w:space="0" w:color="000000"/>
            </w:tcBorders>
          </w:tcPr>
          <w:p w14:paraId="7D75EA4A" w14:textId="77777777" w:rsidR="006C0AA7" w:rsidRPr="003726FE" w:rsidRDefault="006C0AA7">
            <w:pPr>
              <w:ind w:left="103"/>
              <w:rPr>
                <w:sz w:val="20"/>
              </w:rPr>
            </w:pPr>
            <w:r w:rsidRPr="003726FE">
              <w:rPr>
                <w:rFonts w:ascii="Calibri" w:eastAsia="Calibri" w:hAnsi="Calibri" w:cs="Calibri"/>
                <w:sz w:val="20"/>
              </w:rPr>
              <w:lastRenderedPageBreak/>
              <w:t xml:space="preserve">Numbers analyzed </w:t>
            </w:r>
          </w:p>
        </w:tc>
        <w:tc>
          <w:tcPr>
            <w:tcW w:w="405" w:type="dxa"/>
            <w:vMerge w:val="restart"/>
            <w:tcBorders>
              <w:top w:val="single" w:sz="5" w:space="0" w:color="000000"/>
              <w:left w:val="single" w:sz="5" w:space="0" w:color="000000"/>
              <w:bottom w:val="single" w:sz="5" w:space="0" w:color="000000"/>
              <w:right w:val="single" w:sz="5" w:space="0" w:color="000000"/>
            </w:tcBorders>
          </w:tcPr>
          <w:p w14:paraId="2FAA0C0D" w14:textId="77777777" w:rsidR="006C0AA7" w:rsidRPr="003726FE" w:rsidRDefault="006C0AA7">
            <w:pPr>
              <w:ind w:left="82"/>
              <w:jc w:val="center"/>
              <w:rPr>
                <w:sz w:val="20"/>
              </w:rPr>
            </w:pPr>
            <w:r w:rsidRPr="003726FE">
              <w:rPr>
                <w:rFonts w:ascii="Calibri" w:eastAsia="Calibri" w:hAnsi="Calibri" w:cs="Calibri"/>
                <w:sz w:val="20"/>
              </w:rPr>
              <w:t xml:space="preserve">16 </w:t>
            </w:r>
          </w:p>
        </w:tc>
        <w:tc>
          <w:tcPr>
            <w:tcW w:w="5670" w:type="dxa"/>
            <w:tcBorders>
              <w:top w:val="single" w:sz="5" w:space="0" w:color="000000"/>
              <w:left w:val="single" w:sz="5" w:space="0" w:color="000000"/>
              <w:bottom w:val="dashed" w:sz="4" w:space="0" w:color="000000"/>
              <w:right w:val="single" w:sz="5" w:space="0" w:color="000000"/>
            </w:tcBorders>
          </w:tcPr>
          <w:p w14:paraId="299D093E" w14:textId="5CB5F647" w:rsidR="006C0AA7" w:rsidRPr="003726FE" w:rsidRDefault="006C0AA7" w:rsidP="00746B6C">
            <w:pPr>
              <w:ind w:left="48" w:firstLine="9"/>
              <w:rPr>
                <w:sz w:val="20"/>
              </w:rPr>
            </w:pPr>
            <w:r w:rsidRPr="003726FE">
              <w:rPr>
                <w:rFonts w:ascii="Calibri" w:eastAsia="Calibri" w:hAnsi="Calibri" w:cs="Calibri"/>
                <w:sz w:val="20"/>
              </w:rPr>
              <w:t xml:space="preserve">Number of participants (denominator) included in each analysis for each study condition, particularly when the denominators change for different outcomes; statement of the results in absolute numbers when feasible </w:t>
            </w:r>
          </w:p>
        </w:tc>
        <w:tc>
          <w:tcPr>
            <w:tcW w:w="425" w:type="dxa"/>
            <w:tcBorders>
              <w:top w:val="single" w:sz="5" w:space="0" w:color="000000"/>
              <w:left w:val="single" w:sz="5" w:space="0" w:color="000000"/>
              <w:bottom w:val="dashed" w:sz="4" w:space="0" w:color="000000"/>
              <w:right w:val="single" w:sz="5" w:space="0" w:color="000000"/>
            </w:tcBorders>
          </w:tcPr>
          <w:p w14:paraId="0878640C"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0DA2CFA4"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7D3CC443" w14:textId="77777777" w:rsidTr="00AF4FFF">
        <w:trPr>
          <w:trHeight w:val="560"/>
        </w:trPr>
        <w:tc>
          <w:tcPr>
            <w:tcW w:w="1438" w:type="dxa"/>
            <w:vMerge/>
            <w:tcBorders>
              <w:top w:val="nil"/>
              <w:left w:val="single" w:sz="5" w:space="0" w:color="000000"/>
              <w:bottom w:val="single" w:sz="5" w:space="0" w:color="000000"/>
              <w:right w:val="single" w:sz="5" w:space="0" w:color="000000"/>
            </w:tcBorders>
          </w:tcPr>
          <w:p w14:paraId="5C54B405"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388B036D"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480F3DBF" w14:textId="62554894" w:rsidR="006C0AA7" w:rsidRPr="003726FE" w:rsidRDefault="006C0AA7" w:rsidP="00746B6C">
            <w:pPr>
              <w:ind w:left="48" w:firstLine="9"/>
              <w:rPr>
                <w:sz w:val="20"/>
              </w:rPr>
            </w:pPr>
            <w:r w:rsidRPr="003726FE">
              <w:rPr>
                <w:rFonts w:ascii="Calibri" w:eastAsia="Calibri" w:hAnsi="Calibri" w:cs="Calibri"/>
                <w:sz w:val="20"/>
              </w:rPr>
              <w:t xml:space="preserve">Indication of whether the analysis strategy was “intention to treat” or, if not, description of how non-compliers were treated in the analyses </w:t>
            </w:r>
          </w:p>
        </w:tc>
        <w:tc>
          <w:tcPr>
            <w:tcW w:w="425" w:type="dxa"/>
            <w:tcBorders>
              <w:top w:val="dashed" w:sz="4" w:space="0" w:color="000000"/>
              <w:left w:val="single" w:sz="5" w:space="0" w:color="000000"/>
              <w:bottom w:val="single" w:sz="5" w:space="0" w:color="000000"/>
              <w:right w:val="single" w:sz="5" w:space="0" w:color="000000"/>
            </w:tcBorders>
          </w:tcPr>
          <w:p w14:paraId="0BC0975D"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767B8F7E"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13E6997" w14:textId="77777777" w:rsidTr="00AF4FFF">
        <w:trPr>
          <w:trHeight w:val="827"/>
        </w:trPr>
        <w:tc>
          <w:tcPr>
            <w:tcW w:w="1438" w:type="dxa"/>
            <w:vMerge w:val="restart"/>
            <w:tcBorders>
              <w:top w:val="single" w:sz="5" w:space="0" w:color="000000"/>
              <w:left w:val="single" w:sz="5" w:space="0" w:color="000000"/>
              <w:bottom w:val="single" w:sz="5" w:space="0" w:color="000000"/>
              <w:right w:val="single" w:sz="5" w:space="0" w:color="000000"/>
            </w:tcBorders>
          </w:tcPr>
          <w:p w14:paraId="1F424956" w14:textId="77777777" w:rsidR="006C0AA7" w:rsidRPr="003726FE" w:rsidRDefault="006C0AA7">
            <w:pPr>
              <w:ind w:left="103"/>
              <w:rPr>
                <w:sz w:val="20"/>
              </w:rPr>
            </w:pPr>
            <w:r w:rsidRPr="003726FE">
              <w:rPr>
                <w:rFonts w:ascii="Calibri" w:eastAsia="Calibri" w:hAnsi="Calibri" w:cs="Calibri"/>
                <w:sz w:val="20"/>
              </w:rPr>
              <w:t xml:space="preserve">Outcomes and estimation </w:t>
            </w:r>
          </w:p>
        </w:tc>
        <w:tc>
          <w:tcPr>
            <w:tcW w:w="405" w:type="dxa"/>
            <w:vMerge w:val="restart"/>
            <w:tcBorders>
              <w:top w:val="single" w:sz="5" w:space="0" w:color="000000"/>
              <w:left w:val="single" w:sz="5" w:space="0" w:color="000000"/>
              <w:bottom w:val="single" w:sz="5" w:space="0" w:color="000000"/>
              <w:right w:val="single" w:sz="5" w:space="0" w:color="000000"/>
            </w:tcBorders>
          </w:tcPr>
          <w:p w14:paraId="4D04199F" w14:textId="77777777" w:rsidR="006C0AA7" w:rsidRPr="003726FE" w:rsidRDefault="006C0AA7">
            <w:pPr>
              <w:ind w:left="82"/>
              <w:jc w:val="center"/>
              <w:rPr>
                <w:sz w:val="20"/>
              </w:rPr>
            </w:pPr>
            <w:r w:rsidRPr="003726FE">
              <w:rPr>
                <w:rFonts w:ascii="Calibri" w:eastAsia="Calibri" w:hAnsi="Calibri" w:cs="Calibri"/>
                <w:sz w:val="20"/>
              </w:rPr>
              <w:t xml:space="preserve">17 </w:t>
            </w:r>
          </w:p>
        </w:tc>
        <w:tc>
          <w:tcPr>
            <w:tcW w:w="5670" w:type="dxa"/>
            <w:tcBorders>
              <w:top w:val="single" w:sz="5" w:space="0" w:color="000000"/>
              <w:left w:val="single" w:sz="5" w:space="0" w:color="000000"/>
              <w:bottom w:val="dashed" w:sz="4" w:space="0" w:color="000000"/>
              <w:right w:val="single" w:sz="5" w:space="0" w:color="000000"/>
            </w:tcBorders>
          </w:tcPr>
          <w:p w14:paraId="3157B723" w14:textId="7A27D913" w:rsidR="006C0AA7" w:rsidRPr="003726FE" w:rsidRDefault="006C0AA7" w:rsidP="00746B6C">
            <w:pPr>
              <w:ind w:left="48" w:firstLine="9"/>
              <w:rPr>
                <w:sz w:val="20"/>
              </w:rPr>
            </w:pPr>
            <w:r w:rsidRPr="003726FE">
              <w:rPr>
                <w:rFonts w:ascii="Calibri" w:eastAsia="Calibri" w:hAnsi="Calibri" w:cs="Calibri"/>
                <w:sz w:val="20"/>
              </w:rPr>
              <w:t xml:space="preserve">For each primary and secondary outcome, a summary of results for each estimation study condition, and the estimated effect size and a confidence interval to indicate the precision </w:t>
            </w:r>
          </w:p>
        </w:tc>
        <w:tc>
          <w:tcPr>
            <w:tcW w:w="425" w:type="dxa"/>
            <w:tcBorders>
              <w:top w:val="single" w:sz="5" w:space="0" w:color="000000"/>
              <w:left w:val="single" w:sz="5" w:space="0" w:color="000000"/>
              <w:bottom w:val="dashed" w:sz="4" w:space="0" w:color="000000"/>
              <w:right w:val="single" w:sz="5" w:space="0" w:color="000000"/>
            </w:tcBorders>
          </w:tcPr>
          <w:p w14:paraId="0D199368"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2938C085"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5E08429" w14:textId="77777777" w:rsidTr="00AF4FFF">
        <w:trPr>
          <w:trHeight w:val="384"/>
        </w:trPr>
        <w:tc>
          <w:tcPr>
            <w:tcW w:w="1438" w:type="dxa"/>
            <w:vMerge/>
            <w:tcBorders>
              <w:top w:val="nil"/>
              <w:left w:val="single" w:sz="5" w:space="0" w:color="000000"/>
              <w:bottom w:val="nil"/>
              <w:right w:val="single" w:sz="5" w:space="0" w:color="000000"/>
            </w:tcBorders>
          </w:tcPr>
          <w:p w14:paraId="52656CF8"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181238E5"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0E1D5D1F" w14:textId="7E1864CC" w:rsidR="006C0AA7" w:rsidRPr="003726FE" w:rsidRDefault="006C0AA7" w:rsidP="00746B6C">
            <w:pPr>
              <w:ind w:left="48" w:firstLine="9"/>
              <w:rPr>
                <w:sz w:val="20"/>
              </w:rPr>
            </w:pPr>
            <w:r w:rsidRPr="003726FE">
              <w:rPr>
                <w:rFonts w:ascii="Calibri" w:eastAsia="Calibri" w:hAnsi="Calibri" w:cs="Calibri"/>
                <w:sz w:val="20"/>
              </w:rPr>
              <w:t xml:space="preserve">Inclusion of null and negative findings </w:t>
            </w:r>
          </w:p>
        </w:tc>
        <w:tc>
          <w:tcPr>
            <w:tcW w:w="425" w:type="dxa"/>
            <w:tcBorders>
              <w:top w:val="dashed" w:sz="4" w:space="0" w:color="000000"/>
              <w:left w:val="single" w:sz="5" w:space="0" w:color="000000"/>
              <w:bottom w:val="dashed" w:sz="4" w:space="0" w:color="000000"/>
              <w:right w:val="single" w:sz="5" w:space="0" w:color="000000"/>
            </w:tcBorders>
          </w:tcPr>
          <w:p w14:paraId="178A1D05"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2888097B"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739E706" w14:textId="77777777" w:rsidTr="00AF4FFF">
        <w:trPr>
          <w:trHeight w:val="560"/>
        </w:trPr>
        <w:tc>
          <w:tcPr>
            <w:tcW w:w="1438" w:type="dxa"/>
            <w:vMerge/>
            <w:tcBorders>
              <w:top w:val="nil"/>
              <w:left w:val="single" w:sz="5" w:space="0" w:color="000000"/>
              <w:bottom w:val="single" w:sz="5" w:space="0" w:color="000000"/>
              <w:right w:val="single" w:sz="5" w:space="0" w:color="000000"/>
            </w:tcBorders>
          </w:tcPr>
          <w:p w14:paraId="113ACF85"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1837E4C1"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334F85DF" w14:textId="469650E1" w:rsidR="006C0AA7" w:rsidRPr="003726FE" w:rsidRDefault="006C0AA7" w:rsidP="00746B6C">
            <w:pPr>
              <w:ind w:left="48" w:firstLine="9"/>
              <w:jc w:val="both"/>
              <w:rPr>
                <w:sz w:val="20"/>
              </w:rPr>
            </w:pPr>
            <w:r w:rsidRPr="003726FE">
              <w:rPr>
                <w:rFonts w:ascii="Calibri" w:eastAsia="Calibri" w:hAnsi="Calibri" w:cs="Calibri"/>
                <w:sz w:val="20"/>
              </w:rPr>
              <w:t xml:space="preserve">Inclusion of results from testing pre-specified causal pathways through which the intervention was intended to operate, if any </w:t>
            </w:r>
          </w:p>
        </w:tc>
        <w:tc>
          <w:tcPr>
            <w:tcW w:w="425" w:type="dxa"/>
            <w:tcBorders>
              <w:top w:val="dashed" w:sz="4" w:space="0" w:color="000000"/>
              <w:left w:val="single" w:sz="5" w:space="0" w:color="000000"/>
              <w:bottom w:val="single" w:sz="5" w:space="0" w:color="000000"/>
              <w:right w:val="single" w:sz="5" w:space="0" w:color="000000"/>
            </w:tcBorders>
          </w:tcPr>
          <w:p w14:paraId="0CCF99FA"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1352B6C2"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5DC75168" w14:textId="77777777" w:rsidTr="00AF4FFF">
        <w:trPr>
          <w:trHeight w:val="559"/>
        </w:trPr>
        <w:tc>
          <w:tcPr>
            <w:tcW w:w="1438" w:type="dxa"/>
            <w:tcBorders>
              <w:top w:val="single" w:sz="5" w:space="0" w:color="000000"/>
              <w:left w:val="single" w:sz="5" w:space="0" w:color="000000"/>
              <w:bottom w:val="single" w:sz="5" w:space="0" w:color="000000"/>
              <w:right w:val="single" w:sz="5" w:space="0" w:color="000000"/>
            </w:tcBorders>
          </w:tcPr>
          <w:p w14:paraId="3360B403" w14:textId="77777777" w:rsidR="006C0AA7" w:rsidRPr="003726FE" w:rsidRDefault="006C0AA7">
            <w:pPr>
              <w:ind w:left="103"/>
              <w:rPr>
                <w:sz w:val="20"/>
              </w:rPr>
            </w:pPr>
            <w:r w:rsidRPr="003726FE">
              <w:rPr>
                <w:rFonts w:ascii="Calibri" w:eastAsia="Calibri" w:hAnsi="Calibri" w:cs="Calibri"/>
                <w:sz w:val="20"/>
              </w:rPr>
              <w:t xml:space="preserve">Ancillary analyses </w:t>
            </w:r>
          </w:p>
        </w:tc>
        <w:tc>
          <w:tcPr>
            <w:tcW w:w="405" w:type="dxa"/>
            <w:tcBorders>
              <w:top w:val="single" w:sz="5" w:space="0" w:color="000000"/>
              <w:left w:val="single" w:sz="5" w:space="0" w:color="000000"/>
              <w:bottom w:val="single" w:sz="5" w:space="0" w:color="000000"/>
              <w:right w:val="single" w:sz="5" w:space="0" w:color="000000"/>
            </w:tcBorders>
          </w:tcPr>
          <w:p w14:paraId="1FE6A0F9" w14:textId="77777777" w:rsidR="006C0AA7" w:rsidRPr="003726FE" w:rsidRDefault="006C0AA7">
            <w:pPr>
              <w:ind w:left="82"/>
              <w:jc w:val="center"/>
              <w:rPr>
                <w:sz w:val="20"/>
              </w:rPr>
            </w:pPr>
            <w:r w:rsidRPr="003726FE">
              <w:rPr>
                <w:rFonts w:ascii="Calibri" w:eastAsia="Calibri" w:hAnsi="Calibri" w:cs="Calibri"/>
                <w:sz w:val="20"/>
              </w:rPr>
              <w:t xml:space="preserve">18 </w:t>
            </w:r>
          </w:p>
        </w:tc>
        <w:tc>
          <w:tcPr>
            <w:tcW w:w="5670" w:type="dxa"/>
            <w:tcBorders>
              <w:top w:val="single" w:sz="5" w:space="0" w:color="000000"/>
              <w:left w:val="single" w:sz="5" w:space="0" w:color="000000"/>
              <w:bottom w:val="single" w:sz="5" w:space="0" w:color="000000"/>
              <w:right w:val="single" w:sz="5" w:space="0" w:color="000000"/>
            </w:tcBorders>
          </w:tcPr>
          <w:p w14:paraId="6DBA27AD" w14:textId="7D856BC9" w:rsidR="006C0AA7" w:rsidRPr="003726FE" w:rsidRDefault="006C0AA7" w:rsidP="00746B6C">
            <w:pPr>
              <w:ind w:left="48" w:firstLine="9"/>
              <w:rPr>
                <w:sz w:val="20"/>
              </w:rPr>
            </w:pPr>
            <w:r w:rsidRPr="003726FE">
              <w:rPr>
                <w:rFonts w:ascii="Calibri" w:eastAsia="Calibri" w:hAnsi="Calibri" w:cs="Calibri"/>
                <w:sz w:val="20"/>
              </w:rPr>
              <w:t xml:space="preserve">Summary of other analyses performed, including subgroup or restricted analyses, indicating which are pre-specified or exploratory </w:t>
            </w:r>
          </w:p>
        </w:tc>
        <w:tc>
          <w:tcPr>
            <w:tcW w:w="425" w:type="dxa"/>
            <w:tcBorders>
              <w:top w:val="single" w:sz="5" w:space="0" w:color="000000"/>
              <w:left w:val="single" w:sz="5" w:space="0" w:color="000000"/>
              <w:bottom w:val="single" w:sz="5" w:space="0" w:color="000000"/>
              <w:right w:val="single" w:sz="5" w:space="0" w:color="000000"/>
            </w:tcBorders>
          </w:tcPr>
          <w:p w14:paraId="19911308"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6D93E50F"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0E973DF6" w14:textId="77777777" w:rsidTr="00AF4FFF">
        <w:trPr>
          <w:trHeight w:val="830"/>
        </w:trPr>
        <w:tc>
          <w:tcPr>
            <w:tcW w:w="1438" w:type="dxa"/>
            <w:tcBorders>
              <w:top w:val="single" w:sz="5" w:space="0" w:color="000000"/>
              <w:left w:val="single" w:sz="5" w:space="0" w:color="000000"/>
              <w:bottom w:val="single" w:sz="5" w:space="0" w:color="000000"/>
              <w:right w:val="single" w:sz="5" w:space="0" w:color="000000"/>
            </w:tcBorders>
          </w:tcPr>
          <w:p w14:paraId="428ADE6B" w14:textId="77777777" w:rsidR="006C0AA7" w:rsidRPr="003726FE" w:rsidRDefault="006C0AA7">
            <w:pPr>
              <w:ind w:left="103"/>
              <w:rPr>
                <w:sz w:val="20"/>
              </w:rPr>
            </w:pPr>
            <w:r w:rsidRPr="003726FE">
              <w:rPr>
                <w:rFonts w:ascii="Calibri" w:eastAsia="Calibri" w:hAnsi="Calibri" w:cs="Calibri"/>
                <w:sz w:val="20"/>
              </w:rPr>
              <w:t xml:space="preserve">Adverse events </w:t>
            </w:r>
          </w:p>
        </w:tc>
        <w:tc>
          <w:tcPr>
            <w:tcW w:w="405" w:type="dxa"/>
            <w:tcBorders>
              <w:top w:val="single" w:sz="5" w:space="0" w:color="000000"/>
              <w:left w:val="single" w:sz="5" w:space="0" w:color="000000"/>
              <w:bottom w:val="single" w:sz="5" w:space="0" w:color="000000"/>
              <w:right w:val="single" w:sz="5" w:space="0" w:color="000000"/>
            </w:tcBorders>
          </w:tcPr>
          <w:p w14:paraId="64838E54" w14:textId="77777777" w:rsidR="006C0AA7" w:rsidRPr="003726FE" w:rsidRDefault="006C0AA7">
            <w:pPr>
              <w:ind w:left="82"/>
              <w:jc w:val="center"/>
              <w:rPr>
                <w:sz w:val="20"/>
              </w:rPr>
            </w:pPr>
            <w:r w:rsidRPr="003726FE">
              <w:rPr>
                <w:rFonts w:ascii="Calibri" w:eastAsia="Calibri" w:hAnsi="Calibri" w:cs="Calibri"/>
                <w:sz w:val="20"/>
              </w:rPr>
              <w:t xml:space="preserve">19 </w:t>
            </w:r>
          </w:p>
        </w:tc>
        <w:tc>
          <w:tcPr>
            <w:tcW w:w="5670" w:type="dxa"/>
            <w:tcBorders>
              <w:top w:val="single" w:sz="5" w:space="0" w:color="000000"/>
              <w:left w:val="single" w:sz="5" w:space="0" w:color="000000"/>
              <w:bottom w:val="single" w:sz="5" w:space="0" w:color="000000"/>
              <w:right w:val="single" w:sz="5" w:space="0" w:color="000000"/>
            </w:tcBorders>
          </w:tcPr>
          <w:p w14:paraId="25F81617" w14:textId="70A3E13A" w:rsidR="006C0AA7" w:rsidRPr="003726FE" w:rsidRDefault="006C0AA7" w:rsidP="00746B6C">
            <w:pPr>
              <w:ind w:left="48" w:firstLine="9"/>
              <w:rPr>
                <w:sz w:val="20"/>
              </w:rPr>
            </w:pPr>
            <w:r w:rsidRPr="003726FE">
              <w:rPr>
                <w:rFonts w:ascii="Calibri" w:eastAsia="Calibri" w:hAnsi="Calibri" w:cs="Calibri"/>
                <w:sz w:val="20"/>
              </w:rPr>
              <w:t xml:space="preserve">Summary of all important adverse events or unintended effects in each study condition (including summary measures, effect size estimates, and confidence intervals) </w:t>
            </w:r>
          </w:p>
        </w:tc>
        <w:tc>
          <w:tcPr>
            <w:tcW w:w="425" w:type="dxa"/>
            <w:tcBorders>
              <w:top w:val="single" w:sz="5" w:space="0" w:color="000000"/>
              <w:left w:val="single" w:sz="5" w:space="0" w:color="000000"/>
              <w:bottom w:val="single" w:sz="5" w:space="0" w:color="000000"/>
              <w:right w:val="single" w:sz="5" w:space="0" w:color="000000"/>
            </w:tcBorders>
          </w:tcPr>
          <w:p w14:paraId="39744793"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3CEA965D"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4B3DED12" w14:textId="77777777" w:rsidTr="00AF4FFF">
        <w:trPr>
          <w:trHeight w:val="463"/>
        </w:trPr>
        <w:tc>
          <w:tcPr>
            <w:tcW w:w="1438" w:type="dxa"/>
            <w:tcBorders>
              <w:top w:val="single" w:sz="5" w:space="0" w:color="000000"/>
              <w:left w:val="single" w:sz="5" w:space="0" w:color="000000"/>
              <w:bottom w:val="single" w:sz="5" w:space="0" w:color="000000"/>
              <w:right w:val="nil"/>
            </w:tcBorders>
            <w:shd w:val="clear" w:color="auto" w:fill="FFFFCC"/>
          </w:tcPr>
          <w:p w14:paraId="5B30C77B" w14:textId="77777777" w:rsidR="006C0AA7" w:rsidRPr="003726FE" w:rsidRDefault="006C0AA7">
            <w:pPr>
              <w:rPr>
                <w:sz w:val="20"/>
              </w:rPr>
            </w:pPr>
            <w:r w:rsidRPr="003726FE">
              <w:rPr>
                <w:rFonts w:eastAsia="Times New Roman" w:cs="Times New Roman"/>
                <w:sz w:val="20"/>
              </w:rPr>
              <w:t xml:space="preserve"> </w:t>
            </w:r>
          </w:p>
          <w:p w14:paraId="79618D9A" w14:textId="77777777" w:rsidR="006C0AA7" w:rsidRPr="003726FE" w:rsidRDefault="006C0AA7">
            <w:pPr>
              <w:ind w:left="103"/>
              <w:rPr>
                <w:sz w:val="20"/>
              </w:rPr>
            </w:pPr>
            <w:r w:rsidRPr="003726FE">
              <w:rPr>
                <w:rFonts w:ascii="Cambria" w:eastAsia="Cambria" w:hAnsi="Cambria" w:cs="Cambria"/>
                <w:b/>
                <w:sz w:val="20"/>
              </w:rPr>
              <w:t>DISCUSSION</w:t>
            </w:r>
            <w:r w:rsidRPr="003726FE">
              <w:rPr>
                <w:rFonts w:ascii="Cambria" w:eastAsia="Cambria" w:hAnsi="Cambria" w:cs="Cambria"/>
                <w:sz w:val="20"/>
              </w:rPr>
              <w:t xml:space="preserve"> </w:t>
            </w:r>
          </w:p>
        </w:tc>
        <w:tc>
          <w:tcPr>
            <w:tcW w:w="405" w:type="dxa"/>
            <w:tcBorders>
              <w:top w:val="single" w:sz="5" w:space="0" w:color="000000"/>
              <w:left w:val="nil"/>
              <w:bottom w:val="single" w:sz="5" w:space="0" w:color="000000"/>
              <w:right w:val="nil"/>
            </w:tcBorders>
            <w:shd w:val="clear" w:color="auto" w:fill="FFFFCC"/>
          </w:tcPr>
          <w:p w14:paraId="2E823792" w14:textId="77777777" w:rsidR="006C0AA7" w:rsidRPr="003726FE" w:rsidRDefault="006C0AA7">
            <w:pPr>
              <w:rPr>
                <w:sz w:val="20"/>
              </w:rPr>
            </w:pPr>
          </w:p>
        </w:tc>
        <w:tc>
          <w:tcPr>
            <w:tcW w:w="6947" w:type="dxa"/>
            <w:gridSpan w:val="3"/>
            <w:tcBorders>
              <w:top w:val="single" w:sz="5" w:space="0" w:color="000000"/>
              <w:left w:val="nil"/>
              <w:bottom w:val="single" w:sz="5" w:space="0" w:color="000000"/>
              <w:right w:val="single" w:sz="5" w:space="0" w:color="000000"/>
            </w:tcBorders>
            <w:shd w:val="clear" w:color="auto" w:fill="FFFFCC"/>
          </w:tcPr>
          <w:p w14:paraId="549AA1CC" w14:textId="77777777" w:rsidR="006C0AA7" w:rsidRPr="003726FE" w:rsidRDefault="006C0AA7">
            <w:pPr>
              <w:rPr>
                <w:sz w:val="20"/>
              </w:rPr>
            </w:pPr>
          </w:p>
        </w:tc>
      </w:tr>
      <w:tr w:rsidR="006C0AA7" w:rsidRPr="003726FE" w14:paraId="6DD88078" w14:textId="77777777" w:rsidTr="00AF4FFF">
        <w:trPr>
          <w:trHeight w:val="828"/>
        </w:trPr>
        <w:tc>
          <w:tcPr>
            <w:tcW w:w="1438" w:type="dxa"/>
            <w:vMerge w:val="restart"/>
            <w:tcBorders>
              <w:top w:val="single" w:sz="5" w:space="0" w:color="000000"/>
              <w:left w:val="single" w:sz="5" w:space="0" w:color="000000"/>
              <w:bottom w:val="single" w:sz="5" w:space="0" w:color="000000"/>
              <w:right w:val="single" w:sz="5" w:space="0" w:color="000000"/>
            </w:tcBorders>
          </w:tcPr>
          <w:p w14:paraId="21BC9CD7" w14:textId="77777777" w:rsidR="006C0AA7" w:rsidRPr="003726FE" w:rsidRDefault="006C0AA7">
            <w:pPr>
              <w:ind w:left="103"/>
              <w:rPr>
                <w:sz w:val="20"/>
              </w:rPr>
            </w:pPr>
            <w:r w:rsidRPr="003726FE">
              <w:rPr>
                <w:rFonts w:ascii="Calibri" w:eastAsia="Calibri" w:hAnsi="Calibri" w:cs="Calibri"/>
                <w:sz w:val="20"/>
              </w:rPr>
              <w:t xml:space="preserve">Interpretation </w:t>
            </w:r>
          </w:p>
        </w:tc>
        <w:tc>
          <w:tcPr>
            <w:tcW w:w="405" w:type="dxa"/>
            <w:vMerge w:val="restart"/>
            <w:tcBorders>
              <w:top w:val="single" w:sz="5" w:space="0" w:color="000000"/>
              <w:left w:val="single" w:sz="5" w:space="0" w:color="000000"/>
              <w:bottom w:val="single" w:sz="5" w:space="0" w:color="000000"/>
              <w:right w:val="single" w:sz="5" w:space="0" w:color="000000"/>
            </w:tcBorders>
          </w:tcPr>
          <w:p w14:paraId="5BD99AA7" w14:textId="77777777" w:rsidR="006C0AA7" w:rsidRPr="003726FE" w:rsidRDefault="006C0AA7">
            <w:pPr>
              <w:ind w:left="82"/>
              <w:jc w:val="center"/>
              <w:rPr>
                <w:sz w:val="20"/>
              </w:rPr>
            </w:pPr>
            <w:r w:rsidRPr="003726FE">
              <w:rPr>
                <w:rFonts w:ascii="Calibri" w:eastAsia="Calibri" w:hAnsi="Calibri" w:cs="Calibri"/>
                <w:sz w:val="20"/>
              </w:rPr>
              <w:t xml:space="preserve">20 </w:t>
            </w:r>
          </w:p>
        </w:tc>
        <w:tc>
          <w:tcPr>
            <w:tcW w:w="5670" w:type="dxa"/>
            <w:tcBorders>
              <w:top w:val="single" w:sz="5" w:space="0" w:color="000000"/>
              <w:left w:val="single" w:sz="5" w:space="0" w:color="000000"/>
              <w:bottom w:val="dashed" w:sz="4" w:space="0" w:color="000000"/>
              <w:right w:val="single" w:sz="5" w:space="0" w:color="000000"/>
            </w:tcBorders>
          </w:tcPr>
          <w:p w14:paraId="460EDB80" w14:textId="6D1F2958" w:rsidR="006C0AA7" w:rsidRPr="003726FE" w:rsidRDefault="006C0AA7" w:rsidP="00746B6C">
            <w:pPr>
              <w:ind w:left="48" w:right="27"/>
              <w:rPr>
                <w:sz w:val="20"/>
              </w:rPr>
            </w:pPr>
            <w:r w:rsidRPr="003726FE">
              <w:rPr>
                <w:rFonts w:ascii="Calibri" w:eastAsia="Calibri" w:hAnsi="Calibri" w:cs="Calibri"/>
                <w:sz w:val="20"/>
              </w:rPr>
              <w:t xml:space="preserve">Interpretation of the results, taking into account study hypotheses, sources of potential bias, imprecision of measures, multiplicative analyses, and other limitations or weaknesses of the study </w:t>
            </w:r>
          </w:p>
        </w:tc>
        <w:tc>
          <w:tcPr>
            <w:tcW w:w="425" w:type="dxa"/>
            <w:tcBorders>
              <w:top w:val="single" w:sz="5" w:space="0" w:color="000000"/>
              <w:left w:val="single" w:sz="5" w:space="0" w:color="000000"/>
              <w:bottom w:val="dashed" w:sz="4" w:space="0" w:color="000000"/>
              <w:right w:val="single" w:sz="5" w:space="0" w:color="000000"/>
            </w:tcBorders>
          </w:tcPr>
          <w:p w14:paraId="43078761"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dashed" w:sz="4" w:space="0" w:color="000000"/>
              <w:right w:val="single" w:sz="5" w:space="0" w:color="000000"/>
            </w:tcBorders>
          </w:tcPr>
          <w:p w14:paraId="12E171D4"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516FE92" w14:textId="77777777" w:rsidTr="00AF4FFF">
        <w:trPr>
          <w:trHeight w:val="828"/>
        </w:trPr>
        <w:tc>
          <w:tcPr>
            <w:tcW w:w="1438" w:type="dxa"/>
            <w:vMerge/>
            <w:tcBorders>
              <w:top w:val="nil"/>
              <w:left w:val="single" w:sz="5" w:space="0" w:color="000000"/>
              <w:bottom w:val="nil"/>
              <w:right w:val="single" w:sz="5" w:space="0" w:color="000000"/>
            </w:tcBorders>
          </w:tcPr>
          <w:p w14:paraId="25C56D1D"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21F7AC35"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5962959" w14:textId="244C41A7" w:rsidR="006C0AA7" w:rsidRPr="003726FE" w:rsidRDefault="006C0AA7" w:rsidP="00746B6C">
            <w:pPr>
              <w:ind w:left="48"/>
              <w:rPr>
                <w:sz w:val="20"/>
              </w:rPr>
            </w:pPr>
            <w:r w:rsidRPr="003726FE">
              <w:rPr>
                <w:rFonts w:ascii="Calibri" w:eastAsia="Calibri" w:hAnsi="Calibri" w:cs="Calibri"/>
                <w:sz w:val="20"/>
              </w:rPr>
              <w:t xml:space="preserve">Discussion of results taking into account the mechanism by which the intervention was intended to work (causal pathways) or alternative mechanisms or explanations </w:t>
            </w:r>
          </w:p>
        </w:tc>
        <w:tc>
          <w:tcPr>
            <w:tcW w:w="425" w:type="dxa"/>
            <w:tcBorders>
              <w:top w:val="dashed" w:sz="4" w:space="0" w:color="000000"/>
              <w:left w:val="single" w:sz="5" w:space="0" w:color="000000"/>
              <w:bottom w:val="dashed" w:sz="4" w:space="0" w:color="000000"/>
              <w:right w:val="single" w:sz="5" w:space="0" w:color="000000"/>
            </w:tcBorders>
          </w:tcPr>
          <w:p w14:paraId="5CBD08BB"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5B04E01F"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2EE132A8" w14:textId="77777777" w:rsidTr="00AF4FFF">
        <w:trPr>
          <w:trHeight w:val="559"/>
        </w:trPr>
        <w:tc>
          <w:tcPr>
            <w:tcW w:w="1438" w:type="dxa"/>
            <w:vMerge/>
            <w:tcBorders>
              <w:top w:val="nil"/>
              <w:left w:val="single" w:sz="5" w:space="0" w:color="000000"/>
              <w:bottom w:val="nil"/>
              <w:right w:val="single" w:sz="5" w:space="0" w:color="000000"/>
            </w:tcBorders>
          </w:tcPr>
          <w:p w14:paraId="3E3103CD" w14:textId="77777777" w:rsidR="006C0AA7" w:rsidRPr="003726FE" w:rsidRDefault="006C0AA7">
            <w:pPr>
              <w:rPr>
                <w:sz w:val="20"/>
              </w:rPr>
            </w:pPr>
          </w:p>
        </w:tc>
        <w:tc>
          <w:tcPr>
            <w:tcW w:w="405" w:type="dxa"/>
            <w:vMerge/>
            <w:tcBorders>
              <w:top w:val="nil"/>
              <w:left w:val="single" w:sz="5" w:space="0" w:color="000000"/>
              <w:bottom w:val="nil"/>
              <w:right w:val="single" w:sz="5" w:space="0" w:color="000000"/>
            </w:tcBorders>
          </w:tcPr>
          <w:p w14:paraId="796BA45D" w14:textId="77777777" w:rsidR="006C0AA7" w:rsidRPr="003726FE" w:rsidRDefault="006C0AA7">
            <w:pPr>
              <w:rPr>
                <w:sz w:val="20"/>
              </w:rPr>
            </w:pPr>
          </w:p>
        </w:tc>
        <w:tc>
          <w:tcPr>
            <w:tcW w:w="5670" w:type="dxa"/>
            <w:tcBorders>
              <w:top w:val="dashed" w:sz="4" w:space="0" w:color="000000"/>
              <w:left w:val="single" w:sz="5" w:space="0" w:color="000000"/>
              <w:bottom w:val="dashed" w:sz="4" w:space="0" w:color="000000"/>
              <w:right w:val="single" w:sz="5" w:space="0" w:color="000000"/>
            </w:tcBorders>
          </w:tcPr>
          <w:p w14:paraId="318D7C45" w14:textId="11182B9D" w:rsidR="006C0AA7" w:rsidRPr="003726FE" w:rsidRDefault="006C0AA7" w:rsidP="00746B6C">
            <w:pPr>
              <w:ind w:left="48"/>
              <w:rPr>
                <w:sz w:val="20"/>
              </w:rPr>
            </w:pPr>
            <w:r w:rsidRPr="003726FE">
              <w:rPr>
                <w:rFonts w:ascii="Calibri" w:eastAsia="Calibri" w:hAnsi="Calibri" w:cs="Calibri"/>
                <w:sz w:val="20"/>
              </w:rPr>
              <w:t xml:space="preserve">Discussion of the success of and barriers to implementing the intervention, fidelity of implementation </w:t>
            </w:r>
          </w:p>
        </w:tc>
        <w:tc>
          <w:tcPr>
            <w:tcW w:w="425" w:type="dxa"/>
            <w:tcBorders>
              <w:top w:val="dashed" w:sz="4" w:space="0" w:color="000000"/>
              <w:left w:val="single" w:sz="5" w:space="0" w:color="000000"/>
              <w:bottom w:val="dashed" w:sz="4" w:space="0" w:color="000000"/>
              <w:right w:val="single" w:sz="5" w:space="0" w:color="000000"/>
            </w:tcBorders>
          </w:tcPr>
          <w:p w14:paraId="1BE53FE8"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dashed" w:sz="4" w:space="0" w:color="000000"/>
              <w:right w:val="single" w:sz="5" w:space="0" w:color="000000"/>
            </w:tcBorders>
          </w:tcPr>
          <w:p w14:paraId="44D15CC8"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54528E06" w14:textId="77777777" w:rsidTr="00AF4FFF">
        <w:trPr>
          <w:trHeight w:val="294"/>
        </w:trPr>
        <w:tc>
          <w:tcPr>
            <w:tcW w:w="1438" w:type="dxa"/>
            <w:vMerge/>
            <w:tcBorders>
              <w:top w:val="nil"/>
              <w:left w:val="single" w:sz="5" w:space="0" w:color="000000"/>
              <w:bottom w:val="single" w:sz="5" w:space="0" w:color="000000"/>
              <w:right w:val="single" w:sz="5" w:space="0" w:color="000000"/>
            </w:tcBorders>
          </w:tcPr>
          <w:p w14:paraId="1061343F" w14:textId="77777777" w:rsidR="006C0AA7" w:rsidRPr="003726FE" w:rsidRDefault="006C0AA7">
            <w:pPr>
              <w:rPr>
                <w:sz w:val="20"/>
              </w:rPr>
            </w:pPr>
          </w:p>
        </w:tc>
        <w:tc>
          <w:tcPr>
            <w:tcW w:w="405" w:type="dxa"/>
            <w:vMerge/>
            <w:tcBorders>
              <w:top w:val="nil"/>
              <w:left w:val="single" w:sz="5" w:space="0" w:color="000000"/>
              <w:bottom w:val="single" w:sz="5" w:space="0" w:color="000000"/>
              <w:right w:val="single" w:sz="5" w:space="0" w:color="000000"/>
            </w:tcBorders>
          </w:tcPr>
          <w:p w14:paraId="7C1E06DC" w14:textId="77777777" w:rsidR="006C0AA7" w:rsidRPr="003726FE" w:rsidRDefault="006C0AA7">
            <w:pPr>
              <w:rPr>
                <w:sz w:val="20"/>
              </w:rPr>
            </w:pPr>
          </w:p>
        </w:tc>
        <w:tc>
          <w:tcPr>
            <w:tcW w:w="5670" w:type="dxa"/>
            <w:tcBorders>
              <w:top w:val="dashed" w:sz="4" w:space="0" w:color="000000"/>
              <w:left w:val="single" w:sz="5" w:space="0" w:color="000000"/>
              <w:bottom w:val="single" w:sz="5" w:space="0" w:color="000000"/>
              <w:right w:val="single" w:sz="5" w:space="0" w:color="000000"/>
            </w:tcBorders>
          </w:tcPr>
          <w:p w14:paraId="26FA2C0C" w14:textId="7A7E5DB0" w:rsidR="006C0AA7" w:rsidRPr="003726FE" w:rsidRDefault="006C0AA7" w:rsidP="00746B6C">
            <w:pPr>
              <w:ind w:left="48"/>
              <w:rPr>
                <w:sz w:val="20"/>
              </w:rPr>
            </w:pPr>
            <w:r w:rsidRPr="003726FE">
              <w:rPr>
                <w:rFonts w:ascii="Calibri" w:eastAsia="Calibri" w:hAnsi="Calibri" w:cs="Calibri"/>
                <w:sz w:val="20"/>
              </w:rPr>
              <w:t xml:space="preserve">Discussion of research, programmatic, or policy implications </w:t>
            </w:r>
          </w:p>
        </w:tc>
        <w:tc>
          <w:tcPr>
            <w:tcW w:w="425" w:type="dxa"/>
            <w:tcBorders>
              <w:top w:val="dashed" w:sz="4" w:space="0" w:color="000000"/>
              <w:left w:val="single" w:sz="5" w:space="0" w:color="000000"/>
              <w:bottom w:val="single" w:sz="5" w:space="0" w:color="000000"/>
              <w:right w:val="single" w:sz="5" w:space="0" w:color="000000"/>
            </w:tcBorders>
          </w:tcPr>
          <w:p w14:paraId="6678813A"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dashed" w:sz="4" w:space="0" w:color="000000"/>
              <w:left w:val="single" w:sz="5" w:space="0" w:color="000000"/>
              <w:bottom w:val="single" w:sz="5" w:space="0" w:color="000000"/>
              <w:right w:val="single" w:sz="5" w:space="0" w:color="000000"/>
            </w:tcBorders>
          </w:tcPr>
          <w:p w14:paraId="3802891A"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5D2027A8" w14:textId="77777777" w:rsidTr="00AF4FFF">
        <w:trPr>
          <w:trHeight w:val="1092"/>
        </w:trPr>
        <w:tc>
          <w:tcPr>
            <w:tcW w:w="1438" w:type="dxa"/>
            <w:tcBorders>
              <w:top w:val="single" w:sz="5" w:space="0" w:color="000000"/>
              <w:left w:val="single" w:sz="5" w:space="0" w:color="000000"/>
              <w:bottom w:val="single" w:sz="5" w:space="0" w:color="000000"/>
              <w:right w:val="single" w:sz="5" w:space="0" w:color="000000"/>
            </w:tcBorders>
          </w:tcPr>
          <w:p w14:paraId="7E1F6560" w14:textId="77777777" w:rsidR="006C0AA7" w:rsidRPr="003726FE" w:rsidRDefault="006C0AA7">
            <w:pPr>
              <w:ind w:left="103"/>
              <w:rPr>
                <w:sz w:val="20"/>
              </w:rPr>
            </w:pPr>
            <w:r w:rsidRPr="003726FE">
              <w:rPr>
                <w:rFonts w:ascii="Calibri" w:eastAsia="Calibri" w:hAnsi="Calibri" w:cs="Calibri"/>
                <w:sz w:val="20"/>
              </w:rPr>
              <w:t xml:space="preserve">Generalizability </w:t>
            </w:r>
          </w:p>
        </w:tc>
        <w:tc>
          <w:tcPr>
            <w:tcW w:w="405" w:type="dxa"/>
            <w:tcBorders>
              <w:top w:val="single" w:sz="5" w:space="0" w:color="000000"/>
              <w:left w:val="single" w:sz="5" w:space="0" w:color="000000"/>
              <w:bottom w:val="single" w:sz="5" w:space="0" w:color="000000"/>
              <w:right w:val="single" w:sz="5" w:space="0" w:color="000000"/>
            </w:tcBorders>
          </w:tcPr>
          <w:p w14:paraId="158114FB" w14:textId="77777777" w:rsidR="006C0AA7" w:rsidRPr="003726FE" w:rsidRDefault="006C0AA7">
            <w:pPr>
              <w:ind w:left="82"/>
              <w:jc w:val="center"/>
              <w:rPr>
                <w:sz w:val="20"/>
              </w:rPr>
            </w:pPr>
            <w:r w:rsidRPr="003726FE">
              <w:rPr>
                <w:rFonts w:ascii="Calibri" w:eastAsia="Calibri" w:hAnsi="Calibri" w:cs="Calibri"/>
                <w:sz w:val="20"/>
              </w:rPr>
              <w:t xml:space="preserve">21 </w:t>
            </w:r>
          </w:p>
        </w:tc>
        <w:tc>
          <w:tcPr>
            <w:tcW w:w="5670" w:type="dxa"/>
            <w:tcBorders>
              <w:top w:val="single" w:sz="5" w:space="0" w:color="000000"/>
              <w:left w:val="single" w:sz="5" w:space="0" w:color="000000"/>
              <w:bottom w:val="single" w:sz="5" w:space="0" w:color="000000"/>
              <w:right w:val="single" w:sz="5" w:space="0" w:color="000000"/>
            </w:tcBorders>
          </w:tcPr>
          <w:p w14:paraId="140E9377" w14:textId="3B5D0696" w:rsidR="006C0AA7" w:rsidRPr="003726FE" w:rsidRDefault="006C0AA7" w:rsidP="00746B6C">
            <w:pPr>
              <w:ind w:left="48"/>
              <w:rPr>
                <w:sz w:val="20"/>
              </w:rPr>
            </w:pPr>
            <w:r w:rsidRPr="003726FE">
              <w:rPr>
                <w:rFonts w:ascii="Calibri" w:eastAsia="Calibri" w:hAnsi="Calibri" w:cs="Calibri"/>
                <w:sz w:val="20"/>
              </w:rPr>
              <w:t xml:space="preserve">Generalizability (external validity) of the trial findings, taking into account the study population, the characteristics of the intervention, length of follow-up, incentives, compliance rates, specific sites/settings involved in the study, and other contextual issues </w:t>
            </w:r>
          </w:p>
        </w:tc>
        <w:tc>
          <w:tcPr>
            <w:tcW w:w="425" w:type="dxa"/>
            <w:tcBorders>
              <w:top w:val="single" w:sz="5" w:space="0" w:color="000000"/>
              <w:left w:val="single" w:sz="5" w:space="0" w:color="000000"/>
              <w:bottom w:val="single" w:sz="5" w:space="0" w:color="000000"/>
              <w:right w:val="single" w:sz="5" w:space="0" w:color="000000"/>
            </w:tcBorders>
          </w:tcPr>
          <w:p w14:paraId="0E3BEB24"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2BB86C51" w14:textId="77777777" w:rsidR="006C0AA7" w:rsidRPr="003726FE" w:rsidRDefault="006C0AA7">
            <w:pPr>
              <w:ind w:left="3"/>
              <w:rPr>
                <w:sz w:val="20"/>
              </w:rPr>
            </w:pPr>
            <w:r w:rsidRPr="003726FE">
              <w:rPr>
                <w:rFonts w:eastAsia="Times New Roman" w:cs="Times New Roman"/>
                <w:sz w:val="20"/>
              </w:rPr>
              <w:t xml:space="preserve"> </w:t>
            </w:r>
          </w:p>
        </w:tc>
      </w:tr>
      <w:tr w:rsidR="006C0AA7" w:rsidRPr="003726FE" w14:paraId="66C77B96" w14:textId="77777777" w:rsidTr="00AF4FFF">
        <w:trPr>
          <w:trHeight w:val="559"/>
        </w:trPr>
        <w:tc>
          <w:tcPr>
            <w:tcW w:w="1438" w:type="dxa"/>
            <w:tcBorders>
              <w:top w:val="single" w:sz="5" w:space="0" w:color="000000"/>
              <w:left w:val="single" w:sz="5" w:space="0" w:color="000000"/>
              <w:bottom w:val="single" w:sz="5" w:space="0" w:color="000000"/>
              <w:right w:val="single" w:sz="5" w:space="0" w:color="000000"/>
            </w:tcBorders>
          </w:tcPr>
          <w:p w14:paraId="359E35C4" w14:textId="77777777" w:rsidR="006C0AA7" w:rsidRPr="003726FE" w:rsidRDefault="006C0AA7">
            <w:pPr>
              <w:ind w:left="103"/>
              <w:rPr>
                <w:sz w:val="20"/>
              </w:rPr>
            </w:pPr>
            <w:r w:rsidRPr="003726FE">
              <w:rPr>
                <w:rFonts w:ascii="Calibri" w:eastAsia="Calibri" w:hAnsi="Calibri" w:cs="Calibri"/>
                <w:sz w:val="20"/>
              </w:rPr>
              <w:t xml:space="preserve">Overall Evidence </w:t>
            </w:r>
          </w:p>
        </w:tc>
        <w:tc>
          <w:tcPr>
            <w:tcW w:w="405" w:type="dxa"/>
            <w:tcBorders>
              <w:top w:val="single" w:sz="5" w:space="0" w:color="000000"/>
              <w:left w:val="single" w:sz="5" w:space="0" w:color="000000"/>
              <w:bottom w:val="single" w:sz="5" w:space="0" w:color="000000"/>
              <w:right w:val="single" w:sz="5" w:space="0" w:color="000000"/>
            </w:tcBorders>
          </w:tcPr>
          <w:p w14:paraId="118182F6" w14:textId="77777777" w:rsidR="006C0AA7" w:rsidRPr="003726FE" w:rsidRDefault="006C0AA7">
            <w:pPr>
              <w:ind w:left="82"/>
              <w:jc w:val="center"/>
              <w:rPr>
                <w:sz w:val="20"/>
              </w:rPr>
            </w:pPr>
            <w:r w:rsidRPr="003726FE">
              <w:rPr>
                <w:rFonts w:ascii="Calibri" w:eastAsia="Calibri" w:hAnsi="Calibri" w:cs="Calibri"/>
                <w:sz w:val="20"/>
              </w:rPr>
              <w:t xml:space="preserve">22 </w:t>
            </w:r>
          </w:p>
        </w:tc>
        <w:tc>
          <w:tcPr>
            <w:tcW w:w="5670" w:type="dxa"/>
            <w:tcBorders>
              <w:top w:val="single" w:sz="5" w:space="0" w:color="000000"/>
              <w:left w:val="single" w:sz="5" w:space="0" w:color="000000"/>
              <w:bottom w:val="single" w:sz="5" w:space="0" w:color="000000"/>
              <w:right w:val="single" w:sz="5" w:space="0" w:color="000000"/>
            </w:tcBorders>
          </w:tcPr>
          <w:p w14:paraId="3089DA48" w14:textId="5782144B" w:rsidR="006C0AA7" w:rsidRPr="003726FE" w:rsidRDefault="006C0AA7" w:rsidP="00746B6C">
            <w:pPr>
              <w:ind w:left="48" w:right="33"/>
              <w:rPr>
                <w:sz w:val="20"/>
              </w:rPr>
            </w:pPr>
            <w:r w:rsidRPr="003726FE">
              <w:rPr>
                <w:rFonts w:ascii="Calibri" w:eastAsia="Calibri" w:hAnsi="Calibri" w:cs="Calibri"/>
                <w:sz w:val="20"/>
              </w:rPr>
              <w:t xml:space="preserve">General interpretation of the results in the context of current evidence and current theory </w:t>
            </w:r>
          </w:p>
        </w:tc>
        <w:tc>
          <w:tcPr>
            <w:tcW w:w="425" w:type="dxa"/>
            <w:tcBorders>
              <w:top w:val="single" w:sz="5" w:space="0" w:color="000000"/>
              <w:left w:val="single" w:sz="5" w:space="0" w:color="000000"/>
              <w:bottom w:val="single" w:sz="5" w:space="0" w:color="000000"/>
              <w:right w:val="single" w:sz="5" w:space="0" w:color="000000"/>
            </w:tcBorders>
          </w:tcPr>
          <w:p w14:paraId="3387B780" w14:textId="77777777" w:rsidR="006C0AA7" w:rsidRPr="003726FE" w:rsidRDefault="006C0AA7">
            <w:pPr>
              <w:rPr>
                <w:sz w:val="20"/>
              </w:rPr>
            </w:pPr>
            <w:r w:rsidRPr="003726FE">
              <w:rPr>
                <w:rFonts w:eastAsia="Times New Roman" w:cs="Times New Roman"/>
                <w:sz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8977DF1" w14:textId="77777777" w:rsidR="006C0AA7" w:rsidRPr="003726FE" w:rsidRDefault="006C0AA7">
            <w:pPr>
              <w:ind w:left="3"/>
              <w:rPr>
                <w:sz w:val="20"/>
              </w:rPr>
            </w:pPr>
            <w:r w:rsidRPr="003726FE">
              <w:rPr>
                <w:rFonts w:eastAsia="Times New Roman" w:cs="Times New Roman"/>
                <w:sz w:val="20"/>
              </w:rPr>
              <w:t xml:space="preserve"> </w:t>
            </w:r>
          </w:p>
        </w:tc>
      </w:tr>
    </w:tbl>
    <w:p w14:paraId="0DDD1F35" w14:textId="77777777" w:rsidR="006C0AA7" w:rsidRPr="003726FE" w:rsidRDefault="006C0AA7">
      <w:pPr>
        <w:spacing w:after="20"/>
      </w:pPr>
      <w:r w:rsidRPr="003726FE">
        <w:rPr>
          <w:rFonts w:eastAsia="Times New Roman" w:cs="Times New Roman"/>
          <w:sz w:val="20"/>
        </w:rPr>
        <w:t xml:space="preserve"> </w:t>
      </w:r>
    </w:p>
    <w:p w14:paraId="7702F570" w14:textId="77777777" w:rsidR="006C0AA7" w:rsidRPr="003726FE" w:rsidRDefault="006C0AA7">
      <w:pPr>
        <w:spacing w:after="0"/>
      </w:pPr>
      <w:r w:rsidRPr="003726FE">
        <w:rPr>
          <w:rFonts w:eastAsia="Times New Roman" w:cs="Times New Roman"/>
          <w:sz w:val="28"/>
        </w:rPr>
        <w:t xml:space="preserve"> </w:t>
      </w:r>
    </w:p>
    <w:p w14:paraId="4C0C3FC4" w14:textId="7D8775F6" w:rsidR="006C0AA7" w:rsidRPr="003726FE" w:rsidRDefault="006C0AA7" w:rsidP="00026049">
      <w:pPr>
        <w:pStyle w:val="Normal1"/>
        <w:rPr>
          <w:lang w:val="en-GB"/>
        </w:rPr>
      </w:pPr>
      <w:r w:rsidRPr="003726FE">
        <w:rPr>
          <w:i/>
          <w:lang w:val="en-GB"/>
        </w:rPr>
        <w:t xml:space="preserve">From: </w:t>
      </w:r>
      <w:hyperlink w:anchor="_ENREF_122" w:tooltip="Des Jarlais, 2004 #64" w:history="1">
        <w:r w:rsidR="00700DC5" w:rsidRPr="00700DC5">
          <w:rPr>
            <w:rStyle w:val="Hyperlink"/>
            <w:rFonts w:eastAsiaTheme="minorHAnsi" w:cstheme="minorBidi"/>
            <w:kern w:val="0"/>
            <w:szCs w:val="22"/>
            <w:lang w:val="en-GB" w:eastAsia="en-US" w:bidi="ar-SA"/>
          </w:rPr>
          <w:t>_ENREF_122</w:t>
        </w:r>
      </w:hyperlink>
      <w:hyperlink w:anchor="_ENREF_122" w:tooltip="Des Jarlais, 2004 #64" w:history="1">
        <w:r w:rsidR="0094469E" w:rsidRPr="003726FE">
          <w:rPr>
            <w:lang w:val="en-GB"/>
          </w:rPr>
          <w:fldChar w:fldCharType="begin"/>
        </w:r>
        <w:r w:rsidR="0094469E">
          <w:rPr>
            <w:lang w:val="en-GB"/>
          </w:rPr>
          <w:instrText xml:space="preserve"> ADDIN EN.CITE &lt;EndNote&gt;&lt;Cite AuthorYear="1"&gt;&lt;Author&gt;Des Jarlais&lt;/Author&gt;&lt;Year&gt;2004&lt;/Year&gt;&lt;RecNum&gt;64&lt;/RecNum&gt;&lt;DisplayText&gt;Des Jarlais et al. (2004)&lt;/DisplayText&gt;&lt;record&gt;&lt;rec-number&gt;64&lt;/rec-number&gt;&lt;foreign-keys&gt;&lt;key app="EN" db-id="xa2r2ewea92trkef5dt5arvbzafvpv2za5ft" timestamp="1442161763"&gt;64&lt;/key&gt;&lt;/foreign-keys&gt;&lt;ref-type name="Journal Article"&gt;17&lt;/ref-type&gt;&lt;contributors&gt;&lt;authors&gt;&lt;author&gt;Des Jarlais, D. C.&lt;/author&gt;&lt;author&gt;Lyles, C.&lt;/author&gt;&lt;author&gt;Crepaz, N.&lt;/author&gt;&lt;author&gt;Trend Group&lt;/author&gt;&lt;/authors&gt;&lt;/contributors&gt;&lt;auth-address&gt;Baron Edmond de Rothschild Chemical Dependency Institute, Beth Israel Medical Center, New York City, USA. dcdesjarla@aol.com&lt;/auth-address&gt;&lt;titles&gt;&lt;title&gt;Improving the reporting quality of nonrandomized evaluations of behavioral and public health interventions: the TREND statement&lt;/title&gt;&lt;secondary-title&gt;American Journal of Public Health&lt;/secondary-title&gt;&lt;/titles&gt;&lt;periodical&gt;&lt;full-title&gt;American Journal of Public Health&lt;/full-title&gt;&lt;/periodical&gt;&lt;pages&gt;361-366&lt;/pages&gt;&lt;volume&gt;94&lt;/volume&gt;&lt;number&gt;3&lt;/number&gt;&lt;keywords&gt;&lt;keyword&gt;Behavioral Research&lt;/keyword&gt;&lt;keyword&gt;Decision Making&lt;/keyword&gt;&lt;keyword&gt;Epidemiologic Research Design&lt;/keyword&gt;&lt;keyword&gt;Evidence-Based Medicine&lt;/keyword&gt;&lt;keyword&gt;Humans&lt;/keyword&gt;&lt;keyword&gt;Information Dissemination&lt;/keyword&gt;&lt;keyword&gt;Intervention Studies&lt;/keyword&gt;&lt;keyword&gt;Periodicals as Topic/standards&lt;/keyword&gt;&lt;keyword&gt;Program Evaluation/methods&lt;/keyword&gt;&lt;keyword&gt;Public Health Practice&lt;/keyword&gt;&lt;keyword&gt;Publishing/standards&lt;/keyword&gt;&lt;keyword&gt;Quality Control&lt;/keyword&gt;&lt;/keywords&gt;&lt;dates&gt;&lt;year&gt;2004&lt;/year&gt;&lt;/dates&gt;&lt;pub-location&gt;United States&lt;/pub-location&gt;&lt;isbn&gt;0090-0036; 0090-0036&lt;/isbn&gt;&lt;urls&gt;&lt;related-urls&gt;&lt;url&gt;http://www.ncbi.nlm.nih.gov/pmc/articles/PMC1448256/pdf/0940361.pdf&lt;/url&gt;&lt;/related-urls&gt;&lt;/urls&gt;&lt;access-date&gt;Mar&lt;/access-date&gt;&lt;/record&gt;&lt;/Cite&gt;&lt;/EndNote&gt;</w:instrText>
        </w:r>
        <w:r w:rsidR="0094469E" w:rsidRPr="003726FE">
          <w:rPr>
            <w:lang w:val="en-GB"/>
          </w:rPr>
          <w:fldChar w:fldCharType="separate"/>
        </w:r>
        <w:r w:rsidR="0094469E" w:rsidRPr="003726FE">
          <w:rPr>
            <w:noProof/>
            <w:lang w:val="en-GB"/>
          </w:rPr>
          <w:t>Des Jarlais et al. (2004)</w:t>
        </w:r>
        <w:r w:rsidR="0094469E" w:rsidRPr="003726FE">
          <w:rPr>
            <w:lang w:val="en-GB"/>
          </w:rPr>
          <w:fldChar w:fldCharType="end"/>
        </w:r>
      </w:hyperlink>
      <w:r w:rsidRPr="003726FE">
        <w:rPr>
          <w:lang w:val="en-GB"/>
        </w:rPr>
        <w:t>. Imp</w:t>
      </w:r>
      <w:r w:rsidR="00746B6C" w:rsidRPr="003726FE">
        <w:rPr>
          <w:lang w:val="en-GB"/>
        </w:rPr>
        <w:t xml:space="preserve">roving the reporting quality of </w:t>
      </w:r>
      <w:r w:rsidRPr="003726FE">
        <w:rPr>
          <w:lang w:val="en-GB"/>
        </w:rPr>
        <w:t xml:space="preserve">nonrandomized evaluations of behavioral and public health interventions: The TREND statement. </w:t>
      </w:r>
      <w:r w:rsidRPr="003726FE">
        <w:rPr>
          <w:i/>
          <w:lang w:val="en-GB"/>
        </w:rPr>
        <w:t xml:space="preserve">American Journal of </w:t>
      </w:r>
    </w:p>
    <w:p w14:paraId="0CF70F3C" w14:textId="77777777" w:rsidR="006C0AA7" w:rsidRPr="003726FE" w:rsidRDefault="006C0AA7" w:rsidP="00026049">
      <w:pPr>
        <w:pStyle w:val="Normal1"/>
        <w:rPr>
          <w:lang w:val="en-GB"/>
        </w:rPr>
      </w:pPr>
      <w:r w:rsidRPr="003726FE">
        <w:rPr>
          <w:i/>
          <w:lang w:val="en-GB"/>
        </w:rPr>
        <w:t>Public Health</w:t>
      </w:r>
      <w:r w:rsidRPr="003726FE">
        <w:rPr>
          <w:lang w:val="en-GB"/>
        </w:rPr>
        <w:t xml:space="preserve">, 94, 361-366. For more information, visit: </w:t>
      </w:r>
      <w:hyperlink r:id="rId65">
        <w:r w:rsidRPr="003726FE">
          <w:rPr>
            <w:color w:val="0000FF"/>
            <w:u w:val="single" w:color="0000FF"/>
            <w:lang w:val="en-GB"/>
          </w:rPr>
          <w:t xml:space="preserve"> </w:t>
        </w:r>
      </w:hyperlink>
      <w:hyperlink r:id="rId66">
        <w:r w:rsidRPr="003726FE">
          <w:rPr>
            <w:color w:val="0000FF"/>
            <w:u w:val="single" w:color="0000FF"/>
            <w:lang w:val="en-GB"/>
          </w:rPr>
          <w:t>http:/</w:t>
        </w:r>
      </w:hyperlink>
      <w:hyperlink r:id="rId67">
        <w:r w:rsidRPr="003726FE">
          <w:rPr>
            <w:color w:val="0000FF"/>
            <w:u w:val="single" w:color="0000FF"/>
            <w:lang w:val="en-GB"/>
          </w:rPr>
          <w:t>/</w:t>
        </w:r>
      </w:hyperlink>
      <w:hyperlink r:id="rId68">
        <w:r w:rsidRPr="003726FE">
          <w:rPr>
            <w:color w:val="0000FF"/>
            <w:u w:val="single" w:color="0000FF"/>
            <w:lang w:val="en-GB"/>
          </w:rPr>
          <w:t>www.cdc.g</w:t>
        </w:r>
      </w:hyperlink>
      <w:hyperlink r:id="rId69">
        <w:r w:rsidRPr="003726FE">
          <w:rPr>
            <w:color w:val="0000FF"/>
            <w:u w:val="single" w:color="0000FF"/>
            <w:lang w:val="en-GB"/>
          </w:rPr>
          <w:t>o</w:t>
        </w:r>
      </w:hyperlink>
      <w:hyperlink r:id="rId70">
        <w:r w:rsidRPr="003726FE">
          <w:rPr>
            <w:color w:val="0000FF"/>
            <w:u w:val="single" w:color="0000FF"/>
            <w:lang w:val="en-GB"/>
          </w:rPr>
          <w:t>v</w:t>
        </w:r>
      </w:hyperlink>
      <w:hyperlink r:id="rId71">
        <w:r w:rsidRPr="003726FE">
          <w:rPr>
            <w:color w:val="0000FF"/>
            <w:u w:val="single" w:color="0000FF"/>
            <w:lang w:val="en-GB"/>
          </w:rPr>
          <w:t>/</w:t>
        </w:r>
      </w:hyperlink>
      <w:hyperlink r:id="rId72">
        <w:r w:rsidRPr="003726FE">
          <w:rPr>
            <w:color w:val="0000FF"/>
            <w:u w:val="single" w:color="0000FF"/>
            <w:lang w:val="en-GB"/>
          </w:rPr>
          <w:t>trendstatement</w:t>
        </w:r>
      </w:hyperlink>
      <w:hyperlink r:id="rId73">
        <w:r w:rsidRPr="003726FE">
          <w:rPr>
            <w:color w:val="0000FF"/>
            <w:u w:val="single" w:color="0000FF"/>
            <w:lang w:val="en-GB"/>
          </w:rPr>
          <w:t>/</w:t>
        </w:r>
      </w:hyperlink>
      <w:hyperlink r:id="rId74">
        <w:r w:rsidRPr="003726FE">
          <w:rPr>
            <w:lang w:val="en-GB"/>
          </w:rPr>
          <w:t xml:space="preserve"> </w:t>
        </w:r>
      </w:hyperlink>
    </w:p>
    <w:p w14:paraId="12BF3063" w14:textId="77777777" w:rsidR="00707077" w:rsidRPr="003726FE" w:rsidRDefault="00707077">
      <w:pPr>
        <w:rPr>
          <w:rFonts w:eastAsia="Lucida Sans Unicode" w:cs="Mangal"/>
          <w:kern w:val="1"/>
          <w:szCs w:val="24"/>
          <w:lang w:eastAsia="hi-IN" w:bidi="hi-IN"/>
        </w:rPr>
      </w:pPr>
      <w:r w:rsidRPr="003726FE">
        <w:br w:type="page"/>
      </w:r>
    </w:p>
    <w:p w14:paraId="076E892E" w14:textId="77777777" w:rsidR="00707077" w:rsidRPr="003726FE" w:rsidRDefault="00707077" w:rsidP="00B1638D">
      <w:pPr>
        <w:pStyle w:val="Heading2"/>
        <w:rPr>
          <w:lang w:val="en-GB"/>
        </w:rPr>
        <w:sectPr w:rsidR="00707077" w:rsidRPr="003726FE" w:rsidSect="007C73DC">
          <w:type w:val="continuous"/>
          <w:pgSz w:w="11906" w:h="16838"/>
          <w:pgMar w:top="1134" w:right="1134" w:bottom="1134" w:left="2268" w:header="708" w:footer="708" w:gutter="0"/>
          <w:cols w:space="708"/>
          <w:docGrid w:linePitch="360"/>
        </w:sectPr>
      </w:pPr>
    </w:p>
    <w:p w14:paraId="0F1E1939" w14:textId="60DAAF5E" w:rsidR="00707077" w:rsidRPr="003726FE" w:rsidRDefault="00C47666" w:rsidP="00B1638D">
      <w:pPr>
        <w:pStyle w:val="Heading2"/>
        <w:rPr>
          <w:lang w:val="en-GB"/>
        </w:rPr>
      </w:pPr>
      <w:bookmarkStart w:id="988" w:name="_Toc500319475"/>
      <w:r>
        <w:rPr>
          <w:lang w:val="en-GB"/>
        </w:rPr>
        <w:lastRenderedPageBreak/>
        <w:t>Appendix 4. Data Extraction Summary F</w:t>
      </w:r>
      <w:r w:rsidR="00707077" w:rsidRPr="003726FE">
        <w:rPr>
          <w:lang w:val="en-GB"/>
        </w:rPr>
        <w:t>orm</w:t>
      </w:r>
      <w:r w:rsidR="00C20F57" w:rsidRPr="003726FE">
        <w:rPr>
          <w:lang w:val="en-GB"/>
        </w:rPr>
        <w:t>.</w:t>
      </w:r>
      <w:bookmarkEnd w:id="988"/>
    </w:p>
    <w:p w14:paraId="148A34F1" w14:textId="77777777" w:rsidR="00707077" w:rsidRPr="003726FE" w:rsidRDefault="00707077" w:rsidP="00707077">
      <w:pPr>
        <w:rPr>
          <w:lang w:eastAsia="hi-IN" w:bidi="hi-IN"/>
        </w:rPr>
      </w:pPr>
    </w:p>
    <w:tbl>
      <w:tblPr>
        <w:tblStyle w:val="TableGrid"/>
        <w:tblW w:w="14459" w:type="dxa"/>
        <w:tblInd w:w="-5" w:type="dxa"/>
        <w:tblLayout w:type="fixed"/>
        <w:tblLook w:val="04A0" w:firstRow="1" w:lastRow="0" w:firstColumn="1" w:lastColumn="0" w:noHBand="0" w:noVBand="1"/>
      </w:tblPr>
      <w:tblGrid>
        <w:gridCol w:w="1798"/>
        <w:gridCol w:w="1701"/>
        <w:gridCol w:w="1985"/>
        <w:gridCol w:w="2425"/>
        <w:gridCol w:w="1843"/>
        <w:gridCol w:w="2126"/>
        <w:gridCol w:w="2581"/>
      </w:tblGrid>
      <w:tr w:rsidR="00707077" w:rsidRPr="00E07A7C" w14:paraId="658F4264" w14:textId="77777777" w:rsidTr="00AF4FFF">
        <w:tc>
          <w:tcPr>
            <w:tcW w:w="1798" w:type="dxa"/>
            <w:hideMark/>
          </w:tcPr>
          <w:p w14:paraId="7E8A9384" w14:textId="2F7C0E7A" w:rsidR="00707077" w:rsidRPr="00E07A7C" w:rsidRDefault="00707077" w:rsidP="00707077">
            <w:pPr>
              <w:spacing w:line="276" w:lineRule="auto"/>
              <w:rPr>
                <w:rFonts w:cs="Times New Roman"/>
                <w:b/>
                <w:sz w:val="22"/>
                <w:szCs w:val="24"/>
              </w:rPr>
            </w:pPr>
            <w:r w:rsidRPr="00E07A7C">
              <w:rPr>
                <w:rFonts w:cs="Times New Roman"/>
                <w:b/>
                <w:sz w:val="22"/>
                <w:szCs w:val="24"/>
              </w:rPr>
              <w:t>Study Title, Authors and year</w:t>
            </w:r>
          </w:p>
        </w:tc>
        <w:tc>
          <w:tcPr>
            <w:tcW w:w="1701" w:type="dxa"/>
          </w:tcPr>
          <w:p w14:paraId="254A2113"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Location, Learner level, number of participants, context</w:t>
            </w:r>
          </w:p>
        </w:tc>
        <w:tc>
          <w:tcPr>
            <w:tcW w:w="1985" w:type="dxa"/>
          </w:tcPr>
          <w:p w14:paraId="27E39285"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Research design</w:t>
            </w:r>
          </w:p>
        </w:tc>
        <w:tc>
          <w:tcPr>
            <w:tcW w:w="2425" w:type="dxa"/>
          </w:tcPr>
          <w:p w14:paraId="6078D021"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Nature of the intervention and methods summary</w:t>
            </w:r>
          </w:p>
        </w:tc>
        <w:tc>
          <w:tcPr>
            <w:tcW w:w="1843" w:type="dxa"/>
          </w:tcPr>
          <w:p w14:paraId="15D57DB3"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Conceptual frameworks or theoretical underpinnings of the intervention</w:t>
            </w:r>
          </w:p>
        </w:tc>
        <w:tc>
          <w:tcPr>
            <w:tcW w:w="2126" w:type="dxa"/>
          </w:tcPr>
          <w:p w14:paraId="3A43EB3C"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Measures</w:t>
            </w:r>
          </w:p>
        </w:tc>
        <w:tc>
          <w:tcPr>
            <w:tcW w:w="2581" w:type="dxa"/>
          </w:tcPr>
          <w:p w14:paraId="5AA420E8" w14:textId="77777777" w:rsidR="00707077" w:rsidRPr="00E07A7C" w:rsidRDefault="00707077" w:rsidP="00707077">
            <w:pPr>
              <w:spacing w:line="276" w:lineRule="auto"/>
              <w:rPr>
                <w:rFonts w:cs="Times New Roman"/>
                <w:b/>
                <w:sz w:val="22"/>
                <w:szCs w:val="24"/>
              </w:rPr>
            </w:pPr>
            <w:r w:rsidRPr="00E07A7C">
              <w:rPr>
                <w:rFonts w:cs="Times New Roman"/>
                <w:b/>
                <w:sz w:val="22"/>
                <w:szCs w:val="24"/>
              </w:rPr>
              <w:t>Relevant study outcomes</w:t>
            </w:r>
          </w:p>
        </w:tc>
      </w:tr>
      <w:tr w:rsidR="00707077" w:rsidRPr="00E07A7C" w14:paraId="5A2932E3" w14:textId="77777777" w:rsidTr="00AF4FFF">
        <w:tc>
          <w:tcPr>
            <w:tcW w:w="1798" w:type="dxa"/>
          </w:tcPr>
          <w:p w14:paraId="43F2D590"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Self-regulated learning and students’ metacognitive feelings in physical education</w:t>
            </w:r>
          </w:p>
          <w:p w14:paraId="55F7C9FB" w14:textId="77777777" w:rsidR="00707077" w:rsidRPr="00E07A7C" w:rsidRDefault="00707077" w:rsidP="00707077">
            <w:pPr>
              <w:spacing w:line="276" w:lineRule="auto"/>
              <w:rPr>
                <w:rFonts w:cs="Times New Roman"/>
                <w:noProof/>
                <w:sz w:val="22"/>
                <w:szCs w:val="24"/>
                <w:lang w:eastAsia="en-GB"/>
              </w:rPr>
            </w:pPr>
          </w:p>
          <w:p w14:paraId="1E0C85C4"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Goudas, Marios</w:t>
            </w:r>
          </w:p>
          <w:p w14:paraId="6174730A"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Dermitzaki, Irini</w:t>
            </w:r>
          </w:p>
          <w:p w14:paraId="4B6E215F"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Kolovelonis, Athanasios</w:t>
            </w:r>
          </w:p>
          <w:p w14:paraId="5B031213" w14:textId="77777777" w:rsidR="00707077" w:rsidRPr="00E07A7C" w:rsidRDefault="00707077" w:rsidP="00707077">
            <w:pPr>
              <w:spacing w:line="276" w:lineRule="auto"/>
              <w:rPr>
                <w:rFonts w:cs="Times New Roman"/>
                <w:noProof/>
                <w:sz w:val="22"/>
                <w:szCs w:val="24"/>
                <w:lang w:eastAsia="en-GB"/>
              </w:rPr>
            </w:pPr>
          </w:p>
          <w:p w14:paraId="1FD95791"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2017</w:t>
            </w:r>
          </w:p>
        </w:tc>
        <w:tc>
          <w:tcPr>
            <w:tcW w:w="1701" w:type="dxa"/>
          </w:tcPr>
          <w:p w14:paraId="70012865" w14:textId="77777777" w:rsidR="00707077" w:rsidRPr="00E07A7C" w:rsidRDefault="00707077" w:rsidP="00707077">
            <w:pPr>
              <w:spacing w:line="276" w:lineRule="auto"/>
              <w:rPr>
                <w:rFonts w:cs="Times New Roman"/>
                <w:sz w:val="22"/>
                <w:szCs w:val="24"/>
              </w:rPr>
            </w:pPr>
            <w:r w:rsidRPr="00E07A7C">
              <w:rPr>
                <w:rFonts w:cs="Times New Roman"/>
                <w:sz w:val="22"/>
                <w:szCs w:val="24"/>
              </w:rPr>
              <w:t>Greece</w:t>
            </w:r>
          </w:p>
          <w:p w14:paraId="777798E8" w14:textId="77777777" w:rsidR="00707077" w:rsidRPr="00E07A7C" w:rsidRDefault="00707077" w:rsidP="00707077">
            <w:pPr>
              <w:spacing w:line="276" w:lineRule="auto"/>
              <w:rPr>
                <w:rFonts w:cs="Times New Roman"/>
                <w:sz w:val="22"/>
                <w:szCs w:val="24"/>
              </w:rPr>
            </w:pPr>
          </w:p>
          <w:p w14:paraId="423203FA" w14:textId="77777777" w:rsidR="00707077" w:rsidRPr="00E07A7C" w:rsidRDefault="00707077" w:rsidP="00707077">
            <w:pPr>
              <w:spacing w:line="276" w:lineRule="auto"/>
              <w:rPr>
                <w:rFonts w:cs="Times New Roman"/>
                <w:sz w:val="22"/>
                <w:szCs w:val="24"/>
              </w:rPr>
            </w:pPr>
            <w:r w:rsidRPr="00E07A7C">
              <w:rPr>
                <w:rFonts w:cs="Times New Roman"/>
                <w:sz w:val="22"/>
                <w:szCs w:val="24"/>
              </w:rPr>
              <w:t>5</w:t>
            </w:r>
            <w:r w:rsidRPr="00E07A7C">
              <w:rPr>
                <w:rFonts w:cs="Times New Roman"/>
                <w:sz w:val="22"/>
                <w:szCs w:val="24"/>
                <w:vertAlign w:val="superscript"/>
              </w:rPr>
              <w:t>th</w:t>
            </w:r>
            <w:r w:rsidRPr="00E07A7C">
              <w:rPr>
                <w:rFonts w:cs="Times New Roman"/>
                <w:sz w:val="22"/>
                <w:szCs w:val="24"/>
              </w:rPr>
              <w:t xml:space="preserve"> grade students</w:t>
            </w:r>
          </w:p>
          <w:p w14:paraId="13CF65DD" w14:textId="77777777" w:rsidR="00707077" w:rsidRPr="00E07A7C" w:rsidRDefault="00707077" w:rsidP="00707077">
            <w:pPr>
              <w:spacing w:line="276" w:lineRule="auto"/>
              <w:rPr>
                <w:rFonts w:cs="Times New Roman"/>
                <w:sz w:val="22"/>
                <w:szCs w:val="24"/>
              </w:rPr>
            </w:pPr>
          </w:p>
          <w:p w14:paraId="1683932C" w14:textId="77777777" w:rsidR="00707077" w:rsidRPr="00E07A7C" w:rsidRDefault="00707077" w:rsidP="00707077">
            <w:pPr>
              <w:spacing w:line="276" w:lineRule="auto"/>
              <w:rPr>
                <w:rFonts w:cs="Times New Roman"/>
                <w:sz w:val="22"/>
                <w:szCs w:val="24"/>
              </w:rPr>
            </w:pPr>
            <w:r w:rsidRPr="00E07A7C">
              <w:rPr>
                <w:rFonts w:cs="Times New Roman"/>
                <w:sz w:val="22"/>
                <w:szCs w:val="24"/>
              </w:rPr>
              <w:t>N = 89</w:t>
            </w:r>
          </w:p>
          <w:p w14:paraId="50B1C830" w14:textId="77777777" w:rsidR="00707077" w:rsidRPr="00E07A7C" w:rsidRDefault="00707077" w:rsidP="00707077">
            <w:pPr>
              <w:spacing w:line="276" w:lineRule="auto"/>
              <w:rPr>
                <w:rFonts w:cs="Times New Roman"/>
                <w:sz w:val="22"/>
                <w:szCs w:val="24"/>
              </w:rPr>
            </w:pPr>
          </w:p>
          <w:p w14:paraId="4F59C509" w14:textId="77777777" w:rsidR="00707077" w:rsidRPr="00E07A7C" w:rsidRDefault="00707077" w:rsidP="00707077">
            <w:pPr>
              <w:spacing w:line="276" w:lineRule="auto"/>
              <w:rPr>
                <w:rFonts w:cs="Times New Roman"/>
                <w:sz w:val="22"/>
                <w:szCs w:val="24"/>
              </w:rPr>
            </w:pPr>
            <w:r w:rsidRPr="00E07A7C">
              <w:rPr>
                <w:rFonts w:cs="Times New Roman"/>
                <w:sz w:val="22"/>
                <w:szCs w:val="24"/>
              </w:rPr>
              <w:t>Physical education (basketball)</w:t>
            </w:r>
          </w:p>
        </w:tc>
        <w:tc>
          <w:tcPr>
            <w:tcW w:w="1985" w:type="dxa"/>
          </w:tcPr>
          <w:p w14:paraId="41E8BDD1" w14:textId="77777777" w:rsidR="00707077" w:rsidRPr="00E07A7C" w:rsidRDefault="00707077" w:rsidP="00707077">
            <w:pPr>
              <w:spacing w:line="276" w:lineRule="auto"/>
              <w:rPr>
                <w:rFonts w:cs="Times New Roman"/>
                <w:sz w:val="22"/>
                <w:szCs w:val="24"/>
              </w:rPr>
            </w:pPr>
            <w:r w:rsidRPr="00E07A7C">
              <w:rPr>
                <w:rFonts w:cs="Times New Roman"/>
                <w:sz w:val="22"/>
                <w:szCs w:val="24"/>
              </w:rPr>
              <w:t>Pretest-posttest single measure design. Four groups: two received feedback (one with process goal), one received only process goal information, one control group used. RCT features.</w:t>
            </w:r>
          </w:p>
        </w:tc>
        <w:tc>
          <w:tcPr>
            <w:tcW w:w="2425" w:type="dxa"/>
          </w:tcPr>
          <w:p w14:paraId="18C6C2B6" w14:textId="77777777" w:rsidR="00707077" w:rsidRPr="00E07A7C" w:rsidRDefault="00707077" w:rsidP="00707077">
            <w:pPr>
              <w:spacing w:line="276" w:lineRule="auto"/>
              <w:rPr>
                <w:rFonts w:cs="Times New Roman"/>
                <w:sz w:val="22"/>
                <w:szCs w:val="24"/>
              </w:rPr>
            </w:pPr>
            <w:r w:rsidRPr="00E07A7C">
              <w:rPr>
                <w:rFonts w:cs="Times New Roman"/>
                <w:sz w:val="22"/>
                <w:szCs w:val="24"/>
              </w:rPr>
              <w:t>Four-level training model of self-regulated learning development. Intervention ingredients were the use of feedback and instruction towards achieving a process goal. Feedback was on task, process, and motivational factors.</w:t>
            </w:r>
          </w:p>
        </w:tc>
        <w:tc>
          <w:tcPr>
            <w:tcW w:w="1843" w:type="dxa"/>
          </w:tcPr>
          <w:p w14:paraId="1C28740C" w14:textId="77777777" w:rsidR="00707077" w:rsidRPr="00E07A7C" w:rsidRDefault="00707077" w:rsidP="00707077">
            <w:pPr>
              <w:spacing w:line="276" w:lineRule="auto"/>
              <w:rPr>
                <w:rFonts w:cs="Times New Roman"/>
                <w:sz w:val="22"/>
                <w:szCs w:val="24"/>
              </w:rPr>
            </w:pPr>
            <w:r w:rsidRPr="00E07A7C">
              <w:rPr>
                <w:rFonts w:cs="Times New Roman"/>
                <w:sz w:val="22"/>
                <w:szCs w:val="24"/>
              </w:rPr>
              <w:t>Social cognitive model of SRL.</w:t>
            </w:r>
          </w:p>
        </w:tc>
        <w:tc>
          <w:tcPr>
            <w:tcW w:w="2126" w:type="dxa"/>
          </w:tcPr>
          <w:p w14:paraId="56F89F1D" w14:textId="77777777" w:rsidR="00707077" w:rsidRPr="00E07A7C" w:rsidRDefault="00707077" w:rsidP="00707077">
            <w:pPr>
              <w:spacing w:line="276" w:lineRule="auto"/>
              <w:rPr>
                <w:rFonts w:cs="Times New Roman"/>
                <w:sz w:val="22"/>
                <w:szCs w:val="24"/>
              </w:rPr>
            </w:pPr>
            <w:r w:rsidRPr="00E07A7C">
              <w:rPr>
                <w:rFonts w:cs="Times New Roman"/>
                <w:sz w:val="22"/>
                <w:szCs w:val="24"/>
              </w:rPr>
              <w:t>Basketball shooting performance, basketball shooting knowledge, feelings of effort/difficulty/correctness, goal setting manipulation.</w:t>
            </w:r>
          </w:p>
          <w:p w14:paraId="1AFD0290" w14:textId="77777777" w:rsidR="00707077" w:rsidRPr="00E07A7C" w:rsidRDefault="00707077" w:rsidP="00707077">
            <w:pPr>
              <w:rPr>
                <w:rFonts w:cs="Times New Roman"/>
                <w:sz w:val="22"/>
                <w:szCs w:val="24"/>
              </w:rPr>
            </w:pPr>
          </w:p>
          <w:p w14:paraId="77581EC8" w14:textId="77777777" w:rsidR="00707077" w:rsidRPr="00E07A7C" w:rsidRDefault="00707077" w:rsidP="00707077">
            <w:pPr>
              <w:rPr>
                <w:rFonts w:cs="Times New Roman"/>
                <w:sz w:val="22"/>
                <w:szCs w:val="24"/>
              </w:rPr>
            </w:pPr>
          </w:p>
          <w:p w14:paraId="0AA1E202" w14:textId="77777777" w:rsidR="00707077" w:rsidRPr="00E07A7C" w:rsidRDefault="00707077" w:rsidP="00707077">
            <w:pPr>
              <w:jc w:val="center"/>
              <w:rPr>
                <w:rFonts w:cs="Times New Roman"/>
                <w:sz w:val="22"/>
                <w:szCs w:val="24"/>
              </w:rPr>
            </w:pPr>
          </w:p>
        </w:tc>
        <w:tc>
          <w:tcPr>
            <w:tcW w:w="2581" w:type="dxa"/>
          </w:tcPr>
          <w:p w14:paraId="7F682A3C" w14:textId="77777777" w:rsidR="00707077" w:rsidRPr="00E07A7C" w:rsidRDefault="00707077" w:rsidP="00707077">
            <w:pPr>
              <w:spacing w:line="276" w:lineRule="auto"/>
              <w:rPr>
                <w:rFonts w:cs="Times New Roman"/>
                <w:sz w:val="22"/>
                <w:szCs w:val="24"/>
              </w:rPr>
            </w:pPr>
            <w:r w:rsidRPr="00E07A7C">
              <w:rPr>
                <w:rFonts w:cs="Times New Roman"/>
                <w:sz w:val="22"/>
                <w:szCs w:val="24"/>
              </w:rPr>
              <w:t>Groups with feedback improved their shooting knowledge. No differences in performance, feelings of effort/difficulty/correctness, or goal setting manipulation.</w:t>
            </w:r>
          </w:p>
        </w:tc>
      </w:tr>
      <w:tr w:rsidR="00707077" w:rsidRPr="00E07A7C" w14:paraId="290667FB" w14:textId="77777777" w:rsidTr="00AF4FFF">
        <w:tc>
          <w:tcPr>
            <w:tcW w:w="1798" w:type="dxa"/>
          </w:tcPr>
          <w:p w14:paraId="7992084D"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 xml:space="preserve">Effects of the Self-Regulation Empowerment Program (SREP) on middle school students' strategic </w:t>
            </w:r>
            <w:r w:rsidRPr="00E07A7C">
              <w:rPr>
                <w:rFonts w:cs="Times New Roman"/>
                <w:noProof/>
                <w:sz w:val="22"/>
                <w:szCs w:val="24"/>
                <w:lang w:eastAsia="en-GB"/>
              </w:rPr>
              <w:lastRenderedPageBreak/>
              <w:t>skills, self efficacy, and mathematics achievement</w:t>
            </w:r>
          </w:p>
          <w:p w14:paraId="72556A01" w14:textId="77777777" w:rsidR="00707077" w:rsidRPr="00E07A7C" w:rsidRDefault="00707077" w:rsidP="00707077">
            <w:pPr>
              <w:spacing w:line="276" w:lineRule="auto"/>
              <w:rPr>
                <w:rFonts w:cs="Times New Roman"/>
                <w:noProof/>
                <w:sz w:val="22"/>
                <w:szCs w:val="24"/>
                <w:lang w:eastAsia="en-GB"/>
              </w:rPr>
            </w:pPr>
          </w:p>
          <w:p w14:paraId="51D0A844"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Cleary, Timothy J</w:t>
            </w:r>
          </w:p>
          <w:p w14:paraId="4CD414F0"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Velardi, Brittany</w:t>
            </w:r>
          </w:p>
          <w:p w14:paraId="7F342C07"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Schnaidman, Bracha</w:t>
            </w:r>
          </w:p>
          <w:p w14:paraId="0F89F784" w14:textId="77777777" w:rsidR="00707077" w:rsidRPr="00E07A7C" w:rsidRDefault="00707077" w:rsidP="00707077">
            <w:pPr>
              <w:spacing w:line="276" w:lineRule="auto"/>
              <w:rPr>
                <w:rFonts w:cs="Times New Roman"/>
                <w:noProof/>
                <w:sz w:val="22"/>
                <w:szCs w:val="24"/>
                <w:lang w:eastAsia="en-GB"/>
              </w:rPr>
            </w:pPr>
          </w:p>
          <w:p w14:paraId="3AE936E1"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2017</w:t>
            </w:r>
          </w:p>
        </w:tc>
        <w:tc>
          <w:tcPr>
            <w:tcW w:w="1701" w:type="dxa"/>
          </w:tcPr>
          <w:p w14:paraId="1FEB2ADC"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USA</w:t>
            </w:r>
          </w:p>
          <w:p w14:paraId="1BD7FA96" w14:textId="77777777" w:rsidR="00707077" w:rsidRPr="00E07A7C" w:rsidRDefault="00707077" w:rsidP="00707077">
            <w:pPr>
              <w:spacing w:line="276" w:lineRule="auto"/>
              <w:rPr>
                <w:rFonts w:cs="Times New Roman"/>
                <w:sz w:val="22"/>
                <w:szCs w:val="24"/>
              </w:rPr>
            </w:pPr>
          </w:p>
          <w:p w14:paraId="47B51CF7" w14:textId="77777777" w:rsidR="00707077" w:rsidRPr="00E07A7C" w:rsidRDefault="00707077" w:rsidP="00707077">
            <w:pPr>
              <w:spacing w:line="276" w:lineRule="auto"/>
              <w:rPr>
                <w:rFonts w:cs="Times New Roman"/>
                <w:sz w:val="22"/>
                <w:szCs w:val="24"/>
              </w:rPr>
            </w:pPr>
            <w:r w:rsidRPr="00E07A7C">
              <w:rPr>
                <w:rFonts w:cs="Times New Roman"/>
                <w:sz w:val="22"/>
                <w:szCs w:val="24"/>
              </w:rPr>
              <w:t>7</w:t>
            </w:r>
            <w:r w:rsidRPr="00E07A7C">
              <w:rPr>
                <w:rFonts w:cs="Times New Roman"/>
                <w:sz w:val="22"/>
                <w:szCs w:val="24"/>
                <w:vertAlign w:val="superscript"/>
              </w:rPr>
              <w:t>th</w:t>
            </w:r>
            <w:r w:rsidRPr="00E07A7C">
              <w:rPr>
                <w:rFonts w:cs="Times New Roman"/>
                <w:sz w:val="22"/>
                <w:szCs w:val="24"/>
              </w:rPr>
              <w:t xml:space="preserve"> grade students</w:t>
            </w:r>
          </w:p>
          <w:p w14:paraId="0A250CB8" w14:textId="77777777" w:rsidR="00707077" w:rsidRPr="00E07A7C" w:rsidRDefault="00707077" w:rsidP="00707077">
            <w:pPr>
              <w:spacing w:line="276" w:lineRule="auto"/>
              <w:rPr>
                <w:rFonts w:cs="Times New Roman"/>
                <w:sz w:val="22"/>
                <w:szCs w:val="24"/>
              </w:rPr>
            </w:pPr>
          </w:p>
          <w:p w14:paraId="4A65B247" w14:textId="77777777" w:rsidR="00707077" w:rsidRPr="00E07A7C" w:rsidRDefault="00707077" w:rsidP="00707077">
            <w:pPr>
              <w:spacing w:line="276" w:lineRule="auto"/>
              <w:rPr>
                <w:rFonts w:cs="Times New Roman"/>
                <w:sz w:val="22"/>
                <w:szCs w:val="24"/>
              </w:rPr>
            </w:pPr>
            <w:r w:rsidRPr="00E07A7C">
              <w:rPr>
                <w:rFonts w:cs="Times New Roman"/>
                <w:sz w:val="22"/>
                <w:szCs w:val="24"/>
              </w:rPr>
              <w:t>N = 42</w:t>
            </w:r>
          </w:p>
          <w:p w14:paraId="3A7539EA" w14:textId="77777777" w:rsidR="00707077" w:rsidRPr="00E07A7C" w:rsidRDefault="00707077" w:rsidP="00707077">
            <w:pPr>
              <w:spacing w:line="276" w:lineRule="auto"/>
              <w:rPr>
                <w:rFonts w:cs="Times New Roman"/>
                <w:sz w:val="22"/>
                <w:szCs w:val="24"/>
              </w:rPr>
            </w:pPr>
          </w:p>
          <w:p w14:paraId="3E3BA3F8" w14:textId="77777777" w:rsidR="00707077" w:rsidRPr="00E07A7C" w:rsidRDefault="00707077" w:rsidP="00707077">
            <w:pPr>
              <w:spacing w:line="276" w:lineRule="auto"/>
              <w:rPr>
                <w:rFonts w:cs="Times New Roman"/>
                <w:sz w:val="22"/>
                <w:szCs w:val="24"/>
              </w:rPr>
            </w:pPr>
            <w:r w:rsidRPr="00E07A7C">
              <w:rPr>
                <w:rFonts w:cs="Times New Roman"/>
                <w:sz w:val="22"/>
                <w:szCs w:val="24"/>
              </w:rPr>
              <w:t>Mathematics achievement in struggling students.</w:t>
            </w:r>
          </w:p>
        </w:tc>
        <w:tc>
          <w:tcPr>
            <w:tcW w:w="1985" w:type="dxa"/>
          </w:tcPr>
          <w:p w14:paraId="110E3265"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Pretest-posttest control group design and 2-month follow-up to measure SRL and self-efficacy.</w:t>
            </w:r>
          </w:p>
          <w:p w14:paraId="68B0033D"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A two-way mixed design was used to assess exam results. Very similar to RCT design.</w:t>
            </w:r>
          </w:p>
        </w:tc>
        <w:tc>
          <w:tcPr>
            <w:tcW w:w="2425" w:type="dxa"/>
          </w:tcPr>
          <w:p w14:paraId="43791DFE"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Self-Regulation Empowerment Program (SREP). Coaches provide multiple sessions per week designed to build rapport </w:t>
            </w:r>
            <w:r w:rsidRPr="00E07A7C">
              <w:rPr>
                <w:rFonts w:cs="Times New Roman"/>
                <w:sz w:val="22"/>
                <w:szCs w:val="24"/>
              </w:rPr>
              <w:lastRenderedPageBreak/>
              <w:t>and engage students in SRL concepts for mathematics. Feedback is given on performance and used for reflection. Microanalysis used.</w:t>
            </w:r>
          </w:p>
        </w:tc>
        <w:tc>
          <w:tcPr>
            <w:tcW w:w="1843" w:type="dxa"/>
          </w:tcPr>
          <w:p w14:paraId="18806328"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Social cognitive and constructivist principles, Zimmerman’s model of SRL.</w:t>
            </w:r>
          </w:p>
        </w:tc>
        <w:tc>
          <w:tcPr>
            <w:tcW w:w="2126" w:type="dxa"/>
          </w:tcPr>
          <w:p w14:paraId="1068ACC2"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SRL processes (using microanalysis), hypothetical test preparation scenario, attributional beliefs, adaptive inferences, </w:t>
            </w:r>
            <w:r w:rsidRPr="00E07A7C">
              <w:rPr>
                <w:rFonts w:cs="Times New Roman"/>
                <w:sz w:val="22"/>
                <w:szCs w:val="24"/>
              </w:rPr>
              <w:lastRenderedPageBreak/>
              <w:t>self-efficacy, social validity, mathematics achievement</w:t>
            </w:r>
          </w:p>
        </w:tc>
        <w:tc>
          <w:tcPr>
            <w:tcW w:w="2581" w:type="dxa"/>
          </w:tcPr>
          <w:p w14:paraId="1AB83CEF"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Self-report measures yielded no significant differences between groups but SREP group showed more positive SRL behaviours than </w:t>
            </w:r>
            <w:r w:rsidRPr="00E07A7C">
              <w:rPr>
                <w:rFonts w:cs="Times New Roman"/>
                <w:sz w:val="22"/>
                <w:szCs w:val="24"/>
              </w:rPr>
              <w:lastRenderedPageBreak/>
              <w:t>control when measured using SRL microanalysis. The SREP group also achieved higher grades than the control over two years.</w:t>
            </w:r>
          </w:p>
        </w:tc>
      </w:tr>
      <w:tr w:rsidR="00707077" w:rsidRPr="00E07A7C" w14:paraId="18D84294" w14:textId="77777777" w:rsidTr="00AF4FFF">
        <w:tc>
          <w:tcPr>
            <w:tcW w:w="1798" w:type="dxa"/>
          </w:tcPr>
          <w:p w14:paraId="75CFC2C6"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lastRenderedPageBreak/>
              <w:t>Why Does This Learner Perform Poorly on Tests? Using Self-Regulated Learning Theory to Diagnose the Problem and Implement</w:t>
            </w:r>
          </w:p>
          <w:p w14:paraId="3E7027C8" w14:textId="77777777" w:rsidR="00707077" w:rsidRPr="00E07A7C" w:rsidRDefault="00707077" w:rsidP="00707077">
            <w:pPr>
              <w:spacing w:line="276" w:lineRule="auto"/>
              <w:rPr>
                <w:rFonts w:cs="Times New Roman"/>
                <w:noProof/>
                <w:sz w:val="22"/>
                <w:szCs w:val="24"/>
                <w:lang w:eastAsia="en-GB"/>
              </w:rPr>
            </w:pPr>
          </w:p>
          <w:p w14:paraId="6FB2F540"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Andrews, Mary A</w:t>
            </w:r>
          </w:p>
          <w:p w14:paraId="3F779109"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Kelly, William F</w:t>
            </w:r>
          </w:p>
          <w:p w14:paraId="6903D89D"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DeZee, Kent J</w:t>
            </w:r>
          </w:p>
          <w:p w14:paraId="5399F0C7" w14:textId="77777777" w:rsidR="00707077" w:rsidRPr="00E07A7C" w:rsidRDefault="00707077" w:rsidP="00707077">
            <w:pPr>
              <w:spacing w:line="276" w:lineRule="auto"/>
              <w:rPr>
                <w:rFonts w:cs="Times New Roman"/>
                <w:noProof/>
                <w:sz w:val="22"/>
                <w:szCs w:val="24"/>
                <w:lang w:eastAsia="en-GB"/>
              </w:rPr>
            </w:pPr>
          </w:p>
          <w:p w14:paraId="53B6D1CA" w14:textId="77777777" w:rsidR="00707077" w:rsidRPr="00E07A7C" w:rsidRDefault="00707077" w:rsidP="00707077">
            <w:pPr>
              <w:spacing w:line="276" w:lineRule="auto"/>
              <w:rPr>
                <w:rFonts w:cs="Times New Roman"/>
                <w:noProof/>
                <w:sz w:val="22"/>
                <w:szCs w:val="24"/>
                <w:lang w:eastAsia="en-GB"/>
              </w:rPr>
            </w:pPr>
            <w:r w:rsidRPr="00E07A7C">
              <w:rPr>
                <w:rFonts w:cs="Times New Roman"/>
                <w:noProof/>
                <w:sz w:val="22"/>
                <w:szCs w:val="24"/>
                <w:lang w:eastAsia="en-GB"/>
              </w:rPr>
              <w:t>2017</w:t>
            </w:r>
          </w:p>
        </w:tc>
        <w:tc>
          <w:tcPr>
            <w:tcW w:w="1701" w:type="dxa"/>
          </w:tcPr>
          <w:p w14:paraId="279B27DF"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065568A9" w14:textId="77777777" w:rsidR="00707077" w:rsidRPr="00E07A7C" w:rsidRDefault="00707077" w:rsidP="00707077">
            <w:pPr>
              <w:spacing w:line="276" w:lineRule="auto"/>
              <w:rPr>
                <w:rFonts w:cs="Times New Roman"/>
                <w:sz w:val="22"/>
                <w:szCs w:val="24"/>
              </w:rPr>
            </w:pPr>
          </w:p>
          <w:p w14:paraId="159CDC49" w14:textId="77777777" w:rsidR="00707077" w:rsidRPr="00E07A7C" w:rsidRDefault="00707077" w:rsidP="00707077">
            <w:pPr>
              <w:spacing w:line="276" w:lineRule="auto"/>
              <w:rPr>
                <w:rFonts w:cs="Times New Roman"/>
                <w:sz w:val="22"/>
                <w:szCs w:val="24"/>
              </w:rPr>
            </w:pPr>
            <w:r w:rsidRPr="00E07A7C">
              <w:rPr>
                <w:rFonts w:cs="Times New Roman"/>
                <w:sz w:val="22"/>
                <w:szCs w:val="24"/>
              </w:rPr>
              <w:t>Second-year internal</w:t>
            </w:r>
          </w:p>
          <w:p w14:paraId="3DBB9B89" w14:textId="77777777" w:rsidR="00707077" w:rsidRPr="00E07A7C" w:rsidRDefault="00707077" w:rsidP="00707077">
            <w:pPr>
              <w:spacing w:line="276" w:lineRule="auto"/>
              <w:rPr>
                <w:rFonts w:cs="Times New Roman"/>
                <w:sz w:val="22"/>
                <w:szCs w:val="24"/>
              </w:rPr>
            </w:pPr>
            <w:r w:rsidRPr="00E07A7C">
              <w:rPr>
                <w:rFonts w:cs="Times New Roman"/>
                <w:sz w:val="22"/>
                <w:szCs w:val="24"/>
              </w:rPr>
              <w:t>medicine residents</w:t>
            </w:r>
          </w:p>
          <w:p w14:paraId="614AA764" w14:textId="77777777" w:rsidR="00707077" w:rsidRPr="00E07A7C" w:rsidRDefault="00707077" w:rsidP="00707077">
            <w:pPr>
              <w:spacing w:line="276" w:lineRule="auto"/>
              <w:rPr>
                <w:rFonts w:cs="Times New Roman"/>
                <w:sz w:val="22"/>
                <w:szCs w:val="24"/>
              </w:rPr>
            </w:pPr>
          </w:p>
          <w:p w14:paraId="08049241" w14:textId="77777777" w:rsidR="00707077" w:rsidRPr="00E07A7C" w:rsidRDefault="00707077" w:rsidP="00707077">
            <w:pPr>
              <w:spacing w:line="276" w:lineRule="auto"/>
              <w:rPr>
                <w:rFonts w:cs="Times New Roman"/>
                <w:sz w:val="22"/>
                <w:szCs w:val="24"/>
              </w:rPr>
            </w:pPr>
            <w:r w:rsidRPr="00E07A7C">
              <w:rPr>
                <w:rFonts w:cs="Times New Roman"/>
                <w:sz w:val="22"/>
                <w:szCs w:val="24"/>
              </w:rPr>
              <w:t>N = 16</w:t>
            </w:r>
          </w:p>
          <w:p w14:paraId="326B82CF" w14:textId="77777777" w:rsidR="00707077" w:rsidRPr="00E07A7C" w:rsidRDefault="00707077" w:rsidP="00707077">
            <w:pPr>
              <w:spacing w:line="276" w:lineRule="auto"/>
              <w:rPr>
                <w:rFonts w:cs="Times New Roman"/>
                <w:sz w:val="22"/>
                <w:szCs w:val="24"/>
              </w:rPr>
            </w:pPr>
          </w:p>
          <w:p w14:paraId="618605B4" w14:textId="77777777" w:rsidR="00707077" w:rsidRPr="00E07A7C" w:rsidRDefault="00707077" w:rsidP="00707077">
            <w:pPr>
              <w:spacing w:line="276" w:lineRule="auto"/>
              <w:rPr>
                <w:rFonts w:cs="Times New Roman"/>
                <w:sz w:val="22"/>
                <w:szCs w:val="24"/>
              </w:rPr>
            </w:pPr>
            <w:r w:rsidRPr="00E07A7C">
              <w:rPr>
                <w:rFonts w:cs="Times New Roman"/>
                <w:sz w:val="22"/>
                <w:szCs w:val="24"/>
              </w:rPr>
              <w:t>Medical education (clinical exam test taking)</w:t>
            </w:r>
          </w:p>
        </w:tc>
        <w:tc>
          <w:tcPr>
            <w:tcW w:w="1985" w:type="dxa"/>
          </w:tcPr>
          <w:p w14:paraId="6D95C7AB" w14:textId="77777777" w:rsidR="00707077" w:rsidRPr="00E07A7C" w:rsidRDefault="00707077" w:rsidP="00707077">
            <w:pPr>
              <w:spacing w:line="276" w:lineRule="auto"/>
              <w:rPr>
                <w:rFonts w:cs="Times New Roman"/>
                <w:sz w:val="22"/>
                <w:szCs w:val="24"/>
              </w:rPr>
            </w:pPr>
            <w:r w:rsidRPr="00E07A7C">
              <w:rPr>
                <w:rFonts w:cs="Times New Roman"/>
                <w:sz w:val="22"/>
                <w:szCs w:val="24"/>
              </w:rPr>
              <w:t>Single group design, single measure, no comparison or control group, not randomised, no baseline.</w:t>
            </w:r>
          </w:p>
        </w:tc>
        <w:tc>
          <w:tcPr>
            <w:tcW w:w="2425" w:type="dxa"/>
          </w:tcPr>
          <w:p w14:paraId="2619DFF0" w14:textId="77777777" w:rsidR="00707077" w:rsidRPr="00E07A7C" w:rsidRDefault="00707077" w:rsidP="00707077">
            <w:pPr>
              <w:spacing w:line="276" w:lineRule="auto"/>
              <w:rPr>
                <w:rFonts w:cs="Times New Roman"/>
                <w:sz w:val="22"/>
                <w:szCs w:val="24"/>
              </w:rPr>
            </w:pPr>
            <w:r w:rsidRPr="00E07A7C">
              <w:rPr>
                <w:rFonts w:cs="Times New Roman"/>
                <w:sz w:val="22"/>
                <w:szCs w:val="24"/>
              </w:rPr>
              <w:t>SRL microanalytic assessment and training approach. Applied to students answering a multiple-choice, clinical vignette test question. Questions asked before and after task. Think aloud protocol used also. Feedback is outcome focused (pass/fail).</w:t>
            </w:r>
          </w:p>
        </w:tc>
        <w:tc>
          <w:tcPr>
            <w:tcW w:w="1843" w:type="dxa"/>
          </w:tcPr>
          <w:p w14:paraId="49B0B48E" w14:textId="77777777" w:rsidR="00707077" w:rsidRPr="00E07A7C" w:rsidRDefault="00707077" w:rsidP="00707077">
            <w:pPr>
              <w:spacing w:line="276" w:lineRule="auto"/>
              <w:rPr>
                <w:rFonts w:cs="Times New Roman"/>
                <w:sz w:val="22"/>
                <w:szCs w:val="24"/>
              </w:rPr>
            </w:pPr>
            <w:r w:rsidRPr="00E07A7C">
              <w:rPr>
                <w:rFonts w:cs="Times New Roman"/>
                <w:sz w:val="22"/>
                <w:szCs w:val="24"/>
              </w:rPr>
              <w:t>None explicitly used. SRL theory is briefly discussed in the introduction. SRL microanalysis is based on Zimmerman’s model but not mentioned here.</w:t>
            </w:r>
          </w:p>
        </w:tc>
        <w:tc>
          <w:tcPr>
            <w:tcW w:w="2126" w:type="dxa"/>
          </w:tcPr>
          <w:p w14:paraId="1B0B9889" w14:textId="77777777" w:rsidR="00707077" w:rsidRPr="00E07A7C" w:rsidRDefault="00707077" w:rsidP="00707077">
            <w:pPr>
              <w:spacing w:line="276" w:lineRule="auto"/>
              <w:rPr>
                <w:rFonts w:cs="Times New Roman"/>
                <w:sz w:val="22"/>
                <w:szCs w:val="24"/>
              </w:rPr>
            </w:pPr>
            <w:r w:rsidRPr="00E07A7C">
              <w:rPr>
                <w:rFonts w:cs="Times New Roman"/>
                <w:sz w:val="22"/>
                <w:szCs w:val="24"/>
              </w:rPr>
              <w:t>Test taking performance, SRL processes (task strategies, metacognitive monitoring, self-evaluation, attributions, and adaptive inferences)</w:t>
            </w:r>
          </w:p>
        </w:tc>
        <w:tc>
          <w:tcPr>
            <w:tcW w:w="2581" w:type="dxa"/>
          </w:tcPr>
          <w:p w14:paraId="26E7774B" w14:textId="77777777" w:rsidR="00707077" w:rsidRPr="00E07A7C" w:rsidRDefault="00707077" w:rsidP="00707077">
            <w:pPr>
              <w:spacing w:line="276" w:lineRule="auto"/>
              <w:rPr>
                <w:rFonts w:cs="Times New Roman"/>
                <w:sz w:val="22"/>
                <w:szCs w:val="24"/>
              </w:rPr>
            </w:pPr>
            <w:r w:rsidRPr="00E07A7C">
              <w:rPr>
                <w:rFonts w:cs="Times New Roman"/>
                <w:sz w:val="22"/>
                <w:szCs w:val="24"/>
              </w:rPr>
              <w:t>SRL-based assessment of test-taking performance was a useful means of diagnosing and remediating struggling test takers. It also improved performance compared to a universal average of students at that level although no before/after measures were used. Identified several test-taking deficiencies related to SRL.</w:t>
            </w:r>
          </w:p>
        </w:tc>
      </w:tr>
      <w:tr w:rsidR="00707077" w:rsidRPr="00E07A7C" w14:paraId="36289B73" w14:textId="77777777" w:rsidTr="00AF4FFF">
        <w:tc>
          <w:tcPr>
            <w:tcW w:w="1798" w:type="dxa"/>
            <w:hideMark/>
          </w:tcPr>
          <w:p w14:paraId="3B7EE26F"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Examining shifts in medical students' microanalytic motivation beliefs and regulatory processes during a diagnostic reasoning task</w:t>
            </w:r>
          </w:p>
          <w:p w14:paraId="0DC19EC9" w14:textId="77777777" w:rsidR="00707077" w:rsidRPr="00E07A7C" w:rsidRDefault="00707077" w:rsidP="00707077">
            <w:pPr>
              <w:spacing w:line="276" w:lineRule="auto"/>
              <w:rPr>
                <w:rFonts w:cs="Times New Roman"/>
                <w:sz w:val="22"/>
                <w:szCs w:val="24"/>
              </w:rPr>
            </w:pPr>
          </w:p>
          <w:p w14:paraId="57F52C0E" w14:textId="77777777" w:rsidR="00707077" w:rsidRPr="00E07A7C" w:rsidRDefault="00707077" w:rsidP="00707077">
            <w:pPr>
              <w:spacing w:line="276" w:lineRule="auto"/>
              <w:rPr>
                <w:rFonts w:cs="Times New Roman"/>
                <w:sz w:val="22"/>
                <w:szCs w:val="24"/>
              </w:rPr>
            </w:pPr>
            <w:r w:rsidRPr="00E07A7C">
              <w:rPr>
                <w:rFonts w:cs="Times New Roman"/>
                <w:sz w:val="22"/>
                <w:szCs w:val="24"/>
              </w:rPr>
              <w:t>Cleary, Timothy J. ;Dong, Ting ;Artino, Anthony R.</w:t>
            </w:r>
          </w:p>
          <w:p w14:paraId="73A80746" w14:textId="77777777" w:rsidR="00707077" w:rsidRPr="00E07A7C" w:rsidRDefault="00707077" w:rsidP="00707077">
            <w:pPr>
              <w:spacing w:line="276" w:lineRule="auto"/>
              <w:rPr>
                <w:rFonts w:cs="Times New Roman"/>
                <w:sz w:val="22"/>
                <w:szCs w:val="24"/>
              </w:rPr>
            </w:pPr>
          </w:p>
          <w:p w14:paraId="102C01BE" w14:textId="77777777" w:rsidR="00707077" w:rsidRPr="00E07A7C" w:rsidRDefault="00707077" w:rsidP="00707077">
            <w:pPr>
              <w:spacing w:line="276" w:lineRule="auto"/>
              <w:rPr>
                <w:rFonts w:cs="Times New Roman"/>
                <w:sz w:val="22"/>
                <w:szCs w:val="24"/>
              </w:rPr>
            </w:pPr>
            <w:r w:rsidRPr="00E07A7C">
              <w:rPr>
                <w:rFonts w:cs="Times New Roman"/>
                <w:sz w:val="22"/>
                <w:szCs w:val="24"/>
              </w:rPr>
              <w:t>2014</w:t>
            </w:r>
          </w:p>
        </w:tc>
        <w:tc>
          <w:tcPr>
            <w:tcW w:w="1701" w:type="dxa"/>
          </w:tcPr>
          <w:p w14:paraId="034B8C80"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0459C001" w14:textId="77777777" w:rsidR="00707077" w:rsidRPr="00E07A7C" w:rsidRDefault="00707077" w:rsidP="00707077">
            <w:pPr>
              <w:spacing w:line="276" w:lineRule="auto"/>
              <w:rPr>
                <w:rFonts w:cs="Times New Roman"/>
                <w:sz w:val="22"/>
                <w:szCs w:val="24"/>
              </w:rPr>
            </w:pPr>
          </w:p>
          <w:p w14:paraId="02278E02" w14:textId="77777777" w:rsidR="00707077" w:rsidRPr="00E07A7C" w:rsidRDefault="00707077" w:rsidP="00707077">
            <w:pPr>
              <w:spacing w:line="276" w:lineRule="auto"/>
              <w:rPr>
                <w:rFonts w:cs="Times New Roman"/>
                <w:sz w:val="22"/>
                <w:szCs w:val="24"/>
              </w:rPr>
            </w:pPr>
            <w:r w:rsidRPr="00E07A7C">
              <w:rPr>
                <w:rFonts w:cs="Times New Roman"/>
                <w:sz w:val="22"/>
                <w:szCs w:val="24"/>
              </w:rPr>
              <w:t>2</w:t>
            </w:r>
            <w:r w:rsidRPr="00E07A7C">
              <w:rPr>
                <w:rFonts w:cs="Times New Roman"/>
                <w:sz w:val="22"/>
                <w:szCs w:val="24"/>
                <w:vertAlign w:val="superscript"/>
              </w:rPr>
              <w:t>nd</w:t>
            </w:r>
            <w:r w:rsidRPr="00E07A7C">
              <w:rPr>
                <w:rFonts w:cs="Times New Roman"/>
                <w:sz w:val="22"/>
                <w:szCs w:val="24"/>
              </w:rPr>
              <w:t xml:space="preserve"> year medical students</w:t>
            </w:r>
          </w:p>
          <w:p w14:paraId="427F8A34" w14:textId="77777777" w:rsidR="00707077" w:rsidRPr="00E07A7C" w:rsidRDefault="00707077" w:rsidP="00707077">
            <w:pPr>
              <w:spacing w:line="276" w:lineRule="auto"/>
              <w:rPr>
                <w:rFonts w:cs="Times New Roman"/>
                <w:sz w:val="22"/>
                <w:szCs w:val="24"/>
              </w:rPr>
            </w:pPr>
          </w:p>
          <w:p w14:paraId="31E5D346" w14:textId="77777777" w:rsidR="00707077" w:rsidRPr="00E07A7C" w:rsidRDefault="00707077" w:rsidP="00707077">
            <w:pPr>
              <w:spacing w:line="276" w:lineRule="auto"/>
              <w:rPr>
                <w:rFonts w:cs="Times New Roman"/>
                <w:sz w:val="22"/>
                <w:szCs w:val="24"/>
              </w:rPr>
            </w:pPr>
            <w:r w:rsidRPr="00E07A7C">
              <w:rPr>
                <w:rFonts w:cs="Times New Roman"/>
                <w:sz w:val="22"/>
                <w:szCs w:val="24"/>
              </w:rPr>
              <w:t>N = 71</w:t>
            </w:r>
          </w:p>
          <w:p w14:paraId="58E6FAF8" w14:textId="77777777" w:rsidR="00707077" w:rsidRPr="00E07A7C" w:rsidRDefault="00707077" w:rsidP="00707077">
            <w:pPr>
              <w:spacing w:line="276" w:lineRule="auto"/>
              <w:rPr>
                <w:rFonts w:cs="Times New Roman"/>
                <w:sz w:val="22"/>
                <w:szCs w:val="24"/>
              </w:rPr>
            </w:pPr>
          </w:p>
          <w:p w14:paraId="3036F46E" w14:textId="77777777" w:rsidR="00707077" w:rsidRPr="00E07A7C" w:rsidRDefault="00707077" w:rsidP="00707077">
            <w:pPr>
              <w:spacing w:line="276" w:lineRule="auto"/>
              <w:rPr>
                <w:rFonts w:cs="Times New Roman"/>
                <w:sz w:val="22"/>
                <w:szCs w:val="24"/>
              </w:rPr>
            </w:pPr>
            <w:r w:rsidRPr="00E07A7C">
              <w:rPr>
                <w:rFonts w:cs="Times New Roman"/>
                <w:sz w:val="22"/>
                <w:szCs w:val="24"/>
              </w:rPr>
              <w:t>Medical education (Diagnostic decision making)</w:t>
            </w:r>
          </w:p>
        </w:tc>
        <w:tc>
          <w:tcPr>
            <w:tcW w:w="1985" w:type="dxa"/>
          </w:tcPr>
          <w:p w14:paraId="474BEEDC" w14:textId="77777777" w:rsidR="00707077" w:rsidRPr="00E07A7C" w:rsidRDefault="00707077" w:rsidP="00707077">
            <w:pPr>
              <w:spacing w:line="276" w:lineRule="auto"/>
              <w:rPr>
                <w:rFonts w:cs="Times New Roman"/>
                <w:sz w:val="22"/>
                <w:szCs w:val="24"/>
              </w:rPr>
            </w:pPr>
            <w:r w:rsidRPr="00E07A7C">
              <w:rPr>
                <w:rFonts w:cs="Times New Roman"/>
                <w:sz w:val="22"/>
                <w:szCs w:val="24"/>
              </w:rPr>
              <w:t>Within groups design, repeated measures, single group, no comparison or control groups, randomised, no baseline</w:t>
            </w:r>
          </w:p>
        </w:tc>
        <w:tc>
          <w:tcPr>
            <w:tcW w:w="2425" w:type="dxa"/>
          </w:tcPr>
          <w:p w14:paraId="47175207" w14:textId="77777777" w:rsidR="00707077" w:rsidRPr="00E07A7C" w:rsidRDefault="00707077" w:rsidP="00707077">
            <w:pPr>
              <w:spacing w:line="276" w:lineRule="auto"/>
              <w:rPr>
                <w:rFonts w:cs="Times New Roman"/>
                <w:sz w:val="22"/>
                <w:szCs w:val="24"/>
              </w:rPr>
            </w:pPr>
            <w:r w:rsidRPr="00E07A7C">
              <w:rPr>
                <w:rFonts w:cs="Times New Roman"/>
                <w:sz w:val="22"/>
                <w:szCs w:val="24"/>
              </w:rPr>
              <w:t>Targeted shifts in strategic SRL and motivation beliefs. Two iterations of a specific cased based diagnostic reasoning scenario. Microanalytic questioning. Negative, corrective feedback</w:t>
            </w:r>
          </w:p>
        </w:tc>
        <w:tc>
          <w:tcPr>
            <w:tcW w:w="1843" w:type="dxa"/>
          </w:tcPr>
          <w:p w14:paraId="64B2A3CB" w14:textId="3ADCF833" w:rsidR="00707077" w:rsidRPr="00E07A7C" w:rsidRDefault="00707077" w:rsidP="00707077">
            <w:pPr>
              <w:spacing w:line="276" w:lineRule="auto"/>
              <w:rPr>
                <w:rFonts w:cs="Times New Roman"/>
                <w:sz w:val="22"/>
                <w:szCs w:val="24"/>
              </w:rPr>
            </w:pPr>
            <w:r w:rsidRPr="00E07A7C">
              <w:rPr>
                <w:rFonts w:cs="Times New Roman"/>
                <w:sz w:val="22"/>
                <w:szCs w:val="24"/>
              </w:rPr>
              <w:t xml:space="preserve">Three phase cyclical feedback loop adapted from Zimmerman’s model of self-regulation, </w:t>
            </w:r>
            <w:r w:rsidR="00F17F73" w:rsidRPr="00E07A7C">
              <w:rPr>
                <w:rFonts w:cs="Times New Roman"/>
                <w:sz w:val="22"/>
                <w:szCs w:val="24"/>
              </w:rPr>
              <w:t>social cognitive</w:t>
            </w:r>
            <w:r w:rsidRPr="00E07A7C">
              <w:rPr>
                <w:rFonts w:cs="Times New Roman"/>
                <w:sz w:val="22"/>
                <w:szCs w:val="24"/>
              </w:rPr>
              <w:t xml:space="preserve"> view, full conceptual model</w:t>
            </w:r>
          </w:p>
        </w:tc>
        <w:tc>
          <w:tcPr>
            <w:tcW w:w="2126" w:type="dxa"/>
          </w:tcPr>
          <w:p w14:paraId="34428700" w14:textId="77777777" w:rsidR="00707077" w:rsidRPr="00E07A7C" w:rsidRDefault="00707077" w:rsidP="00707077">
            <w:pPr>
              <w:spacing w:line="276" w:lineRule="auto"/>
              <w:rPr>
                <w:rFonts w:cs="Times New Roman"/>
                <w:sz w:val="22"/>
                <w:szCs w:val="24"/>
              </w:rPr>
            </w:pPr>
            <w:r w:rsidRPr="00E07A7C">
              <w:rPr>
                <w:rFonts w:cs="Times New Roman"/>
                <w:sz w:val="22"/>
                <w:szCs w:val="24"/>
              </w:rPr>
              <w:t>Self-efficacy, shifts in SRL processes, strategic planning, metacognitive monitoring, performance outcome measure</w:t>
            </w:r>
          </w:p>
        </w:tc>
        <w:tc>
          <w:tcPr>
            <w:tcW w:w="2581" w:type="dxa"/>
          </w:tcPr>
          <w:p w14:paraId="7741E62F"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Decline in self-efficacy linked to declines in metacognitive monitoring and strategic engagement as they progressed. </w:t>
            </w:r>
          </w:p>
        </w:tc>
      </w:tr>
      <w:tr w:rsidR="00707077" w:rsidRPr="00E07A7C" w14:paraId="62417765" w14:textId="77777777" w:rsidTr="00AF4FFF">
        <w:tc>
          <w:tcPr>
            <w:tcW w:w="1798" w:type="dxa"/>
            <w:hideMark/>
          </w:tcPr>
          <w:p w14:paraId="4EE066B7" w14:textId="77777777" w:rsidR="00707077" w:rsidRPr="00E07A7C" w:rsidRDefault="00707077" w:rsidP="00707077">
            <w:pPr>
              <w:spacing w:line="276" w:lineRule="auto"/>
              <w:rPr>
                <w:rFonts w:cs="Times New Roman"/>
                <w:sz w:val="22"/>
                <w:szCs w:val="24"/>
              </w:rPr>
            </w:pPr>
            <w:r w:rsidRPr="00E07A7C">
              <w:rPr>
                <w:rFonts w:cs="Times New Roman"/>
                <w:sz w:val="22"/>
                <w:szCs w:val="24"/>
              </w:rPr>
              <w:t>Training physical education students to self-regulate during basketball free throw practice</w:t>
            </w:r>
          </w:p>
          <w:p w14:paraId="11D14F74" w14:textId="77777777" w:rsidR="00707077" w:rsidRPr="00E07A7C" w:rsidRDefault="00707077" w:rsidP="00707077">
            <w:pPr>
              <w:spacing w:line="276" w:lineRule="auto"/>
              <w:rPr>
                <w:rFonts w:cs="Times New Roman"/>
                <w:sz w:val="22"/>
                <w:szCs w:val="24"/>
              </w:rPr>
            </w:pPr>
          </w:p>
          <w:p w14:paraId="25E1C7DE" w14:textId="77777777" w:rsidR="00707077" w:rsidRPr="00E07A7C" w:rsidRDefault="00707077" w:rsidP="00707077">
            <w:pPr>
              <w:spacing w:line="276" w:lineRule="auto"/>
              <w:rPr>
                <w:rFonts w:cs="Times New Roman"/>
                <w:sz w:val="22"/>
                <w:szCs w:val="24"/>
              </w:rPr>
            </w:pPr>
            <w:r w:rsidRPr="00E07A7C">
              <w:rPr>
                <w:rFonts w:cs="Times New Roman"/>
                <w:sz w:val="22"/>
                <w:szCs w:val="24"/>
              </w:rPr>
              <w:t>Cleary, T. J. ;Zimmerman, B. J. ;Keating, T.</w:t>
            </w:r>
          </w:p>
          <w:p w14:paraId="61BD685D" w14:textId="77777777" w:rsidR="00707077" w:rsidRPr="00E07A7C" w:rsidRDefault="00707077" w:rsidP="00707077">
            <w:pPr>
              <w:spacing w:line="276" w:lineRule="auto"/>
              <w:rPr>
                <w:rFonts w:cs="Times New Roman"/>
                <w:sz w:val="22"/>
                <w:szCs w:val="24"/>
              </w:rPr>
            </w:pPr>
          </w:p>
          <w:p w14:paraId="3A599406"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2006</w:t>
            </w:r>
          </w:p>
        </w:tc>
        <w:tc>
          <w:tcPr>
            <w:tcW w:w="1701" w:type="dxa"/>
          </w:tcPr>
          <w:p w14:paraId="199074A9"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USA</w:t>
            </w:r>
          </w:p>
          <w:p w14:paraId="55D84000" w14:textId="77777777" w:rsidR="00707077" w:rsidRPr="00E07A7C" w:rsidRDefault="00707077" w:rsidP="00707077">
            <w:pPr>
              <w:spacing w:line="276" w:lineRule="auto"/>
              <w:rPr>
                <w:rFonts w:cs="Times New Roman"/>
                <w:sz w:val="22"/>
                <w:szCs w:val="24"/>
              </w:rPr>
            </w:pPr>
          </w:p>
          <w:p w14:paraId="641C1A36"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University  students from P.E. classes </w:t>
            </w:r>
          </w:p>
          <w:p w14:paraId="25267E22" w14:textId="77777777" w:rsidR="00707077" w:rsidRPr="00E07A7C" w:rsidRDefault="00707077" w:rsidP="00707077">
            <w:pPr>
              <w:spacing w:line="276" w:lineRule="auto"/>
              <w:rPr>
                <w:rFonts w:cs="Times New Roman"/>
                <w:sz w:val="22"/>
                <w:szCs w:val="24"/>
              </w:rPr>
            </w:pPr>
          </w:p>
          <w:p w14:paraId="50C1A323" w14:textId="77777777" w:rsidR="00707077" w:rsidRPr="00E07A7C" w:rsidRDefault="00707077" w:rsidP="00707077">
            <w:pPr>
              <w:spacing w:line="276" w:lineRule="auto"/>
              <w:rPr>
                <w:rFonts w:cs="Times New Roman"/>
                <w:sz w:val="22"/>
                <w:szCs w:val="24"/>
              </w:rPr>
            </w:pPr>
            <w:r w:rsidRPr="00E07A7C">
              <w:rPr>
                <w:rFonts w:cs="Times New Roman"/>
                <w:sz w:val="22"/>
                <w:szCs w:val="24"/>
              </w:rPr>
              <w:t>N = 50</w:t>
            </w:r>
          </w:p>
          <w:p w14:paraId="2F9C45D1" w14:textId="77777777" w:rsidR="00707077" w:rsidRPr="00E07A7C" w:rsidRDefault="00707077" w:rsidP="00707077">
            <w:pPr>
              <w:spacing w:line="276" w:lineRule="auto"/>
              <w:rPr>
                <w:rFonts w:cs="Times New Roman"/>
                <w:sz w:val="22"/>
                <w:szCs w:val="24"/>
              </w:rPr>
            </w:pPr>
          </w:p>
          <w:p w14:paraId="192F1D13" w14:textId="77777777" w:rsidR="00707077" w:rsidRPr="00E07A7C" w:rsidRDefault="00707077" w:rsidP="00707077">
            <w:pPr>
              <w:spacing w:line="276" w:lineRule="auto"/>
              <w:rPr>
                <w:rFonts w:cs="Times New Roman"/>
                <w:sz w:val="22"/>
                <w:szCs w:val="24"/>
              </w:rPr>
            </w:pPr>
            <w:r w:rsidRPr="00E07A7C">
              <w:rPr>
                <w:rFonts w:cs="Times New Roman"/>
                <w:sz w:val="22"/>
                <w:szCs w:val="24"/>
              </w:rPr>
              <w:t>Sport (basketball free throws)</w:t>
            </w:r>
          </w:p>
        </w:tc>
        <w:tc>
          <w:tcPr>
            <w:tcW w:w="1985" w:type="dxa"/>
          </w:tcPr>
          <w:p w14:paraId="3F7B1395" w14:textId="77777777" w:rsidR="00707077" w:rsidRPr="00E07A7C" w:rsidRDefault="00707077" w:rsidP="00707077">
            <w:pPr>
              <w:spacing w:line="276" w:lineRule="auto"/>
              <w:rPr>
                <w:rFonts w:cs="Times New Roman"/>
                <w:sz w:val="22"/>
                <w:szCs w:val="24"/>
              </w:rPr>
            </w:pPr>
            <w:r w:rsidRPr="00E07A7C">
              <w:rPr>
                <w:rFonts w:cs="Times New Roman"/>
                <w:sz w:val="22"/>
                <w:szCs w:val="24"/>
              </w:rPr>
              <w:t>5 groups (3 experimental and 2 controls) 5 conditions, single measure, between groups analysis.</w:t>
            </w:r>
          </w:p>
          <w:p w14:paraId="6FAAFF03"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Assesses effectiveness of giving feedback on certain areas of performance </w:t>
            </w:r>
            <w:r w:rsidRPr="00E07A7C">
              <w:rPr>
                <w:rFonts w:cs="Times New Roman"/>
                <w:sz w:val="22"/>
                <w:szCs w:val="24"/>
              </w:rPr>
              <w:lastRenderedPageBreak/>
              <w:t>relating to the 3 areas of SRL using a microanalytic assessment. Randomised, no baseline</w:t>
            </w:r>
          </w:p>
        </w:tc>
        <w:tc>
          <w:tcPr>
            <w:tcW w:w="2425" w:type="dxa"/>
          </w:tcPr>
          <w:p w14:paraId="0E0605A9"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All groups receive shooting instructions. Experimental groups get SRL info, 1 of the three get three phase SRL info, one other group gets 2-phase and the last gets 1 phase SRL info, feedback is self-conducted using a report form (not external), </w:t>
            </w:r>
            <w:r w:rsidRPr="00E07A7C">
              <w:rPr>
                <w:rFonts w:cs="Times New Roman"/>
                <w:sz w:val="22"/>
                <w:szCs w:val="24"/>
              </w:rPr>
              <w:lastRenderedPageBreak/>
              <w:t>microanalysis used to assess SRL.</w:t>
            </w:r>
          </w:p>
        </w:tc>
        <w:tc>
          <w:tcPr>
            <w:tcW w:w="1843" w:type="dxa"/>
          </w:tcPr>
          <w:p w14:paraId="1813E9B5" w14:textId="5F3081CF" w:rsidR="00707077" w:rsidRPr="00E07A7C" w:rsidRDefault="00F17F73" w:rsidP="00707077">
            <w:pPr>
              <w:spacing w:line="276" w:lineRule="auto"/>
              <w:rPr>
                <w:rFonts w:cs="Times New Roman"/>
                <w:sz w:val="22"/>
                <w:szCs w:val="24"/>
              </w:rPr>
            </w:pPr>
            <w:r w:rsidRPr="00E07A7C">
              <w:rPr>
                <w:rFonts w:cs="Times New Roman"/>
                <w:sz w:val="22"/>
                <w:szCs w:val="24"/>
              </w:rPr>
              <w:lastRenderedPageBreak/>
              <w:t>Social cognitive</w:t>
            </w:r>
            <w:r w:rsidR="00707077" w:rsidRPr="00E07A7C">
              <w:rPr>
                <w:rFonts w:cs="Times New Roman"/>
                <w:sz w:val="22"/>
                <w:szCs w:val="24"/>
              </w:rPr>
              <w:t>, SRL microanalysis, 3 phase cyclical model, conceptual framework detailed</w:t>
            </w:r>
          </w:p>
        </w:tc>
        <w:tc>
          <w:tcPr>
            <w:tcW w:w="2126" w:type="dxa"/>
          </w:tcPr>
          <w:p w14:paraId="4EF978E7" w14:textId="77777777" w:rsidR="00707077" w:rsidRPr="00E07A7C" w:rsidRDefault="00707077" w:rsidP="00707077">
            <w:pPr>
              <w:spacing w:line="276" w:lineRule="auto"/>
              <w:rPr>
                <w:rFonts w:cs="Times New Roman"/>
                <w:sz w:val="22"/>
                <w:szCs w:val="24"/>
              </w:rPr>
            </w:pPr>
            <w:r w:rsidRPr="00E07A7C">
              <w:rPr>
                <w:rFonts w:cs="Times New Roman"/>
                <w:sz w:val="22"/>
                <w:szCs w:val="24"/>
              </w:rPr>
              <w:t>Performance based measures (Shooting performance, shooting adaptation), self-judgement measures (self-evaluation, attribution scale), self-reaction measure (adaptive inferences)</w:t>
            </w:r>
          </w:p>
        </w:tc>
        <w:tc>
          <w:tcPr>
            <w:tcW w:w="2581" w:type="dxa"/>
          </w:tcPr>
          <w:p w14:paraId="53A01FF1"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Greater SRL info given leads to increased shooting performance and adaptions, self-judgement measures and self-reaction measures. SRL groups focused more on process than outcome like the control group did, adaptive inferences attributed to specific </w:t>
            </w:r>
            <w:r w:rsidRPr="00E07A7C">
              <w:rPr>
                <w:rFonts w:cs="Times New Roman"/>
                <w:sz w:val="22"/>
                <w:szCs w:val="24"/>
              </w:rPr>
              <w:lastRenderedPageBreak/>
              <w:t xml:space="preserve">technique rather than ubiquitous factors,  </w:t>
            </w:r>
          </w:p>
          <w:p w14:paraId="40F63B37" w14:textId="77777777" w:rsidR="00707077" w:rsidRPr="00E07A7C" w:rsidRDefault="00707077" w:rsidP="00707077">
            <w:pPr>
              <w:spacing w:line="276" w:lineRule="auto"/>
              <w:rPr>
                <w:rFonts w:cs="Times New Roman"/>
                <w:sz w:val="22"/>
                <w:szCs w:val="24"/>
              </w:rPr>
            </w:pPr>
          </w:p>
          <w:p w14:paraId="414A7E94" w14:textId="77777777" w:rsidR="00707077" w:rsidRPr="00E07A7C" w:rsidRDefault="00707077" w:rsidP="00707077">
            <w:pPr>
              <w:tabs>
                <w:tab w:val="left" w:pos="2450"/>
              </w:tabs>
              <w:spacing w:line="276" w:lineRule="auto"/>
              <w:rPr>
                <w:rFonts w:cs="Times New Roman"/>
                <w:sz w:val="22"/>
                <w:szCs w:val="24"/>
              </w:rPr>
            </w:pPr>
            <w:r w:rsidRPr="00E07A7C">
              <w:rPr>
                <w:rFonts w:cs="Times New Roman"/>
                <w:sz w:val="22"/>
                <w:szCs w:val="24"/>
              </w:rPr>
              <w:tab/>
            </w:r>
          </w:p>
          <w:p w14:paraId="61E6C62F" w14:textId="77777777" w:rsidR="00707077" w:rsidRPr="00E07A7C" w:rsidRDefault="00707077" w:rsidP="00707077">
            <w:pPr>
              <w:tabs>
                <w:tab w:val="left" w:pos="2040"/>
              </w:tabs>
              <w:spacing w:line="276" w:lineRule="auto"/>
              <w:rPr>
                <w:rFonts w:cs="Times New Roman"/>
                <w:sz w:val="22"/>
                <w:szCs w:val="24"/>
              </w:rPr>
            </w:pPr>
            <w:r w:rsidRPr="00E07A7C">
              <w:rPr>
                <w:rFonts w:cs="Times New Roman"/>
                <w:sz w:val="22"/>
                <w:szCs w:val="24"/>
              </w:rPr>
              <w:tab/>
            </w:r>
          </w:p>
          <w:p w14:paraId="6D4DF1C8" w14:textId="77777777" w:rsidR="00707077" w:rsidRPr="00E07A7C" w:rsidRDefault="00707077" w:rsidP="00707077">
            <w:pPr>
              <w:tabs>
                <w:tab w:val="left" w:pos="2412"/>
              </w:tabs>
              <w:spacing w:line="276" w:lineRule="auto"/>
              <w:rPr>
                <w:rFonts w:cs="Times New Roman"/>
                <w:sz w:val="22"/>
                <w:szCs w:val="24"/>
              </w:rPr>
            </w:pPr>
            <w:r w:rsidRPr="00E07A7C">
              <w:rPr>
                <w:rFonts w:cs="Times New Roman"/>
                <w:sz w:val="22"/>
                <w:szCs w:val="24"/>
              </w:rPr>
              <w:tab/>
            </w:r>
          </w:p>
        </w:tc>
      </w:tr>
      <w:tr w:rsidR="00707077" w:rsidRPr="00E07A7C" w14:paraId="0E83D1D2" w14:textId="77777777" w:rsidTr="00AF4FFF">
        <w:tc>
          <w:tcPr>
            <w:tcW w:w="1798" w:type="dxa"/>
          </w:tcPr>
          <w:p w14:paraId="048E53B5"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Using Technology to Enhance Mathematical</w:t>
            </w:r>
          </w:p>
          <w:p w14:paraId="632DFD73" w14:textId="77777777" w:rsidR="00707077" w:rsidRPr="00E07A7C" w:rsidRDefault="00707077" w:rsidP="00707077">
            <w:pPr>
              <w:spacing w:line="276" w:lineRule="auto"/>
              <w:rPr>
                <w:rFonts w:cs="Times New Roman"/>
                <w:sz w:val="22"/>
                <w:szCs w:val="24"/>
              </w:rPr>
            </w:pPr>
            <w:r w:rsidRPr="00E07A7C">
              <w:rPr>
                <w:rFonts w:cs="Times New Roman"/>
                <w:sz w:val="22"/>
                <w:szCs w:val="24"/>
              </w:rPr>
              <w:t>Reasoning: Effects of Feedback and</w:t>
            </w:r>
          </w:p>
          <w:p w14:paraId="7661158B" w14:textId="77777777" w:rsidR="00707077" w:rsidRPr="00E07A7C" w:rsidRDefault="00707077" w:rsidP="00707077">
            <w:pPr>
              <w:spacing w:line="276" w:lineRule="auto"/>
              <w:rPr>
                <w:rFonts w:cs="Times New Roman"/>
                <w:sz w:val="22"/>
                <w:szCs w:val="24"/>
              </w:rPr>
            </w:pPr>
            <w:r w:rsidRPr="00E07A7C">
              <w:rPr>
                <w:rFonts w:cs="Times New Roman"/>
                <w:sz w:val="22"/>
                <w:szCs w:val="24"/>
              </w:rPr>
              <w:t>Self-Regulation Learning</w:t>
            </w:r>
          </w:p>
          <w:p w14:paraId="05845D80" w14:textId="77777777" w:rsidR="00707077" w:rsidRPr="00E07A7C" w:rsidRDefault="00707077" w:rsidP="00707077">
            <w:pPr>
              <w:spacing w:line="276" w:lineRule="auto"/>
              <w:rPr>
                <w:rFonts w:cs="Times New Roman"/>
                <w:sz w:val="22"/>
                <w:szCs w:val="24"/>
              </w:rPr>
            </w:pPr>
          </w:p>
          <w:p w14:paraId="4203AF79" w14:textId="77777777" w:rsidR="00707077" w:rsidRPr="00E07A7C" w:rsidRDefault="00707077" w:rsidP="00707077">
            <w:pPr>
              <w:spacing w:line="276" w:lineRule="auto"/>
              <w:rPr>
                <w:rFonts w:cs="Times New Roman"/>
                <w:sz w:val="22"/>
                <w:szCs w:val="24"/>
              </w:rPr>
            </w:pPr>
            <w:r w:rsidRPr="00E07A7C">
              <w:rPr>
                <w:rFonts w:cs="Times New Roman"/>
                <w:sz w:val="22"/>
                <w:szCs w:val="24"/>
              </w:rPr>
              <w:t>Bracha Kramarski and Orit Zeichner</w:t>
            </w:r>
          </w:p>
          <w:p w14:paraId="226F82BC" w14:textId="77777777" w:rsidR="00707077" w:rsidRPr="00E07A7C" w:rsidRDefault="00707077" w:rsidP="00707077">
            <w:pPr>
              <w:spacing w:line="276" w:lineRule="auto"/>
              <w:rPr>
                <w:rFonts w:cs="Times New Roman"/>
                <w:sz w:val="22"/>
                <w:szCs w:val="24"/>
              </w:rPr>
            </w:pPr>
          </w:p>
          <w:p w14:paraId="2AF72E9B" w14:textId="77777777" w:rsidR="00707077" w:rsidRPr="00E07A7C" w:rsidRDefault="00707077" w:rsidP="00707077">
            <w:pPr>
              <w:spacing w:line="276" w:lineRule="auto"/>
              <w:rPr>
                <w:rFonts w:cs="Times New Roman"/>
                <w:sz w:val="22"/>
                <w:szCs w:val="24"/>
              </w:rPr>
            </w:pPr>
            <w:r w:rsidRPr="00E07A7C">
              <w:rPr>
                <w:rFonts w:cs="Times New Roman"/>
                <w:sz w:val="22"/>
                <w:szCs w:val="24"/>
              </w:rPr>
              <w:t>2001</w:t>
            </w:r>
          </w:p>
        </w:tc>
        <w:tc>
          <w:tcPr>
            <w:tcW w:w="1701" w:type="dxa"/>
          </w:tcPr>
          <w:p w14:paraId="67C3AEA6" w14:textId="77777777" w:rsidR="00707077" w:rsidRPr="00E07A7C" w:rsidRDefault="00707077" w:rsidP="00707077">
            <w:pPr>
              <w:spacing w:line="276" w:lineRule="auto"/>
              <w:rPr>
                <w:rFonts w:cs="Times New Roman"/>
                <w:sz w:val="22"/>
                <w:szCs w:val="24"/>
              </w:rPr>
            </w:pPr>
            <w:r w:rsidRPr="00E07A7C">
              <w:rPr>
                <w:rFonts w:cs="Times New Roman"/>
                <w:sz w:val="22"/>
                <w:szCs w:val="24"/>
              </w:rPr>
              <w:t>Israel</w:t>
            </w:r>
          </w:p>
          <w:p w14:paraId="590FF4F0" w14:textId="77777777" w:rsidR="00707077" w:rsidRPr="00E07A7C" w:rsidRDefault="00707077" w:rsidP="00707077">
            <w:pPr>
              <w:spacing w:line="276" w:lineRule="auto"/>
              <w:rPr>
                <w:rFonts w:cs="Times New Roman"/>
                <w:sz w:val="22"/>
                <w:szCs w:val="24"/>
              </w:rPr>
            </w:pPr>
          </w:p>
          <w:p w14:paraId="543484D6" w14:textId="77777777" w:rsidR="00707077" w:rsidRPr="00E07A7C" w:rsidRDefault="00707077" w:rsidP="00707077">
            <w:pPr>
              <w:spacing w:line="276" w:lineRule="auto"/>
              <w:rPr>
                <w:rFonts w:cs="Times New Roman"/>
                <w:sz w:val="22"/>
                <w:szCs w:val="24"/>
              </w:rPr>
            </w:pPr>
            <w:r w:rsidRPr="00E07A7C">
              <w:rPr>
                <w:rFonts w:cs="Times New Roman"/>
                <w:sz w:val="22"/>
                <w:szCs w:val="24"/>
              </w:rPr>
              <w:t>11</w:t>
            </w:r>
            <w:r w:rsidRPr="00E07A7C">
              <w:rPr>
                <w:rFonts w:cs="Times New Roman"/>
                <w:sz w:val="22"/>
                <w:szCs w:val="24"/>
                <w:vertAlign w:val="superscript"/>
              </w:rPr>
              <w:t>th</w:t>
            </w:r>
            <w:r w:rsidRPr="00E07A7C">
              <w:rPr>
                <w:rFonts w:cs="Times New Roman"/>
                <w:sz w:val="22"/>
                <w:szCs w:val="24"/>
              </w:rPr>
              <w:t xml:space="preserve"> grade students</w:t>
            </w:r>
          </w:p>
          <w:p w14:paraId="7DD8E3EC" w14:textId="77777777" w:rsidR="00707077" w:rsidRPr="00E07A7C" w:rsidRDefault="00707077" w:rsidP="00707077">
            <w:pPr>
              <w:spacing w:line="276" w:lineRule="auto"/>
              <w:rPr>
                <w:rFonts w:cs="Times New Roman"/>
                <w:sz w:val="22"/>
                <w:szCs w:val="24"/>
              </w:rPr>
            </w:pPr>
          </w:p>
          <w:p w14:paraId="04ACE14E" w14:textId="77777777" w:rsidR="00707077" w:rsidRPr="00E07A7C" w:rsidRDefault="00707077" w:rsidP="00707077">
            <w:pPr>
              <w:spacing w:line="276" w:lineRule="auto"/>
              <w:rPr>
                <w:rFonts w:cs="Times New Roman"/>
                <w:sz w:val="22"/>
                <w:szCs w:val="24"/>
              </w:rPr>
            </w:pPr>
            <w:r w:rsidRPr="00E07A7C">
              <w:rPr>
                <w:rFonts w:cs="Times New Roman"/>
                <w:sz w:val="22"/>
                <w:szCs w:val="24"/>
              </w:rPr>
              <w:t>N=186</w:t>
            </w:r>
          </w:p>
          <w:p w14:paraId="774C1784" w14:textId="77777777" w:rsidR="00707077" w:rsidRPr="00E07A7C" w:rsidRDefault="00707077" w:rsidP="00707077">
            <w:pPr>
              <w:spacing w:line="276" w:lineRule="auto"/>
              <w:rPr>
                <w:rFonts w:cs="Times New Roman"/>
                <w:sz w:val="22"/>
                <w:szCs w:val="24"/>
              </w:rPr>
            </w:pPr>
          </w:p>
          <w:p w14:paraId="3D2F2D45" w14:textId="77777777" w:rsidR="00707077" w:rsidRPr="00E07A7C" w:rsidRDefault="00707077" w:rsidP="00707077">
            <w:pPr>
              <w:spacing w:line="276" w:lineRule="auto"/>
              <w:rPr>
                <w:rFonts w:cs="Times New Roman"/>
                <w:sz w:val="22"/>
                <w:szCs w:val="24"/>
              </w:rPr>
            </w:pPr>
            <w:r w:rsidRPr="00E07A7C">
              <w:rPr>
                <w:rFonts w:cs="Times New Roman"/>
                <w:sz w:val="22"/>
                <w:szCs w:val="24"/>
              </w:rPr>
              <w:t>Mathematical reasoning</w:t>
            </w:r>
          </w:p>
        </w:tc>
        <w:tc>
          <w:tcPr>
            <w:tcW w:w="1985" w:type="dxa"/>
          </w:tcPr>
          <w:p w14:paraId="55E895E5" w14:textId="77777777" w:rsidR="00707077" w:rsidRPr="00E07A7C" w:rsidRDefault="00707077" w:rsidP="00707077">
            <w:pPr>
              <w:spacing w:line="276" w:lineRule="auto"/>
              <w:rPr>
                <w:rFonts w:cs="Times New Roman"/>
                <w:sz w:val="22"/>
                <w:szCs w:val="24"/>
              </w:rPr>
            </w:pPr>
            <w:r w:rsidRPr="00E07A7C">
              <w:rPr>
                <w:rFonts w:cs="Times New Roman"/>
                <w:sz w:val="22"/>
                <w:szCs w:val="24"/>
              </w:rPr>
              <w:t>2 groups, single measure, randomised, quantitative, between groups, no control group. Used a baseline measure, quantitative</w:t>
            </w:r>
          </w:p>
        </w:tc>
        <w:tc>
          <w:tcPr>
            <w:tcW w:w="2425" w:type="dxa"/>
          </w:tcPr>
          <w:p w14:paraId="56CB4643"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1 group received meta-cognitive feedback, 1 group received results feedback, computerised task and intervention (maths test). Test given before and after learning intervention </w:t>
            </w:r>
          </w:p>
        </w:tc>
        <w:tc>
          <w:tcPr>
            <w:tcW w:w="1843" w:type="dxa"/>
          </w:tcPr>
          <w:p w14:paraId="4F534A89"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None stated - Theoretical/conceptual model not eluded to. Self-regulated learning is mentioned but not explicitly as the underpinning model. </w:t>
            </w:r>
          </w:p>
        </w:tc>
        <w:tc>
          <w:tcPr>
            <w:tcW w:w="2126" w:type="dxa"/>
          </w:tcPr>
          <w:p w14:paraId="495F4D93"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Mathematical reasoning performance, mathematical process justification </w:t>
            </w:r>
          </w:p>
        </w:tc>
        <w:tc>
          <w:tcPr>
            <w:tcW w:w="2581" w:type="dxa"/>
          </w:tcPr>
          <w:p w14:paraId="682FD824" w14:textId="77777777" w:rsidR="00707077" w:rsidRPr="00E07A7C" w:rsidRDefault="00707077" w:rsidP="00707077">
            <w:pPr>
              <w:spacing w:line="276" w:lineRule="auto"/>
              <w:rPr>
                <w:rFonts w:cs="Times New Roman"/>
                <w:sz w:val="22"/>
                <w:szCs w:val="24"/>
              </w:rPr>
            </w:pPr>
            <w:r w:rsidRPr="00E07A7C">
              <w:rPr>
                <w:rFonts w:cs="Times New Roman"/>
                <w:sz w:val="22"/>
                <w:szCs w:val="24"/>
              </w:rPr>
              <w:t>Simply states that meta-cognitive feedback improved mathematical reasoning performance over results feedback when pre and post-test results were compared. This result was significant (</w:t>
            </w:r>
            <w:r w:rsidRPr="00E07A7C">
              <w:rPr>
                <w:rFonts w:cs="Times New Roman"/>
                <w:i/>
                <w:sz w:val="22"/>
                <w:szCs w:val="24"/>
              </w:rPr>
              <w:t>p</w:t>
            </w:r>
            <w:r w:rsidRPr="00E07A7C">
              <w:rPr>
                <w:rFonts w:cs="Times New Roman"/>
                <w:sz w:val="22"/>
                <w:szCs w:val="24"/>
              </w:rPr>
              <w:t>&lt;0.001). Could not explain the mechanism of this. Could be that MF encourages strategy and reflection.</w:t>
            </w:r>
          </w:p>
        </w:tc>
      </w:tr>
      <w:tr w:rsidR="00707077" w:rsidRPr="00E07A7C" w14:paraId="581B7F67" w14:textId="77777777" w:rsidTr="00AF4FFF">
        <w:tc>
          <w:tcPr>
            <w:tcW w:w="1798" w:type="dxa"/>
          </w:tcPr>
          <w:p w14:paraId="7215189D"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Enhancing Students' Self-Regulation and Mathematics Performance: The Influence of Feedback and </w:t>
            </w:r>
            <w:r w:rsidRPr="00E07A7C">
              <w:rPr>
                <w:rFonts w:cs="Times New Roman"/>
                <w:sz w:val="22"/>
                <w:szCs w:val="24"/>
              </w:rPr>
              <w:lastRenderedPageBreak/>
              <w:t>Self-Evaluative Standards</w:t>
            </w:r>
          </w:p>
          <w:p w14:paraId="2E5E2923" w14:textId="77777777" w:rsidR="00707077" w:rsidRPr="00E07A7C" w:rsidRDefault="00707077" w:rsidP="00707077">
            <w:pPr>
              <w:spacing w:line="276" w:lineRule="auto"/>
              <w:rPr>
                <w:rFonts w:cs="Times New Roman"/>
                <w:sz w:val="22"/>
                <w:szCs w:val="24"/>
              </w:rPr>
            </w:pPr>
          </w:p>
          <w:p w14:paraId="6D5CDEFB" w14:textId="77777777" w:rsidR="00707077" w:rsidRPr="00E07A7C" w:rsidRDefault="00707077" w:rsidP="00707077">
            <w:pPr>
              <w:spacing w:line="276" w:lineRule="auto"/>
              <w:rPr>
                <w:rFonts w:cs="Times New Roman"/>
                <w:sz w:val="22"/>
                <w:szCs w:val="24"/>
              </w:rPr>
            </w:pPr>
            <w:r w:rsidRPr="00E07A7C">
              <w:rPr>
                <w:rFonts w:cs="Times New Roman"/>
                <w:sz w:val="22"/>
                <w:szCs w:val="24"/>
              </w:rPr>
              <w:t>Andju Sara Labuhn; Barry J. Zimmerman; Marcus Hasselhorn.</w:t>
            </w:r>
          </w:p>
          <w:p w14:paraId="1EE33706" w14:textId="77777777" w:rsidR="00707077" w:rsidRPr="00E07A7C" w:rsidRDefault="00707077" w:rsidP="00707077">
            <w:pPr>
              <w:spacing w:line="276" w:lineRule="auto"/>
              <w:rPr>
                <w:rFonts w:cs="Times New Roman"/>
                <w:sz w:val="22"/>
                <w:szCs w:val="24"/>
              </w:rPr>
            </w:pPr>
          </w:p>
          <w:p w14:paraId="0DC2B421" w14:textId="77777777" w:rsidR="00707077" w:rsidRPr="00E07A7C" w:rsidRDefault="00707077" w:rsidP="00707077">
            <w:pPr>
              <w:spacing w:line="276" w:lineRule="auto"/>
              <w:rPr>
                <w:rFonts w:cs="Times New Roman"/>
                <w:sz w:val="22"/>
                <w:szCs w:val="24"/>
              </w:rPr>
            </w:pPr>
            <w:r w:rsidRPr="00E07A7C">
              <w:rPr>
                <w:rFonts w:cs="Times New Roman"/>
                <w:sz w:val="22"/>
                <w:szCs w:val="24"/>
              </w:rPr>
              <w:t>2010</w:t>
            </w:r>
          </w:p>
        </w:tc>
        <w:tc>
          <w:tcPr>
            <w:tcW w:w="1701" w:type="dxa"/>
          </w:tcPr>
          <w:p w14:paraId="01850C64"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Germany </w:t>
            </w:r>
          </w:p>
          <w:p w14:paraId="683906DB" w14:textId="77777777" w:rsidR="00707077" w:rsidRPr="00E07A7C" w:rsidRDefault="00707077" w:rsidP="00707077">
            <w:pPr>
              <w:spacing w:line="276" w:lineRule="auto"/>
              <w:rPr>
                <w:rFonts w:cs="Times New Roman"/>
                <w:sz w:val="22"/>
                <w:szCs w:val="24"/>
              </w:rPr>
            </w:pPr>
          </w:p>
          <w:p w14:paraId="6EC8F80B" w14:textId="77777777" w:rsidR="00707077" w:rsidRPr="00E07A7C" w:rsidRDefault="00707077" w:rsidP="00707077">
            <w:pPr>
              <w:spacing w:line="276" w:lineRule="auto"/>
              <w:rPr>
                <w:rFonts w:cs="Times New Roman"/>
                <w:sz w:val="22"/>
                <w:szCs w:val="24"/>
              </w:rPr>
            </w:pPr>
            <w:r w:rsidRPr="00E07A7C">
              <w:rPr>
                <w:rFonts w:cs="Times New Roman"/>
                <w:sz w:val="22"/>
                <w:szCs w:val="24"/>
              </w:rPr>
              <w:t>5</w:t>
            </w:r>
            <w:r w:rsidRPr="00E07A7C">
              <w:rPr>
                <w:rFonts w:cs="Times New Roman"/>
                <w:sz w:val="22"/>
                <w:szCs w:val="24"/>
                <w:vertAlign w:val="superscript"/>
              </w:rPr>
              <w:t>th</w:t>
            </w:r>
            <w:r w:rsidRPr="00E07A7C">
              <w:rPr>
                <w:rFonts w:cs="Times New Roman"/>
                <w:sz w:val="22"/>
                <w:szCs w:val="24"/>
              </w:rPr>
              <w:t xml:space="preserve"> grade students</w:t>
            </w:r>
          </w:p>
          <w:p w14:paraId="2EE0A64C" w14:textId="77777777" w:rsidR="00707077" w:rsidRPr="00E07A7C" w:rsidRDefault="00707077" w:rsidP="00707077">
            <w:pPr>
              <w:spacing w:line="276" w:lineRule="auto"/>
              <w:rPr>
                <w:rFonts w:cs="Times New Roman"/>
                <w:sz w:val="22"/>
                <w:szCs w:val="24"/>
              </w:rPr>
            </w:pPr>
          </w:p>
          <w:p w14:paraId="7B588573" w14:textId="77777777" w:rsidR="00707077" w:rsidRPr="00E07A7C" w:rsidRDefault="00707077" w:rsidP="00707077">
            <w:pPr>
              <w:spacing w:line="276" w:lineRule="auto"/>
              <w:rPr>
                <w:rFonts w:cs="Times New Roman"/>
                <w:sz w:val="22"/>
                <w:szCs w:val="24"/>
              </w:rPr>
            </w:pPr>
            <w:r w:rsidRPr="00E07A7C">
              <w:rPr>
                <w:rFonts w:cs="Times New Roman"/>
                <w:sz w:val="22"/>
                <w:szCs w:val="24"/>
              </w:rPr>
              <w:t>N=90</w:t>
            </w:r>
          </w:p>
          <w:p w14:paraId="0E0496CC" w14:textId="77777777" w:rsidR="00707077" w:rsidRPr="00E07A7C" w:rsidRDefault="00707077" w:rsidP="00707077">
            <w:pPr>
              <w:spacing w:line="276" w:lineRule="auto"/>
              <w:rPr>
                <w:rFonts w:cs="Times New Roman"/>
                <w:sz w:val="22"/>
                <w:szCs w:val="24"/>
              </w:rPr>
            </w:pPr>
          </w:p>
          <w:p w14:paraId="6119DA10"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Mathematics</w:t>
            </w:r>
          </w:p>
        </w:tc>
        <w:tc>
          <w:tcPr>
            <w:tcW w:w="1985" w:type="dxa"/>
          </w:tcPr>
          <w:p w14:paraId="37CF7C5E"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9 groups, between groups analysis, control condition group used, single measure, randomised</w:t>
            </w:r>
          </w:p>
        </w:tc>
        <w:tc>
          <w:tcPr>
            <w:tcW w:w="2425" w:type="dxa"/>
          </w:tcPr>
          <w:p w14:paraId="2DE2F2D9" w14:textId="77777777" w:rsidR="00707077" w:rsidRPr="00E07A7C" w:rsidRDefault="00707077" w:rsidP="00707077">
            <w:pPr>
              <w:spacing w:line="276" w:lineRule="auto"/>
              <w:rPr>
                <w:rFonts w:cs="Times New Roman"/>
                <w:sz w:val="22"/>
                <w:szCs w:val="24"/>
              </w:rPr>
            </w:pPr>
            <w:r w:rsidRPr="00E07A7C">
              <w:rPr>
                <w:rFonts w:cs="Times New Roman"/>
                <w:sz w:val="22"/>
                <w:szCs w:val="24"/>
              </w:rPr>
              <w:t>PEDMAS maths test, graphed computerised outcome feedback, groups:</w:t>
            </w:r>
          </w:p>
          <w:p w14:paraId="768B3A5B" w14:textId="77777777" w:rsidR="00707077" w:rsidRPr="00E07A7C" w:rsidRDefault="00707077" w:rsidP="00707077">
            <w:pPr>
              <w:spacing w:line="276" w:lineRule="auto"/>
              <w:rPr>
                <w:rFonts w:cs="Times New Roman"/>
                <w:sz w:val="22"/>
                <w:szCs w:val="24"/>
              </w:rPr>
            </w:pPr>
            <w:r w:rsidRPr="00E07A7C">
              <w:rPr>
                <w:rFonts w:cs="Times New Roman"/>
                <w:sz w:val="22"/>
                <w:szCs w:val="24"/>
              </w:rPr>
              <w:t>1. no feedback</w:t>
            </w:r>
          </w:p>
          <w:p w14:paraId="564AB8DB" w14:textId="77777777" w:rsidR="00707077" w:rsidRPr="00E07A7C" w:rsidRDefault="00707077" w:rsidP="00707077">
            <w:pPr>
              <w:spacing w:line="276" w:lineRule="auto"/>
              <w:rPr>
                <w:rFonts w:cs="Times New Roman"/>
                <w:sz w:val="22"/>
                <w:szCs w:val="24"/>
              </w:rPr>
            </w:pPr>
            <w:r w:rsidRPr="00E07A7C">
              <w:rPr>
                <w:rFonts w:cs="Times New Roman"/>
                <w:sz w:val="22"/>
                <w:szCs w:val="24"/>
              </w:rPr>
              <w:t>2. social comparison feedback</w:t>
            </w:r>
          </w:p>
          <w:p w14:paraId="0BA296E2"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3. individual feedback </w:t>
            </w:r>
          </w:p>
          <w:p w14:paraId="77831019" w14:textId="77777777" w:rsidR="00707077" w:rsidRPr="00E07A7C" w:rsidRDefault="00707077" w:rsidP="00707077">
            <w:pPr>
              <w:spacing w:line="276" w:lineRule="auto"/>
              <w:rPr>
                <w:rFonts w:cs="Times New Roman"/>
                <w:sz w:val="22"/>
                <w:szCs w:val="24"/>
              </w:rPr>
            </w:pPr>
            <w:r w:rsidRPr="00E07A7C">
              <w:rPr>
                <w:rFonts w:cs="Times New Roman"/>
                <w:sz w:val="22"/>
                <w:szCs w:val="24"/>
              </w:rPr>
              <w:t>Each had 3 subgroups (no standards, social comparative standards and mastery standards),</w:t>
            </w:r>
          </w:p>
        </w:tc>
        <w:tc>
          <w:tcPr>
            <w:tcW w:w="1843" w:type="dxa"/>
          </w:tcPr>
          <w:p w14:paraId="7A0D9187" w14:textId="4C3351B9" w:rsidR="00707077" w:rsidRPr="00E07A7C" w:rsidRDefault="00F17F73" w:rsidP="00707077">
            <w:pPr>
              <w:spacing w:line="276" w:lineRule="auto"/>
              <w:rPr>
                <w:rFonts w:cs="Times New Roman"/>
                <w:sz w:val="22"/>
                <w:szCs w:val="24"/>
              </w:rPr>
            </w:pPr>
            <w:r w:rsidRPr="00E07A7C">
              <w:rPr>
                <w:rFonts w:cs="Times New Roman"/>
                <w:sz w:val="22"/>
                <w:szCs w:val="24"/>
              </w:rPr>
              <w:lastRenderedPageBreak/>
              <w:t>Social cognitive</w:t>
            </w:r>
            <w:r w:rsidR="00707077" w:rsidRPr="00E07A7C">
              <w:rPr>
                <w:rFonts w:cs="Times New Roman"/>
                <w:sz w:val="22"/>
                <w:szCs w:val="24"/>
              </w:rPr>
              <w:t xml:space="preserve"> model of SRL, Zimmerman’s cyclical model</w:t>
            </w:r>
          </w:p>
        </w:tc>
        <w:tc>
          <w:tcPr>
            <w:tcW w:w="2126" w:type="dxa"/>
          </w:tcPr>
          <w:p w14:paraId="7594F162" w14:textId="77777777" w:rsidR="00707077" w:rsidRPr="00E07A7C" w:rsidRDefault="00707077" w:rsidP="00707077">
            <w:pPr>
              <w:spacing w:line="276" w:lineRule="auto"/>
              <w:rPr>
                <w:rFonts w:cs="Times New Roman"/>
                <w:sz w:val="22"/>
                <w:szCs w:val="24"/>
              </w:rPr>
            </w:pPr>
            <w:r w:rsidRPr="00E07A7C">
              <w:rPr>
                <w:rFonts w:cs="Times New Roman"/>
                <w:sz w:val="22"/>
                <w:szCs w:val="24"/>
              </w:rPr>
              <w:t>Mathematical problem solving performance, calibration accuracy (self-evaluation, self-predictions, self-</w:t>
            </w:r>
            <w:r w:rsidRPr="00E07A7C">
              <w:rPr>
                <w:rFonts w:cs="Times New Roman"/>
                <w:sz w:val="22"/>
                <w:szCs w:val="24"/>
              </w:rPr>
              <w:lastRenderedPageBreak/>
              <w:t xml:space="preserve">judgement, self-satisfaction) </w:t>
            </w:r>
          </w:p>
        </w:tc>
        <w:tc>
          <w:tcPr>
            <w:tcW w:w="2581" w:type="dxa"/>
          </w:tcPr>
          <w:p w14:paraId="6DFD3ADA"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Graphed feedback increased calibration accuracy and improved at-risk student’s problem solving performance, feedback improved self-evaluation and </w:t>
            </w:r>
            <w:r w:rsidRPr="00E07A7C">
              <w:rPr>
                <w:rFonts w:cs="Times New Roman"/>
                <w:sz w:val="22"/>
                <w:szCs w:val="24"/>
              </w:rPr>
              <w:lastRenderedPageBreak/>
              <w:t xml:space="preserve">performance compared to no feedback in all cases, externally set evaluative standards had no effect, SR awareness was increased by feedback. </w:t>
            </w:r>
          </w:p>
          <w:p w14:paraId="26C7BFF2" w14:textId="77777777" w:rsidR="00707077" w:rsidRPr="00E07A7C" w:rsidRDefault="00707077" w:rsidP="00707077">
            <w:pPr>
              <w:spacing w:line="276" w:lineRule="auto"/>
              <w:rPr>
                <w:rFonts w:cs="Times New Roman"/>
                <w:sz w:val="22"/>
                <w:szCs w:val="24"/>
              </w:rPr>
            </w:pPr>
          </w:p>
        </w:tc>
      </w:tr>
      <w:tr w:rsidR="00707077" w:rsidRPr="00E07A7C" w14:paraId="3C9C2604" w14:textId="77777777" w:rsidTr="00AF4FFF">
        <w:tc>
          <w:tcPr>
            <w:tcW w:w="1798" w:type="dxa"/>
          </w:tcPr>
          <w:p w14:paraId="31F3801D"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Improving self-regulation, learning strategy use, and achievement with metacognitive feedback</w:t>
            </w:r>
          </w:p>
          <w:p w14:paraId="6586AF60" w14:textId="77777777" w:rsidR="00707077" w:rsidRPr="00E07A7C" w:rsidRDefault="00707077" w:rsidP="00707077">
            <w:pPr>
              <w:spacing w:line="276" w:lineRule="auto"/>
              <w:rPr>
                <w:rFonts w:cs="Times New Roman"/>
                <w:sz w:val="22"/>
                <w:szCs w:val="24"/>
              </w:rPr>
            </w:pPr>
          </w:p>
          <w:p w14:paraId="7B02E3B7" w14:textId="77777777" w:rsidR="00707077" w:rsidRPr="00E07A7C" w:rsidRDefault="00707077" w:rsidP="00707077">
            <w:pPr>
              <w:spacing w:line="276" w:lineRule="auto"/>
              <w:rPr>
                <w:rFonts w:cs="Times New Roman"/>
                <w:sz w:val="22"/>
                <w:szCs w:val="24"/>
              </w:rPr>
            </w:pPr>
            <w:r w:rsidRPr="00E07A7C">
              <w:rPr>
                <w:rFonts w:cs="Times New Roman"/>
                <w:sz w:val="22"/>
                <w:szCs w:val="24"/>
              </w:rPr>
              <w:t>Hyeon Woo Lee  , Kyu Yon Lim; Barbara L. Grabowski</w:t>
            </w:r>
          </w:p>
          <w:p w14:paraId="38E6EEA0" w14:textId="77777777" w:rsidR="00707077" w:rsidRPr="00E07A7C" w:rsidRDefault="00707077" w:rsidP="00707077">
            <w:pPr>
              <w:spacing w:line="276" w:lineRule="auto"/>
              <w:rPr>
                <w:rFonts w:cs="Times New Roman"/>
                <w:sz w:val="22"/>
                <w:szCs w:val="24"/>
              </w:rPr>
            </w:pPr>
          </w:p>
          <w:p w14:paraId="0E5D2F71" w14:textId="77777777" w:rsidR="00707077" w:rsidRPr="00E07A7C" w:rsidRDefault="00707077" w:rsidP="00707077">
            <w:pPr>
              <w:spacing w:line="276" w:lineRule="auto"/>
              <w:rPr>
                <w:rFonts w:cs="Times New Roman"/>
                <w:sz w:val="22"/>
                <w:szCs w:val="24"/>
              </w:rPr>
            </w:pPr>
            <w:r w:rsidRPr="00E07A7C">
              <w:rPr>
                <w:rFonts w:cs="Times New Roman"/>
                <w:sz w:val="22"/>
                <w:szCs w:val="24"/>
              </w:rPr>
              <w:t>2010</w:t>
            </w:r>
          </w:p>
        </w:tc>
        <w:tc>
          <w:tcPr>
            <w:tcW w:w="1701" w:type="dxa"/>
          </w:tcPr>
          <w:p w14:paraId="27F1C82F"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01998D84" w14:textId="77777777" w:rsidR="00707077" w:rsidRPr="00E07A7C" w:rsidRDefault="00707077" w:rsidP="00707077">
            <w:pPr>
              <w:spacing w:line="276" w:lineRule="auto"/>
              <w:rPr>
                <w:rFonts w:cs="Times New Roman"/>
                <w:sz w:val="22"/>
                <w:szCs w:val="24"/>
              </w:rPr>
            </w:pPr>
          </w:p>
          <w:p w14:paraId="7AD6BDA4" w14:textId="77777777" w:rsidR="00707077" w:rsidRPr="00E07A7C" w:rsidRDefault="00707077" w:rsidP="00707077">
            <w:pPr>
              <w:spacing w:line="276" w:lineRule="auto"/>
              <w:rPr>
                <w:rFonts w:cs="Times New Roman"/>
                <w:sz w:val="22"/>
                <w:szCs w:val="24"/>
              </w:rPr>
            </w:pPr>
            <w:r w:rsidRPr="00E07A7C">
              <w:rPr>
                <w:rFonts w:cs="Times New Roman"/>
                <w:sz w:val="22"/>
                <w:szCs w:val="24"/>
              </w:rPr>
              <w:t>University (undergraduate)</w:t>
            </w:r>
          </w:p>
          <w:p w14:paraId="1B3641BB" w14:textId="77777777" w:rsidR="00707077" w:rsidRPr="00E07A7C" w:rsidRDefault="00707077" w:rsidP="00707077">
            <w:pPr>
              <w:spacing w:line="276" w:lineRule="auto"/>
              <w:rPr>
                <w:rFonts w:cs="Times New Roman"/>
                <w:sz w:val="22"/>
                <w:szCs w:val="24"/>
              </w:rPr>
            </w:pPr>
          </w:p>
          <w:p w14:paraId="0B845969" w14:textId="77777777" w:rsidR="00707077" w:rsidRPr="00E07A7C" w:rsidRDefault="00707077" w:rsidP="00707077">
            <w:pPr>
              <w:spacing w:line="276" w:lineRule="auto"/>
              <w:rPr>
                <w:rFonts w:cs="Times New Roman"/>
                <w:sz w:val="22"/>
                <w:szCs w:val="24"/>
              </w:rPr>
            </w:pPr>
            <w:r w:rsidRPr="00E07A7C">
              <w:rPr>
                <w:rFonts w:cs="Times New Roman"/>
                <w:sz w:val="22"/>
                <w:szCs w:val="24"/>
              </w:rPr>
              <w:t>N=238</w:t>
            </w:r>
          </w:p>
          <w:p w14:paraId="6F66C6A4" w14:textId="77777777" w:rsidR="00707077" w:rsidRPr="00E07A7C" w:rsidRDefault="00707077" w:rsidP="00707077">
            <w:pPr>
              <w:spacing w:line="276" w:lineRule="auto"/>
              <w:rPr>
                <w:rFonts w:cs="Times New Roman"/>
                <w:sz w:val="22"/>
                <w:szCs w:val="24"/>
              </w:rPr>
            </w:pPr>
          </w:p>
          <w:p w14:paraId="54DF75F1" w14:textId="77777777" w:rsidR="00707077" w:rsidRPr="00E07A7C" w:rsidRDefault="00707077" w:rsidP="00707077">
            <w:pPr>
              <w:spacing w:line="276" w:lineRule="auto"/>
              <w:rPr>
                <w:rFonts w:cs="Times New Roman"/>
                <w:sz w:val="22"/>
                <w:szCs w:val="24"/>
              </w:rPr>
            </w:pPr>
            <w:r w:rsidRPr="00E07A7C">
              <w:rPr>
                <w:rFonts w:cs="Times New Roman"/>
                <w:sz w:val="22"/>
                <w:szCs w:val="24"/>
              </w:rPr>
              <w:t>Education technology (computer based learning environment)</w:t>
            </w:r>
          </w:p>
        </w:tc>
        <w:tc>
          <w:tcPr>
            <w:tcW w:w="1985" w:type="dxa"/>
          </w:tcPr>
          <w:p w14:paraId="1BBC7BD7"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3 groups, control used, between groups analysis, quantitative, baseline measure not used, randomised, single measure </w:t>
            </w:r>
          </w:p>
        </w:tc>
        <w:tc>
          <w:tcPr>
            <w:tcW w:w="2425" w:type="dxa"/>
          </w:tcPr>
          <w:p w14:paraId="28E7A00D" w14:textId="77777777" w:rsidR="00707077" w:rsidRPr="00E07A7C" w:rsidRDefault="00707077" w:rsidP="00707077">
            <w:pPr>
              <w:spacing w:line="276" w:lineRule="auto"/>
              <w:rPr>
                <w:rFonts w:cs="Times New Roman"/>
                <w:sz w:val="22"/>
                <w:szCs w:val="24"/>
              </w:rPr>
            </w:pPr>
            <w:r w:rsidRPr="00E07A7C">
              <w:rPr>
                <w:rFonts w:cs="Times New Roman"/>
                <w:sz w:val="22"/>
                <w:szCs w:val="24"/>
              </w:rPr>
              <w:t>Computer based VLE, human physiology online tests. Conditions:</w:t>
            </w:r>
          </w:p>
          <w:p w14:paraId="58F3EE5C" w14:textId="77777777" w:rsidR="00707077" w:rsidRPr="00E07A7C" w:rsidRDefault="00707077" w:rsidP="00707077">
            <w:pPr>
              <w:spacing w:line="276" w:lineRule="auto"/>
              <w:rPr>
                <w:rFonts w:cs="Times New Roman"/>
                <w:sz w:val="22"/>
                <w:szCs w:val="24"/>
              </w:rPr>
            </w:pPr>
            <w:r w:rsidRPr="00E07A7C">
              <w:rPr>
                <w:rFonts w:cs="Times New Roman"/>
                <w:sz w:val="22"/>
                <w:szCs w:val="24"/>
              </w:rPr>
              <w:t>1. GLS tools</w:t>
            </w:r>
          </w:p>
          <w:p w14:paraId="210C1EE2" w14:textId="77777777" w:rsidR="00707077" w:rsidRPr="00E07A7C" w:rsidRDefault="00707077" w:rsidP="00707077">
            <w:pPr>
              <w:spacing w:line="276" w:lineRule="auto"/>
              <w:rPr>
                <w:rFonts w:cs="Times New Roman"/>
                <w:sz w:val="22"/>
                <w:szCs w:val="24"/>
              </w:rPr>
            </w:pPr>
            <w:r w:rsidRPr="00E07A7C">
              <w:rPr>
                <w:rFonts w:cs="Times New Roman"/>
                <w:sz w:val="22"/>
                <w:szCs w:val="24"/>
              </w:rPr>
              <w:t>2. GLS prompts</w:t>
            </w:r>
          </w:p>
          <w:p w14:paraId="6909874F" w14:textId="77777777" w:rsidR="00707077" w:rsidRPr="00E07A7C" w:rsidRDefault="00707077" w:rsidP="00707077">
            <w:pPr>
              <w:spacing w:line="276" w:lineRule="auto"/>
              <w:rPr>
                <w:rFonts w:cs="Times New Roman"/>
                <w:sz w:val="22"/>
                <w:szCs w:val="24"/>
              </w:rPr>
            </w:pPr>
            <w:r w:rsidRPr="00E07A7C">
              <w:rPr>
                <w:rFonts w:cs="Times New Roman"/>
                <w:sz w:val="22"/>
                <w:szCs w:val="24"/>
              </w:rPr>
              <w:t>3. GLS and meta-cognitive feedback prompts. MSLQ test for SRL</w:t>
            </w:r>
          </w:p>
        </w:tc>
        <w:tc>
          <w:tcPr>
            <w:tcW w:w="1843" w:type="dxa"/>
          </w:tcPr>
          <w:p w14:paraId="2D98DF48" w14:textId="77777777" w:rsidR="00707077" w:rsidRPr="00E07A7C" w:rsidRDefault="00707077" w:rsidP="00707077">
            <w:pPr>
              <w:spacing w:line="276" w:lineRule="auto"/>
              <w:rPr>
                <w:rFonts w:cs="Times New Roman"/>
                <w:sz w:val="22"/>
                <w:szCs w:val="24"/>
              </w:rPr>
            </w:pPr>
            <w:r w:rsidRPr="00E07A7C">
              <w:rPr>
                <w:rFonts w:cs="Times New Roman"/>
                <w:sz w:val="22"/>
                <w:szCs w:val="24"/>
              </w:rPr>
              <w:t>Conceptual framework used. Incorporated generative learning theory and to an extent, SRL.</w:t>
            </w:r>
          </w:p>
        </w:tc>
        <w:tc>
          <w:tcPr>
            <w:tcW w:w="2126" w:type="dxa"/>
          </w:tcPr>
          <w:p w14:paraId="5CBA911D" w14:textId="77777777" w:rsidR="00707077" w:rsidRPr="00E07A7C" w:rsidRDefault="00707077" w:rsidP="00707077">
            <w:pPr>
              <w:spacing w:line="276" w:lineRule="auto"/>
              <w:rPr>
                <w:rFonts w:cs="Times New Roman"/>
                <w:sz w:val="22"/>
                <w:szCs w:val="24"/>
              </w:rPr>
            </w:pPr>
            <w:r w:rsidRPr="00E07A7C">
              <w:rPr>
                <w:rFonts w:cs="Times New Roman"/>
                <w:sz w:val="22"/>
                <w:szCs w:val="24"/>
              </w:rPr>
              <w:t>SRL (meta-cognition), use of generative learning strategies, performance (recall and comprehension)</w:t>
            </w:r>
          </w:p>
        </w:tc>
        <w:tc>
          <w:tcPr>
            <w:tcW w:w="2581" w:type="dxa"/>
          </w:tcPr>
          <w:p w14:paraId="7C5DFC11"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Generative learning strategy prompts and meta-cognitive feedback improved performance scores. GLS on its own did not enhance SRL but GLS with meta-cognitive feedback did enhance SRL. </w:t>
            </w:r>
          </w:p>
        </w:tc>
      </w:tr>
      <w:tr w:rsidR="00707077" w:rsidRPr="00E07A7C" w14:paraId="14483C53" w14:textId="77777777" w:rsidTr="00AF4FFF">
        <w:tc>
          <w:tcPr>
            <w:tcW w:w="1798" w:type="dxa"/>
          </w:tcPr>
          <w:p w14:paraId="4D6B3B72"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The Effects of Age, Control Beliefs, and Feedback on </w:t>
            </w:r>
            <w:r w:rsidRPr="00E07A7C">
              <w:rPr>
                <w:rFonts w:cs="Times New Roman"/>
                <w:sz w:val="22"/>
                <w:szCs w:val="24"/>
              </w:rPr>
              <w:lastRenderedPageBreak/>
              <w:t>Self-Regulation of Reading and Problem Solving</w:t>
            </w:r>
          </w:p>
          <w:p w14:paraId="25D47602" w14:textId="77777777" w:rsidR="00707077" w:rsidRPr="00E07A7C" w:rsidRDefault="00707077" w:rsidP="00707077">
            <w:pPr>
              <w:spacing w:line="276" w:lineRule="auto"/>
              <w:rPr>
                <w:rFonts w:cs="Times New Roman"/>
                <w:sz w:val="22"/>
                <w:szCs w:val="24"/>
              </w:rPr>
            </w:pPr>
          </w:p>
          <w:p w14:paraId="62BFEC49" w14:textId="77777777" w:rsidR="00707077" w:rsidRPr="00E07A7C" w:rsidRDefault="00707077" w:rsidP="00707077">
            <w:pPr>
              <w:spacing w:line="276" w:lineRule="auto"/>
              <w:rPr>
                <w:rFonts w:cs="Times New Roman"/>
                <w:sz w:val="22"/>
                <w:szCs w:val="24"/>
              </w:rPr>
            </w:pPr>
            <w:r w:rsidRPr="00E07A7C">
              <w:rPr>
                <w:rFonts w:cs="Times New Roman"/>
                <w:sz w:val="22"/>
                <w:szCs w:val="24"/>
              </w:rPr>
              <w:t>Lisa M. Soederberg Miller; Robin L. West</w:t>
            </w:r>
          </w:p>
          <w:p w14:paraId="77D8AA3F" w14:textId="77777777" w:rsidR="00707077" w:rsidRPr="00E07A7C" w:rsidRDefault="00707077" w:rsidP="00707077">
            <w:pPr>
              <w:spacing w:line="276" w:lineRule="auto"/>
              <w:rPr>
                <w:rFonts w:cs="Times New Roman"/>
                <w:sz w:val="22"/>
                <w:szCs w:val="24"/>
              </w:rPr>
            </w:pPr>
          </w:p>
          <w:p w14:paraId="4E082B25" w14:textId="77777777" w:rsidR="00707077" w:rsidRPr="00E07A7C" w:rsidRDefault="00707077" w:rsidP="00707077">
            <w:pPr>
              <w:spacing w:line="276" w:lineRule="auto"/>
              <w:rPr>
                <w:rFonts w:cs="Times New Roman"/>
                <w:sz w:val="22"/>
                <w:szCs w:val="24"/>
              </w:rPr>
            </w:pPr>
            <w:r w:rsidRPr="00E07A7C">
              <w:rPr>
                <w:rFonts w:cs="Times New Roman"/>
                <w:sz w:val="22"/>
                <w:szCs w:val="24"/>
              </w:rPr>
              <w:t>2009</w:t>
            </w:r>
          </w:p>
        </w:tc>
        <w:tc>
          <w:tcPr>
            <w:tcW w:w="1701" w:type="dxa"/>
          </w:tcPr>
          <w:p w14:paraId="2A6C18D0"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USA</w:t>
            </w:r>
          </w:p>
          <w:p w14:paraId="1000AC65" w14:textId="77777777" w:rsidR="00707077" w:rsidRPr="00E07A7C" w:rsidRDefault="00707077" w:rsidP="00707077">
            <w:pPr>
              <w:spacing w:line="276" w:lineRule="auto"/>
              <w:rPr>
                <w:rFonts w:cs="Times New Roman"/>
                <w:sz w:val="22"/>
                <w:szCs w:val="24"/>
              </w:rPr>
            </w:pPr>
          </w:p>
          <w:p w14:paraId="04E26773"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University and community (unspecific)</w:t>
            </w:r>
          </w:p>
          <w:p w14:paraId="7CA76890" w14:textId="77777777" w:rsidR="00707077" w:rsidRPr="00E07A7C" w:rsidRDefault="00707077" w:rsidP="00707077">
            <w:pPr>
              <w:spacing w:line="276" w:lineRule="auto"/>
              <w:rPr>
                <w:rFonts w:cs="Times New Roman"/>
                <w:sz w:val="22"/>
                <w:szCs w:val="24"/>
              </w:rPr>
            </w:pPr>
          </w:p>
          <w:p w14:paraId="3D634896" w14:textId="77777777" w:rsidR="00707077" w:rsidRPr="00E07A7C" w:rsidRDefault="00707077" w:rsidP="00707077">
            <w:pPr>
              <w:spacing w:line="276" w:lineRule="auto"/>
              <w:rPr>
                <w:rFonts w:cs="Times New Roman"/>
                <w:sz w:val="22"/>
                <w:szCs w:val="24"/>
              </w:rPr>
            </w:pPr>
            <w:r w:rsidRPr="00E07A7C">
              <w:rPr>
                <w:rFonts w:cs="Times New Roman"/>
                <w:sz w:val="22"/>
                <w:szCs w:val="24"/>
              </w:rPr>
              <w:t>N=95</w:t>
            </w:r>
          </w:p>
          <w:p w14:paraId="24E4681A" w14:textId="77777777" w:rsidR="00707077" w:rsidRPr="00E07A7C" w:rsidRDefault="00707077" w:rsidP="00707077">
            <w:pPr>
              <w:spacing w:line="276" w:lineRule="auto"/>
              <w:rPr>
                <w:rFonts w:cs="Times New Roman"/>
                <w:sz w:val="22"/>
                <w:szCs w:val="24"/>
              </w:rPr>
            </w:pPr>
          </w:p>
          <w:p w14:paraId="697A7D77" w14:textId="77777777" w:rsidR="00707077" w:rsidRPr="00E07A7C" w:rsidRDefault="00707077" w:rsidP="00707077">
            <w:pPr>
              <w:spacing w:line="276" w:lineRule="auto"/>
              <w:rPr>
                <w:rFonts w:cs="Times New Roman"/>
                <w:sz w:val="22"/>
                <w:szCs w:val="24"/>
              </w:rPr>
            </w:pPr>
            <w:r w:rsidRPr="00E07A7C">
              <w:rPr>
                <w:rFonts w:cs="Times New Roman"/>
                <w:sz w:val="22"/>
                <w:szCs w:val="24"/>
              </w:rPr>
              <w:t>Education (General problem solving - reading)</w:t>
            </w:r>
          </w:p>
        </w:tc>
        <w:tc>
          <w:tcPr>
            <w:tcW w:w="1985" w:type="dxa"/>
          </w:tcPr>
          <w:p w14:paraId="1B2C3E23"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4 groups, randomised (young low-performance FB and high PFB, </w:t>
            </w:r>
            <w:r w:rsidRPr="00E07A7C">
              <w:rPr>
                <w:rFonts w:cs="Times New Roman"/>
                <w:sz w:val="22"/>
                <w:szCs w:val="24"/>
              </w:rPr>
              <w:lastRenderedPageBreak/>
              <w:t xml:space="preserve">old low and high-PFB), baseline used, grouped by age but randomised conditions, single measure, quantitative, no control </w:t>
            </w:r>
          </w:p>
        </w:tc>
        <w:tc>
          <w:tcPr>
            <w:tcW w:w="2425" w:type="dxa"/>
          </w:tcPr>
          <w:p w14:paraId="0B587A84"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Groups:</w:t>
            </w:r>
          </w:p>
          <w:p w14:paraId="5C60DD76" w14:textId="77777777" w:rsidR="00707077" w:rsidRPr="00E07A7C" w:rsidRDefault="00707077" w:rsidP="00707077">
            <w:pPr>
              <w:spacing w:line="276" w:lineRule="auto"/>
              <w:rPr>
                <w:rFonts w:cs="Times New Roman"/>
                <w:sz w:val="22"/>
                <w:szCs w:val="24"/>
              </w:rPr>
            </w:pPr>
            <w:r w:rsidRPr="00E07A7C">
              <w:rPr>
                <w:rFonts w:cs="Times New Roman"/>
                <w:sz w:val="22"/>
                <w:szCs w:val="24"/>
              </w:rPr>
              <w:t>- Young low-performance FB</w:t>
            </w:r>
          </w:p>
          <w:p w14:paraId="0B1CEAF6"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 Young high PFB </w:t>
            </w:r>
          </w:p>
          <w:p w14:paraId="6F6E92D7"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Old low-PFB</w:t>
            </w:r>
          </w:p>
          <w:p w14:paraId="00043A25" w14:textId="77777777" w:rsidR="00707077" w:rsidRPr="00E07A7C" w:rsidRDefault="00707077" w:rsidP="00707077">
            <w:pPr>
              <w:spacing w:line="276" w:lineRule="auto"/>
              <w:rPr>
                <w:rFonts w:cs="Times New Roman"/>
                <w:sz w:val="22"/>
                <w:szCs w:val="24"/>
              </w:rPr>
            </w:pPr>
            <w:r w:rsidRPr="00E07A7C">
              <w:rPr>
                <w:rFonts w:cs="Times New Roman"/>
                <w:sz w:val="22"/>
                <w:szCs w:val="24"/>
              </w:rPr>
              <w:t>- Old high-PFB</w:t>
            </w:r>
          </w:p>
          <w:p w14:paraId="3D37509E"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Given outcome feedback based on performance, feedback after every other test and social comparison, </w:t>
            </w:r>
          </w:p>
        </w:tc>
        <w:tc>
          <w:tcPr>
            <w:tcW w:w="1843" w:type="dxa"/>
          </w:tcPr>
          <w:p w14:paraId="0E1C9991"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None stated</w:t>
            </w:r>
          </w:p>
        </w:tc>
        <w:tc>
          <w:tcPr>
            <w:tcW w:w="2126" w:type="dxa"/>
          </w:tcPr>
          <w:p w14:paraId="7A3BFAAE"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Self-efficacy (novel test), performance expectations (task specific beliefs and </w:t>
            </w:r>
            <w:r w:rsidRPr="00E07A7C">
              <w:rPr>
                <w:rFonts w:cs="Times New Roman"/>
                <w:sz w:val="22"/>
                <w:szCs w:val="24"/>
              </w:rPr>
              <w:lastRenderedPageBreak/>
              <w:t>self-efficacy), task performance, self-reported performance compared to others</w:t>
            </w:r>
          </w:p>
        </w:tc>
        <w:tc>
          <w:tcPr>
            <w:tcW w:w="2581" w:type="dxa"/>
          </w:tcPr>
          <w:p w14:paraId="6A0CEF74"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High-performance feedback increased self-efficacy and performance</w:t>
            </w:r>
          </w:p>
          <w:p w14:paraId="0D4B13EE"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expectations compared to low-performance feedback, </w:t>
            </w:r>
          </w:p>
        </w:tc>
      </w:tr>
      <w:tr w:rsidR="00707077" w:rsidRPr="00E07A7C" w14:paraId="1596F838" w14:textId="77777777" w:rsidTr="00AF4FFF">
        <w:tc>
          <w:tcPr>
            <w:tcW w:w="1798" w:type="dxa"/>
          </w:tcPr>
          <w:p w14:paraId="323EEBBC"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The effect of goal involvement on</w:t>
            </w:r>
          </w:p>
          <w:p w14:paraId="32E64BE3" w14:textId="77777777" w:rsidR="00707077" w:rsidRPr="00E07A7C" w:rsidRDefault="00707077" w:rsidP="00707077">
            <w:pPr>
              <w:spacing w:line="276" w:lineRule="auto"/>
              <w:rPr>
                <w:rFonts w:cs="Times New Roman"/>
                <w:sz w:val="22"/>
                <w:szCs w:val="24"/>
              </w:rPr>
            </w:pPr>
            <w:r w:rsidRPr="00E07A7C">
              <w:rPr>
                <w:rFonts w:cs="Times New Roman"/>
                <w:sz w:val="22"/>
                <w:szCs w:val="24"/>
              </w:rPr>
              <w:t>self</w:t>
            </w:r>
            <w:r w:rsidRPr="00E07A7C">
              <w:rPr>
                <w:rFonts w:ascii="Cambria Math" w:hAnsi="Cambria Math" w:cs="Cambria Math"/>
                <w:sz w:val="22"/>
                <w:szCs w:val="24"/>
              </w:rPr>
              <w:t>‐</w:t>
            </w:r>
            <w:r w:rsidRPr="00E07A7C">
              <w:rPr>
                <w:rFonts w:cs="Times New Roman"/>
                <w:sz w:val="22"/>
                <w:szCs w:val="24"/>
              </w:rPr>
              <w:t>regulatory processes</w:t>
            </w:r>
          </w:p>
          <w:p w14:paraId="47FA0CF8" w14:textId="77777777" w:rsidR="00707077" w:rsidRPr="00E07A7C" w:rsidRDefault="00707077" w:rsidP="00707077">
            <w:pPr>
              <w:spacing w:line="276" w:lineRule="auto"/>
              <w:rPr>
                <w:rFonts w:cs="Times New Roman"/>
                <w:sz w:val="22"/>
                <w:szCs w:val="24"/>
              </w:rPr>
            </w:pPr>
          </w:p>
          <w:p w14:paraId="5ED06733" w14:textId="77777777" w:rsidR="00707077" w:rsidRPr="00E07A7C" w:rsidRDefault="00707077" w:rsidP="00707077">
            <w:pPr>
              <w:spacing w:line="276" w:lineRule="auto"/>
              <w:rPr>
                <w:rFonts w:cs="Times New Roman"/>
                <w:sz w:val="22"/>
                <w:szCs w:val="24"/>
              </w:rPr>
            </w:pPr>
            <w:r w:rsidRPr="00E07A7C">
              <w:rPr>
                <w:rFonts w:cs="Times New Roman"/>
                <w:sz w:val="22"/>
                <w:szCs w:val="24"/>
              </w:rPr>
              <w:t>Lori A. Gano</w:t>
            </w:r>
            <w:r w:rsidRPr="00E07A7C">
              <w:rPr>
                <w:rFonts w:ascii="Cambria Math" w:hAnsi="Cambria Math" w:cs="Cambria Math"/>
                <w:sz w:val="22"/>
                <w:szCs w:val="24"/>
              </w:rPr>
              <w:t>‐</w:t>
            </w:r>
            <w:r w:rsidRPr="00E07A7C">
              <w:rPr>
                <w:rFonts w:cs="Times New Roman"/>
                <w:sz w:val="22"/>
                <w:szCs w:val="24"/>
              </w:rPr>
              <w:t>Overway</w:t>
            </w:r>
          </w:p>
          <w:p w14:paraId="7C13F8F3" w14:textId="77777777" w:rsidR="00707077" w:rsidRPr="00E07A7C" w:rsidRDefault="00707077" w:rsidP="00707077">
            <w:pPr>
              <w:spacing w:line="276" w:lineRule="auto"/>
              <w:rPr>
                <w:rFonts w:cs="Times New Roman"/>
                <w:sz w:val="22"/>
                <w:szCs w:val="24"/>
              </w:rPr>
            </w:pPr>
          </w:p>
          <w:p w14:paraId="254271EC" w14:textId="77777777" w:rsidR="00707077" w:rsidRPr="00E07A7C" w:rsidRDefault="00707077" w:rsidP="00707077">
            <w:pPr>
              <w:spacing w:line="276" w:lineRule="auto"/>
              <w:rPr>
                <w:rFonts w:cs="Times New Roman"/>
                <w:sz w:val="22"/>
                <w:szCs w:val="24"/>
              </w:rPr>
            </w:pPr>
            <w:r w:rsidRPr="00E07A7C">
              <w:rPr>
                <w:rFonts w:cs="Times New Roman"/>
                <w:sz w:val="22"/>
                <w:szCs w:val="24"/>
              </w:rPr>
              <w:t>2008</w:t>
            </w:r>
          </w:p>
        </w:tc>
        <w:tc>
          <w:tcPr>
            <w:tcW w:w="1701" w:type="dxa"/>
          </w:tcPr>
          <w:p w14:paraId="01193717"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3F63245A" w14:textId="77777777" w:rsidR="00707077" w:rsidRPr="00E07A7C" w:rsidRDefault="00707077" w:rsidP="00707077">
            <w:pPr>
              <w:spacing w:line="276" w:lineRule="auto"/>
              <w:rPr>
                <w:rFonts w:cs="Times New Roman"/>
                <w:sz w:val="22"/>
                <w:szCs w:val="24"/>
              </w:rPr>
            </w:pPr>
          </w:p>
          <w:p w14:paraId="597676F9" w14:textId="77777777" w:rsidR="00707077" w:rsidRPr="00E07A7C" w:rsidRDefault="00707077" w:rsidP="00707077">
            <w:pPr>
              <w:spacing w:line="276" w:lineRule="auto"/>
              <w:rPr>
                <w:rFonts w:cs="Times New Roman"/>
                <w:sz w:val="22"/>
                <w:szCs w:val="24"/>
              </w:rPr>
            </w:pPr>
            <w:r w:rsidRPr="00E07A7C">
              <w:rPr>
                <w:rFonts w:cs="Times New Roman"/>
                <w:sz w:val="22"/>
                <w:szCs w:val="24"/>
              </w:rPr>
              <w:t>Undergraduates</w:t>
            </w:r>
          </w:p>
          <w:p w14:paraId="30BF1170" w14:textId="77777777" w:rsidR="00707077" w:rsidRPr="00E07A7C" w:rsidRDefault="00707077" w:rsidP="00707077">
            <w:pPr>
              <w:spacing w:line="276" w:lineRule="auto"/>
              <w:rPr>
                <w:rFonts w:cs="Times New Roman"/>
                <w:sz w:val="22"/>
                <w:szCs w:val="24"/>
              </w:rPr>
            </w:pPr>
          </w:p>
          <w:p w14:paraId="2D0CCD81" w14:textId="77777777" w:rsidR="00707077" w:rsidRPr="00E07A7C" w:rsidRDefault="00707077" w:rsidP="00707077">
            <w:pPr>
              <w:spacing w:line="276" w:lineRule="auto"/>
              <w:rPr>
                <w:rFonts w:cs="Times New Roman"/>
                <w:sz w:val="22"/>
                <w:szCs w:val="24"/>
              </w:rPr>
            </w:pPr>
            <w:r w:rsidRPr="00E07A7C">
              <w:rPr>
                <w:rFonts w:cs="Times New Roman"/>
                <w:sz w:val="22"/>
                <w:szCs w:val="24"/>
              </w:rPr>
              <w:t>N=31, N=37</w:t>
            </w:r>
          </w:p>
          <w:p w14:paraId="5F34A334" w14:textId="77777777" w:rsidR="00707077" w:rsidRPr="00E07A7C" w:rsidRDefault="00707077" w:rsidP="00707077">
            <w:pPr>
              <w:spacing w:line="276" w:lineRule="auto"/>
              <w:rPr>
                <w:rFonts w:cs="Times New Roman"/>
                <w:sz w:val="22"/>
                <w:szCs w:val="24"/>
              </w:rPr>
            </w:pPr>
          </w:p>
          <w:p w14:paraId="0165FDD3" w14:textId="77777777" w:rsidR="00707077" w:rsidRPr="00E07A7C" w:rsidRDefault="00707077" w:rsidP="00707077">
            <w:pPr>
              <w:spacing w:line="276" w:lineRule="auto"/>
              <w:rPr>
                <w:rFonts w:cs="Times New Roman"/>
                <w:sz w:val="22"/>
                <w:szCs w:val="24"/>
              </w:rPr>
            </w:pPr>
            <w:r w:rsidRPr="00E07A7C">
              <w:rPr>
                <w:rFonts w:cs="Times New Roman"/>
                <w:sz w:val="22"/>
                <w:szCs w:val="24"/>
              </w:rPr>
              <w:t>Sport (reaction time and agility task)</w:t>
            </w:r>
          </w:p>
        </w:tc>
        <w:tc>
          <w:tcPr>
            <w:tcW w:w="1985" w:type="dxa"/>
          </w:tcPr>
          <w:p w14:paraId="40C74BC3" w14:textId="77777777" w:rsidR="00707077" w:rsidRPr="00E07A7C" w:rsidRDefault="00707077" w:rsidP="00707077">
            <w:pPr>
              <w:spacing w:line="276" w:lineRule="auto"/>
              <w:rPr>
                <w:rFonts w:cs="Times New Roman"/>
                <w:sz w:val="22"/>
                <w:szCs w:val="24"/>
              </w:rPr>
            </w:pPr>
            <w:r w:rsidRPr="00E07A7C">
              <w:rPr>
                <w:rFonts w:cs="Times New Roman"/>
                <w:sz w:val="22"/>
                <w:szCs w:val="24"/>
              </w:rPr>
              <w:t>2 experiments (same measures and methodologies), both Repeated measures, 1</w:t>
            </w:r>
            <w:r w:rsidRPr="00E07A7C">
              <w:rPr>
                <w:rFonts w:cs="Times New Roman"/>
                <w:sz w:val="22"/>
                <w:szCs w:val="24"/>
                <w:vertAlign w:val="superscript"/>
              </w:rPr>
              <w:t>st</w:t>
            </w:r>
            <w:r w:rsidRPr="00E07A7C">
              <w:rPr>
                <w:rFonts w:cs="Times New Roman"/>
                <w:sz w:val="22"/>
                <w:szCs w:val="24"/>
              </w:rPr>
              <w:t xml:space="preserve"> experiment non-randomised and 2</w:t>
            </w:r>
            <w:r w:rsidRPr="00E07A7C">
              <w:rPr>
                <w:rFonts w:cs="Times New Roman"/>
                <w:sz w:val="22"/>
                <w:szCs w:val="24"/>
                <w:vertAlign w:val="superscript"/>
              </w:rPr>
              <w:t>nd</w:t>
            </w:r>
            <w:r w:rsidRPr="00E07A7C">
              <w:rPr>
                <w:rFonts w:cs="Times New Roman"/>
                <w:sz w:val="22"/>
                <w:szCs w:val="24"/>
              </w:rPr>
              <w:t xml:space="preserve"> randomised, both between groups analysis, baselines used in both, no controls in either experiment, both quantitative </w:t>
            </w:r>
          </w:p>
        </w:tc>
        <w:tc>
          <w:tcPr>
            <w:tcW w:w="2425" w:type="dxa"/>
          </w:tcPr>
          <w:p w14:paraId="38B255F4" w14:textId="77777777" w:rsidR="00707077" w:rsidRPr="00E07A7C" w:rsidRDefault="00707077" w:rsidP="00707077">
            <w:pPr>
              <w:spacing w:line="276" w:lineRule="auto"/>
              <w:rPr>
                <w:rFonts w:cs="Times New Roman"/>
                <w:sz w:val="22"/>
                <w:szCs w:val="24"/>
              </w:rPr>
            </w:pPr>
            <w:r w:rsidRPr="00E07A7C">
              <w:rPr>
                <w:rFonts w:cs="Times New Roman"/>
                <w:b/>
                <w:sz w:val="22"/>
                <w:szCs w:val="24"/>
              </w:rPr>
              <w:t>1</w:t>
            </w:r>
            <w:r w:rsidRPr="00E07A7C">
              <w:rPr>
                <w:rFonts w:cs="Times New Roman"/>
                <w:b/>
                <w:sz w:val="22"/>
                <w:szCs w:val="24"/>
                <w:vertAlign w:val="superscript"/>
              </w:rPr>
              <w:t>st</w:t>
            </w:r>
            <w:r w:rsidRPr="00E07A7C">
              <w:rPr>
                <w:rFonts w:cs="Times New Roman"/>
                <w:b/>
                <w:sz w:val="22"/>
                <w:szCs w:val="24"/>
              </w:rPr>
              <w:t xml:space="preserve"> </w:t>
            </w:r>
            <w:r w:rsidRPr="00E07A7C">
              <w:rPr>
                <w:rFonts w:cs="Times New Roman"/>
                <w:sz w:val="22"/>
                <w:szCs w:val="24"/>
              </w:rPr>
              <w:t>2 conditions (task or ego), 3 iterations of a computerised motor task with performance feedback, negative feedback in ego condition and false feedback in task condition, SRQ questionnaires.</w:t>
            </w:r>
          </w:p>
          <w:p w14:paraId="2C9835FA" w14:textId="77777777" w:rsidR="00707077" w:rsidRPr="00E07A7C" w:rsidRDefault="00707077" w:rsidP="00707077">
            <w:pPr>
              <w:spacing w:line="276" w:lineRule="auto"/>
              <w:rPr>
                <w:rFonts w:cs="Times New Roman"/>
                <w:sz w:val="22"/>
                <w:szCs w:val="24"/>
              </w:rPr>
            </w:pPr>
            <w:r w:rsidRPr="00E07A7C">
              <w:rPr>
                <w:rFonts w:cs="Times New Roman"/>
                <w:b/>
                <w:sz w:val="22"/>
                <w:szCs w:val="24"/>
              </w:rPr>
              <w:t>2</w:t>
            </w:r>
            <w:r w:rsidRPr="00E07A7C">
              <w:rPr>
                <w:rFonts w:cs="Times New Roman"/>
                <w:b/>
                <w:sz w:val="22"/>
                <w:szCs w:val="24"/>
                <w:vertAlign w:val="superscript"/>
              </w:rPr>
              <w:t>nd</w:t>
            </w:r>
            <w:r w:rsidRPr="00E07A7C">
              <w:rPr>
                <w:rFonts w:cs="Times New Roman"/>
                <w:b/>
                <w:sz w:val="22"/>
                <w:szCs w:val="24"/>
              </w:rPr>
              <w:t xml:space="preserve"> </w:t>
            </w:r>
            <w:r w:rsidRPr="00E07A7C">
              <w:rPr>
                <w:rFonts w:cs="Times New Roman"/>
                <w:sz w:val="22"/>
                <w:szCs w:val="24"/>
              </w:rPr>
              <w:t>2 groups, task and ego goal orientation contexts, agility test, false feedback, SRQ questionnaires</w:t>
            </w:r>
          </w:p>
        </w:tc>
        <w:tc>
          <w:tcPr>
            <w:tcW w:w="1843" w:type="dxa"/>
          </w:tcPr>
          <w:p w14:paraId="665B8478" w14:textId="77777777" w:rsidR="00707077" w:rsidRPr="00E07A7C" w:rsidRDefault="00707077" w:rsidP="00707077">
            <w:pPr>
              <w:spacing w:line="276" w:lineRule="auto"/>
              <w:rPr>
                <w:rFonts w:cs="Times New Roman"/>
                <w:sz w:val="22"/>
                <w:szCs w:val="24"/>
              </w:rPr>
            </w:pPr>
            <w:r w:rsidRPr="00E07A7C">
              <w:rPr>
                <w:rFonts w:cs="Times New Roman"/>
                <w:sz w:val="22"/>
                <w:szCs w:val="24"/>
              </w:rPr>
              <w:t>SRL and achievement goal theory.</w:t>
            </w:r>
          </w:p>
        </w:tc>
        <w:tc>
          <w:tcPr>
            <w:tcW w:w="2126" w:type="dxa"/>
          </w:tcPr>
          <w:p w14:paraId="5FF5E8D3"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Strategy use (SRL and self-control questionnaire based on previous research), self-defeating thoughts and dispositional goal orientations  </w:t>
            </w:r>
          </w:p>
        </w:tc>
        <w:tc>
          <w:tcPr>
            <w:tcW w:w="2581" w:type="dxa"/>
          </w:tcPr>
          <w:p w14:paraId="77F1E2CE" w14:textId="77777777" w:rsidR="00707077" w:rsidRPr="00E07A7C" w:rsidRDefault="00707077" w:rsidP="00707077">
            <w:pPr>
              <w:spacing w:line="276" w:lineRule="auto"/>
              <w:rPr>
                <w:rFonts w:cs="Times New Roman"/>
                <w:sz w:val="22"/>
                <w:szCs w:val="24"/>
              </w:rPr>
            </w:pPr>
            <w:r w:rsidRPr="00E07A7C">
              <w:rPr>
                <w:rFonts w:cs="Times New Roman"/>
                <w:sz w:val="22"/>
                <w:szCs w:val="24"/>
              </w:rPr>
              <w:t>Focusing on task involvement may increase athlete engagement in effective SRL processes and strategies compared to ego involvement and lower self-defeating thoughts. The conclusions were the same for both experiments, however in the 2</w:t>
            </w:r>
            <w:r w:rsidRPr="00E07A7C">
              <w:rPr>
                <w:rFonts w:cs="Times New Roman"/>
                <w:sz w:val="22"/>
                <w:szCs w:val="24"/>
                <w:vertAlign w:val="superscript"/>
              </w:rPr>
              <w:t>nd</w:t>
            </w:r>
            <w:r w:rsidRPr="00E07A7C">
              <w:rPr>
                <w:rFonts w:cs="Times New Roman"/>
                <w:sz w:val="22"/>
                <w:szCs w:val="24"/>
              </w:rPr>
              <w:t xml:space="preserve"> experiment self-control strategies were not affected by either task or ego condition.</w:t>
            </w:r>
          </w:p>
        </w:tc>
      </w:tr>
      <w:tr w:rsidR="00707077" w:rsidRPr="00E07A7C" w14:paraId="03A28151" w14:textId="77777777" w:rsidTr="00AF4FFF">
        <w:tc>
          <w:tcPr>
            <w:tcW w:w="1798" w:type="dxa"/>
          </w:tcPr>
          <w:p w14:paraId="5BBD27BA"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Self-Regulation of Goals and Performance: </w:t>
            </w:r>
            <w:r w:rsidRPr="00E07A7C">
              <w:rPr>
                <w:rFonts w:cs="Times New Roman"/>
                <w:sz w:val="22"/>
                <w:szCs w:val="24"/>
              </w:rPr>
              <w:lastRenderedPageBreak/>
              <w:t>Effects of Discrepancy Feedback, Regulatory Focus, and Self-Efficacy</w:t>
            </w:r>
          </w:p>
          <w:p w14:paraId="02A9EAEF" w14:textId="77777777" w:rsidR="00707077" w:rsidRPr="00E07A7C" w:rsidRDefault="00707077" w:rsidP="00707077">
            <w:pPr>
              <w:spacing w:line="276" w:lineRule="auto"/>
              <w:rPr>
                <w:rFonts w:cs="Times New Roman"/>
                <w:sz w:val="22"/>
                <w:szCs w:val="24"/>
              </w:rPr>
            </w:pPr>
          </w:p>
          <w:p w14:paraId="4BA67691" w14:textId="77777777" w:rsidR="00707077" w:rsidRPr="00E07A7C" w:rsidRDefault="00707077" w:rsidP="00707077">
            <w:pPr>
              <w:spacing w:line="276" w:lineRule="auto"/>
              <w:rPr>
                <w:rFonts w:cs="Times New Roman"/>
                <w:sz w:val="22"/>
                <w:szCs w:val="24"/>
              </w:rPr>
            </w:pPr>
            <w:r w:rsidRPr="00E07A7C">
              <w:rPr>
                <w:rFonts w:cs="Times New Roman"/>
                <w:sz w:val="22"/>
                <w:szCs w:val="24"/>
              </w:rPr>
              <w:t>Jessica M. Nicklin; Kevin J. Williams</w:t>
            </w:r>
          </w:p>
          <w:p w14:paraId="4C1F64CE" w14:textId="77777777" w:rsidR="00707077" w:rsidRPr="00E07A7C" w:rsidRDefault="00707077" w:rsidP="00707077">
            <w:pPr>
              <w:spacing w:line="276" w:lineRule="auto"/>
              <w:rPr>
                <w:rFonts w:cs="Times New Roman"/>
                <w:sz w:val="22"/>
                <w:szCs w:val="24"/>
              </w:rPr>
            </w:pPr>
          </w:p>
          <w:p w14:paraId="6B6B124B" w14:textId="77777777" w:rsidR="00707077" w:rsidRPr="00E07A7C" w:rsidRDefault="00707077" w:rsidP="00707077">
            <w:pPr>
              <w:spacing w:line="276" w:lineRule="auto"/>
              <w:rPr>
                <w:rFonts w:cs="Times New Roman"/>
                <w:sz w:val="22"/>
                <w:szCs w:val="24"/>
              </w:rPr>
            </w:pPr>
            <w:r w:rsidRPr="00E07A7C">
              <w:rPr>
                <w:rFonts w:cs="Times New Roman"/>
                <w:sz w:val="22"/>
                <w:szCs w:val="24"/>
              </w:rPr>
              <w:t>2011</w:t>
            </w:r>
          </w:p>
          <w:p w14:paraId="05A9B0D3" w14:textId="77777777" w:rsidR="00707077" w:rsidRPr="00E07A7C" w:rsidRDefault="00707077" w:rsidP="00707077">
            <w:pPr>
              <w:spacing w:line="276" w:lineRule="auto"/>
              <w:rPr>
                <w:rFonts w:cs="Times New Roman"/>
                <w:sz w:val="22"/>
                <w:szCs w:val="24"/>
              </w:rPr>
            </w:pPr>
          </w:p>
          <w:p w14:paraId="59F13F94" w14:textId="77777777" w:rsidR="00707077" w:rsidRPr="00E07A7C" w:rsidRDefault="00707077" w:rsidP="00707077">
            <w:pPr>
              <w:spacing w:line="276" w:lineRule="auto"/>
              <w:rPr>
                <w:rFonts w:cs="Times New Roman"/>
                <w:sz w:val="22"/>
                <w:szCs w:val="24"/>
              </w:rPr>
            </w:pPr>
            <w:r w:rsidRPr="00E07A7C">
              <w:rPr>
                <w:rFonts w:cs="Times New Roman"/>
                <w:sz w:val="22"/>
                <w:szCs w:val="24"/>
              </w:rPr>
              <w:t>Context issues due to singular non-authentic task transferability</w:t>
            </w:r>
          </w:p>
        </w:tc>
        <w:tc>
          <w:tcPr>
            <w:tcW w:w="1701" w:type="dxa"/>
          </w:tcPr>
          <w:p w14:paraId="1721020F"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USA</w:t>
            </w:r>
          </w:p>
          <w:p w14:paraId="6858C580" w14:textId="77777777" w:rsidR="00707077" w:rsidRPr="00E07A7C" w:rsidRDefault="00707077" w:rsidP="00707077">
            <w:pPr>
              <w:spacing w:line="276" w:lineRule="auto"/>
              <w:rPr>
                <w:rFonts w:cs="Times New Roman"/>
                <w:sz w:val="22"/>
                <w:szCs w:val="24"/>
              </w:rPr>
            </w:pPr>
          </w:p>
          <w:p w14:paraId="309DA75A"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Undergraduates </w:t>
            </w:r>
          </w:p>
          <w:p w14:paraId="2B29F818" w14:textId="77777777" w:rsidR="00707077" w:rsidRPr="00E07A7C" w:rsidRDefault="00707077" w:rsidP="00707077">
            <w:pPr>
              <w:spacing w:line="276" w:lineRule="auto"/>
              <w:rPr>
                <w:rFonts w:cs="Times New Roman"/>
                <w:sz w:val="22"/>
                <w:szCs w:val="24"/>
              </w:rPr>
            </w:pPr>
          </w:p>
          <w:p w14:paraId="041F86BE" w14:textId="77777777" w:rsidR="00707077" w:rsidRPr="00E07A7C" w:rsidRDefault="00707077" w:rsidP="00707077">
            <w:pPr>
              <w:spacing w:line="276" w:lineRule="auto"/>
              <w:rPr>
                <w:rFonts w:cs="Times New Roman"/>
                <w:sz w:val="22"/>
                <w:szCs w:val="24"/>
              </w:rPr>
            </w:pPr>
            <w:r w:rsidRPr="00E07A7C">
              <w:rPr>
                <w:rFonts w:cs="Times New Roman"/>
                <w:sz w:val="22"/>
                <w:szCs w:val="24"/>
              </w:rPr>
              <w:t>N=297</w:t>
            </w:r>
          </w:p>
          <w:p w14:paraId="4880C837" w14:textId="77777777" w:rsidR="00707077" w:rsidRPr="00E07A7C" w:rsidRDefault="00707077" w:rsidP="00707077">
            <w:pPr>
              <w:spacing w:line="276" w:lineRule="auto"/>
              <w:rPr>
                <w:rFonts w:cs="Times New Roman"/>
                <w:sz w:val="22"/>
                <w:szCs w:val="24"/>
              </w:rPr>
            </w:pPr>
          </w:p>
          <w:p w14:paraId="0F8DD1BB" w14:textId="77777777" w:rsidR="00707077" w:rsidRPr="00E07A7C" w:rsidRDefault="00707077" w:rsidP="00707077">
            <w:pPr>
              <w:spacing w:line="276" w:lineRule="auto"/>
              <w:rPr>
                <w:rFonts w:cs="Times New Roman"/>
                <w:sz w:val="22"/>
                <w:szCs w:val="24"/>
              </w:rPr>
            </w:pPr>
            <w:r w:rsidRPr="00E07A7C">
              <w:rPr>
                <w:rFonts w:cs="Times New Roman"/>
                <w:sz w:val="22"/>
                <w:szCs w:val="24"/>
              </w:rPr>
              <w:t>Novel task/ education (OPERATION game)</w:t>
            </w:r>
          </w:p>
        </w:tc>
        <w:tc>
          <w:tcPr>
            <w:tcW w:w="1985" w:type="dxa"/>
          </w:tcPr>
          <w:p w14:paraId="4EB3AE0D"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Repeated measures, randomised, </w:t>
            </w:r>
            <w:r w:rsidRPr="00E07A7C">
              <w:rPr>
                <w:rFonts w:cs="Times New Roman"/>
                <w:sz w:val="22"/>
                <w:szCs w:val="24"/>
              </w:rPr>
              <w:lastRenderedPageBreak/>
              <w:t xml:space="preserve">quantitative, baseline used, </w:t>
            </w:r>
          </w:p>
          <w:p w14:paraId="5E290EA0" w14:textId="77777777" w:rsidR="00707077" w:rsidRPr="00E07A7C" w:rsidRDefault="00707077" w:rsidP="00707077">
            <w:pPr>
              <w:spacing w:line="276" w:lineRule="auto"/>
              <w:rPr>
                <w:rFonts w:cs="Times New Roman"/>
                <w:sz w:val="22"/>
                <w:szCs w:val="24"/>
              </w:rPr>
            </w:pPr>
            <w:r w:rsidRPr="00E07A7C">
              <w:rPr>
                <w:rFonts w:cs="Times New Roman"/>
                <w:sz w:val="22"/>
                <w:szCs w:val="24"/>
              </w:rPr>
              <w:t>4 conditions:</w:t>
            </w:r>
          </w:p>
          <w:p w14:paraId="6822EB29" w14:textId="77777777" w:rsidR="00707077" w:rsidRPr="00E07A7C" w:rsidRDefault="00707077" w:rsidP="00707077">
            <w:pPr>
              <w:spacing w:line="276" w:lineRule="auto"/>
              <w:rPr>
                <w:rFonts w:cs="Times New Roman"/>
                <w:sz w:val="22"/>
                <w:szCs w:val="24"/>
              </w:rPr>
            </w:pPr>
            <w:r w:rsidRPr="00E07A7C">
              <w:rPr>
                <w:rFonts w:cs="Times New Roman"/>
                <w:sz w:val="22"/>
                <w:szCs w:val="24"/>
              </w:rPr>
              <w:t>Promotion focus</w:t>
            </w:r>
          </w:p>
          <w:p w14:paraId="1EA47856" w14:textId="77777777" w:rsidR="00707077" w:rsidRPr="00E07A7C" w:rsidRDefault="00707077" w:rsidP="00707077">
            <w:pPr>
              <w:spacing w:line="276" w:lineRule="auto"/>
              <w:rPr>
                <w:rFonts w:cs="Times New Roman"/>
                <w:sz w:val="22"/>
                <w:szCs w:val="24"/>
              </w:rPr>
            </w:pPr>
            <w:r w:rsidRPr="00E07A7C">
              <w:rPr>
                <w:rFonts w:cs="Times New Roman"/>
                <w:sz w:val="22"/>
                <w:szCs w:val="24"/>
              </w:rPr>
              <w:t>Prevention focus</w:t>
            </w:r>
          </w:p>
          <w:p w14:paraId="26A9390F" w14:textId="77777777" w:rsidR="00707077" w:rsidRPr="00E07A7C" w:rsidRDefault="00707077" w:rsidP="00707077">
            <w:pPr>
              <w:spacing w:line="276" w:lineRule="auto"/>
              <w:rPr>
                <w:rFonts w:cs="Times New Roman"/>
                <w:sz w:val="22"/>
                <w:szCs w:val="24"/>
              </w:rPr>
            </w:pPr>
            <w:r w:rsidRPr="00E07A7C">
              <w:rPr>
                <w:rFonts w:cs="Times New Roman"/>
                <w:sz w:val="22"/>
                <w:szCs w:val="24"/>
              </w:rPr>
              <w:t>Feedback direction (high/low), questionnaires and observed performance, between groups analysis, no control</w:t>
            </w:r>
          </w:p>
          <w:p w14:paraId="44FEC8AB" w14:textId="77777777" w:rsidR="00707077" w:rsidRPr="00E07A7C" w:rsidRDefault="00707077" w:rsidP="00707077">
            <w:pPr>
              <w:spacing w:line="276" w:lineRule="auto"/>
              <w:rPr>
                <w:rFonts w:cs="Times New Roman"/>
                <w:sz w:val="22"/>
                <w:szCs w:val="24"/>
              </w:rPr>
            </w:pPr>
          </w:p>
        </w:tc>
        <w:tc>
          <w:tcPr>
            <w:tcW w:w="2425" w:type="dxa"/>
          </w:tcPr>
          <w:p w14:paraId="7D652840"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OPERATION game task performance with multiple iterations, basic </w:t>
            </w:r>
            <w:r w:rsidRPr="00E07A7C">
              <w:rPr>
                <w:rFonts w:cs="Times New Roman"/>
                <w:sz w:val="22"/>
                <w:szCs w:val="24"/>
              </w:rPr>
              <w:lastRenderedPageBreak/>
              <w:t xml:space="preserve">outcome feedback (compared participant to a set standard score and individual goal), baseline measurements and dexterity test carried out before task, self-efficacy tested, </w:t>
            </w:r>
          </w:p>
        </w:tc>
        <w:tc>
          <w:tcPr>
            <w:tcW w:w="1843" w:type="dxa"/>
          </w:tcPr>
          <w:p w14:paraId="2CC6212D" w14:textId="237C4C21"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Fully detailed rationale and theoretical </w:t>
            </w:r>
            <w:r w:rsidRPr="00E07A7C">
              <w:rPr>
                <w:rFonts w:cs="Times New Roman"/>
                <w:sz w:val="22"/>
                <w:szCs w:val="24"/>
              </w:rPr>
              <w:lastRenderedPageBreak/>
              <w:t xml:space="preserve">underpinning. </w:t>
            </w:r>
            <w:r w:rsidR="00F17F73" w:rsidRPr="00E07A7C">
              <w:rPr>
                <w:rFonts w:cs="Times New Roman"/>
                <w:sz w:val="22"/>
                <w:szCs w:val="24"/>
              </w:rPr>
              <w:t>Social cognitive</w:t>
            </w:r>
            <w:r w:rsidRPr="00E07A7C">
              <w:rPr>
                <w:rFonts w:cs="Times New Roman"/>
                <w:sz w:val="22"/>
                <w:szCs w:val="24"/>
              </w:rPr>
              <w:t xml:space="preserve"> theory, regulatory focus theory. SRL eluded to but not explicitly explained or directly implemented  </w:t>
            </w:r>
          </w:p>
        </w:tc>
        <w:tc>
          <w:tcPr>
            <w:tcW w:w="2126" w:type="dxa"/>
          </w:tcPr>
          <w:p w14:paraId="47F393FD"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Regulatory focus (questionnaire), task performance, self-set </w:t>
            </w:r>
            <w:r w:rsidRPr="00E07A7C">
              <w:rPr>
                <w:rFonts w:cs="Times New Roman"/>
                <w:sz w:val="22"/>
                <w:szCs w:val="24"/>
              </w:rPr>
              <w:lastRenderedPageBreak/>
              <w:t xml:space="preserve">performance goals, goal change, positive discrepancy creation, task persistence, self-efficacy (questionnaire used previously), manipulation checks, goal performance discrepancies </w:t>
            </w:r>
          </w:p>
        </w:tc>
        <w:tc>
          <w:tcPr>
            <w:tcW w:w="2581" w:type="dxa"/>
          </w:tcPr>
          <w:p w14:paraId="6681262D"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Self-efficacy and feedback on how performance differed to personal goals </w:t>
            </w:r>
            <w:r w:rsidRPr="00E07A7C">
              <w:rPr>
                <w:rFonts w:cs="Times New Roman"/>
                <w:sz w:val="22"/>
                <w:szCs w:val="24"/>
              </w:rPr>
              <w:lastRenderedPageBreak/>
              <w:t>strongly predicted goal revision which increased over iterations, goal revision and subsequent performance largely relied on performance feedback from normative standards and self-set goals</w:t>
            </w:r>
          </w:p>
        </w:tc>
      </w:tr>
      <w:tr w:rsidR="00707077" w:rsidRPr="00E07A7C" w14:paraId="159AA75D" w14:textId="77777777" w:rsidTr="00AF4FFF">
        <w:trPr>
          <w:trHeight w:val="2718"/>
        </w:trPr>
        <w:tc>
          <w:tcPr>
            <w:tcW w:w="1798" w:type="dxa"/>
          </w:tcPr>
          <w:p w14:paraId="0C47A24C"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Reflection prompts and tutor feedback in a web based learning environment: Effects on students' self-regulated </w:t>
            </w:r>
            <w:r w:rsidRPr="00E07A7C">
              <w:rPr>
                <w:rFonts w:cs="Times New Roman"/>
                <w:sz w:val="22"/>
                <w:szCs w:val="24"/>
              </w:rPr>
              <w:lastRenderedPageBreak/>
              <w:t>learning competence</w:t>
            </w:r>
          </w:p>
          <w:p w14:paraId="3329F4FC" w14:textId="77777777" w:rsidR="00707077" w:rsidRPr="00E07A7C" w:rsidRDefault="00707077" w:rsidP="00707077">
            <w:pPr>
              <w:spacing w:line="276" w:lineRule="auto"/>
              <w:rPr>
                <w:rFonts w:cs="Times New Roman"/>
                <w:sz w:val="22"/>
                <w:szCs w:val="24"/>
              </w:rPr>
            </w:pPr>
          </w:p>
          <w:p w14:paraId="6BA823F0" w14:textId="77777777" w:rsidR="00707077" w:rsidRPr="00E07A7C" w:rsidRDefault="00707077" w:rsidP="00707077">
            <w:pPr>
              <w:spacing w:line="276" w:lineRule="auto"/>
              <w:rPr>
                <w:rFonts w:cs="Times New Roman"/>
                <w:sz w:val="22"/>
                <w:szCs w:val="24"/>
              </w:rPr>
            </w:pPr>
            <w:r w:rsidRPr="00E07A7C">
              <w:rPr>
                <w:rFonts w:cs="Times New Roman"/>
                <w:sz w:val="22"/>
                <w:szCs w:val="24"/>
              </w:rPr>
              <w:t>G van den Boom, F Paas,</w:t>
            </w:r>
          </w:p>
          <w:p w14:paraId="2C779777" w14:textId="77777777" w:rsidR="00707077" w:rsidRPr="00E07A7C" w:rsidRDefault="00707077" w:rsidP="00707077">
            <w:pPr>
              <w:spacing w:line="276" w:lineRule="auto"/>
              <w:rPr>
                <w:rFonts w:cs="Times New Roman"/>
                <w:sz w:val="22"/>
                <w:szCs w:val="24"/>
              </w:rPr>
            </w:pPr>
            <w:r w:rsidRPr="00E07A7C">
              <w:rPr>
                <w:rFonts w:cs="Times New Roman"/>
                <w:sz w:val="22"/>
                <w:szCs w:val="24"/>
              </w:rPr>
              <w:t>J.J.G. van Merrienboer, T van Gog</w:t>
            </w:r>
          </w:p>
          <w:p w14:paraId="02FA6BA7" w14:textId="77777777" w:rsidR="00707077" w:rsidRPr="00E07A7C" w:rsidRDefault="00707077" w:rsidP="00707077">
            <w:pPr>
              <w:spacing w:line="276" w:lineRule="auto"/>
              <w:rPr>
                <w:rFonts w:cs="Times New Roman"/>
                <w:sz w:val="22"/>
                <w:szCs w:val="24"/>
              </w:rPr>
            </w:pPr>
          </w:p>
          <w:p w14:paraId="5C009AB7" w14:textId="77777777" w:rsidR="00707077" w:rsidRPr="00E07A7C" w:rsidRDefault="00707077" w:rsidP="00707077">
            <w:pPr>
              <w:spacing w:line="276" w:lineRule="auto"/>
              <w:rPr>
                <w:rFonts w:cs="Times New Roman"/>
                <w:sz w:val="22"/>
                <w:szCs w:val="24"/>
              </w:rPr>
            </w:pPr>
            <w:r w:rsidRPr="00E07A7C">
              <w:rPr>
                <w:rFonts w:cs="Times New Roman"/>
                <w:sz w:val="22"/>
                <w:szCs w:val="24"/>
              </w:rPr>
              <w:t>2004</w:t>
            </w:r>
          </w:p>
        </w:tc>
        <w:tc>
          <w:tcPr>
            <w:tcW w:w="1701" w:type="dxa"/>
          </w:tcPr>
          <w:p w14:paraId="1E3C4F67"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Netherlands </w:t>
            </w:r>
          </w:p>
          <w:p w14:paraId="0ABEE2A3" w14:textId="77777777" w:rsidR="00707077" w:rsidRPr="00E07A7C" w:rsidRDefault="00707077" w:rsidP="00707077">
            <w:pPr>
              <w:spacing w:line="276" w:lineRule="auto"/>
              <w:rPr>
                <w:rFonts w:cs="Times New Roman"/>
                <w:sz w:val="22"/>
                <w:szCs w:val="24"/>
              </w:rPr>
            </w:pPr>
          </w:p>
          <w:p w14:paraId="58092DE0" w14:textId="77777777" w:rsidR="00707077" w:rsidRPr="00E07A7C" w:rsidRDefault="00707077" w:rsidP="00707077">
            <w:pPr>
              <w:spacing w:line="276" w:lineRule="auto"/>
              <w:rPr>
                <w:rFonts w:cs="Times New Roman"/>
                <w:sz w:val="22"/>
                <w:szCs w:val="24"/>
              </w:rPr>
            </w:pPr>
            <w:r w:rsidRPr="00E07A7C">
              <w:rPr>
                <w:rFonts w:cs="Times New Roman"/>
                <w:sz w:val="22"/>
                <w:szCs w:val="24"/>
              </w:rPr>
              <w:t>2</w:t>
            </w:r>
            <w:r w:rsidRPr="00E07A7C">
              <w:rPr>
                <w:rFonts w:cs="Times New Roman"/>
                <w:sz w:val="22"/>
                <w:szCs w:val="24"/>
                <w:vertAlign w:val="superscript"/>
              </w:rPr>
              <w:t>nd</w:t>
            </w:r>
            <w:r w:rsidRPr="00E07A7C">
              <w:rPr>
                <w:rFonts w:cs="Times New Roman"/>
                <w:sz w:val="22"/>
                <w:szCs w:val="24"/>
              </w:rPr>
              <w:t xml:space="preserve"> year, teacher training college</w:t>
            </w:r>
          </w:p>
          <w:p w14:paraId="7331E016" w14:textId="77777777" w:rsidR="00707077" w:rsidRPr="00E07A7C" w:rsidRDefault="00707077" w:rsidP="00707077">
            <w:pPr>
              <w:spacing w:line="276" w:lineRule="auto"/>
              <w:rPr>
                <w:rFonts w:cs="Times New Roman"/>
                <w:sz w:val="22"/>
                <w:szCs w:val="24"/>
              </w:rPr>
            </w:pPr>
          </w:p>
          <w:p w14:paraId="5B6E938B" w14:textId="77777777" w:rsidR="00707077" w:rsidRPr="00E07A7C" w:rsidRDefault="00707077" w:rsidP="00707077">
            <w:pPr>
              <w:spacing w:line="276" w:lineRule="auto"/>
              <w:rPr>
                <w:rFonts w:cs="Times New Roman"/>
                <w:sz w:val="22"/>
                <w:szCs w:val="24"/>
              </w:rPr>
            </w:pPr>
            <w:r w:rsidRPr="00E07A7C">
              <w:rPr>
                <w:rFonts w:cs="Times New Roman"/>
                <w:sz w:val="22"/>
                <w:szCs w:val="24"/>
              </w:rPr>
              <w:t>N=42</w:t>
            </w:r>
          </w:p>
          <w:p w14:paraId="3C1F1689" w14:textId="77777777" w:rsidR="00707077" w:rsidRPr="00E07A7C" w:rsidRDefault="00707077" w:rsidP="00707077">
            <w:pPr>
              <w:spacing w:line="276" w:lineRule="auto"/>
              <w:rPr>
                <w:rFonts w:cs="Times New Roman"/>
                <w:sz w:val="22"/>
                <w:szCs w:val="24"/>
              </w:rPr>
            </w:pPr>
          </w:p>
          <w:p w14:paraId="0FB053D9"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Health psychology (psychological </w:t>
            </w:r>
            <w:r w:rsidRPr="00E07A7C">
              <w:rPr>
                <w:rFonts w:cs="Times New Roman"/>
                <w:sz w:val="22"/>
                <w:szCs w:val="24"/>
              </w:rPr>
              <w:lastRenderedPageBreak/>
              <w:t>interventions VLE)</w:t>
            </w:r>
          </w:p>
        </w:tc>
        <w:tc>
          <w:tcPr>
            <w:tcW w:w="1985" w:type="dxa"/>
          </w:tcPr>
          <w:p w14:paraId="7A8D69A5"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Randomised, 4 conditions, </w:t>
            </w:r>
          </w:p>
          <w:p w14:paraId="1E1AD987" w14:textId="77777777" w:rsidR="00707077" w:rsidRPr="00E07A7C" w:rsidRDefault="00707077" w:rsidP="00707077">
            <w:pPr>
              <w:spacing w:line="276" w:lineRule="auto"/>
              <w:rPr>
                <w:rFonts w:cs="Times New Roman"/>
                <w:sz w:val="22"/>
                <w:szCs w:val="24"/>
              </w:rPr>
            </w:pPr>
            <w:r w:rsidRPr="00E07A7C">
              <w:rPr>
                <w:rFonts w:cs="Times New Roman"/>
                <w:sz w:val="22"/>
                <w:szCs w:val="24"/>
              </w:rPr>
              <w:t>Groups:</w:t>
            </w:r>
          </w:p>
          <w:p w14:paraId="0717C9D1" w14:textId="77777777" w:rsidR="00707077" w:rsidRPr="00E07A7C" w:rsidRDefault="00707077" w:rsidP="00707077">
            <w:pPr>
              <w:spacing w:line="276" w:lineRule="auto"/>
              <w:rPr>
                <w:rFonts w:cs="Times New Roman"/>
                <w:sz w:val="22"/>
                <w:szCs w:val="24"/>
              </w:rPr>
            </w:pPr>
            <w:r w:rsidRPr="00E07A7C">
              <w:rPr>
                <w:rFonts w:cs="Times New Roman"/>
                <w:sz w:val="22"/>
                <w:szCs w:val="24"/>
              </w:rPr>
              <w:t>-placebo without feedback</w:t>
            </w:r>
          </w:p>
          <w:p w14:paraId="36A60C20" w14:textId="42F1337F" w:rsidR="00707077" w:rsidRPr="00E07A7C" w:rsidRDefault="00707077" w:rsidP="00707077">
            <w:pPr>
              <w:spacing w:line="276" w:lineRule="auto"/>
              <w:rPr>
                <w:rFonts w:cs="Times New Roman"/>
                <w:sz w:val="22"/>
                <w:szCs w:val="24"/>
              </w:rPr>
            </w:pPr>
            <w:r w:rsidRPr="00E07A7C">
              <w:rPr>
                <w:rFonts w:cs="Times New Roman"/>
                <w:sz w:val="22"/>
                <w:szCs w:val="24"/>
              </w:rPr>
              <w:t xml:space="preserve">-placebo </w:t>
            </w:r>
            <w:r w:rsidR="00B56453" w:rsidRPr="00E07A7C">
              <w:rPr>
                <w:rFonts w:cs="Times New Roman"/>
                <w:sz w:val="22"/>
                <w:szCs w:val="24"/>
              </w:rPr>
              <w:t>with</w:t>
            </w:r>
            <w:r w:rsidRPr="00E07A7C">
              <w:rPr>
                <w:rFonts w:cs="Times New Roman"/>
                <w:sz w:val="22"/>
                <w:szCs w:val="24"/>
              </w:rPr>
              <w:t xml:space="preserve"> feedback</w:t>
            </w:r>
          </w:p>
          <w:p w14:paraId="1B2C001E" w14:textId="77777777" w:rsidR="00707077" w:rsidRPr="00E07A7C" w:rsidRDefault="00707077" w:rsidP="00707077">
            <w:pPr>
              <w:spacing w:line="276" w:lineRule="auto"/>
              <w:rPr>
                <w:rFonts w:cs="Times New Roman"/>
                <w:sz w:val="22"/>
                <w:szCs w:val="24"/>
              </w:rPr>
            </w:pPr>
            <w:r w:rsidRPr="00E07A7C">
              <w:rPr>
                <w:rFonts w:cs="Times New Roman"/>
                <w:sz w:val="22"/>
                <w:szCs w:val="24"/>
              </w:rPr>
              <w:t>-SR prompts without feedback</w:t>
            </w:r>
          </w:p>
          <w:p w14:paraId="020D463C"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-SR prompts with feedback</w:t>
            </w:r>
          </w:p>
          <w:p w14:paraId="524C1C46" w14:textId="77777777" w:rsidR="00707077" w:rsidRPr="00E07A7C" w:rsidRDefault="00707077" w:rsidP="00707077">
            <w:pPr>
              <w:spacing w:line="276" w:lineRule="auto"/>
              <w:rPr>
                <w:rFonts w:cs="Times New Roman"/>
                <w:sz w:val="22"/>
                <w:szCs w:val="24"/>
              </w:rPr>
            </w:pPr>
            <w:r w:rsidRPr="00E07A7C">
              <w:rPr>
                <w:rFonts w:cs="Times New Roman"/>
                <w:sz w:val="22"/>
                <w:szCs w:val="24"/>
              </w:rPr>
              <w:t>Control and baseline used</w:t>
            </w:r>
          </w:p>
          <w:p w14:paraId="4CE59747" w14:textId="77777777" w:rsidR="00707077" w:rsidRPr="00E07A7C" w:rsidRDefault="00707077" w:rsidP="00707077">
            <w:pPr>
              <w:spacing w:line="276" w:lineRule="auto"/>
              <w:rPr>
                <w:rFonts w:cs="Times New Roman"/>
                <w:sz w:val="22"/>
                <w:szCs w:val="24"/>
              </w:rPr>
            </w:pPr>
          </w:p>
        </w:tc>
        <w:tc>
          <w:tcPr>
            <w:tcW w:w="2425" w:type="dxa"/>
          </w:tcPr>
          <w:p w14:paraId="1EE95437"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 xml:space="preserve">SR reflection prompts focusing on pre, during and post features of SRL on an online psychological interventions task, placebo was reflection prompts not focusing on SRL, feedback was given electronically by </w:t>
            </w:r>
            <w:r w:rsidRPr="00E07A7C">
              <w:rPr>
                <w:rFonts w:cs="Times New Roman"/>
                <w:sz w:val="22"/>
                <w:szCs w:val="24"/>
              </w:rPr>
              <w:lastRenderedPageBreak/>
              <w:t>tutors in two conditions based on SR reflection prompts</w:t>
            </w:r>
          </w:p>
        </w:tc>
        <w:tc>
          <w:tcPr>
            <w:tcW w:w="1843" w:type="dxa"/>
          </w:tcPr>
          <w:p w14:paraId="78507827"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SRL is used as a theoretical basis for the intervention, a concept map of SRL and competencies is used to illustrate this</w:t>
            </w:r>
          </w:p>
        </w:tc>
        <w:tc>
          <w:tcPr>
            <w:tcW w:w="2126" w:type="dxa"/>
          </w:tcPr>
          <w:p w14:paraId="421E5685"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Regulation (self, external and none) measured by Inventory of Learning Styles questionnaire, learning performance, opinion on reflection prompts and feedback, </w:t>
            </w:r>
            <w:r w:rsidRPr="00E07A7C">
              <w:rPr>
                <w:rFonts w:cs="Times New Roman"/>
                <w:sz w:val="22"/>
                <w:szCs w:val="24"/>
              </w:rPr>
              <w:lastRenderedPageBreak/>
              <w:t>prompt disturbance rating</w:t>
            </w:r>
          </w:p>
        </w:tc>
        <w:tc>
          <w:tcPr>
            <w:tcW w:w="2581" w:type="dxa"/>
          </w:tcPr>
          <w:p w14:paraId="20EA0AF4"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SRL reflection prompts with</w:t>
            </w:r>
          </w:p>
          <w:p w14:paraId="4DB2F5ED"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Feedback facilitate the development of SRL processes and competencies in students. No change in learning performance </w:t>
            </w:r>
          </w:p>
          <w:p w14:paraId="65916348" w14:textId="77777777" w:rsidR="00707077" w:rsidRPr="00E07A7C" w:rsidRDefault="00707077" w:rsidP="00707077">
            <w:pPr>
              <w:spacing w:line="276" w:lineRule="auto"/>
              <w:rPr>
                <w:rFonts w:cs="Times New Roman"/>
                <w:sz w:val="22"/>
                <w:szCs w:val="24"/>
              </w:rPr>
            </w:pPr>
          </w:p>
        </w:tc>
      </w:tr>
      <w:tr w:rsidR="00707077" w:rsidRPr="00E07A7C" w14:paraId="036D0505" w14:textId="77777777" w:rsidTr="00AF4FFF">
        <w:trPr>
          <w:trHeight w:val="2718"/>
        </w:trPr>
        <w:tc>
          <w:tcPr>
            <w:tcW w:w="1798" w:type="dxa"/>
          </w:tcPr>
          <w:p w14:paraId="691344F8"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The Role of Observation and Emulation in the Development</w:t>
            </w:r>
          </w:p>
          <w:p w14:paraId="2349C20D" w14:textId="77777777" w:rsidR="00707077" w:rsidRPr="00E07A7C" w:rsidRDefault="00707077" w:rsidP="00707077">
            <w:pPr>
              <w:spacing w:line="276" w:lineRule="auto"/>
              <w:rPr>
                <w:rFonts w:cs="Times New Roman"/>
                <w:sz w:val="22"/>
                <w:szCs w:val="24"/>
              </w:rPr>
            </w:pPr>
            <w:r w:rsidRPr="00E07A7C">
              <w:rPr>
                <w:rFonts w:cs="Times New Roman"/>
                <w:sz w:val="22"/>
                <w:szCs w:val="24"/>
              </w:rPr>
              <w:t>of Athletic Self-Regulation</w:t>
            </w:r>
          </w:p>
          <w:p w14:paraId="5FA62C09" w14:textId="77777777" w:rsidR="00707077" w:rsidRPr="00E07A7C" w:rsidRDefault="00707077" w:rsidP="00707077">
            <w:pPr>
              <w:spacing w:line="276" w:lineRule="auto"/>
              <w:rPr>
                <w:rFonts w:cs="Times New Roman"/>
                <w:sz w:val="22"/>
                <w:szCs w:val="24"/>
              </w:rPr>
            </w:pPr>
          </w:p>
          <w:p w14:paraId="04F441C5" w14:textId="77777777" w:rsidR="00707077" w:rsidRPr="00E07A7C" w:rsidRDefault="00707077" w:rsidP="00707077">
            <w:pPr>
              <w:spacing w:line="276" w:lineRule="auto"/>
              <w:rPr>
                <w:rFonts w:cs="Times New Roman"/>
                <w:sz w:val="22"/>
                <w:szCs w:val="24"/>
              </w:rPr>
            </w:pPr>
            <w:r w:rsidRPr="00E07A7C">
              <w:rPr>
                <w:rFonts w:cs="Times New Roman"/>
                <w:sz w:val="22"/>
                <w:szCs w:val="24"/>
              </w:rPr>
              <w:t>A Kitsantas; BJ Zimmerman; T Cleary</w:t>
            </w:r>
          </w:p>
          <w:p w14:paraId="298BD6A5" w14:textId="77777777" w:rsidR="00707077" w:rsidRPr="00E07A7C" w:rsidRDefault="00707077" w:rsidP="00707077">
            <w:pPr>
              <w:spacing w:line="276" w:lineRule="auto"/>
              <w:rPr>
                <w:rFonts w:cs="Times New Roman"/>
                <w:sz w:val="22"/>
                <w:szCs w:val="24"/>
              </w:rPr>
            </w:pPr>
          </w:p>
          <w:p w14:paraId="74B634A1" w14:textId="77777777" w:rsidR="00707077" w:rsidRPr="00E07A7C" w:rsidRDefault="00707077" w:rsidP="00707077">
            <w:pPr>
              <w:spacing w:line="276" w:lineRule="auto"/>
              <w:rPr>
                <w:rFonts w:cs="Times New Roman"/>
                <w:sz w:val="22"/>
                <w:szCs w:val="24"/>
              </w:rPr>
            </w:pPr>
            <w:r w:rsidRPr="00E07A7C">
              <w:rPr>
                <w:rFonts w:cs="Times New Roman"/>
                <w:sz w:val="22"/>
                <w:szCs w:val="24"/>
              </w:rPr>
              <w:t>2000</w:t>
            </w:r>
          </w:p>
        </w:tc>
        <w:tc>
          <w:tcPr>
            <w:tcW w:w="1701" w:type="dxa"/>
          </w:tcPr>
          <w:p w14:paraId="0D0E09A4"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6E948382" w14:textId="77777777" w:rsidR="00707077" w:rsidRPr="00E07A7C" w:rsidRDefault="00707077" w:rsidP="00707077">
            <w:pPr>
              <w:spacing w:line="276" w:lineRule="auto"/>
              <w:rPr>
                <w:rFonts w:cs="Times New Roman"/>
                <w:sz w:val="22"/>
                <w:szCs w:val="24"/>
              </w:rPr>
            </w:pPr>
          </w:p>
          <w:p w14:paraId="52861580" w14:textId="77777777" w:rsidR="00707077" w:rsidRPr="00E07A7C" w:rsidRDefault="00707077" w:rsidP="00707077">
            <w:pPr>
              <w:spacing w:line="276" w:lineRule="auto"/>
              <w:rPr>
                <w:rFonts w:cs="Times New Roman"/>
                <w:sz w:val="22"/>
                <w:szCs w:val="24"/>
              </w:rPr>
            </w:pPr>
            <w:r w:rsidRPr="00E07A7C">
              <w:rPr>
                <w:rFonts w:cs="Times New Roman"/>
                <w:sz w:val="22"/>
                <w:szCs w:val="24"/>
              </w:rPr>
              <w:t>9</w:t>
            </w:r>
            <w:r w:rsidRPr="00E07A7C">
              <w:rPr>
                <w:rFonts w:cs="Times New Roman"/>
                <w:sz w:val="22"/>
                <w:szCs w:val="24"/>
                <w:vertAlign w:val="superscript"/>
              </w:rPr>
              <w:t>th</w:t>
            </w:r>
            <w:r w:rsidRPr="00E07A7C">
              <w:rPr>
                <w:rFonts w:cs="Times New Roman"/>
                <w:sz w:val="22"/>
                <w:szCs w:val="24"/>
              </w:rPr>
              <w:t xml:space="preserve"> grade students</w:t>
            </w:r>
          </w:p>
          <w:p w14:paraId="7CF3B254" w14:textId="77777777" w:rsidR="00707077" w:rsidRPr="00E07A7C" w:rsidRDefault="00707077" w:rsidP="00707077">
            <w:pPr>
              <w:spacing w:line="276" w:lineRule="auto"/>
              <w:rPr>
                <w:rFonts w:cs="Times New Roman"/>
                <w:sz w:val="22"/>
                <w:szCs w:val="24"/>
              </w:rPr>
            </w:pPr>
          </w:p>
          <w:p w14:paraId="2C0D30C2" w14:textId="77777777" w:rsidR="00707077" w:rsidRPr="00E07A7C" w:rsidRDefault="00707077" w:rsidP="00707077">
            <w:pPr>
              <w:spacing w:line="276" w:lineRule="auto"/>
              <w:rPr>
                <w:rFonts w:cs="Times New Roman"/>
                <w:sz w:val="22"/>
                <w:szCs w:val="24"/>
              </w:rPr>
            </w:pPr>
            <w:r w:rsidRPr="00E07A7C">
              <w:rPr>
                <w:rFonts w:cs="Times New Roman"/>
                <w:sz w:val="22"/>
                <w:szCs w:val="24"/>
              </w:rPr>
              <w:t>N=60</w:t>
            </w:r>
          </w:p>
          <w:p w14:paraId="11146037" w14:textId="77777777" w:rsidR="00707077" w:rsidRPr="00E07A7C" w:rsidRDefault="00707077" w:rsidP="00707077">
            <w:pPr>
              <w:spacing w:line="276" w:lineRule="auto"/>
              <w:rPr>
                <w:rFonts w:cs="Times New Roman"/>
                <w:sz w:val="22"/>
                <w:szCs w:val="24"/>
              </w:rPr>
            </w:pPr>
          </w:p>
          <w:p w14:paraId="55BBDA5F" w14:textId="77777777" w:rsidR="00707077" w:rsidRPr="00E07A7C" w:rsidRDefault="00707077" w:rsidP="00707077">
            <w:pPr>
              <w:spacing w:line="276" w:lineRule="auto"/>
              <w:rPr>
                <w:rFonts w:cs="Times New Roman"/>
                <w:sz w:val="22"/>
                <w:szCs w:val="24"/>
              </w:rPr>
            </w:pPr>
            <w:r w:rsidRPr="00E07A7C">
              <w:rPr>
                <w:rFonts w:cs="Times New Roman"/>
                <w:sz w:val="22"/>
                <w:szCs w:val="24"/>
              </w:rPr>
              <w:t>Sport (novice dart throwing)</w:t>
            </w:r>
          </w:p>
        </w:tc>
        <w:tc>
          <w:tcPr>
            <w:tcW w:w="1985" w:type="dxa"/>
          </w:tcPr>
          <w:p w14:paraId="22B557CA" w14:textId="77777777" w:rsidR="00707077" w:rsidRPr="00E07A7C" w:rsidRDefault="00707077" w:rsidP="00707077">
            <w:pPr>
              <w:spacing w:line="276" w:lineRule="auto"/>
              <w:rPr>
                <w:rFonts w:cs="Times New Roman"/>
                <w:sz w:val="22"/>
                <w:szCs w:val="24"/>
              </w:rPr>
            </w:pPr>
            <w:r w:rsidRPr="00E07A7C">
              <w:rPr>
                <w:rFonts w:cs="Times New Roman"/>
                <w:sz w:val="22"/>
                <w:szCs w:val="24"/>
              </w:rPr>
              <w:t>Randomised, 6 conditions based on 3 types of modelling with and without feedback:</w:t>
            </w:r>
          </w:p>
          <w:p w14:paraId="21F59BBA" w14:textId="77777777" w:rsidR="00707077" w:rsidRPr="00E07A7C" w:rsidRDefault="00707077" w:rsidP="00707077">
            <w:pPr>
              <w:spacing w:line="276" w:lineRule="auto"/>
              <w:rPr>
                <w:rFonts w:cs="Times New Roman"/>
                <w:sz w:val="22"/>
                <w:szCs w:val="24"/>
              </w:rPr>
            </w:pPr>
            <w:r w:rsidRPr="00E07A7C">
              <w:rPr>
                <w:rFonts w:cs="Times New Roman"/>
                <w:sz w:val="22"/>
                <w:szCs w:val="24"/>
              </w:rPr>
              <w:t>-No modelling</w:t>
            </w:r>
          </w:p>
          <w:p w14:paraId="66640303" w14:textId="77777777" w:rsidR="00707077" w:rsidRPr="00E07A7C" w:rsidRDefault="00707077" w:rsidP="00707077">
            <w:pPr>
              <w:spacing w:line="276" w:lineRule="auto"/>
              <w:rPr>
                <w:rFonts w:cs="Times New Roman"/>
                <w:sz w:val="22"/>
                <w:szCs w:val="24"/>
              </w:rPr>
            </w:pPr>
            <w:r w:rsidRPr="00E07A7C">
              <w:rPr>
                <w:rFonts w:cs="Times New Roman"/>
                <w:sz w:val="22"/>
                <w:szCs w:val="24"/>
              </w:rPr>
              <w:t>-Coping</w:t>
            </w:r>
          </w:p>
          <w:p w14:paraId="25D47F21" w14:textId="77777777" w:rsidR="00707077" w:rsidRPr="00E07A7C" w:rsidRDefault="00707077" w:rsidP="00707077">
            <w:pPr>
              <w:spacing w:line="276" w:lineRule="auto"/>
              <w:rPr>
                <w:rFonts w:cs="Times New Roman"/>
                <w:sz w:val="22"/>
                <w:szCs w:val="24"/>
              </w:rPr>
            </w:pPr>
            <w:r w:rsidRPr="00E07A7C">
              <w:rPr>
                <w:rFonts w:cs="Times New Roman"/>
                <w:sz w:val="22"/>
                <w:szCs w:val="24"/>
              </w:rPr>
              <w:t>-Mastery</w:t>
            </w:r>
          </w:p>
          <w:p w14:paraId="641DE430" w14:textId="77777777" w:rsidR="00707077" w:rsidRPr="00E07A7C" w:rsidRDefault="00707077" w:rsidP="00707077">
            <w:pPr>
              <w:spacing w:line="276" w:lineRule="auto"/>
              <w:rPr>
                <w:rFonts w:cs="Times New Roman"/>
                <w:sz w:val="22"/>
                <w:szCs w:val="24"/>
              </w:rPr>
            </w:pPr>
            <w:r w:rsidRPr="00E07A7C">
              <w:rPr>
                <w:rFonts w:cs="Times New Roman"/>
                <w:sz w:val="22"/>
                <w:szCs w:val="24"/>
              </w:rPr>
              <w:t>No baseline, a control was used, quantitative, between groups analysis, post-tested on all variables</w:t>
            </w:r>
          </w:p>
          <w:p w14:paraId="69C7DF0D" w14:textId="77777777" w:rsidR="00707077" w:rsidRPr="00E07A7C" w:rsidRDefault="00707077" w:rsidP="00707077">
            <w:pPr>
              <w:spacing w:line="276" w:lineRule="auto"/>
              <w:rPr>
                <w:rFonts w:cs="Times New Roman"/>
                <w:sz w:val="22"/>
                <w:szCs w:val="24"/>
              </w:rPr>
            </w:pPr>
          </w:p>
        </w:tc>
        <w:tc>
          <w:tcPr>
            <w:tcW w:w="2425" w:type="dxa"/>
          </w:tcPr>
          <w:p w14:paraId="33C4D8DB" w14:textId="77777777" w:rsidR="00707077" w:rsidRPr="00E07A7C" w:rsidRDefault="00707077" w:rsidP="00707077">
            <w:pPr>
              <w:spacing w:line="276" w:lineRule="auto"/>
              <w:rPr>
                <w:rFonts w:cs="Times New Roman"/>
                <w:sz w:val="22"/>
                <w:szCs w:val="24"/>
              </w:rPr>
            </w:pPr>
            <w:r w:rsidRPr="00E07A7C">
              <w:rPr>
                <w:rFonts w:cs="Times New Roman"/>
                <w:sz w:val="22"/>
                <w:szCs w:val="24"/>
              </w:rPr>
              <w:t>Feedback was positive and affirmative, individuals were either shown no instructional model, a coping model showing a model perform the skills and make mistakes then correct them, or a mastery/perfect model with no mistakes, questionnaires used to test ‘self’ variables.</w:t>
            </w:r>
          </w:p>
        </w:tc>
        <w:tc>
          <w:tcPr>
            <w:tcW w:w="1843" w:type="dxa"/>
          </w:tcPr>
          <w:p w14:paraId="21C008F3" w14:textId="77777777" w:rsidR="00707077" w:rsidRPr="00E07A7C" w:rsidRDefault="00707077" w:rsidP="00707077">
            <w:pPr>
              <w:spacing w:line="276" w:lineRule="auto"/>
              <w:rPr>
                <w:rFonts w:cs="Times New Roman"/>
                <w:sz w:val="22"/>
                <w:szCs w:val="24"/>
              </w:rPr>
            </w:pPr>
            <w:r w:rsidRPr="00E07A7C">
              <w:rPr>
                <w:rFonts w:cs="Times New Roman"/>
                <w:sz w:val="22"/>
                <w:szCs w:val="24"/>
              </w:rPr>
              <w:t>Social cognitive model of sequential skill acquisition (hypothesised to lead to SRL in learners)</w:t>
            </w:r>
          </w:p>
        </w:tc>
        <w:tc>
          <w:tcPr>
            <w:tcW w:w="2126" w:type="dxa"/>
          </w:tcPr>
          <w:p w14:paraId="5F241F61" w14:textId="77777777" w:rsidR="00707077" w:rsidRPr="00E07A7C" w:rsidRDefault="00707077" w:rsidP="00707077">
            <w:pPr>
              <w:spacing w:line="276" w:lineRule="auto"/>
              <w:rPr>
                <w:rFonts w:cs="Times New Roman"/>
                <w:sz w:val="22"/>
                <w:szCs w:val="24"/>
              </w:rPr>
            </w:pPr>
            <w:r w:rsidRPr="00E07A7C">
              <w:rPr>
                <w:rFonts w:cs="Times New Roman"/>
                <w:sz w:val="22"/>
                <w:szCs w:val="24"/>
              </w:rPr>
              <w:t>Dart-throwing skill performance, self-efficacy (reliable questionnaire), self-reactions (performance satisfaction), intrinsic interest (interest compared to other tasks), and attributions (categorical analysis).</w:t>
            </w:r>
          </w:p>
        </w:tc>
        <w:tc>
          <w:tcPr>
            <w:tcW w:w="2581" w:type="dxa"/>
          </w:tcPr>
          <w:p w14:paraId="07D4A28F"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Coping/corrective model improved learning, SR and intrinsic motivation more significantly than master or no modelling, mastery was more effective than no modelling in all outcome measures Feedback enhanced performance and self-efficacy overall in all feedback including conditions </w:t>
            </w:r>
          </w:p>
        </w:tc>
      </w:tr>
      <w:tr w:rsidR="00707077" w:rsidRPr="00E07A7C" w14:paraId="38EDD6AF" w14:textId="77777777" w:rsidTr="00AF4FFF">
        <w:trPr>
          <w:trHeight w:val="1975"/>
        </w:trPr>
        <w:tc>
          <w:tcPr>
            <w:tcW w:w="1798" w:type="dxa"/>
          </w:tcPr>
          <w:p w14:paraId="086645B8" w14:textId="77777777" w:rsidR="00707077" w:rsidRPr="00E07A7C" w:rsidRDefault="00707077" w:rsidP="00707077">
            <w:pPr>
              <w:spacing w:line="276" w:lineRule="auto"/>
              <w:rPr>
                <w:rFonts w:cs="Times New Roman"/>
                <w:sz w:val="22"/>
                <w:szCs w:val="24"/>
              </w:rPr>
            </w:pPr>
            <w:r w:rsidRPr="00E07A7C">
              <w:rPr>
                <w:rFonts w:cs="Times New Roman"/>
                <w:sz w:val="22"/>
                <w:szCs w:val="24"/>
              </w:rPr>
              <w:lastRenderedPageBreak/>
              <w:t>Acquiring Writing Revision and Self-Regulatory Skill</w:t>
            </w:r>
          </w:p>
          <w:p w14:paraId="568D6076" w14:textId="77777777" w:rsidR="00707077" w:rsidRPr="00E07A7C" w:rsidRDefault="00707077" w:rsidP="00707077">
            <w:pPr>
              <w:spacing w:line="276" w:lineRule="auto"/>
              <w:rPr>
                <w:rFonts w:cs="Times New Roman"/>
                <w:sz w:val="22"/>
                <w:szCs w:val="24"/>
              </w:rPr>
            </w:pPr>
            <w:r w:rsidRPr="00E07A7C">
              <w:rPr>
                <w:rFonts w:cs="Times New Roman"/>
                <w:sz w:val="22"/>
                <w:szCs w:val="24"/>
              </w:rPr>
              <w:t>Through Observation and Emulation</w:t>
            </w:r>
          </w:p>
          <w:p w14:paraId="08BA66B0" w14:textId="77777777" w:rsidR="00707077" w:rsidRPr="00E07A7C" w:rsidRDefault="00707077" w:rsidP="00707077">
            <w:pPr>
              <w:spacing w:line="276" w:lineRule="auto"/>
              <w:rPr>
                <w:rFonts w:cs="Times New Roman"/>
                <w:sz w:val="22"/>
                <w:szCs w:val="24"/>
              </w:rPr>
            </w:pPr>
          </w:p>
          <w:p w14:paraId="72021CEA" w14:textId="77777777" w:rsidR="00707077" w:rsidRPr="00E07A7C" w:rsidRDefault="00707077" w:rsidP="00707077">
            <w:pPr>
              <w:spacing w:line="276" w:lineRule="auto"/>
              <w:rPr>
                <w:rFonts w:cs="Times New Roman"/>
                <w:sz w:val="22"/>
                <w:szCs w:val="24"/>
              </w:rPr>
            </w:pPr>
            <w:r w:rsidRPr="00E07A7C">
              <w:rPr>
                <w:rFonts w:cs="Times New Roman"/>
                <w:sz w:val="22"/>
                <w:szCs w:val="24"/>
              </w:rPr>
              <w:t>B. Zimmerman, A. Kitsantas</w:t>
            </w:r>
          </w:p>
          <w:p w14:paraId="561C38F0" w14:textId="77777777" w:rsidR="00707077" w:rsidRPr="00E07A7C" w:rsidRDefault="00707077" w:rsidP="00707077">
            <w:pPr>
              <w:spacing w:line="276" w:lineRule="auto"/>
              <w:rPr>
                <w:rFonts w:cs="Times New Roman"/>
                <w:sz w:val="22"/>
                <w:szCs w:val="24"/>
              </w:rPr>
            </w:pPr>
          </w:p>
          <w:p w14:paraId="13C139D0" w14:textId="77777777" w:rsidR="00707077" w:rsidRPr="00E07A7C" w:rsidRDefault="00707077" w:rsidP="00707077">
            <w:pPr>
              <w:spacing w:line="276" w:lineRule="auto"/>
              <w:rPr>
                <w:rFonts w:cs="Times New Roman"/>
                <w:sz w:val="22"/>
                <w:szCs w:val="24"/>
              </w:rPr>
            </w:pPr>
            <w:r w:rsidRPr="00E07A7C">
              <w:rPr>
                <w:rFonts w:cs="Times New Roman"/>
                <w:sz w:val="22"/>
                <w:szCs w:val="24"/>
              </w:rPr>
              <w:t>2002</w:t>
            </w:r>
          </w:p>
        </w:tc>
        <w:tc>
          <w:tcPr>
            <w:tcW w:w="1701" w:type="dxa"/>
          </w:tcPr>
          <w:p w14:paraId="76D3A63E" w14:textId="77777777" w:rsidR="00707077" w:rsidRPr="00E07A7C" w:rsidRDefault="00707077" w:rsidP="00707077">
            <w:pPr>
              <w:spacing w:line="276" w:lineRule="auto"/>
              <w:rPr>
                <w:rFonts w:cs="Times New Roman"/>
                <w:sz w:val="22"/>
                <w:szCs w:val="24"/>
              </w:rPr>
            </w:pPr>
            <w:r w:rsidRPr="00E07A7C">
              <w:rPr>
                <w:rFonts w:cs="Times New Roman"/>
                <w:sz w:val="22"/>
                <w:szCs w:val="24"/>
              </w:rPr>
              <w:t>USA</w:t>
            </w:r>
          </w:p>
          <w:p w14:paraId="309D95E1" w14:textId="77777777" w:rsidR="00707077" w:rsidRPr="00E07A7C" w:rsidRDefault="00707077" w:rsidP="00707077">
            <w:pPr>
              <w:spacing w:line="276" w:lineRule="auto"/>
              <w:rPr>
                <w:rFonts w:cs="Times New Roman"/>
                <w:sz w:val="22"/>
                <w:szCs w:val="24"/>
              </w:rPr>
            </w:pPr>
          </w:p>
          <w:p w14:paraId="288BAE3C" w14:textId="77777777" w:rsidR="00707077" w:rsidRPr="00E07A7C" w:rsidRDefault="00707077" w:rsidP="00707077">
            <w:pPr>
              <w:spacing w:line="276" w:lineRule="auto"/>
              <w:rPr>
                <w:rFonts w:cs="Times New Roman"/>
                <w:sz w:val="22"/>
                <w:szCs w:val="24"/>
              </w:rPr>
            </w:pPr>
            <w:r w:rsidRPr="00E07A7C">
              <w:rPr>
                <w:rFonts w:cs="Times New Roman"/>
                <w:sz w:val="22"/>
                <w:szCs w:val="24"/>
              </w:rPr>
              <w:t>College students (undergraduate)</w:t>
            </w:r>
          </w:p>
          <w:p w14:paraId="11A7F0F1" w14:textId="77777777" w:rsidR="00707077" w:rsidRPr="00E07A7C" w:rsidRDefault="00707077" w:rsidP="00707077">
            <w:pPr>
              <w:spacing w:line="276" w:lineRule="auto"/>
              <w:rPr>
                <w:rFonts w:cs="Times New Roman"/>
                <w:sz w:val="22"/>
                <w:szCs w:val="24"/>
              </w:rPr>
            </w:pPr>
          </w:p>
          <w:p w14:paraId="72D3096A" w14:textId="77777777" w:rsidR="00707077" w:rsidRPr="00E07A7C" w:rsidRDefault="00707077" w:rsidP="00707077">
            <w:pPr>
              <w:spacing w:line="276" w:lineRule="auto"/>
              <w:rPr>
                <w:rFonts w:cs="Times New Roman"/>
                <w:sz w:val="22"/>
                <w:szCs w:val="24"/>
              </w:rPr>
            </w:pPr>
            <w:r w:rsidRPr="00E07A7C">
              <w:rPr>
                <w:rFonts w:cs="Times New Roman"/>
                <w:sz w:val="22"/>
                <w:szCs w:val="24"/>
              </w:rPr>
              <w:t>N=72</w:t>
            </w:r>
          </w:p>
          <w:p w14:paraId="251D2CBB" w14:textId="77777777" w:rsidR="00707077" w:rsidRPr="00E07A7C" w:rsidRDefault="00707077" w:rsidP="00707077">
            <w:pPr>
              <w:spacing w:line="276" w:lineRule="auto"/>
              <w:rPr>
                <w:rFonts w:cs="Times New Roman"/>
                <w:sz w:val="22"/>
                <w:szCs w:val="24"/>
              </w:rPr>
            </w:pPr>
          </w:p>
          <w:p w14:paraId="6B49DA46" w14:textId="77777777" w:rsidR="00707077" w:rsidRPr="00E07A7C" w:rsidRDefault="00707077" w:rsidP="00707077">
            <w:pPr>
              <w:spacing w:line="276" w:lineRule="auto"/>
              <w:rPr>
                <w:rFonts w:cs="Times New Roman"/>
                <w:sz w:val="22"/>
                <w:szCs w:val="24"/>
              </w:rPr>
            </w:pPr>
            <w:r w:rsidRPr="00E07A7C">
              <w:rPr>
                <w:rFonts w:cs="Times New Roman"/>
                <w:sz w:val="22"/>
                <w:szCs w:val="24"/>
              </w:rPr>
              <w:t>Education (writing – problem solving)</w:t>
            </w:r>
          </w:p>
        </w:tc>
        <w:tc>
          <w:tcPr>
            <w:tcW w:w="1985" w:type="dxa"/>
          </w:tcPr>
          <w:p w14:paraId="0B478F31" w14:textId="77777777" w:rsidR="00707077" w:rsidRPr="00E07A7C" w:rsidRDefault="00707077" w:rsidP="00707077">
            <w:pPr>
              <w:spacing w:line="276" w:lineRule="auto"/>
              <w:rPr>
                <w:rFonts w:cs="Times New Roman"/>
                <w:sz w:val="22"/>
                <w:szCs w:val="24"/>
              </w:rPr>
            </w:pPr>
            <w:r w:rsidRPr="00E07A7C">
              <w:rPr>
                <w:rFonts w:cs="Times New Roman"/>
                <w:sz w:val="22"/>
                <w:szCs w:val="24"/>
              </w:rPr>
              <w:t>Randomised, 6 conditions based on 3 types of modelling with and without feedback:</w:t>
            </w:r>
          </w:p>
          <w:p w14:paraId="534D03AC" w14:textId="77777777" w:rsidR="00707077" w:rsidRPr="00E07A7C" w:rsidRDefault="00707077" w:rsidP="00707077">
            <w:pPr>
              <w:spacing w:line="276" w:lineRule="auto"/>
              <w:rPr>
                <w:rFonts w:cs="Times New Roman"/>
                <w:sz w:val="22"/>
                <w:szCs w:val="24"/>
              </w:rPr>
            </w:pPr>
            <w:r w:rsidRPr="00E07A7C">
              <w:rPr>
                <w:rFonts w:cs="Times New Roman"/>
                <w:sz w:val="22"/>
                <w:szCs w:val="24"/>
              </w:rPr>
              <w:t>-No modelling</w:t>
            </w:r>
          </w:p>
          <w:p w14:paraId="4C92B227" w14:textId="77777777" w:rsidR="00707077" w:rsidRPr="00E07A7C" w:rsidRDefault="00707077" w:rsidP="00707077">
            <w:pPr>
              <w:spacing w:line="276" w:lineRule="auto"/>
              <w:rPr>
                <w:rFonts w:cs="Times New Roman"/>
                <w:sz w:val="22"/>
                <w:szCs w:val="24"/>
              </w:rPr>
            </w:pPr>
            <w:r w:rsidRPr="00E07A7C">
              <w:rPr>
                <w:rFonts w:cs="Times New Roman"/>
                <w:sz w:val="22"/>
                <w:szCs w:val="24"/>
              </w:rPr>
              <w:t>-Coping</w:t>
            </w:r>
          </w:p>
          <w:p w14:paraId="32C965C0" w14:textId="77777777" w:rsidR="00707077" w:rsidRPr="00E07A7C" w:rsidRDefault="00707077" w:rsidP="00707077">
            <w:pPr>
              <w:spacing w:line="276" w:lineRule="auto"/>
              <w:rPr>
                <w:rFonts w:cs="Times New Roman"/>
                <w:sz w:val="22"/>
                <w:szCs w:val="24"/>
              </w:rPr>
            </w:pPr>
            <w:r w:rsidRPr="00E07A7C">
              <w:rPr>
                <w:rFonts w:cs="Times New Roman"/>
                <w:sz w:val="22"/>
                <w:szCs w:val="24"/>
              </w:rPr>
              <w:t>-Mastery</w:t>
            </w:r>
          </w:p>
          <w:p w14:paraId="73513995" w14:textId="77777777" w:rsidR="00707077" w:rsidRPr="00E07A7C" w:rsidRDefault="00707077" w:rsidP="00707077">
            <w:pPr>
              <w:spacing w:line="276" w:lineRule="auto"/>
              <w:rPr>
                <w:rFonts w:cs="Times New Roman"/>
                <w:sz w:val="22"/>
                <w:szCs w:val="24"/>
              </w:rPr>
            </w:pPr>
            <w:r w:rsidRPr="00E07A7C">
              <w:rPr>
                <w:rFonts w:cs="Times New Roman"/>
                <w:sz w:val="22"/>
                <w:szCs w:val="24"/>
              </w:rPr>
              <w:t>No baseline, a control was used, quantitative, between groups analysis, practice and post-tested on all variables</w:t>
            </w:r>
          </w:p>
          <w:p w14:paraId="0E1B0A3C" w14:textId="77777777" w:rsidR="00707077" w:rsidRPr="00E07A7C" w:rsidRDefault="00707077" w:rsidP="00707077">
            <w:pPr>
              <w:spacing w:line="276" w:lineRule="auto"/>
              <w:rPr>
                <w:rFonts w:cs="Times New Roman"/>
                <w:sz w:val="22"/>
                <w:szCs w:val="24"/>
              </w:rPr>
            </w:pPr>
          </w:p>
        </w:tc>
        <w:tc>
          <w:tcPr>
            <w:tcW w:w="2425" w:type="dxa"/>
          </w:tcPr>
          <w:p w14:paraId="3E645213" w14:textId="77777777" w:rsidR="00707077" w:rsidRPr="00E07A7C" w:rsidRDefault="00707077" w:rsidP="00707077">
            <w:pPr>
              <w:spacing w:line="276" w:lineRule="auto"/>
              <w:rPr>
                <w:rFonts w:cs="Times New Roman"/>
                <w:sz w:val="22"/>
                <w:szCs w:val="24"/>
              </w:rPr>
            </w:pPr>
            <w:r w:rsidRPr="00E07A7C">
              <w:rPr>
                <w:rFonts w:cs="Times New Roman"/>
                <w:sz w:val="22"/>
                <w:szCs w:val="24"/>
              </w:rPr>
              <w:t xml:space="preserve">Writing task, observation phase-practice phase-test phase, positive strategy feedback used. </w:t>
            </w:r>
          </w:p>
          <w:p w14:paraId="29AD782C" w14:textId="77777777" w:rsidR="00707077" w:rsidRPr="00E07A7C" w:rsidRDefault="00707077" w:rsidP="00707077">
            <w:pPr>
              <w:spacing w:line="276" w:lineRule="auto"/>
              <w:rPr>
                <w:rFonts w:cs="Times New Roman"/>
                <w:sz w:val="22"/>
                <w:szCs w:val="24"/>
              </w:rPr>
            </w:pPr>
            <w:r w:rsidRPr="00E07A7C">
              <w:rPr>
                <w:rFonts w:cs="Times New Roman"/>
                <w:sz w:val="22"/>
                <w:szCs w:val="24"/>
              </w:rPr>
              <w:t>Individuals were either shown no instructional model, a coping model showing a model perform the skills and make mistakes then correct them, or a mastery/perfect model with no mistakes, questionnaires used to test ‘self’ variables.</w:t>
            </w:r>
          </w:p>
          <w:p w14:paraId="7EE7FE95" w14:textId="77777777" w:rsidR="00707077" w:rsidRPr="00E07A7C" w:rsidRDefault="00707077" w:rsidP="00707077">
            <w:pPr>
              <w:spacing w:line="276" w:lineRule="auto"/>
              <w:rPr>
                <w:rFonts w:cs="Times New Roman"/>
                <w:b/>
                <w:sz w:val="22"/>
                <w:szCs w:val="24"/>
              </w:rPr>
            </w:pPr>
          </w:p>
        </w:tc>
        <w:tc>
          <w:tcPr>
            <w:tcW w:w="1843" w:type="dxa"/>
          </w:tcPr>
          <w:p w14:paraId="251E88BA" w14:textId="77777777" w:rsidR="00707077" w:rsidRPr="00E07A7C" w:rsidRDefault="00707077" w:rsidP="00707077">
            <w:pPr>
              <w:spacing w:line="276" w:lineRule="auto"/>
              <w:rPr>
                <w:rFonts w:cs="Times New Roman"/>
                <w:sz w:val="22"/>
                <w:szCs w:val="24"/>
              </w:rPr>
            </w:pPr>
            <w:r w:rsidRPr="00E07A7C">
              <w:rPr>
                <w:rFonts w:cs="Times New Roman"/>
                <w:sz w:val="22"/>
                <w:szCs w:val="24"/>
              </w:rPr>
              <w:t>Multilevel social cognitive view of writing-revision skill acquisition (hypothesised to lead to enhanced SRL in learners)</w:t>
            </w:r>
          </w:p>
        </w:tc>
        <w:tc>
          <w:tcPr>
            <w:tcW w:w="2126" w:type="dxa"/>
          </w:tcPr>
          <w:p w14:paraId="1F6FFEF2" w14:textId="77777777" w:rsidR="00707077" w:rsidRPr="00E07A7C" w:rsidRDefault="00707077" w:rsidP="00707077">
            <w:pPr>
              <w:spacing w:line="276" w:lineRule="auto"/>
              <w:rPr>
                <w:rFonts w:cs="Times New Roman"/>
                <w:sz w:val="22"/>
                <w:szCs w:val="24"/>
              </w:rPr>
            </w:pPr>
            <w:r w:rsidRPr="00E07A7C">
              <w:rPr>
                <w:rFonts w:cs="Times New Roman"/>
                <w:sz w:val="22"/>
                <w:szCs w:val="24"/>
              </w:rPr>
              <w:t>Writing skill performance, self-efficacy (reliable questionnaire), self-satisfaction, intrinsic interest (interest compared to other tasks).</w:t>
            </w:r>
          </w:p>
        </w:tc>
        <w:tc>
          <w:tcPr>
            <w:tcW w:w="2581" w:type="dxa"/>
          </w:tcPr>
          <w:p w14:paraId="2694464F" w14:textId="77777777" w:rsidR="00707077" w:rsidRPr="00E07A7C" w:rsidRDefault="00707077" w:rsidP="00707077">
            <w:pPr>
              <w:spacing w:line="276" w:lineRule="auto"/>
              <w:rPr>
                <w:rFonts w:cs="Times New Roman"/>
                <w:sz w:val="22"/>
                <w:szCs w:val="24"/>
              </w:rPr>
            </w:pPr>
            <w:r w:rsidRPr="00E07A7C">
              <w:rPr>
                <w:rFonts w:cs="Times New Roman"/>
                <w:sz w:val="22"/>
                <w:szCs w:val="24"/>
              </w:rPr>
              <w:t>Coping model enhanced SR processes (self-satisfaction, intrinsic interest) and writing skills – authors attribute this to strategy processes enhanced by the model, feedback improved writing skill, self-efficacy was less reduced over time in the coping model condition</w:t>
            </w:r>
          </w:p>
          <w:p w14:paraId="215A079D" w14:textId="77777777" w:rsidR="00707077" w:rsidRPr="00E07A7C" w:rsidRDefault="00707077" w:rsidP="00707077">
            <w:pPr>
              <w:spacing w:line="276" w:lineRule="auto"/>
              <w:rPr>
                <w:rFonts w:cs="Times New Roman"/>
                <w:sz w:val="22"/>
                <w:szCs w:val="24"/>
              </w:rPr>
            </w:pPr>
          </w:p>
          <w:p w14:paraId="15E2CD62" w14:textId="77777777" w:rsidR="00707077" w:rsidRPr="00E07A7C" w:rsidRDefault="00707077" w:rsidP="00707077">
            <w:pPr>
              <w:spacing w:line="276" w:lineRule="auto"/>
              <w:jc w:val="center"/>
              <w:rPr>
                <w:rFonts w:cs="Times New Roman"/>
                <w:sz w:val="22"/>
                <w:szCs w:val="24"/>
              </w:rPr>
            </w:pPr>
          </w:p>
        </w:tc>
      </w:tr>
    </w:tbl>
    <w:p w14:paraId="1751C640" w14:textId="77777777" w:rsidR="00707077" w:rsidRPr="003726FE" w:rsidRDefault="00707077"/>
    <w:p w14:paraId="3E952750" w14:textId="77777777" w:rsidR="00707077" w:rsidRPr="003726FE" w:rsidRDefault="00707077" w:rsidP="00026049">
      <w:pPr>
        <w:pStyle w:val="Normal1"/>
        <w:rPr>
          <w:lang w:val="en-GB"/>
        </w:rPr>
        <w:sectPr w:rsidR="00707077" w:rsidRPr="003726FE" w:rsidSect="00AF4FFF">
          <w:pgSz w:w="16838" w:h="11906" w:orient="landscape"/>
          <w:pgMar w:top="2268" w:right="1134" w:bottom="1134" w:left="1134" w:header="709" w:footer="709" w:gutter="0"/>
          <w:cols w:space="708"/>
          <w:docGrid w:linePitch="360"/>
        </w:sectPr>
      </w:pPr>
    </w:p>
    <w:p w14:paraId="7E1E45E3" w14:textId="660C95BB" w:rsidR="000E241D" w:rsidRPr="003726FE" w:rsidRDefault="00707077" w:rsidP="00B1638D">
      <w:pPr>
        <w:pStyle w:val="Heading2"/>
        <w:rPr>
          <w:lang w:val="en-GB"/>
        </w:rPr>
      </w:pPr>
      <w:bookmarkStart w:id="989" w:name="_Toc500319476"/>
      <w:r w:rsidRPr="003726FE">
        <w:rPr>
          <w:lang w:val="en-GB"/>
        </w:rPr>
        <w:lastRenderedPageBreak/>
        <w:t xml:space="preserve">Appendix 5. </w:t>
      </w:r>
      <w:r w:rsidR="00C47666">
        <w:rPr>
          <w:lang w:val="en-GB"/>
        </w:rPr>
        <w:t>Ethical Approval L</w:t>
      </w:r>
      <w:r w:rsidR="000E241D" w:rsidRPr="003726FE">
        <w:rPr>
          <w:lang w:val="en-GB"/>
        </w:rPr>
        <w:t>etter</w:t>
      </w:r>
      <w:r w:rsidR="00C47666">
        <w:rPr>
          <w:lang w:val="en-GB"/>
        </w:rPr>
        <w:t xml:space="preserve"> and A</w:t>
      </w:r>
      <w:r w:rsidR="00C20F57" w:rsidRPr="003726FE">
        <w:rPr>
          <w:lang w:val="en-GB"/>
        </w:rPr>
        <w:t>mendments.</w:t>
      </w:r>
      <w:bookmarkEnd w:id="989"/>
    </w:p>
    <w:p w14:paraId="1BE6E478" w14:textId="29BFE122" w:rsidR="000E241D" w:rsidRPr="003726FE" w:rsidRDefault="00C20F57">
      <w:pPr>
        <w:spacing w:after="376"/>
      </w:pPr>
      <w:r w:rsidRPr="003726FE">
        <w:rPr>
          <w:noProof/>
          <w:lang w:eastAsia="en-GB"/>
        </w:rPr>
        <w:drawing>
          <wp:anchor distT="0" distB="0" distL="114300" distR="114300" simplePos="0" relativeHeight="251956224" behindDoc="0" locked="0" layoutInCell="1" allowOverlap="1" wp14:anchorId="13C9DE0B" wp14:editId="267368AA">
            <wp:simplePos x="0" y="0"/>
            <wp:positionH relativeFrom="column">
              <wp:posOffset>3907766</wp:posOffset>
            </wp:positionH>
            <wp:positionV relativeFrom="paragraph">
              <wp:posOffset>106057</wp:posOffset>
            </wp:positionV>
            <wp:extent cx="1759789" cy="65560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5">
                      <a:extLst>
                        <a:ext uri="{28A0092B-C50C-407E-A947-70E740481C1C}">
                          <a14:useLocalDpi xmlns:a14="http://schemas.microsoft.com/office/drawing/2010/main" val="0"/>
                        </a:ext>
                      </a:extLst>
                    </a:blip>
                    <a:stretch>
                      <a:fillRect/>
                    </a:stretch>
                  </pic:blipFill>
                  <pic:spPr>
                    <a:xfrm>
                      <a:off x="0" y="0"/>
                      <a:ext cx="1759789" cy="655608"/>
                    </a:xfrm>
                    <a:prstGeom prst="rect">
                      <a:avLst/>
                    </a:prstGeom>
                  </pic:spPr>
                </pic:pic>
              </a:graphicData>
            </a:graphic>
            <wp14:sizeRelH relativeFrom="page">
              <wp14:pctWidth>0</wp14:pctWidth>
            </wp14:sizeRelH>
            <wp14:sizeRelV relativeFrom="page">
              <wp14:pctHeight>0</wp14:pctHeight>
            </wp14:sizeRelV>
          </wp:anchor>
        </w:drawing>
      </w:r>
    </w:p>
    <w:p w14:paraId="03D790B6" w14:textId="77777777" w:rsidR="000E241D" w:rsidRPr="003726FE" w:rsidRDefault="000E241D">
      <w:pPr>
        <w:spacing w:after="3" w:line="260" w:lineRule="auto"/>
        <w:ind w:left="-5" w:hanging="10"/>
      </w:pPr>
      <w:r w:rsidRPr="003726FE">
        <w:rPr>
          <w:rFonts w:ascii="Calibri" w:eastAsia="Calibri" w:hAnsi="Calibri" w:cs="Calibri"/>
          <w:sz w:val="22"/>
        </w:rPr>
        <w:t xml:space="preserve">Downloaded: 20/09/2016 </w:t>
      </w:r>
    </w:p>
    <w:p w14:paraId="7FD743AC" w14:textId="42231CC9" w:rsidR="000E241D" w:rsidRPr="003726FE" w:rsidRDefault="00C20F57">
      <w:pPr>
        <w:spacing w:after="438" w:line="260" w:lineRule="auto"/>
        <w:ind w:left="-5" w:hanging="10"/>
      </w:pPr>
      <w:r w:rsidRPr="003726FE">
        <w:rPr>
          <w:rFonts w:ascii="Calibri" w:eastAsia="Calibri" w:hAnsi="Calibri" w:cs="Calibri"/>
          <w:sz w:val="22"/>
        </w:rPr>
        <w:t>Appr</w:t>
      </w:r>
      <w:r w:rsidR="000E241D" w:rsidRPr="003726FE">
        <w:rPr>
          <w:rFonts w:ascii="Calibri" w:eastAsia="Calibri" w:hAnsi="Calibri" w:cs="Calibri"/>
          <w:sz w:val="22"/>
        </w:rPr>
        <w:t>oved: 25/08/2015</w:t>
      </w:r>
    </w:p>
    <w:p w14:paraId="004C081D" w14:textId="77777777" w:rsidR="000E241D" w:rsidRPr="003726FE" w:rsidRDefault="000E241D">
      <w:pPr>
        <w:spacing w:after="3" w:line="260" w:lineRule="auto"/>
        <w:ind w:left="-5" w:hanging="10"/>
      </w:pPr>
      <w:r w:rsidRPr="003726FE">
        <w:rPr>
          <w:rFonts w:ascii="Calibri" w:eastAsia="Calibri" w:hAnsi="Calibri" w:cs="Calibri"/>
          <w:sz w:val="22"/>
        </w:rPr>
        <w:t xml:space="preserve">Billy Bryan </w:t>
      </w:r>
    </w:p>
    <w:p w14:paraId="7FDFDFED" w14:textId="77777777" w:rsidR="000E241D" w:rsidRPr="003726FE" w:rsidRDefault="000E241D">
      <w:pPr>
        <w:spacing w:after="3" w:line="260" w:lineRule="auto"/>
        <w:ind w:left="-5" w:hanging="10"/>
      </w:pPr>
      <w:r w:rsidRPr="003726FE">
        <w:rPr>
          <w:rFonts w:ascii="Calibri" w:eastAsia="Calibri" w:hAnsi="Calibri" w:cs="Calibri"/>
          <w:sz w:val="22"/>
        </w:rPr>
        <w:t xml:space="preserve">Registration number: 140140624 </w:t>
      </w:r>
    </w:p>
    <w:p w14:paraId="4A9E8B6C" w14:textId="77777777" w:rsidR="000E241D" w:rsidRPr="003726FE" w:rsidRDefault="000E241D">
      <w:pPr>
        <w:spacing w:after="3" w:line="260" w:lineRule="auto"/>
        <w:ind w:left="-5" w:hanging="10"/>
      </w:pPr>
      <w:r w:rsidRPr="003726FE">
        <w:rPr>
          <w:rFonts w:ascii="Calibri" w:eastAsia="Calibri" w:hAnsi="Calibri" w:cs="Calibri"/>
          <w:sz w:val="22"/>
        </w:rPr>
        <w:t xml:space="preserve">Medical School </w:t>
      </w:r>
    </w:p>
    <w:p w14:paraId="3F578DEB" w14:textId="77777777" w:rsidR="000E241D" w:rsidRPr="003726FE" w:rsidRDefault="000E241D">
      <w:pPr>
        <w:spacing w:after="438" w:line="260" w:lineRule="auto"/>
        <w:ind w:left="-5" w:hanging="10"/>
      </w:pPr>
      <w:r w:rsidRPr="003726FE">
        <w:rPr>
          <w:rFonts w:ascii="Calibri" w:eastAsia="Calibri" w:hAnsi="Calibri" w:cs="Calibri"/>
          <w:sz w:val="22"/>
        </w:rPr>
        <w:t>Programme: PhD project</w:t>
      </w:r>
    </w:p>
    <w:p w14:paraId="1CEC487D" w14:textId="658EE33D" w:rsidR="000E241D" w:rsidRPr="003726FE" w:rsidRDefault="000E241D" w:rsidP="000E241D">
      <w:pPr>
        <w:spacing w:after="0" w:line="240" w:lineRule="auto"/>
        <w:ind w:left="-5" w:hanging="10"/>
        <w:rPr>
          <w:rFonts w:ascii="Calibri" w:eastAsia="Calibri" w:hAnsi="Calibri" w:cs="Calibri"/>
          <w:sz w:val="22"/>
        </w:rPr>
      </w:pPr>
      <w:r w:rsidRPr="003726FE">
        <w:rPr>
          <w:rFonts w:ascii="Calibri" w:eastAsia="Calibri" w:hAnsi="Calibri" w:cs="Calibri"/>
          <w:sz w:val="22"/>
        </w:rPr>
        <w:t>Dear Billy</w:t>
      </w:r>
    </w:p>
    <w:p w14:paraId="3FD8AF53" w14:textId="77777777" w:rsidR="000E241D" w:rsidRPr="003726FE" w:rsidRDefault="000E241D" w:rsidP="000E241D">
      <w:pPr>
        <w:spacing w:after="0" w:line="240" w:lineRule="auto"/>
        <w:ind w:left="-5" w:hanging="10"/>
      </w:pPr>
    </w:p>
    <w:p w14:paraId="2FA5AE44" w14:textId="77777777" w:rsidR="000E241D" w:rsidRPr="003726FE" w:rsidRDefault="000E241D" w:rsidP="000E241D">
      <w:pPr>
        <w:spacing w:after="0" w:line="240" w:lineRule="auto"/>
        <w:ind w:left="-5" w:hanging="10"/>
      </w:pPr>
      <w:r w:rsidRPr="003726FE">
        <w:rPr>
          <w:rFonts w:ascii="Calibri" w:eastAsia="Calibri" w:hAnsi="Calibri" w:cs="Calibri"/>
          <w:b/>
          <w:sz w:val="22"/>
        </w:rPr>
        <w:t>PROJECT TITLE:</w:t>
      </w:r>
      <w:r w:rsidRPr="003726FE">
        <w:rPr>
          <w:rFonts w:ascii="Calibri" w:eastAsia="Calibri" w:hAnsi="Calibri" w:cs="Calibri"/>
          <w:sz w:val="22"/>
        </w:rPr>
        <w:t xml:space="preserve"> Hearing the feedback message </w:t>
      </w:r>
    </w:p>
    <w:p w14:paraId="021B2BCB" w14:textId="77777777" w:rsidR="000E241D" w:rsidRPr="003726FE" w:rsidRDefault="000E241D">
      <w:pPr>
        <w:spacing w:after="209" w:line="260" w:lineRule="auto"/>
        <w:ind w:left="-5" w:hanging="10"/>
      </w:pPr>
      <w:r w:rsidRPr="003726FE">
        <w:rPr>
          <w:rFonts w:ascii="Calibri" w:eastAsia="Calibri" w:hAnsi="Calibri" w:cs="Calibri"/>
          <w:b/>
          <w:sz w:val="22"/>
        </w:rPr>
        <w:t>APPLICATION:</w:t>
      </w:r>
      <w:r w:rsidRPr="003726FE">
        <w:rPr>
          <w:rFonts w:ascii="Calibri" w:eastAsia="Calibri" w:hAnsi="Calibri" w:cs="Calibri"/>
          <w:sz w:val="22"/>
        </w:rPr>
        <w:t xml:space="preserve"> Reference Number 005055</w:t>
      </w:r>
    </w:p>
    <w:p w14:paraId="676BA9FD" w14:textId="77777777" w:rsidR="000E241D" w:rsidRPr="003726FE" w:rsidRDefault="000E241D">
      <w:pPr>
        <w:spacing w:after="195" w:line="260" w:lineRule="auto"/>
        <w:ind w:left="-5" w:hanging="10"/>
      </w:pPr>
      <w:r w:rsidRPr="003726FE">
        <w:rPr>
          <w:rFonts w:ascii="Calibri" w:eastAsia="Calibri" w:hAnsi="Calibri" w:cs="Calibri"/>
          <w:sz w:val="22"/>
        </w:rPr>
        <w:t xml:space="preserve">On behalf of the University ethics reviewers who reviewed your project, I am pleased to inform you that on 25/08/2015 the above-named project was </w:t>
      </w:r>
      <w:r w:rsidRPr="003726FE">
        <w:rPr>
          <w:rFonts w:ascii="Calibri" w:eastAsia="Calibri" w:hAnsi="Calibri" w:cs="Calibri"/>
          <w:b/>
          <w:sz w:val="22"/>
        </w:rPr>
        <w:t>approved</w:t>
      </w:r>
      <w:r w:rsidRPr="003726FE">
        <w:rPr>
          <w:rFonts w:ascii="Calibri" w:eastAsia="Calibri" w:hAnsi="Calibri" w:cs="Calibri"/>
          <w:sz w:val="22"/>
        </w:rPr>
        <w:t xml:space="preserve"> on ethics grounds, on the basis that you will adhere to the following documentation that you submitted for ethics review:</w:t>
      </w:r>
    </w:p>
    <w:p w14:paraId="2865454D" w14:textId="77777777" w:rsidR="000E241D" w:rsidRPr="003726FE" w:rsidRDefault="000E241D">
      <w:pPr>
        <w:spacing w:after="3" w:line="260" w:lineRule="auto"/>
        <w:ind w:left="379" w:hanging="10"/>
      </w:pPr>
      <w:r w:rsidRPr="003726FE">
        <w:rPr>
          <w:noProof/>
          <w:lang w:eastAsia="en-GB"/>
        </w:rPr>
        <mc:AlternateContent>
          <mc:Choice Requires="wpg">
            <w:drawing>
              <wp:anchor distT="0" distB="0" distL="114300" distR="114300" simplePos="0" relativeHeight="251955200" behindDoc="0" locked="0" layoutInCell="1" allowOverlap="1" wp14:anchorId="54FA1216" wp14:editId="34830857">
                <wp:simplePos x="0" y="0"/>
                <wp:positionH relativeFrom="column">
                  <wp:posOffset>234086</wp:posOffset>
                </wp:positionH>
                <wp:positionV relativeFrom="paragraph">
                  <wp:posOffset>-4734</wp:posOffset>
                </wp:positionV>
                <wp:extent cx="48768" cy="380390"/>
                <wp:effectExtent l="0" t="0" r="0" b="0"/>
                <wp:wrapSquare wrapText="bothSides"/>
                <wp:docPr id="129" name="Group 129"/>
                <wp:cNvGraphicFramePr/>
                <a:graphic xmlns:a="http://schemas.openxmlformats.org/drawingml/2006/main">
                  <a:graphicData uri="http://schemas.microsoft.com/office/word/2010/wordprocessingGroup">
                    <wpg:wgp>
                      <wpg:cNvGrpSpPr/>
                      <wpg:grpSpPr>
                        <a:xfrm>
                          <a:off x="0" y="0"/>
                          <a:ext cx="48768" cy="380390"/>
                          <a:chOff x="0" y="0"/>
                          <a:chExt cx="48768" cy="380390"/>
                        </a:xfrm>
                      </wpg:grpSpPr>
                      <wps:wsp>
                        <wps:cNvPr id="130" name="Shape 26"/>
                        <wps:cNvSpPr/>
                        <wps:spPr>
                          <a:xfrm>
                            <a:off x="0" y="0"/>
                            <a:ext cx="48768" cy="48768"/>
                          </a:xfrm>
                          <a:custGeom>
                            <a:avLst/>
                            <a:gdLst/>
                            <a:ahLst/>
                            <a:cxnLst/>
                            <a:rect l="0" t="0" r="0" b="0"/>
                            <a:pathLst>
                              <a:path w="48768" h="48768">
                                <a:moveTo>
                                  <a:pt x="24384" y="0"/>
                                </a:moveTo>
                                <a:cubicBezTo>
                                  <a:pt x="37851" y="0"/>
                                  <a:pt x="48768" y="10917"/>
                                  <a:pt x="48768" y="24384"/>
                                </a:cubicBezTo>
                                <a:cubicBezTo>
                                  <a:pt x="48768" y="37851"/>
                                  <a:pt x="37851" y="48768"/>
                                  <a:pt x="24384" y="48768"/>
                                </a:cubicBezTo>
                                <a:cubicBezTo>
                                  <a:pt x="10917" y="48768"/>
                                  <a:pt x="0" y="37851"/>
                                  <a:pt x="0" y="24384"/>
                                </a:cubicBezTo>
                                <a:cubicBezTo>
                                  <a:pt x="0" y="10917"/>
                                  <a:pt x="10917" y="0"/>
                                  <a:pt x="24384" y="0"/>
                                </a:cubicBezTo>
                                <a:close/>
                              </a:path>
                            </a:pathLst>
                          </a:custGeom>
                          <a:ln w="9754" cap="sq">
                            <a:bevel/>
                          </a:ln>
                        </wps:spPr>
                        <wps:style>
                          <a:lnRef idx="1">
                            <a:srgbClr val="000000"/>
                          </a:lnRef>
                          <a:fillRef idx="1">
                            <a:srgbClr val="000000"/>
                          </a:fillRef>
                          <a:effectRef idx="0">
                            <a:scrgbClr r="0" g="0" b="0"/>
                          </a:effectRef>
                          <a:fontRef idx="none"/>
                        </wps:style>
                        <wps:bodyPr/>
                      </wps:wsp>
                      <wps:wsp>
                        <wps:cNvPr id="131" name="Shape 28"/>
                        <wps:cNvSpPr/>
                        <wps:spPr>
                          <a:xfrm>
                            <a:off x="0" y="165811"/>
                            <a:ext cx="48768" cy="48768"/>
                          </a:xfrm>
                          <a:custGeom>
                            <a:avLst/>
                            <a:gdLst/>
                            <a:ahLst/>
                            <a:cxnLst/>
                            <a:rect l="0" t="0" r="0" b="0"/>
                            <a:pathLst>
                              <a:path w="48768" h="48768">
                                <a:moveTo>
                                  <a:pt x="24384" y="0"/>
                                </a:moveTo>
                                <a:cubicBezTo>
                                  <a:pt x="37851" y="0"/>
                                  <a:pt x="48768" y="10917"/>
                                  <a:pt x="48768" y="24384"/>
                                </a:cubicBezTo>
                                <a:cubicBezTo>
                                  <a:pt x="48768" y="37851"/>
                                  <a:pt x="37851" y="48768"/>
                                  <a:pt x="24384" y="48768"/>
                                </a:cubicBezTo>
                                <a:cubicBezTo>
                                  <a:pt x="10917" y="48768"/>
                                  <a:pt x="0" y="37851"/>
                                  <a:pt x="0" y="24384"/>
                                </a:cubicBezTo>
                                <a:cubicBezTo>
                                  <a:pt x="0" y="10917"/>
                                  <a:pt x="10917" y="0"/>
                                  <a:pt x="24384" y="0"/>
                                </a:cubicBezTo>
                                <a:close/>
                              </a:path>
                            </a:pathLst>
                          </a:custGeom>
                          <a:ln w="9754" cap="sq">
                            <a:bevel/>
                          </a:ln>
                        </wps:spPr>
                        <wps:style>
                          <a:lnRef idx="1">
                            <a:srgbClr val="000000"/>
                          </a:lnRef>
                          <a:fillRef idx="1">
                            <a:srgbClr val="000000"/>
                          </a:fillRef>
                          <a:effectRef idx="0">
                            <a:scrgbClr r="0" g="0" b="0"/>
                          </a:effectRef>
                          <a:fontRef idx="none"/>
                        </wps:style>
                        <wps:bodyPr/>
                      </wps:wsp>
                      <wps:wsp>
                        <wps:cNvPr id="132" name="Shape 30"/>
                        <wps:cNvSpPr/>
                        <wps:spPr>
                          <a:xfrm>
                            <a:off x="0" y="331622"/>
                            <a:ext cx="48768" cy="48768"/>
                          </a:xfrm>
                          <a:custGeom>
                            <a:avLst/>
                            <a:gdLst/>
                            <a:ahLst/>
                            <a:cxnLst/>
                            <a:rect l="0" t="0" r="0" b="0"/>
                            <a:pathLst>
                              <a:path w="48768" h="48768">
                                <a:moveTo>
                                  <a:pt x="24384" y="0"/>
                                </a:moveTo>
                                <a:cubicBezTo>
                                  <a:pt x="37851" y="0"/>
                                  <a:pt x="48768" y="10917"/>
                                  <a:pt x="48768" y="24384"/>
                                </a:cubicBezTo>
                                <a:cubicBezTo>
                                  <a:pt x="48768" y="37851"/>
                                  <a:pt x="37851" y="48768"/>
                                  <a:pt x="24384" y="48768"/>
                                </a:cubicBezTo>
                                <a:cubicBezTo>
                                  <a:pt x="10917" y="48768"/>
                                  <a:pt x="0" y="37851"/>
                                  <a:pt x="0" y="24384"/>
                                </a:cubicBezTo>
                                <a:cubicBezTo>
                                  <a:pt x="0" y="10917"/>
                                  <a:pt x="10917" y="0"/>
                                  <a:pt x="24384" y="0"/>
                                </a:cubicBezTo>
                                <a:close/>
                              </a:path>
                            </a:pathLst>
                          </a:custGeom>
                          <a:ln w="9754" cap="sq">
                            <a:bevel/>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67E8B0E7" id="Group 129" o:spid="_x0000_s1026" style="position:absolute;margin-left:18.45pt;margin-top:-.35pt;width:3.85pt;height:29.95pt;z-index:251955200" coordsize="48768,3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">
                <v:shape id="Shape 26" o:spid="_x0000_s1027" style="position:absolute;width:48768;height:4876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Te8QA&#10;AADcAAAADwAAAGRycy9kb3ducmV2LnhtbESPQWvCQBCF7wX/wzKF3uqmCiqpq6jQ0pNg1OJxzI5J&#10;MDsbsqvGf+8cBG8zvDfvfTOdd65WV2pD5dnAVz8BRZx7W3FhYLf9+ZyAChHZYu2ZDNwpwHzWe5ti&#10;av2NN3TNYqEkhEOKBsoYm1TrkJfkMPR9QyzaybcOo6xtoW2LNwl3tR4kyUg7rFgaSmxoVVJ+zi7O&#10;wP40miwOv5v/dbY70mU89EvXHYz5eO8W36AidfFlfl7/WcEfCr48IxP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U3vEAAAA3AAAAA8AAAAAAAAAAAAAAAAAmAIAAGRycy9k&#10;b3ducmV2LnhtbFBLBQYAAAAABAAEAPUAAACJAwAAAAA=&#10;" path="m24384,c37851,,48768,10917,48768,24384v,13467,-10917,24384,-24384,24384c10917,48768,,37851,,24384,,10917,10917,,24384,xe" fillcolor="black" strokeweight=".27094mm">
                  <v:stroke joinstyle="bevel" endcap="square"/>
                  <v:path arrowok="t" textboxrect="0,0,48768,48768"/>
                </v:shape>
                <v:shape id="Shape 28" o:spid="_x0000_s1028" style="position:absolute;top:165811;width:48768;height:4876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24MMA&#10;AADcAAAADwAAAGRycy9kb3ducmV2LnhtbERPS2vCQBC+C/0PyxS86SYGVFJXSYUWTwVTWzxOs5MH&#10;zc6G7Cam/75bEHqbj+85u8NkWjFS7xrLCuJlBIK4sLrhSsHl/WWxBeE8ssbWMin4IQeH/cNsh6m2&#10;Nz7TmPtKhBB2KSqove9SKV1Rk0G3tB1x4ErbG/QB9pXUPd5CuGnlKorW0mDDoaHGjo41Fd/5YBR8&#10;lOttdn09f77lly8aNol9NtNVqfnjlD2B8DT5f/HdfdJhfhLD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v24MMAAADcAAAADwAAAAAAAAAAAAAAAACYAgAAZHJzL2Rv&#10;d25yZXYueG1sUEsFBgAAAAAEAAQA9QAAAIgDAAAAAA==&#10;" path="m24384,c37851,,48768,10917,48768,24384v,13467,-10917,24384,-24384,24384c10917,48768,,37851,,24384,,10917,10917,,24384,xe" fillcolor="black" strokeweight=".27094mm">
                  <v:stroke joinstyle="bevel" endcap="square"/>
                  <v:path arrowok="t" textboxrect="0,0,48768,48768"/>
                </v:shape>
                <v:shape id="Shape 30" o:spid="_x0000_s1029" style="position:absolute;top:331622;width:48768;height:4876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ol8MA&#10;AADcAAAADwAAAGRycy9kb3ducmV2LnhtbERPS2vCQBC+F/oflil4q5tGiJK6ShRaPAmmtnicZicP&#10;mp0N2TWJ/75bEHqbj+856+1kWjFQ7xrLCl7mEQjiwuqGKwXnj7fnFQjnkTW2lknBjRxsN48Pa0y1&#10;HflEQ+4rEULYpaig9r5LpXRFTQbd3HbEgSttb9AH2FdS9ziGcNPKOIoSabDh0FBjR/uaip/8ahR8&#10;lskqu7yfvo75+Zuuy4Xdmemi1Oxpyl5BeJr8v/juPugwfxHD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ol8MAAADcAAAADwAAAAAAAAAAAAAAAACYAgAAZHJzL2Rv&#10;d25yZXYueG1sUEsFBgAAAAAEAAQA9QAAAIgDAAAAAA==&#10;" path="m24384,c37851,,48768,10917,48768,24384v,13467,-10917,24384,-24384,24384c10917,48768,,37851,,24384,,10917,10917,,24384,xe" fillcolor="black" strokeweight=".27094mm">
                  <v:stroke joinstyle="bevel" endcap="square"/>
                  <v:path arrowok="t" textboxrect="0,0,48768,48768"/>
                </v:shape>
                <w10:wrap type="square"/>
              </v:group>
            </w:pict>
          </mc:Fallback>
        </mc:AlternateContent>
      </w:r>
      <w:r w:rsidRPr="003726FE">
        <w:rPr>
          <w:rFonts w:ascii="Calibri" w:eastAsia="Calibri" w:hAnsi="Calibri" w:cs="Calibri"/>
          <w:sz w:val="22"/>
        </w:rPr>
        <w:t>University research ethics application form 005055 (dated 10/08/2015).</w:t>
      </w:r>
    </w:p>
    <w:p w14:paraId="50206527" w14:textId="77777777" w:rsidR="000E241D" w:rsidRPr="003726FE" w:rsidRDefault="000E241D">
      <w:pPr>
        <w:spacing w:after="3" w:line="260" w:lineRule="auto"/>
        <w:ind w:left="379" w:hanging="10"/>
      </w:pPr>
      <w:r w:rsidRPr="003726FE">
        <w:rPr>
          <w:rFonts w:ascii="Calibri" w:eastAsia="Calibri" w:hAnsi="Calibri" w:cs="Calibri"/>
          <w:sz w:val="22"/>
        </w:rPr>
        <w:t>Participant information sheet 1011777 version 3 (30/07/2015).</w:t>
      </w:r>
    </w:p>
    <w:p w14:paraId="05D55C44" w14:textId="77777777" w:rsidR="000E241D" w:rsidRPr="003726FE" w:rsidRDefault="000E241D">
      <w:pPr>
        <w:spacing w:after="192" w:line="260" w:lineRule="auto"/>
        <w:ind w:left="379" w:hanging="10"/>
      </w:pPr>
      <w:r w:rsidRPr="003726FE">
        <w:rPr>
          <w:rFonts w:ascii="Calibri" w:eastAsia="Calibri" w:hAnsi="Calibri" w:cs="Calibri"/>
          <w:sz w:val="22"/>
        </w:rPr>
        <w:t>Participant consent form 1011778 version 4 (30/07/2015).</w:t>
      </w:r>
    </w:p>
    <w:p w14:paraId="65416109" w14:textId="77777777" w:rsidR="000E241D" w:rsidRPr="003726FE" w:rsidRDefault="000E241D">
      <w:pPr>
        <w:spacing w:after="192" w:line="260" w:lineRule="auto"/>
        <w:ind w:left="-5" w:hanging="10"/>
      </w:pPr>
      <w:r w:rsidRPr="003726FE">
        <w:rPr>
          <w:rFonts w:ascii="Calibri" w:eastAsia="Calibri" w:hAnsi="Calibri" w:cs="Calibri"/>
          <w:sz w:val="22"/>
        </w:rPr>
        <w:t>The following optional amendments were suggested:</w:t>
      </w:r>
    </w:p>
    <w:p w14:paraId="1834894A" w14:textId="3905595A" w:rsidR="000E241D" w:rsidRPr="003726FE" w:rsidRDefault="000E241D">
      <w:pPr>
        <w:spacing w:after="0"/>
        <w:ind w:left="-5" w:right="24" w:hanging="10"/>
      </w:pPr>
      <w:r w:rsidRPr="003726FE">
        <w:rPr>
          <w:rFonts w:ascii="Calibri" w:eastAsia="Calibri" w:hAnsi="Calibri" w:cs="Calibri"/>
          <w:i/>
          <w:sz w:val="22"/>
        </w:rPr>
        <w:t xml:space="preserve">REVIEWER 1 Approved with suggested amendments It is not clear how, or to whom, the participants should complain should they have need - suggest modify consent form REVIEWER 2 Approved with suggested amendments Should end date be 2018 (not 2017) for a 3-year PhD? Offer that participants can withdraw at any time and their data be immediately destroyed may be difficult for video / audio data which contains more than one person in it. Information sheets should follow standard question and answer format. Study 1 info sheet probably gives too much info - "Group A will receive further training in </w:t>
      </w:r>
      <w:r w:rsidR="00D531CD" w:rsidRPr="003726FE">
        <w:rPr>
          <w:rFonts w:ascii="Calibri" w:eastAsia="Calibri" w:hAnsi="Calibri" w:cs="Calibri"/>
          <w:i/>
          <w:sz w:val="22"/>
        </w:rPr>
        <w:t>self-regulated</w:t>
      </w:r>
      <w:r w:rsidRPr="003726FE">
        <w:rPr>
          <w:rFonts w:ascii="Calibri" w:eastAsia="Calibri" w:hAnsi="Calibri" w:cs="Calibri"/>
          <w:i/>
          <w:sz w:val="22"/>
        </w:rPr>
        <w:t xml:space="preserve"> learning microanalysis feedback, group B will not be trained in this technique". Though it would be very hard to blind, the clear implication is that SRL will be more effective than 'placebo'. Tutors may subconsciously take this on board in an effort to help 'prove the hypothesis' Study 2 info sheet. Seems a bit random (and / or an inappropriate place) to ask tutors not to take A/L on relevant teaching days.</w:t>
      </w:r>
    </w:p>
    <w:p w14:paraId="32838864" w14:textId="77777777" w:rsidR="000E241D" w:rsidRPr="003726FE" w:rsidRDefault="000E241D">
      <w:pPr>
        <w:spacing w:after="208"/>
        <w:ind w:left="-5" w:right="24" w:hanging="10"/>
      </w:pPr>
      <w:r w:rsidRPr="003726FE">
        <w:rPr>
          <w:rFonts w:ascii="Calibri" w:eastAsia="Calibri" w:hAnsi="Calibri" w:cs="Calibri"/>
          <w:i/>
          <w:sz w:val="22"/>
        </w:rPr>
        <w:t>REVIEWER 3 Approved</w:t>
      </w:r>
    </w:p>
    <w:p w14:paraId="7B143A1E" w14:textId="77777777" w:rsidR="000E241D" w:rsidRPr="003726FE" w:rsidRDefault="000E241D">
      <w:pPr>
        <w:spacing w:after="196" w:line="260" w:lineRule="auto"/>
        <w:ind w:left="-5" w:hanging="10"/>
      </w:pPr>
      <w:r w:rsidRPr="003726FE">
        <w:rPr>
          <w:rFonts w:ascii="Calibri" w:eastAsia="Calibri" w:hAnsi="Calibri" w:cs="Calibri"/>
          <w:sz w:val="22"/>
        </w:rPr>
        <w:t xml:space="preserve">If during the course of the project you need to </w:t>
      </w:r>
      <w:hyperlink r:id="rId76">
        <w:r w:rsidRPr="003726FE">
          <w:rPr>
            <w:rFonts w:ascii="Calibri" w:eastAsia="Calibri" w:hAnsi="Calibri" w:cs="Calibri"/>
            <w:color w:val="0000EE"/>
            <w:sz w:val="22"/>
            <w:u w:val="single" w:color="0000EE"/>
          </w:rPr>
          <w:t xml:space="preserve">deviate significantly from the above-approved documentation </w:t>
        </w:r>
      </w:hyperlink>
      <w:r w:rsidRPr="003726FE">
        <w:rPr>
          <w:rFonts w:ascii="Calibri" w:eastAsia="Calibri" w:hAnsi="Calibri" w:cs="Calibri"/>
          <w:sz w:val="22"/>
        </w:rPr>
        <w:t>please inform me since written approval will be required.</w:t>
      </w:r>
    </w:p>
    <w:p w14:paraId="52069047" w14:textId="77777777" w:rsidR="000E241D" w:rsidRPr="003726FE" w:rsidRDefault="000E241D" w:rsidP="00C20F57">
      <w:pPr>
        <w:spacing w:after="0" w:line="260" w:lineRule="auto"/>
        <w:ind w:left="-5" w:hanging="10"/>
        <w:rPr>
          <w:rFonts w:ascii="Calibri" w:eastAsia="Calibri" w:hAnsi="Calibri" w:cs="Calibri"/>
          <w:sz w:val="22"/>
        </w:rPr>
      </w:pPr>
      <w:r w:rsidRPr="003726FE">
        <w:rPr>
          <w:rFonts w:ascii="Calibri" w:eastAsia="Calibri" w:hAnsi="Calibri" w:cs="Calibri"/>
          <w:sz w:val="22"/>
        </w:rPr>
        <w:t xml:space="preserve">Yours sincerely </w:t>
      </w:r>
    </w:p>
    <w:p w14:paraId="0659A3D8" w14:textId="77777777" w:rsidR="00C20F57" w:rsidRPr="003726FE" w:rsidRDefault="00C20F57" w:rsidP="00C20F57">
      <w:pPr>
        <w:spacing w:after="0" w:line="260" w:lineRule="auto"/>
        <w:ind w:left="-5" w:hanging="10"/>
      </w:pPr>
    </w:p>
    <w:p w14:paraId="60D9C58A" w14:textId="77777777" w:rsidR="000E241D" w:rsidRPr="003726FE" w:rsidRDefault="000E241D">
      <w:pPr>
        <w:spacing w:after="3" w:line="260" w:lineRule="auto"/>
        <w:ind w:left="-5" w:hanging="10"/>
      </w:pPr>
      <w:r w:rsidRPr="003726FE">
        <w:rPr>
          <w:rFonts w:ascii="Calibri" w:eastAsia="Calibri" w:hAnsi="Calibri" w:cs="Calibri"/>
          <w:sz w:val="22"/>
        </w:rPr>
        <w:t xml:space="preserve">Paula Blackwell </w:t>
      </w:r>
    </w:p>
    <w:p w14:paraId="1D7C1F7E" w14:textId="77777777" w:rsidR="000E241D" w:rsidRPr="003726FE" w:rsidRDefault="000E241D">
      <w:pPr>
        <w:spacing w:after="3" w:line="260" w:lineRule="auto"/>
        <w:ind w:left="-5" w:hanging="10"/>
      </w:pPr>
      <w:r w:rsidRPr="003726FE">
        <w:rPr>
          <w:rFonts w:ascii="Calibri" w:eastAsia="Calibri" w:hAnsi="Calibri" w:cs="Calibri"/>
          <w:sz w:val="22"/>
        </w:rPr>
        <w:t xml:space="preserve">Ethics Administrator </w:t>
      </w:r>
    </w:p>
    <w:p w14:paraId="4CED30DF" w14:textId="276B223A" w:rsidR="000E241D" w:rsidRPr="000357D3" w:rsidRDefault="000E241D" w:rsidP="000357D3">
      <w:pPr>
        <w:spacing w:after="3" w:line="260" w:lineRule="auto"/>
        <w:ind w:left="-5" w:hanging="10"/>
      </w:pPr>
      <w:r w:rsidRPr="003726FE">
        <w:rPr>
          <w:rFonts w:ascii="Calibri" w:eastAsia="Calibri" w:hAnsi="Calibri" w:cs="Calibri"/>
          <w:sz w:val="22"/>
        </w:rPr>
        <w:t>Medical School</w:t>
      </w:r>
      <w:r w:rsidRPr="003726FE">
        <w:br w:type="page"/>
      </w:r>
    </w:p>
    <w:p w14:paraId="44880DD5" w14:textId="70EF57FD" w:rsidR="00A32950" w:rsidRPr="003726FE" w:rsidRDefault="000E241D" w:rsidP="00B1638D">
      <w:pPr>
        <w:pStyle w:val="Heading2"/>
        <w:rPr>
          <w:lang w:val="en-GB"/>
        </w:rPr>
      </w:pPr>
      <w:bookmarkStart w:id="990" w:name="_Toc500319477"/>
      <w:r w:rsidRPr="003726FE">
        <w:rPr>
          <w:lang w:val="en-GB"/>
        </w:rPr>
        <w:lastRenderedPageBreak/>
        <w:t xml:space="preserve">Appendix 6. </w:t>
      </w:r>
      <w:r w:rsidR="00910A25" w:rsidRPr="003726FE">
        <w:rPr>
          <w:lang w:val="en-GB"/>
        </w:rPr>
        <w:t xml:space="preserve">All </w:t>
      </w:r>
      <w:r w:rsidR="00C47666" w:rsidRPr="003726FE">
        <w:rPr>
          <w:lang w:val="en-GB"/>
        </w:rPr>
        <w:t>Recruitment Material, Information Sheets, and Consent Forms for Teachers.</w:t>
      </w:r>
      <w:bookmarkEnd w:id="990"/>
    </w:p>
    <w:p w14:paraId="4F0E209F" w14:textId="5736A2BF" w:rsidR="00A32950" w:rsidRPr="003726FE" w:rsidRDefault="00A32950" w:rsidP="00A32950">
      <w:pPr>
        <w:tabs>
          <w:tab w:val="right" w:pos="9922"/>
        </w:tabs>
        <w:spacing w:line="240" w:lineRule="auto"/>
        <w:jc w:val="right"/>
        <w:rPr>
          <w:rFonts w:ascii="Arial" w:hAnsi="Arial"/>
          <w:b/>
          <w:color w:val="222222"/>
          <w:szCs w:val="19"/>
          <w:shd w:val="clear" w:color="auto" w:fill="FFFFFF"/>
        </w:rPr>
      </w:pPr>
    </w:p>
    <w:p w14:paraId="083B49E4" w14:textId="655FFD0E" w:rsidR="00C815C7" w:rsidRPr="003726FE" w:rsidRDefault="00C815C7" w:rsidP="00026049">
      <w:pPr>
        <w:pStyle w:val="Normal1"/>
        <w:rPr>
          <w:shd w:val="clear" w:color="auto" w:fill="FFFFFF"/>
          <w:lang w:val="en-GB"/>
        </w:rPr>
      </w:pPr>
      <w:r w:rsidRPr="003726FE">
        <w:rPr>
          <w:shd w:val="clear" w:color="auto" w:fill="FFFFFF"/>
          <w:lang w:val="en-GB"/>
        </w:rPr>
        <w:t>Email to clinical skills teachers – 30/09/15</w:t>
      </w:r>
    </w:p>
    <w:p w14:paraId="1BF5C855" w14:textId="77777777" w:rsidR="00C815C7" w:rsidRPr="003726FE" w:rsidRDefault="00C815C7" w:rsidP="00C815C7">
      <w:pPr>
        <w:spacing w:after="0" w:line="240" w:lineRule="auto"/>
        <w:rPr>
          <w:rFonts w:ascii="Arial" w:eastAsia="Times New Roman" w:hAnsi="Arial" w:cs="Arial"/>
          <w:color w:val="222222"/>
          <w:sz w:val="19"/>
          <w:szCs w:val="19"/>
          <w:shd w:val="clear" w:color="auto" w:fill="FFFFFF"/>
          <w:lang w:eastAsia="en-GB"/>
        </w:rPr>
      </w:pPr>
    </w:p>
    <w:p w14:paraId="33B5958A" w14:textId="77777777" w:rsidR="00C815C7" w:rsidRPr="003726FE" w:rsidRDefault="00C815C7" w:rsidP="00C815C7">
      <w:pPr>
        <w:spacing w:after="0" w:line="240" w:lineRule="auto"/>
        <w:rPr>
          <w:rFonts w:eastAsia="Times New Roman" w:cs="Times New Roman"/>
          <w:szCs w:val="24"/>
          <w:lang w:eastAsia="en-GB"/>
        </w:rPr>
      </w:pPr>
      <w:r w:rsidRPr="003726FE">
        <w:rPr>
          <w:rFonts w:ascii="Arial" w:eastAsia="Times New Roman" w:hAnsi="Arial" w:cs="Arial"/>
          <w:color w:val="222222"/>
          <w:sz w:val="19"/>
          <w:szCs w:val="19"/>
          <w:shd w:val="clear" w:color="auto" w:fill="FFFFFF"/>
          <w:lang w:eastAsia="en-GB"/>
        </w:rPr>
        <w:t>Dear Tutor,</w:t>
      </w:r>
    </w:p>
    <w:p w14:paraId="5836A9F2"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44228873"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I am writing to invite you to participate in a study comparing the impact of </w:t>
      </w:r>
      <w:r w:rsidRPr="003726FE">
        <w:rPr>
          <w:rFonts w:ascii="Arial" w:eastAsia="Times New Roman" w:hAnsi="Arial" w:cs="Arial"/>
          <w:b/>
          <w:bCs/>
          <w:color w:val="222222"/>
          <w:sz w:val="19"/>
          <w:szCs w:val="19"/>
          <w:lang w:eastAsia="en-GB"/>
        </w:rPr>
        <w:t>two targeted feedback intervention in clinical skills training</w:t>
      </w:r>
      <w:r w:rsidRPr="003726FE">
        <w:rPr>
          <w:rFonts w:ascii="Arial" w:eastAsia="Times New Roman" w:hAnsi="Arial" w:cs="Arial"/>
          <w:color w:val="222222"/>
          <w:sz w:val="19"/>
          <w:szCs w:val="19"/>
          <w:lang w:eastAsia="en-GB"/>
        </w:rPr>
        <w:t> on second year medical student's future learning and clinical skills performance. </w:t>
      </w:r>
    </w:p>
    <w:p w14:paraId="7BD96DF4"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5F5C2319"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I am a PhD student in Medical Education supervised by Professor Deborah Murdoch Eaton, studying how feedback impacts upon learning in clinical skills and how students recognise and use this feedback in the future. My project involves the delivery of two specific targeted feedback interventions to the </w:t>
      </w:r>
      <w:r w:rsidRPr="003726FE">
        <w:rPr>
          <w:rFonts w:ascii="Arial" w:eastAsia="Times New Roman" w:hAnsi="Arial" w:cs="Arial"/>
          <w:b/>
          <w:bCs/>
          <w:color w:val="222222"/>
          <w:sz w:val="19"/>
          <w:szCs w:val="19"/>
          <w:lang w:eastAsia="en-GB"/>
        </w:rPr>
        <w:t>current phase 2a cohort</w:t>
      </w:r>
      <w:r w:rsidRPr="003726FE">
        <w:rPr>
          <w:rFonts w:ascii="Arial" w:eastAsia="Times New Roman" w:hAnsi="Arial" w:cs="Arial"/>
          <w:color w:val="222222"/>
          <w:sz w:val="19"/>
          <w:szCs w:val="19"/>
          <w:lang w:eastAsia="en-GB"/>
        </w:rPr>
        <w:t>, then an </w:t>
      </w:r>
      <w:r w:rsidRPr="003726FE">
        <w:rPr>
          <w:rFonts w:ascii="Arial" w:eastAsia="Times New Roman" w:hAnsi="Arial" w:cs="Arial"/>
          <w:b/>
          <w:bCs/>
          <w:color w:val="222222"/>
          <w:sz w:val="19"/>
          <w:szCs w:val="19"/>
          <w:lang w:eastAsia="en-GB"/>
        </w:rPr>
        <w:t>evaluation </w:t>
      </w:r>
      <w:r w:rsidRPr="003726FE">
        <w:rPr>
          <w:rFonts w:ascii="Arial" w:eastAsia="Times New Roman" w:hAnsi="Arial" w:cs="Arial"/>
          <w:color w:val="222222"/>
          <w:sz w:val="19"/>
          <w:szCs w:val="19"/>
          <w:lang w:eastAsia="en-GB"/>
        </w:rPr>
        <w:t>of the impact on learning comparing the two. </w:t>
      </w:r>
    </w:p>
    <w:p w14:paraId="6CBB60DA"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6B7F852D"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The intervention is to take place during usual clinical skills taught sessions, specifically, </w:t>
      </w:r>
      <w:r w:rsidRPr="003726FE">
        <w:rPr>
          <w:rFonts w:ascii="Arial" w:eastAsia="Times New Roman" w:hAnsi="Arial" w:cs="Arial"/>
          <w:b/>
          <w:bCs/>
          <w:color w:val="222222"/>
          <w:sz w:val="19"/>
          <w:szCs w:val="19"/>
          <w:lang w:eastAsia="en-GB"/>
        </w:rPr>
        <w:t>venepuncture </w:t>
      </w:r>
      <w:r w:rsidRPr="003726FE">
        <w:rPr>
          <w:rFonts w:ascii="Arial" w:eastAsia="Times New Roman" w:hAnsi="Arial" w:cs="Arial"/>
          <w:color w:val="222222"/>
          <w:sz w:val="19"/>
          <w:szCs w:val="19"/>
          <w:lang w:eastAsia="en-GB"/>
        </w:rPr>
        <w:t>and </w:t>
      </w:r>
      <w:r w:rsidRPr="003726FE">
        <w:rPr>
          <w:rFonts w:ascii="Arial" w:eastAsia="Times New Roman" w:hAnsi="Arial" w:cs="Arial"/>
          <w:b/>
          <w:bCs/>
          <w:color w:val="222222"/>
          <w:sz w:val="19"/>
          <w:szCs w:val="19"/>
          <w:lang w:eastAsia="en-GB"/>
        </w:rPr>
        <w:t>male catheterisation </w:t>
      </w:r>
      <w:r w:rsidRPr="003726FE">
        <w:rPr>
          <w:rFonts w:ascii="Arial" w:eastAsia="Times New Roman" w:hAnsi="Arial" w:cs="Arial"/>
          <w:color w:val="222222"/>
          <w:sz w:val="19"/>
          <w:szCs w:val="19"/>
          <w:lang w:eastAsia="en-GB"/>
        </w:rPr>
        <w:t>in November and December 2015. </w:t>
      </w:r>
    </w:p>
    <w:p w14:paraId="16250477"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2528F91D" w14:textId="154B99AE"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 xml:space="preserve"> to deliver the interventions effectively, we need </w:t>
      </w:r>
      <w:r w:rsidRPr="003726FE">
        <w:rPr>
          <w:rFonts w:ascii="Arial" w:eastAsia="Times New Roman" w:hAnsi="Arial" w:cs="Arial"/>
          <w:b/>
          <w:bCs/>
          <w:color w:val="222222"/>
          <w:sz w:val="19"/>
          <w:szCs w:val="19"/>
          <w:lang w:eastAsia="en-GB"/>
        </w:rPr>
        <w:t>trained clinical skills tutors</w:t>
      </w:r>
      <w:r w:rsidRPr="003726FE">
        <w:rPr>
          <w:rFonts w:ascii="Arial" w:eastAsia="Times New Roman" w:hAnsi="Arial" w:cs="Arial"/>
          <w:color w:val="222222"/>
          <w:sz w:val="19"/>
          <w:szCs w:val="19"/>
          <w:lang w:eastAsia="en-GB"/>
        </w:rPr>
        <w:t> who are usually responsible for teaching these students. If you do choose to participate, we provide </w:t>
      </w:r>
      <w:r w:rsidRPr="003726FE">
        <w:rPr>
          <w:rFonts w:ascii="Arial" w:eastAsia="Times New Roman" w:hAnsi="Arial" w:cs="Arial"/>
          <w:b/>
          <w:bCs/>
          <w:color w:val="222222"/>
          <w:sz w:val="19"/>
          <w:szCs w:val="19"/>
          <w:lang w:eastAsia="en-GB"/>
        </w:rPr>
        <w:t>training and instruction</w:t>
      </w:r>
      <w:r w:rsidRPr="003726FE">
        <w:rPr>
          <w:rFonts w:ascii="Arial" w:eastAsia="Times New Roman" w:hAnsi="Arial" w:cs="Arial"/>
          <w:color w:val="222222"/>
          <w:sz w:val="19"/>
          <w:szCs w:val="19"/>
          <w:lang w:eastAsia="en-GB"/>
        </w:rPr>
        <w:t> in the form of short sessions led by the research team who will also provide information on how this study will integrate into usual practice. </w:t>
      </w:r>
    </w:p>
    <w:p w14:paraId="2FE983A2"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2C6BBD3D"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We also want your perspective on the interventions and the feedback, after the specific skills are taught, in the form of an </w:t>
      </w:r>
      <w:r w:rsidRPr="003726FE">
        <w:rPr>
          <w:rFonts w:ascii="Arial" w:eastAsia="Times New Roman" w:hAnsi="Arial" w:cs="Arial"/>
          <w:b/>
          <w:bCs/>
          <w:color w:val="222222"/>
          <w:sz w:val="19"/>
          <w:szCs w:val="19"/>
          <w:lang w:eastAsia="en-GB"/>
        </w:rPr>
        <w:t>individual interview in Jan/Feb 2016. </w:t>
      </w:r>
      <w:r w:rsidRPr="003726FE">
        <w:rPr>
          <w:rFonts w:ascii="Arial" w:eastAsia="Times New Roman" w:hAnsi="Arial" w:cs="Arial"/>
          <w:color w:val="222222"/>
          <w:sz w:val="19"/>
          <w:szCs w:val="19"/>
          <w:lang w:eastAsia="en-GB"/>
        </w:rPr>
        <w:t>Your potential involvement in this study would fall into two studies as listed below:</w:t>
      </w:r>
    </w:p>
    <w:p w14:paraId="3C478967"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1F6F0FC2"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b/>
          <w:bCs/>
          <w:color w:val="222222"/>
          <w:sz w:val="19"/>
          <w:szCs w:val="19"/>
          <w:lang w:eastAsia="en-GB"/>
        </w:rPr>
        <w:t>Study 1: Intervention training and tutor evaluation</w:t>
      </w:r>
    </w:p>
    <w:p w14:paraId="02BC4911"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b/>
          <w:bCs/>
          <w:color w:val="222222"/>
          <w:sz w:val="19"/>
          <w:szCs w:val="19"/>
          <w:lang w:eastAsia="en-GB"/>
        </w:rPr>
        <w:t>Study 2: Delivering the intervention in clinical skills sessions</w:t>
      </w:r>
    </w:p>
    <w:p w14:paraId="0C4BBE83"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50D856F2"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The corresponding </w:t>
      </w:r>
      <w:r w:rsidRPr="003726FE">
        <w:rPr>
          <w:rFonts w:ascii="Arial" w:eastAsia="Times New Roman" w:hAnsi="Arial" w:cs="Arial"/>
          <w:b/>
          <w:bCs/>
          <w:color w:val="222222"/>
          <w:sz w:val="19"/>
          <w:szCs w:val="19"/>
          <w:lang w:eastAsia="en-GB"/>
        </w:rPr>
        <w:t>information sheets</w:t>
      </w:r>
      <w:r w:rsidRPr="003726FE">
        <w:rPr>
          <w:rFonts w:ascii="Arial" w:eastAsia="Times New Roman" w:hAnsi="Arial" w:cs="Arial"/>
          <w:color w:val="222222"/>
          <w:sz w:val="19"/>
          <w:szCs w:val="19"/>
          <w:lang w:eastAsia="en-GB"/>
        </w:rPr>
        <w:t> for both of the above studies are attached to this email. Please familiarise yourself with these before your training day.</w:t>
      </w:r>
    </w:p>
    <w:p w14:paraId="168C6AF5"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23EFF686"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b/>
          <w:bCs/>
          <w:color w:val="3D85C6"/>
          <w:sz w:val="19"/>
          <w:szCs w:val="19"/>
          <w:lang w:eastAsia="en-GB"/>
        </w:rPr>
        <w:t>Your specific training day is:</w:t>
      </w:r>
      <w:r w:rsidRPr="003726FE">
        <w:rPr>
          <w:rFonts w:ascii="Arial" w:eastAsia="Times New Roman" w:hAnsi="Arial" w:cs="Arial"/>
          <w:color w:val="3D85C6"/>
          <w:sz w:val="19"/>
          <w:szCs w:val="19"/>
          <w:lang w:eastAsia="en-GB"/>
        </w:rPr>
        <w:t> </w:t>
      </w:r>
      <w:r w:rsidRPr="003726FE">
        <w:rPr>
          <w:rFonts w:ascii="Arial" w:eastAsia="Times New Roman" w:hAnsi="Arial" w:cs="Arial"/>
          <w:b/>
          <w:bCs/>
          <w:color w:val="3D85C6"/>
          <w:sz w:val="19"/>
          <w:szCs w:val="19"/>
          <w:lang w:eastAsia="en-GB"/>
        </w:rPr>
        <w:t>8th of October 3-4pm at the Medical School, Seminar room 2, C-Floor, Hallamshire Hospital</w:t>
      </w:r>
      <w:r w:rsidRPr="003726FE">
        <w:rPr>
          <w:rFonts w:ascii="Arial" w:eastAsia="Times New Roman" w:hAnsi="Arial" w:cs="Arial"/>
          <w:b/>
          <w:bCs/>
          <w:color w:val="222222"/>
          <w:sz w:val="19"/>
          <w:szCs w:val="19"/>
          <w:lang w:eastAsia="en-GB"/>
        </w:rPr>
        <w:t>, </w:t>
      </w:r>
      <w:r w:rsidRPr="003726FE">
        <w:rPr>
          <w:rFonts w:ascii="Arial" w:eastAsia="Times New Roman" w:hAnsi="Arial" w:cs="Arial"/>
          <w:color w:val="222222"/>
          <w:sz w:val="19"/>
          <w:szCs w:val="19"/>
          <w:lang w:eastAsia="en-GB"/>
        </w:rPr>
        <w:t>consent forms will be provided on the day along with another verbal brief.</w:t>
      </w:r>
      <w:r w:rsidRPr="003726FE">
        <w:rPr>
          <w:rFonts w:ascii="Arial" w:eastAsia="Times New Roman" w:hAnsi="Arial" w:cs="Arial"/>
          <w:b/>
          <w:bCs/>
          <w:color w:val="222222"/>
          <w:sz w:val="19"/>
          <w:szCs w:val="19"/>
          <w:lang w:eastAsia="en-GB"/>
        </w:rPr>
        <w:t> </w:t>
      </w:r>
    </w:p>
    <w:p w14:paraId="47D12B07"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3E6C75CC" w14:textId="7C159F08"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If you do not wish to receive this training and wish to op</w:t>
      </w:r>
      <w:r w:rsidR="00910A25" w:rsidRPr="003726FE">
        <w:rPr>
          <w:rFonts w:ascii="Arial" w:eastAsia="Times New Roman" w:hAnsi="Arial" w:cs="Arial"/>
          <w:color w:val="222222"/>
          <w:sz w:val="19"/>
          <w:szCs w:val="19"/>
          <w:lang w:eastAsia="en-GB"/>
        </w:rPr>
        <w:t>t</w:t>
      </w:r>
      <w:r w:rsidRPr="003726FE">
        <w:rPr>
          <w:rFonts w:ascii="Arial" w:eastAsia="Times New Roman" w:hAnsi="Arial" w:cs="Arial"/>
          <w:color w:val="222222"/>
          <w:sz w:val="19"/>
          <w:szCs w:val="19"/>
          <w:lang w:eastAsia="en-GB"/>
        </w:rPr>
        <w:t>-out of the study for any reason, please contact me directly.</w:t>
      </w:r>
    </w:p>
    <w:p w14:paraId="61EFED2C"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4C6A9790"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Best wishes,</w:t>
      </w:r>
    </w:p>
    <w:p w14:paraId="30453C57"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p>
    <w:p w14:paraId="6B28A4F4" w14:textId="77777777" w:rsidR="00C815C7" w:rsidRPr="003726FE" w:rsidRDefault="00C815C7" w:rsidP="00C815C7">
      <w:pPr>
        <w:shd w:val="clear" w:color="auto" w:fill="FFFFFF"/>
        <w:spacing w:after="0" w:line="240" w:lineRule="auto"/>
        <w:rPr>
          <w:rFonts w:ascii="Arial" w:eastAsia="Times New Roman" w:hAnsi="Arial" w:cs="Arial"/>
          <w:color w:val="222222"/>
          <w:sz w:val="19"/>
          <w:szCs w:val="19"/>
          <w:lang w:eastAsia="en-GB"/>
        </w:rPr>
      </w:pPr>
      <w:r w:rsidRPr="003726FE">
        <w:rPr>
          <w:rFonts w:ascii="Arial" w:eastAsia="Times New Roman" w:hAnsi="Arial" w:cs="Arial"/>
          <w:color w:val="222222"/>
          <w:sz w:val="19"/>
          <w:szCs w:val="19"/>
          <w:lang w:eastAsia="en-GB"/>
        </w:rPr>
        <w:t>Billy Bryan</w:t>
      </w:r>
    </w:p>
    <w:p w14:paraId="6B6826CC" w14:textId="226E1EDE" w:rsidR="00C815C7" w:rsidRPr="003726FE" w:rsidRDefault="00C815C7">
      <w:pPr>
        <w:rPr>
          <w:rFonts w:ascii="Arial" w:hAnsi="Arial"/>
          <w:b/>
          <w:color w:val="222222"/>
          <w:szCs w:val="19"/>
          <w:shd w:val="clear" w:color="auto" w:fill="FFFFFF"/>
        </w:rPr>
      </w:pPr>
      <w:r w:rsidRPr="003726FE">
        <w:rPr>
          <w:rFonts w:ascii="Arial" w:hAnsi="Arial"/>
          <w:b/>
          <w:color w:val="222222"/>
          <w:szCs w:val="19"/>
          <w:shd w:val="clear" w:color="auto" w:fill="FFFFFF"/>
        </w:rPr>
        <w:br w:type="page"/>
      </w:r>
    </w:p>
    <w:p w14:paraId="6C065637" w14:textId="49E38426" w:rsidR="00A32950" w:rsidRPr="003726FE" w:rsidRDefault="00C815C7" w:rsidP="00A32950">
      <w:pPr>
        <w:tabs>
          <w:tab w:val="right" w:pos="9922"/>
        </w:tabs>
        <w:spacing w:line="240" w:lineRule="auto"/>
        <w:rPr>
          <w:rFonts w:ascii="Arial" w:hAnsi="Arial" w:cs="Arial"/>
          <w:color w:val="222222"/>
          <w:sz w:val="20"/>
          <w:szCs w:val="19"/>
          <w:shd w:val="clear" w:color="auto" w:fill="FFFFFF"/>
        </w:rPr>
      </w:pPr>
      <w:r w:rsidRPr="003726FE">
        <w:rPr>
          <w:rFonts w:ascii="Arial" w:hAnsi="Arial"/>
          <w:b/>
          <w:noProof/>
          <w:color w:val="222222"/>
          <w:szCs w:val="19"/>
          <w:lang w:eastAsia="en-GB"/>
        </w:rPr>
        <w:lastRenderedPageBreak/>
        <mc:AlternateContent>
          <mc:Choice Requires="wps">
            <w:drawing>
              <wp:anchor distT="0" distB="0" distL="114300" distR="114300" simplePos="0" relativeHeight="251908096" behindDoc="0" locked="0" layoutInCell="1" allowOverlap="1" wp14:anchorId="1B18691A" wp14:editId="3FF742C1">
                <wp:simplePos x="0" y="0"/>
                <wp:positionH relativeFrom="column">
                  <wp:posOffset>3916104</wp:posOffset>
                </wp:positionH>
                <wp:positionV relativeFrom="paragraph">
                  <wp:posOffset>-72213</wp:posOffset>
                </wp:positionV>
                <wp:extent cx="1468120" cy="884555"/>
                <wp:effectExtent l="0" t="0" r="0" b="0"/>
                <wp:wrapNone/>
                <wp:docPr id="26075" name="Text Box 26075"/>
                <wp:cNvGraphicFramePr/>
                <a:graphic xmlns:a="http://schemas.openxmlformats.org/drawingml/2006/main">
                  <a:graphicData uri="http://schemas.microsoft.com/office/word/2010/wordprocessingShape">
                    <wps:wsp>
                      <wps:cNvSpPr txBox="1"/>
                      <wps:spPr>
                        <a:xfrm>
                          <a:off x="0" y="0"/>
                          <a:ext cx="1468120" cy="884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99781" w14:textId="77777777" w:rsidR="00C8402C" w:rsidRDefault="00C8402C" w:rsidP="00A32950">
                            <w:pPr>
                              <w:spacing w:line="240" w:lineRule="auto"/>
                              <w:jc w:val="right"/>
                              <w:rPr>
                                <w:rFonts w:ascii="Arial" w:hAnsi="Arial" w:cs="Arial"/>
                                <w:color w:val="222222"/>
                                <w:sz w:val="18"/>
                                <w:szCs w:val="19"/>
                                <w:shd w:val="clear" w:color="auto" w:fill="FFFFFF"/>
                              </w:rPr>
                            </w:pPr>
                            <w:r>
                              <w:rPr>
                                <w:rFonts w:ascii="Arial" w:hAnsi="Arial" w:cs="Arial"/>
                                <w:color w:val="222222"/>
                                <w:sz w:val="18"/>
                                <w:szCs w:val="19"/>
                                <w:shd w:val="clear" w:color="auto" w:fill="FFFFFF"/>
                              </w:rPr>
                              <w:t>Return address:</w:t>
                            </w:r>
                          </w:p>
                          <w:p w14:paraId="70A62B0B" w14:textId="77777777" w:rsidR="00C8402C" w:rsidRPr="00060680" w:rsidRDefault="00C8402C" w:rsidP="00A32950">
                            <w:pPr>
                              <w:spacing w:line="240" w:lineRule="auto"/>
                              <w:jc w:val="right"/>
                              <w:rPr>
                                <w:rFonts w:ascii="Arial" w:hAnsi="Arial" w:cs="Arial"/>
                                <w:color w:val="222222"/>
                                <w:sz w:val="18"/>
                                <w:szCs w:val="19"/>
                                <w:shd w:val="clear" w:color="auto" w:fill="FFFFFF"/>
                              </w:rPr>
                            </w:pPr>
                            <w:r w:rsidRPr="001E759C">
                              <w:rPr>
                                <w:rFonts w:ascii="Arial" w:hAnsi="Arial" w:cs="Arial"/>
                                <w:color w:val="222222"/>
                                <w:sz w:val="18"/>
                                <w:szCs w:val="19"/>
                                <w:shd w:val="clear" w:color="auto" w:fill="FFFFFF"/>
                              </w:rPr>
                              <w:t>The Medical School, University of Sheffield</w:t>
                            </w:r>
                            <w:r w:rsidRPr="00581124">
                              <w:rPr>
                                <w:rFonts w:ascii="Arial" w:hAnsi="Arial" w:cs="Arial"/>
                                <w:color w:val="222222"/>
                                <w:sz w:val="18"/>
                                <w:szCs w:val="19"/>
                                <w:shd w:val="clear" w:color="auto" w:fill="FFFFFF"/>
                              </w:rPr>
                              <w:t xml:space="preserve"> </w:t>
                            </w:r>
                            <w:r>
                              <w:rPr>
                                <w:rFonts w:ascii="Arial" w:hAnsi="Arial" w:cs="Arial"/>
                                <w:color w:val="222222"/>
                                <w:sz w:val="18"/>
                                <w:szCs w:val="19"/>
                                <w:shd w:val="clear" w:color="auto" w:fill="FFFFFF"/>
                              </w:rPr>
                              <w:t xml:space="preserve">Beech Hill Road, </w:t>
                            </w:r>
                            <w:r w:rsidRPr="001E759C">
                              <w:rPr>
                                <w:rFonts w:ascii="Arial" w:hAnsi="Arial" w:cs="Arial"/>
                                <w:color w:val="222222"/>
                                <w:sz w:val="18"/>
                                <w:szCs w:val="19"/>
                                <w:shd w:val="clear" w:color="auto" w:fill="FFFFFF"/>
                              </w:rPr>
                              <w:t>Sheffield</w:t>
                            </w:r>
                            <w:r>
                              <w:rPr>
                                <w:rFonts w:ascii="Arial" w:hAnsi="Arial" w:cs="Arial"/>
                                <w:color w:val="222222"/>
                                <w:sz w:val="20"/>
                                <w:szCs w:val="19"/>
                                <w:shd w:val="clear" w:color="auto" w:fill="FFFFFF"/>
                              </w:rPr>
                              <w:t xml:space="preserve">, </w:t>
                            </w:r>
                            <w:r>
                              <w:rPr>
                                <w:rFonts w:ascii="Arial" w:hAnsi="Arial" w:cs="Arial"/>
                                <w:color w:val="222222"/>
                                <w:sz w:val="18"/>
                                <w:szCs w:val="19"/>
                                <w:shd w:val="clear" w:color="auto" w:fill="FFFFFF"/>
                              </w:rPr>
                              <w:t>S10 2RX</w:t>
                            </w:r>
                          </w:p>
                          <w:p w14:paraId="31CE3683" w14:textId="77777777" w:rsidR="00C8402C" w:rsidRDefault="00C84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691A" id="Text Box 26075" o:spid="_x0000_s1410" type="#_x0000_t202" style="position:absolute;margin-left:308.35pt;margin-top:-5.65pt;width:115.6pt;height:69.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" filled="f" stroked="f">
                <v:textbox>
                  <w:txbxContent>
                    <w:p w14:paraId="62299781" w14:textId="77777777" w:rsidR="00C8402C" w:rsidRDefault="00C8402C" w:rsidP="00A32950">
                      <w:pPr>
                        <w:spacing w:line="240" w:lineRule="auto"/>
                        <w:jc w:val="right"/>
                        <w:rPr>
                          <w:rFonts w:ascii="Arial" w:hAnsi="Arial" w:cs="Arial"/>
                          <w:color w:val="222222"/>
                          <w:sz w:val="18"/>
                          <w:szCs w:val="19"/>
                          <w:shd w:val="clear" w:color="auto" w:fill="FFFFFF"/>
                        </w:rPr>
                      </w:pPr>
                      <w:r>
                        <w:rPr>
                          <w:rFonts w:ascii="Arial" w:hAnsi="Arial" w:cs="Arial"/>
                          <w:color w:val="222222"/>
                          <w:sz w:val="18"/>
                          <w:szCs w:val="19"/>
                          <w:shd w:val="clear" w:color="auto" w:fill="FFFFFF"/>
                        </w:rPr>
                        <w:t>Return address:</w:t>
                      </w:r>
                    </w:p>
                    <w:p w14:paraId="70A62B0B" w14:textId="77777777" w:rsidR="00C8402C" w:rsidRPr="00060680" w:rsidRDefault="00C8402C" w:rsidP="00A32950">
                      <w:pPr>
                        <w:spacing w:line="240" w:lineRule="auto"/>
                        <w:jc w:val="right"/>
                        <w:rPr>
                          <w:rFonts w:ascii="Arial" w:hAnsi="Arial" w:cs="Arial"/>
                          <w:color w:val="222222"/>
                          <w:sz w:val="18"/>
                          <w:szCs w:val="19"/>
                          <w:shd w:val="clear" w:color="auto" w:fill="FFFFFF"/>
                        </w:rPr>
                      </w:pPr>
                      <w:r w:rsidRPr="001E759C">
                        <w:rPr>
                          <w:rFonts w:ascii="Arial" w:hAnsi="Arial" w:cs="Arial"/>
                          <w:color w:val="222222"/>
                          <w:sz w:val="18"/>
                          <w:szCs w:val="19"/>
                          <w:shd w:val="clear" w:color="auto" w:fill="FFFFFF"/>
                        </w:rPr>
                        <w:t>The Medical School, University of Sheffield</w:t>
                      </w:r>
                      <w:r w:rsidRPr="00581124">
                        <w:rPr>
                          <w:rFonts w:ascii="Arial" w:hAnsi="Arial" w:cs="Arial"/>
                          <w:color w:val="222222"/>
                          <w:sz w:val="18"/>
                          <w:szCs w:val="19"/>
                          <w:shd w:val="clear" w:color="auto" w:fill="FFFFFF"/>
                        </w:rPr>
                        <w:t xml:space="preserve"> </w:t>
                      </w:r>
                      <w:r>
                        <w:rPr>
                          <w:rFonts w:ascii="Arial" w:hAnsi="Arial" w:cs="Arial"/>
                          <w:color w:val="222222"/>
                          <w:sz w:val="18"/>
                          <w:szCs w:val="19"/>
                          <w:shd w:val="clear" w:color="auto" w:fill="FFFFFF"/>
                        </w:rPr>
                        <w:t xml:space="preserve">Beech Hill Road, </w:t>
                      </w:r>
                      <w:r w:rsidRPr="001E759C">
                        <w:rPr>
                          <w:rFonts w:ascii="Arial" w:hAnsi="Arial" w:cs="Arial"/>
                          <w:color w:val="222222"/>
                          <w:sz w:val="18"/>
                          <w:szCs w:val="19"/>
                          <w:shd w:val="clear" w:color="auto" w:fill="FFFFFF"/>
                        </w:rPr>
                        <w:t>Sheffield</w:t>
                      </w:r>
                      <w:r>
                        <w:rPr>
                          <w:rFonts w:ascii="Arial" w:hAnsi="Arial" w:cs="Arial"/>
                          <w:color w:val="222222"/>
                          <w:sz w:val="20"/>
                          <w:szCs w:val="19"/>
                          <w:shd w:val="clear" w:color="auto" w:fill="FFFFFF"/>
                        </w:rPr>
                        <w:t xml:space="preserve">, </w:t>
                      </w:r>
                      <w:r>
                        <w:rPr>
                          <w:rFonts w:ascii="Arial" w:hAnsi="Arial" w:cs="Arial"/>
                          <w:color w:val="222222"/>
                          <w:sz w:val="18"/>
                          <w:szCs w:val="19"/>
                          <w:shd w:val="clear" w:color="auto" w:fill="FFFFFF"/>
                        </w:rPr>
                        <w:t>S10 2RX</w:t>
                      </w:r>
                    </w:p>
                    <w:p w14:paraId="31CE3683" w14:textId="77777777" w:rsidR="00C8402C" w:rsidRDefault="00C8402C"/>
                  </w:txbxContent>
                </v:textbox>
              </v:shape>
            </w:pict>
          </mc:Fallback>
        </mc:AlternateContent>
      </w:r>
      <w:r w:rsidR="00A32950" w:rsidRPr="003726FE">
        <w:rPr>
          <w:rFonts w:ascii="Arial" w:hAnsi="Arial"/>
          <w:b/>
          <w:color w:val="222222"/>
          <w:szCs w:val="19"/>
          <w:shd w:val="clear" w:color="auto" w:fill="FFFFFF"/>
        </w:rPr>
        <w:t>Study 1: Information Sheet</w:t>
      </w:r>
      <w:r w:rsidR="00A32950" w:rsidRPr="003726FE">
        <w:rPr>
          <w:rFonts w:ascii="Arial" w:hAnsi="Arial"/>
          <w:color w:val="222222"/>
          <w:szCs w:val="19"/>
          <w:shd w:val="clear" w:color="auto" w:fill="FFFFFF"/>
        </w:rPr>
        <w:tab/>
      </w:r>
      <w:r w:rsidR="00A32950" w:rsidRPr="003726FE">
        <w:rPr>
          <w:rFonts w:ascii="Arial" w:hAnsi="Arial" w:cs="Arial"/>
          <w:color w:val="222222"/>
          <w:sz w:val="18"/>
          <w:szCs w:val="19"/>
          <w:shd w:val="clear" w:color="auto" w:fill="FFFFFF"/>
        </w:rPr>
        <w:t xml:space="preserve"> </w:t>
      </w:r>
    </w:p>
    <w:p w14:paraId="3F99BE4A" w14:textId="6C8F20A0" w:rsidR="00A32950" w:rsidRPr="003726FE" w:rsidRDefault="00A32950" w:rsidP="00A32950">
      <w:pPr>
        <w:tabs>
          <w:tab w:val="right" w:pos="9026"/>
        </w:tabs>
        <w:spacing w:after="0" w:line="360" w:lineRule="auto"/>
        <w:rPr>
          <w:rFonts w:ascii="TUOS Blake" w:hAnsi="TUOS Blake"/>
          <w:sz w:val="20"/>
          <w:szCs w:val="20"/>
        </w:rPr>
      </w:pPr>
    </w:p>
    <w:p w14:paraId="0825F6CD" w14:textId="35FC4782" w:rsidR="00A32950" w:rsidRPr="003726FE" w:rsidRDefault="00A32950" w:rsidP="00A32950">
      <w:pPr>
        <w:tabs>
          <w:tab w:val="right" w:pos="9026"/>
        </w:tabs>
        <w:spacing w:after="0" w:line="360" w:lineRule="auto"/>
        <w:rPr>
          <w:rFonts w:ascii="TUOS Blake" w:hAnsi="TUOS Blake"/>
          <w:sz w:val="18"/>
          <w:szCs w:val="20"/>
        </w:rPr>
      </w:pPr>
      <w:r w:rsidRPr="003726FE">
        <w:rPr>
          <w:rFonts w:ascii="TUOS Blake" w:hAnsi="TUOS Blake"/>
          <w:sz w:val="20"/>
          <w:szCs w:val="20"/>
        </w:rPr>
        <w:t>Dear Participant,</w:t>
      </w:r>
    </w:p>
    <w:p w14:paraId="3379C8C0" w14:textId="33809D50" w:rsidR="00A32950" w:rsidRPr="003726FE" w:rsidRDefault="00A32950" w:rsidP="00A32950">
      <w:pPr>
        <w:spacing w:after="0" w:line="360" w:lineRule="auto"/>
        <w:rPr>
          <w:rFonts w:ascii="TUOS Blake" w:hAnsi="TUOS Blake"/>
          <w:sz w:val="20"/>
          <w:szCs w:val="20"/>
        </w:rPr>
      </w:pPr>
    </w:p>
    <w:p w14:paraId="62174304" w14:textId="008C367C" w:rsidR="00A32950" w:rsidRPr="003726FE" w:rsidRDefault="00A32950" w:rsidP="00A32950">
      <w:pPr>
        <w:spacing w:after="0" w:line="360" w:lineRule="auto"/>
        <w:rPr>
          <w:rFonts w:ascii="TUOS Blake" w:hAnsi="TUOS Blake"/>
        </w:rPr>
      </w:pPr>
      <w:r w:rsidRPr="003726FE">
        <w:rPr>
          <w:rFonts w:ascii="TUOS Blake" w:hAnsi="TUOS Blake"/>
          <w:sz w:val="20"/>
          <w:szCs w:val="20"/>
        </w:rPr>
        <w:t xml:space="preserve">You are invited to take part in a study to investigate the effects of different types of feedback on clinical skills performance and learning strategies in second year medical undergraduate students. This project consists of three separate studies; this information sheet gives details for </w:t>
      </w:r>
      <w:r w:rsidRPr="003726FE">
        <w:rPr>
          <w:rFonts w:ascii="TUOS Blake" w:hAnsi="TUOS Blake"/>
          <w:b/>
          <w:sz w:val="20"/>
          <w:szCs w:val="20"/>
        </w:rPr>
        <w:t>Study 1</w:t>
      </w:r>
      <w:r w:rsidRPr="003726FE">
        <w:rPr>
          <w:rFonts w:ascii="TUOS Blake" w:hAnsi="TUOS Blake"/>
          <w:sz w:val="20"/>
          <w:szCs w:val="20"/>
        </w:rPr>
        <w:t>. You will also be invited to participate in Study 2. You will not be required for Study 3, this only involves students</w:t>
      </w:r>
      <w:r w:rsidRPr="003726FE">
        <w:rPr>
          <w:rFonts w:ascii="TUOS Blake" w:hAnsi="TUOS Blake"/>
        </w:rPr>
        <w:t>.</w:t>
      </w:r>
    </w:p>
    <w:p w14:paraId="3172E56B" w14:textId="77777777" w:rsidR="00A32950" w:rsidRPr="003726FE" w:rsidRDefault="00A32950" w:rsidP="00A32950">
      <w:pPr>
        <w:spacing w:after="0" w:line="360" w:lineRule="auto"/>
        <w:rPr>
          <w:rFonts w:ascii="TUOS Blake" w:hAnsi="TUOS Blake"/>
          <w:sz w:val="20"/>
          <w:szCs w:val="20"/>
        </w:rPr>
      </w:pPr>
    </w:p>
    <w:p w14:paraId="1FD8021B" w14:textId="77777777" w:rsidR="00A32950" w:rsidRPr="003726FE" w:rsidRDefault="00A32950" w:rsidP="00A32950">
      <w:pPr>
        <w:spacing w:after="0" w:line="360" w:lineRule="auto"/>
        <w:rPr>
          <w:rFonts w:ascii="TUOS Blake" w:hAnsi="TUOS Blake"/>
          <w:b/>
          <w:sz w:val="20"/>
          <w:szCs w:val="20"/>
        </w:rPr>
      </w:pPr>
      <w:r w:rsidRPr="003726FE">
        <w:rPr>
          <w:rFonts w:ascii="TUOS Blake" w:hAnsi="TUOS Blake"/>
          <w:b/>
          <w:sz w:val="20"/>
          <w:szCs w:val="20"/>
        </w:rPr>
        <w:t>This Study:</w:t>
      </w:r>
    </w:p>
    <w:p w14:paraId="3CD57D2E" w14:textId="19977775" w:rsidR="00A32950" w:rsidRPr="003726FE" w:rsidRDefault="00A32950" w:rsidP="00A32950">
      <w:pPr>
        <w:spacing w:after="0" w:line="360" w:lineRule="auto"/>
        <w:rPr>
          <w:rFonts w:ascii="TUOS Blake" w:hAnsi="TUOS Blake"/>
          <w:sz w:val="20"/>
          <w:szCs w:val="20"/>
        </w:rPr>
      </w:pPr>
      <w:r w:rsidRPr="003726FE">
        <w:rPr>
          <w:rFonts w:ascii="TUOS Blake" w:hAnsi="TUOS Blake"/>
          <w:sz w:val="20"/>
          <w:szCs w:val="20"/>
        </w:rPr>
        <w:t xml:space="preserve">For this study, we aim to implement a curriculum intervention using targeted feedback in clinical skills teaching. The effects of two types of feedback on student’s performances and learning strategies will be compared. After catheterisation and venepuncture skills training have been delivered using both feedback techniques, we want to assess the impact that the intervention had on your teaching practice by conducting individual interviews. </w:t>
      </w:r>
    </w:p>
    <w:p w14:paraId="65303077" w14:textId="77777777" w:rsidR="00A32950" w:rsidRPr="003726FE" w:rsidRDefault="00A32950" w:rsidP="00A32950">
      <w:pPr>
        <w:spacing w:after="0" w:line="360" w:lineRule="auto"/>
        <w:rPr>
          <w:rFonts w:ascii="TUOS Blake" w:hAnsi="TUOS Blake"/>
          <w:sz w:val="20"/>
          <w:szCs w:val="20"/>
        </w:rPr>
      </w:pPr>
    </w:p>
    <w:p w14:paraId="04C02E82" w14:textId="77777777" w:rsidR="00A32950" w:rsidRPr="003726FE" w:rsidRDefault="00A32950" w:rsidP="00A32950">
      <w:pPr>
        <w:spacing w:after="0" w:line="360" w:lineRule="auto"/>
        <w:rPr>
          <w:rFonts w:ascii="TUOS Blake" w:hAnsi="TUOS Blake"/>
          <w:b/>
          <w:sz w:val="20"/>
          <w:szCs w:val="20"/>
        </w:rPr>
      </w:pPr>
      <w:r w:rsidRPr="003726FE">
        <w:rPr>
          <w:rFonts w:ascii="TUOS Blake" w:hAnsi="TUOS Blake"/>
          <w:b/>
          <w:sz w:val="20"/>
          <w:szCs w:val="20"/>
        </w:rPr>
        <w:t>Your role:</w:t>
      </w:r>
    </w:p>
    <w:p w14:paraId="5BC4EC92" w14:textId="09CC93A6" w:rsidR="00A32950" w:rsidRPr="003726FE" w:rsidRDefault="00A32950" w:rsidP="00A32950">
      <w:pPr>
        <w:spacing w:after="0" w:line="360" w:lineRule="auto"/>
        <w:rPr>
          <w:rFonts w:ascii="TUOS Blake" w:hAnsi="TUOS Blake"/>
          <w:sz w:val="20"/>
          <w:szCs w:val="20"/>
        </w:rPr>
      </w:pPr>
      <w:r w:rsidRPr="003726FE">
        <w:rPr>
          <w:rFonts w:ascii="TUOS Blake" w:hAnsi="TUOS Blake"/>
          <w:sz w:val="20"/>
          <w:szCs w:val="20"/>
        </w:rPr>
        <w:t xml:space="preserve">All clinical skills tutors will receive a refresher session on best practice feedback conducted by Prof. Murdoch Eaton in </w:t>
      </w:r>
      <w:r w:rsidRPr="003726FE">
        <w:rPr>
          <w:rFonts w:ascii="TUOS Blake" w:hAnsi="TUOS Blake"/>
          <w:b/>
          <w:sz w:val="20"/>
          <w:szCs w:val="20"/>
        </w:rPr>
        <w:t>October 2015</w:t>
      </w:r>
      <w:r w:rsidRPr="003726FE">
        <w:rPr>
          <w:rFonts w:ascii="TUOS Blake" w:hAnsi="TUOS Blake"/>
          <w:sz w:val="20"/>
          <w:szCs w:val="20"/>
        </w:rPr>
        <w:t xml:space="preserve">. Following this, tutors will be randomly allocated into one of two groups: </w:t>
      </w:r>
      <w:r w:rsidRPr="003726FE">
        <w:rPr>
          <w:rFonts w:ascii="TUOS Blake" w:hAnsi="TUOS Blake"/>
          <w:b/>
          <w:sz w:val="20"/>
          <w:szCs w:val="20"/>
        </w:rPr>
        <w:t>A</w:t>
      </w:r>
      <w:r w:rsidRPr="003726FE">
        <w:rPr>
          <w:rFonts w:ascii="TUOS Blake" w:hAnsi="TUOS Blake"/>
          <w:sz w:val="20"/>
          <w:szCs w:val="20"/>
        </w:rPr>
        <w:t xml:space="preserve"> or </w:t>
      </w:r>
      <w:r w:rsidRPr="003726FE">
        <w:rPr>
          <w:rFonts w:ascii="TUOS Blake" w:hAnsi="TUOS Blake"/>
          <w:b/>
          <w:sz w:val="20"/>
          <w:szCs w:val="20"/>
        </w:rPr>
        <w:t>B</w:t>
      </w:r>
      <w:r w:rsidRPr="003726FE">
        <w:rPr>
          <w:rFonts w:ascii="TUOS Blake" w:hAnsi="TUOS Blake"/>
          <w:sz w:val="20"/>
          <w:szCs w:val="20"/>
        </w:rPr>
        <w:t xml:space="preserve">. One group may be required for further training, this will be carried out by Mr Billy Bryan and Prof. John Sandars in </w:t>
      </w:r>
      <w:r w:rsidRPr="003726FE">
        <w:rPr>
          <w:rFonts w:ascii="TUOS Blake" w:hAnsi="TUOS Blake"/>
          <w:b/>
          <w:sz w:val="20"/>
          <w:szCs w:val="20"/>
        </w:rPr>
        <w:t>October 2015</w:t>
      </w:r>
      <w:r w:rsidRPr="003726FE">
        <w:rPr>
          <w:rFonts w:ascii="TUOS Blake" w:hAnsi="TUOS Blake"/>
          <w:sz w:val="20"/>
          <w:szCs w:val="20"/>
        </w:rPr>
        <w:t xml:space="preserve">. After all training is completed, you will use the feedback technique you have been taught to give feedback to students in clinical skills teaching sessions (for details, see </w:t>
      </w:r>
      <w:r w:rsidRPr="003726FE">
        <w:rPr>
          <w:rFonts w:ascii="TUOS Blake" w:hAnsi="TUOS Blake"/>
          <w:i/>
          <w:sz w:val="20"/>
          <w:szCs w:val="20"/>
        </w:rPr>
        <w:t>Study 2: Information Sheet</w:t>
      </w:r>
      <w:r w:rsidRPr="003726FE">
        <w:rPr>
          <w:rFonts w:ascii="TUOS Blake" w:hAnsi="TUOS Blake"/>
          <w:sz w:val="20"/>
          <w:szCs w:val="20"/>
        </w:rPr>
        <w:t>).</w:t>
      </w:r>
    </w:p>
    <w:p w14:paraId="2CB4717C" w14:textId="77777777" w:rsidR="00A32950" w:rsidRPr="003726FE" w:rsidRDefault="00A32950" w:rsidP="00A32950">
      <w:pPr>
        <w:spacing w:after="0" w:line="360" w:lineRule="auto"/>
        <w:rPr>
          <w:rFonts w:ascii="TUOS Blake" w:hAnsi="TUOS Blake"/>
          <w:sz w:val="20"/>
          <w:szCs w:val="20"/>
        </w:rPr>
      </w:pPr>
    </w:p>
    <w:p w14:paraId="217270B9" w14:textId="77777777" w:rsidR="00A32950" w:rsidRPr="003726FE" w:rsidRDefault="00A32950" w:rsidP="00A32950">
      <w:pPr>
        <w:spacing w:after="0" w:line="360" w:lineRule="auto"/>
        <w:rPr>
          <w:rFonts w:ascii="TUOS Blake" w:hAnsi="TUOS Blake"/>
          <w:b/>
          <w:sz w:val="20"/>
          <w:szCs w:val="20"/>
        </w:rPr>
      </w:pPr>
      <w:r w:rsidRPr="003726FE">
        <w:rPr>
          <w:rFonts w:ascii="TUOS Blake" w:hAnsi="TUOS Blake"/>
          <w:b/>
          <w:sz w:val="20"/>
          <w:szCs w:val="20"/>
        </w:rPr>
        <w:t>Follow up:</w:t>
      </w:r>
    </w:p>
    <w:p w14:paraId="3E5B3868" w14:textId="41F18668" w:rsidR="00A32950" w:rsidRPr="003726FE" w:rsidRDefault="00A32950" w:rsidP="00FD13D6">
      <w:pPr>
        <w:spacing w:after="0" w:line="360" w:lineRule="auto"/>
        <w:rPr>
          <w:rFonts w:ascii="TUOS Blake" w:hAnsi="TUOS Blake"/>
          <w:sz w:val="20"/>
          <w:szCs w:val="20"/>
        </w:rPr>
      </w:pPr>
      <w:r w:rsidRPr="003726FE">
        <w:rPr>
          <w:rFonts w:ascii="TUOS Blake" w:hAnsi="TUOS Blake"/>
          <w:sz w:val="20"/>
          <w:szCs w:val="20"/>
        </w:rPr>
        <w:t xml:space="preserve">After you have completed teaching for catheterisation and venepuncture you will attend a </w:t>
      </w:r>
      <w:r w:rsidRPr="003726FE">
        <w:rPr>
          <w:rFonts w:ascii="TUOS Blake" w:hAnsi="TUOS Blake"/>
          <w:b/>
          <w:sz w:val="20"/>
          <w:szCs w:val="20"/>
        </w:rPr>
        <w:t>one-to-one interview with Mr Billy Bryan (Jan/Feb 2016).</w:t>
      </w:r>
      <w:r w:rsidRPr="003726FE">
        <w:rPr>
          <w:rFonts w:ascii="TUOS Blake" w:hAnsi="TUOS Blake"/>
          <w:sz w:val="20"/>
          <w:szCs w:val="20"/>
        </w:rPr>
        <w:t xml:space="preserve"> The purpose of the interview is to explore your experiences of using the intervention; whether you thought it was useful and how it impacted upon your usual teaching practice. This session will be audio-recorded, any data we collect from you will be anonymised in reports and used only for research purposes. This research will form a doctoral thesis and may be published in peer reviewed journals. </w:t>
      </w:r>
    </w:p>
    <w:p w14:paraId="4C8FC765" w14:textId="1D618034" w:rsidR="00A32950" w:rsidRPr="003726FE" w:rsidRDefault="00A32950" w:rsidP="00FD13D6">
      <w:pPr>
        <w:spacing w:after="0" w:line="360" w:lineRule="auto"/>
        <w:rPr>
          <w:rFonts w:ascii="TUOS Blake" w:hAnsi="TUOS Blake"/>
          <w:sz w:val="20"/>
          <w:szCs w:val="20"/>
        </w:rPr>
      </w:pPr>
    </w:p>
    <w:p w14:paraId="42E150D2" w14:textId="57F7F85E" w:rsidR="00A32950" w:rsidRPr="003726FE" w:rsidRDefault="00A32950" w:rsidP="00A32950">
      <w:pPr>
        <w:spacing w:after="0" w:line="360" w:lineRule="auto"/>
        <w:rPr>
          <w:rFonts w:ascii="TUOS Blake" w:hAnsi="TUOS Blake"/>
          <w:sz w:val="20"/>
          <w:szCs w:val="20"/>
        </w:rPr>
      </w:pPr>
    </w:p>
    <w:p w14:paraId="2A219D75" w14:textId="6539670E" w:rsidR="00A32950" w:rsidRPr="003726FE" w:rsidRDefault="00A32950" w:rsidP="00A32950">
      <w:pPr>
        <w:spacing w:after="0" w:line="360" w:lineRule="auto"/>
        <w:jc w:val="center"/>
        <w:rPr>
          <w:rFonts w:ascii="TUOS Blake" w:hAnsi="TUOS Blake"/>
          <w:sz w:val="20"/>
          <w:szCs w:val="20"/>
        </w:rPr>
      </w:pPr>
      <w:r w:rsidRPr="003726FE">
        <w:rPr>
          <w:rFonts w:ascii="TUOS Blake" w:hAnsi="TUOS Blake"/>
          <w:sz w:val="20"/>
          <w:szCs w:val="20"/>
        </w:rPr>
        <w:t xml:space="preserve">Finally, if you wish to take part in this study please </w:t>
      </w:r>
      <w:r w:rsidRPr="003726FE">
        <w:rPr>
          <w:rFonts w:ascii="TUOS Blake" w:hAnsi="TUOS Blake"/>
          <w:b/>
          <w:sz w:val="20"/>
          <w:szCs w:val="20"/>
        </w:rPr>
        <w:t>read and sign the consent form</w:t>
      </w:r>
      <w:r w:rsidRPr="003726FE">
        <w:rPr>
          <w:rFonts w:ascii="TUOS Blake" w:hAnsi="TUOS Blake"/>
          <w:sz w:val="20"/>
          <w:szCs w:val="20"/>
        </w:rPr>
        <w:t xml:space="preserve"> supplied to you. Thank you for reading this information.</w:t>
      </w:r>
    </w:p>
    <w:tbl>
      <w:tblPr>
        <w:tblpPr w:leftFromText="180" w:rightFromText="180" w:vertAnchor="page" w:horzAnchor="margin" w:tblpXSpec="center" w:tblpY="2078"/>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4"/>
        <w:gridCol w:w="236"/>
      </w:tblGrid>
      <w:tr w:rsidR="00A32950" w:rsidRPr="003726FE" w14:paraId="6E4AF153" w14:textId="77777777" w:rsidTr="00164F07">
        <w:trPr>
          <w:trHeight w:val="12834"/>
        </w:trPr>
        <w:tc>
          <w:tcPr>
            <w:tcW w:w="8314" w:type="dxa"/>
            <w:tcBorders>
              <w:right w:val="nil"/>
            </w:tcBorders>
          </w:tcPr>
          <w:p w14:paraId="66A24C05" w14:textId="66337B85" w:rsidR="00A32950" w:rsidRPr="003726FE" w:rsidRDefault="00910A25" w:rsidP="00164F07">
            <w:pPr>
              <w:pStyle w:val="Normal1"/>
              <w:rPr>
                <w:lang w:val="en-GB"/>
              </w:rPr>
            </w:pPr>
            <w:r w:rsidRPr="003726FE">
              <w:rPr>
                <w:b/>
                <w:noProof/>
                <w:lang w:val="en-GB" w:eastAsia="en-GB" w:bidi="ar-SA"/>
              </w:rPr>
              <w:lastRenderedPageBreak/>
              <mc:AlternateContent>
                <mc:Choice Requires="wps">
                  <w:drawing>
                    <wp:anchor distT="45720" distB="45720" distL="114300" distR="114300" simplePos="0" relativeHeight="251929600" behindDoc="1" locked="0" layoutInCell="1" allowOverlap="1" wp14:anchorId="760F1BA3" wp14:editId="3B9BDF1A">
                      <wp:simplePos x="0" y="0"/>
                      <wp:positionH relativeFrom="column">
                        <wp:posOffset>-78740</wp:posOffset>
                      </wp:positionH>
                      <wp:positionV relativeFrom="paragraph">
                        <wp:posOffset>-432435</wp:posOffset>
                      </wp:positionV>
                      <wp:extent cx="1666875" cy="314325"/>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14325"/>
                              </a:xfrm>
                              <a:prstGeom prst="rect">
                                <a:avLst/>
                              </a:prstGeom>
                              <a:noFill/>
                              <a:ln w="9525">
                                <a:noFill/>
                                <a:miter lim="800000"/>
                                <a:headEnd/>
                                <a:tailEnd/>
                              </a:ln>
                            </wps:spPr>
                            <wps:txbx>
                              <w:txbxContent>
                                <w:p w14:paraId="3223C4E4" w14:textId="1D561630" w:rsidR="00C8402C" w:rsidRDefault="00C8402C">
                                  <w:r>
                                    <w:t>Consent form – Study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1BA3" id="_x0000_s1411" type="#_x0000_t202" style="position:absolute;margin-left:-6.2pt;margin-top:-34pt;width:131.25pt;height:24.75pt;z-index:-25138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" filled="f" stroked="f">
                      <v:textbox>
                        <w:txbxContent>
                          <w:p w14:paraId="3223C4E4" w14:textId="1D561630" w:rsidR="00C8402C" w:rsidRDefault="00C8402C">
                            <w:r>
                              <w:t>Consent form – Study 1</w:t>
                            </w:r>
                          </w:p>
                        </w:txbxContent>
                      </v:textbox>
                    </v:shape>
                  </w:pict>
                </mc:Fallback>
              </mc:AlternateContent>
            </w:r>
            <w:r w:rsidR="00A32950" w:rsidRPr="003726FE">
              <w:rPr>
                <w:b/>
                <w:lang w:val="en-GB"/>
              </w:rPr>
              <w:t>Title of Research Project:</w:t>
            </w:r>
            <w:r w:rsidR="00A32950" w:rsidRPr="003726FE">
              <w:rPr>
                <w:lang w:val="en-GB"/>
              </w:rPr>
              <w:t xml:space="preserve"> Hearing the feedback message</w:t>
            </w:r>
          </w:p>
          <w:p w14:paraId="7B4B56B2" w14:textId="40ECAEDC" w:rsidR="00A32950" w:rsidRPr="003726FE" w:rsidRDefault="00A32950" w:rsidP="00164F07">
            <w:pPr>
              <w:spacing w:after="0" w:line="276" w:lineRule="auto"/>
              <w:ind w:right="-155"/>
              <w:rPr>
                <w:rFonts w:ascii="TUOS Blake" w:hAnsi="TUOS Blake" w:cs="Arial"/>
                <w:sz w:val="22"/>
              </w:rPr>
            </w:pPr>
            <w:r w:rsidRPr="003726FE">
              <w:rPr>
                <w:rFonts w:ascii="TUOS Blake" w:hAnsi="TUOS Blake" w:cs="Arial"/>
                <w:b/>
                <w:sz w:val="22"/>
              </w:rPr>
              <w:t>Study 1:</w:t>
            </w:r>
            <w:r w:rsidRPr="003726FE">
              <w:rPr>
                <w:rFonts w:ascii="TUOS Blake" w:hAnsi="TUOS Blake" w:cs="Arial"/>
                <w:sz w:val="22"/>
              </w:rPr>
              <w:t xml:space="preserve"> Tutor training and evaluation of the feedback intervention using interviews</w:t>
            </w:r>
          </w:p>
          <w:p w14:paraId="1449E6AC" w14:textId="77777777" w:rsidR="00A32950" w:rsidRPr="003726FE" w:rsidRDefault="00A32950" w:rsidP="00164F07">
            <w:pPr>
              <w:spacing w:after="0" w:line="276" w:lineRule="auto"/>
              <w:rPr>
                <w:rFonts w:ascii="TUOS Blake" w:hAnsi="TUOS Blake" w:cs="Arial"/>
                <w:sz w:val="22"/>
              </w:rPr>
            </w:pPr>
            <w:r w:rsidRPr="003726FE">
              <w:rPr>
                <w:rFonts w:ascii="TUOS Blake" w:hAnsi="TUOS Blake" w:cs="Arial"/>
                <w:b/>
                <w:sz w:val="22"/>
              </w:rPr>
              <w:t>Name of Researcher:</w:t>
            </w:r>
            <w:r w:rsidRPr="003726FE">
              <w:rPr>
                <w:rFonts w:ascii="TUOS Blake" w:hAnsi="TUOS Blake" w:cs="Arial"/>
                <w:sz w:val="22"/>
              </w:rPr>
              <w:t xml:space="preserve"> Mr. Billy Bryan</w:t>
            </w:r>
          </w:p>
          <w:p w14:paraId="4881912C" w14:textId="77777777" w:rsidR="00A32950" w:rsidRPr="003726FE" w:rsidRDefault="00A32950" w:rsidP="00164F07">
            <w:pPr>
              <w:pStyle w:val="BodyText2"/>
              <w:spacing w:line="276" w:lineRule="auto"/>
              <w:rPr>
                <w:rFonts w:ascii="TUOS Blake" w:hAnsi="TUOS Blake" w:cs="Arial"/>
              </w:rPr>
            </w:pPr>
            <w:r w:rsidRPr="003726FE">
              <w:rPr>
                <w:rFonts w:ascii="TUOS Blake" w:hAnsi="TUOS Blake" w:cs="Arial"/>
                <w:sz w:val="22"/>
              </w:rPr>
              <w:t>Please initial the adjacent boxes.</w:t>
            </w:r>
          </w:p>
          <w:p w14:paraId="2DAB20A0" w14:textId="3A9DD23B" w:rsidR="00A32950" w:rsidRPr="003726FE" w:rsidRDefault="000532E2" w:rsidP="00164F07">
            <w:pPr>
              <w:pStyle w:val="BodyText2"/>
              <w:spacing w:line="276" w:lineRule="auto"/>
              <w:rPr>
                <w:rFonts w:ascii="TUOS Blake" w:hAnsi="TUOS Blake" w:cs="Arial"/>
              </w:rPr>
            </w:pPr>
            <w:r>
              <w:rPr>
                <w:rFonts w:ascii="TUOS Blake" w:hAnsi="TUOS Blake" w:cs="Arial"/>
                <w:b w:val="0"/>
                <w:bCs w:val="0"/>
                <w:noProof/>
                <w:color w:val="000C9E"/>
                <w:sz w:val="22"/>
                <w:lang w:eastAsia="zh-CN"/>
              </w:rPr>
              <w:pict w14:anchorId="5791DDF4">
                <v:rect id="_x0000_s1061" style="position:absolute;margin-left:374.95pt;margin-top:305.2pt;width:36pt;height:27pt;z-index:251916288;mso-position-horizontal-relative:text;mso-position-vertical-relative:text"/>
              </w:pict>
            </w:r>
            <w:r>
              <w:rPr>
                <w:rFonts w:ascii="TUOS Blake" w:hAnsi="TUOS Blake" w:cs="Arial"/>
                <w:b w:val="0"/>
                <w:bCs w:val="0"/>
                <w:noProof/>
                <w:color w:val="000C9E"/>
                <w:sz w:val="40"/>
                <w:lang w:eastAsia="en-GB"/>
              </w:rPr>
              <w:pict w14:anchorId="77F39B18">
                <v:rect id="_x0000_s1062" style="position:absolute;margin-left:379.25pt;margin-top:236.95pt;width:36pt;height:27pt;z-index:251917312;mso-position-horizontal-relative:text;mso-position-vertical-relative:text"/>
              </w:pict>
            </w:r>
            <w:r>
              <w:rPr>
                <w:rFonts w:ascii="TUOS Blake" w:hAnsi="TUOS Blake" w:cs="Arial"/>
                <w:b w:val="0"/>
                <w:bCs w:val="0"/>
                <w:noProof/>
                <w:color w:val="000C9E"/>
                <w:sz w:val="22"/>
              </w:rPr>
              <w:pict w14:anchorId="12C057C3">
                <v:rect id="_x0000_s1060" style="position:absolute;margin-left:379.25pt;margin-top:166.45pt;width:36pt;height:27pt;z-index:251915264;mso-position-horizontal-relative:text;mso-position-vertical-relative:text"/>
              </w:pict>
            </w:r>
            <w:r>
              <w:rPr>
                <w:rFonts w:ascii="TUOS Blake" w:hAnsi="TUOS Blake" w:cs="Arial"/>
                <w:b w:val="0"/>
                <w:bCs w:val="0"/>
                <w:noProof/>
                <w:color w:val="000C9E"/>
                <w:sz w:val="40"/>
                <w:lang w:eastAsia="en-GB"/>
              </w:rPr>
              <w:pict w14:anchorId="77F87C2A">
                <v:rect id="_x0000_s1063" style="position:absolute;margin-left:379.25pt;margin-top:110.2pt;width:36pt;height:27pt;z-index:251918336;mso-position-horizontal-relative:text;mso-position-vertical-relative:text"/>
              </w:pict>
            </w:r>
            <w:r>
              <w:rPr>
                <w:rFonts w:ascii="TUOS Blake" w:hAnsi="TUOS Blake" w:cs="Arial"/>
                <w:b w:val="0"/>
                <w:bCs w:val="0"/>
                <w:noProof/>
                <w:color w:val="000C9E"/>
                <w:sz w:val="22"/>
              </w:rPr>
              <w:pict w14:anchorId="04081AE3">
                <v:rect id="_x0000_s1057" style="position:absolute;margin-left:379.25pt;margin-top:9.7pt;width:36pt;height:27pt;z-index:251912192;mso-position-horizontal-relative:text;mso-position-vertical-relative:text"/>
              </w:pict>
            </w:r>
            <w:r>
              <w:rPr>
                <w:rFonts w:ascii="TUOS Blake" w:hAnsi="TUOS Blake" w:cs="Arial"/>
                <w:b w:val="0"/>
                <w:bCs w:val="0"/>
                <w:noProof/>
                <w:color w:val="000C9E"/>
                <w:sz w:val="22"/>
              </w:rPr>
              <w:pict w14:anchorId="45FC37E1">
                <v:rect id="_x0000_s1058" style="position:absolute;margin-left:379.85pt;margin-top:53.2pt;width:36pt;height:27pt;z-index:251913216;mso-position-horizontal-relative:text;mso-position-vertical-relative:text"/>
              </w:pict>
            </w:r>
            <w:r>
              <w:rPr>
                <w:rFonts w:ascii="TUOS Blake" w:hAnsi="TUOS Blake" w:cs="Arial"/>
                <w:b w:val="0"/>
                <w:bCs w:val="0"/>
                <w:noProof/>
                <w:color w:val="000C9E"/>
                <w:sz w:val="22"/>
              </w:rPr>
              <w:pict w14:anchorId="11FCCBC2">
                <v:rect id="_x0000_s1059" style="position:absolute;margin-left:374.95pt;margin-top:338.95pt;width:36pt;height:27pt;z-index:251914240;mso-position-horizontal-relative:text;mso-position-vertical-relative:text"/>
              </w:pict>
            </w:r>
          </w:p>
          <w:p w14:paraId="7BF874EA" w14:textId="1A74B73B" w:rsidR="00A32950" w:rsidRPr="003726FE" w:rsidRDefault="00A32950" w:rsidP="00164F07">
            <w:pPr>
              <w:numPr>
                <w:ilvl w:val="0"/>
                <w:numId w:val="29"/>
              </w:numPr>
              <w:tabs>
                <w:tab w:val="clear" w:pos="720"/>
                <w:tab w:val="num" w:pos="171"/>
              </w:tabs>
              <w:spacing w:after="0" w:line="276" w:lineRule="auto"/>
              <w:ind w:left="171" w:right="667" w:hanging="189"/>
              <w:rPr>
                <w:rFonts w:ascii="TUOS Blake" w:hAnsi="TUOS Blake" w:cs="Arial"/>
                <w:sz w:val="22"/>
              </w:rPr>
            </w:pPr>
            <w:r w:rsidRPr="003726FE">
              <w:rPr>
                <w:rFonts w:ascii="TUOS Blake" w:hAnsi="TUOS Blake" w:cs="Arial"/>
                <w:sz w:val="22"/>
              </w:rPr>
              <w:t xml:space="preserve">I confirm that I have read and understand the information sheet </w:t>
            </w:r>
            <w:r w:rsidRPr="003726FE">
              <w:rPr>
                <w:rFonts w:ascii="TUOS Blake" w:hAnsi="TUOS Blake" w:cs="Arial"/>
                <w:sz w:val="22"/>
              </w:rPr>
              <w:br/>
              <w:t>dated: ________________ explaining the above research project</w:t>
            </w:r>
            <w:r w:rsidRPr="003726FE">
              <w:rPr>
                <w:rFonts w:ascii="TUOS Blake" w:hAnsi="TUOS Blake" w:cs="Arial"/>
                <w:sz w:val="22"/>
              </w:rPr>
              <w:br/>
              <w:t>and I have had the opportunity to ask questions about the project.</w:t>
            </w:r>
          </w:p>
          <w:p w14:paraId="6D638ED0" w14:textId="6CEDFBEE" w:rsidR="00A32950" w:rsidRPr="003726FE" w:rsidRDefault="00A32950" w:rsidP="00164F07">
            <w:pPr>
              <w:numPr>
                <w:ilvl w:val="0"/>
                <w:numId w:val="29"/>
              </w:numPr>
              <w:tabs>
                <w:tab w:val="num" w:pos="171"/>
              </w:tabs>
              <w:spacing w:after="0" w:line="276" w:lineRule="auto"/>
              <w:ind w:left="171" w:right="667" w:hanging="189"/>
              <w:rPr>
                <w:rFonts w:ascii="TUOS Blake" w:hAnsi="TUOS Blake" w:cs="Arial"/>
                <w:sz w:val="22"/>
              </w:rPr>
            </w:pPr>
            <w:r w:rsidRPr="003726FE">
              <w:rPr>
                <w:rFonts w:ascii="TUOS Blake" w:hAnsi="TUOS Blake" w:cs="Arial"/>
                <w:sz w:val="22"/>
              </w:rPr>
              <w:t>I agree not to divulge resources specific to this research to students who do not participate to ensure research integrity and confidentiality.</w:t>
            </w:r>
          </w:p>
          <w:p w14:paraId="5C257EB5" w14:textId="4651FDDE" w:rsidR="00A32950" w:rsidRPr="003726FE" w:rsidRDefault="00A32950" w:rsidP="00164F07">
            <w:pPr>
              <w:numPr>
                <w:ilvl w:val="0"/>
                <w:numId w:val="29"/>
              </w:numPr>
              <w:tabs>
                <w:tab w:val="clear" w:pos="720"/>
                <w:tab w:val="num" w:pos="171"/>
              </w:tabs>
              <w:spacing w:after="0" w:line="276" w:lineRule="auto"/>
              <w:ind w:left="171" w:right="667" w:hanging="189"/>
              <w:rPr>
                <w:rFonts w:ascii="TUOS Blake" w:hAnsi="TUOS Blake" w:cs="Arial"/>
                <w:sz w:val="22"/>
              </w:rPr>
            </w:pPr>
            <w:r w:rsidRPr="003726FE">
              <w:rPr>
                <w:rFonts w:ascii="TUOS Blake" w:hAnsi="TUOS Blake" w:cs="Arial"/>
                <w:sz w:val="22"/>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r w:rsidRPr="003726FE">
              <w:rPr>
                <w:rFonts w:ascii="TUOS Blake" w:hAnsi="TUOS Blake" w:cs="Arial"/>
                <w:sz w:val="20"/>
              </w:rPr>
              <w:t xml:space="preserve"> </w:t>
            </w:r>
          </w:p>
          <w:p w14:paraId="72488E0D" w14:textId="3B50DDD3" w:rsidR="00A32950" w:rsidRPr="003726FE" w:rsidRDefault="00A32950" w:rsidP="00164F07">
            <w:pPr>
              <w:numPr>
                <w:ilvl w:val="0"/>
                <w:numId w:val="29"/>
              </w:numPr>
              <w:tabs>
                <w:tab w:val="num" w:pos="171"/>
              </w:tabs>
              <w:spacing w:after="0" w:line="276" w:lineRule="auto"/>
              <w:ind w:left="171" w:right="667" w:hanging="189"/>
              <w:rPr>
                <w:rFonts w:ascii="TUOS Blake" w:hAnsi="TUOS Blake" w:cs="Arial"/>
                <w:sz w:val="22"/>
              </w:rPr>
            </w:pPr>
            <w:r w:rsidRPr="003726FE">
              <w:rPr>
                <w:rFonts w:ascii="TUOS Blake" w:hAnsi="TUOS Blake" w:cs="Arial"/>
                <w:sz w:val="22"/>
              </w:rPr>
              <w:t>I understand that my responses will be kept strictly confidential.</w:t>
            </w:r>
            <w:r w:rsidRPr="003726FE">
              <w:rPr>
                <w:rFonts w:ascii="TUOS Blake" w:hAnsi="TUOS Blake" w:cs="Arial"/>
                <w:sz w:val="22"/>
              </w:rPr>
              <w:br/>
              <w:t xml:space="preserve">I give permission for members of the research team to have access to my anonymised responses. I understand that I will not be identified or identifiable in the report or reports that result from the research. </w:t>
            </w:r>
          </w:p>
          <w:p w14:paraId="626F3F43" w14:textId="77017DC6" w:rsidR="00A32950" w:rsidRPr="003726FE" w:rsidRDefault="00A32950" w:rsidP="00164F07">
            <w:pPr>
              <w:numPr>
                <w:ilvl w:val="0"/>
                <w:numId w:val="29"/>
              </w:numPr>
              <w:tabs>
                <w:tab w:val="clear" w:pos="720"/>
                <w:tab w:val="num" w:pos="171"/>
              </w:tabs>
              <w:spacing w:after="0" w:line="276" w:lineRule="auto"/>
              <w:ind w:left="171" w:right="667" w:hanging="189"/>
              <w:rPr>
                <w:rFonts w:ascii="TUOS Blake" w:hAnsi="TUOS Blake" w:cs="Arial"/>
                <w:sz w:val="22"/>
              </w:rPr>
            </w:pPr>
            <w:r w:rsidRPr="003726FE">
              <w:rPr>
                <w:rFonts w:ascii="TUOS Blake" w:hAnsi="TUOS Blake" w:cs="Arial"/>
                <w:sz w:val="22"/>
              </w:rPr>
              <w:t>I give consent for sound recordings to be collected.  I confirm that the purpose for which the material would be used has been explained to me in terms that I have understood and I agree to the use of the material in such circumstances.  I understand that if the material is required for use in any other way than that explained to me then my consent to this will be specifically sought.</w:t>
            </w:r>
          </w:p>
          <w:p w14:paraId="48C0EBB6" w14:textId="36C47618" w:rsidR="00A32950" w:rsidRPr="003726FE" w:rsidRDefault="00A32950" w:rsidP="00164F07">
            <w:pPr>
              <w:numPr>
                <w:ilvl w:val="0"/>
                <w:numId w:val="29"/>
              </w:numPr>
              <w:tabs>
                <w:tab w:val="num" w:pos="171"/>
              </w:tabs>
              <w:spacing w:after="0" w:line="276" w:lineRule="auto"/>
              <w:ind w:left="171" w:right="667" w:hanging="189"/>
              <w:rPr>
                <w:rFonts w:ascii="TUOS Blake" w:hAnsi="TUOS Blake" w:cs="Arial"/>
                <w:sz w:val="22"/>
              </w:rPr>
            </w:pPr>
            <w:r w:rsidRPr="003726FE">
              <w:rPr>
                <w:rFonts w:ascii="TUOS Blake" w:hAnsi="TUOS Blake" w:cs="Arial"/>
                <w:sz w:val="22"/>
              </w:rPr>
              <w:t>I agree for the data collected from me to be used in future research.</w:t>
            </w:r>
          </w:p>
          <w:p w14:paraId="2C1F8E9E" w14:textId="77777777" w:rsidR="00A32950" w:rsidRPr="003726FE" w:rsidRDefault="00A32950" w:rsidP="00164F07">
            <w:pPr>
              <w:numPr>
                <w:ilvl w:val="0"/>
                <w:numId w:val="29"/>
              </w:numPr>
              <w:tabs>
                <w:tab w:val="clear" w:pos="720"/>
                <w:tab w:val="num" w:pos="171"/>
              </w:tabs>
              <w:spacing w:after="0" w:line="276" w:lineRule="auto"/>
              <w:ind w:left="171" w:right="667" w:hanging="189"/>
              <w:rPr>
                <w:rFonts w:ascii="TUOS Blake" w:hAnsi="TUOS Blake" w:cs="Arial"/>
                <w:sz w:val="22"/>
              </w:rPr>
            </w:pPr>
            <w:r w:rsidRPr="003726FE">
              <w:rPr>
                <w:rFonts w:ascii="TUOS Blake" w:hAnsi="TUOS Blake" w:cs="Arial"/>
                <w:sz w:val="22"/>
              </w:rPr>
              <w:t>I agree to participate in all outlined activities in the research project including random allocation to the specified groups.</w:t>
            </w:r>
          </w:p>
          <w:p w14:paraId="51AF13A5" w14:textId="77777777" w:rsidR="00A32950" w:rsidRPr="003726FE" w:rsidRDefault="00A32950" w:rsidP="00164F07">
            <w:pPr>
              <w:rPr>
                <w:rFonts w:ascii="TUOS Blake" w:hAnsi="TUOS Blake" w:cs="Arial"/>
              </w:rPr>
            </w:pPr>
          </w:p>
          <w:p w14:paraId="44918F63" w14:textId="77777777" w:rsidR="00A32950" w:rsidRPr="003726FE" w:rsidRDefault="00A32950" w:rsidP="00164F07">
            <w:pPr>
              <w:tabs>
                <w:tab w:val="left" w:pos="3600"/>
                <w:tab w:val="left" w:pos="6480"/>
              </w:tabs>
              <w:rPr>
                <w:rFonts w:ascii="TUOS Blake" w:hAnsi="TUOS Blake" w:cs="Arial"/>
              </w:rPr>
            </w:pPr>
            <w:r w:rsidRPr="003726FE">
              <w:rPr>
                <w:rFonts w:ascii="TUOS Blake" w:hAnsi="TUOS Blake" w:cs="Arial"/>
              </w:rPr>
              <w:t>________________________</w:t>
            </w:r>
            <w:r w:rsidRPr="003726FE">
              <w:rPr>
                <w:rFonts w:ascii="TUOS Blake" w:hAnsi="TUOS Blake" w:cs="Arial"/>
              </w:rPr>
              <w:tab/>
              <w:t>________________      ________________</w:t>
            </w:r>
          </w:p>
          <w:p w14:paraId="1F3698C4" w14:textId="77777777" w:rsidR="00A32950" w:rsidRPr="003726FE" w:rsidRDefault="00A32950" w:rsidP="00164F07">
            <w:pPr>
              <w:tabs>
                <w:tab w:val="left" w:pos="3600"/>
                <w:tab w:val="left" w:pos="6480"/>
              </w:tabs>
              <w:rPr>
                <w:rFonts w:ascii="TUOS Blake" w:hAnsi="TUOS Blake" w:cs="Arial"/>
                <w:sz w:val="22"/>
              </w:rPr>
            </w:pPr>
            <w:r w:rsidRPr="003726FE">
              <w:rPr>
                <w:rFonts w:ascii="TUOS Blake" w:hAnsi="TUOS Blake" w:cs="Arial"/>
                <w:sz w:val="22"/>
              </w:rPr>
              <w:t>Name of Participant</w:t>
            </w:r>
            <w:r w:rsidRPr="003726FE">
              <w:rPr>
                <w:rFonts w:ascii="TUOS Blake" w:hAnsi="TUOS Blake" w:cs="Arial"/>
                <w:sz w:val="22"/>
              </w:rPr>
              <w:tab/>
              <w:t>Date</w:t>
            </w:r>
            <w:r w:rsidRPr="003726FE">
              <w:rPr>
                <w:rFonts w:ascii="TUOS Blake" w:hAnsi="TUOS Blake" w:cs="Arial"/>
                <w:sz w:val="22"/>
              </w:rPr>
              <w:tab/>
              <w:t>Signature</w:t>
            </w:r>
          </w:p>
          <w:p w14:paraId="0C8F5BD7" w14:textId="77777777" w:rsidR="00A32950" w:rsidRPr="003726FE" w:rsidRDefault="00A32950" w:rsidP="00164F07">
            <w:pPr>
              <w:rPr>
                <w:rFonts w:ascii="TUOS Blake" w:hAnsi="TUOS Blake" w:cs="Arial"/>
                <w:sz w:val="22"/>
              </w:rPr>
            </w:pPr>
            <w:r w:rsidRPr="003726FE">
              <w:rPr>
                <w:rFonts w:ascii="TUOS Blake" w:hAnsi="TUOS Blake" w:cs="Arial"/>
                <w:sz w:val="22"/>
              </w:rPr>
              <w:t>(</w:t>
            </w:r>
            <w:r w:rsidRPr="003726FE">
              <w:rPr>
                <w:rFonts w:ascii="TUOS Blake" w:hAnsi="TUOS Blake" w:cs="Arial"/>
                <w:i/>
                <w:iCs/>
                <w:sz w:val="22"/>
              </w:rPr>
              <w:t>or legal representative</w:t>
            </w:r>
            <w:r w:rsidRPr="003726FE">
              <w:rPr>
                <w:rFonts w:ascii="TUOS Blake" w:hAnsi="TUOS Blake" w:cs="Arial"/>
                <w:sz w:val="22"/>
              </w:rPr>
              <w:t>)</w:t>
            </w:r>
          </w:p>
          <w:p w14:paraId="72C30944" w14:textId="77777777" w:rsidR="00A32950" w:rsidRPr="003726FE" w:rsidRDefault="00A32950" w:rsidP="00164F07">
            <w:pPr>
              <w:pStyle w:val="Header"/>
              <w:tabs>
                <w:tab w:val="left" w:pos="3600"/>
                <w:tab w:val="left" w:pos="6480"/>
              </w:tabs>
              <w:rPr>
                <w:rFonts w:ascii="TUOS Blake" w:hAnsi="TUOS Blake" w:cs="Arial"/>
                <w:sz w:val="22"/>
              </w:rPr>
            </w:pPr>
          </w:p>
          <w:p w14:paraId="3F475E74" w14:textId="77777777" w:rsidR="00A32950" w:rsidRPr="003726FE" w:rsidRDefault="00A32950" w:rsidP="00164F07">
            <w:pPr>
              <w:pStyle w:val="Header"/>
              <w:tabs>
                <w:tab w:val="left" w:pos="3600"/>
                <w:tab w:val="left" w:pos="6480"/>
              </w:tabs>
              <w:rPr>
                <w:rFonts w:ascii="TUOS Blake" w:hAnsi="TUOS Blake" w:cs="Arial"/>
                <w:sz w:val="22"/>
              </w:rPr>
            </w:pPr>
            <w:r w:rsidRPr="003726FE">
              <w:rPr>
                <w:rFonts w:ascii="TUOS Blake" w:hAnsi="TUOS Blake" w:cs="Arial"/>
                <w:sz w:val="22"/>
              </w:rPr>
              <w:t>_________________________</w:t>
            </w:r>
            <w:r w:rsidRPr="003726FE">
              <w:rPr>
                <w:rFonts w:ascii="TUOS Blake" w:hAnsi="TUOS Blake" w:cs="Arial"/>
                <w:sz w:val="22"/>
              </w:rPr>
              <w:tab/>
              <w:t>________________         __________________</w:t>
            </w:r>
          </w:p>
          <w:p w14:paraId="2FFF5F95" w14:textId="77777777" w:rsidR="00A32950" w:rsidRPr="003726FE" w:rsidRDefault="00A32950" w:rsidP="00164F07">
            <w:pPr>
              <w:tabs>
                <w:tab w:val="left" w:pos="3600"/>
                <w:tab w:val="left" w:pos="6480"/>
              </w:tabs>
              <w:rPr>
                <w:rFonts w:ascii="TUOS Blake" w:hAnsi="TUOS Blake" w:cs="Arial"/>
                <w:sz w:val="22"/>
              </w:rPr>
            </w:pPr>
            <w:r w:rsidRPr="003726FE">
              <w:rPr>
                <w:rFonts w:ascii="TUOS Blake" w:hAnsi="TUOS Blake" w:cs="Arial"/>
                <w:sz w:val="22"/>
              </w:rPr>
              <w:t xml:space="preserve"> Lead Researcher</w:t>
            </w:r>
            <w:r w:rsidRPr="003726FE">
              <w:rPr>
                <w:rFonts w:ascii="TUOS Blake" w:hAnsi="TUOS Blake" w:cs="Arial"/>
                <w:sz w:val="22"/>
              </w:rPr>
              <w:tab/>
              <w:t>Date</w:t>
            </w:r>
            <w:r w:rsidRPr="003726FE">
              <w:rPr>
                <w:rFonts w:ascii="TUOS Blake" w:hAnsi="TUOS Blake" w:cs="Arial"/>
                <w:sz w:val="22"/>
              </w:rPr>
              <w:tab/>
              <w:t>Signature</w:t>
            </w:r>
          </w:p>
          <w:p w14:paraId="49268D72" w14:textId="7AE24FF7" w:rsidR="00A32950" w:rsidRPr="003726FE" w:rsidRDefault="00A32950" w:rsidP="00164F07">
            <w:pPr>
              <w:rPr>
                <w:rFonts w:ascii="TUOS Blake" w:hAnsi="TUOS Blake" w:cs="Arial"/>
                <w:i/>
                <w:iCs/>
                <w:sz w:val="22"/>
              </w:rPr>
            </w:pPr>
            <w:r w:rsidRPr="003726FE">
              <w:rPr>
                <w:rFonts w:ascii="TUOS Blake" w:hAnsi="TUOS Blake" w:cs="Arial"/>
                <w:i/>
                <w:iCs/>
                <w:sz w:val="22"/>
              </w:rPr>
              <w:t>To be signed and dated in presence of the participant</w:t>
            </w:r>
          </w:p>
          <w:p w14:paraId="670D3716" w14:textId="77777777" w:rsidR="00A32950" w:rsidRPr="003726FE" w:rsidRDefault="00A32950" w:rsidP="00164F07">
            <w:pPr>
              <w:spacing w:line="240" w:lineRule="auto"/>
              <w:rPr>
                <w:rFonts w:ascii="TUOS Blake" w:hAnsi="TUOS Blake" w:cs="Arial"/>
                <w:sz w:val="20"/>
              </w:rPr>
            </w:pPr>
            <w:r w:rsidRPr="003726FE">
              <w:rPr>
                <w:rFonts w:ascii="TUOS Blake" w:hAnsi="TUOS Blake" w:cs="Arial"/>
                <w:sz w:val="20"/>
              </w:rPr>
              <w:t>Contact details:</w:t>
            </w:r>
          </w:p>
          <w:p w14:paraId="01073DAF" w14:textId="329EE418" w:rsidR="00A32950" w:rsidRPr="003726FE" w:rsidRDefault="00A32950" w:rsidP="00164F07">
            <w:pPr>
              <w:spacing w:line="240" w:lineRule="auto"/>
              <w:rPr>
                <w:rFonts w:ascii="TUOS Blake" w:hAnsi="TUOS Blake" w:cs="Arial"/>
                <w:sz w:val="20"/>
              </w:rPr>
            </w:pPr>
            <w:r w:rsidRPr="003726FE">
              <w:rPr>
                <w:rFonts w:ascii="TUOS Blake" w:hAnsi="TUOS Blake" w:cs="Arial"/>
                <w:sz w:val="20"/>
              </w:rPr>
              <w:t xml:space="preserve">Lead researcher – Billy Bryan: </w:t>
            </w:r>
            <w:hyperlink r:id="rId77" w:history="1">
              <w:r w:rsidRPr="003726FE">
                <w:rPr>
                  <w:rStyle w:val="Hyperlink"/>
                  <w:rFonts w:ascii="TUOS Blake" w:hAnsi="TUOS Blake" w:cs="Arial"/>
                  <w:sz w:val="20"/>
                </w:rPr>
                <w:t>bjbryan1@sheffield.ac.uk</w:t>
              </w:r>
            </w:hyperlink>
          </w:p>
          <w:p w14:paraId="0DD60B44" w14:textId="77777777" w:rsidR="00A32950" w:rsidRPr="003726FE" w:rsidRDefault="00A32950" w:rsidP="00164F07">
            <w:pPr>
              <w:spacing w:line="240" w:lineRule="auto"/>
              <w:rPr>
                <w:rFonts w:ascii="TUOS Blake" w:hAnsi="TUOS Blake" w:cs="Arial"/>
                <w:i/>
                <w:iCs/>
                <w:sz w:val="22"/>
              </w:rPr>
            </w:pPr>
            <w:r w:rsidRPr="003726FE">
              <w:rPr>
                <w:rFonts w:ascii="TUOS Blake" w:hAnsi="TUOS Blake" w:cs="Arial"/>
                <w:sz w:val="20"/>
              </w:rPr>
              <w:t xml:space="preserve">Main supervisor – Deborah Murdoch-Eaton: </w:t>
            </w:r>
            <w:hyperlink r:id="rId78" w:history="1">
              <w:r w:rsidRPr="003726FE">
                <w:rPr>
                  <w:rStyle w:val="Hyperlink"/>
                  <w:rFonts w:ascii="TUOS Blake" w:hAnsi="TUOS Blake" w:cs="Arial"/>
                  <w:sz w:val="20"/>
                </w:rPr>
                <w:t>d.murdoch-eaton@sheffield.ac.uk</w:t>
              </w:r>
            </w:hyperlink>
          </w:p>
        </w:tc>
        <w:tc>
          <w:tcPr>
            <w:tcW w:w="236" w:type="dxa"/>
            <w:tcBorders>
              <w:left w:val="nil"/>
            </w:tcBorders>
          </w:tcPr>
          <w:p w14:paraId="677AD504" w14:textId="305CE745" w:rsidR="00A32950" w:rsidRPr="003726FE" w:rsidRDefault="00A32950" w:rsidP="00164F07">
            <w:pPr>
              <w:pStyle w:val="Header"/>
              <w:jc w:val="both"/>
              <w:rPr>
                <w:rFonts w:ascii="TUOS Blake" w:hAnsi="TUOS Blake" w:cs="Arial"/>
                <w:i/>
                <w:iCs/>
              </w:rPr>
            </w:pPr>
          </w:p>
        </w:tc>
      </w:tr>
    </w:tbl>
    <w:p w14:paraId="7085B51F" w14:textId="77777777" w:rsidR="00AF4FFF" w:rsidRPr="003726FE" w:rsidRDefault="00AF4FFF">
      <w:pPr>
        <w:rPr>
          <w:rFonts w:ascii="Arial" w:hAnsi="Arial"/>
          <w:b/>
          <w:color w:val="222222"/>
          <w:szCs w:val="19"/>
          <w:shd w:val="clear" w:color="auto" w:fill="FFFFFF"/>
        </w:rPr>
      </w:pPr>
      <w:r w:rsidRPr="003726FE">
        <w:rPr>
          <w:rFonts w:ascii="Arial" w:hAnsi="Arial"/>
          <w:b/>
          <w:color w:val="222222"/>
          <w:szCs w:val="19"/>
          <w:shd w:val="clear" w:color="auto" w:fill="FFFFFF"/>
        </w:rPr>
        <w:br w:type="page"/>
      </w:r>
    </w:p>
    <w:p w14:paraId="2474A5A1" w14:textId="136DA5FE" w:rsidR="00A32950" w:rsidRPr="003726FE" w:rsidRDefault="00A32950" w:rsidP="00A32950">
      <w:pPr>
        <w:tabs>
          <w:tab w:val="right" w:pos="9922"/>
        </w:tabs>
        <w:spacing w:line="360" w:lineRule="auto"/>
        <w:rPr>
          <w:rFonts w:ascii="Arial" w:hAnsi="Arial"/>
          <w:b/>
          <w:color w:val="222222"/>
          <w:szCs w:val="19"/>
          <w:shd w:val="clear" w:color="auto" w:fill="FFFFFF"/>
        </w:rPr>
      </w:pPr>
      <w:r w:rsidRPr="003726FE">
        <w:rPr>
          <w:rFonts w:ascii="Arial" w:hAnsi="Arial"/>
          <w:b/>
          <w:noProof/>
          <w:color w:val="222222"/>
          <w:szCs w:val="19"/>
          <w:lang w:eastAsia="en-GB"/>
        </w:rPr>
        <w:lastRenderedPageBreak/>
        <mc:AlternateContent>
          <mc:Choice Requires="wps">
            <w:drawing>
              <wp:anchor distT="0" distB="0" distL="114300" distR="114300" simplePos="0" relativeHeight="251910144" behindDoc="0" locked="0" layoutInCell="1" allowOverlap="1" wp14:anchorId="30425541" wp14:editId="326FD07F">
                <wp:simplePos x="0" y="0"/>
                <wp:positionH relativeFrom="column">
                  <wp:posOffset>3706037</wp:posOffset>
                </wp:positionH>
                <wp:positionV relativeFrom="paragraph">
                  <wp:posOffset>103</wp:posOffset>
                </wp:positionV>
                <wp:extent cx="1446530" cy="746125"/>
                <wp:effectExtent l="0" t="0" r="0" b="0"/>
                <wp:wrapTight wrapText="bothSides">
                  <wp:wrapPolygon edited="0">
                    <wp:start x="569" y="0"/>
                    <wp:lineTo x="569" y="20957"/>
                    <wp:lineTo x="20766" y="20957"/>
                    <wp:lineTo x="20766" y="0"/>
                    <wp:lineTo x="569" y="0"/>
                  </wp:wrapPolygon>
                </wp:wrapTight>
                <wp:docPr id="26076" name="Text Box 26076"/>
                <wp:cNvGraphicFramePr/>
                <a:graphic xmlns:a="http://schemas.openxmlformats.org/drawingml/2006/main">
                  <a:graphicData uri="http://schemas.microsoft.com/office/word/2010/wordprocessingShape">
                    <wps:wsp>
                      <wps:cNvSpPr txBox="1"/>
                      <wps:spPr>
                        <a:xfrm>
                          <a:off x="0" y="0"/>
                          <a:ext cx="1446530" cy="746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AC1C3" w14:textId="77777777" w:rsidR="00C8402C" w:rsidRDefault="00C8402C" w:rsidP="00A32950">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37184376" w14:textId="77777777" w:rsidR="00C8402C" w:rsidRPr="00581124" w:rsidRDefault="00C8402C" w:rsidP="00A32950">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38E0D5BE" w14:textId="77777777" w:rsidR="00C8402C" w:rsidRDefault="00C8402C" w:rsidP="00A32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5541" id="Text Box 26076" o:spid="_x0000_s1412" type="#_x0000_t202" style="position:absolute;margin-left:291.8pt;margin-top:0;width:113.9pt;height:5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" filled="f" stroked="f">
                <v:textbox>
                  <w:txbxContent>
                    <w:p w14:paraId="46EAC1C3" w14:textId="77777777" w:rsidR="00C8402C" w:rsidRDefault="00C8402C" w:rsidP="00A32950">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37184376" w14:textId="77777777" w:rsidR="00C8402C" w:rsidRPr="00581124" w:rsidRDefault="00C8402C" w:rsidP="00A32950">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38E0D5BE" w14:textId="77777777" w:rsidR="00C8402C" w:rsidRDefault="00C8402C" w:rsidP="00A32950"/>
                  </w:txbxContent>
                </v:textbox>
                <w10:wrap type="tight"/>
              </v:shape>
            </w:pict>
          </mc:Fallback>
        </mc:AlternateContent>
      </w:r>
      <w:r w:rsidRPr="003726FE">
        <w:rPr>
          <w:rFonts w:ascii="Arial" w:hAnsi="Arial"/>
          <w:b/>
          <w:color w:val="222222"/>
          <w:szCs w:val="19"/>
          <w:shd w:val="clear" w:color="auto" w:fill="FFFFFF"/>
        </w:rPr>
        <w:t>Study 2: Information Sheet</w:t>
      </w:r>
      <w:r w:rsidRPr="003726FE">
        <w:rPr>
          <w:rFonts w:ascii="Arial" w:hAnsi="Arial"/>
          <w:color w:val="222222"/>
          <w:szCs w:val="19"/>
          <w:shd w:val="clear" w:color="auto" w:fill="FFFFFF"/>
        </w:rPr>
        <w:tab/>
      </w:r>
    </w:p>
    <w:p w14:paraId="2A02CF88" w14:textId="77777777" w:rsidR="00A32950" w:rsidRPr="003726FE" w:rsidRDefault="00A32950" w:rsidP="00A32950">
      <w:pPr>
        <w:spacing w:line="360" w:lineRule="auto"/>
        <w:rPr>
          <w:rFonts w:ascii="TUOS Blake" w:hAnsi="TUOS Blake"/>
        </w:rPr>
      </w:pPr>
    </w:p>
    <w:p w14:paraId="48E0572B" w14:textId="77777777" w:rsidR="00A32950" w:rsidRPr="003726FE" w:rsidRDefault="00A32950" w:rsidP="00A32950">
      <w:pPr>
        <w:spacing w:line="360" w:lineRule="auto"/>
        <w:rPr>
          <w:rFonts w:ascii="TUOS Blake" w:hAnsi="TUOS Blake"/>
        </w:rPr>
      </w:pPr>
      <w:r w:rsidRPr="003726FE">
        <w:rPr>
          <w:rFonts w:ascii="TUOS Blake" w:hAnsi="TUOS Blake"/>
        </w:rPr>
        <w:t>Dear Participant,</w:t>
      </w:r>
    </w:p>
    <w:p w14:paraId="617CE064" w14:textId="77777777" w:rsidR="00A32950" w:rsidRPr="003726FE" w:rsidRDefault="00A32950" w:rsidP="00A32950">
      <w:pPr>
        <w:spacing w:line="360" w:lineRule="auto"/>
        <w:rPr>
          <w:rFonts w:ascii="TUOS Blake" w:hAnsi="TUOS Blake"/>
        </w:rPr>
      </w:pPr>
    </w:p>
    <w:p w14:paraId="0EB93905" w14:textId="77777777" w:rsidR="00A32950" w:rsidRPr="003726FE" w:rsidRDefault="00A32950" w:rsidP="00A32950">
      <w:pPr>
        <w:spacing w:line="360" w:lineRule="auto"/>
        <w:rPr>
          <w:rFonts w:ascii="TUOS Blake" w:hAnsi="TUOS Blake"/>
        </w:rPr>
      </w:pPr>
      <w:r w:rsidRPr="003726FE">
        <w:rPr>
          <w:rFonts w:ascii="TUOS Blake" w:hAnsi="TUOS Blake"/>
        </w:rPr>
        <w:t xml:space="preserve">You are being invited to take part in a study to investigate the effects of different types of feedback on clinical skills performance and learning strategies in second year medical undergraduate students. </w:t>
      </w:r>
      <w:r w:rsidRPr="003726FE">
        <w:rPr>
          <w:rFonts w:ascii="TUOS Blake" w:hAnsi="TUOS Blake"/>
          <w:szCs w:val="20"/>
        </w:rPr>
        <w:t xml:space="preserve">This project consists of three separate studies; this information sheet gives details for </w:t>
      </w:r>
      <w:r w:rsidRPr="003726FE">
        <w:rPr>
          <w:rFonts w:ascii="TUOS Blake" w:hAnsi="TUOS Blake"/>
          <w:b/>
          <w:szCs w:val="20"/>
        </w:rPr>
        <w:t>Study 2</w:t>
      </w:r>
      <w:r w:rsidRPr="003726FE">
        <w:rPr>
          <w:rFonts w:ascii="TUOS Blake" w:hAnsi="TUOS Blake"/>
          <w:szCs w:val="20"/>
        </w:rPr>
        <w:t xml:space="preserve">. </w:t>
      </w:r>
      <w:r w:rsidRPr="003726FE">
        <w:rPr>
          <w:rFonts w:ascii="TUOS Blake" w:hAnsi="TUOS Blake"/>
        </w:rPr>
        <w:t xml:space="preserve">You will not be required for Study 3 </w:t>
      </w:r>
      <w:r w:rsidRPr="003726FE">
        <w:rPr>
          <w:rFonts w:ascii="TUOS Blake" w:hAnsi="TUOS Blake"/>
          <w:szCs w:val="20"/>
        </w:rPr>
        <w:t>as this only involves students</w:t>
      </w:r>
      <w:r w:rsidRPr="003726FE">
        <w:rPr>
          <w:rFonts w:ascii="TUOS Blake" w:hAnsi="TUOS Blake"/>
        </w:rPr>
        <w:t>.</w:t>
      </w:r>
    </w:p>
    <w:p w14:paraId="72CD1C60" w14:textId="77777777" w:rsidR="00A32950" w:rsidRPr="003726FE" w:rsidRDefault="00A32950" w:rsidP="00A32950">
      <w:pPr>
        <w:spacing w:line="360" w:lineRule="auto"/>
        <w:rPr>
          <w:rFonts w:ascii="TUOS Blake" w:hAnsi="TUOS Blake"/>
        </w:rPr>
      </w:pPr>
    </w:p>
    <w:p w14:paraId="41C68B7B" w14:textId="77777777" w:rsidR="00A32950" w:rsidRPr="003726FE" w:rsidRDefault="00A32950" w:rsidP="00A32950">
      <w:pPr>
        <w:spacing w:line="360" w:lineRule="auto"/>
        <w:rPr>
          <w:rFonts w:ascii="TUOS Blake" w:hAnsi="TUOS Blake"/>
          <w:b/>
          <w:szCs w:val="20"/>
        </w:rPr>
      </w:pPr>
      <w:r w:rsidRPr="003726FE">
        <w:rPr>
          <w:rFonts w:ascii="TUOS Blake" w:hAnsi="TUOS Blake"/>
          <w:b/>
          <w:szCs w:val="20"/>
        </w:rPr>
        <w:t>This study:</w:t>
      </w:r>
    </w:p>
    <w:p w14:paraId="78E1CA38" w14:textId="77777777" w:rsidR="00A32950" w:rsidRPr="003726FE" w:rsidRDefault="00A32950" w:rsidP="00A32950">
      <w:pPr>
        <w:spacing w:line="360" w:lineRule="auto"/>
        <w:rPr>
          <w:rFonts w:ascii="TUOS Blake" w:hAnsi="TUOS Blake"/>
        </w:rPr>
      </w:pPr>
      <w:r w:rsidRPr="003726FE">
        <w:rPr>
          <w:rFonts w:ascii="TUOS Blake" w:hAnsi="TUOS Blake"/>
        </w:rPr>
        <w:t>For this study, we aim to compare how feedback given using two different techniques impacts upon student’s clinical skills performance and learning strategies. To achieve this, we will ask you to deliver skills teaching using feedback techniques, taught to you in Study 1, during catheterisation and venepuncture sessions.</w:t>
      </w:r>
    </w:p>
    <w:p w14:paraId="0917ACB3" w14:textId="77777777" w:rsidR="00A32950" w:rsidRPr="003726FE" w:rsidRDefault="00A32950" w:rsidP="00A32950">
      <w:pPr>
        <w:spacing w:line="360" w:lineRule="auto"/>
        <w:rPr>
          <w:rFonts w:ascii="TUOS Blake" w:hAnsi="TUOS Blake"/>
        </w:rPr>
      </w:pPr>
    </w:p>
    <w:p w14:paraId="6C49074C" w14:textId="77777777" w:rsidR="00A32950" w:rsidRPr="003726FE" w:rsidRDefault="00A32950" w:rsidP="00A32950">
      <w:pPr>
        <w:spacing w:line="360" w:lineRule="auto"/>
        <w:rPr>
          <w:rFonts w:ascii="TUOS Blake" w:hAnsi="TUOS Blake"/>
        </w:rPr>
      </w:pPr>
      <w:r w:rsidRPr="003726FE">
        <w:rPr>
          <w:rFonts w:ascii="TUOS Blake" w:hAnsi="TUOS Blake"/>
        </w:rPr>
        <w:t xml:space="preserve">This curriculum intervention is to be delivered during teaching sessions on </w:t>
      </w:r>
      <w:r w:rsidRPr="003726FE">
        <w:rPr>
          <w:rFonts w:ascii="TUOS Blake" w:hAnsi="TUOS Blake"/>
          <w:b/>
        </w:rPr>
        <w:t>male catheterisation and venepuncture in Nov/Dec 2015</w:t>
      </w:r>
      <w:r w:rsidRPr="003726FE">
        <w:rPr>
          <w:rFonts w:ascii="TUOS Blake" w:hAnsi="TUOS Blake"/>
        </w:rPr>
        <w:t xml:space="preserve"> for phase 2a student groups, after you have received feedback training (see </w:t>
      </w:r>
      <w:r w:rsidRPr="003726FE">
        <w:rPr>
          <w:rFonts w:ascii="TUOS Blake" w:hAnsi="TUOS Blake"/>
          <w:i/>
        </w:rPr>
        <w:t>Study 1: Information Sheet</w:t>
      </w:r>
      <w:r w:rsidRPr="003726FE">
        <w:rPr>
          <w:rFonts w:ascii="TUOS Blake" w:hAnsi="TUOS Blake"/>
        </w:rPr>
        <w:t>). All clinical skills tutors will be randomised to student groups, as is usual procedure.</w:t>
      </w:r>
    </w:p>
    <w:p w14:paraId="48A9D842" w14:textId="77777777" w:rsidR="00A32950" w:rsidRPr="003726FE" w:rsidRDefault="00A32950" w:rsidP="00A32950">
      <w:pPr>
        <w:spacing w:line="360" w:lineRule="auto"/>
        <w:rPr>
          <w:rFonts w:ascii="TUOS Blake" w:hAnsi="TUOS Blake"/>
        </w:rPr>
      </w:pPr>
    </w:p>
    <w:p w14:paraId="36DA3A50" w14:textId="77777777" w:rsidR="00A32950" w:rsidRPr="003726FE" w:rsidRDefault="00A32950" w:rsidP="00A32950">
      <w:pPr>
        <w:spacing w:line="360" w:lineRule="auto"/>
        <w:rPr>
          <w:rFonts w:ascii="TUOS Blake" w:hAnsi="TUOS Blake"/>
          <w:b/>
        </w:rPr>
      </w:pPr>
      <w:r w:rsidRPr="003726FE">
        <w:rPr>
          <w:rFonts w:ascii="TUOS Blake" w:hAnsi="TUOS Blake"/>
          <w:b/>
        </w:rPr>
        <w:t>Your role:</w:t>
      </w:r>
    </w:p>
    <w:p w14:paraId="6CFBDCD6" w14:textId="77777777" w:rsidR="00A32950" w:rsidRPr="003726FE" w:rsidRDefault="00A32950" w:rsidP="00A32950">
      <w:pPr>
        <w:spacing w:line="360" w:lineRule="auto"/>
        <w:rPr>
          <w:rFonts w:ascii="TUOS Blake" w:hAnsi="TUOS Blake"/>
        </w:rPr>
      </w:pPr>
      <w:r w:rsidRPr="003726FE">
        <w:rPr>
          <w:rFonts w:ascii="TUOS Blake" w:hAnsi="TUOS Blake"/>
        </w:rPr>
        <w:t xml:space="preserve">Your role in these sessions is to deliver clinical skills teaching and supply feedback to students using the feedback technique taught to you during your training session(s). While observing students you may be required to complete a quick form depending on the feedback technique you are allocated, this may take around 2-3 minutes extra per student but will soon become embedded in your teaching practice over time. Our pilot session showed little difference in time per student compared to usual practice. Some </w:t>
      </w:r>
      <w:r w:rsidRPr="003726FE">
        <w:rPr>
          <w:rFonts w:ascii="TUOS Blake" w:hAnsi="TUOS Blake"/>
        </w:rPr>
        <w:lastRenderedPageBreak/>
        <w:t xml:space="preserve">of your sessions may be video recorded for fidelity; all recording materials will be collected and analysed by </w:t>
      </w:r>
      <w:r w:rsidRPr="003726FE">
        <w:rPr>
          <w:rFonts w:ascii="TUOS Blake" w:hAnsi="TUOS Blake"/>
          <w:szCs w:val="20"/>
        </w:rPr>
        <w:t>Mr Billy Bryan only, for confidentiality</w:t>
      </w:r>
      <w:r w:rsidRPr="003726FE">
        <w:rPr>
          <w:rFonts w:ascii="TUOS Blake" w:hAnsi="TUOS Blake"/>
        </w:rPr>
        <w:t>.</w:t>
      </w:r>
    </w:p>
    <w:p w14:paraId="1553EC6A" w14:textId="77777777" w:rsidR="00A32950" w:rsidRPr="003726FE" w:rsidRDefault="00A32950" w:rsidP="00A32950">
      <w:pPr>
        <w:spacing w:line="360" w:lineRule="auto"/>
        <w:rPr>
          <w:rFonts w:ascii="TUOS Blake" w:hAnsi="TUOS Blake"/>
        </w:rPr>
      </w:pPr>
    </w:p>
    <w:p w14:paraId="4FA15CEC" w14:textId="1053564C" w:rsidR="00A32950" w:rsidRPr="003726FE" w:rsidRDefault="00A32950" w:rsidP="00A32950">
      <w:pPr>
        <w:spacing w:line="360" w:lineRule="auto"/>
        <w:rPr>
          <w:rFonts w:ascii="TUOS Blake" w:hAnsi="TUOS Blake"/>
          <w:szCs w:val="20"/>
        </w:rPr>
      </w:pPr>
      <w:r w:rsidRPr="003726FE">
        <w:rPr>
          <w:rFonts w:ascii="TUOS Blake" w:hAnsi="TUOS Blake"/>
        </w:rPr>
        <w:t xml:space="preserve"> to maintain rigour and continuity in data collection for this study, we ask that you inform the research team if you are not able to attend on teaching days allocated to you for any reason. This will allow us to track which students do not receive your allocated feedback type. </w:t>
      </w:r>
      <w:r w:rsidRPr="003726FE">
        <w:rPr>
          <w:rFonts w:ascii="TUOS Blake" w:hAnsi="TUOS Blake"/>
          <w:szCs w:val="20"/>
        </w:rPr>
        <w:t>This research will form a doctoral thesis and may be published in peer reviewed journals.</w:t>
      </w:r>
    </w:p>
    <w:p w14:paraId="70315BC4" w14:textId="77777777" w:rsidR="00A32950" w:rsidRPr="003726FE" w:rsidRDefault="00A32950" w:rsidP="00A32950">
      <w:pPr>
        <w:spacing w:line="360" w:lineRule="auto"/>
        <w:rPr>
          <w:rFonts w:ascii="TUOS Blake" w:hAnsi="TUOS Blake"/>
        </w:rPr>
      </w:pPr>
    </w:p>
    <w:p w14:paraId="0909DFE2" w14:textId="77777777" w:rsidR="00A32950" w:rsidRPr="003726FE" w:rsidRDefault="00A32950" w:rsidP="00A32950">
      <w:pPr>
        <w:spacing w:line="360" w:lineRule="auto"/>
        <w:jc w:val="center"/>
        <w:rPr>
          <w:rFonts w:ascii="TUOS Blake" w:hAnsi="TUOS Blake"/>
          <w:szCs w:val="20"/>
        </w:rPr>
      </w:pPr>
      <w:r w:rsidRPr="003726FE">
        <w:rPr>
          <w:rFonts w:ascii="TUOS Blake" w:hAnsi="TUOS Blake"/>
          <w:szCs w:val="20"/>
        </w:rPr>
        <w:t xml:space="preserve">Finally, if you wish to take part in this study please </w:t>
      </w:r>
      <w:r w:rsidRPr="003726FE">
        <w:rPr>
          <w:rFonts w:ascii="TUOS Blake" w:hAnsi="TUOS Blake"/>
          <w:b/>
          <w:szCs w:val="20"/>
        </w:rPr>
        <w:t>read and sign the consent form</w:t>
      </w:r>
      <w:r w:rsidRPr="003726FE">
        <w:rPr>
          <w:rFonts w:ascii="TUOS Blake" w:hAnsi="TUOS Blake"/>
          <w:szCs w:val="20"/>
        </w:rPr>
        <w:t xml:space="preserve"> supplied to you.          </w:t>
      </w:r>
    </w:p>
    <w:p w14:paraId="309A7334" w14:textId="00C6BBAF" w:rsidR="00A32950" w:rsidRPr="003726FE" w:rsidRDefault="00A32950" w:rsidP="00A32950">
      <w:pPr>
        <w:spacing w:line="360" w:lineRule="auto"/>
        <w:jc w:val="center"/>
        <w:rPr>
          <w:rFonts w:ascii="TUOS Blake" w:hAnsi="TUOS Blake"/>
          <w:szCs w:val="20"/>
        </w:rPr>
      </w:pPr>
      <w:r w:rsidRPr="003726FE">
        <w:rPr>
          <w:rFonts w:ascii="TUOS Blake" w:hAnsi="TUOS Blake"/>
          <w:szCs w:val="20"/>
        </w:rPr>
        <w:t>Thank you for reading this information.</w:t>
      </w:r>
    </w:p>
    <w:p w14:paraId="631ACAE4" w14:textId="40CFD4BC" w:rsidR="00A32950" w:rsidRPr="003726FE" w:rsidRDefault="00A32950">
      <w:pPr>
        <w:rPr>
          <w:rFonts w:ascii="TUOS Blake" w:hAnsi="TUOS Blake"/>
          <w:szCs w:val="20"/>
        </w:rPr>
      </w:pPr>
      <w:r w:rsidRPr="003726FE">
        <w:rPr>
          <w:rFonts w:ascii="TUOS Blake" w:hAnsi="TUOS Blake"/>
          <w:szCs w:val="20"/>
        </w:rPr>
        <w:br w:type="page"/>
      </w:r>
    </w:p>
    <w:tbl>
      <w:tblPr>
        <w:tblpPr w:leftFromText="180" w:rightFromText="180" w:vertAnchor="page" w:horzAnchor="margin" w:tblpY="1713"/>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3"/>
        <w:gridCol w:w="990"/>
      </w:tblGrid>
      <w:tr w:rsidR="00A32950" w:rsidRPr="003726FE" w14:paraId="389037AE" w14:textId="77777777" w:rsidTr="00164F07">
        <w:trPr>
          <w:trHeight w:val="13183"/>
        </w:trPr>
        <w:tc>
          <w:tcPr>
            <w:tcW w:w="7653" w:type="dxa"/>
            <w:tcBorders>
              <w:right w:val="nil"/>
            </w:tcBorders>
          </w:tcPr>
          <w:p w14:paraId="33EF874B" w14:textId="74C26F20" w:rsidR="00A32950" w:rsidRPr="003726FE" w:rsidRDefault="00164F07" w:rsidP="00116BB2">
            <w:pPr>
              <w:pStyle w:val="Normal1"/>
              <w:rPr>
                <w:lang w:val="en-GB"/>
              </w:rPr>
            </w:pPr>
            <w:r w:rsidRPr="003726FE">
              <w:rPr>
                <w:rFonts w:ascii="TUOS Blake" w:hAnsi="TUOS Blake" w:cs="Arial"/>
                <w:noProof/>
                <w:sz w:val="22"/>
                <w:lang w:val="en-GB" w:eastAsia="en-GB" w:bidi="ar-SA"/>
              </w:rPr>
              <w:lastRenderedPageBreak/>
              <mc:AlternateContent>
                <mc:Choice Requires="wps">
                  <w:drawing>
                    <wp:anchor distT="45720" distB="45720" distL="114300" distR="114300" simplePos="0" relativeHeight="251931648" behindDoc="1" locked="0" layoutInCell="1" allowOverlap="1" wp14:anchorId="72F1B58B" wp14:editId="0D22F652">
                      <wp:simplePos x="0" y="0"/>
                      <wp:positionH relativeFrom="column">
                        <wp:posOffset>-147955</wp:posOffset>
                      </wp:positionH>
                      <wp:positionV relativeFrom="paragraph">
                        <wp:posOffset>-254620</wp:posOffset>
                      </wp:positionV>
                      <wp:extent cx="1666875" cy="314325"/>
                      <wp:effectExtent l="0" t="0" r="0" b="0"/>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14325"/>
                              </a:xfrm>
                              <a:prstGeom prst="rect">
                                <a:avLst/>
                              </a:prstGeom>
                              <a:noFill/>
                              <a:ln w="9525">
                                <a:noFill/>
                                <a:miter lim="800000"/>
                                <a:headEnd/>
                                <a:tailEnd/>
                              </a:ln>
                            </wps:spPr>
                            <wps:txbx>
                              <w:txbxContent>
                                <w:p w14:paraId="5A22C440" w14:textId="6EFCB71C" w:rsidR="00C8402C" w:rsidRDefault="00C8402C" w:rsidP="00910A25">
                                  <w:r>
                                    <w:t>Consent form – Study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1B58B" id="_x0000_s1413" type="#_x0000_t202" style="position:absolute;margin-left:-11.65pt;margin-top:-20pt;width:131.25pt;height:24.75pt;z-index:-25138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" filled="f" stroked="f">
                      <v:textbox>
                        <w:txbxContent>
                          <w:p w14:paraId="5A22C440" w14:textId="6EFCB71C" w:rsidR="00C8402C" w:rsidRDefault="00C8402C" w:rsidP="00910A25">
                            <w:r>
                              <w:t>Consent form – Study 2</w:t>
                            </w:r>
                          </w:p>
                        </w:txbxContent>
                      </v:textbox>
                    </v:shape>
                  </w:pict>
                </mc:Fallback>
              </mc:AlternateContent>
            </w:r>
            <w:r w:rsidR="00A32950" w:rsidRPr="003726FE">
              <w:rPr>
                <w:b/>
                <w:lang w:val="en-GB"/>
              </w:rPr>
              <w:t>Title of Research Project:</w:t>
            </w:r>
            <w:r w:rsidR="00A32950" w:rsidRPr="003726FE">
              <w:rPr>
                <w:lang w:val="en-GB"/>
              </w:rPr>
              <w:t xml:space="preserve"> Hearing the feedback message</w:t>
            </w:r>
          </w:p>
          <w:p w14:paraId="072629CE" w14:textId="77777777" w:rsidR="00A32950" w:rsidRPr="003726FE" w:rsidRDefault="00A32950" w:rsidP="00116BB2">
            <w:pPr>
              <w:pStyle w:val="Normal1"/>
              <w:rPr>
                <w:lang w:val="en-GB"/>
              </w:rPr>
            </w:pPr>
            <w:r w:rsidRPr="003726FE">
              <w:rPr>
                <w:b/>
                <w:lang w:val="en-GB"/>
              </w:rPr>
              <w:t xml:space="preserve">Study 2: </w:t>
            </w:r>
            <w:r w:rsidRPr="003726FE">
              <w:rPr>
                <w:lang w:val="en-GB"/>
              </w:rPr>
              <w:t>Implementation of the feedback intervention and student analysis</w:t>
            </w:r>
          </w:p>
          <w:p w14:paraId="5E1E8A58" w14:textId="77777777" w:rsidR="00A32950" w:rsidRPr="003726FE" w:rsidRDefault="00A32950" w:rsidP="00A32950">
            <w:pPr>
              <w:spacing w:line="276" w:lineRule="auto"/>
              <w:rPr>
                <w:rFonts w:ascii="TUOS Blake" w:hAnsi="TUOS Blake" w:cs="Arial"/>
              </w:rPr>
            </w:pPr>
            <w:r w:rsidRPr="003726FE">
              <w:rPr>
                <w:rFonts w:ascii="TUOS Blake" w:hAnsi="TUOS Blake" w:cs="Arial"/>
                <w:b/>
              </w:rPr>
              <w:t>Name of Researcher:</w:t>
            </w:r>
            <w:r w:rsidRPr="003726FE">
              <w:rPr>
                <w:rFonts w:ascii="TUOS Blake" w:hAnsi="TUOS Blake" w:cs="Arial"/>
              </w:rPr>
              <w:t xml:space="preserve"> Mr. Billy Bryan</w:t>
            </w:r>
            <w:r w:rsidRPr="003726FE">
              <w:rPr>
                <w:rFonts w:ascii="TUOS Blake" w:hAnsi="TUOS Blake" w:cs="Arial"/>
              </w:rPr>
              <w:tab/>
              <w:t xml:space="preserve">           </w:t>
            </w:r>
          </w:p>
          <w:p w14:paraId="54AE28E2" w14:textId="77777777" w:rsidR="00A32950" w:rsidRPr="003726FE" w:rsidRDefault="00A32950" w:rsidP="00A32950">
            <w:pPr>
              <w:pStyle w:val="BodyText2"/>
              <w:spacing w:line="276" w:lineRule="auto"/>
              <w:rPr>
                <w:rFonts w:ascii="TUOS Blake" w:hAnsi="TUOS Blake" w:cs="Arial"/>
                <w:sz w:val="22"/>
              </w:rPr>
            </w:pPr>
          </w:p>
          <w:p w14:paraId="38635AEA" w14:textId="77777777" w:rsidR="00A32950" w:rsidRPr="003726FE" w:rsidRDefault="00A32950" w:rsidP="00A32950">
            <w:pPr>
              <w:pStyle w:val="BodyText2"/>
              <w:spacing w:line="276" w:lineRule="auto"/>
              <w:rPr>
                <w:rFonts w:ascii="TUOS Blake" w:hAnsi="TUOS Blake" w:cs="Arial"/>
              </w:rPr>
            </w:pPr>
            <w:r w:rsidRPr="003726FE">
              <w:rPr>
                <w:rFonts w:ascii="TUOS Blake" w:hAnsi="TUOS Blake" w:cs="Arial"/>
                <w:sz w:val="22"/>
              </w:rPr>
              <w:t>Please initial the adjacent boxes:</w:t>
            </w:r>
          </w:p>
          <w:p w14:paraId="5ECA96BC" w14:textId="1D419FB6" w:rsidR="00A32950" w:rsidRPr="003726FE" w:rsidRDefault="00A32950" w:rsidP="00026049">
            <w:pPr>
              <w:numPr>
                <w:ilvl w:val="0"/>
                <w:numId w:val="30"/>
              </w:numPr>
              <w:tabs>
                <w:tab w:val="clear" w:pos="720"/>
              </w:tabs>
              <w:spacing w:after="0" w:line="276" w:lineRule="auto"/>
              <w:ind w:left="454"/>
              <w:rPr>
                <w:rFonts w:ascii="TUOS Blake" w:hAnsi="TUOS Blake" w:cs="Arial"/>
                <w:sz w:val="22"/>
              </w:rPr>
            </w:pPr>
            <w:r w:rsidRPr="003726FE">
              <w:rPr>
                <w:rFonts w:ascii="TUOS Blake" w:hAnsi="TUOS Blake" w:cs="Arial"/>
                <w:sz w:val="22"/>
              </w:rPr>
              <w:t xml:space="preserve">I confirm that I have read and understand the information sheet </w:t>
            </w:r>
            <w:r w:rsidRPr="003726FE">
              <w:rPr>
                <w:rFonts w:ascii="TUOS Blake" w:hAnsi="TUOS Blake" w:cs="Arial"/>
                <w:sz w:val="22"/>
              </w:rPr>
              <w:br/>
              <w:t>dated: ________________ explaining the above research project</w:t>
            </w:r>
            <w:r w:rsidRPr="003726FE">
              <w:rPr>
                <w:rFonts w:ascii="TUOS Blake" w:hAnsi="TUOS Blake" w:cs="Arial"/>
                <w:sz w:val="22"/>
              </w:rPr>
              <w:br/>
              <w:t>and I have had the opportunity to ask questions about the project.</w:t>
            </w:r>
          </w:p>
          <w:p w14:paraId="78E45649" w14:textId="6796CB00" w:rsidR="00A32950" w:rsidRPr="003726FE" w:rsidRDefault="00A32950" w:rsidP="00026049">
            <w:pPr>
              <w:numPr>
                <w:ilvl w:val="0"/>
                <w:numId w:val="30"/>
              </w:numPr>
              <w:tabs>
                <w:tab w:val="clear" w:pos="720"/>
                <w:tab w:val="left" w:pos="454"/>
              </w:tabs>
              <w:spacing w:after="0" w:line="276" w:lineRule="auto"/>
              <w:ind w:left="454" w:right="1273"/>
              <w:rPr>
                <w:rFonts w:ascii="TUOS Blake" w:hAnsi="TUOS Blake" w:cs="Arial"/>
                <w:sz w:val="22"/>
              </w:rPr>
            </w:pPr>
            <w:r w:rsidRPr="003726FE">
              <w:rPr>
                <w:rFonts w:ascii="TUOS Blake" w:hAnsi="TUOS Blake" w:cs="Arial"/>
                <w:sz w:val="22"/>
              </w:rPr>
              <w:t>I agree not to divulge resources specific to this research to students who do not participate to ensure research integrity and confidentiality.</w:t>
            </w:r>
          </w:p>
          <w:p w14:paraId="2ADB4E89" w14:textId="27F62434" w:rsidR="00A32950" w:rsidRPr="003726FE" w:rsidRDefault="00A32950" w:rsidP="00026049">
            <w:pPr>
              <w:numPr>
                <w:ilvl w:val="0"/>
                <w:numId w:val="30"/>
              </w:numPr>
              <w:tabs>
                <w:tab w:val="clear" w:pos="720"/>
                <w:tab w:val="left" w:pos="360"/>
              </w:tabs>
              <w:spacing w:after="0" w:line="276" w:lineRule="auto"/>
              <w:ind w:left="454"/>
              <w:rPr>
                <w:rFonts w:ascii="TUOS Blake" w:hAnsi="TUOS Blake" w:cs="Arial"/>
                <w:sz w:val="22"/>
              </w:rPr>
            </w:pPr>
            <w:r w:rsidRPr="003726FE">
              <w:rPr>
                <w:rFonts w:ascii="TUOS Blake" w:hAnsi="TUOS Blake" w:cs="Arial"/>
                <w:sz w:val="22"/>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r w:rsidRPr="003726FE">
              <w:rPr>
                <w:rFonts w:ascii="TUOS Blake" w:hAnsi="TUOS Blake" w:cs="Arial"/>
                <w:sz w:val="20"/>
              </w:rPr>
              <w:t xml:space="preserve"> </w:t>
            </w:r>
          </w:p>
          <w:p w14:paraId="2B652DDD" w14:textId="7DBCC8EF" w:rsidR="00A32950" w:rsidRPr="003726FE" w:rsidRDefault="00A32950" w:rsidP="00026049">
            <w:pPr>
              <w:numPr>
                <w:ilvl w:val="0"/>
                <w:numId w:val="30"/>
              </w:numPr>
              <w:tabs>
                <w:tab w:val="clear" w:pos="720"/>
                <w:tab w:val="left" w:pos="360"/>
              </w:tabs>
              <w:spacing w:after="0" w:line="276" w:lineRule="auto"/>
              <w:ind w:left="454"/>
              <w:rPr>
                <w:rFonts w:ascii="TUOS Blake" w:hAnsi="TUOS Blake" w:cs="Arial"/>
                <w:sz w:val="22"/>
              </w:rPr>
            </w:pPr>
            <w:r w:rsidRPr="003726FE">
              <w:rPr>
                <w:rFonts w:ascii="TUOS Blake" w:hAnsi="TUOS Blake" w:cs="Arial"/>
                <w:sz w:val="22"/>
              </w:rPr>
              <w:t>I understand that my responses will be kept strictly confidential.</w:t>
            </w:r>
            <w:r w:rsidRPr="003726FE">
              <w:rPr>
                <w:rFonts w:ascii="TUOS Blake" w:hAnsi="TUOS Blake" w:cs="Arial"/>
                <w:sz w:val="22"/>
              </w:rPr>
              <w:br/>
              <w:t xml:space="preserve">I give permission for members of the research team to have access to my anonymised responses. I understand that I will not be identified or identifiable in the report or reports that result from the research.  </w:t>
            </w:r>
          </w:p>
          <w:p w14:paraId="21E570D7" w14:textId="668717A1" w:rsidR="00A32950" w:rsidRPr="003726FE" w:rsidRDefault="00A32950" w:rsidP="00026049">
            <w:pPr>
              <w:numPr>
                <w:ilvl w:val="0"/>
                <w:numId w:val="30"/>
              </w:numPr>
              <w:tabs>
                <w:tab w:val="clear" w:pos="720"/>
                <w:tab w:val="left" w:pos="360"/>
              </w:tabs>
              <w:spacing w:after="0" w:line="276" w:lineRule="auto"/>
              <w:ind w:left="454" w:right="1273"/>
              <w:rPr>
                <w:rFonts w:ascii="TUOS Blake" w:hAnsi="TUOS Blake" w:cs="Arial"/>
                <w:sz w:val="22"/>
              </w:rPr>
            </w:pPr>
            <w:r w:rsidRPr="003726FE">
              <w:rPr>
                <w:rFonts w:ascii="TUOS Blake" w:hAnsi="TUOS Blake" w:cs="Arial"/>
                <w:sz w:val="22"/>
              </w:rPr>
              <w:t>I give consent for video and sound recordings to be collected.  I confirm that the purpose for which the material would be used has been explained to me in terms that I have understood and I agree to the use of the material in such circumstances.  I understand that if the material is required for use in any other way than that explained to me then my consent to this will be specifically sought.</w:t>
            </w:r>
          </w:p>
          <w:p w14:paraId="362B74CD" w14:textId="42D844EF" w:rsidR="00A32950" w:rsidRPr="003726FE" w:rsidRDefault="00A32950" w:rsidP="00026049">
            <w:pPr>
              <w:numPr>
                <w:ilvl w:val="0"/>
                <w:numId w:val="30"/>
              </w:numPr>
              <w:tabs>
                <w:tab w:val="clear" w:pos="720"/>
                <w:tab w:val="left" w:pos="360"/>
              </w:tabs>
              <w:spacing w:after="0" w:line="276" w:lineRule="auto"/>
              <w:ind w:left="454"/>
              <w:rPr>
                <w:rFonts w:ascii="TUOS Blake" w:hAnsi="TUOS Blake" w:cs="Arial"/>
                <w:sz w:val="22"/>
              </w:rPr>
            </w:pPr>
            <w:r w:rsidRPr="003726FE">
              <w:rPr>
                <w:rFonts w:ascii="TUOS Blake" w:hAnsi="TUOS Blake" w:cs="Arial"/>
                <w:sz w:val="22"/>
              </w:rPr>
              <w:t>I agree for the data collected from me to be used in future research.</w:t>
            </w:r>
          </w:p>
          <w:p w14:paraId="1A4F6D41" w14:textId="0127C1EE" w:rsidR="00A32950" w:rsidRPr="003726FE" w:rsidRDefault="00A32950" w:rsidP="00026049">
            <w:pPr>
              <w:numPr>
                <w:ilvl w:val="0"/>
                <w:numId w:val="30"/>
              </w:numPr>
              <w:tabs>
                <w:tab w:val="clear" w:pos="720"/>
                <w:tab w:val="left" w:pos="360"/>
              </w:tabs>
              <w:spacing w:after="0" w:line="276" w:lineRule="auto"/>
              <w:ind w:left="454"/>
              <w:rPr>
                <w:rFonts w:ascii="TUOS Blake" w:hAnsi="TUOS Blake" w:cs="Arial"/>
                <w:sz w:val="22"/>
              </w:rPr>
            </w:pPr>
            <w:r w:rsidRPr="003726FE">
              <w:rPr>
                <w:rFonts w:ascii="TUOS Blake" w:hAnsi="TUOS Blake" w:cs="Arial"/>
                <w:sz w:val="22"/>
              </w:rPr>
              <w:t>I agree to take part in the above research project.</w:t>
            </w:r>
          </w:p>
          <w:p w14:paraId="5EBFB408" w14:textId="77777777" w:rsidR="00164F07" w:rsidRPr="003726FE" w:rsidRDefault="00164F07" w:rsidP="00A32950">
            <w:pPr>
              <w:tabs>
                <w:tab w:val="left" w:pos="3600"/>
                <w:tab w:val="left" w:pos="6480"/>
              </w:tabs>
              <w:rPr>
                <w:rFonts w:ascii="TUOS Blake" w:hAnsi="TUOS Blake" w:cs="Arial"/>
              </w:rPr>
            </w:pPr>
          </w:p>
          <w:p w14:paraId="7C603C82" w14:textId="77777777" w:rsidR="00164F07" w:rsidRPr="003726FE" w:rsidRDefault="00164F07" w:rsidP="00164F07">
            <w:pPr>
              <w:tabs>
                <w:tab w:val="left" w:pos="3600"/>
                <w:tab w:val="left" w:pos="6480"/>
              </w:tabs>
              <w:ind w:right="-955"/>
              <w:rPr>
                <w:rFonts w:ascii="TUOS Blake" w:hAnsi="TUOS Blake" w:cs="Arial"/>
              </w:rPr>
            </w:pPr>
            <w:r w:rsidRPr="003726FE">
              <w:rPr>
                <w:rFonts w:ascii="TUOS Blake" w:hAnsi="TUOS Blake" w:cs="Arial"/>
              </w:rPr>
              <w:t>________________________</w:t>
            </w:r>
            <w:r w:rsidRPr="003726FE">
              <w:rPr>
                <w:rFonts w:ascii="TUOS Blake" w:hAnsi="TUOS Blake" w:cs="Arial"/>
              </w:rPr>
              <w:tab/>
              <w:t>________________      ________________</w:t>
            </w:r>
          </w:p>
          <w:p w14:paraId="12FE3766" w14:textId="77777777" w:rsidR="00164F07" w:rsidRPr="003726FE" w:rsidRDefault="00164F07" w:rsidP="00164F07">
            <w:pPr>
              <w:tabs>
                <w:tab w:val="left" w:pos="3600"/>
                <w:tab w:val="left" w:pos="6480"/>
              </w:tabs>
              <w:ind w:right="-955"/>
              <w:rPr>
                <w:rFonts w:ascii="TUOS Blake" w:hAnsi="TUOS Blake" w:cs="Arial"/>
                <w:sz w:val="22"/>
              </w:rPr>
            </w:pPr>
            <w:r w:rsidRPr="003726FE">
              <w:rPr>
                <w:rFonts w:ascii="TUOS Blake" w:hAnsi="TUOS Blake" w:cs="Arial"/>
                <w:sz w:val="22"/>
              </w:rPr>
              <w:t>Name of Participant</w:t>
            </w:r>
            <w:r w:rsidRPr="003726FE">
              <w:rPr>
                <w:rFonts w:ascii="TUOS Blake" w:hAnsi="TUOS Blake" w:cs="Arial"/>
                <w:sz w:val="22"/>
              </w:rPr>
              <w:tab/>
              <w:t>Date</w:t>
            </w:r>
            <w:r w:rsidRPr="003726FE">
              <w:rPr>
                <w:rFonts w:ascii="TUOS Blake" w:hAnsi="TUOS Blake" w:cs="Arial"/>
                <w:sz w:val="22"/>
              </w:rPr>
              <w:tab/>
              <w:t>Signature</w:t>
            </w:r>
          </w:p>
          <w:p w14:paraId="3D9FF462" w14:textId="77777777" w:rsidR="00164F07" w:rsidRPr="003726FE" w:rsidRDefault="00164F07" w:rsidP="00164F07">
            <w:pPr>
              <w:ind w:right="-955"/>
              <w:rPr>
                <w:rFonts w:ascii="TUOS Blake" w:hAnsi="TUOS Blake" w:cs="Arial"/>
                <w:sz w:val="22"/>
              </w:rPr>
            </w:pPr>
            <w:r w:rsidRPr="003726FE">
              <w:rPr>
                <w:rFonts w:ascii="TUOS Blake" w:hAnsi="TUOS Blake" w:cs="Arial"/>
                <w:sz w:val="22"/>
              </w:rPr>
              <w:t>(</w:t>
            </w:r>
            <w:r w:rsidRPr="003726FE">
              <w:rPr>
                <w:rFonts w:ascii="TUOS Blake" w:hAnsi="TUOS Blake" w:cs="Arial"/>
                <w:i/>
                <w:iCs/>
                <w:sz w:val="22"/>
              </w:rPr>
              <w:t>or legal representative</w:t>
            </w:r>
            <w:r w:rsidRPr="003726FE">
              <w:rPr>
                <w:rFonts w:ascii="TUOS Blake" w:hAnsi="TUOS Blake" w:cs="Arial"/>
                <w:sz w:val="22"/>
              </w:rPr>
              <w:t>)</w:t>
            </w:r>
          </w:p>
          <w:p w14:paraId="3C6F3383" w14:textId="77777777" w:rsidR="00164F07" w:rsidRPr="003726FE" w:rsidRDefault="00164F07" w:rsidP="00164F07">
            <w:pPr>
              <w:pStyle w:val="Header"/>
              <w:tabs>
                <w:tab w:val="left" w:pos="3600"/>
                <w:tab w:val="left" w:pos="6480"/>
              </w:tabs>
              <w:ind w:right="-955"/>
              <w:rPr>
                <w:rFonts w:ascii="TUOS Blake" w:hAnsi="TUOS Blake" w:cs="Arial"/>
                <w:sz w:val="22"/>
              </w:rPr>
            </w:pPr>
          </w:p>
          <w:p w14:paraId="1117EF40" w14:textId="77777777" w:rsidR="00164F07" w:rsidRPr="003726FE" w:rsidRDefault="00164F07" w:rsidP="00164F07">
            <w:pPr>
              <w:pStyle w:val="Header"/>
              <w:tabs>
                <w:tab w:val="left" w:pos="3600"/>
                <w:tab w:val="left" w:pos="6480"/>
              </w:tabs>
              <w:ind w:right="-955"/>
              <w:rPr>
                <w:rFonts w:ascii="TUOS Blake" w:hAnsi="TUOS Blake" w:cs="Arial"/>
                <w:sz w:val="22"/>
              </w:rPr>
            </w:pPr>
            <w:r w:rsidRPr="003726FE">
              <w:rPr>
                <w:rFonts w:ascii="TUOS Blake" w:hAnsi="TUOS Blake" w:cs="Arial"/>
                <w:sz w:val="22"/>
              </w:rPr>
              <w:t>_________________________</w:t>
            </w:r>
            <w:r w:rsidRPr="003726FE">
              <w:rPr>
                <w:rFonts w:ascii="TUOS Blake" w:hAnsi="TUOS Blake" w:cs="Arial"/>
                <w:sz w:val="22"/>
              </w:rPr>
              <w:tab/>
              <w:t>________________         __________________</w:t>
            </w:r>
          </w:p>
          <w:p w14:paraId="5E4228BD" w14:textId="77777777" w:rsidR="00164F07" w:rsidRPr="003726FE" w:rsidRDefault="00164F07" w:rsidP="00164F07">
            <w:pPr>
              <w:tabs>
                <w:tab w:val="left" w:pos="3600"/>
                <w:tab w:val="left" w:pos="6480"/>
              </w:tabs>
              <w:ind w:right="-955"/>
              <w:rPr>
                <w:rFonts w:ascii="TUOS Blake" w:hAnsi="TUOS Blake" w:cs="Arial"/>
                <w:sz w:val="22"/>
              </w:rPr>
            </w:pPr>
            <w:r w:rsidRPr="003726FE">
              <w:rPr>
                <w:rFonts w:ascii="TUOS Blake" w:hAnsi="TUOS Blake" w:cs="Arial"/>
                <w:sz w:val="22"/>
              </w:rPr>
              <w:t xml:space="preserve"> Lead Researcher</w:t>
            </w:r>
            <w:r w:rsidRPr="003726FE">
              <w:rPr>
                <w:rFonts w:ascii="TUOS Blake" w:hAnsi="TUOS Blake" w:cs="Arial"/>
                <w:sz w:val="22"/>
              </w:rPr>
              <w:tab/>
              <w:t>Date</w:t>
            </w:r>
            <w:r w:rsidRPr="003726FE">
              <w:rPr>
                <w:rFonts w:ascii="TUOS Blake" w:hAnsi="TUOS Blake" w:cs="Arial"/>
                <w:sz w:val="22"/>
              </w:rPr>
              <w:tab/>
              <w:t>Signature</w:t>
            </w:r>
          </w:p>
          <w:p w14:paraId="2B21C73C" w14:textId="77777777" w:rsidR="00164F07" w:rsidRPr="003726FE" w:rsidRDefault="00164F07" w:rsidP="00164F07">
            <w:pPr>
              <w:ind w:right="-955"/>
              <w:rPr>
                <w:rFonts w:ascii="TUOS Blake" w:hAnsi="TUOS Blake" w:cs="Arial"/>
                <w:i/>
                <w:iCs/>
                <w:sz w:val="22"/>
              </w:rPr>
            </w:pPr>
            <w:r w:rsidRPr="003726FE">
              <w:rPr>
                <w:rFonts w:ascii="TUOS Blake" w:hAnsi="TUOS Blake" w:cs="Arial"/>
                <w:i/>
                <w:iCs/>
                <w:sz w:val="22"/>
              </w:rPr>
              <w:t>To be signed and dated in presence of the participant</w:t>
            </w:r>
          </w:p>
          <w:p w14:paraId="642616F1" w14:textId="77777777" w:rsidR="00A32950" w:rsidRPr="003726FE" w:rsidRDefault="00A32950" w:rsidP="00A32950">
            <w:pPr>
              <w:spacing w:after="0" w:line="240" w:lineRule="auto"/>
              <w:rPr>
                <w:rFonts w:ascii="TUOS Blake" w:hAnsi="TUOS Blake" w:cs="Arial"/>
                <w:sz w:val="20"/>
              </w:rPr>
            </w:pPr>
            <w:r w:rsidRPr="003726FE">
              <w:rPr>
                <w:rFonts w:ascii="TUOS Blake" w:hAnsi="TUOS Blake" w:cs="Arial"/>
                <w:sz w:val="20"/>
              </w:rPr>
              <w:t>Contact details:</w:t>
            </w:r>
          </w:p>
          <w:p w14:paraId="244B1948" w14:textId="77777777" w:rsidR="00A32950" w:rsidRPr="003726FE" w:rsidRDefault="00A32950" w:rsidP="00A32950">
            <w:pPr>
              <w:spacing w:after="0" w:line="240" w:lineRule="auto"/>
              <w:rPr>
                <w:rFonts w:ascii="TUOS Blake" w:hAnsi="TUOS Blake" w:cs="Arial"/>
                <w:sz w:val="20"/>
              </w:rPr>
            </w:pPr>
            <w:r w:rsidRPr="003726FE">
              <w:rPr>
                <w:rFonts w:ascii="TUOS Blake" w:hAnsi="TUOS Blake" w:cs="Arial"/>
                <w:sz w:val="20"/>
              </w:rPr>
              <w:t xml:space="preserve">Lead researcher – Billy Bryan: </w:t>
            </w:r>
            <w:hyperlink r:id="rId79" w:history="1">
              <w:r w:rsidRPr="003726FE">
                <w:rPr>
                  <w:rStyle w:val="Hyperlink"/>
                  <w:rFonts w:ascii="TUOS Blake" w:hAnsi="TUOS Blake" w:cs="Arial"/>
                  <w:sz w:val="20"/>
                </w:rPr>
                <w:t>bjbryan1@sheffield.ac.uk</w:t>
              </w:r>
            </w:hyperlink>
          </w:p>
          <w:p w14:paraId="7015B10D" w14:textId="77777777" w:rsidR="00A32950" w:rsidRPr="003726FE" w:rsidRDefault="00A32950" w:rsidP="00A32950">
            <w:pPr>
              <w:spacing w:after="0" w:line="240" w:lineRule="auto"/>
              <w:rPr>
                <w:rFonts w:ascii="TUOS Blake" w:hAnsi="TUOS Blake" w:cs="Arial"/>
                <w:i/>
                <w:iCs/>
                <w:sz w:val="22"/>
              </w:rPr>
            </w:pPr>
            <w:r w:rsidRPr="003726FE">
              <w:rPr>
                <w:rFonts w:ascii="TUOS Blake" w:hAnsi="TUOS Blake" w:cs="Arial"/>
                <w:sz w:val="20"/>
              </w:rPr>
              <w:t xml:space="preserve">Main supervisor – Deborah Murdoch-Eaton: </w:t>
            </w:r>
            <w:hyperlink r:id="rId80" w:history="1">
              <w:r w:rsidRPr="003726FE">
                <w:rPr>
                  <w:rStyle w:val="Hyperlink"/>
                  <w:rFonts w:ascii="TUOS Blake" w:hAnsi="TUOS Blake" w:cs="Arial"/>
                  <w:sz w:val="20"/>
                </w:rPr>
                <w:t>d.murdoch-eaton@sheffield.ac.uk</w:t>
              </w:r>
            </w:hyperlink>
          </w:p>
        </w:tc>
        <w:tc>
          <w:tcPr>
            <w:tcW w:w="990" w:type="dxa"/>
            <w:tcBorders>
              <w:left w:val="nil"/>
            </w:tcBorders>
          </w:tcPr>
          <w:p w14:paraId="0B362E05" w14:textId="6DE9B1AD" w:rsidR="00A32950" w:rsidRPr="003726FE" w:rsidRDefault="00164F07" w:rsidP="00A32950">
            <w:pPr>
              <w:pStyle w:val="Header"/>
              <w:jc w:val="both"/>
              <w:rPr>
                <w:rFonts w:ascii="TUOS Blake" w:hAnsi="TUOS Blake" w:cs="Arial"/>
                <w:i/>
                <w:iCs/>
              </w:rPr>
            </w:pPr>
            <w:r w:rsidRPr="003726FE">
              <w:rPr>
                <w:rFonts w:ascii="TUOS Blake" w:hAnsi="TUOS Blake" w:cs="Arial"/>
                <w:i/>
                <w:iCs/>
                <w:noProof/>
                <w:lang w:eastAsia="en-GB"/>
              </w:rPr>
              <mc:AlternateContent>
                <mc:Choice Requires="wps">
                  <w:drawing>
                    <wp:anchor distT="0" distB="0" distL="114300" distR="114300" simplePos="0" relativeHeight="251926528" behindDoc="0" locked="0" layoutInCell="1" allowOverlap="1" wp14:anchorId="15EAE590" wp14:editId="368B2448">
                      <wp:simplePos x="0" y="0"/>
                      <wp:positionH relativeFrom="column">
                        <wp:posOffset>-144780</wp:posOffset>
                      </wp:positionH>
                      <wp:positionV relativeFrom="paragraph">
                        <wp:posOffset>5278401</wp:posOffset>
                      </wp:positionV>
                      <wp:extent cx="456836" cy="365551"/>
                      <wp:effectExtent l="0" t="0" r="19685" b="15875"/>
                      <wp:wrapNone/>
                      <wp:docPr id="20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EEAEADE" id="Rectangle 36" o:spid="_x0000_s1026" style="position:absolute;margin-left:-11.4pt;margin-top:415.6pt;width:35.95pt;height:28.8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fqIgIAAD8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"/>
                  </w:pict>
                </mc:Fallback>
              </mc:AlternateContent>
            </w:r>
            <w:r w:rsidRPr="003726FE">
              <w:rPr>
                <w:rFonts w:ascii="TUOS Blake" w:hAnsi="TUOS Blake" w:cs="Arial"/>
                <w:i/>
                <w:iCs/>
                <w:noProof/>
                <w:lang w:eastAsia="en-GB"/>
              </w:rPr>
              <mc:AlternateContent>
                <mc:Choice Requires="wps">
                  <w:drawing>
                    <wp:anchor distT="0" distB="0" distL="114300" distR="114300" simplePos="0" relativeHeight="251925504" behindDoc="0" locked="0" layoutInCell="1" allowOverlap="1" wp14:anchorId="5AA71056" wp14:editId="39522FC9">
                      <wp:simplePos x="0" y="0"/>
                      <wp:positionH relativeFrom="column">
                        <wp:posOffset>-144780</wp:posOffset>
                      </wp:positionH>
                      <wp:positionV relativeFrom="paragraph">
                        <wp:posOffset>5701946</wp:posOffset>
                      </wp:positionV>
                      <wp:extent cx="456836" cy="365551"/>
                      <wp:effectExtent l="0" t="0" r="19685" b="15875"/>
                      <wp:wrapNone/>
                      <wp:docPr id="20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E89B853" id="Rectangle 35" o:spid="_x0000_s1026" style="position:absolute;margin-left:-11.4pt;margin-top:448.95pt;width:35.95pt;height:28.8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"/>
                  </w:pict>
                </mc:Fallback>
              </mc:AlternateContent>
            </w:r>
            <w:r w:rsidR="00C815C7" w:rsidRPr="003726FE">
              <w:rPr>
                <w:rFonts w:ascii="TUOS Blake" w:hAnsi="TUOS Blake" w:cs="Arial"/>
                <w:i/>
                <w:iCs/>
                <w:noProof/>
                <w:lang w:eastAsia="en-GB"/>
              </w:rPr>
              <mc:AlternateContent>
                <mc:Choice Requires="wps">
                  <w:drawing>
                    <wp:anchor distT="0" distB="0" distL="114300" distR="114300" simplePos="0" relativeHeight="251924480" behindDoc="0" locked="0" layoutInCell="1" allowOverlap="1" wp14:anchorId="1B09ADA1" wp14:editId="05B5227F">
                      <wp:simplePos x="0" y="0"/>
                      <wp:positionH relativeFrom="column">
                        <wp:posOffset>-97790</wp:posOffset>
                      </wp:positionH>
                      <wp:positionV relativeFrom="paragraph">
                        <wp:posOffset>4311015</wp:posOffset>
                      </wp:positionV>
                      <wp:extent cx="456836" cy="365551"/>
                      <wp:effectExtent l="0" t="0" r="19685" b="15875"/>
                      <wp:wrapNone/>
                      <wp:docPr id="20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2CB2495" id="Rectangle 34" o:spid="_x0000_s1026" style="position:absolute;margin-left:-7.7pt;margin-top:339.45pt;width:35.95pt;height:28.8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"/>
                  </w:pict>
                </mc:Fallback>
              </mc:AlternateContent>
            </w:r>
            <w:r w:rsidR="00C815C7" w:rsidRPr="003726FE">
              <w:rPr>
                <w:rFonts w:ascii="TUOS Blake" w:hAnsi="TUOS Blake" w:cs="Arial"/>
                <w:i/>
                <w:iCs/>
                <w:noProof/>
                <w:lang w:eastAsia="en-GB"/>
              </w:rPr>
              <mc:AlternateContent>
                <mc:Choice Requires="wps">
                  <w:drawing>
                    <wp:anchor distT="0" distB="0" distL="114300" distR="114300" simplePos="0" relativeHeight="251927552" behindDoc="0" locked="0" layoutInCell="1" allowOverlap="1" wp14:anchorId="592C6894" wp14:editId="10F90EB9">
                      <wp:simplePos x="0" y="0"/>
                      <wp:positionH relativeFrom="column">
                        <wp:posOffset>-50800</wp:posOffset>
                      </wp:positionH>
                      <wp:positionV relativeFrom="paragraph">
                        <wp:posOffset>3443605</wp:posOffset>
                      </wp:positionV>
                      <wp:extent cx="456836" cy="365551"/>
                      <wp:effectExtent l="0" t="0" r="19685" b="15875"/>
                      <wp:wrapNone/>
                      <wp:docPr id="20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7F3CF8C" id="Rectangle 37" o:spid="_x0000_s1026" style="position:absolute;margin-left:-4pt;margin-top:271.15pt;width:35.95pt;height:28.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"/>
                  </w:pict>
                </mc:Fallback>
              </mc:AlternateContent>
            </w:r>
            <w:r w:rsidR="00C815C7" w:rsidRPr="003726FE">
              <w:rPr>
                <w:rFonts w:ascii="TUOS Blake" w:hAnsi="TUOS Blake" w:cs="Arial"/>
                <w:i/>
                <w:iCs/>
                <w:noProof/>
                <w:lang w:eastAsia="en-GB"/>
              </w:rPr>
              <mc:AlternateContent>
                <mc:Choice Requires="wps">
                  <w:drawing>
                    <wp:anchor distT="0" distB="0" distL="114300" distR="114300" simplePos="0" relativeHeight="251923456" behindDoc="0" locked="0" layoutInCell="1" allowOverlap="1" wp14:anchorId="4FE5DD85" wp14:editId="3DB6859B">
                      <wp:simplePos x="0" y="0"/>
                      <wp:positionH relativeFrom="column">
                        <wp:posOffset>-50165</wp:posOffset>
                      </wp:positionH>
                      <wp:positionV relativeFrom="paragraph">
                        <wp:posOffset>2709545</wp:posOffset>
                      </wp:positionV>
                      <wp:extent cx="456836" cy="365551"/>
                      <wp:effectExtent l="0" t="0" r="19685" b="15875"/>
                      <wp:wrapNone/>
                      <wp:docPr id="20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F62F4E1" id="Rectangle 33" o:spid="_x0000_s1026" style="position:absolute;margin-left:-3.95pt;margin-top:213.35pt;width:35.95pt;height:28.8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"/>
                  </w:pict>
                </mc:Fallback>
              </mc:AlternateContent>
            </w:r>
            <w:r w:rsidR="00C815C7" w:rsidRPr="003726FE">
              <w:rPr>
                <w:rFonts w:ascii="TUOS Blake" w:hAnsi="TUOS Blake" w:cs="Arial"/>
                <w:i/>
                <w:iCs/>
                <w:noProof/>
                <w:lang w:eastAsia="en-GB"/>
              </w:rPr>
              <mc:AlternateContent>
                <mc:Choice Requires="wps">
                  <w:drawing>
                    <wp:anchor distT="0" distB="0" distL="114300" distR="114300" simplePos="0" relativeHeight="251922432" behindDoc="0" locked="0" layoutInCell="1" allowOverlap="1" wp14:anchorId="18607324" wp14:editId="1E306034">
                      <wp:simplePos x="0" y="0"/>
                      <wp:positionH relativeFrom="column">
                        <wp:posOffset>-50165</wp:posOffset>
                      </wp:positionH>
                      <wp:positionV relativeFrom="paragraph">
                        <wp:posOffset>2028825</wp:posOffset>
                      </wp:positionV>
                      <wp:extent cx="456836" cy="365551"/>
                      <wp:effectExtent l="0" t="0" r="19685" b="15875"/>
                      <wp:wrapNone/>
                      <wp:docPr id="2607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299DA50" id="Rectangle 32" o:spid="_x0000_s1026" style="position:absolute;margin-left:-3.95pt;margin-top:159.75pt;width:35.95pt;height:28.8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"/>
                  </w:pict>
                </mc:Fallback>
              </mc:AlternateContent>
            </w:r>
            <w:r w:rsidR="00C815C7" w:rsidRPr="003726FE">
              <w:rPr>
                <w:rFonts w:ascii="TUOS Blake" w:hAnsi="TUOS Blake" w:cs="Arial"/>
                <w:i/>
                <w:iCs/>
                <w:noProof/>
                <w:lang w:eastAsia="en-GB"/>
              </w:rPr>
              <mc:AlternateContent>
                <mc:Choice Requires="wps">
                  <w:drawing>
                    <wp:anchor distT="0" distB="0" distL="114300" distR="114300" simplePos="0" relativeHeight="251921408" behindDoc="0" locked="0" layoutInCell="1" allowOverlap="1" wp14:anchorId="5CABE887" wp14:editId="40E77D03">
                      <wp:simplePos x="0" y="0"/>
                      <wp:positionH relativeFrom="column">
                        <wp:posOffset>-40640</wp:posOffset>
                      </wp:positionH>
                      <wp:positionV relativeFrom="paragraph">
                        <wp:posOffset>1344930</wp:posOffset>
                      </wp:positionV>
                      <wp:extent cx="456836" cy="365551"/>
                      <wp:effectExtent l="0" t="0" r="19685" b="15875"/>
                      <wp:wrapNone/>
                      <wp:docPr id="260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36" cy="365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961A4D5" id="Rectangle 31" o:spid="_x0000_s1026" style="position:absolute;margin-left:-3.2pt;margin-top:105.9pt;width:35.95pt;height:28.8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"/>
                  </w:pict>
                </mc:Fallback>
              </mc:AlternateContent>
            </w:r>
          </w:p>
        </w:tc>
      </w:tr>
    </w:tbl>
    <w:p w14:paraId="130C89F8" w14:textId="42AFFE7A" w:rsidR="000920B7" w:rsidRPr="003726FE" w:rsidRDefault="000A7534" w:rsidP="004F2565">
      <w:pPr>
        <w:jc w:val="center"/>
      </w:pPr>
      <w:r w:rsidRPr="003726FE">
        <w:br w:type="page"/>
      </w:r>
    </w:p>
    <w:p w14:paraId="4E8F1DC8" w14:textId="351DB4DB" w:rsidR="000920B7" w:rsidRPr="003726FE" w:rsidRDefault="000920B7" w:rsidP="000920B7">
      <w:pPr>
        <w:rPr>
          <w:b/>
        </w:rPr>
      </w:pPr>
      <w:r w:rsidRPr="003726FE">
        <w:rPr>
          <w:b/>
        </w:rPr>
        <w:lastRenderedPageBreak/>
        <w:t>Sample member checking form for teacher interviews</w:t>
      </w:r>
    </w:p>
    <w:p w14:paraId="407AB3A0" w14:textId="631598AD" w:rsidR="000920B7" w:rsidRPr="003726FE" w:rsidRDefault="000920B7" w:rsidP="004F2565">
      <w:pPr>
        <w:jc w:val="center"/>
        <w:rPr>
          <w:b/>
          <w:u w:val="single"/>
        </w:rPr>
      </w:pPr>
      <w:r w:rsidRPr="003726FE">
        <w:rPr>
          <w:b/>
          <w:u w:val="single"/>
        </w:rPr>
        <w:t>Interview Summary</w:t>
      </w:r>
    </w:p>
    <w:p w14:paraId="3E49E022" w14:textId="77777777" w:rsidR="000920B7" w:rsidRPr="003726FE" w:rsidRDefault="000920B7" w:rsidP="004F2565"/>
    <w:p w14:paraId="33285E7B" w14:textId="77777777" w:rsidR="000920B7" w:rsidRPr="003726FE" w:rsidRDefault="000920B7" w:rsidP="004F2565">
      <w:r w:rsidRPr="003726FE">
        <w:t>This summary details the main points of the interview as has been transcribed and interpreted by the interviewer. The purpose of sending this to you is to check the interpretation is a true record from your perspective. Please add comments to the box at the end; these comments can be anything from corrections to general reactions to the experience, there are no right or wrong answers and any thoughts are encouraged.</w:t>
      </w:r>
    </w:p>
    <w:p w14:paraId="2EBD5E44" w14:textId="77777777" w:rsidR="000920B7" w:rsidRPr="003726FE" w:rsidRDefault="000920B7" w:rsidP="004F2565"/>
    <w:p w14:paraId="31D6186B" w14:textId="77777777" w:rsidR="000920B7" w:rsidRPr="003726FE" w:rsidRDefault="000920B7" w:rsidP="004F2565">
      <w:r w:rsidRPr="003726FE">
        <w:t>Please send this document back with added comments. If you feel this account is an accurate representation and do not wish to comment, please reply to confirm this regardless. Feel free to email with any questions.</w:t>
      </w:r>
    </w:p>
    <w:p w14:paraId="7D737FCF" w14:textId="77777777" w:rsidR="000920B7" w:rsidRPr="003726FE" w:rsidRDefault="000920B7"/>
    <w:p w14:paraId="52FB1837" w14:textId="618F61F9" w:rsidR="000920B7" w:rsidRPr="003726FE" w:rsidRDefault="000920B7">
      <w:pPr>
        <w:rPr>
          <w:b/>
        </w:rPr>
      </w:pPr>
      <w:r w:rsidRPr="003726FE">
        <w:rPr>
          <w:noProof/>
          <w:lang w:eastAsia="en-GB"/>
        </w:rPr>
        <mc:AlternateContent>
          <mc:Choice Requires="wps">
            <w:drawing>
              <wp:anchor distT="0" distB="0" distL="114300" distR="114300" simplePos="0" relativeHeight="252001280" behindDoc="0" locked="0" layoutInCell="1" allowOverlap="1" wp14:anchorId="3C048394" wp14:editId="260F2190">
                <wp:simplePos x="0" y="0"/>
                <wp:positionH relativeFrom="column">
                  <wp:posOffset>-18340</wp:posOffset>
                </wp:positionH>
                <wp:positionV relativeFrom="paragraph">
                  <wp:posOffset>203525</wp:posOffset>
                </wp:positionV>
                <wp:extent cx="5454502" cy="5167423"/>
                <wp:effectExtent l="0" t="0" r="1333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02" cy="5167423"/>
                        </a:xfrm>
                        <a:prstGeom prst="rect">
                          <a:avLst/>
                        </a:prstGeom>
                        <a:solidFill>
                          <a:srgbClr val="FFFFFF"/>
                        </a:solidFill>
                        <a:ln w="9525">
                          <a:solidFill>
                            <a:srgbClr val="000000"/>
                          </a:solidFill>
                          <a:miter lim="800000"/>
                          <a:headEnd/>
                          <a:tailEnd/>
                        </a:ln>
                      </wps:spPr>
                      <wps:txbx>
                        <w:txbxContent>
                          <w:p w14:paraId="12A1D2C2" w14:textId="77777777" w:rsidR="00C8402C" w:rsidRDefault="00C8402C" w:rsidP="004F2565">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8394" id="_x0000_s1414" type="#_x0000_t202" style="position:absolute;margin-left:-1.45pt;margin-top:16.05pt;width:429.5pt;height:406.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">
                <v:textbox>
                  <w:txbxContent>
                    <w:p w14:paraId="12A1D2C2" w14:textId="77777777" w:rsidR="00C8402C" w:rsidRDefault="00C8402C" w:rsidP="004F2565">
                      <w:pPr>
                        <w:spacing w:line="276" w:lineRule="auto"/>
                      </w:pPr>
                    </w:p>
                  </w:txbxContent>
                </v:textbox>
              </v:shape>
            </w:pict>
          </mc:Fallback>
        </mc:AlternateContent>
      </w:r>
      <w:r w:rsidRPr="003726FE">
        <w:rPr>
          <w:b/>
        </w:rPr>
        <w:t>Researcher summary:</w:t>
      </w:r>
    </w:p>
    <w:p w14:paraId="05DCE51A" w14:textId="27AE3762" w:rsidR="000920B7" w:rsidRPr="003726FE" w:rsidRDefault="000920B7">
      <w:pPr>
        <w:rPr>
          <w:b/>
        </w:rPr>
      </w:pPr>
    </w:p>
    <w:p w14:paraId="064DD83C" w14:textId="7B103D57" w:rsidR="000920B7" w:rsidRPr="003726FE" w:rsidRDefault="000920B7">
      <w:r w:rsidRPr="003726FE">
        <w:br w:type="page"/>
      </w:r>
    </w:p>
    <w:p w14:paraId="736D3BB4" w14:textId="77777777" w:rsidR="000920B7" w:rsidRPr="003726FE" w:rsidRDefault="000920B7">
      <w:pPr>
        <w:rPr>
          <w:b/>
        </w:rPr>
      </w:pPr>
      <w:r w:rsidRPr="003726FE">
        <w:rPr>
          <w:b/>
        </w:rPr>
        <w:lastRenderedPageBreak/>
        <w:t>Comments/thoughts/reactions:</w:t>
      </w:r>
    </w:p>
    <w:p w14:paraId="4098544A" w14:textId="77777777" w:rsidR="000920B7" w:rsidRPr="003726FE" w:rsidRDefault="000920B7">
      <w:pPr>
        <w:rPr>
          <w:b/>
        </w:rPr>
      </w:pPr>
      <w:r w:rsidRPr="003726FE">
        <w:rPr>
          <w:b/>
          <w:noProof/>
          <w:lang w:eastAsia="en-GB"/>
        </w:rPr>
        <mc:AlternateContent>
          <mc:Choice Requires="wps">
            <w:drawing>
              <wp:anchor distT="0" distB="0" distL="114300" distR="114300" simplePos="0" relativeHeight="252000256" behindDoc="0" locked="0" layoutInCell="1" allowOverlap="1" wp14:anchorId="5A9C9851" wp14:editId="0C233C2F">
                <wp:simplePos x="0" y="0"/>
                <wp:positionH relativeFrom="column">
                  <wp:posOffset>-15417</wp:posOffset>
                </wp:positionH>
                <wp:positionV relativeFrom="paragraph">
                  <wp:posOffset>84233</wp:posOffset>
                </wp:positionV>
                <wp:extent cx="5241851" cy="5092995"/>
                <wp:effectExtent l="0" t="0" r="16510" b="1270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5092995"/>
                        </a:xfrm>
                        <a:prstGeom prst="rect">
                          <a:avLst/>
                        </a:prstGeom>
                        <a:solidFill>
                          <a:srgbClr val="FFFFFF"/>
                        </a:solidFill>
                        <a:ln w="9525">
                          <a:solidFill>
                            <a:srgbClr val="000000"/>
                          </a:solidFill>
                          <a:miter lim="800000"/>
                          <a:headEnd/>
                          <a:tailEnd/>
                        </a:ln>
                      </wps:spPr>
                      <wps:txbx>
                        <w:txbxContent>
                          <w:p w14:paraId="77B32745" w14:textId="77777777" w:rsidR="00C8402C" w:rsidRDefault="00C840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9851" id="_x0000_s1415" type="#_x0000_t202" style="position:absolute;margin-left:-1.2pt;margin-top:6.65pt;width:412.75pt;height:40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">
                <v:textbox>
                  <w:txbxContent>
                    <w:p w14:paraId="77B32745" w14:textId="77777777" w:rsidR="00C8402C" w:rsidRDefault="00C8402C"/>
                  </w:txbxContent>
                </v:textbox>
              </v:shape>
            </w:pict>
          </mc:Fallback>
        </mc:AlternateContent>
      </w:r>
    </w:p>
    <w:p w14:paraId="2EE663F0" w14:textId="77777777" w:rsidR="000920B7" w:rsidRPr="003726FE" w:rsidRDefault="000920B7" w:rsidP="004F2565"/>
    <w:p w14:paraId="5794CBD9" w14:textId="77777777" w:rsidR="000920B7" w:rsidRPr="003726FE" w:rsidRDefault="000920B7" w:rsidP="004F2565"/>
    <w:p w14:paraId="025D1FA0" w14:textId="77777777" w:rsidR="000920B7" w:rsidRPr="003726FE" w:rsidRDefault="000920B7" w:rsidP="004F2565"/>
    <w:p w14:paraId="4992DDCB" w14:textId="77777777" w:rsidR="000920B7" w:rsidRPr="003726FE" w:rsidRDefault="000920B7" w:rsidP="004F2565"/>
    <w:p w14:paraId="22539615" w14:textId="77777777" w:rsidR="000920B7" w:rsidRPr="003726FE" w:rsidRDefault="000920B7" w:rsidP="004F2565"/>
    <w:p w14:paraId="7BB16C3B" w14:textId="77777777" w:rsidR="000920B7" w:rsidRPr="003726FE" w:rsidRDefault="000920B7" w:rsidP="004F2565"/>
    <w:p w14:paraId="60921402" w14:textId="77777777" w:rsidR="000920B7" w:rsidRPr="003726FE" w:rsidRDefault="000920B7" w:rsidP="004F2565"/>
    <w:p w14:paraId="5F16853D" w14:textId="77777777" w:rsidR="000920B7" w:rsidRPr="003726FE" w:rsidRDefault="000920B7" w:rsidP="004F2565"/>
    <w:p w14:paraId="7E02604E" w14:textId="77777777" w:rsidR="000920B7" w:rsidRPr="003726FE" w:rsidRDefault="000920B7" w:rsidP="004F2565"/>
    <w:p w14:paraId="3C3586CC" w14:textId="77777777" w:rsidR="000920B7" w:rsidRPr="003726FE" w:rsidRDefault="000920B7" w:rsidP="004F2565"/>
    <w:p w14:paraId="6C8120B1" w14:textId="77777777" w:rsidR="000920B7" w:rsidRPr="003726FE" w:rsidRDefault="000920B7" w:rsidP="004F2565"/>
    <w:p w14:paraId="30D00550" w14:textId="77777777" w:rsidR="000920B7" w:rsidRPr="003726FE" w:rsidRDefault="000920B7" w:rsidP="004F2565"/>
    <w:p w14:paraId="37688DD4" w14:textId="77777777" w:rsidR="000920B7" w:rsidRPr="003726FE" w:rsidRDefault="000920B7" w:rsidP="004F2565"/>
    <w:p w14:paraId="4115C798" w14:textId="77777777" w:rsidR="000920B7" w:rsidRPr="003726FE" w:rsidRDefault="000920B7" w:rsidP="004F2565"/>
    <w:p w14:paraId="7B96FA4A" w14:textId="77777777" w:rsidR="000920B7" w:rsidRPr="003726FE" w:rsidRDefault="000920B7" w:rsidP="004F2565"/>
    <w:p w14:paraId="6A0CF48C" w14:textId="77777777" w:rsidR="000920B7" w:rsidRPr="003726FE" w:rsidRDefault="000920B7" w:rsidP="004F2565"/>
    <w:p w14:paraId="0E0E8EE1" w14:textId="77777777" w:rsidR="000920B7" w:rsidRPr="003726FE" w:rsidRDefault="000920B7" w:rsidP="004F2565"/>
    <w:p w14:paraId="5F8C166B" w14:textId="77777777" w:rsidR="000920B7" w:rsidRPr="003726FE" w:rsidRDefault="000920B7" w:rsidP="004F2565"/>
    <w:p w14:paraId="336F10C0" w14:textId="77777777" w:rsidR="000920B7" w:rsidRPr="003726FE" w:rsidRDefault="000920B7" w:rsidP="004F2565"/>
    <w:p w14:paraId="46E258A9" w14:textId="77777777" w:rsidR="000920B7" w:rsidRPr="003726FE" w:rsidRDefault="000920B7" w:rsidP="004F2565">
      <w:pPr>
        <w:tabs>
          <w:tab w:val="left" w:pos="4050"/>
        </w:tabs>
        <w:jc w:val="center"/>
        <w:rPr>
          <w:b/>
        </w:rPr>
      </w:pPr>
      <w:r w:rsidRPr="003726FE">
        <w:rPr>
          <w:b/>
        </w:rPr>
        <w:t>Thank you for your comments.</w:t>
      </w:r>
    </w:p>
    <w:p w14:paraId="74702D19" w14:textId="77777777" w:rsidR="000920B7" w:rsidRPr="003726FE" w:rsidRDefault="000920B7" w:rsidP="004F2565">
      <w:pPr>
        <w:tabs>
          <w:tab w:val="left" w:pos="4050"/>
        </w:tabs>
        <w:jc w:val="center"/>
        <w:rPr>
          <w:b/>
        </w:rPr>
      </w:pPr>
    </w:p>
    <w:p w14:paraId="0E7F12E5" w14:textId="77777777" w:rsidR="000920B7" w:rsidRPr="003726FE" w:rsidRDefault="000920B7" w:rsidP="004F2565">
      <w:pPr>
        <w:tabs>
          <w:tab w:val="left" w:pos="4050"/>
        </w:tabs>
        <w:jc w:val="center"/>
        <w:rPr>
          <w:b/>
        </w:rPr>
      </w:pPr>
      <w:r w:rsidRPr="003726FE">
        <w:rPr>
          <w:b/>
        </w:rPr>
        <w:t>Please return to: bjbryan1@sheffield.ac.uk</w:t>
      </w:r>
    </w:p>
    <w:p w14:paraId="4A15B035" w14:textId="77777777" w:rsidR="000920B7" w:rsidRPr="003726FE" w:rsidRDefault="000920B7">
      <w:pPr>
        <w:rPr>
          <w:rFonts w:eastAsia="Lucida Sans Unicode" w:cs="Mangal"/>
          <w:b/>
          <w:kern w:val="1"/>
          <w:sz w:val="28"/>
          <w:szCs w:val="24"/>
          <w:lang w:eastAsia="hi-IN" w:bidi="hi-IN"/>
        </w:rPr>
      </w:pPr>
      <w:r w:rsidRPr="003726FE">
        <w:br w:type="page"/>
      </w:r>
    </w:p>
    <w:p w14:paraId="1D0733A5" w14:textId="4D0BFF0D" w:rsidR="00910A25" w:rsidRPr="003726FE" w:rsidRDefault="00910A25" w:rsidP="00B1638D">
      <w:pPr>
        <w:pStyle w:val="Heading2"/>
        <w:rPr>
          <w:lang w:val="en-GB"/>
        </w:rPr>
      </w:pPr>
      <w:bookmarkStart w:id="991" w:name="_Toc500319478"/>
      <w:r w:rsidRPr="003726FE">
        <w:rPr>
          <w:lang w:val="en-GB"/>
        </w:rPr>
        <w:lastRenderedPageBreak/>
        <w:t xml:space="preserve">Appendix </w:t>
      </w:r>
      <w:r w:rsidR="00C47666" w:rsidRPr="003726FE">
        <w:rPr>
          <w:lang w:val="en-GB"/>
        </w:rPr>
        <w:t xml:space="preserve">7. </w:t>
      </w:r>
      <w:r w:rsidRPr="003726FE">
        <w:rPr>
          <w:lang w:val="en-GB"/>
        </w:rPr>
        <w:t xml:space="preserve">Recruitment </w:t>
      </w:r>
      <w:r w:rsidR="00C47666" w:rsidRPr="003726FE">
        <w:rPr>
          <w:lang w:val="en-GB"/>
        </w:rPr>
        <w:t>Material, Information Sheets, and Consent Forms for Students in the Intervention Phase.</w:t>
      </w:r>
      <w:bookmarkEnd w:id="991"/>
    </w:p>
    <w:p w14:paraId="40968627" w14:textId="77777777" w:rsidR="00910A25" w:rsidRPr="003726FE" w:rsidRDefault="00910A25" w:rsidP="00026049">
      <w:pPr>
        <w:pStyle w:val="Normal1"/>
        <w:rPr>
          <w:lang w:val="en-GB"/>
        </w:rPr>
      </w:pPr>
    </w:p>
    <w:p w14:paraId="7BB06DA7" w14:textId="17366059" w:rsidR="00CB6352" w:rsidRPr="003726FE" w:rsidRDefault="00CB6352" w:rsidP="00CB6352">
      <w:pPr>
        <w:rPr>
          <w:b/>
        </w:rPr>
      </w:pPr>
      <w:r w:rsidRPr="003726FE">
        <w:rPr>
          <w:b/>
        </w:rPr>
        <w:t>Minerva announcement – 03/11/15</w:t>
      </w:r>
    </w:p>
    <w:p w14:paraId="27F68516" w14:textId="77777777" w:rsidR="00CB6352" w:rsidRPr="003726FE" w:rsidRDefault="00CB6352" w:rsidP="00CB6352">
      <w:pPr>
        <w:rPr>
          <w:b/>
        </w:rPr>
      </w:pPr>
    </w:p>
    <w:p w14:paraId="271EA265" w14:textId="77777777" w:rsidR="00CB6352" w:rsidRPr="003726FE" w:rsidRDefault="00CB6352" w:rsidP="00CB6352">
      <w:r w:rsidRPr="003726FE">
        <w:rPr>
          <w:b/>
        </w:rPr>
        <w:t>Medical Education Research – Self-Regulation and Feedback in Clinical skills learning</w:t>
      </w:r>
    </w:p>
    <w:p w14:paraId="5D48B662" w14:textId="77777777" w:rsidR="00CB6352" w:rsidRPr="003726FE" w:rsidRDefault="00CB6352" w:rsidP="00CB6352"/>
    <w:p w14:paraId="4989C88F" w14:textId="77777777" w:rsidR="00CB6352" w:rsidRPr="003726FE" w:rsidRDefault="00CB6352" w:rsidP="00CB6352">
      <w:r w:rsidRPr="003726FE">
        <w:t>Dear Phase 2A Students,</w:t>
      </w:r>
    </w:p>
    <w:p w14:paraId="45DFF290" w14:textId="77777777" w:rsidR="00CB6352" w:rsidRPr="003726FE" w:rsidRDefault="00CB6352" w:rsidP="00CB6352">
      <w:r w:rsidRPr="003726FE">
        <w:t xml:space="preserve">My name is Billy Bryan and I am a PhD student, supervised by Prof. Murdoch Eaton, we are conducting a research study in Phase 2A clinical skills learning. We are investigating how different types of feedback may affect your immediate and future learning strategies. By doing this, we hope to improve how students get feedback in clinical skills and how it may affect your future learning.  </w:t>
      </w:r>
    </w:p>
    <w:p w14:paraId="3B694545" w14:textId="77777777" w:rsidR="00CB6352" w:rsidRPr="003726FE" w:rsidRDefault="00CB6352" w:rsidP="00CB6352">
      <w:r w:rsidRPr="003726FE">
        <w:t>We would like to ask you to complete a questionnaire before and after you receive different types of feedback. This is feedback given during your Venepuncture and Catheterisation skills sessions in Nov/Dec 2015. This questionnaire will assess some of the ways you approach learning.</w:t>
      </w:r>
    </w:p>
    <w:p w14:paraId="5093426E" w14:textId="77777777" w:rsidR="00CB6352" w:rsidRPr="003726FE" w:rsidRDefault="00CB6352" w:rsidP="00CB6352">
      <w:r w:rsidRPr="003726FE">
        <w:t>Prof. Murdoch Eaton is doing a session with you on the 2</w:t>
      </w:r>
      <w:r w:rsidRPr="003726FE">
        <w:rPr>
          <w:vertAlign w:val="superscript"/>
        </w:rPr>
        <w:t>nd</w:t>
      </w:r>
      <w:r w:rsidRPr="003726FE">
        <w:t xml:space="preserve"> of November at 10:00am on “Study Skills re-visited”. Immediately after that we will be asking you if you would like to participate in this research study. There will be further information on the day and if you are okay with participating, we will provide the questionnaire for you to complete.</w:t>
      </w:r>
    </w:p>
    <w:p w14:paraId="3C68520C" w14:textId="77777777" w:rsidR="00CB6352" w:rsidRPr="003726FE" w:rsidRDefault="00CB6352" w:rsidP="00CB6352">
      <w:r w:rsidRPr="003726FE">
        <w:t>For more information now please see the attached information sheet.</w:t>
      </w:r>
    </w:p>
    <w:p w14:paraId="09207945" w14:textId="77777777" w:rsidR="00CB6352" w:rsidRPr="003726FE" w:rsidRDefault="00CB6352" w:rsidP="00CB6352">
      <w:r w:rsidRPr="003726FE">
        <w:t>If you have any questions/concerns at the moment please contact us using the following details.</w:t>
      </w:r>
    </w:p>
    <w:p w14:paraId="3DD8F68D" w14:textId="77777777" w:rsidR="00CB6352" w:rsidRPr="003726FE" w:rsidRDefault="00CB6352" w:rsidP="00CB6352">
      <w:r w:rsidRPr="003726FE">
        <w:t xml:space="preserve">Email: </w:t>
      </w:r>
      <w:hyperlink r:id="rId81" w:history="1">
        <w:r w:rsidRPr="003726FE">
          <w:rPr>
            <w:rStyle w:val="Hyperlink"/>
          </w:rPr>
          <w:t>bjbryan1@sheffield.ac.uk</w:t>
        </w:r>
      </w:hyperlink>
      <w:r w:rsidRPr="003726FE">
        <w:t xml:space="preserve"> - OR - Email: </w:t>
      </w:r>
      <w:hyperlink r:id="rId82" w:history="1">
        <w:r w:rsidRPr="003726FE">
          <w:rPr>
            <w:rStyle w:val="Hyperlink"/>
          </w:rPr>
          <w:t>d.murdoch-eaton@sheffield.ac.uk</w:t>
        </w:r>
      </w:hyperlink>
      <w:r w:rsidRPr="003726FE">
        <w:t xml:space="preserve"> </w:t>
      </w:r>
    </w:p>
    <w:p w14:paraId="477758B0" w14:textId="77777777" w:rsidR="00CB6352" w:rsidRPr="003726FE" w:rsidRDefault="00CB6352" w:rsidP="00CB6352">
      <w:r w:rsidRPr="003726FE">
        <w:t>I hope to see you all in November!</w:t>
      </w:r>
    </w:p>
    <w:p w14:paraId="2BEBD6F3" w14:textId="66666727" w:rsidR="00CB6352" w:rsidRPr="003726FE" w:rsidRDefault="00CB6352">
      <w:r w:rsidRPr="003726FE">
        <w:t>Billy Bryan</w:t>
      </w:r>
      <w:r w:rsidRPr="003726FE">
        <w:rPr>
          <w:b/>
        </w:rPr>
        <w:br w:type="page"/>
      </w:r>
    </w:p>
    <w:p w14:paraId="3578D311" w14:textId="65092C0D" w:rsidR="00910A25" w:rsidRPr="003726FE" w:rsidRDefault="00910A25" w:rsidP="00910A25">
      <w:pPr>
        <w:rPr>
          <w:b/>
        </w:rPr>
      </w:pPr>
      <w:r w:rsidRPr="003726FE">
        <w:rPr>
          <w:b/>
        </w:rPr>
        <w:lastRenderedPageBreak/>
        <w:t>Minerva announcement 19/11/15</w:t>
      </w:r>
    </w:p>
    <w:p w14:paraId="77461089" w14:textId="77777777" w:rsidR="00910A25" w:rsidRPr="003726FE" w:rsidRDefault="00910A25" w:rsidP="00910A25">
      <w:pPr>
        <w:rPr>
          <w:b/>
        </w:rPr>
      </w:pPr>
    </w:p>
    <w:p w14:paraId="55F53E0C" w14:textId="77777777" w:rsidR="00910A25" w:rsidRPr="003726FE" w:rsidRDefault="00910A25" w:rsidP="00910A25">
      <w:pPr>
        <w:rPr>
          <w:b/>
        </w:rPr>
      </w:pPr>
      <w:r w:rsidRPr="003726FE">
        <w:rPr>
          <w:b/>
        </w:rPr>
        <w:t>Feedback research in Clinical skills (Venepuncture and Catheterisation)</w:t>
      </w:r>
    </w:p>
    <w:p w14:paraId="3C5A29F3" w14:textId="77777777" w:rsidR="00910A25" w:rsidRPr="003726FE" w:rsidRDefault="00910A25" w:rsidP="00910A25"/>
    <w:p w14:paraId="6A083614" w14:textId="77777777" w:rsidR="00910A25" w:rsidRPr="003726FE" w:rsidRDefault="00910A25" w:rsidP="00910A25">
      <w:r w:rsidRPr="003726FE">
        <w:t>Dear Phase 2a students,</w:t>
      </w:r>
    </w:p>
    <w:p w14:paraId="580F7F32" w14:textId="77777777" w:rsidR="00910A25" w:rsidRPr="003726FE" w:rsidRDefault="00910A25" w:rsidP="00910A25"/>
    <w:p w14:paraId="658F8A83" w14:textId="6577DCF4" w:rsidR="00910A25" w:rsidRPr="003726FE" w:rsidRDefault="00910A25" w:rsidP="00910A25">
      <w:r w:rsidRPr="003726FE">
        <w:t>This is your reminder for the feedback study in medical education to be conducted over the next few weeks while you complete your venepuncture and catheterisation skills training (Fri 20</w:t>
      </w:r>
      <w:r w:rsidRPr="003726FE">
        <w:rPr>
          <w:vertAlign w:val="superscript"/>
        </w:rPr>
        <w:t>th</w:t>
      </w:r>
      <w:r w:rsidRPr="003726FE">
        <w:t xml:space="preserve"> Nov to the 10</w:t>
      </w:r>
      <w:r w:rsidRPr="003726FE">
        <w:rPr>
          <w:vertAlign w:val="superscript"/>
        </w:rPr>
        <w:t>th</w:t>
      </w:r>
      <w:r w:rsidRPr="003726FE">
        <w:t xml:space="preserve"> Dec). This is following on from the questionnaire you completed a few weeks ago on learning strategies. </w:t>
      </w:r>
    </w:p>
    <w:p w14:paraId="4EC1AC44" w14:textId="77777777" w:rsidR="00910A25" w:rsidRPr="003726FE" w:rsidRDefault="00910A25" w:rsidP="00910A25">
      <w:r w:rsidRPr="003726FE">
        <w:t xml:space="preserve">This involves your tutors giving you different types of feedback and making some observations which will be analysed by the research team confidentially. </w:t>
      </w:r>
    </w:p>
    <w:p w14:paraId="76FA7D06" w14:textId="77777777" w:rsidR="00910A25" w:rsidRPr="003726FE" w:rsidRDefault="00910A25" w:rsidP="00910A25">
      <w:r w:rsidRPr="003726FE">
        <w:t xml:space="preserve">This is an ideal opportunity to get great feedback while learning these important skills to take forward to your DOCSS and IACSS assessments. </w:t>
      </w:r>
    </w:p>
    <w:p w14:paraId="029B4499" w14:textId="77777777" w:rsidR="00910A25" w:rsidRPr="003726FE" w:rsidRDefault="00910A25" w:rsidP="00910A25">
      <w:pPr>
        <w:rPr>
          <w:b/>
        </w:rPr>
      </w:pPr>
      <w:r w:rsidRPr="003726FE">
        <w:rPr>
          <w:b/>
        </w:rPr>
        <w:t xml:space="preserve">If you haven’t already completed the pre-clinical skills learning questionnaire and you would like to, there will be some available on the day before the session.  </w:t>
      </w:r>
    </w:p>
    <w:p w14:paraId="19A346F9" w14:textId="77777777" w:rsidR="00910A25" w:rsidRPr="003726FE" w:rsidRDefault="00910A25" w:rsidP="00910A25">
      <w:pPr>
        <w:tabs>
          <w:tab w:val="left" w:pos="1455"/>
        </w:tabs>
      </w:pPr>
      <w:r w:rsidRPr="003726FE">
        <w:tab/>
      </w:r>
    </w:p>
    <w:p w14:paraId="27E68A70" w14:textId="77777777" w:rsidR="00910A25" w:rsidRPr="003726FE" w:rsidRDefault="00910A25" w:rsidP="00910A25">
      <w:r w:rsidRPr="003726FE">
        <w:t>If you have any questions/concerns at the moment please contact us using the following details:-</w:t>
      </w:r>
    </w:p>
    <w:p w14:paraId="5259BC35" w14:textId="77777777" w:rsidR="00910A25" w:rsidRPr="003726FE" w:rsidRDefault="00910A25" w:rsidP="00910A25">
      <w:r w:rsidRPr="003726FE">
        <w:t xml:space="preserve">Email: </w:t>
      </w:r>
      <w:hyperlink r:id="rId83" w:history="1">
        <w:r w:rsidRPr="003726FE">
          <w:rPr>
            <w:rStyle w:val="Hyperlink"/>
          </w:rPr>
          <w:t>bjbryan1@sheffield.ac.uk</w:t>
        </w:r>
      </w:hyperlink>
      <w:r w:rsidRPr="003726FE">
        <w:t xml:space="preserve"> - OR - Email: </w:t>
      </w:r>
      <w:hyperlink r:id="rId84" w:history="1">
        <w:r w:rsidRPr="003726FE">
          <w:rPr>
            <w:rStyle w:val="Hyperlink"/>
          </w:rPr>
          <w:t>d.murdoch-eaton@sheffield.ac.uk</w:t>
        </w:r>
      </w:hyperlink>
      <w:r w:rsidRPr="003726FE">
        <w:t xml:space="preserve"> </w:t>
      </w:r>
    </w:p>
    <w:p w14:paraId="57962F12" w14:textId="77777777" w:rsidR="00910A25" w:rsidRPr="003726FE" w:rsidRDefault="00910A25" w:rsidP="00910A25">
      <w:r w:rsidRPr="003726FE">
        <w:t>Mr. Billy Bryan</w:t>
      </w:r>
    </w:p>
    <w:p w14:paraId="2A6789E4" w14:textId="77777777" w:rsidR="001E3D2A" w:rsidRPr="003726FE" w:rsidRDefault="001E3D2A">
      <w:r w:rsidRPr="003726FE">
        <w:br w:type="page"/>
      </w:r>
    </w:p>
    <w:p w14:paraId="6EC2B0D0" w14:textId="5E865D99" w:rsidR="001E3D2A" w:rsidRPr="003726FE" w:rsidRDefault="0009690A" w:rsidP="0009690A">
      <w:pPr>
        <w:tabs>
          <w:tab w:val="center" w:pos="2625"/>
          <w:tab w:val="right" w:pos="9029"/>
        </w:tabs>
        <w:spacing w:after="151"/>
      </w:pPr>
      <w:r w:rsidRPr="003726FE">
        <w:rPr>
          <w:rFonts w:ascii="Arial" w:hAnsi="Arial"/>
          <w:b/>
          <w:noProof/>
          <w:color w:val="222222"/>
          <w:szCs w:val="19"/>
          <w:lang w:eastAsia="en-GB"/>
        </w:rPr>
        <w:lastRenderedPageBreak/>
        <mc:AlternateContent>
          <mc:Choice Requires="wps">
            <w:drawing>
              <wp:anchor distT="0" distB="0" distL="114300" distR="114300" simplePos="0" relativeHeight="251936768" behindDoc="0" locked="0" layoutInCell="1" allowOverlap="1" wp14:anchorId="226E9B93" wp14:editId="72AE7B6E">
                <wp:simplePos x="0" y="0"/>
                <wp:positionH relativeFrom="column">
                  <wp:posOffset>4033993</wp:posOffset>
                </wp:positionH>
                <wp:positionV relativeFrom="paragraph">
                  <wp:posOffset>231775</wp:posOffset>
                </wp:positionV>
                <wp:extent cx="1446530" cy="746125"/>
                <wp:effectExtent l="0" t="0" r="0" b="0"/>
                <wp:wrapTight wrapText="bothSides">
                  <wp:wrapPolygon edited="0">
                    <wp:start x="569" y="0"/>
                    <wp:lineTo x="569" y="20957"/>
                    <wp:lineTo x="20766" y="20957"/>
                    <wp:lineTo x="20766" y="0"/>
                    <wp:lineTo x="569" y="0"/>
                  </wp:wrapPolygon>
                </wp:wrapTight>
                <wp:docPr id="2060" name="Text Box 2060"/>
                <wp:cNvGraphicFramePr/>
                <a:graphic xmlns:a="http://schemas.openxmlformats.org/drawingml/2006/main">
                  <a:graphicData uri="http://schemas.microsoft.com/office/word/2010/wordprocessingShape">
                    <wps:wsp>
                      <wps:cNvSpPr txBox="1"/>
                      <wps:spPr>
                        <a:xfrm>
                          <a:off x="0" y="0"/>
                          <a:ext cx="1446530" cy="746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07852" w14:textId="77777777" w:rsidR="00C8402C" w:rsidRDefault="00C8402C" w:rsidP="0009690A">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5204AAD9" w14:textId="77777777" w:rsidR="00C8402C" w:rsidRPr="00581124" w:rsidRDefault="00C8402C" w:rsidP="0009690A">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181B1520" w14:textId="77777777" w:rsidR="00C8402C" w:rsidRDefault="00C8402C" w:rsidP="00096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9B93" id="Text Box 2060" o:spid="_x0000_s1416" type="#_x0000_t202" style="position:absolute;margin-left:317.65pt;margin-top:18.25pt;width:113.9pt;height:58.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" filled="f" stroked="f">
                <v:textbox>
                  <w:txbxContent>
                    <w:p w14:paraId="09B07852" w14:textId="77777777" w:rsidR="00C8402C" w:rsidRDefault="00C8402C" w:rsidP="0009690A">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5204AAD9" w14:textId="77777777" w:rsidR="00C8402C" w:rsidRPr="00581124" w:rsidRDefault="00C8402C" w:rsidP="0009690A">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181B1520" w14:textId="77777777" w:rsidR="00C8402C" w:rsidRDefault="00C8402C" w:rsidP="0009690A"/>
                  </w:txbxContent>
                </v:textbox>
                <w10:wrap type="tight"/>
              </v:shape>
            </w:pict>
          </mc:Fallback>
        </mc:AlternateContent>
      </w:r>
      <w:r w:rsidR="001E3D2A" w:rsidRPr="003726FE">
        <w:rPr>
          <w:rFonts w:ascii="Calibri" w:eastAsia="Calibri" w:hAnsi="Calibri" w:cs="Calibri"/>
          <w:sz w:val="22"/>
        </w:rPr>
        <w:tab/>
      </w:r>
      <w:r w:rsidR="001E3D2A" w:rsidRPr="003726FE">
        <w:rPr>
          <w:rFonts w:ascii="TUOS Stephenson" w:eastAsia="TUOS Stephenson" w:hAnsi="TUOS Stephenson" w:cs="TUOS Stephenson"/>
          <w:color w:val="808080"/>
          <w:sz w:val="22"/>
        </w:rPr>
        <w:tab/>
      </w:r>
      <w:r w:rsidRPr="003726FE">
        <w:rPr>
          <w:rFonts w:ascii="Calibri" w:eastAsia="Calibri" w:hAnsi="Calibri" w:cs="Calibri"/>
          <w:sz w:val="22"/>
        </w:rPr>
        <w:t>30/09/16</w:t>
      </w:r>
    </w:p>
    <w:p w14:paraId="00222879" w14:textId="77777777" w:rsidR="0009690A" w:rsidRPr="003726FE" w:rsidRDefault="0009690A" w:rsidP="0009690A">
      <w:pPr>
        <w:framePr w:wrap="around" w:vAnchor="text" w:hAnchor="margin" w:y="1019"/>
        <w:spacing w:after="141"/>
        <w:ind w:right="-37"/>
        <w:suppressOverlap/>
      </w:pPr>
    </w:p>
    <w:p w14:paraId="79ACF053" w14:textId="77777777" w:rsidR="0009690A" w:rsidRPr="003726FE" w:rsidRDefault="0009690A" w:rsidP="0009690A">
      <w:pPr>
        <w:ind w:right="-37"/>
        <w:rPr>
          <w:rFonts w:ascii="TUOS Blake" w:eastAsia="TUOS Blake" w:hAnsi="TUOS Blake" w:cs="TUOS Blake"/>
          <w:b/>
          <w:color w:val="222222"/>
          <w:sz w:val="22"/>
        </w:rPr>
      </w:pPr>
      <w:r w:rsidRPr="003726FE">
        <w:rPr>
          <w:rFonts w:ascii="TUOS Blake" w:eastAsia="TUOS Blake" w:hAnsi="TUOS Blake" w:cs="TUOS Blake"/>
          <w:b/>
          <w:color w:val="222222"/>
          <w:sz w:val="22"/>
        </w:rPr>
        <w:t xml:space="preserve">Self-regulated learning study: Information sheet </w:t>
      </w:r>
    </w:p>
    <w:p w14:paraId="727440D3" w14:textId="77777777" w:rsidR="0009690A" w:rsidRPr="003726FE" w:rsidRDefault="0009690A" w:rsidP="0009690A">
      <w:pPr>
        <w:ind w:right="-37"/>
        <w:rPr>
          <w:rFonts w:ascii="TUOS Blake" w:eastAsia="TUOS Blake" w:hAnsi="TUOS Blake" w:cs="TUOS Blake"/>
          <w:b/>
          <w:color w:val="222222"/>
          <w:sz w:val="22"/>
        </w:rPr>
      </w:pPr>
    </w:p>
    <w:p w14:paraId="4AA62BB7" w14:textId="77777777" w:rsidR="0009690A" w:rsidRPr="003726FE" w:rsidRDefault="0009690A" w:rsidP="0009690A">
      <w:pPr>
        <w:ind w:right="-37"/>
      </w:pPr>
    </w:p>
    <w:p w14:paraId="3E06153F" w14:textId="7A8C9603" w:rsidR="001E3D2A" w:rsidRPr="003726FE" w:rsidRDefault="001E3D2A" w:rsidP="0009690A">
      <w:pPr>
        <w:ind w:right="-37"/>
      </w:pPr>
      <w:r w:rsidRPr="003726FE">
        <w:t xml:space="preserve">You are invited to take part in a study to explore self-regulated learning (SRL) strategies in medical undergraduate students. This project is part of a larger doctoral research project which has explored how SRL strategies change over time and in response to different feedback. </w:t>
      </w:r>
    </w:p>
    <w:p w14:paraId="0A69EB21" w14:textId="6478A55D" w:rsidR="001E3D2A" w:rsidRPr="003726FE" w:rsidRDefault="001E3D2A">
      <w:pPr>
        <w:spacing w:after="267"/>
      </w:pPr>
      <w:r w:rsidRPr="003726FE">
        <w:rPr>
          <w:rFonts w:ascii="TUOS Blake" w:eastAsia="TUOS Blake" w:hAnsi="TUOS Blake" w:cs="TUOS Blake"/>
          <w:b/>
        </w:rPr>
        <w:t xml:space="preserve"> </w:t>
      </w:r>
    </w:p>
    <w:p w14:paraId="1C6E1147" w14:textId="6479C9CE" w:rsidR="001E3D2A" w:rsidRPr="003726FE" w:rsidRDefault="001E3D2A">
      <w:pPr>
        <w:spacing w:after="271"/>
        <w:ind w:left="-5"/>
      </w:pPr>
      <w:r w:rsidRPr="003726FE">
        <w:rPr>
          <w:rFonts w:ascii="TUOS Blake" w:eastAsia="TUOS Blake" w:hAnsi="TUOS Blake" w:cs="TUOS Blake"/>
          <w:b/>
        </w:rPr>
        <w:t xml:space="preserve">Aim of this study: </w:t>
      </w:r>
    </w:p>
    <w:p w14:paraId="3253A49D" w14:textId="71806671" w:rsidR="001E3D2A" w:rsidRPr="003726FE" w:rsidRDefault="001E3D2A" w:rsidP="0009690A">
      <w:pPr>
        <w:ind w:left="-5"/>
      </w:pPr>
      <w:r w:rsidRPr="003726FE">
        <w:t xml:space="preserve">For this study, we aim to measure the SRL capacity of medical undergraduate </w:t>
      </w:r>
      <w:r w:rsidR="00C61BAF" w:rsidRPr="003726FE">
        <w:t>students to</w:t>
      </w:r>
      <w:r w:rsidRPr="003726FE">
        <w:t xml:space="preserve"> understand how early years students self-direct their learning. We also wish to further develop the short self-regulation questionnaire (SSRQ) which is a tool that assesses SRL. </w:t>
      </w:r>
    </w:p>
    <w:p w14:paraId="4DDEDC99" w14:textId="77777777" w:rsidR="001E3D2A" w:rsidRPr="003726FE" w:rsidRDefault="001E3D2A">
      <w:pPr>
        <w:spacing w:after="271"/>
        <w:ind w:left="-5"/>
      </w:pPr>
      <w:r w:rsidRPr="003726FE">
        <w:rPr>
          <w:rFonts w:ascii="TUOS Blake" w:eastAsia="TUOS Blake" w:hAnsi="TUOS Blake" w:cs="TUOS Blake"/>
          <w:b/>
        </w:rPr>
        <w:t xml:space="preserve">Your role: </w:t>
      </w:r>
    </w:p>
    <w:p w14:paraId="79C1B0F2" w14:textId="067AB1F0" w:rsidR="001E3D2A" w:rsidRPr="003726FE" w:rsidRDefault="001E3D2A">
      <w:pPr>
        <w:spacing w:after="0"/>
        <w:ind w:left="-5"/>
      </w:pPr>
      <w:r w:rsidRPr="003726FE">
        <w:t xml:space="preserve"> to investigate this, we would like you to complete the questionnaires attached to this sheet that measure learning strategies. You will also complete the demographic questions that are attached. </w:t>
      </w:r>
    </w:p>
    <w:p w14:paraId="32E1825B" w14:textId="393134D0" w:rsidR="001E3D2A" w:rsidRPr="003726FE" w:rsidRDefault="001E3D2A" w:rsidP="0009690A">
      <w:pPr>
        <w:spacing w:after="260"/>
        <w:ind w:left="-5"/>
      </w:pPr>
      <w:r w:rsidRPr="003726FE">
        <w:t xml:space="preserve">To assess SRL in relation with other factors, we will access results from your end of phase exams.  </w:t>
      </w:r>
    </w:p>
    <w:p w14:paraId="1052A5E4" w14:textId="77777777" w:rsidR="001E3D2A" w:rsidRPr="003726FE" w:rsidRDefault="001E3D2A">
      <w:pPr>
        <w:spacing w:after="271"/>
        <w:ind w:left="-5"/>
      </w:pPr>
      <w:r w:rsidRPr="003726FE">
        <w:rPr>
          <w:rFonts w:ascii="TUOS Blake" w:eastAsia="TUOS Blake" w:hAnsi="TUOS Blake" w:cs="TUOS Blake"/>
          <w:b/>
        </w:rPr>
        <w:t xml:space="preserve">How the data will be used: </w:t>
      </w:r>
    </w:p>
    <w:p w14:paraId="4DB2E495" w14:textId="77777777" w:rsidR="001E3D2A" w:rsidRPr="003726FE" w:rsidRDefault="001E3D2A">
      <w:pPr>
        <w:ind w:left="-5"/>
      </w:pPr>
      <w:r w:rsidRPr="003726FE">
        <w:t xml:space="preserve">Any data we collect from you will be anonymised in reports and used only for research purposes. The data would then be immediately destroyed, if analysis and anonymization has already taken place then this will not be possible, but all original records will be destroyed. This research will form a doctoral thesis and may be published in peer reviewed journals. </w:t>
      </w:r>
    </w:p>
    <w:p w14:paraId="62F81047" w14:textId="77777777" w:rsidR="001E3D2A" w:rsidRPr="003726FE" w:rsidRDefault="001E3D2A">
      <w:pPr>
        <w:spacing w:after="265"/>
      </w:pPr>
      <w:r w:rsidRPr="003726FE">
        <w:t xml:space="preserve"> </w:t>
      </w:r>
    </w:p>
    <w:p w14:paraId="61956010" w14:textId="77777777" w:rsidR="001E3D2A" w:rsidRPr="003726FE" w:rsidRDefault="001E3D2A">
      <w:pPr>
        <w:spacing w:after="171" w:line="359" w:lineRule="auto"/>
        <w:jc w:val="center"/>
      </w:pPr>
      <w:r w:rsidRPr="003726FE">
        <w:t xml:space="preserve">If you agree to this data being collected, please complete the questionnaire attached this sheet and </w:t>
      </w:r>
      <w:r w:rsidRPr="003726FE">
        <w:rPr>
          <w:rFonts w:ascii="TUOS Blake" w:eastAsia="TUOS Blake" w:hAnsi="TUOS Blake" w:cs="TUOS Blake"/>
          <w:b/>
        </w:rPr>
        <w:t>sign using your student registration number</w:t>
      </w:r>
      <w:r w:rsidRPr="003726FE">
        <w:t xml:space="preserve"> on the final page of the questionnaire.  </w:t>
      </w:r>
    </w:p>
    <w:p w14:paraId="3A9331B6" w14:textId="77777777" w:rsidR="001E3D2A" w:rsidRPr="003726FE" w:rsidRDefault="001E3D2A">
      <w:pPr>
        <w:spacing w:after="295" w:line="359" w:lineRule="auto"/>
        <w:ind w:right="3"/>
        <w:jc w:val="center"/>
      </w:pPr>
      <w:r w:rsidRPr="003726FE">
        <w:t>Thank you for reading this information sheet. Please keep this for your records</w:t>
      </w:r>
      <w:r w:rsidRPr="003726FE">
        <w:rPr>
          <w:sz w:val="18"/>
        </w:rPr>
        <w:t>.</w:t>
      </w:r>
      <w:r w:rsidRPr="003726FE">
        <w:rPr>
          <w:rFonts w:ascii="Calibri" w:eastAsia="Calibri" w:hAnsi="Calibri" w:cs="Calibri"/>
          <w:color w:val="0563C1"/>
          <w:sz w:val="18"/>
        </w:rPr>
        <w:t xml:space="preserve"> </w:t>
      </w:r>
    </w:p>
    <w:p w14:paraId="3BE6DC2C" w14:textId="77777777" w:rsidR="001E3D2A" w:rsidRPr="003726FE" w:rsidRDefault="001E3D2A">
      <w:pPr>
        <w:spacing w:after="173"/>
        <w:ind w:left="96"/>
      </w:pPr>
      <w:r w:rsidRPr="003726FE">
        <w:rPr>
          <w:sz w:val="16"/>
        </w:rPr>
        <w:t xml:space="preserve">If you have any questions or complaints about this research project please contact: </w:t>
      </w:r>
    </w:p>
    <w:p w14:paraId="229961A6" w14:textId="77777777" w:rsidR="001E3D2A" w:rsidRPr="003726FE" w:rsidRDefault="001E3D2A">
      <w:pPr>
        <w:spacing w:after="0"/>
        <w:ind w:left="96"/>
      </w:pPr>
      <w:r w:rsidRPr="003726FE">
        <w:rPr>
          <w:sz w:val="16"/>
        </w:rPr>
        <w:t xml:space="preserve">Mr. Billy Bryan – </w:t>
      </w:r>
      <w:r w:rsidRPr="003726FE">
        <w:rPr>
          <w:color w:val="0563C1"/>
          <w:sz w:val="16"/>
          <w:u w:val="single" w:color="0563C1"/>
        </w:rPr>
        <w:t>bjbryan1@sheffield.ac.uk</w:t>
      </w:r>
      <w:r w:rsidRPr="003726FE">
        <w:rPr>
          <w:sz w:val="16"/>
        </w:rPr>
        <w:t xml:space="preserve">  </w:t>
      </w:r>
      <w:r w:rsidRPr="003726FE">
        <w:rPr>
          <w:rFonts w:ascii="TUOS Blake" w:eastAsia="TUOS Blake" w:hAnsi="TUOS Blake" w:cs="TUOS Blake"/>
          <w:b/>
          <w:sz w:val="16"/>
        </w:rPr>
        <w:t>or</w:t>
      </w:r>
      <w:r w:rsidRPr="003726FE">
        <w:rPr>
          <w:sz w:val="16"/>
        </w:rPr>
        <w:t xml:space="preserve"> Prof. Deborah Murdoch-Eaton - </w:t>
      </w:r>
      <w:r w:rsidRPr="003726FE">
        <w:rPr>
          <w:color w:val="0563C1"/>
          <w:sz w:val="16"/>
          <w:u w:val="single" w:color="0563C1"/>
        </w:rPr>
        <w:t>d.murdoch-eaton@sheffield.ac.uk</w:t>
      </w:r>
      <w:r w:rsidRPr="003726FE">
        <w:rPr>
          <w:rFonts w:ascii="Calibri" w:eastAsia="Calibri" w:hAnsi="Calibri" w:cs="Calibri"/>
        </w:rPr>
        <w:t xml:space="preserve"> </w:t>
      </w:r>
    </w:p>
    <w:p w14:paraId="7143D2BA" w14:textId="77777777" w:rsidR="001E3D2A" w:rsidRPr="003726FE" w:rsidRDefault="001E3D2A">
      <w:pPr>
        <w:sectPr w:rsidR="001E3D2A" w:rsidRPr="003726FE" w:rsidSect="007C73DC">
          <w:pgSz w:w="11906" w:h="16838"/>
          <w:pgMar w:top="1134" w:right="1134" w:bottom="1134" w:left="2268" w:header="708" w:footer="708" w:gutter="0"/>
          <w:cols w:space="708"/>
          <w:docGrid w:linePitch="360"/>
        </w:sectPr>
      </w:pPr>
    </w:p>
    <w:p w14:paraId="4B081993" w14:textId="574426A8" w:rsidR="001E3D2A" w:rsidRPr="003726FE" w:rsidRDefault="001E3D2A" w:rsidP="00835C2A">
      <w:pPr>
        <w:spacing w:after="0"/>
        <w:ind w:right="10464"/>
      </w:pPr>
      <w:r w:rsidRPr="003726FE">
        <w:rPr>
          <w:noProof/>
          <w:lang w:eastAsia="en-GB"/>
        </w:rPr>
        <w:lastRenderedPageBreak/>
        <w:drawing>
          <wp:anchor distT="0" distB="0" distL="114300" distR="114300" simplePos="0" relativeHeight="251934720" behindDoc="0" locked="0" layoutInCell="1" allowOverlap="0" wp14:anchorId="1D8595D1" wp14:editId="5C2759A8">
            <wp:simplePos x="0" y="0"/>
            <wp:positionH relativeFrom="page">
              <wp:posOffset>1456660</wp:posOffset>
            </wp:positionH>
            <wp:positionV relativeFrom="page">
              <wp:posOffset>903767</wp:posOffset>
            </wp:positionV>
            <wp:extent cx="5358810" cy="7985052"/>
            <wp:effectExtent l="19050" t="19050" r="13335" b="16510"/>
            <wp:wrapTopAndBottom/>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85"/>
                    <a:stretch>
                      <a:fillRect/>
                    </a:stretch>
                  </pic:blipFill>
                  <pic:spPr>
                    <a:xfrm>
                      <a:off x="0" y="0"/>
                      <a:ext cx="5364896" cy="79941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726FE">
        <w:br w:type="page"/>
      </w:r>
    </w:p>
    <w:p w14:paraId="23BA9374" w14:textId="52EA6899" w:rsidR="00910A25" w:rsidRPr="003726FE" w:rsidRDefault="00910A25" w:rsidP="00910A25">
      <w:pPr>
        <w:rPr>
          <w:b/>
        </w:rPr>
      </w:pPr>
      <w:r w:rsidRPr="003726FE">
        <w:rPr>
          <w:b/>
        </w:rPr>
        <w:lastRenderedPageBreak/>
        <w:t>Minerva announcement 28/01/16</w:t>
      </w:r>
    </w:p>
    <w:p w14:paraId="6D640D08" w14:textId="77777777" w:rsidR="00910A25" w:rsidRPr="003726FE" w:rsidRDefault="00910A25" w:rsidP="00910A25">
      <w:pPr>
        <w:rPr>
          <w:b/>
        </w:rPr>
      </w:pPr>
    </w:p>
    <w:p w14:paraId="0C1194D0" w14:textId="77777777" w:rsidR="00910A25" w:rsidRPr="003726FE" w:rsidRDefault="00910A25" w:rsidP="00910A25">
      <w:pPr>
        <w:rPr>
          <w:b/>
        </w:rPr>
      </w:pPr>
      <w:r w:rsidRPr="003726FE">
        <w:rPr>
          <w:b/>
        </w:rPr>
        <w:t>Medical Education Research – 2</w:t>
      </w:r>
      <w:r w:rsidRPr="003726FE">
        <w:rPr>
          <w:b/>
          <w:vertAlign w:val="superscript"/>
        </w:rPr>
        <w:t>nd</w:t>
      </w:r>
      <w:r w:rsidRPr="003726FE">
        <w:rPr>
          <w:b/>
        </w:rPr>
        <w:t xml:space="preserve"> feedback questionnaire</w:t>
      </w:r>
    </w:p>
    <w:p w14:paraId="1986A6CA" w14:textId="77777777" w:rsidR="00910A25" w:rsidRPr="003726FE" w:rsidRDefault="00910A25" w:rsidP="00910A25">
      <w:pPr>
        <w:rPr>
          <w:b/>
        </w:rPr>
      </w:pPr>
    </w:p>
    <w:p w14:paraId="5DB941D6" w14:textId="77777777" w:rsidR="00910A25" w:rsidRPr="003726FE" w:rsidRDefault="00910A25" w:rsidP="00910A25">
      <w:r w:rsidRPr="003726FE">
        <w:t>Dear Phase 2A Students,</w:t>
      </w:r>
    </w:p>
    <w:p w14:paraId="271FA043" w14:textId="77777777" w:rsidR="00910A25" w:rsidRPr="003726FE" w:rsidRDefault="00910A25" w:rsidP="00910A25">
      <w:pPr>
        <w:rPr>
          <w:rStyle w:val="Strong"/>
          <w:rFonts w:cs="Arial"/>
          <w:color w:val="000000"/>
          <w:szCs w:val="21"/>
          <w:shd w:val="clear" w:color="auto" w:fill="FFFFFF"/>
        </w:rPr>
      </w:pPr>
      <w:r w:rsidRPr="003726FE">
        <w:rPr>
          <w:rStyle w:val="Strong"/>
          <w:rFonts w:cs="Arial"/>
          <w:color w:val="000000"/>
          <w:szCs w:val="21"/>
          <w:shd w:val="clear" w:color="auto" w:fill="FFFFFF"/>
        </w:rPr>
        <w:t>Look out for the second learning strategies questionnaire in lectures/seminars in the next few weeks, fill it in and hand it back to your session tutor who will return it to me confidentially.</w:t>
      </w:r>
    </w:p>
    <w:p w14:paraId="0353E4F0" w14:textId="77777777" w:rsidR="00910A25" w:rsidRPr="003726FE" w:rsidRDefault="00910A25" w:rsidP="00910A25">
      <w:r w:rsidRPr="003726FE">
        <w:t xml:space="preserve">You may remember filling in a questionnaire about learning strategies for the feedback research project last year. </w:t>
      </w:r>
    </w:p>
    <w:p w14:paraId="44828050" w14:textId="77777777" w:rsidR="00910A25" w:rsidRPr="003726FE" w:rsidRDefault="00910A25" w:rsidP="00910A25">
      <w:pPr>
        <w:pStyle w:val="NormalWeb"/>
        <w:rPr>
          <w:rFonts w:asciiTheme="minorHAnsi" w:eastAsiaTheme="minorHAnsi" w:hAnsiTheme="minorHAnsi" w:cstheme="minorBidi"/>
          <w:szCs w:val="22"/>
          <w:lang w:eastAsia="en-US"/>
        </w:rPr>
      </w:pPr>
      <w:r w:rsidRPr="003726FE">
        <w:rPr>
          <w:rFonts w:asciiTheme="minorHAnsi" w:eastAsiaTheme="minorHAnsi" w:hAnsiTheme="minorHAnsi" w:cstheme="minorBidi"/>
          <w:szCs w:val="22"/>
          <w:lang w:eastAsia="en-US"/>
        </w:rPr>
        <w:t>This questionnaire will be circulated around again, for those who have already completed it, in taught sessions to collect follow-up results now you have completed venepuncture and catheterisation clinical skills.</w:t>
      </w:r>
    </w:p>
    <w:p w14:paraId="5D814E96" w14:textId="77777777" w:rsidR="00910A25" w:rsidRPr="003726FE" w:rsidRDefault="00910A25" w:rsidP="00910A25">
      <w:pPr>
        <w:pStyle w:val="NormalWeb"/>
        <w:rPr>
          <w:rFonts w:asciiTheme="minorHAnsi" w:hAnsiTheme="minorHAnsi"/>
          <w:b/>
          <w:i/>
          <w:color w:val="222222"/>
          <w:szCs w:val="21"/>
        </w:rPr>
      </w:pPr>
      <w:r w:rsidRPr="003726FE">
        <w:rPr>
          <w:rStyle w:val="Strong"/>
          <w:rFonts w:asciiTheme="minorHAnsi" w:hAnsiTheme="minorHAnsi"/>
          <w:i/>
          <w:color w:val="222222"/>
          <w:szCs w:val="21"/>
        </w:rPr>
        <w:t>These will also be available from C-floor reception. You can collect one from Helen, fill it in, and hand it back to her.</w:t>
      </w:r>
    </w:p>
    <w:p w14:paraId="44B0B2F3" w14:textId="77777777" w:rsidR="00910A25" w:rsidRPr="003726FE" w:rsidRDefault="00910A25" w:rsidP="00910A25">
      <w:r w:rsidRPr="003726FE">
        <w:t>If you have any questions/concerns at the moment please contact us using the following details.</w:t>
      </w:r>
    </w:p>
    <w:p w14:paraId="19E71C9C" w14:textId="77777777" w:rsidR="00164F07" w:rsidRPr="003726FE" w:rsidRDefault="00164F07" w:rsidP="00910A25"/>
    <w:p w14:paraId="524141F2" w14:textId="085FE617" w:rsidR="00164F07" w:rsidRPr="003726FE" w:rsidRDefault="00164F07" w:rsidP="00910A25">
      <w:r w:rsidRPr="003726FE">
        <w:t xml:space="preserve">Email: </w:t>
      </w:r>
      <w:hyperlink r:id="rId86" w:history="1">
        <w:r w:rsidRPr="003726FE">
          <w:rPr>
            <w:rStyle w:val="Hyperlink"/>
          </w:rPr>
          <w:t>bjbryan1@sheffield.ac.uk</w:t>
        </w:r>
      </w:hyperlink>
      <w:r w:rsidRPr="003726FE">
        <w:t xml:space="preserve"> - OR - Email: </w:t>
      </w:r>
      <w:hyperlink r:id="rId87" w:history="1">
        <w:r w:rsidRPr="003726FE">
          <w:rPr>
            <w:rStyle w:val="Hyperlink"/>
          </w:rPr>
          <w:t>d.murdoch-eaton@sheffield.ac.uk</w:t>
        </w:r>
      </w:hyperlink>
    </w:p>
    <w:p w14:paraId="3432EB00" w14:textId="519345BC" w:rsidR="00910A25" w:rsidRPr="003726FE" w:rsidRDefault="00164F07" w:rsidP="00835C2A">
      <w:r w:rsidRPr="003726FE">
        <w:rPr>
          <w:noProof/>
          <w:lang w:eastAsia="en-GB"/>
        </w:rPr>
        <w:lastRenderedPageBreak/>
        <w:drawing>
          <wp:anchor distT="0" distB="0" distL="114300" distR="114300" simplePos="0" relativeHeight="251938816" behindDoc="0" locked="0" layoutInCell="1" allowOverlap="0" wp14:anchorId="2E1696D2" wp14:editId="5F205778">
            <wp:simplePos x="0" y="0"/>
            <wp:positionH relativeFrom="page">
              <wp:posOffset>1424763</wp:posOffset>
            </wp:positionH>
            <wp:positionV relativeFrom="page">
              <wp:posOffset>637953</wp:posOffset>
            </wp:positionV>
            <wp:extent cx="5411139" cy="7814931"/>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8"/>
                    <a:stretch>
                      <a:fillRect/>
                    </a:stretch>
                  </pic:blipFill>
                  <pic:spPr>
                    <a:xfrm>
                      <a:off x="0" y="0"/>
                      <a:ext cx="5441466" cy="7858730"/>
                    </a:xfrm>
                    <a:prstGeom prst="rect">
                      <a:avLst/>
                    </a:prstGeom>
                  </pic:spPr>
                </pic:pic>
              </a:graphicData>
            </a:graphic>
            <wp14:sizeRelH relativeFrom="margin">
              <wp14:pctWidth>0</wp14:pctWidth>
            </wp14:sizeRelH>
            <wp14:sizeRelV relativeFrom="margin">
              <wp14:pctHeight>0</wp14:pctHeight>
            </wp14:sizeRelV>
          </wp:anchor>
        </w:drawing>
      </w:r>
      <w:r w:rsidRPr="003726FE">
        <w:t xml:space="preserve"> </w:t>
      </w:r>
    </w:p>
    <w:p w14:paraId="0750ED2A" w14:textId="77777777" w:rsidR="00164F07" w:rsidRPr="003726FE" w:rsidRDefault="00164F07">
      <w:pPr>
        <w:rPr>
          <w:b/>
        </w:rPr>
      </w:pPr>
      <w:r w:rsidRPr="003726FE">
        <w:rPr>
          <w:b/>
        </w:rPr>
        <w:br w:type="page"/>
      </w:r>
    </w:p>
    <w:p w14:paraId="73A448BB" w14:textId="76C89033" w:rsidR="003C539E" w:rsidRPr="003726FE" w:rsidRDefault="003C539E" w:rsidP="003C539E">
      <w:pPr>
        <w:rPr>
          <w:rFonts w:eastAsia="Lucida Sans Unicode" w:cs="Mangal"/>
          <w:kern w:val="1"/>
          <w:szCs w:val="24"/>
          <w:lang w:eastAsia="hi-IN" w:bidi="hi-IN"/>
        </w:rPr>
      </w:pPr>
      <w:r w:rsidRPr="003726FE">
        <w:rPr>
          <w:b/>
        </w:rPr>
        <w:lastRenderedPageBreak/>
        <w:t>Emails to students 14/11/16</w:t>
      </w:r>
    </w:p>
    <w:p w14:paraId="00871770" w14:textId="77777777" w:rsidR="003C539E" w:rsidRPr="003726FE" w:rsidRDefault="003C539E" w:rsidP="003C539E">
      <w:pPr>
        <w:rPr>
          <w:b/>
        </w:rPr>
      </w:pPr>
    </w:p>
    <w:p w14:paraId="599ACD92" w14:textId="7646C044" w:rsidR="003C539E" w:rsidRPr="003726FE" w:rsidRDefault="003C539E" w:rsidP="003C539E">
      <w:pPr>
        <w:rPr>
          <w:b/>
        </w:rPr>
      </w:pPr>
      <w:r w:rsidRPr="003726FE">
        <w:rPr>
          <w:b/>
        </w:rPr>
        <w:t>Medical Education Research – 3</w:t>
      </w:r>
      <w:r w:rsidRPr="003726FE">
        <w:rPr>
          <w:b/>
          <w:vertAlign w:val="superscript"/>
        </w:rPr>
        <w:t>rd</w:t>
      </w:r>
      <w:r w:rsidRPr="003726FE">
        <w:rPr>
          <w:b/>
        </w:rPr>
        <w:t xml:space="preserve"> feedback questionnaire</w:t>
      </w:r>
    </w:p>
    <w:p w14:paraId="22CD487D" w14:textId="77777777" w:rsidR="003C539E" w:rsidRPr="003726FE" w:rsidRDefault="003C539E" w:rsidP="003C539E">
      <w:pPr>
        <w:rPr>
          <w:b/>
        </w:rPr>
      </w:pPr>
    </w:p>
    <w:p w14:paraId="3862984F" w14:textId="73EB8383" w:rsidR="003C539E" w:rsidRPr="003726FE" w:rsidRDefault="003C539E" w:rsidP="003C539E">
      <w:r w:rsidRPr="003726FE">
        <w:t>Dear Phase 2B Students,</w:t>
      </w:r>
    </w:p>
    <w:p w14:paraId="3979F1AE" w14:textId="639F1AC0" w:rsidR="003C539E" w:rsidRPr="003726FE" w:rsidRDefault="003C539E" w:rsidP="003C539E">
      <w:pPr>
        <w:rPr>
          <w:rStyle w:val="Strong"/>
          <w:rFonts w:cs="Arial"/>
          <w:color w:val="000000"/>
          <w:szCs w:val="21"/>
          <w:shd w:val="clear" w:color="auto" w:fill="FFFFFF"/>
        </w:rPr>
      </w:pPr>
      <w:r w:rsidRPr="003726FE">
        <w:rPr>
          <w:rStyle w:val="Strong"/>
          <w:rFonts w:cs="Arial"/>
          <w:color w:val="000000"/>
          <w:szCs w:val="21"/>
          <w:shd w:val="clear" w:color="auto" w:fill="FFFFFF"/>
        </w:rPr>
        <w:t>Look out for the third learning strategies questionnaire in lectures/seminars in the next few weeks, fill it in and hand it back to your session tutor who will return it to me confidentially.</w:t>
      </w:r>
    </w:p>
    <w:p w14:paraId="16397808" w14:textId="345DF60E" w:rsidR="003C539E" w:rsidRPr="003726FE" w:rsidRDefault="003C539E" w:rsidP="003C539E">
      <w:r w:rsidRPr="003726FE">
        <w:t xml:space="preserve">You may remember filling in a questionnaire about learning strategies for the feedback research project this year. </w:t>
      </w:r>
    </w:p>
    <w:p w14:paraId="6756CF08" w14:textId="77777777" w:rsidR="003C539E" w:rsidRPr="003726FE" w:rsidRDefault="003C539E" w:rsidP="003C539E">
      <w:pPr>
        <w:pStyle w:val="NormalWeb"/>
        <w:rPr>
          <w:rFonts w:asciiTheme="minorHAnsi" w:hAnsiTheme="minorHAnsi"/>
          <w:b/>
          <w:i/>
          <w:color w:val="222222"/>
          <w:szCs w:val="21"/>
        </w:rPr>
      </w:pPr>
      <w:r w:rsidRPr="003726FE">
        <w:rPr>
          <w:rStyle w:val="Strong"/>
          <w:rFonts w:asciiTheme="minorHAnsi" w:hAnsiTheme="minorHAnsi"/>
          <w:i/>
          <w:color w:val="222222"/>
          <w:szCs w:val="21"/>
        </w:rPr>
        <w:t>These will also be available from C-floor reception. You can collect one from Helen, fill it in, and hand it back to her.</w:t>
      </w:r>
    </w:p>
    <w:p w14:paraId="08515062" w14:textId="77777777" w:rsidR="003C539E" w:rsidRPr="003726FE" w:rsidRDefault="003C539E" w:rsidP="003C539E">
      <w:r w:rsidRPr="003726FE">
        <w:t>If you have any questions/concerns at the moment please contact us using the following details.</w:t>
      </w:r>
    </w:p>
    <w:p w14:paraId="32857759" w14:textId="77777777" w:rsidR="003C539E" w:rsidRPr="003726FE" w:rsidRDefault="003C539E" w:rsidP="003C539E">
      <w:r w:rsidRPr="003726FE">
        <w:t xml:space="preserve">Email: </w:t>
      </w:r>
      <w:hyperlink r:id="rId89" w:history="1">
        <w:r w:rsidRPr="003726FE">
          <w:rPr>
            <w:rStyle w:val="Hyperlink"/>
          </w:rPr>
          <w:t>bjbryan1@sheffield.ac.uk</w:t>
        </w:r>
      </w:hyperlink>
      <w:r w:rsidRPr="003726FE">
        <w:t xml:space="preserve"> - OR - Email: </w:t>
      </w:r>
      <w:hyperlink r:id="rId90" w:history="1">
        <w:r w:rsidRPr="003726FE">
          <w:rPr>
            <w:rStyle w:val="Hyperlink"/>
          </w:rPr>
          <w:t>d.murdoch-eaton@sheffield.ac.uk</w:t>
        </w:r>
      </w:hyperlink>
      <w:r w:rsidRPr="003726FE">
        <w:t xml:space="preserve"> </w:t>
      </w:r>
    </w:p>
    <w:p w14:paraId="45407091" w14:textId="6CD2A4F3" w:rsidR="00835C2A" w:rsidRPr="003726FE" w:rsidRDefault="003C539E" w:rsidP="003C539E">
      <w:r w:rsidRPr="003726FE">
        <w:t>Billy Bryan</w:t>
      </w:r>
    </w:p>
    <w:p w14:paraId="680EE899" w14:textId="77777777" w:rsidR="00835C2A" w:rsidRPr="003726FE" w:rsidRDefault="00835C2A">
      <w:r w:rsidRPr="003726FE">
        <w:br w:type="page"/>
      </w:r>
    </w:p>
    <w:p w14:paraId="14ECC81A" w14:textId="51D45ABA" w:rsidR="00835C2A" w:rsidRPr="003726FE" w:rsidRDefault="00835C2A">
      <w:pPr>
        <w:tabs>
          <w:tab w:val="center" w:pos="2637"/>
          <w:tab w:val="right" w:pos="9041"/>
        </w:tabs>
        <w:spacing w:after="152"/>
      </w:pPr>
      <w:r w:rsidRPr="003726FE">
        <w:lastRenderedPageBreak/>
        <w:tab/>
      </w:r>
      <w:r w:rsidRPr="003726FE">
        <w:rPr>
          <w:rFonts w:ascii="TUOS Stephenson" w:eastAsia="TUOS Stephenson" w:hAnsi="TUOS Stephenson" w:cs="TUOS Stephenson"/>
          <w:color w:val="808080"/>
          <w:sz w:val="22"/>
        </w:rPr>
        <w:tab/>
      </w:r>
      <w:r w:rsidRPr="003726FE">
        <w:rPr>
          <w:rFonts w:ascii="Calibri" w:eastAsia="Calibri" w:hAnsi="Calibri" w:cs="Calibri"/>
          <w:sz w:val="22"/>
        </w:rPr>
        <w:t xml:space="preserve">30/09/16 </w:t>
      </w:r>
    </w:p>
    <w:p w14:paraId="5DB43FC2" w14:textId="02EE66CE" w:rsidR="00835C2A" w:rsidRPr="003726FE" w:rsidRDefault="00835C2A">
      <w:pPr>
        <w:tabs>
          <w:tab w:val="right" w:pos="9041"/>
        </w:tabs>
        <w:spacing w:after="0"/>
        <w:ind w:left="-3"/>
      </w:pPr>
      <w:r w:rsidRPr="003726FE">
        <w:rPr>
          <w:rFonts w:ascii="TUOS Blake" w:eastAsia="TUOS Blake" w:hAnsi="TUOS Blake" w:cs="TUOS Blake"/>
          <w:b/>
          <w:color w:val="222222"/>
          <w:sz w:val="22"/>
        </w:rPr>
        <w:tab/>
      </w:r>
      <w:r w:rsidRPr="003726FE">
        <w:rPr>
          <w:rFonts w:ascii="Arial" w:eastAsia="Arial" w:hAnsi="Arial" w:cs="Arial"/>
          <w:color w:val="222222"/>
          <w:sz w:val="18"/>
        </w:rPr>
        <w:t xml:space="preserve">Return address: </w:t>
      </w:r>
    </w:p>
    <w:p w14:paraId="5855C8BE" w14:textId="01B6441E" w:rsidR="00835C2A" w:rsidRPr="003726FE" w:rsidRDefault="00835C2A">
      <w:pPr>
        <w:tabs>
          <w:tab w:val="right" w:pos="9041"/>
        </w:tabs>
        <w:spacing w:after="0"/>
        <w:ind w:left="-3"/>
      </w:pPr>
      <w:r w:rsidRPr="003726FE">
        <w:rPr>
          <w:rFonts w:ascii="TUOS Blake" w:eastAsia="TUOS Blake" w:hAnsi="TUOS Blake" w:cs="TUOS Blake"/>
          <w:b/>
          <w:color w:val="222222"/>
          <w:sz w:val="22"/>
        </w:rPr>
        <w:tab/>
      </w:r>
      <w:r w:rsidRPr="003726FE">
        <w:rPr>
          <w:rFonts w:ascii="Arial" w:eastAsia="Arial" w:hAnsi="Arial" w:cs="Arial"/>
          <w:color w:val="222222"/>
          <w:sz w:val="18"/>
        </w:rPr>
        <w:t xml:space="preserve">The Medical School, </w:t>
      </w:r>
    </w:p>
    <w:p w14:paraId="6E030F04" w14:textId="77777777" w:rsidR="00835C2A" w:rsidRPr="003726FE" w:rsidRDefault="00835C2A">
      <w:pPr>
        <w:spacing w:after="0"/>
        <w:ind w:left="10" w:right="49" w:hanging="10"/>
        <w:jc w:val="right"/>
      </w:pPr>
      <w:r w:rsidRPr="003726FE">
        <w:rPr>
          <w:rFonts w:ascii="Arial" w:eastAsia="Arial" w:hAnsi="Arial" w:cs="Arial"/>
          <w:color w:val="222222"/>
          <w:sz w:val="18"/>
        </w:rPr>
        <w:t xml:space="preserve">University of Sheffield </w:t>
      </w:r>
    </w:p>
    <w:p w14:paraId="0663FF2C" w14:textId="77777777" w:rsidR="00835C2A" w:rsidRPr="003726FE" w:rsidRDefault="00835C2A">
      <w:pPr>
        <w:tabs>
          <w:tab w:val="right" w:pos="9041"/>
        </w:tabs>
        <w:spacing w:after="0"/>
        <w:ind w:left="-3"/>
      </w:pPr>
      <w:r w:rsidRPr="003726FE">
        <w:rPr>
          <w:rFonts w:ascii="TUOS Blake" w:eastAsia="TUOS Blake" w:hAnsi="TUOS Blake" w:cs="TUOS Blake"/>
          <w:b/>
          <w:color w:val="222222"/>
          <w:sz w:val="22"/>
        </w:rPr>
        <w:t xml:space="preserve"> </w:t>
      </w:r>
      <w:r w:rsidRPr="003726FE">
        <w:rPr>
          <w:rFonts w:ascii="TUOS Blake" w:eastAsia="TUOS Blake" w:hAnsi="TUOS Blake" w:cs="TUOS Blake"/>
          <w:b/>
          <w:color w:val="222222"/>
          <w:sz w:val="22"/>
        </w:rPr>
        <w:tab/>
      </w:r>
      <w:r w:rsidRPr="003726FE">
        <w:rPr>
          <w:rFonts w:ascii="Arial" w:eastAsia="Arial" w:hAnsi="Arial" w:cs="Arial"/>
          <w:color w:val="222222"/>
          <w:sz w:val="18"/>
        </w:rPr>
        <w:t xml:space="preserve">Beech Hill Road </w:t>
      </w:r>
    </w:p>
    <w:p w14:paraId="4540F20F" w14:textId="77777777" w:rsidR="00835C2A" w:rsidRPr="003726FE" w:rsidRDefault="00835C2A">
      <w:pPr>
        <w:spacing w:after="0"/>
        <w:ind w:left="10" w:right="49" w:hanging="10"/>
        <w:jc w:val="right"/>
      </w:pPr>
      <w:r w:rsidRPr="003726FE">
        <w:rPr>
          <w:rFonts w:ascii="Arial" w:eastAsia="Arial" w:hAnsi="Arial" w:cs="Arial"/>
          <w:color w:val="222222"/>
          <w:sz w:val="18"/>
        </w:rPr>
        <w:t>Sheffield</w:t>
      </w:r>
      <w:r w:rsidRPr="003726FE">
        <w:rPr>
          <w:rFonts w:ascii="Arial" w:eastAsia="Arial" w:hAnsi="Arial" w:cs="Arial"/>
          <w:color w:val="222222"/>
          <w:sz w:val="22"/>
        </w:rPr>
        <w:t xml:space="preserve">, </w:t>
      </w:r>
      <w:r w:rsidRPr="003726FE">
        <w:rPr>
          <w:rFonts w:ascii="Arial" w:eastAsia="Arial" w:hAnsi="Arial" w:cs="Arial"/>
          <w:color w:val="222222"/>
          <w:sz w:val="18"/>
        </w:rPr>
        <w:t>S10 2RX</w:t>
      </w:r>
      <w:r w:rsidRPr="003726FE">
        <w:rPr>
          <w:rFonts w:ascii="Arial" w:eastAsia="Arial" w:hAnsi="Arial" w:cs="Arial"/>
          <w:color w:val="222222"/>
          <w:sz w:val="22"/>
        </w:rPr>
        <w:t xml:space="preserve"> </w:t>
      </w:r>
    </w:p>
    <w:p w14:paraId="1C4F1DA4" w14:textId="63B8C54A" w:rsidR="00835C2A" w:rsidRPr="003726FE" w:rsidRDefault="00835C2A" w:rsidP="00835C2A">
      <w:pPr>
        <w:spacing w:after="163"/>
        <w:ind w:left="12"/>
        <w:rPr>
          <w:b/>
          <w:sz w:val="28"/>
        </w:rPr>
      </w:pPr>
      <w:r w:rsidRPr="003726FE">
        <w:rPr>
          <w:rFonts w:ascii="TUOS Blake" w:eastAsia="TUOS Blake" w:hAnsi="TUOS Blake" w:cs="TUOS Blake"/>
          <w:b/>
          <w:color w:val="222222"/>
        </w:rPr>
        <w:t xml:space="preserve"> </w:t>
      </w:r>
      <w:r w:rsidRPr="003726FE">
        <w:rPr>
          <w:b/>
          <w:sz w:val="28"/>
        </w:rPr>
        <w:t xml:space="preserve">Self-regulated learning study: Information sheet </w:t>
      </w:r>
    </w:p>
    <w:p w14:paraId="2230D8BF" w14:textId="77777777" w:rsidR="00835C2A" w:rsidRPr="003726FE" w:rsidRDefault="00835C2A">
      <w:pPr>
        <w:ind w:left="12"/>
      </w:pPr>
      <w:r w:rsidRPr="003726FE">
        <w:rPr>
          <w:rFonts w:ascii="TUOS Blake" w:eastAsia="TUOS Blake" w:hAnsi="TUOS Blake" w:cs="TUOS Blake"/>
          <w:sz w:val="22"/>
        </w:rPr>
        <w:t xml:space="preserve"> </w:t>
      </w:r>
    </w:p>
    <w:p w14:paraId="46F7EBC2" w14:textId="79700EAF" w:rsidR="00835C2A" w:rsidRPr="003726FE" w:rsidRDefault="00835C2A">
      <w:pPr>
        <w:spacing w:after="157" w:line="364" w:lineRule="auto"/>
        <w:ind w:left="7" w:hanging="10"/>
      </w:pPr>
      <w:r w:rsidRPr="003726FE">
        <w:rPr>
          <w:rFonts w:ascii="TUOS Blake" w:eastAsia="TUOS Blake" w:hAnsi="TUOS Blake" w:cs="TUOS Blake"/>
        </w:rPr>
        <w:t xml:space="preserve">You are invited to take part in the </w:t>
      </w:r>
      <w:r w:rsidRPr="003726FE">
        <w:rPr>
          <w:rFonts w:ascii="TUOS Blake" w:eastAsia="TUOS Blake" w:hAnsi="TUOS Blake" w:cs="TUOS Blake"/>
          <w:b/>
        </w:rPr>
        <w:t>concluding part of this study</w:t>
      </w:r>
      <w:r w:rsidRPr="003726FE">
        <w:rPr>
          <w:rFonts w:ascii="TUOS Blake" w:eastAsia="TUOS Blake" w:hAnsi="TUOS Blake" w:cs="TUOS Blake"/>
        </w:rPr>
        <w:t xml:space="preserve"> to explore </w:t>
      </w:r>
      <w:r w:rsidR="00D531CD" w:rsidRPr="003726FE">
        <w:rPr>
          <w:rFonts w:ascii="TUOS Blake" w:eastAsia="TUOS Blake" w:hAnsi="TUOS Blake" w:cs="TUOS Blake"/>
        </w:rPr>
        <w:t>self-regulated</w:t>
      </w:r>
      <w:r w:rsidRPr="003726FE">
        <w:rPr>
          <w:rFonts w:ascii="TUOS Blake" w:eastAsia="TUOS Blake" w:hAnsi="TUOS Blake" w:cs="TUOS Blake"/>
        </w:rPr>
        <w:t xml:space="preserve"> learning (SRL) strategies in medical undergraduate students. Thank you for your participation so far. </w:t>
      </w:r>
    </w:p>
    <w:p w14:paraId="301C392F" w14:textId="77777777" w:rsidR="00835C2A" w:rsidRPr="003726FE" w:rsidRDefault="00835C2A">
      <w:pPr>
        <w:spacing w:after="279"/>
        <w:ind w:left="12"/>
      </w:pPr>
      <w:r w:rsidRPr="003726FE">
        <w:rPr>
          <w:rFonts w:ascii="TUOS Blake" w:eastAsia="TUOS Blake" w:hAnsi="TUOS Blake" w:cs="TUOS Blake"/>
        </w:rPr>
        <w:t xml:space="preserve"> </w:t>
      </w:r>
    </w:p>
    <w:p w14:paraId="45CA9365" w14:textId="77777777" w:rsidR="00835C2A" w:rsidRPr="003726FE" w:rsidRDefault="00835C2A">
      <w:pPr>
        <w:spacing w:after="289"/>
        <w:ind w:left="12"/>
      </w:pPr>
      <w:r w:rsidRPr="003726FE">
        <w:rPr>
          <w:rFonts w:ascii="TUOS Blake" w:eastAsia="TUOS Blake" w:hAnsi="TUOS Blake" w:cs="TUOS Blake"/>
          <w:b/>
        </w:rPr>
        <w:t xml:space="preserve">Your role: </w:t>
      </w:r>
    </w:p>
    <w:p w14:paraId="078562EF" w14:textId="77777777" w:rsidR="00835C2A" w:rsidRPr="003726FE" w:rsidRDefault="00835C2A">
      <w:pPr>
        <w:spacing w:after="11" w:line="360" w:lineRule="auto"/>
        <w:ind w:left="7" w:hanging="10"/>
      </w:pPr>
      <w:r w:rsidRPr="003726FE">
        <w:rPr>
          <w:rFonts w:ascii="TUOS Blake" w:eastAsia="TUOS Blake" w:hAnsi="TUOS Blake" w:cs="TUOS Blake"/>
        </w:rPr>
        <w:t xml:space="preserve">We ask that you complete this questionnaire for the third and final time. While you are filling in this questionnaire please have in mind a </w:t>
      </w:r>
      <w:r w:rsidRPr="003726FE">
        <w:rPr>
          <w:rFonts w:ascii="TUOS Blake" w:eastAsia="TUOS Blake" w:hAnsi="TUOS Blake" w:cs="TUOS Blake"/>
          <w:b/>
        </w:rPr>
        <w:t>specific learning experience</w:t>
      </w:r>
      <w:r w:rsidRPr="003726FE">
        <w:rPr>
          <w:rFonts w:ascii="TUOS Blake" w:eastAsia="TUOS Blake" w:hAnsi="TUOS Blake" w:cs="TUOS Blake"/>
        </w:rPr>
        <w:t xml:space="preserve"> </w:t>
      </w:r>
    </w:p>
    <w:p w14:paraId="23312B1D" w14:textId="06B670C0" w:rsidR="00835C2A" w:rsidRPr="003726FE" w:rsidRDefault="006930D6">
      <w:pPr>
        <w:spacing w:after="279"/>
        <w:ind w:left="7" w:hanging="10"/>
      </w:pPr>
      <w:r w:rsidRPr="003726FE">
        <w:rPr>
          <w:rFonts w:ascii="TUOS Blake" w:eastAsia="TUOS Blake" w:hAnsi="TUOS Blake" w:cs="TUOS Blake"/>
        </w:rPr>
        <w:t>E.g</w:t>
      </w:r>
      <w:r w:rsidR="00835C2A" w:rsidRPr="003726FE">
        <w:rPr>
          <w:rFonts w:ascii="TUOS Blake" w:eastAsia="TUOS Blake" w:hAnsi="TUOS Blake" w:cs="TUOS Blake"/>
        </w:rPr>
        <w:t xml:space="preserve">. your most recent placement. </w:t>
      </w:r>
    </w:p>
    <w:p w14:paraId="304FCB88" w14:textId="77777777" w:rsidR="00835C2A" w:rsidRPr="003726FE" w:rsidRDefault="00835C2A">
      <w:pPr>
        <w:spacing w:after="285"/>
        <w:ind w:left="12"/>
      </w:pPr>
      <w:r w:rsidRPr="003726FE">
        <w:rPr>
          <w:rFonts w:ascii="TUOS Blake" w:eastAsia="TUOS Blake" w:hAnsi="TUOS Blake" w:cs="TUOS Blake"/>
        </w:rPr>
        <w:t xml:space="preserve"> </w:t>
      </w:r>
    </w:p>
    <w:p w14:paraId="2F3F8DC7" w14:textId="4D1DBA79" w:rsidR="00835C2A" w:rsidRPr="003726FE" w:rsidRDefault="00835C2A" w:rsidP="00D531CD">
      <w:pPr>
        <w:spacing w:after="121"/>
        <w:ind w:left="7" w:hanging="10"/>
      </w:pPr>
      <w:r w:rsidRPr="003726FE">
        <w:rPr>
          <w:rFonts w:ascii="TUOS Blake" w:eastAsia="TUOS Blake" w:hAnsi="TUOS Blake" w:cs="TUOS Blake"/>
        </w:rPr>
        <w:t xml:space="preserve">If you agree to this data being collected, please complete the questionnaire attached </w:t>
      </w:r>
      <w:r w:rsidR="00D531CD" w:rsidRPr="00D531CD">
        <w:rPr>
          <w:rFonts w:ascii="TUOS Blake" w:hAnsi="TUOS Blake"/>
        </w:rPr>
        <w:t>to</w:t>
      </w:r>
      <w:r w:rsidR="00D531CD">
        <w:t xml:space="preserve"> </w:t>
      </w:r>
      <w:r w:rsidRPr="003726FE">
        <w:rPr>
          <w:rFonts w:ascii="TUOS Blake" w:eastAsia="TUOS Blake" w:hAnsi="TUOS Blake" w:cs="TUOS Blake"/>
        </w:rPr>
        <w:t xml:space="preserve">this sheet and </w:t>
      </w:r>
      <w:r w:rsidRPr="003726FE">
        <w:rPr>
          <w:rFonts w:ascii="TUOS Blake" w:eastAsia="TUOS Blake" w:hAnsi="TUOS Blake" w:cs="TUOS Blake"/>
          <w:b/>
        </w:rPr>
        <w:t>sign using your student registration number</w:t>
      </w:r>
      <w:r w:rsidRPr="003726FE">
        <w:rPr>
          <w:rFonts w:ascii="TUOS Blake" w:eastAsia="TUOS Blake" w:hAnsi="TUOS Blake" w:cs="TUOS Blake"/>
        </w:rPr>
        <w:t xml:space="preserve">. </w:t>
      </w:r>
    </w:p>
    <w:p w14:paraId="342EE2A9" w14:textId="77777777" w:rsidR="00835C2A" w:rsidRPr="003726FE" w:rsidRDefault="00835C2A">
      <w:pPr>
        <w:spacing w:after="263"/>
        <w:ind w:left="65"/>
        <w:jc w:val="center"/>
      </w:pPr>
      <w:r w:rsidRPr="003726FE">
        <w:rPr>
          <w:rFonts w:ascii="TUOS Blake" w:eastAsia="TUOS Blake" w:hAnsi="TUOS Blake" w:cs="TUOS Blake"/>
        </w:rPr>
        <w:t xml:space="preserve"> </w:t>
      </w:r>
    </w:p>
    <w:p w14:paraId="39195995" w14:textId="545694B8" w:rsidR="00835C2A" w:rsidRPr="003726FE" w:rsidRDefault="00835C2A" w:rsidP="00164F07">
      <w:pPr>
        <w:spacing w:after="3976"/>
        <w:ind w:left="10"/>
        <w:jc w:val="center"/>
        <w:rPr>
          <w:sz w:val="36"/>
        </w:rPr>
      </w:pPr>
      <w:r w:rsidRPr="003726FE">
        <w:rPr>
          <w:rFonts w:ascii="TUOS Blake" w:eastAsia="TUOS Blake" w:hAnsi="TUOS Blake" w:cs="TUOS Blake"/>
          <w:sz w:val="22"/>
        </w:rPr>
        <w:t>Thank you for reading this information sheet. Please keep this for your records.</w:t>
      </w:r>
      <w:r w:rsidRPr="003726FE">
        <w:rPr>
          <w:rFonts w:ascii="Calibri" w:eastAsia="Calibri" w:hAnsi="Calibri" w:cs="Calibri"/>
          <w:color w:val="0563C1"/>
          <w:sz w:val="22"/>
        </w:rPr>
        <w:t xml:space="preserve"> </w:t>
      </w:r>
      <w:r w:rsidRPr="003726FE">
        <w:rPr>
          <w:rFonts w:ascii="TUOS Blake" w:eastAsia="TUOS Blake" w:hAnsi="TUOS Blake" w:cs="TUOS Blake"/>
          <w:sz w:val="22"/>
        </w:rPr>
        <w:t xml:space="preserve">If you have any questions or complaints about this research project please contact: Mr. Billy Bryan – </w:t>
      </w:r>
      <w:r w:rsidRPr="003726FE">
        <w:rPr>
          <w:rFonts w:ascii="TUOS Blake" w:eastAsia="TUOS Blake" w:hAnsi="TUOS Blake" w:cs="TUOS Blake"/>
          <w:color w:val="0563C1"/>
          <w:sz w:val="22"/>
          <w:u w:val="single" w:color="0563C1"/>
        </w:rPr>
        <w:t>bjbryan1@sheffield.ac.uk</w:t>
      </w:r>
      <w:r w:rsidRPr="003726FE">
        <w:rPr>
          <w:rFonts w:ascii="TUOS Blake" w:eastAsia="TUOS Blake" w:hAnsi="TUOS Blake" w:cs="TUOS Blake"/>
          <w:sz w:val="22"/>
        </w:rPr>
        <w:t xml:space="preserve">  </w:t>
      </w:r>
      <w:r w:rsidRPr="003726FE">
        <w:rPr>
          <w:rFonts w:ascii="TUOS Blake" w:eastAsia="TUOS Blake" w:hAnsi="TUOS Blake" w:cs="TUOS Blake"/>
          <w:b/>
          <w:sz w:val="22"/>
        </w:rPr>
        <w:t>or</w:t>
      </w:r>
      <w:r w:rsidRPr="003726FE">
        <w:rPr>
          <w:rFonts w:ascii="TUOS Blake" w:eastAsia="TUOS Blake" w:hAnsi="TUOS Blake" w:cs="TUOS Blake"/>
          <w:sz w:val="22"/>
        </w:rPr>
        <w:t xml:space="preserve"> Prof. Deborah Murdoch-Eaton - </w:t>
      </w:r>
      <w:r w:rsidRPr="003726FE">
        <w:rPr>
          <w:rFonts w:ascii="TUOS Blake" w:eastAsia="TUOS Blake" w:hAnsi="TUOS Blake" w:cs="TUOS Blake"/>
          <w:color w:val="0563C1"/>
          <w:sz w:val="22"/>
          <w:u w:val="single" w:color="0563C1"/>
        </w:rPr>
        <w:t>d.murdoch-eaton@sheffield.ac.uk</w:t>
      </w:r>
      <w:r w:rsidRPr="003726FE">
        <w:rPr>
          <w:rFonts w:ascii="Calibri" w:eastAsia="Calibri" w:hAnsi="Calibri" w:cs="Calibri"/>
          <w:sz w:val="28"/>
        </w:rPr>
        <w:t xml:space="preserve"> </w:t>
      </w:r>
    </w:p>
    <w:p w14:paraId="1C8E7136" w14:textId="77777777" w:rsidR="00835C2A" w:rsidRPr="003726FE" w:rsidRDefault="00835C2A">
      <w:pPr>
        <w:sectPr w:rsidR="00835C2A" w:rsidRPr="003726FE" w:rsidSect="007C73DC">
          <w:pgSz w:w="11906" w:h="16838"/>
          <w:pgMar w:top="1134" w:right="1134" w:bottom="1134" w:left="2268" w:header="708" w:footer="708" w:gutter="0"/>
          <w:cols w:space="708"/>
          <w:docGrid w:linePitch="360"/>
        </w:sectPr>
      </w:pPr>
    </w:p>
    <w:p w14:paraId="4B2530EC" w14:textId="55F9B736" w:rsidR="003C539E" w:rsidRPr="003726FE" w:rsidRDefault="00835C2A" w:rsidP="00835C2A">
      <w:pPr>
        <w:spacing w:after="0"/>
        <w:ind w:right="10464"/>
      </w:pPr>
      <w:r w:rsidRPr="003726FE">
        <w:rPr>
          <w:noProof/>
          <w:lang w:eastAsia="en-GB"/>
        </w:rPr>
        <w:lastRenderedPageBreak/>
        <w:drawing>
          <wp:anchor distT="0" distB="0" distL="114300" distR="114300" simplePos="0" relativeHeight="251941888" behindDoc="0" locked="0" layoutInCell="1" allowOverlap="0" wp14:anchorId="65D4AD40" wp14:editId="33205069">
            <wp:simplePos x="0" y="0"/>
            <wp:positionH relativeFrom="page">
              <wp:posOffset>1212112</wp:posOffset>
            </wp:positionH>
            <wp:positionV relativeFrom="page">
              <wp:posOffset>839972</wp:posOffset>
            </wp:positionV>
            <wp:extent cx="4965065" cy="8218968"/>
            <wp:effectExtent l="19050" t="19050" r="26035" b="10795"/>
            <wp:wrapTopAndBottom/>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5"/>
                    <a:stretch>
                      <a:fillRect/>
                    </a:stretch>
                  </pic:blipFill>
                  <pic:spPr>
                    <a:xfrm>
                      <a:off x="0" y="0"/>
                      <a:ext cx="4985230" cy="82523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726FE">
        <w:br w:type="page"/>
      </w:r>
    </w:p>
    <w:p w14:paraId="088583C6" w14:textId="77777777" w:rsidR="00835C2A" w:rsidRPr="003726FE" w:rsidRDefault="00835C2A" w:rsidP="00B1638D">
      <w:pPr>
        <w:pStyle w:val="Heading2"/>
        <w:rPr>
          <w:lang w:val="en-GB"/>
        </w:rPr>
        <w:sectPr w:rsidR="00835C2A" w:rsidRPr="003726FE" w:rsidSect="007C73DC">
          <w:pgSz w:w="11906" w:h="16838"/>
          <w:pgMar w:top="1134" w:right="1134" w:bottom="1134" w:left="2268" w:header="708" w:footer="708" w:gutter="0"/>
          <w:cols w:space="708"/>
          <w:docGrid w:linePitch="360"/>
        </w:sectPr>
      </w:pPr>
    </w:p>
    <w:bookmarkStart w:id="992" w:name="_Toc500319479"/>
    <w:p w14:paraId="6CFB1246" w14:textId="01C23546" w:rsidR="006B367E" w:rsidRPr="003726FE" w:rsidRDefault="00E67BA6" w:rsidP="00B1638D">
      <w:pPr>
        <w:pStyle w:val="Heading2"/>
        <w:rPr>
          <w:lang w:val="en-GB"/>
        </w:rPr>
      </w:pPr>
      <w:r w:rsidRPr="003726FE">
        <w:rPr>
          <w:noProof/>
          <w:lang w:val="en-GB" w:eastAsia="en-GB" w:bidi="ar-SA"/>
        </w:rPr>
        <w:lastRenderedPageBreak/>
        <mc:AlternateContent>
          <mc:Choice Requires="wps">
            <w:drawing>
              <wp:anchor distT="45720" distB="45720" distL="114300" distR="114300" simplePos="0" relativeHeight="252008448" behindDoc="0" locked="0" layoutInCell="1" allowOverlap="1" wp14:anchorId="640CF318" wp14:editId="254097F1">
                <wp:simplePos x="0" y="0"/>
                <wp:positionH relativeFrom="column">
                  <wp:posOffset>-35560</wp:posOffset>
                </wp:positionH>
                <wp:positionV relativeFrom="paragraph">
                  <wp:posOffset>271175</wp:posOffset>
                </wp:positionV>
                <wp:extent cx="3764280" cy="391160"/>
                <wp:effectExtent l="0" t="0" r="0" b="0"/>
                <wp:wrapNone/>
                <wp:docPr id="6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91160"/>
                        </a:xfrm>
                        <a:prstGeom prst="rect">
                          <a:avLst/>
                        </a:prstGeom>
                        <a:noFill/>
                        <a:ln w="9525">
                          <a:noFill/>
                          <a:miter lim="800000"/>
                          <a:headEnd/>
                          <a:tailEnd/>
                        </a:ln>
                      </wps:spPr>
                      <wps:txbx>
                        <w:txbxContent>
                          <w:p w14:paraId="47686D19" w14:textId="1F82BC4E" w:rsidR="00C8402C" w:rsidRPr="00E67BA6" w:rsidRDefault="00C8402C">
                            <w:pPr>
                              <w:rPr>
                                <w:b/>
                              </w:rPr>
                            </w:pPr>
                            <w:r w:rsidRPr="00E67BA6">
                              <w:rPr>
                                <w:b/>
                              </w:rPr>
                              <w:t>Best Practice Feedback refresher session materials</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CF318" id="_x0000_s1417" type="#_x0000_t202" style="position:absolute;margin-left:-2.8pt;margin-top:21.35pt;width:296.4pt;height:30.8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" filled="f" stroked="f">
                <v:textbox style="mso-fit-shape-to-text:t">
                  <w:txbxContent>
                    <w:p w14:paraId="47686D19" w14:textId="1F82BC4E" w:rsidR="00C8402C" w:rsidRPr="00E67BA6" w:rsidRDefault="00C8402C">
                      <w:pPr>
                        <w:rPr>
                          <w:b/>
                        </w:rPr>
                      </w:pPr>
                      <w:r w:rsidRPr="00E67BA6">
                        <w:rPr>
                          <w:b/>
                        </w:rPr>
                        <w:t>Best Practice Feedback refresher session materials</w:t>
                      </w:r>
                      <w:r>
                        <w:rPr>
                          <w:b/>
                        </w:rPr>
                        <w:t>.</w:t>
                      </w:r>
                    </w:p>
                  </w:txbxContent>
                </v:textbox>
              </v:shape>
            </w:pict>
          </mc:Fallback>
        </mc:AlternateContent>
      </w:r>
      <w:r w:rsidRPr="003726FE">
        <w:rPr>
          <w:noProof/>
          <w:lang w:val="en-GB" w:eastAsia="en-GB" w:bidi="ar-SA"/>
        </w:rPr>
        <w:drawing>
          <wp:anchor distT="0" distB="0" distL="114300" distR="114300" simplePos="0" relativeHeight="252005376" behindDoc="0" locked="0" layoutInCell="1" allowOverlap="1" wp14:anchorId="470B8DA7" wp14:editId="0485B377">
            <wp:simplePos x="0" y="0"/>
            <wp:positionH relativeFrom="column">
              <wp:posOffset>207867</wp:posOffset>
            </wp:positionH>
            <wp:positionV relativeFrom="paragraph">
              <wp:posOffset>364431</wp:posOffset>
            </wp:positionV>
            <wp:extent cx="5152313" cy="3864387"/>
            <wp:effectExtent l="0" t="0" r="0" b="3175"/>
            <wp:wrapTopAndBottom/>
            <wp:docPr id="6059" name="Pictur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 name="DME Feedback workshop - Best Practice Feedback training.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156333" cy="3867402"/>
                    </a:xfrm>
                    <a:prstGeom prst="rect">
                      <a:avLst/>
                    </a:prstGeom>
                  </pic:spPr>
                </pic:pic>
              </a:graphicData>
            </a:graphic>
            <wp14:sizeRelH relativeFrom="page">
              <wp14:pctWidth>0</wp14:pctWidth>
            </wp14:sizeRelH>
            <wp14:sizeRelV relativeFrom="page">
              <wp14:pctHeight>0</wp14:pctHeight>
            </wp14:sizeRelV>
          </wp:anchor>
        </w:drawing>
      </w:r>
      <w:r w:rsidRPr="003726FE">
        <w:rPr>
          <w:noProof/>
          <w:lang w:val="en-GB" w:eastAsia="en-GB" w:bidi="ar-SA"/>
        </w:rPr>
        <w:drawing>
          <wp:anchor distT="0" distB="0" distL="114300" distR="114300" simplePos="0" relativeHeight="252006400" behindDoc="0" locked="0" layoutInCell="1" allowOverlap="1" wp14:anchorId="570806C2" wp14:editId="18429CD7">
            <wp:simplePos x="0" y="0"/>
            <wp:positionH relativeFrom="column">
              <wp:posOffset>-36682</wp:posOffset>
            </wp:positionH>
            <wp:positionV relativeFrom="paragraph">
              <wp:posOffset>4404803</wp:posOffset>
            </wp:positionV>
            <wp:extent cx="5485995" cy="4114800"/>
            <wp:effectExtent l="0" t="0" r="635" b="0"/>
            <wp:wrapTopAndBottom/>
            <wp:docPr id="6060" name="Pictur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 name="DME Feedback workshop - Best Practice Feedback training-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89019" cy="4117068"/>
                    </a:xfrm>
                    <a:prstGeom prst="rect">
                      <a:avLst/>
                    </a:prstGeom>
                  </pic:spPr>
                </pic:pic>
              </a:graphicData>
            </a:graphic>
            <wp14:sizeRelH relativeFrom="page">
              <wp14:pctWidth>0</wp14:pctWidth>
            </wp14:sizeRelH>
            <wp14:sizeRelV relativeFrom="page">
              <wp14:pctHeight>0</wp14:pctHeight>
            </wp14:sizeRelV>
          </wp:anchor>
        </w:drawing>
      </w:r>
      <w:r w:rsidR="00835C2A" w:rsidRPr="003726FE">
        <w:rPr>
          <w:lang w:val="en-GB"/>
        </w:rPr>
        <w:t xml:space="preserve">Appendix </w:t>
      </w:r>
      <w:r w:rsidR="000E241D" w:rsidRPr="003726FE">
        <w:rPr>
          <w:lang w:val="en-GB"/>
        </w:rPr>
        <w:t>8</w:t>
      </w:r>
      <w:r w:rsidR="00835C2A" w:rsidRPr="003726FE">
        <w:rPr>
          <w:lang w:val="en-GB"/>
        </w:rPr>
        <w:t>.</w:t>
      </w:r>
      <w:r w:rsidR="00026049" w:rsidRPr="003726FE">
        <w:rPr>
          <w:lang w:val="en-GB"/>
        </w:rPr>
        <w:t xml:space="preserve"> Clinical </w:t>
      </w:r>
      <w:r w:rsidR="00C47666" w:rsidRPr="003726FE">
        <w:rPr>
          <w:lang w:val="en-GB"/>
        </w:rPr>
        <w:t>Skills Teacher Training Materials</w:t>
      </w:r>
      <w:r w:rsidR="00026049" w:rsidRPr="003726FE">
        <w:rPr>
          <w:lang w:val="en-GB"/>
        </w:rPr>
        <w:t>.</w:t>
      </w:r>
      <w:bookmarkEnd w:id="992"/>
      <w:r w:rsidR="003B2374" w:rsidRPr="003726FE">
        <w:rPr>
          <w:noProof/>
          <w:lang w:val="en-GB" w:eastAsia="en-GB"/>
        </w:rPr>
        <w:t xml:space="preserve"> </w:t>
      </w:r>
    </w:p>
    <w:p w14:paraId="7488B5E0" w14:textId="19B943E8" w:rsidR="00DB701D" w:rsidRDefault="00DB701D">
      <w:r w:rsidRPr="003726FE">
        <w:rPr>
          <w:noProof/>
          <w:lang w:eastAsia="en-GB"/>
        </w:rPr>
        <w:lastRenderedPageBreak/>
        <w:drawing>
          <wp:anchor distT="0" distB="0" distL="114300" distR="114300" simplePos="0" relativeHeight="252033024" behindDoc="0" locked="0" layoutInCell="1" allowOverlap="1" wp14:anchorId="63510905" wp14:editId="5EDD2E15">
            <wp:simplePos x="0" y="0"/>
            <wp:positionH relativeFrom="column">
              <wp:posOffset>-220980</wp:posOffset>
            </wp:positionH>
            <wp:positionV relativeFrom="paragraph">
              <wp:posOffset>4299585</wp:posOffset>
            </wp:positionV>
            <wp:extent cx="5486400" cy="4298950"/>
            <wp:effectExtent l="0" t="0" r="0" b="6350"/>
            <wp:wrapTopAndBottom/>
            <wp:docPr id="6062" name="Pictur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 name="DME Feedback workshop - Best Practice Feedback training-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86400" cy="4298950"/>
                    </a:xfrm>
                    <a:prstGeom prst="rect">
                      <a:avLst/>
                    </a:prstGeom>
                  </pic:spPr>
                </pic:pic>
              </a:graphicData>
            </a:graphic>
            <wp14:sizeRelH relativeFrom="page">
              <wp14:pctWidth>0</wp14:pctWidth>
            </wp14:sizeRelH>
            <wp14:sizeRelV relativeFrom="page">
              <wp14:pctHeight>0</wp14:pctHeight>
            </wp14:sizeRelV>
          </wp:anchor>
        </w:drawing>
      </w:r>
      <w:r w:rsidR="003B2374" w:rsidRPr="003726FE">
        <w:rPr>
          <w:noProof/>
          <w:lang w:eastAsia="en-GB"/>
        </w:rPr>
        <w:drawing>
          <wp:anchor distT="0" distB="0" distL="114300" distR="114300" simplePos="0" relativeHeight="252032000" behindDoc="0" locked="0" layoutInCell="1" allowOverlap="1" wp14:anchorId="70AE57B3" wp14:editId="7F8FC138">
            <wp:simplePos x="0" y="0"/>
            <wp:positionH relativeFrom="column">
              <wp:posOffset>-220980</wp:posOffset>
            </wp:positionH>
            <wp:positionV relativeFrom="paragraph">
              <wp:posOffset>3810</wp:posOffset>
            </wp:positionV>
            <wp:extent cx="5570855" cy="4298950"/>
            <wp:effectExtent l="0" t="0" r="0" b="6350"/>
            <wp:wrapTopAndBottom/>
            <wp:docPr id="6061" name="Pictur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 name="DME Feedback workshop - Best Practice Feedback training-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70855" cy="4298950"/>
                    </a:xfrm>
                    <a:prstGeom prst="rect">
                      <a:avLst/>
                    </a:prstGeom>
                  </pic:spPr>
                </pic:pic>
              </a:graphicData>
            </a:graphic>
            <wp14:sizeRelH relativeFrom="page">
              <wp14:pctWidth>0</wp14:pctWidth>
            </wp14:sizeRelH>
            <wp14:sizeRelV relativeFrom="page">
              <wp14:pctHeight>0</wp14:pctHeight>
            </wp14:sizeRelV>
          </wp:anchor>
        </w:drawing>
      </w:r>
      <w:r w:rsidR="006B367E" w:rsidRPr="003726FE">
        <w:br w:type="page"/>
      </w:r>
      <w:r w:rsidRPr="003726FE">
        <w:rPr>
          <w:noProof/>
          <w:lang w:eastAsia="en-GB"/>
        </w:rPr>
        <w:lastRenderedPageBreak/>
        <w:drawing>
          <wp:anchor distT="0" distB="0" distL="114300" distR="114300" simplePos="0" relativeHeight="252034048" behindDoc="0" locked="0" layoutInCell="1" allowOverlap="1" wp14:anchorId="5C021402" wp14:editId="1FF4BEAC">
            <wp:simplePos x="0" y="0"/>
            <wp:positionH relativeFrom="column">
              <wp:posOffset>89535</wp:posOffset>
            </wp:positionH>
            <wp:positionV relativeFrom="paragraph">
              <wp:posOffset>0</wp:posOffset>
            </wp:positionV>
            <wp:extent cx="5443855" cy="4298950"/>
            <wp:effectExtent l="0" t="0" r="4445" b="6350"/>
            <wp:wrapTopAndBottom/>
            <wp:docPr id="6063" name="Picture 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 name="DME Feedback workshop - Best Practice Feedback training-5.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43855" cy="4298950"/>
                    </a:xfrm>
                    <a:prstGeom prst="rect">
                      <a:avLst/>
                    </a:prstGeom>
                  </pic:spPr>
                </pic:pic>
              </a:graphicData>
            </a:graphic>
            <wp14:sizeRelH relativeFrom="page">
              <wp14:pctWidth>0</wp14:pctWidth>
            </wp14:sizeRelH>
            <wp14:sizeRelV relativeFrom="page">
              <wp14:pctHeight>0</wp14:pctHeight>
            </wp14:sizeRelV>
          </wp:anchor>
        </w:drawing>
      </w:r>
      <w:r w:rsidRPr="003726FE">
        <w:rPr>
          <w:noProof/>
          <w:lang w:eastAsia="en-GB"/>
        </w:rPr>
        <w:drawing>
          <wp:anchor distT="0" distB="0" distL="114300" distR="114300" simplePos="0" relativeHeight="252035072" behindDoc="0" locked="0" layoutInCell="1" allowOverlap="1" wp14:anchorId="51A4B76F" wp14:editId="736ED0A1">
            <wp:simplePos x="0" y="0"/>
            <wp:positionH relativeFrom="column">
              <wp:posOffset>2540</wp:posOffset>
            </wp:positionH>
            <wp:positionV relativeFrom="paragraph">
              <wp:posOffset>4747895</wp:posOffset>
            </wp:positionV>
            <wp:extent cx="5443855" cy="4298950"/>
            <wp:effectExtent l="0" t="0" r="4445" b="6350"/>
            <wp:wrapTopAndBottom/>
            <wp:docPr id="6064" name="Picture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 name="DME Feedback workshop - Best Practice Feedback training-6.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43855" cy="4298950"/>
                    </a:xfrm>
                    <a:prstGeom prst="rect">
                      <a:avLst/>
                    </a:prstGeom>
                  </pic:spPr>
                </pic:pic>
              </a:graphicData>
            </a:graphic>
            <wp14:sizeRelH relativeFrom="page">
              <wp14:pctWidth>0</wp14:pctWidth>
            </wp14:sizeRelH>
            <wp14:sizeRelV relativeFrom="page">
              <wp14:pctHeight>0</wp14:pctHeight>
            </wp14:sizeRelV>
          </wp:anchor>
        </w:drawing>
      </w:r>
      <w:r>
        <w:br w:type="page"/>
      </w:r>
    </w:p>
    <w:p w14:paraId="06B158F9" w14:textId="36D22A76" w:rsidR="00DB701D" w:rsidRDefault="00DB701D">
      <w:pPr>
        <w:rPr>
          <w:rFonts w:eastAsia="Lucida Sans Unicode" w:cs="Mangal"/>
          <w:b/>
          <w:kern w:val="1"/>
          <w:sz w:val="28"/>
          <w:szCs w:val="24"/>
          <w:lang w:eastAsia="hi-IN" w:bidi="hi-IN"/>
        </w:rPr>
      </w:pPr>
      <w:r w:rsidRPr="003726FE">
        <w:rPr>
          <w:noProof/>
          <w:lang w:eastAsia="en-GB"/>
        </w:rPr>
        <w:lastRenderedPageBreak/>
        <w:drawing>
          <wp:anchor distT="0" distB="0" distL="114300" distR="114300" simplePos="0" relativeHeight="252036096" behindDoc="0" locked="0" layoutInCell="1" allowOverlap="1" wp14:anchorId="564A53D9" wp14:editId="7D3B43EE">
            <wp:simplePos x="0" y="0"/>
            <wp:positionH relativeFrom="column">
              <wp:posOffset>-321945</wp:posOffset>
            </wp:positionH>
            <wp:positionV relativeFrom="paragraph">
              <wp:posOffset>257175</wp:posOffset>
            </wp:positionV>
            <wp:extent cx="5624195" cy="4298950"/>
            <wp:effectExtent l="0" t="0" r="0" b="6350"/>
            <wp:wrapTopAndBottom/>
            <wp:docPr id="6065" name="Pictur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 name="DME Feedback workshop - Best Practice Feedback training-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24195" cy="4298950"/>
                    </a:xfrm>
                    <a:prstGeom prst="rect">
                      <a:avLst/>
                    </a:prstGeom>
                  </pic:spPr>
                </pic:pic>
              </a:graphicData>
            </a:graphic>
            <wp14:sizeRelH relativeFrom="page">
              <wp14:pctWidth>0</wp14:pctWidth>
            </wp14:sizeRelH>
            <wp14:sizeRelV relativeFrom="page">
              <wp14:pctHeight>0</wp14:pctHeight>
            </wp14:sizeRelV>
          </wp:anchor>
        </w:drawing>
      </w:r>
      <w:r>
        <w:rPr>
          <w:rFonts w:eastAsia="Lucida Sans Unicode" w:cs="Mangal"/>
          <w:b/>
          <w:kern w:val="1"/>
          <w:sz w:val="28"/>
          <w:szCs w:val="24"/>
          <w:lang w:eastAsia="hi-IN" w:bidi="hi-IN"/>
        </w:rPr>
        <w:br w:type="page"/>
      </w:r>
    </w:p>
    <w:p w14:paraId="751D966F" w14:textId="77777777" w:rsidR="006B367E" w:rsidRPr="003726FE" w:rsidRDefault="006B367E">
      <w:pPr>
        <w:rPr>
          <w:rFonts w:eastAsia="Lucida Sans Unicode" w:cs="Mangal"/>
          <w:b/>
          <w:kern w:val="1"/>
          <w:sz w:val="28"/>
          <w:szCs w:val="24"/>
          <w:lang w:eastAsia="hi-IN" w:bidi="hi-IN"/>
        </w:rPr>
      </w:pPr>
    </w:p>
    <w:p w14:paraId="7ED91569" w14:textId="77777777" w:rsidR="00DB701D" w:rsidRDefault="00C775D1">
      <w:r w:rsidRPr="003726FE">
        <w:rPr>
          <w:noProof/>
          <w:lang w:eastAsia="en-GB"/>
        </w:rPr>
        <mc:AlternateContent>
          <mc:Choice Requires="wps">
            <w:drawing>
              <wp:anchor distT="45720" distB="45720" distL="114300" distR="114300" simplePos="0" relativeHeight="252014592" behindDoc="0" locked="0" layoutInCell="1" allowOverlap="1" wp14:anchorId="224E724A" wp14:editId="07C5AA61">
                <wp:simplePos x="0" y="0"/>
                <wp:positionH relativeFrom="column">
                  <wp:posOffset>3826894</wp:posOffset>
                </wp:positionH>
                <wp:positionV relativeFrom="paragraph">
                  <wp:posOffset>5897293</wp:posOffset>
                </wp:positionV>
                <wp:extent cx="629728" cy="276046"/>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276046"/>
                        </a:xfrm>
                        <a:prstGeom prst="rect">
                          <a:avLst/>
                        </a:prstGeom>
                        <a:solidFill>
                          <a:schemeClr val="bg1"/>
                        </a:solidFill>
                        <a:ln w="9525">
                          <a:noFill/>
                          <a:miter lim="800000"/>
                          <a:headEnd/>
                          <a:tailEnd/>
                        </a:ln>
                      </wps:spPr>
                      <wps:txbx>
                        <w:txbxContent>
                          <w:p w14:paraId="776EE739" w14:textId="77777777" w:rsidR="00C8402C" w:rsidRPr="00E67BA6" w:rsidRDefault="00C8402C" w:rsidP="00C775D1">
                            <w:pPr>
                              <w:jc w:val="center"/>
                              <w:rPr>
                                <w:b/>
                              </w:rPr>
                            </w:pPr>
                            <w:r>
                              <w:rPr>
                                <w:b/>
                              </w:rPr>
                              <w:t>Video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E724A" id="_x0000_s1418" type="#_x0000_t202" style="position:absolute;margin-left:301.35pt;margin-top:464.35pt;width:49.6pt;height:21.7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" fillcolor="white [3212]" stroked="f">
                <v:textbox>
                  <w:txbxContent>
                    <w:p w14:paraId="776EE739" w14:textId="77777777" w:rsidR="00C8402C" w:rsidRPr="00E67BA6" w:rsidRDefault="00C8402C" w:rsidP="00C775D1">
                      <w:pPr>
                        <w:jc w:val="center"/>
                        <w:rPr>
                          <w:b/>
                        </w:rPr>
                      </w:pPr>
                      <w:r>
                        <w:rPr>
                          <w:b/>
                        </w:rPr>
                        <w:t>Video</w:t>
                      </w:r>
                    </w:p>
                  </w:txbxContent>
                </v:textbox>
              </v:shape>
            </w:pict>
          </mc:Fallback>
        </mc:AlternateContent>
      </w:r>
      <w:r w:rsidRPr="003726FE">
        <w:rPr>
          <w:noProof/>
          <w:lang w:eastAsia="en-GB"/>
        </w:rPr>
        <mc:AlternateContent>
          <mc:Choice Requires="wps">
            <w:drawing>
              <wp:anchor distT="45720" distB="45720" distL="114300" distR="114300" simplePos="0" relativeHeight="252012544" behindDoc="0" locked="0" layoutInCell="1" allowOverlap="1" wp14:anchorId="17125BCA" wp14:editId="5A7EE8F1">
                <wp:simplePos x="0" y="0"/>
                <wp:positionH relativeFrom="column">
                  <wp:posOffset>1276662</wp:posOffset>
                </wp:positionH>
                <wp:positionV relativeFrom="paragraph">
                  <wp:posOffset>5787774</wp:posOffset>
                </wp:positionV>
                <wp:extent cx="629728" cy="276046"/>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276046"/>
                        </a:xfrm>
                        <a:prstGeom prst="rect">
                          <a:avLst/>
                        </a:prstGeom>
                        <a:solidFill>
                          <a:schemeClr val="bg1"/>
                        </a:solidFill>
                        <a:ln w="9525">
                          <a:noFill/>
                          <a:miter lim="800000"/>
                          <a:headEnd/>
                          <a:tailEnd/>
                        </a:ln>
                      </wps:spPr>
                      <wps:txbx>
                        <w:txbxContent>
                          <w:p w14:paraId="1EADABC3" w14:textId="46AF4D61" w:rsidR="00C8402C" w:rsidRPr="00E67BA6" w:rsidRDefault="00C8402C" w:rsidP="00C775D1">
                            <w:pPr>
                              <w:jc w:val="center"/>
                              <w:rPr>
                                <w:b/>
                              </w:rPr>
                            </w:pPr>
                            <w:r>
                              <w:rPr>
                                <w:b/>
                              </w:rPr>
                              <w:t>Video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125BCA" id="_x0000_s1419" type="#_x0000_t202" style="position:absolute;margin-left:100.5pt;margin-top:455.75pt;width:49.6pt;height:21.7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" fillcolor="white [3212]" stroked="f">
                <v:textbox>
                  <w:txbxContent>
                    <w:p w14:paraId="1EADABC3" w14:textId="46AF4D61" w:rsidR="00C8402C" w:rsidRPr="00E67BA6" w:rsidRDefault="00C8402C" w:rsidP="00C775D1">
                      <w:pPr>
                        <w:jc w:val="center"/>
                        <w:rPr>
                          <w:b/>
                        </w:rPr>
                      </w:pPr>
                      <w:r>
                        <w:rPr>
                          <w:b/>
                        </w:rPr>
                        <w:t>Video</w:t>
                      </w:r>
                    </w:p>
                  </w:txbxContent>
                </v:textbox>
              </v:shape>
            </w:pict>
          </mc:Fallback>
        </mc:AlternateContent>
      </w:r>
      <w:r w:rsidRPr="003726FE">
        <w:rPr>
          <w:noProof/>
          <w:lang w:eastAsia="en-GB"/>
        </w:rPr>
        <mc:AlternateContent>
          <mc:Choice Requires="wps">
            <w:drawing>
              <wp:anchor distT="45720" distB="45720" distL="114300" distR="114300" simplePos="0" relativeHeight="252010496" behindDoc="0" locked="0" layoutInCell="1" allowOverlap="1" wp14:anchorId="242E5EC5" wp14:editId="1E117A04">
                <wp:simplePos x="0" y="0"/>
                <wp:positionH relativeFrom="column">
                  <wp:posOffset>-71252</wp:posOffset>
                </wp:positionH>
                <wp:positionV relativeFrom="paragraph">
                  <wp:posOffset>190005</wp:posOffset>
                </wp:positionV>
                <wp:extent cx="3823335" cy="391160"/>
                <wp:effectExtent l="0" t="0" r="0" b="0"/>
                <wp:wrapNone/>
                <wp:docPr id="6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91160"/>
                        </a:xfrm>
                        <a:prstGeom prst="rect">
                          <a:avLst/>
                        </a:prstGeom>
                        <a:noFill/>
                        <a:ln w="9525">
                          <a:noFill/>
                          <a:miter lim="800000"/>
                          <a:headEnd/>
                          <a:tailEnd/>
                        </a:ln>
                      </wps:spPr>
                      <wps:txbx>
                        <w:txbxContent>
                          <w:p w14:paraId="03B60A02" w14:textId="3EA15B1F" w:rsidR="00C8402C" w:rsidRPr="00E67BA6" w:rsidRDefault="00C8402C" w:rsidP="00C775D1">
                            <w:pPr>
                              <w:rPr>
                                <w:b/>
                              </w:rPr>
                            </w:pPr>
                            <w:r>
                              <w:rPr>
                                <w:b/>
                              </w:rPr>
                              <w:t>Self-regulated learning feedback</w:t>
                            </w:r>
                            <w:r w:rsidRPr="00E67BA6">
                              <w:rPr>
                                <w:b/>
                              </w:rPr>
                              <w:t xml:space="preserve"> </w:t>
                            </w:r>
                            <w:r>
                              <w:rPr>
                                <w:b/>
                              </w:rPr>
                              <w:t>training</w:t>
                            </w:r>
                            <w:r w:rsidRPr="00E67BA6">
                              <w:rPr>
                                <w:b/>
                              </w:rPr>
                              <w:t xml:space="preserve"> materials</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E5EC5" id="_x0000_s1420" type="#_x0000_t202" style="position:absolute;margin-left:-5.6pt;margin-top:14.95pt;width:301.05pt;height:30.8pt;z-index:25201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" filled="f" stroked="f">
                <v:textbox style="mso-fit-shape-to-text:t">
                  <w:txbxContent>
                    <w:p w14:paraId="03B60A02" w14:textId="3EA15B1F" w:rsidR="00C8402C" w:rsidRPr="00E67BA6" w:rsidRDefault="00C8402C" w:rsidP="00C775D1">
                      <w:pPr>
                        <w:rPr>
                          <w:b/>
                        </w:rPr>
                      </w:pPr>
                      <w:r>
                        <w:rPr>
                          <w:b/>
                        </w:rPr>
                        <w:t>Self-regulated learning feedback</w:t>
                      </w:r>
                      <w:r w:rsidRPr="00E67BA6">
                        <w:rPr>
                          <w:b/>
                        </w:rPr>
                        <w:t xml:space="preserve"> </w:t>
                      </w:r>
                      <w:r>
                        <w:rPr>
                          <w:b/>
                        </w:rPr>
                        <w:t>training</w:t>
                      </w:r>
                      <w:r w:rsidRPr="00E67BA6">
                        <w:rPr>
                          <w:b/>
                        </w:rPr>
                        <w:t xml:space="preserve"> materials</w:t>
                      </w:r>
                      <w:r>
                        <w:rPr>
                          <w:b/>
                        </w:rPr>
                        <w:t>.</w:t>
                      </w:r>
                    </w:p>
                  </w:txbxContent>
                </v:textbox>
              </v:shape>
            </w:pict>
          </mc:Fallback>
        </mc:AlternateContent>
      </w:r>
      <w:r w:rsidRPr="003726FE">
        <w:rPr>
          <w:noProof/>
          <w:lang w:eastAsia="en-GB"/>
        </w:rPr>
        <w:drawing>
          <wp:inline distT="0" distB="0" distL="0" distR="0" wp14:anchorId="313A730D" wp14:editId="5AF68B78">
            <wp:extent cx="5443870" cy="8371840"/>
            <wp:effectExtent l="0" t="0" r="4445" b="0"/>
            <wp:docPr id="6068" name="Pictur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 name="SRL_Billy Training handout-0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47812" cy="8377902"/>
                    </a:xfrm>
                    <a:prstGeom prst="rect">
                      <a:avLst/>
                    </a:prstGeom>
                  </pic:spPr>
                </pic:pic>
              </a:graphicData>
            </a:graphic>
          </wp:inline>
        </w:drawing>
      </w:r>
    </w:p>
    <w:p w14:paraId="428CD840" w14:textId="77777777" w:rsidR="00DB701D" w:rsidRDefault="00DB701D">
      <w:r>
        <w:br w:type="page"/>
      </w:r>
    </w:p>
    <w:p w14:paraId="7A5A88AB" w14:textId="69176BBB" w:rsidR="00E67BA6" w:rsidRPr="003726FE" w:rsidRDefault="00C775D1">
      <w:pPr>
        <w:rPr>
          <w:rFonts w:eastAsia="Lucida Sans Unicode" w:cs="Mangal"/>
          <w:b/>
          <w:kern w:val="1"/>
          <w:sz w:val="28"/>
          <w:szCs w:val="24"/>
          <w:lang w:eastAsia="hi-IN" w:bidi="hi-IN"/>
        </w:rPr>
      </w:pPr>
      <w:r w:rsidRPr="003726FE">
        <w:rPr>
          <w:noProof/>
          <w:lang w:eastAsia="en-GB"/>
        </w:rPr>
        <w:lastRenderedPageBreak/>
        <w:drawing>
          <wp:inline distT="0" distB="0" distL="0" distR="0" wp14:anchorId="3A9DAC2B" wp14:editId="4A7442B1">
            <wp:extent cx="5465135" cy="8371840"/>
            <wp:effectExtent l="0" t="0" r="2540" b="0"/>
            <wp:docPr id="6069" name="Picture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 name="SRL_Billy Training handout-0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67283" cy="8375131"/>
                    </a:xfrm>
                    <a:prstGeom prst="rect">
                      <a:avLst/>
                    </a:prstGeom>
                  </pic:spPr>
                </pic:pic>
              </a:graphicData>
            </a:graphic>
          </wp:inline>
        </w:drawing>
      </w:r>
      <w:r w:rsidRPr="003726FE">
        <w:rPr>
          <w:noProof/>
          <w:lang w:eastAsia="en-GB"/>
        </w:rPr>
        <w:lastRenderedPageBreak/>
        <w:drawing>
          <wp:inline distT="0" distB="0" distL="0" distR="0" wp14:anchorId="34F8B1A4" wp14:editId="3172EAB9">
            <wp:extent cx="5475768" cy="8371840"/>
            <wp:effectExtent l="0" t="0" r="0" b="0"/>
            <wp:docPr id="6070" name="Picture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 name="SRL_Billy Training handout-0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79199" cy="8377086"/>
                    </a:xfrm>
                    <a:prstGeom prst="rect">
                      <a:avLst/>
                    </a:prstGeom>
                  </pic:spPr>
                </pic:pic>
              </a:graphicData>
            </a:graphic>
          </wp:inline>
        </w:drawing>
      </w:r>
      <w:r w:rsidRPr="003726FE">
        <w:rPr>
          <w:noProof/>
          <w:lang w:eastAsia="en-GB"/>
        </w:rPr>
        <w:lastRenderedPageBreak/>
        <w:drawing>
          <wp:inline distT="0" distB="0" distL="0" distR="0" wp14:anchorId="67EC7473" wp14:editId="1F0D83BD">
            <wp:extent cx="5475767" cy="8371840"/>
            <wp:effectExtent l="0" t="0" r="0" b="0"/>
            <wp:docPr id="6071" name="Picture 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 name="SRL_Billy Training handout-0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78380" cy="8375835"/>
                    </a:xfrm>
                    <a:prstGeom prst="rect">
                      <a:avLst/>
                    </a:prstGeom>
                  </pic:spPr>
                </pic:pic>
              </a:graphicData>
            </a:graphic>
          </wp:inline>
        </w:drawing>
      </w:r>
      <w:r w:rsidRPr="003726FE">
        <w:rPr>
          <w:noProof/>
          <w:lang w:eastAsia="en-GB"/>
        </w:rPr>
        <w:lastRenderedPageBreak/>
        <w:drawing>
          <wp:inline distT="0" distB="0" distL="0" distR="0" wp14:anchorId="49FD27C6" wp14:editId="10F38857">
            <wp:extent cx="5497033" cy="8371840"/>
            <wp:effectExtent l="0" t="0" r="8890" b="0"/>
            <wp:docPr id="6072" name="Picture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 name="SRL_Billy Training handout-0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499518" cy="8375625"/>
                    </a:xfrm>
                    <a:prstGeom prst="rect">
                      <a:avLst/>
                    </a:prstGeom>
                  </pic:spPr>
                </pic:pic>
              </a:graphicData>
            </a:graphic>
          </wp:inline>
        </w:drawing>
      </w:r>
      <w:r w:rsidRPr="003726FE">
        <w:rPr>
          <w:noProof/>
          <w:lang w:eastAsia="en-GB"/>
        </w:rPr>
        <w:lastRenderedPageBreak/>
        <w:drawing>
          <wp:inline distT="0" distB="0" distL="0" distR="0" wp14:anchorId="26FF42BA" wp14:editId="7464F382">
            <wp:extent cx="5486400" cy="8371840"/>
            <wp:effectExtent l="0" t="0" r="0" b="0"/>
            <wp:docPr id="6074" name="Pictur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 name="SRL_Billy Training handout-0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9524" cy="8376607"/>
                    </a:xfrm>
                    <a:prstGeom prst="rect">
                      <a:avLst/>
                    </a:prstGeom>
                  </pic:spPr>
                </pic:pic>
              </a:graphicData>
            </a:graphic>
          </wp:inline>
        </w:drawing>
      </w:r>
      <w:r w:rsidRPr="003726FE">
        <w:rPr>
          <w:noProof/>
          <w:lang w:eastAsia="en-GB"/>
        </w:rPr>
        <w:lastRenderedPageBreak/>
        <w:drawing>
          <wp:inline distT="0" distB="0" distL="0" distR="0" wp14:anchorId="41406D1C" wp14:editId="6009036D">
            <wp:extent cx="5465135" cy="8371840"/>
            <wp:effectExtent l="0" t="0" r="2540" b="0"/>
            <wp:docPr id="6076" name="Pictur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 name="SRL_Billy Training handout-07.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67231" cy="8375051"/>
                    </a:xfrm>
                    <a:prstGeom prst="rect">
                      <a:avLst/>
                    </a:prstGeom>
                  </pic:spPr>
                </pic:pic>
              </a:graphicData>
            </a:graphic>
          </wp:inline>
        </w:drawing>
      </w:r>
      <w:r w:rsidRPr="003726FE">
        <w:rPr>
          <w:noProof/>
          <w:lang w:eastAsia="en-GB"/>
        </w:rPr>
        <w:lastRenderedPageBreak/>
        <w:drawing>
          <wp:inline distT="0" distB="0" distL="0" distR="0" wp14:anchorId="729B933D" wp14:editId="0199FC5A">
            <wp:extent cx="5518298" cy="8371840"/>
            <wp:effectExtent l="0" t="0" r="6350" b="0"/>
            <wp:docPr id="6077" name="Pictur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 name="SRL_Billy Training handout-08.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520536" cy="8375235"/>
                    </a:xfrm>
                    <a:prstGeom prst="rect">
                      <a:avLst/>
                    </a:prstGeom>
                  </pic:spPr>
                </pic:pic>
              </a:graphicData>
            </a:graphic>
          </wp:inline>
        </w:drawing>
      </w:r>
      <w:r w:rsidRPr="003726FE">
        <w:rPr>
          <w:noProof/>
          <w:lang w:eastAsia="en-GB"/>
        </w:rPr>
        <w:lastRenderedPageBreak/>
        <mc:AlternateContent>
          <mc:Choice Requires="wps">
            <w:drawing>
              <wp:anchor distT="45720" distB="45720" distL="114300" distR="114300" simplePos="0" relativeHeight="252016640" behindDoc="0" locked="0" layoutInCell="1" allowOverlap="1" wp14:anchorId="6B2EA354" wp14:editId="01D232AF">
                <wp:simplePos x="0" y="0"/>
                <wp:positionH relativeFrom="column">
                  <wp:posOffset>1224951</wp:posOffset>
                </wp:positionH>
                <wp:positionV relativeFrom="paragraph">
                  <wp:posOffset>5909094</wp:posOffset>
                </wp:positionV>
                <wp:extent cx="629728" cy="276046"/>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276046"/>
                        </a:xfrm>
                        <a:prstGeom prst="rect">
                          <a:avLst/>
                        </a:prstGeom>
                        <a:solidFill>
                          <a:schemeClr val="bg1"/>
                        </a:solidFill>
                        <a:ln w="9525">
                          <a:noFill/>
                          <a:miter lim="800000"/>
                          <a:headEnd/>
                          <a:tailEnd/>
                        </a:ln>
                      </wps:spPr>
                      <wps:txbx>
                        <w:txbxContent>
                          <w:p w14:paraId="7E728943" w14:textId="77777777" w:rsidR="00C8402C" w:rsidRPr="00E67BA6" w:rsidRDefault="00C8402C" w:rsidP="00C775D1">
                            <w:pPr>
                              <w:jc w:val="center"/>
                              <w:rPr>
                                <w:b/>
                              </w:rPr>
                            </w:pPr>
                            <w:r>
                              <w:rPr>
                                <w:b/>
                              </w:rPr>
                              <w:t>Video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EA354" id="_x0000_s1421" type="#_x0000_t202" style="position:absolute;margin-left:96.45pt;margin-top:465.3pt;width:49.6pt;height:21.7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" fillcolor="white [3212]" stroked="f">
                <v:textbox>
                  <w:txbxContent>
                    <w:p w14:paraId="7E728943" w14:textId="77777777" w:rsidR="00C8402C" w:rsidRPr="00E67BA6" w:rsidRDefault="00C8402C" w:rsidP="00C775D1">
                      <w:pPr>
                        <w:jc w:val="center"/>
                        <w:rPr>
                          <w:b/>
                        </w:rPr>
                      </w:pPr>
                      <w:r>
                        <w:rPr>
                          <w:b/>
                        </w:rPr>
                        <w:t>Video</w:t>
                      </w:r>
                    </w:p>
                  </w:txbxContent>
                </v:textbox>
              </v:shape>
            </w:pict>
          </mc:Fallback>
        </mc:AlternateContent>
      </w:r>
      <w:r w:rsidRPr="003726FE">
        <w:rPr>
          <w:noProof/>
          <w:lang w:eastAsia="en-GB"/>
        </w:rPr>
        <w:drawing>
          <wp:inline distT="0" distB="0" distL="0" distR="0" wp14:anchorId="28E56CCD" wp14:editId="60A171F7">
            <wp:extent cx="5465135" cy="8371840"/>
            <wp:effectExtent l="0" t="0" r="2540" b="0"/>
            <wp:docPr id="6078" name="Picture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 name="SRL_Billy Training handout-09.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468054" cy="8376312"/>
                    </a:xfrm>
                    <a:prstGeom prst="rect">
                      <a:avLst/>
                    </a:prstGeom>
                  </pic:spPr>
                </pic:pic>
              </a:graphicData>
            </a:graphic>
          </wp:inline>
        </w:drawing>
      </w:r>
      <w:r w:rsidRPr="003726FE">
        <w:rPr>
          <w:noProof/>
          <w:lang w:eastAsia="en-GB"/>
        </w:rPr>
        <w:lastRenderedPageBreak/>
        <mc:AlternateContent>
          <mc:Choice Requires="wps">
            <w:drawing>
              <wp:anchor distT="45720" distB="45720" distL="114300" distR="114300" simplePos="0" relativeHeight="252018688" behindDoc="0" locked="0" layoutInCell="1" allowOverlap="1" wp14:anchorId="23D08710" wp14:editId="2DE1CD33">
                <wp:simplePos x="0" y="0"/>
                <wp:positionH relativeFrom="column">
                  <wp:posOffset>1224951</wp:posOffset>
                </wp:positionH>
                <wp:positionV relativeFrom="paragraph">
                  <wp:posOffset>5909095</wp:posOffset>
                </wp:positionV>
                <wp:extent cx="629728" cy="276046"/>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 cy="276046"/>
                        </a:xfrm>
                        <a:prstGeom prst="rect">
                          <a:avLst/>
                        </a:prstGeom>
                        <a:solidFill>
                          <a:schemeClr val="bg1"/>
                        </a:solidFill>
                        <a:ln w="9525">
                          <a:noFill/>
                          <a:miter lim="800000"/>
                          <a:headEnd/>
                          <a:tailEnd/>
                        </a:ln>
                      </wps:spPr>
                      <wps:txbx>
                        <w:txbxContent>
                          <w:p w14:paraId="77EF0E35" w14:textId="77777777" w:rsidR="00C8402C" w:rsidRPr="00E67BA6" w:rsidRDefault="00C8402C" w:rsidP="00C775D1">
                            <w:pPr>
                              <w:jc w:val="center"/>
                              <w:rPr>
                                <w:b/>
                              </w:rPr>
                            </w:pPr>
                            <w:r>
                              <w:rPr>
                                <w:b/>
                              </w:rPr>
                              <w:t>Video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08710" id="_x0000_s1422" type="#_x0000_t202" style="position:absolute;margin-left:96.45pt;margin-top:465.3pt;width:49.6pt;height:21.7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" fillcolor="white [3212]" stroked="f">
                <v:textbox>
                  <w:txbxContent>
                    <w:p w14:paraId="77EF0E35" w14:textId="77777777" w:rsidR="00C8402C" w:rsidRPr="00E67BA6" w:rsidRDefault="00C8402C" w:rsidP="00C775D1">
                      <w:pPr>
                        <w:jc w:val="center"/>
                        <w:rPr>
                          <w:b/>
                        </w:rPr>
                      </w:pPr>
                      <w:r>
                        <w:rPr>
                          <w:b/>
                        </w:rPr>
                        <w:t>Video</w:t>
                      </w:r>
                    </w:p>
                  </w:txbxContent>
                </v:textbox>
              </v:shape>
            </w:pict>
          </mc:Fallback>
        </mc:AlternateContent>
      </w:r>
      <w:r w:rsidRPr="003726FE">
        <w:rPr>
          <w:noProof/>
          <w:lang w:eastAsia="en-GB"/>
        </w:rPr>
        <w:drawing>
          <wp:inline distT="0" distB="0" distL="0" distR="0" wp14:anchorId="36C98BCD" wp14:editId="77174A57">
            <wp:extent cx="5497033" cy="8371064"/>
            <wp:effectExtent l="0" t="0" r="8890" b="0"/>
            <wp:docPr id="6079" name="Picture 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 name="SRL_Billy Training handout-1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503694" cy="8381207"/>
                    </a:xfrm>
                    <a:prstGeom prst="rect">
                      <a:avLst/>
                    </a:prstGeom>
                  </pic:spPr>
                </pic:pic>
              </a:graphicData>
            </a:graphic>
          </wp:inline>
        </w:drawing>
      </w:r>
      <w:r w:rsidRPr="003726FE">
        <w:rPr>
          <w:noProof/>
          <w:lang w:eastAsia="en-GB"/>
        </w:rPr>
        <w:lastRenderedPageBreak/>
        <w:drawing>
          <wp:inline distT="0" distB="0" distL="0" distR="0" wp14:anchorId="7A519425" wp14:editId="60FBE683">
            <wp:extent cx="5486400" cy="837184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SRL_Billy Training handout-1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87852" cy="8374055"/>
                    </a:xfrm>
                    <a:prstGeom prst="rect">
                      <a:avLst/>
                    </a:prstGeom>
                  </pic:spPr>
                </pic:pic>
              </a:graphicData>
            </a:graphic>
          </wp:inline>
        </w:drawing>
      </w:r>
      <w:r w:rsidRPr="003726FE">
        <w:rPr>
          <w:noProof/>
          <w:lang w:eastAsia="en-GB"/>
        </w:rPr>
        <w:lastRenderedPageBreak/>
        <w:drawing>
          <wp:inline distT="0" distB="0" distL="0" distR="0" wp14:anchorId="2F52807C" wp14:editId="69EA3996">
            <wp:extent cx="5433237" cy="837184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SRL_Billy Training handout-1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36113" cy="8376272"/>
                    </a:xfrm>
                    <a:prstGeom prst="rect">
                      <a:avLst/>
                    </a:prstGeom>
                  </pic:spPr>
                </pic:pic>
              </a:graphicData>
            </a:graphic>
          </wp:inline>
        </w:drawing>
      </w:r>
      <w:r w:rsidR="00E67BA6" w:rsidRPr="003726FE">
        <w:br w:type="page"/>
      </w:r>
    </w:p>
    <w:p w14:paraId="690AF4C8" w14:textId="79541BB5" w:rsidR="001D4448" w:rsidRPr="003726FE" w:rsidRDefault="006B367E" w:rsidP="00B1638D">
      <w:pPr>
        <w:pStyle w:val="Heading2"/>
        <w:rPr>
          <w:lang w:val="en-GB"/>
        </w:rPr>
      </w:pPr>
      <w:bookmarkStart w:id="993" w:name="_Toc500319480"/>
      <w:r w:rsidRPr="003726FE">
        <w:rPr>
          <w:lang w:val="en-GB"/>
        </w:rPr>
        <w:lastRenderedPageBreak/>
        <w:t xml:space="preserve">Appendix 9. Topic </w:t>
      </w:r>
      <w:r w:rsidR="00C47666" w:rsidRPr="003726FE">
        <w:rPr>
          <w:lang w:val="en-GB"/>
        </w:rPr>
        <w:t xml:space="preserve">Guide – </w:t>
      </w:r>
      <w:r w:rsidRPr="003726FE">
        <w:rPr>
          <w:lang w:val="en-GB"/>
        </w:rPr>
        <w:t xml:space="preserve">Teacher </w:t>
      </w:r>
      <w:r w:rsidR="00C47666" w:rsidRPr="003726FE">
        <w:rPr>
          <w:lang w:val="en-GB"/>
        </w:rPr>
        <w:t xml:space="preserve">Interviews </w:t>
      </w:r>
      <w:r w:rsidR="000F5B89" w:rsidRPr="003726FE">
        <w:rPr>
          <w:lang w:val="en-GB"/>
        </w:rPr>
        <w:t>(BPF + SRL)</w:t>
      </w:r>
      <w:r w:rsidR="00B60A53" w:rsidRPr="003726FE">
        <w:rPr>
          <w:lang w:val="en-GB"/>
        </w:rPr>
        <w:t>.</w:t>
      </w:r>
      <w:bookmarkEnd w:id="993"/>
    </w:p>
    <w:p w14:paraId="026BCD66" w14:textId="77777777" w:rsidR="000F5B89" w:rsidRPr="003726FE" w:rsidRDefault="000F5B89" w:rsidP="000F5B89">
      <w:pPr>
        <w:rPr>
          <w:lang w:eastAsia="hi-IN" w:bidi="hi-IN"/>
        </w:rPr>
      </w:pPr>
    </w:p>
    <w:p w14:paraId="7CB37BAC" w14:textId="77777777" w:rsidR="000F5B89" w:rsidRPr="003726FE" w:rsidRDefault="000F5B89" w:rsidP="000F5B89">
      <w:pPr>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t>Interview Guide – Best practice feedback tutors</w:t>
      </w:r>
    </w:p>
    <w:p w14:paraId="0C9C697B"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ab/>
      </w:r>
    </w:p>
    <w:p w14:paraId="67873EC4"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Purpose:</w:t>
      </w:r>
    </w:p>
    <w:p w14:paraId="4A7FD00D"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245D5D50"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To assess the </w:t>
      </w:r>
      <w:r w:rsidRPr="003726FE">
        <w:rPr>
          <w:rFonts w:ascii="Cambria" w:eastAsia="Calibri" w:hAnsi="Cambria" w:cs="Arial"/>
          <w:color w:val="000000"/>
          <w:sz w:val="22"/>
        </w:rPr>
        <w:t>acceptability, perceived ease of use and usefulness</w:t>
      </w:r>
      <w:r w:rsidRPr="003726FE">
        <w:rPr>
          <w:rFonts w:ascii="Cambria" w:eastAsia="Cambria" w:hAnsi="Cambria" w:cs="Times New Roman"/>
          <w:bCs/>
          <w:sz w:val="22"/>
          <w:lang w:eastAsia="ja-JP"/>
        </w:rPr>
        <w:t xml:space="preserve"> of the intervention and identify what causal mechanisms allowed for any positive or negative effects.</w:t>
      </w:r>
    </w:p>
    <w:p w14:paraId="2CD190B1" w14:textId="77777777" w:rsidR="000F5B89" w:rsidRPr="003726FE" w:rsidRDefault="000F5B89" w:rsidP="000F5B89">
      <w:pPr>
        <w:spacing w:after="0" w:line="240" w:lineRule="auto"/>
        <w:rPr>
          <w:rFonts w:ascii="Cambria" w:eastAsia="Cambria" w:hAnsi="Cambria" w:cs="Times New Roman"/>
          <w:b/>
          <w:bCs/>
          <w:sz w:val="22"/>
          <w:lang w:eastAsia="ja-JP"/>
        </w:rPr>
      </w:pPr>
    </w:p>
    <w:p w14:paraId="7EA8ACD7"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Objectives:</w:t>
      </w:r>
    </w:p>
    <w:p w14:paraId="27FBAC71"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7D133A19" w14:textId="77777777"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gain the narrative accounts of the tutors who received the best practice feedback training and delivered feedback intervention relating to the dependent variables.</w:t>
      </w:r>
    </w:p>
    <w:p w14:paraId="65A8C31F" w14:textId="322C53DB"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To understand how their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s of feedback have been affected by their experiences of delivering the intervention.</w:t>
      </w:r>
    </w:p>
    <w:p w14:paraId="165267C9"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72645698"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Research questions:</w:t>
      </w:r>
    </w:p>
    <w:p w14:paraId="0E5AF77D"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52D52A09"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Why and how was the intervention useful/not useful?</w:t>
      </w:r>
    </w:p>
    <w:p w14:paraId="56BA7AE1"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what extent was the intervention feasible and usable?</w:t>
      </w:r>
    </w:p>
    <w:p w14:paraId="4B08DAE3"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How and for whom does the intervention promote behaviour change?</w:t>
      </w:r>
    </w:p>
    <w:p w14:paraId="2DC20571"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what extent was the intervention consistent with the programmed theory and delivery method?</w:t>
      </w:r>
    </w:p>
    <w:p w14:paraId="075784C4"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The Interviewees:</w:t>
      </w:r>
    </w:p>
    <w:p w14:paraId="438CF5F8"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1C50FBA"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 interviewees are clinical skills tutors and foundation year doctors who have taught venepuncture and catheterisation to phase 2a students and given feedback using best practice principles. The full time tutors are experienced teachers and are very used to teaching these particular skills whereas the foundation doctors are beginners, some teaching clinical skills for the first time. They are all highly educated and are incredibly knowledgeable in the taught skills. They have been trained in best practice feedback techniques so will be moderately familiar with key feedback principles.</w:t>
      </w:r>
    </w:p>
    <w:p w14:paraId="4FF903DF"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F166FC9"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They have first-hand experience of delivering the intervention in an authentic teaching context. They will have specific thoughts and feelings towards the intervention and what feedback means to them before, during and after the study. </w:t>
      </w:r>
    </w:p>
    <w:p w14:paraId="3ACB2978"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F02A3F5" w14:textId="70F72246"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Their thoughts need to be structured in terms of the sequence of events throughout the </w:t>
      </w:r>
      <w:r w:rsidR="00FC0FFB" w:rsidRPr="003726FE">
        <w:rPr>
          <w:rFonts w:ascii="Cambria" w:eastAsia="Cambria" w:hAnsi="Cambria" w:cs="Times New Roman"/>
          <w:bCs/>
          <w:sz w:val="22"/>
          <w:lang w:eastAsia="ja-JP"/>
        </w:rPr>
        <w:t>study to</w:t>
      </w:r>
      <w:r w:rsidRPr="003726FE">
        <w:rPr>
          <w:rFonts w:ascii="Cambria" w:eastAsia="Cambria" w:hAnsi="Cambria" w:cs="Times New Roman"/>
          <w:bCs/>
          <w:sz w:val="22"/>
          <w:lang w:eastAsia="ja-JP"/>
        </w:rPr>
        <w:t xml:space="preserve"> gain insight into each stage (training, delivering, and reflection).</w:t>
      </w:r>
    </w:p>
    <w:p w14:paraId="4358ACCB"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3BE9C9D4"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They will likely be motivated to speak about their thoughts and feelings on the intervention if they have particularly strong opinions. They agreed to participate in the study so it be assumed they have some interest in expressing their views on their experiences.</w:t>
      </w:r>
    </w:p>
    <w:p w14:paraId="12F09AF1"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3374C99F"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I have observed them at all stages very closely and have had some contact during the delivery of the intervention. They may be nervous as to how I might conduct the interview e.g. a run-down of what I saw them do almost like a performance review. I have built some trust between us which may negate this effect. The relationship we develop will likely be quite business like given the short time I have spent with them and the relatively low credibility I have to them in terms of my role in the school. I must be purposeful in my </w:t>
      </w:r>
      <w:r w:rsidRPr="003726FE">
        <w:rPr>
          <w:rFonts w:ascii="Cambria" w:eastAsia="Cambria" w:hAnsi="Cambria" w:cs="Times New Roman"/>
          <w:bCs/>
          <w:sz w:val="22"/>
          <w:lang w:eastAsia="ja-JP"/>
        </w:rPr>
        <w:lastRenderedPageBreak/>
        <w:t>constructivist semi-structured approach to lessen this and tap into more in depth emotional accounts from them.</w:t>
      </w:r>
    </w:p>
    <w:p w14:paraId="2267A9D6"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44D31495" w14:textId="19DB126F" w:rsidR="000F5B89" w:rsidRPr="003726FE" w:rsidRDefault="000F5B89" w:rsidP="00E07A7C">
      <w:pPr>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t>Topics</w:t>
      </w:r>
    </w:p>
    <w:p w14:paraId="70C960E2"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7896A640"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libri" w:hAnsi="Cambria" w:cs="Arial"/>
          <w:b/>
          <w:color w:val="000000"/>
          <w:sz w:val="22"/>
        </w:rPr>
        <w:t>Acceptability, perceived ease of use and usefulness</w:t>
      </w:r>
      <w:r w:rsidRPr="003726FE">
        <w:rPr>
          <w:rFonts w:ascii="Cambria" w:eastAsia="Cambria" w:hAnsi="Cambria" w:cs="Times New Roman"/>
          <w:b/>
          <w:bCs/>
          <w:sz w:val="22"/>
          <w:lang w:eastAsia="ja-JP"/>
        </w:rPr>
        <w:t xml:space="preserve"> of the intervention: how the participant viewed their experience of the intervention in terms of these variables. </w:t>
      </w:r>
    </w:p>
    <w:p w14:paraId="4674D1AC"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0A9C8708"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Acceptability –</w:t>
      </w:r>
      <w:r w:rsidRPr="003726FE">
        <w:rPr>
          <w:rFonts w:ascii="Cambria" w:eastAsia="Cambria" w:hAnsi="Cambria" w:cs="Times New Roman"/>
          <w:bCs/>
          <w:sz w:val="22"/>
          <w:lang w:eastAsia="ja-JP"/>
        </w:rPr>
        <w:t xml:space="preserve"> to what extent the participants believed the intervention was appropriate in the simulated clinical skills context. Whether they felt they adhered to it and used it in the way they thought it was intended. </w:t>
      </w:r>
    </w:p>
    <w:p w14:paraId="31F505B0"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FE80B3A"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Perceived ease of use</w:t>
      </w:r>
      <w:r w:rsidRPr="003726FE">
        <w:rPr>
          <w:rFonts w:ascii="Cambria" w:eastAsia="Cambria" w:hAnsi="Cambria" w:cs="Times New Roman"/>
          <w:bCs/>
          <w:sz w:val="22"/>
          <w:lang w:eastAsia="ja-JP"/>
        </w:rPr>
        <w:t xml:space="preserve"> - to what extent the participants felt the intervention was usable in that environment, was it difficult or challenging for them to implement. This is also about their satisfaction of using the intervention compared to their usual feedback practices. </w:t>
      </w:r>
    </w:p>
    <w:p w14:paraId="24038531"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36196977"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Usefulness</w:t>
      </w:r>
      <w:r w:rsidRPr="003726FE">
        <w:rPr>
          <w:rFonts w:ascii="Cambria" w:eastAsia="Cambria" w:hAnsi="Cambria" w:cs="Times New Roman"/>
          <w:bCs/>
          <w:sz w:val="22"/>
          <w:lang w:eastAsia="ja-JP"/>
        </w:rPr>
        <w:t xml:space="preserve"> – Whether they thought the intervention made any positive or negative difference in their teaching practice and whether they perceived that it had any impact upon their students learning experience. This can be in relation to their teaching practice and/or its effectiveness in improving learning.</w:t>
      </w:r>
    </w:p>
    <w:p w14:paraId="07EFCAB5"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5403861" w14:textId="4B96F6D5"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Their views on feedback</w:t>
      </w:r>
      <w:r w:rsidRPr="003726FE">
        <w:rPr>
          <w:rFonts w:ascii="Cambria" w:eastAsia="Cambria" w:hAnsi="Cambria" w:cs="Times New Roman"/>
          <w:bCs/>
          <w:sz w:val="22"/>
          <w:lang w:eastAsia="ja-JP"/>
        </w:rPr>
        <w:t xml:space="preserve">: their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 xml:space="preserve">s of feedback and how they may have changed as a result of the study and intervention. Their views may have changed as a result of the training and intervention delivery. This is specifically regarding their use of feedback in their clinical skills teaching. </w:t>
      </w:r>
    </w:p>
    <w:p w14:paraId="5BBFA4AC" w14:textId="77777777" w:rsidR="000F5B89" w:rsidRPr="003726FE" w:rsidRDefault="000F5B89" w:rsidP="000F5B89">
      <w:pPr>
        <w:spacing w:after="0" w:line="240" w:lineRule="auto"/>
        <w:rPr>
          <w:rFonts w:ascii="Cambria" w:eastAsia="Cambria" w:hAnsi="Cambria" w:cs="Times New Roman"/>
          <w:b/>
          <w:bCs/>
          <w:sz w:val="22"/>
          <w:lang w:eastAsia="ja-JP"/>
        </w:rPr>
      </w:pPr>
    </w:p>
    <w:p w14:paraId="621D469B" w14:textId="77777777" w:rsidR="000F5B89" w:rsidRPr="003726FE" w:rsidRDefault="000F5B89" w:rsidP="000F5B89">
      <w:pPr>
        <w:spacing w:after="0" w:line="240" w:lineRule="auto"/>
        <w:rPr>
          <w:rFonts w:ascii="Cambria" w:eastAsia="Cambria" w:hAnsi="Cambria" w:cs="Times New Roman"/>
          <w:b/>
          <w:bCs/>
          <w:sz w:val="22"/>
          <w:lang w:eastAsia="ja-JP"/>
        </w:rPr>
      </w:pPr>
    </w:p>
    <w:p w14:paraId="182A8645" w14:textId="77777777" w:rsidR="000F5B89" w:rsidRPr="003726FE" w:rsidRDefault="000F5B89" w:rsidP="000F5B89">
      <w:pPr>
        <w:spacing w:after="0" w:line="240" w:lineRule="auto"/>
        <w:rPr>
          <w:rFonts w:ascii="Cambria" w:eastAsia="Cambria" w:hAnsi="Cambria" w:cs="Times New Roman"/>
          <w:b/>
          <w:bCs/>
          <w:sz w:val="22"/>
          <w:lang w:eastAsia="ja-JP"/>
        </w:rPr>
      </w:pPr>
    </w:p>
    <w:p w14:paraId="326DD65D" w14:textId="77777777" w:rsidR="000F5B89" w:rsidRPr="003726FE" w:rsidRDefault="000F5B89" w:rsidP="000F5B89">
      <w:pPr>
        <w:spacing w:after="0" w:line="360" w:lineRule="auto"/>
        <w:rPr>
          <w:rFonts w:ascii="Cambria" w:eastAsia="Cambria" w:hAnsi="Cambria" w:cs="Times New Roman"/>
          <w:b/>
          <w:bCs/>
          <w:szCs w:val="24"/>
          <w:lang w:eastAsia="ja-JP"/>
        </w:rPr>
      </w:pPr>
      <w:r w:rsidRPr="003726FE">
        <w:rPr>
          <w:rFonts w:ascii="Cambria" w:eastAsia="Cambria" w:hAnsi="Cambria" w:cs="Times New Roman"/>
          <w:b/>
          <w:bCs/>
          <w:szCs w:val="24"/>
          <w:lang w:eastAsia="ja-JP"/>
        </w:rPr>
        <w:t>Guidance notes:</w:t>
      </w:r>
    </w:p>
    <w:p w14:paraId="3AC58AB2" w14:textId="77777777" w:rsidR="000F5B89" w:rsidRPr="003726FE" w:rsidRDefault="000F5B89" w:rsidP="000F5B89">
      <w:pPr>
        <w:spacing w:after="0" w:line="360" w:lineRule="auto"/>
        <w:rPr>
          <w:rFonts w:ascii="Cambria" w:eastAsia="Cambria" w:hAnsi="Cambria" w:cs="Times New Roman"/>
          <w:b/>
          <w:bCs/>
          <w:szCs w:val="24"/>
          <w:lang w:eastAsia="ja-JP"/>
        </w:rPr>
      </w:pPr>
    </w:p>
    <w:p w14:paraId="4766B17F"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hypothetical examples or vignettes</w:t>
      </w:r>
    </w:p>
    <w:p w14:paraId="49B41F04"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specific things they have done</w:t>
      </w:r>
    </w:p>
    <w:p w14:paraId="1E16BA0A"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Use stimulated recall</w:t>
      </w:r>
    </w:p>
    <w:p w14:paraId="68EBE673"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for elaboration</w:t>
      </w:r>
    </w:p>
    <w:p w14:paraId="3CF4BB4B"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opposing ideas</w:t>
      </w:r>
    </w:p>
    <w:p w14:paraId="13C20D35"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if their rationale is all-encompassing</w:t>
      </w:r>
    </w:p>
    <w:p w14:paraId="16815F62"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other influencing conditions</w:t>
      </w:r>
    </w:p>
    <w:p w14:paraId="7C34DDC2"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probing and follow-up questions.</w:t>
      </w:r>
    </w:p>
    <w:p w14:paraId="132C4D4C" w14:textId="77777777" w:rsidR="000F5B89" w:rsidRPr="003726FE" w:rsidRDefault="000F5B89" w:rsidP="000F5B89">
      <w:pPr>
        <w:spacing w:after="0" w:line="240" w:lineRule="auto"/>
        <w:rPr>
          <w:rFonts w:ascii="Cambria" w:eastAsia="Cambria" w:hAnsi="Cambria" w:cs="Times New Roman"/>
          <w:b/>
          <w:bCs/>
          <w:szCs w:val="24"/>
          <w:lang w:eastAsia="ja-JP"/>
        </w:rPr>
      </w:pPr>
    </w:p>
    <w:p w14:paraId="259E0CCA" w14:textId="77777777" w:rsidR="000F5B89" w:rsidRPr="003726FE" w:rsidRDefault="000F5B89" w:rsidP="000F5B89">
      <w:pPr>
        <w:spacing w:after="0" w:line="240" w:lineRule="auto"/>
        <w:rPr>
          <w:rFonts w:ascii="Cambria" w:eastAsia="Cambria" w:hAnsi="Cambria" w:cs="Times New Roman"/>
          <w:b/>
          <w:bCs/>
          <w:szCs w:val="24"/>
          <w:lang w:eastAsia="ja-JP"/>
        </w:rPr>
      </w:pPr>
    </w:p>
    <w:p w14:paraId="3B5D735B" w14:textId="77777777" w:rsidR="000F5B89" w:rsidRPr="003726FE" w:rsidRDefault="000F5B89" w:rsidP="000F5B89">
      <w:pPr>
        <w:spacing w:after="0" w:line="240" w:lineRule="auto"/>
        <w:rPr>
          <w:rFonts w:ascii="Cambria" w:eastAsia="Cambria" w:hAnsi="Cambria" w:cs="Times New Roman"/>
          <w:b/>
          <w:bCs/>
          <w:szCs w:val="24"/>
          <w:lang w:eastAsia="ja-JP"/>
        </w:rPr>
      </w:pPr>
      <w:r w:rsidRPr="003726FE">
        <w:rPr>
          <w:rFonts w:ascii="Cambria" w:eastAsia="Cambria" w:hAnsi="Cambria" w:cs="Times New Roman"/>
          <w:b/>
          <w:bCs/>
          <w:szCs w:val="24"/>
          <w:lang w:eastAsia="ja-JP"/>
        </w:rPr>
        <w:t>Data collection methods</w:t>
      </w:r>
    </w:p>
    <w:p w14:paraId="0B1F38F6" w14:textId="77777777" w:rsidR="000F5B89" w:rsidRPr="003726FE" w:rsidRDefault="000F5B89" w:rsidP="000F5B89">
      <w:pPr>
        <w:spacing w:after="0" w:line="240" w:lineRule="auto"/>
        <w:rPr>
          <w:rFonts w:ascii="Cambria" w:eastAsia="Cambria" w:hAnsi="Cambria" w:cs="Times New Roman"/>
          <w:b/>
          <w:bCs/>
          <w:szCs w:val="24"/>
          <w:lang w:eastAsia="ja-JP"/>
        </w:rPr>
      </w:pPr>
    </w:p>
    <w:p w14:paraId="47D8F31C"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Audio recorder x 2 (Dictaphone)</w:t>
      </w:r>
    </w:p>
    <w:p w14:paraId="68F3466C"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Note taking</w:t>
      </w:r>
    </w:p>
    <w:p w14:paraId="57E1817D"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Duration: 1 hour</w:t>
      </w:r>
    </w:p>
    <w:p w14:paraId="0131739A"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612C9098"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05B3F329"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638425F6"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5FB145CD" w14:textId="77777777" w:rsidR="000F5B89" w:rsidRPr="003726FE" w:rsidRDefault="000F5B89" w:rsidP="000F5B89">
      <w:pPr>
        <w:tabs>
          <w:tab w:val="left" w:pos="5078"/>
        </w:tabs>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t>Question guide</w:t>
      </w:r>
    </w:p>
    <w:p w14:paraId="2ECFB7D8"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71CCA24C" w14:textId="77777777" w:rsidR="000F5B89" w:rsidRPr="003726FE" w:rsidRDefault="000F5B89" w:rsidP="000F5B8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Participant is greeted and made comfortable. The interviewer explains the interview procedure including timings, recording equipment and topics to be covered. Since the participant has already consented to the interview, another form is not required. The interviewer asks the participant if they are happy to proceed with the interview after having received the information. The participant has already received this information formally though email correspondence. The aim of this to explain ‘the rules of the game’ and to leave the participant in no doubt of what will happen, during and after the interview.</w:t>
      </w:r>
    </w:p>
    <w:p w14:paraId="527B2CBA"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5A6FC3CB"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0CB735FD" w14:textId="77777777" w:rsidR="000F5B89" w:rsidRPr="003726FE" w:rsidRDefault="000F5B89" w:rsidP="000F5B89">
      <w:pPr>
        <w:tabs>
          <w:tab w:val="left" w:pos="5078"/>
        </w:tabs>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begins</w:t>
      </w:r>
    </w:p>
    <w:p w14:paraId="6B9EEC52"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4ADCF595"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19C62F45" w14:textId="77777777" w:rsidR="000F5B89" w:rsidRPr="003726FE" w:rsidRDefault="000F5B89" w:rsidP="000F5B8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Recording equipment turned on.</w:t>
      </w:r>
    </w:p>
    <w:p w14:paraId="6310313F"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7F3E2D27"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0F572742"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1D89CCA5"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Introductory questions:</w:t>
      </w:r>
    </w:p>
    <w:p w14:paraId="4A7C9C39"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29821F15"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please give me a brief overview of your teaching career to this point?</w:t>
      </w:r>
    </w:p>
    <w:p w14:paraId="7FEF4370"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tell me about any other feedback training you have received before this project?</w:t>
      </w:r>
    </w:p>
    <w:p w14:paraId="18FB2596"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much teaching did you do on catheters and venepuncture?</w:t>
      </w:r>
    </w:p>
    <w:p w14:paraId="75DDB5BE"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5923A73"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5D9348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8C013D3"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BC5731F"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0DE5490"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C5EEC29"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0969E2F"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D3F613E"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3825E2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B62640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8A3DE99"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19F51D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813C980"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A25FAE9"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E177418"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4CD8015"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AB7646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8943EF3"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A3FE7A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0A63F9E"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4E35D5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1810E14" w14:textId="045EFCE0" w:rsidR="000F5B89" w:rsidRPr="003726FE" w:rsidRDefault="000F5B89" w:rsidP="000F5B89">
      <w:pPr>
        <w:rPr>
          <w:rFonts w:ascii="Cambria" w:eastAsia="Cambria" w:hAnsi="Cambria" w:cs="Times New Roman"/>
          <w:b/>
          <w:bCs/>
          <w:lang w:eastAsia="ja-JP"/>
        </w:rPr>
      </w:pPr>
    </w:p>
    <w:p w14:paraId="0F05DA94" w14:textId="76E42B34"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 xml:space="preserve">Topical questions: </w:t>
      </w:r>
      <w:r w:rsidR="008E7D00">
        <w:rPr>
          <w:rFonts w:ascii="Cambria" w:eastAsia="Cambria" w:hAnsi="Cambria" w:cs="Times New Roman"/>
          <w:b/>
          <w:bCs/>
          <w:lang w:eastAsia="ja-JP"/>
        </w:rPr>
        <w:t>Conceptualisation</w:t>
      </w:r>
      <w:r w:rsidRPr="003726FE">
        <w:rPr>
          <w:rFonts w:ascii="Cambria" w:eastAsia="Cambria" w:hAnsi="Cambria" w:cs="Times New Roman"/>
          <w:b/>
          <w:bCs/>
          <w:lang w:eastAsia="ja-JP"/>
        </w:rPr>
        <w:t>s of feedback</w:t>
      </w:r>
    </w:p>
    <w:p w14:paraId="6E9F13EA" w14:textId="77777777" w:rsidR="000F5B89" w:rsidRPr="003726FE" w:rsidRDefault="000F5B89" w:rsidP="000F5B89">
      <w:pPr>
        <w:spacing w:after="0" w:line="360" w:lineRule="auto"/>
        <w:rPr>
          <w:rFonts w:ascii="Cambria" w:eastAsia="Cambria" w:hAnsi="Cambria" w:cs="Times New Roman"/>
          <w:b/>
          <w:bCs/>
          <w:lang w:eastAsia="ja-JP"/>
        </w:rPr>
      </w:pPr>
    </w:p>
    <w:p w14:paraId="67CBE207"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To start, I’d like to ask you a few questions about your thoughts and feelings on feedback.</w:t>
      </w:r>
    </w:p>
    <w:p w14:paraId="13AB27A6" w14:textId="77777777" w:rsidR="000F5B89" w:rsidRPr="003726FE" w:rsidRDefault="000F5B89" w:rsidP="000F5B89">
      <w:pPr>
        <w:spacing w:after="0" w:line="360" w:lineRule="auto"/>
        <w:rPr>
          <w:rFonts w:ascii="Cambria" w:eastAsia="Cambria" w:hAnsi="Cambria" w:cs="Times New Roman"/>
          <w:b/>
          <w:bCs/>
          <w:lang w:eastAsia="ja-JP"/>
        </w:rPr>
      </w:pPr>
    </w:p>
    <w:p w14:paraId="281CBD82"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Thinking back to before you received any training for this study, what were your experiences with giving feedback?</w:t>
      </w:r>
    </w:p>
    <w:p w14:paraId="719EF286"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feedback giving at that time was challenging?</w:t>
      </w:r>
    </w:p>
    <w:p w14:paraId="79CAF7C3"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On the other hand, what do you feel worked well when you gave feedback?</w:t>
      </w:r>
    </w:p>
    <w:p w14:paraId="7A8FE20E"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think of any examples?</w:t>
      </w:r>
    </w:p>
    <w:p w14:paraId="7CE03AC7"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impact has the training and giving feedback in this way had on the way you teach and give feedback?</w:t>
      </w:r>
    </w:p>
    <w:p w14:paraId="413BE2B2"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 you feel that the effect was positive or negative?</w:t>
      </w:r>
    </w:p>
    <w:p w14:paraId="3174B0FD"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do you think that was?</w:t>
      </w:r>
    </w:p>
    <w:p w14:paraId="64B6AA15"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your views on the best practice principles of feedback which were delivered through the first training session?</w:t>
      </w:r>
    </w:p>
    <w:p w14:paraId="4EA7CF1B"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have your views on feedback changed as a result of this research project compared to before?</w:t>
      </w:r>
    </w:p>
    <w:p w14:paraId="16C112BB" w14:textId="5F908B92" w:rsidR="000F5B89" w:rsidRPr="003726FE" w:rsidRDefault="00384091"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
          <w:bCs/>
          <w:noProof/>
          <w:lang w:eastAsia="en-GB"/>
        </w:rPr>
        <mc:AlternateContent>
          <mc:Choice Requires="wps">
            <w:drawing>
              <wp:anchor distT="45720" distB="45720" distL="114300" distR="114300" simplePos="0" relativeHeight="251958272" behindDoc="0" locked="0" layoutInCell="1" allowOverlap="1" wp14:anchorId="2189184A" wp14:editId="6B567942">
                <wp:simplePos x="0" y="0"/>
                <wp:positionH relativeFrom="margin">
                  <wp:posOffset>109220</wp:posOffset>
                </wp:positionH>
                <wp:positionV relativeFrom="paragraph">
                  <wp:posOffset>309880</wp:posOffset>
                </wp:positionV>
                <wp:extent cx="5390515" cy="3040380"/>
                <wp:effectExtent l="0" t="0" r="19685" b="2667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040380"/>
                        </a:xfrm>
                        <a:prstGeom prst="rect">
                          <a:avLst/>
                        </a:prstGeom>
                        <a:solidFill>
                          <a:srgbClr val="FFFFFF"/>
                        </a:solidFill>
                        <a:ln w="9525">
                          <a:solidFill>
                            <a:srgbClr val="000000"/>
                          </a:solidFill>
                          <a:miter lim="800000"/>
                          <a:headEnd/>
                          <a:tailEnd/>
                        </a:ln>
                      </wps:spPr>
                      <wps:txbx>
                        <w:txbxContent>
                          <w:p w14:paraId="4328EB5D" w14:textId="77777777" w:rsidR="00C8402C" w:rsidRDefault="00C8402C" w:rsidP="000F5B89">
                            <w:pPr>
                              <w:spacing w:line="360" w:lineRule="auto"/>
                              <w:rPr>
                                <w:b/>
                                <w:i/>
                              </w:rPr>
                            </w:pPr>
                            <w:r>
                              <w:rPr>
                                <w:i/>
                              </w:rPr>
                              <w:t>Additional questions (if needed):</w:t>
                            </w:r>
                          </w:p>
                          <w:p w14:paraId="13DA2BD9" w14:textId="77777777" w:rsidR="00C8402C" w:rsidRPr="00496A27" w:rsidRDefault="00C8402C" w:rsidP="000F5B89">
                            <w:pPr>
                              <w:pStyle w:val="ListParagraph"/>
                              <w:numPr>
                                <w:ilvl w:val="0"/>
                                <w:numId w:val="39"/>
                              </w:numPr>
                              <w:spacing w:after="0" w:line="360" w:lineRule="auto"/>
                              <w:rPr>
                                <w:b/>
                                <w:i/>
                              </w:rPr>
                            </w:pPr>
                            <w:r w:rsidRPr="00496A27">
                              <w:rPr>
                                <w:i/>
                              </w:rPr>
                              <w:t>Think about a few typical examples of when you give feedback in your teaching, how involved in that encounter do you feel?</w:t>
                            </w:r>
                          </w:p>
                          <w:p w14:paraId="33D0EE3D" w14:textId="77777777" w:rsidR="00C8402C" w:rsidRPr="00496A27" w:rsidRDefault="00C8402C" w:rsidP="000F5B89">
                            <w:pPr>
                              <w:pStyle w:val="ListParagraph"/>
                              <w:numPr>
                                <w:ilvl w:val="1"/>
                                <w:numId w:val="39"/>
                              </w:numPr>
                              <w:spacing w:after="0" w:line="360" w:lineRule="auto"/>
                              <w:rPr>
                                <w:b/>
                                <w:i/>
                              </w:rPr>
                            </w:pPr>
                            <w:r w:rsidRPr="00496A27">
                              <w:rPr>
                                <w:i/>
                              </w:rPr>
                              <w:t>How involved do you think your students typically are in those encounters?</w:t>
                            </w:r>
                          </w:p>
                          <w:p w14:paraId="71505BCB" w14:textId="77777777" w:rsidR="00C8402C" w:rsidRPr="00496A27" w:rsidRDefault="00C8402C" w:rsidP="000F5B89">
                            <w:pPr>
                              <w:pStyle w:val="ListParagraph"/>
                              <w:numPr>
                                <w:ilvl w:val="1"/>
                                <w:numId w:val="39"/>
                              </w:numPr>
                              <w:spacing w:after="0" w:line="360" w:lineRule="auto"/>
                              <w:rPr>
                                <w:b/>
                                <w:i/>
                              </w:rPr>
                            </w:pPr>
                            <w:r w:rsidRPr="00496A27">
                              <w:rPr>
                                <w:i/>
                              </w:rPr>
                              <w:t>Do you think the students should play an active role in those encounters?</w:t>
                            </w:r>
                          </w:p>
                          <w:p w14:paraId="32DE7F72"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1CCC0644" w14:textId="77777777" w:rsidR="00C8402C" w:rsidRDefault="00C8402C" w:rsidP="000F5B89">
                            <w:pPr>
                              <w:pStyle w:val="ListParagraph"/>
                              <w:numPr>
                                <w:ilvl w:val="1"/>
                                <w:numId w:val="39"/>
                              </w:numPr>
                              <w:spacing w:after="0" w:line="360" w:lineRule="auto"/>
                              <w:rPr>
                                <w:b/>
                                <w:i/>
                              </w:rPr>
                            </w:pPr>
                            <w:r w:rsidRPr="00496A27">
                              <w:rPr>
                                <w:i/>
                              </w:rPr>
                              <w:t>Where do you think those came from?</w:t>
                            </w:r>
                          </w:p>
                          <w:p w14:paraId="1305B068" w14:textId="5BADC244" w:rsidR="00C8402C" w:rsidRPr="00384091" w:rsidRDefault="00C8402C" w:rsidP="00384091">
                            <w:pPr>
                              <w:pStyle w:val="ListParagraph"/>
                              <w:numPr>
                                <w:ilvl w:val="1"/>
                                <w:numId w:val="39"/>
                              </w:numPr>
                              <w:spacing w:after="0" w:line="360" w:lineRule="auto"/>
                              <w:rPr>
                                <w:b/>
                                <w:i/>
                              </w:rPr>
                            </w:pPr>
                            <w:r w:rsidRPr="00D34141">
                              <w:rPr>
                                <w:i/>
                              </w:rPr>
                              <w:t>Do you think your views on this have changed since yo</w:t>
                            </w:r>
                            <w:r>
                              <w:rPr>
                                <w:i/>
                              </w:rPr>
                              <w:t>u were trained in the technique?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9184A" id="_x0000_s1423" type="#_x0000_t202" style="position:absolute;left:0;text-align:left;margin-left:8.6pt;margin-top:24.4pt;width:424.45pt;height:239.4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">
                <v:textbox>
                  <w:txbxContent>
                    <w:p w14:paraId="4328EB5D" w14:textId="77777777" w:rsidR="00C8402C" w:rsidRDefault="00C8402C" w:rsidP="000F5B89">
                      <w:pPr>
                        <w:spacing w:line="360" w:lineRule="auto"/>
                        <w:rPr>
                          <w:b/>
                          <w:i/>
                        </w:rPr>
                      </w:pPr>
                      <w:r>
                        <w:rPr>
                          <w:i/>
                        </w:rPr>
                        <w:t>Additional questions (if needed):</w:t>
                      </w:r>
                    </w:p>
                    <w:p w14:paraId="13DA2BD9" w14:textId="77777777" w:rsidR="00C8402C" w:rsidRPr="00496A27" w:rsidRDefault="00C8402C" w:rsidP="000F5B89">
                      <w:pPr>
                        <w:pStyle w:val="ListParagraph"/>
                        <w:numPr>
                          <w:ilvl w:val="0"/>
                          <w:numId w:val="39"/>
                        </w:numPr>
                        <w:spacing w:after="0" w:line="360" w:lineRule="auto"/>
                        <w:rPr>
                          <w:b/>
                          <w:i/>
                        </w:rPr>
                      </w:pPr>
                      <w:r w:rsidRPr="00496A27">
                        <w:rPr>
                          <w:i/>
                        </w:rPr>
                        <w:t>Think about a few typical examples of when you give feedback in your teaching, how involved in that encounter do you feel?</w:t>
                      </w:r>
                    </w:p>
                    <w:p w14:paraId="33D0EE3D" w14:textId="77777777" w:rsidR="00C8402C" w:rsidRPr="00496A27" w:rsidRDefault="00C8402C" w:rsidP="000F5B89">
                      <w:pPr>
                        <w:pStyle w:val="ListParagraph"/>
                        <w:numPr>
                          <w:ilvl w:val="1"/>
                          <w:numId w:val="39"/>
                        </w:numPr>
                        <w:spacing w:after="0" w:line="360" w:lineRule="auto"/>
                        <w:rPr>
                          <w:b/>
                          <w:i/>
                        </w:rPr>
                      </w:pPr>
                      <w:r w:rsidRPr="00496A27">
                        <w:rPr>
                          <w:i/>
                        </w:rPr>
                        <w:t>How involved do you think your students typically are in those encounters?</w:t>
                      </w:r>
                    </w:p>
                    <w:p w14:paraId="71505BCB" w14:textId="77777777" w:rsidR="00C8402C" w:rsidRPr="00496A27" w:rsidRDefault="00C8402C" w:rsidP="000F5B89">
                      <w:pPr>
                        <w:pStyle w:val="ListParagraph"/>
                        <w:numPr>
                          <w:ilvl w:val="1"/>
                          <w:numId w:val="39"/>
                        </w:numPr>
                        <w:spacing w:after="0" w:line="360" w:lineRule="auto"/>
                        <w:rPr>
                          <w:b/>
                          <w:i/>
                        </w:rPr>
                      </w:pPr>
                      <w:r w:rsidRPr="00496A27">
                        <w:rPr>
                          <w:i/>
                        </w:rPr>
                        <w:t>Do you think the students should play an active role in those encounters?</w:t>
                      </w:r>
                    </w:p>
                    <w:p w14:paraId="32DE7F72"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1CCC0644" w14:textId="77777777" w:rsidR="00C8402C" w:rsidRDefault="00C8402C" w:rsidP="000F5B89">
                      <w:pPr>
                        <w:pStyle w:val="ListParagraph"/>
                        <w:numPr>
                          <w:ilvl w:val="1"/>
                          <w:numId w:val="39"/>
                        </w:numPr>
                        <w:spacing w:after="0" w:line="360" w:lineRule="auto"/>
                        <w:rPr>
                          <w:b/>
                          <w:i/>
                        </w:rPr>
                      </w:pPr>
                      <w:r w:rsidRPr="00496A27">
                        <w:rPr>
                          <w:i/>
                        </w:rPr>
                        <w:t>Where do you think those came from?</w:t>
                      </w:r>
                    </w:p>
                    <w:p w14:paraId="1305B068" w14:textId="5BADC244" w:rsidR="00C8402C" w:rsidRPr="00384091" w:rsidRDefault="00C8402C" w:rsidP="00384091">
                      <w:pPr>
                        <w:pStyle w:val="ListParagraph"/>
                        <w:numPr>
                          <w:ilvl w:val="1"/>
                          <w:numId w:val="39"/>
                        </w:numPr>
                        <w:spacing w:after="0" w:line="360" w:lineRule="auto"/>
                        <w:rPr>
                          <w:b/>
                          <w:i/>
                        </w:rPr>
                      </w:pPr>
                      <w:r w:rsidRPr="00D34141">
                        <w:rPr>
                          <w:i/>
                        </w:rPr>
                        <w:t>Do you think your views on this have changed since yo</w:t>
                      </w:r>
                      <w:r>
                        <w:rPr>
                          <w:i/>
                        </w:rPr>
                        <w:t>u were trained in the technique?</w:t>
                      </w:r>
                    </w:p>
                  </w:txbxContent>
                </v:textbox>
                <w10:wrap type="square" anchorx="margin"/>
              </v:shape>
            </w:pict>
          </mc:Fallback>
        </mc:AlternateContent>
      </w:r>
      <w:r w:rsidR="000F5B89" w:rsidRPr="003726FE">
        <w:rPr>
          <w:rFonts w:ascii="Cambria" w:eastAsia="Cambria" w:hAnsi="Cambria" w:cs="Times New Roman"/>
          <w:bCs/>
          <w:lang w:eastAsia="ja-JP"/>
        </w:rPr>
        <w:t>Why do you think they changed in that way?</w:t>
      </w:r>
    </w:p>
    <w:p w14:paraId="5CC2C7D9" w14:textId="4B17DAF7" w:rsidR="000F5B89" w:rsidRPr="003726FE" w:rsidRDefault="000F5B89" w:rsidP="00384091">
      <w:pPr>
        <w:spacing w:after="0" w:line="360" w:lineRule="auto"/>
        <w:contextualSpacing/>
        <w:rPr>
          <w:rFonts w:ascii="Cambria" w:eastAsia="Cambria" w:hAnsi="Cambria" w:cs="Times New Roman"/>
          <w:bCs/>
          <w:lang w:eastAsia="ja-JP"/>
        </w:rPr>
      </w:pPr>
    </w:p>
    <w:p w14:paraId="3779A6D3"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Topical questions: Usefulness</w:t>
      </w:r>
    </w:p>
    <w:p w14:paraId="5101C212" w14:textId="77777777" w:rsidR="000F5B89" w:rsidRPr="003726FE" w:rsidRDefault="000F5B89" w:rsidP="000F5B89">
      <w:pPr>
        <w:spacing w:after="0" w:line="360" w:lineRule="auto"/>
        <w:rPr>
          <w:rFonts w:ascii="Cambria" w:eastAsia="Cambria" w:hAnsi="Cambria" w:cs="Times New Roman"/>
          <w:b/>
          <w:bCs/>
          <w:lang w:eastAsia="ja-JP"/>
        </w:rPr>
      </w:pPr>
    </w:p>
    <w:p w14:paraId="4B7F0913"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Moving on from that, I’d like to talk about how useful you found the experience; including the training and when you gave feedback.</w:t>
      </w:r>
    </w:p>
    <w:p w14:paraId="638C0441" w14:textId="77777777" w:rsidR="000F5B89" w:rsidRPr="003726FE" w:rsidRDefault="000F5B89" w:rsidP="000F5B89">
      <w:pPr>
        <w:spacing w:after="0" w:line="360" w:lineRule="auto"/>
        <w:rPr>
          <w:rFonts w:ascii="Cambria" w:eastAsia="Cambria" w:hAnsi="Cambria" w:cs="Times New Roman"/>
          <w:b/>
          <w:bCs/>
          <w:lang w:eastAsia="ja-JP"/>
        </w:rPr>
      </w:pPr>
    </w:p>
    <w:p w14:paraId="0D8C101A" w14:textId="77777777" w:rsidR="000F5B89" w:rsidRPr="003726FE" w:rsidRDefault="000F5B89" w:rsidP="000F5B89">
      <w:pPr>
        <w:numPr>
          <w:ilvl w:val="0"/>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useful or not useful was the BPF training you received?</w:t>
      </w:r>
    </w:p>
    <w:p w14:paraId="51526ACB" w14:textId="77777777" w:rsidR="000F5B89" w:rsidRPr="003726FE" w:rsidRDefault="000F5B89" w:rsidP="000F5B89">
      <w:pPr>
        <w:numPr>
          <w:ilvl w:val="1"/>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it was useful or not useful and why?</w:t>
      </w:r>
    </w:p>
    <w:p w14:paraId="61D7D42C" w14:textId="77777777" w:rsidR="000F5B89" w:rsidRPr="003726FE" w:rsidRDefault="000F5B89" w:rsidP="000F5B89">
      <w:pPr>
        <w:numPr>
          <w:ilvl w:val="0"/>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 back to the times when you used the BPF training, how useful or not useful was it for giving feedback?</w:t>
      </w:r>
    </w:p>
    <w:p w14:paraId="2FF38170" w14:textId="77777777" w:rsidR="000F5B89" w:rsidRPr="003726FE" w:rsidRDefault="000F5B89" w:rsidP="000F5B89">
      <w:pPr>
        <w:numPr>
          <w:ilvl w:val="1"/>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was it useful/not useful for you?</w:t>
      </w:r>
    </w:p>
    <w:p w14:paraId="2BB97D48"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In your opinion, how useful or not useful is this technique is giving feedback in simulated clinical skills contexts?</w:t>
      </w:r>
    </w:p>
    <w:p w14:paraId="0607F399"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so/if not, why do think that?</w:t>
      </w:r>
    </w:p>
    <w:p w14:paraId="7A18F026"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To what extent was the way you gave feedback using the training a useful addition to your teaching practice?</w:t>
      </w:r>
    </w:p>
    <w:p w14:paraId="29C1CB28"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so/if not, why do think that?</w:t>
      </w:r>
    </w:p>
    <w:p w14:paraId="0A9B7FFF"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1344" behindDoc="0" locked="0" layoutInCell="1" allowOverlap="1" wp14:anchorId="70F3D41D" wp14:editId="0F36792E">
                <wp:simplePos x="0" y="0"/>
                <wp:positionH relativeFrom="margin">
                  <wp:posOffset>133350</wp:posOffset>
                </wp:positionH>
                <wp:positionV relativeFrom="paragraph">
                  <wp:posOffset>433705</wp:posOffset>
                </wp:positionV>
                <wp:extent cx="5188585" cy="1254125"/>
                <wp:effectExtent l="0" t="0" r="12065" b="2222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254125"/>
                        </a:xfrm>
                        <a:prstGeom prst="rect">
                          <a:avLst/>
                        </a:prstGeom>
                        <a:solidFill>
                          <a:srgbClr val="FFFFFF"/>
                        </a:solidFill>
                        <a:ln w="9525">
                          <a:solidFill>
                            <a:srgbClr val="000000"/>
                          </a:solidFill>
                          <a:miter lim="800000"/>
                          <a:headEnd/>
                          <a:tailEnd/>
                        </a:ln>
                      </wps:spPr>
                      <wps:txbx>
                        <w:txbxContent>
                          <w:p w14:paraId="5C4D3E6D" w14:textId="77777777" w:rsidR="00C8402C" w:rsidRDefault="00C8402C" w:rsidP="000F5B89">
                            <w:pPr>
                              <w:spacing w:line="360" w:lineRule="auto"/>
                              <w:rPr>
                                <w:b/>
                                <w:i/>
                              </w:rPr>
                            </w:pPr>
                            <w:r>
                              <w:rPr>
                                <w:i/>
                              </w:rPr>
                              <w:t>Additional questions (if needed):</w:t>
                            </w:r>
                          </w:p>
                          <w:p w14:paraId="1A60C1BA" w14:textId="77777777" w:rsidR="00C8402C" w:rsidRDefault="00C8402C" w:rsidP="000F5B89">
                            <w:pPr>
                              <w:pStyle w:val="ListParagraph"/>
                              <w:numPr>
                                <w:ilvl w:val="0"/>
                                <w:numId w:val="36"/>
                              </w:numPr>
                              <w:spacing w:after="0" w:line="360" w:lineRule="auto"/>
                              <w:rPr>
                                <w:b/>
                              </w:rPr>
                            </w:pPr>
                            <w:r>
                              <w:t>How has giving feedback in this way impacted upon how you plan to use feedback in the future?</w:t>
                            </w:r>
                          </w:p>
                          <w:p w14:paraId="0CF4C627" w14:textId="77777777" w:rsidR="00C8402C" w:rsidRDefault="00C8402C" w:rsidP="000F5B89">
                            <w:pPr>
                              <w:pStyle w:val="ListParagraph"/>
                              <w:numPr>
                                <w:ilvl w:val="1"/>
                                <w:numId w:val="36"/>
                              </w:numPr>
                              <w:spacing w:after="0" w:line="360" w:lineRule="auto"/>
                              <w:rPr>
                                <w:b/>
                              </w:rPr>
                            </w:pPr>
                            <w:r>
                              <w:t>If so/if not, why do think that?</w:t>
                            </w:r>
                          </w:p>
                          <w:p w14:paraId="256287E2" w14:textId="77777777" w:rsidR="00C8402C" w:rsidRDefault="00C8402C" w:rsidP="000F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3D41D" id="_x0000_s1424" type="#_x0000_t202" style="position:absolute;margin-left:10.5pt;margin-top:34.15pt;width:408.55pt;height:98.7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">
                <v:textbox>
                  <w:txbxContent>
                    <w:p w14:paraId="5C4D3E6D" w14:textId="77777777" w:rsidR="00C8402C" w:rsidRDefault="00C8402C" w:rsidP="000F5B89">
                      <w:pPr>
                        <w:spacing w:line="360" w:lineRule="auto"/>
                        <w:rPr>
                          <w:b/>
                          <w:i/>
                        </w:rPr>
                      </w:pPr>
                      <w:r>
                        <w:rPr>
                          <w:i/>
                        </w:rPr>
                        <w:t>Additional questions (if needed):</w:t>
                      </w:r>
                    </w:p>
                    <w:p w14:paraId="1A60C1BA" w14:textId="77777777" w:rsidR="00C8402C" w:rsidRDefault="00C8402C" w:rsidP="000F5B89">
                      <w:pPr>
                        <w:pStyle w:val="ListParagraph"/>
                        <w:numPr>
                          <w:ilvl w:val="0"/>
                          <w:numId w:val="36"/>
                        </w:numPr>
                        <w:spacing w:after="0" w:line="360" w:lineRule="auto"/>
                        <w:rPr>
                          <w:b/>
                        </w:rPr>
                      </w:pPr>
                      <w:r>
                        <w:t>How has giving feedback in this way impacted upon how you plan to use feedback in the future?</w:t>
                      </w:r>
                    </w:p>
                    <w:p w14:paraId="0CF4C627" w14:textId="77777777" w:rsidR="00C8402C" w:rsidRDefault="00C8402C" w:rsidP="000F5B89">
                      <w:pPr>
                        <w:pStyle w:val="ListParagraph"/>
                        <w:numPr>
                          <w:ilvl w:val="1"/>
                          <w:numId w:val="36"/>
                        </w:numPr>
                        <w:spacing w:after="0" w:line="360" w:lineRule="auto"/>
                        <w:rPr>
                          <w:b/>
                        </w:rPr>
                      </w:pPr>
                      <w:r>
                        <w:t>If so/if not, why do think that?</w:t>
                      </w:r>
                    </w:p>
                    <w:p w14:paraId="256287E2" w14:textId="77777777" w:rsidR="00C8402C" w:rsidRDefault="00C8402C" w:rsidP="000F5B89"/>
                  </w:txbxContent>
                </v:textbox>
                <w10:wrap type="square" anchorx="margin"/>
              </v:shape>
            </w:pict>
          </mc:Fallback>
        </mc:AlternateContent>
      </w:r>
    </w:p>
    <w:p w14:paraId="0A8A1189"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6DCF7B93"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4BC4A931"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529BA121"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37815125"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7712D054"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27CF2931"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516C0E3F"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396B71BC"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69F713E2"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46C2B618"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Topical questions: Acceptability</w:t>
      </w:r>
    </w:p>
    <w:p w14:paraId="36D08D43"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79C8154F" w14:textId="77777777" w:rsidR="000F5B89" w:rsidRPr="003726FE" w:rsidRDefault="000F5B89" w:rsidP="000F5B89">
      <w:pPr>
        <w:tabs>
          <w:tab w:val="left" w:pos="5078"/>
        </w:tabs>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those experiences you had, let’s move onto how the feedback giving worked for you.</w:t>
      </w:r>
    </w:p>
    <w:p w14:paraId="0BE66CF7" w14:textId="77777777"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How did your use of the feedback technique change over time, if at all? </w:t>
      </w:r>
    </w:p>
    <w:p w14:paraId="21EEFD8C"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do you think that was?</w:t>
      </w:r>
    </w:p>
    <w:p w14:paraId="6881B814"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closely do you think you delivered the technique as it was taught to you in the training?</w:t>
      </w:r>
    </w:p>
    <w:p w14:paraId="537FB766"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parts did you change and how did you change them?</w:t>
      </w:r>
    </w:p>
    <w:p w14:paraId="65AB9F9D" w14:textId="77777777" w:rsidR="000F5B89" w:rsidRPr="003726FE" w:rsidRDefault="000F5B89" w:rsidP="000F5B89">
      <w:pPr>
        <w:numPr>
          <w:ilvl w:val="2"/>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think the impact of your modification was?</w:t>
      </w:r>
    </w:p>
    <w:p w14:paraId="041748E5"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did giving feedback in the way you did affect the session?</w:t>
      </w:r>
    </w:p>
    <w:p w14:paraId="0C541A2A"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parts in particular did it affect, and why?</w:t>
      </w:r>
    </w:p>
    <w:p w14:paraId="117C6DBD"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appropriate was the training portion of the research?</w:t>
      </w:r>
    </w:p>
    <w:p w14:paraId="6D8AB324" w14:textId="77777777" w:rsidR="000F5B89" w:rsidRPr="003726FE" w:rsidRDefault="000F5B89" w:rsidP="000F5B89">
      <w:pPr>
        <w:numPr>
          <w:ilvl w:val="1"/>
          <w:numId w:val="35"/>
        </w:numPr>
        <w:spacing w:after="0" w:line="360" w:lineRule="auto"/>
        <w:contextualSpacing/>
        <w:rPr>
          <w:rFonts w:ascii="Cambria" w:eastAsia="Cambria" w:hAnsi="Cambria" w:cs="Times New Roman"/>
          <w:bCs/>
          <w:i/>
          <w:lang w:eastAsia="ja-JP"/>
        </w:rPr>
      </w:pPr>
      <w:r w:rsidRPr="003726FE">
        <w:rPr>
          <w:rFonts w:ascii="Cambria" w:eastAsia="Cambria" w:hAnsi="Cambria" w:cs="Times New Roman"/>
          <w:bCs/>
          <w:lang w:eastAsia="ja-JP"/>
        </w:rPr>
        <w:t>What are the reasons behind that?</w:t>
      </w:r>
    </w:p>
    <w:p w14:paraId="7D0750DA" w14:textId="77777777"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think about using this way of giving feedback with the students you taught during the study?</w:t>
      </w:r>
    </w:p>
    <w:p w14:paraId="1CB5C73D"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explain why you think that?</w:t>
      </w:r>
    </w:p>
    <w:p w14:paraId="04A9355F"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did they respond?</w:t>
      </w:r>
    </w:p>
    <w:p w14:paraId="6A71388E"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59296" behindDoc="0" locked="0" layoutInCell="1" allowOverlap="1" wp14:anchorId="60288B1A" wp14:editId="1C4B578E">
                <wp:simplePos x="0" y="0"/>
                <wp:positionH relativeFrom="margin">
                  <wp:posOffset>55880</wp:posOffset>
                </wp:positionH>
                <wp:positionV relativeFrom="paragraph">
                  <wp:posOffset>240030</wp:posOffset>
                </wp:positionV>
                <wp:extent cx="5366385" cy="2306955"/>
                <wp:effectExtent l="0" t="0" r="24765" b="17145"/>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2306955"/>
                        </a:xfrm>
                        <a:prstGeom prst="rect">
                          <a:avLst/>
                        </a:prstGeom>
                        <a:solidFill>
                          <a:srgbClr val="FFFFFF"/>
                        </a:solidFill>
                        <a:ln w="9525">
                          <a:solidFill>
                            <a:srgbClr val="000000"/>
                          </a:solidFill>
                          <a:miter lim="800000"/>
                          <a:headEnd/>
                          <a:tailEnd/>
                        </a:ln>
                      </wps:spPr>
                      <wps:txbx>
                        <w:txbxContent>
                          <w:p w14:paraId="5003A80A" w14:textId="77777777" w:rsidR="00C8402C" w:rsidRDefault="00C8402C" w:rsidP="000F5B89">
                            <w:pPr>
                              <w:spacing w:line="360" w:lineRule="auto"/>
                              <w:rPr>
                                <w:b/>
                                <w:i/>
                              </w:rPr>
                            </w:pPr>
                            <w:r>
                              <w:rPr>
                                <w:i/>
                              </w:rPr>
                              <w:t>Additional questions (if needed):</w:t>
                            </w:r>
                          </w:p>
                          <w:p w14:paraId="375277A7" w14:textId="77777777" w:rsidR="00C8402C" w:rsidRPr="00A06B95" w:rsidRDefault="00C8402C" w:rsidP="000F5B89">
                            <w:pPr>
                              <w:pStyle w:val="ListParagraph"/>
                              <w:numPr>
                                <w:ilvl w:val="0"/>
                                <w:numId w:val="35"/>
                              </w:numPr>
                              <w:spacing w:after="0" w:line="360" w:lineRule="auto"/>
                              <w:rPr>
                                <w:b/>
                                <w:i/>
                              </w:rPr>
                            </w:pPr>
                            <w:r w:rsidRPr="00A06B95">
                              <w:rPr>
                                <w:i/>
                              </w:rPr>
                              <w:t>Did you speak to your colleagues about how you gave feedback? (no need to mention names)</w:t>
                            </w:r>
                            <w:r w:rsidRPr="00A06B95">
                              <w:rPr>
                                <w:i/>
                              </w:rPr>
                              <w:tab/>
                            </w:r>
                          </w:p>
                          <w:p w14:paraId="71C50A58" w14:textId="77777777" w:rsidR="00C8402C" w:rsidRPr="00A06B95" w:rsidRDefault="00C8402C" w:rsidP="000F5B89">
                            <w:pPr>
                              <w:pStyle w:val="ListParagraph"/>
                              <w:numPr>
                                <w:ilvl w:val="1"/>
                                <w:numId w:val="35"/>
                              </w:numPr>
                              <w:spacing w:after="0" w:line="360" w:lineRule="auto"/>
                              <w:rPr>
                                <w:b/>
                                <w:i/>
                              </w:rPr>
                            </w:pPr>
                            <w:r w:rsidRPr="00A06B95">
                              <w:rPr>
                                <w:i/>
                              </w:rPr>
                              <w:t>In terms of what they and you thought of the technique, what differences or similarities can you identify from those conversations?</w:t>
                            </w:r>
                          </w:p>
                          <w:p w14:paraId="2F2AD984" w14:textId="77777777" w:rsidR="00C8402C" w:rsidRPr="00B12F51" w:rsidRDefault="00C8402C" w:rsidP="000F5B89">
                            <w:pPr>
                              <w:pStyle w:val="ListParagraph"/>
                              <w:numPr>
                                <w:ilvl w:val="0"/>
                                <w:numId w:val="35"/>
                              </w:numPr>
                              <w:tabs>
                                <w:tab w:val="left" w:pos="5078"/>
                              </w:tabs>
                              <w:spacing w:after="0" w:line="360" w:lineRule="auto"/>
                              <w:rPr>
                                <w:b/>
                                <w:i/>
                              </w:rPr>
                            </w:pPr>
                            <w:r w:rsidRPr="00B12F51">
                              <w:rPr>
                                <w:i/>
                              </w:rPr>
                              <w:t>Do you think that the technique should be adopted in clinical skills?</w:t>
                            </w:r>
                          </w:p>
                          <w:p w14:paraId="19E7670F" w14:textId="77777777" w:rsidR="00C8402C" w:rsidRPr="00B12F51" w:rsidRDefault="00C8402C" w:rsidP="000F5B89">
                            <w:pPr>
                              <w:pStyle w:val="ListParagraph"/>
                              <w:numPr>
                                <w:ilvl w:val="1"/>
                                <w:numId w:val="35"/>
                              </w:numPr>
                              <w:spacing w:after="0" w:line="360" w:lineRule="auto"/>
                              <w:rPr>
                                <w:b/>
                                <w:i/>
                              </w:rPr>
                            </w:pPr>
                            <w:r w:rsidRPr="00B12F51">
                              <w:rPr>
                                <w:i/>
                              </w:rPr>
                              <w:t>If so/if not, why do think that?</w:t>
                            </w:r>
                          </w:p>
                          <w:p w14:paraId="5D697693" w14:textId="77777777" w:rsidR="00C8402C" w:rsidRPr="00B12F51" w:rsidRDefault="00C8402C" w:rsidP="000F5B89">
                            <w:pPr>
                              <w:pStyle w:val="ListParagraph"/>
                              <w:numPr>
                                <w:ilvl w:val="1"/>
                                <w:numId w:val="35"/>
                              </w:numPr>
                              <w:spacing w:after="0" w:line="360" w:lineRule="auto"/>
                              <w:rPr>
                                <w:b/>
                                <w:i/>
                              </w:rPr>
                            </w:pPr>
                            <w:r w:rsidRPr="00B12F51">
                              <w:rPr>
                                <w:i/>
                              </w:rPr>
                              <w:t>How could it be modified to fit into that context?</w:t>
                            </w:r>
                          </w:p>
                          <w:p w14:paraId="31F6D439" w14:textId="77777777" w:rsidR="00C8402C" w:rsidRDefault="00C8402C" w:rsidP="000F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8B1A" id="_x0000_s1425" type="#_x0000_t202" style="position:absolute;margin-left:4.4pt;margin-top:18.9pt;width:422.55pt;height:181.6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">
                <v:textbox>
                  <w:txbxContent>
                    <w:p w14:paraId="5003A80A" w14:textId="77777777" w:rsidR="00C8402C" w:rsidRDefault="00C8402C" w:rsidP="000F5B89">
                      <w:pPr>
                        <w:spacing w:line="360" w:lineRule="auto"/>
                        <w:rPr>
                          <w:b/>
                          <w:i/>
                        </w:rPr>
                      </w:pPr>
                      <w:r>
                        <w:rPr>
                          <w:i/>
                        </w:rPr>
                        <w:t>Additional questions (if needed):</w:t>
                      </w:r>
                    </w:p>
                    <w:p w14:paraId="375277A7" w14:textId="77777777" w:rsidR="00C8402C" w:rsidRPr="00A06B95" w:rsidRDefault="00C8402C" w:rsidP="000F5B89">
                      <w:pPr>
                        <w:pStyle w:val="ListParagraph"/>
                        <w:numPr>
                          <w:ilvl w:val="0"/>
                          <w:numId w:val="35"/>
                        </w:numPr>
                        <w:spacing w:after="0" w:line="360" w:lineRule="auto"/>
                        <w:rPr>
                          <w:b/>
                          <w:i/>
                        </w:rPr>
                      </w:pPr>
                      <w:r w:rsidRPr="00A06B95">
                        <w:rPr>
                          <w:i/>
                        </w:rPr>
                        <w:t>Did you speak to your colleagues about how you gave feedback? (no need to mention names)</w:t>
                      </w:r>
                      <w:r w:rsidRPr="00A06B95">
                        <w:rPr>
                          <w:i/>
                        </w:rPr>
                        <w:tab/>
                      </w:r>
                    </w:p>
                    <w:p w14:paraId="71C50A58" w14:textId="77777777" w:rsidR="00C8402C" w:rsidRPr="00A06B95" w:rsidRDefault="00C8402C" w:rsidP="000F5B89">
                      <w:pPr>
                        <w:pStyle w:val="ListParagraph"/>
                        <w:numPr>
                          <w:ilvl w:val="1"/>
                          <w:numId w:val="35"/>
                        </w:numPr>
                        <w:spacing w:after="0" w:line="360" w:lineRule="auto"/>
                        <w:rPr>
                          <w:b/>
                          <w:i/>
                        </w:rPr>
                      </w:pPr>
                      <w:r w:rsidRPr="00A06B95">
                        <w:rPr>
                          <w:i/>
                        </w:rPr>
                        <w:t>In terms of what they and you thought of the technique, what differences or similarities can you identify from those conversations?</w:t>
                      </w:r>
                    </w:p>
                    <w:p w14:paraId="2F2AD984" w14:textId="77777777" w:rsidR="00C8402C" w:rsidRPr="00B12F51" w:rsidRDefault="00C8402C" w:rsidP="000F5B89">
                      <w:pPr>
                        <w:pStyle w:val="ListParagraph"/>
                        <w:numPr>
                          <w:ilvl w:val="0"/>
                          <w:numId w:val="35"/>
                        </w:numPr>
                        <w:tabs>
                          <w:tab w:val="left" w:pos="5078"/>
                        </w:tabs>
                        <w:spacing w:after="0" w:line="360" w:lineRule="auto"/>
                        <w:rPr>
                          <w:b/>
                          <w:i/>
                        </w:rPr>
                      </w:pPr>
                      <w:r w:rsidRPr="00B12F51">
                        <w:rPr>
                          <w:i/>
                        </w:rPr>
                        <w:t>Do you think that the technique should be adopted in clinical skills?</w:t>
                      </w:r>
                    </w:p>
                    <w:p w14:paraId="19E7670F" w14:textId="77777777" w:rsidR="00C8402C" w:rsidRPr="00B12F51" w:rsidRDefault="00C8402C" w:rsidP="000F5B89">
                      <w:pPr>
                        <w:pStyle w:val="ListParagraph"/>
                        <w:numPr>
                          <w:ilvl w:val="1"/>
                          <w:numId w:val="35"/>
                        </w:numPr>
                        <w:spacing w:after="0" w:line="360" w:lineRule="auto"/>
                        <w:rPr>
                          <w:b/>
                          <w:i/>
                        </w:rPr>
                      </w:pPr>
                      <w:r w:rsidRPr="00B12F51">
                        <w:rPr>
                          <w:i/>
                        </w:rPr>
                        <w:t>If so/if not, why do think that?</w:t>
                      </w:r>
                    </w:p>
                    <w:p w14:paraId="5D697693" w14:textId="77777777" w:rsidR="00C8402C" w:rsidRPr="00B12F51" w:rsidRDefault="00C8402C" w:rsidP="000F5B89">
                      <w:pPr>
                        <w:pStyle w:val="ListParagraph"/>
                        <w:numPr>
                          <w:ilvl w:val="1"/>
                          <w:numId w:val="35"/>
                        </w:numPr>
                        <w:spacing w:after="0" w:line="360" w:lineRule="auto"/>
                        <w:rPr>
                          <w:b/>
                          <w:i/>
                        </w:rPr>
                      </w:pPr>
                      <w:r w:rsidRPr="00B12F51">
                        <w:rPr>
                          <w:i/>
                        </w:rPr>
                        <w:t>How could it be modified to fit into that context?</w:t>
                      </w:r>
                    </w:p>
                    <w:p w14:paraId="31F6D439" w14:textId="77777777" w:rsidR="00C8402C" w:rsidRDefault="00C8402C" w:rsidP="000F5B89"/>
                  </w:txbxContent>
                </v:textbox>
                <w10:wrap type="square" anchorx="margin"/>
              </v:shape>
            </w:pict>
          </mc:Fallback>
        </mc:AlternateContent>
      </w:r>
    </w:p>
    <w:p w14:paraId="14937E86" w14:textId="77777777" w:rsidR="000F5B89" w:rsidRPr="003726FE" w:rsidRDefault="000F5B89" w:rsidP="000F5B89">
      <w:pPr>
        <w:spacing w:after="0" w:line="360" w:lineRule="auto"/>
        <w:rPr>
          <w:rFonts w:ascii="Cambria" w:eastAsia="Cambria" w:hAnsi="Cambria" w:cs="Times New Roman"/>
          <w:b/>
          <w:bCs/>
          <w:lang w:eastAsia="ja-JP"/>
        </w:rPr>
      </w:pPr>
    </w:p>
    <w:p w14:paraId="79699379" w14:textId="77777777" w:rsidR="000F5B89" w:rsidRPr="003726FE" w:rsidRDefault="000F5B89" w:rsidP="000F5B89">
      <w:pPr>
        <w:spacing w:after="0" w:line="360" w:lineRule="auto"/>
        <w:rPr>
          <w:rFonts w:ascii="Cambria" w:eastAsia="Cambria" w:hAnsi="Cambria" w:cs="Times New Roman"/>
          <w:b/>
          <w:bCs/>
          <w:lang w:eastAsia="ja-JP"/>
        </w:rPr>
      </w:pPr>
    </w:p>
    <w:p w14:paraId="624B7D05" w14:textId="77777777" w:rsidR="000F5B89" w:rsidRPr="003726FE" w:rsidRDefault="000F5B89" w:rsidP="000F5B89">
      <w:pPr>
        <w:spacing w:after="0" w:line="360" w:lineRule="auto"/>
        <w:rPr>
          <w:rFonts w:ascii="Cambria" w:eastAsia="Cambria" w:hAnsi="Cambria" w:cs="Times New Roman"/>
          <w:b/>
          <w:bCs/>
          <w:lang w:eastAsia="ja-JP"/>
        </w:rPr>
      </w:pPr>
    </w:p>
    <w:p w14:paraId="05081099" w14:textId="77777777" w:rsidR="000F5B89" w:rsidRPr="003726FE" w:rsidRDefault="000F5B89" w:rsidP="000F5B89">
      <w:pPr>
        <w:spacing w:after="0" w:line="360" w:lineRule="auto"/>
        <w:rPr>
          <w:rFonts w:ascii="Cambria" w:eastAsia="Cambria" w:hAnsi="Cambria" w:cs="Times New Roman"/>
          <w:b/>
          <w:bCs/>
          <w:lang w:eastAsia="ja-JP"/>
        </w:rPr>
      </w:pPr>
    </w:p>
    <w:p w14:paraId="217160A7" w14:textId="77777777" w:rsidR="000F5B89" w:rsidRPr="003726FE" w:rsidRDefault="000F5B89" w:rsidP="000F5B89">
      <w:pPr>
        <w:spacing w:after="0" w:line="360" w:lineRule="auto"/>
        <w:rPr>
          <w:rFonts w:ascii="Cambria" w:eastAsia="Cambria" w:hAnsi="Cambria" w:cs="Times New Roman"/>
          <w:b/>
          <w:bCs/>
          <w:lang w:eastAsia="ja-JP"/>
        </w:rPr>
      </w:pPr>
    </w:p>
    <w:p w14:paraId="1C805148" w14:textId="77777777" w:rsidR="00E07A7C" w:rsidRDefault="00E07A7C">
      <w:pPr>
        <w:rPr>
          <w:rFonts w:ascii="Cambria" w:eastAsia="Cambria" w:hAnsi="Cambria" w:cs="Times New Roman"/>
          <w:b/>
          <w:bCs/>
          <w:lang w:eastAsia="ja-JP"/>
        </w:rPr>
      </w:pPr>
      <w:r>
        <w:rPr>
          <w:rFonts w:ascii="Cambria" w:eastAsia="Cambria" w:hAnsi="Cambria" w:cs="Times New Roman"/>
          <w:b/>
          <w:bCs/>
          <w:lang w:eastAsia="ja-JP"/>
        </w:rPr>
        <w:br w:type="page"/>
      </w:r>
    </w:p>
    <w:p w14:paraId="15959A72" w14:textId="6D381B68"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lang w:eastAsia="ja-JP"/>
        </w:rPr>
        <w:lastRenderedPageBreak/>
        <w:t>Topical questions: Perceived ease of use</w:t>
      </w:r>
    </w:p>
    <w:p w14:paraId="2752CE99" w14:textId="77777777" w:rsidR="000F5B89" w:rsidRPr="003726FE" w:rsidRDefault="000F5B89" w:rsidP="000F5B89">
      <w:pPr>
        <w:spacing w:after="0" w:line="360" w:lineRule="auto"/>
        <w:rPr>
          <w:rFonts w:ascii="Cambria" w:eastAsia="Cambria" w:hAnsi="Cambria" w:cs="Times New Roman"/>
          <w:b/>
          <w:bCs/>
          <w:lang w:eastAsia="ja-JP"/>
        </w:rPr>
      </w:pPr>
    </w:p>
    <w:p w14:paraId="2ECC8C7D"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With those thoughts in mind again, I’d like to ask a few questions about how easy or challenging the experience was.</w:t>
      </w:r>
    </w:p>
    <w:p w14:paraId="78366721" w14:textId="77777777" w:rsidR="000F5B89" w:rsidRPr="003726FE" w:rsidRDefault="000F5B89" w:rsidP="000F5B89">
      <w:pPr>
        <w:spacing w:after="0" w:line="360" w:lineRule="auto"/>
        <w:rPr>
          <w:rFonts w:ascii="Cambria" w:eastAsia="Cambria" w:hAnsi="Cambria" w:cs="Times New Roman"/>
          <w:b/>
          <w:bCs/>
          <w:lang w:eastAsia="ja-JP"/>
        </w:rPr>
      </w:pPr>
    </w:p>
    <w:p w14:paraId="5A1F6761"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Thinking back to when you used the BP feedback training, what was it like giving feedback in that way?</w:t>
      </w:r>
    </w:p>
    <w:p w14:paraId="01CDE0F7"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Were some parts easier or more challenging than others?</w:t>
      </w:r>
    </w:p>
    <w:p w14:paraId="523C0659"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challenges did you face during the teaching process when giving feedback in this way?</w:t>
      </w:r>
    </w:p>
    <w:p w14:paraId="63CC5B06"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did you deal with them?</w:t>
      </w:r>
    </w:p>
    <w:p w14:paraId="31CCEC18"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Did you have to adapt the technique in any way for the groups of students you taught?</w:t>
      </w:r>
    </w:p>
    <w:p w14:paraId="1D8A1250"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 why? What was it about the current intervention format that wasn’t working for the groups?</w:t>
      </w:r>
    </w:p>
    <w:p w14:paraId="54ED4660"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0320" behindDoc="0" locked="0" layoutInCell="1" allowOverlap="1" wp14:anchorId="1145D952" wp14:editId="2FE10D28">
                <wp:simplePos x="0" y="0"/>
                <wp:positionH relativeFrom="margin">
                  <wp:posOffset>37465</wp:posOffset>
                </wp:positionH>
                <wp:positionV relativeFrom="paragraph">
                  <wp:posOffset>316865</wp:posOffset>
                </wp:positionV>
                <wp:extent cx="5337175" cy="1541145"/>
                <wp:effectExtent l="0" t="0" r="15875" b="20955"/>
                <wp:wrapTopAndBottom/>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541145"/>
                        </a:xfrm>
                        <a:prstGeom prst="rect">
                          <a:avLst/>
                        </a:prstGeom>
                        <a:solidFill>
                          <a:srgbClr val="FFFFFF"/>
                        </a:solidFill>
                        <a:ln w="9525">
                          <a:solidFill>
                            <a:srgbClr val="000000"/>
                          </a:solidFill>
                          <a:miter lim="800000"/>
                          <a:headEnd/>
                          <a:tailEnd/>
                        </a:ln>
                      </wps:spPr>
                      <wps:txbx>
                        <w:txbxContent>
                          <w:p w14:paraId="65385AFB" w14:textId="77777777" w:rsidR="00C8402C" w:rsidRDefault="00C8402C" w:rsidP="000F5B89">
                            <w:pPr>
                              <w:spacing w:line="360" w:lineRule="auto"/>
                              <w:rPr>
                                <w:b/>
                                <w:i/>
                              </w:rPr>
                            </w:pPr>
                            <w:r>
                              <w:rPr>
                                <w:i/>
                              </w:rPr>
                              <w:t>Additional questions (if needed):</w:t>
                            </w:r>
                          </w:p>
                          <w:p w14:paraId="3E074BF1" w14:textId="77777777" w:rsidR="00C8402C" w:rsidRPr="00517B3D" w:rsidRDefault="00C8402C" w:rsidP="000F5B89">
                            <w:pPr>
                              <w:pStyle w:val="ListParagraph"/>
                              <w:numPr>
                                <w:ilvl w:val="0"/>
                                <w:numId w:val="37"/>
                              </w:numPr>
                              <w:spacing w:after="0" w:line="360" w:lineRule="auto"/>
                              <w:rPr>
                                <w:b/>
                                <w:i/>
                              </w:rPr>
                            </w:pPr>
                            <w:r w:rsidRPr="00517B3D">
                              <w:rPr>
                                <w:i/>
                              </w:rPr>
                              <w:t>How did you decide what adaptations to make?</w:t>
                            </w:r>
                          </w:p>
                          <w:p w14:paraId="38F92096" w14:textId="77777777" w:rsidR="00C8402C" w:rsidRPr="00517B3D" w:rsidRDefault="00C8402C" w:rsidP="000F5B89">
                            <w:pPr>
                              <w:pStyle w:val="ListParagraph"/>
                              <w:numPr>
                                <w:ilvl w:val="1"/>
                                <w:numId w:val="37"/>
                              </w:numPr>
                              <w:spacing w:after="0" w:line="360" w:lineRule="auto"/>
                              <w:rPr>
                                <w:b/>
                                <w:i/>
                              </w:rPr>
                            </w:pPr>
                            <w:r w:rsidRPr="00517B3D">
                              <w:rPr>
                                <w:i/>
                              </w:rPr>
                              <w:t>What factors did you take into account when you were adapting the intervention?</w:t>
                            </w:r>
                          </w:p>
                          <w:p w14:paraId="4863F1A2" w14:textId="77777777" w:rsidR="00C8402C" w:rsidRPr="00517B3D" w:rsidRDefault="00C8402C" w:rsidP="000F5B89">
                            <w:pPr>
                              <w:pStyle w:val="ListParagraph"/>
                              <w:numPr>
                                <w:ilvl w:val="1"/>
                                <w:numId w:val="37"/>
                              </w:numPr>
                              <w:spacing w:after="0" w:line="360" w:lineRule="auto"/>
                              <w:rPr>
                                <w:b/>
                                <w:i/>
                              </w:rPr>
                            </w:pPr>
                            <w:r w:rsidRPr="00517B3D">
                              <w:rPr>
                                <w:i/>
                              </w:rPr>
                              <w:t>Was adapting the intervention useful? More effective?</w:t>
                            </w:r>
                          </w:p>
                          <w:p w14:paraId="3D39B735" w14:textId="77777777" w:rsidR="00C8402C" w:rsidRDefault="00C8402C" w:rsidP="000F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5D952" id="Text Box 145" o:spid="_x0000_s1426" type="#_x0000_t202" style="position:absolute;margin-left:2.95pt;margin-top:24.95pt;width:420.25pt;height:121.3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">
                <v:textbox>
                  <w:txbxContent>
                    <w:p w14:paraId="65385AFB" w14:textId="77777777" w:rsidR="00C8402C" w:rsidRDefault="00C8402C" w:rsidP="000F5B89">
                      <w:pPr>
                        <w:spacing w:line="360" w:lineRule="auto"/>
                        <w:rPr>
                          <w:b/>
                          <w:i/>
                        </w:rPr>
                      </w:pPr>
                      <w:r>
                        <w:rPr>
                          <w:i/>
                        </w:rPr>
                        <w:t>Additional questions (if needed):</w:t>
                      </w:r>
                    </w:p>
                    <w:p w14:paraId="3E074BF1" w14:textId="77777777" w:rsidR="00C8402C" w:rsidRPr="00517B3D" w:rsidRDefault="00C8402C" w:rsidP="000F5B89">
                      <w:pPr>
                        <w:pStyle w:val="ListParagraph"/>
                        <w:numPr>
                          <w:ilvl w:val="0"/>
                          <w:numId w:val="37"/>
                        </w:numPr>
                        <w:spacing w:after="0" w:line="360" w:lineRule="auto"/>
                        <w:rPr>
                          <w:b/>
                          <w:i/>
                        </w:rPr>
                      </w:pPr>
                      <w:r w:rsidRPr="00517B3D">
                        <w:rPr>
                          <w:i/>
                        </w:rPr>
                        <w:t>How did you decide what adaptations to make?</w:t>
                      </w:r>
                    </w:p>
                    <w:p w14:paraId="38F92096" w14:textId="77777777" w:rsidR="00C8402C" w:rsidRPr="00517B3D" w:rsidRDefault="00C8402C" w:rsidP="000F5B89">
                      <w:pPr>
                        <w:pStyle w:val="ListParagraph"/>
                        <w:numPr>
                          <w:ilvl w:val="1"/>
                          <w:numId w:val="37"/>
                        </w:numPr>
                        <w:spacing w:after="0" w:line="360" w:lineRule="auto"/>
                        <w:rPr>
                          <w:b/>
                          <w:i/>
                        </w:rPr>
                      </w:pPr>
                      <w:r w:rsidRPr="00517B3D">
                        <w:rPr>
                          <w:i/>
                        </w:rPr>
                        <w:t>What factors did you take into account when you were adapting the intervention?</w:t>
                      </w:r>
                    </w:p>
                    <w:p w14:paraId="4863F1A2" w14:textId="77777777" w:rsidR="00C8402C" w:rsidRPr="00517B3D" w:rsidRDefault="00C8402C" w:rsidP="000F5B89">
                      <w:pPr>
                        <w:pStyle w:val="ListParagraph"/>
                        <w:numPr>
                          <w:ilvl w:val="1"/>
                          <w:numId w:val="37"/>
                        </w:numPr>
                        <w:spacing w:after="0" w:line="360" w:lineRule="auto"/>
                        <w:rPr>
                          <w:b/>
                          <w:i/>
                        </w:rPr>
                      </w:pPr>
                      <w:r w:rsidRPr="00517B3D">
                        <w:rPr>
                          <w:i/>
                        </w:rPr>
                        <w:t>Was adapting the intervention useful? More effective?</w:t>
                      </w:r>
                    </w:p>
                    <w:p w14:paraId="3D39B735" w14:textId="77777777" w:rsidR="00C8402C" w:rsidRDefault="00C8402C" w:rsidP="000F5B89"/>
                  </w:txbxContent>
                </v:textbox>
                <w10:wrap type="topAndBottom" anchorx="margin"/>
              </v:shape>
            </w:pict>
          </mc:Fallback>
        </mc:AlternateContent>
      </w:r>
      <w:r w:rsidRPr="003726FE">
        <w:rPr>
          <w:rFonts w:ascii="Cambria" w:eastAsia="Cambria" w:hAnsi="Cambria" w:cs="Times New Roman"/>
          <w:bCs/>
          <w:lang w:eastAsia="ja-JP"/>
        </w:rPr>
        <w:br w:type="page"/>
      </w:r>
    </w:p>
    <w:p w14:paraId="2DB1BD5F"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Closing questions:</w:t>
      </w:r>
    </w:p>
    <w:p w14:paraId="16BABFF4" w14:textId="77777777" w:rsidR="000F5B89" w:rsidRPr="003726FE" w:rsidRDefault="000F5B89" w:rsidP="000F5B89">
      <w:pPr>
        <w:spacing w:after="0" w:line="360" w:lineRule="auto"/>
        <w:rPr>
          <w:rFonts w:ascii="Cambria" w:eastAsia="Cambria" w:hAnsi="Cambria" w:cs="Times New Roman"/>
          <w:b/>
          <w:bCs/>
          <w:lang w:eastAsia="ja-JP"/>
        </w:rPr>
      </w:pPr>
    </w:p>
    <w:p w14:paraId="1562B056"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everything we’ve spoken about, I’d like to ask a few questions about your final thoughts on feedback and your experiences.</w:t>
      </w:r>
    </w:p>
    <w:p w14:paraId="06138BAB" w14:textId="77777777" w:rsidR="000F5B89" w:rsidRPr="003726FE" w:rsidRDefault="000F5B89" w:rsidP="000F5B89">
      <w:pPr>
        <w:spacing w:after="0" w:line="360" w:lineRule="auto"/>
        <w:rPr>
          <w:rFonts w:ascii="Cambria" w:eastAsia="Cambria" w:hAnsi="Cambria" w:cs="Times New Roman"/>
          <w:b/>
          <w:bCs/>
          <w:lang w:eastAsia="ja-JP"/>
        </w:rPr>
      </w:pPr>
    </w:p>
    <w:p w14:paraId="36E1C9FB"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Could you describe your perfect feedback situation?</w:t>
      </w:r>
    </w:p>
    <w:p w14:paraId="0F0E7821"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the lessons learned from this experience that you would like to share with your colleagues and/or others teaching in clinical skills?</w:t>
      </w:r>
    </w:p>
    <w:p w14:paraId="39234A94" w14:textId="77777777" w:rsidR="000F5B89" w:rsidRPr="003726FE" w:rsidRDefault="000F5B89" w:rsidP="000F5B89">
      <w:pPr>
        <w:spacing w:after="0" w:line="360" w:lineRule="auto"/>
        <w:rPr>
          <w:rFonts w:ascii="Cambria" w:eastAsia="Cambria" w:hAnsi="Cambria" w:cs="Times New Roman"/>
          <w:bCs/>
          <w:lang w:eastAsia="ja-JP"/>
        </w:rPr>
      </w:pPr>
    </w:p>
    <w:p w14:paraId="19F0D946" w14:textId="77777777" w:rsidR="000F5B89" w:rsidRPr="003726FE" w:rsidRDefault="000F5B89" w:rsidP="000F5B89">
      <w:pPr>
        <w:spacing w:after="0" w:line="360" w:lineRule="auto"/>
        <w:ind w:left="720"/>
        <w:contextualSpacing/>
        <w:rPr>
          <w:rFonts w:ascii="Cambria" w:eastAsia="Cambria" w:hAnsi="Cambria" w:cs="Times New Roman"/>
          <w:b/>
          <w:bCs/>
          <w:lang w:eastAsia="ja-JP"/>
        </w:rPr>
      </w:pPr>
    </w:p>
    <w:p w14:paraId="47CC0D2C"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Procedural:</w:t>
      </w:r>
    </w:p>
    <w:p w14:paraId="7A223A68"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Do you have anything else you would like to add before we finish?</w:t>
      </w:r>
    </w:p>
    <w:p w14:paraId="0E27976E"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clarify or correct anything?</w:t>
      </w:r>
    </w:p>
    <w:p w14:paraId="1FE8FCF4"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ask me anything?</w:t>
      </w:r>
    </w:p>
    <w:p w14:paraId="483CD3A3"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Are there any comments you would like to remove from this interview recording?</w:t>
      </w:r>
    </w:p>
    <w:p w14:paraId="608FFA7E"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mind completing a short demographic questionnaire? You do not have to do this but if you do it will be kept confidential and secure only used for research purposes.</w:t>
      </w:r>
    </w:p>
    <w:p w14:paraId="0E898B4B" w14:textId="77777777" w:rsidR="000F5B89" w:rsidRPr="003726FE" w:rsidRDefault="000F5B89" w:rsidP="000F5B89">
      <w:pPr>
        <w:spacing w:after="0" w:line="240" w:lineRule="auto"/>
        <w:rPr>
          <w:rFonts w:ascii="Cambria" w:eastAsia="Cambria" w:hAnsi="Cambria" w:cs="Times New Roman"/>
          <w:b/>
          <w:bCs/>
          <w:lang w:eastAsia="ja-JP"/>
        </w:rPr>
      </w:pPr>
    </w:p>
    <w:p w14:paraId="4DB175B7" w14:textId="77777777" w:rsidR="000F5B89" w:rsidRPr="003726FE" w:rsidRDefault="000F5B89" w:rsidP="000F5B89">
      <w:pPr>
        <w:spacing w:after="0" w:line="240" w:lineRule="auto"/>
        <w:rPr>
          <w:rFonts w:ascii="Cambria" w:eastAsia="Cambria" w:hAnsi="Cambria" w:cs="Times New Roman"/>
          <w:b/>
          <w:bCs/>
          <w:lang w:eastAsia="ja-JP"/>
        </w:rPr>
      </w:pPr>
    </w:p>
    <w:p w14:paraId="2BFDD389" w14:textId="77777777" w:rsidR="000F5B89" w:rsidRPr="003726FE" w:rsidRDefault="000F5B89" w:rsidP="000F5B89">
      <w:pPr>
        <w:spacing w:after="0" w:line="240" w:lineRule="auto"/>
        <w:rPr>
          <w:rFonts w:ascii="Cambria" w:eastAsia="Cambria" w:hAnsi="Cambria" w:cs="Times New Roman"/>
          <w:b/>
          <w:bCs/>
          <w:lang w:eastAsia="ja-JP"/>
        </w:rPr>
      </w:pPr>
    </w:p>
    <w:p w14:paraId="43A8F162" w14:textId="77777777" w:rsidR="000F5B89" w:rsidRPr="003726FE" w:rsidRDefault="000F5B89" w:rsidP="000F5B89">
      <w:pPr>
        <w:spacing w:after="0" w:line="240" w:lineRule="auto"/>
        <w:rPr>
          <w:rFonts w:ascii="Cambria" w:eastAsia="Cambria" w:hAnsi="Cambria" w:cs="Times New Roman"/>
          <w:b/>
          <w:bCs/>
          <w:lang w:eastAsia="ja-JP"/>
        </w:rPr>
      </w:pPr>
    </w:p>
    <w:p w14:paraId="4341026F" w14:textId="77777777" w:rsidR="000F5B89" w:rsidRPr="003726FE" w:rsidRDefault="000F5B89" w:rsidP="000F5B89">
      <w:pPr>
        <w:spacing w:after="0" w:line="240" w:lineRule="auto"/>
        <w:rPr>
          <w:rFonts w:ascii="Cambria" w:eastAsia="Cambria" w:hAnsi="Cambria" w:cs="Times New Roman"/>
          <w:b/>
          <w:bCs/>
          <w:lang w:eastAsia="ja-JP"/>
        </w:rPr>
      </w:pPr>
    </w:p>
    <w:p w14:paraId="30074141" w14:textId="77777777" w:rsidR="000F5B89" w:rsidRPr="003726FE" w:rsidRDefault="000F5B89" w:rsidP="000F5B89">
      <w:pPr>
        <w:spacing w:after="0" w:line="240" w:lineRule="auto"/>
        <w:rPr>
          <w:rFonts w:ascii="Cambria" w:eastAsia="Cambria" w:hAnsi="Cambria" w:cs="Times New Roman"/>
          <w:b/>
          <w:bCs/>
          <w:lang w:eastAsia="ja-JP"/>
        </w:rPr>
      </w:pPr>
    </w:p>
    <w:p w14:paraId="215F27CB" w14:textId="77777777" w:rsidR="000F5B89" w:rsidRPr="003726FE" w:rsidRDefault="000F5B89" w:rsidP="000F5B89">
      <w:pPr>
        <w:spacing w:after="0" w:line="240" w:lineRule="auto"/>
        <w:rPr>
          <w:rFonts w:ascii="Cambria" w:eastAsia="Cambria" w:hAnsi="Cambria" w:cs="Times New Roman"/>
          <w:b/>
          <w:bCs/>
          <w:lang w:eastAsia="ja-JP"/>
        </w:rPr>
      </w:pPr>
    </w:p>
    <w:p w14:paraId="5A864DAB" w14:textId="77777777" w:rsidR="000F5B89" w:rsidRPr="003726FE" w:rsidRDefault="000F5B89" w:rsidP="000F5B89">
      <w:pPr>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concludes</w:t>
      </w:r>
    </w:p>
    <w:p w14:paraId="6D5E786D" w14:textId="77777777" w:rsidR="000F5B89" w:rsidRPr="003726FE" w:rsidRDefault="000F5B89" w:rsidP="000F5B89">
      <w:pPr>
        <w:spacing w:after="0" w:line="240" w:lineRule="auto"/>
        <w:rPr>
          <w:rFonts w:ascii="Cambria" w:eastAsia="Cambria" w:hAnsi="Cambria" w:cs="Times New Roman"/>
          <w:b/>
          <w:bCs/>
          <w:u w:val="single"/>
          <w:lang w:eastAsia="ja-JP"/>
        </w:rPr>
      </w:pPr>
    </w:p>
    <w:p w14:paraId="5C3EEF99" w14:textId="77777777" w:rsidR="000F5B89" w:rsidRPr="003726FE" w:rsidRDefault="000F5B89" w:rsidP="000F5B89">
      <w:pPr>
        <w:spacing w:after="0" w:line="240" w:lineRule="auto"/>
        <w:rPr>
          <w:rFonts w:ascii="Cambria" w:eastAsia="Cambria" w:hAnsi="Cambria" w:cs="Times New Roman"/>
          <w:b/>
          <w:bCs/>
          <w:lang w:eastAsia="ja-JP"/>
        </w:rPr>
      </w:pPr>
    </w:p>
    <w:p w14:paraId="757AA01D" w14:textId="77777777" w:rsidR="000F5B89" w:rsidRPr="003726FE" w:rsidRDefault="000F5B89" w:rsidP="000F5B8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 xml:space="preserve">Interviewer thanks the participant for their time. They are reminded that their data will be anonymised in reports and that they are still free to withdraw their data at any time. </w:t>
      </w:r>
    </w:p>
    <w:p w14:paraId="7C5D6913" w14:textId="77777777" w:rsidR="000F5B89" w:rsidRPr="003726FE" w:rsidRDefault="000F5B89" w:rsidP="000F5B89">
      <w:pPr>
        <w:spacing w:after="0" w:line="240" w:lineRule="auto"/>
        <w:rPr>
          <w:rFonts w:ascii="Cambria" w:eastAsia="Cambria" w:hAnsi="Cambria" w:cs="Times New Roman"/>
          <w:bCs/>
          <w:lang w:eastAsia="ja-JP"/>
        </w:rPr>
      </w:pPr>
    </w:p>
    <w:p w14:paraId="2694F783" w14:textId="77777777" w:rsidR="000F5B89" w:rsidRPr="003726FE" w:rsidRDefault="000F5B89" w:rsidP="000F5B8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They are told that the researcher may get in contact to follow up on any unclear points from the recording, this is also termed ‘member checking’. A one-page summary will be sent to the participant for their comments on accuracy and to give them an opportunity to remove comments and/or emphasise others.</w:t>
      </w:r>
    </w:p>
    <w:p w14:paraId="3BE82EF0" w14:textId="77777777" w:rsidR="000F5B89" w:rsidRPr="003726FE" w:rsidRDefault="000F5B89" w:rsidP="000F5B89">
      <w:pPr>
        <w:rPr>
          <w:rFonts w:eastAsia="Lucida Sans Unicode" w:cs="Mangal"/>
          <w:kern w:val="1"/>
          <w:szCs w:val="24"/>
          <w:lang w:eastAsia="hi-IN" w:bidi="hi-IN"/>
        </w:rPr>
      </w:pPr>
      <w:r w:rsidRPr="003726FE">
        <w:br w:type="page"/>
      </w:r>
    </w:p>
    <w:p w14:paraId="555D7890" w14:textId="77777777" w:rsidR="000F5B89" w:rsidRPr="003726FE" w:rsidRDefault="000F5B89" w:rsidP="000F5B89">
      <w:pPr>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lastRenderedPageBreak/>
        <w:t>Interview Guide – SRL tutors</w:t>
      </w:r>
    </w:p>
    <w:p w14:paraId="7DE7222C"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ab/>
      </w:r>
    </w:p>
    <w:p w14:paraId="2716E779"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Purpose:</w:t>
      </w:r>
    </w:p>
    <w:p w14:paraId="34BADF9B"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0020FE33"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To assess the </w:t>
      </w:r>
      <w:r w:rsidRPr="003726FE">
        <w:rPr>
          <w:rFonts w:ascii="Cambria" w:eastAsia="Calibri" w:hAnsi="Cambria" w:cs="Arial"/>
          <w:color w:val="000000"/>
          <w:sz w:val="22"/>
        </w:rPr>
        <w:t>acceptability, perceived ease of use and usefulness</w:t>
      </w:r>
      <w:r w:rsidRPr="003726FE">
        <w:rPr>
          <w:rFonts w:ascii="Cambria" w:eastAsia="Cambria" w:hAnsi="Cambria" w:cs="Times New Roman"/>
          <w:bCs/>
          <w:sz w:val="22"/>
          <w:lang w:eastAsia="ja-JP"/>
        </w:rPr>
        <w:t xml:space="preserve"> of the intervention and identify what causal mechanisms allowed for any positive or negative effects.</w:t>
      </w:r>
    </w:p>
    <w:p w14:paraId="0CC4A98C"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6FA90A1E"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Objectives:</w:t>
      </w:r>
    </w:p>
    <w:p w14:paraId="42F61A33"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7657E413" w14:textId="77777777"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gain the narrative accounts of the SRL tutors who received the specialised training and delivered the SRL intervention relating to the dependent variables.</w:t>
      </w:r>
    </w:p>
    <w:p w14:paraId="24D5AD08" w14:textId="66AE0E9B"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To understand how their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s of feedback have been affected by their experiences of delivering the intervention.</w:t>
      </w:r>
    </w:p>
    <w:p w14:paraId="345BD6C3"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424ABBED"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Research questions:</w:t>
      </w:r>
    </w:p>
    <w:p w14:paraId="481838B5"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644447C7"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Why and how was the intervention useful/not useful?</w:t>
      </w:r>
    </w:p>
    <w:p w14:paraId="2A8276D5"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what extent was the intervention feasible and usable?</w:t>
      </w:r>
    </w:p>
    <w:p w14:paraId="6A15A58A"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How and for whom does the intervention promote behaviour change?</w:t>
      </w:r>
    </w:p>
    <w:p w14:paraId="5B7C8901"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what extent was the intervention consistent with the programmed theory and planned delivery method?</w:t>
      </w:r>
    </w:p>
    <w:p w14:paraId="53A0DE74"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5D82E1FA"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The Interviewees:</w:t>
      </w:r>
    </w:p>
    <w:p w14:paraId="01242BDC"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63B349F2"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 interviewees are clinical skills tutors and foundation year doctors who have taught venepuncture and catheterisation to phase 2a students and given feedback using the SRL intervention. The full time tutors are experienced teachers and very used to teaching these particular skills whereas the foundation doctors are beginners, some teaching clinical skills for the first time. They are all highly educated and are incredibly knowledgeable in the taught skills. They have been trained in best practice and SRL feedback techniques so will be moderately familiar with key feedback principles.</w:t>
      </w:r>
    </w:p>
    <w:p w14:paraId="7028BD80"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65FAD514"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They have first-hand experience of delivering the intervention in an authentic teaching context. They will have specific thoughts and feelings towards the intervention and what feedback means to them before, during and after the study. </w:t>
      </w:r>
    </w:p>
    <w:p w14:paraId="62CD4A96"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78B35307" w14:textId="702BF88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Their thoughts need to be structured in terms of the sequence of events throughout the </w:t>
      </w:r>
      <w:r w:rsidR="00FC0FFB" w:rsidRPr="003726FE">
        <w:rPr>
          <w:rFonts w:ascii="Cambria" w:eastAsia="Cambria" w:hAnsi="Cambria" w:cs="Times New Roman"/>
          <w:bCs/>
          <w:sz w:val="22"/>
          <w:lang w:eastAsia="ja-JP"/>
        </w:rPr>
        <w:t>study to</w:t>
      </w:r>
      <w:r w:rsidRPr="003726FE">
        <w:rPr>
          <w:rFonts w:ascii="Cambria" w:eastAsia="Cambria" w:hAnsi="Cambria" w:cs="Times New Roman"/>
          <w:bCs/>
          <w:sz w:val="22"/>
          <w:lang w:eastAsia="ja-JP"/>
        </w:rPr>
        <w:t xml:space="preserve"> gain insight into each stage (training, delivering, and reflection).</w:t>
      </w:r>
    </w:p>
    <w:p w14:paraId="12851B06"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176A62D0"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They will likely be motivated to speak about their thoughts and feelings on the intervention if they have particularly strong opinions. They agreed to participate in the study so it be assumed they have some interest in expressing their views on their experiences.</w:t>
      </w:r>
    </w:p>
    <w:p w14:paraId="675D90CA"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0B887D50"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I have observed them at all stages very closely and have had some contact during the delivery of the intervention. They may be nervous as to how I might conduct the interview e.g. a run-down of what I saw them do almost like a performance review. I have built some trust between us which may negate this effect. The relationship we develop will likely be quite business like given the short time I have spent with them and the relatively low credibility I have to them in terms of my role in the school. I must be purposeful in my constructivist semi-structured approach to lessen this and tap into more in depth emotional accounts from them.</w:t>
      </w:r>
    </w:p>
    <w:p w14:paraId="0E3C1712"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2935349B" w14:textId="77777777" w:rsidR="000F5B89" w:rsidRPr="003726FE" w:rsidRDefault="000F5B89" w:rsidP="000F5B89">
      <w:pPr>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br w:type="page"/>
      </w:r>
    </w:p>
    <w:p w14:paraId="792FEB2F" w14:textId="77777777" w:rsidR="000F5B89" w:rsidRPr="003726FE" w:rsidRDefault="000F5B89" w:rsidP="000F5B89">
      <w:pPr>
        <w:tabs>
          <w:tab w:val="left" w:pos="3260"/>
        </w:tabs>
        <w:spacing w:after="0" w:line="240" w:lineRule="auto"/>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lastRenderedPageBreak/>
        <w:t>Topics</w:t>
      </w:r>
    </w:p>
    <w:p w14:paraId="3E5E51DA"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4376E1B3"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libri" w:hAnsi="Cambria" w:cs="Arial"/>
          <w:b/>
          <w:color w:val="000000"/>
          <w:sz w:val="22"/>
        </w:rPr>
        <w:t>Acceptability, perceived ease of use and usefulness</w:t>
      </w:r>
      <w:r w:rsidRPr="003726FE">
        <w:rPr>
          <w:rFonts w:ascii="Cambria" w:eastAsia="Cambria" w:hAnsi="Cambria" w:cs="Times New Roman"/>
          <w:b/>
          <w:bCs/>
          <w:sz w:val="22"/>
          <w:lang w:eastAsia="ja-JP"/>
        </w:rPr>
        <w:t xml:space="preserve"> of the intervention: how the participant viewed their experience of the intervention in terms of these variables. </w:t>
      </w:r>
    </w:p>
    <w:p w14:paraId="42BD7122"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78AA0EC6"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Acceptability –</w:t>
      </w:r>
      <w:r w:rsidRPr="003726FE">
        <w:rPr>
          <w:rFonts w:ascii="Cambria" w:eastAsia="Cambria" w:hAnsi="Cambria" w:cs="Times New Roman"/>
          <w:bCs/>
          <w:sz w:val="22"/>
          <w:lang w:eastAsia="ja-JP"/>
        </w:rPr>
        <w:t xml:space="preserve"> to what extent the participants believed the intervention was appropriate in the simulated clinical skills context. Whether they felt they adhered to it and used it in the way they thought it was intended. </w:t>
      </w:r>
    </w:p>
    <w:p w14:paraId="2F05B193"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087A20C2"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Perceived ease of use</w:t>
      </w:r>
      <w:r w:rsidRPr="003726FE">
        <w:rPr>
          <w:rFonts w:ascii="Cambria" w:eastAsia="Cambria" w:hAnsi="Cambria" w:cs="Times New Roman"/>
          <w:bCs/>
          <w:sz w:val="22"/>
          <w:lang w:eastAsia="ja-JP"/>
        </w:rPr>
        <w:t xml:space="preserve"> - to what extent the participants felt the intervention was usable in that environment, was it difficult or challenging for them to implement. This is also about their satisfaction of using the intervention compared to their usual feedback practices. </w:t>
      </w:r>
    </w:p>
    <w:p w14:paraId="50476979"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5EA62D3C"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Usefulness</w:t>
      </w:r>
      <w:r w:rsidRPr="003726FE">
        <w:rPr>
          <w:rFonts w:ascii="Cambria" w:eastAsia="Cambria" w:hAnsi="Cambria" w:cs="Times New Roman"/>
          <w:bCs/>
          <w:sz w:val="22"/>
          <w:lang w:eastAsia="ja-JP"/>
        </w:rPr>
        <w:t xml:space="preserve"> – Whether they thought the intervention made any positive or negative difference in their teaching practice and whether they perceived that it had any impact upon their students learning experience. This can be in relation to their teaching practice and/or its effectiveness in improving learning.</w:t>
      </w:r>
    </w:p>
    <w:p w14:paraId="28222E51"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425792E5" w14:textId="662FC26D"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Their views on feedback</w:t>
      </w:r>
      <w:r w:rsidRPr="003726FE">
        <w:rPr>
          <w:rFonts w:ascii="Cambria" w:eastAsia="Cambria" w:hAnsi="Cambria" w:cs="Times New Roman"/>
          <w:bCs/>
          <w:sz w:val="22"/>
          <w:lang w:eastAsia="ja-JP"/>
        </w:rPr>
        <w:t xml:space="preserve">: their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 xml:space="preserve">s of feedback and how they may have changed as a result of the study and intervention. Their views may have changed as a result of the training and intervention delivery. This is specifically regarding their use of feedback in their clinical skills teaching. </w:t>
      </w:r>
    </w:p>
    <w:p w14:paraId="34AB413F" w14:textId="77777777" w:rsidR="000F5B89" w:rsidRPr="003726FE" w:rsidRDefault="000F5B89" w:rsidP="000F5B89">
      <w:pPr>
        <w:spacing w:after="0" w:line="240" w:lineRule="auto"/>
        <w:rPr>
          <w:rFonts w:ascii="Cambria" w:eastAsia="Cambria" w:hAnsi="Cambria" w:cs="Times New Roman"/>
          <w:b/>
          <w:bCs/>
          <w:sz w:val="22"/>
          <w:lang w:eastAsia="ja-JP"/>
        </w:rPr>
      </w:pPr>
    </w:p>
    <w:p w14:paraId="28F2D080" w14:textId="77777777" w:rsidR="000F5B89" w:rsidRPr="003726FE" w:rsidRDefault="000F5B89" w:rsidP="000F5B89">
      <w:pPr>
        <w:spacing w:after="0" w:line="240" w:lineRule="auto"/>
        <w:rPr>
          <w:rFonts w:ascii="Cambria" w:eastAsia="Cambria" w:hAnsi="Cambria" w:cs="Times New Roman"/>
          <w:b/>
          <w:bCs/>
          <w:sz w:val="22"/>
          <w:lang w:eastAsia="ja-JP"/>
        </w:rPr>
      </w:pPr>
    </w:p>
    <w:p w14:paraId="06358456" w14:textId="77777777" w:rsidR="000F5B89" w:rsidRPr="003726FE" w:rsidRDefault="000F5B89" w:rsidP="000F5B89">
      <w:pPr>
        <w:spacing w:after="0" w:line="240" w:lineRule="auto"/>
        <w:rPr>
          <w:rFonts w:ascii="Cambria" w:eastAsia="Cambria" w:hAnsi="Cambria" w:cs="Times New Roman"/>
          <w:b/>
          <w:bCs/>
          <w:sz w:val="22"/>
          <w:lang w:eastAsia="ja-JP"/>
        </w:rPr>
      </w:pPr>
    </w:p>
    <w:p w14:paraId="4E2295CF" w14:textId="77777777" w:rsidR="000F5B89" w:rsidRPr="003726FE" w:rsidRDefault="000F5B89" w:rsidP="000F5B89">
      <w:pPr>
        <w:spacing w:after="0" w:line="360" w:lineRule="auto"/>
        <w:rPr>
          <w:rFonts w:ascii="Cambria" w:eastAsia="Cambria" w:hAnsi="Cambria" w:cs="Times New Roman"/>
          <w:b/>
          <w:bCs/>
          <w:szCs w:val="24"/>
          <w:lang w:eastAsia="ja-JP"/>
        </w:rPr>
      </w:pPr>
      <w:r w:rsidRPr="003726FE">
        <w:rPr>
          <w:rFonts w:ascii="Cambria" w:eastAsia="Cambria" w:hAnsi="Cambria" w:cs="Times New Roman"/>
          <w:b/>
          <w:bCs/>
          <w:szCs w:val="24"/>
          <w:lang w:eastAsia="ja-JP"/>
        </w:rPr>
        <w:t>Guidance notes:</w:t>
      </w:r>
    </w:p>
    <w:p w14:paraId="1FD9F361" w14:textId="77777777" w:rsidR="000F5B89" w:rsidRPr="003726FE" w:rsidRDefault="000F5B89" w:rsidP="000F5B89">
      <w:pPr>
        <w:spacing w:after="0" w:line="360" w:lineRule="auto"/>
        <w:rPr>
          <w:rFonts w:ascii="Cambria" w:eastAsia="Cambria" w:hAnsi="Cambria" w:cs="Times New Roman"/>
          <w:b/>
          <w:bCs/>
          <w:szCs w:val="24"/>
          <w:lang w:eastAsia="ja-JP"/>
        </w:rPr>
      </w:pPr>
    </w:p>
    <w:p w14:paraId="075A872A"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hypothetical examples or vignettes.</w:t>
      </w:r>
    </w:p>
    <w:p w14:paraId="37000F34"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specific things they have done.</w:t>
      </w:r>
    </w:p>
    <w:p w14:paraId="18541988"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Use stimulated recall.</w:t>
      </w:r>
    </w:p>
    <w:p w14:paraId="6D642F80"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for elaboration.</w:t>
      </w:r>
    </w:p>
    <w:p w14:paraId="377F2B13"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opposing ideas.</w:t>
      </w:r>
    </w:p>
    <w:p w14:paraId="24A44F32"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if their rationale is all-encompassing.</w:t>
      </w:r>
    </w:p>
    <w:p w14:paraId="4E7EFC18"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about other influencing conditions.</w:t>
      </w:r>
    </w:p>
    <w:p w14:paraId="7899F0C5" w14:textId="77777777" w:rsidR="000F5B89" w:rsidRPr="003726FE" w:rsidRDefault="000F5B89" w:rsidP="000F5B89">
      <w:pPr>
        <w:numPr>
          <w:ilvl w:val="0"/>
          <w:numId w:val="40"/>
        </w:numPr>
        <w:spacing w:after="0" w:line="36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Ask probing and follow-up questions.</w:t>
      </w:r>
    </w:p>
    <w:p w14:paraId="44B69D6B" w14:textId="77777777" w:rsidR="000F5B89" w:rsidRPr="003726FE" w:rsidRDefault="000F5B89" w:rsidP="000F5B89">
      <w:pPr>
        <w:spacing w:after="0" w:line="240" w:lineRule="auto"/>
        <w:rPr>
          <w:rFonts w:ascii="Cambria" w:eastAsia="Cambria" w:hAnsi="Cambria" w:cs="Times New Roman"/>
          <w:b/>
          <w:bCs/>
          <w:szCs w:val="24"/>
          <w:lang w:eastAsia="ja-JP"/>
        </w:rPr>
      </w:pPr>
    </w:p>
    <w:p w14:paraId="2CC1E26C" w14:textId="77777777" w:rsidR="000F5B89" w:rsidRPr="003726FE" w:rsidRDefault="000F5B89" w:rsidP="000F5B89">
      <w:pPr>
        <w:spacing w:after="0" w:line="240" w:lineRule="auto"/>
        <w:rPr>
          <w:rFonts w:ascii="Cambria" w:eastAsia="Cambria" w:hAnsi="Cambria" w:cs="Times New Roman"/>
          <w:b/>
          <w:bCs/>
          <w:szCs w:val="24"/>
          <w:lang w:eastAsia="ja-JP"/>
        </w:rPr>
      </w:pPr>
    </w:p>
    <w:p w14:paraId="251806D4" w14:textId="77777777" w:rsidR="000F5B89" w:rsidRPr="003726FE" w:rsidRDefault="000F5B89" w:rsidP="000F5B89">
      <w:pPr>
        <w:spacing w:after="0" w:line="240" w:lineRule="auto"/>
        <w:rPr>
          <w:rFonts w:ascii="Cambria" w:eastAsia="Cambria" w:hAnsi="Cambria" w:cs="Times New Roman"/>
          <w:b/>
          <w:bCs/>
          <w:szCs w:val="24"/>
          <w:lang w:eastAsia="ja-JP"/>
        </w:rPr>
      </w:pPr>
      <w:r w:rsidRPr="003726FE">
        <w:rPr>
          <w:rFonts w:ascii="Cambria" w:eastAsia="Cambria" w:hAnsi="Cambria" w:cs="Times New Roman"/>
          <w:b/>
          <w:bCs/>
          <w:szCs w:val="24"/>
          <w:lang w:eastAsia="ja-JP"/>
        </w:rPr>
        <w:t>Data collection methods</w:t>
      </w:r>
    </w:p>
    <w:p w14:paraId="25CAB255" w14:textId="77777777" w:rsidR="000F5B89" w:rsidRPr="003726FE" w:rsidRDefault="000F5B89" w:rsidP="000F5B89">
      <w:pPr>
        <w:spacing w:after="0" w:line="240" w:lineRule="auto"/>
        <w:rPr>
          <w:rFonts w:ascii="Cambria" w:eastAsia="Cambria" w:hAnsi="Cambria" w:cs="Times New Roman"/>
          <w:b/>
          <w:bCs/>
          <w:szCs w:val="24"/>
          <w:lang w:eastAsia="ja-JP"/>
        </w:rPr>
      </w:pPr>
    </w:p>
    <w:p w14:paraId="6C282D02"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Audio recorder x 2 (Dictaphone)</w:t>
      </w:r>
    </w:p>
    <w:p w14:paraId="5C53A687"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Note taking</w:t>
      </w:r>
    </w:p>
    <w:p w14:paraId="10286C2D" w14:textId="77777777" w:rsidR="000F5B89" w:rsidRPr="003726FE" w:rsidRDefault="000F5B89" w:rsidP="000F5B89">
      <w:pPr>
        <w:numPr>
          <w:ilvl w:val="0"/>
          <w:numId w:val="41"/>
        </w:numPr>
        <w:spacing w:after="0" w:line="240" w:lineRule="auto"/>
        <w:contextualSpacing/>
        <w:rPr>
          <w:rFonts w:ascii="Cambria" w:eastAsia="Cambria" w:hAnsi="Cambria" w:cs="Times New Roman"/>
          <w:bCs/>
          <w:szCs w:val="24"/>
          <w:lang w:eastAsia="ja-JP"/>
        </w:rPr>
      </w:pPr>
      <w:r w:rsidRPr="003726FE">
        <w:rPr>
          <w:rFonts w:ascii="Cambria" w:eastAsia="Cambria" w:hAnsi="Cambria" w:cs="Times New Roman"/>
          <w:bCs/>
          <w:szCs w:val="24"/>
          <w:lang w:eastAsia="ja-JP"/>
        </w:rPr>
        <w:t>Duration: 1 hour</w:t>
      </w:r>
    </w:p>
    <w:p w14:paraId="79CAB9BC" w14:textId="77777777" w:rsidR="000F5B89" w:rsidRPr="003726FE" w:rsidRDefault="000F5B89" w:rsidP="000F5B89">
      <w:pPr>
        <w:spacing w:after="0" w:line="240" w:lineRule="auto"/>
        <w:rPr>
          <w:rFonts w:ascii="Cambria" w:eastAsia="Cambria" w:hAnsi="Cambria" w:cs="Times New Roman"/>
          <w:b/>
          <w:bCs/>
          <w:sz w:val="22"/>
          <w:lang w:eastAsia="ja-JP"/>
        </w:rPr>
      </w:pPr>
    </w:p>
    <w:p w14:paraId="714454C2" w14:textId="77777777" w:rsidR="000F5B89" w:rsidRPr="003726FE" w:rsidRDefault="000F5B89" w:rsidP="000F5B89">
      <w:pPr>
        <w:spacing w:after="0" w:line="240" w:lineRule="auto"/>
        <w:rPr>
          <w:rFonts w:ascii="Cambria" w:eastAsia="Cambria" w:hAnsi="Cambria" w:cs="Times New Roman"/>
          <w:b/>
          <w:bCs/>
          <w:sz w:val="22"/>
          <w:lang w:eastAsia="ja-JP"/>
        </w:rPr>
      </w:pPr>
    </w:p>
    <w:p w14:paraId="6574933B"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444128E8"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01BAEB3C" w14:textId="77777777" w:rsidR="00E07A7C" w:rsidRDefault="00E07A7C" w:rsidP="000F5B89">
      <w:pPr>
        <w:tabs>
          <w:tab w:val="left" w:pos="5078"/>
        </w:tabs>
        <w:spacing w:after="0" w:line="240" w:lineRule="auto"/>
        <w:jc w:val="center"/>
        <w:rPr>
          <w:rFonts w:ascii="Cambria" w:eastAsia="Cambria" w:hAnsi="Cambria" w:cs="Times New Roman"/>
          <w:b/>
          <w:bCs/>
          <w:lang w:eastAsia="ja-JP"/>
        </w:rPr>
      </w:pPr>
    </w:p>
    <w:p w14:paraId="12CB2A65" w14:textId="77777777" w:rsidR="000F5B89" w:rsidRPr="003726FE" w:rsidRDefault="000F5B89" w:rsidP="000F5B89">
      <w:pPr>
        <w:tabs>
          <w:tab w:val="left" w:pos="5078"/>
        </w:tabs>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lastRenderedPageBreak/>
        <w:t>Question guide</w:t>
      </w:r>
    </w:p>
    <w:p w14:paraId="17261D91" w14:textId="77777777" w:rsidR="000F5B89" w:rsidRPr="003726FE" w:rsidRDefault="000F5B89" w:rsidP="000F5B89">
      <w:pPr>
        <w:tabs>
          <w:tab w:val="left" w:pos="5078"/>
        </w:tabs>
        <w:spacing w:after="0" w:line="240" w:lineRule="auto"/>
        <w:jc w:val="center"/>
        <w:rPr>
          <w:rFonts w:ascii="Cambria" w:eastAsia="Cambria" w:hAnsi="Cambria" w:cs="Times New Roman"/>
          <w:b/>
          <w:bCs/>
          <w:lang w:eastAsia="ja-JP"/>
        </w:rPr>
      </w:pPr>
    </w:p>
    <w:p w14:paraId="2C48F1FC"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05780DC4" w14:textId="77777777" w:rsidR="000F5B89" w:rsidRPr="003726FE" w:rsidRDefault="000F5B89" w:rsidP="000F5B8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Participant is greeted and made comfortable. The interviewer explains the interview procedure including timings, recording equipment and topics to be covered. Since the participant has already consented to the interview, another form is not required. The interviewer asks the participant if they are happy to proceed with the interview after having received the information. The participant has already received this information formally though email correspondence. The aim of this to explain ‘the rules of the game’ and to leave the participant in no doubt of what will happen, during and after the interview.</w:t>
      </w:r>
    </w:p>
    <w:p w14:paraId="69B4DB09"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5A43E95F"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7A5CBA13"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525B5F91" w14:textId="77777777" w:rsidR="000F5B89" w:rsidRPr="003726FE" w:rsidRDefault="000F5B89" w:rsidP="000F5B89">
      <w:pPr>
        <w:tabs>
          <w:tab w:val="left" w:pos="5078"/>
        </w:tabs>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begins</w:t>
      </w:r>
    </w:p>
    <w:p w14:paraId="166E1079"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177AC0C9"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5B4295CA" w14:textId="77777777" w:rsidR="000F5B89" w:rsidRPr="003726FE" w:rsidRDefault="000F5B89" w:rsidP="000F5B8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Recording equipment turned on.</w:t>
      </w:r>
    </w:p>
    <w:p w14:paraId="24795E1F"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5F1C88C7"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64B81900"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Introductory questions:</w:t>
      </w:r>
    </w:p>
    <w:p w14:paraId="05A4059F"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00785877"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please give me a brief overview of your teaching career to this point?</w:t>
      </w:r>
    </w:p>
    <w:p w14:paraId="23E68D72"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tell me about any other feedback training you have received before this project?</w:t>
      </w:r>
    </w:p>
    <w:p w14:paraId="5ECD1B7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DA298E6"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1D0A5C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C752880"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59F827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35D6333"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0B3966A"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49E0FC9"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ED08376"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0501FD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CE2F42C"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9BDE6C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54AE28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4E1B35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1AA812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528850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E839C8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A17FE96"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58E834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74E2862"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C70144A" w14:textId="77777777" w:rsidR="000F5B89" w:rsidRPr="003726FE" w:rsidRDefault="000F5B89" w:rsidP="000F5B89">
      <w:pPr>
        <w:spacing w:after="0" w:line="360" w:lineRule="auto"/>
        <w:rPr>
          <w:rFonts w:ascii="Cambria" w:eastAsia="Cambria" w:hAnsi="Cambria" w:cs="Times New Roman"/>
          <w:b/>
          <w:bCs/>
          <w:lang w:eastAsia="ja-JP"/>
        </w:rPr>
      </w:pPr>
    </w:p>
    <w:p w14:paraId="32C728CF" w14:textId="77777777" w:rsidR="000F5B89" w:rsidRPr="003726FE" w:rsidRDefault="000F5B89" w:rsidP="000F5B89">
      <w:pPr>
        <w:spacing w:after="0" w:line="360" w:lineRule="auto"/>
        <w:rPr>
          <w:rFonts w:ascii="Cambria" w:eastAsia="Cambria" w:hAnsi="Cambria" w:cs="Times New Roman"/>
          <w:b/>
          <w:bCs/>
          <w:lang w:eastAsia="ja-JP"/>
        </w:rPr>
      </w:pPr>
    </w:p>
    <w:p w14:paraId="1D756372" w14:textId="77777777" w:rsidR="000F5B89" w:rsidRPr="003726FE" w:rsidRDefault="000F5B89" w:rsidP="000F5B89">
      <w:pPr>
        <w:spacing w:after="0" w:line="360" w:lineRule="auto"/>
        <w:rPr>
          <w:rFonts w:ascii="Cambria" w:eastAsia="Cambria" w:hAnsi="Cambria" w:cs="Times New Roman"/>
          <w:b/>
          <w:bCs/>
          <w:lang w:eastAsia="ja-JP"/>
        </w:rPr>
      </w:pPr>
    </w:p>
    <w:p w14:paraId="3B74C283" w14:textId="0A75A54C"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 xml:space="preserve">Topical questions: </w:t>
      </w:r>
      <w:r w:rsidR="008E7D00">
        <w:rPr>
          <w:rFonts w:ascii="Cambria" w:eastAsia="Cambria" w:hAnsi="Cambria" w:cs="Times New Roman"/>
          <w:b/>
          <w:bCs/>
          <w:lang w:eastAsia="ja-JP"/>
        </w:rPr>
        <w:t>Conceptualisation</w:t>
      </w:r>
      <w:r w:rsidRPr="003726FE">
        <w:rPr>
          <w:rFonts w:ascii="Cambria" w:eastAsia="Cambria" w:hAnsi="Cambria" w:cs="Times New Roman"/>
          <w:b/>
          <w:bCs/>
          <w:lang w:eastAsia="ja-JP"/>
        </w:rPr>
        <w:t>s of feedback</w:t>
      </w:r>
    </w:p>
    <w:p w14:paraId="0956FAFA" w14:textId="77777777" w:rsidR="000F5B89" w:rsidRPr="003726FE" w:rsidRDefault="000F5B89" w:rsidP="000F5B89">
      <w:pPr>
        <w:spacing w:after="0" w:line="360" w:lineRule="auto"/>
        <w:rPr>
          <w:rFonts w:ascii="Cambria" w:eastAsia="Cambria" w:hAnsi="Cambria" w:cs="Times New Roman"/>
          <w:b/>
          <w:bCs/>
          <w:lang w:eastAsia="ja-JP"/>
        </w:rPr>
      </w:pPr>
    </w:p>
    <w:p w14:paraId="68E7050F"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To start, I’d like to ask you a few questions about your thoughts and feelings on feedback.</w:t>
      </w:r>
    </w:p>
    <w:p w14:paraId="01BA1227"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Thinking back to before you received any training for this study, what were your experiences with giving feedback?</w:t>
      </w:r>
    </w:p>
    <w:p w14:paraId="5A5725C1"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feedback giving at that time was challenging?</w:t>
      </w:r>
    </w:p>
    <w:p w14:paraId="5C5030CF"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On the other hand, what do you feel worked well when you gave feedback?</w:t>
      </w:r>
    </w:p>
    <w:p w14:paraId="0B6D61EC"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think of any examples?</w:t>
      </w:r>
    </w:p>
    <w:p w14:paraId="7E5263B6"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impact has the training and giving feedback in this way had on the way you teach and give feedback?</w:t>
      </w:r>
    </w:p>
    <w:p w14:paraId="39C83A2C"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 you feel that the effect was positive or negative?</w:t>
      </w:r>
    </w:p>
    <w:p w14:paraId="516C89F7"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do you think that was?</w:t>
      </w:r>
    </w:p>
    <w:p w14:paraId="4BF5BCB8"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your views on the best practice principles of feedback which were delivered through the first training session?</w:t>
      </w:r>
    </w:p>
    <w:p w14:paraId="2D55BF94"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your views on the self-regulated learning approach to feedback to which you were introduced to?</w:t>
      </w:r>
      <w:r w:rsidRPr="003726FE">
        <w:rPr>
          <w:rFonts w:ascii="Cambria" w:eastAsia="Cambria" w:hAnsi="Cambria" w:cs="Times New Roman"/>
          <w:b/>
          <w:bCs/>
          <w:noProof/>
          <w:sz w:val="22"/>
          <w:lang w:eastAsia="en-GB"/>
        </w:rPr>
        <w:t xml:space="preserve"> </w:t>
      </w:r>
    </w:p>
    <w:p w14:paraId="4DA35759"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have your views on feedback changed as a result of this research project compared to before?</w:t>
      </w:r>
    </w:p>
    <w:p w14:paraId="0E5ACF38"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2368" behindDoc="0" locked="0" layoutInCell="1" allowOverlap="1" wp14:anchorId="346B8258" wp14:editId="3336E561">
                <wp:simplePos x="0" y="0"/>
                <wp:positionH relativeFrom="margin">
                  <wp:posOffset>172720</wp:posOffset>
                </wp:positionH>
                <wp:positionV relativeFrom="paragraph">
                  <wp:posOffset>361315</wp:posOffset>
                </wp:positionV>
                <wp:extent cx="5560695" cy="2477135"/>
                <wp:effectExtent l="0" t="0" r="20955" b="18415"/>
                <wp:wrapTopAndBottom/>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2477135"/>
                        </a:xfrm>
                        <a:prstGeom prst="rect">
                          <a:avLst/>
                        </a:prstGeom>
                        <a:solidFill>
                          <a:srgbClr val="FFFFFF"/>
                        </a:solidFill>
                        <a:ln w="9525">
                          <a:solidFill>
                            <a:srgbClr val="000000"/>
                          </a:solidFill>
                          <a:prstDash val="dash"/>
                          <a:miter lim="800000"/>
                          <a:headEnd/>
                          <a:tailEnd/>
                        </a:ln>
                      </wps:spPr>
                      <wps:txbx>
                        <w:txbxContent>
                          <w:p w14:paraId="6A36408C" w14:textId="77777777" w:rsidR="00C8402C" w:rsidRDefault="00C8402C" w:rsidP="000F5B89">
                            <w:pPr>
                              <w:spacing w:line="360" w:lineRule="auto"/>
                              <w:rPr>
                                <w:b/>
                                <w:i/>
                              </w:rPr>
                            </w:pPr>
                            <w:r>
                              <w:rPr>
                                <w:i/>
                              </w:rPr>
                              <w:t>Additional questions (if needed):</w:t>
                            </w:r>
                          </w:p>
                          <w:p w14:paraId="3E5721F6" w14:textId="77777777" w:rsidR="00C8402C" w:rsidRPr="00496A27" w:rsidRDefault="00C8402C" w:rsidP="000F5B89">
                            <w:pPr>
                              <w:pStyle w:val="ListParagraph"/>
                              <w:numPr>
                                <w:ilvl w:val="0"/>
                                <w:numId w:val="39"/>
                              </w:numPr>
                              <w:spacing w:after="0" w:line="360" w:lineRule="auto"/>
                              <w:rPr>
                                <w:b/>
                                <w:i/>
                              </w:rPr>
                            </w:pPr>
                            <w:r w:rsidRPr="00496A27">
                              <w:rPr>
                                <w:i/>
                              </w:rPr>
                              <w:t>Think about a few typical examples of when you give feedback in your teaching, how involved in that encounter do you feel?</w:t>
                            </w:r>
                          </w:p>
                          <w:p w14:paraId="5158EEFC"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5BD52225" w14:textId="77777777" w:rsidR="00C8402C" w:rsidRPr="00496A27" w:rsidRDefault="00C8402C" w:rsidP="000F5B89">
                            <w:pPr>
                              <w:pStyle w:val="ListParagraph"/>
                              <w:numPr>
                                <w:ilvl w:val="1"/>
                                <w:numId w:val="39"/>
                              </w:numPr>
                              <w:spacing w:after="0" w:line="360" w:lineRule="auto"/>
                              <w:rPr>
                                <w:b/>
                                <w:i/>
                              </w:rPr>
                            </w:pPr>
                            <w:r w:rsidRPr="00496A27">
                              <w:rPr>
                                <w:i/>
                              </w:rPr>
                              <w:t>Where do you think those came from?</w:t>
                            </w:r>
                          </w:p>
                          <w:p w14:paraId="1A8BD529" w14:textId="77777777" w:rsidR="00C8402C" w:rsidRPr="00D34141" w:rsidRDefault="00C8402C" w:rsidP="000F5B89">
                            <w:pPr>
                              <w:pStyle w:val="ListParagraph"/>
                              <w:numPr>
                                <w:ilvl w:val="1"/>
                                <w:numId w:val="39"/>
                              </w:numPr>
                              <w:spacing w:after="0" w:line="360" w:lineRule="auto"/>
                              <w:rPr>
                                <w:b/>
                                <w:i/>
                              </w:rPr>
                            </w:pPr>
                            <w:r w:rsidRPr="00D34141">
                              <w:rPr>
                                <w:i/>
                              </w:rPr>
                              <w:t>Do you think your views on this have changed since you were trained in the technique?</w:t>
                            </w:r>
                          </w:p>
                          <w:p w14:paraId="017D5912" w14:textId="77777777" w:rsidR="00C8402C" w:rsidRDefault="00C8402C" w:rsidP="000F5B89">
                            <w:pPr>
                              <w:pStyle w:val="ListParagraph"/>
                              <w:numPr>
                                <w:ilvl w:val="0"/>
                                <w:numId w:val="39"/>
                              </w:numPr>
                              <w:spacing w:after="0" w:line="240" w:lineRule="auto"/>
                            </w:pPr>
                            <w:r w:rsidRPr="003A7C81">
                              <w:rPr>
                                <w:i/>
                              </w:rPr>
                              <w:t>How did you use that knowledge of SRL in the way you gave feedback?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B8258" id="_x0000_s1427" type="#_x0000_t202" style="position:absolute;left:0;text-align:left;margin-left:13.6pt;margin-top:28.45pt;width:437.85pt;height:195.0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">
                <v:stroke dashstyle="dash"/>
                <v:textbox>
                  <w:txbxContent>
                    <w:p w14:paraId="6A36408C" w14:textId="77777777" w:rsidR="00C8402C" w:rsidRDefault="00C8402C" w:rsidP="000F5B89">
                      <w:pPr>
                        <w:spacing w:line="360" w:lineRule="auto"/>
                        <w:rPr>
                          <w:b/>
                          <w:i/>
                        </w:rPr>
                      </w:pPr>
                      <w:r>
                        <w:rPr>
                          <w:i/>
                        </w:rPr>
                        <w:t>Additional questions (if needed):</w:t>
                      </w:r>
                    </w:p>
                    <w:p w14:paraId="3E5721F6" w14:textId="77777777" w:rsidR="00C8402C" w:rsidRPr="00496A27" w:rsidRDefault="00C8402C" w:rsidP="000F5B89">
                      <w:pPr>
                        <w:pStyle w:val="ListParagraph"/>
                        <w:numPr>
                          <w:ilvl w:val="0"/>
                          <w:numId w:val="39"/>
                        </w:numPr>
                        <w:spacing w:after="0" w:line="360" w:lineRule="auto"/>
                        <w:rPr>
                          <w:b/>
                          <w:i/>
                        </w:rPr>
                      </w:pPr>
                      <w:r w:rsidRPr="00496A27">
                        <w:rPr>
                          <w:i/>
                        </w:rPr>
                        <w:t>Think about a few typical examples of when you give feedback in your teaching, how involved in that encounter do you feel?</w:t>
                      </w:r>
                    </w:p>
                    <w:p w14:paraId="5158EEFC"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5BD52225" w14:textId="77777777" w:rsidR="00C8402C" w:rsidRPr="00496A27" w:rsidRDefault="00C8402C" w:rsidP="000F5B89">
                      <w:pPr>
                        <w:pStyle w:val="ListParagraph"/>
                        <w:numPr>
                          <w:ilvl w:val="1"/>
                          <w:numId w:val="39"/>
                        </w:numPr>
                        <w:spacing w:after="0" w:line="360" w:lineRule="auto"/>
                        <w:rPr>
                          <w:b/>
                          <w:i/>
                        </w:rPr>
                      </w:pPr>
                      <w:r w:rsidRPr="00496A27">
                        <w:rPr>
                          <w:i/>
                        </w:rPr>
                        <w:t>Where do you think those came from?</w:t>
                      </w:r>
                    </w:p>
                    <w:p w14:paraId="1A8BD529" w14:textId="77777777" w:rsidR="00C8402C" w:rsidRPr="00D34141" w:rsidRDefault="00C8402C" w:rsidP="000F5B89">
                      <w:pPr>
                        <w:pStyle w:val="ListParagraph"/>
                        <w:numPr>
                          <w:ilvl w:val="1"/>
                          <w:numId w:val="39"/>
                        </w:numPr>
                        <w:spacing w:after="0" w:line="360" w:lineRule="auto"/>
                        <w:rPr>
                          <w:b/>
                          <w:i/>
                        </w:rPr>
                      </w:pPr>
                      <w:r w:rsidRPr="00D34141">
                        <w:rPr>
                          <w:i/>
                        </w:rPr>
                        <w:t>Do you think your views on this have changed since you were trained in the technique?</w:t>
                      </w:r>
                    </w:p>
                    <w:p w14:paraId="017D5912" w14:textId="77777777" w:rsidR="00C8402C" w:rsidRDefault="00C8402C" w:rsidP="000F5B89">
                      <w:pPr>
                        <w:pStyle w:val="ListParagraph"/>
                        <w:numPr>
                          <w:ilvl w:val="0"/>
                          <w:numId w:val="39"/>
                        </w:numPr>
                        <w:spacing w:after="0" w:line="240" w:lineRule="auto"/>
                      </w:pPr>
                      <w:r w:rsidRPr="003A7C81">
                        <w:rPr>
                          <w:i/>
                        </w:rPr>
                        <w:t>How did you use that knowledge of SRL in the way you gave feedback?</w:t>
                      </w:r>
                    </w:p>
                  </w:txbxContent>
                </v:textbox>
                <w10:wrap type="topAndBottom" anchorx="margin"/>
              </v:shape>
            </w:pict>
          </mc:Fallback>
        </mc:AlternateContent>
      </w:r>
      <w:r w:rsidRPr="003726FE">
        <w:rPr>
          <w:rFonts w:ascii="Cambria" w:eastAsia="Cambria" w:hAnsi="Cambria" w:cs="Times New Roman"/>
          <w:bCs/>
          <w:lang w:eastAsia="ja-JP"/>
        </w:rPr>
        <w:t>Why do you think they changed in that way?</w:t>
      </w:r>
    </w:p>
    <w:p w14:paraId="4CCC61AC" w14:textId="77777777" w:rsidR="000F5B89" w:rsidRPr="003726FE" w:rsidRDefault="000F5B89" w:rsidP="000F5B89">
      <w:pPr>
        <w:spacing w:after="0" w:line="360" w:lineRule="auto"/>
        <w:rPr>
          <w:rFonts w:ascii="Cambria" w:eastAsia="Cambria" w:hAnsi="Cambria" w:cs="Times New Roman"/>
          <w:b/>
          <w:bCs/>
          <w:lang w:eastAsia="ja-JP"/>
        </w:rPr>
      </w:pPr>
    </w:p>
    <w:p w14:paraId="5BE1AF32" w14:textId="77777777" w:rsidR="00E07A7C" w:rsidRDefault="00E07A7C">
      <w:pPr>
        <w:rPr>
          <w:rFonts w:ascii="Cambria" w:eastAsia="Cambria" w:hAnsi="Cambria" w:cs="Times New Roman"/>
          <w:b/>
          <w:bCs/>
          <w:lang w:eastAsia="ja-JP"/>
        </w:rPr>
      </w:pPr>
      <w:r>
        <w:rPr>
          <w:rFonts w:ascii="Cambria" w:eastAsia="Cambria" w:hAnsi="Cambria" w:cs="Times New Roman"/>
          <w:b/>
          <w:bCs/>
          <w:lang w:eastAsia="ja-JP"/>
        </w:rPr>
        <w:br w:type="page"/>
      </w:r>
    </w:p>
    <w:p w14:paraId="57CBE484" w14:textId="7ADF197C"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lang w:eastAsia="ja-JP"/>
        </w:rPr>
        <w:lastRenderedPageBreak/>
        <w:t>Topical questions: Usefulness</w:t>
      </w:r>
    </w:p>
    <w:p w14:paraId="440A7E69" w14:textId="77777777" w:rsidR="000F5B89" w:rsidRPr="003726FE" w:rsidRDefault="000F5B89" w:rsidP="000F5B89">
      <w:pPr>
        <w:spacing w:after="0" w:line="360" w:lineRule="auto"/>
        <w:rPr>
          <w:rFonts w:ascii="Cambria" w:eastAsia="Cambria" w:hAnsi="Cambria" w:cs="Times New Roman"/>
          <w:b/>
          <w:bCs/>
          <w:lang w:eastAsia="ja-JP"/>
        </w:rPr>
      </w:pPr>
    </w:p>
    <w:p w14:paraId="61A04F8B"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Moving on from that, I’d like to talk about how useful you found the experience; including the training and when you gave feedback.</w:t>
      </w:r>
    </w:p>
    <w:p w14:paraId="5E1879AF" w14:textId="77777777" w:rsidR="000F5B89" w:rsidRPr="003726FE" w:rsidRDefault="000F5B89" w:rsidP="000F5B89">
      <w:pPr>
        <w:spacing w:after="0" w:line="360" w:lineRule="auto"/>
        <w:rPr>
          <w:rFonts w:ascii="Cambria" w:eastAsia="Cambria" w:hAnsi="Cambria" w:cs="Times New Roman"/>
          <w:b/>
          <w:bCs/>
          <w:lang w:eastAsia="ja-JP"/>
        </w:rPr>
      </w:pPr>
    </w:p>
    <w:p w14:paraId="6C0127E1" w14:textId="77777777" w:rsidR="000F5B89" w:rsidRPr="003726FE" w:rsidRDefault="000F5B89" w:rsidP="000F5B89">
      <w:pPr>
        <w:numPr>
          <w:ilvl w:val="0"/>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useful or not useful was the BPF training you received?</w:t>
      </w:r>
    </w:p>
    <w:p w14:paraId="0363E5DE" w14:textId="77777777" w:rsidR="000F5B89" w:rsidRPr="003726FE" w:rsidRDefault="000F5B89" w:rsidP="000F5B89">
      <w:pPr>
        <w:numPr>
          <w:ilvl w:val="1"/>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it was useful or not useful and why?</w:t>
      </w:r>
    </w:p>
    <w:p w14:paraId="2A762455" w14:textId="77777777" w:rsidR="000F5B89" w:rsidRPr="003726FE" w:rsidRDefault="000F5B89" w:rsidP="000F5B89">
      <w:pPr>
        <w:numPr>
          <w:ilvl w:val="0"/>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useful or not useful was the SRL training you received?</w:t>
      </w:r>
    </w:p>
    <w:p w14:paraId="115C8A94" w14:textId="77777777" w:rsidR="000F5B89" w:rsidRPr="003726FE" w:rsidRDefault="000F5B89" w:rsidP="000F5B89">
      <w:pPr>
        <w:numPr>
          <w:ilvl w:val="1"/>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it was useful or not useful and why?</w:t>
      </w:r>
    </w:p>
    <w:p w14:paraId="263CFE00" w14:textId="77777777" w:rsidR="000F5B89" w:rsidRPr="003726FE" w:rsidRDefault="000F5B89" w:rsidP="000F5B89">
      <w:pPr>
        <w:numPr>
          <w:ilvl w:val="0"/>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 back to the times when you used the SRL training, how useful or not useful was it for giving feedback?</w:t>
      </w:r>
    </w:p>
    <w:p w14:paraId="0CE8FC40" w14:textId="77777777" w:rsidR="000F5B89" w:rsidRPr="003726FE" w:rsidRDefault="000F5B89" w:rsidP="000F5B89">
      <w:pPr>
        <w:numPr>
          <w:ilvl w:val="1"/>
          <w:numId w:val="42"/>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was it useful/not useful for you?</w:t>
      </w:r>
    </w:p>
    <w:p w14:paraId="6121EA35"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In your opinion, how useful or not useful is this technique is giving feedback in simulated clinical skills contexts?</w:t>
      </w:r>
    </w:p>
    <w:p w14:paraId="6D22CD9D"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so/if not, why do think that?</w:t>
      </w:r>
    </w:p>
    <w:p w14:paraId="6B37027C"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5440" behindDoc="0" locked="0" layoutInCell="1" allowOverlap="1" wp14:anchorId="56CA48D4" wp14:editId="6E5DEE5C">
                <wp:simplePos x="0" y="0"/>
                <wp:positionH relativeFrom="margin">
                  <wp:posOffset>100965</wp:posOffset>
                </wp:positionH>
                <wp:positionV relativeFrom="paragraph">
                  <wp:posOffset>616585</wp:posOffset>
                </wp:positionV>
                <wp:extent cx="5135245" cy="2540635"/>
                <wp:effectExtent l="0" t="0" r="27305" b="12065"/>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2540635"/>
                        </a:xfrm>
                        <a:prstGeom prst="rect">
                          <a:avLst/>
                        </a:prstGeom>
                        <a:solidFill>
                          <a:srgbClr val="FFFFFF"/>
                        </a:solidFill>
                        <a:ln w="9525">
                          <a:solidFill>
                            <a:srgbClr val="000000"/>
                          </a:solidFill>
                          <a:miter lim="800000"/>
                          <a:headEnd/>
                          <a:tailEnd/>
                        </a:ln>
                      </wps:spPr>
                      <wps:txbx>
                        <w:txbxContent>
                          <w:p w14:paraId="40CEAC7B" w14:textId="77777777" w:rsidR="00C8402C" w:rsidRDefault="00C8402C" w:rsidP="000F5B89">
                            <w:pPr>
                              <w:spacing w:line="360" w:lineRule="auto"/>
                              <w:rPr>
                                <w:b/>
                                <w:i/>
                              </w:rPr>
                            </w:pPr>
                            <w:r>
                              <w:rPr>
                                <w:i/>
                              </w:rPr>
                              <w:t>Additional questions (if needed):</w:t>
                            </w:r>
                          </w:p>
                          <w:p w14:paraId="53BBB337" w14:textId="77777777" w:rsidR="00C8402C" w:rsidRDefault="00C8402C" w:rsidP="000F5B89">
                            <w:pPr>
                              <w:pStyle w:val="ListParagraph"/>
                              <w:numPr>
                                <w:ilvl w:val="0"/>
                                <w:numId w:val="36"/>
                              </w:numPr>
                              <w:spacing w:after="0" w:line="360" w:lineRule="auto"/>
                              <w:rPr>
                                <w:b/>
                              </w:rPr>
                            </w:pPr>
                            <w:r>
                              <w:t>How has giving feedback in this way impacted upon how you plan to use feedback in the future?</w:t>
                            </w:r>
                          </w:p>
                          <w:p w14:paraId="62D723B0" w14:textId="77777777" w:rsidR="00C8402C" w:rsidRDefault="00C8402C" w:rsidP="000F5B89">
                            <w:pPr>
                              <w:pStyle w:val="ListParagraph"/>
                              <w:numPr>
                                <w:ilvl w:val="1"/>
                                <w:numId w:val="36"/>
                              </w:numPr>
                              <w:spacing w:after="0" w:line="360" w:lineRule="auto"/>
                              <w:rPr>
                                <w:b/>
                              </w:rPr>
                            </w:pPr>
                            <w:r>
                              <w:t>If so/if not, why do think that?</w:t>
                            </w:r>
                          </w:p>
                          <w:p w14:paraId="7281078D" w14:textId="77777777" w:rsidR="00C8402C" w:rsidRDefault="00C8402C" w:rsidP="000F5B89">
                            <w:pPr>
                              <w:pStyle w:val="ListParagraph"/>
                              <w:numPr>
                                <w:ilvl w:val="0"/>
                                <w:numId w:val="36"/>
                              </w:numPr>
                              <w:spacing w:after="0" w:line="360" w:lineRule="auto"/>
                              <w:rPr>
                                <w:b/>
                              </w:rPr>
                            </w:pPr>
                            <w:r>
                              <w:t>To what extent was the way you gave feedback using the training a useful addition to your teaching practice?</w:t>
                            </w:r>
                          </w:p>
                          <w:p w14:paraId="5B0BACA6" w14:textId="77777777" w:rsidR="00C8402C" w:rsidRDefault="00C8402C" w:rsidP="000F5B89">
                            <w:pPr>
                              <w:pStyle w:val="ListParagraph"/>
                              <w:numPr>
                                <w:ilvl w:val="1"/>
                                <w:numId w:val="36"/>
                              </w:numPr>
                              <w:spacing w:after="0" w:line="360" w:lineRule="auto"/>
                              <w:rPr>
                                <w:b/>
                              </w:rPr>
                            </w:pPr>
                            <w:r>
                              <w:t>If so/if not, why do think that?</w:t>
                            </w:r>
                          </w:p>
                          <w:p w14:paraId="69EB4307" w14:textId="77777777" w:rsidR="00C8402C" w:rsidRPr="00431659" w:rsidRDefault="00C8402C" w:rsidP="000F5B89">
                            <w:pPr>
                              <w:pStyle w:val="ListParagraph"/>
                              <w:numPr>
                                <w:ilvl w:val="1"/>
                                <w:numId w:val="36"/>
                              </w:numPr>
                              <w:spacing w:after="0" w:line="360" w:lineRule="auto"/>
                              <w:rPr>
                                <w:b/>
                              </w:rPr>
                            </w:pPr>
                            <w:r w:rsidRPr="00431659">
                              <w:t>How has this method of feedback impacted upon your usual method of giving feedback?</w:t>
                            </w:r>
                          </w:p>
                          <w:p w14:paraId="017764E0" w14:textId="77777777" w:rsidR="00C8402C" w:rsidRDefault="00C8402C" w:rsidP="000F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48D4" id="_x0000_s1428" type="#_x0000_t202" style="position:absolute;margin-left:7.95pt;margin-top:48.55pt;width:404.35pt;height:200.0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">
                <v:textbox>
                  <w:txbxContent>
                    <w:p w14:paraId="40CEAC7B" w14:textId="77777777" w:rsidR="00C8402C" w:rsidRDefault="00C8402C" w:rsidP="000F5B89">
                      <w:pPr>
                        <w:spacing w:line="360" w:lineRule="auto"/>
                        <w:rPr>
                          <w:b/>
                          <w:i/>
                        </w:rPr>
                      </w:pPr>
                      <w:r>
                        <w:rPr>
                          <w:i/>
                        </w:rPr>
                        <w:t>Additional questions (if needed):</w:t>
                      </w:r>
                    </w:p>
                    <w:p w14:paraId="53BBB337" w14:textId="77777777" w:rsidR="00C8402C" w:rsidRDefault="00C8402C" w:rsidP="000F5B89">
                      <w:pPr>
                        <w:pStyle w:val="ListParagraph"/>
                        <w:numPr>
                          <w:ilvl w:val="0"/>
                          <w:numId w:val="36"/>
                        </w:numPr>
                        <w:spacing w:after="0" w:line="360" w:lineRule="auto"/>
                        <w:rPr>
                          <w:b/>
                        </w:rPr>
                      </w:pPr>
                      <w:r>
                        <w:t>How has giving feedback in this way impacted upon how you plan to use feedback in the future?</w:t>
                      </w:r>
                    </w:p>
                    <w:p w14:paraId="62D723B0" w14:textId="77777777" w:rsidR="00C8402C" w:rsidRDefault="00C8402C" w:rsidP="000F5B89">
                      <w:pPr>
                        <w:pStyle w:val="ListParagraph"/>
                        <w:numPr>
                          <w:ilvl w:val="1"/>
                          <w:numId w:val="36"/>
                        </w:numPr>
                        <w:spacing w:after="0" w:line="360" w:lineRule="auto"/>
                        <w:rPr>
                          <w:b/>
                        </w:rPr>
                      </w:pPr>
                      <w:r>
                        <w:t>If so/if not, why do think that?</w:t>
                      </w:r>
                    </w:p>
                    <w:p w14:paraId="7281078D" w14:textId="77777777" w:rsidR="00C8402C" w:rsidRDefault="00C8402C" w:rsidP="000F5B89">
                      <w:pPr>
                        <w:pStyle w:val="ListParagraph"/>
                        <w:numPr>
                          <w:ilvl w:val="0"/>
                          <w:numId w:val="36"/>
                        </w:numPr>
                        <w:spacing w:after="0" w:line="360" w:lineRule="auto"/>
                        <w:rPr>
                          <w:b/>
                        </w:rPr>
                      </w:pPr>
                      <w:r>
                        <w:t>To what extent was the way you gave feedback using the training a useful addition to your teaching practice?</w:t>
                      </w:r>
                    </w:p>
                    <w:p w14:paraId="5B0BACA6" w14:textId="77777777" w:rsidR="00C8402C" w:rsidRDefault="00C8402C" w:rsidP="000F5B89">
                      <w:pPr>
                        <w:pStyle w:val="ListParagraph"/>
                        <w:numPr>
                          <w:ilvl w:val="1"/>
                          <w:numId w:val="36"/>
                        </w:numPr>
                        <w:spacing w:after="0" w:line="360" w:lineRule="auto"/>
                        <w:rPr>
                          <w:b/>
                        </w:rPr>
                      </w:pPr>
                      <w:r>
                        <w:t>If so/if not, why do think that?</w:t>
                      </w:r>
                    </w:p>
                    <w:p w14:paraId="69EB4307" w14:textId="77777777" w:rsidR="00C8402C" w:rsidRPr="00431659" w:rsidRDefault="00C8402C" w:rsidP="000F5B89">
                      <w:pPr>
                        <w:pStyle w:val="ListParagraph"/>
                        <w:numPr>
                          <w:ilvl w:val="1"/>
                          <w:numId w:val="36"/>
                        </w:numPr>
                        <w:spacing w:after="0" w:line="360" w:lineRule="auto"/>
                        <w:rPr>
                          <w:b/>
                        </w:rPr>
                      </w:pPr>
                      <w:r w:rsidRPr="00431659">
                        <w:t>How has this method of feedback impacted upon your usual method of giving feedback?</w:t>
                      </w:r>
                    </w:p>
                    <w:p w14:paraId="017764E0" w14:textId="77777777" w:rsidR="00C8402C" w:rsidRDefault="00C8402C" w:rsidP="000F5B89"/>
                  </w:txbxContent>
                </v:textbox>
                <w10:wrap type="square" anchorx="margin"/>
              </v:shape>
            </w:pict>
          </mc:Fallback>
        </mc:AlternateContent>
      </w:r>
      <w:r w:rsidRPr="003726FE">
        <w:rPr>
          <w:rFonts w:ascii="Cambria" w:eastAsia="Cambria" w:hAnsi="Cambria" w:cs="Times New Roman"/>
          <w:b/>
          <w:bCs/>
          <w:lang w:eastAsia="ja-JP"/>
        </w:rPr>
        <w:br w:type="page"/>
      </w:r>
    </w:p>
    <w:p w14:paraId="38673207"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Topical questions: Acceptability</w:t>
      </w:r>
    </w:p>
    <w:p w14:paraId="69F70E6E"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45F194A3" w14:textId="77777777" w:rsidR="000F5B89" w:rsidRPr="003726FE" w:rsidRDefault="000F5B89" w:rsidP="000F5B89">
      <w:pPr>
        <w:tabs>
          <w:tab w:val="left" w:pos="5078"/>
        </w:tabs>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those experiences you had, let’s move onto how the feedback giving worked for you.</w:t>
      </w:r>
    </w:p>
    <w:p w14:paraId="5FE002A9" w14:textId="77777777" w:rsidR="000F5B89" w:rsidRPr="003726FE" w:rsidRDefault="000F5B89" w:rsidP="000F5B89">
      <w:pPr>
        <w:tabs>
          <w:tab w:val="left" w:pos="5078"/>
        </w:tabs>
        <w:spacing w:after="0" w:line="360" w:lineRule="auto"/>
        <w:rPr>
          <w:rFonts w:ascii="Cambria" w:eastAsia="Cambria" w:hAnsi="Cambria" w:cs="Times New Roman"/>
          <w:bCs/>
          <w:lang w:eastAsia="ja-JP"/>
        </w:rPr>
      </w:pPr>
    </w:p>
    <w:p w14:paraId="2FD2F83E" w14:textId="77777777"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How did your use of the feedback technique change over time, if at all? </w:t>
      </w:r>
    </w:p>
    <w:p w14:paraId="4B8A3D1D"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do you think that was?</w:t>
      </w:r>
    </w:p>
    <w:p w14:paraId="11574C2B"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closely do you think you delivered the technique as it was taught to you in the training?</w:t>
      </w:r>
    </w:p>
    <w:p w14:paraId="5D11BDCC"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parts did you change and how did you change them?</w:t>
      </w:r>
    </w:p>
    <w:p w14:paraId="0CAB3373" w14:textId="77777777" w:rsidR="000F5B89" w:rsidRPr="003726FE" w:rsidRDefault="000F5B89" w:rsidP="000F5B89">
      <w:pPr>
        <w:numPr>
          <w:ilvl w:val="2"/>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think the impact of your modification was?</w:t>
      </w:r>
    </w:p>
    <w:p w14:paraId="1EE16B51"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did giving feedback in the way you did affect the session?</w:t>
      </w:r>
    </w:p>
    <w:p w14:paraId="48DEC02B"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parts in particular did it affect, and why?</w:t>
      </w:r>
    </w:p>
    <w:p w14:paraId="247EFEE0"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appropriate was the training portion of the research?</w:t>
      </w:r>
    </w:p>
    <w:p w14:paraId="37049544"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the reasons behind that?</w:t>
      </w:r>
    </w:p>
    <w:p w14:paraId="45DF2CE4" w14:textId="77777777"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think about using this way of giving feedback with the students you taught during the study?</w:t>
      </w:r>
    </w:p>
    <w:p w14:paraId="1DCA02D8"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explain why you think that?</w:t>
      </w:r>
    </w:p>
    <w:p w14:paraId="69DBCE0A" w14:textId="2D73EB7D" w:rsidR="000F5B89" w:rsidRPr="003726FE" w:rsidRDefault="00384091"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3392" behindDoc="0" locked="0" layoutInCell="1" allowOverlap="1" wp14:anchorId="4CA97E8D" wp14:editId="531DDB86">
                <wp:simplePos x="0" y="0"/>
                <wp:positionH relativeFrom="margin">
                  <wp:posOffset>140970</wp:posOffset>
                </wp:positionH>
                <wp:positionV relativeFrom="paragraph">
                  <wp:posOffset>463550</wp:posOffset>
                </wp:positionV>
                <wp:extent cx="5528310" cy="2306955"/>
                <wp:effectExtent l="0" t="0" r="15240" b="17145"/>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2306955"/>
                        </a:xfrm>
                        <a:prstGeom prst="rect">
                          <a:avLst/>
                        </a:prstGeom>
                        <a:solidFill>
                          <a:srgbClr val="FFFFFF"/>
                        </a:solidFill>
                        <a:ln w="9525">
                          <a:solidFill>
                            <a:srgbClr val="000000"/>
                          </a:solidFill>
                          <a:prstDash val="dash"/>
                          <a:miter lim="800000"/>
                          <a:headEnd/>
                          <a:tailEnd/>
                        </a:ln>
                      </wps:spPr>
                      <wps:txbx>
                        <w:txbxContent>
                          <w:p w14:paraId="5C65861E" w14:textId="77777777" w:rsidR="00C8402C" w:rsidRDefault="00C8402C" w:rsidP="000F5B89">
                            <w:pPr>
                              <w:spacing w:line="360" w:lineRule="auto"/>
                              <w:rPr>
                                <w:b/>
                                <w:i/>
                              </w:rPr>
                            </w:pPr>
                            <w:r>
                              <w:rPr>
                                <w:i/>
                              </w:rPr>
                              <w:t>Additional questions (if needed):</w:t>
                            </w:r>
                          </w:p>
                          <w:p w14:paraId="3DD71533" w14:textId="77777777" w:rsidR="00C8402C" w:rsidRPr="00A06B95" w:rsidRDefault="00C8402C" w:rsidP="000F5B89">
                            <w:pPr>
                              <w:pStyle w:val="ListParagraph"/>
                              <w:numPr>
                                <w:ilvl w:val="0"/>
                                <w:numId w:val="35"/>
                              </w:numPr>
                              <w:spacing w:after="0" w:line="360" w:lineRule="auto"/>
                              <w:rPr>
                                <w:b/>
                                <w:i/>
                              </w:rPr>
                            </w:pPr>
                            <w:r w:rsidRPr="00A06B95">
                              <w:rPr>
                                <w:i/>
                              </w:rPr>
                              <w:t>Did you speak to your colleagues about how you gave feedback? (no need to mention names)</w:t>
                            </w:r>
                            <w:r w:rsidRPr="00A06B95">
                              <w:rPr>
                                <w:i/>
                              </w:rPr>
                              <w:tab/>
                            </w:r>
                          </w:p>
                          <w:p w14:paraId="7F5524D5" w14:textId="77777777" w:rsidR="00C8402C" w:rsidRPr="00A06B95" w:rsidRDefault="00C8402C" w:rsidP="000F5B89">
                            <w:pPr>
                              <w:pStyle w:val="ListParagraph"/>
                              <w:numPr>
                                <w:ilvl w:val="1"/>
                                <w:numId w:val="35"/>
                              </w:numPr>
                              <w:spacing w:after="0" w:line="360" w:lineRule="auto"/>
                              <w:rPr>
                                <w:b/>
                                <w:i/>
                              </w:rPr>
                            </w:pPr>
                            <w:r w:rsidRPr="00A06B95">
                              <w:rPr>
                                <w:i/>
                              </w:rPr>
                              <w:t>In terms of what they and you thought of the technique, what differences or similarities can you identify from those conversations?</w:t>
                            </w:r>
                          </w:p>
                          <w:p w14:paraId="00730162" w14:textId="77777777" w:rsidR="00C8402C" w:rsidRPr="00B12F51" w:rsidRDefault="00C8402C" w:rsidP="000F5B89">
                            <w:pPr>
                              <w:pStyle w:val="ListParagraph"/>
                              <w:numPr>
                                <w:ilvl w:val="0"/>
                                <w:numId w:val="35"/>
                              </w:numPr>
                              <w:tabs>
                                <w:tab w:val="left" w:pos="5078"/>
                              </w:tabs>
                              <w:spacing w:after="0" w:line="360" w:lineRule="auto"/>
                              <w:rPr>
                                <w:b/>
                                <w:i/>
                              </w:rPr>
                            </w:pPr>
                            <w:r w:rsidRPr="00B12F51">
                              <w:rPr>
                                <w:i/>
                              </w:rPr>
                              <w:t>Do you think that the technique should be adopted in clinical skills?</w:t>
                            </w:r>
                          </w:p>
                          <w:p w14:paraId="5708C5C5" w14:textId="77777777" w:rsidR="00C8402C" w:rsidRPr="00B12F51" w:rsidRDefault="00C8402C" w:rsidP="000F5B89">
                            <w:pPr>
                              <w:pStyle w:val="ListParagraph"/>
                              <w:numPr>
                                <w:ilvl w:val="1"/>
                                <w:numId w:val="35"/>
                              </w:numPr>
                              <w:spacing w:after="0" w:line="360" w:lineRule="auto"/>
                              <w:rPr>
                                <w:b/>
                                <w:i/>
                              </w:rPr>
                            </w:pPr>
                            <w:r w:rsidRPr="00B12F51">
                              <w:rPr>
                                <w:i/>
                              </w:rPr>
                              <w:t>If so/if not, why do think that?</w:t>
                            </w:r>
                          </w:p>
                          <w:p w14:paraId="0698071D" w14:textId="77777777" w:rsidR="00C8402C" w:rsidRPr="00B12F51" w:rsidRDefault="00C8402C" w:rsidP="000F5B89">
                            <w:pPr>
                              <w:pStyle w:val="ListParagraph"/>
                              <w:numPr>
                                <w:ilvl w:val="1"/>
                                <w:numId w:val="35"/>
                              </w:numPr>
                              <w:spacing w:after="0" w:line="360" w:lineRule="auto"/>
                              <w:rPr>
                                <w:b/>
                                <w:i/>
                              </w:rPr>
                            </w:pPr>
                            <w:r w:rsidRPr="00B12F51">
                              <w:rPr>
                                <w:i/>
                              </w:rPr>
                              <w:t>How could it be modified to fit into that context?</w:t>
                            </w:r>
                          </w:p>
                          <w:p w14:paraId="11559BBC" w14:textId="77777777" w:rsidR="00C8402C" w:rsidRDefault="00C8402C" w:rsidP="000F5B89"/>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A97E8D" id="_x0000_s1429" type="#_x0000_t202" style="position:absolute;left:0;text-align:left;margin-left:11.1pt;margin-top:36.5pt;width:435.3pt;height:181.6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">
                <v:stroke dashstyle="dash"/>
                <v:textbox>
                  <w:txbxContent>
                    <w:p w14:paraId="5C65861E" w14:textId="77777777" w:rsidR="00C8402C" w:rsidRDefault="00C8402C" w:rsidP="000F5B89">
                      <w:pPr>
                        <w:spacing w:line="360" w:lineRule="auto"/>
                        <w:rPr>
                          <w:b/>
                          <w:i/>
                        </w:rPr>
                      </w:pPr>
                      <w:r>
                        <w:rPr>
                          <w:i/>
                        </w:rPr>
                        <w:t>Additional questions (if needed):</w:t>
                      </w:r>
                    </w:p>
                    <w:p w14:paraId="3DD71533" w14:textId="77777777" w:rsidR="00C8402C" w:rsidRPr="00A06B95" w:rsidRDefault="00C8402C" w:rsidP="000F5B89">
                      <w:pPr>
                        <w:pStyle w:val="ListParagraph"/>
                        <w:numPr>
                          <w:ilvl w:val="0"/>
                          <w:numId w:val="35"/>
                        </w:numPr>
                        <w:spacing w:after="0" w:line="360" w:lineRule="auto"/>
                        <w:rPr>
                          <w:b/>
                          <w:i/>
                        </w:rPr>
                      </w:pPr>
                      <w:r w:rsidRPr="00A06B95">
                        <w:rPr>
                          <w:i/>
                        </w:rPr>
                        <w:t>Did you speak to your colleagues about how you gave feedback? (no need to mention names)</w:t>
                      </w:r>
                      <w:r w:rsidRPr="00A06B95">
                        <w:rPr>
                          <w:i/>
                        </w:rPr>
                        <w:tab/>
                      </w:r>
                    </w:p>
                    <w:p w14:paraId="7F5524D5" w14:textId="77777777" w:rsidR="00C8402C" w:rsidRPr="00A06B95" w:rsidRDefault="00C8402C" w:rsidP="000F5B89">
                      <w:pPr>
                        <w:pStyle w:val="ListParagraph"/>
                        <w:numPr>
                          <w:ilvl w:val="1"/>
                          <w:numId w:val="35"/>
                        </w:numPr>
                        <w:spacing w:after="0" w:line="360" w:lineRule="auto"/>
                        <w:rPr>
                          <w:b/>
                          <w:i/>
                        </w:rPr>
                      </w:pPr>
                      <w:r w:rsidRPr="00A06B95">
                        <w:rPr>
                          <w:i/>
                        </w:rPr>
                        <w:t>In terms of what they and you thought of the technique, what differences or similarities can you identify from those conversations?</w:t>
                      </w:r>
                    </w:p>
                    <w:p w14:paraId="00730162" w14:textId="77777777" w:rsidR="00C8402C" w:rsidRPr="00B12F51" w:rsidRDefault="00C8402C" w:rsidP="000F5B89">
                      <w:pPr>
                        <w:pStyle w:val="ListParagraph"/>
                        <w:numPr>
                          <w:ilvl w:val="0"/>
                          <w:numId w:val="35"/>
                        </w:numPr>
                        <w:tabs>
                          <w:tab w:val="left" w:pos="5078"/>
                        </w:tabs>
                        <w:spacing w:after="0" w:line="360" w:lineRule="auto"/>
                        <w:rPr>
                          <w:b/>
                          <w:i/>
                        </w:rPr>
                      </w:pPr>
                      <w:r w:rsidRPr="00B12F51">
                        <w:rPr>
                          <w:i/>
                        </w:rPr>
                        <w:t>Do you think that the technique should be adopted in clinical skills?</w:t>
                      </w:r>
                    </w:p>
                    <w:p w14:paraId="5708C5C5" w14:textId="77777777" w:rsidR="00C8402C" w:rsidRPr="00B12F51" w:rsidRDefault="00C8402C" w:rsidP="000F5B89">
                      <w:pPr>
                        <w:pStyle w:val="ListParagraph"/>
                        <w:numPr>
                          <w:ilvl w:val="1"/>
                          <w:numId w:val="35"/>
                        </w:numPr>
                        <w:spacing w:after="0" w:line="360" w:lineRule="auto"/>
                        <w:rPr>
                          <w:b/>
                          <w:i/>
                        </w:rPr>
                      </w:pPr>
                      <w:r w:rsidRPr="00B12F51">
                        <w:rPr>
                          <w:i/>
                        </w:rPr>
                        <w:t>If so/if not, why do think that?</w:t>
                      </w:r>
                    </w:p>
                    <w:p w14:paraId="0698071D" w14:textId="77777777" w:rsidR="00C8402C" w:rsidRPr="00B12F51" w:rsidRDefault="00C8402C" w:rsidP="000F5B89">
                      <w:pPr>
                        <w:pStyle w:val="ListParagraph"/>
                        <w:numPr>
                          <w:ilvl w:val="1"/>
                          <w:numId w:val="35"/>
                        </w:numPr>
                        <w:spacing w:after="0" w:line="360" w:lineRule="auto"/>
                        <w:rPr>
                          <w:b/>
                          <w:i/>
                        </w:rPr>
                      </w:pPr>
                      <w:r w:rsidRPr="00B12F51">
                        <w:rPr>
                          <w:i/>
                        </w:rPr>
                        <w:t>How could it be modified to fit into that context?</w:t>
                      </w:r>
                    </w:p>
                    <w:p w14:paraId="11559BBC" w14:textId="77777777" w:rsidR="00C8402C" w:rsidRDefault="00C8402C" w:rsidP="000F5B89"/>
                  </w:txbxContent>
                </v:textbox>
                <w10:wrap type="square" anchorx="margin"/>
              </v:shape>
            </w:pict>
          </mc:Fallback>
        </mc:AlternateContent>
      </w:r>
      <w:r w:rsidR="000F5B89" w:rsidRPr="003726FE">
        <w:rPr>
          <w:rFonts w:ascii="Cambria" w:eastAsia="Cambria" w:hAnsi="Cambria" w:cs="Times New Roman"/>
          <w:bCs/>
          <w:lang w:eastAsia="ja-JP"/>
        </w:rPr>
        <w:t>How did they respond?</w:t>
      </w:r>
    </w:p>
    <w:p w14:paraId="307C50F7" w14:textId="10913391"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br w:type="page"/>
      </w:r>
      <w:r w:rsidRPr="003726FE">
        <w:rPr>
          <w:rFonts w:ascii="Cambria" w:eastAsia="Cambria" w:hAnsi="Cambria" w:cs="Times New Roman"/>
          <w:bCs/>
          <w:lang w:eastAsia="ja-JP"/>
        </w:rPr>
        <w:lastRenderedPageBreak/>
        <w:t xml:space="preserve"> </w:t>
      </w:r>
      <w:r w:rsidRPr="003726FE">
        <w:rPr>
          <w:rFonts w:ascii="Cambria" w:eastAsia="Cambria" w:hAnsi="Cambria" w:cs="Times New Roman"/>
          <w:b/>
          <w:bCs/>
          <w:lang w:eastAsia="ja-JP"/>
        </w:rPr>
        <w:t>Topical questions: Perceived ease of use</w:t>
      </w:r>
    </w:p>
    <w:p w14:paraId="2C3AECD2" w14:textId="77777777" w:rsidR="000F5B89" w:rsidRPr="003726FE" w:rsidRDefault="000F5B89" w:rsidP="000F5B89">
      <w:pPr>
        <w:spacing w:after="0" w:line="360" w:lineRule="auto"/>
        <w:rPr>
          <w:rFonts w:ascii="Cambria" w:eastAsia="Cambria" w:hAnsi="Cambria" w:cs="Times New Roman"/>
          <w:b/>
          <w:bCs/>
          <w:lang w:eastAsia="ja-JP"/>
        </w:rPr>
      </w:pPr>
    </w:p>
    <w:p w14:paraId="6B9C0D00"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With those thoughts in mind again, I’d like to ask a few questions about how easy or challenging the experience was.</w:t>
      </w:r>
    </w:p>
    <w:p w14:paraId="5CABBB99" w14:textId="77777777" w:rsidR="000F5B89" w:rsidRPr="003726FE" w:rsidRDefault="000F5B89" w:rsidP="000F5B89">
      <w:pPr>
        <w:spacing w:after="0" w:line="360" w:lineRule="auto"/>
        <w:rPr>
          <w:rFonts w:ascii="Cambria" w:eastAsia="Cambria" w:hAnsi="Cambria" w:cs="Times New Roman"/>
          <w:bCs/>
          <w:lang w:eastAsia="ja-JP"/>
        </w:rPr>
      </w:pPr>
    </w:p>
    <w:p w14:paraId="4348CD80"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Thinking back to when you used the SRL feedback training, what was it like giving feedback in that way?</w:t>
      </w:r>
    </w:p>
    <w:p w14:paraId="5B007713"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Were some parts easier or more challenging than others?</w:t>
      </w:r>
    </w:p>
    <w:p w14:paraId="3BE4E9FF"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challenges did you face during the teaching process when giving feedback in this way?</w:t>
      </w:r>
    </w:p>
    <w:p w14:paraId="57F1AA29"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did you deal with them?</w:t>
      </w:r>
    </w:p>
    <w:p w14:paraId="6D19CE85" w14:textId="77777777" w:rsidR="000F5B89" w:rsidRPr="003726FE" w:rsidRDefault="000F5B89" w:rsidP="000F5B89">
      <w:pPr>
        <w:numPr>
          <w:ilvl w:val="0"/>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Did you have to adapt the technique in any way for the groups of students you taught?</w:t>
      </w:r>
    </w:p>
    <w:p w14:paraId="1214A62D" w14:textId="77777777" w:rsidR="000F5B89" w:rsidRPr="003726FE" w:rsidRDefault="000F5B89" w:rsidP="000F5B89">
      <w:pPr>
        <w:numPr>
          <w:ilvl w:val="1"/>
          <w:numId w:val="37"/>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 why? What was it about the current intervention format that wasn’t working for the groups?</w:t>
      </w:r>
    </w:p>
    <w:p w14:paraId="3D37C884" w14:textId="3FC37798" w:rsidR="000F5B89" w:rsidRPr="003726FE" w:rsidRDefault="000F5B89" w:rsidP="000F5B89">
      <w:pPr>
        <w:spacing w:after="0" w:line="360" w:lineRule="auto"/>
        <w:rPr>
          <w:rFonts w:ascii="Cambria" w:eastAsia="Cambria" w:hAnsi="Cambria" w:cs="Times New Roman"/>
          <w:bCs/>
          <w:lang w:eastAsia="ja-JP"/>
        </w:rPr>
      </w:pPr>
    </w:p>
    <w:p w14:paraId="20144453" w14:textId="48CFDA8F" w:rsidR="000F5B89" w:rsidRPr="003726FE" w:rsidRDefault="00384091" w:rsidP="000F5B89">
      <w:pPr>
        <w:spacing w:after="0" w:line="360" w:lineRule="auto"/>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4416" behindDoc="0" locked="0" layoutInCell="1" allowOverlap="1" wp14:anchorId="5710F0FE" wp14:editId="790ED88D">
                <wp:simplePos x="0" y="0"/>
                <wp:positionH relativeFrom="margin">
                  <wp:posOffset>111760</wp:posOffset>
                </wp:positionH>
                <wp:positionV relativeFrom="page">
                  <wp:posOffset>5262880</wp:posOffset>
                </wp:positionV>
                <wp:extent cx="5241290" cy="1275715"/>
                <wp:effectExtent l="0" t="0" r="16510" b="19685"/>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275715"/>
                        </a:xfrm>
                        <a:prstGeom prst="rect">
                          <a:avLst/>
                        </a:prstGeom>
                        <a:solidFill>
                          <a:srgbClr val="FFFFFF"/>
                        </a:solidFill>
                        <a:ln w="9525">
                          <a:solidFill>
                            <a:srgbClr val="000000"/>
                          </a:solidFill>
                          <a:prstDash val="dash"/>
                          <a:miter lim="800000"/>
                          <a:headEnd/>
                          <a:tailEnd/>
                        </a:ln>
                      </wps:spPr>
                      <wps:txbx>
                        <w:txbxContent>
                          <w:p w14:paraId="1C44379E" w14:textId="77777777" w:rsidR="00C8402C" w:rsidRDefault="00C8402C" w:rsidP="000F5B89">
                            <w:pPr>
                              <w:spacing w:line="360" w:lineRule="auto"/>
                              <w:rPr>
                                <w:b/>
                                <w:i/>
                              </w:rPr>
                            </w:pPr>
                            <w:r>
                              <w:rPr>
                                <w:i/>
                              </w:rPr>
                              <w:t>Additional questions (if needed):</w:t>
                            </w:r>
                          </w:p>
                          <w:p w14:paraId="00166458" w14:textId="77777777" w:rsidR="00C8402C" w:rsidRPr="00517B3D" w:rsidRDefault="00C8402C" w:rsidP="000F5B89">
                            <w:pPr>
                              <w:pStyle w:val="ListParagraph"/>
                              <w:numPr>
                                <w:ilvl w:val="0"/>
                                <w:numId w:val="37"/>
                              </w:numPr>
                              <w:spacing w:after="0" w:line="360" w:lineRule="auto"/>
                              <w:rPr>
                                <w:b/>
                                <w:i/>
                              </w:rPr>
                            </w:pPr>
                            <w:r w:rsidRPr="00517B3D">
                              <w:rPr>
                                <w:i/>
                              </w:rPr>
                              <w:t>How did you decide what adaptations to make?</w:t>
                            </w:r>
                          </w:p>
                          <w:p w14:paraId="7614436E" w14:textId="77777777" w:rsidR="00C8402C" w:rsidRPr="00513190" w:rsidRDefault="00C8402C" w:rsidP="000F5B89">
                            <w:pPr>
                              <w:pStyle w:val="ListParagraph"/>
                              <w:numPr>
                                <w:ilvl w:val="1"/>
                                <w:numId w:val="37"/>
                              </w:numPr>
                              <w:spacing w:after="0" w:line="360" w:lineRule="auto"/>
                              <w:rPr>
                                <w:b/>
                                <w:i/>
                              </w:rPr>
                            </w:pPr>
                            <w:r w:rsidRPr="00517B3D">
                              <w:rPr>
                                <w:i/>
                              </w:rPr>
                              <w:t>What factors did you take into account when you were adapting the intervention?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0F0FE" id="Text Box 153" o:spid="_x0000_s1430" type="#_x0000_t202" style="position:absolute;margin-left:8.8pt;margin-top:414.4pt;width:412.7pt;height:100.4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">
                <v:stroke dashstyle="dash"/>
                <v:textbox>
                  <w:txbxContent>
                    <w:p w14:paraId="1C44379E" w14:textId="77777777" w:rsidR="00C8402C" w:rsidRDefault="00C8402C" w:rsidP="000F5B89">
                      <w:pPr>
                        <w:spacing w:line="360" w:lineRule="auto"/>
                        <w:rPr>
                          <w:b/>
                          <w:i/>
                        </w:rPr>
                      </w:pPr>
                      <w:r>
                        <w:rPr>
                          <w:i/>
                        </w:rPr>
                        <w:t>Additional questions (if needed):</w:t>
                      </w:r>
                    </w:p>
                    <w:p w14:paraId="00166458" w14:textId="77777777" w:rsidR="00C8402C" w:rsidRPr="00517B3D" w:rsidRDefault="00C8402C" w:rsidP="000F5B89">
                      <w:pPr>
                        <w:pStyle w:val="ListParagraph"/>
                        <w:numPr>
                          <w:ilvl w:val="0"/>
                          <w:numId w:val="37"/>
                        </w:numPr>
                        <w:spacing w:after="0" w:line="360" w:lineRule="auto"/>
                        <w:rPr>
                          <w:b/>
                          <w:i/>
                        </w:rPr>
                      </w:pPr>
                      <w:r w:rsidRPr="00517B3D">
                        <w:rPr>
                          <w:i/>
                        </w:rPr>
                        <w:t>How did you decide what adaptations to make?</w:t>
                      </w:r>
                    </w:p>
                    <w:p w14:paraId="7614436E" w14:textId="77777777" w:rsidR="00C8402C" w:rsidRPr="00513190" w:rsidRDefault="00C8402C" w:rsidP="000F5B89">
                      <w:pPr>
                        <w:pStyle w:val="ListParagraph"/>
                        <w:numPr>
                          <w:ilvl w:val="1"/>
                          <w:numId w:val="37"/>
                        </w:numPr>
                        <w:spacing w:after="0" w:line="360" w:lineRule="auto"/>
                        <w:rPr>
                          <w:b/>
                          <w:i/>
                        </w:rPr>
                      </w:pPr>
                      <w:r w:rsidRPr="00517B3D">
                        <w:rPr>
                          <w:i/>
                        </w:rPr>
                        <w:t>What factors did you take into account when you were adapting the intervention?</w:t>
                      </w:r>
                    </w:p>
                  </w:txbxContent>
                </v:textbox>
                <w10:wrap type="topAndBottom" anchorx="margin" anchory="page"/>
              </v:shape>
            </w:pict>
          </mc:Fallback>
        </mc:AlternateContent>
      </w:r>
    </w:p>
    <w:p w14:paraId="448DEBDC" w14:textId="77777777" w:rsidR="000F5B89" w:rsidRPr="003726FE" w:rsidRDefault="000F5B89" w:rsidP="000F5B89">
      <w:pPr>
        <w:spacing w:after="0" w:line="360" w:lineRule="auto"/>
        <w:rPr>
          <w:rFonts w:ascii="Cambria" w:eastAsia="Cambria" w:hAnsi="Cambria" w:cs="Times New Roman"/>
          <w:bCs/>
          <w:lang w:eastAsia="ja-JP"/>
        </w:rPr>
      </w:pPr>
    </w:p>
    <w:p w14:paraId="139E2A3F" w14:textId="77777777" w:rsidR="000F5B89" w:rsidRPr="003726FE" w:rsidRDefault="000F5B89" w:rsidP="000F5B89">
      <w:pPr>
        <w:spacing w:after="0" w:line="360" w:lineRule="auto"/>
        <w:rPr>
          <w:rFonts w:ascii="Cambria" w:eastAsia="Cambria" w:hAnsi="Cambria" w:cs="Times New Roman"/>
          <w:bCs/>
          <w:lang w:eastAsia="ja-JP"/>
        </w:rPr>
      </w:pPr>
    </w:p>
    <w:p w14:paraId="35C765C4" w14:textId="77777777" w:rsidR="000F5B89" w:rsidRPr="003726FE" w:rsidRDefault="000F5B89" w:rsidP="000F5B89">
      <w:pPr>
        <w:spacing w:after="0" w:line="360" w:lineRule="auto"/>
        <w:rPr>
          <w:rFonts w:ascii="Cambria" w:eastAsia="Cambria" w:hAnsi="Cambria" w:cs="Times New Roman"/>
          <w:bCs/>
          <w:lang w:eastAsia="ja-JP"/>
        </w:rPr>
      </w:pPr>
    </w:p>
    <w:p w14:paraId="3D97D07E" w14:textId="77777777" w:rsidR="000F5B89" w:rsidRPr="003726FE" w:rsidRDefault="000F5B89" w:rsidP="000F5B89">
      <w:pPr>
        <w:spacing w:after="0" w:line="360" w:lineRule="auto"/>
        <w:rPr>
          <w:rFonts w:ascii="Cambria" w:eastAsia="Cambria" w:hAnsi="Cambria" w:cs="Times New Roman"/>
          <w:bCs/>
          <w:lang w:eastAsia="ja-JP"/>
        </w:rPr>
      </w:pPr>
    </w:p>
    <w:p w14:paraId="042645C6" w14:textId="77777777" w:rsidR="000F5B89" w:rsidRPr="003726FE" w:rsidRDefault="000F5B89" w:rsidP="000F5B89">
      <w:pPr>
        <w:spacing w:after="0" w:line="360" w:lineRule="auto"/>
        <w:rPr>
          <w:rFonts w:ascii="Cambria" w:eastAsia="Cambria" w:hAnsi="Cambria" w:cs="Times New Roman"/>
          <w:bCs/>
          <w:lang w:eastAsia="ja-JP"/>
        </w:rPr>
      </w:pPr>
    </w:p>
    <w:p w14:paraId="4B4F61CB" w14:textId="77777777" w:rsidR="000F5B89" w:rsidRPr="003726FE" w:rsidRDefault="000F5B89" w:rsidP="000F5B89">
      <w:pPr>
        <w:spacing w:after="0" w:line="360" w:lineRule="auto"/>
        <w:rPr>
          <w:rFonts w:ascii="Cambria" w:eastAsia="Cambria" w:hAnsi="Cambria" w:cs="Times New Roman"/>
          <w:bCs/>
          <w:lang w:eastAsia="ja-JP"/>
        </w:rPr>
      </w:pPr>
    </w:p>
    <w:p w14:paraId="3F6790AC" w14:textId="77777777" w:rsidR="000F5B89" w:rsidRPr="003726FE" w:rsidRDefault="000F5B89" w:rsidP="000F5B89">
      <w:pPr>
        <w:spacing w:after="0" w:line="360" w:lineRule="auto"/>
        <w:rPr>
          <w:rFonts w:ascii="Cambria" w:eastAsia="Cambria" w:hAnsi="Cambria" w:cs="Times New Roman"/>
          <w:bCs/>
          <w:lang w:eastAsia="ja-JP"/>
        </w:rPr>
      </w:pPr>
    </w:p>
    <w:p w14:paraId="0325EDDB" w14:textId="77777777" w:rsidR="000F5B89" w:rsidRPr="003726FE" w:rsidRDefault="000F5B89" w:rsidP="000F5B89">
      <w:pPr>
        <w:spacing w:after="0" w:line="360" w:lineRule="auto"/>
        <w:rPr>
          <w:rFonts w:ascii="Cambria" w:eastAsia="Cambria" w:hAnsi="Cambria" w:cs="Times New Roman"/>
          <w:bCs/>
          <w:lang w:eastAsia="ja-JP"/>
        </w:rPr>
      </w:pPr>
    </w:p>
    <w:p w14:paraId="61229617" w14:textId="77777777" w:rsidR="000F5B89" w:rsidRPr="003726FE" w:rsidRDefault="000F5B89" w:rsidP="000F5B89">
      <w:pPr>
        <w:spacing w:after="0" w:line="360" w:lineRule="auto"/>
        <w:rPr>
          <w:rFonts w:ascii="Cambria" w:eastAsia="Cambria" w:hAnsi="Cambria" w:cs="Times New Roman"/>
          <w:bCs/>
          <w:lang w:eastAsia="ja-JP"/>
        </w:rPr>
      </w:pPr>
    </w:p>
    <w:p w14:paraId="06E4DEA8" w14:textId="77777777" w:rsidR="000F5B89" w:rsidRPr="003726FE" w:rsidRDefault="000F5B89" w:rsidP="000F5B89">
      <w:pPr>
        <w:spacing w:after="0" w:line="360" w:lineRule="auto"/>
        <w:rPr>
          <w:rFonts w:ascii="Cambria" w:eastAsia="Cambria" w:hAnsi="Cambria" w:cs="Times New Roman"/>
          <w:bCs/>
          <w:lang w:eastAsia="ja-JP"/>
        </w:rPr>
      </w:pPr>
    </w:p>
    <w:p w14:paraId="153E8589" w14:textId="77777777" w:rsidR="000F5B89" w:rsidRPr="003726FE" w:rsidRDefault="000F5B89" w:rsidP="000F5B89">
      <w:pPr>
        <w:spacing w:after="0" w:line="360" w:lineRule="auto"/>
        <w:rPr>
          <w:rFonts w:ascii="Cambria" w:eastAsia="Cambria" w:hAnsi="Cambria" w:cs="Times New Roman"/>
          <w:b/>
          <w:bCs/>
          <w:lang w:eastAsia="ja-JP"/>
        </w:rPr>
      </w:pPr>
    </w:p>
    <w:p w14:paraId="4C0E3E34" w14:textId="77777777" w:rsidR="00E07A7C" w:rsidRDefault="00E07A7C">
      <w:pPr>
        <w:rPr>
          <w:rFonts w:ascii="Cambria" w:eastAsia="Cambria" w:hAnsi="Cambria" w:cs="Times New Roman"/>
          <w:b/>
          <w:bCs/>
          <w:lang w:eastAsia="ja-JP"/>
        </w:rPr>
      </w:pPr>
      <w:r>
        <w:rPr>
          <w:rFonts w:ascii="Cambria" w:eastAsia="Cambria" w:hAnsi="Cambria" w:cs="Times New Roman"/>
          <w:b/>
          <w:bCs/>
          <w:lang w:eastAsia="ja-JP"/>
        </w:rPr>
        <w:br w:type="page"/>
      </w:r>
    </w:p>
    <w:p w14:paraId="1A959C95" w14:textId="7C0AF963"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Closing questions:</w:t>
      </w:r>
    </w:p>
    <w:p w14:paraId="78A4C25D" w14:textId="77777777" w:rsidR="000F5B89" w:rsidRPr="003726FE" w:rsidRDefault="000F5B89" w:rsidP="000F5B89">
      <w:pPr>
        <w:spacing w:after="0" w:line="360" w:lineRule="auto"/>
        <w:rPr>
          <w:rFonts w:ascii="Cambria" w:eastAsia="Cambria" w:hAnsi="Cambria" w:cs="Times New Roman"/>
          <w:b/>
          <w:bCs/>
          <w:lang w:eastAsia="ja-JP"/>
        </w:rPr>
      </w:pPr>
    </w:p>
    <w:p w14:paraId="63C15980"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everything we’ve spoken about, I’d like to ask a few questions about your final thoughts on feedback and your experiences.</w:t>
      </w:r>
    </w:p>
    <w:p w14:paraId="0B937D1D" w14:textId="77777777" w:rsidR="000F5B89" w:rsidRPr="003726FE" w:rsidRDefault="000F5B89" w:rsidP="000F5B89">
      <w:pPr>
        <w:spacing w:after="0" w:line="360" w:lineRule="auto"/>
        <w:rPr>
          <w:rFonts w:ascii="Cambria" w:eastAsia="Cambria" w:hAnsi="Cambria" w:cs="Times New Roman"/>
          <w:bCs/>
          <w:lang w:eastAsia="ja-JP"/>
        </w:rPr>
      </w:pPr>
    </w:p>
    <w:p w14:paraId="34336D72"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Could you describe your perfect feedback situation?</w:t>
      </w:r>
    </w:p>
    <w:p w14:paraId="33FA72D3"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the lessons learned from this experience that you would like to share with your colleagues and/or others teaching in clinical skills?</w:t>
      </w:r>
    </w:p>
    <w:p w14:paraId="2A13DC46" w14:textId="77777777" w:rsidR="000F5B89" w:rsidRPr="003726FE" w:rsidRDefault="000F5B89" w:rsidP="000F5B89">
      <w:pPr>
        <w:spacing w:after="0" w:line="360" w:lineRule="auto"/>
        <w:ind w:left="720"/>
        <w:contextualSpacing/>
        <w:rPr>
          <w:rFonts w:ascii="Cambria" w:eastAsia="Cambria" w:hAnsi="Cambria" w:cs="Times New Roman"/>
          <w:b/>
          <w:bCs/>
          <w:lang w:eastAsia="ja-JP"/>
        </w:rPr>
      </w:pPr>
    </w:p>
    <w:p w14:paraId="56F6382E"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Procedural:</w:t>
      </w:r>
    </w:p>
    <w:p w14:paraId="3ED612E1"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Do you have anything else you would like to add before we finish?</w:t>
      </w:r>
    </w:p>
    <w:p w14:paraId="359F173C"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clarify or correct anything?</w:t>
      </w:r>
    </w:p>
    <w:p w14:paraId="334B15F1"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ask me anything?</w:t>
      </w:r>
    </w:p>
    <w:p w14:paraId="62957A6B"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Are there any comments you would like to remove from this interview recording?</w:t>
      </w:r>
    </w:p>
    <w:p w14:paraId="1B8639BC"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mind completing a short demographic questionnaire? You do not have to do this but if you do it will be kept confidential and secure only used for research purposes.</w:t>
      </w:r>
    </w:p>
    <w:p w14:paraId="07619321" w14:textId="77777777" w:rsidR="000F5B89" w:rsidRPr="003726FE" w:rsidRDefault="000F5B89" w:rsidP="000F5B89">
      <w:pPr>
        <w:spacing w:after="0" w:line="240" w:lineRule="auto"/>
        <w:rPr>
          <w:rFonts w:ascii="Cambria" w:eastAsia="Cambria" w:hAnsi="Cambria" w:cs="Times New Roman"/>
          <w:b/>
          <w:bCs/>
          <w:lang w:eastAsia="ja-JP"/>
        </w:rPr>
      </w:pPr>
    </w:p>
    <w:p w14:paraId="45560472" w14:textId="77777777" w:rsidR="000F5B89" w:rsidRPr="003726FE" w:rsidRDefault="000F5B89" w:rsidP="000F5B89">
      <w:pPr>
        <w:spacing w:after="0" w:line="240" w:lineRule="auto"/>
        <w:rPr>
          <w:rFonts w:ascii="Cambria" w:eastAsia="Cambria" w:hAnsi="Cambria" w:cs="Times New Roman"/>
          <w:b/>
          <w:bCs/>
          <w:lang w:eastAsia="ja-JP"/>
        </w:rPr>
      </w:pPr>
    </w:p>
    <w:p w14:paraId="0FF570BE" w14:textId="77777777" w:rsidR="000F5B89" w:rsidRPr="003726FE" w:rsidRDefault="000F5B89" w:rsidP="000F5B89">
      <w:pPr>
        <w:spacing w:after="0" w:line="240" w:lineRule="auto"/>
        <w:rPr>
          <w:rFonts w:ascii="Cambria" w:eastAsia="Cambria" w:hAnsi="Cambria" w:cs="Times New Roman"/>
          <w:b/>
          <w:bCs/>
          <w:lang w:eastAsia="ja-JP"/>
        </w:rPr>
      </w:pPr>
    </w:p>
    <w:p w14:paraId="55F2EF01" w14:textId="77777777" w:rsidR="000F5B89" w:rsidRPr="003726FE" w:rsidRDefault="000F5B89" w:rsidP="000F5B89">
      <w:pPr>
        <w:spacing w:after="0" w:line="240" w:lineRule="auto"/>
        <w:rPr>
          <w:rFonts w:ascii="Cambria" w:eastAsia="Cambria" w:hAnsi="Cambria" w:cs="Times New Roman"/>
          <w:b/>
          <w:bCs/>
          <w:lang w:eastAsia="ja-JP"/>
        </w:rPr>
      </w:pPr>
    </w:p>
    <w:p w14:paraId="63C7EC3A" w14:textId="77777777" w:rsidR="000F5B89" w:rsidRPr="003726FE" w:rsidRDefault="000F5B89" w:rsidP="000F5B89">
      <w:pPr>
        <w:spacing w:after="0" w:line="240" w:lineRule="auto"/>
        <w:rPr>
          <w:rFonts w:ascii="Cambria" w:eastAsia="Cambria" w:hAnsi="Cambria" w:cs="Times New Roman"/>
          <w:b/>
          <w:bCs/>
          <w:lang w:eastAsia="ja-JP"/>
        </w:rPr>
      </w:pPr>
    </w:p>
    <w:p w14:paraId="07BE585F" w14:textId="77777777" w:rsidR="000F5B89" w:rsidRPr="003726FE" w:rsidRDefault="000F5B89" w:rsidP="000F5B89">
      <w:pPr>
        <w:spacing w:after="0" w:line="240" w:lineRule="auto"/>
        <w:rPr>
          <w:rFonts w:ascii="Cambria" w:eastAsia="Cambria" w:hAnsi="Cambria" w:cs="Times New Roman"/>
          <w:b/>
          <w:bCs/>
          <w:u w:val="single"/>
          <w:lang w:eastAsia="ja-JP"/>
        </w:rPr>
      </w:pPr>
    </w:p>
    <w:p w14:paraId="2C50EC2F" w14:textId="77777777" w:rsidR="000F5B89" w:rsidRPr="003726FE" w:rsidRDefault="000F5B89" w:rsidP="000F5B89">
      <w:pPr>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concludes</w:t>
      </w:r>
    </w:p>
    <w:p w14:paraId="37819F57" w14:textId="77777777" w:rsidR="000F5B89" w:rsidRPr="003726FE" w:rsidRDefault="000F5B89" w:rsidP="000F5B89">
      <w:pPr>
        <w:spacing w:after="0" w:line="240" w:lineRule="auto"/>
        <w:rPr>
          <w:rFonts w:ascii="Cambria" w:eastAsia="Cambria" w:hAnsi="Cambria" w:cs="Times New Roman"/>
          <w:b/>
          <w:bCs/>
          <w:lang w:eastAsia="ja-JP"/>
        </w:rPr>
      </w:pPr>
    </w:p>
    <w:p w14:paraId="02CAA566" w14:textId="77777777" w:rsidR="000F5B89" w:rsidRPr="003726FE" w:rsidRDefault="000F5B89" w:rsidP="000F5B89">
      <w:pPr>
        <w:spacing w:after="0" w:line="240" w:lineRule="auto"/>
        <w:rPr>
          <w:rFonts w:ascii="Cambria" w:eastAsia="Cambria" w:hAnsi="Cambria" w:cs="Times New Roman"/>
          <w:b/>
          <w:bCs/>
          <w:lang w:eastAsia="ja-JP"/>
        </w:rPr>
      </w:pPr>
    </w:p>
    <w:p w14:paraId="3337F6E6" w14:textId="77777777" w:rsidR="000F5B89" w:rsidRPr="003726FE" w:rsidRDefault="000F5B89" w:rsidP="000F5B8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 xml:space="preserve">Interviewer thanks the participant for their time. They are reminded that their data will be anonymised in reports and that they are still free to withdraw their data at any time. </w:t>
      </w:r>
    </w:p>
    <w:p w14:paraId="05079BEB" w14:textId="77777777" w:rsidR="000F5B89" w:rsidRPr="003726FE" w:rsidRDefault="000F5B89" w:rsidP="000F5B89">
      <w:pPr>
        <w:spacing w:after="0" w:line="240" w:lineRule="auto"/>
        <w:rPr>
          <w:rFonts w:ascii="Cambria" w:eastAsia="Cambria" w:hAnsi="Cambria" w:cs="Times New Roman"/>
          <w:bCs/>
          <w:lang w:eastAsia="ja-JP"/>
        </w:rPr>
      </w:pPr>
    </w:p>
    <w:p w14:paraId="0FF53FFF" w14:textId="77777777" w:rsidR="000F5B89" w:rsidRPr="003726FE" w:rsidRDefault="000F5B89" w:rsidP="000F5B8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They are told that the researcher may get in contact to follow up on any unclear points from the recording, this is also termed ‘member checking’. A one-page summary will be sent to the participant for their comments on accuracy and to give them an opportunity to remove comments and/or emphasise others.</w:t>
      </w:r>
    </w:p>
    <w:p w14:paraId="55924C7A" w14:textId="7949F662" w:rsidR="001D4448" w:rsidRPr="003726FE" w:rsidRDefault="001D4448" w:rsidP="000F5B89">
      <w:pPr>
        <w:rPr>
          <w:rFonts w:eastAsia="Lucida Sans Unicode" w:cs="Mangal"/>
          <w:b/>
          <w:kern w:val="1"/>
          <w:sz w:val="28"/>
          <w:szCs w:val="24"/>
          <w:lang w:eastAsia="hi-IN" w:bidi="hi-IN"/>
        </w:rPr>
      </w:pPr>
      <w:r w:rsidRPr="003726FE">
        <w:br w:type="page"/>
      </w:r>
    </w:p>
    <w:p w14:paraId="737A680D" w14:textId="77777777" w:rsidR="00332F07" w:rsidRPr="003726FE" w:rsidRDefault="00332F07" w:rsidP="00B1638D">
      <w:pPr>
        <w:pStyle w:val="Heading2"/>
        <w:rPr>
          <w:lang w:val="en-GB"/>
        </w:rPr>
        <w:sectPr w:rsidR="00332F07" w:rsidRPr="003726FE" w:rsidSect="007C73DC">
          <w:footerReference w:type="default" r:id="rId110"/>
          <w:headerReference w:type="first" r:id="rId111"/>
          <w:footerReference w:type="first" r:id="rId112"/>
          <w:type w:val="continuous"/>
          <w:pgSz w:w="11906" w:h="16838"/>
          <w:pgMar w:top="1134" w:right="1134" w:bottom="1134" w:left="2268" w:header="708" w:footer="708" w:gutter="0"/>
          <w:cols w:space="708"/>
          <w:docGrid w:linePitch="360"/>
        </w:sectPr>
      </w:pPr>
    </w:p>
    <w:p w14:paraId="1B8CA8C2" w14:textId="6CC74537" w:rsidR="00B76E6D" w:rsidRPr="003726FE" w:rsidRDefault="00B76E6D" w:rsidP="00B76E6D">
      <w:pPr>
        <w:pStyle w:val="Heading2"/>
        <w:rPr>
          <w:lang w:val="en-GB"/>
        </w:rPr>
      </w:pPr>
      <w:bookmarkStart w:id="994" w:name="_Toc500319481"/>
      <w:r w:rsidRPr="003726FE">
        <w:rPr>
          <w:lang w:val="en-GB"/>
        </w:rPr>
        <w:lastRenderedPageBreak/>
        <w:t>A</w:t>
      </w:r>
      <w:r w:rsidR="00C47666">
        <w:rPr>
          <w:lang w:val="en-GB"/>
        </w:rPr>
        <w:t>ppendix 10. Codebook – Teacher I</w:t>
      </w:r>
      <w:r w:rsidRPr="003726FE">
        <w:rPr>
          <w:lang w:val="en-GB"/>
        </w:rPr>
        <w:t>nterviews</w:t>
      </w:r>
      <w:bookmarkEnd w:id="994"/>
    </w:p>
    <w:p w14:paraId="7F027093" w14:textId="77777777" w:rsidR="00B76E6D" w:rsidRPr="003726FE" w:rsidRDefault="00B76E6D" w:rsidP="00B76E6D">
      <w:pPr>
        <w:pStyle w:val="FolderDescription"/>
        <w:rPr>
          <w:lang w:val="en-GB"/>
        </w:rPr>
      </w:pPr>
    </w:p>
    <w:tbl>
      <w:tblPr>
        <w:tblStyle w:val="NodesTable"/>
        <w:tblW w:w="4998" w:type="pct"/>
        <w:tblInd w:w="5" w:type="dxa"/>
        <w:tblLook w:val="0420" w:firstRow="1" w:lastRow="0" w:firstColumn="0" w:lastColumn="0" w:noHBand="0" w:noVBand="1"/>
      </w:tblPr>
      <w:tblGrid>
        <w:gridCol w:w="4028"/>
        <w:gridCol w:w="7156"/>
        <w:gridCol w:w="1093"/>
        <w:gridCol w:w="1149"/>
      </w:tblGrid>
      <w:tr w:rsidR="00B76E6D" w:rsidRPr="003726FE" w14:paraId="278AD978" w14:textId="77777777" w:rsidTr="00426FCB">
        <w:trPr>
          <w:cnfStyle w:val="100000000000" w:firstRow="1" w:lastRow="0" w:firstColumn="0" w:lastColumn="0" w:oddVBand="0" w:evenVBand="0" w:oddHBand="0" w:evenHBand="0" w:firstRowFirstColumn="0" w:firstRowLastColumn="0" w:lastRowFirstColumn="0" w:lastRowLastColumn="0"/>
          <w:tblHeader/>
        </w:trPr>
        <w:tc>
          <w:tcPr>
            <w:tcW w:w="1500" w:type="pct"/>
          </w:tcPr>
          <w:p w14:paraId="1BA5BA74" w14:textId="77777777" w:rsidR="00B76E6D" w:rsidRPr="003726FE" w:rsidRDefault="00B76E6D" w:rsidP="00426FCB">
            <w:pPr>
              <w:pStyle w:val="TableHeader"/>
              <w:rPr>
                <w:lang w:val="en-GB"/>
              </w:rPr>
            </w:pPr>
            <w:r w:rsidRPr="003726FE">
              <w:rPr>
                <w:lang w:val="en-GB"/>
              </w:rPr>
              <w:t>Name</w:t>
            </w:r>
          </w:p>
        </w:tc>
        <w:tc>
          <w:tcPr>
            <w:tcW w:w="2665" w:type="pct"/>
          </w:tcPr>
          <w:p w14:paraId="3FEEC224" w14:textId="77777777" w:rsidR="00B76E6D" w:rsidRPr="003726FE" w:rsidRDefault="00B76E6D" w:rsidP="00426FCB">
            <w:pPr>
              <w:pStyle w:val="TableHeader"/>
              <w:rPr>
                <w:lang w:val="en-GB"/>
              </w:rPr>
            </w:pPr>
            <w:r w:rsidRPr="003726FE">
              <w:rPr>
                <w:lang w:val="en-GB"/>
              </w:rPr>
              <w:t>Description</w:t>
            </w:r>
          </w:p>
        </w:tc>
        <w:tc>
          <w:tcPr>
            <w:tcW w:w="407" w:type="pct"/>
          </w:tcPr>
          <w:p w14:paraId="459ABC4A" w14:textId="77777777" w:rsidR="00B76E6D" w:rsidRPr="003726FE" w:rsidRDefault="00B76E6D" w:rsidP="00426FCB">
            <w:pPr>
              <w:pStyle w:val="TableHeader"/>
              <w:rPr>
                <w:lang w:val="en-GB"/>
              </w:rPr>
            </w:pPr>
            <w:r w:rsidRPr="003726FE">
              <w:rPr>
                <w:lang w:val="en-GB"/>
              </w:rPr>
              <w:t>Sources</w:t>
            </w:r>
          </w:p>
        </w:tc>
        <w:tc>
          <w:tcPr>
            <w:tcW w:w="428" w:type="pct"/>
          </w:tcPr>
          <w:p w14:paraId="5C363B39" w14:textId="77777777" w:rsidR="00B76E6D" w:rsidRPr="003726FE" w:rsidRDefault="00B76E6D" w:rsidP="00426FCB">
            <w:pPr>
              <w:pStyle w:val="TableHeader"/>
              <w:rPr>
                <w:lang w:val="en-GB"/>
              </w:rPr>
            </w:pPr>
            <w:r w:rsidRPr="003726FE">
              <w:rPr>
                <w:lang w:val="en-GB"/>
              </w:rPr>
              <w:t>References</w:t>
            </w:r>
          </w:p>
        </w:tc>
      </w:tr>
      <w:tr w:rsidR="00B76E6D" w:rsidRPr="003726FE" w14:paraId="18F6231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4C58951" w14:textId="77777777" w:rsidR="00B76E6D" w:rsidRPr="003726FE" w:rsidRDefault="00B76E6D" w:rsidP="00426FCB">
            <w:pPr>
              <w:rPr>
                <w:b/>
                <w:lang w:val="en-GB"/>
              </w:rPr>
            </w:pPr>
            <w:r w:rsidRPr="003726FE">
              <w:rPr>
                <w:b/>
                <w:lang w:val="en-GB"/>
              </w:rPr>
              <w:t>Clinical skills teaching and learning</w:t>
            </w:r>
          </w:p>
        </w:tc>
        <w:tc>
          <w:tcPr>
            <w:tcW w:w="2665" w:type="pct"/>
          </w:tcPr>
          <w:p w14:paraId="7931AF28" w14:textId="77777777" w:rsidR="00B76E6D" w:rsidRPr="003726FE" w:rsidRDefault="00B76E6D" w:rsidP="00426FCB">
            <w:pPr>
              <w:rPr>
                <w:lang w:val="en-GB"/>
              </w:rPr>
            </w:pPr>
            <w:r w:rsidRPr="003726FE">
              <w:rPr>
                <w:lang w:val="en-GB"/>
              </w:rPr>
              <w:t>Factors relating to the nature of learning and teaching in the setting</w:t>
            </w:r>
          </w:p>
        </w:tc>
        <w:tc>
          <w:tcPr>
            <w:tcW w:w="407" w:type="pct"/>
          </w:tcPr>
          <w:p w14:paraId="02197D5B" w14:textId="77777777" w:rsidR="00B76E6D" w:rsidRPr="003726FE" w:rsidRDefault="00B76E6D" w:rsidP="00426FCB">
            <w:pPr>
              <w:pStyle w:val="RightAlign"/>
              <w:rPr>
                <w:lang w:val="en-GB"/>
              </w:rPr>
            </w:pPr>
            <w:r w:rsidRPr="003726FE">
              <w:rPr>
                <w:lang w:val="en-GB"/>
              </w:rPr>
              <w:t>13</w:t>
            </w:r>
          </w:p>
        </w:tc>
        <w:tc>
          <w:tcPr>
            <w:tcW w:w="428" w:type="pct"/>
          </w:tcPr>
          <w:p w14:paraId="26EACE39" w14:textId="77777777" w:rsidR="00B76E6D" w:rsidRPr="003726FE" w:rsidRDefault="00B76E6D" w:rsidP="00426FCB">
            <w:pPr>
              <w:pStyle w:val="RightAlign"/>
              <w:rPr>
                <w:lang w:val="en-GB"/>
              </w:rPr>
            </w:pPr>
            <w:r w:rsidRPr="003726FE">
              <w:rPr>
                <w:lang w:val="en-GB"/>
              </w:rPr>
              <w:t>58</w:t>
            </w:r>
          </w:p>
        </w:tc>
      </w:tr>
      <w:tr w:rsidR="00B76E6D" w:rsidRPr="003726FE" w14:paraId="1151712F"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5AD3E04" w14:textId="77777777" w:rsidR="00B76E6D" w:rsidRPr="003726FE" w:rsidRDefault="00B76E6D" w:rsidP="00426FCB">
            <w:pPr>
              <w:ind w:left="450"/>
              <w:rPr>
                <w:lang w:val="en-GB"/>
              </w:rPr>
            </w:pPr>
            <w:r w:rsidRPr="003726FE">
              <w:rPr>
                <w:lang w:val="en-GB"/>
              </w:rPr>
              <w:t>Clinical skills teaching</w:t>
            </w:r>
          </w:p>
        </w:tc>
        <w:tc>
          <w:tcPr>
            <w:tcW w:w="2665" w:type="pct"/>
          </w:tcPr>
          <w:p w14:paraId="5230E150" w14:textId="77777777" w:rsidR="00B76E6D" w:rsidRPr="003726FE" w:rsidRDefault="00B76E6D" w:rsidP="00426FCB">
            <w:pPr>
              <w:rPr>
                <w:lang w:val="en-GB"/>
              </w:rPr>
            </w:pPr>
            <w:r w:rsidRPr="003726FE">
              <w:rPr>
                <w:lang w:val="en-GB"/>
              </w:rPr>
              <w:t>Experiences of teaching</w:t>
            </w:r>
          </w:p>
        </w:tc>
        <w:tc>
          <w:tcPr>
            <w:tcW w:w="407" w:type="pct"/>
          </w:tcPr>
          <w:p w14:paraId="3840AD4E" w14:textId="77777777" w:rsidR="00B76E6D" w:rsidRPr="003726FE" w:rsidRDefault="00B76E6D" w:rsidP="00426FCB">
            <w:pPr>
              <w:pStyle w:val="RightAlign"/>
              <w:rPr>
                <w:lang w:val="en-GB"/>
              </w:rPr>
            </w:pPr>
            <w:r w:rsidRPr="003726FE">
              <w:rPr>
                <w:lang w:val="en-GB"/>
              </w:rPr>
              <w:t>11</w:t>
            </w:r>
          </w:p>
        </w:tc>
        <w:tc>
          <w:tcPr>
            <w:tcW w:w="428" w:type="pct"/>
          </w:tcPr>
          <w:p w14:paraId="24454AC0" w14:textId="77777777" w:rsidR="00B76E6D" w:rsidRPr="003726FE" w:rsidRDefault="00B76E6D" w:rsidP="00426FCB">
            <w:pPr>
              <w:pStyle w:val="RightAlign"/>
              <w:rPr>
                <w:lang w:val="en-GB"/>
              </w:rPr>
            </w:pPr>
            <w:r w:rsidRPr="003726FE">
              <w:rPr>
                <w:lang w:val="en-GB"/>
              </w:rPr>
              <w:t>16</w:t>
            </w:r>
          </w:p>
        </w:tc>
      </w:tr>
      <w:tr w:rsidR="00B76E6D" w:rsidRPr="003726FE" w14:paraId="19AF693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C6FCBD9" w14:textId="77777777" w:rsidR="00B76E6D" w:rsidRPr="003726FE" w:rsidRDefault="00B76E6D" w:rsidP="00426FCB">
            <w:pPr>
              <w:ind w:left="450"/>
              <w:rPr>
                <w:lang w:val="en-GB"/>
              </w:rPr>
            </w:pPr>
            <w:r w:rsidRPr="003726FE">
              <w:rPr>
                <w:lang w:val="en-GB"/>
              </w:rPr>
              <w:t>lack of SRL support</w:t>
            </w:r>
          </w:p>
        </w:tc>
        <w:tc>
          <w:tcPr>
            <w:tcW w:w="2665" w:type="pct"/>
          </w:tcPr>
          <w:p w14:paraId="67EC3160" w14:textId="77777777" w:rsidR="00B76E6D" w:rsidRPr="003726FE" w:rsidRDefault="00B76E6D" w:rsidP="00426FCB">
            <w:pPr>
              <w:rPr>
                <w:lang w:val="en-GB"/>
              </w:rPr>
            </w:pPr>
            <w:r w:rsidRPr="003726FE">
              <w:rPr>
                <w:lang w:val="en-GB"/>
              </w:rPr>
              <w:t>Perceived lack of SRL support</w:t>
            </w:r>
          </w:p>
        </w:tc>
        <w:tc>
          <w:tcPr>
            <w:tcW w:w="407" w:type="pct"/>
          </w:tcPr>
          <w:p w14:paraId="6B2F1F4B" w14:textId="77777777" w:rsidR="00B76E6D" w:rsidRPr="003726FE" w:rsidRDefault="00B76E6D" w:rsidP="00426FCB">
            <w:pPr>
              <w:pStyle w:val="RightAlign"/>
              <w:rPr>
                <w:lang w:val="en-GB"/>
              </w:rPr>
            </w:pPr>
            <w:r w:rsidRPr="003726FE">
              <w:rPr>
                <w:lang w:val="en-GB"/>
              </w:rPr>
              <w:t>2</w:t>
            </w:r>
          </w:p>
        </w:tc>
        <w:tc>
          <w:tcPr>
            <w:tcW w:w="428" w:type="pct"/>
          </w:tcPr>
          <w:p w14:paraId="09D05DE9" w14:textId="77777777" w:rsidR="00B76E6D" w:rsidRPr="003726FE" w:rsidRDefault="00B76E6D" w:rsidP="00426FCB">
            <w:pPr>
              <w:pStyle w:val="RightAlign"/>
              <w:rPr>
                <w:lang w:val="en-GB"/>
              </w:rPr>
            </w:pPr>
            <w:r w:rsidRPr="003726FE">
              <w:rPr>
                <w:lang w:val="en-GB"/>
              </w:rPr>
              <w:t>6</w:t>
            </w:r>
          </w:p>
        </w:tc>
      </w:tr>
      <w:tr w:rsidR="00B76E6D" w:rsidRPr="003726FE" w14:paraId="4400EBFA"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79645E4F" w14:textId="77777777" w:rsidR="00B76E6D" w:rsidRPr="003726FE" w:rsidRDefault="00B76E6D" w:rsidP="00426FCB">
            <w:pPr>
              <w:ind w:left="450"/>
              <w:rPr>
                <w:lang w:val="en-GB"/>
              </w:rPr>
            </w:pPr>
            <w:r w:rsidRPr="003726FE">
              <w:rPr>
                <w:lang w:val="en-GB"/>
              </w:rPr>
              <w:t>Peer involvement</w:t>
            </w:r>
          </w:p>
        </w:tc>
        <w:tc>
          <w:tcPr>
            <w:tcW w:w="2665" w:type="pct"/>
          </w:tcPr>
          <w:p w14:paraId="1A82FC28" w14:textId="77777777" w:rsidR="00B76E6D" w:rsidRPr="003726FE" w:rsidRDefault="00B76E6D" w:rsidP="00426FCB">
            <w:pPr>
              <w:rPr>
                <w:lang w:val="en-GB"/>
              </w:rPr>
            </w:pPr>
            <w:r w:rsidRPr="003726FE">
              <w:rPr>
                <w:lang w:val="en-GB"/>
              </w:rPr>
              <w:t>Students interacting with students</w:t>
            </w:r>
          </w:p>
        </w:tc>
        <w:tc>
          <w:tcPr>
            <w:tcW w:w="407" w:type="pct"/>
          </w:tcPr>
          <w:p w14:paraId="2E103CF6" w14:textId="77777777" w:rsidR="00B76E6D" w:rsidRPr="003726FE" w:rsidRDefault="00B76E6D" w:rsidP="00426FCB">
            <w:pPr>
              <w:pStyle w:val="RightAlign"/>
              <w:rPr>
                <w:lang w:val="en-GB"/>
              </w:rPr>
            </w:pPr>
            <w:r w:rsidRPr="003726FE">
              <w:rPr>
                <w:lang w:val="en-GB"/>
              </w:rPr>
              <w:t>10</w:t>
            </w:r>
          </w:p>
        </w:tc>
        <w:tc>
          <w:tcPr>
            <w:tcW w:w="428" w:type="pct"/>
          </w:tcPr>
          <w:p w14:paraId="3FFF6636" w14:textId="77777777" w:rsidR="00B76E6D" w:rsidRPr="003726FE" w:rsidRDefault="00B76E6D" w:rsidP="00426FCB">
            <w:pPr>
              <w:pStyle w:val="RightAlign"/>
              <w:rPr>
                <w:lang w:val="en-GB"/>
              </w:rPr>
            </w:pPr>
            <w:r w:rsidRPr="003726FE">
              <w:rPr>
                <w:lang w:val="en-GB"/>
              </w:rPr>
              <w:t>17</w:t>
            </w:r>
          </w:p>
        </w:tc>
      </w:tr>
      <w:tr w:rsidR="00B76E6D" w:rsidRPr="003726FE" w14:paraId="4AD2D68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2699ECC" w14:textId="77777777" w:rsidR="00B76E6D" w:rsidRPr="003726FE" w:rsidRDefault="00B76E6D" w:rsidP="00426FCB">
            <w:pPr>
              <w:ind w:left="450"/>
              <w:rPr>
                <w:lang w:val="en-GB"/>
              </w:rPr>
            </w:pPr>
            <w:r w:rsidRPr="003726FE">
              <w:rPr>
                <w:lang w:val="en-GB"/>
              </w:rPr>
              <w:t>preparedness for practice</w:t>
            </w:r>
          </w:p>
        </w:tc>
        <w:tc>
          <w:tcPr>
            <w:tcW w:w="2665" w:type="pct"/>
          </w:tcPr>
          <w:p w14:paraId="58FDF52A" w14:textId="77777777" w:rsidR="00B76E6D" w:rsidRPr="003726FE" w:rsidRDefault="00B76E6D" w:rsidP="00426FCB">
            <w:pPr>
              <w:rPr>
                <w:lang w:val="en-GB"/>
              </w:rPr>
            </w:pPr>
            <w:r w:rsidRPr="003726FE">
              <w:rPr>
                <w:lang w:val="en-GB"/>
              </w:rPr>
              <w:t>Concept relating to how prepared students are for clinical work</w:t>
            </w:r>
          </w:p>
        </w:tc>
        <w:tc>
          <w:tcPr>
            <w:tcW w:w="407" w:type="pct"/>
          </w:tcPr>
          <w:p w14:paraId="21B32C3E" w14:textId="77777777" w:rsidR="00B76E6D" w:rsidRPr="003726FE" w:rsidRDefault="00B76E6D" w:rsidP="00426FCB">
            <w:pPr>
              <w:pStyle w:val="RightAlign"/>
              <w:rPr>
                <w:lang w:val="en-GB"/>
              </w:rPr>
            </w:pPr>
            <w:r w:rsidRPr="003726FE">
              <w:rPr>
                <w:lang w:val="en-GB"/>
              </w:rPr>
              <w:t>3</w:t>
            </w:r>
          </w:p>
        </w:tc>
        <w:tc>
          <w:tcPr>
            <w:tcW w:w="428" w:type="pct"/>
          </w:tcPr>
          <w:p w14:paraId="71B51425" w14:textId="77777777" w:rsidR="00B76E6D" w:rsidRPr="003726FE" w:rsidRDefault="00B76E6D" w:rsidP="00426FCB">
            <w:pPr>
              <w:pStyle w:val="RightAlign"/>
              <w:rPr>
                <w:lang w:val="en-GB"/>
              </w:rPr>
            </w:pPr>
            <w:r w:rsidRPr="003726FE">
              <w:rPr>
                <w:lang w:val="en-GB"/>
              </w:rPr>
              <w:t>11</w:t>
            </w:r>
          </w:p>
        </w:tc>
      </w:tr>
      <w:tr w:rsidR="00B76E6D" w:rsidRPr="003726FE" w14:paraId="058D1F78"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57D32CB" w14:textId="77777777" w:rsidR="00B76E6D" w:rsidRPr="003726FE" w:rsidRDefault="00B76E6D" w:rsidP="00426FCB">
            <w:pPr>
              <w:ind w:left="450"/>
              <w:rPr>
                <w:lang w:val="en-GB"/>
              </w:rPr>
            </w:pPr>
            <w:r w:rsidRPr="003726FE">
              <w:rPr>
                <w:lang w:val="en-GB"/>
              </w:rPr>
              <w:t>repeated practice</w:t>
            </w:r>
          </w:p>
        </w:tc>
        <w:tc>
          <w:tcPr>
            <w:tcW w:w="2665" w:type="pct"/>
          </w:tcPr>
          <w:p w14:paraId="7F12543C" w14:textId="77777777" w:rsidR="00B76E6D" w:rsidRPr="003726FE" w:rsidRDefault="00B76E6D" w:rsidP="00426FCB">
            <w:pPr>
              <w:rPr>
                <w:lang w:val="en-GB"/>
              </w:rPr>
            </w:pPr>
            <w:r w:rsidRPr="003726FE">
              <w:rPr>
                <w:lang w:val="en-GB"/>
              </w:rPr>
              <w:t>Reinforced learning experiences repeated over time</w:t>
            </w:r>
          </w:p>
        </w:tc>
        <w:tc>
          <w:tcPr>
            <w:tcW w:w="407" w:type="pct"/>
          </w:tcPr>
          <w:p w14:paraId="7D366E5D" w14:textId="77777777" w:rsidR="00B76E6D" w:rsidRPr="003726FE" w:rsidRDefault="00B76E6D" w:rsidP="00426FCB">
            <w:pPr>
              <w:pStyle w:val="RightAlign"/>
              <w:rPr>
                <w:lang w:val="en-GB"/>
              </w:rPr>
            </w:pPr>
            <w:r w:rsidRPr="003726FE">
              <w:rPr>
                <w:lang w:val="en-GB"/>
              </w:rPr>
              <w:t>3</w:t>
            </w:r>
          </w:p>
        </w:tc>
        <w:tc>
          <w:tcPr>
            <w:tcW w:w="428" w:type="pct"/>
          </w:tcPr>
          <w:p w14:paraId="2C34EDA2" w14:textId="77777777" w:rsidR="00B76E6D" w:rsidRPr="003726FE" w:rsidRDefault="00B76E6D" w:rsidP="00426FCB">
            <w:pPr>
              <w:pStyle w:val="RightAlign"/>
              <w:rPr>
                <w:lang w:val="en-GB"/>
              </w:rPr>
            </w:pPr>
            <w:r w:rsidRPr="003726FE">
              <w:rPr>
                <w:lang w:val="en-GB"/>
              </w:rPr>
              <w:t>6</w:t>
            </w:r>
          </w:p>
        </w:tc>
      </w:tr>
      <w:tr w:rsidR="00B76E6D" w:rsidRPr="003726FE" w14:paraId="62F6E09D"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1FCFA3D" w14:textId="3102B5D5" w:rsidR="00B76E6D" w:rsidRPr="003726FE" w:rsidRDefault="008E7D00" w:rsidP="00426FCB">
            <w:pPr>
              <w:rPr>
                <w:b/>
                <w:lang w:val="en-GB"/>
              </w:rPr>
            </w:pPr>
            <w:r>
              <w:rPr>
                <w:b/>
                <w:lang w:val="en-GB"/>
              </w:rPr>
              <w:t>Conceptualisation</w:t>
            </w:r>
            <w:r w:rsidR="00B76E6D" w:rsidRPr="003726FE">
              <w:rPr>
                <w:b/>
                <w:lang w:val="en-GB"/>
              </w:rPr>
              <w:t>s of feedback</w:t>
            </w:r>
          </w:p>
        </w:tc>
        <w:tc>
          <w:tcPr>
            <w:tcW w:w="2665" w:type="pct"/>
          </w:tcPr>
          <w:p w14:paraId="3118C01E" w14:textId="77777777" w:rsidR="00B76E6D" w:rsidRPr="003726FE" w:rsidRDefault="00B76E6D" w:rsidP="00426FCB">
            <w:pPr>
              <w:rPr>
                <w:lang w:val="en-GB"/>
              </w:rPr>
            </w:pPr>
            <w:r w:rsidRPr="003726FE">
              <w:rPr>
                <w:lang w:val="en-GB"/>
              </w:rPr>
              <w:t>Held beliefs on feedback</w:t>
            </w:r>
          </w:p>
        </w:tc>
        <w:tc>
          <w:tcPr>
            <w:tcW w:w="407" w:type="pct"/>
          </w:tcPr>
          <w:p w14:paraId="1D8EFD17" w14:textId="77777777" w:rsidR="00B76E6D" w:rsidRPr="003726FE" w:rsidRDefault="00B76E6D" w:rsidP="00426FCB">
            <w:pPr>
              <w:pStyle w:val="RightAlign"/>
              <w:rPr>
                <w:lang w:val="en-GB"/>
              </w:rPr>
            </w:pPr>
            <w:r w:rsidRPr="003726FE">
              <w:rPr>
                <w:lang w:val="en-GB"/>
              </w:rPr>
              <w:t>13</w:t>
            </w:r>
          </w:p>
        </w:tc>
        <w:tc>
          <w:tcPr>
            <w:tcW w:w="428" w:type="pct"/>
          </w:tcPr>
          <w:p w14:paraId="11902C0E" w14:textId="77777777" w:rsidR="00B76E6D" w:rsidRPr="003726FE" w:rsidRDefault="00B76E6D" w:rsidP="00426FCB">
            <w:pPr>
              <w:pStyle w:val="RightAlign"/>
              <w:rPr>
                <w:lang w:val="en-GB"/>
              </w:rPr>
            </w:pPr>
            <w:r w:rsidRPr="003726FE">
              <w:rPr>
                <w:lang w:val="en-GB"/>
              </w:rPr>
              <w:t>84</w:t>
            </w:r>
          </w:p>
        </w:tc>
      </w:tr>
      <w:tr w:rsidR="00B76E6D" w:rsidRPr="003726FE" w14:paraId="613A2727"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413C479" w14:textId="77777777" w:rsidR="00B76E6D" w:rsidRPr="003726FE" w:rsidRDefault="00B76E6D" w:rsidP="00426FCB">
            <w:pPr>
              <w:ind w:left="450"/>
              <w:rPr>
                <w:lang w:val="en-GB"/>
              </w:rPr>
            </w:pPr>
            <w:r w:rsidRPr="003726FE">
              <w:rPr>
                <w:lang w:val="en-GB"/>
              </w:rPr>
              <w:t>Personal views on feedback</w:t>
            </w:r>
          </w:p>
        </w:tc>
        <w:tc>
          <w:tcPr>
            <w:tcW w:w="2665" w:type="pct"/>
          </w:tcPr>
          <w:p w14:paraId="75651CD6" w14:textId="77777777" w:rsidR="00B76E6D" w:rsidRPr="003726FE" w:rsidRDefault="00B76E6D" w:rsidP="00426FCB">
            <w:pPr>
              <w:rPr>
                <w:lang w:val="en-GB"/>
              </w:rPr>
            </w:pPr>
            <w:r w:rsidRPr="003726FE">
              <w:rPr>
                <w:lang w:val="en-GB"/>
              </w:rPr>
              <w:t>Teacher’s personal views on feedback</w:t>
            </w:r>
          </w:p>
        </w:tc>
        <w:tc>
          <w:tcPr>
            <w:tcW w:w="407" w:type="pct"/>
          </w:tcPr>
          <w:p w14:paraId="43103780" w14:textId="77777777" w:rsidR="00B76E6D" w:rsidRPr="003726FE" w:rsidRDefault="00B76E6D" w:rsidP="00426FCB">
            <w:pPr>
              <w:pStyle w:val="RightAlign"/>
              <w:rPr>
                <w:lang w:val="en-GB"/>
              </w:rPr>
            </w:pPr>
            <w:r w:rsidRPr="003726FE">
              <w:rPr>
                <w:lang w:val="en-GB"/>
              </w:rPr>
              <w:t>11</w:t>
            </w:r>
          </w:p>
        </w:tc>
        <w:tc>
          <w:tcPr>
            <w:tcW w:w="428" w:type="pct"/>
          </w:tcPr>
          <w:p w14:paraId="602E09C8" w14:textId="77777777" w:rsidR="00B76E6D" w:rsidRPr="003726FE" w:rsidRDefault="00B76E6D" w:rsidP="00426FCB">
            <w:pPr>
              <w:pStyle w:val="RightAlign"/>
              <w:rPr>
                <w:lang w:val="en-GB"/>
              </w:rPr>
            </w:pPr>
            <w:r w:rsidRPr="003726FE">
              <w:rPr>
                <w:lang w:val="en-GB"/>
              </w:rPr>
              <w:t>16</w:t>
            </w:r>
          </w:p>
        </w:tc>
      </w:tr>
      <w:tr w:rsidR="00B76E6D" w:rsidRPr="003726FE" w14:paraId="5C339906"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0EFCF9C8" w14:textId="77777777" w:rsidR="00B76E6D" w:rsidRPr="003726FE" w:rsidRDefault="00B76E6D" w:rsidP="00426FCB">
            <w:pPr>
              <w:ind w:left="450"/>
              <w:rPr>
                <w:lang w:val="en-GB"/>
              </w:rPr>
            </w:pPr>
            <w:r w:rsidRPr="003726FE">
              <w:rPr>
                <w:lang w:val="en-GB"/>
              </w:rPr>
              <w:t>Previous experiences affecting feedback giving</w:t>
            </w:r>
          </w:p>
        </w:tc>
        <w:tc>
          <w:tcPr>
            <w:tcW w:w="2665" w:type="pct"/>
          </w:tcPr>
          <w:p w14:paraId="1A0735BD" w14:textId="77777777" w:rsidR="00B76E6D" w:rsidRPr="003726FE" w:rsidRDefault="00B76E6D" w:rsidP="00426FCB">
            <w:pPr>
              <w:rPr>
                <w:lang w:val="en-GB"/>
              </w:rPr>
            </w:pPr>
            <w:r w:rsidRPr="003726FE">
              <w:rPr>
                <w:lang w:val="en-GB"/>
              </w:rPr>
              <w:t>Factors impacting upon feedback giving practices</w:t>
            </w:r>
          </w:p>
        </w:tc>
        <w:tc>
          <w:tcPr>
            <w:tcW w:w="407" w:type="pct"/>
          </w:tcPr>
          <w:p w14:paraId="21A56376" w14:textId="77777777" w:rsidR="00B76E6D" w:rsidRPr="003726FE" w:rsidRDefault="00B76E6D" w:rsidP="00426FCB">
            <w:pPr>
              <w:pStyle w:val="RightAlign"/>
              <w:rPr>
                <w:lang w:val="en-GB"/>
              </w:rPr>
            </w:pPr>
            <w:r w:rsidRPr="003726FE">
              <w:rPr>
                <w:lang w:val="en-GB"/>
              </w:rPr>
              <w:t>13</w:t>
            </w:r>
          </w:p>
        </w:tc>
        <w:tc>
          <w:tcPr>
            <w:tcW w:w="428" w:type="pct"/>
          </w:tcPr>
          <w:p w14:paraId="60E56A80" w14:textId="77777777" w:rsidR="00B76E6D" w:rsidRPr="003726FE" w:rsidRDefault="00B76E6D" w:rsidP="00426FCB">
            <w:pPr>
              <w:pStyle w:val="RightAlign"/>
              <w:rPr>
                <w:lang w:val="en-GB"/>
              </w:rPr>
            </w:pPr>
            <w:r w:rsidRPr="003726FE">
              <w:rPr>
                <w:lang w:val="en-GB"/>
              </w:rPr>
              <w:t>68</w:t>
            </w:r>
          </w:p>
        </w:tc>
      </w:tr>
      <w:tr w:rsidR="00B76E6D" w:rsidRPr="003726FE" w14:paraId="1F182536"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28263EE" w14:textId="77777777" w:rsidR="00B76E6D" w:rsidRPr="003726FE" w:rsidRDefault="00B76E6D" w:rsidP="00426FCB">
            <w:pPr>
              <w:ind w:left="900"/>
              <w:rPr>
                <w:i/>
                <w:lang w:val="en-GB"/>
              </w:rPr>
            </w:pPr>
            <w:r w:rsidRPr="003726FE">
              <w:rPr>
                <w:i/>
                <w:lang w:val="en-GB"/>
              </w:rPr>
              <w:t>Previous feedback experiences</w:t>
            </w:r>
          </w:p>
        </w:tc>
        <w:tc>
          <w:tcPr>
            <w:tcW w:w="2665" w:type="pct"/>
          </w:tcPr>
          <w:p w14:paraId="1F4078C1" w14:textId="77777777" w:rsidR="00B76E6D" w:rsidRPr="003726FE" w:rsidRDefault="00B76E6D" w:rsidP="00426FCB">
            <w:pPr>
              <w:rPr>
                <w:lang w:val="en-GB"/>
              </w:rPr>
            </w:pPr>
            <w:r w:rsidRPr="003726FE">
              <w:rPr>
                <w:lang w:val="en-GB"/>
              </w:rPr>
              <w:t>Notable feedback instances</w:t>
            </w:r>
          </w:p>
        </w:tc>
        <w:tc>
          <w:tcPr>
            <w:tcW w:w="407" w:type="pct"/>
          </w:tcPr>
          <w:p w14:paraId="07654F0C" w14:textId="77777777" w:rsidR="00B76E6D" w:rsidRPr="003726FE" w:rsidRDefault="00B76E6D" w:rsidP="00426FCB">
            <w:pPr>
              <w:pStyle w:val="RightAlign"/>
              <w:rPr>
                <w:lang w:val="en-GB"/>
              </w:rPr>
            </w:pPr>
            <w:r w:rsidRPr="003726FE">
              <w:rPr>
                <w:lang w:val="en-GB"/>
              </w:rPr>
              <w:t>13</w:t>
            </w:r>
          </w:p>
        </w:tc>
        <w:tc>
          <w:tcPr>
            <w:tcW w:w="428" w:type="pct"/>
          </w:tcPr>
          <w:p w14:paraId="5496250C" w14:textId="77777777" w:rsidR="00B76E6D" w:rsidRPr="003726FE" w:rsidRDefault="00B76E6D" w:rsidP="00426FCB">
            <w:pPr>
              <w:pStyle w:val="RightAlign"/>
              <w:rPr>
                <w:lang w:val="en-GB"/>
              </w:rPr>
            </w:pPr>
            <w:r w:rsidRPr="003726FE">
              <w:rPr>
                <w:lang w:val="en-GB"/>
              </w:rPr>
              <w:t>19</w:t>
            </w:r>
          </w:p>
        </w:tc>
      </w:tr>
      <w:tr w:rsidR="00B76E6D" w:rsidRPr="003726FE" w14:paraId="720FC2B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C585903" w14:textId="77777777" w:rsidR="00B76E6D" w:rsidRPr="003726FE" w:rsidRDefault="00B76E6D" w:rsidP="00426FCB">
            <w:pPr>
              <w:ind w:left="900"/>
              <w:rPr>
                <w:i/>
                <w:lang w:val="en-GB"/>
              </w:rPr>
            </w:pPr>
            <w:r w:rsidRPr="003726FE">
              <w:rPr>
                <w:i/>
                <w:lang w:val="en-GB"/>
              </w:rPr>
              <w:t>Previous feedback training</w:t>
            </w:r>
          </w:p>
        </w:tc>
        <w:tc>
          <w:tcPr>
            <w:tcW w:w="2665" w:type="pct"/>
          </w:tcPr>
          <w:p w14:paraId="645BC478" w14:textId="77777777" w:rsidR="00B76E6D" w:rsidRPr="003726FE" w:rsidRDefault="00B76E6D" w:rsidP="00426FCB">
            <w:pPr>
              <w:rPr>
                <w:lang w:val="en-GB"/>
              </w:rPr>
            </w:pPr>
            <w:r w:rsidRPr="003726FE">
              <w:rPr>
                <w:lang w:val="en-GB"/>
              </w:rPr>
              <w:t>Any teacher training involving feedback</w:t>
            </w:r>
          </w:p>
        </w:tc>
        <w:tc>
          <w:tcPr>
            <w:tcW w:w="407" w:type="pct"/>
          </w:tcPr>
          <w:p w14:paraId="2F8D1D84" w14:textId="77777777" w:rsidR="00B76E6D" w:rsidRPr="003726FE" w:rsidRDefault="00B76E6D" w:rsidP="00426FCB">
            <w:pPr>
              <w:pStyle w:val="RightAlign"/>
              <w:rPr>
                <w:lang w:val="en-GB"/>
              </w:rPr>
            </w:pPr>
            <w:r w:rsidRPr="003726FE">
              <w:rPr>
                <w:lang w:val="en-GB"/>
              </w:rPr>
              <w:t>13</w:t>
            </w:r>
          </w:p>
        </w:tc>
        <w:tc>
          <w:tcPr>
            <w:tcW w:w="428" w:type="pct"/>
          </w:tcPr>
          <w:p w14:paraId="53B21656" w14:textId="77777777" w:rsidR="00B76E6D" w:rsidRPr="003726FE" w:rsidRDefault="00B76E6D" w:rsidP="00426FCB">
            <w:pPr>
              <w:pStyle w:val="RightAlign"/>
              <w:rPr>
                <w:lang w:val="en-GB"/>
              </w:rPr>
            </w:pPr>
            <w:r w:rsidRPr="003726FE">
              <w:rPr>
                <w:lang w:val="en-GB"/>
              </w:rPr>
              <w:t>13</w:t>
            </w:r>
          </w:p>
        </w:tc>
      </w:tr>
      <w:tr w:rsidR="00B76E6D" w:rsidRPr="003726FE" w14:paraId="5959FBA5"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1AE191C" w14:textId="77777777" w:rsidR="00B76E6D" w:rsidRPr="003726FE" w:rsidRDefault="00B76E6D" w:rsidP="00426FCB">
            <w:pPr>
              <w:ind w:left="900"/>
              <w:rPr>
                <w:i/>
                <w:lang w:val="en-GB"/>
              </w:rPr>
            </w:pPr>
            <w:r w:rsidRPr="003726FE">
              <w:rPr>
                <w:i/>
                <w:lang w:val="en-GB"/>
              </w:rPr>
              <w:t>Previous knowledge of BPF</w:t>
            </w:r>
          </w:p>
        </w:tc>
        <w:tc>
          <w:tcPr>
            <w:tcW w:w="2665" w:type="pct"/>
          </w:tcPr>
          <w:p w14:paraId="6F062235" w14:textId="77777777" w:rsidR="00B76E6D" w:rsidRPr="003726FE" w:rsidRDefault="00B76E6D" w:rsidP="00426FCB">
            <w:pPr>
              <w:rPr>
                <w:lang w:val="en-GB"/>
              </w:rPr>
            </w:pPr>
            <w:r w:rsidRPr="003726FE">
              <w:rPr>
                <w:lang w:val="en-GB"/>
              </w:rPr>
              <w:t>Any prior knowledge of BPF concepts</w:t>
            </w:r>
          </w:p>
        </w:tc>
        <w:tc>
          <w:tcPr>
            <w:tcW w:w="407" w:type="pct"/>
          </w:tcPr>
          <w:p w14:paraId="595B3FB1" w14:textId="77777777" w:rsidR="00B76E6D" w:rsidRPr="003726FE" w:rsidRDefault="00B76E6D" w:rsidP="00426FCB">
            <w:pPr>
              <w:pStyle w:val="RightAlign"/>
              <w:rPr>
                <w:lang w:val="en-GB"/>
              </w:rPr>
            </w:pPr>
            <w:r w:rsidRPr="003726FE">
              <w:rPr>
                <w:lang w:val="en-GB"/>
              </w:rPr>
              <w:t>3</w:t>
            </w:r>
          </w:p>
        </w:tc>
        <w:tc>
          <w:tcPr>
            <w:tcW w:w="428" w:type="pct"/>
          </w:tcPr>
          <w:p w14:paraId="1CA74DA2" w14:textId="77777777" w:rsidR="00B76E6D" w:rsidRPr="003726FE" w:rsidRDefault="00B76E6D" w:rsidP="00426FCB">
            <w:pPr>
              <w:pStyle w:val="RightAlign"/>
              <w:rPr>
                <w:lang w:val="en-GB"/>
              </w:rPr>
            </w:pPr>
            <w:r w:rsidRPr="003726FE">
              <w:rPr>
                <w:lang w:val="en-GB"/>
              </w:rPr>
              <w:t>4</w:t>
            </w:r>
          </w:p>
        </w:tc>
      </w:tr>
      <w:tr w:rsidR="00B76E6D" w:rsidRPr="003726FE" w14:paraId="3FC2EC63"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C17C0D4" w14:textId="77777777" w:rsidR="00B76E6D" w:rsidRPr="003726FE" w:rsidRDefault="00B76E6D" w:rsidP="00426FCB">
            <w:pPr>
              <w:ind w:left="900"/>
              <w:rPr>
                <w:i/>
                <w:lang w:val="en-GB"/>
              </w:rPr>
            </w:pPr>
            <w:r w:rsidRPr="003726FE">
              <w:rPr>
                <w:i/>
                <w:lang w:val="en-GB"/>
              </w:rPr>
              <w:lastRenderedPageBreak/>
              <w:t>previous knowledge of SRL</w:t>
            </w:r>
          </w:p>
        </w:tc>
        <w:tc>
          <w:tcPr>
            <w:tcW w:w="2665" w:type="pct"/>
          </w:tcPr>
          <w:p w14:paraId="664D87B0" w14:textId="77777777" w:rsidR="00B76E6D" w:rsidRPr="003726FE" w:rsidRDefault="00B76E6D" w:rsidP="00426FCB">
            <w:pPr>
              <w:rPr>
                <w:lang w:val="en-GB"/>
              </w:rPr>
            </w:pPr>
            <w:r w:rsidRPr="003726FE">
              <w:rPr>
                <w:lang w:val="en-GB"/>
              </w:rPr>
              <w:t>Any prior knowledge of SRL concepts</w:t>
            </w:r>
          </w:p>
        </w:tc>
        <w:tc>
          <w:tcPr>
            <w:tcW w:w="407" w:type="pct"/>
          </w:tcPr>
          <w:p w14:paraId="475B62BF" w14:textId="77777777" w:rsidR="00B76E6D" w:rsidRPr="003726FE" w:rsidRDefault="00B76E6D" w:rsidP="00426FCB">
            <w:pPr>
              <w:pStyle w:val="RightAlign"/>
              <w:rPr>
                <w:lang w:val="en-GB"/>
              </w:rPr>
            </w:pPr>
            <w:r w:rsidRPr="003726FE">
              <w:rPr>
                <w:lang w:val="en-GB"/>
              </w:rPr>
              <w:t>4</w:t>
            </w:r>
          </w:p>
        </w:tc>
        <w:tc>
          <w:tcPr>
            <w:tcW w:w="428" w:type="pct"/>
          </w:tcPr>
          <w:p w14:paraId="17E8243D" w14:textId="77777777" w:rsidR="00B76E6D" w:rsidRPr="003726FE" w:rsidRDefault="00B76E6D" w:rsidP="00426FCB">
            <w:pPr>
              <w:pStyle w:val="RightAlign"/>
              <w:rPr>
                <w:lang w:val="en-GB"/>
              </w:rPr>
            </w:pPr>
            <w:r w:rsidRPr="003726FE">
              <w:rPr>
                <w:lang w:val="en-GB"/>
              </w:rPr>
              <w:t>9</w:t>
            </w:r>
          </w:p>
        </w:tc>
      </w:tr>
      <w:tr w:rsidR="00B76E6D" w:rsidRPr="003726FE" w14:paraId="69A46BF8"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3F35C98" w14:textId="77777777" w:rsidR="00B76E6D" w:rsidRPr="003726FE" w:rsidRDefault="00B76E6D" w:rsidP="00426FCB">
            <w:pPr>
              <w:ind w:left="900"/>
              <w:rPr>
                <w:i/>
                <w:lang w:val="en-GB"/>
              </w:rPr>
            </w:pPr>
            <w:r w:rsidRPr="003726FE">
              <w:rPr>
                <w:i/>
                <w:lang w:val="en-GB"/>
              </w:rPr>
              <w:t>Sport experiences</w:t>
            </w:r>
          </w:p>
        </w:tc>
        <w:tc>
          <w:tcPr>
            <w:tcW w:w="2665" w:type="pct"/>
          </w:tcPr>
          <w:p w14:paraId="1A3409C3" w14:textId="77777777" w:rsidR="00B76E6D" w:rsidRPr="003726FE" w:rsidRDefault="00B76E6D" w:rsidP="00426FCB">
            <w:pPr>
              <w:rPr>
                <w:lang w:val="en-GB"/>
              </w:rPr>
            </w:pPr>
            <w:r w:rsidRPr="003726FE">
              <w:rPr>
                <w:lang w:val="en-GB"/>
              </w:rPr>
              <w:t>Related experiences from sports performance or coaching</w:t>
            </w:r>
          </w:p>
        </w:tc>
        <w:tc>
          <w:tcPr>
            <w:tcW w:w="407" w:type="pct"/>
          </w:tcPr>
          <w:p w14:paraId="59674FCF" w14:textId="77777777" w:rsidR="00B76E6D" w:rsidRPr="003726FE" w:rsidRDefault="00B76E6D" w:rsidP="00426FCB">
            <w:pPr>
              <w:pStyle w:val="RightAlign"/>
              <w:rPr>
                <w:lang w:val="en-GB"/>
              </w:rPr>
            </w:pPr>
            <w:r w:rsidRPr="003726FE">
              <w:rPr>
                <w:lang w:val="en-GB"/>
              </w:rPr>
              <w:t>2</w:t>
            </w:r>
          </w:p>
        </w:tc>
        <w:tc>
          <w:tcPr>
            <w:tcW w:w="428" w:type="pct"/>
          </w:tcPr>
          <w:p w14:paraId="6B6DAD76" w14:textId="77777777" w:rsidR="00B76E6D" w:rsidRPr="003726FE" w:rsidRDefault="00B76E6D" w:rsidP="00426FCB">
            <w:pPr>
              <w:pStyle w:val="RightAlign"/>
              <w:rPr>
                <w:lang w:val="en-GB"/>
              </w:rPr>
            </w:pPr>
            <w:r w:rsidRPr="003726FE">
              <w:rPr>
                <w:lang w:val="en-GB"/>
              </w:rPr>
              <w:t>6</w:t>
            </w:r>
          </w:p>
        </w:tc>
      </w:tr>
      <w:tr w:rsidR="00B76E6D" w:rsidRPr="003726FE" w14:paraId="7F0B23C0"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3CEFCB5" w14:textId="77777777" w:rsidR="00B76E6D" w:rsidRPr="003726FE" w:rsidRDefault="00B76E6D" w:rsidP="00426FCB">
            <w:pPr>
              <w:ind w:left="900"/>
              <w:rPr>
                <w:i/>
                <w:lang w:val="en-GB"/>
              </w:rPr>
            </w:pPr>
            <w:r w:rsidRPr="003726FE">
              <w:rPr>
                <w:i/>
                <w:lang w:val="en-GB"/>
              </w:rPr>
              <w:t>Teaching background</w:t>
            </w:r>
          </w:p>
        </w:tc>
        <w:tc>
          <w:tcPr>
            <w:tcW w:w="2665" w:type="pct"/>
          </w:tcPr>
          <w:p w14:paraId="16C19003" w14:textId="77777777" w:rsidR="00B76E6D" w:rsidRPr="003726FE" w:rsidRDefault="00B76E6D" w:rsidP="00426FCB">
            <w:pPr>
              <w:rPr>
                <w:lang w:val="en-GB"/>
              </w:rPr>
            </w:pPr>
            <w:r w:rsidRPr="003726FE">
              <w:rPr>
                <w:lang w:val="en-GB"/>
              </w:rPr>
              <w:t>Their personal background</w:t>
            </w:r>
          </w:p>
        </w:tc>
        <w:tc>
          <w:tcPr>
            <w:tcW w:w="407" w:type="pct"/>
          </w:tcPr>
          <w:p w14:paraId="1ABE77EB" w14:textId="77777777" w:rsidR="00B76E6D" w:rsidRPr="003726FE" w:rsidRDefault="00B76E6D" w:rsidP="00426FCB">
            <w:pPr>
              <w:pStyle w:val="RightAlign"/>
              <w:rPr>
                <w:lang w:val="en-GB"/>
              </w:rPr>
            </w:pPr>
            <w:r w:rsidRPr="003726FE">
              <w:rPr>
                <w:lang w:val="en-GB"/>
              </w:rPr>
              <w:t>13</w:t>
            </w:r>
          </w:p>
        </w:tc>
        <w:tc>
          <w:tcPr>
            <w:tcW w:w="428" w:type="pct"/>
          </w:tcPr>
          <w:p w14:paraId="180B2806" w14:textId="77777777" w:rsidR="00B76E6D" w:rsidRPr="003726FE" w:rsidRDefault="00B76E6D" w:rsidP="00426FCB">
            <w:pPr>
              <w:pStyle w:val="RightAlign"/>
              <w:rPr>
                <w:lang w:val="en-GB"/>
              </w:rPr>
            </w:pPr>
            <w:r w:rsidRPr="003726FE">
              <w:rPr>
                <w:lang w:val="en-GB"/>
              </w:rPr>
              <w:t>15</w:t>
            </w:r>
          </w:p>
        </w:tc>
      </w:tr>
      <w:tr w:rsidR="00B76E6D" w:rsidRPr="003726FE" w14:paraId="21596F66"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9677814" w14:textId="77777777" w:rsidR="00B76E6D" w:rsidRPr="003726FE" w:rsidRDefault="00B76E6D" w:rsidP="00426FCB">
            <w:pPr>
              <w:rPr>
                <w:b/>
                <w:lang w:val="en-GB"/>
              </w:rPr>
            </w:pPr>
            <w:r w:rsidRPr="003726FE">
              <w:rPr>
                <w:b/>
                <w:lang w:val="en-GB"/>
              </w:rPr>
              <w:t>Contextual factors</w:t>
            </w:r>
          </w:p>
        </w:tc>
        <w:tc>
          <w:tcPr>
            <w:tcW w:w="2665" w:type="pct"/>
          </w:tcPr>
          <w:p w14:paraId="417696DE" w14:textId="77777777" w:rsidR="00B76E6D" w:rsidRPr="003726FE" w:rsidRDefault="00B76E6D" w:rsidP="00426FCB">
            <w:pPr>
              <w:rPr>
                <w:lang w:val="en-GB"/>
              </w:rPr>
            </w:pPr>
            <w:r w:rsidRPr="003726FE">
              <w:rPr>
                <w:lang w:val="en-GB"/>
              </w:rPr>
              <w:t>Instances where teachers describe influencing factors outside of themselves</w:t>
            </w:r>
          </w:p>
        </w:tc>
        <w:tc>
          <w:tcPr>
            <w:tcW w:w="407" w:type="pct"/>
          </w:tcPr>
          <w:p w14:paraId="7D86A94C" w14:textId="77777777" w:rsidR="00B76E6D" w:rsidRPr="003726FE" w:rsidRDefault="00B76E6D" w:rsidP="00426FCB">
            <w:pPr>
              <w:pStyle w:val="RightAlign"/>
              <w:rPr>
                <w:lang w:val="en-GB"/>
              </w:rPr>
            </w:pPr>
            <w:r w:rsidRPr="003726FE">
              <w:rPr>
                <w:lang w:val="en-GB"/>
              </w:rPr>
              <w:t>11</w:t>
            </w:r>
          </w:p>
        </w:tc>
        <w:tc>
          <w:tcPr>
            <w:tcW w:w="428" w:type="pct"/>
          </w:tcPr>
          <w:p w14:paraId="3219C2F8" w14:textId="77777777" w:rsidR="00B76E6D" w:rsidRPr="003726FE" w:rsidRDefault="00B76E6D" w:rsidP="00426FCB">
            <w:pPr>
              <w:pStyle w:val="RightAlign"/>
              <w:rPr>
                <w:lang w:val="en-GB"/>
              </w:rPr>
            </w:pPr>
            <w:r w:rsidRPr="003726FE">
              <w:rPr>
                <w:lang w:val="en-GB"/>
              </w:rPr>
              <w:t>28</w:t>
            </w:r>
          </w:p>
        </w:tc>
      </w:tr>
      <w:tr w:rsidR="00B76E6D" w:rsidRPr="003726FE" w14:paraId="4DEAC54F"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F136495" w14:textId="77777777" w:rsidR="00B76E6D" w:rsidRPr="003726FE" w:rsidRDefault="00B76E6D" w:rsidP="00426FCB">
            <w:pPr>
              <w:ind w:left="450"/>
              <w:rPr>
                <w:lang w:val="en-GB"/>
              </w:rPr>
            </w:pPr>
            <w:r w:rsidRPr="003726FE">
              <w:rPr>
                <w:lang w:val="en-GB"/>
              </w:rPr>
              <w:t>Group effects</w:t>
            </w:r>
          </w:p>
        </w:tc>
        <w:tc>
          <w:tcPr>
            <w:tcW w:w="2665" w:type="pct"/>
          </w:tcPr>
          <w:p w14:paraId="2606A1BD" w14:textId="77777777" w:rsidR="00B76E6D" w:rsidRPr="003726FE" w:rsidRDefault="00B76E6D" w:rsidP="00426FCB">
            <w:pPr>
              <w:rPr>
                <w:lang w:val="en-GB"/>
              </w:rPr>
            </w:pPr>
            <w:r w:rsidRPr="003726FE">
              <w:rPr>
                <w:lang w:val="en-GB"/>
              </w:rPr>
              <w:t>These include factors such as peer pressure or group influences on behaviour/perceptions</w:t>
            </w:r>
          </w:p>
        </w:tc>
        <w:tc>
          <w:tcPr>
            <w:tcW w:w="407" w:type="pct"/>
          </w:tcPr>
          <w:p w14:paraId="6777A201" w14:textId="77777777" w:rsidR="00B76E6D" w:rsidRPr="003726FE" w:rsidRDefault="00B76E6D" w:rsidP="00426FCB">
            <w:pPr>
              <w:pStyle w:val="RightAlign"/>
              <w:rPr>
                <w:lang w:val="en-GB"/>
              </w:rPr>
            </w:pPr>
            <w:r w:rsidRPr="003726FE">
              <w:rPr>
                <w:lang w:val="en-GB"/>
              </w:rPr>
              <w:t>7</w:t>
            </w:r>
          </w:p>
        </w:tc>
        <w:tc>
          <w:tcPr>
            <w:tcW w:w="428" w:type="pct"/>
          </w:tcPr>
          <w:p w14:paraId="738EF21A" w14:textId="77777777" w:rsidR="00B76E6D" w:rsidRPr="003726FE" w:rsidRDefault="00B76E6D" w:rsidP="00426FCB">
            <w:pPr>
              <w:pStyle w:val="RightAlign"/>
              <w:rPr>
                <w:lang w:val="en-GB"/>
              </w:rPr>
            </w:pPr>
            <w:r w:rsidRPr="003726FE">
              <w:rPr>
                <w:lang w:val="en-GB"/>
              </w:rPr>
              <w:t>14</w:t>
            </w:r>
          </w:p>
        </w:tc>
      </w:tr>
      <w:tr w:rsidR="00B76E6D" w:rsidRPr="003726FE" w14:paraId="3890DFF7"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2A036E6" w14:textId="77777777" w:rsidR="00B76E6D" w:rsidRPr="003726FE" w:rsidRDefault="00B76E6D" w:rsidP="00426FCB">
            <w:pPr>
              <w:rPr>
                <w:b/>
                <w:lang w:val="en-GB"/>
              </w:rPr>
            </w:pPr>
            <w:r w:rsidRPr="003726FE">
              <w:rPr>
                <w:b/>
                <w:lang w:val="en-GB"/>
              </w:rPr>
              <w:t>expert vs novice</w:t>
            </w:r>
          </w:p>
        </w:tc>
        <w:tc>
          <w:tcPr>
            <w:tcW w:w="2665" w:type="pct"/>
          </w:tcPr>
          <w:p w14:paraId="1766EF2C" w14:textId="77777777" w:rsidR="00B76E6D" w:rsidRPr="003726FE" w:rsidRDefault="00B76E6D" w:rsidP="00426FCB">
            <w:pPr>
              <w:rPr>
                <w:lang w:val="en-GB"/>
              </w:rPr>
            </w:pPr>
            <w:r w:rsidRPr="003726FE">
              <w:rPr>
                <w:lang w:val="en-GB"/>
              </w:rPr>
              <w:t>Differences between experts and novices</w:t>
            </w:r>
          </w:p>
        </w:tc>
        <w:tc>
          <w:tcPr>
            <w:tcW w:w="407" w:type="pct"/>
          </w:tcPr>
          <w:p w14:paraId="62F227C0" w14:textId="77777777" w:rsidR="00B76E6D" w:rsidRPr="003726FE" w:rsidRDefault="00B76E6D" w:rsidP="00426FCB">
            <w:pPr>
              <w:pStyle w:val="RightAlign"/>
              <w:rPr>
                <w:lang w:val="en-GB"/>
              </w:rPr>
            </w:pPr>
            <w:r w:rsidRPr="003726FE">
              <w:rPr>
                <w:lang w:val="en-GB"/>
              </w:rPr>
              <w:t>13</w:t>
            </w:r>
          </w:p>
        </w:tc>
        <w:tc>
          <w:tcPr>
            <w:tcW w:w="428" w:type="pct"/>
          </w:tcPr>
          <w:p w14:paraId="7EEBD680" w14:textId="77777777" w:rsidR="00B76E6D" w:rsidRPr="003726FE" w:rsidRDefault="00B76E6D" w:rsidP="00426FCB">
            <w:pPr>
              <w:pStyle w:val="RightAlign"/>
              <w:rPr>
                <w:lang w:val="en-GB"/>
              </w:rPr>
            </w:pPr>
            <w:r w:rsidRPr="003726FE">
              <w:rPr>
                <w:lang w:val="en-GB"/>
              </w:rPr>
              <w:t>19</w:t>
            </w:r>
          </w:p>
        </w:tc>
      </w:tr>
      <w:tr w:rsidR="00B76E6D" w:rsidRPr="003726FE" w14:paraId="326BB112"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8ECDD20" w14:textId="77777777" w:rsidR="00B76E6D" w:rsidRPr="003726FE" w:rsidRDefault="00B76E6D" w:rsidP="00426FCB">
            <w:pPr>
              <w:rPr>
                <w:b/>
                <w:lang w:val="en-GB"/>
              </w:rPr>
            </w:pPr>
            <w:r w:rsidRPr="003726FE">
              <w:rPr>
                <w:b/>
                <w:lang w:val="en-GB"/>
              </w:rPr>
              <w:t>Feasibility</w:t>
            </w:r>
          </w:p>
        </w:tc>
        <w:tc>
          <w:tcPr>
            <w:tcW w:w="2665" w:type="pct"/>
          </w:tcPr>
          <w:p w14:paraId="21EBD8A9" w14:textId="77777777" w:rsidR="00B76E6D" w:rsidRPr="003726FE" w:rsidRDefault="00B76E6D" w:rsidP="00426FCB">
            <w:pPr>
              <w:rPr>
                <w:lang w:val="en-GB"/>
              </w:rPr>
            </w:pPr>
            <w:r w:rsidRPr="003726FE">
              <w:rPr>
                <w:lang w:val="en-GB"/>
              </w:rPr>
              <w:t>Perceived feasibility of the feedback model</w:t>
            </w:r>
          </w:p>
        </w:tc>
        <w:tc>
          <w:tcPr>
            <w:tcW w:w="407" w:type="pct"/>
          </w:tcPr>
          <w:p w14:paraId="6FE3A289" w14:textId="77777777" w:rsidR="00B76E6D" w:rsidRPr="003726FE" w:rsidRDefault="00B76E6D" w:rsidP="00426FCB">
            <w:pPr>
              <w:pStyle w:val="RightAlign"/>
              <w:rPr>
                <w:lang w:val="en-GB"/>
              </w:rPr>
            </w:pPr>
            <w:r w:rsidRPr="003726FE">
              <w:rPr>
                <w:lang w:val="en-GB"/>
              </w:rPr>
              <w:t>13</w:t>
            </w:r>
          </w:p>
        </w:tc>
        <w:tc>
          <w:tcPr>
            <w:tcW w:w="428" w:type="pct"/>
          </w:tcPr>
          <w:p w14:paraId="0ADF4521" w14:textId="77777777" w:rsidR="00B76E6D" w:rsidRPr="003726FE" w:rsidRDefault="00B76E6D" w:rsidP="00426FCB">
            <w:pPr>
              <w:pStyle w:val="RightAlign"/>
              <w:rPr>
                <w:lang w:val="en-GB"/>
              </w:rPr>
            </w:pPr>
            <w:r w:rsidRPr="003726FE">
              <w:rPr>
                <w:lang w:val="en-GB"/>
              </w:rPr>
              <w:t>151</w:t>
            </w:r>
          </w:p>
        </w:tc>
      </w:tr>
      <w:tr w:rsidR="00B76E6D" w:rsidRPr="003726FE" w14:paraId="043273EA"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874CE36" w14:textId="77777777" w:rsidR="00B76E6D" w:rsidRPr="003726FE" w:rsidRDefault="00B76E6D" w:rsidP="00426FCB">
            <w:pPr>
              <w:ind w:left="450"/>
              <w:rPr>
                <w:lang w:val="en-GB"/>
              </w:rPr>
            </w:pPr>
            <w:r w:rsidRPr="003726FE">
              <w:rPr>
                <w:lang w:val="en-GB"/>
              </w:rPr>
              <w:t>Acceptability</w:t>
            </w:r>
          </w:p>
        </w:tc>
        <w:tc>
          <w:tcPr>
            <w:tcW w:w="2665" w:type="pct"/>
          </w:tcPr>
          <w:p w14:paraId="6417E32E" w14:textId="77777777" w:rsidR="00B76E6D" w:rsidRPr="003726FE" w:rsidRDefault="00B76E6D" w:rsidP="00426FCB">
            <w:pPr>
              <w:rPr>
                <w:lang w:val="en-GB"/>
              </w:rPr>
            </w:pPr>
            <w:r w:rsidRPr="003726FE">
              <w:rPr>
                <w:lang w:val="en-GB"/>
              </w:rPr>
              <w:t>How accessible the feedback model was</w:t>
            </w:r>
          </w:p>
        </w:tc>
        <w:tc>
          <w:tcPr>
            <w:tcW w:w="407" w:type="pct"/>
          </w:tcPr>
          <w:p w14:paraId="03733554" w14:textId="77777777" w:rsidR="00B76E6D" w:rsidRPr="003726FE" w:rsidRDefault="00B76E6D" w:rsidP="00426FCB">
            <w:pPr>
              <w:pStyle w:val="RightAlign"/>
              <w:rPr>
                <w:lang w:val="en-GB"/>
              </w:rPr>
            </w:pPr>
            <w:r w:rsidRPr="003726FE">
              <w:rPr>
                <w:lang w:val="en-GB"/>
              </w:rPr>
              <w:t>11</w:t>
            </w:r>
          </w:p>
        </w:tc>
        <w:tc>
          <w:tcPr>
            <w:tcW w:w="428" w:type="pct"/>
          </w:tcPr>
          <w:p w14:paraId="75D19448" w14:textId="77777777" w:rsidR="00B76E6D" w:rsidRPr="003726FE" w:rsidRDefault="00B76E6D" w:rsidP="00426FCB">
            <w:pPr>
              <w:pStyle w:val="RightAlign"/>
              <w:rPr>
                <w:lang w:val="en-GB"/>
              </w:rPr>
            </w:pPr>
            <w:r w:rsidRPr="003726FE">
              <w:rPr>
                <w:lang w:val="en-GB"/>
              </w:rPr>
              <w:t>28</w:t>
            </w:r>
          </w:p>
        </w:tc>
      </w:tr>
      <w:tr w:rsidR="00B76E6D" w:rsidRPr="003726FE" w14:paraId="377CBCF1"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E957EE6" w14:textId="77777777" w:rsidR="00B76E6D" w:rsidRPr="003726FE" w:rsidRDefault="00B76E6D" w:rsidP="00426FCB">
            <w:pPr>
              <w:ind w:left="900"/>
              <w:rPr>
                <w:i/>
                <w:lang w:val="en-GB"/>
              </w:rPr>
            </w:pPr>
            <w:r w:rsidRPr="003726FE">
              <w:rPr>
                <w:i/>
                <w:lang w:val="en-GB"/>
              </w:rPr>
              <w:t>Adherence</w:t>
            </w:r>
          </w:p>
        </w:tc>
        <w:tc>
          <w:tcPr>
            <w:tcW w:w="2665" w:type="pct"/>
          </w:tcPr>
          <w:p w14:paraId="6831FB71" w14:textId="77777777" w:rsidR="00B76E6D" w:rsidRPr="003726FE" w:rsidRDefault="00B76E6D" w:rsidP="00426FCB">
            <w:pPr>
              <w:rPr>
                <w:lang w:val="en-GB"/>
              </w:rPr>
            </w:pPr>
            <w:r w:rsidRPr="003726FE">
              <w:rPr>
                <w:lang w:val="en-GB"/>
              </w:rPr>
              <w:t>How they kept to the model</w:t>
            </w:r>
          </w:p>
        </w:tc>
        <w:tc>
          <w:tcPr>
            <w:tcW w:w="407" w:type="pct"/>
          </w:tcPr>
          <w:p w14:paraId="60881F9A" w14:textId="77777777" w:rsidR="00B76E6D" w:rsidRPr="003726FE" w:rsidRDefault="00B76E6D" w:rsidP="00426FCB">
            <w:pPr>
              <w:pStyle w:val="RightAlign"/>
              <w:rPr>
                <w:lang w:val="en-GB"/>
              </w:rPr>
            </w:pPr>
            <w:r w:rsidRPr="003726FE">
              <w:rPr>
                <w:lang w:val="en-GB"/>
              </w:rPr>
              <w:t>11</w:t>
            </w:r>
          </w:p>
        </w:tc>
        <w:tc>
          <w:tcPr>
            <w:tcW w:w="428" w:type="pct"/>
          </w:tcPr>
          <w:p w14:paraId="613132F5" w14:textId="77777777" w:rsidR="00B76E6D" w:rsidRPr="003726FE" w:rsidRDefault="00B76E6D" w:rsidP="00426FCB">
            <w:pPr>
              <w:pStyle w:val="RightAlign"/>
              <w:rPr>
                <w:lang w:val="en-GB"/>
              </w:rPr>
            </w:pPr>
            <w:r w:rsidRPr="003726FE">
              <w:rPr>
                <w:lang w:val="en-GB"/>
              </w:rPr>
              <w:t>49</w:t>
            </w:r>
          </w:p>
        </w:tc>
      </w:tr>
      <w:tr w:rsidR="00B76E6D" w:rsidRPr="003726FE" w14:paraId="170AE05B"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7693E85" w14:textId="77777777" w:rsidR="00B76E6D" w:rsidRPr="003726FE" w:rsidRDefault="00B76E6D" w:rsidP="00426FCB">
            <w:pPr>
              <w:ind w:left="1350"/>
              <w:rPr>
                <w:i/>
                <w:lang w:val="en-GB"/>
              </w:rPr>
            </w:pPr>
            <w:r w:rsidRPr="003726FE">
              <w:rPr>
                <w:i/>
                <w:lang w:val="en-GB"/>
              </w:rPr>
              <w:t>Modifications</w:t>
            </w:r>
          </w:p>
        </w:tc>
        <w:tc>
          <w:tcPr>
            <w:tcW w:w="2665" w:type="pct"/>
          </w:tcPr>
          <w:p w14:paraId="2B904D68" w14:textId="77777777" w:rsidR="00B76E6D" w:rsidRPr="003726FE" w:rsidRDefault="00B76E6D" w:rsidP="00426FCB">
            <w:pPr>
              <w:rPr>
                <w:lang w:val="en-GB"/>
              </w:rPr>
            </w:pPr>
            <w:r w:rsidRPr="003726FE">
              <w:rPr>
                <w:lang w:val="en-GB"/>
              </w:rPr>
              <w:t>Changes made to the model</w:t>
            </w:r>
          </w:p>
        </w:tc>
        <w:tc>
          <w:tcPr>
            <w:tcW w:w="407" w:type="pct"/>
          </w:tcPr>
          <w:p w14:paraId="59F6677F" w14:textId="77777777" w:rsidR="00B76E6D" w:rsidRPr="003726FE" w:rsidRDefault="00B76E6D" w:rsidP="00426FCB">
            <w:pPr>
              <w:pStyle w:val="RightAlign"/>
              <w:rPr>
                <w:lang w:val="en-GB"/>
              </w:rPr>
            </w:pPr>
            <w:r w:rsidRPr="003726FE">
              <w:rPr>
                <w:lang w:val="en-GB"/>
              </w:rPr>
              <w:t>7</w:t>
            </w:r>
          </w:p>
        </w:tc>
        <w:tc>
          <w:tcPr>
            <w:tcW w:w="428" w:type="pct"/>
          </w:tcPr>
          <w:p w14:paraId="5CED4F5F" w14:textId="77777777" w:rsidR="00B76E6D" w:rsidRPr="003726FE" w:rsidRDefault="00B76E6D" w:rsidP="00426FCB">
            <w:pPr>
              <w:pStyle w:val="RightAlign"/>
              <w:rPr>
                <w:lang w:val="en-GB"/>
              </w:rPr>
            </w:pPr>
            <w:r w:rsidRPr="003726FE">
              <w:rPr>
                <w:lang w:val="en-GB"/>
              </w:rPr>
              <w:t>13</w:t>
            </w:r>
          </w:p>
        </w:tc>
      </w:tr>
      <w:tr w:rsidR="00B76E6D" w:rsidRPr="003726FE" w14:paraId="2604B19B"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74DCBAB" w14:textId="77777777" w:rsidR="00B76E6D" w:rsidRPr="003726FE" w:rsidRDefault="00B76E6D" w:rsidP="00426FCB">
            <w:pPr>
              <w:ind w:left="1350"/>
              <w:rPr>
                <w:i/>
                <w:lang w:val="en-GB"/>
              </w:rPr>
            </w:pPr>
            <w:r w:rsidRPr="003726FE">
              <w:rPr>
                <w:i/>
                <w:lang w:val="en-GB"/>
              </w:rPr>
              <w:t>Use over time</w:t>
            </w:r>
          </w:p>
        </w:tc>
        <w:tc>
          <w:tcPr>
            <w:tcW w:w="2665" w:type="pct"/>
          </w:tcPr>
          <w:p w14:paraId="1E8B12F9" w14:textId="77777777" w:rsidR="00B76E6D" w:rsidRPr="003726FE" w:rsidRDefault="00B76E6D" w:rsidP="00426FCB">
            <w:pPr>
              <w:rPr>
                <w:lang w:val="en-GB"/>
              </w:rPr>
            </w:pPr>
            <w:r w:rsidRPr="003726FE">
              <w:rPr>
                <w:lang w:val="en-GB"/>
              </w:rPr>
              <w:t>How they used the model over time</w:t>
            </w:r>
          </w:p>
        </w:tc>
        <w:tc>
          <w:tcPr>
            <w:tcW w:w="407" w:type="pct"/>
          </w:tcPr>
          <w:p w14:paraId="5863A89B" w14:textId="77777777" w:rsidR="00B76E6D" w:rsidRPr="003726FE" w:rsidRDefault="00B76E6D" w:rsidP="00426FCB">
            <w:pPr>
              <w:pStyle w:val="RightAlign"/>
              <w:rPr>
                <w:lang w:val="en-GB"/>
              </w:rPr>
            </w:pPr>
            <w:r w:rsidRPr="003726FE">
              <w:rPr>
                <w:lang w:val="en-GB"/>
              </w:rPr>
              <w:t>11</w:t>
            </w:r>
          </w:p>
        </w:tc>
        <w:tc>
          <w:tcPr>
            <w:tcW w:w="428" w:type="pct"/>
          </w:tcPr>
          <w:p w14:paraId="02482D76" w14:textId="77777777" w:rsidR="00B76E6D" w:rsidRPr="003726FE" w:rsidRDefault="00B76E6D" w:rsidP="00426FCB">
            <w:pPr>
              <w:pStyle w:val="RightAlign"/>
              <w:rPr>
                <w:lang w:val="en-GB"/>
              </w:rPr>
            </w:pPr>
            <w:r w:rsidRPr="003726FE">
              <w:rPr>
                <w:lang w:val="en-GB"/>
              </w:rPr>
              <w:t>20</w:t>
            </w:r>
          </w:p>
        </w:tc>
      </w:tr>
      <w:tr w:rsidR="00B76E6D" w:rsidRPr="003726FE" w14:paraId="67B839E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D1E4175" w14:textId="77777777" w:rsidR="00B76E6D" w:rsidRPr="003726FE" w:rsidRDefault="00B76E6D" w:rsidP="00426FCB">
            <w:pPr>
              <w:ind w:left="900"/>
              <w:rPr>
                <w:i/>
                <w:lang w:val="en-GB"/>
              </w:rPr>
            </w:pPr>
            <w:r w:rsidRPr="003726FE">
              <w:rPr>
                <w:i/>
                <w:lang w:val="en-GB"/>
              </w:rPr>
              <w:t>SRL limitations</w:t>
            </w:r>
          </w:p>
        </w:tc>
        <w:tc>
          <w:tcPr>
            <w:tcW w:w="2665" w:type="pct"/>
          </w:tcPr>
          <w:p w14:paraId="2CC1EE30" w14:textId="77777777" w:rsidR="00B76E6D" w:rsidRPr="003726FE" w:rsidRDefault="00B76E6D" w:rsidP="00426FCB">
            <w:pPr>
              <w:rPr>
                <w:lang w:val="en-GB"/>
              </w:rPr>
            </w:pPr>
            <w:r w:rsidRPr="003726FE">
              <w:rPr>
                <w:lang w:val="en-GB"/>
              </w:rPr>
              <w:t>Perceived negatives of SRL MA</w:t>
            </w:r>
          </w:p>
        </w:tc>
        <w:tc>
          <w:tcPr>
            <w:tcW w:w="407" w:type="pct"/>
          </w:tcPr>
          <w:p w14:paraId="26DB6242" w14:textId="77777777" w:rsidR="00B76E6D" w:rsidRPr="003726FE" w:rsidRDefault="00B76E6D" w:rsidP="00426FCB">
            <w:pPr>
              <w:pStyle w:val="RightAlign"/>
              <w:rPr>
                <w:lang w:val="en-GB"/>
              </w:rPr>
            </w:pPr>
            <w:r w:rsidRPr="003726FE">
              <w:rPr>
                <w:lang w:val="en-GB"/>
              </w:rPr>
              <w:t>4</w:t>
            </w:r>
          </w:p>
        </w:tc>
        <w:tc>
          <w:tcPr>
            <w:tcW w:w="428" w:type="pct"/>
          </w:tcPr>
          <w:p w14:paraId="49554801" w14:textId="77777777" w:rsidR="00B76E6D" w:rsidRPr="003726FE" w:rsidRDefault="00B76E6D" w:rsidP="00426FCB">
            <w:pPr>
              <w:pStyle w:val="RightAlign"/>
              <w:rPr>
                <w:lang w:val="en-GB"/>
              </w:rPr>
            </w:pPr>
            <w:r w:rsidRPr="003726FE">
              <w:rPr>
                <w:lang w:val="en-GB"/>
              </w:rPr>
              <w:t>7</w:t>
            </w:r>
          </w:p>
        </w:tc>
      </w:tr>
      <w:tr w:rsidR="00B76E6D" w:rsidRPr="003726FE" w14:paraId="65FD0B10"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191860B" w14:textId="77777777" w:rsidR="00B76E6D" w:rsidRPr="003726FE" w:rsidRDefault="00B76E6D" w:rsidP="00426FCB">
            <w:pPr>
              <w:ind w:left="1350"/>
              <w:rPr>
                <w:i/>
                <w:lang w:val="en-GB"/>
              </w:rPr>
            </w:pPr>
            <w:r w:rsidRPr="003726FE">
              <w:rPr>
                <w:i/>
                <w:lang w:val="en-GB"/>
              </w:rPr>
              <w:t>False word</w:t>
            </w:r>
          </w:p>
        </w:tc>
        <w:tc>
          <w:tcPr>
            <w:tcW w:w="2665" w:type="pct"/>
          </w:tcPr>
          <w:p w14:paraId="66D01FE5" w14:textId="77777777" w:rsidR="00B76E6D" w:rsidRPr="003726FE" w:rsidRDefault="00B76E6D" w:rsidP="00426FCB">
            <w:pPr>
              <w:rPr>
                <w:lang w:val="en-GB"/>
              </w:rPr>
            </w:pPr>
            <w:r w:rsidRPr="003726FE">
              <w:rPr>
                <w:lang w:val="en-GB"/>
              </w:rPr>
              <w:t>how many times they used the word false</w:t>
            </w:r>
          </w:p>
        </w:tc>
        <w:tc>
          <w:tcPr>
            <w:tcW w:w="407" w:type="pct"/>
          </w:tcPr>
          <w:p w14:paraId="59649478" w14:textId="77777777" w:rsidR="00B76E6D" w:rsidRPr="003726FE" w:rsidRDefault="00B76E6D" w:rsidP="00426FCB">
            <w:pPr>
              <w:pStyle w:val="RightAlign"/>
              <w:rPr>
                <w:lang w:val="en-GB"/>
              </w:rPr>
            </w:pPr>
            <w:r w:rsidRPr="003726FE">
              <w:rPr>
                <w:lang w:val="en-GB"/>
              </w:rPr>
              <w:t>4</w:t>
            </w:r>
          </w:p>
        </w:tc>
        <w:tc>
          <w:tcPr>
            <w:tcW w:w="428" w:type="pct"/>
          </w:tcPr>
          <w:p w14:paraId="02A0983D" w14:textId="77777777" w:rsidR="00B76E6D" w:rsidRPr="003726FE" w:rsidRDefault="00B76E6D" w:rsidP="00426FCB">
            <w:pPr>
              <w:pStyle w:val="RightAlign"/>
              <w:rPr>
                <w:lang w:val="en-GB"/>
              </w:rPr>
            </w:pPr>
            <w:r w:rsidRPr="003726FE">
              <w:rPr>
                <w:lang w:val="en-GB"/>
              </w:rPr>
              <w:t>5</w:t>
            </w:r>
          </w:p>
        </w:tc>
      </w:tr>
      <w:tr w:rsidR="00B76E6D" w:rsidRPr="003726FE" w14:paraId="580F5FDD"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79E59C7" w14:textId="77777777" w:rsidR="00B76E6D" w:rsidRPr="003726FE" w:rsidRDefault="00B76E6D" w:rsidP="00426FCB">
            <w:pPr>
              <w:ind w:left="450"/>
              <w:rPr>
                <w:lang w:val="en-GB"/>
              </w:rPr>
            </w:pPr>
            <w:r w:rsidRPr="003726FE">
              <w:rPr>
                <w:lang w:val="en-GB"/>
              </w:rPr>
              <w:t>Ease of use</w:t>
            </w:r>
          </w:p>
        </w:tc>
        <w:tc>
          <w:tcPr>
            <w:tcW w:w="2665" w:type="pct"/>
          </w:tcPr>
          <w:p w14:paraId="50E70687" w14:textId="77777777" w:rsidR="00B76E6D" w:rsidRPr="003726FE" w:rsidRDefault="00B76E6D" w:rsidP="00426FCB">
            <w:pPr>
              <w:rPr>
                <w:lang w:val="en-GB"/>
              </w:rPr>
            </w:pPr>
            <w:r w:rsidRPr="003726FE">
              <w:rPr>
                <w:lang w:val="en-GB"/>
              </w:rPr>
              <w:t>Perceived difficulty of using the model</w:t>
            </w:r>
          </w:p>
        </w:tc>
        <w:tc>
          <w:tcPr>
            <w:tcW w:w="407" w:type="pct"/>
          </w:tcPr>
          <w:p w14:paraId="49F23DB6" w14:textId="77777777" w:rsidR="00B76E6D" w:rsidRPr="003726FE" w:rsidRDefault="00B76E6D" w:rsidP="00426FCB">
            <w:pPr>
              <w:pStyle w:val="RightAlign"/>
              <w:rPr>
                <w:lang w:val="en-GB"/>
              </w:rPr>
            </w:pPr>
            <w:r w:rsidRPr="003726FE">
              <w:rPr>
                <w:lang w:val="en-GB"/>
              </w:rPr>
              <w:t>12</w:t>
            </w:r>
          </w:p>
        </w:tc>
        <w:tc>
          <w:tcPr>
            <w:tcW w:w="428" w:type="pct"/>
          </w:tcPr>
          <w:p w14:paraId="6D3652B2" w14:textId="77777777" w:rsidR="00B76E6D" w:rsidRPr="003726FE" w:rsidRDefault="00B76E6D" w:rsidP="00426FCB">
            <w:pPr>
              <w:pStyle w:val="RightAlign"/>
              <w:rPr>
                <w:lang w:val="en-GB"/>
              </w:rPr>
            </w:pPr>
            <w:r w:rsidRPr="003726FE">
              <w:rPr>
                <w:lang w:val="en-GB"/>
              </w:rPr>
              <w:t>41</w:t>
            </w:r>
          </w:p>
        </w:tc>
      </w:tr>
      <w:tr w:rsidR="00B76E6D" w:rsidRPr="003726FE" w14:paraId="1539CC41"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0DD7C06" w14:textId="77777777" w:rsidR="00B76E6D" w:rsidRPr="003726FE" w:rsidRDefault="00B76E6D" w:rsidP="00426FCB">
            <w:pPr>
              <w:ind w:left="900"/>
              <w:rPr>
                <w:i/>
                <w:lang w:val="en-GB"/>
              </w:rPr>
            </w:pPr>
            <w:r w:rsidRPr="003726FE">
              <w:rPr>
                <w:i/>
                <w:lang w:val="en-GB"/>
              </w:rPr>
              <w:lastRenderedPageBreak/>
              <w:t>BPF ease of use</w:t>
            </w:r>
          </w:p>
        </w:tc>
        <w:tc>
          <w:tcPr>
            <w:tcW w:w="2665" w:type="pct"/>
          </w:tcPr>
          <w:p w14:paraId="2BEBCABF" w14:textId="77777777" w:rsidR="00B76E6D" w:rsidRPr="003726FE" w:rsidRDefault="00B76E6D" w:rsidP="00426FCB">
            <w:pPr>
              <w:rPr>
                <w:lang w:val="en-GB"/>
              </w:rPr>
            </w:pPr>
            <w:r w:rsidRPr="003726FE">
              <w:rPr>
                <w:lang w:val="en-GB"/>
              </w:rPr>
              <w:t>Perceived difficulty of using the BPF model</w:t>
            </w:r>
          </w:p>
        </w:tc>
        <w:tc>
          <w:tcPr>
            <w:tcW w:w="407" w:type="pct"/>
          </w:tcPr>
          <w:p w14:paraId="0FCDCFB1" w14:textId="77777777" w:rsidR="00B76E6D" w:rsidRPr="003726FE" w:rsidRDefault="00B76E6D" w:rsidP="00426FCB">
            <w:pPr>
              <w:pStyle w:val="RightAlign"/>
              <w:rPr>
                <w:lang w:val="en-GB"/>
              </w:rPr>
            </w:pPr>
            <w:r w:rsidRPr="003726FE">
              <w:rPr>
                <w:lang w:val="en-GB"/>
              </w:rPr>
              <w:t>5</w:t>
            </w:r>
          </w:p>
        </w:tc>
        <w:tc>
          <w:tcPr>
            <w:tcW w:w="428" w:type="pct"/>
          </w:tcPr>
          <w:p w14:paraId="65A565A8" w14:textId="77777777" w:rsidR="00B76E6D" w:rsidRPr="003726FE" w:rsidRDefault="00B76E6D" w:rsidP="00426FCB">
            <w:pPr>
              <w:pStyle w:val="RightAlign"/>
              <w:rPr>
                <w:lang w:val="en-GB"/>
              </w:rPr>
            </w:pPr>
            <w:r w:rsidRPr="003726FE">
              <w:rPr>
                <w:lang w:val="en-GB"/>
              </w:rPr>
              <w:t>8</w:t>
            </w:r>
          </w:p>
        </w:tc>
      </w:tr>
      <w:tr w:rsidR="00B76E6D" w:rsidRPr="003726FE" w14:paraId="6C0C0901"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55D9481" w14:textId="77777777" w:rsidR="00B76E6D" w:rsidRPr="003726FE" w:rsidRDefault="00B76E6D" w:rsidP="00426FCB">
            <w:pPr>
              <w:ind w:left="900"/>
              <w:rPr>
                <w:i/>
                <w:lang w:val="en-GB"/>
              </w:rPr>
            </w:pPr>
            <w:r w:rsidRPr="003726FE">
              <w:rPr>
                <w:i/>
                <w:lang w:val="en-GB"/>
              </w:rPr>
              <w:t>Peer support</w:t>
            </w:r>
          </w:p>
        </w:tc>
        <w:tc>
          <w:tcPr>
            <w:tcW w:w="2665" w:type="pct"/>
          </w:tcPr>
          <w:p w14:paraId="52171039" w14:textId="77777777" w:rsidR="00B76E6D" w:rsidRPr="003726FE" w:rsidRDefault="00B76E6D" w:rsidP="00426FCB">
            <w:pPr>
              <w:rPr>
                <w:lang w:val="en-GB"/>
              </w:rPr>
            </w:pPr>
            <w:r w:rsidRPr="003726FE">
              <w:rPr>
                <w:lang w:val="en-GB"/>
              </w:rPr>
              <w:t>Colleague support</w:t>
            </w:r>
          </w:p>
        </w:tc>
        <w:tc>
          <w:tcPr>
            <w:tcW w:w="407" w:type="pct"/>
          </w:tcPr>
          <w:p w14:paraId="59D6421B" w14:textId="77777777" w:rsidR="00B76E6D" w:rsidRPr="003726FE" w:rsidRDefault="00B76E6D" w:rsidP="00426FCB">
            <w:pPr>
              <w:pStyle w:val="RightAlign"/>
              <w:rPr>
                <w:lang w:val="en-GB"/>
              </w:rPr>
            </w:pPr>
            <w:r w:rsidRPr="003726FE">
              <w:rPr>
                <w:lang w:val="en-GB"/>
              </w:rPr>
              <w:t>4</w:t>
            </w:r>
          </w:p>
        </w:tc>
        <w:tc>
          <w:tcPr>
            <w:tcW w:w="428" w:type="pct"/>
          </w:tcPr>
          <w:p w14:paraId="0BB2F920" w14:textId="77777777" w:rsidR="00B76E6D" w:rsidRPr="003726FE" w:rsidRDefault="00B76E6D" w:rsidP="00426FCB">
            <w:pPr>
              <w:pStyle w:val="RightAlign"/>
              <w:rPr>
                <w:lang w:val="en-GB"/>
              </w:rPr>
            </w:pPr>
            <w:r w:rsidRPr="003726FE">
              <w:rPr>
                <w:lang w:val="en-GB"/>
              </w:rPr>
              <w:t>5</w:t>
            </w:r>
          </w:p>
        </w:tc>
      </w:tr>
      <w:tr w:rsidR="00B76E6D" w:rsidRPr="003726FE" w14:paraId="1A1B442D"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4C2570A" w14:textId="77777777" w:rsidR="00B76E6D" w:rsidRPr="003726FE" w:rsidRDefault="00B76E6D" w:rsidP="00426FCB">
            <w:pPr>
              <w:ind w:left="900"/>
              <w:rPr>
                <w:i/>
                <w:lang w:val="en-GB"/>
              </w:rPr>
            </w:pPr>
            <w:r w:rsidRPr="003726FE">
              <w:rPr>
                <w:i/>
                <w:lang w:val="en-GB"/>
              </w:rPr>
              <w:t>SRLF usability ease of use</w:t>
            </w:r>
          </w:p>
        </w:tc>
        <w:tc>
          <w:tcPr>
            <w:tcW w:w="2665" w:type="pct"/>
          </w:tcPr>
          <w:p w14:paraId="4E91CEDB" w14:textId="77777777" w:rsidR="00B76E6D" w:rsidRPr="003726FE" w:rsidRDefault="00B76E6D" w:rsidP="00426FCB">
            <w:pPr>
              <w:rPr>
                <w:lang w:val="en-GB"/>
              </w:rPr>
            </w:pPr>
            <w:r w:rsidRPr="003726FE">
              <w:rPr>
                <w:lang w:val="en-GB"/>
              </w:rPr>
              <w:t>Perceived difficulty of using the SRL model</w:t>
            </w:r>
          </w:p>
        </w:tc>
        <w:tc>
          <w:tcPr>
            <w:tcW w:w="407" w:type="pct"/>
          </w:tcPr>
          <w:p w14:paraId="4AB9988D" w14:textId="77777777" w:rsidR="00B76E6D" w:rsidRPr="003726FE" w:rsidRDefault="00B76E6D" w:rsidP="00426FCB">
            <w:pPr>
              <w:pStyle w:val="RightAlign"/>
              <w:rPr>
                <w:lang w:val="en-GB"/>
              </w:rPr>
            </w:pPr>
            <w:r w:rsidRPr="003726FE">
              <w:rPr>
                <w:lang w:val="en-GB"/>
              </w:rPr>
              <w:t>7</w:t>
            </w:r>
          </w:p>
        </w:tc>
        <w:tc>
          <w:tcPr>
            <w:tcW w:w="428" w:type="pct"/>
          </w:tcPr>
          <w:p w14:paraId="4D1E2FC4" w14:textId="77777777" w:rsidR="00B76E6D" w:rsidRPr="003726FE" w:rsidRDefault="00B76E6D" w:rsidP="00426FCB">
            <w:pPr>
              <w:pStyle w:val="RightAlign"/>
              <w:rPr>
                <w:lang w:val="en-GB"/>
              </w:rPr>
            </w:pPr>
            <w:r w:rsidRPr="003726FE">
              <w:rPr>
                <w:lang w:val="en-GB"/>
              </w:rPr>
              <w:t>28</w:t>
            </w:r>
          </w:p>
        </w:tc>
      </w:tr>
      <w:tr w:rsidR="00B76E6D" w:rsidRPr="003726FE" w14:paraId="5D01FE03"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23134140" w14:textId="77777777" w:rsidR="00B76E6D" w:rsidRPr="003726FE" w:rsidRDefault="00B76E6D" w:rsidP="00426FCB">
            <w:pPr>
              <w:ind w:left="1350"/>
              <w:rPr>
                <w:i/>
                <w:lang w:val="en-GB"/>
              </w:rPr>
            </w:pPr>
            <w:r w:rsidRPr="003726FE">
              <w:rPr>
                <w:i/>
                <w:lang w:val="en-GB"/>
              </w:rPr>
              <w:t>uncomfortable</w:t>
            </w:r>
          </w:p>
        </w:tc>
        <w:tc>
          <w:tcPr>
            <w:tcW w:w="2665" w:type="pct"/>
          </w:tcPr>
          <w:p w14:paraId="34BAF1FE" w14:textId="77777777" w:rsidR="00B76E6D" w:rsidRPr="003726FE" w:rsidRDefault="00B76E6D" w:rsidP="00426FCB">
            <w:pPr>
              <w:rPr>
                <w:lang w:val="en-GB"/>
              </w:rPr>
            </w:pPr>
            <w:r w:rsidRPr="003726FE">
              <w:rPr>
                <w:lang w:val="en-GB"/>
              </w:rPr>
              <w:t>Feelings of discomfort</w:t>
            </w:r>
          </w:p>
        </w:tc>
        <w:tc>
          <w:tcPr>
            <w:tcW w:w="407" w:type="pct"/>
          </w:tcPr>
          <w:p w14:paraId="02E26A87" w14:textId="77777777" w:rsidR="00B76E6D" w:rsidRPr="003726FE" w:rsidRDefault="00B76E6D" w:rsidP="00426FCB">
            <w:pPr>
              <w:pStyle w:val="RightAlign"/>
              <w:rPr>
                <w:lang w:val="en-GB"/>
              </w:rPr>
            </w:pPr>
            <w:r w:rsidRPr="003726FE">
              <w:rPr>
                <w:lang w:val="en-GB"/>
              </w:rPr>
              <w:t>1</w:t>
            </w:r>
          </w:p>
        </w:tc>
        <w:tc>
          <w:tcPr>
            <w:tcW w:w="428" w:type="pct"/>
          </w:tcPr>
          <w:p w14:paraId="431D7AEF" w14:textId="77777777" w:rsidR="00B76E6D" w:rsidRPr="003726FE" w:rsidRDefault="00B76E6D" w:rsidP="00426FCB">
            <w:pPr>
              <w:pStyle w:val="RightAlign"/>
              <w:rPr>
                <w:lang w:val="en-GB"/>
              </w:rPr>
            </w:pPr>
            <w:r w:rsidRPr="003726FE">
              <w:rPr>
                <w:lang w:val="en-GB"/>
              </w:rPr>
              <w:t>2</w:t>
            </w:r>
          </w:p>
        </w:tc>
      </w:tr>
      <w:tr w:rsidR="00B76E6D" w:rsidRPr="003726FE" w14:paraId="5D6190DB"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307AAC1B" w14:textId="77777777" w:rsidR="00B76E6D" w:rsidRPr="003726FE" w:rsidRDefault="00B76E6D" w:rsidP="00426FCB">
            <w:pPr>
              <w:ind w:left="450"/>
              <w:rPr>
                <w:lang w:val="en-GB"/>
              </w:rPr>
            </w:pPr>
            <w:r w:rsidRPr="003726FE">
              <w:rPr>
                <w:lang w:val="en-GB"/>
              </w:rPr>
              <w:t>Study effects</w:t>
            </w:r>
          </w:p>
        </w:tc>
        <w:tc>
          <w:tcPr>
            <w:tcW w:w="2665" w:type="pct"/>
          </w:tcPr>
          <w:p w14:paraId="6D295AAD" w14:textId="77777777" w:rsidR="00B76E6D" w:rsidRPr="003726FE" w:rsidRDefault="00B76E6D" w:rsidP="00426FCB">
            <w:pPr>
              <w:rPr>
                <w:lang w:val="en-GB"/>
              </w:rPr>
            </w:pPr>
            <w:r w:rsidRPr="003726FE">
              <w:rPr>
                <w:lang w:val="en-GB"/>
              </w:rPr>
              <w:t>How the research impacted upon them</w:t>
            </w:r>
          </w:p>
        </w:tc>
        <w:tc>
          <w:tcPr>
            <w:tcW w:w="407" w:type="pct"/>
          </w:tcPr>
          <w:p w14:paraId="66889B00" w14:textId="77777777" w:rsidR="00B76E6D" w:rsidRPr="003726FE" w:rsidRDefault="00B76E6D" w:rsidP="00426FCB">
            <w:pPr>
              <w:pStyle w:val="RightAlign"/>
              <w:rPr>
                <w:lang w:val="en-GB"/>
              </w:rPr>
            </w:pPr>
            <w:r w:rsidRPr="003726FE">
              <w:rPr>
                <w:lang w:val="en-GB"/>
              </w:rPr>
              <w:t>13</w:t>
            </w:r>
          </w:p>
        </w:tc>
        <w:tc>
          <w:tcPr>
            <w:tcW w:w="428" w:type="pct"/>
          </w:tcPr>
          <w:p w14:paraId="21AF4E75" w14:textId="77777777" w:rsidR="00B76E6D" w:rsidRPr="003726FE" w:rsidRDefault="00B76E6D" w:rsidP="00426FCB">
            <w:pPr>
              <w:pStyle w:val="RightAlign"/>
              <w:rPr>
                <w:lang w:val="en-GB"/>
              </w:rPr>
            </w:pPr>
            <w:r w:rsidRPr="003726FE">
              <w:rPr>
                <w:lang w:val="en-GB"/>
              </w:rPr>
              <w:t>47</w:t>
            </w:r>
          </w:p>
        </w:tc>
      </w:tr>
      <w:tr w:rsidR="00B76E6D" w:rsidRPr="003726FE" w14:paraId="30F29F11"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02FEFDCD" w14:textId="77777777" w:rsidR="00B76E6D" w:rsidRPr="003726FE" w:rsidRDefault="00B76E6D" w:rsidP="00426FCB">
            <w:pPr>
              <w:ind w:left="900"/>
              <w:rPr>
                <w:i/>
                <w:lang w:val="en-GB"/>
              </w:rPr>
            </w:pPr>
            <w:r w:rsidRPr="003726FE">
              <w:rPr>
                <w:i/>
                <w:lang w:val="en-GB"/>
              </w:rPr>
              <w:t>Advice for others</w:t>
            </w:r>
          </w:p>
        </w:tc>
        <w:tc>
          <w:tcPr>
            <w:tcW w:w="2665" w:type="pct"/>
          </w:tcPr>
          <w:p w14:paraId="0B5B4597" w14:textId="77777777" w:rsidR="00B76E6D" w:rsidRPr="003726FE" w:rsidRDefault="00B76E6D" w:rsidP="00426FCB">
            <w:pPr>
              <w:rPr>
                <w:lang w:val="en-GB"/>
              </w:rPr>
            </w:pPr>
            <w:r w:rsidRPr="003726FE">
              <w:rPr>
                <w:lang w:val="en-GB"/>
              </w:rPr>
              <w:t>Their advice to others using the model</w:t>
            </w:r>
          </w:p>
        </w:tc>
        <w:tc>
          <w:tcPr>
            <w:tcW w:w="407" w:type="pct"/>
          </w:tcPr>
          <w:p w14:paraId="47897A77" w14:textId="77777777" w:rsidR="00B76E6D" w:rsidRPr="003726FE" w:rsidRDefault="00B76E6D" w:rsidP="00426FCB">
            <w:pPr>
              <w:pStyle w:val="RightAlign"/>
              <w:rPr>
                <w:lang w:val="en-GB"/>
              </w:rPr>
            </w:pPr>
            <w:r w:rsidRPr="003726FE">
              <w:rPr>
                <w:lang w:val="en-GB"/>
              </w:rPr>
              <w:t>13</w:t>
            </w:r>
          </w:p>
        </w:tc>
        <w:tc>
          <w:tcPr>
            <w:tcW w:w="428" w:type="pct"/>
          </w:tcPr>
          <w:p w14:paraId="002BF214" w14:textId="77777777" w:rsidR="00B76E6D" w:rsidRPr="003726FE" w:rsidRDefault="00B76E6D" w:rsidP="00426FCB">
            <w:pPr>
              <w:pStyle w:val="RightAlign"/>
              <w:rPr>
                <w:lang w:val="en-GB"/>
              </w:rPr>
            </w:pPr>
            <w:r w:rsidRPr="003726FE">
              <w:rPr>
                <w:lang w:val="en-GB"/>
              </w:rPr>
              <w:t>13</w:t>
            </w:r>
          </w:p>
        </w:tc>
      </w:tr>
      <w:tr w:rsidR="00B76E6D" w:rsidRPr="003726FE" w14:paraId="5DD4D9EF"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6CD12B0" w14:textId="77777777" w:rsidR="00B76E6D" w:rsidRPr="003726FE" w:rsidRDefault="00B76E6D" w:rsidP="00426FCB">
            <w:pPr>
              <w:ind w:left="900"/>
              <w:rPr>
                <w:i/>
                <w:lang w:val="en-GB"/>
              </w:rPr>
            </w:pPr>
            <w:r w:rsidRPr="003726FE">
              <w:rPr>
                <w:i/>
                <w:lang w:val="en-GB"/>
              </w:rPr>
              <w:t>Researcher support</w:t>
            </w:r>
          </w:p>
        </w:tc>
        <w:tc>
          <w:tcPr>
            <w:tcW w:w="2665" w:type="pct"/>
          </w:tcPr>
          <w:p w14:paraId="6452C50C" w14:textId="77777777" w:rsidR="00B76E6D" w:rsidRPr="003726FE" w:rsidRDefault="00B76E6D" w:rsidP="00426FCB">
            <w:pPr>
              <w:rPr>
                <w:lang w:val="en-GB"/>
              </w:rPr>
            </w:pPr>
            <w:r w:rsidRPr="003726FE">
              <w:rPr>
                <w:lang w:val="en-GB"/>
              </w:rPr>
              <w:t>How the researcher helped them</w:t>
            </w:r>
          </w:p>
        </w:tc>
        <w:tc>
          <w:tcPr>
            <w:tcW w:w="407" w:type="pct"/>
          </w:tcPr>
          <w:p w14:paraId="565E58C4" w14:textId="77777777" w:rsidR="00B76E6D" w:rsidRPr="003726FE" w:rsidRDefault="00B76E6D" w:rsidP="00426FCB">
            <w:pPr>
              <w:pStyle w:val="RightAlign"/>
              <w:rPr>
                <w:lang w:val="en-GB"/>
              </w:rPr>
            </w:pPr>
            <w:r w:rsidRPr="003726FE">
              <w:rPr>
                <w:lang w:val="en-GB"/>
              </w:rPr>
              <w:t>2</w:t>
            </w:r>
          </w:p>
        </w:tc>
        <w:tc>
          <w:tcPr>
            <w:tcW w:w="428" w:type="pct"/>
          </w:tcPr>
          <w:p w14:paraId="7C803742" w14:textId="77777777" w:rsidR="00B76E6D" w:rsidRPr="003726FE" w:rsidRDefault="00B76E6D" w:rsidP="00426FCB">
            <w:pPr>
              <w:pStyle w:val="RightAlign"/>
              <w:rPr>
                <w:lang w:val="en-GB"/>
              </w:rPr>
            </w:pPr>
            <w:r w:rsidRPr="003726FE">
              <w:rPr>
                <w:lang w:val="en-GB"/>
              </w:rPr>
              <w:t>4</w:t>
            </w:r>
          </w:p>
        </w:tc>
      </w:tr>
      <w:tr w:rsidR="00B76E6D" w:rsidRPr="003726FE" w14:paraId="2945C66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9B98283" w14:textId="77777777" w:rsidR="00B76E6D" w:rsidRPr="003726FE" w:rsidRDefault="00B76E6D" w:rsidP="00426FCB">
            <w:pPr>
              <w:ind w:left="900"/>
              <w:rPr>
                <w:i/>
                <w:lang w:val="en-GB"/>
              </w:rPr>
            </w:pPr>
            <w:r w:rsidRPr="003726FE">
              <w:rPr>
                <w:i/>
                <w:lang w:val="en-GB"/>
              </w:rPr>
              <w:t>Retrospective recall</w:t>
            </w:r>
          </w:p>
        </w:tc>
        <w:tc>
          <w:tcPr>
            <w:tcW w:w="2665" w:type="pct"/>
          </w:tcPr>
          <w:p w14:paraId="6CD0A983" w14:textId="77777777" w:rsidR="00B76E6D" w:rsidRPr="003726FE" w:rsidRDefault="00B76E6D" w:rsidP="00426FCB">
            <w:pPr>
              <w:rPr>
                <w:lang w:val="en-GB"/>
              </w:rPr>
            </w:pPr>
            <w:r w:rsidRPr="003726FE">
              <w:rPr>
                <w:lang w:val="en-GB"/>
              </w:rPr>
              <w:t>Issues with remembering experiences</w:t>
            </w:r>
          </w:p>
        </w:tc>
        <w:tc>
          <w:tcPr>
            <w:tcW w:w="407" w:type="pct"/>
          </w:tcPr>
          <w:p w14:paraId="1C040333" w14:textId="77777777" w:rsidR="00B76E6D" w:rsidRPr="003726FE" w:rsidRDefault="00B76E6D" w:rsidP="00426FCB">
            <w:pPr>
              <w:pStyle w:val="RightAlign"/>
              <w:rPr>
                <w:lang w:val="en-GB"/>
              </w:rPr>
            </w:pPr>
            <w:r w:rsidRPr="003726FE">
              <w:rPr>
                <w:lang w:val="en-GB"/>
              </w:rPr>
              <w:t>3</w:t>
            </w:r>
          </w:p>
        </w:tc>
        <w:tc>
          <w:tcPr>
            <w:tcW w:w="428" w:type="pct"/>
          </w:tcPr>
          <w:p w14:paraId="60FB71B3" w14:textId="77777777" w:rsidR="00B76E6D" w:rsidRPr="003726FE" w:rsidRDefault="00B76E6D" w:rsidP="00426FCB">
            <w:pPr>
              <w:pStyle w:val="RightAlign"/>
              <w:rPr>
                <w:lang w:val="en-GB"/>
              </w:rPr>
            </w:pPr>
            <w:r w:rsidRPr="003726FE">
              <w:rPr>
                <w:lang w:val="en-GB"/>
              </w:rPr>
              <w:t>4</w:t>
            </w:r>
          </w:p>
        </w:tc>
      </w:tr>
      <w:tr w:rsidR="00B76E6D" w:rsidRPr="003726FE" w14:paraId="3501B4E8"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4D855B8" w14:textId="77777777" w:rsidR="00B76E6D" w:rsidRPr="003726FE" w:rsidRDefault="00B76E6D" w:rsidP="00426FCB">
            <w:pPr>
              <w:ind w:left="900"/>
              <w:rPr>
                <w:i/>
                <w:lang w:val="en-GB"/>
              </w:rPr>
            </w:pPr>
            <w:r w:rsidRPr="003726FE">
              <w:rPr>
                <w:i/>
                <w:lang w:val="en-GB"/>
              </w:rPr>
              <w:t>Training and technique impact on teaching practice</w:t>
            </w:r>
          </w:p>
        </w:tc>
        <w:tc>
          <w:tcPr>
            <w:tcW w:w="2665" w:type="pct"/>
          </w:tcPr>
          <w:p w14:paraId="2A5D75EC" w14:textId="77777777" w:rsidR="00B76E6D" w:rsidRPr="003726FE" w:rsidRDefault="00B76E6D" w:rsidP="00426FCB">
            <w:pPr>
              <w:rPr>
                <w:lang w:val="en-GB"/>
              </w:rPr>
            </w:pPr>
            <w:r w:rsidRPr="003726FE">
              <w:rPr>
                <w:lang w:val="en-GB"/>
              </w:rPr>
              <w:t>How the experience impacted upon their practice</w:t>
            </w:r>
          </w:p>
        </w:tc>
        <w:tc>
          <w:tcPr>
            <w:tcW w:w="407" w:type="pct"/>
          </w:tcPr>
          <w:p w14:paraId="5E819ECC" w14:textId="77777777" w:rsidR="00B76E6D" w:rsidRPr="003726FE" w:rsidRDefault="00B76E6D" w:rsidP="00426FCB">
            <w:pPr>
              <w:pStyle w:val="RightAlign"/>
              <w:rPr>
                <w:lang w:val="en-GB"/>
              </w:rPr>
            </w:pPr>
            <w:r w:rsidRPr="003726FE">
              <w:rPr>
                <w:lang w:val="en-GB"/>
              </w:rPr>
              <w:t>12</w:t>
            </w:r>
          </w:p>
        </w:tc>
        <w:tc>
          <w:tcPr>
            <w:tcW w:w="428" w:type="pct"/>
          </w:tcPr>
          <w:p w14:paraId="2DB5DD90" w14:textId="77777777" w:rsidR="00B76E6D" w:rsidRPr="003726FE" w:rsidRDefault="00B76E6D" w:rsidP="00426FCB">
            <w:pPr>
              <w:pStyle w:val="RightAlign"/>
              <w:rPr>
                <w:lang w:val="en-GB"/>
              </w:rPr>
            </w:pPr>
            <w:r w:rsidRPr="003726FE">
              <w:rPr>
                <w:lang w:val="en-GB"/>
              </w:rPr>
              <w:t>23</w:t>
            </w:r>
          </w:p>
        </w:tc>
      </w:tr>
      <w:tr w:rsidR="00B76E6D" w:rsidRPr="003726FE" w14:paraId="19F950EB"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D85E8B9" w14:textId="77777777" w:rsidR="00B76E6D" w:rsidRPr="003726FE" w:rsidRDefault="00B76E6D" w:rsidP="00426FCB">
            <w:pPr>
              <w:ind w:left="900"/>
              <w:rPr>
                <w:i/>
                <w:lang w:val="en-GB"/>
              </w:rPr>
            </w:pPr>
            <w:r w:rsidRPr="003726FE">
              <w:rPr>
                <w:i/>
                <w:lang w:val="en-GB"/>
              </w:rPr>
              <w:t>Video recording of sessions</w:t>
            </w:r>
          </w:p>
        </w:tc>
        <w:tc>
          <w:tcPr>
            <w:tcW w:w="2665" w:type="pct"/>
          </w:tcPr>
          <w:p w14:paraId="353DBCC7" w14:textId="77777777" w:rsidR="00B76E6D" w:rsidRPr="003726FE" w:rsidRDefault="00B76E6D" w:rsidP="00426FCB">
            <w:pPr>
              <w:rPr>
                <w:lang w:val="en-GB"/>
              </w:rPr>
            </w:pPr>
            <w:r w:rsidRPr="003726FE">
              <w:rPr>
                <w:lang w:val="en-GB"/>
              </w:rPr>
              <w:t>Impact of video recordings</w:t>
            </w:r>
          </w:p>
        </w:tc>
        <w:tc>
          <w:tcPr>
            <w:tcW w:w="407" w:type="pct"/>
          </w:tcPr>
          <w:p w14:paraId="1C7FE148" w14:textId="77777777" w:rsidR="00B76E6D" w:rsidRPr="003726FE" w:rsidRDefault="00B76E6D" w:rsidP="00426FCB">
            <w:pPr>
              <w:pStyle w:val="RightAlign"/>
              <w:rPr>
                <w:lang w:val="en-GB"/>
              </w:rPr>
            </w:pPr>
            <w:r w:rsidRPr="003726FE">
              <w:rPr>
                <w:lang w:val="en-GB"/>
              </w:rPr>
              <w:t>2</w:t>
            </w:r>
          </w:p>
        </w:tc>
        <w:tc>
          <w:tcPr>
            <w:tcW w:w="428" w:type="pct"/>
          </w:tcPr>
          <w:p w14:paraId="70F24977" w14:textId="77777777" w:rsidR="00B76E6D" w:rsidRPr="003726FE" w:rsidRDefault="00B76E6D" w:rsidP="00426FCB">
            <w:pPr>
              <w:pStyle w:val="RightAlign"/>
              <w:rPr>
                <w:lang w:val="en-GB"/>
              </w:rPr>
            </w:pPr>
            <w:r w:rsidRPr="003726FE">
              <w:rPr>
                <w:lang w:val="en-GB"/>
              </w:rPr>
              <w:t>2</w:t>
            </w:r>
          </w:p>
        </w:tc>
      </w:tr>
      <w:tr w:rsidR="00B76E6D" w:rsidRPr="003726FE" w14:paraId="435500A6"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0CA2166D" w14:textId="77777777" w:rsidR="00B76E6D" w:rsidRPr="003726FE" w:rsidRDefault="00B76E6D" w:rsidP="00426FCB">
            <w:pPr>
              <w:ind w:left="450"/>
              <w:rPr>
                <w:lang w:val="en-GB"/>
              </w:rPr>
            </w:pPr>
            <w:r w:rsidRPr="003726FE">
              <w:rPr>
                <w:lang w:val="en-GB"/>
              </w:rPr>
              <w:t>Usefulness</w:t>
            </w:r>
          </w:p>
        </w:tc>
        <w:tc>
          <w:tcPr>
            <w:tcW w:w="2665" w:type="pct"/>
          </w:tcPr>
          <w:p w14:paraId="4142F8EA" w14:textId="77777777" w:rsidR="00B76E6D" w:rsidRPr="003726FE" w:rsidRDefault="00B76E6D" w:rsidP="00426FCB">
            <w:pPr>
              <w:rPr>
                <w:lang w:val="en-GB"/>
              </w:rPr>
            </w:pPr>
            <w:r w:rsidRPr="003726FE">
              <w:rPr>
                <w:lang w:val="en-GB"/>
              </w:rPr>
              <w:t>Perceived usefulness of the model</w:t>
            </w:r>
          </w:p>
        </w:tc>
        <w:tc>
          <w:tcPr>
            <w:tcW w:w="407" w:type="pct"/>
          </w:tcPr>
          <w:p w14:paraId="4153EE04" w14:textId="77777777" w:rsidR="00B76E6D" w:rsidRPr="003726FE" w:rsidRDefault="00B76E6D" w:rsidP="00426FCB">
            <w:pPr>
              <w:pStyle w:val="RightAlign"/>
              <w:rPr>
                <w:lang w:val="en-GB"/>
              </w:rPr>
            </w:pPr>
            <w:r w:rsidRPr="003726FE">
              <w:rPr>
                <w:lang w:val="en-GB"/>
              </w:rPr>
              <w:t>11</w:t>
            </w:r>
          </w:p>
        </w:tc>
        <w:tc>
          <w:tcPr>
            <w:tcW w:w="428" w:type="pct"/>
          </w:tcPr>
          <w:p w14:paraId="4BDEF475" w14:textId="77777777" w:rsidR="00B76E6D" w:rsidRPr="003726FE" w:rsidRDefault="00B76E6D" w:rsidP="00426FCB">
            <w:pPr>
              <w:pStyle w:val="RightAlign"/>
              <w:rPr>
                <w:lang w:val="en-GB"/>
              </w:rPr>
            </w:pPr>
            <w:r w:rsidRPr="003726FE">
              <w:rPr>
                <w:lang w:val="en-GB"/>
              </w:rPr>
              <w:t>35</w:t>
            </w:r>
          </w:p>
        </w:tc>
      </w:tr>
      <w:tr w:rsidR="00B76E6D" w:rsidRPr="003726FE" w14:paraId="4D2F97A9"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2F06B979" w14:textId="77777777" w:rsidR="00B76E6D" w:rsidRPr="003726FE" w:rsidRDefault="00B76E6D" w:rsidP="00426FCB">
            <w:pPr>
              <w:ind w:left="900"/>
              <w:rPr>
                <w:i/>
                <w:lang w:val="en-GB"/>
              </w:rPr>
            </w:pPr>
            <w:r w:rsidRPr="003726FE">
              <w:rPr>
                <w:i/>
                <w:lang w:val="en-GB"/>
              </w:rPr>
              <w:t>BPF usefulness</w:t>
            </w:r>
          </w:p>
        </w:tc>
        <w:tc>
          <w:tcPr>
            <w:tcW w:w="2665" w:type="pct"/>
          </w:tcPr>
          <w:p w14:paraId="30061047" w14:textId="77777777" w:rsidR="00B76E6D" w:rsidRPr="003726FE" w:rsidRDefault="00B76E6D" w:rsidP="00426FCB">
            <w:pPr>
              <w:rPr>
                <w:lang w:val="en-GB"/>
              </w:rPr>
            </w:pPr>
            <w:r w:rsidRPr="003726FE">
              <w:rPr>
                <w:lang w:val="en-GB"/>
              </w:rPr>
              <w:t>Perceived usefulness of the BPF model</w:t>
            </w:r>
          </w:p>
        </w:tc>
        <w:tc>
          <w:tcPr>
            <w:tcW w:w="407" w:type="pct"/>
          </w:tcPr>
          <w:p w14:paraId="73AB4BE8" w14:textId="77777777" w:rsidR="00B76E6D" w:rsidRPr="003726FE" w:rsidRDefault="00B76E6D" w:rsidP="00426FCB">
            <w:pPr>
              <w:pStyle w:val="RightAlign"/>
              <w:rPr>
                <w:lang w:val="en-GB"/>
              </w:rPr>
            </w:pPr>
            <w:r w:rsidRPr="003726FE">
              <w:rPr>
                <w:lang w:val="en-GB"/>
              </w:rPr>
              <w:t>5</w:t>
            </w:r>
          </w:p>
        </w:tc>
        <w:tc>
          <w:tcPr>
            <w:tcW w:w="428" w:type="pct"/>
          </w:tcPr>
          <w:p w14:paraId="0D8BF480" w14:textId="77777777" w:rsidR="00B76E6D" w:rsidRPr="003726FE" w:rsidRDefault="00B76E6D" w:rsidP="00426FCB">
            <w:pPr>
              <w:pStyle w:val="RightAlign"/>
              <w:rPr>
                <w:lang w:val="en-GB"/>
              </w:rPr>
            </w:pPr>
            <w:r w:rsidRPr="003726FE">
              <w:rPr>
                <w:lang w:val="en-GB"/>
              </w:rPr>
              <w:t>12</w:t>
            </w:r>
          </w:p>
        </w:tc>
      </w:tr>
      <w:tr w:rsidR="00B76E6D" w:rsidRPr="003726FE" w14:paraId="00F04360"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35D9FAF9" w14:textId="77777777" w:rsidR="00B76E6D" w:rsidRPr="003726FE" w:rsidRDefault="00B76E6D" w:rsidP="00426FCB">
            <w:pPr>
              <w:ind w:left="900"/>
              <w:rPr>
                <w:i/>
                <w:lang w:val="en-GB"/>
              </w:rPr>
            </w:pPr>
            <w:r w:rsidRPr="003726FE">
              <w:rPr>
                <w:i/>
                <w:lang w:val="en-GB"/>
              </w:rPr>
              <w:t>SRL MA usefulness</w:t>
            </w:r>
          </w:p>
        </w:tc>
        <w:tc>
          <w:tcPr>
            <w:tcW w:w="2665" w:type="pct"/>
          </w:tcPr>
          <w:p w14:paraId="067DEE5D" w14:textId="77777777" w:rsidR="00B76E6D" w:rsidRPr="003726FE" w:rsidRDefault="00B76E6D" w:rsidP="00426FCB">
            <w:pPr>
              <w:rPr>
                <w:lang w:val="en-GB"/>
              </w:rPr>
            </w:pPr>
            <w:r w:rsidRPr="003726FE">
              <w:rPr>
                <w:lang w:val="en-GB"/>
              </w:rPr>
              <w:t>Perceived usefulness of the SRL model</w:t>
            </w:r>
          </w:p>
        </w:tc>
        <w:tc>
          <w:tcPr>
            <w:tcW w:w="407" w:type="pct"/>
          </w:tcPr>
          <w:p w14:paraId="282E1956" w14:textId="77777777" w:rsidR="00B76E6D" w:rsidRPr="003726FE" w:rsidRDefault="00B76E6D" w:rsidP="00426FCB">
            <w:pPr>
              <w:pStyle w:val="RightAlign"/>
              <w:rPr>
                <w:lang w:val="en-GB"/>
              </w:rPr>
            </w:pPr>
            <w:r w:rsidRPr="003726FE">
              <w:rPr>
                <w:lang w:val="en-GB"/>
              </w:rPr>
              <w:t>7</w:t>
            </w:r>
          </w:p>
        </w:tc>
        <w:tc>
          <w:tcPr>
            <w:tcW w:w="428" w:type="pct"/>
          </w:tcPr>
          <w:p w14:paraId="0B8ED0E3" w14:textId="77777777" w:rsidR="00B76E6D" w:rsidRPr="003726FE" w:rsidRDefault="00B76E6D" w:rsidP="00426FCB">
            <w:pPr>
              <w:pStyle w:val="RightAlign"/>
              <w:rPr>
                <w:lang w:val="en-GB"/>
              </w:rPr>
            </w:pPr>
            <w:r w:rsidRPr="003726FE">
              <w:rPr>
                <w:lang w:val="en-GB"/>
              </w:rPr>
              <w:t>23</w:t>
            </w:r>
          </w:p>
        </w:tc>
      </w:tr>
      <w:tr w:rsidR="00B76E6D" w:rsidRPr="003726FE" w14:paraId="264C180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C55621D" w14:textId="77777777" w:rsidR="00B76E6D" w:rsidRPr="003726FE" w:rsidRDefault="00B76E6D" w:rsidP="00426FCB">
            <w:pPr>
              <w:rPr>
                <w:b/>
                <w:lang w:val="en-GB"/>
              </w:rPr>
            </w:pPr>
            <w:r w:rsidRPr="003726FE">
              <w:rPr>
                <w:b/>
                <w:lang w:val="en-GB"/>
              </w:rPr>
              <w:t>Feedback giving</w:t>
            </w:r>
          </w:p>
        </w:tc>
        <w:tc>
          <w:tcPr>
            <w:tcW w:w="2665" w:type="pct"/>
          </w:tcPr>
          <w:p w14:paraId="12A1BAC5" w14:textId="77777777" w:rsidR="00B76E6D" w:rsidRPr="003726FE" w:rsidRDefault="00B76E6D" w:rsidP="00426FCB">
            <w:pPr>
              <w:rPr>
                <w:lang w:val="en-GB"/>
              </w:rPr>
            </w:pPr>
            <w:r w:rsidRPr="003726FE">
              <w:rPr>
                <w:lang w:val="en-GB"/>
              </w:rPr>
              <w:t>Experiences of giving feedback</w:t>
            </w:r>
          </w:p>
        </w:tc>
        <w:tc>
          <w:tcPr>
            <w:tcW w:w="407" w:type="pct"/>
          </w:tcPr>
          <w:p w14:paraId="6186DA70" w14:textId="77777777" w:rsidR="00B76E6D" w:rsidRPr="003726FE" w:rsidRDefault="00B76E6D" w:rsidP="00426FCB">
            <w:pPr>
              <w:pStyle w:val="RightAlign"/>
              <w:rPr>
                <w:lang w:val="en-GB"/>
              </w:rPr>
            </w:pPr>
            <w:r w:rsidRPr="003726FE">
              <w:rPr>
                <w:lang w:val="en-GB"/>
              </w:rPr>
              <w:t>13</w:t>
            </w:r>
          </w:p>
        </w:tc>
        <w:tc>
          <w:tcPr>
            <w:tcW w:w="428" w:type="pct"/>
          </w:tcPr>
          <w:p w14:paraId="0D76EC18" w14:textId="77777777" w:rsidR="00B76E6D" w:rsidRPr="003726FE" w:rsidRDefault="00B76E6D" w:rsidP="00426FCB">
            <w:pPr>
              <w:pStyle w:val="RightAlign"/>
              <w:rPr>
                <w:lang w:val="en-GB"/>
              </w:rPr>
            </w:pPr>
            <w:r w:rsidRPr="003726FE">
              <w:rPr>
                <w:lang w:val="en-GB"/>
              </w:rPr>
              <w:t>150</w:t>
            </w:r>
          </w:p>
        </w:tc>
      </w:tr>
      <w:tr w:rsidR="00B76E6D" w:rsidRPr="003726FE" w14:paraId="1809688E"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5041BC8C" w14:textId="77777777" w:rsidR="00B76E6D" w:rsidRPr="003726FE" w:rsidRDefault="00B76E6D" w:rsidP="00426FCB">
            <w:pPr>
              <w:ind w:left="450"/>
              <w:rPr>
                <w:lang w:val="en-GB"/>
              </w:rPr>
            </w:pPr>
            <w:r w:rsidRPr="003726FE">
              <w:rPr>
                <w:lang w:val="en-GB"/>
              </w:rPr>
              <w:lastRenderedPageBreak/>
              <w:t>Challenges in feedback giving</w:t>
            </w:r>
          </w:p>
        </w:tc>
        <w:tc>
          <w:tcPr>
            <w:tcW w:w="2665" w:type="pct"/>
          </w:tcPr>
          <w:p w14:paraId="04EB2D11" w14:textId="77777777" w:rsidR="00B76E6D" w:rsidRPr="003726FE" w:rsidRDefault="00B76E6D" w:rsidP="00426FCB">
            <w:pPr>
              <w:rPr>
                <w:lang w:val="en-GB"/>
              </w:rPr>
            </w:pPr>
            <w:r w:rsidRPr="003726FE">
              <w:rPr>
                <w:lang w:val="en-GB"/>
              </w:rPr>
              <w:t>Issues surrounding feedback giving</w:t>
            </w:r>
          </w:p>
        </w:tc>
        <w:tc>
          <w:tcPr>
            <w:tcW w:w="407" w:type="pct"/>
          </w:tcPr>
          <w:p w14:paraId="4D2C8F5C" w14:textId="77777777" w:rsidR="00B76E6D" w:rsidRPr="003726FE" w:rsidRDefault="00B76E6D" w:rsidP="00426FCB">
            <w:pPr>
              <w:pStyle w:val="RightAlign"/>
              <w:rPr>
                <w:lang w:val="en-GB"/>
              </w:rPr>
            </w:pPr>
            <w:r w:rsidRPr="003726FE">
              <w:rPr>
                <w:lang w:val="en-GB"/>
              </w:rPr>
              <w:t>12</w:t>
            </w:r>
          </w:p>
        </w:tc>
        <w:tc>
          <w:tcPr>
            <w:tcW w:w="428" w:type="pct"/>
          </w:tcPr>
          <w:p w14:paraId="4184A060" w14:textId="77777777" w:rsidR="00B76E6D" w:rsidRPr="003726FE" w:rsidRDefault="00B76E6D" w:rsidP="00426FCB">
            <w:pPr>
              <w:pStyle w:val="RightAlign"/>
              <w:rPr>
                <w:lang w:val="en-GB"/>
              </w:rPr>
            </w:pPr>
            <w:r w:rsidRPr="003726FE">
              <w:rPr>
                <w:lang w:val="en-GB"/>
              </w:rPr>
              <w:t>17</w:t>
            </w:r>
          </w:p>
        </w:tc>
      </w:tr>
      <w:tr w:rsidR="00B76E6D" w:rsidRPr="003726FE" w14:paraId="28A2396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BFCD5B8" w14:textId="77777777" w:rsidR="00B76E6D" w:rsidRPr="003726FE" w:rsidRDefault="00B76E6D" w:rsidP="00426FCB">
            <w:pPr>
              <w:ind w:left="450"/>
              <w:rPr>
                <w:lang w:val="en-GB"/>
              </w:rPr>
            </w:pPr>
            <w:r w:rsidRPr="003726FE">
              <w:rPr>
                <w:lang w:val="en-GB"/>
              </w:rPr>
              <w:t>Factors affecting feedback recognition</w:t>
            </w:r>
          </w:p>
        </w:tc>
        <w:tc>
          <w:tcPr>
            <w:tcW w:w="2665" w:type="pct"/>
          </w:tcPr>
          <w:p w14:paraId="6D9FCE48" w14:textId="77777777" w:rsidR="00B76E6D" w:rsidRPr="003726FE" w:rsidRDefault="00B76E6D" w:rsidP="00426FCB">
            <w:pPr>
              <w:rPr>
                <w:lang w:val="en-GB"/>
              </w:rPr>
            </w:pPr>
            <w:r w:rsidRPr="003726FE">
              <w:rPr>
                <w:lang w:val="en-GB"/>
              </w:rPr>
              <w:t>Multiple factors affecting the recognition, understanding, and use of feedback on placement.</w:t>
            </w:r>
          </w:p>
        </w:tc>
        <w:tc>
          <w:tcPr>
            <w:tcW w:w="407" w:type="pct"/>
          </w:tcPr>
          <w:p w14:paraId="26B98337" w14:textId="77777777" w:rsidR="00B76E6D" w:rsidRPr="003726FE" w:rsidRDefault="00B76E6D" w:rsidP="00426FCB">
            <w:pPr>
              <w:pStyle w:val="RightAlign"/>
              <w:rPr>
                <w:lang w:val="en-GB"/>
              </w:rPr>
            </w:pPr>
            <w:r w:rsidRPr="003726FE">
              <w:rPr>
                <w:lang w:val="en-GB"/>
              </w:rPr>
              <w:t>12</w:t>
            </w:r>
          </w:p>
        </w:tc>
        <w:tc>
          <w:tcPr>
            <w:tcW w:w="428" w:type="pct"/>
          </w:tcPr>
          <w:p w14:paraId="35EB8D8D" w14:textId="77777777" w:rsidR="00B76E6D" w:rsidRPr="003726FE" w:rsidRDefault="00B76E6D" w:rsidP="00426FCB">
            <w:pPr>
              <w:pStyle w:val="RightAlign"/>
              <w:rPr>
                <w:lang w:val="en-GB"/>
              </w:rPr>
            </w:pPr>
            <w:r w:rsidRPr="003726FE">
              <w:rPr>
                <w:lang w:val="en-GB"/>
              </w:rPr>
              <w:t>47</w:t>
            </w:r>
          </w:p>
        </w:tc>
      </w:tr>
      <w:tr w:rsidR="00B76E6D" w:rsidRPr="003726FE" w14:paraId="20FE7654"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280324D" w14:textId="77777777" w:rsidR="00B76E6D" w:rsidRPr="003726FE" w:rsidRDefault="00B76E6D" w:rsidP="00426FCB">
            <w:pPr>
              <w:ind w:left="900"/>
              <w:rPr>
                <w:i/>
                <w:lang w:val="en-GB"/>
              </w:rPr>
            </w:pPr>
            <w:r w:rsidRPr="003726FE">
              <w:rPr>
                <w:i/>
                <w:lang w:val="en-GB"/>
              </w:rPr>
              <w:t>Credibility</w:t>
            </w:r>
          </w:p>
        </w:tc>
        <w:tc>
          <w:tcPr>
            <w:tcW w:w="2665" w:type="pct"/>
          </w:tcPr>
          <w:p w14:paraId="3B169BAD" w14:textId="77777777" w:rsidR="00B76E6D" w:rsidRPr="003726FE" w:rsidRDefault="00B76E6D" w:rsidP="00426FCB">
            <w:pPr>
              <w:rPr>
                <w:lang w:val="en-GB"/>
              </w:rPr>
            </w:pPr>
            <w:r w:rsidRPr="003726FE">
              <w:rPr>
                <w:lang w:val="en-GB"/>
              </w:rPr>
              <w:t>Any reference to the credibility judgement of the feedback giver</w:t>
            </w:r>
          </w:p>
        </w:tc>
        <w:tc>
          <w:tcPr>
            <w:tcW w:w="407" w:type="pct"/>
          </w:tcPr>
          <w:p w14:paraId="6D5EFE4E" w14:textId="77777777" w:rsidR="00B76E6D" w:rsidRPr="003726FE" w:rsidRDefault="00B76E6D" w:rsidP="00426FCB">
            <w:pPr>
              <w:pStyle w:val="RightAlign"/>
              <w:rPr>
                <w:lang w:val="en-GB"/>
              </w:rPr>
            </w:pPr>
            <w:r w:rsidRPr="003726FE">
              <w:rPr>
                <w:lang w:val="en-GB"/>
              </w:rPr>
              <w:t>4</w:t>
            </w:r>
          </w:p>
        </w:tc>
        <w:tc>
          <w:tcPr>
            <w:tcW w:w="428" w:type="pct"/>
          </w:tcPr>
          <w:p w14:paraId="704EFAF5" w14:textId="77777777" w:rsidR="00B76E6D" w:rsidRPr="003726FE" w:rsidRDefault="00B76E6D" w:rsidP="00426FCB">
            <w:pPr>
              <w:pStyle w:val="RightAlign"/>
              <w:rPr>
                <w:lang w:val="en-GB"/>
              </w:rPr>
            </w:pPr>
            <w:r w:rsidRPr="003726FE">
              <w:rPr>
                <w:lang w:val="en-GB"/>
              </w:rPr>
              <w:t>4</w:t>
            </w:r>
          </w:p>
        </w:tc>
      </w:tr>
      <w:tr w:rsidR="00B76E6D" w:rsidRPr="003726FE" w14:paraId="4EC0F905"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5D0E2897" w14:textId="77777777" w:rsidR="00B76E6D" w:rsidRPr="003726FE" w:rsidRDefault="00B76E6D" w:rsidP="00426FCB">
            <w:pPr>
              <w:ind w:left="900"/>
              <w:rPr>
                <w:i/>
                <w:lang w:val="en-GB"/>
              </w:rPr>
            </w:pPr>
            <w:r w:rsidRPr="003726FE">
              <w:rPr>
                <w:i/>
                <w:lang w:val="en-GB"/>
              </w:rPr>
              <w:t>Feedback on personal factors</w:t>
            </w:r>
          </w:p>
        </w:tc>
        <w:tc>
          <w:tcPr>
            <w:tcW w:w="2665" w:type="pct"/>
          </w:tcPr>
          <w:p w14:paraId="03380BEA" w14:textId="77777777" w:rsidR="00B76E6D" w:rsidRPr="003726FE" w:rsidRDefault="00B76E6D" w:rsidP="00426FCB">
            <w:pPr>
              <w:rPr>
                <w:lang w:val="en-GB"/>
              </w:rPr>
            </w:pPr>
            <w:r w:rsidRPr="003726FE">
              <w:rPr>
                <w:lang w:val="en-GB"/>
              </w:rPr>
              <w:t>Feedback on the self</w:t>
            </w:r>
          </w:p>
        </w:tc>
        <w:tc>
          <w:tcPr>
            <w:tcW w:w="407" w:type="pct"/>
          </w:tcPr>
          <w:p w14:paraId="182DC86E" w14:textId="77777777" w:rsidR="00B76E6D" w:rsidRPr="003726FE" w:rsidRDefault="00B76E6D" w:rsidP="00426FCB">
            <w:pPr>
              <w:pStyle w:val="RightAlign"/>
              <w:rPr>
                <w:lang w:val="en-GB"/>
              </w:rPr>
            </w:pPr>
            <w:r w:rsidRPr="003726FE">
              <w:rPr>
                <w:lang w:val="en-GB"/>
              </w:rPr>
              <w:t>6</w:t>
            </w:r>
          </w:p>
        </w:tc>
        <w:tc>
          <w:tcPr>
            <w:tcW w:w="428" w:type="pct"/>
          </w:tcPr>
          <w:p w14:paraId="2F6EF530" w14:textId="77777777" w:rsidR="00B76E6D" w:rsidRPr="003726FE" w:rsidRDefault="00B76E6D" w:rsidP="00426FCB">
            <w:pPr>
              <w:pStyle w:val="RightAlign"/>
              <w:rPr>
                <w:lang w:val="en-GB"/>
              </w:rPr>
            </w:pPr>
            <w:r w:rsidRPr="003726FE">
              <w:rPr>
                <w:lang w:val="en-GB"/>
              </w:rPr>
              <w:t>9</w:t>
            </w:r>
          </w:p>
        </w:tc>
      </w:tr>
      <w:tr w:rsidR="00B76E6D" w:rsidRPr="003726FE" w14:paraId="3BB14BC8"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5C1E12B3" w14:textId="77777777" w:rsidR="00B76E6D" w:rsidRPr="003726FE" w:rsidRDefault="00B76E6D" w:rsidP="00426FCB">
            <w:pPr>
              <w:ind w:left="900"/>
              <w:rPr>
                <w:i/>
                <w:lang w:val="en-GB"/>
              </w:rPr>
            </w:pPr>
            <w:r w:rsidRPr="003726FE">
              <w:rPr>
                <w:i/>
                <w:lang w:val="en-GB"/>
              </w:rPr>
              <w:t>nervous feelings</w:t>
            </w:r>
          </w:p>
        </w:tc>
        <w:tc>
          <w:tcPr>
            <w:tcW w:w="2665" w:type="pct"/>
          </w:tcPr>
          <w:p w14:paraId="08C04DB9" w14:textId="77777777" w:rsidR="00B76E6D" w:rsidRPr="003726FE" w:rsidRDefault="00B76E6D" w:rsidP="00426FCB">
            <w:pPr>
              <w:rPr>
                <w:lang w:val="en-GB"/>
              </w:rPr>
            </w:pPr>
            <w:r w:rsidRPr="003726FE">
              <w:rPr>
                <w:lang w:val="en-GB"/>
              </w:rPr>
              <w:t>Feelings of discomfort</w:t>
            </w:r>
          </w:p>
        </w:tc>
        <w:tc>
          <w:tcPr>
            <w:tcW w:w="407" w:type="pct"/>
          </w:tcPr>
          <w:p w14:paraId="54726CE0" w14:textId="77777777" w:rsidR="00B76E6D" w:rsidRPr="003726FE" w:rsidRDefault="00B76E6D" w:rsidP="00426FCB">
            <w:pPr>
              <w:pStyle w:val="RightAlign"/>
              <w:rPr>
                <w:lang w:val="en-GB"/>
              </w:rPr>
            </w:pPr>
            <w:r w:rsidRPr="003726FE">
              <w:rPr>
                <w:lang w:val="en-GB"/>
              </w:rPr>
              <w:t>6</w:t>
            </w:r>
          </w:p>
        </w:tc>
        <w:tc>
          <w:tcPr>
            <w:tcW w:w="428" w:type="pct"/>
          </w:tcPr>
          <w:p w14:paraId="44C7AFD5" w14:textId="77777777" w:rsidR="00B76E6D" w:rsidRPr="003726FE" w:rsidRDefault="00B76E6D" w:rsidP="00426FCB">
            <w:pPr>
              <w:pStyle w:val="RightAlign"/>
              <w:rPr>
                <w:lang w:val="en-GB"/>
              </w:rPr>
            </w:pPr>
            <w:r w:rsidRPr="003726FE">
              <w:rPr>
                <w:lang w:val="en-GB"/>
              </w:rPr>
              <w:t>10</w:t>
            </w:r>
          </w:p>
        </w:tc>
      </w:tr>
      <w:tr w:rsidR="00B76E6D" w:rsidRPr="003726FE" w14:paraId="19145E6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BB5037C" w14:textId="77777777" w:rsidR="00B76E6D" w:rsidRPr="003726FE" w:rsidRDefault="00B76E6D" w:rsidP="00426FCB">
            <w:pPr>
              <w:ind w:left="900"/>
              <w:rPr>
                <w:i/>
                <w:lang w:val="en-GB"/>
              </w:rPr>
            </w:pPr>
            <w:r w:rsidRPr="003726FE">
              <w:rPr>
                <w:i/>
                <w:lang w:val="en-GB"/>
              </w:rPr>
              <w:t>situational factors</w:t>
            </w:r>
          </w:p>
        </w:tc>
        <w:tc>
          <w:tcPr>
            <w:tcW w:w="2665" w:type="pct"/>
          </w:tcPr>
          <w:p w14:paraId="0A537EFF" w14:textId="77777777" w:rsidR="00B76E6D" w:rsidRPr="003726FE" w:rsidRDefault="00B76E6D" w:rsidP="00426FCB">
            <w:pPr>
              <w:rPr>
                <w:lang w:val="en-GB"/>
              </w:rPr>
            </w:pPr>
            <w:r w:rsidRPr="003726FE">
              <w:rPr>
                <w:lang w:val="en-GB"/>
              </w:rPr>
              <w:t>Experiential factors affecting practice attributable to the setting</w:t>
            </w:r>
          </w:p>
        </w:tc>
        <w:tc>
          <w:tcPr>
            <w:tcW w:w="407" w:type="pct"/>
          </w:tcPr>
          <w:p w14:paraId="403BB309" w14:textId="77777777" w:rsidR="00B76E6D" w:rsidRPr="003726FE" w:rsidRDefault="00B76E6D" w:rsidP="00426FCB">
            <w:pPr>
              <w:pStyle w:val="RightAlign"/>
              <w:rPr>
                <w:lang w:val="en-GB"/>
              </w:rPr>
            </w:pPr>
            <w:r w:rsidRPr="003726FE">
              <w:rPr>
                <w:lang w:val="en-GB"/>
              </w:rPr>
              <w:t>2</w:t>
            </w:r>
          </w:p>
        </w:tc>
        <w:tc>
          <w:tcPr>
            <w:tcW w:w="428" w:type="pct"/>
          </w:tcPr>
          <w:p w14:paraId="4D50352A" w14:textId="77777777" w:rsidR="00B76E6D" w:rsidRPr="003726FE" w:rsidRDefault="00B76E6D" w:rsidP="00426FCB">
            <w:pPr>
              <w:pStyle w:val="RightAlign"/>
              <w:rPr>
                <w:lang w:val="en-GB"/>
              </w:rPr>
            </w:pPr>
            <w:r w:rsidRPr="003726FE">
              <w:rPr>
                <w:lang w:val="en-GB"/>
              </w:rPr>
              <w:t>2</w:t>
            </w:r>
          </w:p>
        </w:tc>
      </w:tr>
      <w:tr w:rsidR="00B76E6D" w:rsidRPr="003726FE" w14:paraId="2D11EACA"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3D758C13" w14:textId="77777777" w:rsidR="00B76E6D" w:rsidRPr="003726FE" w:rsidRDefault="00B76E6D" w:rsidP="00426FCB">
            <w:pPr>
              <w:ind w:left="900"/>
              <w:rPr>
                <w:i/>
                <w:lang w:val="en-GB"/>
              </w:rPr>
            </w:pPr>
            <w:r w:rsidRPr="003726FE">
              <w:rPr>
                <w:i/>
                <w:lang w:val="en-GB"/>
              </w:rPr>
              <w:t>tutor-student relationship</w:t>
            </w:r>
          </w:p>
        </w:tc>
        <w:tc>
          <w:tcPr>
            <w:tcW w:w="2665" w:type="pct"/>
          </w:tcPr>
          <w:p w14:paraId="618B90C3" w14:textId="77777777" w:rsidR="00B76E6D" w:rsidRPr="003726FE" w:rsidRDefault="00B76E6D" w:rsidP="00426FCB">
            <w:pPr>
              <w:rPr>
                <w:lang w:val="en-GB"/>
              </w:rPr>
            </w:pPr>
            <w:r w:rsidRPr="003726FE">
              <w:rPr>
                <w:lang w:val="en-GB"/>
              </w:rPr>
              <w:t>Descriptions of their interactions with students that are familial</w:t>
            </w:r>
          </w:p>
        </w:tc>
        <w:tc>
          <w:tcPr>
            <w:tcW w:w="407" w:type="pct"/>
          </w:tcPr>
          <w:p w14:paraId="423D7D34" w14:textId="77777777" w:rsidR="00B76E6D" w:rsidRPr="003726FE" w:rsidRDefault="00B76E6D" w:rsidP="00426FCB">
            <w:pPr>
              <w:pStyle w:val="RightAlign"/>
              <w:rPr>
                <w:lang w:val="en-GB"/>
              </w:rPr>
            </w:pPr>
            <w:r w:rsidRPr="003726FE">
              <w:rPr>
                <w:lang w:val="en-GB"/>
              </w:rPr>
              <w:t>8</w:t>
            </w:r>
          </w:p>
        </w:tc>
        <w:tc>
          <w:tcPr>
            <w:tcW w:w="428" w:type="pct"/>
          </w:tcPr>
          <w:p w14:paraId="4BF9111A" w14:textId="77777777" w:rsidR="00B76E6D" w:rsidRPr="003726FE" w:rsidRDefault="00B76E6D" w:rsidP="00426FCB">
            <w:pPr>
              <w:pStyle w:val="RightAlign"/>
              <w:rPr>
                <w:lang w:val="en-GB"/>
              </w:rPr>
            </w:pPr>
            <w:r w:rsidRPr="003726FE">
              <w:rPr>
                <w:lang w:val="en-GB"/>
              </w:rPr>
              <w:t>18</w:t>
            </w:r>
          </w:p>
        </w:tc>
      </w:tr>
      <w:tr w:rsidR="00B76E6D" w:rsidRPr="003726FE" w14:paraId="3B1A1675"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236900C8" w14:textId="77777777" w:rsidR="00B76E6D" w:rsidRPr="003726FE" w:rsidRDefault="00B76E6D" w:rsidP="00426FCB">
            <w:pPr>
              <w:ind w:left="1350"/>
              <w:rPr>
                <w:i/>
                <w:lang w:val="en-GB"/>
              </w:rPr>
            </w:pPr>
            <w:r w:rsidRPr="003726FE">
              <w:rPr>
                <w:i/>
                <w:lang w:val="en-GB"/>
              </w:rPr>
              <w:t>responsibility for learning</w:t>
            </w:r>
          </w:p>
        </w:tc>
        <w:tc>
          <w:tcPr>
            <w:tcW w:w="2665" w:type="pct"/>
          </w:tcPr>
          <w:p w14:paraId="0E4FB161" w14:textId="77777777" w:rsidR="00B76E6D" w:rsidRPr="003726FE" w:rsidRDefault="00B76E6D" w:rsidP="00426FCB">
            <w:pPr>
              <w:rPr>
                <w:lang w:val="en-GB"/>
              </w:rPr>
            </w:pPr>
            <w:r w:rsidRPr="003726FE">
              <w:rPr>
                <w:lang w:val="en-GB"/>
              </w:rPr>
              <w:t>Who should be in charge of learning</w:t>
            </w:r>
          </w:p>
        </w:tc>
        <w:tc>
          <w:tcPr>
            <w:tcW w:w="407" w:type="pct"/>
          </w:tcPr>
          <w:p w14:paraId="22549CF9" w14:textId="77777777" w:rsidR="00B76E6D" w:rsidRPr="003726FE" w:rsidRDefault="00B76E6D" w:rsidP="00426FCB">
            <w:pPr>
              <w:pStyle w:val="RightAlign"/>
              <w:rPr>
                <w:lang w:val="en-GB"/>
              </w:rPr>
            </w:pPr>
            <w:r w:rsidRPr="003726FE">
              <w:rPr>
                <w:lang w:val="en-GB"/>
              </w:rPr>
              <w:t>2</w:t>
            </w:r>
          </w:p>
        </w:tc>
        <w:tc>
          <w:tcPr>
            <w:tcW w:w="428" w:type="pct"/>
          </w:tcPr>
          <w:p w14:paraId="2316C1EB" w14:textId="77777777" w:rsidR="00B76E6D" w:rsidRPr="003726FE" w:rsidRDefault="00B76E6D" w:rsidP="00426FCB">
            <w:pPr>
              <w:pStyle w:val="RightAlign"/>
              <w:rPr>
                <w:lang w:val="en-GB"/>
              </w:rPr>
            </w:pPr>
            <w:r w:rsidRPr="003726FE">
              <w:rPr>
                <w:lang w:val="en-GB"/>
              </w:rPr>
              <w:t>4</w:t>
            </w:r>
          </w:p>
        </w:tc>
      </w:tr>
      <w:tr w:rsidR="00B76E6D" w:rsidRPr="003726FE" w14:paraId="469B8BCE"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2DC6848" w14:textId="77777777" w:rsidR="00B76E6D" w:rsidRPr="003726FE" w:rsidRDefault="00B76E6D" w:rsidP="00426FCB">
            <w:pPr>
              <w:ind w:left="450"/>
              <w:rPr>
                <w:lang w:val="en-GB"/>
              </w:rPr>
            </w:pPr>
            <w:r w:rsidRPr="003726FE">
              <w:rPr>
                <w:lang w:val="en-GB"/>
              </w:rPr>
              <w:t>Feedback seeking</w:t>
            </w:r>
          </w:p>
        </w:tc>
        <w:tc>
          <w:tcPr>
            <w:tcW w:w="2665" w:type="pct"/>
          </w:tcPr>
          <w:p w14:paraId="0C9993EF" w14:textId="77777777" w:rsidR="00B76E6D" w:rsidRPr="003726FE" w:rsidRDefault="00B76E6D" w:rsidP="00426FCB">
            <w:pPr>
              <w:rPr>
                <w:lang w:val="en-GB"/>
              </w:rPr>
            </w:pPr>
            <w:r w:rsidRPr="003726FE">
              <w:rPr>
                <w:lang w:val="en-GB"/>
              </w:rPr>
              <w:t>Feedback seeking behaviours</w:t>
            </w:r>
          </w:p>
        </w:tc>
        <w:tc>
          <w:tcPr>
            <w:tcW w:w="407" w:type="pct"/>
          </w:tcPr>
          <w:p w14:paraId="7ACD0260" w14:textId="77777777" w:rsidR="00B76E6D" w:rsidRPr="003726FE" w:rsidRDefault="00B76E6D" w:rsidP="00426FCB">
            <w:pPr>
              <w:pStyle w:val="RightAlign"/>
              <w:rPr>
                <w:lang w:val="en-GB"/>
              </w:rPr>
            </w:pPr>
            <w:r w:rsidRPr="003726FE">
              <w:rPr>
                <w:lang w:val="en-GB"/>
              </w:rPr>
              <w:t>8</w:t>
            </w:r>
          </w:p>
        </w:tc>
        <w:tc>
          <w:tcPr>
            <w:tcW w:w="428" w:type="pct"/>
          </w:tcPr>
          <w:p w14:paraId="25E112D0" w14:textId="77777777" w:rsidR="00B76E6D" w:rsidRPr="003726FE" w:rsidRDefault="00B76E6D" w:rsidP="00426FCB">
            <w:pPr>
              <w:pStyle w:val="RightAlign"/>
              <w:rPr>
                <w:lang w:val="en-GB"/>
              </w:rPr>
            </w:pPr>
            <w:r w:rsidRPr="003726FE">
              <w:rPr>
                <w:lang w:val="en-GB"/>
              </w:rPr>
              <w:t>12</w:t>
            </w:r>
          </w:p>
        </w:tc>
      </w:tr>
      <w:tr w:rsidR="00B76E6D" w:rsidRPr="003726FE" w14:paraId="0484CFDB"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584F3A4C" w14:textId="77777777" w:rsidR="00B76E6D" w:rsidRPr="003726FE" w:rsidRDefault="00B76E6D" w:rsidP="00426FCB">
            <w:pPr>
              <w:ind w:left="450"/>
              <w:rPr>
                <w:lang w:val="en-GB"/>
              </w:rPr>
            </w:pPr>
            <w:r w:rsidRPr="003726FE">
              <w:rPr>
                <w:lang w:val="en-GB"/>
              </w:rPr>
              <w:t>Feedback type</w:t>
            </w:r>
          </w:p>
        </w:tc>
        <w:tc>
          <w:tcPr>
            <w:tcW w:w="2665" w:type="pct"/>
          </w:tcPr>
          <w:p w14:paraId="727C54FE" w14:textId="77777777" w:rsidR="00B76E6D" w:rsidRPr="003726FE" w:rsidRDefault="00B76E6D" w:rsidP="00426FCB">
            <w:pPr>
              <w:rPr>
                <w:lang w:val="en-GB"/>
              </w:rPr>
            </w:pPr>
            <w:r w:rsidRPr="003726FE">
              <w:rPr>
                <w:lang w:val="en-GB"/>
              </w:rPr>
              <w:t>Mode of feedback</w:t>
            </w:r>
          </w:p>
        </w:tc>
        <w:tc>
          <w:tcPr>
            <w:tcW w:w="407" w:type="pct"/>
          </w:tcPr>
          <w:p w14:paraId="26D576E2" w14:textId="77777777" w:rsidR="00B76E6D" w:rsidRPr="003726FE" w:rsidRDefault="00B76E6D" w:rsidP="00426FCB">
            <w:pPr>
              <w:pStyle w:val="RightAlign"/>
              <w:rPr>
                <w:lang w:val="en-GB"/>
              </w:rPr>
            </w:pPr>
            <w:r w:rsidRPr="003726FE">
              <w:rPr>
                <w:lang w:val="en-GB"/>
              </w:rPr>
              <w:t>12</w:t>
            </w:r>
          </w:p>
        </w:tc>
        <w:tc>
          <w:tcPr>
            <w:tcW w:w="428" w:type="pct"/>
          </w:tcPr>
          <w:p w14:paraId="663E7113" w14:textId="77777777" w:rsidR="00B76E6D" w:rsidRPr="003726FE" w:rsidRDefault="00B76E6D" w:rsidP="00426FCB">
            <w:pPr>
              <w:pStyle w:val="RightAlign"/>
              <w:rPr>
                <w:lang w:val="en-GB"/>
              </w:rPr>
            </w:pPr>
            <w:r w:rsidRPr="003726FE">
              <w:rPr>
                <w:lang w:val="en-GB"/>
              </w:rPr>
              <w:t>43</w:t>
            </w:r>
          </w:p>
        </w:tc>
      </w:tr>
      <w:tr w:rsidR="00B76E6D" w:rsidRPr="003726FE" w14:paraId="681730C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7626B1E3" w14:textId="77777777" w:rsidR="00B76E6D" w:rsidRPr="003726FE" w:rsidRDefault="00B76E6D" w:rsidP="00426FCB">
            <w:pPr>
              <w:ind w:left="900"/>
              <w:rPr>
                <w:i/>
                <w:lang w:val="en-GB"/>
              </w:rPr>
            </w:pPr>
            <w:r w:rsidRPr="003726FE">
              <w:rPr>
                <w:i/>
                <w:lang w:val="en-GB"/>
              </w:rPr>
              <w:t>corrective feedback</w:t>
            </w:r>
          </w:p>
        </w:tc>
        <w:tc>
          <w:tcPr>
            <w:tcW w:w="2665" w:type="pct"/>
          </w:tcPr>
          <w:p w14:paraId="45834D8C" w14:textId="77777777" w:rsidR="00B76E6D" w:rsidRPr="003726FE" w:rsidRDefault="00B76E6D" w:rsidP="00426FCB">
            <w:pPr>
              <w:rPr>
                <w:lang w:val="en-GB"/>
              </w:rPr>
            </w:pPr>
            <w:r w:rsidRPr="003726FE">
              <w:rPr>
                <w:lang w:val="en-GB"/>
              </w:rPr>
              <w:t>Yes/no feedback</w:t>
            </w:r>
          </w:p>
        </w:tc>
        <w:tc>
          <w:tcPr>
            <w:tcW w:w="407" w:type="pct"/>
          </w:tcPr>
          <w:p w14:paraId="5942C5E8" w14:textId="77777777" w:rsidR="00B76E6D" w:rsidRPr="003726FE" w:rsidRDefault="00B76E6D" w:rsidP="00426FCB">
            <w:pPr>
              <w:pStyle w:val="RightAlign"/>
              <w:rPr>
                <w:lang w:val="en-GB"/>
              </w:rPr>
            </w:pPr>
            <w:r w:rsidRPr="003726FE">
              <w:rPr>
                <w:lang w:val="en-GB"/>
              </w:rPr>
              <w:t>2</w:t>
            </w:r>
          </w:p>
        </w:tc>
        <w:tc>
          <w:tcPr>
            <w:tcW w:w="428" w:type="pct"/>
          </w:tcPr>
          <w:p w14:paraId="71AF2B25" w14:textId="77777777" w:rsidR="00B76E6D" w:rsidRPr="003726FE" w:rsidRDefault="00B76E6D" w:rsidP="00426FCB">
            <w:pPr>
              <w:pStyle w:val="RightAlign"/>
              <w:rPr>
                <w:lang w:val="en-GB"/>
              </w:rPr>
            </w:pPr>
            <w:r w:rsidRPr="003726FE">
              <w:rPr>
                <w:lang w:val="en-GB"/>
              </w:rPr>
              <w:t>3</w:t>
            </w:r>
          </w:p>
        </w:tc>
      </w:tr>
      <w:tr w:rsidR="00B76E6D" w:rsidRPr="003726FE" w14:paraId="56A7E174"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5CB78315" w14:textId="77777777" w:rsidR="00B76E6D" w:rsidRPr="003726FE" w:rsidRDefault="00B76E6D" w:rsidP="00426FCB">
            <w:pPr>
              <w:ind w:left="900"/>
              <w:rPr>
                <w:i/>
                <w:lang w:val="en-GB"/>
              </w:rPr>
            </w:pPr>
            <w:r w:rsidRPr="003726FE">
              <w:rPr>
                <w:i/>
                <w:lang w:val="en-GB"/>
              </w:rPr>
              <w:t>negative feedback</w:t>
            </w:r>
          </w:p>
        </w:tc>
        <w:tc>
          <w:tcPr>
            <w:tcW w:w="2665" w:type="pct"/>
          </w:tcPr>
          <w:p w14:paraId="072CA455" w14:textId="77777777" w:rsidR="00B76E6D" w:rsidRPr="003726FE" w:rsidRDefault="00B76E6D" w:rsidP="00426FCB">
            <w:pPr>
              <w:rPr>
                <w:lang w:val="en-GB"/>
              </w:rPr>
            </w:pPr>
            <w:r w:rsidRPr="003726FE">
              <w:rPr>
                <w:lang w:val="en-GB"/>
              </w:rPr>
              <w:t>Disparaging feedback</w:t>
            </w:r>
          </w:p>
        </w:tc>
        <w:tc>
          <w:tcPr>
            <w:tcW w:w="407" w:type="pct"/>
          </w:tcPr>
          <w:p w14:paraId="56A91357" w14:textId="77777777" w:rsidR="00B76E6D" w:rsidRPr="003726FE" w:rsidRDefault="00B76E6D" w:rsidP="00426FCB">
            <w:pPr>
              <w:pStyle w:val="RightAlign"/>
              <w:rPr>
                <w:lang w:val="en-GB"/>
              </w:rPr>
            </w:pPr>
            <w:r w:rsidRPr="003726FE">
              <w:rPr>
                <w:lang w:val="en-GB"/>
              </w:rPr>
              <w:t>5</w:t>
            </w:r>
          </w:p>
        </w:tc>
        <w:tc>
          <w:tcPr>
            <w:tcW w:w="428" w:type="pct"/>
          </w:tcPr>
          <w:p w14:paraId="2F57CEDE" w14:textId="77777777" w:rsidR="00B76E6D" w:rsidRPr="003726FE" w:rsidRDefault="00B76E6D" w:rsidP="00426FCB">
            <w:pPr>
              <w:pStyle w:val="RightAlign"/>
              <w:rPr>
                <w:lang w:val="en-GB"/>
              </w:rPr>
            </w:pPr>
            <w:r w:rsidRPr="003726FE">
              <w:rPr>
                <w:lang w:val="en-GB"/>
              </w:rPr>
              <w:t>6</w:t>
            </w:r>
          </w:p>
        </w:tc>
      </w:tr>
      <w:tr w:rsidR="00B76E6D" w:rsidRPr="003726FE" w14:paraId="049C82B5"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018111EF" w14:textId="77777777" w:rsidR="00B76E6D" w:rsidRPr="003726FE" w:rsidRDefault="00B76E6D" w:rsidP="00426FCB">
            <w:pPr>
              <w:ind w:left="900"/>
              <w:rPr>
                <w:i/>
                <w:lang w:val="en-GB"/>
              </w:rPr>
            </w:pPr>
            <w:r w:rsidRPr="003726FE">
              <w:rPr>
                <w:i/>
                <w:lang w:val="en-GB"/>
              </w:rPr>
              <w:t>Patient feedback</w:t>
            </w:r>
          </w:p>
        </w:tc>
        <w:tc>
          <w:tcPr>
            <w:tcW w:w="2665" w:type="pct"/>
          </w:tcPr>
          <w:p w14:paraId="4F99BBCA" w14:textId="77777777" w:rsidR="00B76E6D" w:rsidRPr="003726FE" w:rsidRDefault="00B76E6D" w:rsidP="00426FCB">
            <w:pPr>
              <w:rPr>
                <w:lang w:val="en-GB"/>
              </w:rPr>
            </w:pPr>
            <w:r w:rsidRPr="003726FE">
              <w:rPr>
                <w:lang w:val="en-GB"/>
              </w:rPr>
              <w:t>Feedback from patients</w:t>
            </w:r>
          </w:p>
        </w:tc>
        <w:tc>
          <w:tcPr>
            <w:tcW w:w="407" w:type="pct"/>
          </w:tcPr>
          <w:p w14:paraId="57C6168A" w14:textId="77777777" w:rsidR="00B76E6D" w:rsidRPr="003726FE" w:rsidRDefault="00B76E6D" w:rsidP="00426FCB">
            <w:pPr>
              <w:pStyle w:val="RightAlign"/>
              <w:rPr>
                <w:lang w:val="en-GB"/>
              </w:rPr>
            </w:pPr>
            <w:r w:rsidRPr="003726FE">
              <w:rPr>
                <w:lang w:val="en-GB"/>
              </w:rPr>
              <w:t>1</w:t>
            </w:r>
          </w:p>
        </w:tc>
        <w:tc>
          <w:tcPr>
            <w:tcW w:w="428" w:type="pct"/>
          </w:tcPr>
          <w:p w14:paraId="655B8F7C" w14:textId="77777777" w:rsidR="00B76E6D" w:rsidRPr="003726FE" w:rsidRDefault="00B76E6D" w:rsidP="00426FCB">
            <w:pPr>
              <w:pStyle w:val="RightAlign"/>
              <w:rPr>
                <w:lang w:val="en-GB"/>
              </w:rPr>
            </w:pPr>
            <w:r w:rsidRPr="003726FE">
              <w:rPr>
                <w:lang w:val="en-GB"/>
              </w:rPr>
              <w:t>3</w:t>
            </w:r>
          </w:p>
        </w:tc>
      </w:tr>
      <w:tr w:rsidR="00B76E6D" w:rsidRPr="003726FE" w14:paraId="07B7DD81"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034F1A7F" w14:textId="77777777" w:rsidR="00B76E6D" w:rsidRPr="003726FE" w:rsidRDefault="00B76E6D" w:rsidP="00426FCB">
            <w:pPr>
              <w:ind w:left="900"/>
              <w:rPr>
                <w:i/>
                <w:lang w:val="en-GB"/>
              </w:rPr>
            </w:pPr>
            <w:r w:rsidRPr="003726FE">
              <w:rPr>
                <w:i/>
                <w:lang w:val="en-GB"/>
              </w:rPr>
              <w:t>positive feedback</w:t>
            </w:r>
          </w:p>
        </w:tc>
        <w:tc>
          <w:tcPr>
            <w:tcW w:w="2665" w:type="pct"/>
          </w:tcPr>
          <w:p w14:paraId="0CB82B38" w14:textId="77777777" w:rsidR="00B76E6D" w:rsidRPr="003726FE" w:rsidRDefault="00B76E6D" w:rsidP="00426FCB">
            <w:pPr>
              <w:rPr>
                <w:lang w:val="en-GB"/>
              </w:rPr>
            </w:pPr>
            <w:r w:rsidRPr="003726FE">
              <w:rPr>
                <w:lang w:val="en-GB"/>
              </w:rPr>
              <w:t>Motivating feedback</w:t>
            </w:r>
          </w:p>
        </w:tc>
        <w:tc>
          <w:tcPr>
            <w:tcW w:w="407" w:type="pct"/>
          </w:tcPr>
          <w:p w14:paraId="105EB5DA" w14:textId="77777777" w:rsidR="00B76E6D" w:rsidRPr="003726FE" w:rsidRDefault="00B76E6D" w:rsidP="00426FCB">
            <w:pPr>
              <w:pStyle w:val="RightAlign"/>
              <w:rPr>
                <w:lang w:val="en-GB"/>
              </w:rPr>
            </w:pPr>
            <w:r w:rsidRPr="003726FE">
              <w:rPr>
                <w:lang w:val="en-GB"/>
              </w:rPr>
              <w:t>4</w:t>
            </w:r>
          </w:p>
        </w:tc>
        <w:tc>
          <w:tcPr>
            <w:tcW w:w="428" w:type="pct"/>
          </w:tcPr>
          <w:p w14:paraId="1C7320A3" w14:textId="77777777" w:rsidR="00B76E6D" w:rsidRPr="003726FE" w:rsidRDefault="00B76E6D" w:rsidP="00426FCB">
            <w:pPr>
              <w:pStyle w:val="RightAlign"/>
              <w:rPr>
                <w:lang w:val="en-GB"/>
              </w:rPr>
            </w:pPr>
            <w:r w:rsidRPr="003726FE">
              <w:rPr>
                <w:lang w:val="en-GB"/>
              </w:rPr>
              <w:t>6</w:t>
            </w:r>
          </w:p>
        </w:tc>
      </w:tr>
      <w:tr w:rsidR="00B76E6D" w:rsidRPr="003726FE" w14:paraId="1AE24255"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33B9563F" w14:textId="77777777" w:rsidR="00B76E6D" w:rsidRPr="003726FE" w:rsidRDefault="00B76E6D" w:rsidP="00426FCB">
            <w:pPr>
              <w:ind w:left="900"/>
              <w:rPr>
                <w:i/>
                <w:lang w:val="en-GB"/>
              </w:rPr>
            </w:pPr>
            <w:r w:rsidRPr="003726FE">
              <w:rPr>
                <w:i/>
                <w:lang w:val="en-GB"/>
              </w:rPr>
              <w:lastRenderedPageBreak/>
              <w:t>Signposting</w:t>
            </w:r>
          </w:p>
        </w:tc>
        <w:tc>
          <w:tcPr>
            <w:tcW w:w="2665" w:type="pct"/>
          </w:tcPr>
          <w:p w14:paraId="682E8FCE" w14:textId="77777777" w:rsidR="00B76E6D" w:rsidRPr="003726FE" w:rsidRDefault="00B76E6D" w:rsidP="00426FCB">
            <w:pPr>
              <w:rPr>
                <w:lang w:val="en-GB"/>
              </w:rPr>
            </w:pPr>
            <w:r w:rsidRPr="003726FE">
              <w:rPr>
                <w:lang w:val="en-GB"/>
              </w:rPr>
              <w:t>Pointing to resources using feedback</w:t>
            </w:r>
          </w:p>
        </w:tc>
        <w:tc>
          <w:tcPr>
            <w:tcW w:w="407" w:type="pct"/>
          </w:tcPr>
          <w:p w14:paraId="5D4FBD05" w14:textId="77777777" w:rsidR="00B76E6D" w:rsidRPr="003726FE" w:rsidRDefault="00B76E6D" w:rsidP="00426FCB">
            <w:pPr>
              <w:pStyle w:val="RightAlign"/>
              <w:rPr>
                <w:lang w:val="en-GB"/>
              </w:rPr>
            </w:pPr>
            <w:r w:rsidRPr="003726FE">
              <w:rPr>
                <w:lang w:val="en-GB"/>
              </w:rPr>
              <w:t>2</w:t>
            </w:r>
          </w:p>
        </w:tc>
        <w:tc>
          <w:tcPr>
            <w:tcW w:w="428" w:type="pct"/>
          </w:tcPr>
          <w:p w14:paraId="57134F9E" w14:textId="77777777" w:rsidR="00B76E6D" w:rsidRPr="003726FE" w:rsidRDefault="00B76E6D" w:rsidP="00426FCB">
            <w:pPr>
              <w:pStyle w:val="RightAlign"/>
              <w:rPr>
                <w:lang w:val="en-GB"/>
              </w:rPr>
            </w:pPr>
            <w:r w:rsidRPr="003726FE">
              <w:rPr>
                <w:lang w:val="en-GB"/>
              </w:rPr>
              <w:t>6</w:t>
            </w:r>
          </w:p>
        </w:tc>
      </w:tr>
      <w:tr w:rsidR="00B76E6D" w:rsidRPr="003726FE" w14:paraId="6F714F43"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751779DD" w14:textId="77777777" w:rsidR="00B76E6D" w:rsidRPr="003726FE" w:rsidRDefault="00B76E6D" w:rsidP="00426FCB">
            <w:pPr>
              <w:ind w:left="900"/>
              <w:rPr>
                <w:i/>
                <w:lang w:val="en-GB"/>
              </w:rPr>
            </w:pPr>
            <w:r w:rsidRPr="003726FE">
              <w:rPr>
                <w:i/>
                <w:lang w:val="en-GB"/>
              </w:rPr>
              <w:t>SRL feedback</w:t>
            </w:r>
          </w:p>
        </w:tc>
        <w:tc>
          <w:tcPr>
            <w:tcW w:w="2665" w:type="pct"/>
          </w:tcPr>
          <w:p w14:paraId="20AAFBF6" w14:textId="77777777" w:rsidR="00B76E6D" w:rsidRPr="003726FE" w:rsidRDefault="00B76E6D" w:rsidP="00426FCB">
            <w:pPr>
              <w:rPr>
                <w:lang w:val="en-GB"/>
              </w:rPr>
            </w:pPr>
            <w:r w:rsidRPr="003726FE">
              <w:rPr>
                <w:lang w:val="en-GB"/>
              </w:rPr>
              <w:t>Feedback on SRL processes</w:t>
            </w:r>
          </w:p>
        </w:tc>
        <w:tc>
          <w:tcPr>
            <w:tcW w:w="407" w:type="pct"/>
          </w:tcPr>
          <w:p w14:paraId="5A90DCC4" w14:textId="77777777" w:rsidR="00B76E6D" w:rsidRPr="003726FE" w:rsidRDefault="00B76E6D" w:rsidP="00426FCB">
            <w:pPr>
              <w:pStyle w:val="RightAlign"/>
              <w:rPr>
                <w:lang w:val="en-GB"/>
              </w:rPr>
            </w:pPr>
            <w:r w:rsidRPr="003726FE">
              <w:rPr>
                <w:lang w:val="en-GB"/>
              </w:rPr>
              <w:t>4</w:t>
            </w:r>
          </w:p>
        </w:tc>
        <w:tc>
          <w:tcPr>
            <w:tcW w:w="428" w:type="pct"/>
          </w:tcPr>
          <w:p w14:paraId="0272213A" w14:textId="77777777" w:rsidR="00B76E6D" w:rsidRPr="003726FE" w:rsidRDefault="00B76E6D" w:rsidP="00426FCB">
            <w:pPr>
              <w:pStyle w:val="RightAlign"/>
              <w:rPr>
                <w:lang w:val="en-GB"/>
              </w:rPr>
            </w:pPr>
            <w:r w:rsidRPr="003726FE">
              <w:rPr>
                <w:lang w:val="en-GB"/>
              </w:rPr>
              <w:t>11</w:t>
            </w:r>
          </w:p>
        </w:tc>
      </w:tr>
      <w:tr w:rsidR="00B76E6D" w:rsidRPr="003726FE" w14:paraId="1C76CCF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8FAA916" w14:textId="77777777" w:rsidR="00B76E6D" w:rsidRPr="003726FE" w:rsidRDefault="00B76E6D" w:rsidP="00426FCB">
            <w:pPr>
              <w:ind w:left="900"/>
              <w:rPr>
                <w:i/>
                <w:lang w:val="en-GB"/>
              </w:rPr>
            </w:pPr>
            <w:r w:rsidRPr="003726FE">
              <w:rPr>
                <w:i/>
                <w:lang w:val="en-GB"/>
              </w:rPr>
              <w:t>Written feedback</w:t>
            </w:r>
          </w:p>
        </w:tc>
        <w:tc>
          <w:tcPr>
            <w:tcW w:w="2665" w:type="pct"/>
          </w:tcPr>
          <w:p w14:paraId="7335A98D" w14:textId="77777777" w:rsidR="00B76E6D" w:rsidRPr="003726FE" w:rsidRDefault="00B76E6D" w:rsidP="00426FCB">
            <w:pPr>
              <w:rPr>
                <w:lang w:val="en-GB"/>
              </w:rPr>
            </w:pPr>
            <w:r w:rsidRPr="003726FE">
              <w:rPr>
                <w:lang w:val="en-GB"/>
              </w:rPr>
              <w:t>Feedback given on sheets or forms</w:t>
            </w:r>
          </w:p>
        </w:tc>
        <w:tc>
          <w:tcPr>
            <w:tcW w:w="407" w:type="pct"/>
          </w:tcPr>
          <w:p w14:paraId="6CB66A06" w14:textId="77777777" w:rsidR="00B76E6D" w:rsidRPr="003726FE" w:rsidRDefault="00B76E6D" w:rsidP="00426FCB">
            <w:pPr>
              <w:pStyle w:val="RightAlign"/>
              <w:rPr>
                <w:lang w:val="en-GB"/>
              </w:rPr>
            </w:pPr>
            <w:r w:rsidRPr="003726FE">
              <w:rPr>
                <w:lang w:val="en-GB"/>
              </w:rPr>
              <w:t>5</w:t>
            </w:r>
          </w:p>
        </w:tc>
        <w:tc>
          <w:tcPr>
            <w:tcW w:w="428" w:type="pct"/>
          </w:tcPr>
          <w:p w14:paraId="2D0E6649" w14:textId="77777777" w:rsidR="00B76E6D" w:rsidRPr="003726FE" w:rsidRDefault="00B76E6D" w:rsidP="00426FCB">
            <w:pPr>
              <w:pStyle w:val="RightAlign"/>
              <w:rPr>
                <w:lang w:val="en-GB"/>
              </w:rPr>
            </w:pPr>
            <w:r w:rsidRPr="003726FE">
              <w:rPr>
                <w:lang w:val="en-GB"/>
              </w:rPr>
              <w:t>8</w:t>
            </w:r>
          </w:p>
        </w:tc>
      </w:tr>
      <w:tr w:rsidR="00B76E6D" w:rsidRPr="003726FE" w14:paraId="6C161878"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14A226C1" w14:textId="77777777" w:rsidR="00B76E6D" w:rsidRPr="003726FE" w:rsidRDefault="00B76E6D" w:rsidP="00426FCB">
            <w:pPr>
              <w:ind w:left="450"/>
              <w:rPr>
                <w:lang w:val="en-GB"/>
              </w:rPr>
            </w:pPr>
            <w:r w:rsidRPr="003726FE">
              <w:rPr>
                <w:lang w:val="en-GB"/>
              </w:rPr>
              <w:t>Perfect feedback situation</w:t>
            </w:r>
          </w:p>
        </w:tc>
        <w:tc>
          <w:tcPr>
            <w:tcW w:w="2665" w:type="pct"/>
          </w:tcPr>
          <w:p w14:paraId="2BB579BB" w14:textId="77777777" w:rsidR="00B76E6D" w:rsidRPr="003726FE" w:rsidRDefault="00B76E6D" w:rsidP="00426FCB">
            <w:pPr>
              <w:rPr>
                <w:lang w:val="en-GB"/>
              </w:rPr>
            </w:pPr>
            <w:r w:rsidRPr="003726FE">
              <w:rPr>
                <w:lang w:val="en-GB"/>
              </w:rPr>
              <w:t>Ideal feedback experience</w:t>
            </w:r>
          </w:p>
        </w:tc>
        <w:tc>
          <w:tcPr>
            <w:tcW w:w="407" w:type="pct"/>
          </w:tcPr>
          <w:p w14:paraId="6C0BB693" w14:textId="77777777" w:rsidR="00B76E6D" w:rsidRPr="003726FE" w:rsidRDefault="00B76E6D" w:rsidP="00426FCB">
            <w:pPr>
              <w:pStyle w:val="RightAlign"/>
              <w:rPr>
                <w:lang w:val="en-GB"/>
              </w:rPr>
            </w:pPr>
            <w:r w:rsidRPr="003726FE">
              <w:rPr>
                <w:lang w:val="en-GB"/>
              </w:rPr>
              <w:t>13</w:t>
            </w:r>
          </w:p>
        </w:tc>
        <w:tc>
          <w:tcPr>
            <w:tcW w:w="428" w:type="pct"/>
          </w:tcPr>
          <w:p w14:paraId="186815B9" w14:textId="77777777" w:rsidR="00B76E6D" w:rsidRPr="003726FE" w:rsidRDefault="00B76E6D" w:rsidP="00426FCB">
            <w:pPr>
              <w:pStyle w:val="RightAlign"/>
              <w:rPr>
                <w:lang w:val="en-GB"/>
              </w:rPr>
            </w:pPr>
            <w:r w:rsidRPr="003726FE">
              <w:rPr>
                <w:lang w:val="en-GB"/>
              </w:rPr>
              <w:t>15</w:t>
            </w:r>
          </w:p>
        </w:tc>
      </w:tr>
      <w:tr w:rsidR="00B76E6D" w:rsidRPr="003726FE" w14:paraId="1BE366F4"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6B5B1A0" w14:textId="77777777" w:rsidR="00B76E6D" w:rsidRPr="003726FE" w:rsidRDefault="00B76E6D" w:rsidP="00426FCB">
            <w:pPr>
              <w:ind w:left="450"/>
              <w:rPr>
                <w:lang w:val="en-GB"/>
              </w:rPr>
            </w:pPr>
            <w:r w:rsidRPr="003726FE">
              <w:rPr>
                <w:lang w:val="en-GB"/>
              </w:rPr>
              <w:t>Strengths in feedback giving</w:t>
            </w:r>
          </w:p>
        </w:tc>
        <w:tc>
          <w:tcPr>
            <w:tcW w:w="2665" w:type="pct"/>
          </w:tcPr>
          <w:p w14:paraId="236C0EAF" w14:textId="77777777" w:rsidR="00B76E6D" w:rsidRPr="003726FE" w:rsidRDefault="00B76E6D" w:rsidP="00426FCB">
            <w:pPr>
              <w:rPr>
                <w:lang w:val="en-GB"/>
              </w:rPr>
            </w:pPr>
            <w:r w:rsidRPr="003726FE">
              <w:rPr>
                <w:lang w:val="en-GB"/>
              </w:rPr>
              <w:t>Things that help feedback giving</w:t>
            </w:r>
          </w:p>
        </w:tc>
        <w:tc>
          <w:tcPr>
            <w:tcW w:w="407" w:type="pct"/>
          </w:tcPr>
          <w:p w14:paraId="037C14F6" w14:textId="77777777" w:rsidR="00B76E6D" w:rsidRPr="003726FE" w:rsidRDefault="00B76E6D" w:rsidP="00426FCB">
            <w:pPr>
              <w:pStyle w:val="RightAlign"/>
              <w:rPr>
                <w:lang w:val="en-GB"/>
              </w:rPr>
            </w:pPr>
            <w:r w:rsidRPr="003726FE">
              <w:rPr>
                <w:lang w:val="en-GB"/>
              </w:rPr>
              <w:t>12</w:t>
            </w:r>
          </w:p>
        </w:tc>
        <w:tc>
          <w:tcPr>
            <w:tcW w:w="428" w:type="pct"/>
          </w:tcPr>
          <w:p w14:paraId="4A3CDC7C" w14:textId="77777777" w:rsidR="00B76E6D" w:rsidRPr="003726FE" w:rsidRDefault="00B76E6D" w:rsidP="00426FCB">
            <w:pPr>
              <w:pStyle w:val="RightAlign"/>
              <w:rPr>
                <w:lang w:val="en-GB"/>
              </w:rPr>
            </w:pPr>
            <w:r w:rsidRPr="003726FE">
              <w:rPr>
                <w:lang w:val="en-GB"/>
              </w:rPr>
              <w:t>14</w:t>
            </w:r>
          </w:p>
        </w:tc>
      </w:tr>
      <w:tr w:rsidR="00B76E6D" w:rsidRPr="003726FE" w14:paraId="73BCB4DF"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7DF15350" w14:textId="77777777" w:rsidR="00B76E6D" w:rsidRPr="003726FE" w:rsidRDefault="00B76E6D" w:rsidP="00426FCB">
            <w:pPr>
              <w:rPr>
                <w:b/>
                <w:lang w:val="en-GB"/>
              </w:rPr>
            </w:pPr>
            <w:r w:rsidRPr="003726FE">
              <w:rPr>
                <w:b/>
                <w:lang w:val="en-GB"/>
              </w:rPr>
              <w:t>Feedback training</w:t>
            </w:r>
          </w:p>
        </w:tc>
        <w:tc>
          <w:tcPr>
            <w:tcW w:w="2665" w:type="pct"/>
          </w:tcPr>
          <w:p w14:paraId="2E161881" w14:textId="77777777" w:rsidR="00B76E6D" w:rsidRPr="003726FE" w:rsidRDefault="00B76E6D" w:rsidP="00426FCB">
            <w:pPr>
              <w:rPr>
                <w:lang w:val="en-GB"/>
              </w:rPr>
            </w:pPr>
            <w:r w:rsidRPr="003726FE">
              <w:rPr>
                <w:lang w:val="en-GB"/>
              </w:rPr>
              <w:t>Experiences of training in the research</w:t>
            </w:r>
          </w:p>
        </w:tc>
        <w:tc>
          <w:tcPr>
            <w:tcW w:w="407" w:type="pct"/>
          </w:tcPr>
          <w:p w14:paraId="20B6CAD5" w14:textId="77777777" w:rsidR="00B76E6D" w:rsidRPr="003726FE" w:rsidRDefault="00B76E6D" w:rsidP="00426FCB">
            <w:pPr>
              <w:pStyle w:val="RightAlign"/>
              <w:rPr>
                <w:lang w:val="en-GB"/>
              </w:rPr>
            </w:pPr>
            <w:r w:rsidRPr="003726FE">
              <w:rPr>
                <w:lang w:val="en-GB"/>
              </w:rPr>
              <w:t>13</w:t>
            </w:r>
          </w:p>
        </w:tc>
        <w:tc>
          <w:tcPr>
            <w:tcW w:w="428" w:type="pct"/>
          </w:tcPr>
          <w:p w14:paraId="1F90092D" w14:textId="77777777" w:rsidR="00B76E6D" w:rsidRPr="003726FE" w:rsidRDefault="00B76E6D" w:rsidP="00426FCB">
            <w:pPr>
              <w:pStyle w:val="RightAlign"/>
              <w:rPr>
                <w:lang w:val="en-GB"/>
              </w:rPr>
            </w:pPr>
            <w:r w:rsidRPr="003726FE">
              <w:rPr>
                <w:lang w:val="en-GB"/>
              </w:rPr>
              <w:t>38</w:t>
            </w:r>
          </w:p>
        </w:tc>
      </w:tr>
      <w:tr w:rsidR="00B76E6D" w:rsidRPr="003726FE" w14:paraId="155B5EC8"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973D1B0" w14:textId="77777777" w:rsidR="00B76E6D" w:rsidRPr="003726FE" w:rsidRDefault="00B76E6D" w:rsidP="00426FCB">
            <w:pPr>
              <w:ind w:left="450"/>
              <w:rPr>
                <w:lang w:val="en-GB"/>
              </w:rPr>
            </w:pPr>
            <w:r w:rsidRPr="003726FE">
              <w:rPr>
                <w:lang w:val="en-GB"/>
              </w:rPr>
              <w:t>BPF training</w:t>
            </w:r>
          </w:p>
        </w:tc>
        <w:tc>
          <w:tcPr>
            <w:tcW w:w="2665" w:type="pct"/>
          </w:tcPr>
          <w:p w14:paraId="5B401E62" w14:textId="77777777" w:rsidR="00B76E6D" w:rsidRPr="003726FE" w:rsidRDefault="00B76E6D" w:rsidP="00426FCB">
            <w:pPr>
              <w:rPr>
                <w:lang w:val="en-GB"/>
              </w:rPr>
            </w:pPr>
          </w:p>
        </w:tc>
        <w:tc>
          <w:tcPr>
            <w:tcW w:w="407" w:type="pct"/>
          </w:tcPr>
          <w:p w14:paraId="45DA8073" w14:textId="77777777" w:rsidR="00B76E6D" w:rsidRPr="003726FE" w:rsidRDefault="00B76E6D" w:rsidP="00426FCB">
            <w:pPr>
              <w:pStyle w:val="RightAlign"/>
              <w:rPr>
                <w:lang w:val="en-GB"/>
              </w:rPr>
            </w:pPr>
            <w:r w:rsidRPr="003726FE">
              <w:rPr>
                <w:lang w:val="en-GB"/>
              </w:rPr>
              <w:t>13</w:t>
            </w:r>
          </w:p>
        </w:tc>
        <w:tc>
          <w:tcPr>
            <w:tcW w:w="428" w:type="pct"/>
          </w:tcPr>
          <w:p w14:paraId="6A7E965D" w14:textId="77777777" w:rsidR="00B76E6D" w:rsidRPr="003726FE" w:rsidRDefault="00B76E6D" w:rsidP="00426FCB">
            <w:pPr>
              <w:pStyle w:val="RightAlign"/>
              <w:rPr>
                <w:lang w:val="en-GB"/>
              </w:rPr>
            </w:pPr>
            <w:r w:rsidRPr="003726FE">
              <w:rPr>
                <w:lang w:val="en-GB"/>
              </w:rPr>
              <w:t>19</w:t>
            </w:r>
          </w:p>
        </w:tc>
      </w:tr>
      <w:tr w:rsidR="00B76E6D" w:rsidRPr="003726FE" w14:paraId="3A325A00"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D4FCED5" w14:textId="77777777" w:rsidR="00B76E6D" w:rsidRPr="003726FE" w:rsidRDefault="00B76E6D" w:rsidP="00426FCB">
            <w:pPr>
              <w:ind w:left="900"/>
              <w:rPr>
                <w:i/>
                <w:lang w:val="en-GB"/>
              </w:rPr>
            </w:pPr>
            <w:r w:rsidRPr="003726FE">
              <w:rPr>
                <w:i/>
                <w:lang w:val="en-GB"/>
              </w:rPr>
              <w:t>BPF training usefulness</w:t>
            </w:r>
          </w:p>
        </w:tc>
        <w:tc>
          <w:tcPr>
            <w:tcW w:w="2665" w:type="pct"/>
          </w:tcPr>
          <w:p w14:paraId="29BEB9B7" w14:textId="77777777" w:rsidR="00B76E6D" w:rsidRPr="003726FE" w:rsidRDefault="00B76E6D" w:rsidP="00426FCB">
            <w:pPr>
              <w:rPr>
                <w:lang w:val="en-GB"/>
              </w:rPr>
            </w:pPr>
            <w:r w:rsidRPr="003726FE">
              <w:rPr>
                <w:lang w:val="en-GB"/>
              </w:rPr>
              <w:t>How useful BPF training was</w:t>
            </w:r>
          </w:p>
        </w:tc>
        <w:tc>
          <w:tcPr>
            <w:tcW w:w="407" w:type="pct"/>
          </w:tcPr>
          <w:p w14:paraId="14E77088" w14:textId="77777777" w:rsidR="00B76E6D" w:rsidRPr="003726FE" w:rsidRDefault="00B76E6D" w:rsidP="00426FCB">
            <w:pPr>
              <w:pStyle w:val="RightAlign"/>
              <w:rPr>
                <w:lang w:val="en-GB"/>
              </w:rPr>
            </w:pPr>
            <w:r w:rsidRPr="003726FE">
              <w:rPr>
                <w:lang w:val="en-GB"/>
              </w:rPr>
              <w:t>2</w:t>
            </w:r>
          </w:p>
        </w:tc>
        <w:tc>
          <w:tcPr>
            <w:tcW w:w="428" w:type="pct"/>
          </w:tcPr>
          <w:p w14:paraId="0DD4DD16" w14:textId="77777777" w:rsidR="00B76E6D" w:rsidRPr="003726FE" w:rsidRDefault="00B76E6D" w:rsidP="00426FCB">
            <w:pPr>
              <w:pStyle w:val="RightAlign"/>
              <w:rPr>
                <w:lang w:val="en-GB"/>
              </w:rPr>
            </w:pPr>
            <w:r w:rsidRPr="003726FE">
              <w:rPr>
                <w:lang w:val="en-GB"/>
              </w:rPr>
              <w:t>3</w:t>
            </w:r>
          </w:p>
        </w:tc>
      </w:tr>
      <w:tr w:rsidR="00B76E6D" w:rsidRPr="003726FE" w14:paraId="122A5435"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38B39701" w14:textId="77777777" w:rsidR="00B76E6D" w:rsidRPr="003726FE" w:rsidRDefault="00B76E6D" w:rsidP="00426FCB">
            <w:pPr>
              <w:ind w:left="900"/>
              <w:rPr>
                <w:i/>
                <w:lang w:val="en-GB"/>
              </w:rPr>
            </w:pPr>
            <w:r w:rsidRPr="003726FE">
              <w:rPr>
                <w:i/>
                <w:lang w:val="en-GB"/>
              </w:rPr>
              <w:t>Views on BPF training</w:t>
            </w:r>
          </w:p>
        </w:tc>
        <w:tc>
          <w:tcPr>
            <w:tcW w:w="2665" w:type="pct"/>
          </w:tcPr>
          <w:p w14:paraId="5CB4D582" w14:textId="77777777" w:rsidR="00B76E6D" w:rsidRPr="003726FE" w:rsidRDefault="00B76E6D" w:rsidP="00426FCB">
            <w:pPr>
              <w:rPr>
                <w:lang w:val="en-GB"/>
              </w:rPr>
            </w:pPr>
            <w:r w:rsidRPr="003726FE">
              <w:rPr>
                <w:lang w:val="en-GB"/>
              </w:rPr>
              <w:t>Opinions of the training</w:t>
            </w:r>
          </w:p>
        </w:tc>
        <w:tc>
          <w:tcPr>
            <w:tcW w:w="407" w:type="pct"/>
          </w:tcPr>
          <w:p w14:paraId="206FB565" w14:textId="77777777" w:rsidR="00B76E6D" w:rsidRPr="003726FE" w:rsidRDefault="00B76E6D" w:rsidP="00426FCB">
            <w:pPr>
              <w:pStyle w:val="RightAlign"/>
              <w:rPr>
                <w:lang w:val="en-GB"/>
              </w:rPr>
            </w:pPr>
            <w:r w:rsidRPr="003726FE">
              <w:rPr>
                <w:lang w:val="en-GB"/>
              </w:rPr>
              <w:t>13</w:t>
            </w:r>
          </w:p>
        </w:tc>
        <w:tc>
          <w:tcPr>
            <w:tcW w:w="428" w:type="pct"/>
          </w:tcPr>
          <w:p w14:paraId="788E9D02" w14:textId="77777777" w:rsidR="00B76E6D" w:rsidRPr="003726FE" w:rsidRDefault="00B76E6D" w:rsidP="00426FCB">
            <w:pPr>
              <w:pStyle w:val="RightAlign"/>
              <w:rPr>
                <w:lang w:val="en-GB"/>
              </w:rPr>
            </w:pPr>
            <w:r w:rsidRPr="003726FE">
              <w:rPr>
                <w:lang w:val="en-GB"/>
              </w:rPr>
              <w:t>16</w:t>
            </w:r>
          </w:p>
        </w:tc>
      </w:tr>
      <w:tr w:rsidR="00B76E6D" w:rsidRPr="003726FE" w14:paraId="76C91B6C"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7CED401B" w14:textId="77777777" w:rsidR="00B76E6D" w:rsidRPr="003726FE" w:rsidRDefault="00B76E6D" w:rsidP="00426FCB">
            <w:pPr>
              <w:ind w:left="450"/>
              <w:rPr>
                <w:lang w:val="en-GB"/>
              </w:rPr>
            </w:pPr>
            <w:r w:rsidRPr="003726FE">
              <w:rPr>
                <w:lang w:val="en-GB"/>
              </w:rPr>
              <w:t>SRLF training</w:t>
            </w:r>
          </w:p>
        </w:tc>
        <w:tc>
          <w:tcPr>
            <w:tcW w:w="2665" w:type="pct"/>
          </w:tcPr>
          <w:p w14:paraId="34C13742" w14:textId="77777777" w:rsidR="00B76E6D" w:rsidRPr="003726FE" w:rsidRDefault="00B76E6D" w:rsidP="00426FCB">
            <w:pPr>
              <w:rPr>
                <w:lang w:val="en-GB"/>
              </w:rPr>
            </w:pPr>
          </w:p>
        </w:tc>
        <w:tc>
          <w:tcPr>
            <w:tcW w:w="407" w:type="pct"/>
          </w:tcPr>
          <w:p w14:paraId="7371A4BB" w14:textId="77777777" w:rsidR="00B76E6D" w:rsidRPr="003726FE" w:rsidRDefault="00B76E6D" w:rsidP="00426FCB">
            <w:pPr>
              <w:pStyle w:val="RightAlign"/>
              <w:rPr>
                <w:lang w:val="en-GB"/>
              </w:rPr>
            </w:pPr>
            <w:r w:rsidRPr="003726FE">
              <w:rPr>
                <w:lang w:val="en-GB"/>
              </w:rPr>
              <w:t>7</w:t>
            </w:r>
          </w:p>
        </w:tc>
        <w:tc>
          <w:tcPr>
            <w:tcW w:w="428" w:type="pct"/>
          </w:tcPr>
          <w:p w14:paraId="69C99E41" w14:textId="77777777" w:rsidR="00B76E6D" w:rsidRPr="003726FE" w:rsidRDefault="00B76E6D" w:rsidP="00426FCB">
            <w:pPr>
              <w:pStyle w:val="RightAlign"/>
              <w:rPr>
                <w:lang w:val="en-GB"/>
              </w:rPr>
            </w:pPr>
            <w:r w:rsidRPr="003726FE">
              <w:rPr>
                <w:lang w:val="en-GB"/>
              </w:rPr>
              <w:t>19</w:t>
            </w:r>
          </w:p>
        </w:tc>
      </w:tr>
      <w:tr w:rsidR="00B76E6D" w:rsidRPr="003726FE" w14:paraId="4EC8F460"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C2DE916" w14:textId="77777777" w:rsidR="00B76E6D" w:rsidRPr="003726FE" w:rsidRDefault="00B76E6D" w:rsidP="00426FCB">
            <w:pPr>
              <w:ind w:left="900"/>
              <w:rPr>
                <w:i/>
                <w:lang w:val="en-GB"/>
              </w:rPr>
            </w:pPr>
            <w:r w:rsidRPr="003726FE">
              <w:rPr>
                <w:i/>
                <w:lang w:val="en-GB"/>
              </w:rPr>
              <w:t>SRLF training limitations</w:t>
            </w:r>
          </w:p>
        </w:tc>
        <w:tc>
          <w:tcPr>
            <w:tcW w:w="2665" w:type="pct"/>
          </w:tcPr>
          <w:p w14:paraId="2853A55E" w14:textId="77777777" w:rsidR="00B76E6D" w:rsidRPr="003726FE" w:rsidRDefault="00B76E6D" w:rsidP="00426FCB">
            <w:pPr>
              <w:rPr>
                <w:lang w:val="en-GB"/>
              </w:rPr>
            </w:pPr>
            <w:r w:rsidRPr="003726FE">
              <w:rPr>
                <w:lang w:val="en-GB"/>
              </w:rPr>
              <w:t>Negatives of the training</w:t>
            </w:r>
          </w:p>
        </w:tc>
        <w:tc>
          <w:tcPr>
            <w:tcW w:w="407" w:type="pct"/>
          </w:tcPr>
          <w:p w14:paraId="2BFBDFB7" w14:textId="77777777" w:rsidR="00B76E6D" w:rsidRPr="003726FE" w:rsidRDefault="00B76E6D" w:rsidP="00426FCB">
            <w:pPr>
              <w:pStyle w:val="RightAlign"/>
              <w:rPr>
                <w:lang w:val="en-GB"/>
              </w:rPr>
            </w:pPr>
            <w:r w:rsidRPr="003726FE">
              <w:rPr>
                <w:lang w:val="en-GB"/>
              </w:rPr>
              <w:t>2</w:t>
            </w:r>
          </w:p>
        </w:tc>
        <w:tc>
          <w:tcPr>
            <w:tcW w:w="428" w:type="pct"/>
          </w:tcPr>
          <w:p w14:paraId="78C23DC7" w14:textId="77777777" w:rsidR="00B76E6D" w:rsidRPr="003726FE" w:rsidRDefault="00B76E6D" w:rsidP="00426FCB">
            <w:pPr>
              <w:pStyle w:val="RightAlign"/>
              <w:rPr>
                <w:lang w:val="en-GB"/>
              </w:rPr>
            </w:pPr>
            <w:r w:rsidRPr="003726FE">
              <w:rPr>
                <w:lang w:val="en-GB"/>
              </w:rPr>
              <w:t>2</w:t>
            </w:r>
          </w:p>
        </w:tc>
      </w:tr>
      <w:tr w:rsidR="00B76E6D" w:rsidRPr="003726FE" w14:paraId="377D3978"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0E53F519" w14:textId="77777777" w:rsidR="00B76E6D" w:rsidRPr="003726FE" w:rsidRDefault="00B76E6D" w:rsidP="00426FCB">
            <w:pPr>
              <w:ind w:left="900"/>
              <w:rPr>
                <w:i/>
                <w:lang w:val="en-GB"/>
              </w:rPr>
            </w:pPr>
            <w:r w:rsidRPr="003726FE">
              <w:rPr>
                <w:i/>
                <w:lang w:val="en-GB"/>
              </w:rPr>
              <w:t>SRLF training usefulness</w:t>
            </w:r>
          </w:p>
        </w:tc>
        <w:tc>
          <w:tcPr>
            <w:tcW w:w="2665" w:type="pct"/>
          </w:tcPr>
          <w:p w14:paraId="45EE7AFA" w14:textId="77777777" w:rsidR="00B76E6D" w:rsidRPr="003726FE" w:rsidRDefault="00B76E6D" w:rsidP="00426FCB">
            <w:pPr>
              <w:rPr>
                <w:lang w:val="en-GB"/>
              </w:rPr>
            </w:pPr>
            <w:r w:rsidRPr="003726FE">
              <w:rPr>
                <w:lang w:val="en-GB"/>
              </w:rPr>
              <w:t>How useful SRL training was</w:t>
            </w:r>
          </w:p>
        </w:tc>
        <w:tc>
          <w:tcPr>
            <w:tcW w:w="407" w:type="pct"/>
          </w:tcPr>
          <w:p w14:paraId="68F099D1" w14:textId="77777777" w:rsidR="00B76E6D" w:rsidRPr="003726FE" w:rsidRDefault="00B76E6D" w:rsidP="00426FCB">
            <w:pPr>
              <w:pStyle w:val="RightAlign"/>
              <w:rPr>
                <w:lang w:val="en-GB"/>
              </w:rPr>
            </w:pPr>
            <w:r w:rsidRPr="003726FE">
              <w:rPr>
                <w:lang w:val="en-GB"/>
              </w:rPr>
              <w:t>1</w:t>
            </w:r>
          </w:p>
        </w:tc>
        <w:tc>
          <w:tcPr>
            <w:tcW w:w="428" w:type="pct"/>
          </w:tcPr>
          <w:p w14:paraId="7149CE53" w14:textId="77777777" w:rsidR="00B76E6D" w:rsidRPr="003726FE" w:rsidRDefault="00B76E6D" w:rsidP="00426FCB">
            <w:pPr>
              <w:pStyle w:val="RightAlign"/>
              <w:rPr>
                <w:lang w:val="en-GB"/>
              </w:rPr>
            </w:pPr>
            <w:r w:rsidRPr="003726FE">
              <w:rPr>
                <w:lang w:val="en-GB"/>
              </w:rPr>
              <w:t>3</w:t>
            </w:r>
          </w:p>
        </w:tc>
      </w:tr>
      <w:tr w:rsidR="00B76E6D" w:rsidRPr="003726FE" w14:paraId="0AC6CEB7"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5A12790C" w14:textId="77777777" w:rsidR="00B76E6D" w:rsidRPr="003726FE" w:rsidRDefault="00B76E6D" w:rsidP="00426FCB">
            <w:pPr>
              <w:ind w:left="900"/>
              <w:rPr>
                <w:i/>
                <w:lang w:val="en-GB"/>
              </w:rPr>
            </w:pPr>
            <w:r w:rsidRPr="003726FE">
              <w:rPr>
                <w:i/>
                <w:lang w:val="en-GB"/>
              </w:rPr>
              <w:t>Views on SRLF training</w:t>
            </w:r>
          </w:p>
        </w:tc>
        <w:tc>
          <w:tcPr>
            <w:tcW w:w="2665" w:type="pct"/>
          </w:tcPr>
          <w:p w14:paraId="11BAB401" w14:textId="77777777" w:rsidR="00B76E6D" w:rsidRPr="003726FE" w:rsidRDefault="00B76E6D" w:rsidP="00426FCB">
            <w:pPr>
              <w:rPr>
                <w:lang w:val="en-GB"/>
              </w:rPr>
            </w:pPr>
            <w:r w:rsidRPr="003726FE">
              <w:rPr>
                <w:lang w:val="en-GB"/>
              </w:rPr>
              <w:t>Opinions of the training</w:t>
            </w:r>
          </w:p>
        </w:tc>
        <w:tc>
          <w:tcPr>
            <w:tcW w:w="407" w:type="pct"/>
          </w:tcPr>
          <w:p w14:paraId="42983A64" w14:textId="77777777" w:rsidR="00B76E6D" w:rsidRPr="003726FE" w:rsidRDefault="00B76E6D" w:rsidP="00426FCB">
            <w:pPr>
              <w:pStyle w:val="RightAlign"/>
              <w:rPr>
                <w:lang w:val="en-GB"/>
              </w:rPr>
            </w:pPr>
            <w:r w:rsidRPr="003726FE">
              <w:rPr>
                <w:lang w:val="en-GB"/>
              </w:rPr>
              <w:t>7</w:t>
            </w:r>
          </w:p>
        </w:tc>
        <w:tc>
          <w:tcPr>
            <w:tcW w:w="428" w:type="pct"/>
          </w:tcPr>
          <w:p w14:paraId="6504F8B9" w14:textId="77777777" w:rsidR="00B76E6D" w:rsidRPr="003726FE" w:rsidRDefault="00B76E6D" w:rsidP="00426FCB">
            <w:pPr>
              <w:pStyle w:val="RightAlign"/>
              <w:rPr>
                <w:lang w:val="en-GB"/>
              </w:rPr>
            </w:pPr>
            <w:r w:rsidRPr="003726FE">
              <w:rPr>
                <w:lang w:val="en-GB"/>
              </w:rPr>
              <w:t>14</w:t>
            </w:r>
          </w:p>
        </w:tc>
      </w:tr>
      <w:tr w:rsidR="00B76E6D" w:rsidRPr="003726FE" w14:paraId="293186A8"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07F4FF7A" w14:textId="77777777" w:rsidR="00B76E6D" w:rsidRPr="003726FE" w:rsidRDefault="00B76E6D" w:rsidP="00426FCB">
            <w:pPr>
              <w:rPr>
                <w:lang w:val="en-GB"/>
              </w:rPr>
            </w:pPr>
            <w:r w:rsidRPr="003726FE">
              <w:rPr>
                <w:lang w:val="en-GB"/>
              </w:rPr>
              <w:t>SRL MA sheet</w:t>
            </w:r>
          </w:p>
        </w:tc>
        <w:tc>
          <w:tcPr>
            <w:tcW w:w="2665" w:type="pct"/>
          </w:tcPr>
          <w:p w14:paraId="5CF99940" w14:textId="77777777" w:rsidR="00B76E6D" w:rsidRPr="003726FE" w:rsidRDefault="00B76E6D" w:rsidP="00426FCB">
            <w:pPr>
              <w:rPr>
                <w:lang w:val="en-GB"/>
              </w:rPr>
            </w:pPr>
            <w:r w:rsidRPr="003726FE">
              <w:rPr>
                <w:lang w:val="en-GB"/>
              </w:rPr>
              <w:t>Use of the checklist and form</w:t>
            </w:r>
          </w:p>
        </w:tc>
        <w:tc>
          <w:tcPr>
            <w:tcW w:w="407" w:type="pct"/>
          </w:tcPr>
          <w:p w14:paraId="6E791359" w14:textId="77777777" w:rsidR="00B76E6D" w:rsidRPr="003726FE" w:rsidRDefault="00B76E6D" w:rsidP="00426FCB">
            <w:pPr>
              <w:pStyle w:val="RightAlign"/>
              <w:rPr>
                <w:lang w:val="en-GB"/>
              </w:rPr>
            </w:pPr>
            <w:r w:rsidRPr="003726FE">
              <w:rPr>
                <w:lang w:val="en-GB"/>
              </w:rPr>
              <w:t>7</w:t>
            </w:r>
          </w:p>
        </w:tc>
        <w:tc>
          <w:tcPr>
            <w:tcW w:w="428" w:type="pct"/>
          </w:tcPr>
          <w:p w14:paraId="35E83B23" w14:textId="77777777" w:rsidR="00B76E6D" w:rsidRPr="003726FE" w:rsidRDefault="00B76E6D" w:rsidP="00426FCB">
            <w:pPr>
              <w:pStyle w:val="RightAlign"/>
              <w:rPr>
                <w:lang w:val="en-GB"/>
              </w:rPr>
            </w:pPr>
            <w:r w:rsidRPr="003726FE">
              <w:rPr>
                <w:lang w:val="en-GB"/>
              </w:rPr>
              <w:t>20</w:t>
            </w:r>
          </w:p>
        </w:tc>
      </w:tr>
      <w:tr w:rsidR="00B76E6D" w:rsidRPr="003726FE" w14:paraId="19C4E25A"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C07A5CF" w14:textId="77777777" w:rsidR="00B76E6D" w:rsidRPr="003726FE" w:rsidRDefault="00B76E6D" w:rsidP="00426FCB">
            <w:pPr>
              <w:ind w:left="450"/>
              <w:rPr>
                <w:lang w:val="en-GB"/>
              </w:rPr>
            </w:pPr>
            <w:r w:rsidRPr="003726FE">
              <w:rPr>
                <w:lang w:val="en-GB"/>
              </w:rPr>
              <w:t>SRL MA sheet negatives</w:t>
            </w:r>
          </w:p>
        </w:tc>
        <w:tc>
          <w:tcPr>
            <w:tcW w:w="2665" w:type="pct"/>
          </w:tcPr>
          <w:p w14:paraId="7C70DAAD" w14:textId="77777777" w:rsidR="00B76E6D" w:rsidRPr="003726FE" w:rsidRDefault="00B76E6D" w:rsidP="00426FCB">
            <w:pPr>
              <w:rPr>
                <w:lang w:val="en-GB"/>
              </w:rPr>
            </w:pPr>
            <w:r w:rsidRPr="003726FE">
              <w:rPr>
                <w:lang w:val="en-GB"/>
              </w:rPr>
              <w:t>Challenges of using the sheet</w:t>
            </w:r>
          </w:p>
        </w:tc>
        <w:tc>
          <w:tcPr>
            <w:tcW w:w="407" w:type="pct"/>
          </w:tcPr>
          <w:p w14:paraId="10820F05" w14:textId="77777777" w:rsidR="00B76E6D" w:rsidRPr="003726FE" w:rsidRDefault="00B76E6D" w:rsidP="00426FCB">
            <w:pPr>
              <w:pStyle w:val="RightAlign"/>
              <w:rPr>
                <w:lang w:val="en-GB"/>
              </w:rPr>
            </w:pPr>
            <w:r w:rsidRPr="003726FE">
              <w:rPr>
                <w:lang w:val="en-GB"/>
              </w:rPr>
              <w:t>6</w:t>
            </w:r>
          </w:p>
        </w:tc>
        <w:tc>
          <w:tcPr>
            <w:tcW w:w="428" w:type="pct"/>
          </w:tcPr>
          <w:p w14:paraId="6886E325" w14:textId="77777777" w:rsidR="00B76E6D" w:rsidRPr="003726FE" w:rsidRDefault="00B76E6D" w:rsidP="00426FCB">
            <w:pPr>
              <w:pStyle w:val="RightAlign"/>
              <w:rPr>
                <w:lang w:val="en-GB"/>
              </w:rPr>
            </w:pPr>
            <w:r w:rsidRPr="003726FE">
              <w:rPr>
                <w:lang w:val="en-GB"/>
              </w:rPr>
              <w:t>12</w:t>
            </w:r>
          </w:p>
        </w:tc>
      </w:tr>
      <w:tr w:rsidR="00B76E6D" w:rsidRPr="003726FE" w14:paraId="33ABEF15"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12C5D5B" w14:textId="77777777" w:rsidR="00B76E6D" w:rsidRPr="003726FE" w:rsidRDefault="00B76E6D" w:rsidP="00426FCB">
            <w:pPr>
              <w:ind w:left="450"/>
              <w:rPr>
                <w:lang w:val="en-GB"/>
              </w:rPr>
            </w:pPr>
            <w:r w:rsidRPr="003726FE">
              <w:rPr>
                <w:lang w:val="en-GB"/>
              </w:rPr>
              <w:lastRenderedPageBreak/>
              <w:t>SRL MA sheet positives</w:t>
            </w:r>
          </w:p>
        </w:tc>
        <w:tc>
          <w:tcPr>
            <w:tcW w:w="2665" w:type="pct"/>
          </w:tcPr>
          <w:p w14:paraId="0E062A8D" w14:textId="77777777" w:rsidR="00B76E6D" w:rsidRPr="003726FE" w:rsidRDefault="00B76E6D" w:rsidP="00426FCB">
            <w:pPr>
              <w:rPr>
                <w:lang w:val="en-GB"/>
              </w:rPr>
            </w:pPr>
            <w:r w:rsidRPr="003726FE">
              <w:rPr>
                <w:lang w:val="en-GB"/>
              </w:rPr>
              <w:t>Advantages of using the sheet</w:t>
            </w:r>
          </w:p>
        </w:tc>
        <w:tc>
          <w:tcPr>
            <w:tcW w:w="407" w:type="pct"/>
          </w:tcPr>
          <w:p w14:paraId="1D9B296F" w14:textId="77777777" w:rsidR="00B76E6D" w:rsidRPr="003726FE" w:rsidRDefault="00B76E6D" w:rsidP="00426FCB">
            <w:pPr>
              <w:pStyle w:val="RightAlign"/>
              <w:rPr>
                <w:lang w:val="en-GB"/>
              </w:rPr>
            </w:pPr>
            <w:r w:rsidRPr="003726FE">
              <w:rPr>
                <w:lang w:val="en-GB"/>
              </w:rPr>
              <w:t>4</w:t>
            </w:r>
          </w:p>
        </w:tc>
        <w:tc>
          <w:tcPr>
            <w:tcW w:w="428" w:type="pct"/>
          </w:tcPr>
          <w:p w14:paraId="6491425E" w14:textId="77777777" w:rsidR="00B76E6D" w:rsidRPr="003726FE" w:rsidRDefault="00B76E6D" w:rsidP="00426FCB">
            <w:pPr>
              <w:pStyle w:val="RightAlign"/>
              <w:rPr>
                <w:lang w:val="en-GB"/>
              </w:rPr>
            </w:pPr>
            <w:r w:rsidRPr="003726FE">
              <w:rPr>
                <w:lang w:val="en-GB"/>
              </w:rPr>
              <w:t>8</w:t>
            </w:r>
          </w:p>
        </w:tc>
      </w:tr>
      <w:tr w:rsidR="00B76E6D" w:rsidRPr="003726FE" w14:paraId="757925DD"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5FFD7C9" w14:textId="77777777" w:rsidR="00B76E6D" w:rsidRPr="003726FE" w:rsidRDefault="00B76E6D" w:rsidP="00426FCB">
            <w:pPr>
              <w:rPr>
                <w:lang w:val="en-GB"/>
              </w:rPr>
            </w:pPr>
            <w:r w:rsidRPr="003726FE">
              <w:rPr>
                <w:lang w:val="en-GB"/>
              </w:rPr>
              <w:t>SRL processes</w:t>
            </w:r>
          </w:p>
        </w:tc>
        <w:tc>
          <w:tcPr>
            <w:tcW w:w="2665" w:type="pct"/>
          </w:tcPr>
          <w:p w14:paraId="23062E16" w14:textId="77777777" w:rsidR="00B76E6D" w:rsidRPr="003726FE" w:rsidRDefault="00B76E6D" w:rsidP="00426FCB">
            <w:pPr>
              <w:rPr>
                <w:lang w:val="en-GB"/>
              </w:rPr>
            </w:pPr>
            <w:r w:rsidRPr="003726FE">
              <w:rPr>
                <w:lang w:val="en-GB"/>
              </w:rPr>
              <w:t>All references to SRL behaviours according to SRL theory used in this study</w:t>
            </w:r>
          </w:p>
        </w:tc>
        <w:tc>
          <w:tcPr>
            <w:tcW w:w="407" w:type="pct"/>
          </w:tcPr>
          <w:p w14:paraId="3F22C354" w14:textId="77777777" w:rsidR="00B76E6D" w:rsidRPr="003726FE" w:rsidRDefault="00B76E6D" w:rsidP="00426FCB">
            <w:pPr>
              <w:pStyle w:val="RightAlign"/>
              <w:rPr>
                <w:lang w:val="en-GB"/>
              </w:rPr>
            </w:pPr>
            <w:r w:rsidRPr="003726FE">
              <w:rPr>
                <w:lang w:val="en-GB"/>
              </w:rPr>
              <w:t>12</w:t>
            </w:r>
          </w:p>
        </w:tc>
        <w:tc>
          <w:tcPr>
            <w:tcW w:w="428" w:type="pct"/>
          </w:tcPr>
          <w:p w14:paraId="33AC5657" w14:textId="77777777" w:rsidR="00B76E6D" w:rsidRPr="003726FE" w:rsidRDefault="00B76E6D" w:rsidP="00426FCB">
            <w:pPr>
              <w:pStyle w:val="RightAlign"/>
              <w:rPr>
                <w:lang w:val="en-GB"/>
              </w:rPr>
            </w:pPr>
            <w:r w:rsidRPr="003726FE">
              <w:rPr>
                <w:lang w:val="en-GB"/>
              </w:rPr>
              <w:t>58</w:t>
            </w:r>
          </w:p>
        </w:tc>
      </w:tr>
      <w:tr w:rsidR="00B76E6D" w:rsidRPr="003726FE" w14:paraId="73695F4C"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3AE7C75" w14:textId="77777777" w:rsidR="00B76E6D" w:rsidRPr="003726FE" w:rsidRDefault="00B76E6D" w:rsidP="00426FCB">
            <w:pPr>
              <w:ind w:left="450"/>
              <w:rPr>
                <w:lang w:val="en-GB"/>
              </w:rPr>
            </w:pPr>
            <w:r w:rsidRPr="003726FE">
              <w:rPr>
                <w:lang w:val="en-GB"/>
              </w:rPr>
              <w:t>adaptive changes</w:t>
            </w:r>
          </w:p>
        </w:tc>
        <w:tc>
          <w:tcPr>
            <w:tcW w:w="2665" w:type="pct"/>
          </w:tcPr>
          <w:p w14:paraId="17E96102" w14:textId="77777777" w:rsidR="00B76E6D" w:rsidRPr="003726FE" w:rsidRDefault="00B76E6D" w:rsidP="00426FCB">
            <w:pPr>
              <w:rPr>
                <w:lang w:val="en-GB"/>
              </w:rPr>
            </w:pPr>
            <w:r w:rsidRPr="003726FE">
              <w:rPr>
                <w:lang w:val="en-GB"/>
              </w:rPr>
              <w:t>Explicitly evaluating their own performance and suggesting changes</w:t>
            </w:r>
          </w:p>
        </w:tc>
        <w:tc>
          <w:tcPr>
            <w:tcW w:w="407" w:type="pct"/>
          </w:tcPr>
          <w:p w14:paraId="6F3B4EA8" w14:textId="77777777" w:rsidR="00B76E6D" w:rsidRPr="003726FE" w:rsidRDefault="00B76E6D" w:rsidP="00426FCB">
            <w:pPr>
              <w:pStyle w:val="RightAlign"/>
              <w:rPr>
                <w:lang w:val="en-GB"/>
              </w:rPr>
            </w:pPr>
            <w:r w:rsidRPr="003726FE">
              <w:rPr>
                <w:lang w:val="en-GB"/>
              </w:rPr>
              <w:t>2</w:t>
            </w:r>
          </w:p>
        </w:tc>
        <w:tc>
          <w:tcPr>
            <w:tcW w:w="428" w:type="pct"/>
          </w:tcPr>
          <w:p w14:paraId="5145876E" w14:textId="77777777" w:rsidR="00B76E6D" w:rsidRPr="003726FE" w:rsidRDefault="00B76E6D" w:rsidP="00426FCB">
            <w:pPr>
              <w:pStyle w:val="RightAlign"/>
              <w:rPr>
                <w:lang w:val="en-GB"/>
              </w:rPr>
            </w:pPr>
            <w:r w:rsidRPr="003726FE">
              <w:rPr>
                <w:lang w:val="en-GB"/>
              </w:rPr>
              <w:t>4</w:t>
            </w:r>
          </w:p>
        </w:tc>
      </w:tr>
      <w:tr w:rsidR="00B76E6D" w:rsidRPr="003726FE" w14:paraId="4FF28511"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C79ECBC" w14:textId="77777777" w:rsidR="00B76E6D" w:rsidRPr="003726FE" w:rsidRDefault="00B76E6D" w:rsidP="00426FCB">
            <w:pPr>
              <w:ind w:left="450"/>
              <w:rPr>
                <w:lang w:val="en-GB"/>
              </w:rPr>
            </w:pPr>
            <w:r w:rsidRPr="003726FE">
              <w:rPr>
                <w:lang w:val="en-GB"/>
              </w:rPr>
              <w:t>attributions</w:t>
            </w:r>
          </w:p>
        </w:tc>
        <w:tc>
          <w:tcPr>
            <w:tcW w:w="2665" w:type="pct"/>
          </w:tcPr>
          <w:p w14:paraId="5C7BA12B" w14:textId="77777777" w:rsidR="00B76E6D" w:rsidRPr="003726FE" w:rsidRDefault="00B76E6D" w:rsidP="00426FCB">
            <w:pPr>
              <w:rPr>
                <w:lang w:val="en-GB"/>
              </w:rPr>
            </w:pPr>
            <w:r w:rsidRPr="003726FE">
              <w:rPr>
                <w:lang w:val="en-GB"/>
              </w:rPr>
              <w:t>Who is responsible for performance outcomes</w:t>
            </w:r>
          </w:p>
        </w:tc>
        <w:tc>
          <w:tcPr>
            <w:tcW w:w="407" w:type="pct"/>
          </w:tcPr>
          <w:p w14:paraId="0DE2C34B" w14:textId="77777777" w:rsidR="00B76E6D" w:rsidRPr="003726FE" w:rsidRDefault="00B76E6D" w:rsidP="00426FCB">
            <w:pPr>
              <w:pStyle w:val="RightAlign"/>
              <w:rPr>
                <w:lang w:val="en-GB"/>
              </w:rPr>
            </w:pPr>
            <w:r w:rsidRPr="003726FE">
              <w:rPr>
                <w:lang w:val="en-GB"/>
              </w:rPr>
              <w:t>2</w:t>
            </w:r>
          </w:p>
        </w:tc>
        <w:tc>
          <w:tcPr>
            <w:tcW w:w="428" w:type="pct"/>
          </w:tcPr>
          <w:p w14:paraId="4F6AD176" w14:textId="77777777" w:rsidR="00B76E6D" w:rsidRPr="003726FE" w:rsidRDefault="00B76E6D" w:rsidP="00426FCB">
            <w:pPr>
              <w:pStyle w:val="RightAlign"/>
              <w:rPr>
                <w:lang w:val="en-GB"/>
              </w:rPr>
            </w:pPr>
            <w:r w:rsidRPr="003726FE">
              <w:rPr>
                <w:lang w:val="en-GB"/>
              </w:rPr>
              <w:t>2</w:t>
            </w:r>
          </w:p>
        </w:tc>
      </w:tr>
      <w:tr w:rsidR="00B76E6D" w:rsidRPr="003726FE" w14:paraId="5F2D6D64"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25E7B7EA" w14:textId="77777777" w:rsidR="00B76E6D" w:rsidRPr="003726FE" w:rsidRDefault="00B76E6D" w:rsidP="00426FCB">
            <w:pPr>
              <w:ind w:left="450"/>
              <w:rPr>
                <w:lang w:val="en-GB"/>
              </w:rPr>
            </w:pPr>
            <w:r w:rsidRPr="003726FE">
              <w:rPr>
                <w:lang w:val="en-GB"/>
              </w:rPr>
              <w:t>confidence</w:t>
            </w:r>
          </w:p>
        </w:tc>
        <w:tc>
          <w:tcPr>
            <w:tcW w:w="2665" w:type="pct"/>
          </w:tcPr>
          <w:p w14:paraId="45876493" w14:textId="77777777" w:rsidR="00B76E6D" w:rsidRPr="003726FE" w:rsidRDefault="00B76E6D" w:rsidP="00426FCB">
            <w:pPr>
              <w:rPr>
                <w:lang w:val="en-GB"/>
              </w:rPr>
            </w:pPr>
            <w:r w:rsidRPr="003726FE">
              <w:rPr>
                <w:lang w:val="en-GB"/>
              </w:rPr>
              <w:t>Self-efficacy or general self-confidence</w:t>
            </w:r>
          </w:p>
        </w:tc>
        <w:tc>
          <w:tcPr>
            <w:tcW w:w="407" w:type="pct"/>
          </w:tcPr>
          <w:p w14:paraId="762A29B3" w14:textId="77777777" w:rsidR="00B76E6D" w:rsidRPr="003726FE" w:rsidRDefault="00B76E6D" w:rsidP="00426FCB">
            <w:pPr>
              <w:pStyle w:val="RightAlign"/>
              <w:rPr>
                <w:lang w:val="en-GB"/>
              </w:rPr>
            </w:pPr>
            <w:r w:rsidRPr="003726FE">
              <w:rPr>
                <w:lang w:val="en-GB"/>
              </w:rPr>
              <w:t>8</w:t>
            </w:r>
          </w:p>
        </w:tc>
        <w:tc>
          <w:tcPr>
            <w:tcW w:w="428" w:type="pct"/>
          </w:tcPr>
          <w:p w14:paraId="4A8EB11C" w14:textId="77777777" w:rsidR="00B76E6D" w:rsidRPr="003726FE" w:rsidRDefault="00B76E6D" w:rsidP="00426FCB">
            <w:pPr>
              <w:pStyle w:val="RightAlign"/>
              <w:rPr>
                <w:lang w:val="en-GB"/>
              </w:rPr>
            </w:pPr>
            <w:r w:rsidRPr="003726FE">
              <w:rPr>
                <w:lang w:val="en-GB"/>
              </w:rPr>
              <w:t>23</w:t>
            </w:r>
          </w:p>
        </w:tc>
      </w:tr>
      <w:tr w:rsidR="00B76E6D" w:rsidRPr="003726FE" w14:paraId="65AD113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6CCA7695" w14:textId="77777777" w:rsidR="00B76E6D" w:rsidRPr="003726FE" w:rsidRDefault="00B76E6D" w:rsidP="00426FCB">
            <w:pPr>
              <w:ind w:left="450"/>
              <w:rPr>
                <w:lang w:val="en-GB"/>
              </w:rPr>
            </w:pPr>
            <w:r w:rsidRPr="003726FE">
              <w:rPr>
                <w:lang w:val="en-GB"/>
              </w:rPr>
              <w:t>goal setting</w:t>
            </w:r>
          </w:p>
        </w:tc>
        <w:tc>
          <w:tcPr>
            <w:tcW w:w="2665" w:type="pct"/>
          </w:tcPr>
          <w:p w14:paraId="2E34297E" w14:textId="77777777" w:rsidR="00B76E6D" w:rsidRPr="003726FE" w:rsidRDefault="00B76E6D" w:rsidP="00426FCB">
            <w:pPr>
              <w:rPr>
                <w:lang w:val="en-GB"/>
              </w:rPr>
            </w:pPr>
            <w:r w:rsidRPr="003726FE">
              <w:rPr>
                <w:lang w:val="en-GB"/>
              </w:rPr>
              <w:t>Setting and achieving goals</w:t>
            </w:r>
          </w:p>
        </w:tc>
        <w:tc>
          <w:tcPr>
            <w:tcW w:w="407" w:type="pct"/>
          </w:tcPr>
          <w:p w14:paraId="222887E3" w14:textId="77777777" w:rsidR="00B76E6D" w:rsidRPr="003726FE" w:rsidRDefault="00B76E6D" w:rsidP="00426FCB">
            <w:pPr>
              <w:pStyle w:val="RightAlign"/>
              <w:rPr>
                <w:lang w:val="en-GB"/>
              </w:rPr>
            </w:pPr>
            <w:r w:rsidRPr="003726FE">
              <w:rPr>
                <w:lang w:val="en-GB"/>
              </w:rPr>
              <w:t>8</w:t>
            </w:r>
          </w:p>
        </w:tc>
        <w:tc>
          <w:tcPr>
            <w:tcW w:w="428" w:type="pct"/>
          </w:tcPr>
          <w:p w14:paraId="07F1E363" w14:textId="77777777" w:rsidR="00B76E6D" w:rsidRPr="003726FE" w:rsidRDefault="00B76E6D" w:rsidP="00426FCB">
            <w:pPr>
              <w:pStyle w:val="RightAlign"/>
              <w:rPr>
                <w:lang w:val="en-GB"/>
              </w:rPr>
            </w:pPr>
            <w:r w:rsidRPr="003726FE">
              <w:rPr>
                <w:lang w:val="en-GB"/>
              </w:rPr>
              <w:t>11</w:t>
            </w:r>
          </w:p>
        </w:tc>
      </w:tr>
      <w:tr w:rsidR="00B76E6D" w:rsidRPr="003726FE" w14:paraId="6220E4A9"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B7AA3C1" w14:textId="77777777" w:rsidR="00B76E6D" w:rsidRPr="003726FE" w:rsidRDefault="00B76E6D" w:rsidP="00426FCB">
            <w:pPr>
              <w:ind w:left="450"/>
              <w:rPr>
                <w:lang w:val="en-GB"/>
              </w:rPr>
            </w:pPr>
            <w:r w:rsidRPr="003726FE">
              <w:rPr>
                <w:lang w:val="en-GB"/>
              </w:rPr>
              <w:t>monitoring</w:t>
            </w:r>
          </w:p>
        </w:tc>
        <w:tc>
          <w:tcPr>
            <w:tcW w:w="2665" w:type="pct"/>
          </w:tcPr>
          <w:p w14:paraId="6AE8FA1A" w14:textId="77777777" w:rsidR="00B76E6D" w:rsidRPr="003726FE" w:rsidRDefault="00B76E6D" w:rsidP="00426FCB">
            <w:pPr>
              <w:rPr>
                <w:lang w:val="en-GB"/>
              </w:rPr>
            </w:pPr>
            <w:r w:rsidRPr="003726FE">
              <w:rPr>
                <w:lang w:val="en-GB"/>
              </w:rPr>
              <w:t>Any performance or progress monitoring example</w:t>
            </w:r>
          </w:p>
        </w:tc>
        <w:tc>
          <w:tcPr>
            <w:tcW w:w="407" w:type="pct"/>
          </w:tcPr>
          <w:p w14:paraId="06CFB33B" w14:textId="77777777" w:rsidR="00B76E6D" w:rsidRPr="003726FE" w:rsidRDefault="00B76E6D" w:rsidP="00426FCB">
            <w:pPr>
              <w:pStyle w:val="RightAlign"/>
              <w:rPr>
                <w:lang w:val="en-GB"/>
              </w:rPr>
            </w:pPr>
            <w:r w:rsidRPr="003726FE">
              <w:rPr>
                <w:lang w:val="en-GB"/>
              </w:rPr>
              <w:t>5</w:t>
            </w:r>
          </w:p>
        </w:tc>
        <w:tc>
          <w:tcPr>
            <w:tcW w:w="428" w:type="pct"/>
          </w:tcPr>
          <w:p w14:paraId="691B949B" w14:textId="77777777" w:rsidR="00B76E6D" w:rsidRPr="003726FE" w:rsidRDefault="00B76E6D" w:rsidP="00426FCB">
            <w:pPr>
              <w:pStyle w:val="RightAlign"/>
              <w:rPr>
                <w:lang w:val="en-GB"/>
              </w:rPr>
            </w:pPr>
            <w:r w:rsidRPr="003726FE">
              <w:rPr>
                <w:lang w:val="en-GB"/>
              </w:rPr>
              <w:t>6</w:t>
            </w:r>
          </w:p>
        </w:tc>
      </w:tr>
      <w:tr w:rsidR="00B76E6D" w:rsidRPr="003726FE" w14:paraId="1F099DB6"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2F105E2" w14:textId="77777777" w:rsidR="00B76E6D" w:rsidRPr="003726FE" w:rsidRDefault="00B76E6D" w:rsidP="00426FCB">
            <w:pPr>
              <w:ind w:left="450"/>
              <w:rPr>
                <w:lang w:val="en-GB"/>
              </w:rPr>
            </w:pPr>
            <w:r w:rsidRPr="003726FE">
              <w:rPr>
                <w:lang w:val="en-GB"/>
              </w:rPr>
              <w:t>Motivation</w:t>
            </w:r>
          </w:p>
        </w:tc>
        <w:tc>
          <w:tcPr>
            <w:tcW w:w="2665" w:type="pct"/>
          </w:tcPr>
          <w:p w14:paraId="137B6474" w14:textId="77777777" w:rsidR="00B76E6D" w:rsidRPr="003726FE" w:rsidRDefault="00B76E6D" w:rsidP="00426FCB">
            <w:pPr>
              <w:rPr>
                <w:lang w:val="en-GB"/>
              </w:rPr>
            </w:pPr>
            <w:r w:rsidRPr="003726FE">
              <w:rPr>
                <w:lang w:val="en-GB"/>
              </w:rPr>
              <w:t>Levels of motivation towards certain tasks or goals</w:t>
            </w:r>
          </w:p>
        </w:tc>
        <w:tc>
          <w:tcPr>
            <w:tcW w:w="407" w:type="pct"/>
          </w:tcPr>
          <w:p w14:paraId="7FC97633" w14:textId="77777777" w:rsidR="00B76E6D" w:rsidRPr="003726FE" w:rsidRDefault="00B76E6D" w:rsidP="00426FCB">
            <w:pPr>
              <w:pStyle w:val="RightAlign"/>
              <w:rPr>
                <w:lang w:val="en-GB"/>
              </w:rPr>
            </w:pPr>
            <w:r w:rsidRPr="003726FE">
              <w:rPr>
                <w:lang w:val="en-GB"/>
              </w:rPr>
              <w:t>1</w:t>
            </w:r>
          </w:p>
        </w:tc>
        <w:tc>
          <w:tcPr>
            <w:tcW w:w="428" w:type="pct"/>
          </w:tcPr>
          <w:p w14:paraId="6EC88E57" w14:textId="77777777" w:rsidR="00B76E6D" w:rsidRPr="003726FE" w:rsidRDefault="00B76E6D" w:rsidP="00426FCB">
            <w:pPr>
              <w:pStyle w:val="RightAlign"/>
              <w:rPr>
                <w:lang w:val="en-GB"/>
              </w:rPr>
            </w:pPr>
            <w:r w:rsidRPr="003726FE">
              <w:rPr>
                <w:lang w:val="en-GB"/>
              </w:rPr>
              <w:t>3</w:t>
            </w:r>
          </w:p>
        </w:tc>
      </w:tr>
      <w:tr w:rsidR="00B76E6D" w:rsidRPr="003726FE" w14:paraId="73C471A1"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EF41D91" w14:textId="77777777" w:rsidR="00B76E6D" w:rsidRPr="003726FE" w:rsidRDefault="00B76E6D" w:rsidP="00426FCB">
            <w:pPr>
              <w:ind w:left="450"/>
              <w:rPr>
                <w:lang w:val="en-GB"/>
              </w:rPr>
            </w:pPr>
            <w:r w:rsidRPr="003726FE">
              <w:rPr>
                <w:lang w:val="en-GB"/>
              </w:rPr>
              <w:t>Situational awareness</w:t>
            </w:r>
          </w:p>
        </w:tc>
        <w:tc>
          <w:tcPr>
            <w:tcW w:w="2665" w:type="pct"/>
          </w:tcPr>
          <w:p w14:paraId="061F2456" w14:textId="77777777" w:rsidR="00B76E6D" w:rsidRPr="003726FE" w:rsidRDefault="00B76E6D" w:rsidP="00426FCB">
            <w:pPr>
              <w:rPr>
                <w:lang w:val="en-GB"/>
              </w:rPr>
            </w:pPr>
            <w:r w:rsidRPr="003726FE">
              <w:rPr>
                <w:lang w:val="en-GB"/>
              </w:rPr>
              <w:t>Awareness of factors surrounding them which were social or environmental affecting their behaviours</w:t>
            </w:r>
          </w:p>
        </w:tc>
        <w:tc>
          <w:tcPr>
            <w:tcW w:w="407" w:type="pct"/>
          </w:tcPr>
          <w:p w14:paraId="73C1B6DA" w14:textId="77777777" w:rsidR="00B76E6D" w:rsidRPr="003726FE" w:rsidRDefault="00B76E6D" w:rsidP="00426FCB">
            <w:pPr>
              <w:pStyle w:val="RightAlign"/>
              <w:rPr>
                <w:lang w:val="en-GB"/>
              </w:rPr>
            </w:pPr>
            <w:r w:rsidRPr="003726FE">
              <w:rPr>
                <w:lang w:val="en-GB"/>
              </w:rPr>
              <w:t>3</w:t>
            </w:r>
          </w:p>
        </w:tc>
        <w:tc>
          <w:tcPr>
            <w:tcW w:w="428" w:type="pct"/>
          </w:tcPr>
          <w:p w14:paraId="6990D190" w14:textId="77777777" w:rsidR="00B76E6D" w:rsidRPr="003726FE" w:rsidRDefault="00B76E6D" w:rsidP="00426FCB">
            <w:pPr>
              <w:pStyle w:val="RightAlign"/>
              <w:rPr>
                <w:lang w:val="en-GB"/>
              </w:rPr>
            </w:pPr>
            <w:r w:rsidRPr="003726FE">
              <w:rPr>
                <w:lang w:val="en-GB"/>
              </w:rPr>
              <w:t>4</w:t>
            </w:r>
          </w:p>
        </w:tc>
      </w:tr>
      <w:tr w:rsidR="00B76E6D" w:rsidRPr="003726FE" w14:paraId="77060472"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5248120B" w14:textId="77777777" w:rsidR="00B76E6D" w:rsidRPr="003726FE" w:rsidRDefault="00B76E6D" w:rsidP="00426FCB">
            <w:pPr>
              <w:ind w:left="450"/>
              <w:rPr>
                <w:lang w:val="en-GB"/>
              </w:rPr>
            </w:pPr>
            <w:r w:rsidRPr="003726FE">
              <w:rPr>
                <w:lang w:val="en-GB"/>
              </w:rPr>
              <w:t>strategy planning</w:t>
            </w:r>
          </w:p>
        </w:tc>
        <w:tc>
          <w:tcPr>
            <w:tcW w:w="2665" w:type="pct"/>
          </w:tcPr>
          <w:p w14:paraId="31E900D8" w14:textId="77777777" w:rsidR="00B76E6D" w:rsidRPr="003726FE" w:rsidRDefault="00B76E6D" w:rsidP="00426FCB">
            <w:pPr>
              <w:rPr>
                <w:lang w:val="en-GB"/>
              </w:rPr>
            </w:pPr>
            <w:r w:rsidRPr="003726FE">
              <w:rPr>
                <w:lang w:val="en-GB"/>
              </w:rPr>
              <w:t>How students planned their progress towards their goals</w:t>
            </w:r>
          </w:p>
        </w:tc>
        <w:tc>
          <w:tcPr>
            <w:tcW w:w="407" w:type="pct"/>
          </w:tcPr>
          <w:p w14:paraId="52D237EF" w14:textId="77777777" w:rsidR="00B76E6D" w:rsidRPr="003726FE" w:rsidRDefault="00B76E6D" w:rsidP="00426FCB">
            <w:pPr>
              <w:pStyle w:val="RightAlign"/>
              <w:rPr>
                <w:lang w:val="en-GB"/>
              </w:rPr>
            </w:pPr>
            <w:r w:rsidRPr="003726FE">
              <w:rPr>
                <w:lang w:val="en-GB"/>
              </w:rPr>
              <w:t>5</w:t>
            </w:r>
          </w:p>
        </w:tc>
        <w:tc>
          <w:tcPr>
            <w:tcW w:w="428" w:type="pct"/>
          </w:tcPr>
          <w:p w14:paraId="65B8A104" w14:textId="77777777" w:rsidR="00B76E6D" w:rsidRPr="003726FE" w:rsidRDefault="00B76E6D" w:rsidP="00426FCB">
            <w:pPr>
              <w:pStyle w:val="RightAlign"/>
              <w:rPr>
                <w:lang w:val="en-GB"/>
              </w:rPr>
            </w:pPr>
            <w:r w:rsidRPr="003726FE">
              <w:rPr>
                <w:lang w:val="en-GB"/>
              </w:rPr>
              <w:t>5</w:t>
            </w:r>
          </w:p>
        </w:tc>
      </w:tr>
      <w:tr w:rsidR="00B76E6D" w:rsidRPr="003726FE" w14:paraId="5F0D1C79"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CE57C21" w14:textId="77777777" w:rsidR="00B76E6D" w:rsidRPr="003726FE" w:rsidRDefault="00B76E6D" w:rsidP="00426FCB">
            <w:pPr>
              <w:rPr>
                <w:b/>
                <w:lang w:val="en-GB"/>
              </w:rPr>
            </w:pPr>
            <w:r w:rsidRPr="003726FE">
              <w:rPr>
                <w:b/>
                <w:lang w:val="en-GB"/>
              </w:rPr>
              <w:t>Student perspective</w:t>
            </w:r>
          </w:p>
        </w:tc>
        <w:tc>
          <w:tcPr>
            <w:tcW w:w="2665" w:type="pct"/>
          </w:tcPr>
          <w:p w14:paraId="4AD7DB6C" w14:textId="77777777" w:rsidR="00B76E6D" w:rsidRPr="003726FE" w:rsidRDefault="00B76E6D" w:rsidP="00426FCB">
            <w:pPr>
              <w:rPr>
                <w:lang w:val="en-GB"/>
              </w:rPr>
            </w:pPr>
            <w:r w:rsidRPr="003726FE">
              <w:rPr>
                <w:lang w:val="en-GB"/>
              </w:rPr>
              <w:t>Perceptions of the student perspective</w:t>
            </w:r>
          </w:p>
        </w:tc>
        <w:tc>
          <w:tcPr>
            <w:tcW w:w="407" w:type="pct"/>
          </w:tcPr>
          <w:p w14:paraId="5609AB7B" w14:textId="77777777" w:rsidR="00B76E6D" w:rsidRPr="003726FE" w:rsidRDefault="00B76E6D" w:rsidP="00426FCB">
            <w:pPr>
              <w:pStyle w:val="RightAlign"/>
              <w:rPr>
                <w:lang w:val="en-GB"/>
              </w:rPr>
            </w:pPr>
            <w:r w:rsidRPr="003726FE">
              <w:rPr>
                <w:lang w:val="en-GB"/>
              </w:rPr>
              <w:t>13</w:t>
            </w:r>
          </w:p>
        </w:tc>
        <w:tc>
          <w:tcPr>
            <w:tcW w:w="428" w:type="pct"/>
          </w:tcPr>
          <w:p w14:paraId="4C046114" w14:textId="77777777" w:rsidR="00B76E6D" w:rsidRPr="003726FE" w:rsidRDefault="00B76E6D" w:rsidP="00426FCB">
            <w:pPr>
              <w:pStyle w:val="RightAlign"/>
              <w:rPr>
                <w:lang w:val="en-GB"/>
              </w:rPr>
            </w:pPr>
            <w:r w:rsidRPr="003726FE">
              <w:rPr>
                <w:lang w:val="en-GB"/>
              </w:rPr>
              <w:t>73</w:t>
            </w:r>
          </w:p>
        </w:tc>
      </w:tr>
      <w:tr w:rsidR="00B76E6D" w:rsidRPr="003726FE" w14:paraId="6403770C"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50A307E" w14:textId="77777777" w:rsidR="00B76E6D" w:rsidRPr="003726FE" w:rsidRDefault="00B76E6D" w:rsidP="00426FCB">
            <w:pPr>
              <w:ind w:left="450"/>
              <w:rPr>
                <w:lang w:val="en-GB"/>
              </w:rPr>
            </w:pPr>
            <w:r w:rsidRPr="003726FE">
              <w:rPr>
                <w:lang w:val="en-GB"/>
              </w:rPr>
              <w:t>feedback acceptance</w:t>
            </w:r>
          </w:p>
        </w:tc>
        <w:tc>
          <w:tcPr>
            <w:tcW w:w="2665" w:type="pct"/>
          </w:tcPr>
          <w:p w14:paraId="42F2FFC8" w14:textId="77777777" w:rsidR="00B76E6D" w:rsidRPr="003726FE" w:rsidRDefault="00B76E6D" w:rsidP="00426FCB">
            <w:pPr>
              <w:rPr>
                <w:lang w:val="en-GB"/>
              </w:rPr>
            </w:pPr>
            <w:r w:rsidRPr="003726FE">
              <w:rPr>
                <w:lang w:val="en-GB"/>
              </w:rPr>
              <w:t>Perceived acceptance of given feedback</w:t>
            </w:r>
          </w:p>
        </w:tc>
        <w:tc>
          <w:tcPr>
            <w:tcW w:w="407" w:type="pct"/>
          </w:tcPr>
          <w:p w14:paraId="7F4B635C" w14:textId="77777777" w:rsidR="00B76E6D" w:rsidRPr="003726FE" w:rsidRDefault="00B76E6D" w:rsidP="00426FCB">
            <w:pPr>
              <w:pStyle w:val="RightAlign"/>
              <w:rPr>
                <w:lang w:val="en-GB"/>
              </w:rPr>
            </w:pPr>
            <w:r w:rsidRPr="003726FE">
              <w:rPr>
                <w:lang w:val="en-GB"/>
              </w:rPr>
              <w:t>5</w:t>
            </w:r>
          </w:p>
        </w:tc>
        <w:tc>
          <w:tcPr>
            <w:tcW w:w="428" w:type="pct"/>
          </w:tcPr>
          <w:p w14:paraId="0A2FBA1C" w14:textId="77777777" w:rsidR="00B76E6D" w:rsidRPr="003726FE" w:rsidRDefault="00B76E6D" w:rsidP="00426FCB">
            <w:pPr>
              <w:pStyle w:val="RightAlign"/>
              <w:rPr>
                <w:lang w:val="en-GB"/>
              </w:rPr>
            </w:pPr>
            <w:r w:rsidRPr="003726FE">
              <w:rPr>
                <w:lang w:val="en-GB"/>
              </w:rPr>
              <w:t>7</w:t>
            </w:r>
          </w:p>
        </w:tc>
      </w:tr>
      <w:tr w:rsidR="00B76E6D" w:rsidRPr="003726FE" w14:paraId="245AD432"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73FAEE02" w14:textId="77777777" w:rsidR="00B76E6D" w:rsidRPr="003726FE" w:rsidRDefault="00B76E6D" w:rsidP="00426FCB">
            <w:pPr>
              <w:ind w:left="450"/>
              <w:rPr>
                <w:lang w:val="en-GB"/>
              </w:rPr>
            </w:pPr>
            <w:r w:rsidRPr="003726FE">
              <w:rPr>
                <w:lang w:val="en-GB"/>
              </w:rPr>
              <w:t>Learner led</w:t>
            </w:r>
          </w:p>
        </w:tc>
        <w:tc>
          <w:tcPr>
            <w:tcW w:w="2665" w:type="pct"/>
          </w:tcPr>
          <w:p w14:paraId="7C89BD15" w14:textId="77777777" w:rsidR="00B76E6D" w:rsidRPr="003726FE" w:rsidRDefault="00B76E6D" w:rsidP="00426FCB">
            <w:pPr>
              <w:rPr>
                <w:lang w:val="en-GB"/>
              </w:rPr>
            </w:pPr>
            <w:r w:rsidRPr="003726FE">
              <w:rPr>
                <w:lang w:val="en-GB"/>
              </w:rPr>
              <w:t>Learner leading the interaction</w:t>
            </w:r>
          </w:p>
        </w:tc>
        <w:tc>
          <w:tcPr>
            <w:tcW w:w="407" w:type="pct"/>
          </w:tcPr>
          <w:p w14:paraId="4B27C04B" w14:textId="77777777" w:rsidR="00B76E6D" w:rsidRPr="003726FE" w:rsidRDefault="00B76E6D" w:rsidP="00426FCB">
            <w:pPr>
              <w:pStyle w:val="RightAlign"/>
              <w:rPr>
                <w:lang w:val="en-GB"/>
              </w:rPr>
            </w:pPr>
            <w:r w:rsidRPr="003726FE">
              <w:rPr>
                <w:lang w:val="en-GB"/>
              </w:rPr>
              <w:t>1</w:t>
            </w:r>
          </w:p>
        </w:tc>
        <w:tc>
          <w:tcPr>
            <w:tcW w:w="428" w:type="pct"/>
          </w:tcPr>
          <w:p w14:paraId="4F08EC37" w14:textId="77777777" w:rsidR="00B76E6D" w:rsidRPr="003726FE" w:rsidRDefault="00B76E6D" w:rsidP="00426FCB">
            <w:pPr>
              <w:pStyle w:val="RightAlign"/>
              <w:rPr>
                <w:lang w:val="en-GB"/>
              </w:rPr>
            </w:pPr>
            <w:r w:rsidRPr="003726FE">
              <w:rPr>
                <w:lang w:val="en-GB"/>
              </w:rPr>
              <w:t>1</w:t>
            </w:r>
          </w:p>
        </w:tc>
      </w:tr>
      <w:tr w:rsidR="00B76E6D" w:rsidRPr="003726FE" w14:paraId="6DBB94F3"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4B8B5050" w14:textId="77777777" w:rsidR="00B76E6D" w:rsidRPr="003726FE" w:rsidRDefault="00B76E6D" w:rsidP="00426FCB">
            <w:pPr>
              <w:ind w:left="450"/>
              <w:rPr>
                <w:lang w:val="en-GB"/>
              </w:rPr>
            </w:pPr>
            <w:r w:rsidRPr="003726FE">
              <w:rPr>
                <w:lang w:val="en-GB"/>
              </w:rPr>
              <w:lastRenderedPageBreak/>
              <w:t>Maturity</w:t>
            </w:r>
          </w:p>
        </w:tc>
        <w:tc>
          <w:tcPr>
            <w:tcW w:w="2665" w:type="pct"/>
          </w:tcPr>
          <w:p w14:paraId="3A94F836" w14:textId="77777777" w:rsidR="00B76E6D" w:rsidRPr="003726FE" w:rsidRDefault="00B76E6D" w:rsidP="00426FCB">
            <w:pPr>
              <w:rPr>
                <w:lang w:val="en-GB"/>
              </w:rPr>
            </w:pPr>
            <w:r w:rsidRPr="003726FE">
              <w:rPr>
                <w:lang w:val="en-GB"/>
              </w:rPr>
              <w:t>References to their specific level of learning or maturation on the medical course</w:t>
            </w:r>
          </w:p>
        </w:tc>
        <w:tc>
          <w:tcPr>
            <w:tcW w:w="407" w:type="pct"/>
          </w:tcPr>
          <w:p w14:paraId="0002FFB8" w14:textId="77777777" w:rsidR="00B76E6D" w:rsidRPr="003726FE" w:rsidRDefault="00B76E6D" w:rsidP="00426FCB">
            <w:pPr>
              <w:pStyle w:val="RightAlign"/>
              <w:rPr>
                <w:lang w:val="en-GB"/>
              </w:rPr>
            </w:pPr>
            <w:r w:rsidRPr="003726FE">
              <w:rPr>
                <w:lang w:val="en-GB"/>
              </w:rPr>
              <w:t>11</w:t>
            </w:r>
          </w:p>
        </w:tc>
        <w:tc>
          <w:tcPr>
            <w:tcW w:w="428" w:type="pct"/>
          </w:tcPr>
          <w:p w14:paraId="0E18EFFE" w14:textId="77777777" w:rsidR="00B76E6D" w:rsidRPr="003726FE" w:rsidRDefault="00B76E6D" w:rsidP="00426FCB">
            <w:pPr>
              <w:pStyle w:val="RightAlign"/>
              <w:rPr>
                <w:lang w:val="en-GB"/>
              </w:rPr>
            </w:pPr>
            <w:r w:rsidRPr="003726FE">
              <w:rPr>
                <w:lang w:val="en-GB"/>
              </w:rPr>
              <w:t>19</w:t>
            </w:r>
          </w:p>
        </w:tc>
      </w:tr>
      <w:tr w:rsidR="00B76E6D" w:rsidRPr="003726FE" w14:paraId="2F82EEF6"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504E2659" w14:textId="77777777" w:rsidR="00B76E6D" w:rsidRPr="003726FE" w:rsidRDefault="00B76E6D" w:rsidP="00426FCB">
            <w:pPr>
              <w:ind w:left="450"/>
              <w:rPr>
                <w:lang w:val="en-GB"/>
              </w:rPr>
            </w:pPr>
            <w:r w:rsidRPr="003726FE">
              <w:rPr>
                <w:lang w:val="en-GB"/>
              </w:rPr>
              <w:t>Student response</w:t>
            </w:r>
          </w:p>
        </w:tc>
        <w:tc>
          <w:tcPr>
            <w:tcW w:w="2665" w:type="pct"/>
          </w:tcPr>
          <w:p w14:paraId="6122147F" w14:textId="77777777" w:rsidR="00B76E6D" w:rsidRPr="003726FE" w:rsidRDefault="00B76E6D" w:rsidP="00426FCB">
            <w:pPr>
              <w:rPr>
                <w:lang w:val="en-GB"/>
              </w:rPr>
            </w:pPr>
            <w:r w:rsidRPr="003726FE">
              <w:rPr>
                <w:lang w:val="en-GB"/>
              </w:rPr>
              <w:t>Perceived student response</w:t>
            </w:r>
          </w:p>
        </w:tc>
        <w:tc>
          <w:tcPr>
            <w:tcW w:w="407" w:type="pct"/>
          </w:tcPr>
          <w:p w14:paraId="7379491D" w14:textId="77777777" w:rsidR="00B76E6D" w:rsidRPr="003726FE" w:rsidRDefault="00B76E6D" w:rsidP="00426FCB">
            <w:pPr>
              <w:pStyle w:val="RightAlign"/>
              <w:rPr>
                <w:lang w:val="en-GB"/>
              </w:rPr>
            </w:pPr>
            <w:r w:rsidRPr="003726FE">
              <w:rPr>
                <w:lang w:val="en-GB"/>
              </w:rPr>
              <w:t>11</w:t>
            </w:r>
          </w:p>
        </w:tc>
        <w:tc>
          <w:tcPr>
            <w:tcW w:w="428" w:type="pct"/>
          </w:tcPr>
          <w:p w14:paraId="0EF6DCD7" w14:textId="77777777" w:rsidR="00B76E6D" w:rsidRPr="003726FE" w:rsidRDefault="00B76E6D" w:rsidP="00426FCB">
            <w:pPr>
              <w:pStyle w:val="RightAlign"/>
              <w:rPr>
                <w:lang w:val="en-GB"/>
              </w:rPr>
            </w:pPr>
            <w:r w:rsidRPr="003726FE">
              <w:rPr>
                <w:lang w:val="en-GB"/>
              </w:rPr>
              <w:t>42</w:t>
            </w:r>
          </w:p>
        </w:tc>
      </w:tr>
      <w:tr w:rsidR="00B76E6D" w:rsidRPr="003726FE" w14:paraId="08B680C2"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4D161873" w14:textId="77777777" w:rsidR="00B76E6D" w:rsidRPr="003726FE" w:rsidRDefault="00B76E6D" w:rsidP="00426FCB">
            <w:pPr>
              <w:ind w:left="900"/>
              <w:rPr>
                <w:i/>
                <w:lang w:val="en-GB"/>
              </w:rPr>
            </w:pPr>
            <w:r w:rsidRPr="003726FE">
              <w:rPr>
                <w:i/>
                <w:lang w:val="en-GB"/>
              </w:rPr>
              <w:t>Student response to BPF</w:t>
            </w:r>
          </w:p>
        </w:tc>
        <w:tc>
          <w:tcPr>
            <w:tcW w:w="2665" w:type="pct"/>
          </w:tcPr>
          <w:p w14:paraId="63B4DFBF" w14:textId="77777777" w:rsidR="00B76E6D" w:rsidRPr="003726FE" w:rsidRDefault="00B76E6D" w:rsidP="00426FCB">
            <w:pPr>
              <w:rPr>
                <w:lang w:val="en-GB"/>
              </w:rPr>
            </w:pPr>
            <w:r w:rsidRPr="003726FE">
              <w:rPr>
                <w:lang w:val="en-GB"/>
              </w:rPr>
              <w:t>Perceived student reactions to use of BPF</w:t>
            </w:r>
          </w:p>
        </w:tc>
        <w:tc>
          <w:tcPr>
            <w:tcW w:w="407" w:type="pct"/>
          </w:tcPr>
          <w:p w14:paraId="2CF898C6" w14:textId="77777777" w:rsidR="00B76E6D" w:rsidRPr="003726FE" w:rsidRDefault="00B76E6D" w:rsidP="00426FCB">
            <w:pPr>
              <w:pStyle w:val="RightAlign"/>
              <w:rPr>
                <w:lang w:val="en-GB"/>
              </w:rPr>
            </w:pPr>
            <w:r w:rsidRPr="003726FE">
              <w:rPr>
                <w:lang w:val="en-GB"/>
              </w:rPr>
              <w:t>3</w:t>
            </w:r>
          </w:p>
        </w:tc>
        <w:tc>
          <w:tcPr>
            <w:tcW w:w="428" w:type="pct"/>
          </w:tcPr>
          <w:p w14:paraId="5809BD78" w14:textId="77777777" w:rsidR="00B76E6D" w:rsidRPr="003726FE" w:rsidRDefault="00B76E6D" w:rsidP="00426FCB">
            <w:pPr>
              <w:pStyle w:val="RightAlign"/>
              <w:rPr>
                <w:lang w:val="en-GB"/>
              </w:rPr>
            </w:pPr>
            <w:r w:rsidRPr="003726FE">
              <w:rPr>
                <w:lang w:val="en-GB"/>
              </w:rPr>
              <w:t>4</w:t>
            </w:r>
          </w:p>
        </w:tc>
      </w:tr>
      <w:tr w:rsidR="00B76E6D" w:rsidRPr="003726FE" w14:paraId="55FC9FDD"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5C7655FC" w14:textId="77777777" w:rsidR="00B76E6D" w:rsidRPr="003726FE" w:rsidRDefault="00B76E6D" w:rsidP="00426FCB">
            <w:pPr>
              <w:ind w:left="900"/>
              <w:rPr>
                <w:i/>
                <w:lang w:val="en-GB"/>
              </w:rPr>
            </w:pPr>
            <w:r w:rsidRPr="003726FE">
              <w:rPr>
                <w:i/>
                <w:lang w:val="en-GB"/>
              </w:rPr>
              <w:t>Student response to SRL MA</w:t>
            </w:r>
          </w:p>
        </w:tc>
        <w:tc>
          <w:tcPr>
            <w:tcW w:w="2665" w:type="pct"/>
          </w:tcPr>
          <w:p w14:paraId="42CD97A3" w14:textId="77777777" w:rsidR="00B76E6D" w:rsidRPr="003726FE" w:rsidRDefault="00B76E6D" w:rsidP="00426FCB">
            <w:pPr>
              <w:rPr>
                <w:lang w:val="en-GB"/>
              </w:rPr>
            </w:pPr>
            <w:r w:rsidRPr="003726FE">
              <w:rPr>
                <w:lang w:val="en-GB"/>
              </w:rPr>
              <w:t>Perceived student reactions to use of SRL MA</w:t>
            </w:r>
          </w:p>
        </w:tc>
        <w:tc>
          <w:tcPr>
            <w:tcW w:w="407" w:type="pct"/>
          </w:tcPr>
          <w:p w14:paraId="643F220D" w14:textId="77777777" w:rsidR="00B76E6D" w:rsidRPr="003726FE" w:rsidRDefault="00B76E6D" w:rsidP="00426FCB">
            <w:pPr>
              <w:pStyle w:val="RightAlign"/>
              <w:rPr>
                <w:lang w:val="en-GB"/>
              </w:rPr>
            </w:pPr>
            <w:r w:rsidRPr="003726FE">
              <w:rPr>
                <w:lang w:val="en-GB"/>
              </w:rPr>
              <w:t>7</w:t>
            </w:r>
          </w:p>
        </w:tc>
        <w:tc>
          <w:tcPr>
            <w:tcW w:w="428" w:type="pct"/>
          </w:tcPr>
          <w:p w14:paraId="650A44C1" w14:textId="77777777" w:rsidR="00B76E6D" w:rsidRPr="003726FE" w:rsidRDefault="00B76E6D" w:rsidP="00426FCB">
            <w:pPr>
              <w:pStyle w:val="RightAlign"/>
              <w:rPr>
                <w:lang w:val="en-GB"/>
              </w:rPr>
            </w:pPr>
            <w:r w:rsidRPr="003726FE">
              <w:rPr>
                <w:lang w:val="en-GB"/>
              </w:rPr>
              <w:t>29</w:t>
            </w:r>
          </w:p>
        </w:tc>
      </w:tr>
      <w:tr w:rsidR="00B76E6D" w:rsidRPr="003726FE" w14:paraId="53A60A4B"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578DD5DF" w14:textId="77777777" w:rsidR="00B76E6D" w:rsidRPr="003726FE" w:rsidRDefault="00B76E6D" w:rsidP="00426FCB">
            <w:pPr>
              <w:ind w:left="900"/>
              <w:rPr>
                <w:i/>
                <w:lang w:val="en-GB"/>
              </w:rPr>
            </w:pPr>
            <w:r w:rsidRPr="003726FE">
              <w:rPr>
                <w:i/>
                <w:lang w:val="en-GB"/>
              </w:rPr>
              <w:t>Surface learning</w:t>
            </w:r>
          </w:p>
        </w:tc>
        <w:tc>
          <w:tcPr>
            <w:tcW w:w="2665" w:type="pct"/>
          </w:tcPr>
          <w:p w14:paraId="7752BE20" w14:textId="77777777" w:rsidR="00B76E6D" w:rsidRPr="003726FE" w:rsidRDefault="00B76E6D" w:rsidP="00426FCB">
            <w:pPr>
              <w:rPr>
                <w:lang w:val="en-GB"/>
              </w:rPr>
            </w:pPr>
            <w:r w:rsidRPr="003726FE">
              <w:rPr>
                <w:lang w:val="en-GB"/>
              </w:rPr>
              <w:t>Lack of engaged learning</w:t>
            </w:r>
          </w:p>
        </w:tc>
        <w:tc>
          <w:tcPr>
            <w:tcW w:w="407" w:type="pct"/>
          </w:tcPr>
          <w:p w14:paraId="3C54C3F7" w14:textId="77777777" w:rsidR="00B76E6D" w:rsidRPr="003726FE" w:rsidRDefault="00B76E6D" w:rsidP="00426FCB">
            <w:pPr>
              <w:pStyle w:val="RightAlign"/>
              <w:rPr>
                <w:lang w:val="en-GB"/>
              </w:rPr>
            </w:pPr>
            <w:r w:rsidRPr="003726FE">
              <w:rPr>
                <w:lang w:val="en-GB"/>
              </w:rPr>
              <w:t>4</w:t>
            </w:r>
          </w:p>
        </w:tc>
        <w:tc>
          <w:tcPr>
            <w:tcW w:w="428" w:type="pct"/>
          </w:tcPr>
          <w:p w14:paraId="1AEEBBC4" w14:textId="77777777" w:rsidR="00B76E6D" w:rsidRPr="003726FE" w:rsidRDefault="00B76E6D" w:rsidP="00426FCB">
            <w:pPr>
              <w:pStyle w:val="RightAlign"/>
              <w:rPr>
                <w:lang w:val="en-GB"/>
              </w:rPr>
            </w:pPr>
            <w:r w:rsidRPr="003726FE">
              <w:rPr>
                <w:lang w:val="en-GB"/>
              </w:rPr>
              <w:t>9</w:t>
            </w:r>
          </w:p>
        </w:tc>
      </w:tr>
      <w:tr w:rsidR="00B76E6D" w:rsidRPr="003726FE" w14:paraId="0F7B5956"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23E5D303" w14:textId="77777777" w:rsidR="00B76E6D" w:rsidRPr="003726FE" w:rsidRDefault="00B76E6D" w:rsidP="00426FCB">
            <w:pPr>
              <w:ind w:left="1350"/>
              <w:rPr>
                <w:i/>
                <w:lang w:val="en-GB"/>
              </w:rPr>
            </w:pPr>
            <w:r w:rsidRPr="003726FE">
              <w:rPr>
                <w:i/>
                <w:lang w:val="en-GB"/>
              </w:rPr>
              <w:t>Exam focused</w:t>
            </w:r>
          </w:p>
        </w:tc>
        <w:tc>
          <w:tcPr>
            <w:tcW w:w="2665" w:type="pct"/>
          </w:tcPr>
          <w:p w14:paraId="42DCE5EB" w14:textId="77777777" w:rsidR="00B76E6D" w:rsidRPr="003726FE" w:rsidRDefault="00B76E6D" w:rsidP="00426FCB">
            <w:pPr>
              <w:rPr>
                <w:lang w:val="en-GB"/>
              </w:rPr>
            </w:pPr>
            <w:r w:rsidRPr="003726FE">
              <w:rPr>
                <w:lang w:val="en-GB"/>
              </w:rPr>
              <w:t>Any reference to formal examinations (not to be confused with clinical skills examinations e.g. abdominal examination)</w:t>
            </w:r>
          </w:p>
        </w:tc>
        <w:tc>
          <w:tcPr>
            <w:tcW w:w="407" w:type="pct"/>
          </w:tcPr>
          <w:p w14:paraId="2F6D3B51" w14:textId="77777777" w:rsidR="00B76E6D" w:rsidRPr="003726FE" w:rsidRDefault="00B76E6D" w:rsidP="00426FCB">
            <w:pPr>
              <w:pStyle w:val="RightAlign"/>
              <w:rPr>
                <w:lang w:val="en-GB"/>
              </w:rPr>
            </w:pPr>
            <w:r w:rsidRPr="003726FE">
              <w:rPr>
                <w:lang w:val="en-GB"/>
              </w:rPr>
              <w:t>1</w:t>
            </w:r>
          </w:p>
        </w:tc>
        <w:tc>
          <w:tcPr>
            <w:tcW w:w="428" w:type="pct"/>
          </w:tcPr>
          <w:p w14:paraId="0C896F31" w14:textId="77777777" w:rsidR="00B76E6D" w:rsidRPr="003726FE" w:rsidRDefault="00B76E6D" w:rsidP="00426FCB">
            <w:pPr>
              <w:pStyle w:val="RightAlign"/>
              <w:rPr>
                <w:lang w:val="en-GB"/>
              </w:rPr>
            </w:pPr>
            <w:r w:rsidRPr="003726FE">
              <w:rPr>
                <w:lang w:val="en-GB"/>
              </w:rPr>
              <w:t>1</w:t>
            </w:r>
          </w:p>
        </w:tc>
      </w:tr>
      <w:tr w:rsidR="00B76E6D" w:rsidRPr="003726FE" w14:paraId="3CB320E9"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0A1EE401" w14:textId="77777777" w:rsidR="00B76E6D" w:rsidRPr="003726FE" w:rsidRDefault="00B76E6D" w:rsidP="00426FCB">
            <w:pPr>
              <w:rPr>
                <w:b/>
                <w:lang w:val="en-GB"/>
              </w:rPr>
            </w:pPr>
            <w:r w:rsidRPr="003726FE">
              <w:rPr>
                <w:b/>
                <w:lang w:val="en-GB"/>
              </w:rPr>
              <w:t>Tutors personal experience</w:t>
            </w:r>
          </w:p>
        </w:tc>
        <w:tc>
          <w:tcPr>
            <w:tcW w:w="2665" w:type="pct"/>
          </w:tcPr>
          <w:p w14:paraId="5E1DB0D6" w14:textId="77777777" w:rsidR="00B76E6D" w:rsidRPr="003726FE" w:rsidRDefault="00B76E6D" w:rsidP="00426FCB">
            <w:pPr>
              <w:rPr>
                <w:lang w:val="en-GB"/>
              </w:rPr>
            </w:pPr>
            <w:r w:rsidRPr="003726FE">
              <w:rPr>
                <w:lang w:val="en-GB"/>
              </w:rPr>
              <w:t>Direct teacher perspective related to the self</w:t>
            </w:r>
          </w:p>
        </w:tc>
        <w:tc>
          <w:tcPr>
            <w:tcW w:w="407" w:type="pct"/>
          </w:tcPr>
          <w:p w14:paraId="3415DD9B" w14:textId="77777777" w:rsidR="00B76E6D" w:rsidRPr="003726FE" w:rsidRDefault="00B76E6D" w:rsidP="00426FCB">
            <w:pPr>
              <w:pStyle w:val="RightAlign"/>
              <w:rPr>
                <w:lang w:val="en-GB"/>
              </w:rPr>
            </w:pPr>
            <w:r w:rsidRPr="003726FE">
              <w:rPr>
                <w:lang w:val="en-GB"/>
              </w:rPr>
              <w:t>13</w:t>
            </w:r>
          </w:p>
        </w:tc>
        <w:tc>
          <w:tcPr>
            <w:tcW w:w="428" w:type="pct"/>
          </w:tcPr>
          <w:p w14:paraId="45E3514F" w14:textId="77777777" w:rsidR="00B76E6D" w:rsidRPr="003726FE" w:rsidRDefault="00B76E6D" w:rsidP="00426FCB">
            <w:pPr>
              <w:pStyle w:val="RightAlign"/>
              <w:rPr>
                <w:lang w:val="en-GB"/>
              </w:rPr>
            </w:pPr>
            <w:r w:rsidRPr="003726FE">
              <w:rPr>
                <w:lang w:val="en-GB"/>
              </w:rPr>
              <w:t>85</w:t>
            </w:r>
          </w:p>
        </w:tc>
      </w:tr>
      <w:tr w:rsidR="00B76E6D" w:rsidRPr="003726FE" w14:paraId="70A5688D"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3F0262FC" w14:textId="77777777" w:rsidR="00B76E6D" w:rsidRPr="003726FE" w:rsidRDefault="00B76E6D" w:rsidP="00426FCB">
            <w:pPr>
              <w:ind w:left="450"/>
              <w:rPr>
                <w:lang w:val="en-GB"/>
              </w:rPr>
            </w:pPr>
            <w:r w:rsidRPr="003726FE">
              <w:rPr>
                <w:lang w:val="en-GB"/>
              </w:rPr>
              <w:t>Assessing SRL</w:t>
            </w:r>
          </w:p>
        </w:tc>
        <w:tc>
          <w:tcPr>
            <w:tcW w:w="2665" w:type="pct"/>
          </w:tcPr>
          <w:p w14:paraId="599C3D4E" w14:textId="77777777" w:rsidR="00B76E6D" w:rsidRPr="003726FE" w:rsidRDefault="00B76E6D" w:rsidP="00426FCB">
            <w:pPr>
              <w:rPr>
                <w:lang w:val="en-GB"/>
              </w:rPr>
            </w:pPr>
            <w:r w:rsidRPr="003726FE">
              <w:rPr>
                <w:lang w:val="en-GB"/>
              </w:rPr>
              <w:t>Their ability to assess SRL</w:t>
            </w:r>
          </w:p>
        </w:tc>
        <w:tc>
          <w:tcPr>
            <w:tcW w:w="407" w:type="pct"/>
          </w:tcPr>
          <w:p w14:paraId="59E8B86B" w14:textId="77777777" w:rsidR="00B76E6D" w:rsidRPr="003726FE" w:rsidRDefault="00B76E6D" w:rsidP="00426FCB">
            <w:pPr>
              <w:pStyle w:val="RightAlign"/>
              <w:rPr>
                <w:lang w:val="en-GB"/>
              </w:rPr>
            </w:pPr>
            <w:r w:rsidRPr="003726FE">
              <w:rPr>
                <w:lang w:val="en-GB"/>
              </w:rPr>
              <w:t>7</w:t>
            </w:r>
          </w:p>
        </w:tc>
        <w:tc>
          <w:tcPr>
            <w:tcW w:w="428" w:type="pct"/>
          </w:tcPr>
          <w:p w14:paraId="4FF7CDF7" w14:textId="77777777" w:rsidR="00B76E6D" w:rsidRPr="003726FE" w:rsidRDefault="00B76E6D" w:rsidP="00426FCB">
            <w:pPr>
              <w:pStyle w:val="RightAlign"/>
              <w:rPr>
                <w:lang w:val="en-GB"/>
              </w:rPr>
            </w:pPr>
            <w:r w:rsidRPr="003726FE">
              <w:rPr>
                <w:lang w:val="en-GB"/>
              </w:rPr>
              <w:t>11</w:t>
            </w:r>
          </w:p>
        </w:tc>
      </w:tr>
      <w:tr w:rsidR="00B76E6D" w:rsidRPr="003726FE" w14:paraId="61B3AC31"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14A8D1AD" w14:textId="77777777" w:rsidR="00B76E6D" w:rsidRPr="003726FE" w:rsidRDefault="00B76E6D" w:rsidP="00426FCB">
            <w:pPr>
              <w:ind w:left="450"/>
              <w:rPr>
                <w:lang w:val="en-GB"/>
              </w:rPr>
            </w:pPr>
            <w:r w:rsidRPr="003726FE">
              <w:rPr>
                <w:lang w:val="en-GB"/>
              </w:rPr>
              <w:t>personal reflection</w:t>
            </w:r>
          </w:p>
        </w:tc>
        <w:tc>
          <w:tcPr>
            <w:tcW w:w="2665" w:type="pct"/>
          </w:tcPr>
          <w:p w14:paraId="2B80956B" w14:textId="77777777" w:rsidR="00B76E6D" w:rsidRPr="003726FE" w:rsidRDefault="00B76E6D" w:rsidP="00426FCB">
            <w:pPr>
              <w:rPr>
                <w:lang w:val="en-GB"/>
              </w:rPr>
            </w:pPr>
            <w:r w:rsidRPr="003726FE">
              <w:rPr>
                <w:lang w:val="en-GB"/>
              </w:rPr>
              <w:t>How they reflect upon their practice and themselves</w:t>
            </w:r>
          </w:p>
        </w:tc>
        <w:tc>
          <w:tcPr>
            <w:tcW w:w="407" w:type="pct"/>
          </w:tcPr>
          <w:p w14:paraId="7EF0ECDA" w14:textId="77777777" w:rsidR="00B76E6D" w:rsidRPr="003726FE" w:rsidRDefault="00B76E6D" w:rsidP="00426FCB">
            <w:pPr>
              <w:pStyle w:val="RightAlign"/>
              <w:rPr>
                <w:lang w:val="en-GB"/>
              </w:rPr>
            </w:pPr>
            <w:r w:rsidRPr="003726FE">
              <w:rPr>
                <w:lang w:val="en-GB"/>
              </w:rPr>
              <w:t>9</w:t>
            </w:r>
          </w:p>
        </w:tc>
        <w:tc>
          <w:tcPr>
            <w:tcW w:w="428" w:type="pct"/>
          </w:tcPr>
          <w:p w14:paraId="7BBB763B" w14:textId="77777777" w:rsidR="00B76E6D" w:rsidRPr="003726FE" w:rsidRDefault="00B76E6D" w:rsidP="00426FCB">
            <w:pPr>
              <w:pStyle w:val="RightAlign"/>
              <w:rPr>
                <w:lang w:val="en-GB"/>
              </w:rPr>
            </w:pPr>
            <w:r w:rsidRPr="003726FE">
              <w:rPr>
                <w:lang w:val="en-GB"/>
              </w:rPr>
              <w:t>19</w:t>
            </w:r>
          </w:p>
        </w:tc>
      </w:tr>
      <w:tr w:rsidR="00B76E6D" w:rsidRPr="003726FE" w14:paraId="0634BA11"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44E1D042" w14:textId="77777777" w:rsidR="00B76E6D" w:rsidRPr="003726FE" w:rsidRDefault="00B76E6D" w:rsidP="00426FCB">
            <w:pPr>
              <w:ind w:left="450"/>
              <w:rPr>
                <w:lang w:val="en-GB"/>
              </w:rPr>
            </w:pPr>
            <w:r w:rsidRPr="003726FE">
              <w:rPr>
                <w:lang w:val="en-GB"/>
              </w:rPr>
              <w:t>Recommendations and changes BPF</w:t>
            </w:r>
          </w:p>
        </w:tc>
        <w:tc>
          <w:tcPr>
            <w:tcW w:w="2665" w:type="pct"/>
          </w:tcPr>
          <w:p w14:paraId="25FF4281" w14:textId="77777777" w:rsidR="00B76E6D" w:rsidRPr="003726FE" w:rsidRDefault="00B76E6D" w:rsidP="00426FCB">
            <w:pPr>
              <w:rPr>
                <w:lang w:val="en-GB"/>
              </w:rPr>
            </w:pPr>
            <w:r w:rsidRPr="003726FE">
              <w:rPr>
                <w:lang w:val="en-GB"/>
              </w:rPr>
              <w:t>How they would change the BPF model</w:t>
            </w:r>
          </w:p>
        </w:tc>
        <w:tc>
          <w:tcPr>
            <w:tcW w:w="407" w:type="pct"/>
          </w:tcPr>
          <w:p w14:paraId="4CA71020" w14:textId="77777777" w:rsidR="00B76E6D" w:rsidRPr="003726FE" w:rsidRDefault="00B76E6D" w:rsidP="00426FCB">
            <w:pPr>
              <w:pStyle w:val="RightAlign"/>
              <w:rPr>
                <w:lang w:val="en-GB"/>
              </w:rPr>
            </w:pPr>
            <w:r w:rsidRPr="003726FE">
              <w:rPr>
                <w:lang w:val="en-GB"/>
              </w:rPr>
              <w:t>5</w:t>
            </w:r>
          </w:p>
        </w:tc>
        <w:tc>
          <w:tcPr>
            <w:tcW w:w="428" w:type="pct"/>
          </w:tcPr>
          <w:p w14:paraId="40227D7B" w14:textId="77777777" w:rsidR="00B76E6D" w:rsidRPr="003726FE" w:rsidRDefault="00B76E6D" w:rsidP="00426FCB">
            <w:pPr>
              <w:pStyle w:val="RightAlign"/>
              <w:rPr>
                <w:lang w:val="en-GB"/>
              </w:rPr>
            </w:pPr>
            <w:r w:rsidRPr="003726FE">
              <w:rPr>
                <w:lang w:val="en-GB"/>
              </w:rPr>
              <w:t>6</w:t>
            </w:r>
          </w:p>
        </w:tc>
      </w:tr>
      <w:tr w:rsidR="00B76E6D" w:rsidRPr="003726FE" w14:paraId="3B208165" w14:textId="77777777" w:rsidTr="00426FCB">
        <w:trPr>
          <w:cnfStyle w:val="000000100000" w:firstRow="0" w:lastRow="0" w:firstColumn="0" w:lastColumn="0" w:oddVBand="0" w:evenVBand="0" w:oddHBand="1" w:evenHBand="0" w:firstRowFirstColumn="0" w:firstRowLastColumn="0" w:lastRowFirstColumn="0" w:lastRowLastColumn="0"/>
        </w:trPr>
        <w:tc>
          <w:tcPr>
            <w:tcW w:w="1500" w:type="pct"/>
          </w:tcPr>
          <w:p w14:paraId="2FD2E49C" w14:textId="77777777" w:rsidR="00B76E6D" w:rsidRPr="003726FE" w:rsidRDefault="00B76E6D" w:rsidP="00426FCB">
            <w:pPr>
              <w:ind w:left="450"/>
              <w:rPr>
                <w:lang w:val="en-GB"/>
              </w:rPr>
            </w:pPr>
            <w:r w:rsidRPr="003726FE">
              <w:rPr>
                <w:lang w:val="en-GB"/>
              </w:rPr>
              <w:t>Recommendations and changes SRL</w:t>
            </w:r>
          </w:p>
        </w:tc>
        <w:tc>
          <w:tcPr>
            <w:tcW w:w="2665" w:type="pct"/>
          </w:tcPr>
          <w:p w14:paraId="4899049F" w14:textId="77777777" w:rsidR="00B76E6D" w:rsidRPr="003726FE" w:rsidRDefault="00B76E6D" w:rsidP="00426FCB">
            <w:pPr>
              <w:rPr>
                <w:lang w:val="en-GB"/>
              </w:rPr>
            </w:pPr>
            <w:r w:rsidRPr="003726FE">
              <w:rPr>
                <w:lang w:val="en-GB"/>
              </w:rPr>
              <w:t>How they would change the SRL model</w:t>
            </w:r>
          </w:p>
        </w:tc>
        <w:tc>
          <w:tcPr>
            <w:tcW w:w="407" w:type="pct"/>
          </w:tcPr>
          <w:p w14:paraId="31531A55" w14:textId="77777777" w:rsidR="00B76E6D" w:rsidRPr="003726FE" w:rsidRDefault="00B76E6D" w:rsidP="00426FCB">
            <w:pPr>
              <w:pStyle w:val="RightAlign"/>
              <w:rPr>
                <w:lang w:val="en-GB"/>
              </w:rPr>
            </w:pPr>
            <w:r w:rsidRPr="003726FE">
              <w:rPr>
                <w:lang w:val="en-GB"/>
              </w:rPr>
              <w:t>8</w:t>
            </w:r>
          </w:p>
        </w:tc>
        <w:tc>
          <w:tcPr>
            <w:tcW w:w="428" w:type="pct"/>
          </w:tcPr>
          <w:p w14:paraId="5C260F29" w14:textId="77777777" w:rsidR="00B76E6D" w:rsidRPr="003726FE" w:rsidRDefault="00B76E6D" w:rsidP="00426FCB">
            <w:pPr>
              <w:pStyle w:val="RightAlign"/>
              <w:rPr>
                <w:lang w:val="en-GB"/>
              </w:rPr>
            </w:pPr>
            <w:r w:rsidRPr="003726FE">
              <w:rPr>
                <w:lang w:val="en-GB"/>
              </w:rPr>
              <w:t>43</w:t>
            </w:r>
          </w:p>
        </w:tc>
      </w:tr>
      <w:tr w:rsidR="00B76E6D" w:rsidRPr="003726FE" w14:paraId="132FEF80" w14:textId="77777777" w:rsidTr="00426FCB">
        <w:trPr>
          <w:cnfStyle w:val="000000010000" w:firstRow="0" w:lastRow="0" w:firstColumn="0" w:lastColumn="0" w:oddVBand="0" w:evenVBand="0" w:oddHBand="0" w:evenHBand="1" w:firstRowFirstColumn="0" w:firstRowLastColumn="0" w:lastRowFirstColumn="0" w:lastRowLastColumn="0"/>
        </w:trPr>
        <w:tc>
          <w:tcPr>
            <w:tcW w:w="1500" w:type="pct"/>
          </w:tcPr>
          <w:p w14:paraId="6910CFF0" w14:textId="77777777" w:rsidR="00B76E6D" w:rsidRPr="003726FE" w:rsidRDefault="00B76E6D" w:rsidP="00426FCB">
            <w:pPr>
              <w:ind w:left="450"/>
              <w:rPr>
                <w:lang w:val="en-GB"/>
              </w:rPr>
            </w:pPr>
            <w:r w:rsidRPr="003726FE">
              <w:rPr>
                <w:lang w:val="en-GB"/>
              </w:rPr>
              <w:t>tutor's personal SRL</w:t>
            </w:r>
          </w:p>
        </w:tc>
        <w:tc>
          <w:tcPr>
            <w:tcW w:w="2665" w:type="pct"/>
          </w:tcPr>
          <w:p w14:paraId="450618A2" w14:textId="77777777" w:rsidR="00B76E6D" w:rsidRPr="003726FE" w:rsidRDefault="00B76E6D" w:rsidP="00426FCB">
            <w:pPr>
              <w:rPr>
                <w:lang w:val="en-GB"/>
              </w:rPr>
            </w:pPr>
            <w:r w:rsidRPr="003726FE">
              <w:rPr>
                <w:lang w:val="en-GB"/>
              </w:rPr>
              <w:t>Their reflections on their own SRL processes</w:t>
            </w:r>
          </w:p>
        </w:tc>
        <w:tc>
          <w:tcPr>
            <w:tcW w:w="407" w:type="pct"/>
          </w:tcPr>
          <w:p w14:paraId="15EBCEA7" w14:textId="77777777" w:rsidR="00B76E6D" w:rsidRPr="003726FE" w:rsidRDefault="00B76E6D" w:rsidP="00426FCB">
            <w:pPr>
              <w:pStyle w:val="RightAlign"/>
              <w:rPr>
                <w:lang w:val="en-GB"/>
              </w:rPr>
            </w:pPr>
            <w:r w:rsidRPr="003726FE">
              <w:rPr>
                <w:lang w:val="en-GB"/>
              </w:rPr>
              <w:t>3</w:t>
            </w:r>
          </w:p>
        </w:tc>
        <w:tc>
          <w:tcPr>
            <w:tcW w:w="428" w:type="pct"/>
          </w:tcPr>
          <w:p w14:paraId="1263A14E" w14:textId="77777777" w:rsidR="00B76E6D" w:rsidRPr="003726FE" w:rsidRDefault="00B76E6D" w:rsidP="00426FCB">
            <w:pPr>
              <w:pStyle w:val="RightAlign"/>
              <w:rPr>
                <w:lang w:val="en-GB"/>
              </w:rPr>
            </w:pPr>
            <w:r w:rsidRPr="003726FE">
              <w:rPr>
                <w:lang w:val="en-GB"/>
              </w:rPr>
              <w:t>6</w:t>
            </w:r>
          </w:p>
        </w:tc>
      </w:tr>
    </w:tbl>
    <w:p w14:paraId="2F9C8768" w14:textId="1799EC25" w:rsidR="00B76E6D" w:rsidRPr="003726FE" w:rsidRDefault="00B76E6D" w:rsidP="00E07A7C">
      <w:pPr>
        <w:pStyle w:val="Normal1"/>
        <w:rPr>
          <w:lang w:val="en-GB"/>
        </w:rPr>
        <w:sectPr w:rsidR="00B76E6D" w:rsidRPr="003726FE" w:rsidSect="007C73DC">
          <w:pgSz w:w="16838" w:h="11906" w:orient="landscape"/>
          <w:pgMar w:top="1134" w:right="1134" w:bottom="1134" w:left="2268" w:header="708" w:footer="708" w:gutter="0"/>
          <w:cols w:space="708"/>
          <w:docGrid w:linePitch="360"/>
        </w:sectPr>
      </w:pPr>
    </w:p>
    <w:p w14:paraId="1732665E" w14:textId="7F4DDFDD" w:rsidR="004476F6" w:rsidRPr="003726FE" w:rsidRDefault="006265D2" w:rsidP="00B1638D">
      <w:pPr>
        <w:pStyle w:val="Heading2"/>
        <w:rPr>
          <w:lang w:val="en-GB"/>
        </w:rPr>
      </w:pPr>
      <w:bookmarkStart w:id="995" w:name="_Toc500319482"/>
      <w:r w:rsidRPr="003726FE">
        <w:rPr>
          <w:lang w:val="en-GB"/>
        </w:rPr>
        <w:lastRenderedPageBreak/>
        <w:t>Appendix 1</w:t>
      </w:r>
      <w:r w:rsidR="00B76E6D" w:rsidRPr="003726FE">
        <w:rPr>
          <w:lang w:val="en-GB"/>
        </w:rPr>
        <w:t>1</w:t>
      </w:r>
      <w:r w:rsidRPr="003726FE">
        <w:rPr>
          <w:lang w:val="en-GB"/>
        </w:rPr>
        <w:t xml:space="preserve">. Theme </w:t>
      </w:r>
      <w:r w:rsidR="00C47666" w:rsidRPr="003726FE">
        <w:rPr>
          <w:lang w:val="en-GB"/>
        </w:rPr>
        <w:t>Review with Quotes – Teacher Interviews</w:t>
      </w:r>
      <w:r w:rsidRPr="003726FE">
        <w:rPr>
          <w:lang w:val="en-GB"/>
        </w:rPr>
        <w:t>.</w:t>
      </w:r>
      <w:bookmarkEnd w:id="995"/>
    </w:p>
    <w:p w14:paraId="7492DB6A" w14:textId="77777777" w:rsidR="004476F6" w:rsidRPr="003726FE" w:rsidRDefault="004476F6" w:rsidP="004476F6">
      <w:pPr>
        <w:pStyle w:val="Normal1"/>
        <w:rPr>
          <w:lang w:val="en-GB"/>
        </w:rPr>
      </w:pPr>
    </w:p>
    <w:p w14:paraId="40F85FE1" w14:textId="21FC6AB0" w:rsidR="004476F6" w:rsidRPr="003726FE" w:rsidRDefault="008E7D00" w:rsidP="004476F6">
      <w:pPr>
        <w:pStyle w:val="Normal1"/>
        <w:rPr>
          <w:b/>
          <w:lang w:val="en-GB"/>
        </w:rPr>
      </w:pPr>
      <w:r>
        <w:rPr>
          <w:b/>
          <w:lang w:val="en-GB"/>
        </w:rPr>
        <w:t>Conceptualisation</w:t>
      </w:r>
      <w:r w:rsidR="00B729A2" w:rsidRPr="003726FE">
        <w:rPr>
          <w:b/>
          <w:lang w:val="en-GB"/>
        </w:rPr>
        <w:t>s informing practice</w:t>
      </w:r>
      <w:r w:rsidR="00EB129C" w:rsidRPr="003726FE">
        <w:rPr>
          <w:b/>
          <w:lang w:val="en-GB"/>
        </w:rPr>
        <w:t xml:space="preserve"> theme and sub-themes.</w:t>
      </w:r>
    </w:p>
    <w:tbl>
      <w:tblPr>
        <w:tblW w:w="13320" w:type="dxa"/>
        <w:tblInd w:w="-5" w:type="dxa"/>
        <w:tblLook w:val="04A0" w:firstRow="1" w:lastRow="0" w:firstColumn="1" w:lastColumn="0" w:noHBand="0" w:noVBand="1"/>
      </w:tblPr>
      <w:tblGrid>
        <w:gridCol w:w="1271"/>
        <w:gridCol w:w="1701"/>
        <w:gridCol w:w="1843"/>
        <w:gridCol w:w="1843"/>
        <w:gridCol w:w="2409"/>
        <w:gridCol w:w="1701"/>
        <w:gridCol w:w="2552"/>
      </w:tblGrid>
      <w:tr w:rsidR="004476F6" w:rsidRPr="003726FE" w14:paraId="0D020704" w14:textId="77777777" w:rsidTr="00384091">
        <w:trPr>
          <w:trHeight w:val="4365"/>
        </w:trPr>
        <w:tc>
          <w:tcPr>
            <w:tcW w:w="127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E48B731" w14:textId="457EA93F" w:rsidR="004476F6" w:rsidRPr="003726FE" w:rsidRDefault="00B729A2" w:rsidP="00B1638D">
            <w:pPr>
              <w:spacing w:after="0" w:line="240" w:lineRule="auto"/>
              <w:jc w:val="center"/>
              <w:rPr>
                <w:rFonts w:eastAsia="Times New Roman" w:cs="Times New Roman"/>
                <w:b/>
                <w:bCs/>
                <w:color w:val="000000"/>
                <w:sz w:val="20"/>
                <w:lang w:eastAsia="en-GB"/>
              </w:rPr>
            </w:pPr>
            <w:r w:rsidRPr="003726FE">
              <w:rPr>
                <w:rFonts w:eastAsia="Times New Roman" w:cs="Times New Roman"/>
                <w:b/>
                <w:bCs/>
                <w:color w:val="000000"/>
                <w:sz w:val="20"/>
                <w:lang w:eastAsia="en-GB"/>
              </w:rPr>
              <w:t>Sporting background</w:t>
            </w:r>
          </w:p>
        </w:tc>
        <w:tc>
          <w:tcPr>
            <w:tcW w:w="1701" w:type="dxa"/>
            <w:tcBorders>
              <w:top w:val="single" w:sz="4" w:space="0" w:color="auto"/>
              <w:left w:val="nil"/>
              <w:bottom w:val="single" w:sz="4" w:space="0" w:color="auto"/>
              <w:right w:val="single" w:sz="4" w:space="0" w:color="auto"/>
            </w:tcBorders>
            <w:shd w:val="clear" w:color="auto" w:fill="auto"/>
            <w:hideMark/>
          </w:tcPr>
          <w:p w14:paraId="26A8BD80" w14:textId="308BE5FA" w:rsidR="004476F6" w:rsidRPr="003726FE" w:rsidRDefault="00B729A2" w:rsidP="00B729A2">
            <w:pPr>
              <w:rPr>
                <w:rFonts w:cs="Times New Roman"/>
                <w:color w:val="000000"/>
                <w:sz w:val="20"/>
              </w:rPr>
            </w:pPr>
            <w:r w:rsidRPr="003726FE">
              <w:rPr>
                <w:rFonts w:cs="Times New Roman"/>
                <w:color w:val="000000"/>
                <w:sz w:val="20"/>
              </w:rPr>
              <w:t>“Interestingly a lot of what I do when I teach is actually drawn on my experiences from coaching sport” BPF Nov - 7</w:t>
            </w:r>
          </w:p>
        </w:tc>
        <w:tc>
          <w:tcPr>
            <w:tcW w:w="1843" w:type="dxa"/>
            <w:tcBorders>
              <w:top w:val="single" w:sz="4" w:space="0" w:color="auto"/>
              <w:left w:val="nil"/>
              <w:bottom w:val="single" w:sz="4" w:space="0" w:color="auto"/>
              <w:right w:val="single" w:sz="4" w:space="0" w:color="auto"/>
            </w:tcBorders>
            <w:shd w:val="clear" w:color="auto" w:fill="auto"/>
            <w:hideMark/>
          </w:tcPr>
          <w:p w14:paraId="327AA427" w14:textId="3FD292BE" w:rsidR="004476F6" w:rsidRPr="003726FE" w:rsidRDefault="00B729A2" w:rsidP="00B729A2">
            <w:pPr>
              <w:rPr>
                <w:rFonts w:cs="Times New Roman"/>
                <w:color w:val="000000"/>
                <w:sz w:val="20"/>
              </w:rPr>
            </w:pPr>
            <w:r w:rsidRPr="003726FE">
              <w:rPr>
                <w:rFonts w:cs="Times New Roman"/>
                <w:color w:val="000000"/>
                <w:sz w:val="20"/>
              </w:rPr>
              <w:t>“I transitioned a lot of the skills used for teaching small groups in sports contexts to these sort of settings which is quite helpful for me so I have quite a good coaching background so it’s a lot of cross over there” BPF Nov - 7</w:t>
            </w:r>
          </w:p>
        </w:tc>
        <w:tc>
          <w:tcPr>
            <w:tcW w:w="1843" w:type="dxa"/>
            <w:tcBorders>
              <w:top w:val="single" w:sz="4" w:space="0" w:color="auto"/>
              <w:left w:val="nil"/>
              <w:bottom w:val="single" w:sz="4" w:space="0" w:color="auto"/>
              <w:right w:val="single" w:sz="4" w:space="0" w:color="auto"/>
            </w:tcBorders>
            <w:shd w:val="clear" w:color="auto" w:fill="auto"/>
            <w:hideMark/>
          </w:tcPr>
          <w:p w14:paraId="25F83F0A" w14:textId="0C5464F5" w:rsidR="004476F6" w:rsidRPr="003726FE" w:rsidRDefault="00B729A2" w:rsidP="00B729A2">
            <w:pPr>
              <w:rPr>
                <w:rFonts w:cs="Times New Roman"/>
                <w:color w:val="000000"/>
                <w:sz w:val="20"/>
              </w:rPr>
            </w:pPr>
            <w:r w:rsidRPr="003726FE">
              <w:rPr>
                <w:rFonts w:cs="Times New Roman"/>
                <w:color w:val="000000"/>
                <w:sz w:val="20"/>
              </w:rPr>
              <w:t>“That’s what catheters or venepuncture, or any clinical skill is, a skill. It’s all muscle memory, remembering a set structure and if you do something wrong in that structure it’s about going back and starting again from the top with someone like in sport” BPF Nov - 7</w:t>
            </w:r>
          </w:p>
        </w:tc>
        <w:tc>
          <w:tcPr>
            <w:tcW w:w="2409" w:type="dxa"/>
            <w:tcBorders>
              <w:top w:val="single" w:sz="4" w:space="0" w:color="auto"/>
              <w:left w:val="nil"/>
              <w:bottom w:val="single" w:sz="4" w:space="0" w:color="auto"/>
              <w:right w:val="single" w:sz="4" w:space="0" w:color="auto"/>
            </w:tcBorders>
            <w:shd w:val="clear" w:color="auto" w:fill="auto"/>
            <w:hideMark/>
          </w:tcPr>
          <w:p w14:paraId="3F97386D" w14:textId="3A9F23F0" w:rsidR="004476F6" w:rsidRPr="003726FE" w:rsidRDefault="00B729A2" w:rsidP="00B729A2">
            <w:pPr>
              <w:rPr>
                <w:rFonts w:cs="Times New Roman"/>
                <w:color w:val="000000"/>
                <w:sz w:val="20"/>
              </w:rPr>
            </w:pPr>
            <w:r w:rsidRPr="003726FE">
              <w:rPr>
                <w:rFonts w:cs="Times New Roman"/>
                <w:color w:val="000000"/>
                <w:sz w:val="20"/>
              </w:rPr>
              <w:t xml:space="preserve">“everything you’re doing in sports coaching is direct feedback on what they’ve just done and its real and </w:t>
            </w:r>
            <w:r w:rsidR="00FC0FFB" w:rsidRPr="003726FE">
              <w:rPr>
                <w:rFonts w:cs="Times New Roman"/>
                <w:color w:val="000000"/>
                <w:sz w:val="20"/>
              </w:rPr>
              <w:t>it’s</w:t>
            </w:r>
            <w:r w:rsidRPr="003726FE">
              <w:rPr>
                <w:rFonts w:cs="Times New Roman"/>
                <w:color w:val="000000"/>
                <w:sz w:val="20"/>
              </w:rPr>
              <w:t xml:space="preserve"> happening in front of you whereas this is still pretend and that can sometimes affect them” BPF Nov - 7</w:t>
            </w:r>
          </w:p>
        </w:tc>
        <w:tc>
          <w:tcPr>
            <w:tcW w:w="1701" w:type="dxa"/>
            <w:tcBorders>
              <w:top w:val="single" w:sz="4" w:space="0" w:color="auto"/>
              <w:left w:val="nil"/>
              <w:bottom w:val="single" w:sz="4" w:space="0" w:color="auto"/>
              <w:right w:val="single" w:sz="4" w:space="0" w:color="auto"/>
            </w:tcBorders>
            <w:shd w:val="clear" w:color="auto" w:fill="auto"/>
            <w:hideMark/>
          </w:tcPr>
          <w:p w14:paraId="275C869D" w14:textId="6C384B95" w:rsidR="004476F6" w:rsidRPr="003726FE" w:rsidRDefault="00B729A2" w:rsidP="00B729A2">
            <w:pPr>
              <w:rPr>
                <w:rFonts w:cs="Times New Roman"/>
                <w:color w:val="000000"/>
                <w:sz w:val="20"/>
              </w:rPr>
            </w:pPr>
            <w:r w:rsidRPr="003726FE">
              <w:rPr>
                <w:rFonts w:cs="Times New Roman"/>
                <w:color w:val="000000"/>
                <w:sz w:val="20"/>
              </w:rPr>
              <w:t>“I’ve learned how to give feedback through just teaching or coaching so there’s never been any formal teaching up until this rotation, this job” BPF Nov - 7</w:t>
            </w:r>
          </w:p>
        </w:tc>
        <w:tc>
          <w:tcPr>
            <w:tcW w:w="2552" w:type="dxa"/>
            <w:tcBorders>
              <w:top w:val="single" w:sz="4" w:space="0" w:color="auto"/>
              <w:left w:val="nil"/>
              <w:bottom w:val="single" w:sz="4" w:space="0" w:color="auto"/>
              <w:right w:val="single" w:sz="4" w:space="0" w:color="auto"/>
            </w:tcBorders>
            <w:shd w:val="clear" w:color="auto" w:fill="auto"/>
            <w:hideMark/>
          </w:tcPr>
          <w:p w14:paraId="23A506C9" w14:textId="46B889D1" w:rsidR="004476F6" w:rsidRPr="003726FE" w:rsidRDefault="00B729A2" w:rsidP="00B729A2">
            <w:pPr>
              <w:rPr>
                <w:rFonts w:cs="Times New Roman"/>
                <w:bCs/>
                <w:color w:val="000000"/>
                <w:sz w:val="20"/>
              </w:rPr>
            </w:pPr>
            <w:r w:rsidRPr="003726FE">
              <w:rPr>
                <w:rFonts w:cs="Times New Roman"/>
                <w:bCs/>
                <w:color w:val="000000"/>
                <w:sz w:val="20"/>
              </w:rPr>
              <w:t>“My feedback techniques are modelled on feedback I’ve received from football, from going through med school, I always ask for feedback, I’m a very much a feedback person” SRLF Nov - 2</w:t>
            </w:r>
          </w:p>
        </w:tc>
      </w:tr>
    </w:tbl>
    <w:p w14:paraId="370612E8" w14:textId="77777777" w:rsidR="00B729A2" w:rsidRPr="003726FE" w:rsidRDefault="00B729A2" w:rsidP="004476F6">
      <w:pPr>
        <w:pStyle w:val="Normal1"/>
        <w:rPr>
          <w:lang w:val="en-GB"/>
        </w:rPr>
      </w:pPr>
    </w:p>
    <w:p w14:paraId="290B4881" w14:textId="77777777" w:rsidR="00B729A2" w:rsidRPr="003726FE" w:rsidRDefault="00B729A2">
      <w:pPr>
        <w:rPr>
          <w:rFonts w:eastAsia="Lucida Sans Unicode" w:cs="Mangal"/>
          <w:kern w:val="1"/>
          <w:szCs w:val="24"/>
          <w:lang w:eastAsia="hi-IN" w:bidi="hi-IN"/>
        </w:rPr>
      </w:pPr>
      <w:r w:rsidRPr="003726FE">
        <w:br w:type="page"/>
      </w:r>
    </w:p>
    <w:tbl>
      <w:tblPr>
        <w:tblW w:w="13462" w:type="dxa"/>
        <w:tblInd w:w="-5" w:type="dxa"/>
        <w:tblLook w:val="04A0" w:firstRow="1" w:lastRow="0" w:firstColumn="1" w:lastColumn="0" w:noHBand="0" w:noVBand="1"/>
      </w:tblPr>
      <w:tblGrid>
        <w:gridCol w:w="1555"/>
        <w:gridCol w:w="3685"/>
        <w:gridCol w:w="2268"/>
        <w:gridCol w:w="2693"/>
        <w:gridCol w:w="3261"/>
      </w:tblGrid>
      <w:tr w:rsidR="00B52C46" w:rsidRPr="003726FE" w14:paraId="7A7C0D2A" w14:textId="77777777" w:rsidTr="00384091">
        <w:trPr>
          <w:trHeight w:val="4365"/>
        </w:trPr>
        <w:tc>
          <w:tcPr>
            <w:tcW w:w="155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B8BA351" w14:textId="4175DDB9" w:rsidR="00B52C46" w:rsidRPr="003726FE" w:rsidRDefault="00B52C46" w:rsidP="00B52C46">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lastRenderedPageBreak/>
              <w:t>Educational and previous working background</w:t>
            </w:r>
          </w:p>
        </w:tc>
        <w:tc>
          <w:tcPr>
            <w:tcW w:w="3685" w:type="dxa"/>
            <w:tcBorders>
              <w:top w:val="single" w:sz="4" w:space="0" w:color="auto"/>
              <w:left w:val="nil"/>
              <w:bottom w:val="single" w:sz="4" w:space="0" w:color="auto"/>
              <w:right w:val="single" w:sz="4" w:space="0" w:color="auto"/>
            </w:tcBorders>
            <w:shd w:val="clear" w:color="auto" w:fill="auto"/>
            <w:hideMark/>
          </w:tcPr>
          <w:p w14:paraId="570521D5" w14:textId="7A378812" w:rsidR="00B52C46" w:rsidRPr="003726FE" w:rsidRDefault="00B52C46" w:rsidP="00B52C46">
            <w:pPr>
              <w:rPr>
                <w:rFonts w:cs="Times New Roman"/>
                <w:color w:val="000000"/>
                <w:sz w:val="22"/>
              </w:rPr>
            </w:pPr>
            <w:r w:rsidRPr="003726FE">
              <w:rPr>
                <w:rFonts w:cs="Times New Roman"/>
                <w:bCs/>
                <w:color w:val="000000"/>
                <w:sz w:val="22"/>
              </w:rPr>
              <w:t>“I think the bits SRL consists of like setting a goal and so on, I have heard about it through my studies of human factors because I’ve got a psychology degree as well, so I know a bit about it. But it’s the first time I’ve had it as one general concept to guide me through the teaching session so I didn’t find it too difficult to kind of subscribe to it” SRLF Exp - 1</w:t>
            </w:r>
          </w:p>
        </w:tc>
        <w:tc>
          <w:tcPr>
            <w:tcW w:w="2268" w:type="dxa"/>
            <w:tcBorders>
              <w:top w:val="single" w:sz="4" w:space="0" w:color="auto"/>
              <w:left w:val="nil"/>
              <w:bottom w:val="single" w:sz="4" w:space="0" w:color="auto"/>
              <w:right w:val="single" w:sz="4" w:space="0" w:color="auto"/>
            </w:tcBorders>
            <w:shd w:val="clear" w:color="auto" w:fill="auto"/>
            <w:hideMark/>
          </w:tcPr>
          <w:p w14:paraId="7AEFC630" w14:textId="3C481326" w:rsidR="00B52C46" w:rsidRPr="003726FE" w:rsidRDefault="00B52C46" w:rsidP="00B52C46">
            <w:pPr>
              <w:rPr>
                <w:rFonts w:cs="Times New Roman"/>
                <w:color w:val="000000"/>
                <w:sz w:val="22"/>
              </w:rPr>
            </w:pPr>
            <w:r w:rsidRPr="003726FE">
              <w:rPr>
                <w:rFonts w:cs="Times New Roman"/>
                <w:color w:val="000000"/>
                <w:sz w:val="22"/>
              </w:rPr>
              <w:t>“I learned on the job, you took away what you like which was fed to you and meshed it all together and tried to develop my own style to deliver to others.” BPF Exp - 7</w:t>
            </w:r>
          </w:p>
        </w:tc>
        <w:tc>
          <w:tcPr>
            <w:tcW w:w="2693" w:type="dxa"/>
            <w:tcBorders>
              <w:top w:val="single" w:sz="4" w:space="0" w:color="auto"/>
              <w:left w:val="nil"/>
              <w:bottom w:val="single" w:sz="4" w:space="0" w:color="auto"/>
              <w:right w:val="single" w:sz="4" w:space="0" w:color="auto"/>
            </w:tcBorders>
            <w:shd w:val="clear" w:color="auto" w:fill="auto"/>
            <w:hideMark/>
          </w:tcPr>
          <w:p w14:paraId="5B930929" w14:textId="3612031E" w:rsidR="00B52C46" w:rsidRPr="003726FE" w:rsidRDefault="00B52C46" w:rsidP="00B52C46">
            <w:pPr>
              <w:rPr>
                <w:rFonts w:cs="Times New Roman"/>
                <w:color w:val="000000"/>
                <w:sz w:val="22"/>
              </w:rPr>
            </w:pPr>
            <w:r w:rsidRPr="003726FE">
              <w:rPr>
                <w:rFonts w:cs="Times New Roman"/>
                <w:bCs/>
                <w:color w:val="000000"/>
                <w:sz w:val="22"/>
              </w:rPr>
              <w:t>“In medical school we were always taught with the sandwich model (Pendleton): give the good stuff, not so good stuff, good stuff which kind of works quite well, especially if you haven’t had that much feedback training, it does seem to work, so I use that quite a lot” BPF Nov - 6</w:t>
            </w:r>
          </w:p>
        </w:tc>
        <w:tc>
          <w:tcPr>
            <w:tcW w:w="3261" w:type="dxa"/>
            <w:tcBorders>
              <w:top w:val="single" w:sz="4" w:space="0" w:color="auto"/>
              <w:left w:val="nil"/>
              <w:bottom w:val="single" w:sz="4" w:space="0" w:color="auto"/>
              <w:right w:val="single" w:sz="4" w:space="0" w:color="auto"/>
            </w:tcBorders>
            <w:shd w:val="clear" w:color="auto" w:fill="auto"/>
            <w:hideMark/>
          </w:tcPr>
          <w:p w14:paraId="32D34F20" w14:textId="7D24BB22" w:rsidR="00B52C46" w:rsidRPr="003726FE" w:rsidRDefault="00B52C46" w:rsidP="00B52C46">
            <w:pPr>
              <w:rPr>
                <w:rFonts w:cs="Times New Roman"/>
                <w:color w:val="000000"/>
                <w:sz w:val="22"/>
              </w:rPr>
            </w:pPr>
            <w:r w:rsidRPr="003726FE">
              <w:rPr>
                <w:rFonts w:cs="Times New Roman"/>
                <w:color w:val="000000"/>
                <w:sz w:val="22"/>
              </w:rPr>
              <w:t>“I still see it as a really crucial part of learning and teaching, some of the best teaching sessions I’ve had as a student and PG are when someone has said “did you do that right?” and force me to do my own feedback in a way” SRLF Nov - 3</w:t>
            </w:r>
          </w:p>
        </w:tc>
      </w:tr>
      <w:tr w:rsidR="00B52C46" w:rsidRPr="003726FE" w14:paraId="7A85CCE1" w14:textId="77777777" w:rsidTr="00384091">
        <w:trPr>
          <w:trHeight w:val="4365"/>
        </w:trPr>
        <w:tc>
          <w:tcPr>
            <w:tcW w:w="1555" w:type="dxa"/>
            <w:tcBorders>
              <w:top w:val="single" w:sz="4" w:space="0" w:color="auto"/>
              <w:right w:val="single" w:sz="8" w:space="0" w:color="auto"/>
            </w:tcBorders>
            <w:shd w:val="clear" w:color="auto" w:fill="auto"/>
            <w:vAlign w:val="center"/>
          </w:tcPr>
          <w:p w14:paraId="3B2FBC69" w14:textId="77777777" w:rsidR="00B52C46" w:rsidRPr="003726FE" w:rsidRDefault="00B52C46" w:rsidP="00B52C46">
            <w:pPr>
              <w:spacing w:after="0" w:line="240" w:lineRule="auto"/>
              <w:jc w:val="center"/>
              <w:rPr>
                <w:rFonts w:eastAsia="Times New Roman" w:cs="Times New Roman"/>
                <w:b/>
                <w:bCs/>
                <w:color w:val="000000"/>
                <w:sz w:val="22"/>
                <w:lang w:eastAsia="en-GB"/>
              </w:rPr>
            </w:pPr>
          </w:p>
        </w:tc>
        <w:tc>
          <w:tcPr>
            <w:tcW w:w="3685" w:type="dxa"/>
            <w:tcBorders>
              <w:top w:val="single" w:sz="4" w:space="0" w:color="auto"/>
              <w:left w:val="nil"/>
              <w:bottom w:val="single" w:sz="4" w:space="0" w:color="auto"/>
              <w:right w:val="single" w:sz="4" w:space="0" w:color="auto"/>
            </w:tcBorders>
            <w:shd w:val="clear" w:color="auto" w:fill="auto"/>
          </w:tcPr>
          <w:p w14:paraId="315BDBB1" w14:textId="3F6C1FFD" w:rsidR="00B52C46" w:rsidRPr="003726FE" w:rsidRDefault="00B52C46" w:rsidP="00B52C46">
            <w:pPr>
              <w:rPr>
                <w:rFonts w:cs="Times New Roman"/>
                <w:color w:val="000000"/>
                <w:sz w:val="22"/>
              </w:rPr>
            </w:pPr>
            <w:r w:rsidRPr="003726FE">
              <w:rPr>
                <w:rFonts w:cs="Times New Roman"/>
                <w:color w:val="000000"/>
                <w:sz w:val="22"/>
              </w:rPr>
              <w:t>“I felt fine with it and I didn’t mind it at all. One colleague said they struggled and it didn’t feel natural to them but that’s probably because I knew some bits of the technique beforehand so it wasn’t completely new for me.” … “I didn’t find it too difficult to kind of subscribe to it” SRLF Exp - 1</w:t>
            </w:r>
          </w:p>
        </w:tc>
        <w:tc>
          <w:tcPr>
            <w:tcW w:w="2268" w:type="dxa"/>
            <w:tcBorders>
              <w:top w:val="single" w:sz="4" w:space="0" w:color="auto"/>
              <w:left w:val="nil"/>
              <w:bottom w:val="single" w:sz="4" w:space="0" w:color="auto"/>
              <w:right w:val="single" w:sz="4" w:space="0" w:color="auto"/>
            </w:tcBorders>
            <w:shd w:val="clear" w:color="auto" w:fill="auto"/>
          </w:tcPr>
          <w:p w14:paraId="2C07DD15" w14:textId="341362C3" w:rsidR="00B52C46" w:rsidRPr="003726FE" w:rsidRDefault="00B52C46" w:rsidP="00B52C46">
            <w:pPr>
              <w:rPr>
                <w:rFonts w:cs="Times New Roman"/>
                <w:color w:val="000000"/>
                <w:sz w:val="22"/>
              </w:rPr>
            </w:pPr>
            <w:r w:rsidRPr="003726FE">
              <w:rPr>
                <w:rFonts w:cs="Times New Roman"/>
                <w:color w:val="000000"/>
                <w:sz w:val="22"/>
              </w:rPr>
              <w:t>“I’ve done kind of coaching and mentoring programmes, not sort of formal accredited programmes, but in-house as part of the acute trusts training programme, so that covers that kind of feedback skills.” SRLF Exp - 2</w:t>
            </w:r>
          </w:p>
        </w:tc>
        <w:tc>
          <w:tcPr>
            <w:tcW w:w="2693" w:type="dxa"/>
            <w:tcBorders>
              <w:top w:val="single" w:sz="4" w:space="0" w:color="auto"/>
              <w:left w:val="nil"/>
              <w:bottom w:val="single" w:sz="4" w:space="0" w:color="auto"/>
              <w:right w:val="single" w:sz="4" w:space="0" w:color="auto"/>
            </w:tcBorders>
            <w:shd w:val="clear" w:color="auto" w:fill="auto"/>
          </w:tcPr>
          <w:p w14:paraId="44B948EB" w14:textId="6C0E5775" w:rsidR="00B52C46" w:rsidRPr="003726FE" w:rsidRDefault="00B52C46" w:rsidP="00B52C46">
            <w:pPr>
              <w:rPr>
                <w:rFonts w:cs="Times New Roman"/>
                <w:color w:val="000000"/>
                <w:sz w:val="22"/>
              </w:rPr>
            </w:pPr>
            <w:r w:rsidRPr="003726FE">
              <w:rPr>
                <w:rFonts w:cs="Times New Roman"/>
                <w:color w:val="000000"/>
                <w:sz w:val="22"/>
              </w:rPr>
              <w:t>“My feedback techniques are modelled on feedback I’ve received from football, from going through med school, I always ask for feedback, I’m a very much a feedback person” SRLF Nov - 2</w:t>
            </w:r>
          </w:p>
        </w:tc>
        <w:tc>
          <w:tcPr>
            <w:tcW w:w="3261" w:type="dxa"/>
            <w:tcBorders>
              <w:top w:val="single" w:sz="4" w:space="0" w:color="auto"/>
              <w:left w:val="nil"/>
              <w:bottom w:val="single" w:sz="4" w:space="0" w:color="auto"/>
              <w:right w:val="single" w:sz="4" w:space="0" w:color="auto"/>
            </w:tcBorders>
            <w:shd w:val="clear" w:color="auto" w:fill="auto"/>
          </w:tcPr>
          <w:p w14:paraId="132F347E" w14:textId="2C9D7FAC" w:rsidR="00B52C46" w:rsidRPr="003726FE" w:rsidRDefault="00B52C46" w:rsidP="00B52C46">
            <w:pPr>
              <w:rPr>
                <w:rFonts w:cs="Times New Roman"/>
                <w:color w:val="000000"/>
                <w:sz w:val="22"/>
              </w:rPr>
            </w:pPr>
            <w:r w:rsidRPr="003726FE">
              <w:rPr>
                <w:rFonts w:cs="Times New Roman"/>
                <w:bCs/>
                <w:color w:val="000000"/>
                <w:sz w:val="22"/>
              </w:rPr>
              <w:t>“Yeah, some people want to be sat down and told to go through every step and be told “yes that was good yeah, you need to do this” some people just want to know “what did I do that will stop me from passing?” the different types of learner plays a big role, sometimes in a small group you can’t assess that straight away, you have to do that on an individual basis, so yeah that plays a big factor in how you give the feedback.” BPF Nov - 7</w:t>
            </w:r>
          </w:p>
        </w:tc>
      </w:tr>
    </w:tbl>
    <w:p w14:paraId="4283E1E1" w14:textId="77777777" w:rsidR="00B52C46" w:rsidRPr="003726FE" w:rsidRDefault="00B52C46" w:rsidP="004476F6">
      <w:pPr>
        <w:pStyle w:val="Normal1"/>
        <w:rPr>
          <w:lang w:val="en-GB"/>
        </w:rPr>
      </w:pPr>
    </w:p>
    <w:p w14:paraId="5767F607" w14:textId="7427B962" w:rsidR="00B52C46" w:rsidRPr="003726FE" w:rsidRDefault="00B52C46">
      <w:pPr>
        <w:rPr>
          <w:rFonts w:eastAsia="Lucida Sans Unicode" w:cs="Mangal"/>
          <w:kern w:val="1"/>
          <w:szCs w:val="24"/>
          <w:lang w:eastAsia="hi-IN" w:bidi="hi-IN"/>
        </w:rPr>
      </w:pPr>
    </w:p>
    <w:tbl>
      <w:tblPr>
        <w:tblpPr w:leftFromText="180" w:rightFromText="180" w:horzAnchor="margin" w:tblpY="452"/>
        <w:tblW w:w="13315" w:type="dxa"/>
        <w:tblLook w:val="04A0" w:firstRow="1" w:lastRow="0" w:firstColumn="1" w:lastColumn="0" w:noHBand="0" w:noVBand="1"/>
      </w:tblPr>
      <w:tblGrid>
        <w:gridCol w:w="1255"/>
        <w:gridCol w:w="2279"/>
        <w:gridCol w:w="1985"/>
        <w:gridCol w:w="2551"/>
        <w:gridCol w:w="1843"/>
        <w:gridCol w:w="3402"/>
      </w:tblGrid>
      <w:tr w:rsidR="00EB129C" w:rsidRPr="003726FE" w14:paraId="6FD35CDF" w14:textId="757328A8" w:rsidTr="00E07A7C">
        <w:trPr>
          <w:trHeight w:val="3538"/>
        </w:trPr>
        <w:tc>
          <w:tcPr>
            <w:tcW w:w="125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25EBA4F" w14:textId="53635C65" w:rsidR="00EB129C" w:rsidRPr="003726FE" w:rsidRDefault="00EB129C" w:rsidP="00EB129C">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t>Contextual factors</w:t>
            </w:r>
          </w:p>
        </w:tc>
        <w:tc>
          <w:tcPr>
            <w:tcW w:w="2279" w:type="dxa"/>
            <w:tcBorders>
              <w:top w:val="single" w:sz="4" w:space="0" w:color="auto"/>
              <w:left w:val="nil"/>
              <w:bottom w:val="single" w:sz="4" w:space="0" w:color="auto"/>
              <w:right w:val="single" w:sz="4" w:space="0" w:color="auto"/>
            </w:tcBorders>
            <w:shd w:val="clear" w:color="auto" w:fill="auto"/>
          </w:tcPr>
          <w:p w14:paraId="371E641B" w14:textId="18ED9297" w:rsidR="00EB129C" w:rsidRPr="003726FE" w:rsidRDefault="00EB129C" w:rsidP="0073282D">
            <w:pPr>
              <w:rPr>
                <w:rFonts w:cs="Times New Roman"/>
                <w:color w:val="000000"/>
                <w:sz w:val="22"/>
              </w:rPr>
            </w:pPr>
            <w:r w:rsidRPr="003726FE">
              <w:rPr>
                <w:rFonts w:cs="Times New Roman"/>
                <w:color w:val="000000"/>
                <w:sz w:val="22"/>
              </w:rPr>
              <w:t>“the ideal teaching would be a tutor with a student one-to-one watching start to finish, that’s the ideal way to teach this but it’s completely impractical without the staff or money or facilities so you have to do it in small groups” BPF Nov - 7</w:t>
            </w:r>
          </w:p>
        </w:tc>
        <w:tc>
          <w:tcPr>
            <w:tcW w:w="1985" w:type="dxa"/>
            <w:tcBorders>
              <w:top w:val="single" w:sz="4" w:space="0" w:color="auto"/>
              <w:left w:val="nil"/>
              <w:bottom w:val="single" w:sz="4" w:space="0" w:color="auto"/>
              <w:right w:val="single" w:sz="4" w:space="0" w:color="auto"/>
            </w:tcBorders>
            <w:shd w:val="clear" w:color="auto" w:fill="auto"/>
          </w:tcPr>
          <w:p w14:paraId="23F33FF2" w14:textId="5583CEA5" w:rsidR="00EB129C" w:rsidRPr="003726FE" w:rsidRDefault="00EB129C" w:rsidP="0073282D">
            <w:pPr>
              <w:rPr>
                <w:rFonts w:cs="Times New Roman"/>
                <w:color w:val="000000"/>
                <w:sz w:val="22"/>
              </w:rPr>
            </w:pPr>
            <w:r w:rsidRPr="003726FE">
              <w:rPr>
                <w:rFonts w:cs="Times New Roman"/>
                <w:color w:val="000000"/>
                <w:sz w:val="22"/>
              </w:rPr>
              <w:t>“Time is always a big thing here, we don’t just have lots of time, we have half an hour then he next one, it’s like a conveyor belt really” BPF Exp - 5</w:t>
            </w:r>
          </w:p>
        </w:tc>
        <w:tc>
          <w:tcPr>
            <w:tcW w:w="2551" w:type="dxa"/>
            <w:tcBorders>
              <w:top w:val="single" w:sz="4" w:space="0" w:color="auto"/>
              <w:left w:val="nil"/>
              <w:bottom w:val="single" w:sz="4" w:space="0" w:color="auto"/>
              <w:right w:val="single" w:sz="4" w:space="0" w:color="auto"/>
            </w:tcBorders>
            <w:shd w:val="clear" w:color="auto" w:fill="auto"/>
          </w:tcPr>
          <w:p w14:paraId="45E8DC1D" w14:textId="525376D4" w:rsidR="00EB129C" w:rsidRPr="003726FE" w:rsidRDefault="00EB129C" w:rsidP="0073282D">
            <w:pPr>
              <w:rPr>
                <w:rFonts w:cs="Times New Roman"/>
                <w:color w:val="000000"/>
                <w:sz w:val="22"/>
              </w:rPr>
            </w:pPr>
            <w:r w:rsidRPr="003726FE">
              <w:rPr>
                <w:rFonts w:cs="Times New Roman"/>
                <w:color w:val="000000"/>
                <w:sz w:val="22"/>
              </w:rPr>
              <w:t>“They obviously watched 4-5 people go, so they knew what questions they were going to get asked, so they anticipated a bit more which is probably a limitation. […]I don’t think it would have changed anything that any of them said because I don’t think any of them were listening when the other people were coming up” SRLF Nov - 2</w:t>
            </w:r>
          </w:p>
        </w:tc>
        <w:tc>
          <w:tcPr>
            <w:tcW w:w="1843" w:type="dxa"/>
            <w:tcBorders>
              <w:top w:val="single" w:sz="4" w:space="0" w:color="auto"/>
              <w:left w:val="nil"/>
              <w:bottom w:val="single" w:sz="4" w:space="0" w:color="auto"/>
              <w:right w:val="single" w:sz="4" w:space="0" w:color="auto"/>
            </w:tcBorders>
            <w:shd w:val="clear" w:color="auto" w:fill="auto"/>
          </w:tcPr>
          <w:p w14:paraId="11511D07" w14:textId="6EF94744" w:rsidR="00EB129C" w:rsidRPr="003726FE" w:rsidRDefault="00EB129C" w:rsidP="0073282D">
            <w:pPr>
              <w:rPr>
                <w:rFonts w:cs="Times New Roman"/>
                <w:color w:val="000000"/>
                <w:sz w:val="22"/>
              </w:rPr>
            </w:pPr>
            <w:r w:rsidRPr="003726FE">
              <w:rPr>
                <w:rFonts w:cs="Times New Roman"/>
                <w:color w:val="000000"/>
                <w:sz w:val="22"/>
              </w:rPr>
              <w:t>“It just isn’t a suitable private environment that you would prefer to have and you just haven’t got the time to go through that amount of feedback with every one of them and not every individual would need it.” BPF Exp - 7</w:t>
            </w:r>
          </w:p>
        </w:tc>
        <w:tc>
          <w:tcPr>
            <w:tcW w:w="3402" w:type="dxa"/>
            <w:tcBorders>
              <w:top w:val="single" w:sz="4" w:space="0" w:color="auto"/>
              <w:left w:val="nil"/>
              <w:bottom w:val="single" w:sz="4" w:space="0" w:color="auto"/>
              <w:right w:val="single" w:sz="4" w:space="0" w:color="auto"/>
            </w:tcBorders>
          </w:tcPr>
          <w:p w14:paraId="5DEBA56C" w14:textId="616BD514" w:rsidR="00EB129C" w:rsidRPr="003726FE" w:rsidRDefault="00EB129C" w:rsidP="0073282D">
            <w:pPr>
              <w:rPr>
                <w:rFonts w:cs="Times New Roman"/>
                <w:color w:val="000000"/>
                <w:sz w:val="22"/>
              </w:rPr>
            </w:pPr>
            <w:r w:rsidRPr="003726FE">
              <w:rPr>
                <w:rFonts w:cs="Times New Roman"/>
                <w:color w:val="000000"/>
                <w:sz w:val="22"/>
              </w:rPr>
              <w:t>“I’m not sure it’s the right tool to use in this setting. I think in a one-to-one it could be a really useful tool but I think in front of groups, just using the same approach that they’re all sitting watching is the weakness I think for me. But, in the situation we have here actually there are some benefits to doing it.” SRLF Exp - 2</w:t>
            </w:r>
          </w:p>
        </w:tc>
      </w:tr>
      <w:tr w:rsidR="00EB129C" w:rsidRPr="003726FE" w14:paraId="1D80D9E8" w14:textId="34360BC2" w:rsidTr="00E07A7C">
        <w:trPr>
          <w:trHeight w:val="4365"/>
        </w:trPr>
        <w:tc>
          <w:tcPr>
            <w:tcW w:w="1255" w:type="dxa"/>
            <w:tcBorders>
              <w:top w:val="single" w:sz="4" w:space="0" w:color="auto"/>
              <w:right w:val="single" w:sz="8" w:space="0" w:color="auto"/>
            </w:tcBorders>
            <w:shd w:val="clear" w:color="auto" w:fill="auto"/>
            <w:vAlign w:val="center"/>
          </w:tcPr>
          <w:p w14:paraId="1A9ED438" w14:textId="77777777" w:rsidR="00EB129C" w:rsidRPr="003726FE" w:rsidRDefault="00EB129C" w:rsidP="00EB129C">
            <w:pPr>
              <w:spacing w:after="0" w:line="240" w:lineRule="auto"/>
              <w:jc w:val="center"/>
              <w:rPr>
                <w:rFonts w:eastAsia="Times New Roman" w:cs="Times New Roman"/>
                <w:b/>
                <w:bCs/>
                <w:color w:val="000000"/>
                <w:sz w:val="22"/>
                <w:lang w:eastAsia="en-GB"/>
              </w:rPr>
            </w:pPr>
          </w:p>
        </w:tc>
        <w:tc>
          <w:tcPr>
            <w:tcW w:w="2279" w:type="dxa"/>
            <w:tcBorders>
              <w:top w:val="single" w:sz="4" w:space="0" w:color="auto"/>
              <w:left w:val="nil"/>
              <w:bottom w:val="single" w:sz="4" w:space="0" w:color="auto"/>
              <w:right w:val="single" w:sz="4" w:space="0" w:color="auto"/>
            </w:tcBorders>
            <w:shd w:val="clear" w:color="auto" w:fill="auto"/>
          </w:tcPr>
          <w:p w14:paraId="5A402FE6" w14:textId="6D1D6645" w:rsidR="00EB129C" w:rsidRPr="003726FE" w:rsidRDefault="00EB129C" w:rsidP="0073282D">
            <w:pPr>
              <w:rPr>
                <w:rFonts w:cs="Times New Roman"/>
                <w:color w:val="000000"/>
                <w:sz w:val="22"/>
              </w:rPr>
            </w:pPr>
            <w:r w:rsidRPr="003726FE">
              <w:rPr>
                <w:rFonts w:cs="Times New Roman"/>
                <w:color w:val="000000"/>
                <w:sz w:val="22"/>
              </w:rPr>
              <w:t>“It just isn’t a suitable private environment that you would prefer to have and you just haven’t got the time to go through that amount of feedback with every one of them” BPF Exp - 7</w:t>
            </w:r>
          </w:p>
        </w:tc>
        <w:tc>
          <w:tcPr>
            <w:tcW w:w="1985" w:type="dxa"/>
            <w:tcBorders>
              <w:top w:val="single" w:sz="4" w:space="0" w:color="auto"/>
              <w:left w:val="nil"/>
              <w:bottom w:val="single" w:sz="4" w:space="0" w:color="auto"/>
              <w:right w:val="single" w:sz="4" w:space="0" w:color="auto"/>
            </w:tcBorders>
            <w:shd w:val="clear" w:color="auto" w:fill="auto"/>
          </w:tcPr>
          <w:p w14:paraId="6B7A764D" w14:textId="3C9B6AFB" w:rsidR="00EB129C" w:rsidRPr="003726FE" w:rsidRDefault="00EB129C" w:rsidP="0073282D">
            <w:pPr>
              <w:rPr>
                <w:rFonts w:cs="Times New Roman"/>
                <w:color w:val="000000"/>
                <w:sz w:val="22"/>
              </w:rPr>
            </w:pPr>
            <w:r w:rsidRPr="003726FE">
              <w:rPr>
                <w:rFonts w:cs="Times New Roman"/>
                <w:color w:val="000000"/>
                <w:sz w:val="22"/>
              </w:rPr>
              <w:t>“I think in a one-to-one it could be a really useful tool but I think in front of groups, just using the same approach that they’re all sitting watching is the weakness I think for me. […] They were learning based on what they heard before.” SRLF Exp - 2</w:t>
            </w:r>
          </w:p>
        </w:tc>
        <w:tc>
          <w:tcPr>
            <w:tcW w:w="2551" w:type="dxa"/>
            <w:tcBorders>
              <w:top w:val="single" w:sz="4" w:space="0" w:color="auto"/>
              <w:left w:val="nil"/>
              <w:bottom w:val="single" w:sz="4" w:space="0" w:color="auto"/>
              <w:right w:val="single" w:sz="4" w:space="0" w:color="auto"/>
            </w:tcBorders>
            <w:shd w:val="clear" w:color="auto" w:fill="auto"/>
          </w:tcPr>
          <w:p w14:paraId="54194974" w14:textId="6702798E" w:rsidR="00EB129C" w:rsidRPr="003726FE" w:rsidRDefault="00EB129C" w:rsidP="0073282D">
            <w:pPr>
              <w:rPr>
                <w:rFonts w:cs="Times New Roman"/>
                <w:color w:val="000000"/>
                <w:sz w:val="22"/>
              </w:rPr>
            </w:pPr>
            <w:r w:rsidRPr="003726FE">
              <w:rPr>
                <w:rFonts w:cs="Times New Roman"/>
                <w:color w:val="000000"/>
                <w:sz w:val="22"/>
              </w:rPr>
              <w:t>“Feedback is very public because it’s in groups. Their position in their friendship group, colleagues, or student group is important to these young people and it’s difficult to give the feedback to them in front of others because it’s personal.” BPF Exp - 7</w:t>
            </w:r>
          </w:p>
        </w:tc>
        <w:tc>
          <w:tcPr>
            <w:tcW w:w="1843" w:type="dxa"/>
            <w:tcBorders>
              <w:top w:val="single" w:sz="4" w:space="0" w:color="auto"/>
              <w:left w:val="nil"/>
              <w:bottom w:val="single" w:sz="4" w:space="0" w:color="auto"/>
              <w:right w:val="single" w:sz="4" w:space="0" w:color="auto"/>
            </w:tcBorders>
            <w:shd w:val="clear" w:color="auto" w:fill="auto"/>
          </w:tcPr>
          <w:p w14:paraId="6923CD1E" w14:textId="6C2FF037" w:rsidR="00EB129C" w:rsidRPr="003726FE" w:rsidRDefault="00EB129C" w:rsidP="0073282D">
            <w:pPr>
              <w:rPr>
                <w:rFonts w:cs="Times New Roman"/>
                <w:color w:val="000000"/>
                <w:sz w:val="22"/>
              </w:rPr>
            </w:pPr>
            <w:r w:rsidRPr="003726FE">
              <w:rPr>
                <w:rFonts w:cs="Times New Roman"/>
                <w:color w:val="000000"/>
                <w:sz w:val="22"/>
              </w:rPr>
              <w:t>“I think it’s very useful way of doing it here because even though it’s a very artificial environment to do it, it is in a way representative quite a lot of skills they pick up later. “ SRLF Exp - 1</w:t>
            </w:r>
          </w:p>
        </w:tc>
        <w:tc>
          <w:tcPr>
            <w:tcW w:w="3402" w:type="dxa"/>
            <w:tcBorders>
              <w:top w:val="single" w:sz="4" w:space="0" w:color="auto"/>
              <w:left w:val="nil"/>
              <w:bottom w:val="single" w:sz="4" w:space="0" w:color="auto"/>
              <w:right w:val="single" w:sz="4" w:space="0" w:color="auto"/>
            </w:tcBorders>
          </w:tcPr>
          <w:p w14:paraId="186DDE0E" w14:textId="00DA57B5" w:rsidR="00EB129C" w:rsidRPr="003726FE" w:rsidRDefault="00EB129C" w:rsidP="0073282D">
            <w:pPr>
              <w:rPr>
                <w:rFonts w:cs="Times New Roman"/>
                <w:color w:val="000000"/>
                <w:sz w:val="22"/>
              </w:rPr>
            </w:pPr>
            <w:r w:rsidRPr="003726FE">
              <w:rPr>
                <w:rFonts w:cs="Times New Roman"/>
                <w:color w:val="000000"/>
                <w:sz w:val="22"/>
              </w:rPr>
              <w:t>“if you are asking individual students what they did well, I asked them “what could you improve on” then I’d tell them, it can feel a bit artificial because they know that the same thing is going to happen to everyone so especially the student at the end, if they thought they did ok they could just say what their predecessor said and it may be less of something they engage with rather than something they just try and get done because they are the last person in the group.” BPF Nov - 4 SRL</w:t>
            </w:r>
          </w:p>
        </w:tc>
      </w:tr>
    </w:tbl>
    <w:p w14:paraId="682BA33D" w14:textId="54146CBD" w:rsidR="00E07A7C" w:rsidRDefault="00E07A7C">
      <w:pPr>
        <w:rPr>
          <w:b/>
        </w:rPr>
      </w:pPr>
    </w:p>
    <w:p w14:paraId="6AE07164" w14:textId="07050F61" w:rsidR="00B52C46" w:rsidRPr="003726FE" w:rsidRDefault="00EB129C">
      <w:pPr>
        <w:rPr>
          <w:rFonts w:eastAsia="Lucida Sans Unicode" w:cs="Mangal"/>
          <w:b/>
          <w:kern w:val="1"/>
          <w:szCs w:val="24"/>
          <w:lang w:eastAsia="hi-IN" w:bidi="hi-IN"/>
        </w:rPr>
      </w:pPr>
      <w:r w:rsidRPr="003726FE">
        <w:rPr>
          <w:b/>
        </w:rPr>
        <w:t>Factors influencing the feedback encounter theme and sub-themes.</w:t>
      </w:r>
    </w:p>
    <w:tbl>
      <w:tblPr>
        <w:tblW w:w="13320" w:type="dxa"/>
        <w:tblInd w:w="-5" w:type="dxa"/>
        <w:tblLook w:val="04A0" w:firstRow="1" w:lastRow="0" w:firstColumn="1" w:lastColumn="0" w:noHBand="0" w:noVBand="1"/>
      </w:tblPr>
      <w:tblGrid>
        <w:gridCol w:w="1838"/>
        <w:gridCol w:w="2552"/>
        <w:gridCol w:w="2551"/>
        <w:gridCol w:w="3686"/>
        <w:gridCol w:w="2693"/>
      </w:tblGrid>
      <w:tr w:rsidR="00EB129C" w:rsidRPr="003726FE" w14:paraId="29F75204" w14:textId="77777777" w:rsidTr="00384091">
        <w:trPr>
          <w:trHeight w:val="3527"/>
        </w:trPr>
        <w:tc>
          <w:tcPr>
            <w:tcW w:w="183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1FB1028" w14:textId="77FC1283" w:rsidR="00EB129C" w:rsidRPr="003726FE" w:rsidRDefault="00EB129C" w:rsidP="00EB129C">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t>Factors affecting feedback giving</w:t>
            </w:r>
          </w:p>
        </w:tc>
        <w:tc>
          <w:tcPr>
            <w:tcW w:w="2552" w:type="dxa"/>
            <w:tcBorders>
              <w:top w:val="single" w:sz="4" w:space="0" w:color="auto"/>
              <w:left w:val="nil"/>
              <w:bottom w:val="single" w:sz="4" w:space="0" w:color="auto"/>
              <w:right w:val="single" w:sz="4" w:space="0" w:color="auto"/>
            </w:tcBorders>
            <w:shd w:val="clear" w:color="auto" w:fill="auto"/>
          </w:tcPr>
          <w:p w14:paraId="07A79D5C" w14:textId="4D025E09" w:rsidR="00EB129C" w:rsidRPr="003726FE" w:rsidRDefault="00EB129C" w:rsidP="00EB129C">
            <w:pPr>
              <w:rPr>
                <w:rFonts w:cs="Times New Roman"/>
                <w:color w:val="000000"/>
                <w:sz w:val="22"/>
              </w:rPr>
            </w:pPr>
            <w:r w:rsidRPr="003726FE">
              <w:rPr>
                <w:rFonts w:cs="Times New Roman"/>
                <w:color w:val="000000"/>
                <w:sz w:val="22"/>
              </w:rPr>
              <w:t>“the ideal teaching would be a tutor with a student one-to-one watching start to finish, that’s the ideal way to teach this but it’s completely impractical without the staff or money or facilities so you have to do it in small groups” BPF Nov - 7</w:t>
            </w:r>
          </w:p>
        </w:tc>
        <w:tc>
          <w:tcPr>
            <w:tcW w:w="2551" w:type="dxa"/>
            <w:tcBorders>
              <w:top w:val="single" w:sz="4" w:space="0" w:color="auto"/>
              <w:left w:val="nil"/>
              <w:bottom w:val="single" w:sz="4" w:space="0" w:color="auto"/>
              <w:right w:val="single" w:sz="4" w:space="0" w:color="auto"/>
            </w:tcBorders>
            <w:shd w:val="clear" w:color="auto" w:fill="auto"/>
          </w:tcPr>
          <w:p w14:paraId="444C8932" w14:textId="241767A1" w:rsidR="00EB129C" w:rsidRPr="003726FE" w:rsidRDefault="00EB129C" w:rsidP="00EB129C">
            <w:pPr>
              <w:rPr>
                <w:rFonts w:cs="Times New Roman"/>
                <w:color w:val="000000"/>
                <w:sz w:val="22"/>
              </w:rPr>
            </w:pPr>
            <w:r w:rsidRPr="003726FE">
              <w:rPr>
                <w:rFonts w:cs="Times New Roman"/>
                <w:bCs/>
                <w:color w:val="000000"/>
                <w:sz w:val="22"/>
              </w:rPr>
              <w:t>“Time is always a big thing here, we don’t just have lots of time, we have half an hour then the next one, it’s like a conveyor belt really” BPF Exp - 5</w:t>
            </w:r>
          </w:p>
        </w:tc>
        <w:tc>
          <w:tcPr>
            <w:tcW w:w="3686" w:type="dxa"/>
            <w:tcBorders>
              <w:top w:val="single" w:sz="4" w:space="0" w:color="auto"/>
              <w:left w:val="nil"/>
              <w:bottom w:val="single" w:sz="4" w:space="0" w:color="auto"/>
              <w:right w:val="single" w:sz="4" w:space="0" w:color="auto"/>
            </w:tcBorders>
            <w:shd w:val="clear" w:color="auto" w:fill="auto"/>
          </w:tcPr>
          <w:p w14:paraId="47381489" w14:textId="03E89EC3" w:rsidR="00EB129C" w:rsidRPr="003726FE" w:rsidRDefault="00EB129C" w:rsidP="00EB129C">
            <w:pPr>
              <w:rPr>
                <w:rFonts w:cs="Times New Roman"/>
                <w:color w:val="000000"/>
                <w:sz w:val="22"/>
              </w:rPr>
            </w:pPr>
            <w:r w:rsidRPr="003726FE">
              <w:rPr>
                <w:rFonts w:cs="Times New Roman"/>
                <w:color w:val="000000"/>
                <w:sz w:val="22"/>
              </w:rPr>
              <w:t>“I think in a one-to-one it could be a really useful tool but I think in front of groups, just using the same approach that they’re all sitting watching is the weakness I think for me. […] They were learning based on what they heard before.” SRLF Exp - 2</w:t>
            </w:r>
          </w:p>
        </w:tc>
        <w:tc>
          <w:tcPr>
            <w:tcW w:w="2693" w:type="dxa"/>
            <w:tcBorders>
              <w:top w:val="single" w:sz="4" w:space="0" w:color="auto"/>
              <w:left w:val="nil"/>
              <w:bottom w:val="single" w:sz="4" w:space="0" w:color="auto"/>
              <w:right w:val="single" w:sz="4" w:space="0" w:color="auto"/>
            </w:tcBorders>
            <w:shd w:val="clear" w:color="auto" w:fill="auto"/>
          </w:tcPr>
          <w:p w14:paraId="4D78AFA6" w14:textId="71CB6D4A" w:rsidR="00EB129C" w:rsidRPr="003726FE" w:rsidRDefault="00EB129C" w:rsidP="00EB129C">
            <w:pPr>
              <w:rPr>
                <w:rFonts w:cs="Times New Roman"/>
                <w:color w:val="000000"/>
                <w:sz w:val="22"/>
              </w:rPr>
            </w:pPr>
            <w:r w:rsidRPr="003726FE">
              <w:rPr>
                <w:rFonts w:cs="Times New Roman"/>
                <w:color w:val="000000"/>
                <w:sz w:val="22"/>
              </w:rPr>
              <w:t>“Feedback is very public because it’s in groups. Their position in their friendship group, colleagues, or student group is important to these young people and it’s difficult to give the feedback to them in front of others because it’s personal.” BPF Exp - 7</w:t>
            </w:r>
          </w:p>
        </w:tc>
      </w:tr>
      <w:tr w:rsidR="00EB129C" w:rsidRPr="003726FE" w14:paraId="04256AE7" w14:textId="77777777" w:rsidTr="00384091">
        <w:trPr>
          <w:trHeight w:val="3818"/>
        </w:trPr>
        <w:tc>
          <w:tcPr>
            <w:tcW w:w="1838" w:type="dxa"/>
            <w:tcBorders>
              <w:top w:val="single" w:sz="4" w:space="0" w:color="auto"/>
              <w:right w:val="single" w:sz="8" w:space="0" w:color="auto"/>
            </w:tcBorders>
            <w:shd w:val="clear" w:color="auto" w:fill="auto"/>
            <w:vAlign w:val="center"/>
          </w:tcPr>
          <w:p w14:paraId="10122DB6" w14:textId="77777777" w:rsidR="00EB129C" w:rsidRPr="003726FE" w:rsidRDefault="00EB129C" w:rsidP="00EB129C">
            <w:pPr>
              <w:spacing w:after="0" w:line="240" w:lineRule="auto"/>
              <w:jc w:val="center"/>
              <w:rPr>
                <w:rFonts w:eastAsia="Times New Roman" w:cs="Times New Roman"/>
                <w:b/>
                <w:bCs/>
                <w:color w:val="000000"/>
                <w:sz w:val="22"/>
                <w:lang w:eastAsia="en-GB"/>
              </w:rPr>
            </w:pPr>
          </w:p>
        </w:tc>
        <w:tc>
          <w:tcPr>
            <w:tcW w:w="2552" w:type="dxa"/>
            <w:tcBorders>
              <w:top w:val="single" w:sz="4" w:space="0" w:color="auto"/>
              <w:left w:val="nil"/>
              <w:bottom w:val="single" w:sz="4" w:space="0" w:color="auto"/>
              <w:right w:val="single" w:sz="4" w:space="0" w:color="auto"/>
            </w:tcBorders>
            <w:shd w:val="clear" w:color="auto" w:fill="auto"/>
          </w:tcPr>
          <w:p w14:paraId="247052D2" w14:textId="6EDE5728" w:rsidR="00EB129C" w:rsidRPr="003726FE" w:rsidRDefault="00EB129C" w:rsidP="00EB129C">
            <w:pPr>
              <w:rPr>
                <w:rFonts w:cs="Times New Roman"/>
                <w:color w:val="000000"/>
                <w:sz w:val="22"/>
              </w:rPr>
            </w:pPr>
            <w:r w:rsidRPr="003726FE">
              <w:rPr>
                <w:rFonts w:cs="Times New Roman"/>
                <w:color w:val="000000"/>
                <w:sz w:val="22"/>
              </w:rPr>
              <w:t>“It just isn’t a suitable private environment that you would prefer to have and you just haven’t got the time to go through that amount of feedback with every one of them” BPF Exp - 7</w:t>
            </w:r>
          </w:p>
        </w:tc>
        <w:tc>
          <w:tcPr>
            <w:tcW w:w="2551" w:type="dxa"/>
            <w:tcBorders>
              <w:top w:val="single" w:sz="4" w:space="0" w:color="auto"/>
              <w:left w:val="nil"/>
              <w:bottom w:val="single" w:sz="4" w:space="0" w:color="auto"/>
              <w:right w:val="single" w:sz="4" w:space="0" w:color="auto"/>
            </w:tcBorders>
            <w:shd w:val="clear" w:color="auto" w:fill="auto"/>
          </w:tcPr>
          <w:p w14:paraId="04260282" w14:textId="5F15ACD3" w:rsidR="00EB129C" w:rsidRPr="003726FE" w:rsidRDefault="00EB129C" w:rsidP="00EB129C">
            <w:pPr>
              <w:rPr>
                <w:rFonts w:cs="Times New Roman"/>
                <w:color w:val="000000"/>
                <w:sz w:val="22"/>
              </w:rPr>
            </w:pPr>
            <w:r w:rsidRPr="003726FE">
              <w:rPr>
                <w:rFonts w:cs="Times New Roman"/>
                <w:bCs/>
                <w:color w:val="000000"/>
                <w:sz w:val="22"/>
              </w:rPr>
              <w:t>“</w:t>
            </w:r>
            <w:r w:rsidR="00D531CD" w:rsidRPr="003726FE">
              <w:rPr>
                <w:rFonts w:cs="Times New Roman"/>
                <w:bCs/>
                <w:color w:val="000000"/>
                <w:sz w:val="22"/>
              </w:rPr>
              <w:t>Lack</w:t>
            </w:r>
            <w:r w:rsidRPr="003726FE">
              <w:rPr>
                <w:rFonts w:cs="Times New Roman"/>
                <w:bCs/>
                <w:color w:val="000000"/>
                <w:sz w:val="22"/>
              </w:rPr>
              <w:t xml:space="preserve"> of knowledge on the individual. You don’t know very much about the individual person or where they’ve come from, their individual difficulties doing a practical skill and you don’t have the environment to make any further enquiries.” BPF Exp - 7</w:t>
            </w:r>
          </w:p>
        </w:tc>
        <w:tc>
          <w:tcPr>
            <w:tcW w:w="3686" w:type="dxa"/>
            <w:tcBorders>
              <w:top w:val="single" w:sz="4" w:space="0" w:color="auto"/>
              <w:left w:val="nil"/>
              <w:bottom w:val="single" w:sz="4" w:space="0" w:color="auto"/>
              <w:right w:val="single" w:sz="4" w:space="0" w:color="auto"/>
            </w:tcBorders>
            <w:shd w:val="clear" w:color="auto" w:fill="auto"/>
          </w:tcPr>
          <w:p w14:paraId="413ADBE4" w14:textId="0E1F46B4" w:rsidR="00EB129C" w:rsidRPr="003726FE" w:rsidRDefault="00EB129C" w:rsidP="00EB129C">
            <w:pPr>
              <w:rPr>
                <w:rFonts w:cs="Times New Roman"/>
                <w:color w:val="000000"/>
                <w:sz w:val="22"/>
              </w:rPr>
            </w:pPr>
            <w:r w:rsidRPr="003726FE">
              <w:rPr>
                <w:rFonts w:cs="Times New Roman"/>
                <w:color w:val="000000"/>
                <w:sz w:val="22"/>
              </w:rPr>
              <w:t>“They obviously watched 4-5 people go, so they knew what questions they were going to get asked, so they anticipated a bit more which is probably a limitation. […]I don’t think it would have changed anything that any of them said because I don’t think any of them were listening when the other people were coming up” SRLF Nov - 2</w:t>
            </w:r>
          </w:p>
        </w:tc>
        <w:tc>
          <w:tcPr>
            <w:tcW w:w="2693" w:type="dxa"/>
            <w:tcBorders>
              <w:top w:val="single" w:sz="4" w:space="0" w:color="auto"/>
              <w:left w:val="nil"/>
              <w:bottom w:val="single" w:sz="4" w:space="0" w:color="auto"/>
              <w:right w:val="single" w:sz="4" w:space="0" w:color="auto"/>
            </w:tcBorders>
            <w:shd w:val="clear" w:color="auto" w:fill="auto"/>
          </w:tcPr>
          <w:p w14:paraId="0A12892E" w14:textId="242CB089" w:rsidR="00EB129C" w:rsidRPr="003726FE" w:rsidRDefault="00EB129C" w:rsidP="00EB129C">
            <w:pPr>
              <w:rPr>
                <w:rFonts w:cs="Times New Roman"/>
                <w:color w:val="000000"/>
                <w:sz w:val="22"/>
              </w:rPr>
            </w:pPr>
            <w:r w:rsidRPr="003726FE">
              <w:rPr>
                <w:rFonts w:cs="Times New Roman"/>
                <w:color w:val="000000"/>
                <w:sz w:val="22"/>
              </w:rPr>
              <w:t>“It just isn’t a suitable private environment that you would prefer to have and you just haven’t got the time to go through that amount of feedback with every one of them and not every individual would need it.” BPF Exp - 7</w:t>
            </w:r>
          </w:p>
        </w:tc>
      </w:tr>
    </w:tbl>
    <w:p w14:paraId="070087AD" w14:textId="6317FFC3" w:rsidR="00B52C46" w:rsidRPr="003726FE" w:rsidRDefault="00B52C46">
      <w:pPr>
        <w:rPr>
          <w:rFonts w:eastAsia="Lucida Sans Unicode" w:cs="Mangal"/>
          <w:kern w:val="1"/>
          <w:szCs w:val="24"/>
          <w:lang w:eastAsia="hi-IN" w:bidi="hi-IN"/>
        </w:rPr>
      </w:pPr>
    </w:p>
    <w:tbl>
      <w:tblPr>
        <w:tblW w:w="13462" w:type="dxa"/>
        <w:tblInd w:w="-5" w:type="dxa"/>
        <w:tblLook w:val="04A0" w:firstRow="1" w:lastRow="0" w:firstColumn="1" w:lastColumn="0" w:noHBand="0" w:noVBand="1"/>
      </w:tblPr>
      <w:tblGrid>
        <w:gridCol w:w="2122"/>
        <w:gridCol w:w="2268"/>
        <w:gridCol w:w="2976"/>
        <w:gridCol w:w="2977"/>
        <w:gridCol w:w="3119"/>
      </w:tblGrid>
      <w:tr w:rsidR="002D6DC1" w:rsidRPr="003726FE" w14:paraId="39D8A929" w14:textId="77777777" w:rsidTr="00384091">
        <w:trPr>
          <w:trHeight w:val="4108"/>
        </w:trPr>
        <w:tc>
          <w:tcPr>
            <w:tcW w:w="212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1F32FCB" w14:textId="77777777" w:rsidR="00EB129C" w:rsidRPr="003726FE" w:rsidRDefault="00EB129C" w:rsidP="00EB129C">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lastRenderedPageBreak/>
              <w:t>Factors affecting feedback giving</w:t>
            </w:r>
          </w:p>
          <w:p w14:paraId="440184B3" w14:textId="697D29C1" w:rsidR="002D6DC1" w:rsidRPr="003726FE" w:rsidRDefault="002D6DC1" w:rsidP="00EB129C">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t>(perceived responses)</w:t>
            </w:r>
          </w:p>
        </w:tc>
        <w:tc>
          <w:tcPr>
            <w:tcW w:w="2268" w:type="dxa"/>
            <w:tcBorders>
              <w:top w:val="single" w:sz="4" w:space="0" w:color="auto"/>
              <w:left w:val="nil"/>
              <w:bottom w:val="single" w:sz="4" w:space="0" w:color="auto"/>
              <w:right w:val="single" w:sz="4" w:space="0" w:color="auto"/>
            </w:tcBorders>
            <w:shd w:val="clear" w:color="auto" w:fill="auto"/>
          </w:tcPr>
          <w:p w14:paraId="094CA90A" w14:textId="2AC04421" w:rsidR="00EB129C" w:rsidRPr="003726FE" w:rsidRDefault="00EB129C" w:rsidP="00EB129C">
            <w:pPr>
              <w:rPr>
                <w:rFonts w:cs="Times New Roman"/>
                <w:color w:val="000000"/>
                <w:sz w:val="22"/>
              </w:rPr>
            </w:pPr>
            <w:r w:rsidRPr="003726FE">
              <w:rPr>
                <w:rFonts w:cs="Times New Roman"/>
                <w:bCs/>
                <w:color w:val="000000"/>
                <w:sz w:val="22"/>
              </w:rPr>
              <w:t>“The first half weren’t really bothered about getting good feedback, they just wanted to know if they got it right and then go home whereas the others wanted to learn more so I could adapt myself and say ‘you guys stayed and want to learn more, lets chat more about this process’” BPF Nov - 7</w:t>
            </w:r>
          </w:p>
        </w:tc>
        <w:tc>
          <w:tcPr>
            <w:tcW w:w="2976" w:type="dxa"/>
            <w:tcBorders>
              <w:top w:val="single" w:sz="4" w:space="0" w:color="auto"/>
              <w:left w:val="nil"/>
              <w:bottom w:val="single" w:sz="4" w:space="0" w:color="auto"/>
              <w:right w:val="single" w:sz="4" w:space="0" w:color="auto"/>
            </w:tcBorders>
            <w:shd w:val="clear" w:color="auto" w:fill="auto"/>
          </w:tcPr>
          <w:p w14:paraId="5CFD8839" w14:textId="144846C5" w:rsidR="00EB129C" w:rsidRPr="003726FE" w:rsidRDefault="00EB129C" w:rsidP="00EB129C">
            <w:pPr>
              <w:rPr>
                <w:rFonts w:cs="Times New Roman"/>
                <w:bCs/>
                <w:color w:val="000000"/>
                <w:sz w:val="22"/>
              </w:rPr>
            </w:pPr>
            <w:r w:rsidRPr="003726FE">
              <w:rPr>
                <w:rFonts w:cs="Times New Roman"/>
                <w:bCs/>
                <w:color w:val="000000"/>
                <w:sz w:val="22"/>
              </w:rPr>
              <w:t>“I think the students got into it as well, initially it was quite unusual to be asked so many questions, and usually nobody cares what they think of it (laughs). Once we got into it they bought it as well you could probably pick it up a bit more and try to get them to think a bit more actively about it but yeah in general I found it a useful structure to the session.” SRLF Exp - 1</w:t>
            </w:r>
          </w:p>
        </w:tc>
        <w:tc>
          <w:tcPr>
            <w:tcW w:w="2977" w:type="dxa"/>
            <w:tcBorders>
              <w:top w:val="single" w:sz="4" w:space="0" w:color="auto"/>
              <w:left w:val="nil"/>
              <w:bottom w:val="single" w:sz="4" w:space="0" w:color="auto"/>
              <w:right w:val="single" w:sz="4" w:space="0" w:color="auto"/>
            </w:tcBorders>
            <w:shd w:val="clear" w:color="auto" w:fill="auto"/>
          </w:tcPr>
          <w:p w14:paraId="055FD744" w14:textId="0F0D7A4A" w:rsidR="00EB129C" w:rsidRPr="003726FE" w:rsidRDefault="00EB129C" w:rsidP="00EB129C">
            <w:pPr>
              <w:rPr>
                <w:rFonts w:cs="Times New Roman"/>
                <w:color w:val="000000"/>
                <w:sz w:val="22"/>
              </w:rPr>
            </w:pPr>
            <w:r w:rsidRPr="003726FE">
              <w:rPr>
                <w:rFonts w:cs="Times New Roman"/>
                <w:color w:val="000000"/>
                <w:sz w:val="22"/>
              </w:rPr>
              <w:t>“In phase 2 they haven’t had any clinical experience whatsoever, they sometimes struggle to see that what we do here is not just about just getting the needle in its about basic to everything compared to everything you learn on the wards. It’s useful, very useful concept for clinical skills, I think the more you do it the more they probably realise that it helps. It’s about reinforcement.” SRLF Exp - 1</w:t>
            </w:r>
          </w:p>
        </w:tc>
        <w:tc>
          <w:tcPr>
            <w:tcW w:w="3119" w:type="dxa"/>
            <w:tcBorders>
              <w:top w:val="single" w:sz="4" w:space="0" w:color="auto"/>
              <w:left w:val="nil"/>
              <w:bottom w:val="single" w:sz="4" w:space="0" w:color="auto"/>
              <w:right w:val="single" w:sz="4" w:space="0" w:color="auto"/>
            </w:tcBorders>
            <w:shd w:val="clear" w:color="auto" w:fill="auto"/>
          </w:tcPr>
          <w:p w14:paraId="48D1F60A" w14:textId="668ABF4A" w:rsidR="00EB129C" w:rsidRPr="003726FE" w:rsidRDefault="00EB129C" w:rsidP="00EB129C">
            <w:pPr>
              <w:rPr>
                <w:rFonts w:cs="Times New Roman"/>
                <w:color w:val="000000"/>
                <w:sz w:val="22"/>
              </w:rPr>
            </w:pPr>
            <w:r w:rsidRPr="003726FE">
              <w:rPr>
                <w:rFonts w:cs="Times New Roman"/>
                <w:color w:val="000000"/>
                <w:sz w:val="22"/>
              </w:rPr>
              <w:t>“I think if they were first years they would’ve been much more accepting of this is the way it’s done. They don’t know any different, that perhaps would’ve been easier.” SRLF Exp - 2</w:t>
            </w:r>
          </w:p>
        </w:tc>
      </w:tr>
      <w:tr w:rsidR="00EB129C" w:rsidRPr="003726FE" w14:paraId="5070E58F" w14:textId="77777777" w:rsidTr="00384091">
        <w:trPr>
          <w:trHeight w:val="2961"/>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C2B1031" w14:textId="77777777" w:rsidR="00EB129C" w:rsidRPr="003726FE" w:rsidRDefault="00EB129C" w:rsidP="002D6DC1">
            <w:pPr>
              <w:rPr>
                <w:rFonts w:cs="Times New Roman"/>
                <w:color w:val="000000"/>
                <w:sz w:val="22"/>
              </w:rPr>
            </w:pPr>
            <w:r w:rsidRPr="003726FE">
              <w:rPr>
                <w:rFonts w:cs="Times New Roman"/>
                <w:color w:val="000000"/>
                <w:sz w:val="22"/>
              </w:rPr>
              <w:t>“In older year groups as it is would be useful because they are equipped to analyse their own performance, this in younger year groups where they’ve just basically walked out of school isn’t as useful because more prompting has to be done.” SRLF Nov - 2</w:t>
            </w:r>
          </w:p>
          <w:p w14:paraId="47DE6754" w14:textId="77777777" w:rsidR="00EB129C" w:rsidRPr="003726FE" w:rsidRDefault="00EB129C" w:rsidP="002D6DC1">
            <w:pPr>
              <w:spacing w:after="0" w:line="240" w:lineRule="auto"/>
              <w:rPr>
                <w:rFonts w:eastAsia="Times New Roman" w:cs="Times New Roman"/>
                <w:b/>
                <w:bCs/>
                <w:color w:val="000000"/>
                <w:sz w:val="22"/>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2EEEC3" w14:textId="2D025F9C" w:rsidR="00EB129C" w:rsidRPr="003726FE" w:rsidRDefault="00EB129C" w:rsidP="00EB129C">
            <w:pPr>
              <w:rPr>
                <w:rFonts w:cs="Times New Roman"/>
                <w:color w:val="000000"/>
                <w:sz w:val="22"/>
              </w:rPr>
            </w:pPr>
            <w:r w:rsidRPr="003726FE">
              <w:rPr>
                <w:rFonts w:cs="Times New Roman"/>
                <w:bCs/>
                <w:color w:val="000000"/>
                <w:sz w:val="22"/>
              </w:rPr>
              <w:t>“As a technique I think it’s very good, I don’t know how much the students actually engage with it because a lot of them didn’t really pick apart their own issues, what they’d done wrong, they hadn’t come with a view point that they had to analyse their own stuff” SRLF Nov - 2</w:t>
            </w:r>
          </w:p>
        </w:tc>
        <w:tc>
          <w:tcPr>
            <w:tcW w:w="2976" w:type="dxa"/>
            <w:tcBorders>
              <w:top w:val="single" w:sz="4" w:space="0" w:color="auto"/>
              <w:left w:val="nil"/>
              <w:bottom w:val="single" w:sz="4" w:space="0" w:color="auto"/>
              <w:right w:val="single" w:sz="4" w:space="0" w:color="auto"/>
            </w:tcBorders>
            <w:shd w:val="clear" w:color="auto" w:fill="auto"/>
          </w:tcPr>
          <w:p w14:paraId="358A823C" w14:textId="2911DDB7" w:rsidR="00EB129C" w:rsidRPr="003726FE" w:rsidRDefault="00EB129C" w:rsidP="00EB129C">
            <w:pPr>
              <w:rPr>
                <w:rFonts w:cs="Times New Roman"/>
                <w:color w:val="000000"/>
                <w:sz w:val="22"/>
              </w:rPr>
            </w:pPr>
            <w:r w:rsidRPr="003726FE">
              <w:rPr>
                <w:rFonts w:cs="Times New Roman"/>
                <w:color w:val="000000"/>
                <w:sz w:val="22"/>
              </w:rPr>
              <w:t>“It will work for some, what it risks doing is accelerating the progress who are adult learners whilst leaving those who are struggling to be adult learners” SRLF Nov - 5</w:t>
            </w:r>
          </w:p>
        </w:tc>
        <w:tc>
          <w:tcPr>
            <w:tcW w:w="2977" w:type="dxa"/>
            <w:tcBorders>
              <w:top w:val="single" w:sz="4" w:space="0" w:color="auto"/>
              <w:left w:val="nil"/>
              <w:bottom w:val="single" w:sz="4" w:space="0" w:color="auto"/>
              <w:right w:val="single" w:sz="4" w:space="0" w:color="auto"/>
            </w:tcBorders>
            <w:shd w:val="clear" w:color="auto" w:fill="auto"/>
          </w:tcPr>
          <w:p w14:paraId="1DB31802" w14:textId="13192919" w:rsidR="00EB129C" w:rsidRPr="003726FE" w:rsidRDefault="00EB129C" w:rsidP="00EB129C">
            <w:pPr>
              <w:rPr>
                <w:rFonts w:cs="Times New Roman"/>
                <w:color w:val="000000"/>
                <w:sz w:val="22"/>
              </w:rPr>
            </w:pPr>
            <w:r w:rsidRPr="003726FE">
              <w:rPr>
                <w:rFonts w:cs="Times New Roman"/>
                <w:color w:val="000000"/>
                <w:sz w:val="22"/>
              </w:rPr>
              <w:t>“It’s a tricky question because in a way it’s really early on but it’s the time where they get all their skills teaching so I think in those terms it’s appropriate.” SRLF Exp - 1</w:t>
            </w:r>
          </w:p>
        </w:tc>
        <w:tc>
          <w:tcPr>
            <w:tcW w:w="3119" w:type="dxa"/>
            <w:tcBorders>
              <w:top w:val="single" w:sz="4" w:space="0" w:color="auto"/>
              <w:left w:val="nil"/>
              <w:bottom w:val="single" w:sz="4" w:space="0" w:color="auto"/>
              <w:right w:val="single" w:sz="4" w:space="0" w:color="auto"/>
            </w:tcBorders>
            <w:shd w:val="clear" w:color="auto" w:fill="auto"/>
          </w:tcPr>
          <w:p w14:paraId="7AACC0E4" w14:textId="73D97570" w:rsidR="00EB129C" w:rsidRPr="003726FE" w:rsidRDefault="00EB129C" w:rsidP="00EB129C">
            <w:pPr>
              <w:rPr>
                <w:rFonts w:cs="Times New Roman"/>
                <w:color w:val="000000"/>
                <w:sz w:val="22"/>
              </w:rPr>
            </w:pPr>
            <w:r w:rsidRPr="003726FE">
              <w:rPr>
                <w:rFonts w:cs="Times New Roman"/>
                <w:color w:val="000000"/>
                <w:sz w:val="22"/>
              </w:rPr>
              <w:t>“if you introduced it to the lower years, the first time they do any clinical skills and it was a continuous thing, you’d get a generation of medics who’d be used to self-assessment, I think then you’d have a breed that weren’t thrown by it and they’d find it really useful but at the moment if you dropped it into anyone I think they find it a bit off-putting.” SRLF Nov - 3</w:t>
            </w:r>
          </w:p>
        </w:tc>
      </w:tr>
    </w:tbl>
    <w:p w14:paraId="757AB0C6" w14:textId="77777777" w:rsidR="002D6DC1" w:rsidRPr="003726FE" w:rsidRDefault="002D6DC1" w:rsidP="004476F6">
      <w:pPr>
        <w:pStyle w:val="Normal1"/>
        <w:rPr>
          <w:lang w:val="en-GB"/>
        </w:rPr>
      </w:pPr>
    </w:p>
    <w:p w14:paraId="6E256FB4" w14:textId="77777777" w:rsidR="002D6DC1" w:rsidRPr="003726FE" w:rsidRDefault="002D6DC1">
      <w:pPr>
        <w:rPr>
          <w:rFonts w:eastAsia="Lucida Sans Unicode" w:cs="Mangal"/>
          <w:kern w:val="1"/>
          <w:szCs w:val="24"/>
          <w:lang w:eastAsia="hi-IN" w:bidi="hi-IN"/>
        </w:rPr>
      </w:pPr>
      <w:r w:rsidRPr="003726FE">
        <w:br w:type="page"/>
      </w:r>
    </w:p>
    <w:p w14:paraId="0BB07B5D" w14:textId="77777777" w:rsidR="002D6DC1" w:rsidRPr="003726FE" w:rsidRDefault="002D6DC1" w:rsidP="004476F6">
      <w:pPr>
        <w:pStyle w:val="Normal1"/>
        <w:rPr>
          <w:b/>
          <w:lang w:val="en-GB"/>
        </w:rPr>
      </w:pPr>
      <w:r w:rsidRPr="003726FE">
        <w:rPr>
          <w:b/>
          <w:lang w:val="en-GB"/>
        </w:rPr>
        <w:lastRenderedPageBreak/>
        <w:t>Dynamic adjustment and reflective change themes and sub-themes.</w:t>
      </w:r>
    </w:p>
    <w:tbl>
      <w:tblPr>
        <w:tblW w:w="13320" w:type="dxa"/>
        <w:tblInd w:w="-5" w:type="dxa"/>
        <w:tblLook w:val="04A0" w:firstRow="1" w:lastRow="0" w:firstColumn="1" w:lastColumn="0" w:noHBand="0" w:noVBand="1"/>
      </w:tblPr>
      <w:tblGrid>
        <w:gridCol w:w="1271"/>
        <w:gridCol w:w="3402"/>
        <w:gridCol w:w="2835"/>
        <w:gridCol w:w="3119"/>
        <w:gridCol w:w="2693"/>
      </w:tblGrid>
      <w:tr w:rsidR="002D6DC1" w:rsidRPr="003726FE" w14:paraId="0FF866A3" w14:textId="77777777" w:rsidTr="00384091">
        <w:trPr>
          <w:trHeight w:val="3546"/>
        </w:trPr>
        <w:tc>
          <w:tcPr>
            <w:tcW w:w="127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F197988" w14:textId="676822FC" w:rsidR="002D6DC1" w:rsidRPr="003726FE" w:rsidRDefault="002D6DC1" w:rsidP="002D6DC1">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t xml:space="preserve">Real-time/ </w:t>
            </w:r>
            <w:r w:rsidR="00826050">
              <w:rPr>
                <w:rFonts w:eastAsia="Times New Roman" w:cs="Times New Roman"/>
                <w:b/>
                <w:bCs/>
                <w:color w:val="000000"/>
                <w:sz w:val="22"/>
                <w:lang w:eastAsia="en-GB"/>
              </w:rPr>
              <w:t>immediate</w:t>
            </w:r>
            <w:r w:rsidRPr="003726FE">
              <w:rPr>
                <w:rFonts w:eastAsia="Times New Roman" w:cs="Times New Roman"/>
                <w:b/>
                <w:bCs/>
                <w:color w:val="000000"/>
                <w:sz w:val="22"/>
                <w:lang w:eastAsia="en-GB"/>
              </w:rPr>
              <w:t xml:space="preserve"> changes</w:t>
            </w:r>
          </w:p>
        </w:tc>
        <w:tc>
          <w:tcPr>
            <w:tcW w:w="3402" w:type="dxa"/>
            <w:tcBorders>
              <w:top w:val="single" w:sz="4" w:space="0" w:color="auto"/>
              <w:left w:val="nil"/>
              <w:bottom w:val="single" w:sz="4" w:space="0" w:color="auto"/>
              <w:right w:val="single" w:sz="4" w:space="0" w:color="auto"/>
            </w:tcBorders>
            <w:shd w:val="clear" w:color="auto" w:fill="auto"/>
          </w:tcPr>
          <w:p w14:paraId="5F580AC8" w14:textId="1A888BA3" w:rsidR="002D6DC1" w:rsidRPr="003726FE" w:rsidRDefault="002D6DC1" w:rsidP="002D6DC1">
            <w:pPr>
              <w:rPr>
                <w:rFonts w:cs="Times New Roman"/>
                <w:color w:val="000000"/>
                <w:sz w:val="22"/>
              </w:rPr>
            </w:pPr>
            <w:r w:rsidRPr="003726FE">
              <w:rPr>
                <w:rFonts w:cs="Times New Roman"/>
                <w:color w:val="000000"/>
                <w:sz w:val="22"/>
              </w:rPr>
              <w:t>“I would ask them during the clinical skill ‘what was the hardest part about the performance and why do you think that was?’ ‘how could you have improved on it?’ and really try to tease out everything you can find out so you can give feedback on it” BPF Nov - 6</w:t>
            </w:r>
          </w:p>
        </w:tc>
        <w:tc>
          <w:tcPr>
            <w:tcW w:w="2835" w:type="dxa"/>
            <w:tcBorders>
              <w:top w:val="single" w:sz="4" w:space="0" w:color="auto"/>
              <w:left w:val="nil"/>
              <w:bottom w:val="single" w:sz="4" w:space="0" w:color="auto"/>
              <w:right w:val="single" w:sz="4" w:space="0" w:color="auto"/>
            </w:tcBorders>
            <w:shd w:val="clear" w:color="auto" w:fill="auto"/>
          </w:tcPr>
          <w:p w14:paraId="4FA27339" w14:textId="29FC0E87" w:rsidR="002D6DC1" w:rsidRPr="003726FE" w:rsidRDefault="002D6DC1" w:rsidP="002D6DC1">
            <w:pPr>
              <w:rPr>
                <w:rFonts w:cs="Times New Roman"/>
                <w:color w:val="000000"/>
                <w:sz w:val="22"/>
              </w:rPr>
            </w:pPr>
            <w:r w:rsidRPr="003726FE">
              <w:rPr>
                <w:rFonts w:cs="Times New Roman"/>
                <w:color w:val="000000"/>
                <w:sz w:val="22"/>
              </w:rPr>
              <w:t>“I had everyone sat around and when someone contaminated the sterile field I’d ring the bell, I’d ask the student what they think they did wrong and if they didn’t know I’d ask everyone else what they did wrong and I’ll try and integrate everyone in the feedback. The feedback I got from them about that was that that worked quite well” BPF Nov - 7</w:t>
            </w:r>
          </w:p>
        </w:tc>
        <w:tc>
          <w:tcPr>
            <w:tcW w:w="3119" w:type="dxa"/>
            <w:tcBorders>
              <w:top w:val="single" w:sz="4" w:space="0" w:color="auto"/>
              <w:left w:val="nil"/>
              <w:bottom w:val="single" w:sz="4" w:space="0" w:color="auto"/>
              <w:right w:val="single" w:sz="4" w:space="0" w:color="auto"/>
            </w:tcBorders>
            <w:shd w:val="clear" w:color="auto" w:fill="auto"/>
          </w:tcPr>
          <w:p w14:paraId="262B2002" w14:textId="22184189" w:rsidR="002D6DC1" w:rsidRPr="003726FE" w:rsidRDefault="002D6DC1" w:rsidP="002D6DC1">
            <w:pPr>
              <w:rPr>
                <w:rFonts w:cs="Times New Roman"/>
                <w:color w:val="000000"/>
                <w:sz w:val="22"/>
              </w:rPr>
            </w:pPr>
            <w:r w:rsidRPr="003726FE">
              <w:rPr>
                <w:rFonts w:cs="Times New Roman"/>
                <w:color w:val="000000"/>
                <w:sz w:val="22"/>
              </w:rPr>
              <w:t>“I think I internalised it a bit and remembered it by starting with the ‘during the task’ bit, it felt a lot more like teaching rather than doing research when I did that. It becomes part of your normal teaching.” SRLF Exp - 1</w:t>
            </w:r>
          </w:p>
        </w:tc>
        <w:tc>
          <w:tcPr>
            <w:tcW w:w="2693" w:type="dxa"/>
            <w:tcBorders>
              <w:top w:val="single" w:sz="4" w:space="0" w:color="auto"/>
              <w:left w:val="nil"/>
              <w:bottom w:val="single" w:sz="4" w:space="0" w:color="auto"/>
              <w:right w:val="single" w:sz="4" w:space="0" w:color="auto"/>
            </w:tcBorders>
            <w:shd w:val="clear" w:color="auto" w:fill="auto"/>
          </w:tcPr>
          <w:p w14:paraId="5F77BF72" w14:textId="5DBEA40C" w:rsidR="002D6DC1" w:rsidRPr="003726FE" w:rsidRDefault="002D6DC1" w:rsidP="002D6DC1">
            <w:pPr>
              <w:rPr>
                <w:rFonts w:cs="Times New Roman"/>
                <w:color w:val="000000"/>
                <w:sz w:val="22"/>
              </w:rPr>
            </w:pPr>
            <w:r w:rsidRPr="003726FE">
              <w:rPr>
                <w:rFonts w:cs="Times New Roman"/>
                <w:color w:val="000000"/>
                <w:sz w:val="22"/>
              </w:rPr>
              <w:t>“The first half weren’t really bothered about getting good feedback, they just wanted to know if they got it right and then go home whereas the others wanted to learn more so I could adapt myself and say ‘you guys stayed and want to learn more, lets chat more about this process’” BPF Nov - 7</w:t>
            </w:r>
          </w:p>
        </w:tc>
      </w:tr>
      <w:tr w:rsidR="002D6DC1" w:rsidRPr="003726FE" w14:paraId="4F2B82E7" w14:textId="77777777" w:rsidTr="00384091">
        <w:trPr>
          <w:trHeight w:val="3113"/>
        </w:trPr>
        <w:tc>
          <w:tcPr>
            <w:tcW w:w="1271" w:type="dxa"/>
            <w:tcBorders>
              <w:top w:val="single" w:sz="4" w:space="0" w:color="auto"/>
              <w:right w:val="single" w:sz="8" w:space="0" w:color="auto"/>
            </w:tcBorders>
            <w:shd w:val="clear" w:color="auto" w:fill="auto"/>
            <w:vAlign w:val="center"/>
          </w:tcPr>
          <w:p w14:paraId="4786361C" w14:textId="77777777" w:rsidR="002D6DC1" w:rsidRPr="003726FE" w:rsidRDefault="002D6DC1" w:rsidP="002D6DC1">
            <w:pPr>
              <w:spacing w:after="0" w:line="240" w:lineRule="auto"/>
              <w:jc w:val="center"/>
              <w:rPr>
                <w:rFonts w:eastAsia="Times New Roman" w:cs="Times New Roman"/>
                <w:b/>
                <w:bCs/>
                <w:color w:val="000000"/>
                <w:sz w:val="22"/>
                <w:lang w:eastAsia="en-GB"/>
              </w:rPr>
            </w:pPr>
          </w:p>
        </w:tc>
        <w:tc>
          <w:tcPr>
            <w:tcW w:w="3402" w:type="dxa"/>
            <w:tcBorders>
              <w:top w:val="single" w:sz="4" w:space="0" w:color="auto"/>
              <w:left w:val="nil"/>
              <w:bottom w:val="single" w:sz="4" w:space="0" w:color="auto"/>
              <w:right w:val="single" w:sz="4" w:space="0" w:color="auto"/>
            </w:tcBorders>
            <w:shd w:val="clear" w:color="auto" w:fill="auto"/>
          </w:tcPr>
          <w:p w14:paraId="02D6A12C" w14:textId="03619C66" w:rsidR="002D6DC1" w:rsidRPr="003726FE" w:rsidRDefault="002D6DC1" w:rsidP="002D6DC1">
            <w:pPr>
              <w:rPr>
                <w:rFonts w:cs="Times New Roman"/>
                <w:color w:val="000000"/>
                <w:sz w:val="22"/>
              </w:rPr>
            </w:pPr>
            <w:r w:rsidRPr="003726FE">
              <w:rPr>
                <w:rFonts w:cs="Times New Roman"/>
                <w:color w:val="000000"/>
                <w:sz w:val="22"/>
              </w:rPr>
              <w:t>“A student may think they’re doing well and in fact they’re failing and you’ve got to find out why they think that and sometimes very often if you break it down and ask them ‘what do you think about certain aspects?’ […] if you break it down for them, you can give the feedback through them, they do know where they’ve gone wrong a lot of the time but it’s about making them realise” BPF Exp - 3</w:t>
            </w:r>
          </w:p>
        </w:tc>
        <w:tc>
          <w:tcPr>
            <w:tcW w:w="2835" w:type="dxa"/>
            <w:tcBorders>
              <w:top w:val="single" w:sz="4" w:space="0" w:color="auto"/>
              <w:left w:val="nil"/>
              <w:bottom w:val="single" w:sz="4" w:space="0" w:color="auto"/>
              <w:right w:val="single" w:sz="4" w:space="0" w:color="auto"/>
            </w:tcBorders>
            <w:shd w:val="clear" w:color="auto" w:fill="auto"/>
          </w:tcPr>
          <w:p w14:paraId="7EF1D605" w14:textId="45C60891" w:rsidR="002D6DC1" w:rsidRPr="003726FE" w:rsidRDefault="002D6DC1" w:rsidP="002D6DC1">
            <w:pPr>
              <w:rPr>
                <w:rFonts w:cs="Times New Roman"/>
                <w:color w:val="000000"/>
                <w:sz w:val="22"/>
              </w:rPr>
            </w:pPr>
            <w:r w:rsidRPr="003726FE">
              <w:rPr>
                <w:rFonts w:cs="Times New Roman"/>
                <w:bCs/>
                <w:color w:val="000000"/>
                <w:sz w:val="22"/>
              </w:rPr>
              <w:t>“I had the training with DME who went through this with me then we did the catheter teaching that week and I literally thought about this and came up with the idea of using the bell” BPF Nov - 7</w:t>
            </w:r>
          </w:p>
        </w:tc>
        <w:tc>
          <w:tcPr>
            <w:tcW w:w="3119" w:type="dxa"/>
            <w:tcBorders>
              <w:top w:val="single" w:sz="4" w:space="0" w:color="auto"/>
              <w:left w:val="nil"/>
              <w:bottom w:val="single" w:sz="4" w:space="0" w:color="auto"/>
              <w:right w:val="single" w:sz="4" w:space="0" w:color="auto"/>
            </w:tcBorders>
            <w:shd w:val="clear" w:color="auto" w:fill="auto"/>
          </w:tcPr>
          <w:p w14:paraId="1EAC7123" w14:textId="1796E356" w:rsidR="002D6DC1" w:rsidRPr="003726FE" w:rsidRDefault="002D6DC1" w:rsidP="002D6DC1">
            <w:pPr>
              <w:rPr>
                <w:rFonts w:cs="Times New Roman"/>
                <w:color w:val="000000"/>
                <w:sz w:val="22"/>
              </w:rPr>
            </w:pPr>
            <w:r w:rsidRPr="003726FE">
              <w:rPr>
                <w:rFonts w:cs="Times New Roman"/>
                <w:color w:val="000000"/>
                <w:sz w:val="22"/>
              </w:rPr>
              <w:t>“As the sessions went on and I used it more I found it more accessible than I thought it would be if you know what I mean.” SRLF Nov - 3</w:t>
            </w:r>
          </w:p>
        </w:tc>
        <w:tc>
          <w:tcPr>
            <w:tcW w:w="2693" w:type="dxa"/>
            <w:tcBorders>
              <w:top w:val="single" w:sz="4" w:space="0" w:color="auto"/>
              <w:left w:val="nil"/>
              <w:bottom w:val="single" w:sz="4" w:space="0" w:color="auto"/>
              <w:right w:val="single" w:sz="4" w:space="0" w:color="auto"/>
            </w:tcBorders>
            <w:shd w:val="clear" w:color="auto" w:fill="auto"/>
          </w:tcPr>
          <w:p w14:paraId="587D04BC" w14:textId="75A83B05" w:rsidR="002D6DC1" w:rsidRPr="003726FE" w:rsidRDefault="002D6DC1" w:rsidP="002D6DC1">
            <w:pPr>
              <w:rPr>
                <w:rFonts w:cs="Times New Roman"/>
                <w:color w:val="000000"/>
                <w:sz w:val="22"/>
              </w:rPr>
            </w:pPr>
            <w:r w:rsidRPr="003726FE">
              <w:rPr>
                <w:rFonts w:cs="Times New Roman"/>
                <w:color w:val="000000"/>
                <w:sz w:val="22"/>
              </w:rPr>
              <w:t>“The first bit is where you’ve got to think about integrating it, once I got into the flow at the second or third session it was natural and easy.” SRLF Exp - 1</w:t>
            </w:r>
          </w:p>
        </w:tc>
      </w:tr>
    </w:tbl>
    <w:p w14:paraId="720871DD" w14:textId="77777777" w:rsidR="002D6DC1" w:rsidRPr="003726FE" w:rsidRDefault="002D6DC1" w:rsidP="004476F6">
      <w:pPr>
        <w:pStyle w:val="Normal1"/>
        <w:rPr>
          <w:b/>
          <w:lang w:val="en-GB"/>
        </w:rPr>
      </w:pPr>
    </w:p>
    <w:p w14:paraId="623D7BF4" w14:textId="77777777" w:rsidR="002D6DC1" w:rsidRPr="003726FE" w:rsidRDefault="002D6DC1">
      <w:pPr>
        <w:rPr>
          <w:rFonts w:eastAsia="Lucida Sans Unicode" w:cs="Mangal"/>
          <w:b/>
          <w:kern w:val="1"/>
          <w:szCs w:val="24"/>
          <w:lang w:eastAsia="hi-IN" w:bidi="hi-IN"/>
        </w:rPr>
      </w:pPr>
      <w:r w:rsidRPr="003726FE">
        <w:rPr>
          <w:b/>
        </w:rPr>
        <w:br w:type="page"/>
      </w:r>
    </w:p>
    <w:tbl>
      <w:tblPr>
        <w:tblW w:w="13465" w:type="dxa"/>
        <w:tblInd w:w="-5" w:type="dxa"/>
        <w:tblLook w:val="04A0" w:firstRow="1" w:lastRow="0" w:firstColumn="1" w:lastColumn="0" w:noHBand="0" w:noVBand="1"/>
      </w:tblPr>
      <w:tblGrid>
        <w:gridCol w:w="1271"/>
        <w:gridCol w:w="3119"/>
        <w:gridCol w:w="4536"/>
        <w:gridCol w:w="1984"/>
        <w:gridCol w:w="2555"/>
      </w:tblGrid>
      <w:tr w:rsidR="002D6DC1" w:rsidRPr="003726FE" w14:paraId="40C91938" w14:textId="77777777" w:rsidTr="00384091">
        <w:trPr>
          <w:trHeight w:val="4365"/>
        </w:trPr>
        <w:tc>
          <w:tcPr>
            <w:tcW w:w="127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BA13D63" w14:textId="728F0145" w:rsidR="002D6DC1" w:rsidRPr="003726FE" w:rsidRDefault="002D6DC1" w:rsidP="002D6DC1">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lastRenderedPageBreak/>
              <w:t xml:space="preserve">Real-time/ </w:t>
            </w:r>
            <w:r w:rsidR="00826050">
              <w:rPr>
                <w:rFonts w:eastAsia="Times New Roman" w:cs="Times New Roman"/>
                <w:b/>
                <w:bCs/>
                <w:color w:val="000000"/>
                <w:sz w:val="22"/>
                <w:lang w:eastAsia="en-GB"/>
              </w:rPr>
              <w:t>immediate</w:t>
            </w:r>
            <w:r w:rsidRPr="003726FE">
              <w:rPr>
                <w:rFonts w:eastAsia="Times New Roman" w:cs="Times New Roman"/>
                <w:b/>
                <w:bCs/>
                <w:color w:val="000000"/>
                <w:sz w:val="22"/>
                <w:lang w:eastAsia="en-GB"/>
              </w:rPr>
              <w:t xml:space="preserve"> changes</w:t>
            </w:r>
          </w:p>
        </w:tc>
        <w:tc>
          <w:tcPr>
            <w:tcW w:w="3119" w:type="dxa"/>
            <w:tcBorders>
              <w:top w:val="single" w:sz="4" w:space="0" w:color="auto"/>
              <w:left w:val="nil"/>
              <w:bottom w:val="single" w:sz="4" w:space="0" w:color="auto"/>
              <w:right w:val="single" w:sz="4" w:space="0" w:color="auto"/>
            </w:tcBorders>
            <w:shd w:val="clear" w:color="auto" w:fill="auto"/>
          </w:tcPr>
          <w:p w14:paraId="03BCDF67" w14:textId="4804146C" w:rsidR="002D6DC1" w:rsidRPr="003726FE" w:rsidRDefault="002D6DC1" w:rsidP="002D6DC1">
            <w:pPr>
              <w:rPr>
                <w:rFonts w:cs="Times New Roman"/>
                <w:color w:val="000000"/>
                <w:sz w:val="22"/>
              </w:rPr>
            </w:pPr>
            <w:r w:rsidRPr="003726FE">
              <w:rPr>
                <w:rFonts w:cs="Times New Roman"/>
                <w:color w:val="000000"/>
                <w:sz w:val="22"/>
              </w:rPr>
              <w:t>“if you are asking individual students what they did well, I asked them “what could you improve on” then I’d tell them, it can feel a bit artificial because they know that the same thing is going to happen to everyone so especially the student at the end, if they thought they did ok they could just say what their predecessor said and it may be less of something they engage with rather than something they just try and get done because they are the last person in the group.” BPF Nov - 4 SRL</w:t>
            </w:r>
          </w:p>
        </w:tc>
        <w:tc>
          <w:tcPr>
            <w:tcW w:w="4536" w:type="dxa"/>
            <w:tcBorders>
              <w:top w:val="single" w:sz="4" w:space="0" w:color="auto"/>
              <w:left w:val="nil"/>
              <w:bottom w:val="single" w:sz="4" w:space="0" w:color="auto"/>
              <w:right w:val="single" w:sz="4" w:space="0" w:color="auto"/>
            </w:tcBorders>
            <w:shd w:val="clear" w:color="auto" w:fill="auto"/>
          </w:tcPr>
          <w:p w14:paraId="7FD31D20" w14:textId="661E50DF" w:rsidR="002D6DC1" w:rsidRPr="003726FE" w:rsidRDefault="0073282D" w:rsidP="002D6DC1">
            <w:pPr>
              <w:rPr>
                <w:rFonts w:cs="Times New Roman"/>
                <w:color w:val="000000"/>
                <w:sz w:val="22"/>
              </w:rPr>
            </w:pPr>
            <w:r w:rsidRPr="003726FE">
              <w:rPr>
                <w:rFonts w:cs="Times New Roman"/>
                <w:color w:val="000000"/>
                <w:sz w:val="22"/>
              </w:rPr>
              <w:t>“</w:t>
            </w:r>
            <w:r w:rsidR="002D6DC1" w:rsidRPr="003726FE">
              <w:rPr>
                <w:rFonts w:cs="Times New Roman"/>
                <w:color w:val="000000"/>
                <w:sz w:val="22"/>
              </w:rPr>
              <w:t>I tried to understand their thinking behind the decisions and attempt to understand their insight a little.</w:t>
            </w:r>
            <w:r w:rsidRPr="003726FE">
              <w:rPr>
                <w:rFonts w:cs="Times New Roman"/>
                <w:color w:val="000000"/>
                <w:sz w:val="22"/>
              </w:rPr>
              <w:t>”</w:t>
            </w:r>
            <w:r w:rsidR="002D6DC1" w:rsidRPr="003726FE">
              <w:rPr>
                <w:rFonts w:cs="Times New Roman"/>
                <w:color w:val="000000"/>
                <w:sz w:val="22"/>
              </w:rPr>
              <w:t xml:space="preserve"> BPF Exp - 7</w:t>
            </w:r>
          </w:p>
        </w:tc>
        <w:tc>
          <w:tcPr>
            <w:tcW w:w="1984" w:type="dxa"/>
            <w:tcBorders>
              <w:top w:val="single" w:sz="4" w:space="0" w:color="auto"/>
              <w:left w:val="nil"/>
              <w:bottom w:val="single" w:sz="4" w:space="0" w:color="auto"/>
              <w:right w:val="single" w:sz="4" w:space="0" w:color="auto"/>
            </w:tcBorders>
            <w:shd w:val="clear" w:color="auto" w:fill="auto"/>
          </w:tcPr>
          <w:p w14:paraId="611142FE" w14:textId="0D3525E5" w:rsidR="002D6DC1" w:rsidRPr="003726FE" w:rsidRDefault="002D6DC1" w:rsidP="002D6DC1">
            <w:pPr>
              <w:rPr>
                <w:rFonts w:cs="Times New Roman"/>
                <w:color w:val="000000"/>
                <w:sz w:val="22"/>
              </w:rPr>
            </w:pPr>
            <w:r w:rsidRPr="003726FE">
              <w:rPr>
                <w:rFonts w:cs="Times New Roman"/>
                <w:color w:val="000000"/>
                <w:sz w:val="22"/>
              </w:rPr>
              <w:t>“I found the forms got in the way a little bit and if you’re not careful some of the questions can be a little bit, personally, forced and I tended to modify them would be my recollection. I’m happy to have it in my mind rather than a piece of paper” SRLF Nov - 5</w:t>
            </w:r>
          </w:p>
        </w:tc>
        <w:tc>
          <w:tcPr>
            <w:tcW w:w="2555" w:type="dxa"/>
            <w:vMerge w:val="restart"/>
            <w:tcBorders>
              <w:top w:val="single" w:sz="4" w:space="0" w:color="auto"/>
              <w:left w:val="nil"/>
              <w:right w:val="single" w:sz="4" w:space="0" w:color="auto"/>
            </w:tcBorders>
            <w:shd w:val="clear" w:color="auto" w:fill="auto"/>
          </w:tcPr>
          <w:p w14:paraId="6E43F98A" w14:textId="277F6E91" w:rsidR="002D6DC1" w:rsidRPr="003726FE" w:rsidRDefault="002D6DC1" w:rsidP="002D6DC1">
            <w:pPr>
              <w:rPr>
                <w:rFonts w:cs="Times New Roman"/>
                <w:color w:val="000000"/>
                <w:sz w:val="22"/>
              </w:rPr>
            </w:pPr>
            <w:r w:rsidRPr="003726FE">
              <w:rPr>
                <w:rFonts w:cs="Times New Roman"/>
                <w:color w:val="000000"/>
                <w:sz w:val="22"/>
              </w:rPr>
              <w:t>“The first time is always going to be quite rigid and you don’t really know how it’s going to work or how it’s going to go, how it will work, how it will affect the group dynamic. Usually when you don’t get a response from things, I tried to change up the wording to see how that worked cause I realised that no one knew the technique prior to the task, I tried to be consistent but I did change the wording to make it may be a bit more colloquial so I think I did start by saying whatever was on the sheet, most of it, and then changed them to something that if I’d have been asked, I would’ve felt more comfortable answering. I think it helped, they also got used to the process after the first couple went up.” SRLF Nov - 2</w:t>
            </w:r>
          </w:p>
        </w:tc>
      </w:tr>
      <w:tr w:rsidR="002D6DC1" w:rsidRPr="003726FE" w14:paraId="6E82A732" w14:textId="77777777" w:rsidTr="00384091">
        <w:trPr>
          <w:trHeight w:val="4113"/>
        </w:trPr>
        <w:tc>
          <w:tcPr>
            <w:tcW w:w="1271" w:type="dxa"/>
            <w:tcBorders>
              <w:top w:val="single" w:sz="4" w:space="0" w:color="auto"/>
              <w:right w:val="single" w:sz="8" w:space="0" w:color="auto"/>
            </w:tcBorders>
            <w:shd w:val="clear" w:color="auto" w:fill="auto"/>
            <w:vAlign w:val="center"/>
          </w:tcPr>
          <w:p w14:paraId="7DD95D5F" w14:textId="77777777" w:rsidR="002D6DC1" w:rsidRPr="003726FE" w:rsidRDefault="002D6DC1" w:rsidP="002D6DC1">
            <w:pPr>
              <w:spacing w:after="0" w:line="240" w:lineRule="auto"/>
              <w:jc w:val="center"/>
              <w:rPr>
                <w:rFonts w:eastAsia="Times New Roman" w:cs="Times New Roman"/>
                <w:b/>
                <w:bCs/>
                <w:color w:val="000000"/>
                <w:sz w:val="22"/>
                <w:lang w:eastAsia="en-GB"/>
              </w:rPr>
            </w:pPr>
          </w:p>
        </w:tc>
        <w:tc>
          <w:tcPr>
            <w:tcW w:w="3119" w:type="dxa"/>
            <w:tcBorders>
              <w:top w:val="single" w:sz="4" w:space="0" w:color="auto"/>
              <w:left w:val="nil"/>
              <w:bottom w:val="single" w:sz="4" w:space="0" w:color="auto"/>
              <w:right w:val="single" w:sz="4" w:space="0" w:color="auto"/>
            </w:tcBorders>
            <w:shd w:val="clear" w:color="auto" w:fill="auto"/>
          </w:tcPr>
          <w:p w14:paraId="16DFF229" w14:textId="41F7C318" w:rsidR="002D6DC1" w:rsidRPr="003726FE" w:rsidRDefault="002D6DC1" w:rsidP="002D6DC1">
            <w:pPr>
              <w:rPr>
                <w:rFonts w:cs="Times New Roman"/>
                <w:color w:val="000000"/>
                <w:sz w:val="22"/>
              </w:rPr>
            </w:pPr>
            <w:r w:rsidRPr="003726FE">
              <w:rPr>
                <w:rFonts w:cs="Times New Roman"/>
                <w:b/>
                <w:color w:val="000000"/>
                <w:sz w:val="22"/>
              </w:rPr>
              <w:t>Interviewer</w:t>
            </w:r>
            <w:r w:rsidRPr="003726FE">
              <w:rPr>
                <w:rFonts w:cs="Times New Roman"/>
                <w:color w:val="000000"/>
                <w:sz w:val="22"/>
              </w:rPr>
              <w:t xml:space="preserve">: Were you more aware of it as you went along? </w:t>
            </w:r>
            <w:r w:rsidR="0073282D" w:rsidRPr="003726FE">
              <w:rPr>
                <w:rFonts w:cs="Times New Roman"/>
                <w:color w:val="000000"/>
                <w:sz w:val="22"/>
              </w:rPr>
              <w:t>““</w:t>
            </w:r>
            <w:r w:rsidRPr="003726FE">
              <w:rPr>
                <w:rFonts w:cs="Times New Roman"/>
                <w:color w:val="000000"/>
                <w:sz w:val="22"/>
              </w:rPr>
              <w:t>I think so yeah, you become better at sensing when you’re students are struggling and sensing when to know when to ask “what do you want to do now?” “</w:t>
            </w:r>
            <w:r w:rsidR="00D531CD" w:rsidRPr="003726FE">
              <w:rPr>
                <w:rFonts w:cs="Times New Roman"/>
                <w:color w:val="000000"/>
                <w:sz w:val="22"/>
              </w:rPr>
              <w:t>What</w:t>
            </w:r>
            <w:r w:rsidRPr="003726FE">
              <w:rPr>
                <w:rFonts w:cs="Times New Roman"/>
                <w:color w:val="000000"/>
                <w:sz w:val="22"/>
              </w:rPr>
              <w:t xml:space="preserve"> would help?</w:t>
            </w:r>
            <w:r w:rsidR="00D531CD" w:rsidRPr="003726FE">
              <w:rPr>
                <w:rFonts w:cs="Times New Roman"/>
                <w:color w:val="000000"/>
                <w:sz w:val="22"/>
              </w:rPr>
              <w:t>”</w:t>
            </w:r>
            <w:r w:rsidRPr="003726FE">
              <w:rPr>
                <w:rFonts w:cs="Times New Roman"/>
                <w:color w:val="000000"/>
                <w:sz w:val="22"/>
              </w:rPr>
              <w:t xml:space="preserve"> I became more aware of it so it became more of an unconscious thing really</w:t>
            </w:r>
            <w:r w:rsidR="0073282D" w:rsidRPr="003726FE">
              <w:rPr>
                <w:rFonts w:cs="Times New Roman"/>
                <w:color w:val="000000"/>
                <w:sz w:val="22"/>
              </w:rPr>
              <w:t>””</w:t>
            </w:r>
            <w:r w:rsidRPr="003726FE">
              <w:rPr>
                <w:rFonts w:cs="Times New Roman"/>
                <w:color w:val="000000"/>
                <w:sz w:val="22"/>
              </w:rPr>
              <w:t xml:space="preserve"> BPF Nov - 4</w:t>
            </w:r>
          </w:p>
        </w:tc>
        <w:tc>
          <w:tcPr>
            <w:tcW w:w="4536" w:type="dxa"/>
            <w:tcBorders>
              <w:top w:val="single" w:sz="4" w:space="0" w:color="auto"/>
              <w:left w:val="nil"/>
              <w:bottom w:val="single" w:sz="4" w:space="0" w:color="auto"/>
              <w:right w:val="single" w:sz="4" w:space="0" w:color="auto"/>
            </w:tcBorders>
            <w:shd w:val="clear" w:color="auto" w:fill="auto"/>
          </w:tcPr>
          <w:p w14:paraId="2859D10F" w14:textId="5F6E8DAC" w:rsidR="002D6DC1" w:rsidRPr="003726FE" w:rsidRDefault="002D6DC1" w:rsidP="002D6DC1">
            <w:pPr>
              <w:rPr>
                <w:rFonts w:cs="Times New Roman"/>
                <w:color w:val="000000"/>
                <w:sz w:val="22"/>
              </w:rPr>
            </w:pPr>
            <w:r w:rsidRPr="003726FE">
              <w:rPr>
                <w:rFonts w:cs="Times New Roman"/>
                <w:color w:val="000000"/>
                <w:sz w:val="22"/>
              </w:rPr>
              <w:t>“The first time is always going to be quite rigid and you don’t really know how it’s going to work or how it’s going to go, how it will work, how it will affect the group dynamic. Usually when you don’t get a response from things, I tried to change up the wording to see how that worked cause I realised that no one knew the technique prior to the task, I tried to be consistent but I did change the wording to make it may be a bit more colloquial so I think I did start by saying whatever was on the sheet, most of it, and then changed them to something that if I’d have been asked, I would’ve felt more comfortable answering. I think it helped, they also got used to the process after the first couple went up.” SRLF Nov - 2</w:t>
            </w:r>
          </w:p>
        </w:tc>
        <w:tc>
          <w:tcPr>
            <w:tcW w:w="1984" w:type="dxa"/>
            <w:tcBorders>
              <w:top w:val="single" w:sz="4" w:space="0" w:color="auto"/>
              <w:left w:val="nil"/>
              <w:bottom w:val="single" w:sz="4" w:space="0" w:color="auto"/>
              <w:right w:val="single" w:sz="4" w:space="0" w:color="auto"/>
            </w:tcBorders>
            <w:shd w:val="clear" w:color="auto" w:fill="auto"/>
          </w:tcPr>
          <w:p w14:paraId="18B5EED7" w14:textId="64362BA4" w:rsidR="002D6DC1" w:rsidRPr="003726FE" w:rsidRDefault="002D6DC1" w:rsidP="002D6DC1">
            <w:pPr>
              <w:rPr>
                <w:rFonts w:cs="Times New Roman"/>
                <w:color w:val="000000"/>
                <w:sz w:val="22"/>
              </w:rPr>
            </w:pPr>
            <w:r w:rsidRPr="003726FE">
              <w:rPr>
                <w:rFonts w:cs="Times New Roman"/>
                <w:color w:val="000000"/>
                <w:sz w:val="22"/>
              </w:rPr>
              <w:t>“easier over time, mainly because I found ways of getting the answers out of them with the way I was saying things rather than using the rigid flow diagram to ask the questions. I think it’s all about the wording.” SRLF Nov – 2</w:t>
            </w:r>
          </w:p>
        </w:tc>
        <w:tc>
          <w:tcPr>
            <w:tcW w:w="2555" w:type="dxa"/>
            <w:vMerge/>
            <w:tcBorders>
              <w:left w:val="nil"/>
              <w:bottom w:val="single" w:sz="4" w:space="0" w:color="auto"/>
              <w:right w:val="single" w:sz="4" w:space="0" w:color="auto"/>
            </w:tcBorders>
            <w:shd w:val="clear" w:color="auto" w:fill="auto"/>
          </w:tcPr>
          <w:p w14:paraId="16985F09" w14:textId="77777777" w:rsidR="002D6DC1" w:rsidRPr="003726FE" w:rsidRDefault="002D6DC1" w:rsidP="002D6DC1">
            <w:pPr>
              <w:rPr>
                <w:rFonts w:cs="Times New Roman"/>
                <w:color w:val="000000"/>
                <w:sz w:val="22"/>
              </w:rPr>
            </w:pPr>
          </w:p>
        </w:tc>
      </w:tr>
    </w:tbl>
    <w:p w14:paraId="4BAD60C8" w14:textId="77777777" w:rsidR="002D6DC1" w:rsidRPr="003726FE" w:rsidRDefault="002D6DC1" w:rsidP="004476F6">
      <w:pPr>
        <w:pStyle w:val="Normal1"/>
        <w:rPr>
          <w:b/>
          <w:lang w:val="en-GB"/>
        </w:rPr>
      </w:pPr>
    </w:p>
    <w:p w14:paraId="5FEEA2E7" w14:textId="7C55A21B" w:rsidR="002D6DC1" w:rsidRPr="003726FE" w:rsidRDefault="002D6DC1">
      <w:pPr>
        <w:rPr>
          <w:rFonts w:eastAsia="Lucida Sans Unicode" w:cs="Mangal"/>
          <w:b/>
          <w:kern w:val="1"/>
          <w:szCs w:val="24"/>
          <w:lang w:eastAsia="hi-IN" w:bidi="hi-IN"/>
        </w:rPr>
      </w:pPr>
    </w:p>
    <w:tbl>
      <w:tblPr>
        <w:tblW w:w="13462" w:type="dxa"/>
        <w:tblInd w:w="-5" w:type="dxa"/>
        <w:tblLook w:val="04A0" w:firstRow="1" w:lastRow="0" w:firstColumn="1" w:lastColumn="0" w:noHBand="0" w:noVBand="1"/>
      </w:tblPr>
      <w:tblGrid>
        <w:gridCol w:w="1555"/>
        <w:gridCol w:w="1842"/>
        <w:gridCol w:w="1843"/>
        <w:gridCol w:w="1418"/>
        <w:gridCol w:w="2126"/>
        <w:gridCol w:w="2977"/>
        <w:gridCol w:w="1701"/>
      </w:tblGrid>
      <w:tr w:rsidR="002D6DC1" w:rsidRPr="003726FE" w14:paraId="329546DC" w14:textId="77777777" w:rsidTr="00384091">
        <w:trPr>
          <w:trHeight w:val="4365"/>
        </w:trPr>
        <w:tc>
          <w:tcPr>
            <w:tcW w:w="155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BC715ED" w14:textId="23CC4190" w:rsidR="002D6DC1" w:rsidRPr="003726FE" w:rsidRDefault="002D6DC1" w:rsidP="00B1638D">
            <w:pPr>
              <w:spacing w:after="0" w:line="240" w:lineRule="auto"/>
              <w:jc w:val="center"/>
              <w:rPr>
                <w:rFonts w:eastAsia="Times New Roman" w:cs="Times New Roman"/>
                <w:b/>
                <w:bCs/>
                <w:color w:val="000000"/>
                <w:sz w:val="22"/>
                <w:lang w:eastAsia="en-GB"/>
              </w:rPr>
            </w:pPr>
            <w:r w:rsidRPr="003726FE">
              <w:rPr>
                <w:rFonts w:eastAsia="Times New Roman" w:cs="Times New Roman"/>
                <w:b/>
                <w:bCs/>
                <w:color w:val="000000"/>
                <w:sz w:val="22"/>
                <w:lang w:eastAsia="en-GB"/>
              </w:rPr>
              <w:t>Reflective changes</w:t>
            </w:r>
          </w:p>
        </w:tc>
        <w:tc>
          <w:tcPr>
            <w:tcW w:w="1842" w:type="dxa"/>
            <w:tcBorders>
              <w:top w:val="single" w:sz="4" w:space="0" w:color="auto"/>
              <w:left w:val="nil"/>
              <w:bottom w:val="single" w:sz="4" w:space="0" w:color="auto"/>
              <w:right w:val="single" w:sz="4" w:space="0" w:color="auto"/>
            </w:tcBorders>
            <w:shd w:val="clear" w:color="auto" w:fill="auto"/>
            <w:hideMark/>
          </w:tcPr>
          <w:p w14:paraId="2FA10B27" w14:textId="5D87828F" w:rsidR="002D6DC1" w:rsidRPr="003726FE" w:rsidRDefault="002D6DC1" w:rsidP="00B1638D">
            <w:pPr>
              <w:rPr>
                <w:rFonts w:cs="Times New Roman"/>
                <w:color w:val="000000"/>
                <w:sz w:val="22"/>
              </w:rPr>
            </w:pPr>
            <w:r w:rsidRPr="003726FE">
              <w:rPr>
                <w:rFonts w:cs="Times New Roman"/>
                <w:color w:val="000000"/>
                <w:sz w:val="22"/>
              </w:rPr>
              <w:t>“I felt a bit overwhelmed at the time because I’d never used a tick-box sheet for giving feedback ever, I felt almost constrained by it, but actually having started using it I found it quite useful especially the bit where you ask the student “if you could rate your confidence out of 100 what would it be?” it was really useful to know. I think I might take that forward.” SRLF Nov - 3</w:t>
            </w:r>
          </w:p>
        </w:tc>
        <w:tc>
          <w:tcPr>
            <w:tcW w:w="1843" w:type="dxa"/>
            <w:tcBorders>
              <w:top w:val="single" w:sz="4" w:space="0" w:color="auto"/>
              <w:left w:val="nil"/>
              <w:bottom w:val="single" w:sz="4" w:space="0" w:color="auto"/>
              <w:right w:val="single" w:sz="4" w:space="0" w:color="auto"/>
            </w:tcBorders>
            <w:shd w:val="clear" w:color="auto" w:fill="auto"/>
            <w:hideMark/>
          </w:tcPr>
          <w:p w14:paraId="503599C7" w14:textId="106A6A95" w:rsidR="002D6DC1" w:rsidRPr="003726FE" w:rsidRDefault="002D6DC1" w:rsidP="00B1638D">
            <w:pPr>
              <w:rPr>
                <w:rFonts w:cs="Times New Roman"/>
                <w:bCs/>
                <w:color w:val="000000"/>
                <w:sz w:val="22"/>
              </w:rPr>
            </w:pPr>
            <w:r w:rsidRPr="003726FE">
              <w:rPr>
                <w:rFonts w:cs="Times New Roman"/>
                <w:bCs/>
                <w:color w:val="000000"/>
                <w:sz w:val="22"/>
              </w:rPr>
              <w:t>“I don’t know whether I’d do it in as much detail as on the sheet and I think that’s because it did take longer so unless we can have longer teaching sessions to be able to incorporate it, I’d like to… within the time I’ve got I would like to do it. As long as we get slicker at it, it won’t take much more time.” SRLF Exp - 4</w:t>
            </w:r>
          </w:p>
        </w:tc>
        <w:tc>
          <w:tcPr>
            <w:tcW w:w="1418" w:type="dxa"/>
            <w:tcBorders>
              <w:top w:val="single" w:sz="4" w:space="0" w:color="auto"/>
              <w:left w:val="nil"/>
              <w:bottom w:val="single" w:sz="4" w:space="0" w:color="auto"/>
              <w:right w:val="single" w:sz="4" w:space="0" w:color="auto"/>
            </w:tcBorders>
            <w:shd w:val="clear" w:color="auto" w:fill="auto"/>
            <w:hideMark/>
          </w:tcPr>
          <w:p w14:paraId="3359537E" w14:textId="2510CBE2" w:rsidR="002D6DC1" w:rsidRPr="003726FE" w:rsidRDefault="002D6DC1" w:rsidP="00B1638D">
            <w:pPr>
              <w:rPr>
                <w:rFonts w:cs="Times New Roman"/>
                <w:color w:val="000000"/>
                <w:sz w:val="22"/>
              </w:rPr>
            </w:pPr>
            <w:r w:rsidRPr="003726FE">
              <w:rPr>
                <w:rFonts w:cs="Times New Roman"/>
                <w:color w:val="000000"/>
                <w:sz w:val="22"/>
              </w:rPr>
              <w:t>“If you rolled it out I’d be all for it but we need a tiny bit more time.” SRLF Exp - 1</w:t>
            </w:r>
          </w:p>
        </w:tc>
        <w:tc>
          <w:tcPr>
            <w:tcW w:w="2126" w:type="dxa"/>
            <w:tcBorders>
              <w:top w:val="single" w:sz="4" w:space="0" w:color="auto"/>
              <w:left w:val="nil"/>
              <w:bottom w:val="single" w:sz="4" w:space="0" w:color="auto"/>
              <w:right w:val="single" w:sz="4" w:space="0" w:color="auto"/>
            </w:tcBorders>
            <w:shd w:val="clear" w:color="auto" w:fill="auto"/>
            <w:hideMark/>
          </w:tcPr>
          <w:p w14:paraId="04E4C758" w14:textId="19386F41" w:rsidR="002D6DC1" w:rsidRPr="003726FE" w:rsidRDefault="002D6DC1" w:rsidP="00B1638D">
            <w:pPr>
              <w:rPr>
                <w:rFonts w:cs="Times New Roman"/>
                <w:color w:val="000000"/>
                <w:sz w:val="22"/>
              </w:rPr>
            </w:pPr>
            <w:r w:rsidRPr="003726FE">
              <w:rPr>
                <w:rFonts w:cs="Times New Roman"/>
                <w:color w:val="000000"/>
                <w:sz w:val="22"/>
              </w:rPr>
              <w:t>“I think we could adopt it but I think we all need more practice at it and maybe some more practice instead of doing it on the students first […] and whilst I can see some advantages of it and I think it could be done, not saying it couldn’t be done for sure, I think we would have to tweak things a little bit more” SRLF Exp - 2</w:t>
            </w:r>
          </w:p>
        </w:tc>
        <w:tc>
          <w:tcPr>
            <w:tcW w:w="2977" w:type="dxa"/>
            <w:tcBorders>
              <w:top w:val="single" w:sz="4" w:space="0" w:color="auto"/>
              <w:left w:val="nil"/>
              <w:bottom w:val="single" w:sz="4" w:space="0" w:color="auto"/>
              <w:right w:val="single" w:sz="4" w:space="0" w:color="auto"/>
            </w:tcBorders>
            <w:shd w:val="clear" w:color="auto" w:fill="auto"/>
            <w:hideMark/>
          </w:tcPr>
          <w:p w14:paraId="57C021C8" w14:textId="24643C11" w:rsidR="002D6DC1" w:rsidRPr="003726FE" w:rsidRDefault="0073282D" w:rsidP="00B1638D">
            <w:pPr>
              <w:rPr>
                <w:rFonts w:cs="Times New Roman"/>
                <w:color w:val="000000"/>
                <w:sz w:val="22"/>
              </w:rPr>
            </w:pPr>
            <w:r w:rsidRPr="003726FE">
              <w:rPr>
                <w:rFonts w:cs="Times New Roman"/>
                <w:color w:val="000000"/>
                <w:sz w:val="22"/>
              </w:rPr>
              <w:t>“</w:t>
            </w:r>
            <w:r w:rsidR="002D6DC1" w:rsidRPr="003726FE">
              <w:rPr>
                <w:rFonts w:cs="Times New Roman"/>
                <w:color w:val="000000"/>
                <w:sz w:val="22"/>
              </w:rPr>
              <w:t>spend more time beforehand thinking about how these SRL behaviours could be changed and what the point of changing them would be and how you could do that and probably that would mean thinking about what I do myself so that then I would feel a bit more comfortable offering feedback on why changing these aspects and being more aware of them would be useful and how to go about it so perhaps more preparation thinking about the why rather than just what to do. Buying into it as well, those unnatural bits.</w:t>
            </w:r>
            <w:r w:rsidRPr="003726FE">
              <w:rPr>
                <w:rFonts w:cs="Times New Roman"/>
                <w:color w:val="000000"/>
                <w:sz w:val="22"/>
              </w:rPr>
              <w:t>”</w:t>
            </w:r>
            <w:r w:rsidR="002D6DC1" w:rsidRPr="003726FE">
              <w:rPr>
                <w:rFonts w:cs="Times New Roman"/>
                <w:color w:val="000000"/>
                <w:sz w:val="22"/>
              </w:rPr>
              <w:t xml:space="preserve"> SRLF Nov - 1</w:t>
            </w:r>
          </w:p>
        </w:tc>
        <w:tc>
          <w:tcPr>
            <w:tcW w:w="1701" w:type="dxa"/>
            <w:tcBorders>
              <w:top w:val="single" w:sz="4" w:space="0" w:color="auto"/>
              <w:left w:val="nil"/>
              <w:bottom w:val="single" w:sz="4" w:space="0" w:color="auto"/>
              <w:right w:val="single" w:sz="4" w:space="0" w:color="auto"/>
            </w:tcBorders>
            <w:shd w:val="clear" w:color="auto" w:fill="auto"/>
            <w:hideMark/>
          </w:tcPr>
          <w:p w14:paraId="00DCD2F2" w14:textId="2B0E228E" w:rsidR="002D6DC1" w:rsidRPr="003726FE" w:rsidRDefault="0073282D" w:rsidP="00B1638D">
            <w:pPr>
              <w:rPr>
                <w:rFonts w:cs="Times New Roman"/>
                <w:color w:val="000000"/>
                <w:sz w:val="22"/>
              </w:rPr>
            </w:pPr>
            <w:r w:rsidRPr="003726FE">
              <w:rPr>
                <w:rFonts w:cs="Times New Roman"/>
                <w:color w:val="000000"/>
                <w:sz w:val="22"/>
              </w:rPr>
              <w:t>“</w:t>
            </w:r>
            <w:r w:rsidR="002D6DC1" w:rsidRPr="003726FE">
              <w:rPr>
                <w:rFonts w:cs="Times New Roman"/>
                <w:color w:val="000000"/>
                <w:sz w:val="22"/>
              </w:rPr>
              <w:t>It’s made me think about myself a bit. It’s had an overall positive impact because you realise what people have been doing actually has some theory behind it and that makes me a bit more cognisant about how I do it.</w:t>
            </w:r>
            <w:r w:rsidRPr="003726FE">
              <w:rPr>
                <w:rFonts w:cs="Times New Roman"/>
                <w:color w:val="000000"/>
                <w:sz w:val="22"/>
              </w:rPr>
              <w:t>”</w:t>
            </w:r>
            <w:r w:rsidR="002D6DC1" w:rsidRPr="003726FE">
              <w:rPr>
                <w:rFonts w:cs="Times New Roman"/>
                <w:color w:val="000000"/>
                <w:sz w:val="22"/>
              </w:rPr>
              <w:t xml:space="preserve"> BPF Exp - 7</w:t>
            </w:r>
          </w:p>
        </w:tc>
      </w:tr>
    </w:tbl>
    <w:p w14:paraId="1D3A8809" w14:textId="77777777" w:rsidR="002D6DC1" w:rsidRPr="003726FE" w:rsidRDefault="002D6DC1" w:rsidP="004476F6">
      <w:pPr>
        <w:pStyle w:val="Normal1"/>
        <w:rPr>
          <w:b/>
          <w:lang w:val="en-GB"/>
        </w:rPr>
      </w:pPr>
    </w:p>
    <w:p w14:paraId="28BB9A4A" w14:textId="77777777" w:rsidR="002D6DC1" w:rsidRPr="003726FE" w:rsidRDefault="002D6DC1">
      <w:pPr>
        <w:rPr>
          <w:rFonts w:eastAsia="Lucida Sans Unicode" w:cs="Mangal"/>
          <w:b/>
          <w:kern w:val="1"/>
          <w:szCs w:val="24"/>
          <w:lang w:eastAsia="hi-IN" w:bidi="hi-IN"/>
        </w:rPr>
      </w:pPr>
      <w:r w:rsidRPr="003726FE">
        <w:rPr>
          <w:b/>
        </w:rPr>
        <w:br w:type="page"/>
      </w:r>
    </w:p>
    <w:p w14:paraId="50788D4E" w14:textId="77777777" w:rsidR="007B5D62" w:rsidRPr="003726FE" w:rsidRDefault="007B5D62" w:rsidP="004476F6">
      <w:pPr>
        <w:pStyle w:val="Normal1"/>
        <w:rPr>
          <w:b/>
          <w:lang w:val="en-GB"/>
        </w:rPr>
      </w:pPr>
      <w:r w:rsidRPr="003726FE">
        <w:rPr>
          <w:b/>
          <w:lang w:val="en-GB"/>
        </w:rPr>
        <w:lastRenderedPageBreak/>
        <w:t>Differences between experienced and novice teachers theme.</w:t>
      </w:r>
    </w:p>
    <w:tbl>
      <w:tblPr>
        <w:tblW w:w="13320" w:type="dxa"/>
        <w:tblInd w:w="-5" w:type="dxa"/>
        <w:tblLook w:val="04A0" w:firstRow="1" w:lastRow="0" w:firstColumn="1" w:lastColumn="0" w:noHBand="0" w:noVBand="1"/>
      </w:tblPr>
      <w:tblGrid>
        <w:gridCol w:w="3823"/>
        <w:gridCol w:w="4252"/>
        <w:gridCol w:w="2410"/>
        <w:gridCol w:w="2835"/>
      </w:tblGrid>
      <w:tr w:rsidR="007B5D62" w:rsidRPr="003726FE" w14:paraId="048FCA0B" w14:textId="77777777" w:rsidTr="00384091">
        <w:trPr>
          <w:trHeight w:val="3687"/>
        </w:trPr>
        <w:tc>
          <w:tcPr>
            <w:tcW w:w="3823" w:type="dxa"/>
            <w:tcBorders>
              <w:top w:val="single" w:sz="4" w:space="0" w:color="auto"/>
              <w:left w:val="single" w:sz="8" w:space="0" w:color="auto"/>
              <w:bottom w:val="single" w:sz="4" w:space="0" w:color="auto"/>
              <w:right w:val="single" w:sz="8" w:space="0" w:color="auto"/>
            </w:tcBorders>
            <w:shd w:val="clear" w:color="auto" w:fill="auto"/>
            <w:hideMark/>
          </w:tcPr>
          <w:p w14:paraId="27C780E5" w14:textId="1BCEDA46" w:rsidR="007B5D62" w:rsidRPr="003726FE" w:rsidRDefault="0073282D" w:rsidP="007B5D62">
            <w:pPr>
              <w:spacing w:after="0" w:line="240" w:lineRule="auto"/>
              <w:rPr>
                <w:rFonts w:eastAsia="Times New Roman" w:cs="Times New Roman"/>
                <w:bCs/>
                <w:color w:val="000000"/>
                <w:sz w:val="20"/>
                <w:lang w:eastAsia="en-GB"/>
              </w:rPr>
            </w:pPr>
            <w:r w:rsidRPr="003726FE">
              <w:rPr>
                <w:rFonts w:cs="Times New Roman"/>
                <w:color w:val="000000"/>
                <w:sz w:val="20"/>
              </w:rPr>
              <w:t>“</w:t>
            </w:r>
            <w:r w:rsidR="007B5D62" w:rsidRPr="003726FE">
              <w:rPr>
                <w:rFonts w:cs="Times New Roman"/>
                <w:color w:val="000000"/>
                <w:sz w:val="20"/>
              </w:rPr>
              <w:t>With a few modifications it would really suit me.</w:t>
            </w:r>
            <w:r w:rsidRPr="003726FE">
              <w:rPr>
                <w:rFonts w:cs="Times New Roman"/>
                <w:color w:val="000000"/>
                <w:sz w:val="20"/>
              </w:rPr>
              <w:t>”</w:t>
            </w:r>
            <w:r w:rsidR="007B5D62" w:rsidRPr="003726FE">
              <w:rPr>
                <w:rFonts w:cs="Times New Roman"/>
                <w:color w:val="000000"/>
                <w:sz w:val="20"/>
              </w:rPr>
              <w:t xml:space="preserve"> SRLF Exp - 4</w:t>
            </w:r>
          </w:p>
        </w:tc>
        <w:tc>
          <w:tcPr>
            <w:tcW w:w="4252" w:type="dxa"/>
            <w:tcBorders>
              <w:top w:val="single" w:sz="4" w:space="0" w:color="auto"/>
              <w:left w:val="nil"/>
              <w:bottom w:val="single" w:sz="4" w:space="0" w:color="auto"/>
              <w:right w:val="single" w:sz="4" w:space="0" w:color="auto"/>
            </w:tcBorders>
            <w:shd w:val="clear" w:color="auto" w:fill="auto"/>
          </w:tcPr>
          <w:p w14:paraId="2BA8AA48" w14:textId="1CFDDEB2" w:rsidR="007B5D62" w:rsidRPr="003726FE" w:rsidRDefault="007B5D62" w:rsidP="007B5D62">
            <w:pPr>
              <w:rPr>
                <w:rFonts w:cs="Times New Roman"/>
                <w:color w:val="000000"/>
                <w:sz w:val="20"/>
              </w:rPr>
            </w:pPr>
            <w:r w:rsidRPr="003726FE">
              <w:rPr>
                <w:rFonts w:cs="Times New Roman"/>
                <w:color w:val="000000"/>
                <w:sz w:val="20"/>
              </w:rPr>
              <w:t>“I felt a bit overwhelmed at the time because I’d never used a tick-box sheet for giving feedback ever, I felt almost constrained by it, but actually having started using it I found it quite useful especially the bit where you ask the student “if you could rate your confidence out of 100 what would it be?” it was really useful to know. I think I might take that forward.” SRLF Nov - 3</w:t>
            </w:r>
          </w:p>
        </w:tc>
        <w:tc>
          <w:tcPr>
            <w:tcW w:w="2410" w:type="dxa"/>
            <w:tcBorders>
              <w:top w:val="single" w:sz="4" w:space="0" w:color="auto"/>
              <w:left w:val="nil"/>
              <w:bottom w:val="single" w:sz="4" w:space="0" w:color="auto"/>
              <w:right w:val="single" w:sz="4" w:space="0" w:color="auto"/>
            </w:tcBorders>
            <w:shd w:val="clear" w:color="auto" w:fill="auto"/>
          </w:tcPr>
          <w:p w14:paraId="009964E0" w14:textId="0285A7CD" w:rsidR="007B5D62" w:rsidRPr="003726FE" w:rsidRDefault="007B5D62" w:rsidP="007B5D62">
            <w:pPr>
              <w:rPr>
                <w:rFonts w:cs="Times New Roman"/>
                <w:color w:val="000000"/>
                <w:sz w:val="20"/>
              </w:rPr>
            </w:pPr>
            <w:r w:rsidRPr="003726FE">
              <w:rPr>
                <w:rFonts w:cs="Times New Roman"/>
                <w:color w:val="000000"/>
                <w:sz w:val="20"/>
              </w:rPr>
              <w:t>“I don’t know whether I’d do it in as much detail as on the sheet and I think that’s because it did take longer so unless we can have longer teaching sessions to be able to incorporate it, I’d like to… within the time I’ve got I would like to do it. As long as we get slicker at it, it won’t take much more time.” SRLF Exp - 4</w:t>
            </w:r>
          </w:p>
        </w:tc>
        <w:tc>
          <w:tcPr>
            <w:tcW w:w="2835" w:type="dxa"/>
            <w:tcBorders>
              <w:top w:val="single" w:sz="4" w:space="0" w:color="auto"/>
              <w:left w:val="nil"/>
              <w:bottom w:val="single" w:sz="4" w:space="0" w:color="auto"/>
              <w:right w:val="single" w:sz="4" w:space="0" w:color="auto"/>
            </w:tcBorders>
            <w:shd w:val="clear" w:color="auto" w:fill="auto"/>
          </w:tcPr>
          <w:p w14:paraId="17BF9B40" w14:textId="5C830411" w:rsidR="007B5D62" w:rsidRPr="003726FE" w:rsidRDefault="007B5D62" w:rsidP="007B5D62">
            <w:pPr>
              <w:rPr>
                <w:rFonts w:cs="Times New Roman"/>
                <w:color w:val="000000"/>
                <w:sz w:val="20"/>
              </w:rPr>
            </w:pPr>
            <w:r w:rsidRPr="003726FE">
              <w:rPr>
                <w:rFonts w:cs="Times New Roman"/>
                <w:color w:val="000000"/>
                <w:sz w:val="20"/>
              </w:rPr>
              <w:t xml:space="preserve"> “I just did as scripted and then the post-performance I maybe picked the bits that were more useful. Things like the confidence and the situational awareness I ignored, I asked them about it earlier but I never found a sensible way of giving feedback on that, whereas goal setting and process, I bigged up because that was… I do that myself and find it useful.” SRLF Nov - 1</w:t>
            </w:r>
          </w:p>
        </w:tc>
      </w:tr>
      <w:tr w:rsidR="007B5D62" w:rsidRPr="003726FE" w14:paraId="68D9C6C3" w14:textId="77777777" w:rsidTr="00384091">
        <w:trPr>
          <w:trHeight w:val="4365"/>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1B46CA7F" w14:textId="7589B7AC" w:rsidR="007B5D62" w:rsidRPr="003726FE" w:rsidRDefault="0073282D" w:rsidP="007B5D62">
            <w:pPr>
              <w:spacing w:after="0" w:line="240" w:lineRule="auto"/>
              <w:rPr>
                <w:rFonts w:eastAsia="Times New Roman" w:cs="Times New Roman"/>
                <w:bCs/>
                <w:color w:val="000000"/>
                <w:sz w:val="20"/>
                <w:lang w:eastAsia="en-GB"/>
              </w:rPr>
            </w:pPr>
            <w:r w:rsidRPr="003726FE">
              <w:rPr>
                <w:rFonts w:cs="Times New Roman"/>
                <w:color w:val="000000"/>
                <w:sz w:val="20"/>
              </w:rPr>
              <w:t>“</w:t>
            </w:r>
            <w:r w:rsidR="007B5D62" w:rsidRPr="003726FE">
              <w:rPr>
                <w:rFonts w:cs="Times New Roman"/>
                <w:color w:val="000000"/>
                <w:sz w:val="20"/>
              </w:rPr>
              <w:t>What did I change? I can see it now, I could do with a copy of the paperwork. There was a section which I actually almost gave up on, it was the second one but I can’t remember it. I can remember sort of starting with the… I think the strategy and goal setting was the difficult one because again for this particular teaching, “what are you aiming to do?” well I’m aiming to get a catheter successfully in. The strategy is going to be the same for everyone so I think that’s another place, so I probably missed most of that section than the others because after a while you’ve asked them all the same thing and that’s another bit of learnt behaviour when they’re all sitting watching it.</w:t>
            </w:r>
            <w:r w:rsidRPr="003726FE">
              <w:rPr>
                <w:rFonts w:cs="Times New Roman"/>
                <w:color w:val="000000"/>
                <w:sz w:val="20"/>
              </w:rPr>
              <w:t>”</w:t>
            </w:r>
            <w:r w:rsidR="007B5D62" w:rsidRPr="003726FE">
              <w:rPr>
                <w:rFonts w:cs="Times New Roman"/>
                <w:color w:val="000000"/>
                <w:sz w:val="20"/>
              </w:rPr>
              <w:t xml:space="preserve"> SRLF Exp - 2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5D338B4" w14:textId="733A22A8" w:rsidR="007B5D62" w:rsidRPr="003726FE" w:rsidRDefault="007B5D62" w:rsidP="007B5D62">
            <w:pPr>
              <w:rPr>
                <w:rFonts w:cs="Times New Roman"/>
                <w:color w:val="000000"/>
                <w:sz w:val="20"/>
              </w:rPr>
            </w:pPr>
            <w:r w:rsidRPr="003726FE">
              <w:rPr>
                <w:rFonts w:cs="Times New Roman"/>
                <w:color w:val="000000"/>
                <w:sz w:val="20"/>
              </w:rPr>
              <w:t>“The first time is always going to be quite rigid and you don’t really know how it’s going to work or how it’s going to go, how it will work, how it will affect the group dynamic. Usually when you don’t get a response from things, I tried to change up the wording to see how that worked cause I realised that no one knew the technique prior to the task, I tried to be consistent but I did change the wording to make it may be a bit more colloquial so I think I did start by saying whatever was on the sheet, most of it, and then changed them to something that if I’d have been asked, I would’ve felt more comfortable answering. I think it helped, they also got used to the process after the first couple went up.” SRLF Nov - 2</w:t>
            </w:r>
          </w:p>
        </w:tc>
        <w:tc>
          <w:tcPr>
            <w:tcW w:w="2410" w:type="dxa"/>
            <w:tcBorders>
              <w:top w:val="single" w:sz="4" w:space="0" w:color="auto"/>
              <w:left w:val="nil"/>
              <w:bottom w:val="single" w:sz="4" w:space="0" w:color="auto"/>
              <w:right w:val="single" w:sz="4" w:space="0" w:color="auto"/>
            </w:tcBorders>
            <w:shd w:val="clear" w:color="auto" w:fill="auto"/>
          </w:tcPr>
          <w:p w14:paraId="133302F5" w14:textId="480C90B0" w:rsidR="007B5D62" w:rsidRPr="003726FE" w:rsidRDefault="007B5D62" w:rsidP="007B5D62">
            <w:pPr>
              <w:rPr>
                <w:rFonts w:cs="Times New Roman"/>
                <w:color w:val="000000"/>
                <w:sz w:val="20"/>
              </w:rPr>
            </w:pPr>
            <w:r w:rsidRPr="003726FE">
              <w:rPr>
                <w:rFonts w:cs="Times New Roman"/>
                <w:color w:val="000000"/>
                <w:sz w:val="20"/>
              </w:rPr>
              <w:t>“I felt fine with it and I didn’t mind it at all. One colleague said they struggled and it didn’t feel natural to them but that’s probably because I knew some bits of the technique beforehand so it wasn’t completely new for me.” … “I didn’t find it too difficult to kind of subscribe to it” SRLF Exp - 1</w:t>
            </w:r>
          </w:p>
        </w:tc>
        <w:tc>
          <w:tcPr>
            <w:tcW w:w="2835" w:type="dxa"/>
            <w:tcBorders>
              <w:top w:val="single" w:sz="4" w:space="0" w:color="auto"/>
              <w:left w:val="nil"/>
              <w:bottom w:val="single" w:sz="4" w:space="0" w:color="auto"/>
              <w:right w:val="single" w:sz="4" w:space="0" w:color="auto"/>
            </w:tcBorders>
            <w:shd w:val="clear" w:color="auto" w:fill="auto"/>
          </w:tcPr>
          <w:p w14:paraId="27053D9F" w14:textId="34A4E969"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To start with I was keen to at least try and implement it using the form and to go through all the boxes and whatever and by the time I finished I couldn’t because of time and I prioritised as you say so that would be my biggest change beginning to end</w:t>
            </w:r>
            <w:r w:rsidRPr="003726FE">
              <w:rPr>
                <w:rFonts w:cs="Times New Roman"/>
                <w:color w:val="000000"/>
                <w:sz w:val="20"/>
              </w:rPr>
              <w:t>”</w:t>
            </w:r>
            <w:r w:rsidR="007B5D62" w:rsidRPr="003726FE">
              <w:rPr>
                <w:rFonts w:cs="Times New Roman"/>
                <w:color w:val="000000"/>
                <w:sz w:val="20"/>
              </w:rPr>
              <w:t xml:space="preserve"> SRLF Nov - 5</w:t>
            </w:r>
          </w:p>
        </w:tc>
      </w:tr>
    </w:tbl>
    <w:p w14:paraId="497598C4" w14:textId="77777777" w:rsidR="007B5D62" w:rsidRPr="003726FE" w:rsidRDefault="007B5D62" w:rsidP="004476F6">
      <w:pPr>
        <w:pStyle w:val="Normal1"/>
        <w:rPr>
          <w:b/>
          <w:lang w:val="en-GB"/>
        </w:rPr>
      </w:pPr>
    </w:p>
    <w:p w14:paraId="2786A0B8" w14:textId="17A6FC81" w:rsidR="007B5D62" w:rsidRPr="003726FE" w:rsidRDefault="007B5D62">
      <w:pPr>
        <w:rPr>
          <w:rFonts w:eastAsia="Lucida Sans Unicode" w:cs="Mangal"/>
          <w:b/>
          <w:kern w:val="1"/>
          <w:szCs w:val="24"/>
          <w:lang w:eastAsia="hi-IN" w:bidi="hi-IN"/>
        </w:rPr>
      </w:pPr>
    </w:p>
    <w:tbl>
      <w:tblPr>
        <w:tblW w:w="13462" w:type="dxa"/>
        <w:tblInd w:w="-5" w:type="dxa"/>
        <w:tblLook w:val="04A0" w:firstRow="1" w:lastRow="0" w:firstColumn="1" w:lastColumn="0" w:noHBand="0" w:noVBand="1"/>
      </w:tblPr>
      <w:tblGrid>
        <w:gridCol w:w="2547"/>
        <w:gridCol w:w="1984"/>
        <w:gridCol w:w="2694"/>
        <w:gridCol w:w="2551"/>
        <w:gridCol w:w="3686"/>
      </w:tblGrid>
      <w:tr w:rsidR="007B5D62" w:rsidRPr="003726FE" w14:paraId="79D02BD8" w14:textId="77777777" w:rsidTr="00384091">
        <w:trPr>
          <w:trHeight w:val="3967"/>
        </w:trPr>
        <w:tc>
          <w:tcPr>
            <w:tcW w:w="2547" w:type="dxa"/>
            <w:tcBorders>
              <w:top w:val="single" w:sz="4" w:space="0" w:color="auto"/>
              <w:left w:val="single" w:sz="8" w:space="0" w:color="auto"/>
              <w:bottom w:val="single" w:sz="4" w:space="0" w:color="auto"/>
              <w:right w:val="single" w:sz="8" w:space="0" w:color="auto"/>
            </w:tcBorders>
            <w:shd w:val="clear" w:color="auto" w:fill="auto"/>
            <w:hideMark/>
          </w:tcPr>
          <w:p w14:paraId="040BCE0E" w14:textId="42D3D8BA" w:rsidR="007B5D62" w:rsidRPr="003726FE" w:rsidRDefault="007B5D62" w:rsidP="007B5D62">
            <w:pPr>
              <w:spacing w:after="0" w:line="240" w:lineRule="auto"/>
              <w:rPr>
                <w:rFonts w:eastAsia="Times New Roman" w:cs="Times New Roman"/>
                <w:b/>
                <w:bCs/>
                <w:color w:val="000000"/>
                <w:sz w:val="20"/>
                <w:lang w:eastAsia="en-GB"/>
              </w:rPr>
            </w:pPr>
            <w:r w:rsidRPr="003726FE">
              <w:rPr>
                <w:rFonts w:cs="Times New Roman"/>
                <w:color w:val="000000"/>
                <w:sz w:val="20"/>
              </w:rPr>
              <w:lastRenderedPageBreak/>
              <w:t>“A student may think they’re doing well and in fact they’re failing and you’ve got to find out why they think that and sometimes very often if you break it down and ask them ‘what do you think about certain aspects?’ […] if you break it down for them, you can give the feedback through them, they do know where they’ve gone wrong a lot of the time but it’s about making them realise” BPF Exp - 3 SRL</w:t>
            </w:r>
          </w:p>
        </w:tc>
        <w:tc>
          <w:tcPr>
            <w:tcW w:w="1984" w:type="dxa"/>
            <w:tcBorders>
              <w:top w:val="single" w:sz="4" w:space="0" w:color="auto"/>
              <w:left w:val="nil"/>
              <w:bottom w:val="single" w:sz="4" w:space="0" w:color="auto"/>
              <w:right w:val="single" w:sz="4" w:space="0" w:color="auto"/>
            </w:tcBorders>
            <w:shd w:val="clear" w:color="auto" w:fill="auto"/>
          </w:tcPr>
          <w:p w14:paraId="53ECB119" w14:textId="542E2B6A" w:rsidR="007B5D62" w:rsidRPr="003726FE" w:rsidRDefault="007B5D62" w:rsidP="007B5D62">
            <w:pPr>
              <w:rPr>
                <w:rFonts w:cs="Times New Roman"/>
                <w:color w:val="000000"/>
                <w:sz w:val="20"/>
              </w:rPr>
            </w:pPr>
            <w:r w:rsidRPr="003726FE">
              <w:rPr>
                <w:rFonts w:cs="Times New Roman"/>
                <w:color w:val="000000"/>
                <w:sz w:val="20"/>
              </w:rPr>
              <w:t>“I found the forms got in the way a little bit and if you’re not careful some of the questions can be a little bit, personally, forced and I tended to modify them would be my recollection. I’m happy to have it in my mind rather than a piece of paper” SRLF Nov - 5</w:t>
            </w:r>
          </w:p>
        </w:tc>
        <w:tc>
          <w:tcPr>
            <w:tcW w:w="2694" w:type="dxa"/>
            <w:tcBorders>
              <w:top w:val="single" w:sz="4" w:space="0" w:color="auto"/>
              <w:left w:val="nil"/>
              <w:bottom w:val="single" w:sz="4" w:space="0" w:color="auto"/>
              <w:right w:val="single" w:sz="4" w:space="0" w:color="auto"/>
            </w:tcBorders>
            <w:shd w:val="clear" w:color="auto" w:fill="auto"/>
          </w:tcPr>
          <w:p w14:paraId="3A52E6E5" w14:textId="4D3F7BC2" w:rsidR="007B5D62" w:rsidRPr="003726FE" w:rsidRDefault="007B5D62" w:rsidP="007B5D62">
            <w:pPr>
              <w:rPr>
                <w:rFonts w:cs="Times New Roman"/>
                <w:color w:val="000000"/>
                <w:sz w:val="20"/>
              </w:rPr>
            </w:pPr>
            <w:r w:rsidRPr="003726FE">
              <w:rPr>
                <w:rFonts w:cs="Times New Roman"/>
                <w:color w:val="000000"/>
                <w:sz w:val="20"/>
              </w:rPr>
              <w:t>“I think the students got into it as well, initially it was quite unusual to be asked so many questions, and usually nobody cares what they think of it (laughs). Once we got into it they bought it as well you could probably pick it up a bit more and try to get them to think a bit more actively about it but yeah in general I found it a useful structure to the session.” SRLF Exp - 1</w:t>
            </w:r>
          </w:p>
        </w:tc>
        <w:tc>
          <w:tcPr>
            <w:tcW w:w="2551" w:type="dxa"/>
            <w:tcBorders>
              <w:top w:val="single" w:sz="4" w:space="0" w:color="auto"/>
              <w:left w:val="nil"/>
              <w:bottom w:val="single" w:sz="4" w:space="0" w:color="auto"/>
              <w:right w:val="single" w:sz="4" w:space="0" w:color="auto"/>
            </w:tcBorders>
            <w:shd w:val="clear" w:color="auto" w:fill="auto"/>
          </w:tcPr>
          <w:p w14:paraId="1970BEBA" w14:textId="177B8F68" w:rsidR="007B5D62" w:rsidRPr="003726FE" w:rsidRDefault="007B5D62" w:rsidP="007B5D62">
            <w:pPr>
              <w:rPr>
                <w:rFonts w:cs="Times New Roman"/>
                <w:color w:val="000000"/>
                <w:sz w:val="20"/>
              </w:rPr>
            </w:pPr>
            <w:r w:rsidRPr="003726FE">
              <w:rPr>
                <w:rFonts w:cs="Times New Roman"/>
                <w:color w:val="000000"/>
                <w:sz w:val="20"/>
              </w:rPr>
              <w:t>“I had everyone sat around and when someone contaminated the sterile field I’d ring the bell, I’d ask the student what they think they did wrong and if they didn’t know I’d ask everyone else what they did wrong and I’ll try and integrate everyone in the feedback. The feedback I got from them about that was that that worked quite well” BPF Nov - 7</w:t>
            </w:r>
          </w:p>
        </w:tc>
        <w:tc>
          <w:tcPr>
            <w:tcW w:w="3686" w:type="dxa"/>
            <w:tcBorders>
              <w:top w:val="single" w:sz="4" w:space="0" w:color="auto"/>
              <w:left w:val="nil"/>
              <w:bottom w:val="single" w:sz="4" w:space="0" w:color="auto"/>
              <w:right w:val="single" w:sz="4" w:space="0" w:color="auto"/>
            </w:tcBorders>
            <w:shd w:val="clear" w:color="auto" w:fill="auto"/>
          </w:tcPr>
          <w:p w14:paraId="1551AFC1" w14:textId="50504AD2" w:rsidR="007B5D62" w:rsidRPr="003726FE" w:rsidRDefault="007B5D62" w:rsidP="007B5D62">
            <w:pPr>
              <w:rPr>
                <w:rFonts w:cs="Times New Roman"/>
                <w:color w:val="000000"/>
                <w:sz w:val="20"/>
              </w:rPr>
            </w:pPr>
            <w:r w:rsidRPr="003726FE">
              <w:rPr>
                <w:rFonts w:cs="Times New Roman"/>
                <w:color w:val="000000"/>
                <w:sz w:val="20"/>
              </w:rPr>
              <w:t xml:space="preserve">“If you’ve got the questionnaire too it gives you a bit of a mental checklist, a bit of a reminder.” SRLF Exp - 1 </w:t>
            </w:r>
          </w:p>
        </w:tc>
      </w:tr>
      <w:tr w:rsidR="007B5D62" w:rsidRPr="003726FE" w14:paraId="116CFAF7" w14:textId="77777777" w:rsidTr="00384091">
        <w:trPr>
          <w:trHeight w:val="3937"/>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422EE82B" w14:textId="310EDF60" w:rsidR="007B5D62" w:rsidRPr="003726FE" w:rsidRDefault="007B5D62" w:rsidP="007B5D62">
            <w:pPr>
              <w:spacing w:after="0" w:line="240" w:lineRule="auto"/>
              <w:rPr>
                <w:rFonts w:eastAsia="Times New Roman" w:cs="Times New Roman"/>
                <w:b/>
                <w:bCs/>
                <w:color w:val="000000"/>
                <w:sz w:val="20"/>
                <w:lang w:eastAsia="en-GB"/>
              </w:rPr>
            </w:pPr>
            <w:r w:rsidRPr="003726FE">
              <w:rPr>
                <w:rFonts w:cs="Times New Roman"/>
                <w:color w:val="000000"/>
                <w:sz w:val="20"/>
              </w:rPr>
              <w:t>“I think actually I did ask them more during the task perhaps as well because initially that felt a bit alien, interrupting them, because you don’t want to stop their flow, but I think that’s something that I got better at.” SRLF Exp - 1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8D8646" w14:textId="229C3A9F" w:rsidR="007B5D62" w:rsidRPr="003726FE" w:rsidRDefault="007B5D62" w:rsidP="007B5D62">
            <w:pPr>
              <w:rPr>
                <w:rFonts w:cs="Times New Roman"/>
                <w:color w:val="000000"/>
                <w:sz w:val="20"/>
              </w:rPr>
            </w:pPr>
            <w:r w:rsidRPr="003726FE">
              <w:rPr>
                <w:rFonts w:cs="Times New Roman"/>
                <w:color w:val="000000"/>
                <w:sz w:val="20"/>
              </w:rPr>
              <w:t>“easier over time, mainly because I found ways of getting the answers out of them with the way I was saying things rather than using the rigid flow diagram to ask the questions. I think it’s all about the wording.” SRLF Nov - 2</w:t>
            </w:r>
          </w:p>
        </w:tc>
        <w:tc>
          <w:tcPr>
            <w:tcW w:w="2694" w:type="dxa"/>
            <w:tcBorders>
              <w:top w:val="single" w:sz="4" w:space="0" w:color="auto"/>
              <w:left w:val="nil"/>
              <w:bottom w:val="single" w:sz="4" w:space="0" w:color="auto"/>
              <w:right w:val="single" w:sz="4" w:space="0" w:color="auto"/>
            </w:tcBorders>
            <w:shd w:val="clear" w:color="auto" w:fill="auto"/>
          </w:tcPr>
          <w:p w14:paraId="7C64FE4C" w14:textId="19519245" w:rsidR="007B5D62" w:rsidRPr="003726FE" w:rsidRDefault="007B5D62" w:rsidP="007B5D62">
            <w:pPr>
              <w:rPr>
                <w:rFonts w:cs="Times New Roman"/>
                <w:color w:val="000000"/>
                <w:sz w:val="20"/>
              </w:rPr>
            </w:pPr>
            <w:r w:rsidRPr="003726FE">
              <w:rPr>
                <w:rFonts w:cs="Times New Roman"/>
                <w:color w:val="000000"/>
                <w:sz w:val="20"/>
              </w:rPr>
              <w:t>“”the paperwork was a bit of a pain, its cause we normally wouldn’t be thinking about that, it was just the verbal sort of feedback that we gave. So definitely found that a bit frustrating really and the students were a bit distracted by the paper work. Some of them were saying “what are you writing, can I have a copy of it”.” SRLF Exp - 2</w:t>
            </w:r>
          </w:p>
        </w:tc>
        <w:tc>
          <w:tcPr>
            <w:tcW w:w="2551" w:type="dxa"/>
            <w:tcBorders>
              <w:top w:val="single" w:sz="4" w:space="0" w:color="auto"/>
              <w:left w:val="nil"/>
              <w:bottom w:val="single" w:sz="4" w:space="0" w:color="auto"/>
              <w:right w:val="single" w:sz="4" w:space="0" w:color="auto"/>
            </w:tcBorders>
            <w:shd w:val="clear" w:color="auto" w:fill="auto"/>
          </w:tcPr>
          <w:p w14:paraId="497CA5C4" w14:textId="69652B3E" w:rsidR="007B5D62" w:rsidRPr="003726FE" w:rsidRDefault="007B5D62" w:rsidP="007B5D62">
            <w:pPr>
              <w:rPr>
                <w:rFonts w:cs="Times New Roman"/>
                <w:color w:val="000000"/>
                <w:sz w:val="20"/>
              </w:rPr>
            </w:pPr>
            <w:r w:rsidRPr="003726FE">
              <w:rPr>
                <w:rFonts w:cs="Times New Roman"/>
                <w:color w:val="000000"/>
                <w:sz w:val="20"/>
              </w:rPr>
              <w:t>“I had the training with DME who went through this with me then we did the catheter teaching that week and I literally thought about this and came up with the idea of using the bell” BPF Nov - 7</w:t>
            </w:r>
          </w:p>
        </w:tc>
        <w:tc>
          <w:tcPr>
            <w:tcW w:w="3686" w:type="dxa"/>
            <w:tcBorders>
              <w:top w:val="single" w:sz="4" w:space="0" w:color="auto"/>
              <w:left w:val="nil"/>
              <w:bottom w:val="single" w:sz="4" w:space="0" w:color="auto"/>
              <w:right w:val="single" w:sz="4" w:space="0" w:color="auto"/>
            </w:tcBorders>
            <w:shd w:val="clear" w:color="auto" w:fill="auto"/>
          </w:tcPr>
          <w:p w14:paraId="4DF0294B" w14:textId="33EBD540"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use Pendleton quite a lot and I try and adapt it like I said in the session where I have the students watching every single person and ringing a bell, and ask the person “what did you think went wrong?” sometimes I change it a bit and ask them “what did you think went well?” because in a catheter session you can tell you’re in a sterile field and you want to know what’s immediately gone wrong, then you ask the group, what do you think they did wrong, at the end you say right that was good then I’d ask the group “what did they do well” and the same with the consent, I’d do that in a similar style</w:t>
            </w:r>
            <w:r w:rsidRPr="003726FE">
              <w:rPr>
                <w:rFonts w:cs="Times New Roman"/>
                <w:color w:val="000000"/>
                <w:sz w:val="20"/>
              </w:rPr>
              <w:t>”</w:t>
            </w:r>
            <w:r w:rsidR="007B5D62" w:rsidRPr="003726FE">
              <w:rPr>
                <w:rFonts w:cs="Times New Roman"/>
                <w:color w:val="000000"/>
                <w:sz w:val="20"/>
              </w:rPr>
              <w:t xml:space="preserve"> BPF Nov - 7</w:t>
            </w:r>
          </w:p>
        </w:tc>
      </w:tr>
    </w:tbl>
    <w:p w14:paraId="6127A779" w14:textId="77777777" w:rsidR="007B5D62" w:rsidRPr="003726FE" w:rsidRDefault="007B5D62" w:rsidP="004476F6">
      <w:pPr>
        <w:pStyle w:val="Normal1"/>
        <w:rPr>
          <w:b/>
          <w:lang w:val="en-GB"/>
        </w:rPr>
      </w:pPr>
    </w:p>
    <w:p w14:paraId="36524F53" w14:textId="77777777" w:rsidR="007B5D62" w:rsidRPr="003726FE" w:rsidRDefault="007B5D62">
      <w:pPr>
        <w:rPr>
          <w:rFonts w:eastAsia="Lucida Sans Unicode" w:cs="Mangal"/>
          <w:b/>
          <w:kern w:val="1"/>
          <w:szCs w:val="24"/>
          <w:lang w:eastAsia="hi-IN" w:bidi="hi-IN"/>
        </w:rPr>
      </w:pPr>
      <w:r w:rsidRPr="003726FE">
        <w:rPr>
          <w:b/>
        </w:rPr>
        <w:br w:type="page"/>
      </w:r>
    </w:p>
    <w:tbl>
      <w:tblPr>
        <w:tblW w:w="13603" w:type="dxa"/>
        <w:tblInd w:w="-5" w:type="dxa"/>
        <w:tblLook w:val="04A0" w:firstRow="1" w:lastRow="0" w:firstColumn="1" w:lastColumn="0" w:noHBand="0" w:noVBand="1"/>
      </w:tblPr>
      <w:tblGrid>
        <w:gridCol w:w="2972"/>
        <w:gridCol w:w="3260"/>
        <w:gridCol w:w="2552"/>
        <w:gridCol w:w="2268"/>
        <w:gridCol w:w="2551"/>
      </w:tblGrid>
      <w:tr w:rsidR="007B5D62" w:rsidRPr="003726FE" w14:paraId="583C4F42" w14:textId="77777777" w:rsidTr="00384091">
        <w:trPr>
          <w:trHeight w:val="3966"/>
        </w:trPr>
        <w:tc>
          <w:tcPr>
            <w:tcW w:w="2972" w:type="dxa"/>
            <w:tcBorders>
              <w:top w:val="single" w:sz="4" w:space="0" w:color="auto"/>
              <w:left w:val="single" w:sz="8" w:space="0" w:color="auto"/>
              <w:bottom w:val="single" w:sz="4" w:space="0" w:color="auto"/>
              <w:right w:val="single" w:sz="8" w:space="0" w:color="auto"/>
            </w:tcBorders>
            <w:shd w:val="clear" w:color="auto" w:fill="auto"/>
            <w:hideMark/>
          </w:tcPr>
          <w:p w14:paraId="17728EAD" w14:textId="2577ADA9" w:rsidR="007B5D62" w:rsidRPr="003726FE" w:rsidRDefault="0073282D" w:rsidP="007B5D62">
            <w:pPr>
              <w:spacing w:after="0" w:line="240" w:lineRule="auto"/>
              <w:rPr>
                <w:rFonts w:eastAsia="Times New Roman" w:cs="Times New Roman"/>
                <w:bCs/>
                <w:color w:val="000000"/>
                <w:sz w:val="20"/>
                <w:lang w:eastAsia="en-GB"/>
              </w:rPr>
            </w:pPr>
            <w:r w:rsidRPr="003726FE">
              <w:rPr>
                <w:rFonts w:cs="Times New Roman"/>
                <w:color w:val="000000"/>
                <w:sz w:val="20"/>
              </w:rPr>
              <w:lastRenderedPageBreak/>
              <w:t>“</w:t>
            </w:r>
            <w:r w:rsidR="00D531CD" w:rsidRPr="003726FE">
              <w:rPr>
                <w:rFonts w:cs="Times New Roman"/>
                <w:color w:val="000000"/>
                <w:sz w:val="20"/>
              </w:rPr>
              <w:t>it’s</w:t>
            </w:r>
            <w:r w:rsidR="007B5D62" w:rsidRPr="003726FE">
              <w:rPr>
                <w:rFonts w:cs="Times New Roman"/>
                <w:color w:val="000000"/>
                <w:sz w:val="20"/>
              </w:rPr>
              <w:t xml:space="preserve"> not just about the knowledge, </w:t>
            </w:r>
            <w:r w:rsidR="00D531CD" w:rsidRPr="003726FE">
              <w:rPr>
                <w:rFonts w:cs="Times New Roman"/>
                <w:color w:val="000000"/>
                <w:sz w:val="20"/>
              </w:rPr>
              <w:t>it’s</w:t>
            </w:r>
            <w:r w:rsidR="007B5D62" w:rsidRPr="003726FE">
              <w:rPr>
                <w:rFonts w:cs="Times New Roman"/>
                <w:color w:val="000000"/>
                <w:sz w:val="20"/>
              </w:rPr>
              <w:t xml:space="preserve"> about the other things they need, try to give them a way to deal with all those problems as well, not just about those little tricks you can do to get the catheter out of the pack </w:t>
            </w:r>
            <w:r w:rsidR="00D531CD" w:rsidRPr="003726FE">
              <w:rPr>
                <w:rFonts w:cs="Times New Roman"/>
                <w:color w:val="000000"/>
                <w:sz w:val="20"/>
              </w:rPr>
              <w:t>it’s</w:t>
            </w:r>
            <w:r w:rsidR="007B5D62" w:rsidRPr="003726FE">
              <w:rPr>
                <w:rFonts w:cs="Times New Roman"/>
                <w:color w:val="000000"/>
                <w:sz w:val="20"/>
              </w:rPr>
              <w:t xml:space="preserve"> also little tricks you can do to calm you down and to focus in on the task because that’s a generic skill that they need in everyday skills and on the wards.</w:t>
            </w:r>
            <w:r w:rsidRPr="003726FE">
              <w:rPr>
                <w:rFonts w:cs="Times New Roman"/>
                <w:color w:val="000000"/>
                <w:sz w:val="20"/>
              </w:rPr>
              <w:t>”</w:t>
            </w:r>
            <w:r w:rsidR="007B5D62" w:rsidRPr="003726FE">
              <w:rPr>
                <w:rFonts w:cs="Times New Roman"/>
                <w:color w:val="000000"/>
                <w:sz w:val="20"/>
              </w:rPr>
              <w:t xml:space="preserve"> SRLF Exp - 1</w:t>
            </w:r>
          </w:p>
        </w:tc>
        <w:tc>
          <w:tcPr>
            <w:tcW w:w="3260" w:type="dxa"/>
            <w:tcBorders>
              <w:top w:val="single" w:sz="4" w:space="0" w:color="auto"/>
              <w:left w:val="nil"/>
              <w:bottom w:val="single" w:sz="4" w:space="0" w:color="auto"/>
              <w:right w:val="single" w:sz="4" w:space="0" w:color="auto"/>
            </w:tcBorders>
            <w:shd w:val="clear" w:color="auto" w:fill="auto"/>
          </w:tcPr>
          <w:p w14:paraId="20D84550" w14:textId="3EE75CCA"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didn’t adapt the way I gave feedback and with the bell, but I did change the session.</w:t>
            </w:r>
            <w:r w:rsidRPr="003726FE">
              <w:rPr>
                <w:rFonts w:cs="Times New Roman"/>
                <w:color w:val="000000"/>
                <w:sz w:val="20"/>
              </w:rPr>
              <w:t>”</w:t>
            </w:r>
            <w:r w:rsidR="007B5D62" w:rsidRPr="003726FE">
              <w:rPr>
                <w:rFonts w:cs="Times New Roman"/>
                <w:color w:val="000000"/>
                <w:sz w:val="20"/>
              </w:rPr>
              <w:t xml:space="preserve"> BPF Nov - 7</w:t>
            </w:r>
          </w:p>
        </w:tc>
        <w:tc>
          <w:tcPr>
            <w:tcW w:w="2552" w:type="dxa"/>
            <w:tcBorders>
              <w:top w:val="single" w:sz="4" w:space="0" w:color="auto"/>
              <w:left w:val="nil"/>
              <w:bottom w:val="single" w:sz="4" w:space="0" w:color="auto"/>
              <w:right w:val="single" w:sz="4" w:space="0" w:color="auto"/>
            </w:tcBorders>
            <w:shd w:val="clear" w:color="auto" w:fill="auto"/>
          </w:tcPr>
          <w:p w14:paraId="23E7C5F6" w14:textId="693727B4"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should’ve asked myself the last question shouldn’t I. Had to keep remembering, got this clipboard in front of me to keep writing on the sheet. I didn’t have a particular strategy for reminding myself to do it, I just kept trying to go back to it not to get carried away and move away from the script too far that’s how it felt.</w:t>
            </w:r>
            <w:r w:rsidRPr="003726FE">
              <w:rPr>
                <w:rFonts w:cs="Times New Roman"/>
                <w:color w:val="000000"/>
                <w:sz w:val="20"/>
              </w:rPr>
              <w:t>”</w:t>
            </w:r>
            <w:r w:rsidR="007B5D62" w:rsidRPr="003726FE">
              <w:rPr>
                <w:rFonts w:cs="Times New Roman"/>
                <w:color w:val="000000"/>
                <w:sz w:val="20"/>
              </w:rPr>
              <w:t xml:space="preserve"> SRLF Exp - 2</w:t>
            </w:r>
          </w:p>
        </w:tc>
        <w:tc>
          <w:tcPr>
            <w:tcW w:w="2268" w:type="dxa"/>
            <w:tcBorders>
              <w:top w:val="single" w:sz="4" w:space="0" w:color="auto"/>
              <w:left w:val="nil"/>
              <w:bottom w:val="single" w:sz="4" w:space="0" w:color="auto"/>
              <w:right w:val="single" w:sz="4" w:space="0" w:color="auto"/>
            </w:tcBorders>
            <w:shd w:val="clear" w:color="auto" w:fill="auto"/>
          </w:tcPr>
          <w:p w14:paraId="0DA2352E" w14:textId="485B370A"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I’ve been fairly consistent which isn’t always the case. I haven’t changed dramatically over the time. I thought a bit more about what I was doing because it was a study but I didn’t change dramatically, I don’t know. It’s more of an awareness, definitely.</w:t>
            </w:r>
            <w:r w:rsidRPr="003726FE">
              <w:rPr>
                <w:rFonts w:cs="Times New Roman"/>
                <w:color w:val="000000"/>
                <w:sz w:val="20"/>
              </w:rPr>
              <w:t>”</w:t>
            </w:r>
            <w:r w:rsidR="007B5D62" w:rsidRPr="003726FE">
              <w:rPr>
                <w:rFonts w:cs="Times New Roman"/>
                <w:color w:val="000000"/>
                <w:sz w:val="20"/>
              </w:rPr>
              <w:t xml:space="preserve"> SRLF Nov - 1</w:t>
            </w:r>
          </w:p>
        </w:tc>
        <w:tc>
          <w:tcPr>
            <w:tcW w:w="2551" w:type="dxa"/>
            <w:tcBorders>
              <w:top w:val="single" w:sz="4" w:space="0" w:color="auto"/>
              <w:left w:val="nil"/>
              <w:bottom w:val="single" w:sz="4" w:space="0" w:color="auto"/>
              <w:right w:val="single" w:sz="4" w:space="0" w:color="auto"/>
            </w:tcBorders>
            <w:shd w:val="clear" w:color="auto" w:fill="auto"/>
          </w:tcPr>
          <w:p w14:paraId="22DECBC7" w14:textId="15027F73"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ran it through my head before I did it but actually… I thought if I was just a little bit slicker with it might have been better and raised my confidence.</w:t>
            </w:r>
            <w:r w:rsidRPr="003726FE">
              <w:rPr>
                <w:rFonts w:cs="Times New Roman"/>
                <w:color w:val="000000"/>
                <w:sz w:val="20"/>
              </w:rPr>
              <w:t>”</w:t>
            </w:r>
            <w:r w:rsidR="007B5D62" w:rsidRPr="003726FE">
              <w:rPr>
                <w:rFonts w:cs="Times New Roman"/>
                <w:color w:val="000000"/>
                <w:sz w:val="20"/>
              </w:rPr>
              <w:t xml:space="preserve"> SRLF Exp - 4</w:t>
            </w:r>
          </w:p>
        </w:tc>
      </w:tr>
      <w:tr w:rsidR="007B5D62" w:rsidRPr="003726FE" w14:paraId="4747E542" w14:textId="77777777" w:rsidTr="00384091">
        <w:trPr>
          <w:trHeight w:val="4365"/>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CB97923" w14:textId="64FF3EC0" w:rsidR="007B5D62" w:rsidRPr="003726FE" w:rsidRDefault="0073282D" w:rsidP="007B5D62">
            <w:pPr>
              <w:spacing w:after="0" w:line="240" w:lineRule="auto"/>
              <w:rPr>
                <w:rFonts w:eastAsia="Times New Roman" w:cs="Times New Roman"/>
                <w:bCs/>
                <w:color w:val="000000"/>
                <w:sz w:val="20"/>
                <w:lang w:eastAsia="en-GB"/>
              </w:rPr>
            </w:pPr>
            <w:r w:rsidRPr="003726FE">
              <w:rPr>
                <w:rFonts w:cs="Times New Roman"/>
                <w:color w:val="000000"/>
                <w:sz w:val="20"/>
              </w:rPr>
              <w:t>“</w:t>
            </w:r>
            <w:r w:rsidR="007B5D62" w:rsidRPr="003726FE">
              <w:rPr>
                <w:rFonts w:cs="Times New Roman"/>
                <w:color w:val="000000"/>
                <w:sz w:val="20"/>
              </w:rPr>
              <w:t>Personally speaking, where I received it “it was fine” which is not really helpful (laughs) from that scale to where someone actually broke it down “you did this, that was good, have you tried this? What do you want to get out of this? What are your</w:t>
            </w:r>
            <w:r w:rsidRPr="003726FE">
              <w:rPr>
                <w:rFonts w:cs="Times New Roman"/>
                <w:color w:val="000000"/>
                <w:sz w:val="20"/>
              </w:rPr>
              <w:t xml:space="preserve"> goals?” that’s more meaningful”</w:t>
            </w:r>
            <w:r w:rsidR="007B5D62" w:rsidRPr="003726FE">
              <w:rPr>
                <w:rFonts w:cs="Times New Roman"/>
                <w:color w:val="000000"/>
                <w:sz w:val="20"/>
              </w:rPr>
              <w:t xml:space="preserve"> SRLF Exp - 4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68E53F" w14:textId="57B308AC"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got better skilled in it, the first couple I forgot to ask them the middle one and then when they were two thirds of the way through I jumped in and asked them, so I think that made it more difficult to use because I wasn’t as good at it but over time I think it did get better and it did get a bit slicker but I did keep it to the same because it was for a study I had to keep it to the format. I felt restricted.</w:t>
            </w:r>
            <w:r w:rsidRPr="003726FE">
              <w:rPr>
                <w:rFonts w:cs="Times New Roman"/>
                <w:color w:val="000000"/>
                <w:sz w:val="20"/>
              </w:rPr>
              <w:t>”</w:t>
            </w:r>
            <w:r w:rsidR="007B5D62" w:rsidRPr="003726FE">
              <w:rPr>
                <w:rFonts w:cs="Times New Roman"/>
                <w:color w:val="000000"/>
                <w:sz w:val="20"/>
              </w:rPr>
              <w:t xml:space="preserve"> SRLF Nov - 3</w:t>
            </w:r>
          </w:p>
        </w:tc>
        <w:tc>
          <w:tcPr>
            <w:tcW w:w="2552" w:type="dxa"/>
            <w:tcBorders>
              <w:top w:val="single" w:sz="4" w:space="0" w:color="auto"/>
              <w:left w:val="nil"/>
              <w:bottom w:val="single" w:sz="4" w:space="0" w:color="auto"/>
              <w:right w:val="single" w:sz="4" w:space="0" w:color="auto"/>
            </w:tcBorders>
            <w:shd w:val="clear" w:color="auto" w:fill="auto"/>
          </w:tcPr>
          <w:p w14:paraId="5D2F57D5" w14:textId="2E5EE13A" w:rsidR="007B5D62" w:rsidRPr="003726FE" w:rsidRDefault="007B5D62" w:rsidP="007B5D62">
            <w:pPr>
              <w:rPr>
                <w:rFonts w:cs="Times New Roman"/>
                <w:color w:val="000000"/>
                <w:sz w:val="20"/>
              </w:rPr>
            </w:pPr>
            <w:r w:rsidRPr="003726FE">
              <w:rPr>
                <w:rFonts w:cs="Times New Roman"/>
                <w:color w:val="000000"/>
                <w:sz w:val="20"/>
              </w:rPr>
              <w:t>I think that’s been an instinctual thing for me. some things I’ve done instinctively like the monitoring performance bit SRLF Exp - 4</w:t>
            </w:r>
          </w:p>
        </w:tc>
        <w:tc>
          <w:tcPr>
            <w:tcW w:w="2268" w:type="dxa"/>
            <w:tcBorders>
              <w:top w:val="single" w:sz="4" w:space="0" w:color="auto"/>
              <w:left w:val="nil"/>
              <w:bottom w:val="single" w:sz="4" w:space="0" w:color="auto"/>
              <w:right w:val="single" w:sz="4" w:space="0" w:color="auto"/>
            </w:tcBorders>
            <w:shd w:val="clear" w:color="auto" w:fill="auto"/>
          </w:tcPr>
          <w:p w14:paraId="7C497E30" w14:textId="40EE24CA" w:rsidR="007B5D62" w:rsidRPr="003726FE" w:rsidRDefault="0073282D" w:rsidP="007B5D62">
            <w:pPr>
              <w:rPr>
                <w:rFonts w:cs="Times New Roman"/>
                <w:color w:val="000000"/>
                <w:sz w:val="20"/>
              </w:rPr>
            </w:pPr>
            <w:r w:rsidRPr="003726FE">
              <w:rPr>
                <w:rFonts w:cs="Times New Roman"/>
                <w:color w:val="000000"/>
                <w:sz w:val="20"/>
              </w:rPr>
              <w:t>“</w:t>
            </w:r>
            <w:r w:rsidR="007B5D62" w:rsidRPr="003726FE">
              <w:rPr>
                <w:rFonts w:cs="Times New Roman"/>
                <w:color w:val="000000"/>
                <w:sz w:val="20"/>
              </w:rPr>
              <w:t>I think it persisted because I had the sheet all the time. It felt unnatural asking people quite unusual questions that they’re not used to being asked, that feeling persisted.</w:t>
            </w:r>
            <w:r w:rsidRPr="003726FE">
              <w:rPr>
                <w:rFonts w:cs="Times New Roman"/>
                <w:color w:val="000000"/>
                <w:sz w:val="20"/>
              </w:rPr>
              <w:t>”</w:t>
            </w:r>
            <w:r w:rsidR="007B5D62" w:rsidRPr="003726FE">
              <w:rPr>
                <w:rFonts w:cs="Times New Roman"/>
                <w:color w:val="000000"/>
                <w:sz w:val="20"/>
              </w:rPr>
              <w:t xml:space="preserve"> SRLF Nov - 3</w:t>
            </w:r>
          </w:p>
        </w:tc>
        <w:tc>
          <w:tcPr>
            <w:tcW w:w="2551" w:type="dxa"/>
            <w:tcBorders>
              <w:top w:val="single" w:sz="4" w:space="0" w:color="auto"/>
              <w:left w:val="nil"/>
              <w:bottom w:val="single" w:sz="4" w:space="0" w:color="auto"/>
              <w:right w:val="single" w:sz="4" w:space="0" w:color="auto"/>
            </w:tcBorders>
            <w:shd w:val="clear" w:color="auto" w:fill="auto"/>
          </w:tcPr>
          <w:p w14:paraId="2A7AE249" w14:textId="147E3FBD" w:rsidR="007B5D62" w:rsidRPr="003726FE" w:rsidRDefault="007B5D62" w:rsidP="007B5D62">
            <w:pPr>
              <w:rPr>
                <w:rFonts w:cs="Times New Roman"/>
                <w:color w:val="000000"/>
                <w:sz w:val="20"/>
              </w:rPr>
            </w:pPr>
            <w:r w:rsidRPr="003726FE">
              <w:rPr>
                <w:rFonts w:cs="Times New Roman"/>
                <w:color w:val="000000"/>
                <w:sz w:val="20"/>
              </w:rPr>
              <w:t>“The flow diagram for me was more useful than the PowerPoint. More because when you’re actually doing it practically it’s difficult to think of the theoretical concepts at the time, but if you have example on what is what then you can kind of pick it apart a lot easier then that’s something and if they’ve said that then it’s that one, otherwise I think I would’ve struggled a bit more if I hadn’t had the flow diagram.” SRLF Nov - 2</w:t>
            </w:r>
          </w:p>
        </w:tc>
      </w:tr>
    </w:tbl>
    <w:p w14:paraId="2AB3F247" w14:textId="77777777" w:rsidR="007B5D62" w:rsidRPr="003726FE" w:rsidRDefault="007B5D62" w:rsidP="004476F6">
      <w:pPr>
        <w:pStyle w:val="Normal1"/>
        <w:rPr>
          <w:b/>
          <w:lang w:val="en-GB"/>
        </w:rPr>
      </w:pPr>
    </w:p>
    <w:p w14:paraId="16C1B8F8" w14:textId="77777777" w:rsidR="00001C5C" w:rsidRPr="003726FE" w:rsidRDefault="00001C5C">
      <w:pPr>
        <w:rPr>
          <w:b/>
        </w:rPr>
      </w:pPr>
      <w:r w:rsidRPr="003726FE">
        <w:rPr>
          <w:b/>
        </w:rPr>
        <w:br w:type="page"/>
      </w:r>
    </w:p>
    <w:p w14:paraId="62C44818" w14:textId="78381F25" w:rsidR="00001C5C" w:rsidRPr="003726FE" w:rsidRDefault="00001C5C" w:rsidP="00001C5C">
      <w:pPr>
        <w:rPr>
          <w:b/>
        </w:rPr>
      </w:pPr>
      <w:r w:rsidRPr="003726FE">
        <w:rPr>
          <w:b/>
        </w:rPr>
        <w:lastRenderedPageBreak/>
        <w:t>Perceived ease of use – process evaluation.</w:t>
      </w:r>
    </w:p>
    <w:tbl>
      <w:tblPr>
        <w:tblW w:w="13320" w:type="dxa"/>
        <w:tblInd w:w="-5" w:type="dxa"/>
        <w:tblLook w:val="04A0" w:firstRow="1" w:lastRow="0" w:firstColumn="1" w:lastColumn="0" w:noHBand="0" w:noVBand="1"/>
      </w:tblPr>
      <w:tblGrid>
        <w:gridCol w:w="2830"/>
        <w:gridCol w:w="2694"/>
        <w:gridCol w:w="2835"/>
        <w:gridCol w:w="2693"/>
        <w:gridCol w:w="2268"/>
      </w:tblGrid>
      <w:tr w:rsidR="00001C5C" w:rsidRPr="003726FE" w14:paraId="24C68AF3" w14:textId="77777777" w:rsidTr="00384091">
        <w:trPr>
          <w:trHeight w:val="4365"/>
        </w:trPr>
        <w:tc>
          <w:tcPr>
            <w:tcW w:w="2830" w:type="dxa"/>
            <w:tcBorders>
              <w:top w:val="single" w:sz="4" w:space="0" w:color="auto"/>
              <w:left w:val="single" w:sz="8" w:space="0" w:color="auto"/>
              <w:bottom w:val="single" w:sz="4" w:space="0" w:color="auto"/>
              <w:right w:val="single" w:sz="8" w:space="0" w:color="auto"/>
            </w:tcBorders>
            <w:shd w:val="clear" w:color="auto" w:fill="auto"/>
            <w:hideMark/>
          </w:tcPr>
          <w:p w14:paraId="2C124124" w14:textId="1935595F" w:rsidR="00001C5C" w:rsidRPr="003726FE" w:rsidRDefault="0073282D" w:rsidP="00001C5C">
            <w:pPr>
              <w:spacing w:after="0" w:line="240" w:lineRule="auto"/>
              <w:rPr>
                <w:rFonts w:eastAsia="Times New Roman" w:cs="Times New Roman"/>
                <w:bCs/>
                <w:color w:val="000000"/>
                <w:sz w:val="20"/>
                <w:lang w:eastAsia="en-GB"/>
              </w:rPr>
            </w:pPr>
            <w:r w:rsidRPr="003726FE">
              <w:rPr>
                <w:rFonts w:cs="Times New Roman"/>
                <w:color w:val="000000"/>
                <w:sz w:val="20"/>
              </w:rPr>
              <w:t>“</w:t>
            </w:r>
            <w:r w:rsidR="00001C5C" w:rsidRPr="003726FE">
              <w:rPr>
                <w:rFonts w:cs="Times New Roman"/>
                <w:color w:val="000000"/>
                <w:sz w:val="20"/>
              </w:rPr>
              <w:t>When asked about SRL feedback giving. “I felt a bit kind of restricted it in a way, so I felt a bit bound by it in some ways.” SRLF Exp - 2</w:t>
            </w:r>
          </w:p>
        </w:tc>
        <w:tc>
          <w:tcPr>
            <w:tcW w:w="2694" w:type="dxa"/>
            <w:tcBorders>
              <w:top w:val="single" w:sz="4" w:space="0" w:color="auto"/>
              <w:left w:val="nil"/>
              <w:bottom w:val="single" w:sz="4" w:space="0" w:color="auto"/>
              <w:right w:val="single" w:sz="4" w:space="0" w:color="auto"/>
            </w:tcBorders>
            <w:shd w:val="clear" w:color="auto" w:fill="auto"/>
          </w:tcPr>
          <w:p w14:paraId="5359D88B" w14:textId="301B7E41" w:rsidR="00001C5C" w:rsidRPr="003726FE" w:rsidRDefault="00001C5C" w:rsidP="00001C5C">
            <w:pPr>
              <w:rPr>
                <w:rFonts w:cs="Times New Roman"/>
                <w:color w:val="000000"/>
                <w:sz w:val="20"/>
              </w:rPr>
            </w:pPr>
            <w:r w:rsidRPr="003726FE">
              <w:rPr>
                <w:rFonts w:cs="Times New Roman"/>
                <w:color w:val="000000"/>
                <w:sz w:val="20"/>
              </w:rPr>
              <w:t>“I felt a bit overwhelmed at the time because I’d never used a tick-box sheet for giving feedback ever, I felt almost constrained by it, but actually having started using it I found it quite useful especially the bit where you ask the student “if you could rate your confidence out of 100 what would it be?” it was really useful to know. I think I might take that forward.” SRLF Nov - 3</w:t>
            </w:r>
          </w:p>
        </w:tc>
        <w:tc>
          <w:tcPr>
            <w:tcW w:w="2835" w:type="dxa"/>
            <w:tcBorders>
              <w:top w:val="single" w:sz="4" w:space="0" w:color="auto"/>
              <w:left w:val="nil"/>
              <w:bottom w:val="single" w:sz="4" w:space="0" w:color="auto"/>
              <w:right w:val="single" w:sz="4" w:space="0" w:color="auto"/>
            </w:tcBorders>
            <w:shd w:val="clear" w:color="auto" w:fill="auto"/>
          </w:tcPr>
          <w:p w14:paraId="38D53DDD" w14:textId="051558E4" w:rsidR="00001C5C" w:rsidRPr="003726FE" w:rsidRDefault="00001C5C" w:rsidP="00001C5C">
            <w:pPr>
              <w:rPr>
                <w:rFonts w:cs="Times New Roman"/>
                <w:color w:val="000000"/>
                <w:sz w:val="20"/>
              </w:rPr>
            </w:pPr>
            <w:r w:rsidRPr="003726FE">
              <w:rPr>
                <w:rFonts w:cs="Times New Roman"/>
                <w:bCs/>
                <w:color w:val="000000"/>
                <w:sz w:val="20"/>
              </w:rPr>
              <w:t>“I think I internalised it a bit and remembered it by starting with the ‘during the task’ bit, it felt a lot more like teaching rather than doing research when I did that. It becomes part of your normal teaching.” SRLF Exp - 1</w:t>
            </w:r>
          </w:p>
        </w:tc>
        <w:tc>
          <w:tcPr>
            <w:tcW w:w="2693" w:type="dxa"/>
            <w:tcBorders>
              <w:top w:val="single" w:sz="4" w:space="0" w:color="auto"/>
              <w:left w:val="nil"/>
              <w:bottom w:val="single" w:sz="4" w:space="0" w:color="auto"/>
              <w:right w:val="single" w:sz="4" w:space="0" w:color="auto"/>
            </w:tcBorders>
            <w:shd w:val="clear" w:color="auto" w:fill="auto"/>
          </w:tcPr>
          <w:p w14:paraId="67B31A4E" w14:textId="5170326B" w:rsidR="00001C5C" w:rsidRPr="003726FE" w:rsidRDefault="00001C5C" w:rsidP="00001C5C">
            <w:pPr>
              <w:rPr>
                <w:rFonts w:cs="Times New Roman"/>
                <w:color w:val="000000"/>
                <w:sz w:val="20"/>
              </w:rPr>
            </w:pPr>
            <w:r w:rsidRPr="003726FE">
              <w:rPr>
                <w:rFonts w:cs="Times New Roman"/>
                <w:color w:val="000000"/>
                <w:sz w:val="20"/>
              </w:rPr>
              <w:t>“”the paperwork was a bit of a pain, its cause we normally wouldn’t be thinking about that, it was just the verbal sort of feedback that we gave. So definitely found that a bit frustrating really and the students were a bit distracted by the paper work. Some of them were saying “what are you writing, can I have a copy of it”.” SRLF Exp - 2</w:t>
            </w:r>
          </w:p>
        </w:tc>
        <w:tc>
          <w:tcPr>
            <w:tcW w:w="2268" w:type="dxa"/>
            <w:tcBorders>
              <w:top w:val="single" w:sz="4" w:space="0" w:color="auto"/>
              <w:left w:val="nil"/>
              <w:bottom w:val="single" w:sz="4" w:space="0" w:color="auto"/>
              <w:right w:val="single" w:sz="4" w:space="0" w:color="auto"/>
            </w:tcBorders>
            <w:shd w:val="clear" w:color="auto" w:fill="auto"/>
          </w:tcPr>
          <w:p w14:paraId="5D050610" w14:textId="3337AF1A" w:rsidR="00001C5C" w:rsidRPr="003726FE" w:rsidRDefault="00001C5C" w:rsidP="00001C5C">
            <w:pPr>
              <w:rPr>
                <w:rFonts w:cs="Times New Roman"/>
                <w:color w:val="000000"/>
                <w:sz w:val="20"/>
              </w:rPr>
            </w:pPr>
            <w:r w:rsidRPr="003726FE">
              <w:rPr>
                <w:rFonts w:cs="Times New Roman"/>
                <w:color w:val="000000"/>
                <w:sz w:val="20"/>
              </w:rPr>
              <w:t>“I got better skilled in it, the first couple I forgot to ask them the middle one and then when they were two thirds of the way through I jumped in and asked them, so I think that made it more difficult to use because I wasn’t as good at it but over time I think it did get better and it did get a bit slicker” SRLF Nov - 3</w:t>
            </w:r>
          </w:p>
        </w:tc>
      </w:tr>
      <w:tr w:rsidR="00001C5C" w:rsidRPr="003726FE" w14:paraId="04BFE9F3" w14:textId="77777777" w:rsidTr="00384091">
        <w:trPr>
          <w:trHeight w:val="2377"/>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FCD5EC5" w14:textId="3BD12488" w:rsidR="00001C5C" w:rsidRPr="003726FE" w:rsidRDefault="00001C5C" w:rsidP="00001C5C">
            <w:pPr>
              <w:spacing w:after="0" w:line="240" w:lineRule="auto"/>
              <w:rPr>
                <w:rFonts w:eastAsia="Times New Roman" w:cs="Times New Roman"/>
                <w:bCs/>
                <w:color w:val="000000"/>
                <w:sz w:val="20"/>
                <w:lang w:eastAsia="en-GB"/>
              </w:rPr>
            </w:pPr>
            <w:r w:rsidRPr="003726FE">
              <w:rPr>
                <w:rFonts w:cs="Times New Roman"/>
                <w:color w:val="000000"/>
                <w:sz w:val="20"/>
              </w:rPr>
              <w:t>“I think actually I did ask them more during the task perhaps as well because initially that felt a bit alien, interrupting them, because you don’t want to stop their flow, but I think that’s something that I got better at.” SRLF Exp - 1</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4B9AB3F" w14:textId="29C7622D" w:rsidR="00001C5C" w:rsidRPr="003726FE" w:rsidRDefault="00001C5C" w:rsidP="00001C5C">
            <w:pPr>
              <w:rPr>
                <w:rFonts w:cs="Times New Roman"/>
                <w:color w:val="000000"/>
                <w:sz w:val="20"/>
              </w:rPr>
            </w:pPr>
            <w:r w:rsidRPr="003726FE">
              <w:rPr>
                <w:rFonts w:cs="Times New Roman"/>
                <w:color w:val="000000"/>
                <w:sz w:val="20"/>
              </w:rPr>
              <w:t>“The first bit is where you’ve got to think about integrating it, once I got into the flow at the second or third session it was natural and easy.” SRLF Exp - 1</w:t>
            </w:r>
          </w:p>
        </w:tc>
        <w:tc>
          <w:tcPr>
            <w:tcW w:w="2835" w:type="dxa"/>
            <w:tcBorders>
              <w:top w:val="single" w:sz="4" w:space="0" w:color="auto"/>
              <w:left w:val="nil"/>
              <w:bottom w:val="single" w:sz="4" w:space="0" w:color="auto"/>
              <w:right w:val="single" w:sz="4" w:space="0" w:color="auto"/>
            </w:tcBorders>
            <w:shd w:val="clear" w:color="auto" w:fill="auto"/>
          </w:tcPr>
          <w:p w14:paraId="51EB5725" w14:textId="1EFFC586" w:rsidR="00001C5C" w:rsidRPr="003726FE" w:rsidRDefault="00001C5C" w:rsidP="00001C5C">
            <w:pPr>
              <w:rPr>
                <w:rFonts w:cs="Times New Roman"/>
                <w:color w:val="000000"/>
                <w:sz w:val="20"/>
              </w:rPr>
            </w:pPr>
            <w:r w:rsidRPr="003726FE">
              <w:rPr>
                <w:rFonts w:cs="Times New Roman"/>
                <w:color w:val="000000"/>
                <w:sz w:val="20"/>
              </w:rPr>
              <w:t>“As the sessions went on and I used it more I found it more accessible than I thought it would be if you know what I mean.” SRLF Nov - 3</w:t>
            </w:r>
          </w:p>
        </w:tc>
        <w:tc>
          <w:tcPr>
            <w:tcW w:w="4961" w:type="dxa"/>
            <w:gridSpan w:val="2"/>
            <w:tcBorders>
              <w:top w:val="single" w:sz="4" w:space="0" w:color="auto"/>
              <w:left w:val="nil"/>
              <w:bottom w:val="single" w:sz="4" w:space="0" w:color="auto"/>
              <w:right w:val="single" w:sz="4" w:space="0" w:color="auto"/>
            </w:tcBorders>
            <w:shd w:val="clear" w:color="auto" w:fill="auto"/>
          </w:tcPr>
          <w:p w14:paraId="24484D08" w14:textId="6D794CEA" w:rsidR="00001C5C" w:rsidRPr="003726FE" w:rsidRDefault="00001C5C" w:rsidP="00001C5C">
            <w:pPr>
              <w:rPr>
                <w:rFonts w:cs="Times New Roman"/>
                <w:color w:val="000000"/>
                <w:sz w:val="20"/>
              </w:rPr>
            </w:pPr>
            <w:r w:rsidRPr="003726FE">
              <w:rPr>
                <w:rFonts w:cs="Times New Roman"/>
                <w:bCs/>
                <w:color w:val="000000"/>
                <w:sz w:val="20"/>
              </w:rPr>
              <w:t>“The flow diagram for me was more useful than the PowerPoint. More because when you’re actually doing it practically it’s difficult to think of the theoretical concepts at the time, but if you have example on what is what then you can kind of pick it apart a lot easier then that’s something and if they’ve said that then it’s that one, otherwise I think I would’ve struggled a bit more if I hadn’t had the flow diagram.” SRLF Nov - 2</w:t>
            </w:r>
          </w:p>
        </w:tc>
      </w:tr>
    </w:tbl>
    <w:p w14:paraId="3D22C749" w14:textId="77777777" w:rsidR="00001C5C" w:rsidRPr="003726FE" w:rsidRDefault="00001C5C" w:rsidP="00001C5C">
      <w:pPr>
        <w:rPr>
          <w:b/>
        </w:rPr>
      </w:pPr>
    </w:p>
    <w:p w14:paraId="2075C1C9" w14:textId="77777777" w:rsidR="00001C5C" w:rsidRPr="003726FE" w:rsidRDefault="00001C5C">
      <w:pPr>
        <w:rPr>
          <w:b/>
        </w:rPr>
      </w:pPr>
      <w:r w:rsidRPr="003726FE">
        <w:rPr>
          <w:b/>
        </w:rPr>
        <w:br w:type="page"/>
      </w:r>
    </w:p>
    <w:p w14:paraId="095FC0C5" w14:textId="258A48A4" w:rsidR="00001C5C" w:rsidRPr="003726FE" w:rsidRDefault="00001C5C" w:rsidP="00001C5C">
      <w:pPr>
        <w:rPr>
          <w:b/>
        </w:rPr>
      </w:pPr>
      <w:r w:rsidRPr="003726FE">
        <w:rPr>
          <w:b/>
        </w:rPr>
        <w:lastRenderedPageBreak/>
        <w:t>Perceived usefulness – process evaluation (other quotes were drawn from other themes in addition to these).</w:t>
      </w:r>
    </w:p>
    <w:tbl>
      <w:tblPr>
        <w:tblW w:w="13320" w:type="dxa"/>
        <w:tblInd w:w="-5" w:type="dxa"/>
        <w:tblLook w:val="04A0" w:firstRow="1" w:lastRow="0" w:firstColumn="1" w:lastColumn="0" w:noHBand="0" w:noVBand="1"/>
      </w:tblPr>
      <w:tblGrid>
        <w:gridCol w:w="2830"/>
        <w:gridCol w:w="1276"/>
        <w:gridCol w:w="1559"/>
        <w:gridCol w:w="1701"/>
        <w:gridCol w:w="2268"/>
        <w:gridCol w:w="1985"/>
        <w:gridCol w:w="1701"/>
      </w:tblGrid>
      <w:tr w:rsidR="00001C5C" w:rsidRPr="003726FE" w14:paraId="5D70BE47" w14:textId="77777777" w:rsidTr="00384091">
        <w:trPr>
          <w:trHeight w:val="4365"/>
        </w:trPr>
        <w:tc>
          <w:tcPr>
            <w:tcW w:w="2830" w:type="dxa"/>
            <w:tcBorders>
              <w:top w:val="single" w:sz="4" w:space="0" w:color="auto"/>
              <w:left w:val="single" w:sz="8" w:space="0" w:color="auto"/>
              <w:bottom w:val="single" w:sz="4" w:space="0" w:color="auto"/>
              <w:right w:val="single" w:sz="8" w:space="0" w:color="auto"/>
            </w:tcBorders>
            <w:shd w:val="clear" w:color="auto" w:fill="auto"/>
            <w:hideMark/>
          </w:tcPr>
          <w:p w14:paraId="405431CE" w14:textId="77777777" w:rsidR="00001C5C" w:rsidRPr="003726FE" w:rsidRDefault="00001C5C" w:rsidP="00001C5C">
            <w:pPr>
              <w:rPr>
                <w:rFonts w:cs="Times New Roman"/>
                <w:color w:val="000000"/>
                <w:sz w:val="22"/>
              </w:rPr>
            </w:pPr>
            <w:r w:rsidRPr="003726FE">
              <w:rPr>
                <w:rFonts w:cs="Times New Roman"/>
                <w:color w:val="000000"/>
                <w:sz w:val="22"/>
              </w:rPr>
              <w:t>“I think the students got into it as well, initially it was quite unusual to be asked so many questions, and usually nobody cares what they think of it (laughs). Once we got into it they bought it as well you could probably pick it up a bit more and try to get them to think a bit more actively about it but yeah in general I found it a useful structure to the session.” SRLF Exp - 1</w:t>
            </w:r>
          </w:p>
          <w:p w14:paraId="5E1FC6A8" w14:textId="77777777" w:rsidR="00001C5C" w:rsidRPr="003726FE" w:rsidRDefault="00001C5C" w:rsidP="00001C5C">
            <w:pPr>
              <w:spacing w:after="0" w:line="240" w:lineRule="auto"/>
              <w:rPr>
                <w:rFonts w:eastAsia="Times New Roman" w:cs="Times New Roman"/>
                <w:bCs/>
                <w:color w:val="000000"/>
                <w:sz w:val="22"/>
                <w:lang w:eastAsia="en-GB"/>
              </w:rPr>
            </w:pPr>
          </w:p>
        </w:tc>
        <w:tc>
          <w:tcPr>
            <w:tcW w:w="1276" w:type="dxa"/>
            <w:tcBorders>
              <w:top w:val="single" w:sz="4" w:space="0" w:color="auto"/>
              <w:left w:val="nil"/>
              <w:bottom w:val="single" w:sz="4" w:space="0" w:color="auto"/>
              <w:right w:val="single" w:sz="4" w:space="0" w:color="auto"/>
            </w:tcBorders>
            <w:shd w:val="clear" w:color="auto" w:fill="auto"/>
            <w:hideMark/>
          </w:tcPr>
          <w:p w14:paraId="236E99DC" w14:textId="77777777" w:rsidR="00001C5C" w:rsidRPr="003726FE" w:rsidRDefault="00001C5C" w:rsidP="00001C5C">
            <w:pPr>
              <w:rPr>
                <w:rFonts w:cs="Times New Roman"/>
                <w:color w:val="000000"/>
                <w:sz w:val="22"/>
              </w:rPr>
            </w:pPr>
            <w:r w:rsidRPr="003726FE">
              <w:rPr>
                <w:rFonts w:cs="Times New Roman"/>
                <w:color w:val="000000"/>
                <w:sz w:val="22"/>
              </w:rPr>
              <w:t>“I think the student does get a lot better feedback out of it, that’s my view.” SRLF Exp - 1</w:t>
            </w:r>
          </w:p>
          <w:p w14:paraId="0414F76C" w14:textId="77777777" w:rsidR="00001C5C" w:rsidRPr="003726FE" w:rsidRDefault="00001C5C" w:rsidP="00001C5C">
            <w:pPr>
              <w:rPr>
                <w:rFonts w:cs="Times New Roman"/>
                <w:color w:val="000000"/>
                <w:sz w:val="22"/>
              </w:rPr>
            </w:pPr>
          </w:p>
        </w:tc>
        <w:tc>
          <w:tcPr>
            <w:tcW w:w="1559" w:type="dxa"/>
            <w:tcBorders>
              <w:top w:val="single" w:sz="4" w:space="0" w:color="auto"/>
              <w:left w:val="nil"/>
              <w:bottom w:val="single" w:sz="4" w:space="0" w:color="auto"/>
              <w:right w:val="single" w:sz="4" w:space="0" w:color="auto"/>
            </w:tcBorders>
            <w:shd w:val="clear" w:color="auto" w:fill="auto"/>
            <w:hideMark/>
          </w:tcPr>
          <w:p w14:paraId="0B9B7177" w14:textId="77777777" w:rsidR="00001C5C" w:rsidRPr="003726FE" w:rsidRDefault="00001C5C" w:rsidP="00001C5C">
            <w:pPr>
              <w:rPr>
                <w:rFonts w:cs="Times New Roman"/>
                <w:color w:val="000000"/>
                <w:sz w:val="22"/>
              </w:rPr>
            </w:pPr>
            <w:r w:rsidRPr="003726FE">
              <w:rPr>
                <w:rFonts w:cs="Times New Roman"/>
                <w:color w:val="000000"/>
                <w:sz w:val="22"/>
              </w:rPr>
              <w:t>“The sheet was useful in keeping me on track for these specific things and using it for an overall model” SRLF Nov - 1</w:t>
            </w:r>
          </w:p>
          <w:p w14:paraId="33649C4A" w14:textId="77777777" w:rsidR="00001C5C" w:rsidRPr="003726FE" w:rsidRDefault="00001C5C" w:rsidP="00001C5C">
            <w:pPr>
              <w:rPr>
                <w:rFonts w:cs="Times New Roman"/>
                <w:color w:val="000000"/>
                <w:sz w:val="22"/>
              </w:rPr>
            </w:pPr>
          </w:p>
        </w:tc>
        <w:tc>
          <w:tcPr>
            <w:tcW w:w="1701" w:type="dxa"/>
            <w:tcBorders>
              <w:top w:val="single" w:sz="4" w:space="0" w:color="auto"/>
              <w:left w:val="nil"/>
              <w:bottom w:val="single" w:sz="4" w:space="0" w:color="auto"/>
              <w:right w:val="single" w:sz="4" w:space="0" w:color="auto"/>
            </w:tcBorders>
            <w:shd w:val="clear" w:color="auto" w:fill="auto"/>
            <w:hideMark/>
          </w:tcPr>
          <w:p w14:paraId="6F7AB3E0" w14:textId="77777777" w:rsidR="00001C5C" w:rsidRPr="003726FE" w:rsidRDefault="00001C5C" w:rsidP="00001C5C">
            <w:pPr>
              <w:rPr>
                <w:rFonts w:cs="Times New Roman"/>
                <w:bCs/>
                <w:color w:val="000000"/>
                <w:sz w:val="22"/>
              </w:rPr>
            </w:pPr>
            <w:r w:rsidRPr="003726FE">
              <w:rPr>
                <w:rFonts w:cs="Times New Roman"/>
                <w:bCs/>
                <w:color w:val="000000"/>
                <w:sz w:val="22"/>
              </w:rPr>
              <w:t>“It helps me take into account all the other factors that the students might struggle with” SRLF Exp - 1</w:t>
            </w:r>
          </w:p>
          <w:p w14:paraId="35CC833F" w14:textId="77777777" w:rsidR="00001C5C" w:rsidRPr="003726FE" w:rsidRDefault="00001C5C" w:rsidP="00001C5C">
            <w:pPr>
              <w:rPr>
                <w:rFonts w:cs="Times New Roman"/>
                <w:color w:val="000000"/>
                <w:sz w:val="22"/>
              </w:rPr>
            </w:pPr>
          </w:p>
        </w:tc>
        <w:tc>
          <w:tcPr>
            <w:tcW w:w="2268" w:type="dxa"/>
            <w:tcBorders>
              <w:top w:val="single" w:sz="4" w:space="0" w:color="auto"/>
              <w:left w:val="nil"/>
              <w:bottom w:val="single" w:sz="4" w:space="0" w:color="auto"/>
              <w:right w:val="single" w:sz="4" w:space="0" w:color="auto"/>
            </w:tcBorders>
            <w:shd w:val="clear" w:color="auto" w:fill="auto"/>
            <w:hideMark/>
          </w:tcPr>
          <w:p w14:paraId="01D3E2DB" w14:textId="752AA40C" w:rsidR="00001C5C" w:rsidRPr="003726FE" w:rsidRDefault="0073282D" w:rsidP="00001C5C">
            <w:pPr>
              <w:rPr>
                <w:rFonts w:cs="Times New Roman"/>
                <w:bCs/>
                <w:color w:val="000000"/>
                <w:sz w:val="22"/>
              </w:rPr>
            </w:pPr>
            <w:r w:rsidRPr="003726FE">
              <w:rPr>
                <w:rFonts w:cs="Times New Roman"/>
                <w:bCs/>
                <w:color w:val="000000"/>
                <w:sz w:val="22"/>
              </w:rPr>
              <w:t>“</w:t>
            </w:r>
            <w:r w:rsidR="00001C5C" w:rsidRPr="003726FE">
              <w:rPr>
                <w:rFonts w:cs="Times New Roman"/>
                <w:bCs/>
                <w:color w:val="000000"/>
                <w:sz w:val="22"/>
              </w:rPr>
              <w:t>It’s an awareness, it’s made me aware of a new technique, not a new technique to give feedback but a new way to apply my feedback skills to potentially maximise the result that you get from the students</w:t>
            </w:r>
            <w:r w:rsidRPr="003726FE">
              <w:rPr>
                <w:rFonts w:cs="Times New Roman"/>
                <w:bCs/>
                <w:color w:val="000000"/>
                <w:sz w:val="22"/>
              </w:rPr>
              <w:t>”</w:t>
            </w:r>
            <w:r w:rsidR="00001C5C" w:rsidRPr="003726FE">
              <w:rPr>
                <w:rFonts w:cs="Times New Roman"/>
                <w:bCs/>
                <w:color w:val="000000"/>
                <w:sz w:val="22"/>
              </w:rPr>
              <w:t xml:space="preserve"> SRLF Nov - 2</w:t>
            </w:r>
          </w:p>
        </w:tc>
        <w:tc>
          <w:tcPr>
            <w:tcW w:w="1985" w:type="dxa"/>
            <w:tcBorders>
              <w:top w:val="single" w:sz="4" w:space="0" w:color="auto"/>
              <w:left w:val="nil"/>
              <w:bottom w:val="single" w:sz="4" w:space="0" w:color="auto"/>
              <w:right w:val="single" w:sz="4" w:space="0" w:color="auto"/>
            </w:tcBorders>
            <w:shd w:val="clear" w:color="auto" w:fill="auto"/>
            <w:hideMark/>
          </w:tcPr>
          <w:p w14:paraId="38B28C4E" w14:textId="11C67E36" w:rsidR="00001C5C" w:rsidRPr="003726FE" w:rsidRDefault="0073282D" w:rsidP="00001C5C">
            <w:pPr>
              <w:rPr>
                <w:rFonts w:cs="Times New Roman"/>
                <w:color w:val="000000"/>
                <w:sz w:val="22"/>
              </w:rPr>
            </w:pPr>
            <w:r w:rsidRPr="003726FE">
              <w:rPr>
                <w:rFonts w:cs="Times New Roman"/>
                <w:color w:val="000000"/>
                <w:sz w:val="22"/>
              </w:rPr>
              <w:t>“</w:t>
            </w:r>
            <w:r w:rsidR="00001C5C" w:rsidRPr="003726FE">
              <w:rPr>
                <w:rFonts w:cs="Times New Roman"/>
                <w:color w:val="000000"/>
                <w:sz w:val="22"/>
              </w:rPr>
              <w:t>It’s made me think about myself a bit. It’s had an overall positive impact because you realise what people have been doing actually has some theory behind it and that makes me a bit more cognisant about how I do it.</w:t>
            </w:r>
            <w:r w:rsidRPr="003726FE">
              <w:rPr>
                <w:rFonts w:cs="Times New Roman"/>
                <w:color w:val="000000"/>
                <w:sz w:val="22"/>
              </w:rPr>
              <w:t>”</w:t>
            </w:r>
            <w:r w:rsidR="00001C5C" w:rsidRPr="003726FE">
              <w:rPr>
                <w:rFonts w:cs="Times New Roman"/>
                <w:color w:val="000000"/>
                <w:sz w:val="22"/>
              </w:rPr>
              <w:t xml:space="preserve"> BPF Exp - 7</w:t>
            </w:r>
          </w:p>
        </w:tc>
        <w:tc>
          <w:tcPr>
            <w:tcW w:w="1701" w:type="dxa"/>
            <w:tcBorders>
              <w:top w:val="single" w:sz="4" w:space="0" w:color="auto"/>
              <w:left w:val="nil"/>
              <w:bottom w:val="single" w:sz="4" w:space="0" w:color="auto"/>
              <w:right w:val="single" w:sz="4" w:space="0" w:color="auto"/>
            </w:tcBorders>
            <w:shd w:val="clear" w:color="auto" w:fill="auto"/>
            <w:hideMark/>
          </w:tcPr>
          <w:p w14:paraId="34BD4E47" w14:textId="54A29796" w:rsidR="00001C5C" w:rsidRPr="003726FE" w:rsidRDefault="00001C5C" w:rsidP="00001C5C">
            <w:pPr>
              <w:rPr>
                <w:rFonts w:cs="Times New Roman"/>
                <w:color w:val="000000"/>
                <w:sz w:val="22"/>
              </w:rPr>
            </w:pPr>
            <w:r w:rsidRPr="003726FE">
              <w:rPr>
                <w:rFonts w:cs="Times New Roman"/>
                <w:color w:val="000000"/>
                <w:sz w:val="22"/>
              </w:rPr>
              <w:t>“The sheet was useful in keeping me on track for these specific things and using it for an overall model” SRLF Nov - 1</w:t>
            </w:r>
          </w:p>
        </w:tc>
      </w:tr>
    </w:tbl>
    <w:p w14:paraId="2A5873A9" w14:textId="77777777" w:rsidR="0073282D" w:rsidRPr="003726FE" w:rsidRDefault="0073282D" w:rsidP="00001C5C">
      <w:pPr>
        <w:rPr>
          <w:b/>
        </w:rPr>
      </w:pPr>
    </w:p>
    <w:p w14:paraId="7A2CA849" w14:textId="77777777" w:rsidR="0073282D" w:rsidRPr="003726FE" w:rsidRDefault="0073282D">
      <w:pPr>
        <w:rPr>
          <w:b/>
        </w:rPr>
      </w:pPr>
      <w:r w:rsidRPr="003726FE">
        <w:rPr>
          <w:b/>
        </w:rPr>
        <w:br w:type="page"/>
      </w:r>
    </w:p>
    <w:p w14:paraId="042BC93E" w14:textId="77777777" w:rsidR="0073282D" w:rsidRPr="003726FE" w:rsidRDefault="0073282D" w:rsidP="00001C5C">
      <w:pPr>
        <w:rPr>
          <w:b/>
        </w:rPr>
      </w:pPr>
      <w:r w:rsidRPr="003726FE">
        <w:rPr>
          <w:b/>
        </w:rPr>
        <w:lastRenderedPageBreak/>
        <w:t>Perceived accessibility and acceptability – process evaluation.</w:t>
      </w:r>
    </w:p>
    <w:tbl>
      <w:tblPr>
        <w:tblW w:w="13320" w:type="dxa"/>
        <w:tblInd w:w="-5" w:type="dxa"/>
        <w:tblLook w:val="04A0" w:firstRow="1" w:lastRow="0" w:firstColumn="1" w:lastColumn="0" w:noHBand="0" w:noVBand="1"/>
      </w:tblPr>
      <w:tblGrid>
        <w:gridCol w:w="2547"/>
        <w:gridCol w:w="2551"/>
        <w:gridCol w:w="3969"/>
        <w:gridCol w:w="4253"/>
      </w:tblGrid>
      <w:tr w:rsidR="0073282D" w:rsidRPr="003726FE" w14:paraId="05D3D291" w14:textId="77777777" w:rsidTr="00384091">
        <w:trPr>
          <w:trHeight w:val="2641"/>
        </w:trPr>
        <w:tc>
          <w:tcPr>
            <w:tcW w:w="2547" w:type="dxa"/>
            <w:tcBorders>
              <w:top w:val="single" w:sz="4" w:space="0" w:color="auto"/>
              <w:left w:val="single" w:sz="8" w:space="0" w:color="auto"/>
              <w:bottom w:val="single" w:sz="4" w:space="0" w:color="auto"/>
              <w:right w:val="single" w:sz="8" w:space="0" w:color="auto"/>
            </w:tcBorders>
            <w:shd w:val="clear" w:color="auto" w:fill="auto"/>
            <w:hideMark/>
          </w:tcPr>
          <w:p w14:paraId="491B8C73" w14:textId="28B5FED6" w:rsidR="0073282D" w:rsidRPr="003726FE" w:rsidRDefault="0073282D" w:rsidP="0073282D">
            <w:pPr>
              <w:spacing w:after="0" w:line="240" w:lineRule="auto"/>
              <w:rPr>
                <w:rFonts w:eastAsia="Times New Roman" w:cs="Times New Roman"/>
                <w:bCs/>
                <w:color w:val="000000"/>
                <w:sz w:val="22"/>
                <w:lang w:eastAsia="en-GB"/>
              </w:rPr>
            </w:pPr>
            <w:r w:rsidRPr="003726FE">
              <w:rPr>
                <w:rFonts w:cs="Times New Roman"/>
                <w:color w:val="000000"/>
                <w:sz w:val="22"/>
              </w:rPr>
              <w:t>“The first bit is where you’ve got to think about integrating it, once I got into the flow at the second or third session it was natural and easy.” SRLF Exp - 1</w:t>
            </w:r>
          </w:p>
        </w:tc>
        <w:tc>
          <w:tcPr>
            <w:tcW w:w="2551" w:type="dxa"/>
            <w:tcBorders>
              <w:top w:val="single" w:sz="4" w:space="0" w:color="auto"/>
              <w:left w:val="nil"/>
              <w:bottom w:val="single" w:sz="4" w:space="0" w:color="auto"/>
              <w:right w:val="single" w:sz="4" w:space="0" w:color="auto"/>
            </w:tcBorders>
            <w:shd w:val="clear" w:color="auto" w:fill="auto"/>
          </w:tcPr>
          <w:p w14:paraId="40E7E9D4" w14:textId="31529E35" w:rsidR="0073282D" w:rsidRPr="003726FE" w:rsidRDefault="0073282D" w:rsidP="0073282D">
            <w:pPr>
              <w:rPr>
                <w:rFonts w:cs="Times New Roman"/>
                <w:color w:val="000000"/>
                <w:sz w:val="22"/>
              </w:rPr>
            </w:pPr>
            <w:r w:rsidRPr="003726FE">
              <w:rPr>
                <w:rFonts w:cs="Times New Roman"/>
                <w:color w:val="000000"/>
                <w:sz w:val="22"/>
              </w:rPr>
              <w:t>“As the sessions went on and I used it more I found it more accessible than I thought it would be if you know what I mean.” SRLF Nov - 3</w:t>
            </w:r>
          </w:p>
        </w:tc>
        <w:tc>
          <w:tcPr>
            <w:tcW w:w="3969" w:type="dxa"/>
            <w:tcBorders>
              <w:top w:val="single" w:sz="4" w:space="0" w:color="auto"/>
              <w:left w:val="nil"/>
              <w:bottom w:val="single" w:sz="4" w:space="0" w:color="auto"/>
              <w:right w:val="single" w:sz="4" w:space="0" w:color="auto"/>
            </w:tcBorders>
            <w:shd w:val="clear" w:color="auto" w:fill="auto"/>
          </w:tcPr>
          <w:p w14:paraId="1C023087" w14:textId="239CE754" w:rsidR="0073282D" w:rsidRPr="003726FE" w:rsidRDefault="0073282D" w:rsidP="0073282D">
            <w:pPr>
              <w:rPr>
                <w:rFonts w:cs="Times New Roman"/>
                <w:color w:val="000000"/>
                <w:sz w:val="22"/>
              </w:rPr>
            </w:pPr>
            <w:r w:rsidRPr="003726FE">
              <w:rPr>
                <w:rFonts w:cs="Times New Roman"/>
                <w:color w:val="000000"/>
                <w:sz w:val="22"/>
              </w:rPr>
              <w:t>“I’m not sure it’s the right tool to use in this setting. I think in a one-to-one it could be a really useful tool but I think in front of groups, just using the same approach that they’re all sitting watching is the weakness I think for me. But, in the situation we have here actually there are some benefits to doing it.” SRLF Exp - 2</w:t>
            </w:r>
          </w:p>
        </w:tc>
        <w:tc>
          <w:tcPr>
            <w:tcW w:w="4253" w:type="dxa"/>
            <w:tcBorders>
              <w:top w:val="single" w:sz="4" w:space="0" w:color="auto"/>
              <w:left w:val="nil"/>
              <w:bottom w:val="single" w:sz="4" w:space="0" w:color="auto"/>
              <w:right w:val="single" w:sz="4" w:space="0" w:color="auto"/>
            </w:tcBorders>
            <w:shd w:val="clear" w:color="auto" w:fill="auto"/>
          </w:tcPr>
          <w:p w14:paraId="1B0C5B99" w14:textId="52E6D902" w:rsidR="0073282D" w:rsidRPr="003726FE" w:rsidRDefault="0073282D" w:rsidP="0073282D">
            <w:pPr>
              <w:rPr>
                <w:rFonts w:cs="Times New Roman"/>
                <w:color w:val="000000"/>
                <w:sz w:val="22"/>
              </w:rPr>
            </w:pPr>
            <w:r w:rsidRPr="003726FE">
              <w:rPr>
                <w:rFonts w:cs="Times New Roman"/>
                <w:color w:val="000000"/>
                <w:sz w:val="22"/>
              </w:rPr>
              <w:t>“It’s a tricky question because in a way it’s really early on but it’s the time where they get all their skills teaching so I think in those terms it’s appropriate.” SRLF Exp - 1</w:t>
            </w:r>
          </w:p>
        </w:tc>
      </w:tr>
      <w:tr w:rsidR="0073282D" w:rsidRPr="003726FE" w14:paraId="21AE2BB2" w14:textId="77777777" w:rsidTr="00384091">
        <w:trPr>
          <w:trHeight w:val="3245"/>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2A41C44B" w14:textId="68FE328E" w:rsidR="0073282D" w:rsidRPr="003726FE" w:rsidRDefault="0073282D" w:rsidP="0073282D">
            <w:pPr>
              <w:spacing w:after="0" w:line="240" w:lineRule="auto"/>
              <w:rPr>
                <w:rFonts w:eastAsia="Times New Roman" w:cs="Times New Roman"/>
                <w:bCs/>
                <w:color w:val="000000"/>
                <w:sz w:val="22"/>
                <w:lang w:eastAsia="en-GB"/>
              </w:rPr>
            </w:pPr>
            <w:r w:rsidRPr="003726FE">
              <w:rPr>
                <w:rFonts w:cs="Times New Roman"/>
                <w:color w:val="000000"/>
                <w:sz w:val="22"/>
              </w:rPr>
              <w:t>“I think I internalised it a bit and remembered it by starting with the ‘during the task’ bit, it felt a lot more like teaching rather than doing research when I did that. It becomes part of your normal teaching.” SRLF Exp - 1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142CE4" w14:textId="498C25B4" w:rsidR="0073282D" w:rsidRPr="003726FE" w:rsidRDefault="0073282D" w:rsidP="0073282D">
            <w:pPr>
              <w:rPr>
                <w:rFonts w:cs="Times New Roman"/>
                <w:color w:val="000000"/>
                <w:sz w:val="22"/>
              </w:rPr>
            </w:pPr>
            <w:r w:rsidRPr="003726FE">
              <w:rPr>
                <w:rFonts w:cs="Times New Roman"/>
                <w:bCs/>
                <w:color w:val="000000"/>
                <w:sz w:val="22"/>
              </w:rPr>
              <w:t>“I think it’s very useful way of doing it here because even though it’s a very artificial environment to do it, it is in a way representative quite a lot of skills they pick up later. “ SRLF Exp - 1</w:t>
            </w:r>
          </w:p>
        </w:tc>
        <w:tc>
          <w:tcPr>
            <w:tcW w:w="3969" w:type="dxa"/>
            <w:tcBorders>
              <w:top w:val="single" w:sz="4" w:space="0" w:color="auto"/>
              <w:left w:val="nil"/>
              <w:bottom w:val="single" w:sz="4" w:space="0" w:color="auto"/>
              <w:right w:val="single" w:sz="4" w:space="0" w:color="auto"/>
            </w:tcBorders>
            <w:shd w:val="clear" w:color="auto" w:fill="auto"/>
          </w:tcPr>
          <w:p w14:paraId="790AF0C7" w14:textId="55634C38" w:rsidR="0073282D" w:rsidRPr="003726FE" w:rsidRDefault="0073282D" w:rsidP="0073282D">
            <w:pPr>
              <w:rPr>
                <w:rFonts w:cs="Times New Roman"/>
                <w:color w:val="000000"/>
                <w:sz w:val="22"/>
              </w:rPr>
            </w:pPr>
            <w:r w:rsidRPr="003726FE">
              <w:rPr>
                <w:rFonts w:cs="Times New Roman"/>
                <w:bCs/>
                <w:color w:val="000000"/>
                <w:sz w:val="22"/>
              </w:rPr>
              <w:t>“In phase 2 they haven’t had any clinical experience whatsoever, they sometimes struggle to see that what we do here is not just about just getting the needle in its about basic to everything compared to everything you learn on the wards. It’s useful, very useful concept for clinical skills, I think the more you do it the more they probably realise that it helps. It’s about reinforcement.” SRLF Exp - 1</w:t>
            </w:r>
          </w:p>
        </w:tc>
        <w:tc>
          <w:tcPr>
            <w:tcW w:w="4253" w:type="dxa"/>
            <w:tcBorders>
              <w:top w:val="single" w:sz="4" w:space="0" w:color="auto"/>
              <w:left w:val="nil"/>
              <w:bottom w:val="single" w:sz="4" w:space="0" w:color="auto"/>
              <w:right w:val="single" w:sz="4" w:space="0" w:color="auto"/>
            </w:tcBorders>
            <w:shd w:val="clear" w:color="auto" w:fill="auto"/>
          </w:tcPr>
          <w:p w14:paraId="33C40D36" w14:textId="7D1FF711" w:rsidR="0073282D" w:rsidRPr="003726FE" w:rsidRDefault="0073282D" w:rsidP="0073282D">
            <w:pPr>
              <w:rPr>
                <w:rFonts w:cs="Times New Roman"/>
                <w:color w:val="000000"/>
                <w:sz w:val="22"/>
              </w:rPr>
            </w:pPr>
            <w:r w:rsidRPr="003726FE">
              <w:rPr>
                <w:rFonts w:cs="Times New Roman"/>
                <w:color w:val="000000"/>
                <w:sz w:val="22"/>
              </w:rPr>
              <w:t>“It will work for some, what it risks doing is accelerating the progress who are adult learners whilst leaving those who are struggling to be adult learners” SRLF Nov - 5</w:t>
            </w:r>
          </w:p>
        </w:tc>
      </w:tr>
    </w:tbl>
    <w:p w14:paraId="7569B538" w14:textId="77777777" w:rsidR="0073282D" w:rsidRPr="003726FE" w:rsidRDefault="0073282D" w:rsidP="00001C5C">
      <w:pPr>
        <w:rPr>
          <w:b/>
        </w:rPr>
      </w:pPr>
    </w:p>
    <w:p w14:paraId="6561F1F7" w14:textId="77777777" w:rsidR="0073282D" w:rsidRPr="003726FE" w:rsidRDefault="0073282D">
      <w:pPr>
        <w:rPr>
          <w:b/>
        </w:rPr>
      </w:pPr>
      <w:r w:rsidRPr="003726FE">
        <w:rPr>
          <w:b/>
        </w:rPr>
        <w:br w:type="page"/>
      </w:r>
    </w:p>
    <w:tbl>
      <w:tblPr>
        <w:tblW w:w="13320" w:type="dxa"/>
        <w:tblInd w:w="-5" w:type="dxa"/>
        <w:tblLook w:val="04A0" w:firstRow="1" w:lastRow="0" w:firstColumn="1" w:lastColumn="0" w:noHBand="0" w:noVBand="1"/>
      </w:tblPr>
      <w:tblGrid>
        <w:gridCol w:w="3397"/>
        <w:gridCol w:w="3261"/>
        <w:gridCol w:w="3827"/>
        <w:gridCol w:w="2835"/>
      </w:tblGrid>
      <w:tr w:rsidR="0073282D" w:rsidRPr="003726FE" w14:paraId="6AEF33BF" w14:textId="77777777" w:rsidTr="00384091">
        <w:trPr>
          <w:trHeight w:val="2641"/>
        </w:trPr>
        <w:tc>
          <w:tcPr>
            <w:tcW w:w="3397" w:type="dxa"/>
            <w:tcBorders>
              <w:top w:val="single" w:sz="4" w:space="0" w:color="auto"/>
              <w:left w:val="single" w:sz="8" w:space="0" w:color="auto"/>
              <w:bottom w:val="single" w:sz="4" w:space="0" w:color="auto"/>
              <w:right w:val="single" w:sz="8" w:space="0" w:color="auto"/>
            </w:tcBorders>
            <w:shd w:val="clear" w:color="auto" w:fill="auto"/>
          </w:tcPr>
          <w:p w14:paraId="3EF3081A" w14:textId="123027E6" w:rsidR="0073282D" w:rsidRPr="003726FE" w:rsidRDefault="0073282D" w:rsidP="0073282D">
            <w:pPr>
              <w:spacing w:after="0" w:line="240" w:lineRule="auto"/>
              <w:rPr>
                <w:rFonts w:eastAsia="Times New Roman" w:cs="Times New Roman"/>
                <w:bCs/>
                <w:color w:val="000000"/>
                <w:sz w:val="22"/>
                <w:lang w:eastAsia="en-GB"/>
              </w:rPr>
            </w:pPr>
            <w:r w:rsidRPr="003726FE">
              <w:rPr>
                <w:rFonts w:cs="Times New Roman"/>
                <w:color w:val="000000"/>
                <w:sz w:val="22"/>
              </w:rPr>
              <w:lastRenderedPageBreak/>
              <w:t>“I think if they were first years they would’ve been much more accepting of this is the way it’s done. They don’t know any different, that perhaps would’ve been easier.” SRLF Exp - 2</w:t>
            </w:r>
          </w:p>
        </w:tc>
        <w:tc>
          <w:tcPr>
            <w:tcW w:w="3261" w:type="dxa"/>
            <w:tcBorders>
              <w:top w:val="single" w:sz="4" w:space="0" w:color="auto"/>
              <w:left w:val="nil"/>
              <w:bottom w:val="single" w:sz="4" w:space="0" w:color="auto"/>
              <w:right w:val="single" w:sz="4" w:space="0" w:color="auto"/>
            </w:tcBorders>
            <w:shd w:val="clear" w:color="auto" w:fill="auto"/>
          </w:tcPr>
          <w:p w14:paraId="0C8A9FCC" w14:textId="23A00DD7" w:rsidR="0073282D" w:rsidRPr="003726FE" w:rsidRDefault="0073282D" w:rsidP="0073282D">
            <w:pPr>
              <w:rPr>
                <w:rFonts w:cs="Times New Roman"/>
                <w:color w:val="000000"/>
                <w:sz w:val="22"/>
              </w:rPr>
            </w:pPr>
            <w:r w:rsidRPr="003726FE">
              <w:rPr>
                <w:rFonts w:cs="Times New Roman"/>
                <w:color w:val="000000"/>
                <w:sz w:val="22"/>
              </w:rPr>
              <w:t>“In older year groups as it is would be useful because they are equipped to analyse their own performance, this in younger year groups where they’ve just basically walked out of school isn’t as useful because more prompting has to be done.” SRLF Nov - 2</w:t>
            </w:r>
          </w:p>
        </w:tc>
        <w:tc>
          <w:tcPr>
            <w:tcW w:w="3827" w:type="dxa"/>
            <w:tcBorders>
              <w:top w:val="single" w:sz="4" w:space="0" w:color="auto"/>
              <w:left w:val="nil"/>
              <w:bottom w:val="single" w:sz="4" w:space="0" w:color="auto"/>
              <w:right w:val="single" w:sz="4" w:space="0" w:color="auto"/>
            </w:tcBorders>
            <w:shd w:val="clear" w:color="auto" w:fill="auto"/>
          </w:tcPr>
          <w:p w14:paraId="3D20FA20" w14:textId="448281FE" w:rsidR="0073282D" w:rsidRPr="003726FE" w:rsidRDefault="0073282D" w:rsidP="0073282D">
            <w:pPr>
              <w:rPr>
                <w:rFonts w:cs="Times New Roman"/>
                <w:color w:val="000000"/>
                <w:sz w:val="22"/>
              </w:rPr>
            </w:pPr>
            <w:r w:rsidRPr="003726FE">
              <w:rPr>
                <w:rFonts w:cs="Times New Roman"/>
                <w:color w:val="000000"/>
                <w:sz w:val="22"/>
              </w:rPr>
              <w:t>“I found the forms got in the way a little bit and if you’re not careful some of the questions can be a little bit, personally, forced and I tended to modify them would be my recollection. I’m happy to have it in my mind rather than a piece of paper” SRLF Nov - 5</w:t>
            </w:r>
          </w:p>
        </w:tc>
        <w:tc>
          <w:tcPr>
            <w:tcW w:w="2835" w:type="dxa"/>
            <w:tcBorders>
              <w:top w:val="single" w:sz="4" w:space="0" w:color="auto"/>
              <w:left w:val="nil"/>
              <w:bottom w:val="single" w:sz="4" w:space="0" w:color="auto"/>
              <w:right w:val="single" w:sz="4" w:space="0" w:color="auto"/>
            </w:tcBorders>
            <w:shd w:val="clear" w:color="auto" w:fill="auto"/>
          </w:tcPr>
          <w:p w14:paraId="05DD22D6" w14:textId="77777777" w:rsidR="0073282D" w:rsidRPr="003726FE" w:rsidRDefault="0073282D" w:rsidP="0073282D">
            <w:pPr>
              <w:rPr>
                <w:rFonts w:cs="Times New Roman"/>
                <w:color w:val="000000"/>
                <w:sz w:val="22"/>
              </w:rPr>
            </w:pPr>
            <w:r w:rsidRPr="003726FE">
              <w:rPr>
                <w:rFonts w:cs="Times New Roman"/>
                <w:color w:val="000000"/>
                <w:sz w:val="22"/>
              </w:rPr>
              <w:t>“easier over time, mainly because I found ways of getting the answers out of them with the way I was saying things rather than using the rigid flow diagram to ask the questions. I think it’s all about the wording.” SRLF Nov - 2</w:t>
            </w:r>
          </w:p>
          <w:p w14:paraId="35286D20" w14:textId="1119A35B" w:rsidR="0073282D" w:rsidRPr="003726FE" w:rsidRDefault="0073282D" w:rsidP="0073282D">
            <w:pPr>
              <w:rPr>
                <w:rFonts w:cs="Times New Roman"/>
                <w:color w:val="000000"/>
                <w:sz w:val="22"/>
              </w:rPr>
            </w:pPr>
          </w:p>
        </w:tc>
      </w:tr>
      <w:tr w:rsidR="0073282D" w:rsidRPr="003726FE" w14:paraId="3B0D87A5" w14:textId="77777777" w:rsidTr="00384091">
        <w:trPr>
          <w:trHeight w:val="3245"/>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75A11F65" w14:textId="5C776C22" w:rsidR="0073282D" w:rsidRPr="003726FE" w:rsidRDefault="0073282D" w:rsidP="0073282D">
            <w:pPr>
              <w:spacing w:after="0" w:line="240" w:lineRule="auto"/>
              <w:rPr>
                <w:rFonts w:eastAsia="Times New Roman" w:cs="Times New Roman"/>
                <w:bCs/>
                <w:color w:val="000000"/>
                <w:sz w:val="22"/>
                <w:lang w:eastAsia="en-GB"/>
              </w:rPr>
            </w:pPr>
            <w:r w:rsidRPr="003726FE">
              <w:rPr>
                <w:rFonts w:cs="Times New Roman"/>
                <w:color w:val="000000"/>
                <w:sz w:val="22"/>
              </w:rPr>
              <w:t>“if you introduced it to the lower years, the first time they do any clinical skills and it was a continuous thing, you’d get a generation of medics who’d be used to self-assessment, I think then you’d have a breed that weren’t thrown by it and they’d find it really useful but at the moment if you dropped it into anyone I think they find it a bit off-putting.” SRLF Nov - 3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3E4D05" w14:textId="4E3FC733" w:rsidR="0073282D" w:rsidRPr="003726FE" w:rsidRDefault="0073282D" w:rsidP="0073282D">
            <w:pPr>
              <w:rPr>
                <w:rFonts w:cs="Times New Roman"/>
                <w:color w:val="000000"/>
                <w:sz w:val="22"/>
              </w:rPr>
            </w:pPr>
            <w:r w:rsidRPr="003726FE">
              <w:rPr>
                <w:rFonts w:cs="Times New Roman"/>
                <w:color w:val="000000"/>
                <w:sz w:val="22"/>
              </w:rPr>
              <w:t>“I think they may have thought it was like a test because of the sheets. If you removed that I think the students would find it easier, definitely.” SRLF Nov - 3</w:t>
            </w:r>
          </w:p>
        </w:tc>
        <w:tc>
          <w:tcPr>
            <w:tcW w:w="6662" w:type="dxa"/>
            <w:gridSpan w:val="2"/>
            <w:tcBorders>
              <w:top w:val="single" w:sz="4" w:space="0" w:color="auto"/>
              <w:left w:val="nil"/>
              <w:bottom w:val="single" w:sz="4" w:space="0" w:color="auto"/>
              <w:right w:val="single" w:sz="4" w:space="0" w:color="auto"/>
            </w:tcBorders>
            <w:shd w:val="clear" w:color="auto" w:fill="auto"/>
          </w:tcPr>
          <w:p w14:paraId="1C992AD9" w14:textId="74CA6529" w:rsidR="0073282D" w:rsidRPr="003726FE" w:rsidRDefault="0073282D" w:rsidP="0073282D">
            <w:pPr>
              <w:rPr>
                <w:rFonts w:cs="Times New Roman"/>
                <w:color w:val="000000"/>
                <w:sz w:val="22"/>
              </w:rPr>
            </w:pPr>
            <w:r w:rsidRPr="003726FE">
              <w:rPr>
                <w:rFonts w:cs="Times New Roman"/>
                <w:bCs/>
                <w:color w:val="000000"/>
                <w:sz w:val="22"/>
              </w:rPr>
              <w:t>“The first time is always going to be quite rigid and you don’t really know how it’s going to work or how it’s going to go, how it will work, how it will affect the group dynamic. Usually when you don’t get a response from things, I tried to change up the wording to see how that worked cause I realised that no one knew the technique prior to the task, I tried to be consistent but I did change the wording to make it may be a bit more colloquial so I think I did start by saying whatever was on the sheet, most of it, and then changed them to something that if I’d have been asked, I would’ve felt more comfortable answering. I think it helped, they also got used to the process after the first couple went up.” SRLF Nov - 2</w:t>
            </w:r>
          </w:p>
        </w:tc>
      </w:tr>
    </w:tbl>
    <w:p w14:paraId="68A74B47" w14:textId="048F6934" w:rsidR="006265D2" w:rsidRPr="003726FE" w:rsidRDefault="006265D2" w:rsidP="00FC6F55">
      <w:pPr>
        <w:rPr>
          <w:rFonts w:eastAsia="Lucida Sans Unicode" w:cs="Mangal"/>
          <w:b/>
          <w:kern w:val="1"/>
          <w:szCs w:val="24"/>
          <w:lang w:eastAsia="hi-IN" w:bidi="hi-IN"/>
        </w:rPr>
        <w:sectPr w:rsidR="006265D2" w:rsidRPr="003726FE" w:rsidSect="007C73DC">
          <w:type w:val="continuous"/>
          <w:pgSz w:w="16838" w:h="11906" w:orient="landscape"/>
          <w:pgMar w:top="1134" w:right="1134" w:bottom="1134" w:left="2268" w:header="708" w:footer="708" w:gutter="0"/>
          <w:cols w:space="708"/>
          <w:docGrid w:linePitch="360"/>
        </w:sectPr>
      </w:pPr>
    </w:p>
    <w:tbl>
      <w:tblPr>
        <w:tblStyle w:val="TableGrid0"/>
        <w:tblpPr w:leftFromText="180" w:rightFromText="180" w:vertAnchor="page" w:horzAnchor="margin" w:tblpY="1591"/>
        <w:tblW w:w="13467" w:type="dxa"/>
        <w:tblInd w:w="0" w:type="dxa"/>
        <w:tblCellMar>
          <w:top w:w="44" w:type="dxa"/>
          <w:left w:w="101" w:type="dxa"/>
          <w:right w:w="70" w:type="dxa"/>
        </w:tblCellMar>
        <w:tblLook w:val="04A0" w:firstRow="1" w:lastRow="0" w:firstColumn="1" w:lastColumn="0" w:noHBand="0" w:noVBand="1"/>
      </w:tblPr>
      <w:tblGrid>
        <w:gridCol w:w="2112"/>
        <w:gridCol w:w="3133"/>
        <w:gridCol w:w="2693"/>
        <w:gridCol w:w="2694"/>
        <w:gridCol w:w="2835"/>
      </w:tblGrid>
      <w:tr w:rsidR="00D80DD9" w:rsidRPr="003726FE" w14:paraId="420B4A09" w14:textId="77777777" w:rsidTr="00D80DD9">
        <w:trPr>
          <w:trHeight w:val="276"/>
        </w:trPr>
        <w:tc>
          <w:tcPr>
            <w:tcW w:w="2112" w:type="dxa"/>
            <w:tcBorders>
              <w:top w:val="single" w:sz="4" w:space="0" w:color="FFFFFF"/>
              <w:left w:val="nil"/>
              <w:bottom w:val="nil"/>
              <w:right w:val="single" w:sz="4" w:space="0" w:color="FFFFFF"/>
            </w:tcBorders>
            <w:shd w:val="clear" w:color="auto" w:fill="ED7D31"/>
          </w:tcPr>
          <w:p w14:paraId="1AD7C9FF" w14:textId="77777777" w:rsidR="00D80DD9" w:rsidRPr="003726FE" w:rsidRDefault="00D80DD9" w:rsidP="00D80DD9">
            <w:pPr>
              <w:ind w:left="2"/>
              <w:rPr>
                <w:rFonts w:cs="Times New Roman"/>
                <w:sz w:val="20"/>
              </w:rPr>
            </w:pPr>
            <w:r w:rsidRPr="003726FE">
              <w:rPr>
                <w:rFonts w:eastAsia="Calibri" w:cs="Times New Roman"/>
                <w:b/>
                <w:color w:val="FFFFFF"/>
                <w:sz w:val="20"/>
              </w:rPr>
              <w:lastRenderedPageBreak/>
              <w:t xml:space="preserve">Initial themes </w:t>
            </w:r>
          </w:p>
        </w:tc>
        <w:tc>
          <w:tcPr>
            <w:tcW w:w="3133" w:type="dxa"/>
            <w:tcBorders>
              <w:top w:val="single" w:sz="4" w:space="0" w:color="FFFFFF"/>
              <w:left w:val="single" w:sz="4" w:space="0" w:color="FFFFFF"/>
              <w:bottom w:val="single" w:sz="4" w:space="0" w:color="FFFFFF"/>
              <w:right w:val="single" w:sz="4" w:space="0" w:color="FFFFFF"/>
            </w:tcBorders>
            <w:shd w:val="clear" w:color="auto" w:fill="ED7D31"/>
          </w:tcPr>
          <w:p w14:paraId="636D079D" w14:textId="77777777" w:rsidR="00D80DD9" w:rsidRPr="003726FE" w:rsidRDefault="00D80DD9" w:rsidP="00D80DD9">
            <w:pPr>
              <w:ind w:left="7"/>
              <w:rPr>
                <w:rFonts w:cs="Times New Roman"/>
                <w:sz w:val="20"/>
              </w:rPr>
            </w:pPr>
            <w:r w:rsidRPr="003726FE">
              <w:rPr>
                <w:rFonts w:eastAsia="Calibri" w:cs="Times New Roman"/>
                <w:b/>
                <w:color w:val="FFFFFF"/>
                <w:sz w:val="20"/>
              </w:rPr>
              <w:t xml:space="preserve">Initial categories </w:t>
            </w:r>
          </w:p>
        </w:tc>
        <w:tc>
          <w:tcPr>
            <w:tcW w:w="2693" w:type="dxa"/>
            <w:tcBorders>
              <w:top w:val="single" w:sz="4" w:space="0" w:color="FFFFFF"/>
              <w:left w:val="single" w:sz="4" w:space="0" w:color="FFFFFF"/>
              <w:bottom w:val="single" w:sz="4" w:space="0" w:color="FFFFFF"/>
              <w:right w:val="single" w:sz="4" w:space="0" w:color="FFFFFF"/>
            </w:tcBorders>
            <w:shd w:val="clear" w:color="auto" w:fill="ED7D31"/>
          </w:tcPr>
          <w:p w14:paraId="68C9F2EA" w14:textId="77777777" w:rsidR="00D80DD9" w:rsidRPr="003726FE" w:rsidRDefault="00D80DD9" w:rsidP="00D80DD9">
            <w:pPr>
              <w:ind w:left="7"/>
              <w:rPr>
                <w:rFonts w:cs="Times New Roman"/>
                <w:sz w:val="20"/>
              </w:rPr>
            </w:pPr>
            <w:r w:rsidRPr="003726FE">
              <w:rPr>
                <w:rFonts w:eastAsia="Calibri" w:cs="Times New Roman"/>
                <w:b/>
                <w:color w:val="FFFFFF"/>
                <w:sz w:val="20"/>
              </w:rPr>
              <w:t xml:space="preserve">Refined categories </w:t>
            </w:r>
          </w:p>
        </w:tc>
        <w:tc>
          <w:tcPr>
            <w:tcW w:w="2694" w:type="dxa"/>
            <w:tcBorders>
              <w:top w:val="single" w:sz="4" w:space="0" w:color="FFFFFF"/>
              <w:left w:val="single" w:sz="4" w:space="0" w:color="FFFFFF"/>
              <w:bottom w:val="nil"/>
              <w:right w:val="single" w:sz="4" w:space="0" w:color="FFFFFF"/>
            </w:tcBorders>
            <w:shd w:val="clear" w:color="auto" w:fill="ED7D31"/>
          </w:tcPr>
          <w:p w14:paraId="2678F5E4" w14:textId="77777777" w:rsidR="00D80DD9" w:rsidRPr="003726FE" w:rsidRDefault="00D80DD9" w:rsidP="00D80DD9">
            <w:pPr>
              <w:ind w:left="7"/>
              <w:rPr>
                <w:rFonts w:cs="Times New Roman"/>
                <w:sz w:val="20"/>
              </w:rPr>
            </w:pPr>
            <w:r w:rsidRPr="003726FE">
              <w:rPr>
                <w:rFonts w:eastAsia="Calibri" w:cs="Times New Roman"/>
                <w:b/>
                <w:color w:val="FFFFFF"/>
                <w:sz w:val="20"/>
              </w:rPr>
              <w:t xml:space="preserve">Final themes </w:t>
            </w:r>
          </w:p>
        </w:tc>
        <w:tc>
          <w:tcPr>
            <w:tcW w:w="2835" w:type="dxa"/>
            <w:tcBorders>
              <w:top w:val="single" w:sz="4" w:space="0" w:color="FFFFFF"/>
              <w:left w:val="single" w:sz="4" w:space="0" w:color="FFFFFF"/>
              <w:bottom w:val="nil"/>
              <w:right w:val="nil"/>
            </w:tcBorders>
            <w:shd w:val="clear" w:color="auto" w:fill="ED7D31"/>
          </w:tcPr>
          <w:p w14:paraId="097E017A" w14:textId="77777777" w:rsidR="00D80DD9" w:rsidRPr="003726FE" w:rsidRDefault="00D80DD9" w:rsidP="00D80DD9">
            <w:pPr>
              <w:ind w:left="7"/>
              <w:rPr>
                <w:rFonts w:cs="Times New Roman"/>
                <w:sz w:val="20"/>
              </w:rPr>
            </w:pPr>
            <w:r w:rsidRPr="003726FE">
              <w:rPr>
                <w:rFonts w:eastAsia="Calibri" w:cs="Times New Roman"/>
                <w:b/>
                <w:color w:val="FFFFFF"/>
                <w:sz w:val="20"/>
              </w:rPr>
              <w:t xml:space="preserve">Core concepts </w:t>
            </w:r>
          </w:p>
        </w:tc>
      </w:tr>
      <w:tr w:rsidR="00D80DD9" w:rsidRPr="003726FE" w14:paraId="02C4E024" w14:textId="77777777" w:rsidTr="00E07A7C">
        <w:trPr>
          <w:trHeight w:val="3586"/>
        </w:trPr>
        <w:tc>
          <w:tcPr>
            <w:tcW w:w="2112" w:type="dxa"/>
            <w:tcBorders>
              <w:top w:val="nil"/>
              <w:left w:val="nil"/>
              <w:bottom w:val="single" w:sz="4" w:space="0" w:color="FFFFFF"/>
              <w:right w:val="single" w:sz="4" w:space="0" w:color="FFFFFF"/>
            </w:tcBorders>
            <w:shd w:val="clear" w:color="auto" w:fill="FFE599"/>
            <w:vAlign w:val="center"/>
          </w:tcPr>
          <w:p w14:paraId="46241542" w14:textId="77777777" w:rsidR="00D80DD9" w:rsidRPr="003726FE" w:rsidRDefault="00D80DD9" w:rsidP="00D80DD9">
            <w:pPr>
              <w:spacing w:after="3" w:line="357" w:lineRule="auto"/>
              <w:jc w:val="center"/>
              <w:rPr>
                <w:rFonts w:cs="Times New Roman"/>
                <w:sz w:val="20"/>
              </w:rPr>
            </w:pPr>
            <w:r w:rsidRPr="003726FE">
              <w:rPr>
                <w:rFonts w:eastAsia="Calibri" w:cs="Times New Roman"/>
                <w:b/>
                <w:sz w:val="20"/>
              </w:rPr>
              <w:t xml:space="preserve">Personal perceptions of feedback and teaching practice </w:t>
            </w:r>
          </w:p>
          <w:p w14:paraId="71506495" w14:textId="77777777" w:rsidR="00D80DD9" w:rsidRPr="003726FE" w:rsidRDefault="00D80DD9" w:rsidP="00D80DD9">
            <w:pPr>
              <w:ind w:left="15"/>
              <w:jc w:val="center"/>
              <w:rPr>
                <w:rFonts w:cs="Times New Roman"/>
                <w:sz w:val="20"/>
              </w:rPr>
            </w:pPr>
            <w:r w:rsidRPr="003726FE">
              <w:rPr>
                <w:rFonts w:eastAsia="Calibri" w:cs="Times New Roman"/>
                <w:b/>
                <w:sz w:val="20"/>
              </w:rPr>
              <w:t xml:space="preserve"> </w:t>
            </w:r>
          </w:p>
        </w:tc>
        <w:tc>
          <w:tcPr>
            <w:tcW w:w="3133" w:type="dxa"/>
            <w:tcBorders>
              <w:top w:val="single" w:sz="4" w:space="0" w:color="FFFFFF"/>
              <w:left w:val="single" w:sz="4" w:space="0" w:color="FFFFFF"/>
              <w:bottom w:val="single" w:sz="4" w:space="0" w:color="FFFFFF"/>
              <w:right w:val="single" w:sz="4" w:space="0" w:color="FFFFFF"/>
            </w:tcBorders>
            <w:shd w:val="clear" w:color="auto" w:fill="FFF2CC"/>
          </w:tcPr>
          <w:p w14:paraId="342F9FA4" w14:textId="77777777" w:rsidR="00D80DD9" w:rsidRPr="003726FE" w:rsidRDefault="00D80DD9" w:rsidP="00D80DD9">
            <w:pPr>
              <w:numPr>
                <w:ilvl w:val="0"/>
                <w:numId w:val="50"/>
              </w:numPr>
              <w:spacing w:after="31" w:line="361" w:lineRule="auto"/>
              <w:ind w:hanging="360"/>
              <w:rPr>
                <w:rFonts w:cs="Times New Roman"/>
                <w:sz w:val="20"/>
              </w:rPr>
            </w:pPr>
            <w:r w:rsidRPr="003726FE">
              <w:rPr>
                <w:rFonts w:eastAsia="Calibri" w:cs="Times New Roman"/>
                <w:sz w:val="20"/>
              </w:rPr>
              <w:t xml:space="preserve">Previous feedback experiences </w:t>
            </w:r>
          </w:p>
          <w:p w14:paraId="220C25A1" w14:textId="77777777" w:rsidR="00D80DD9" w:rsidRPr="003726FE" w:rsidRDefault="00D80DD9" w:rsidP="00D80DD9">
            <w:pPr>
              <w:numPr>
                <w:ilvl w:val="0"/>
                <w:numId w:val="50"/>
              </w:numPr>
              <w:spacing w:after="147"/>
              <w:ind w:hanging="360"/>
              <w:rPr>
                <w:rFonts w:cs="Times New Roman"/>
                <w:sz w:val="20"/>
              </w:rPr>
            </w:pPr>
            <w:r w:rsidRPr="003726FE">
              <w:rPr>
                <w:rFonts w:eastAsia="Calibri" w:cs="Times New Roman"/>
                <w:sz w:val="20"/>
              </w:rPr>
              <w:t xml:space="preserve">Teaching background </w:t>
            </w:r>
          </w:p>
          <w:p w14:paraId="470C5D2A" w14:textId="77777777" w:rsidR="00D80DD9" w:rsidRPr="003726FE" w:rsidRDefault="00D80DD9" w:rsidP="00D80DD9">
            <w:pPr>
              <w:numPr>
                <w:ilvl w:val="0"/>
                <w:numId w:val="50"/>
              </w:numPr>
              <w:spacing w:after="146"/>
              <w:ind w:hanging="360"/>
              <w:rPr>
                <w:rFonts w:cs="Times New Roman"/>
                <w:sz w:val="20"/>
              </w:rPr>
            </w:pPr>
            <w:r w:rsidRPr="003726FE">
              <w:rPr>
                <w:rFonts w:eastAsia="Calibri" w:cs="Times New Roman"/>
                <w:sz w:val="20"/>
              </w:rPr>
              <w:t xml:space="preserve">Previous feedback training </w:t>
            </w:r>
          </w:p>
          <w:p w14:paraId="405EFFA1" w14:textId="77777777" w:rsidR="00D80DD9" w:rsidRPr="003726FE" w:rsidRDefault="00D80DD9" w:rsidP="00D80DD9">
            <w:pPr>
              <w:numPr>
                <w:ilvl w:val="0"/>
                <w:numId w:val="50"/>
              </w:numPr>
              <w:spacing w:after="34" w:line="358" w:lineRule="auto"/>
              <w:ind w:hanging="360"/>
              <w:rPr>
                <w:rFonts w:cs="Times New Roman"/>
                <w:sz w:val="20"/>
              </w:rPr>
            </w:pPr>
            <w:r w:rsidRPr="003726FE">
              <w:rPr>
                <w:rFonts w:eastAsia="Calibri" w:cs="Times New Roman"/>
                <w:sz w:val="20"/>
              </w:rPr>
              <w:t xml:space="preserve">Previous knowledge of SRL and/or BPF </w:t>
            </w:r>
          </w:p>
          <w:p w14:paraId="1781A87F" w14:textId="77777777" w:rsidR="00D80DD9" w:rsidRPr="003726FE" w:rsidRDefault="00D80DD9" w:rsidP="00D80DD9">
            <w:pPr>
              <w:numPr>
                <w:ilvl w:val="0"/>
                <w:numId w:val="50"/>
              </w:numPr>
              <w:spacing w:after="147"/>
              <w:ind w:hanging="360"/>
              <w:rPr>
                <w:rFonts w:cs="Times New Roman"/>
                <w:sz w:val="20"/>
              </w:rPr>
            </w:pPr>
            <w:r w:rsidRPr="003726FE">
              <w:rPr>
                <w:rFonts w:eastAsia="Calibri" w:cs="Times New Roman"/>
                <w:sz w:val="20"/>
              </w:rPr>
              <w:t xml:space="preserve">Sporting experiences </w:t>
            </w:r>
          </w:p>
          <w:p w14:paraId="6429BDEB" w14:textId="77777777" w:rsidR="00D80DD9" w:rsidRPr="003726FE" w:rsidRDefault="00D80DD9" w:rsidP="00D80DD9">
            <w:pPr>
              <w:numPr>
                <w:ilvl w:val="0"/>
                <w:numId w:val="50"/>
              </w:numPr>
              <w:spacing w:after="146"/>
              <w:ind w:hanging="360"/>
              <w:rPr>
                <w:rFonts w:cs="Times New Roman"/>
                <w:sz w:val="20"/>
              </w:rPr>
            </w:pPr>
            <w:r w:rsidRPr="003726FE">
              <w:rPr>
                <w:rFonts w:eastAsia="Calibri" w:cs="Times New Roman"/>
                <w:sz w:val="20"/>
              </w:rPr>
              <w:t xml:space="preserve">Ward teaching experiences </w:t>
            </w:r>
          </w:p>
          <w:p w14:paraId="3067B989" w14:textId="77777777" w:rsidR="00D80DD9" w:rsidRPr="003726FE" w:rsidRDefault="00D80DD9" w:rsidP="00D80DD9">
            <w:pPr>
              <w:numPr>
                <w:ilvl w:val="0"/>
                <w:numId w:val="50"/>
              </w:numPr>
              <w:spacing w:after="146"/>
              <w:ind w:hanging="360"/>
              <w:rPr>
                <w:rFonts w:cs="Times New Roman"/>
                <w:sz w:val="20"/>
              </w:rPr>
            </w:pPr>
            <w:r w:rsidRPr="003726FE">
              <w:rPr>
                <w:rFonts w:eastAsia="Calibri" w:cs="Times New Roman"/>
                <w:sz w:val="20"/>
              </w:rPr>
              <w:t xml:space="preserve">The type of feedback </w:t>
            </w:r>
          </w:p>
          <w:p w14:paraId="16459C75" w14:textId="77777777" w:rsidR="00D80DD9" w:rsidRPr="003726FE" w:rsidRDefault="00D80DD9" w:rsidP="00D80DD9">
            <w:pPr>
              <w:numPr>
                <w:ilvl w:val="0"/>
                <w:numId w:val="50"/>
              </w:numPr>
              <w:spacing w:after="146"/>
              <w:ind w:hanging="360"/>
              <w:rPr>
                <w:rFonts w:cs="Times New Roman"/>
                <w:sz w:val="20"/>
              </w:rPr>
            </w:pPr>
            <w:r w:rsidRPr="003726FE">
              <w:rPr>
                <w:rFonts w:eastAsia="Calibri" w:cs="Times New Roman"/>
                <w:sz w:val="20"/>
              </w:rPr>
              <w:t xml:space="preserve">Feedback seeking </w:t>
            </w:r>
          </w:p>
          <w:p w14:paraId="078FE643" w14:textId="77777777" w:rsidR="00D80DD9" w:rsidRPr="003726FE" w:rsidRDefault="00D80DD9" w:rsidP="00D80DD9">
            <w:pPr>
              <w:numPr>
                <w:ilvl w:val="0"/>
                <w:numId w:val="50"/>
              </w:numPr>
              <w:spacing w:after="147"/>
              <w:ind w:hanging="360"/>
              <w:rPr>
                <w:rFonts w:cs="Times New Roman"/>
                <w:sz w:val="20"/>
              </w:rPr>
            </w:pPr>
            <w:r w:rsidRPr="003726FE">
              <w:rPr>
                <w:rFonts w:eastAsia="Calibri" w:cs="Times New Roman"/>
                <w:sz w:val="20"/>
              </w:rPr>
              <w:t xml:space="preserve">Feedback training </w:t>
            </w:r>
          </w:p>
          <w:p w14:paraId="36813CD5" w14:textId="77777777" w:rsidR="00D80DD9" w:rsidRPr="003726FE" w:rsidRDefault="00D80DD9" w:rsidP="00D80DD9">
            <w:pPr>
              <w:numPr>
                <w:ilvl w:val="0"/>
                <w:numId w:val="50"/>
              </w:numPr>
              <w:ind w:hanging="360"/>
              <w:rPr>
                <w:rFonts w:cs="Times New Roman"/>
                <w:sz w:val="20"/>
              </w:rPr>
            </w:pPr>
            <w:r w:rsidRPr="003726FE">
              <w:rPr>
                <w:rFonts w:eastAsia="Calibri" w:cs="Times New Roman"/>
                <w:sz w:val="20"/>
              </w:rPr>
              <w:t xml:space="preserve">Perfect feedback situation </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cPr>
          <w:p w14:paraId="17077C77" w14:textId="77777777" w:rsidR="00D80DD9" w:rsidRPr="003726FE" w:rsidRDefault="00D80DD9" w:rsidP="00D80DD9">
            <w:pPr>
              <w:spacing w:line="359" w:lineRule="auto"/>
              <w:ind w:left="7"/>
              <w:rPr>
                <w:rFonts w:cs="Times New Roman"/>
                <w:sz w:val="20"/>
              </w:rPr>
            </w:pPr>
            <w:r w:rsidRPr="003726FE">
              <w:rPr>
                <w:rFonts w:eastAsia="Calibri" w:cs="Times New Roman"/>
                <w:sz w:val="20"/>
              </w:rPr>
              <w:t xml:space="preserve">Personal philosophy on feedback </w:t>
            </w:r>
          </w:p>
          <w:p w14:paraId="153EA6D7"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1F935622" w14:textId="02F2AB8C" w:rsidR="00D80DD9" w:rsidRPr="003726FE" w:rsidRDefault="00D80DD9" w:rsidP="00D80DD9">
            <w:pPr>
              <w:spacing w:after="1" w:line="358" w:lineRule="auto"/>
              <w:ind w:left="7" w:right="218"/>
              <w:jc w:val="both"/>
              <w:rPr>
                <w:rFonts w:cs="Times New Roman"/>
                <w:sz w:val="20"/>
              </w:rPr>
            </w:pPr>
            <w:r w:rsidRPr="003726FE">
              <w:rPr>
                <w:rFonts w:eastAsia="Calibri" w:cs="Times New Roman"/>
                <w:sz w:val="20"/>
              </w:rPr>
              <w:t xml:space="preserve">Feedback giving practices Previous experiences affecting practice </w:t>
            </w:r>
          </w:p>
          <w:p w14:paraId="725C0986" w14:textId="77777777" w:rsidR="00D80DD9" w:rsidRPr="003726FE" w:rsidRDefault="00D80DD9" w:rsidP="00D80DD9">
            <w:pPr>
              <w:spacing w:after="113"/>
              <w:ind w:left="7"/>
              <w:rPr>
                <w:rFonts w:cs="Times New Roman"/>
                <w:sz w:val="20"/>
              </w:rPr>
            </w:pPr>
            <w:r w:rsidRPr="003726FE">
              <w:rPr>
                <w:rFonts w:eastAsia="Calibri" w:cs="Times New Roman"/>
                <w:sz w:val="20"/>
              </w:rPr>
              <w:t xml:space="preserve"> </w:t>
            </w:r>
          </w:p>
          <w:p w14:paraId="4FE65C34" w14:textId="77777777" w:rsidR="00D80DD9" w:rsidRPr="003726FE" w:rsidRDefault="00D80DD9" w:rsidP="00D80DD9">
            <w:pPr>
              <w:spacing w:line="359" w:lineRule="auto"/>
              <w:ind w:left="7"/>
              <w:rPr>
                <w:rFonts w:cs="Times New Roman"/>
                <w:sz w:val="20"/>
              </w:rPr>
            </w:pPr>
            <w:r w:rsidRPr="003726FE">
              <w:rPr>
                <w:rFonts w:eastAsia="Calibri" w:cs="Times New Roman"/>
                <w:sz w:val="20"/>
              </w:rPr>
              <w:t xml:space="preserve">What feedback is like in clinical skills education </w:t>
            </w:r>
          </w:p>
          <w:p w14:paraId="536C20EA"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76378BAB"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Pressures on giving feedback </w:t>
            </w:r>
          </w:p>
          <w:p w14:paraId="4BF61715" w14:textId="77777777" w:rsidR="00D80DD9" w:rsidRPr="003726FE" w:rsidRDefault="00D80DD9" w:rsidP="00D80DD9">
            <w:pPr>
              <w:ind w:left="7"/>
              <w:rPr>
                <w:rFonts w:cs="Times New Roman"/>
                <w:sz w:val="20"/>
              </w:rPr>
            </w:pPr>
            <w:r w:rsidRPr="003726FE">
              <w:rPr>
                <w:rFonts w:eastAsia="Calibri" w:cs="Times New Roman"/>
                <w:sz w:val="20"/>
              </w:rPr>
              <w:t xml:space="preserve">Enablers for feedback </w:t>
            </w:r>
          </w:p>
        </w:tc>
        <w:tc>
          <w:tcPr>
            <w:tcW w:w="2694" w:type="dxa"/>
            <w:vMerge w:val="restart"/>
            <w:tcBorders>
              <w:top w:val="nil"/>
              <w:left w:val="single" w:sz="4" w:space="0" w:color="FFFFFF"/>
              <w:right w:val="single" w:sz="4" w:space="0" w:color="FFFFFF"/>
            </w:tcBorders>
            <w:shd w:val="clear" w:color="auto" w:fill="FFF2CC"/>
            <w:vAlign w:val="center"/>
          </w:tcPr>
          <w:p w14:paraId="3AE05320" w14:textId="77777777" w:rsidR="00D80DD9" w:rsidRPr="003726FE" w:rsidRDefault="00D80DD9" w:rsidP="00D80DD9">
            <w:pPr>
              <w:spacing w:line="359" w:lineRule="auto"/>
              <w:ind w:left="7"/>
              <w:jc w:val="center"/>
              <w:rPr>
                <w:rFonts w:cs="Times New Roman"/>
                <w:sz w:val="20"/>
              </w:rPr>
            </w:pPr>
            <w:r w:rsidRPr="003726FE">
              <w:rPr>
                <w:rFonts w:eastAsia="Calibri" w:cs="Times New Roman"/>
                <w:sz w:val="20"/>
              </w:rPr>
              <w:t>Factors affecting perceptions and beliefs about feedback in clinical teaching and learning</w:t>
            </w:r>
          </w:p>
          <w:p w14:paraId="4AE1CBF0" w14:textId="77777777" w:rsidR="00D80DD9" w:rsidRPr="003726FE" w:rsidRDefault="00D80DD9" w:rsidP="00D80DD9">
            <w:pPr>
              <w:spacing w:after="113"/>
              <w:ind w:left="7"/>
              <w:jc w:val="center"/>
              <w:rPr>
                <w:rFonts w:cs="Times New Roman"/>
                <w:sz w:val="20"/>
              </w:rPr>
            </w:pPr>
          </w:p>
          <w:p w14:paraId="5359A3CF" w14:textId="77777777" w:rsidR="00D80DD9" w:rsidRPr="003726FE" w:rsidRDefault="00D80DD9" w:rsidP="00D80DD9">
            <w:pPr>
              <w:spacing w:after="1" w:line="358" w:lineRule="auto"/>
              <w:ind w:left="7" w:right="13"/>
              <w:jc w:val="center"/>
              <w:rPr>
                <w:rFonts w:cs="Times New Roman"/>
                <w:sz w:val="20"/>
              </w:rPr>
            </w:pPr>
            <w:r w:rsidRPr="003726FE">
              <w:rPr>
                <w:rFonts w:eastAsia="Calibri" w:cs="Times New Roman"/>
                <w:sz w:val="20"/>
              </w:rPr>
              <w:t>Factors affecting feedback giving (affordances - help and hinder)</w:t>
            </w:r>
          </w:p>
          <w:p w14:paraId="30EE0C13" w14:textId="77777777" w:rsidR="00D80DD9" w:rsidRPr="003726FE" w:rsidRDefault="00D80DD9" w:rsidP="00D80DD9">
            <w:pPr>
              <w:spacing w:after="112"/>
              <w:ind w:left="7"/>
              <w:jc w:val="center"/>
              <w:rPr>
                <w:rFonts w:cs="Times New Roman"/>
                <w:sz w:val="20"/>
              </w:rPr>
            </w:pPr>
          </w:p>
          <w:p w14:paraId="37520081" w14:textId="77777777" w:rsidR="00D80DD9" w:rsidRPr="003726FE" w:rsidRDefault="00D80DD9" w:rsidP="00D80DD9">
            <w:pPr>
              <w:spacing w:after="112"/>
              <w:ind w:left="7"/>
              <w:jc w:val="center"/>
              <w:rPr>
                <w:rFonts w:cs="Times New Roman"/>
                <w:sz w:val="20"/>
              </w:rPr>
            </w:pPr>
            <w:r w:rsidRPr="003726FE">
              <w:rPr>
                <w:rFonts w:eastAsia="Calibri" w:cs="Times New Roman"/>
                <w:sz w:val="20"/>
              </w:rPr>
              <w:t>Satisfaction of use - technique</w:t>
            </w:r>
          </w:p>
          <w:p w14:paraId="5FEA3944" w14:textId="77777777" w:rsidR="00D80DD9" w:rsidRPr="003726FE" w:rsidRDefault="00D80DD9" w:rsidP="00D80DD9">
            <w:pPr>
              <w:spacing w:after="113"/>
              <w:ind w:left="7"/>
              <w:jc w:val="center"/>
              <w:rPr>
                <w:rFonts w:cs="Times New Roman"/>
                <w:sz w:val="20"/>
              </w:rPr>
            </w:pPr>
          </w:p>
          <w:p w14:paraId="37A3CED4" w14:textId="77777777" w:rsidR="00D80DD9" w:rsidRPr="003726FE" w:rsidRDefault="00D80DD9" w:rsidP="00D80DD9">
            <w:pPr>
              <w:spacing w:line="359" w:lineRule="auto"/>
              <w:ind w:left="7"/>
              <w:jc w:val="center"/>
              <w:rPr>
                <w:rFonts w:cs="Times New Roman"/>
                <w:sz w:val="20"/>
              </w:rPr>
            </w:pPr>
            <w:r w:rsidRPr="003726FE">
              <w:rPr>
                <w:rFonts w:eastAsia="Calibri" w:cs="Times New Roman"/>
                <w:sz w:val="20"/>
              </w:rPr>
              <w:t>Educator's reflections and plans for future practice</w:t>
            </w:r>
          </w:p>
          <w:p w14:paraId="22426ECA" w14:textId="77777777" w:rsidR="00D80DD9" w:rsidRPr="003726FE" w:rsidRDefault="00D80DD9" w:rsidP="00D80DD9">
            <w:pPr>
              <w:spacing w:after="112"/>
              <w:ind w:left="727"/>
              <w:jc w:val="center"/>
              <w:rPr>
                <w:rFonts w:cs="Times New Roman"/>
                <w:sz w:val="20"/>
              </w:rPr>
            </w:pPr>
          </w:p>
          <w:p w14:paraId="69A0F1B4" w14:textId="77777777" w:rsidR="00D80DD9" w:rsidRPr="003726FE" w:rsidRDefault="00D80DD9" w:rsidP="00D80DD9">
            <w:pPr>
              <w:ind w:left="7"/>
              <w:jc w:val="center"/>
              <w:rPr>
                <w:rFonts w:cs="Times New Roman"/>
                <w:sz w:val="20"/>
              </w:rPr>
            </w:pPr>
            <w:r w:rsidRPr="003726FE">
              <w:rPr>
                <w:rFonts w:eastAsia="Calibri" w:cs="Times New Roman"/>
                <w:sz w:val="20"/>
              </w:rPr>
              <w:t>Contradictions and differences in experience, background, and role impacting upon practice</w:t>
            </w:r>
          </w:p>
        </w:tc>
        <w:tc>
          <w:tcPr>
            <w:tcW w:w="2835" w:type="dxa"/>
            <w:vMerge w:val="restart"/>
            <w:tcBorders>
              <w:top w:val="nil"/>
              <w:left w:val="single" w:sz="4" w:space="0" w:color="FFFFFF"/>
              <w:right w:val="nil"/>
            </w:tcBorders>
            <w:shd w:val="clear" w:color="auto" w:fill="FFD966"/>
            <w:vAlign w:val="center"/>
          </w:tcPr>
          <w:p w14:paraId="5E657AAE" w14:textId="652FEE11" w:rsidR="00D80DD9" w:rsidRPr="003726FE" w:rsidRDefault="008E7D00" w:rsidP="00D80DD9">
            <w:pPr>
              <w:spacing w:after="3" w:line="357" w:lineRule="auto"/>
              <w:jc w:val="center"/>
              <w:rPr>
                <w:rFonts w:eastAsia="Calibri" w:cs="Times New Roman"/>
                <w:b/>
                <w:sz w:val="20"/>
              </w:rPr>
            </w:pPr>
            <w:r>
              <w:rPr>
                <w:rFonts w:eastAsia="Calibri" w:cs="Times New Roman"/>
                <w:b/>
                <w:sz w:val="20"/>
              </w:rPr>
              <w:t>Conceptualisation</w:t>
            </w:r>
            <w:r w:rsidR="00D80DD9" w:rsidRPr="003726FE">
              <w:rPr>
                <w:rFonts w:eastAsia="Calibri" w:cs="Times New Roman"/>
                <w:b/>
                <w:sz w:val="20"/>
              </w:rPr>
              <w:t>s of feedback which inform/influence   practice</w:t>
            </w:r>
          </w:p>
          <w:p w14:paraId="76203B73" w14:textId="77777777" w:rsidR="00D80DD9" w:rsidRPr="003726FE" w:rsidRDefault="00D80DD9" w:rsidP="00D80DD9">
            <w:pPr>
              <w:spacing w:after="3" w:line="357" w:lineRule="auto"/>
              <w:jc w:val="center"/>
              <w:rPr>
                <w:rFonts w:cs="Times New Roman"/>
                <w:sz w:val="20"/>
              </w:rPr>
            </w:pPr>
          </w:p>
          <w:p w14:paraId="4D95AD9A" w14:textId="77777777" w:rsidR="00D80DD9" w:rsidRPr="003726FE" w:rsidRDefault="00D80DD9" w:rsidP="00D80DD9">
            <w:pPr>
              <w:jc w:val="center"/>
              <w:rPr>
                <w:rFonts w:cs="Times New Roman"/>
                <w:b/>
                <w:sz w:val="20"/>
              </w:rPr>
            </w:pPr>
            <w:r w:rsidRPr="003726FE">
              <w:rPr>
                <w:rFonts w:cs="Times New Roman"/>
                <w:b/>
                <w:sz w:val="20"/>
              </w:rPr>
              <w:t>Factors influencing the feedback interaction</w:t>
            </w:r>
          </w:p>
          <w:p w14:paraId="0231CC7C" w14:textId="77777777" w:rsidR="00D80DD9" w:rsidRPr="003726FE" w:rsidRDefault="00D80DD9" w:rsidP="00D80DD9">
            <w:pPr>
              <w:jc w:val="center"/>
              <w:rPr>
                <w:rFonts w:cs="Times New Roman"/>
                <w:b/>
                <w:sz w:val="20"/>
              </w:rPr>
            </w:pPr>
          </w:p>
          <w:p w14:paraId="4B7E54DD" w14:textId="77777777" w:rsidR="00D80DD9" w:rsidRPr="003726FE" w:rsidRDefault="00D80DD9" w:rsidP="00D80DD9">
            <w:pPr>
              <w:jc w:val="center"/>
              <w:rPr>
                <w:rFonts w:eastAsia="Calibri" w:cs="Times New Roman"/>
                <w:b/>
                <w:sz w:val="20"/>
              </w:rPr>
            </w:pPr>
            <w:r w:rsidRPr="003726FE">
              <w:rPr>
                <w:rFonts w:eastAsia="Calibri" w:cs="Times New Roman"/>
                <w:b/>
                <w:sz w:val="20"/>
              </w:rPr>
              <w:t>Impact of the feedback techniques on current and future practice</w:t>
            </w:r>
          </w:p>
          <w:p w14:paraId="488A7562" w14:textId="77777777" w:rsidR="00D80DD9" w:rsidRPr="003726FE" w:rsidRDefault="00D80DD9" w:rsidP="00D80DD9">
            <w:pPr>
              <w:jc w:val="center"/>
              <w:rPr>
                <w:b/>
                <w:sz w:val="20"/>
              </w:rPr>
            </w:pPr>
          </w:p>
          <w:p w14:paraId="02C60BF1" w14:textId="77777777" w:rsidR="00D80DD9" w:rsidRPr="003726FE" w:rsidRDefault="00D80DD9" w:rsidP="00D80DD9">
            <w:pPr>
              <w:jc w:val="center"/>
              <w:rPr>
                <w:rFonts w:cs="Times New Roman"/>
                <w:sz w:val="20"/>
              </w:rPr>
            </w:pPr>
            <w:r w:rsidRPr="003726FE">
              <w:rPr>
                <w:b/>
                <w:sz w:val="20"/>
              </w:rPr>
              <w:t>Differences between novices and experiences teachers</w:t>
            </w:r>
          </w:p>
        </w:tc>
      </w:tr>
      <w:tr w:rsidR="00D80DD9" w:rsidRPr="003726FE" w14:paraId="7765F7AB" w14:textId="77777777" w:rsidTr="00E07A7C">
        <w:trPr>
          <w:trHeight w:val="739"/>
        </w:trPr>
        <w:tc>
          <w:tcPr>
            <w:tcW w:w="2112" w:type="dxa"/>
            <w:tcBorders>
              <w:top w:val="single" w:sz="4" w:space="0" w:color="FFFFFF"/>
              <w:left w:val="nil"/>
              <w:bottom w:val="single" w:sz="4" w:space="0" w:color="FFFFFF"/>
              <w:right w:val="single" w:sz="4" w:space="0" w:color="FFFFFF"/>
            </w:tcBorders>
            <w:shd w:val="clear" w:color="auto" w:fill="FFE599"/>
            <w:vAlign w:val="center"/>
          </w:tcPr>
          <w:p w14:paraId="55D77269" w14:textId="77777777" w:rsidR="00D80DD9" w:rsidRPr="003726FE" w:rsidRDefault="00D80DD9" w:rsidP="00D80DD9">
            <w:pPr>
              <w:jc w:val="center"/>
              <w:rPr>
                <w:rFonts w:cs="Times New Roman"/>
                <w:sz w:val="20"/>
              </w:rPr>
            </w:pPr>
            <w:r w:rsidRPr="003726FE">
              <w:rPr>
                <w:rFonts w:eastAsia="Calibri" w:cs="Times New Roman"/>
                <w:b/>
                <w:sz w:val="20"/>
              </w:rPr>
              <w:t xml:space="preserve">Educator response to the feedback techniques </w:t>
            </w:r>
          </w:p>
        </w:tc>
        <w:tc>
          <w:tcPr>
            <w:tcW w:w="3133" w:type="dxa"/>
            <w:vMerge w:val="restart"/>
            <w:tcBorders>
              <w:top w:val="single" w:sz="4" w:space="0" w:color="FFFFFF"/>
              <w:left w:val="single" w:sz="4" w:space="0" w:color="FFFFFF"/>
              <w:right w:val="single" w:sz="4" w:space="0" w:color="FFFFFF"/>
            </w:tcBorders>
            <w:shd w:val="clear" w:color="auto" w:fill="FFF2CC"/>
          </w:tcPr>
          <w:p w14:paraId="454D12DC" w14:textId="77777777" w:rsidR="00D80DD9" w:rsidRPr="003726FE" w:rsidRDefault="00D80DD9" w:rsidP="00D80DD9">
            <w:pPr>
              <w:numPr>
                <w:ilvl w:val="0"/>
                <w:numId w:val="51"/>
              </w:numPr>
              <w:spacing w:after="31" w:line="361" w:lineRule="auto"/>
              <w:ind w:hanging="360"/>
              <w:rPr>
                <w:rFonts w:cs="Times New Roman"/>
                <w:sz w:val="20"/>
              </w:rPr>
            </w:pPr>
            <w:r w:rsidRPr="003726FE">
              <w:rPr>
                <w:rFonts w:eastAsia="Calibri" w:cs="Times New Roman"/>
                <w:sz w:val="20"/>
              </w:rPr>
              <w:t xml:space="preserve">Level of comfort using feedback </w:t>
            </w:r>
          </w:p>
          <w:p w14:paraId="38D969A0" w14:textId="77777777" w:rsidR="00D80DD9" w:rsidRPr="003726FE" w:rsidRDefault="00D80DD9" w:rsidP="00D80DD9">
            <w:pPr>
              <w:numPr>
                <w:ilvl w:val="0"/>
                <w:numId w:val="51"/>
              </w:numPr>
              <w:spacing w:after="29" w:line="360" w:lineRule="auto"/>
              <w:ind w:hanging="360"/>
              <w:rPr>
                <w:rFonts w:cs="Times New Roman"/>
                <w:sz w:val="20"/>
              </w:rPr>
            </w:pPr>
            <w:r w:rsidRPr="003726FE">
              <w:rPr>
                <w:rFonts w:eastAsia="Calibri" w:cs="Times New Roman"/>
                <w:sz w:val="20"/>
              </w:rPr>
              <w:t xml:space="preserve">Challenges in using the techniques </w:t>
            </w:r>
          </w:p>
          <w:p w14:paraId="07B5E197" w14:textId="77777777" w:rsidR="00D80DD9" w:rsidRPr="003726FE" w:rsidRDefault="00D80DD9" w:rsidP="00D80DD9">
            <w:pPr>
              <w:numPr>
                <w:ilvl w:val="0"/>
                <w:numId w:val="51"/>
              </w:numPr>
              <w:spacing w:after="146"/>
              <w:ind w:hanging="360"/>
              <w:rPr>
                <w:rFonts w:cs="Times New Roman"/>
                <w:sz w:val="20"/>
              </w:rPr>
            </w:pPr>
            <w:r w:rsidRPr="003726FE">
              <w:rPr>
                <w:rFonts w:eastAsia="Calibri" w:cs="Times New Roman"/>
                <w:sz w:val="20"/>
              </w:rPr>
              <w:t xml:space="preserve">Contextual relevance </w:t>
            </w:r>
          </w:p>
          <w:p w14:paraId="679C15C0" w14:textId="77777777" w:rsidR="00D80DD9" w:rsidRPr="003726FE" w:rsidRDefault="00D80DD9" w:rsidP="00D80DD9">
            <w:pPr>
              <w:numPr>
                <w:ilvl w:val="0"/>
                <w:numId w:val="51"/>
              </w:numPr>
              <w:spacing w:after="147"/>
              <w:ind w:hanging="360"/>
              <w:rPr>
                <w:rFonts w:cs="Times New Roman"/>
                <w:sz w:val="20"/>
              </w:rPr>
            </w:pPr>
            <w:r w:rsidRPr="003726FE">
              <w:rPr>
                <w:rFonts w:eastAsia="Calibri" w:cs="Times New Roman"/>
                <w:sz w:val="20"/>
              </w:rPr>
              <w:t xml:space="preserve">Learner reactions </w:t>
            </w:r>
          </w:p>
          <w:p w14:paraId="69FB53EB" w14:textId="77777777" w:rsidR="00D80DD9" w:rsidRPr="003726FE" w:rsidRDefault="00D80DD9" w:rsidP="00D80DD9">
            <w:pPr>
              <w:numPr>
                <w:ilvl w:val="0"/>
                <w:numId w:val="51"/>
              </w:numPr>
              <w:spacing w:after="147"/>
              <w:ind w:hanging="360"/>
              <w:rPr>
                <w:rFonts w:cs="Times New Roman"/>
                <w:sz w:val="20"/>
              </w:rPr>
            </w:pPr>
            <w:r w:rsidRPr="003726FE">
              <w:rPr>
                <w:rFonts w:eastAsia="Calibri" w:cs="Times New Roman"/>
                <w:sz w:val="20"/>
              </w:rPr>
              <w:t xml:space="preserve">Peer support in teaching </w:t>
            </w:r>
          </w:p>
          <w:p w14:paraId="69CF5129" w14:textId="77777777" w:rsidR="00D80DD9" w:rsidRPr="003726FE" w:rsidRDefault="00D80DD9" w:rsidP="00D80DD9">
            <w:pPr>
              <w:numPr>
                <w:ilvl w:val="0"/>
                <w:numId w:val="51"/>
              </w:numPr>
              <w:spacing w:after="32" w:line="360" w:lineRule="auto"/>
              <w:ind w:hanging="360"/>
              <w:rPr>
                <w:rFonts w:cs="Times New Roman"/>
                <w:sz w:val="20"/>
              </w:rPr>
            </w:pPr>
            <w:r w:rsidRPr="003726FE">
              <w:rPr>
                <w:rFonts w:eastAsia="Calibri" w:cs="Times New Roman"/>
                <w:sz w:val="20"/>
              </w:rPr>
              <w:t xml:space="preserve">Modifications, adherence and use over time </w:t>
            </w:r>
          </w:p>
          <w:p w14:paraId="51697639" w14:textId="77777777" w:rsidR="00D80DD9" w:rsidRPr="003726FE" w:rsidRDefault="00D80DD9" w:rsidP="00D80DD9">
            <w:pPr>
              <w:numPr>
                <w:ilvl w:val="0"/>
                <w:numId w:val="51"/>
              </w:numPr>
              <w:ind w:hanging="360"/>
              <w:rPr>
                <w:rFonts w:cs="Times New Roman"/>
                <w:sz w:val="20"/>
              </w:rPr>
            </w:pPr>
            <w:r w:rsidRPr="003726FE">
              <w:rPr>
                <w:rFonts w:eastAsia="Calibri" w:cs="Times New Roman"/>
                <w:sz w:val="20"/>
              </w:rPr>
              <w:t xml:space="preserve">Training and data collection </w:t>
            </w:r>
          </w:p>
        </w:tc>
        <w:tc>
          <w:tcPr>
            <w:tcW w:w="2693" w:type="dxa"/>
            <w:vMerge w:val="restart"/>
            <w:tcBorders>
              <w:top w:val="single" w:sz="4" w:space="0" w:color="FFFFFF"/>
              <w:left w:val="single" w:sz="4" w:space="0" w:color="FFFFFF"/>
              <w:right w:val="single" w:sz="4" w:space="0" w:color="FFFFFF"/>
            </w:tcBorders>
            <w:shd w:val="clear" w:color="auto" w:fill="FFF2CC"/>
            <w:vAlign w:val="center"/>
          </w:tcPr>
          <w:p w14:paraId="55E94ADD" w14:textId="77777777" w:rsidR="00D80DD9" w:rsidRPr="003726FE" w:rsidRDefault="00D80DD9" w:rsidP="00D80DD9">
            <w:pPr>
              <w:spacing w:after="113"/>
              <w:ind w:left="7"/>
              <w:rPr>
                <w:rFonts w:cs="Times New Roman"/>
                <w:sz w:val="20"/>
              </w:rPr>
            </w:pPr>
            <w:r w:rsidRPr="003726FE">
              <w:rPr>
                <w:rFonts w:eastAsia="Calibri" w:cs="Times New Roman"/>
                <w:sz w:val="20"/>
              </w:rPr>
              <w:t xml:space="preserve">Perceived ease of use </w:t>
            </w:r>
          </w:p>
          <w:p w14:paraId="71E9D82C"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331712A9" w14:textId="77777777" w:rsidR="00D80DD9" w:rsidRPr="003726FE" w:rsidRDefault="00D80DD9" w:rsidP="00D80DD9">
            <w:pPr>
              <w:spacing w:after="110"/>
              <w:ind w:left="7"/>
              <w:rPr>
                <w:rFonts w:cs="Times New Roman"/>
                <w:sz w:val="20"/>
              </w:rPr>
            </w:pPr>
            <w:r w:rsidRPr="003726FE">
              <w:rPr>
                <w:rFonts w:eastAsia="Calibri" w:cs="Times New Roman"/>
                <w:sz w:val="20"/>
              </w:rPr>
              <w:t xml:space="preserve">Acceptability </w:t>
            </w:r>
          </w:p>
          <w:p w14:paraId="1733AED8"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34C758F4"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Usefulness </w:t>
            </w:r>
          </w:p>
          <w:p w14:paraId="5EAC633A"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16679911" w14:textId="77777777" w:rsidR="00D80DD9" w:rsidRPr="003726FE" w:rsidRDefault="00D80DD9" w:rsidP="00D80DD9">
            <w:pPr>
              <w:spacing w:after="113"/>
              <w:ind w:left="7"/>
              <w:rPr>
                <w:rFonts w:cs="Times New Roman"/>
                <w:sz w:val="20"/>
              </w:rPr>
            </w:pPr>
            <w:r w:rsidRPr="003726FE">
              <w:rPr>
                <w:rFonts w:eastAsia="Calibri" w:cs="Times New Roman"/>
                <w:sz w:val="20"/>
              </w:rPr>
              <w:t xml:space="preserve">Effects of the study process </w:t>
            </w:r>
          </w:p>
          <w:p w14:paraId="1F67D15B" w14:textId="77777777" w:rsidR="00D80DD9" w:rsidRPr="003726FE" w:rsidRDefault="00D80DD9" w:rsidP="00D80DD9">
            <w:pPr>
              <w:spacing w:after="112"/>
              <w:ind w:left="7"/>
              <w:rPr>
                <w:rFonts w:cs="Times New Roman"/>
                <w:sz w:val="20"/>
              </w:rPr>
            </w:pPr>
            <w:r w:rsidRPr="003726FE">
              <w:rPr>
                <w:rFonts w:eastAsia="Calibri" w:cs="Times New Roman"/>
                <w:sz w:val="20"/>
              </w:rPr>
              <w:t xml:space="preserve"> </w:t>
            </w:r>
          </w:p>
          <w:p w14:paraId="6CD76207" w14:textId="77777777" w:rsidR="00D80DD9" w:rsidRPr="003726FE" w:rsidRDefault="00D80DD9" w:rsidP="00D80DD9">
            <w:pPr>
              <w:ind w:left="7"/>
              <w:rPr>
                <w:rFonts w:cs="Times New Roman"/>
                <w:sz w:val="20"/>
              </w:rPr>
            </w:pPr>
            <w:r w:rsidRPr="003726FE">
              <w:rPr>
                <w:rFonts w:eastAsia="Calibri" w:cs="Times New Roman"/>
                <w:sz w:val="20"/>
              </w:rPr>
              <w:t xml:space="preserve">Perceived learner response </w:t>
            </w:r>
          </w:p>
        </w:tc>
        <w:tc>
          <w:tcPr>
            <w:tcW w:w="2694" w:type="dxa"/>
            <w:vMerge/>
            <w:tcBorders>
              <w:left w:val="single" w:sz="4" w:space="0" w:color="FFFFFF"/>
              <w:right w:val="single" w:sz="4" w:space="0" w:color="FFFFFF"/>
            </w:tcBorders>
          </w:tcPr>
          <w:p w14:paraId="1DD89BCF" w14:textId="77777777" w:rsidR="00D80DD9" w:rsidRPr="003726FE" w:rsidRDefault="00D80DD9" w:rsidP="00D80DD9">
            <w:pPr>
              <w:rPr>
                <w:rFonts w:cs="Times New Roman"/>
                <w:sz w:val="20"/>
              </w:rPr>
            </w:pPr>
          </w:p>
        </w:tc>
        <w:tc>
          <w:tcPr>
            <w:tcW w:w="2835" w:type="dxa"/>
            <w:vMerge/>
            <w:tcBorders>
              <w:left w:val="single" w:sz="4" w:space="0" w:color="FFFFFF"/>
              <w:right w:val="nil"/>
            </w:tcBorders>
            <w:shd w:val="clear" w:color="auto" w:fill="FFD966"/>
            <w:vAlign w:val="center"/>
          </w:tcPr>
          <w:p w14:paraId="19DE1205" w14:textId="77777777" w:rsidR="00D80DD9" w:rsidRPr="003726FE" w:rsidRDefault="00D80DD9" w:rsidP="00D80DD9">
            <w:pPr>
              <w:jc w:val="center"/>
              <w:rPr>
                <w:rFonts w:cs="Times New Roman"/>
                <w:b/>
                <w:sz w:val="20"/>
              </w:rPr>
            </w:pPr>
          </w:p>
        </w:tc>
      </w:tr>
      <w:tr w:rsidR="00D80DD9" w:rsidRPr="003726FE" w14:paraId="0619405C" w14:textId="77777777" w:rsidTr="00D80DD9">
        <w:trPr>
          <w:trHeight w:val="2921"/>
        </w:trPr>
        <w:tc>
          <w:tcPr>
            <w:tcW w:w="2112" w:type="dxa"/>
            <w:tcBorders>
              <w:top w:val="single" w:sz="4" w:space="0" w:color="FFFFFF"/>
              <w:left w:val="nil"/>
              <w:bottom w:val="single" w:sz="4" w:space="0" w:color="FFFFFF"/>
              <w:right w:val="single" w:sz="4" w:space="0" w:color="FFFFFF"/>
            </w:tcBorders>
            <w:shd w:val="clear" w:color="auto" w:fill="FFE599"/>
            <w:vAlign w:val="center"/>
          </w:tcPr>
          <w:p w14:paraId="1DDB619F" w14:textId="77777777" w:rsidR="00D80DD9" w:rsidRPr="003726FE" w:rsidRDefault="00D80DD9" w:rsidP="00D80DD9">
            <w:pPr>
              <w:ind w:left="9"/>
              <w:jc w:val="center"/>
              <w:rPr>
                <w:sz w:val="20"/>
              </w:rPr>
            </w:pPr>
            <w:r w:rsidRPr="003726FE">
              <w:rPr>
                <w:rFonts w:ascii="Calibri" w:eastAsia="Calibri" w:hAnsi="Calibri" w:cs="Calibri"/>
                <w:b/>
                <w:sz w:val="20"/>
              </w:rPr>
              <w:t xml:space="preserve">Making sense of the techniques </w:t>
            </w:r>
          </w:p>
        </w:tc>
        <w:tc>
          <w:tcPr>
            <w:tcW w:w="3133" w:type="dxa"/>
            <w:vMerge/>
            <w:tcBorders>
              <w:left w:val="single" w:sz="4" w:space="0" w:color="FFFFFF"/>
              <w:bottom w:val="single" w:sz="4" w:space="0" w:color="FFFFFF"/>
              <w:right w:val="single" w:sz="4" w:space="0" w:color="FFFFFF"/>
            </w:tcBorders>
          </w:tcPr>
          <w:p w14:paraId="043CC60A" w14:textId="77777777" w:rsidR="00D80DD9" w:rsidRPr="003726FE" w:rsidRDefault="00D80DD9" w:rsidP="00D80DD9">
            <w:pPr>
              <w:rPr>
                <w:sz w:val="20"/>
              </w:rPr>
            </w:pPr>
          </w:p>
        </w:tc>
        <w:tc>
          <w:tcPr>
            <w:tcW w:w="2693" w:type="dxa"/>
            <w:vMerge/>
            <w:tcBorders>
              <w:left w:val="single" w:sz="4" w:space="0" w:color="FFFFFF"/>
              <w:bottom w:val="single" w:sz="4" w:space="0" w:color="FFFFFF"/>
              <w:right w:val="single" w:sz="4" w:space="0" w:color="FFFFFF"/>
            </w:tcBorders>
          </w:tcPr>
          <w:p w14:paraId="2A8626BB" w14:textId="77777777" w:rsidR="00D80DD9" w:rsidRPr="003726FE" w:rsidRDefault="00D80DD9" w:rsidP="00D80DD9">
            <w:pPr>
              <w:rPr>
                <w:sz w:val="20"/>
              </w:rPr>
            </w:pPr>
          </w:p>
        </w:tc>
        <w:tc>
          <w:tcPr>
            <w:tcW w:w="2694" w:type="dxa"/>
            <w:vMerge/>
            <w:tcBorders>
              <w:left w:val="single" w:sz="4" w:space="0" w:color="FFFFFF"/>
              <w:bottom w:val="single" w:sz="4" w:space="0" w:color="FFFFFF"/>
              <w:right w:val="single" w:sz="4" w:space="0" w:color="FFFFFF"/>
            </w:tcBorders>
          </w:tcPr>
          <w:p w14:paraId="77889724" w14:textId="77777777" w:rsidR="00D80DD9" w:rsidRPr="003726FE" w:rsidRDefault="00D80DD9" w:rsidP="00D80DD9">
            <w:pPr>
              <w:rPr>
                <w:sz w:val="20"/>
              </w:rPr>
            </w:pPr>
          </w:p>
        </w:tc>
        <w:tc>
          <w:tcPr>
            <w:tcW w:w="2835" w:type="dxa"/>
            <w:vMerge/>
            <w:tcBorders>
              <w:left w:val="single" w:sz="4" w:space="0" w:color="FFFFFF"/>
              <w:bottom w:val="single" w:sz="4" w:space="0" w:color="FFFFFF"/>
              <w:right w:val="nil"/>
            </w:tcBorders>
            <w:shd w:val="clear" w:color="auto" w:fill="FFD966"/>
          </w:tcPr>
          <w:p w14:paraId="4E1B3DA8" w14:textId="77777777" w:rsidR="00D80DD9" w:rsidRPr="003726FE" w:rsidRDefault="00D80DD9" w:rsidP="00D80DD9">
            <w:pPr>
              <w:jc w:val="center"/>
              <w:rPr>
                <w:b/>
                <w:sz w:val="20"/>
              </w:rPr>
            </w:pPr>
          </w:p>
        </w:tc>
      </w:tr>
    </w:tbl>
    <w:p w14:paraId="5AEF060A" w14:textId="60857055" w:rsidR="00FC6F55" w:rsidRPr="003726FE" w:rsidRDefault="00FC6F55" w:rsidP="009F0E25">
      <w:pPr>
        <w:pStyle w:val="Heading2"/>
        <w:rPr>
          <w:lang w:val="en-GB"/>
        </w:rPr>
      </w:pPr>
      <w:r w:rsidRPr="003726FE">
        <w:rPr>
          <w:lang w:val="en-GB"/>
        </w:rPr>
        <w:t xml:space="preserve"> </w:t>
      </w:r>
      <w:bookmarkStart w:id="996" w:name="_Toc500319483"/>
      <w:r w:rsidRPr="003726FE">
        <w:rPr>
          <w:lang w:val="en-GB"/>
        </w:rPr>
        <w:t>Appendix</w:t>
      </w:r>
      <w:r w:rsidR="009F0E25" w:rsidRPr="003726FE">
        <w:rPr>
          <w:lang w:val="en-GB"/>
        </w:rPr>
        <w:t xml:space="preserve"> 1</w:t>
      </w:r>
      <w:r w:rsidR="00B76E6D" w:rsidRPr="003726FE">
        <w:rPr>
          <w:lang w:val="en-GB"/>
        </w:rPr>
        <w:t>2</w:t>
      </w:r>
      <w:r w:rsidR="009F0E25" w:rsidRPr="003726FE">
        <w:rPr>
          <w:lang w:val="en-GB"/>
        </w:rPr>
        <w:t xml:space="preserve">. Summary of </w:t>
      </w:r>
      <w:r w:rsidR="00912749" w:rsidRPr="003726FE">
        <w:rPr>
          <w:lang w:val="en-GB"/>
        </w:rPr>
        <w:t>Theme Charting</w:t>
      </w:r>
      <w:r w:rsidR="009F0E25" w:rsidRPr="003726FE">
        <w:rPr>
          <w:lang w:val="en-GB"/>
        </w:rPr>
        <w:t>.</w:t>
      </w:r>
      <w:bookmarkEnd w:id="996"/>
      <w:r w:rsidR="00D80DD9" w:rsidRPr="003726FE">
        <w:rPr>
          <w:noProof/>
          <w:lang w:val="en-GB" w:eastAsia="en-GB"/>
        </w:rPr>
        <w:t xml:space="preserve"> </w:t>
      </w:r>
    </w:p>
    <w:p w14:paraId="2550A183" w14:textId="63CE4AAE" w:rsidR="00FC6F55" w:rsidRPr="003726FE" w:rsidRDefault="00FC6F55">
      <w:pPr>
        <w:rPr>
          <w:rFonts w:eastAsia="Lucida Sans Unicode" w:cs="Mangal"/>
          <w:b/>
          <w:kern w:val="1"/>
          <w:sz w:val="28"/>
          <w:szCs w:val="24"/>
          <w:lang w:eastAsia="hi-IN" w:bidi="hi-IN"/>
        </w:rPr>
      </w:pPr>
      <w:r w:rsidRPr="003726FE">
        <w:br w:type="page"/>
      </w:r>
    </w:p>
    <w:p w14:paraId="3A23A7F6" w14:textId="77777777" w:rsidR="00FC6F55" w:rsidRPr="003726FE" w:rsidRDefault="00FC6F55" w:rsidP="00B1638D">
      <w:pPr>
        <w:pStyle w:val="Heading2"/>
        <w:rPr>
          <w:lang w:val="en-GB"/>
        </w:rPr>
        <w:sectPr w:rsidR="00FC6F55" w:rsidRPr="003726FE" w:rsidSect="007C73DC">
          <w:pgSz w:w="16838" w:h="11906" w:orient="landscape"/>
          <w:pgMar w:top="1134" w:right="1134" w:bottom="1134" w:left="2268" w:header="708" w:footer="708" w:gutter="0"/>
          <w:cols w:space="708"/>
          <w:docGrid w:linePitch="360"/>
        </w:sectPr>
      </w:pPr>
    </w:p>
    <w:p w14:paraId="2648ED91" w14:textId="67A9A2B1" w:rsidR="00B76E6D" w:rsidRPr="003726FE" w:rsidRDefault="00B76E6D" w:rsidP="00B76E6D">
      <w:pPr>
        <w:pStyle w:val="Heading2"/>
        <w:rPr>
          <w:lang w:val="en-GB"/>
        </w:rPr>
      </w:pPr>
      <w:bookmarkStart w:id="997" w:name="_Toc500319484"/>
      <w:r w:rsidRPr="003726FE">
        <w:rPr>
          <w:lang w:val="en-GB"/>
        </w:rPr>
        <w:lastRenderedPageBreak/>
        <w:t>Appendix 13. Demographics of Teachers.</w:t>
      </w:r>
      <w:bookmarkEnd w:id="997"/>
    </w:p>
    <w:p w14:paraId="56CEAB0B" w14:textId="77777777" w:rsidR="00B76E6D" w:rsidRPr="003726FE" w:rsidRDefault="00B76E6D" w:rsidP="00B76E6D"/>
    <w:tbl>
      <w:tblPr>
        <w:tblpPr w:leftFromText="180" w:rightFromText="180" w:horzAnchor="margin" w:tblpY="619"/>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559"/>
        <w:gridCol w:w="1560"/>
        <w:gridCol w:w="3354"/>
        <w:gridCol w:w="2828"/>
        <w:gridCol w:w="2181"/>
      </w:tblGrid>
      <w:tr w:rsidR="00B76E6D" w:rsidRPr="003726FE" w14:paraId="796ADAC5" w14:textId="77777777" w:rsidTr="00E07A7C">
        <w:trPr>
          <w:trHeight w:val="318"/>
        </w:trPr>
        <w:tc>
          <w:tcPr>
            <w:tcW w:w="1833" w:type="dxa"/>
            <w:shd w:val="clear" w:color="auto" w:fill="auto"/>
            <w:noWrap/>
            <w:vAlign w:val="center"/>
            <w:hideMark/>
          </w:tcPr>
          <w:p w14:paraId="518496E4"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ID</w:t>
            </w:r>
          </w:p>
        </w:tc>
        <w:tc>
          <w:tcPr>
            <w:tcW w:w="1559" w:type="dxa"/>
            <w:shd w:val="clear" w:color="auto" w:fill="auto"/>
            <w:noWrap/>
            <w:vAlign w:val="center"/>
            <w:hideMark/>
          </w:tcPr>
          <w:p w14:paraId="669D971F"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Condition</w:t>
            </w:r>
          </w:p>
        </w:tc>
        <w:tc>
          <w:tcPr>
            <w:tcW w:w="1560" w:type="dxa"/>
            <w:shd w:val="clear" w:color="auto" w:fill="auto"/>
            <w:noWrap/>
            <w:vAlign w:val="center"/>
            <w:hideMark/>
          </w:tcPr>
          <w:p w14:paraId="46BB687D"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Sex</w:t>
            </w:r>
          </w:p>
        </w:tc>
        <w:tc>
          <w:tcPr>
            <w:tcW w:w="3354" w:type="dxa"/>
            <w:shd w:val="clear" w:color="auto" w:fill="auto"/>
            <w:noWrap/>
            <w:vAlign w:val="center"/>
            <w:hideMark/>
          </w:tcPr>
          <w:p w14:paraId="1EA4504A"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Ethnicity</w:t>
            </w:r>
          </w:p>
        </w:tc>
        <w:tc>
          <w:tcPr>
            <w:tcW w:w="2828" w:type="dxa"/>
            <w:vAlign w:val="center"/>
          </w:tcPr>
          <w:p w14:paraId="20A8E84C"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Experienced/novice</w:t>
            </w:r>
          </w:p>
        </w:tc>
        <w:tc>
          <w:tcPr>
            <w:tcW w:w="2181" w:type="dxa"/>
            <w:shd w:val="clear" w:color="auto" w:fill="auto"/>
            <w:noWrap/>
            <w:vAlign w:val="center"/>
            <w:hideMark/>
          </w:tcPr>
          <w:p w14:paraId="0AE4750B" w14:textId="77777777" w:rsidR="00B76E6D" w:rsidRPr="003726FE" w:rsidRDefault="00B76E6D" w:rsidP="00426FCB">
            <w:pPr>
              <w:spacing w:after="0" w:line="240" w:lineRule="auto"/>
              <w:jc w:val="center"/>
              <w:rPr>
                <w:rFonts w:eastAsia="Times New Roman" w:cs="Times New Roman"/>
                <w:b/>
                <w:bCs/>
                <w:color w:val="000000"/>
                <w:szCs w:val="24"/>
                <w:lang w:eastAsia="en-GB"/>
              </w:rPr>
            </w:pPr>
            <w:r w:rsidRPr="003726FE">
              <w:rPr>
                <w:rFonts w:eastAsia="Times New Roman" w:cs="Times New Roman"/>
                <w:b/>
                <w:bCs/>
                <w:color w:val="000000"/>
                <w:szCs w:val="24"/>
                <w:lang w:eastAsia="en-GB"/>
              </w:rPr>
              <w:t>Interview duration</w:t>
            </w:r>
          </w:p>
        </w:tc>
      </w:tr>
      <w:tr w:rsidR="00B76E6D" w:rsidRPr="003726FE" w14:paraId="11F113BB" w14:textId="77777777" w:rsidTr="00E07A7C">
        <w:trPr>
          <w:trHeight w:val="303"/>
        </w:trPr>
        <w:tc>
          <w:tcPr>
            <w:tcW w:w="1833" w:type="dxa"/>
            <w:shd w:val="clear" w:color="auto" w:fill="auto"/>
            <w:noWrap/>
            <w:vAlign w:val="center"/>
            <w:hideMark/>
          </w:tcPr>
          <w:p w14:paraId="1357A51D"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Exp - 1</w:t>
            </w:r>
          </w:p>
        </w:tc>
        <w:tc>
          <w:tcPr>
            <w:tcW w:w="1559" w:type="dxa"/>
            <w:shd w:val="clear" w:color="auto" w:fill="auto"/>
            <w:noWrap/>
            <w:vAlign w:val="bottom"/>
            <w:hideMark/>
          </w:tcPr>
          <w:p w14:paraId="24661298"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7AE40883"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M</w:t>
            </w:r>
          </w:p>
        </w:tc>
        <w:tc>
          <w:tcPr>
            <w:tcW w:w="3354" w:type="dxa"/>
            <w:shd w:val="clear" w:color="auto" w:fill="auto"/>
            <w:noWrap/>
            <w:vAlign w:val="bottom"/>
            <w:hideMark/>
          </w:tcPr>
          <w:p w14:paraId="19278BBE"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 German</w:t>
            </w:r>
          </w:p>
        </w:tc>
        <w:tc>
          <w:tcPr>
            <w:tcW w:w="2828" w:type="dxa"/>
            <w:vAlign w:val="center"/>
          </w:tcPr>
          <w:p w14:paraId="1D28BF2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3F393D4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00:47:31</w:t>
            </w:r>
          </w:p>
        </w:tc>
      </w:tr>
      <w:tr w:rsidR="00B76E6D" w:rsidRPr="003726FE" w14:paraId="424156BC" w14:textId="77777777" w:rsidTr="00E07A7C">
        <w:trPr>
          <w:trHeight w:val="303"/>
        </w:trPr>
        <w:tc>
          <w:tcPr>
            <w:tcW w:w="1833" w:type="dxa"/>
            <w:shd w:val="clear" w:color="auto" w:fill="auto"/>
            <w:noWrap/>
            <w:vAlign w:val="center"/>
            <w:hideMark/>
          </w:tcPr>
          <w:p w14:paraId="688EAA3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Exp - 2</w:t>
            </w:r>
          </w:p>
        </w:tc>
        <w:tc>
          <w:tcPr>
            <w:tcW w:w="1559" w:type="dxa"/>
            <w:shd w:val="clear" w:color="auto" w:fill="auto"/>
            <w:noWrap/>
            <w:vAlign w:val="bottom"/>
            <w:hideMark/>
          </w:tcPr>
          <w:p w14:paraId="44253CE0"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639D33FE"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20E07037"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5D3DB8C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23E5CEF5"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00:41:40</w:t>
            </w:r>
          </w:p>
        </w:tc>
      </w:tr>
      <w:tr w:rsidR="00B76E6D" w:rsidRPr="003726FE" w14:paraId="752C5ADB" w14:textId="77777777" w:rsidTr="00E07A7C">
        <w:trPr>
          <w:trHeight w:val="303"/>
        </w:trPr>
        <w:tc>
          <w:tcPr>
            <w:tcW w:w="1833" w:type="dxa"/>
            <w:shd w:val="clear" w:color="auto" w:fill="auto"/>
            <w:noWrap/>
            <w:vAlign w:val="center"/>
            <w:hideMark/>
          </w:tcPr>
          <w:p w14:paraId="5FA939F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Exp - 3</w:t>
            </w:r>
          </w:p>
        </w:tc>
        <w:tc>
          <w:tcPr>
            <w:tcW w:w="1559" w:type="dxa"/>
            <w:shd w:val="clear" w:color="auto" w:fill="auto"/>
            <w:noWrap/>
            <w:vAlign w:val="bottom"/>
            <w:hideMark/>
          </w:tcPr>
          <w:p w14:paraId="7A20D5F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58BDA23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7E054CC7"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2C5F79F6"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65D69C05"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00:38:26</w:t>
            </w:r>
          </w:p>
        </w:tc>
      </w:tr>
      <w:tr w:rsidR="00B76E6D" w:rsidRPr="003726FE" w14:paraId="1ECB2856" w14:textId="77777777" w:rsidTr="00E07A7C">
        <w:trPr>
          <w:trHeight w:val="303"/>
        </w:trPr>
        <w:tc>
          <w:tcPr>
            <w:tcW w:w="1833" w:type="dxa"/>
            <w:shd w:val="clear" w:color="auto" w:fill="auto"/>
            <w:noWrap/>
            <w:vAlign w:val="center"/>
            <w:hideMark/>
          </w:tcPr>
          <w:p w14:paraId="41A68B1B"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Exp - 4</w:t>
            </w:r>
          </w:p>
        </w:tc>
        <w:tc>
          <w:tcPr>
            <w:tcW w:w="1559" w:type="dxa"/>
            <w:shd w:val="clear" w:color="auto" w:fill="auto"/>
            <w:noWrap/>
            <w:vAlign w:val="bottom"/>
            <w:hideMark/>
          </w:tcPr>
          <w:p w14:paraId="2D3354E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254D6123"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2494442C"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6708184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3C9798BC"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00:42:17</w:t>
            </w:r>
          </w:p>
        </w:tc>
      </w:tr>
      <w:tr w:rsidR="00B76E6D" w:rsidRPr="003726FE" w14:paraId="7FB93163" w14:textId="77777777" w:rsidTr="00E07A7C">
        <w:trPr>
          <w:trHeight w:val="303"/>
        </w:trPr>
        <w:tc>
          <w:tcPr>
            <w:tcW w:w="1833" w:type="dxa"/>
            <w:shd w:val="clear" w:color="auto" w:fill="auto"/>
            <w:noWrap/>
            <w:vAlign w:val="center"/>
            <w:hideMark/>
          </w:tcPr>
          <w:p w14:paraId="72D71C05"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Exp - 5</w:t>
            </w:r>
          </w:p>
        </w:tc>
        <w:tc>
          <w:tcPr>
            <w:tcW w:w="1559" w:type="dxa"/>
            <w:shd w:val="clear" w:color="auto" w:fill="auto"/>
            <w:noWrap/>
            <w:vAlign w:val="bottom"/>
            <w:hideMark/>
          </w:tcPr>
          <w:p w14:paraId="415ACF2C"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53CA9F6D"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M</w:t>
            </w:r>
          </w:p>
        </w:tc>
        <w:tc>
          <w:tcPr>
            <w:tcW w:w="3354" w:type="dxa"/>
            <w:shd w:val="clear" w:color="auto" w:fill="auto"/>
            <w:noWrap/>
            <w:vAlign w:val="bottom"/>
            <w:hideMark/>
          </w:tcPr>
          <w:p w14:paraId="1F530DA3"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503EF56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1A59BD20"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00:48:54</w:t>
            </w:r>
          </w:p>
        </w:tc>
      </w:tr>
      <w:tr w:rsidR="00B76E6D" w:rsidRPr="003726FE" w14:paraId="21887D22" w14:textId="77777777" w:rsidTr="00E07A7C">
        <w:trPr>
          <w:trHeight w:val="303"/>
        </w:trPr>
        <w:tc>
          <w:tcPr>
            <w:tcW w:w="1833" w:type="dxa"/>
            <w:shd w:val="clear" w:color="auto" w:fill="auto"/>
            <w:noWrap/>
            <w:vAlign w:val="center"/>
            <w:hideMark/>
          </w:tcPr>
          <w:p w14:paraId="7EA8AF1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Exp - 6</w:t>
            </w:r>
          </w:p>
        </w:tc>
        <w:tc>
          <w:tcPr>
            <w:tcW w:w="1559" w:type="dxa"/>
            <w:shd w:val="clear" w:color="auto" w:fill="auto"/>
            <w:noWrap/>
            <w:vAlign w:val="bottom"/>
            <w:hideMark/>
          </w:tcPr>
          <w:p w14:paraId="285185E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5A89ED11"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7858875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774C9FC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Experienced</w:t>
            </w:r>
          </w:p>
        </w:tc>
        <w:tc>
          <w:tcPr>
            <w:tcW w:w="2181" w:type="dxa"/>
            <w:shd w:val="clear" w:color="auto" w:fill="auto"/>
            <w:noWrap/>
            <w:vAlign w:val="center"/>
            <w:hideMark/>
          </w:tcPr>
          <w:p w14:paraId="519A24F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00:34:22</w:t>
            </w:r>
          </w:p>
        </w:tc>
      </w:tr>
      <w:tr w:rsidR="00B76E6D" w:rsidRPr="003726FE" w14:paraId="6928FA48" w14:textId="77777777" w:rsidTr="00E07A7C">
        <w:trPr>
          <w:trHeight w:val="303"/>
        </w:trPr>
        <w:tc>
          <w:tcPr>
            <w:tcW w:w="1833" w:type="dxa"/>
            <w:shd w:val="clear" w:color="auto" w:fill="auto"/>
            <w:noWrap/>
            <w:vAlign w:val="center"/>
            <w:hideMark/>
          </w:tcPr>
          <w:p w14:paraId="0C3548B0"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Nov - 1</w:t>
            </w:r>
          </w:p>
        </w:tc>
        <w:tc>
          <w:tcPr>
            <w:tcW w:w="1559" w:type="dxa"/>
            <w:shd w:val="clear" w:color="auto" w:fill="auto"/>
            <w:noWrap/>
            <w:vAlign w:val="bottom"/>
            <w:hideMark/>
          </w:tcPr>
          <w:p w14:paraId="7332386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68AB285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0937E9A1"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410A6C4D"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47E9A34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00:43:05</w:t>
            </w:r>
          </w:p>
        </w:tc>
      </w:tr>
      <w:tr w:rsidR="00B76E6D" w:rsidRPr="003726FE" w14:paraId="66D3F0CE" w14:textId="77777777" w:rsidTr="00E07A7C">
        <w:trPr>
          <w:trHeight w:val="303"/>
        </w:trPr>
        <w:tc>
          <w:tcPr>
            <w:tcW w:w="1833" w:type="dxa"/>
            <w:shd w:val="clear" w:color="auto" w:fill="auto"/>
            <w:noWrap/>
            <w:vAlign w:val="center"/>
            <w:hideMark/>
          </w:tcPr>
          <w:p w14:paraId="64169E28"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Nov - 2</w:t>
            </w:r>
          </w:p>
        </w:tc>
        <w:tc>
          <w:tcPr>
            <w:tcW w:w="1559" w:type="dxa"/>
            <w:shd w:val="clear" w:color="auto" w:fill="auto"/>
            <w:noWrap/>
            <w:vAlign w:val="bottom"/>
            <w:hideMark/>
          </w:tcPr>
          <w:p w14:paraId="52BE43FD"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68432A7B"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73C1AE43"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68472AA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0D3C8C0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00:40:15</w:t>
            </w:r>
          </w:p>
        </w:tc>
      </w:tr>
      <w:tr w:rsidR="00B76E6D" w:rsidRPr="003726FE" w14:paraId="3A1EEB65" w14:textId="77777777" w:rsidTr="00E07A7C">
        <w:trPr>
          <w:trHeight w:val="303"/>
        </w:trPr>
        <w:tc>
          <w:tcPr>
            <w:tcW w:w="1833" w:type="dxa"/>
            <w:shd w:val="clear" w:color="auto" w:fill="auto"/>
            <w:noWrap/>
            <w:vAlign w:val="center"/>
            <w:hideMark/>
          </w:tcPr>
          <w:p w14:paraId="6BCA04FF"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Nov - 3</w:t>
            </w:r>
          </w:p>
        </w:tc>
        <w:tc>
          <w:tcPr>
            <w:tcW w:w="1559" w:type="dxa"/>
            <w:shd w:val="clear" w:color="auto" w:fill="auto"/>
            <w:noWrap/>
            <w:vAlign w:val="bottom"/>
            <w:hideMark/>
          </w:tcPr>
          <w:p w14:paraId="402E95A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562F5060"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702B5B9F"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4A66E06B"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67BC33DF"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00:38:54</w:t>
            </w:r>
          </w:p>
        </w:tc>
      </w:tr>
      <w:tr w:rsidR="00B76E6D" w:rsidRPr="003726FE" w14:paraId="67268CEA" w14:textId="77777777" w:rsidTr="00E07A7C">
        <w:trPr>
          <w:trHeight w:val="303"/>
        </w:trPr>
        <w:tc>
          <w:tcPr>
            <w:tcW w:w="1833" w:type="dxa"/>
            <w:shd w:val="clear" w:color="auto" w:fill="auto"/>
            <w:noWrap/>
            <w:vAlign w:val="center"/>
            <w:hideMark/>
          </w:tcPr>
          <w:p w14:paraId="4F39656C"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Nov - 4</w:t>
            </w:r>
          </w:p>
        </w:tc>
        <w:tc>
          <w:tcPr>
            <w:tcW w:w="1559" w:type="dxa"/>
            <w:shd w:val="clear" w:color="auto" w:fill="auto"/>
            <w:noWrap/>
            <w:vAlign w:val="bottom"/>
            <w:hideMark/>
          </w:tcPr>
          <w:p w14:paraId="67F4B101"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31376C3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F</w:t>
            </w:r>
          </w:p>
        </w:tc>
        <w:tc>
          <w:tcPr>
            <w:tcW w:w="3354" w:type="dxa"/>
            <w:shd w:val="clear" w:color="auto" w:fill="auto"/>
            <w:noWrap/>
            <w:vAlign w:val="bottom"/>
            <w:hideMark/>
          </w:tcPr>
          <w:p w14:paraId="363FA006"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41EACD70"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67D8118F"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00:49:36</w:t>
            </w:r>
          </w:p>
        </w:tc>
      </w:tr>
      <w:tr w:rsidR="00B76E6D" w:rsidRPr="003726FE" w14:paraId="3EEEE27D" w14:textId="77777777" w:rsidTr="00E07A7C">
        <w:trPr>
          <w:trHeight w:val="303"/>
        </w:trPr>
        <w:tc>
          <w:tcPr>
            <w:tcW w:w="1833" w:type="dxa"/>
            <w:shd w:val="clear" w:color="auto" w:fill="auto"/>
            <w:noWrap/>
            <w:vAlign w:val="center"/>
            <w:hideMark/>
          </w:tcPr>
          <w:p w14:paraId="4CF8D16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 Nov - 5</w:t>
            </w:r>
          </w:p>
        </w:tc>
        <w:tc>
          <w:tcPr>
            <w:tcW w:w="1559" w:type="dxa"/>
            <w:shd w:val="clear" w:color="auto" w:fill="auto"/>
            <w:noWrap/>
            <w:vAlign w:val="bottom"/>
            <w:hideMark/>
          </w:tcPr>
          <w:p w14:paraId="00869246"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SRLF</w:t>
            </w:r>
          </w:p>
        </w:tc>
        <w:tc>
          <w:tcPr>
            <w:tcW w:w="1560" w:type="dxa"/>
            <w:shd w:val="clear" w:color="auto" w:fill="auto"/>
            <w:noWrap/>
            <w:vAlign w:val="bottom"/>
            <w:hideMark/>
          </w:tcPr>
          <w:p w14:paraId="45A634D6"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M</w:t>
            </w:r>
          </w:p>
        </w:tc>
        <w:tc>
          <w:tcPr>
            <w:tcW w:w="3354" w:type="dxa"/>
            <w:shd w:val="clear" w:color="auto" w:fill="auto"/>
            <w:noWrap/>
            <w:vAlign w:val="bottom"/>
            <w:hideMark/>
          </w:tcPr>
          <w:p w14:paraId="1445D26F"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55A69F5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743C0DEB"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00:49:52</w:t>
            </w:r>
          </w:p>
        </w:tc>
      </w:tr>
      <w:tr w:rsidR="00B76E6D" w:rsidRPr="003726FE" w14:paraId="59AA6B77" w14:textId="77777777" w:rsidTr="00E07A7C">
        <w:trPr>
          <w:trHeight w:val="303"/>
        </w:trPr>
        <w:tc>
          <w:tcPr>
            <w:tcW w:w="1833" w:type="dxa"/>
            <w:shd w:val="clear" w:color="auto" w:fill="auto"/>
            <w:noWrap/>
            <w:vAlign w:val="center"/>
            <w:hideMark/>
          </w:tcPr>
          <w:p w14:paraId="6D73A176"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Nov - 6</w:t>
            </w:r>
          </w:p>
        </w:tc>
        <w:tc>
          <w:tcPr>
            <w:tcW w:w="1559" w:type="dxa"/>
            <w:shd w:val="clear" w:color="auto" w:fill="auto"/>
            <w:noWrap/>
            <w:vAlign w:val="bottom"/>
            <w:hideMark/>
          </w:tcPr>
          <w:p w14:paraId="080613B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6C2F4A6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M</w:t>
            </w:r>
          </w:p>
        </w:tc>
        <w:tc>
          <w:tcPr>
            <w:tcW w:w="3354" w:type="dxa"/>
            <w:shd w:val="clear" w:color="auto" w:fill="auto"/>
            <w:noWrap/>
            <w:vAlign w:val="bottom"/>
            <w:hideMark/>
          </w:tcPr>
          <w:p w14:paraId="6D45C248"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Asian or Asian British - Indian</w:t>
            </w:r>
          </w:p>
        </w:tc>
        <w:tc>
          <w:tcPr>
            <w:tcW w:w="2828" w:type="dxa"/>
            <w:vAlign w:val="center"/>
          </w:tcPr>
          <w:p w14:paraId="283B29FC"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00C67CB2"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00:36:52</w:t>
            </w:r>
          </w:p>
        </w:tc>
      </w:tr>
      <w:tr w:rsidR="00B76E6D" w:rsidRPr="003726FE" w14:paraId="4A7BE81B" w14:textId="77777777" w:rsidTr="00E07A7C">
        <w:trPr>
          <w:trHeight w:val="303"/>
        </w:trPr>
        <w:tc>
          <w:tcPr>
            <w:tcW w:w="1833" w:type="dxa"/>
            <w:shd w:val="clear" w:color="auto" w:fill="auto"/>
            <w:noWrap/>
            <w:vAlign w:val="center"/>
            <w:hideMark/>
          </w:tcPr>
          <w:p w14:paraId="79E993E9"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 Nov - 7</w:t>
            </w:r>
          </w:p>
        </w:tc>
        <w:tc>
          <w:tcPr>
            <w:tcW w:w="1559" w:type="dxa"/>
            <w:shd w:val="clear" w:color="auto" w:fill="auto"/>
            <w:noWrap/>
            <w:vAlign w:val="bottom"/>
            <w:hideMark/>
          </w:tcPr>
          <w:p w14:paraId="10DC5B97"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BPF</w:t>
            </w:r>
          </w:p>
        </w:tc>
        <w:tc>
          <w:tcPr>
            <w:tcW w:w="1560" w:type="dxa"/>
            <w:shd w:val="clear" w:color="auto" w:fill="auto"/>
            <w:noWrap/>
            <w:vAlign w:val="bottom"/>
            <w:hideMark/>
          </w:tcPr>
          <w:p w14:paraId="70B272C4"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M</w:t>
            </w:r>
          </w:p>
        </w:tc>
        <w:tc>
          <w:tcPr>
            <w:tcW w:w="3354" w:type="dxa"/>
            <w:shd w:val="clear" w:color="auto" w:fill="auto"/>
            <w:noWrap/>
            <w:vAlign w:val="bottom"/>
            <w:hideMark/>
          </w:tcPr>
          <w:p w14:paraId="08E9AAEA"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White, British</w:t>
            </w:r>
          </w:p>
        </w:tc>
        <w:tc>
          <w:tcPr>
            <w:tcW w:w="2828" w:type="dxa"/>
            <w:vAlign w:val="center"/>
          </w:tcPr>
          <w:p w14:paraId="074E8118"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Novice</w:t>
            </w:r>
          </w:p>
        </w:tc>
        <w:tc>
          <w:tcPr>
            <w:tcW w:w="2181" w:type="dxa"/>
            <w:shd w:val="clear" w:color="auto" w:fill="auto"/>
            <w:noWrap/>
            <w:vAlign w:val="center"/>
            <w:hideMark/>
          </w:tcPr>
          <w:p w14:paraId="69BB1E07" w14:textId="77777777" w:rsidR="00B76E6D" w:rsidRPr="003726FE" w:rsidRDefault="00B76E6D" w:rsidP="00426FCB">
            <w:pPr>
              <w:pStyle w:val="Normal1"/>
              <w:jc w:val="center"/>
              <w:rPr>
                <w:rFonts w:eastAsia="Times New Roman" w:cs="Times New Roman"/>
                <w:lang w:val="en-GB" w:eastAsia="en-GB"/>
              </w:rPr>
            </w:pPr>
            <w:r w:rsidRPr="003726FE">
              <w:rPr>
                <w:rFonts w:cs="Times New Roman"/>
                <w:lang w:val="en-GB"/>
              </w:rPr>
              <w:t>00:43:04</w:t>
            </w:r>
          </w:p>
        </w:tc>
      </w:tr>
    </w:tbl>
    <w:p w14:paraId="0E842D6D" w14:textId="77777777" w:rsidR="00B76E6D" w:rsidRPr="003726FE" w:rsidRDefault="00B76E6D" w:rsidP="00B76E6D">
      <w:pPr>
        <w:rPr>
          <w:rFonts w:eastAsia="Lucida Sans Unicode" w:cs="Mangal"/>
          <w:kern w:val="1"/>
          <w:szCs w:val="24"/>
          <w:lang w:eastAsia="hi-IN" w:bidi="hi-IN"/>
        </w:rPr>
        <w:sectPr w:rsidR="00B76E6D" w:rsidRPr="003726FE" w:rsidSect="007C73DC">
          <w:pgSz w:w="16838" w:h="11906" w:orient="landscape"/>
          <w:pgMar w:top="1134" w:right="1134" w:bottom="1134" w:left="2268" w:header="708" w:footer="708" w:gutter="0"/>
          <w:cols w:space="708"/>
          <w:docGrid w:linePitch="360"/>
        </w:sectPr>
      </w:pPr>
    </w:p>
    <w:p w14:paraId="33F95854" w14:textId="69340448" w:rsidR="0065779E" w:rsidRPr="003726FE" w:rsidRDefault="00C264A5" w:rsidP="00B1638D">
      <w:pPr>
        <w:pStyle w:val="Heading2"/>
        <w:rPr>
          <w:lang w:val="en-GB"/>
        </w:rPr>
      </w:pPr>
      <w:bookmarkStart w:id="998" w:name="_Toc500319485"/>
      <w:r w:rsidRPr="003726FE">
        <w:rPr>
          <w:noProof/>
          <w:lang w:val="en-GB" w:eastAsia="en-GB" w:bidi="ar-SA"/>
        </w:rPr>
        <w:lastRenderedPageBreak/>
        <w:drawing>
          <wp:anchor distT="0" distB="0" distL="114300" distR="114300" simplePos="0" relativeHeight="251943936" behindDoc="0" locked="0" layoutInCell="1" allowOverlap="0" wp14:anchorId="01C66831" wp14:editId="714244CE">
            <wp:simplePos x="0" y="0"/>
            <wp:positionH relativeFrom="page">
              <wp:posOffset>1490133</wp:posOffset>
            </wp:positionH>
            <wp:positionV relativeFrom="page">
              <wp:posOffset>1456267</wp:posOffset>
            </wp:positionV>
            <wp:extent cx="5335694" cy="7919182"/>
            <wp:effectExtent l="0" t="0" r="0" b="5715"/>
            <wp:wrapTopAndBottom/>
            <wp:docPr id="1117" name="Picture 111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3"/>
                    <a:stretch>
                      <a:fillRect/>
                    </a:stretch>
                  </pic:blipFill>
                  <pic:spPr>
                    <a:xfrm>
                      <a:off x="0" y="0"/>
                      <a:ext cx="5340772" cy="7926719"/>
                    </a:xfrm>
                    <a:prstGeom prst="rect">
                      <a:avLst/>
                    </a:prstGeom>
                  </pic:spPr>
                </pic:pic>
              </a:graphicData>
            </a:graphic>
            <wp14:sizeRelH relativeFrom="margin">
              <wp14:pctWidth>0</wp14:pctWidth>
            </wp14:sizeRelH>
            <wp14:sizeRelV relativeFrom="margin">
              <wp14:pctHeight>0</wp14:pctHeight>
            </wp14:sizeRelV>
          </wp:anchor>
        </w:drawing>
      </w:r>
      <w:r w:rsidR="0065779E" w:rsidRPr="003726FE">
        <w:rPr>
          <w:lang w:val="en-GB"/>
        </w:rPr>
        <w:t xml:space="preserve">Appendix </w:t>
      </w:r>
      <w:r w:rsidR="006B367E" w:rsidRPr="003726FE">
        <w:rPr>
          <w:lang w:val="en-GB"/>
        </w:rPr>
        <w:t>1</w:t>
      </w:r>
      <w:r w:rsidR="009F0E25" w:rsidRPr="003726FE">
        <w:rPr>
          <w:lang w:val="en-GB"/>
        </w:rPr>
        <w:t>4</w:t>
      </w:r>
      <w:r w:rsidR="0065779E" w:rsidRPr="003726FE">
        <w:rPr>
          <w:lang w:val="en-GB"/>
        </w:rPr>
        <w:t>.</w:t>
      </w:r>
      <w:r w:rsidR="00026049" w:rsidRPr="003726FE">
        <w:rPr>
          <w:lang w:val="en-GB"/>
        </w:rPr>
        <w:t xml:space="preserve"> The Short Self-Regulation Questionnaire (SSRQ).</w:t>
      </w:r>
      <w:bookmarkEnd w:id="998"/>
    </w:p>
    <w:p w14:paraId="5BACDC3F" w14:textId="6D20D122" w:rsidR="0065779E" w:rsidRPr="003726FE" w:rsidRDefault="00C264A5">
      <w:pPr>
        <w:spacing w:after="0"/>
        <w:ind w:left="-1440" w:right="10464"/>
      </w:pPr>
      <w:r w:rsidRPr="003726FE">
        <w:rPr>
          <w:noProof/>
          <w:lang w:eastAsia="en-GB"/>
        </w:rPr>
        <w:lastRenderedPageBreak/>
        <w:drawing>
          <wp:anchor distT="0" distB="0" distL="114300" distR="114300" simplePos="0" relativeHeight="251944960" behindDoc="0" locked="0" layoutInCell="1" allowOverlap="0" wp14:anchorId="5FF63A78" wp14:editId="5D8D734E">
            <wp:simplePos x="0" y="0"/>
            <wp:positionH relativeFrom="page">
              <wp:posOffset>1032510</wp:posOffset>
            </wp:positionH>
            <wp:positionV relativeFrom="page">
              <wp:posOffset>1235710</wp:posOffset>
            </wp:positionV>
            <wp:extent cx="5074920" cy="8269657"/>
            <wp:effectExtent l="0" t="0" r="0" b="0"/>
            <wp:wrapTopAndBottom/>
            <wp:docPr id="1118" name="Picture 11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4"/>
                    <a:stretch>
                      <a:fillRect/>
                    </a:stretch>
                  </pic:blipFill>
                  <pic:spPr>
                    <a:xfrm>
                      <a:off x="0" y="0"/>
                      <a:ext cx="5074920" cy="8269657"/>
                    </a:xfrm>
                    <a:prstGeom prst="rect">
                      <a:avLst/>
                    </a:prstGeom>
                  </pic:spPr>
                </pic:pic>
              </a:graphicData>
            </a:graphic>
            <wp14:sizeRelH relativeFrom="margin">
              <wp14:pctWidth>0</wp14:pctWidth>
            </wp14:sizeRelH>
            <wp14:sizeRelV relativeFrom="margin">
              <wp14:pctHeight>0</wp14:pctHeight>
            </wp14:sizeRelV>
          </wp:anchor>
        </w:drawing>
      </w:r>
      <w:r w:rsidR="0065779E" w:rsidRPr="003726FE">
        <w:br w:type="page"/>
      </w:r>
    </w:p>
    <w:p w14:paraId="118A4D5B" w14:textId="41ED30E2" w:rsidR="0065779E" w:rsidRPr="003726FE" w:rsidRDefault="0065779E">
      <w:pPr>
        <w:spacing w:after="0"/>
        <w:ind w:left="-1440" w:right="10464"/>
      </w:pPr>
    </w:p>
    <w:p w14:paraId="489459A0" w14:textId="1C2432E8" w:rsidR="00026049" w:rsidRPr="003726FE" w:rsidRDefault="00D80DD9" w:rsidP="00B1638D">
      <w:pPr>
        <w:pStyle w:val="Heading2"/>
        <w:rPr>
          <w:lang w:val="en-GB"/>
        </w:rPr>
      </w:pPr>
      <w:bookmarkStart w:id="999" w:name="_Toc500319486"/>
      <w:r w:rsidRPr="003726FE">
        <w:rPr>
          <w:noProof/>
          <w:lang w:val="en-GB" w:eastAsia="en-GB" w:bidi="ar-SA"/>
        </w:rPr>
        <w:drawing>
          <wp:anchor distT="0" distB="0" distL="114300" distR="114300" simplePos="0" relativeHeight="251947008" behindDoc="0" locked="0" layoutInCell="1" allowOverlap="0" wp14:anchorId="164E6439" wp14:editId="1DE1C0A4">
            <wp:simplePos x="0" y="0"/>
            <wp:positionH relativeFrom="page">
              <wp:posOffset>1453091</wp:posOffset>
            </wp:positionH>
            <wp:positionV relativeFrom="page">
              <wp:posOffset>1370965</wp:posOffset>
            </wp:positionV>
            <wp:extent cx="5401339" cy="8176437"/>
            <wp:effectExtent l="0" t="0" r="8890" b="0"/>
            <wp:wrapTopAndBottom/>
            <wp:docPr id="1119" name="Picture 111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5"/>
                    <a:stretch>
                      <a:fillRect/>
                    </a:stretch>
                  </pic:blipFill>
                  <pic:spPr>
                    <a:xfrm>
                      <a:off x="0" y="0"/>
                      <a:ext cx="5401339" cy="8176437"/>
                    </a:xfrm>
                    <a:prstGeom prst="rect">
                      <a:avLst/>
                    </a:prstGeom>
                  </pic:spPr>
                </pic:pic>
              </a:graphicData>
            </a:graphic>
            <wp14:sizeRelH relativeFrom="margin">
              <wp14:pctWidth>0</wp14:pctWidth>
            </wp14:sizeRelH>
            <wp14:sizeRelV relativeFrom="margin">
              <wp14:pctHeight>0</wp14:pctHeight>
            </wp14:sizeRelV>
          </wp:anchor>
        </w:drawing>
      </w:r>
      <w:r w:rsidR="00026049" w:rsidRPr="003726FE">
        <w:rPr>
          <w:lang w:val="en-GB"/>
        </w:rPr>
        <w:t xml:space="preserve">Appendix </w:t>
      </w:r>
      <w:r w:rsidR="001D4448" w:rsidRPr="003726FE">
        <w:rPr>
          <w:lang w:val="en-GB"/>
        </w:rPr>
        <w:t>1</w:t>
      </w:r>
      <w:r w:rsidR="009F0E25" w:rsidRPr="003726FE">
        <w:rPr>
          <w:lang w:val="en-GB"/>
        </w:rPr>
        <w:t>5</w:t>
      </w:r>
      <w:r w:rsidR="00026049" w:rsidRPr="003726FE">
        <w:rPr>
          <w:lang w:val="en-GB"/>
        </w:rPr>
        <w:t xml:space="preserve">. The General Self-Efficacy </w:t>
      </w:r>
      <w:r w:rsidR="00912749">
        <w:rPr>
          <w:lang w:val="en-GB"/>
        </w:rPr>
        <w:t>S</w:t>
      </w:r>
      <w:r w:rsidR="00026049" w:rsidRPr="003726FE">
        <w:rPr>
          <w:lang w:val="en-GB"/>
        </w:rPr>
        <w:t>cale (GSE).</w:t>
      </w:r>
      <w:bookmarkEnd w:id="999"/>
    </w:p>
    <w:p w14:paraId="127E6752" w14:textId="619F2741" w:rsidR="00026049" w:rsidRPr="003726FE" w:rsidRDefault="00026049">
      <w:pPr>
        <w:spacing w:after="0"/>
        <w:ind w:left="-1440" w:right="10464"/>
      </w:pPr>
    </w:p>
    <w:p w14:paraId="240FF2D4" w14:textId="3A31B65C" w:rsidR="001F4885" w:rsidRPr="003726FE" w:rsidRDefault="00026049" w:rsidP="00B1638D">
      <w:pPr>
        <w:pStyle w:val="Heading2"/>
        <w:rPr>
          <w:lang w:val="en-GB"/>
        </w:rPr>
      </w:pPr>
      <w:bookmarkStart w:id="1000" w:name="_Toc500319487"/>
      <w:r w:rsidRPr="003726FE">
        <w:rPr>
          <w:lang w:val="en-GB"/>
        </w:rPr>
        <w:lastRenderedPageBreak/>
        <w:t xml:space="preserve">Appendix </w:t>
      </w:r>
      <w:r w:rsidR="001D4448" w:rsidRPr="003726FE">
        <w:rPr>
          <w:lang w:val="en-GB"/>
        </w:rPr>
        <w:t>1</w:t>
      </w:r>
      <w:r w:rsidR="009F0E25" w:rsidRPr="003726FE">
        <w:rPr>
          <w:lang w:val="en-GB"/>
        </w:rPr>
        <w:t>6</w:t>
      </w:r>
      <w:r w:rsidRPr="003726FE">
        <w:rPr>
          <w:lang w:val="en-GB"/>
        </w:rPr>
        <w:t xml:space="preserve">. </w:t>
      </w:r>
      <w:r w:rsidR="0055590E" w:rsidRPr="003726FE">
        <w:rPr>
          <w:lang w:val="en-GB"/>
        </w:rPr>
        <w:t>R</w:t>
      </w:r>
      <w:r w:rsidRPr="003726FE">
        <w:rPr>
          <w:lang w:val="en-GB"/>
        </w:rPr>
        <w:t xml:space="preserve">ecruitment </w:t>
      </w:r>
      <w:r w:rsidR="00912749" w:rsidRPr="003726FE">
        <w:rPr>
          <w:lang w:val="en-GB"/>
        </w:rPr>
        <w:t>Material, Information Sheet</w:t>
      </w:r>
      <w:r w:rsidRPr="003726FE">
        <w:rPr>
          <w:lang w:val="en-GB"/>
        </w:rPr>
        <w:t xml:space="preserve">, and </w:t>
      </w:r>
      <w:r w:rsidR="00912749" w:rsidRPr="003726FE">
        <w:rPr>
          <w:lang w:val="en-GB"/>
        </w:rPr>
        <w:t>Consent Form for</w:t>
      </w:r>
      <w:r w:rsidR="00912749">
        <w:rPr>
          <w:lang w:val="en-GB"/>
        </w:rPr>
        <w:t xml:space="preserve"> Students Participating i</w:t>
      </w:r>
      <w:r w:rsidR="00912749" w:rsidRPr="003726FE">
        <w:rPr>
          <w:lang w:val="en-GB"/>
        </w:rPr>
        <w:t xml:space="preserve">n the Validation </w:t>
      </w:r>
      <w:r w:rsidRPr="003726FE">
        <w:rPr>
          <w:lang w:val="en-GB"/>
        </w:rPr>
        <w:t>of the SSRQ.</w:t>
      </w:r>
      <w:bookmarkEnd w:id="1000"/>
    </w:p>
    <w:p w14:paraId="46CBD828" w14:textId="300E780F" w:rsidR="001F4885" w:rsidRPr="003726FE" w:rsidRDefault="001F4885" w:rsidP="001F4885">
      <w:pPr>
        <w:rPr>
          <w:b/>
        </w:rPr>
      </w:pPr>
    </w:p>
    <w:p w14:paraId="787CCA35" w14:textId="560A228A" w:rsidR="001F4885" w:rsidRPr="003726FE" w:rsidRDefault="001F4885" w:rsidP="001F4885">
      <w:pPr>
        <w:rPr>
          <w:b/>
        </w:rPr>
      </w:pPr>
      <w:r w:rsidRPr="003726FE">
        <w:rPr>
          <w:b/>
        </w:rPr>
        <w:t>Minerva announcement – 26/10/16</w:t>
      </w:r>
    </w:p>
    <w:p w14:paraId="15304968" w14:textId="639FA544" w:rsidR="001F4885" w:rsidRPr="003726FE" w:rsidRDefault="001F4885" w:rsidP="001F4885">
      <w:pPr>
        <w:rPr>
          <w:b/>
        </w:rPr>
      </w:pPr>
    </w:p>
    <w:p w14:paraId="448A1D78" w14:textId="112604F5" w:rsidR="001F4885" w:rsidRPr="003726FE" w:rsidRDefault="001F4885" w:rsidP="001F4885">
      <w:r w:rsidRPr="003726FE">
        <w:rPr>
          <w:b/>
        </w:rPr>
        <w:t>Medical Education Research – How do you self-direct your learning?</w:t>
      </w:r>
    </w:p>
    <w:p w14:paraId="01996C60" w14:textId="43E1E561" w:rsidR="001F4885" w:rsidRPr="003726FE" w:rsidRDefault="001F4885" w:rsidP="001F4885"/>
    <w:p w14:paraId="75DF4D67" w14:textId="0C6C92AD" w:rsidR="001F4885" w:rsidRPr="003726FE" w:rsidRDefault="001F4885" w:rsidP="001F4885">
      <w:r w:rsidRPr="003726FE">
        <w:t>Dear Phase 2a Students,</w:t>
      </w:r>
    </w:p>
    <w:p w14:paraId="12A960E8" w14:textId="1E0BE44E" w:rsidR="001F4885" w:rsidRPr="003726FE" w:rsidRDefault="001F4885" w:rsidP="001F4885">
      <w:r w:rsidRPr="003726FE">
        <w:t>My name is Billy Bryan and I am a final year PhD student in medical education, supervised by Prof. Murdoch Eaton. We are conducting a research study on how students self-direct their learning. As part of this, we are testing a survey tool to measure some of the ways you approach learning and would like to ask you to complete this during an upcoming lecture.</w:t>
      </w:r>
    </w:p>
    <w:p w14:paraId="06F7664C" w14:textId="2CEC84A5" w:rsidR="001F4885" w:rsidRPr="003726FE" w:rsidRDefault="001F4885" w:rsidP="001F4885">
      <w:r w:rsidRPr="003726FE">
        <w:t>We will be giving the survey out during your lecture 31/10 at 9am and collecting them back in at 11am. There will be further information on the day and if you are okay with participating, we will provide the questionnaire for you to complete.</w:t>
      </w:r>
    </w:p>
    <w:p w14:paraId="5C1C260F" w14:textId="1278BFBA" w:rsidR="001F4885" w:rsidRPr="003726FE" w:rsidRDefault="001F4885" w:rsidP="001F4885">
      <w:r w:rsidRPr="003726FE">
        <w:t>For more information now please see the attached information sheet.</w:t>
      </w:r>
    </w:p>
    <w:p w14:paraId="3EECECFC" w14:textId="2031ADD0" w:rsidR="001F4885" w:rsidRPr="003726FE" w:rsidRDefault="001F4885" w:rsidP="001F4885">
      <w:r w:rsidRPr="003726FE">
        <w:t>If you have any questions/concerns at the moment please contact us using the following details.</w:t>
      </w:r>
    </w:p>
    <w:p w14:paraId="224C49BA" w14:textId="54731E32" w:rsidR="001F4885" w:rsidRPr="003726FE" w:rsidRDefault="001F4885" w:rsidP="001F4885">
      <w:r w:rsidRPr="003726FE">
        <w:t xml:space="preserve">Email: </w:t>
      </w:r>
      <w:hyperlink r:id="rId116" w:history="1">
        <w:r w:rsidRPr="003726FE">
          <w:rPr>
            <w:rStyle w:val="Hyperlink"/>
          </w:rPr>
          <w:t>bjbryan1@sheffield.ac.uk</w:t>
        </w:r>
      </w:hyperlink>
      <w:r w:rsidRPr="003726FE">
        <w:t xml:space="preserve"> - OR - Email: </w:t>
      </w:r>
      <w:hyperlink r:id="rId117" w:history="1">
        <w:r w:rsidRPr="003726FE">
          <w:rPr>
            <w:rStyle w:val="Hyperlink"/>
          </w:rPr>
          <w:t>d.murdoch-eaton@sheffield.ac.uk</w:t>
        </w:r>
      </w:hyperlink>
      <w:r w:rsidRPr="003726FE">
        <w:t xml:space="preserve"> </w:t>
      </w:r>
    </w:p>
    <w:p w14:paraId="63B537AA" w14:textId="799A4F18" w:rsidR="001F4885" w:rsidRPr="003726FE" w:rsidRDefault="001F4885" w:rsidP="001F4885">
      <w:r w:rsidRPr="003726FE">
        <w:t>Thank you for reading this.</w:t>
      </w:r>
    </w:p>
    <w:p w14:paraId="3A255F75" w14:textId="673D43C4" w:rsidR="001F4885" w:rsidRPr="003726FE" w:rsidRDefault="001F4885" w:rsidP="001F4885">
      <w:r w:rsidRPr="003726FE">
        <w:t>Billy Bryan</w:t>
      </w:r>
    </w:p>
    <w:p w14:paraId="1F9A0A8B" w14:textId="40BA5CE4" w:rsidR="001F4885" w:rsidRPr="003726FE" w:rsidRDefault="001F4885">
      <w:pPr>
        <w:rPr>
          <w:rFonts w:ascii="TUOS Blake" w:hAnsi="TUOS Blake"/>
          <w:b/>
          <w:color w:val="222222"/>
          <w:szCs w:val="19"/>
          <w:shd w:val="clear" w:color="auto" w:fill="FFFFFF"/>
        </w:rPr>
      </w:pPr>
      <w:r w:rsidRPr="003726FE">
        <w:rPr>
          <w:rFonts w:ascii="TUOS Blake" w:hAnsi="TUOS Blake"/>
          <w:b/>
          <w:color w:val="222222"/>
          <w:szCs w:val="19"/>
          <w:shd w:val="clear" w:color="auto" w:fill="FFFFFF"/>
        </w:rPr>
        <w:br w:type="page"/>
      </w:r>
    </w:p>
    <w:p w14:paraId="3BA2441C" w14:textId="0FC5FF3B" w:rsidR="001F4885" w:rsidRPr="003726FE" w:rsidRDefault="001F4885" w:rsidP="001F4885">
      <w:pPr>
        <w:spacing w:line="240" w:lineRule="auto"/>
        <w:rPr>
          <w:rFonts w:ascii="TUOS Blake" w:hAnsi="TUOS Blake"/>
          <w:b/>
          <w:color w:val="222222"/>
          <w:szCs w:val="19"/>
          <w:shd w:val="clear" w:color="auto" w:fill="FFFFFF"/>
        </w:rPr>
      </w:pPr>
      <w:r w:rsidRPr="003726FE">
        <w:rPr>
          <w:rFonts w:ascii="Arial" w:hAnsi="Arial"/>
          <w:b/>
          <w:noProof/>
          <w:color w:val="222222"/>
          <w:szCs w:val="19"/>
          <w:lang w:eastAsia="en-GB"/>
        </w:rPr>
        <w:lastRenderedPageBreak/>
        <mc:AlternateContent>
          <mc:Choice Requires="wps">
            <w:drawing>
              <wp:anchor distT="0" distB="0" distL="114300" distR="114300" simplePos="0" relativeHeight="251953152" behindDoc="0" locked="0" layoutInCell="1" allowOverlap="1" wp14:anchorId="1EDA2696" wp14:editId="7E2B9695">
                <wp:simplePos x="0" y="0"/>
                <wp:positionH relativeFrom="margin">
                  <wp:posOffset>4019978</wp:posOffset>
                </wp:positionH>
                <wp:positionV relativeFrom="paragraph">
                  <wp:posOffset>205681</wp:posOffset>
                </wp:positionV>
                <wp:extent cx="1446530" cy="903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46530" cy="90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EA6C4" w14:textId="77777777" w:rsidR="00C8402C" w:rsidRDefault="00C8402C" w:rsidP="001F4885">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78705BE1" w14:textId="77777777" w:rsidR="00C8402C" w:rsidRPr="00581124" w:rsidRDefault="00C8402C" w:rsidP="001F4885">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0981CD2A" w14:textId="77777777" w:rsidR="00C8402C" w:rsidRDefault="00C8402C" w:rsidP="001F4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2696" id="_x0000_s1431" type="#_x0000_t202" style="position:absolute;margin-left:316.55pt;margin-top:16.2pt;width:113.9pt;height:71.1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c1Z9ACAAAX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" filled="f" stroked="f">
                <v:textbox>
                  <w:txbxContent>
                    <w:p w14:paraId="039EA6C4" w14:textId="77777777" w:rsidR="00C8402C" w:rsidRDefault="00C8402C" w:rsidP="001F4885">
                      <w:pPr>
                        <w:jc w:val="right"/>
                        <w:rPr>
                          <w:rFonts w:ascii="Arial" w:hAnsi="Arial"/>
                          <w:color w:val="222222"/>
                          <w:sz w:val="18"/>
                          <w:szCs w:val="19"/>
                          <w:shd w:val="clear" w:color="auto" w:fill="FFFFFF"/>
                        </w:rPr>
                      </w:pPr>
                      <w:r>
                        <w:rPr>
                          <w:rFonts w:ascii="Arial" w:hAnsi="Arial"/>
                          <w:color w:val="222222"/>
                          <w:sz w:val="18"/>
                          <w:szCs w:val="19"/>
                          <w:shd w:val="clear" w:color="auto" w:fill="FFFFFF"/>
                        </w:rPr>
                        <w:t>Return address:</w:t>
                      </w:r>
                    </w:p>
                    <w:p w14:paraId="78705BE1" w14:textId="77777777" w:rsidR="00C8402C" w:rsidRPr="00581124" w:rsidRDefault="00C8402C" w:rsidP="001F4885">
                      <w:pPr>
                        <w:jc w:val="right"/>
                        <w:rPr>
                          <w:rFonts w:ascii="Arial" w:hAnsi="Arial"/>
                          <w:color w:val="222222"/>
                          <w:szCs w:val="19"/>
                          <w:shd w:val="clear" w:color="auto" w:fill="FFFFFF"/>
                        </w:rPr>
                      </w:pPr>
                      <w:r w:rsidRPr="001E759C">
                        <w:rPr>
                          <w:rFonts w:ascii="Arial" w:hAnsi="Arial"/>
                          <w:color w:val="222222"/>
                          <w:sz w:val="18"/>
                          <w:szCs w:val="19"/>
                          <w:shd w:val="clear" w:color="auto" w:fill="FFFFFF"/>
                        </w:rPr>
                        <w:t>The Medical School, University of Sheffield</w:t>
                      </w:r>
                      <w:r w:rsidRPr="00581124">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Beech Hill Road</w:t>
                      </w:r>
                      <w:r>
                        <w:rPr>
                          <w:rFonts w:ascii="Arial" w:hAnsi="Arial"/>
                          <w:color w:val="222222"/>
                          <w:sz w:val="18"/>
                          <w:szCs w:val="19"/>
                          <w:shd w:val="clear" w:color="auto" w:fill="FFFFFF"/>
                        </w:rPr>
                        <w:t xml:space="preserve"> </w:t>
                      </w:r>
                      <w:r w:rsidRPr="001E759C">
                        <w:rPr>
                          <w:rFonts w:ascii="Arial" w:hAnsi="Arial"/>
                          <w:color w:val="222222"/>
                          <w:sz w:val="18"/>
                          <w:szCs w:val="19"/>
                          <w:shd w:val="clear" w:color="auto" w:fill="FFFFFF"/>
                        </w:rPr>
                        <w:t>Sheffield</w:t>
                      </w:r>
                      <w:r>
                        <w:rPr>
                          <w:rFonts w:ascii="Arial" w:hAnsi="Arial"/>
                          <w:color w:val="222222"/>
                          <w:szCs w:val="19"/>
                          <w:shd w:val="clear" w:color="auto" w:fill="FFFFFF"/>
                        </w:rPr>
                        <w:t xml:space="preserve">, </w:t>
                      </w:r>
                      <w:r>
                        <w:rPr>
                          <w:rFonts w:ascii="Arial" w:hAnsi="Arial"/>
                          <w:color w:val="222222"/>
                          <w:sz w:val="18"/>
                          <w:szCs w:val="19"/>
                          <w:shd w:val="clear" w:color="auto" w:fill="FFFFFF"/>
                        </w:rPr>
                        <w:t>S10 2RX</w:t>
                      </w:r>
                    </w:p>
                    <w:p w14:paraId="0981CD2A" w14:textId="77777777" w:rsidR="00C8402C" w:rsidRDefault="00C8402C" w:rsidP="001F4885"/>
                  </w:txbxContent>
                </v:textbox>
                <w10:wrap anchorx="margin"/>
              </v:shape>
            </w:pict>
          </mc:Fallback>
        </mc:AlternateContent>
      </w:r>
      <w:r w:rsidRPr="003726FE">
        <w:rPr>
          <w:rFonts w:ascii="TUOS Blake" w:hAnsi="TUOS Blake"/>
          <w:b/>
          <w:color w:val="222222"/>
          <w:szCs w:val="19"/>
          <w:shd w:val="clear" w:color="auto" w:fill="FFFFFF"/>
        </w:rPr>
        <w:t>Self-regulated learning study: Information sheet - 29.09.17</w:t>
      </w:r>
    </w:p>
    <w:p w14:paraId="5B1BCD32" w14:textId="77777777" w:rsidR="001F4885" w:rsidRPr="003726FE" w:rsidRDefault="001F4885" w:rsidP="001F4885">
      <w:pPr>
        <w:spacing w:line="240" w:lineRule="auto"/>
        <w:rPr>
          <w:rFonts w:ascii="TUOS Blake" w:hAnsi="TUOS Blake"/>
          <w:sz w:val="18"/>
        </w:rPr>
      </w:pPr>
    </w:p>
    <w:p w14:paraId="7F3C1C7E" w14:textId="77777777" w:rsidR="00D80DD9" w:rsidRPr="003726FE" w:rsidRDefault="00D80DD9" w:rsidP="001F4885">
      <w:pPr>
        <w:spacing w:line="240" w:lineRule="auto"/>
        <w:rPr>
          <w:rFonts w:ascii="TUOS Blake" w:hAnsi="TUOS Blake"/>
          <w:sz w:val="18"/>
        </w:rPr>
      </w:pPr>
    </w:p>
    <w:p w14:paraId="3F5EE577" w14:textId="77777777" w:rsidR="00D80DD9" w:rsidRPr="003726FE" w:rsidRDefault="00D80DD9" w:rsidP="001F4885">
      <w:pPr>
        <w:spacing w:line="240" w:lineRule="auto"/>
        <w:rPr>
          <w:rFonts w:ascii="TUOS Blake" w:hAnsi="TUOS Blake"/>
          <w:sz w:val="18"/>
        </w:rPr>
      </w:pPr>
    </w:p>
    <w:p w14:paraId="3695D3A2" w14:textId="77777777" w:rsidR="00D80DD9" w:rsidRPr="003726FE" w:rsidRDefault="00D80DD9" w:rsidP="001F4885">
      <w:pPr>
        <w:spacing w:line="240" w:lineRule="auto"/>
        <w:rPr>
          <w:rFonts w:ascii="TUOS Blake" w:hAnsi="TUOS Blake"/>
          <w:sz w:val="18"/>
        </w:rPr>
      </w:pPr>
    </w:p>
    <w:p w14:paraId="549BEE00" w14:textId="77777777" w:rsidR="001F4885" w:rsidRPr="003726FE" w:rsidRDefault="001F4885" w:rsidP="001F4885">
      <w:pPr>
        <w:spacing w:line="360" w:lineRule="auto"/>
        <w:rPr>
          <w:rFonts w:ascii="TUOS Blake" w:hAnsi="TUOS Blake"/>
          <w:sz w:val="20"/>
          <w:szCs w:val="20"/>
        </w:rPr>
      </w:pPr>
      <w:r w:rsidRPr="003726FE">
        <w:rPr>
          <w:rFonts w:ascii="TUOS Blake" w:hAnsi="TUOS Blake"/>
          <w:sz w:val="20"/>
          <w:szCs w:val="20"/>
        </w:rPr>
        <w:t>You are invited to take part in a study to explore self-regulated learning (SRL) strategies in medical undergraduate students. This project is part of a larger doctoral research project which has explored how SRL strategies change over time and in response to different feedback.</w:t>
      </w:r>
    </w:p>
    <w:p w14:paraId="7D0652FC" w14:textId="77777777" w:rsidR="001F4885" w:rsidRPr="003726FE" w:rsidRDefault="001F4885" w:rsidP="001F4885">
      <w:pPr>
        <w:spacing w:line="360" w:lineRule="auto"/>
        <w:rPr>
          <w:rFonts w:ascii="TUOS Blake" w:hAnsi="TUOS Blake"/>
          <w:b/>
          <w:sz w:val="20"/>
          <w:szCs w:val="20"/>
        </w:rPr>
      </w:pPr>
    </w:p>
    <w:p w14:paraId="76AA7758" w14:textId="77777777" w:rsidR="001F4885" w:rsidRPr="003726FE" w:rsidRDefault="001F4885" w:rsidP="001F4885">
      <w:pPr>
        <w:spacing w:line="360" w:lineRule="auto"/>
        <w:rPr>
          <w:rFonts w:ascii="TUOS Blake" w:hAnsi="TUOS Blake"/>
          <w:b/>
          <w:sz w:val="20"/>
          <w:szCs w:val="20"/>
        </w:rPr>
      </w:pPr>
      <w:r w:rsidRPr="003726FE">
        <w:rPr>
          <w:rFonts w:ascii="TUOS Blake" w:hAnsi="TUOS Blake"/>
          <w:b/>
          <w:sz w:val="20"/>
          <w:szCs w:val="20"/>
        </w:rPr>
        <w:t>Aim of this study:</w:t>
      </w:r>
    </w:p>
    <w:p w14:paraId="04B15718" w14:textId="47435B70" w:rsidR="001F4885" w:rsidRPr="003726FE" w:rsidRDefault="001F4885" w:rsidP="001F4885">
      <w:pPr>
        <w:spacing w:line="360" w:lineRule="auto"/>
        <w:rPr>
          <w:rFonts w:ascii="TUOS Blake" w:hAnsi="TUOS Blake"/>
          <w:sz w:val="20"/>
          <w:szCs w:val="20"/>
        </w:rPr>
      </w:pPr>
      <w:r w:rsidRPr="003726FE">
        <w:rPr>
          <w:rFonts w:ascii="TUOS Blake" w:hAnsi="TUOS Blake"/>
          <w:sz w:val="20"/>
          <w:szCs w:val="20"/>
        </w:rPr>
        <w:t xml:space="preserve">For this study, we aim to measure the SRL capacity of medical undergraduate </w:t>
      </w:r>
      <w:r w:rsidR="00FC0FFB" w:rsidRPr="003726FE">
        <w:rPr>
          <w:rFonts w:ascii="TUOS Blake" w:hAnsi="TUOS Blake"/>
          <w:sz w:val="20"/>
          <w:szCs w:val="20"/>
        </w:rPr>
        <w:t>students to</w:t>
      </w:r>
      <w:r w:rsidRPr="003726FE">
        <w:rPr>
          <w:rFonts w:ascii="TUOS Blake" w:hAnsi="TUOS Blake"/>
          <w:sz w:val="20"/>
          <w:szCs w:val="20"/>
        </w:rPr>
        <w:t xml:space="preserve"> understand how early years students self-direct their learning. We also wish to further develop the short self-regulation questionnaire (SSRQ) which is a tool that assesses SRL.</w:t>
      </w:r>
    </w:p>
    <w:p w14:paraId="2266EB65" w14:textId="77777777" w:rsidR="001F4885" w:rsidRPr="003726FE" w:rsidRDefault="001F4885" w:rsidP="001F4885">
      <w:pPr>
        <w:spacing w:line="360" w:lineRule="auto"/>
        <w:rPr>
          <w:rFonts w:ascii="TUOS Blake" w:hAnsi="TUOS Blake"/>
          <w:sz w:val="20"/>
          <w:szCs w:val="20"/>
        </w:rPr>
      </w:pPr>
    </w:p>
    <w:p w14:paraId="61613398" w14:textId="77777777" w:rsidR="001F4885" w:rsidRPr="003726FE" w:rsidRDefault="001F4885" w:rsidP="001F4885">
      <w:pPr>
        <w:spacing w:line="360" w:lineRule="auto"/>
        <w:rPr>
          <w:rFonts w:ascii="TUOS Blake" w:hAnsi="TUOS Blake"/>
          <w:b/>
          <w:sz w:val="20"/>
          <w:szCs w:val="20"/>
        </w:rPr>
      </w:pPr>
      <w:r w:rsidRPr="003726FE">
        <w:rPr>
          <w:rFonts w:ascii="TUOS Blake" w:hAnsi="TUOS Blake"/>
          <w:b/>
          <w:sz w:val="20"/>
          <w:szCs w:val="20"/>
        </w:rPr>
        <w:t>Your role:</w:t>
      </w:r>
    </w:p>
    <w:p w14:paraId="69052702" w14:textId="6FBA25ED" w:rsidR="001F4885" w:rsidRPr="003726FE" w:rsidRDefault="001F4885" w:rsidP="001F4885">
      <w:pPr>
        <w:spacing w:line="360" w:lineRule="auto"/>
        <w:rPr>
          <w:rFonts w:ascii="TUOS Blake" w:hAnsi="TUOS Blake"/>
          <w:sz w:val="20"/>
          <w:szCs w:val="20"/>
        </w:rPr>
      </w:pPr>
      <w:r w:rsidRPr="003726FE">
        <w:rPr>
          <w:rFonts w:ascii="TUOS Blake" w:hAnsi="TUOS Blake"/>
          <w:sz w:val="20"/>
          <w:szCs w:val="20"/>
        </w:rPr>
        <w:t xml:space="preserve"> </w:t>
      </w:r>
      <w:r w:rsidR="00FC0FFB" w:rsidRPr="003726FE">
        <w:rPr>
          <w:rFonts w:ascii="TUOS Blake" w:hAnsi="TUOS Blake"/>
          <w:sz w:val="20"/>
          <w:szCs w:val="20"/>
        </w:rPr>
        <w:t>To</w:t>
      </w:r>
      <w:r w:rsidRPr="003726FE">
        <w:rPr>
          <w:rFonts w:ascii="TUOS Blake" w:hAnsi="TUOS Blake"/>
          <w:sz w:val="20"/>
          <w:szCs w:val="20"/>
        </w:rPr>
        <w:t xml:space="preserve"> investigate this, we would like you to complete the questionnaires attached to this sheet that measure learning strategies. You will also complete the demographic questions that are attached. To assess SRL in relation with other factors, we will access results from your end of phase exams. </w:t>
      </w:r>
    </w:p>
    <w:p w14:paraId="05B65AEF" w14:textId="77777777" w:rsidR="001F4885" w:rsidRPr="003726FE" w:rsidRDefault="001F4885" w:rsidP="001F4885">
      <w:pPr>
        <w:spacing w:line="360" w:lineRule="auto"/>
        <w:rPr>
          <w:rFonts w:ascii="TUOS Blake" w:hAnsi="TUOS Blake"/>
          <w:b/>
          <w:sz w:val="20"/>
          <w:szCs w:val="20"/>
        </w:rPr>
      </w:pPr>
    </w:p>
    <w:p w14:paraId="3FCB492F" w14:textId="77777777" w:rsidR="001F4885" w:rsidRPr="003726FE" w:rsidRDefault="001F4885" w:rsidP="001F4885">
      <w:pPr>
        <w:spacing w:line="360" w:lineRule="auto"/>
        <w:rPr>
          <w:rFonts w:ascii="TUOS Blake" w:hAnsi="TUOS Blake"/>
          <w:b/>
          <w:sz w:val="20"/>
          <w:szCs w:val="20"/>
        </w:rPr>
      </w:pPr>
      <w:r w:rsidRPr="003726FE">
        <w:rPr>
          <w:rFonts w:ascii="TUOS Blake" w:hAnsi="TUOS Blake"/>
          <w:b/>
          <w:sz w:val="20"/>
          <w:szCs w:val="20"/>
        </w:rPr>
        <w:t>How the data will be used:</w:t>
      </w:r>
    </w:p>
    <w:p w14:paraId="74C3590D" w14:textId="77777777" w:rsidR="001F4885" w:rsidRPr="003726FE" w:rsidRDefault="001F4885" w:rsidP="001F4885">
      <w:pPr>
        <w:spacing w:line="360" w:lineRule="auto"/>
        <w:rPr>
          <w:rFonts w:ascii="TUOS Blake" w:hAnsi="TUOS Blake"/>
          <w:sz w:val="20"/>
          <w:szCs w:val="20"/>
        </w:rPr>
      </w:pPr>
      <w:r w:rsidRPr="003726FE">
        <w:rPr>
          <w:rFonts w:ascii="TUOS Blake" w:hAnsi="TUOS Blake"/>
          <w:sz w:val="20"/>
          <w:szCs w:val="20"/>
        </w:rPr>
        <w:t>Any data we collect from you will be anonymised in reports and used only for research purposes. The data would then be immediately destroyed, if analysis and anonymization has already taken place then this will not be possible, but all original records will be destroyed. This research will form a doctoral thesis and may be published in peer reviewed journals.</w:t>
      </w:r>
    </w:p>
    <w:p w14:paraId="053C44C8" w14:textId="77777777" w:rsidR="001F4885" w:rsidRPr="003726FE" w:rsidRDefault="001F4885" w:rsidP="001F4885">
      <w:pPr>
        <w:spacing w:line="360" w:lineRule="auto"/>
        <w:jc w:val="center"/>
        <w:rPr>
          <w:rFonts w:ascii="TUOS Blake" w:hAnsi="TUOS Blake"/>
          <w:sz w:val="20"/>
        </w:rPr>
      </w:pPr>
    </w:p>
    <w:p w14:paraId="74276646" w14:textId="77777777" w:rsidR="001F4885" w:rsidRPr="003726FE" w:rsidRDefault="001F4885" w:rsidP="001F4885">
      <w:pPr>
        <w:spacing w:line="360" w:lineRule="auto"/>
        <w:jc w:val="center"/>
        <w:rPr>
          <w:rFonts w:ascii="TUOS Blake" w:hAnsi="TUOS Blake"/>
          <w:sz w:val="20"/>
        </w:rPr>
      </w:pPr>
      <w:r w:rsidRPr="003726FE">
        <w:rPr>
          <w:rFonts w:ascii="TUOS Blake" w:hAnsi="TUOS Blake"/>
          <w:sz w:val="20"/>
        </w:rPr>
        <w:t xml:space="preserve">If you agree to this data being collected, please complete the questionnaire attached this sheet and </w:t>
      </w:r>
      <w:r w:rsidRPr="003726FE">
        <w:rPr>
          <w:rFonts w:ascii="TUOS Blake" w:hAnsi="TUOS Blake"/>
          <w:b/>
          <w:sz w:val="20"/>
        </w:rPr>
        <w:t>sign using your student registration number</w:t>
      </w:r>
      <w:r w:rsidRPr="003726FE">
        <w:rPr>
          <w:rFonts w:ascii="TUOS Blake" w:hAnsi="TUOS Blake"/>
          <w:sz w:val="20"/>
        </w:rPr>
        <w:t xml:space="preserve"> on the final page of the questionnaire. </w:t>
      </w:r>
    </w:p>
    <w:p w14:paraId="268B7F6C" w14:textId="77777777" w:rsidR="001F4885" w:rsidRPr="003726FE" w:rsidRDefault="001F4885" w:rsidP="001F4885">
      <w:pPr>
        <w:spacing w:line="360" w:lineRule="auto"/>
        <w:jc w:val="center"/>
        <w:rPr>
          <w:rFonts w:ascii="TUOS Blake" w:hAnsi="TUOS Blake"/>
          <w:sz w:val="18"/>
          <w:szCs w:val="18"/>
        </w:rPr>
      </w:pPr>
      <w:r w:rsidRPr="003726FE">
        <w:rPr>
          <w:rFonts w:ascii="TUOS Blake" w:hAnsi="TUOS Blake"/>
          <w:noProof/>
          <w:sz w:val="20"/>
          <w:szCs w:val="18"/>
          <w:lang w:eastAsia="en-GB"/>
        </w:rPr>
        <mc:AlternateContent>
          <mc:Choice Requires="wps">
            <w:drawing>
              <wp:anchor distT="45720" distB="45720" distL="114300" distR="114300" simplePos="0" relativeHeight="251949056" behindDoc="1" locked="0" layoutInCell="1" allowOverlap="1" wp14:anchorId="5D3F98B9" wp14:editId="6AD52452">
                <wp:simplePos x="0" y="0"/>
                <wp:positionH relativeFrom="column">
                  <wp:posOffset>-35864</wp:posOffset>
                </wp:positionH>
                <wp:positionV relativeFrom="paragraph">
                  <wp:posOffset>479618</wp:posOffset>
                </wp:positionV>
                <wp:extent cx="5888355" cy="548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548640"/>
                        </a:xfrm>
                        <a:prstGeom prst="rect">
                          <a:avLst/>
                        </a:prstGeom>
                        <a:noFill/>
                        <a:ln w="9525">
                          <a:noFill/>
                          <a:miter lim="800000"/>
                          <a:headEnd/>
                          <a:tailEnd/>
                        </a:ln>
                      </wps:spPr>
                      <wps:txbx>
                        <w:txbxContent>
                          <w:p w14:paraId="36C73C10" w14:textId="77777777" w:rsidR="00C8402C" w:rsidRPr="00525A23" w:rsidRDefault="00C8402C" w:rsidP="001F4885">
                            <w:pPr>
                              <w:spacing w:line="240" w:lineRule="auto"/>
                              <w:rPr>
                                <w:rFonts w:ascii="TUOS Blake" w:hAnsi="TUOS Blake"/>
                                <w:sz w:val="16"/>
                                <w:szCs w:val="18"/>
                              </w:rPr>
                            </w:pPr>
                            <w:r w:rsidRPr="00525A23">
                              <w:rPr>
                                <w:rFonts w:ascii="TUOS Blake" w:hAnsi="TUOS Blake"/>
                                <w:sz w:val="16"/>
                                <w:szCs w:val="18"/>
                              </w:rPr>
                              <w:t xml:space="preserve">If you have any questions </w:t>
                            </w:r>
                            <w:r>
                              <w:rPr>
                                <w:rFonts w:ascii="TUOS Blake" w:hAnsi="TUOS Blake"/>
                                <w:sz w:val="16"/>
                                <w:szCs w:val="18"/>
                              </w:rPr>
                              <w:t xml:space="preserve">or complaints </w:t>
                            </w:r>
                            <w:r w:rsidRPr="00525A23">
                              <w:rPr>
                                <w:rFonts w:ascii="TUOS Blake" w:hAnsi="TUOS Blake"/>
                                <w:sz w:val="16"/>
                                <w:szCs w:val="18"/>
                              </w:rPr>
                              <w:t>about this research project please contact:</w:t>
                            </w:r>
                          </w:p>
                          <w:p w14:paraId="14580E21" w14:textId="77777777" w:rsidR="00C8402C" w:rsidRPr="00525A23" w:rsidRDefault="00C8402C" w:rsidP="001F4885">
                            <w:pPr>
                              <w:spacing w:line="240" w:lineRule="auto"/>
                              <w:rPr>
                                <w:sz w:val="20"/>
                              </w:rPr>
                            </w:pPr>
                            <w:r w:rsidRPr="00525A23">
                              <w:rPr>
                                <w:rFonts w:ascii="TUOS Blake" w:hAnsi="TUOS Blake"/>
                                <w:sz w:val="16"/>
                                <w:szCs w:val="18"/>
                              </w:rPr>
                              <w:t xml:space="preserve">Mr. Billy Bryan – </w:t>
                            </w:r>
                            <w:hyperlink r:id="rId118" w:history="1">
                              <w:r w:rsidRPr="00525A23">
                                <w:rPr>
                                  <w:rStyle w:val="Hyperlink"/>
                                  <w:rFonts w:ascii="TUOS Blake" w:hAnsi="TUOS Blake"/>
                                  <w:sz w:val="16"/>
                                  <w:szCs w:val="18"/>
                                </w:rPr>
                                <w:t>bjbryan1@sheffield.ac.uk</w:t>
                              </w:r>
                            </w:hyperlink>
                            <w:r w:rsidRPr="00525A23">
                              <w:rPr>
                                <w:rFonts w:ascii="TUOS Blake" w:hAnsi="TUOS Blake"/>
                                <w:sz w:val="16"/>
                                <w:szCs w:val="18"/>
                              </w:rPr>
                              <w:t xml:space="preserve">  </w:t>
                            </w:r>
                            <w:r w:rsidRPr="00525A23">
                              <w:rPr>
                                <w:rFonts w:ascii="TUOS Blake" w:hAnsi="TUOS Blake"/>
                                <w:b/>
                                <w:sz w:val="16"/>
                                <w:szCs w:val="18"/>
                              </w:rPr>
                              <w:t>or</w:t>
                            </w:r>
                            <w:r w:rsidRPr="00525A23">
                              <w:rPr>
                                <w:rFonts w:ascii="TUOS Blake" w:hAnsi="TUOS Blake"/>
                                <w:sz w:val="16"/>
                                <w:szCs w:val="18"/>
                              </w:rPr>
                              <w:t xml:space="preserve"> Prof. Deborah Murdoch-Eaton - </w:t>
                            </w:r>
                            <w:hyperlink r:id="rId119" w:history="1">
                              <w:r w:rsidRPr="00525A23">
                                <w:rPr>
                                  <w:rStyle w:val="Hyperlink"/>
                                  <w:rFonts w:ascii="TUOS Blake" w:hAnsi="TUOS Blake"/>
                                  <w:sz w:val="16"/>
                                  <w:szCs w:val="18"/>
                                </w:rPr>
                                <w:t>d.murdoch-eaton@sheffield.ac.uk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F98B9" id="_x0000_s1432" type="#_x0000_t202" style="position:absolute;left:0;text-align:left;margin-left:-2.8pt;margin-top:37.75pt;width:463.65pt;height:43.2pt;z-index:-25136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" filled="f" stroked="f">
                <v:textbox style="mso-fit-shape-to-text:t">
                  <w:txbxContent>
                    <w:p w14:paraId="36C73C10" w14:textId="77777777" w:rsidR="00C8402C" w:rsidRPr="00525A23" w:rsidRDefault="00C8402C" w:rsidP="001F4885">
                      <w:pPr>
                        <w:spacing w:line="240" w:lineRule="auto"/>
                        <w:rPr>
                          <w:rFonts w:ascii="TUOS Blake" w:hAnsi="TUOS Blake"/>
                          <w:sz w:val="16"/>
                          <w:szCs w:val="18"/>
                        </w:rPr>
                      </w:pPr>
                      <w:r w:rsidRPr="00525A23">
                        <w:rPr>
                          <w:rFonts w:ascii="TUOS Blake" w:hAnsi="TUOS Blake"/>
                          <w:sz w:val="16"/>
                          <w:szCs w:val="18"/>
                        </w:rPr>
                        <w:t xml:space="preserve">If you have any questions </w:t>
                      </w:r>
                      <w:r>
                        <w:rPr>
                          <w:rFonts w:ascii="TUOS Blake" w:hAnsi="TUOS Blake"/>
                          <w:sz w:val="16"/>
                          <w:szCs w:val="18"/>
                        </w:rPr>
                        <w:t xml:space="preserve">or complaints </w:t>
                      </w:r>
                      <w:r w:rsidRPr="00525A23">
                        <w:rPr>
                          <w:rFonts w:ascii="TUOS Blake" w:hAnsi="TUOS Blake"/>
                          <w:sz w:val="16"/>
                          <w:szCs w:val="18"/>
                        </w:rPr>
                        <w:t>about this research project please contact:</w:t>
                      </w:r>
                    </w:p>
                    <w:p w14:paraId="14580E21" w14:textId="77777777" w:rsidR="00C8402C" w:rsidRPr="00525A23" w:rsidRDefault="00C8402C" w:rsidP="001F4885">
                      <w:pPr>
                        <w:spacing w:line="240" w:lineRule="auto"/>
                        <w:rPr>
                          <w:sz w:val="20"/>
                        </w:rPr>
                      </w:pPr>
                      <w:r w:rsidRPr="00525A23">
                        <w:rPr>
                          <w:rFonts w:ascii="TUOS Blake" w:hAnsi="TUOS Blake"/>
                          <w:sz w:val="16"/>
                          <w:szCs w:val="18"/>
                        </w:rPr>
                        <w:t xml:space="preserve">Mr. Billy Bryan – </w:t>
                      </w:r>
                      <w:hyperlink r:id="rId120" w:history="1">
                        <w:r w:rsidRPr="00525A23">
                          <w:rPr>
                            <w:rStyle w:val="Hyperlink"/>
                            <w:rFonts w:ascii="TUOS Blake" w:hAnsi="TUOS Blake"/>
                            <w:sz w:val="16"/>
                            <w:szCs w:val="18"/>
                          </w:rPr>
                          <w:t>bjbryan1@sheffield.ac.uk</w:t>
                        </w:r>
                      </w:hyperlink>
                      <w:r w:rsidRPr="00525A23">
                        <w:rPr>
                          <w:rFonts w:ascii="TUOS Blake" w:hAnsi="TUOS Blake"/>
                          <w:sz w:val="16"/>
                          <w:szCs w:val="18"/>
                        </w:rPr>
                        <w:t xml:space="preserve">  </w:t>
                      </w:r>
                      <w:r w:rsidRPr="00525A23">
                        <w:rPr>
                          <w:rFonts w:ascii="TUOS Blake" w:hAnsi="TUOS Blake"/>
                          <w:b/>
                          <w:sz w:val="16"/>
                          <w:szCs w:val="18"/>
                        </w:rPr>
                        <w:t>or</w:t>
                      </w:r>
                      <w:r w:rsidRPr="00525A23">
                        <w:rPr>
                          <w:rFonts w:ascii="TUOS Blake" w:hAnsi="TUOS Blake"/>
                          <w:sz w:val="16"/>
                          <w:szCs w:val="18"/>
                        </w:rPr>
                        <w:t xml:space="preserve"> </w:t>
                      </w:r>
                      <w:proofErr w:type="spellStart"/>
                      <w:r w:rsidRPr="00525A23">
                        <w:rPr>
                          <w:rFonts w:ascii="TUOS Blake" w:hAnsi="TUOS Blake"/>
                          <w:sz w:val="16"/>
                          <w:szCs w:val="18"/>
                        </w:rPr>
                        <w:t>Prof.</w:t>
                      </w:r>
                      <w:proofErr w:type="spellEnd"/>
                      <w:r w:rsidRPr="00525A23">
                        <w:rPr>
                          <w:rFonts w:ascii="TUOS Blake" w:hAnsi="TUOS Blake"/>
                          <w:sz w:val="16"/>
                          <w:szCs w:val="18"/>
                        </w:rPr>
                        <w:t xml:space="preserve"> Deborah Murdoch-Eaton - </w:t>
                      </w:r>
                      <w:hyperlink r:id="rId121" w:history="1">
                        <w:r w:rsidRPr="00525A23">
                          <w:rPr>
                            <w:rStyle w:val="Hyperlink"/>
                            <w:rFonts w:ascii="TUOS Blake" w:hAnsi="TUOS Blake"/>
                            <w:sz w:val="16"/>
                            <w:szCs w:val="18"/>
                          </w:rPr>
                          <w:t>d.murdoch-eaton@sheffield.ac.uk</w:t>
                        </w:r>
                      </w:hyperlink>
                    </w:p>
                  </w:txbxContent>
                </v:textbox>
              </v:shape>
            </w:pict>
          </mc:Fallback>
        </mc:AlternateContent>
      </w:r>
      <w:r w:rsidRPr="003726FE">
        <w:rPr>
          <w:rFonts w:ascii="TUOS Blake" w:hAnsi="TUOS Blake"/>
          <w:sz w:val="20"/>
          <w:szCs w:val="18"/>
        </w:rPr>
        <w:t>Thank you for reading this information sheet. Please keep this for your records</w:t>
      </w:r>
      <w:r w:rsidRPr="003726FE">
        <w:rPr>
          <w:rFonts w:ascii="TUOS Blake" w:hAnsi="TUOS Blake"/>
          <w:sz w:val="18"/>
          <w:szCs w:val="18"/>
        </w:rPr>
        <w:t>.</w:t>
      </w:r>
    </w:p>
    <w:p w14:paraId="50A40C9A" w14:textId="77777777" w:rsidR="001F4885" w:rsidRPr="003726FE" w:rsidRDefault="001F4885">
      <w:pPr>
        <w:rPr>
          <w:rFonts w:ascii="TUOS Blake" w:hAnsi="TUOS Blake"/>
          <w:sz w:val="18"/>
          <w:szCs w:val="18"/>
        </w:rPr>
      </w:pPr>
      <w:r w:rsidRPr="003726FE">
        <w:rPr>
          <w:rFonts w:ascii="TUOS Blake" w:hAnsi="TUOS Blake"/>
          <w:sz w:val="18"/>
          <w:szCs w:val="18"/>
        </w:rPr>
        <w:br w:type="page"/>
      </w:r>
    </w:p>
    <w:p w14:paraId="40845CE4" w14:textId="77777777" w:rsidR="001F4885" w:rsidRPr="003726FE" w:rsidRDefault="001F4885" w:rsidP="001F4885">
      <w:pPr>
        <w:jc w:val="center"/>
        <w:rPr>
          <w:b/>
          <w:sz w:val="32"/>
        </w:rPr>
      </w:pPr>
      <w:r w:rsidRPr="003726FE">
        <w:rPr>
          <w:b/>
          <w:sz w:val="32"/>
        </w:rPr>
        <w:lastRenderedPageBreak/>
        <w:t>Consent statement</w:t>
      </w:r>
    </w:p>
    <w:p w14:paraId="30EC74B7" w14:textId="77777777" w:rsidR="001F4885" w:rsidRPr="003726FE" w:rsidRDefault="001F4885" w:rsidP="001F4885">
      <w:pPr>
        <w:rPr>
          <w:sz w:val="28"/>
        </w:rPr>
      </w:pPr>
    </w:p>
    <w:p w14:paraId="7A465ACE" w14:textId="77777777" w:rsidR="001F4885" w:rsidRPr="003726FE" w:rsidRDefault="001F4885" w:rsidP="001F4885">
      <w:pPr>
        <w:pStyle w:val="ListParagraph"/>
        <w:numPr>
          <w:ilvl w:val="0"/>
          <w:numId w:val="31"/>
        </w:numPr>
        <w:ind w:left="284"/>
        <w:rPr>
          <w:sz w:val="28"/>
        </w:rPr>
      </w:pPr>
      <w:r w:rsidRPr="003726FE">
        <w:rPr>
          <w:sz w:val="28"/>
        </w:rPr>
        <w:t>I understand that completion of this form and questionnaires, using my student number, is indication of my willingness to participate in this study.</w:t>
      </w:r>
    </w:p>
    <w:p w14:paraId="7816983A" w14:textId="77777777" w:rsidR="001F4885" w:rsidRPr="003726FE" w:rsidRDefault="001F4885" w:rsidP="001F4885">
      <w:pPr>
        <w:pStyle w:val="ListParagraph"/>
        <w:numPr>
          <w:ilvl w:val="0"/>
          <w:numId w:val="31"/>
        </w:numPr>
        <w:ind w:left="284"/>
        <w:rPr>
          <w:sz w:val="28"/>
        </w:rPr>
      </w:pPr>
      <w:r w:rsidRPr="003726FE">
        <w:rPr>
          <w:sz w:val="28"/>
        </w:rPr>
        <w:t>I confirm that I have read and understood the information sheet dated 29/09/16 explaining the research project and I have had the opportunity to ask questions about the project.</w:t>
      </w:r>
    </w:p>
    <w:p w14:paraId="15DAF1F8" w14:textId="77777777" w:rsidR="001F4885" w:rsidRPr="003726FE" w:rsidRDefault="001F4885" w:rsidP="001F4885">
      <w:pPr>
        <w:pStyle w:val="ListParagraph"/>
        <w:numPr>
          <w:ilvl w:val="0"/>
          <w:numId w:val="31"/>
        </w:numPr>
        <w:ind w:left="284"/>
        <w:rPr>
          <w:sz w:val="32"/>
        </w:rPr>
      </w:pPr>
      <w:r w:rsidRPr="003726FE">
        <w:rPr>
          <w:sz w:val="28"/>
        </w:rPr>
        <w:t xml:space="preserve">I understand that I am free to withdraw from the study at any time without giving any reason and without there being any negative consequences. In addition, should I not wish to answer any particular question or questions, I am free to decline.  </w:t>
      </w:r>
    </w:p>
    <w:p w14:paraId="0B81652E" w14:textId="77777777" w:rsidR="001F4885" w:rsidRPr="003726FE" w:rsidRDefault="001F4885" w:rsidP="001F4885">
      <w:pPr>
        <w:pStyle w:val="ListParagraph"/>
        <w:numPr>
          <w:ilvl w:val="0"/>
          <w:numId w:val="31"/>
        </w:numPr>
        <w:ind w:left="284"/>
        <w:rPr>
          <w:sz w:val="28"/>
        </w:rPr>
      </w:pPr>
      <w:r w:rsidRPr="003726FE">
        <w:rPr>
          <w:sz w:val="28"/>
        </w:rPr>
        <w:t xml:space="preserve">I understand that my responses will be kept strictly confidential. I give permission for members of the research team to have access to my anonymised responses. I understand that I will not be identified or identifiable in the reports that result from the research.  </w:t>
      </w:r>
    </w:p>
    <w:p w14:paraId="7E133E05" w14:textId="77777777" w:rsidR="001F4885" w:rsidRPr="003726FE" w:rsidRDefault="001F4885" w:rsidP="001F4885">
      <w:pPr>
        <w:rPr>
          <w:b/>
        </w:rPr>
      </w:pPr>
    </w:p>
    <w:p w14:paraId="433F3B61" w14:textId="77777777" w:rsidR="001F4885" w:rsidRPr="003726FE" w:rsidRDefault="001F4885" w:rsidP="001F4885">
      <w:pPr>
        <w:rPr>
          <w:b/>
          <w:sz w:val="28"/>
        </w:rPr>
      </w:pPr>
      <w:r w:rsidRPr="003726FE">
        <w:rPr>
          <w:b/>
          <w:sz w:val="28"/>
        </w:rPr>
        <w:t>Monitoring questions</w:t>
      </w:r>
    </w:p>
    <w:p w14:paraId="6BD5D1ED" w14:textId="77777777" w:rsidR="001F4885" w:rsidRPr="003726FE" w:rsidRDefault="001F4885" w:rsidP="001F4885">
      <w:pPr>
        <w:rPr>
          <w:sz w:val="28"/>
        </w:rPr>
      </w:pPr>
      <w:r w:rsidRPr="003726FE">
        <w:rPr>
          <w:noProof/>
          <w:lang w:eastAsia="en-GB"/>
        </w:rPr>
        <w:drawing>
          <wp:inline distT="0" distB="0" distL="0" distR="0" wp14:anchorId="12794960" wp14:editId="0DDF54EE">
            <wp:extent cx="5043503" cy="226788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4215" t="9561" r="7738" b="23989"/>
                    <a:stretch/>
                  </pic:blipFill>
                  <pic:spPr bwMode="auto">
                    <a:xfrm>
                      <a:off x="0" y="0"/>
                      <a:ext cx="5070313" cy="2279941"/>
                    </a:xfrm>
                    <a:prstGeom prst="rect">
                      <a:avLst/>
                    </a:prstGeom>
                    <a:ln>
                      <a:noFill/>
                    </a:ln>
                    <a:extLst>
                      <a:ext uri="{53640926-AAD7-44D8-BBD7-CCE9431645EC}">
                        <a14:shadowObscured xmlns:a14="http://schemas.microsoft.com/office/drawing/2010/main"/>
                      </a:ext>
                    </a:extLst>
                  </pic:spPr>
                </pic:pic>
              </a:graphicData>
            </a:graphic>
          </wp:inline>
        </w:drawing>
      </w:r>
    </w:p>
    <w:p w14:paraId="04E35B33" w14:textId="77777777" w:rsidR="001F4885" w:rsidRPr="003726FE" w:rsidRDefault="001F4885" w:rsidP="001F4885">
      <w:pPr>
        <w:rPr>
          <w:sz w:val="28"/>
        </w:rPr>
      </w:pPr>
    </w:p>
    <w:p w14:paraId="212E6ECC" w14:textId="77777777" w:rsidR="001F4885" w:rsidRPr="003726FE" w:rsidRDefault="001F4885" w:rsidP="001F4885">
      <w:pPr>
        <w:pBdr>
          <w:bottom w:val="single" w:sz="6" w:space="1" w:color="auto"/>
        </w:pBdr>
        <w:jc w:val="center"/>
        <w:rPr>
          <w:sz w:val="28"/>
        </w:rPr>
      </w:pPr>
      <w:r w:rsidRPr="003726FE">
        <w:rPr>
          <w:sz w:val="28"/>
        </w:rPr>
        <w:t xml:space="preserve">Please complete </w:t>
      </w:r>
      <w:r w:rsidRPr="003726FE">
        <w:rPr>
          <w:b/>
          <w:sz w:val="28"/>
        </w:rPr>
        <w:t>both</w:t>
      </w:r>
      <w:r w:rsidRPr="003726FE">
        <w:rPr>
          <w:sz w:val="28"/>
        </w:rPr>
        <w:t xml:space="preserve"> questionnaires and </w:t>
      </w:r>
      <w:r w:rsidRPr="003726FE">
        <w:rPr>
          <w:b/>
          <w:sz w:val="28"/>
        </w:rPr>
        <w:t>sign using your</w:t>
      </w:r>
      <w:r w:rsidRPr="003726FE">
        <w:rPr>
          <w:sz w:val="28"/>
        </w:rPr>
        <w:t xml:space="preserve"> </w:t>
      </w:r>
      <w:r w:rsidRPr="003726FE">
        <w:rPr>
          <w:b/>
          <w:sz w:val="28"/>
        </w:rPr>
        <w:t>student registration number</w:t>
      </w:r>
      <w:r w:rsidRPr="003726FE">
        <w:rPr>
          <w:sz w:val="28"/>
        </w:rPr>
        <w:t xml:space="preserve"> if you wish to participate in this study and consent to the above statement.</w:t>
      </w:r>
    </w:p>
    <w:p w14:paraId="0D5D5597" w14:textId="77777777" w:rsidR="001F4885" w:rsidRPr="003726FE" w:rsidRDefault="001F4885" w:rsidP="001F4885">
      <w:pPr>
        <w:spacing w:line="360" w:lineRule="auto"/>
        <w:jc w:val="center"/>
        <w:rPr>
          <w:rFonts w:ascii="TUOS Blake" w:hAnsi="TUOS Blake"/>
          <w:sz w:val="18"/>
          <w:szCs w:val="18"/>
        </w:rPr>
      </w:pPr>
    </w:p>
    <w:p w14:paraId="4440F80D" w14:textId="77777777" w:rsidR="00C20F57" w:rsidRPr="003726FE" w:rsidRDefault="00C20F57">
      <w:pPr>
        <w:rPr>
          <w:rFonts w:ascii="TUOS Blake" w:hAnsi="TUOS Blake"/>
          <w:sz w:val="18"/>
          <w:szCs w:val="18"/>
        </w:rPr>
      </w:pPr>
      <w:r w:rsidRPr="003726FE">
        <w:rPr>
          <w:rFonts w:ascii="TUOS Blake" w:hAnsi="TUOS Blake"/>
          <w:sz w:val="18"/>
          <w:szCs w:val="18"/>
        </w:rPr>
        <w:br w:type="page"/>
      </w:r>
    </w:p>
    <w:p w14:paraId="7E7DA7A6" w14:textId="155C2486" w:rsidR="00C20F57" w:rsidRPr="003726FE" w:rsidRDefault="00C20F57" w:rsidP="00B1638D">
      <w:pPr>
        <w:pStyle w:val="Heading2"/>
        <w:rPr>
          <w:lang w:val="en-GB"/>
        </w:rPr>
      </w:pPr>
      <w:bookmarkStart w:id="1001" w:name="_Toc500319488"/>
      <w:r w:rsidRPr="003726FE">
        <w:rPr>
          <w:lang w:val="en-GB"/>
        </w:rPr>
        <w:lastRenderedPageBreak/>
        <w:t xml:space="preserve">Appendix </w:t>
      </w:r>
      <w:r w:rsidR="001D4448" w:rsidRPr="003726FE">
        <w:rPr>
          <w:lang w:val="en-GB"/>
        </w:rPr>
        <w:t>1</w:t>
      </w:r>
      <w:r w:rsidR="009F0E25" w:rsidRPr="003726FE">
        <w:rPr>
          <w:lang w:val="en-GB"/>
        </w:rPr>
        <w:t>7</w:t>
      </w:r>
      <w:r w:rsidRPr="003726FE">
        <w:rPr>
          <w:lang w:val="en-GB"/>
        </w:rPr>
        <w:t xml:space="preserve">. Ethical approval – </w:t>
      </w:r>
      <w:r w:rsidR="00912749" w:rsidRPr="003726FE">
        <w:rPr>
          <w:lang w:val="en-GB"/>
        </w:rPr>
        <w:t>Amendment Confirmation</w:t>
      </w:r>
      <w:r w:rsidRPr="003726FE">
        <w:rPr>
          <w:lang w:val="en-GB"/>
        </w:rPr>
        <w:t>.</w:t>
      </w:r>
      <w:bookmarkEnd w:id="1001"/>
    </w:p>
    <w:p w14:paraId="0AF7F24B" w14:textId="77777777" w:rsidR="00C20F57" w:rsidRPr="003726FE" w:rsidRDefault="00C20F57" w:rsidP="001D4448">
      <w:pPr>
        <w:rPr>
          <w:rFonts w:ascii="Calibri" w:eastAsia="Times New Roman" w:hAnsi="Calibri"/>
          <w:b/>
          <w:bCs/>
          <w:sz w:val="22"/>
        </w:rPr>
      </w:pPr>
      <w:bookmarkStart w:id="1002" w:name="_MailOriginal"/>
    </w:p>
    <w:p w14:paraId="1FA9C360" w14:textId="77777777" w:rsidR="00C20F57" w:rsidRPr="003726FE" w:rsidRDefault="00C20F57" w:rsidP="001D4448">
      <w:pPr>
        <w:rPr>
          <w:rFonts w:ascii="Calibri" w:eastAsia="Times New Roman" w:hAnsi="Calibri"/>
          <w:sz w:val="22"/>
        </w:rPr>
      </w:pPr>
      <w:r w:rsidRPr="003726FE">
        <w:rPr>
          <w:rFonts w:ascii="Calibri" w:eastAsia="Times New Roman" w:hAnsi="Calibri"/>
          <w:b/>
          <w:bCs/>
          <w:sz w:val="22"/>
        </w:rPr>
        <w:t>From:</w:t>
      </w:r>
      <w:r w:rsidRPr="003726FE">
        <w:rPr>
          <w:rFonts w:ascii="Calibri" w:eastAsia="Times New Roman" w:hAnsi="Calibri"/>
          <w:sz w:val="22"/>
        </w:rPr>
        <w:t xml:space="preserve"> Liz Williams [mailto:e.a.williams@sheffield.ac.uk] </w:t>
      </w:r>
      <w:r w:rsidRPr="003726FE">
        <w:rPr>
          <w:rFonts w:ascii="Calibri" w:eastAsia="Times New Roman" w:hAnsi="Calibri"/>
          <w:sz w:val="22"/>
        </w:rPr>
        <w:br/>
      </w:r>
      <w:r w:rsidRPr="003726FE">
        <w:rPr>
          <w:rFonts w:ascii="Calibri" w:eastAsia="Times New Roman" w:hAnsi="Calibri"/>
          <w:b/>
          <w:bCs/>
          <w:sz w:val="22"/>
        </w:rPr>
        <w:t>Sent:</w:t>
      </w:r>
      <w:r w:rsidRPr="003726FE">
        <w:rPr>
          <w:rFonts w:ascii="Calibri" w:eastAsia="Times New Roman" w:hAnsi="Calibri"/>
          <w:sz w:val="22"/>
        </w:rPr>
        <w:t xml:space="preserve"> 28 September 2016 16:06</w:t>
      </w:r>
      <w:r w:rsidRPr="003726FE">
        <w:rPr>
          <w:rFonts w:ascii="Calibri" w:eastAsia="Times New Roman" w:hAnsi="Calibri"/>
          <w:sz w:val="22"/>
        </w:rPr>
        <w:br/>
      </w:r>
      <w:r w:rsidRPr="003726FE">
        <w:rPr>
          <w:rFonts w:ascii="Calibri" w:eastAsia="Times New Roman" w:hAnsi="Calibri"/>
          <w:b/>
          <w:bCs/>
          <w:sz w:val="22"/>
        </w:rPr>
        <w:t>To:</w:t>
      </w:r>
      <w:r w:rsidRPr="003726FE">
        <w:rPr>
          <w:rFonts w:ascii="Calibri" w:eastAsia="Times New Roman" w:hAnsi="Calibri"/>
          <w:sz w:val="22"/>
        </w:rPr>
        <w:t xml:space="preserve"> 'Paula Blackwell' &lt;paula.blackwell@sheffield.ac.uk&gt;</w:t>
      </w:r>
      <w:r w:rsidRPr="003726FE">
        <w:rPr>
          <w:rFonts w:ascii="Calibri" w:eastAsia="Times New Roman" w:hAnsi="Calibri"/>
          <w:sz w:val="22"/>
        </w:rPr>
        <w:br/>
      </w:r>
      <w:r w:rsidRPr="003726FE">
        <w:rPr>
          <w:rFonts w:ascii="Calibri" w:eastAsia="Times New Roman" w:hAnsi="Calibri"/>
          <w:b/>
          <w:bCs/>
          <w:sz w:val="22"/>
        </w:rPr>
        <w:t>Subject:</w:t>
      </w:r>
      <w:r w:rsidRPr="003726FE">
        <w:rPr>
          <w:rFonts w:ascii="Calibri" w:eastAsia="Times New Roman" w:hAnsi="Calibri"/>
          <w:sz w:val="22"/>
        </w:rPr>
        <w:t xml:space="preserve"> RE: Additional approval for application 005055</w:t>
      </w:r>
    </w:p>
    <w:p w14:paraId="4EB90A0C" w14:textId="77777777" w:rsidR="00C20F57" w:rsidRPr="003726FE" w:rsidRDefault="00C20F57" w:rsidP="001D4448"/>
    <w:p w14:paraId="2BC355D6" w14:textId="77777777" w:rsidR="00C20F57" w:rsidRPr="003726FE" w:rsidRDefault="00C20F57" w:rsidP="001D4448">
      <w:pPr>
        <w:rPr>
          <w:rFonts w:ascii="Calibri" w:hAnsi="Calibri"/>
          <w:color w:val="1F497D"/>
          <w:sz w:val="22"/>
        </w:rPr>
      </w:pPr>
      <w:r w:rsidRPr="003726FE">
        <w:rPr>
          <w:rFonts w:ascii="Calibri" w:hAnsi="Calibri"/>
          <w:color w:val="1F497D"/>
          <w:sz w:val="22"/>
        </w:rPr>
        <w:t>Dear Paula,</w:t>
      </w:r>
    </w:p>
    <w:p w14:paraId="7FC0C6A9" w14:textId="77777777" w:rsidR="00C20F57" w:rsidRPr="003726FE" w:rsidRDefault="00C20F57" w:rsidP="001D4448">
      <w:pPr>
        <w:rPr>
          <w:rFonts w:ascii="Calibri" w:hAnsi="Calibri"/>
          <w:color w:val="1F497D"/>
          <w:sz w:val="22"/>
        </w:rPr>
      </w:pPr>
      <w:r w:rsidRPr="003726FE">
        <w:rPr>
          <w:rFonts w:ascii="Calibri" w:hAnsi="Calibri"/>
          <w:color w:val="1F497D"/>
          <w:sz w:val="22"/>
        </w:rPr>
        <w:t xml:space="preserve">This is definitely a minor amendment and can be approved.  </w:t>
      </w:r>
    </w:p>
    <w:p w14:paraId="21922C05" w14:textId="77777777" w:rsidR="00C20F57" w:rsidRPr="003726FE" w:rsidRDefault="00C20F57" w:rsidP="001D4448">
      <w:pPr>
        <w:rPr>
          <w:rFonts w:ascii="Calibri" w:hAnsi="Calibri"/>
          <w:color w:val="1F497D"/>
          <w:sz w:val="22"/>
        </w:rPr>
      </w:pPr>
      <w:r w:rsidRPr="003726FE">
        <w:rPr>
          <w:rFonts w:ascii="Calibri" w:hAnsi="Calibri"/>
          <w:color w:val="1F497D"/>
          <w:sz w:val="22"/>
        </w:rPr>
        <w:t>Please put my decision on file.</w:t>
      </w:r>
    </w:p>
    <w:p w14:paraId="7FAF8192" w14:textId="77777777" w:rsidR="00C20F57" w:rsidRPr="003726FE" w:rsidRDefault="00C20F57" w:rsidP="001D4448">
      <w:pPr>
        <w:rPr>
          <w:rFonts w:ascii="Calibri" w:hAnsi="Calibri"/>
          <w:color w:val="1F497D"/>
          <w:sz w:val="22"/>
        </w:rPr>
      </w:pPr>
      <w:r w:rsidRPr="003726FE">
        <w:rPr>
          <w:rFonts w:ascii="Calibri" w:hAnsi="Calibri"/>
          <w:color w:val="1F497D"/>
          <w:sz w:val="22"/>
        </w:rPr>
        <w:t>Many thanks,</w:t>
      </w:r>
    </w:p>
    <w:p w14:paraId="0B0AC25E" w14:textId="77777777" w:rsidR="00C20F57" w:rsidRPr="003726FE" w:rsidRDefault="00C20F57" w:rsidP="001D4448">
      <w:pPr>
        <w:rPr>
          <w:rFonts w:ascii="Calibri" w:hAnsi="Calibri"/>
          <w:color w:val="1F497D"/>
          <w:sz w:val="22"/>
        </w:rPr>
      </w:pPr>
      <w:r w:rsidRPr="003726FE">
        <w:rPr>
          <w:rFonts w:ascii="Calibri" w:hAnsi="Calibri"/>
          <w:color w:val="1F497D"/>
          <w:sz w:val="22"/>
        </w:rPr>
        <w:t>Liz</w:t>
      </w:r>
    </w:p>
    <w:p w14:paraId="36CF3B3C" w14:textId="77777777" w:rsidR="00C20F57" w:rsidRPr="003726FE" w:rsidRDefault="00C20F57" w:rsidP="001D4448">
      <w:pPr>
        <w:rPr>
          <w:rFonts w:ascii="Calibri" w:hAnsi="Calibri"/>
          <w:color w:val="1F497D"/>
          <w:sz w:val="22"/>
        </w:rPr>
      </w:pPr>
    </w:p>
    <w:p w14:paraId="47203148" w14:textId="77777777" w:rsidR="00C20F57" w:rsidRPr="003726FE" w:rsidRDefault="00C20F57" w:rsidP="001D4448">
      <w:pPr>
        <w:rPr>
          <w:rFonts w:ascii="Calibri" w:hAnsi="Calibri"/>
          <w:color w:val="1F497D"/>
          <w:sz w:val="22"/>
        </w:rPr>
      </w:pPr>
      <w:r w:rsidRPr="003726FE">
        <w:rPr>
          <w:rFonts w:ascii="Calibri" w:hAnsi="Calibri"/>
          <w:color w:val="1F497D"/>
          <w:sz w:val="22"/>
        </w:rPr>
        <w:t>Dr Liz Williams</w:t>
      </w:r>
    </w:p>
    <w:p w14:paraId="390F71BF" w14:textId="77777777" w:rsidR="00C20F57" w:rsidRPr="003726FE" w:rsidRDefault="00C20F57" w:rsidP="001D4448">
      <w:pPr>
        <w:rPr>
          <w:rFonts w:ascii="Calibri" w:hAnsi="Calibri"/>
          <w:color w:val="1F497D"/>
          <w:sz w:val="22"/>
        </w:rPr>
      </w:pPr>
      <w:r w:rsidRPr="003726FE">
        <w:rPr>
          <w:rFonts w:ascii="Calibri" w:hAnsi="Calibri"/>
          <w:color w:val="1F497D"/>
          <w:sz w:val="22"/>
        </w:rPr>
        <w:t>Senior Lecturer in Human Nutrition</w:t>
      </w:r>
    </w:p>
    <w:p w14:paraId="208B7704" w14:textId="77777777" w:rsidR="00C20F57" w:rsidRPr="003726FE" w:rsidRDefault="00C20F57" w:rsidP="001D4448">
      <w:pPr>
        <w:rPr>
          <w:rFonts w:ascii="Calibri" w:hAnsi="Calibri"/>
          <w:color w:val="1F497D"/>
          <w:sz w:val="22"/>
        </w:rPr>
      </w:pPr>
      <w:r w:rsidRPr="003726FE">
        <w:rPr>
          <w:rFonts w:ascii="Calibri" w:hAnsi="Calibri"/>
          <w:color w:val="1F497D"/>
          <w:sz w:val="22"/>
        </w:rPr>
        <w:t>Principal Medical School Ethics Contact</w:t>
      </w:r>
    </w:p>
    <w:p w14:paraId="2161AAFF" w14:textId="77777777" w:rsidR="00C20F57" w:rsidRPr="003726FE" w:rsidRDefault="00C20F57" w:rsidP="001D4448">
      <w:pPr>
        <w:rPr>
          <w:rFonts w:ascii="Calibri" w:hAnsi="Calibri"/>
          <w:color w:val="1F497D"/>
          <w:sz w:val="22"/>
        </w:rPr>
      </w:pPr>
      <w:r w:rsidRPr="003726FE">
        <w:rPr>
          <w:rFonts w:ascii="Calibri" w:hAnsi="Calibri"/>
          <w:color w:val="1F497D"/>
          <w:sz w:val="22"/>
        </w:rPr>
        <w:t>Human Nutrition Unit</w:t>
      </w:r>
    </w:p>
    <w:p w14:paraId="3AE9CA9C" w14:textId="77777777" w:rsidR="00C20F57" w:rsidRPr="003726FE" w:rsidRDefault="00C20F57" w:rsidP="001D4448">
      <w:pPr>
        <w:rPr>
          <w:rFonts w:ascii="Calibri" w:hAnsi="Calibri"/>
          <w:color w:val="1F497D"/>
          <w:sz w:val="22"/>
        </w:rPr>
      </w:pPr>
      <w:r w:rsidRPr="003726FE">
        <w:rPr>
          <w:rFonts w:ascii="Calibri" w:hAnsi="Calibri"/>
          <w:color w:val="1F497D"/>
          <w:sz w:val="22"/>
        </w:rPr>
        <w:t>Department of Oncology &amp; Metabolism</w:t>
      </w:r>
    </w:p>
    <w:p w14:paraId="360E9193" w14:textId="77777777" w:rsidR="00C20F57" w:rsidRPr="003726FE" w:rsidRDefault="00C20F57" w:rsidP="001D4448">
      <w:pPr>
        <w:rPr>
          <w:rFonts w:ascii="Calibri" w:hAnsi="Calibri"/>
          <w:color w:val="1F497D"/>
          <w:sz w:val="22"/>
        </w:rPr>
      </w:pPr>
      <w:r w:rsidRPr="003726FE">
        <w:rPr>
          <w:rFonts w:ascii="Calibri" w:hAnsi="Calibri"/>
          <w:color w:val="1F497D"/>
          <w:sz w:val="22"/>
        </w:rPr>
        <w:t>GU29</w:t>
      </w:r>
    </w:p>
    <w:p w14:paraId="67F37224" w14:textId="77777777" w:rsidR="00C20F57" w:rsidRPr="003726FE" w:rsidRDefault="00C20F57" w:rsidP="001D4448">
      <w:pPr>
        <w:rPr>
          <w:rFonts w:ascii="Calibri" w:hAnsi="Calibri"/>
          <w:color w:val="1F497D"/>
          <w:sz w:val="22"/>
        </w:rPr>
      </w:pPr>
      <w:r w:rsidRPr="003726FE">
        <w:rPr>
          <w:rFonts w:ascii="Calibri" w:hAnsi="Calibri"/>
          <w:color w:val="1F497D"/>
          <w:sz w:val="22"/>
        </w:rPr>
        <w:t>Beech Hill Road</w:t>
      </w:r>
    </w:p>
    <w:p w14:paraId="016EC2B2" w14:textId="77777777" w:rsidR="00C20F57" w:rsidRPr="003726FE" w:rsidRDefault="00C20F57" w:rsidP="001D4448">
      <w:pPr>
        <w:rPr>
          <w:rFonts w:ascii="Calibri" w:hAnsi="Calibri"/>
          <w:color w:val="1F497D"/>
          <w:sz w:val="22"/>
        </w:rPr>
      </w:pPr>
      <w:r w:rsidRPr="003726FE">
        <w:rPr>
          <w:rFonts w:ascii="Calibri" w:hAnsi="Calibri"/>
          <w:color w:val="1F497D"/>
          <w:sz w:val="22"/>
        </w:rPr>
        <w:t>Sheffield</w:t>
      </w:r>
    </w:p>
    <w:p w14:paraId="755FF6C6" w14:textId="6516EDE7" w:rsidR="00C20F57" w:rsidRPr="003726FE" w:rsidRDefault="00C20F57" w:rsidP="001D4448">
      <w:pPr>
        <w:rPr>
          <w:rFonts w:ascii="Calibri" w:hAnsi="Calibri"/>
          <w:color w:val="1F497D"/>
          <w:sz w:val="22"/>
        </w:rPr>
      </w:pPr>
      <w:r w:rsidRPr="003726FE">
        <w:rPr>
          <w:rFonts w:ascii="Calibri" w:hAnsi="Calibri"/>
          <w:color w:val="1F497D"/>
          <w:sz w:val="22"/>
        </w:rPr>
        <w:t>S10 2RX</w:t>
      </w:r>
    </w:p>
    <w:p w14:paraId="7D8AF171" w14:textId="77777777" w:rsidR="00C20F57" w:rsidRPr="003726FE" w:rsidRDefault="00C20F57" w:rsidP="001D4448">
      <w:pPr>
        <w:rPr>
          <w:rFonts w:ascii="Calibri" w:hAnsi="Calibri"/>
          <w:color w:val="1F497D"/>
          <w:sz w:val="22"/>
        </w:rPr>
      </w:pPr>
      <w:r w:rsidRPr="003726FE">
        <w:rPr>
          <w:rFonts w:ascii="Calibri" w:hAnsi="Calibri"/>
          <w:color w:val="1F497D"/>
          <w:sz w:val="22"/>
        </w:rPr>
        <w:t>Tel: 0114 215 9065</w:t>
      </w:r>
    </w:p>
    <w:p w14:paraId="565D66AC" w14:textId="77777777" w:rsidR="00C20F57" w:rsidRPr="003726FE" w:rsidRDefault="00C20F57" w:rsidP="001D4448">
      <w:pPr>
        <w:rPr>
          <w:rFonts w:ascii="Calibri" w:hAnsi="Calibri"/>
          <w:color w:val="1F497D"/>
          <w:sz w:val="22"/>
        </w:rPr>
      </w:pPr>
      <w:r w:rsidRPr="003726FE">
        <w:rPr>
          <w:rFonts w:ascii="Calibri" w:hAnsi="Calibri"/>
          <w:color w:val="1F497D"/>
          <w:sz w:val="22"/>
        </w:rPr>
        <w:t>Fax: 0114 271 1863</w:t>
      </w:r>
    </w:p>
    <w:p w14:paraId="1F236393" w14:textId="77777777" w:rsidR="00C20F57" w:rsidRPr="003726FE" w:rsidRDefault="00C20F57" w:rsidP="001D4448">
      <w:pPr>
        <w:rPr>
          <w:rFonts w:ascii="Calibri" w:hAnsi="Calibri"/>
          <w:color w:val="1F497D"/>
          <w:sz w:val="22"/>
        </w:rPr>
      </w:pPr>
    </w:p>
    <w:p w14:paraId="2BAFB9A2" w14:textId="77777777" w:rsidR="00C20F57" w:rsidRPr="003726FE" w:rsidRDefault="00C20F57" w:rsidP="00C20F57">
      <w:pPr>
        <w:pStyle w:val="Normal1"/>
        <w:rPr>
          <w:lang w:val="en-GB"/>
        </w:rPr>
      </w:pPr>
      <w:r w:rsidRPr="003726FE">
        <w:rPr>
          <w:b/>
          <w:bCs/>
          <w:lang w:val="en-GB"/>
        </w:rPr>
        <w:t>From:</w:t>
      </w:r>
      <w:r w:rsidRPr="003726FE">
        <w:rPr>
          <w:lang w:val="en-GB"/>
        </w:rPr>
        <w:t xml:space="preserve"> Paula Blackwell [</w:t>
      </w:r>
      <w:hyperlink r:id="rId123" w:history="1">
        <w:r w:rsidRPr="003726FE">
          <w:rPr>
            <w:rStyle w:val="Hyperlink"/>
            <w:rFonts w:ascii="Tahoma" w:hAnsi="Tahoma" w:cs="Tahoma"/>
            <w:sz w:val="20"/>
            <w:szCs w:val="20"/>
            <w:lang w:val="en-GB"/>
          </w:rPr>
          <w:t>mailto:paula.blackwell@sheffield.ac.uk</w:t>
        </w:r>
      </w:hyperlink>
      <w:r w:rsidRPr="003726FE">
        <w:rPr>
          <w:lang w:val="en-GB"/>
        </w:rPr>
        <w:t xml:space="preserve">] </w:t>
      </w:r>
      <w:r w:rsidRPr="003726FE">
        <w:rPr>
          <w:lang w:val="en-GB"/>
        </w:rPr>
        <w:br/>
      </w:r>
      <w:r w:rsidRPr="003726FE">
        <w:rPr>
          <w:b/>
          <w:bCs/>
          <w:lang w:val="en-GB"/>
        </w:rPr>
        <w:t>Sent:</w:t>
      </w:r>
      <w:r w:rsidRPr="003726FE">
        <w:rPr>
          <w:lang w:val="en-GB"/>
        </w:rPr>
        <w:t xml:space="preserve"> 27 September 2016 08:46</w:t>
      </w:r>
      <w:r w:rsidRPr="003726FE">
        <w:rPr>
          <w:lang w:val="en-GB"/>
        </w:rPr>
        <w:br/>
      </w:r>
      <w:r w:rsidRPr="003726FE">
        <w:rPr>
          <w:b/>
          <w:bCs/>
          <w:lang w:val="en-GB"/>
        </w:rPr>
        <w:t>To:</w:t>
      </w:r>
      <w:r w:rsidRPr="003726FE">
        <w:rPr>
          <w:lang w:val="en-GB"/>
        </w:rPr>
        <w:t xml:space="preserve"> 'Liz Williams'</w:t>
      </w:r>
      <w:r w:rsidRPr="003726FE">
        <w:rPr>
          <w:lang w:val="en-GB"/>
        </w:rPr>
        <w:br/>
      </w:r>
      <w:r w:rsidRPr="003726FE">
        <w:rPr>
          <w:b/>
          <w:bCs/>
          <w:lang w:val="en-GB"/>
        </w:rPr>
        <w:t>Subject:</w:t>
      </w:r>
      <w:r w:rsidRPr="003726FE">
        <w:rPr>
          <w:lang w:val="en-GB"/>
        </w:rPr>
        <w:t xml:space="preserve"> FW: Additional approval for application 005055</w:t>
      </w:r>
    </w:p>
    <w:p w14:paraId="0F715907" w14:textId="77777777" w:rsidR="00C20F57" w:rsidRPr="003726FE" w:rsidRDefault="00C20F57" w:rsidP="001D4448"/>
    <w:p w14:paraId="0A712339" w14:textId="77777777" w:rsidR="00C20F57" w:rsidRPr="003726FE" w:rsidRDefault="00C20F57" w:rsidP="001D4448">
      <w:pPr>
        <w:rPr>
          <w:rFonts w:ascii="Calibri" w:hAnsi="Calibri"/>
          <w:color w:val="1F497D"/>
          <w:sz w:val="22"/>
        </w:rPr>
      </w:pPr>
      <w:r w:rsidRPr="003726FE">
        <w:rPr>
          <w:rFonts w:ascii="Calibri" w:hAnsi="Calibri"/>
          <w:color w:val="1F497D"/>
          <w:sz w:val="22"/>
        </w:rPr>
        <w:t>Hi Liz</w:t>
      </w:r>
    </w:p>
    <w:p w14:paraId="3160E9FB" w14:textId="77777777" w:rsidR="00C20F57" w:rsidRPr="003726FE" w:rsidRDefault="00C20F57" w:rsidP="001D4448">
      <w:pPr>
        <w:rPr>
          <w:rFonts w:ascii="Calibri" w:hAnsi="Calibri"/>
          <w:color w:val="1F497D"/>
          <w:sz w:val="22"/>
        </w:rPr>
      </w:pPr>
    </w:p>
    <w:p w14:paraId="6DFD2114" w14:textId="77777777" w:rsidR="00C20F57" w:rsidRPr="003726FE" w:rsidRDefault="00C20F57" w:rsidP="001D4448">
      <w:pPr>
        <w:rPr>
          <w:rFonts w:ascii="Calibri" w:hAnsi="Calibri"/>
          <w:color w:val="1F497D"/>
          <w:sz w:val="22"/>
        </w:rPr>
      </w:pPr>
      <w:r w:rsidRPr="003726FE">
        <w:rPr>
          <w:rFonts w:ascii="Calibri" w:hAnsi="Calibri"/>
          <w:color w:val="1F497D"/>
          <w:sz w:val="22"/>
        </w:rPr>
        <w:t>Can you take a look at Billy’s email below regarding ethics application 005055.</w:t>
      </w:r>
    </w:p>
    <w:p w14:paraId="22EAEB20" w14:textId="77777777" w:rsidR="00C20F57" w:rsidRPr="003726FE" w:rsidRDefault="00C20F57" w:rsidP="001D4448">
      <w:pPr>
        <w:rPr>
          <w:rFonts w:ascii="Calibri" w:hAnsi="Calibri"/>
          <w:color w:val="1F497D"/>
          <w:sz w:val="22"/>
        </w:rPr>
      </w:pPr>
    </w:p>
    <w:p w14:paraId="294AE73E" w14:textId="77777777" w:rsidR="00C20F57" w:rsidRPr="003726FE" w:rsidRDefault="00C20F57" w:rsidP="001D4448">
      <w:pPr>
        <w:rPr>
          <w:rFonts w:ascii="Calibri" w:hAnsi="Calibri"/>
          <w:color w:val="1F497D"/>
          <w:sz w:val="22"/>
        </w:rPr>
      </w:pPr>
      <w:r w:rsidRPr="003726FE">
        <w:rPr>
          <w:rFonts w:ascii="Calibri" w:hAnsi="Calibri"/>
          <w:color w:val="1F497D"/>
          <w:sz w:val="22"/>
        </w:rPr>
        <w:t>Can you let me know if you think this is minor amendment or does it need to go through the full review process again?  If you prefer, I can send it on to the lead reviewer (Tom Farrow) for the original application for him to make this decision.</w:t>
      </w:r>
    </w:p>
    <w:p w14:paraId="39960D57" w14:textId="77777777" w:rsidR="00C20F57" w:rsidRPr="003726FE" w:rsidRDefault="00C20F57" w:rsidP="001D4448">
      <w:pPr>
        <w:rPr>
          <w:rFonts w:ascii="Calibri" w:hAnsi="Calibri"/>
          <w:color w:val="1F497D"/>
          <w:sz w:val="22"/>
        </w:rPr>
      </w:pPr>
    </w:p>
    <w:p w14:paraId="4C8A97F3" w14:textId="77777777" w:rsidR="00C20F57" w:rsidRPr="003726FE" w:rsidRDefault="00C20F57" w:rsidP="001D4448">
      <w:pPr>
        <w:rPr>
          <w:rFonts w:ascii="Calibri" w:hAnsi="Calibri"/>
          <w:color w:val="1F497D"/>
          <w:sz w:val="22"/>
        </w:rPr>
      </w:pPr>
      <w:r w:rsidRPr="003726FE">
        <w:rPr>
          <w:rFonts w:ascii="Calibri" w:hAnsi="Calibri"/>
          <w:color w:val="1F497D"/>
          <w:sz w:val="22"/>
        </w:rPr>
        <w:t>Looking forward to hearing from you.</w:t>
      </w:r>
    </w:p>
    <w:p w14:paraId="7BF41AD8" w14:textId="77777777" w:rsidR="00C20F57" w:rsidRPr="003726FE" w:rsidRDefault="00C20F57" w:rsidP="001D4448">
      <w:pPr>
        <w:rPr>
          <w:rFonts w:ascii="Calibri" w:hAnsi="Calibri"/>
          <w:color w:val="1F497D"/>
          <w:sz w:val="22"/>
        </w:rPr>
      </w:pPr>
    </w:p>
    <w:p w14:paraId="5EB6BAF1" w14:textId="77777777" w:rsidR="00C20F57" w:rsidRPr="003726FE" w:rsidRDefault="00C20F57" w:rsidP="001D4448">
      <w:pPr>
        <w:rPr>
          <w:rFonts w:ascii="Calibri" w:hAnsi="Calibri"/>
          <w:color w:val="1F497D"/>
          <w:sz w:val="22"/>
        </w:rPr>
      </w:pPr>
      <w:r w:rsidRPr="003726FE">
        <w:rPr>
          <w:rFonts w:ascii="Calibri" w:hAnsi="Calibri"/>
          <w:color w:val="1F497D"/>
          <w:sz w:val="22"/>
        </w:rPr>
        <w:t>Best wishes</w:t>
      </w:r>
    </w:p>
    <w:p w14:paraId="232E8DBD" w14:textId="77777777" w:rsidR="00C20F57" w:rsidRPr="003726FE" w:rsidRDefault="00C20F57" w:rsidP="001D4448">
      <w:pPr>
        <w:rPr>
          <w:rFonts w:ascii="Calibri" w:hAnsi="Calibri"/>
          <w:color w:val="1F497D"/>
          <w:sz w:val="22"/>
        </w:rPr>
      </w:pPr>
    </w:p>
    <w:p w14:paraId="4C004B80" w14:textId="77777777" w:rsidR="00C20F57" w:rsidRPr="003726FE" w:rsidRDefault="00C20F57" w:rsidP="001D4448">
      <w:pPr>
        <w:rPr>
          <w:rFonts w:ascii="Calibri" w:hAnsi="Calibri"/>
          <w:color w:val="1F497D"/>
          <w:sz w:val="22"/>
        </w:rPr>
      </w:pPr>
      <w:r w:rsidRPr="003726FE">
        <w:rPr>
          <w:rFonts w:ascii="Calibri" w:hAnsi="Calibri"/>
          <w:color w:val="1F497D"/>
          <w:sz w:val="22"/>
        </w:rPr>
        <w:t xml:space="preserve">Paula  </w:t>
      </w:r>
    </w:p>
    <w:p w14:paraId="425D3E0C" w14:textId="77777777" w:rsidR="00C20F57" w:rsidRPr="003726FE" w:rsidRDefault="00C20F57" w:rsidP="001D4448">
      <w:pPr>
        <w:rPr>
          <w:rFonts w:ascii="Calibri" w:hAnsi="Calibri"/>
          <w:color w:val="1F497D"/>
          <w:sz w:val="22"/>
        </w:rPr>
      </w:pPr>
    </w:p>
    <w:p w14:paraId="0E223651" w14:textId="77777777" w:rsidR="00C20F57" w:rsidRPr="003726FE" w:rsidRDefault="00C20F57" w:rsidP="001D4448">
      <w:pPr>
        <w:rPr>
          <w:rFonts w:ascii="Calibri" w:hAnsi="Calibri"/>
          <w:color w:val="1F497D"/>
          <w:sz w:val="22"/>
        </w:rPr>
      </w:pPr>
      <w:r w:rsidRPr="003726FE">
        <w:rPr>
          <w:rFonts w:ascii="Calibri" w:hAnsi="Calibri"/>
          <w:color w:val="1F497D"/>
          <w:sz w:val="22"/>
        </w:rPr>
        <w:t>Paula Blackwell</w:t>
      </w:r>
    </w:p>
    <w:p w14:paraId="518A80BD" w14:textId="77777777" w:rsidR="00C20F57" w:rsidRPr="003726FE" w:rsidRDefault="00C20F57" w:rsidP="001D4448">
      <w:pPr>
        <w:rPr>
          <w:rFonts w:ascii="Calibri" w:hAnsi="Calibri"/>
          <w:color w:val="1F497D"/>
          <w:sz w:val="22"/>
        </w:rPr>
      </w:pPr>
      <w:r w:rsidRPr="003726FE">
        <w:rPr>
          <w:rFonts w:ascii="Calibri" w:hAnsi="Calibri"/>
          <w:color w:val="1F497D"/>
          <w:sz w:val="22"/>
        </w:rPr>
        <w:t>Postgraduate Research Admissions Administrator</w:t>
      </w:r>
    </w:p>
    <w:p w14:paraId="4979BF28" w14:textId="77777777" w:rsidR="00C20F57" w:rsidRPr="003726FE" w:rsidRDefault="00C20F57" w:rsidP="001D4448">
      <w:pPr>
        <w:rPr>
          <w:rFonts w:ascii="Calibri" w:hAnsi="Calibri"/>
          <w:color w:val="1F497D"/>
          <w:sz w:val="22"/>
        </w:rPr>
      </w:pPr>
      <w:r w:rsidRPr="003726FE">
        <w:rPr>
          <w:rFonts w:ascii="Calibri" w:hAnsi="Calibri"/>
          <w:color w:val="1F497D"/>
          <w:sz w:val="22"/>
        </w:rPr>
        <w:t>K126</w:t>
      </w:r>
    </w:p>
    <w:p w14:paraId="5EA73BF8" w14:textId="77777777" w:rsidR="00C20F57" w:rsidRPr="003726FE" w:rsidRDefault="00C20F57" w:rsidP="001D4448">
      <w:pPr>
        <w:rPr>
          <w:rFonts w:ascii="Calibri" w:hAnsi="Calibri"/>
          <w:color w:val="1F497D"/>
          <w:sz w:val="22"/>
        </w:rPr>
      </w:pPr>
      <w:r w:rsidRPr="003726FE">
        <w:rPr>
          <w:rFonts w:ascii="Calibri" w:hAnsi="Calibri"/>
          <w:color w:val="1F497D"/>
          <w:sz w:val="22"/>
        </w:rPr>
        <w:t>University of Sheffield Medical School</w:t>
      </w:r>
    </w:p>
    <w:p w14:paraId="50B47C26" w14:textId="77777777" w:rsidR="00C20F57" w:rsidRPr="003726FE" w:rsidRDefault="00C20F57" w:rsidP="001D4448">
      <w:pPr>
        <w:rPr>
          <w:rFonts w:ascii="Calibri" w:hAnsi="Calibri"/>
          <w:color w:val="1F497D"/>
          <w:sz w:val="22"/>
        </w:rPr>
      </w:pPr>
      <w:r w:rsidRPr="003726FE">
        <w:rPr>
          <w:rFonts w:ascii="Calibri" w:hAnsi="Calibri"/>
          <w:color w:val="1F497D"/>
          <w:sz w:val="22"/>
        </w:rPr>
        <w:t>Beech Hill Road</w:t>
      </w:r>
    </w:p>
    <w:p w14:paraId="53831E14" w14:textId="27B1C124" w:rsidR="00C20F57" w:rsidRPr="003726FE" w:rsidRDefault="00C20F57" w:rsidP="001D4448">
      <w:pPr>
        <w:rPr>
          <w:rFonts w:ascii="Calibri" w:hAnsi="Calibri"/>
          <w:color w:val="1F497D"/>
          <w:sz w:val="22"/>
        </w:rPr>
      </w:pPr>
      <w:r w:rsidRPr="003726FE">
        <w:rPr>
          <w:rFonts w:ascii="Calibri" w:hAnsi="Calibri"/>
          <w:color w:val="1F497D"/>
          <w:sz w:val="22"/>
        </w:rPr>
        <w:t>Sheffield S10 2RX</w:t>
      </w:r>
    </w:p>
    <w:p w14:paraId="6825BB35" w14:textId="77777777" w:rsidR="00C20F57" w:rsidRPr="003726FE" w:rsidRDefault="00C20F57" w:rsidP="001D4448">
      <w:pPr>
        <w:rPr>
          <w:rFonts w:ascii="Calibri" w:hAnsi="Calibri"/>
          <w:color w:val="1F497D"/>
          <w:sz w:val="22"/>
        </w:rPr>
      </w:pPr>
      <w:r w:rsidRPr="003726FE">
        <w:rPr>
          <w:rFonts w:ascii="Calibri" w:hAnsi="Calibri"/>
          <w:color w:val="1F497D"/>
          <w:sz w:val="22"/>
        </w:rPr>
        <w:t xml:space="preserve">Tel: </w:t>
      </w:r>
      <w:hyperlink r:id="rId124" w:tgtFrame="_blank" w:history="1">
        <w:r w:rsidRPr="003726FE">
          <w:rPr>
            <w:rStyle w:val="Hyperlink"/>
            <w:rFonts w:ascii="Calibri" w:hAnsi="Calibri"/>
            <w:color w:val="1F497D"/>
            <w:sz w:val="22"/>
          </w:rPr>
          <w:t>+44 (0)114 2</w:t>
        </w:r>
      </w:hyperlink>
      <w:r w:rsidRPr="003726FE">
        <w:rPr>
          <w:rFonts w:ascii="Calibri" w:hAnsi="Calibri"/>
          <w:color w:val="1F497D"/>
          <w:sz w:val="22"/>
          <w:u w:val="single"/>
        </w:rPr>
        <w:t>1 59570</w:t>
      </w:r>
    </w:p>
    <w:p w14:paraId="0A8BC735" w14:textId="77777777" w:rsidR="00C20F57" w:rsidRPr="003726FE" w:rsidRDefault="00C20F57" w:rsidP="001D4448">
      <w:pPr>
        <w:rPr>
          <w:rFonts w:ascii="Calibri" w:hAnsi="Calibri"/>
          <w:color w:val="1F497D"/>
          <w:sz w:val="22"/>
        </w:rPr>
      </w:pPr>
      <w:r w:rsidRPr="003726FE">
        <w:rPr>
          <w:rFonts w:ascii="Calibri" w:hAnsi="Calibri"/>
          <w:color w:val="1F497D"/>
          <w:sz w:val="22"/>
        </w:rPr>
        <w:t xml:space="preserve">Fax: </w:t>
      </w:r>
      <w:hyperlink r:id="rId125" w:tgtFrame="_blank" w:history="1">
        <w:r w:rsidRPr="003726FE">
          <w:rPr>
            <w:rStyle w:val="Hyperlink"/>
            <w:rFonts w:ascii="Calibri" w:hAnsi="Calibri"/>
            <w:color w:val="1F497D"/>
            <w:sz w:val="22"/>
          </w:rPr>
          <w:t>+44 (0)114 271 3892</w:t>
        </w:r>
      </w:hyperlink>
    </w:p>
    <w:p w14:paraId="773D718D" w14:textId="77777777" w:rsidR="00C20F57" w:rsidRPr="003726FE" w:rsidRDefault="00C20F57" w:rsidP="001D4448">
      <w:pPr>
        <w:rPr>
          <w:rFonts w:ascii="Calibri" w:hAnsi="Calibri"/>
          <w:color w:val="1F497D"/>
          <w:sz w:val="22"/>
        </w:rPr>
      </w:pPr>
    </w:p>
    <w:p w14:paraId="0B3A1DF2" w14:textId="77777777" w:rsidR="00C20F57" w:rsidRPr="003726FE" w:rsidRDefault="00C20F57" w:rsidP="00C20F57">
      <w:pPr>
        <w:pStyle w:val="Normal1"/>
        <w:rPr>
          <w:lang w:val="en-GB"/>
        </w:rPr>
      </w:pPr>
      <w:r w:rsidRPr="003726FE">
        <w:rPr>
          <w:b/>
          <w:bCs/>
          <w:lang w:val="en-GB"/>
        </w:rPr>
        <w:t>From:</w:t>
      </w:r>
      <w:r w:rsidRPr="003726FE">
        <w:rPr>
          <w:lang w:val="en-GB"/>
        </w:rPr>
        <w:t xml:space="preserve"> Billy Bryan [</w:t>
      </w:r>
      <w:hyperlink r:id="rId126" w:history="1">
        <w:r w:rsidRPr="003726FE">
          <w:rPr>
            <w:rStyle w:val="Hyperlink"/>
            <w:rFonts w:ascii="Calibri" w:hAnsi="Calibri"/>
            <w:sz w:val="22"/>
            <w:szCs w:val="22"/>
            <w:lang w:val="en-GB"/>
          </w:rPr>
          <w:t>mailto:bjbryan1@sheffield.ac.uk</w:t>
        </w:r>
      </w:hyperlink>
      <w:r w:rsidRPr="003726FE">
        <w:rPr>
          <w:lang w:val="en-GB"/>
        </w:rPr>
        <w:t xml:space="preserve">] </w:t>
      </w:r>
      <w:r w:rsidRPr="003726FE">
        <w:rPr>
          <w:lang w:val="en-GB"/>
        </w:rPr>
        <w:br/>
      </w:r>
      <w:r w:rsidRPr="003726FE">
        <w:rPr>
          <w:b/>
          <w:bCs/>
          <w:lang w:val="en-GB"/>
        </w:rPr>
        <w:t>Sent:</w:t>
      </w:r>
      <w:r w:rsidRPr="003726FE">
        <w:rPr>
          <w:lang w:val="en-GB"/>
        </w:rPr>
        <w:t xml:space="preserve"> 26 September 2016 17:39</w:t>
      </w:r>
      <w:r w:rsidRPr="003726FE">
        <w:rPr>
          <w:lang w:val="en-GB"/>
        </w:rPr>
        <w:br/>
      </w:r>
      <w:r w:rsidRPr="003726FE">
        <w:rPr>
          <w:b/>
          <w:bCs/>
          <w:lang w:val="en-GB"/>
        </w:rPr>
        <w:t>To:</w:t>
      </w:r>
      <w:r w:rsidRPr="003726FE">
        <w:rPr>
          <w:lang w:val="en-GB"/>
        </w:rPr>
        <w:t xml:space="preserve"> Paula Blackwell &lt;</w:t>
      </w:r>
      <w:hyperlink r:id="rId127" w:history="1">
        <w:r w:rsidRPr="003726FE">
          <w:rPr>
            <w:rStyle w:val="Hyperlink"/>
            <w:rFonts w:ascii="Calibri" w:hAnsi="Calibri"/>
            <w:sz w:val="22"/>
            <w:szCs w:val="22"/>
            <w:lang w:val="en-GB"/>
          </w:rPr>
          <w:t>paula.blackwell@sheffield.ac.uk</w:t>
        </w:r>
      </w:hyperlink>
      <w:r w:rsidRPr="003726FE">
        <w:rPr>
          <w:lang w:val="en-GB"/>
        </w:rPr>
        <w:t>&gt;</w:t>
      </w:r>
      <w:r w:rsidRPr="003726FE">
        <w:rPr>
          <w:lang w:val="en-GB"/>
        </w:rPr>
        <w:br/>
      </w:r>
      <w:r w:rsidRPr="003726FE">
        <w:rPr>
          <w:b/>
          <w:bCs/>
          <w:lang w:val="en-GB"/>
        </w:rPr>
        <w:t>Subject:</w:t>
      </w:r>
      <w:r w:rsidRPr="003726FE">
        <w:rPr>
          <w:lang w:val="en-GB"/>
        </w:rPr>
        <w:t xml:space="preserve"> Additional approval for application 005055</w:t>
      </w:r>
    </w:p>
    <w:p w14:paraId="4F9B79CC" w14:textId="77777777" w:rsidR="00C20F57" w:rsidRPr="003726FE" w:rsidRDefault="00C20F57" w:rsidP="001D4448"/>
    <w:p w14:paraId="1A9C5962" w14:textId="77777777" w:rsidR="00C20F57" w:rsidRPr="003726FE" w:rsidRDefault="00C20F57" w:rsidP="001D4448">
      <w:r w:rsidRPr="003726FE">
        <w:t>Hello Paula,</w:t>
      </w:r>
    </w:p>
    <w:p w14:paraId="7B1DC902" w14:textId="77777777" w:rsidR="00C20F57" w:rsidRPr="003726FE" w:rsidRDefault="00C20F57" w:rsidP="001D4448"/>
    <w:p w14:paraId="40B54BB6" w14:textId="77777777" w:rsidR="00C20F57" w:rsidRPr="003726FE" w:rsidRDefault="00C20F57" w:rsidP="001D4448">
      <w:r w:rsidRPr="003726FE">
        <w:t>I am writing to you regarding application 005055. I am seeking additional approval for further data collection.</w:t>
      </w:r>
    </w:p>
    <w:p w14:paraId="062653DF" w14:textId="77777777" w:rsidR="00C20F57" w:rsidRPr="003726FE" w:rsidRDefault="00C20F57" w:rsidP="001D4448"/>
    <w:p w14:paraId="076C41D2" w14:textId="6E38FA34" w:rsidR="00C20F57" w:rsidRPr="003726FE" w:rsidRDefault="00C20F57" w:rsidP="001D4448">
      <w:r w:rsidRPr="003726FE">
        <w:t xml:space="preserve">I am looking to collect questionnaire data for first and second year medical students using the same methods and </w:t>
      </w:r>
      <w:r w:rsidR="00FC0FFB" w:rsidRPr="003726FE">
        <w:t>tools to</w:t>
      </w:r>
      <w:r w:rsidRPr="003726FE">
        <w:t xml:space="preserve"> validate the questionnaire tool. The additional approval is to collect this data from the new participants in the same way as the original ethics form stipulates.</w:t>
      </w:r>
    </w:p>
    <w:p w14:paraId="5F25C46B" w14:textId="77777777" w:rsidR="00C20F57" w:rsidRPr="003726FE" w:rsidRDefault="00C20F57" w:rsidP="001D4448"/>
    <w:p w14:paraId="46ED2060" w14:textId="77777777" w:rsidR="00C20F57" w:rsidRPr="003726FE" w:rsidRDefault="00C20F57" w:rsidP="001D4448">
      <w:r w:rsidRPr="003726FE">
        <w:t>I have included the information sheet, consent statement, and questionnaire materials.</w:t>
      </w:r>
    </w:p>
    <w:p w14:paraId="11FFE51C" w14:textId="77777777" w:rsidR="00C20F57" w:rsidRPr="003726FE" w:rsidRDefault="00C20F57" w:rsidP="001D4448"/>
    <w:p w14:paraId="21051BAC" w14:textId="77777777" w:rsidR="00C20F57" w:rsidRPr="003726FE" w:rsidRDefault="00C20F57" w:rsidP="001D4448">
      <w:r w:rsidRPr="003726FE">
        <w:t>Please let me know if there is any more information i need to provide.</w:t>
      </w:r>
    </w:p>
    <w:p w14:paraId="5C03474F" w14:textId="77777777" w:rsidR="00C20F57" w:rsidRPr="003726FE" w:rsidRDefault="00C20F57" w:rsidP="001D4448">
      <w:r w:rsidRPr="003726FE">
        <w:br w:type="textWrapping" w:clear="all"/>
      </w:r>
    </w:p>
    <w:p w14:paraId="04D399E3" w14:textId="77777777" w:rsidR="00C20F57" w:rsidRPr="003726FE" w:rsidRDefault="00C20F57" w:rsidP="001D4448">
      <w:r w:rsidRPr="003726FE">
        <w:t>Best wishes,</w:t>
      </w:r>
    </w:p>
    <w:p w14:paraId="44C35A6D" w14:textId="77777777" w:rsidR="00C20F57" w:rsidRPr="003726FE" w:rsidRDefault="00C20F57" w:rsidP="001D4448"/>
    <w:p w14:paraId="1570F3F2" w14:textId="77777777" w:rsidR="00C20F57" w:rsidRPr="003726FE" w:rsidRDefault="00C20F57" w:rsidP="001D4448">
      <w:r w:rsidRPr="003726FE">
        <w:t>Billy Bryan</w:t>
      </w:r>
    </w:p>
    <w:p w14:paraId="294B576B" w14:textId="77777777" w:rsidR="00C20F57" w:rsidRPr="003726FE" w:rsidRDefault="00C20F57" w:rsidP="001D4448">
      <w:pPr>
        <w:rPr>
          <w:sz w:val="19"/>
          <w:szCs w:val="19"/>
        </w:rPr>
      </w:pPr>
    </w:p>
    <w:p w14:paraId="4A6568CE" w14:textId="77777777" w:rsidR="00C20F57" w:rsidRPr="003726FE" w:rsidRDefault="000532E2" w:rsidP="001D4448">
      <w:pPr>
        <w:rPr>
          <w:sz w:val="19"/>
          <w:szCs w:val="19"/>
        </w:rPr>
      </w:pPr>
      <w:hyperlink r:id="rId128" w:tgtFrame="_blank" w:history="1">
        <w:r w:rsidR="00C20F57" w:rsidRPr="003726FE">
          <w:rPr>
            <w:rStyle w:val="Hyperlink"/>
            <w:sz w:val="19"/>
            <w:szCs w:val="19"/>
          </w:rPr>
          <w:t>PhD Student - Medical Education</w:t>
        </w:r>
      </w:hyperlink>
    </w:p>
    <w:p w14:paraId="2F7284DF" w14:textId="77777777" w:rsidR="00C20F57" w:rsidRPr="003726FE" w:rsidRDefault="000532E2" w:rsidP="001D4448">
      <w:pPr>
        <w:rPr>
          <w:sz w:val="19"/>
          <w:szCs w:val="19"/>
        </w:rPr>
      </w:pPr>
      <w:hyperlink r:id="rId129" w:tgtFrame="_blank" w:history="1">
        <w:r w:rsidR="00C20F57" w:rsidRPr="003726FE">
          <w:rPr>
            <w:rStyle w:val="Hyperlink"/>
            <w:sz w:val="19"/>
            <w:szCs w:val="19"/>
          </w:rPr>
          <w:t>Students' Union Trustee</w:t>
        </w:r>
      </w:hyperlink>
      <w:r w:rsidR="00C20F57" w:rsidRPr="003726FE">
        <w:rPr>
          <w:sz w:val="19"/>
          <w:szCs w:val="19"/>
        </w:rPr>
        <w:t xml:space="preserve"> &amp; PGR Councillor</w:t>
      </w:r>
      <w:r w:rsidR="00C20F57" w:rsidRPr="003726FE">
        <w:rPr>
          <w:sz w:val="19"/>
          <w:szCs w:val="19"/>
        </w:rPr>
        <w:br/>
      </w:r>
      <w:hyperlink r:id="rId130" w:tgtFrame="_blank" w:history="1">
        <w:r w:rsidR="00C20F57" w:rsidRPr="003726FE">
          <w:rPr>
            <w:rStyle w:val="Hyperlink"/>
            <w:color w:val="1155CC"/>
            <w:sz w:val="19"/>
            <w:szCs w:val="19"/>
          </w:rPr>
          <w:t>Medical PG Society</w:t>
        </w:r>
      </w:hyperlink>
    </w:p>
    <w:p w14:paraId="57603747" w14:textId="77777777" w:rsidR="00C20F57" w:rsidRPr="003726FE" w:rsidRDefault="000532E2" w:rsidP="001D4448">
      <w:pPr>
        <w:rPr>
          <w:sz w:val="19"/>
          <w:szCs w:val="19"/>
        </w:rPr>
      </w:pPr>
      <w:hyperlink r:id="rId131" w:tgtFrame="_blank" w:history="1">
        <w:r w:rsidR="00C20F57" w:rsidRPr="003726FE">
          <w:rPr>
            <w:rStyle w:val="Hyperlink"/>
            <w:sz w:val="19"/>
            <w:szCs w:val="19"/>
          </w:rPr>
          <w:t>Postgraduate Careers and Employability Officer</w:t>
        </w:r>
      </w:hyperlink>
    </w:p>
    <w:p w14:paraId="19D0C3EE" w14:textId="368D268A" w:rsidR="00C20F57" w:rsidRPr="003726FE" w:rsidRDefault="00C20F57" w:rsidP="001D4448">
      <w:pPr>
        <w:rPr>
          <w:sz w:val="19"/>
          <w:szCs w:val="19"/>
        </w:rPr>
      </w:pPr>
      <w:r w:rsidRPr="003726FE">
        <w:rPr>
          <w:sz w:val="19"/>
          <w:szCs w:val="19"/>
        </w:rPr>
        <w:br/>
        <w:t>Faculty of Medicine, Dentistry and Health.</w:t>
      </w:r>
      <w:r w:rsidRPr="003726FE">
        <w:rPr>
          <w:sz w:val="19"/>
          <w:szCs w:val="19"/>
        </w:rPr>
        <w:br/>
        <w:t>The Medical School, University of Sheffield,</w:t>
      </w:r>
      <w:r w:rsidRPr="003726FE">
        <w:rPr>
          <w:sz w:val="19"/>
          <w:szCs w:val="19"/>
        </w:rPr>
        <w:br/>
        <w:t>Beech Hill Road, Sheffield S10 2RX, UK</w:t>
      </w:r>
      <w:r w:rsidRPr="003726FE">
        <w:rPr>
          <w:sz w:val="19"/>
          <w:szCs w:val="19"/>
        </w:rPr>
        <w:br/>
        <w:t>Working Hours: Mon - Fri 9:00am - 5:00pm</w:t>
      </w:r>
      <w:bookmarkEnd w:id="1002"/>
    </w:p>
    <w:p w14:paraId="78F931C9" w14:textId="77777777" w:rsidR="00C20F57" w:rsidRPr="003726FE" w:rsidRDefault="00C20F57"/>
    <w:p w14:paraId="54D19D49" w14:textId="77777777" w:rsidR="00C20F57" w:rsidRPr="003726FE" w:rsidRDefault="00C20F57">
      <w:pPr>
        <w:rPr>
          <w:rFonts w:eastAsia="Lucida Sans Unicode" w:cs="Mangal"/>
          <w:kern w:val="1"/>
          <w:szCs w:val="24"/>
          <w:lang w:eastAsia="hi-IN" w:bidi="hi-IN"/>
        </w:rPr>
      </w:pPr>
      <w:r w:rsidRPr="003726FE">
        <w:br w:type="page"/>
      </w:r>
    </w:p>
    <w:p w14:paraId="546C6FDA" w14:textId="2CBDC678" w:rsidR="00662CE3" w:rsidRPr="003726FE" w:rsidRDefault="00BC6A42" w:rsidP="00B1638D">
      <w:pPr>
        <w:pStyle w:val="Heading2"/>
        <w:rPr>
          <w:lang w:val="en-GB"/>
        </w:rPr>
      </w:pPr>
      <w:bookmarkStart w:id="1003" w:name="_Toc500319489"/>
      <w:r w:rsidRPr="003726FE">
        <w:rPr>
          <w:lang w:val="en-GB"/>
        </w:rPr>
        <w:lastRenderedPageBreak/>
        <w:t>Appendix 1</w:t>
      </w:r>
      <w:r w:rsidR="009F0E25" w:rsidRPr="003726FE">
        <w:rPr>
          <w:lang w:val="en-GB"/>
        </w:rPr>
        <w:t>8</w:t>
      </w:r>
      <w:r w:rsidRPr="003726FE">
        <w:rPr>
          <w:lang w:val="en-GB"/>
        </w:rPr>
        <w:t xml:space="preserve">. Recruitment </w:t>
      </w:r>
      <w:r w:rsidR="00912749" w:rsidRPr="003726FE">
        <w:rPr>
          <w:lang w:val="en-GB"/>
        </w:rPr>
        <w:t>Material, Information Sheets, and Consent Forms for Student Focus Groups and Interviews</w:t>
      </w:r>
      <w:r w:rsidRPr="003726FE">
        <w:rPr>
          <w:lang w:val="en-GB"/>
        </w:rPr>
        <w:t>.</w:t>
      </w:r>
      <w:bookmarkEnd w:id="1003"/>
    </w:p>
    <w:p w14:paraId="48BF0643" w14:textId="77777777" w:rsidR="0045217A" w:rsidRPr="003726FE" w:rsidRDefault="0045217A">
      <w:pPr>
        <w:rPr>
          <w:rFonts w:ascii="TUOS Blake" w:hAnsi="TUOS Blake"/>
          <w:b/>
          <w:color w:val="222222"/>
          <w:szCs w:val="19"/>
          <w:shd w:val="clear" w:color="auto" w:fill="FFFFFF"/>
        </w:rPr>
      </w:pPr>
    </w:p>
    <w:p w14:paraId="1762A14D" w14:textId="5CACF97C" w:rsidR="0045217A" w:rsidRPr="003726FE" w:rsidRDefault="0045217A">
      <w:pPr>
        <w:rPr>
          <w:rFonts w:ascii="TUOS Blake" w:hAnsi="TUOS Blake"/>
          <w:b/>
          <w:color w:val="222222"/>
          <w:szCs w:val="19"/>
          <w:shd w:val="clear" w:color="auto" w:fill="FFFFFF"/>
        </w:rPr>
      </w:pPr>
      <w:r w:rsidRPr="003726FE">
        <w:rPr>
          <w:rFonts w:ascii="TUOS Blake" w:hAnsi="TUOS Blake"/>
          <w:b/>
          <w:color w:val="222222"/>
          <w:szCs w:val="19"/>
          <w:shd w:val="clear" w:color="auto" w:fill="FFFFFF"/>
        </w:rPr>
        <w:t>Sample recruitment email – focus groups</w:t>
      </w:r>
    </w:p>
    <w:p w14:paraId="34395AF1" w14:textId="77777777" w:rsidR="0045217A" w:rsidRPr="003726FE" w:rsidRDefault="0045217A">
      <w:pPr>
        <w:rPr>
          <w:rFonts w:ascii="TUOS Blake" w:hAnsi="TUOS Blake"/>
          <w:b/>
          <w:color w:val="222222"/>
          <w:szCs w:val="19"/>
          <w:shd w:val="clear" w:color="auto" w:fill="FFFFFF"/>
        </w:rPr>
      </w:pPr>
    </w:p>
    <w:p w14:paraId="2E7AE7AA" w14:textId="67FDDFCE"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Dear Student,</w:t>
      </w:r>
    </w:p>
    <w:p w14:paraId="3C162173" w14:textId="77777777" w:rsidR="0045217A" w:rsidRPr="003726FE" w:rsidRDefault="0045217A" w:rsidP="0045217A">
      <w:pPr>
        <w:shd w:val="clear" w:color="auto" w:fill="FFFFFF"/>
        <w:rPr>
          <w:rFonts w:ascii="Arial" w:hAnsi="Arial" w:cs="Arial"/>
          <w:color w:val="222222"/>
          <w:sz w:val="19"/>
          <w:szCs w:val="19"/>
        </w:rPr>
      </w:pPr>
    </w:p>
    <w:p w14:paraId="380E1790" w14:textId="0E4EEEC0"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Following my previous email to you with updates on the feedback project, I'd like to invite you to a </w:t>
      </w:r>
      <w:r w:rsidRPr="003726FE">
        <w:rPr>
          <w:rStyle w:val="il"/>
          <w:rFonts w:ascii="Arial" w:hAnsi="Arial" w:cs="Arial"/>
          <w:color w:val="222222"/>
          <w:sz w:val="19"/>
          <w:szCs w:val="19"/>
        </w:rPr>
        <w:t>focus</w:t>
      </w:r>
      <w:r w:rsidRPr="003726FE">
        <w:rPr>
          <w:rFonts w:ascii="Arial" w:hAnsi="Arial" w:cs="Arial"/>
          <w:color w:val="222222"/>
          <w:sz w:val="19"/>
          <w:szCs w:val="19"/>
        </w:rPr>
        <w:t> </w:t>
      </w:r>
      <w:r w:rsidR="006930D6" w:rsidRPr="003726FE">
        <w:rPr>
          <w:rStyle w:val="il"/>
          <w:rFonts w:ascii="Arial" w:hAnsi="Arial" w:cs="Arial"/>
          <w:color w:val="222222"/>
          <w:sz w:val="19"/>
          <w:szCs w:val="19"/>
        </w:rPr>
        <w:t>group</w:t>
      </w:r>
      <w:r w:rsidR="006930D6" w:rsidRPr="003726FE">
        <w:rPr>
          <w:rFonts w:ascii="Arial" w:hAnsi="Arial" w:cs="Arial"/>
          <w:color w:val="222222"/>
          <w:sz w:val="19"/>
          <w:szCs w:val="19"/>
        </w:rPr>
        <w:t xml:space="preserve"> session</w:t>
      </w:r>
      <w:r w:rsidRPr="003726FE">
        <w:rPr>
          <w:rFonts w:ascii="Arial" w:hAnsi="Arial" w:cs="Arial"/>
          <w:color w:val="222222"/>
          <w:sz w:val="19"/>
          <w:szCs w:val="19"/>
        </w:rPr>
        <w:t xml:space="preserve"> along with your colleagues on attachment.</w:t>
      </w:r>
    </w:p>
    <w:p w14:paraId="0FAAC08A" w14:textId="77777777" w:rsidR="0045217A" w:rsidRPr="003726FE" w:rsidRDefault="0045217A" w:rsidP="0045217A">
      <w:pPr>
        <w:shd w:val="clear" w:color="auto" w:fill="FFFFFF"/>
        <w:rPr>
          <w:rFonts w:ascii="Arial" w:hAnsi="Arial" w:cs="Arial"/>
          <w:color w:val="222222"/>
          <w:sz w:val="19"/>
          <w:szCs w:val="19"/>
        </w:rPr>
      </w:pPr>
    </w:p>
    <w:p w14:paraId="24A91DB7"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The point of this </w:t>
      </w:r>
      <w:r w:rsidRPr="003726FE">
        <w:rPr>
          <w:rStyle w:val="il"/>
          <w:rFonts w:ascii="Arial" w:hAnsi="Arial" w:cs="Arial"/>
          <w:color w:val="222222"/>
          <w:sz w:val="19"/>
          <w:szCs w:val="19"/>
        </w:rPr>
        <w:t>focus</w:t>
      </w:r>
      <w:r w:rsidRPr="003726FE">
        <w:rPr>
          <w:rFonts w:ascii="Arial" w:hAnsi="Arial" w:cs="Arial"/>
          <w:color w:val="222222"/>
          <w:sz w:val="19"/>
          <w:szCs w:val="19"/>
        </w:rPr>
        <w:t> </w:t>
      </w:r>
      <w:r w:rsidRPr="003726FE">
        <w:rPr>
          <w:rStyle w:val="il"/>
          <w:rFonts w:ascii="Arial" w:hAnsi="Arial" w:cs="Arial"/>
          <w:color w:val="222222"/>
          <w:sz w:val="19"/>
          <w:szCs w:val="19"/>
        </w:rPr>
        <w:t>group</w:t>
      </w:r>
      <w:r w:rsidRPr="003726FE">
        <w:rPr>
          <w:rFonts w:ascii="Arial" w:hAnsi="Arial" w:cs="Arial"/>
          <w:color w:val="222222"/>
          <w:sz w:val="19"/>
          <w:szCs w:val="19"/>
        </w:rPr>
        <w:t> is to discuss how you </w:t>
      </w:r>
      <w:r w:rsidRPr="003726FE">
        <w:rPr>
          <w:rFonts w:ascii="Arial" w:hAnsi="Arial" w:cs="Arial"/>
          <w:b/>
          <w:bCs/>
          <w:color w:val="222222"/>
          <w:sz w:val="19"/>
          <w:szCs w:val="19"/>
        </w:rPr>
        <w:t>engage with the learning whilst on placement and how well clinical skills teaching prepared you for it</w:t>
      </w:r>
      <w:r w:rsidRPr="003726FE">
        <w:rPr>
          <w:rFonts w:ascii="Arial" w:hAnsi="Arial" w:cs="Arial"/>
          <w:color w:val="222222"/>
          <w:sz w:val="19"/>
          <w:szCs w:val="19"/>
        </w:rPr>
        <w:t>. It will last around 45-60 minutes and will be chaired by me (more info attached).</w:t>
      </w:r>
    </w:p>
    <w:p w14:paraId="06E5B613" w14:textId="77777777" w:rsidR="0045217A" w:rsidRPr="003726FE" w:rsidRDefault="0045217A" w:rsidP="0045217A">
      <w:pPr>
        <w:shd w:val="clear" w:color="auto" w:fill="FFFFFF"/>
        <w:rPr>
          <w:rFonts w:ascii="Arial" w:hAnsi="Arial" w:cs="Arial"/>
          <w:color w:val="222222"/>
          <w:sz w:val="19"/>
          <w:szCs w:val="19"/>
        </w:rPr>
      </w:pPr>
    </w:p>
    <w:p w14:paraId="35869A0B" w14:textId="4D17F594"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This session will be in the next few weeks at the *hospital*. </w:t>
      </w:r>
      <w:r w:rsidRPr="003726FE">
        <w:rPr>
          <w:rFonts w:ascii="Arial" w:hAnsi="Arial" w:cs="Arial"/>
          <w:b/>
          <w:bCs/>
          <w:color w:val="222222"/>
          <w:sz w:val="19"/>
          <w:szCs w:val="19"/>
        </w:rPr>
        <w:t>Please indicate your availability on the Doodle poll: </w:t>
      </w:r>
      <w:hyperlink r:id="rId132" w:tgtFrame="_blank" w:history="1">
        <w:r w:rsidRPr="003726FE">
          <w:rPr>
            <w:rStyle w:val="Hyperlink"/>
            <w:rFonts w:ascii="Arial" w:hAnsi="Arial" w:cs="Arial"/>
            <w:color w:val="1155CC"/>
            <w:sz w:val="19"/>
            <w:szCs w:val="19"/>
          </w:rPr>
          <w:t>http://doodle.com/poll/n9n455nt8a8b82rc</w:t>
        </w:r>
      </w:hyperlink>
      <w:r w:rsidRPr="003726FE">
        <w:rPr>
          <w:rFonts w:ascii="Arial" w:hAnsi="Arial" w:cs="Arial"/>
          <w:color w:val="222222"/>
          <w:sz w:val="19"/>
          <w:szCs w:val="19"/>
        </w:rPr>
        <w:t> and I will be in touch with a final date and time ASAP.</w:t>
      </w:r>
    </w:p>
    <w:p w14:paraId="07D0791B" w14:textId="77777777" w:rsidR="0045217A" w:rsidRPr="003726FE" w:rsidRDefault="0045217A" w:rsidP="0045217A">
      <w:pPr>
        <w:shd w:val="clear" w:color="auto" w:fill="FFFFFF"/>
        <w:rPr>
          <w:rFonts w:ascii="Arial" w:hAnsi="Arial" w:cs="Arial"/>
          <w:color w:val="222222"/>
          <w:sz w:val="19"/>
          <w:szCs w:val="19"/>
        </w:rPr>
      </w:pPr>
    </w:p>
    <w:p w14:paraId="63C2C3DE"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Your placement supervisor has been informed that this session will take place, so they won't think you're running off!</w:t>
      </w:r>
    </w:p>
    <w:p w14:paraId="41E10B4B" w14:textId="77777777" w:rsidR="0045217A" w:rsidRPr="003726FE" w:rsidRDefault="0045217A" w:rsidP="0045217A">
      <w:pPr>
        <w:shd w:val="clear" w:color="auto" w:fill="FFFFFF"/>
        <w:rPr>
          <w:rFonts w:ascii="Arial" w:hAnsi="Arial" w:cs="Arial"/>
          <w:color w:val="222222"/>
          <w:sz w:val="19"/>
          <w:szCs w:val="19"/>
        </w:rPr>
      </w:pPr>
    </w:p>
    <w:p w14:paraId="717B0872"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I will bring along plenty of snacks as a thank you for coming!</w:t>
      </w:r>
    </w:p>
    <w:p w14:paraId="17FFF334" w14:textId="77777777" w:rsidR="0045217A" w:rsidRPr="003726FE" w:rsidRDefault="0045217A" w:rsidP="0045217A">
      <w:pPr>
        <w:shd w:val="clear" w:color="auto" w:fill="FFFFFF"/>
        <w:rPr>
          <w:rFonts w:ascii="Arial" w:hAnsi="Arial" w:cs="Arial"/>
          <w:color w:val="222222"/>
          <w:sz w:val="19"/>
          <w:szCs w:val="19"/>
        </w:rPr>
      </w:pPr>
    </w:p>
    <w:p w14:paraId="5121DA0C"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Best wishes,</w:t>
      </w:r>
    </w:p>
    <w:p w14:paraId="1AB6D521" w14:textId="77777777" w:rsidR="0045217A" w:rsidRPr="003726FE" w:rsidRDefault="0045217A" w:rsidP="0045217A">
      <w:pPr>
        <w:shd w:val="clear" w:color="auto" w:fill="FFFFFF"/>
        <w:rPr>
          <w:rFonts w:ascii="Arial" w:hAnsi="Arial" w:cs="Arial"/>
          <w:color w:val="222222"/>
          <w:sz w:val="19"/>
          <w:szCs w:val="19"/>
        </w:rPr>
      </w:pPr>
    </w:p>
    <w:p w14:paraId="731B1380"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Billy Bryan</w:t>
      </w:r>
    </w:p>
    <w:p w14:paraId="70C7FE66" w14:textId="77777777" w:rsidR="0045217A" w:rsidRPr="003726FE" w:rsidRDefault="0045217A" w:rsidP="0045217A">
      <w:pPr>
        <w:shd w:val="clear" w:color="auto" w:fill="FFFFFF"/>
        <w:rPr>
          <w:rFonts w:ascii="Arial" w:hAnsi="Arial" w:cs="Arial"/>
          <w:color w:val="222222"/>
          <w:sz w:val="19"/>
          <w:szCs w:val="19"/>
        </w:rPr>
      </w:pPr>
    </w:p>
    <w:p w14:paraId="43777448" w14:textId="77777777" w:rsidR="0045217A" w:rsidRPr="003726FE" w:rsidRDefault="000532E2" w:rsidP="0045217A">
      <w:pPr>
        <w:shd w:val="clear" w:color="auto" w:fill="FFFFFF"/>
        <w:rPr>
          <w:rFonts w:ascii="Arial" w:hAnsi="Arial" w:cs="Arial"/>
          <w:color w:val="222222"/>
          <w:sz w:val="19"/>
          <w:szCs w:val="19"/>
        </w:rPr>
      </w:pPr>
      <w:hyperlink r:id="rId133" w:tgtFrame="_blank" w:history="1">
        <w:r w:rsidR="0045217A" w:rsidRPr="003726FE">
          <w:rPr>
            <w:rStyle w:val="Hyperlink"/>
            <w:rFonts w:ascii="Arial" w:hAnsi="Arial" w:cs="Arial"/>
            <w:color w:val="1155CC"/>
            <w:sz w:val="19"/>
            <w:szCs w:val="19"/>
          </w:rPr>
          <w:t>PhD Student - Medical Education</w:t>
        </w:r>
      </w:hyperlink>
    </w:p>
    <w:p w14:paraId="58B4D748" w14:textId="77777777" w:rsidR="0045217A" w:rsidRPr="003726FE" w:rsidRDefault="000532E2" w:rsidP="0045217A">
      <w:pPr>
        <w:shd w:val="clear" w:color="auto" w:fill="FFFFFF"/>
        <w:rPr>
          <w:rFonts w:ascii="Arial" w:hAnsi="Arial" w:cs="Arial"/>
          <w:color w:val="222222"/>
          <w:sz w:val="19"/>
          <w:szCs w:val="19"/>
        </w:rPr>
      </w:pPr>
      <w:hyperlink r:id="rId134" w:tgtFrame="_blank" w:history="1">
        <w:r w:rsidR="0045217A" w:rsidRPr="003726FE">
          <w:rPr>
            <w:rStyle w:val="Hyperlink"/>
            <w:rFonts w:ascii="Arial" w:hAnsi="Arial" w:cs="Arial"/>
            <w:color w:val="1155CC"/>
            <w:sz w:val="19"/>
            <w:szCs w:val="19"/>
          </w:rPr>
          <w:t>Students' Union Trustee</w:t>
        </w:r>
      </w:hyperlink>
      <w:r w:rsidR="0045217A" w:rsidRPr="003726FE">
        <w:rPr>
          <w:rFonts w:ascii="Arial" w:hAnsi="Arial" w:cs="Arial"/>
          <w:color w:val="222222"/>
          <w:sz w:val="19"/>
          <w:szCs w:val="19"/>
        </w:rPr>
        <w:t> &amp; PGR Councillor</w:t>
      </w:r>
      <w:r w:rsidR="0045217A" w:rsidRPr="003726FE">
        <w:rPr>
          <w:rFonts w:ascii="Arial" w:hAnsi="Arial" w:cs="Arial"/>
          <w:color w:val="222222"/>
          <w:sz w:val="19"/>
          <w:szCs w:val="19"/>
        </w:rPr>
        <w:br/>
      </w:r>
      <w:hyperlink r:id="rId135" w:tgtFrame="_blank" w:history="1">
        <w:r w:rsidR="0045217A" w:rsidRPr="003726FE">
          <w:rPr>
            <w:rStyle w:val="Hyperlink"/>
            <w:rFonts w:ascii="Arial" w:hAnsi="Arial" w:cs="Arial"/>
            <w:color w:val="1155CC"/>
            <w:sz w:val="19"/>
            <w:szCs w:val="19"/>
          </w:rPr>
          <w:t>Medical PG Society</w:t>
        </w:r>
      </w:hyperlink>
      <w:r w:rsidR="0045217A" w:rsidRPr="003726FE">
        <w:rPr>
          <w:rFonts w:ascii="Arial" w:hAnsi="Arial" w:cs="Arial"/>
          <w:color w:val="222222"/>
          <w:sz w:val="19"/>
          <w:szCs w:val="19"/>
        </w:rPr>
        <w:t> Co-Chair</w:t>
      </w:r>
    </w:p>
    <w:p w14:paraId="2A9E0ABE" w14:textId="77777777"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t>Postgraduate Careers and Employability Officer</w:t>
      </w:r>
    </w:p>
    <w:p w14:paraId="39F144F2" w14:textId="0C0EF0D2" w:rsidR="0045217A" w:rsidRPr="003726FE" w:rsidRDefault="0045217A" w:rsidP="0045217A">
      <w:pPr>
        <w:shd w:val="clear" w:color="auto" w:fill="FFFFFF"/>
        <w:rPr>
          <w:rFonts w:ascii="Arial" w:hAnsi="Arial" w:cs="Arial"/>
          <w:color w:val="222222"/>
          <w:sz w:val="19"/>
          <w:szCs w:val="19"/>
        </w:rPr>
      </w:pPr>
      <w:r w:rsidRPr="003726FE">
        <w:rPr>
          <w:rFonts w:ascii="Arial" w:hAnsi="Arial" w:cs="Arial"/>
          <w:color w:val="222222"/>
          <w:sz w:val="19"/>
          <w:szCs w:val="19"/>
        </w:rPr>
        <w:br/>
        <w:t>Faculty of Medicine, Dentistry and Health.</w:t>
      </w:r>
      <w:r w:rsidRPr="003726FE">
        <w:rPr>
          <w:rFonts w:ascii="Arial" w:hAnsi="Arial" w:cs="Arial"/>
          <w:color w:val="222222"/>
          <w:sz w:val="19"/>
          <w:szCs w:val="19"/>
        </w:rPr>
        <w:br/>
        <w:t>The Medical School, University of Sheffield,</w:t>
      </w:r>
      <w:r w:rsidRPr="003726FE">
        <w:rPr>
          <w:rFonts w:ascii="Arial" w:hAnsi="Arial" w:cs="Arial"/>
          <w:color w:val="222222"/>
          <w:sz w:val="19"/>
          <w:szCs w:val="19"/>
        </w:rPr>
        <w:br/>
        <w:t>Beech Hill Road, Sheffield S10 2RX, UK</w:t>
      </w:r>
      <w:r w:rsidRPr="003726FE">
        <w:rPr>
          <w:rFonts w:ascii="Arial" w:hAnsi="Arial" w:cs="Arial"/>
          <w:color w:val="222222"/>
          <w:sz w:val="19"/>
          <w:szCs w:val="19"/>
        </w:rPr>
        <w:br/>
        <w:t>Tel: 0114 2157032 or extension: 57032</w:t>
      </w:r>
      <w:r w:rsidRPr="003726FE">
        <w:rPr>
          <w:rFonts w:ascii="Arial" w:hAnsi="Arial" w:cs="Arial"/>
          <w:color w:val="222222"/>
          <w:sz w:val="19"/>
          <w:szCs w:val="19"/>
        </w:rPr>
        <w:br/>
        <w:t>Mobile: </w:t>
      </w:r>
      <w:hyperlink r:id="rId136" w:tgtFrame="_blank" w:history="1">
        <w:r w:rsidRPr="003726FE">
          <w:rPr>
            <w:rStyle w:val="Hyperlink"/>
            <w:rFonts w:ascii="Arial" w:hAnsi="Arial" w:cs="Arial"/>
            <w:color w:val="1155CC"/>
            <w:sz w:val="19"/>
            <w:szCs w:val="19"/>
          </w:rPr>
          <w:t>+44 (0)7507891960</w:t>
        </w:r>
      </w:hyperlink>
      <w:r w:rsidRPr="003726FE">
        <w:rPr>
          <w:rFonts w:ascii="Arial" w:hAnsi="Arial" w:cs="Arial"/>
          <w:color w:val="222222"/>
          <w:sz w:val="19"/>
          <w:szCs w:val="19"/>
        </w:rPr>
        <w:br/>
        <w:t>Working Hours: Mon - Fri 9:00am - 5:00pm</w:t>
      </w:r>
    </w:p>
    <w:p w14:paraId="530382D5" w14:textId="77777777" w:rsidR="0045217A" w:rsidRPr="003726FE" w:rsidRDefault="0045217A">
      <w:pPr>
        <w:rPr>
          <w:rFonts w:ascii="TUOS Blake" w:hAnsi="TUOS Blake"/>
          <w:b/>
          <w:color w:val="222222"/>
          <w:szCs w:val="19"/>
          <w:shd w:val="clear" w:color="auto" w:fill="FFFFFF"/>
        </w:rPr>
      </w:pPr>
      <w:r w:rsidRPr="003726FE">
        <w:rPr>
          <w:rFonts w:ascii="TUOS Blake" w:hAnsi="TUOS Blake"/>
          <w:b/>
          <w:color w:val="222222"/>
          <w:szCs w:val="19"/>
          <w:shd w:val="clear" w:color="auto" w:fill="FFFFFF"/>
        </w:rPr>
        <w:br w:type="page"/>
      </w:r>
    </w:p>
    <w:p w14:paraId="72812450" w14:textId="232B4E9C" w:rsidR="00662CE3" w:rsidRPr="003726FE" w:rsidRDefault="00662CE3" w:rsidP="00662CE3">
      <w:pPr>
        <w:tabs>
          <w:tab w:val="right" w:pos="9922"/>
        </w:tabs>
        <w:spacing w:line="240" w:lineRule="auto"/>
        <w:rPr>
          <w:rFonts w:ascii="TUOS Blake" w:hAnsi="TUOS Blake"/>
          <w:b/>
          <w:color w:val="222222"/>
          <w:szCs w:val="19"/>
          <w:shd w:val="clear" w:color="auto" w:fill="FFFFFF"/>
        </w:rPr>
      </w:pPr>
    </w:p>
    <w:p w14:paraId="059D5B75" w14:textId="4F738605" w:rsidR="00662CE3" w:rsidRPr="003726FE" w:rsidRDefault="00D80DD9" w:rsidP="00662CE3">
      <w:pPr>
        <w:tabs>
          <w:tab w:val="right" w:pos="9922"/>
        </w:tabs>
        <w:spacing w:line="240" w:lineRule="auto"/>
        <w:rPr>
          <w:rFonts w:ascii="TUOS Blake" w:hAnsi="TUOS Blake"/>
          <w:b/>
          <w:color w:val="222222"/>
          <w:szCs w:val="19"/>
          <w:shd w:val="clear" w:color="auto" w:fill="FFFFFF"/>
        </w:rPr>
      </w:pPr>
      <w:r w:rsidRPr="003726FE">
        <w:rPr>
          <w:rFonts w:ascii="Arial" w:hAnsi="Arial"/>
          <w:b/>
          <w:noProof/>
          <w:color w:val="222222"/>
          <w:szCs w:val="19"/>
          <w:lang w:eastAsia="en-GB"/>
        </w:rPr>
        <mc:AlternateContent>
          <mc:Choice Requires="wps">
            <w:drawing>
              <wp:anchor distT="0" distB="0" distL="114300" distR="114300" simplePos="0" relativeHeight="251987968" behindDoc="1" locked="0" layoutInCell="1" allowOverlap="1" wp14:anchorId="0D1CCE85" wp14:editId="7F7F1BEE">
                <wp:simplePos x="0" y="0"/>
                <wp:positionH relativeFrom="column">
                  <wp:posOffset>4081676</wp:posOffset>
                </wp:positionH>
                <wp:positionV relativeFrom="paragraph">
                  <wp:posOffset>39178</wp:posOffset>
                </wp:positionV>
                <wp:extent cx="1198880" cy="852805"/>
                <wp:effectExtent l="0" t="0" r="0" b="4445"/>
                <wp:wrapNone/>
                <wp:docPr id="487" name="Text Box 487"/>
                <wp:cNvGraphicFramePr/>
                <a:graphic xmlns:a="http://schemas.openxmlformats.org/drawingml/2006/main">
                  <a:graphicData uri="http://schemas.microsoft.com/office/word/2010/wordprocessingShape">
                    <wps:wsp>
                      <wps:cNvSpPr txBox="1"/>
                      <wps:spPr>
                        <a:xfrm>
                          <a:off x="0" y="0"/>
                          <a:ext cx="1198880" cy="852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DB895" w14:textId="77777777" w:rsidR="00C8402C" w:rsidRPr="00F247D8" w:rsidRDefault="00C8402C" w:rsidP="00662CE3">
                            <w:pPr>
                              <w:spacing w:line="240" w:lineRule="auto"/>
                              <w:jc w:val="right"/>
                              <w:rPr>
                                <w:rFonts w:ascii="Arial" w:hAnsi="Arial" w:cs="Arial"/>
                                <w:color w:val="222222"/>
                                <w:sz w:val="16"/>
                                <w:szCs w:val="19"/>
                                <w:shd w:val="clear" w:color="auto" w:fill="FFFFFF"/>
                              </w:rPr>
                            </w:pPr>
                            <w:r w:rsidRPr="00F247D8">
                              <w:rPr>
                                <w:rFonts w:ascii="Arial" w:hAnsi="Arial" w:cs="Arial"/>
                                <w:color w:val="222222"/>
                                <w:sz w:val="16"/>
                                <w:szCs w:val="19"/>
                                <w:shd w:val="clear" w:color="auto" w:fill="FFFFFF"/>
                              </w:rPr>
                              <w:t>Return address:</w:t>
                            </w:r>
                          </w:p>
                          <w:p w14:paraId="1FEF2A63" w14:textId="77777777" w:rsidR="00C8402C" w:rsidRPr="00F247D8" w:rsidRDefault="00C8402C" w:rsidP="00662CE3">
                            <w:pPr>
                              <w:spacing w:line="240" w:lineRule="auto"/>
                              <w:jc w:val="right"/>
                              <w:rPr>
                                <w:rFonts w:ascii="Arial" w:hAnsi="Arial" w:cs="Arial"/>
                                <w:color w:val="222222"/>
                                <w:sz w:val="18"/>
                                <w:szCs w:val="19"/>
                                <w:shd w:val="clear" w:color="auto" w:fill="FFFFFF"/>
                              </w:rPr>
                            </w:pPr>
                            <w:r w:rsidRPr="00F247D8">
                              <w:rPr>
                                <w:rFonts w:ascii="Arial" w:hAnsi="Arial" w:cs="Arial"/>
                                <w:color w:val="222222"/>
                                <w:sz w:val="16"/>
                                <w:szCs w:val="19"/>
                                <w:shd w:val="clear" w:color="auto" w:fill="FFFFFF"/>
                              </w:rPr>
                              <w:t>The Medical School, University of Sheffield Beech Hill Road, Sheffield</w:t>
                            </w:r>
                            <w:r w:rsidRPr="00F247D8">
                              <w:rPr>
                                <w:rFonts w:ascii="Arial" w:hAnsi="Arial" w:cs="Arial"/>
                                <w:color w:val="222222"/>
                                <w:sz w:val="18"/>
                                <w:szCs w:val="19"/>
                                <w:shd w:val="clear" w:color="auto" w:fill="FFFFFF"/>
                              </w:rPr>
                              <w:t xml:space="preserve">, </w:t>
                            </w:r>
                            <w:r w:rsidRPr="00F247D8">
                              <w:rPr>
                                <w:rFonts w:ascii="Arial" w:hAnsi="Arial" w:cs="Arial"/>
                                <w:color w:val="222222"/>
                                <w:sz w:val="16"/>
                                <w:szCs w:val="19"/>
                                <w:shd w:val="clear" w:color="auto" w:fill="FFFFFF"/>
                              </w:rPr>
                              <w:t>S10 2RX</w:t>
                            </w:r>
                          </w:p>
                          <w:p w14:paraId="3539CDEA" w14:textId="77777777" w:rsidR="00C8402C" w:rsidRPr="00F247D8" w:rsidRDefault="00C8402C" w:rsidP="00662CE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CE85" id="Text Box 487" o:spid="_x0000_s1433" type="#_x0000_t202" style="position:absolute;margin-left:321.4pt;margin-top:3.1pt;width:94.4pt;height:67.1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" filled="f" stroked="f">
                <v:textbox>
                  <w:txbxContent>
                    <w:p w14:paraId="688DB895" w14:textId="77777777" w:rsidR="00C8402C" w:rsidRPr="00F247D8" w:rsidRDefault="00C8402C" w:rsidP="00662CE3">
                      <w:pPr>
                        <w:spacing w:line="240" w:lineRule="auto"/>
                        <w:jc w:val="right"/>
                        <w:rPr>
                          <w:rFonts w:ascii="Arial" w:hAnsi="Arial" w:cs="Arial"/>
                          <w:color w:val="222222"/>
                          <w:sz w:val="16"/>
                          <w:szCs w:val="19"/>
                          <w:shd w:val="clear" w:color="auto" w:fill="FFFFFF"/>
                        </w:rPr>
                      </w:pPr>
                      <w:r w:rsidRPr="00F247D8">
                        <w:rPr>
                          <w:rFonts w:ascii="Arial" w:hAnsi="Arial" w:cs="Arial"/>
                          <w:color w:val="222222"/>
                          <w:sz w:val="16"/>
                          <w:szCs w:val="19"/>
                          <w:shd w:val="clear" w:color="auto" w:fill="FFFFFF"/>
                        </w:rPr>
                        <w:t>Return address:</w:t>
                      </w:r>
                    </w:p>
                    <w:p w14:paraId="1FEF2A63" w14:textId="77777777" w:rsidR="00C8402C" w:rsidRPr="00F247D8" w:rsidRDefault="00C8402C" w:rsidP="00662CE3">
                      <w:pPr>
                        <w:spacing w:line="240" w:lineRule="auto"/>
                        <w:jc w:val="right"/>
                        <w:rPr>
                          <w:rFonts w:ascii="Arial" w:hAnsi="Arial" w:cs="Arial"/>
                          <w:color w:val="222222"/>
                          <w:sz w:val="18"/>
                          <w:szCs w:val="19"/>
                          <w:shd w:val="clear" w:color="auto" w:fill="FFFFFF"/>
                        </w:rPr>
                      </w:pPr>
                      <w:r w:rsidRPr="00F247D8">
                        <w:rPr>
                          <w:rFonts w:ascii="Arial" w:hAnsi="Arial" w:cs="Arial"/>
                          <w:color w:val="222222"/>
                          <w:sz w:val="16"/>
                          <w:szCs w:val="19"/>
                          <w:shd w:val="clear" w:color="auto" w:fill="FFFFFF"/>
                        </w:rPr>
                        <w:t>The Medical School, University of Sheffield Beech Hill Road, Sheffield</w:t>
                      </w:r>
                      <w:r w:rsidRPr="00F247D8">
                        <w:rPr>
                          <w:rFonts w:ascii="Arial" w:hAnsi="Arial" w:cs="Arial"/>
                          <w:color w:val="222222"/>
                          <w:sz w:val="18"/>
                          <w:szCs w:val="19"/>
                          <w:shd w:val="clear" w:color="auto" w:fill="FFFFFF"/>
                        </w:rPr>
                        <w:t xml:space="preserve">, </w:t>
                      </w:r>
                      <w:r w:rsidRPr="00F247D8">
                        <w:rPr>
                          <w:rFonts w:ascii="Arial" w:hAnsi="Arial" w:cs="Arial"/>
                          <w:color w:val="222222"/>
                          <w:sz w:val="16"/>
                          <w:szCs w:val="19"/>
                          <w:shd w:val="clear" w:color="auto" w:fill="FFFFFF"/>
                        </w:rPr>
                        <w:t>S10 2RX</w:t>
                      </w:r>
                    </w:p>
                    <w:p w14:paraId="3539CDEA" w14:textId="77777777" w:rsidR="00C8402C" w:rsidRPr="00F247D8" w:rsidRDefault="00C8402C" w:rsidP="00662CE3">
                      <w:pPr>
                        <w:rPr>
                          <w:sz w:val="20"/>
                        </w:rPr>
                      </w:pPr>
                    </w:p>
                  </w:txbxContent>
                </v:textbox>
              </v:shape>
            </w:pict>
          </mc:Fallback>
        </mc:AlternateContent>
      </w:r>
      <w:r w:rsidR="00662CE3" w:rsidRPr="003726FE">
        <w:rPr>
          <w:rFonts w:ascii="TUOS Blake" w:hAnsi="TUOS Blake"/>
          <w:b/>
          <w:color w:val="222222"/>
          <w:szCs w:val="19"/>
          <w:shd w:val="clear" w:color="auto" w:fill="FFFFFF"/>
        </w:rPr>
        <w:t>Information Sheet – Hearing the Feedback Message</w:t>
      </w:r>
      <w:r w:rsidR="00662CE3" w:rsidRPr="003726FE">
        <w:rPr>
          <w:rFonts w:ascii="TUOS Blake" w:hAnsi="TUOS Blake" w:cs="Arial"/>
          <w:color w:val="222222"/>
          <w:sz w:val="20"/>
          <w:szCs w:val="19"/>
          <w:shd w:val="clear" w:color="auto" w:fill="FFFFFF"/>
        </w:rPr>
        <w:t xml:space="preserve"> </w:t>
      </w:r>
    </w:p>
    <w:p w14:paraId="00CA5BFE" w14:textId="77777777" w:rsidR="00662CE3" w:rsidRPr="003726FE" w:rsidRDefault="00662CE3" w:rsidP="00662CE3">
      <w:pPr>
        <w:spacing w:after="0" w:line="360" w:lineRule="auto"/>
        <w:rPr>
          <w:rFonts w:ascii="TUOS Blake" w:hAnsi="TUOS Blake"/>
          <w:sz w:val="20"/>
          <w:szCs w:val="20"/>
        </w:rPr>
      </w:pPr>
    </w:p>
    <w:p w14:paraId="6E37D37F" w14:textId="77777777" w:rsidR="00662CE3" w:rsidRPr="003726FE" w:rsidRDefault="00662CE3" w:rsidP="00662CE3">
      <w:pPr>
        <w:spacing w:after="0" w:line="360" w:lineRule="auto"/>
        <w:rPr>
          <w:rFonts w:ascii="TUOS Blake" w:hAnsi="TUOS Blake"/>
          <w:sz w:val="20"/>
          <w:szCs w:val="20"/>
        </w:rPr>
      </w:pPr>
      <w:r w:rsidRPr="003726FE">
        <w:rPr>
          <w:rFonts w:ascii="TUOS Blake" w:hAnsi="TUOS Blake"/>
          <w:sz w:val="20"/>
          <w:szCs w:val="20"/>
        </w:rPr>
        <w:t>Dear Student,</w:t>
      </w:r>
    </w:p>
    <w:p w14:paraId="6EB9A021" w14:textId="77777777" w:rsidR="00662CE3" w:rsidRPr="003726FE" w:rsidRDefault="00662CE3" w:rsidP="00662CE3">
      <w:pPr>
        <w:spacing w:after="0" w:line="360" w:lineRule="auto"/>
        <w:rPr>
          <w:rFonts w:ascii="TUOS Blake" w:hAnsi="TUOS Blake"/>
          <w:sz w:val="20"/>
          <w:szCs w:val="20"/>
        </w:rPr>
      </w:pPr>
    </w:p>
    <w:p w14:paraId="6240F411" w14:textId="77777777" w:rsidR="00662CE3" w:rsidRPr="003726FE" w:rsidRDefault="00662CE3" w:rsidP="00662CE3">
      <w:pPr>
        <w:spacing w:line="360" w:lineRule="auto"/>
        <w:rPr>
          <w:rFonts w:ascii="TUOS Blake" w:hAnsi="TUOS Blake"/>
          <w:b/>
          <w:sz w:val="20"/>
          <w:szCs w:val="20"/>
        </w:rPr>
      </w:pPr>
      <w:r w:rsidRPr="003726FE">
        <w:rPr>
          <w:rFonts w:ascii="TUOS Blake" w:hAnsi="TUOS Blake"/>
          <w:sz w:val="20"/>
          <w:szCs w:val="20"/>
        </w:rPr>
        <w:t xml:space="preserve">You are invited to take part in a study to investigate the effects of different types of feedback on clinical skills performance and learning strategies in second year medical undergraduate students. </w:t>
      </w:r>
    </w:p>
    <w:p w14:paraId="70E02789" w14:textId="77777777" w:rsidR="00662CE3" w:rsidRPr="003726FE" w:rsidRDefault="00662CE3" w:rsidP="00662CE3">
      <w:pPr>
        <w:spacing w:line="360" w:lineRule="auto"/>
        <w:rPr>
          <w:rFonts w:ascii="TUOS Blake" w:hAnsi="TUOS Blake"/>
          <w:b/>
          <w:sz w:val="20"/>
          <w:szCs w:val="20"/>
        </w:rPr>
      </w:pPr>
    </w:p>
    <w:p w14:paraId="62599A2B" w14:textId="77777777" w:rsidR="00662CE3" w:rsidRPr="003726FE" w:rsidRDefault="00662CE3" w:rsidP="00662CE3">
      <w:pPr>
        <w:spacing w:line="360" w:lineRule="auto"/>
        <w:rPr>
          <w:rFonts w:ascii="TUOS Blake" w:hAnsi="TUOS Blake"/>
          <w:sz w:val="20"/>
          <w:szCs w:val="20"/>
        </w:rPr>
      </w:pPr>
      <w:r w:rsidRPr="003726FE">
        <w:rPr>
          <w:rFonts w:ascii="TUOS Blake" w:hAnsi="TUOS Blake"/>
          <w:b/>
          <w:sz w:val="20"/>
          <w:szCs w:val="20"/>
        </w:rPr>
        <w:t>This study:</w:t>
      </w:r>
    </w:p>
    <w:p w14:paraId="171FFD92" w14:textId="1096AD4D" w:rsidR="00662CE3" w:rsidRPr="003726FE" w:rsidRDefault="00662CE3" w:rsidP="00662CE3">
      <w:pPr>
        <w:spacing w:line="360" w:lineRule="auto"/>
        <w:rPr>
          <w:rFonts w:ascii="TUOS Blake" w:hAnsi="TUOS Blake"/>
          <w:sz w:val="20"/>
          <w:szCs w:val="20"/>
        </w:rPr>
      </w:pPr>
      <w:r w:rsidRPr="003726FE">
        <w:rPr>
          <w:rFonts w:ascii="TUOS Blake" w:hAnsi="TUOS Blake"/>
          <w:sz w:val="20"/>
          <w:szCs w:val="20"/>
        </w:rPr>
        <w:t xml:space="preserve">You may recall participating in the early part of this study by filling in questionnaires. We have analysed this data and are now looking to </w:t>
      </w:r>
      <w:r w:rsidRPr="003726FE">
        <w:rPr>
          <w:rFonts w:ascii="TUOS Blake" w:hAnsi="TUOS Blake"/>
          <w:b/>
          <w:sz w:val="20"/>
          <w:szCs w:val="20"/>
        </w:rPr>
        <w:t>understand your interpretation</w:t>
      </w:r>
      <w:r w:rsidRPr="003726FE">
        <w:rPr>
          <w:rFonts w:ascii="TUOS Blake" w:hAnsi="TUOS Blake"/>
          <w:sz w:val="20"/>
          <w:szCs w:val="20"/>
        </w:rPr>
        <w:t xml:space="preserve"> of the feedback you received in phase 2A clinical skills sessions. This is to find out how it has impacted your </w:t>
      </w:r>
      <w:r w:rsidRPr="003726FE">
        <w:rPr>
          <w:rFonts w:ascii="TUOS Blake" w:hAnsi="TUOS Blake"/>
          <w:b/>
          <w:sz w:val="20"/>
          <w:szCs w:val="20"/>
        </w:rPr>
        <w:t xml:space="preserve">learning strategies and clinical skills practice whilst on placement. </w:t>
      </w:r>
    </w:p>
    <w:p w14:paraId="414F8F59" w14:textId="77777777" w:rsidR="00662CE3" w:rsidRPr="003726FE" w:rsidRDefault="00662CE3" w:rsidP="00662CE3">
      <w:pPr>
        <w:spacing w:line="360" w:lineRule="auto"/>
        <w:rPr>
          <w:rFonts w:ascii="TUOS Blake" w:hAnsi="TUOS Blake"/>
          <w:b/>
          <w:sz w:val="20"/>
          <w:szCs w:val="20"/>
        </w:rPr>
      </w:pPr>
      <w:r w:rsidRPr="003726FE">
        <w:rPr>
          <w:rFonts w:ascii="TUOS Blake" w:hAnsi="TUOS Blake"/>
          <w:b/>
          <w:sz w:val="20"/>
          <w:szCs w:val="20"/>
        </w:rPr>
        <w:t>Your role:</w:t>
      </w:r>
    </w:p>
    <w:p w14:paraId="243B23D9" w14:textId="77777777" w:rsidR="00662CE3" w:rsidRPr="003726FE" w:rsidRDefault="00662CE3" w:rsidP="00662CE3">
      <w:pPr>
        <w:spacing w:after="0" w:line="360" w:lineRule="auto"/>
        <w:rPr>
          <w:rFonts w:ascii="TUOS Blake" w:hAnsi="TUOS Blake"/>
          <w:sz w:val="20"/>
          <w:szCs w:val="20"/>
        </w:rPr>
      </w:pPr>
      <w:r w:rsidRPr="003726FE">
        <w:rPr>
          <w:rFonts w:ascii="TUOS Blake" w:hAnsi="TUOS Blake"/>
          <w:sz w:val="20"/>
          <w:szCs w:val="20"/>
        </w:rPr>
        <w:t xml:space="preserve">If you decide to take part, you will attend </w:t>
      </w:r>
      <w:r w:rsidRPr="003726FE">
        <w:rPr>
          <w:rFonts w:ascii="TUOS Blake" w:hAnsi="TUOS Blake"/>
          <w:b/>
          <w:sz w:val="20"/>
          <w:szCs w:val="20"/>
        </w:rPr>
        <w:t>one 45-60 minute</w:t>
      </w:r>
      <w:r w:rsidRPr="003726FE">
        <w:rPr>
          <w:rFonts w:ascii="TUOS Blake" w:hAnsi="TUOS Blake"/>
          <w:sz w:val="20"/>
          <w:szCs w:val="20"/>
        </w:rPr>
        <w:t xml:space="preserve"> </w:t>
      </w:r>
      <w:r w:rsidRPr="003726FE">
        <w:rPr>
          <w:rFonts w:ascii="TUOS Blake" w:hAnsi="TUOS Blake"/>
          <w:b/>
          <w:sz w:val="20"/>
          <w:szCs w:val="20"/>
        </w:rPr>
        <w:t>focus group</w:t>
      </w:r>
      <w:r w:rsidRPr="003726FE">
        <w:rPr>
          <w:rFonts w:ascii="TUOS Blake" w:hAnsi="TUOS Blake"/>
          <w:sz w:val="20"/>
          <w:szCs w:val="20"/>
        </w:rPr>
        <w:t xml:space="preserve"> </w:t>
      </w:r>
      <w:r w:rsidRPr="003726FE">
        <w:rPr>
          <w:rFonts w:ascii="TUOS Blake" w:hAnsi="TUOS Blake"/>
          <w:b/>
          <w:sz w:val="20"/>
          <w:szCs w:val="20"/>
        </w:rPr>
        <w:t>while on placement in July 2016</w:t>
      </w:r>
      <w:r w:rsidRPr="003726FE">
        <w:rPr>
          <w:rFonts w:ascii="TUOS Blake" w:hAnsi="TUOS Blake"/>
          <w:sz w:val="20"/>
          <w:szCs w:val="20"/>
        </w:rPr>
        <w:t xml:space="preserve">; the purpose of the session is to explore your experiences of feedback and clinical skills learning since starting phase 2a. We will explore whether you thought the feedback you received was useful or not and how it impacted upon your learning in different clinical situations and environments. </w:t>
      </w:r>
    </w:p>
    <w:p w14:paraId="0BDAFF7F" w14:textId="77777777" w:rsidR="00662CE3" w:rsidRPr="003726FE" w:rsidRDefault="00662CE3" w:rsidP="00662CE3">
      <w:pPr>
        <w:spacing w:after="0" w:line="360" w:lineRule="auto"/>
        <w:rPr>
          <w:rFonts w:ascii="TUOS Blake" w:hAnsi="TUOS Blake"/>
          <w:sz w:val="20"/>
          <w:szCs w:val="20"/>
        </w:rPr>
      </w:pPr>
    </w:p>
    <w:p w14:paraId="6B885F6F" w14:textId="77777777" w:rsidR="00662CE3" w:rsidRPr="003726FE" w:rsidRDefault="00662CE3" w:rsidP="00662CE3">
      <w:pPr>
        <w:spacing w:after="0" w:line="360" w:lineRule="auto"/>
        <w:rPr>
          <w:rFonts w:ascii="TUOS Blake" w:hAnsi="TUOS Blake"/>
          <w:sz w:val="20"/>
          <w:szCs w:val="20"/>
        </w:rPr>
      </w:pPr>
      <w:r w:rsidRPr="003726FE">
        <w:rPr>
          <w:rFonts w:ascii="TUOS Blake" w:hAnsi="TUOS Blake"/>
          <w:sz w:val="20"/>
          <w:szCs w:val="20"/>
        </w:rPr>
        <w:t>We may also invite you to take part in an</w:t>
      </w:r>
      <w:r w:rsidRPr="003726FE">
        <w:rPr>
          <w:rFonts w:ascii="TUOS Blake" w:hAnsi="TUOS Blake"/>
          <w:b/>
          <w:sz w:val="20"/>
          <w:szCs w:val="20"/>
        </w:rPr>
        <w:t xml:space="preserve"> interview</w:t>
      </w:r>
      <w:r w:rsidRPr="003726FE">
        <w:rPr>
          <w:rFonts w:ascii="TUOS Blake" w:hAnsi="TUOS Blake"/>
          <w:sz w:val="20"/>
          <w:szCs w:val="20"/>
        </w:rPr>
        <w:t xml:space="preserve"> </w:t>
      </w:r>
      <w:r w:rsidRPr="003726FE">
        <w:rPr>
          <w:rFonts w:ascii="TUOS Blake" w:hAnsi="TUOS Blake"/>
          <w:b/>
          <w:sz w:val="20"/>
          <w:szCs w:val="20"/>
        </w:rPr>
        <w:t>in Sept/Oct 2016</w:t>
      </w:r>
      <w:r w:rsidRPr="003726FE">
        <w:rPr>
          <w:rFonts w:ascii="TUOS Blake" w:hAnsi="TUOS Blake"/>
          <w:sz w:val="20"/>
          <w:szCs w:val="20"/>
        </w:rPr>
        <w:t>. The purpose of this is to get a more in-depth perspective of your feedback experience. This interview can take place at the medical school or at your clinical attachment location according to your preference and will last approximately 30-40 minutes. These sessions will be audio-recorded, any data we collect from you will be anonymised in reports and used only for research purposes. This research will form a doctoral thesis and may be published in peer reviewed journals.</w:t>
      </w:r>
    </w:p>
    <w:p w14:paraId="69C21D48" w14:textId="77777777" w:rsidR="00662CE3" w:rsidRPr="003726FE" w:rsidRDefault="00662CE3" w:rsidP="00662CE3">
      <w:pPr>
        <w:spacing w:line="360" w:lineRule="auto"/>
        <w:rPr>
          <w:rFonts w:ascii="TUOS Blake" w:hAnsi="TUOS Blake"/>
          <w:sz w:val="20"/>
          <w:szCs w:val="20"/>
        </w:rPr>
      </w:pPr>
    </w:p>
    <w:p w14:paraId="56EA4C04" w14:textId="77777777" w:rsidR="00662CE3" w:rsidRPr="003726FE" w:rsidRDefault="00662CE3" w:rsidP="00662CE3">
      <w:pPr>
        <w:spacing w:line="360" w:lineRule="auto"/>
        <w:jc w:val="center"/>
        <w:rPr>
          <w:rFonts w:ascii="TUOS Blake" w:hAnsi="TUOS Blake"/>
          <w:sz w:val="20"/>
          <w:szCs w:val="20"/>
        </w:rPr>
      </w:pPr>
      <w:r w:rsidRPr="003726FE">
        <w:rPr>
          <w:rFonts w:ascii="TUOS Blake" w:hAnsi="TUOS Blake"/>
          <w:b/>
          <w:sz w:val="20"/>
          <w:szCs w:val="20"/>
        </w:rPr>
        <w:t xml:space="preserve">Finally, if you wish to take part in this study please inform the researcher via email or choose a date to attend. </w:t>
      </w:r>
      <w:r w:rsidRPr="003726FE">
        <w:rPr>
          <w:rFonts w:ascii="TUOS Blake" w:hAnsi="TUOS Blake"/>
          <w:sz w:val="20"/>
          <w:szCs w:val="20"/>
        </w:rPr>
        <w:t>You will be contacted regarding the date and times of focus groups and interviews as soon as possible.</w:t>
      </w:r>
    </w:p>
    <w:p w14:paraId="75730EC4" w14:textId="77777777" w:rsidR="00662CE3" w:rsidRPr="003726FE" w:rsidRDefault="00662CE3" w:rsidP="00662CE3">
      <w:pPr>
        <w:spacing w:line="360" w:lineRule="auto"/>
        <w:jc w:val="center"/>
        <w:rPr>
          <w:rFonts w:ascii="TUOS Blake" w:hAnsi="TUOS Blake"/>
          <w:sz w:val="20"/>
          <w:szCs w:val="20"/>
        </w:rPr>
      </w:pPr>
    </w:p>
    <w:p w14:paraId="5A0A62D2" w14:textId="77777777" w:rsidR="00662CE3" w:rsidRPr="003726FE" w:rsidRDefault="00662CE3" w:rsidP="00662CE3">
      <w:pPr>
        <w:spacing w:line="360" w:lineRule="auto"/>
        <w:jc w:val="center"/>
        <w:rPr>
          <w:rFonts w:ascii="TUOS Blake" w:hAnsi="TUOS Blake"/>
          <w:sz w:val="20"/>
        </w:rPr>
      </w:pPr>
      <w:r w:rsidRPr="003726FE">
        <w:rPr>
          <w:rFonts w:ascii="TUOS Blake" w:hAnsi="TUOS Blake"/>
          <w:sz w:val="20"/>
        </w:rPr>
        <w:t>Thank you for reading this information sheet. Please keep this for your records.</w:t>
      </w:r>
    </w:p>
    <w:p w14:paraId="407AE224" w14:textId="76D55DEC" w:rsidR="00662CE3" w:rsidRPr="003726FE" w:rsidRDefault="00662CE3" w:rsidP="00662CE3">
      <w:pPr>
        <w:pStyle w:val="Normal1"/>
        <w:rPr>
          <w:sz w:val="28"/>
          <w:lang w:val="en-GB"/>
        </w:rPr>
      </w:pPr>
      <w:r w:rsidRPr="003726FE">
        <w:rPr>
          <w:lang w:val="en-GB"/>
        </w:rPr>
        <w:br w:type="page"/>
      </w:r>
    </w:p>
    <w:tbl>
      <w:tblPr>
        <w:tblpPr w:leftFromText="180" w:rightFromText="180" w:vertAnchor="page" w:horzAnchor="margin" w:tblpY="1692"/>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3"/>
        <w:gridCol w:w="236"/>
      </w:tblGrid>
      <w:tr w:rsidR="00D80DD9" w:rsidRPr="003726FE" w14:paraId="675C76D1" w14:textId="77777777" w:rsidTr="00D80DD9">
        <w:trPr>
          <w:trHeight w:val="12749"/>
        </w:trPr>
        <w:tc>
          <w:tcPr>
            <w:tcW w:w="8283" w:type="dxa"/>
            <w:tcBorders>
              <w:right w:val="nil"/>
            </w:tcBorders>
          </w:tcPr>
          <w:p w14:paraId="1490CF24" w14:textId="77777777" w:rsidR="00D80DD9" w:rsidRPr="003726FE" w:rsidRDefault="00D80DD9" w:rsidP="00D80DD9">
            <w:pPr>
              <w:pStyle w:val="Normal1"/>
              <w:rPr>
                <w:sz w:val="22"/>
                <w:lang w:val="en-GB"/>
              </w:rPr>
            </w:pPr>
            <w:r w:rsidRPr="003726FE">
              <w:rPr>
                <w:b/>
                <w:sz w:val="22"/>
                <w:lang w:val="en-GB"/>
              </w:rPr>
              <w:lastRenderedPageBreak/>
              <w:t>Title of Research Project:</w:t>
            </w:r>
            <w:r w:rsidRPr="003726FE">
              <w:rPr>
                <w:sz w:val="22"/>
                <w:lang w:val="en-GB"/>
              </w:rPr>
              <w:t xml:space="preserve"> Hearing the feedback message</w:t>
            </w:r>
          </w:p>
          <w:p w14:paraId="126760C3" w14:textId="77777777" w:rsidR="00D80DD9" w:rsidRPr="003726FE" w:rsidRDefault="00D80DD9" w:rsidP="00D80DD9">
            <w:pPr>
              <w:pStyle w:val="Normal1"/>
              <w:rPr>
                <w:sz w:val="22"/>
                <w:lang w:val="en-GB"/>
              </w:rPr>
            </w:pPr>
            <w:r w:rsidRPr="003726FE">
              <w:rPr>
                <w:b/>
                <w:sz w:val="22"/>
                <w:lang w:val="en-GB"/>
              </w:rPr>
              <w:t xml:space="preserve">Activity: </w:t>
            </w:r>
            <w:r w:rsidRPr="003726FE">
              <w:rPr>
                <w:sz w:val="22"/>
                <w:lang w:val="en-GB"/>
              </w:rPr>
              <w:t>Focus group</w:t>
            </w:r>
          </w:p>
          <w:p w14:paraId="22F7D3A9" w14:textId="77777777" w:rsidR="00D80DD9" w:rsidRPr="003726FE" w:rsidRDefault="00D80DD9" w:rsidP="00D80DD9">
            <w:pPr>
              <w:spacing w:line="276" w:lineRule="auto"/>
              <w:rPr>
                <w:rFonts w:ascii="TUOS Blake" w:hAnsi="TUOS Blake" w:cs="Arial"/>
                <w:sz w:val="22"/>
              </w:rPr>
            </w:pPr>
            <w:r w:rsidRPr="003726FE">
              <w:rPr>
                <w:rFonts w:ascii="TUOS Blake" w:hAnsi="TUOS Blake" w:cs="Arial"/>
                <w:b/>
                <w:sz w:val="22"/>
              </w:rPr>
              <w:t>Name of Principle Investigator:</w:t>
            </w:r>
            <w:r w:rsidRPr="003726FE">
              <w:rPr>
                <w:rFonts w:ascii="TUOS Blake" w:hAnsi="TUOS Blake" w:cs="Arial"/>
                <w:sz w:val="22"/>
              </w:rPr>
              <w:t xml:space="preserve"> Billy Bryan</w:t>
            </w:r>
          </w:p>
          <w:p w14:paraId="187FC46D" w14:textId="777BDE85" w:rsidR="00D80DD9" w:rsidRPr="003726FE" w:rsidRDefault="00D80DD9" w:rsidP="00D80DD9">
            <w:pPr>
              <w:pStyle w:val="BodyText2"/>
              <w:spacing w:line="276" w:lineRule="auto"/>
              <w:rPr>
                <w:rFonts w:ascii="TUOS Blake" w:hAnsi="TUOS Blake" w:cs="Arial"/>
                <w:sz w:val="22"/>
              </w:rPr>
            </w:pPr>
            <w:r w:rsidRPr="003726FE">
              <w:rPr>
                <w:rFonts w:ascii="TUOS Blake" w:hAnsi="TUOS Blake" w:cs="Arial"/>
                <w:sz w:val="22"/>
              </w:rPr>
              <w:t>Please initial the adjacent boxes.</w:t>
            </w:r>
          </w:p>
          <w:p w14:paraId="789F4EC1" w14:textId="6D4D0264" w:rsidR="00D80DD9" w:rsidRPr="003726FE" w:rsidRDefault="00D80DD9" w:rsidP="00D80DD9">
            <w:pPr>
              <w:pStyle w:val="BodyText2"/>
              <w:spacing w:line="276" w:lineRule="auto"/>
              <w:rPr>
                <w:rFonts w:ascii="TUOS Blake" w:hAnsi="TUOS Blake" w:cs="Arial"/>
                <w:sz w:val="22"/>
              </w:rPr>
            </w:pPr>
            <w:r w:rsidRPr="003726FE">
              <w:rPr>
                <w:rFonts w:ascii="TUOS Blake" w:hAnsi="TUOS Blake" w:cs="Arial"/>
                <w:noProof/>
                <w:sz w:val="22"/>
                <w:lang w:eastAsia="en-GB"/>
              </w:rPr>
              <mc:AlternateContent>
                <mc:Choice Requires="wps">
                  <w:drawing>
                    <wp:anchor distT="0" distB="0" distL="114300" distR="114300" simplePos="0" relativeHeight="252028928" behindDoc="0" locked="0" layoutInCell="1" allowOverlap="1" wp14:anchorId="61471BF8" wp14:editId="305B6243">
                      <wp:simplePos x="0" y="0"/>
                      <wp:positionH relativeFrom="column">
                        <wp:posOffset>4800600</wp:posOffset>
                      </wp:positionH>
                      <wp:positionV relativeFrom="paragraph">
                        <wp:posOffset>4236085</wp:posOffset>
                      </wp:positionV>
                      <wp:extent cx="457200" cy="342900"/>
                      <wp:effectExtent l="0" t="0" r="25400" b="38100"/>
                      <wp:wrapNone/>
                      <wp:docPr id="48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A4FA0" id="Rectangle 35" o:spid="_x0000_s1026" style="position:absolute;margin-left:378pt;margin-top:333.55pt;width:36pt;height:2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29952" behindDoc="0" locked="0" layoutInCell="1" allowOverlap="1" wp14:anchorId="72E36F31" wp14:editId="51FEA060">
                      <wp:simplePos x="0" y="0"/>
                      <wp:positionH relativeFrom="column">
                        <wp:posOffset>4803775</wp:posOffset>
                      </wp:positionH>
                      <wp:positionV relativeFrom="paragraph">
                        <wp:posOffset>3799840</wp:posOffset>
                      </wp:positionV>
                      <wp:extent cx="457200" cy="342900"/>
                      <wp:effectExtent l="0" t="0" r="25400" b="38100"/>
                      <wp:wrapNone/>
                      <wp:docPr id="48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7516" id="Rectangle 36" o:spid="_x0000_s1026" style="position:absolute;margin-left:378.25pt;margin-top:299.2pt;width:36pt;height:2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27904" behindDoc="0" locked="0" layoutInCell="1" allowOverlap="1" wp14:anchorId="656DA017" wp14:editId="5A2B80F2">
                      <wp:simplePos x="0" y="0"/>
                      <wp:positionH relativeFrom="column">
                        <wp:posOffset>4806950</wp:posOffset>
                      </wp:positionH>
                      <wp:positionV relativeFrom="paragraph">
                        <wp:posOffset>3006725</wp:posOffset>
                      </wp:positionV>
                      <wp:extent cx="457200" cy="342900"/>
                      <wp:effectExtent l="0" t="0" r="25400" b="38100"/>
                      <wp:wrapNone/>
                      <wp:docPr id="48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2964E" id="Rectangle 34" o:spid="_x0000_s1026" style="position:absolute;margin-left:378.5pt;margin-top:236.75pt;width:36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30976" behindDoc="0" locked="0" layoutInCell="1" allowOverlap="1" wp14:anchorId="4F8E53E9" wp14:editId="45EAC244">
                      <wp:simplePos x="0" y="0"/>
                      <wp:positionH relativeFrom="column">
                        <wp:posOffset>4800600</wp:posOffset>
                      </wp:positionH>
                      <wp:positionV relativeFrom="paragraph">
                        <wp:posOffset>2178685</wp:posOffset>
                      </wp:positionV>
                      <wp:extent cx="457200" cy="342900"/>
                      <wp:effectExtent l="0" t="0" r="25400" b="3810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9B009" id="Rectangle 37" o:spid="_x0000_s1026" style="position:absolute;margin-left:378pt;margin-top:171.55pt;width:36pt;height:2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26880" behindDoc="0" locked="0" layoutInCell="1" allowOverlap="1" wp14:anchorId="0A415E18" wp14:editId="74A70153">
                      <wp:simplePos x="0" y="0"/>
                      <wp:positionH relativeFrom="column">
                        <wp:posOffset>4806950</wp:posOffset>
                      </wp:positionH>
                      <wp:positionV relativeFrom="paragraph">
                        <wp:posOffset>1419225</wp:posOffset>
                      </wp:positionV>
                      <wp:extent cx="457200" cy="342900"/>
                      <wp:effectExtent l="0" t="0" r="25400" b="38100"/>
                      <wp:wrapNone/>
                      <wp:docPr id="4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2A902" id="Rectangle 33" o:spid="_x0000_s1026" style="position:absolute;margin-left:378.5pt;margin-top:111.75pt;width:36pt;height: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24832" behindDoc="0" locked="0" layoutInCell="1" allowOverlap="1" wp14:anchorId="4AFE30FC" wp14:editId="3517FF39">
                      <wp:simplePos x="0" y="0"/>
                      <wp:positionH relativeFrom="column">
                        <wp:posOffset>4824730</wp:posOffset>
                      </wp:positionH>
                      <wp:positionV relativeFrom="paragraph">
                        <wp:posOffset>48895</wp:posOffset>
                      </wp:positionV>
                      <wp:extent cx="457200" cy="342900"/>
                      <wp:effectExtent l="0" t="0" r="25400" b="38100"/>
                      <wp:wrapNone/>
                      <wp:docPr id="48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89B2" id="Rectangle 31" o:spid="_x0000_s1026" style="position:absolute;margin-left:379.9pt;margin-top:3.85pt;width:36pt;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2025856" behindDoc="0" locked="0" layoutInCell="1" allowOverlap="1" wp14:anchorId="5C0F7248" wp14:editId="3F54D910">
                      <wp:simplePos x="0" y="0"/>
                      <wp:positionH relativeFrom="column">
                        <wp:posOffset>4815840</wp:posOffset>
                      </wp:positionH>
                      <wp:positionV relativeFrom="paragraph">
                        <wp:posOffset>694055</wp:posOffset>
                      </wp:positionV>
                      <wp:extent cx="457200" cy="342900"/>
                      <wp:effectExtent l="0" t="0" r="25400" b="38100"/>
                      <wp:wrapNone/>
                      <wp:docPr id="48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22A6F" id="Rectangle 32" o:spid="_x0000_s1026" style="position:absolute;margin-left:379.2pt;margin-top:54.65pt;width:36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"/>
                  </w:pict>
                </mc:Fallback>
              </mc:AlternateContent>
            </w:r>
          </w:p>
          <w:p w14:paraId="129D350E" w14:textId="77777777" w:rsidR="00D80DD9" w:rsidRPr="003726FE" w:rsidRDefault="00D80DD9" w:rsidP="00D80DD9">
            <w:pPr>
              <w:numPr>
                <w:ilvl w:val="0"/>
                <w:numId w:val="48"/>
              </w:numPr>
              <w:tabs>
                <w:tab w:val="clear" w:pos="720"/>
                <w:tab w:val="num" w:pos="313"/>
              </w:tabs>
              <w:spacing w:after="0" w:line="276" w:lineRule="auto"/>
              <w:ind w:left="313" w:right="525" w:hanging="284"/>
              <w:rPr>
                <w:rFonts w:ascii="TUOS Blake" w:hAnsi="TUOS Blake" w:cs="Arial"/>
                <w:sz w:val="22"/>
              </w:rPr>
            </w:pPr>
            <w:r w:rsidRPr="003726FE">
              <w:rPr>
                <w:rFonts w:ascii="TUOS Blake" w:hAnsi="TUOS Blake" w:cs="Arial"/>
                <w:sz w:val="22"/>
              </w:rPr>
              <w:t xml:space="preserve">I confirm that I have read and understand the information sheet </w:t>
            </w:r>
            <w:r w:rsidRPr="003726FE">
              <w:rPr>
                <w:rFonts w:ascii="TUOS Blake" w:hAnsi="TUOS Blake" w:cs="Arial"/>
                <w:sz w:val="22"/>
              </w:rPr>
              <w:br/>
              <w:t>dated 05/07/16 explaining the above research project</w:t>
            </w:r>
            <w:r w:rsidRPr="003726FE">
              <w:rPr>
                <w:rFonts w:ascii="TUOS Blake" w:hAnsi="TUOS Blake" w:cs="Arial"/>
                <w:sz w:val="22"/>
              </w:rPr>
              <w:br/>
              <w:t>and I have had the opportunity to ask questions about the project.</w:t>
            </w:r>
          </w:p>
          <w:p w14:paraId="34092624" w14:textId="77777777" w:rsidR="00D80DD9" w:rsidRPr="003726FE" w:rsidRDefault="00D80DD9" w:rsidP="00D80DD9">
            <w:pPr>
              <w:numPr>
                <w:ilvl w:val="0"/>
                <w:numId w:val="48"/>
              </w:numPr>
              <w:tabs>
                <w:tab w:val="clear" w:pos="720"/>
                <w:tab w:val="num" w:pos="313"/>
                <w:tab w:val="left" w:pos="360"/>
              </w:tabs>
              <w:spacing w:after="0" w:line="276" w:lineRule="auto"/>
              <w:ind w:left="313" w:right="525" w:hanging="284"/>
              <w:rPr>
                <w:rFonts w:ascii="TUOS Blake" w:hAnsi="TUOS Blake" w:cs="Arial"/>
                <w:sz w:val="22"/>
              </w:rPr>
            </w:pPr>
            <w:r w:rsidRPr="003726FE">
              <w:rPr>
                <w:rFonts w:ascii="TUOS Blake" w:hAnsi="TUOS Blake" w:cs="Arial"/>
                <w:sz w:val="22"/>
              </w:rPr>
              <w:t>I agree not to divulge resources specific to this research to students who do not participate to ensure research integrity and confidentiality.</w:t>
            </w:r>
          </w:p>
          <w:p w14:paraId="5E08F490" w14:textId="77777777" w:rsidR="00D80DD9" w:rsidRPr="003726FE" w:rsidRDefault="00D80DD9" w:rsidP="00D80DD9">
            <w:pPr>
              <w:numPr>
                <w:ilvl w:val="0"/>
                <w:numId w:val="48"/>
              </w:numPr>
              <w:tabs>
                <w:tab w:val="clear" w:pos="720"/>
                <w:tab w:val="num" w:pos="313"/>
              </w:tabs>
              <w:spacing w:after="0" w:line="276" w:lineRule="auto"/>
              <w:ind w:left="313" w:right="525" w:hanging="284"/>
              <w:rPr>
                <w:rFonts w:ascii="TUOS Blake" w:hAnsi="TUOS Blake" w:cs="Arial"/>
                <w:sz w:val="22"/>
              </w:rPr>
            </w:pPr>
            <w:r w:rsidRPr="003726FE">
              <w:rPr>
                <w:rFonts w:ascii="TUOS Blake" w:hAnsi="TUOS Blake" w:cs="Arial"/>
                <w:sz w:val="22"/>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p>
          <w:p w14:paraId="189B2F14" w14:textId="77777777" w:rsidR="00D80DD9" w:rsidRPr="003726FE" w:rsidRDefault="00D80DD9" w:rsidP="00D80DD9">
            <w:pPr>
              <w:numPr>
                <w:ilvl w:val="0"/>
                <w:numId w:val="48"/>
              </w:numPr>
              <w:tabs>
                <w:tab w:val="clear" w:pos="720"/>
                <w:tab w:val="num" w:pos="313"/>
                <w:tab w:val="left" w:pos="360"/>
              </w:tabs>
              <w:spacing w:after="0" w:line="276" w:lineRule="auto"/>
              <w:ind w:left="313" w:right="525" w:hanging="284"/>
              <w:rPr>
                <w:rFonts w:ascii="TUOS Blake" w:hAnsi="TUOS Blake" w:cs="Arial"/>
                <w:sz w:val="22"/>
              </w:rPr>
            </w:pPr>
            <w:r w:rsidRPr="003726FE">
              <w:rPr>
                <w:rFonts w:ascii="TUOS Blake" w:hAnsi="TUOS Blake" w:cs="Arial"/>
                <w:sz w:val="22"/>
              </w:rPr>
              <w:t>I understand that my responses will be kept strictly confidential.</w:t>
            </w:r>
            <w:r w:rsidRPr="003726FE">
              <w:rPr>
                <w:rFonts w:ascii="TUOS Blake" w:hAnsi="TUOS Blake" w:cs="Arial"/>
                <w:sz w:val="22"/>
              </w:rPr>
              <w:br/>
              <w:t xml:space="preserve">I give permission for members of the research team to have access to my anonymised responses. I understand that will not be identified or identifiable in the report or reports that result from the research.  </w:t>
            </w:r>
          </w:p>
          <w:p w14:paraId="1469C1EC" w14:textId="77777777" w:rsidR="00D80DD9" w:rsidRPr="003726FE" w:rsidRDefault="00D80DD9" w:rsidP="00D80DD9">
            <w:pPr>
              <w:numPr>
                <w:ilvl w:val="0"/>
                <w:numId w:val="48"/>
              </w:numPr>
              <w:tabs>
                <w:tab w:val="clear" w:pos="720"/>
                <w:tab w:val="num" w:pos="313"/>
                <w:tab w:val="left" w:pos="360"/>
              </w:tabs>
              <w:spacing w:after="0" w:line="276" w:lineRule="auto"/>
              <w:ind w:left="313" w:right="525" w:hanging="284"/>
              <w:rPr>
                <w:rFonts w:ascii="TUOS Blake" w:hAnsi="TUOS Blake" w:cs="Arial"/>
                <w:sz w:val="22"/>
              </w:rPr>
            </w:pPr>
            <w:r w:rsidRPr="003726FE">
              <w:rPr>
                <w:rFonts w:ascii="TUOS Blake" w:hAnsi="TUOS Blake" w:cs="Arial"/>
                <w:sz w:val="22"/>
              </w:rPr>
              <w:t>I give consent for sound recordings to be collected.  I confirm that the purpose for which the material would be used has been explained to me in terms that I have understood and I agree to the use of the material in such circumstances.  I understand that if the material is required for use in any other way than that explained to me then my consent to this will be specifically sought.</w:t>
            </w:r>
          </w:p>
          <w:p w14:paraId="3841424B" w14:textId="77777777" w:rsidR="00D80DD9" w:rsidRPr="003726FE" w:rsidRDefault="00D80DD9" w:rsidP="00D80DD9">
            <w:pPr>
              <w:numPr>
                <w:ilvl w:val="0"/>
                <w:numId w:val="48"/>
              </w:numPr>
              <w:tabs>
                <w:tab w:val="clear" w:pos="720"/>
                <w:tab w:val="num" w:pos="313"/>
                <w:tab w:val="left" w:pos="360"/>
              </w:tabs>
              <w:spacing w:after="0" w:line="276" w:lineRule="auto"/>
              <w:ind w:left="313" w:right="525" w:hanging="284"/>
              <w:rPr>
                <w:rFonts w:ascii="TUOS Blake" w:hAnsi="TUOS Blake" w:cs="Arial"/>
                <w:sz w:val="22"/>
              </w:rPr>
            </w:pPr>
            <w:r w:rsidRPr="003726FE">
              <w:rPr>
                <w:rFonts w:ascii="TUOS Blake" w:hAnsi="TUOS Blake" w:cs="Arial"/>
                <w:sz w:val="22"/>
              </w:rPr>
              <w:t>I agree for the data collected from me to be used in future research.</w:t>
            </w:r>
          </w:p>
          <w:p w14:paraId="3A98FCA1" w14:textId="77777777" w:rsidR="00D80DD9" w:rsidRPr="003726FE" w:rsidRDefault="00D80DD9" w:rsidP="00D80DD9">
            <w:pPr>
              <w:tabs>
                <w:tab w:val="num" w:pos="313"/>
                <w:tab w:val="left" w:pos="360"/>
              </w:tabs>
              <w:spacing w:after="0" w:line="276" w:lineRule="auto"/>
              <w:ind w:left="29" w:right="525"/>
              <w:rPr>
                <w:rFonts w:ascii="TUOS Blake" w:hAnsi="TUOS Blake" w:cs="Arial"/>
                <w:sz w:val="22"/>
              </w:rPr>
            </w:pPr>
          </w:p>
          <w:p w14:paraId="1A208DF9" w14:textId="77777777" w:rsidR="00D80DD9" w:rsidRPr="003726FE" w:rsidRDefault="00D80DD9" w:rsidP="00D80DD9">
            <w:pPr>
              <w:numPr>
                <w:ilvl w:val="0"/>
                <w:numId w:val="48"/>
              </w:numPr>
              <w:tabs>
                <w:tab w:val="clear" w:pos="720"/>
                <w:tab w:val="num" w:pos="313"/>
                <w:tab w:val="left" w:pos="360"/>
              </w:tabs>
              <w:spacing w:after="0" w:line="276" w:lineRule="auto"/>
              <w:ind w:left="313" w:right="525" w:hanging="284"/>
              <w:rPr>
                <w:rFonts w:ascii="TUOS Blake" w:hAnsi="TUOS Blake" w:cs="Arial"/>
                <w:sz w:val="22"/>
              </w:rPr>
            </w:pPr>
            <w:r w:rsidRPr="003726FE">
              <w:rPr>
                <w:rFonts w:ascii="TUOS Blake" w:hAnsi="TUOS Blake" w:cs="Arial"/>
                <w:sz w:val="22"/>
              </w:rPr>
              <w:t>I agree to take part in the above research project.</w:t>
            </w:r>
          </w:p>
          <w:p w14:paraId="6DF348FE" w14:textId="77777777" w:rsidR="00D80DD9" w:rsidRPr="003726FE" w:rsidRDefault="00D80DD9" w:rsidP="00D80DD9">
            <w:pPr>
              <w:rPr>
                <w:rFonts w:ascii="TUOS Blake" w:hAnsi="TUOS Blake" w:cs="Arial"/>
                <w:sz w:val="22"/>
              </w:rPr>
            </w:pPr>
          </w:p>
          <w:p w14:paraId="294439AD" w14:textId="77777777" w:rsidR="00D80DD9" w:rsidRPr="003726FE" w:rsidRDefault="00D80DD9" w:rsidP="00D80DD9">
            <w:pPr>
              <w:tabs>
                <w:tab w:val="left" w:pos="3600"/>
                <w:tab w:val="left" w:pos="6480"/>
              </w:tabs>
              <w:rPr>
                <w:rFonts w:ascii="TUOS Blake" w:hAnsi="TUOS Blake" w:cs="Arial"/>
                <w:sz w:val="22"/>
              </w:rPr>
            </w:pPr>
            <w:r w:rsidRPr="003726FE">
              <w:rPr>
                <w:rFonts w:ascii="TUOS Blake" w:hAnsi="TUOS Blake" w:cs="Arial"/>
                <w:sz w:val="22"/>
              </w:rPr>
              <w:t>________________________</w:t>
            </w:r>
            <w:r w:rsidRPr="003726FE">
              <w:rPr>
                <w:rFonts w:ascii="TUOS Blake" w:hAnsi="TUOS Blake" w:cs="Arial"/>
                <w:sz w:val="22"/>
              </w:rPr>
              <w:tab/>
              <w:t>________________      ________________</w:t>
            </w:r>
          </w:p>
          <w:p w14:paraId="39657000" w14:textId="77777777" w:rsidR="00D80DD9" w:rsidRPr="003726FE" w:rsidRDefault="00D80DD9" w:rsidP="00D80DD9">
            <w:pPr>
              <w:tabs>
                <w:tab w:val="left" w:pos="3600"/>
                <w:tab w:val="left" w:pos="6480"/>
              </w:tabs>
              <w:rPr>
                <w:rFonts w:ascii="TUOS Blake" w:hAnsi="TUOS Blake" w:cs="Arial"/>
                <w:sz w:val="22"/>
              </w:rPr>
            </w:pPr>
            <w:r w:rsidRPr="003726FE">
              <w:rPr>
                <w:rFonts w:ascii="TUOS Blake" w:hAnsi="TUOS Blake" w:cs="Arial"/>
                <w:sz w:val="22"/>
              </w:rPr>
              <w:t>Name of Participant</w:t>
            </w:r>
            <w:r w:rsidRPr="003726FE">
              <w:rPr>
                <w:rFonts w:ascii="TUOS Blake" w:hAnsi="TUOS Blake" w:cs="Arial"/>
                <w:sz w:val="22"/>
              </w:rPr>
              <w:tab/>
              <w:t>Date</w:t>
            </w:r>
            <w:r w:rsidRPr="003726FE">
              <w:rPr>
                <w:rFonts w:ascii="TUOS Blake" w:hAnsi="TUOS Blake" w:cs="Arial"/>
                <w:sz w:val="22"/>
              </w:rPr>
              <w:tab/>
              <w:t>Signature</w:t>
            </w:r>
          </w:p>
          <w:p w14:paraId="038674CA" w14:textId="77777777" w:rsidR="00D80DD9" w:rsidRPr="003726FE" w:rsidRDefault="00D80DD9" w:rsidP="00D80DD9">
            <w:pPr>
              <w:rPr>
                <w:rFonts w:ascii="TUOS Blake" w:hAnsi="TUOS Blake" w:cs="Arial"/>
                <w:sz w:val="22"/>
              </w:rPr>
            </w:pPr>
            <w:r w:rsidRPr="003726FE">
              <w:rPr>
                <w:rFonts w:ascii="TUOS Blake" w:hAnsi="TUOS Blake" w:cs="Arial"/>
                <w:sz w:val="22"/>
              </w:rPr>
              <w:t>(</w:t>
            </w:r>
            <w:r w:rsidRPr="003726FE">
              <w:rPr>
                <w:rFonts w:ascii="TUOS Blake" w:hAnsi="TUOS Blake" w:cs="Arial"/>
                <w:i/>
                <w:iCs/>
                <w:sz w:val="22"/>
              </w:rPr>
              <w:t>or legal representative</w:t>
            </w:r>
            <w:r w:rsidRPr="003726FE">
              <w:rPr>
                <w:rFonts w:ascii="TUOS Blake" w:hAnsi="TUOS Blake" w:cs="Arial"/>
                <w:sz w:val="22"/>
              </w:rPr>
              <w:t>)</w:t>
            </w:r>
          </w:p>
          <w:p w14:paraId="583B131E" w14:textId="77777777" w:rsidR="00D80DD9" w:rsidRPr="003726FE" w:rsidRDefault="00D80DD9" w:rsidP="00D80DD9">
            <w:pPr>
              <w:pStyle w:val="Header"/>
              <w:tabs>
                <w:tab w:val="left" w:pos="3600"/>
                <w:tab w:val="left" w:pos="6480"/>
              </w:tabs>
              <w:rPr>
                <w:rFonts w:ascii="TUOS Blake" w:hAnsi="TUOS Blake" w:cs="Arial"/>
                <w:sz w:val="22"/>
              </w:rPr>
            </w:pPr>
          </w:p>
          <w:p w14:paraId="6D594667" w14:textId="77777777" w:rsidR="00D80DD9" w:rsidRPr="003726FE" w:rsidRDefault="00D80DD9" w:rsidP="00D80DD9">
            <w:pPr>
              <w:pStyle w:val="Header"/>
              <w:tabs>
                <w:tab w:val="left" w:pos="3600"/>
                <w:tab w:val="left" w:pos="6480"/>
              </w:tabs>
              <w:rPr>
                <w:rFonts w:ascii="TUOS Blake" w:hAnsi="TUOS Blake" w:cs="Arial"/>
                <w:sz w:val="22"/>
              </w:rPr>
            </w:pPr>
            <w:r w:rsidRPr="003726FE">
              <w:rPr>
                <w:rFonts w:ascii="TUOS Blake" w:hAnsi="TUOS Blake" w:cs="Arial"/>
                <w:sz w:val="22"/>
              </w:rPr>
              <w:t>_________________________</w:t>
            </w:r>
            <w:r w:rsidRPr="003726FE">
              <w:rPr>
                <w:rFonts w:ascii="TUOS Blake" w:hAnsi="TUOS Blake" w:cs="Arial"/>
                <w:sz w:val="22"/>
              </w:rPr>
              <w:tab/>
              <w:t>________________         __________________</w:t>
            </w:r>
          </w:p>
          <w:p w14:paraId="14EEDBD3" w14:textId="77777777" w:rsidR="00D80DD9" w:rsidRPr="003726FE" w:rsidRDefault="00D80DD9" w:rsidP="00D80DD9">
            <w:pPr>
              <w:tabs>
                <w:tab w:val="left" w:pos="3600"/>
                <w:tab w:val="left" w:pos="6480"/>
              </w:tabs>
              <w:rPr>
                <w:rFonts w:ascii="TUOS Blake" w:hAnsi="TUOS Blake" w:cs="Arial"/>
                <w:sz w:val="22"/>
              </w:rPr>
            </w:pPr>
            <w:r w:rsidRPr="003726FE">
              <w:rPr>
                <w:rFonts w:ascii="TUOS Blake" w:hAnsi="TUOS Blake" w:cs="Arial"/>
                <w:sz w:val="22"/>
              </w:rPr>
              <w:t xml:space="preserve"> Lead Researcher</w:t>
            </w:r>
            <w:r w:rsidRPr="003726FE">
              <w:rPr>
                <w:rFonts w:ascii="TUOS Blake" w:hAnsi="TUOS Blake" w:cs="Arial"/>
                <w:sz w:val="22"/>
              </w:rPr>
              <w:tab/>
              <w:t>Date</w:t>
            </w:r>
            <w:r w:rsidRPr="003726FE">
              <w:rPr>
                <w:rFonts w:ascii="TUOS Blake" w:hAnsi="TUOS Blake" w:cs="Arial"/>
                <w:sz w:val="22"/>
              </w:rPr>
              <w:tab/>
              <w:t>Signature</w:t>
            </w:r>
          </w:p>
          <w:p w14:paraId="2A73F19D" w14:textId="77777777" w:rsidR="00D80DD9" w:rsidRPr="003726FE" w:rsidRDefault="00D80DD9" w:rsidP="00D80DD9">
            <w:pPr>
              <w:rPr>
                <w:rFonts w:ascii="TUOS Blake" w:hAnsi="TUOS Blake" w:cs="Arial"/>
                <w:i/>
                <w:iCs/>
                <w:sz w:val="22"/>
              </w:rPr>
            </w:pPr>
            <w:r w:rsidRPr="003726FE">
              <w:rPr>
                <w:rFonts w:ascii="TUOS Blake" w:hAnsi="TUOS Blake" w:cs="Arial"/>
                <w:i/>
                <w:iCs/>
                <w:sz w:val="22"/>
              </w:rPr>
              <w:t>To be signed and dated in presence of the participant</w:t>
            </w:r>
          </w:p>
          <w:p w14:paraId="3D08E435" w14:textId="77777777" w:rsidR="00D80DD9" w:rsidRPr="003726FE" w:rsidRDefault="00D80DD9" w:rsidP="00D80DD9">
            <w:pPr>
              <w:rPr>
                <w:rFonts w:ascii="TUOS Blake" w:hAnsi="TUOS Blake" w:cs="Arial"/>
                <w:sz w:val="22"/>
              </w:rPr>
            </w:pPr>
            <w:r w:rsidRPr="003726FE">
              <w:rPr>
                <w:rFonts w:ascii="TUOS Blake" w:hAnsi="TUOS Blake" w:cs="Arial"/>
                <w:sz w:val="22"/>
              </w:rPr>
              <w:t xml:space="preserve">Lead researcher – Billy Bryan: </w:t>
            </w:r>
            <w:hyperlink r:id="rId137" w:history="1">
              <w:r w:rsidRPr="003726FE">
                <w:rPr>
                  <w:rStyle w:val="Hyperlink"/>
                  <w:rFonts w:ascii="TUOS Blake" w:hAnsi="TUOS Blake" w:cs="Arial"/>
                  <w:sz w:val="22"/>
                </w:rPr>
                <w:t>bjbryan1@sheffield.ac.uk</w:t>
              </w:r>
            </w:hyperlink>
          </w:p>
          <w:p w14:paraId="1927ACBC" w14:textId="77777777" w:rsidR="00D80DD9" w:rsidRPr="003726FE" w:rsidRDefault="00D80DD9" w:rsidP="00D80DD9">
            <w:pPr>
              <w:rPr>
                <w:rFonts w:ascii="TUOS Blake" w:hAnsi="TUOS Blake" w:cs="Arial"/>
                <w:i/>
                <w:iCs/>
                <w:sz w:val="22"/>
              </w:rPr>
            </w:pPr>
            <w:r w:rsidRPr="003726FE">
              <w:rPr>
                <w:rFonts w:ascii="TUOS Blake" w:hAnsi="TUOS Blake" w:cs="Arial"/>
                <w:sz w:val="22"/>
              </w:rPr>
              <w:t xml:space="preserve">Main supervisor – Deborah Murdoch-Eaton: </w:t>
            </w:r>
            <w:hyperlink r:id="rId138" w:history="1">
              <w:r w:rsidRPr="003726FE">
                <w:rPr>
                  <w:rStyle w:val="Hyperlink"/>
                  <w:rFonts w:ascii="TUOS Blake" w:hAnsi="TUOS Blake" w:cs="Arial"/>
                  <w:sz w:val="22"/>
                </w:rPr>
                <w:t>d.murdoch-eaton@sheffield.ac.uk</w:t>
              </w:r>
            </w:hyperlink>
          </w:p>
        </w:tc>
        <w:tc>
          <w:tcPr>
            <w:tcW w:w="236" w:type="dxa"/>
            <w:tcBorders>
              <w:left w:val="nil"/>
            </w:tcBorders>
          </w:tcPr>
          <w:p w14:paraId="221A55DB" w14:textId="41EFE3D7" w:rsidR="00D80DD9" w:rsidRPr="003726FE" w:rsidRDefault="00D80DD9" w:rsidP="00D80DD9">
            <w:pPr>
              <w:pStyle w:val="Header"/>
              <w:jc w:val="both"/>
              <w:rPr>
                <w:rFonts w:ascii="TUOS Blake" w:hAnsi="TUOS Blake" w:cs="Arial"/>
                <w:i/>
                <w:iCs/>
                <w:sz w:val="22"/>
              </w:rPr>
            </w:pPr>
          </w:p>
        </w:tc>
      </w:tr>
    </w:tbl>
    <w:p w14:paraId="083D0908" w14:textId="4B797542" w:rsidR="00662CE3" w:rsidRPr="003726FE" w:rsidRDefault="00662CE3" w:rsidP="00662CE3">
      <w:pPr>
        <w:pStyle w:val="Normal1"/>
        <w:rPr>
          <w:b/>
          <w:sz w:val="28"/>
          <w:lang w:val="en-GB"/>
        </w:rPr>
      </w:pPr>
      <w:r w:rsidRPr="003726FE">
        <w:rPr>
          <w:b/>
          <w:lang w:val="en-GB"/>
        </w:rPr>
        <w:t>Informed consent form – focus groups</w:t>
      </w:r>
    </w:p>
    <w:p w14:paraId="00D59092" w14:textId="77777777" w:rsidR="00662CE3" w:rsidRPr="003726FE" w:rsidRDefault="00662CE3" w:rsidP="004110DF">
      <w:pPr>
        <w:pStyle w:val="Normal1"/>
        <w:rPr>
          <w:lang w:val="en-GB"/>
        </w:rPr>
      </w:pPr>
    </w:p>
    <w:p w14:paraId="515942E1" w14:textId="65E39130" w:rsidR="00662CE3" w:rsidRPr="003726FE" w:rsidRDefault="00662CE3" w:rsidP="00662CE3">
      <w:pPr>
        <w:rPr>
          <w:rFonts w:ascii="TUOS Blake" w:hAnsi="TUOS Blake" w:cs="Arial"/>
          <w:color w:val="0099FF"/>
          <w:sz w:val="16"/>
          <w:szCs w:val="38"/>
          <w14:shadow w14:blurRad="50800" w14:dist="38100" w14:dir="2700000" w14:sx="100000" w14:sy="100000" w14:kx="0" w14:ky="0" w14:algn="tl">
            <w14:srgbClr w14:val="000000">
              <w14:alpha w14:val="60000"/>
            </w14:srgbClr>
          </w14:shadow>
        </w:rPr>
      </w:pPr>
    </w:p>
    <w:p w14:paraId="686789A1" w14:textId="77777777" w:rsidR="00662CE3" w:rsidRPr="003726FE" w:rsidRDefault="00662CE3" w:rsidP="00662CE3">
      <w:pPr>
        <w:jc w:val="center"/>
        <w:rPr>
          <w:b/>
          <w:sz w:val="28"/>
        </w:rPr>
      </w:pPr>
      <w:r w:rsidRPr="003726FE">
        <w:rPr>
          <w:b/>
          <w:sz w:val="28"/>
        </w:rPr>
        <w:lastRenderedPageBreak/>
        <w:t>Demographic Questionnaire</w:t>
      </w:r>
    </w:p>
    <w:p w14:paraId="6717C1CC" w14:textId="77777777" w:rsidR="00662CE3" w:rsidRPr="003726FE" w:rsidRDefault="00662CE3" w:rsidP="00662CE3">
      <w:pPr>
        <w:jc w:val="center"/>
        <w:rPr>
          <w:b/>
          <w:sz w:val="28"/>
        </w:rPr>
      </w:pPr>
    </w:p>
    <w:p w14:paraId="1572A6EC" w14:textId="77777777" w:rsidR="00662CE3" w:rsidRPr="003726FE" w:rsidRDefault="00662CE3" w:rsidP="00662CE3">
      <w:pPr>
        <w:rPr>
          <w:sz w:val="28"/>
        </w:rPr>
      </w:pPr>
      <w:r w:rsidRPr="003726FE">
        <w:rPr>
          <w:sz w:val="28"/>
        </w:rPr>
        <w:t>This questionnaire aims to collect simple demographic information for research purposes only. Your responses will be confidential and kept under the same secure conditions as other data in this study. You do not have to complete this questionnaire and there will be no negative consequences if you do not.</w:t>
      </w:r>
    </w:p>
    <w:p w14:paraId="6A7A7037" w14:textId="77777777" w:rsidR="00662CE3" w:rsidRPr="003726FE" w:rsidRDefault="00662CE3" w:rsidP="00662CE3">
      <w:pPr>
        <w:rPr>
          <w:sz w:val="28"/>
        </w:rPr>
      </w:pPr>
      <w:r w:rsidRPr="003726FE">
        <w:rPr>
          <w:b/>
          <w:noProof/>
          <w:sz w:val="28"/>
          <w:lang w:eastAsia="en-GB"/>
        </w:rPr>
        <w:drawing>
          <wp:anchor distT="0" distB="0" distL="114300" distR="114300" simplePos="0" relativeHeight="251985920" behindDoc="0" locked="0" layoutInCell="1" allowOverlap="1" wp14:anchorId="67533B31" wp14:editId="57A6E527">
            <wp:simplePos x="0" y="0"/>
            <wp:positionH relativeFrom="margin">
              <wp:posOffset>-43180</wp:posOffset>
            </wp:positionH>
            <wp:positionV relativeFrom="paragraph">
              <wp:posOffset>402590</wp:posOffset>
            </wp:positionV>
            <wp:extent cx="5224780" cy="3048000"/>
            <wp:effectExtent l="0" t="0" r="0" b="0"/>
            <wp:wrapTopAndBottom/>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extLst>
                        <a:ext uri="{28A0092B-C50C-407E-A947-70E740481C1C}">
                          <a14:useLocalDpi xmlns:a14="http://schemas.microsoft.com/office/drawing/2010/main" val="0"/>
                        </a:ext>
                      </a:extLst>
                    </a:blip>
                    <a:srcRect l="29666" t="37261" r="28536" b="19382"/>
                    <a:stretch/>
                  </pic:blipFill>
                  <pic:spPr bwMode="auto">
                    <a:xfrm>
                      <a:off x="0" y="0"/>
                      <a:ext cx="522478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FEEEE" w14:textId="77777777" w:rsidR="00662CE3" w:rsidRPr="003726FE" w:rsidRDefault="00662CE3" w:rsidP="00662CE3">
      <w:pPr>
        <w:rPr>
          <w:sz w:val="28"/>
        </w:rPr>
      </w:pPr>
    </w:p>
    <w:p w14:paraId="27EE1174" w14:textId="77777777" w:rsidR="00662CE3" w:rsidRPr="003726FE" w:rsidRDefault="00662CE3" w:rsidP="004110DF">
      <w:pPr>
        <w:pStyle w:val="Normal1"/>
        <w:rPr>
          <w:lang w:val="en-GB"/>
        </w:rPr>
      </w:pPr>
    </w:p>
    <w:p w14:paraId="0A79017F" w14:textId="77777777" w:rsidR="00662CE3" w:rsidRPr="003726FE" w:rsidRDefault="00662CE3" w:rsidP="00662CE3">
      <w:pPr>
        <w:tabs>
          <w:tab w:val="right" w:pos="9922"/>
        </w:tabs>
        <w:spacing w:line="240" w:lineRule="auto"/>
        <w:rPr>
          <w:rFonts w:ascii="TUOS Blake" w:hAnsi="TUOS Blake"/>
          <w:b/>
          <w:color w:val="222222"/>
          <w:szCs w:val="19"/>
          <w:shd w:val="clear" w:color="auto" w:fill="FFFFFF"/>
        </w:rPr>
      </w:pPr>
    </w:p>
    <w:p w14:paraId="390EA582" w14:textId="77777777" w:rsidR="004110DF" w:rsidRPr="003726FE" w:rsidRDefault="004110DF"/>
    <w:p w14:paraId="1CA6B4CE" w14:textId="77777777" w:rsidR="0045217A" w:rsidRPr="003726FE" w:rsidRDefault="0045217A">
      <w:r w:rsidRPr="003726FE">
        <w:br w:type="page"/>
      </w:r>
    </w:p>
    <w:p w14:paraId="1E36CFCF" w14:textId="19E629FE" w:rsidR="004110DF" w:rsidRPr="003726FE" w:rsidRDefault="004110DF" w:rsidP="004110DF">
      <w:pPr>
        <w:rPr>
          <w:rFonts w:cs="Times New Roman"/>
          <w:b/>
          <w:color w:val="222222"/>
          <w:szCs w:val="19"/>
          <w:shd w:val="clear" w:color="auto" w:fill="FFFFFF"/>
        </w:rPr>
      </w:pPr>
      <w:r w:rsidRPr="003726FE">
        <w:rPr>
          <w:rFonts w:cs="Times New Roman"/>
          <w:b/>
          <w:color w:val="222222"/>
          <w:szCs w:val="19"/>
          <w:shd w:val="clear" w:color="auto" w:fill="FFFFFF"/>
        </w:rPr>
        <w:lastRenderedPageBreak/>
        <w:t>Sample interview recruitment email</w:t>
      </w:r>
    </w:p>
    <w:p w14:paraId="37CEF6FD" w14:textId="77777777" w:rsidR="004110DF" w:rsidRPr="003726FE" w:rsidRDefault="004110DF" w:rsidP="004110DF">
      <w:pPr>
        <w:rPr>
          <w:rFonts w:ascii="Arial" w:hAnsi="Arial" w:cs="Arial"/>
          <w:color w:val="222222"/>
          <w:sz w:val="19"/>
          <w:szCs w:val="19"/>
          <w:shd w:val="clear" w:color="auto" w:fill="FFFFFF"/>
        </w:rPr>
      </w:pPr>
    </w:p>
    <w:p w14:paraId="00571A2A" w14:textId="77777777" w:rsidR="004110DF" w:rsidRPr="003726FE" w:rsidRDefault="004110DF" w:rsidP="004110DF">
      <w:r w:rsidRPr="003726FE">
        <w:rPr>
          <w:rFonts w:ascii="Arial" w:hAnsi="Arial" w:cs="Arial"/>
          <w:color w:val="222222"/>
          <w:sz w:val="19"/>
          <w:szCs w:val="19"/>
          <w:shd w:val="clear" w:color="auto" w:fill="FFFFFF"/>
        </w:rPr>
        <w:t>Hello,</w:t>
      </w:r>
    </w:p>
    <w:p w14:paraId="28937D40" w14:textId="77777777" w:rsidR="004110DF" w:rsidRPr="003726FE" w:rsidRDefault="004110DF" w:rsidP="004110DF">
      <w:pPr>
        <w:shd w:val="clear" w:color="auto" w:fill="FFFFFF"/>
        <w:rPr>
          <w:rFonts w:ascii="Arial" w:hAnsi="Arial" w:cs="Arial"/>
          <w:color w:val="222222"/>
          <w:sz w:val="19"/>
          <w:szCs w:val="19"/>
        </w:rPr>
      </w:pPr>
    </w:p>
    <w:p w14:paraId="3D38B860" w14:textId="5E145AA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I hope you're enjoying your second placement at the *hospital* so far. As I mentioned in my email to you last week, I am looking to do individual </w:t>
      </w:r>
      <w:r w:rsidRPr="003726FE">
        <w:rPr>
          <w:rStyle w:val="il"/>
          <w:rFonts w:ascii="Arial" w:hAnsi="Arial" w:cs="Arial"/>
          <w:b/>
          <w:bCs/>
          <w:color w:val="222222"/>
          <w:sz w:val="19"/>
          <w:szCs w:val="19"/>
        </w:rPr>
        <w:t>interviews</w:t>
      </w:r>
      <w:r w:rsidRPr="003726FE">
        <w:rPr>
          <w:rFonts w:ascii="Arial" w:hAnsi="Arial" w:cs="Arial"/>
          <w:b/>
          <w:bCs/>
          <w:color w:val="222222"/>
          <w:sz w:val="19"/>
          <w:szCs w:val="19"/>
        </w:rPr>
        <w:t> next week (12/09-16/09) </w:t>
      </w:r>
      <w:r w:rsidRPr="003726FE">
        <w:rPr>
          <w:rFonts w:ascii="Arial" w:hAnsi="Arial" w:cs="Arial"/>
          <w:color w:val="222222"/>
          <w:sz w:val="19"/>
          <w:szCs w:val="19"/>
        </w:rPr>
        <w:t>to explore how you use learning and working strategies whilst on placement.</w:t>
      </w:r>
    </w:p>
    <w:p w14:paraId="4405FE9C" w14:textId="77777777" w:rsidR="004110DF" w:rsidRPr="003726FE" w:rsidRDefault="004110DF" w:rsidP="004110DF">
      <w:pPr>
        <w:shd w:val="clear" w:color="auto" w:fill="FFFFFF"/>
        <w:rPr>
          <w:rFonts w:ascii="Arial" w:hAnsi="Arial" w:cs="Arial"/>
          <w:color w:val="222222"/>
          <w:sz w:val="19"/>
          <w:szCs w:val="19"/>
        </w:rPr>
      </w:pPr>
    </w:p>
    <w:p w14:paraId="3505884E"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Depending on your ward/department/hospital you will no doubt be doing lots of different things compared to your colleagues. I want to understand the thought processes behind what you do on a typical placement day (even if your activities are structured by others). </w:t>
      </w:r>
    </w:p>
    <w:p w14:paraId="304AE5D0" w14:textId="77777777" w:rsidR="004110DF" w:rsidRPr="003726FE" w:rsidRDefault="004110DF" w:rsidP="004110DF">
      <w:pPr>
        <w:shd w:val="clear" w:color="auto" w:fill="FFFFFF"/>
        <w:rPr>
          <w:rFonts w:ascii="Arial" w:hAnsi="Arial" w:cs="Arial"/>
          <w:color w:val="222222"/>
          <w:sz w:val="19"/>
          <w:szCs w:val="19"/>
        </w:rPr>
      </w:pPr>
    </w:p>
    <w:p w14:paraId="445F2F5C" w14:textId="57EABBEF"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Apart from the actual 45 min </w:t>
      </w:r>
      <w:r w:rsidRPr="003726FE">
        <w:rPr>
          <w:rStyle w:val="il"/>
          <w:rFonts w:ascii="Arial" w:hAnsi="Arial" w:cs="Arial"/>
          <w:color w:val="222222"/>
          <w:sz w:val="19"/>
          <w:szCs w:val="19"/>
        </w:rPr>
        <w:t>interview</w:t>
      </w:r>
      <w:r w:rsidRPr="003726FE">
        <w:rPr>
          <w:rFonts w:ascii="Arial" w:hAnsi="Arial" w:cs="Arial"/>
          <w:color w:val="222222"/>
          <w:sz w:val="19"/>
          <w:szCs w:val="19"/>
        </w:rPr>
        <w:t> itself, all you would have to do is fill in a simple </w:t>
      </w:r>
      <w:r w:rsidRPr="003726FE">
        <w:rPr>
          <w:rFonts w:ascii="Arial" w:hAnsi="Arial" w:cs="Arial"/>
          <w:b/>
          <w:bCs/>
          <w:color w:val="222222"/>
          <w:sz w:val="19"/>
          <w:szCs w:val="19"/>
        </w:rPr>
        <w:t>One-Day Diary via an easy-to-use google form</w:t>
      </w:r>
      <w:r w:rsidRPr="003726FE">
        <w:rPr>
          <w:rFonts w:ascii="Arial" w:hAnsi="Arial" w:cs="Arial"/>
          <w:color w:val="222222"/>
          <w:sz w:val="19"/>
          <w:szCs w:val="19"/>
        </w:rPr>
        <w:t>. I will send this to you when we have a date and time set with more info. In total, it's about an hour of your time. As you are in the *hospital*, I can come to you in the hospital, or we can meet somewhere else that suits you.</w:t>
      </w:r>
    </w:p>
    <w:p w14:paraId="12A8AB40" w14:textId="77777777" w:rsidR="004110DF" w:rsidRPr="003726FE" w:rsidRDefault="004110DF" w:rsidP="004110DF">
      <w:pPr>
        <w:shd w:val="clear" w:color="auto" w:fill="FFFFFF"/>
        <w:rPr>
          <w:rFonts w:ascii="Arial" w:hAnsi="Arial" w:cs="Arial"/>
          <w:color w:val="222222"/>
          <w:sz w:val="19"/>
          <w:szCs w:val="19"/>
        </w:rPr>
      </w:pPr>
    </w:p>
    <w:p w14:paraId="6BBE6D05"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If you would be happy to do this, please give the info sheet a read and </w:t>
      </w:r>
      <w:r w:rsidRPr="003726FE">
        <w:rPr>
          <w:rFonts w:ascii="Arial" w:hAnsi="Arial" w:cs="Arial"/>
          <w:b/>
          <w:bCs/>
          <w:color w:val="222222"/>
          <w:sz w:val="19"/>
          <w:szCs w:val="19"/>
        </w:rPr>
        <w:t>select a day and time next week</w:t>
      </w:r>
      <w:r w:rsidRPr="003726FE">
        <w:rPr>
          <w:rFonts w:ascii="Arial" w:hAnsi="Arial" w:cs="Arial"/>
          <w:color w:val="222222"/>
          <w:sz w:val="19"/>
          <w:szCs w:val="19"/>
        </w:rPr>
        <w:t> which is best for you from the doodle poll link below. I will then send you the google form with the diary and some further guidance.</w:t>
      </w:r>
    </w:p>
    <w:p w14:paraId="0369508E" w14:textId="77777777" w:rsidR="004110DF" w:rsidRPr="003726FE" w:rsidRDefault="004110DF" w:rsidP="004110DF">
      <w:pPr>
        <w:shd w:val="clear" w:color="auto" w:fill="FFFFFF"/>
        <w:rPr>
          <w:rFonts w:ascii="Arial" w:hAnsi="Arial" w:cs="Arial"/>
          <w:color w:val="222222"/>
          <w:sz w:val="19"/>
          <w:szCs w:val="19"/>
        </w:rPr>
      </w:pPr>
    </w:p>
    <w:p w14:paraId="7A441540" w14:textId="77777777" w:rsidR="004110DF" w:rsidRPr="003726FE" w:rsidRDefault="000532E2" w:rsidP="004110DF">
      <w:pPr>
        <w:shd w:val="clear" w:color="auto" w:fill="FFFFFF"/>
        <w:rPr>
          <w:rFonts w:ascii="Arial" w:hAnsi="Arial" w:cs="Arial"/>
          <w:color w:val="222222"/>
          <w:sz w:val="19"/>
          <w:szCs w:val="19"/>
        </w:rPr>
      </w:pPr>
      <w:hyperlink r:id="rId140" w:tgtFrame="_blank" w:history="1">
        <w:r w:rsidR="004110DF" w:rsidRPr="003726FE">
          <w:rPr>
            <w:rStyle w:val="Hyperlink"/>
            <w:rFonts w:ascii="Arial" w:hAnsi="Arial" w:cs="Arial"/>
            <w:color w:val="0055BB"/>
            <w:sz w:val="22"/>
          </w:rPr>
          <w:t>http://doodle.com/poll/d5y2skwtt4izzdyr</w:t>
        </w:r>
      </w:hyperlink>
    </w:p>
    <w:p w14:paraId="20F024E6" w14:textId="77777777" w:rsidR="004110DF" w:rsidRPr="003726FE" w:rsidRDefault="004110DF" w:rsidP="004110DF">
      <w:pPr>
        <w:shd w:val="clear" w:color="auto" w:fill="FFFFFF"/>
        <w:rPr>
          <w:rFonts w:ascii="Arial" w:hAnsi="Arial" w:cs="Arial"/>
          <w:color w:val="222222"/>
          <w:sz w:val="19"/>
          <w:szCs w:val="19"/>
        </w:rPr>
      </w:pPr>
    </w:p>
    <w:p w14:paraId="37C44DB8"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If you are not available next week I will be sending another poll around while you are on CA3.</w:t>
      </w:r>
    </w:p>
    <w:p w14:paraId="00E64E3C" w14:textId="77777777" w:rsidR="004110DF" w:rsidRPr="003726FE" w:rsidRDefault="004110DF" w:rsidP="004110DF">
      <w:pPr>
        <w:shd w:val="clear" w:color="auto" w:fill="FFFFFF"/>
        <w:rPr>
          <w:rFonts w:ascii="Arial" w:hAnsi="Arial" w:cs="Arial"/>
          <w:color w:val="222222"/>
          <w:sz w:val="19"/>
          <w:szCs w:val="19"/>
        </w:rPr>
      </w:pPr>
    </w:p>
    <w:p w14:paraId="1E5404BA"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Your placement supervisors are aware of the project so don't worry about getting in trouble for running off for an hour!</w:t>
      </w:r>
    </w:p>
    <w:p w14:paraId="18461E81" w14:textId="77777777" w:rsidR="004110DF" w:rsidRPr="003726FE" w:rsidRDefault="004110DF" w:rsidP="004110DF">
      <w:pPr>
        <w:shd w:val="clear" w:color="auto" w:fill="FFFFFF"/>
        <w:rPr>
          <w:rFonts w:ascii="Arial" w:hAnsi="Arial" w:cs="Arial"/>
          <w:color w:val="222222"/>
          <w:sz w:val="19"/>
          <w:szCs w:val="19"/>
        </w:rPr>
      </w:pPr>
    </w:p>
    <w:p w14:paraId="550CEC0E"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Best wishes,</w:t>
      </w:r>
    </w:p>
    <w:p w14:paraId="6BC8A538" w14:textId="77777777" w:rsidR="004110DF" w:rsidRPr="003726FE" w:rsidRDefault="004110DF" w:rsidP="004110DF">
      <w:pPr>
        <w:shd w:val="clear" w:color="auto" w:fill="FFFFFF"/>
        <w:rPr>
          <w:rFonts w:ascii="Arial" w:hAnsi="Arial" w:cs="Arial"/>
          <w:color w:val="222222"/>
          <w:sz w:val="19"/>
          <w:szCs w:val="19"/>
        </w:rPr>
      </w:pPr>
    </w:p>
    <w:p w14:paraId="0B774C7C"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Billy Bryan</w:t>
      </w:r>
    </w:p>
    <w:p w14:paraId="7ABDDD54" w14:textId="77777777" w:rsidR="004110DF" w:rsidRPr="003726FE" w:rsidRDefault="004110DF" w:rsidP="004110DF">
      <w:pPr>
        <w:shd w:val="clear" w:color="auto" w:fill="FFFFFF"/>
        <w:rPr>
          <w:rFonts w:ascii="Arial" w:hAnsi="Arial" w:cs="Arial"/>
          <w:color w:val="222222"/>
          <w:sz w:val="19"/>
          <w:szCs w:val="19"/>
        </w:rPr>
      </w:pPr>
    </w:p>
    <w:p w14:paraId="60E0C6C4" w14:textId="77777777" w:rsidR="004110DF" w:rsidRPr="003726FE" w:rsidRDefault="000532E2" w:rsidP="004110DF">
      <w:pPr>
        <w:shd w:val="clear" w:color="auto" w:fill="FFFFFF"/>
        <w:rPr>
          <w:rFonts w:ascii="Arial" w:hAnsi="Arial" w:cs="Arial"/>
          <w:color w:val="222222"/>
          <w:sz w:val="19"/>
          <w:szCs w:val="19"/>
        </w:rPr>
      </w:pPr>
      <w:hyperlink r:id="rId141" w:tgtFrame="_blank" w:history="1">
        <w:r w:rsidR="004110DF" w:rsidRPr="003726FE">
          <w:rPr>
            <w:rStyle w:val="Hyperlink"/>
            <w:rFonts w:ascii="Arial" w:hAnsi="Arial" w:cs="Arial"/>
            <w:color w:val="1155CC"/>
            <w:sz w:val="19"/>
            <w:szCs w:val="19"/>
          </w:rPr>
          <w:t>PhD Student - Medical Education</w:t>
        </w:r>
      </w:hyperlink>
    </w:p>
    <w:p w14:paraId="2A3632BC" w14:textId="77777777" w:rsidR="004110DF" w:rsidRPr="003726FE" w:rsidRDefault="000532E2" w:rsidP="004110DF">
      <w:pPr>
        <w:shd w:val="clear" w:color="auto" w:fill="FFFFFF"/>
        <w:rPr>
          <w:rFonts w:ascii="Arial" w:hAnsi="Arial" w:cs="Arial"/>
          <w:color w:val="222222"/>
          <w:sz w:val="19"/>
          <w:szCs w:val="19"/>
        </w:rPr>
      </w:pPr>
      <w:hyperlink r:id="rId142" w:tgtFrame="_blank" w:history="1">
        <w:r w:rsidR="004110DF" w:rsidRPr="003726FE">
          <w:rPr>
            <w:rStyle w:val="Hyperlink"/>
            <w:rFonts w:ascii="Arial" w:hAnsi="Arial" w:cs="Arial"/>
            <w:color w:val="1155CC"/>
            <w:sz w:val="19"/>
            <w:szCs w:val="19"/>
          </w:rPr>
          <w:t>Students' Union Trustee</w:t>
        </w:r>
      </w:hyperlink>
      <w:r w:rsidR="004110DF" w:rsidRPr="003726FE">
        <w:rPr>
          <w:rFonts w:ascii="Arial" w:hAnsi="Arial" w:cs="Arial"/>
          <w:color w:val="222222"/>
          <w:sz w:val="19"/>
          <w:szCs w:val="19"/>
        </w:rPr>
        <w:t> &amp; PGR Councillor</w:t>
      </w:r>
      <w:r w:rsidR="004110DF" w:rsidRPr="003726FE">
        <w:rPr>
          <w:rFonts w:ascii="Arial" w:hAnsi="Arial" w:cs="Arial"/>
          <w:color w:val="222222"/>
          <w:sz w:val="19"/>
          <w:szCs w:val="19"/>
        </w:rPr>
        <w:br/>
      </w:r>
      <w:hyperlink r:id="rId143" w:tgtFrame="_blank" w:history="1">
        <w:r w:rsidR="004110DF" w:rsidRPr="003726FE">
          <w:rPr>
            <w:rStyle w:val="Hyperlink"/>
            <w:rFonts w:ascii="Arial" w:hAnsi="Arial" w:cs="Arial"/>
            <w:color w:val="1155CC"/>
            <w:sz w:val="19"/>
            <w:szCs w:val="19"/>
          </w:rPr>
          <w:t>Medical PG Society</w:t>
        </w:r>
      </w:hyperlink>
    </w:p>
    <w:p w14:paraId="3D9F856F" w14:textId="77777777" w:rsidR="004110DF" w:rsidRPr="003726FE" w:rsidRDefault="000532E2" w:rsidP="004110DF">
      <w:hyperlink r:id="rId144" w:tgtFrame="_blank" w:history="1">
        <w:r w:rsidR="004110DF" w:rsidRPr="003726FE">
          <w:rPr>
            <w:rStyle w:val="Hyperlink"/>
            <w:rFonts w:ascii="Arial" w:hAnsi="Arial" w:cs="Arial"/>
            <w:color w:val="1155CC"/>
            <w:sz w:val="19"/>
            <w:szCs w:val="19"/>
          </w:rPr>
          <w:t>Postgraduate Careers and Employability Officer</w:t>
        </w:r>
      </w:hyperlink>
      <w:r w:rsidR="00662CE3" w:rsidRPr="003726FE">
        <w:br w:type="page"/>
      </w:r>
    </w:p>
    <w:p w14:paraId="01F02CF8" w14:textId="0CC08BDB" w:rsidR="004110DF" w:rsidRPr="003726FE" w:rsidRDefault="004110DF" w:rsidP="004110DF">
      <w:pPr>
        <w:rPr>
          <w:rFonts w:cs="Times New Roman"/>
          <w:b/>
          <w:color w:val="222222"/>
          <w:szCs w:val="19"/>
          <w:shd w:val="clear" w:color="auto" w:fill="FFFFFF"/>
        </w:rPr>
      </w:pPr>
      <w:r w:rsidRPr="003726FE">
        <w:rPr>
          <w:rFonts w:cs="Times New Roman"/>
          <w:b/>
          <w:color w:val="222222"/>
          <w:szCs w:val="19"/>
          <w:shd w:val="clear" w:color="auto" w:fill="FFFFFF"/>
        </w:rPr>
        <w:lastRenderedPageBreak/>
        <w:t>Sample confirmation email and sending of resources</w:t>
      </w:r>
    </w:p>
    <w:p w14:paraId="75F9D72B" w14:textId="77777777" w:rsidR="004110DF" w:rsidRPr="003726FE" w:rsidRDefault="004110DF" w:rsidP="004110DF">
      <w:pPr>
        <w:rPr>
          <w:rFonts w:ascii="Arial" w:hAnsi="Arial" w:cs="Arial"/>
          <w:color w:val="222222"/>
          <w:sz w:val="19"/>
          <w:szCs w:val="19"/>
          <w:shd w:val="clear" w:color="auto" w:fill="FFFFFF"/>
        </w:rPr>
      </w:pPr>
    </w:p>
    <w:p w14:paraId="3769B75E" w14:textId="2BCED6AE" w:rsidR="004110DF" w:rsidRPr="003726FE" w:rsidRDefault="004110DF" w:rsidP="004110DF">
      <w:r w:rsidRPr="003726FE">
        <w:rPr>
          <w:rFonts w:ascii="Arial" w:hAnsi="Arial" w:cs="Arial"/>
          <w:color w:val="222222"/>
          <w:sz w:val="19"/>
          <w:szCs w:val="19"/>
          <w:shd w:val="clear" w:color="auto" w:fill="FFFFFF"/>
        </w:rPr>
        <w:t>Hello *student name*,</w:t>
      </w:r>
    </w:p>
    <w:p w14:paraId="6DAC6C2F" w14:textId="77777777" w:rsidR="004110DF" w:rsidRPr="003726FE" w:rsidRDefault="004110DF" w:rsidP="004110DF">
      <w:pPr>
        <w:shd w:val="clear" w:color="auto" w:fill="FFFFFF"/>
        <w:rPr>
          <w:rFonts w:ascii="Arial" w:hAnsi="Arial" w:cs="Arial"/>
          <w:color w:val="222222"/>
          <w:sz w:val="19"/>
          <w:szCs w:val="19"/>
        </w:rPr>
      </w:pPr>
    </w:p>
    <w:p w14:paraId="0ABF3B84" w14:textId="1623AA26"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Thank you for letting me know your availability. I can confirm that our </w:t>
      </w:r>
      <w:r w:rsidRPr="003726FE">
        <w:rPr>
          <w:rStyle w:val="il"/>
          <w:rFonts w:ascii="Arial" w:hAnsi="Arial" w:cs="Arial"/>
          <w:color w:val="222222"/>
          <w:sz w:val="19"/>
          <w:szCs w:val="19"/>
        </w:rPr>
        <w:t>interview</w:t>
      </w:r>
      <w:r w:rsidRPr="003726FE">
        <w:rPr>
          <w:rFonts w:ascii="Arial" w:hAnsi="Arial" w:cs="Arial"/>
          <w:color w:val="222222"/>
          <w:sz w:val="19"/>
          <w:szCs w:val="19"/>
        </w:rPr>
        <w:t> will be </w:t>
      </w:r>
      <w:r w:rsidRPr="003726FE">
        <w:rPr>
          <w:rFonts w:ascii="Arial" w:hAnsi="Arial" w:cs="Arial"/>
          <w:b/>
          <w:bCs/>
          <w:color w:val="222222"/>
          <w:sz w:val="19"/>
          <w:szCs w:val="19"/>
        </w:rPr>
        <w:t>3pm-4pm on Monday 12/09 at the *interview location*</w:t>
      </w:r>
      <w:r w:rsidRPr="003726FE">
        <w:rPr>
          <w:rFonts w:ascii="Arial" w:hAnsi="Arial" w:cs="Arial"/>
          <w:color w:val="222222"/>
          <w:sz w:val="19"/>
          <w:szCs w:val="19"/>
        </w:rPr>
        <w:t>. Please make your way to reception and I will meet you there.</w:t>
      </w:r>
    </w:p>
    <w:p w14:paraId="655AF4EB" w14:textId="77777777" w:rsidR="004110DF" w:rsidRPr="003726FE" w:rsidRDefault="004110DF" w:rsidP="004110DF">
      <w:pPr>
        <w:shd w:val="clear" w:color="auto" w:fill="FFFFFF"/>
        <w:rPr>
          <w:rFonts w:ascii="Arial" w:hAnsi="Arial" w:cs="Arial"/>
          <w:color w:val="222222"/>
          <w:sz w:val="19"/>
          <w:szCs w:val="19"/>
        </w:rPr>
      </w:pPr>
    </w:p>
    <w:p w14:paraId="6D72BD86"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Please complete the one-day diary before our </w:t>
      </w:r>
      <w:r w:rsidRPr="003726FE">
        <w:rPr>
          <w:rStyle w:val="il"/>
          <w:rFonts w:ascii="Arial" w:hAnsi="Arial" w:cs="Arial"/>
          <w:color w:val="222222"/>
          <w:sz w:val="19"/>
          <w:szCs w:val="19"/>
        </w:rPr>
        <w:t>interview</w:t>
      </w:r>
      <w:r w:rsidRPr="003726FE">
        <w:rPr>
          <w:rFonts w:ascii="Arial" w:hAnsi="Arial" w:cs="Arial"/>
          <w:color w:val="222222"/>
          <w:sz w:val="19"/>
          <w:szCs w:val="19"/>
        </w:rPr>
        <w:t> by accessing it here: </w:t>
      </w:r>
      <w:hyperlink r:id="rId145" w:tgtFrame="_blank" w:history="1">
        <w:r w:rsidRPr="003726FE">
          <w:rPr>
            <w:rStyle w:val="Hyperlink"/>
            <w:rFonts w:ascii="Arial" w:hAnsi="Arial" w:cs="Arial"/>
            <w:color w:val="1155CC"/>
            <w:sz w:val="19"/>
            <w:szCs w:val="19"/>
          </w:rPr>
          <w:t>https://goo.gl/forms/0SJVDdTI6WscxT4p2</w:t>
        </w:r>
      </w:hyperlink>
      <w:r w:rsidRPr="003726FE">
        <w:rPr>
          <w:rFonts w:ascii="Arial" w:hAnsi="Arial" w:cs="Arial"/>
          <w:color w:val="222222"/>
          <w:sz w:val="19"/>
          <w:szCs w:val="19"/>
        </w:rPr>
        <w:t> </w:t>
      </w:r>
    </w:p>
    <w:p w14:paraId="65DDBBEF" w14:textId="77777777" w:rsidR="004110DF" w:rsidRPr="003726FE" w:rsidRDefault="004110DF" w:rsidP="004110DF">
      <w:pPr>
        <w:shd w:val="clear" w:color="auto" w:fill="FFFFFF"/>
        <w:rPr>
          <w:rFonts w:ascii="Arial" w:hAnsi="Arial" w:cs="Arial"/>
          <w:color w:val="222222"/>
          <w:sz w:val="19"/>
          <w:szCs w:val="19"/>
        </w:rPr>
      </w:pPr>
    </w:p>
    <w:p w14:paraId="067F9C37"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As we are meeting on Monday, I would recommend that you use the diary to record today's or tomorrow's events on placement. If you have any questions please let me know.</w:t>
      </w:r>
    </w:p>
    <w:p w14:paraId="68989C08" w14:textId="77777777" w:rsidR="004110DF" w:rsidRPr="003726FE" w:rsidRDefault="004110DF" w:rsidP="004110DF">
      <w:pPr>
        <w:shd w:val="clear" w:color="auto" w:fill="FFFFFF"/>
        <w:rPr>
          <w:rFonts w:ascii="Arial" w:hAnsi="Arial" w:cs="Arial"/>
          <w:color w:val="222222"/>
          <w:sz w:val="19"/>
          <w:szCs w:val="19"/>
        </w:rPr>
      </w:pPr>
    </w:p>
    <w:p w14:paraId="41A6C5A2"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Thank you very much, see you there!</w:t>
      </w:r>
    </w:p>
    <w:p w14:paraId="35F8B2D1" w14:textId="77777777" w:rsidR="004110DF" w:rsidRPr="003726FE" w:rsidRDefault="004110DF" w:rsidP="004110DF">
      <w:pPr>
        <w:shd w:val="clear" w:color="auto" w:fill="FFFFFF"/>
        <w:rPr>
          <w:rFonts w:ascii="Arial" w:hAnsi="Arial" w:cs="Arial"/>
          <w:color w:val="222222"/>
          <w:sz w:val="19"/>
          <w:szCs w:val="19"/>
        </w:rPr>
      </w:pPr>
    </w:p>
    <w:p w14:paraId="20F0C309"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Best wishes,</w:t>
      </w:r>
    </w:p>
    <w:p w14:paraId="4F76F235" w14:textId="77777777" w:rsidR="004110DF" w:rsidRPr="003726FE" w:rsidRDefault="004110DF" w:rsidP="004110DF">
      <w:pPr>
        <w:shd w:val="clear" w:color="auto" w:fill="FFFFFF"/>
        <w:rPr>
          <w:rFonts w:ascii="Arial" w:hAnsi="Arial" w:cs="Arial"/>
          <w:color w:val="222222"/>
          <w:sz w:val="19"/>
          <w:szCs w:val="19"/>
        </w:rPr>
      </w:pPr>
    </w:p>
    <w:p w14:paraId="2136AF1A" w14:textId="77777777" w:rsidR="004110DF" w:rsidRPr="003726FE" w:rsidRDefault="004110DF" w:rsidP="004110DF">
      <w:pPr>
        <w:shd w:val="clear" w:color="auto" w:fill="FFFFFF"/>
        <w:rPr>
          <w:rFonts w:ascii="Arial" w:hAnsi="Arial" w:cs="Arial"/>
          <w:color w:val="222222"/>
          <w:sz w:val="19"/>
          <w:szCs w:val="19"/>
        </w:rPr>
      </w:pPr>
      <w:r w:rsidRPr="003726FE">
        <w:rPr>
          <w:rFonts w:ascii="Arial" w:hAnsi="Arial" w:cs="Arial"/>
          <w:color w:val="222222"/>
          <w:sz w:val="19"/>
          <w:szCs w:val="19"/>
        </w:rPr>
        <w:t>Billy Bryan</w:t>
      </w:r>
    </w:p>
    <w:p w14:paraId="49E835BD" w14:textId="77777777" w:rsidR="004110DF" w:rsidRPr="003726FE" w:rsidRDefault="004110DF" w:rsidP="004110DF">
      <w:pPr>
        <w:shd w:val="clear" w:color="auto" w:fill="FFFFFF"/>
        <w:rPr>
          <w:rFonts w:ascii="Arial" w:hAnsi="Arial" w:cs="Arial"/>
          <w:color w:val="222222"/>
          <w:sz w:val="19"/>
          <w:szCs w:val="19"/>
        </w:rPr>
      </w:pPr>
    </w:p>
    <w:p w14:paraId="6C625D76" w14:textId="77777777" w:rsidR="004110DF" w:rsidRPr="003726FE" w:rsidRDefault="000532E2" w:rsidP="004110DF">
      <w:pPr>
        <w:shd w:val="clear" w:color="auto" w:fill="FFFFFF"/>
        <w:rPr>
          <w:rFonts w:ascii="Arial" w:hAnsi="Arial" w:cs="Arial"/>
          <w:color w:val="222222"/>
          <w:sz w:val="19"/>
          <w:szCs w:val="19"/>
        </w:rPr>
      </w:pPr>
      <w:hyperlink r:id="rId146" w:tgtFrame="_blank" w:history="1">
        <w:r w:rsidR="004110DF" w:rsidRPr="003726FE">
          <w:rPr>
            <w:rStyle w:val="Hyperlink"/>
            <w:rFonts w:ascii="Arial" w:hAnsi="Arial" w:cs="Arial"/>
            <w:color w:val="1155CC"/>
            <w:sz w:val="19"/>
            <w:szCs w:val="19"/>
          </w:rPr>
          <w:t>PhD Student - Medical Education</w:t>
        </w:r>
      </w:hyperlink>
    </w:p>
    <w:p w14:paraId="14A874DA" w14:textId="77777777" w:rsidR="004110DF" w:rsidRPr="003726FE" w:rsidRDefault="000532E2" w:rsidP="004110DF">
      <w:pPr>
        <w:shd w:val="clear" w:color="auto" w:fill="FFFFFF"/>
        <w:rPr>
          <w:rFonts w:ascii="Arial" w:hAnsi="Arial" w:cs="Arial"/>
          <w:color w:val="222222"/>
          <w:sz w:val="19"/>
          <w:szCs w:val="19"/>
        </w:rPr>
      </w:pPr>
      <w:hyperlink r:id="rId147" w:tgtFrame="_blank" w:history="1">
        <w:r w:rsidR="004110DF" w:rsidRPr="003726FE">
          <w:rPr>
            <w:rStyle w:val="Hyperlink"/>
            <w:rFonts w:ascii="Arial" w:hAnsi="Arial" w:cs="Arial"/>
            <w:color w:val="1155CC"/>
            <w:sz w:val="19"/>
            <w:szCs w:val="19"/>
          </w:rPr>
          <w:t>Students' Union Trustee</w:t>
        </w:r>
      </w:hyperlink>
      <w:r w:rsidR="004110DF" w:rsidRPr="003726FE">
        <w:rPr>
          <w:rFonts w:ascii="Arial" w:hAnsi="Arial" w:cs="Arial"/>
          <w:color w:val="222222"/>
          <w:sz w:val="19"/>
          <w:szCs w:val="19"/>
        </w:rPr>
        <w:t> &amp; PGR Councillor</w:t>
      </w:r>
      <w:r w:rsidR="004110DF" w:rsidRPr="003726FE">
        <w:rPr>
          <w:rFonts w:ascii="Arial" w:hAnsi="Arial" w:cs="Arial"/>
          <w:color w:val="222222"/>
          <w:sz w:val="19"/>
          <w:szCs w:val="19"/>
        </w:rPr>
        <w:br/>
      </w:r>
      <w:hyperlink r:id="rId148" w:tgtFrame="_blank" w:history="1">
        <w:r w:rsidR="004110DF" w:rsidRPr="003726FE">
          <w:rPr>
            <w:rStyle w:val="Hyperlink"/>
            <w:rFonts w:ascii="Arial" w:hAnsi="Arial" w:cs="Arial"/>
            <w:color w:val="1155CC"/>
            <w:sz w:val="19"/>
            <w:szCs w:val="19"/>
          </w:rPr>
          <w:t>Medical PG Society</w:t>
        </w:r>
      </w:hyperlink>
    </w:p>
    <w:p w14:paraId="1D9781C6" w14:textId="77777777" w:rsidR="004110DF" w:rsidRPr="003726FE" w:rsidRDefault="000532E2" w:rsidP="004110DF">
      <w:pPr>
        <w:shd w:val="clear" w:color="auto" w:fill="FFFFFF"/>
        <w:rPr>
          <w:rFonts w:ascii="Arial" w:hAnsi="Arial" w:cs="Arial"/>
          <w:color w:val="222222"/>
          <w:sz w:val="19"/>
          <w:szCs w:val="19"/>
        </w:rPr>
      </w:pPr>
      <w:hyperlink r:id="rId149" w:tgtFrame="_blank" w:history="1">
        <w:r w:rsidR="004110DF" w:rsidRPr="003726FE">
          <w:rPr>
            <w:rStyle w:val="Hyperlink"/>
            <w:rFonts w:ascii="Arial" w:hAnsi="Arial" w:cs="Arial"/>
            <w:color w:val="1155CC"/>
            <w:sz w:val="19"/>
            <w:szCs w:val="19"/>
          </w:rPr>
          <w:t>Postgraduate Careers and Employability Officer</w:t>
        </w:r>
      </w:hyperlink>
    </w:p>
    <w:p w14:paraId="32EE56BF" w14:textId="77777777" w:rsidR="004110DF" w:rsidRPr="003726FE" w:rsidRDefault="004110DF">
      <w:r w:rsidRPr="003726FE">
        <w:br w:type="page"/>
      </w:r>
    </w:p>
    <w:p w14:paraId="467C85CB" w14:textId="10DE6D56" w:rsidR="004110DF" w:rsidRPr="003726FE" w:rsidRDefault="008A4137" w:rsidP="00BF5646">
      <w:pPr>
        <w:tabs>
          <w:tab w:val="right" w:pos="9922"/>
        </w:tabs>
        <w:spacing w:line="240" w:lineRule="auto"/>
        <w:rPr>
          <w:rFonts w:ascii="TUOS Blake" w:hAnsi="TUOS Blake"/>
          <w:b/>
          <w:color w:val="222222"/>
          <w:szCs w:val="19"/>
          <w:shd w:val="clear" w:color="auto" w:fill="FFFFFF"/>
        </w:rPr>
      </w:pPr>
      <w:r w:rsidRPr="003726FE">
        <w:rPr>
          <w:rFonts w:ascii="Arial" w:hAnsi="Arial"/>
          <w:b/>
          <w:noProof/>
          <w:color w:val="222222"/>
          <w:szCs w:val="19"/>
          <w:lang w:eastAsia="en-GB"/>
        </w:rPr>
        <w:lastRenderedPageBreak/>
        <mc:AlternateContent>
          <mc:Choice Requires="wps">
            <w:drawing>
              <wp:anchor distT="0" distB="0" distL="114300" distR="114300" simplePos="0" relativeHeight="251990016" behindDoc="1" locked="0" layoutInCell="1" allowOverlap="1" wp14:anchorId="48F28C32" wp14:editId="4EE05888">
                <wp:simplePos x="0" y="0"/>
                <wp:positionH relativeFrom="column">
                  <wp:posOffset>4081676</wp:posOffset>
                </wp:positionH>
                <wp:positionV relativeFrom="paragraph">
                  <wp:posOffset>277436</wp:posOffset>
                </wp:positionV>
                <wp:extent cx="1198880" cy="852805"/>
                <wp:effectExtent l="0" t="0" r="0" b="4445"/>
                <wp:wrapNone/>
                <wp:docPr id="488" name="Text Box 488"/>
                <wp:cNvGraphicFramePr/>
                <a:graphic xmlns:a="http://schemas.openxmlformats.org/drawingml/2006/main">
                  <a:graphicData uri="http://schemas.microsoft.com/office/word/2010/wordprocessingShape">
                    <wps:wsp>
                      <wps:cNvSpPr txBox="1"/>
                      <wps:spPr>
                        <a:xfrm>
                          <a:off x="0" y="0"/>
                          <a:ext cx="1198880" cy="852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7C9BD" w14:textId="77777777" w:rsidR="00C8402C" w:rsidRPr="00F247D8" w:rsidRDefault="00C8402C" w:rsidP="00BF5646">
                            <w:pPr>
                              <w:spacing w:line="240" w:lineRule="auto"/>
                              <w:jc w:val="right"/>
                              <w:rPr>
                                <w:rFonts w:ascii="Arial" w:hAnsi="Arial" w:cs="Arial"/>
                                <w:color w:val="222222"/>
                                <w:sz w:val="16"/>
                                <w:szCs w:val="19"/>
                                <w:shd w:val="clear" w:color="auto" w:fill="FFFFFF"/>
                              </w:rPr>
                            </w:pPr>
                            <w:r w:rsidRPr="00F247D8">
                              <w:rPr>
                                <w:rFonts w:ascii="Arial" w:hAnsi="Arial" w:cs="Arial"/>
                                <w:color w:val="222222"/>
                                <w:sz w:val="16"/>
                                <w:szCs w:val="19"/>
                                <w:shd w:val="clear" w:color="auto" w:fill="FFFFFF"/>
                              </w:rPr>
                              <w:t>Return address:</w:t>
                            </w:r>
                          </w:p>
                          <w:p w14:paraId="7FC32C8D" w14:textId="77777777" w:rsidR="00C8402C" w:rsidRPr="00F247D8" w:rsidRDefault="00C8402C" w:rsidP="00BF5646">
                            <w:pPr>
                              <w:spacing w:line="240" w:lineRule="auto"/>
                              <w:jc w:val="right"/>
                              <w:rPr>
                                <w:rFonts w:ascii="Arial" w:hAnsi="Arial" w:cs="Arial"/>
                                <w:color w:val="222222"/>
                                <w:sz w:val="18"/>
                                <w:szCs w:val="19"/>
                                <w:shd w:val="clear" w:color="auto" w:fill="FFFFFF"/>
                              </w:rPr>
                            </w:pPr>
                            <w:r w:rsidRPr="00F247D8">
                              <w:rPr>
                                <w:rFonts w:ascii="Arial" w:hAnsi="Arial" w:cs="Arial"/>
                                <w:color w:val="222222"/>
                                <w:sz w:val="16"/>
                                <w:szCs w:val="19"/>
                                <w:shd w:val="clear" w:color="auto" w:fill="FFFFFF"/>
                              </w:rPr>
                              <w:t>The Medical School, University of Sheffield Beech Hill Road, Sheffield</w:t>
                            </w:r>
                            <w:r w:rsidRPr="00F247D8">
                              <w:rPr>
                                <w:rFonts w:ascii="Arial" w:hAnsi="Arial" w:cs="Arial"/>
                                <w:color w:val="222222"/>
                                <w:sz w:val="18"/>
                                <w:szCs w:val="19"/>
                                <w:shd w:val="clear" w:color="auto" w:fill="FFFFFF"/>
                              </w:rPr>
                              <w:t xml:space="preserve">, </w:t>
                            </w:r>
                            <w:r w:rsidRPr="00F247D8">
                              <w:rPr>
                                <w:rFonts w:ascii="Arial" w:hAnsi="Arial" w:cs="Arial"/>
                                <w:color w:val="222222"/>
                                <w:sz w:val="16"/>
                                <w:szCs w:val="19"/>
                                <w:shd w:val="clear" w:color="auto" w:fill="FFFFFF"/>
                              </w:rPr>
                              <w:t>S10 2RX</w:t>
                            </w:r>
                          </w:p>
                          <w:p w14:paraId="7D9115B4" w14:textId="77777777" w:rsidR="00C8402C" w:rsidRPr="00F247D8" w:rsidRDefault="00C8402C" w:rsidP="00BF564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8C32" id="Text Box 488" o:spid="_x0000_s1434" type="#_x0000_t202" style="position:absolute;margin-left:321.4pt;margin-top:21.85pt;width:94.4pt;height:67.1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" filled="f" stroked="f">
                <v:textbox>
                  <w:txbxContent>
                    <w:p w14:paraId="22B7C9BD" w14:textId="77777777" w:rsidR="00C8402C" w:rsidRPr="00F247D8" w:rsidRDefault="00C8402C" w:rsidP="00BF5646">
                      <w:pPr>
                        <w:spacing w:line="240" w:lineRule="auto"/>
                        <w:jc w:val="right"/>
                        <w:rPr>
                          <w:rFonts w:ascii="Arial" w:hAnsi="Arial" w:cs="Arial"/>
                          <w:color w:val="222222"/>
                          <w:sz w:val="16"/>
                          <w:szCs w:val="19"/>
                          <w:shd w:val="clear" w:color="auto" w:fill="FFFFFF"/>
                        </w:rPr>
                      </w:pPr>
                      <w:r w:rsidRPr="00F247D8">
                        <w:rPr>
                          <w:rFonts w:ascii="Arial" w:hAnsi="Arial" w:cs="Arial"/>
                          <w:color w:val="222222"/>
                          <w:sz w:val="16"/>
                          <w:szCs w:val="19"/>
                          <w:shd w:val="clear" w:color="auto" w:fill="FFFFFF"/>
                        </w:rPr>
                        <w:t>Return address:</w:t>
                      </w:r>
                    </w:p>
                    <w:p w14:paraId="7FC32C8D" w14:textId="77777777" w:rsidR="00C8402C" w:rsidRPr="00F247D8" w:rsidRDefault="00C8402C" w:rsidP="00BF5646">
                      <w:pPr>
                        <w:spacing w:line="240" w:lineRule="auto"/>
                        <w:jc w:val="right"/>
                        <w:rPr>
                          <w:rFonts w:ascii="Arial" w:hAnsi="Arial" w:cs="Arial"/>
                          <w:color w:val="222222"/>
                          <w:sz w:val="18"/>
                          <w:szCs w:val="19"/>
                          <w:shd w:val="clear" w:color="auto" w:fill="FFFFFF"/>
                        </w:rPr>
                      </w:pPr>
                      <w:r w:rsidRPr="00F247D8">
                        <w:rPr>
                          <w:rFonts w:ascii="Arial" w:hAnsi="Arial" w:cs="Arial"/>
                          <w:color w:val="222222"/>
                          <w:sz w:val="16"/>
                          <w:szCs w:val="19"/>
                          <w:shd w:val="clear" w:color="auto" w:fill="FFFFFF"/>
                        </w:rPr>
                        <w:t>The Medical School, University of Sheffield Beech Hill Road, Sheffield</w:t>
                      </w:r>
                      <w:r w:rsidRPr="00F247D8">
                        <w:rPr>
                          <w:rFonts w:ascii="Arial" w:hAnsi="Arial" w:cs="Arial"/>
                          <w:color w:val="222222"/>
                          <w:sz w:val="18"/>
                          <w:szCs w:val="19"/>
                          <w:shd w:val="clear" w:color="auto" w:fill="FFFFFF"/>
                        </w:rPr>
                        <w:t xml:space="preserve">, </w:t>
                      </w:r>
                      <w:r w:rsidRPr="00F247D8">
                        <w:rPr>
                          <w:rFonts w:ascii="Arial" w:hAnsi="Arial" w:cs="Arial"/>
                          <w:color w:val="222222"/>
                          <w:sz w:val="16"/>
                          <w:szCs w:val="19"/>
                          <w:shd w:val="clear" w:color="auto" w:fill="FFFFFF"/>
                        </w:rPr>
                        <w:t>S10 2RX</w:t>
                      </w:r>
                    </w:p>
                    <w:p w14:paraId="7D9115B4" w14:textId="77777777" w:rsidR="00C8402C" w:rsidRPr="00F247D8" w:rsidRDefault="00C8402C" w:rsidP="00BF5646">
                      <w:pPr>
                        <w:rPr>
                          <w:sz w:val="20"/>
                        </w:rPr>
                      </w:pPr>
                    </w:p>
                  </w:txbxContent>
                </v:textbox>
              </v:shape>
            </w:pict>
          </mc:Fallback>
        </mc:AlternateContent>
      </w:r>
    </w:p>
    <w:p w14:paraId="322591B7" w14:textId="374944BA" w:rsidR="004110DF" w:rsidRPr="003726FE" w:rsidRDefault="004110DF" w:rsidP="00BF5646">
      <w:pPr>
        <w:tabs>
          <w:tab w:val="right" w:pos="9922"/>
        </w:tabs>
        <w:spacing w:line="240" w:lineRule="auto"/>
        <w:rPr>
          <w:rFonts w:ascii="TUOS Blake" w:hAnsi="TUOS Blake"/>
          <w:b/>
          <w:color w:val="222222"/>
          <w:szCs w:val="19"/>
          <w:shd w:val="clear" w:color="auto" w:fill="FFFFFF"/>
        </w:rPr>
      </w:pPr>
      <w:r w:rsidRPr="003726FE">
        <w:rPr>
          <w:rFonts w:ascii="TUOS Blake" w:hAnsi="TUOS Blake"/>
          <w:b/>
          <w:color w:val="222222"/>
          <w:szCs w:val="19"/>
          <w:shd w:val="clear" w:color="auto" w:fill="FFFFFF"/>
        </w:rPr>
        <w:t>Information Sheet – Hearing the Feedback Message</w:t>
      </w:r>
      <w:r w:rsidRPr="003726FE">
        <w:rPr>
          <w:rFonts w:ascii="TUOS Blake" w:hAnsi="TUOS Blake" w:cs="Arial"/>
          <w:color w:val="222222"/>
          <w:sz w:val="20"/>
          <w:szCs w:val="19"/>
          <w:shd w:val="clear" w:color="auto" w:fill="FFFFFF"/>
        </w:rPr>
        <w:t xml:space="preserve"> </w:t>
      </w:r>
    </w:p>
    <w:p w14:paraId="6653F291" w14:textId="77777777" w:rsidR="004110DF" w:rsidRPr="003726FE" w:rsidRDefault="004110DF" w:rsidP="00BF5646">
      <w:pPr>
        <w:spacing w:after="0" w:line="360" w:lineRule="auto"/>
        <w:rPr>
          <w:rFonts w:ascii="TUOS Blake" w:hAnsi="TUOS Blake"/>
          <w:sz w:val="20"/>
          <w:szCs w:val="20"/>
        </w:rPr>
      </w:pPr>
    </w:p>
    <w:p w14:paraId="3D8DA3C1" w14:textId="77777777" w:rsidR="004110DF" w:rsidRPr="003726FE" w:rsidRDefault="004110DF" w:rsidP="00BF5646">
      <w:pPr>
        <w:spacing w:after="0" w:line="276" w:lineRule="auto"/>
        <w:rPr>
          <w:rFonts w:ascii="TUOS Blake" w:hAnsi="TUOS Blake"/>
          <w:sz w:val="20"/>
          <w:szCs w:val="20"/>
        </w:rPr>
      </w:pPr>
      <w:r w:rsidRPr="003726FE">
        <w:rPr>
          <w:rFonts w:ascii="TUOS Blake" w:hAnsi="TUOS Blake"/>
          <w:sz w:val="20"/>
          <w:szCs w:val="20"/>
        </w:rPr>
        <w:t>Dear Student,</w:t>
      </w:r>
    </w:p>
    <w:p w14:paraId="7DCFFF59" w14:textId="77777777" w:rsidR="004110DF" w:rsidRPr="003726FE" w:rsidRDefault="004110DF" w:rsidP="00BF5646">
      <w:pPr>
        <w:spacing w:after="0" w:line="276" w:lineRule="auto"/>
        <w:rPr>
          <w:rFonts w:ascii="TUOS Blake" w:hAnsi="TUOS Blake"/>
          <w:sz w:val="20"/>
          <w:szCs w:val="20"/>
        </w:rPr>
      </w:pPr>
    </w:p>
    <w:p w14:paraId="2F83EA2D" w14:textId="77777777" w:rsidR="004110DF" w:rsidRPr="003726FE" w:rsidRDefault="004110DF" w:rsidP="00BF5646">
      <w:pPr>
        <w:spacing w:line="276" w:lineRule="auto"/>
        <w:rPr>
          <w:rFonts w:ascii="TUOS Blake" w:hAnsi="TUOS Blake"/>
          <w:b/>
          <w:sz w:val="20"/>
          <w:szCs w:val="20"/>
        </w:rPr>
      </w:pPr>
      <w:r w:rsidRPr="003726FE">
        <w:rPr>
          <w:rFonts w:ascii="TUOS Blake" w:hAnsi="TUOS Blake"/>
          <w:sz w:val="20"/>
          <w:szCs w:val="20"/>
        </w:rPr>
        <w:t xml:space="preserve">You are invited to take part in a study to investigate the effects of different types of feedback on clinical skills performance and learning strategies in second year medical undergraduate students. </w:t>
      </w:r>
    </w:p>
    <w:p w14:paraId="72BB891A" w14:textId="77777777" w:rsidR="004110DF" w:rsidRPr="003726FE" w:rsidRDefault="004110DF" w:rsidP="00BF5646">
      <w:pPr>
        <w:spacing w:line="276" w:lineRule="auto"/>
        <w:rPr>
          <w:rFonts w:ascii="TUOS Blake" w:hAnsi="TUOS Blake"/>
          <w:b/>
          <w:sz w:val="20"/>
          <w:szCs w:val="20"/>
        </w:rPr>
      </w:pPr>
    </w:p>
    <w:p w14:paraId="1F879299" w14:textId="77777777" w:rsidR="004110DF" w:rsidRPr="003726FE" w:rsidRDefault="004110DF" w:rsidP="00BF5646">
      <w:pPr>
        <w:spacing w:line="276" w:lineRule="auto"/>
        <w:rPr>
          <w:rFonts w:ascii="TUOS Blake" w:hAnsi="TUOS Blake"/>
          <w:sz w:val="20"/>
          <w:szCs w:val="20"/>
        </w:rPr>
      </w:pPr>
      <w:r w:rsidRPr="003726FE">
        <w:rPr>
          <w:rFonts w:ascii="TUOS Blake" w:hAnsi="TUOS Blake"/>
          <w:b/>
          <w:sz w:val="20"/>
          <w:szCs w:val="20"/>
        </w:rPr>
        <w:t>This Study:</w:t>
      </w:r>
    </w:p>
    <w:p w14:paraId="2F0FBDA4" w14:textId="77777777" w:rsidR="004110DF" w:rsidRPr="003726FE" w:rsidRDefault="004110DF" w:rsidP="00BF5646">
      <w:pPr>
        <w:spacing w:line="276" w:lineRule="auto"/>
        <w:rPr>
          <w:rFonts w:ascii="TUOS Blake" w:hAnsi="TUOS Blake"/>
          <w:sz w:val="20"/>
          <w:szCs w:val="20"/>
        </w:rPr>
      </w:pPr>
      <w:r w:rsidRPr="003726FE">
        <w:rPr>
          <w:rFonts w:ascii="TUOS Blake" w:hAnsi="TUOS Blake"/>
          <w:sz w:val="20"/>
          <w:szCs w:val="20"/>
        </w:rPr>
        <w:t xml:space="preserve">You may recall participating in the early part of this study by filling in questionnaires or by participating in focus groups. We are now looking to further explore your experiences on a personal level using a diary interview. This is to find out how you employ </w:t>
      </w:r>
      <w:r w:rsidRPr="003726FE">
        <w:rPr>
          <w:rFonts w:ascii="TUOS Blake" w:hAnsi="TUOS Blake"/>
          <w:b/>
          <w:sz w:val="20"/>
          <w:szCs w:val="20"/>
        </w:rPr>
        <w:t xml:space="preserve">learning and working strategies whilst on placement. </w:t>
      </w:r>
    </w:p>
    <w:p w14:paraId="09EB100D" w14:textId="77777777" w:rsidR="004110DF" w:rsidRPr="003726FE" w:rsidRDefault="004110DF" w:rsidP="00BF5646">
      <w:pPr>
        <w:spacing w:line="276" w:lineRule="auto"/>
        <w:rPr>
          <w:rFonts w:ascii="TUOS Blake" w:hAnsi="TUOS Blake"/>
          <w:b/>
          <w:sz w:val="20"/>
          <w:szCs w:val="20"/>
        </w:rPr>
      </w:pPr>
    </w:p>
    <w:p w14:paraId="19D3838A" w14:textId="77777777" w:rsidR="004110DF" w:rsidRPr="003726FE" w:rsidRDefault="004110DF" w:rsidP="00BF5646">
      <w:pPr>
        <w:spacing w:line="276" w:lineRule="auto"/>
        <w:rPr>
          <w:rFonts w:ascii="TUOS Blake" w:hAnsi="TUOS Blake"/>
          <w:b/>
          <w:sz w:val="20"/>
          <w:szCs w:val="20"/>
        </w:rPr>
      </w:pPr>
      <w:r w:rsidRPr="003726FE">
        <w:rPr>
          <w:rFonts w:ascii="TUOS Blake" w:hAnsi="TUOS Blake"/>
          <w:b/>
          <w:sz w:val="20"/>
          <w:szCs w:val="20"/>
        </w:rPr>
        <w:t>Your Role:</w:t>
      </w:r>
    </w:p>
    <w:p w14:paraId="6269FD2D" w14:textId="77777777" w:rsidR="004110DF" w:rsidRPr="003726FE" w:rsidRDefault="004110DF" w:rsidP="00BF5646">
      <w:pPr>
        <w:spacing w:line="276" w:lineRule="auto"/>
        <w:rPr>
          <w:rFonts w:ascii="TUOS Blake" w:hAnsi="TUOS Blake"/>
          <w:i/>
          <w:sz w:val="20"/>
          <w:szCs w:val="20"/>
        </w:rPr>
      </w:pPr>
      <w:r w:rsidRPr="003726FE">
        <w:rPr>
          <w:rFonts w:ascii="TUOS Blake" w:hAnsi="TUOS Blake"/>
          <w:i/>
          <w:sz w:val="20"/>
          <w:szCs w:val="20"/>
        </w:rPr>
        <w:t>One-day diary</w:t>
      </w:r>
    </w:p>
    <w:p w14:paraId="1722A275" w14:textId="77777777" w:rsidR="004110DF" w:rsidRPr="003726FE" w:rsidRDefault="004110DF" w:rsidP="00BF5646">
      <w:pPr>
        <w:spacing w:after="0" w:line="276" w:lineRule="auto"/>
        <w:rPr>
          <w:rFonts w:ascii="TUOS Blake" w:hAnsi="TUOS Blake"/>
          <w:sz w:val="20"/>
          <w:szCs w:val="20"/>
        </w:rPr>
      </w:pPr>
      <w:r w:rsidRPr="003726FE">
        <w:rPr>
          <w:rFonts w:ascii="TUOS Blake" w:hAnsi="TUOS Blake"/>
          <w:sz w:val="20"/>
          <w:szCs w:val="20"/>
        </w:rPr>
        <w:t xml:space="preserve">If you decide to take part, you will be sent a link to an online form where you can complete a </w:t>
      </w:r>
      <w:r w:rsidRPr="003726FE">
        <w:rPr>
          <w:rFonts w:ascii="TUOS Blake" w:hAnsi="TUOS Blake"/>
          <w:b/>
          <w:sz w:val="20"/>
          <w:szCs w:val="20"/>
        </w:rPr>
        <w:t>one-day diary reflecting upon one of your days on placement</w:t>
      </w:r>
      <w:r w:rsidRPr="003726FE">
        <w:rPr>
          <w:rFonts w:ascii="TUOS Blake" w:hAnsi="TUOS Blake"/>
          <w:sz w:val="20"/>
          <w:szCs w:val="20"/>
        </w:rPr>
        <w:t>. We ask that you complete this diary either at the end of the day you have chosen to record, or as soon as you can the next day so not to forget or misremember the events. However, we are not strict with this and it will not affect your participation in the study if you do not follow this recommendation. More details of how to complete this diary are on the online form which will be sent to you.</w:t>
      </w:r>
    </w:p>
    <w:p w14:paraId="26BF26B1" w14:textId="77777777" w:rsidR="004110DF" w:rsidRPr="003726FE" w:rsidRDefault="004110DF" w:rsidP="00BF5646">
      <w:pPr>
        <w:spacing w:after="0" w:line="276" w:lineRule="auto"/>
        <w:rPr>
          <w:rFonts w:ascii="TUOS Blake" w:hAnsi="TUOS Blake"/>
          <w:sz w:val="20"/>
          <w:szCs w:val="20"/>
        </w:rPr>
      </w:pPr>
    </w:p>
    <w:p w14:paraId="0E3C1305" w14:textId="77777777" w:rsidR="004110DF" w:rsidRPr="003726FE" w:rsidRDefault="004110DF" w:rsidP="00BF5646">
      <w:pPr>
        <w:spacing w:line="276" w:lineRule="auto"/>
        <w:rPr>
          <w:rFonts w:ascii="TUOS Blake" w:hAnsi="TUOS Blake"/>
          <w:i/>
          <w:sz w:val="20"/>
          <w:szCs w:val="20"/>
        </w:rPr>
      </w:pPr>
      <w:r w:rsidRPr="003726FE">
        <w:rPr>
          <w:rFonts w:ascii="TUOS Blake" w:hAnsi="TUOS Blake"/>
          <w:i/>
          <w:sz w:val="20"/>
          <w:szCs w:val="20"/>
        </w:rPr>
        <w:t>Interview</w:t>
      </w:r>
    </w:p>
    <w:p w14:paraId="31B25B91" w14:textId="77777777" w:rsidR="004110DF" w:rsidRPr="003726FE" w:rsidRDefault="004110DF" w:rsidP="00BF5646">
      <w:pPr>
        <w:spacing w:line="276" w:lineRule="auto"/>
        <w:rPr>
          <w:rFonts w:ascii="TUOS Blake" w:hAnsi="TUOS Blake"/>
          <w:sz w:val="20"/>
          <w:szCs w:val="20"/>
        </w:rPr>
      </w:pPr>
      <w:r w:rsidRPr="003726FE">
        <w:rPr>
          <w:rFonts w:ascii="TUOS Blake" w:hAnsi="TUOS Blake"/>
          <w:sz w:val="20"/>
          <w:szCs w:val="20"/>
        </w:rPr>
        <w:t xml:space="preserve">You will then attend an </w:t>
      </w:r>
      <w:r w:rsidRPr="003726FE">
        <w:rPr>
          <w:rFonts w:ascii="TUOS Blake" w:hAnsi="TUOS Blake"/>
          <w:b/>
          <w:sz w:val="20"/>
          <w:szCs w:val="20"/>
        </w:rPr>
        <w:t>interview</w:t>
      </w:r>
      <w:r w:rsidRPr="003726FE">
        <w:rPr>
          <w:rFonts w:ascii="TUOS Blake" w:hAnsi="TUOS Blake"/>
          <w:sz w:val="20"/>
          <w:szCs w:val="20"/>
        </w:rPr>
        <w:t xml:space="preserve"> </w:t>
      </w:r>
      <w:r w:rsidRPr="003726FE">
        <w:rPr>
          <w:rFonts w:ascii="TUOS Blake" w:hAnsi="TUOS Blake"/>
          <w:b/>
          <w:sz w:val="20"/>
          <w:szCs w:val="20"/>
        </w:rPr>
        <w:t>in Sept/Oct 2016.</w:t>
      </w:r>
      <w:r w:rsidRPr="003726FE">
        <w:rPr>
          <w:rFonts w:ascii="TUOS Blake" w:hAnsi="TUOS Blake"/>
          <w:sz w:val="20"/>
          <w:szCs w:val="20"/>
        </w:rPr>
        <w:t xml:space="preserve"> The purpose of the session is to explore your experiences of using learning strategies and feedback on placement. We will explore what strategies you find useful and how feedback impacts upon your learning in different clinical situations and environments. The purpose of this is to get a more in-depth perspective of your experience. </w:t>
      </w:r>
    </w:p>
    <w:p w14:paraId="226F9EB9" w14:textId="77777777" w:rsidR="004110DF" w:rsidRPr="003726FE" w:rsidRDefault="004110DF" w:rsidP="00BF5646">
      <w:pPr>
        <w:spacing w:line="276" w:lineRule="auto"/>
        <w:rPr>
          <w:rFonts w:ascii="TUOS Blake" w:hAnsi="TUOS Blake"/>
          <w:sz w:val="20"/>
          <w:szCs w:val="20"/>
        </w:rPr>
      </w:pPr>
      <w:r w:rsidRPr="003726FE">
        <w:rPr>
          <w:rFonts w:ascii="TUOS Blake" w:hAnsi="TUOS Blake"/>
          <w:sz w:val="20"/>
          <w:szCs w:val="20"/>
        </w:rPr>
        <w:t xml:space="preserve">This interview can take place at your clinical attachment location, or the medical school according to your preference, and will last </w:t>
      </w:r>
      <w:r w:rsidRPr="003726FE">
        <w:rPr>
          <w:rFonts w:ascii="TUOS Blake" w:hAnsi="TUOS Blake"/>
          <w:b/>
          <w:sz w:val="20"/>
          <w:szCs w:val="20"/>
        </w:rPr>
        <w:t>approximately 30-40 minutes</w:t>
      </w:r>
      <w:r w:rsidRPr="003726FE">
        <w:rPr>
          <w:rFonts w:ascii="TUOS Blake" w:hAnsi="TUOS Blake"/>
          <w:sz w:val="20"/>
          <w:szCs w:val="20"/>
        </w:rPr>
        <w:t>. The session will be audio-recorded, any data we collect from you will be anonymised in reports and used only for research purposes. This research will form a doctoral thesis and may be published in peer reviewed journals.</w:t>
      </w:r>
    </w:p>
    <w:p w14:paraId="2F28D8E7" w14:textId="77777777" w:rsidR="004110DF" w:rsidRPr="003726FE" w:rsidRDefault="004110DF" w:rsidP="00BF5646">
      <w:pPr>
        <w:spacing w:line="276" w:lineRule="auto"/>
        <w:rPr>
          <w:rFonts w:ascii="TUOS Blake" w:hAnsi="TUOS Blake"/>
          <w:sz w:val="20"/>
          <w:szCs w:val="20"/>
        </w:rPr>
      </w:pPr>
    </w:p>
    <w:p w14:paraId="4D15EA83" w14:textId="77777777" w:rsidR="004110DF" w:rsidRPr="003726FE" w:rsidRDefault="004110DF" w:rsidP="00BF5646">
      <w:pPr>
        <w:spacing w:line="276" w:lineRule="auto"/>
        <w:jc w:val="center"/>
        <w:rPr>
          <w:rFonts w:ascii="TUOS Blake" w:hAnsi="TUOS Blake"/>
          <w:sz w:val="20"/>
          <w:szCs w:val="20"/>
        </w:rPr>
      </w:pPr>
      <w:r w:rsidRPr="003726FE">
        <w:rPr>
          <w:rFonts w:ascii="TUOS Blake" w:hAnsi="TUOS Blake"/>
          <w:b/>
          <w:sz w:val="20"/>
          <w:szCs w:val="20"/>
        </w:rPr>
        <w:t xml:space="preserve">Finally, if you wish to take part in this study please inform the researcher via email and/or choose a date to attend. </w:t>
      </w:r>
    </w:p>
    <w:p w14:paraId="5CD28033" w14:textId="77777777" w:rsidR="004110DF" w:rsidRPr="003726FE" w:rsidRDefault="004110DF" w:rsidP="00BF5646">
      <w:pPr>
        <w:spacing w:line="276" w:lineRule="auto"/>
        <w:jc w:val="center"/>
        <w:rPr>
          <w:rFonts w:ascii="TUOS Blake" w:hAnsi="TUOS Blake"/>
          <w:sz w:val="20"/>
          <w:szCs w:val="20"/>
        </w:rPr>
      </w:pPr>
    </w:p>
    <w:p w14:paraId="05E28762" w14:textId="1AC0184E" w:rsidR="004110DF" w:rsidRPr="003726FE" w:rsidRDefault="004110DF" w:rsidP="008A4137">
      <w:pPr>
        <w:spacing w:line="276" w:lineRule="auto"/>
        <w:jc w:val="center"/>
        <w:rPr>
          <w:rFonts w:ascii="TUOS Blake" w:hAnsi="TUOS Blake"/>
          <w:sz w:val="20"/>
        </w:rPr>
      </w:pPr>
      <w:r w:rsidRPr="003726FE">
        <w:rPr>
          <w:rFonts w:ascii="TUOS Blake" w:hAnsi="TUOS Blake"/>
          <w:sz w:val="20"/>
        </w:rPr>
        <w:t>Thank you for reading this information sheet. Please keep this for your records.</w:t>
      </w:r>
    </w:p>
    <w:tbl>
      <w:tblPr>
        <w:tblpPr w:leftFromText="180" w:rightFromText="180" w:vertAnchor="page" w:horzAnchor="margin" w:tblpY="1784"/>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3"/>
        <w:gridCol w:w="236"/>
      </w:tblGrid>
      <w:tr w:rsidR="004110DF" w:rsidRPr="003726FE" w14:paraId="50AAD5CC" w14:textId="77777777" w:rsidTr="008A4137">
        <w:trPr>
          <w:trHeight w:val="12748"/>
        </w:trPr>
        <w:tc>
          <w:tcPr>
            <w:tcW w:w="8283" w:type="dxa"/>
            <w:tcBorders>
              <w:right w:val="nil"/>
            </w:tcBorders>
          </w:tcPr>
          <w:p w14:paraId="5FB604F2" w14:textId="77777777" w:rsidR="004110DF" w:rsidRPr="003726FE" w:rsidRDefault="004110DF" w:rsidP="00116BB2">
            <w:pPr>
              <w:pStyle w:val="Normal1"/>
              <w:rPr>
                <w:lang w:val="en-GB"/>
              </w:rPr>
            </w:pPr>
            <w:r w:rsidRPr="003726FE">
              <w:rPr>
                <w:b/>
                <w:lang w:val="en-GB"/>
              </w:rPr>
              <w:lastRenderedPageBreak/>
              <w:t>Title of Research Project:</w:t>
            </w:r>
            <w:r w:rsidRPr="003726FE">
              <w:rPr>
                <w:lang w:val="en-GB"/>
              </w:rPr>
              <w:t xml:space="preserve"> Hearing the feedback message</w:t>
            </w:r>
          </w:p>
          <w:p w14:paraId="64E89426" w14:textId="77777777" w:rsidR="004110DF" w:rsidRPr="003726FE" w:rsidRDefault="004110DF" w:rsidP="00116BB2">
            <w:pPr>
              <w:pStyle w:val="Normal1"/>
              <w:rPr>
                <w:lang w:val="en-GB"/>
              </w:rPr>
            </w:pPr>
            <w:r w:rsidRPr="003726FE">
              <w:rPr>
                <w:b/>
                <w:lang w:val="en-GB"/>
              </w:rPr>
              <w:t xml:space="preserve">Activity: </w:t>
            </w:r>
            <w:r w:rsidRPr="003726FE">
              <w:rPr>
                <w:lang w:val="en-GB"/>
              </w:rPr>
              <w:t>Day reconstruction diary and</w:t>
            </w:r>
            <w:r w:rsidRPr="003726FE">
              <w:rPr>
                <w:b/>
                <w:lang w:val="en-GB"/>
              </w:rPr>
              <w:t xml:space="preserve"> </w:t>
            </w:r>
            <w:r w:rsidRPr="003726FE">
              <w:rPr>
                <w:lang w:val="en-GB"/>
              </w:rPr>
              <w:t>Interview</w:t>
            </w:r>
          </w:p>
          <w:p w14:paraId="498866A5" w14:textId="77777777" w:rsidR="004110DF" w:rsidRPr="003726FE" w:rsidRDefault="004110DF" w:rsidP="004110DF">
            <w:pPr>
              <w:spacing w:line="276" w:lineRule="auto"/>
              <w:rPr>
                <w:rFonts w:ascii="TUOS Blake" w:hAnsi="TUOS Blake" w:cs="Arial"/>
              </w:rPr>
            </w:pPr>
            <w:r w:rsidRPr="003726FE">
              <w:rPr>
                <w:rFonts w:ascii="TUOS Blake" w:hAnsi="TUOS Blake" w:cs="Arial"/>
                <w:b/>
              </w:rPr>
              <w:t>Name of Principle Investigator:</w:t>
            </w:r>
            <w:r w:rsidRPr="003726FE">
              <w:rPr>
                <w:rFonts w:ascii="TUOS Blake" w:hAnsi="TUOS Blake" w:cs="Arial"/>
              </w:rPr>
              <w:t xml:space="preserve"> Mr. Billy Bryan</w:t>
            </w:r>
          </w:p>
          <w:p w14:paraId="10D6B6EA" w14:textId="45AC4952" w:rsidR="004110DF" w:rsidRPr="003726FE" w:rsidRDefault="008A4137" w:rsidP="004110DF">
            <w:pPr>
              <w:pStyle w:val="BodyText2"/>
              <w:spacing w:line="276" w:lineRule="auto"/>
              <w:rPr>
                <w:rFonts w:ascii="TUOS Blake" w:hAnsi="TUOS Blake" w:cs="Arial"/>
              </w:rPr>
            </w:pPr>
            <w:r w:rsidRPr="003726FE">
              <w:rPr>
                <w:rFonts w:ascii="TUOS Blake" w:hAnsi="TUOS Blake" w:cs="Arial"/>
                <w:noProof/>
                <w:sz w:val="22"/>
                <w:lang w:eastAsia="en-GB"/>
              </w:rPr>
              <mc:AlternateContent>
                <mc:Choice Requires="wps">
                  <w:drawing>
                    <wp:anchor distT="0" distB="0" distL="114300" distR="114300" simplePos="0" relativeHeight="251992064" behindDoc="0" locked="0" layoutInCell="1" allowOverlap="1" wp14:anchorId="44D8DBC9" wp14:editId="135C7681">
                      <wp:simplePos x="0" y="0"/>
                      <wp:positionH relativeFrom="column">
                        <wp:posOffset>4821717</wp:posOffset>
                      </wp:positionH>
                      <wp:positionV relativeFrom="paragraph">
                        <wp:posOffset>97184</wp:posOffset>
                      </wp:positionV>
                      <wp:extent cx="457200" cy="342900"/>
                      <wp:effectExtent l="0" t="0" r="25400" b="38100"/>
                      <wp:wrapNone/>
                      <wp:docPr id="4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43ED" id="Rectangle 31" o:spid="_x0000_s1026" style="position:absolute;margin-left:379.65pt;margin-top:7.65pt;width:36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"/>
                  </w:pict>
                </mc:Fallback>
              </mc:AlternateContent>
            </w:r>
            <w:r w:rsidR="004110DF" w:rsidRPr="003726FE">
              <w:rPr>
                <w:rFonts w:ascii="TUOS Blake" w:hAnsi="TUOS Blake" w:cs="Arial"/>
                <w:sz w:val="22"/>
              </w:rPr>
              <w:t>Please initial the adjacent boxes.</w:t>
            </w:r>
          </w:p>
          <w:p w14:paraId="1833E2DC" w14:textId="60B997E9" w:rsidR="004110DF" w:rsidRPr="003726FE" w:rsidRDefault="008A4137" w:rsidP="008A4137">
            <w:pPr>
              <w:numPr>
                <w:ilvl w:val="0"/>
                <w:numId w:val="49"/>
              </w:numPr>
              <w:tabs>
                <w:tab w:val="clear" w:pos="720"/>
                <w:tab w:val="num" w:pos="454"/>
              </w:tabs>
              <w:spacing w:after="0" w:line="276" w:lineRule="auto"/>
              <w:ind w:left="313" w:right="667" w:hanging="284"/>
              <w:rPr>
                <w:rFonts w:ascii="TUOS Blake" w:hAnsi="TUOS Blake" w:cs="Arial"/>
                <w:sz w:val="22"/>
              </w:rPr>
            </w:pPr>
            <w:r w:rsidRPr="003726FE">
              <w:rPr>
                <w:rFonts w:ascii="TUOS Blake" w:hAnsi="TUOS Blake" w:cs="Arial"/>
                <w:noProof/>
                <w:sz w:val="22"/>
                <w:lang w:eastAsia="en-GB"/>
              </w:rPr>
              <mc:AlternateContent>
                <mc:Choice Requires="wps">
                  <w:drawing>
                    <wp:anchor distT="0" distB="0" distL="114300" distR="114300" simplePos="0" relativeHeight="251993088" behindDoc="0" locked="0" layoutInCell="1" allowOverlap="1" wp14:anchorId="661FC504" wp14:editId="39C2B0D6">
                      <wp:simplePos x="0" y="0"/>
                      <wp:positionH relativeFrom="column">
                        <wp:posOffset>4798857</wp:posOffset>
                      </wp:positionH>
                      <wp:positionV relativeFrom="paragraph">
                        <wp:posOffset>438179</wp:posOffset>
                      </wp:positionV>
                      <wp:extent cx="457200" cy="342900"/>
                      <wp:effectExtent l="0" t="0" r="25400" b="38100"/>
                      <wp:wrapNone/>
                      <wp:docPr id="49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71878" id="Rectangle 32" o:spid="_x0000_s1026" style="position:absolute;margin-left:377.85pt;margin-top:34.5pt;width:36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"/>
                  </w:pict>
                </mc:Fallback>
              </mc:AlternateContent>
            </w:r>
            <w:r w:rsidR="004110DF" w:rsidRPr="003726FE">
              <w:rPr>
                <w:rFonts w:ascii="TUOS Blake" w:hAnsi="TUOS Blake" w:cs="Arial"/>
                <w:sz w:val="22"/>
              </w:rPr>
              <w:t xml:space="preserve">I confirm that I have read and understand the information sheet </w:t>
            </w:r>
            <w:r w:rsidR="004110DF" w:rsidRPr="003726FE">
              <w:rPr>
                <w:rFonts w:ascii="TUOS Blake" w:hAnsi="TUOS Blake" w:cs="Arial"/>
                <w:sz w:val="22"/>
              </w:rPr>
              <w:br/>
              <w:t>dated 31/08/16 explaining the above research project</w:t>
            </w:r>
            <w:r w:rsidR="004110DF" w:rsidRPr="003726FE">
              <w:rPr>
                <w:rFonts w:ascii="TUOS Blake" w:hAnsi="TUOS Blake" w:cs="Arial"/>
                <w:sz w:val="22"/>
              </w:rPr>
              <w:br/>
              <w:t>and I have had the opportunity to ask questions about the project.</w:t>
            </w:r>
          </w:p>
          <w:p w14:paraId="1992E013" w14:textId="77777777" w:rsidR="004110DF" w:rsidRPr="003726FE" w:rsidRDefault="004110DF" w:rsidP="008A4137">
            <w:pPr>
              <w:numPr>
                <w:ilvl w:val="0"/>
                <w:numId w:val="49"/>
              </w:numPr>
              <w:tabs>
                <w:tab w:val="clear" w:pos="720"/>
                <w:tab w:val="left" w:pos="360"/>
                <w:tab w:val="num" w:pos="454"/>
              </w:tabs>
              <w:spacing w:after="0" w:line="276" w:lineRule="auto"/>
              <w:ind w:left="313" w:right="667" w:hanging="284"/>
              <w:rPr>
                <w:rFonts w:ascii="TUOS Blake" w:hAnsi="TUOS Blake" w:cs="Arial"/>
                <w:sz w:val="22"/>
              </w:rPr>
            </w:pPr>
            <w:r w:rsidRPr="003726FE">
              <w:rPr>
                <w:rFonts w:ascii="TUOS Blake" w:hAnsi="TUOS Blake" w:cs="Arial"/>
                <w:sz w:val="22"/>
              </w:rPr>
              <w:t>I agree not to divulge resources specific to this research to students who do not participate to ensure research integrity and confidentiality.</w:t>
            </w:r>
          </w:p>
          <w:p w14:paraId="32AAFDB0" w14:textId="23B806ED" w:rsidR="004110DF" w:rsidRPr="003726FE" w:rsidRDefault="008A4137" w:rsidP="008A4137">
            <w:pPr>
              <w:numPr>
                <w:ilvl w:val="0"/>
                <w:numId w:val="49"/>
              </w:numPr>
              <w:tabs>
                <w:tab w:val="clear" w:pos="720"/>
                <w:tab w:val="num" w:pos="454"/>
              </w:tabs>
              <w:spacing w:after="0" w:line="276" w:lineRule="auto"/>
              <w:ind w:left="313" w:right="667" w:hanging="284"/>
              <w:rPr>
                <w:rFonts w:ascii="TUOS Blake" w:hAnsi="TUOS Blake" w:cs="Arial"/>
                <w:sz w:val="22"/>
              </w:rPr>
            </w:pPr>
            <w:r w:rsidRPr="003726FE">
              <w:rPr>
                <w:rFonts w:ascii="TUOS Blake" w:hAnsi="TUOS Blake" w:cs="Arial"/>
                <w:noProof/>
                <w:sz w:val="22"/>
                <w:lang w:eastAsia="en-GB"/>
              </w:rPr>
              <mc:AlternateContent>
                <mc:Choice Requires="wps">
                  <w:drawing>
                    <wp:anchor distT="0" distB="0" distL="114300" distR="114300" simplePos="0" relativeHeight="251995136" behindDoc="0" locked="0" layoutInCell="1" allowOverlap="1" wp14:anchorId="2FF1BD6C" wp14:editId="06904082">
                      <wp:simplePos x="0" y="0"/>
                      <wp:positionH relativeFrom="column">
                        <wp:posOffset>4803775</wp:posOffset>
                      </wp:positionH>
                      <wp:positionV relativeFrom="paragraph">
                        <wp:posOffset>1753235</wp:posOffset>
                      </wp:positionV>
                      <wp:extent cx="457200" cy="342900"/>
                      <wp:effectExtent l="0" t="0" r="25400" b="38100"/>
                      <wp:wrapNone/>
                      <wp:docPr id="4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5CEA" id="Rectangle 34" o:spid="_x0000_s1026" style="position:absolute;margin-left:378.25pt;margin-top:138.05pt;width:36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"/>
                  </w:pict>
                </mc:Fallback>
              </mc:AlternateContent>
            </w:r>
            <w:r w:rsidRPr="003726FE">
              <w:rPr>
                <w:rFonts w:ascii="TUOS Blake" w:hAnsi="TUOS Blake" w:cs="Arial"/>
                <w:noProof/>
                <w:lang w:eastAsia="en-GB"/>
              </w:rPr>
              <mc:AlternateContent>
                <mc:Choice Requires="wps">
                  <w:drawing>
                    <wp:anchor distT="0" distB="0" distL="114300" distR="114300" simplePos="0" relativeHeight="251998208" behindDoc="0" locked="0" layoutInCell="1" allowOverlap="1" wp14:anchorId="5BD2FA6E" wp14:editId="62E48872">
                      <wp:simplePos x="0" y="0"/>
                      <wp:positionH relativeFrom="column">
                        <wp:posOffset>4807585</wp:posOffset>
                      </wp:positionH>
                      <wp:positionV relativeFrom="paragraph">
                        <wp:posOffset>828040</wp:posOffset>
                      </wp:positionV>
                      <wp:extent cx="457200" cy="342900"/>
                      <wp:effectExtent l="0" t="0" r="25400" b="38100"/>
                      <wp:wrapNone/>
                      <wp:docPr id="49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7F76" id="Rectangle 37" o:spid="_x0000_s1026" style="position:absolute;margin-left:378.55pt;margin-top:65.2pt;width:36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"/>
                  </w:pict>
                </mc:Fallback>
              </mc:AlternateContent>
            </w:r>
            <w:r w:rsidRPr="003726FE">
              <w:rPr>
                <w:rFonts w:ascii="TUOS Blake" w:hAnsi="TUOS Blake" w:cs="Arial"/>
                <w:noProof/>
                <w:sz w:val="22"/>
                <w:lang w:eastAsia="en-GB"/>
              </w:rPr>
              <mc:AlternateContent>
                <mc:Choice Requires="wps">
                  <w:drawing>
                    <wp:anchor distT="0" distB="0" distL="114300" distR="114300" simplePos="0" relativeHeight="251994112" behindDoc="0" locked="0" layoutInCell="1" allowOverlap="1" wp14:anchorId="100FF926" wp14:editId="3538E636">
                      <wp:simplePos x="0" y="0"/>
                      <wp:positionH relativeFrom="column">
                        <wp:posOffset>4803775</wp:posOffset>
                      </wp:positionH>
                      <wp:positionV relativeFrom="paragraph">
                        <wp:posOffset>22225</wp:posOffset>
                      </wp:positionV>
                      <wp:extent cx="457200" cy="342900"/>
                      <wp:effectExtent l="0" t="0" r="25400" b="38100"/>
                      <wp:wrapNone/>
                      <wp:docPr id="4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2B695" id="Rectangle 33" o:spid="_x0000_s1026" style="position:absolute;margin-left:378.25pt;margin-top:1.75pt;width:36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"/>
                  </w:pict>
                </mc:Fallback>
              </mc:AlternateContent>
            </w:r>
            <w:r w:rsidR="004110DF" w:rsidRPr="003726FE">
              <w:rPr>
                <w:rFonts w:ascii="TUOS Blake" w:hAnsi="TUOS Blake" w:cs="Arial"/>
                <w:sz w:val="22"/>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r w:rsidR="004110DF" w:rsidRPr="003726FE">
              <w:rPr>
                <w:rFonts w:ascii="TUOS Blake" w:hAnsi="TUOS Blake" w:cs="Arial"/>
                <w:sz w:val="20"/>
              </w:rPr>
              <w:t xml:space="preserve"> </w:t>
            </w:r>
          </w:p>
          <w:p w14:paraId="64D31909" w14:textId="77777777" w:rsidR="004110DF" w:rsidRPr="003726FE" w:rsidRDefault="004110DF" w:rsidP="008A4137">
            <w:pPr>
              <w:numPr>
                <w:ilvl w:val="0"/>
                <w:numId w:val="49"/>
              </w:numPr>
              <w:tabs>
                <w:tab w:val="clear" w:pos="720"/>
                <w:tab w:val="left" w:pos="360"/>
                <w:tab w:val="num" w:pos="454"/>
              </w:tabs>
              <w:spacing w:after="0" w:line="276" w:lineRule="auto"/>
              <w:ind w:left="313" w:right="667" w:hanging="284"/>
              <w:rPr>
                <w:rFonts w:ascii="TUOS Blake" w:hAnsi="TUOS Blake" w:cs="Arial"/>
                <w:sz w:val="22"/>
              </w:rPr>
            </w:pPr>
            <w:r w:rsidRPr="003726FE">
              <w:rPr>
                <w:rFonts w:ascii="TUOS Blake" w:hAnsi="TUOS Blake" w:cs="Arial"/>
                <w:sz w:val="22"/>
              </w:rPr>
              <w:t>I understand that my responses will be kept strictly confidential.</w:t>
            </w:r>
            <w:r w:rsidRPr="003726FE">
              <w:rPr>
                <w:rFonts w:ascii="TUOS Blake" w:hAnsi="TUOS Blake" w:cs="Arial"/>
                <w:sz w:val="22"/>
              </w:rPr>
              <w:br/>
              <w:t xml:space="preserve">I give permission for members of the research team to have access to my anonymised responses. I understand that will not be identified or identifiable in the report or reports that result from the research.  </w:t>
            </w:r>
          </w:p>
          <w:p w14:paraId="11744EC8" w14:textId="65EE6B1E" w:rsidR="004110DF" w:rsidRPr="003726FE" w:rsidRDefault="008A4137" w:rsidP="008A4137">
            <w:pPr>
              <w:numPr>
                <w:ilvl w:val="0"/>
                <w:numId w:val="49"/>
              </w:numPr>
              <w:tabs>
                <w:tab w:val="clear" w:pos="720"/>
                <w:tab w:val="left" w:pos="360"/>
                <w:tab w:val="num" w:pos="454"/>
              </w:tabs>
              <w:spacing w:after="0" w:line="276" w:lineRule="auto"/>
              <w:ind w:left="313" w:right="667" w:hanging="284"/>
              <w:rPr>
                <w:rFonts w:ascii="TUOS Blake" w:hAnsi="TUOS Blake" w:cs="Arial"/>
                <w:sz w:val="22"/>
              </w:rPr>
            </w:pPr>
            <w:r w:rsidRPr="003726FE">
              <w:rPr>
                <w:rFonts w:ascii="TUOS Blake" w:hAnsi="TUOS Blake" w:cs="Arial"/>
                <w:noProof/>
                <w:lang w:eastAsia="en-GB"/>
              </w:rPr>
              <mc:AlternateContent>
                <mc:Choice Requires="wps">
                  <w:drawing>
                    <wp:anchor distT="0" distB="0" distL="114300" distR="114300" simplePos="0" relativeHeight="251997184" behindDoc="0" locked="0" layoutInCell="1" allowOverlap="1" wp14:anchorId="637F1DA0" wp14:editId="5000EF08">
                      <wp:simplePos x="0" y="0"/>
                      <wp:positionH relativeFrom="column">
                        <wp:posOffset>4798695</wp:posOffset>
                      </wp:positionH>
                      <wp:positionV relativeFrom="paragraph">
                        <wp:posOffset>997245</wp:posOffset>
                      </wp:positionV>
                      <wp:extent cx="457200" cy="342900"/>
                      <wp:effectExtent l="0" t="0" r="25400" b="38100"/>
                      <wp:wrapNone/>
                      <wp:docPr id="4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5DF27" id="Rectangle 36" o:spid="_x0000_s1026" style="position:absolute;margin-left:377.85pt;margin-top:78.5pt;width:36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"/>
                  </w:pict>
                </mc:Fallback>
              </mc:AlternateContent>
            </w:r>
            <w:r w:rsidR="004110DF" w:rsidRPr="003726FE">
              <w:rPr>
                <w:rFonts w:ascii="TUOS Blake" w:hAnsi="TUOS Blake" w:cs="Arial"/>
                <w:sz w:val="22"/>
              </w:rPr>
              <w:t>I give consent for sound recordings to be collected.  I confirm that the purpose for which the material would be used has been explained to me in terms that I have understood and I agree to the use of the material in such circumstances.  I understand that if the material is required for use in any other way than that explained to me then my consent to this will be specifically sought.</w:t>
            </w:r>
          </w:p>
          <w:p w14:paraId="12BCA721" w14:textId="04AB7FAD" w:rsidR="004110DF" w:rsidRPr="003726FE" w:rsidRDefault="004110DF" w:rsidP="008A4137">
            <w:pPr>
              <w:numPr>
                <w:ilvl w:val="0"/>
                <w:numId w:val="49"/>
              </w:numPr>
              <w:tabs>
                <w:tab w:val="clear" w:pos="720"/>
                <w:tab w:val="left" w:pos="360"/>
                <w:tab w:val="num" w:pos="454"/>
              </w:tabs>
              <w:spacing w:after="0" w:line="276" w:lineRule="auto"/>
              <w:ind w:left="313" w:right="667" w:hanging="284"/>
              <w:rPr>
                <w:rFonts w:ascii="TUOS Blake" w:hAnsi="TUOS Blake" w:cs="Arial"/>
                <w:sz w:val="22"/>
              </w:rPr>
            </w:pPr>
            <w:r w:rsidRPr="003726FE">
              <w:rPr>
                <w:rFonts w:ascii="TUOS Blake" w:hAnsi="TUOS Blake" w:cs="Arial"/>
                <w:sz w:val="22"/>
              </w:rPr>
              <w:t>I agree for the data collected from me to be used in future research.</w:t>
            </w:r>
          </w:p>
          <w:p w14:paraId="6A646631" w14:textId="5B040170" w:rsidR="004110DF" w:rsidRPr="003726FE" w:rsidRDefault="008A4137" w:rsidP="008A4137">
            <w:pPr>
              <w:numPr>
                <w:ilvl w:val="0"/>
                <w:numId w:val="49"/>
              </w:numPr>
              <w:tabs>
                <w:tab w:val="clear" w:pos="720"/>
                <w:tab w:val="left" w:pos="360"/>
                <w:tab w:val="num" w:pos="454"/>
              </w:tabs>
              <w:spacing w:after="0" w:line="276" w:lineRule="auto"/>
              <w:ind w:left="313" w:right="667" w:hanging="284"/>
              <w:rPr>
                <w:rFonts w:ascii="TUOS Blake" w:hAnsi="TUOS Blake" w:cs="Arial"/>
                <w:sz w:val="22"/>
              </w:rPr>
            </w:pPr>
            <w:r w:rsidRPr="003726FE">
              <w:rPr>
                <w:rFonts w:ascii="TUOS Blake" w:hAnsi="TUOS Blake" w:cs="Arial"/>
                <w:noProof/>
                <w:sz w:val="22"/>
                <w:lang w:eastAsia="en-GB"/>
              </w:rPr>
              <mc:AlternateContent>
                <mc:Choice Requires="wps">
                  <w:drawing>
                    <wp:anchor distT="0" distB="0" distL="114300" distR="114300" simplePos="0" relativeHeight="251996160" behindDoc="0" locked="0" layoutInCell="1" allowOverlap="1" wp14:anchorId="0C069FC8" wp14:editId="76EEE81C">
                      <wp:simplePos x="0" y="0"/>
                      <wp:positionH relativeFrom="column">
                        <wp:posOffset>4796953</wp:posOffset>
                      </wp:positionH>
                      <wp:positionV relativeFrom="paragraph">
                        <wp:posOffset>64947</wp:posOffset>
                      </wp:positionV>
                      <wp:extent cx="457200" cy="342900"/>
                      <wp:effectExtent l="0" t="0" r="25400" b="38100"/>
                      <wp:wrapNone/>
                      <wp:docPr id="49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F1AC2" id="Rectangle 35" o:spid="_x0000_s1026" style="position:absolute;margin-left:377.7pt;margin-top:5.1pt;width:36pt;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"/>
                  </w:pict>
                </mc:Fallback>
              </mc:AlternateContent>
            </w:r>
            <w:r w:rsidR="004110DF" w:rsidRPr="003726FE">
              <w:rPr>
                <w:rFonts w:ascii="TUOS Blake" w:hAnsi="TUOS Blake" w:cs="Arial"/>
                <w:sz w:val="22"/>
              </w:rPr>
              <w:t>I agree to take part in the above research project.</w:t>
            </w:r>
          </w:p>
          <w:p w14:paraId="28B15166" w14:textId="77777777" w:rsidR="004110DF" w:rsidRPr="003726FE" w:rsidRDefault="004110DF" w:rsidP="004110DF">
            <w:pPr>
              <w:rPr>
                <w:rFonts w:ascii="TUOS Blake" w:hAnsi="TUOS Blake" w:cs="Arial"/>
              </w:rPr>
            </w:pPr>
          </w:p>
          <w:p w14:paraId="358C899A" w14:textId="77777777" w:rsidR="004110DF" w:rsidRPr="003726FE" w:rsidRDefault="004110DF" w:rsidP="004110DF">
            <w:pPr>
              <w:tabs>
                <w:tab w:val="left" w:pos="3600"/>
                <w:tab w:val="left" w:pos="6480"/>
              </w:tabs>
              <w:rPr>
                <w:rFonts w:ascii="TUOS Blake" w:hAnsi="TUOS Blake" w:cs="Arial"/>
              </w:rPr>
            </w:pPr>
            <w:r w:rsidRPr="003726FE">
              <w:rPr>
                <w:rFonts w:ascii="TUOS Blake" w:hAnsi="TUOS Blake" w:cs="Arial"/>
              </w:rPr>
              <w:t>________________________</w:t>
            </w:r>
            <w:r w:rsidRPr="003726FE">
              <w:rPr>
                <w:rFonts w:ascii="TUOS Blake" w:hAnsi="TUOS Blake" w:cs="Arial"/>
              </w:rPr>
              <w:tab/>
              <w:t>________________      ________________</w:t>
            </w:r>
          </w:p>
          <w:p w14:paraId="6B87A0B9" w14:textId="77777777" w:rsidR="004110DF" w:rsidRPr="003726FE" w:rsidRDefault="004110DF" w:rsidP="004110DF">
            <w:pPr>
              <w:tabs>
                <w:tab w:val="left" w:pos="3600"/>
                <w:tab w:val="left" w:pos="6480"/>
              </w:tabs>
              <w:rPr>
                <w:rFonts w:ascii="TUOS Blake" w:hAnsi="TUOS Blake" w:cs="Arial"/>
                <w:sz w:val="22"/>
              </w:rPr>
            </w:pPr>
            <w:r w:rsidRPr="003726FE">
              <w:rPr>
                <w:rFonts w:ascii="TUOS Blake" w:hAnsi="TUOS Blake" w:cs="Arial"/>
                <w:sz w:val="22"/>
              </w:rPr>
              <w:t>Name of Participant</w:t>
            </w:r>
            <w:r w:rsidRPr="003726FE">
              <w:rPr>
                <w:rFonts w:ascii="TUOS Blake" w:hAnsi="TUOS Blake" w:cs="Arial"/>
                <w:sz w:val="22"/>
              </w:rPr>
              <w:tab/>
              <w:t>Date</w:t>
            </w:r>
            <w:r w:rsidRPr="003726FE">
              <w:rPr>
                <w:rFonts w:ascii="TUOS Blake" w:hAnsi="TUOS Blake" w:cs="Arial"/>
                <w:sz w:val="22"/>
              </w:rPr>
              <w:tab/>
              <w:t>Signature</w:t>
            </w:r>
          </w:p>
          <w:p w14:paraId="4D2DD9DC" w14:textId="77777777" w:rsidR="004110DF" w:rsidRPr="003726FE" w:rsidRDefault="004110DF" w:rsidP="004110DF">
            <w:pPr>
              <w:rPr>
                <w:rFonts w:ascii="TUOS Blake" w:hAnsi="TUOS Blake" w:cs="Arial"/>
                <w:sz w:val="22"/>
              </w:rPr>
            </w:pPr>
            <w:r w:rsidRPr="003726FE">
              <w:rPr>
                <w:rFonts w:ascii="TUOS Blake" w:hAnsi="TUOS Blake" w:cs="Arial"/>
                <w:sz w:val="22"/>
              </w:rPr>
              <w:t>(</w:t>
            </w:r>
            <w:r w:rsidRPr="003726FE">
              <w:rPr>
                <w:rFonts w:ascii="TUOS Blake" w:hAnsi="TUOS Blake" w:cs="Arial"/>
                <w:i/>
                <w:iCs/>
                <w:sz w:val="22"/>
              </w:rPr>
              <w:t>or legal representative</w:t>
            </w:r>
            <w:r w:rsidRPr="003726FE">
              <w:rPr>
                <w:rFonts w:ascii="TUOS Blake" w:hAnsi="TUOS Blake" w:cs="Arial"/>
                <w:sz w:val="22"/>
              </w:rPr>
              <w:t>)</w:t>
            </w:r>
          </w:p>
          <w:p w14:paraId="730BA21D" w14:textId="77777777" w:rsidR="004110DF" w:rsidRPr="003726FE" w:rsidRDefault="004110DF" w:rsidP="004110DF">
            <w:pPr>
              <w:pStyle w:val="Header"/>
              <w:tabs>
                <w:tab w:val="left" w:pos="3600"/>
                <w:tab w:val="left" w:pos="6480"/>
              </w:tabs>
              <w:rPr>
                <w:rFonts w:ascii="TUOS Blake" w:hAnsi="TUOS Blake" w:cs="Arial"/>
                <w:sz w:val="22"/>
              </w:rPr>
            </w:pPr>
          </w:p>
          <w:p w14:paraId="20572088" w14:textId="77777777" w:rsidR="004110DF" w:rsidRPr="003726FE" w:rsidRDefault="004110DF" w:rsidP="004110DF">
            <w:pPr>
              <w:pStyle w:val="Header"/>
              <w:tabs>
                <w:tab w:val="left" w:pos="3600"/>
                <w:tab w:val="left" w:pos="6480"/>
              </w:tabs>
              <w:rPr>
                <w:rFonts w:ascii="TUOS Blake" w:hAnsi="TUOS Blake" w:cs="Arial"/>
                <w:sz w:val="22"/>
              </w:rPr>
            </w:pPr>
            <w:r w:rsidRPr="003726FE">
              <w:rPr>
                <w:rFonts w:ascii="TUOS Blake" w:hAnsi="TUOS Blake" w:cs="Arial"/>
                <w:sz w:val="22"/>
              </w:rPr>
              <w:t>_________________________</w:t>
            </w:r>
            <w:r w:rsidRPr="003726FE">
              <w:rPr>
                <w:rFonts w:ascii="TUOS Blake" w:hAnsi="TUOS Blake" w:cs="Arial"/>
                <w:sz w:val="22"/>
              </w:rPr>
              <w:tab/>
              <w:t>________________         __________________</w:t>
            </w:r>
          </w:p>
          <w:p w14:paraId="4987CDC2" w14:textId="77777777" w:rsidR="004110DF" w:rsidRPr="003726FE" w:rsidRDefault="004110DF" w:rsidP="004110DF">
            <w:pPr>
              <w:tabs>
                <w:tab w:val="left" w:pos="3600"/>
                <w:tab w:val="left" w:pos="6480"/>
              </w:tabs>
              <w:rPr>
                <w:rFonts w:ascii="TUOS Blake" w:hAnsi="TUOS Blake" w:cs="Arial"/>
                <w:sz w:val="22"/>
              </w:rPr>
            </w:pPr>
            <w:r w:rsidRPr="003726FE">
              <w:rPr>
                <w:rFonts w:ascii="TUOS Blake" w:hAnsi="TUOS Blake" w:cs="Arial"/>
                <w:sz w:val="22"/>
              </w:rPr>
              <w:t xml:space="preserve"> Lead Researcher</w:t>
            </w:r>
            <w:r w:rsidRPr="003726FE">
              <w:rPr>
                <w:rFonts w:ascii="TUOS Blake" w:hAnsi="TUOS Blake" w:cs="Arial"/>
                <w:sz w:val="22"/>
              </w:rPr>
              <w:tab/>
              <w:t>Date</w:t>
            </w:r>
            <w:r w:rsidRPr="003726FE">
              <w:rPr>
                <w:rFonts w:ascii="TUOS Blake" w:hAnsi="TUOS Blake" w:cs="Arial"/>
                <w:sz w:val="22"/>
              </w:rPr>
              <w:tab/>
              <w:t>Signature</w:t>
            </w:r>
          </w:p>
          <w:p w14:paraId="79ED68D6" w14:textId="77777777" w:rsidR="004110DF" w:rsidRPr="003726FE" w:rsidRDefault="004110DF" w:rsidP="004110DF">
            <w:pPr>
              <w:rPr>
                <w:rFonts w:ascii="TUOS Blake" w:hAnsi="TUOS Blake" w:cs="Arial"/>
                <w:i/>
                <w:iCs/>
                <w:sz w:val="22"/>
              </w:rPr>
            </w:pPr>
            <w:r w:rsidRPr="003726FE">
              <w:rPr>
                <w:rFonts w:ascii="TUOS Blake" w:hAnsi="TUOS Blake" w:cs="Arial"/>
                <w:i/>
                <w:iCs/>
                <w:sz w:val="22"/>
              </w:rPr>
              <w:t>To be signed and dated in presence of the participant</w:t>
            </w:r>
          </w:p>
          <w:p w14:paraId="23DBC005" w14:textId="77777777" w:rsidR="004110DF" w:rsidRPr="003726FE" w:rsidRDefault="004110DF" w:rsidP="004110DF">
            <w:pPr>
              <w:rPr>
                <w:rFonts w:ascii="TUOS Blake" w:hAnsi="TUOS Blake" w:cs="Arial"/>
                <w:sz w:val="20"/>
              </w:rPr>
            </w:pPr>
            <w:r w:rsidRPr="003726FE">
              <w:rPr>
                <w:rFonts w:ascii="TUOS Blake" w:hAnsi="TUOS Blake" w:cs="Arial"/>
                <w:sz w:val="20"/>
              </w:rPr>
              <w:t>Contact details:</w:t>
            </w:r>
          </w:p>
          <w:p w14:paraId="40625768" w14:textId="77777777" w:rsidR="004110DF" w:rsidRPr="003726FE" w:rsidRDefault="004110DF" w:rsidP="004110DF">
            <w:pPr>
              <w:rPr>
                <w:rFonts w:ascii="TUOS Blake" w:hAnsi="TUOS Blake" w:cs="Arial"/>
                <w:sz w:val="20"/>
              </w:rPr>
            </w:pPr>
            <w:r w:rsidRPr="003726FE">
              <w:rPr>
                <w:rFonts w:ascii="TUOS Blake" w:hAnsi="TUOS Blake" w:cs="Arial"/>
                <w:sz w:val="20"/>
              </w:rPr>
              <w:t xml:space="preserve">Lead researcher – Billy Bryan: </w:t>
            </w:r>
            <w:hyperlink r:id="rId150" w:history="1">
              <w:r w:rsidRPr="003726FE">
                <w:rPr>
                  <w:rStyle w:val="Hyperlink"/>
                  <w:rFonts w:ascii="TUOS Blake" w:hAnsi="TUOS Blake" w:cs="Arial"/>
                  <w:sz w:val="20"/>
                </w:rPr>
                <w:t>bjbryan1@sheffield.ac.uk</w:t>
              </w:r>
            </w:hyperlink>
          </w:p>
          <w:p w14:paraId="17C01796" w14:textId="77777777" w:rsidR="004110DF" w:rsidRPr="003726FE" w:rsidRDefault="004110DF" w:rsidP="004110DF">
            <w:pPr>
              <w:rPr>
                <w:rFonts w:ascii="TUOS Blake" w:hAnsi="TUOS Blake" w:cs="Arial"/>
                <w:i/>
                <w:iCs/>
                <w:sz w:val="22"/>
              </w:rPr>
            </w:pPr>
            <w:r w:rsidRPr="003726FE">
              <w:rPr>
                <w:rFonts w:ascii="TUOS Blake" w:hAnsi="TUOS Blake" w:cs="Arial"/>
                <w:sz w:val="20"/>
              </w:rPr>
              <w:t xml:space="preserve">Main supervisor – Deborah Murdoch-Eaton: </w:t>
            </w:r>
            <w:hyperlink r:id="rId151" w:history="1">
              <w:r w:rsidRPr="003726FE">
                <w:rPr>
                  <w:rStyle w:val="Hyperlink"/>
                  <w:rFonts w:ascii="TUOS Blake" w:hAnsi="TUOS Blake" w:cs="Arial"/>
                  <w:sz w:val="20"/>
                </w:rPr>
                <w:t>d.murdoch-eaton@sheffield.ac.uk</w:t>
              </w:r>
            </w:hyperlink>
          </w:p>
        </w:tc>
        <w:tc>
          <w:tcPr>
            <w:tcW w:w="236" w:type="dxa"/>
            <w:tcBorders>
              <w:left w:val="nil"/>
            </w:tcBorders>
          </w:tcPr>
          <w:p w14:paraId="3F559110" w14:textId="369CA2ED" w:rsidR="004110DF" w:rsidRPr="003726FE" w:rsidRDefault="004110DF" w:rsidP="004110DF">
            <w:pPr>
              <w:pStyle w:val="Header"/>
              <w:jc w:val="both"/>
              <w:rPr>
                <w:rFonts w:ascii="TUOS Blake" w:hAnsi="TUOS Blake" w:cs="Arial"/>
                <w:i/>
                <w:iCs/>
              </w:rPr>
            </w:pPr>
          </w:p>
        </w:tc>
      </w:tr>
    </w:tbl>
    <w:p w14:paraId="10C3590D" w14:textId="6CF94384" w:rsidR="004110DF" w:rsidRPr="003726FE" w:rsidRDefault="004110DF">
      <w:pPr>
        <w:rPr>
          <w:rFonts w:ascii="TUOS Blake" w:hAnsi="TUOS Blake"/>
          <w:b/>
          <w:sz w:val="28"/>
        </w:rPr>
      </w:pPr>
      <w:r w:rsidRPr="003726FE">
        <w:rPr>
          <w:rFonts w:ascii="TUOS Blake" w:hAnsi="TUOS Blake"/>
          <w:b/>
          <w:sz w:val="28"/>
        </w:rPr>
        <w:t>Informed consent form</w:t>
      </w:r>
      <w:r w:rsidRPr="003726FE">
        <w:rPr>
          <w:rFonts w:ascii="TUOS Blake" w:hAnsi="TUOS Blake"/>
          <w:b/>
          <w:sz w:val="28"/>
        </w:rPr>
        <w:br w:type="page"/>
      </w:r>
    </w:p>
    <w:p w14:paraId="7D2D1C94" w14:textId="46AE5A31" w:rsidR="000920B7" w:rsidRPr="003726FE" w:rsidRDefault="000920B7" w:rsidP="000920B7">
      <w:pPr>
        <w:rPr>
          <w:b/>
        </w:rPr>
      </w:pPr>
      <w:r w:rsidRPr="003726FE">
        <w:rPr>
          <w:b/>
        </w:rPr>
        <w:lastRenderedPageBreak/>
        <w:t>Sample member checking form from student interviews</w:t>
      </w:r>
    </w:p>
    <w:p w14:paraId="5750CA3E" w14:textId="77777777" w:rsidR="000920B7" w:rsidRPr="003726FE" w:rsidRDefault="000920B7" w:rsidP="004F2565">
      <w:pPr>
        <w:jc w:val="center"/>
        <w:rPr>
          <w:b/>
          <w:u w:val="single"/>
        </w:rPr>
      </w:pPr>
      <w:r w:rsidRPr="003726FE">
        <w:rPr>
          <w:b/>
          <w:u w:val="single"/>
        </w:rPr>
        <w:t>Interview Summary</w:t>
      </w:r>
    </w:p>
    <w:p w14:paraId="516BA322" w14:textId="77777777" w:rsidR="000920B7" w:rsidRPr="003726FE" w:rsidRDefault="000920B7" w:rsidP="004F2565"/>
    <w:p w14:paraId="295E3DCC" w14:textId="77777777" w:rsidR="000920B7" w:rsidRPr="003726FE" w:rsidRDefault="000920B7" w:rsidP="004F2565">
      <w:r w:rsidRPr="003726FE">
        <w:t>This summary details the main points of the interview as has been transcribed and interpreted by the interviewer. The purpose of sending this to you is to check the interpretation is a true record from your perspective. Please add comments to the box at the end; these comments can be anything from corrections to general reactions to the experience, there are no right or wrong answers and any thoughts are encouraged.</w:t>
      </w:r>
    </w:p>
    <w:p w14:paraId="1F758AE9" w14:textId="77777777" w:rsidR="000920B7" w:rsidRPr="003726FE" w:rsidRDefault="000920B7" w:rsidP="004F2565"/>
    <w:p w14:paraId="7B5ED147" w14:textId="77777777" w:rsidR="000920B7" w:rsidRPr="003726FE" w:rsidRDefault="000920B7" w:rsidP="004F2565">
      <w:pPr>
        <w:jc w:val="center"/>
        <w:rPr>
          <w:b/>
        </w:rPr>
      </w:pPr>
      <w:r w:rsidRPr="003726FE">
        <w:rPr>
          <w:b/>
        </w:rPr>
        <w:t>Please send this document back with added comments. If you feel this account is an accurate representation and do not wish to comment, please reply to confirm this. Feel free to email with any questions.</w:t>
      </w:r>
    </w:p>
    <w:p w14:paraId="7F8F7950" w14:textId="77777777" w:rsidR="000920B7" w:rsidRPr="003726FE" w:rsidRDefault="000920B7"/>
    <w:p w14:paraId="3E2E0140" w14:textId="5D50BA00" w:rsidR="000920B7" w:rsidRPr="003726FE" w:rsidRDefault="000920B7">
      <w:pPr>
        <w:rPr>
          <w:b/>
        </w:rPr>
      </w:pPr>
      <w:r w:rsidRPr="003726FE">
        <w:rPr>
          <w:noProof/>
          <w:lang w:eastAsia="en-GB"/>
        </w:rPr>
        <mc:AlternateContent>
          <mc:Choice Requires="wps">
            <w:drawing>
              <wp:anchor distT="0" distB="0" distL="114300" distR="114300" simplePos="0" relativeHeight="252004352" behindDoc="0" locked="0" layoutInCell="1" allowOverlap="1" wp14:anchorId="40E69402" wp14:editId="13F88EA9">
                <wp:simplePos x="0" y="0"/>
                <wp:positionH relativeFrom="column">
                  <wp:posOffset>-36681</wp:posOffset>
                </wp:positionH>
                <wp:positionV relativeFrom="paragraph">
                  <wp:posOffset>214157</wp:posOffset>
                </wp:positionV>
                <wp:extent cx="5454502" cy="5156791"/>
                <wp:effectExtent l="0" t="0" r="13335" b="2540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02" cy="5156791"/>
                        </a:xfrm>
                        <a:prstGeom prst="rect">
                          <a:avLst/>
                        </a:prstGeom>
                        <a:solidFill>
                          <a:srgbClr val="FFFFFF"/>
                        </a:solidFill>
                        <a:ln w="9525">
                          <a:solidFill>
                            <a:srgbClr val="000000"/>
                          </a:solidFill>
                          <a:miter lim="800000"/>
                          <a:headEnd/>
                          <a:tailEnd/>
                        </a:ln>
                      </wps:spPr>
                      <wps:txbx>
                        <w:txbxContent>
                          <w:p w14:paraId="10ABD057" w14:textId="77777777" w:rsidR="00C8402C" w:rsidRDefault="00C8402C" w:rsidP="004F2565">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69402" id="_x0000_s1435" type="#_x0000_t202" style="position:absolute;margin-left:-2.9pt;margin-top:16.85pt;width:429.5pt;height:406.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">
                <v:textbox>
                  <w:txbxContent>
                    <w:p w14:paraId="10ABD057" w14:textId="77777777" w:rsidR="00C8402C" w:rsidRDefault="00C8402C" w:rsidP="004F2565">
                      <w:pPr>
                        <w:spacing w:line="276" w:lineRule="auto"/>
                      </w:pPr>
                    </w:p>
                  </w:txbxContent>
                </v:textbox>
              </v:shape>
            </w:pict>
          </mc:Fallback>
        </mc:AlternateContent>
      </w:r>
      <w:r w:rsidRPr="003726FE">
        <w:rPr>
          <w:b/>
        </w:rPr>
        <w:t>Researcher summary:</w:t>
      </w:r>
    </w:p>
    <w:p w14:paraId="05F2D297" w14:textId="7154CD31" w:rsidR="000920B7" w:rsidRPr="003726FE" w:rsidRDefault="000920B7">
      <w:pPr>
        <w:rPr>
          <w:b/>
        </w:rPr>
      </w:pPr>
    </w:p>
    <w:p w14:paraId="4F859244" w14:textId="61660601" w:rsidR="000920B7" w:rsidRPr="003726FE" w:rsidRDefault="000920B7">
      <w:r w:rsidRPr="003726FE">
        <w:br w:type="page"/>
      </w:r>
    </w:p>
    <w:p w14:paraId="5249295F" w14:textId="77777777" w:rsidR="000920B7" w:rsidRPr="003726FE" w:rsidRDefault="000920B7">
      <w:pPr>
        <w:rPr>
          <w:b/>
        </w:rPr>
      </w:pPr>
      <w:r w:rsidRPr="003726FE">
        <w:rPr>
          <w:b/>
        </w:rPr>
        <w:lastRenderedPageBreak/>
        <w:t>Comments/thoughts/reactions:</w:t>
      </w:r>
    </w:p>
    <w:p w14:paraId="5BC50637" w14:textId="77777777" w:rsidR="000920B7" w:rsidRPr="003726FE" w:rsidRDefault="000920B7">
      <w:pPr>
        <w:rPr>
          <w:b/>
        </w:rPr>
      </w:pPr>
      <w:r w:rsidRPr="003726FE">
        <w:rPr>
          <w:b/>
          <w:noProof/>
          <w:lang w:eastAsia="en-GB"/>
        </w:rPr>
        <mc:AlternateContent>
          <mc:Choice Requires="wps">
            <w:drawing>
              <wp:anchor distT="0" distB="0" distL="114300" distR="114300" simplePos="0" relativeHeight="252003328" behindDoc="0" locked="0" layoutInCell="1" allowOverlap="1" wp14:anchorId="7C9128BA" wp14:editId="0181F85C">
                <wp:simplePos x="0" y="0"/>
                <wp:positionH relativeFrom="column">
                  <wp:posOffset>-10633</wp:posOffset>
                </wp:positionH>
                <wp:positionV relativeFrom="paragraph">
                  <wp:posOffset>81309</wp:posOffset>
                </wp:positionV>
                <wp:extent cx="5528931" cy="5295013"/>
                <wp:effectExtent l="0" t="0" r="15240" b="2032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1" cy="5295013"/>
                        </a:xfrm>
                        <a:prstGeom prst="rect">
                          <a:avLst/>
                        </a:prstGeom>
                        <a:solidFill>
                          <a:srgbClr val="FFFFFF"/>
                        </a:solidFill>
                        <a:ln w="9525">
                          <a:solidFill>
                            <a:srgbClr val="000000"/>
                          </a:solidFill>
                          <a:miter lim="800000"/>
                          <a:headEnd/>
                          <a:tailEnd/>
                        </a:ln>
                      </wps:spPr>
                      <wps:txbx>
                        <w:txbxContent>
                          <w:p w14:paraId="6372815F" w14:textId="77777777" w:rsidR="00C8402C" w:rsidRDefault="00C840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128BA" id="_x0000_s1436" type="#_x0000_t202" style="position:absolute;margin-left:-.85pt;margin-top:6.4pt;width:435.35pt;height:416.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">
                <v:textbox>
                  <w:txbxContent>
                    <w:p w14:paraId="6372815F" w14:textId="77777777" w:rsidR="00C8402C" w:rsidRDefault="00C8402C"/>
                  </w:txbxContent>
                </v:textbox>
              </v:shape>
            </w:pict>
          </mc:Fallback>
        </mc:AlternateContent>
      </w:r>
    </w:p>
    <w:p w14:paraId="308C4A9E" w14:textId="77777777" w:rsidR="000920B7" w:rsidRPr="003726FE" w:rsidRDefault="000920B7" w:rsidP="004F2565"/>
    <w:p w14:paraId="111752B0" w14:textId="77777777" w:rsidR="000920B7" w:rsidRPr="003726FE" w:rsidRDefault="000920B7" w:rsidP="004F2565"/>
    <w:p w14:paraId="46CBE1C2" w14:textId="77777777" w:rsidR="000920B7" w:rsidRPr="003726FE" w:rsidRDefault="000920B7" w:rsidP="004F2565"/>
    <w:p w14:paraId="16A0B5AE" w14:textId="77777777" w:rsidR="000920B7" w:rsidRPr="003726FE" w:rsidRDefault="000920B7" w:rsidP="004F2565"/>
    <w:p w14:paraId="2E66A4C3" w14:textId="77777777" w:rsidR="000920B7" w:rsidRPr="003726FE" w:rsidRDefault="000920B7" w:rsidP="004F2565"/>
    <w:p w14:paraId="32CB8A6F" w14:textId="77777777" w:rsidR="000920B7" w:rsidRPr="003726FE" w:rsidRDefault="000920B7" w:rsidP="004F2565"/>
    <w:p w14:paraId="458A83A3" w14:textId="77777777" w:rsidR="000920B7" w:rsidRPr="003726FE" w:rsidRDefault="000920B7" w:rsidP="004F2565"/>
    <w:p w14:paraId="6DE8F0B5" w14:textId="77777777" w:rsidR="000920B7" w:rsidRPr="003726FE" w:rsidRDefault="000920B7" w:rsidP="004F2565"/>
    <w:p w14:paraId="1C67508F" w14:textId="77777777" w:rsidR="000920B7" w:rsidRPr="003726FE" w:rsidRDefault="000920B7" w:rsidP="004F2565"/>
    <w:p w14:paraId="428A3AB7" w14:textId="77777777" w:rsidR="000920B7" w:rsidRPr="003726FE" w:rsidRDefault="000920B7" w:rsidP="004F2565"/>
    <w:p w14:paraId="4BFB643C" w14:textId="77777777" w:rsidR="000920B7" w:rsidRPr="003726FE" w:rsidRDefault="000920B7" w:rsidP="004F2565"/>
    <w:p w14:paraId="06411EE7" w14:textId="77777777" w:rsidR="000920B7" w:rsidRPr="003726FE" w:rsidRDefault="000920B7" w:rsidP="004F2565"/>
    <w:p w14:paraId="0B4B33E0" w14:textId="77777777" w:rsidR="000920B7" w:rsidRPr="003726FE" w:rsidRDefault="000920B7" w:rsidP="004F2565"/>
    <w:p w14:paraId="5F11D571" w14:textId="77777777" w:rsidR="000920B7" w:rsidRPr="003726FE" w:rsidRDefault="000920B7" w:rsidP="004F2565"/>
    <w:p w14:paraId="4A362B50" w14:textId="77777777" w:rsidR="000920B7" w:rsidRPr="003726FE" w:rsidRDefault="000920B7" w:rsidP="004F2565"/>
    <w:p w14:paraId="1B287F0C" w14:textId="77777777" w:rsidR="000920B7" w:rsidRPr="003726FE" w:rsidRDefault="000920B7" w:rsidP="004F2565"/>
    <w:p w14:paraId="7B9EA0CF" w14:textId="77777777" w:rsidR="000920B7" w:rsidRPr="003726FE" w:rsidRDefault="000920B7" w:rsidP="004F2565"/>
    <w:p w14:paraId="0F8C20E9" w14:textId="77777777" w:rsidR="000920B7" w:rsidRPr="003726FE" w:rsidRDefault="000920B7" w:rsidP="004F2565"/>
    <w:p w14:paraId="286B6D5F" w14:textId="77777777" w:rsidR="000920B7" w:rsidRPr="003726FE" w:rsidRDefault="000920B7" w:rsidP="004F2565"/>
    <w:p w14:paraId="3C4FA04A" w14:textId="77777777" w:rsidR="000920B7" w:rsidRPr="003726FE" w:rsidRDefault="000920B7" w:rsidP="004F2565"/>
    <w:p w14:paraId="55C51B5C" w14:textId="77777777" w:rsidR="000920B7" w:rsidRPr="003726FE" w:rsidRDefault="000920B7" w:rsidP="004F2565">
      <w:pPr>
        <w:tabs>
          <w:tab w:val="left" w:pos="4050"/>
        </w:tabs>
        <w:jc w:val="center"/>
        <w:rPr>
          <w:b/>
        </w:rPr>
      </w:pPr>
      <w:r w:rsidRPr="003726FE">
        <w:rPr>
          <w:b/>
        </w:rPr>
        <w:t>Thank you for your comments.</w:t>
      </w:r>
    </w:p>
    <w:p w14:paraId="05B78885" w14:textId="77777777" w:rsidR="000920B7" w:rsidRPr="003726FE" w:rsidRDefault="000920B7" w:rsidP="004F2565">
      <w:pPr>
        <w:tabs>
          <w:tab w:val="left" w:pos="4050"/>
        </w:tabs>
        <w:jc w:val="center"/>
        <w:rPr>
          <w:b/>
        </w:rPr>
      </w:pPr>
    </w:p>
    <w:p w14:paraId="6CFCFF99" w14:textId="77777777" w:rsidR="000920B7" w:rsidRPr="003726FE" w:rsidRDefault="000920B7" w:rsidP="004F2565">
      <w:pPr>
        <w:tabs>
          <w:tab w:val="left" w:pos="4050"/>
        </w:tabs>
        <w:jc w:val="center"/>
        <w:rPr>
          <w:b/>
        </w:rPr>
      </w:pPr>
      <w:r w:rsidRPr="003726FE">
        <w:rPr>
          <w:b/>
        </w:rPr>
        <w:t>Please return to: bjbryan1@sheffield.ac.uk</w:t>
      </w:r>
    </w:p>
    <w:p w14:paraId="39E0DD0B" w14:textId="398AC907" w:rsidR="00C20F57" w:rsidRPr="003726FE" w:rsidRDefault="000920B7" w:rsidP="00B1638D">
      <w:pPr>
        <w:pStyle w:val="Heading2"/>
        <w:rPr>
          <w:rFonts w:ascii="TUOS Blake" w:hAnsi="TUOS Blake"/>
          <w:lang w:val="en-GB"/>
        </w:rPr>
      </w:pPr>
      <w:r w:rsidRPr="003726FE">
        <w:rPr>
          <w:lang w:val="en-GB"/>
        </w:rPr>
        <w:br w:type="column"/>
      </w:r>
      <w:bookmarkStart w:id="1004" w:name="_Toc500319490"/>
      <w:r w:rsidR="00C20F57" w:rsidRPr="003726FE">
        <w:rPr>
          <w:lang w:val="en-GB"/>
        </w:rPr>
        <w:lastRenderedPageBreak/>
        <w:t xml:space="preserve">Appendix </w:t>
      </w:r>
      <w:r w:rsidR="001D4448" w:rsidRPr="003726FE">
        <w:rPr>
          <w:lang w:val="en-GB"/>
        </w:rPr>
        <w:t>1</w:t>
      </w:r>
      <w:r w:rsidR="009F0E25" w:rsidRPr="003726FE">
        <w:rPr>
          <w:lang w:val="en-GB"/>
        </w:rPr>
        <w:t>9</w:t>
      </w:r>
      <w:r w:rsidR="00C20F57" w:rsidRPr="003726FE">
        <w:rPr>
          <w:lang w:val="en-GB"/>
        </w:rPr>
        <w:t xml:space="preserve">. Participant </w:t>
      </w:r>
      <w:r w:rsidR="00912749" w:rsidRPr="003726FE">
        <w:rPr>
          <w:lang w:val="en-GB"/>
        </w:rPr>
        <w:t xml:space="preserve">Demographics – </w:t>
      </w:r>
      <w:r w:rsidR="00C20F57" w:rsidRPr="003726FE">
        <w:rPr>
          <w:lang w:val="en-GB"/>
        </w:rPr>
        <w:t xml:space="preserve">Focus </w:t>
      </w:r>
      <w:r w:rsidR="00912749" w:rsidRPr="003726FE">
        <w:rPr>
          <w:lang w:val="en-GB"/>
        </w:rPr>
        <w:t>Groups and Interviews.</w:t>
      </w:r>
      <w:bookmarkEnd w:id="1004"/>
    </w:p>
    <w:tbl>
      <w:tblPr>
        <w:tblpPr w:leftFromText="180" w:rightFromText="180" w:vertAnchor="page" w:horzAnchor="margin" w:tblpXSpec="center" w:tblpY="2817"/>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273"/>
        <w:gridCol w:w="873"/>
        <w:gridCol w:w="992"/>
        <w:gridCol w:w="1134"/>
        <w:gridCol w:w="1713"/>
        <w:gridCol w:w="1003"/>
      </w:tblGrid>
      <w:tr w:rsidR="00713856" w:rsidRPr="003726FE" w14:paraId="2228B3A0" w14:textId="77777777" w:rsidTr="008A4137">
        <w:trPr>
          <w:trHeight w:val="300"/>
        </w:trPr>
        <w:tc>
          <w:tcPr>
            <w:tcW w:w="1235" w:type="dxa"/>
          </w:tcPr>
          <w:p w14:paraId="717BB91F"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530A6779" w14:textId="031EA004"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bottom"/>
            <w:hideMark/>
          </w:tcPr>
          <w:p w14:paraId="3279D84B" w14:textId="7B7BAF8B"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bottom"/>
            <w:hideMark/>
          </w:tcPr>
          <w:p w14:paraId="076B7CCE" w14:textId="1142F8BC"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bottom"/>
            <w:hideMark/>
          </w:tcPr>
          <w:p w14:paraId="419FB038"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263835D4" w14:textId="475D685E"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bottom"/>
            <w:hideMark/>
          </w:tcPr>
          <w:p w14:paraId="5575C58E" w14:textId="0A399A5C"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52B2075C" w14:textId="77777777" w:rsidTr="008A4137">
        <w:trPr>
          <w:trHeight w:val="300"/>
        </w:trPr>
        <w:tc>
          <w:tcPr>
            <w:tcW w:w="1235" w:type="dxa"/>
            <w:vMerge w:val="restart"/>
            <w:vAlign w:val="center"/>
          </w:tcPr>
          <w:p w14:paraId="0E7FCF34"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1</w:t>
            </w:r>
          </w:p>
        </w:tc>
        <w:tc>
          <w:tcPr>
            <w:tcW w:w="1278" w:type="dxa"/>
            <w:vMerge w:val="restart"/>
            <w:vAlign w:val="center"/>
          </w:tcPr>
          <w:p w14:paraId="4A48E1BF" w14:textId="61911158" w:rsidR="00713856" w:rsidRPr="003726FE" w:rsidRDefault="00713856"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00:48:00</w:t>
            </w:r>
          </w:p>
        </w:tc>
        <w:tc>
          <w:tcPr>
            <w:tcW w:w="873" w:type="dxa"/>
            <w:vMerge w:val="restart"/>
            <w:shd w:val="clear" w:color="auto" w:fill="auto"/>
            <w:noWrap/>
            <w:vAlign w:val="center"/>
            <w:hideMark/>
          </w:tcPr>
          <w:p w14:paraId="583CBBB5" w14:textId="51307016"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7</w:t>
            </w:r>
          </w:p>
        </w:tc>
        <w:tc>
          <w:tcPr>
            <w:tcW w:w="992" w:type="dxa"/>
            <w:vMerge w:val="restart"/>
            <w:shd w:val="clear" w:color="auto" w:fill="auto"/>
            <w:noWrap/>
            <w:vAlign w:val="center"/>
            <w:hideMark/>
          </w:tcPr>
          <w:p w14:paraId="2CF9E2FA"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20.98</w:t>
            </w:r>
          </w:p>
        </w:tc>
        <w:tc>
          <w:tcPr>
            <w:tcW w:w="1134" w:type="dxa"/>
            <w:shd w:val="clear" w:color="auto" w:fill="auto"/>
            <w:noWrap/>
            <w:vAlign w:val="center"/>
            <w:hideMark/>
          </w:tcPr>
          <w:p w14:paraId="09854A98"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3</w:t>
            </w:r>
          </w:p>
        </w:tc>
        <w:tc>
          <w:tcPr>
            <w:tcW w:w="1713" w:type="dxa"/>
            <w:shd w:val="clear" w:color="auto" w:fill="auto"/>
            <w:noWrap/>
            <w:vAlign w:val="bottom"/>
            <w:hideMark/>
          </w:tcPr>
          <w:p w14:paraId="5CE0241E" w14:textId="74723DE5"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6</w:t>
            </w:r>
          </w:p>
        </w:tc>
        <w:tc>
          <w:tcPr>
            <w:tcW w:w="992" w:type="dxa"/>
            <w:vMerge w:val="restart"/>
            <w:shd w:val="clear" w:color="auto" w:fill="auto"/>
            <w:vAlign w:val="center"/>
          </w:tcPr>
          <w:p w14:paraId="598B5E6B" w14:textId="19908AFB"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r>
      <w:tr w:rsidR="00713856" w:rsidRPr="003726FE" w14:paraId="4F1B4D6B" w14:textId="77777777" w:rsidTr="008A4137">
        <w:trPr>
          <w:trHeight w:val="300"/>
        </w:trPr>
        <w:tc>
          <w:tcPr>
            <w:tcW w:w="1235" w:type="dxa"/>
            <w:vMerge/>
            <w:tcBorders>
              <w:bottom w:val="single" w:sz="4" w:space="0" w:color="auto"/>
            </w:tcBorders>
            <w:vAlign w:val="center"/>
          </w:tcPr>
          <w:p w14:paraId="12D1421F"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1F8976BB"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00E24FBF" w14:textId="6909297C"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0519F382"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bottom w:val="single" w:sz="4" w:space="0" w:color="auto"/>
            </w:tcBorders>
            <w:shd w:val="clear" w:color="auto" w:fill="auto"/>
            <w:noWrap/>
            <w:vAlign w:val="center"/>
            <w:hideMark/>
          </w:tcPr>
          <w:p w14:paraId="4F9F80A4"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4</w:t>
            </w:r>
          </w:p>
        </w:tc>
        <w:tc>
          <w:tcPr>
            <w:tcW w:w="1713" w:type="dxa"/>
            <w:tcBorders>
              <w:bottom w:val="single" w:sz="4" w:space="0" w:color="auto"/>
            </w:tcBorders>
            <w:shd w:val="clear" w:color="auto" w:fill="auto"/>
            <w:noWrap/>
            <w:vAlign w:val="bottom"/>
            <w:hideMark/>
          </w:tcPr>
          <w:p w14:paraId="5EEF775E"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Chinese: 1</w:t>
            </w:r>
          </w:p>
        </w:tc>
        <w:tc>
          <w:tcPr>
            <w:tcW w:w="992" w:type="dxa"/>
            <w:vMerge/>
            <w:tcBorders>
              <w:bottom w:val="single" w:sz="4" w:space="0" w:color="auto"/>
            </w:tcBorders>
            <w:shd w:val="clear" w:color="auto" w:fill="auto"/>
            <w:vAlign w:val="center"/>
          </w:tcPr>
          <w:p w14:paraId="351704AE" w14:textId="521085F2"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087636EB" w14:textId="77777777" w:rsidTr="008A4137">
        <w:trPr>
          <w:trHeight w:val="300"/>
        </w:trPr>
        <w:tc>
          <w:tcPr>
            <w:tcW w:w="1235" w:type="dxa"/>
            <w:tcBorders>
              <w:left w:val="nil"/>
              <w:right w:val="nil"/>
            </w:tcBorders>
            <w:vAlign w:val="center"/>
          </w:tcPr>
          <w:p w14:paraId="6575E347"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tcBorders>
              <w:left w:val="nil"/>
              <w:right w:val="nil"/>
            </w:tcBorders>
            <w:vAlign w:val="center"/>
          </w:tcPr>
          <w:p w14:paraId="4ED95843"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tcBorders>
              <w:left w:val="nil"/>
              <w:right w:val="nil"/>
            </w:tcBorders>
            <w:shd w:val="clear" w:color="auto" w:fill="auto"/>
            <w:noWrap/>
            <w:vAlign w:val="center"/>
            <w:hideMark/>
          </w:tcPr>
          <w:p w14:paraId="769CF9B9" w14:textId="779CA0FF" w:rsidR="00713856" w:rsidRPr="003726FE" w:rsidRDefault="00713856" w:rsidP="00FF6793">
            <w:pPr>
              <w:spacing w:after="0" w:line="240" w:lineRule="auto"/>
              <w:jc w:val="center"/>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7F2533BA"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513E5AC9"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602DA05E"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516E1DB3"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1E1D8F9E" w14:textId="77777777" w:rsidTr="008A4137">
        <w:trPr>
          <w:trHeight w:val="300"/>
        </w:trPr>
        <w:tc>
          <w:tcPr>
            <w:tcW w:w="1235" w:type="dxa"/>
            <w:vAlign w:val="center"/>
          </w:tcPr>
          <w:p w14:paraId="3A259583" w14:textId="4A98FB74"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603F1258" w14:textId="48F5790F"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4EE588A6" w14:textId="031BE579"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56B81BC6" w14:textId="13F4D422"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700E621A"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72D68437" w14:textId="2BA546DD"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2A9B2D17" w14:textId="3818422E"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69DEEDD8" w14:textId="77777777" w:rsidTr="008A4137">
        <w:trPr>
          <w:trHeight w:val="300"/>
        </w:trPr>
        <w:tc>
          <w:tcPr>
            <w:tcW w:w="1235" w:type="dxa"/>
            <w:vMerge w:val="restart"/>
            <w:vAlign w:val="center"/>
          </w:tcPr>
          <w:p w14:paraId="6F1B6614"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c>
          <w:tcPr>
            <w:tcW w:w="1278" w:type="dxa"/>
            <w:vMerge w:val="restart"/>
            <w:vAlign w:val="center"/>
          </w:tcPr>
          <w:p w14:paraId="649D68A5" w14:textId="72AC4F1B"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00:47:36</w:t>
            </w:r>
          </w:p>
        </w:tc>
        <w:tc>
          <w:tcPr>
            <w:tcW w:w="873" w:type="dxa"/>
            <w:vMerge w:val="restart"/>
            <w:shd w:val="clear" w:color="auto" w:fill="auto"/>
            <w:noWrap/>
            <w:vAlign w:val="center"/>
            <w:hideMark/>
          </w:tcPr>
          <w:p w14:paraId="09280AA0" w14:textId="6EAFAD6F"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14</w:t>
            </w:r>
          </w:p>
        </w:tc>
        <w:tc>
          <w:tcPr>
            <w:tcW w:w="992" w:type="dxa"/>
            <w:vMerge w:val="restart"/>
            <w:shd w:val="clear" w:color="auto" w:fill="auto"/>
            <w:noWrap/>
            <w:vAlign w:val="center"/>
            <w:hideMark/>
          </w:tcPr>
          <w:p w14:paraId="602C4B41"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21.32</w:t>
            </w:r>
          </w:p>
        </w:tc>
        <w:tc>
          <w:tcPr>
            <w:tcW w:w="1134" w:type="dxa"/>
            <w:shd w:val="clear" w:color="auto" w:fill="auto"/>
            <w:noWrap/>
            <w:vAlign w:val="center"/>
            <w:hideMark/>
          </w:tcPr>
          <w:p w14:paraId="1E4FE01F"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7</w:t>
            </w:r>
          </w:p>
        </w:tc>
        <w:tc>
          <w:tcPr>
            <w:tcW w:w="1713" w:type="dxa"/>
            <w:shd w:val="clear" w:color="auto" w:fill="auto"/>
            <w:noWrap/>
            <w:vAlign w:val="bottom"/>
            <w:hideMark/>
          </w:tcPr>
          <w:p w14:paraId="1BC8FADC" w14:textId="4A57D7A4"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12</w:t>
            </w:r>
          </w:p>
        </w:tc>
        <w:tc>
          <w:tcPr>
            <w:tcW w:w="992" w:type="dxa"/>
            <w:vMerge w:val="restart"/>
            <w:shd w:val="clear" w:color="auto" w:fill="auto"/>
            <w:vAlign w:val="center"/>
          </w:tcPr>
          <w:p w14:paraId="7955C120" w14:textId="59306DF0"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r>
      <w:tr w:rsidR="00713856" w:rsidRPr="003726FE" w14:paraId="4D22D51C" w14:textId="77777777" w:rsidTr="008A4137">
        <w:trPr>
          <w:trHeight w:val="300"/>
        </w:trPr>
        <w:tc>
          <w:tcPr>
            <w:tcW w:w="1235" w:type="dxa"/>
            <w:vMerge/>
            <w:tcBorders>
              <w:bottom w:val="single" w:sz="4" w:space="0" w:color="auto"/>
            </w:tcBorders>
            <w:vAlign w:val="center"/>
          </w:tcPr>
          <w:p w14:paraId="2857762D"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5918D84B"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3E5D55BE" w14:textId="05C45C62"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1DAF391C"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bottom w:val="single" w:sz="4" w:space="0" w:color="auto"/>
            </w:tcBorders>
            <w:shd w:val="clear" w:color="auto" w:fill="auto"/>
            <w:noWrap/>
            <w:vAlign w:val="center"/>
            <w:hideMark/>
          </w:tcPr>
          <w:p w14:paraId="662EADE7"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7</w:t>
            </w:r>
          </w:p>
        </w:tc>
        <w:tc>
          <w:tcPr>
            <w:tcW w:w="1713" w:type="dxa"/>
            <w:tcBorders>
              <w:bottom w:val="single" w:sz="4" w:space="0" w:color="auto"/>
            </w:tcBorders>
            <w:shd w:val="clear" w:color="auto" w:fill="auto"/>
            <w:noWrap/>
            <w:vAlign w:val="bottom"/>
            <w:hideMark/>
          </w:tcPr>
          <w:p w14:paraId="17D7D296"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or Asian British Indian: 2</w:t>
            </w:r>
          </w:p>
        </w:tc>
        <w:tc>
          <w:tcPr>
            <w:tcW w:w="992" w:type="dxa"/>
            <w:vMerge/>
            <w:tcBorders>
              <w:bottom w:val="single" w:sz="4" w:space="0" w:color="auto"/>
            </w:tcBorders>
            <w:shd w:val="clear" w:color="auto" w:fill="auto"/>
            <w:vAlign w:val="center"/>
          </w:tcPr>
          <w:p w14:paraId="27D262BE" w14:textId="261F3F9B"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55FCADE9" w14:textId="77777777" w:rsidTr="008A4137">
        <w:trPr>
          <w:trHeight w:val="300"/>
        </w:trPr>
        <w:tc>
          <w:tcPr>
            <w:tcW w:w="1235" w:type="dxa"/>
            <w:tcBorders>
              <w:left w:val="nil"/>
              <w:right w:val="nil"/>
            </w:tcBorders>
            <w:vAlign w:val="center"/>
          </w:tcPr>
          <w:p w14:paraId="4C5674F4"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tcBorders>
              <w:left w:val="nil"/>
              <w:right w:val="nil"/>
            </w:tcBorders>
            <w:vAlign w:val="center"/>
          </w:tcPr>
          <w:p w14:paraId="7AF1C820"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tcBorders>
              <w:left w:val="nil"/>
              <w:right w:val="nil"/>
            </w:tcBorders>
            <w:shd w:val="clear" w:color="auto" w:fill="auto"/>
            <w:noWrap/>
            <w:vAlign w:val="center"/>
            <w:hideMark/>
          </w:tcPr>
          <w:p w14:paraId="2BD1900E" w14:textId="292E9408" w:rsidR="00713856" w:rsidRPr="003726FE" w:rsidRDefault="00713856" w:rsidP="00FF6793">
            <w:pPr>
              <w:spacing w:after="0" w:line="240" w:lineRule="auto"/>
              <w:jc w:val="center"/>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219033A4"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3419EA27"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6138B042"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56CEC8DD"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005779F6" w14:textId="77777777" w:rsidTr="008A4137">
        <w:trPr>
          <w:trHeight w:val="300"/>
        </w:trPr>
        <w:tc>
          <w:tcPr>
            <w:tcW w:w="1235" w:type="dxa"/>
            <w:vAlign w:val="center"/>
          </w:tcPr>
          <w:p w14:paraId="59A8A580" w14:textId="5C864921"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54ADE47D" w14:textId="0C320C32"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35E201E2" w14:textId="28976FEF"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3A6F0189" w14:textId="30831BA6"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4F9AB4B8"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7D13C969" w14:textId="4F9F5B76"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7B22C7CA" w14:textId="6BCCECFA"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7D390BD8" w14:textId="77777777" w:rsidTr="008A4137">
        <w:trPr>
          <w:trHeight w:val="300"/>
        </w:trPr>
        <w:tc>
          <w:tcPr>
            <w:tcW w:w="1235" w:type="dxa"/>
            <w:vMerge w:val="restart"/>
            <w:vAlign w:val="center"/>
          </w:tcPr>
          <w:p w14:paraId="36EE834C"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c>
          <w:tcPr>
            <w:tcW w:w="1278" w:type="dxa"/>
            <w:vMerge w:val="restart"/>
            <w:vAlign w:val="center"/>
          </w:tcPr>
          <w:p w14:paraId="1E223E17" w14:textId="5763C4B4"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01:00:05</w:t>
            </w:r>
          </w:p>
        </w:tc>
        <w:tc>
          <w:tcPr>
            <w:tcW w:w="873" w:type="dxa"/>
            <w:vMerge w:val="restart"/>
            <w:shd w:val="clear" w:color="auto" w:fill="auto"/>
            <w:noWrap/>
            <w:vAlign w:val="center"/>
            <w:hideMark/>
          </w:tcPr>
          <w:p w14:paraId="772FC589" w14:textId="2E235FE2"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11</w:t>
            </w:r>
          </w:p>
        </w:tc>
        <w:tc>
          <w:tcPr>
            <w:tcW w:w="992" w:type="dxa"/>
            <w:vMerge w:val="restart"/>
            <w:shd w:val="clear" w:color="auto" w:fill="auto"/>
            <w:noWrap/>
            <w:vAlign w:val="center"/>
            <w:hideMark/>
          </w:tcPr>
          <w:p w14:paraId="7EBA1991"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20.85</w:t>
            </w:r>
          </w:p>
        </w:tc>
        <w:tc>
          <w:tcPr>
            <w:tcW w:w="1134" w:type="dxa"/>
            <w:shd w:val="clear" w:color="auto" w:fill="auto"/>
            <w:noWrap/>
            <w:vAlign w:val="center"/>
            <w:hideMark/>
          </w:tcPr>
          <w:p w14:paraId="4473D92B"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4</w:t>
            </w:r>
          </w:p>
        </w:tc>
        <w:tc>
          <w:tcPr>
            <w:tcW w:w="1713" w:type="dxa"/>
            <w:shd w:val="clear" w:color="auto" w:fill="auto"/>
            <w:noWrap/>
            <w:vAlign w:val="bottom"/>
            <w:hideMark/>
          </w:tcPr>
          <w:p w14:paraId="07E8BF96" w14:textId="279362AD"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10</w:t>
            </w:r>
          </w:p>
        </w:tc>
        <w:tc>
          <w:tcPr>
            <w:tcW w:w="992" w:type="dxa"/>
            <w:vMerge w:val="restart"/>
            <w:shd w:val="clear" w:color="auto" w:fill="auto"/>
            <w:vAlign w:val="center"/>
          </w:tcPr>
          <w:p w14:paraId="2B5F2C73" w14:textId="31F6773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r>
      <w:tr w:rsidR="00713856" w:rsidRPr="003726FE" w14:paraId="552F2C26" w14:textId="77777777" w:rsidTr="008A4137">
        <w:trPr>
          <w:trHeight w:val="300"/>
        </w:trPr>
        <w:tc>
          <w:tcPr>
            <w:tcW w:w="1235" w:type="dxa"/>
            <w:vMerge/>
            <w:tcBorders>
              <w:bottom w:val="single" w:sz="4" w:space="0" w:color="auto"/>
            </w:tcBorders>
            <w:vAlign w:val="center"/>
          </w:tcPr>
          <w:p w14:paraId="1088560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0A952082"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59592E6C" w14:textId="22B4BBCB"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4D56C3F1"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bottom w:val="single" w:sz="4" w:space="0" w:color="auto"/>
            </w:tcBorders>
            <w:shd w:val="clear" w:color="auto" w:fill="auto"/>
            <w:noWrap/>
            <w:vAlign w:val="center"/>
            <w:hideMark/>
          </w:tcPr>
          <w:p w14:paraId="14A7E52C"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7</w:t>
            </w:r>
          </w:p>
        </w:tc>
        <w:tc>
          <w:tcPr>
            <w:tcW w:w="1713" w:type="dxa"/>
            <w:tcBorders>
              <w:bottom w:val="single" w:sz="4" w:space="0" w:color="auto"/>
            </w:tcBorders>
            <w:shd w:val="clear" w:color="auto" w:fill="auto"/>
            <w:noWrap/>
            <w:vAlign w:val="bottom"/>
            <w:hideMark/>
          </w:tcPr>
          <w:p w14:paraId="4D9BA4FD" w14:textId="34802D7D"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 other (Malaysian): 1</w:t>
            </w:r>
          </w:p>
        </w:tc>
        <w:tc>
          <w:tcPr>
            <w:tcW w:w="992" w:type="dxa"/>
            <w:vMerge/>
            <w:tcBorders>
              <w:bottom w:val="single" w:sz="4" w:space="0" w:color="auto"/>
            </w:tcBorders>
            <w:shd w:val="clear" w:color="auto" w:fill="auto"/>
            <w:vAlign w:val="center"/>
          </w:tcPr>
          <w:p w14:paraId="080F7CB0" w14:textId="6FA5FB03"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68E84C07" w14:textId="77777777" w:rsidTr="008A4137">
        <w:trPr>
          <w:trHeight w:val="300"/>
        </w:trPr>
        <w:tc>
          <w:tcPr>
            <w:tcW w:w="1235" w:type="dxa"/>
            <w:tcBorders>
              <w:left w:val="nil"/>
              <w:right w:val="nil"/>
            </w:tcBorders>
            <w:vAlign w:val="center"/>
          </w:tcPr>
          <w:p w14:paraId="0DBDA133"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tcBorders>
              <w:left w:val="nil"/>
              <w:right w:val="nil"/>
            </w:tcBorders>
            <w:vAlign w:val="center"/>
          </w:tcPr>
          <w:p w14:paraId="0500B9F4"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tcBorders>
              <w:left w:val="nil"/>
              <w:right w:val="nil"/>
            </w:tcBorders>
            <w:shd w:val="clear" w:color="auto" w:fill="auto"/>
            <w:noWrap/>
            <w:vAlign w:val="center"/>
            <w:hideMark/>
          </w:tcPr>
          <w:p w14:paraId="3EDDCA83" w14:textId="160CD2D4" w:rsidR="00713856" w:rsidRPr="003726FE" w:rsidRDefault="00713856" w:rsidP="00FF6793">
            <w:pPr>
              <w:spacing w:after="0" w:line="240" w:lineRule="auto"/>
              <w:jc w:val="center"/>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5DAEEB24"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1A7F9EF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2D02503C"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4CCCD3DB"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1FC4D33E" w14:textId="77777777" w:rsidTr="008A4137">
        <w:trPr>
          <w:trHeight w:val="300"/>
        </w:trPr>
        <w:tc>
          <w:tcPr>
            <w:tcW w:w="1235" w:type="dxa"/>
            <w:vAlign w:val="center"/>
          </w:tcPr>
          <w:p w14:paraId="32B98FB8" w14:textId="70C83A4C"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49AB2045" w14:textId="770A822C"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13CB6442" w14:textId="07EA7C31"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7CD1E65B" w14:textId="16CC72EE"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1B7F1B9C"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7652EE89" w14:textId="0F23F0C1"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6695E6D1" w14:textId="417339C9"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475BA10D" w14:textId="77777777" w:rsidTr="008A4137">
        <w:trPr>
          <w:trHeight w:val="300"/>
        </w:trPr>
        <w:tc>
          <w:tcPr>
            <w:tcW w:w="1235" w:type="dxa"/>
            <w:vMerge w:val="restart"/>
            <w:vAlign w:val="center"/>
          </w:tcPr>
          <w:p w14:paraId="5CE8B9E7"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4</w:t>
            </w:r>
          </w:p>
        </w:tc>
        <w:tc>
          <w:tcPr>
            <w:tcW w:w="1278" w:type="dxa"/>
            <w:vMerge w:val="restart"/>
            <w:vAlign w:val="center"/>
          </w:tcPr>
          <w:p w14:paraId="6F53E17F" w14:textId="297E1E02"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00:52:05</w:t>
            </w:r>
          </w:p>
        </w:tc>
        <w:tc>
          <w:tcPr>
            <w:tcW w:w="873" w:type="dxa"/>
            <w:vMerge w:val="restart"/>
            <w:shd w:val="clear" w:color="auto" w:fill="auto"/>
            <w:noWrap/>
            <w:vAlign w:val="center"/>
            <w:hideMark/>
          </w:tcPr>
          <w:p w14:paraId="6730BE96" w14:textId="4501C0F2"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7</w:t>
            </w:r>
          </w:p>
        </w:tc>
        <w:tc>
          <w:tcPr>
            <w:tcW w:w="992" w:type="dxa"/>
            <w:vMerge w:val="restart"/>
            <w:shd w:val="clear" w:color="auto" w:fill="auto"/>
            <w:noWrap/>
            <w:vAlign w:val="center"/>
            <w:hideMark/>
          </w:tcPr>
          <w:p w14:paraId="540C815E"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20.76</w:t>
            </w:r>
          </w:p>
        </w:tc>
        <w:tc>
          <w:tcPr>
            <w:tcW w:w="1134" w:type="dxa"/>
            <w:shd w:val="clear" w:color="auto" w:fill="auto"/>
            <w:noWrap/>
            <w:vAlign w:val="center"/>
            <w:hideMark/>
          </w:tcPr>
          <w:p w14:paraId="7ECBDD2B"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1</w:t>
            </w:r>
          </w:p>
        </w:tc>
        <w:tc>
          <w:tcPr>
            <w:tcW w:w="1713" w:type="dxa"/>
            <w:shd w:val="clear" w:color="auto" w:fill="auto"/>
            <w:noWrap/>
            <w:vAlign w:val="bottom"/>
            <w:hideMark/>
          </w:tcPr>
          <w:p w14:paraId="602B1A09"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British: 5</w:t>
            </w:r>
          </w:p>
        </w:tc>
        <w:tc>
          <w:tcPr>
            <w:tcW w:w="992" w:type="dxa"/>
            <w:vMerge w:val="restart"/>
            <w:shd w:val="clear" w:color="auto" w:fill="auto"/>
            <w:vAlign w:val="center"/>
          </w:tcPr>
          <w:p w14:paraId="6DF0BBA5" w14:textId="2B2CDED2"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r>
      <w:tr w:rsidR="00713856" w:rsidRPr="003726FE" w14:paraId="435938FA" w14:textId="77777777" w:rsidTr="008A4137">
        <w:trPr>
          <w:trHeight w:val="300"/>
        </w:trPr>
        <w:tc>
          <w:tcPr>
            <w:tcW w:w="1235" w:type="dxa"/>
            <w:vMerge/>
            <w:vAlign w:val="center"/>
          </w:tcPr>
          <w:p w14:paraId="213E502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vAlign w:val="center"/>
          </w:tcPr>
          <w:p w14:paraId="6B24D4F1"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shd w:val="clear" w:color="auto" w:fill="auto"/>
            <w:noWrap/>
            <w:vAlign w:val="center"/>
            <w:hideMark/>
          </w:tcPr>
          <w:p w14:paraId="6E95DF9A" w14:textId="7FFEC051"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shd w:val="clear" w:color="auto" w:fill="auto"/>
            <w:noWrap/>
            <w:vAlign w:val="center"/>
            <w:hideMark/>
          </w:tcPr>
          <w:p w14:paraId="06B00552"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vMerge w:val="restart"/>
            <w:shd w:val="clear" w:color="auto" w:fill="auto"/>
            <w:noWrap/>
            <w:vAlign w:val="center"/>
            <w:hideMark/>
          </w:tcPr>
          <w:p w14:paraId="29C8BD55"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6</w:t>
            </w:r>
          </w:p>
        </w:tc>
        <w:tc>
          <w:tcPr>
            <w:tcW w:w="1713" w:type="dxa"/>
            <w:shd w:val="clear" w:color="auto" w:fill="auto"/>
            <w:noWrap/>
            <w:vAlign w:val="bottom"/>
            <w:hideMark/>
          </w:tcPr>
          <w:p w14:paraId="1A7F3666" w14:textId="77777777" w:rsidR="00713856" w:rsidRPr="003726FE" w:rsidRDefault="00713856" w:rsidP="00FF6793">
            <w:pPr>
              <w:spacing w:after="0" w:line="240" w:lineRule="auto"/>
              <w:rPr>
                <w:rFonts w:ascii="Arial" w:eastAsia="Times New Roman" w:hAnsi="Arial" w:cs="Arial"/>
                <w:color w:val="000000"/>
                <w:sz w:val="20"/>
                <w:szCs w:val="20"/>
                <w:lang w:eastAsia="en-GB"/>
              </w:rPr>
            </w:pPr>
            <w:r w:rsidRPr="003726FE">
              <w:rPr>
                <w:rFonts w:ascii="Arial" w:eastAsia="Times New Roman" w:hAnsi="Arial" w:cs="Arial"/>
                <w:color w:val="000000"/>
                <w:sz w:val="20"/>
                <w:szCs w:val="20"/>
                <w:lang w:eastAsia="en-GB"/>
              </w:rPr>
              <w:t>Asian or Asian British Indian: 1</w:t>
            </w:r>
          </w:p>
        </w:tc>
        <w:tc>
          <w:tcPr>
            <w:tcW w:w="992" w:type="dxa"/>
            <w:vMerge/>
            <w:shd w:val="clear" w:color="auto" w:fill="auto"/>
            <w:vAlign w:val="center"/>
          </w:tcPr>
          <w:p w14:paraId="1514359B" w14:textId="7A61F19E" w:rsidR="00713856" w:rsidRPr="003726FE" w:rsidRDefault="00713856" w:rsidP="00FF6793">
            <w:pPr>
              <w:spacing w:after="0" w:line="240" w:lineRule="auto"/>
              <w:jc w:val="center"/>
              <w:rPr>
                <w:rFonts w:ascii="Arial" w:eastAsia="Times New Roman" w:hAnsi="Arial" w:cs="Arial"/>
                <w:color w:val="000000"/>
                <w:sz w:val="20"/>
                <w:szCs w:val="20"/>
                <w:lang w:eastAsia="en-GB"/>
              </w:rPr>
            </w:pPr>
          </w:p>
        </w:tc>
      </w:tr>
      <w:tr w:rsidR="00713856" w:rsidRPr="003726FE" w14:paraId="12FEFEE2" w14:textId="77777777" w:rsidTr="008A4137">
        <w:trPr>
          <w:trHeight w:val="300"/>
        </w:trPr>
        <w:tc>
          <w:tcPr>
            <w:tcW w:w="1235" w:type="dxa"/>
            <w:vMerge/>
            <w:tcBorders>
              <w:bottom w:val="single" w:sz="4" w:space="0" w:color="auto"/>
            </w:tcBorders>
            <w:vAlign w:val="center"/>
          </w:tcPr>
          <w:p w14:paraId="50EB951A"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3E11F0A9"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78C3EED1" w14:textId="7F0A0294"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0FADC91B"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vMerge/>
            <w:tcBorders>
              <w:bottom w:val="single" w:sz="4" w:space="0" w:color="auto"/>
            </w:tcBorders>
            <w:shd w:val="clear" w:color="auto" w:fill="auto"/>
            <w:noWrap/>
            <w:vAlign w:val="center"/>
            <w:hideMark/>
          </w:tcPr>
          <w:p w14:paraId="1908C9FB"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bottom w:val="single" w:sz="4" w:space="0" w:color="auto"/>
            </w:tcBorders>
            <w:shd w:val="clear" w:color="auto" w:fill="auto"/>
            <w:noWrap/>
            <w:vAlign w:val="bottom"/>
            <w:hideMark/>
          </w:tcPr>
          <w:p w14:paraId="5D3235E5"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other (Canadian): 1</w:t>
            </w:r>
          </w:p>
        </w:tc>
        <w:tc>
          <w:tcPr>
            <w:tcW w:w="992" w:type="dxa"/>
            <w:vMerge/>
            <w:tcBorders>
              <w:bottom w:val="single" w:sz="4" w:space="0" w:color="auto"/>
            </w:tcBorders>
            <w:shd w:val="clear" w:color="auto" w:fill="auto"/>
            <w:vAlign w:val="center"/>
          </w:tcPr>
          <w:p w14:paraId="01396C5E" w14:textId="2793690F"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02FD2C2B" w14:textId="77777777" w:rsidTr="008A4137">
        <w:trPr>
          <w:trHeight w:val="300"/>
        </w:trPr>
        <w:tc>
          <w:tcPr>
            <w:tcW w:w="1235" w:type="dxa"/>
            <w:tcBorders>
              <w:left w:val="nil"/>
              <w:right w:val="nil"/>
            </w:tcBorders>
            <w:vAlign w:val="center"/>
          </w:tcPr>
          <w:p w14:paraId="5B84E870"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tcBorders>
              <w:left w:val="nil"/>
              <w:right w:val="nil"/>
            </w:tcBorders>
            <w:vAlign w:val="center"/>
          </w:tcPr>
          <w:p w14:paraId="2C18A1C8"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tcBorders>
              <w:left w:val="nil"/>
              <w:right w:val="nil"/>
            </w:tcBorders>
            <w:shd w:val="clear" w:color="auto" w:fill="auto"/>
            <w:noWrap/>
            <w:vAlign w:val="center"/>
            <w:hideMark/>
          </w:tcPr>
          <w:p w14:paraId="14D5E8D8" w14:textId="514A57D7" w:rsidR="00713856" w:rsidRPr="003726FE" w:rsidRDefault="00713856" w:rsidP="00FF6793">
            <w:pPr>
              <w:spacing w:after="0" w:line="240" w:lineRule="auto"/>
              <w:jc w:val="center"/>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6D5261A9"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0C797D45"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2BC770B2"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1D3B3216"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0A24078C" w14:textId="77777777" w:rsidTr="008A4137">
        <w:trPr>
          <w:trHeight w:val="300"/>
        </w:trPr>
        <w:tc>
          <w:tcPr>
            <w:tcW w:w="1235" w:type="dxa"/>
            <w:vAlign w:val="center"/>
          </w:tcPr>
          <w:p w14:paraId="45942D9C" w14:textId="05791AB3"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40755F2C" w14:textId="6930D209"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60A69828" w14:textId="480344DB"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7228293E" w14:textId="0DFB16F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09C33340"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2091DE51" w14:textId="2243A588"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170A8885" w14:textId="696898FE"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5F55686F" w14:textId="77777777" w:rsidTr="008A4137">
        <w:trPr>
          <w:trHeight w:val="300"/>
        </w:trPr>
        <w:tc>
          <w:tcPr>
            <w:tcW w:w="1235" w:type="dxa"/>
            <w:vMerge w:val="restart"/>
            <w:vAlign w:val="center"/>
          </w:tcPr>
          <w:p w14:paraId="2342464D"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5</w:t>
            </w:r>
          </w:p>
        </w:tc>
        <w:tc>
          <w:tcPr>
            <w:tcW w:w="1278" w:type="dxa"/>
            <w:vMerge w:val="restart"/>
            <w:vAlign w:val="center"/>
          </w:tcPr>
          <w:p w14:paraId="79B18449" w14:textId="66520CCA"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00:47:35</w:t>
            </w:r>
          </w:p>
        </w:tc>
        <w:tc>
          <w:tcPr>
            <w:tcW w:w="873" w:type="dxa"/>
            <w:vMerge w:val="restart"/>
            <w:shd w:val="clear" w:color="auto" w:fill="auto"/>
            <w:noWrap/>
            <w:vAlign w:val="center"/>
            <w:hideMark/>
          </w:tcPr>
          <w:p w14:paraId="408FB38A" w14:textId="71D0FE1D"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7</w:t>
            </w:r>
          </w:p>
        </w:tc>
        <w:tc>
          <w:tcPr>
            <w:tcW w:w="992" w:type="dxa"/>
            <w:vMerge w:val="restart"/>
            <w:shd w:val="clear" w:color="auto" w:fill="auto"/>
            <w:noWrap/>
            <w:vAlign w:val="center"/>
            <w:hideMark/>
          </w:tcPr>
          <w:p w14:paraId="63E79E7B"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21.03</w:t>
            </w:r>
          </w:p>
        </w:tc>
        <w:tc>
          <w:tcPr>
            <w:tcW w:w="1134" w:type="dxa"/>
            <w:shd w:val="clear" w:color="auto" w:fill="auto"/>
            <w:noWrap/>
            <w:vAlign w:val="center"/>
            <w:hideMark/>
          </w:tcPr>
          <w:p w14:paraId="47B7BD5C"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2</w:t>
            </w:r>
          </w:p>
        </w:tc>
        <w:tc>
          <w:tcPr>
            <w:tcW w:w="1713" w:type="dxa"/>
            <w:shd w:val="clear" w:color="auto" w:fill="auto"/>
            <w:noWrap/>
            <w:vAlign w:val="bottom"/>
            <w:hideMark/>
          </w:tcPr>
          <w:p w14:paraId="13B52C2D"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4</w:t>
            </w:r>
          </w:p>
        </w:tc>
        <w:tc>
          <w:tcPr>
            <w:tcW w:w="992" w:type="dxa"/>
            <w:vMerge w:val="restart"/>
            <w:shd w:val="clear" w:color="auto" w:fill="auto"/>
            <w:vAlign w:val="center"/>
          </w:tcPr>
          <w:p w14:paraId="6EE842BE" w14:textId="4D96BF11"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r>
      <w:tr w:rsidR="00713856" w:rsidRPr="003726FE" w14:paraId="0AA69594" w14:textId="77777777" w:rsidTr="008A4137">
        <w:trPr>
          <w:trHeight w:val="300"/>
        </w:trPr>
        <w:tc>
          <w:tcPr>
            <w:tcW w:w="1235" w:type="dxa"/>
            <w:vMerge/>
            <w:vAlign w:val="center"/>
          </w:tcPr>
          <w:p w14:paraId="6A945C70"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vAlign w:val="center"/>
          </w:tcPr>
          <w:p w14:paraId="156C74AF"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shd w:val="clear" w:color="auto" w:fill="auto"/>
            <w:noWrap/>
            <w:vAlign w:val="center"/>
            <w:hideMark/>
          </w:tcPr>
          <w:p w14:paraId="58AB2707" w14:textId="2A2CD823"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shd w:val="clear" w:color="auto" w:fill="auto"/>
            <w:noWrap/>
            <w:vAlign w:val="center"/>
            <w:hideMark/>
          </w:tcPr>
          <w:p w14:paraId="3905186D"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vMerge w:val="restart"/>
            <w:shd w:val="clear" w:color="auto" w:fill="auto"/>
            <w:noWrap/>
            <w:vAlign w:val="center"/>
            <w:hideMark/>
          </w:tcPr>
          <w:p w14:paraId="1386E21F"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5</w:t>
            </w:r>
          </w:p>
        </w:tc>
        <w:tc>
          <w:tcPr>
            <w:tcW w:w="1713" w:type="dxa"/>
            <w:shd w:val="clear" w:color="auto" w:fill="auto"/>
            <w:noWrap/>
            <w:vAlign w:val="bottom"/>
            <w:hideMark/>
          </w:tcPr>
          <w:p w14:paraId="29EEA66F"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Chinese: 2</w:t>
            </w:r>
          </w:p>
        </w:tc>
        <w:tc>
          <w:tcPr>
            <w:tcW w:w="992" w:type="dxa"/>
            <w:vMerge/>
            <w:shd w:val="clear" w:color="auto" w:fill="auto"/>
            <w:vAlign w:val="center"/>
          </w:tcPr>
          <w:p w14:paraId="389D6E8B" w14:textId="3F9DF5E2"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4D551637" w14:textId="77777777" w:rsidTr="008A4137">
        <w:trPr>
          <w:trHeight w:val="300"/>
        </w:trPr>
        <w:tc>
          <w:tcPr>
            <w:tcW w:w="1235" w:type="dxa"/>
            <w:vMerge/>
            <w:tcBorders>
              <w:bottom w:val="single" w:sz="4" w:space="0" w:color="auto"/>
            </w:tcBorders>
            <w:vAlign w:val="center"/>
          </w:tcPr>
          <w:p w14:paraId="33C50264"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306B030A"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27F995F0" w14:textId="7CC5195D"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2CF9E956"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vMerge/>
            <w:tcBorders>
              <w:bottom w:val="single" w:sz="4" w:space="0" w:color="auto"/>
            </w:tcBorders>
            <w:shd w:val="clear" w:color="auto" w:fill="auto"/>
            <w:noWrap/>
            <w:vAlign w:val="center"/>
            <w:hideMark/>
          </w:tcPr>
          <w:p w14:paraId="0A79573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bottom w:val="single" w:sz="4" w:space="0" w:color="auto"/>
            </w:tcBorders>
            <w:shd w:val="clear" w:color="auto" w:fill="auto"/>
            <w:noWrap/>
            <w:vAlign w:val="bottom"/>
            <w:hideMark/>
          </w:tcPr>
          <w:p w14:paraId="1A9681A2" w14:textId="10F49129"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Mixed other (mixed white and Asian): 1</w:t>
            </w:r>
          </w:p>
        </w:tc>
        <w:tc>
          <w:tcPr>
            <w:tcW w:w="992" w:type="dxa"/>
            <w:vMerge/>
            <w:tcBorders>
              <w:bottom w:val="single" w:sz="4" w:space="0" w:color="auto"/>
            </w:tcBorders>
            <w:shd w:val="clear" w:color="auto" w:fill="auto"/>
            <w:vAlign w:val="center"/>
          </w:tcPr>
          <w:p w14:paraId="6C13C40D" w14:textId="09519A3B"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01C7E000" w14:textId="77777777" w:rsidTr="008A4137">
        <w:trPr>
          <w:trHeight w:val="300"/>
        </w:trPr>
        <w:tc>
          <w:tcPr>
            <w:tcW w:w="1235" w:type="dxa"/>
            <w:tcBorders>
              <w:left w:val="nil"/>
              <w:right w:val="nil"/>
            </w:tcBorders>
            <w:vAlign w:val="center"/>
          </w:tcPr>
          <w:p w14:paraId="5442209C"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c>
          <w:tcPr>
            <w:tcW w:w="1278" w:type="dxa"/>
            <w:tcBorders>
              <w:left w:val="nil"/>
              <w:right w:val="nil"/>
            </w:tcBorders>
            <w:vAlign w:val="center"/>
          </w:tcPr>
          <w:p w14:paraId="53295F3B" w14:textId="77777777" w:rsidR="00713856" w:rsidRPr="003726FE" w:rsidRDefault="00713856" w:rsidP="004568F5">
            <w:pPr>
              <w:spacing w:after="0" w:line="240" w:lineRule="auto"/>
              <w:jc w:val="center"/>
              <w:rPr>
                <w:rFonts w:ascii="Calibri" w:eastAsia="Times New Roman" w:hAnsi="Calibri" w:cs="Times New Roman"/>
                <w:color w:val="000000"/>
                <w:sz w:val="20"/>
                <w:lang w:eastAsia="en-GB"/>
              </w:rPr>
            </w:pPr>
          </w:p>
        </w:tc>
        <w:tc>
          <w:tcPr>
            <w:tcW w:w="873" w:type="dxa"/>
            <w:tcBorders>
              <w:left w:val="nil"/>
              <w:right w:val="nil"/>
            </w:tcBorders>
            <w:shd w:val="clear" w:color="auto" w:fill="auto"/>
            <w:noWrap/>
            <w:vAlign w:val="center"/>
            <w:hideMark/>
          </w:tcPr>
          <w:p w14:paraId="07E9D857" w14:textId="14607306"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c>
          <w:tcPr>
            <w:tcW w:w="992" w:type="dxa"/>
            <w:tcBorders>
              <w:left w:val="nil"/>
              <w:right w:val="nil"/>
            </w:tcBorders>
            <w:shd w:val="clear" w:color="auto" w:fill="auto"/>
            <w:noWrap/>
            <w:vAlign w:val="center"/>
            <w:hideMark/>
          </w:tcPr>
          <w:p w14:paraId="311D4903"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4B86D5E6"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0EC8C248"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46D202F2"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28080310" w14:textId="77777777" w:rsidTr="008A4137">
        <w:trPr>
          <w:trHeight w:val="300"/>
        </w:trPr>
        <w:tc>
          <w:tcPr>
            <w:tcW w:w="1235" w:type="dxa"/>
            <w:vAlign w:val="center"/>
          </w:tcPr>
          <w:p w14:paraId="6BE90A8F" w14:textId="078EF6E3"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63CB9CDB" w14:textId="10F68D72"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6646F062" w14:textId="75374128"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4A80C7AD" w14:textId="23F21E6C"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49791D27"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46602AD3" w14:textId="520D014A"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7257A954" w14:textId="192753B6"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5E0FEF42" w14:textId="77777777" w:rsidTr="008A4137">
        <w:trPr>
          <w:trHeight w:val="300"/>
        </w:trPr>
        <w:tc>
          <w:tcPr>
            <w:tcW w:w="1235" w:type="dxa"/>
            <w:vMerge w:val="restart"/>
            <w:vAlign w:val="center"/>
          </w:tcPr>
          <w:p w14:paraId="566A46EA"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6</w:t>
            </w:r>
          </w:p>
        </w:tc>
        <w:tc>
          <w:tcPr>
            <w:tcW w:w="1278" w:type="dxa"/>
            <w:vMerge w:val="restart"/>
            <w:vAlign w:val="center"/>
          </w:tcPr>
          <w:p w14:paraId="56159395" w14:textId="74C187F5"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00:37:54</w:t>
            </w:r>
          </w:p>
        </w:tc>
        <w:tc>
          <w:tcPr>
            <w:tcW w:w="873" w:type="dxa"/>
            <w:vMerge w:val="restart"/>
            <w:shd w:val="clear" w:color="auto" w:fill="auto"/>
            <w:noWrap/>
            <w:vAlign w:val="center"/>
            <w:hideMark/>
          </w:tcPr>
          <w:p w14:paraId="462F7180" w14:textId="154D6B2E"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c>
          <w:tcPr>
            <w:tcW w:w="992" w:type="dxa"/>
            <w:vMerge w:val="restart"/>
            <w:shd w:val="clear" w:color="auto" w:fill="auto"/>
            <w:noWrap/>
            <w:vAlign w:val="center"/>
            <w:hideMark/>
          </w:tcPr>
          <w:p w14:paraId="252203F5"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21.05</w:t>
            </w:r>
          </w:p>
        </w:tc>
        <w:tc>
          <w:tcPr>
            <w:tcW w:w="1134" w:type="dxa"/>
            <w:shd w:val="clear" w:color="auto" w:fill="auto"/>
            <w:noWrap/>
            <w:vAlign w:val="center"/>
            <w:hideMark/>
          </w:tcPr>
          <w:p w14:paraId="24FE9A48" w14:textId="1F556136"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2</w:t>
            </w:r>
          </w:p>
        </w:tc>
        <w:tc>
          <w:tcPr>
            <w:tcW w:w="1713" w:type="dxa"/>
            <w:shd w:val="clear" w:color="auto" w:fill="auto"/>
            <w:noWrap/>
            <w:vAlign w:val="bottom"/>
            <w:hideMark/>
          </w:tcPr>
          <w:p w14:paraId="652AD4CE" w14:textId="4BDCB642"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2</w:t>
            </w:r>
          </w:p>
        </w:tc>
        <w:tc>
          <w:tcPr>
            <w:tcW w:w="992" w:type="dxa"/>
            <w:vMerge w:val="restart"/>
            <w:shd w:val="clear" w:color="auto" w:fill="auto"/>
            <w:vAlign w:val="center"/>
          </w:tcPr>
          <w:p w14:paraId="5671928C" w14:textId="4F0EE96C"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r>
      <w:tr w:rsidR="00713856" w:rsidRPr="003726FE" w14:paraId="583A19EF" w14:textId="77777777" w:rsidTr="008A4137">
        <w:trPr>
          <w:trHeight w:val="300"/>
        </w:trPr>
        <w:tc>
          <w:tcPr>
            <w:tcW w:w="1235" w:type="dxa"/>
            <w:vMerge/>
            <w:tcBorders>
              <w:bottom w:val="single" w:sz="4" w:space="0" w:color="auto"/>
            </w:tcBorders>
            <w:vAlign w:val="center"/>
          </w:tcPr>
          <w:p w14:paraId="245A8E1F"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vMerge/>
            <w:tcBorders>
              <w:bottom w:val="single" w:sz="4" w:space="0" w:color="auto"/>
            </w:tcBorders>
            <w:vAlign w:val="center"/>
          </w:tcPr>
          <w:p w14:paraId="64BC561F"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vMerge/>
            <w:tcBorders>
              <w:bottom w:val="single" w:sz="4" w:space="0" w:color="auto"/>
            </w:tcBorders>
            <w:shd w:val="clear" w:color="auto" w:fill="auto"/>
            <w:noWrap/>
            <w:vAlign w:val="center"/>
            <w:hideMark/>
          </w:tcPr>
          <w:p w14:paraId="410AF841" w14:textId="14CBAD19" w:rsidR="00713856" w:rsidRPr="003726FE" w:rsidRDefault="00713856" w:rsidP="00FF6793">
            <w:pPr>
              <w:spacing w:after="0" w:line="240" w:lineRule="auto"/>
              <w:jc w:val="center"/>
              <w:rPr>
                <w:rFonts w:eastAsia="Times New Roman" w:cs="Times New Roman"/>
                <w:sz w:val="20"/>
                <w:szCs w:val="20"/>
                <w:lang w:eastAsia="en-GB"/>
              </w:rPr>
            </w:pPr>
          </w:p>
        </w:tc>
        <w:tc>
          <w:tcPr>
            <w:tcW w:w="992" w:type="dxa"/>
            <w:vMerge/>
            <w:tcBorders>
              <w:bottom w:val="single" w:sz="4" w:space="0" w:color="auto"/>
            </w:tcBorders>
            <w:shd w:val="clear" w:color="auto" w:fill="auto"/>
            <w:noWrap/>
            <w:vAlign w:val="center"/>
            <w:hideMark/>
          </w:tcPr>
          <w:p w14:paraId="5CE2A9E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bottom w:val="single" w:sz="4" w:space="0" w:color="auto"/>
            </w:tcBorders>
            <w:shd w:val="clear" w:color="auto" w:fill="auto"/>
            <w:noWrap/>
            <w:vAlign w:val="center"/>
            <w:hideMark/>
          </w:tcPr>
          <w:p w14:paraId="7E9D1061" w14:textId="297F186E"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1</w:t>
            </w:r>
          </w:p>
        </w:tc>
        <w:tc>
          <w:tcPr>
            <w:tcW w:w="1713" w:type="dxa"/>
            <w:tcBorders>
              <w:bottom w:val="single" w:sz="4" w:space="0" w:color="auto"/>
            </w:tcBorders>
            <w:shd w:val="clear" w:color="auto" w:fill="auto"/>
            <w:noWrap/>
            <w:vAlign w:val="bottom"/>
            <w:hideMark/>
          </w:tcPr>
          <w:p w14:paraId="4670AA16" w14:textId="77777777"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Chinese: 1</w:t>
            </w:r>
          </w:p>
        </w:tc>
        <w:tc>
          <w:tcPr>
            <w:tcW w:w="992" w:type="dxa"/>
            <w:vMerge/>
            <w:tcBorders>
              <w:bottom w:val="single" w:sz="4" w:space="0" w:color="auto"/>
            </w:tcBorders>
            <w:shd w:val="clear" w:color="auto" w:fill="auto"/>
            <w:vAlign w:val="center"/>
          </w:tcPr>
          <w:p w14:paraId="6A8A570A" w14:textId="6DA0A1EB" w:rsidR="00713856" w:rsidRPr="003726FE" w:rsidRDefault="00713856" w:rsidP="00FF6793">
            <w:pPr>
              <w:spacing w:after="0" w:line="240" w:lineRule="auto"/>
              <w:jc w:val="center"/>
              <w:rPr>
                <w:rFonts w:ascii="Calibri" w:eastAsia="Times New Roman" w:hAnsi="Calibri" w:cs="Times New Roman"/>
                <w:color w:val="000000"/>
                <w:sz w:val="20"/>
                <w:lang w:eastAsia="en-GB"/>
              </w:rPr>
            </w:pPr>
          </w:p>
        </w:tc>
      </w:tr>
      <w:tr w:rsidR="00713856" w:rsidRPr="003726FE" w14:paraId="1F86B9C7" w14:textId="77777777" w:rsidTr="008A4137">
        <w:trPr>
          <w:trHeight w:val="300"/>
        </w:trPr>
        <w:tc>
          <w:tcPr>
            <w:tcW w:w="1235" w:type="dxa"/>
            <w:tcBorders>
              <w:left w:val="nil"/>
              <w:right w:val="nil"/>
            </w:tcBorders>
            <w:vAlign w:val="center"/>
          </w:tcPr>
          <w:p w14:paraId="4801D6F7"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278" w:type="dxa"/>
            <w:tcBorders>
              <w:left w:val="nil"/>
              <w:right w:val="nil"/>
            </w:tcBorders>
            <w:vAlign w:val="center"/>
          </w:tcPr>
          <w:p w14:paraId="58EDC5BC" w14:textId="77777777" w:rsidR="00713856" w:rsidRPr="003726FE" w:rsidRDefault="00713856" w:rsidP="004568F5">
            <w:pPr>
              <w:spacing w:after="0" w:line="240" w:lineRule="auto"/>
              <w:jc w:val="center"/>
              <w:rPr>
                <w:rFonts w:eastAsia="Times New Roman" w:cs="Times New Roman"/>
                <w:sz w:val="20"/>
                <w:szCs w:val="20"/>
                <w:lang w:eastAsia="en-GB"/>
              </w:rPr>
            </w:pPr>
          </w:p>
        </w:tc>
        <w:tc>
          <w:tcPr>
            <w:tcW w:w="873" w:type="dxa"/>
            <w:tcBorders>
              <w:left w:val="nil"/>
              <w:right w:val="nil"/>
            </w:tcBorders>
            <w:shd w:val="clear" w:color="auto" w:fill="auto"/>
            <w:noWrap/>
            <w:vAlign w:val="center"/>
            <w:hideMark/>
          </w:tcPr>
          <w:p w14:paraId="09A0A637" w14:textId="2840CC63" w:rsidR="00713856" w:rsidRPr="003726FE" w:rsidRDefault="00713856" w:rsidP="00FF6793">
            <w:pPr>
              <w:spacing w:after="0" w:line="240" w:lineRule="auto"/>
              <w:jc w:val="center"/>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73152F58"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134" w:type="dxa"/>
            <w:tcBorders>
              <w:left w:val="nil"/>
              <w:right w:val="nil"/>
            </w:tcBorders>
            <w:shd w:val="clear" w:color="auto" w:fill="auto"/>
            <w:noWrap/>
            <w:vAlign w:val="center"/>
            <w:hideMark/>
          </w:tcPr>
          <w:p w14:paraId="0EC638FC" w14:textId="77777777" w:rsidR="00713856" w:rsidRPr="003726FE" w:rsidRDefault="00713856" w:rsidP="00FF6793">
            <w:pPr>
              <w:spacing w:after="0" w:line="240" w:lineRule="auto"/>
              <w:jc w:val="center"/>
              <w:rPr>
                <w:rFonts w:eastAsia="Times New Roman" w:cs="Times New Roman"/>
                <w:sz w:val="20"/>
                <w:szCs w:val="20"/>
                <w:lang w:eastAsia="en-GB"/>
              </w:rPr>
            </w:pPr>
          </w:p>
        </w:tc>
        <w:tc>
          <w:tcPr>
            <w:tcW w:w="1713" w:type="dxa"/>
            <w:tcBorders>
              <w:left w:val="nil"/>
              <w:right w:val="nil"/>
            </w:tcBorders>
            <w:shd w:val="clear" w:color="auto" w:fill="auto"/>
            <w:noWrap/>
            <w:vAlign w:val="bottom"/>
            <w:hideMark/>
          </w:tcPr>
          <w:p w14:paraId="6584D251" w14:textId="77777777" w:rsidR="00713856" w:rsidRPr="003726FE" w:rsidRDefault="00713856" w:rsidP="00FF6793">
            <w:pPr>
              <w:spacing w:after="0" w:line="240" w:lineRule="auto"/>
              <w:rPr>
                <w:rFonts w:eastAsia="Times New Roman" w:cs="Times New Roman"/>
                <w:sz w:val="20"/>
                <w:szCs w:val="20"/>
                <w:lang w:eastAsia="en-GB"/>
              </w:rPr>
            </w:pPr>
          </w:p>
        </w:tc>
        <w:tc>
          <w:tcPr>
            <w:tcW w:w="992" w:type="dxa"/>
            <w:tcBorders>
              <w:left w:val="nil"/>
              <w:right w:val="nil"/>
            </w:tcBorders>
            <w:shd w:val="clear" w:color="auto" w:fill="auto"/>
            <w:noWrap/>
            <w:vAlign w:val="center"/>
            <w:hideMark/>
          </w:tcPr>
          <w:p w14:paraId="3385652A" w14:textId="77777777" w:rsidR="00713856" w:rsidRPr="003726FE" w:rsidRDefault="00713856" w:rsidP="00FF6793">
            <w:pPr>
              <w:spacing w:after="0" w:line="240" w:lineRule="auto"/>
              <w:jc w:val="center"/>
              <w:rPr>
                <w:rFonts w:eastAsia="Times New Roman" w:cs="Times New Roman"/>
                <w:sz w:val="20"/>
                <w:szCs w:val="20"/>
                <w:lang w:eastAsia="en-GB"/>
              </w:rPr>
            </w:pPr>
          </w:p>
        </w:tc>
      </w:tr>
      <w:tr w:rsidR="00713856" w:rsidRPr="003726FE" w14:paraId="446C1F86" w14:textId="77777777" w:rsidTr="008A4137">
        <w:trPr>
          <w:trHeight w:val="300"/>
        </w:trPr>
        <w:tc>
          <w:tcPr>
            <w:tcW w:w="1235" w:type="dxa"/>
            <w:vAlign w:val="center"/>
          </w:tcPr>
          <w:p w14:paraId="0E91BFA4" w14:textId="6703E3B0"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number</w:t>
            </w:r>
          </w:p>
        </w:tc>
        <w:tc>
          <w:tcPr>
            <w:tcW w:w="1278" w:type="dxa"/>
            <w:vAlign w:val="center"/>
          </w:tcPr>
          <w:p w14:paraId="686B2678" w14:textId="5D9D10A6" w:rsidR="00713856" w:rsidRPr="003726FE" w:rsidRDefault="00713856" w:rsidP="004568F5">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Focus group duration</w:t>
            </w:r>
          </w:p>
        </w:tc>
        <w:tc>
          <w:tcPr>
            <w:tcW w:w="873" w:type="dxa"/>
            <w:shd w:val="clear" w:color="auto" w:fill="auto"/>
            <w:noWrap/>
            <w:vAlign w:val="center"/>
            <w:hideMark/>
          </w:tcPr>
          <w:p w14:paraId="0871C0D6" w14:textId="34C799FC"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Total number</w:t>
            </w:r>
          </w:p>
        </w:tc>
        <w:tc>
          <w:tcPr>
            <w:tcW w:w="992" w:type="dxa"/>
            <w:shd w:val="clear" w:color="auto" w:fill="auto"/>
            <w:noWrap/>
            <w:vAlign w:val="center"/>
            <w:hideMark/>
          </w:tcPr>
          <w:p w14:paraId="0EFF8572" w14:textId="1E400871"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Average age</w:t>
            </w:r>
          </w:p>
        </w:tc>
        <w:tc>
          <w:tcPr>
            <w:tcW w:w="1134" w:type="dxa"/>
            <w:shd w:val="clear" w:color="auto" w:fill="auto"/>
            <w:noWrap/>
            <w:vAlign w:val="center"/>
            <w:hideMark/>
          </w:tcPr>
          <w:p w14:paraId="7BAF26A0" w14:textId="77777777"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Gender</w:t>
            </w:r>
          </w:p>
        </w:tc>
        <w:tc>
          <w:tcPr>
            <w:tcW w:w="1713" w:type="dxa"/>
            <w:shd w:val="clear" w:color="auto" w:fill="auto"/>
            <w:noWrap/>
            <w:vAlign w:val="bottom"/>
            <w:hideMark/>
          </w:tcPr>
          <w:p w14:paraId="0969BB85" w14:textId="47D4A834"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Ethnicities</w:t>
            </w:r>
          </w:p>
        </w:tc>
        <w:tc>
          <w:tcPr>
            <w:tcW w:w="992" w:type="dxa"/>
            <w:shd w:val="clear" w:color="auto" w:fill="auto"/>
            <w:noWrap/>
            <w:vAlign w:val="center"/>
            <w:hideMark/>
          </w:tcPr>
          <w:p w14:paraId="384B864E" w14:textId="6B4B27BD" w:rsidR="00713856" w:rsidRPr="003726FE" w:rsidRDefault="00713856" w:rsidP="00FF6793">
            <w:pPr>
              <w:spacing w:after="0" w:line="240" w:lineRule="auto"/>
              <w:jc w:val="center"/>
              <w:rPr>
                <w:rFonts w:ascii="Calibri" w:eastAsia="Times New Roman" w:hAnsi="Calibri" w:cs="Times New Roman"/>
                <w:b/>
                <w:color w:val="000000"/>
                <w:sz w:val="20"/>
                <w:lang w:eastAsia="en-GB"/>
              </w:rPr>
            </w:pPr>
            <w:r w:rsidRPr="003726FE">
              <w:rPr>
                <w:rFonts w:ascii="Calibri" w:eastAsia="Times New Roman" w:hAnsi="Calibri" w:cs="Times New Roman"/>
                <w:b/>
                <w:color w:val="000000"/>
                <w:sz w:val="20"/>
                <w:lang w:eastAsia="en-GB"/>
              </w:rPr>
              <w:t>Feedback group</w:t>
            </w:r>
          </w:p>
        </w:tc>
      </w:tr>
      <w:tr w:rsidR="00713856" w:rsidRPr="003726FE" w14:paraId="56663D12" w14:textId="77777777" w:rsidTr="008A4137">
        <w:trPr>
          <w:trHeight w:val="300"/>
        </w:trPr>
        <w:tc>
          <w:tcPr>
            <w:tcW w:w="1235" w:type="dxa"/>
            <w:vMerge w:val="restart"/>
            <w:vAlign w:val="center"/>
          </w:tcPr>
          <w:p w14:paraId="03023292"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7</w:t>
            </w:r>
          </w:p>
        </w:tc>
        <w:tc>
          <w:tcPr>
            <w:tcW w:w="1278" w:type="dxa"/>
            <w:vMerge w:val="restart"/>
            <w:vAlign w:val="center"/>
          </w:tcPr>
          <w:p w14:paraId="7F536EFC" w14:textId="3F89B565" w:rsidR="00713856" w:rsidRPr="003726FE" w:rsidRDefault="004568F5" w:rsidP="004568F5">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00:45:40</w:t>
            </w:r>
          </w:p>
        </w:tc>
        <w:tc>
          <w:tcPr>
            <w:tcW w:w="873" w:type="dxa"/>
            <w:vMerge w:val="restart"/>
            <w:shd w:val="clear" w:color="auto" w:fill="auto"/>
            <w:noWrap/>
            <w:vAlign w:val="center"/>
            <w:hideMark/>
          </w:tcPr>
          <w:p w14:paraId="065ACB2E" w14:textId="71AFC632"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8</w:t>
            </w:r>
          </w:p>
        </w:tc>
        <w:tc>
          <w:tcPr>
            <w:tcW w:w="992" w:type="dxa"/>
            <w:vMerge w:val="restart"/>
            <w:shd w:val="clear" w:color="auto" w:fill="auto"/>
            <w:noWrap/>
            <w:vAlign w:val="center"/>
            <w:hideMark/>
          </w:tcPr>
          <w:p w14:paraId="643169C5"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20.71</w:t>
            </w:r>
          </w:p>
        </w:tc>
        <w:tc>
          <w:tcPr>
            <w:tcW w:w="1134" w:type="dxa"/>
            <w:shd w:val="clear" w:color="auto" w:fill="auto"/>
            <w:noWrap/>
            <w:vAlign w:val="center"/>
            <w:hideMark/>
          </w:tcPr>
          <w:p w14:paraId="56B39507"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 2</w:t>
            </w:r>
          </w:p>
        </w:tc>
        <w:tc>
          <w:tcPr>
            <w:tcW w:w="1713" w:type="dxa"/>
            <w:shd w:val="clear" w:color="auto" w:fill="auto"/>
            <w:noWrap/>
            <w:vAlign w:val="bottom"/>
            <w:hideMark/>
          </w:tcPr>
          <w:p w14:paraId="173A0113" w14:textId="2275AC73"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 7</w:t>
            </w:r>
          </w:p>
        </w:tc>
        <w:tc>
          <w:tcPr>
            <w:tcW w:w="992" w:type="dxa"/>
            <w:vMerge w:val="restart"/>
            <w:shd w:val="clear" w:color="auto" w:fill="auto"/>
            <w:vAlign w:val="center"/>
          </w:tcPr>
          <w:p w14:paraId="426922BB" w14:textId="736CEA7D"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r>
      <w:tr w:rsidR="00713856" w:rsidRPr="003726FE" w14:paraId="1E2E9361" w14:textId="77777777" w:rsidTr="008A4137">
        <w:trPr>
          <w:trHeight w:val="300"/>
        </w:trPr>
        <w:tc>
          <w:tcPr>
            <w:tcW w:w="1235" w:type="dxa"/>
            <w:vMerge/>
          </w:tcPr>
          <w:p w14:paraId="2B41ACEA" w14:textId="77777777" w:rsidR="00713856" w:rsidRPr="003726FE" w:rsidRDefault="00713856" w:rsidP="00FF6793">
            <w:pPr>
              <w:spacing w:after="0" w:line="240" w:lineRule="auto"/>
              <w:rPr>
                <w:rFonts w:eastAsia="Times New Roman" w:cs="Times New Roman"/>
                <w:sz w:val="20"/>
                <w:szCs w:val="20"/>
                <w:lang w:eastAsia="en-GB"/>
              </w:rPr>
            </w:pPr>
          </w:p>
        </w:tc>
        <w:tc>
          <w:tcPr>
            <w:tcW w:w="1278" w:type="dxa"/>
            <w:vMerge/>
          </w:tcPr>
          <w:p w14:paraId="291E42AB" w14:textId="77777777" w:rsidR="00713856" w:rsidRPr="003726FE" w:rsidRDefault="00713856" w:rsidP="00FF6793">
            <w:pPr>
              <w:spacing w:after="0" w:line="240" w:lineRule="auto"/>
              <w:rPr>
                <w:rFonts w:eastAsia="Times New Roman" w:cs="Times New Roman"/>
                <w:sz w:val="20"/>
                <w:szCs w:val="20"/>
                <w:lang w:eastAsia="en-GB"/>
              </w:rPr>
            </w:pPr>
          </w:p>
        </w:tc>
        <w:tc>
          <w:tcPr>
            <w:tcW w:w="873" w:type="dxa"/>
            <w:vMerge/>
            <w:shd w:val="clear" w:color="auto" w:fill="auto"/>
            <w:noWrap/>
            <w:vAlign w:val="bottom"/>
            <w:hideMark/>
          </w:tcPr>
          <w:p w14:paraId="11934A87" w14:textId="3ED5BF72" w:rsidR="00713856" w:rsidRPr="003726FE" w:rsidRDefault="00713856" w:rsidP="00FF6793">
            <w:pPr>
              <w:spacing w:after="0" w:line="240" w:lineRule="auto"/>
              <w:rPr>
                <w:rFonts w:eastAsia="Times New Roman" w:cs="Times New Roman"/>
                <w:sz w:val="20"/>
                <w:szCs w:val="20"/>
                <w:lang w:eastAsia="en-GB"/>
              </w:rPr>
            </w:pPr>
          </w:p>
        </w:tc>
        <w:tc>
          <w:tcPr>
            <w:tcW w:w="992" w:type="dxa"/>
            <w:vMerge/>
            <w:shd w:val="clear" w:color="auto" w:fill="auto"/>
            <w:noWrap/>
            <w:vAlign w:val="bottom"/>
            <w:hideMark/>
          </w:tcPr>
          <w:p w14:paraId="5A9ED563" w14:textId="77777777" w:rsidR="00713856" w:rsidRPr="003726FE" w:rsidRDefault="00713856" w:rsidP="00FF6793">
            <w:pPr>
              <w:spacing w:after="0" w:line="240" w:lineRule="auto"/>
              <w:rPr>
                <w:rFonts w:eastAsia="Times New Roman" w:cs="Times New Roman"/>
                <w:sz w:val="20"/>
                <w:szCs w:val="20"/>
                <w:lang w:eastAsia="en-GB"/>
              </w:rPr>
            </w:pPr>
          </w:p>
        </w:tc>
        <w:tc>
          <w:tcPr>
            <w:tcW w:w="1134" w:type="dxa"/>
            <w:shd w:val="clear" w:color="auto" w:fill="auto"/>
            <w:noWrap/>
            <w:vAlign w:val="center"/>
            <w:hideMark/>
          </w:tcPr>
          <w:p w14:paraId="1A6D2796" w14:textId="77777777" w:rsidR="00713856" w:rsidRPr="003726FE" w:rsidRDefault="00713856" w:rsidP="00FF6793">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 6</w:t>
            </w:r>
          </w:p>
        </w:tc>
        <w:tc>
          <w:tcPr>
            <w:tcW w:w="1713" w:type="dxa"/>
            <w:shd w:val="clear" w:color="auto" w:fill="auto"/>
            <w:noWrap/>
            <w:vAlign w:val="bottom"/>
            <w:hideMark/>
          </w:tcPr>
          <w:p w14:paraId="52D47128" w14:textId="75B63BD8" w:rsidR="00713856" w:rsidRPr="003726FE" w:rsidRDefault="00713856" w:rsidP="00FF6793">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or Asian British Pakistani: 1</w:t>
            </w:r>
          </w:p>
        </w:tc>
        <w:tc>
          <w:tcPr>
            <w:tcW w:w="992" w:type="dxa"/>
            <w:vMerge/>
            <w:shd w:val="clear" w:color="auto" w:fill="auto"/>
            <w:vAlign w:val="bottom"/>
          </w:tcPr>
          <w:p w14:paraId="68945931" w14:textId="1810AD48" w:rsidR="00713856" w:rsidRPr="003726FE" w:rsidRDefault="00713856" w:rsidP="00FF6793">
            <w:pPr>
              <w:spacing w:after="0" w:line="240" w:lineRule="auto"/>
              <w:rPr>
                <w:rFonts w:ascii="Calibri" w:eastAsia="Times New Roman" w:hAnsi="Calibri" w:cs="Times New Roman"/>
                <w:color w:val="000000"/>
                <w:sz w:val="20"/>
                <w:lang w:eastAsia="en-GB"/>
              </w:rPr>
            </w:pPr>
          </w:p>
        </w:tc>
      </w:tr>
    </w:tbl>
    <w:p w14:paraId="3FD27569" w14:textId="77777777" w:rsidR="00D92A02" w:rsidRPr="003726FE" w:rsidRDefault="00D92A02" w:rsidP="004110DF">
      <w:pPr>
        <w:pStyle w:val="Normal1"/>
        <w:rPr>
          <w:lang w:val="en-GB"/>
        </w:rPr>
      </w:pPr>
    </w:p>
    <w:p w14:paraId="60A60B01" w14:textId="2120DC77" w:rsidR="00C20F57" w:rsidRPr="003726FE" w:rsidRDefault="00513998" w:rsidP="004110DF">
      <w:pPr>
        <w:pStyle w:val="Normal1"/>
        <w:rPr>
          <w:b/>
          <w:lang w:val="en-GB"/>
        </w:rPr>
      </w:pPr>
      <w:r w:rsidRPr="003726FE">
        <w:rPr>
          <w:b/>
          <w:lang w:val="en-GB"/>
        </w:rPr>
        <w:t xml:space="preserve">Demographics - </w:t>
      </w:r>
      <w:r w:rsidR="00D92A02" w:rsidRPr="003726FE">
        <w:rPr>
          <w:b/>
          <w:lang w:val="en-GB"/>
        </w:rPr>
        <w:t>Focus groups</w:t>
      </w:r>
      <w:r w:rsidR="00C20F57" w:rsidRPr="003726FE">
        <w:rPr>
          <w:b/>
          <w:lang w:val="en-GB"/>
        </w:rPr>
        <w:br w:type="page"/>
      </w:r>
    </w:p>
    <w:p w14:paraId="08F40038" w14:textId="77777777" w:rsidR="006B367E" w:rsidRPr="003726FE" w:rsidRDefault="006B367E" w:rsidP="00426FCB">
      <w:pPr>
        <w:pStyle w:val="Heading1"/>
        <w:sectPr w:rsidR="006B367E" w:rsidRPr="003726FE" w:rsidSect="007C73DC">
          <w:pgSz w:w="11906" w:h="16838"/>
          <w:pgMar w:top="1134" w:right="1134" w:bottom="1134" w:left="2268" w:header="708" w:footer="708" w:gutter="0"/>
          <w:cols w:space="708"/>
          <w:docGrid w:linePitch="360"/>
        </w:sectPr>
      </w:pPr>
    </w:p>
    <w:tbl>
      <w:tblPr>
        <w:tblpPr w:leftFromText="180" w:rightFromText="180" w:vertAnchor="page" w:horzAnchor="margin" w:tblpY="2926"/>
        <w:tblW w:w="13173" w:type="dxa"/>
        <w:tblLook w:val="04A0" w:firstRow="1" w:lastRow="0" w:firstColumn="1" w:lastColumn="0" w:noHBand="0" w:noVBand="1"/>
      </w:tblPr>
      <w:tblGrid>
        <w:gridCol w:w="841"/>
        <w:gridCol w:w="565"/>
        <w:gridCol w:w="960"/>
        <w:gridCol w:w="960"/>
        <w:gridCol w:w="960"/>
        <w:gridCol w:w="1119"/>
        <w:gridCol w:w="822"/>
        <w:gridCol w:w="1560"/>
        <w:gridCol w:w="1134"/>
        <w:gridCol w:w="1842"/>
        <w:gridCol w:w="1276"/>
        <w:gridCol w:w="1134"/>
      </w:tblGrid>
      <w:tr w:rsidR="006B1351" w:rsidRPr="003726FE" w14:paraId="4BD6BC0F" w14:textId="77777777" w:rsidTr="004E781D">
        <w:trPr>
          <w:trHeight w:val="315"/>
        </w:trPr>
        <w:tc>
          <w:tcPr>
            <w:tcW w:w="84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246A8E"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lastRenderedPageBreak/>
              <w:t>ID</w:t>
            </w:r>
          </w:p>
        </w:tc>
        <w:tc>
          <w:tcPr>
            <w:tcW w:w="565" w:type="dxa"/>
            <w:tcBorders>
              <w:top w:val="single" w:sz="8" w:space="0" w:color="auto"/>
              <w:left w:val="nil"/>
              <w:bottom w:val="single" w:sz="8" w:space="0" w:color="auto"/>
              <w:right w:val="single" w:sz="4" w:space="0" w:color="auto"/>
            </w:tcBorders>
            <w:shd w:val="clear" w:color="auto" w:fill="auto"/>
            <w:noWrap/>
            <w:vAlign w:val="center"/>
            <w:hideMark/>
          </w:tcPr>
          <w:p w14:paraId="1318AE84"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Age</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34EBCB21"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Diary</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54DC8E46"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EAI score</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2C4AF2BD"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Cond.</w:t>
            </w:r>
          </w:p>
        </w:tc>
        <w:tc>
          <w:tcPr>
            <w:tcW w:w="1119" w:type="dxa"/>
            <w:tcBorders>
              <w:top w:val="single" w:sz="8" w:space="0" w:color="auto"/>
              <w:left w:val="nil"/>
              <w:bottom w:val="single" w:sz="8" w:space="0" w:color="auto"/>
              <w:right w:val="single" w:sz="4" w:space="0" w:color="auto"/>
            </w:tcBorders>
            <w:shd w:val="clear" w:color="auto" w:fill="auto"/>
            <w:noWrap/>
            <w:vAlign w:val="center"/>
            <w:hideMark/>
          </w:tcPr>
          <w:p w14:paraId="524F184C"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SRL Score</w:t>
            </w:r>
          </w:p>
        </w:tc>
        <w:tc>
          <w:tcPr>
            <w:tcW w:w="822" w:type="dxa"/>
            <w:tcBorders>
              <w:top w:val="single" w:sz="8" w:space="0" w:color="auto"/>
              <w:left w:val="nil"/>
              <w:bottom w:val="single" w:sz="8" w:space="0" w:color="auto"/>
              <w:right w:val="single" w:sz="4" w:space="0" w:color="auto"/>
            </w:tcBorders>
            <w:shd w:val="clear" w:color="auto" w:fill="auto"/>
            <w:noWrap/>
            <w:vAlign w:val="center"/>
            <w:hideMark/>
          </w:tcPr>
          <w:p w14:paraId="3F63FB12"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Sex</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14:paraId="79A3A4BF"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Ethnicity</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15F430F8"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Change in SRL score</w:t>
            </w:r>
          </w:p>
        </w:tc>
        <w:tc>
          <w:tcPr>
            <w:tcW w:w="1842" w:type="dxa"/>
            <w:tcBorders>
              <w:top w:val="single" w:sz="8" w:space="0" w:color="auto"/>
              <w:left w:val="nil"/>
              <w:bottom w:val="single" w:sz="8" w:space="0" w:color="auto"/>
              <w:right w:val="single" w:sz="4" w:space="0" w:color="auto"/>
            </w:tcBorders>
            <w:shd w:val="clear" w:color="auto" w:fill="auto"/>
            <w:noWrap/>
            <w:vAlign w:val="center"/>
            <w:hideMark/>
          </w:tcPr>
          <w:p w14:paraId="54075E0E"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EAI supervisor</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39B00F43" w14:textId="77777777" w:rsidR="006B1351" w:rsidRPr="003726FE" w:rsidRDefault="006B1351"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Interview duration</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32463E74" w14:textId="744C4F7B" w:rsidR="006B1351" w:rsidRPr="003726FE" w:rsidRDefault="0060463E" w:rsidP="004E781D">
            <w:pPr>
              <w:spacing w:after="0" w:line="240" w:lineRule="auto"/>
              <w:jc w:val="center"/>
              <w:rPr>
                <w:rFonts w:ascii="Calibri" w:eastAsia="Times New Roman" w:hAnsi="Calibri" w:cs="Times New Roman"/>
                <w:b/>
                <w:bCs/>
                <w:color w:val="000000"/>
                <w:sz w:val="20"/>
                <w:lang w:eastAsia="en-GB"/>
              </w:rPr>
            </w:pPr>
            <w:r w:rsidRPr="003726FE">
              <w:rPr>
                <w:rFonts w:ascii="Calibri" w:eastAsia="Times New Roman" w:hAnsi="Calibri" w:cs="Times New Roman"/>
                <w:b/>
                <w:bCs/>
                <w:color w:val="000000"/>
                <w:sz w:val="20"/>
                <w:lang w:eastAsia="en-GB"/>
              </w:rPr>
              <w:t>Placement</w:t>
            </w:r>
            <w:r w:rsidR="006B1351" w:rsidRPr="003726FE">
              <w:rPr>
                <w:rFonts w:ascii="Calibri" w:eastAsia="Times New Roman" w:hAnsi="Calibri" w:cs="Times New Roman"/>
                <w:b/>
                <w:bCs/>
                <w:color w:val="000000"/>
                <w:sz w:val="20"/>
                <w:lang w:eastAsia="en-GB"/>
              </w:rPr>
              <w:t xml:space="preserve"> number</w:t>
            </w:r>
          </w:p>
        </w:tc>
      </w:tr>
      <w:tr w:rsidR="006B1351" w:rsidRPr="003726FE" w14:paraId="0CEB4678"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7F97613" w14:textId="5CFB8CF9"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G2 - 2</w:t>
            </w:r>
          </w:p>
        </w:tc>
        <w:tc>
          <w:tcPr>
            <w:tcW w:w="565" w:type="dxa"/>
            <w:tcBorders>
              <w:top w:val="nil"/>
              <w:left w:val="nil"/>
              <w:bottom w:val="single" w:sz="4" w:space="0" w:color="auto"/>
              <w:right w:val="single" w:sz="4" w:space="0" w:color="auto"/>
            </w:tcBorders>
            <w:shd w:val="clear" w:color="auto" w:fill="auto"/>
            <w:noWrap/>
            <w:vAlign w:val="bottom"/>
            <w:hideMark/>
          </w:tcPr>
          <w:p w14:paraId="08337C9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3A3F5D7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2BF2337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05AD38C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61679D8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5F142F12"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45EA14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Irish</w:t>
            </w:r>
          </w:p>
        </w:tc>
        <w:tc>
          <w:tcPr>
            <w:tcW w:w="1134" w:type="dxa"/>
            <w:tcBorders>
              <w:top w:val="nil"/>
              <w:left w:val="nil"/>
              <w:bottom w:val="single" w:sz="4" w:space="0" w:color="auto"/>
              <w:right w:val="single" w:sz="4" w:space="0" w:color="auto"/>
            </w:tcBorders>
            <w:shd w:val="clear" w:color="auto" w:fill="auto"/>
            <w:noWrap/>
            <w:vAlign w:val="bottom"/>
            <w:hideMark/>
          </w:tcPr>
          <w:p w14:paraId="5D5CFAA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5309A44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33F0F591"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00:39:23</w:t>
            </w:r>
          </w:p>
        </w:tc>
        <w:tc>
          <w:tcPr>
            <w:tcW w:w="1134" w:type="dxa"/>
            <w:tcBorders>
              <w:top w:val="nil"/>
              <w:left w:val="nil"/>
              <w:bottom w:val="single" w:sz="4" w:space="0" w:color="auto"/>
              <w:right w:val="single" w:sz="8" w:space="0" w:color="auto"/>
            </w:tcBorders>
            <w:shd w:val="clear" w:color="auto" w:fill="auto"/>
            <w:noWrap/>
            <w:vAlign w:val="center"/>
            <w:hideMark/>
          </w:tcPr>
          <w:p w14:paraId="3E097C1D"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247C8EA6"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38FB2C95" w14:textId="7C2D698C"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G2 - 1</w:t>
            </w:r>
          </w:p>
        </w:tc>
        <w:tc>
          <w:tcPr>
            <w:tcW w:w="565" w:type="dxa"/>
            <w:tcBorders>
              <w:top w:val="nil"/>
              <w:left w:val="nil"/>
              <w:bottom w:val="single" w:sz="4" w:space="0" w:color="auto"/>
              <w:right w:val="single" w:sz="4" w:space="0" w:color="auto"/>
            </w:tcBorders>
            <w:shd w:val="clear" w:color="auto" w:fill="auto"/>
            <w:noWrap/>
            <w:vAlign w:val="bottom"/>
            <w:hideMark/>
          </w:tcPr>
          <w:p w14:paraId="16EA127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2CD2496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1A55B6E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4" w:space="0" w:color="auto"/>
              <w:right w:val="single" w:sz="4" w:space="0" w:color="auto"/>
            </w:tcBorders>
            <w:shd w:val="clear" w:color="auto" w:fill="auto"/>
            <w:noWrap/>
            <w:vAlign w:val="bottom"/>
            <w:hideMark/>
          </w:tcPr>
          <w:p w14:paraId="65576DC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661B304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C18DEF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212EF0F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20DF0CE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27FE8CE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6B6F457D"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00:32:37</w:t>
            </w:r>
          </w:p>
        </w:tc>
        <w:tc>
          <w:tcPr>
            <w:tcW w:w="1134" w:type="dxa"/>
            <w:tcBorders>
              <w:top w:val="nil"/>
              <w:left w:val="nil"/>
              <w:bottom w:val="single" w:sz="4" w:space="0" w:color="auto"/>
              <w:right w:val="single" w:sz="8" w:space="0" w:color="auto"/>
            </w:tcBorders>
            <w:shd w:val="clear" w:color="auto" w:fill="auto"/>
            <w:noWrap/>
            <w:vAlign w:val="center"/>
            <w:hideMark/>
          </w:tcPr>
          <w:p w14:paraId="26C9BDA1"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6298B1CC"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97942E1" w14:textId="00E12AA5"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G4 - 1</w:t>
            </w:r>
          </w:p>
        </w:tc>
        <w:tc>
          <w:tcPr>
            <w:tcW w:w="565" w:type="dxa"/>
            <w:tcBorders>
              <w:top w:val="nil"/>
              <w:left w:val="nil"/>
              <w:bottom w:val="single" w:sz="4" w:space="0" w:color="auto"/>
              <w:right w:val="single" w:sz="4" w:space="0" w:color="auto"/>
            </w:tcBorders>
            <w:shd w:val="clear" w:color="auto" w:fill="auto"/>
            <w:noWrap/>
            <w:vAlign w:val="bottom"/>
            <w:hideMark/>
          </w:tcPr>
          <w:p w14:paraId="1C07A402"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6C2B944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EE4406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4" w:space="0" w:color="auto"/>
              <w:right w:val="single" w:sz="4" w:space="0" w:color="auto"/>
            </w:tcBorders>
            <w:shd w:val="clear" w:color="auto" w:fill="auto"/>
            <w:noWrap/>
            <w:vAlign w:val="bottom"/>
            <w:hideMark/>
          </w:tcPr>
          <w:p w14:paraId="7588B7A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18FAF0B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6DF07A8F"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3D9AABFF"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other</w:t>
            </w:r>
          </w:p>
        </w:tc>
        <w:tc>
          <w:tcPr>
            <w:tcW w:w="1134" w:type="dxa"/>
            <w:tcBorders>
              <w:top w:val="nil"/>
              <w:left w:val="nil"/>
              <w:bottom w:val="single" w:sz="4" w:space="0" w:color="auto"/>
              <w:right w:val="single" w:sz="4" w:space="0" w:color="auto"/>
            </w:tcBorders>
            <w:shd w:val="clear" w:color="auto" w:fill="auto"/>
            <w:noWrap/>
            <w:vAlign w:val="bottom"/>
            <w:hideMark/>
          </w:tcPr>
          <w:p w14:paraId="71C52CC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3453B1A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Registrar</w:t>
            </w:r>
          </w:p>
        </w:tc>
        <w:tc>
          <w:tcPr>
            <w:tcW w:w="1276" w:type="dxa"/>
            <w:tcBorders>
              <w:top w:val="nil"/>
              <w:left w:val="nil"/>
              <w:bottom w:val="single" w:sz="4" w:space="0" w:color="auto"/>
              <w:right w:val="single" w:sz="4" w:space="0" w:color="auto"/>
            </w:tcBorders>
            <w:shd w:val="clear" w:color="auto" w:fill="auto"/>
            <w:noWrap/>
            <w:vAlign w:val="bottom"/>
            <w:hideMark/>
          </w:tcPr>
          <w:p w14:paraId="09D301C1"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00:33:59</w:t>
            </w:r>
          </w:p>
        </w:tc>
        <w:tc>
          <w:tcPr>
            <w:tcW w:w="1134" w:type="dxa"/>
            <w:tcBorders>
              <w:top w:val="nil"/>
              <w:left w:val="nil"/>
              <w:bottom w:val="single" w:sz="4" w:space="0" w:color="auto"/>
              <w:right w:val="single" w:sz="8" w:space="0" w:color="auto"/>
            </w:tcBorders>
            <w:shd w:val="clear" w:color="auto" w:fill="auto"/>
            <w:noWrap/>
            <w:vAlign w:val="center"/>
            <w:hideMark/>
          </w:tcPr>
          <w:p w14:paraId="7EF6F16C"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7B65AC51"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6E9B8CD" w14:textId="4CD151CB"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G6 - 1</w:t>
            </w:r>
          </w:p>
        </w:tc>
        <w:tc>
          <w:tcPr>
            <w:tcW w:w="565" w:type="dxa"/>
            <w:tcBorders>
              <w:top w:val="nil"/>
              <w:left w:val="nil"/>
              <w:bottom w:val="single" w:sz="4" w:space="0" w:color="auto"/>
              <w:right w:val="single" w:sz="4" w:space="0" w:color="auto"/>
            </w:tcBorders>
            <w:shd w:val="clear" w:color="auto" w:fill="auto"/>
            <w:noWrap/>
            <w:vAlign w:val="bottom"/>
            <w:hideMark/>
          </w:tcPr>
          <w:p w14:paraId="1F63543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40A256E3"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2EEC0FF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960" w:type="dxa"/>
            <w:tcBorders>
              <w:top w:val="nil"/>
              <w:left w:val="nil"/>
              <w:bottom w:val="single" w:sz="4" w:space="0" w:color="auto"/>
              <w:right w:val="single" w:sz="4" w:space="0" w:color="auto"/>
            </w:tcBorders>
            <w:shd w:val="clear" w:color="auto" w:fill="auto"/>
            <w:noWrap/>
            <w:vAlign w:val="bottom"/>
            <w:hideMark/>
          </w:tcPr>
          <w:p w14:paraId="312C635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0EEC1C2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130107A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298FFC7F"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13D651A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2007526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53F01D7E"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00:45:39</w:t>
            </w:r>
          </w:p>
        </w:tc>
        <w:tc>
          <w:tcPr>
            <w:tcW w:w="1134" w:type="dxa"/>
            <w:tcBorders>
              <w:top w:val="nil"/>
              <w:left w:val="nil"/>
              <w:bottom w:val="single" w:sz="4" w:space="0" w:color="auto"/>
              <w:right w:val="single" w:sz="8" w:space="0" w:color="auto"/>
            </w:tcBorders>
            <w:shd w:val="clear" w:color="auto" w:fill="auto"/>
            <w:noWrap/>
            <w:vAlign w:val="center"/>
            <w:hideMark/>
          </w:tcPr>
          <w:p w14:paraId="3DA844D6"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3C690536"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69092D2" w14:textId="1860A963"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G7 - 2</w:t>
            </w:r>
          </w:p>
        </w:tc>
        <w:tc>
          <w:tcPr>
            <w:tcW w:w="565" w:type="dxa"/>
            <w:tcBorders>
              <w:top w:val="nil"/>
              <w:left w:val="nil"/>
              <w:bottom w:val="single" w:sz="4" w:space="0" w:color="auto"/>
              <w:right w:val="single" w:sz="4" w:space="0" w:color="auto"/>
            </w:tcBorders>
            <w:shd w:val="clear" w:color="auto" w:fill="auto"/>
            <w:noWrap/>
            <w:vAlign w:val="bottom"/>
            <w:hideMark/>
          </w:tcPr>
          <w:p w14:paraId="735D2B4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585203F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No</w:t>
            </w:r>
          </w:p>
        </w:tc>
        <w:tc>
          <w:tcPr>
            <w:tcW w:w="960" w:type="dxa"/>
            <w:tcBorders>
              <w:top w:val="nil"/>
              <w:left w:val="nil"/>
              <w:bottom w:val="single" w:sz="4" w:space="0" w:color="auto"/>
              <w:right w:val="single" w:sz="4" w:space="0" w:color="auto"/>
            </w:tcBorders>
            <w:shd w:val="clear" w:color="auto" w:fill="auto"/>
            <w:noWrap/>
            <w:vAlign w:val="bottom"/>
            <w:hideMark/>
          </w:tcPr>
          <w:p w14:paraId="5D6F8F3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1BD64BC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07261BD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5C06B4F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0859218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5E67071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3186C94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1AE57CAC"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00:36:42</w:t>
            </w:r>
          </w:p>
        </w:tc>
        <w:tc>
          <w:tcPr>
            <w:tcW w:w="1134" w:type="dxa"/>
            <w:tcBorders>
              <w:top w:val="nil"/>
              <w:left w:val="nil"/>
              <w:bottom w:val="single" w:sz="4" w:space="0" w:color="auto"/>
              <w:right w:val="single" w:sz="8" w:space="0" w:color="auto"/>
            </w:tcBorders>
            <w:shd w:val="clear" w:color="auto" w:fill="auto"/>
            <w:noWrap/>
            <w:vAlign w:val="center"/>
            <w:hideMark/>
          </w:tcPr>
          <w:p w14:paraId="70EC82F6"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680B389A"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3F9CD8C" w14:textId="7C1E4326"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G1 - 2</w:t>
            </w:r>
          </w:p>
        </w:tc>
        <w:tc>
          <w:tcPr>
            <w:tcW w:w="565" w:type="dxa"/>
            <w:tcBorders>
              <w:top w:val="nil"/>
              <w:left w:val="nil"/>
              <w:bottom w:val="single" w:sz="4" w:space="0" w:color="auto"/>
              <w:right w:val="single" w:sz="4" w:space="0" w:color="auto"/>
            </w:tcBorders>
            <w:shd w:val="clear" w:color="auto" w:fill="auto"/>
            <w:noWrap/>
            <w:vAlign w:val="bottom"/>
            <w:hideMark/>
          </w:tcPr>
          <w:p w14:paraId="414F410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187ED38F"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486CDE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5295A5D4"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5207957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07FE2C8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3CFF34A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2592A21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0560F62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73D090BB"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00:38:25</w:t>
            </w:r>
          </w:p>
        </w:tc>
        <w:tc>
          <w:tcPr>
            <w:tcW w:w="1134" w:type="dxa"/>
            <w:tcBorders>
              <w:top w:val="nil"/>
              <w:left w:val="nil"/>
              <w:bottom w:val="single" w:sz="4" w:space="0" w:color="auto"/>
              <w:right w:val="single" w:sz="8" w:space="0" w:color="auto"/>
            </w:tcBorders>
            <w:shd w:val="clear" w:color="auto" w:fill="auto"/>
            <w:noWrap/>
            <w:vAlign w:val="center"/>
            <w:hideMark/>
          </w:tcPr>
          <w:p w14:paraId="234D5038"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19C62F56"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18757FF" w14:textId="08C314A3"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G5 - 2</w:t>
            </w:r>
          </w:p>
        </w:tc>
        <w:tc>
          <w:tcPr>
            <w:tcW w:w="565" w:type="dxa"/>
            <w:tcBorders>
              <w:top w:val="nil"/>
              <w:left w:val="nil"/>
              <w:bottom w:val="single" w:sz="4" w:space="0" w:color="auto"/>
              <w:right w:val="single" w:sz="4" w:space="0" w:color="auto"/>
            </w:tcBorders>
            <w:shd w:val="clear" w:color="auto" w:fill="auto"/>
            <w:noWrap/>
            <w:vAlign w:val="bottom"/>
            <w:hideMark/>
          </w:tcPr>
          <w:p w14:paraId="1047824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225D402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6E71C1C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960" w:type="dxa"/>
            <w:tcBorders>
              <w:top w:val="nil"/>
              <w:left w:val="nil"/>
              <w:bottom w:val="single" w:sz="4" w:space="0" w:color="auto"/>
              <w:right w:val="single" w:sz="4" w:space="0" w:color="auto"/>
            </w:tcBorders>
            <w:shd w:val="clear" w:color="auto" w:fill="auto"/>
            <w:noWrap/>
            <w:vAlign w:val="bottom"/>
            <w:hideMark/>
          </w:tcPr>
          <w:p w14:paraId="1D24957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1F86AE8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0CE14E2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3A7FE5F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57A7011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3CE2861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593EB795"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00:41:16</w:t>
            </w:r>
          </w:p>
        </w:tc>
        <w:tc>
          <w:tcPr>
            <w:tcW w:w="1134" w:type="dxa"/>
            <w:tcBorders>
              <w:top w:val="nil"/>
              <w:left w:val="nil"/>
              <w:bottom w:val="single" w:sz="4" w:space="0" w:color="auto"/>
              <w:right w:val="single" w:sz="8" w:space="0" w:color="auto"/>
            </w:tcBorders>
            <w:shd w:val="clear" w:color="auto" w:fill="auto"/>
            <w:noWrap/>
            <w:vAlign w:val="center"/>
            <w:hideMark/>
          </w:tcPr>
          <w:p w14:paraId="5615B4CE"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6EACC320"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312AA51" w14:textId="0A5FCB81"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G4 – 2</w:t>
            </w:r>
          </w:p>
        </w:tc>
        <w:tc>
          <w:tcPr>
            <w:tcW w:w="565" w:type="dxa"/>
            <w:tcBorders>
              <w:top w:val="nil"/>
              <w:left w:val="nil"/>
              <w:bottom w:val="single" w:sz="4" w:space="0" w:color="auto"/>
              <w:right w:val="single" w:sz="4" w:space="0" w:color="auto"/>
            </w:tcBorders>
            <w:shd w:val="clear" w:color="auto" w:fill="auto"/>
            <w:noWrap/>
            <w:vAlign w:val="bottom"/>
            <w:hideMark/>
          </w:tcPr>
          <w:p w14:paraId="5E1CC87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14:paraId="1143F57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72CCDD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0CE0A0DF"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20884BA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27CBFC53"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579BB2C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 other - Malaysian</w:t>
            </w:r>
          </w:p>
        </w:tc>
        <w:tc>
          <w:tcPr>
            <w:tcW w:w="1134" w:type="dxa"/>
            <w:tcBorders>
              <w:top w:val="nil"/>
              <w:left w:val="nil"/>
              <w:bottom w:val="single" w:sz="4" w:space="0" w:color="auto"/>
              <w:right w:val="single" w:sz="4" w:space="0" w:color="auto"/>
            </w:tcBorders>
            <w:shd w:val="clear" w:color="auto" w:fill="auto"/>
            <w:noWrap/>
            <w:vAlign w:val="bottom"/>
            <w:hideMark/>
          </w:tcPr>
          <w:p w14:paraId="0B263FB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5567AEB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05A59A44"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00:29:29</w:t>
            </w:r>
          </w:p>
        </w:tc>
        <w:tc>
          <w:tcPr>
            <w:tcW w:w="1134" w:type="dxa"/>
            <w:tcBorders>
              <w:top w:val="nil"/>
              <w:left w:val="nil"/>
              <w:bottom w:val="single" w:sz="4" w:space="0" w:color="auto"/>
              <w:right w:val="single" w:sz="8" w:space="0" w:color="auto"/>
            </w:tcBorders>
            <w:shd w:val="clear" w:color="auto" w:fill="auto"/>
            <w:noWrap/>
            <w:vAlign w:val="center"/>
            <w:hideMark/>
          </w:tcPr>
          <w:p w14:paraId="3D1BCDA3"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5156BDFE"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4C68574" w14:textId="31BCBD29"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G7 – 1</w:t>
            </w:r>
          </w:p>
        </w:tc>
        <w:tc>
          <w:tcPr>
            <w:tcW w:w="565" w:type="dxa"/>
            <w:tcBorders>
              <w:top w:val="nil"/>
              <w:left w:val="nil"/>
              <w:bottom w:val="single" w:sz="4" w:space="0" w:color="auto"/>
              <w:right w:val="single" w:sz="4" w:space="0" w:color="auto"/>
            </w:tcBorders>
            <w:shd w:val="clear" w:color="auto" w:fill="auto"/>
            <w:noWrap/>
            <w:vAlign w:val="bottom"/>
            <w:hideMark/>
          </w:tcPr>
          <w:p w14:paraId="7EFAA374"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705DA42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36E841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4" w:space="0" w:color="auto"/>
              <w:right w:val="single" w:sz="4" w:space="0" w:color="auto"/>
            </w:tcBorders>
            <w:shd w:val="clear" w:color="auto" w:fill="auto"/>
            <w:noWrap/>
            <w:vAlign w:val="bottom"/>
            <w:hideMark/>
          </w:tcPr>
          <w:p w14:paraId="51CE5B2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748C614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487CC6C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75E255A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06FC923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22829B8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079474F1"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00:45:12</w:t>
            </w:r>
          </w:p>
        </w:tc>
        <w:tc>
          <w:tcPr>
            <w:tcW w:w="1134" w:type="dxa"/>
            <w:tcBorders>
              <w:top w:val="nil"/>
              <w:left w:val="nil"/>
              <w:bottom w:val="single" w:sz="4" w:space="0" w:color="auto"/>
              <w:right w:val="single" w:sz="8" w:space="0" w:color="auto"/>
            </w:tcBorders>
            <w:shd w:val="clear" w:color="auto" w:fill="auto"/>
            <w:noWrap/>
            <w:vAlign w:val="center"/>
            <w:hideMark/>
          </w:tcPr>
          <w:p w14:paraId="6556E331"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5D1E8E70"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7C3A865" w14:textId="28B39D89"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G8 - 2</w:t>
            </w:r>
          </w:p>
        </w:tc>
        <w:tc>
          <w:tcPr>
            <w:tcW w:w="565" w:type="dxa"/>
            <w:tcBorders>
              <w:top w:val="nil"/>
              <w:left w:val="nil"/>
              <w:bottom w:val="single" w:sz="4" w:space="0" w:color="auto"/>
              <w:right w:val="single" w:sz="4" w:space="0" w:color="auto"/>
            </w:tcBorders>
            <w:shd w:val="clear" w:color="auto" w:fill="auto"/>
            <w:noWrap/>
            <w:vAlign w:val="bottom"/>
            <w:hideMark/>
          </w:tcPr>
          <w:p w14:paraId="781FEC7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7BBFF09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D7DBCD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960" w:type="dxa"/>
            <w:tcBorders>
              <w:top w:val="nil"/>
              <w:left w:val="nil"/>
              <w:bottom w:val="single" w:sz="4" w:space="0" w:color="auto"/>
              <w:right w:val="single" w:sz="4" w:space="0" w:color="auto"/>
            </w:tcBorders>
            <w:shd w:val="clear" w:color="auto" w:fill="auto"/>
            <w:noWrap/>
            <w:vAlign w:val="bottom"/>
            <w:hideMark/>
          </w:tcPr>
          <w:p w14:paraId="2BC1E11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47E5F60B"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5C1CDC0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5A322F84"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5255CA8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40473BE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07D2538E"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00:36:29</w:t>
            </w:r>
          </w:p>
        </w:tc>
        <w:tc>
          <w:tcPr>
            <w:tcW w:w="1134" w:type="dxa"/>
            <w:tcBorders>
              <w:top w:val="nil"/>
              <w:left w:val="nil"/>
              <w:bottom w:val="single" w:sz="4" w:space="0" w:color="auto"/>
              <w:right w:val="single" w:sz="8" w:space="0" w:color="auto"/>
            </w:tcBorders>
            <w:shd w:val="clear" w:color="auto" w:fill="auto"/>
            <w:noWrap/>
            <w:vAlign w:val="center"/>
            <w:hideMark/>
          </w:tcPr>
          <w:p w14:paraId="2ADC365E"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77780178"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84B33CE" w14:textId="1E754333"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G3 – 1</w:t>
            </w:r>
          </w:p>
        </w:tc>
        <w:tc>
          <w:tcPr>
            <w:tcW w:w="565" w:type="dxa"/>
            <w:tcBorders>
              <w:top w:val="nil"/>
              <w:left w:val="nil"/>
              <w:bottom w:val="single" w:sz="4" w:space="0" w:color="auto"/>
              <w:right w:val="single" w:sz="4" w:space="0" w:color="auto"/>
            </w:tcBorders>
            <w:shd w:val="clear" w:color="auto" w:fill="auto"/>
            <w:noWrap/>
            <w:vAlign w:val="bottom"/>
            <w:hideMark/>
          </w:tcPr>
          <w:p w14:paraId="780F4CD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7E048AD4"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F4EF16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4" w:space="0" w:color="auto"/>
              <w:right w:val="single" w:sz="4" w:space="0" w:color="auto"/>
            </w:tcBorders>
            <w:shd w:val="clear" w:color="auto" w:fill="auto"/>
            <w:noWrap/>
            <w:vAlign w:val="bottom"/>
            <w:hideMark/>
          </w:tcPr>
          <w:p w14:paraId="62900F8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4BAF90D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2954852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2A8555C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or Asian British Indian</w:t>
            </w:r>
          </w:p>
        </w:tc>
        <w:tc>
          <w:tcPr>
            <w:tcW w:w="1134" w:type="dxa"/>
            <w:tcBorders>
              <w:top w:val="nil"/>
              <w:left w:val="nil"/>
              <w:bottom w:val="single" w:sz="4" w:space="0" w:color="auto"/>
              <w:right w:val="single" w:sz="4" w:space="0" w:color="auto"/>
            </w:tcBorders>
            <w:shd w:val="clear" w:color="auto" w:fill="auto"/>
            <w:noWrap/>
            <w:vAlign w:val="bottom"/>
            <w:hideMark/>
          </w:tcPr>
          <w:p w14:paraId="5839867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31E974A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Registrar</w:t>
            </w:r>
          </w:p>
        </w:tc>
        <w:tc>
          <w:tcPr>
            <w:tcW w:w="1276" w:type="dxa"/>
            <w:tcBorders>
              <w:top w:val="nil"/>
              <w:left w:val="nil"/>
              <w:bottom w:val="single" w:sz="4" w:space="0" w:color="auto"/>
              <w:right w:val="single" w:sz="4" w:space="0" w:color="auto"/>
            </w:tcBorders>
            <w:shd w:val="clear" w:color="auto" w:fill="auto"/>
            <w:noWrap/>
            <w:vAlign w:val="bottom"/>
            <w:hideMark/>
          </w:tcPr>
          <w:p w14:paraId="642C0AB2"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00:28:43</w:t>
            </w:r>
          </w:p>
        </w:tc>
        <w:tc>
          <w:tcPr>
            <w:tcW w:w="1134" w:type="dxa"/>
            <w:tcBorders>
              <w:top w:val="nil"/>
              <w:left w:val="nil"/>
              <w:bottom w:val="single" w:sz="4" w:space="0" w:color="auto"/>
              <w:right w:val="single" w:sz="8" w:space="0" w:color="auto"/>
            </w:tcBorders>
            <w:shd w:val="clear" w:color="auto" w:fill="auto"/>
            <w:noWrap/>
            <w:vAlign w:val="center"/>
            <w:hideMark/>
          </w:tcPr>
          <w:p w14:paraId="08A33013"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r w:rsidR="006B1351" w:rsidRPr="003726FE" w14:paraId="55ACC87F"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1DD5E1D" w14:textId="20E869F3"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G3 – 2</w:t>
            </w:r>
          </w:p>
        </w:tc>
        <w:tc>
          <w:tcPr>
            <w:tcW w:w="565" w:type="dxa"/>
            <w:tcBorders>
              <w:top w:val="nil"/>
              <w:left w:val="nil"/>
              <w:bottom w:val="single" w:sz="4" w:space="0" w:color="auto"/>
              <w:right w:val="single" w:sz="4" w:space="0" w:color="auto"/>
            </w:tcBorders>
            <w:shd w:val="clear" w:color="auto" w:fill="auto"/>
            <w:noWrap/>
            <w:vAlign w:val="bottom"/>
            <w:hideMark/>
          </w:tcPr>
          <w:p w14:paraId="347072C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58EEFF0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63BA69C3"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01783CD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7CC336F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682044F2"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w:t>
            </w:r>
          </w:p>
        </w:tc>
        <w:tc>
          <w:tcPr>
            <w:tcW w:w="1560" w:type="dxa"/>
            <w:tcBorders>
              <w:top w:val="nil"/>
              <w:left w:val="nil"/>
              <w:bottom w:val="single" w:sz="4" w:space="0" w:color="auto"/>
              <w:right w:val="single" w:sz="4" w:space="0" w:color="auto"/>
            </w:tcBorders>
            <w:shd w:val="clear" w:color="auto" w:fill="auto"/>
            <w:noWrap/>
            <w:vAlign w:val="bottom"/>
            <w:hideMark/>
          </w:tcPr>
          <w:p w14:paraId="3901EB8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19B57E4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62BB04C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3BB3E21F"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00:42:39</w:t>
            </w:r>
          </w:p>
        </w:tc>
        <w:tc>
          <w:tcPr>
            <w:tcW w:w="1134" w:type="dxa"/>
            <w:tcBorders>
              <w:top w:val="nil"/>
              <w:left w:val="nil"/>
              <w:bottom w:val="single" w:sz="4" w:space="0" w:color="auto"/>
              <w:right w:val="single" w:sz="8" w:space="0" w:color="auto"/>
            </w:tcBorders>
            <w:shd w:val="clear" w:color="auto" w:fill="auto"/>
            <w:noWrap/>
            <w:vAlign w:val="center"/>
            <w:hideMark/>
          </w:tcPr>
          <w:p w14:paraId="7EF69B32"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1430FCB5"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0948960" w14:textId="421DE8A8"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G8 – 1</w:t>
            </w:r>
          </w:p>
        </w:tc>
        <w:tc>
          <w:tcPr>
            <w:tcW w:w="565" w:type="dxa"/>
            <w:tcBorders>
              <w:top w:val="nil"/>
              <w:left w:val="nil"/>
              <w:bottom w:val="single" w:sz="4" w:space="0" w:color="auto"/>
              <w:right w:val="single" w:sz="4" w:space="0" w:color="auto"/>
            </w:tcBorders>
            <w:shd w:val="clear" w:color="auto" w:fill="auto"/>
            <w:noWrap/>
            <w:vAlign w:val="bottom"/>
            <w:hideMark/>
          </w:tcPr>
          <w:p w14:paraId="3D670E8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35A5250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1B8ABBD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960" w:type="dxa"/>
            <w:tcBorders>
              <w:top w:val="nil"/>
              <w:left w:val="nil"/>
              <w:bottom w:val="single" w:sz="4" w:space="0" w:color="auto"/>
              <w:right w:val="single" w:sz="4" w:space="0" w:color="auto"/>
            </w:tcBorders>
            <w:shd w:val="clear" w:color="auto" w:fill="auto"/>
            <w:noWrap/>
            <w:vAlign w:val="bottom"/>
            <w:hideMark/>
          </w:tcPr>
          <w:p w14:paraId="3455CED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5AED3232"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58ABA06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w:t>
            </w:r>
          </w:p>
        </w:tc>
        <w:tc>
          <w:tcPr>
            <w:tcW w:w="1560" w:type="dxa"/>
            <w:tcBorders>
              <w:top w:val="nil"/>
              <w:left w:val="nil"/>
              <w:bottom w:val="single" w:sz="4" w:space="0" w:color="auto"/>
              <w:right w:val="single" w:sz="4" w:space="0" w:color="auto"/>
            </w:tcBorders>
            <w:shd w:val="clear" w:color="auto" w:fill="auto"/>
            <w:noWrap/>
            <w:vAlign w:val="bottom"/>
            <w:hideMark/>
          </w:tcPr>
          <w:p w14:paraId="4B363D8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Asian or British Pakistani</w:t>
            </w:r>
          </w:p>
        </w:tc>
        <w:tc>
          <w:tcPr>
            <w:tcW w:w="1134" w:type="dxa"/>
            <w:tcBorders>
              <w:top w:val="nil"/>
              <w:left w:val="nil"/>
              <w:bottom w:val="single" w:sz="4" w:space="0" w:color="auto"/>
              <w:right w:val="single" w:sz="4" w:space="0" w:color="auto"/>
            </w:tcBorders>
            <w:shd w:val="clear" w:color="auto" w:fill="auto"/>
            <w:noWrap/>
            <w:vAlign w:val="bottom"/>
            <w:hideMark/>
          </w:tcPr>
          <w:p w14:paraId="7AE34C44"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1842" w:type="dxa"/>
            <w:tcBorders>
              <w:top w:val="nil"/>
              <w:left w:val="nil"/>
              <w:bottom w:val="single" w:sz="4" w:space="0" w:color="auto"/>
              <w:right w:val="single" w:sz="4" w:space="0" w:color="auto"/>
            </w:tcBorders>
            <w:shd w:val="clear" w:color="auto" w:fill="auto"/>
            <w:noWrap/>
            <w:vAlign w:val="bottom"/>
            <w:hideMark/>
          </w:tcPr>
          <w:p w14:paraId="7CF1BFF1"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615D687A"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00:23:00</w:t>
            </w:r>
          </w:p>
        </w:tc>
        <w:tc>
          <w:tcPr>
            <w:tcW w:w="1134" w:type="dxa"/>
            <w:tcBorders>
              <w:top w:val="nil"/>
              <w:left w:val="nil"/>
              <w:bottom w:val="single" w:sz="4" w:space="0" w:color="auto"/>
              <w:right w:val="single" w:sz="8" w:space="0" w:color="auto"/>
            </w:tcBorders>
            <w:shd w:val="clear" w:color="auto" w:fill="auto"/>
            <w:noWrap/>
            <w:vAlign w:val="center"/>
            <w:hideMark/>
          </w:tcPr>
          <w:p w14:paraId="577DE7C3"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7E7566E6"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365B6F91" w14:textId="6C124A09"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G1 – 1</w:t>
            </w:r>
          </w:p>
        </w:tc>
        <w:tc>
          <w:tcPr>
            <w:tcW w:w="565" w:type="dxa"/>
            <w:tcBorders>
              <w:top w:val="nil"/>
              <w:left w:val="nil"/>
              <w:bottom w:val="single" w:sz="4" w:space="0" w:color="auto"/>
              <w:right w:val="single" w:sz="4" w:space="0" w:color="auto"/>
            </w:tcBorders>
            <w:shd w:val="clear" w:color="auto" w:fill="auto"/>
            <w:noWrap/>
            <w:vAlign w:val="bottom"/>
            <w:hideMark/>
          </w:tcPr>
          <w:p w14:paraId="6CD3CFE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14DC0D5E"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8F97C0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960" w:type="dxa"/>
            <w:tcBorders>
              <w:top w:val="nil"/>
              <w:left w:val="nil"/>
              <w:bottom w:val="single" w:sz="4" w:space="0" w:color="auto"/>
              <w:right w:val="single" w:sz="4" w:space="0" w:color="auto"/>
            </w:tcBorders>
            <w:shd w:val="clear" w:color="auto" w:fill="auto"/>
            <w:noWrap/>
            <w:vAlign w:val="bottom"/>
            <w:hideMark/>
          </w:tcPr>
          <w:p w14:paraId="7618112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SRLF</w:t>
            </w:r>
          </w:p>
        </w:tc>
        <w:tc>
          <w:tcPr>
            <w:tcW w:w="1119" w:type="dxa"/>
            <w:tcBorders>
              <w:top w:val="nil"/>
              <w:left w:val="nil"/>
              <w:bottom w:val="single" w:sz="4" w:space="0" w:color="auto"/>
              <w:right w:val="single" w:sz="4" w:space="0" w:color="auto"/>
            </w:tcBorders>
            <w:shd w:val="clear" w:color="auto" w:fill="auto"/>
            <w:noWrap/>
            <w:vAlign w:val="bottom"/>
            <w:hideMark/>
          </w:tcPr>
          <w:p w14:paraId="1457D62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08BE36F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Male</w:t>
            </w:r>
          </w:p>
        </w:tc>
        <w:tc>
          <w:tcPr>
            <w:tcW w:w="1560" w:type="dxa"/>
            <w:tcBorders>
              <w:top w:val="nil"/>
              <w:left w:val="nil"/>
              <w:bottom w:val="single" w:sz="4" w:space="0" w:color="auto"/>
              <w:right w:val="single" w:sz="4" w:space="0" w:color="auto"/>
            </w:tcBorders>
            <w:shd w:val="clear" w:color="auto" w:fill="auto"/>
            <w:noWrap/>
            <w:vAlign w:val="bottom"/>
            <w:hideMark/>
          </w:tcPr>
          <w:p w14:paraId="044F2AB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6C26CD40"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279D0C7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4" w:space="0" w:color="auto"/>
              <w:right w:val="single" w:sz="4" w:space="0" w:color="auto"/>
            </w:tcBorders>
            <w:shd w:val="clear" w:color="auto" w:fill="auto"/>
            <w:noWrap/>
            <w:vAlign w:val="bottom"/>
            <w:hideMark/>
          </w:tcPr>
          <w:p w14:paraId="4EF4AAD1"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00:40:05</w:t>
            </w:r>
          </w:p>
        </w:tc>
        <w:tc>
          <w:tcPr>
            <w:tcW w:w="1134" w:type="dxa"/>
            <w:tcBorders>
              <w:top w:val="nil"/>
              <w:left w:val="nil"/>
              <w:bottom w:val="single" w:sz="4" w:space="0" w:color="auto"/>
              <w:right w:val="single" w:sz="8" w:space="0" w:color="auto"/>
            </w:tcBorders>
            <w:shd w:val="clear" w:color="auto" w:fill="auto"/>
            <w:noWrap/>
            <w:vAlign w:val="center"/>
            <w:hideMark/>
          </w:tcPr>
          <w:p w14:paraId="1B49EF7E"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6CE71AE5" w14:textId="77777777" w:rsidTr="004E781D">
        <w:trPr>
          <w:trHeight w:val="300"/>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8F9733F" w14:textId="3854D593"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G5 – 1</w:t>
            </w:r>
          </w:p>
        </w:tc>
        <w:tc>
          <w:tcPr>
            <w:tcW w:w="565" w:type="dxa"/>
            <w:tcBorders>
              <w:top w:val="nil"/>
              <w:left w:val="nil"/>
              <w:bottom w:val="single" w:sz="4" w:space="0" w:color="auto"/>
              <w:right w:val="single" w:sz="4" w:space="0" w:color="auto"/>
            </w:tcBorders>
            <w:shd w:val="clear" w:color="auto" w:fill="auto"/>
            <w:noWrap/>
            <w:vAlign w:val="bottom"/>
            <w:hideMark/>
          </w:tcPr>
          <w:p w14:paraId="14C7351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394CA14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No</w:t>
            </w:r>
          </w:p>
        </w:tc>
        <w:tc>
          <w:tcPr>
            <w:tcW w:w="960" w:type="dxa"/>
            <w:tcBorders>
              <w:top w:val="nil"/>
              <w:left w:val="nil"/>
              <w:bottom w:val="single" w:sz="4" w:space="0" w:color="auto"/>
              <w:right w:val="single" w:sz="4" w:space="0" w:color="auto"/>
            </w:tcBorders>
            <w:shd w:val="clear" w:color="auto" w:fill="auto"/>
            <w:noWrap/>
            <w:vAlign w:val="bottom"/>
            <w:hideMark/>
          </w:tcPr>
          <w:p w14:paraId="4BD3E62D"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4" w:space="0" w:color="auto"/>
              <w:right w:val="single" w:sz="4" w:space="0" w:color="auto"/>
            </w:tcBorders>
            <w:shd w:val="clear" w:color="auto" w:fill="auto"/>
            <w:noWrap/>
            <w:vAlign w:val="bottom"/>
            <w:hideMark/>
          </w:tcPr>
          <w:p w14:paraId="1B322DD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4" w:space="0" w:color="auto"/>
              <w:right w:val="single" w:sz="4" w:space="0" w:color="auto"/>
            </w:tcBorders>
            <w:shd w:val="clear" w:color="auto" w:fill="auto"/>
            <w:noWrap/>
            <w:vAlign w:val="bottom"/>
            <w:hideMark/>
          </w:tcPr>
          <w:p w14:paraId="6F1503E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low</w:t>
            </w:r>
          </w:p>
        </w:tc>
        <w:tc>
          <w:tcPr>
            <w:tcW w:w="822" w:type="dxa"/>
            <w:tcBorders>
              <w:top w:val="nil"/>
              <w:left w:val="nil"/>
              <w:bottom w:val="single" w:sz="4" w:space="0" w:color="auto"/>
              <w:right w:val="single" w:sz="4" w:space="0" w:color="auto"/>
            </w:tcBorders>
            <w:shd w:val="clear" w:color="auto" w:fill="auto"/>
            <w:noWrap/>
            <w:vAlign w:val="bottom"/>
            <w:hideMark/>
          </w:tcPr>
          <w:p w14:paraId="1444296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4" w:space="0" w:color="auto"/>
              <w:right w:val="single" w:sz="4" w:space="0" w:color="auto"/>
            </w:tcBorders>
            <w:shd w:val="clear" w:color="auto" w:fill="auto"/>
            <w:noWrap/>
            <w:vAlign w:val="bottom"/>
            <w:hideMark/>
          </w:tcPr>
          <w:p w14:paraId="15F56F4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4" w:space="0" w:color="auto"/>
              <w:right w:val="single" w:sz="4" w:space="0" w:color="auto"/>
            </w:tcBorders>
            <w:shd w:val="clear" w:color="auto" w:fill="auto"/>
            <w:noWrap/>
            <w:vAlign w:val="bottom"/>
            <w:hideMark/>
          </w:tcPr>
          <w:p w14:paraId="03BB7B66"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4" w:space="0" w:color="auto"/>
              <w:right w:val="single" w:sz="4" w:space="0" w:color="auto"/>
            </w:tcBorders>
            <w:shd w:val="clear" w:color="auto" w:fill="auto"/>
            <w:noWrap/>
            <w:vAlign w:val="bottom"/>
            <w:hideMark/>
          </w:tcPr>
          <w:p w14:paraId="4A79A1CA"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Foundation doctor</w:t>
            </w:r>
          </w:p>
        </w:tc>
        <w:tc>
          <w:tcPr>
            <w:tcW w:w="1276" w:type="dxa"/>
            <w:tcBorders>
              <w:top w:val="nil"/>
              <w:left w:val="nil"/>
              <w:bottom w:val="single" w:sz="4" w:space="0" w:color="auto"/>
              <w:right w:val="single" w:sz="4" w:space="0" w:color="auto"/>
            </w:tcBorders>
            <w:shd w:val="clear" w:color="auto" w:fill="auto"/>
            <w:noWrap/>
            <w:vAlign w:val="bottom"/>
            <w:hideMark/>
          </w:tcPr>
          <w:p w14:paraId="3740A2E4"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00:38:31</w:t>
            </w:r>
          </w:p>
        </w:tc>
        <w:tc>
          <w:tcPr>
            <w:tcW w:w="1134" w:type="dxa"/>
            <w:tcBorders>
              <w:top w:val="nil"/>
              <w:left w:val="nil"/>
              <w:bottom w:val="single" w:sz="4" w:space="0" w:color="auto"/>
              <w:right w:val="single" w:sz="8" w:space="0" w:color="auto"/>
            </w:tcBorders>
            <w:shd w:val="clear" w:color="auto" w:fill="auto"/>
            <w:noWrap/>
            <w:vAlign w:val="center"/>
            <w:hideMark/>
          </w:tcPr>
          <w:p w14:paraId="45B5DCDE"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3</w:t>
            </w:r>
          </w:p>
        </w:tc>
      </w:tr>
      <w:tr w:rsidR="006B1351" w:rsidRPr="003726FE" w14:paraId="5952F293" w14:textId="77777777" w:rsidTr="004E781D">
        <w:trPr>
          <w:trHeight w:val="315"/>
        </w:trPr>
        <w:tc>
          <w:tcPr>
            <w:tcW w:w="841" w:type="dxa"/>
            <w:tcBorders>
              <w:top w:val="nil"/>
              <w:left w:val="single" w:sz="8" w:space="0" w:color="auto"/>
              <w:bottom w:val="single" w:sz="8" w:space="0" w:color="auto"/>
              <w:right w:val="single" w:sz="4" w:space="0" w:color="auto"/>
            </w:tcBorders>
            <w:shd w:val="clear" w:color="auto" w:fill="auto"/>
            <w:noWrap/>
            <w:vAlign w:val="bottom"/>
            <w:hideMark/>
          </w:tcPr>
          <w:p w14:paraId="78FFB2C2" w14:textId="2D3961EF" w:rsidR="006B1351" w:rsidRPr="003726FE" w:rsidRDefault="0060463E"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G6 - 2</w:t>
            </w:r>
          </w:p>
        </w:tc>
        <w:tc>
          <w:tcPr>
            <w:tcW w:w="565" w:type="dxa"/>
            <w:tcBorders>
              <w:top w:val="nil"/>
              <w:left w:val="nil"/>
              <w:bottom w:val="single" w:sz="8" w:space="0" w:color="auto"/>
              <w:right w:val="single" w:sz="4" w:space="0" w:color="auto"/>
            </w:tcBorders>
            <w:shd w:val="clear" w:color="auto" w:fill="auto"/>
            <w:noWrap/>
            <w:vAlign w:val="bottom"/>
            <w:hideMark/>
          </w:tcPr>
          <w:p w14:paraId="0479A827"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20</w:t>
            </w:r>
          </w:p>
        </w:tc>
        <w:tc>
          <w:tcPr>
            <w:tcW w:w="960" w:type="dxa"/>
            <w:tcBorders>
              <w:top w:val="nil"/>
              <w:left w:val="nil"/>
              <w:bottom w:val="single" w:sz="8" w:space="0" w:color="auto"/>
              <w:right w:val="single" w:sz="4" w:space="0" w:color="auto"/>
            </w:tcBorders>
            <w:shd w:val="clear" w:color="auto" w:fill="auto"/>
            <w:noWrap/>
            <w:vAlign w:val="bottom"/>
            <w:hideMark/>
          </w:tcPr>
          <w:p w14:paraId="4A34946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Yes</w:t>
            </w:r>
          </w:p>
        </w:tc>
        <w:tc>
          <w:tcPr>
            <w:tcW w:w="960" w:type="dxa"/>
            <w:tcBorders>
              <w:top w:val="nil"/>
              <w:left w:val="nil"/>
              <w:bottom w:val="single" w:sz="8" w:space="0" w:color="auto"/>
              <w:right w:val="single" w:sz="4" w:space="0" w:color="auto"/>
            </w:tcBorders>
            <w:shd w:val="clear" w:color="auto" w:fill="auto"/>
            <w:noWrap/>
            <w:vAlign w:val="bottom"/>
            <w:hideMark/>
          </w:tcPr>
          <w:p w14:paraId="5E2DB152"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Med</w:t>
            </w:r>
          </w:p>
        </w:tc>
        <w:tc>
          <w:tcPr>
            <w:tcW w:w="960" w:type="dxa"/>
            <w:tcBorders>
              <w:top w:val="nil"/>
              <w:left w:val="nil"/>
              <w:bottom w:val="single" w:sz="8" w:space="0" w:color="auto"/>
              <w:right w:val="single" w:sz="4" w:space="0" w:color="auto"/>
            </w:tcBorders>
            <w:shd w:val="clear" w:color="auto" w:fill="auto"/>
            <w:noWrap/>
            <w:vAlign w:val="bottom"/>
            <w:hideMark/>
          </w:tcPr>
          <w:p w14:paraId="19F86D55"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BPF</w:t>
            </w:r>
          </w:p>
        </w:tc>
        <w:tc>
          <w:tcPr>
            <w:tcW w:w="1119" w:type="dxa"/>
            <w:tcBorders>
              <w:top w:val="nil"/>
              <w:left w:val="nil"/>
              <w:bottom w:val="single" w:sz="8" w:space="0" w:color="auto"/>
              <w:right w:val="single" w:sz="4" w:space="0" w:color="auto"/>
            </w:tcBorders>
            <w:shd w:val="clear" w:color="auto" w:fill="auto"/>
            <w:noWrap/>
            <w:vAlign w:val="bottom"/>
            <w:hideMark/>
          </w:tcPr>
          <w:p w14:paraId="6A8727D9"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822" w:type="dxa"/>
            <w:tcBorders>
              <w:top w:val="nil"/>
              <w:left w:val="nil"/>
              <w:bottom w:val="single" w:sz="8" w:space="0" w:color="auto"/>
              <w:right w:val="single" w:sz="4" w:space="0" w:color="auto"/>
            </w:tcBorders>
            <w:shd w:val="clear" w:color="auto" w:fill="auto"/>
            <w:noWrap/>
            <w:vAlign w:val="bottom"/>
            <w:hideMark/>
          </w:tcPr>
          <w:p w14:paraId="5E10A51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Female</w:t>
            </w:r>
          </w:p>
        </w:tc>
        <w:tc>
          <w:tcPr>
            <w:tcW w:w="1560" w:type="dxa"/>
            <w:tcBorders>
              <w:top w:val="nil"/>
              <w:left w:val="nil"/>
              <w:bottom w:val="single" w:sz="8" w:space="0" w:color="auto"/>
              <w:right w:val="single" w:sz="4" w:space="0" w:color="auto"/>
            </w:tcBorders>
            <w:shd w:val="clear" w:color="auto" w:fill="auto"/>
            <w:noWrap/>
            <w:vAlign w:val="bottom"/>
            <w:hideMark/>
          </w:tcPr>
          <w:p w14:paraId="3F9A6DD3"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White - British</w:t>
            </w:r>
          </w:p>
        </w:tc>
        <w:tc>
          <w:tcPr>
            <w:tcW w:w="1134" w:type="dxa"/>
            <w:tcBorders>
              <w:top w:val="nil"/>
              <w:left w:val="nil"/>
              <w:bottom w:val="single" w:sz="8" w:space="0" w:color="auto"/>
              <w:right w:val="single" w:sz="4" w:space="0" w:color="auto"/>
            </w:tcBorders>
            <w:shd w:val="clear" w:color="auto" w:fill="auto"/>
            <w:noWrap/>
            <w:vAlign w:val="bottom"/>
            <w:hideMark/>
          </w:tcPr>
          <w:p w14:paraId="227404E8"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High</w:t>
            </w:r>
          </w:p>
        </w:tc>
        <w:tc>
          <w:tcPr>
            <w:tcW w:w="1842" w:type="dxa"/>
            <w:tcBorders>
              <w:top w:val="nil"/>
              <w:left w:val="nil"/>
              <w:bottom w:val="single" w:sz="8" w:space="0" w:color="auto"/>
              <w:right w:val="single" w:sz="4" w:space="0" w:color="auto"/>
            </w:tcBorders>
            <w:shd w:val="clear" w:color="auto" w:fill="auto"/>
            <w:noWrap/>
            <w:vAlign w:val="bottom"/>
            <w:hideMark/>
          </w:tcPr>
          <w:p w14:paraId="57ECF62C" w14:textId="77777777" w:rsidR="006B1351" w:rsidRPr="003726FE" w:rsidRDefault="006B1351" w:rsidP="004E781D">
            <w:pPr>
              <w:spacing w:after="0" w:line="240" w:lineRule="auto"/>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Consultant</w:t>
            </w:r>
          </w:p>
        </w:tc>
        <w:tc>
          <w:tcPr>
            <w:tcW w:w="1276" w:type="dxa"/>
            <w:tcBorders>
              <w:top w:val="nil"/>
              <w:left w:val="nil"/>
              <w:bottom w:val="single" w:sz="8" w:space="0" w:color="auto"/>
              <w:right w:val="single" w:sz="4" w:space="0" w:color="auto"/>
            </w:tcBorders>
            <w:shd w:val="clear" w:color="auto" w:fill="auto"/>
            <w:noWrap/>
            <w:vAlign w:val="bottom"/>
            <w:hideMark/>
          </w:tcPr>
          <w:p w14:paraId="38ACD12C" w14:textId="77777777" w:rsidR="006B1351" w:rsidRPr="003726FE" w:rsidRDefault="006B1351" w:rsidP="004E781D">
            <w:pPr>
              <w:spacing w:after="0" w:line="240" w:lineRule="auto"/>
              <w:jc w:val="right"/>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00:34:28</w:t>
            </w:r>
          </w:p>
        </w:tc>
        <w:tc>
          <w:tcPr>
            <w:tcW w:w="1134" w:type="dxa"/>
            <w:tcBorders>
              <w:top w:val="nil"/>
              <w:left w:val="nil"/>
              <w:bottom w:val="single" w:sz="8" w:space="0" w:color="auto"/>
              <w:right w:val="single" w:sz="8" w:space="0" w:color="auto"/>
            </w:tcBorders>
            <w:shd w:val="clear" w:color="auto" w:fill="auto"/>
            <w:noWrap/>
            <w:vAlign w:val="center"/>
            <w:hideMark/>
          </w:tcPr>
          <w:p w14:paraId="58E160FF" w14:textId="77777777" w:rsidR="006B1351" w:rsidRPr="003726FE" w:rsidRDefault="006B1351" w:rsidP="004E781D">
            <w:pPr>
              <w:spacing w:after="0" w:line="240" w:lineRule="auto"/>
              <w:jc w:val="center"/>
              <w:rPr>
                <w:rFonts w:ascii="Calibri" w:eastAsia="Times New Roman" w:hAnsi="Calibri" w:cs="Times New Roman"/>
                <w:color w:val="000000"/>
                <w:sz w:val="20"/>
                <w:lang w:eastAsia="en-GB"/>
              </w:rPr>
            </w:pPr>
            <w:r w:rsidRPr="003726FE">
              <w:rPr>
                <w:rFonts w:ascii="Calibri" w:eastAsia="Times New Roman" w:hAnsi="Calibri" w:cs="Times New Roman"/>
                <w:color w:val="000000"/>
                <w:sz w:val="20"/>
                <w:lang w:eastAsia="en-GB"/>
              </w:rPr>
              <w:t>2</w:t>
            </w:r>
          </w:p>
        </w:tc>
      </w:tr>
    </w:tbl>
    <w:p w14:paraId="25AAF000" w14:textId="77777777" w:rsidR="004E781D" w:rsidRDefault="004E781D">
      <w:pPr>
        <w:rPr>
          <w:b/>
        </w:rPr>
      </w:pPr>
    </w:p>
    <w:p w14:paraId="29C5FAEE" w14:textId="77777777" w:rsidR="004E781D" w:rsidRDefault="004E781D">
      <w:pPr>
        <w:rPr>
          <w:b/>
        </w:rPr>
      </w:pPr>
    </w:p>
    <w:p w14:paraId="58717451" w14:textId="6EE6A3A5" w:rsidR="006B1351" w:rsidRPr="003726FE" w:rsidRDefault="00513998">
      <w:pPr>
        <w:rPr>
          <w:b/>
        </w:rPr>
      </w:pPr>
      <w:r w:rsidRPr="003726FE">
        <w:rPr>
          <w:b/>
        </w:rPr>
        <w:t>Demographics - Student interviews</w:t>
      </w:r>
      <w:r w:rsidR="00D92A02" w:rsidRPr="003726FE">
        <w:rPr>
          <w:b/>
        </w:rPr>
        <w:br w:type="page"/>
      </w:r>
    </w:p>
    <w:bookmarkStart w:id="1005" w:name="_Toc500319491"/>
    <w:p w14:paraId="268703FA" w14:textId="545FDE2F" w:rsidR="00892D3D" w:rsidRPr="003726FE" w:rsidRDefault="006B367E" w:rsidP="00B1638D">
      <w:pPr>
        <w:pStyle w:val="Heading2"/>
        <w:rPr>
          <w:lang w:val="en-GB"/>
        </w:rPr>
      </w:pPr>
      <w:r w:rsidRPr="003726FE">
        <w:rPr>
          <w:noProof/>
          <w:lang w:val="en-GB" w:eastAsia="en-GB" w:bidi="ar-SA"/>
        </w:rPr>
        <w:lastRenderedPageBreak/>
        <mc:AlternateContent>
          <mc:Choice Requires="wpg">
            <w:drawing>
              <wp:anchor distT="0" distB="0" distL="114300" distR="114300" simplePos="0" relativeHeight="251694080" behindDoc="0" locked="0" layoutInCell="1" allowOverlap="1" wp14:anchorId="24B0547B" wp14:editId="2FB00C55">
                <wp:simplePos x="0" y="0"/>
                <wp:positionH relativeFrom="column">
                  <wp:posOffset>17145</wp:posOffset>
                </wp:positionH>
                <wp:positionV relativeFrom="paragraph">
                  <wp:posOffset>527685</wp:posOffset>
                </wp:positionV>
                <wp:extent cx="8244205" cy="4953000"/>
                <wp:effectExtent l="0" t="0" r="23495" b="19050"/>
                <wp:wrapSquare wrapText="bothSides"/>
                <wp:docPr id="11" name="Group 11"/>
                <wp:cNvGraphicFramePr/>
                <a:graphic xmlns:a="http://schemas.openxmlformats.org/drawingml/2006/main">
                  <a:graphicData uri="http://schemas.microsoft.com/office/word/2010/wordprocessingGroup">
                    <wpg:wgp>
                      <wpg:cNvGrpSpPr/>
                      <wpg:grpSpPr>
                        <a:xfrm>
                          <a:off x="0" y="0"/>
                          <a:ext cx="8244205" cy="4953000"/>
                          <a:chOff x="0" y="0"/>
                          <a:chExt cx="10042648" cy="4898713"/>
                        </a:xfrm>
                      </wpg:grpSpPr>
                      <wpg:grpSp>
                        <wpg:cNvPr id="14" name="Group 14"/>
                        <wpg:cNvGrpSpPr/>
                        <wpg:grpSpPr>
                          <a:xfrm>
                            <a:off x="0" y="0"/>
                            <a:ext cx="4795520" cy="4885066"/>
                            <a:chOff x="-150768" y="-713940"/>
                            <a:chExt cx="5997149" cy="4195591"/>
                          </a:xfrm>
                        </wpg:grpSpPr>
                        <wpg:grpSp>
                          <wpg:cNvPr id="15" name="Group 15"/>
                          <wpg:cNvGrpSpPr/>
                          <wpg:grpSpPr>
                            <a:xfrm>
                              <a:off x="-150768" y="-713940"/>
                              <a:ext cx="5997149" cy="4195591"/>
                              <a:chOff x="-150768" y="-714260"/>
                              <a:chExt cx="5997149" cy="4197471"/>
                            </a:xfrm>
                          </wpg:grpSpPr>
                          <wpg:grpSp>
                            <wpg:cNvPr id="16" name="Group 16"/>
                            <wpg:cNvGrpSpPr/>
                            <wpg:grpSpPr>
                              <a:xfrm>
                                <a:off x="-150768" y="-714260"/>
                                <a:ext cx="5997149" cy="4197471"/>
                                <a:chOff x="-150768" y="-714285"/>
                                <a:chExt cx="5997149" cy="4197621"/>
                              </a:xfrm>
                            </wpg:grpSpPr>
                            <wps:wsp>
                              <wps:cNvPr id="17" name="Straight Arrow Connector 17"/>
                              <wps:cNvCnPr>
                                <a:stCxn id="41" idx="2"/>
                                <a:endCxn id="51" idx="0"/>
                              </wps:cNvCnPr>
                              <wps:spPr>
                                <a:xfrm flipH="1">
                                  <a:off x="1043593" y="1974067"/>
                                  <a:ext cx="1152920" cy="7835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150768" y="-714285"/>
                                  <a:ext cx="5997149" cy="4197621"/>
                                  <a:chOff x="-150768" y="-714285"/>
                                  <a:chExt cx="5997149" cy="4197621"/>
                                </a:xfrm>
                              </wpg:grpSpPr>
                              <wps:wsp>
                                <wps:cNvPr id="19" name="Straight Arrow Connector 19"/>
                                <wps:cNvCnPr>
                                  <a:stCxn id="42" idx="2"/>
                                  <a:endCxn id="51" idx="0"/>
                                </wps:cNvCnPr>
                                <wps:spPr>
                                  <a:xfrm flipH="1">
                                    <a:off x="1043593" y="1963858"/>
                                    <a:ext cx="2552175" cy="793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150768" y="-714285"/>
                                    <a:ext cx="5997149" cy="4197621"/>
                                    <a:chOff x="-150768" y="-714285"/>
                                    <a:chExt cx="5997149" cy="4197621"/>
                                  </a:xfrm>
                                </wpg:grpSpPr>
                                <wps:wsp>
                                  <wps:cNvPr id="26" name="Straight Arrow Connector 26"/>
                                  <wps:cNvCnPr>
                                    <a:stCxn id="40" idx="2"/>
                                    <a:endCxn id="52" idx="0"/>
                                  </wps:cNvCnPr>
                                  <wps:spPr>
                                    <a:xfrm>
                                      <a:off x="272435" y="1974064"/>
                                      <a:ext cx="4442790" cy="77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150768" y="-714285"/>
                                      <a:ext cx="5997149" cy="4197621"/>
                                      <a:chOff x="-150768" y="-714324"/>
                                      <a:chExt cx="5997149" cy="4197848"/>
                                    </a:xfrm>
                                  </wpg:grpSpPr>
                                  <wpg:grpSp>
                                    <wpg:cNvPr id="29" name="Group 29"/>
                                    <wpg:cNvGrpSpPr/>
                                    <wpg:grpSpPr>
                                      <a:xfrm>
                                        <a:off x="-150768" y="-714324"/>
                                        <a:ext cx="5997149" cy="2688497"/>
                                        <a:chOff x="-150769" y="-640790"/>
                                        <a:chExt cx="5997201" cy="2411736"/>
                                      </a:xfrm>
                                    </wpg:grpSpPr>
                                    <wpg:grpSp>
                                      <wpg:cNvPr id="30" name="Group 30"/>
                                      <wpg:cNvGrpSpPr/>
                                      <wpg:grpSpPr>
                                        <a:xfrm>
                                          <a:off x="-150769" y="-640790"/>
                                          <a:ext cx="5997201" cy="2411736"/>
                                          <a:chOff x="-150769" y="-640790"/>
                                          <a:chExt cx="5997201" cy="2411736"/>
                                        </a:xfrm>
                                      </wpg:grpSpPr>
                                      <wps:wsp>
                                        <wps:cNvPr id="31" name="Flowchart: Process 31"/>
                                        <wps:cNvSpPr/>
                                        <wps:spPr>
                                          <a:xfrm>
                                            <a:off x="2315660" y="-640790"/>
                                            <a:ext cx="1416684" cy="525780"/>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93AB457" w14:textId="77777777" w:rsidR="00C8402C" w:rsidRPr="008B6679" w:rsidRDefault="00C8402C" w:rsidP="00892D3D">
                                              <w:pPr>
                                                <w:jc w:val="center"/>
                                                <w:rPr>
                                                  <w:sz w:val="16"/>
                                                  <w:szCs w:val="16"/>
                                                </w:rPr>
                                              </w:pPr>
                                              <w:r>
                                                <w:rPr>
                                                  <w:sz w:val="16"/>
                                                  <w:szCs w:val="16"/>
                                                </w:rPr>
                                                <w:t>SRLF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74962" y="110899"/>
                                            <a:ext cx="1321800" cy="8184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C21499" w14:textId="77777777" w:rsidR="00C8402C" w:rsidRPr="008B6679" w:rsidRDefault="00C8402C" w:rsidP="00892D3D">
                                              <w:pPr>
                                                <w:jc w:val="center"/>
                                                <w:rPr>
                                                  <w:sz w:val="16"/>
                                                  <w:szCs w:val="16"/>
                                                </w:rPr>
                                              </w:pPr>
                                              <w:r w:rsidRPr="008B6679">
                                                <w:rPr>
                                                  <w:sz w:val="16"/>
                                                  <w:szCs w:val="16"/>
                                                </w:rPr>
                                                <w:t>Largest –</w:t>
                                              </w:r>
                                            </w:p>
                                            <w:p w14:paraId="039D1E9B" w14:textId="77777777" w:rsidR="00C8402C" w:rsidRPr="008B6679" w:rsidRDefault="00C8402C" w:rsidP="00892D3D">
                                              <w:pPr>
                                                <w:jc w:val="center"/>
                                                <w:rPr>
                                                  <w:sz w:val="16"/>
                                                  <w:szCs w:val="16"/>
                                                </w:rPr>
                                              </w:pPr>
                                              <w:r w:rsidRPr="008B6679">
                                                <w:rPr>
                                                  <w:sz w:val="16"/>
                                                  <w:szCs w:val="16"/>
                                                </w:rPr>
                                                <w:t xml:space="preserve">Upper </w:t>
                                              </w:r>
                                              <w:r>
                                                <w:rPr>
                                                  <w:sz w:val="16"/>
                                                  <w:szCs w:val="16"/>
                                                </w:rPr>
                                                <w:t>third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4229644" y="141299"/>
                                            <a:ext cx="1267824" cy="814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92048E" w14:textId="77777777" w:rsidR="00C8402C" w:rsidRPr="008B6679" w:rsidRDefault="00C8402C" w:rsidP="00892D3D">
                                              <w:pPr>
                                                <w:jc w:val="center"/>
                                                <w:rPr>
                                                  <w:sz w:val="16"/>
                                                  <w:szCs w:val="16"/>
                                                </w:rPr>
                                              </w:pPr>
                                              <w:r w:rsidRPr="008B6679">
                                                <w:rPr>
                                                  <w:sz w:val="16"/>
                                                  <w:szCs w:val="16"/>
                                                </w:rPr>
                                                <w:t>Smallest –</w:t>
                                              </w:r>
                                            </w:p>
                                            <w:p w14:paraId="4DC57282" w14:textId="77777777" w:rsidR="00C8402C" w:rsidRPr="008B6679" w:rsidRDefault="00C8402C" w:rsidP="00892D3D">
                                              <w:pPr>
                                                <w:jc w:val="center"/>
                                                <w:rPr>
                                                  <w:sz w:val="16"/>
                                                  <w:szCs w:val="16"/>
                                                </w:rPr>
                                              </w:pPr>
                                              <w:r w:rsidRPr="008B6679">
                                                <w:rPr>
                                                  <w:sz w:val="16"/>
                                                  <w:szCs w:val="16"/>
                                                </w:rPr>
                                                <w:t xml:space="preserve">Lower </w:t>
                                              </w:r>
                                              <w:r>
                                                <w:rPr>
                                                  <w:sz w:val="16"/>
                                                  <w:szCs w:val="16"/>
                                                </w:rPr>
                                                <w:t>third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a:stCxn id="31" idx="2"/>
                                          <a:endCxn id="36" idx="0"/>
                                        </wps:cNvCnPr>
                                        <wps:spPr>
                                          <a:xfrm>
                                            <a:off x="3024003" y="-115010"/>
                                            <a:ext cx="1839553" cy="2563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31" idx="2"/>
                                          <a:endCxn id="34" idx="0"/>
                                        </wps:cNvCnPr>
                                        <wps:spPr>
                                          <a:xfrm flipH="1">
                                            <a:off x="1035862" y="-115010"/>
                                            <a:ext cx="1988141" cy="225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Rounded Rectangle 40"/>
                                        <wps:cNvSpPr/>
                                        <wps:spPr>
                                          <a:xfrm>
                                            <a:off x="-150769" y="1348768"/>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6E9769" w14:textId="77777777" w:rsidR="00C8402C" w:rsidRPr="008B6679" w:rsidRDefault="00C8402C" w:rsidP="00892D3D">
                                              <w:pPr>
                                                <w:jc w:val="center"/>
                                                <w:rPr>
                                                  <w:sz w:val="16"/>
                                                  <w:szCs w:val="16"/>
                                                </w:rPr>
                                              </w:pPr>
                                              <w:r>
                                                <w:rPr>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773326" y="1348770"/>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1A1DBC" w14:textId="77777777" w:rsidR="00C8402C" w:rsidRPr="008B6679" w:rsidRDefault="00C8402C" w:rsidP="00892D3D">
                                              <w:pPr>
                                                <w:jc w:val="center"/>
                                                <w:rPr>
                                                  <w:sz w:val="16"/>
                                                  <w:szCs w:val="16"/>
                                                </w:rPr>
                                              </w:pPr>
                                              <w:r w:rsidRPr="008B6679">
                                                <w:rPr>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3172593" y="1339612"/>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6547C9" w14:textId="77777777" w:rsidR="00C8402C" w:rsidRPr="008B6679" w:rsidRDefault="00C8402C" w:rsidP="00892D3D">
                                              <w:pPr>
                                                <w:jc w:val="center"/>
                                                <w:rPr>
                                                  <w:sz w:val="16"/>
                                                  <w:szCs w:val="16"/>
                                                </w:rPr>
                                              </w:pPr>
                                              <w:r w:rsidRPr="008B6679">
                                                <w:rPr>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5000019" y="1339612"/>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78B863" w14:textId="77777777" w:rsidR="00C8402C" w:rsidRPr="008B6679" w:rsidRDefault="00C8402C" w:rsidP="00892D3D">
                                              <w:pPr>
                                                <w:jc w:val="center"/>
                                                <w:rPr>
                                                  <w:sz w:val="16"/>
                                                  <w:szCs w:val="16"/>
                                                </w:rPr>
                                              </w:pPr>
                                              <w:r>
                                                <w:rPr>
                                                  <w:sz w:val="16"/>
                                                  <w:szCs w:val="16"/>
                                                </w:rPr>
                                                <w:t>Lo</w:t>
                                              </w:r>
                                              <w:r w:rsidRPr="008B6679">
                                                <w:rPr>
                                                  <w:sz w:val="16"/>
                                                  <w:szCs w:val="16"/>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a:stCxn id="34" idx="2"/>
                                          <a:endCxn id="41" idx="0"/>
                                        </wps:cNvCnPr>
                                        <wps:spPr>
                                          <a:xfrm>
                                            <a:off x="1035862" y="929357"/>
                                            <a:ext cx="1160671" cy="4194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34" idx="2"/>
                                          <a:endCxn id="40" idx="0"/>
                                        </wps:cNvCnPr>
                                        <wps:spPr>
                                          <a:xfrm flipH="1">
                                            <a:off x="272438" y="929357"/>
                                            <a:ext cx="763424" cy="4194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stCxn id="36" idx="2"/>
                                          <a:endCxn id="42" idx="0"/>
                                        </wps:cNvCnPr>
                                        <wps:spPr>
                                          <a:xfrm flipH="1">
                                            <a:off x="3595799" y="956064"/>
                                            <a:ext cx="1267757" cy="3835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36" idx="2"/>
                                          <a:endCxn id="43" idx="0"/>
                                        </wps:cNvCnPr>
                                        <wps:spPr>
                                          <a:xfrm>
                                            <a:off x="4863556" y="956064"/>
                                            <a:ext cx="559669" cy="3835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Text Box 48"/>
                                      <wps:cNvSpPr txBox="1"/>
                                      <wps:spPr>
                                        <a:xfrm>
                                          <a:off x="2073409" y="-33303"/>
                                          <a:ext cx="1919492" cy="318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A4996" w14:textId="413DA928" w:rsidR="00C8402C" w:rsidRPr="008B6679" w:rsidRDefault="00C8402C" w:rsidP="00892D3D">
                                            <w:pPr>
                                              <w:jc w:val="center"/>
                                              <w:rPr>
                                                <w:sz w:val="18"/>
                                                <w:szCs w:val="16"/>
                                              </w:rPr>
                                            </w:pPr>
                                            <w:r>
                                              <w:rPr>
                                                <w:sz w:val="18"/>
                                                <w:szCs w:val="16"/>
                                              </w:rPr>
                                              <w:t>S</w:t>
                                            </w:r>
                                            <w:r w:rsidRPr="008B6679">
                                              <w:rPr>
                                                <w:sz w:val="18"/>
                                                <w:szCs w:val="16"/>
                                              </w:rPr>
                                              <w:t xml:space="preserve">ampled by change in </w:t>
                                            </w:r>
                                            <w:r>
                                              <w:rPr>
                                                <w:sz w:val="18"/>
                                                <w:szCs w:val="16"/>
                                              </w:rPr>
                                              <w:t>S</w:t>
                                            </w:r>
                                            <w:r w:rsidRPr="008B6679">
                                              <w:rPr>
                                                <w:sz w:val="18"/>
                                                <w:szCs w:val="16"/>
                                              </w:rPr>
                                              <w:t xml:space="preserve">SRQ </w:t>
                                            </w:r>
                                            <w:r>
                                              <w:rPr>
                                                <w:sz w:val="18"/>
                                                <w:szCs w:val="16"/>
                                              </w:rPr>
                                              <w:t>(low/high)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439620" y="1004776"/>
                                          <a:ext cx="2978766" cy="2288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1C0E4" w14:textId="3181C419" w:rsidR="00C8402C" w:rsidRPr="008A4137" w:rsidRDefault="00C8402C" w:rsidP="00892D3D">
                                            <w:pPr>
                                              <w:jc w:val="center"/>
                                              <w:rPr>
                                                <w:sz w:val="20"/>
                                                <w:szCs w:val="20"/>
                                              </w:rPr>
                                            </w:pPr>
                                            <w:r w:rsidRPr="008A4137">
                                              <w:rPr>
                                                <w:sz w:val="20"/>
                                                <w:szCs w:val="20"/>
                                              </w:rPr>
                                              <w:t>Sampled by SRL score (high / low)</w:t>
                                            </w:r>
                                          </w:p>
                                          <w:p w14:paraId="54D1CC4F" w14:textId="77777777" w:rsidR="00C8402C" w:rsidRPr="008A4137" w:rsidRDefault="00C8402C" w:rsidP="00892D3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oup 50"/>
                                    <wpg:cNvGrpSpPr/>
                                    <wpg:grpSpPr>
                                      <a:xfrm>
                                        <a:off x="105826" y="1963964"/>
                                        <a:ext cx="5433129" cy="1519560"/>
                                        <a:chOff x="-214915" y="-663302"/>
                                        <a:chExt cx="5433616" cy="1519726"/>
                                      </a:xfrm>
                                    </wpg:grpSpPr>
                                    <wps:wsp>
                                      <wps:cNvPr id="51" name="Flowchart: Alternate Process 51"/>
                                      <wps:cNvSpPr/>
                                      <wps:spPr>
                                        <a:xfrm>
                                          <a:off x="-214915" y="130568"/>
                                          <a:ext cx="1875701" cy="718247"/>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5D66FC" w14:textId="77777777" w:rsidR="00C8402C" w:rsidRPr="008B6679" w:rsidRDefault="00C8402C" w:rsidP="00892D3D">
                                            <w:pPr>
                                              <w:jc w:val="center"/>
                                              <w:rPr>
                                                <w:sz w:val="16"/>
                                                <w:szCs w:val="16"/>
                                              </w:rPr>
                                            </w:pPr>
                                            <w:r>
                                              <w:rPr>
                                                <w:sz w:val="16"/>
                                                <w:szCs w:val="16"/>
                                              </w:rPr>
                                              <w:t>Focus groups</w:t>
                                            </w:r>
                                          </w:p>
                                          <w:p w14:paraId="4D449F9F" w14:textId="77777777" w:rsidR="00C8402C" w:rsidRPr="008B6679" w:rsidRDefault="00C8402C" w:rsidP="00892D3D">
                                            <w:pPr>
                                              <w:jc w:val="center"/>
                                              <w:rPr>
                                                <w:sz w:val="16"/>
                                                <w:szCs w:val="16"/>
                                              </w:rPr>
                                            </w:pPr>
                                            <w:r w:rsidRPr="008B6679">
                                              <w:rPr>
                                                <w:sz w:val="16"/>
                                                <w:szCs w:val="16"/>
                                              </w:rPr>
                                              <w:t>6</w:t>
                                            </w:r>
                                            <w:r>
                                              <w:rPr>
                                                <w:sz w:val="16"/>
                                                <w:szCs w:val="16"/>
                                              </w:rPr>
                                              <w:t>-8</w:t>
                                            </w:r>
                                            <w:r w:rsidRPr="008B6679">
                                              <w:rPr>
                                                <w:sz w:val="16"/>
                                                <w:szCs w:val="16"/>
                                              </w:rPr>
                                              <w:t xml:space="preserve"> participants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Alternate Process 52"/>
                                      <wps:cNvSpPr/>
                                      <wps:spPr>
                                        <a:xfrm>
                                          <a:off x="3571091" y="118331"/>
                                          <a:ext cx="1647610" cy="738093"/>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F543C5" w14:textId="77777777" w:rsidR="00C8402C" w:rsidRPr="008B6679" w:rsidRDefault="00C8402C" w:rsidP="00892D3D">
                                            <w:pPr>
                                              <w:jc w:val="center"/>
                                              <w:rPr>
                                                <w:sz w:val="16"/>
                                                <w:szCs w:val="16"/>
                                              </w:rPr>
                                            </w:pPr>
                                            <w:r w:rsidRPr="008B6679">
                                              <w:rPr>
                                                <w:sz w:val="16"/>
                                                <w:szCs w:val="16"/>
                                              </w:rPr>
                                              <w:t xml:space="preserve">Interviews – </w:t>
                                            </w:r>
                                          </w:p>
                                          <w:p w14:paraId="5F35BCB3" w14:textId="77777777" w:rsidR="00C8402C" w:rsidRPr="008B6679" w:rsidRDefault="00C8402C" w:rsidP="00892D3D">
                                            <w:pPr>
                                              <w:jc w:val="center"/>
                                              <w:rPr>
                                                <w:sz w:val="16"/>
                                                <w:szCs w:val="16"/>
                                              </w:rPr>
                                            </w:pPr>
                                            <w:r>
                                              <w:rPr>
                                                <w:sz w:val="16"/>
                                                <w:szCs w:val="16"/>
                                              </w:rPr>
                                              <w:t>8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a:stCxn id="40" idx="2"/>
                                        <a:endCxn id="51" idx="0"/>
                                      </wps:cNvCnPr>
                                      <wps:spPr>
                                        <a:xfrm>
                                          <a:off x="-48292" y="-653094"/>
                                          <a:ext cx="771227" cy="783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a:stCxn id="42" idx="2"/>
                                        <a:endCxn id="52" idx="0"/>
                                      </wps:cNvCnPr>
                                      <wps:spPr>
                                        <a:xfrm>
                                          <a:off x="3275340" y="-663302"/>
                                          <a:ext cx="1119557" cy="781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a:stCxn id="43" idx="2"/>
                                        <a:endCxn id="52" idx="0"/>
                                      </wps:cNvCnPr>
                                      <wps:spPr>
                                        <a:xfrm flipH="1">
                                          <a:off x="4394897" y="-663302"/>
                                          <a:ext cx="708017" cy="781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a:stCxn id="43" idx="2"/>
                                        <a:endCxn id="51" idx="0"/>
                                      </wps:cNvCnPr>
                                      <wps:spPr>
                                        <a:xfrm flipH="1">
                                          <a:off x="722935" y="-663302"/>
                                          <a:ext cx="4379977" cy="793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228" name="Straight Arrow Connector 228"/>
                            <wps:cNvCnPr>
                              <a:stCxn id="41" idx="2"/>
                              <a:endCxn id="52" idx="0"/>
                            </wps:cNvCnPr>
                            <wps:spPr>
                              <a:xfrm>
                                <a:off x="2196513" y="1973996"/>
                                <a:ext cx="2518712" cy="77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95" name="Text Box 295"/>
                          <wps:cNvSpPr txBox="1"/>
                          <wps:spPr>
                            <a:xfrm>
                              <a:off x="2182610" y="2854999"/>
                              <a:ext cx="1541779" cy="607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E4B59" w14:textId="77777777" w:rsidR="00C8402C" w:rsidRPr="00096D37" w:rsidRDefault="00C8402C" w:rsidP="00892D3D">
                                <w:pPr>
                                  <w:jc w:val="center"/>
                                  <w:rPr>
                                    <w:sz w:val="20"/>
                                  </w:rPr>
                                </w:pPr>
                                <w:r w:rsidRPr="00096D37">
                                  <w:rPr>
                                    <w:sz w:val="20"/>
                                  </w:rPr>
                                  <w:t>Randomly allocated into focus groups and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Group 296"/>
                        <wpg:cNvGrpSpPr/>
                        <wpg:grpSpPr>
                          <a:xfrm>
                            <a:off x="5247129" y="13648"/>
                            <a:ext cx="4795519" cy="4885065"/>
                            <a:chOff x="-108644" y="-713940"/>
                            <a:chExt cx="5997148" cy="4195590"/>
                          </a:xfrm>
                        </wpg:grpSpPr>
                        <wpg:grpSp>
                          <wpg:cNvPr id="297" name="Group 297"/>
                          <wpg:cNvGrpSpPr/>
                          <wpg:grpSpPr>
                            <a:xfrm>
                              <a:off x="-108644" y="-713940"/>
                              <a:ext cx="5997148" cy="4195590"/>
                              <a:chOff x="-108644" y="-714260"/>
                              <a:chExt cx="5997148" cy="4197470"/>
                            </a:xfrm>
                          </wpg:grpSpPr>
                          <wpg:grpSp>
                            <wpg:cNvPr id="298" name="Group 298"/>
                            <wpg:cNvGrpSpPr/>
                            <wpg:grpSpPr>
                              <a:xfrm>
                                <a:off x="-108644" y="-714260"/>
                                <a:ext cx="5997148" cy="4197470"/>
                                <a:chOff x="-108644" y="-714285"/>
                                <a:chExt cx="5997148" cy="4197620"/>
                              </a:xfrm>
                            </wpg:grpSpPr>
                            <wps:wsp>
                              <wps:cNvPr id="299" name="Straight Arrow Connector 299"/>
                              <wps:cNvCnPr>
                                <a:stCxn id="313" idx="2"/>
                                <a:endCxn id="323" idx="0"/>
                              </wps:cNvCnPr>
                              <wps:spPr>
                                <a:xfrm flipH="1">
                                  <a:off x="1043592" y="1952130"/>
                                  <a:ext cx="1195043" cy="805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0" name="Group 300"/>
                              <wpg:cNvGrpSpPr/>
                              <wpg:grpSpPr>
                                <a:xfrm>
                                  <a:off x="-108644" y="-714285"/>
                                  <a:ext cx="5997148" cy="4197620"/>
                                  <a:chOff x="-108644" y="-714285"/>
                                  <a:chExt cx="5997148" cy="4197620"/>
                                </a:xfrm>
                              </wpg:grpSpPr>
                              <wps:wsp>
                                <wps:cNvPr id="301" name="Straight Arrow Connector 301"/>
                                <wps:cNvCnPr>
                                  <a:stCxn id="314" idx="2"/>
                                  <a:endCxn id="323" idx="0"/>
                                </wps:cNvCnPr>
                                <wps:spPr>
                                  <a:xfrm flipH="1">
                                    <a:off x="1043592" y="1941922"/>
                                    <a:ext cx="2594299" cy="8156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2" name="Group 302"/>
                                <wpg:cNvGrpSpPr/>
                                <wpg:grpSpPr>
                                  <a:xfrm>
                                    <a:off x="-108644" y="-714285"/>
                                    <a:ext cx="5997148" cy="4197620"/>
                                    <a:chOff x="-108644" y="-714285"/>
                                    <a:chExt cx="5997148" cy="4197620"/>
                                  </a:xfrm>
                                </wpg:grpSpPr>
                                <wps:wsp>
                                  <wps:cNvPr id="303" name="Straight Arrow Connector 303"/>
                                  <wps:cNvCnPr>
                                    <a:stCxn id="312" idx="2"/>
                                    <a:endCxn id="324" idx="0"/>
                                  </wps:cNvCnPr>
                                  <wps:spPr>
                                    <a:xfrm>
                                      <a:off x="314559" y="1952129"/>
                                      <a:ext cx="4400665" cy="7932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4" name="Group 304"/>
                                  <wpg:cNvGrpSpPr/>
                                  <wpg:grpSpPr>
                                    <a:xfrm>
                                      <a:off x="-108644" y="-714285"/>
                                      <a:ext cx="5997148" cy="4197620"/>
                                      <a:chOff x="-108644" y="-714324"/>
                                      <a:chExt cx="5997148" cy="4197847"/>
                                    </a:xfrm>
                                  </wpg:grpSpPr>
                                  <wpg:grpSp>
                                    <wpg:cNvPr id="305" name="Group 305"/>
                                    <wpg:cNvGrpSpPr/>
                                    <wpg:grpSpPr>
                                      <a:xfrm>
                                        <a:off x="-108644" y="-714324"/>
                                        <a:ext cx="5997148" cy="2666559"/>
                                        <a:chOff x="-108645" y="-640790"/>
                                        <a:chExt cx="5997200" cy="2392057"/>
                                      </a:xfrm>
                                    </wpg:grpSpPr>
                                    <wpg:grpSp>
                                      <wpg:cNvPr id="306" name="Group 306"/>
                                      <wpg:cNvGrpSpPr/>
                                      <wpg:grpSpPr>
                                        <a:xfrm>
                                          <a:off x="-108645" y="-640790"/>
                                          <a:ext cx="5997200" cy="2392057"/>
                                          <a:chOff x="-108645" y="-640790"/>
                                          <a:chExt cx="5997200" cy="2392057"/>
                                        </a:xfrm>
                                      </wpg:grpSpPr>
                                      <wps:wsp>
                                        <wps:cNvPr id="307" name="Flowchart: Process 307"/>
                                        <wps:cNvSpPr/>
                                        <wps:spPr>
                                          <a:xfrm>
                                            <a:off x="2315660" y="-640790"/>
                                            <a:ext cx="1416684" cy="525780"/>
                                          </a:xfrm>
                                          <a:prstGeom prst="flowChartProcess">
                                            <a:avLst/>
                                          </a:prstGeom>
                                        </wps:spPr>
                                        <wps:style>
                                          <a:lnRef idx="3">
                                            <a:schemeClr val="lt1"/>
                                          </a:lnRef>
                                          <a:fillRef idx="1">
                                            <a:schemeClr val="accent2"/>
                                          </a:fillRef>
                                          <a:effectRef idx="1">
                                            <a:schemeClr val="accent2"/>
                                          </a:effectRef>
                                          <a:fontRef idx="minor">
                                            <a:schemeClr val="lt1"/>
                                          </a:fontRef>
                                        </wps:style>
                                        <wps:txbx>
                                          <w:txbxContent>
                                            <w:p w14:paraId="6558BC99" w14:textId="77777777" w:rsidR="00C8402C" w:rsidRPr="008B6679" w:rsidRDefault="00C8402C" w:rsidP="00892D3D">
                                              <w:pPr>
                                                <w:jc w:val="center"/>
                                                <w:rPr>
                                                  <w:sz w:val="16"/>
                                                  <w:szCs w:val="16"/>
                                                </w:rPr>
                                              </w:pPr>
                                              <w:r>
                                                <w:rPr>
                                                  <w:sz w:val="16"/>
                                                  <w:szCs w:val="16"/>
                                                </w:rPr>
                                                <w:t>BPF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ounded Rectangle 308"/>
                                        <wps:cNvSpPr/>
                                        <wps:spPr>
                                          <a:xfrm>
                                            <a:off x="354009" y="130779"/>
                                            <a:ext cx="1321800" cy="8184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04540" w14:textId="77777777" w:rsidR="00C8402C" w:rsidRPr="008B6679" w:rsidRDefault="00C8402C" w:rsidP="00892D3D">
                                              <w:pPr>
                                                <w:jc w:val="center"/>
                                                <w:rPr>
                                                  <w:sz w:val="16"/>
                                                  <w:szCs w:val="16"/>
                                                </w:rPr>
                                              </w:pPr>
                                              <w:r w:rsidRPr="008B6679">
                                                <w:rPr>
                                                  <w:sz w:val="16"/>
                                                  <w:szCs w:val="16"/>
                                                </w:rPr>
                                                <w:t>Largest –</w:t>
                                              </w:r>
                                            </w:p>
                                            <w:p w14:paraId="280D635F" w14:textId="77777777" w:rsidR="00C8402C" w:rsidRPr="008B6679" w:rsidRDefault="00C8402C" w:rsidP="00892D3D">
                                              <w:pPr>
                                                <w:jc w:val="center"/>
                                                <w:rPr>
                                                  <w:sz w:val="16"/>
                                                  <w:szCs w:val="16"/>
                                                </w:rPr>
                                              </w:pPr>
                                              <w:r w:rsidRPr="008B6679">
                                                <w:rPr>
                                                  <w:sz w:val="16"/>
                                                  <w:szCs w:val="16"/>
                                                </w:rPr>
                                                <w:t xml:space="preserve">Upper </w:t>
                                              </w:r>
                                              <w:r>
                                                <w:rPr>
                                                  <w:sz w:val="16"/>
                                                  <w:szCs w:val="16"/>
                                                </w:rPr>
                                                <w:t>third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ounded Rectangle 309"/>
                                        <wps:cNvSpPr/>
                                        <wps:spPr>
                                          <a:xfrm>
                                            <a:off x="4208691" y="161179"/>
                                            <a:ext cx="1267824" cy="814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E14C3" w14:textId="77777777" w:rsidR="00C8402C" w:rsidRPr="008B6679" w:rsidRDefault="00C8402C" w:rsidP="00892D3D">
                                              <w:pPr>
                                                <w:jc w:val="center"/>
                                                <w:rPr>
                                                  <w:sz w:val="16"/>
                                                  <w:szCs w:val="16"/>
                                                </w:rPr>
                                              </w:pPr>
                                              <w:r w:rsidRPr="008B6679">
                                                <w:rPr>
                                                  <w:sz w:val="16"/>
                                                  <w:szCs w:val="16"/>
                                                </w:rPr>
                                                <w:t>Smallest –</w:t>
                                              </w:r>
                                            </w:p>
                                            <w:p w14:paraId="30CF4AEB" w14:textId="77777777" w:rsidR="00C8402C" w:rsidRPr="008B6679" w:rsidRDefault="00C8402C" w:rsidP="00892D3D">
                                              <w:pPr>
                                                <w:jc w:val="center"/>
                                                <w:rPr>
                                                  <w:sz w:val="16"/>
                                                  <w:szCs w:val="16"/>
                                                </w:rPr>
                                              </w:pPr>
                                              <w:r w:rsidRPr="008B6679">
                                                <w:rPr>
                                                  <w:sz w:val="16"/>
                                                  <w:szCs w:val="16"/>
                                                </w:rPr>
                                                <w:t xml:space="preserve">Lower </w:t>
                                              </w:r>
                                              <w:r>
                                                <w:rPr>
                                                  <w:sz w:val="16"/>
                                                  <w:szCs w:val="16"/>
                                                </w:rPr>
                                                <w:t>third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a:stCxn id="307" idx="2"/>
                                          <a:endCxn id="309" idx="0"/>
                                        </wps:cNvCnPr>
                                        <wps:spPr>
                                          <a:xfrm>
                                            <a:off x="3024003" y="-115010"/>
                                            <a:ext cx="1818601" cy="276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a:stCxn id="307" idx="2"/>
                                          <a:endCxn id="308" idx="0"/>
                                        </wps:cNvCnPr>
                                        <wps:spPr>
                                          <a:xfrm flipH="1">
                                            <a:off x="1014909" y="-115010"/>
                                            <a:ext cx="2009094" cy="245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2" name="Rounded Rectangle 312"/>
                                        <wps:cNvSpPr/>
                                        <wps:spPr>
                                          <a:xfrm>
                                            <a:off x="-108645" y="1329090"/>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120A9" w14:textId="77777777" w:rsidR="00C8402C" w:rsidRPr="008B6679" w:rsidRDefault="00C8402C" w:rsidP="00892D3D">
                                              <w:pPr>
                                                <w:jc w:val="center"/>
                                                <w:rPr>
                                                  <w:sz w:val="16"/>
                                                  <w:szCs w:val="16"/>
                                                </w:rPr>
                                              </w:pPr>
                                              <w:r w:rsidRPr="008B6679">
                                                <w:rPr>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ounded Rectangle 313"/>
                                        <wps:cNvSpPr/>
                                        <wps:spPr>
                                          <a:xfrm>
                                            <a:off x="1815448" y="1329091"/>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5FFD2" w14:textId="77777777" w:rsidR="00C8402C" w:rsidRPr="008B6679" w:rsidRDefault="00C8402C" w:rsidP="00892D3D">
                                              <w:pPr>
                                                <w:jc w:val="center"/>
                                                <w:rPr>
                                                  <w:sz w:val="16"/>
                                                  <w:szCs w:val="16"/>
                                                </w:rPr>
                                              </w:pPr>
                                              <w:r w:rsidRPr="008B6679">
                                                <w:rPr>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ounded Rectangle 314"/>
                                        <wps:cNvSpPr/>
                                        <wps:spPr>
                                          <a:xfrm>
                                            <a:off x="3214716" y="1319933"/>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2C06FE" w14:textId="77777777" w:rsidR="00C8402C" w:rsidRPr="008B6679" w:rsidRDefault="00C8402C" w:rsidP="00892D3D">
                                              <w:pPr>
                                                <w:jc w:val="center"/>
                                                <w:rPr>
                                                  <w:sz w:val="16"/>
                                                  <w:szCs w:val="16"/>
                                                </w:rPr>
                                              </w:pPr>
                                              <w:r>
                                                <w:rPr>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5042142" y="1319933"/>
                                            <a:ext cx="846413" cy="4221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184099" w14:textId="77777777" w:rsidR="00C8402C" w:rsidRPr="008B6679" w:rsidRDefault="00C8402C" w:rsidP="00892D3D">
                                              <w:pPr>
                                                <w:jc w:val="center"/>
                                                <w:rPr>
                                                  <w:sz w:val="16"/>
                                                  <w:szCs w:val="16"/>
                                                </w:rPr>
                                              </w:pPr>
                                              <w:r w:rsidRPr="008B6679">
                                                <w:rPr>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Straight Arrow Connector 316"/>
                                        <wps:cNvCnPr>
                                          <a:stCxn id="308" idx="2"/>
                                          <a:endCxn id="313" idx="0"/>
                                        </wps:cNvCnPr>
                                        <wps:spPr>
                                          <a:xfrm>
                                            <a:off x="1014909" y="949237"/>
                                            <a:ext cx="1223746" cy="379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a:stCxn id="308" idx="2"/>
                                          <a:endCxn id="312" idx="0"/>
                                        </wps:cNvCnPr>
                                        <wps:spPr>
                                          <a:xfrm flipH="1">
                                            <a:off x="314562" y="949237"/>
                                            <a:ext cx="700348" cy="379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a:stCxn id="309" idx="2"/>
                                          <a:endCxn id="314" idx="0"/>
                                        </wps:cNvCnPr>
                                        <wps:spPr>
                                          <a:xfrm flipH="1">
                                            <a:off x="3637923" y="975944"/>
                                            <a:ext cx="1204680" cy="34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a:stCxn id="309" idx="2"/>
                                          <a:endCxn id="315" idx="0"/>
                                        </wps:cNvCnPr>
                                        <wps:spPr>
                                          <a:xfrm>
                                            <a:off x="4842603" y="975944"/>
                                            <a:ext cx="622745" cy="34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20" name="Text Box 320"/>
                                      <wps:cNvSpPr txBox="1"/>
                                      <wps:spPr>
                                        <a:xfrm>
                                          <a:off x="2073677" y="-33304"/>
                                          <a:ext cx="1919492" cy="326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87FAD" w14:textId="12941E4D" w:rsidR="00C8402C" w:rsidRPr="008B6679" w:rsidRDefault="00C8402C" w:rsidP="00892D3D">
                                            <w:pPr>
                                              <w:jc w:val="center"/>
                                              <w:rPr>
                                                <w:sz w:val="18"/>
                                                <w:szCs w:val="16"/>
                                              </w:rPr>
                                            </w:pPr>
                                            <w:r>
                                              <w:rPr>
                                                <w:sz w:val="18"/>
                                                <w:szCs w:val="16"/>
                                              </w:rPr>
                                              <w:t>S</w:t>
                                            </w:r>
                                            <w:r w:rsidRPr="008B6679">
                                              <w:rPr>
                                                <w:sz w:val="18"/>
                                                <w:szCs w:val="16"/>
                                              </w:rPr>
                                              <w:t xml:space="preserve">ampled by change in </w:t>
                                            </w:r>
                                            <w:r>
                                              <w:rPr>
                                                <w:sz w:val="18"/>
                                                <w:szCs w:val="16"/>
                                              </w:rPr>
                                              <w:t>S</w:t>
                                            </w:r>
                                            <w:r w:rsidRPr="008B6679">
                                              <w:rPr>
                                                <w:sz w:val="18"/>
                                                <w:szCs w:val="16"/>
                                              </w:rPr>
                                              <w:t xml:space="preserve">SRQ </w:t>
                                            </w:r>
                                            <w:r>
                                              <w:rPr>
                                                <w:sz w:val="18"/>
                                                <w:szCs w:val="16"/>
                                              </w:rPr>
                                              <w:t>(low/high)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1360929" y="998646"/>
                                          <a:ext cx="3052463" cy="2244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219237" w14:textId="2F12ED18" w:rsidR="00C8402C" w:rsidRPr="008A4137" w:rsidRDefault="00C8402C" w:rsidP="006B367E">
                                            <w:pPr>
                                              <w:jc w:val="center"/>
                                              <w:rPr>
                                                <w:sz w:val="20"/>
                                                <w:szCs w:val="20"/>
                                              </w:rPr>
                                            </w:pPr>
                                            <w:r w:rsidRPr="008A4137">
                                              <w:rPr>
                                                <w:sz w:val="20"/>
                                                <w:szCs w:val="20"/>
                                              </w:rPr>
                                              <w:t>Sampled by SRL score (high / low)</w:t>
                                            </w:r>
                                          </w:p>
                                          <w:p w14:paraId="21F30859" w14:textId="77777777" w:rsidR="00C8402C" w:rsidRPr="008A4137" w:rsidRDefault="00C8402C" w:rsidP="00892D3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105826" y="1942026"/>
                                        <a:ext cx="5433129" cy="1541497"/>
                                        <a:chOff x="-214915" y="-685243"/>
                                        <a:chExt cx="5433616" cy="1541666"/>
                                      </a:xfrm>
                                    </wpg:grpSpPr>
                                    <wps:wsp>
                                      <wps:cNvPr id="323" name="Flowchart: Alternate Process 323"/>
                                      <wps:cNvSpPr/>
                                      <wps:spPr>
                                        <a:xfrm>
                                          <a:off x="-214915" y="130567"/>
                                          <a:ext cx="1875701" cy="718247"/>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DB81EE" w14:textId="77777777" w:rsidR="00C8402C" w:rsidRPr="008B6679" w:rsidRDefault="00C8402C" w:rsidP="00892D3D">
                                            <w:pPr>
                                              <w:jc w:val="center"/>
                                              <w:rPr>
                                                <w:sz w:val="16"/>
                                                <w:szCs w:val="16"/>
                                              </w:rPr>
                                            </w:pPr>
                                            <w:r w:rsidRPr="008B6679">
                                              <w:rPr>
                                                <w:sz w:val="16"/>
                                                <w:szCs w:val="16"/>
                                              </w:rPr>
                                              <w:t>Focus groups – n=2</w:t>
                                            </w:r>
                                          </w:p>
                                          <w:p w14:paraId="49146FC3" w14:textId="77777777" w:rsidR="00C8402C" w:rsidRPr="008B6679" w:rsidRDefault="00C8402C" w:rsidP="00892D3D">
                                            <w:pPr>
                                              <w:jc w:val="center"/>
                                              <w:rPr>
                                                <w:sz w:val="16"/>
                                                <w:szCs w:val="16"/>
                                              </w:rPr>
                                            </w:pPr>
                                            <w:r w:rsidRPr="008B6679">
                                              <w:rPr>
                                                <w:sz w:val="16"/>
                                                <w:szCs w:val="16"/>
                                              </w:rPr>
                                              <w:t>6</w:t>
                                            </w:r>
                                            <w:r>
                                              <w:rPr>
                                                <w:sz w:val="16"/>
                                                <w:szCs w:val="16"/>
                                              </w:rPr>
                                              <w:t>-8</w:t>
                                            </w:r>
                                            <w:r w:rsidRPr="008B6679">
                                              <w:rPr>
                                                <w:sz w:val="16"/>
                                                <w:szCs w:val="16"/>
                                              </w:rPr>
                                              <w:t xml:space="preserve"> participants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Flowchart: Alternate Process 324"/>
                                      <wps:cNvSpPr/>
                                      <wps:spPr>
                                        <a:xfrm>
                                          <a:off x="3571091" y="118330"/>
                                          <a:ext cx="1647610" cy="738093"/>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3A03A" w14:textId="77777777" w:rsidR="00C8402C" w:rsidRPr="008B6679" w:rsidRDefault="00C8402C" w:rsidP="00892D3D">
                                            <w:pPr>
                                              <w:jc w:val="center"/>
                                              <w:rPr>
                                                <w:sz w:val="16"/>
                                                <w:szCs w:val="16"/>
                                              </w:rPr>
                                            </w:pPr>
                                            <w:r w:rsidRPr="008B6679">
                                              <w:rPr>
                                                <w:sz w:val="16"/>
                                                <w:szCs w:val="16"/>
                                              </w:rPr>
                                              <w:t xml:space="preserve">Interviews – </w:t>
                                            </w:r>
                                          </w:p>
                                          <w:p w14:paraId="7A96C13C" w14:textId="77777777" w:rsidR="00C8402C" w:rsidRPr="008B6679" w:rsidRDefault="00C8402C" w:rsidP="00892D3D">
                                            <w:pPr>
                                              <w:jc w:val="center"/>
                                              <w:rPr>
                                                <w:sz w:val="16"/>
                                                <w:szCs w:val="16"/>
                                              </w:rPr>
                                            </w:pPr>
                                            <w:r>
                                              <w:rPr>
                                                <w:sz w:val="16"/>
                                                <w:szCs w:val="16"/>
                                              </w:rPr>
                                              <w:t>8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raight Arrow Connector 325"/>
                                      <wps:cNvCnPr>
                                        <a:stCxn id="312" idx="2"/>
                                        <a:endCxn id="323" idx="0"/>
                                      </wps:cNvCnPr>
                                      <wps:spPr>
                                        <a:xfrm>
                                          <a:off x="-6163" y="-675033"/>
                                          <a:ext cx="729098" cy="8056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a:stCxn id="314" idx="2"/>
                                        <a:endCxn id="324" idx="0"/>
                                      </wps:cNvCnPr>
                                      <wps:spPr>
                                        <a:xfrm>
                                          <a:off x="3317467" y="-685242"/>
                                          <a:ext cx="1077430" cy="803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a:stCxn id="315" idx="2"/>
                                        <a:endCxn id="324" idx="0"/>
                                      </wps:cNvCnPr>
                                      <wps:spPr>
                                        <a:xfrm flipH="1">
                                          <a:off x="4394897" y="-685243"/>
                                          <a:ext cx="750144" cy="8035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a:stCxn id="315" idx="2"/>
                                        <a:endCxn id="323" idx="0"/>
                                      </wps:cNvCnPr>
                                      <wps:spPr>
                                        <a:xfrm flipH="1">
                                          <a:off x="722935" y="-685242"/>
                                          <a:ext cx="4422104" cy="815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329" name="Straight Arrow Connector 329"/>
                            <wps:cNvCnPr>
                              <a:stCxn id="313" idx="2"/>
                              <a:endCxn id="324" idx="0"/>
                            </wps:cNvCnPr>
                            <wps:spPr>
                              <a:xfrm>
                                <a:off x="2238635" y="1952060"/>
                                <a:ext cx="2476590" cy="793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30" name="Text Box 330"/>
                          <wps:cNvSpPr txBox="1"/>
                          <wps:spPr>
                            <a:xfrm>
                              <a:off x="2182610" y="2854999"/>
                              <a:ext cx="1541780" cy="607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FE62E" w14:textId="77777777" w:rsidR="00C8402C" w:rsidRPr="00096D37" w:rsidRDefault="00C8402C" w:rsidP="00892D3D">
                                <w:pPr>
                                  <w:jc w:val="center"/>
                                  <w:rPr>
                                    <w:sz w:val="20"/>
                                  </w:rPr>
                                </w:pPr>
                                <w:r w:rsidRPr="00096D37">
                                  <w:rPr>
                                    <w:sz w:val="20"/>
                                  </w:rPr>
                                  <w:t>Randomly allocated into focus groups and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B0547B" id="Group 11" o:spid="_x0000_s1437" style="position:absolute;margin-left:1.35pt;margin-top:41.55pt;width:649.15pt;height:390pt;z-index:251694080;mso-width-relative:margin;mso-height-relative:margin" coordsize="10042648,48987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">
                <v:group id="Group 14" o:spid="_x0000_s1438" style="position:absolute;width:4795520;height:4885066" coordorigin="-150768,-713940" coordsize="5997149,41955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group id="Group 15" o:spid="_x0000_s1439" style="position:absolute;left:-150768;top:-713940;width:5997149;height:4195591" coordorigin="-150768,-714260" coordsize="5997149,4197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group id="Group 16" o:spid="_x0000_s1440" style="position:absolute;left:-150768;top:-714260;width:5997149;height:4197471" coordorigin="-150768,-714285" coordsize="5997149,41976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Straight Arrow Connector 17" o:spid="_x0000_s1441" type="#_x0000_t32" style="position:absolute;left:1043593;top:1974067;width:1152920;height:78353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pvOsQAAADbAAAADwAAAGRycy9kb3ducmV2LnhtbERPTU/CQBC9m/AfNmPihcgWBSWFhWCJ&#10;iVfAxHqbdIdupTtbu2sp/HrXhMTbvLzPWax6W4uOWl85VjAeJSCIC6crLhW871/vZyB8QNZYOyYF&#10;Z/KwWg5uFphqd+ItdbtQihjCPkUFJoQmldIXhiz6kWuII3dwrcUQYVtK3eIphttaPiTJk7RYcWww&#10;2FBmqDjufqyCz8NUdy/ZpipMnj1+DCeX7698o9Tdbb+egwjUh3/x1f2m4/xn+PslHi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Cm86xAAAANsAAAAPAAAAAAAAAAAA&#10;AAAAAKECAABkcnMvZG93bnJldi54bWxQSwUGAAAAAAQABAD5AAAAkgMAAAAA&#10;" strokecolor="#5b9bd5 [3204]" strokeweight=".5pt">
                        <v:stroke endarrow="block" joinstyle="miter"/>
                      </v:shape>
                      <v:group id="Group 18" o:spid="_x0000_s1442" style="position:absolute;left:-150768;top:-714285;width:5997149;height:4197621" coordorigin="-150768,-714285" coordsize="5997149,41976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Straight Arrow Connector 19" o:spid="_x0000_s1443" type="#_x0000_t32" style="position:absolute;left:1043593;top:1963858;width:2552175;height:7937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le08QAAADbAAAADwAAAGRycy9kb3ducmV2LnhtbERPTU/CQBC9m/AfNmPihcgWBSOFhWCJ&#10;iVfAxHqbdIdupTtbu2sp/HrXhMTbvLzPWax6W4uOWl85VjAeJSCIC6crLhW871/vn0H4gKyxdkwK&#10;zuRhtRzcLDDV7sRb6nahFDGEfYoKTAhNKqUvDFn0I9cQR+7gWoshwraUusVTDLe1fEiSJ2mx4thg&#10;sKHMUHHc/VgFn4ep7l6yTVWYPHv8GE4u31/5Rqm72349BxGoD//iq/tNx/kz+PslHi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2V7TxAAAANsAAAAPAAAAAAAAAAAA&#10;AAAAAKECAABkcnMvZG93bnJldi54bWxQSwUGAAAAAAQABAD5AAAAkgMAAAAA&#10;" strokecolor="#5b9bd5 [3204]" strokeweight=".5pt">
                          <v:stroke endarrow="block" joinstyle="miter"/>
                        </v:shape>
                        <v:group id="Group 25" o:spid="_x0000_s1444" style="position:absolute;left:-150768;top:-714285;width:5997149;height:4197621" coordorigin="-150768,-714285" coordsize="5997149,41976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Straight Arrow Connector 26" o:spid="_x0000_s1445" type="#_x0000_t32" style="position:absolute;left:272435;top:1974064;width:4442790;height:771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YrecIAAADbAAAADwAAAGRycy9kb3ducmV2LnhtbESPT2vCQBDF70K/wzKFXkQ3BhUbXaUU&#10;pL022tLjkB2zwexsyI4av323UOjx8f78eJvd4Ft1pT42gQ3Mphko4irYhmsDx8N+sgIVBdliG5gM&#10;3CnCbvsw2mBhw40/6FpKrdIIxwINOJGu0DpWjjzGaeiIk3cKvUdJsq+17fGWxn2r8yxbao8NJ4LD&#10;jl4dVefy4hOXjvm4XIyf5+c3/Pz+cnKfz8SYp8fhZQ1KaJD/8F/73RrIl/D7Jf0Avf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vYrecIAAADbAAAADwAAAAAAAAAAAAAA&#10;AAChAgAAZHJzL2Rvd25yZXYueG1sUEsFBgAAAAAEAAQA+QAAAJADAAAAAA==&#10;" strokecolor="#5b9bd5 [3204]" strokeweight=".5pt">
                            <v:stroke endarrow="block" joinstyle="miter"/>
                          </v:shape>
                          <v:group id="Group 27" o:spid="_x0000_s1446" style="position:absolute;left:-150768;top:-714285;width:5997149;height:4197621" coordorigin="-150768,-714324" coordsize="5997149,41978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group id="Group 29" o:spid="_x0000_s1447" style="position:absolute;left:-150768;top:-714324;width:5997149;height:2688497" coordorigin="-150769,-640790" coordsize="5997201,2411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group id="Group 30" o:spid="_x0000_s1448" style="position:absolute;left:-150769;top:-640790;width:5997201;height:2411736" coordorigin="-150769,-640790" coordsize="5997201,2411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Flowchart: Process 31" o:spid="_x0000_s1449" type="#_x0000_t109" style="position:absolute;left:2315660;top:-640790;width:1416684;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Z6zvwAA&#10;ANsAAAAPAAAAZHJzL2Rvd25yZXYueG1sRI/NCsIwEITvgu8QVvCmaRVEqlFEEDyI4M9Bb0uztsVm&#10;U5Ko9e2NIHgcZuYbZr5sTS2e5HxlWUE6TEAQ51ZXXCg4nzaDKQgfkDXWlknBmzwsF93OHDNtX3yg&#10;5zEUIkLYZ6igDKHJpPR5SQb90DbE0btZZzBE6QqpHb4i3NRylCQTabDiuFBiQ+uS8vvxYRRUmzRY&#10;d7lf02u73Z8vmKO2O6X6vXY1AxGoDf/wr73VCsYpfL/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2NnrO/AAAA2wAAAA8AAAAAAAAAAAAAAAAAlwIAAGRycy9kb3ducmV2&#10;LnhtbFBLBQYAAAAABAAEAPUAAACDAwAAAAA=&#10;" fillcolor="#70ad47 [3209]" strokecolor="#375623 [1609]" strokeweight="1pt">
                                  <v:textbox>
                                    <w:txbxContent>
                                      <w:p w14:paraId="493AB457" w14:textId="77777777" w:rsidR="00C8402C" w:rsidRPr="008B6679" w:rsidRDefault="00C8402C" w:rsidP="00892D3D">
                                        <w:pPr>
                                          <w:jc w:val="center"/>
                                          <w:rPr>
                                            <w:sz w:val="16"/>
                                            <w:szCs w:val="16"/>
                                          </w:rPr>
                                        </w:pPr>
                                        <w:r>
                                          <w:rPr>
                                            <w:sz w:val="16"/>
                                            <w:szCs w:val="16"/>
                                          </w:rPr>
                                          <w:t>SRLF condition</w:t>
                                        </w:r>
                                      </w:p>
                                    </w:txbxContent>
                                  </v:textbox>
                                </v:shape>
                                <v:roundrect id="Rounded Rectangle 34" o:spid="_x0000_s1450" style="position:absolute;left:374962;top:110899;width:1321800;height:81845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5cwwAA&#10;ANsAAAAPAAAAZHJzL2Rvd25yZXYueG1sRI9BawIxFITvgv8hPKE3zVZrkdUoWhEKPbntxdtz89ys&#10;3bwsSarpv28KhR6HmfmGWW2S7cSNfGgdK3icFCCIa6dbbhR8vB/GCxAhImvsHJOCbwqwWQ8HKyy1&#10;u/ORblVsRIZwKFGBibEvpQy1IYth4nri7F2ctxiz9I3UHu8Zbjs5LYpnabHlvGCwpxdD9Wf1ZRVY&#10;PUv7K25PdFhUu9M8ve29OSv1MErbJYhIKf6H/9qvWsHsCX6/5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k/5cwwAAANsAAAAPAAAAAAAAAAAAAAAAAJcCAABkcnMvZG93&#10;bnJldi54bWxQSwUGAAAAAAQABAD1AAAAhwMAAAAA&#10;" fillcolor="#5b9bd5 [3204]" strokecolor="#1f4d78 [1604]" strokeweight="1pt">
                                  <v:stroke joinstyle="miter"/>
                                  <v:textbox>
                                    <w:txbxContent>
                                      <w:p w14:paraId="6FC21499" w14:textId="77777777" w:rsidR="00C8402C" w:rsidRPr="008B6679" w:rsidRDefault="00C8402C" w:rsidP="00892D3D">
                                        <w:pPr>
                                          <w:jc w:val="center"/>
                                          <w:rPr>
                                            <w:sz w:val="16"/>
                                            <w:szCs w:val="16"/>
                                          </w:rPr>
                                        </w:pPr>
                                        <w:r w:rsidRPr="008B6679">
                                          <w:rPr>
                                            <w:sz w:val="16"/>
                                            <w:szCs w:val="16"/>
                                          </w:rPr>
                                          <w:t>Largest –</w:t>
                                        </w:r>
                                      </w:p>
                                      <w:p w14:paraId="039D1E9B" w14:textId="77777777" w:rsidR="00C8402C" w:rsidRPr="008B6679" w:rsidRDefault="00C8402C" w:rsidP="00892D3D">
                                        <w:pPr>
                                          <w:jc w:val="center"/>
                                          <w:rPr>
                                            <w:sz w:val="16"/>
                                            <w:szCs w:val="16"/>
                                          </w:rPr>
                                        </w:pPr>
                                        <w:r w:rsidRPr="008B6679">
                                          <w:rPr>
                                            <w:sz w:val="16"/>
                                            <w:szCs w:val="16"/>
                                          </w:rPr>
                                          <w:t xml:space="preserve">Upper </w:t>
                                        </w:r>
                                        <w:r>
                                          <w:rPr>
                                            <w:sz w:val="16"/>
                                            <w:szCs w:val="16"/>
                                          </w:rPr>
                                          <w:t>third</w:t>
                                        </w:r>
                                      </w:p>
                                    </w:txbxContent>
                                  </v:textbox>
                                </v:roundrect>
                                <v:roundrect id="Rounded Rectangle 36" o:spid="_x0000_s1451" style="position:absolute;left:4229644;top:141299;width:1267824;height:81476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cWwwwAA&#10;ANsAAAAPAAAAZHJzL2Rvd25yZXYueG1sRI9PawIxFMTvBb9DeIK3mlWpyNYo/kEQeuq2F2+vm9fN&#10;1s3LkkSN394UCj0OM/MbZrlOthNX8qF1rGAyLkAQ10633Cj4/Dg8L0CEiKyxc0wK7hRgvRo8LbHU&#10;7sbvdK1iIzKEQ4kKTIx9KWWoDVkMY9cTZ+/beYsxS99I7fGW4baT06KYS4st5wWDPe0M1efqYhVY&#10;PUv7H9yc6LCotqeX9Lb35kup0TBtXkFESvE//Nc+agWzOfx+y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cWwwwAAANsAAAAPAAAAAAAAAAAAAAAAAJcCAABkcnMvZG93&#10;bnJldi54bWxQSwUGAAAAAAQABAD1AAAAhwMAAAAA&#10;" fillcolor="#5b9bd5 [3204]" strokecolor="#1f4d78 [1604]" strokeweight="1pt">
                                  <v:stroke joinstyle="miter"/>
                                  <v:textbox>
                                    <w:txbxContent>
                                      <w:p w14:paraId="0592048E" w14:textId="77777777" w:rsidR="00C8402C" w:rsidRPr="008B6679" w:rsidRDefault="00C8402C" w:rsidP="00892D3D">
                                        <w:pPr>
                                          <w:jc w:val="center"/>
                                          <w:rPr>
                                            <w:sz w:val="16"/>
                                            <w:szCs w:val="16"/>
                                          </w:rPr>
                                        </w:pPr>
                                        <w:r w:rsidRPr="008B6679">
                                          <w:rPr>
                                            <w:sz w:val="16"/>
                                            <w:szCs w:val="16"/>
                                          </w:rPr>
                                          <w:t>Smallest –</w:t>
                                        </w:r>
                                      </w:p>
                                      <w:p w14:paraId="4DC57282" w14:textId="77777777" w:rsidR="00C8402C" w:rsidRPr="008B6679" w:rsidRDefault="00C8402C" w:rsidP="00892D3D">
                                        <w:pPr>
                                          <w:jc w:val="center"/>
                                          <w:rPr>
                                            <w:sz w:val="16"/>
                                            <w:szCs w:val="16"/>
                                          </w:rPr>
                                        </w:pPr>
                                        <w:r w:rsidRPr="008B6679">
                                          <w:rPr>
                                            <w:sz w:val="16"/>
                                            <w:szCs w:val="16"/>
                                          </w:rPr>
                                          <w:t xml:space="preserve">Lower </w:t>
                                        </w:r>
                                        <w:r>
                                          <w:rPr>
                                            <w:sz w:val="16"/>
                                            <w:szCs w:val="16"/>
                                          </w:rPr>
                                          <w:t>third</w:t>
                                        </w:r>
                                      </w:p>
                                    </w:txbxContent>
                                  </v:textbox>
                                </v:roundrect>
                                <v:shape id="Straight Arrow Connector 38" o:spid="_x0000_s1452" type="#_x0000_t32" style="position:absolute;left:3024003;top:-115010;width:1839553;height:2563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yMTcAAAADbAAAADwAAAGRycy9kb3ducmV2LnhtbERPTUvDQBC9C/0Pywheit201qKx21IE&#10;0auxFY9DdsyGZmdDdmzTf+8cBI+P973ejrEzJxpym9jBfFaAIa6Tb7lxsP94uX0AkwXZY5eYHFwo&#10;w3YzuVpj6dOZ3+lUSWM0hHOJDoJIX1qb60AR8yz1xMp9pyGiKBwa6wc8a3js7KIoVjZiy9oQsKfn&#10;QPWx+onaS/vFtLqfPi6Pr3j4+gxyWc7FuZvrcfcERmiUf/Gf+807uNOx+kV/gN38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H8jE3AAAAA2wAAAA8AAAAAAAAAAAAAAAAA&#10;oQIAAGRycy9kb3ducmV2LnhtbFBLBQYAAAAABAAEAPkAAACOAwAAAAA=&#10;" strokecolor="#5b9bd5 [3204]" strokeweight=".5pt">
                                  <v:stroke endarrow="block" joinstyle="miter"/>
                                </v:shape>
                                <v:shape id="Straight Arrow Connector 39" o:spid="_x0000_s1453" type="#_x0000_t32" style="position:absolute;left:1035862;top:-115010;width:1988141;height:22590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wCs8YAAADbAAAADwAAAGRycy9kb3ducmV2LnhtbESPT2vCQBTE70K/w/IKvRTdtLai0VXa&#10;iNCrf0C9PbLPbGz2bZrdxrSf3i0UPA4z8xtmtuhsJVpqfOlYwdMgAUGcO11yoWC3XfXHIHxA1lg5&#10;JgU/5GExv+vNMNXuwmtqN6EQEcI+RQUmhDqV0ueGLPqBq4mjd3KNxRBlU0jd4CXCbSWfk2QkLZYc&#10;FwzWlBnKPzffVsHx9Krb92xZ5uaQDfePL79f58NSqYf77m0KIlAXbuH/9odWMJzA35f4A+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hsArPGAAAA2wAAAA8AAAAAAAAA&#10;AAAAAAAAoQIAAGRycy9kb3ducmV2LnhtbFBLBQYAAAAABAAEAPkAAACUAwAAAAA=&#10;" strokecolor="#5b9bd5 [3204]" strokeweight=".5pt">
                                  <v:stroke endarrow="block" joinstyle="miter"/>
                                </v:shape>
                                <v:roundrect id="Rounded Rectangle 40" o:spid="_x0000_s1454" style="position:absolute;left:-150769;top:1348768;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osiwAAA&#10;ANsAAAAPAAAAZHJzL2Rvd25yZXYueG1sRE9NawIxEL0X/A9hhN5q1toWWY2iFaHgqVsv3sbNuFnd&#10;TJYkavrvzaHQ4+N9z5fJduJGPrSOFYxHBQji2umWGwX7n+3LFESIyBo7x6TglwIsF4OnOZba3fmb&#10;blVsRA7hUKICE2NfShlqQxbDyPXEmTs5bzFm6BupPd5zuO3ka1F8SIst5waDPX0aqi/V1SqwepI2&#10;Z1wdaDut1of3tNt4c1TqeZhWMxCRUvwX/7m/tIK3vD5/yT9AL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rosiwAAAANsAAAAPAAAAAAAAAAAAAAAAAJcCAABkcnMvZG93bnJl&#10;di54bWxQSwUGAAAAAAQABAD1AAAAhAMAAAAA&#10;" fillcolor="#5b9bd5 [3204]" strokecolor="#1f4d78 [1604]" strokeweight="1pt">
                                  <v:stroke joinstyle="miter"/>
                                  <v:textbox>
                                    <w:txbxContent>
                                      <w:p w14:paraId="266E9769" w14:textId="77777777" w:rsidR="00C8402C" w:rsidRPr="008B6679" w:rsidRDefault="00C8402C" w:rsidP="00892D3D">
                                        <w:pPr>
                                          <w:jc w:val="center"/>
                                          <w:rPr>
                                            <w:sz w:val="16"/>
                                            <w:szCs w:val="16"/>
                                          </w:rPr>
                                        </w:pPr>
                                        <w:r>
                                          <w:rPr>
                                            <w:sz w:val="16"/>
                                            <w:szCs w:val="16"/>
                                          </w:rPr>
                                          <w:t>High</w:t>
                                        </w:r>
                                      </w:p>
                                    </w:txbxContent>
                                  </v:textbox>
                                </v:roundrect>
                                <v:roundrect id="Rounded Rectangle 41" o:spid="_x0000_s1455" style="position:absolute;left:1773326;top:1348770;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i65wwAA&#10;ANsAAAAPAAAAZHJzL2Rvd25yZXYueG1sRI/NawIxFMTvBf+H8ITealb7gaxG8QOh4KnbXrw9N8/N&#10;6uZlSVJN/3tTKPQ4zMxvmPky2U5cyYfWsYLxqABBXDvdcqPg63P3NAURIrLGzjEp+KEAy8XgYY6l&#10;djf+oGsVG5EhHEpUYGLsSylDbchiGLmeOHsn5y3GLH0jtcdbhttOToriTVpsOS8Y7GljqL5U31aB&#10;1c9pe8bVgXbTan14TfutN0elHodpNQMRKcX/8F/7XSt4GcPvl/w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4i65wwAAANsAAAAPAAAAAAAAAAAAAAAAAJcCAABkcnMvZG93&#10;bnJldi54bWxQSwUGAAAAAAQABAD1AAAAhwMAAAAA&#10;" fillcolor="#5b9bd5 [3204]" strokecolor="#1f4d78 [1604]" strokeweight="1pt">
                                  <v:stroke joinstyle="miter"/>
                                  <v:textbox>
                                    <w:txbxContent>
                                      <w:p w14:paraId="291A1DBC" w14:textId="77777777" w:rsidR="00C8402C" w:rsidRPr="008B6679" w:rsidRDefault="00C8402C" w:rsidP="00892D3D">
                                        <w:pPr>
                                          <w:jc w:val="center"/>
                                          <w:rPr>
                                            <w:sz w:val="16"/>
                                            <w:szCs w:val="16"/>
                                          </w:rPr>
                                        </w:pPr>
                                        <w:r w:rsidRPr="008B6679">
                                          <w:rPr>
                                            <w:sz w:val="16"/>
                                            <w:szCs w:val="16"/>
                                          </w:rPr>
                                          <w:t>Low</w:t>
                                        </w:r>
                                      </w:p>
                                    </w:txbxContent>
                                  </v:textbox>
                                </v:roundrect>
                                <v:roundrect id="Rounded Rectangle 42" o:spid="_x0000_s1456" style="position:absolute;left:3172593;top:1339612;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MLDOwwAA&#10;ANsAAAAPAAAAZHJzL2Rvd25yZXYueG1sRI/NawIxFMTvhf4P4RV6q1ntB7IaxQ+EQk9de/H23Dw3&#10;q5uXJUk1/e8bQfA4zMxvmOk82U6cyYfWsYLhoABBXDvdcqPgZ7t5GYMIEVlj55gU/FGA+ezxYYql&#10;dhf+pnMVG5EhHEpUYGLsSylDbchiGLieOHsH5y3GLH0jtcdLhttOjoriQ1psOS8Y7GllqD5Vv1aB&#10;1a9pfcTFjjbjarl7T19rb/ZKPT+lxQREpBTv4Vv7Uyt4G8H1S/4Bcv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MLDOwwAAANsAAAAPAAAAAAAAAAAAAAAAAJcCAABkcnMvZG93&#10;bnJldi54bWxQSwUGAAAAAAQABAD1AAAAhwMAAAAA&#10;" fillcolor="#5b9bd5 [3204]" strokecolor="#1f4d78 [1604]" strokeweight="1pt">
                                  <v:stroke joinstyle="miter"/>
                                  <v:textbox>
                                    <w:txbxContent>
                                      <w:p w14:paraId="3F6547C9" w14:textId="77777777" w:rsidR="00C8402C" w:rsidRPr="008B6679" w:rsidRDefault="00C8402C" w:rsidP="00892D3D">
                                        <w:pPr>
                                          <w:jc w:val="center"/>
                                          <w:rPr>
                                            <w:sz w:val="16"/>
                                            <w:szCs w:val="16"/>
                                          </w:rPr>
                                        </w:pPr>
                                        <w:r w:rsidRPr="008B6679">
                                          <w:rPr>
                                            <w:sz w:val="16"/>
                                            <w:szCs w:val="16"/>
                                          </w:rPr>
                                          <w:t>High</w:t>
                                        </w:r>
                                      </w:p>
                                    </w:txbxContent>
                                  </v:textbox>
                                </v:roundrect>
                                <v:roundrect id="Rounded Rectangle 43" o:spid="_x0000_s1457" style="position:absolute;left:5000019;top:1339612;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BVVwwAA&#10;ANsAAAAPAAAAZHJzL2Rvd25yZXYueG1sRI9BawIxFITvgv8hPKE3zVZrkdUoWhEKPbntxdtz89ys&#10;3bwsSarpv28KhR6HmfmGWW2S7cSNfGgdK3icFCCIa6dbbhR8vB/GCxAhImvsHJOCbwqwWQ8HKyy1&#10;u/ORblVsRIZwKFGBibEvpQy1IYth4nri7F2ctxiz9I3UHu8Zbjs5LYpnabHlvGCwpxdD9Wf1ZRVY&#10;PUv7K25PdFhUu9M8ve29OSv1MErbJYhIKf6H/9qvWsHTDH6/5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fBVVwwAAANsAAAAPAAAAAAAAAAAAAAAAAJcCAABkcnMvZG93&#10;bnJldi54bWxQSwUGAAAAAAQABAD1AAAAhwMAAAAA&#10;" fillcolor="#5b9bd5 [3204]" strokecolor="#1f4d78 [1604]" strokeweight="1pt">
                                  <v:stroke joinstyle="miter"/>
                                  <v:textbox>
                                    <w:txbxContent>
                                      <w:p w14:paraId="5D78B863" w14:textId="77777777" w:rsidR="00C8402C" w:rsidRPr="008B6679" w:rsidRDefault="00C8402C" w:rsidP="00892D3D">
                                        <w:pPr>
                                          <w:jc w:val="center"/>
                                          <w:rPr>
                                            <w:sz w:val="16"/>
                                            <w:szCs w:val="16"/>
                                          </w:rPr>
                                        </w:pPr>
                                        <w:r>
                                          <w:rPr>
                                            <w:sz w:val="16"/>
                                            <w:szCs w:val="16"/>
                                          </w:rPr>
                                          <w:t>Lo</w:t>
                                        </w:r>
                                        <w:r w:rsidRPr="008B6679">
                                          <w:rPr>
                                            <w:sz w:val="16"/>
                                            <w:szCs w:val="16"/>
                                          </w:rPr>
                                          <w:t>w</w:t>
                                        </w:r>
                                      </w:p>
                                    </w:txbxContent>
                                  </v:textbox>
                                </v:roundrect>
                                <v:shape id="Straight Arrow Connector 44" o:spid="_x0000_s1458" type="#_x0000_t32" style="position:absolute;left:1035862;top:929357;width:1160671;height:419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f1NcIAAADbAAAADwAAAGRycy9kb3ducmV2LnhtbESPT2vCQBDF7wW/wzKCF9GNkhYbXaUU&#10;ir02taXHITtmg9nZkJ1q/PbdguDx8f78eJvd4Ft1pj42gQ0s5hko4irYhmsDh8+32QpUFGSLbWAy&#10;cKUIu+3oYYOFDRf+oHMptUojHAs04ES6QutYOfIY56EjTt4x9B4lyb7WtsdLGvetXmbZk/bYcCI4&#10;7OjVUXUqf33i0mE5LR+nz/lpj18/306u+UKMmYyHlzUooUHu4Vv73RrIc/j/kn6A3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Lf1NcIAAADbAAAADwAAAAAAAAAAAAAA&#10;AAChAgAAZHJzL2Rvd25yZXYueG1sUEsFBgAAAAAEAAQA+QAAAJADAAAAAA==&#10;" strokecolor="#5b9bd5 [3204]" strokeweight=".5pt">
                                  <v:stroke endarrow="block" joinstyle="miter"/>
                                </v:shape>
                                <v:shape id="Straight Arrow Connector 45" o:spid="_x0000_s1459" type="#_x0000_t32" style="position:absolute;left:272438;top:929357;width:763424;height:41941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d7y8UAAADbAAAADwAAAGRycy9kb3ducmV2LnhtbESPQWvCQBSE74X+h+UJvRTd1KpIdJUa&#10;KfRaFdTbI/vMRrNv0+w2pv31XaHgcZiZb5j5srOVaKnxpWMFL4MEBHHudMmFgt32vT8F4QOyxsox&#10;KfghD8vF48McU+2u/EntJhQiQtinqMCEUKdS+tyQRT9wNXH0Tq6xGKJsCqkbvEa4reQwSSbSYslx&#10;wWBNmaH8svm2Co6nsW5X2brMzSF73T+Pfr/Oh7VST73ubQYiUBfu4f/2h1YwGsPtS/wB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Sd7y8UAAADbAAAADwAAAAAAAAAA&#10;AAAAAAChAgAAZHJzL2Rvd25yZXYueG1sUEsFBgAAAAAEAAQA+QAAAJMDAAAAAA==&#10;" strokecolor="#5b9bd5 [3204]" strokeweight=".5pt">
                                  <v:stroke endarrow="block" joinstyle="miter"/>
                                </v:shape>
                                <v:shape id="Straight Arrow Connector 46" o:spid="_x0000_s1460" type="#_x0000_t32" style="position:absolute;left:3595799;top:956064;width:1267757;height:38354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XlvMUAAADbAAAADwAAAGRycy9kb3ducmV2LnhtbESPQWvCQBSE7wX/w/IEL0U3tVYkukob&#10;KXitFdTbI/vMRrNv0+w2pv76rlDocZiZb5jFqrOVaKnxpWMFT6MEBHHudMmFgt3n+3AGwgdkjZVj&#10;UvBDHlbL3sMCU+2u/EHtNhQiQtinqMCEUKdS+tyQRT9yNXH0Tq6xGKJsCqkbvEa4reQ4SabSYslx&#10;wWBNmaH8sv22Co6nF92+ZesyN4fsef84uX2dD2ulBv3udQ4iUBf+w3/tjVYwmcL9S/wB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XlvMUAAADbAAAADwAAAAAAAAAA&#10;AAAAAAChAgAAZHJzL2Rvd25yZXYueG1sUEsFBgAAAAAEAAQA+QAAAJMDAAAAAA==&#10;" strokecolor="#5b9bd5 [3204]" strokeweight=".5pt">
                                  <v:stroke endarrow="block" joinstyle="miter"/>
                                </v:shape>
                                <v:shape id="Straight Arrow Connector 47" o:spid="_x0000_s1461" type="#_x0000_t32" style="position:absolute;left:4863556;top:956064;width:559669;height:38354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VrQsMAAADbAAAADwAAAGRycy9kb3ducmV2LnhtbESPT2vCQBDF7wW/wzIFL1I3Smrb1FWk&#10;IPbaaEuPQ3aaDWZnQ3aq8du7hYLHx/vz4y3Xg2/VifrYBDYwm2agiKtgG64NHPbbh2dQUZAttoHJ&#10;wIUirFejuyUWNpz5g06l1CqNcCzQgBPpCq1j5chjnIaOOHk/ofcoSfa1tj2e07hv9TzLFtpjw4ng&#10;sKM3R9Wx/PWJS4f5pHycvOTHHX5+fzm55DMxZnw/bF5BCQ1yC/+3362B/An+vqQfoF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la0LDAAAA2wAAAA8AAAAAAAAAAAAA&#10;AAAAoQIAAGRycy9kb3ducmV2LnhtbFBLBQYAAAAABAAEAPkAAACRAwAAAAA=&#10;" strokecolor="#5b9bd5 [3204]" strokeweight=".5pt">
                                  <v:stroke endarrow="block" joinstyle="miter"/>
                                </v:shape>
                              </v:group>
                              <v:shape id="Text Box 48" o:spid="_x0000_s1462" type="#_x0000_t202" style="position:absolute;left:2073409;top:-33303;width:1919492;height:318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gJwAAA&#10;ANsAAAAPAAAAZHJzL2Rvd25yZXYueG1sRE9NawIxEL0X/A9hhN5qVpFaVqOoVFrpybV6HjbjbnAz&#10;WZNU139vDkKPj/c9W3S2EVfywThWMBxkIIhLpw1XCn73m7cPECEia2wck4I7BVjMey8zzLW78Y6u&#10;RaxECuGQo4I6xjaXMpQ1WQwD1xIn7uS8xZigr6T2eEvhtpGjLHuXFg2nhhpbWtdUnos/q+By8Pvx&#10;0HweN822MJfJ+Wf1hROlXvvdcgoiUhf/xU/3t1YwTmPTl/QD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WgJwAAAANsAAAAPAAAAAAAAAAAAAAAAAJcCAABkcnMvZG93bnJl&#10;di54bWxQSwUGAAAAAAQABAD1AAAAhAMAAAAA&#10;" fillcolor="white [3201]" strokeweight=".5pt">
                                <v:textbox>
                                  <w:txbxContent>
                                    <w:p w14:paraId="602A4996" w14:textId="413DA928" w:rsidR="00C8402C" w:rsidRPr="008B6679" w:rsidRDefault="00C8402C" w:rsidP="00892D3D">
                                      <w:pPr>
                                        <w:jc w:val="center"/>
                                        <w:rPr>
                                          <w:sz w:val="18"/>
                                          <w:szCs w:val="16"/>
                                        </w:rPr>
                                      </w:pPr>
                                      <w:r>
                                        <w:rPr>
                                          <w:sz w:val="18"/>
                                          <w:szCs w:val="16"/>
                                        </w:rPr>
                                        <w:t>S</w:t>
                                      </w:r>
                                      <w:r w:rsidRPr="008B6679">
                                        <w:rPr>
                                          <w:sz w:val="18"/>
                                          <w:szCs w:val="16"/>
                                        </w:rPr>
                                        <w:t xml:space="preserve">ampled by change in </w:t>
                                      </w:r>
                                      <w:r>
                                        <w:rPr>
                                          <w:sz w:val="18"/>
                                          <w:szCs w:val="16"/>
                                        </w:rPr>
                                        <w:t>S</w:t>
                                      </w:r>
                                      <w:r w:rsidRPr="008B6679">
                                        <w:rPr>
                                          <w:sz w:val="18"/>
                                          <w:szCs w:val="16"/>
                                        </w:rPr>
                                        <w:t xml:space="preserve">SRQ </w:t>
                                      </w:r>
                                      <w:r>
                                        <w:rPr>
                                          <w:sz w:val="18"/>
                                          <w:szCs w:val="16"/>
                                        </w:rPr>
                                        <w:t>(low/high)</w:t>
                                      </w:r>
                                    </w:p>
                                  </w:txbxContent>
                                </v:textbox>
                              </v:shape>
                              <v:shape id="Text Box 49" o:spid="_x0000_s1463" type="#_x0000_t202" style="position:absolute;left:1439620;top:1004776;width:2978766;height:228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u3iwgAA&#10;ANsAAAAPAAAAZHJzL2Rvd25yZXYueG1sRI9BSwMxFITvgv8hPMGbzSoi27XZpUpbBE9W8fzYvCah&#10;m5clSbfbf28EweMwM98wq272g5goJhdYwf2iAkHcB+3YKPj63N7VIFJG1jgEJgUXStC111crbHQ4&#10;8wdN+2xEgXBqUIHNeWykTL0lj2kRRuLiHUL0mIuMRuqI5wL3g3yoqifp0XFZsDjSq6X+uD95BZsX&#10;szR9jdFuau3cNH8f3s1Oqdubef0MItOc/8N/7Tet4HEJv1/KD5D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e7eLCAAAA2wAAAA8AAAAAAAAAAAAAAAAAlwIAAGRycy9kb3du&#10;cmV2LnhtbFBLBQYAAAAABAAEAPUAAACGAwAAAAA=&#10;" fillcolor="white [3201]" strokeweight=".5pt">
                                <v:textbox>
                                  <w:txbxContent>
                                    <w:p w14:paraId="6881C0E4" w14:textId="3181C419" w:rsidR="00C8402C" w:rsidRPr="008A4137" w:rsidRDefault="00C8402C" w:rsidP="00892D3D">
                                      <w:pPr>
                                        <w:jc w:val="center"/>
                                        <w:rPr>
                                          <w:sz w:val="20"/>
                                          <w:szCs w:val="20"/>
                                        </w:rPr>
                                      </w:pPr>
                                      <w:r w:rsidRPr="008A4137">
                                        <w:rPr>
                                          <w:sz w:val="20"/>
                                          <w:szCs w:val="20"/>
                                        </w:rPr>
                                        <w:t>Sampled by SRL score (high / low)</w:t>
                                      </w:r>
                                    </w:p>
                                    <w:p w14:paraId="54D1CC4F" w14:textId="77777777" w:rsidR="00C8402C" w:rsidRPr="008A4137" w:rsidRDefault="00C8402C" w:rsidP="00892D3D">
                                      <w:pPr>
                                        <w:rPr>
                                          <w:sz w:val="20"/>
                                          <w:szCs w:val="20"/>
                                        </w:rPr>
                                      </w:pPr>
                                    </w:p>
                                  </w:txbxContent>
                                </v:textbox>
                              </v:shape>
                            </v:group>
                            <v:group id="Group 50" o:spid="_x0000_s1464" style="position:absolute;left:105826;top:1963964;width:5433129;height:1519560" coordorigin="-214915,-663302" coordsize="5433616,1519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lowchart: Alternate Process 51" o:spid="_x0000_s1465" type="#_x0000_t176" style="position:absolute;left:-214915;top:130568;width:1875701;height:718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oXxAAA&#10;ANsAAAAPAAAAZHJzL2Rvd25yZXYueG1sRI/dagIxFITvC75DOIJ3mrVaKVujSFGqIGJVen3cnP1h&#10;NyfrJtX17U1B6OUwM98w03lrKnGlxhWWFQwHEQjixOqCMwWn46r/DsJ5ZI2VZVJwJwfzWedlirG2&#10;N/6m68FnIkDYxagg976OpXRJTgbdwNbEwUttY9AH2WRSN3gLcFPJ1yiaSIMFh4Uca/rMKSkPv0aB&#10;v5jVuEh/xuU+Petys/tabu8jpXrddvEBwlPr/8PP9loreBvC35fwA+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wqF8QAAADbAAAADwAAAAAAAAAAAAAAAACXAgAAZHJzL2Rv&#10;d25yZXYueG1sUEsFBgAAAAAEAAQA9QAAAIgDAAAAAA==&#10;" fillcolor="#5b9bd5 [3204]" strokecolor="#1f4d78 [1604]" strokeweight="1pt">
                                <v:textbox>
                                  <w:txbxContent>
                                    <w:p w14:paraId="4F5D66FC" w14:textId="77777777" w:rsidR="00C8402C" w:rsidRPr="008B6679" w:rsidRDefault="00C8402C" w:rsidP="00892D3D">
                                      <w:pPr>
                                        <w:jc w:val="center"/>
                                        <w:rPr>
                                          <w:sz w:val="16"/>
                                          <w:szCs w:val="16"/>
                                        </w:rPr>
                                      </w:pPr>
                                      <w:r>
                                        <w:rPr>
                                          <w:sz w:val="16"/>
                                          <w:szCs w:val="16"/>
                                        </w:rPr>
                                        <w:t>Focus groups</w:t>
                                      </w:r>
                                    </w:p>
                                    <w:p w14:paraId="4D449F9F" w14:textId="77777777" w:rsidR="00C8402C" w:rsidRPr="008B6679" w:rsidRDefault="00C8402C" w:rsidP="00892D3D">
                                      <w:pPr>
                                        <w:jc w:val="center"/>
                                        <w:rPr>
                                          <w:sz w:val="16"/>
                                          <w:szCs w:val="16"/>
                                        </w:rPr>
                                      </w:pPr>
                                      <w:r w:rsidRPr="008B6679">
                                        <w:rPr>
                                          <w:sz w:val="16"/>
                                          <w:szCs w:val="16"/>
                                        </w:rPr>
                                        <w:t>6</w:t>
                                      </w:r>
                                      <w:r>
                                        <w:rPr>
                                          <w:sz w:val="16"/>
                                          <w:szCs w:val="16"/>
                                        </w:rPr>
                                        <w:t>-8</w:t>
                                      </w:r>
                                      <w:r w:rsidRPr="008B6679">
                                        <w:rPr>
                                          <w:sz w:val="16"/>
                                          <w:szCs w:val="16"/>
                                        </w:rPr>
                                        <w:t xml:space="preserve"> participants each</w:t>
                                      </w:r>
                                    </w:p>
                                  </w:txbxContent>
                                </v:textbox>
                              </v:shape>
                              <v:shape id="Flowchart: Alternate Process 52" o:spid="_x0000_s1466" type="#_x0000_t176" style="position:absolute;left:3571091;top:118331;width:1647610;height:7380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rRgxAAA&#10;ANsAAAAPAAAAZHJzL2Rvd25yZXYueG1sRI/dagIxFITvBd8hHKF3Nau1UrZGEVFsQcSq9Pq4OfvD&#10;bk7WTdT17U2h4OUwM98wk1lrKnGlxhWWFQz6EQjixOqCMwXHw+r1A4TzyBory6TgTg5m025ngrG2&#10;N/6h695nIkDYxagg976OpXRJTgZd39bEwUttY9AH2WRSN3gLcFPJYRSNpcGCw0KONS1ySsr9xSjw&#10;Z7MaFenvqNylJ11+b9fLzf1NqZdeO/8E4an1z/B/+0sreB/C3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60YMQAAADbAAAADwAAAAAAAAAAAAAAAACXAgAAZHJzL2Rv&#10;d25yZXYueG1sUEsFBgAAAAAEAAQA9QAAAIgDAAAAAA==&#10;" fillcolor="#5b9bd5 [3204]" strokecolor="#1f4d78 [1604]" strokeweight="1pt">
                                <v:textbox>
                                  <w:txbxContent>
                                    <w:p w14:paraId="5FF543C5" w14:textId="77777777" w:rsidR="00C8402C" w:rsidRPr="008B6679" w:rsidRDefault="00C8402C" w:rsidP="00892D3D">
                                      <w:pPr>
                                        <w:jc w:val="center"/>
                                        <w:rPr>
                                          <w:sz w:val="16"/>
                                          <w:szCs w:val="16"/>
                                        </w:rPr>
                                      </w:pPr>
                                      <w:r w:rsidRPr="008B6679">
                                        <w:rPr>
                                          <w:sz w:val="16"/>
                                          <w:szCs w:val="16"/>
                                        </w:rPr>
                                        <w:t xml:space="preserve">Interviews – </w:t>
                                      </w:r>
                                    </w:p>
                                    <w:p w14:paraId="5F35BCB3" w14:textId="77777777" w:rsidR="00C8402C" w:rsidRPr="008B6679" w:rsidRDefault="00C8402C" w:rsidP="00892D3D">
                                      <w:pPr>
                                        <w:jc w:val="center"/>
                                        <w:rPr>
                                          <w:sz w:val="16"/>
                                          <w:szCs w:val="16"/>
                                        </w:rPr>
                                      </w:pPr>
                                      <w:r>
                                        <w:rPr>
                                          <w:sz w:val="16"/>
                                          <w:szCs w:val="16"/>
                                        </w:rPr>
                                        <w:t>8 participants</w:t>
                                      </w:r>
                                    </w:p>
                                  </w:txbxContent>
                                </v:textbox>
                              </v:shape>
                              <v:shape id="Straight Arrow Connector 53" o:spid="_x0000_s1467" type="#_x0000_t32" style="position:absolute;left:-48292;top:-653094;width:771227;height:7836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H+5zDAAAA2wAAAA8AAAAAAAAAAAAA&#10;AAAAoQIAAGRycy9kb3ducmV2LnhtbFBLBQYAAAAABAAEAPkAAACRAwAAAAA=&#10;" strokecolor="#5b9bd5 [3204]" strokeweight=".5pt">
                                <v:stroke endarrow="block" joinstyle="miter"/>
                              </v:shape>
                              <v:shape id="Straight Arrow Connector 219" o:spid="_x0000_s1468" type="#_x0000_t32" style="position:absolute;left:3275340;top:-663302;width:1119557;height:78163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YjucMAAADcAAAADwAAAGRycy9kb3ducmV2LnhtbESPT2vCQBDF7wW/wzJCL6KbBCs1dZVS&#10;KO21UYvHITvNBrOzITvV+O27hUKPj/fnx9vsRt+pCw2xDWwgX2SgiOtgW24MHPav80dQUZAtdoHJ&#10;wI0i7LaTuw2WNlz5gy6VNCqNcCzRgBPpS61j7chjXISeOHlfYfAoSQ6NtgNe07jvdJFlK+2x5URw&#10;2NOLo/pcffvEpUMxqx5m6+X5DY+nTye3ZS7G3E/H5ydQQqP8h//a79ZAka/h90w6Anr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GI7nDAAAA3AAAAA8AAAAAAAAAAAAA&#10;AAAAoQIAAGRycy9kb3ducmV2LnhtbFBLBQYAAAAABAAEAPkAAACRAwAAAAA=&#10;" strokecolor="#5b9bd5 [3204]" strokeweight=".5pt">
                                <v:stroke endarrow="block" joinstyle="miter"/>
                              </v:shape>
                              <v:shape id="Straight Arrow Connector 226" o:spid="_x0000_s1469" type="#_x0000_t32" style="position:absolute;left:4394897;top:-663302;width:708017;height:78163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moGcYAAADcAAAADwAAAGRycy9kb3ducmV2LnhtbESPQWvCQBSE7wX/w/KEXopumlaR6Cpt&#10;pNBrVVBvj+wzG82+TbPbmPbXd4VCj8PMfMMsVr2tRUetrxwreBwnIIgLpysuFey2b6MZCB+QNdaO&#10;ScE3eVgtB3cLzLS78gd1m1CKCGGfoQITQpNJ6QtDFv3YNcTRO7nWYoiyLaVu8RrhtpZpkkylxYrj&#10;gsGGckPFZfNlFRxPE9295uuqMIf8af/w/PN5PqyVuh/2L3MQgfrwH/5rv2sFaTqF25l4BO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pqBnGAAAA3AAAAA8AAAAAAAAA&#10;AAAAAAAAoQIAAGRycy9kb3ducmV2LnhtbFBLBQYAAAAABAAEAPkAAACUAwAAAAA=&#10;" strokecolor="#5b9bd5 [3204]" strokeweight=".5pt">
                                <v:stroke endarrow="block" joinstyle="miter"/>
                              </v:shape>
                              <v:shape id="Straight Arrow Connector 227" o:spid="_x0000_s1470" type="#_x0000_t32" style="position:absolute;left:722935;top:-663302;width:4379977;height:7938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UNgscAAADcAAAADwAAAGRycy9kb3ducmV2LnhtbESPT0vDQBTE74LfYXmCF7Ebo7WSdls0&#10;peC1f6D19si+ZlOzb2N2TdN++q5Q8DjMzG+Yyay3teio9ZVjBU+DBARx4XTFpYLNevH4BsIHZI21&#10;Y1JwIg+z6e3NBDPtjrykbhVKESHsM1RgQmgyKX1hyKIfuIY4envXWgxRtqXULR4j3NYyTZJXabHi&#10;uGCwodxQ8b36tQq+9kPdfeTzqjC7/Hn78HL+OezmSt3f9e9jEIH68B++tj+1gjQdwd+ZeATk9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pQ2CxwAAANwAAAAPAAAAAAAA&#10;AAAAAAAAAKECAABkcnMvZG93bnJldi54bWxQSwUGAAAAAAQABAD5AAAAlQMAAAAA&#10;" strokecolor="#5b9bd5 [3204]" strokeweight=".5pt">
                                <v:stroke endarrow="block" joinstyle="miter"/>
                              </v:shape>
                            </v:group>
                          </v:group>
                        </v:group>
                      </v:group>
                    </v:group>
                    <v:shape id="Straight Arrow Connector 228" o:spid="_x0000_s1471" type="#_x0000_t32" style="position:absolute;left:2196513;top:1973996;width:2518712;height:7712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Mn8AAAADcAAAADwAAAGRycy9kb3ducmV2LnhtbERPTUvDQBC9C/6HZQQvpd00VNHYbRFB&#10;9GpapcchO2ZDs7MhO7bpv3cOgsfH+15vp9ibE425S+xguSjAEDfJd9w62O9e5w9gsiB77BOTgwtl&#10;2G6ur9ZY+XTmDzrV0hoN4VyhgyAyVNbmJlDEvEgDsXLfaYwoCsfW+hHPGh57WxbFvY3YsTYEHOgl&#10;UHOsf6L20r6c1Xezx9XxDT8PX0Euq6U4d3szPT+BEZrkX/znfvcOylLX6hk9Anbz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tmTJ/AAAAA3AAAAA8AAAAAAAAAAAAAAAAA&#10;oQIAAGRycy9kb3ducmV2LnhtbFBLBQYAAAAABAAEAPkAAACOAwAAAAA=&#10;" strokecolor="#5b9bd5 [3204]" strokeweight=".5pt">
                      <v:stroke endarrow="block" joinstyle="miter"/>
                    </v:shape>
                  </v:group>
                  <v:shape id="Text Box 295" o:spid="_x0000_s1472" type="#_x0000_t202" style="position:absolute;left:2182610;top:2854999;width:1541779;height:6073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8+fxQAA&#10;ANwAAAAPAAAAZHJzL2Rvd25yZXYueG1sRI9BawIxFITvBf9DeIK3mlVsbVej2KK0xZNr6/mxee4G&#10;Ny9rEnX775tCocdhZr5h5svONuJKPhjHCkbDDARx6bThSsHnfnP/BCJEZI2NY1LwTQGWi97dHHPt&#10;bryjaxErkSAcclRQx9jmUoayJoth6Fri5B2dtxiT9JXUHm8Jbhs5zrJHadFwWqixpdeaylNxsQrO&#10;X34/GZn1YdN8FOY8PW1f3nCq1KDfrWYgInXxP/zXftcKxs8P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3z5/FAAAA3AAAAA8AAAAAAAAAAAAAAAAAlwIAAGRycy9k&#10;b3ducmV2LnhtbFBLBQYAAAAABAAEAPUAAACJAwAAAAA=&#10;" fillcolor="white [3201]" strokeweight=".5pt">
                    <v:textbox>
                      <w:txbxContent>
                        <w:p w14:paraId="0D5E4B59" w14:textId="77777777" w:rsidR="00C8402C" w:rsidRPr="00096D37" w:rsidRDefault="00C8402C" w:rsidP="00892D3D">
                          <w:pPr>
                            <w:jc w:val="center"/>
                            <w:rPr>
                              <w:sz w:val="20"/>
                            </w:rPr>
                          </w:pPr>
                          <w:r w:rsidRPr="00096D37">
                            <w:rPr>
                              <w:sz w:val="20"/>
                            </w:rPr>
                            <w:t>Randomly allocated into focus groups and interviews</w:t>
                          </w:r>
                        </w:p>
                      </w:txbxContent>
                    </v:textbox>
                  </v:shape>
                </v:group>
                <v:group id="Group 296" o:spid="_x0000_s1473" style="position:absolute;left:5247129;top:13648;width:4795519;height:4885065" coordorigin="-108644,-713940" coordsize="5997148,4195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group id="Group 297" o:spid="_x0000_s1474" style="position:absolute;left:-108644;top:-713940;width:5997148;height:4195590" coordorigin="-108644,-714260" coordsize="5997148,4197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group id="Group 298" o:spid="_x0000_s1475" style="position:absolute;left:-108644;top:-714260;width:5997148;height:4197470" coordorigin="-108644,-714285" coordsize="5997148,4197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Straight Arrow Connector 299" o:spid="_x0000_s1476" type="#_x0000_t32" style="position:absolute;left:1043592;top:1952130;width:1195043;height:80546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n1jMcAAADcAAAADwAAAGRycy9kb3ducmV2LnhtbESPQWvCQBSE74L/YXlCL0U32lY0dRUb&#10;KfRaK6i3R/aZTc2+jdltTPvru4WCx2FmvmEWq85WoqXGl44VjEcJCOLc6ZILBbuP1+EMhA/IGivH&#10;pOCbPKyW/d4CU+2u/E7tNhQiQtinqMCEUKdS+tyQRT9yNXH0Tq6xGKJsCqkbvEa4reQkSabSYslx&#10;wWBNmaH8vP2yCo6nJ92+ZJsyN4fsYX//+HP5PGyUuht062cQgbpwC/+337SCyXwO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yfWMxwAAANwAAAAPAAAAAAAA&#10;AAAAAAAAAKECAABkcnMvZG93bnJldi54bWxQSwUGAAAAAAQABAD5AAAAlQMAAAAA&#10;" strokecolor="#5b9bd5 [3204]" strokeweight=".5pt">
                        <v:stroke endarrow="block" joinstyle="miter"/>
                      </v:shape>
                      <v:group id="Group 300" o:spid="_x0000_s1477" style="position:absolute;left:-108644;top:-714285;width:5997148;height:4197620" coordorigin="-108644,-714285" coordsize="5997148,4197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Straight Arrow Connector 301" o:spid="_x0000_s1478" type="#_x0000_t32" style="position:absolute;left:1043592;top:1941922;width:2594299;height:81567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RjkMYAAADcAAAADwAAAGRycy9kb3ducmV2LnhtbESPQWvCQBSE74X+h+UVeim6sVqR6Co1&#10;UuhVK6i3R/aZjc2+jdltTP31rlDocZiZb5jZorOVaKnxpWMFg34Cgjh3uuRCwfbrozcB4QOyxsox&#10;KfglD4v548MMU+0uvKZ2EwoRIexTVGBCqFMpfW7Iou+7mjh6R9dYDFE2hdQNXiLcVvI1ScbSYslx&#10;wWBNmaH8e/NjFRyOb7pdZqsyN/tsuHsZXc+n/Uqp56fufQoiUBf+w3/tT61gmAzgfi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pUY5DGAAAA3AAAAA8AAAAAAAAA&#10;AAAAAAAAoQIAAGRycy9kb3ducmV2LnhtbFBLBQYAAAAABAAEAPkAAACUAwAAAAA=&#10;" strokecolor="#5b9bd5 [3204]" strokeweight=".5pt">
                          <v:stroke endarrow="block" joinstyle="miter"/>
                        </v:shape>
                        <v:group id="Group 302" o:spid="_x0000_s1479" style="position:absolute;left:-108644;top:-714285;width:5997148;height:4197620" coordorigin="-108644,-714285" coordsize="5997148,4197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shape id="Straight Arrow Connector 303" o:spid="_x0000_s1480" type="#_x0000_t32" style="position:absolute;left:314559;top:1952129;width:4400665;height:79323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aNE8QAAADcAAAADwAAAGRycy9kb3ducmV2LnhtbESPW2vCQBCF3wv+h2WEvohuvFQ0dZVS&#10;EPva1IqPQ3aaDWZnQ3aq8d93C4U+Hs7l42x2vW/UlbpYBzYwnWSgiMtga64MHD/24xWoKMgWm8Bk&#10;4E4RdtvBwwZzG278TtdCKpVGOOZowIm0udaxdOQxTkJLnLyv0HmUJLtK2w5vadw3epZlS+2x5kRw&#10;2NKro/JSfPvEpeNsVDyN1ovLAT/PJyf3xVSMeRz2L8+ghHr5D/+136yBeTaH3zPpCO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lo0TxAAAANwAAAAPAAAAAAAAAAAA&#10;AAAAAKECAABkcnMvZG93bnJldi54bWxQSwUGAAAAAAQABAD5AAAAkgMAAAAA&#10;" strokecolor="#5b9bd5 [3204]" strokeweight=".5pt">
                            <v:stroke endarrow="block" joinstyle="miter"/>
                          </v:shape>
                          <v:group id="Group 304" o:spid="_x0000_s1481" style="position:absolute;left:-108644;top:-714285;width:5997148;height:4197620" coordorigin="-108644,-714324" coordsize="5997148,41978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group id="Group 305" o:spid="_x0000_s1482" style="position:absolute;left:-108644;top:-714324;width:5997148;height:2666559" coordorigin="-108645,-640790" coordsize="5997200,2392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group id="Group 306" o:spid="_x0000_s1483" style="position:absolute;left:-108645;top:-640790;width:5997200;height:2392057" coordorigin="-108645,-640790" coordsize="5997200,2392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shape id="Flowchart: Process 307" o:spid="_x0000_s1484" type="#_x0000_t109" style="position:absolute;left:2315660;top:-640790;width:1416684;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X01xQAA&#10;ANwAAAAPAAAAZHJzL2Rvd25yZXYueG1sRI9BawIxFITvBf9DeIK3mlhBZWt2KYKlp2qtaI+Pzevu&#10;YvKy3aS6/nsjFHocZuYbZln0zoozdaHxrGEyViCIS28arjTsP9ePCxAhIhu0nknDlQIU+eBhiZnx&#10;F/6g8y5WIkE4ZKihjrHNpAxlTQ7D2LfEyfv2ncOYZFdJ0+ElwZ2VT0rNpMOG00KNLa1qKk+7X6fh&#10;9D536rjY2uPP4fr1urF2pbZW69Gwf3kGEamP/+G/9pvRMFVzuJ9JR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pfTXFAAAA3AAAAA8AAAAAAAAAAAAAAAAAlwIAAGRycy9k&#10;b3ducmV2LnhtbFBLBQYAAAAABAAEAPUAAACJAwAAAAA=&#10;" fillcolor="#ed7d31 [3205]" strokecolor="white [3201]" strokeweight="1.5pt">
                                  <v:textbox>
                                    <w:txbxContent>
                                      <w:p w14:paraId="6558BC99" w14:textId="77777777" w:rsidR="00C8402C" w:rsidRPr="008B6679" w:rsidRDefault="00C8402C" w:rsidP="00892D3D">
                                        <w:pPr>
                                          <w:jc w:val="center"/>
                                          <w:rPr>
                                            <w:sz w:val="16"/>
                                            <w:szCs w:val="16"/>
                                          </w:rPr>
                                        </w:pPr>
                                        <w:r>
                                          <w:rPr>
                                            <w:sz w:val="16"/>
                                            <w:szCs w:val="16"/>
                                          </w:rPr>
                                          <w:t>BPF condition</w:t>
                                        </w:r>
                                      </w:p>
                                    </w:txbxContent>
                                  </v:textbox>
                                </v:shape>
                                <v:roundrect id="Rounded Rectangle 308" o:spid="_x0000_s1485" style="position:absolute;left:354009;top:130779;width:1321800;height:81845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ADWwAAA&#10;ANwAAAAPAAAAZHJzL2Rvd25yZXYueG1sRE9NawIxEL0L/ocwQm+atWKRrVFsRSh4ctuLt+lm3Kxu&#10;JkuSavz35iD0+Hjfy3WynbiSD61jBdNJAYK4drrlRsHP9268ABEissbOMSm4U4D1ajhYYqndjQ90&#10;rWIjcgiHEhWYGPtSylAbshgmrifO3Ml5izFD30jt8ZbDbSdfi+JNWmw5Nxjs6dNQfan+rAKrZ2l7&#10;xs2Rdovq4zhP+603v0q9jNLmHUSkFP/FT/eXVjAr8tp8Jh8B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9ADWwAAAANwAAAAPAAAAAAAAAAAAAAAAAJcCAABkcnMvZG93bnJl&#10;di54bWxQSwUGAAAAAAQABAD1AAAAhAMAAAAA&#10;" fillcolor="#5b9bd5 [3204]" strokecolor="#1f4d78 [1604]" strokeweight="1pt">
                                  <v:stroke joinstyle="miter"/>
                                  <v:textbox>
                                    <w:txbxContent>
                                      <w:p w14:paraId="23204540" w14:textId="77777777" w:rsidR="00C8402C" w:rsidRPr="008B6679" w:rsidRDefault="00C8402C" w:rsidP="00892D3D">
                                        <w:pPr>
                                          <w:jc w:val="center"/>
                                          <w:rPr>
                                            <w:sz w:val="16"/>
                                            <w:szCs w:val="16"/>
                                          </w:rPr>
                                        </w:pPr>
                                        <w:r w:rsidRPr="008B6679">
                                          <w:rPr>
                                            <w:sz w:val="16"/>
                                            <w:szCs w:val="16"/>
                                          </w:rPr>
                                          <w:t>Largest –</w:t>
                                        </w:r>
                                      </w:p>
                                      <w:p w14:paraId="280D635F" w14:textId="77777777" w:rsidR="00C8402C" w:rsidRPr="008B6679" w:rsidRDefault="00C8402C" w:rsidP="00892D3D">
                                        <w:pPr>
                                          <w:jc w:val="center"/>
                                          <w:rPr>
                                            <w:sz w:val="16"/>
                                            <w:szCs w:val="16"/>
                                          </w:rPr>
                                        </w:pPr>
                                        <w:r w:rsidRPr="008B6679">
                                          <w:rPr>
                                            <w:sz w:val="16"/>
                                            <w:szCs w:val="16"/>
                                          </w:rPr>
                                          <w:t xml:space="preserve">Upper </w:t>
                                        </w:r>
                                        <w:r>
                                          <w:rPr>
                                            <w:sz w:val="16"/>
                                            <w:szCs w:val="16"/>
                                          </w:rPr>
                                          <w:t>third</w:t>
                                        </w:r>
                                      </w:p>
                                    </w:txbxContent>
                                  </v:textbox>
                                </v:roundrect>
                                <v:roundrect id="Rounded Rectangle 309" o:spid="_x0000_s1486" style="position:absolute;left:4208691;top:161179;width:1267824;height:81476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KVNxAAA&#10;ANwAAAAPAAAAZHJzL2Rvd25yZXYueG1sRI9PawIxFMTvBb9DeEJvNVulxW6N4h+EgqeuvXh73bxu&#10;tt28LEnU9NsbQfA4zMxvmNki2U6cyIfWsYLnUQGCuHa65UbB1377NAURIrLGzjEp+KcAi/ngYYal&#10;dmf+pFMVG5EhHEpUYGLsSylDbchiGLmeOHs/zluMWfpGao/nDLedHBfFq7TYcl4w2NPaUP1XHa0C&#10;qydp84vLA22n1erwknYbb76Vehym5TuISCnew7f2h1YwKd7geiYfAT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ilTcQAAADcAAAADwAAAAAAAAAAAAAAAACXAgAAZHJzL2Rv&#10;d25yZXYueG1sUEsFBgAAAAAEAAQA9QAAAIgDAAAAAA==&#10;" fillcolor="#5b9bd5 [3204]" strokecolor="#1f4d78 [1604]" strokeweight="1pt">
                                  <v:stroke joinstyle="miter"/>
                                  <v:textbox>
                                    <w:txbxContent>
                                      <w:p w14:paraId="26DE14C3" w14:textId="77777777" w:rsidR="00C8402C" w:rsidRPr="008B6679" w:rsidRDefault="00C8402C" w:rsidP="00892D3D">
                                        <w:pPr>
                                          <w:jc w:val="center"/>
                                          <w:rPr>
                                            <w:sz w:val="16"/>
                                            <w:szCs w:val="16"/>
                                          </w:rPr>
                                        </w:pPr>
                                        <w:r w:rsidRPr="008B6679">
                                          <w:rPr>
                                            <w:sz w:val="16"/>
                                            <w:szCs w:val="16"/>
                                          </w:rPr>
                                          <w:t>Smallest –</w:t>
                                        </w:r>
                                      </w:p>
                                      <w:p w14:paraId="30CF4AEB" w14:textId="77777777" w:rsidR="00C8402C" w:rsidRPr="008B6679" w:rsidRDefault="00C8402C" w:rsidP="00892D3D">
                                        <w:pPr>
                                          <w:jc w:val="center"/>
                                          <w:rPr>
                                            <w:sz w:val="16"/>
                                            <w:szCs w:val="16"/>
                                          </w:rPr>
                                        </w:pPr>
                                        <w:r w:rsidRPr="008B6679">
                                          <w:rPr>
                                            <w:sz w:val="16"/>
                                            <w:szCs w:val="16"/>
                                          </w:rPr>
                                          <w:t xml:space="preserve">Lower </w:t>
                                        </w:r>
                                        <w:r>
                                          <w:rPr>
                                            <w:sz w:val="16"/>
                                            <w:szCs w:val="16"/>
                                          </w:rPr>
                                          <w:t>third</w:t>
                                        </w:r>
                                      </w:p>
                                    </w:txbxContent>
                                  </v:textbox>
                                </v:roundrect>
                                <v:shape id="Straight Arrow Connector 310" o:spid="_x0000_s1487" type="#_x0000_t32" style="position:absolute;left:3024003;top:-115010;width:1818601;height:27618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2FucEAAADcAAAADwAAAGRycy9kb3ducmV2LnhtbERPTUvDQBC9C/6HZQQvpd2kVtHYbRFB&#10;9GqsxeOQHbOh2dmQHdv03zsHwePjfa+3U+zNkcbcJXZQLgowxE3yHbcOdh8v83swWZA99onJwZky&#10;bDeXF2usfDrxOx1raY2GcK7QQRAZKmtzEyhiXqSBWLnvNEYUhWNr/YgnDY+9XRbFnY3YsTYEHOg5&#10;UHOof6L20m45q29nD6vDK35+7YOcV6U4d301PT2CEZrkX/znfvMObkqdr2f0CNjN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9nYW5wQAAANwAAAAPAAAAAAAAAAAAAAAA&#10;AKECAABkcnMvZG93bnJldi54bWxQSwUGAAAAAAQABAD5AAAAjwMAAAAA&#10;" strokecolor="#5b9bd5 [3204]" strokeweight=".5pt">
                                  <v:stroke endarrow="block" joinstyle="miter"/>
                                </v:shape>
                                <v:shape id="Straight Arrow Connector 311" o:spid="_x0000_s1488" type="#_x0000_t32" style="position:absolute;left:1014909;top:-115010;width:2009094;height:24578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31TcYAAADcAAAADwAAAGRycy9kb3ducmV2LnhtbESPQWvCQBSE70L/w/IKXopuolVKdJU2&#10;Uui1Wqi9PbLPbGz2bZrdxtRf7woFj8PMfMMs172tRUetrxwrSMcJCOLC6YpLBR+719ETCB+QNdaO&#10;ScEfeViv7gZLzLQ78Tt121CKCGGfoQITQpNJ6QtDFv3YNcTRO7jWYoiyLaVu8RThtpaTJJlLixXH&#10;BYMN5YaK7+2vVfB1mOnuJd9Uhdnn08+Hx/PPcb9RanjfPy9ABOrDLfzfftMKpmkK1zPxCMjV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9U3GAAAA3AAAAA8AAAAAAAAA&#10;AAAAAAAAoQIAAGRycy9kb3ducmV2LnhtbFBLBQYAAAAABAAEAPkAAACUAwAAAAA=&#10;" strokecolor="#5b9bd5 [3204]" strokeweight=".5pt">
                                  <v:stroke endarrow="block" joinstyle="miter"/>
                                </v:shape>
                                <v:roundrect id="Rounded Rectangle 312" o:spid="_x0000_s1489" style="position:absolute;left:-108645;top:1329090;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aHhxAAA&#10;ANwAAAAPAAAAZHJzL2Rvd25yZXYueG1sRI9BawIxFITvBf9DeEJv3axKRVaj2IpQ6KlrL95eN8/N&#10;6uZlSVJN/31TKHgcZuYbZrVJthdX8qFzrGBSlCCIG6c7bhV8HvZPCxAhImvsHZOCHwqwWY8eVlhp&#10;d+MPutaxFRnCoUIFJsahkjI0hiyGwg3E2Ts5bzFm6VupPd4y3PZyWpZzabHjvGBwoFdDzaX+tgqs&#10;nqXdGbdH2i/ql+Nzet9586XU4zhtlyAipXgP/7fftILZZAp/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8Wh4cQAAADcAAAADwAAAAAAAAAAAAAAAACXAgAAZHJzL2Rv&#10;d25yZXYueG1sUEsFBgAAAAAEAAQA9QAAAIgDAAAAAA==&#10;" fillcolor="#5b9bd5 [3204]" strokecolor="#1f4d78 [1604]" strokeweight="1pt">
                                  <v:stroke joinstyle="miter"/>
                                  <v:textbox>
                                    <w:txbxContent>
                                      <w:p w14:paraId="2C4120A9" w14:textId="77777777" w:rsidR="00C8402C" w:rsidRPr="008B6679" w:rsidRDefault="00C8402C" w:rsidP="00892D3D">
                                        <w:pPr>
                                          <w:jc w:val="center"/>
                                          <w:rPr>
                                            <w:sz w:val="16"/>
                                            <w:szCs w:val="16"/>
                                          </w:rPr>
                                        </w:pPr>
                                        <w:r w:rsidRPr="008B6679">
                                          <w:rPr>
                                            <w:sz w:val="16"/>
                                            <w:szCs w:val="16"/>
                                          </w:rPr>
                                          <w:t>High</w:t>
                                        </w:r>
                                      </w:p>
                                    </w:txbxContent>
                                  </v:textbox>
                                </v:roundrect>
                                <v:roundrect id="Rounded Rectangle 313" o:spid="_x0000_s1490" style="position:absolute;left:1815448;top:1329091;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QR6xAAA&#10;ANwAAAAPAAAAZHJzL2Rvd25yZXYueG1sRI9BawIxFITvhf6H8Aq91awuimyNYhWh0JPbXry9bp6b&#10;tZuXJUk1/feNIHgcZuYbZrFKthdn8qFzrGA8KkAQN0533Cr4+ty9zEGEiKyxd0wK/ijAavn4sMBK&#10;uwvv6VzHVmQIhwoVmBiHSsrQGLIYRm4gzt7ReYsxS99K7fGS4baXk6KYSYsd5wWDA20MNT/1r1Vg&#10;dZm2J1wfaDev3w7T9LH15lup56e0fgURKcV7+NZ+1wrKcQnXM/kI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kEesQAAADcAAAADwAAAAAAAAAAAAAAAACXAgAAZHJzL2Rv&#10;d25yZXYueG1sUEsFBgAAAAAEAAQA9QAAAIgDAAAAAA==&#10;" fillcolor="#5b9bd5 [3204]" strokecolor="#1f4d78 [1604]" strokeweight="1pt">
                                  <v:stroke joinstyle="miter"/>
                                  <v:textbox>
                                    <w:txbxContent>
                                      <w:p w14:paraId="5195FFD2" w14:textId="77777777" w:rsidR="00C8402C" w:rsidRPr="008B6679" w:rsidRDefault="00C8402C" w:rsidP="00892D3D">
                                        <w:pPr>
                                          <w:jc w:val="center"/>
                                          <w:rPr>
                                            <w:sz w:val="16"/>
                                            <w:szCs w:val="16"/>
                                          </w:rPr>
                                        </w:pPr>
                                        <w:r w:rsidRPr="008B6679">
                                          <w:rPr>
                                            <w:sz w:val="16"/>
                                            <w:szCs w:val="16"/>
                                          </w:rPr>
                                          <w:t>Low</w:t>
                                        </w:r>
                                      </w:p>
                                    </w:txbxContent>
                                  </v:textbox>
                                </v:roundrect>
                                <v:roundrect id="Rounded Rectangle 314" o:spid="_x0000_s1491" style="position:absolute;left:3214716;top:1319933;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JwOxAAA&#10;ANwAAAAPAAAAZHJzL2Rvd25yZXYueG1sRI9BawIxFITvhf6H8Aq91ay1LbIaxVaEgqduvXh7bp6b&#10;1c3LkqSa/nsjCB6HmfmGmc6T7cSJfGgdKxgOChDEtdMtNwo2v6uXMYgQkTV2jknBPwWYzx4fplhq&#10;d+YfOlWxERnCoUQFJsa+lDLUhiyGgeuJs7d33mLM0jdSezxnuO3ka1F8SIst5wWDPX0Zqo/Vn1Vg&#10;9SgtD7jY0mpcfW7f03rpzU6p56e0mICIlOI9fGt/awWj4Rtcz+QjI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2CcDsQAAADcAAAADwAAAAAAAAAAAAAAAACXAgAAZHJzL2Rv&#10;d25yZXYueG1sUEsFBgAAAAAEAAQA9QAAAIgDAAAAAA==&#10;" fillcolor="#5b9bd5 [3204]" strokecolor="#1f4d78 [1604]" strokeweight="1pt">
                                  <v:stroke joinstyle="miter"/>
                                  <v:textbox>
                                    <w:txbxContent>
                                      <w:p w14:paraId="1B2C06FE" w14:textId="77777777" w:rsidR="00C8402C" w:rsidRPr="008B6679" w:rsidRDefault="00C8402C" w:rsidP="00892D3D">
                                        <w:pPr>
                                          <w:jc w:val="center"/>
                                          <w:rPr>
                                            <w:sz w:val="16"/>
                                            <w:szCs w:val="16"/>
                                          </w:rPr>
                                        </w:pPr>
                                        <w:r>
                                          <w:rPr>
                                            <w:sz w:val="16"/>
                                            <w:szCs w:val="16"/>
                                          </w:rPr>
                                          <w:t>High</w:t>
                                        </w:r>
                                      </w:p>
                                    </w:txbxContent>
                                  </v:textbox>
                                </v:roundrect>
                                <v:roundrect id="Rounded Rectangle 315" o:spid="_x0000_s1492" style="position:absolute;left:5042142;top:1319933;width:846413;height:42217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LDmVwwAA&#10;ANwAAAAPAAAAZHJzL2Rvd25yZXYueG1sRI9BawIxFITvBf9DeIK3mrVikdUotiIIPbn24u1189ys&#10;bl6WJNX03zcFocdhZr5hlutkO3EjH1rHCibjAgRx7XTLjYLP4+55DiJEZI2dY1LwQwHWq8HTEkvt&#10;7nygWxUbkSEcSlRgYuxLKUNtyGIYu544e2fnLcYsfSO1x3uG206+FMWrtNhyXjDY07uh+lp9WwVW&#10;T9P2gpsT7ebV22mWPrbefCk1GqbNAkSkFP/Dj/ZeK5hOZvB3Jh8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LDmVwwAAANwAAAAPAAAAAAAAAAAAAAAAAJcCAABkcnMvZG93&#10;bnJldi54bWxQSwUGAAAAAAQABAD1AAAAhwMAAAAA&#10;" fillcolor="#5b9bd5 [3204]" strokecolor="#1f4d78 [1604]" strokeweight="1pt">
                                  <v:stroke joinstyle="miter"/>
                                  <v:textbox>
                                    <w:txbxContent>
                                      <w:p w14:paraId="55184099" w14:textId="77777777" w:rsidR="00C8402C" w:rsidRPr="008B6679" w:rsidRDefault="00C8402C" w:rsidP="00892D3D">
                                        <w:pPr>
                                          <w:jc w:val="center"/>
                                          <w:rPr>
                                            <w:sz w:val="16"/>
                                            <w:szCs w:val="16"/>
                                          </w:rPr>
                                        </w:pPr>
                                        <w:r w:rsidRPr="008B6679">
                                          <w:rPr>
                                            <w:sz w:val="16"/>
                                            <w:szCs w:val="16"/>
                                          </w:rPr>
                                          <w:t>Low</w:t>
                                        </w:r>
                                      </w:p>
                                    </w:txbxContent>
                                  </v:textbox>
                                </v:roundrect>
                                <v:shape id="Straight Arrow Connector 316" o:spid="_x0000_s1493" type="#_x0000_t32" style="position:absolute;left:1014909;top:949237;width:1223746;height:37985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i4VsQAAADcAAAADwAAAGRycy9kb3ducmV2LnhtbESPT2vCQBDF7wW/wzIFL6KbWCs2dRUp&#10;SHttasXjkJ1mg9nZkJ1q/PbdQqHHx/vz4623g2/VhfrYBDaQzzJQxFWwDdcGDh/76QpUFGSLbWAy&#10;cKMI283obo2FDVd+p0sptUojHAs04ES6QutYOfIYZ6EjTt5X6D1Kkn2tbY/XNO5bPc+ypfbYcCI4&#10;7OjFUXUuv33i0mE+KR8nT4vzK36ejk5ui1yMGd8Pu2dQQoP8h//ab9bAQ76E3zPpCO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OLhWxAAAANwAAAAPAAAAAAAAAAAA&#10;AAAAAKECAABkcnMvZG93bnJldi54bWxQSwUGAAAAAAQABAD5AAAAkgMAAAAA&#10;" strokecolor="#5b9bd5 [3204]" strokeweight=".5pt">
                                  <v:stroke endarrow="block" joinstyle="miter"/>
                                </v:shape>
                                <v:shape id="Straight Arrow Connector 317" o:spid="_x0000_s1494" type="#_x0000_t32" style="position:absolute;left:314562;top:949237;width:700348;height:37985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jIoscAAADcAAAADwAAAGRycy9kb3ducmV2LnhtbESPQWvCQBSE74L/YXmFXopurK1KdJU2&#10;UuhVK6i3R/aZTc2+TbPbmPbXdwuCx2FmvmEWq85WoqXGl44VjIYJCOLc6ZILBbuPt8EMhA/IGivH&#10;pOCHPKyW/d4CU+0uvKF2GwoRIexTVGBCqFMpfW7Ioh+6mjh6J9dYDFE2hdQNXiLcVvIxSSbSYslx&#10;wWBNmaH8vP22Co6nZ92+ZusyN4dsvH94+v36PKyVur/rXuYgAnXhFr6237WC8Wg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KMiixwAAANwAAAAPAAAAAAAA&#10;AAAAAAAAAKECAABkcnMvZG93bnJldi54bWxQSwUGAAAAAAQABAD5AAAAlQMAAAAA&#10;" strokecolor="#5b9bd5 [3204]" strokeweight=".5pt">
                                  <v:stroke endarrow="block" joinstyle="miter"/>
                                </v:shape>
                                <v:shape id="Straight Arrow Connector 318" o:spid="_x0000_s1495" type="#_x0000_t32" style="position:absolute;left:3637923;top:975944;width:1204680;height:3439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dc0MMAAADcAAAADwAAAGRycy9kb3ducmV2LnhtbERPz2vCMBS+D/Y/hDfwMjRVNxmdUbQi&#10;eJ0O1NujeTbdmpfaxFr965eDsOPH93s672wlWmp86VjBcJCAIM6dLrlQ8L1b9z9A+ICssXJMCm7k&#10;YT57fppiqt2Vv6jdhkLEEPYpKjAh1KmUPjdk0Q9cTRy5k2sshgibQuoGrzHcVnKUJBNpseTYYLCm&#10;zFD+u71YBcfTu26X2arMzSEb71/f7uefw0qp3ku3+AQRqAv/4od7oxWMh3FtPBOPgJz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63XNDDAAAA3AAAAA8AAAAAAAAAAAAA&#10;AAAAoQIAAGRycy9kb3ducmV2LnhtbFBLBQYAAAAABAAEAPkAAACRAwAAAAA=&#10;" strokecolor="#5b9bd5 [3204]" strokeweight=".5pt">
                                  <v:stroke endarrow="block" joinstyle="miter"/>
                                </v:shape>
                                <v:shape id="Straight Arrow Connector 319" o:spid="_x0000_s1496" type="#_x0000_t32" style="position:absolute;left:4842603;top:975944;width:622745;height:3439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csJMQAAADcAAAADwAAAGRycy9kb3ducmV2LnhtbESPT2vCQBDF74V+h2UKvYhuolY0dZVS&#10;KPba1IrHITtmg9nZkJ1q/PbdQqHHx/vz4623g2/VhfrYBDaQTzJQxFWwDdcG9p9v4yWoKMgW28Bk&#10;4EYRtpv7uzUWNlz5gy6l1CqNcCzQgBPpCq1j5chjnISOOHmn0HuUJPta2x6vady3epplC+2x4URw&#10;2NGro+pcfvvEpf10VD6NVvPzDr+OBye3eS7GPD4ML8+ghAb5D/+1362BWb6C3zPpCO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pywkxAAAANwAAAAPAAAAAAAAAAAA&#10;AAAAAKECAABkcnMvZG93bnJldi54bWxQSwUGAAAAAAQABAD5AAAAkgMAAAAA&#10;" strokecolor="#5b9bd5 [3204]" strokeweight=".5pt">
                                  <v:stroke endarrow="block" joinstyle="miter"/>
                                </v:shape>
                              </v:group>
                              <v:shape id="Text Box 320" o:spid="_x0000_s1497" type="#_x0000_t202" style="position:absolute;left:2073677;top:-33304;width:1919492;height:3268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qp9wgAA&#10;ANwAAAAPAAAAZHJzL2Rvd25yZXYueG1sRE9NawIxEL0X+h/CFHqrWa3UshpFRanFk2v1PGzG3eBm&#10;siaprv/eHAo9Pt73ZNbZRlzJB+NYQb+XgSAunTZcKfjZr98+QYSIrLFxTAruFGA2fX6aYK7djXd0&#10;LWIlUgiHHBXUMba5lKGsyWLouZY4cSfnLcYEfSW1x1sKt40cZNmHtGg4NdTY0rKm8lz8WgWXg98P&#10;+2Z1XDffhbmMztvFF46Uen3p5mMQkbr4L/5zb7SC90Gan86kIyC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eqn3CAAAA3AAAAA8AAAAAAAAAAAAAAAAAlwIAAGRycy9kb3du&#10;cmV2LnhtbFBLBQYAAAAABAAEAPUAAACGAwAAAAA=&#10;" fillcolor="white [3201]" strokeweight=".5pt">
                                <v:textbox>
                                  <w:txbxContent>
                                    <w:p w14:paraId="3E387FAD" w14:textId="12941E4D" w:rsidR="00C8402C" w:rsidRPr="008B6679" w:rsidRDefault="00C8402C" w:rsidP="00892D3D">
                                      <w:pPr>
                                        <w:jc w:val="center"/>
                                        <w:rPr>
                                          <w:sz w:val="18"/>
                                          <w:szCs w:val="16"/>
                                        </w:rPr>
                                      </w:pPr>
                                      <w:r>
                                        <w:rPr>
                                          <w:sz w:val="18"/>
                                          <w:szCs w:val="16"/>
                                        </w:rPr>
                                        <w:t>S</w:t>
                                      </w:r>
                                      <w:r w:rsidRPr="008B6679">
                                        <w:rPr>
                                          <w:sz w:val="18"/>
                                          <w:szCs w:val="16"/>
                                        </w:rPr>
                                        <w:t xml:space="preserve">ampled by change in </w:t>
                                      </w:r>
                                      <w:r>
                                        <w:rPr>
                                          <w:sz w:val="18"/>
                                          <w:szCs w:val="16"/>
                                        </w:rPr>
                                        <w:t>S</w:t>
                                      </w:r>
                                      <w:r w:rsidRPr="008B6679">
                                        <w:rPr>
                                          <w:sz w:val="18"/>
                                          <w:szCs w:val="16"/>
                                        </w:rPr>
                                        <w:t xml:space="preserve">SRQ </w:t>
                                      </w:r>
                                      <w:r>
                                        <w:rPr>
                                          <w:sz w:val="18"/>
                                          <w:szCs w:val="16"/>
                                        </w:rPr>
                                        <w:t>(low/high)</w:t>
                                      </w:r>
                                    </w:p>
                                  </w:txbxContent>
                                </v:textbox>
                              </v:shape>
                              <v:shape id="Text Box 321" o:spid="_x0000_s1498" type="#_x0000_t202" style="position:absolute;left:1360929;top:998646;width:3052463;height:224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hhLwwAA&#10;ANwAAAAPAAAAZHJzL2Rvd25yZXYueG1sRI9BawIxFITvhf6H8Aq91awWZLsaxRZbCp6qxfNj80yC&#10;m5clSdftv28EocdhZr5hluvRd2KgmFxgBdNJBYK4DdqxUfB9eH+qQaSMrLELTAp+KcF6dX+3xEaH&#10;C3/RsM9GFAinBhXYnPtGytRa8pgmoScu3ilEj7nIaKSOeClw38lZVc2lR8dlwWJPb5ba8/7HK9i+&#10;mhfT1hjtttbODePxtDMfSj0+jJsFiExj/g/f2p9awfNsCtcz5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OhhLwwAAANwAAAAPAAAAAAAAAAAAAAAAAJcCAABkcnMvZG93&#10;bnJldi54bWxQSwUGAAAAAAQABAD1AAAAhwMAAAAA&#10;" fillcolor="white [3201]" strokeweight=".5pt">
                                <v:textbox>
                                  <w:txbxContent>
                                    <w:p w14:paraId="0B219237" w14:textId="2F12ED18" w:rsidR="00C8402C" w:rsidRPr="008A4137" w:rsidRDefault="00C8402C" w:rsidP="006B367E">
                                      <w:pPr>
                                        <w:jc w:val="center"/>
                                        <w:rPr>
                                          <w:sz w:val="20"/>
                                          <w:szCs w:val="20"/>
                                        </w:rPr>
                                      </w:pPr>
                                      <w:r w:rsidRPr="008A4137">
                                        <w:rPr>
                                          <w:sz w:val="20"/>
                                          <w:szCs w:val="20"/>
                                        </w:rPr>
                                        <w:t>Sampled by SRL score (high / low)</w:t>
                                      </w:r>
                                    </w:p>
                                    <w:p w14:paraId="21F30859" w14:textId="77777777" w:rsidR="00C8402C" w:rsidRPr="008A4137" w:rsidRDefault="00C8402C" w:rsidP="00892D3D">
                                      <w:pPr>
                                        <w:rPr>
                                          <w:sz w:val="20"/>
                                          <w:szCs w:val="20"/>
                                        </w:rPr>
                                      </w:pPr>
                                    </w:p>
                                  </w:txbxContent>
                                </v:textbox>
                              </v:shape>
                            </v:group>
                            <v:group id="Group 322" o:spid="_x0000_s1499" style="position:absolute;left:105826;top:1942026;width:5433129;height:1541497" coordorigin="-214915,-685243" coordsize="5433616,15416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shape id="Flowchart: Alternate Process 323" o:spid="_x0000_s1500" type="#_x0000_t176" style="position:absolute;left:-214915;top:130567;width:1875701;height:718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WTrxgAA&#10;ANwAAAAPAAAAZHJzL2Rvd25yZXYueG1sRI/dasJAFITvC77DcoTe6cZEiqSuQaRSC6WoLb0+Zk9+&#10;SPZsml01vn23IPRymJlvmGU2mFZcqHe1ZQWzaQSCOLe65lLB1+d2sgDhPLLG1jIpuJGDbDV6WGKq&#10;7ZUPdDn6UgQIuxQVVN53qZQur8igm9qOOHiF7Q36IPtS6h6vAW5aGUfRkzRYc1iosKNNRXlzPBsF&#10;/sds53XxPW/2xUk3bx+vL++3RKnH8bB+BuFp8P/he3unFSRxAn9nw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6WTrxgAAANwAAAAPAAAAAAAAAAAAAAAAAJcCAABkcnMv&#10;ZG93bnJldi54bWxQSwUGAAAAAAQABAD1AAAAigMAAAAA&#10;" fillcolor="#5b9bd5 [3204]" strokecolor="#1f4d78 [1604]" strokeweight="1pt">
                                <v:textbox>
                                  <w:txbxContent>
                                    <w:p w14:paraId="5DDB81EE" w14:textId="77777777" w:rsidR="00C8402C" w:rsidRPr="008B6679" w:rsidRDefault="00C8402C" w:rsidP="00892D3D">
                                      <w:pPr>
                                        <w:jc w:val="center"/>
                                        <w:rPr>
                                          <w:sz w:val="16"/>
                                          <w:szCs w:val="16"/>
                                        </w:rPr>
                                      </w:pPr>
                                      <w:r w:rsidRPr="008B6679">
                                        <w:rPr>
                                          <w:sz w:val="16"/>
                                          <w:szCs w:val="16"/>
                                        </w:rPr>
                                        <w:t>Focus groups – n=2</w:t>
                                      </w:r>
                                    </w:p>
                                    <w:p w14:paraId="49146FC3" w14:textId="77777777" w:rsidR="00C8402C" w:rsidRPr="008B6679" w:rsidRDefault="00C8402C" w:rsidP="00892D3D">
                                      <w:pPr>
                                        <w:jc w:val="center"/>
                                        <w:rPr>
                                          <w:sz w:val="16"/>
                                          <w:szCs w:val="16"/>
                                        </w:rPr>
                                      </w:pPr>
                                      <w:r w:rsidRPr="008B6679">
                                        <w:rPr>
                                          <w:sz w:val="16"/>
                                          <w:szCs w:val="16"/>
                                        </w:rPr>
                                        <w:t>6</w:t>
                                      </w:r>
                                      <w:r>
                                        <w:rPr>
                                          <w:sz w:val="16"/>
                                          <w:szCs w:val="16"/>
                                        </w:rPr>
                                        <w:t>-8</w:t>
                                      </w:r>
                                      <w:r w:rsidRPr="008B6679">
                                        <w:rPr>
                                          <w:sz w:val="16"/>
                                          <w:szCs w:val="16"/>
                                        </w:rPr>
                                        <w:t xml:space="preserve"> participants each</w:t>
                                      </w:r>
                                    </w:p>
                                  </w:txbxContent>
                                </v:textbox>
                              </v:shape>
                              <v:shape id="Flowchart: Alternate Process 324" o:spid="_x0000_s1501" type="#_x0000_t176" style="position:absolute;left:3571091;top:118330;width:1647610;height:7380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PyfxgAA&#10;ANwAAAAPAAAAZHJzL2Rvd25yZXYueG1sRI/dasJAFITvhb7Dcgre6aYxlJK6hlIqKohYW3p9mj35&#10;IdmzaXbV+PZuQfBymJlvmHk2mFacqHe1ZQVP0wgEcW51zaWC76/l5AWE88gaW8uk4EIOssXDaI6p&#10;tmf+pNPBlyJA2KWooPK+S6V0eUUG3dR2xMErbG/QB9mXUvd4DnDTyjiKnqXBmsNChR29V5Q3h6NR&#10;4P/MMqmLn6TZF7+62exWH9vLTKnx4/D2CsLT4O/hW3utFcziBP7Ph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APyfxgAAANwAAAAPAAAAAAAAAAAAAAAAAJcCAABkcnMv&#10;ZG93bnJldi54bWxQSwUGAAAAAAQABAD1AAAAigMAAAAA&#10;" fillcolor="#5b9bd5 [3204]" strokecolor="#1f4d78 [1604]" strokeweight="1pt">
                                <v:textbox>
                                  <w:txbxContent>
                                    <w:p w14:paraId="7F33A03A" w14:textId="77777777" w:rsidR="00C8402C" w:rsidRPr="008B6679" w:rsidRDefault="00C8402C" w:rsidP="00892D3D">
                                      <w:pPr>
                                        <w:jc w:val="center"/>
                                        <w:rPr>
                                          <w:sz w:val="16"/>
                                          <w:szCs w:val="16"/>
                                        </w:rPr>
                                      </w:pPr>
                                      <w:r w:rsidRPr="008B6679">
                                        <w:rPr>
                                          <w:sz w:val="16"/>
                                          <w:szCs w:val="16"/>
                                        </w:rPr>
                                        <w:t xml:space="preserve">Interviews – </w:t>
                                      </w:r>
                                    </w:p>
                                    <w:p w14:paraId="7A96C13C" w14:textId="77777777" w:rsidR="00C8402C" w:rsidRPr="008B6679" w:rsidRDefault="00C8402C" w:rsidP="00892D3D">
                                      <w:pPr>
                                        <w:jc w:val="center"/>
                                        <w:rPr>
                                          <w:sz w:val="16"/>
                                          <w:szCs w:val="16"/>
                                        </w:rPr>
                                      </w:pPr>
                                      <w:r>
                                        <w:rPr>
                                          <w:sz w:val="16"/>
                                          <w:szCs w:val="16"/>
                                        </w:rPr>
                                        <w:t>8 participants</w:t>
                                      </w:r>
                                    </w:p>
                                  </w:txbxContent>
                                </v:textbox>
                              </v:shape>
                              <v:shape id="Straight Arrow Connector 325" o:spid="_x0000_s1502" type="#_x0000_t32" style="position:absolute;left:-6163;top:-675033;width:729098;height:80560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4bsnMQAAADcAAAADwAAAGRycy9kb3ducmV2LnhtbESPT2vCQBDF74V+h2WEXkQ3pio2ukop&#10;lPbaVMXjkJ1mg9nZkJ1q/PbdQqHHx/vz4212g2/VhfrYBDYwm2agiKtgG64N7D9fJytQUZAttoHJ&#10;wI0i7Lb3dxssbLjyB11KqVUa4VigASfSFVrHypHHOA0dcfK+Qu9RkuxrbXu8pnHf6jzLltpjw4ng&#10;sKMXR9W5/PaJS/t8XC7GT/PzGx5ORye3+UyMeRgNz2tQQoP8h//a79bAY76A3zPpCO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huycxAAAANwAAAAPAAAAAAAAAAAA&#10;AAAAAKECAABkcnMvZG93bnJldi54bWxQSwUGAAAAAAQABAD5AAAAkgMAAAAA&#10;" strokecolor="#5b9bd5 [3204]" strokeweight=".5pt">
                                <v:stroke endarrow="block" joinstyle="miter"/>
                              </v:shape>
                              <v:shape id="Straight Arrow Connector 326" o:spid="_x0000_s1503" type="#_x0000_t32" style="position:absolute;left:3317467;top:-685242;width:1077430;height:8035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Ry68QAAADcAAAADwAAAGRycy9kb3ducmV2LnhtbESPT2vCQBDF74V+h2WEXkQ3pio2ukop&#10;lPbaVMXjkJ1mg9nZkJ1q/PbdQqHHx/vz4212g2/VhfrYBDYwm2agiKtgG64N7D9fJytQUZAttoHJ&#10;wI0i7Lb3dxssbLjyB11KqVUa4VigASfSFVrHypHHOA0dcfK+Qu9RkuxrbXu8pnHf6jzLltpjw4ng&#10;sKMXR9W5/PaJS/t8XC7GT/PzGx5ORye3+UyMeRgNz2tQQoP8h//a79bAY76E3zPpCO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HLrxAAAANwAAAAPAAAAAAAAAAAA&#10;AAAAAKECAABkcnMvZG93bnJldi54bWxQSwUGAAAAAAQABAD5AAAAkgMAAAAA&#10;" strokecolor="#5b9bd5 [3204]" strokeweight=".5pt">
                                <v:stroke endarrow="block" joinstyle="miter"/>
                              </v:shape>
                              <v:shape id="Straight Arrow Connector 327" o:spid="_x0000_s1504" type="#_x0000_t32" style="position:absolute;left:4394897;top:-685243;width:750144;height:80357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QCH8cAAADcAAAADwAAAGRycy9kb3ducmV2LnhtbESPQWvCQBSE7wX/w/IKXopuqq1KdJU2&#10;UuhVK6i3R/aZTc2+TbNrTPvruwWhx2FmvmEWq85WoqXGl44VPA4TEMS50yUXCnYfb4MZCB+QNVaO&#10;ScE3eVgte3cLTLW78obabShEhLBPUYEJoU6l9Lkhi37oauLonVxjMUTZFFI3eI1wW8lRkkykxZLj&#10;gsGaMkP5eXuxCo6nZ92+ZusyN4dsvH94+vn6PKyV6t93L3MQgbrwH76137WC8Wg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RAIfxwAAANwAAAAPAAAAAAAA&#10;AAAAAAAAAKECAABkcnMvZG93bnJldi54bWxQSwUGAAAAAAQABAD5AAAAlQMAAAAA&#10;" strokecolor="#5b9bd5 [3204]" strokeweight=".5pt">
                                <v:stroke endarrow="block" joinstyle="miter"/>
                              </v:shape>
                              <v:shape id="Straight Arrow Connector 328" o:spid="_x0000_s1505" type="#_x0000_t32" style="position:absolute;left:722935;top:-685242;width:4422104;height:81580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uWbcMAAADcAAAADwAAAGRycy9kb3ducmV2LnhtbERPy2rCQBTdF/oPwy24kTrx0VJSR9GI&#10;4FYt1O4umWsmbeZOzIwx+vXOQujycN7TeWcr0VLjS8cKhoMEBHHudMmFgq/9+vUDhA/IGivHpOBK&#10;Huaz56cpptpdeEvtLhQihrBPUYEJoU6l9Lkhi37gauLIHV1jMUTYFFI3eInhtpKjJHmXFkuODQZr&#10;ygzlf7uzVfBzfNPtMluVuTlk4+/+5Hb6PayU6r10i08QgbrwL364N1rBeBT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blm3DAAAA3AAAAA8AAAAAAAAAAAAA&#10;AAAAoQIAAGRycy9kb3ducmV2LnhtbFBLBQYAAAAABAAEAPkAAACRAwAAAAA=&#10;" strokecolor="#5b9bd5 [3204]" strokeweight=".5pt">
                                <v:stroke endarrow="block" joinstyle="miter"/>
                              </v:shape>
                            </v:group>
                          </v:group>
                        </v:group>
                      </v:group>
                    </v:group>
                    <v:shape id="Straight Arrow Connector 329" o:spid="_x0000_s1506" type="#_x0000_t32" style="position:absolute;left:2238635;top:1952060;width:2476590;height:7932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vmmcQAAADcAAAADwAAAGRycy9kb3ducmV2LnhtbESPT2vCQBDF74V+h2UKvYhujFZq6iql&#10;UOy1qRWPQ3aaDWZnQ3aq8dt3BaHHx/vz4602g2/VifrYBDYwnWSgiKtgG64N7L7ex8+goiBbbAOT&#10;gQtF2Kzv71ZY2HDmTzqVUqs0wrFAA06kK7SOlSOPcRI64uT9hN6jJNnX2vZ4TuO+1XmWLbTHhhPB&#10;YUdvjqpj+esTl3b5qHwaLefHLX4f9k4u86kY8/gwvL6AEhrkP3xrf1gDs3wJ1zPpCO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y+aZxAAAANwAAAAPAAAAAAAAAAAA&#10;AAAAAKECAABkcnMvZG93bnJldi54bWxQSwUGAAAAAAQABAD5AAAAkgMAAAAA&#10;" strokecolor="#5b9bd5 [3204]" strokeweight=".5pt">
                      <v:stroke endarrow="block" joinstyle="miter"/>
                    </v:shape>
                  </v:group>
                  <v:shape id="Text Box 330" o:spid="_x0000_s1507" type="#_x0000_t202" style="position:absolute;left:2182610;top:2854999;width:1541780;height:6073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zygwgAA&#10;ANwAAAAPAAAAZHJzL2Rvd25yZXYueG1sRE9NawIxEL0X+h/CFHqrWavUshpFS0WLJ9fqediMu8HN&#10;ZE2irv/eHAo9Pt73ZNbZRlzJB+NYQb+XgSAunTZcKfjdLd8+QYSIrLFxTAruFGA2fX6aYK7djbd0&#10;LWIlUgiHHBXUMba5lKGsyWLouZY4cUfnLcYEfSW1x1sKt418z7IPadFwaqixpa+aylNxsQrOe78b&#10;9s33Ydn8FOY8Om0WKxwp9frSzccgInXxX/znXmsFg0Gan86kIyC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HPKDCAAAA3AAAAA8AAAAAAAAAAAAAAAAAlwIAAGRycy9kb3du&#10;cmV2LnhtbFBLBQYAAAAABAAEAPUAAACGAwAAAAA=&#10;" fillcolor="white [3201]" strokeweight=".5pt">
                    <v:textbox>
                      <w:txbxContent>
                        <w:p w14:paraId="411FE62E" w14:textId="77777777" w:rsidR="00C8402C" w:rsidRPr="00096D37" w:rsidRDefault="00C8402C" w:rsidP="00892D3D">
                          <w:pPr>
                            <w:jc w:val="center"/>
                            <w:rPr>
                              <w:sz w:val="20"/>
                            </w:rPr>
                          </w:pPr>
                          <w:r w:rsidRPr="00096D37">
                            <w:rPr>
                              <w:sz w:val="20"/>
                            </w:rPr>
                            <w:t>Randomly allocated into focus groups and interviews</w:t>
                          </w:r>
                        </w:p>
                      </w:txbxContent>
                    </v:textbox>
                  </v:shape>
                </v:group>
                <w10:wrap type="square"/>
              </v:group>
            </w:pict>
          </mc:Fallback>
        </mc:AlternateContent>
      </w:r>
      <w:r w:rsidR="00C20F57" w:rsidRPr="003726FE">
        <w:rPr>
          <w:lang w:val="en-GB"/>
        </w:rPr>
        <w:t xml:space="preserve">Appendix </w:t>
      </w:r>
      <w:bookmarkStart w:id="1006" w:name="_Toc429988516"/>
      <w:r w:rsidR="009F0E25" w:rsidRPr="003726FE">
        <w:rPr>
          <w:lang w:val="en-GB"/>
        </w:rPr>
        <w:t>20</w:t>
      </w:r>
      <w:r w:rsidR="00C20F57" w:rsidRPr="003726FE">
        <w:rPr>
          <w:lang w:val="en-GB"/>
        </w:rPr>
        <w:t xml:space="preserve">. </w:t>
      </w:r>
      <w:r w:rsidR="00892D3D" w:rsidRPr="003726FE">
        <w:rPr>
          <w:lang w:val="en-GB"/>
        </w:rPr>
        <w:t xml:space="preserve">Stratified </w:t>
      </w:r>
      <w:r w:rsidR="00912749">
        <w:rPr>
          <w:lang w:val="en-GB"/>
        </w:rPr>
        <w:t>Sampling Frame f</w:t>
      </w:r>
      <w:r w:rsidR="00912749" w:rsidRPr="003726FE">
        <w:rPr>
          <w:lang w:val="en-GB"/>
        </w:rPr>
        <w:t xml:space="preserve">or </w:t>
      </w:r>
      <w:bookmarkEnd w:id="1006"/>
      <w:r w:rsidR="00912749">
        <w:rPr>
          <w:lang w:val="en-GB"/>
        </w:rPr>
        <w:t>Focus Groups a</w:t>
      </w:r>
      <w:r w:rsidR="00912749" w:rsidRPr="003726FE">
        <w:rPr>
          <w:lang w:val="en-GB"/>
        </w:rPr>
        <w:t>nd Interviews</w:t>
      </w:r>
      <w:r w:rsidR="00C20F57" w:rsidRPr="003726FE">
        <w:rPr>
          <w:lang w:val="en-GB"/>
        </w:rPr>
        <w:t>.</w:t>
      </w:r>
      <w:bookmarkEnd w:id="1005"/>
    </w:p>
    <w:p w14:paraId="52BBE773" w14:textId="77777777" w:rsidR="00C20F57" w:rsidRPr="003726FE" w:rsidRDefault="00C20F57" w:rsidP="00C20F57">
      <w:pPr>
        <w:pStyle w:val="Normal1"/>
        <w:rPr>
          <w:lang w:val="en-GB"/>
        </w:rPr>
        <w:sectPr w:rsidR="00C20F57" w:rsidRPr="003726FE" w:rsidSect="007C73DC">
          <w:pgSz w:w="16838" w:h="11906" w:orient="landscape"/>
          <w:pgMar w:top="1134" w:right="1134" w:bottom="1134" w:left="2268" w:header="708" w:footer="708" w:gutter="0"/>
          <w:cols w:space="708"/>
          <w:docGrid w:linePitch="360"/>
        </w:sectPr>
      </w:pPr>
    </w:p>
    <w:p w14:paraId="17FEFF85" w14:textId="788F41B4" w:rsidR="00A13542" w:rsidRPr="003726FE" w:rsidRDefault="006B367E" w:rsidP="00B1638D">
      <w:pPr>
        <w:pStyle w:val="Heading2"/>
        <w:rPr>
          <w:lang w:val="en-GB"/>
        </w:rPr>
      </w:pPr>
      <w:bookmarkStart w:id="1007" w:name="_Toc500319492"/>
      <w:r w:rsidRPr="003726FE">
        <w:rPr>
          <w:lang w:val="en-GB"/>
        </w:rPr>
        <w:lastRenderedPageBreak/>
        <w:t xml:space="preserve">Appendix </w:t>
      </w:r>
      <w:r w:rsidR="00621155" w:rsidRPr="003726FE">
        <w:rPr>
          <w:lang w:val="en-GB"/>
        </w:rPr>
        <w:t>2</w:t>
      </w:r>
      <w:r w:rsidR="009F0E25" w:rsidRPr="003726FE">
        <w:rPr>
          <w:lang w:val="en-GB"/>
        </w:rPr>
        <w:t>1</w:t>
      </w:r>
      <w:r w:rsidRPr="003726FE">
        <w:rPr>
          <w:lang w:val="en-GB"/>
        </w:rPr>
        <w:t xml:space="preserve">. </w:t>
      </w:r>
      <w:r w:rsidR="009C6829" w:rsidRPr="003726FE">
        <w:rPr>
          <w:lang w:val="en-GB"/>
        </w:rPr>
        <w:t xml:space="preserve">Topic </w:t>
      </w:r>
      <w:r w:rsidR="00912749" w:rsidRPr="003726FE">
        <w:rPr>
          <w:lang w:val="en-GB"/>
        </w:rPr>
        <w:t xml:space="preserve">Guide – </w:t>
      </w:r>
      <w:r w:rsidR="000F5B89" w:rsidRPr="003726FE">
        <w:rPr>
          <w:lang w:val="en-GB"/>
        </w:rPr>
        <w:t xml:space="preserve">Focus </w:t>
      </w:r>
      <w:r w:rsidR="00912749" w:rsidRPr="003726FE">
        <w:rPr>
          <w:lang w:val="en-GB"/>
        </w:rPr>
        <w:t>Groups</w:t>
      </w:r>
      <w:r w:rsidR="00B60A53" w:rsidRPr="003726FE">
        <w:rPr>
          <w:lang w:val="en-GB"/>
        </w:rPr>
        <w:t>.</w:t>
      </w:r>
      <w:bookmarkEnd w:id="1007"/>
    </w:p>
    <w:p w14:paraId="5663EE74" w14:textId="77777777" w:rsidR="000F5B89" w:rsidRPr="003726FE" w:rsidRDefault="000F5B89" w:rsidP="000F5B89">
      <w:pPr>
        <w:spacing w:after="0" w:line="240" w:lineRule="auto"/>
        <w:jc w:val="center"/>
        <w:rPr>
          <w:rFonts w:ascii="Cambria" w:eastAsia="Cambria" w:hAnsi="Cambria" w:cs="Times New Roman"/>
          <w:b/>
          <w:bCs/>
          <w:lang w:eastAsia="ja-JP"/>
        </w:rPr>
      </w:pPr>
    </w:p>
    <w:p w14:paraId="1F7BA82E" w14:textId="77777777" w:rsidR="000F5B89" w:rsidRPr="003726FE" w:rsidRDefault="000F5B89" w:rsidP="000F5B89">
      <w:pPr>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t>Focus Group Guide – Students</w:t>
      </w:r>
    </w:p>
    <w:p w14:paraId="65EF9D6A"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ab/>
      </w:r>
    </w:p>
    <w:p w14:paraId="3476C7E5"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Purpose:</w:t>
      </w:r>
    </w:p>
    <w:p w14:paraId="4BDF749B"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56894509"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To explore how the different methods of giving feedback during clinical skills teaching has impacted upon students’ learning strategies in the clinical learning environment.</w:t>
      </w:r>
    </w:p>
    <w:p w14:paraId="6B2A453B"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4FAED5E7"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Objectives:</w:t>
      </w:r>
    </w:p>
    <w:p w14:paraId="0150E74C"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17C60310" w14:textId="77777777"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understand how students received, understood, and used the feedback they received in clinical skills training on their clinical attachments.</w:t>
      </w:r>
    </w:p>
    <w:p w14:paraId="227035FC" w14:textId="77777777" w:rsidR="000F5B89" w:rsidRPr="003726FE" w:rsidRDefault="000F5B89" w:rsidP="000F5B8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discover how their learning strategies have been impacted upon by the different ways of giving feedback in clinical skills training.</w:t>
      </w:r>
    </w:p>
    <w:p w14:paraId="45D3DA3A"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6B67C4D0"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Research questions:</w:t>
      </w:r>
    </w:p>
    <w:p w14:paraId="06F64AB7"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319CF85E"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How have the different ways of giving feedback affected learning strategies in students on CA?</w:t>
      </w:r>
    </w:p>
    <w:p w14:paraId="6DF0F63A" w14:textId="209A11B2"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How have the different ways of giving feedback impacted upon feedback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s and behaviours?</w:t>
      </w:r>
    </w:p>
    <w:p w14:paraId="5023053B" w14:textId="77777777" w:rsidR="000F5B89" w:rsidRPr="003726FE" w:rsidRDefault="000F5B89" w:rsidP="000F5B8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How and for whom do the different ways of giving feedback affect learning strategies in clinical learning?</w:t>
      </w:r>
    </w:p>
    <w:p w14:paraId="6A8C9381" w14:textId="77777777" w:rsidR="000F5B89" w:rsidRPr="003726FE" w:rsidRDefault="000F5B89" w:rsidP="000F5B89">
      <w:pPr>
        <w:rPr>
          <w:rFonts w:ascii="Cambria" w:eastAsia="Cambria" w:hAnsi="Cambria" w:cs="Times New Roman"/>
          <w:b/>
          <w:bCs/>
          <w:sz w:val="22"/>
          <w:lang w:eastAsia="ja-JP"/>
        </w:rPr>
      </w:pPr>
      <w:r w:rsidRPr="003726FE">
        <w:rPr>
          <w:rFonts w:ascii="Cambria" w:eastAsia="Cambria" w:hAnsi="Cambria" w:cs="Times New Roman"/>
          <w:b/>
          <w:bCs/>
          <w:sz w:val="22"/>
          <w:lang w:eastAsia="ja-JP"/>
        </w:rPr>
        <w:t>Methodology:</w:t>
      </w:r>
    </w:p>
    <w:p w14:paraId="2E03AB5C" w14:textId="77777777" w:rsidR="000F5B89" w:rsidRPr="003726FE" w:rsidRDefault="000F5B89" w:rsidP="000F5B89">
      <w:pPr>
        <w:rPr>
          <w:rFonts w:ascii="Cambria" w:eastAsia="Cambria" w:hAnsi="Cambria" w:cs="Times New Roman"/>
          <w:bCs/>
          <w:sz w:val="22"/>
          <w:lang w:eastAsia="ja-JP"/>
        </w:rPr>
      </w:pPr>
    </w:p>
    <w:p w14:paraId="4EF4859A" w14:textId="2F857427" w:rsidR="000F5B89" w:rsidRPr="003726FE" w:rsidRDefault="000F5B89" w:rsidP="000F5B89">
      <w:pPr>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Critical realism – who does this work for and why? How does it work? Differences between people? What is the nature of the phenomenon? How do social and institutional norms/cultures/contexts affect how feedback is understood and used in the short and </w:t>
      </w:r>
      <w:r w:rsidR="00826050">
        <w:rPr>
          <w:rFonts w:ascii="Cambria" w:eastAsia="Cambria" w:hAnsi="Cambria" w:cs="Times New Roman"/>
          <w:bCs/>
          <w:sz w:val="22"/>
          <w:lang w:eastAsia="ja-JP"/>
        </w:rPr>
        <w:t>longer-term</w:t>
      </w:r>
      <w:r w:rsidRPr="003726FE">
        <w:rPr>
          <w:rFonts w:ascii="Cambria" w:eastAsia="Cambria" w:hAnsi="Cambria" w:cs="Times New Roman"/>
          <w:bCs/>
          <w:sz w:val="22"/>
          <w:lang w:eastAsia="ja-JP"/>
        </w:rPr>
        <w:t>? What are the affordances which impact these perceptions and interpretations?</w:t>
      </w:r>
    </w:p>
    <w:p w14:paraId="15B652B8" w14:textId="77777777" w:rsidR="000F5B89" w:rsidRPr="003726FE" w:rsidRDefault="000F5B89" w:rsidP="000F5B89">
      <w:pPr>
        <w:rPr>
          <w:rFonts w:ascii="Cambria" w:eastAsia="Cambria" w:hAnsi="Cambria" w:cs="Times New Roman"/>
          <w:bCs/>
          <w:sz w:val="22"/>
          <w:lang w:eastAsia="ja-JP"/>
        </w:rPr>
      </w:pPr>
    </w:p>
    <w:p w14:paraId="0E90144B"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The Participants:</w:t>
      </w:r>
    </w:p>
    <w:p w14:paraId="4867449B"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3CBFD376"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These students have participated in both questionnaire iterations and received either type of feedback during the intervention phase. They are largely homogenous in that they are at the same learning stage, similar clinical experience, and age. They will be on their first clinical attachments so will be learning at similar rates as others in their year group. They have almost two years’ experience of medical school learning. </w:t>
      </w:r>
    </w:p>
    <w:p w14:paraId="262037F3"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3D0F3633"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Their thoughts must be structured in terms of recalling clinical skills teaching and feedback as well as other learning experiences where they have used the feedback, including on placement.</w:t>
      </w:r>
    </w:p>
    <w:p w14:paraId="0B9F22F7"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730D0870" w14:textId="1E2D58CE"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They will likely be motivated to speak about their thoughts and feelings about their experiences on attachment if they have particularly strong opinions. They agreed to participate in the study so it can be assumed they have some interest in expressing their views. It is important to set expectations which outline that the session is not about providing feedback on how placements work, </w:t>
      </w:r>
      <w:r w:rsidR="00BA4521" w:rsidRPr="003726FE">
        <w:rPr>
          <w:rFonts w:ascii="Cambria" w:eastAsia="Cambria" w:hAnsi="Cambria" w:cs="Times New Roman"/>
          <w:bCs/>
          <w:sz w:val="22"/>
          <w:lang w:eastAsia="ja-JP"/>
        </w:rPr>
        <w:t>it’s</w:t>
      </w:r>
      <w:r w:rsidRPr="003726FE">
        <w:rPr>
          <w:rFonts w:ascii="Cambria" w:eastAsia="Cambria" w:hAnsi="Cambria" w:cs="Times New Roman"/>
          <w:bCs/>
          <w:sz w:val="22"/>
          <w:lang w:eastAsia="ja-JP"/>
        </w:rPr>
        <w:t xml:space="preserve"> how they work on placement.</w:t>
      </w:r>
    </w:p>
    <w:p w14:paraId="56099F0E"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5257766B" w14:textId="52BFCCE1"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lastRenderedPageBreak/>
        <w:t>I have observed them at all stages very closely and have had some contact during the delivery of the intervention. They may be nervous as to how I might conduct the interview e.g. a run-down of what I saw them do almost like a performance review. The relationship we develop will likely be quite business like given the short time I have spent with them and the relatively low credibility I have to them in terms of my role in the school. I must be purposeful in my approach to lessen this and tap into the group consensus.</w:t>
      </w:r>
    </w:p>
    <w:p w14:paraId="0066C2D0" w14:textId="77777777" w:rsidR="000F5B89" w:rsidRPr="003726FE" w:rsidRDefault="000F5B89" w:rsidP="000F5B89">
      <w:pPr>
        <w:spacing w:after="0" w:line="240" w:lineRule="auto"/>
        <w:rPr>
          <w:rFonts w:ascii="Cambria" w:eastAsia="Cambria" w:hAnsi="Cambria" w:cs="Times New Roman"/>
          <w:bCs/>
          <w:sz w:val="22"/>
          <w:lang w:eastAsia="ja-JP"/>
        </w:rPr>
      </w:pPr>
    </w:p>
    <w:p w14:paraId="014C542C" w14:textId="77777777" w:rsidR="000F5B89" w:rsidRPr="003726FE" w:rsidRDefault="000F5B89" w:rsidP="000F5B89">
      <w:pPr>
        <w:tabs>
          <w:tab w:val="left" w:pos="3260"/>
        </w:tabs>
        <w:spacing w:after="0" w:line="240" w:lineRule="auto"/>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t>Topics</w:t>
      </w:r>
    </w:p>
    <w:p w14:paraId="6845CEB6"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59180334"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r w:rsidRPr="003726FE">
        <w:rPr>
          <w:rFonts w:ascii="Cambria" w:eastAsia="Calibri" w:hAnsi="Cambria" w:cs="Arial"/>
          <w:b/>
          <w:color w:val="000000"/>
          <w:sz w:val="22"/>
        </w:rPr>
        <w:t>Acceptability, perceived ease of use and usefulness</w:t>
      </w:r>
      <w:r w:rsidRPr="003726FE">
        <w:rPr>
          <w:rFonts w:ascii="Cambria" w:eastAsia="Cambria" w:hAnsi="Cambria" w:cs="Times New Roman"/>
          <w:b/>
          <w:bCs/>
          <w:sz w:val="22"/>
          <w:lang w:eastAsia="ja-JP"/>
        </w:rPr>
        <w:t xml:space="preserve"> of the intervention: how the participant viewed their experience of the intervention in terms of these variables. </w:t>
      </w:r>
    </w:p>
    <w:p w14:paraId="093FD44F"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70C09C2F" w14:textId="6E158EC7" w:rsidR="000F5B89" w:rsidRPr="003726FE" w:rsidRDefault="008E7D00" w:rsidP="000F5B89">
      <w:pPr>
        <w:tabs>
          <w:tab w:val="left" w:pos="3260"/>
        </w:tabs>
        <w:spacing w:after="0" w:line="240" w:lineRule="auto"/>
        <w:rPr>
          <w:rFonts w:ascii="Cambria" w:eastAsia="Cambria" w:hAnsi="Cambria" w:cs="Times New Roman"/>
          <w:bCs/>
          <w:sz w:val="22"/>
          <w:lang w:eastAsia="ja-JP"/>
        </w:rPr>
      </w:pPr>
      <w:r>
        <w:rPr>
          <w:rFonts w:ascii="Cambria" w:eastAsia="Cambria" w:hAnsi="Cambria" w:cs="Times New Roman"/>
          <w:b/>
          <w:bCs/>
          <w:sz w:val="22"/>
          <w:lang w:eastAsia="ja-JP"/>
        </w:rPr>
        <w:t>Conceptualisation</w:t>
      </w:r>
      <w:r w:rsidR="000F5B89" w:rsidRPr="003726FE">
        <w:rPr>
          <w:rFonts w:ascii="Cambria" w:eastAsia="Cambria" w:hAnsi="Cambria" w:cs="Times New Roman"/>
          <w:b/>
          <w:bCs/>
          <w:sz w:val="22"/>
          <w:lang w:eastAsia="ja-JP"/>
        </w:rPr>
        <w:t>s of Feedback in medical education: attachments and clinical skills specifically –</w:t>
      </w:r>
      <w:r w:rsidR="000F5B89" w:rsidRPr="003726FE">
        <w:rPr>
          <w:rFonts w:ascii="Cambria" w:eastAsia="Cambria" w:hAnsi="Cambria" w:cs="Times New Roman"/>
          <w:bCs/>
          <w:sz w:val="22"/>
          <w:lang w:eastAsia="ja-JP"/>
        </w:rPr>
        <w:t xml:space="preserve"> This aims to tap into their perceptions of what feedback is. Much like the line of questioning for clinical skills tutors. Their </w:t>
      </w:r>
      <w:r>
        <w:rPr>
          <w:rFonts w:ascii="Cambria" w:eastAsia="Cambria" w:hAnsi="Cambria" w:cs="Times New Roman"/>
          <w:bCs/>
          <w:sz w:val="22"/>
          <w:lang w:eastAsia="ja-JP"/>
        </w:rPr>
        <w:t>conceptualisation</w:t>
      </w:r>
      <w:r w:rsidR="000F5B89" w:rsidRPr="003726FE">
        <w:rPr>
          <w:rFonts w:ascii="Cambria" w:eastAsia="Cambria" w:hAnsi="Cambria" w:cs="Times New Roman"/>
          <w:bCs/>
          <w:sz w:val="22"/>
          <w:lang w:eastAsia="ja-JP"/>
        </w:rPr>
        <w:t xml:space="preserve">s of feedback and how they may have changed as a result of the study. </w:t>
      </w:r>
    </w:p>
    <w:p w14:paraId="2834ADD6"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p>
    <w:p w14:paraId="07FDC0D7"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Learning strategies in clinical skills</w:t>
      </w:r>
      <w:r w:rsidRPr="003726FE">
        <w:rPr>
          <w:rFonts w:ascii="Cambria" w:eastAsia="Cambria" w:hAnsi="Cambria" w:cs="Times New Roman"/>
          <w:bCs/>
          <w:sz w:val="22"/>
          <w:lang w:eastAsia="ja-JP"/>
        </w:rPr>
        <w:t xml:space="preserve"> – this is about how they approach tasks, skills, competencies, and behaviours in clinical environments. This can relate to any activity inside and outside the clinical environment as long as it is focused on clinical learning. These could be preparatory or reflective as well as what happens during clinical time. I will also aim to find out what affects these strategies. </w:t>
      </w:r>
    </w:p>
    <w:p w14:paraId="2CDBA045" w14:textId="77777777" w:rsidR="000F5B89" w:rsidRPr="003726FE" w:rsidRDefault="000F5B89" w:rsidP="000F5B89">
      <w:pPr>
        <w:tabs>
          <w:tab w:val="left" w:pos="3260"/>
        </w:tabs>
        <w:spacing w:after="0" w:line="240" w:lineRule="auto"/>
        <w:rPr>
          <w:rFonts w:ascii="Cambria" w:eastAsia="Cambria" w:hAnsi="Cambria" w:cs="Times New Roman"/>
          <w:b/>
          <w:bCs/>
          <w:i/>
          <w:sz w:val="22"/>
          <w:lang w:eastAsia="ja-JP"/>
        </w:rPr>
      </w:pPr>
    </w:p>
    <w:p w14:paraId="00A03855" w14:textId="308F78CA" w:rsidR="000F5B89" w:rsidRPr="003726FE" w:rsidRDefault="000F5B89" w:rsidP="000F5B89">
      <w:pPr>
        <w:tabs>
          <w:tab w:val="left" w:pos="3260"/>
        </w:tabs>
        <w:spacing w:after="0" w:line="240" w:lineRule="auto"/>
        <w:rPr>
          <w:rFonts w:ascii="Cambria" w:eastAsia="Cambria" w:hAnsi="Cambria" w:cs="Times New Roman"/>
          <w:b/>
          <w:bCs/>
          <w:i/>
          <w:sz w:val="22"/>
          <w:lang w:eastAsia="ja-JP"/>
        </w:rPr>
      </w:pPr>
      <w:r w:rsidRPr="003726FE">
        <w:rPr>
          <w:rFonts w:ascii="Cambria" w:eastAsia="Cambria" w:hAnsi="Cambria" w:cs="Times New Roman"/>
          <w:b/>
          <w:bCs/>
          <w:i/>
          <w:sz w:val="22"/>
          <w:lang w:eastAsia="ja-JP"/>
        </w:rPr>
        <w:t>(</w:t>
      </w:r>
      <w:r w:rsidR="00293554" w:rsidRPr="003726FE">
        <w:rPr>
          <w:rFonts w:ascii="Cambria" w:eastAsia="Cambria" w:hAnsi="Cambria" w:cs="Times New Roman"/>
          <w:b/>
          <w:bCs/>
          <w:i/>
          <w:sz w:val="22"/>
          <w:lang w:eastAsia="ja-JP"/>
        </w:rPr>
        <w:t>Runs</w:t>
      </w:r>
      <w:r w:rsidRPr="003726FE">
        <w:rPr>
          <w:rFonts w:ascii="Cambria" w:eastAsia="Cambria" w:hAnsi="Cambria" w:cs="Times New Roman"/>
          <w:b/>
          <w:bCs/>
          <w:i/>
          <w:sz w:val="22"/>
          <w:lang w:eastAsia="ja-JP"/>
        </w:rPr>
        <w:t xml:space="preserve"> heavily into the next theme)</w:t>
      </w:r>
    </w:p>
    <w:p w14:paraId="1D9DD060" w14:textId="77777777" w:rsidR="000F5B89" w:rsidRPr="003726FE" w:rsidRDefault="000F5B89" w:rsidP="000F5B89">
      <w:pPr>
        <w:tabs>
          <w:tab w:val="left" w:pos="3260"/>
        </w:tabs>
        <w:spacing w:after="0" w:line="240" w:lineRule="auto"/>
        <w:rPr>
          <w:rFonts w:ascii="Cambria" w:eastAsia="Cambria" w:hAnsi="Cambria" w:cs="Times New Roman"/>
          <w:b/>
          <w:bCs/>
          <w:sz w:val="22"/>
          <w:lang w:eastAsia="ja-JP"/>
        </w:rPr>
      </w:pPr>
    </w:p>
    <w:p w14:paraId="4A4FAEE5" w14:textId="77777777" w:rsidR="000F5B89" w:rsidRPr="003726FE" w:rsidRDefault="000F5B89" w:rsidP="000F5B8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 xml:space="preserve">Interplay between feedback and learning strategies on clinical attachment – </w:t>
      </w:r>
      <w:r w:rsidRPr="003726FE">
        <w:rPr>
          <w:rFonts w:ascii="Cambria" w:eastAsia="Cambria" w:hAnsi="Cambria" w:cs="Times New Roman"/>
          <w:bCs/>
          <w:sz w:val="22"/>
          <w:lang w:eastAsia="ja-JP"/>
        </w:rPr>
        <w:t xml:space="preserve">this topic aims to understand how clinical skills training and preparation has affected their current and future learning strategies, with a focus on the way feedback was given. </w:t>
      </w:r>
    </w:p>
    <w:p w14:paraId="6F1290E7" w14:textId="77777777" w:rsidR="000F5B89" w:rsidRPr="003726FE" w:rsidRDefault="000F5B89" w:rsidP="000F5B89">
      <w:pPr>
        <w:spacing w:after="0" w:line="240" w:lineRule="auto"/>
        <w:rPr>
          <w:rFonts w:ascii="Cambria" w:eastAsia="Cambria" w:hAnsi="Cambria" w:cs="Times New Roman"/>
          <w:b/>
          <w:bCs/>
          <w:sz w:val="22"/>
          <w:lang w:eastAsia="ja-JP"/>
        </w:rPr>
      </w:pPr>
    </w:p>
    <w:p w14:paraId="364DDE3D" w14:textId="77777777" w:rsidR="000F5B89" w:rsidRPr="003726FE" w:rsidRDefault="000F5B89" w:rsidP="000F5B89">
      <w:pPr>
        <w:spacing w:after="0" w:line="360" w:lineRule="auto"/>
        <w:rPr>
          <w:rFonts w:ascii="Cambria" w:eastAsia="Cambria" w:hAnsi="Cambria" w:cs="Times New Roman"/>
          <w:b/>
          <w:bCs/>
          <w:sz w:val="22"/>
          <w:szCs w:val="24"/>
          <w:lang w:eastAsia="ja-JP"/>
        </w:rPr>
      </w:pPr>
      <w:r w:rsidRPr="003726FE">
        <w:rPr>
          <w:rFonts w:ascii="Cambria" w:eastAsia="Cambria" w:hAnsi="Cambria" w:cs="Times New Roman"/>
          <w:b/>
          <w:bCs/>
          <w:sz w:val="22"/>
          <w:szCs w:val="24"/>
          <w:lang w:eastAsia="ja-JP"/>
        </w:rPr>
        <w:t>Facilitator guidance notes:</w:t>
      </w:r>
    </w:p>
    <w:p w14:paraId="6453886C" w14:textId="77777777" w:rsidR="000F5B89" w:rsidRPr="003726FE" w:rsidRDefault="000F5B89" w:rsidP="000F5B89">
      <w:pPr>
        <w:spacing w:after="0" w:line="360" w:lineRule="auto"/>
        <w:rPr>
          <w:rFonts w:ascii="Cambria" w:eastAsia="Cambria" w:hAnsi="Cambria" w:cs="Times New Roman"/>
          <w:b/>
          <w:bCs/>
          <w:sz w:val="22"/>
          <w:szCs w:val="24"/>
          <w:lang w:eastAsia="ja-JP"/>
        </w:rPr>
      </w:pPr>
    </w:p>
    <w:p w14:paraId="73A59543"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hypothetical examples or vignettes.</w:t>
      </w:r>
    </w:p>
    <w:p w14:paraId="325C191C"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specific things they have done.</w:t>
      </w:r>
    </w:p>
    <w:p w14:paraId="123C250F"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Use stimulated recall.</w:t>
      </w:r>
    </w:p>
    <w:p w14:paraId="28667AC8"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for elaboration.</w:t>
      </w:r>
    </w:p>
    <w:p w14:paraId="7E810552"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opposing ideas.</w:t>
      </w:r>
    </w:p>
    <w:p w14:paraId="36B6239C" w14:textId="77777777" w:rsidR="000F5B89" w:rsidRPr="003726FE" w:rsidRDefault="000F5B89" w:rsidP="000F5B89">
      <w:pPr>
        <w:numPr>
          <w:ilvl w:val="0"/>
          <w:numId w:val="40"/>
        </w:numPr>
        <w:spacing w:after="0" w:line="360" w:lineRule="auto"/>
        <w:contextualSpacing/>
        <w:rPr>
          <w:rFonts w:ascii="Cambria" w:eastAsia="Cambria" w:hAnsi="Cambria" w:cs="Times New Roman"/>
          <w:b/>
          <w:bCs/>
          <w:sz w:val="28"/>
          <w:szCs w:val="24"/>
          <w:lang w:eastAsia="ja-JP"/>
        </w:rPr>
      </w:pPr>
      <w:r w:rsidRPr="003726FE">
        <w:rPr>
          <w:rFonts w:ascii="Cambria" w:eastAsia="Cambria" w:hAnsi="Cambria" w:cs="Times New Roman"/>
          <w:b/>
          <w:bCs/>
          <w:sz w:val="28"/>
          <w:szCs w:val="24"/>
          <w:lang w:eastAsia="ja-JP"/>
        </w:rPr>
        <w:t>*Ask if their rationale is all-encompassing.* contextually universal?</w:t>
      </w:r>
    </w:p>
    <w:p w14:paraId="0480E53A"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other influencing conditions.</w:t>
      </w:r>
    </w:p>
    <w:p w14:paraId="5FE69578" w14:textId="77777777" w:rsidR="000F5B89" w:rsidRPr="003726FE" w:rsidRDefault="000F5B89" w:rsidP="000F5B8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probing and follow-up questions.</w:t>
      </w:r>
    </w:p>
    <w:p w14:paraId="3F75E9E8" w14:textId="77777777" w:rsidR="000F5B89" w:rsidRPr="003726FE" w:rsidRDefault="000F5B89" w:rsidP="000F5B89">
      <w:pPr>
        <w:spacing w:after="0" w:line="240" w:lineRule="auto"/>
        <w:rPr>
          <w:rFonts w:ascii="Cambria" w:eastAsia="Cambria" w:hAnsi="Cambria" w:cs="Times New Roman"/>
          <w:b/>
          <w:bCs/>
          <w:sz w:val="22"/>
          <w:szCs w:val="24"/>
          <w:lang w:eastAsia="ja-JP"/>
        </w:rPr>
      </w:pPr>
    </w:p>
    <w:p w14:paraId="299B3722" w14:textId="77777777" w:rsidR="000F5B89" w:rsidRPr="003726FE" w:rsidRDefault="000F5B89" w:rsidP="000F5B89">
      <w:pPr>
        <w:spacing w:after="0" w:line="240" w:lineRule="auto"/>
        <w:rPr>
          <w:rFonts w:ascii="Cambria" w:eastAsia="Cambria" w:hAnsi="Cambria" w:cs="Times New Roman"/>
          <w:b/>
          <w:bCs/>
          <w:sz w:val="22"/>
          <w:szCs w:val="24"/>
          <w:lang w:eastAsia="ja-JP"/>
        </w:rPr>
      </w:pPr>
      <w:r w:rsidRPr="003726FE">
        <w:rPr>
          <w:rFonts w:ascii="Cambria" w:eastAsia="Cambria" w:hAnsi="Cambria" w:cs="Times New Roman"/>
          <w:b/>
          <w:bCs/>
          <w:sz w:val="22"/>
          <w:szCs w:val="24"/>
          <w:lang w:eastAsia="ja-JP"/>
        </w:rPr>
        <w:t>Data collection methods</w:t>
      </w:r>
    </w:p>
    <w:p w14:paraId="429EE2A0" w14:textId="77777777" w:rsidR="000F5B89" w:rsidRPr="003726FE" w:rsidRDefault="000F5B89" w:rsidP="000F5B89">
      <w:pPr>
        <w:spacing w:after="0" w:line="240" w:lineRule="auto"/>
        <w:rPr>
          <w:rFonts w:ascii="Cambria" w:eastAsia="Cambria" w:hAnsi="Cambria" w:cs="Times New Roman"/>
          <w:b/>
          <w:bCs/>
          <w:sz w:val="22"/>
          <w:szCs w:val="24"/>
          <w:lang w:eastAsia="ja-JP"/>
        </w:rPr>
      </w:pPr>
    </w:p>
    <w:p w14:paraId="6468F4B5" w14:textId="77777777" w:rsidR="000F5B89" w:rsidRPr="003726FE" w:rsidRDefault="000F5B89" w:rsidP="000F5B8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Audio recorder x 2 (Dictaphone)</w:t>
      </w:r>
    </w:p>
    <w:p w14:paraId="2980A2C4" w14:textId="77777777" w:rsidR="000F5B89" w:rsidRPr="003726FE" w:rsidRDefault="000F5B89" w:rsidP="000F5B8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Note taking - observations</w:t>
      </w:r>
    </w:p>
    <w:p w14:paraId="73CE93AE" w14:textId="16A7D136" w:rsidR="000F5B89" w:rsidRPr="003726FE" w:rsidRDefault="000F5B89" w:rsidP="000F5B8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Duration: 1 hour</w:t>
      </w:r>
    </w:p>
    <w:p w14:paraId="264EBCB4" w14:textId="77777777" w:rsidR="000F5B89" w:rsidRPr="003726FE" w:rsidRDefault="000F5B89">
      <w:pPr>
        <w:rPr>
          <w:rFonts w:ascii="Cambria" w:eastAsia="Cambria" w:hAnsi="Cambria" w:cs="Times New Roman"/>
          <w:b/>
          <w:bCs/>
          <w:sz w:val="22"/>
          <w:lang w:eastAsia="ja-JP"/>
        </w:rPr>
      </w:pPr>
      <w:r w:rsidRPr="003726FE">
        <w:rPr>
          <w:rFonts w:ascii="Cambria" w:eastAsia="Cambria" w:hAnsi="Cambria" w:cs="Times New Roman"/>
          <w:b/>
          <w:bCs/>
          <w:sz w:val="22"/>
          <w:lang w:eastAsia="ja-JP"/>
        </w:rPr>
        <w:br w:type="page"/>
      </w:r>
    </w:p>
    <w:p w14:paraId="62042463" w14:textId="3F11BB64" w:rsidR="000F5B89" w:rsidRPr="003726FE" w:rsidRDefault="000F5B89" w:rsidP="000F5B89">
      <w:pPr>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lastRenderedPageBreak/>
        <w:t xml:space="preserve">Introduction: </w:t>
      </w:r>
    </w:p>
    <w:p w14:paraId="53F4E033" w14:textId="77777777" w:rsidR="000F5B89" w:rsidRPr="003726FE" w:rsidRDefault="000F5B89" w:rsidP="000F5B89">
      <w:pPr>
        <w:spacing w:after="0" w:line="240" w:lineRule="auto"/>
        <w:rPr>
          <w:rFonts w:ascii="Cambria" w:eastAsia="Cambria" w:hAnsi="Cambria" w:cs="Times New Roman"/>
          <w:bCs/>
          <w:sz w:val="22"/>
          <w:lang w:eastAsia="ja-JP"/>
        </w:rPr>
      </w:pPr>
    </w:p>
    <w:p w14:paraId="7449F67E" w14:textId="77777777" w:rsidR="000F5B89" w:rsidRPr="003726FE" w:rsidRDefault="000F5B89" w:rsidP="000F5B89">
      <w:p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First of all I would like to thank everybody for coming along to this focus group today! </w:t>
      </w:r>
    </w:p>
    <w:p w14:paraId="5482242D" w14:textId="77777777" w:rsidR="000F5B89" w:rsidRPr="003726FE" w:rsidRDefault="000F5B89" w:rsidP="000F5B89">
      <w:pPr>
        <w:spacing w:after="0" w:line="360" w:lineRule="auto"/>
        <w:jc w:val="both"/>
        <w:rPr>
          <w:rFonts w:ascii="Cambria" w:eastAsia="Cambria" w:hAnsi="Cambria" w:cs="Times New Roman"/>
          <w:bCs/>
          <w:sz w:val="22"/>
          <w:lang w:eastAsia="ja-JP"/>
        </w:rPr>
      </w:pPr>
    </w:p>
    <w:p w14:paraId="1FB2BB79" w14:textId="77777777" w:rsidR="000F5B89" w:rsidRPr="003726FE" w:rsidRDefault="000F5B89" w:rsidP="000F5B89">
      <w:p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Hopefully you have all received the information sheet that outlines the purpose and design of this research as well as your role in it. </w:t>
      </w:r>
    </w:p>
    <w:p w14:paraId="26CEE4BB" w14:textId="77777777" w:rsidR="000F5B89" w:rsidRPr="003726FE" w:rsidRDefault="000F5B89" w:rsidP="000F5B89">
      <w:pPr>
        <w:spacing w:after="0" w:line="360" w:lineRule="auto"/>
        <w:jc w:val="both"/>
        <w:rPr>
          <w:rFonts w:ascii="Cambria" w:eastAsia="Cambria" w:hAnsi="Cambria" w:cs="Times New Roman"/>
          <w:bCs/>
          <w:sz w:val="22"/>
          <w:lang w:eastAsia="ja-JP"/>
        </w:rPr>
      </w:pPr>
    </w:p>
    <w:p w14:paraId="6A299041" w14:textId="77777777" w:rsidR="000F5B89" w:rsidRPr="003726FE" w:rsidRDefault="000F5B89" w:rsidP="000F5B89">
      <w:pPr>
        <w:spacing w:after="0" w:line="240" w:lineRule="auto"/>
        <w:rPr>
          <w:rFonts w:ascii="Cambria" w:eastAsia="Cambria" w:hAnsi="Cambria" w:cs="Times New Roman"/>
          <w:bCs/>
          <w:sz w:val="22"/>
          <w:szCs w:val="20"/>
          <w:lang w:eastAsia="ja-JP"/>
        </w:rPr>
      </w:pPr>
      <w:r w:rsidRPr="003726FE">
        <w:rPr>
          <w:rFonts w:ascii="Cambria" w:eastAsia="Cambria" w:hAnsi="Cambria" w:cs="Times New Roman"/>
          <w:bCs/>
          <w:sz w:val="22"/>
          <w:szCs w:val="20"/>
          <w:lang w:eastAsia="ja-JP"/>
        </w:rPr>
        <w:t>Today, I would like to explore the feedback you have had during clinical rotations, how you have engaged with your learning during this placement, and to what extent the clinical skills teaching and aligned feedback within those sessions in SFH have prepared you for your placements.</w:t>
      </w:r>
    </w:p>
    <w:p w14:paraId="579001E7" w14:textId="77777777" w:rsidR="000F5B89" w:rsidRPr="003726FE" w:rsidRDefault="000F5B89" w:rsidP="000F5B89">
      <w:pPr>
        <w:spacing w:after="0" w:line="360" w:lineRule="auto"/>
        <w:jc w:val="both"/>
        <w:rPr>
          <w:rFonts w:ascii="Cambria" w:eastAsia="Cambria" w:hAnsi="Cambria" w:cs="Times New Roman"/>
          <w:bCs/>
          <w:sz w:val="22"/>
          <w:lang w:eastAsia="ja-JP"/>
        </w:rPr>
      </w:pPr>
    </w:p>
    <w:p w14:paraId="4AA5D129" w14:textId="77777777" w:rsidR="000F5B89" w:rsidRPr="003726FE" w:rsidRDefault="000F5B89" w:rsidP="000F5B89">
      <w:p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I am here today purely in a facilitator role i.e. I am here to facilitate the discussion and help gain some insight into the questions I will put to you today. </w:t>
      </w:r>
    </w:p>
    <w:p w14:paraId="5655EE5B" w14:textId="77777777" w:rsidR="000F5B89" w:rsidRPr="003726FE" w:rsidRDefault="000F5B89" w:rsidP="000F5B89">
      <w:pPr>
        <w:spacing w:after="0" w:line="360" w:lineRule="auto"/>
        <w:jc w:val="both"/>
        <w:rPr>
          <w:rFonts w:ascii="Cambria" w:eastAsia="Cambria" w:hAnsi="Cambria" w:cs="Times New Roman"/>
          <w:bCs/>
          <w:sz w:val="22"/>
          <w:lang w:eastAsia="ja-JP"/>
        </w:rPr>
      </w:pPr>
    </w:p>
    <w:p w14:paraId="39A5F871" w14:textId="77777777" w:rsidR="000F5B89" w:rsidRPr="003726FE" w:rsidRDefault="000F5B89" w:rsidP="000F5B89">
      <w:p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I anticipate on splitting today’s session into two parts; firstly to discuss your views and perceptions of how you engage with the learning on attachment and then to discuss your thoughts on the impact of feedback you received in the clinical skills sessions you had at SFH.</w:t>
      </w:r>
    </w:p>
    <w:p w14:paraId="2F38E9A8" w14:textId="77777777" w:rsidR="000F5B89" w:rsidRPr="003726FE" w:rsidRDefault="000F5B89" w:rsidP="000F5B89">
      <w:pPr>
        <w:spacing w:after="0" w:line="360" w:lineRule="auto"/>
        <w:jc w:val="both"/>
        <w:rPr>
          <w:rFonts w:ascii="Cambria" w:eastAsia="Cambria" w:hAnsi="Cambria" w:cs="Times New Roman"/>
          <w:bCs/>
          <w:sz w:val="22"/>
          <w:lang w:eastAsia="ja-JP"/>
        </w:rPr>
      </w:pPr>
    </w:p>
    <w:p w14:paraId="3568AD5F" w14:textId="77777777" w:rsidR="000F5B89" w:rsidRPr="003726FE" w:rsidRDefault="000F5B89" w:rsidP="000F5B89">
      <w:p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 questions I ask will be open ended; you can tell me your views and experiences in your own words. </w:t>
      </w:r>
    </w:p>
    <w:p w14:paraId="0BCFD91A" w14:textId="77777777" w:rsidR="000F5B89" w:rsidRPr="003726FE" w:rsidRDefault="000F5B89" w:rsidP="000F5B89">
      <w:pPr>
        <w:spacing w:after="0" w:line="360" w:lineRule="auto"/>
        <w:jc w:val="both"/>
        <w:rPr>
          <w:rFonts w:ascii="Cambria" w:eastAsia="Cambria" w:hAnsi="Cambria" w:cs="Times New Roman"/>
          <w:b/>
          <w:bCs/>
          <w:sz w:val="22"/>
          <w:lang w:eastAsia="ja-JP"/>
        </w:rPr>
      </w:pPr>
    </w:p>
    <w:p w14:paraId="06421304" w14:textId="4212D732" w:rsidR="000F5B89" w:rsidRPr="003726FE" w:rsidRDefault="000F5B89" w:rsidP="000F5B89">
      <w:pPr>
        <w:spacing w:after="0" w:line="360" w:lineRule="auto"/>
        <w:jc w:val="both"/>
        <w:rPr>
          <w:rFonts w:ascii="Cambria" w:eastAsia="Cambria" w:hAnsi="Cambria" w:cs="Times New Roman"/>
          <w:b/>
          <w:bCs/>
          <w:sz w:val="22"/>
          <w:lang w:eastAsia="ja-JP"/>
        </w:rPr>
      </w:pPr>
      <w:r w:rsidRPr="003726FE">
        <w:rPr>
          <w:rFonts w:ascii="Cambria" w:eastAsia="Cambria" w:hAnsi="Cambria" w:cs="Times New Roman"/>
          <w:b/>
          <w:bCs/>
          <w:sz w:val="22"/>
          <w:lang w:eastAsia="ja-JP"/>
        </w:rPr>
        <w:t>Before we begin I would like to</w:t>
      </w:r>
      <w:r w:rsidR="008A4137" w:rsidRPr="003726FE">
        <w:rPr>
          <w:rFonts w:ascii="Cambria" w:eastAsia="Cambria" w:hAnsi="Cambria" w:cs="Times New Roman"/>
          <w:b/>
          <w:bCs/>
          <w:sz w:val="22"/>
          <w:lang w:eastAsia="ja-JP"/>
        </w:rPr>
        <w:t xml:space="preserve"> go through a few ground rules:</w:t>
      </w:r>
    </w:p>
    <w:p w14:paraId="2FE02C23" w14:textId="77777777" w:rsidR="000F5B89" w:rsidRPr="003726FE" w:rsidRDefault="000F5B89" w:rsidP="000F5B89">
      <w:pPr>
        <w:spacing w:after="0" w:line="360" w:lineRule="auto"/>
        <w:jc w:val="both"/>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t>Ground Rules</w:t>
      </w:r>
    </w:p>
    <w:p w14:paraId="460A1095" w14:textId="77777777"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 discussion today will be audio taped using two devices and then transcribed as mentioned in the information sheet and consent form. I would like to take this opportunity to remind you again that all information given today will </w:t>
      </w:r>
      <w:r w:rsidRPr="003726FE">
        <w:rPr>
          <w:rFonts w:ascii="Cambria" w:eastAsia="Cambria" w:hAnsi="Cambria" w:cs="Times New Roman"/>
          <w:sz w:val="22"/>
          <w:lang w:eastAsia="ja-JP"/>
        </w:rPr>
        <w:t>remain confidential</w:t>
      </w:r>
      <w:r w:rsidRPr="003726FE">
        <w:rPr>
          <w:rFonts w:ascii="Cambria" w:eastAsia="Cambria" w:hAnsi="Cambria" w:cs="Times New Roman"/>
          <w:bCs/>
          <w:sz w:val="22"/>
          <w:lang w:eastAsia="ja-JP"/>
        </w:rPr>
        <w:t xml:space="preserve"> and all data will anonymised.</w:t>
      </w:r>
    </w:p>
    <w:p w14:paraId="0B2B041E" w14:textId="77777777"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Please ensure that only one person is speaking at one time.</w:t>
      </w:r>
    </w:p>
    <w:p w14:paraId="0C499A2A" w14:textId="77777777"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There are no right or wrong answers; I am here today to gather your views and experiences. </w:t>
      </w:r>
    </w:p>
    <w:p w14:paraId="7EABF7A0" w14:textId="77777777"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Please respect other’s points of view. </w:t>
      </w:r>
    </w:p>
    <w:p w14:paraId="2647A213" w14:textId="77777777"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And please remember participation is voluntary therefore you may withdraw at any time, if there are any questions you feel uncomfortable with answering then please feel free to decline. </w:t>
      </w:r>
    </w:p>
    <w:p w14:paraId="0E0261AC" w14:textId="5461361B" w:rsidR="000F5B89" w:rsidRPr="003726FE" w:rsidRDefault="000F5B89" w:rsidP="008A4137">
      <w:pPr>
        <w:numPr>
          <w:ilvl w:val="0"/>
          <w:numId w:val="44"/>
        </w:numPr>
        <w:spacing w:after="0" w:line="360" w:lineRule="auto"/>
        <w:ind w:left="426" w:hanging="343"/>
        <w:jc w:val="both"/>
        <w:rPr>
          <w:rFonts w:ascii="Cambria" w:eastAsia="Cambria" w:hAnsi="Cambria" w:cs="Times New Roman"/>
          <w:bCs/>
          <w:sz w:val="22"/>
          <w:lang w:eastAsia="ja-JP"/>
        </w:rPr>
      </w:pPr>
      <w:r w:rsidRPr="003726FE">
        <w:rPr>
          <w:rFonts w:ascii="Cambria" w:eastAsia="Cambria" w:hAnsi="Cambria" w:cs="Times New Roman"/>
          <w:bCs/>
          <w:sz w:val="22"/>
          <w:lang w:eastAsia="ja-JP"/>
        </w:rPr>
        <w:t>If you have any questions at any point please feel free to ask.</w:t>
      </w:r>
    </w:p>
    <w:p w14:paraId="1F2D4E56" w14:textId="67D67C84" w:rsidR="000F5B89" w:rsidRPr="003726FE" w:rsidRDefault="000F5B89" w:rsidP="008A4137">
      <w:pPr>
        <w:spacing w:after="0" w:line="360" w:lineRule="auto"/>
        <w:ind w:left="426" w:hanging="343"/>
        <w:jc w:val="both"/>
        <w:rPr>
          <w:rFonts w:ascii="Cambria" w:eastAsia="Cambria" w:hAnsi="Cambria" w:cs="Times New Roman"/>
          <w:b/>
          <w:sz w:val="22"/>
          <w:lang w:eastAsia="ja-JP"/>
        </w:rPr>
      </w:pPr>
      <w:r w:rsidRPr="003726FE">
        <w:rPr>
          <w:rFonts w:ascii="Cambria" w:eastAsia="Cambria" w:hAnsi="Cambria" w:cs="Times New Roman"/>
          <w:b/>
          <w:sz w:val="22"/>
          <w:lang w:eastAsia="ja-JP"/>
        </w:rPr>
        <w:t>Are you all ready to proceed?</w:t>
      </w:r>
      <w:r w:rsidRPr="003726FE">
        <w:rPr>
          <w:rFonts w:ascii="Cambria" w:eastAsia="Cambria" w:hAnsi="Cambria" w:cs="Times New Roman"/>
          <w:b/>
          <w:sz w:val="22"/>
          <w:lang w:eastAsia="ja-JP"/>
        </w:rPr>
        <w:br w:type="page"/>
      </w:r>
    </w:p>
    <w:p w14:paraId="444A86EE" w14:textId="40D75038" w:rsidR="000F5B89" w:rsidRPr="003726FE" w:rsidRDefault="000F5B89" w:rsidP="000F5B89">
      <w:pPr>
        <w:rPr>
          <w:rFonts w:ascii="Cambria" w:eastAsia="Cambria" w:hAnsi="Cambria" w:cs="Times New Roman"/>
          <w:b/>
          <w:sz w:val="22"/>
          <w:lang w:eastAsia="ja-JP"/>
        </w:rPr>
      </w:pPr>
      <w:r w:rsidRPr="003726FE">
        <w:rPr>
          <w:rFonts w:ascii="Cambria" w:eastAsia="Cambria" w:hAnsi="Cambria" w:cs="Times New Roman"/>
          <w:b/>
          <w:bCs/>
          <w:u w:val="single"/>
          <w:lang w:eastAsia="ja-JP"/>
        </w:rPr>
        <w:lastRenderedPageBreak/>
        <w:t>Focus group begins</w:t>
      </w:r>
    </w:p>
    <w:p w14:paraId="7A274029"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4ED54DB8" w14:textId="77777777" w:rsidR="000F5B89" w:rsidRPr="003726FE" w:rsidRDefault="000F5B89" w:rsidP="000F5B89">
      <w:pPr>
        <w:tabs>
          <w:tab w:val="left" w:pos="5078"/>
        </w:tabs>
        <w:spacing w:after="0" w:line="240" w:lineRule="auto"/>
        <w:rPr>
          <w:rFonts w:ascii="Cambria" w:eastAsia="Cambria" w:hAnsi="Cambria" w:cs="Times New Roman"/>
          <w:b/>
          <w:bCs/>
          <w:lang w:eastAsia="ja-JP"/>
        </w:rPr>
      </w:pPr>
    </w:p>
    <w:p w14:paraId="68136A2D" w14:textId="77777777" w:rsidR="000F5B89" w:rsidRPr="003726FE" w:rsidRDefault="000F5B89" w:rsidP="000F5B8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Recording equipment turned on.</w:t>
      </w:r>
    </w:p>
    <w:p w14:paraId="4BDD347C"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003367B8" w14:textId="77777777" w:rsidR="000F5B89" w:rsidRPr="003726FE" w:rsidRDefault="000F5B89" w:rsidP="000F5B89">
      <w:pPr>
        <w:tabs>
          <w:tab w:val="left" w:pos="5078"/>
        </w:tabs>
        <w:spacing w:after="0" w:line="240" w:lineRule="auto"/>
        <w:rPr>
          <w:rFonts w:ascii="Cambria" w:eastAsia="Cambria" w:hAnsi="Cambria" w:cs="Times New Roman"/>
          <w:b/>
          <w:bCs/>
          <w:sz w:val="22"/>
          <w:lang w:eastAsia="ja-JP"/>
        </w:rPr>
      </w:pPr>
    </w:p>
    <w:p w14:paraId="4F1EBC2F"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Introductory questions:</w:t>
      </w:r>
    </w:p>
    <w:p w14:paraId="692635B5"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79E758C9" w14:textId="24DDCD60"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sz w:val="22"/>
          <w:lang w:eastAsia="ja-JP"/>
        </w:rPr>
      </w:pPr>
      <w:r w:rsidRPr="003726FE">
        <w:rPr>
          <w:rFonts w:ascii="Cambria" w:eastAsia="Cambria" w:hAnsi="Cambria" w:cs="Times New Roman"/>
          <w:bCs/>
          <w:lang w:eastAsia="ja-JP"/>
        </w:rPr>
        <w:t xml:space="preserve">Can you all please introduce yourselves by your first names and the number you have been </w:t>
      </w:r>
      <w:r w:rsidR="00FC0FFB" w:rsidRPr="003726FE">
        <w:rPr>
          <w:rFonts w:ascii="Cambria" w:eastAsia="Cambria" w:hAnsi="Cambria" w:cs="Times New Roman"/>
          <w:bCs/>
          <w:lang w:eastAsia="ja-JP"/>
        </w:rPr>
        <w:t>given for</w:t>
      </w:r>
      <w:r w:rsidRPr="003726FE">
        <w:rPr>
          <w:rFonts w:ascii="Cambria" w:eastAsia="Cambria" w:hAnsi="Cambria" w:cs="Times New Roman"/>
          <w:bCs/>
          <w:lang w:eastAsia="ja-JP"/>
        </w:rPr>
        <w:t xml:space="preserve"> me to understand who is speaking during transcription?</w:t>
      </w:r>
      <w:r w:rsidRPr="003726FE">
        <w:rPr>
          <w:rFonts w:ascii="Cambria" w:eastAsia="Cambria" w:hAnsi="Cambria" w:cs="Times New Roman"/>
          <w:bCs/>
          <w:sz w:val="22"/>
          <w:lang w:eastAsia="ja-JP"/>
        </w:rPr>
        <w:t xml:space="preserve"> </w:t>
      </w:r>
    </w:p>
    <w:p w14:paraId="3B4616C6" w14:textId="77777777" w:rsidR="000F5B89" w:rsidRPr="003726FE" w:rsidRDefault="000F5B89" w:rsidP="000F5B8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give me a brief description of what a typical day on attachment might be like?</w:t>
      </w:r>
    </w:p>
    <w:p w14:paraId="0AE4783C"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79E54227"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B27C063"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F0C774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C4976A6"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959A8A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FA6F8A9"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39E52E0"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BDE08EE"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0097D16"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47107AC0"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E41F5B5"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37C186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6AC1776B"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1B0F26B4"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F4C9145"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276DE1A7"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3D76987D"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09C4BE91" w14:textId="77777777" w:rsidR="000F5B89" w:rsidRPr="003726FE" w:rsidRDefault="000F5B89" w:rsidP="000F5B89">
      <w:pPr>
        <w:tabs>
          <w:tab w:val="left" w:pos="5078"/>
        </w:tabs>
        <w:spacing w:after="0" w:line="240" w:lineRule="auto"/>
        <w:rPr>
          <w:rFonts w:ascii="Cambria" w:eastAsia="Cambria" w:hAnsi="Cambria" w:cs="Times New Roman"/>
          <w:bCs/>
          <w:sz w:val="22"/>
          <w:lang w:eastAsia="ja-JP"/>
        </w:rPr>
      </w:pPr>
    </w:p>
    <w:p w14:paraId="5BCF7B45" w14:textId="77777777" w:rsidR="000F5B89" w:rsidRPr="003726FE" w:rsidRDefault="000F5B89" w:rsidP="000F5B89">
      <w:pPr>
        <w:spacing w:after="0" w:line="360" w:lineRule="auto"/>
        <w:rPr>
          <w:rFonts w:ascii="Cambria" w:eastAsia="Cambria" w:hAnsi="Cambria" w:cs="Times New Roman"/>
          <w:b/>
          <w:bCs/>
          <w:lang w:eastAsia="ja-JP"/>
        </w:rPr>
      </w:pPr>
    </w:p>
    <w:p w14:paraId="41B8E18E" w14:textId="77777777" w:rsidR="000F5B89" w:rsidRPr="003726FE" w:rsidRDefault="000F5B89" w:rsidP="000F5B89">
      <w:pPr>
        <w:spacing w:after="0" w:line="360" w:lineRule="auto"/>
        <w:rPr>
          <w:rFonts w:ascii="Cambria" w:eastAsia="Cambria" w:hAnsi="Cambria" w:cs="Times New Roman"/>
          <w:b/>
          <w:bCs/>
          <w:lang w:eastAsia="ja-JP"/>
        </w:rPr>
      </w:pPr>
    </w:p>
    <w:p w14:paraId="6CB1D61B" w14:textId="77777777" w:rsidR="000F5B89" w:rsidRPr="003726FE" w:rsidRDefault="000F5B89" w:rsidP="000F5B89">
      <w:pPr>
        <w:spacing w:after="0" w:line="360" w:lineRule="auto"/>
        <w:rPr>
          <w:rFonts w:ascii="Cambria" w:eastAsia="Cambria" w:hAnsi="Cambria" w:cs="Times New Roman"/>
          <w:b/>
          <w:bCs/>
          <w:lang w:eastAsia="ja-JP"/>
        </w:rPr>
      </w:pPr>
    </w:p>
    <w:p w14:paraId="7D6FBB9F" w14:textId="77777777" w:rsidR="000F5B89" w:rsidRPr="003726FE" w:rsidRDefault="000F5B89" w:rsidP="000F5B89">
      <w:pPr>
        <w:spacing w:after="0" w:line="360" w:lineRule="auto"/>
        <w:rPr>
          <w:rFonts w:ascii="Cambria" w:eastAsia="Cambria" w:hAnsi="Cambria" w:cs="Times New Roman"/>
          <w:b/>
          <w:bCs/>
          <w:lang w:eastAsia="ja-JP"/>
        </w:rPr>
      </w:pPr>
    </w:p>
    <w:p w14:paraId="427DBFAB" w14:textId="77777777" w:rsidR="000F5B89" w:rsidRPr="003726FE" w:rsidRDefault="000F5B89" w:rsidP="000F5B89">
      <w:pPr>
        <w:spacing w:after="0" w:line="360" w:lineRule="auto"/>
        <w:rPr>
          <w:rFonts w:ascii="Cambria" w:eastAsia="Cambria" w:hAnsi="Cambria" w:cs="Times New Roman"/>
          <w:b/>
          <w:bCs/>
          <w:lang w:eastAsia="ja-JP"/>
        </w:rPr>
      </w:pPr>
    </w:p>
    <w:p w14:paraId="6D2ED52A" w14:textId="77777777" w:rsidR="000F5B89" w:rsidRPr="003726FE" w:rsidRDefault="000F5B89" w:rsidP="000F5B89">
      <w:pPr>
        <w:spacing w:after="0" w:line="360" w:lineRule="auto"/>
        <w:rPr>
          <w:rFonts w:ascii="Cambria" w:eastAsia="Cambria" w:hAnsi="Cambria" w:cs="Times New Roman"/>
          <w:b/>
          <w:bCs/>
          <w:lang w:eastAsia="ja-JP"/>
        </w:rPr>
      </w:pPr>
    </w:p>
    <w:p w14:paraId="38B4A87D" w14:textId="77777777" w:rsidR="000F5B89" w:rsidRPr="003726FE" w:rsidRDefault="000F5B89" w:rsidP="000F5B89">
      <w:pPr>
        <w:spacing w:after="0" w:line="360" w:lineRule="auto"/>
        <w:rPr>
          <w:rFonts w:ascii="Cambria" w:eastAsia="Cambria" w:hAnsi="Cambria" w:cs="Times New Roman"/>
          <w:b/>
          <w:bCs/>
          <w:lang w:eastAsia="ja-JP"/>
        </w:rPr>
      </w:pPr>
    </w:p>
    <w:p w14:paraId="05B0A38C" w14:textId="77777777" w:rsidR="000F5B89" w:rsidRPr="003726FE" w:rsidRDefault="000F5B89" w:rsidP="000F5B89">
      <w:pPr>
        <w:spacing w:after="0" w:line="360" w:lineRule="auto"/>
        <w:rPr>
          <w:rFonts w:ascii="Cambria" w:eastAsia="Cambria" w:hAnsi="Cambria" w:cs="Times New Roman"/>
          <w:b/>
          <w:bCs/>
          <w:lang w:eastAsia="ja-JP"/>
        </w:rPr>
      </w:pPr>
    </w:p>
    <w:p w14:paraId="647EE70E" w14:textId="77777777" w:rsidR="000F5B89" w:rsidRPr="003726FE" w:rsidRDefault="000F5B89" w:rsidP="000F5B89">
      <w:pPr>
        <w:spacing w:after="0" w:line="240" w:lineRule="auto"/>
        <w:rPr>
          <w:rFonts w:ascii="Cambria" w:eastAsia="Cambria" w:hAnsi="Cambria" w:cs="Times New Roman"/>
          <w:b/>
          <w:bCs/>
          <w:lang w:eastAsia="ja-JP"/>
        </w:rPr>
      </w:pPr>
      <w:r w:rsidRPr="003726FE">
        <w:rPr>
          <w:rFonts w:ascii="Cambria" w:eastAsia="Cambria" w:hAnsi="Cambria" w:cs="Times New Roman"/>
          <w:b/>
          <w:bCs/>
          <w:lang w:eastAsia="ja-JP"/>
        </w:rPr>
        <w:br w:type="page"/>
      </w:r>
    </w:p>
    <w:p w14:paraId="737302F0" w14:textId="1B35D495" w:rsidR="000F5B89" w:rsidRPr="003726FE" w:rsidRDefault="000F5B89" w:rsidP="000F5B89">
      <w:pPr>
        <w:spacing w:after="0" w:line="360" w:lineRule="auto"/>
        <w:rPr>
          <w:rFonts w:ascii="Cambria" w:eastAsia="Cambria" w:hAnsi="Cambria" w:cs="Times New Roman"/>
          <w:b/>
          <w:bCs/>
          <w:i/>
          <w:szCs w:val="24"/>
          <w:lang w:eastAsia="ja-JP"/>
        </w:rPr>
      </w:pPr>
      <w:r w:rsidRPr="003726FE">
        <w:rPr>
          <w:rFonts w:ascii="Cambria" w:eastAsia="Cambria" w:hAnsi="Cambria" w:cs="Times New Roman"/>
          <w:b/>
          <w:bCs/>
          <w:lang w:eastAsia="ja-JP"/>
        </w:rPr>
        <w:lastRenderedPageBreak/>
        <w:t xml:space="preserve">Topical questions: </w:t>
      </w:r>
      <w:r w:rsidR="008E7D00">
        <w:rPr>
          <w:rFonts w:ascii="Cambria" w:eastAsia="Cambria" w:hAnsi="Cambria" w:cs="Times New Roman"/>
          <w:b/>
          <w:bCs/>
          <w:lang w:eastAsia="ja-JP"/>
        </w:rPr>
        <w:t>Conceptualisation</w:t>
      </w:r>
      <w:r w:rsidRPr="003726FE">
        <w:rPr>
          <w:rFonts w:ascii="Cambria" w:eastAsia="Cambria" w:hAnsi="Cambria" w:cs="Times New Roman"/>
          <w:b/>
          <w:bCs/>
          <w:lang w:eastAsia="ja-JP"/>
        </w:rPr>
        <w:t>s of feedback (generally)</w:t>
      </w:r>
      <w:r w:rsidRPr="003726FE">
        <w:rPr>
          <w:rFonts w:ascii="Cambria" w:eastAsia="Cambria" w:hAnsi="Cambria" w:cs="Times New Roman"/>
          <w:b/>
          <w:bCs/>
          <w:szCs w:val="24"/>
          <w:lang w:eastAsia="ja-JP"/>
        </w:rPr>
        <w:t xml:space="preserve"> - </w:t>
      </w:r>
      <w:r w:rsidRPr="003726FE">
        <w:rPr>
          <w:rFonts w:ascii="Cambria" w:eastAsia="Cambria" w:hAnsi="Cambria" w:cs="Times New Roman"/>
          <w:b/>
          <w:bCs/>
          <w:i/>
          <w:szCs w:val="24"/>
          <w:lang w:eastAsia="ja-JP"/>
        </w:rPr>
        <w:t>attachments and clinical skills specifically</w:t>
      </w:r>
    </w:p>
    <w:p w14:paraId="1E449EE3" w14:textId="724A187C" w:rsidR="000F5B89" w:rsidRPr="003726FE" w:rsidRDefault="000F5B89" w:rsidP="000F5B89">
      <w:pPr>
        <w:tabs>
          <w:tab w:val="left" w:pos="3260"/>
        </w:tabs>
        <w:spacing w:after="0" w:line="240" w:lineRule="auto"/>
        <w:rPr>
          <w:rFonts w:ascii="Cambria" w:eastAsia="Cambria" w:hAnsi="Cambria" w:cs="Times New Roman"/>
          <w:bCs/>
          <w:i/>
          <w:sz w:val="22"/>
          <w:lang w:eastAsia="ja-JP"/>
        </w:rPr>
      </w:pPr>
      <w:r w:rsidRPr="003726FE">
        <w:rPr>
          <w:rFonts w:ascii="Cambria" w:eastAsia="Cambria" w:hAnsi="Cambria" w:cs="Times New Roman"/>
          <w:bCs/>
          <w:i/>
          <w:sz w:val="22"/>
          <w:lang w:eastAsia="ja-JP"/>
        </w:rPr>
        <w:t xml:space="preserve">This aims to tap into their perceptions of what feedback is. Much like the line of questioning for clinical skills tutors. Their </w:t>
      </w:r>
      <w:r w:rsidR="008E7D00">
        <w:rPr>
          <w:rFonts w:ascii="Cambria" w:eastAsia="Cambria" w:hAnsi="Cambria" w:cs="Times New Roman"/>
          <w:bCs/>
          <w:i/>
          <w:sz w:val="22"/>
          <w:lang w:eastAsia="ja-JP"/>
        </w:rPr>
        <w:t>conceptualisation</w:t>
      </w:r>
      <w:r w:rsidRPr="003726FE">
        <w:rPr>
          <w:rFonts w:ascii="Cambria" w:eastAsia="Cambria" w:hAnsi="Cambria" w:cs="Times New Roman"/>
          <w:bCs/>
          <w:i/>
          <w:sz w:val="22"/>
          <w:lang w:eastAsia="ja-JP"/>
        </w:rPr>
        <w:t xml:space="preserve">s of feedback and how they may have changed as a result of the study. </w:t>
      </w:r>
    </w:p>
    <w:p w14:paraId="49901AF1" w14:textId="77777777" w:rsidR="000F5B89" w:rsidRPr="003726FE" w:rsidRDefault="000F5B89" w:rsidP="000F5B89">
      <w:pPr>
        <w:spacing w:after="0" w:line="360" w:lineRule="auto"/>
        <w:rPr>
          <w:rFonts w:ascii="Cambria" w:eastAsia="Cambria" w:hAnsi="Cambria" w:cs="Times New Roman"/>
          <w:bCs/>
          <w:lang w:eastAsia="ja-JP"/>
        </w:rPr>
      </w:pPr>
    </w:p>
    <w:p w14:paraId="38667D65"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To start, I’d like to ask you all a few questions about your thoughts and feelings on feedback when it’s on your performance. Try not to think just about the feedback from supervisors and teachers, but from other HCP’s, peers, patients, tutors etc. generally.</w:t>
      </w:r>
    </w:p>
    <w:p w14:paraId="4EE57078"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important is feedback in your learning?</w:t>
      </w:r>
    </w:p>
    <w:p w14:paraId="53189132"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makes for the best and worst feedback?</w:t>
      </w:r>
    </w:p>
    <w:p w14:paraId="708710B0"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affects whether feedback is useful or not useful?</w:t>
      </w:r>
    </w:p>
    <w:p w14:paraId="089834DD"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give me any typical examples of when this has happened?</w:t>
      </w:r>
    </w:p>
    <w:p w14:paraId="5230BEC0"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recognise as feedback?</w:t>
      </w:r>
    </w:p>
    <w:p w14:paraId="3312BBFE"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think of any examples?</w:t>
      </w:r>
    </w:p>
    <w:p w14:paraId="70C2DCDB"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affects your understanding of feedback?</w:t>
      </w:r>
    </w:p>
    <w:p w14:paraId="7E9FB8BD"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usually do with feedback once you get it?</w:t>
      </w:r>
    </w:p>
    <w:p w14:paraId="507F1C2D"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was feedback like in clinical skills training?</w:t>
      </w:r>
    </w:p>
    <w:p w14:paraId="3768CB61"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is feedback like during clinical attachment?</w:t>
      </w:r>
    </w:p>
    <w:p w14:paraId="4A4F2AB2" w14:textId="77777777" w:rsidR="000F5B89" w:rsidRPr="003726FE" w:rsidRDefault="000F5B89" w:rsidP="000F5B89">
      <w:pPr>
        <w:numPr>
          <w:ilvl w:val="1"/>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is it different or the same as the kinds of feedback you were getting before?</w:t>
      </w:r>
    </w:p>
    <w:p w14:paraId="5A25BC10" w14:textId="77777777" w:rsidR="000F5B89" w:rsidRPr="003726FE" w:rsidRDefault="000F5B89" w:rsidP="000F5B8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How does do your perceptions of the feedback differ depending on who gives it? </w:t>
      </w:r>
    </w:p>
    <w:p w14:paraId="74ACA400" w14:textId="3D9E4749" w:rsidR="000F5B89" w:rsidRPr="003726FE" w:rsidRDefault="000F5B89" w:rsidP="000F5B89">
      <w:pPr>
        <w:numPr>
          <w:ilvl w:val="1"/>
          <w:numId w:val="39"/>
        </w:numPr>
        <w:spacing w:after="0" w:line="360" w:lineRule="auto"/>
        <w:contextualSpacing/>
        <w:rPr>
          <w:rFonts w:ascii="Cambria" w:eastAsia="Cambria" w:hAnsi="Cambria" w:cs="Times New Roman"/>
          <w:bCs/>
          <w:i/>
          <w:lang w:eastAsia="ja-JP"/>
        </w:rPr>
      </w:pPr>
      <w:r w:rsidRPr="003726FE">
        <w:rPr>
          <w:rFonts w:ascii="Cambria" w:eastAsia="Cambria" w:hAnsi="Cambria" w:cs="Times New Roman"/>
          <w:bCs/>
          <w:i/>
          <w:lang w:eastAsia="ja-JP"/>
        </w:rPr>
        <w:t>Introduce scenario if the question isn’t received well: how does getting feedback on a clinical skill from a consultant differ from feedback given by a patient or a peer?</w:t>
      </w:r>
    </w:p>
    <w:p w14:paraId="7CB33CCE" w14:textId="3EF48F5F" w:rsidR="000F5B89" w:rsidRPr="00161436" w:rsidRDefault="00161436" w:rsidP="00161436">
      <w:pPr>
        <w:numPr>
          <w:ilvl w:val="0"/>
          <w:numId w:val="39"/>
        </w:numPr>
        <w:spacing w:after="0" w:line="360" w:lineRule="auto"/>
        <w:contextualSpacing/>
        <w:rPr>
          <w:rFonts w:ascii="Cambria" w:eastAsia="Cambria" w:hAnsi="Cambria" w:cs="Times New Roman"/>
          <w:bCs/>
          <w:i/>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7488" behindDoc="0" locked="0" layoutInCell="1" allowOverlap="1" wp14:anchorId="375343E8" wp14:editId="27B87963">
                <wp:simplePos x="0" y="0"/>
                <wp:positionH relativeFrom="margin">
                  <wp:posOffset>228600</wp:posOffset>
                </wp:positionH>
                <wp:positionV relativeFrom="paragraph">
                  <wp:posOffset>548851</wp:posOffset>
                </wp:positionV>
                <wp:extent cx="4699000" cy="1246505"/>
                <wp:effectExtent l="0" t="0" r="25400" b="10795"/>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246505"/>
                        </a:xfrm>
                        <a:prstGeom prst="rect">
                          <a:avLst/>
                        </a:prstGeom>
                        <a:solidFill>
                          <a:srgbClr val="FFFFFF"/>
                        </a:solidFill>
                        <a:ln w="9525">
                          <a:solidFill>
                            <a:srgbClr val="000000"/>
                          </a:solidFill>
                          <a:prstDash val="dash"/>
                          <a:miter lim="800000"/>
                          <a:headEnd/>
                          <a:tailEnd/>
                        </a:ln>
                      </wps:spPr>
                      <wps:txbx>
                        <w:txbxContent>
                          <w:p w14:paraId="2ED10682" w14:textId="77777777" w:rsidR="00C8402C" w:rsidRDefault="00C8402C" w:rsidP="000F5B89">
                            <w:pPr>
                              <w:spacing w:line="360" w:lineRule="auto"/>
                              <w:rPr>
                                <w:b/>
                                <w:i/>
                              </w:rPr>
                            </w:pPr>
                            <w:r>
                              <w:rPr>
                                <w:i/>
                              </w:rPr>
                              <w:t>Additional questions (if needed):</w:t>
                            </w:r>
                          </w:p>
                          <w:p w14:paraId="23F37535" w14:textId="77777777" w:rsidR="00C8402C" w:rsidRDefault="00C8402C" w:rsidP="000F5B89">
                            <w:pPr>
                              <w:pStyle w:val="ListParagraph"/>
                              <w:numPr>
                                <w:ilvl w:val="0"/>
                                <w:numId w:val="39"/>
                              </w:numPr>
                              <w:spacing w:after="0" w:line="360" w:lineRule="auto"/>
                              <w:rPr>
                                <w:b/>
                                <w:i/>
                              </w:rPr>
                            </w:pPr>
                            <w:r>
                              <w:rPr>
                                <w:i/>
                              </w:rPr>
                              <w:t>To what extent do you seek feedback on your performance?</w:t>
                            </w:r>
                          </w:p>
                          <w:p w14:paraId="2C428350"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0EB46E0E" w14:textId="77777777" w:rsidR="00C8402C" w:rsidRPr="001D1AE3" w:rsidRDefault="00C8402C" w:rsidP="000F5B89">
                            <w:pPr>
                              <w:pStyle w:val="ListParagraph"/>
                              <w:numPr>
                                <w:ilvl w:val="1"/>
                                <w:numId w:val="39"/>
                              </w:numPr>
                              <w:spacing w:after="0" w:line="360" w:lineRule="auto"/>
                              <w:rPr>
                                <w:b/>
                                <w:i/>
                              </w:rPr>
                            </w:pPr>
                            <w:r w:rsidRPr="00496A27">
                              <w:rPr>
                                <w:i/>
                              </w:rPr>
                              <w:t>Where do you think those came from?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5343E8" id="_x0000_s1508" type="#_x0000_t202" style="position:absolute;left:0;text-align:left;margin-left:18pt;margin-top:43.2pt;width:370pt;height:98.15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">
                <v:stroke dashstyle="dash"/>
                <v:textbox>
                  <w:txbxContent>
                    <w:p w14:paraId="2ED10682" w14:textId="77777777" w:rsidR="00C8402C" w:rsidRDefault="00C8402C" w:rsidP="000F5B89">
                      <w:pPr>
                        <w:spacing w:line="360" w:lineRule="auto"/>
                        <w:rPr>
                          <w:b/>
                          <w:i/>
                        </w:rPr>
                      </w:pPr>
                      <w:r>
                        <w:rPr>
                          <w:i/>
                        </w:rPr>
                        <w:t>Additional questions (if needed):</w:t>
                      </w:r>
                    </w:p>
                    <w:p w14:paraId="23F37535" w14:textId="77777777" w:rsidR="00C8402C" w:rsidRDefault="00C8402C" w:rsidP="000F5B89">
                      <w:pPr>
                        <w:pStyle w:val="ListParagraph"/>
                        <w:numPr>
                          <w:ilvl w:val="0"/>
                          <w:numId w:val="39"/>
                        </w:numPr>
                        <w:spacing w:after="0" w:line="360" w:lineRule="auto"/>
                        <w:rPr>
                          <w:b/>
                          <w:i/>
                        </w:rPr>
                      </w:pPr>
                      <w:r>
                        <w:rPr>
                          <w:i/>
                        </w:rPr>
                        <w:t>To what extent do you seek feedback on your performance?</w:t>
                      </w:r>
                    </w:p>
                    <w:p w14:paraId="2C428350" w14:textId="77777777" w:rsidR="00C8402C" w:rsidRPr="00496A27" w:rsidRDefault="00C8402C" w:rsidP="000F5B89">
                      <w:pPr>
                        <w:pStyle w:val="ListParagraph"/>
                        <w:numPr>
                          <w:ilvl w:val="0"/>
                          <w:numId w:val="39"/>
                        </w:numPr>
                        <w:spacing w:after="0" w:line="360" w:lineRule="auto"/>
                        <w:rPr>
                          <w:b/>
                          <w:i/>
                        </w:rPr>
                      </w:pPr>
                      <w:r w:rsidRPr="00496A27">
                        <w:rPr>
                          <w:i/>
                        </w:rPr>
                        <w:t>Have you always had the same view on feedback?</w:t>
                      </w:r>
                    </w:p>
                    <w:p w14:paraId="0EB46E0E" w14:textId="77777777" w:rsidR="00C8402C" w:rsidRPr="001D1AE3" w:rsidRDefault="00C8402C" w:rsidP="000F5B89">
                      <w:pPr>
                        <w:pStyle w:val="ListParagraph"/>
                        <w:numPr>
                          <w:ilvl w:val="1"/>
                          <w:numId w:val="39"/>
                        </w:numPr>
                        <w:spacing w:after="0" w:line="360" w:lineRule="auto"/>
                        <w:rPr>
                          <w:b/>
                          <w:i/>
                        </w:rPr>
                      </w:pPr>
                      <w:r w:rsidRPr="00496A27">
                        <w:rPr>
                          <w:i/>
                        </w:rPr>
                        <w:t>Where do you think those came from?</w:t>
                      </w:r>
                    </w:p>
                  </w:txbxContent>
                </v:textbox>
                <w10:wrap type="topAndBottom" anchorx="margin"/>
              </v:shape>
            </w:pict>
          </mc:Fallback>
        </mc:AlternateContent>
      </w:r>
      <w:r w:rsidR="000F5B89" w:rsidRPr="003726FE">
        <w:rPr>
          <w:rFonts w:ascii="Cambria" w:eastAsia="Cambria" w:hAnsi="Cambria" w:cs="Times New Roman"/>
          <w:bCs/>
          <w:i/>
          <w:lang w:eastAsia="ja-JP"/>
        </w:rPr>
        <w:t>Who do you recognise as your teachers? Or those whom you expect feedback from?</w:t>
      </w:r>
      <w:r w:rsidR="000F5B89" w:rsidRPr="00161436">
        <w:rPr>
          <w:rFonts w:ascii="Cambria" w:eastAsia="Cambria" w:hAnsi="Cambria" w:cs="Times New Roman"/>
          <w:b/>
          <w:bCs/>
          <w:lang w:eastAsia="ja-JP"/>
        </w:rPr>
        <w:br w:type="page"/>
      </w:r>
    </w:p>
    <w:p w14:paraId="50FCF605" w14:textId="45F254FD" w:rsidR="000F5B89" w:rsidRPr="003726FE" w:rsidRDefault="000F5B89" w:rsidP="000F5B89">
      <w:pPr>
        <w:spacing w:after="0" w:line="24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 xml:space="preserve">Topical questions: </w:t>
      </w:r>
      <w:r w:rsidRPr="003726FE">
        <w:rPr>
          <w:rFonts w:ascii="Cambria" w:eastAsia="Cambria" w:hAnsi="Cambria" w:cs="Times New Roman"/>
          <w:b/>
          <w:bCs/>
          <w:i/>
          <w:sz w:val="22"/>
          <w:lang w:eastAsia="ja-JP"/>
        </w:rPr>
        <w:t>Learning strategies in clinical skills</w:t>
      </w:r>
    </w:p>
    <w:p w14:paraId="0330B54F" w14:textId="77777777" w:rsidR="000F5B89" w:rsidRPr="003726FE" w:rsidRDefault="000F5B89" w:rsidP="000F5B89">
      <w:pPr>
        <w:spacing w:after="0" w:line="360" w:lineRule="auto"/>
        <w:rPr>
          <w:rFonts w:ascii="Cambria" w:eastAsia="Cambria" w:hAnsi="Cambria" w:cs="Times New Roman"/>
          <w:bCs/>
          <w:i/>
          <w:sz w:val="22"/>
          <w:lang w:eastAsia="ja-JP"/>
        </w:rPr>
      </w:pPr>
    </w:p>
    <w:p w14:paraId="1376FCE7" w14:textId="77777777" w:rsidR="000F5B89" w:rsidRPr="003726FE" w:rsidRDefault="000F5B89" w:rsidP="000F5B89">
      <w:pPr>
        <w:spacing w:after="0" w:line="360" w:lineRule="auto"/>
        <w:rPr>
          <w:rFonts w:ascii="Cambria" w:eastAsia="Cambria" w:hAnsi="Cambria" w:cs="Times New Roman"/>
          <w:bCs/>
          <w:i/>
          <w:lang w:eastAsia="ja-JP"/>
        </w:rPr>
      </w:pPr>
      <w:r w:rsidRPr="003726FE">
        <w:rPr>
          <w:rFonts w:ascii="Cambria" w:eastAsia="Cambria" w:hAnsi="Cambria" w:cs="Times New Roman"/>
          <w:bCs/>
          <w:i/>
          <w:sz w:val="22"/>
          <w:lang w:eastAsia="ja-JP"/>
        </w:rPr>
        <w:t xml:space="preserve">This is about how they approach tasks, skills, competencies, and behaviours in clinical environments. This can relate to any activity inside and outside the clinical environment as long as it is focused on clinical learning. These could be preparatory or reflective as well as what happens during clinical time. I will also aim to find out what affects these strategies. </w:t>
      </w:r>
    </w:p>
    <w:p w14:paraId="56D0F0A6" w14:textId="77777777" w:rsidR="000F5B89" w:rsidRPr="003726FE" w:rsidRDefault="000F5B89" w:rsidP="000F5B89">
      <w:pPr>
        <w:spacing w:after="0" w:line="360" w:lineRule="auto"/>
        <w:rPr>
          <w:rFonts w:ascii="Cambria" w:eastAsia="Cambria" w:hAnsi="Cambria" w:cs="Times New Roman"/>
          <w:bCs/>
          <w:lang w:eastAsia="ja-JP"/>
        </w:rPr>
      </w:pPr>
    </w:p>
    <w:p w14:paraId="28ACFC21"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Moving on from that, I’d like to talk about how you approach the learning on clinical attachments.</w:t>
      </w:r>
    </w:p>
    <w:p w14:paraId="0F514014" w14:textId="77777777" w:rsidR="000F5B89" w:rsidRPr="003726FE" w:rsidRDefault="000F5B89" w:rsidP="000F5B89">
      <w:pPr>
        <w:spacing w:after="0" w:line="360" w:lineRule="auto"/>
        <w:rPr>
          <w:rFonts w:ascii="Cambria" w:eastAsia="Cambria" w:hAnsi="Cambria" w:cs="Times New Roman"/>
          <w:b/>
          <w:bCs/>
          <w:lang w:eastAsia="ja-JP"/>
        </w:rPr>
      </w:pPr>
    </w:p>
    <w:p w14:paraId="3B13FAAF"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 understand that for most of you this will be your first attachment but can you explain how you prepared for your clinical attachments?</w:t>
      </w:r>
    </w:p>
    <w:p w14:paraId="0884E6FE"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
          <w:bCs/>
          <w:lang w:eastAsia="ja-JP"/>
        </w:rPr>
        <w:t>Prompt if needed:</w:t>
      </w:r>
      <w:r w:rsidRPr="003726FE">
        <w:rPr>
          <w:rFonts w:ascii="Cambria" w:eastAsia="Cambria" w:hAnsi="Cambria" w:cs="Times New Roman"/>
          <w:bCs/>
          <w:lang w:eastAsia="ja-JP"/>
        </w:rPr>
        <w:t xml:space="preserve"> Did you do any prior reading/chat to older students/chat to teachers/make a plan/look at the attachment handbook/brush up on clinical skills?</w:t>
      </w:r>
    </w:p>
    <w:p w14:paraId="6D9E4276"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does this preparation differ to how you prepared for other learning experiences at medical school?</w:t>
      </w:r>
    </w:p>
    <w:p w14:paraId="6B689ECD"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Where does that approach come from? Why would you do it that way?</w:t>
      </w:r>
    </w:p>
    <w:p w14:paraId="27A11B15"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 you approach the learning whilst on clinical attachments?</w:t>
      </w:r>
    </w:p>
    <w:p w14:paraId="6A98AACD"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
          <w:bCs/>
          <w:lang w:eastAsia="ja-JP"/>
        </w:rPr>
        <w:t>Prompt if needed:</w:t>
      </w:r>
      <w:r w:rsidRPr="003726FE">
        <w:rPr>
          <w:rFonts w:ascii="Cambria" w:eastAsia="Cambria" w:hAnsi="Cambria" w:cs="Times New Roman"/>
          <w:bCs/>
          <w:lang w:eastAsia="ja-JP"/>
        </w:rPr>
        <w:t xml:space="preserve"> do you monitor your progress in any way? How do you know you’re on track? Etc.</w:t>
      </w:r>
    </w:p>
    <w:p w14:paraId="7DDD60D2"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Is that how you would normally approach learning at medical school?</w:t>
      </w:r>
    </w:p>
    <w:p w14:paraId="30D85D23"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Where does that approach come from? Why would you do it that way?</w:t>
      </w:r>
    </w:p>
    <w:p w14:paraId="7779E380"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Looking back on your experiences so far on attachment, how do you usually reflect on them? If at all?</w:t>
      </w:r>
    </w:p>
    <w:p w14:paraId="1A1992E6"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
          <w:bCs/>
          <w:lang w:eastAsia="ja-JP"/>
        </w:rPr>
        <w:t>Prompt if needed:</w:t>
      </w:r>
      <w:r w:rsidRPr="003726FE">
        <w:rPr>
          <w:rFonts w:ascii="Cambria" w:eastAsia="Cambria" w:hAnsi="Cambria" w:cs="Times New Roman"/>
          <w:bCs/>
          <w:lang w:eastAsia="ja-JP"/>
        </w:rPr>
        <w:t xml:space="preserve"> Do you ever try to make improvements for the next time you attempt something? Do you know why things went wrong/right? How do you judge your approach?</w:t>
      </w:r>
    </w:p>
    <w:p w14:paraId="62253C86" w14:textId="77777777" w:rsidR="000F5B89" w:rsidRPr="003726FE" w:rsidRDefault="000F5B89" w:rsidP="000F5B89">
      <w:pPr>
        <w:numPr>
          <w:ilvl w:val="0"/>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appropriate are those approaches to the learning you’re experiencing and doing now?</w:t>
      </w:r>
    </w:p>
    <w:p w14:paraId="498FB8A5" w14:textId="77777777" w:rsidR="000F5B89" w:rsidRPr="003726FE" w:rsidRDefault="000F5B89" w:rsidP="000F5B89">
      <w:pPr>
        <w:numPr>
          <w:ilvl w:val="1"/>
          <w:numId w:val="3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so/if not, why do think that?</w:t>
      </w:r>
    </w:p>
    <w:p w14:paraId="29AB7539" w14:textId="311F2DA2" w:rsidR="000F5B89" w:rsidRPr="003726FE" w:rsidRDefault="000F5B89" w:rsidP="000F5B89">
      <w:pPr>
        <w:spacing w:after="0" w:line="360" w:lineRule="auto"/>
        <w:rPr>
          <w:rFonts w:ascii="Cambria" w:eastAsia="Cambria" w:hAnsi="Cambria" w:cs="Times New Roman"/>
          <w:bCs/>
          <w:lang w:eastAsia="ja-JP"/>
        </w:rPr>
      </w:pPr>
    </w:p>
    <w:p w14:paraId="31BCD909" w14:textId="77777777" w:rsidR="000F5B89" w:rsidRPr="003726FE" w:rsidRDefault="000F5B89" w:rsidP="000F5B89">
      <w:pPr>
        <w:tabs>
          <w:tab w:val="left" w:pos="3260"/>
        </w:tabs>
        <w:spacing w:after="0" w:line="240" w:lineRule="auto"/>
        <w:rPr>
          <w:rFonts w:ascii="Cambria" w:eastAsia="Cambria" w:hAnsi="Cambria" w:cs="Times New Roman"/>
          <w:bCs/>
          <w:i/>
          <w:sz w:val="22"/>
          <w:lang w:eastAsia="ja-JP"/>
        </w:rPr>
      </w:pPr>
      <w:r w:rsidRPr="003726FE">
        <w:rPr>
          <w:rFonts w:ascii="Cambria" w:eastAsia="Cambria" w:hAnsi="Cambria" w:cs="Times New Roman"/>
          <w:b/>
          <w:bCs/>
          <w:lang w:eastAsia="ja-JP"/>
        </w:rPr>
        <w:t xml:space="preserve">Topical questions: </w:t>
      </w:r>
      <w:r w:rsidRPr="003726FE">
        <w:rPr>
          <w:rFonts w:ascii="Cambria" w:eastAsia="Cambria" w:hAnsi="Cambria" w:cs="Times New Roman"/>
          <w:b/>
          <w:bCs/>
          <w:i/>
          <w:lang w:eastAsia="ja-JP"/>
        </w:rPr>
        <w:t xml:space="preserve">Interplay between feedback and learning strategies on clinical attachment – </w:t>
      </w:r>
      <w:r w:rsidRPr="003726FE">
        <w:rPr>
          <w:rFonts w:ascii="Cambria" w:eastAsia="Cambria" w:hAnsi="Cambria" w:cs="Times New Roman"/>
          <w:bCs/>
          <w:i/>
          <w:lang w:eastAsia="ja-JP"/>
        </w:rPr>
        <w:t>this topic aims to understand how clinical skills training and preparation has affected their current and future learning strategies, with a focus on the way feedback was given.</w:t>
      </w:r>
    </w:p>
    <w:p w14:paraId="34DEF321" w14:textId="77777777" w:rsidR="000F5B89" w:rsidRPr="003726FE" w:rsidRDefault="000F5B89" w:rsidP="000F5B89">
      <w:pPr>
        <w:tabs>
          <w:tab w:val="left" w:pos="5078"/>
        </w:tabs>
        <w:spacing w:after="0" w:line="360" w:lineRule="auto"/>
        <w:rPr>
          <w:rFonts w:ascii="Cambria" w:eastAsia="Cambria" w:hAnsi="Cambria" w:cs="Times New Roman"/>
          <w:b/>
          <w:bCs/>
          <w:lang w:eastAsia="ja-JP"/>
        </w:rPr>
      </w:pPr>
    </w:p>
    <w:p w14:paraId="6822100E" w14:textId="77777777" w:rsidR="000F5B89" w:rsidRPr="003726FE" w:rsidRDefault="000F5B89" w:rsidP="000F5B89">
      <w:pPr>
        <w:tabs>
          <w:tab w:val="left" w:pos="5078"/>
        </w:tabs>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Let’s move onto how clinical skills teaching and learning has impacted upon the way you approach the learning on attachment.</w:t>
      </w:r>
    </w:p>
    <w:p w14:paraId="7DCEC578" w14:textId="77777777" w:rsidR="000F5B89" w:rsidRPr="003726FE" w:rsidRDefault="000F5B89" w:rsidP="000F5B89">
      <w:pPr>
        <w:tabs>
          <w:tab w:val="left" w:pos="5078"/>
        </w:tabs>
        <w:spacing w:after="0" w:line="360" w:lineRule="auto"/>
        <w:rPr>
          <w:rFonts w:ascii="Cambria" w:eastAsia="Cambria" w:hAnsi="Cambria" w:cs="Times New Roman"/>
          <w:bCs/>
          <w:lang w:eastAsia="ja-JP"/>
        </w:rPr>
      </w:pPr>
    </w:p>
    <w:p w14:paraId="007A8B60" w14:textId="77777777"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How useful is the clinical skills training you received at the start of Phase 2A at SFH for what you do now on attachment? </w:t>
      </w:r>
    </w:p>
    <w:p w14:paraId="7841A23C"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do you think that is?</w:t>
      </w:r>
    </w:p>
    <w:p w14:paraId="08F9D921"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Apart from the procedural skills you were taught (i.e. venepuncture, history taking etc.) what else did you take forward from that teaching?</w:t>
      </w:r>
    </w:p>
    <w:p w14:paraId="740B7345"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Let’s revisit feedback again, how has the feedback you received during that training affected the way you approach learning both in general and on attachment?</w:t>
      </w:r>
    </w:p>
    <w:p w14:paraId="76520551"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about the feedback do you think caused that?</w:t>
      </w:r>
    </w:p>
    <w:p w14:paraId="43A2D9F4"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Who was it that gave that feedback? </w:t>
      </w:r>
      <w:r w:rsidRPr="003726FE">
        <w:rPr>
          <w:rFonts w:ascii="Cambria" w:eastAsia="Cambria" w:hAnsi="Cambria" w:cs="Times New Roman"/>
          <w:b/>
          <w:bCs/>
          <w:i/>
          <w:lang w:eastAsia="ja-JP"/>
        </w:rPr>
        <w:t>Follow up</w:t>
      </w:r>
    </w:p>
    <w:p w14:paraId="59904446" w14:textId="77777777" w:rsidR="000F5B89" w:rsidRPr="003726FE" w:rsidRDefault="000F5B89" w:rsidP="000F5B89">
      <w:pPr>
        <w:numPr>
          <w:ilvl w:val="1"/>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 doing differently now that you wouldn’t have done before you received that feedback?</w:t>
      </w:r>
    </w:p>
    <w:p w14:paraId="0E981B15" w14:textId="77777777" w:rsidR="000F5B89" w:rsidRPr="003726FE" w:rsidRDefault="000F5B89" w:rsidP="000F5B89">
      <w:pPr>
        <w:numPr>
          <w:ilvl w:val="0"/>
          <w:numId w:val="35"/>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does the feedback you received during skills training differ to the feedback you receive on attachment?</w:t>
      </w:r>
    </w:p>
    <w:p w14:paraId="7C53AC72"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explain why you think that?</w:t>
      </w:r>
    </w:p>
    <w:p w14:paraId="310B9DFB" w14:textId="77777777" w:rsidR="000F5B89" w:rsidRPr="003726FE" w:rsidRDefault="000F5B89" w:rsidP="000F5B89">
      <w:pPr>
        <w:numPr>
          <w:ilvl w:val="1"/>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effect does that have on you?</w:t>
      </w:r>
    </w:p>
    <w:p w14:paraId="25B876BC" w14:textId="3AF8BFE4" w:rsidR="000F5B89" w:rsidRPr="003726FE" w:rsidRDefault="000F5B89" w:rsidP="000F5B89">
      <w:pPr>
        <w:numPr>
          <w:ilvl w:val="0"/>
          <w:numId w:val="35"/>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Did you ever speak to other students about the feedback you received in clinical skills?</w:t>
      </w:r>
    </w:p>
    <w:p w14:paraId="30AFC7E4" w14:textId="73E65DD9"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
          <w:bCs/>
          <w:noProof/>
          <w:sz w:val="22"/>
          <w:lang w:eastAsia="en-GB"/>
        </w:rPr>
        <mc:AlternateContent>
          <mc:Choice Requires="wps">
            <w:drawing>
              <wp:anchor distT="45720" distB="45720" distL="114300" distR="114300" simplePos="0" relativeHeight="251968512" behindDoc="0" locked="0" layoutInCell="1" allowOverlap="1" wp14:anchorId="73E78993" wp14:editId="724BA29E">
                <wp:simplePos x="0" y="0"/>
                <wp:positionH relativeFrom="margin">
                  <wp:posOffset>58420</wp:posOffset>
                </wp:positionH>
                <wp:positionV relativeFrom="paragraph">
                  <wp:posOffset>237490</wp:posOffset>
                </wp:positionV>
                <wp:extent cx="5305425" cy="1259205"/>
                <wp:effectExtent l="0" t="0" r="28575" b="1714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59205"/>
                        </a:xfrm>
                        <a:prstGeom prst="rect">
                          <a:avLst/>
                        </a:prstGeom>
                        <a:solidFill>
                          <a:srgbClr val="FFFFFF"/>
                        </a:solidFill>
                        <a:ln w="9525">
                          <a:solidFill>
                            <a:srgbClr val="000000"/>
                          </a:solidFill>
                          <a:prstDash val="dash"/>
                          <a:miter lim="800000"/>
                          <a:headEnd/>
                          <a:tailEnd/>
                        </a:ln>
                      </wps:spPr>
                      <wps:txbx>
                        <w:txbxContent>
                          <w:p w14:paraId="3AEEC855" w14:textId="77777777" w:rsidR="00C8402C" w:rsidRDefault="00C8402C" w:rsidP="000F5B89">
                            <w:pPr>
                              <w:spacing w:line="360" w:lineRule="auto"/>
                              <w:rPr>
                                <w:b/>
                                <w:i/>
                              </w:rPr>
                            </w:pPr>
                            <w:r>
                              <w:rPr>
                                <w:i/>
                              </w:rPr>
                              <w:t>Additional questions (if needed):</w:t>
                            </w:r>
                          </w:p>
                          <w:p w14:paraId="75883606" w14:textId="77777777" w:rsidR="00C8402C" w:rsidRDefault="00C8402C" w:rsidP="000F5B89">
                            <w:pPr>
                              <w:pStyle w:val="ListParagraph"/>
                              <w:numPr>
                                <w:ilvl w:val="0"/>
                                <w:numId w:val="35"/>
                              </w:numPr>
                              <w:spacing w:after="0" w:line="360" w:lineRule="auto"/>
                              <w:rPr>
                                <w:b/>
                              </w:rPr>
                            </w:pPr>
                            <w:r>
                              <w:t>How has receiving feedback in the way impacted upon how you plan to use feedback in the future?</w:t>
                            </w:r>
                          </w:p>
                          <w:p w14:paraId="058D7985" w14:textId="77777777" w:rsidR="00C8402C" w:rsidRDefault="00C8402C" w:rsidP="000F5B89">
                            <w:pPr>
                              <w:pStyle w:val="ListParagraph"/>
                              <w:numPr>
                                <w:ilvl w:val="1"/>
                                <w:numId w:val="35"/>
                              </w:numPr>
                              <w:spacing w:after="0" w:line="360" w:lineRule="auto"/>
                            </w:pPr>
                            <w:r>
                              <w:t xml:space="preserve">If so/if not, why do think that?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E78993" id="_x0000_s1509" type="#_x0000_t202" style="position:absolute;margin-left:4.6pt;margin-top:18.7pt;width:417.75pt;height:99.1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">
                <v:stroke dashstyle="dash"/>
                <v:textbox>
                  <w:txbxContent>
                    <w:p w14:paraId="3AEEC855" w14:textId="77777777" w:rsidR="00C8402C" w:rsidRDefault="00C8402C" w:rsidP="000F5B89">
                      <w:pPr>
                        <w:spacing w:line="360" w:lineRule="auto"/>
                        <w:rPr>
                          <w:b/>
                          <w:i/>
                        </w:rPr>
                      </w:pPr>
                      <w:r>
                        <w:rPr>
                          <w:i/>
                        </w:rPr>
                        <w:t>Additional questions (if needed):</w:t>
                      </w:r>
                    </w:p>
                    <w:p w14:paraId="75883606" w14:textId="77777777" w:rsidR="00C8402C" w:rsidRDefault="00C8402C" w:rsidP="000F5B89">
                      <w:pPr>
                        <w:pStyle w:val="ListParagraph"/>
                        <w:numPr>
                          <w:ilvl w:val="0"/>
                          <w:numId w:val="35"/>
                        </w:numPr>
                        <w:spacing w:after="0" w:line="360" w:lineRule="auto"/>
                        <w:rPr>
                          <w:b/>
                        </w:rPr>
                      </w:pPr>
                      <w:r>
                        <w:t>How has receiving feedback in the way impacted upon how you plan to use feedback in the future?</w:t>
                      </w:r>
                    </w:p>
                    <w:p w14:paraId="058D7985" w14:textId="77777777" w:rsidR="00C8402C" w:rsidRDefault="00C8402C" w:rsidP="000F5B89">
                      <w:pPr>
                        <w:pStyle w:val="ListParagraph"/>
                        <w:numPr>
                          <w:ilvl w:val="1"/>
                          <w:numId w:val="35"/>
                        </w:numPr>
                        <w:spacing w:after="0" w:line="360" w:lineRule="auto"/>
                      </w:pPr>
                      <w:r>
                        <w:t xml:space="preserve">If so/if not, why do think that? </w:t>
                      </w:r>
                    </w:p>
                  </w:txbxContent>
                </v:textbox>
                <w10:wrap type="square" anchorx="margin"/>
              </v:shape>
            </w:pict>
          </mc:Fallback>
        </mc:AlternateContent>
      </w:r>
      <w:r w:rsidRPr="003726FE">
        <w:rPr>
          <w:rFonts w:ascii="Cambria" w:eastAsia="Cambria" w:hAnsi="Cambria" w:cs="Times New Roman"/>
          <w:bCs/>
          <w:lang w:eastAsia="ja-JP"/>
        </w:rPr>
        <w:br w:type="page"/>
      </w:r>
      <w:r w:rsidRPr="003726FE">
        <w:rPr>
          <w:rFonts w:ascii="Cambria" w:eastAsia="Cambria" w:hAnsi="Cambria" w:cs="Times New Roman"/>
          <w:b/>
          <w:bCs/>
          <w:lang w:eastAsia="ja-JP"/>
        </w:rPr>
        <w:lastRenderedPageBreak/>
        <w:t>Closing questions:</w:t>
      </w:r>
    </w:p>
    <w:p w14:paraId="62943524" w14:textId="77777777" w:rsidR="000F5B89" w:rsidRPr="003726FE" w:rsidRDefault="000F5B89" w:rsidP="000F5B89">
      <w:pPr>
        <w:spacing w:after="0" w:line="360" w:lineRule="auto"/>
        <w:rPr>
          <w:rFonts w:ascii="Cambria" w:eastAsia="Cambria" w:hAnsi="Cambria" w:cs="Times New Roman"/>
          <w:b/>
          <w:bCs/>
          <w:lang w:eastAsia="ja-JP"/>
        </w:rPr>
      </w:pPr>
    </w:p>
    <w:p w14:paraId="6AC79292" w14:textId="77777777" w:rsidR="000F5B89" w:rsidRPr="003726FE" w:rsidRDefault="000F5B89" w:rsidP="000F5B8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everything we’ve spoken about, I’d like to ask a few questions about your final thoughts on feedback and your experiences on the course this year.</w:t>
      </w:r>
    </w:p>
    <w:p w14:paraId="054EEBD8" w14:textId="77777777" w:rsidR="000F5B89" w:rsidRPr="003726FE" w:rsidRDefault="000F5B89" w:rsidP="000F5B89">
      <w:pPr>
        <w:spacing w:after="0" w:line="360" w:lineRule="auto"/>
        <w:rPr>
          <w:rFonts w:ascii="Cambria" w:eastAsia="Cambria" w:hAnsi="Cambria" w:cs="Times New Roman"/>
          <w:bCs/>
          <w:lang w:eastAsia="ja-JP"/>
        </w:rPr>
      </w:pPr>
    </w:p>
    <w:p w14:paraId="3FBA7A3C"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factors/moments/experiences/things has had an impact on how you approach your learning at medical school? OR During your time at medical school, has there ever been anything significant which has changed the way you approach your learning?</w:t>
      </w:r>
    </w:p>
    <w:p w14:paraId="6FF0358C"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Based on all our talk about feedback and learning strategies, what do you think is the best way of getting feedback at your specific stage of learning?</w:t>
      </w:r>
    </w:p>
    <w:p w14:paraId="6D432F52" w14:textId="77777777" w:rsidR="000F5B89" w:rsidRPr="003726FE" w:rsidRDefault="000F5B89" w:rsidP="000F5B8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has your approach to feedback and your feedback needs changed as you have become more experienced learners, is this happening already? Can you recognise a change either in how you recognise, use, or seek out feedback?</w:t>
      </w:r>
    </w:p>
    <w:p w14:paraId="457B598B" w14:textId="77777777" w:rsidR="000F5B89" w:rsidRPr="003726FE" w:rsidRDefault="000F5B89" w:rsidP="000F5B89">
      <w:pPr>
        <w:spacing w:after="0" w:line="360" w:lineRule="auto"/>
        <w:ind w:left="720"/>
        <w:contextualSpacing/>
        <w:rPr>
          <w:rFonts w:ascii="Cambria" w:eastAsia="Cambria" w:hAnsi="Cambria" w:cs="Times New Roman"/>
          <w:b/>
          <w:bCs/>
          <w:lang w:eastAsia="ja-JP"/>
        </w:rPr>
      </w:pPr>
    </w:p>
    <w:p w14:paraId="282713F9" w14:textId="77777777" w:rsidR="000F5B89" w:rsidRPr="003726FE" w:rsidRDefault="000F5B89" w:rsidP="000F5B8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Procedural:</w:t>
      </w:r>
    </w:p>
    <w:p w14:paraId="7E35EF33"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Do you have anything else you would like to add before we finish?</w:t>
      </w:r>
    </w:p>
    <w:p w14:paraId="76267D1F"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clarify or correct anything?</w:t>
      </w:r>
    </w:p>
    <w:p w14:paraId="3D9B095F"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ask me anything?</w:t>
      </w:r>
    </w:p>
    <w:p w14:paraId="7FC345C5"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Are there any comments you would like to remove from this interview recording?</w:t>
      </w:r>
    </w:p>
    <w:p w14:paraId="0158829E" w14:textId="77777777" w:rsidR="000F5B89" w:rsidRPr="003726FE" w:rsidRDefault="000F5B89" w:rsidP="000F5B8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mind completing a short demographic questionnaire? You do not have to do this but if you do it will be kept confidential and secure only used for research purposes.</w:t>
      </w:r>
    </w:p>
    <w:p w14:paraId="3B97982D" w14:textId="77777777" w:rsidR="000F5B89" w:rsidRPr="003726FE" w:rsidRDefault="000F5B89" w:rsidP="000F5B89">
      <w:pPr>
        <w:spacing w:after="0" w:line="240" w:lineRule="auto"/>
        <w:rPr>
          <w:rFonts w:ascii="Cambria" w:eastAsia="Cambria" w:hAnsi="Cambria" w:cs="Times New Roman"/>
          <w:b/>
          <w:bCs/>
          <w:lang w:eastAsia="ja-JP"/>
        </w:rPr>
      </w:pPr>
    </w:p>
    <w:p w14:paraId="41B5D9B4" w14:textId="77777777" w:rsidR="000F5B89" w:rsidRPr="003726FE" w:rsidRDefault="000F5B89" w:rsidP="000F5B89">
      <w:pPr>
        <w:spacing w:after="0" w:line="240" w:lineRule="auto"/>
        <w:rPr>
          <w:rFonts w:ascii="Cambria" w:eastAsia="Cambria" w:hAnsi="Cambria" w:cs="Times New Roman"/>
          <w:b/>
          <w:bCs/>
          <w:u w:val="single"/>
          <w:lang w:eastAsia="ja-JP"/>
        </w:rPr>
      </w:pPr>
    </w:p>
    <w:p w14:paraId="786DAE25" w14:textId="77777777" w:rsidR="000F5B89" w:rsidRPr="003726FE" w:rsidRDefault="000F5B89" w:rsidP="000F5B89">
      <w:pPr>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concludes</w:t>
      </w:r>
    </w:p>
    <w:p w14:paraId="22BEC6E4" w14:textId="77777777" w:rsidR="000F5B89" w:rsidRPr="003726FE" w:rsidRDefault="000F5B89" w:rsidP="000F5B89">
      <w:pPr>
        <w:spacing w:after="0" w:line="240" w:lineRule="auto"/>
        <w:rPr>
          <w:rFonts w:ascii="Cambria" w:eastAsia="Cambria" w:hAnsi="Cambria" w:cs="Times New Roman"/>
          <w:b/>
          <w:bCs/>
          <w:lang w:eastAsia="ja-JP"/>
        </w:rPr>
      </w:pPr>
    </w:p>
    <w:p w14:paraId="0BE0DFA4" w14:textId="77777777" w:rsidR="000F5B89" w:rsidRPr="003726FE" w:rsidRDefault="000F5B89" w:rsidP="000F5B89">
      <w:pPr>
        <w:spacing w:after="0" w:line="240" w:lineRule="auto"/>
        <w:rPr>
          <w:rFonts w:ascii="Cambria" w:eastAsia="Cambria" w:hAnsi="Cambria" w:cs="Times New Roman"/>
          <w:b/>
          <w:bCs/>
          <w:lang w:eastAsia="ja-JP"/>
        </w:rPr>
      </w:pPr>
    </w:p>
    <w:p w14:paraId="4CF03CA4" w14:textId="77777777" w:rsidR="000F5B89" w:rsidRPr="003726FE" w:rsidRDefault="000F5B89" w:rsidP="000F5B8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Facilitator thanks the participants for their time. They are reminded that their data will be anonymised in reports and that they are still free to withdraw their data at any time up until publication.</w:t>
      </w:r>
    </w:p>
    <w:p w14:paraId="76CC4C2C" w14:textId="77777777" w:rsidR="000F5B89" w:rsidRPr="003726FE" w:rsidRDefault="000F5B89" w:rsidP="000F5B89">
      <w:pPr>
        <w:pStyle w:val="Normal1"/>
        <w:rPr>
          <w:lang w:val="en-GB"/>
        </w:rPr>
      </w:pPr>
    </w:p>
    <w:p w14:paraId="6652417E" w14:textId="4E7FB771" w:rsidR="009C6829" w:rsidRPr="003726FE" w:rsidRDefault="009C6829">
      <w:pPr>
        <w:rPr>
          <w:rFonts w:eastAsia="Lucida Sans Unicode" w:cs="Mangal"/>
          <w:kern w:val="1"/>
          <w:szCs w:val="24"/>
          <w:lang w:eastAsia="hi-IN" w:bidi="hi-IN"/>
        </w:rPr>
      </w:pPr>
    </w:p>
    <w:p w14:paraId="57AA8122" w14:textId="77777777" w:rsidR="000F5B89" w:rsidRPr="003726FE" w:rsidRDefault="000F5B89">
      <w:pPr>
        <w:rPr>
          <w:rFonts w:eastAsia="Lucida Sans Unicode" w:cs="Mangal"/>
          <w:b/>
          <w:kern w:val="1"/>
          <w:sz w:val="28"/>
          <w:szCs w:val="24"/>
          <w:lang w:eastAsia="hi-IN" w:bidi="hi-IN"/>
        </w:rPr>
      </w:pPr>
      <w:r w:rsidRPr="003726FE">
        <w:br w:type="page"/>
      </w:r>
    </w:p>
    <w:p w14:paraId="0740CFBB" w14:textId="4F9DB36B" w:rsidR="001D4448" w:rsidRPr="003726FE" w:rsidRDefault="009C6829" w:rsidP="00B1638D">
      <w:pPr>
        <w:pStyle w:val="Heading2"/>
        <w:rPr>
          <w:lang w:val="en-GB"/>
        </w:rPr>
      </w:pPr>
      <w:bookmarkStart w:id="1008" w:name="_Toc500319493"/>
      <w:r w:rsidRPr="003726FE">
        <w:rPr>
          <w:lang w:val="en-GB"/>
        </w:rPr>
        <w:lastRenderedPageBreak/>
        <w:t xml:space="preserve">Appendix </w:t>
      </w:r>
      <w:r w:rsidR="006265D2" w:rsidRPr="003726FE">
        <w:rPr>
          <w:lang w:val="en-GB"/>
        </w:rPr>
        <w:t>2</w:t>
      </w:r>
      <w:r w:rsidR="009F0E25" w:rsidRPr="003726FE">
        <w:rPr>
          <w:lang w:val="en-GB"/>
        </w:rPr>
        <w:t>2</w:t>
      </w:r>
      <w:r w:rsidRPr="003726FE">
        <w:rPr>
          <w:lang w:val="en-GB"/>
        </w:rPr>
        <w:t xml:space="preserve">. Day </w:t>
      </w:r>
      <w:r w:rsidR="00912749" w:rsidRPr="003726FE">
        <w:rPr>
          <w:lang w:val="en-GB"/>
        </w:rPr>
        <w:t>Reconstruction Diary</w:t>
      </w:r>
      <w:r w:rsidRPr="003726FE">
        <w:rPr>
          <w:lang w:val="en-GB"/>
        </w:rPr>
        <w:t>.</w:t>
      </w:r>
      <w:bookmarkEnd w:id="1008"/>
    </w:p>
    <w:p w14:paraId="6B628219" w14:textId="77777777" w:rsidR="009C6829" w:rsidRPr="003726FE" w:rsidRDefault="009C6829" w:rsidP="001D4448">
      <w:pPr>
        <w:pStyle w:val="Normal1"/>
        <w:rPr>
          <w:lang w:val="en-GB"/>
        </w:rPr>
      </w:pPr>
    </w:p>
    <w:p w14:paraId="18015CC8" w14:textId="77777777" w:rsidR="009C6829" w:rsidRPr="003726FE" w:rsidRDefault="009C6829" w:rsidP="009C6829">
      <w:pPr>
        <w:jc w:val="center"/>
        <w:rPr>
          <w:rFonts w:asciiTheme="minorHAnsi" w:hAnsiTheme="minorHAnsi"/>
          <w:b/>
          <w:sz w:val="22"/>
        </w:rPr>
      </w:pPr>
      <w:r w:rsidRPr="003726FE">
        <w:rPr>
          <w:rFonts w:asciiTheme="minorHAnsi" w:hAnsiTheme="minorHAnsi"/>
          <w:b/>
          <w:sz w:val="22"/>
        </w:rPr>
        <w:t>The Day Reconstruction Diary</w:t>
      </w:r>
    </w:p>
    <w:p w14:paraId="07512745" w14:textId="77777777" w:rsidR="009C6829" w:rsidRPr="003726FE" w:rsidRDefault="009C6829" w:rsidP="009C6829">
      <w:pPr>
        <w:jc w:val="center"/>
        <w:rPr>
          <w:rFonts w:asciiTheme="minorHAnsi" w:hAnsiTheme="minorHAnsi"/>
          <w:sz w:val="22"/>
        </w:rPr>
      </w:pPr>
    </w:p>
    <w:p w14:paraId="4F5C47E6"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1</w:t>
      </w:r>
    </w:p>
    <w:p w14:paraId="223F277C" w14:textId="77777777" w:rsidR="009C6829" w:rsidRPr="003726FE" w:rsidRDefault="009C6829" w:rsidP="009C6829">
      <w:pPr>
        <w:rPr>
          <w:rFonts w:asciiTheme="minorHAnsi" w:hAnsiTheme="minorHAnsi"/>
          <w:sz w:val="22"/>
        </w:rPr>
      </w:pPr>
      <w:r w:rsidRPr="003726FE">
        <w:rPr>
          <w:rFonts w:asciiTheme="minorHAnsi" w:hAnsiTheme="minorHAnsi"/>
          <w:sz w:val="22"/>
        </w:rPr>
        <w:t>First Name:</w:t>
      </w:r>
    </w:p>
    <w:p w14:paraId="6BDA8D38" w14:textId="77777777" w:rsidR="009C6829" w:rsidRPr="003726FE" w:rsidRDefault="009C6829" w:rsidP="009C6829">
      <w:pPr>
        <w:rPr>
          <w:rFonts w:asciiTheme="minorHAnsi" w:hAnsiTheme="minorHAnsi"/>
          <w:sz w:val="22"/>
        </w:rPr>
      </w:pPr>
      <w:r w:rsidRPr="003726FE">
        <w:rPr>
          <w:rFonts w:asciiTheme="minorHAnsi" w:hAnsiTheme="minorHAnsi"/>
          <w:sz w:val="22"/>
        </w:rPr>
        <w:t>Surname:</w:t>
      </w:r>
    </w:p>
    <w:p w14:paraId="3A68A0FE" w14:textId="77777777" w:rsidR="009C6829" w:rsidRPr="003726FE" w:rsidRDefault="009C6829" w:rsidP="009C6829">
      <w:pPr>
        <w:rPr>
          <w:rFonts w:asciiTheme="minorHAnsi" w:hAnsiTheme="minorHAnsi"/>
          <w:sz w:val="22"/>
        </w:rPr>
      </w:pPr>
      <w:r w:rsidRPr="003726FE">
        <w:rPr>
          <w:rFonts w:asciiTheme="minorHAnsi" w:hAnsiTheme="minorHAnsi"/>
          <w:sz w:val="22"/>
        </w:rPr>
        <w:t>What date will you be reflecting on in this diary?</w:t>
      </w:r>
    </w:p>
    <w:p w14:paraId="5AF50FA8" w14:textId="77777777" w:rsidR="009C6829" w:rsidRPr="003726FE" w:rsidRDefault="009C6829" w:rsidP="009C6829">
      <w:pPr>
        <w:rPr>
          <w:rFonts w:asciiTheme="minorHAnsi" w:hAnsiTheme="minorHAnsi"/>
          <w:sz w:val="22"/>
        </w:rPr>
      </w:pPr>
      <w:r w:rsidRPr="003726FE">
        <w:rPr>
          <w:rFonts w:asciiTheme="minorHAnsi" w:hAnsiTheme="minorHAnsi"/>
          <w:sz w:val="22"/>
        </w:rPr>
        <w:t>______________________________</w:t>
      </w:r>
    </w:p>
    <w:p w14:paraId="066682A4" w14:textId="77777777" w:rsidR="009C6829" w:rsidRPr="003726FE" w:rsidRDefault="009C6829" w:rsidP="009C6829">
      <w:pPr>
        <w:rPr>
          <w:rFonts w:asciiTheme="minorHAnsi" w:hAnsiTheme="minorHAnsi"/>
          <w:sz w:val="22"/>
        </w:rPr>
      </w:pPr>
    </w:p>
    <w:p w14:paraId="25AE828E"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2</w:t>
      </w:r>
    </w:p>
    <w:p w14:paraId="32D3452C" w14:textId="77777777" w:rsidR="009C6829" w:rsidRPr="003726FE" w:rsidRDefault="009C6829" w:rsidP="009C6829">
      <w:pPr>
        <w:jc w:val="center"/>
        <w:rPr>
          <w:rFonts w:asciiTheme="minorHAnsi" w:hAnsiTheme="minorHAnsi"/>
          <w:b/>
          <w:sz w:val="22"/>
        </w:rPr>
      </w:pPr>
      <w:r w:rsidRPr="003726FE">
        <w:rPr>
          <w:rFonts w:asciiTheme="minorHAnsi" w:hAnsiTheme="minorHAnsi"/>
          <w:b/>
          <w:sz w:val="22"/>
        </w:rPr>
        <w:t>Guidance</w:t>
      </w:r>
    </w:p>
    <w:p w14:paraId="6E117CAD" w14:textId="77777777" w:rsidR="009C6829" w:rsidRPr="003726FE" w:rsidRDefault="009C6829" w:rsidP="009C6829">
      <w:pPr>
        <w:rPr>
          <w:rFonts w:asciiTheme="minorHAnsi" w:hAnsiTheme="minorHAnsi"/>
          <w:sz w:val="22"/>
        </w:rPr>
      </w:pPr>
      <w:r w:rsidRPr="003726FE">
        <w:rPr>
          <w:rFonts w:asciiTheme="minorHAnsi" w:hAnsiTheme="minorHAnsi"/>
          <w:sz w:val="22"/>
        </w:rPr>
        <w:t>The purpose of this diary is to help us understand how you experience placement on a daily basis. It will help to inform and supplement our interview where we will explore your experiences in a more detailed way. On the next few screens we'd like you to reconstruct what your day was like, as if you were writing in your diary. This is split into morning, afternoon, and evening – followed by a final summary.</w:t>
      </w:r>
    </w:p>
    <w:p w14:paraId="2FE8F4EE" w14:textId="77777777" w:rsidR="009C6829" w:rsidRPr="003726FE" w:rsidRDefault="009C6829" w:rsidP="009C6829">
      <w:pPr>
        <w:rPr>
          <w:rFonts w:asciiTheme="minorHAnsi" w:hAnsiTheme="minorHAnsi"/>
          <w:b/>
          <w:sz w:val="22"/>
        </w:rPr>
      </w:pPr>
    </w:p>
    <w:p w14:paraId="17092083" w14:textId="77777777" w:rsidR="009C6829" w:rsidRPr="003726FE" w:rsidRDefault="009C6829" w:rsidP="009C6829">
      <w:pPr>
        <w:rPr>
          <w:rFonts w:asciiTheme="minorHAnsi" w:hAnsiTheme="minorHAnsi"/>
          <w:sz w:val="22"/>
        </w:rPr>
      </w:pPr>
      <w:r w:rsidRPr="003726FE">
        <w:rPr>
          <w:rFonts w:asciiTheme="minorHAnsi" w:hAnsiTheme="minorHAnsi"/>
          <w:sz w:val="22"/>
        </w:rPr>
        <w:t>As you write, it might be helpful to think about certain events as small episodes which you narrate. Try to think about what you did, why you did it, where you were, who was there, and what the outcomes were.</w:t>
      </w:r>
    </w:p>
    <w:p w14:paraId="5430F118" w14:textId="77777777" w:rsidR="009C6829" w:rsidRPr="003726FE" w:rsidRDefault="009C6829" w:rsidP="009C6829">
      <w:pPr>
        <w:rPr>
          <w:rFonts w:asciiTheme="minorHAnsi" w:hAnsiTheme="minorHAnsi"/>
          <w:b/>
          <w:sz w:val="22"/>
        </w:rPr>
      </w:pPr>
    </w:p>
    <w:p w14:paraId="749E05B3" w14:textId="77777777" w:rsidR="009C6829" w:rsidRPr="003726FE" w:rsidRDefault="009C6829" w:rsidP="009C6829">
      <w:pPr>
        <w:rPr>
          <w:rFonts w:asciiTheme="minorHAnsi" w:hAnsiTheme="minorHAnsi"/>
          <w:sz w:val="22"/>
        </w:rPr>
      </w:pPr>
      <w:r w:rsidRPr="003726FE">
        <w:rPr>
          <w:rFonts w:asciiTheme="minorHAnsi" w:hAnsiTheme="minorHAnsi"/>
          <w:sz w:val="22"/>
        </w:rPr>
        <w:t>We ask that you complete this diary either at the end of the day you have chosen to record, or as soon as you can the next day so not to forget or misremember the events of the day. However, we are not strict with this and it will not affect your participation in the study if you do not follow this recommendation to the letter.</w:t>
      </w:r>
    </w:p>
    <w:p w14:paraId="6D4D9804"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3</w:t>
      </w:r>
    </w:p>
    <w:p w14:paraId="54CDB22F" w14:textId="77777777" w:rsidR="009C6829" w:rsidRPr="003726FE" w:rsidRDefault="009C6829" w:rsidP="009C6829">
      <w:pPr>
        <w:rPr>
          <w:rFonts w:asciiTheme="minorHAnsi" w:hAnsiTheme="minorHAnsi"/>
          <w:sz w:val="22"/>
        </w:rPr>
      </w:pPr>
      <w:r w:rsidRPr="003726FE">
        <w:rPr>
          <w:rFonts w:asciiTheme="minorHAnsi" w:hAnsiTheme="minorHAnsi"/>
          <w:sz w:val="22"/>
        </w:rPr>
        <w:t>Please provide a record of your activities and reflections for the</w:t>
      </w:r>
      <w:r w:rsidRPr="003726FE">
        <w:rPr>
          <w:rFonts w:asciiTheme="minorHAnsi" w:hAnsiTheme="minorHAnsi"/>
          <w:b/>
          <w:sz w:val="22"/>
        </w:rPr>
        <w:t xml:space="preserve"> Morning</w:t>
      </w:r>
      <w:r w:rsidRPr="003726FE">
        <w:rPr>
          <w:rFonts w:asciiTheme="minorHAnsi" w:hAnsiTheme="minorHAnsi"/>
          <w:sz w:val="22"/>
        </w:rPr>
        <w:t xml:space="preserve"> (from when you woke up until just before lunch time)</w:t>
      </w:r>
    </w:p>
    <w:p w14:paraId="7239A218" w14:textId="77777777" w:rsidR="009C6829" w:rsidRPr="003726FE" w:rsidRDefault="009C6829" w:rsidP="009C6829">
      <w:pPr>
        <w:rPr>
          <w:rFonts w:asciiTheme="minorHAnsi" w:hAnsiTheme="minorHAnsi"/>
          <w:i/>
          <w:sz w:val="22"/>
        </w:rPr>
      </w:pPr>
      <w:r w:rsidRPr="003726FE">
        <w:rPr>
          <w:rFonts w:asciiTheme="minorHAnsi" w:hAnsiTheme="minorHAnsi"/>
          <w:i/>
          <w:sz w:val="22"/>
        </w:rPr>
        <w:t>Think about what you did, the decisions you made and why, what you were thinking at the time?</w:t>
      </w:r>
    </w:p>
    <w:p w14:paraId="280C5793" w14:textId="77777777" w:rsidR="009C6829" w:rsidRPr="003726FE" w:rsidRDefault="009C6829" w:rsidP="009C6829">
      <w:pPr>
        <w:jc w:val="center"/>
        <w:rPr>
          <w:rFonts w:asciiTheme="minorHAnsi" w:hAnsiTheme="minorHAnsi"/>
          <w:sz w:val="22"/>
        </w:rPr>
      </w:pPr>
    </w:p>
    <w:p w14:paraId="7C8868C2"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4</w:t>
      </w:r>
    </w:p>
    <w:p w14:paraId="1827C9D3" w14:textId="77777777" w:rsidR="009C6829" w:rsidRPr="003726FE" w:rsidRDefault="009C6829" w:rsidP="009C6829">
      <w:pPr>
        <w:rPr>
          <w:rFonts w:asciiTheme="minorHAnsi" w:hAnsiTheme="minorHAnsi"/>
          <w:sz w:val="22"/>
        </w:rPr>
      </w:pPr>
      <w:r w:rsidRPr="003726FE">
        <w:rPr>
          <w:rFonts w:asciiTheme="minorHAnsi" w:hAnsiTheme="minorHAnsi"/>
          <w:sz w:val="22"/>
        </w:rPr>
        <w:t>Please provide a record of your activities and reflections for the</w:t>
      </w:r>
      <w:r w:rsidRPr="003726FE">
        <w:rPr>
          <w:rFonts w:asciiTheme="minorHAnsi" w:hAnsiTheme="minorHAnsi"/>
          <w:b/>
          <w:sz w:val="22"/>
        </w:rPr>
        <w:t xml:space="preserve"> Afternoon</w:t>
      </w:r>
      <w:r w:rsidRPr="003726FE">
        <w:rPr>
          <w:rFonts w:asciiTheme="minorHAnsi" w:hAnsiTheme="minorHAnsi"/>
          <w:sz w:val="22"/>
        </w:rPr>
        <w:t xml:space="preserve"> (from lunchtime up until just before dinnertime)</w:t>
      </w:r>
    </w:p>
    <w:p w14:paraId="49765421" w14:textId="77777777" w:rsidR="009C6829" w:rsidRPr="003726FE" w:rsidRDefault="009C6829" w:rsidP="009C6829">
      <w:pPr>
        <w:rPr>
          <w:rFonts w:asciiTheme="minorHAnsi" w:hAnsiTheme="minorHAnsi"/>
          <w:i/>
          <w:sz w:val="22"/>
        </w:rPr>
      </w:pPr>
      <w:r w:rsidRPr="003726FE">
        <w:rPr>
          <w:rFonts w:asciiTheme="minorHAnsi" w:hAnsiTheme="minorHAnsi"/>
          <w:i/>
          <w:sz w:val="22"/>
        </w:rPr>
        <w:lastRenderedPageBreak/>
        <w:t>Think about what you did, the decisions you made and why, what you were thinking at the time?</w:t>
      </w:r>
    </w:p>
    <w:p w14:paraId="5B8663D5" w14:textId="77777777" w:rsidR="009C6829" w:rsidRPr="003726FE" w:rsidRDefault="009C6829" w:rsidP="009C6829">
      <w:pPr>
        <w:jc w:val="center"/>
        <w:rPr>
          <w:rFonts w:asciiTheme="minorHAnsi" w:hAnsiTheme="minorHAnsi"/>
          <w:sz w:val="22"/>
        </w:rPr>
      </w:pPr>
    </w:p>
    <w:p w14:paraId="4DB0C728"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5</w:t>
      </w:r>
    </w:p>
    <w:p w14:paraId="11D52F23" w14:textId="77777777" w:rsidR="009C6829" w:rsidRPr="003726FE" w:rsidRDefault="009C6829" w:rsidP="009C6829">
      <w:pPr>
        <w:rPr>
          <w:rFonts w:asciiTheme="minorHAnsi" w:hAnsiTheme="minorHAnsi"/>
          <w:sz w:val="22"/>
        </w:rPr>
      </w:pPr>
      <w:r w:rsidRPr="003726FE">
        <w:rPr>
          <w:rFonts w:asciiTheme="minorHAnsi" w:hAnsiTheme="minorHAnsi"/>
          <w:sz w:val="22"/>
        </w:rPr>
        <w:t>Please provide a record of your activities and reflections for the</w:t>
      </w:r>
      <w:r w:rsidRPr="003726FE">
        <w:rPr>
          <w:rFonts w:asciiTheme="minorHAnsi" w:hAnsiTheme="minorHAnsi"/>
          <w:b/>
          <w:sz w:val="22"/>
        </w:rPr>
        <w:t xml:space="preserve"> Evening</w:t>
      </w:r>
      <w:r w:rsidRPr="003726FE">
        <w:rPr>
          <w:rFonts w:asciiTheme="minorHAnsi" w:hAnsiTheme="minorHAnsi"/>
          <w:sz w:val="22"/>
        </w:rPr>
        <w:t xml:space="preserve"> (from dinnertime until just before you went to sleep)</w:t>
      </w:r>
    </w:p>
    <w:p w14:paraId="3A7E10E1" w14:textId="77777777" w:rsidR="009C6829" w:rsidRPr="003726FE" w:rsidRDefault="009C6829" w:rsidP="009C6829">
      <w:pPr>
        <w:rPr>
          <w:rFonts w:asciiTheme="minorHAnsi" w:hAnsiTheme="minorHAnsi"/>
          <w:i/>
          <w:sz w:val="22"/>
        </w:rPr>
      </w:pPr>
      <w:r w:rsidRPr="003726FE">
        <w:rPr>
          <w:rFonts w:asciiTheme="minorHAnsi" w:hAnsiTheme="minorHAnsi"/>
          <w:i/>
          <w:sz w:val="22"/>
        </w:rPr>
        <w:t>Think about what you did, the decisions you made and why, what you were thinking at the time?</w:t>
      </w:r>
    </w:p>
    <w:p w14:paraId="115A664D" w14:textId="77777777" w:rsidR="009C6829" w:rsidRPr="003726FE" w:rsidRDefault="009C6829" w:rsidP="009C6829">
      <w:pPr>
        <w:rPr>
          <w:rFonts w:asciiTheme="minorHAnsi" w:hAnsiTheme="minorHAnsi"/>
          <w:sz w:val="22"/>
        </w:rPr>
      </w:pPr>
    </w:p>
    <w:p w14:paraId="5413544A"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6</w:t>
      </w:r>
    </w:p>
    <w:p w14:paraId="04957D31" w14:textId="77777777" w:rsidR="009C6829" w:rsidRPr="003726FE" w:rsidRDefault="009C6829" w:rsidP="009C6829">
      <w:pPr>
        <w:rPr>
          <w:rFonts w:asciiTheme="minorHAnsi" w:hAnsiTheme="minorHAnsi"/>
          <w:i/>
          <w:sz w:val="22"/>
        </w:rPr>
      </w:pPr>
      <w:r w:rsidRPr="003726FE">
        <w:rPr>
          <w:rFonts w:asciiTheme="minorHAnsi" w:hAnsiTheme="minorHAnsi"/>
          <w:sz w:val="22"/>
        </w:rPr>
        <w:t>What are your overall reflections on this day?</w:t>
      </w:r>
      <w:r w:rsidRPr="003726FE">
        <w:rPr>
          <w:rFonts w:asciiTheme="minorHAnsi" w:hAnsiTheme="minorHAnsi"/>
          <w:i/>
          <w:sz w:val="22"/>
        </w:rPr>
        <w:t xml:space="preserve"> </w:t>
      </w:r>
    </w:p>
    <w:p w14:paraId="75F08043" w14:textId="77777777" w:rsidR="009C6829" w:rsidRPr="003726FE" w:rsidRDefault="009C6829" w:rsidP="009C6829">
      <w:pPr>
        <w:rPr>
          <w:rFonts w:asciiTheme="minorHAnsi" w:hAnsiTheme="minorHAnsi"/>
          <w:sz w:val="22"/>
        </w:rPr>
      </w:pPr>
      <w:r w:rsidRPr="003726FE">
        <w:rPr>
          <w:rFonts w:asciiTheme="minorHAnsi" w:hAnsiTheme="minorHAnsi"/>
          <w:sz w:val="22"/>
        </w:rPr>
        <w:t>________________________________________________________</w:t>
      </w:r>
    </w:p>
    <w:p w14:paraId="267584C6" w14:textId="77777777" w:rsidR="009C6829" w:rsidRPr="003726FE" w:rsidRDefault="009C6829" w:rsidP="009C6829">
      <w:pPr>
        <w:rPr>
          <w:rFonts w:asciiTheme="minorHAnsi" w:hAnsiTheme="minorHAnsi"/>
          <w:i/>
          <w:sz w:val="22"/>
        </w:rPr>
      </w:pPr>
      <w:r w:rsidRPr="003726FE">
        <w:rPr>
          <w:rFonts w:asciiTheme="minorHAnsi" w:hAnsiTheme="minorHAnsi"/>
          <w:sz w:val="22"/>
        </w:rPr>
        <w:t>How typical yesterday was for that day of the week (i.e., for a Monday, for a Tuesday, or so on). Compared to what that day of the week usually is like, yesterday was (please circle one)</w:t>
      </w:r>
    </w:p>
    <w:p w14:paraId="05737248" w14:textId="77777777" w:rsidR="009C6829" w:rsidRPr="003726FE" w:rsidRDefault="009C6829" w:rsidP="009C6829">
      <w:pPr>
        <w:numPr>
          <w:ilvl w:val="0"/>
          <w:numId w:val="43"/>
        </w:numPr>
        <w:contextualSpacing/>
        <w:rPr>
          <w:rFonts w:asciiTheme="minorHAnsi" w:hAnsiTheme="minorHAnsi"/>
          <w:sz w:val="22"/>
        </w:rPr>
      </w:pPr>
      <w:r w:rsidRPr="003726FE">
        <w:rPr>
          <w:rFonts w:asciiTheme="minorHAnsi" w:hAnsiTheme="minorHAnsi"/>
          <w:sz w:val="22"/>
        </w:rPr>
        <w:t>Much Worse</w:t>
      </w:r>
    </w:p>
    <w:p w14:paraId="38F3D92C" w14:textId="77777777" w:rsidR="009C6829" w:rsidRPr="003726FE" w:rsidRDefault="009C6829" w:rsidP="009C6829">
      <w:pPr>
        <w:numPr>
          <w:ilvl w:val="0"/>
          <w:numId w:val="43"/>
        </w:numPr>
        <w:contextualSpacing/>
        <w:rPr>
          <w:rFonts w:asciiTheme="minorHAnsi" w:hAnsiTheme="minorHAnsi"/>
          <w:sz w:val="22"/>
        </w:rPr>
      </w:pPr>
      <w:r w:rsidRPr="003726FE">
        <w:rPr>
          <w:rFonts w:asciiTheme="minorHAnsi" w:hAnsiTheme="minorHAnsi"/>
          <w:sz w:val="22"/>
        </w:rPr>
        <w:t>Somewhat worse</w:t>
      </w:r>
    </w:p>
    <w:p w14:paraId="7DDF3C7B" w14:textId="77777777" w:rsidR="009C6829" w:rsidRPr="003726FE" w:rsidRDefault="009C6829" w:rsidP="009C6829">
      <w:pPr>
        <w:numPr>
          <w:ilvl w:val="0"/>
          <w:numId w:val="43"/>
        </w:numPr>
        <w:contextualSpacing/>
        <w:rPr>
          <w:rFonts w:asciiTheme="minorHAnsi" w:hAnsiTheme="minorHAnsi"/>
          <w:sz w:val="22"/>
        </w:rPr>
      </w:pPr>
      <w:r w:rsidRPr="003726FE">
        <w:rPr>
          <w:rFonts w:asciiTheme="minorHAnsi" w:hAnsiTheme="minorHAnsi"/>
          <w:sz w:val="22"/>
        </w:rPr>
        <w:t xml:space="preserve">Pretty typical </w:t>
      </w:r>
    </w:p>
    <w:p w14:paraId="7820302B" w14:textId="77777777" w:rsidR="009C6829" w:rsidRPr="003726FE" w:rsidRDefault="009C6829" w:rsidP="009C6829">
      <w:pPr>
        <w:numPr>
          <w:ilvl w:val="0"/>
          <w:numId w:val="43"/>
        </w:numPr>
        <w:contextualSpacing/>
        <w:rPr>
          <w:rFonts w:asciiTheme="minorHAnsi" w:hAnsiTheme="minorHAnsi"/>
          <w:sz w:val="22"/>
        </w:rPr>
      </w:pPr>
      <w:r w:rsidRPr="003726FE">
        <w:rPr>
          <w:rFonts w:asciiTheme="minorHAnsi" w:hAnsiTheme="minorHAnsi"/>
          <w:sz w:val="22"/>
        </w:rPr>
        <w:t>Somewhat better</w:t>
      </w:r>
    </w:p>
    <w:p w14:paraId="05E4DAA2" w14:textId="77777777" w:rsidR="009C6829" w:rsidRPr="003726FE" w:rsidRDefault="009C6829" w:rsidP="009C6829">
      <w:pPr>
        <w:numPr>
          <w:ilvl w:val="0"/>
          <w:numId w:val="43"/>
        </w:numPr>
        <w:contextualSpacing/>
        <w:rPr>
          <w:rFonts w:asciiTheme="minorHAnsi" w:hAnsiTheme="minorHAnsi"/>
          <w:sz w:val="22"/>
        </w:rPr>
      </w:pPr>
      <w:r w:rsidRPr="003726FE">
        <w:rPr>
          <w:rFonts w:asciiTheme="minorHAnsi" w:hAnsiTheme="minorHAnsi"/>
          <w:sz w:val="22"/>
        </w:rPr>
        <w:t>Much Better</w:t>
      </w:r>
    </w:p>
    <w:p w14:paraId="37A439D1" w14:textId="77777777" w:rsidR="009C6829" w:rsidRPr="003726FE" w:rsidRDefault="009C6829" w:rsidP="009C6829">
      <w:pPr>
        <w:jc w:val="center"/>
        <w:rPr>
          <w:rFonts w:asciiTheme="minorHAnsi" w:hAnsiTheme="minorHAnsi"/>
          <w:sz w:val="22"/>
        </w:rPr>
      </w:pPr>
    </w:p>
    <w:p w14:paraId="324ACCE9"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Page 7 (confirmation screen)</w:t>
      </w:r>
    </w:p>
    <w:p w14:paraId="7AA3D325" w14:textId="77777777" w:rsidR="009C6829" w:rsidRPr="003726FE" w:rsidRDefault="009C6829" w:rsidP="009C6829">
      <w:pPr>
        <w:rPr>
          <w:rFonts w:asciiTheme="minorHAnsi" w:hAnsiTheme="minorHAnsi"/>
          <w:sz w:val="22"/>
        </w:rPr>
      </w:pPr>
    </w:p>
    <w:p w14:paraId="79E81DBC"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Thank you for filling in this diary.</w:t>
      </w:r>
    </w:p>
    <w:p w14:paraId="58C9B9B2"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You may decide that some these reflections are worth entering into your portfolio. You are welcome to do so but be sure to click “send me a copy of my responses” so that you receive your completed form in your emails.</w:t>
      </w:r>
    </w:p>
    <w:p w14:paraId="4DE5BA01" w14:textId="77777777" w:rsidR="009C6829" w:rsidRPr="003726FE" w:rsidRDefault="009C6829" w:rsidP="009C6829">
      <w:pPr>
        <w:jc w:val="center"/>
        <w:rPr>
          <w:rFonts w:asciiTheme="minorHAnsi" w:hAnsiTheme="minorHAnsi"/>
          <w:sz w:val="22"/>
        </w:rPr>
      </w:pPr>
      <w:r w:rsidRPr="003726FE">
        <w:rPr>
          <w:rFonts w:asciiTheme="minorHAnsi" w:hAnsiTheme="minorHAnsi"/>
          <w:sz w:val="22"/>
        </w:rPr>
        <w:t>You do not need to bring anything with you to the follow-up interview.</w:t>
      </w:r>
    </w:p>
    <w:p w14:paraId="7699DB44" w14:textId="3D25D984" w:rsidR="009C6829" w:rsidRPr="003726FE" w:rsidRDefault="009C6829">
      <w:pPr>
        <w:rPr>
          <w:rFonts w:eastAsia="Lucida Sans Unicode" w:cs="Mangal"/>
          <w:kern w:val="1"/>
          <w:szCs w:val="24"/>
          <w:lang w:eastAsia="hi-IN" w:bidi="hi-IN"/>
        </w:rPr>
      </w:pPr>
      <w:r w:rsidRPr="003726FE">
        <w:br w:type="page"/>
      </w:r>
    </w:p>
    <w:p w14:paraId="70166E19" w14:textId="6915FA70" w:rsidR="009C6829" w:rsidRPr="003726FE" w:rsidRDefault="009C6829" w:rsidP="00B1638D">
      <w:pPr>
        <w:pStyle w:val="Heading2"/>
        <w:rPr>
          <w:lang w:val="en-GB"/>
        </w:rPr>
      </w:pPr>
      <w:bookmarkStart w:id="1009" w:name="_Toc500319494"/>
      <w:r w:rsidRPr="003726FE">
        <w:rPr>
          <w:lang w:val="en-GB"/>
        </w:rPr>
        <w:lastRenderedPageBreak/>
        <w:t xml:space="preserve">Appendix </w:t>
      </w:r>
      <w:r w:rsidR="00BC6A42" w:rsidRPr="003726FE">
        <w:rPr>
          <w:lang w:val="en-GB"/>
        </w:rPr>
        <w:t>2</w:t>
      </w:r>
      <w:r w:rsidR="009F0E25" w:rsidRPr="003726FE">
        <w:rPr>
          <w:lang w:val="en-GB"/>
        </w:rPr>
        <w:t>3</w:t>
      </w:r>
      <w:r w:rsidRPr="003726FE">
        <w:rPr>
          <w:lang w:val="en-GB"/>
        </w:rPr>
        <w:t xml:space="preserve">. </w:t>
      </w:r>
      <w:r w:rsidR="00CD2E7E" w:rsidRPr="003726FE">
        <w:rPr>
          <w:lang w:val="en-GB"/>
        </w:rPr>
        <w:t>Educational Alliance Inventory (EAI)</w:t>
      </w:r>
      <w:r w:rsidR="00B60A53" w:rsidRPr="003726FE">
        <w:rPr>
          <w:lang w:val="en-GB"/>
        </w:rPr>
        <w:t>.</w:t>
      </w:r>
      <w:bookmarkEnd w:id="1009"/>
    </w:p>
    <w:p w14:paraId="14520573" w14:textId="77777777" w:rsidR="00CD2E7E" w:rsidRPr="003726FE" w:rsidRDefault="00CD2E7E">
      <w:pPr>
        <w:widowControl w:val="0"/>
        <w:autoSpaceDE w:val="0"/>
        <w:autoSpaceDN w:val="0"/>
        <w:adjustRightInd w:val="0"/>
        <w:spacing w:after="0" w:line="269" w:lineRule="exact"/>
        <w:rPr>
          <w:rFonts w:cs="Times New Roman"/>
          <w:szCs w:val="24"/>
        </w:rPr>
      </w:pPr>
      <w:bookmarkStart w:id="1010" w:name="page1"/>
      <w:bookmarkEnd w:id="1010"/>
    </w:p>
    <w:p w14:paraId="29A7D576" w14:textId="77777777" w:rsidR="00CD2E7E" w:rsidRPr="003726FE" w:rsidRDefault="00CD2E7E">
      <w:pPr>
        <w:widowControl w:val="0"/>
        <w:autoSpaceDE w:val="0"/>
        <w:autoSpaceDN w:val="0"/>
        <w:adjustRightInd w:val="0"/>
        <w:spacing w:after="0" w:line="240" w:lineRule="auto"/>
        <w:ind w:left="3240"/>
        <w:rPr>
          <w:rFonts w:cs="Times New Roman"/>
          <w:szCs w:val="24"/>
        </w:rPr>
      </w:pPr>
      <w:r w:rsidRPr="003726FE">
        <w:rPr>
          <w:rFonts w:ascii="Arial Narrow" w:hAnsi="Arial Narrow" w:cs="Arial Narrow"/>
          <w:b/>
          <w:bCs/>
          <w:szCs w:val="24"/>
        </w:rPr>
        <w:t>Educational Alliance Inventory</w:t>
      </w:r>
    </w:p>
    <w:p w14:paraId="26B4CAB0" w14:textId="77777777" w:rsidR="00CD2E7E" w:rsidRPr="003726FE" w:rsidRDefault="00CD2E7E">
      <w:pPr>
        <w:widowControl w:val="0"/>
        <w:autoSpaceDE w:val="0"/>
        <w:autoSpaceDN w:val="0"/>
        <w:adjustRightInd w:val="0"/>
        <w:spacing w:after="0" w:line="252" w:lineRule="exact"/>
        <w:rPr>
          <w:rFonts w:cs="Times New Roman"/>
          <w:szCs w:val="24"/>
        </w:rPr>
      </w:pPr>
    </w:p>
    <w:p w14:paraId="00D08BF9" w14:textId="77777777" w:rsidR="00CD2E7E" w:rsidRPr="003726FE" w:rsidRDefault="00CD2E7E">
      <w:pPr>
        <w:widowControl w:val="0"/>
        <w:autoSpaceDE w:val="0"/>
        <w:autoSpaceDN w:val="0"/>
        <w:adjustRightInd w:val="0"/>
        <w:spacing w:after="0" w:line="240" w:lineRule="auto"/>
        <w:ind w:left="2380"/>
        <w:rPr>
          <w:rFonts w:cs="Times New Roman"/>
          <w:szCs w:val="24"/>
        </w:rPr>
      </w:pPr>
      <w:r w:rsidRPr="003726FE">
        <w:rPr>
          <w:rFonts w:ascii="Arial Narrow" w:hAnsi="Arial Narrow" w:cs="Arial Narrow"/>
          <w:sz w:val="20"/>
          <w:szCs w:val="20"/>
        </w:rPr>
        <w:t>Originally published as Appendix S1: supplementary material to</w:t>
      </w:r>
    </w:p>
    <w:p w14:paraId="5B966E40" w14:textId="77777777" w:rsidR="00CD2E7E" w:rsidRPr="003726FE" w:rsidRDefault="00CD2E7E">
      <w:pPr>
        <w:widowControl w:val="0"/>
        <w:autoSpaceDE w:val="0"/>
        <w:autoSpaceDN w:val="0"/>
        <w:adjustRightInd w:val="0"/>
        <w:spacing w:after="0" w:line="34" w:lineRule="exact"/>
        <w:rPr>
          <w:rFonts w:cs="Times New Roman"/>
          <w:szCs w:val="24"/>
        </w:rPr>
      </w:pPr>
    </w:p>
    <w:p w14:paraId="74F0743F" w14:textId="704B6265" w:rsidR="00CD2E7E" w:rsidRPr="003726FE" w:rsidRDefault="00CD2E7E" w:rsidP="00A51257">
      <w:pPr>
        <w:widowControl w:val="0"/>
        <w:overflowPunct w:val="0"/>
        <w:autoSpaceDE w:val="0"/>
        <w:autoSpaceDN w:val="0"/>
        <w:adjustRightInd w:val="0"/>
        <w:spacing w:after="0" w:line="327" w:lineRule="auto"/>
        <w:ind w:left="1480" w:right="1580" w:firstLine="334"/>
        <w:rPr>
          <w:rFonts w:cs="Times New Roman"/>
          <w:szCs w:val="24"/>
        </w:rPr>
      </w:pPr>
      <w:r w:rsidRPr="003726FE">
        <w:rPr>
          <w:rFonts w:ascii="Arial Narrow" w:hAnsi="Arial Narrow" w:cs="Arial Narrow"/>
          <w:sz w:val="20"/>
          <w:szCs w:val="20"/>
        </w:rPr>
        <w:t>Telio S, Regehr G, Ajjawi R. Feedback and the educational alliance: examining credibility judgements and their consequences. Medical Education, 2016;50(9):933-942.</w:t>
      </w:r>
    </w:p>
    <w:p w14:paraId="170AA85E" w14:textId="77777777" w:rsidR="00A51257" w:rsidRPr="003726FE" w:rsidRDefault="00A51257" w:rsidP="00A51257">
      <w:pPr>
        <w:widowControl w:val="0"/>
        <w:overflowPunct w:val="0"/>
        <w:autoSpaceDE w:val="0"/>
        <w:autoSpaceDN w:val="0"/>
        <w:adjustRightInd w:val="0"/>
        <w:spacing w:after="0" w:line="327" w:lineRule="auto"/>
        <w:ind w:left="1480" w:right="1580" w:firstLine="334"/>
        <w:rPr>
          <w:rFonts w:cs="Times New Roman"/>
          <w:szCs w:val="24"/>
        </w:rPr>
      </w:pPr>
    </w:p>
    <w:p w14:paraId="47A87D1D"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20"/>
          <w:szCs w:val="20"/>
        </w:rPr>
        <w:t>The following two pages include 36 items adapted from The Working Alliance Inventory (Hovarth et al,1989) .</w:t>
      </w:r>
    </w:p>
    <w:p w14:paraId="25D48E7D" w14:textId="77777777" w:rsidR="00CD2E7E" w:rsidRPr="003726FE" w:rsidRDefault="00CD2E7E">
      <w:pPr>
        <w:widowControl w:val="0"/>
        <w:autoSpaceDE w:val="0"/>
        <w:autoSpaceDN w:val="0"/>
        <w:adjustRightInd w:val="0"/>
        <w:spacing w:after="0" w:line="229" w:lineRule="exact"/>
        <w:rPr>
          <w:rFonts w:cs="Times New Roman"/>
          <w:szCs w:val="24"/>
        </w:rPr>
      </w:pPr>
    </w:p>
    <w:p w14:paraId="666B19CA"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20"/>
          <w:szCs w:val="20"/>
        </w:rPr>
        <w:t>The scale is designed to evaluate the quality of the Educational Alliance as experienced by the learner.</w:t>
      </w:r>
    </w:p>
    <w:p w14:paraId="35C9460E" w14:textId="77777777" w:rsidR="00CD2E7E" w:rsidRPr="003726FE" w:rsidRDefault="00CD2E7E">
      <w:pPr>
        <w:widowControl w:val="0"/>
        <w:autoSpaceDE w:val="0"/>
        <w:autoSpaceDN w:val="0"/>
        <w:adjustRightInd w:val="0"/>
        <w:spacing w:after="0" w:line="229" w:lineRule="exact"/>
        <w:rPr>
          <w:rFonts w:cs="Times New Roman"/>
          <w:szCs w:val="24"/>
        </w:rPr>
      </w:pPr>
    </w:p>
    <w:p w14:paraId="0591619A"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20"/>
          <w:szCs w:val="20"/>
        </w:rPr>
        <w:t>Participants should be asked to fill out all items based on a current or a very recent supervisory experience.</w:t>
      </w:r>
    </w:p>
    <w:p w14:paraId="355A149B" w14:textId="77777777" w:rsidR="00CD2E7E" w:rsidRPr="003726FE" w:rsidRDefault="00CD2E7E">
      <w:pPr>
        <w:widowControl w:val="0"/>
        <w:autoSpaceDE w:val="0"/>
        <w:autoSpaceDN w:val="0"/>
        <w:adjustRightInd w:val="0"/>
        <w:spacing w:after="0" w:line="200" w:lineRule="exact"/>
        <w:rPr>
          <w:rFonts w:cs="Times New Roman"/>
          <w:szCs w:val="24"/>
        </w:rPr>
      </w:pPr>
    </w:p>
    <w:p w14:paraId="5BD558F8" w14:textId="77777777" w:rsidR="00CD2E7E" w:rsidRPr="003726FE" w:rsidRDefault="00CD2E7E">
      <w:pPr>
        <w:widowControl w:val="0"/>
        <w:autoSpaceDE w:val="0"/>
        <w:autoSpaceDN w:val="0"/>
        <w:adjustRightInd w:val="0"/>
        <w:spacing w:after="0" w:line="259" w:lineRule="exact"/>
        <w:rPr>
          <w:rFonts w:cs="Times New Roman"/>
          <w:szCs w:val="24"/>
        </w:rPr>
      </w:pPr>
    </w:p>
    <w:p w14:paraId="22C31A0E" w14:textId="77777777" w:rsidR="00CD2E7E" w:rsidRPr="003726FE" w:rsidRDefault="00CD2E7E">
      <w:pPr>
        <w:widowControl w:val="0"/>
        <w:overflowPunct w:val="0"/>
        <w:autoSpaceDE w:val="0"/>
        <w:autoSpaceDN w:val="0"/>
        <w:adjustRightInd w:val="0"/>
        <w:spacing w:after="0" w:line="240" w:lineRule="auto"/>
        <w:ind w:right="1620"/>
        <w:rPr>
          <w:rFonts w:cs="Times New Roman"/>
          <w:szCs w:val="24"/>
        </w:rPr>
      </w:pPr>
      <w:r w:rsidRPr="003726FE">
        <w:rPr>
          <w:rFonts w:ascii="Arial Narrow" w:hAnsi="Arial Narrow" w:cs="Arial Narrow"/>
          <w:sz w:val="20"/>
          <w:szCs w:val="20"/>
        </w:rPr>
        <w:t xml:space="preserve">For scoring purposes, the following items should be </w:t>
      </w:r>
      <w:r w:rsidRPr="003726FE">
        <w:rPr>
          <w:rFonts w:ascii="Arial Narrow" w:hAnsi="Arial Narrow" w:cs="Arial Narrow"/>
          <w:sz w:val="20"/>
          <w:szCs w:val="20"/>
          <w:u w:val="single"/>
        </w:rPr>
        <w:t>reversed</w:t>
      </w:r>
      <w:r w:rsidRPr="003726FE">
        <w:rPr>
          <w:rFonts w:ascii="Arial Narrow" w:hAnsi="Arial Narrow" w:cs="Arial Narrow"/>
          <w:sz w:val="20"/>
          <w:szCs w:val="20"/>
        </w:rPr>
        <w:t xml:space="preserve"> in their numeric value (such that 1=7 and 7=1) prior to calculating the score:</w:t>
      </w:r>
    </w:p>
    <w:p w14:paraId="31CB5D82" w14:textId="77777777" w:rsidR="00CD2E7E" w:rsidRPr="003726FE" w:rsidRDefault="00CD2E7E">
      <w:pPr>
        <w:widowControl w:val="0"/>
        <w:autoSpaceDE w:val="0"/>
        <w:autoSpaceDN w:val="0"/>
        <w:adjustRightInd w:val="0"/>
        <w:spacing w:after="0" w:line="2" w:lineRule="exact"/>
        <w:rPr>
          <w:rFonts w:cs="Times New Roman"/>
          <w:szCs w:val="24"/>
        </w:rPr>
      </w:pPr>
    </w:p>
    <w:p w14:paraId="61CF1692" w14:textId="77777777" w:rsidR="00CD2E7E" w:rsidRPr="003726FE" w:rsidRDefault="00CD2E7E">
      <w:pPr>
        <w:widowControl w:val="0"/>
        <w:autoSpaceDE w:val="0"/>
        <w:autoSpaceDN w:val="0"/>
        <w:adjustRightInd w:val="0"/>
        <w:spacing w:after="0" w:line="240" w:lineRule="auto"/>
        <w:ind w:left="140"/>
        <w:rPr>
          <w:rFonts w:cs="Times New Roman"/>
          <w:szCs w:val="24"/>
        </w:rPr>
      </w:pPr>
      <w:r w:rsidRPr="003726FE">
        <w:rPr>
          <w:rFonts w:ascii="Arial Narrow" w:hAnsi="Arial Narrow" w:cs="Arial Narrow"/>
          <w:sz w:val="20"/>
          <w:szCs w:val="20"/>
        </w:rPr>
        <w:t>1, 3, 7, 9, 10, 11, 12, 15, 20, 27, 28, 29, 31, 33, 34</w:t>
      </w:r>
    </w:p>
    <w:p w14:paraId="60A1D0C7" w14:textId="77777777" w:rsidR="00CD2E7E" w:rsidRPr="003726FE" w:rsidRDefault="00CD2E7E">
      <w:pPr>
        <w:widowControl w:val="0"/>
        <w:autoSpaceDE w:val="0"/>
        <w:autoSpaceDN w:val="0"/>
        <w:adjustRightInd w:val="0"/>
        <w:spacing w:after="0" w:line="200" w:lineRule="exact"/>
        <w:rPr>
          <w:rFonts w:cs="Times New Roman"/>
          <w:szCs w:val="24"/>
        </w:rPr>
      </w:pPr>
    </w:p>
    <w:p w14:paraId="3AD35828" w14:textId="77777777" w:rsidR="00CD2E7E" w:rsidRPr="003726FE" w:rsidRDefault="00CD2E7E">
      <w:pPr>
        <w:widowControl w:val="0"/>
        <w:autoSpaceDE w:val="0"/>
        <w:autoSpaceDN w:val="0"/>
        <w:adjustRightInd w:val="0"/>
        <w:spacing w:after="0" w:line="257" w:lineRule="exact"/>
        <w:rPr>
          <w:rFonts w:cs="Times New Roman"/>
          <w:szCs w:val="24"/>
        </w:rPr>
      </w:pPr>
    </w:p>
    <w:p w14:paraId="58E9C5A8" w14:textId="77777777" w:rsidR="00CD2E7E" w:rsidRPr="003726FE" w:rsidRDefault="00CD2E7E">
      <w:pPr>
        <w:widowControl w:val="0"/>
        <w:overflowPunct w:val="0"/>
        <w:autoSpaceDE w:val="0"/>
        <w:autoSpaceDN w:val="0"/>
        <w:adjustRightInd w:val="0"/>
        <w:spacing w:after="0" w:line="290" w:lineRule="auto"/>
        <w:ind w:left="140" w:right="6060" w:hanging="137"/>
        <w:rPr>
          <w:rFonts w:cs="Times New Roman"/>
          <w:szCs w:val="24"/>
        </w:rPr>
      </w:pPr>
      <w:r w:rsidRPr="003726FE">
        <w:rPr>
          <w:rFonts w:ascii="Arial Narrow" w:hAnsi="Arial Narrow" w:cs="Arial Narrow"/>
          <w:sz w:val="20"/>
          <w:szCs w:val="20"/>
        </w:rPr>
        <w:t>The EA “task” subscore is calculated on items: 2, 4, 7, 11, 13, 15, 16, 18, 24, 31, 33, 35</w:t>
      </w:r>
    </w:p>
    <w:p w14:paraId="1B5090AE" w14:textId="77777777" w:rsidR="00CD2E7E" w:rsidRPr="003726FE" w:rsidRDefault="00CD2E7E">
      <w:pPr>
        <w:widowControl w:val="0"/>
        <w:autoSpaceDE w:val="0"/>
        <w:autoSpaceDN w:val="0"/>
        <w:adjustRightInd w:val="0"/>
        <w:spacing w:after="0" w:line="134" w:lineRule="exact"/>
        <w:rPr>
          <w:rFonts w:cs="Times New Roman"/>
          <w:szCs w:val="24"/>
        </w:rPr>
      </w:pPr>
    </w:p>
    <w:p w14:paraId="7CCB2418" w14:textId="77777777" w:rsidR="00CD2E7E" w:rsidRPr="003726FE" w:rsidRDefault="00CD2E7E">
      <w:pPr>
        <w:widowControl w:val="0"/>
        <w:overflowPunct w:val="0"/>
        <w:autoSpaceDE w:val="0"/>
        <w:autoSpaceDN w:val="0"/>
        <w:adjustRightInd w:val="0"/>
        <w:spacing w:after="0" w:line="317" w:lineRule="auto"/>
        <w:ind w:left="140" w:right="6000" w:hanging="137"/>
        <w:rPr>
          <w:rFonts w:cs="Times New Roman"/>
          <w:szCs w:val="24"/>
        </w:rPr>
      </w:pPr>
      <w:r w:rsidRPr="003726FE">
        <w:rPr>
          <w:rFonts w:ascii="Arial Narrow" w:hAnsi="Arial Narrow" w:cs="Arial Narrow"/>
          <w:sz w:val="19"/>
          <w:szCs w:val="19"/>
        </w:rPr>
        <w:t>The EA “bond” subscore is calculated on items: 1, 5, 8, 17, 19, 20, 21, 23, 26, 28, 29, 36</w:t>
      </w:r>
    </w:p>
    <w:p w14:paraId="1834B876" w14:textId="77777777" w:rsidR="00CD2E7E" w:rsidRPr="003726FE" w:rsidRDefault="00CD2E7E">
      <w:pPr>
        <w:widowControl w:val="0"/>
        <w:autoSpaceDE w:val="0"/>
        <w:autoSpaceDN w:val="0"/>
        <w:adjustRightInd w:val="0"/>
        <w:spacing w:after="0" w:line="113" w:lineRule="exact"/>
        <w:rPr>
          <w:rFonts w:cs="Times New Roman"/>
          <w:szCs w:val="24"/>
        </w:rPr>
      </w:pPr>
    </w:p>
    <w:p w14:paraId="39955791" w14:textId="77777777" w:rsidR="00CD2E7E" w:rsidRPr="003726FE" w:rsidRDefault="00CD2E7E">
      <w:pPr>
        <w:widowControl w:val="0"/>
        <w:overflowPunct w:val="0"/>
        <w:autoSpaceDE w:val="0"/>
        <w:autoSpaceDN w:val="0"/>
        <w:adjustRightInd w:val="0"/>
        <w:spacing w:after="0" w:line="317" w:lineRule="auto"/>
        <w:ind w:left="140" w:right="6060" w:hanging="137"/>
        <w:rPr>
          <w:rFonts w:cs="Times New Roman"/>
          <w:szCs w:val="24"/>
        </w:rPr>
      </w:pPr>
      <w:r w:rsidRPr="003726FE">
        <w:rPr>
          <w:rFonts w:ascii="Arial Narrow" w:hAnsi="Arial Narrow" w:cs="Arial Narrow"/>
          <w:sz w:val="19"/>
          <w:szCs w:val="19"/>
        </w:rPr>
        <w:t>The EA “goal” subscore is calculated on items: 3, 6, 9, 10, 12, 14, 22, 25, 27, 30, 32, 34</w:t>
      </w:r>
    </w:p>
    <w:p w14:paraId="314D2134" w14:textId="77777777" w:rsidR="00CD2E7E" w:rsidRPr="003726FE" w:rsidRDefault="00CD2E7E">
      <w:pPr>
        <w:widowControl w:val="0"/>
        <w:autoSpaceDE w:val="0"/>
        <w:autoSpaceDN w:val="0"/>
        <w:adjustRightInd w:val="0"/>
        <w:spacing w:after="0" w:line="200" w:lineRule="exact"/>
        <w:rPr>
          <w:rFonts w:cs="Times New Roman"/>
          <w:szCs w:val="24"/>
        </w:rPr>
      </w:pPr>
    </w:p>
    <w:p w14:paraId="58AECB02" w14:textId="77777777" w:rsidR="00CD2E7E" w:rsidRPr="003726FE" w:rsidRDefault="00CD2E7E">
      <w:pPr>
        <w:widowControl w:val="0"/>
        <w:autoSpaceDE w:val="0"/>
        <w:autoSpaceDN w:val="0"/>
        <w:adjustRightInd w:val="0"/>
        <w:spacing w:after="0" w:line="261" w:lineRule="exact"/>
        <w:rPr>
          <w:rFonts w:cs="Times New Roman"/>
          <w:szCs w:val="24"/>
        </w:rPr>
      </w:pPr>
    </w:p>
    <w:p w14:paraId="44AEEEC8"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20"/>
          <w:szCs w:val="20"/>
        </w:rPr>
        <w:t>For more information or permission to use the scale, please contact Summer Telio at summertomaszek@gmail.com</w:t>
      </w:r>
    </w:p>
    <w:p w14:paraId="060B4D72" w14:textId="77777777" w:rsidR="00CD2E7E" w:rsidRPr="003726FE" w:rsidRDefault="00CD2E7E">
      <w:pPr>
        <w:widowControl w:val="0"/>
        <w:autoSpaceDE w:val="0"/>
        <w:autoSpaceDN w:val="0"/>
        <w:adjustRightInd w:val="0"/>
        <w:spacing w:after="0" w:line="200" w:lineRule="exact"/>
        <w:rPr>
          <w:rFonts w:cs="Times New Roman"/>
          <w:szCs w:val="24"/>
        </w:rPr>
      </w:pPr>
    </w:p>
    <w:p w14:paraId="53628B8A" w14:textId="77777777" w:rsidR="00CD2E7E" w:rsidRPr="003726FE" w:rsidRDefault="00CD2E7E">
      <w:pPr>
        <w:widowControl w:val="0"/>
        <w:autoSpaceDE w:val="0"/>
        <w:autoSpaceDN w:val="0"/>
        <w:adjustRightInd w:val="0"/>
        <w:spacing w:after="0" w:line="318" w:lineRule="exact"/>
        <w:rPr>
          <w:rFonts w:cs="Times New Roman"/>
          <w:szCs w:val="24"/>
        </w:rPr>
      </w:pPr>
    </w:p>
    <w:p w14:paraId="068FFD9C"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20"/>
          <w:szCs w:val="20"/>
        </w:rPr>
        <w:t>© Summer Telio</w:t>
      </w:r>
    </w:p>
    <w:p w14:paraId="0A75270C" w14:textId="77777777" w:rsidR="00CD2E7E" w:rsidRPr="003726FE" w:rsidRDefault="00CD2E7E">
      <w:pPr>
        <w:widowControl w:val="0"/>
        <w:autoSpaceDE w:val="0"/>
        <w:autoSpaceDN w:val="0"/>
        <w:adjustRightInd w:val="0"/>
        <w:spacing w:after="0" w:line="200" w:lineRule="exact"/>
        <w:rPr>
          <w:rFonts w:cs="Times New Roman"/>
          <w:szCs w:val="24"/>
        </w:rPr>
      </w:pPr>
    </w:p>
    <w:p w14:paraId="4B67BD1E" w14:textId="77777777" w:rsidR="00CD2E7E" w:rsidRPr="003726FE" w:rsidRDefault="00CD2E7E">
      <w:pPr>
        <w:widowControl w:val="0"/>
        <w:autoSpaceDE w:val="0"/>
        <w:autoSpaceDN w:val="0"/>
        <w:adjustRightInd w:val="0"/>
        <w:spacing w:after="0" w:line="234" w:lineRule="exact"/>
        <w:rPr>
          <w:rFonts w:cs="Times New Roman"/>
          <w:szCs w:val="24"/>
        </w:rPr>
      </w:pPr>
    </w:p>
    <w:p w14:paraId="65CF05DB" w14:textId="77777777" w:rsidR="00CD2E7E" w:rsidRPr="003726FE" w:rsidRDefault="00CD2E7E">
      <w:pPr>
        <w:widowControl w:val="0"/>
        <w:autoSpaceDE w:val="0"/>
        <w:autoSpaceDN w:val="0"/>
        <w:adjustRightInd w:val="0"/>
        <w:spacing w:after="0" w:line="239" w:lineRule="auto"/>
        <w:rPr>
          <w:rFonts w:cs="Times New Roman"/>
          <w:szCs w:val="24"/>
        </w:rPr>
      </w:pPr>
      <w:r w:rsidRPr="003726FE">
        <w:rPr>
          <w:rFonts w:ascii="Arial Narrow" w:hAnsi="Arial Narrow" w:cs="Arial Narrow"/>
          <w:sz w:val="18"/>
          <w:szCs w:val="18"/>
        </w:rPr>
        <w:t>Adapted from:</w:t>
      </w:r>
    </w:p>
    <w:p w14:paraId="52209A38" w14:textId="77777777" w:rsidR="00CD2E7E" w:rsidRPr="003726FE" w:rsidRDefault="00CD2E7E">
      <w:pPr>
        <w:widowControl w:val="0"/>
        <w:autoSpaceDE w:val="0"/>
        <w:autoSpaceDN w:val="0"/>
        <w:adjustRightInd w:val="0"/>
        <w:spacing w:after="0" w:line="1" w:lineRule="exact"/>
        <w:rPr>
          <w:rFonts w:cs="Times New Roman"/>
          <w:szCs w:val="24"/>
        </w:rPr>
      </w:pPr>
    </w:p>
    <w:p w14:paraId="47C93341" w14:textId="77777777" w:rsidR="00CD2E7E" w:rsidRPr="003726FE" w:rsidRDefault="00CD2E7E">
      <w:pPr>
        <w:widowControl w:val="0"/>
        <w:autoSpaceDE w:val="0"/>
        <w:autoSpaceDN w:val="0"/>
        <w:adjustRightInd w:val="0"/>
        <w:spacing w:after="0" w:line="240" w:lineRule="auto"/>
        <w:rPr>
          <w:rFonts w:cs="Times New Roman"/>
          <w:szCs w:val="24"/>
        </w:rPr>
      </w:pPr>
      <w:r w:rsidRPr="003726FE">
        <w:rPr>
          <w:rFonts w:ascii="Arial Narrow" w:hAnsi="Arial Narrow" w:cs="Arial Narrow"/>
          <w:sz w:val="18"/>
          <w:szCs w:val="18"/>
        </w:rPr>
        <w:t xml:space="preserve">Horvath A, Greenberg L. Development and validation of the Working Alliance Inventory. </w:t>
      </w:r>
      <w:r w:rsidRPr="003726FE">
        <w:rPr>
          <w:rFonts w:ascii="Arial Narrow" w:hAnsi="Arial Narrow" w:cs="Arial Narrow"/>
          <w:i/>
          <w:iCs/>
          <w:sz w:val="18"/>
          <w:szCs w:val="18"/>
        </w:rPr>
        <w:t>Journal of Counseling Psychology</w:t>
      </w:r>
      <w:r w:rsidRPr="003726FE">
        <w:rPr>
          <w:rFonts w:ascii="Arial Narrow" w:hAnsi="Arial Narrow" w:cs="Arial Narrow"/>
          <w:sz w:val="18"/>
          <w:szCs w:val="18"/>
        </w:rPr>
        <w:t>. 1989;36(2): 223-233.</w:t>
      </w:r>
    </w:p>
    <w:p w14:paraId="0CC02772" w14:textId="77777777" w:rsidR="00CD2E7E" w:rsidRPr="003726FE" w:rsidRDefault="00CD2E7E">
      <w:pPr>
        <w:widowControl w:val="0"/>
        <w:autoSpaceDE w:val="0"/>
        <w:autoSpaceDN w:val="0"/>
        <w:adjustRightInd w:val="0"/>
        <w:spacing w:after="0" w:line="240" w:lineRule="auto"/>
        <w:rPr>
          <w:rFonts w:cs="Times New Roman"/>
          <w:szCs w:val="24"/>
        </w:rPr>
        <w:sectPr w:rsidR="00CD2E7E" w:rsidRPr="003726FE" w:rsidSect="007C73DC">
          <w:pgSz w:w="11906" w:h="16838"/>
          <w:pgMar w:top="1134" w:right="1134" w:bottom="1134" w:left="2268" w:header="708" w:footer="708" w:gutter="0"/>
          <w:cols w:space="708"/>
          <w:docGrid w:linePitch="360"/>
        </w:sectPr>
      </w:pPr>
    </w:p>
    <w:p w14:paraId="42B60A4B" w14:textId="77777777" w:rsidR="00CD2E7E" w:rsidRPr="003726FE" w:rsidRDefault="00CD2E7E">
      <w:pPr>
        <w:widowControl w:val="0"/>
        <w:autoSpaceDE w:val="0"/>
        <w:autoSpaceDN w:val="0"/>
        <w:adjustRightInd w:val="0"/>
        <w:spacing w:after="0" w:line="240" w:lineRule="auto"/>
        <w:ind w:left="3340"/>
        <w:rPr>
          <w:rFonts w:cs="Times New Roman"/>
          <w:szCs w:val="24"/>
        </w:rPr>
      </w:pPr>
      <w:bookmarkStart w:id="1011" w:name="page2"/>
      <w:bookmarkEnd w:id="1011"/>
      <w:r w:rsidRPr="003726FE">
        <w:rPr>
          <w:rFonts w:ascii="Arial Narrow" w:hAnsi="Arial Narrow" w:cs="Arial Narrow"/>
          <w:b/>
          <w:bCs/>
          <w:szCs w:val="24"/>
        </w:rPr>
        <w:lastRenderedPageBreak/>
        <w:t>Educational Alliance Inventory</w:t>
      </w:r>
    </w:p>
    <w:p w14:paraId="5CB5BCD5" w14:textId="77777777" w:rsidR="00CD2E7E" w:rsidRPr="003726FE" w:rsidRDefault="00CD2E7E">
      <w:pPr>
        <w:widowControl w:val="0"/>
        <w:autoSpaceDE w:val="0"/>
        <w:autoSpaceDN w:val="0"/>
        <w:adjustRightInd w:val="0"/>
        <w:spacing w:after="0" w:line="253" w:lineRule="exact"/>
        <w:rPr>
          <w:rFonts w:cs="Times New Roman"/>
          <w:szCs w:val="24"/>
        </w:rPr>
      </w:pPr>
    </w:p>
    <w:p w14:paraId="431A0C33" w14:textId="77777777" w:rsidR="00CD2E7E" w:rsidRPr="003726FE" w:rsidRDefault="00CD2E7E">
      <w:pPr>
        <w:widowControl w:val="0"/>
        <w:autoSpaceDE w:val="0"/>
        <w:autoSpaceDN w:val="0"/>
        <w:adjustRightInd w:val="0"/>
        <w:spacing w:after="0" w:line="240" w:lineRule="auto"/>
        <w:ind w:left="2480"/>
        <w:rPr>
          <w:rFonts w:cs="Times New Roman"/>
          <w:szCs w:val="24"/>
        </w:rPr>
      </w:pPr>
      <w:r w:rsidRPr="003726FE">
        <w:rPr>
          <w:rFonts w:ascii="Arial Narrow" w:hAnsi="Arial Narrow" w:cs="Arial Narrow"/>
          <w:sz w:val="20"/>
          <w:szCs w:val="20"/>
        </w:rPr>
        <w:t>Originally published as Appendix S1: supplementary material to</w:t>
      </w:r>
    </w:p>
    <w:p w14:paraId="7752541B" w14:textId="0EE9D260" w:rsidR="00CD2E7E" w:rsidRPr="003726FE" w:rsidRDefault="00CD2E7E" w:rsidP="00A51257">
      <w:pPr>
        <w:widowControl w:val="0"/>
        <w:overflowPunct w:val="0"/>
        <w:autoSpaceDE w:val="0"/>
        <w:autoSpaceDN w:val="0"/>
        <w:adjustRightInd w:val="0"/>
        <w:spacing w:after="0" w:line="290" w:lineRule="auto"/>
        <w:ind w:left="1560" w:right="2180" w:firstLine="355"/>
        <w:rPr>
          <w:rFonts w:cs="Times New Roman"/>
          <w:szCs w:val="24"/>
        </w:rPr>
      </w:pPr>
      <w:r w:rsidRPr="003726FE">
        <w:rPr>
          <w:rFonts w:ascii="Arial Narrow" w:hAnsi="Arial Narrow" w:cs="Arial Narrow"/>
          <w:sz w:val="20"/>
          <w:szCs w:val="20"/>
        </w:rPr>
        <w:t xml:space="preserve">Telio S, Regehr G, Ajjawi R. Feedback and the educational alliance: examining credibility judgements and their consequences. </w:t>
      </w:r>
      <w:r w:rsidRPr="003726FE">
        <w:rPr>
          <w:rFonts w:ascii="Arial Narrow" w:hAnsi="Arial Narrow" w:cs="Arial Narrow"/>
          <w:i/>
          <w:iCs/>
          <w:sz w:val="20"/>
          <w:szCs w:val="20"/>
        </w:rPr>
        <w:t>Medical Education</w:t>
      </w:r>
      <w:r w:rsidRPr="003726FE">
        <w:rPr>
          <w:rFonts w:ascii="Arial Narrow" w:hAnsi="Arial Narrow" w:cs="Arial Narrow"/>
          <w:sz w:val="20"/>
          <w:szCs w:val="20"/>
        </w:rPr>
        <w:t>, 2016;</w:t>
      </w:r>
      <w:r w:rsidRPr="003726FE">
        <w:rPr>
          <w:rFonts w:ascii="Arial Narrow" w:hAnsi="Arial Narrow" w:cs="Arial Narrow"/>
          <w:i/>
          <w:iCs/>
          <w:sz w:val="20"/>
          <w:szCs w:val="20"/>
        </w:rPr>
        <w:t>50</w:t>
      </w:r>
      <w:r w:rsidRPr="003726FE">
        <w:rPr>
          <w:rFonts w:ascii="Arial Narrow" w:hAnsi="Arial Narrow" w:cs="Arial Narrow"/>
          <w:sz w:val="20"/>
          <w:szCs w:val="20"/>
        </w:rPr>
        <w:t>(xx):xxx-xxx..</w:t>
      </w:r>
    </w:p>
    <w:p w14:paraId="1A6F831F" w14:textId="475B8231" w:rsidR="00CD2E7E" w:rsidRPr="003726FE" w:rsidRDefault="00CD2E7E" w:rsidP="008A4137">
      <w:pPr>
        <w:widowControl w:val="0"/>
        <w:overflowPunct w:val="0"/>
        <w:autoSpaceDE w:val="0"/>
        <w:autoSpaceDN w:val="0"/>
        <w:adjustRightInd w:val="0"/>
        <w:spacing w:after="0" w:line="290" w:lineRule="auto"/>
        <w:ind w:left="100" w:right="820"/>
        <w:rPr>
          <w:rFonts w:cs="Times New Roman"/>
          <w:szCs w:val="24"/>
        </w:rPr>
      </w:pPr>
      <w:r w:rsidRPr="003726FE">
        <w:rPr>
          <w:rFonts w:ascii="Arial Narrow" w:hAnsi="Arial Narrow" w:cs="Arial Narrow"/>
          <w:sz w:val="20"/>
          <w:szCs w:val="20"/>
        </w:rPr>
        <w:t>Below is a list of statements about your relationship with your supervisor. Consider each item carefully and indicate your level of agreement by circling the number that best describes your relationship with your supervisor.</w:t>
      </w:r>
    </w:p>
    <w:tbl>
      <w:tblPr>
        <w:tblW w:w="8186" w:type="dxa"/>
        <w:tblInd w:w="-10" w:type="dxa"/>
        <w:tblLayout w:type="fixed"/>
        <w:tblCellMar>
          <w:left w:w="0" w:type="dxa"/>
          <w:right w:w="0" w:type="dxa"/>
        </w:tblCellMar>
        <w:tblLook w:val="0000" w:firstRow="0" w:lastRow="0" w:firstColumn="0" w:lastColumn="0" w:noHBand="0" w:noVBand="0"/>
      </w:tblPr>
      <w:tblGrid>
        <w:gridCol w:w="405"/>
        <w:gridCol w:w="5411"/>
        <w:gridCol w:w="428"/>
        <w:gridCol w:w="247"/>
        <w:gridCol w:w="271"/>
        <w:gridCol w:w="405"/>
        <w:gridCol w:w="8"/>
        <w:gridCol w:w="20"/>
        <w:gridCol w:w="108"/>
        <w:gridCol w:w="270"/>
        <w:gridCol w:w="213"/>
        <w:gridCol w:w="328"/>
        <w:gridCol w:w="72"/>
      </w:tblGrid>
      <w:tr w:rsidR="00161436" w:rsidRPr="003726FE" w14:paraId="0BD46115" w14:textId="77777777" w:rsidTr="00161436">
        <w:trPr>
          <w:gridAfter w:val="1"/>
          <w:wAfter w:w="72" w:type="dxa"/>
          <w:trHeight w:val="1050"/>
        </w:trPr>
        <w:tc>
          <w:tcPr>
            <w:tcW w:w="405" w:type="dxa"/>
            <w:tcBorders>
              <w:top w:val="single" w:sz="8" w:space="0" w:color="auto"/>
              <w:left w:val="single" w:sz="8" w:space="0" w:color="auto"/>
              <w:bottom w:val="nil"/>
              <w:right w:val="single" w:sz="8" w:space="0" w:color="auto"/>
            </w:tcBorders>
            <w:vAlign w:val="bottom"/>
          </w:tcPr>
          <w:p w14:paraId="4305EC5E" w14:textId="77777777" w:rsidR="00161436" w:rsidRPr="003726FE" w:rsidRDefault="00161436">
            <w:pPr>
              <w:widowControl w:val="0"/>
              <w:autoSpaceDE w:val="0"/>
              <w:autoSpaceDN w:val="0"/>
              <w:adjustRightInd w:val="0"/>
              <w:spacing w:after="0" w:line="240" w:lineRule="auto"/>
              <w:rPr>
                <w:rFonts w:cs="Times New Roman"/>
                <w:szCs w:val="24"/>
              </w:rPr>
            </w:pPr>
          </w:p>
        </w:tc>
        <w:tc>
          <w:tcPr>
            <w:tcW w:w="5411" w:type="dxa"/>
            <w:tcBorders>
              <w:top w:val="single" w:sz="8" w:space="0" w:color="auto"/>
              <w:left w:val="nil"/>
              <w:bottom w:val="nil"/>
              <w:right w:val="single" w:sz="8" w:space="0" w:color="auto"/>
            </w:tcBorders>
            <w:vAlign w:val="bottom"/>
          </w:tcPr>
          <w:p w14:paraId="55499D27" w14:textId="77777777" w:rsidR="00161436" w:rsidRPr="003726FE" w:rsidRDefault="00161436">
            <w:pPr>
              <w:widowControl w:val="0"/>
              <w:autoSpaceDE w:val="0"/>
              <w:autoSpaceDN w:val="0"/>
              <w:adjustRightInd w:val="0"/>
              <w:spacing w:after="0" w:line="240" w:lineRule="auto"/>
              <w:rPr>
                <w:rFonts w:cs="Times New Roman"/>
                <w:szCs w:val="24"/>
              </w:rPr>
            </w:pPr>
          </w:p>
        </w:tc>
        <w:tc>
          <w:tcPr>
            <w:tcW w:w="428" w:type="dxa"/>
            <w:tcBorders>
              <w:top w:val="single" w:sz="8" w:space="0" w:color="auto"/>
              <w:left w:val="nil"/>
              <w:bottom w:val="nil"/>
              <w:right w:val="nil"/>
            </w:tcBorders>
            <w:textDirection w:val="btLr"/>
            <w:vAlign w:val="bottom"/>
          </w:tcPr>
          <w:p w14:paraId="041EB431"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w w:val="96"/>
                <w:sz w:val="20"/>
                <w:szCs w:val="20"/>
              </w:rPr>
              <w:t>Never</w:t>
            </w:r>
          </w:p>
        </w:tc>
        <w:tc>
          <w:tcPr>
            <w:tcW w:w="247" w:type="dxa"/>
            <w:tcBorders>
              <w:top w:val="single" w:sz="8" w:space="0" w:color="auto"/>
              <w:left w:val="nil"/>
              <w:bottom w:val="nil"/>
              <w:right w:val="nil"/>
            </w:tcBorders>
            <w:vAlign w:val="bottom"/>
          </w:tcPr>
          <w:p w14:paraId="28F3792B" w14:textId="77777777" w:rsidR="00161436" w:rsidRPr="003726FE" w:rsidRDefault="00161436">
            <w:pPr>
              <w:widowControl w:val="0"/>
              <w:autoSpaceDE w:val="0"/>
              <w:autoSpaceDN w:val="0"/>
              <w:adjustRightInd w:val="0"/>
              <w:spacing w:after="0" w:line="240" w:lineRule="auto"/>
              <w:rPr>
                <w:rFonts w:cs="Times New Roman"/>
                <w:szCs w:val="24"/>
              </w:rPr>
            </w:pPr>
          </w:p>
        </w:tc>
        <w:tc>
          <w:tcPr>
            <w:tcW w:w="271" w:type="dxa"/>
            <w:tcBorders>
              <w:top w:val="single" w:sz="8" w:space="0" w:color="auto"/>
              <w:left w:val="nil"/>
              <w:bottom w:val="nil"/>
              <w:right w:val="nil"/>
            </w:tcBorders>
            <w:vAlign w:val="bottom"/>
          </w:tcPr>
          <w:p w14:paraId="1F7C3765" w14:textId="77777777" w:rsidR="00161436" w:rsidRPr="003726FE" w:rsidRDefault="00161436">
            <w:pPr>
              <w:widowControl w:val="0"/>
              <w:autoSpaceDE w:val="0"/>
              <w:autoSpaceDN w:val="0"/>
              <w:adjustRightInd w:val="0"/>
              <w:spacing w:after="0" w:line="240" w:lineRule="auto"/>
              <w:rPr>
                <w:rFonts w:cs="Times New Roman"/>
                <w:szCs w:val="24"/>
              </w:rPr>
            </w:pPr>
          </w:p>
        </w:tc>
        <w:tc>
          <w:tcPr>
            <w:tcW w:w="405" w:type="dxa"/>
            <w:tcBorders>
              <w:top w:val="single" w:sz="8" w:space="0" w:color="auto"/>
              <w:left w:val="nil"/>
              <w:bottom w:val="nil"/>
              <w:right w:val="nil"/>
            </w:tcBorders>
            <w:textDirection w:val="btLr"/>
            <w:vAlign w:val="bottom"/>
          </w:tcPr>
          <w:p w14:paraId="7B65F02F"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sz w:val="20"/>
                <w:szCs w:val="20"/>
              </w:rPr>
              <w:t>Sometimes</w:t>
            </w:r>
          </w:p>
        </w:tc>
        <w:tc>
          <w:tcPr>
            <w:tcW w:w="136" w:type="dxa"/>
            <w:gridSpan w:val="3"/>
            <w:tcBorders>
              <w:top w:val="single" w:sz="8" w:space="0" w:color="auto"/>
              <w:left w:val="nil"/>
              <w:bottom w:val="nil"/>
              <w:right w:val="nil"/>
            </w:tcBorders>
            <w:vAlign w:val="bottom"/>
          </w:tcPr>
          <w:p w14:paraId="10BC3AC1" w14:textId="77777777" w:rsidR="00161436" w:rsidRPr="003726FE" w:rsidRDefault="00161436">
            <w:pPr>
              <w:widowControl w:val="0"/>
              <w:autoSpaceDE w:val="0"/>
              <w:autoSpaceDN w:val="0"/>
              <w:adjustRightInd w:val="0"/>
              <w:spacing w:after="0" w:line="240" w:lineRule="auto"/>
              <w:rPr>
                <w:rFonts w:cs="Times New Roman"/>
                <w:szCs w:val="24"/>
              </w:rPr>
            </w:pPr>
          </w:p>
        </w:tc>
        <w:tc>
          <w:tcPr>
            <w:tcW w:w="270" w:type="dxa"/>
            <w:tcBorders>
              <w:top w:val="single" w:sz="8" w:space="0" w:color="auto"/>
              <w:left w:val="nil"/>
              <w:bottom w:val="nil"/>
              <w:right w:val="nil"/>
            </w:tcBorders>
            <w:vAlign w:val="bottom"/>
          </w:tcPr>
          <w:p w14:paraId="2026C55F" w14:textId="77777777" w:rsidR="00161436" w:rsidRPr="003726FE" w:rsidRDefault="00161436">
            <w:pPr>
              <w:widowControl w:val="0"/>
              <w:autoSpaceDE w:val="0"/>
              <w:autoSpaceDN w:val="0"/>
              <w:adjustRightInd w:val="0"/>
              <w:spacing w:after="0" w:line="240" w:lineRule="auto"/>
              <w:rPr>
                <w:rFonts w:cs="Times New Roman"/>
                <w:szCs w:val="24"/>
              </w:rPr>
            </w:pPr>
          </w:p>
        </w:tc>
        <w:tc>
          <w:tcPr>
            <w:tcW w:w="541" w:type="dxa"/>
            <w:gridSpan w:val="2"/>
            <w:tcBorders>
              <w:top w:val="single" w:sz="8" w:space="0" w:color="auto"/>
              <w:left w:val="nil"/>
              <w:bottom w:val="nil"/>
              <w:right w:val="single" w:sz="8" w:space="0" w:color="auto"/>
            </w:tcBorders>
            <w:textDirection w:val="btLr"/>
            <w:vAlign w:val="bottom"/>
          </w:tcPr>
          <w:p w14:paraId="0A6E9D64"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w w:val="98"/>
                <w:sz w:val="20"/>
                <w:szCs w:val="20"/>
              </w:rPr>
              <w:t>Always</w:t>
            </w:r>
          </w:p>
        </w:tc>
      </w:tr>
      <w:tr w:rsidR="00161436" w:rsidRPr="003726FE" w14:paraId="48B9B5C2" w14:textId="77777777" w:rsidTr="00161436">
        <w:trPr>
          <w:gridAfter w:val="1"/>
          <w:wAfter w:w="72" w:type="dxa"/>
          <w:trHeight w:val="87"/>
        </w:trPr>
        <w:tc>
          <w:tcPr>
            <w:tcW w:w="405" w:type="dxa"/>
            <w:tcBorders>
              <w:top w:val="nil"/>
              <w:left w:val="single" w:sz="8" w:space="0" w:color="auto"/>
              <w:bottom w:val="single" w:sz="8" w:space="0" w:color="auto"/>
              <w:right w:val="single" w:sz="8" w:space="0" w:color="auto"/>
            </w:tcBorders>
            <w:vAlign w:val="bottom"/>
          </w:tcPr>
          <w:p w14:paraId="6D9D2563"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5411" w:type="dxa"/>
            <w:tcBorders>
              <w:top w:val="nil"/>
              <w:left w:val="nil"/>
              <w:bottom w:val="single" w:sz="8" w:space="0" w:color="auto"/>
              <w:right w:val="single" w:sz="8" w:space="0" w:color="auto"/>
            </w:tcBorders>
            <w:vAlign w:val="bottom"/>
          </w:tcPr>
          <w:p w14:paraId="40B04119"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428" w:type="dxa"/>
            <w:tcBorders>
              <w:top w:val="nil"/>
              <w:left w:val="nil"/>
              <w:bottom w:val="single" w:sz="8" w:space="0" w:color="auto"/>
              <w:right w:val="nil"/>
            </w:tcBorders>
            <w:vAlign w:val="bottom"/>
          </w:tcPr>
          <w:p w14:paraId="44BE38EB"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47" w:type="dxa"/>
            <w:tcBorders>
              <w:top w:val="nil"/>
              <w:left w:val="nil"/>
              <w:bottom w:val="single" w:sz="8" w:space="0" w:color="auto"/>
              <w:right w:val="nil"/>
            </w:tcBorders>
            <w:vAlign w:val="bottom"/>
          </w:tcPr>
          <w:p w14:paraId="509A6B3C"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71" w:type="dxa"/>
            <w:tcBorders>
              <w:top w:val="nil"/>
              <w:left w:val="nil"/>
              <w:bottom w:val="single" w:sz="8" w:space="0" w:color="auto"/>
              <w:right w:val="nil"/>
            </w:tcBorders>
            <w:vAlign w:val="bottom"/>
          </w:tcPr>
          <w:p w14:paraId="4F10AACC"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405" w:type="dxa"/>
            <w:tcBorders>
              <w:top w:val="nil"/>
              <w:left w:val="nil"/>
              <w:bottom w:val="single" w:sz="8" w:space="0" w:color="auto"/>
              <w:right w:val="nil"/>
            </w:tcBorders>
            <w:vAlign w:val="bottom"/>
          </w:tcPr>
          <w:p w14:paraId="4D753152"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136" w:type="dxa"/>
            <w:gridSpan w:val="3"/>
            <w:tcBorders>
              <w:top w:val="nil"/>
              <w:left w:val="nil"/>
              <w:bottom w:val="single" w:sz="8" w:space="0" w:color="auto"/>
              <w:right w:val="nil"/>
            </w:tcBorders>
            <w:vAlign w:val="bottom"/>
          </w:tcPr>
          <w:p w14:paraId="23F1EF22"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70" w:type="dxa"/>
            <w:tcBorders>
              <w:top w:val="nil"/>
              <w:left w:val="nil"/>
              <w:bottom w:val="single" w:sz="8" w:space="0" w:color="auto"/>
              <w:right w:val="nil"/>
            </w:tcBorders>
            <w:vAlign w:val="bottom"/>
          </w:tcPr>
          <w:p w14:paraId="136FA4C0"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541" w:type="dxa"/>
            <w:gridSpan w:val="2"/>
            <w:tcBorders>
              <w:top w:val="nil"/>
              <w:left w:val="nil"/>
              <w:bottom w:val="single" w:sz="8" w:space="0" w:color="auto"/>
              <w:right w:val="single" w:sz="8" w:space="0" w:color="auto"/>
            </w:tcBorders>
            <w:vAlign w:val="bottom"/>
          </w:tcPr>
          <w:p w14:paraId="3D101279" w14:textId="77777777" w:rsidR="00161436" w:rsidRPr="003726FE" w:rsidRDefault="00161436">
            <w:pPr>
              <w:widowControl w:val="0"/>
              <w:autoSpaceDE w:val="0"/>
              <w:autoSpaceDN w:val="0"/>
              <w:adjustRightInd w:val="0"/>
              <w:spacing w:after="0" w:line="240" w:lineRule="auto"/>
              <w:rPr>
                <w:rFonts w:cs="Times New Roman"/>
                <w:sz w:val="13"/>
                <w:szCs w:val="13"/>
              </w:rPr>
            </w:pPr>
          </w:p>
        </w:tc>
      </w:tr>
      <w:tr w:rsidR="00161436" w:rsidRPr="003726FE" w14:paraId="7A1D9611"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177EBBEE"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w:t>
            </w:r>
          </w:p>
        </w:tc>
        <w:tc>
          <w:tcPr>
            <w:tcW w:w="5411" w:type="dxa"/>
            <w:tcBorders>
              <w:top w:val="nil"/>
              <w:left w:val="nil"/>
              <w:bottom w:val="nil"/>
              <w:right w:val="single" w:sz="8" w:space="0" w:color="auto"/>
            </w:tcBorders>
            <w:vAlign w:val="bottom"/>
          </w:tcPr>
          <w:p w14:paraId="73FC54E0"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feel uncomfortable with my supervisor.</w:t>
            </w:r>
          </w:p>
        </w:tc>
        <w:tc>
          <w:tcPr>
            <w:tcW w:w="428" w:type="dxa"/>
            <w:tcBorders>
              <w:top w:val="nil"/>
              <w:left w:val="nil"/>
              <w:bottom w:val="nil"/>
              <w:right w:val="nil"/>
            </w:tcBorders>
            <w:vAlign w:val="bottom"/>
          </w:tcPr>
          <w:p w14:paraId="32511727"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6BF1FDB8"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3D9F71C8"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28DCDBE7"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3BECE304"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09CDEFD7"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3C76C75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1CA0EF00"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5C13043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6096479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004544E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7C6FF0C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6D7422D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1B69443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306B793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26159DB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264FC5C1"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90D645A"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64FDA3EC"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w:t>
            </w:r>
          </w:p>
        </w:tc>
        <w:tc>
          <w:tcPr>
            <w:tcW w:w="5411" w:type="dxa"/>
            <w:tcBorders>
              <w:top w:val="nil"/>
              <w:left w:val="nil"/>
              <w:bottom w:val="nil"/>
              <w:right w:val="single" w:sz="8" w:space="0" w:color="auto"/>
            </w:tcBorders>
            <w:vAlign w:val="bottom"/>
          </w:tcPr>
          <w:p w14:paraId="7186752A"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My supervisor and I agree on the things I will need to do to improve my learning.</w:t>
            </w:r>
          </w:p>
        </w:tc>
        <w:tc>
          <w:tcPr>
            <w:tcW w:w="428" w:type="dxa"/>
            <w:tcBorders>
              <w:top w:val="nil"/>
              <w:left w:val="nil"/>
              <w:bottom w:val="nil"/>
              <w:right w:val="nil"/>
            </w:tcBorders>
            <w:vAlign w:val="bottom"/>
          </w:tcPr>
          <w:p w14:paraId="4E49C3B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7EE54BD1"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3D9A8E0E"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6D48961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14B3A703"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4B1AD4DD"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5F64F3A8"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094E7FBD"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71CFC14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4A37F42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5F9D565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320695A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41A83B8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6DFF85C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7EBCDD5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2E83502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7EA6DF60"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034517BC"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238724DE"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w:t>
            </w:r>
          </w:p>
        </w:tc>
        <w:tc>
          <w:tcPr>
            <w:tcW w:w="5411" w:type="dxa"/>
            <w:tcBorders>
              <w:top w:val="nil"/>
              <w:left w:val="nil"/>
              <w:bottom w:val="nil"/>
              <w:right w:val="single" w:sz="8" w:space="0" w:color="auto"/>
            </w:tcBorders>
            <w:vAlign w:val="bottom"/>
          </w:tcPr>
          <w:p w14:paraId="129E1CC3"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am worried about the outcome of this learning experience.</w:t>
            </w:r>
          </w:p>
        </w:tc>
        <w:tc>
          <w:tcPr>
            <w:tcW w:w="428" w:type="dxa"/>
            <w:tcBorders>
              <w:top w:val="nil"/>
              <w:left w:val="nil"/>
              <w:bottom w:val="nil"/>
              <w:right w:val="nil"/>
            </w:tcBorders>
            <w:vAlign w:val="bottom"/>
          </w:tcPr>
          <w:p w14:paraId="56C21C9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6FCF85B9"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074A053E"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3DB7D8E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5108739A"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4C47AD71"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74D5A15D"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4862B4D0"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0CAC338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4540BC2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5F7ED7E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202ECA1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3E0B74C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588CA8E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273863E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395CB74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34EF36DE"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2D54AFC6" w14:textId="77777777" w:rsidTr="00161436">
        <w:trPr>
          <w:gridAfter w:val="1"/>
          <w:wAfter w:w="72" w:type="dxa"/>
          <w:trHeight w:val="208"/>
        </w:trPr>
        <w:tc>
          <w:tcPr>
            <w:tcW w:w="405" w:type="dxa"/>
            <w:vMerge w:val="restart"/>
            <w:tcBorders>
              <w:top w:val="nil"/>
              <w:left w:val="single" w:sz="8" w:space="0" w:color="auto"/>
              <w:bottom w:val="nil"/>
              <w:right w:val="single" w:sz="8" w:space="0" w:color="auto"/>
            </w:tcBorders>
            <w:vAlign w:val="bottom"/>
          </w:tcPr>
          <w:p w14:paraId="0DBF7A6A"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4</w:t>
            </w:r>
          </w:p>
        </w:tc>
        <w:tc>
          <w:tcPr>
            <w:tcW w:w="5411" w:type="dxa"/>
            <w:tcBorders>
              <w:top w:val="nil"/>
              <w:left w:val="nil"/>
              <w:bottom w:val="nil"/>
              <w:right w:val="single" w:sz="8" w:space="0" w:color="auto"/>
            </w:tcBorders>
            <w:vAlign w:val="bottom"/>
          </w:tcPr>
          <w:p w14:paraId="05C7E8BD" w14:textId="566F80EA" w:rsidR="00161436" w:rsidRPr="003726FE" w:rsidRDefault="00161436">
            <w:pPr>
              <w:widowControl w:val="0"/>
              <w:autoSpaceDE w:val="0"/>
              <w:autoSpaceDN w:val="0"/>
              <w:adjustRightInd w:val="0"/>
              <w:spacing w:after="0" w:line="208" w:lineRule="exact"/>
              <w:ind w:left="220"/>
              <w:rPr>
                <w:rFonts w:cs="Times New Roman"/>
                <w:szCs w:val="24"/>
              </w:rPr>
            </w:pPr>
            <w:r w:rsidRPr="003726FE">
              <w:rPr>
                <w:rFonts w:ascii="Arial Narrow" w:hAnsi="Arial Narrow" w:cs="Arial Narrow"/>
                <w:sz w:val="20"/>
                <w:szCs w:val="20"/>
              </w:rPr>
              <w:t>What I am learning with my supervisor gives me new ways of looking at clinical issues.</w:t>
            </w:r>
          </w:p>
        </w:tc>
        <w:tc>
          <w:tcPr>
            <w:tcW w:w="428" w:type="dxa"/>
            <w:vMerge w:val="restart"/>
            <w:tcBorders>
              <w:top w:val="nil"/>
              <w:left w:val="nil"/>
              <w:bottom w:val="nil"/>
              <w:right w:val="nil"/>
            </w:tcBorders>
            <w:vAlign w:val="bottom"/>
          </w:tcPr>
          <w:p w14:paraId="61383EE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vMerge w:val="restart"/>
            <w:tcBorders>
              <w:top w:val="nil"/>
              <w:left w:val="nil"/>
              <w:bottom w:val="nil"/>
              <w:right w:val="nil"/>
            </w:tcBorders>
            <w:vAlign w:val="bottom"/>
          </w:tcPr>
          <w:p w14:paraId="45D2E0A4"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vMerge w:val="restart"/>
            <w:tcBorders>
              <w:top w:val="nil"/>
              <w:left w:val="nil"/>
              <w:bottom w:val="nil"/>
              <w:right w:val="nil"/>
            </w:tcBorders>
            <w:vAlign w:val="bottom"/>
          </w:tcPr>
          <w:p w14:paraId="4600C58D"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vMerge w:val="restart"/>
            <w:tcBorders>
              <w:top w:val="nil"/>
              <w:left w:val="nil"/>
              <w:bottom w:val="nil"/>
              <w:right w:val="nil"/>
            </w:tcBorders>
            <w:vAlign w:val="bottom"/>
          </w:tcPr>
          <w:p w14:paraId="26A7812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vMerge w:val="restart"/>
            <w:tcBorders>
              <w:top w:val="nil"/>
              <w:left w:val="nil"/>
              <w:bottom w:val="nil"/>
              <w:right w:val="nil"/>
            </w:tcBorders>
            <w:vAlign w:val="bottom"/>
          </w:tcPr>
          <w:p w14:paraId="0311665F"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vMerge w:val="restart"/>
            <w:tcBorders>
              <w:top w:val="nil"/>
              <w:left w:val="nil"/>
              <w:bottom w:val="nil"/>
              <w:right w:val="nil"/>
            </w:tcBorders>
            <w:vAlign w:val="bottom"/>
          </w:tcPr>
          <w:p w14:paraId="4D90F16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vMerge w:val="restart"/>
            <w:tcBorders>
              <w:top w:val="nil"/>
              <w:left w:val="nil"/>
              <w:bottom w:val="nil"/>
              <w:right w:val="single" w:sz="8" w:space="0" w:color="auto"/>
            </w:tcBorders>
            <w:vAlign w:val="bottom"/>
          </w:tcPr>
          <w:p w14:paraId="4C89BA5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3E696BC5" w14:textId="77777777" w:rsidTr="00161436">
        <w:trPr>
          <w:gridAfter w:val="1"/>
          <w:wAfter w:w="72" w:type="dxa"/>
          <w:trHeight w:val="164"/>
        </w:trPr>
        <w:tc>
          <w:tcPr>
            <w:tcW w:w="405" w:type="dxa"/>
            <w:vMerge/>
            <w:tcBorders>
              <w:top w:val="nil"/>
              <w:left w:val="single" w:sz="8" w:space="0" w:color="auto"/>
              <w:bottom w:val="nil"/>
              <w:right w:val="single" w:sz="8" w:space="0" w:color="auto"/>
            </w:tcBorders>
            <w:vAlign w:val="bottom"/>
          </w:tcPr>
          <w:p w14:paraId="24E81BB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411" w:type="dxa"/>
            <w:vMerge w:val="restart"/>
            <w:tcBorders>
              <w:top w:val="nil"/>
              <w:left w:val="nil"/>
              <w:bottom w:val="nil"/>
              <w:right w:val="single" w:sz="8" w:space="0" w:color="auto"/>
            </w:tcBorders>
            <w:vAlign w:val="bottom"/>
          </w:tcPr>
          <w:p w14:paraId="777B2A31" w14:textId="4C726412" w:rsidR="00161436" w:rsidRPr="003726FE" w:rsidRDefault="00161436" w:rsidP="008A4137">
            <w:pPr>
              <w:widowControl w:val="0"/>
              <w:autoSpaceDE w:val="0"/>
              <w:autoSpaceDN w:val="0"/>
              <w:adjustRightInd w:val="0"/>
              <w:spacing w:after="0" w:line="240" w:lineRule="auto"/>
              <w:rPr>
                <w:rFonts w:cs="Times New Roman"/>
                <w:szCs w:val="24"/>
              </w:rPr>
            </w:pPr>
          </w:p>
        </w:tc>
        <w:tc>
          <w:tcPr>
            <w:tcW w:w="428" w:type="dxa"/>
            <w:vMerge/>
            <w:tcBorders>
              <w:top w:val="nil"/>
              <w:left w:val="nil"/>
              <w:bottom w:val="nil"/>
              <w:right w:val="nil"/>
            </w:tcBorders>
            <w:vAlign w:val="bottom"/>
          </w:tcPr>
          <w:p w14:paraId="4B0E9249"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47" w:type="dxa"/>
            <w:vMerge/>
            <w:tcBorders>
              <w:top w:val="nil"/>
              <w:left w:val="nil"/>
              <w:bottom w:val="nil"/>
              <w:right w:val="nil"/>
            </w:tcBorders>
            <w:vAlign w:val="bottom"/>
          </w:tcPr>
          <w:p w14:paraId="090ED75C"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71" w:type="dxa"/>
            <w:vMerge/>
            <w:tcBorders>
              <w:top w:val="nil"/>
              <w:left w:val="nil"/>
              <w:bottom w:val="nil"/>
              <w:right w:val="nil"/>
            </w:tcBorders>
            <w:vAlign w:val="bottom"/>
          </w:tcPr>
          <w:p w14:paraId="196899EC"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405" w:type="dxa"/>
            <w:vMerge/>
            <w:tcBorders>
              <w:top w:val="nil"/>
              <w:left w:val="nil"/>
              <w:bottom w:val="nil"/>
              <w:right w:val="nil"/>
            </w:tcBorders>
            <w:vAlign w:val="bottom"/>
          </w:tcPr>
          <w:p w14:paraId="5CE5C0BC"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36" w:type="dxa"/>
            <w:gridSpan w:val="3"/>
            <w:vMerge/>
            <w:tcBorders>
              <w:top w:val="nil"/>
              <w:left w:val="nil"/>
              <w:bottom w:val="nil"/>
              <w:right w:val="nil"/>
            </w:tcBorders>
            <w:vAlign w:val="bottom"/>
          </w:tcPr>
          <w:p w14:paraId="751FC98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70" w:type="dxa"/>
            <w:vMerge/>
            <w:tcBorders>
              <w:top w:val="nil"/>
              <w:left w:val="nil"/>
              <w:bottom w:val="nil"/>
              <w:right w:val="nil"/>
            </w:tcBorders>
            <w:vAlign w:val="bottom"/>
          </w:tcPr>
          <w:p w14:paraId="5F82589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41" w:type="dxa"/>
            <w:gridSpan w:val="2"/>
            <w:vMerge/>
            <w:tcBorders>
              <w:top w:val="nil"/>
              <w:left w:val="nil"/>
              <w:bottom w:val="nil"/>
              <w:right w:val="single" w:sz="8" w:space="0" w:color="auto"/>
            </w:tcBorders>
            <w:vAlign w:val="bottom"/>
          </w:tcPr>
          <w:p w14:paraId="268C9283"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150CB9D3" w14:textId="77777777" w:rsidTr="00161436">
        <w:trPr>
          <w:gridAfter w:val="1"/>
          <w:wAfter w:w="72" w:type="dxa"/>
          <w:trHeight w:val="118"/>
        </w:trPr>
        <w:tc>
          <w:tcPr>
            <w:tcW w:w="405" w:type="dxa"/>
            <w:tcBorders>
              <w:top w:val="nil"/>
              <w:left w:val="single" w:sz="8" w:space="0" w:color="auto"/>
              <w:bottom w:val="single" w:sz="8" w:space="0" w:color="auto"/>
              <w:right w:val="single" w:sz="8" w:space="0" w:color="auto"/>
            </w:tcBorders>
            <w:vAlign w:val="bottom"/>
          </w:tcPr>
          <w:p w14:paraId="6D582A7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vMerge/>
            <w:tcBorders>
              <w:top w:val="nil"/>
              <w:left w:val="nil"/>
              <w:bottom w:val="single" w:sz="8" w:space="0" w:color="auto"/>
              <w:right w:val="single" w:sz="8" w:space="0" w:color="auto"/>
            </w:tcBorders>
            <w:vAlign w:val="bottom"/>
          </w:tcPr>
          <w:p w14:paraId="6A624FD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589E4D9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4C145DB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445B517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7E50962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749DF75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6B25B67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20D5DD8E"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269CA5BE" w14:textId="77777777" w:rsidTr="00161436">
        <w:trPr>
          <w:gridAfter w:val="1"/>
          <w:wAfter w:w="72" w:type="dxa"/>
          <w:trHeight w:val="376"/>
        </w:trPr>
        <w:tc>
          <w:tcPr>
            <w:tcW w:w="405" w:type="dxa"/>
            <w:tcBorders>
              <w:top w:val="nil"/>
              <w:left w:val="single" w:sz="8" w:space="0" w:color="auto"/>
              <w:bottom w:val="nil"/>
              <w:right w:val="single" w:sz="8" w:space="0" w:color="auto"/>
            </w:tcBorders>
            <w:vAlign w:val="bottom"/>
          </w:tcPr>
          <w:p w14:paraId="2441A374"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5</w:t>
            </w:r>
          </w:p>
        </w:tc>
        <w:tc>
          <w:tcPr>
            <w:tcW w:w="5411" w:type="dxa"/>
            <w:tcBorders>
              <w:top w:val="nil"/>
              <w:left w:val="nil"/>
              <w:bottom w:val="nil"/>
              <w:right w:val="single" w:sz="8" w:space="0" w:color="auto"/>
            </w:tcBorders>
            <w:vAlign w:val="bottom"/>
          </w:tcPr>
          <w:p w14:paraId="05285DC7"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My supervisor and I understand each other.</w:t>
            </w:r>
          </w:p>
        </w:tc>
        <w:tc>
          <w:tcPr>
            <w:tcW w:w="428" w:type="dxa"/>
            <w:tcBorders>
              <w:top w:val="nil"/>
              <w:left w:val="nil"/>
              <w:bottom w:val="nil"/>
              <w:right w:val="nil"/>
            </w:tcBorders>
            <w:vAlign w:val="bottom"/>
          </w:tcPr>
          <w:p w14:paraId="78A25D7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07E813E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6D4FE944"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2DB4D4EF"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0D5998CA"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41472731"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61B76A4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5C1460D4"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628F2FB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2A2609B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1050B9C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03F4F06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66B652D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7B95C6C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3BF74F4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19A93D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0C9E72CD"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180A033"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14D386F3"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6</w:t>
            </w:r>
          </w:p>
        </w:tc>
        <w:tc>
          <w:tcPr>
            <w:tcW w:w="5411" w:type="dxa"/>
            <w:tcBorders>
              <w:top w:val="nil"/>
              <w:left w:val="nil"/>
              <w:bottom w:val="nil"/>
              <w:right w:val="single" w:sz="8" w:space="0" w:color="auto"/>
            </w:tcBorders>
            <w:vAlign w:val="bottom"/>
          </w:tcPr>
          <w:p w14:paraId="11ECDB44"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My supervisor perceives accurately what my goals are.</w:t>
            </w:r>
          </w:p>
        </w:tc>
        <w:tc>
          <w:tcPr>
            <w:tcW w:w="428" w:type="dxa"/>
            <w:tcBorders>
              <w:top w:val="nil"/>
              <w:left w:val="nil"/>
              <w:bottom w:val="nil"/>
              <w:right w:val="nil"/>
            </w:tcBorders>
            <w:vAlign w:val="bottom"/>
          </w:tcPr>
          <w:p w14:paraId="46A4820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301CA3C7"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55C3D857"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554F73A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64146C50"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7E8C1E1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606A465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737B2B8C"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0E8E722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09BE5A2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66943F2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6048EBC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688B0FB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39E7673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7D70044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4D61A47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35F010F9"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2FC192EF"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57428827"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7</w:t>
            </w:r>
          </w:p>
        </w:tc>
        <w:tc>
          <w:tcPr>
            <w:tcW w:w="5411" w:type="dxa"/>
            <w:tcBorders>
              <w:top w:val="nil"/>
              <w:left w:val="nil"/>
              <w:bottom w:val="nil"/>
              <w:right w:val="single" w:sz="8" w:space="0" w:color="auto"/>
            </w:tcBorders>
            <w:vAlign w:val="bottom"/>
          </w:tcPr>
          <w:p w14:paraId="2E6E2865"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find what I am learning confusing.</w:t>
            </w:r>
          </w:p>
        </w:tc>
        <w:tc>
          <w:tcPr>
            <w:tcW w:w="428" w:type="dxa"/>
            <w:tcBorders>
              <w:top w:val="nil"/>
              <w:left w:val="nil"/>
              <w:bottom w:val="nil"/>
              <w:right w:val="nil"/>
            </w:tcBorders>
            <w:vAlign w:val="bottom"/>
          </w:tcPr>
          <w:p w14:paraId="5310779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39C7DD74"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43877492"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3E8FDF2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3071AEE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144F501A"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41C09EC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0E70329D"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302E9CD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0743988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47405F1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0B8DF27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5F9AAC2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4BCAF22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43B81BB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090CA7C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458E5FA1"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0D4D162E"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01526B09"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8</w:t>
            </w:r>
          </w:p>
        </w:tc>
        <w:tc>
          <w:tcPr>
            <w:tcW w:w="5411" w:type="dxa"/>
            <w:tcBorders>
              <w:top w:val="nil"/>
              <w:left w:val="nil"/>
              <w:bottom w:val="nil"/>
              <w:right w:val="single" w:sz="8" w:space="0" w:color="auto"/>
            </w:tcBorders>
            <w:vAlign w:val="bottom"/>
          </w:tcPr>
          <w:p w14:paraId="51E0F303"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believe my supervisor likes me.</w:t>
            </w:r>
          </w:p>
        </w:tc>
        <w:tc>
          <w:tcPr>
            <w:tcW w:w="428" w:type="dxa"/>
            <w:tcBorders>
              <w:top w:val="nil"/>
              <w:left w:val="nil"/>
              <w:bottom w:val="nil"/>
              <w:right w:val="nil"/>
            </w:tcBorders>
            <w:vAlign w:val="bottom"/>
          </w:tcPr>
          <w:p w14:paraId="3DD7A38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14A8D3B3"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2BCE3E37"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223582B3"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79E3C1C6"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318DC45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26B1F76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77D06E84"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6158AA0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21803ED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4FF7859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65CCB04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78932CA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412581A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56EB9BF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27CA2FD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129A02EE"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381D8A2E"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122CC846"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9</w:t>
            </w:r>
          </w:p>
        </w:tc>
        <w:tc>
          <w:tcPr>
            <w:tcW w:w="5411" w:type="dxa"/>
            <w:tcBorders>
              <w:top w:val="nil"/>
              <w:left w:val="nil"/>
              <w:bottom w:val="nil"/>
              <w:right w:val="single" w:sz="8" w:space="0" w:color="auto"/>
            </w:tcBorders>
            <w:vAlign w:val="bottom"/>
          </w:tcPr>
          <w:p w14:paraId="5B0BE4E5"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wish my supervisor and I could clarify the purpose of our time together.</w:t>
            </w:r>
          </w:p>
        </w:tc>
        <w:tc>
          <w:tcPr>
            <w:tcW w:w="428" w:type="dxa"/>
            <w:tcBorders>
              <w:top w:val="nil"/>
              <w:left w:val="nil"/>
              <w:bottom w:val="nil"/>
              <w:right w:val="nil"/>
            </w:tcBorders>
            <w:vAlign w:val="bottom"/>
          </w:tcPr>
          <w:p w14:paraId="7258F94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5A5F5189"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15C7D8A7"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2ECF370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5E7E5EB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31041FD2"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06457B8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2C39D8B9"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604AC7E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2FE39D7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4A1BDE8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2A35B3A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6939946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60FF675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412B933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3FBAE04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7F3AA19C"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9B14BF0" w14:textId="77777777" w:rsidTr="00161436">
        <w:trPr>
          <w:gridAfter w:val="1"/>
          <w:wAfter w:w="72" w:type="dxa"/>
          <w:trHeight w:val="371"/>
        </w:trPr>
        <w:tc>
          <w:tcPr>
            <w:tcW w:w="405" w:type="dxa"/>
            <w:tcBorders>
              <w:top w:val="nil"/>
              <w:left w:val="single" w:sz="8" w:space="0" w:color="auto"/>
              <w:bottom w:val="nil"/>
              <w:right w:val="single" w:sz="8" w:space="0" w:color="auto"/>
            </w:tcBorders>
            <w:vAlign w:val="bottom"/>
          </w:tcPr>
          <w:p w14:paraId="423C0D38"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10</w:t>
            </w:r>
          </w:p>
        </w:tc>
        <w:tc>
          <w:tcPr>
            <w:tcW w:w="5411" w:type="dxa"/>
            <w:tcBorders>
              <w:top w:val="nil"/>
              <w:left w:val="nil"/>
              <w:bottom w:val="nil"/>
              <w:right w:val="single" w:sz="8" w:space="0" w:color="auto"/>
            </w:tcBorders>
            <w:vAlign w:val="bottom"/>
          </w:tcPr>
          <w:p w14:paraId="14D3F949"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disagree with my supervisor about what I ought to get out of our time together.</w:t>
            </w:r>
          </w:p>
        </w:tc>
        <w:tc>
          <w:tcPr>
            <w:tcW w:w="428" w:type="dxa"/>
            <w:tcBorders>
              <w:top w:val="nil"/>
              <w:left w:val="nil"/>
              <w:bottom w:val="nil"/>
              <w:right w:val="nil"/>
            </w:tcBorders>
            <w:vAlign w:val="bottom"/>
          </w:tcPr>
          <w:p w14:paraId="230F142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1483E8B8"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23838D33"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08CC9368"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2B3FA0E6"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430C602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4CD1DF1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713DE9DF" w14:textId="77777777" w:rsidTr="00161436">
        <w:trPr>
          <w:gridAfter w:val="1"/>
          <w:wAfter w:w="72" w:type="dxa"/>
          <w:trHeight w:val="122"/>
        </w:trPr>
        <w:tc>
          <w:tcPr>
            <w:tcW w:w="405" w:type="dxa"/>
            <w:tcBorders>
              <w:top w:val="nil"/>
              <w:left w:val="single" w:sz="8" w:space="0" w:color="auto"/>
              <w:bottom w:val="single" w:sz="8" w:space="0" w:color="auto"/>
              <w:right w:val="single" w:sz="8" w:space="0" w:color="auto"/>
            </w:tcBorders>
            <w:vAlign w:val="bottom"/>
          </w:tcPr>
          <w:p w14:paraId="41BB064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3EECFF0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2500879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205E496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5C31D77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7F22F5A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7B36B4D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7CC4D70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267AEF0E"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CCAC768" w14:textId="77777777" w:rsidTr="00161436">
        <w:trPr>
          <w:gridAfter w:val="1"/>
          <w:wAfter w:w="72" w:type="dxa"/>
          <w:trHeight w:val="371"/>
        </w:trPr>
        <w:tc>
          <w:tcPr>
            <w:tcW w:w="405" w:type="dxa"/>
            <w:tcBorders>
              <w:top w:val="nil"/>
              <w:left w:val="single" w:sz="8" w:space="0" w:color="auto"/>
              <w:bottom w:val="nil"/>
              <w:right w:val="single" w:sz="8" w:space="0" w:color="auto"/>
            </w:tcBorders>
            <w:vAlign w:val="bottom"/>
          </w:tcPr>
          <w:p w14:paraId="6F41FF94"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11</w:t>
            </w:r>
          </w:p>
        </w:tc>
        <w:tc>
          <w:tcPr>
            <w:tcW w:w="5411" w:type="dxa"/>
            <w:tcBorders>
              <w:top w:val="nil"/>
              <w:left w:val="nil"/>
              <w:bottom w:val="nil"/>
              <w:right w:val="single" w:sz="8" w:space="0" w:color="auto"/>
            </w:tcBorders>
            <w:vAlign w:val="bottom"/>
          </w:tcPr>
          <w:p w14:paraId="51F6BC70"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believe the time spent with my supervisor is not used efficiently.</w:t>
            </w:r>
          </w:p>
        </w:tc>
        <w:tc>
          <w:tcPr>
            <w:tcW w:w="428" w:type="dxa"/>
            <w:tcBorders>
              <w:top w:val="nil"/>
              <w:left w:val="nil"/>
              <w:bottom w:val="nil"/>
              <w:right w:val="nil"/>
            </w:tcBorders>
            <w:vAlign w:val="bottom"/>
          </w:tcPr>
          <w:p w14:paraId="01A7EF48"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2293416C"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0641A2C8"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1F0E89C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0BC801C1"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12F80745"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503B9C1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78B011D5"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1A50B92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25DABA0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531F30E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6EA3D4A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1E21D02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123A442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60554E8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43B374E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5697A6AA"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CCF29D5" w14:textId="77777777" w:rsidTr="00161436">
        <w:trPr>
          <w:gridAfter w:val="1"/>
          <w:wAfter w:w="72" w:type="dxa"/>
          <w:trHeight w:val="208"/>
        </w:trPr>
        <w:tc>
          <w:tcPr>
            <w:tcW w:w="405" w:type="dxa"/>
            <w:vMerge w:val="restart"/>
            <w:tcBorders>
              <w:top w:val="nil"/>
              <w:left w:val="single" w:sz="8" w:space="0" w:color="auto"/>
              <w:bottom w:val="nil"/>
              <w:right w:val="single" w:sz="8" w:space="0" w:color="auto"/>
            </w:tcBorders>
            <w:vAlign w:val="bottom"/>
          </w:tcPr>
          <w:p w14:paraId="15A90F25"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12</w:t>
            </w:r>
          </w:p>
        </w:tc>
        <w:tc>
          <w:tcPr>
            <w:tcW w:w="5411" w:type="dxa"/>
            <w:tcBorders>
              <w:top w:val="nil"/>
              <w:left w:val="nil"/>
              <w:bottom w:val="nil"/>
              <w:right w:val="single" w:sz="8" w:space="0" w:color="auto"/>
            </w:tcBorders>
            <w:vAlign w:val="bottom"/>
          </w:tcPr>
          <w:p w14:paraId="11B6AE2D" w14:textId="0306EAB7" w:rsidR="00161436" w:rsidRPr="003726FE" w:rsidRDefault="00161436">
            <w:pPr>
              <w:widowControl w:val="0"/>
              <w:autoSpaceDE w:val="0"/>
              <w:autoSpaceDN w:val="0"/>
              <w:adjustRightInd w:val="0"/>
              <w:spacing w:after="0" w:line="208" w:lineRule="exact"/>
              <w:ind w:left="220"/>
              <w:rPr>
                <w:rFonts w:cs="Times New Roman"/>
                <w:szCs w:val="24"/>
              </w:rPr>
            </w:pPr>
            <w:r w:rsidRPr="003726FE">
              <w:rPr>
                <w:rFonts w:ascii="Arial Narrow" w:hAnsi="Arial Narrow" w:cs="Arial Narrow"/>
                <w:sz w:val="20"/>
                <w:szCs w:val="20"/>
              </w:rPr>
              <w:t>My supervisor does not understand what I am trying to accomplish in our time together.</w:t>
            </w:r>
          </w:p>
        </w:tc>
        <w:tc>
          <w:tcPr>
            <w:tcW w:w="428" w:type="dxa"/>
            <w:vMerge w:val="restart"/>
            <w:tcBorders>
              <w:top w:val="nil"/>
              <w:left w:val="nil"/>
              <w:bottom w:val="nil"/>
              <w:right w:val="nil"/>
            </w:tcBorders>
            <w:vAlign w:val="bottom"/>
          </w:tcPr>
          <w:p w14:paraId="28449C83"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vMerge w:val="restart"/>
            <w:tcBorders>
              <w:top w:val="nil"/>
              <w:left w:val="nil"/>
              <w:bottom w:val="nil"/>
              <w:right w:val="nil"/>
            </w:tcBorders>
            <w:vAlign w:val="bottom"/>
          </w:tcPr>
          <w:p w14:paraId="6B350EDA"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vMerge w:val="restart"/>
            <w:tcBorders>
              <w:top w:val="nil"/>
              <w:left w:val="nil"/>
              <w:bottom w:val="nil"/>
              <w:right w:val="nil"/>
            </w:tcBorders>
            <w:vAlign w:val="bottom"/>
          </w:tcPr>
          <w:p w14:paraId="6D87A30D"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vMerge w:val="restart"/>
            <w:tcBorders>
              <w:top w:val="nil"/>
              <w:left w:val="nil"/>
              <w:bottom w:val="nil"/>
              <w:right w:val="nil"/>
            </w:tcBorders>
            <w:vAlign w:val="bottom"/>
          </w:tcPr>
          <w:p w14:paraId="07870C4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vMerge w:val="restart"/>
            <w:tcBorders>
              <w:top w:val="nil"/>
              <w:left w:val="nil"/>
              <w:bottom w:val="nil"/>
              <w:right w:val="nil"/>
            </w:tcBorders>
            <w:vAlign w:val="bottom"/>
          </w:tcPr>
          <w:p w14:paraId="62EDEE0E"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vMerge w:val="restart"/>
            <w:tcBorders>
              <w:top w:val="nil"/>
              <w:left w:val="nil"/>
              <w:bottom w:val="nil"/>
              <w:right w:val="nil"/>
            </w:tcBorders>
            <w:vAlign w:val="bottom"/>
          </w:tcPr>
          <w:p w14:paraId="5CD2841F"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vMerge w:val="restart"/>
            <w:tcBorders>
              <w:top w:val="nil"/>
              <w:left w:val="nil"/>
              <w:bottom w:val="nil"/>
              <w:right w:val="single" w:sz="8" w:space="0" w:color="auto"/>
            </w:tcBorders>
            <w:vAlign w:val="bottom"/>
          </w:tcPr>
          <w:p w14:paraId="13238ED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730DD58A" w14:textId="77777777" w:rsidTr="00161436">
        <w:trPr>
          <w:gridAfter w:val="1"/>
          <w:wAfter w:w="72" w:type="dxa"/>
          <w:trHeight w:val="161"/>
        </w:trPr>
        <w:tc>
          <w:tcPr>
            <w:tcW w:w="405" w:type="dxa"/>
            <w:vMerge/>
            <w:tcBorders>
              <w:top w:val="nil"/>
              <w:left w:val="single" w:sz="8" w:space="0" w:color="auto"/>
              <w:bottom w:val="nil"/>
              <w:right w:val="single" w:sz="8" w:space="0" w:color="auto"/>
            </w:tcBorders>
            <w:vAlign w:val="bottom"/>
          </w:tcPr>
          <w:p w14:paraId="4284B622"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411" w:type="dxa"/>
            <w:vMerge w:val="restart"/>
            <w:tcBorders>
              <w:top w:val="nil"/>
              <w:left w:val="nil"/>
              <w:bottom w:val="nil"/>
              <w:right w:val="single" w:sz="8" w:space="0" w:color="auto"/>
            </w:tcBorders>
            <w:vAlign w:val="bottom"/>
          </w:tcPr>
          <w:p w14:paraId="784C0373" w14:textId="26285FF7" w:rsidR="00161436" w:rsidRPr="003726FE" w:rsidRDefault="00161436" w:rsidP="008A4137">
            <w:pPr>
              <w:widowControl w:val="0"/>
              <w:autoSpaceDE w:val="0"/>
              <w:autoSpaceDN w:val="0"/>
              <w:adjustRightInd w:val="0"/>
              <w:spacing w:after="0" w:line="240" w:lineRule="auto"/>
              <w:rPr>
                <w:rFonts w:cs="Times New Roman"/>
                <w:szCs w:val="24"/>
              </w:rPr>
            </w:pPr>
          </w:p>
        </w:tc>
        <w:tc>
          <w:tcPr>
            <w:tcW w:w="428" w:type="dxa"/>
            <w:vMerge/>
            <w:tcBorders>
              <w:top w:val="nil"/>
              <w:left w:val="nil"/>
              <w:bottom w:val="nil"/>
              <w:right w:val="nil"/>
            </w:tcBorders>
            <w:vAlign w:val="bottom"/>
          </w:tcPr>
          <w:p w14:paraId="172D4F76"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47" w:type="dxa"/>
            <w:vMerge/>
            <w:tcBorders>
              <w:top w:val="nil"/>
              <w:left w:val="nil"/>
              <w:bottom w:val="nil"/>
              <w:right w:val="nil"/>
            </w:tcBorders>
            <w:vAlign w:val="bottom"/>
          </w:tcPr>
          <w:p w14:paraId="404E1EEF"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71" w:type="dxa"/>
            <w:vMerge/>
            <w:tcBorders>
              <w:top w:val="nil"/>
              <w:left w:val="nil"/>
              <w:bottom w:val="nil"/>
              <w:right w:val="nil"/>
            </w:tcBorders>
            <w:vAlign w:val="bottom"/>
          </w:tcPr>
          <w:p w14:paraId="10059217"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405" w:type="dxa"/>
            <w:vMerge/>
            <w:tcBorders>
              <w:top w:val="nil"/>
              <w:left w:val="nil"/>
              <w:bottom w:val="nil"/>
              <w:right w:val="nil"/>
            </w:tcBorders>
            <w:vAlign w:val="bottom"/>
          </w:tcPr>
          <w:p w14:paraId="40C238F9"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36" w:type="dxa"/>
            <w:gridSpan w:val="3"/>
            <w:vMerge/>
            <w:tcBorders>
              <w:top w:val="nil"/>
              <w:left w:val="nil"/>
              <w:bottom w:val="nil"/>
              <w:right w:val="nil"/>
            </w:tcBorders>
            <w:vAlign w:val="bottom"/>
          </w:tcPr>
          <w:p w14:paraId="76108045"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70" w:type="dxa"/>
            <w:vMerge/>
            <w:tcBorders>
              <w:top w:val="nil"/>
              <w:left w:val="nil"/>
              <w:bottom w:val="nil"/>
              <w:right w:val="nil"/>
            </w:tcBorders>
            <w:vAlign w:val="bottom"/>
          </w:tcPr>
          <w:p w14:paraId="7215D2C5"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41" w:type="dxa"/>
            <w:gridSpan w:val="2"/>
            <w:vMerge/>
            <w:tcBorders>
              <w:top w:val="nil"/>
              <w:left w:val="nil"/>
              <w:bottom w:val="nil"/>
              <w:right w:val="single" w:sz="8" w:space="0" w:color="auto"/>
            </w:tcBorders>
            <w:vAlign w:val="bottom"/>
          </w:tcPr>
          <w:p w14:paraId="4A43CB93"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3D303C71" w14:textId="77777777" w:rsidTr="00161436">
        <w:trPr>
          <w:gridAfter w:val="1"/>
          <w:wAfter w:w="72" w:type="dxa"/>
          <w:trHeight w:val="120"/>
        </w:trPr>
        <w:tc>
          <w:tcPr>
            <w:tcW w:w="405" w:type="dxa"/>
            <w:tcBorders>
              <w:top w:val="nil"/>
              <w:left w:val="single" w:sz="8" w:space="0" w:color="auto"/>
              <w:bottom w:val="single" w:sz="8" w:space="0" w:color="auto"/>
              <w:right w:val="single" w:sz="8" w:space="0" w:color="auto"/>
            </w:tcBorders>
            <w:vAlign w:val="bottom"/>
          </w:tcPr>
          <w:p w14:paraId="74C610F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vMerge/>
            <w:tcBorders>
              <w:top w:val="nil"/>
              <w:left w:val="nil"/>
              <w:bottom w:val="single" w:sz="8" w:space="0" w:color="auto"/>
              <w:right w:val="single" w:sz="8" w:space="0" w:color="auto"/>
            </w:tcBorders>
            <w:vAlign w:val="bottom"/>
          </w:tcPr>
          <w:p w14:paraId="6D86652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57E30EF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3CC0E69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4F5A89F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5F6CA10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656A558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3B5FB03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60F7690B"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08B4E25" w14:textId="77777777" w:rsidTr="00161436">
        <w:trPr>
          <w:gridAfter w:val="1"/>
          <w:wAfter w:w="72" w:type="dxa"/>
          <w:trHeight w:val="374"/>
        </w:trPr>
        <w:tc>
          <w:tcPr>
            <w:tcW w:w="405" w:type="dxa"/>
            <w:tcBorders>
              <w:top w:val="nil"/>
              <w:left w:val="single" w:sz="8" w:space="0" w:color="auto"/>
              <w:bottom w:val="nil"/>
              <w:right w:val="single" w:sz="8" w:space="0" w:color="auto"/>
            </w:tcBorders>
            <w:vAlign w:val="bottom"/>
          </w:tcPr>
          <w:p w14:paraId="7E8B9509"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13</w:t>
            </w:r>
          </w:p>
        </w:tc>
        <w:tc>
          <w:tcPr>
            <w:tcW w:w="5411" w:type="dxa"/>
            <w:tcBorders>
              <w:top w:val="nil"/>
              <w:left w:val="nil"/>
              <w:bottom w:val="nil"/>
              <w:right w:val="single" w:sz="8" w:space="0" w:color="auto"/>
            </w:tcBorders>
            <w:vAlign w:val="bottom"/>
          </w:tcPr>
          <w:p w14:paraId="4BE1803E"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am clear about my learning responsibilities.</w:t>
            </w:r>
          </w:p>
        </w:tc>
        <w:tc>
          <w:tcPr>
            <w:tcW w:w="428" w:type="dxa"/>
            <w:tcBorders>
              <w:top w:val="nil"/>
              <w:left w:val="nil"/>
              <w:bottom w:val="nil"/>
              <w:right w:val="nil"/>
            </w:tcBorders>
            <w:vAlign w:val="bottom"/>
          </w:tcPr>
          <w:p w14:paraId="25019BA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49BDE47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14F24794"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2DB0C1E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710B52D1"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5A7519F4"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5971938F"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23AC735D"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0B41C76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758C35E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1EFBC2B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3B68E4E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4223562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60ABF76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403EBB8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41AC07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7F9DFADB"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72E4676D"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29D277D3"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14</w:t>
            </w:r>
          </w:p>
        </w:tc>
        <w:tc>
          <w:tcPr>
            <w:tcW w:w="5411" w:type="dxa"/>
            <w:tcBorders>
              <w:top w:val="nil"/>
              <w:left w:val="nil"/>
              <w:bottom w:val="nil"/>
              <w:right w:val="single" w:sz="8" w:space="0" w:color="auto"/>
            </w:tcBorders>
            <w:vAlign w:val="bottom"/>
          </w:tcPr>
          <w:p w14:paraId="0A4BA69B"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The goals of this learning experience are important to me.</w:t>
            </w:r>
          </w:p>
        </w:tc>
        <w:tc>
          <w:tcPr>
            <w:tcW w:w="428" w:type="dxa"/>
            <w:tcBorders>
              <w:top w:val="nil"/>
              <w:left w:val="nil"/>
              <w:bottom w:val="nil"/>
              <w:right w:val="nil"/>
            </w:tcBorders>
            <w:vAlign w:val="bottom"/>
          </w:tcPr>
          <w:p w14:paraId="134350B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187B5B9D"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4F764A2F"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0808D71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5630B4BF"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2592D4FC"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0D0199F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41913670"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3F60B67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7C449C1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6F2411C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55CB558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749C686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2F5EA4F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5CEA83E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2BD2D9E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52FF7553"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91C091B"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7AE24DEF"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15</w:t>
            </w:r>
          </w:p>
        </w:tc>
        <w:tc>
          <w:tcPr>
            <w:tcW w:w="5411" w:type="dxa"/>
            <w:tcBorders>
              <w:top w:val="nil"/>
              <w:left w:val="nil"/>
              <w:bottom w:val="nil"/>
              <w:right w:val="single" w:sz="8" w:space="0" w:color="auto"/>
            </w:tcBorders>
            <w:vAlign w:val="bottom"/>
          </w:tcPr>
          <w:p w14:paraId="56D4D590"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find what my supervisor and I are doing is unrelated to my learning goals.</w:t>
            </w:r>
          </w:p>
        </w:tc>
        <w:tc>
          <w:tcPr>
            <w:tcW w:w="428" w:type="dxa"/>
            <w:tcBorders>
              <w:top w:val="nil"/>
              <w:left w:val="nil"/>
              <w:bottom w:val="nil"/>
              <w:right w:val="nil"/>
            </w:tcBorders>
            <w:vAlign w:val="bottom"/>
          </w:tcPr>
          <w:p w14:paraId="3E11EC6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50A5EA67"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081E4EDB"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0DC3EE7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309F3872"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67454D9F"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68BFAF4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29D33265"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2396242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51F4DF3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3A249AB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29507F3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102CB91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1EC69BD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4454C50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031722B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299B8E6A"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19F6748" w14:textId="77777777" w:rsidTr="00161436">
        <w:trPr>
          <w:gridAfter w:val="1"/>
          <w:wAfter w:w="72" w:type="dxa"/>
          <w:trHeight w:val="371"/>
        </w:trPr>
        <w:tc>
          <w:tcPr>
            <w:tcW w:w="405" w:type="dxa"/>
            <w:tcBorders>
              <w:top w:val="nil"/>
              <w:left w:val="single" w:sz="8" w:space="0" w:color="auto"/>
              <w:bottom w:val="nil"/>
              <w:right w:val="single" w:sz="8" w:space="0" w:color="auto"/>
            </w:tcBorders>
            <w:vAlign w:val="bottom"/>
          </w:tcPr>
          <w:p w14:paraId="2641050A"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16</w:t>
            </w:r>
          </w:p>
        </w:tc>
        <w:tc>
          <w:tcPr>
            <w:tcW w:w="5411" w:type="dxa"/>
            <w:tcBorders>
              <w:top w:val="nil"/>
              <w:left w:val="nil"/>
              <w:bottom w:val="nil"/>
              <w:right w:val="single" w:sz="8" w:space="0" w:color="auto"/>
            </w:tcBorders>
            <w:vAlign w:val="bottom"/>
          </w:tcPr>
          <w:p w14:paraId="276B1AE3"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feel the things my supervisor addresses will help me accomplish my learning goals.</w:t>
            </w:r>
          </w:p>
        </w:tc>
        <w:tc>
          <w:tcPr>
            <w:tcW w:w="428" w:type="dxa"/>
            <w:tcBorders>
              <w:top w:val="nil"/>
              <w:left w:val="nil"/>
              <w:bottom w:val="nil"/>
              <w:right w:val="nil"/>
            </w:tcBorders>
            <w:vAlign w:val="bottom"/>
          </w:tcPr>
          <w:p w14:paraId="52F35087"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5B65319E"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542D6DC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6DD9ADBB"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52EAC67C"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13CD5E1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489F401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1E105E8A" w14:textId="77777777" w:rsidTr="00161436">
        <w:trPr>
          <w:gridAfter w:val="1"/>
          <w:wAfter w:w="72" w:type="dxa"/>
          <w:trHeight w:val="122"/>
        </w:trPr>
        <w:tc>
          <w:tcPr>
            <w:tcW w:w="405" w:type="dxa"/>
            <w:tcBorders>
              <w:top w:val="nil"/>
              <w:left w:val="single" w:sz="8" w:space="0" w:color="auto"/>
              <w:bottom w:val="single" w:sz="8" w:space="0" w:color="auto"/>
              <w:right w:val="single" w:sz="8" w:space="0" w:color="auto"/>
            </w:tcBorders>
            <w:vAlign w:val="bottom"/>
          </w:tcPr>
          <w:p w14:paraId="2B49EEE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4E5FD5A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4D948CE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56EDA7C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764B13F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39493F1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4A076D3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19F4BDF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5D28FD1B"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2CBCA5D2" w14:textId="77777777" w:rsidTr="00161436">
        <w:trPr>
          <w:gridAfter w:val="1"/>
          <w:wAfter w:w="72" w:type="dxa"/>
          <w:trHeight w:val="371"/>
        </w:trPr>
        <w:tc>
          <w:tcPr>
            <w:tcW w:w="405" w:type="dxa"/>
            <w:tcBorders>
              <w:top w:val="nil"/>
              <w:left w:val="single" w:sz="8" w:space="0" w:color="auto"/>
              <w:bottom w:val="nil"/>
              <w:right w:val="single" w:sz="8" w:space="0" w:color="auto"/>
            </w:tcBorders>
            <w:vAlign w:val="bottom"/>
          </w:tcPr>
          <w:p w14:paraId="75078D3A"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17</w:t>
            </w:r>
          </w:p>
        </w:tc>
        <w:tc>
          <w:tcPr>
            <w:tcW w:w="5411" w:type="dxa"/>
            <w:tcBorders>
              <w:top w:val="nil"/>
              <w:left w:val="nil"/>
              <w:bottom w:val="nil"/>
              <w:right w:val="single" w:sz="8" w:space="0" w:color="auto"/>
            </w:tcBorders>
            <w:vAlign w:val="bottom"/>
          </w:tcPr>
          <w:p w14:paraId="3DC1D3A5"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believe my supervisor is genuinely concerned about my learning experience.</w:t>
            </w:r>
          </w:p>
        </w:tc>
        <w:tc>
          <w:tcPr>
            <w:tcW w:w="428" w:type="dxa"/>
            <w:tcBorders>
              <w:top w:val="nil"/>
              <w:left w:val="nil"/>
              <w:bottom w:val="nil"/>
              <w:right w:val="nil"/>
            </w:tcBorders>
            <w:vAlign w:val="bottom"/>
          </w:tcPr>
          <w:p w14:paraId="4FE1383B"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0E3720BB"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73EF4B9F"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3E34FA9D"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117F2996"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566B1D15"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6647944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3F9FA723" w14:textId="77777777" w:rsidTr="00161436">
        <w:trPr>
          <w:gridAfter w:val="1"/>
          <w:wAfter w:w="72" w:type="dxa"/>
          <w:trHeight w:val="125"/>
        </w:trPr>
        <w:tc>
          <w:tcPr>
            <w:tcW w:w="405" w:type="dxa"/>
            <w:tcBorders>
              <w:top w:val="nil"/>
              <w:left w:val="single" w:sz="8" w:space="0" w:color="auto"/>
              <w:bottom w:val="single" w:sz="8" w:space="0" w:color="auto"/>
              <w:right w:val="single" w:sz="8" w:space="0" w:color="auto"/>
            </w:tcBorders>
            <w:vAlign w:val="bottom"/>
          </w:tcPr>
          <w:p w14:paraId="5C3225F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0AE7ECF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8" w:type="dxa"/>
            <w:tcBorders>
              <w:top w:val="nil"/>
              <w:left w:val="nil"/>
              <w:bottom w:val="single" w:sz="8" w:space="0" w:color="auto"/>
              <w:right w:val="nil"/>
            </w:tcBorders>
            <w:vAlign w:val="bottom"/>
          </w:tcPr>
          <w:p w14:paraId="7E7AB75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47" w:type="dxa"/>
            <w:tcBorders>
              <w:top w:val="nil"/>
              <w:left w:val="nil"/>
              <w:bottom w:val="single" w:sz="8" w:space="0" w:color="auto"/>
              <w:right w:val="nil"/>
            </w:tcBorders>
            <w:vAlign w:val="bottom"/>
          </w:tcPr>
          <w:p w14:paraId="44D7745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1" w:type="dxa"/>
            <w:tcBorders>
              <w:top w:val="nil"/>
              <w:left w:val="nil"/>
              <w:bottom w:val="single" w:sz="8" w:space="0" w:color="auto"/>
              <w:right w:val="nil"/>
            </w:tcBorders>
            <w:vAlign w:val="bottom"/>
          </w:tcPr>
          <w:p w14:paraId="1898212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5" w:type="dxa"/>
            <w:tcBorders>
              <w:top w:val="nil"/>
              <w:left w:val="nil"/>
              <w:bottom w:val="single" w:sz="8" w:space="0" w:color="auto"/>
              <w:right w:val="nil"/>
            </w:tcBorders>
            <w:vAlign w:val="bottom"/>
          </w:tcPr>
          <w:p w14:paraId="1F3D8BD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6" w:type="dxa"/>
            <w:gridSpan w:val="3"/>
            <w:tcBorders>
              <w:top w:val="nil"/>
              <w:left w:val="nil"/>
              <w:bottom w:val="single" w:sz="8" w:space="0" w:color="auto"/>
              <w:right w:val="nil"/>
            </w:tcBorders>
            <w:vAlign w:val="bottom"/>
          </w:tcPr>
          <w:p w14:paraId="1729D44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70" w:type="dxa"/>
            <w:tcBorders>
              <w:top w:val="nil"/>
              <w:left w:val="nil"/>
              <w:bottom w:val="single" w:sz="8" w:space="0" w:color="auto"/>
              <w:right w:val="nil"/>
            </w:tcBorders>
            <w:vAlign w:val="bottom"/>
          </w:tcPr>
          <w:p w14:paraId="3AC16B3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 w:type="dxa"/>
            <w:gridSpan w:val="2"/>
            <w:tcBorders>
              <w:top w:val="nil"/>
              <w:left w:val="nil"/>
              <w:bottom w:val="single" w:sz="8" w:space="0" w:color="auto"/>
              <w:right w:val="single" w:sz="8" w:space="0" w:color="auto"/>
            </w:tcBorders>
            <w:vAlign w:val="bottom"/>
          </w:tcPr>
          <w:p w14:paraId="293B7C32"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1B2B40A" w14:textId="77777777" w:rsidTr="00161436">
        <w:trPr>
          <w:gridAfter w:val="1"/>
          <w:wAfter w:w="72" w:type="dxa"/>
          <w:trHeight w:val="369"/>
        </w:trPr>
        <w:tc>
          <w:tcPr>
            <w:tcW w:w="405" w:type="dxa"/>
            <w:tcBorders>
              <w:top w:val="nil"/>
              <w:left w:val="single" w:sz="8" w:space="0" w:color="auto"/>
              <w:bottom w:val="nil"/>
              <w:right w:val="single" w:sz="8" w:space="0" w:color="auto"/>
            </w:tcBorders>
            <w:vAlign w:val="bottom"/>
          </w:tcPr>
          <w:p w14:paraId="6ADBC6A0"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18</w:t>
            </w:r>
          </w:p>
        </w:tc>
        <w:tc>
          <w:tcPr>
            <w:tcW w:w="5411" w:type="dxa"/>
            <w:tcBorders>
              <w:top w:val="nil"/>
              <w:left w:val="nil"/>
              <w:bottom w:val="nil"/>
              <w:right w:val="single" w:sz="8" w:space="0" w:color="auto"/>
            </w:tcBorders>
            <w:vAlign w:val="bottom"/>
          </w:tcPr>
          <w:p w14:paraId="0C5FCAF5" w14:textId="77777777" w:rsidR="00161436" w:rsidRPr="003726FE" w:rsidRDefault="00161436">
            <w:pPr>
              <w:widowControl w:val="0"/>
              <w:autoSpaceDE w:val="0"/>
              <w:autoSpaceDN w:val="0"/>
              <w:adjustRightInd w:val="0"/>
              <w:spacing w:after="0" w:line="240" w:lineRule="auto"/>
              <w:ind w:left="220"/>
              <w:rPr>
                <w:rFonts w:cs="Times New Roman"/>
                <w:szCs w:val="24"/>
              </w:rPr>
            </w:pPr>
            <w:r w:rsidRPr="003726FE">
              <w:rPr>
                <w:rFonts w:ascii="Arial Narrow" w:hAnsi="Arial Narrow" w:cs="Arial Narrow"/>
                <w:sz w:val="20"/>
                <w:szCs w:val="20"/>
              </w:rPr>
              <w:t>I am clear as to what my supervisor wants me to do during our time together.</w:t>
            </w:r>
          </w:p>
        </w:tc>
        <w:tc>
          <w:tcPr>
            <w:tcW w:w="428" w:type="dxa"/>
            <w:tcBorders>
              <w:top w:val="nil"/>
              <w:left w:val="nil"/>
              <w:bottom w:val="nil"/>
              <w:right w:val="nil"/>
            </w:tcBorders>
            <w:vAlign w:val="bottom"/>
          </w:tcPr>
          <w:p w14:paraId="51F9E2F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47" w:type="dxa"/>
            <w:tcBorders>
              <w:top w:val="nil"/>
              <w:left w:val="nil"/>
              <w:bottom w:val="nil"/>
              <w:right w:val="nil"/>
            </w:tcBorders>
            <w:vAlign w:val="bottom"/>
          </w:tcPr>
          <w:p w14:paraId="7A84B58E"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71" w:type="dxa"/>
            <w:tcBorders>
              <w:top w:val="nil"/>
              <w:left w:val="nil"/>
              <w:bottom w:val="nil"/>
              <w:right w:val="nil"/>
            </w:tcBorders>
            <w:vAlign w:val="bottom"/>
          </w:tcPr>
          <w:p w14:paraId="5035FFA5"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405" w:type="dxa"/>
            <w:tcBorders>
              <w:top w:val="nil"/>
              <w:left w:val="nil"/>
              <w:bottom w:val="nil"/>
              <w:right w:val="nil"/>
            </w:tcBorders>
            <w:vAlign w:val="bottom"/>
          </w:tcPr>
          <w:p w14:paraId="429D4EE8"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4</w:t>
            </w:r>
          </w:p>
        </w:tc>
        <w:tc>
          <w:tcPr>
            <w:tcW w:w="136" w:type="dxa"/>
            <w:gridSpan w:val="3"/>
            <w:tcBorders>
              <w:top w:val="nil"/>
              <w:left w:val="nil"/>
              <w:bottom w:val="nil"/>
              <w:right w:val="nil"/>
            </w:tcBorders>
            <w:vAlign w:val="bottom"/>
          </w:tcPr>
          <w:p w14:paraId="27E8FEB0"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5</w:t>
            </w:r>
          </w:p>
        </w:tc>
        <w:tc>
          <w:tcPr>
            <w:tcW w:w="270" w:type="dxa"/>
            <w:tcBorders>
              <w:top w:val="nil"/>
              <w:left w:val="nil"/>
              <w:bottom w:val="nil"/>
              <w:right w:val="nil"/>
            </w:tcBorders>
            <w:vAlign w:val="bottom"/>
          </w:tcPr>
          <w:p w14:paraId="307F68B3"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41" w:type="dxa"/>
            <w:gridSpan w:val="2"/>
            <w:tcBorders>
              <w:top w:val="nil"/>
              <w:left w:val="nil"/>
              <w:bottom w:val="nil"/>
              <w:right w:val="single" w:sz="8" w:space="0" w:color="auto"/>
            </w:tcBorders>
            <w:vAlign w:val="bottom"/>
          </w:tcPr>
          <w:p w14:paraId="22E06ECD"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7</w:t>
            </w:r>
          </w:p>
        </w:tc>
      </w:tr>
      <w:tr w:rsidR="00161436" w:rsidRPr="003726FE" w14:paraId="41E9292D" w14:textId="77777777" w:rsidTr="00161436">
        <w:trPr>
          <w:trHeight w:val="125"/>
        </w:trPr>
        <w:tc>
          <w:tcPr>
            <w:tcW w:w="405" w:type="dxa"/>
            <w:tcBorders>
              <w:top w:val="nil"/>
              <w:left w:val="single" w:sz="8" w:space="0" w:color="auto"/>
              <w:bottom w:val="single" w:sz="8" w:space="0" w:color="auto"/>
              <w:right w:val="single" w:sz="8" w:space="0" w:color="auto"/>
            </w:tcBorders>
            <w:vAlign w:val="bottom"/>
          </w:tcPr>
          <w:p w14:paraId="0FB1938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411" w:type="dxa"/>
            <w:tcBorders>
              <w:top w:val="nil"/>
              <w:left w:val="nil"/>
              <w:bottom w:val="single" w:sz="8" w:space="0" w:color="auto"/>
              <w:right w:val="single" w:sz="8" w:space="0" w:color="auto"/>
            </w:tcBorders>
            <w:vAlign w:val="bottom"/>
          </w:tcPr>
          <w:p w14:paraId="2A74E50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359" w:type="dxa"/>
            <w:gridSpan w:val="5"/>
            <w:tcBorders>
              <w:top w:val="nil"/>
              <w:left w:val="nil"/>
              <w:bottom w:val="single" w:sz="8" w:space="0" w:color="auto"/>
              <w:right w:val="nil"/>
            </w:tcBorders>
            <w:vAlign w:val="bottom"/>
          </w:tcPr>
          <w:p w14:paraId="6184031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0" w:type="dxa"/>
            <w:tcBorders>
              <w:top w:val="nil"/>
              <w:left w:val="nil"/>
              <w:bottom w:val="single" w:sz="8" w:space="0" w:color="auto"/>
              <w:right w:val="nil"/>
            </w:tcBorders>
            <w:vAlign w:val="bottom"/>
          </w:tcPr>
          <w:p w14:paraId="2078056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91" w:type="dxa"/>
            <w:gridSpan w:val="3"/>
            <w:tcBorders>
              <w:top w:val="nil"/>
              <w:left w:val="nil"/>
              <w:bottom w:val="single" w:sz="8" w:space="0" w:color="auto"/>
              <w:right w:val="nil"/>
            </w:tcBorders>
            <w:vAlign w:val="bottom"/>
          </w:tcPr>
          <w:p w14:paraId="37748ED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00" w:type="dxa"/>
            <w:gridSpan w:val="2"/>
            <w:tcBorders>
              <w:top w:val="nil"/>
              <w:left w:val="nil"/>
              <w:bottom w:val="single" w:sz="8" w:space="0" w:color="auto"/>
              <w:right w:val="nil"/>
            </w:tcBorders>
            <w:vAlign w:val="bottom"/>
          </w:tcPr>
          <w:p w14:paraId="0D98DE6C" w14:textId="77777777" w:rsidR="00161436" w:rsidRPr="003726FE" w:rsidRDefault="00161436">
            <w:pPr>
              <w:widowControl w:val="0"/>
              <w:autoSpaceDE w:val="0"/>
              <w:autoSpaceDN w:val="0"/>
              <w:adjustRightInd w:val="0"/>
              <w:spacing w:after="0" w:line="240" w:lineRule="auto"/>
              <w:rPr>
                <w:rFonts w:cs="Times New Roman"/>
                <w:sz w:val="10"/>
                <w:szCs w:val="10"/>
              </w:rPr>
            </w:pPr>
          </w:p>
        </w:tc>
      </w:tr>
    </w:tbl>
    <w:p w14:paraId="28DD7EE9" w14:textId="77777777" w:rsidR="00CD2E7E" w:rsidRPr="003726FE" w:rsidRDefault="00CD2E7E">
      <w:pPr>
        <w:widowControl w:val="0"/>
        <w:autoSpaceDE w:val="0"/>
        <w:autoSpaceDN w:val="0"/>
        <w:adjustRightInd w:val="0"/>
        <w:spacing w:after="0" w:line="225" w:lineRule="exact"/>
        <w:rPr>
          <w:rFonts w:cs="Times New Roman"/>
          <w:szCs w:val="24"/>
        </w:rPr>
      </w:pPr>
    </w:p>
    <w:p w14:paraId="66B96233" w14:textId="77777777" w:rsidR="00CD2E7E" w:rsidRPr="003726FE" w:rsidRDefault="00CD2E7E">
      <w:pPr>
        <w:widowControl w:val="0"/>
        <w:autoSpaceDE w:val="0"/>
        <w:autoSpaceDN w:val="0"/>
        <w:adjustRightInd w:val="0"/>
        <w:spacing w:after="0" w:line="240" w:lineRule="auto"/>
        <w:ind w:left="2940"/>
        <w:rPr>
          <w:rFonts w:cs="Times New Roman"/>
          <w:szCs w:val="24"/>
        </w:rPr>
      </w:pPr>
      <w:bookmarkStart w:id="1012" w:name="page3"/>
      <w:bookmarkEnd w:id="1012"/>
      <w:r w:rsidRPr="003726FE">
        <w:rPr>
          <w:rFonts w:ascii="Arial Narrow" w:hAnsi="Arial Narrow" w:cs="Arial Narrow"/>
          <w:b/>
          <w:bCs/>
          <w:szCs w:val="24"/>
        </w:rPr>
        <w:lastRenderedPageBreak/>
        <w:t>Educational Alliance Inventory (page 2)</w:t>
      </w:r>
    </w:p>
    <w:p w14:paraId="70F92C5F" w14:textId="77777777" w:rsidR="00CD2E7E" w:rsidRPr="003726FE" w:rsidRDefault="00CD2E7E">
      <w:pPr>
        <w:widowControl w:val="0"/>
        <w:autoSpaceDE w:val="0"/>
        <w:autoSpaceDN w:val="0"/>
        <w:adjustRightInd w:val="0"/>
        <w:spacing w:after="0" w:line="253" w:lineRule="exact"/>
        <w:rPr>
          <w:rFonts w:cs="Times New Roman"/>
          <w:szCs w:val="24"/>
        </w:rPr>
      </w:pPr>
    </w:p>
    <w:p w14:paraId="22281D4B" w14:textId="77777777" w:rsidR="00CD2E7E" w:rsidRPr="003726FE" w:rsidRDefault="00CD2E7E">
      <w:pPr>
        <w:widowControl w:val="0"/>
        <w:autoSpaceDE w:val="0"/>
        <w:autoSpaceDN w:val="0"/>
        <w:adjustRightInd w:val="0"/>
        <w:spacing w:after="0" w:line="240" w:lineRule="auto"/>
        <w:ind w:left="2480"/>
        <w:rPr>
          <w:rFonts w:cs="Times New Roman"/>
          <w:szCs w:val="24"/>
        </w:rPr>
      </w:pPr>
      <w:r w:rsidRPr="003726FE">
        <w:rPr>
          <w:rFonts w:ascii="Arial Narrow" w:hAnsi="Arial Narrow" w:cs="Arial Narrow"/>
          <w:sz w:val="20"/>
          <w:szCs w:val="20"/>
        </w:rPr>
        <w:t>Originally published as Appendix S1: supplementary material to</w:t>
      </w:r>
    </w:p>
    <w:p w14:paraId="55B4A440" w14:textId="55C38654" w:rsidR="00CD2E7E" w:rsidRPr="003726FE" w:rsidRDefault="00CD2E7E" w:rsidP="008A4137">
      <w:pPr>
        <w:widowControl w:val="0"/>
        <w:overflowPunct w:val="0"/>
        <w:autoSpaceDE w:val="0"/>
        <w:autoSpaceDN w:val="0"/>
        <w:adjustRightInd w:val="0"/>
        <w:spacing w:after="0" w:line="239" w:lineRule="auto"/>
        <w:ind w:left="1560" w:right="1660" w:firstLine="355"/>
        <w:rPr>
          <w:rFonts w:cs="Times New Roman"/>
          <w:szCs w:val="24"/>
        </w:rPr>
      </w:pPr>
      <w:r w:rsidRPr="003726FE">
        <w:rPr>
          <w:rFonts w:ascii="Arial Narrow" w:hAnsi="Arial Narrow" w:cs="Arial Narrow"/>
          <w:sz w:val="20"/>
          <w:szCs w:val="20"/>
        </w:rPr>
        <w:t xml:space="preserve">Telio S, Regehr G, Ajjawi R. Feedback and the educational alliance: examining credibility judgements and their consequences. </w:t>
      </w:r>
      <w:r w:rsidRPr="003726FE">
        <w:rPr>
          <w:rFonts w:ascii="Arial Narrow" w:hAnsi="Arial Narrow" w:cs="Arial Narrow"/>
          <w:i/>
          <w:iCs/>
          <w:sz w:val="20"/>
          <w:szCs w:val="20"/>
        </w:rPr>
        <w:t>Medical Education</w:t>
      </w:r>
      <w:r w:rsidRPr="003726FE">
        <w:rPr>
          <w:rFonts w:ascii="Arial Narrow" w:hAnsi="Arial Narrow" w:cs="Arial Narrow"/>
          <w:sz w:val="20"/>
          <w:szCs w:val="20"/>
        </w:rPr>
        <w:t>, 2016;</w:t>
      </w:r>
      <w:r w:rsidRPr="003726FE">
        <w:rPr>
          <w:rFonts w:ascii="Arial Narrow" w:hAnsi="Arial Narrow" w:cs="Arial Narrow"/>
          <w:i/>
          <w:iCs/>
          <w:sz w:val="20"/>
          <w:szCs w:val="20"/>
        </w:rPr>
        <w:t>50</w:t>
      </w:r>
      <w:r w:rsidRPr="003726FE">
        <w:rPr>
          <w:rFonts w:ascii="Arial Narrow" w:hAnsi="Arial Narrow" w:cs="Arial Narrow"/>
          <w:sz w:val="20"/>
          <w:szCs w:val="20"/>
        </w:rPr>
        <w:t>(xx):xxx-xxx..</w:t>
      </w:r>
    </w:p>
    <w:p w14:paraId="0E0E0A30" w14:textId="77777777" w:rsidR="00CD2E7E" w:rsidRPr="003726FE" w:rsidRDefault="00CD2E7E">
      <w:pPr>
        <w:widowControl w:val="0"/>
        <w:autoSpaceDE w:val="0"/>
        <w:autoSpaceDN w:val="0"/>
        <w:adjustRightInd w:val="0"/>
        <w:spacing w:after="0" w:line="231" w:lineRule="exact"/>
        <w:rPr>
          <w:rFonts w:cs="Times New Roman"/>
          <w:szCs w:val="24"/>
        </w:rPr>
      </w:pPr>
    </w:p>
    <w:p w14:paraId="4275A77F" w14:textId="618234D9" w:rsidR="00CD2E7E" w:rsidRPr="003726FE" w:rsidRDefault="00CD2E7E" w:rsidP="008A4137">
      <w:pPr>
        <w:widowControl w:val="0"/>
        <w:overflowPunct w:val="0"/>
        <w:autoSpaceDE w:val="0"/>
        <w:autoSpaceDN w:val="0"/>
        <w:adjustRightInd w:val="0"/>
        <w:spacing w:after="0" w:line="290" w:lineRule="auto"/>
        <w:ind w:left="100" w:right="300"/>
        <w:rPr>
          <w:rFonts w:cs="Times New Roman"/>
          <w:szCs w:val="24"/>
        </w:rPr>
      </w:pPr>
      <w:r w:rsidRPr="003726FE">
        <w:rPr>
          <w:rFonts w:ascii="Arial Narrow" w:hAnsi="Arial Narrow" w:cs="Arial Narrow"/>
          <w:sz w:val="20"/>
          <w:szCs w:val="20"/>
        </w:rPr>
        <w:t>Below is a list of statements about your relationship with your supervisor. Consider each item carefully and indicate your level of agreement by circling the number that best describes your relationship with your supervisor.</w:t>
      </w:r>
    </w:p>
    <w:tbl>
      <w:tblPr>
        <w:tblW w:w="8922" w:type="dxa"/>
        <w:tblInd w:w="-10" w:type="dxa"/>
        <w:tblLayout w:type="fixed"/>
        <w:tblCellMar>
          <w:left w:w="0" w:type="dxa"/>
          <w:right w:w="0" w:type="dxa"/>
        </w:tblCellMar>
        <w:tblLook w:val="0000" w:firstRow="0" w:lastRow="0" w:firstColumn="0" w:lastColumn="0" w:noHBand="0" w:noVBand="0"/>
      </w:tblPr>
      <w:tblGrid>
        <w:gridCol w:w="425"/>
        <w:gridCol w:w="6088"/>
        <w:gridCol w:w="282"/>
        <w:gridCol w:w="284"/>
        <w:gridCol w:w="283"/>
        <w:gridCol w:w="149"/>
        <w:gridCol w:w="20"/>
        <w:gridCol w:w="398"/>
        <w:gridCol w:w="142"/>
        <w:gridCol w:w="100"/>
        <w:gridCol w:w="184"/>
        <w:gridCol w:w="236"/>
        <w:gridCol w:w="331"/>
      </w:tblGrid>
      <w:tr w:rsidR="00161436" w:rsidRPr="003726FE" w14:paraId="175994E2" w14:textId="77777777" w:rsidTr="00161436">
        <w:trPr>
          <w:trHeight w:val="1047"/>
        </w:trPr>
        <w:tc>
          <w:tcPr>
            <w:tcW w:w="425" w:type="dxa"/>
            <w:tcBorders>
              <w:top w:val="single" w:sz="8" w:space="0" w:color="auto"/>
              <w:left w:val="single" w:sz="8" w:space="0" w:color="auto"/>
              <w:bottom w:val="nil"/>
              <w:right w:val="single" w:sz="8" w:space="0" w:color="auto"/>
            </w:tcBorders>
            <w:vAlign w:val="bottom"/>
          </w:tcPr>
          <w:p w14:paraId="36A79AD7" w14:textId="77777777" w:rsidR="00161436" w:rsidRPr="003726FE" w:rsidRDefault="00161436">
            <w:pPr>
              <w:widowControl w:val="0"/>
              <w:autoSpaceDE w:val="0"/>
              <w:autoSpaceDN w:val="0"/>
              <w:adjustRightInd w:val="0"/>
              <w:spacing w:after="0" w:line="240" w:lineRule="auto"/>
              <w:rPr>
                <w:rFonts w:cs="Times New Roman"/>
                <w:szCs w:val="24"/>
              </w:rPr>
            </w:pPr>
          </w:p>
        </w:tc>
        <w:tc>
          <w:tcPr>
            <w:tcW w:w="6088" w:type="dxa"/>
            <w:tcBorders>
              <w:top w:val="single" w:sz="8" w:space="0" w:color="auto"/>
              <w:left w:val="nil"/>
              <w:bottom w:val="nil"/>
              <w:right w:val="single" w:sz="8" w:space="0" w:color="auto"/>
            </w:tcBorders>
            <w:vAlign w:val="bottom"/>
          </w:tcPr>
          <w:p w14:paraId="56EBEC91" w14:textId="77777777" w:rsidR="00161436" w:rsidRPr="003726FE" w:rsidRDefault="00161436">
            <w:pPr>
              <w:widowControl w:val="0"/>
              <w:autoSpaceDE w:val="0"/>
              <w:autoSpaceDN w:val="0"/>
              <w:adjustRightInd w:val="0"/>
              <w:spacing w:after="0" w:line="240" w:lineRule="auto"/>
              <w:rPr>
                <w:rFonts w:cs="Times New Roman"/>
                <w:szCs w:val="24"/>
              </w:rPr>
            </w:pPr>
          </w:p>
        </w:tc>
        <w:tc>
          <w:tcPr>
            <w:tcW w:w="282" w:type="dxa"/>
            <w:tcBorders>
              <w:top w:val="single" w:sz="8" w:space="0" w:color="auto"/>
              <w:left w:val="nil"/>
              <w:bottom w:val="nil"/>
              <w:right w:val="nil"/>
            </w:tcBorders>
            <w:textDirection w:val="btLr"/>
            <w:vAlign w:val="bottom"/>
          </w:tcPr>
          <w:p w14:paraId="33DF54F0"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sz w:val="20"/>
                <w:szCs w:val="20"/>
              </w:rPr>
              <w:t>Never</w:t>
            </w:r>
          </w:p>
        </w:tc>
        <w:tc>
          <w:tcPr>
            <w:tcW w:w="284" w:type="dxa"/>
            <w:tcBorders>
              <w:top w:val="single" w:sz="8" w:space="0" w:color="auto"/>
              <w:left w:val="nil"/>
              <w:bottom w:val="nil"/>
              <w:right w:val="nil"/>
            </w:tcBorders>
            <w:vAlign w:val="bottom"/>
          </w:tcPr>
          <w:p w14:paraId="19CA41FF" w14:textId="77777777" w:rsidR="00161436" w:rsidRPr="003726FE" w:rsidRDefault="00161436">
            <w:pPr>
              <w:widowControl w:val="0"/>
              <w:autoSpaceDE w:val="0"/>
              <w:autoSpaceDN w:val="0"/>
              <w:adjustRightInd w:val="0"/>
              <w:spacing w:after="0" w:line="240" w:lineRule="auto"/>
              <w:rPr>
                <w:rFonts w:cs="Times New Roman"/>
                <w:szCs w:val="24"/>
              </w:rPr>
            </w:pPr>
          </w:p>
        </w:tc>
        <w:tc>
          <w:tcPr>
            <w:tcW w:w="283" w:type="dxa"/>
            <w:tcBorders>
              <w:top w:val="single" w:sz="8" w:space="0" w:color="auto"/>
              <w:left w:val="nil"/>
              <w:bottom w:val="nil"/>
              <w:right w:val="nil"/>
            </w:tcBorders>
            <w:vAlign w:val="bottom"/>
          </w:tcPr>
          <w:p w14:paraId="7F52A00F" w14:textId="77777777" w:rsidR="00161436" w:rsidRPr="003726FE" w:rsidRDefault="00161436">
            <w:pPr>
              <w:widowControl w:val="0"/>
              <w:autoSpaceDE w:val="0"/>
              <w:autoSpaceDN w:val="0"/>
              <w:adjustRightInd w:val="0"/>
              <w:spacing w:after="0" w:line="240" w:lineRule="auto"/>
              <w:rPr>
                <w:rFonts w:cs="Times New Roman"/>
                <w:szCs w:val="24"/>
              </w:rPr>
            </w:pPr>
          </w:p>
        </w:tc>
        <w:tc>
          <w:tcPr>
            <w:tcW w:w="567" w:type="dxa"/>
            <w:gridSpan w:val="3"/>
            <w:tcBorders>
              <w:top w:val="single" w:sz="8" w:space="0" w:color="auto"/>
              <w:left w:val="nil"/>
              <w:bottom w:val="nil"/>
              <w:right w:val="nil"/>
            </w:tcBorders>
            <w:textDirection w:val="btLr"/>
            <w:vAlign w:val="bottom"/>
          </w:tcPr>
          <w:p w14:paraId="1FD36A25"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sz w:val="20"/>
                <w:szCs w:val="20"/>
              </w:rPr>
              <w:t>Sometimes</w:t>
            </w:r>
          </w:p>
        </w:tc>
        <w:tc>
          <w:tcPr>
            <w:tcW w:w="142" w:type="dxa"/>
            <w:tcBorders>
              <w:top w:val="single" w:sz="8" w:space="0" w:color="auto"/>
              <w:left w:val="nil"/>
              <w:bottom w:val="nil"/>
              <w:right w:val="nil"/>
            </w:tcBorders>
            <w:vAlign w:val="bottom"/>
          </w:tcPr>
          <w:p w14:paraId="0C9BC950" w14:textId="77777777" w:rsidR="00161436" w:rsidRPr="003726FE" w:rsidRDefault="00161436">
            <w:pPr>
              <w:widowControl w:val="0"/>
              <w:autoSpaceDE w:val="0"/>
              <w:autoSpaceDN w:val="0"/>
              <w:adjustRightInd w:val="0"/>
              <w:spacing w:after="0" w:line="240" w:lineRule="auto"/>
              <w:rPr>
                <w:rFonts w:cs="Times New Roman"/>
                <w:szCs w:val="24"/>
              </w:rPr>
            </w:pPr>
          </w:p>
        </w:tc>
        <w:tc>
          <w:tcPr>
            <w:tcW w:w="284" w:type="dxa"/>
            <w:gridSpan w:val="2"/>
            <w:tcBorders>
              <w:top w:val="single" w:sz="8" w:space="0" w:color="auto"/>
              <w:left w:val="nil"/>
              <w:bottom w:val="nil"/>
              <w:right w:val="nil"/>
            </w:tcBorders>
            <w:vAlign w:val="bottom"/>
          </w:tcPr>
          <w:p w14:paraId="4F86BA8F" w14:textId="77777777" w:rsidR="00161436" w:rsidRPr="003726FE" w:rsidRDefault="00161436">
            <w:pPr>
              <w:widowControl w:val="0"/>
              <w:autoSpaceDE w:val="0"/>
              <w:autoSpaceDN w:val="0"/>
              <w:adjustRightInd w:val="0"/>
              <w:spacing w:after="0" w:line="240" w:lineRule="auto"/>
              <w:rPr>
                <w:rFonts w:cs="Times New Roman"/>
                <w:szCs w:val="24"/>
              </w:rPr>
            </w:pPr>
          </w:p>
        </w:tc>
        <w:tc>
          <w:tcPr>
            <w:tcW w:w="567" w:type="dxa"/>
            <w:gridSpan w:val="2"/>
            <w:tcBorders>
              <w:top w:val="single" w:sz="8" w:space="0" w:color="auto"/>
              <w:left w:val="nil"/>
              <w:bottom w:val="nil"/>
              <w:right w:val="single" w:sz="8" w:space="0" w:color="auto"/>
            </w:tcBorders>
            <w:textDirection w:val="btLr"/>
            <w:vAlign w:val="bottom"/>
          </w:tcPr>
          <w:p w14:paraId="7EAFD823" w14:textId="77777777" w:rsidR="00161436" w:rsidRPr="003726FE" w:rsidRDefault="00161436">
            <w:pPr>
              <w:widowControl w:val="0"/>
              <w:autoSpaceDE w:val="0"/>
              <w:autoSpaceDN w:val="0"/>
              <w:adjustRightInd w:val="0"/>
              <w:spacing w:after="0" w:line="240" w:lineRule="auto"/>
              <w:rPr>
                <w:rFonts w:cs="Times New Roman"/>
                <w:szCs w:val="24"/>
              </w:rPr>
            </w:pPr>
            <w:r w:rsidRPr="003726FE">
              <w:rPr>
                <w:rFonts w:ascii="Arial Narrow" w:hAnsi="Arial Narrow" w:cs="Arial Narrow"/>
                <w:b/>
                <w:bCs/>
                <w:w w:val="98"/>
                <w:sz w:val="20"/>
                <w:szCs w:val="20"/>
              </w:rPr>
              <w:t>Always</w:t>
            </w:r>
          </w:p>
        </w:tc>
      </w:tr>
      <w:tr w:rsidR="00161436" w:rsidRPr="003726FE" w14:paraId="2AD246DF" w14:textId="77777777" w:rsidTr="00161436">
        <w:trPr>
          <w:trHeight w:val="158"/>
        </w:trPr>
        <w:tc>
          <w:tcPr>
            <w:tcW w:w="425" w:type="dxa"/>
            <w:tcBorders>
              <w:top w:val="nil"/>
              <w:left w:val="single" w:sz="8" w:space="0" w:color="auto"/>
              <w:bottom w:val="single" w:sz="8" w:space="0" w:color="auto"/>
              <w:right w:val="single" w:sz="8" w:space="0" w:color="auto"/>
            </w:tcBorders>
            <w:vAlign w:val="bottom"/>
          </w:tcPr>
          <w:p w14:paraId="62B16815"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6088" w:type="dxa"/>
            <w:tcBorders>
              <w:top w:val="nil"/>
              <w:left w:val="nil"/>
              <w:bottom w:val="single" w:sz="8" w:space="0" w:color="auto"/>
              <w:right w:val="single" w:sz="8" w:space="0" w:color="auto"/>
            </w:tcBorders>
            <w:vAlign w:val="bottom"/>
          </w:tcPr>
          <w:p w14:paraId="4AF2E07E"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82" w:type="dxa"/>
            <w:tcBorders>
              <w:top w:val="nil"/>
              <w:left w:val="nil"/>
              <w:bottom w:val="single" w:sz="8" w:space="0" w:color="auto"/>
              <w:right w:val="nil"/>
            </w:tcBorders>
            <w:vAlign w:val="bottom"/>
          </w:tcPr>
          <w:p w14:paraId="629B2D12"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84" w:type="dxa"/>
            <w:tcBorders>
              <w:top w:val="nil"/>
              <w:left w:val="nil"/>
              <w:bottom w:val="single" w:sz="8" w:space="0" w:color="auto"/>
              <w:right w:val="nil"/>
            </w:tcBorders>
            <w:vAlign w:val="bottom"/>
          </w:tcPr>
          <w:p w14:paraId="761CE992"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83" w:type="dxa"/>
            <w:tcBorders>
              <w:top w:val="nil"/>
              <w:left w:val="nil"/>
              <w:bottom w:val="single" w:sz="8" w:space="0" w:color="auto"/>
              <w:right w:val="nil"/>
            </w:tcBorders>
            <w:vAlign w:val="bottom"/>
          </w:tcPr>
          <w:p w14:paraId="4E3984AB"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567" w:type="dxa"/>
            <w:gridSpan w:val="3"/>
            <w:tcBorders>
              <w:top w:val="nil"/>
              <w:left w:val="nil"/>
              <w:bottom w:val="single" w:sz="8" w:space="0" w:color="auto"/>
              <w:right w:val="nil"/>
            </w:tcBorders>
            <w:vAlign w:val="bottom"/>
          </w:tcPr>
          <w:p w14:paraId="0FA36D10"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142" w:type="dxa"/>
            <w:tcBorders>
              <w:top w:val="nil"/>
              <w:left w:val="nil"/>
              <w:bottom w:val="single" w:sz="8" w:space="0" w:color="auto"/>
              <w:right w:val="nil"/>
            </w:tcBorders>
            <w:vAlign w:val="bottom"/>
          </w:tcPr>
          <w:p w14:paraId="0B9BC998"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284" w:type="dxa"/>
            <w:gridSpan w:val="2"/>
            <w:tcBorders>
              <w:top w:val="nil"/>
              <w:left w:val="nil"/>
              <w:bottom w:val="single" w:sz="8" w:space="0" w:color="auto"/>
              <w:right w:val="nil"/>
            </w:tcBorders>
            <w:vAlign w:val="bottom"/>
          </w:tcPr>
          <w:p w14:paraId="72918A55" w14:textId="77777777" w:rsidR="00161436" w:rsidRPr="003726FE" w:rsidRDefault="00161436">
            <w:pPr>
              <w:widowControl w:val="0"/>
              <w:autoSpaceDE w:val="0"/>
              <w:autoSpaceDN w:val="0"/>
              <w:adjustRightInd w:val="0"/>
              <w:spacing w:after="0" w:line="240" w:lineRule="auto"/>
              <w:rPr>
                <w:rFonts w:cs="Times New Roman"/>
                <w:sz w:val="13"/>
                <w:szCs w:val="13"/>
              </w:rPr>
            </w:pPr>
          </w:p>
        </w:tc>
        <w:tc>
          <w:tcPr>
            <w:tcW w:w="567" w:type="dxa"/>
            <w:gridSpan w:val="2"/>
            <w:tcBorders>
              <w:top w:val="nil"/>
              <w:left w:val="nil"/>
              <w:bottom w:val="single" w:sz="8" w:space="0" w:color="auto"/>
              <w:right w:val="single" w:sz="8" w:space="0" w:color="auto"/>
            </w:tcBorders>
            <w:vAlign w:val="bottom"/>
          </w:tcPr>
          <w:p w14:paraId="5474CEF9" w14:textId="77777777" w:rsidR="00161436" w:rsidRPr="003726FE" w:rsidRDefault="00161436">
            <w:pPr>
              <w:widowControl w:val="0"/>
              <w:autoSpaceDE w:val="0"/>
              <w:autoSpaceDN w:val="0"/>
              <w:adjustRightInd w:val="0"/>
              <w:spacing w:after="0" w:line="240" w:lineRule="auto"/>
              <w:rPr>
                <w:rFonts w:cs="Times New Roman"/>
                <w:sz w:val="13"/>
                <w:szCs w:val="13"/>
              </w:rPr>
            </w:pPr>
          </w:p>
        </w:tc>
      </w:tr>
      <w:tr w:rsidR="00161436" w:rsidRPr="003726FE" w14:paraId="385CB8EA" w14:textId="77777777" w:rsidTr="00161436">
        <w:trPr>
          <w:trHeight w:val="369"/>
        </w:trPr>
        <w:tc>
          <w:tcPr>
            <w:tcW w:w="425" w:type="dxa"/>
            <w:tcBorders>
              <w:top w:val="nil"/>
              <w:left w:val="single" w:sz="8" w:space="0" w:color="auto"/>
              <w:bottom w:val="nil"/>
              <w:right w:val="single" w:sz="8" w:space="0" w:color="auto"/>
            </w:tcBorders>
            <w:vAlign w:val="bottom"/>
          </w:tcPr>
          <w:p w14:paraId="5FF5A36A"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19</w:t>
            </w:r>
          </w:p>
        </w:tc>
        <w:tc>
          <w:tcPr>
            <w:tcW w:w="6088" w:type="dxa"/>
            <w:tcBorders>
              <w:top w:val="nil"/>
              <w:left w:val="nil"/>
              <w:bottom w:val="nil"/>
              <w:right w:val="single" w:sz="8" w:space="0" w:color="auto"/>
            </w:tcBorders>
            <w:vAlign w:val="bottom"/>
          </w:tcPr>
          <w:p w14:paraId="6D8B0181"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supervisor and I respect each other.</w:t>
            </w:r>
          </w:p>
        </w:tc>
        <w:tc>
          <w:tcPr>
            <w:tcW w:w="282" w:type="dxa"/>
            <w:tcBorders>
              <w:top w:val="nil"/>
              <w:left w:val="nil"/>
              <w:bottom w:val="nil"/>
              <w:right w:val="nil"/>
            </w:tcBorders>
            <w:vAlign w:val="bottom"/>
          </w:tcPr>
          <w:p w14:paraId="08C5B69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23F9802A"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35B69A88"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395333FD"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47FE4FEB"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024CD081"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7E7881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00505C6"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582EA99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112D1C1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0A9B591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04B5FD8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4CB2D8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119DA06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67206B6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61C47D1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4A00E507"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A5EAA7C" w14:textId="77777777" w:rsidTr="00161436">
        <w:trPr>
          <w:trHeight w:val="371"/>
        </w:trPr>
        <w:tc>
          <w:tcPr>
            <w:tcW w:w="425" w:type="dxa"/>
            <w:tcBorders>
              <w:top w:val="nil"/>
              <w:left w:val="single" w:sz="8" w:space="0" w:color="auto"/>
              <w:bottom w:val="nil"/>
              <w:right w:val="single" w:sz="8" w:space="0" w:color="auto"/>
            </w:tcBorders>
            <w:vAlign w:val="bottom"/>
          </w:tcPr>
          <w:p w14:paraId="7BBB3BCB"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20</w:t>
            </w:r>
          </w:p>
        </w:tc>
        <w:tc>
          <w:tcPr>
            <w:tcW w:w="6088" w:type="dxa"/>
            <w:tcBorders>
              <w:top w:val="nil"/>
              <w:left w:val="nil"/>
              <w:bottom w:val="nil"/>
              <w:right w:val="single" w:sz="8" w:space="0" w:color="auto"/>
            </w:tcBorders>
            <w:vAlign w:val="bottom"/>
          </w:tcPr>
          <w:p w14:paraId="58F1C3CB"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feel that my supervisor is not totally honest about his/her feelings toward me.</w:t>
            </w:r>
          </w:p>
        </w:tc>
        <w:tc>
          <w:tcPr>
            <w:tcW w:w="282" w:type="dxa"/>
            <w:tcBorders>
              <w:top w:val="nil"/>
              <w:left w:val="nil"/>
              <w:bottom w:val="nil"/>
              <w:right w:val="nil"/>
            </w:tcBorders>
            <w:vAlign w:val="bottom"/>
          </w:tcPr>
          <w:p w14:paraId="4DF1360F"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39B3CC32"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41AD5F7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33347F7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000B089F"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4256701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0915E76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110693F8" w14:textId="77777777" w:rsidTr="00161436">
        <w:trPr>
          <w:trHeight w:val="122"/>
        </w:trPr>
        <w:tc>
          <w:tcPr>
            <w:tcW w:w="425" w:type="dxa"/>
            <w:tcBorders>
              <w:top w:val="nil"/>
              <w:left w:val="single" w:sz="8" w:space="0" w:color="auto"/>
              <w:bottom w:val="single" w:sz="8" w:space="0" w:color="auto"/>
              <w:right w:val="single" w:sz="8" w:space="0" w:color="auto"/>
            </w:tcBorders>
            <w:vAlign w:val="bottom"/>
          </w:tcPr>
          <w:p w14:paraId="7CBF33A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4E2DA15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4793D42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0D3DFF6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1E7C179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19A0E6E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4CC6DB7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03DF7E1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2FF501DD"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5283193" w14:textId="77777777" w:rsidTr="00161436">
        <w:trPr>
          <w:trHeight w:val="371"/>
        </w:trPr>
        <w:tc>
          <w:tcPr>
            <w:tcW w:w="425" w:type="dxa"/>
            <w:tcBorders>
              <w:top w:val="nil"/>
              <w:left w:val="single" w:sz="8" w:space="0" w:color="auto"/>
              <w:bottom w:val="nil"/>
              <w:right w:val="single" w:sz="8" w:space="0" w:color="auto"/>
            </w:tcBorders>
            <w:vAlign w:val="bottom"/>
          </w:tcPr>
          <w:p w14:paraId="44675A60"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21</w:t>
            </w:r>
          </w:p>
        </w:tc>
        <w:tc>
          <w:tcPr>
            <w:tcW w:w="6088" w:type="dxa"/>
            <w:tcBorders>
              <w:top w:val="nil"/>
              <w:left w:val="nil"/>
              <w:bottom w:val="nil"/>
              <w:right w:val="single" w:sz="8" w:space="0" w:color="auto"/>
            </w:tcBorders>
            <w:vAlign w:val="bottom"/>
          </w:tcPr>
          <w:p w14:paraId="4C02E114"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am confident in my supervisor’s skills in teaching me.</w:t>
            </w:r>
          </w:p>
        </w:tc>
        <w:tc>
          <w:tcPr>
            <w:tcW w:w="282" w:type="dxa"/>
            <w:tcBorders>
              <w:top w:val="nil"/>
              <w:left w:val="nil"/>
              <w:bottom w:val="nil"/>
              <w:right w:val="nil"/>
            </w:tcBorders>
            <w:vAlign w:val="bottom"/>
          </w:tcPr>
          <w:p w14:paraId="25818BB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75D8CD74"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194ED84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00CBB61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22158732"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2EF03FCA"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1CBF75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33458F47"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3202A92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2B1FDAF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002100F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0D2FC50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7CA64C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12C7152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7A82ED1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0BCEF54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1DA4A84B"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E137D29" w14:textId="77777777" w:rsidTr="00161436">
        <w:trPr>
          <w:trHeight w:val="369"/>
        </w:trPr>
        <w:tc>
          <w:tcPr>
            <w:tcW w:w="425" w:type="dxa"/>
            <w:tcBorders>
              <w:top w:val="nil"/>
              <w:left w:val="single" w:sz="8" w:space="0" w:color="auto"/>
              <w:bottom w:val="nil"/>
              <w:right w:val="single" w:sz="8" w:space="0" w:color="auto"/>
            </w:tcBorders>
            <w:vAlign w:val="bottom"/>
          </w:tcPr>
          <w:p w14:paraId="0E967581"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22</w:t>
            </w:r>
          </w:p>
        </w:tc>
        <w:tc>
          <w:tcPr>
            <w:tcW w:w="6088" w:type="dxa"/>
            <w:tcBorders>
              <w:top w:val="nil"/>
              <w:left w:val="nil"/>
              <w:bottom w:val="nil"/>
              <w:right w:val="single" w:sz="8" w:space="0" w:color="auto"/>
            </w:tcBorders>
            <w:vAlign w:val="bottom"/>
          </w:tcPr>
          <w:p w14:paraId="3D26A01E"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supervisor and I are working towards mutually agreed upon learning goals.</w:t>
            </w:r>
          </w:p>
        </w:tc>
        <w:tc>
          <w:tcPr>
            <w:tcW w:w="282" w:type="dxa"/>
            <w:tcBorders>
              <w:top w:val="nil"/>
              <w:left w:val="nil"/>
              <w:bottom w:val="nil"/>
              <w:right w:val="nil"/>
            </w:tcBorders>
            <w:vAlign w:val="bottom"/>
          </w:tcPr>
          <w:p w14:paraId="0DD978F7"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6B025BF1"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548E1FF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6B6C2FE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3076721B"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4B0450D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7F9E62E7"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1A3C70F3"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5CB5751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385911F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4C126C0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79C6E65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E8062D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7E5D937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66EF64F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09015A0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13E7B9E1"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37C4519" w14:textId="77777777" w:rsidTr="00161436">
        <w:trPr>
          <w:trHeight w:val="369"/>
        </w:trPr>
        <w:tc>
          <w:tcPr>
            <w:tcW w:w="425" w:type="dxa"/>
            <w:tcBorders>
              <w:top w:val="nil"/>
              <w:left w:val="single" w:sz="8" w:space="0" w:color="auto"/>
              <w:bottom w:val="nil"/>
              <w:right w:val="single" w:sz="8" w:space="0" w:color="auto"/>
            </w:tcBorders>
            <w:vAlign w:val="bottom"/>
          </w:tcPr>
          <w:p w14:paraId="1BC5D027"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23</w:t>
            </w:r>
          </w:p>
        </w:tc>
        <w:tc>
          <w:tcPr>
            <w:tcW w:w="6088" w:type="dxa"/>
            <w:tcBorders>
              <w:top w:val="nil"/>
              <w:left w:val="nil"/>
              <w:bottom w:val="nil"/>
              <w:right w:val="single" w:sz="8" w:space="0" w:color="auto"/>
            </w:tcBorders>
            <w:vAlign w:val="bottom"/>
          </w:tcPr>
          <w:p w14:paraId="0ECF32A6"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feel that my supervisor appreciates me.</w:t>
            </w:r>
          </w:p>
        </w:tc>
        <w:tc>
          <w:tcPr>
            <w:tcW w:w="282" w:type="dxa"/>
            <w:tcBorders>
              <w:top w:val="nil"/>
              <w:left w:val="nil"/>
              <w:bottom w:val="nil"/>
              <w:right w:val="nil"/>
            </w:tcBorders>
            <w:vAlign w:val="bottom"/>
          </w:tcPr>
          <w:p w14:paraId="3DD6D2E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75660EDB"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6754DC12"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3D8B89C3"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2D30D4E8"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4564A4AB"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410E0C8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4C3598B3"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6173BD8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303BB28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7D3C928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17CE025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53C673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094FCDB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5593DC8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24808C0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72889F9D"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79E5758F" w14:textId="77777777" w:rsidTr="00161436">
        <w:trPr>
          <w:trHeight w:val="369"/>
        </w:trPr>
        <w:tc>
          <w:tcPr>
            <w:tcW w:w="425" w:type="dxa"/>
            <w:tcBorders>
              <w:top w:val="nil"/>
              <w:left w:val="single" w:sz="8" w:space="0" w:color="auto"/>
              <w:bottom w:val="nil"/>
              <w:right w:val="single" w:sz="8" w:space="0" w:color="auto"/>
            </w:tcBorders>
            <w:vAlign w:val="bottom"/>
          </w:tcPr>
          <w:p w14:paraId="3F2FF93F"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24</w:t>
            </w:r>
          </w:p>
        </w:tc>
        <w:tc>
          <w:tcPr>
            <w:tcW w:w="6088" w:type="dxa"/>
            <w:tcBorders>
              <w:top w:val="nil"/>
              <w:left w:val="nil"/>
              <w:bottom w:val="nil"/>
              <w:right w:val="single" w:sz="8" w:space="0" w:color="auto"/>
            </w:tcBorders>
            <w:vAlign w:val="bottom"/>
          </w:tcPr>
          <w:p w14:paraId="2E79C725"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We agree on what is important for me to work on.</w:t>
            </w:r>
          </w:p>
        </w:tc>
        <w:tc>
          <w:tcPr>
            <w:tcW w:w="282" w:type="dxa"/>
            <w:tcBorders>
              <w:top w:val="nil"/>
              <w:left w:val="nil"/>
              <w:bottom w:val="nil"/>
              <w:right w:val="nil"/>
            </w:tcBorders>
            <w:vAlign w:val="bottom"/>
          </w:tcPr>
          <w:p w14:paraId="10D9A77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08F95B18"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61284E4E"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6250F51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56D6EBF0"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0E2630B4"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6A272D0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C8FDB00"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72DBE7C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7958C99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5E3A742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0386F55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6B7E665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6B28F4B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1D41EE7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05665C8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42F81583"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4825AF2" w14:textId="77777777" w:rsidTr="00161436">
        <w:trPr>
          <w:trHeight w:val="208"/>
        </w:trPr>
        <w:tc>
          <w:tcPr>
            <w:tcW w:w="425" w:type="dxa"/>
            <w:vMerge w:val="restart"/>
            <w:tcBorders>
              <w:top w:val="nil"/>
              <w:left w:val="single" w:sz="8" w:space="0" w:color="auto"/>
              <w:bottom w:val="nil"/>
              <w:right w:val="single" w:sz="8" w:space="0" w:color="auto"/>
            </w:tcBorders>
            <w:vAlign w:val="bottom"/>
          </w:tcPr>
          <w:p w14:paraId="25D15D74"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25</w:t>
            </w:r>
          </w:p>
        </w:tc>
        <w:tc>
          <w:tcPr>
            <w:tcW w:w="6088" w:type="dxa"/>
            <w:tcBorders>
              <w:top w:val="nil"/>
              <w:left w:val="nil"/>
              <w:bottom w:val="nil"/>
              <w:right w:val="single" w:sz="8" w:space="0" w:color="auto"/>
            </w:tcBorders>
            <w:vAlign w:val="bottom"/>
          </w:tcPr>
          <w:p w14:paraId="6BFAE56F" w14:textId="77777777" w:rsidR="00161436" w:rsidRPr="003726FE" w:rsidRDefault="00161436">
            <w:pPr>
              <w:widowControl w:val="0"/>
              <w:autoSpaceDE w:val="0"/>
              <w:autoSpaceDN w:val="0"/>
              <w:adjustRightInd w:val="0"/>
              <w:spacing w:after="0" w:line="208" w:lineRule="exact"/>
              <w:ind w:left="200"/>
              <w:rPr>
                <w:rFonts w:cs="Times New Roman"/>
                <w:szCs w:val="24"/>
              </w:rPr>
            </w:pPr>
            <w:r w:rsidRPr="003726FE">
              <w:rPr>
                <w:rFonts w:ascii="Arial Narrow" w:hAnsi="Arial Narrow" w:cs="Arial Narrow"/>
                <w:sz w:val="20"/>
                <w:szCs w:val="20"/>
              </w:rPr>
              <w:t>As a result of this teaching I am clearer as to how I might be able to meet my learning</w:t>
            </w:r>
          </w:p>
        </w:tc>
        <w:tc>
          <w:tcPr>
            <w:tcW w:w="282" w:type="dxa"/>
            <w:vMerge w:val="restart"/>
            <w:tcBorders>
              <w:top w:val="nil"/>
              <w:left w:val="nil"/>
              <w:bottom w:val="nil"/>
              <w:right w:val="nil"/>
            </w:tcBorders>
            <w:vAlign w:val="bottom"/>
          </w:tcPr>
          <w:p w14:paraId="1340B94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vMerge w:val="restart"/>
            <w:tcBorders>
              <w:top w:val="nil"/>
              <w:left w:val="nil"/>
              <w:bottom w:val="nil"/>
              <w:right w:val="nil"/>
            </w:tcBorders>
            <w:vAlign w:val="bottom"/>
          </w:tcPr>
          <w:p w14:paraId="3511A10E"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vMerge w:val="restart"/>
            <w:tcBorders>
              <w:top w:val="nil"/>
              <w:left w:val="nil"/>
              <w:bottom w:val="nil"/>
              <w:right w:val="nil"/>
            </w:tcBorders>
            <w:vAlign w:val="bottom"/>
          </w:tcPr>
          <w:p w14:paraId="005C6703"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vMerge w:val="restart"/>
            <w:tcBorders>
              <w:top w:val="nil"/>
              <w:left w:val="nil"/>
              <w:bottom w:val="nil"/>
              <w:right w:val="nil"/>
            </w:tcBorders>
            <w:vAlign w:val="bottom"/>
          </w:tcPr>
          <w:p w14:paraId="73E89828"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vMerge w:val="restart"/>
            <w:tcBorders>
              <w:top w:val="nil"/>
              <w:left w:val="nil"/>
              <w:bottom w:val="nil"/>
              <w:right w:val="nil"/>
            </w:tcBorders>
            <w:vAlign w:val="bottom"/>
          </w:tcPr>
          <w:p w14:paraId="3D222DF8"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vMerge w:val="restart"/>
            <w:tcBorders>
              <w:top w:val="nil"/>
              <w:left w:val="nil"/>
              <w:bottom w:val="nil"/>
              <w:right w:val="nil"/>
            </w:tcBorders>
            <w:vAlign w:val="bottom"/>
          </w:tcPr>
          <w:p w14:paraId="634A597C"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vMerge w:val="restart"/>
            <w:tcBorders>
              <w:top w:val="nil"/>
              <w:left w:val="nil"/>
              <w:bottom w:val="nil"/>
              <w:right w:val="single" w:sz="8" w:space="0" w:color="auto"/>
            </w:tcBorders>
            <w:vAlign w:val="bottom"/>
          </w:tcPr>
          <w:p w14:paraId="3657D47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1AF9F666" w14:textId="77777777" w:rsidTr="00161436">
        <w:trPr>
          <w:trHeight w:val="161"/>
        </w:trPr>
        <w:tc>
          <w:tcPr>
            <w:tcW w:w="425" w:type="dxa"/>
            <w:vMerge/>
            <w:tcBorders>
              <w:top w:val="nil"/>
              <w:left w:val="single" w:sz="8" w:space="0" w:color="auto"/>
              <w:bottom w:val="nil"/>
              <w:right w:val="single" w:sz="8" w:space="0" w:color="auto"/>
            </w:tcBorders>
            <w:vAlign w:val="bottom"/>
          </w:tcPr>
          <w:p w14:paraId="67E7A3D8"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6088" w:type="dxa"/>
            <w:vMerge w:val="restart"/>
            <w:tcBorders>
              <w:top w:val="nil"/>
              <w:left w:val="nil"/>
              <w:bottom w:val="nil"/>
              <w:right w:val="single" w:sz="8" w:space="0" w:color="auto"/>
            </w:tcBorders>
            <w:vAlign w:val="bottom"/>
          </w:tcPr>
          <w:p w14:paraId="3C857C92"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goals.</w:t>
            </w:r>
          </w:p>
        </w:tc>
        <w:tc>
          <w:tcPr>
            <w:tcW w:w="282" w:type="dxa"/>
            <w:vMerge/>
            <w:tcBorders>
              <w:top w:val="nil"/>
              <w:left w:val="nil"/>
              <w:bottom w:val="nil"/>
              <w:right w:val="nil"/>
            </w:tcBorders>
            <w:vAlign w:val="bottom"/>
          </w:tcPr>
          <w:p w14:paraId="6808C47A"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vMerge/>
            <w:tcBorders>
              <w:top w:val="nil"/>
              <w:left w:val="nil"/>
              <w:bottom w:val="nil"/>
              <w:right w:val="nil"/>
            </w:tcBorders>
            <w:vAlign w:val="bottom"/>
          </w:tcPr>
          <w:p w14:paraId="33667B8D"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3" w:type="dxa"/>
            <w:vMerge/>
            <w:tcBorders>
              <w:top w:val="nil"/>
              <w:left w:val="nil"/>
              <w:bottom w:val="nil"/>
              <w:right w:val="nil"/>
            </w:tcBorders>
            <w:vAlign w:val="bottom"/>
          </w:tcPr>
          <w:p w14:paraId="7D9E9408"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3"/>
            <w:vMerge/>
            <w:tcBorders>
              <w:top w:val="nil"/>
              <w:left w:val="nil"/>
              <w:bottom w:val="nil"/>
              <w:right w:val="nil"/>
            </w:tcBorders>
            <w:vAlign w:val="bottom"/>
          </w:tcPr>
          <w:p w14:paraId="47A1DF82"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42" w:type="dxa"/>
            <w:vMerge/>
            <w:tcBorders>
              <w:top w:val="nil"/>
              <w:left w:val="nil"/>
              <w:bottom w:val="nil"/>
              <w:right w:val="nil"/>
            </w:tcBorders>
            <w:vAlign w:val="bottom"/>
          </w:tcPr>
          <w:p w14:paraId="28084795"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gridSpan w:val="2"/>
            <w:vMerge/>
            <w:tcBorders>
              <w:top w:val="nil"/>
              <w:left w:val="nil"/>
              <w:bottom w:val="nil"/>
              <w:right w:val="nil"/>
            </w:tcBorders>
            <w:vAlign w:val="bottom"/>
          </w:tcPr>
          <w:p w14:paraId="60AEF24C"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2"/>
            <w:vMerge/>
            <w:tcBorders>
              <w:top w:val="nil"/>
              <w:left w:val="nil"/>
              <w:bottom w:val="nil"/>
              <w:right w:val="single" w:sz="8" w:space="0" w:color="auto"/>
            </w:tcBorders>
            <w:vAlign w:val="bottom"/>
          </w:tcPr>
          <w:p w14:paraId="32923F47"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0B3CF896" w14:textId="77777777" w:rsidTr="00161436">
        <w:trPr>
          <w:trHeight w:val="120"/>
        </w:trPr>
        <w:tc>
          <w:tcPr>
            <w:tcW w:w="425" w:type="dxa"/>
            <w:tcBorders>
              <w:top w:val="nil"/>
              <w:left w:val="single" w:sz="8" w:space="0" w:color="auto"/>
              <w:bottom w:val="single" w:sz="8" w:space="0" w:color="auto"/>
              <w:right w:val="single" w:sz="8" w:space="0" w:color="auto"/>
            </w:tcBorders>
            <w:vAlign w:val="bottom"/>
          </w:tcPr>
          <w:p w14:paraId="026E795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vMerge/>
            <w:tcBorders>
              <w:top w:val="nil"/>
              <w:left w:val="nil"/>
              <w:bottom w:val="single" w:sz="8" w:space="0" w:color="auto"/>
              <w:right w:val="single" w:sz="8" w:space="0" w:color="auto"/>
            </w:tcBorders>
            <w:vAlign w:val="bottom"/>
          </w:tcPr>
          <w:p w14:paraId="63314FE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75D40AB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62AC1A9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7F852CD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3315CBA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6631E13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2298D86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5CB221A9"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F09F84F" w14:textId="77777777" w:rsidTr="00161436">
        <w:trPr>
          <w:trHeight w:val="376"/>
        </w:trPr>
        <w:tc>
          <w:tcPr>
            <w:tcW w:w="425" w:type="dxa"/>
            <w:tcBorders>
              <w:top w:val="nil"/>
              <w:left w:val="single" w:sz="8" w:space="0" w:color="auto"/>
              <w:bottom w:val="nil"/>
              <w:right w:val="single" w:sz="8" w:space="0" w:color="auto"/>
            </w:tcBorders>
            <w:vAlign w:val="bottom"/>
          </w:tcPr>
          <w:p w14:paraId="3D1941FF"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26</w:t>
            </w:r>
          </w:p>
        </w:tc>
        <w:tc>
          <w:tcPr>
            <w:tcW w:w="6088" w:type="dxa"/>
            <w:tcBorders>
              <w:top w:val="nil"/>
              <w:left w:val="nil"/>
              <w:bottom w:val="nil"/>
              <w:right w:val="single" w:sz="8" w:space="0" w:color="auto"/>
            </w:tcBorders>
            <w:vAlign w:val="bottom"/>
          </w:tcPr>
          <w:p w14:paraId="0D05B3A0"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supervisor and I trust one another.</w:t>
            </w:r>
          </w:p>
        </w:tc>
        <w:tc>
          <w:tcPr>
            <w:tcW w:w="282" w:type="dxa"/>
            <w:tcBorders>
              <w:top w:val="nil"/>
              <w:left w:val="nil"/>
              <w:bottom w:val="nil"/>
              <w:right w:val="nil"/>
            </w:tcBorders>
            <w:vAlign w:val="bottom"/>
          </w:tcPr>
          <w:p w14:paraId="2EC8A86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62F0BEB2"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48D09F9C"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0688019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2AB09548"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535BA5D3"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7DF5721B"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03C2733D" w14:textId="77777777" w:rsidTr="00161436">
        <w:trPr>
          <w:trHeight w:val="122"/>
        </w:trPr>
        <w:tc>
          <w:tcPr>
            <w:tcW w:w="425" w:type="dxa"/>
            <w:tcBorders>
              <w:top w:val="nil"/>
              <w:left w:val="single" w:sz="8" w:space="0" w:color="auto"/>
              <w:bottom w:val="single" w:sz="8" w:space="0" w:color="auto"/>
              <w:right w:val="single" w:sz="8" w:space="0" w:color="auto"/>
            </w:tcBorders>
            <w:vAlign w:val="bottom"/>
          </w:tcPr>
          <w:p w14:paraId="5C87A24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5A6849E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6DE7851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65E9DEA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810A7E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1205477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6F9298A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65F85B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03D0780C"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704B4F51" w14:textId="77777777" w:rsidTr="00161436">
        <w:trPr>
          <w:trHeight w:val="371"/>
        </w:trPr>
        <w:tc>
          <w:tcPr>
            <w:tcW w:w="425" w:type="dxa"/>
            <w:tcBorders>
              <w:top w:val="nil"/>
              <w:left w:val="single" w:sz="8" w:space="0" w:color="auto"/>
              <w:bottom w:val="nil"/>
              <w:right w:val="single" w:sz="8" w:space="0" w:color="auto"/>
            </w:tcBorders>
            <w:vAlign w:val="bottom"/>
          </w:tcPr>
          <w:p w14:paraId="55CBA993"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27</w:t>
            </w:r>
          </w:p>
        </w:tc>
        <w:tc>
          <w:tcPr>
            <w:tcW w:w="6088" w:type="dxa"/>
            <w:tcBorders>
              <w:top w:val="nil"/>
              <w:left w:val="nil"/>
              <w:bottom w:val="nil"/>
              <w:right w:val="single" w:sz="8" w:space="0" w:color="auto"/>
            </w:tcBorders>
            <w:vAlign w:val="bottom"/>
          </w:tcPr>
          <w:p w14:paraId="01355202"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supervisor and I have different ideas about areas where I need to improve.</w:t>
            </w:r>
          </w:p>
        </w:tc>
        <w:tc>
          <w:tcPr>
            <w:tcW w:w="282" w:type="dxa"/>
            <w:tcBorders>
              <w:top w:val="nil"/>
              <w:left w:val="nil"/>
              <w:bottom w:val="nil"/>
              <w:right w:val="nil"/>
            </w:tcBorders>
            <w:vAlign w:val="bottom"/>
          </w:tcPr>
          <w:p w14:paraId="7597D5E3"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5CF56A63"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4DFF462F"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55345A5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547A3FE0"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70F15BC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765AAE3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0F1ED7B"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142EDA2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6473CA3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49221EE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3D07C20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6DAC79E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0CCCDB6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2A099B1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4D90972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3F048BEA"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3BC40137" w14:textId="77777777" w:rsidTr="00161436">
        <w:trPr>
          <w:trHeight w:val="369"/>
        </w:trPr>
        <w:tc>
          <w:tcPr>
            <w:tcW w:w="425" w:type="dxa"/>
            <w:tcBorders>
              <w:top w:val="nil"/>
              <w:left w:val="single" w:sz="8" w:space="0" w:color="auto"/>
              <w:bottom w:val="nil"/>
              <w:right w:val="single" w:sz="8" w:space="0" w:color="auto"/>
            </w:tcBorders>
            <w:vAlign w:val="bottom"/>
          </w:tcPr>
          <w:p w14:paraId="7C305E72"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28</w:t>
            </w:r>
          </w:p>
        </w:tc>
        <w:tc>
          <w:tcPr>
            <w:tcW w:w="6088" w:type="dxa"/>
            <w:tcBorders>
              <w:top w:val="nil"/>
              <w:left w:val="nil"/>
              <w:bottom w:val="nil"/>
              <w:right w:val="single" w:sz="8" w:space="0" w:color="auto"/>
            </w:tcBorders>
            <w:vAlign w:val="bottom"/>
          </w:tcPr>
          <w:p w14:paraId="66A448A7"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relationship with my supervisor is very important to me.</w:t>
            </w:r>
          </w:p>
        </w:tc>
        <w:tc>
          <w:tcPr>
            <w:tcW w:w="282" w:type="dxa"/>
            <w:tcBorders>
              <w:top w:val="nil"/>
              <w:left w:val="nil"/>
              <w:bottom w:val="nil"/>
              <w:right w:val="nil"/>
            </w:tcBorders>
            <w:vAlign w:val="bottom"/>
          </w:tcPr>
          <w:p w14:paraId="478417A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318BDAC7"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5D54C2DB"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17C43F1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5EB57F5E"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73E41874"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108B1C2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7C602A77"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696F6E1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72DEB99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6583159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70E0618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6B0A54C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066437E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4DC092D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6FCF5092"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7F52EFE4"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1A18BA74" w14:textId="77777777" w:rsidTr="00161436">
        <w:trPr>
          <w:trHeight w:val="208"/>
        </w:trPr>
        <w:tc>
          <w:tcPr>
            <w:tcW w:w="425" w:type="dxa"/>
            <w:vMerge w:val="restart"/>
            <w:tcBorders>
              <w:top w:val="nil"/>
              <w:left w:val="single" w:sz="8" w:space="0" w:color="auto"/>
              <w:bottom w:val="nil"/>
              <w:right w:val="single" w:sz="8" w:space="0" w:color="auto"/>
            </w:tcBorders>
            <w:vAlign w:val="bottom"/>
          </w:tcPr>
          <w:p w14:paraId="104A07ED"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29</w:t>
            </w:r>
          </w:p>
        </w:tc>
        <w:tc>
          <w:tcPr>
            <w:tcW w:w="6088" w:type="dxa"/>
            <w:tcBorders>
              <w:top w:val="nil"/>
              <w:left w:val="nil"/>
              <w:bottom w:val="nil"/>
              <w:right w:val="single" w:sz="8" w:space="0" w:color="auto"/>
            </w:tcBorders>
            <w:vAlign w:val="bottom"/>
          </w:tcPr>
          <w:p w14:paraId="031EC9C5" w14:textId="77777777" w:rsidR="00161436" w:rsidRPr="003726FE" w:rsidRDefault="00161436">
            <w:pPr>
              <w:widowControl w:val="0"/>
              <w:autoSpaceDE w:val="0"/>
              <w:autoSpaceDN w:val="0"/>
              <w:adjustRightInd w:val="0"/>
              <w:spacing w:after="0" w:line="208" w:lineRule="exact"/>
              <w:ind w:left="200"/>
              <w:rPr>
                <w:rFonts w:cs="Times New Roman"/>
                <w:szCs w:val="24"/>
              </w:rPr>
            </w:pPr>
            <w:r w:rsidRPr="003726FE">
              <w:rPr>
                <w:rFonts w:ascii="Arial Narrow" w:hAnsi="Arial Narrow" w:cs="Arial Narrow"/>
                <w:sz w:val="20"/>
                <w:szCs w:val="20"/>
              </w:rPr>
              <w:t>I have the feeling that if I do or say the wrong things, my supervisor won’t want to</w:t>
            </w:r>
          </w:p>
        </w:tc>
        <w:tc>
          <w:tcPr>
            <w:tcW w:w="282" w:type="dxa"/>
            <w:vMerge w:val="restart"/>
            <w:tcBorders>
              <w:top w:val="nil"/>
              <w:left w:val="nil"/>
              <w:bottom w:val="nil"/>
              <w:right w:val="nil"/>
            </w:tcBorders>
            <w:vAlign w:val="bottom"/>
          </w:tcPr>
          <w:p w14:paraId="4F2F46A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vMerge w:val="restart"/>
            <w:tcBorders>
              <w:top w:val="nil"/>
              <w:left w:val="nil"/>
              <w:bottom w:val="nil"/>
              <w:right w:val="nil"/>
            </w:tcBorders>
            <w:vAlign w:val="bottom"/>
          </w:tcPr>
          <w:p w14:paraId="63B68ECC"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vMerge w:val="restart"/>
            <w:tcBorders>
              <w:top w:val="nil"/>
              <w:left w:val="nil"/>
              <w:bottom w:val="nil"/>
              <w:right w:val="nil"/>
            </w:tcBorders>
            <w:vAlign w:val="bottom"/>
          </w:tcPr>
          <w:p w14:paraId="6D910AF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vMerge w:val="restart"/>
            <w:tcBorders>
              <w:top w:val="nil"/>
              <w:left w:val="nil"/>
              <w:bottom w:val="nil"/>
              <w:right w:val="nil"/>
            </w:tcBorders>
            <w:vAlign w:val="bottom"/>
          </w:tcPr>
          <w:p w14:paraId="705D896D"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vMerge w:val="restart"/>
            <w:tcBorders>
              <w:top w:val="nil"/>
              <w:left w:val="nil"/>
              <w:bottom w:val="nil"/>
              <w:right w:val="nil"/>
            </w:tcBorders>
            <w:vAlign w:val="bottom"/>
          </w:tcPr>
          <w:p w14:paraId="4F6E1EB2"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vMerge w:val="restart"/>
            <w:tcBorders>
              <w:top w:val="nil"/>
              <w:left w:val="nil"/>
              <w:bottom w:val="nil"/>
              <w:right w:val="nil"/>
            </w:tcBorders>
            <w:vAlign w:val="bottom"/>
          </w:tcPr>
          <w:p w14:paraId="4E9C757E"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vMerge w:val="restart"/>
            <w:tcBorders>
              <w:top w:val="nil"/>
              <w:left w:val="nil"/>
              <w:bottom w:val="nil"/>
              <w:right w:val="single" w:sz="8" w:space="0" w:color="auto"/>
            </w:tcBorders>
            <w:vAlign w:val="bottom"/>
          </w:tcPr>
          <w:p w14:paraId="63545304"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6B1A2FE9" w14:textId="77777777" w:rsidTr="00161436">
        <w:trPr>
          <w:trHeight w:val="161"/>
        </w:trPr>
        <w:tc>
          <w:tcPr>
            <w:tcW w:w="425" w:type="dxa"/>
            <w:vMerge/>
            <w:tcBorders>
              <w:top w:val="nil"/>
              <w:left w:val="single" w:sz="8" w:space="0" w:color="auto"/>
              <w:bottom w:val="nil"/>
              <w:right w:val="single" w:sz="8" w:space="0" w:color="auto"/>
            </w:tcBorders>
            <w:vAlign w:val="bottom"/>
          </w:tcPr>
          <w:p w14:paraId="41B5BF4B"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6088" w:type="dxa"/>
            <w:vMerge w:val="restart"/>
            <w:tcBorders>
              <w:top w:val="nil"/>
              <w:left w:val="nil"/>
              <w:bottom w:val="nil"/>
              <w:right w:val="single" w:sz="8" w:space="0" w:color="auto"/>
            </w:tcBorders>
            <w:vAlign w:val="bottom"/>
          </w:tcPr>
          <w:p w14:paraId="74788133"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work with me.</w:t>
            </w:r>
          </w:p>
        </w:tc>
        <w:tc>
          <w:tcPr>
            <w:tcW w:w="282" w:type="dxa"/>
            <w:vMerge/>
            <w:tcBorders>
              <w:top w:val="nil"/>
              <w:left w:val="nil"/>
              <w:bottom w:val="nil"/>
              <w:right w:val="nil"/>
            </w:tcBorders>
            <w:vAlign w:val="bottom"/>
          </w:tcPr>
          <w:p w14:paraId="4E01836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vMerge/>
            <w:tcBorders>
              <w:top w:val="nil"/>
              <w:left w:val="nil"/>
              <w:bottom w:val="nil"/>
              <w:right w:val="nil"/>
            </w:tcBorders>
            <w:vAlign w:val="bottom"/>
          </w:tcPr>
          <w:p w14:paraId="2B19F1D6"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3" w:type="dxa"/>
            <w:vMerge/>
            <w:tcBorders>
              <w:top w:val="nil"/>
              <w:left w:val="nil"/>
              <w:bottom w:val="nil"/>
              <w:right w:val="nil"/>
            </w:tcBorders>
            <w:vAlign w:val="bottom"/>
          </w:tcPr>
          <w:p w14:paraId="1D5F712A"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3"/>
            <w:vMerge/>
            <w:tcBorders>
              <w:top w:val="nil"/>
              <w:left w:val="nil"/>
              <w:bottom w:val="nil"/>
              <w:right w:val="nil"/>
            </w:tcBorders>
            <w:vAlign w:val="bottom"/>
          </w:tcPr>
          <w:p w14:paraId="71852A9A"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42" w:type="dxa"/>
            <w:vMerge/>
            <w:tcBorders>
              <w:top w:val="nil"/>
              <w:left w:val="nil"/>
              <w:bottom w:val="nil"/>
              <w:right w:val="nil"/>
            </w:tcBorders>
            <w:vAlign w:val="bottom"/>
          </w:tcPr>
          <w:p w14:paraId="1CC047B0"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gridSpan w:val="2"/>
            <w:vMerge/>
            <w:tcBorders>
              <w:top w:val="nil"/>
              <w:left w:val="nil"/>
              <w:bottom w:val="nil"/>
              <w:right w:val="nil"/>
            </w:tcBorders>
            <w:vAlign w:val="bottom"/>
          </w:tcPr>
          <w:p w14:paraId="178AFA97"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2"/>
            <w:vMerge/>
            <w:tcBorders>
              <w:top w:val="nil"/>
              <w:left w:val="nil"/>
              <w:bottom w:val="nil"/>
              <w:right w:val="single" w:sz="8" w:space="0" w:color="auto"/>
            </w:tcBorders>
            <w:vAlign w:val="bottom"/>
          </w:tcPr>
          <w:p w14:paraId="49BC298E"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73970989" w14:textId="77777777" w:rsidTr="00161436">
        <w:trPr>
          <w:trHeight w:val="120"/>
        </w:trPr>
        <w:tc>
          <w:tcPr>
            <w:tcW w:w="425" w:type="dxa"/>
            <w:tcBorders>
              <w:top w:val="nil"/>
              <w:left w:val="single" w:sz="8" w:space="0" w:color="auto"/>
              <w:bottom w:val="single" w:sz="8" w:space="0" w:color="auto"/>
              <w:right w:val="single" w:sz="8" w:space="0" w:color="auto"/>
            </w:tcBorders>
            <w:vAlign w:val="bottom"/>
          </w:tcPr>
          <w:p w14:paraId="66ACDBF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vMerge/>
            <w:tcBorders>
              <w:top w:val="nil"/>
              <w:left w:val="nil"/>
              <w:bottom w:val="single" w:sz="8" w:space="0" w:color="auto"/>
              <w:right w:val="single" w:sz="8" w:space="0" w:color="auto"/>
            </w:tcBorders>
            <w:vAlign w:val="bottom"/>
          </w:tcPr>
          <w:p w14:paraId="107FFA0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18A7FA8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7F43871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CA1E94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4A7F088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06781F8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495E661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45807234"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D5B630E" w14:textId="77777777" w:rsidTr="00161436">
        <w:trPr>
          <w:trHeight w:val="374"/>
        </w:trPr>
        <w:tc>
          <w:tcPr>
            <w:tcW w:w="425" w:type="dxa"/>
            <w:tcBorders>
              <w:top w:val="nil"/>
              <w:left w:val="single" w:sz="8" w:space="0" w:color="auto"/>
              <w:bottom w:val="nil"/>
              <w:right w:val="single" w:sz="8" w:space="0" w:color="auto"/>
            </w:tcBorders>
            <w:vAlign w:val="bottom"/>
          </w:tcPr>
          <w:p w14:paraId="0455D478"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30</w:t>
            </w:r>
          </w:p>
        </w:tc>
        <w:tc>
          <w:tcPr>
            <w:tcW w:w="6088" w:type="dxa"/>
            <w:tcBorders>
              <w:top w:val="nil"/>
              <w:left w:val="nil"/>
              <w:bottom w:val="nil"/>
              <w:right w:val="single" w:sz="8" w:space="0" w:color="auto"/>
            </w:tcBorders>
            <w:vAlign w:val="bottom"/>
          </w:tcPr>
          <w:p w14:paraId="6BC4B145"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My supervisor and I collaborate in setting goals for my learning.</w:t>
            </w:r>
          </w:p>
        </w:tc>
        <w:tc>
          <w:tcPr>
            <w:tcW w:w="282" w:type="dxa"/>
            <w:tcBorders>
              <w:top w:val="nil"/>
              <w:left w:val="nil"/>
              <w:bottom w:val="nil"/>
              <w:right w:val="nil"/>
            </w:tcBorders>
            <w:vAlign w:val="bottom"/>
          </w:tcPr>
          <w:p w14:paraId="73D18E5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494D82C8"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3D9F05E7"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18B2413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097BB937"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6A7D203C"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D4A92E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5520DD6"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45F3F39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3AD4CA1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10598CD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567D5F6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22C12AC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6793485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184B445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1A88A3E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0705A666"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2502BD9E" w14:textId="77777777" w:rsidTr="00161436">
        <w:trPr>
          <w:trHeight w:val="369"/>
        </w:trPr>
        <w:tc>
          <w:tcPr>
            <w:tcW w:w="425" w:type="dxa"/>
            <w:tcBorders>
              <w:top w:val="nil"/>
              <w:left w:val="single" w:sz="8" w:space="0" w:color="auto"/>
              <w:bottom w:val="nil"/>
              <w:right w:val="single" w:sz="8" w:space="0" w:color="auto"/>
            </w:tcBorders>
            <w:vAlign w:val="bottom"/>
          </w:tcPr>
          <w:p w14:paraId="57E9A3AE"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31</w:t>
            </w:r>
          </w:p>
        </w:tc>
        <w:tc>
          <w:tcPr>
            <w:tcW w:w="6088" w:type="dxa"/>
            <w:tcBorders>
              <w:top w:val="nil"/>
              <w:left w:val="nil"/>
              <w:bottom w:val="nil"/>
              <w:right w:val="single" w:sz="8" w:space="0" w:color="auto"/>
            </w:tcBorders>
            <w:vAlign w:val="bottom"/>
          </w:tcPr>
          <w:p w14:paraId="39393B5A"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am frustrated by the things I am doing in this learning experience.</w:t>
            </w:r>
          </w:p>
        </w:tc>
        <w:tc>
          <w:tcPr>
            <w:tcW w:w="282" w:type="dxa"/>
            <w:tcBorders>
              <w:top w:val="nil"/>
              <w:left w:val="nil"/>
              <w:bottom w:val="nil"/>
              <w:right w:val="nil"/>
            </w:tcBorders>
            <w:vAlign w:val="bottom"/>
          </w:tcPr>
          <w:p w14:paraId="63A6D02C"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118D181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6CE186E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23019C1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0FCD2919"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4CAE4D4B"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5D80C5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3D02BE17"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753111E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76883A3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632DF01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7461D29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67D9CCD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29934A7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129C77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17967DD5"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036609BB"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787DB0AE" w14:textId="77777777" w:rsidTr="00161436">
        <w:trPr>
          <w:trHeight w:val="208"/>
        </w:trPr>
        <w:tc>
          <w:tcPr>
            <w:tcW w:w="425" w:type="dxa"/>
            <w:vMerge w:val="restart"/>
            <w:tcBorders>
              <w:top w:val="nil"/>
              <w:left w:val="single" w:sz="8" w:space="0" w:color="auto"/>
              <w:bottom w:val="nil"/>
              <w:right w:val="single" w:sz="8" w:space="0" w:color="auto"/>
            </w:tcBorders>
            <w:vAlign w:val="bottom"/>
          </w:tcPr>
          <w:p w14:paraId="2D435019"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32</w:t>
            </w:r>
          </w:p>
        </w:tc>
        <w:tc>
          <w:tcPr>
            <w:tcW w:w="6088" w:type="dxa"/>
            <w:tcBorders>
              <w:top w:val="nil"/>
              <w:left w:val="nil"/>
              <w:bottom w:val="nil"/>
              <w:right w:val="single" w:sz="8" w:space="0" w:color="auto"/>
            </w:tcBorders>
            <w:vAlign w:val="bottom"/>
          </w:tcPr>
          <w:p w14:paraId="0A649D76" w14:textId="77777777" w:rsidR="00161436" w:rsidRPr="003726FE" w:rsidRDefault="00161436">
            <w:pPr>
              <w:widowControl w:val="0"/>
              <w:autoSpaceDE w:val="0"/>
              <w:autoSpaceDN w:val="0"/>
              <w:adjustRightInd w:val="0"/>
              <w:spacing w:after="0" w:line="208" w:lineRule="exact"/>
              <w:ind w:left="200"/>
              <w:rPr>
                <w:rFonts w:cs="Times New Roman"/>
                <w:szCs w:val="24"/>
              </w:rPr>
            </w:pPr>
            <w:r w:rsidRPr="003726FE">
              <w:rPr>
                <w:rFonts w:ascii="Arial Narrow" w:hAnsi="Arial Narrow" w:cs="Arial Narrow"/>
                <w:sz w:val="20"/>
                <w:szCs w:val="20"/>
              </w:rPr>
              <w:t>We have established a good understanding of the kind of learning that would be good</w:t>
            </w:r>
          </w:p>
        </w:tc>
        <w:tc>
          <w:tcPr>
            <w:tcW w:w="282" w:type="dxa"/>
            <w:vMerge w:val="restart"/>
            <w:tcBorders>
              <w:top w:val="nil"/>
              <w:left w:val="nil"/>
              <w:bottom w:val="nil"/>
              <w:right w:val="nil"/>
            </w:tcBorders>
            <w:vAlign w:val="bottom"/>
          </w:tcPr>
          <w:p w14:paraId="50F96B3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vMerge w:val="restart"/>
            <w:tcBorders>
              <w:top w:val="nil"/>
              <w:left w:val="nil"/>
              <w:bottom w:val="nil"/>
              <w:right w:val="nil"/>
            </w:tcBorders>
            <w:vAlign w:val="bottom"/>
          </w:tcPr>
          <w:p w14:paraId="0B9220E7"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vMerge w:val="restart"/>
            <w:tcBorders>
              <w:top w:val="nil"/>
              <w:left w:val="nil"/>
              <w:bottom w:val="nil"/>
              <w:right w:val="nil"/>
            </w:tcBorders>
            <w:vAlign w:val="bottom"/>
          </w:tcPr>
          <w:p w14:paraId="0004F931"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vMerge w:val="restart"/>
            <w:tcBorders>
              <w:top w:val="nil"/>
              <w:left w:val="nil"/>
              <w:bottom w:val="nil"/>
              <w:right w:val="nil"/>
            </w:tcBorders>
            <w:vAlign w:val="bottom"/>
          </w:tcPr>
          <w:p w14:paraId="59D873E9"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vMerge w:val="restart"/>
            <w:tcBorders>
              <w:top w:val="nil"/>
              <w:left w:val="nil"/>
              <w:bottom w:val="nil"/>
              <w:right w:val="nil"/>
            </w:tcBorders>
            <w:vAlign w:val="bottom"/>
          </w:tcPr>
          <w:p w14:paraId="5FE3AACE"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vMerge w:val="restart"/>
            <w:tcBorders>
              <w:top w:val="nil"/>
              <w:left w:val="nil"/>
              <w:bottom w:val="nil"/>
              <w:right w:val="nil"/>
            </w:tcBorders>
            <w:vAlign w:val="bottom"/>
          </w:tcPr>
          <w:p w14:paraId="3C1C7D8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vMerge w:val="restart"/>
            <w:tcBorders>
              <w:top w:val="nil"/>
              <w:left w:val="nil"/>
              <w:bottom w:val="nil"/>
              <w:right w:val="single" w:sz="8" w:space="0" w:color="auto"/>
            </w:tcBorders>
            <w:vAlign w:val="bottom"/>
          </w:tcPr>
          <w:p w14:paraId="2C084B9B"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696C49E" w14:textId="77777777" w:rsidTr="00161436">
        <w:trPr>
          <w:trHeight w:val="164"/>
        </w:trPr>
        <w:tc>
          <w:tcPr>
            <w:tcW w:w="425" w:type="dxa"/>
            <w:vMerge/>
            <w:tcBorders>
              <w:top w:val="nil"/>
              <w:left w:val="single" w:sz="8" w:space="0" w:color="auto"/>
              <w:bottom w:val="nil"/>
              <w:right w:val="single" w:sz="8" w:space="0" w:color="auto"/>
            </w:tcBorders>
            <w:vAlign w:val="bottom"/>
          </w:tcPr>
          <w:p w14:paraId="08F008F6"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6088" w:type="dxa"/>
            <w:vMerge w:val="restart"/>
            <w:tcBorders>
              <w:top w:val="nil"/>
              <w:left w:val="nil"/>
              <w:bottom w:val="nil"/>
              <w:right w:val="single" w:sz="8" w:space="0" w:color="auto"/>
            </w:tcBorders>
            <w:vAlign w:val="bottom"/>
          </w:tcPr>
          <w:p w14:paraId="7B9481AE"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for me to accomplish.</w:t>
            </w:r>
          </w:p>
        </w:tc>
        <w:tc>
          <w:tcPr>
            <w:tcW w:w="282" w:type="dxa"/>
            <w:vMerge/>
            <w:tcBorders>
              <w:top w:val="nil"/>
              <w:left w:val="nil"/>
              <w:bottom w:val="nil"/>
              <w:right w:val="nil"/>
            </w:tcBorders>
            <w:vAlign w:val="bottom"/>
          </w:tcPr>
          <w:p w14:paraId="0B3FF8E2"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vMerge/>
            <w:tcBorders>
              <w:top w:val="nil"/>
              <w:left w:val="nil"/>
              <w:bottom w:val="nil"/>
              <w:right w:val="nil"/>
            </w:tcBorders>
            <w:vAlign w:val="bottom"/>
          </w:tcPr>
          <w:p w14:paraId="303BB59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3" w:type="dxa"/>
            <w:vMerge/>
            <w:tcBorders>
              <w:top w:val="nil"/>
              <w:left w:val="nil"/>
              <w:bottom w:val="nil"/>
              <w:right w:val="nil"/>
            </w:tcBorders>
            <w:vAlign w:val="bottom"/>
          </w:tcPr>
          <w:p w14:paraId="7DB14FBE"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3"/>
            <w:vMerge/>
            <w:tcBorders>
              <w:top w:val="nil"/>
              <w:left w:val="nil"/>
              <w:bottom w:val="nil"/>
              <w:right w:val="nil"/>
            </w:tcBorders>
            <w:vAlign w:val="bottom"/>
          </w:tcPr>
          <w:p w14:paraId="164D2496"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42" w:type="dxa"/>
            <w:vMerge/>
            <w:tcBorders>
              <w:top w:val="nil"/>
              <w:left w:val="nil"/>
              <w:bottom w:val="nil"/>
              <w:right w:val="nil"/>
            </w:tcBorders>
            <w:vAlign w:val="bottom"/>
          </w:tcPr>
          <w:p w14:paraId="28814C03"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gridSpan w:val="2"/>
            <w:vMerge/>
            <w:tcBorders>
              <w:top w:val="nil"/>
              <w:left w:val="nil"/>
              <w:bottom w:val="nil"/>
              <w:right w:val="nil"/>
            </w:tcBorders>
            <w:vAlign w:val="bottom"/>
          </w:tcPr>
          <w:p w14:paraId="034DC77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2"/>
            <w:vMerge/>
            <w:tcBorders>
              <w:top w:val="nil"/>
              <w:left w:val="nil"/>
              <w:bottom w:val="nil"/>
              <w:right w:val="single" w:sz="8" w:space="0" w:color="auto"/>
            </w:tcBorders>
            <w:vAlign w:val="bottom"/>
          </w:tcPr>
          <w:p w14:paraId="59E8DDF1"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2ABDED86" w14:textId="77777777" w:rsidTr="00161436">
        <w:trPr>
          <w:trHeight w:val="118"/>
        </w:trPr>
        <w:tc>
          <w:tcPr>
            <w:tcW w:w="425" w:type="dxa"/>
            <w:tcBorders>
              <w:top w:val="nil"/>
              <w:left w:val="single" w:sz="8" w:space="0" w:color="auto"/>
              <w:bottom w:val="single" w:sz="8" w:space="0" w:color="auto"/>
              <w:right w:val="single" w:sz="8" w:space="0" w:color="auto"/>
            </w:tcBorders>
            <w:vAlign w:val="bottom"/>
          </w:tcPr>
          <w:p w14:paraId="0101A55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vMerge/>
            <w:tcBorders>
              <w:top w:val="nil"/>
              <w:left w:val="nil"/>
              <w:bottom w:val="single" w:sz="8" w:space="0" w:color="auto"/>
              <w:right w:val="single" w:sz="8" w:space="0" w:color="auto"/>
            </w:tcBorders>
            <w:vAlign w:val="bottom"/>
          </w:tcPr>
          <w:p w14:paraId="37318A9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029ED0B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21B91C0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575DAF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255E281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28341B6C"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720CD2C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70FE0BC1"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5EC24F30" w14:textId="77777777" w:rsidTr="00161436">
        <w:trPr>
          <w:trHeight w:val="376"/>
        </w:trPr>
        <w:tc>
          <w:tcPr>
            <w:tcW w:w="425" w:type="dxa"/>
            <w:tcBorders>
              <w:top w:val="nil"/>
              <w:left w:val="single" w:sz="8" w:space="0" w:color="auto"/>
              <w:bottom w:val="nil"/>
              <w:right w:val="single" w:sz="8" w:space="0" w:color="auto"/>
            </w:tcBorders>
            <w:vAlign w:val="bottom"/>
          </w:tcPr>
          <w:p w14:paraId="534DE9C5"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33</w:t>
            </w:r>
          </w:p>
        </w:tc>
        <w:tc>
          <w:tcPr>
            <w:tcW w:w="6088" w:type="dxa"/>
            <w:tcBorders>
              <w:top w:val="nil"/>
              <w:left w:val="nil"/>
              <w:bottom w:val="nil"/>
              <w:right w:val="single" w:sz="8" w:space="0" w:color="auto"/>
            </w:tcBorders>
            <w:vAlign w:val="bottom"/>
          </w:tcPr>
          <w:p w14:paraId="6F0E1E54"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The things that my supervisor is asking me to do don’t make sense.</w:t>
            </w:r>
          </w:p>
        </w:tc>
        <w:tc>
          <w:tcPr>
            <w:tcW w:w="282" w:type="dxa"/>
            <w:tcBorders>
              <w:top w:val="nil"/>
              <w:left w:val="nil"/>
              <w:bottom w:val="nil"/>
              <w:right w:val="nil"/>
            </w:tcBorders>
            <w:vAlign w:val="bottom"/>
          </w:tcPr>
          <w:p w14:paraId="0BAE6EB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3DD9E8B3"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6BC0F7C9"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64EED546"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3978D6FD"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6BDC8BB6"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06E8C33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27390DF4"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5F64CA6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38B6268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3EF05FE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269C2BD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504A817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5554979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2947E63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46571FC6"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176AC254"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0F47C57" w14:textId="77777777" w:rsidTr="00161436">
        <w:trPr>
          <w:trHeight w:val="369"/>
        </w:trPr>
        <w:tc>
          <w:tcPr>
            <w:tcW w:w="425" w:type="dxa"/>
            <w:tcBorders>
              <w:top w:val="nil"/>
              <w:left w:val="single" w:sz="8" w:space="0" w:color="auto"/>
              <w:bottom w:val="nil"/>
              <w:right w:val="single" w:sz="8" w:space="0" w:color="auto"/>
            </w:tcBorders>
            <w:vAlign w:val="bottom"/>
          </w:tcPr>
          <w:p w14:paraId="52D91E16"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34</w:t>
            </w:r>
          </w:p>
        </w:tc>
        <w:tc>
          <w:tcPr>
            <w:tcW w:w="6088" w:type="dxa"/>
            <w:tcBorders>
              <w:top w:val="nil"/>
              <w:left w:val="nil"/>
              <w:bottom w:val="nil"/>
              <w:right w:val="single" w:sz="8" w:space="0" w:color="auto"/>
            </w:tcBorders>
            <w:vAlign w:val="bottom"/>
          </w:tcPr>
          <w:p w14:paraId="6E6400AA"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don’t know what to expect as the result of this learning experience.</w:t>
            </w:r>
          </w:p>
        </w:tc>
        <w:tc>
          <w:tcPr>
            <w:tcW w:w="282" w:type="dxa"/>
            <w:tcBorders>
              <w:top w:val="nil"/>
              <w:left w:val="nil"/>
              <w:bottom w:val="nil"/>
              <w:right w:val="nil"/>
            </w:tcBorders>
            <w:vAlign w:val="bottom"/>
          </w:tcPr>
          <w:p w14:paraId="0D7A6F53"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2D0D767B"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7887106A"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708DBA80"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0838B46B"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026E205A"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5DBC80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3BD532A9"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7E52FEB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51031FB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7FE4193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6CA8A1E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1C591BFA"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21930AA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210D8C48"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1FCB5C2F"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579C2920"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73079D68" w14:textId="77777777" w:rsidTr="00161436">
        <w:trPr>
          <w:trHeight w:val="369"/>
        </w:trPr>
        <w:tc>
          <w:tcPr>
            <w:tcW w:w="425" w:type="dxa"/>
            <w:tcBorders>
              <w:top w:val="nil"/>
              <w:left w:val="single" w:sz="8" w:space="0" w:color="auto"/>
              <w:bottom w:val="nil"/>
              <w:right w:val="single" w:sz="8" w:space="0" w:color="auto"/>
            </w:tcBorders>
            <w:vAlign w:val="bottom"/>
          </w:tcPr>
          <w:p w14:paraId="7D054480"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35</w:t>
            </w:r>
          </w:p>
        </w:tc>
        <w:tc>
          <w:tcPr>
            <w:tcW w:w="6088" w:type="dxa"/>
            <w:tcBorders>
              <w:top w:val="nil"/>
              <w:left w:val="nil"/>
              <w:bottom w:val="nil"/>
              <w:right w:val="single" w:sz="8" w:space="0" w:color="auto"/>
            </w:tcBorders>
            <w:vAlign w:val="bottom"/>
          </w:tcPr>
          <w:p w14:paraId="4E21CACD"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I believe the way we are working with my learning needs is correct.</w:t>
            </w:r>
          </w:p>
        </w:tc>
        <w:tc>
          <w:tcPr>
            <w:tcW w:w="282" w:type="dxa"/>
            <w:tcBorders>
              <w:top w:val="nil"/>
              <w:left w:val="nil"/>
              <w:bottom w:val="nil"/>
              <w:right w:val="nil"/>
            </w:tcBorders>
            <w:vAlign w:val="bottom"/>
          </w:tcPr>
          <w:p w14:paraId="016DEE52"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tcBorders>
              <w:top w:val="nil"/>
              <w:left w:val="nil"/>
              <w:bottom w:val="nil"/>
              <w:right w:val="nil"/>
            </w:tcBorders>
            <w:vAlign w:val="bottom"/>
          </w:tcPr>
          <w:p w14:paraId="715C7D14"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tcBorders>
              <w:top w:val="nil"/>
              <w:left w:val="nil"/>
              <w:bottom w:val="nil"/>
              <w:right w:val="nil"/>
            </w:tcBorders>
            <w:vAlign w:val="bottom"/>
          </w:tcPr>
          <w:p w14:paraId="0437587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tcBorders>
              <w:top w:val="nil"/>
              <w:left w:val="nil"/>
              <w:bottom w:val="nil"/>
              <w:right w:val="nil"/>
            </w:tcBorders>
            <w:vAlign w:val="bottom"/>
          </w:tcPr>
          <w:p w14:paraId="5A487C8E"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tcBorders>
              <w:top w:val="nil"/>
              <w:left w:val="nil"/>
              <w:bottom w:val="nil"/>
              <w:right w:val="nil"/>
            </w:tcBorders>
            <w:vAlign w:val="bottom"/>
          </w:tcPr>
          <w:p w14:paraId="29DF3272"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tcBorders>
              <w:top w:val="nil"/>
              <w:left w:val="nil"/>
              <w:bottom w:val="nil"/>
              <w:right w:val="nil"/>
            </w:tcBorders>
            <w:vAlign w:val="bottom"/>
          </w:tcPr>
          <w:p w14:paraId="729F179A"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tcBorders>
              <w:top w:val="nil"/>
              <w:left w:val="nil"/>
              <w:bottom w:val="nil"/>
              <w:right w:val="single" w:sz="8" w:space="0" w:color="auto"/>
            </w:tcBorders>
            <w:vAlign w:val="bottom"/>
          </w:tcPr>
          <w:p w14:paraId="5C596721"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60DA4FAA" w14:textId="77777777" w:rsidTr="00161436">
        <w:trPr>
          <w:trHeight w:val="125"/>
        </w:trPr>
        <w:tc>
          <w:tcPr>
            <w:tcW w:w="425" w:type="dxa"/>
            <w:tcBorders>
              <w:top w:val="nil"/>
              <w:left w:val="single" w:sz="8" w:space="0" w:color="auto"/>
              <w:bottom w:val="single" w:sz="8" w:space="0" w:color="auto"/>
              <w:right w:val="single" w:sz="8" w:space="0" w:color="auto"/>
            </w:tcBorders>
            <w:vAlign w:val="bottom"/>
          </w:tcPr>
          <w:p w14:paraId="062E91C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tcBorders>
              <w:top w:val="nil"/>
              <w:left w:val="nil"/>
              <w:bottom w:val="single" w:sz="8" w:space="0" w:color="auto"/>
              <w:right w:val="single" w:sz="8" w:space="0" w:color="auto"/>
            </w:tcBorders>
            <w:vAlign w:val="bottom"/>
          </w:tcPr>
          <w:p w14:paraId="439C120E"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2" w:type="dxa"/>
            <w:tcBorders>
              <w:top w:val="nil"/>
              <w:left w:val="nil"/>
              <w:bottom w:val="single" w:sz="8" w:space="0" w:color="auto"/>
              <w:right w:val="nil"/>
            </w:tcBorders>
            <w:vAlign w:val="bottom"/>
          </w:tcPr>
          <w:p w14:paraId="556D7FD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tcBorders>
              <w:top w:val="nil"/>
              <w:left w:val="nil"/>
              <w:bottom w:val="single" w:sz="8" w:space="0" w:color="auto"/>
              <w:right w:val="nil"/>
            </w:tcBorders>
            <w:vAlign w:val="bottom"/>
          </w:tcPr>
          <w:p w14:paraId="64CE7CB9"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3" w:type="dxa"/>
            <w:tcBorders>
              <w:top w:val="nil"/>
              <w:left w:val="nil"/>
              <w:bottom w:val="single" w:sz="8" w:space="0" w:color="auto"/>
              <w:right w:val="nil"/>
            </w:tcBorders>
            <w:vAlign w:val="bottom"/>
          </w:tcPr>
          <w:p w14:paraId="6093BDB1"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3"/>
            <w:tcBorders>
              <w:top w:val="nil"/>
              <w:left w:val="nil"/>
              <w:bottom w:val="single" w:sz="8" w:space="0" w:color="auto"/>
              <w:right w:val="nil"/>
            </w:tcBorders>
            <w:vAlign w:val="bottom"/>
          </w:tcPr>
          <w:p w14:paraId="1EE10C2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142" w:type="dxa"/>
            <w:tcBorders>
              <w:top w:val="nil"/>
              <w:left w:val="nil"/>
              <w:bottom w:val="single" w:sz="8" w:space="0" w:color="auto"/>
              <w:right w:val="nil"/>
            </w:tcBorders>
            <w:vAlign w:val="bottom"/>
          </w:tcPr>
          <w:p w14:paraId="3A9B7694"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84" w:type="dxa"/>
            <w:gridSpan w:val="2"/>
            <w:tcBorders>
              <w:top w:val="nil"/>
              <w:left w:val="nil"/>
              <w:bottom w:val="single" w:sz="8" w:space="0" w:color="auto"/>
              <w:right w:val="nil"/>
            </w:tcBorders>
            <w:vAlign w:val="bottom"/>
          </w:tcPr>
          <w:p w14:paraId="7920D9C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567" w:type="dxa"/>
            <w:gridSpan w:val="2"/>
            <w:tcBorders>
              <w:top w:val="nil"/>
              <w:left w:val="nil"/>
              <w:bottom w:val="single" w:sz="8" w:space="0" w:color="auto"/>
              <w:right w:val="single" w:sz="8" w:space="0" w:color="auto"/>
            </w:tcBorders>
            <w:vAlign w:val="bottom"/>
          </w:tcPr>
          <w:p w14:paraId="7C4F1169" w14:textId="77777777" w:rsidR="00161436" w:rsidRPr="003726FE" w:rsidRDefault="00161436">
            <w:pPr>
              <w:widowControl w:val="0"/>
              <w:autoSpaceDE w:val="0"/>
              <w:autoSpaceDN w:val="0"/>
              <w:adjustRightInd w:val="0"/>
              <w:spacing w:after="0" w:line="240" w:lineRule="auto"/>
              <w:rPr>
                <w:rFonts w:cs="Times New Roman"/>
                <w:sz w:val="10"/>
                <w:szCs w:val="10"/>
              </w:rPr>
            </w:pPr>
          </w:p>
        </w:tc>
      </w:tr>
      <w:tr w:rsidR="00161436" w:rsidRPr="003726FE" w14:paraId="4A5FC7AF" w14:textId="77777777" w:rsidTr="00161436">
        <w:trPr>
          <w:trHeight w:val="208"/>
        </w:trPr>
        <w:tc>
          <w:tcPr>
            <w:tcW w:w="425" w:type="dxa"/>
            <w:vMerge w:val="restart"/>
            <w:tcBorders>
              <w:top w:val="nil"/>
              <w:left w:val="single" w:sz="8" w:space="0" w:color="auto"/>
              <w:bottom w:val="nil"/>
              <w:right w:val="single" w:sz="8" w:space="0" w:color="auto"/>
            </w:tcBorders>
            <w:vAlign w:val="bottom"/>
          </w:tcPr>
          <w:p w14:paraId="322F12D0" w14:textId="77777777" w:rsidR="00161436" w:rsidRPr="003726FE" w:rsidRDefault="00161436">
            <w:pPr>
              <w:widowControl w:val="0"/>
              <w:autoSpaceDE w:val="0"/>
              <w:autoSpaceDN w:val="0"/>
              <w:adjustRightInd w:val="0"/>
              <w:spacing w:after="0" w:line="240" w:lineRule="auto"/>
              <w:ind w:right="120"/>
              <w:jc w:val="right"/>
              <w:rPr>
                <w:rFonts w:cs="Times New Roman"/>
                <w:szCs w:val="24"/>
              </w:rPr>
            </w:pPr>
            <w:r w:rsidRPr="003726FE">
              <w:rPr>
                <w:rFonts w:ascii="Arial Narrow" w:hAnsi="Arial Narrow" w:cs="Arial Narrow"/>
                <w:sz w:val="20"/>
                <w:szCs w:val="20"/>
              </w:rPr>
              <w:t>36</w:t>
            </w:r>
          </w:p>
        </w:tc>
        <w:tc>
          <w:tcPr>
            <w:tcW w:w="6088" w:type="dxa"/>
            <w:tcBorders>
              <w:top w:val="nil"/>
              <w:left w:val="nil"/>
              <w:bottom w:val="nil"/>
              <w:right w:val="single" w:sz="8" w:space="0" w:color="auto"/>
            </w:tcBorders>
            <w:vAlign w:val="bottom"/>
          </w:tcPr>
          <w:p w14:paraId="52F1868F" w14:textId="77777777" w:rsidR="00161436" w:rsidRPr="003726FE" w:rsidRDefault="00161436">
            <w:pPr>
              <w:widowControl w:val="0"/>
              <w:autoSpaceDE w:val="0"/>
              <w:autoSpaceDN w:val="0"/>
              <w:adjustRightInd w:val="0"/>
              <w:spacing w:after="0" w:line="208" w:lineRule="exact"/>
              <w:ind w:left="200"/>
              <w:rPr>
                <w:rFonts w:cs="Times New Roman"/>
                <w:szCs w:val="24"/>
              </w:rPr>
            </w:pPr>
            <w:r w:rsidRPr="003726FE">
              <w:rPr>
                <w:rFonts w:ascii="Arial Narrow" w:hAnsi="Arial Narrow" w:cs="Arial Narrow"/>
                <w:sz w:val="20"/>
                <w:szCs w:val="20"/>
              </w:rPr>
              <w:t>I feel that my supervisor cares about me even when I don’t know the answers or</w:t>
            </w:r>
          </w:p>
        </w:tc>
        <w:tc>
          <w:tcPr>
            <w:tcW w:w="282" w:type="dxa"/>
            <w:vMerge w:val="restart"/>
            <w:tcBorders>
              <w:top w:val="nil"/>
              <w:left w:val="nil"/>
              <w:bottom w:val="nil"/>
              <w:right w:val="nil"/>
            </w:tcBorders>
            <w:vAlign w:val="bottom"/>
          </w:tcPr>
          <w:p w14:paraId="16C4035A"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1</w:t>
            </w:r>
          </w:p>
        </w:tc>
        <w:tc>
          <w:tcPr>
            <w:tcW w:w="284" w:type="dxa"/>
            <w:vMerge w:val="restart"/>
            <w:tcBorders>
              <w:top w:val="nil"/>
              <w:left w:val="nil"/>
              <w:bottom w:val="nil"/>
              <w:right w:val="nil"/>
            </w:tcBorders>
            <w:vAlign w:val="bottom"/>
          </w:tcPr>
          <w:p w14:paraId="78C160A5" w14:textId="77777777" w:rsidR="00161436" w:rsidRPr="003726FE" w:rsidRDefault="00161436">
            <w:pPr>
              <w:widowControl w:val="0"/>
              <w:autoSpaceDE w:val="0"/>
              <w:autoSpaceDN w:val="0"/>
              <w:adjustRightInd w:val="0"/>
              <w:spacing w:after="0" w:line="240" w:lineRule="auto"/>
              <w:ind w:right="40"/>
              <w:jc w:val="right"/>
              <w:rPr>
                <w:rFonts w:cs="Times New Roman"/>
                <w:szCs w:val="24"/>
              </w:rPr>
            </w:pPr>
            <w:r w:rsidRPr="003726FE">
              <w:rPr>
                <w:rFonts w:ascii="Arial Narrow" w:hAnsi="Arial Narrow" w:cs="Arial Narrow"/>
                <w:sz w:val="20"/>
                <w:szCs w:val="20"/>
              </w:rPr>
              <w:t>2</w:t>
            </w:r>
          </w:p>
        </w:tc>
        <w:tc>
          <w:tcPr>
            <w:tcW w:w="283" w:type="dxa"/>
            <w:vMerge w:val="restart"/>
            <w:tcBorders>
              <w:top w:val="nil"/>
              <w:left w:val="nil"/>
              <w:bottom w:val="nil"/>
              <w:right w:val="nil"/>
            </w:tcBorders>
            <w:vAlign w:val="bottom"/>
          </w:tcPr>
          <w:p w14:paraId="2DA588B0"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3</w:t>
            </w:r>
          </w:p>
        </w:tc>
        <w:tc>
          <w:tcPr>
            <w:tcW w:w="567" w:type="dxa"/>
            <w:gridSpan w:val="3"/>
            <w:vMerge w:val="restart"/>
            <w:tcBorders>
              <w:top w:val="nil"/>
              <w:left w:val="nil"/>
              <w:bottom w:val="nil"/>
              <w:right w:val="nil"/>
            </w:tcBorders>
            <w:vAlign w:val="bottom"/>
          </w:tcPr>
          <w:p w14:paraId="42798D6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sz w:val="20"/>
                <w:szCs w:val="20"/>
              </w:rPr>
              <w:t>4</w:t>
            </w:r>
          </w:p>
        </w:tc>
        <w:tc>
          <w:tcPr>
            <w:tcW w:w="142" w:type="dxa"/>
            <w:vMerge w:val="restart"/>
            <w:tcBorders>
              <w:top w:val="nil"/>
              <w:left w:val="nil"/>
              <w:bottom w:val="nil"/>
              <w:right w:val="nil"/>
            </w:tcBorders>
            <w:vAlign w:val="bottom"/>
          </w:tcPr>
          <w:p w14:paraId="4C324424" w14:textId="77777777" w:rsidR="00161436" w:rsidRPr="003726FE" w:rsidRDefault="00161436">
            <w:pPr>
              <w:widowControl w:val="0"/>
              <w:autoSpaceDE w:val="0"/>
              <w:autoSpaceDN w:val="0"/>
              <w:adjustRightInd w:val="0"/>
              <w:spacing w:after="0" w:line="240" w:lineRule="auto"/>
              <w:ind w:right="20"/>
              <w:jc w:val="right"/>
              <w:rPr>
                <w:rFonts w:cs="Times New Roman"/>
                <w:szCs w:val="24"/>
              </w:rPr>
            </w:pPr>
            <w:r w:rsidRPr="003726FE">
              <w:rPr>
                <w:rFonts w:ascii="Arial Narrow" w:hAnsi="Arial Narrow" w:cs="Arial Narrow"/>
                <w:sz w:val="20"/>
                <w:szCs w:val="20"/>
              </w:rPr>
              <w:t>5</w:t>
            </w:r>
          </w:p>
        </w:tc>
        <w:tc>
          <w:tcPr>
            <w:tcW w:w="284" w:type="dxa"/>
            <w:gridSpan w:val="2"/>
            <w:vMerge w:val="restart"/>
            <w:tcBorders>
              <w:top w:val="nil"/>
              <w:left w:val="nil"/>
              <w:bottom w:val="nil"/>
              <w:right w:val="nil"/>
            </w:tcBorders>
            <w:vAlign w:val="bottom"/>
          </w:tcPr>
          <w:p w14:paraId="3F6CFADC" w14:textId="77777777" w:rsidR="00161436" w:rsidRPr="003726FE" w:rsidRDefault="00161436">
            <w:pPr>
              <w:widowControl w:val="0"/>
              <w:autoSpaceDE w:val="0"/>
              <w:autoSpaceDN w:val="0"/>
              <w:adjustRightInd w:val="0"/>
              <w:spacing w:after="0" w:line="240" w:lineRule="auto"/>
              <w:jc w:val="right"/>
              <w:rPr>
                <w:rFonts w:cs="Times New Roman"/>
                <w:szCs w:val="24"/>
              </w:rPr>
            </w:pPr>
            <w:r w:rsidRPr="003726FE">
              <w:rPr>
                <w:rFonts w:ascii="Arial Narrow" w:hAnsi="Arial Narrow" w:cs="Arial Narrow"/>
                <w:sz w:val="20"/>
                <w:szCs w:val="20"/>
              </w:rPr>
              <w:t>6</w:t>
            </w:r>
          </w:p>
        </w:tc>
        <w:tc>
          <w:tcPr>
            <w:tcW w:w="567" w:type="dxa"/>
            <w:gridSpan w:val="2"/>
            <w:vMerge w:val="restart"/>
            <w:tcBorders>
              <w:top w:val="nil"/>
              <w:left w:val="nil"/>
              <w:bottom w:val="nil"/>
              <w:right w:val="single" w:sz="8" w:space="0" w:color="auto"/>
            </w:tcBorders>
            <w:vAlign w:val="bottom"/>
          </w:tcPr>
          <w:p w14:paraId="52E0A555" w14:textId="77777777" w:rsidR="00161436" w:rsidRPr="003726FE" w:rsidRDefault="00161436">
            <w:pPr>
              <w:widowControl w:val="0"/>
              <w:autoSpaceDE w:val="0"/>
              <w:autoSpaceDN w:val="0"/>
              <w:adjustRightInd w:val="0"/>
              <w:spacing w:after="0" w:line="240" w:lineRule="auto"/>
              <w:jc w:val="center"/>
              <w:rPr>
                <w:rFonts w:cs="Times New Roman"/>
                <w:szCs w:val="24"/>
              </w:rPr>
            </w:pPr>
            <w:r w:rsidRPr="003726FE">
              <w:rPr>
                <w:rFonts w:ascii="Arial Narrow" w:hAnsi="Arial Narrow" w:cs="Arial Narrow"/>
                <w:w w:val="87"/>
                <w:sz w:val="20"/>
                <w:szCs w:val="20"/>
              </w:rPr>
              <w:t>7</w:t>
            </w:r>
          </w:p>
        </w:tc>
      </w:tr>
      <w:tr w:rsidR="00161436" w:rsidRPr="003726FE" w14:paraId="79301FE0" w14:textId="77777777" w:rsidTr="00161436">
        <w:trPr>
          <w:trHeight w:val="161"/>
        </w:trPr>
        <w:tc>
          <w:tcPr>
            <w:tcW w:w="425" w:type="dxa"/>
            <w:vMerge/>
            <w:tcBorders>
              <w:top w:val="nil"/>
              <w:left w:val="single" w:sz="8" w:space="0" w:color="auto"/>
              <w:bottom w:val="nil"/>
              <w:right w:val="single" w:sz="8" w:space="0" w:color="auto"/>
            </w:tcBorders>
            <w:vAlign w:val="bottom"/>
          </w:tcPr>
          <w:p w14:paraId="577C5AAA"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6088" w:type="dxa"/>
            <w:vMerge w:val="restart"/>
            <w:tcBorders>
              <w:top w:val="nil"/>
              <w:left w:val="nil"/>
              <w:bottom w:val="nil"/>
              <w:right w:val="single" w:sz="8" w:space="0" w:color="auto"/>
            </w:tcBorders>
            <w:vAlign w:val="bottom"/>
          </w:tcPr>
          <w:p w14:paraId="58AF20A5" w14:textId="77777777" w:rsidR="00161436" w:rsidRPr="003726FE" w:rsidRDefault="00161436">
            <w:pPr>
              <w:widowControl w:val="0"/>
              <w:autoSpaceDE w:val="0"/>
              <w:autoSpaceDN w:val="0"/>
              <w:adjustRightInd w:val="0"/>
              <w:spacing w:after="0" w:line="240" w:lineRule="auto"/>
              <w:ind w:left="200"/>
              <w:rPr>
                <w:rFonts w:cs="Times New Roman"/>
                <w:szCs w:val="24"/>
              </w:rPr>
            </w:pPr>
            <w:r w:rsidRPr="003726FE">
              <w:rPr>
                <w:rFonts w:ascii="Arial Narrow" w:hAnsi="Arial Narrow" w:cs="Arial Narrow"/>
                <w:sz w:val="20"/>
                <w:szCs w:val="20"/>
              </w:rPr>
              <w:t>make mistakes.</w:t>
            </w:r>
          </w:p>
        </w:tc>
        <w:tc>
          <w:tcPr>
            <w:tcW w:w="282" w:type="dxa"/>
            <w:vMerge/>
            <w:tcBorders>
              <w:top w:val="nil"/>
              <w:left w:val="nil"/>
              <w:bottom w:val="nil"/>
              <w:right w:val="nil"/>
            </w:tcBorders>
            <w:vAlign w:val="bottom"/>
          </w:tcPr>
          <w:p w14:paraId="5184419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vMerge/>
            <w:tcBorders>
              <w:top w:val="nil"/>
              <w:left w:val="nil"/>
              <w:bottom w:val="nil"/>
              <w:right w:val="nil"/>
            </w:tcBorders>
            <w:vAlign w:val="bottom"/>
          </w:tcPr>
          <w:p w14:paraId="59D43988"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3" w:type="dxa"/>
            <w:vMerge/>
            <w:tcBorders>
              <w:top w:val="nil"/>
              <w:left w:val="nil"/>
              <w:bottom w:val="nil"/>
              <w:right w:val="nil"/>
            </w:tcBorders>
            <w:vAlign w:val="bottom"/>
          </w:tcPr>
          <w:p w14:paraId="3DAFF8CA"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3"/>
            <w:vMerge/>
            <w:tcBorders>
              <w:top w:val="nil"/>
              <w:left w:val="nil"/>
              <w:bottom w:val="nil"/>
              <w:right w:val="nil"/>
            </w:tcBorders>
            <w:vAlign w:val="bottom"/>
          </w:tcPr>
          <w:p w14:paraId="22E823D1"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142" w:type="dxa"/>
            <w:vMerge/>
            <w:tcBorders>
              <w:top w:val="nil"/>
              <w:left w:val="nil"/>
              <w:bottom w:val="nil"/>
              <w:right w:val="nil"/>
            </w:tcBorders>
            <w:vAlign w:val="bottom"/>
          </w:tcPr>
          <w:p w14:paraId="3EB2D8E0"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284" w:type="dxa"/>
            <w:gridSpan w:val="2"/>
            <w:vMerge/>
            <w:tcBorders>
              <w:top w:val="nil"/>
              <w:left w:val="nil"/>
              <w:bottom w:val="nil"/>
              <w:right w:val="nil"/>
            </w:tcBorders>
            <w:vAlign w:val="bottom"/>
          </w:tcPr>
          <w:p w14:paraId="6E36DBF2" w14:textId="77777777" w:rsidR="00161436" w:rsidRPr="003726FE" w:rsidRDefault="00161436">
            <w:pPr>
              <w:widowControl w:val="0"/>
              <w:autoSpaceDE w:val="0"/>
              <w:autoSpaceDN w:val="0"/>
              <w:adjustRightInd w:val="0"/>
              <w:spacing w:after="0" w:line="240" w:lineRule="auto"/>
              <w:rPr>
                <w:rFonts w:cs="Times New Roman"/>
                <w:sz w:val="14"/>
                <w:szCs w:val="14"/>
              </w:rPr>
            </w:pPr>
          </w:p>
        </w:tc>
        <w:tc>
          <w:tcPr>
            <w:tcW w:w="567" w:type="dxa"/>
            <w:gridSpan w:val="2"/>
            <w:vMerge/>
            <w:tcBorders>
              <w:top w:val="nil"/>
              <w:left w:val="nil"/>
              <w:bottom w:val="nil"/>
              <w:right w:val="single" w:sz="8" w:space="0" w:color="auto"/>
            </w:tcBorders>
            <w:vAlign w:val="bottom"/>
          </w:tcPr>
          <w:p w14:paraId="49A0B332" w14:textId="77777777" w:rsidR="00161436" w:rsidRPr="003726FE" w:rsidRDefault="00161436">
            <w:pPr>
              <w:widowControl w:val="0"/>
              <w:autoSpaceDE w:val="0"/>
              <w:autoSpaceDN w:val="0"/>
              <w:adjustRightInd w:val="0"/>
              <w:spacing w:after="0" w:line="240" w:lineRule="auto"/>
              <w:rPr>
                <w:rFonts w:cs="Times New Roman"/>
                <w:sz w:val="14"/>
                <w:szCs w:val="14"/>
              </w:rPr>
            </w:pPr>
          </w:p>
        </w:tc>
      </w:tr>
      <w:tr w:rsidR="00161436" w:rsidRPr="003726FE" w14:paraId="6595E95F" w14:textId="77777777" w:rsidTr="00161436">
        <w:trPr>
          <w:gridAfter w:val="1"/>
          <w:wAfter w:w="331" w:type="dxa"/>
          <w:trHeight w:val="120"/>
        </w:trPr>
        <w:tc>
          <w:tcPr>
            <w:tcW w:w="425" w:type="dxa"/>
            <w:tcBorders>
              <w:top w:val="nil"/>
              <w:left w:val="single" w:sz="8" w:space="0" w:color="auto"/>
              <w:bottom w:val="single" w:sz="8" w:space="0" w:color="auto"/>
              <w:right w:val="single" w:sz="8" w:space="0" w:color="auto"/>
            </w:tcBorders>
            <w:vAlign w:val="bottom"/>
          </w:tcPr>
          <w:p w14:paraId="4643BEB3"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088" w:type="dxa"/>
            <w:vMerge/>
            <w:tcBorders>
              <w:top w:val="nil"/>
              <w:left w:val="nil"/>
              <w:bottom w:val="single" w:sz="8" w:space="0" w:color="auto"/>
              <w:right w:val="single" w:sz="8" w:space="0" w:color="auto"/>
            </w:tcBorders>
            <w:vAlign w:val="bottom"/>
          </w:tcPr>
          <w:p w14:paraId="2FF7A947"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998" w:type="dxa"/>
            <w:gridSpan w:val="4"/>
            <w:tcBorders>
              <w:top w:val="nil"/>
              <w:left w:val="nil"/>
              <w:bottom w:val="single" w:sz="8" w:space="0" w:color="auto"/>
              <w:right w:val="nil"/>
            </w:tcBorders>
            <w:vAlign w:val="bottom"/>
          </w:tcPr>
          <w:p w14:paraId="4B25D0E0"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20" w:type="dxa"/>
            <w:tcBorders>
              <w:top w:val="nil"/>
              <w:left w:val="nil"/>
              <w:bottom w:val="single" w:sz="8" w:space="0" w:color="auto"/>
              <w:right w:val="nil"/>
            </w:tcBorders>
            <w:vAlign w:val="bottom"/>
          </w:tcPr>
          <w:p w14:paraId="04CAF12D"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640" w:type="dxa"/>
            <w:gridSpan w:val="3"/>
            <w:tcBorders>
              <w:top w:val="nil"/>
              <w:left w:val="nil"/>
              <w:bottom w:val="single" w:sz="8" w:space="0" w:color="auto"/>
              <w:right w:val="nil"/>
            </w:tcBorders>
            <w:vAlign w:val="bottom"/>
          </w:tcPr>
          <w:p w14:paraId="78930FFB" w14:textId="77777777" w:rsidR="00161436" w:rsidRPr="003726FE" w:rsidRDefault="00161436">
            <w:pPr>
              <w:widowControl w:val="0"/>
              <w:autoSpaceDE w:val="0"/>
              <w:autoSpaceDN w:val="0"/>
              <w:adjustRightInd w:val="0"/>
              <w:spacing w:after="0" w:line="240" w:lineRule="auto"/>
              <w:rPr>
                <w:rFonts w:cs="Times New Roman"/>
                <w:sz w:val="10"/>
                <w:szCs w:val="10"/>
              </w:rPr>
            </w:pPr>
          </w:p>
        </w:tc>
        <w:tc>
          <w:tcPr>
            <w:tcW w:w="420" w:type="dxa"/>
            <w:gridSpan w:val="2"/>
            <w:tcBorders>
              <w:top w:val="nil"/>
              <w:left w:val="nil"/>
              <w:bottom w:val="single" w:sz="8" w:space="0" w:color="auto"/>
              <w:right w:val="nil"/>
            </w:tcBorders>
            <w:vAlign w:val="bottom"/>
          </w:tcPr>
          <w:p w14:paraId="3CD8F8B6" w14:textId="77777777" w:rsidR="00161436" w:rsidRPr="003726FE" w:rsidRDefault="00161436">
            <w:pPr>
              <w:widowControl w:val="0"/>
              <w:autoSpaceDE w:val="0"/>
              <w:autoSpaceDN w:val="0"/>
              <w:adjustRightInd w:val="0"/>
              <w:spacing w:after="0" w:line="240" w:lineRule="auto"/>
              <w:rPr>
                <w:rFonts w:cs="Times New Roman"/>
                <w:sz w:val="10"/>
                <w:szCs w:val="10"/>
              </w:rPr>
            </w:pPr>
          </w:p>
        </w:tc>
      </w:tr>
    </w:tbl>
    <w:p w14:paraId="4326C47E" w14:textId="77777777" w:rsidR="00CD2E7E" w:rsidRPr="003726FE" w:rsidRDefault="00CD2E7E">
      <w:pPr>
        <w:widowControl w:val="0"/>
        <w:autoSpaceDE w:val="0"/>
        <w:autoSpaceDN w:val="0"/>
        <w:adjustRightInd w:val="0"/>
        <w:spacing w:after="0" w:line="1" w:lineRule="exact"/>
        <w:rPr>
          <w:rFonts w:cs="Times New Roman"/>
          <w:szCs w:val="24"/>
        </w:rPr>
      </w:pPr>
    </w:p>
    <w:p w14:paraId="64649AFD" w14:textId="77777777" w:rsidR="008A4137" w:rsidRPr="003726FE" w:rsidRDefault="008A4137">
      <w:pPr>
        <w:rPr>
          <w:rFonts w:eastAsia="Lucida Sans Unicode" w:cs="Mangal"/>
          <w:b/>
          <w:kern w:val="1"/>
          <w:sz w:val="28"/>
          <w:szCs w:val="24"/>
          <w:lang w:eastAsia="hi-IN" w:bidi="hi-IN"/>
        </w:rPr>
      </w:pPr>
      <w:r w:rsidRPr="003726FE">
        <w:br w:type="page"/>
      </w:r>
    </w:p>
    <w:p w14:paraId="67F32FC8" w14:textId="5889378B" w:rsidR="00CD2E7E" w:rsidRPr="003726FE" w:rsidRDefault="00B56879" w:rsidP="00B1638D">
      <w:pPr>
        <w:pStyle w:val="Heading2"/>
        <w:rPr>
          <w:lang w:val="en-GB"/>
        </w:rPr>
      </w:pPr>
      <w:bookmarkStart w:id="1013" w:name="_Toc500319495"/>
      <w:r w:rsidRPr="003726FE">
        <w:rPr>
          <w:lang w:val="en-GB"/>
        </w:rPr>
        <w:lastRenderedPageBreak/>
        <w:t>Appendix 2</w:t>
      </w:r>
      <w:r w:rsidR="009F0E25" w:rsidRPr="003726FE">
        <w:rPr>
          <w:lang w:val="en-GB"/>
        </w:rPr>
        <w:t>4</w:t>
      </w:r>
      <w:r w:rsidRPr="003726FE">
        <w:rPr>
          <w:lang w:val="en-GB"/>
        </w:rPr>
        <w:t>. Top</w:t>
      </w:r>
      <w:r w:rsidR="00912749">
        <w:rPr>
          <w:lang w:val="en-GB"/>
        </w:rPr>
        <w:t xml:space="preserve">ic Guide – Student </w:t>
      </w:r>
      <w:r w:rsidRPr="003726FE">
        <w:rPr>
          <w:lang w:val="en-GB"/>
        </w:rPr>
        <w:t>Interviews</w:t>
      </w:r>
      <w:r w:rsidR="00B60A53" w:rsidRPr="003726FE">
        <w:rPr>
          <w:lang w:val="en-GB"/>
        </w:rPr>
        <w:t>.</w:t>
      </w:r>
      <w:bookmarkEnd w:id="1013"/>
    </w:p>
    <w:p w14:paraId="22855ED5" w14:textId="77777777" w:rsidR="00B56879" w:rsidRPr="003726FE" w:rsidRDefault="00B56879" w:rsidP="00B56879">
      <w:pPr>
        <w:spacing w:after="0" w:line="240" w:lineRule="auto"/>
        <w:jc w:val="center"/>
        <w:rPr>
          <w:rFonts w:ascii="Cambria" w:eastAsia="Cambria" w:hAnsi="Cambria" w:cs="Times New Roman"/>
          <w:b/>
          <w:bCs/>
          <w:lang w:eastAsia="ja-JP"/>
        </w:rPr>
      </w:pPr>
    </w:p>
    <w:p w14:paraId="1B444D25" w14:textId="77777777" w:rsidR="00B56879" w:rsidRPr="003726FE" w:rsidRDefault="00B56879" w:rsidP="00B56879">
      <w:pPr>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t>Interview Guide – Students</w:t>
      </w:r>
    </w:p>
    <w:p w14:paraId="2650451B"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ab/>
      </w:r>
    </w:p>
    <w:p w14:paraId="7077ED47"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Purpose:</w:t>
      </w:r>
    </w:p>
    <w:p w14:paraId="43D6C024"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p>
    <w:p w14:paraId="20960EF4"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To explore how students engage with the learning on placement with particular reference to their learning strategies, and how they recognise, understand, and use the feedback they receive.</w:t>
      </w:r>
    </w:p>
    <w:p w14:paraId="37C8735E"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1FFEB6FD"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Objectives:</w:t>
      </w:r>
    </w:p>
    <w:p w14:paraId="09BED996"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p>
    <w:p w14:paraId="79AE0284" w14:textId="77777777" w:rsidR="00B56879" w:rsidRPr="003726FE" w:rsidRDefault="00B56879" w:rsidP="00B5687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understand how students received, understood, and used the feedback they received on clinical placement.</w:t>
      </w:r>
    </w:p>
    <w:p w14:paraId="23A3768B" w14:textId="77777777" w:rsidR="00B56879" w:rsidRPr="003726FE" w:rsidRDefault="00B56879" w:rsidP="00B5687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discover how they use learning strategies to engage with the learning on placement.</w:t>
      </w:r>
    </w:p>
    <w:p w14:paraId="51077E3F" w14:textId="7B703A91" w:rsidR="00B56879" w:rsidRPr="003726FE" w:rsidRDefault="00B56879" w:rsidP="00B56879">
      <w:pPr>
        <w:numPr>
          <w:ilvl w:val="0"/>
          <w:numId w:val="32"/>
        </w:numPr>
        <w:tabs>
          <w:tab w:val="left" w:pos="3260"/>
        </w:tabs>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To identify the learner’s personal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 xml:space="preserve"> of feedback in academic and clinical contexts.</w:t>
      </w:r>
    </w:p>
    <w:p w14:paraId="2783293B"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6DD176F3"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Research questions:</w:t>
      </w:r>
    </w:p>
    <w:p w14:paraId="17CD432A"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p>
    <w:p w14:paraId="3896518A" w14:textId="77777777" w:rsidR="00B56879" w:rsidRPr="003726FE" w:rsidRDefault="00B56879" w:rsidP="00B5687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To what extent do students recognise, understand, and use feedback on clinical placement?</w:t>
      </w:r>
    </w:p>
    <w:p w14:paraId="79C2E635" w14:textId="77777777" w:rsidR="00B56879" w:rsidRPr="003726FE" w:rsidRDefault="00B56879" w:rsidP="00B5687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What learning strategies do learners use whilst on placement to engage with the learning and the clinical context?</w:t>
      </w:r>
    </w:p>
    <w:p w14:paraId="45067F9B" w14:textId="27EDA138" w:rsidR="00B56879" w:rsidRPr="003726FE" w:rsidRDefault="00B56879" w:rsidP="00B56879">
      <w:pPr>
        <w:numPr>
          <w:ilvl w:val="0"/>
          <w:numId w:val="33"/>
        </w:numPr>
        <w:spacing w:after="0" w:line="240" w:lineRule="auto"/>
        <w:contextualSpacing/>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How have the learner’s feedback </w:t>
      </w:r>
      <w:r w:rsidR="008E7D00">
        <w:rPr>
          <w:rFonts w:ascii="Cambria" w:eastAsia="Cambria" w:hAnsi="Cambria" w:cs="Times New Roman"/>
          <w:bCs/>
          <w:sz w:val="22"/>
          <w:lang w:eastAsia="ja-JP"/>
        </w:rPr>
        <w:t>conceptualisation</w:t>
      </w:r>
      <w:r w:rsidRPr="003726FE">
        <w:rPr>
          <w:rFonts w:ascii="Cambria" w:eastAsia="Cambria" w:hAnsi="Cambria" w:cs="Times New Roman"/>
          <w:bCs/>
          <w:sz w:val="22"/>
          <w:lang w:eastAsia="ja-JP"/>
        </w:rPr>
        <w:t>s and behaviours changed from clinical skills training to placement?</w:t>
      </w:r>
    </w:p>
    <w:p w14:paraId="255A3CFE" w14:textId="77777777" w:rsidR="00B56879" w:rsidRPr="003726FE" w:rsidRDefault="00B56879" w:rsidP="00B56879">
      <w:pPr>
        <w:rPr>
          <w:rFonts w:ascii="Cambria" w:eastAsia="Cambria" w:hAnsi="Cambria" w:cs="Times New Roman"/>
          <w:b/>
          <w:bCs/>
          <w:sz w:val="22"/>
          <w:lang w:eastAsia="ja-JP"/>
        </w:rPr>
      </w:pPr>
    </w:p>
    <w:p w14:paraId="11E2B464" w14:textId="77777777" w:rsidR="00B56879" w:rsidRPr="003726FE" w:rsidRDefault="00B56879" w:rsidP="00B56879">
      <w:pPr>
        <w:rPr>
          <w:rFonts w:ascii="Cambria" w:eastAsia="Cambria" w:hAnsi="Cambria" w:cs="Times New Roman"/>
          <w:b/>
          <w:bCs/>
          <w:sz w:val="22"/>
          <w:lang w:eastAsia="ja-JP"/>
        </w:rPr>
      </w:pPr>
      <w:r w:rsidRPr="003726FE">
        <w:rPr>
          <w:rFonts w:ascii="Cambria" w:eastAsia="Cambria" w:hAnsi="Cambria" w:cs="Times New Roman"/>
          <w:b/>
          <w:bCs/>
          <w:sz w:val="22"/>
          <w:lang w:eastAsia="ja-JP"/>
        </w:rPr>
        <w:t>Methodology:</w:t>
      </w:r>
    </w:p>
    <w:p w14:paraId="412F2B2F" w14:textId="77777777" w:rsidR="00B56879" w:rsidRPr="003726FE" w:rsidRDefault="00B56879" w:rsidP="00B56879">
      <w:pPr>
        <w:rPr>
          <w:rFonts w:ascii="Cambria" w:eastAsia="Cambria" w:hAnsi="Cambria" w:cs="Times New Roman"/>
          <w:b/>
          <w:bCs/>
          <w:sz w:val="22"/>
          <w:lang w:eastAsia="ja-JP"/>
        </w:rPr>
      </w:pPr>
    </w:p>
    <w:p w14:paraId="49986F28" w14:textId="77777777" w:rsidR="00B56879" w:rsidRPr="003726FE" w:rsidRDefault="00B56879" w:rsidP="00B56879">
      <w:pPr>
        <w:rPr>
          <w:rFonts w:ascii="Cambria" w:eastAsia="Cambria" w:hAnsi="Cambria" w:cs="Times New Roman"/>
          <w:bCs/>
          <w:sz w:val="22"/>
          <w:lang w:eastAsia="ja-JP"/>
        </w:rPr>
      </w:pPr>
      <w:r w:rsidRPr="003726FE">
        <w:rPr>
          <w:rFonts w:ascii="Cambria" w:eastAsia="Cambria" w:hAnsi="Cambria" w:cs="Times New Roman"/>
          <w:bCs/>
          <w:sz w:val="22"/>
          <w:lang w:eastAsia="ja-JP"/>
        </w:rPr>
        <w:t>Interpretivism – their view of the world is valid and unique</w:t>
      </w:r>
    </w:p>
    <w:p w14:paraId="77ED3D80" w14:textId="1A5C54A4" w:rsidR="00B56879" w:rsidRPr="003726FE" w:rsidRDefault="00B56879" w:rsidP="00B56879">
      <w:pPr>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Critical realism – who does this work for and why? How does it work? Differences between people? What is the nature of the phenomenon? How do social and institutional norms/cultures/contexts affect how feedback is understood and used in the short and </w:t>
      </w:r>
      <w:r w:rsidR="00826050">
        <w:rPr>
          <w:rFonts w:ascii="Cambria" w:eastAsia="Cambria" w:hAnsi="Cambria" w:cs="Times New Roman"/>
          <w:bCs/>
          <w:sz w:val="22"/>
          <w:lang w:eastAsia="ja-JP"/>
        </w:rPr>
        <w:t>longer-term</w:t>
      </w:r>
      <w:r w:rsidRPr="003726FE">
        <w:rPr>
          <w:rFonts w:ascii="Cambria" w:eastAsia="Cambria" w:hAnsi="Cambria" w:cs="Times New Roman"/>
          <w:bCs/>
          <w:sz w:val="22"/>
          <w:lang w:eastAsia="ja-JP"/>
        </w:rPr>
        <w:t>? What are the affordances which impact these perceptions and interpretations?</w:t>
      </w:r>
    </w:p>
    <w:p w14:paraId="635D4DE3" w14:textId="77777777" w:rsidR="00B56879" w:rsidRPr="003726FE" w:rsidRDefault="00B56879" w:rsidP="00B56879">
      <w:pPr>
        <w:rPr>
          <w:rFonts w:ascii="Cambria" w:eastAsia="Cambria" w:hAnsi="Cambria" w:cs="Times New Roman"/>
          <w:bCs/>
          <w:sz w:val="22"/>
          <w:lang w:eastAsia="ja-JP"/>
        </w:rPr>
      </w:pPr>
    </w:p>
    <w:p w14:paraId="0D81D702"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The Participants:</w:t>
      </w:r>
    </w:p>
    <w:p w14:paraId="49221D86"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3CD3878E"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 student has participated in both questionnaire iterations and received either type of feedback during the intervention phase. They will be on their second or third clinical placement and will have some experience of performing clinical skills and procedures in practice. They have almost two years’ experience of medical school learning. </w:t>
      </w:r>
    </w:p>
    <w:p w14:paraId="1A041F51"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2B3219E7"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Their thoughts must be structured in terms of recalling clinical skills teaching and feedback as well as other learning experiences where they have used the feedback, including on placement.</w:t>
      </w:r>
    </w:p>
    <w:p w14:paraId="3C188497"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13A36E3F" w14:textId="2C803A43"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lastRenderedPageBreak/>
        <w:t xml:space="preserve">They will likely be motivated to speak about their thoughts and feelings about their experiences on attachment if they have particularly strong opinions. They agreed to participate in the study so it can be assumed they have some interest in expressing their views. It is important to set expectations which outline that the session is not about providing feedback on how placements work, </w:t>
      </w:r>
      <w:r w:rsidR="00BA4521" w:rsidRPr="003726FE">
        <w:rPr>
          <w:rFonts w:ascii="Cambria" w:eastAsia="Cambria" w:hAnsi="Cambria" w:cs="Times New Roman"/>
          <w:bCs/>
          <w:sz w:val="22"/>
          <w:lang w:eastAsia="ja-JP"/>
        </w:rPr>
        <w:t>it’s</w:t>
      </w:r>
      <w:r w:rsidRPr="003726FE">
        <w:rPr>
          <w:rFonts w:ascii="Cambria" w:eastAsia="Cambria" w:hAnsi="Cambria" w:cs="Times New Roman"/>
          <w:bCs/>
          <w:sz w:val="22"/>
          <w:lang w:eastAsia="ja-JP"/>
        </w:rPr>
        <w:t xml:space="preserve"> how they work on placement.</w:t>
      </w:r>
    </w:p>
    <w:p w14:paraId="7FC9351C"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65076549"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t>I have observed them at all stages very closely and have had some contact during the delivery of the intervention. They may be nervous as to how I might conduct the interview e.g. a run-down of what I saw them do almost like a performance review. The relationship we develop will likely be quite business like given the short time I have spent with them and the relatively low credibility I have to them in terms of my role in the school. I must be purposeful in my approach to lessen this and tap into the group consensus.</w:t>
      </w:r>
    </w:p>
    <w:p w14:paraId="67C593EF" w14:textId="77777777" w:rsidR="00B56879" w:rsidRPr="003726FE" w:rsidRDefault="00B56879" w:rsidP="00B56879">
      <w:pPr>
        <w:spacing w:after="0" w:line="240" w:lineRule="auto"/>
        <w:rPr>
          <w:rFonts w:ascii="Cambria" w:eastAsia="Cambria" w:hAnsi="Cambria" w:cs="Times New Roman"/>
          <w:bCs/>
          <w:sz w:val="22"/>
          <w:lang w:eastAsia="ja-JP"/>
        </w:rPr>
      </w:pPr>
    </w:p>
    <w:p w14:paraId="21C91FAD" w14:textId="77777777" w:rsidR="00B56879" w:rsidRPr="003726FE" w:rsidRDefault="00B56879" w:rsidP="00B56879">
      <w:pPr>
        <w:tabs>
          <w:tab w:val="left" w:pos="3260"/>
        </w:tabs>
        <w:spacing w:after="0" w:line="240" w:lineRule="auto"/>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t>Topics</w:t>
      </w:r>
    </w:p>
    <w:p w14:paraId="3BD1003F"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p>
    <w:p w14:paraId="5C0346E7"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04C3F9D7" w14:textId="34E1AC6C" w:rsidR="00B56879" w:rsidRPr="003726FE" w:rsidRDefault="008E7D00" w:rsidP="00B56879">
      <w:pPr>
        <w:tabs>
          <w:tab w:val="left" w:pos="3260"/>
        </w:tabs>
        <w:spacing w:after="0" w:line="240" w:lineRule="auto"/>
        <w:rPr>
          <w:rFonts w:ascii="Cambria" w:eastAsia="Cambria" w:hAnsi="Cambria" w:cs="Times New Roman"/>
          <w:bCs/>
          <w:sz w:val="22"/>
          <w:lang w:eastAsia="ja-JP"/>
        </w:rPr>
      </w:pPr>
      <w:r>
        <w:rPr>
          <w:rFonts w:ascii="Cambria" w:eastAsia="Cambria" w:hAnsi="Cambria" w:cs="Times New Roman"/>
          <w:b/>
          <w:bCs/>
          <w:sz w:val="22"/>
          <w:lang w:eastAsia="ja-JP"/>
        </w:rPr>
        <w:t>Conceptualisation</w:t>
      </w:r>
      <w:r w:rsidR="00B56879" w:rsidRPr="003726FE">
        <w:rPr>
          <w:rFonts w:ascii="Cambria" w:eastAsia="Cambria" w:hAnsi="Cambria" w:cs="Times New Roman"/>
          <w:b/>
          <w:bCs/>
          <w:sz w:val="22"/>
          <w:lang w:eastAsia="ja-JP"/>
        </w:rPr>
        <w:t>s of Feedback: attachments and clinical skills specifically –</w:t>
      </w:r>
      <w:r w:rsidR="00B56879" w:rsidRPr="003726FE">
        <w:rPr>
          <w:rFonts w:ascii="Cambria" w:eastAsia="Cambria" w:hAnsi="Cambria" w:cs="Times New Roman"/>
          <w:bCs/>
          <w:sz w:val="22"/>
          <w:lang w:eastAsia="ja-JP"/>
        </w:rPr>
        <w:t xml:space="preserve"> This aims to tap into their perceptions of what feedback is. Much like the line of questioning for clinical skills tutors. Their </w:t>
      </w:r>
      <w:r>
        <w:rPr>
          <w:rFonts w:ascii="Cambria" w:eastAsia="Cambria" w:hAnsi="Cambria" w:cs="Times New Roman"/>
          <w:bCs/>
          <w:sz w:val="22"/>
          <w:lang w:eastAsia="ja-JP"/>
        </w:rPr>
        <w:t>conceptualisation</w:t>
      </w:r>
      <w:r w:rsidR="00B56879" w:rsidRPr="003726FE">
        <w:rPr>
          <w:rFonts w:ascii="Cambria" w:eastAsia="Cambria" w:hAnsi="Cambria" w:cs="Times New Roman"/>
          <w:bCs/>
          <w:sz w:val="22"/>
          <w:lang w:eastAsia="ja-JP"/>
        </w:rPr>
        <w:t xml:space="preserve">s of feedback and how they may have changed as a result of the study. </w:t>
      </w:r>
    </w:p>
    <w:p w14:paraId="6D54727D"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p>
    <w:p w14:paraId="5BB906E4"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Learning strategies in clinical skills</w:t>
      </w:r>
      <w:r w:rsidRPr="003726FE">
        <w:rPr>
          <w:rFonts w:ascii="Cambria" w:eastAsia="Cambria" w:hAnsi="Cambria" w:cs="Times New Roman"/>
          <w:bCs/>
          <w:sz w:val="22"/>
          <w:lang w:eastAsia="ja-JP"/>
        </w:rPr>
        <w:t xml:space="preserve"> – this is about how they approach tasks, skills, competencies, and behaviours in clinical environments. This can relate to any activity inside and outside the clinical environment as long as it is focused on clinical learning. These could be preparatory or reflective as well as what happens during clinical time. I will also aim to find out what affects these strategies. </w:t>
      </w:r>
    </w:p>
    <w:p w14:paraId="48A2966C" w14:textId="77777777" w:rsidR="00B56879" w:rsidRPr="003726FE" w:rsidRDefault="00B56879" w:rsidP="00B56879">
      <w:pPr>
        <w:tabs>
          <w:tab w:val="left" w:pos="3260"/>
        </w:tabs>
        <w:spacing w:after="0" w:line="240" w:lineRule="auto"/>
        <w:rPr>
          <w:rFonts w:ascii="Cambria" w:eastAsia="Cambria" w:hAnsi="Cambria" w:cs="Times New Roman"/>
          <w:b/>
          <w:bCs/>
          <w:sz w:val="22"/>
          <w:lang w:eastAsia="ja-JP"/>
        </w:rPr>
      </w:pPr>
    </w:p>
    <w:p w14:paraId="207191CA" w14:textId="77777777" w:rsidR="00B56879" w:rsidRPr="003726FE" w:rsidRDefault="00B56879" w:rsidP="00B56879">
      <w:pPr>
        <w:tabs>
          <w:tab w:val="left" w:pos="3260"/>
        </w:tabs>
        <w:spacing w:after="0" w:line="240" w:lineRule="auto"/>
        <w:rPr>
          <w:rFonts w:ascii="Cambria" w:eastAsia="Cambria" w:hAnsi="Cambria" w:cs="Times New Roman"/>
          <w:bCs/>
          <w:sz w:val="22"/>
          <w:lang w:eastAsia="ja-JP"/>
        </w:rPr>
      </w:pPr>
      <w:r w:rsidRPr="003726FE">
        <w:rPr>
          <w:rFonts w:ascii="Cambria" w:eastAsia="Cambria" w:hAnsi="Cambria" w:cs="Times New Roman"/>
          <w:b/>
          <w:bCs/>
          <w:sz w:val="22"/>
          <w:lang w:eastAsia="ja-JP"/>
        </w:rPr>
        <w:t xml:space="preserve">Interplay between feedback and learning strategies on clinical attachment – </w:t>
      </w:r>
      <w:r w:rsidRPr="003726FE">
        <w:rPr>
          <w:rFonts w:ascii="Cambria" w:eastAsia="Cambria" w:hAnsi="Cambria" w:cs="Times New Roman"/>
          <w:bCs/>
          <w:sz w:val="22"/>
          <w:lang w:eastAsia="ja-JP"/>
        </w:rPr>
        <w:t xml:space="preserve">this topic aims to understand how clinical skills training and preparation has affected their current and future learning strategies, with a focus on the way feedback was given. </w:t>
      </w:r>
    </w:p>
    <w:p w14:paraId="3FF2C315" w14:textId="77777777" w:rsidR="00B56879" w:rsidRPr="003726FE" w:rsidRDefault="00B56879" w:rsidP="00B56879">
      <w:pPr>
        <w:spacing w:after="0" w:line="240" w:lineRule="auto"/>
        <w:rPr>
          <w:rFonts w:ascii="Cambria" w:eastAsia="Cambria" w:hAnsi="Cambria" w:cs="Times New Roman"/>
          <w:b/>
          <w:bCs/>
          <w:sz w:val="22"/>
          <w:lang w:eastAsia="ja-JP"/>
        </w:rPr>
      </w:pPr>
    </w:p>
    <w:p w14:paraId="3A3583F8" w14:textId="48592A91" w:rsidR="00B56879" w:rsidRPr="003726FE" w:rsidRDefault="00042504" w:rsidP="00B56879">
      <w:pPr>
        <w:spacing w:after="0" w:line="360" w:lineRule="auto"/>
        <w:rPr>
          <w:rFonts w:ascii="Cambria" w:eastAsia="Cambria" w:hAnsi="Cambria" w:cs="Times New Roman"/>
          <w:b/>
          <w:bCs/>
          <w:sz w:val="22"/>
          <w:szCs w:val="24"/>
          <w:lang w:eastAsia="ja-JP"/>
        </w:rPr>
      </w:pPr>
      <w:r w:rsidRPr="003726FE">
        <w:rPr>
          <w:rFonts w:ascii="Cambria" w:eastAsia="Cambria" w:hAnsi="Cambria" w:cs="Times New Roman"/>
          <w:b/>
          <w:bCs/>
          <w:sz w:val="22"/>
          <w:szCs w:val="24"/>
          <w:lang w:eastAsia="ja-JP"/>
        </w:rPr>
        <w:t>Facilitator guidance notes:</w:t>
      </w:r>
    </w:p>
    <w:p w14:paraId="321487FA"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hypothetical examples or vignettes.</w:t>
      </w:r>
    </w:p>
    <w:p w14:paraId="58B15537"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specific things they have done.</w:t>
      </w:r>
    </w:p>
    <w:p w14:paraId="261EFF31"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Use stimulated recall.</w:t>
      </w:r>
    </w:p>
    <w:p w14:paraId="0E30B6F9"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for elaboration.</w:t>
      </w:r>
    </w:p>
    <w:p w14:paraId="7DE81C76"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opposing ideas.</w:t>
      </w:r>
    </w:p>
    <w:p w14:paraId="4C98C8F0" w14:textId="77777777" w:rsidR="00B56879" w:rsidRPr="003726FE" w:rsidRDefault="00B56879" w:rsidP="00B56879">
      <w:pPr>
        <w:numPr>
          <w:ilvl w:val="0"/>
          <w:numId w:val="40"/>
        </w:numPr>
        <w:spacing w:after="0" w:line="360" w:lineRule="auto"/>
        <w:contextualSpacing/>
        <w:rPr>
          <w:rFonts w:ascii="Cambria" w:eastAsia="Cambria" w:hAnsi="Cambria" w:cs="Times New Roman"/>
          <w:b/>
          <w:bCs/>
          <w:sz w:val="28"/>
          <w:szCs w:val="24"/>
          <w:lang w:eastAsia="ja-JP"/>
        </w:rPr>
      </w:pPr>
      <w:r w:rsidRPr="003726FE">
        <w:rPr>
          <w:rFonts w:ascii="Cambria" w:eastAsia="Cambria" w:hAnsi="Cambria" w:cs="Times New Roman"/>
          <w:b/>
          <w:bCs/>
          <w:sz w:val="28"/>
          <w:szCs w:val="24"/>
          <w:lang w:eastAsia="ja-JP"/>
        </w:rPr>
        <w:t>*Ask if their rationale is all-encompassing.* contextually universal?</w:t>
      </w:r>
    </w:p>
    <w:p w14:paraId="1C617296"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about other influencing conditions.</w:t>
      </w:r>
    </w:p>
    <w:p w14:paraId="61759E56" w14:textId="77777777" w:rsidR="00B56879" w:rsidRPr="003726FE" w:rsidRDefault="00B56879" w:rsidP="00B56879">
      <w:pPr>
        <w:numPr>
          <w:ilvl w:val="0"/>
          <w:numId w:val="40"/>
        </w:numPr>
        <w:spacing w:after="0" w:line="36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Ask probing and follow-up questions.</w:t>
      </w:r>
    </w:p>
    <w:p w14:paraId="78482BC5" w14:textId="77777777" w:rsidR="00B56879" w:rsidRPr="003726FE" w:rsidRDefault="00B56879" w:rsidP="00B56879">
      <w:pPr>
        <w:spacing w:after="0" w:line="240" w:lineRule="auto"/>
        <w:rPr>
          <w:rFonts w:ascii="Cambria" w:eastAsia="Cambria" w:hAnsi="Cambria" w:cs="Times New Roman"/>
          <w:b/>
          <w:bCs/>
          <w:sz w:val="22"/>
          <w:szCs w:val="24"/>
          <w:lang w:eastAsia="ja-JP"/>
        </w:rPr>
      </w:pPr>
      <w:r w:rsidRPr="003726FE">
        <w:rPr>
          <w:rFonts w:ascii="Cambria" w:eastAsia="Cambria" w:hAnsi="Cambria" w:cs="Times New Roman"/>
          <w:b/>
          <w:bCs/>
          <w:sz w:val="22"/>
          <w:szCs w:val="24"/>
          <w:lang w:eastAsia="ja-JP"/>
        </w:rPr>
        <w:t>Data collection methods</w:t>
      </w:r>
    </w:p>
    <w:p w14:paraId="03C41F4E" w14:textId="77777777" w:rsidR="00B56879" w:rsidRPr="003726FE" w:rsidRDefault="00B56879" w:rsidP="00B56879">
      <w:pPr>
        <w:spacing w:after="0" w:line="240" w:lineRule="auto"/>
        <w:rPr>
          <w:rFonts w:ascii="Cambria" w:eastAsia="Cambria" w:hAnsi="Cambria" w:cs="Times New Roman"/>
          <w:b/>
          <w:bCs/>
          <w:sz w:val="22"/>
          <w:szCs w:val="24"/>
          <w:lang w:eastAsia="ja-JP"/>
        </w:rPr>
      </w:pPr>
    </w:p>
    <w:p w14:paraId="15F194D5" w14:textId="77777777" w:rsidR="00B56879" w:rsidRPr="003726FE" w:rsidRDefault="00B56879" w:rsidP="00B5687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Audio recorder x 2 (Dictaphone)</w:t>
      </w:r>
    </w:p>
    <w:p w14:paraId="6FE76A45" w14:textId="77777777" w:rsidR="00B56879" w:rsidRPr="003726FE" w:rsidRDefault="00B56879" w:rsidP="00B5687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Note taking - observations</w:t>
      </w:r>
    </w:p>
    <w:p w14:paraId="1BE4D06E" w14:textId="77777777" w:rsidR="00B56879" w:rsidRPr="003726FE" w:rsidRDefault="00B56879" w:rsidP="00B56879">
      <w:pPr>
        <w:numPr>
          <w:ilvl w:val="0"/>
          <w:numId w:val="41"/>
        </w:numPr>
        <w:spacing w:after="0" w:line="240" w:lineRule="auto"/>
        <w:contextualSpacing/>
        <w:rPr>
          <w:rFonts w:ascii="Cambria" w:eastAsia="Cambria" w:hAnsi="Cambria" w:cs="Times New Roman"/>
          <w:bCs/>
          <w:sz w:val="22"/>
          <w:szCs w:val="24"/>
          <w:lang w:eastAsia="ja-JP"/>
        </w:rPr>
      </w:pPr>
      <w:r w:rsidRPr="003726FE">
        <w:rPr>
          <w:rFonts w:ascii="Cambria" w:eastAsia="Cambria" w:hAnsi="Cambria" w:cs="Times New Roman"/>
          <w:bCs/>
          <w:sz w:val="22"/>
          <w:szCs w:val="24"/>
          <w:lang w:eastAsia="ja-JP"/>
        </w:rPr>
        <w:t>Duration: 1 hour</w:t>
      </w:r>
    </w:p>
    <w:p w14:paraId="4F8BD95B" w14:textId="77777777" w:rsidR="00B56879" w:rsidRPr="003726FE" w:rsidRDefault="00B56879">
      <w:pPr>
        <w:rPr>
          <w:rFonts w:ascii="Cambria" w:eastAsia="Cambria" w:hAnsi="Cambria" w:cs="Times New Roman"/>
          <w:b/>
          <w:bCs/>
          <w:lang w:eastAsia="ja-JP"/>
        </w:rPr>
      </w:pPr>
      <w:r w:rsidRPr="003726FE">
        <w:rPr>
          <w:rFonts w:ascii="Cambria" w:eastAsia="Cambria" w:hAnsi="Cambria" w:cs="Times New Roman"/>
          <w:b/>
          <w:bCs/>
          <w:lang w:eastAsia="ja-JP"/>
        </w:rPr>
        <w:br w:type="page"/>
      </w:r>
    </w:p>
    <w:p w14:paraId="341CCD13" w14:textId="7193D629" w:rsidR="00B56879" w:rsidRPr="003726FE" w:rsidRDefault="00B56879" w:rsidP="00B56879">
      <w:pPr>
        <w:tabs>
          <w:tab w:val="left" w:pos="5078"/>
        </w:tabs>
        <w:spacing w:after="0" w:line="240" w:lineRule="auto"/>
        <w:jc w:val="center"/>
        <w:rPr>
          <w:rFonts w:ascii="Cambria" w:eastAsia="Cambria" w:hAnsi="Cambria" w:cs="Times New Roman"/>
          <w:b/>
          <w:bCs/>
          <w:lang w:eastAsia="ja-JP"/>
        </w:rPr>
      </w:pPr>
      <w:r w:rsidRPr="003726FE">
        <w:rPr>
          <w:rFonts w:ascii="Cambria" w:eastAsia="Cambria" w:hAnsi="Cambria" w:cs="Times New Roman"/>
          <w:b/>
          <w:bCs/>
          <w:lang w:eastAsia="ja-JP"/>
        </w:rPr>
        <w:lastRenderedPageBreak/>
        <w:t>Question guide</w:t>
      </w:r>
    </w:p>
    <w:p w14:paraId="4FF425D2" w14:textId="77777777" w:rsidR="00B56879" w:rsidRPr="003726FE" w:rsidRDefault="00B56879" w:rsidP="00B56879">
      <w:pPr>
        <w:tabs>
          <w:tab w:val="left" w:pos="5078"/>
        </w:tabs>
        <w:spacing w:after="0" w:line="240" w:lineRule="auto"/>
        <w:rPr>
          <w:rFonts w:ascii="Cambria" w:eastAsia="Cambria" w:hAnsi="Cambria" w:cs="Times New Roman"/>
          <w:b/>
          <w:bCs/>
          <w:lang w:eastAsia="ja-JP"/>
        </w:rPr>
      </w:pPr>
    </w:p>
    <w:p w14:paraId="645BD3E9" w14:textId="77777777" w:rsidR="00B56879" w:rsidRPr="003726FE" w:rsidRDefault="00B56879" w:rsidP="00B56879">
      <w:pPr>
        <w:spacing w:after="0" w:line="276" w:lineRule="auto"/>
        <w:rPr>
          <w:rFonts w:ascii="Cambria" w:eastAsia="Cambria" w:hAnsi="Cambria" w:cs="Times New Roman"/>
          <w:b/>
          <w:bCs/>
          <w:sz w:val="22"/>
          <w:lang w:eastAsia="ja-JP"/>
        </w:rPr>
      </w:pPr>
      <w:r w:rsidRPr="003726FE">
        <w:rPr>
          <w:rFonts w:ascii="Cambria" w:eastAsia="Cambria" w:hAnsi="Cambria" w:cs="Times New Roman"/>
          <w:b/>
          <w:bCs/>
          <w:sz w:val="22"/>
          <w:lang w:eastAsia="ja-JP"/>
        </w:rPr>
        <w:t xml:space="preserve">Introduction: </w:t>
      </w:r>
    </w:p>
    <w:p w14:paraId="31DD7DB1" w14:textId="77777777" w:rsidR="00B56879" w:rsidRPr="003726FE" w:rsidRDefault="00B56879" w:rsidP="00B56879">
      <w:pPr>
        <w:spacing w:after="0" w:line="276" w:lineRule="auto"/>
        <w:rPr>
          <w:rFonts w:ascii="Cambria" w:eastAsia="Cambria" w:hAnsi="Cambria" w:cs="Times New Roman"/>
          <w:bCs/>
          <w:sz w:val="22"/>
          <w:lang w:eastAsia="ja-JP"/>
        </w:rPr>
      </w:pPr>
    </w:p>
    <w:p w14:paraId="192BC64C" w14:textId="77777777" w:rsidR="00B56879" w:rsidRPr="003726FE" w:rsidRDefault="00B56879" w:rsidP="00B56879">
      <w:pPr>
        <w:spacing w:after="0" w:line="276"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First of all I would like to thank you for coming along to this interview today! </w:t>
      </w:r>
    </w:p>
    <w:p w14:paraId="3F6300AA" w14:textId="77777777" w:rsidR="00B56879" w:rsidRPr="003726FE" w:rsidRDefault="00B56879" w:rsidP="00B56879">
      <w:pPr>
        <w:spacing w:after="0" w:line="276" w:lineRule="auto"/>
        <w:jc w:val="both"/>
        <w:rPr>
          <w:rFonts w:ascii="Cambria" w:eastAsia="Cambria" w:hAnsi="Cambria" w:cs="Times New Roman"/>
          <w:bCs/>
          <w:sz w:val="22"/>
          <w:lang w:eastAsia="ja-JP"/>
        </w:rPr>
      </w:pPr>
    </w:p>
    <w:p w14:paraId="541D564B" w14:textId="77777777" w:rsidR="00B56879" w:rsidRPr="003726FE" w:rsidRDefault="00B56879" w:rsidP="00B56879">
      <w:pPr>
        <w:spacing w:after="0" w:line="276"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You have received the information sheet that outlines the purpose and design of this research as well as your role in it. Was there anything you would like to talk to me about regarding this? </w:t>
      </w:r>
    </w:p>
    <w:p w14:paraId="0484619A" w14:textId="77777777" w:rsidR="00B56879" w:rsidRPr="003726FE" w:rsidRDefault="00B56879" w:rsidP="00B56879">
      <w:pPr>
        <w:spacing w:after="0" w:line="276" w:lineRule="auto"/>
        <w:jc w:val="both"/>
        <w:rPr>
          <w:rFonts w:ascii="Cambria" w:eastAsia="Cambria" w:hAnsi="Cambria" w:cs="Times New Roman"/>
          <w:bCs/>
          <w:sz w:val="22"/>
          <w:lang w:eastAsia="ja-JP"/>
        </w:rPr>
      </w:pPr>
    </w:p>
    <w:p w14:paraId="65A10911" w14:textId="77777777" w:rsidR="00B56879" w:rsidRPr="003726FE" w:rsidRDefault="00B56879" w:rsidP="00B56879">
      <w:pPr>
        <w:spacing w:after="0" w:line="276" w:lineRule="auto"/>
        <w:rPr>
          <w:rFonts w:ascii="Cambria" w:eastAsia="Cambria" w:hAnsi="Cambria" w:cs="Times New Roman"/>
          <w:bCs/>
          <w:sz w:val="22"/>
          <w:szCs w:val="20"/>
          <w:lang w:eastAsia="ja-JP"/>
        </w:rPr>
      </w:pPr>
      <w:r w:rsidRPr="003726FE">
        <w:rPr>
          <w:rFonts w:ascii="Cambria" w:eastAsia="Cambria" w:hAnsi="Cambria" w:cs="Times New Roman"/>
          <w:bCs/>
          <w:sz w:val="22"/>
          <w:szCs w:val="20"/>
          <w:lang w:eastAsia="ja-JP"/>
        </w:rPr>
        <w:t>Today, I would like to explore the feedback you have had during clinical placements, how you have engaged with your learning during them, and to what extent the clinical skills teaching and aligned feedback within those sessions in SFH have prepared you for your placements.</w:t>
      </w:r>
    </w:p>
    <w:p w14:paraId="6DE5ACE3" w14:textId="77777777" w:rsidR="00B56879" w:rsidRPr="003726FE" w:rsidRDefault="00B56879" w:rsidP="00B56879">
      <w:pPr>
        <w:spacing w:after="0" w:line="276" w:lineRule="auto"/>
        <w:jc w:val="both"/>
        <w:rPr>
          <w:rFonts w:ascii="Cambria" w:eastAsia="Cambria" w:hAnsi="Cambria" w:cs="Times New Roman"/>
          <w:bCs/>
          <w:sz w:val="22"/>
          <w:lang w:eastAsia="ja-JP"/>
        </w:rPr>
      </w:pPr>
    </w:p>
    <w:p w14:paraId="1F2666E5" w14:textId="77777777" w:rsidR="00B56879" w:rsidRPr="003726FE" w:rsidRDefault="00B56879" w:rsidP="00B56879">
      <w:pPr>
        <w:spacing w:after="0" w:line="276"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I am here to prompt and explore your thoughts. I may write notes as you speak or mark things off on my sheet, this is simply for me to keep tabs on what questions to ask and record any thoughts I have. </w:t>
      </w:r>
    </w:p>
    <w:p w14:paraId="1F461E5C" w14:textId="77777777" w:rsidR="00B56879" w:rsidRPr="003726FE" w:rsidRDefault="00B56879" w:rsidP="00B56879">
      <w:pPr>
        <w:spacing w:after="0" w:line="276" w:lineRule="auto"/>
        <w:jc w:val="both"/>
        <w:rPr>
          <w:rFonts w:ascii="Cambria" w:eastAsia="Cambria" w:hAnsi="Cambria" w:cs="Times New Roman"/>
          <w:bCs/>
          <w:sz w:val="22"/>
          <w:lang w:eastAsia="ja-JP"/>
        </w:rPr>
      </w:pPr>
    </w:p>
    <w:p w14:paraId="6007679E" w14:textId="77777777" w:rsidR="00B56879" w:rsidRPr="003726FE" w:rsidRDefault="00B56879" w:rsidP="00B56879">
      <w:pPr>
        <w:spacing w:after="0" w:line="276"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I anticipate on splitting today’s session into two parts; firstly to discuss your dairy entry and your experiences of engaging with the learning on placement.</w:t>
      </w:r>
    </w:p>
    <w:p w14:paraId="171EFB15" w14:textId="77777777" w:rsidR="00B56879" w:rsidRPr="003726FE" w:rsidRDefault="00B56879" w:rsidP="00B56879">
      <w:pPr>
        <w:spacing w:after="0" w:line="276" w:lineRule="auto"/>
        <w:jc w:val="both"/>
        <w:rPr>
          <w:rFonts w:ascii="Cambria" w:eastAsia="Cambria" w:hAnsi="Cambria" w:cs="Times New Roman"/>
          <w:bCs/>
          <w:sz w:val="22"/>
          <w:lang w:eastAsia="ja-JP"/>
        </w:rPr>
      </w:pPr>
    </w:p>
    <w:p w14:paraId="1A931093" w14:textId="77777777" w:rsidR="00B56879" w:rsidRPr="003726FE" w:rsidRDefault="00B56879" w:rsidP="00B56879">
      <w:pPr>
        <w:spacing w:after="0" w:line="276"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 questions I ask will be open ended; you can tell me your views and experiences in your own words. </w:t>
      </w:r>
    </w:p>
    <w:p w14:paraId="16EF96DF" w14:textId="77777777" w:rsidR="00B56879" w:rsidRPr="003726FE" w:rsidRDefault="00B56879" w:rsidP="00B56879">
      <w:pPr>
        <w:spacing w:after="0" w:line="360" w:lineRule="auto"/>
        <w:jc w:val="both"/>
        <w:rPr>
          <w:rFonts w:ascii="Cambria" w:eastAsia="Cambria" w:hAnsi="Cambria" w:cs="Times New Roman"/>
          <w:b/>
          <w:bCs/>
          <w:sz w:val="22"/>
          <w:lang w:eastAsia="ja-JP"/>
        </w:rPr>
      </w:pPr>
    </w:p>
    <w:p w14:paraId="007B96B9" w14:textId="77777777" w:rsidR="00B56879" w:rsidRPr="003726FE" w:rsidRDefault="00B56879" w:rsidP="00B56879">
      <w:pPr>
        <w:spacing w:after="0" w:line="360" w:lineRule="auto"/>
        <w:jc w:val="both"/>
        <w:rPr>
          <w:rFonts w:ascii="Cambria" w:eastAsia="Cambria" w:hAnsi="Cambria" w:cs="Times New Roman"/>
          <w:b/>
          <w:bCs/>
          <w:sz w:val="22"/>
          <w:lang w:eastAsia="ja-JP"/>
        </w:rPr>
      </w:pPr>
      <w:r w:rsidRPr="003726FE">
        <w:rPr>
          <w:rFonts w:ascii="Cambria" w:eastAsia="Cambria" w:hAnsi="Cambria" w:cs="Times New Roman"/>
          <w:b/>
          <w:bCs/>
          <w:sz w:val="22"/>
          <w:lang w:eastAsia="ja-JP"/>
        </w:rPr>
        <w:t>Before we begin I would like to go through a few ground rules:</w:t>
      </w:r>
    </w:p>
    <w:p w14:paraId="2051E30B" w14:textId="77777777" w:rsidR="00B56879" w:rsidRPr="003726FE" w:rsidRDefault="00B56879" w:rsidP="00B56879">
      <w:pPr>
        <w:spacing w:after="0" w:line="360" w:lineRule="auto"/>
        <w:jc w:val="both"/>
        <w:rPr>
          <w:rFonts w:ascii="Cambria" w:eastAsia="Cambria" w:hAnsi="Cambria" w:cs="Times New Roman"/>
          <w:b/>
          <w:bCs/>
          <w:sz w:val="22"/>
          <w:lang w:eastAsia="ja-JP"/>
        </w:rPr>
      </w:pPr>
    </w:p>
    <w:p w14:paraId="007FDA71" w14:textId="77777777" w:rsidR="00B56879" w:rsidRPr="003726FE" w:rsidRDefault="00B56879" w:rsidP="00B56879">
      <w:pPr>
        <w:spacing w:after="0" w:line="360" w:lineRule="auto"/>
        <w:jc w:val="both"/>
        <w:rPr>
          <w:rFonts w:ascii="Cambria" w:eastAsia="Cambria" w:hAnsi="Cambria" w:cs="Times New Roman"/>
          <w:b/>
          <w:bCs/>
          <w:sz w:val="22"/>
          <w:u w:val="single"/>
          <w:lang w:eastAsia="ja-JP"/>
        </w:rPr>
      </w:pPr>
      <w:r w:rsidRPr="003726FE">
        <w:rPr>
          <w:rFonts w:ascii="Cambria" w:eastAsia="Cambria" w:hAnsi="Cambria" w:cs="Times New Roman"/>
          <w:b/>
          <w:bCs/>
          <w:sz w:val="22"/>
          <w:u w:val="single"/>
          <w:lang w:eastAsia="ja-JP"/>
        </w:rPr>
        <w:t>Ground Rules</w:t>
      </w:r>
    </w:p>
    <w:p w14:paraId="43EBDDEE" w14:textId="77777777" w:rsidR="00B56879" w:rsidRPr="003726FE" w:rsidRDefault="00B56879" w:rsidP="00B56879">
      <w:pPr>
        <w:numPr>
          <w:ilvl w:val="0"/>
          <w:numId w:val="44"/>
        </w:num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 discussion today will be audio taped using two devices and then transcribed as mentioned in the information sheet and consent form. I would like to take this opportunity to remind you again that all information given today will </w:t>
      </w:r>
      <w:r w:rsidRPr="003726FE">
        <w:rPr>
          <w:rFonts w:ascii="Cambria" w:eastAsia="Cambria" w:hAnsi="Cambria" w:cs="Times New Roman"/>
          <w:sz w:val="22"/>
          <w:lang w:eastAsia="ja-JP"/>
        </w:rPr>
        <w:t>remain confidential</w:t>
      </w:r>
      <w:r w:rsidRPr="003726FE">
        <w:rPr>
          <w:rFonts w:ascii="Cambria" w:eastAsia="Cambria" w:hAnsi="Cambria" w:cs="Times New Roman"/>
          <w:bCs/>
          <w:sz w:val="22"/>
          <w:lang w:eastAsia="ja-JP"/>
        </w:rPr>
        <w:t xml:space="preserve"> and all data will anonymised.</w:t>
      </w:r>
    </w:p>
    <w:p w14:paraId="4AADD07C" w14:textId="77777777" w:rsidR="00B56879" w:rsidRPr="003726FE" w:rsidRDefault="00B56879" w:rsidP="00B56879">
      <w:pPr>
        <w:numPr>
          <w:ilvl w:val="0"/>
          <w:numId w:val="44"/>
        </w:num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There are no right or wrong answers; I am here today to gather your views and experiences. </w:t>
      </w:r>
    </w:p>
    <w:p w14:paraId="09240AA7" w14:textId="77777777" w:rsidR="00B56879" w:rsidRPr="003726FE" w:rsidRDefault="00B56879" w:rsidP="00B56879">
      <w:pPr>
        <w:numPr>
          <w:ilvl w:val="0"/>
          <w:numId w:val="44"/>
        </w:num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 xml:space="preserve">And please remember participation is voluntary therefore you may withdraw at any time, if there are any questions you feel uncomfortable with answering then please feel free to decline. </w:t>
      </w:r>
    </w:p>
    <w:p w14:paraId="46B967D5" w14:textId="77777777" w:rsidR="00B56879" w:rsidRPr="003726FE" w:rsidRDefault="00B56879" w:rsidP="00B56879">
      <w:pPr>
        <w:numPr>
          <w:ilvl w:val="0"/>
          <w:numId w:val="44"/>
        </w:numPr>
        <w:spacing w:after="0" w:line="360" w:lineRule="auto"/>
        <w:jc w:val="both"/>
        <w:rPr>
          <w:rFonts w:ascii="Cambria" w:eastAsia="Cambria" w:hAnsi="Cambria" w:cs="Times New Roman"/>
          <w:bCs/>
          <w:sz w:val="22"/>
          <w:lang w:eastAsia="ja-JP"/>
        </w:rPr>
      </w:pPr>
      <w:r w:rsidRPr="003726FE">
        <w:rPr>
          <w:rFonts w:ascii="Cambria" w:eastAsia="Cambria" w:hAnsi="Cambria" w:cs="Times New Roman"/>
          <w:bCs/>
          <w:sz w:val="22"/>
          <w:lang w:eastAsia="ja-JP"/>
        </w:rPr>
        <w:t>If you have any questions at any point please feel free to ask.</w:t>
      </w:r>
    </w:p>
    <w:p w14:paraId="51D134F0" w14:textId="77777777" w:rsidR="00B56879" w:rsidRPr="003726FE" w:rsidRDefault="00B56879" w:rsidP="00B56879">
      <w:pPr>
        <w:spacing w:after="0" w:line="360" w:lineRule="auto"/>
        <w:ind w:left="627"/>
        <w:jc w:val="both"/>
        <w:rPr>
          <w:rFonts w:ascii="Cambria" w:eastAsia="Cambria" w:hAnsi="Cambria" w:cs="Times New Roman"/>
          <w:sz w:val="22"/>
          <w:lang w:eastAsia="ja-JP"/>
        </w:rPr>
      </w:pPr>
    </w:p>
    <w:p w14:paraId="61E8BDDE" w14:textId="77777777" w:rsidR="00B56879" w:rsidRPr="003726FE" w:rsidRDefault="00B56879" w:rsidP="00B56879">
      <w:pPr>
        <w:spacing w:after="0" w:line="360" w:lineRule="auto"/>
        <w:ind w:left="60"/>
        <w:jc w:val="both"/>
        <w:rPr>
          <w:rFonts w:ascii="Cambria" w:eastAsia="Cambria" w:hAnsi="Cambria" w:cs="Times New Roman"/>
          <w:b/>
          <w:sz w:val="22"/>
          <w:lang w:eastAsia="ja-JP"/>
        </w:rPr>
      </w:pPr>
      <w:r w:rsidRPr="003726FE">
        <w:rPr>
          <w:rFonts w:ascii="Cambria" w:eastAsia="Cambria" w:hAnsi="Cambria" w:cs="Times New Roman"/>
          <w:b/>
          <w:sz w:val="22"/>
          <w:lang w:eastAsia="ja-JP"/>
        </w:rPr>
        <w:t>Are you ready to proceed?</w:t>
      </w:r>
    </w:p>
    <w:p w14:paraId="38C8CFF5"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0ADEA979"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7E3B6A95" w14:textId="1FC2EB59" w:rsidR="00B56879" w:rsidRPr="003726FE" w:rsidRDefault="00B56879">
      <w:pPr>
        <w:rPr>
          <w:rFonts w:ascii="Cambria" w:eastAsia="Cambria" w:hAnsi="Cambria" w:cs="Times New Roman"/>
          <w:b/>
          <w:bCs/>
          <w:u w:val="single"/>
          <w:lang w:eastAsia="ja-JP"/>
        </w:rPr>
      </w:pPr>
    </w:p>
    <w:p w14:paraId="1B1834AA" w14:textId="431E58A4" w:rsidR="00B56879" w:rsidRPr="003726FE" w:rsidRDefault="00B56879" w:rsidP="00B56879">
      <w:pPr>
        <w:tabs>
          <w:tab w:val="left" w:pos="5078"/>
        </w:tabs>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lastRenderedPageBreak/>
        <w:t>Interview begins</w:t>
      </w:r>
    </w:p>
    <w:p w14:paraId="0AA92FF5" w14:textId="77777777" w:rsidR="00B56879" w:rsidRPr="003726FE" w:rsidRDefault="00B56879" w:rsidP="00B56879">
      <w:pPr>
        <w:tabs>
          <w:tab w:val="left" w:pos="5078"/>
        </w:tabs>
        <w:spacing w:after="0" w:line="240" w:lineRule="auto"/>
        <w:rPr>
          <w:rFonts w:ascii="Cambria" w:eastAsia="Cambria" w:hAnsi="Cambria" w:cs="Times New Roman"/>
          <w:b/>
          <w:bCs/>
          <w:lang w:eastAsia="ja-JP"/>
        </w:rPr>
      </w:pPr>
    </w:p>
    <w:p w14:paraId="17A18773" w14:textId="77777777" w:rsidR="00B56879" w:rsidRPr="003726FE" w:rsidRDefault="00B56879" w:rsidP="00B56879">
      <w:pPr>
        <w:tabs>
          <w:tab w:val="left" w:pos="5078"/>
        </w:tabs>
        <w:spacing w:after="0" w:line="240" w:lineRule="auto"/>
        <w:rPr>
          <w:rFonts w:ascii="Cambria" w:eastAsia="Cambria" w:hAnsi="Cambria" w:cs="Times New Roman"/>
          <w:b/>
          <w:bCs/>
          <w:lang w:eastAsia="ja-JP"/>
        </w:rPr>
      </w:pPr>
    </w:p>
    <w:p w14:paraId="2AD5F828" w14:textId="77777777" w:rsidR="00B56879" w:rsidRPr="003726FE" w:rsidRDefault="00B56879" w:rsidP="00B56879">
      <w:pPr>
        <w:tabs>
          <w:tab w:val="left" w:pos="5078"/>
        </w:tabs>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Recording equipment turned on.</w:t>
      </w:r>
    </w:p>
    <w:p w14:paraId="6D9DE4E7"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5D6371F8"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4B182144"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77C1164D" w14:textId="77777777" w:rsidR="00B56879" w:rsidRPr="003726FE" w:rsidRDefault="00B56879" w:rsidP="00B56879">
      <w:pPr>
        <w:tabs>
          <w:tab w:val="left" w:pos="5078"/>
        </w:tabs>
        <w:spacing w:after="0" w:line="240" w:lineRule="auto"/>
        <w:rPr>
          <w:rFonts w:ascii="Cambria" w:eastAsia="Cambria" w:hAnsi="Cambria" w:cs="Times New Roman"/>
          <w:b/>
          <w:bCs/>
          <w:sz w:val="22"/>
          <w:lang w:eastAsia="ja-JP"/>
        </w:rPr>
      </w:pPr>
    </w:p>
    <w:p w14:paraId="458177B1" w14:textId="77777777" w:rsidR="00B56879" w:rsidRPr="003726FE" w:rsidRDefault="00B56879" w:rsidP="00B56879">
      <w:pPr>
        <w:tabs>
          <w:tab w:val="left" w:pos="5078"/>
        </w:tabs>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Introductory questions:</w:t>
      </w:r>
    </w:p>
    <w:p w14:paraId="12D9948D" w14:textId="77777777" w:rsidR="00B56879" w:rsidRPr="003726FE" w:rsidRDefault="00B56879" w:rsidP="00B56879">
      <w:pPr>
        <w:tabs>
          <w:tab w:val="left" w:pos="5078"/>
        </w:tabs>
        <w:spacing w:after="0" w:line="360" w:lineRule="auto"/>
        <w:rPr>
          <w:rFonts w:ascii="Cambria" w:eastAsia="Cambria" w:hAnsi="Cambria" w:cs="Times New Roman"/>
          <w:b/>
          <w:bCs/>
          <w:lang w:eastAsia="ja-JP"/>
        </w:rPr>
      </w:pPr>
    </w:p>
    <w:p w14:paraId="40249122" w14:textId="77777777" w:rsidR="00B56879" w:rsidRPr="003726FE" w:rsidRDefault="00B56879" w:rsidP="00B56879">
      <w:pPr>
        <w:numPr>
          <w:ilvl w:val="0"/>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please give me a brief overview of your clinical placements to this point?</w:t>
      </w:r>
    </w:p>
    <w:p w14:paraId="55E089C3" w14:textId="77777777" w:rsidR="00B56879" w:rsidRPr="003726FE" w:rsidRDefault="00B56879" w:rsidP="00B56879">
      <w:pPr>
        <w:numPr>
          <w:ilvl w:val="1"/>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not answered) What is your current placement experience at the moment?</w:t>
      </w:r>
    </w:p>
    <w:p w14:paraId="2211D176" w14:textId="77777777" w:rsidR="00B56879" w:rsidRPr="003726FE" w:rsidRDefault="00B56879" w:rsidP="00B56879">
      <w:pPr>
        <w:numPr>
          <w:ilvl w:val="1"/>
          <w:numId w:val="34"/>
        </w:numPr>
        <w:tabs>
          <w:tab w:val="left" w:pos="5078"/>
        </w:tabs>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is your schedule at the moment day-to-day?</w:t>
      </w:r>
    </w:p>
    <w:p w14:paraId="209D6A9E" w14:textId="77777777" w:rsidR="00B56879" w:rsidRPr="003726FE" w:rsidRDefault="00B56879" w:rsidP="00B56879">
      <w:pPr>
        <w:numPr>
          <w:ilvl w:val="0"/>
          <w:numId w:val="34"/>
        </w:numPr>
        <w:tabs>
          <w:tab w:val="left" w:pos="5078"/>
        </w:tabs>
        <w:spacing w:after="0" w:line="360" w:lineRule="auto"/>
        <w:contextualSpacing/>
        <w:rPr>
          <w:rFonts w:ascii="Cambria" w:eastAsia="Cambria" w:hAnsi="Cambria" w:cs="Times New Roman"/>
          <w:bCs/>
          <w:sz w:val="22"/>
          <w:lang w:eastAsia="ja-JP"/>
        </w:rPr>
      </w:pPr>
      <w:r w:rsidRPr="003726FE">
        <w:rPr>
          <w:rFonts w:ascii="Cambria" w:eastAsia="Cambria" w:hAnsi="Cambria" w:cs="Times New Roman"/>
          <w:bCs/>
          <w:lang w:eastAsia="ja-JP"/>
        </w:rPr>
        <w:t>Can you tell me about any other clinical experience you have had before these phase 2b placements?</w:t>
      </w:r>
      <w:r w:rsidRPr="003726FE">
        <w:rPr>
          <w:rFonts w:ascii="Cambria" w:eastAsia="Cambria" w:hAnsi="Cambria" w:cs="Times New Roman"/>
          <w:bCs/>
          <w:sz w:val="22"/>
          <w:lang w:eastAsia="ja-JP"/>
        </w:rPr>
        <w:t xml:space="preserve"> </w:t>
      </w:r>
    </w:p>
    <w:p w14:paraId="52100591"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4BB2612B"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15469221"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4F60B7DB"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4C7A2B6B"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05E08011"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109DB7A3"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0D9AA92E"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01590FB3"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50BBEC2A"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545FF28E"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7FE91B15"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2CC0EB3E"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000D71AF" w14:textId="77777777" w:rsidR="00B56879" w:rsidRPr="003726FE" w:rsidRDefault="00B56879" w:rsidP="00B56879">
      <w:pPr>
        <w:tabs>
          <w:tab w:val="left" w:pos="5078"/>
        </w:tabs>
        <w:spacing w:after="0" w:line="240" w:lineRule="auto"/>
        <w:rPr>
          <w:rFonts w:ascii="Cambria" w:eastAsia="Cambria" w:hAnsi="Cambria" w:cs="Times New Roman"/>
          <w:bCs/>
          <w:sz w:val="22"/>
          <w:lang w:eastAsia="ja-JP"/>
        </w:rPr>
      </w:pPr>
    </w:p>
    <w:p w14:paraId="1ECEF6FB" w14:textId="77777777" w:rsidR="00B56879" w:rsidRPr="003726FE" w:rsidRDefault="00B56879" w:rsidP="00B56879">
      <w:pPr>
        <w:spacing w:after="0" w:line="240" w:lineRule="auto"/>
        <w:rPr>
          <w:rFonts w:ascii="Cambria" w:eastAsia="Cambria" w:hAnsi="Cambria" w:cs="Times New Roman"/>
          <w:bCs/>
          <w:sz w:val="22"/>
          <w:lang w:eastAsia="ja-JP"/>
        </w:rPr>
      </w:pPr>
      <w:r w:rsidRPr="003726FE">
        <w:rPr>
          <w:rFonts w:ascii="Cambria" w:eastAsia="Cambria" w:hAnsi="Cambria" w:cs="Times New Roman"/>
          <w:bCs/>
          <w:sz w:val="22"/>
          <w:lang w:eastAsia="ja-JP"/>
        </w:rPr>
        <w:br w:type="page"/>
      </w:r>
    </w:p>
    <w:p w14:paraId="04E5BBB4" w14:textId="77777777" w:rsidR="00B56879" w:rsidRPr="003726FE" w:rsidRDefault="00B56879" w:rsidP="00B56879">
      <w:pPr>
        <w:spacing w:after="0" w:line="24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Topical questions: The one day diary</w:t>
      </w:r>
    </w:p>
    <w:p w14:paraId="7C5E9232" w14:textId="77777777" w:rsidR="00B56879" w:rsidRPr="003726FE" w:rsidRDefault="00B56879" w:rsidP="00B56879">
      <w:pPr>
        <w:spacing w:after="0" w:line="240" w:lineRule="auto"/>
        <w:rPr>
          <w:rFonts w:ascii="Cambria" w:eastAsia="Cambria" w:hAnsi="Cambria" w:cs="Times New Roman"/>
          <w:b/>
          <w:bCs/>
          <w:lang w:eastAsia="ja-JP"/>
        </w:rPr>
      </w:pPr>
    </w:p>
    <w:p w14:paraId="531B9601" w14:textId="77777777" w:rsidR="00B56879" w:rsidRPr="003726FE" w:rsidRDefault="00B56879" w:rsidP="00B5687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First of all, (if they have done it) thank you for completing the diary I sent you. I’d like to ask you some questions about it to start.</w:t>
      </w:r>
    </w:p>
    <w:p w14:paraId="6456785B" w14:textId="77777777" w:rsidR="00B56879" w:rsidRPr="003726FE" w:rsidRDefault="00B56879" w:rsidP="00B56879">
      <w:pPr>
        <w:spacing w:after="0" w:line="240" w:lineRule="auto"/>
        <w:rPr>
          <w:rFonts w:ascii="Cambria" w:eastAsia="Cambria" w:hAnsi="Cambria" w:cs="Times New Roman"/>
          <w:bCs/>
          <w:lang w:eastAsia="ja-JP"/>
        </w:rPr>
      </w:pPr>
    </w:p>
    <w:p w14:paraId="64542CA6" w14:textId="77777777" w:rsidR="00B56879" w:rsidRPr="003726FE" w:rsidRDefault="00B56879" w:rsidP="00B56879">
      <w:pPr>
        <w:numPr>
          <w:ilvl w:val="0"/>
          <w:numId w:val="45"/>
        </w:numPr>
        <w:spacing w:after="0" w:line="240" w:lineRule="auto"/>
        <w:contextualSpacing/>
        <w:rPr>
          <w:rFonts w:ascii="Cambria" w:eastAsia="Cambria" w:hAnsi="Cambria" w:cs="Times New Roman"/>
          <w:bCs/>
          <w:lang w:eastAsia="ja-JP"/>
        </w:rPr>
      </w:pPr>
      <w:r w:rsidRPr="003726FE">
        <w:rPr>
          <w:rFonts w:ascii="Cambria" w:eastAsia="Cambria" w:hAnsi="Cambria" w:cs="Times New Roman"/>
          <w:bCs/>
          <w:lang w:eastAsia="ja-JP"/>
        </w:rPr>
        <w:t>Can you give me a brief overview of the day in your own words now please?</w:t>
      </w:r>
    </w:p>
    <w:p w14:paraId="0C41C43C" w14:textId="77777777" w:rsidR="00B56879" w:rsidRPr="003726FE" w:rsidRDefault="00B56879" w:rsidP="00B56879">
      <w:pPr>
        <w:numPr>
          <w:ilvl w:val="0"/>
          <w:numId w:val="45"/>
        </w:numPr>
        <w:spacing w:after="0" w:line="24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typical were these experiences compared to what usually happens on placements?</w:t>
      </w:r>
    </w:p>
    <w:p w14:paraId="5211E2CD" w14:textId="77777777" w:rsidR="00B56879" w:rsidRPr="003726FE" w:rsidRDefault="00B56879" w:rsidP="00B56879">
      <w:pPr>
        <w:numPr>
          <w:ilvl w:val="0"/>
          <w:numId w:val="45"/>
        </w:numPr>
        <w:spacing w:after="0" w:line="240" w:lineRule="auto"/>
        <w:contextualSpacing/>
        <w:rPr>
          <w:rFonts w:ascii="Cambria" w:eastAsia="Cambria" w:hAnsi="Cambria" w:cs="Times New Roman"/>
          <w:bCs/>
          <w:lang w:eastAsia="ja-JP"/>
        </w:rPr>
      </w:pPr>
      <w:r w:rsidRPr="003726FE">
        <w:rPr>
          <w:rFonts w:ascii="Cambria" w:eastAsia="Cambria" w:hAnsi="Cambria" w:cs="Times New Roman"/>
          <w:bCs/>
          <w:lang w:eastAsia="ja-JP"/>
        </w:rPr>
        <w:t>Why did you choose this day to reflect upon?</w:t>
      </w:r>
    </w:p>
    <w:p w14:paraId="26487F49" w14:textId="69D681B8" w:rsidR="00B56879" w:rsidRPr="003726FE" w:rsidRDefault="00B56879" w:rsidP="00B56879">
      <w:pPr>
        <w:numPr>
          <w:ilvl w:val="0"/>
          <w:numId w:val="45"/>
        </w:numPr>
        <w:spacing w:after="0" w:line="240" w:lineRule="auto"/>
        <w:contextualSpacing/>
        <w:rPr>
          <w:rFonts w:ascii="Cambria" w:eastAsia="Cambria" w:hAnsi="Cambria" w:cs="Times New Roman"/>
          <w:bCs/>
          <w:lang w:eastAsia="ja-JP"/>
        </w:rPr>
      </w:pPr>
      <w:r w:rsidRPr="003726FE">
        <w:rPr>
          <w:rFonts w:ascii="Cambria" w:eastAsia="Cambria" w:hAnsi="Cambria" w:cs="Times New Roman"/>
          <w:bCs/>
          <w:lang w:eastAsia="ja-JP"/>
        </w:rPr>
        <w:t>Do you perceive your peers’ experience to be similar or different to yours?</w:t>
      </w:r>
    </w:p>
    <w:p w14:paraId="4647D588" w14:textId="77777777" w:rsidR="00B56879" w:rsidRPr="003726FE" w:rsidRDefault="00B56879" w:rsidP="00B56879">
      <w:pPr>
        <w:numPr>
          <w:ilvl w:val="0"/>
          <w:numId w:val="45"/>
        </w:numPr>
        <w:spacing w:after="0" w:line="24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was it like to fill in this diary?</w:t>
      </w:r>
    </w:p>
    <w:p w14:paraId="324C64CB" w14:textId="77777777" w:rsidR="00B56879" w:rsidRPr="003726FE" w:rsidRDefault="00B56879" w:rsidP="00B56879">
      <w:pPr>
        <w:spacing w:after="0" w:line="360" w:lineRule="auto"/>
        <w:rPr>
          <w:rFonts w:ascii="Cambria" w:eastAsia="Cambria" w:hAnsi="Cambria" w:cs="Times New Roman"/>
          <w:b/>
          <w:bCs/>
          <w:sz w:val="22"/>
          <w:lang w:eastAsia="ja-JP"/>
        </w:rPr>
      </w:pPr>
    </w:p>
    <w:p w14:paraId="4CD79D38" w14:textId="653B62DB" w:rsidR="00B56879" w:rsidRPr="003726FE" w:rsidRDefault="00B56879" w:rsidP="00B56879">
      <w:pPr>
        <w:spacing w:after="0" w:line="360" w:lineRule="auto"/>
        <w:rPr>
          <w:rFonts w:ascii="Cambria" w:eastAsia="Cambria" w:hAnsi="Cambria" w:cs="Times New Roman"/>
          <w:b/>
          <w:bCs/>
          <w:lang w:eastAsia="ja-JP"/>
        </w:rPr>
      </w:pPr>
      <w:r w:rsidRPr="003726FE">
        <w:rPr>
          <w:rFonts w:ascii="Cambria" w:eastAsia="Cambria" w:hAnsi="Cambria" w:cs="Times New Roman"/>
          <w:b/>
          <w:bCs/>
          <w:sz w:val="22"/>
          <w:lang w:eastAsia="ja-JP"/>
        </w:rPr>
        <w:t xml:space="preserve">Topical questions: </w:t>
      </w:r>
      <w:r w:rsidRPr="003726FE">
        <w:rPr>
          <w:rFonts w:ascii="Cambria" w:eastAsia="Cambria" w:hAnsi="Cambria" w:cs="Times New Roman"/>
          <w:b/>
          <w:bCs/>
          <w:lang w:eastAsia="ja-JP"/>
        </w:rPr>
        <w:t>Educational alliance</w:t>
      </w:r>
    </w:p>
    <w:p w14:paraId="06B74CE2" w14:textId="77777777" w:rsidR="00B56879" w:rsidRPr="003726FE" w:rsidRDefault="00B56879" w:rsidP="00B56879">
      <w:pPr>
        <w:spacing w:after="0" w:line="360" w:lineRule="auto"/>
        <w:rPr>
          <w:rFonts w:ascii="Cambria" w:eastAsia="Cambria" w:hAnsi="Cambria" w:cs="Times New Roman"/>
          <w:b/>
          <w:bCs/>
          <w:lang w:eastAsia="ja-JP"/>
        </w:rPr>
      </w:pPr>
    </w:p>
    <w:p w14:paraId="410D1DEB"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When thinking about the people that give you feedback, what affects whether you accept it or not?</w:t>
      </w:r>
    </w:p>
    <w:p w14:paraId="2F419378"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What about a feedback giver makes them good at giving feedback?</w:t>
      </w:r>
    </w:p>
    <w:p w14:paraId="01C326EF"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Does mutual trust play a part? What else might affect the relationship?</w:t>
      </w:r>
    </w:p>
    <w:p w14:paraId="36B9451D"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What do you think that they think of you?</w:t>
      </w:r>
    </w:p>
    <w:p w14:paraId="7C9D3C68"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How do these things change between feedback givers?</w:t>
      </w:r>
    </w:p>
    <w:p w14:paraId="37234E94" w14:textId="77777777" w:rsidR="00B56879" w:rsidRPr="003726FE" w:rsidRDefault="00B56879" w:rsidP="00B56879">
      <w:pPr>
        <w:numPr>
          <w:ilvl w:val="0"/>
          <w:numId w:val="47"/>
        </w:numPr>
        <w:spacing w:after="0" w:line="360" w:lineRule="auto"/>
        <w:ind w:left="709"/>
        <w:contextualSpacing/>
        <w:rPr>
          <w:rFonts w:ascii="Cambria" w:eastAsia="Cambria" w:hAnsi="Cambria" w:cs="Times New Roman"/>
          <w:bCs/>
          <w:lang w:eastAsia="ja-JP"/>
        </w:rPr>
      </w:pPr>
      <w:r w:rsidRPr="003726FE">
        <w:rPr>
          <w:rFonts w:ascii="Cambria" w:eastAsia="Cambria" w:hAnsi="Cambria" w:cs="Times New Roman"/>
          <w:bCs/>
          <w:lang w:eastAsia="ja-JP"/>
        </w:rPr>
        <w:t>How does this affect the future working relationship you have with them?</w:t>
      </w:r>
    </w:p>
    <w:p w14:paraId="608A53B6" w14:textId="77777777" w:rsidR="00B56879" w:rsidRPr="003726FE" w:rsidRDefault="00B56879" w:rsidP="00B56879">
      <w:pPr>
        <w:spacing w:after="0" w:line="240" w:lineRule="auto"/>
        <w:rPr>
          <w:rFonts w:ascii="Cambria" w:eastAsia="Cambria" w:hAnsi="Cambria" w:cs="Times New Roman"/>
          <w:b/>
          <w:bCs/>
          <w:lang w:eastAsia="ja-JP"/>
        </w:rPr>
      </w:pPr>
    </w:p>
    <w:p w14:paraId="35BA660D" w14:textId="374F3066" w:rsidR="00B56879" w:rsidRPr="003726FE" w:rsidRDefault="00B56879" w:rsidP="00B56879">
      <w:pPr>
        <w:spacing w:after="0" w:line="240" w:lineRule="auto"/>
        <w:rPr>
          <w:rFonts w:ascii="Cambria" w:eastAsia="Cambria" w:hAnsi="Cambria" w:cs="Times New Roman"/>
          <w:b/>
          <w:bCs/>
          <w:sz w:val="22"/>
          <w:lang w:eastAsia="ja-JP"/>
        </w:rPr>
      </w:pPr>
      <w:r w:rsidRPr="003726FE">
        <w:rPr>
          <w:rFonts w:ascii="Cambria" w:eastAsia="Cambria" w:hAnsi="Cambria" w:cs="Times New Roman"/>
          <w:b/>
          <w:bCs/>
          <w:lang w:eastAsia="ja-JP"/>
        </w:rPr>
        <w:t xml:space="preserve">Topical questions: </w:t>
      </w:r>
      <w:r w:rsidR="008E7D00">
        <w:rPr>
          <w:rFonts w:ascii="Cambria" w:eastAsia="Cambria" w:hAnsi="Cambria" w:cs="Times New Roman"/>
          <w:b/>
          <w:bCs/>
          <w:lang w:eastAsia="ja-JP"/>
        </w:rPr>
        <w:t>Conceptualisation</w:t>
      </w:r>
      <w:r w:rsidRPr="003726FE">
        <w:rPr>
          <w:rFonts w:ascii="Cambria" w:eastAsia="Cambria" w:hAnsi="Cambria" w:cs="Times New Roman"/>
          <w:b/>
          <w:bCs/>
          <w:lang w:eastAsia="ja-JP"/>
        </w:rPr>
        <w:t>s of feedback</w:t>
      </w:r>
    </w:p>
    <w:p w14:paraId="4AE9E101" w14:textId="77777777" w:rsidR="00B56879" w:rsidRPr="003726FE" w:rsidRDefault="00B56879" w:rsidP="00B56879">
      <w:pPr>
        <w:spacing w:after="0" w:line="360" w:lineRule="auto"/>
        <w:rPr>
          <w:rFonts w:ascii="Cambria" w:eastAsia="Cambria" w:hAnsi="Cambria" w:cs="Times New Roman"/>
          <w:b/>
          <w:bCs/>
          <w:lang w:eastAsia="ja-JP"/>
        </w:rPr>
      </w:pPr>
    </w:p>
    <w:p w14:paraId="0969CCDE" w14:textId="77777777" w:rsidR="00B56879" w:rsidRPr="003726FE" w:rsidRDefault="00B56879" w:rsidP="00B5687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I’d like to ask you a few questions about your thoughts and feelings on feedback.</w:t>
      </w:r>
    </w:p>
    <w:p w14:paraId="3AE50A89" w14:textId="77777777" w:rsidR="00B56879" w:rsidRPr="003726FE" w:rsidRDefault="00B56879" w:rsidP="00B56879">
      <w:pPr>
        <w:spacing w:after="0" w:line="360" w:lineRule="auto"/>
        <w:rPr>
          <w:rFonts w:ascii="Cambria" w:eastAsia="Cambria" w:hAnsi="Cambria" w:cs="Times New Roman"/>
          <w:b/>
          <w:bCs/>
          <w:lang w:eastAsia="ja-JP"/>
        </w:rPr>
      </w:pPr>
    </w:p>
    <w:p w14:paraId="7FD1F1D9"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useful is feedback for you at the moment?</w:t>
      </w:r>
    </w:p>
    <w:p w14:paraId="343807FF"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makes good and bad feedback?</w:t>
      </w:r>
    </w:p>
    <w:p w14:paraId="64978658"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 using the feedback for? Do you seek feedback?</w:t>
      </w:r>
    </w:p>
    <w:p w14:paraId="2409CD77"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opportunities are there for getting feedback on placement?</w:t>
      </w:r>
    </w:p>
    <w:p w14:paraId="271C0C7F"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do you usually do with feedback once you get it?</w:t>
      </w:r>
    </w:p>
    <w:p w14:paraId="7A183BCD"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your experiences of peer feedback?</w:t>
      </w:r>
    </w:p>
    <w:p w14:paraId="0EBB153F" w14:textId="77777777" w:rsidR="00B56879" w:rsidRPr="003726FE" w:rsidRDefault="00B56879" w:rsidP="00B56879">
      <w:pPr>
        <w:numPr>
          <w:ilvl w:val="0"/>
          <w:numId w:val="39"/>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 others ask you for feedback?</w:t>
      </w:r>
    </w:p>
    <w:p w14:paraId="3A2AC969" w14:textId="77777777" w:rsidR="00B56879" w:rsidRPr="003726FE" w:rsidRDefault="00B56879" w:rsidP="00B56879">
      <w:pPr>
        <w:spacing w:after="0" w:line="360" w:lineRule="auto"/>
        <w:rPr>
          <w:rFonts w:ascii="Cambria" w:eastAsia="Cambria" w:hAnsi="Cambria" w:cs="Times New Roman"/>
          <w:bCs/>
          <w:lang w:eastAsia="ja-JP"/>
        </w:rPr>
      </w:pPr>
    </w:p>
    <w:p w14:paraId="167D8B7A" w14:textId="77777777" w:rsidR="00B56879" w:rsidRPr="003726FE" w:rsidRDefault="00B56879" w:rsidP="00B56879">
      <w:pPr>
        <w:spacing w:after="0" w:line="360" w:lineRule="auto"/>
        <w:rPr>
          <w:rFonts w:ascii="Cambria" w:eastAsia="Cambria" w:hAnsi="Cambria" w:cs="Times New Roman"/>
          <w:bCs/>
          <w:lang w:eastAsia="ja-JP"/>
        </w:rPr>
      </w:pPr>
    </w:p>
    <w:p w14:paraId="654CA825" w14:textId="77777777" w:rsidR="00B56879" w:rsidRPr="003726FE" w:rsidRDefault="00B56879">
      <w:pPr>
        <w:rPr>
          <w:rFonts w:ascii="Cambria" w:eastAsia="Cambria" w:hAnsi="Cambria" w:cs="Times New Roman"/>
          <w:b/>
          <w:bCs/>
          <w:lang w:eastAsia="ja-JP"/>
        </w:rPr>
      </w:pPr>
      <w:r w:rsidRPr="003726FE">
        <w:rPr>
          <w:rFonts w:ascii="Cambria" w:eastAsia="Cambria" w:hAnsi="Cambria" w:cs="Times New Roman"/>
          <w:b/>
          <w:bCs/>
          <w:lang w:eastAsia="ja-JP"/>
        </w:rPr>
        <w:br w:type="page"/>
      </w:r>
    </w:p>
    <w:p w14:paraId="695C81FD" w14:textId="37C3958A" w:rsidR="00B56879" w:rsidRPr="003726FE" w:rsidRDefault="00B56879" w:rsidP="00B5687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Topical questions: Learning strategies</w:t>
      </w:r>
    </w:p>
    <w:p w14:paraId="1CF3A95E" w14:textId="77777777" w:rsidR="00B56879" w:rsidRPr="003726FE" w:rsidRDefault="00B56879" w:rsidP="00B56879">
      <w:pPr>
        <w:spacing w:after="0" w:line="360" w:lineRule="auto"/>
        <w:ind w:left="360"/>
        <w:rPr>
          <w:rFonts w:ascii="Cambria" w:eastAsia="Cambria" w:hAnsi="Cambria" w:cs="Times New Roman"/>
          <w:b/>
          <w:bCs/>
          <w:lang w:eastAsia="ja-JP"/>
        </w:rPr>
      </w:pPr>
    </w:p>
    <w:p w14:paraId="4AB5488D" w14:textId="77777777" w:rsidR="00B56879" w:rsidRPr="003726FE" w:rsidRDefault="00B56879" w:rsidP="00B56879">
      <w:pPr>
        <w:numPr>
          <w:ilvl w:val="0"/>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 you usually prepare for placement?</w:t>
      </w:r>
    </w:p>
    <w:p w14:paraId="27AD150D"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Is that how you always prepare?</w:t>
      </w:r>
    </w:p>
    <w:p w14:paraId="360D66AB"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 you ever have a plan or goals?</w:t>
      </w:r>
    </w:p>
    <w:p w14:paraId="3B288AE2"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confident were you before you started?</w:t>
      </w:r>
    </w:p>
    <w:p w14:paraId="1D64D4FF" w14:textId="77777777" w:rsidR="00B56879" w:rsidRPr="003726FE" w:rsidRDefault="00B56879" w:rsidP="00B56879">
      <w:pPr>
        <w:numPr>
          <w:ilvl w:val="0"/>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are you preparing day-to-day?</w:t>
      </w:r>
    </w:p>
    <w:p w14:paraId="404C0CC2" w14:textId="77777777" w:rsidR="00B56879" w:rsidRPr="003726FE" w:rsidRDefault="00B56879" w:rsidP="00B56879">
      <w:pPr>
        <w:numPr>
          <w:ilvl w:val="0"/>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 you usually keep track of your progress/performance each day? (suggest examples if they don’t offer any)</w:t>
      </w:r>
    </w:p>
    <w:p w14:paraId="40924B50"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do you do this over the full 3 weeks?</w:t>
      </w:r>
    </w:p>
    <w:p w14:paraId="476017ED"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kind of distractions are there day-to-day on the wards which make you alter your plans?</w:t>
      </w:r>
    </w:p>
    <w:p w14:paraId="4C82AD19"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Does your confidence levels play a part in this at all?</w:t>
      </w:r>
    </w:p>
    <w:p w14:paraId="4C37754B" w14:textId="77777777" w:rsidR="00B56879" w:rsidRPr="003726FE" w:rsidRDefault="00B56879" w:rsidP="00B56879">
      <w:pPr>
        <w:numPr>
          <w:ilvl w:val="0"/>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How would you usually evaluate what you’ve done on placement?</w:t>
      </w:r>
    </w:p>
    <w:p w14:paraId="069B9697"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 xml:space="preserve">Why do you think those things went well or not? </w:t>
      </w:r>
    </w:p>
    <w:p w14:paraId="19ECD841" w14:textId="77777777" w:rsidR="00B56879" w:rsidRPr="003726FE" w:rsidRDefault="00B56879" w:rsidP="00B56879">
      <w:pPr>
        <w:numPr>
          <w:ilvl w:val="1"/>
          <w:numId w:val="46"/>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Do you have any idea what you would do next time?</w:t>
      </w:r>
    </w:p>
    <w:p w14:paraId="2E30EE56" w14:textId="77777777" w:rsidR="00B56879" w:rsidRPr="003726FE" w:rsidRDefault="00B56879" w:rsidP="00B56879">
      <w:pPr>
        <w:spacing w:after="0" w:line="360" w:lineRule="auto"/>
        <w:rPr>
          <w:rFonts w:ascii="Cambria" w:eastAsia="Cambria" w:hAnsi="Cambria" w:cs="Times New Roman"/>
          <w:bCs/>
          <w:lang w:eastAsia="ja-JP"/>
        </w:rPr>
      </w:pPr>
    </w:p>
    <w:p w14:paraId="26341FFA" w14:textId="77777777" w:rsidR="00B56879" w:rsidRPr="003726FE" w:rsidRDefault="00B56879" w:rsidP="00B56879">
      <w:pPr>
        <w:tabs>
          <w:tab w:val="left" w:pos="5078"/>
        </w:tabs>
        <w:spacing w:after="0" w:line="360" w:lineRule="auto"/>
        <w:rPr>
          <w:rFonts w:ascii="Cambria" w:eastAsia="Cambria" w:hAnsi="Cambria" w:cs="Times New Roman"/>
          <w:b/>
          <w:bCs/>
          <w:lang w:eastAsia="ja-JP"/>
        </w:rPr>
      </w:pPr>
    </w:p>
    <w:p w14:paraId="38BB7F48" w14:textId="77777777" w:rsidR="00B56879" w:rsidRPr="003726FE" w:rsidRDefault="00B56879" w:rsidP="00B56879">
      <w:pPr>
        <w:tabs>
          <w:tab w:val="left" w:pos="5078"/>
        </w:tabs>
        <w:spacing w:after="0" w:line="360" w:lineRule="auto"/>
        <w:rPr>
          <w:rFonts w:ascii="Cambria" w:eastAsia="Cambria" w:hAnsi="Cambria" w:cs="Times New Roman"/>
          <w:b/>
          <w:bCs/>
          <w:lang w:eastAsia="ja-JP"/>
        </w:rPr>
      </w:pPr>
    </w:p>
    <w:p w14:paraId="0C0EAF3F" w14:textId="77777777" w:rsidR="00B56879" w:rsidRPr="003726FE" w:rsidRDefault="00B56879" w:rsidP="00B56879">
      <w:pPr>
        <w:spacing w:after="0" w:line="360" w:lineRule="auto"/>
        <w:rPr>
          <w:rFonts w:ascii="Cambria" w:eastAsia="Cambria" w:hAnsi="Cambria" w:cs="Times New Roman"/>
          <w:b/>
          <w:bCs/>
          <w:lang w:eastAsia="ja-JP"/>
        </w:rPr>
      </w:pPr>
    </w:p>
    <w:p w14:paraId="2A65BF4E" w14:textId="77777777" w:rsidR="00B56879" w:rsidRPr="003726FE" w:rsidRDefault="00B56879" w:rsidP="00B56879">
      <w:pPr>
        <w:spacing w:after="0" w:line="360" w:lineRule="auto"/>
        <w:rPr>
          <w:rFonts w:ascii="Cambria" w:eastAsia="Cambria" w:hAnsi="Cambria" w:cs="Times New Roman"/>
          <w:b/>
          <w:bCs/>
          <w:lang w:eastAsia="ja-JP"/>
        </w:rPr>
      </w:pPr>
    </w:p>
    <w:p w14:paraId="1C68EEC0" w14:textId="77777777" w:rsidR="00B56879" w:rsidRPr="003726FE" w:rsidRDefault="00B56879" w:rsidP="00B56879">
      <w:pPr>
        <w:spacing w:after="0" w:line="360" w:lineRule="auto"/>
        <w:rPr>
          <w:rFonts w:ascii="Cambria" w:eastAsia="Cambria" w:hAnsi="Cambria" w:cs="Times New Roman"/>
          <w:b/>
          <w:bCs/>
          <w:lang w:eastAsia="ja-JP"/>
        </w:rPr>
      </w:pPr>
    </w:p>
    <w:p w14:paraId="009C064F" w14:textId="77777777" w:rsidR="00B56879" w:rsidRPr="003726FE" w:rsidRDefault="00B56879" w:rsidP="00B56879">
      <w:pPr>
        <w:spacing w:after="0" w:line="360" w:lineRule="auto"/>
        <w:rPr>
          <w:rFonts w:ascii="Cambria" w:eastAsia="Cambria" w:hAnsi="Cambria" w:cs="Times New Roman"/>
          <w:b/>
          <w:bCs/>
          <w:lang w:eastAsia="ja-JP"/>
        </w:rPr>
      </w:pPr>
    </w:p>
    <w:p w14:paraId="7CAAADE8" w14:textId="77777777" w:rsidR="00B56879" w:rsidRPr="003726FE" w:rsidRDefault="00B56879" w:rsidP="00B56879">
      <w:pPr>
        <w:spacing w:after="0" w:line="360" w:lineRule="auto"/>
        <w:rPr>
          <w:rFonts w:ascii="Cambria" w:eastAsia="Cambria" w:hAnsi="Cambria" w:cs="Times New Roman"/>
          <w:b/>
          <w:bCs/>
          <w:lang w:eastAsia="ja-JP"/>
        </w:rPr>
      </w:pPr>
    </w:p>
    <w:p w14:paraId="3ADE99BD" w14:textId="77777777" w:rsidR="00B56879" w:rsidRPr="003726FE" w:rsidRDefault="00B56879" w:rsidP="00B56879">
      <w:pPr>
        <w:spacing w:after="0" w:line="360" w:lineRule="auto"/>
        <w:rPr>
          <w:rFonts w:ascii="Cambria" w:eastAsia="Cambria" w:hAnsi="Cambria" w:cs="Times New Roman"/>
          <w:b/>
          <w:bCs/>
          <w:lang w:eastAsia="ja-JP"/>
        </w:rPr>
      </w:pPr>
    </w:p>
    <w:p w14:paraId="29858095" w14:textId="77777777" w:rsidR="00B56879" w:rsidRPr="003726FE" w:rsidRDefault="00B56879">
      <w:pPr>
        <w:rPr>
          <w:rFonts w:ascii="Cambria" w:eastAsia="Cambria" w:hAnsi="Cambria" w:cs="Times New Roman"/>
          <w:b/>
          <w:bCs/>
          <w:lang w:eastAsia="ja-JP"/>
        </w:rPr>
      </w:pPr>
      <w:r w:rsidRPr="003726FE">
        <w:rPr>
          <w:rFonts w:ascii="Cambria" w:eastAsia="Cambria" w:hAnsi="Cambria" w:cs="Times New Roman"/>
          <w:b/>
          <w:bCs/>
          <w:lang w:eastAsia="ja-JP"/>
        </w:rPr>
        <w:br w:type="page"/>
      </w:r>
    </w:p>
    <w:p w14:paraId="08BCC1CD" w14:textId="48DB8B8D" w:rsidR="00B56879" w:rsidRPr="003726FE" w:rsidRDefault="00B56879" w:rsidP="00B5687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lastRenderedPageBreak/>
        <w:t>Closing questions:</w:t>
      </w:r>
    </w:p>
    <w:p w14:paraId="4C639CA7" w14:textId="77777777" w:rsidR="00B56879" w:rsidRPr="003726FE" w:rsidRDefault="00B56879" w:rsidP="00B56879">
      <w:pPr>
        <w:spacing w:after="0" w:line="360" w:lineRule="auto"/>
        <w:rPr>
          <w:rFonts w:ascii="Cambria" w:eastAsia="Cambria" w:hAnsi="Cambria" w:cs="Times New Roman"/>
          <w:b/>
          <w:bCs/>
          <w:lang w:eastAsia="ja-JP"/>
        </w:rPr>
      </w:pPr>
    </w:p>
    <w:p w14:paraId="247DA1F0" w14:textId="77777777" w:rsidR="00B56879" w:rsidRPr="003726FE" w:rsidRDefault="00B56879" w:rsidP="00B56879">
      <w:pPr>
        <w:spacing w:after="0" w:line="360" w:lineRule="auto"/>
        <w:rPr>
          <w:rFonts w:ascii="Cambria" w:eastAsia="Cambria" w:hAnsi="Cambria" w:cs="Times New Roman"/>
          <w:bCs/>
          <w:lang w:eastAsia="ja-JP"/>
        </w:rPr>
      </w:pPr>
      <w:r w:rsidRPr="003726FE">
        <w:rPr>
          <w:rFonts w:ascii="Cambria" w:eastAsia="Cambria" w:hAnsi="Cambria" w:cs="Times New Roman"/>
          <w:bCs/>
          <w:lang w:eastAsia="ja-JP"/>
        </w:rPr>
        <w:t>Considering everything we’ve spoken about, I’d like to ask a few questions about your final thoughts on feedback and your experiences.</w:t>
      </w:r>
    </w:p>
    <w:p w14:paraId="02BA43EA" w14:textId="77777777" w:rsidR="00B56879" w:rsidRPr="003726FE" w:rsidRDefault="00B56879" w:rsidP="00B56879">
      <w:pPr>
        <w:spacing w:after="0" w:line="360" w:lineRule="auto"/>
        <w:rPr>
          <w:rFonts w:ascii="Cambria" w:eastAsia="Cambria" w:hAnsi="Cambria" w:cs="Times New Roman"/>
          <w:b/>
          <w:bCs/>
          <w:lang w:eastAsia="ja-JP"/>
        </w:rPr>
      </w:pPr>
    </w:p>
    <w:p w14:paraId="3ECC25AD" w14:textId="77777777" w:rsidR="00B56879" w:rsidRPr="003726FE" w:rsidRDefault="00B56879" w:rsidP="00B5687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If you could rewind time and start your placements this year again, would you change anything about what you did on them?</w:t>
      </w:r>
    </w:p>
    <w:p w14:paraId="38CE2422" w14:textId="77777777" w:rsidR="00B56879" w:rsidRPr="003726FE" w:rsidRDefault="00B56879" w:rsidP="00B56879">
      <w:pPr>
        <w:numPr>
          <w:ilvl w:val="0"/>
          <w:numId w:val="38"/>
        </w:numPr>
        <w:spacing w:after="0" w:line="360" w:lineRule="auto"/>
        <w:contextualSpacing/>
        <w:rPr>
          <w:rFonts w:ascii="Cambria" w:eastAsia="Cambria" w:hAnsi="Cambria" w:cs="Times New Roman"/>
          <w:bCs/>
          <w:lang w:eastAsia="ja-JP"/>
        </w:rPr>
      </w:pPr>
      <w:r w:rsidRPr="003726FE">
        <w:rPr>
          <w:rFonts w:ascii="Cambria" w:eastAsia="Cambria" w:hAnsi="Cambria" w:cs="Times New Roman"/>
          <w:bCs/>
          <w:lang w:eastAsia="ja-JP"/>
        </w:rPr>
        <w:t>What are the lessons learned from this experience that you would like to share with your colleagues?</w:t>
      </w:r>
    </w:p>
    <w:p w14:paraId="574D055E" w14:textId="77777777" w:rsidR="00B56879" w:rsidRPr="003726FE" w:rsidRDefault="00B56879" w:rsidP="00B56879">
      <w:pPr>
        <w:spacing w:after="0" w:line="360" w:lineRule="auto"/>
        <w:rPr>
          <w:rFonts w:ascii="Cambria" w:eastAsia="Cambria" w:hAnsi="Cambria" w:cs="Times New Roman"/>
          <w:bCs/>
          <w:lang w:eastAsia="ja-JP"/>
        </w:rPr>
      </w:pPr>
    </w:p>
    <w:p w14:paraId="40D3B8E5" w14:textId="77777777" w:rsidR="00B56879" w:rsidRPr="003726FE" w:rsidRDefault="00B56879" w:rsidP="00B56879">
      <w:pPr>
        <w:spacing w:after="0" w:line="360" w:lineRule="auto"/>
        <w:ind w:left="720"/>
        <w:contextualSpacing/>
        <w:rPr>
          <w:rFonts w:ascii="Cambria" w:eastAsia="Cambria" w:hAnsi="Cambria" w:cs="Times New Roman"/>
          <w:b/>
          <w:bCs/>
          <w:lang w:eastAsia="ja-JP"/>
        </w:rPr>
      </w:pPr>
    </w:p>
    <w:p w14:paraId="1569098D" w14:textId="77777777" w:rsidR="00B56879" w:rsidRPr="003726FE" w:rsidRDefault="00B56879" w:rsidP="00B56879">
      <w:pPr>
        <w:spacing w:after="0" w:line="360" w:lineRule="auto"/>
        <w:rPr>
          <w:rFonts w:ascii="Cambria" w:eastAsia="Cambria" w:hAnsi="Cambria" w:cs="Times New Roman"/>
          <w:b/>
          <w:bCs/>
          <w:lang w:eastAsia="ja-JP"/>
        </w:rPr>
      </w:pPr>
      <w:r w:rsidRPr="003726FE">
        <w:rPr>
          <w:rFonts w:ascii="Cambria" w:eastAsia="Cambria" w:hAnsi="Cambria" w:cs="Times New Roman"/>
          <w:b/>
          <w:bCs/>
          <w:lang w:eastAsia="ja-JP"/>
        </w:rPr>
        <w:t>Procedural:</w:t>
      </w:r>
    </w:p>
    <w:p w14:paraId="79A03053" w14:textId="77777777" w:rsidR="00B56879" w:rsidRPr="003726FE" w:rsidRDefault="00B56879" w:rsidP="00B5687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Do you have anything else you would like to add before we finish?</w:t>
      </w:r>
    </w:p>
    <w:p w14:paraId="116AD2A5" w14:textId="77777777" w:rsidR="00B56879" w:rsidRPr="003726FE" w:rsidRDefault="00B56879" w:rsidP="00B5687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clarify or correct or remove anything?</w:t>
      </w:r>
    </w:p>
    <w:p w14:paraId="4A1FCC66" w14:textId="77777777" w:rsidR="00B56879" w:rsidRPr="003726FE" w:rsidRDefault="00B56879" w:rsidP="00B5687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like to ask me anything?</w:t>
      </w:r>
    </w:p>
    <w:p w14:paraId="40F13155" w14:textId="77777777" w:rsidR="00B56879" w:rsidRPr="003726FE" w:rsidRDefault="00B56879" w:rsidP="00B56879">
      <w:pPr>
        <w:numPr>
          <w:ilvl w:val="0"/>
          <w:numId w:val="38"/>
        </w:numPr>
        <w:spacing w:after="0" w:line="360" w:lineRule="auto"/>
        <w:contextualSpacing/>
        <w:rPr>
          <w:rFonts w:ascii="Cambria" w:eastAsia="Cambria" w:hAnsi="Cambria" w:cs="Times New Roman"/>
          <w:b/>
          <w:bCs/>
          <w:lang w:eastAsia="ja-JP"/>
        </w:rPr>
      </w:pPr>
      <w:r w:rsidRPr="003726FE">
        <w:rPr>
          <w:rFonts w:ascii="Cambria" w:eastAsia="Cambria" w:hAnsi="Cambria" w:cs="Times New Roman"/>
          <w:bCs/>
          <w:lang w:eastAsia="ja-JP"/>
        </w:rPr>
        <w:t>Would you mind completing a short demographic questionnaire? You do not have to do this but if you do it will be kept confidential and secure only used for research purposes.</w:t>
      </w:r>
    </w:p>
    <w:p w14:paraId="7FFE6045" w14:textId="77777777" w:rsidR="00B56879" w:rsidRPr="003726FE" w:rsidRDefault="00B56879" w:rsidP="00B56879">
      <w:pPr>
        <w:spacing w:after="0" w:line="240" w:lineRule="auto"/>
        <w:rPr>
          <w:rFonts w:ascii="Cambria" w:eastAsia="Cambria" w:hAnsi="Cambria" w:cs="Times New Roman"/>
          <w:b/>
          <w:bCs/>
          <w:lang w:eastAsia="ja-JP"/>
        </w:rPr>
      </w:pPr>
    </w:p>
    <w:p w14:paraId="5CC02177" w14:textId="77777777" w:rsidR="00B56879" w:rsidRPr="003726FE" w:rsidRDefault="00B56879" w:rsidP="00B56879">
      <w:pPr>
        <w:spacing w:after="0" w:line="240" w:lineRule="auto"/>
        <w:rPr>
          <w:rFonts w:ascii="Cambria" w:eastAsia="Cambria" w:hAnsi="Cambria" w:cs="Times New Roman"/>
          <w:b/>
          <w:bCs/>
          <w:lang w:eastAsia="ja-JP"/>
        </w:rPr>
      </w:pPr>
    </w:p>
    <w:p w14:paraId="51D0A95F" w14:textId="77777777" w:rsidR="00B56879" w:rsidRPr="003726FE" w:rsidRDefault="00B56879" w:rsidP="00B56879">
      <w:pPr>
        <w:spacing w:after="0" w:line="240" w:lineRule="auto"/>
        <w:rPr>
          <w:rFonts w:ascii="Cambria" w:eastAsia="Cambria" w:hAnsi="Cambria" w:cs="Times New Roman"/>
          <w:b/>
          <w:bCs/>
          <w:lang w:eastAsia="ja-JP"/>
        </w:rPr>
      </w:pPr>
    </w:p>
    <w:p w14:paraId="5B3C0CF1" w14:textId="77777777" w:rsidR="00B56879" w:rsidRPr="003726FE" w:rsidRDefault="00B56879" w:rsidP="00B56879">
      <w:pPr>
        <w:spacing w:after="0" w:line="240" w:lineRule="auto"/>
        <w:rPr>
          <w:rFonts w:ascii="Cambria" w:eastAsia="Cambria" w:hAnsi="Cambria" w:cs="Times New Roman"/>
          <w:b/>
          <w:bCs/>
          <w:lang w:eastAsia="ja-JP"/>
        </w:rPr>
      </w:pPr>
    </w:p>
    <w:p w14:paraId="29C960A7" w14:textId="77777777" w:rsidR="00B56879" w:rsidRPr="003726FE" w:rsidRDefault="00B56879" w:rsidP="00B56879">
      <w:pPr>
        <w:spacing w:after="0" w:line="240" w:lineRule="auto"/>
        <w:rPr>
          <w:rFonts w:ascii="Cambria" w:eastAsia="Cambria" w:hAnsi="Cambria" w:cs="Times New Roman"/>
          <w:b/>
          <w:bCs/>
          <w:lang w:eastAsia="ja-JP"/>
        </w:rPr>
      </w:pPr>
    </w:p>
    <w:p w14:paraId="2D8DBE1C" w14:textId="77777777" w:rsidR="00B56879" w:rsidRPr="003726FE" w:rsidRDefault="00B56879" w:rsidP="00B56879">
      <w:pPr>
        <w:spacing w:after="0" w:line="240" w:lineRule="auto"/>
        <w:rPr>
          <w:rFonts w:ascii="Cambria" w:eastAsia="Cambria" w:hAnsi="Cambria" w:cs="Times New Roman"/>
          <w:b/>
          <w:bCs/>
          <w:lang w:eastAsia="ja-JP"/>
        </w:rPr>
      </w:pPr>
    </w:p>
    <w:p w14:paraId="31C3110A" w14:textId="77777777" w:rsidR="00B56879" w:rsidRPr="003726FE" w:rsidRDefault="00B56879" w:rsidP="00B56879">
      <w:pPr>
        <w:spacing w:after="0" w:line="240" w:lineRule="auto"/>
        <w:rPr>
          <w:rFonts w:ascii="Cambria" w:eastAsia="Cambria" w:hAnsi="Cambria" w:cs="Times New Roman"/>
          <w:b/>
          <w:bCs/>
          <w:u w:val="single"/>
          <w:lang w:eastAsia="ja-JP"/>
        </w:rPr>
      </w:pPr>
      <w:r w:rsidRPr="003726FE">
        <w:rPr>
          <w:rFonts w:ascii="Cambria" w:eastAsia="Cambria" w:hAnsi="Cambria" w:cs="Times New Roman"/>
          <w:b/>
          <w:bCs/>
          <w:u w:val="single"/>
          <w:lang w:eastAsia="ja-JP"/>
        </w:rPr>
        <w:t>Interview concludes</w:t>
      </w:r>
    </w:p>
    <w:p w14:paraId="23717072" w14:textId="77777777" w:rsidR="00B56879" w:rsidRPr="003726FE" w:rsidRDefault="00B56879" w:rsidP="00B56879">
      <w:pPr>
        <w:spacing w:after="0" w:line="240" w:lineRule="auto"/>
        <w:rPr>
          <w:rFonts w:ascii="Cambria" w:eastAsia="Cambria" w:hAnsi="Cambria" w:cs="Times New Roman"/>
          <w:b/>
          <w:bCs/>
          <w:u w:val="single"/>
          <w:lang w:eastAsia="ja-JP"/>
        </w:rPr>
      </w:pPr>
    </w:p>
    <w:p w14:paraId="51F387A6" w14:textId="77777777" w:rsidR="00B56879" w:rsidRPr="003726FE" w:rsidRDefault="00B56879" w:rsidP="00B56879">
      <w:pPr>
        <w:spacing w:after="0" w:line="240" w:lineRule="auto"/>
        <w:rPr>
          <w:rFonts w:ascii="Cambria" w:eastAsia="Cambria" w:hAnsi="Cambria" w:cs="Times New Roman"/>
          <w:b/>
          <w:bCs/>
          <w:lang w:eastAsia="ja-JP"/>
        </w:rPr>
      </w:pPr>
    </w:p>
    <w:p w14:paraId="06A7DB07" w14:textId="77777777" w:rsidR="00B56879" w:rsidRPr="003726FE" w:rsidRDefault="00B56879" w:rsidP="00B5687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 xml:space="preserve">Interviewer thanks the participant for their time. They are reminded that their data will be anonymised in reports and that they are still free to withdraw their data at any time. </w:t>
      </w:r>
    </w:p>
    <w:p w14:paraId="708A4859" w14:textId="77777777" w:rsidR="00B56879" w:rsidRPr="003726FE" w:rsidRDefault="00B56879" w:rsidP="00B56879">
      <w:pPr>
        <w:spacing w:after="0" w:line="240" w:lineRule="auto"/>
        <w:rPr>
          <w:rFonts w:ascii="Cambria" w:eastAsia="Cambria" w:hAnsi="Cambria" w:cs="Times New Roman"/>
          <w:bCs/>
          <w:lang w:eastAsia="ja-JP"/>
        </w:rPr>
      </w:pPr>
    </w:p>
    <w:p w14:paraId="04067001" w14:textId="77777777" w:rsidR="00B56879" w:rsidRPr="003726FE" w:rsidRDefault="00B56879" w:rsidP="00B56879">
      <w:pPr>
        <w:spacing w:after="0" w:line="240" w:lineRule="auto"/>
        <w:rPr>
          <w:rFonts w:ascii="Cambria" w:eastAsia="Cambria" w:hAnsi="Cambria" w:cs="Times New Roman"/>
          <w:b/>
          <w:bCs/>
          <w:lang w:eastAsia="ja-JP"/>
        </w:rPr>
      </w:pPr>
      <w:r w:rsidRPr="003726FE">
        <w:rPr>
          <w:rFonts w:ascii="Cambria" w:eastAsia="Cambria" w:hAnsi="Cambria" w:cs="Times New Roman"/>
          <w:b/>
          <w:bCs/>
          <w:lang w:eastAsia="ja-JP"/>
        </w:rPr>
        <w:t>They are informed that they may fill in the diary again if they wish to.</w:t>
      </w:r>
    </w:p>
    <w:p w14:paraId="0603789C" w14:textId="77777777" w:rsidR="00B56879" w:rsidRPr="003726FE" w:rsidRDefault="00B56879" w:rsidP="00B56879">
      <w:pPr>
        <w:spacing w:after="0" w:line="240" w:lineRule="auto"/>
        <w:rPr>
          <w:rFonts w:ascii="Cambria" w:eastAsia="Cambria" w:hAnsi="Cambria" w:cs="Times New Roman"/>
          <w:bCs/>
          <w:lang w:eastAsia="ja-JP"/>
        </w:rPr>
      </w:pPr>
    </w:p>
    <w:p w14:paraId="4E36AC86" w14:textId="77777777" w:rsidR="00B56879" w:rsidRPr="003726FE" w:rsidRDefault="00B56879" w:rsidP="00B56879">
      <w:pPr>
        <w:spacing w:after="0" w:line="240" w:lineRule="auto"/>
        <w:rPr>
          <w:rFonts w:ascii="Cambria" w:eastAsia="Cambria" w:hAnsi="Cambria" w:cs="Times New Roman"/>
          <w:bCs/>
          <w:lang w:eastAsia="ja-JP"/>
        </w:rPr>
      </w:pPr>
      <w:r w:rsidRPr="003726FE">
        <w:rPr>
          <w:rFonts w:ascii="Cambria" w:eastAsia="Cambria" w:hAnsi="Cambria" w:cs="Times New Roman"/>
          <w:bCs/>
          <w:lang w:eastAsia="ja-JP"/>
        </w:rPr>
        <w:t>They are told that the researcher may get in contact to follow up on any unclear points from the recording, this is also termed ‘member checking’. A one-page summary will be sent to the participant for their comments on accuracy and to give them an opportunity to remove comments and/or emphasise others.</w:t>
      </w:r>
    </w:p>
    <w:p w14:paraId="52CFC8A2" w14:textId="32D179CC" w:rsidR="00071A48" w:rsidRPr="003726FE" w:rsidRDefault="00071A48">
      <w:pPr>
        <w:rPr>
          <w:rFonts w:eastAsia="Lucida Sans Unicode" w:cs="Mangal"/>
          <w:kern w:val="1"/>
          <w:szCs w:val="24"/>
          <w:lang w:eastAsia="hi-IN" w:bidi="hi-IN"/>
        </w:rPr>
      </w:pPr>
      <w:r w:rsidRPr="003726FE">
        <w:br w:type="page"/>
      </w:r>
    </w:p>
    <w:p w14:paraId="7B9DB7B1" w14:textId="77777777" w:rsidR="00071A48" w:rsidRPr="003726FE" w:rsidRDefault="00071A48" w:rsidP="00B1638D">
      <w:pPr>
        <w:pStyle w:val="Heading2"/>
        <w:rPr>
          <w:lang w:val="en-GB"/>
        </w:rPr>
        <w:sectPr w:rsidR="00071A48" w:rsidRPr="003726FE" w:rsidSect="007C73DC">
          <w:pgSz w:w="11906" w:h="16838"/>
          <w:pgMar w:top="1134" w:right="1134" w:bottom="1134" w:left="2268" w:header="708" w:footer="708" w:gutter="0"/>
          <w:cols w:space="708"/>
          <w:docGrid w:linePitch="360"/>
        </w:sectPr>
      </w:pPr>
    </w:p>
    <w:p w14:paraId="293A532A" w14:textId="077B6676" w:rsidR="00B56879" w:rsidRPr="003726FE" w:rsidRDefault="00071A48" w:rsidP="00B1638D">
      <w:pPr>
        <w:pStyle w:val="Heading2"/>
        <w:rPr>
          <w:lang w:val="en-GB"/>
        </w:rPr>
      </w:pPr>
      <w:bookmarkStart w:id="1014" w:name="_Toc500319496"/>
      <w:r w:rsidRPr="003726FE">
        <w:rPr>
          <w:lang w:val="en-GB"/>
        </w:rPr>
        <w:lastRenderedPageBreak/>
        <w:t>Appendix 2</w:t>
      </w:r>
      <w:r w:rsidR="009F0E25" w:rsidRPr="003726FE">
        <w:rPr>
          <w:lang w:val="en-GB"/>
        </w:rPr>
        <w:t>5</w:t>
      </w:r>
      <w:r w:rsidRPr="003726FE">
        <w:rPr>
          <w:lang w:val="en-GB"/>
        </w:rPr>
        <w:t xml:space="preserve">. Codebook – Student </w:t>
      </w:r>
      <w:r w:rsidR="00912749" w:rsidRPr="003726FE">
        <w:rPr>
          <w:lang w:val="en-GB"/>
        </w:rPr>
        <w:t>Focus Groups and Interviews</w:t>
      </w:r>
      <w:r w:rsidR="00B60A53" w:rsidRPr="003726FE">
        <w:rPr>
          <w:lang w:val="en-GB"/>
        </w:rPr>
        <w:t>.</w:t>
      </w:r>
      <w:bookmarkEnd w:id="1014"/>
    </w:p>
    <w:p w14:paraId="2C291C0B" w14:textId="77777777" w:rsidR="00071A48" w:rsidRPr="003726FE" w:rsidRDefault="00071A48" w:rsidP="00161436">
      <w:pPr>
        <w:pStyle w:val="CodebookTitle"/>
        <w:jc w:val="left"/>
        <w:rPr>
          <w:b/>
          <w:color w:val="auto"/>
          <w:sz w:val="24"/>
          <w:lang w:val="en-GB"/>
        </w:rPr>
      </w:pPr>
    </w:p>
    <w:tbl>
      <w:tblPr>
        <w:tblStyle w:val="NodesTable"/>
        <w:tblW w:w="4749" w:type="pct"/>
        <w:tblInd w:w="0" w:type="dxa"/>
        <w:tblLook w:val="0420" w:firstRow="1" w:lastRow="0" w:firstColumn="0" w:lastColumn="0" w:noHBand="0" w:noVBand="1"/>
      </w:tblPr>
      <w:tblGrid>
        <w:gridCol w:w="4029"/>
        <w:gridCol w:w="6715"/>
        <w:gridCol w:w="878"/>
        <w:gridCol w:w="1135"/>
      </w:tblGrid>
      <w:tr w:rsidR="00071A48" w:rsidRPr="003726FE" w14:paraId="46C480C3" w14:textId="77777777" w:rsidTr="004E781D">
        <w:trPr>
          <w:cnfStyle w:val="100000000000" w:firstRow="1" w:lastRow="0" w:firstColumn="0" w:lastColumn="0" w:oddVBand="0" w:evenVBand="0" w:oddHBand="0" w:evenHBand="0" w:firstRowFirstColumn="0" w:firstRowLastColumn="0" w:lastRowFirstColumn="0" w:lastRowLastColumn="0"/>
          <w:tblHeader/>
        </w:trPr>
        <w:tc>
          <w:tcPr>
            <w:tcW w:w="1579" w:type="pct"/>
          </w:tcPr>
          <w:p w14:paraId="0626C514" w14:textId="77777777" w:rsidR="00071A48" w:rsidRPr="003726FE" w:rsidRDefault="00071A48" w:rsidP="00071A48">
            <w:pPr>
              <w:pStyle w:val="TableHeader"/>
              <w:rPr>
                <w:lang w:val="en-GB"/>
              </w:rPr>
            </w:pPr>
            <w:r w:rsidRPr="003726FE">
              <w:rPr>
                <w:lang w:val="en-GB"/>
              </w:rPr>
              <w:t>Name</w:t>
            </w:r>
          </w:p>
        </w:tc>
        <w:tc>
          <w:tcPr>
            <w:tcW w:w="2632" w:type="pct"/>
          </w:tcPr>
          <w:p w14:paraId="18634A90" w14:textId="77777777" w:rsidR="00071A48" w:rsidRPr="003726FE" w:rsidRDefault="00071A48" w:rsidP="00071A48">
            <w:pPr>
              <w:pStyle w:val="TableHeader"/>
              <w:rPr>
                <w:lang w:val="en-GB"/>
              </w:rPr>
            </w:pPr>
            <w:r w:rsidRPr="003726FE">
              <w:rPr>
                <w:lang w:val="en-GB"/>
              </w:rPr>
              <w:t>Description</w:t>
            </w:r>
          </w:p>
        </w:tc>
        <w:tc>
          <w:tcPr>
            <w:tcW w:w="344" w:type="pct"/>
          </w:tcPr>
          <w:p w14:paraId="343035ED" w14:textId="77777777" w:rsidR="00071A48" w:rsidRPr="003726FE" w:rsidRDefault="00071A48" w:rsidP="00071A48">
            <w:pPr>
              <w:pStyle w:val="TableHeader"/>
              <w:rPr>
                <w:lang w:val="en-GB"/>
              </w:rPr>
            </w:pPr>
            <w:r w:rsidRPr="003726FE">
              <w:rPr>
                <w:lang w:val="en-GB"/>
              </w:rPr>
              <w:t>Sources</w:t>
            </w:r>
          </w:p>
        </w:tc>
        <w:tc>
          <w:tcPr>
            <w:tcW w:w="445" w:type="pct"/>
          </w:tcPr>
          <w:p w14:paraId="3891A71B" w14:textId="77777777" w:rsidR="00071A48" w:rsidRPr="003726FE" w:rsidRDefault="00071A48" w:rsidP="00071A48">
            <w:pPr>
              <w:pStyle w:val="TableHeader"/>
              <w:rPr>
                <w:lang w:val="en-GB"/>
              </w:rPr>
            </w:pPr>
            <w:r w:rsidRPr="003726FE">
              <w:rPr>
                <w:lang w:val="en-GB"/>
              </w:rPr>
              <w:t>References</w:t>
            </w:r>
          </w:p>
        </w:tc>
      </w:tr>
      <w:tr w:rsidR="00071A48" w:rsidRPr="003726FE" w14:paraId="2BFAC86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B8C9D64" w14:textId="77777777" w:rsidR="00071A48" w:rsidRPr="003726FE" w:rsidRDefault="00071A48" w:rsidP="00071A48">
            <w:pPr>
              <w:rPr>
                <w:b/>
                <w:lang w:val="en-GB"/>
              </w:rPr>
            </w:pPr>
            <w:r w:rsidRPr="003726FE">
              <w:rPr>
                <w:b/>
                <w:lang w:val="en-GB"/>
              </w:rPr>
              <w:t>Contextual and situational factors</w:t>
            </w:r>
          </w:p>
        </w:tc>
        <w:tc>
          <w:tcPr>
            <w:tcW w:w="2632" w:type="pct"/>
          </w:tcPr>
          <w:p w14:paraId="5C7EFC63" w14:textId="77777777" w:rsidR="00071A48" w:rsidRPr="003726FE" w:rsidRDefault="00071A48" w:rsidP="00071A48">
            <w:pPr>
              <w:rPr>
                <w:lang w:val="en-GB"/>
              </w:rPr>
            </w:pPr>
            <w:r w:rsidRPr="003726FE">
              <w:rPr>
                <w:lang w:val="en-GB"/>
              </w:rPr>
              <w:t>Instances where students describe influencing factors outside of themselves</w:t>
            </w:r>
          </w:p>
        </w:tc>
        <w:tc>
          <w:tcPr>
            <w:tcW w:w="344" w:type="pct"/>
          </w:tcPr>
          <w:p w14:paraId="0EA553EF" w14:textId="77777777" w:rsidR="00071A48" w:rsidRPr="003726FE" w:rsidRDefault="00071A48" w:rsidP="00071A48">
            <w:pPr>
              <w:pStyle w:val="RightAlign"/>
              <w:rPr>
                <w:lang w:val="en-GB"/>
              </w:rPr>
            </w:pPr>
            <w:r w:rsidRPr="003726FE">
              <w:rPr>
                <w:lang w:val="en-GB"/>
              </w:rPr>
              <w:t>22</w:t>
            </w:r>
          </w:p>
        </w:tc>
        <w:tc>
          <w:tcPr>
            <w:tcW w:w="445" w:type="pct"/>
          </w:tcPr>
          <w:p w14:paraId="7791B5DD" w14:textId="77777777" w:rsidR="00071A48" w:rsidRPr="003726FE" w:rsidRDefault="00071A48" w:rsidP="00071A48">
            <w:pPr>
              <w:pStyle w:val="RightAlign"/>
              <w:rPr>
                <w:lang w:val="en-GB"/>
              </w:rPr>
            </w:pPr>
            <w:r w:rsidRPr="003726FE">
              <w:rPr>
                <w:lang w:val="en-GB"/>
              </w:rPr>
              <w:t>132</w:t>
            </w:r>
          </w:p>
        </w:tc>
      </w:tr>
      <w:tr w:rsidR="00071A48" w:rsidRPr="003726FE" w14:paraId="604AFFE9"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EE737FD" w14:textId="77777777" w:rsidR="00071A48" w:rsidRPr="003726FE" w:rsidRDefault="00071A48" w:rsidP="00071A48">
            <w:pPr>
              <w:ind w:left="450"/>
              <w:rPr>
                <w:lang w:val="en-GB"/>
              </w:rPr>
            </w:pPr>
            <w:r w:rsidRPr="003726FE">
              <w:rPr>
                <w:lang w:val="en-GB"/>
              </w:rPr>
              <w:t>Simulation and authentic practice</w:t>
            </w:r>
          </w:p>
        </w:tc>
        <w:tc>
          <w:tcPr>
            <w:tcW w:w="2632" w:type="pct"/>
          </w:tcPr>
          <w:p w14:paraId="175BC891" w14:textId="77777777" w:rsidR="00071A48" w:rsidRPr="003726FE" w:rsidRDefault="00071A48" w:rsidP="00071A48">
            <w:pPr>
              <w:rPr>
                <w:lang w:val="en-GB"/>
              </w:rPr>
            </w:pPr>
            <w:r w:rsidRPr="003726FE">
              <w:rPr>
                <w:lang w:val="en-GB"/>
              </w:rPr>
              <w:t>The similarities and differences between simulated and authentic practice</w:t>
            </w:r>
          </w:p>
        </w:tc>
        <w:tc>
          <w:tcPr>
            <w:tcW w:w="344" w:type="pct"/>
          </w:tcPr>
          <w:p w14:paraId="372A2C7B" w14:textId="77777777" w:rsidR="00071A48" w:rsidRPr="003726FE" w:rsidRDefault="00071A48" w:rsidP="00071A48">
            <w:pPr>
              <w:pStyle w:val="RightAlign"/>
              <w:rPr>
                <w:lang w:val="en-GB"/>
              </w:rPr>
            </w:pPr>
            <w:r w:rsidRPr="003726FE">
              <w:rPr>
                <w:lang w:val="en-GB"/>
              </w:rPr>
              <w:t>14</w:t>
            </w:r>
          </w:p>
        </w:tc>
        <w:tc>
          <w:tcPr>
            <w:tcW w:w="445" w:type="pct"/>
          </w:tcPr>
          <w:p w14:paraId="67F9414C" w14:textId="77777777" w:rsidR="00071A48" w:rsidRPr="003726FE" w:rsidRDefault="00071A48" w:rsidP="00071A48">
            <w:pPr>
              <w:pStyle w:val="RightAlign"/>
              <w:rPr>
                <w:lang w:val="en-GB"/>
              </w:rPr>
            </w:pPr>
            <w:r w:rsidRPr="003726FE">
              <w:rPr>
                <w:lang w:val="en-GB"/>
              </w:rPr>
              <w:t>32</w:t>
            </w:r>
          </w:p>
        </w:tc>
      </w:tr>
      <w:tr w:rsidR="00071A48" w:rsidRPr="003726FE" w14:paraId="0FF952B1"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8487EC9" w14:textId="77777777" w:rsidR="00071A48" w:rsidRPr="003726FE" w:rsidRDefault="00071A48" w:rsidP="00071A48">
            <w:pPr>
              <w:ind w:left="450"/>
              <w:rPr>
                <w:lang w:val="en-GB"/>
              </w:rPr>
            </w:pPr>
            <w:r w:rsidRPr="003726FE">
              <w:rPr>
                <w:lang w:val="en-GB"/>
              </w:rPr>
              <w:t>social</w:t>
            </w:r>
          </w:p>
        </w:tc>
        <w:tc>
          <w:tcPr>
            <w:tcW w:w="2632" w:type="pct"/>
          </w:tcPr>
          <w:p w14:paraId="5034C97F" w14:textId="77777777" w:rsidR="00071A48" w:rsidRPr="003726FE" w:rsidRDefault="00071A48" w:rsidP="00071A48">
            <w:pPr>
              <w:rPr>
                <w:lang w:val="en-GB"/>
              </w:rPr>
            </w:pPr>
            <w:r w:rsidRPr="003726FE">
              <w:rPr>
                <w:lang w:val="en-GB"/>
              </w:rPr>
              <w:t>These include factors such as peer pressure or group influences on behaviour/perceptions</w:t>
            </w:r>
          </w:p>
        </w:tc>
        <w:tc>
          <w:tcPr>
            <w:tcW w:w="344" w:type="pct"/>
          </w:tcPr>
          <w:p w14:paraId="1422FD3C" w14:textId="77777777" w:rsidR="00071A48" w:rsidRPr="003726FE" w:rsidRDefault="00071A48" w:rsidP="00071A48">
            <w:pPr>
              <w:pStyle w:val="RightAlign"/>
              <w:rPr>
                <w:lang w:val="en-GB"/>
              </w:rPr>
            </w:pPr>
            <w:r w:rsidRPr="003726FE">
              <w:rPr>
                <w:lang w:val="en-GB"/>
              </w:rPr>
              <w:t>7</w:t>
            </w:r>
          </w:p>
        </w:tc>
        <w:tc>
          <w:tcPr>
            <w:tcW w:w="445" w:type="pct"/>
          </w:tcPr>
          <w:p w14:paraId="1D599016" w14:textId="77777777" w:rsidR="00071A48" w:rsidRPr="003726FE" w:rsidRDefault="00071A48" w:rsidP="00071A48">
            <w:pPr>
              <w:pStyle w:val="RightAlign"/>
              <w:rPr>
                <w:lang w:val="en-GB"/>
              </w:rPr>
            </w:pPr>
            <w:r w:rsidRPr="003726FE">
              <w:rPr>
                <w:lang w:val="en-GB"/>
              </w:rPr>
              <w:t>12</w:t>
            </w:r>
          </w:p>
        </w:tc>
      </w:tr>
      <w:tr w:rsidR="00071A48" w:rsidRPr="003726FE" w14:paraId="6243E41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AE61AB4" w14:textId="77777777" w:rsidR="00071A48" w:rsidRPr="003726FE" w:rsidRDefault="00071A48" w:rsidP="00071A48">
            <w:pPr>
              <w:ind w:left="450"/>
              <w:rPr>
                <w:lang w:val="en-GB"/>
              </w:rPr>
            </w:pPr>
            <w:r w:rsidRPr="003726FE">
              <w:rPr>
                <w:lang w:val="en-GB"/>
              </w:rPr>
              <w:t>transfer</w:t>
            </w:r>
          </w:p>
        </w:tc>
        <w:tc>
          <w:tcPr>
            <w:tcW w:w="2632" w:type="pct"/>
          </w:tcPr>
          <w:p w14:paraId="189B5365" w14:textId="77777777" w:rsidR="00071A48" w:rsidRPr="003726FE" w:rsidRDefault="00071A48" w:rsidP="00071A48">
            <w:pPr>
              <w:rPr>
                <w:lang w:val="en-GB"/>
              </w:rPr>
            </w:pPr>
            <w:r w:rsidRPr="003726FE">
              <w:rPr>
                <w:lang w:val="en-GB"/>
              </w:rPr>
              <w:t>How learning has or has not transferred over time</w:t>
            </w:r>
          </w:p>
        </w:tc>
        <w:tc>
          <w:tcPr>
            <w:tcW w:w="344" w:type="pct"/>
          </w:tcPr>
          <w:p w14:paraId="19DB01AA" w14:textId="77777777" w:rsidR="00071A48" w:rsidRPr="003726FE" w:rsidRDefault="00071A48" w:rsidP="00071A48">
            <w:pPr>
              <w:pStyle w:val="RightAlign"/>
              <w:rPr>
                <w:lang w:val="en-GB"/>
              </w:rPr>
            </w:pPr>
            <w:r w:rsidRPr="003726FE">
              <w:rPr>
                <w:lang w:val="en-GB"/>
              </w:rPr>
              <w:t>5</w:t>
            </w:r>
          </w:p>
        </w:tc>
        <w:tc>
          <w:tcPr>
            <w:tcW w:w="445" w:type="pct"/>
          </w:tcPr>
          <w:p w14:paraId="01DBA48A" w14:textId="77777777" w:rsidR="00071A48" w:rsidRPr="003726FE" w:rsidRDefault="00071A48" w:rsidP="00071A48">
            <w:pPr>
              <w:pStyle w:val="RightAlign"/>
              <w:rPr>
                <w:lang w:val="en-GB"/>
              </w:rPr>
            </w:pPr>
            <w:r w:rsidRPr="003726FE">
              <w:rPr>
                <w:lang w:val="en-GB"/>
              </w:rPr>
              <w:t>11</w:t>
            </w:r>
          </w:p>
        </w:tc>
      </w:tr>
      <w:tr w:rsidR="00071A48" w:rsidRPr="003726FE" w14:paraId="11B7EC92"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6191919B" w14:textId="77777777" w:rsidR="00071A48" w:rsidRPr="003726FE" w:rsidRDefault="00071A48" w:rsidP="00071A48">
            <w:pPr>
              <w:ind w:left="450"/>
              <w:rPr>
                <w:lang w:val="en-GB"/>
              </w:rPr>
            </w:pPr>
            <w:r w:rsidRPr="003726FE">
              <w:rPr>
                <w:lang w:val="en-GB"/>
              </w:rPr>
              <w:t>variability of placements</w:t>
            </w:r>
          </w:p>
        </w:tc>
        <w:tc>
          <w:tcPr>
            <w:tcW w:w="2632" w:type="pct"/>
          </w:tcPr>
          <w:p w14:paraId="288BDCF3" w14:textId="77777777" w:rsidR="00071A48" w:rsidRPr="003726FE" w:rsidRDefault="00071A48" w:rsidP="00071A48">
            <w:pPr>
              <w:rPr>
                <w:lang w:val="en-GB"/>
              </w:rPr>
            </w:pPr>
            <w:r w:rsidRPr="003726FE">
              <w:rPr>
                <w:lang w:val="en-GB"/>
              </w:rPr>
              <w:t>Differences identified between placement experiences</w:t>
            </w:r>
          </w:p>
        </w:tc>
        <w:tc>
          <w:tcPr>
            <w:tcW w:w="344" w:type="pct"/>
          </w:tcPr>
          <w:p w14:paraId="18A81080" w14:textId="77777777" w:rsidR="00071A48" w:rsidRPr="003726FE" w:rsidRDefault="00071A48" w:rsidP="00071A48">
            <w:pPr>
              <w:pStyle w:val="RightAlign"/>
              <w:rPr>
                <w:lang w:val="en-GB"/>
              </w:rPr>
            </w:pPr>
            <w:r w:rsidRPr="003726FE">
              <w:rPr>
                <w:lang w:val="en-GB"/>
              </w:rPr>
              <w:t>8</w:t>
            </w:r>
          </w:p>
        </w:tc>
        <w:tc>
          <w:tcPr>
            <w:tcW w:w="445" w:type="pct"/>
          </w:tcPr>
          <w:p w14:paraId="028DB726" w14:textId="77777777" w:rsidR="00071A48" w:rsidRPr="003726FE" w:rsidRDefault="00071A48" w:rsidP="00071A48">
            <w:pPr>
              <w:pStyle w:val="RightAlign"/>
              <w:rPr>
                <w:lang w:val="en-GB"/>
              </w:rPr>
            </w:pPr>
            <w:r w:rsidRPr="003726FE">
              <w:rPr>
                <w:lang w:val="en-GB"/>
              </w:rPr>
              <w:t>11</w:t>
            </w:r>
          </w:p>
        </w:tc>
      </w:tr>
      <w:tr w:rsidR="00071A48" w:rsidRPr="003726FE" w14:paraId="5C428291"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57FB669F" w14:textId="77777777" w:rsidR="00071A48" w:rsidRPr="003726FE" w:rsidRDefault="00071A48" w:rsidP="00071A48">
            <w:pPr>
              <w:ind w:left="450"/>
              <w:rPr>
                <w:lang w:val="en-GB"/>
              </w:rPr>
            </w:pPr>
            <w:r w:rsidRPr="003726FE">
              <w:rPr>
                <w:lang w:val="en-GB"/>
              </w:rPr>
              <w:t>Workplace culture</w:t>
            </w:r>
          </w:p>
        </w:tc>
        <w:tc>
          <w:tcPr>
            <w:tcW w:w="2632" w:type="pct"/>
          </w:tcPr>
          <w:p w14:paraId="629CBA7A" w14:textId="77777777" w:rsidR="00071A48" w:rsidRPr="003726FE" w:rsidRDefault="00071A48" w:rsidP="00071A48">
            <w:pPr>
              <w:rPr>
                <w:lang w:val="en-GB"/>
              </w:rPr>
            </w:pPr>
            <w:r w:rsidRPr="003726FE">
              <w:rPr>
                <w:lang w:val="en-GB"/>
              </w:rPr>
              <w:t>Descriptions of the workplace norms or expectations observed</w:t>
            </w:r>
          </w:p>
        </w:tc>
        <w:tc>
          <w:tcPr>
            <w:tcW w:w="344" w:type="pct"/>
          </w:tcPr>
          <w:p w14:paraId="31AAB68F" w14:textId="77777777" w:rsidR="00071A48" w:rsidRPr="003726FE" w:rsidRDefault="00071A48" w:rsidP="00071A48">
            <w:pPr>
              <w:pStyle w:val="RightAlign"/>
              <w:rPr>
                <w:lang w:val="en-GB"/>
              </w:rPr>
            </w:pPr>
            <w:r w:rsidRPr="003726FE">
              <w:rPr>
                <w:lang w:val="en-GB"/>
              </w:rPr>
              <w:t>21</w:t>
            </w:r>
          </w:p>
        </w:tc>
        <w:tc>
          <w:tcPr>
            <w:tcW w:w="445" w:type="pct"/>
          </w:tcPr>
          <w:p w14:paraId="7D2A566D" w14:textId="77777777" w:rsidR="00071A48" w:rsidRPr="003726FE" w:rsidRDefault="00071A48" w:rsidP="00071A48">
            <w:pPr>
              <w:pStyle w:val="RightAlign"/>
              <w:rPr>
                <w:lang w:val="en-GB"/>
              </w:rPr>
            </w:pPr>
            <w:r w:rsidRPr="003726FE">
              <w:rPr>
                <w:lang w:val="en-GB"/>
              </w:rPr>
              <w:t>63</w:t>
            </w:r>
          </w:p>
        </w:tc>
      </w:tr>
      <w:tr w:rsidR="00071A48" w:rsidRPr="003726FE" w14:paraId="28A010AE"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E97CEF6" w14:textId="77777777" w:rsidR="00071A48" w:rsidRPr="003726FE" w:rsidRDefault="00071A48" w:rsidP="00071A48">
            <w:pPr>
              <w:ind w:left="900"/>
              <w:rPr>
                <w:i/>
                <w:lang w:val="en-GB"/>
              </w:rPr>
            </w:pPr>
            <w:r w:rsidRPr="003726FE">
              <w:rPr>
                <w:i/>
                <w:lang w:val="en-GB"/>
              </w:rPr>
              <w:t>Integration</w:t>
            </w:r>
          </w:p>
        </w:tc>
        <w:tc>
          <w:tcPr>
            <w:tcW w:w="2632" w:type="pct"/>
          </w:tcPr>
          <w:p w14:paraId="20EBAEDA" w14:textId="77777777" w:rsidR="00071A48" w:rsidRPr="003726FE" w:rsidRDefault="00071A48" w:rsidP="00071A48">
            <w:pPr>
              <w:rPr>
                <w:lang w:val="en-GB"/>
              </w:rPr>
            </w:pPr>
            <w:r w:rsidRPr="003726FE">
              <w:rPr>
                <w:lang w:val="en-GB"/>
              </w:rPr>
              <w:t>Integration into the care team or ward environment</w:t>
            </w:r>
          </w:p>
        </w:tc>
        <w:tc>
          <w:tcPr>
            <w:tcW w:w="344" w:type="pct"/>
          </w:tcPr>
          <w:p w14:paraId="0C9FA1DD" w14:textId="77777777" w:rsidR="00071A48" w:rsidRPr="003726FE" w:rsidRDefault="00071A48" w:rsidP="00071A48">
            <w:pPr>
              <w:pStyle w:val="RightAlign"/>
              <w:rPr>
                <w:lang w:val="en-GB"/>
              </w:rPr>
            </w:pPr>
            <w:r w:rsidRPr="003726FE">
              <w:rPr>
                <w:lang w:val="en-GB"/>
              </w:rPr>
              <w:t>6</w:t>
            </w:r>
          </w:p>
        </w:tc>
        <w:tc>
          <w:tcPr>
            <w:tcW w:w="445" w:type="pct"/>
          </w:tcPr>
          <w:p w14:paraId="63114565" w14:textId="77777777" w:rsidR="00071A48" w:rsidRPr="003726FE" w:rsidRDefault="00071A48" w:rsidP="00071A48">
            <w:pPr>
              <w:pStyle w:val="RightAlign"/>
              <w:rPr>
                <w:lang w:val="en-GB"/>
              </w:rPr>
            </w:pPr>
            <w:r w:rsidRPr="003726FE">
              <w:rPr>
                <w:lang w:val="en-GB"/>
              </w:rPr>
              <w:t>8</w:t>
            </w:r>
          </w:p>
        </w:tc>
      </w:tr>
      <w:tr w:rsidR="00071A48" w:rsidRPr="003726FE" w14:paraId="225069C0"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7826104" w14:textId="77777777" w:rsidR="00071A48" w:rsidRPr="003726FE" w:rsidRDefault="00071A48" w:rsidP="00071A48">
            <w:pPr>
              <w:rPr>
                <w:b/>
                <w:lang w:val="en-GB"/>
              </w:rPr>
            </w:pPr>
            <w:r w:rsidRPr="003726FE">
              <w:rPr>
                <w:b/>
                <w:lang w:val="en-GB"/>
              </w:rPr>
              <w:t>Peers</w:t>
            </w:r>
          </w:p>
        </w:tc>
        <w:tc>
          <w:tcPr>
            <w:tcW w:w="2632" w:type="pct"/>
          </w:tcPr>
          <w:p w14:paraId="6FD0A054" w14:textId="77777777" w:rsidR="00071A48" w:rsidRPr="003726FE" w:rsidRDefault="00071A48" w:rsidP="00071A48">
            <w:pPr>
              <w:rPr>
                <w:lang w:val="en-GB"/>
              </w:rPr>
            </w:pPr>
            <w:r w:rsidRPr="003726FE">
              <w:rPr>
                <w:lang w:val="en-GB"/>
              </w:rPr>
              <w:t>Any reference to peers</w:t>
            </w:r>
          </w:p>
        </w:tc>
        <w:tc>
          <w:tcPr>
            <w:tcW w:w="344" w:type="pct"/>
          </w:tcPr>
          <w:p w14:paraId="31A3BA77" w14:textId="77777777" w:rsidR="00071A48" w:rsidRPr="003726FE" w:rsidRDefault="00071A48" w:rsidP="00071A48">
            <w:pPr>
              <w:pStyle w:val="RightAlign"/>
              <w:rPr>
                <w:lang w:val="en-GB"/>
              </w:rPr>
            </w:pPr>
            <w:r w:rsidRPr="003726FE">
              <w:rPr>
                <w:lang w:val="en-GB"/>
              </w:rPr>
              <w:t>22</w:t>
            </w:r>
          </w:p>
        </w:tc>
        <w:tc>
          <w:tcPr>
            <w:tcW w:w="445" w:type="pct"/>
          </w:tcPr>
          <w:p w14:paraId="71353C1F" w14:textId="77777777" w:rsidR="00071A48" w:rsidRPr="003726FE" w:rsidRDefault="00071A48" w:rsidP="00071A48">
            <w:pPr>
              <w:pStyle w:val="RightAlign"/>
              <w:rPr>
                <w:lang w:val="en-GB"/>
              </w:rPr>
            </w:pPr>
            <w:r w:rsidRPr="003726FE">
              <w:rPr>
                <w:lang w:val="en-GB"/>
              </w:rPr>
              <w:t>103</w:t>
            </w:r>
          </w:p>
        </w:tc>
      </w:tr>
      <w:tr w:rsidR="00071A48" w:rsidRPr="003726FE" w14:paraId="6D57F11B"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01F5A13A" w14:textId="77777777" w:rsidR="00071A48" w:rsidRPr="003726FE" w:rsidRDefault="00071A48" w:rsidP="00071A48">
            <w:pPr>
              <w:ind w:left="450"/>
              <w:rPr>
                <w:lang w:val="en-GB"/>
              </w:rPr>
            </w:pPr>
            <w:r w:rsidRPr="003726FE">
              <w:rPr>
                <w:lang w:val="en-GB"/>
              </w:rPr>
              <w:t>Different experience to peers</w:t>
            </w:r>
          </w:p>
        </w:tc>
        <w:tc>
          <w:tcPr>
            <w:tcW w:w="2632" w:type="pct"/>
          </w:tcPr>
          <w:p w14:paraId="4736E392" w14:textId="77777777" w:rsidR="00071A48" w:rsidRPr="003726FE" w:rsidRDefault="00071A48" w:rsidP="00071A48">
            <w:pPr>
              <w:rPr>
                <w:lang w:val="en-GB"/>
              </w:rPr>
            </w:pPr>
            <w:r w:rsidRPr="003726FE">
              <w:rPr>
                <w:lang w:val="en-GB"/>
              </w:rPr>
              <w:t>When students identified differing placement experiences to their immediate placement group colleagues (not those on other placements)</w:t>
            </w:r>
          </w:p>
        </w:tc>
        <w:tc>
          <w:tcPr>
            <w:tcW w:w="344" w:type="pct"/>
          </w:tcPr>
          <w:p w14:paraId="1FC5260B" w14:textId="77777777" w:rsidR="00071A48" w:rsidRPr="003726FE" w:rsidRDefault="00071A48" w:rsidP="00071A48">
            <w:pPr>
              <w:pStyle w:val="RightAlign"/>
              <w:rPr>
                <w:lang w:val="en-GB"/>
              </w:rPr>
            </w:pPr>
            <w:r w:rsidRPr="003726FE">
              <w:rPr>
                <w:lang w:val="en-GB"/>
              </w:rPr>
              <w:t>10</w:t>
            </w:r>
          </w:p>
        </w:tc>
        <w:tc>
          <w:tcPr>
            <w:tcW w:w="445" w:type="pct"/>
          </w:tcPr>
          <w:p w14:paraId="695141D8" w14:textId="77777777" w:rsidR="00071A48" w:rsidRPr="003726FE" w:rsidRDefault="00071A48" w:rsidP="00071A48">
            <w:pPr>
              <w:pStyle w:val="RightAlign"/>
              <w:rPr>
                <w:lang w:val="en-GB"/>
              </w:rPr>
            </w:pPr>
            <w:r w:rsidRPr="003726FE">
              <w:rPr>
                <w:lang w:val="en-GB"/>
              </w:rPr>
              <w:t>10</w:t>
            </w:r>
          </w:p>
        </w:tc>
      </w:tr>
      <w:tr w:rsidR="00071A48" w:rsidRPr="003726FE" w14:paraId="1283B9A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1C97964" w14:textId="77777777" w:rsidR="00071A48" w:rsidRPr="003726FE" w:rsidRDefault="00071A48" w:rsidP="00071A48">
            <w:pPr>
              <w:ind w:left="450"/>
              <w:rPr>
                <w:lang w:val="en-GB"/>
              </w:rPr>
            </w:pPr>
            <w:r w:rsidRPr="003726FE">
              <w:rPr>
                <w:lang w:val="en-GB"/>
              </w:rPr>
              <w:t>Peer experiences</w:t>
            </w:r>
          </w:p>
        </w:tc>
        <w:tc>
          <w:tcPr>
            <w:tcW w:w="2632" w:type="pct"/>
          </w:tcPr>
          <w:p w14:paraId="0942D06A" w14:textId="77777777" w:rsidR="00071A48" w:rsidRPr="003726FE" w:rsidRDefault="00071A48" w:rsidP="00071A48">
            <w:pPr>
              <w:rPr>
                <w:lang w:val="en-GB"/>
              </w:rPr>
            </w:pPr>
            <w:r w:rsidRPr="003726FE">
              <w:rPr>
                <w:lang w:val="en-GB"/>
              </w:rPr>
              <w:t>Experiences of peer learning, usually explicit examples of this</w:t>
            </w:r>
          </w:p>
        </w:tc>
        <w:tc>
          <w:tcPr>
            <w:tcW w:w="344" w:type="pct"/>
          </w:tcPr>
          <w:p w14:paraId="6342393D" w14:textId="77777777" w:rsidR="00071A48" w:rsidRPr="003726FE" w:rsidRDefault="00071A48" w:rsidP="00071A48">
            <w:pPr>
              <w:pStyle w:val="RightAlign"/>
              <w:rPr>
                <w:lang w:val="en-GB"/>
              </w:rPr>
            </w:pPr>
            <w:r w:rsidRPr="003726FE">
              <w:rPr>
                <w:lang w:val="en-GB"/>
              </w:rPr>
              <w:t>21</w:t>
            </w:r>
          </w:p>
        </w:tc>
        <w:tc>
          <w:tcPr>
            <w:tcW w:w="445" w:type="pct"/>
          </w:tcPr>
          <w:p w14:paraId="7E9AC4FA" w14:textId="77777777" w:rsidR="00071A48" w:rsidRPr="003726FE" w:rsidRDefault="00071A48" w:rsidP="00071A48">
            <w:pPr>
              <w:pStyle w:val="RightAlign"/>
              <w:rPr>
                <w:lang w:val="en-GB"/>
              </w:rPr>
            </w:pPr>
            <w:r w:rsidRPr="003726FE">
              <w:rPr>
                <w:lang w:val="en-GB"/>
              </w:rPr>
              <w:t>33</w:t>
            </w:r>
          </w:p>
        </w:tc>
      </w:tr>
      <w:tr w:rsidR="00071A48" w:rsidRPr="003726FE" w14:paraId="2A14570E"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62755DC8" w14:textId="77777777" w:rsidR="00071A48" w:rsidRPr="003726FE" w:rsidRDefault="00071A48" w:rsidP="00071A48">
            <w:pPr>
              <w:ind w:left="450"/>
              <w:rPr>
                <w:lang w:val="en-GB"/>
              </w:rPr>
            </w:pPr>
            <w:r w:rsidRPr="003726FE">
              <w:rPr>
                <w:lang w:val="en-GB"/>
              </w:rPr>
              <w:lastRenderedPageBreak/>
              <w:t>peer feedback</w:t>
            </w:r>
          </w:p>
        </w:tc>
        <w:tc>
          <w:tcPr>
            <w:tcW w:w="2632" w:type="pct"/>
          </w:tcPr>
          <w:p w14:paraId="4B9BAB01" w14:textId="77777777" w:rsidR="00071A48" w:rsidRPr="003726FE" w:rsidRDefault="00071A48" w:rsidP="00071A48">
            <w:pPr>
              <w:rPr>
                <w:lang w:val="en-GB"/>
              </w:rPr>
            </w:pPr>
            <w:r w:rsidRPr="003726FE">
              <w:rPr>
                <w:lang w:val="en-GB"/>
              </w:rPr>
              <w:t>References to specific peer feedback experiences or perceptions of peer feedback</w:t>
            </w:r>
          </w:p>
        </w:tc>
        <w:tc>
          <w:tcPr>
            <w:tcW w:w="344" w:type="pct"/>
          </w:tcPr>
          <w:p w14:paraId="2DFC2E0A" w14:textId="77777777" w:rsidR="00071A48" w:rsidRPr="003726FE" w:rsidRDefault="00071A48" w:rsidP="00071A48">
            <w:pPr>
              <w:pStyle w:val="RightAlign"/>
              <w:rPr>
                <w:lang w:val="en-GB"/>
              </w:rPr>
            </w:pPr>
            <w:r w:rsidRPr="003726FE">
              <w:rPr>
                <w:lang w:val="en-GB"/>
              </w:rPr>
              <w:t>20</w:t>
            </w:r>
          </w:p>
        </w:tc>
        <w:tc>
          <w:tcPr>
            <w:tcW w:w="445" w:type="pct"/>
          </w:tcPr>
          <w:p w14:paraId="3E7F05F5" w14:textId="77777777" w:rsidR="00071A48" w:rsidRPr="003726FE" w:rsidRDefault="00071A48" w:rsidP="00071A48">
            <w:pPr>
              <w:pStyle w:val="RightAlign"/>
              <w:rPr>
                <w:lang w:val="en-GB"/>
              </w:rPr>
            </w:pPr>
            <w:r w:rsidRPr="003726FE">
              <w:rPr>
                <w:lang w:val="en-GB"/>
              </w:rPr>
              <w:t>38</w:t>
            </w:r>
          </w:p>
        </w:tc>
      </w:tr>
      <w:tr w:rsidR="00071A48" w:rsidRPr="003726FE" w14:paraId="695F8785"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95C7FC3" w14:textId="77777777" w:rsidR="00071A48" w:rsidRPr="003726FE" w:rsidRDefault="00071A48" w:rsidP="00071A48">
            <w:pPr>
              <w:ind w:left="450"/>
              <w:rPr>
                <w:lang w:val="en-GB"/>
              </w:rPr>
            </w:pPr>
            <w:r w:rsidRPr="003726FE">
              <w:rPr>
                <w:lang w:val="en-GB"/>
              </w:rPr>
              <w:t>Practicing with peers</w:t>
            </w:r>
          </w:p>
        </w:tc>
        <w:tc>
          <w:tcPr>
            <w:tcW w:w="2632" w:type="pct"/>
          </w:tcPr>
          <w:p w14:paraId="1C9E4737" w14:textId="77777777" w:rsidR="00071A48" w:rsidRPr="003726FE" w:rsidRDefault="00071A48" w:rsidP="00071A48">
            <w:pPr>
              <w:rPr>
                <w:lang w:val="en-GB"/>
              </w:rPr>
            </w:pPr>
            <w:r w:rsidRPr="003726FE">
              <w:rPr>
                <w:lang w:val="en-GB"/>
              </w:rPr>
              <w:t>Practicing examination material with peers</w:t>
            </w:r>
          </w:p>
        </w:tc>
        <w:tc>
          <w:tcPr>
            <w:tcW w:w="344" w:type="pct"/>
          </w:tcPr>
          <w:p w14:paraId="7F1EC79E" w14:textId="77777777" w:rsidR="00071A48" w:rsidRPr="003726FE" w:rsidRDefault="00071A48" w:rsidP="00071A48">
            <w:pPr>
              <w:pStyle w:val="RightAlign"/>
              <w:rPr>
                <w:lang w:val="en-GB"/>
              </w:rPr>
            </w:pPr>
            <w:r w:rsidRPr="003726FE">
              <w:rPr>
                <w:lang w:val="en-GB"/>
              </w:rPr>
              <w:t>13</w:t>
            </w:r>
          </w:p>
        </w:tc>
        <w:tc>
          <w:tcPr>
            <w:tcW w:w="445" w:type="pct"/>
          </w:tcPr>
          <w:p w14:paraId="5ADCF2E8" w14:textId="77777777" w:rsidR="00071A48" w:rsidRPr="003726FE" w:rsidRDefault="00071A48" w:rsidP="00071A48">
            <w:pPr>
              <w:pStyle w:val="RightAlign"/>
              <w:rPr>
                <w:lang w:val="en-GB"/>
              </w:rPr>
            </w:pPr>
            <w:r w:rsidRPr="003726FE">
              <w:rPr>
                <w:lang w:val="en-GB"/>
              </w:rPr>
              <w:t>14</w:t>
            </w:r>
          </w:p>
        </w:tc>
      </w:tr>
      <w:tr w:rsidR="00071A48" w:rsidRPr="003726FE" w14:paraId="33A3A674"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10DEDFF9" w14:textId="77777777" w:rsidR="00071A48" w:rsidRPr="003726FE" w:rsidRDefault="00071A48" w:rsidP="00071A48">
            <w:pPr>
              <w:ind w:left="450"/>
              <w:rPr>
                <w:lang w:val="en-GB"/>
              </w:rPr>
            </w:pPr>
            <w:r w:rsidRPr="003726FE">
              <w:rPr>
                <w:lang w:val="en-GB"/>
              </w:rPr>
              <w:t>similar experience to peers</w:t>
            </w:r>
          </w:p>
        </w:tc>
        <w:tc>
          <w:tcPr>
            <w:tcW w:w="2632" w:type="pct"/>
          </w:tcPr>
          <w:p w14:paraId="51430116" w14:textId="77777777" w:rsidR="00071A48" w:rsidRPr="003726FE" w:rsidRDefault="00071A48" w:rsidP="00071A48">
            <w:pPr>
              <w:rPr>
                <w:lang w:val="en-GB"/>
              </w:rPr>
            </w:pPr>
            <w:r w:rsidRPr="003726FE">
              <w:rPr>
                <w:lang w:val="en-GB"/>
              </w:rPr>
              <w:t>When students identify their experiences on placement with their placement colleagues</w:t>
            </w:r>
          </w:p>
        </w:tc>
        <w:tc>
          <w:tcPr>
            <w:tcW w:w="344" w:type="pct"/>
          </w:tcPr>
          <w:p w14:paraId="128D9A96" w14:textId="77777777" w:rsidR="00071A48" w:rsidRPr="003726FE" w:rsidRDefault="00071A48" w:rsidP="00071A48">
            <w:pPr>
              <w:pStyle w:val="RightAlign"/>
              <w:rPr>
                <w:lang w:val="en-GB"/>
              </w:rPr>
            </w:pPr>
            <w:r w:rsidRPr="003726FE">
              <w:rPr>
                <w:lang w:val="en-GB"/>
              </w:rPr>
              <w:t>7</w:t>
            </w:r>
          </w:p>
        </w:tc>
        <w:tc>
          <w:tcPr>
            <w:tcW w:w="445" w:type="pct"/>
          </w:tcPr>
          <w:p w14:paraId="5D702E0E" w14:textId="77777777" w:rsidR="00071A48" w:rsidRPr="003726FE" w:rsidRDefault="00071A48" w:rsidP="00071A48">
            <w:pPr>
              <w:pStyle w:val="RightAlign"/>
              <w:rPr>
                <w:lang w:val="en-GB"/>
              </w:rPr>
            </w:pPr>
            <w:r w:rsidRPr="003726FE">
              <w:rPr>
                <w:lang w:val="en-GB"/>
              </w:rPr>
              <w:t>8</w:t>
            </w:r>
          </w:p>
        </w:tc>
      </w:tr>
      <w:tr w:rsidR="00071A48" w:rsidRPr="003726FE" w14:paraId="04D4C482"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835820A" w14:textId="77777777" w:rsidR="00071A48" w:rsidRPr="003726FE" w:rsidRDefault="00071A48" w:rsidP="00071A48">
            <w:pPr>
              <w:rPr>
                <w:b/>
                <w:lang w:val="en-GB"/>
              </w:rPr>
            </w:pPr>
            <w:r w:rsidRPr="003726FE">
              <w:rPr>
                <w:b/>
                <w:lang w:val="en-GB"/>
              </w:rPr>
              <w:t>Personal factors</w:t>
            </w:r>
          </w:p>
        </w:tc>
        <w:tc>
          <w:tcPr>
            <w:tcW w:w="2632" w:type="pct"/>
          </w:tcPr>
          <w:p w14:paraId="27CA8191" w14:textId="77777777" w:rsidR="00071A48" w:rsidRPr="003726FE" w:rsidRDefault="00071A48" w:rsidP="00071A48">
            <w:pPr>
              <w:rPr>
                <w:lang w:val="en-GB"/>
              </w:rPr>
            </w:pPr>
            <w:r w:rsidRPr="003726FE">
              <w:rPr>
                <w:lang w:val="en-GB"/>
              </w:rPr>
              <w:t>Factors associated with individualised motivations or behaviours</w:t>
            </w:r>
          </w:p>
        </w:tc>
        <w:tc>
          <w:tcPr>
            <w:tcW w:w="344" w:type="pct"/>
          </w:tcPr>
          <w:p w14:paraId="1ED9598A" w14:textId="77777777" w:rsidR="00071A48" w:rsidRPr="003726FE" w:rsidRDefault="00071A48" w:rsidP="00071A48">
            <w:pPr>
              <w:pStyle w:val="RightAlign"/>
              <w:rPr>
                <w:lang w:val="en-GB"/>
              </w:rPr>
            </w:pPr>
            <w:r w:rsidRPr="003726FE">
              <w:rPr>
                <w:lang w:val="en-GB"/>
              </w:rPr>
              <w:t>23</w:t>
            </w:r>
          </w:p>
        </w:tc>
        <w:tc>
          <w:tcPr>
            <w:tcW w:w="445" w:type="pct"/>
          </w:tcPr>
          <w:p w14:paraId="134CD003" w14:textId="77777777" w:rsidR="00071A48" w:rsidRPr="003726FE" w:rsidRDefault="00071A48" w:rsidP="00071A48">
            <w:pPr>
              <w:pStyle w:val="RightAlign"/>
              <w:rPr>
                <w:lang w:val="en-GB"/>
              </w:rPr>
            </w:pPr>
            <w:r w:rsidRPr="003726FE">
              <w:rPr>
                <w:lang w:val="en-GB"/>
              </w:rPr>
              <w:t>181</w:t>
            </w:r>
          </w:p>
        </w:tc>
      </w:tr>
      <w:tr w:rsidR="00071A48" w:rsidRPr="003726FE" w14:paraId="7C7C7BBA"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183524A" w14:textId="77777777" w:rsidR="00071A48" w:rsidRPr="003726FE" w:rsidRDefault="00071A48" w:rsidP="00071A48">
            <w:pPr>
              <w:ind w:left="450"/>
              <w:rPr>
                <w:lang w:val="en-GB"/>
              </w:rPr>
            </w:pPr>
            <w:r w:rsidRPr="003726FE">
              <w:rPr>
                <w:lang w:val="en-GB"/>
              </w:rPr>
              <w:t>giving feedback to others</w:t>
            </w:r>
          </w:p>
        </w:tc>
        <w:tc>
          <w:tcPr>
            <w:tcW w:w="2632" w:type="pct"/>
          </w:tcPr>
          <w:p w14:paraId="55F8E162" w14:textId="77777777" w:rsidR="00071A48" w:rsidRPr="003726FE" w:rsidRDefault="00071A48" w:rsidP="00071A48">
            <w:pPr>
              <w:rPr>
                <w:lang w:val="en-GB"/>
              </w:rPr>
            </w:pPr>
            <w:r w:rsidRPr="003726FE">
              <w:rPr>
                <w:lang w:val="en-GB"/>
              </w:rPr>
              <w:t>Any occasion where the individual students gives feedback</w:t>
            </w:r>
          </w:p>
        </w:tc>
        <w:tc>
          <w:tcPr>
            <w:tcW w:w="344" w:type="pct"/>
          </w:tcPr>
          <w:p w14:paraId="47EB5A39" w14:textId="77777777" w:rsidR="00071A48" w:rsidRPr="003726FE" w:rsidRDefault="00071A48" w:rsidP="00071A48">
            <w:pPr>
              <w:pStyle w:val="RightAlign"/>
              <w:rPr>
                <w:lang w:val="en-GB"/>
              </w:rPr>
            </w:pPr>
            <w:r w:rsidRPr="003726FE">
              <w:rPr>
                <w:lang w:val="en-GB"/>
              </w:rPr>
              <w:t>5</w:t>
            </w:r>
          </w:p>
        </w:tc>
        <w:tc>
          <w:tcPr>
            <w:tcW w:w="445" w:type="pct"/>
          </w:tcPr>
          <w:p w14:paraId="2AF10C95" w14:textId="77777777" w:rsidR="00071A48" w:rsidRPr="003726FE" w:rsidRDefault="00071A48" w:rsidP="00071A48">
            <w:pPr>
              <w:pStyle w:val="RightAlign"/>
              <w:rPr>
                <w:lang w:val="en-GB"/>
              </w:rPr>
            </w:pPr>
            <w:r w:rsidRPr="003726FE">
              <w:rPr>
                <w:lang w:val="en-GB"/>
              </w:rPr>
              <w:t>6</w:t>
            </w:r>
          </w:p>
        </w:tc>
      </w:tr>
      <w:tr w:rsidR="00071A48" w:rsidRPr="003726FE" w14:paraId="14A9E732"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EA39956" w14:textId="77777777" w:rsidR="00071A48" w:rsidRPr="003726FE" w:rsidRDefault="00071A48" w:rsidP="00071A48">
            <w:pPr>
              <w:ind w:left="450"/>
              <w:rPr>
                <w:lang w:val="en-GB"/>
              </w:rPr>
            </w:pPr>
            <w:r w:rsidRPr="003726FE">
              <w:rPr>
                <w:lang w:val="en-GB"/>
              </w:rPr>
              <w:t>Independence</w:t>
            </w:r>
          </w:p>
        </w:tc>
        <w:tc>
          <w:tcPr>
            <w:tcW w:w="2632" w:type="pct"/>
          </w:tcPr>
          <w:p w14:paraId="753E615D" w14:textId="77777777" w:rsidR="00071A48" w:rsidRPr="003726FE" w:rsidRDefault="00071A48" w:rsidP="00071A48">
            <w:pPr>
              <w:rPr>
                <w:lang w:val="en-GB"/>
              </w:rPr>
            </w:pPr>
            <w:r w:rsidRPr="003726FE">
              <w:rPr>
                <w:lang w:val="en-GB"/>
              </w:rPr>
              <w:t>Read self-directed. References to self-determined activities with little to no outside guidance</w:t>
            </w:r>
          </w:p>
        </w:tc>
        <w:tc>
          <w:tcPr>
            <w:tcW w:w="344" w:type="pct"/>
          </w:tcPr>
          <w:p w14:paraId="752A26EA" w14:textId="77777777" w:rsidR="00071A48" w:rsidRPr="003726FE" w:rsidRDefault="00071A48" w:rsidP="00071A48">
            <w:pPr>
              <w:pStyle w:val="RightAlign"/>
              <w:rPr>
                <w:lang w:val="en-GB"/>
              </w:rPr>
            </w:pPr>
            <w:r w:rsidRPr="003726FE">
              <w:rPr>
                <w:lang w:val="en-GB"/>
              </w:rPr>
              <w:t>18</w:t>
            </w:r>
          </w:p>
        </w:tc>
        <w:tc>
          <w:tcPr>
            <w:tcW w:w="445" w:type="pct"/>
          </w:tcPr>
          <w:p w14:paraId="6D23E234" w14:textId="77777777" w:rsidR="00071A48" w:rsidRPr="003726FE" w:rsidRDefault="00071A48" w:rsidP="00071A48">
            <w:pPr>
              <w:pStyle w:val="RightAlign"/>
              <w:rPr>
                <w:lang w:val="en-GB"/>
              </w:rPr>
            </w:pPr>
            <w:r w:rsidRPr="003726FE">
              <w:rPr>
                <w:lang w:val="en-GB"/>
              </w:rPr>
              <w:t>37</w:t>
            </w:r>
          </w:p>
        </w:tc>
      </w:tr>
      <w:tr w:rsidR="00071A48" w:rsidRPr="003726FE" w14:paraId="0305B4D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551717D8" w14:textId="77777777" w:rsidR="00071A48" w:rsidRPr="003726FE" w:rsidRDefault="00071A48" w:rsidP="00071A48">
            <w:pPr>
              <w:ind w:left="450"/>
              <w:rPr>
                <w:lang w:val="en-GB"/>
              </w:rPr>
            </w:pPr>
            <w:r w:rsidRPr="003726FE">
              <w:rPr>
                <w:lang w:val="en-GB"/>
              </w:rPr>
              <w:t>Learning priorities</w:t>
            </w:r>
          </w:p>
        </w:tc>
        <w:tc>
          <w:tcPr>
            <w:tcW w:w="2632" w:type="pct"/>
          </w:tcPr>
          <w:p w14:paraId="71FA9986" w14:textId="77777777" w:rsidR="00071A48" w:rsidRPr="003726FE" w:rsidRDefault="00071A48" w:rsidP="00071A48">
            <w:pPr>
              <w:rPr>
                <w:lang w:val="en-GB"/>
              </w:rPr>
            </w:pPr>
            <w:r w:rsidRPr="003726FE">
              <w:rPr>
                <w:lang w:val="en-GB"/>
              </w:rPr>
              <w:t>How students prioritise certain learning goals and the actions they take to satisfy them</w:t>
            </w:r>
          </w:p>
        </w:tc>
        <w:tc>
          <w:tcPr>
            <w:tcW w:w="344" w:type="pct"/>
          </w:tcPr>
          <w:p w14:paraId="35E0A4A3" w14:textId="77777777" w:rsidR="00071A48" w:rsidRPr="003726FE" w:rsidRDefault="00071A48" w:rsidP="00071A48">
            <w:pPr>
              <w:pStyle w:val="RightAlign"/>
              <w:rPr>
                <w:lang w:val="en-GB"/>
              </w:rPr>
            </w:pPr>
            <w:r w:rsidRPr="003726FE">
              <w:rPr>
                <w:lang w:val="en-GB"/>
              </w:rPr>
              <w:t>23</w:t>
            </w:r>
          </w:p>
        </w:tc>
        <w:tc>
          <w:tcPr>
            <w:tcW w:w="445" w:type="pct"/>
          </w:tcPr>
          <w:p w14:paraId="0618DDE8" w14:textId="77777777" w:rsidR="00071A48" w:rsidRPr="003726FE" w:rsidRDefault="00071A48" w:rsidP="00071A48">
            <w:pPr>
              <w:pStyle w:val="RightAlign"/>
              <w:rPr>
                <w:lang w:val="en-GB"/>
              </w:rPr>
            </w:pPr>
            <w:r w:rsidRPr="003726FE">
              <w:rPr>
                <w:lang w:val="en-GB"/>
              </w:rPr>
              <w:t>97</w:t>
            </w:r>
          </w:p>
        </w:tc>
      </w:tr>
      <w:tr w:rsidR="00071A48" w:rsidRPr="003726FE" w14:paraId="623EDDA0"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CF798B7" w14:textId="77777777" w:rsidR="00071A48" w:rsidRPr="003726FE" w:rsidRDefault="00071A48" w:rsidP="00071A48">
            <w:pPr>
              <w:ind w:left="900"/>
              <w:rPr>
                <w:i/>
                <w:lang w:val="en-GB"/>
              </w:rPr>
            </w:pPr>
            <w:r w:rsidRPr="003726FE">
              <w:rPr>
                <w:i/>
                <w:lang w:val="en-GB"/>
              </w:rPr>
              <w:t>Exams</w:t>
            </w:r>
          </w:p>
        </w:tc>
        <w:tc>
          <w:tcPr>
            <w:tcW w:w="2632" w:type="pct"/>
          </w:tcPr>
          <w:p w14:paraId="11AA5A96" w14:textId="77777777" w:rsidR="00071A48" w:rsidRPr="003726FE" w:rsidRDefault="00071A48" w:rsidP="00071A48">
            <w:pPr>
              <w:rPr>
                <w:lang w:val="en-GB"/>
              </w:rPr>
            </w:pPr>
            <w:r w:rsidRPr="003726FE">
              <w:rPr>
                <w:lang w:val="en-GB"/>
              </w:rPr>
              <w:t>Any reference to formal examinations (not to be confused with clinical skills examinations e.g. abdominal examination)</w:t>
            </w:r>
          </w:p>
        </w:tc>
        <w:tc>
          <w:tcPr>
            <w:tcW w:w="344" w:type="pct"/>
          </w:tcPr>
          <w:p w14:paraId="4F61D624" w14:textId="77777777" w:rsidR="00071A48" w:rsidRPr="003726FE" w:rsidRDefault="00071A48" w:rsidP="00071A48">
            <w:pPr>
              <w:pStyle w:val="RightAlign"/>
              <w:rPr>
                <w:lang w:val="en-GB"/>
              </w:rPr>
            </w:pPr>
            <w:r w:rsidRPr="003726FE">
              <w:rPr>
                <w:lang w:val="en-GB"/>
              </w:rPr>
              <w:t>18</w:t>
            </w:r>
          </w:p>
        </w:tc>
        <w:tc>
          <w:tcPr>
            <w:tcW w:w="445" w:type="pct"/>
          </w:tcPr>
          <w:p w14:paraId="776113BB" w14:textId="77777777" w:rsidR="00071A48" w:rsidRPr="003726FE" w:rsidRDefault="00071A48" w:rsidP="00071A48">
            <w:pPr>
              <w:pStyle w:val="RightAlign"/>
              <w:rPr>
                <w:lang w:val="en-GB"/>
              </w:rPr>
            </w:pPr>
            <w:r w:rsidRPr="003726FE">
              <w:rPr>
                <w:lang w:val="en-GB"/>
              </w:rPr>
              <w:t>41</w:t>
            </w:r>
          </w:p>
        </w:tc>
      </w:tr>
      <w:tr w:rsidR="00071A48" w:rsidRPr="003726FE" w14:paraId="0DDD18C7"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0C92429" w14:textId="77777777" w:rsidR="00071A48" w:rsidRPr="003726FE" w:rsidRDefault="00071A48" w:rsidP="00071A48">
            <w:pPr>
              <w:ind w:left="450"/>
              <w:rPr>
                <w:lang w:val="en-GB"/>
              </w:rPr>
            </w:pPr>
            <w:r w:rsidRPr="003726FE">
              <w:rPr>
                <w:lang w:val="en-GB"/>
              </w:rPr>
              <w:t>stage of learning</w:t>
            </w:r>
          </w:p>
        </w:tc>
        <w:tc>
          <w:tcPr>
            <w:tcW w:w="2632" w:type="pct"/>
          </w:tcPr>
          <w:p w14:paraId="5F7CF4FC" w14:textId="77777777" w:rsidR="00071A48" w:rsidRPr="003726FE" w:rsidRDefault="00071A48" w:rsidP="00071A48">
            <w:pPr>
              <w:rPr>
                <w:lang w:val="en-GB"/>
              </w:rPr>
            </w:pPr>
            <w:r w:rsidRPr="003726FE">
              <w:rPr>
                <w:lang w:val="en-GB"/>
              </w:rPr>
              <w:t>References to their specific level of learning or maturation on the medical course</w:t>
            </w:r>
          </w:p>
        </w:tc>
        <w:tc>
          <w:tcPr>
            <w:tcW w:w="344" w:type="pct"/>
          </w:tcPr>
          <w:p w14:paraId="57CF5B4F" w14:textId="77777777" w:rsidR="00071A48" w:rsidRPr="003726FE" w:rsidRDefault="00071A48" w:rsidP="00071A48">
            <w:pPr>
              <w:pStyle w:val="RightAlign"/>
              <w:rPr>
                <w:lang w:val="en-GB"/>
              </w:rPr>
            </w:pPr>
            <w:r w:rsidRPr="003726FE">
              <w:rPr>
                <w:lang w:val="en-GB"/>
              </w:rPr>
              <w:t>17</w:t>
            </w:r>
          </w:p>
        </w:tc>
        <w:tc>
          <w:tcPr>
            <w:tcW w:w="445" w:type="pct"/>
          </w:tcPr>
          <w:p w14:paraId="48EED7E4" w14:textId="77777777" w:rsidR="00071A48" w:rsidRPr="003726FE" w:rsidRDefault="00071A48" w:rsidP="00071A48">
            <w:pPr>
              <w:pStyle w:val="RightAlign"/>
              <w:rPr>
                <w:lang w:val="en-GB"/>
              </w:rPr>
            </w:pPr>
            <w:r w:rsidRPr="003726FE">
              <w:rPr>
                <w:lang w:val="en-GB"/>
              </w:rPr>
              <w:t>41</w:t>
            </w:r>
          </w:p>
        </w:tc>
      </w:tr>
      <w:tr w:rsidR="00071A48" w:rsidRPr="003726FE" w14:paraId="711438CF"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760C40B0" w14:textId="77777777" w:rsidR="00071A48" w:rsidRPr="003726FE" w:rsidRDefault="00071A48" w:rsidP="00071A48">
            <w:pPr>
              <w:ind w:left="900"/>
              <w:rPr>
                <w:i/>
                <w:lang w:val="en-GB"/>
              </w:rPr>
            </w:pPr>
            <w:r w:rsidRPr="003726FE">
              <w:rPr>
                <w:i/>
                <w:lang w:val="en-GB"/>
              </w:rPr>
              <w:t>progression</w:t>
            </w:r>
          </w:p>
        </w:tc>
        <w:tc>
          <w:tcPr>
            <w:tcW w:w="2632" w:type="pct"/>
          </w:tcPr>
          <w:p w14:paraId="4F1A9B32" w14:textId="77777777" w:rsidR="00071A48" w:rsidRPr="003726FE" w:rsidRDefault="00071A48" w:rsidP="00071A48">
            <w:pPr>
              <w:rPr>
                <w:lang w:val="en-GB"/>
              </w:rPr>
            </w:pPr>
            <w:r w:rsidRPr="003726FE">
              <w:rPr>
                <w:lang w:val="en-GB"/>
              </w:rPr>
              <w:t>Personal progression over time. Examples of moving forward.</w:t>
            </w:r>
          </w:p>
        </w:tc>
        <w:tc>
          <w:tcPr>
            <w:tcW w:w="344" w:type="pct"/>
          </w:tcPr>
          <w:p w14:paraId="4AC09F5C" w14:textId="77777777" w:rsidR="00071A48" w:rsidRPr="003726FE" w:rsidRDefault="00071A48" w:rsidP="00071A48">
            <w:pPr>
              <w:pStyle w:val="RightAlign"/>
              <w:rPr>
                <w:lang w:val="en-GB"/>
              </w:rPr>
            </w:pPr>
            <w:r w:rsidRPr="003726FE">
              <w:rPr>
                <w:lang w:val="en-GB"/>
              </w:rPr>
              <w:t>11</w:t>
            </w:r>
          </w:p>
        </w:tc>
        <w:tc>
          <w:tcPr>
            <w:tcW w:w="445" w:type="pct"/>
          </w:tcPr>
          <w:p w14:paraId="5AAE703A" w14:textId="77777777" w:rsidR="00071A48" w:rsidRPr="003726FE" w:rsidRDefault="00071A48" w:rsidP="00071A48">
            <w:pPr>
              <w:pStyle w:val="RightAlign"/>
              <w:rPr>
                <w:lang w:val="en-GB"/>
              </w:rPr>
            </w:pPr>
            <w:r w:rsidRPr="003726FE">
              <w:rPr>
                <w:lang w:val="en-GB"/>
              </w:rPr>
              <w:t>19</w:t>
            </w:r>
          </w:p>
        </w:tc>
      </w:tr>
      <w:tr w:rsidR="00071A48" w:rsidRPr="003726FE" w14:paraId="3726A98E"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FD451F0" w14:textId="77777777" w:rsidR="00071A48" w:rsidRPr="003726FE" w:rsidRDefault="00071A48" w:rsidP="00071A48">
            <w:pPr>
              <w:rPr>
                <w:b/>
                <w:lang w:val="en-GB"/>
              </w:rPr>
            </w:pPr>
            <w:r w:rsidRPr="003726FE">
              <w:rPr>
                <w:b/>
                <w:lang w:val="en-GB"/>
              </w:rPr>
              <w:t>Receiving, understanding, using feedback</w:t>
            </w:r>
          </w:p>
        </w:tc>
        <w:tc>
          <w:tcPr>
            <w:tcW w:w="2632" w:type="pct"/>
          </w:tcPr>
          <w:p w14:paraId="7F583E06" w14:textId="77777777" w:rsidR="00071A48" w:rsidRPr="003726FE" w:rsidRDefault="00071A48" w:rsidP="00071A48">
            <w:pPr>
              <w:rPr>
                <w:lang w:val="en-GB"/>
              </w:rPr>
            </w:pPr>
            <w:r w:rsidRPr="003726FE">
              <w:rPr>
                <w:lang w:val="en-GB"/>
              </w:rPr>
              <w:t>Multiple factors affecting the recognition, understanding, and use of feedback on placement.</w:t>
            </w:r>
          </w:p>
        </w:tc>
        <w:tc>
          <w:tcPr>
            <w:tcW w:w="344" w:type="pct"/>
          </w:tcPr>
          <w:p w14:paraId="77506436" w14:textId="77777777" w:rsidR="00071A48" w:rsidRPr="003726FE" w:rsidRDefault="00071A48" w:rsidP="00071A48">
            <w:pPr>
              <w:pStyle w:val="RightAlign"/>
              <w:rPr>
                <w:lang w:val="en-GB"/>
              </w:rPr>
            </w:pPr>
            <w:r w:rsidRPr="003726FE">
              <w:rPr>
                <w:lang w:val="en-GB"/>
              </w:rPr>
              <w:t>23</w:t>
            </w:r>
          </w:p>
        </w:tc>
        <w:tc>
          <w:tcPr>
            <w:tcW w:w="445" w:type="pct"/>
          </w:tcPr>
          <w:p w14:paraId="62216B85" w14:textId="77777777" w:rsidR="00071A48" w:rsidRPr="003726FE" w:rsidRDefault="00071A48" w:rsidP="00071A48">
            <w:pPr>
              <w:pStyle w:val="RightAlign"/>
              <w:rPr>
                <w:lang w:val="en-GB"/>
              </w:rPr>
            </w:pPr>
            <w:r w:rsidRPr="003726FE">
              <w:rPr>
                <w:lang w:val="en-GB"/>
              </w:rPr>
              <w:t>537</w:t>
            </w:r>
          </w:p>
        </w:tc>
      </w:tr>
      <w:tr w:rsidR="00071A48" w:rsidRPr="003726FE" w14:paraId="20DE720B"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1437710" w14:textId="77777777" w:rsidR="00071A48" w:rsidRPr="003726FE" w:rsidRDefault="00071A48" w:rsidP="00071A48">
            <w:pPr>
              <w:ind w:left="450"/>
              <w:rPr>
                <w:lang w:val="en-GB"/>
              </w:rPr>
            </w:pPr>
            <w:r w:rsidRPr="003726FE">
              <w:rPr>
                <w:lang w:val="en-GB"/>
              </w:rPr>
              <w:lastRenderedPageBreak/>
              <w:t>credibility</w:t>
            </w:r>
          </w:p>
        </w:tc>
        <w:tc>
          <w:tcPr>
            <w:tcW w:w="2632" w:type="pct"/>
          </w:tcPr>
          <w:p w14:paraId="743B8FC7" w14:textId="77777777" w:rsidR="00071A48" w:rsidRPr="003726FE" w:rsidRDefault="00071A48" w:rsidP="00071A48">
            <w:pPr>
              <w:rPr>
                <w:lang w:val="en-GB"/>
              </w:rPr>
            </w:pPr>
            <w:r w:rsidRPr="003726FE">
              <w:rPr>
                <w:lang w:val="en-GB"/>
              </w:rPr>
              <w:t>Any reference to the credibility judgement of the feedback giver</w:t>
            </w:r>
          </w:p>
        </w:tc>
        <w:tc>
          <w:tcPr>
            <w:tcW w:w="344" w:type="pct"/>
          </w:tcPr>
          <w:p w14:paraId="2C07C5DF" w14:textId="77777777" w:rsidR="00071A48" w:rsidRPr="003726FE" w:rsidRDefault="00071A48" w:rsidP="00071A48">
            <w:pPr>
              <w:pStyle w:val="RightAlign"/>
              <w:rPr>
                <w:lang w:val="en-GB"/>
              </w:rPr>
            </w:pPr>
            <w:r w:rsidRPr="003726FE">
              <w:rPr>
                <w:lang w:val="en-GB"/>
              </w:rPr>
              <w:t>18</w:t>
            </w:r>
          </w:p>
        </w:tc>
        <w:tc>
          <w:tcPr>
            <w:tcW w:w="445" w:type="pct"/>
          </w:tcPr>
          <w:p w14:paraId="413ECA2A" w14:textId="77777777" w:rsidR="00071A48" w:rsidRPr="003726FE" w:rsidRDefault="00071A48" w:rsidP="00071A48">
            <w:pPr>
              <w:pStyle w:val="RightAlign"/>
              <w:rPr>
                <w:lang w:val="en-GB"/>
              </w:rPr>
            </w:pPr>
            <w:r w:rsidRPr="003726FE">
              <w:rPr>
                <w:lang w:val="en-GB"/>
              </w:rPr>
              <w:t>39</w:t>
            </w:r>
          </w:p>
        </w:tc>
      </w:tr>
      <w:tr w:rsidR="00071A48" w:rsidRPr="003726FE" w14:paraId="6A53F270"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10C9E019" w14:textId="77777777" w:rsidR="00071A48" w:rsidRPr="003726FE" w:rsidRDefault="00071A48" w:rsidP="00071A48">
            <w:pPr>
              <w:ind w:left="450"/>
              <w:rPr>
                <w:lang w:val="en-GB"/>
              </w:rPr>
            </w:pPr>
            <w:r w:rsidRPr="003726FE">
              <w:rPr>
                <w:lang w:val="en-GB"/>
              </w:rPr>
              <w:t>difference between feedback givers</w:t>
            </w:r>
          </w:p>
        </w:tc>
        <w:tc>
          <w:tcPr>
            <w:tcW w:w="2632" w:type="pct"/>
          </w:tcPr>
          <w:p w14:paraId="2BA6D93A" w14:textId="77777777" w:rsidR="00071A48" w:rsidRPr="003726FE" w:rsidRDefault="00071A48" w:rsidP="00071A48">
            <w:pPr>
              <w:rPr>
                <w:lang w:val="en-GB"/>
              </w:rPr>
            </w:pPr>
            <w:r w:rsidRPr="003726FE">
              <w:rPr>
                <w:lang w:val="en-GB"/>
              </w:rPr>
              <w:t>When comparisons are made between feedback givers</w:t>
            </w:r>
          </w:p>
        </w:tc>
        <w:tc>
          <w:tcPr>
            <w:tcW w:w="344" w:type="pct"/>
          </w:tcPr>
          <w:p w14:paraId="3AE85E1D" w14:textId="77777777" w:rsidR="00071A48" w:rsidRPr="003726FE" w:rsidRDefault="00071A48" w:rsidP="00071A48">
            <w:pPr>
              <w:pStyle w:val="RightAlign"/>
              <w:rPr>
                <w:lang w:val="en-GB"/>
              </w:rPr>
            </w:pPr>
            <w:r w:rsidRPr="003726FE">
              <w:rPr>
                <w:lang w:val="en-GB"/>
              </w:rPr>
              <w:t>21</w:t>
            </w:r>
          </w:p>
        </w:tc>
        <w:tc>
          <w:tcPr>
            <w:tcW w:w="445" w:type="pct"/>
          </w:tcPr>
          <w:p w14:paraId="7F6F426B" w14:textId="77777777" w:rsidR="00071A48" w:rsidRPr="003726FE" w:rsidRDefault="00071A48" w:rsidP="00071A48">
            <w:pPr>
              <w:pStyle w:val="RightAlign"/>
              <w:rPr>
                <w:lang w:val="en-GB"/>
              </w:rPr>
            </w:pPr>
            <w:r w:rsidRPr="003726FE">
              <w:rPr>
                <w:lang w:val="en-GB"/>
              </w:rPr>
              <w:t>52</w:t>
            </w:r>
          </w:p>
        </w:tc>
      </w:tr>
      <w:tr w:rsidR="00071A48" w:rsidRPr="003726FE" w14:paraId="274193BC"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31889E5C" w14:textId="77777777" w:rsidR="00071A48" w:rsidRPr="003726FE" w:rsidRDefault="00071A48" w:rsidP="00071A48">
            <w:pPr>
              <w:ind w:left="450"/>
              <w:rPr>
                <w:lang w:val="en-GB"/>
              </w:rPr>
            </w:pPr>
            <w:r w:rsidRPr="003726FE">
              <w:rPr>
                <w:lang w:val="en-GB"/>
              </w:rPr>
              <w:t>Expertise of feedback giver</w:t>
            </w:r>
          </w:p>
        </w:tc>
        <w:tc>
          <w:tcPr>
            <w:tcW w:w="2632" w:type="pct"/>
          </w:tcPr>
          <w:p w14:paraId="613009EF" w14:textId="77777777" w:rsidR="00071A48" w:rsidRPr="003726FE" w:rsidRDefault="00071A48" w:rsidP="00071A48">
            <w:pPr>
              <w:rPr>
                <w:lang w:val="en-GB"/>
              </w:rPr>
            </w:pPr>
            <w:r w:rsidRPr="003726FE">
              <w:rPr>
                <w:lang w:val="en-GB"/>
              </w:rPr>
              <w:t>Any reference to the knowledge or educational/professional level of the feedback giver</w:t>
            </w:r>
          </w:p>
        </w:tc>
        <w:tc>
          <w:tcPr>
            <w:tcW w:w="344" w:type="pct"/>
          </w:tcPr>
          <w:p w14:paraId="0AF9FFDA" w14:textId="77777777" w:rsidR="00071A48" w:rsidRPr="003726FE" w:rsidRDefault="00071A48" w:rsidP="00071A48">
            <w:pPr>
              <w:pStyle w:val="RightAlign"/>
              <w:rPr>
                <w:lang w:val="en-GB"/>
              </w:rPr>
            </w:pPr>
            <w:r w:rsidRPr="003726FE">
              <w:rPr>
                <w:lang w:val="en-GB"/>
              </w:rPr>
              <w:t>13</w:t>
            </w:r>
          </w:p>
        </w:tc>
        <w:tc>
          <w:tcPr>
            <w:tcW w:w="445" w:type="pct"/>
          </w:tcPr>
          <w:p w14:paraId="33D9027F" w14:textId="77777777" w:rsidR="00071A48" w:rsidRPr="003726FE" w:rsidRDefault="00071A48" w:rsidP="00071A48">
            <w:pPr>
              <w:pStyle w:val="RightAlign"/>
              <w:rPr>
                <w:lang w:val="en-GB"/>
              </w:rPr>
            </w:pPr>
            <w:r w:rsidRPr="003726FE">
              <w:rPr>
                <w:lang w:val="en-GB"/>
              </w:rPr>
              <w:t>19</w:t>
            </w:r>
          </w:p>
        </w:tc>
      </w:tr>
      <w:tr w:rsidR="00071A48" w:rsidRPr="003726FE" w14:paraId="45A5F37C"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19CD65B8" w14:textId="77777777" w:rsidR="00071A48" w:rsidRPr="003726FE" w:rsidRDefault="00071A48" w:rsidP="00071A48">
            <w:pPr>
              <w:ind w:left="450"/>
              <w:rPr>
                <w:lang w:val="en-GB"/>
              </w:rPr>
            </w:pPr>
            <w:r w:rsidRPr="003726FE">
              <w:rPr>
                <w:lang w:val="en-GB"/>
              </w:rPr>
              <w:t>Feedback acceptance</w:t>
            </w:r>
          </w:p>
        </w:tc>
        <w:tc>
          <w:tcPr>
            <w:tcW w:w="2632" w:type="pct"/>
          </w:tcPr>
          <w:p w14:paraId="77C41630" w14:textId="77777777" w:rsidR="00071A48" w:rsidRPr="003726FE" w:rsidRDefault="00071A48" w:rsidP="00071A48">
            <w:pPr>
              <w:rPr>
                <w:lang w:val="en-GB"/>
              </w:rPr>
            </w:pPr>
            <w:r w:rsidRPr="003726FE">
              <w:rPr>
                <w:lang w:val="en-GB"/>
              </w:rPr>
              <w:t>When feedback is accepted and the factors influencing acceptance</w:t>
            </w:r>
          </w:p>
        </w:tc>
        <w:tc>
          <w:tcPr>
            <w:tcW w:w="344" w:type="pct"/>
          </w:tcPr>
          <w:p w14:paraId="3894212E" w14:textId="77777777" w:rsidR="00071A48" w:rsidRPr="003726FE" w:rsidRDefault="00071A48" w:rsidP="00071A48">
            <w:pPr>
              <w:pStyle w:val="RightAlign"/>
              <w:rPr>
                <w:lang w:val="en-GB"/>
              </w:rPr>
            </w:pPr>
            <w:r w:rsidRPr="003726FE">
              <w:rPr>
                <w:lang w:val="en-GB"/>
              </w:rPr>
              <w:t>19</w:t>
            </w:r>
          </w:p>
        </w:tc>
        <w:tc>
          <w:tcPr>
            <w:tcW w:w="445" w:type="pct"/>
          </w:tcPr>
          <w:p w14:paraId="25C9B15D" w14:textId="77777777" w:rsidR="00071A48" w:rsidRPr="003726FE" w:rsidRDefault="00071A48" w:rsidP="00071A48">
            <w:pPr>
              <w:pStyle w:val="RightAlign"/>
              <w:rPr>
                <w:lang w:val="en-GB"/>
              </w:rPr>
            </w:pPr>
            <w:r w:rsidRPr="003726FE">
              <w:rPr>
                <w:lang w:val="en-GB"/>
              </w:rPr>
              <w:t>48</w:t>
            </w:r>
          </w:p>
        </w:tc>
      </w:tr>
      <w:tr w:rsidR="00071A48" w:rsidRPr="003726FE" w14:paraId="2E23D40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A7AA674" w14:textId="77777777" w:rsidR="00071A48" w:rsidRPr="003726FE" w:rsidRDefault="00071A48" w:rsidP="00071A48">
            <w:pPr>
              <w:ind w:left="450"/>
              <w:rPr>
                <w:lang w:val="en-GB"/>
              </w:rPr>
            </w:pPr>
            <w:r w:rsidRPr="003726FE">
              <w:rPr>
                <w:lang w:val="en-GB"/>
              </w:rPr>
              <w:t>Feedback availability</w:t>
            </w:r>
          </w:p>
        </w:tc>
        <w:tc>
          <w:tcPr>
            <w:tcW w:w="2632" w:type="pct"/>
          </w:tcPr>
          <w:p w14:paraId="1E5071C8" w14:textId="77777777" w:rsidR="00071A48" w:rsidRPr="003726FE" w:rsidRDefault="00071A48" w:rsidP="00071A48">
            <w:pPr>
              <w:rPr>
                <w:lang w:val="en-GB"/>
              </w:rPr>
            </w:pPr>
            <w:r w:rsidRPr="003726FE">
              <w:rPr>
                <w:lang w:val="en-GB"/>
              </w:rPr>
              <w:t>Opportunities for feedback on placement</w:t>
            </w:r>
          </w:p>
        </w:tc>
        <w:tc>
          <w:tcPr>
            <w:tcW w:w="344" w:type="pct"/>
          </w:tcPr>
          <w:p w14:paraId="0F29BDA2" w14:textId="77777777" w:rsidR="00071A48" w:rsidRPr="003726FE" w:rsidRDefault="00071A48" w:rsidP="00071A48">
            <w:pPr>
              <w:pStyle w:val="RightAlign"/>
              <w:rPr>
                <w:lang w:val="en-GB"/>
              </w:rPr>
            </w:pPr>
            <w:r w:rsidRPr="003726FE">
              <w:rPr>
                <w:lang w:val="en-GB"/>
              </w:rPr>
              <w:t>18</w:t>
            </w:r>
          </w:p>
        </w:tc>
        <w:tc>
          <w:tcPr>
            <w:tcW w:w="445" w:type="pct"/>
          </w:tcPr>
          <w:p w14:paraId="4F5C9743" w14:textId="77777777" w:rsidR="00071A48" w:rsidRPr="003726FE" w:rsidRDefault="00071A48" w:rsidP="00071A48">
            <w:pPr>
              <w:pStyle w:val="RightAlign"/>
              <w:rPr>
                <w:lang w:val="en-GB"/>
              </w:rPr>
            </w:pPr>
            <w:r w:rsidRPr="003726FE">
              <w:rPr>
                <w:lang w:val="en-GB"/>
              </w:rPr>
              <w:t>45</w:t>
            </w:r>
          </w:p>
        </w:tc>
      </w:tr>
      <w:tr w:rsidR="00071A48" w:rsidRPr="003726FE" w14:paraId="132A62A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F89356E" w14:textId="77777777" w:rsidR="00071A48" w:rsidRPr="003726FE" w:rsidRDefault="00071A48" w:rsidP="00071A48">
            <w:pPr>
              <w:ind w:left="450"/>
              <w:rPr>
                <w:lang w:val="en-GB"/>
              </w:rPr>
            </w:pPr>
            <w:r w:rsidRPr="003726FE">
              <w:rPr>
                <w:lang w:val="en-GB"/>
              </w:rPr>
              <w:t>Feedback impact</w:t>
            </w:r>
          </w:p>
        </w:tc>
        <w:tc>
          <w:tcPr>
            <w:tcW w:w="2632" w:type="pct"/>
          </w:tcPr>
          <w:p w14:paraId="3DD39B99" w14:textId="77777777" w:rsidR="00071A48" w:rsidRPr="003726FE" w:rsidRDefault="00071A48" w:rsidP="00071A48">
            <w:pPr>
              <w:rPr>
                <w:lang w:val="en-GB"/>
              </w:rPr>
            </w:pPr>
            <w:r w:rsidRPr="003726FE">
              <w:rPr>
                <w:lang w:val="en-GB"/>
              </w:rPr>
              <w:t>When reference is made to the resulting impact of given feedback</w:t>
            </w:r>
          </w:p>
        </w:tc>
        <w:tc>
          <w:tcPr>
            <w:tcW w:w="344" w:type="pct"/>
          </w:tcPr>
          <w:p w14:paraId="7A04FFDD" w14:textId="77777777" w:rsidR="00071A48" w:rsidRPr="003726FE" w:rsidRDefault="00071A48" w:rsidP="00071A48">
            <w:pPr>
              <w:pStyle w:val="RightAlign"/>
              <w:rPr>
                <w:lang w:val="en-GB"/>
              </w:rPr>
            </w:pPr>
            <w:r w:rsidRPr="003726FE">
              <w:rPr>
                <w:lang w:val="en-GB"/>
              </w:rPr>
              <w:t>14</w:t>
            </w:r>
          </w:p>
        </w:tc>
        <w:tc>
          <w:tcPr>
            <w:tcW w:w="445" w:type="pct"/>
          </w:tcPr>
          <w:p w14:paraId="2CD8C5D6" w14:textId="77777777" w:rsidR="00071A48" w:rsidRPr="003726FE" w:rsidRDefault="00071A48" w:rsidP="00071A48">
            <w:pPr>
              <w:pStyle w:val="RightAlign"/>
              <w:rPr>
                <w:lang w:val="en-GB"/>
              </w:rPr>
            </w:pPr>
            <w:r w:rsidRPr="003726FE">
              <w:rPr>
                <w:lang w:val="en-GB"/>
              </w:rPr>
              <w:t>19</w:t>
            </w:r>
          </w:p>
        </w:tc>
      </w:tr>
      <w:tr w:rsidR="00071A48" w:rsidRPr="003726FE" w14:paraId="773E4951"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5C179E8C" w14:textId="77777777" w:rsidR="00071A48" w:rsidRPr="003726FE" w:rsidRDefault="00071A48" w:rsidP="00071A48">
            <w:pPr>
              <w:ind w:left="450"/>
              <w:rPr>
                <w:lang w:val="en-GB"/>
              </w:rPr>
            </w:pPr>
            <w:r w:rsidRPr="003726FE">
              <w:rPr>
                <w:lang w:val="en-GB"/>
              </w:rPr>
              <w:t>Feedback preferences</w:t>
            </w:r>
          </w:p>
        </w:tc>
        <w:tc>
          <w:tcPr>
            <w:tcW w:w="2632" w:type="pct"/>
          </w:tcPr>
          <w:p w14:paraId="112A40B2" w14:textId="77777777" w:rsidR="00071A48" w:rsidRPr="003726FE" w:rsidRDefault="00071A48" w:rsidP="00071A48">
            <w:pPr>
              <w:rPr>
                <w:lang w:val="en-GB"/>
              </w:rPr>
            </w:pPr>
            <w:r w:rsidRPr="003726FE">
              <w:rPr>
                <w:lang w:val="en-GB"/>
              </w:rPr>
              <w:t>When students describe how they like to receive feedback</w:t>
            </w:r>
          </w:p>
        </w:tc>
        <w:tc>
          <w:tcPr>
            <w:tcW w:w="344" w:type="pct"/>
          </w:tcPr>
          <w:p w14:paraId="1D00AC5B" w14:textId="77777777" w:rsidR="00071A48" w:rsidRPr="003726FE" w:rsidRDefault="00071A48" w:rsidP="00071A48">
            <w:pPr>
              <w:pStyle w:val="RightAlign"/>
              <w:rPr>
                <w:lang w:val="en-GB"/>
              </w:rPr>
            </w:pPr>
            <w:r w:rsidRPr="003726FE">
              <w:rPr>
                <w:lang w:val="en-GB"/>
              </w:rPr>
              <w:t>21</w:t>
            </w:r>
          </w:p>
        </w:tc>
        <w:tc>
          <w:tcPr>
            <w:tcW w:w="445" w:type="pct"/>
          </w:tcPr>
          <w:p w14:paraId="3DE0E1AC" w14:textId="77777777" w:rsidR="00071A48" w:rsidRPr="003726FE" w:rsidRDefault="00071A48" w:rsidP="00071A48">
            <w:pPr>
              <w:pStyle w:val="RightAlign"/>
              <w:rPr>
                <w:lang w:val="en-GB"/>
              </w:rPr>
            </w:pPr>
            <w:r w:rsidRPr="003726FE">
              <w:rPr>
                <w:lang w:val="en-GB"/>
              </w:rPr>
              <w:t>55</w:t>
            </w:r>
          </w:p>
        </w:tc>
      </w:tr>
      <w:tr w:rsidR="00071A48" w:rsidRPr="003726FE" w14:paraId="10AFD708"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B8F8D5B" w14:textId="77777777" w:rsidR="00071A48" w:rsidRPr="003726FE" w:rsidRDefault="00071A48" w:rsidP="00071A48">
            <w:pPr>
              <w:ind w:left="450"/>
              <w:rPr>
                <w:lang w:val="en-GB"/>
              </w:rPr>
            </w:pPr>
            <w:r w:rsidRPr="003726FE">
              <w:rPr>
                <w:lang w:val="en-GB"/>
              </w:rPr>
              <w:t>Feedback recognition</w:t>
            </w:r>
          </w:p>
        </w:tc>
        <w:tc>
          <w:tcPr>
            <w:tcW w:w="2632" w:type="pct"/>
          </w:tcPr>
          <w:p w14:paraId="3D2EA94F" w14:textId="77777777" w:rsidR="00071A48" w:rsidRPr="003726FE" w:rsidRDefault="00071A48" w:rsidP="00071A48">
            <w:pPr>
              <w:rPr>
                <w:lang w:val="en-GB"/>
              </w:rPr>
            </w:pPr>
            <w:r w:rsidRPr="003726FE">
              <w:rPr>
                <w:lang w:val="en-GB"/>
              </w:rPr>
              <w:t>Descriptions of how students interpret feedback at the surface level and whether they deem it genuine feedback or not</w:t>
            </w:r>
          </w:p>
        </w:tc>
        <w:tc>
          <w:tcPr>
            <w:tcW w:w="344" w:type="pct"/>
          </w:tcPr>
          <w:p w14:paraId="42221FF4" w14:textId="77777777" w:rsidR="00071A48" w:rsidRPr="003726FE" w:rsidRDefault="00071A48" w:rsidP="00071A48">
            <w:pPr>
              <w:pStyle w:val="RightAlign"/>
              <w:rPr>
                <w:lang w:val="en-GB"/>
              </w:rPr>
            </w:pPr>
            <w:r w:rsidRPr="003726FE">
              <w:rPr>
                <w:lang w:val="en-GB"/>
              </w:rPr>
              <w:t>8</w:t>
            </w:r>
          </w:p>
        </w:tc>
        <w:tc>
          <w:tcPr>
            <w:tcW w:w="445" w:type="pct"/>
          </w:tcPr>
          <w:p w14:paraId="3230AED4" w14:textId="77777777" w:rsidR="00071A48" w:rsidRPr="003726FE" w:rsidRDefault="00071A48" w:rsidP="00071A48">
            <w:pPr>
              <w:pStyle w:val="RightAlign"/>
              <w:rPr>
                <w:lang w:val="en-GB"/>
              </w:rPr>
            </w:pPr>
            <w:r w:rsidRPr="003726FE">
              <w:rPr>
                <w:lang w:val="en-GB"/>
              </w:rPr>
              <w:t>18</w:t>
            </w:r>
          </w:p>
        </w:tc>
      </w:tr>
      <w:tr w:rsidR="00071A48" w:rsidRPr="003726FE" w14:paraId="6BE46C09"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4D9037B" w14:textId="77777777" w:rsidR="00071A48" w:rsidRPr="003726FE" w:rsidRDefault="00071A48" w:rsidP="00071A48">
            <w:pPr>
              <w:ind w:left="450"/>
              <w:rPr>
                <w:lang w:val="en-GB"/>
              </w:rPr>
            </w:pPr>
            <w:r w:rsidRPr="003726FE">
              <w:rPr>
                <w:lang w:val="en-GB"/>
              </w:rPr>
              <w:t>Feedback usefulness</w:t>
            </w:r>
          </w:p>
        </w:tc>
        <w:tc>
          <w:tcPr>
            <w:tcW w:w="2632" w:type="pct"/>
          </w:tcPr>
          <w:p w14:paraId="54675AA7" w14:textId="77777777" w:rsidR="00071A48" w:rsidRPr="003726FE" w:rsidRDefault="00071A48" w:rsidP="00071A48">
            <w:pPr>
              <w:rPr>
                <w:lang w:val="en-GB"/>
              </w:rPr>
            </w:pPr>
            <w:r w:rsidRPr="003726FE">
              <w:rPr>
                <w:lang w:val="en-GB"/>
              </w:rPr>
              <w:t>The assigned value of feedback in terms of its quality and usability</w:t>
            </w:r>
          </w:p>
        </w:tc>
        <w:tc>
          <w:tcPr>
            <w:tcW w:w="344" w:type="pct"/>
          </w:tcPr>
          <w:p w14:paraId="1C0D91C3" w14:textId="77777777" w:rsidR="00071A48" w:rsidRPr="003726FE" w:rsidRDefault="00071A48" w:rsidP="00071A48">
            <w:pPr>
              <w:pStyle w:val="RightAlign"/>
              <w:rPr>
                <w:lang w:val="en-GB"/>
              </w:rPr>
            </w:pPr>
            <w:r w:rsidRPr="003726FE">
              <w:rPr>
                <w:lang w:val="en-GB"/>
              </w:rPr>
              <w:t>19</w:t>
            </w:r>
          </w:p>
        </w:tc>
        <w:tc>
          <w:tcPr>
            <w:tcW w:w="445" w:type="pct"/>
          </w:tcPr>
          <w:p w14:paraId="4F9D9831" w14:textId="77777777" w:rsidR="00071A48" w:rsidRPr="003726FE" w:rsidRDefault="00071A48" w:rsidP="00071A48">
            <w:pPr>
              <w:pStyle w:val="RightAlign"/>
              <w:rPr>
                <w:lang w:val="en-GB"/>
              </w:rPr>
            </w:pPr>
            <w:r w:rsidRPr="003726FE">
              <w:rPr>
                <w:lang w:val="en-GB"/>
              </w:rPr>
              <w:t>61</w:t>
            </w:r>
          </w:p>
        </w:tc>
      </w:tr>
      <w:tr w:rsidR="00071A48" w:rsidRPr="003726FE" w14:paraId="0244EEFD"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511861D" w14:textId="77777777" w:rsidR="00071A48" w:rsidRPr="003726FE" w:rsidRDefault="00071A48" w:rsidP="00071A48">
            <w:pPr>
              <w:ind w:left="900"/>
              <w:rPr>
                <w:i/>
                <w:lang w:val="en-GB"/>
              </w:rPr>
            </w:pPr>
            <w:r w:rsidRPr="003726FE">
              <w:rPr>
                <w:i/>
                <w:lang w:val="en-GB"/>
              </w:rPr>
              <w:t>Using feedback</w:t>
            </w:r>
          </w:p>
        </w:tc>
        <w:tc>
          <w:tcPr>
            <w:tcW w:w="2632" w:type="pct"/>
          </w:tcPr>
          <w:p w14:paraId="7C52CF4A" w14:textId="77777777" w:rsidR="00071A48" w:rsidRPr="003726FE" w:rsidRDefault="00071A48" w:rsidP="00071A48">
            <w:pPr>
              <w:rPr>
                <w:lang w:val="en-GB"/>
              </w:rPr>
            </w:pPr>
            <w:r w:rsidRPr="003726FE">
              <w:rPr>
                <w:lang w:val="en-GB"/>
              </w:rPr>
              <w:t>Example of when feedback is used after being given or its level of usability as in ‘feedback usefulness’</w:t>
            </w:r>
          </w:p>
        </w:tc>
        <w:tc>
          <w:tcPr>
            <w:tcW w:w="344" w:type="pct"/>
          </w:tcPr>
          <w:p w14:paraId="0FE73209" w14:textId="77777777" w:rsidR="00071A48" w:rsidRPr="003726FE" w:rsidRDefault="00071A48" w:rsidP="00071A48">
            <w:pPr>
              <w:pStyle w:val="RightAlign"/>
              <w:rPr>
                <w:lang w:val="en-GB"/>
              </w:rPr>
            </w:pPr>
            <w:r w:rsidRPr="003726FE">
              <w:rPr>
                <w:lang w:val="en-GB"/>
              </w:rPr>
              <w:t>16</w:t>
            </w:r>
          </w:p>
        </w:tc>
        <w:tc>
          <w:tcPr>
            <w:tcW w:w="445" w:type="pct"/>
          </w:tcPr>
          <w:p w14:paraId="33774954" w14:textId="77777777" w:rsidR="00071A48" w:rsidRPr="003726FE" w:rsidRDefault="00071A48" w:rsidP="00071A48">
            <w:pPr>
              <w:pStyle w:val="RightAlign"/>
              <w:rPr>
                <w:lang w:val="en-GB"/>
              </w:rPr>
            </w:pPr>
            <w:r w:rsidRPr="003726FE">
              <w:rPr>
                <w:lang w:val="en-GB"/>
              </w:rPr>
              <w:t>33</w:t>
            </w:r>
          </w:p>
        </w:tc>
      </w:tr>
      <w:tr w:rsidR="00071A48" w:rsidRPr="003726FE" w14:paraId="2EB8B3A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99120BA" w14:textId="77777777" w:rsidR="00071A48" w:rsidRPr="003726FE" w:rsidRDefault="00071A48" w:rsidP="00071A48">
            <w:pPr>
              <w:ind w:left="450"/>
              <w:rPr>
                <w:lang w:val="en-GB"/>
              </w:rPr>
            </w:pPr>
            <w:r w:rsidRPr="003726FE">
              <w:rPr>
                <w:lang w:val="en-GB"/>
              </w:rPr>
              <w:t>filtering of feedback</w:t>
            </w:r>
          </w:p>
        </w:tc>
        <w:tc>
          <w:tcPr>
            <w:tcW w:w="2632" w:type="pct"/>
          </w:tcPr>
          <w:p w14:paraId="3FA1379F" w14:textId="77777777" w:rsidR="00071A48" w:rsidRPr="003726FE" w:rsidRDefault="00071A48" w:rsidP="00071A48">
            <w:pPr>
              <w:rPr>
                <w:lang w:val="en-GB"/>
              </w:rPr>
            </w:pPr>
            <w:r w:rsidRPr="003726FE">
              <w:rPr>
                <w:lang w:val="en-GB"/>
              </w:rPr>
              <w:t>Any reference to applying a critical lens on received feedback</w:t>
            </w:r>
          </w:p>
        </w:tc>
        <w:tc>
          <w:tcPr>
            <w:tcW w:w="344" w:type="pct"/>
          </w:tcPr>
          <w:p w14:paraId="26DF9426" w14:textId="77777777" w:rsidR="00071A48" w:rsidRPr="003726FE" w:rsidRDefault="00071A48" w:rsidP="00071A48">
            <w:pPr>
              <w:pStyle w:val="RightAlign"/>
              <w:rPr>
                <w:lang w:val="en-GB"/>
              </w:rPr>
            </w:pPr>
            <w:r w:rsidRPr="003726FE">
              <w:rPr>
                <w:lang w:val="en-GB"/>
              </w:rPr>
              <w:t>21</w:t>
            </w:r>
          </w:p>
        </w:tc>
        <w:tc>
          <w:tcPr>
            <w:tcW w:w="445" w:type="pct"/>
          </w:tcPr>
          <w:p w14:paraId="6A4330EC" w14:textId="77777777" w:rsidR="00071A48" w:rsidRPr="003726FE" w:rsidRDefault="00071A48" w:rsidP="00071A48">
            <w:pPr>
              <w:pStyle w:val="RightAlign"/>
              <w:rPr>
                <w:lang w:val="en-GB"/>
              </w:rPr>
            </w:pPr>
            <w:r w:rsidRPr="003726FE">
              <w:rPr>
                <w:lang w:val="en-GB"/>
              </w:rPr>
              <w:t>73</w:t>
            </w:r>
          </w:p>
        </w:tc>
      </w:tr>
      <w:tr w:rsidR="00071A48" w:rsidRPr="003726FE" w14:paraId="5725F3D0"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ED04F40" w14:textId="77777777" w:rsidR="00071A48" w:rsidRPr="003726FE" w:rsidRDefault="00071A48" w:rsidP="00071A48">
            <w:pPr>
              <w:ind w:left="900"/>
              <w:rPr>
                <w:i/>
                <w:lang w:val="en-GB"/>
              </w:rPr>
            </w:pPr>
            <w:r w:rsidRPr="003726FE">
              <w:rPr>
                <w:i/>
                <w:lang w:val="en-GB"/>
              </w:rPr>
              <w:t>categorising feedback</w:t>
            </w:r>
          </w:p>
        </w:tc>
        <w:tc>
          <w:tcPr>
            <w:tcW w:w="2632" w:type="pct"/>
          </w:tcPr>
          <w:p w14:paraId="187D3EB1" w14:textId="77777777" w:rsidR="00071A48" w:rsidRPr="003726FE" w:rsidRDefault="00071A48" w:rsidP="00071A48">
            <w:pPr>
              <w:rPr>
                <w:lang w:val="en-GB"/>
              </w:rPr>
            </w:pPr>
            <w:r w:rsidRPr="003726FE">
              <w:rPr>
                <w:lang w:val="en-GB"/>
              </w:rPr>
              <w:t>Assigning feedback certain labels</w:t>
            </w:r>
          </w:p>
        </w:tc>
        <w:tc>
          <w:tcPr>
            <w:tcW w:w="344" w:type="pct"/>
          </w:tcPr>
          <w:p w14:paraId="17DACA45" w14:textId="77777777" w:rsidR="00071A48" w:rsidRPr="003726FE" w:rsidRDefault="00071A48" w:rsidP="00071A48">
            <w:pPr>
              <w:pStyle w:val="RightAlign"/>
              <w:rPr>
                <w:lang w:val="en-GB"/>
              </w:rPr>
            </w:pPr>
            <w:r w:rsidRPr="003726FE">
              <w:rPr>
                <w:lang w:val="en-GB"/>
              </w:rPr>
              <w:t>12</w:t>
            </w:r>
          </w:p>
        </w:tc>
        <w:tc>
          <w:tcPr>
            <w:tcW w:w="445" w:type="pct"/>
          </w:tcPr>
          <w:p w14:paraId="3F8E74DC" w14:textId="77777777" w:rsidR="00071A48" w:rsidRPr="003726FE" w:rsidRDefault="00071A48" w:rsidP="00071A48">
            <w:pPr>
              <w:pStyle w:val="RightAlign"/>
              <w:rPr>
                <w:lang w:val="en-GB"/>
              </w:rPr>
            </w:pPr>
            <w:r w:rsidRPr="003726FE">
              <w:rPr>
                <w:lang w:val="en-GB"/>
              </w:rPr>
              <w:t>15</w:t>
            </w:r>
          </w:p>
        </w:tc>
      </w:tr>
      <w:tr w:rsidR="00071A48" w:rsidRPr="003726FE" w14:paraId="1F22E2F8"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6074EDF" w14:textId="77777777" w:rsidR="00071A48" w:rsidRPr="003726FE" w:rsidRDefault="00071A48" w:rsidP="00071A48">
            <w:pPr>
              <w:ind w:left="900"/>
              <w:rPr>
                <w:i/>
                <w:lang w:val="en-GB"/>
              </w:rPr>
            </w:pPr>
            <w:r w:rsidRPr="003726FE">
              <w:rPr>
                <w:i/>
                <w:lang w:val="en-GB"/>
              </w:rPr>
              <w:t>low filtering of feedback</w:t>
            </w:r>
          </w:p>
        </w:tc>
        <w:tc>
          <w:tcPr>
            <w:tcW w:w="2632" w:type="pct"/>
          </w:tcPr>
          <w:p w14:paraId="4169B8D3" w14:textId="77777777" w:rsidR="00071A48" w:rsidRPr="003726FE" w:rsidRDefault="00071A48" w:rsidP="00071A48">
            <w:pPr>
              <w:rPr>
                <w:lang w:val="en-GB"/>
              </w:rPr>
            </w:pPr>
            <w:r w:rsidRPr="003726FE">
              <w:rPr>
                <w:lang w:val="en-GB"/>
              </w:rPr>
              <w:t>Specific instances of when feedback is accepted without judgement</w:t>
            </w:r>
          </w:p>
        </w:tc>
        <w:tc>
          <w:tcPr>
            <w:tcW w:w="344" w:type="pct"/>
          </w:tcPr>
          <w:p w14:paraId="0FE43B24" w14:textId="77777777" w:rsidR="00071A48" w:rsidRPr="003726FE" w:rsidRDefault="00071A48" w:rsidP="00071A48">
            <w:pPr>
              <w:pStyle w:val="RightAlign"/>
              <w:rPr>
                <w:lang w:val="en-GB"/>
              </w:rPr>
            </w:pPr>
            <w:r w:rsidRPr="003726FE">
              <w:rPr>
                <w:lang w:val="en-GB"/>
              </w:rPr>
              <w:t>2</w:t>
            </w:r>
          </w:p>
        </w:tc>
        <w:tc>
          <w:tcPr>
            <w:tcW w:w="445" w:type="pct"/>
          </w:tcPr>
          <w:p w14:paraId="41BD884E" w14:textId="77777777" w:rsidR="00071A48" w:rsidRPr="003726FE" w:rsidRDefault="00071A48" w:rsidP="00071A48">
            <w:pPr>
              <w:pStyle w:val="RightAlign"/>
              <w:rPr>
                <w:lang w:val="en-GB"/>
              </w:rPr>
            </w:pPr>
            <w:r w:rsidRPr="003726FE">
              <w:rPr>
                <w:lang w:val="en-GB"/>
              </w:rPr>
              <w:t>2</w:t>
            </w:r>
          </w:p>
        </w:tc>
      </w:tr>
      <w:tr w:rsidR="00071A48" w:rsidRPr="003726FE" w14:paraId="790E26A7"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1869F446" w14:textId="77777777" w:rsidR="00071A48" w:rsidRPr="003726FE" w:rsidRDefault="00071A48" w:rsidP="00071A48">
            <w:pPr>
              <w:ind w:left="900"/>
              <w:rPr>
                <w:i/>
                <w:lang w:val="en-GB"/>
              </w:rPr>
            </w:pPr>
            <w:r w:rsidRPr="003726FE">
              <w:rPr>
                <w:i/>
                <w:lang w:val="en-GB"/>
              </w:rPr>
              <w:lastRenderedPageBreak/>
              <w:t>Questioning feedback</w:t>
            </w:r>
          </w:p>
        </w:tc>
        <w:tc>
          <w:tcPr>
            <w:tcW w:w="2632" w:type="pct"/>
          </w:tcPr>
          <w:p w14:paraId="33CCF367" w14:textId="77777777" w:rsidR="00071A48" w:rsidRPr="003726FE" w:rsidRDefault="00071A48" w:rsidP="00071A48">
            <w:pPr>
              <w:rPr>
                <w:lang w:val="en-GB"/>
              </w:rPr>
            </w:pPr>
            <w:r w:rsidRPr="003726FE">
              <w:rPr>
                <w:lang w:val="en-GB"/>
              </w:rPr>
              <w:t>When students spoke about challenging or questioning the feedback they received</w:t>
            </w:r>
          </w:p>
        </w:tc>
        <w:tc>
          <w:tcPr>
            <w:tcW w:w="344" w:type="pct"/>
          </w:tcPr>
          <w:p w14:paraId="58A28551" w14:textId="77777777" w:rsidR="00071A48" w:rsidRPr="003726FE" w:rsidRDefault="00071A48" w:rsidP="00071A48">
            <w:pPr>
              <w:pStyle w:val="RightAlign"/>
              <w:rPr>
                <w:lang w:val="en-GB"/>
              </w:rPr>
            </w:pPr>
            <w:r w:rsidRPr="003726FE">
              <w:rPr>
                <w:lang w:val="en-GB"/>
              </w:rPr>
              <w:t>12</w:t>
            </w:r>
          </w:p>
        </w:tc>
        <w:tc>
          <w:tcPr>
            <w:tcW w:w="445" w:type="pct"/>
          </w:tcPr>
          <w:p w14:paraId="6DE15887" w14:textId="77777777" w:rsidR="00071A48" w:rsidRPr="003726FE" w:rsidRDefault="00071A48" w:rsidP="00071A48">
            <w:pPr>
              <w:pStyle w:val="RightAlign"/>
              <w:rPr>
                <w:lang w:val="en-GB"/>
              </w:rPr>
            </w:pPr>
            <w:r w:rsidRPr="003726FE">
              <w:rPr>
                <w:lang w:val="en-GB"/>
              </w:rPr>
              <w:t>15</w:t>
            </w:r>
          </w:p>
        </w:tc>
      </w:tr>
      <w:tr w:rsidR="00071A48" w:rsidRPr="003726FE" w14:paraId="37CCA95C"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EEDDF5D" w14:textId="77777777" w:rsidR="00071A48" w:rsidRPr="003726FE" w:rsidRDefault="00071A48" w:rsidP="00071A48">
            <w:pPr>
              <w:ind w:left="900"/>
              <w:rPr>
                <w:i/>
                <w:lang w:val="en-GB"/>
              </w:rPr>
            </w:pPr>
            <w:r w:rsidRPr="003726FE">
              <w:rPr>
                <w:i/>
                <w:lang w:val="en-GB"/>
              </w:rPr>
              <w:t>Testing feedback</w:t>
            </w:r>
          </w:p>
        </w:tc>
        <w:tc>
          <w:tcPr>
            <w:tcW w:w="2632" w:type="pct"/>
          </w:tcPr>
          <w:p w14:paraId="769EAEA6" w14:textId="77777777" w:rsidR="00071A48" w:rsidRPr="003726FE" w:rsidRDefault="00071A48" w:rsidP="00071A48">
            <w:pPr>
              <w:rPr>
                <w:lang w:val="en-GB"/>
              </w:rPr>
            </w:pPr>
            <w:r w:rsidRPr="003726FE">
              <w:rPr>
                <w:lang w:val="en-GB"/>
              </w:rPr>
              <w:t>Examples of when students tested feedback by repeating the skill with the feedback or by verifying it with other people</w:t>
            </w:r>
          </w:p>
        </w:tc>
        <w:tc>
          <w:tcPr>
            <w:tcW w:w="344" w:type="pct"/>
          </w:tcPr>
          <w:p w14:paraId="409F1B87" w14:textId="77777777" w:rsidR="00071A48" w:rsidRPr="003726FE" w:rsidRDefault="00071A48" w:rsidP="00071A48">
            <w:pPr>
              <w:pStyle w:val="RightAlign"/>
              <w:rPr>
                <w:lang w:val="en-GB"/>
              </w:rPr>
            </w:pPr>
            <w:r w:rsidRPr="003726FE">
              <w:rPr>
                <w:lang w:val="en-GB"/>
              </w:rPr>
              <w:t>5</w:t>
            </w:r>
          </w:p>
        </w:tc>
        <w:tc>
          <w:tcPr>
            <w:tcW w:w="445" w:type="pct"/>
          </w:tcPr>
          <w:p w14:paraId="32EFE262" w14:textId="77777777" w:rsidR="00071A48" w:rsidRPr="003726FE" w:rsidRDefault="00071A48" w:rsidP="00071A48">
            <w:pPr>
              <w:pStyle w:val="RightAlign"/>
              <w:rPr>
                <w:lang w:val="en-GB"/>
              </w:rPr>
            </w:pPr>
            <w:r w:rsidRPr="003726FE">
              <w:rPr>
                <w:lang w:val="en-GB"/>
              </w:rPr>
              <w:t>6</w:t>
            </w:r>
          </w:p>
        </w:tc>
      </w:tr>
      <w:tr w:rsidR="00071A48" w:rsidRPr="003726FE" w14:paraId="6D32E63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418A0D82" w14:textId="77777777" w:rsidR="00071A48" w:rsidRPr="003726FE" w:rsidRDefault="00071A48" w:rsidP="00071A48">
            <w:pPr>
              <w:ind w:left="450"/>
              <w:rPr>
                <w:lang w:val="en-GB"/>
              </w:rPr>
            </w:pPr>
            <w:r w:rsidRPr="003726FE">
              <w:rPr>
                <w:lang w:val="en-GB"/>
              </w:rPr>
              <w:t>Importance of feedback</w:t>
            </w:r>
          </w:p>
        </w:tc>
        <w:tc>
          <w:tcPr>
            <w:tcW w:w="2632" w:type="pct"/>
          </w:tcPr>
          <w:p w14:paraId="6834FAF5" w14:textId="77777777" w:rsidR="00071A48" w:rsidRPr="003726FE" w:rsidRDefault="00071A48" w:rsidP="00071A48">
            <w:pPr>
              <w:rPr>
                <w:lang w:val="en-GB"/>
              </w:rPr>
            </w:pPr>
            <w:r w:rsidRPr="003726FE">
              <w:rPr>
                <w:lang w:val="en-GB"/>
              </w:rPr>
              <w:t>How important feedback is deemed to be on placement</w:t>
            </w:r>
          </w:p>
        </w:tc>
        <w:tc>
          <w:tcPr>
            <w:tcW w:w="344" w:type="pct"/>
          </w:tcPr>
          <w:p w14:paraId="538C74D3" w14:textId="77777777" w:rsidR="00071A48" w:rsidRPr="003726FE" w:rsidRDefault="00071A48" w:rsidP="00071A48">
            <w:pPr>
              <w:pStyle w:val="RightAlign"/>
              <w:rPr>
                <w:lang w:val="en-GB"/>
              </w:rPr>
            </w:pPr>
            <w:r w:rsidRPr="003726FE">
              <w:rPr>
                <w:lang w:val="en-GB"/>
              </w:rPr>
              <w:t>20</w:t>
            </w:r>
          </w:p>
        </w:tc>
        <w:tc>
          <w:tcPr>
            <w:tcW w:w="445" w:type="pct"/>
          </w:tcPr>
          <w:p w14:paraId="4E6AAB1A" w14:textId="77777777" w:rsidR="00071A48" w:rsidRPr="003726FE" w:rsidRDefault="00071A48" w:rsidP="00071A48">
            <w:pPr>
              <w:pStyle w:val="RightAlign"/>
              <w:rPr>
                <w:lang w:val="en-GB"/>
              </w:rPr>
            </w:pPr>
            <w:r w:rsidRPr="003726FE">
              <w:rPr>
                <w:lang w:val="en-GB"/>
              </w:rPr>
              <w:t>26</w:t>
            </w:r>
          </w:p>
        </w:tc>
      </w:tr>
      <w:tr w:rsidR="00071A48" w:rsidRPr="003726FE" w14:paraId="69A70EAB"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54B71A7B" w14:textId="77777777" w:rsidR="00071A48" w:rsidRPr="003726FE" w:rsidRDefault="00071A48" w:rsidP="00071A48">
            <w:pPr>
              <w:ind w:left="450"/>
              <w:rPr>
                <w:lang w:val="en-GB"/>
              </w:rPr>
            </w:pPr>
            <w:r w:rsidRPr="003726FE">
              <w:rPr>
                <w:lang w:val="en-GB"/>
              </w:rPr>
              <w:t>multi-source feedback</w:t>
            </w:r>
          </w:p>
        </w:tc>
        <w:tc>
          <w:tcPr>
            <w:tcW w:w="2632" w:type="pct"/>
          </w:tcPr>
          <w:p w14:paraId="0F7FD19B" w14:textId="77777777" w:rsidR="00071A48" w:rsidRPr="003726FE" w:rsidRDefault="00071A48" w:rsidP="00071A48">
            <w:pPr>
              <w:rPr>
                <w:lang w:val="en-GB"/>
              </w:rPr>
            </w:pPr>
            <w:r w:rsidRPr="003726FE">
              <w:rPr>
                <w:lang w:val="en-GB"/>
              </w:rPr>
              <w:t>Descriptions of feedback from multiple sources</w:t>
            </w:r>
          </w:p>
        </w:tc>
        <w:tc>
          <w:tcPr>
            <w:tcW w:w="344" w:type="pct"/>
          </w:tcPr>
          <w:p w14:paraId="3598D085" w14:textId="77777777" w:rsidR="00071A48" w:rsidRPr="003726FE" w:rsidRDefault="00071A48" w:rsidP="00071A48">
            <w:pPr>
              <w:pStyle w:val="RightAlign"/>
              <w:rPr>
                <w:lang w:val="en-GB"/>
              </w:rPr>
            </w:pPr>
            <w:r w:rsidRPr="003726FE">
              <w:rPr>
                <w:lang w:val="en-GB"/>
              </w:rPr>
              <w:t>3</w:t>
            </w:r>
          </w:p>
        </w:tc>
        <w:tc>
          <w:tcPr>
            <w:tcW w:w="445" w:type="pct"/>
          </w:tcPr>
          <w:p w14:paraId="42845469" w14:textId="77777777" w:rsidR="00071A48" w:rsidRPr="003726FE" w:rsidRDefault="00071A48" w:rsidP="00071A48">
            <w:pPr>
              <w:pStyle w:val="RightAlign"/>
              <w:rPr>
                <w:lang w:val="en-GB"/>
              </w:rPr>
            </w:pPr>
            <w:r w:rsidRPr="003726FE">
              <w:rPr>
                <w:lang w:val="en-GB"/>
              </w:rPr>
              <w:t>3</w:t>
            </w:r>
          </w:p>
        </w:tc>
      </w:tr>
      <w:tr w:rsidR="00071A48" w:rsidRPr="003726FE" w14:paraId="551D7C4C"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48EA9DBF" w14:textId="77777777" w:rsidR="00071A48" w:rsidRPr="003726FE" w:rsidRDefault="00071A48" w:rsidP="00071A48">
            <w:pPr>
              <w:ind w:left="450"/>
              <w:rPr>
                <w:lang w:val="en-GB"/>
              </w:rPr>
            </w:pPr>
            <w:r w:rsidRPr="003726FE">
              <w:rPr>
                <w:lang w:val="en-GB"/>
              </w:rPr>
              <w:t>Patient feedback</w:t>
            </w:r>
          </w:p>
        </w:tc>
        <w:tc>
          <w:tcPr>
            <w:tcW w:w="2632" w:type="pct"/>
          </w:tcPr>
          <w:p w14:paraId="6BB28A3E" w14:textId="77777777" w:rsidR="00071A48" w:rsidRPr="003726FE" w:rsidRDefault="00071A48" w:rsidP="00071A48">
            <w:pPr>
              <w:rPr>
                <w:lang w:val="en-GB"/>
              </w:rPr>
            </w:pPr>
            <w:r w:rsidRPr="003726FE">
              <w:rPr>
                <w:lang w:val="en-GB"/>
              </w:rPr>
              <w:t>Examples of feedback from patients on placement or PAE’s in teaching</w:t>
            </w:r>
          </w:p>
        </w:tc>
        <w:tc>
          <w:tcPr>
            <w:tcW w:w="344" w:type="pct"/>
          </w:tcPr>
          <w:p w14:paraId="3B6E4EE8" w14:textId="77777777" w:rsidR="00071A48" w:rsidRPr="003726FE" w:rsidRDefault="00071A48" w:rsidP="00071A48">
            <w:pPr>
              <w:pStyle w:val="RightAlign"/>
              <w:rPr>
                <w:lang w:val="en-GB"/>
              </w:rPr>
            </w:pPr>
            <w:r w:rsidRPr="003726FE">
              <w:rPr>
                <w:lang w:val="en-GB"/>
              </w:rPr>
              <w:t>16</w:t>
            </w:r>
          </w:p>
        </w:tc>
        <w:tc>
          <w:tcPr>
            <w:tcW w:w="445" w:type="pct"/>
          </w:tcPr>
          <w:p w14:paraId="11D5E0CB" w14:textId="77777777" w:rsidR="00071A48" w:rsidRPr="003726FE" w:rsidRDefault="00071A48" w:rsidP="00071A48">
            <w:pPr>
              <w:pStyle w:val="RightAlign"/>
              <w:rPr>
                <w:lang w:val="en-GB"/>
              </w:rPr>
            </w:pPr>
            <w:r w:rsidRPr="003726FE">
              <w:rPr>
                <w:lang w:val="en-GB"/>
              </w:rPr>
              <w:t>23</w:t>
            </w:r>
          </w:p>
        </w:tc>
      </w:tr>
      <w:tr w:rsidR="00071A48" w:rsidRPr="003726FE" w14:paraId="3D42676C"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736646C" w14:textId="77777777" w:rsidR="00071A48" w:rsidRPr="003726FE" w:rsidRDefault="00071A48" w:rsidP="00071A48">
            <w:pPr>
              <w:ind w:left="450"/>
              <w:rPr>
                <w:lang w:val="en-GB"/>
              </w:rPr>
            </w:pPr>
            <w:r w:rsidRPr="003726FE">
              <w:rPr>
                <w:lang w:val="en-GB"/>
              </w:rPr>
              <w:t>rejecting feedback</w:t>
            </w:r>
          </w:p>
        </w:tc>
        <w:tc>
          <w:tcPr>
            <w:tcW w:w="2632" w:type="pct"/>
          </w:tcPr>
          <w:p w14:paraId="2CB763E5" w14:textId="77777777" w:rsidR="00071A48" w:rsidRPr="003726FE" w:rsidRDefault="00071A48" w:rsidP="00071A48">
            <w:pPr>
              <w:rPr>
                <w:lang w:val="en-GB"/>
              </w:rPr>
            </w:pPr>
            <w:r w:rsidRPr="003726FE">
              <w:rPr>
                <w:lang w:val="en-GB"/>
              </w:rPr>
              <w:t>Instances of when feedback was explicitly rejected and the reason why</w:t>
            </w:r>
          </w:p>
        </w:tc>
        <w:tc>
          <w:tcPr>
            <w:tcW w:w="344" w:type="pct"/>
          </w:tcPr>
          <w:p w14:paraId="128007CF" w14:textId="77777777" w:rsidR="00071A48" w:rsidRPr="003726FE" w:rsidRDefault="00071A48" w:rsidP="00071A48">
            <w:pPr>
              <w:pStyle w:val="RightAlign"/>
              <w:rPr>
                <w:lang w:val="en-GB"/>
              </w:rPr>
            </w:pPr>
            <w:r w:rsidRPr="003726FE">
              <w:rPr>
                <w:lang w:val="en-GB"/>
              </w:rPr>
              <w:t>10</w:t>
            </w:r>
          </w:p>
        </w:tc>
        <w:tc>
          <w:tcPr>
            <w:tcW w:w="445" w:type="pct"/>
          </w:tcPr>
          <w:p w14:paraId="54B84BD7" w14:textId="77777777" w:rsidR="00071A48" w:rsidRPr="003726FE" w:rsidRDefault="00071A48" w:rsidP="00071A48">
            <w:pPr>
              <w:pStyle w:val="RightAlign"/>
              <w:rPr>
                <w:lang w:val="en-GB"/>
              </w:rPr>
            </w:pPr>
            <w:r w:rsidRPr="003726FE">
              <w:rPr>
                <w:lang w:val="en-GB"/>
              </w:rPr>
              <w:t>22</w:t>
            </w:r>
          </w:p>
        </w:tc>
      </w:tr>
      <w:tr w:rsidR="00071A48" w:rsidRPr="003726FE" w14:paraId="158504FB"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7867ECA" w14:textId="77777777" w:rsidR="00071A48" w:rsidRPr="003726FE" w:rsidRDefault="00071A48" w:rsidP="00071A48">
            <w:pPr>
              <w:ind w:left="900"/>
              <w:rPr>
                <w:i/>
                <w:lang w:val="en-GB"/>
              </w:rPr>
            </w:pPr>
            <w:r w:rsidRPr="003726FE">
              <w:rPr>
                <w:i/>
                <w:lang w:val="en-GB"/>
              </w:rPr>
              <w:t>avoiding feedback</w:t>
            </w:r>
          </w:p>
        </w:tc>
        <w:tc>
          <w:tcPr>
            <w:tcW w:w="2632" w:type="pct"/>
          </w:tcPr>
          <w:p w14:paraId="3DBADC15" w14:textId="77777777" w:rsidR="00071A48" w:rsidRPr="003726FE" w:rsidRDefault="00071A48" w:rsidP="00071A48">
            <w:pPr>
              <w:rPr>
                <w:lang w:val="en-GB"/>
              </w:rPr>
            </w:pPr>
            <w:r w:rsidRPr="003726FE">
              <w:rPr>
                <w:lang w:val="en-GB"/>
              </w:rPr>
              <w:t>Instances where students purposefully describe avoiding feedback opportunities</w:t>
            </w:r>
          </w:p>
        </w:tc>
        <w:tc>
          <w:tcPr>
            <w:tcW w:w="344" w:type="pct"/>
          </w:tcPr>
          <w:p w14:paraId="4499DD28" w14:textId="77777777" w:rsidR="00071A48" w:rsidRPr="003726FE" w:rsidRDefault="00071A48" w:rsidP="00071A48">
            <w:pPr>
              <w:pStyle w:val="RightAlign"/>
              <w:rPr>
                <w:lang w:val="en-GB"/>
              </w:rPr>
            </w:pPr>
            <w:r w:rsidRPr="003726FE">
              <w:rPr>
                <w:lang w:val="en-GB"/>
              </w:rPr>
              <w:t>2</w:t>
            </w:r>
          </w:p>
        </w:tc>
        <w:tc>
          <w:tcPr>
            <w:tcW w:w="445" w:type="pct"/>
          </w:tcPr>
          <w:p w14:paraId="5DC624F7" w14:textId="77777777" w:rsidR="00071A48" w:rsidRPr="003726FE" w:rsidRDefault="00071A48" w:rsidP="00071A48">
            <w:pPr>
              <w:pStyle w:val="RightAlign"/>
              <w:rPr>
                <w:lang w:val="en-GB"/>
              </w:rPr>
            </w:pPr>
            <w:r w:rsidRPr="003726FE">
              <w:rPr>
                <w:lang w:val="en-GB"/>
              </w:rPr>
              <w:t>2</w:t>
            </w:r>
          </w:p>
        </w:tc>
      </w:tr>
      <w:tr w:rsidR="00071A48" w:rsidRPr="003726FE" w14:paraId="6D8881EF"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B1CBE38" w14:textId="77777777" w:rsidR="00071A48" w:rsidRPr="003726FE" w:rsidRDefault="00071A48" w:rsidP="00071A48">
            <w:pPr>
              <w:ind w:left="450"/>
              <w:rPr>
                <w:lang w:val="en-GB"/>
              </w:rPr>
            </w:pPr>
            <w:r w:rsidRPr="003726FE">
              <w:rPr>
                <w:lang w:val="en-GB"/>
              </w:rPr>
              <w:t>Seeking feedback</w:t>
            </w:r>
          </w:p>
        </w:tc>
        <w:tc>
          <w:tcPr>
            <w:tcW w:w="2632" w:type="pct"/>
          </w:tcPr>
          <w:p w14:paraId="08BA2431" w14:textId="77777777" w:rsidR="00071A48" w:rsidRPr="003726FE" w:rsidRDefault="00071A48" w:rsidP="00071A48">
            <w:pPr>
              <w:rPr>
                <w:lang w:val="en-GB"/>
              </w:rPr>
            </w:pPr>
            <w:r w:rsidRPr="003726FE">
              <w:rPr>
                <w:lang w:val="en-GB"/>
              </w:rPr>
              <w:t>Feedback seeking behaviours</w:t>
            </w:r>
          </w:p>
        </w:tc>
        <w:tc>
          <w:tcPr>
            <w:tcW w:w="344" w:type="pct"/>
          </w:tcPr>
          <w:p w14:paraId="680B27F7" w14:textId="77777777" w:rsidR="00071A48" w:rsidRPr="003726FE" w:rsidRDefault="00071A48" w:rsidP="00071A48">
            <w:pPr>
              <w:pStyle w:val="RightAlign"/>
              <w:rPr>
                <w:lang w:val="en-GB"/>
              </w:rPr>
            </w:pPr>
            <w:r w:rsidRPr="003726FE">
              <w:rPr>
                <w:lang w:val="en-GB"/>
              </w:rPr>
              <w:t>17</w:t>
            </w:r>
          </w:p>
        </w:tc>
        <w:tc>
          <w:tcPr>
            <w:tcW w:w="445" w:type="pct"/>
          </w:tcPr>
          <w:p w14:paraId="0F092977" w14:textId="77777777" w:rsidR="00071A48" w:rsidRPr="003726FE" w:rsidRDefault="00071A48" w:rsidP="00071A48">
            <w:pPr>
              <w:pStyle w:val="RightAlign"/>
              <w:rPr>
                <w:lang w:val="en-GB"/>
              </w:rPr>
            </w:pPr>
            <w:r w:rsidRPr="003726FE">
              <w:rPr>
                <w:lang w:val="en-GB"/>
              </w:rPr>
              <w:t>20</w:t>
            </w:r>
          </w:p>
        </w:tc>
      </w:tr>
      <w:tr w:rsidR="00071A48" w:rsidRPr="003726FE" w14:paraId="571B0262"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8EDA782" w14:textId="77777777" w:rsidR="00071A48" w:rsidRPr="003726FE" w:rsidRDefault="00071A48" w:rsidP="00071A48">
            <w:pPr>
              <w:ind w:left="450"/>
              <w:rPr>
                <w:lang w:val="en-GB"/>
              </w:rPr>
            </w:pPr>
            <w:r w:rsidRPr="003726FE">
              <w:rPr>
                <w:lang w:val="en-GB"/>
              </w:rPr>
              <w:t>Understanding feedback</w:t>
            </w:r>
          </w:p>
        </w:tc>
        <w:tc>
          <w:tcPr>
            <w:tcW w:w="2632" w:type="pct"/>
          </w:tcPr>
          <w:p w14:paraId="403FFF77" w14:textId="77777777" w:rsidR="00071A48" w:rsidRPr="003726FE" w:rsidRDefault="00071A48" w:rsidP="00071A48">
            <w:pPr>
              <w:rPr>
                <w:lang w:val="en-GB"/>
              </w:rPr>
            </w:pPr>
            <w:r w:rsidRPr="003726FE">
              <w:rPr>
                <w:lang w:val="en-GB"/>
              </w:rPr>
              <w:t>How feedback is interpreted when received</w:t>
            </w:r>
          </w:p>
        </w:tc>
        <w:tc>
          <w:tcPr>
            <w:tcW w:w="344" w:type="pct"/>
          </w:tcPr>
          <w:p w14:paraId="72385EE1" w14:textId="77777777" w:rsidR="00071A48" w:rsidRPr="003726FE" w:rsidRDefault="00071A48" w:rsidP="00071A48">
            <w:pPr>
              <w:pStyle w:val="RightAlign"/>
              <w:rPr>
                <w:lang w:val="en-GB"/>
              </w:rPr>
            </w:pPr>
            <w:r w:rsidRPr="003726FE">
              <w:rPr>
                <w:lang w:val="en-GB"/>
              </w:rPr>
              <w:t>6</w:t>
            </w:r>
          </w:p>
        </w:tc>
        <w:tc>
          <w:tcPr>
            <w:tcW w:w="445" w:type="pct"/>
          </w:tcPr>
          <w:p w14:paraId="779CD818" w14:textId="77777777" w:rsidR="00071A48" w:rsidRPr="003726FE" w:rsidRDefault="00071A48" w:rsidP="00071A48">
            <w:pPr>
              <w:pStyle w:val="RightAlign"/>
              <w:rPr>
                <w:lang w:val="en-GB"/>
              </w:rPr>
            </w:pPr>
            <w:r w:rsidRPr="003726FE">
              <w:rPr>
                <w:lang w:val="en-GB"/>
              </w:rPr>
              <w:t>14</w:t>
            </w:r>
          </w:p>
        </w:tc>
      </w:tr>
      <w:tr w:rsidR="00071A48" w:rsidRPr="003726FE" w14:paraId="77621301"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2375892" w14:textId="77777777" w:rsidR="00071A48" w:rsidRPr="003726FE" w:rsidRDefault="00071A48" w:rsidP="00071A48">
            <w:pPr>
              <w:rPr>
                <w:b/>
                <w:lang w:val="en-GB"/>
              </w:rPr>
            </w:pPr>
            <w:r w:rsidRPr="003726FE">
              <w:rPr>
                <w:b/>
                <w:lang w:val="en-GB"/>
              </w:rPr>
              <w:t>Research factors</w:t>
            </w:r>
          </w:p>
        </w:tc>
        <w:tc>
          <w:tcPr>
            <w:tcW w:w="2632" w:type="pct"/>
          </w:tcPr>
          <w:p w14:paraId="604DB340" w14:textId="77777777" w:rsidR="00071A48" w:rsidRPr="003726FE" w:rsidRDefault="00071A48" w:rsidP="00071A48">
            <w:pPr>
              <w:rPr>
                <w:lang w:val="en-GB"/>
              </w:rPr>
            </w:pPr>
            <w:r w:rsidRPr="003726FE">
              <w:rPr>
                <w:lang w:val="en-GB"/>
              </w:rPr>
              <w:t>Factors of interest to this specific research project which were inorganic to the conversations (operations etc.)</w:t>
            </w:r>
          </w:p>
        </w:tc>
        <w:tc>
          <w:tcPr>
            <w:tcW w:w="344" w:type="pct"/>
          </w:tcPr>
          <w:p w14:paraId="1FE292C4" w14:textId="77777777" w:rsidR="00071A48" w:rsidRPr="003726FE" w:rsidRDefault="00071A48" w:rsidP="00071A48">
            <w:pPr>
              <w:pStyle w:val="RightAlign"/>
              <w:rPr>
                <w:lang w:val="en-GB"/>
              </w:rPr>
            </w:pPr>
            <w:r w:rsidRPr="003726FE">
              <w:rPr>
                <w:lang w:val="en-GB"/>
              </w:rPr>
              <w:t>23</w:t>
            </w:r>
          </w:p>
        </w:tc>
        <w:tc>
          <w:tcPr>
            <w:tcW w:w="445" w:type="pct"/>
          </w:tcPr>
          <w:p w14:paraId="52252DFD" w14:textId="77777777" w:rsidR="00071A48" w:rsidRPr="003726FE" w:rsidRDefault="00071A48" w:rsidP="00071A48">
            <w:pPr>
              <w:pStyle w:val="RightAlign"/>
              <w:rPr>
                <w:lang w:val="en-GB"/>
              </w:rPr>
            </w:pPr>
            <w:r w:rsidRPr="003726FE">
              <w:rPr>
                <w:lang w:val="en-GB"/>
              </w:rPr>
              <w:t>96</w:t>
            </w:r>
          </w:p>
        </w:tc>
      </w:tr>
      <w:tr w:rsidR="00071A48" w:rsidRPr="003726FE" w14:paraId="76DF98EA"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0880143D" w14:textId="77777777" w:rsidR="00071A48" w:rsidRPr="003726FE" w:rsidRDefault="00071A48" w:rsidP="00071A48">
            <w:pPr>
              <w:ind w:left="450"/>
              <w:rPr>
                <w:lang w:val="en-GB"/>
              </w:rPr>
            </w:pPr>
            <w:r w:rsidRPr="003726FE">
              <w:rPr>
                <w:lang w:val="en-GB"/>
              </w:rPr>
              <w:t>Advice to others</w:t>
            </w:r>
          </w:p>
        </w:tc>
        <w:tc>
          <w:tcPr>
            <w:tcW w:w="2632" w:type="pct"/>
          </w:tcPr>
          <w:p w14:paraId="349519D7" w14:textId="77777777" w:rsidR="00071A48" w:rsidRPr="003726FE" w:rsidRDefault="00071A48" w:rsidP="00071A48">
            <w:pPr>
              <w:rPr>
                <w:lang w:val="en-GB"/>
              </w:rPr>
            </w:pPr>
            <w:r w:rsidRPr="003726FE">
              <w:rPr>
                <w:lang w:val="en-GB"/>
              </w:rPr>
              <w:t>What advice students would give to others just about to start placement</w:t>
            </w:r>
          </w:p>
        </w:tc>
        <w:tc>
          <w:tcPr>
            <w:tcW w:w="344" w:type="pct"/>
          </w:tcPr>
          <w:p w14:paraId="570D10FD" w14:textId="77777777" w:rsidR="00071A48" w:rsidRPr="003726FE" w:rsidRDefault="00071A48" w:rsidP="00071A48">
            <w:pPr>
              <w:pStyle w:val="RightAlign"/>
              <w:rPr>
                <w:lang w:val="en-GB"/>
              </w:rPr>
            </w:pPr>
            <w:r w:rsidRPr="003726FE">
              <w:rPr>
                <w:lang w:val="en-GB"/>
              </w:rPr>
              <w:t>16</w:t>
            </w:r>
          </w:p>
        </w:tc>
        <w:tc>
          <w:tcPr>
            <w:tcW w:w="445" w:type="pct"/>
          </w:tcPr>
          <w:p w14:paraId="2B51A97B" w14:textId="77777777" w:rsidR="00071A48" w:rsidRPr="003726FE" w:rsidRDefault="00071A48" w:rsidP="00071A48">
            <w:pPr>
              <w:pStyle w:val="RightAlign"/>
              <w:rPr>
                <w:lang w:val="en-GB"/>
              </w:rPr>
            </w:pPr>
            <w:r w:rsidRPr="003726FE">
              <w:rPr>
                <w:lang w:val="en-GB"/>
              </w:rPr>
              <w:t>16</w:t>
            </w:r>
          </w:p>
        </w:tc>
      </w:tr>
      <w:tr w:rsidR="00071A48" w:rsidRPr="003726FE" w14:paraId="50ADBCC0"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7AFA42EA" w14:textId="77777777" w:rsidR="00071A48" w:rsidRPr="003726FE" w:rsidRDefault="00071A48" w:rsidP="00071A48">
            <w:pPr>
              <w:ind w:left="450"/>
              <w:rPr>
                <w:lang w:val="en-GB"/>
              </w:rPr>
            </w:pPr>
            <w:r w:rsidRPr="003726FE">
              <w:rPr>
                <w:lang w:val="en-GB"/>
              </w:rPr>
              <w:lastRenderedPageBreak/>
              <w:t>Day reflected upon</w:t>
            </w:r>
          </w:p>
        </w:tc>
        <w:tc>
          <w:tcPr>
            <w:tcW w:w="2632" w:type="pct"/>
          </w:tcPr>
          <w:p w14:paraId="6DE5F93A" w14:textId="77777777" w:rsidR="00071A48" w:rsidRPr="003726FE" w:rsidRDefault="00071A48" w:rsidP="00071A48">
            <w:pPr>
              <w:rPr>
                <w:lang w:val="en-GB"/>
              </w:rPr>
            </w:pPr>
            <w:r w:rsidRPr="003726FE">
              <w:rPr>
                <w:lang w:val="en-GB"/>
              </w:rPr>
              <w:t>The description of typical days on placement</w:t>
            </w:r>
          </w:p>
        </w:tc>
        <w:tc>
          <w:tcPr>
            <w:tcW w:w="344" w:type="pct"/>
          </w:tcPr>
          <w:p w14:paraId="2A970767" w14:textId="77777777" w:rsidR="00071A48" w:rsidRPr="003726FE" w:rsidRDefault="00071A48" w:rsidP="00071A48">
            <w:pPr>
              <w:pStyle w:val="RightAlign"/>
              <w:rPr>
                <w:lang w:val="en-GB"/>
              </w:rPr>
            </w:pPr>
            <w:r w:rsidRPr="003726FE">
              <w:rPr>
                <w:lang w:val="en-GB"/>
              </w:rPr>
              <w:t>23</w:t>
            </w:r>
          </w:p>
        </w:tc>
        <w:tc>
          <w:tcPr>
            <w:tcW w:w="445" w:type="pct"/>
          </w:tcPr>
          <w:p w14:paraId="7F03D275" w14:textId="77777777" w:rsidR="00071A48" w:rsidRPr="003726FE" w:rsidRDefault="00071A48" w:rsidP="00071A48">
            <w:pPr>
              <w:pStyle w:val="RightAlign"/>
              <w:rPr>
                <w:lang w:val="en-GB"/>
              </w:rPr>
            </w:pPr>
            <w:r w:rsidRPr="003726FE">
              <w:rPr>
                <w:lang w:val="en-GB"/>
              </w:rPr>
              <w:t>26</w:t>
            </w:r>
          </w:p>
        </w:tc>
      </w:tr>
      <w:tr w:rsidR="00071A48" w:rsidRPr="003726FE" w14:paraId="11420DBA"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42F0178" w14:textId="77777777" w:rsidR="00071A48" w:rsidRPr="003726FE" w:rsidRDefault="00071A48" w:rsidP="00071A48">
            <w:pPr>
              <w:ind w:left="900"/>
              <w:rPr>
                <w:i/>
                <w:lang w:val="en-GB"/>
              </w:rPr>
            </w:pPr>
            <w:r w:rsidRPr="003726FE">
              <w:rPr>
                <w:i/>
                <w:lang w:val="en-GB"/>
              </w:rPr>
              <w:t>Choice of day reflection</w:t>
            </w:r>
          </w:p>
        </w:tc>
        <w:tc>
          <w:tcPr>
            <w:tcW w:w="2632" w:type="pct"/>
          </w:tcPr>
          <w:p w14:paraId="0A582BC5" w14:textId="77777777" w:rsidR="00071A48" w:rsidRPr="003726FE" w:rsidRDefault="00071A48" w:rsidP="00071A48">
            <w:pPr>
              <w:rPr>
                <w:lang w:val="en-GB"/>
              </w:rPr>
            </w:pPr>
            <w:r w:rsidRPr="003726FE">
              <w:rPr>
                <w:lang w:val="en-GB"/>
              </w:rPr>
              <w:t>Why students chose that particular day to reflect upon</w:t>
            </w:r>
          </w:p>
        </w:tc>
        <w:tc>
          <w:tcPr>
            <w:tcW w:w="344" w:type="pct"/>
          </w:tcPr>
          <w:p w14:paraId="7393C981" w14:textId="77777777" w:rsidR="00071A48" w:rsidRPr="003726FE" w:rsidRDefault="00071A48" w:rsidP="00071A48">
            <w:pPr>
              <w:pStyle w:val="RightAlign"/>
              <w:rPr>
                <w:lang w:val="en-GB"/>
              </w:rPr>
            </w:pPr>
            <w:r w:rsidRPr="003726FE">
              <w:rPr>
                <w:lang w:val="en-GB"/>
              </w:rPr>
              <w:t>3</w:t>
            </w:r>
          </w:p>
        </w:tc>
        <w:tc>
          <w:tcPr>
            <w:tcW w:w="445" w:type="pct"/>
          </w:tcPr>
          <w:p w14:paraId="07A648C3" w14:textId="77777777" w:rsidR="00071A48" w:rsidRPr="003726FE" w:rsidRDefault="00071A48" w:rsidP="00071A48">
            <w:pPr>
              <w:pStyle w:val="RightAlign"/>
              <w:rPr>
                <w:lang w:val="en-GB"/>
              </w:rPr>
            </w:pPr>
            <w:r w:rsidRPr="003726FE">
              <w:rPr>
                <w:lang w:val="en-GB"/>
              </w:rPr>
              <w:t>3</w:t>
            </w:r>
          </w:p>
        </w:tc>
      </w:tr>
      <w:tr w:rsidR="00071A48" w:rsidRPr="003726FE" w14:paraId="5B5B4BBA"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E15447B" w14:textId="77777777" w:rsidR="00071A48" w:rsidRPr="003726FE" w:rsidRDefault="00071A48" w:rsidP="00071A48">
            <w:pPr>
              <w:ind w:left="450"/>
              <w:rPr>
                <w:lang w:val="en-GB"/>
              </w:rPr>
            </w:pPr>
            <w:r w:rsidRPr="003726FE">
              <w:rPr>
                <w:lang w:val="en-GB"/>
              </w:rPr>
              <w:t>Opportunity to re do the placement</w:t>
            </w:r>
          </w:p>
        </w:tc>
        <w:tc>
          <w:tcPr>
            <w:tcW w:w="2632" w:type="pct"/>
          </w:tcPr>
          <w:p w14:paraId="00F0E719" w14:textId="77777777" w:rsidR="00071A48" w:rsidRPr="003726FE" w:rsidRDefault="00071A48" w:rsidP="00071A48">
            <w:pPr>
              <w:rPr>
                <w:lang w:val="en-GB"/>
              </w:rPr>
            </w:pPr>
            <w:r w:rsidRPr="003726FE">
              <w:rPr>
                <w:lang w:val="en-GB"/>
              </w:rPr>
              <w:t>What students would do if they could repeat the placement</w:t>
            </w:r>
          </w:p>
        </w:tc>
        <w:tc>
          <w:tcPr>
            <w:tcW w:w="344" w:type="pct"/>
          </w:tcPr>
          <w:p w14:paraId="34DE5757" w14:textId="77777777" w:rsidR="00071A48" w:rsidRPr="003726FE" w:rsidRDefault="00071A48" w:rsidP="00071A48">
            <w:pPr>
              <w:pStyle w:val="RightAlign"/>
              <w:rPr>
                <w:lang w:val="en-GB"/>
              </w:rPr>
            </w:pPr>
            <w:r w:rsidRPr="003726FE">
              <w:rPr>
                <w:lang w:val="en-GB"/>
              </w:rPr>
              <w:t>16</w:t>
            </w:r>
          </w:p>
        </w:tc>
        <w:tc>
          <w:tcPr>
            <w:tcW w:w="445" w:type="pct"/>
          </w:tcPr>
          <w:p w14:paraId="50C9735B" w14:textId="77777777" w:rsidR="00071A48" w:rsidRPr="003726FE" w:rsidRDefault="00071A48" w:rsidP="00071A48">
            <w:pPr>
              <w:pStyle w:val="RightAlign"/>
              <w:rPr>
                <w:lang w:val="en-GB"/>
              </w:rPr>
            </w:pPr>
            <w:r w:rsidRPr="003726FE">
              <w:rPr>
                <w:lang w:val="en-GB"/>
              </w:rPr>
              <w:t>16</w:t>
            </w:r>
          </w:p>
        </w:tc>
      </w:tr>
      <w:tr w:rsidR="00071A48" w:rsidRPr="003726FE" w14:paraId="0D789CFA"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587502AC" w14:textId="77777777" w:rsidR="00071A48" w:rsidRPr="003726FE" w:rsidRDefault="00071A48" w:rsidP="00071A48">
            <w:pPr>
              <w:ind w:left="450"/>
              <w:rPr>
                <w:lang w:val="en-GB"/>
              </w:rPr>
            </w:pPr>
            <w:r w:rsidRPr="003726FE">
              <w:rPr>
                <w:lang w:val="en-GB"/>
              </w:rPr>
              <w:t>Reflective diary</w:t>
            </w:r>
          </w:p>
        </w:tc>
        <w:tc>
          <w:tcPr>
            <w:tcW w:w="2632" w:type="pct"/>
          </w:tcPr>
          <w:p w14:paraId="1BF4741A" w14:textId="77777777" w:rsidR="00071A48" w:rsidRPr="003726FE" w:rsidRDefault="00071A48" w:rsidP="00071A48">
            <w:pPr>
              <w:rPr>
                <w:lang w:val="en-GB"/>
              </w:rPr>
            </w:pPr>
            <w:r w:rsidRPr="003726FE">
              <w:rPr>
                <w:lang w:val="en-GB"/>
              </w:rPr>
              <w:t>Any reference to the reflective diary</w:t>
            </w:r>
          </w:p>
        </w:tc>
        <w:tc>
          <w:tcPr>
            <w:tcW w:w="344" w:type="pct"/>
          </w:tcPr>
          <w:p w14:paraId="0C16C757" w14:textId="77777777" w:rsidR="00071A48" w:rsidRPr="003726FE" w:rsidRDefault="00071A48" w:rsidP="00071A48">
            <w:pPr>
              <w:pStyle w:val="RightAlign"/>
              <w:rPr>
                <w:lang w:val="en-GB"/>
              </w:rPr>
            </w:pPr>
            <w:r w:rsidRPr="003726FE">
              <w:rPr>
                <w:lang w:val="en-GB"/>
              </w:rPr>
              <w:t>13</w:t>
            </w:r>
          </w:p>
        </w:tc>
        <w:tc>
          <w:tcPr>
            <w:tcW w:w="445" w:type="pct"/>
          </w:tcPr>
          <w:p w14:paraId="60EA096E" w14:textId="77777777" w:rsidR="00071A48" w:rsidRPr="003726FE" w:rsidRDefault="00071A48" w:rsidP="00071A48">
            <w:pPr>
              <w:pStyle w:val="RightAlign"/>
              <w:rPr>
                <w:lang w:val="en-GB"/>
              </w:rPr>
            </w:pPr>
            <w:r w:rsidRPr="003726FE">
              <w:rPr>
                <w:lang w:val="en-GB"/>
              </w:rPr>
              <w:t>13</w:t>
            </w:r>
          </w:p>
        </w:tc>
      </w:tr>
      <w:tr w:rsidR="00071A48" w:rsidRPr="003726FE" w14:paraId="5FA044F2"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72AD864" w14:textId="77777777" w:rsidR="00071A48" w:rsidRPr="003726FE" w:rsidRDefault="00071A48" w:rsidP="00071A48">
            <w:pPr>
              <w:ind w:left="450"/>
              <w:rPr>
                <w:lang w:val="en-GB"/>
              </w:rPr>
            </w:pPr>
            <w:r w:rsidRPr="003726FE">
              <w:rPr>
                <w:lang w:val="en-GB"/>
              </w:rPr>
              <w:t>simulated clinical skills learning and teaching</w:t>
            </w:r>
          </w:p>
        </w:tc>
        <w:tc>
          <w:tcPr>
            <w:tcW w:w="2632" w:type="pct"/>
          </w:tcPr>
          <w:p w14:paraId="71BC6FA8" w14:textId="77777777" w:rsidR="00071A48" w:rsidRPr="003726FE" w:rsidRDefault="00071A48" w:rsidP="00071A48">
            <w:pPr>
              <w:rPr>
                <w:lang w:val="en-GB"/>
              </w:rPr>
            </w:pPr>
            <w:r w:rsidRPr="003726FE">
              <w:rPr>
                <w:lang w:val="en-GB"/>
              </w:rPr>
              <w:t>References to simulated clinical skills where the feedback methods were used</w:t>
            </w:r>
          </w:p>
        </w:tc>
        <w:tc>
          <w:tcPr>
            <w:tcW w:w="344" w:type="pct"/>
          </w:tcPr>
          <w:p w14:paraId="65147F7B" w14:textId="77777777" w:rsidR="00071A48" w:rsidRPr="003726FE" w:rsidRDefault="00071A48" w:rsidP="00071A48">
            <w:pPr>
              <w:pStyle w:val="RightAlign"/>
              <w:rPr>
                <w:lang w:val="en-GB"/>
              </w:rPr>
            </w:pPr>
            <w:r w:rsidRPr="003726FE">
              <w:rPr>
                <w:lang w:val="en-GB"/>
              </w:rPr>
              <w:t>7</w:t>
            </w:r>
          </w:p>
        </w:tc>
        <w:tc>
          <w:tcPr>
            <w:tcW w:w="445" w:type="pct"/>
          </w:tcPr>
          <w:p w14:paraId="5E6B90D6" w14:textId="77777777" w:rsidR="00071A48" w:rsidRPr="003726FE" w:rsidRDefault="00071A48" w:rsidP="00071A48">
            <w:pPr>
              <w:pStyle w:val="RightAlign"/>
              <w:rPr>
                <w:lang w:val="en-GB"/>
              </w:rPr>
            </w:pPr>
            <w:r w:rsidRPr="003726FE">
              <w:rPr>
                <w:lang w:val="en-GB"/>
              </w:rPr>
              <w:t>24</w:t>
            </w:r>
          </w:p>
        </w:tc>
      </w:tr>
      <w:tr w:rsidR="00071A48" w:rsidRPr="003726FE" w14:paraId="3EAC151F"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281E4A3" w14:textId="77777777" w:rsidR="00071A48" w:rsidRPr="003726FE" w:rsidRDefault="00071A48" w:rsidP="00071A48">
            <w:pPr>
              <w:ind w:left="450"/>
              <w:rPr>
                <w:lang w:val="en-GB"/>
              </w:rPr>
            </w:pPr>
            <w:r w:rsidRPr="003726FE">
              <w:rPr>
                <w:lang w:val="en-GB"/>
              </w:rPr>
              <w:t>student asking question</w:t>
            </w:r>
          </w:p>
        </w:tc>
        <w:tc>
          <w:tcPr>
            <w:tcW w:w="2632" w:type="pct"/>
          </w:tcPr>
          <w:p w14:paraId="6C2D0A31" w14:textId="77777777" w:rsidR="00071A48" w:rsidRPr="003726FE" w:rsidRDefault="00071A48" w:rsidP="00071A48">
            <w:pPr>
              <w:rPr>
                <w:lang w:val="en-GB"/>
              </w:rPr>
            </w:pPr>
            <w:r w:rsidRPr="003726FE">
              <w:rPr>
                <w:lang w:val="en-GB"/>
              </w:rPr>
              <w:t>Once instance of a student asking a question in a focus group to their colleagues</w:t>
            </w:r>
          </w:p>
        </w:tc>
        <w:tc>
          <w:tcPr>
            <w:tcW w:w="344" w:type="pct"/>
          </w:tcPr>
          <w:p w14:paraId="16ECF6DC" w14:textId="77777777" w:rsidR="00071A48" w:rsidRPr="003726FE" w:rsidRDefault="00071A48" w:rsidP="00071A48">
            <w:pPr>
              <w:pStyle w:val="RightAlign"/>
              <w:rPr>
                <w:lang w:val="en-GB"/>
              </w:rPr>
            </w:pPr>
            <w:r w:rsidRPr="003726FE">
              <w:rPr>
                <w:lang w:val="en-GB"/>
              </w:rPr>
              <w:t>1</w:t>
            </w:r>
          </w:p>
        </w:tc>
        <w:tc>
          <w:tcPr>
            <w:tcW w:w="445" w:type="pct"/>
          </w:tcPr>
          <w:p w14:paraId="1BC70F8B" w14:textId="77777777" w:rsidR="00071A48" w:rsidRPr="003726FE" w:rsidRDefault="00071A48" w:rsidP="00071A48">
            <w:pPr>
              <w:pStyle w:val="RightAlign"/>
              <w:rPr>
                <w:lang w:val="en-GB"/>
              </w:rPr>
            </w:pPr>
            <w:r w:rsidRPr="003726FE">
              <w:rPr>
                <w:lang w:val="en-GB"/>
              </w:rPr>
              <w:t>1</w:t>
            </w:r>
          </w:p>
        </w:tc>
      </w:tr>
      <w:tr w:rsidR="00071A48" w:rsidRPr="003726FE" w14:paraId="308C3FD2" w14:textId="77777777" w:rsidTr="004E781D">
        <w:trPr>
          <w:cnfStyle w:val="000000010000" w:firstRow="0" w:lastRow="0" w:firstColumn="0" w:lastColumn="0" w:oddVBand="0" w:evenVBand="0" w:oddHBand="0" w:evenHBand="1" w:firstRowFirstColumn="0" w:firstRowLastColumn="0" w:lastRowFirstColumn="0" w:lastRowLastColumn="0"/>
          <w:trHeight w:val="578"/>
        </w:trPr>
        <w:tc>
          <w:tcPr>
            <w:tcW w:w="1579" w:type="pct"/>
          </w:tcPr>
          <w:p w14:paraId="6AB326FE" w14:textId="77777777" w:rsidR="00071A48" w:rsidRPr="003726FE" w:rsidRDefault="00071A48" w:rsidP="00071A48">
            <w:pPr>
              <w:rPr>
                <w:b/>
                <w:lang w:val="en-GB"/>
              </w:rPr>
            </w:pPr>
            <w:r w:rsidRPr="003726FE">
              <w:rPr>
                <w:b/>
                <w:lang w:val="en-GB"/>
              </w:rPr>
              <w:t>Skills on placement</w:t>
            </w:r>
          </w:p>
        </w:tc>
        <w:tc>
          <w:tcPr>
            <w:tcW w:w="2632" w:type="pct"/>
          </w:tcPr>
          <w:p w14:paraId="75EBCB37" w14:textId="77777777" w:rsidR="00071A48" w:rsidRPr="003726FE" w:rsidRDefault="00071A48" w:rsidP="00071A48">
            <w:pPr>
              <w:rPr>
                <w:lang w:val="en-GB"/>
              </w:rPr>
            </w:pPr>
            <w:r w:rsidRPr="003726FE">
              <w:rPr>
                <w:lang w:val="en-GB"/>
              </w:rPr>
              <w:t>References to skills on placement</w:t>
            </w:r>
          </w:p>
        </w:tc>
        <w:tc>
          <w:tcPr>
            <w:tcW w:w="344" w:type="pct"/>
          </w:tcPr>
          <w:p w14:paraId="71E0013A" w14:textId="77777777" w:rsidR="00071A48" w:rsidRPr="003726FE" w:rsidRDefault="00071A48" w:rsidP="00071A48">
            <w:pPr>
              <w:pStyle w:val="RightAlign"/>
              <w:rPr>
                <w:lang w:val="en-GB"/>
              </w:rPr>
            </w:pPr>
            <w:r w:rsidRPr="003726FE">
              <w:rPr>
                <w:lang w:val="en-GB"/>
              </w:rPr>
              <w:t>15</w:t>
            </w:r>
          </w:p>
        </w:tc>
        <w:tc>
          <w:tcPr>
            <w:tcW w:w="445" w:type="pct"/>
          </w:tcPr>
          <w:p w14:paraId="399BFED7" w14:textId="77777777" w:rsidR="00071A48" w:rsidRPr="003726FE" w:rsidRDefault="00071A48" w:rsidP="00071A48">
            <w:pPr>
              <w:pStyle w:val="RightAlign"/>
              <w:rPr>
                <w:lang w:val="en-GB"/>
              </w:rPr>
            </w:pPr>
            <w:r w:rsidRPr="003726FE">
              <w:rPr>
                <w:lang w:val="en-GB"/>
              </w:rPr>
              <w:t>26</w:t>
            </w:r>
          </w:p>
        </w:tc>
      </w:tr>
      <w:tr w:rsidR="00071A48" w:rsidRPr="003726FE" w14:paraId="07BAF02C"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0F791A3B" w14:textId="77777777" w:rsidR="00071A48" w:rsidRPr="003726FE" w:rsidRDefault="00071A48" w:rsidP="00071A48">
            <w:pPr>
              <w:ind w:left="450"/>
              <w:rPr>
                <w:lang w:val="en-GB"/>
              </w:rPr>
            </w:pPr>
            <w:r w:rsidRPr="003726FE">
              <w:rPr>
                <w:lang w:val="en-GB"/>
              </w:rPr>
              <w:t>clinical skill example</w:t>
            </w:r>
          </w:p>
        </w:tc>
        <w:tc>
          <w:tcPr>
            <w:tcW w:w="2632" w:type="pct"/>
          </w:tcPr>
          <w:p w14:paraId="33F01317" w14:textId="77777777" w:rsidR="00071A48" w:rsidRPr="003726FE" w:rsidRDefault="00071A48" w:rsidP="00071A48">
            <w:pPr>
              <w:rPr>
                <w:lang w:val="en-GB"/>
              </w:rPr>
            </w:pPr>
            <w:r w:rsidRPr="003726FE">
              <w:rPr>
                <w:lang w:val="en-GB"/>
              </w:rPr>
              <w:t>Specific clinical skills examples</w:t>
            </w:r>
          </w:p>
        </w:tc>
        <w:tc>
          <w:tcPr>
            <w:tcW w:w="344" w:type="pct"/>
          </w:tcPr>
          <w:p w14:paraId="1C19220A" w14:textId="77777777" w:rsidR="00071A48" w:rsidRPr="003726FE" w:rsidRDefault="00071A48" w:rsidP="00071A48">
            <w:pPr>
              <w:pStyle w:val="RightAlign"/>
              <w:rPr>
                <w:lang w:val="en-GB"/>
              </w:rPr>
            </w:pPr>
            <w:r w:rsidRPr="003726FE">
              <w:rPr>
                <w:lang w:val="en-GB"/>
              </w:rPr>
              <w:t>5</w:t>
            </w:r>
          </w:p>
        </w:tc>
        <w:tc>
          <w:tcPr>
            <w:tcW w:w="445" w:type="pct"/>
          </w:tcPr>
          <w:p w14:paraId="0B3B9474" w14:textId="77777777" w:rsidR="00071A48" w:rsidRPr="003726FE" w:rsidRDefault="00071A48" w:rsidP="00071A48">
            <w:pPr>
              <w:pStyle w:val="RightAlign"/>
              <w:rPr>
                <w:lang w:val="en-GB"/>
              </w:rPr>
            </w:pPr>
            <w:r w:rsidRPr="003726FE">
              <w:rPr>
                <w:lang w:val="en-GB"/>
              </w:rPr>
              <w:t>7</w:t>
            </w:r>
          </w:p>
        </w:tc>
      </w:tr>
      <w:tr w:rsidR="00071A48" w:rsidRPr="003726FE" w14:paraId="64CAFEFC"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99C8D25" w14:textId="77777777" w:rsidR="00071A48" w:rsidRPr="003726FE" w:rsidRDefault="00071A48" w:rsidP="00071A48">
            <w:pPr>
              <w:ind w:left="450"/>
              <w:rPr>
                <w:lang w:val="en-GB"/>
              </w:rPr>
            </w:pPr>
            <w:r w:rsidRPr="003726FE">
              <w:rPr>
                <w:lang w:val="en-GB"/>
              </w:rPr>
              <w:t>communication</w:t>
            </w:r>
          </w:p>
        </w:tc>
        <w:tc>
          <w:tcPr>
            <w:tcW w:w="2632" w:type="pct"/>
          </w:tcPr>
          <w:p w14:paraId="75DF9104" w14:textId="77777777" w:rsidR="00071A48" w:rsidRPr="003726FE" w:rsidRDefault="00071A48" w:rsidP="00071A48">
            <w:pPr>
              <w:rPr>
                <w:lang w:val="en-GB"/>
              </w:rPr>
            </w:pPr>
            <w:r w:rsidRPr="003726FE">
              <w:rPr>
                <w:lang w:val="en-GB"/>
              </w:rPr>
              <w:t>Communication skill mentioned, usually in terms of patients</w:t>
            </w:r>
          </w:p>
        </w:tc>
        <w:tc>
          <w:tcPr>
            <w:tcW w:w="344" w:type="pct"/>
          </w:tcPr>
          <w:p w14:paraId="1CCB38B9" w14:textId="77777777" w:rsidR="00071A48" w:rsidRPr="003726FE" w:rsidRDefault="00071A48" w:rsidP="00071A48">
            <w:pPr>
              <w:pStyle w:val="RightAlign"/>
              <w:rPr>
                <w:lang w:val="en-GB"/>
              </w:rPr>
            </w:pPr>
            <w:r w:rsidRPr="003726FE">
              <w:rPr>
                <w:lang w:val="en-GB"/>
              </w:rPr>
              <w:t>10</w:t>
            </w:r>
          </w:p>
        </w:tc>
        <w:tc>
          <w:tcPr>
            <w:tcW w:w="445" w:type="pct"/>
          </w:tcPr>
          <w:p w14:paraId="3B4BC4D5" w14:textId="77777777" w:rsidR="00071A48" w:rsidRPr="003726FE" w:rsidRDefault="00071A48" w:rsidP="00071A48">
            <w:pPr>
              <w:pStyle w:val="RightAlign"/>
              <w:rPr>
                <w:lang w:val="en-GB"/>
              </w:rPr>
            </w:pPr>
            <w:r w:rsidRPr="003726FE">
              <w:rPr>
                <w:lang w:val="en-GB"/>
              </w:rPr>
              <w:t>16</w:t>
            </w:r>
          </w:p>
        </w:tc>
      </w:tr>
      <w:tr w:rsidR="00071A48" w:rsidRPr="003726FE" w14:paraId="1F1BEDA6"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5AA5010E" w14:textId="77777777" w:rsidR="00071A48" w:rsidRPr="003726FE" w:rsidRDefault="00071A48" w:rsidP="00071A48">
            <w:pPr>
              <w:ind w:left="450"/>
              <w:rPr>
                <w:lang w:val="en-GB"/>
              </w:rPr>
            </w:pPr>
            <w:r w:rsidRPr="003726FE">
              <w:rPr>
                <w:lang w:val="en-GB"/>
              </w:rPr>
              <w:t>repeated practice</w:t>
            </w:r>
          </w:p>
        </w:tc>
        <w:tc>
          <w:tcPr>
            <w:tcW w:w="2632" w:type="pct"/>
          </w:tcPr>
          <w:p w14:paraId="07266B6D" w14:textId="77777777" w:rsidR="00071A48" w:rsidRPr="003726FE" w:rsidRDefault="00071A48" w:rsidP="00071A48">
            <w:pPr>
              <w:rPr>
                <w:lang w:val="en-GB"/>
              </w:rPr>
            </w:pPr>
            <w:r w:rsidRPr="003726FE">
              <w:rPr>
                <w:lang w:val="en-GB"/>
              </w:rPr>
              <w:t>Opportunities to re-do skills</w:t>
            </w:r>
          </w:p>
        </w:tc>
        <w:tc>
          <w:tcPr>
            <w:tcW w:w="344" w:type="pct"/>
          </w:tcPr>
          <w:p w14:paraId="67F3F94E" w14:textId="77777777" w:rsidR="00071A48" w:rsidRPr="003726FE" w:rsidRDefault="00071A48" w:rsidP="00071A48">
            <w:pPr>
              <w:pStyle w:val="RightAlign"/>
              <w:rPr>
                <w:lang w:val="en-GB"/>
              </w:rPr>
            </w:pPr>
            <w:r w:rsidRPr="003726FE">
              <w:rPr>
                <w:lang w:val="en-GB"/>
              </w:rPr>
              <w:t>2</w:t>
            </w:r>
          </w:p>
        </w:tc>
        <w:tc>
          <w:tcPr>
            <w:tcW w:w="445" w:type="pct"/>
          </w:tcPr>
          <w:p w14:paraId="15B014D5" w14:textId="77777777" w:rsidR="00071A48" w:rsidRPr="003726FE" w:rsidRDefault="00071A48" w:rsidP="00071A48">
            <w:pPr>
              <w:pStyle w:val="RightAlign"/>
              <w:rPr>
                <w:lang w:val="en-GB"/>
              </w:rPr>
            </w:pPr>
            <w:r w:rsidRPr="003726FE">
              <w:rPr>
                <w:lang w:val="en-GB"/>
              </w:rPr>
              <w:t>2</w:t>
            </w:r>
          </w:p>
        </w:tc>
      </w:tr>
      <w:tr w:rsidR="00071A48" w:rsidRPr="003726FE" w14:paraId="2A257048"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D78AA9C" w14:textId="77777777" w:rsidR="00071A48" w:rsidRPr="003726FE" w:rsidRDefault="00071A48" w:rsidP="00071A48">
            <w:pPr>
              <w:rPr>
                <w:b/>
                <w:lang w:val="en-GB"/>
              </w:rPr>
            </w:pPr>
            <w:r w:rsidRPr="003726FE">
              <w:rPr>
                <w:b/>
                <w:lang w:val="en-GB"/>
              </w:rPr>
              <w:t>SRL Behaviours</w:t>
            </w:r>
          </w:p>
        </w:tc>
        <w:tc>
          <w:tcPr>
            <w:tcW w:w="2632" w:type="pct"/>
          </w:tcPr>
          <w:p w14:paraId="6935EA14" w14:textId="77777777" w:rsidR="00071A48" w:rsidRPr="003726FE" w:rsidRDefault="00071A48" w:rsidP="00116BB2">
            <w:pPr>
              <w:pStyle w:val="Normal1"/>
              <w:rPr>
                <w:lang w:val="en-GB"/>
              </w:rPr>
            </w:pPr>
            <w:r w:rsidRPr="003726FE">
              <w:rPr>
                <w:lang w:val="en-GB"/>
              </w:rPr>
              <w:t>All references to SRL behaviours according to SRL theory used in this study</w:t>
            </w:r>
          </w:p>
        </w:tc>
        <w:tc>
          <w:tcPr>
            <w:tcW w:w="344" w:type="pct"/>
          </w:tcPr>
          <w:p w14:paraId="5461DF13" w14:textId="77777777" w:rsidR="00071A48" w:rsidRPr="003726FE" w:rsidRDefault="00071A48" w:rsidP="00071A48">
            <w:pPr>
              <w:pStyle w:val="RightAlign"/>
              <w:rPr>
                <w:lang w:val="en-GB"/>
              </w:rPr>
            </w:pPr>
            <w:r w:rsidRPr="003726FE">
              <w:rPr>
                <w:lang w:val="en-GB"/>
              </w:rPr>
              <w:t>23</w:t>
            </w:r>
          </w:p>
        </w:tc>
        <w:tc>
          <w:tcPr>
            <w:tcW w:w="445" w:type="pct"/>
          </w:tcPr>
          <w:p w14:paraId="49B7C5A0" w14:textId="77777777" w:rsidR="00071A48" w:rsidRPr="003726FE" w:rsidRDefault="00071A48" w:rsidP="00071A48">
            <w:pPr>
              <w:pStyle w:val="RightAlign"/>
              <w:rPr>
                <w:lang w:val="en-GB"/>
              </w:rPr>
            </w:pPr>
            <w:r w:rsidRPr="003726FE">
              <w:rPr>
                <w:lang w:val="en-GB"/>
              </w:rPr>
              <w:t>380</w:t>
            </w:r>
          </w:p>
        </w:tc>
      </w:tr>
      <w:tr w:rsidR="00071A48" w:rsidRPr="003726FE" w14:paraId="6353488B"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95135DF" w14:textId="77777777" w:rsidR="00071A48" w:rsidRPr="003726FE" w:rsidRDefault="00071A48" w:rsidP="00071A48">
            <w:pPr>
              <w:ind w:left="450"/>
              <w:rPr>
                <w:lang w:val="en-GB"/>
              </w:rPr>
            </w:pPr>
            <w:r w:rsidRPr="003726FE">
              <w:rPr>
                <w:lang w:val="en-GB"/>
              </w:rPr>
              <w:t>Forethought</w:t>
            </w:r>
          </w:p>
        </w:tc>
        <w:tc>
          <w:tcPr>
            <w:tcW w:w="2632" w:type="pct"/>
          </w:tcPr>
          <w:p w14:paraId="3B8CA34C" w14:textId="77777777" w:rsidR="00071A48" w:rsidRPr="003726FE" w:rsidRDefault="00071A48" w:rsidP="00071A48">
            <w:pPr>
              <w:rPr>
                <w:lang w:val="en-GB"/>
              </w:rPr>
            </w:pPr>
            <w:r w:rsidRPr="003726FE">
              <w:rPr>
                <w:lang w:val="en-GB"/>
              </w:rPr>
              <w:t>The forethought phase of the SRL cycle</w:t>
            </w:r>
          </w:p>
        </w:tc>
        <w:tc>
          <w:tcPr>
            <w:tcW w:w="344" w:type="pct"/>
          </w:tcPr>
          <w:p w14:paraId="1D617B0B" w14:textId="77777777" w:rsidR="00071A48" w:rsidRPr="003726FE" w:rsidRDefault="00071A48" w:rsidP="00071A48">
            <w:pPr>
              <w:pStyle w:val="RightAlign"/>
              <w:rPr>
                <w:lang w:val="en-GB"/>
              </w:rPr>
            </w:pPr>
            <w:r w:rsidRPr="003726FE">
              <w:rPr>
                <w:lang w:val="en-GB"/>
              </w:rPr>
              <w:t>23</w:t>
            </w:r>
          </w:p>
        </w:tc>
        <w:tc>
          <w:tcPr>
            <w:tcW w:w="445" w:type="pct"/>
          </w:tcPr>
          <w:p w14:paraId="3FBA2612" w14:textId="77777777" w:rsidR="00071A48" w:rsidRPr="003726FE" w:rsidRDefault="00071A48" w:rsidP="00071A48">
            <w:pPr>
              <w:pStyle w:val="RightAlign"/>
              <w:rPr>
                <w:lang w:val="en-GB"/>
              </w:rPr>
            </w:pPr>
            <w:r w:rsidRPr="003726FE">
              <w:rPr>
                <w:lang w:val="en-GB"/>
              </w:rPr>
              <w:t>198</w:t>
            </w:r>
          </w:p>
        </w:tc>
      </w:tr>
      <w:tr w:rsidR="00071A48" w:rsidRPr="003726FE" w14:paraId="47C1A91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D12EBB1" w14:textId="77777777" w:rsidR="00071A48" w:rsidRPr="003726FE" w:rsidRDefault="00071A48" w:rsidP="00071A48">
            <w:pPr>
              <w:ind w:left="900"/>
              <w:rPr>
                <w:i/>
                <w:lang w:val="en-GB"/>
              </w:rPr>
            </w:pPr>
            <w:r w:rsidRPr="003726FE">
              <w:rPr>
                <w:i/>
                <w:lang w:val="en-GB"/>
              </w:rPr>
              <w:lastRenderedPageBreak/>
              <w:t>Confidence</w:t>
            </w:r>
          </w:p>
        </w:tc>
        <w:tc>
          <w:tcPr>
            <w:tcW w:w="2632" w:type="pct"/>
          </w:tcPr>
          <w:p w14:paraId="29E8AE0F" w14:textId="77777777" w:rsidR="00071A48" w:rsidRPr="003726FE" w:rsidRDefault="00071A48" w:rsidP="00071A48">
            <w:pPr>
              <w:rPr>
                <w:lang w:val="en-GB"/>
              </w:rPr>
            </w:pPr>
            <w:r w:rsidRPr="003726FE">
              <w:rPr>
                <w:lang w:val="en-GB"/>
              </w:rPr>
              <w:t>Self-efficacy or general self-confidence</w:t>
            </w:r>
          </w:p>
        </w:tc>
        <w:tc>
          <w:tcPr>
            <w:tcW w:w="344" w:type="pct"/>
          </w:tcPr>
          <w:p w14:paraId="5E6A373C" w14:textId="77777777" w:rsidR="00071A48" w:rsidRPr="003726FE" w:rsidRDefault="00071A48" w:rsidP="00071A48">
            <w:pPr>
              <w:pStyle w:val="RightAlign"/>
              <w:rPr>
                <w:lang w:val="en-GB"/>
              </w:rPr>
            </w:pPr>
            <w:r w:rsidRPr="003726FE">
              <w:rPr>
                <w:lang w:val="en-GB"/>
              </w:rPr>
              <w:t>22</w:t>
            </w:r>
          </w:p>
        </w:tc>
        <w:tc>
          <w:tcPr>
            <w:tcW w:w="445" w:type="pct"/>
          </w:tcPr>
          <w:p w14:paraId="2BD5E512" w14:textId="77777777" w:rsidR="00071A48" w:rsidRPr="003726FE" w:rsidRDefault="00071A48" w:rsidP="00071A48">
            <w:pPr>
              <w:pStyle w:val="RightAlign"/>
              <w:rPr>
                <w:lang w:val="en-GB"/>
              </w:rPr>
            </w:pPr>
            <w:r w:rsidRPr="003726FE">
              <w:rPr>
                <w:lang w:val="en-GB"/>
              </w:rPr>
              <w:t>64</w:t>
            </w:r>
          </w:p>
        </w:tc>
      </w:tr>
      <w:tr w:rsidR="00071A48" w:rsidRPr="003726FE" w14:paraId="240583F1"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6B8006F5" w14:textId="77777777" w:rsidR="00071A48" w:rsidRPr="003726FE" w:rsidRDefault="00071A48" w:rsidP="00071A48">
            <w:pPr>
              <w:ind w:left="900"/>
              <w:rPr>
                <w:i/>
                <w:lang w:val="en-GB"/>
              </w:rPr>
            </w:pPr>
            <w:r w:rsidRPr="003726FE">
              <w:rPr>
                <w:i/>
                <w:lang w:val="en-GB"/>
              </w:rPr>
              <w:t>Goal setting</w:t>
            </w:r>
          </w:p>
        </w:tc>
        <w:tc>
          <w:tcPr>
            <w:tcW w:w="2632" w:type="pct"/>
          </w:tcPr>
          <w:p w14:paraId="2997C2AA" w14:textId="77777777" w:rsidR="00071A48" w:rsidRPr="003726FE" w:rsidRDefault="00071A48" w:rsidP="00071A48">
            <w:pPr>
              <w:rPr>
                <w:lang w:val="en-GB"/>
              </w:rPr>
            </w:pPr>
            <w:r w:rsidRPr="003726FE">
              <w:rPr>
                <w:lang w:val="en-GB"/>
              </w:rPr>
              <w:t>Setting and achieving goals</w:t>
            </w:r>
          </w:p>
        </w:tc>
        <w:tc>
          <w:tcPr>
            <w:tcW w:w="344" w:type="pct"/>
          </w:tcPr>
          <w:p w14:paraId="3E13CFB2" w14:textId="77777777" w:rsidR="00071A48" w:rsidRPr="003726FE" w:rsidRDefault="00071A48" w:rsidP="00071A48">
            <w:pPr>
              <w:pStyle w:val="RightAlign"/>
              <w:rPr>
                <w:lang w:val="en-GB"/>
              </w:rPr>
            </w:pPr>
            <w:r w:rsidRPr="003726FE">
              <w:rPr>
                <w:lang w:val="en-GB"/>
              </w:rPr>
              <w:t>11</w:t>
            </w:r>
          </w:p>
        </w:tc>
        <w:tc>
          <w:tcPr>
            <w:tcW w:w="445" w:type="pct"/>
          </w:tcPr>
          <w:p w14:paraId="1913B4A3" w14:textId="77777777" w:rsidR="00071A48" w:rsidRPr="003726FE" w:rsidRDefault="00071A48" w:rsidP="00071A48">
            <w:pPr>
              <w:pStyle w:val="RightAlign"/>
              <w:rPr>
                <w:lang w:val="en-GB"/>
              </w:rPr>
            </w:pPr>
            <w:r w:rsidRPr="003726FE">
              <w:rPr>
                <w:lang w:val="en-GB"/>
              </w:rPr>
              <w:t>16</w:t>
            </w:r>
          </w:p>
        </w:tc>
      </w:tr>
      <w:tr w:rsidR="00071A48" w:rsidRPr="003726FE" w14:paraId="14ABA41A"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2A38D45" w14:textId="77777777" w:rsidR="00071A48" w:rsidRPr="003726FE" w:rsidRDefault="00071A48" w:rsidP="00071A48">
            <w:pPr>
              <w:ind w:left="900"/>
              <w:rPr>
                <w:i/>
                <w:lang w:val="en-GB"/>
              </w:rPr>
            </w:pPr>
            <w:r w:rsidRPr="003726FE">
              <w:rPr>
                <w:i/>
                <w:lang w:val="en-GB"/>
              </w:rPr>
              <w:t>motivation</w:t>
            </w:r>
          </w:p>
        </w:tc>
        <w:tc>
          <w:tcPr>
            <w:tcW w:w="2632" w:type="pct"/>
          </w:tcPr>
          <w:p w14:paraId="576F45F0" w14:textId="77777777" w:rsidR="00071A48" w:rsidRPr="003726FE" w:rsidRDefault="00071A48" w:rsidP="00071A48">
            <w:pPr>
              <w:rPr>
                <w:lang w:val="en-GB"/>
              </w:rPr>
            </w:pPr>
            <w:r w:rsidRPr="003726FE">
              <w:rPr>
                <w:lang w:val="en-GB"/>
              </w:rPr>
              <w:t>Levels of motivation towards certain tasks or goals</w:t>
            </w:r>
          </w:p>
        </w:tc>
        <w:tc>
          <w:tcPr>
            <w:tcW w:w="344" w:type="pct"/>
          </w:tcPr>
          <w:p w14:paraId="62DAF908" w14:textId="77777777" w:rsidR="00071A48" w:rsidRPr="003726FE" w:rsidRDefault="00071A48" w:rsidP="00071A48">
            <w:pPr>
              <w:pStyle w:val="RightAlign"/>
              <w:rPr>
                <w:lang w:val="en-GB"/>
              </w:rPr>
            </w:pPr>
            <w:r w:rsidRPr="003726FE">
              <w:rPr>
                <w:lang w:val="en-GB"/>
              </w:rPr>
              <w:t>14</w:t>
            </w:r>
          </w:p>
        </w:tc>
        <w:tc>
          <w:tcPr>
            <w:tcW w:w="445" w:type="pct"/>
          </w:tcPr>
          <w:p w14:paraId="05908785" w14:textId="77777777" w:rsidR="00071A48" w:rsidRPr="003726FE" w:rsidRDefault="00071A48" w:rsidP="00071A48">
            <w:pPr>
              <w:pStyle w:val="RightAlign"/>
              <w:rPr>
                <w:lang w:val="en-GB"/>
              </w:rPr>
            </w:pPr>
            <w:r w:rsidRPr="003726FE">
              <w:rPr>
                <w:lang w:val="en-GB"/>
              </w:rPr>
              <w:t>38</w:t>
            </w:r>
          </w:p>
        </w:tc>
      </w:tr>
      <w:tr w:rsidR="00071A48" w:rsidRPr="003726FE" w14:paraId="41D3AFCB"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17C3486C" w14:textId="77777777" w:rsidR="00071A48" w:rsidRPr="003726FE" w:rsidRDefault="00071A48" w:rsidP="00071A48">
            <w:pPr>
              <w:ind w:left="900"/>
              <w:rPr>
                <w:i/>
                <w:lang w:val="en-GB"/>
              </w:rPr>
            </w:pPr>
            <w:r w:rsidRPr="003726FE">
              <w:rPr>
                <w:i/>
                <w:lang w:val="en-GB"/>
              </w:rPr>
              <w:t>Planning</w:t>
            </w:r>
          </w:p>
        </w:tc>
        <w:tc>
          <w:tcPr>
            <w:tcW w:w="2632" w:type="pct"/>
          </w:tcPr>
          <w:p w14:paraId="39BE1BF2" w14:textId="77777777" w:rsidR="00071A48" w:rsidRPr="003726FE" w:rsidRDefault="00071A48" w:rsidP="00071A48">
            <w:pPr>
              <w:rPr>
                <w:lang w:val="en-GB"/>
              </w:rPr>
            </w:pPr>
            <w:r w:rsidRPr="003726FE">
              <w:rPr>
                <w:lang w:val="en-GB"/>
              </w:rPr>
              <w:t>How students planned their days or progress towards their goals</w:t>
            </w:r>
          </w:p>
        </w:tc>
        <w:tc>
          <w:tcPr>
            <w:tcW w:w="344" w:type="pct"/>
          </w:tcPr>
          <w:p w14:paraId="4D42DC0B" w14:textId="77777777" w:rsidR="00071A48" w:rsidRPr="003726FE" w:rsidRDefault="00071A48" w:rsidP="00071A48">
            <w:pPr>
              <w:pStyle w:val="RightAlign"/>
              <w:rPr>
                <w:lang w:val="en-GB"/>
              </w:rPr>
            </w:pPr>
            <w:r w:rsidRPr="003726FE">
              <w:rPr>
                <w:lang w:val="en-GB"/>
              </w:rPr>
              <w:t>15</w:t>
            </w:r>
          </w:p>
        </w:tc>
        <w:tc>
          <w:tcPr>
            <w:tcW w:w="445" w:type="pct"/>
          </w:tcPr>
          <w:p w14:paraId="190076A1" w14:textId="77777777" w:rsidR="00071A48" w:rsidRPr="003726FE" w:rsidRDefault="00071A48" w:rsidP="00071A48">
            <w:pPr>
              <w:pStyle w:val="RightAlign"/>
              <w:rPr>
                <w:lang w:val="en-GB"/>
              </w:rPr>
            </w:pPr>
            <w:r w:rsidRPr="003726FE">
              <w:rPr>
                <w:lang w:val="en-GB"/>
              </w:rPr>
              <w:t>23</w:t>
            </w:r>
          </w:p>
        </w:tc>
      </w:tr>
      <w:tr w:rsidR="00071A48" w:rsidRPr="003726FE" w14:paraId="3E586642"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710BC626" w14:textId="77777777" w:rsidR="00071A48" w:rsidRPr="003726FE" w:rsidRDefault="00071A48" w:rsidP="00071A48">
            <w:pPr>
              <w:ind w:left="900"/>
              <w:rPr>
                <w:i/>
                <w:lang w:val="en-GB"/>
              </w:rPr>
            </w:pPr>
            <w:r w:rsidRPr="003726FE">
              <w:rPr>
                <w:i/>
                <w:lang w:val="en-GB"/>
              </w:rPr>
              <w:t>practical preparation</w:t>
            </w:r>
          </w:p>
        </w:tc>
        <w:tc>
          <w:tcPr>
            <w:tcW w:w="2632" w:type="pct"/>
          </w:tcPr>
          <w:p w14:paraId="6BBDA3FA" w14:textId="77777777" w:rsidR="00071A48" w:rsidRPr="003726FE" w:rsidRDefault="00071A48" w:rsidP="00071A48">
            <w:pPr>
              <w:rPr>
                <w:lang w:val="en-GB"/>
              </w:rPr>
            </w:pPr>
            <w:r w:rsidRPr="003726FE">
              <w:rPr>
                <w:lang w:val="en-GB"/>
              </w:rPr>
              <w:t>Included preparing for travel etc. anything outside of mental preparation</w:t>
            </w:r>
          </w:p>
        </w:tc>
        <w:tc>
          <w:tcPr>
            <w:tcW w:w="344" w:type="pct"/>
          </w:tcPr>
          <w:p w14:paraId="6548978B" w14:textId="77777777" w:rsidR="00071A48" w:rsidRPr="003726FE" w:rsidRDefault="00071A48" w:rsidP="00071A48">
            <w:pPr>
              <w:pStyle w:val="RightAlign"/>
              <w:rPr>
                <w:lang w:val="en-GB"/>
              </w:rPr>
            </w:pPr>
            <w:r w:rsidRPr="003726FE">
              <w:rPr>
                <w:lang w:val="en-GB"/>
              </w:rPr>
              <w:t>12</w:t>
            </w:r>
          </w:p>
        </w:tc>
        <w:tc>
          <w:tcPr>
            <w:tcW w:w="445" w:type="pct"/>
          </w:tcPr>
          <w:p w14:paraId="2CEA94BA" w14:textId="77777777" w:rsidR="00071A48" w:rsidRPr="003726FE" w:rsidRDefault="00071A48" w:rsidP="00071A48">
            <w:pPr>
              <w:pStyle w:val="RightAlign"/>
              <w:rPr>
                <w:lang w:val="en-GB"/>
              </w:rPr>
            </w:pPr>
            <w:r w:rsidRPr="003726FE">
              <w:rPr>
                <w:lang w:val="en-GB"/>
              </w:rPr>
              <w:t>12</w:t>
            </w:r>
          </w:p>
        </w:tc>
      </w:tr>
      <w:tr w:rsidR="00071A48" w:rsidRPr="003726FE" w14:paraId="14506946"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6057BEC7" w14:textId="77777777" w:rsidR="00071A48" w:rsidRPr="003726FE" w:rsidRDefault="00071A48" w:rsidP="00071A48">
            <w:pPr>
              <w:ind w:left="900"/>
              <w:rPr>
                <w:i/>
                <w:lang w:val="en-GB"/>
              </w:rPr>
            </w:pPr>
            <w:r w:rsidRPr="003726FE">
              <w:rPr>
                <w:i/>
                <w:lang w:val="en-GB"/>
              </w:rPr>
              <w:t>Preparing for placement</w:t>
            </w:r>
          </w:p>
        </w:tc>
        <w:tc>
          <w:tcPr>
            <w:tcW w:w="2632" w:type="pct"/>
          </w:tcPr>
          <w:p w14:paraId="213EB91A" w14:textId="77777777" w:rsidR="00071A48" w:rsidRPr="003726FE" w:rsidRDefault="00071A48" w:rsidP="00071A48">
            <w:pPr>
              <w:rPr>
                <w:lang w:val="en-GB"/>
              </w:rPr>
            </w:pPr>
            <w:r w:rsidRPr="003726FE">
              <w:rPr>
                <w:lang w:val="en-GB"/>
              </w:rPr>
              <w:t>General references to this as a catch all</w:t>
            </w:r>
          </w:p>
        </w:tc>
        <w:tc>
          <w:tcPr>
            <w:tcW w:w="344" w:type="pct"/>
          </w:tcPr>
          <w:p w14:paraId="7E4FE7FE" w14:textId="77777777" w:rsidR="00071A48" w:rsidRPr="003726FE" w:rsidRDefault="00071A48" w:rsidP="00071A48">
            <w:pPr>
              <w:pStyle w:val="RightAlign"/>
              <w:rPr>
                <w:lang w:val="en-GB"/>
              </w:rPr>
            </w:pPr>
            <w:r w:rsidRPr="003726FE">
              <w:rPr>
                <w:lang w:val="en-GB"/>
              </w:rPr>
              <w:t>21</w:t>
            </w:r>
          </w:p>
        </w:tc>
        <w:tc>
          <w:tcPr>
            <w:tcW w:w="445" w:type="pct"/>
          </w:tcPr>
          <w:p w14:paraId="5A83FB66" w14:textId="77777777" w:rsidR="00071A48" w:rsidRPr="003726FE" w:rsidRDefault="00071A48" w:rsidP="00071A48">
            <w:pPr>
              <w:pStyle w:val="RightAlign"/>
              <w:rPr>
                <w:lang w:val="en-GB"/>
              </w:rPr>
            </w:pPr>
            <w:r w:rsidRPr="003726FE">
              <w:rPr>
                <w:lang w:val="en-GB"/>
              </w:rPr>
              <w:t>26</w:t>
            </w:r>
          </w:p>
        </w:tc>
      </w:tr>
      <w:tr w:rsidR="00071A48" w:rsidRPr="003726FE" w14:paraId="2169E6B6"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BE36783" w14:textId="77777777" w:rsidR="00071A48" w:rsidRPr="003726FE" w:rsidRDefault="00071A48" w:rsidP="00071A48">
            <w:pPr>
              <w:ind w:left="900"/>
              <w:rPr>
                <w:i/>
                <w:lang w:val="en-GB"/>
              </w:rPr>
            </w:pPr>
            <w:r w:rsidRPr="003726FE">
              <w:rPr>
                <w:i/>
                <w:lang w:val="en-GB"/>
              </w:rPr>
              <w:t>Reading up on the topic</w:t>
            </w:r>
          </w:p>
        </w:tc>
        <w:tc>
          <w:tcPr>
            <w:tcW w:w="2632" w:type="pct"/>
          </w:tcPr>
          <w:p w14:paraId="0E06F891" w14:textId="77777777" w:rsidR="00071A48" w:rsidRPr="003726FE" w:rsidRDefault="00071A48" w:rsidP="00071A48">
            <w:pPr>
              <w:rPr>
                <w:lang w:val="en-GB"/>
              </w:rPr>
            </w:pPr>
            <w:r w:rsidRPr="003726FE">
              <w:rPr>
                <w:lang w:val="en-GB"/>
              </w:rPr>
              <w:t>Pre-reading before placement or after being directed to do so after supervisor guidance</w:t>
            </w:r>
          </w:p>
        </w:tc>
        <w:tc>
          <w:tcPr>
            <w:tcW w:w="344" w:type="pct"/>
          </w:tcPr>
          <w:p w14:paraId="3C7A7C69" w14:textId="77777777" w:rsidR="00071A48" w:rsidRPr="003726FE" w:rsidRDefault="00071A48" w:rsidP="00071A48">
            <w:pPr>
              <w:pStyle w:val="RightAlign"/>
              <w:rPr>
                <w:lang w:val="en-GB"/>
              </w:rPr>
            </w:pPr>
            <w:r w:rsidRPr="003726FE">
              <w:rPr>
                <w:lang w:val="en-GB"/>
              </w:rPr>
              <w:t>16</w:t>
            </w:r>
          </w:p>
        </w:tc>
        <w:tc>
          <w:tcPr>
            <w:tcW w:w="445" w:type="pct"/>
          </w:tcPr>
          <w:p w14:paraId="4203A8A7" w14:textId="77777777" w:rsidR="00071A48" w:rsidRPr="003726FE" w:rsidRDefault="00071A48" w:rsidP="00071A48">
            <w:pPr>
              <w:pStyle w:val="RightAlign"/>
              <w:rPr>
                <w:lang w:val="en-GB"/>
              </w:rPr>
            </w:pPr>
            <w:r w:rsidRPr="003726FE">
              <w:rPr>
                <w:lang w:val="en-GB"/>
              </w:rPr>
              <w:t>19</w:t>
            </w:r>
          </w:p>
        </w:tc>
      </w:tr>
      <w:tr w:rsidR="00071A48" w:rsidRPr="003726FE" w14:paraId="4236B15D"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6C49800" w14:textId="77777777" w:rsidR="00071A48" w:rsidRPr="003726FE" w:rsidRDefault="00071A48" w:rsidP="00071A48">
            <w:pPr>
              <w:ind w:left="450"/>
              <w:rPr>
                <w:lang w:val="en-GB"/>
              </w:rPr>
            </w:pPr>
            <w:r w:rsidRPr="003726FE">
              <w:rPr>
                <w:lang w:val="en-GB"/>
              </w:rPr>
              <w:t>Performance</w:t>
            </w:r>
          </w:p>
        </w:tc>
        <w:tc>
          <w:tcPr>
            <w:tcW w:w="2632" w:type="pct"/>
          </w:tcPr>
          <w:p w14:paraId="6F082791" w14:textId="77777777" w:rsidR="00071A48" w:rsidRPr="003726FE" w:rsidRDefault="00071A48" w:rsidP="00071A48">
            <w:pPr>
              <w:rPr>
                <w:lang w:val="en-GB"/>
              </w:rPr>
            </w:pPr>
            <w:r w:rsidRPr="003726FE">
              <w:rPr>
                <w:lang w:val="en-GB"/>
              </w:rPr>
              <w:t>Performance phase of SRL cycle, behaviours considered as ‘during’</w:t>
            </w:r>
          </w:p>
        </w:tc>
        <w:tc>
          <w:tcPr>
            <w:tcW w:w="344" w:type="pct"/>
          </w:tcPr>
          <w:p w14:paraId="26E2D159" w14:textId="77777777" w:rsidR="00071A48" w:rsidRPr="003726FE" w:rsidRDefault="00071A48" w:rsidP="00071A48">
            <w:pPr>
              <w:pStyle w:val="RightAlign"/>
              <w:rPr>
                <w:lang w:val="en-GB"/>
              </w:rPr>
            </w:pPr>
            <w:r w:rsidRPr="003726FE">
              <w:rPr>
                <w:lang w:val="en-GB"/>
              </w:rPr>
              <w:t>23</w:t>
            </w:r>
          </w:p>
        </w:tc>
        <w:tc>
          <w:tcPr>
            <w:tcW w:w="445" w:type="pct"/>
          </w:tcPr>
          <w:p w14:paraId="66861DEB" w14:textId="77777777" w:rsidR="00071A48" w:rsidRPr="003726FE" w:rsidRDefault="00071A48" w:rsidP="00071A48">
            <w:pPr>
              <w:pStyle w:val="RightAlign"/>
              <w:rPr>
                <w:lang w:val="en-GB"/>
              </w:rPr>
            </w:pPr>
            <w:r w:rsidRPr="003726FE">
              <w:rPr>
                <w:lang w:val="en-GB"/>
              </w:rPr>
              <w:t>87</w:t>
            </w:r>
          </w:p>
        </w:tc>
      </w:tr>
      <w:tr w:rsidR="00071A48" w:rsidRPr="003726FE" w14:paraId="2D4B2317"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473F1354" w14:textId="77777777" w:rsidR="00071A48" w:rsidRPr="003726FE" w:rsidRDefault="00071A48" w:rsidP="00071A48">
            <w:pPr>
              <w:ind w:left="900"/>
              <w:rPr>
                <w:i/>
                <w:lang w:val="en-GB"/>
              </w:rPr>
            </w:pPr>
            <w:r w:rsidRPr="003726FE">
              <w:rPr>
                <w:i/>
                <w:lang w:val="en-GB"/>
              </w:rPr>
              <w:t>Awareness</w:t>
            </w:r>
          </w:p>
        </w:tc>
        <w:tc>
          <w:tcPr>
            <w:tcW w:w="2632" w:type="pct"/>
          </w:tcPr>
          <w:p w14:paraId="59D54F7C" w14:textId="77777777" w:rsidR="00071A48" w:rsidRPr="003726FE" w:rsidRDefault="00071A48" w:rsidP="00071A48">
            <w:pPr>
              <w:rPr>
                <w:lang w:val="en-GB"/>
              </w:rPr>
            </w:pPr>
            <w:r w:rsidRPr="003726FE">
              <w:rPr>
                <w:lang w:val="en-GB"/>
              </w:rPr>
              <w:t>Awareness of factors surrounding them which were social or environmental affecting their behaviours</w:t>
            </w:r>
          </w:p>
        </w:tc>
        <w:tc>
          <w:tcPr>
            <w:tcW w:w="344" w:type="pct"/>
          </w:tcPr>
          <w:p w14:paraId="67573D4F" w14:textId="77777777" w:rsidR="00071A48" w:rsidRPr="003726FE" w:rsidRDefault="00071A48" w:rsidP="00071A48">
            <w:pPr>
              <w:pStyle w:val="RightAlign"/>
              <w:rPr>
                <w:lang w:val="en-GB"/>
              </w:rPr>
            </w:pPr>
            <w:r w:rsidRPr="003726FE">
              <w:rPr>
                <w:lang w:val="en-GB"/>
              </w:rPr>
              <w:t>10</w:t>
            </w:r>
          </w:p>
        </w:tc>
        <w:tc>
          <w:tcPr>
            <w:tcW w:w="445" w:type="pct"/>
          </w:tcPr>
          <w:p w14:paraId="18D7E3CE" w14:textId="77777777" w:rsidR="00071A48" w:rsidRPr="003726FE" w:rsidRDefault="00071A48" w:rsidP="00071A48">
            <w:pPr>
              <w:pStyle w:val="RightAlign"/>
              <w:rPr>
                <w:lang w:val="en-GB"/>
              </w:rPr>
            </w:pPr>
            <w:r w:rsidRPr="003726FE">
              <w:rPr>
                <w:lang w:val="en-GB"/>
              </w:rPr>
              <w:t>17</w:t>
            </w:r>
          </w:p>
        </w:tc>
      </w:tr>
      <w:tr w:rsidR="00071A48" w:rsidRPr="003726FE" w14:paraId="54743BE2"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68DE73F" w14:textId="77777777" w:rsidR="00071A48" w:rsidRPr="003726FE" w:rsidRDefault="00071A48" w:rsidP="00071A48">
            <w:pPr>
              <w:ind w:left="900"/>
              <w:rPr>
                <w:i/>
                <w:lang w:val="en-GB"/>
              </w:rPr>
            </w:pPr>
            <w:r w:rsidRPr="003726FE">
              <w:rPr>
                <w:i/>
                <w:lang w:val="en-GB"/>
              </w:rPr>
              <w:t>Monitoring</w:t>
            </w:r>
          </w:p>
        </w:tc>
        <w:tc>
          <w:tcPr>
            <w:tcW w:w="2632" w:type="pct"/>
          </w:tcPr>
          <w:p w14:paraId="7CED3712" w14:textId="77777777" w:rsidR="00071A48" w:rsidRPr="003726FE" w:rsidRDefault="00071A48" w:rsidP="00071A48">
            <w:pPr>
              <w:rPr>
                <w:lang w:val="en-GB"/>
              </w:rPr>
            </w:pPr>
            <w:r w:rsidRPr="003726FE">
              <w:rPr>
                <w:lang w:val="en-GB"/>
              </w:rPr>
              <w:t>Any performance or progress monitoring example</w:t>
            </w:r>
          </w:p>
        </w:tc>
        <w:tc>
          <w:tcPr>
            <w:tcW w:w="344" w:type="pct"/>
          </w:tcPr>
          <w:p w14:paraId="3366AFEA" w14:textId="77777777" w:rsidR="00071A48" w:rsidRPr="003726FE" w:rsidRDefault="00071A48" w:rsidP="00071A48">
            <w:pPr>
              <w:pStyle w:val="RightAlign"/>
              <w:rPr>
                <w:lang w:val="en-GB"/>
              </w:rPr>
            </w:pPr>
            <w:r w:rsidRPr="003726FE">
              <w:rPr>
                <w:lang w:val="en-GB"/>
              </w:rPr>
              <w:t>23</w:t>
            </w:r>
          </w:p>
        </w:tc>
        <w:tc>
          <w:tcPr>
            <w:tcW w:w="445" w:type="pct"/>
          </w:tcPr>
          <w:p w14:paraId="05777FF3" w14:textId="77777777" w:rsidR="00071A48" w:rsidRPr="003726FE" w:rsidRDefault="00071A48" w:rsidP="00071A48">
            <w:pPr>
              <w:pStyle w:val="RightAlign"/>
              <w:rPr>
                <w:lang w:val="en-GB"/>
              </w:rPr>
            </w:pPr>
            <w:r w:rsidRPr="003726FE">
              <w:rPr>
                <w:lang w:val="en-GB"/>
              </w:rPr>
              <w:t>40</w:t>
            </w:r>
          </w:p>
        </w:tc>
      </w:tr>
      <w:tr w:rsidR="00071A48" w:rsidRPr="003726FE" w14:paraId="0EC0A6C4"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A2A2632" w14:textId="77777777" w:rsidR="00071A48" w:rsidRPr="003726FE" w:rsidRDefault="00071A48" w:rsidP="00071A48">
            <w:pPr>
              <w:ind w:left="900"/>
              <w:rPr>
                <w:i/>
                <w:lang w:val="en-GB"/>
              </w:rPr>
            </w:pPr>
            <w:r w:rsidRPr="003726FE">
              <w:rPr>
                <w:i/>
                <w:lang w:val="en-GB"/>
              </w:rPr>
              <w:t>Recording</w:t>
            </w:r>
          </w:p>
        </w:tc>
        <w:tc>
          <w:tcPr>
            <w:tcW w:w="2632" w:type="pct"/>
          </w:tcPr>
          <w:p w14:paraId="0E07FE85" w14:textId="77777777" w:rsidR="00071A48" w:rsidRPr="003726FE" w:rsidRDefault="00071A48" w:rsidP="00071A48">
            <w:pPr>
              <w:rPr>
                <w:lang w:val="en-GB"/>
              </w:rPr>
            </w:pPr>
            <w:r w:rsidRPr="003726FE">
              <w:rPr>
                <w:lang w:val="en-GB"/>
              </w:rPr>
              <w:t>Making notes and keeping records of feedback and learning</w:t>
            </w:r>
          </w:p>
        </w:tc>
        <w:tc>
          <w:tcPr>
            <w:tcW w:w="344" w:type="pct"/>
          </w:tcPr>
          <w:p w14:paraId="63BBEA30" w14:textId="77777777" w:rsidR="00071A48" w:rsidRPr="003726FE" w:rsidRDefault="00071A48" w:rsidP="00071A48">
            <w:pPr>
              <w:pStyle w:val="RightAlign"/>
              <w:rPr>
                <w:lang w:val="en-GB"/>
              </w:rPr>
            </w:pPr>
            <w:r w:rsidRPr="003726FE">
              <w:rPr>
                <w:lang w:val="en-GB"/>
              </w:rPr>
              <w:t>14</w:t>
            </w:r>
          </w:p>
        </w:tc>
        <w:tc>
          <w:tcPr>
            <w:tcW w:w="445" w:type="pct"/>
          </w:tcPr>
          <w:p w14:paraId="3B142448" w14:textId="77777777" w:rsidR="00071A48" w:rsidRPr="003726FE" w:rsidRDefault="00071A48" w:rsidP="00071A48">
            <w:pPr>
              <w:pStyle w:val="RightAlign"/>
              <w:rPr>
                <w:lang w:val="en-GB"/>
              </w:rPr>
            </w:pPr>
            <w:r w:rsidRPr="003726FE">
              <w:rPr>
                <w:lang w:val="en-GB"/>
              </w:rPr>
              <w:t>27</w:t>
            </w:r>
          </w:p>
        </w:tc>
      </w:tr>
      <w:tr w:rsidR="00071A48" w:rsidRPr="003726FE" w14:paraId="4F57739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0FCA610F" w14:textId="77777777" w:rsidR="00071A48" w:rsidRPr="003726FE" w:rsidRDefault="00071A48" w:rsidP="00071A48">
            <w:pPr>
              <w:ind w:left="900"/>
              <w:rPr>
                <w:i/>
                <w:lang w:val="en-GB"/>
              </w:rPr>
            </w:pPr>
            <w:r w:rsidRPr="003726FE">
              <w:rPr>
                <w:i/>
                <w:lang w:val="en-GB"/>
              </w:rPr>
              <w:t>self-talk</w:t>
            </w:r>
          </w:p>
        </w:tc>
        <w:tc>
          <w:tcPr>
            <w:tcW w:w="2632" w:type="pct"/>
          </w:tcPr>
          <w:p w14:paraId="61FA243C" w14:textId="77777777" w:rsidR="00071A48" w:rsidRPr="003726FE" w:rsidRDefault="00071A48" w:rsidP="00071A48">
            <w:pPr>
              <w:rPr>
                <w:lang w:val="en-GB"/>
              </w:rPr>
            </w:pPr>
            <w:r w:rsidRPr="003726FE">
              <w:rPr>
                <w:lang w:val="en-GB"/>
              </w:rPr>
              <w:t>Examples of self-motivating with self-talk</w:t>
            </w:r>
          </w:p>
        </w:tc>
        <w:tc>
          <w:tcPr>
            <w:tcW w:w="344" w:type="pct"/>
          </w:tcPr>
          <w:p w14:paraId="544CFCF2" w14:textId="77777777" w:rsidR="00071A48" w:rsidRPr="003726FE" w:rsidRDefault="00071A48" w:rsidP="00071A48">
            <w:pPr>
              <w:pStyle w:val="RightAlign"/>
              <w:rPr>
                <w:lang w:val="en-GB"/>
              </w:rPr>
            </w:pPr>
            <w:r w:rsidRPr="003726FE">
              <w:rPr>
                <w:lang w:val="en-GB"/>
              </w:rPr>
              <w:t>1</w:t>
            </w:r>
          </w:p>
        </w:tc>
        <w:tc>
          <w:tcPr>
            <w:tcW w:w="445" w:type="pct"/>
          </w:tcPr>
          <w:p w14:paraId="2890A004" w14:textId="77777777" w:rsidR="00071A48" w:rsidRPr="003726FE" w:rsidRDefault="00071A48" w:rsidP="00071A48">
            <w:pPr>
              <w:pStyle w:val="RightAlign"/>
              <w:rPr>
                <w:lang w:val="en-GB"/>
              </w:rPr>
            </w:pPr>
            <w:r w:rsidRPr="003726FE">
              <w:rPr>
                <w:lang w:val="en-GB"/>
              </w:rPr>
              <w:t>1</w:t>
            </w:r>
          </w:p>
        </w:tc>
      </w:tr>
      <w:tr w:rsidR="00071A48" w:rsidRPr="003726FE" w14:paraId="289EB7E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68FA8C9F" w14:textId="77777777" w:rsidR="00071A48" w:rsidRPr="003726FE" w:rsidRDefault="00071A48" w:rsidP="00071A48">
            <w:pPr>
              <w:ind w:left="900"/>
              <w:rPr>
                <w:i/>
                <w:lang w:val="en-GB"/>
              </w:rPr>
            </w:pPr>
            <w:r w:rsidRPr="003726FE">
              <w:rPr>
                <w:i/>
                <w:lang w:val="en-GB"/>
              </w:rPr>
              <w:t>Visualisation</w:t>
            </w:r>
          </w:p>
        </w:tc>
        <w:tc>
          <w:tcPr>
            <w:tcW w:w="2632" w:type="pct"/>
          </w:tcPr>
          <w:p w14:paraId="6EF19A02" w14:textId="77777777" w:rsidR="00071A48" w:rsidRPr="003726FE" w:rsidRDefault="00071A48" w:rsidP="00071A48">
            <w:pPr>
              <w:rPr>
                <w:lang w:val="en-GB"/>
              </w:rPr>
            </w:pPr>
            <w:r w:rsidRPr="003726FE">
              <w:rPr>
                <w:lang w:val="en-GB"/>
              </w:rPr>
              <w:t>Visualising skills or planning</w:t>
            </w:r>
          </w:p>
        </w:tc>
        <w:tc>
          <w:tcPr>
            <w:tcW w:w="344" w:type="pct"/>
          </w:tcPr>
          <w:p w14:paraId="45AE2E4B" w14:textId="77777777" w:rsidR="00071A48" w:rsidRPr="003726FE" w:rsidRDefault="00071A48" w:rsidP="00071A48">
            <w:pPr>
              <w:pStyle w:val="RightAlign"/>
              <w:rPr>
                <w:lang w:val="en-GB"/>
              </w:rPr>
            </w:pPr>
            <w:r w:rsidRPr="003726FE">
              <w:rPr>
                <w:lang w:val="en-GB"/>
              </w:rPr>
              <w:t>2</w:t>
            </w:r>
          </w:p>
        </w:tc>
        <w:tc>
          <w:tcPr>
            <w:tcW w:w="445" w:type="pct"/>
          </w:tcPr>
          <w:p w14:paraId="4632DEEB" w14:textId="77777777" w:rsidR="00071A48" w:rsidRPr="003726FE" w:rsidRDefault="00071A48" w:rsidP="00071A48">
            <w:pPr>
              <w:pStyle w:val="RightAlign"/>
              <w:rPr>
                <w:lang w:val="en-GB"/>
              </w:rPr>
            </w:pPr>
            <w:r w:rsidRPr="003726FE">
              <w:rPr>
                <w:lang w:val="en-GB"/>
              </w:rPr>
              <w:t>2</w:t>
            </w:r>
          </w:p>
        </w:tc>
      </w:tr>
      <w:tr w:rsidR="00071A48" w:rsidRPr="003726FE" w14:paraId="2BB067F0" w14:textId="77777777" w:rsidTr="004E781D">
        <w:trPr>
          <w:cnfStyle w:val="000000100000" w:firstRow="0" w:lastRow="0" w:firstColumn="0" w:lastColumn="0" w:oddVBand="0" w:evenVBand="0" w:oddHBand="1" w:evenHBand="0" w:firstRowFirstColumn="0" w:firstRowLastColumn="0" w:lastRowFirstColumn="0" w:lastRowLastColumn="0"/>
          <w:trHeight w:val="599"/>
        </w:trPr>
        <w:tc>
          <w:tcPr>
            <w:tcW w:w="1579" w:type="pct"/>
          </w:tcPr>
          <w:p w14:paraId="6C01431F" w14:textId="77777777" w:rsidR="00071A48" w:rsidRPr="003726FE" w:rsidRDefault="00071A48" w:rsidP="00071A48">
            <w:pPr>
              <w:ind w:left="450"/>
              <w:rPr>
                <w:lang w:val="en-GB"/>
              </w:rPr>
            </w:pPr>
            <w:r w:rsidRPr="003726FE">
              <w:rPr>
                <w:lang w:val="en-GB"/>
              </w:rPr>
              <w:lastRenderedPageBreak/>
              <w:t>Self-reflection</w:t>
            </w:r>
          </w:p>
        </w:tc>
        <w:tc>
          <w:tcPr>
            <w:tcW w:w="2632" w:type="pct"/>
          </w:tcPr>
          <w:p w14:paraId="0778FD4B" w14:textId="77777777" w:rsidR="00071A48" w:rsidRPr="003726FE" w:rsidRDefault="00071A48" w:rsidP="00071A48">
            <w:pPr>
              <w:rPr>
                <w:lang w:val="en-GB"/>
              </w:rPr>
            </w:pPr>
            <w:r w:rsidRPr="003726FE">
              <w:rPr>
                <w:lang w:val="en-GB"/>
              </w:rPr>
              <w:t>Final self-reflection stage of SRL cycle</w:t>
            </w:r>
          </w:p>
        </w:tc>
        <w:tc>
          <w:tcPr>
            <w:tcW w:w="344" w:type="pct"/>
          </w:tcPr>
          <w:p w14:paraId="4799D1A1" w14:textId="77777777" w:rsidR="00071A48" w:rsidRPr="003726FE" w:rsidRDefault="00071A48" w:rsidP="00071A48">
            <w:pPr>
              <w:pStyle w:val="RightAlign"/>
              <w:rPr>
                <w:lang w:val="en-GB"/>
              </w:rPr>
            </w:pPr>
            <w:r w:rsidRPr="003726FE">
              <w:rPr>
                <w:lang w:val="en-GB"/>
              </w:rPr>
              <w:t>23</w:t>
            </w:r>
          </w:p>
        </w:tc>
        <w:tc>
          <w:tcPr>
            <w:tcW w:w="445" w:type="pct"/>
          </w:tcPr>
          <w:p w14:paraId="730BEDD8" w14:textId="77777777" w:rsidR="00071A48" w:rsidRPr="003726FE" w:rsidRDefault="00071A48" w:rsidP="00071A48">
            <w:pPr>
              <w:pStyle w:val="RightAlign"/>
              <w:rPr>
                <w:lang w:val="en-GB"/>
              </w:rPr>
            </w:pPr>
            <w:r w:rsidRPr="003726FE">
              <w:rPr>
                <w:lang w:val="en-GB"/>
              </w:rPr>
              <w:t>95</w:t>
            </w:r>
          </w:p>
        </w:tc>
      </w:tr>
      <w:tr w:rsidR="00071A48" w:rsidRPr="003726FE" w14:paraId="0D430469"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9902E64" w14:textId="77777777" w:rsidR="00071A48" w:rsidRPr="003726FE" w:rsidRDefault="00071A48" w:rsidP="00071A48">
            <w:pPr>
              <w:ind w:left="900"/>
              <w:rPr>
                <w:i/>
                <w:lang w:val="en-GB"/>
              </w:rPr>
            </w:pPr>
            <w:r w:rsidRPr="003726FE">
              <w:rPr>
                <w:i/>
                <w:lang w:val="en-GB"/>
              </w:rPr>
              <w:t>attributions</w:t>
            </w:r>
          </w:p>
        </w:tc>
        <w:tc>
          <w:tcPr>
            <w:tcW w:w="2632" w:type="pct"/>
          </w:tcPr>
          <w:p w14:paraId="1B5081C1" w14:textId="77777777" w:rsidR="00071A48" w:rsidRPr="003726FE" w:rsidRDefault="00071A48" w:rsidP="00071A48">
            <w:pPr>
              <w:rPr>
                <w:lang w:val="en-GB"/>
              </w:rPr>
            </w:pPr>
            <w:r w:rsidRPr="003726FE">
              <w:rPr>
                <w:lang w:val="en-GB"/>
              </w:rPr>
              <w:t>Who is responsible for performance outcomes</w:t>
            </w:r>
          </w:p>
        </w:tc>
        <w:tc>
          <w:tcPr>
            <w:tcW w:w="344" w:type="pct"/>
          </w:tcPr>
          <w:p w14:paraId="7A8E9144" w14:textId="77777777" w:rsidR="00071A48" w:rsidRPr="003726FE" w:rsidRDefault="00071A48" w:rsidP="00071A48">
            <w:pPr>
              <w:pStyle w:val="RightAlign"/>
              <w:rPr>
                <w:lang w:val="en-GB"/>
              </w:rPr>
            </w:pPr>
            <w:r w:rsidRPr="003726FE">
              <w:rPr>
                <w:lang w:val="en-GB"/>
              </w:rPr>
              <w:t>13</w:t>
            </w:r>
          </w:p>
        </w:tc>
        <w:tc>
          <w:tcPr>
            <w:tcW w:w="445" w:type="pct"/>
          </w:tcPr>
          <w:p w14:paraId="4A67DAD5" w14:textId="77777777" w:rsidR="00071A48" w:rsidRPr="003726FE" w:rsidRDefault="00071A48" w:rsidP="00071A48">
            <w:pPr>
              <w:pStyle w:val="RightAlign"/>
              <w:rPr>
                <w:lang w:val="en-GB"/>
              </w:rPr>
            </w:pPr>
            <w:r w:rsidRPr="003726FE">
              <w:rPr>
                <w:lang w:val="en-GB"/>
              </w:rPr>
              <w:t>15</w:t>
            </w:r>
          </w:p>
        </w:tc>
      </w:tr>
      <w:tr w:rsidR="00071A48" w:rsidRPr="003726FE" w14:paraId="5845F361"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5F0CDA41" w14:textId="77777777" w:rsidR="00071A48" w:rsidRPr="003726FE" w:rsidRDefault="00071A48" w:rsidP="00071A48">
            <w:pPr>
              <w:ind w:left="900"/>
              <w:rPr>
                <w:i/>
                <w:lang w:val="en-GB"/>
              </w:rPr>
            </w:pPr>
            <w:r w:rsidRPr="003726FE">
              <w:rPr>
                <w:i/>
                <w:lang w:val="en-GB"/>
              </w:rPr>
              <w:t>comparison to others</w:t>
            </w:r>
          </w:p>
        </w:tc>
        <w:tc>
          <w:tcPr>
            <w:tcW w:w="2632" w:type="pct"/>
          </w:tcPr>
          <w:p w14:paraId="0B1DCC9A" w14:textId="77777777" w:rsidR="00071A48" w:rsidRPr="003726FE" w:rsidRDefault="00071A48" w:rsidP="00071A48">
            <w:pPr>
              <w:rPr>
                <w:lang w:val="en-GB"/>
              </w:rPr>
            </w:pPr>
            <w:r w:rsidRPr="003726FE">
              <w:rPr>
                <w:lang w:val="en-GB"/>
              </w:rPr>
              <w:t>Any comparison to others when evaluating their own performance</w:t>
            </w:r>
          </w:p>
        </w:tc>
        <w:tc>
          <w:tcPr>
            <w:tcW w:w="344" w:type="pct"/>
          </w:tcPr>
          <w:p w14:paraId="113EF362" w14:textId="77777777" w:rsidR="00071A48" w:rsidRPr="003726FE" w:rsidRDefault="00071A48" w:rsidP="00071A48">
            <w:pPr>
              <w:pStyle w:val="RightAlign"/>
              <w:rPr>
                <w:lang w:val="en-GB"/>
              </w:rPr>
            </w:pPr>
            <w:r w:rsidRPr="003726FE">
              <w:rPr>
                <w:lang w:val="en-GB"/>
              </w:rPr>
              <w:t>19</w:t>
            </w:r>
          </w:p>
        </w:tc>
        <w:tc>
          <w:tcPr>
            <w:tcW w:w="445" w:type="pct"/>
          </w:tcPr>
          <w:p w14:paraId="370BBC5C" w14:textId="77777777" w:rsidR="00071A48" w:rsidRPr="003726FE" w:rsidRDefault="00071A48" w:rsidP="00071A48">
            <w:pPr>
              <w:pStyle w:val="RightAlign"/>
              <w:rPr>
                <w:lang w:val="en-GB"/>
              </w:rPr>
            </w:pPr>
            <w:r w:rsidRPr="003726FE">
              <w:rPr>
                <w:lang w:val="en-GB"/>
              </w:rPr>
              <w:t>29</w:t>
            </w:r>
          </w:p>
        </w:tc>
      </w:tr>
      <w:tr w:rsidR="00071A48" w:rsidRPr="003726FE" w14:paraId="225209E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E96C7E7" w14:textId="77777777" w:rsidR="00071A48" w:rsidRPr="003726FE" w:rsidRDefault="00071A48" w:rsidP="00071A48">
            <w:pPr>
              <w:ind w:left="900"/>
              <w:rPr>
                <w:i/>
                <w:lang w:val="en-GB"/>
              </w:rPr>
            </w:pPr>
            <w:r w:rsidRPr="003726FE">
              <w:rPr>
                <w:i/>
                <w:lang w:val="en-GB"/>
              </w:rPr>
              <w:t>Reflective practice</w:t>
            </w:r>
          </w:p>
        </w:tc>
        <w:tc>
          <w:tcPr>
            <w:tcW w:w="2632" w:type="pct"/>
          </w:tcPr>
          <w:p w14:paraId="497F9F77" w14:textId="77777777" w:rsidR="00071A48" w:rsidRPr="003726FE" w:rsidRDefault="00071A48" w:rsidP="00071A48">
            <w:pPr>
              <w:rPr>
                <w:lang w:val="en-GB"/>
              </w:rPr>
            </w:pPr>
            <w:r w:rsidRPr="003726FE">
              <w:rPr>
                <w:lang w:val="en-GB"/>
              </w:rPr>
              <w:t>Examples of reflecting upon their own practice</w:t>
            </w:r>
          </w:p>
        </w:tc>
        <w:tc>
          <w:tcPr>
            <w:tcW w:w="344" w:type="pct"/>
          </w:tcPr>
          <w:p w14:paraId="40157B10" w14:textId="77777777" w:rsidR="00071A48" w:rsidRPr="003726FE" w:rsidRDefault="00071A48" w:rsidP="00071A48">
            <w:pPr>
              <w:pStyle w:val="RightAlign"/>
              <w:rPr>
                <w:lang w:val="en-GB"/>
              </w:rPr>
            </w:pPr>
            <w:r w:rsidRPr="003726FE">
              <w:rPr>
                <w:lang w:val="en-GB"/>
              </w:rPr>
              <w:t>13</w:t>
            </w:r>
          </w:p>
        </w:tc>
        <w:tc>
          <w:tcPr>
            <w:tcW w:w="445" w:type="pct"/>
          </w:tcPr>
          <w:p w14:paraId="131EDEB2" w14:textId="77777777" w:rsidR="00071A48" w:rsidRPr="003726FE" w:rsidRDefault="00071A48" w:rsidP="00071A48">
            <w:pPr>
              <w:pStyle w:val="RightAlign"/>
              <w:rPr>
                <w:lang w:val="en-GB"/>
              </w:rPr>
            </w:pPr>
            <w:r w:rsidRPr="003726FE">
              <w:rPr>
                <w:lang w:val="en-GB"/>
              </w:rPr>
              <w:t>22</w:t>
            </w:r>
          </w:p>
        </w:tc>
      </w:tr>
      <w:tr w:rsidR="00071A48" w:rsidRPr="003726FE" w14:paraId="543F25BB"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40521E49" w14:textId="77777777" w:rsidR="00071A48" w:rsidRPr="003726FE" w:rsidRDefault="00071A48" w:rsidP="00071A48">
            <w:pPr>
              <w:ind w:left="900"/>
              <w:rPr>
                <w:i/>
                <w:lang w:val="en-GB"/>
              </w:rPr>
            </w:pPr>
            <w:r w:rsidRPr="003726FE">
              <w:rPr>
                <w:i/>
                <w:lang w:val="en-GB"/>
              </w:rPr>
              <w:t>Self-evaluation</w:t>
            </w:r>
          </w:p>
        </w:tc>
        <w:tc>
          <w:tcPr>
            <w:tcW w:w="2632" w:type="pct"/>
          </w:tcPr>
          <w:p w14:paraId="2960A1AD" w14:textId="77777777" w:rsidR="00071A48" w:rsidRPr="003726FE" w:rsidRDefault="00071A48" w:rsidP="00071A48">
            <w:pPr>
              <w:rPr>
                <w:lang w:val="en-GB"/>
              </w:rPr>
            </w:pPr>
            <w:r w:rsidRPr="003726FE">
              <w:rPr>
                <w:lang w:val="en-GB"/>
              </w:rPr>
              <w:t>Explicitly evaluating their own performance and suggesting changes</w:t>
            </w:r>
          </w:p>
        </w:tc>
        <w:tc>
          <w:tcPr>
            <w:tcW w:w="344" w:type="pct"/>
          </w:tcPr>
          <w:p w14:paraId="7B272470" w14:textId="77777777" w:rsidR="00071A48" w:rsidRPr="003726FE" w:rsidRDefault="00071A48" w:rsidP="00071A48">
            <w:pPr>
              <w:pStyle w:val="RightAlign"/>
              <w:rPr>
                <w:lang w:val="en-GB"/>
              </w:rPr>
            </w:pPr>
            <w:r w:rsidRPr="003726FE">
              <w:rPr>
                <w:lang w:val="en-GB"/>
              </w:rPr>
              <w:t>21</w:t>
            </w:r>
          </w:p>
        </w:tc>
        <w:tc>
          <w:tcPr>
            <w:tcW w:w="445" w:type="pct"/>
          </w:tcPr>
          <w:p w14:paraId="27ADDE8A" w14:textId="77777777" w:rsidR="00071A48" w:rsidRPr="003726FE" w:rsidRDefault="00071A48" w:rsidP="00071A48">
            <w:pPr>
              <w:pStyle w:val="RightAlign"/>
              <w:rPr>
                <w:lang w:val="en-GB"/>
              </w:rPr>
            </w:pPr>
            <w:r w:rsidRPr="003726FE">
              <w:rPr>
                <w:lang w:val="en-GB"/>
              </w:rPr>
              <w:t>29</w:t>
            </w:r>
          </w:p>
        </w:tc>
      </w:tr>
      <w:tr w:rsidR="00071A48" w:rsidRPr="003726FE" w14:paraId="1DE9A0E5"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1597495C" w14:textId="77777777" w:rsidR="00071A48" w:rsidRPr="003726FE" w:rsidRDefault="00071A48" w:rsidP="00071A48">
            <w:pPr>
              <w:rPr>
                <w:b/>
                <w:lang w:val="en-GB"/>
              </w:rPr>
            </w:pPr>
            <w:r w:rsidRPr="003726FE">
              <w:rPr>
                <w:b/>
                <w:lang w:val="en-GB"/>
              </w:rPr>
              <w:t>teacher-student interactions</w:t>
            </w:r>
          </w:p>
        </w:tc>
        <w:tc>
          <w:tcPr>
            <w:tcW w:w="2632" w:type="pct"/>
          </w:tcPr>
          <w:p w14:paraId="67E5FA67" w14:textId="77777777" w:rsidR="00071A48" w:rsidRPr="003726FE" w:rsidRDefault="00071A48" w:rsidP="00071A48">
            <w:pPr>
              <w:rPr>
                <w:lang w:val="en-GB"/>
              </w:rPr>
            </w:pPr>
            <w:r w:rsidRPr="003726FE">
              <w:rPr>
                <w:lang w:val="en-GB"/>
              </w:rPr>
              <w:t>Any factor relating to the teacher-student relationships</w:t>
            </w:r>
          </w:p>
        </w:tc>
        <w:tc>
          <w:tcPr>
            <w:tcW w:w="344" w:type="pct"/>
          </w:tcPr>
          <w:p w14:paraId="7CC43328" w14:textId="77777777" w:rsidR="00071A48" w:rsidRPr="003726FE" w:rsidRDefault="00071A48" w:rsidP="00071A48">
            <w:pPr>
              <w:pStyle w:val="RightAlign"/>
              <w:rPr>
                <w:lang w:val="en-GB"/>
              </w:rPr>
            </w:pPr>
            <w:r w:rsidRPr="003726FE">
              <w:rPr>
                <w:lang w:val="en-GB"/>
              </w:rPr>
              <w:t>23</w:t>
            </w:r>
          </w:p>
        </w:tc>
        <w:tc>
          <w:tcPr>
            <w:tcW w:w="445" w:type="pct"/>
          </w:tcPr>
          <w:p w14:paraId="0DEB7B66" w14:textId="77777777" w:rsidR="00071A48" w:rsidRPr="003726FE" w:rsidRDefault="00071A48" w:rsidP="00071A48">
            <w:pPr>
              <w:pStyle w:val="RightAlign"/>
              <w:rPr>
                <w:lang w:val="en-GB"/>
              </w:rPr>
            </w:pPr>
            <w:r w:rsidRPr="003726FE">
              <w:rPr>
                <w:lang w:val="en-GB"/>
              </w:rPr>
              <w:t>242</w:t>
            </w:r>
          </w:p>
        </w:tc>
      </w:tr>
      <w:tr w:rsidR="00071A48" w:rsidRPr="003726FE" w14:paraId="1E5E8533"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26CE2472" w14:textId="77777777" w:rsidR="00071A48" w:rsidRPr="003726FE" w:rsidRDefault="00071A48" w:rsidP="00071A48">
            <w:pPr>
              <w:ind w:left="450"/>
              <w:rPr>
                <w:lang w:val="en-GB"/>
              </w:rPr>
            </w:pPr>
            <w:r w:rsidRPr="003726FE">
              <w:rPr>
                <w:lang w:val="en-GB"/>
              </w:rPr>
              <w:t>Comfort level</w:t>
            </w:r>
          </w:p>
        </w:tc>
        <w:tc>
          <w:tcPr>
            <w:tcW w:w="2632" w:type="pct"/>
          </w:tcPr>
          <w:p w14:paraId="4D58E62E" w14:textId="77777777" w:rsidR="00071A48" w:rsidRPr="003726FE" w:rsidRDefault="00071A48" w:rsidP="00071A48">
            <w:pPr>
              <w:rPr>
                <w:lang w:val="en-GB"/>
              </w:rPr>
            </w:pPr>
            <w:r w:rsidRPr="003726FE">
              <w:rPr>
                <w:lang w:val="en-GB"/>
              </w:rPr>
              <w:t>How comfortable students felt with supervisors</w:t>
            </w:r>
          </w:p>
        </w:tc>
        <w:tc>
          <w:tcPr>
            <w:tcW w:w="344" w:type="pct"/>
          </w:tcPr>
          <w:p w14:paraId="66835876" w14:textId="77777777" w:rsidR="00071A48" w:rsidRPr="003726FE" w:rsidRDefault="00071A48" w:rsidP="00071A48">
            <w:pPr>
              <w:pStyle w:val="RightAlign"/>
              <w:rPr>
                <w:lang w:val="en-GB"/>
              </w:rPr>
            </w:pPr>
            <w:r w:rsidRPr="003726FE">
              <w:rPr>
                <w:lang w:val="en-GB"/>
              </w:rPr>
              <w:t>16</w:t>
            </w:r>
          </w:p>
        </w:tc>
        <w:tc>
          <w:tcPr>
            <w:tcW w:w="445" w:type="pct"/>
          </w:tcPr>
          <w:p w14:paraId="57E59A55" w14:textId="77777777" w:rsidR="00071A48" w:rsidRPr="003726FE" w:rsidRDefault="00071A48" w:rsidP="00071A48">
            <w:pPr>
              <w:pStyle w:val="RightAlign"/>
              <w:rPr>
                <w:lang w:val="en-GB"/>
              </w:rPr>
            </w:pPr>
            <w:r w:rsidRPr="003726FE">
              <w:rPr>
                <w:lang w:val="en-GB"/>
              </w:rPr>
              <w:t>42</w:t>
            </w:r>
          </w:p>
        </w:tc>
      </w:tr>
      <w:tr w:rsidR="00071A48" w:rsidRPr="003726FE" w14:paraId="41915EBF"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2B28B298" w14:textId="77777777" w:rsidR="00071A48" w:rsidRPr="003726FE" w:rsidRDefault="00071A48" w:rsidP="00071A48">
            <w:pPr>
              <w:ind w:left="450"/>
              <w:rPr>
                <w:lang w:val="en-GB"/>
              </w:rPr>
            </w:pPr>
            <w:r w:rsidRPr="003726FE">
              <w:rPr>
                <w:lang w:val="en-GB"/>
              </w:rPr>
              <w:t>Knowledge of the student</w:t>
            </w:r>
          </w:p>
        </w:tc>
        <w:tc>
          <w:tcPr>
            <w:tcW w:w="2632" w:type="pct"/>
          </w:tcPr>
          <w:p w14:paraId="53584C7B" w14:textId="77777777" w:rsidR="00071A48" w:rsidRPr="003726FE" w:rsidRDefault="00071A48" w:rsidP="00071A48">
            <w:pPr>
              <w:rPr>
                <w:lang w:val="en-GB"/>
              </w:rPr>
            </w:pPr>
            <w:r w:rsidRPr="003726FE">
              <w:rPr>
                <w:lang w:val="en-GB"/>
              </w:rPr>
              <w:t>How much the student perceived the supervisor know about them and their stage of learning</w:t>
            </w:r>
          </w:p>
        </w:tc>
        <w:tc>
          <w:tcPr>
            <w:tcW w:w="344" w:type="pct"/>
          </w:tcPr>
          <w:p w14:paraId="7D7AEDA9" w14:textId="77777777" w:rsidR="00071A48" w:rsidRPr="003726FE" w:rsidRDefault="00071A48" w:rsidP="00071A48">
            <w:pPr>
              <w:pStyle w:val="RightAlign"/>
              <w:rPr>
                <w:lang w:val="en-GB"/>
              </w:rPr>
            </w:pPr>
            <w:r w:rsidRPr="003726FE">
              <w:rPr>
                <w:lang w:val="en-GB"/>
              </w:rPr>
              <w:t>23</w:t>
            </w:r>
          </w:p>
        </w:tc>
        <w:tc>
          <w:tcPr>
            <w:tcW w:w="445" w:type="pct"/>
          </w:tcPr>
          <w:p w14:paraId="6FFC6A92" w14:textId="77777777" w:rsidR="00071A48" w:rsidRPr="003726FE" w:rsidRDefault="00071A48" w:rsidP="00071A48">
            <w:pPr>
              <w:pStyle w:val="RightAlign"/>
              <w:rPr>
                <w:lang w:val="en-GB"/>
              </w:rPr>
            </w:pPr>
            <w:r w:rsidRPr="003726FE">
              <w:rPr>
                <w:lang w:val="en-GB"/>
              </w:rPr>
              <w:t>52</w:t>
            </w:r>
          </w:p>
        </w:tc>
      </w:tr>
      <w:tr w:rsidR="00071A48" w:rsidRPr="003726FE" w14:paraId="185CC289"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00EC9B09" w14:textId="77777777" w:rsidR="00071A48" w:rsidRPr="003726FE" w:rsidRDefault="00071A48" w:rsidP="00071A48">
            <w:pPr>
              <w:ind w:left="450"/>
              <w:rPr>
                <w:lang w:val="en-GB"/>
              </w:rPr>
            </w:pPr>
            <w:r w:rsidRPr="003726FE">
              <w:rPr>
                <w:lang w:val="en-GB"/>
              </w:rPr>
              <w:t>lack of support</w:t>
            </w:r>
          </w:p>
        </w:tc>
        <w:tc>
          <w:tcPr>
            <w:tcW w:w="2632" w:type="pct"/>
          </w:tcPr>
          <w:p w14:paraId="10044CFD" w14:textId="77777777" w:rsidR="00071A48" w:rsidRPr="003726FE" w:rsidRDefault="00071A48" w:rsidP="00071A48">
            <w:pPr>
              <w:rPr>
                <w:lang w:val="en-GB"/>
              </w:rPr>
            </w:pPr>
            <w:r w:rsidRPr="003726FE">
              <w:rPr>
                <w:lang w:val="en-GB"/>
              </w:rPr>
              <w:t>Any example of a lack of practical or emotional support</w:t>
            </w:r>
          </w:p>
        </w:tc>
        <w:tc>
          <w:tcPr>
            <w:tcW w:w="344" w:type="pct"/>
          </w:tcPr>
          <w:p w14:paraId="100A398A" w14:textId="77777777" w:rsidR="00071A48" w:rsidRPr="003726FE" w:rsidRDefault="00071A48" w:rsidP="00071A48">
            <w:pPr>
              <w:pStyle w:val="RightAlign"/>
              <w:rPr>
                <w:lang w:val="en-GB"/>
              </w:rPr>
            </w:pPr>
            <w:r w:rsidRPr="003726FE">
              <w:rPr>
                <w:lang w:val="en-GB"/>
              </w:rPr>
              <w:t>2</w:t>
            </w:r>
          </w:p>
        </w:tc>
        <w:tc>
          <w:tcPr>
            <w:tcW w:w="445" w:type="pct"/>
          </w:tcPr>
          <w:p w14:paraId="734E27E0" w14:textId="77777777" w:rsidR="00071A48" w:rsidRPr="003726FE" w:rsidRDefault="00071A48" w:rsidP="00071A48">
            <w:pPr>
              <w:pStyle w:val="RightAlign"/>
              <w:rPr>
                <w:lang w:val="en-GB"/>
              </w:rPr>
            </w:pPr>
            <w:r w:rsidRPr="003726FE">
              <w:rPr>
                <w:lang w:val="en-GB"/>
              </w:rPr>
              <w:t>5</w:t>
            </w:r>
          </w:p>
        </w:tc>
      </w:tr>
      <w:tr w:rsidR="00071A48" w:rsidRPr="003726FE" w14:paraId="4BFE4423"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399FD145" w14:textId="77777777" w:rsidR="00071A48" w:rsidRPr="003726FE" w:rsidRDefault="00071A48" w:rsidP="00071A48">
            <w:pPr>
              <w:ind w:left="450"/>
              <w:rPr>
                <w:lang w:val="en-GB"/>
              </w:rPr>
            </w:pPr>
            <w:r w:rsidRPr="003726FE">
              <w:rPr>
                <w:lang w:val="en-GB"/>
              </w:rPr>
              <w:t>Relatability</w:t>
            </w:r>
          </w:p>
        </w:tc>
        <w:tc>
          <w:tcPr>
            <w:tcW w:w="2632" w:type="pct"/>
          </w:tcPr>
          <w:p w14:paraId="432C1331" w14:textId="77777777" w:rsidR="00071A48" w:rsidRPr="003726FE" w:rsidRDefault="00071A48" w:rsidP="00071A48">
            <w:pPr>
              <w:rPr>
                <w:lang w:val="en-GB"/>
              </w:rPr>
            </w:pPr>
            <w:r w:rsidRPr="003726FE">
              <w:rPr>
                <w:lang w:val="en-GB"/>
              </w:rPr>
              <w:t>When supervisors had relatable characteristics to the student</w:t>
            </w:r>
          </w:p>
        </w:tc>
        <w:tc>
          <w:tcPr>
            <w:tcW w:w="344" w:type="pct"/>
          </w:tcPr>
          <w:p w14:paraId="0CE91173" w14:textId="77777777" w:rsidR="00071A48" w:rsidRPr="003726FE" w:rsidRDefault="00071A48" w:rsidP="00071A48">
            <w:pPr>
              <w:pStyle w:val="RightAlign"/>
              <w:rPr>
                <w:lang w:val="en-GB"/>
              </w:rPr>
            </w:pPr>
            <w:r w:rsidRPr="003726FE">
              <w:rPr>
                <w:lang w:val="en-GB"/>
              </w:rPr>
              <w:t>16</w:t>
            </w:r>
          </w:p>
        </w:tc>
        <w:tc>
          <w:tcPr>
            <w:tcW w:w="445" w:type="pct"/>
          </w:tcPr>
          <w:p w14:paraId="644F29AA" w14:textId="77777777" w:rsidR="00071A48" w:rsidRPr="003726FE" w:rsidRDefault="00071A48" w:rsidP="00071A48">
            <w:pPr>
              <w:pStyle w:val="RightAlign"/>
              <w:rPr>
                <w:lang w:val="en-GB"/>
              </w:rPr>
            </w:pPr>
            <w:r w:rsidRPr="003726FE">
              <w:rPr>
                <w:lang w:val="en-GB"/>
              </w:rPr>
              <w:t>28</w:t>
            </w:r>
          </w:p>
        </w:tc>
      </w:tr>
      <w:tr w:rsidR="00071A48" w:rsidRPr="003726FE" w14:paraId="360F6022"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7488C356" w14:textId="77777777" w:rsidR="00071A48" w:rsidRPr="003726FE" w:rsidRDefault="00071A48" w:rsidP="00071A48">
            <w:pPr>
              <w:ind w:left="450"/>
              <w:rPr>
                <w:lang w:val="en-GB"/>
              </w:rPr>
            </w:pPr>
            <w:r w:rsidRPr="003726FE">
              <w:rPr>
                <w:lang w:val="en-GB"/>
              </w:rPr>
              <w:t>Relationship with teacher or supervisor</w:t>
            </w:r>
          </w:p>
        </w:tc>
        <w:tc>
          <w:tcPr>
            <w:tcW w:w="2632" w:type="pct"/>
          </w:tcPr>
          <w:p w14:paraId="3DBAA52A" w14:textId="77777777" w:rsidR="00071A48" w:rsidRPr="003726FE" w:rsidRDefault="00071A48" w:rsidP="00071A48">
            <w:pPr>
              <w:rPr>
                <w:lang w:val="en-GB"/>
              </w:rPr>
            </w:pPr>
            <w:r w:rsidRPr="003726FE">
              <w:rPr>
                <w:lang w:val="en-GB"/>
              </w:rPr>
              <w:t>Any factor affecting the relationship. Relating to educational alliance</w:t>
            </w:r>
          </w:p>
        </w:tc>
        <w:tc>
          <w:tcPr>
            <w:tcW w:w="344" w:type="pct"/>
          </w:tcPr>
          <w:p w14:paraId="3C5F1DE4" w14:textId="77777777" w:rsidR="00071A48" w:rsidRPr="003726FE" w:rsidRDefault="00071A48" w:rsidP="00071A48">
            <w:pPr>
              <w:pStyle w:val="RightAlign"/>
              <w:rPr>
                <w:lang w:val="en-GB"/>
              </w:rPr>
            </w:pPr>
            <w:r w:rsidRPr="003726FE">
              <w:rPr>
                <w:lang w:val="en-GB"/>
              </w:rPr>
              <w:t>21</w:t>
            </w:r>
          </w:p>
        </w:tc>
        <w:tc>
          <w:tcPr>
            <w:tcW w:w="445" w:type="pct"/>
          </w:tcPr>
          <w:p w14:paraId="280A814E" w14:textId="77777777" w:rsidR="00071A48" w:rsidRPr="003726FE" w:rsidRDefault="00071A48" w:rsidP="00071A48">
            <w:pPr>
              <w:pStyle w:val="RightAlign"/>
              <w:rPr>
                <w:lang w:val="en-GB"/>
              </w:rPr>
            </w:pPr>
            <w:r w:rsidRPr="003726FE">
              <w:rPr>
                <w:lang w:val="en-GB"/>
              </w:rPr>
              <w:t>114</w:t>
            </w:r>
          </w:p>
        </w:tc>
      </w:tr>
      <w:tr w:rsidR="00071A48" w:rsidRPr="003726FE" w14:paraId="316CF476"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6E7C72E" w14:textId="77777777" w:rsidR="00071A48" w:rsidRPr="003726FE" w:rsidRDefault="00071A48" w:rsidP="00071A48">
            <w:pPr>
              <w:ind w:left="900"/>
              <w:rPr>
                <w:i/>
                <w:lang w:val="en-GB"/>
              </w:rPr>
            </w:pPr>
            <w:r w:rsidRPr="003726FE">
              <w:rPr>
                <w:i/>
                <w:lang w:val="en-GB"/>
              </w:rPr>
              <w:t>perceived effort</w:t>
            </w:r>
          </w:p>
        </w:tc>
        <w:tc>
          <w:tcPr>
            <w:tcW w:w="2632" w:type="pct"/>
          </w:tcPr>
          <w:p w14:paraId="04D0E67D" w14:textId="77777777" w:rsidR="00071A48" w:rsidRPr="003726FE" w:rsidRDefault="00071A48" w:rsidP="00071A48">
            <w:pPr>
              <w:rPr>
                <w:lang w:val="en-GB"/>
              </w:rPr>
            </w:pPr>
            <w:r w:rsidRPr="003726FE">
              <w:rPr>
                <w:lang w:val="en-GB"/>
              </w:rPr>
              <w:t>How much effort students perceived supervisors were making with their learning or integration into the department</w:t>
            </w:r>
          </w:p>
        </w:tc>
        <w:tc>
          <w:tcPr>
            <w:tcW w:w="344" w:type="pct"/>
          </w:tcPr>
          <w:p w14:paraId="5D26F46B" w14:textId="77777777" w:rsidR="00071A48" w:rsidRPr="003726FE" w:rsidRDefault="00071A48" w:rsidP="00071A48">
            <w:pPr>
              <w:pStyle w:val="RightAlign"/>
              <w:rPr>
                <w:lang w:val="en-GB"/>
              </w:rPr>
            </w:pPr>
            <w:r w:rsidRPr="003726FE">
              <w:rPr>
                <w:lang w:val="en-GB"/>
              </w:rPr>
              <w:t>5</w:t>
            </w:r>
          </w:p>
        </w:tc>
        <w:tc>
          <w:tcPr>
            <w:tcW w:w="445" w:type="pct"/>
          </w:tcPr>
          <w:p w14:paraId="3A7B90C0" w14:textId="77777777" w:rsidR="00071A48" w:rsidRPr="003726FE" w:rsidRDefault="00071A48" w:rsidP="00071A48">
            <w:pPr>
              <w:pStyle w:val="RightAlign"/>
              <w:rPr>
                <w:lang w:val="en-GB"/>
              </w:rPr>
            </w:pPr>
            <w:r w:rsidRPr="003726FE">
              <w:rPr>
                <w:lang w:val="en-GB"/>
              </w:rPr>
              <w:t>18</w:t>
            </w:r>
          </w:p>
        </w:tc>
      </w:tr>
      <w:tr w:rsidR="00071A48" w:rsidRPr="003726FE" w14:paraId="30C1A4B8" w14:textId="77777777" w:rsidTr="004E781D">
        <w:trPr>
          <w:cnfStyle w:val="000000100000" w:firstRow="0" w:lastRow="0" w:firstColumn="0" w:lastColumn="0" w:oddVBand="0" w:evenVBand="0" w:oddHBand="1" w:evenHBand="0" w:firstRowFirstColumn="0" w:firstRowLastColumn="0" w:lastRowFirstColumn="0" w:lastRowLastColumn="0"/>
        </w:trPr>
        <w:tc>
          <w:tcPr>
            <w:tcW w:w="1579" w:type="pct"/>
          </w:tcPr>
          <w:p w14:paraId="3BEB1D1F" w14:textId="77777777" w:rsidR="00071A48" w:rsidRPr="003726FE" w:rsidRDefault="00071A48" w:rsidP="00071A48">
            <w:pPr>
              <w:ind w:left="900"/>
              <w:rPr>
                <w:i/>
                <w:lang w:val="en-GB"/>
              </w:rPr>
            </w:pPr>
            <w:r w:rsidRPr="003726FE">
              <w:rPr>
                <w:i/>
                <w:lang w:val="en-GB"/>
              </w:rPr>
              <w:lastRenderedPageBreak/>
              <w:t>transactional</w:t>
            </w:r>
          </w:p>
        </w:tc>
        <w:tc>
          <w:tcPr>
            <w:tcW w:w="2632" w:type="pct"/>
          </w:tcPr>
          <w:p w14:paraId="45C90853" w14:textId="77777777" w:rsidR="00071A48" w:rsidRPr="003726FE" w:rsidRDefault="00071A48" w:rsidP="00071A48">
            <w:pPr>
              <w:rPr>
                <w:lang w:val="en-GB"/>
              </w:rPr>
            </w:pPr>
            <w:r w:rsidRPr="003726FE">
              <w:rPr>
                <w:lang w:val="en-GB"/>
              </w:rPr>
              <w:t>Basic interactions with give/take notions</w:t>
            </w:r>
          </w:p>
        </w:tc>
        <w:tc>
          <w:tcPr>
            <w:tcW w:w="344" w:type="pct"/>
          </w:tcPr>
          <w:p w14:paraId="4C513EBB" w14:textId="77777777" w:rsidR="00071A48" w:rsidRPr="003726FE" w:rsidRDefault="00071A48" w:rsidP="00071A48">
            <w:pPr>
              <w:pStyle w:val="RightAlign"/>
              <w:rPr>
                <w:lang w:val="en-GB"/>
              </w:rPr>
            </w:pPr>
            <w:r w:rsidRPr="003726FE">
              <w:rPr>
                <w:lang w:val="en-GB"/>
              </w:rPr>
              <w:t>5</w:t>
            </w:r>
          </w:p>
        </w:tc>
        <w:tc>
          <w:tcPr>
            <w:tcW w:w="445" w:type="pct"/>
          </w:tcPr>
          <w:p w14:paraId="63E058F5" w14:textId="77777777" w:rsidR="00071A48" w:rsidRPr="003726FE" w:rsidRDefault="00071A48" w:rsidP="00071A48">
            <w:pPr>
              <w:pStyle w:val="RightAlign"/>
              <w:rPr>
                <w:lang w:val="en-GB"/>
              </w:rPr>
            </w:pPr>
            <w:r w:rsidRPr="003726FE">
              <w:rPr>
                <w:lang w:val="en-GB"/>
              </w:rPr>
              <w:t>6</w:t>
            </w:r>
          </w:p>
        </w:tc>
      </w:tr>
      <w:tr w:rsidR="00071A48" w:rsidRPr="003726FE" w14:paraId="306F7E2C" w14:textId="77777777" w:rsidTr="004E781D">
        <w:trPr>
          <w:cnfStyle w:val="000000010000" w:firstRow="0" w:lastRow="0" w:firstColumn="0" w:lastColumn="0" w:oddVBand="0" w:evenVBand="0" w:oddHBand="0" w:evenHBand="1" w:firstRowFirstColumn="0" w:firstRowLastColumn="0" w:lastRowFirstColumn="0" w:lastRowLastColumn="0"/>
        </w:trPr>
        <w:tc>
          <w:tcPr>
            <w:tcW w:w="1579" w:type="pct"/>
          </w:tcPr>
          <w:p w14:paraId="0FD8E809" w14:textId="77777777" w:rsidR="00071A48" w:rsidRPr="003726FE" w:rsidRDefault="00071A48" w:rsidP="00071A48">
            <w:pPr>
              <w:ind w:left="900"/>
              <w:rPr>
                <w:i/>
                <w:lang w:val="en-GB"/>
              </w:rPr>
            </w:pPr>
            <w:r w:rsidRPr="003726FE">
              <w:rPr>
                <w:i/>
                <w:lang w:val="en-GB"/>
              </w:rPr>
              <w:t>Trust</w:t>
            </w:r>
          </w:p>
        </w:tc>
        <w:tc>
          <w:tcPr>
            <w:tcW w:w="2632" w:type="pct"/>
          </w:tcPr>
          <w:p w14:paraId="0F4A55CC" w14:textId="77777777" w:rsidR="00071A48" w:rsidRPr="003726FE" w:rsidRDefault="00071A48" w:rsidP="00071A48">
            <w:pPr>
              <w:rPr>
                <w:lang w:val="en-GB"/>
              </w:rPr>
            </w:pPr>
            <w:r w:rsidRPr="003726FE">
              <w:rPr>
                <w:lang w:val="en-GB"/>
              </w:rPr>
              <w:t>Any reference to levels of trust</w:t>
            </w:r>
          </w:p>
        </w:tc>
        <w:tc>
          <w:tcPr>
            <w:tcW w:w="344" w:type="pct"/>
          </w:tcPr>
          <w:p w14:paraId="31CA3340" w14:textId="77777777" w:rsidR="00071A48" w:rsidRPr="003726FE" w:rsidRDefault="00071A48" w:rsidP="00071A48">
            <w:pPr>
              <w:pStyle w:val="RightAlign"/>
              <w:rPr>
                <w:lang w:val="en-GB"/>
              </w:rPr>
            </w:pPr>
            <w:r w:rsidRPr="003726FE">
              <w:rPr>
                <w:lang w:val="en-GB"/>
              </w:rPr>
              <w:t>6</w:t>
            </w:r>
          </w:p>
        </w:tc>
        <w:tc>
          <w:tcPr>
            <w:tcW w:w="445" w:type="pct"/>
          </w:tcPr>
          <w:p w14:paraId="351CE44F" w14:textId="77777777" w:rsidR="00071A48" w:rsidRPr="003726FE" w:rsidRDefault="00071A48" w:rsidP="00071A48">
            <w:pPr>
              <w:pStyle w:val="RightAlign"/>
              <w:rPr>
                <w:lang w:val="en-GB"/>
              </w:rPr>
            </w:pPr>
            <w:r w:rsidRPr="003726FE">
              <w:rPr>
                <w:lang w:val="en-GB"/>
              </w:rPr>
              <w:t>11</w:t>
            </w:r>
          </w:p>
        </w:tc>
      </w:tr>
    </w:tbl>
    <w:p w14:paraId="40481ECC" w14:textId="77777777" w:rsidR="00071A48" w:rsidRPr="003726FE" w:rsidRDefault="00071A48" w:rsidP="00071A48"/>
    <w:p w14:paraId="7461C3E9" w14:textId="6C9D0AF1" w:rsidR="00071A48" w:rsidRPr="003726FE" w:rsidRDefault="00071A48">
      <w:pPr>
        <w:rPr>
          <w:rFonts w:eastAsia="Lucida Sans Unicode" w:cs="Mangal"/>
          <w:kern w:val="1"/>
          <w:szCs w:val="24"/>
          <w:lang w:eastAsia="hi-IN" w:bidi="hi-IN"/>
        </w:rPr>
      </w:pPr>
      <w:r w:rsidRPr="003726FE">
        <w:br w:type="page"/>
      </w:r>
    </w:p>
    <w:p w14:paraId="2210665D" w14:textId="77777777" w:rsidR="00071A48" w:rsidRPr="003726FE" w:rsidRDefault="00071A48" w:rsidP="00B1638D">
      <w:pPr>
        <w:pStyle w:val="Heading2"/>
        <w:rPr>
          <w:lang w:val="en-GB"/>
        </w:rPr>
        <w:sectPr w:rsidR="00071A48" w:rsidRPr="003726FE" w:rsidSect="007C73DC">
          <w:pgSz w:w="16838" w:h="11906" w:orient="landscape"/>
          <w:pgMar w:top="1134" w:right="1134" w:bottom="1134" w:left="2268" w:header="708" w:footer="708" w:gutter="0"/>
          <w:cols w:space="708"/>
          <w:docGrid w:linePitch="360"/>
        </w:sectPr>
      </w:pPr>
    </w:p>
    <w:p w14:paraId="5FB9B350" w14:textId="0EBDB0AA" w:rsidR="00071A48" w:rsidRPr="003726FE" w:rsidRDefault="00071A48" w:rsidP="00B1638D">
      <w:pPr>
        <w:pStyle w:val="Heading2"/>
        <w:rPr>
          <w:lang w:val="en-GB"/>
        </w:rPr>
      </w:pPr>
      <w:bookmarkStart w:id="1015" w:name="_Toc500319497"/>
      <w:r w:rsidRPr="003726FE">
        <w:rPr>
          <w:lang w:val="en-GB"/>
        </w:rPr>
        <w:lastRenderedPageBreak/>
        <w:t>Appendix 2</w:t>
      </w:r>
      <w:r w:rsidR="009F0E25" w:rsidRPr="003726FE">
        <w:rPr>
          <w:lang w:val="en-GB"/>
        </w:rPr>
        <w:t>6</w:t>
      </w:r>
      <w:r w:rsidRPr="003726FE">
        <w:rPr>
          <w:lang w:val="en-GB"/>
        </w:rPr>
        <w:t xml:space="preserve">. Thematic </w:t>
      </w:r>
      <w:r w:rsidR="00912749" w:rsidRPr="003726FE">
        <w:rPr>
          <w:lang w:val="en-GB"/>
        </w:rPr>
        <w:t xml:space="preserve">Framework Version </w:t>
      </w:r>
      <w:r w:rsidRPr="003726FE">
        <w:rPr>
          <w:lang w:val="en-GB"/>
        </w:rPr>
        <w:t>1.</w:t>
      </w:r>
      <w:bookmarkEnd w:id="1015"/>
    </w:p>
    <w:p w14:paraId="50670E11" w14:textId="2E59CB7F" w:rsidR="00F27613" w:rsidRPr="003726FE" w:rsidRDefault="00F27613" w:rsidP="00F27613">
      <w:pPr>
        <w:rPr>
          <w:b/>
          <w:sz w:val="36"/>
        </w:rPr>
      </w:pPr>
      <w:r w:rsidRPr="003726FE">
        <w:rPr>
          <w:noProof/>
          <w:lang w:eastAsia="en-GB"/>
        </w:rPr>
        <w:drawing>
          <wp:anchor distT="0" distB="0" distL="114300" distR="114300" simplePos="0" relativeHeight="251970560" behindDoc="0" locked="0" layoutInCell="1" allowOverlap="1" wp14:anchorId="40EFB2E8" wp14:editId="61B5D675">
            <wp:simplePos x="0" y="0"/>
            <wp:positionH relativeFrom="column">
              <wp:posOffset>-252730</wp:posOffset>
            </wp:positionH>
            <wp:positionV relativeFrom="paragraph">
              <wp:posOffset>440055</wp:posOffset>
            </wp:positionV>
            <wp:extent cx="5645785" cy="7722235"/>
            <wp:effectExtent l="50800" t="0" r="69215" b="0"/>
            <wp:wrapTopAndBottom/>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p w14:paraId="0710D7EE" w14:textId="77777777" w:rsidR="00616B48" w:rsidRPr="003726FE" w:rsidRDefault="00616B48" w:rsidP="00B1638D">
      <w:pPr>
        <w:pStyle w:val="Heading2"/>
        <w:rPr>
          <w:lang w:val="en-GB"/>
        </w:rPr>
        <w:sectPr w:rsidR="00616B48" w:rsidRPr="003726FE" w:rsidSect="007C73DC">
          <w:pgSz w:w="11906" w:h="16838"/>
          <w:pgMar w:top="1134" w:right="1134" w:bottom="1134" w:left="2268" w:header="708" w:footer="708" w:gutter="0"/>
          <w:cols w:space="708"/>
          <w:docGrid w:linePitch="360"/>
        </w:sectPr>
      </w:pPr>
    </w:p>
    <w:p w14:paraId="38640874" w14:textId="13EE1107" w:rsidR="00713856" w:rsidRPr="003726FE" w:rsidRDefault="00713856" w:rsidP="00713856">
      <w:pPr>
        <w:pStyle w:val="Heading2"/>
        <w:rPr>
          <w:lang w:val="en-GB"/>
        </w:rPr>
      </w:pPr>
      <w:bookmarkStart w:id="1016" w:name="_Toc500319498"/>
      <w:r w:rsidRPr="003726FE">
        <w:rPr>
          <w:lang w:val="en-GB"/>
        </w:rPr>
        <w:lastRenderedPageBreak/>
        <w:t xml:space="preserve">Appendix 27. Thematic </w:t>
      </w:r>
      <w:r w:rsidR="00912749" w:rsidRPr="003726FE">
        <w:rPr>
          <w:lang w:val="en-GB"/>
        </w:rPr>
        <w:t xml:space="preserve">Framework Version </w:t>
      </w:r>
      <w:r w:rsidRPr="003726FE">
        <w:rPr>
          <w:lang w:val="en-GB"/>
        </w:rPr>
        <w:t>2.</w:t>
      </w:r>
      <w:bookmarkEnd w:id="1016"/>
    </w:p>
    <w:p w14:paraId="3D968AB4" w14:textId="6E864661" w:rsidR="00713856" w:rsidRPr="003726FE" w:rsidRDefault="000357D3" w:rsidP="00713856">
      <w:pPr>
        <w:pStyle w:val="Normal1"/>
        <w:rPr>
          <w:lang w:val="en-GB"/>
        </w:rPr>
      </w:pPr>
      <w:r w:rsidRPr="003726FE">
        <w:rPr>
          <w:noProof/>
          <w:lang w:val="en-GB" w:eastAsia="en-GB" w:bidi="ar-SA"/>
        </w:rPr>
        <w:drawing>
          <wp:anchor distT="0" distB="0" distL="114300" distR="114300" simplePos="0" relativeHeight="252022784" behindDoc="0" locked="0" layoutInCell="1" allowOverlap="1" wp14:anchorId="3AF06DB7" wp14:editId="299BA952">
            <wp:simplePos x="0" y="0"/>
            <wp:positionH relativeFrom="column">
              <wp:posOffset>349250</wp:posOffset>
            </wp:positionH>
            <wp:positionV relativeFrom="paragraph">
              <wp:posOffset>208280</wp:posOffset>
            </wp:positionV>
            <wp:extent cx="5390515" cy="7941945"/>
            <wp:effectExtent l="0" t="0" r="19685" b="33655"/>
            <wp:wrapTopAndBottom/>
            <wp:docPr id="376" name="Diagram 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r w:rsidR="00713856" w:rsidRPr="003726FE">
        <w:rPr>
          <w:lang w:val="en-GB"/>
        </w:rPr>
        <w:br w:type="page"/>
      </w:r>
    </w:p>
    <w:p w14:paraId="7A65F3E1" w14:textId="77777777" w:rsidR="00713856" w:rsidRPr="003726FE" w:rsidRDefault="00713856" w:rsidP="00B1638D">
      <w:pPr>
        <w:pStyle w:val="Heading2"/>
        <w:rPr>
          <w:lang w:val="en-GB"/>
        </w:rPr>
        <w:sectPr w:rsidR="00713856" w:rsidRPr="003726FE" w:rsidSect="007C73DC">
          <w:pgSz w:w="11906" w:h="16838"/>
          <w:pgMar w:top="1134" w:right="1134" w:bottom="1134" w:left="2268" w:header="708" w:footer="708" w:gutter="0"/>
          <w:cols w:space="708"/>
          <w:docGrid w:linePitch="360"/>
        </w:sectPr>
      </w:pPr>
    </w:p>
    <w:p w14:paraId="3A9D86EF" w14:textId="27EDD7FA" w:rsidR="00071A48" w:rsidRPr="003726FE" w:rsidRDefault="00F27613" w:rsidP="00B1638D">
      <w:pPr>
        <w:pStyle w:val="Heading2"/>
        <w:rPr>
          <w:lang w:val="en-GB"/>
        </w:rPr>
      </w:pPr>
      <w:bookmarkStart w:id="1017" w:name="_Toc500319499"/>
      <w:r w:rsidRPr="003726FE">
        <w:rPr>
          <w:lang w:val="en-GB"/>
        </w:rPr>
        <w:lastRenderedPageBreak/>
        <w:t>Appendix 2</w:t>
      </w:r>
      <w:r w:rsidR="00713856" w:rsidRPr="003726FE">
        <w:rPr>
          <w:lang w:val="en-GB"/>
        </w:rPr>
        <w:t>8</w:t>
      </w:r>
      <w:r w:rsidRPr="003726FE">
        <w:rPr>
          <w:lang w:val="en-GB"/>
        </w:rPr>
        <w:t xml:space="preserve">. </w:t>
      </w:r>
      <w:r w:rsidR="00B70F41" w:rsidRPr="003726FE">
        <w:rPr>
          <w:lang w:val="en-GB"/>
        </w:rPr>
        <w:t xml:space="preserve">Theme </w:t>
      </w:r>
      <w:r w:rsidR="00912749" w:rsidRPr="003726FE">
        <w:rPr>
          <w:lang w:val="en-GB"/>
        </w:rPr>
        <w:t>Review with Quotes – Student Focus Groups and Interviews</w:t>
      </w:r>
      <w:r w:rsidR="00B70F41" w:rsidRPr="003726FE">
        <w:rPr>
          <w:lang w:val="en-GB"/>
        </w:rPr>
        <w:t>.</w:t>
      </w:r>
      <w:bookmarkEnd w:id="1017"/>
    </w:p>
    <w:p w14:paraId="09D219E6" w14:textId="77777777" w:rsidR="00BB49C7" w:rsidRPr="003726FE" w:rsidRDefault="00BB49C7"/>
    <w:p w14:paraId="781C609F" w14:textId="5198E4D5" w:rsidR="00BB49C7" w:rsidRPr="003726FE" w:rsidRDefault="00BB49C7" w:rsidP="00910B01">
      <w:pPr>
        <w:pStyle w:val="quoteboxes"/>
        <w:rPr>
          <w:b/>
          <w:sz w:val="24"/>
          <w:lang w:val="en-GB"/>
        </w:rPr>
      </w:pPr>
      <w:r w:rsidRPr="003726FE">
        <w:rPr>
          <w:b/>
          <w:sz w:val="24"/>
          <w:lang w:val="en-GB"/>
        </w:rPr>
        <w:t>Contextual and cultural</w:t>
      </w:r>
      <w:r w:rsidR="004E3161" w:rsidRPr="003726FE">
        <w:rPr>
          <w:b/>
          <w:sz w:val="24"/>
          <w:lang w:val="en-GB"/>
        </w:rPr>
        <w:t xml:space="preserve"> factors</w:t>
      </w:r>
      <w:r w:rsidRPr="003726FE">
        <w:rPr>
          <w:b/>
          <w:sz w:val="24"/>
          <w:lang w:val="en-GB"/>
        </w:rPr>
        <w:t xml:space="preserve"> theme and subthemes</w:t>
      </w:r>
      <w:r w:rsidR="004E3161" w:rsidRPr="003726FE">
        <w:rPr>
          <w:b/>
          <w:sz w:val="24"/>
          <w:lang w:val="en-GB"/>
        </w:rPr>
        <w:t>.</w:t>
      </w:r>
    </w:p>
    <w:tbl>
      <w:tblPr>
        <w:tblW w:w="13462" w:type="dxa"/>
        <w:tblLook w:val="04A0" w:firstRow="1" w:lastRow="0" w:firstColumn="1" w:lastColumn="0" w:noHBand="0" w:noVBand="1"/>
      </w:tblPr>
      <w:tblGrid>
        <w:gridCol w:w="1843"/>
        <w:gridCol w:w="2126"/>
        <w:gridCol w:w="1560"/>
        <w:gridCol w:w="2693"/>
        <w:gridCol w:w="1554"/>
        <w:gridCol w:w="1985"/>
        <w:gridCol w:w="1701"/>
      </w:tblGrid>
      <w:tr w:rsidR="00BB49C7" w:rsidRPr="003726FE" w14:paraId="04C2F25D" w14:textId="77777777" w:rsidTr="0004250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142CE" w14:textId="77777777" w:rsidR="00BB49C7" w:rsidRPr="003726FE" w:rsidRDefault="00BB49C7" w:rsidP="00910B01">
            <w:pPr>
              <w:pStyle w:val="quoteboxes"/>
              <w:rPr>
                <w:rFonts w:eastAsia="Times New Roman" w:cs="Times New Roman"/>
                <w:sz w:val="20"/>
                <w:lang w:val="en-GB"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C76F" w14:textId="0F101E4B"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A4B3" w14:textId="1C3149EA"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B</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236B" w14:textId="140E3356"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C</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A926" w14:textId="0865236F"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E927" w14:textId="2C720003"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488B" w14:textId="74C6FB0C"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F</w:t>
            </w:r>
          </w:p>
        </w:tc>
      </w:tr>
      <w:tr w:rsidR="00BB49C7" w:rsidRPr="003726FE" w14:paraId="5709D8E6" w14:textId="77777777" w:rsidTr="00042504">
        <w:trPr>
          <w:trHeight w:val="4365"/>
        </w:trPr>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5D8828C" w14:textId="77777777" w:rsidR="00BB49C7" w:rsidRPr="003726FE" w:rsidRDefault="00BB49C7"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1 Characteristics of the learning environment</w:t>
            </w:r>
          </w:p>
        </w:tc>
        <w:tc>
          <w:tcPr>
            <w:tcW w:w="2126" w:type="dxa"/>
            <w:tcBorders>
              <w:top w:val="single" w:sz="4" w:space="0" w:color="auto"/>
              <w:left w:val="nil"/>
              <w:bottom w:val="single" w:sz="4" w:space="0" w:color="auto"/>
              <w:right w:val="single" w:sz="4" w:space="0" w:color="auto"/>
            </w:tcBorders>
            <w:shd w:val="clear" w:color="auto" w:fill="auto"/>
            <w:hideMark/>
          </w:tcPr>
          <w:p w14:paraId="1E150782"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Interviewer: why have you chosen to go to clinics?</w:t>
            </w:r>
            <w:r w:rsidRPr="003726FE">
              <w:rPr>
                <w:rFonts w:eastAsia="Times New Roman" w:cs="Times New Roman"/>
                <w:color w:val="000000"/>
                <w:sz w:val="20"/>
                <w:lang w:val="en-GB" w:eastAsia="en-GB"/>
              </w:rPr>
              <w:br/>
              <w:t>G5 - 1: because I can actually see patients myself, I’ve got OSCEs coming up so going to theatre is of no benefit to me, I don’t speak to any patients, no communications skills to improve. It’s either sit or stand for two hours, or speak to some patients and get feedback on examinations which is helpful for me at this stage, it’s more like an overview I want than specific orthopaedic knowledge.</w:t>
            </w:r>
          </w:p>
        </w:tc>
        <w:tc>
          <w:tcPr>
            <w:tcW w:w="1560" w:type="dxa"/>
            <w:tcBorders>
              <w:top w:val="single" w:sz="4" w:space="0" w:color="auto"/>
              <w:left w:val="nil"/>
              <w:bottom w:val="single" w:sz="4" w:space="0" w:color="auto"/>
              <w:right w:val="single" w:sz="4" w:space="0" w:color="auto"/>
            </w:tcBorders>
            <w:shd w:val="clear" w:color="auto" w:fill="auto"/>
            <w:hideMark/>
          </w:tcPr>
          <w:p w14:paraId="27CDC71E"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FG7 - SRLF Student 4: it’s very evident that everyone is having a different experience but then again I think, over the next three years it will average out in terms of experience. It is interesting to see what people are doing but everyone is going to have different experience, that’s how it is on placement.</w:t>
            </w:r>
          </w:p>
        </w:tc>
        <w:tc>
          <w:tcPr>
            <w:tcW w:w="2693" w:type="dxa"/>
            <w:tcBorders>
              <w:top w:val="single" w:sz="4" w:space="0" w:color="auto"/>
              <w:left w:val="nil"/>
              <w:bottom w:val="single" w:sz="4" w:space="0" w:color="auto"/>
              <w:right w:val="single" w:sz="4" w:space="0" w:color="auto"/>
            </w:tcBorders>
            <w:shd w:val="clear" w:color="auto" w:fill="auto"/>
            <w:hideMark/>
          </w:tcPr>
          <w:p w14:paraId="1C5C88EA"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G7 - 2: they knew me more, I didn’t feel like a waste of space and they didn’t act like I was either, I felt more appreciated by them. The F1s at Rotherham don’t even know who I am. At the RHH they were happy just to have me around, have a normal conversation about normal things, it felt like I was part of the team, they wanted to help me out, they understand that I have a lot to do, they encourage me to come to a teaching session with them because they thought it would be useful for me, they had my back. The ones at Rotherham don’t have my back.</w:t>
            </w:r>
          </w:p>
        </w:tc>
        <w:tc>
          <w:tcPr>
            <w:tcW w:w="1554" w:type="dxa"/>
            <w:tcBorders>
              <w:top w:val="single" w:sz="4" w:space="0" w:color="auto"/>
              <w:left w:val="nil"/>
              <w:bottom w:val="single" w:sz="4" w:space="0" w:color="auto"/>
              <w:right w:val="single" w:sz="4" w:space="0" w:color="auto"/>
            </w:tcBorders>
            <w:shd w:val="clear" w:color="auto" w:fill="auto"/>
            <w:hideMark/>
          </w:tcPr>
          <w:p w14:paraId="24FD49A2"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G5 - 2: When I’m in clinics they tailor the feedback because they ask what year we’re in and then they know what I need to learn and that’s really good. A lot of them will do that.</w:t>
            </w:r>
          </w:p>
        </w:tc>
        <w:tc>
          <w:tcPr>
            <w:tcW w:w="1985" w:type="dxa"/>
            <w:tcBorders>
              <w:top w:val="single" w:sz="4" w:space="0" w:color="auto"/>
              <w:left w:val="nil"/>
              <w:bottom w:val="single" w:sz="4" w:space="0" w:color="auto"/>
              <w:right w:val="single" w:sz="4" w:space="0" w:color="auto"/>
            </w:tcBorders>
            <w:shd w:val="clear" w:color="auto" w:fill="auto"/>
            <w:hideMark/>
          </w:tcPr>
          <w:p w14:paraId="23FE906A"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G2 - 2: yeah but I missed my twilight teaching because I went to clinic instead because I thought it would be better. But I have the peer teaching buddy, I went to some sessions on that which is really helpful for sure. Say I haven’t done an examination I can go and do examinations in a structured way with them, ones I put off or have problems with, or ones I don’t have opportunity to do on the wards. And they are knowledgeable on the subject so can give good feedback.</w:t>
            </w:r>
          </w:p>
        </w:tc>
        <w:tc>
          <w:tcPr>
            <w:tcW w:w="1701" w:type="dxa"/>
            <w:tcBorders>
              <w:top w:val="single" w:sz="4" w:space="0" w:color="auto"/>
              <w:left w:val="nil"/>
              <w:bottom w:val="single" w:sz="4" w:space="0" w:color="auto"/>
              <w:right w:val="single" w:sz="4" w:space="0" w:color="auto"/>
            </w:tcBorders>
            <w:shd w:val="clear" w:color="auto" w:fill="auto"/>
            <w:hideMark/>
          </w:tcPr>
          <w:p w14:paraId="77F6EDB3" w14:textId="77777777" w:rsidR="00BB49C7" w:rsidRPr="003726FE" w:rsidRDefault="00BB49C7"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G3 - 2: I would make an effort to see my supervisor more, I would greet them and ask them for a timetable, to ask if I could come to clinic as well. Rather than hanging around on the wards sometimes I think I waste a lot of my time, standing there hoping something will happen. I’d encourage myself to be more proactive in that respect.</w:t>
            </w:r>
          </w:p>
        </w:tc>
      </w:tr>
    </w:tbl>
    <w:p w14:paraId="31E1A2B5" w14:textId="73B3B8C2" w:rsidR="00AF7D25" w:rsidRPr="003726FE" w:rsidRDefault="00AF7D25" w:rsidP="00910B01">
      <w:pPr>
        <w:pStyle w:val="quoteboxes"/>
        <w:rPr>
          <w:lang w:val="en-GB"/>
        </w:rPr>
      </w:pPr>
      <w:r w:rsidRPr="003726FE">
        <w:rPr>
          <w:lang w:val="en-GB"/>
        </w:rPr>
        <w:br w:type="page"/>
      </w:r>
    </w:p>
    <w:p w14:paraId="3B36EE9F" w14:textId="31C34D5D" w:rsidR="005B6118" w:rsidRPr="003726FE" w:rsidRDefault="005B6118" w:rsidP="00910B01">
      <w:pPr>
        <w:pStyle w:val="quoteboxes"/>
        <w:rPr>
          <w:sz w:val="28"/>
          <w:lang w:val="en-GB"/>
        </w:rPr>
      </w:pPr>
    </w:p>
    <w:tbl>
      <w:tblPr>
        <w:tblW w:w="13320" w:type="dxa"/>
        <w:tblLayout w:type="fixed"/>
        <w:tblLook w:val="04A0" w:firstRow="1" w:lastRow="0" w:firstColumn="1" w:lastColumn="0" w:noHBand="0" w:noVBand="1"/>
      </w:tblPr>
      <w:tblGrid>
        <w:gridCol w:w="1555"/>
        <w:gridCol w:w="2268"/>
        <w:gridCol w:w="1275"/>
        <w:gridCol w:w="1418"/>
        <w:gridCol w:w="1701"/>
        <w:gridCol w:w="1559"/>
        <w:gridCol w:w="2410"/>
        <w:gridCol w:w="1134"/>
      </w:tblGrid>
      <w:tr w:rsidR="005B6118" w:rsidRPr="003726FE" w14:paraId="6CE0D180" w14:textId="77777777" w:rsidTr="00042504">
        <w:trPr>
          <w:trHeight w:val="3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4AFD3E5" w14:textId="77777777" w:rsidR="005B6118" w:rsidRPr="003726FE" w:rsidRDefault="005B6118" w:rsidP="00910B01">
            <w:pPr>
              <w:pStyle w:val="quoteboxes"/>
              <w:rPr>
                <w:rFonts w:eastAsia="Times New Roman" w:cs="Times New Roman"/>
                <w:bCs/>
                <w:color w:val="000000"/>
                <w:sz w:val="20"/>
                <w:lang w:val="en-GB"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2AF2" w14:textId="1B1837F9"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G</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54FF2" w14:textId="1829CB79"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H</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8BC13" w14:textId="5441B99B"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F17B" w14:textId="04DC796C"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3C795" w14:textId="1BFE2EA7"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K</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C9F68" w14:textId="0915A8A6"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316B" w14:textId="00EBB902" w:rsidR="005B6118" w:rsidRPr="003726FE" w:rsidRDefault="005B6118" w:rsidP="00910B01">
            <w:pPr>
              <w:pStyle w:val="quoteboxes"/>
              <w:rPr>
                <w:rFonts w:eastAsia="Times New Roman" w:cs="Times New Roman"/>
                <w:bCs/>
                <w:color w:val="000000"/>
                <w:sz w:val="20"/>
                <w:lang w:val="en-GB" w:eastAsia="en-GB"/>
              </w:rPr>
            </w:pPr>
            <w:r w:rsidRPr="003726FE">
              <w:rPr>
                <w:rFonts w:eastAsia="Times New Roman" w:cs="Times New Roman"/>
                <w:bCs/>
                <w:color w:val="000000"/>
                <w:sz w:val="20"/>
                <w:lang w:val="en-GB" w:eastAsia="en-GB"/>
              </w:rPr>
              <w:t>M</w:t>
            </w:r>
          </w:p>
        </w:tc>
      </w:tr>
      <w:tr w:rsidR="005B6118" w:rsidRPr="003726FE" w14:paraId="18C0A694" w14:textId="77777777" w:rsidTr="00042504">
        <w:trPr>
          <w:trHeight w:val="436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4079E5C" w14:textId="51A4F07B"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bCs/>
                <w:color w:val="000000"/>
                <w:sz w:val="20"/>
                <w:lang w:val="en-GB" w:eastAsia="en-GB"/>
              </w:rPr>
              <w:t>1 Characteristics of the learning environment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7D2109E" w14:textId="5860C8E3"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 xml:space="preserve">G5 - 1: I’m definitely not just about going in and doing a certain number of examinations and going home. I do enjoy being on the ward but it’s a lot harder to get when on surgery. I don’t get to know a team, its different people every day, no one knows who I am so there’s no incentive to go back to the ward because I’ll have to reintroduce myself and find people to talk to. When on medical I go in everyday and go on the ward round, look at the notes, and its good practice for when I’m a future doctor post-OSCEs. </w:t>
            </w:r>
          </w:p>
        </w:tc>
        <w:tc>
          <w:tcPr>
            <w:tcW w:w="1275" w:type="dxa"/>
            <w:tcBorders>
              <w:top w:val="single" w:sz="4" w:space="0" w:color="auto"/>
              <w:left w:val="nil"/>
              <w:bottom w:val="single" w:sz="4" w:space="0" w:color="auto"/>
              <w:right w:val="single" w:sz="4" w:space="0" w:color="auto"/>
            </w:tcBorders>
            <w:shd w:val="clear" w:color="auto" w:fill="auto"/>
            <w:hideMark/>
          </w:tcPr>
          <w:p w14:paraId="20D42D48" w14:textId="77777777"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G4 - 1: oh my gosh it’s the most irritating thing, people tell you different stuff. It doesn’t seem to make a difference, it’s just some like it done a certain way. I need a strong filter.</w:t>
            </w:r>
          </w:p>
        </w:tc>
        <w:tc>
          <w:tcPr>
            <w:tcW w:w="1418" w:type="dxa"/>
            <w:tcBorders>
              <w:top w:val="single" w:sz="4" w:space="0" w:color="auto"/>
              <w:left w:val="nil"/>
              <w:bottom w:val="single" w:sz="4" w:space="0" w:color="auto"/>
              <w:right w:val="single" w:sz="4" w:space="0" w:color="auto"/>
            </w:tcBorders>
            <w:shd w:val="clear" w:color="auto" w:fill="auto"/>
            <w:hideMark/>
          </w:tcPr>
          <w:p w14:paraId="06D9D942" w14:textId="77777777"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 xml:space="preserve">G6 - 1: you know what I was just saying about consultants showing me how they do examinations and I look at it in the book that night and I know that they are doing it differently to what I’ve been taught so I have to ignore that. </w:t>
            </w:r>
          </w:p>
        </w:tc>
        <w:tc>
          <w:tcPr>
            <w:tcW w:w="1701" w:type="dxa"/>
            <w:tcBorders>
              <w:top w:val="single" w:sz="4" w:space="0" w:color="auto"/>
              <w:left w:val="nil"/>
              <w:bottom w:val="single" w:sz="4" w:space="0" w:color="auto"/>
              <w:right w:val="single" w:sz="4" w:space="0" w:color="auto"/>
            </w:tcBorders>
            <w:shd w:val="clear" w:color="auto" w:fill="auto"/>
            <w:hideMark/>
          </w:tcPr>
          <w:p w14:paraId="6E7071FF" w14:textId="77777777"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FG2 - SRLF Student 7: I’ve got one friend at Grimsby, she's saying that they're really keen to teach there so she’s taken a lot of bloods, numerous times a day and taken a lot of histories, she's always doing something. Some people are similar to us or some are saying that they're just standing around sometimes.</w:t>
            </w:r>
          </w:p>
        </w:tc>
        <w:tc>
          <w:tcPr>
            <w:tcW w:w="1559" w:type="dxa"/>
            <w:tcBorders>
              <w:top w:val="single" w:sz="4" w:space="0" w:color="auto"/>
              <w:left w:val="nil"/>
              <w:bottom w:val="single" w:sz="4" w:space="0" w:color="auto"/>
              <w:right w:val="single" w:sz="4" w:space="0" w:color="auto"/>
            </w:tcBorders>
            <w:shd w:val="clear" w:color="auto" w:fill="auto"/>
            <w:hideMark/>
          </w:tcPr>
          <w:p w14:paraId="6AD2263D" w14:textId="77777777"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FG1 - BPF Student 9: I think it’s quite good getting feedback from different people especially with examinations because people do it in different ways so you get a lot of information and you can work out what’s best for you</w:t>
            </w:r>
          </w:p>
        </w:tc>
        <w:tc>
          <w:tcPr>
            <w:tcW w:w="2410" w:type="dxa"/>
            <w:tcBorders>
              <w:top w:val="single" w:sz="4" w:space="0" w:color="auto"/>
              <w:left w:val="nil"/>
              <w:bottom w:val="single" w:sz="4" w:space="0" w:color="auto"/>
              <w:right w:val="single" w:sz="4" w:space="0" w:color="auto"/>
            </w:tcBorders>
            <w:shd w:val="clear" w:color="auto" w:fill="auto"/>
            <w:hideMark/>
          </w:tcPr>
          <w:p w14:paraId="1B11F3DD" w14:textId="6C457134"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 xml:space="preserve">FG2 - SRLF Student 2: one of our consultants who we’re assigned to, we’ve been here for a week and a half, we just saw him for the first time yesterday and when we introduced ourselves he said he’s not teaching and he </w:t>
            </w:r>
            <w:r w:rsidR="00D531CD" w:rsidRPr="003726FE">
              <w:rPr>
                <w:rFonts w:eastAsia="Times New Roman" w:cs="Times New Roman"/>
                <w:color w:val="000000"/>
                <w:sz w:val="20"/>
                <w:lang w:val="en-GB" w:eastAsia="en-GB"/>
              </w:rPr>
              <w:t>won’t</w:t>
            </w:r>
            <w:r w:rsidRPr="003726FE">
              <w:rPr>
                <w:rFonts w:eastAsia="Times New Roman" w:cs="Times New Roman"/>
                <w:color w:val="000000"/>
                <w:sz w:val="20"/>
                <w:lang w:val="en-GB" w:eastAsia="en-GB"/>
              </w:rPr>
              <w:t xml:space="preserve"> be there for the rest of the week. It just shows… we’re there dumbfounded, what are we supposed to do, we’re here to learn as much as we can, </w:t>
            </w:r>
            <w:r w:rsidR="00D531CD" w:rsidRPr="003726FE">
              <w:rPr>
                <w:rFonts w:eastAsia="Times New Roman" w:cs="Times New Roman"/>
                <w:color w:val="000000"/>
                <w:sz w:val="20"/>
                <w:lang w:val="en-GB" w:eastAsia="en-GB"/>
              </w:rPr>
              <w:t>it’s</w:t>
            </w:r>
            <w:r w:rsidRPr="003726FE">
              <w:rPr>
                <w:rFonts w:eastAsia="Times New Roman" w:cs="Times New Roman"/>
                <w:color w:val="000000"/>
                <w:sz w:val="20"/>
                <w:lang w:val="en-GB" w:eastAsia="en-GB"/>
              </w:rPr>
              <w:t xml:space="preserve"> difficult for us. It varies on the ward as well and the consultant. They could just reach out to us and it’d make a big difference.</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1AC528F3" w14:textId="77777777" w:rsidR="005B6118" w:rsidRPr="003726FE" w:rsidRDefault="005B6118" w:rsidP="00910B01">
            <w:pPr>
              <w:pStyle w:val="quoteboxes"/>
              <w:rPr>
                <w:rFonts w:eastAsia="Times New Roman" w:cs="Times New Roman"/>
                <w:color w:val="000000"/>
                <w:sz w:val="20"/>
                <w:lang w:val="en-GB" w:eastAsia="en-GB"/>
              </w:rPr>
            </w:pPr>
            <w:r w:rsidRPr="003726FE">
              <w:rPr>
                <w:rFonts w:eastAsia="Times New Roman" w:cs="Times New Roman"/>
                <w:color w:val="000000"/>
                <w:sz w:val="20"/>
                <w:lang w:val="en-GB" w:eastAsia="en-GB"/>
              </w:rPr>
              <w:t xml:space="preserve">G1 - 1: when we do clinical skills here the patients know what we’re supposed to be doing so their feedback is similar to the doctor’s feedback whereas the patients on the ward don’t fully understand what we’re doing. </w:t>
            </w:r>
          </w:p>
        </w:tc>
      </w:tr>
    </w:tbl>
    <w:p w14:paraId="6BD646FE" w14:textId="26E85CA5" w:rsidR="00616B48" w:rsidRPr="003726FE" w:rsidRDefault="00616B48" w:rsidP="00910B01">
      <w:pPr>
        <w:pStyle w:val="quoteboxes"/>
        <w:rPr>
          <w:sz w:val="28"/>
          <w:lang w:val="en-GB"/>
        </w:rPr>
        <w:sectPr w:rsidR="00616B48" w:rsidRPr="003726FE" w:rsidSect="007C73DC">
          <w:pgSz w:w="16838" w:h="11906" w:orient="landscape"/>
          <w:pgMar w:top="1134" w:right="1134" w:bottom="1134" w:left="2268" w:header="708" w:footer="708" w:gutter="0"/>
          <w:cols w:space="708"/>
          <w:docGrid w:linePitch="360"/>
        </w:sectPr>
      </w:pPr>
    </w:p>
    <w:p w14:paraId="266F87E6" w14:textId="77777777" w:rsidR="005B6118" w:rsidRPr="003726FE" w:rsidRDefault="005B6118" w:rsidP="00910B01">
      <w:pPr>
        <w:pStyle w:val="quoteboxes"/>
        <w:rPr>
          <w:sz w:val="28"/>
          <w:lang w:val="en-GB"/>
        </w:rPr>
      </w:pPr>
      <w:r w:rsidRPr="003726FE">
        <w:rPr>
          <w:lang w:val="en-GB"/>
        </w:rPr>
        <w:lastRenderedPageBreak/>
        <w:br w:type="page"/>
      </w:r>
    </w:p>
    <w:tbl>
      <w:tblPr>
        <w:tblStyle w:val="TableGrid"/>
        <w:tblW w:w="0" w:type="auto"/>
        <w:tblLook w:val="04A0" w:firstRow="1" w:lastRow="0" w:firstColumn="1" w:lastColumn="0" w:noHBand="0" w:noVBand="1"/>
      </w:tblPr>
      <w:tblGrid>
        <w:gridCol w:w="1378"/>
        <w:gridCol w:w="2807"/>
        <w:gridCol w:w="2909"/>
        <w:gridCol w:w="2736"/>
        <w:gridCol w:w="3596"/>
      </w:tblGrid>
      <w:tr w:rsidR="00836C8A" w:rsidRPr="003726FE" w14:paraId="32DA6ACD" w14:textId="77777777" w:rsidTr="00836C8A">
        <w:trPr>
          <w:trHeight w:val="315"/>
        </w:trPr>
        <w:tc>
          <w:tcPr>
            <w:tcW w:w="1555" w:type="dxa"/>
            <w:noWrap/>
            <w:hideMark/>
          </w:tcPr>
          <w:p w14:paraId="6ACC3E28" w14:textId="77777777" w:rsidR="00836C8A" w:rsidRPr="003726FE" w:rsidRDefault="00836C8A" w:rsidP="00910B01">
            <w:pPr>
              <w:pStyle w:val="quoteboxes"/>
              <w:rPr>
                <w:sz w:val="20"/>
                <w:lang w:val="en-GB"/>
              </w:rPr>
            </w:pPr>
          </w:p>
        </w:tc>
        <w:tc>
          <w:tcPr>
            <w:tcW w:w="3201" w:type="dxa"/>
            <w:noWrap/>
            <w:hideMark/>
          </w:tcPr>
          <w:p w14:paraId="38797633" w14:textId="29CC2A27" w:rsidR="00836C8A" w:rsidRPr="003726FE" w:rsidRDefault="00836C8A" w:rsidP="00910B01">
            <w:pPr>
              <w:pStyle w:val="quoteboxes"/>
              <w:rPr>
                <w:bCs/>
                <w:sz w:val="20"/>
                <w:lang w:val="en-GB"/>
              </w:rPr>
            </w:pPr>
            <w:r w:rsidRPr="003726FE">
              <w:rPr>
                <w:bCs/>
                <w:sz w:val="20"/>
                <w:lang w:val="en-GB"/>
              </w:rPr>
              <w:t>A</w:t>
            </w:r>
          </w:p>
        </w:tc>
        <w:tc>
          <w:tcPr>
            <w:tcW w:w="3319" w:type="dxa"/>
            <w:noWrap/>
            <w:hideMark/>
          </w:tcPr>
          <w:p w14:paraId="26B84B22" w14:textId="173CDD4D" w:rsidR="00836C8A" w:rsidRPr="003726FE" w:rsidRDefault="00836C8A" w:rsidP="00910B01">
            <w:pPr>
              <w:pStyle w:val="quoteboxes"/>
              <w:rPr>
                <w:bCs/>
                <w:sz w:val="20"/>
                <w:lang w:val="en-GB"/>
              </w:rPr>
            </w:pPr>
            <w:r w:rsidRPr="003726FE">
              <w:rPr>
                <w:bCs/>
                <w:sz w:val="20"/>
                <w:lang w:val="en-GB"/>
              </w:rPr>
              <w:t>B</w:t>
            </w:r>
          </w:p>
        </w:tc>
        <w:tc>
          <w:tcPr>
            <w:tcW w:w="3119" w:type="dxa"/>
            <w:noWrap/>
            <w:hideMark/>
          </w:tcPr>
          <w:p w14:paraId="07273192" w14:textId="1ED56577" w:rsidR="00836C8A" w:rsidRPr="003726FE" w:rsidRDefault="00836C8A" w:rsidP="00910B01">
            <w:pPr>
              <w:pStyle w:val="quoteboxes"/>
              <w:rPr>
                <w:bCs/>
                <w:sz w:val="20"/>
                <w:lang w:val="en-GB"/>
              </w:rPr>
            </w:pPr>
            <w:r w:rsidRPr="003726FE">
              <w:rPr>
                <w:bCs/>
                <w:sz w:val="20"/>
                <w:lang w:val="en-GB"/>
              </w:rPr>
              <w:t>C</w:t>
            </w:r>
          </w:p>
        </w:tc>
        <w:tc>
          <w:tcPr>
            <w:tcW w:w="4110" w:type="dxa"/>
            <w:noWrap/>
            <w:hideMark/>
          </w:tcPr>
          <w:p w14:paraId="05A555D4" w14:textId="1DB9F652" w:rsidR="00836C8A" w:rsidRPr="003726FE" w:rsidRDefault="00836C8A" w:rsidP="00910B01">
            <w:pPr>
              <w:pStyle w:val="quoteboxes"/>
              <w:rPr>
                <w:bCs/>
                <w:sz w:val="20"/>
                <w:lang w:val="en-GB"/>
              </w:rPr>
            </w:pPr>
            <w:r w:rsidRPr="003726FE">
              <w:rPr>
                <w:bCs/>
                <w:sz w:val="20"/>
                <w:lang w:val="en-GB"/>
              </w:rPr>
              <w:t>D</w:t>
            </w:r>
          </w:p>
        </w:tc>
      </w:tr>
      <w:tr w:rsidR="00836C8A" w:rsidRPr="003726FE" w14:paraId="5409AABE" w14:textId="77777777" w:rsidTr="00836C8A">
        <w:trPr>
          <w:trHeight w:val="4665"/>
        </w:trPr>
        <w:tc>
          <w:tcPr>
            <w:tcW w:w="1555" w:type="dxa"/>
            <w:vAlign w:val="center"/>
            <w:hideMark/>
          </w:tcPr>
          <w:p w14:paraId="08D896EA" w14:textId="77777777" w:rsidR="00836C8A" w:rsidRPr="003726FE" w:rsidRDefault="00836C8A" w:rsidP="00910B01">
            <w:pPr>
              <w:pStyle w:val="quoteboxes"/>
              <w:rPr>
                <w:bCs/>
                <w:sz w:val="20"/>
                <w:lang w:val="en-GB"/>
              </w:rPr>
            </w:pPr>
            <w:r w:rsidRPr="003726FE">
              <w:rPr>
                <w:bCs/>
                <w:sz w:val="20"/>
                <w:lang w:val="en-GB"/>
              </w:rPr>
              <w:t>2 Workplace culture</w:t>
            </w:r>
          </w:p>
        </w:tc>
        <w:tc>
          <w:tcPr>
            <w:tcW w:w="3201" w:type="dxa"/>
            <w:hideMark/>
          </w:tcPr>
          <w:p w14:paraId="78223ECF" w14:textId="77777777" w:rsidR="00836C8A" w:rsidRPr="003726FE" w:rsidRDefault="00836C8A" w:rsidP="00910B01">
            <w:pPr>
              <w:pStyle w:val="quoteboxes"/>
              <w:rPr>
                <w:sz w:val="20"/>
                <w:lang w:val="en-GB"/>
              </w:rPr>
            </w:pPr>
            <w:r w:rsidRPr="003726FE">
              <w:rPr>
                <w:sz w:val="20"/>
                <w:lang w:val="en-GB"/>
              </w:rPr>
              <w:t>G3 - 1: There’s a norm where it’s rude to say certain things like “can I do this/that?” because it is the doctors job, I’m just there under his supervision, that’s how it is. We should be grateful for them letting us be there, we always have to say “thank you for having me today” which is fine and normal but I have to be careful to not tread on toes.</w:t>
            </w:r>
          </w:p>
        </w:tc>
        <w:tc>
          <w:tcPr>
            <w:tcW w:w="3319" w:type="dxa"/>
            <w:hideMark/>
          </w:tcPr>
          <w:p w14:paraId="54D0870E" w14:textId="77777777" w:rsidR="00836C8A" w:rsidRPr="003726FE" w:rsidRDefault="00836C8A" w:rsidP="00910B01">
            <w:pPr>
              <w:pStyle w:val="quoteboxes"/>
              <w:rPr>
                <w:sz w:val="20"/>
                <w:lang w:val="en-GB"/>
              </w:rPr>
            </w:pPr>
            <w:r w:rsidRPr="003726FE">
              <w:rPr>
                <w:sz w:val="20"/>
                <w:lang w:val="en-GB"/>
              </w:rPr>
              <w:t>G3 - 1: If I have a good team, a good consultant, a good interest in it then I’m more motivated to do things, I wouldn’t be scared to staple the skin or ask about things, I actually want to do that. It’s the environment.</w:t>
            </w:r>
          </w:p>
        </w:tc>
        <w:tc>
          <w:tcPr>
            <w:tcW w:w="3119" w:type="dxa"/>
            <w:hideMark/>
          </w:tcPr>
          <w:p w14:paraId="5EDA07AA" w14:textId="77777777" w:rsidR="00836C8A" w:rsidRPr="003726FE" w:rsidRDefault="00836C8A" w:rsidP="00910B01">
            <w:pPr>
              <w:pStyle w:val="quoteboxes"/>
              <w:rPr>
                <w:sz w:val="20"/>
                <w:lang w:val="en-GB"/>
              </w:rPr>
            </w:pPr>
            <w:r w:rsidRPr="003726FE">
              <w:rPr>
                <w:sz w:val="20"/>
                <w:lang w:val="en-GB"/>
              </w:rPr>
              <w:t>G3 - 2: since going on the ward round I’m more familiar with the patients and how the ward works. I can be more independent in that I can speak to patients by myself and I’ll ask if bloods need doing, go off and read some patient notes so generally getting more comfortable around the wards. When I’m on the ward for the first time I don’t know how things work and the etiquette, I don’t want to get in the way.</w:t>
            </w:r>
          </w:p>
        </w:tc>
        <w:tc>
          <w:tcPr>
            <w:tcW w:w="4110" w:type="dxa"/>
            <w:hideMark/>
          </w:tcPr>
          <w:p w14:paraId="6D64EDF4" w14:textId="77777777" w:rsidR="00836C8A" w:rsidRPr="003726FE" w:rsidRDefault="00836C8A" w:rsidP="00910B01">
            <w:pPr>
              <w:pStyle w:val="quoteboxes"/>
              <w:rPr>
                <w:sz w:val="20"/>
                <w:lang w:val="en-GB"/>
              </w:rPr>
            </w:pPr>
            <w:r w:rsidRPr="003726FE">
              <w:rPr>
                <w:sz w:val="20"/>
                <w:lang w:val="en-GB"/>
              </w:rPr>
              <w:t xml:space="preserve">FG7 - SRLF Student 7: you don’t realise when you start working in the NHS, things that you learn are ideals, same as when I worked in a care home with manual handling, it’s good to go by the book but the time pressures change how you do it which isn’t ideal but you get faster. We have to understand that they’re under a lot of pressure and they’ve done it so many times and know something when they see it so don’t need to do every test. With the OSCEs and the exams we have so little idea of what normal examinations look like and we need to see it more. </w:t>
            </w:r>
          </w:p>
        </w:tc>
      </w:tr>
    </w:tbl>
    <w:p w14:paraId="47928DE5" w14:textId="77777777" w:rsidR="00836C8A" w:rsidRPr="003726FE" w:rsidRDefault="00836C8A" w:rsidP="00910B01">
      <w:pPr>
        <w:pStyle w:val="quoteboxes"/>
        <w:rPr>
          <w:lang w:val="en-GB"/>
        </w:rPr>
      </w:pPr>
    </w:p>
    <w:p w14:paraId="1285BB0A" w14:textId="77777777" w:rsidR="00836C8A" w:rsidRPr="003726FE" w:rsidRDefault="00836C8A"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497"/>
        <w:gridCol w:w="1871"/>
        <w:gridCol w:w="2484"/>
        <w:gridCol w:w="2484"/>
        <w:gridCol w:w="1993"/>
        <w:gridCol w:w="3097"/>
      </w:tblGrid>
      <w:tr w:rsidR="00836C8A" w:rsidRPr="003726FE" w14:paraId="36A8DC1A" w14:textId="77777777" w:rsidTr="00836C8A">
        <w:trPr>
          <w:trHeight w:val="315"/>
        </w:trPr>
        <w:tc>
          <w:tcPr>
            <w:tcW w:w="1696" w:type="dxa"/>
            <w:noWrap/>
            <w:hideMark/>
          </w:tcPr>
          <w:p w14:paraId="2DF74293" w14:textId="5AC1F83A" w:rsidR="00836C8A" w:rsidRPr="003726FE" w:rsidRDefault="00836C8A" w:rsidP="00910B01">
            <w:pPr>
              <w:pStyle w:val="quoteboxes"/>
              <w:rPr>
                <w:bCs/>
                <w:lang w:val="en-GB"/>
              </w:rPr>
            </w:pPr>
            <w:r w:rsidRPr="003726FE">
              <w:rPr>
                <w:bCs/>
                <w:lang w:val="en-GB"/>
              </w:rPr>
              <w:lastRenderedPageBreak/>
              <w:t>E</w:t>
            </w:r>
          </w:p>
        </w:tc>
        <w:tc>
          <w:tcPr>
            <w:tcW w:w="2127" w:type="dxa"/>
            <w:noWrap/>
            <w:hideMark/>
          </w:tcPr>
          <w:p w14:paraId="01C1C824" w14:textId="2294F9CF" w:rsidR="00836C8A" w:rsidRPr="003726FE" w:rsidRDefault="00836C8A" w:rsidP="00910B01">
            <w:pPr>
              <w:pStyle w:val="quoteboxes"/>
              <w:rPr>
                <w:bCs/>
                <w:lang w:val="en-GB"/>
              </w:rPr>
            </w:pPr>
            <w:r w:rsidRPr="003726FE">
              <w:rPr>
                <w:bCs/>
                <w:lang w:val="en-GB"/>
              </w:rPr>
              <w:t>F</w:t>
            </w:r>
          </w:p>
        </w:tc>
        <w:tc>
          <w:tcPr>
            <w:tcW w:w="2835" w:type="dxa"/>
            <w:noWrap/>
            <w:hideMark/>
          </w:tcPr>
          <w:p w14:paraId="0227AC2D" w14:textId="6640FCAD" w:rsidR="00836C8A" w:rsidRPr="003726FE" w:rsidRDefault="00836C8A" w:rsidP="00910B01">
            <w:pPr>
              <w:pStyle w:val="quoteboxes"/>
              <w:rPr>
                <w:bCs/>
                <w:lang w:val="en-GB"/>
              </w:rPr>
            </w:pPr>
            <w:r w:rsidRPr="003726FE">
              <w:rPr>
                <w:bCs/>
                <w:lang w:val="en-GB"/>
              </w:rPr>
              <w:t>G</w:t>
            </w:r>
          </w:p>
        </w:tc>
        <w:tc>
          <w:tcPr>
            <w:tcW w:w="2835" w:type="dxa"/>
            <w:noWrap/>
            <w:hideMark/>
          </w:tcPr>
          <w:p w14:paraId="4704FC70" w14:textId="0156D43E" w:rsidR="00836C8A" w:rsidRPr="003726FE" w:rsidRDefault="00836C8A" w:rsidP="00910B01">
            <w:pPr>
              <w:pStyle w:val="quoteboxes"/>
              <w:rPr>
                <w:bCs/>
                <w:lang w:val="en-GB"/>
              </w:rPr>
            </w:pPr>
            <w:r w:rsidRPr="003726FE">
              <w:rPr>
                <w:bCs/>
                <w:lang w:val="en-GB"/>
              </w:rPr>
              <w:t>H</w:t>
            </w:r>
          </w:p>
        </w:tc>
        <w:tc>
          <w:tcPr>
            <w:tcW w:w="2268" w:type="dxa"/>
            <w:noWrap/>
            <w:hideMark/>
          </w:tcPr>
          <w:p w14:paraId="2555271B" w14:textId="08A8349A" w:rsidR="00836C8A" w:rsidRPr="003726FE" w:rsidRDefault="00836C8A" w:rsidP="00910B01">
            <w:pPr>
              <w:pStyle w:val="quoteboxes"/>
              <w:rPr>
                <w:bCs/>
                <w:lang w:val="en-GB"/>
              </w:rPr>
            </w:pPr>
            <w:r w:rsidRPr="003726FE">
              <w:rPr>
                <w:bCs/>
                <w:lang w:val="en-GB"/>
              </w:rPr>
              <w:t>I</w:t>
            </w:r>
          </w:p>
        </w:tc>
        <w:tc>
          <w:tcPr>
            <w:tcW w:w="3543" w:type="dxa"/>
            <w:noWrap/>
            <w:hideMark/>
          </w:tcPr>
          <w:p w14:paraId="4ECA0183" w14:textId="0B663391" w:rsidR="00836C8A" w:rsidRPr="003726FE" w:rsidRDefault="00836C8A" w:rsidP="00910B01">
            <w:pPr>
              <w:pStyle w:val="quoteboxes"/>
              <w:rPr>
                <w:bCs/>
                <w:lang w:val="en-GB"/>
              </w:rPr>
            </w:pPr>
            <w:r w:rsidRPr="003726FE">
              <w:rPr>
                <w:bCs/>
                <w:lang w:val="en-GB"/>
              </w:rPr>
              <w:t>J</w:t>
            </w:r>
          </w:p>
        </w:tc>
      </w:tr>
      <w:tr w:rsidR="00836C8A" w:rsidRPr="003726FE" w14:paraId="527F2EFA" w14:textId="77777777" w:rsidTr="00836C8A">
        <w:trPr>
          <w:trHeight w:val="4665"/>
        </w:trPr>
        <w:tc>
          <w:tcPr>
            <w:tcW w:w="1696" w:type="dxa"/>
            <w:vAlign w:val="center"/>
            <w:hideMark/>
          </w:tcPr>
          <w:p w14:paraId="7EDDADB2" w14:textId="67B1E2FD" w:rsidR="00836C8A" w:rsidRPr="003726FE" w:rsidRDefault="00836C8A" w:rsidP="00910B01">
            <w:pPr>
              <w:pStyle w:val="quoteboxes"/>
              <w:rPr>
                <w:bCs/>
                <w:lang w:val="en-GB"/>
              </w:rPr>
            </w:pPr>
            <w:r w:rsidRPr="003726FE">
              <w:rPr>
                <w:bCs/>
                <w:lang w:val="en-GB"/>
              </w:rPr>
              <w:t xml:space="preserve">Authenticity - </w:t>
            </w:r>
            <w:r w:rsidRPr="003726FE">
              <w:rPr>
                <w:lang w:val="en-GB"/>
              </w:rPr>
              <w:t>Sub-theme of  2 'workplace culture'</w:t>
            </w:r>
          </w:p>
        </w:tc>
        <w:tc>
          <w:tcPr>
            <w:tcW w:w="2127" w:type="dxa"/>
            <w:hideMark/>
          </w:tcPr>
          <w:p w14:paraId="195D75AF" w14:textId="77777777" w:rsidR="00836C8A" w:rsidRPr="003726FE" w:rsidRDefault="00836C8A" w:rsidP="00910B01">
            <w:pPr>
              <w:pStyle w:val="quoteboxes"/>
              <w:rPr>
                <w:lang w:val="en-GB"/>
              </w:rPr>
            </w:pPr>
            <w:r w:rsidRPr="003726FE">
              <w:rPr>
                <w:lang w:val="en-GB"/>
              </w:rPr>
              <w:t>FG4 - SRLF Student 3: I think the stuff we’re seeing is a lot more interesting than in lectures where we get the textbook thing whereas in real life that isn’t what you present with and you have to think on your feet what would you do in terms of tasks? What else would you look for? So every day you have something different and that’s really important to think about the variety of things you need to consider.</w:t>
            </w:r>
          </w:p>
        </w:tc>
        <w:tc>
          <w:tcPr>
            <w:tcW w:w="2835" w:type="dxa"/>
            <w:hideMark/>
          </w:tcPr>
          <w:p w14:paraId="31788355" w14:textId="77777777" w:rsidR="00836C8A" w:rsidRPr="003726FE" w:rsidRDefault="00836C8A" w:rsidP="00910B01">
            <w:pPr>
              <w:pStyle w:val="quoteboxes"/>
              <w:rPr>
                <w:lang w:val="en-GB"/>
              </w:rPr>
            </w:pPr>
            <w:r w:rsidRPr="003726FE">
              <w:rPr>
                <w:lang w:val="en-GB"/>
              </w:rPr>
              <w:t>FG5 - SRLF Student 7: the best feedback to get is on the wards, I think that even though the demonstrators can give you feedback it’s not going to be as good as the nurses because if you get a real patient and you run into problems and the feedback you get on how to get around it is a lot more useful. If you miss the vein or something on the dummies then it doesn’t matter but it matters more now here. Student 5: in clinical skills they teach you how to do it and when I got onto the wards I noticed that they never taught us how to do it if it goes wrong. The other day a vein started ballooning and I didn’t know what to do. If you’ve done it perfectly and get positive feedback, its fine at the time but it doesn’t help later on.</w:t>
            </w:r>
          </w:p>
        </w:tc>
        <w:tc>
          <w:tcPr>
            <w:tcW w:w="2835" w:type="dxa"/>
            <w:hideMark/>
          </w:tcPr>
          <w:p w14:paraId="775315AA" w14:textId="67E87C25" w:rsidR="00836C8A" w:rsidRPr="003726FE" w:rsidRDefault="00836C8A" w:rsidP="00910B01">
            <w:pPr>
              <w:pStyle w:val="quoteboxes"/>
              <w:rPr>
                <w:lang w:val="en-GB"/>
              </w:rPr>
            </w:pPr>
            <w:r w:rsidRPr="003726FE">
              <w:rPr>
                <w:lang w:val="en-GB"/>
              </w:rPr>
              <w:t xml:space="preserve">FG7 - SRLF Student 4: it feels more real. The difference between simulation and what we do now is that we might potentially hurt someone. Student 6: I feel like I need it a lot more than I did before. Even in phase 1 and 2a I feel like I wanted a bit more feedback because you just sit your exam at the end of the year and that’s it so we don’t really know where we are, now I feel I get more here because </w:t>
            </w:r>
            <w:r w:rsidR="00FC0FFB" w:rsidRPr="003726FE">
              <w:rPr>
                <w:lang w:val="en-GB"/>
              </w:rPr>
              <w:t>it’s</w:t>
            </w:r>
            <w:r w:rsidRPr="003726FE">
              <w:rPr>
                <w:lang w:val="en-GB"/>
              </w:rPr>
              <w:t xml:space="preserve"> more skills based: communications, clinical skills, history taking skills, you can’t learn it from a book, you need someone telling you. The feedback matters more, there’s more agency to act upon it because we’re in real practical situations day-to-day.</w:t>
            </w:r>
          </w:p>
        </w:tc>
        <w:tc>
          <w:tcPr>
            <w:tcW w:w="2268" w:type="dxa"/>
            <w:hideMark/>
          </w:tcPr>
          <w:p w14:paraId="49730707" w14:textId="77777777" w:rsidR="00836C8A" w:rsidRPr="003726FE" w:rsidRDefault="00836C8A" w:rsidP="00910B01">
            <w:pPr>
              <w:pStyle w:val="quoteboxes"/>
              <w:rPr>
                <w:lang w:val="en-GB"/>
              </w:rPr>
            </w:pPr>
            <w:r w:rsidRPr="003726FE">
              <w:rPr>
                <w:lang w:val="en-GB"/>
              </w:rPr>
              <w:t>FG3 - BPF Student 1: The real life experience is so different to what we’re made to believe is a very accurate simulation and its distressing. Sarah: the feedback seems more important because we’re actually with patients. In I- 2SS if someone said “the next time you take bloods, do it this way” I would think “I’m not taking blood for a year so I’ll just think about that later” but now I might have to take blood in an hour or something so it is more important.</w:t>
            </w:r>
          </w:p>
        </w:tc>
        <w:tc>
          <w:tcPr>
            <w:tcW w:w="3543" w:type="dxa"/>
            <w:hideMark/>
          </w:tcPr>
          <w:p w14:paraId="5CE18383" w14:textId="77777777" w:rsidR="00836C8A" w:rsidRPr="003726FE" w:rsidRDefault="00836C8A" w:rsidP="00910B01">
            <w:pPr>
              <w:pStyle w:val="quoteboxes"/>
              <w:rPr>
                <w:lang w:val="en-GB"/>
              </w:rPr>
            </w:pPr>
            <w:r w:rsidRPr="003726FE">
              <w:rPr>
                <w:lang w:val="en-GB"/>
              </w:rPr>
              <w:t>FG1 - BPF Student 8: I feel like I’ve been completely retaught how to do it, the technique I was taught yesterday for venepuncture was pretty different to what was taught in clinical skills because it’s so different doing it on a different person, obviously the basic principles are similar but there’s tricks of the trade that people who have been doing it for years teach you that make it a lot more simple that I’ve found. It’s completely different. Student 7: there’s a difference between classroom stuff and real stuff, this is more real world. It’s all about the patient rather than us trying to learn a closed skill on a mannequin that doesn’t change.</w:t>
            </w:r>
          </w:p>
        </w:tc>
      </w:tr>
    </w:tbl>
    <w:p w14:paraId="2FB6EC2B" w14:textId="77777777" w:rsidR="00EF2405" w:rsidRPr="003726FE" w:rsidRDefault="005B6118" w:rsidP="00910B01">
      <w:pPr>
        <w:pStyle w:val="quoteboxes"/>
        <w:rPr>
          <w:lang w:val="en-GB"/>
        </w:rPr>
      </w:pPr>
      <w:r w:rsidRPr="003726FE">
        <w:rPr>
          <w:lang w:val="en-GB"/>
        </w:rPr>
        <w:br w:type="page"/>
      </w:r>
    </w:p>
    <w:tbl>
      <w:tblPr>
        <w:tblStyle w:val="TableGrid"/>
        <w:tblW w:w="13320" w:type="dxa"/>
        <w:tblLook w:val="04A0" w:firstRow="1" w:lastRow="0" w:firstColumn="1" w:lastColumn="0" w:noHBand="0" w:noVBand="1"/>
      </w:tblPr>
      <w:tblGrid>
        <w:gridCol w:w="1696"/>
        <w:gridCol w:w="3969"/>
        <w:gridCol w:w="2835"/>
        <w:gridCol w:w="4820"/>
      </w:tblGrid>
      <w:tr w:rsidR="00EF2405" w:rsidRPr="003726FE" w14:paraId="365921D8" w14:textId="77777777" w:rsidTr="00042504">
        <w:trPr>
          <w:trHeight w:val="315"/>
        </w:trPr>
        <w:tc>
          <w:tcPr>
            <w:tcW w:w="1696" w:type="dxa"/>
          </w:tcPr>
          <w:p w14:paraId="63D3BE19" w14:textId="6A57E15F" w:rsidR="00EF2405" w:rsidRPr="003726FE" w:rsidRDefault="00EF2405" w:rsidP="00910B01">
            <w:pPr>
              <w:pStyle w:val="quoteboxes"/>
              <w:rPr>
                <w:bCs/>
                <w:sz w:val="20"/>
                <w:lang w:val="en-GB"/>
              </w:rPr>
            </w:pPr>
          </w:p>
        </w:tc>
        <w:tc>
          <w:tcPr>
            <w:tcW w:w="3969" w:type="dxa"/>
            <w:noWrap/>
            <w:hideMark/>
          </w:tcPr>
          <w:p w14:paraId="178EF029" w14:textId="05CF38EB" w:rsidR="00EF2405" w:rsidRPr="003726FE" w:rsidRDefault="00EF2405" w:rsidP="00910B01">
            <w:pPr>
              <w:pStyle w:val="quoteboxes"/>
              <w:rPr>
                <w:bCs/>
                <w:sz w:val="20"/>
                <w:lang w:val="en-GB"/>
              </w:rPr>
            </w:pPr>
            <w:r w:rsidRPr="003726FE">
              <w:rPr>
                <w:bCs/>
                <w:sz w:val="20"/>
                <w:lang w:val="en-GB"/>
              </w:rPr>
              <w:t>K</w:t>
            </w:r>
          </w:p>
        </w:tc>
        <w:tc>
          <w:tcPr>
            <w:tcW w:w="2835" w:type="dxa"/>
            <w:noWrap/>
            <w:hideMark/>
          </w:tcPr>
          <w:p w14:paraId="61A013C2" w14:textId="6CB84C5D" w:rsidR="00EF2405" w:rsidRPr="003726FE" w:rsidRDefault="00EF2405" w:rsidP="00910B01">
            <w:pPr>
              <w:pStyle w:val="quoteboxes"/>
              <w:rPr>
                <w:bCs/>
                <w:sz w:val="20"/>
                <w:lang w:val="en-GB"/>
              </w:rPr>
            </w:pPr>
            <w:r w:rsidRPr="003726FE">
              <w:rPr>
                <w:bCs/>
                <w:sz w:val="20"/>
                <w:lang w:val="en-GB"/>
              </w:rPr>
              <w:t>L</w:t>
            </w:r>
          </w:p>
        </w:tc>
        <w:tc>
          <w:tcPr>
            <w:tcW w:w="4820" w:type="dxa"/>
            <w:noWrap/>
            <w:hideMark/>
          </w:tcPr>
          <w:p w14:paraId="5522E286" w14:textId="11B5D825" w:rsidR="00EF2405" w:rsidRPr="003726FE" w:rsidRDefault="00EF2405" w:rsidP="00910B01">
            <w:pPr>
              <w:pStyle w:val="quoteboxes"/>
              <w:rPr>
                <w:bCs/>
                <w:sz w:val="20"/>
                <w:lang w:val="en-GB"/>
              </w:rPr>
            </w:pPr>
            <w:r w:rsidRPr="003726FE">
              <w:rPr>
                <w:bCs/>
                <w:sz w:val="20"/>
                <w:lang w:val="en-GB"/>
              </w:rPr>
              <w:t>M</w:t>
            </w:r>
          </w:p>
        </w:tc>
      </w:tr>
      <w:tr w:rsidR="00EF2405" w:rsidRPr="003726FE" w14:paraId="771DBFBB" w14:textId="77777777" w:rsidTr="00042504">
        <w:trPr>
          <w:trHeight w:val="4665"/>
        </w:trPr>
        <w:tc>
          <w:tcPr>
            <w:tcW w:w="1696" w:type="dxa"/>
            <w:vAlign w:val="center"/>
          </w:tcPr>
          <w:p w14:paraId="14C648E3" w14:textId="387FB217" w:rsidR="00EF2405" w:rsidRPr="003726FE" w:rsidRDefault="00EF2405" w:rsidP="00910B01">
            <w:pPr>
              <w:pStyle w:val="quoteboxes"/>
              <w:rPr>
                <w:sz w:val="20"/>
                <w:lang w:val="en-GB"/>
              </w:rPr>
            </w:pPr>
            <w:r w:rsidRPr="003726FE">
              <w:rPr>
                <w:bCs/>
                <w:sz w:val="20"/>
                <w:lang w:val="en-GB"/>
              </w:rPr>
              <w:t xml:space="preserve">Authenticity - </w:t>
            </w:r>
            <w:r w:rsidRPr="003726FE">
              <w:rPr>
                <w:sz w:val="20"/>
                <w:lang w:val="en-GB"/>
              </w:rPr>
              <w:t>Sub-theme of  2 'workplace culture'</w:t>
            </w:r>
          </w:p>
        </w:tc>
        <w:tc>
          <w:tcPr>
            <w:tcW w:w="3969" w:type="dxa"/>
            <w:hideMark/>
          </w:tcPr>
          <w:p w14:paraId="3674DA83" w14:textId="2D724B7A" w:rsidR="00EF2405" w:rsidRPr="003726FE" w:rsidRDefault="00EF2405" w:rsidP="00910B01">
            <w:pPr>
              <w:pStyle w:val="quoteboxes"/>
              <w:rPr>
                <w:sz w:val="20"/>
                <w:lang w:val="en-GB"/>
              </w:rPr>
            </w:pPr>
            <w:r w:rsidRPr="003726FE">
              <w:rPr>
                <w:sz w:val="20"/>
                <w:lang w:val="en-GB"/>
              </w:rPr>
              <w:t>G2 - 2: Something I find is that I learned a lot about what a junior doctor does which is good because I learn it more and more as I see the day to day stuff. I didn’t see much of it in my last placement because it was surgical. Beyond the wards I could see what my job will look like in the next few years so finding out more about it was good. When I learn more then I can do more, they were also doing discharge letters and one of the juniors taught me to do it and then I could help him do that, sped his work along which I liked and also it helped me to know it. Sometimes I get the uncertainty of how I’m going to be a doctor in a few years, learning more about what that will look like will help me think about what area I want to go into. Certain attachments and things. Makes me feel more comfortable and useful.</w:t>
            </w:r>
          </w:p>
        </w:tc>
        <w:tc>
          <w:tcPr>
            <w:tcW w:w="2835" w:type="dxa"/>
            <w:hideMark/>
          </w:tcPr>
          <w:p w14:paraId="3BEFA171" w14:textId="77777777" w:rsidR="00EF2405" w:rsidRPr="003726FE" w:rsidRDefault="00EF2405" w:rsidP="00910B01">
            <w:pPr>
              <w:pStyle w:val="quoteboxes"/>
              <w:rPr>
                <w:sz w:val="20"/>
                <w:lang w:val="en-GB"/>
              </w:rPr>
            </w:pPr>
            <w:r w:rsidRPr="003726FE">
              <w:rPr>
                <w:sz w:val="20"/>
                <w:lang w:val="en-GB"/>
              </w:rPr>
              <w:t xml:space="preserve">FG7 - SRLF Student 5: I think you have to go looking for it otherwise you won’t get it. </w:t>
            </w:r>
            <w:r w:rsidRPr="003726FE">
              <w:rPr>
                <w:sz w:val="20"/>
                <w:lang w:val="en-GB"/>
              </w:rPr>
              <w:br/>
              <w:t xml:space="preserve">Student 2: it’s different to medical school. In medical school they would try and give you feedback for absolutely everything and feedback on yourself on everything, but on placement you have to go and ask “can you watch me do this? Can you tell me what I’ve done wrong?” </w:t>
            </w:r>
          </w:p>
        </w:tc>
        <w:tc>
          <w:tcPr>
            <w:tcW w:w="4820" w:type="dxa"/>
            <w:hideMark/>
          </w:tcPr>
          <w:p w14:paraId="73113B52" w14:textId="77777777" w:rsidR="00EF2405" w:rsidRPr="003726FE" w:rsidRDefault="00EF2405" w:rsidP="00910B01">
            <w:pPr>
              <w:pStyle w:val="quoteboxes"/>
              <w:rPr>
                <w:sz w:val="20"/>
                <w:lang w:val="en-GB"/>
              </w:rPr>
            </w:pPr>
            <w:r w:rsidRPr="003726FE">
              <w:rPr>
                <w:sz w:val="20"/>
                <w:lang w:val="en-GB"/>
              </w:rPr>
              <w:t>G2 - 2: yeah because if I forget to ask a patient if they’ve had chest pain then I might lose marks in an OSCE but in the future in practice its more dangerous so it’s something I really want to put into practice from the feedback and be really harsh on myself if I forget it</w:t>
            </w:r>
          </w:p>
        </w:tc>
      </w:tr>
    </w:tbl>
    <w:p w14:paraId="526FB432" w14:textId="3151F1D3" w:rsidR="00836C8A" w:rsidRPr="003726FE" w:rsidRDefault="00836C8A" w:rsidP="00910B01">
      <w:pPr>
        <w:pStyle w:val="quoteboxes"/>
        <w:rPr>
          <w:lang w:val="en-GB"/>
        </w:rPr>
      </w:pPr>
      <w:r w:rsidRPr="003726FE">
        <w:rPr>
          <w:lang w:val="en-GB"/>
        </w:rPr>
        <w:br w:type="page"/>
      </w:r>
    </w:p>
    <w:p w14:paraId="78DED0AF" w14:textId="77777777" w:rsidR="005B6118" w:rsidRPr="003726FE" w:rsidRDefault="005B6118" w:rsidP="00910B01">
      <w:pPr>
        <w:pStyle w:val="quoteboxes"/>
        <w:rPr>
          <w:sz w:val="28"/>
          <w:lang w:val="en-GB"/>
        </w:rPr>
      </w:pPr>
    </w:p>
    <w:tbl>
      <w:tblPr>
        <w:tblStyle w:val="TableGrid"/>
        <w:tblW w:w="0" w:type="auto"/>
        <w:tblLook w:val="04A0" w:firstRow="1" w:lastRow="0" w:firstColumn="1" w:lastColumn="0" w:noHBand="0" w:noVBand="1"/>
      </w:tblPr>
      <w:tblGrid>
        <w:gridCol w:w="1377"/>
        <w:gridCol w:w="2706"/>
        <w:gridCol w:w="2348"/>
        <w:gridCol w:w="2349"/>
        <w:gridCol w:w="2268"/>
        <w:gridCol w:w="2378"/>
      </w:tblGrid>
      <w:tr w:rsidR="00EF2405" w:rsidRPr="003726FE" w14:paraId="0DC7A7AD" w14:textId="77777777" w:rsidTr="00EF2405">
        <w:trPr>
          <w:trHeight w:val="315"/>
        </w:trPr>
        <w:tc>
          <w:tcPr>
            <w:tcW w:w="1564" w:type="dxa"/>
            <w:noWrap/>
            <w:hideMark/>
          </w:tcPr>
          <w:p w14:paraId="0DE2E694" w14:textId="77777777" w:rsidR="00EF2405" w:rsidRPr="003726FE" w:rsidRDefault="00EF2405" w:rsidP="00910B01">
            <w:pPr>
              <w:pStyle w:val="quoteboxes"/>
              <w:rPr>
                <w:lang w:val="en-GB"/>
              </w:rPr>
            </w:pPr>
          </w:p>
        </w:tc>
        <w:tc>
          <w:tcPr>
            <w:tcW w:w="3109" w:type="dxa"/>
            <w:noWrap/>
            <w:hideMark/>
          </w:tcPr>
          <w:p w14:paraId="54B47708" w14:textId="35D7BFD8" w:rsidR="00EF2405" w:rsidRPr="003726FE" w:rsidRDefault="001C1A12" w:rsidP="00910B01">
            <w:pPr>
              <w:pStyle w:val="quoteboxes"/>
              <w:rPr>
                <w:lang w:val="en-GB"/>
              </w:rPr>
            </w:pPr>
            <w:r w:rsidRPr="003726FE">
              <w:rPr>
                <w:lang w:val="en-GB"/>
              </w:rPr>
              <w:t>A</w:t>
            </w:r>
          </w:p>
        </w:tc>
        <w:tc>
          <w:tcPr>
            <w:tcW w:w="2693" w:type="dxa"/>
            <w:noWrap/>
            <w:hideMark/>
          </w:tcPr>
          <w:p w14:paraId="2A4761BF" w14:textId="402138AA" w:rsidR="00EF2405" w:rsidRPr="003726FE" w:rsidRDefault="001C1A12" w:rsidP="00910B01">
            <w:pPr>
              <w:pStyle w:val="quoteboxes"/>
              <w:rPr>
                <w:lang w:val="en-GB"/>
              </w:rPr>
            </w:pPr>
            <w:r w:rsidRPr="003726FE">
              <w:rPr>
                <w:lang w:val="en-GB"/>
              </w:rPr>
              <w:t>B</w:t>
            </w:r>
          </w:p>
        </w:tc>
        <w:tc>
          <w:tcPr>
            <w:tcW w:w="2694" w:type="dxa"/>
            <w:noWrap/>
            <w:hideMark/>
          </w:tcPr>
          <w:p w14:paraId="0F7DAF30" w14:textId="512ADA1D" w:rsidR="00EF2405" w:rsidRPr="003726FE" w:rsidRDefault="001C1A12" w:rsidP="00910B01">
            <w:pPr>
              <w:pStyle w:val="quoteboxes"/>
              <w:rPr>
                <w:lang w:val="en-GB"/>
              </w:rPr>
            </w:pPr>
            <w:r w:rsidRPr="003726FE">
              <w:rPr>
                <w:lang w:val="en-GB"/>
              </w:rPr>
              <w:t>C</w:t>
            </w:r>
          </w:p>
        </w:tc>
        <w:tc>
          <w:tcPr>
            <w:tcW w:w="2600" w:type="dxa"/>
            <w:noWrap/>
            <w:hideMark/>
          </w:tcPr>
          <w:p w14:paraId="63B66CE6" w14:textId="04882415" w:rsidR="00EF2405" w:rsidRPr="003726FE" w:rsidRDefault="001C1A12" w:rsidP="00910B01">
            <w:pPr>
              <w:pStyle w:val="quoteboxes"/>
              <w:rPr>
                <w:lang w:val="en-GB"/>
              </w:rPr>
            </w:pPr>
            <w:r w:rsidRPr="003726FE">
              <w:rPr>
                <w:lang w:val="en-GB"/>
              </w:rPr>
              <w:t>D</w:t>
            </w:r>
          </w:p>
        </w:tc>
        <w:tc>
          <w:tcPr>
            <w:tcW w:w="2728" w:type="dxa"/>
            <w:noWrap/>
            <w:hideMark/>
          </w:tcPr>
          <w:p w14:paraId="687C90B0" w14:textId="35C08AA8" w:rsidR="00EF2405" w:rsidRPr="003726FE" w:rsidRDefault="001C1A12" w:rsidP="00910B01">
            <w:pPr>
              <w:pStyle w:val="quoteboxes"/>
              <w:rPr>
                <w:lang w:val="en-GB"/>
              </w:rPr>
            </w:pPr>
            <w:r w:rsidRPr="003726FE">
              <w:rPr>
                <w:lang w:val="en-GB"/>
              </w:rPr>
              <w:t>E</w:t>
            </w:r>
          </w:p>
        </w:tc>
      </w:tr>
      <w:tr w:rsidR="00EF2405" w:rsidRPr="003726FE" w14:paraId="2BA974E0" w14:textId="77777777" w:rsidTr="00EF2405">
        <w:trPr>
          <w:trHeight w:val="4365"/>
        </w:trPr>
        <w:tc>
          <w:tcPr>
            <w:tcW w:w="1564" w:type="dxa"/>
            <w:vAlign w:val="center"/>
            <w:hideMark/>
          </w:tcPr>
          <w:p w14:paraId="2BEAD46D" w14:textId="77777777" w:rsidR="00EF2405" w:rsidRPr="003726FE" w:rsidRDefault="00EF2405" w:rsidP="00910B01">
            <w:pPr>
              <w:pStyle w:val="quoteboxes"/>
              <w:rPr>
                <w:lang w:val="en-GB"/>
              </w:rPr>
            </w:pPr>
            <w:r w:rsidRPr="003726FE">
              <w:rPr>
                <w:lang w:val="en-GB"/>
              </w:rPr>
              <w:t>3 Recognition and awareness of the team</w:t>
            </w:r>
          </w:p>
        </w:tc>
        <w:tc>
          <w:tcPr>
            <w:tcW w:w="3109" w:type="dxa"/>
            <w:hideMark/>
          </w:tcPr>
          <w:p w14:paraId="6AE41FA7" w14:textId="77777777" w:rsidR="00EF2405" w:rsidRPr="003726FE" w:rsidRDefault="00EF2405" w:rsidP="00910B01">
            <w:pPr>
              <w:pStyle w:val="quoteboxes"/>
              <w:rPr>
                <w:lang w:val="en-GB"/>
              </w:rPr>
            </w:pPr>
            <w:r w:rsidRPr="003726FE">
              <w:rPr>
                <w:lang w:val="en-GB"/>
              </w:rPr>
              <w:t>FG5 - SRLF Student 4: some of them are more willing than others so you can know that some consultants want you to be involved. Student 5: the nurses as well, I know the nurses will help us do the skills as well and jobs and the ones on our ward don’t want us doing anything. We understand they are busy but I feel that we’re always in their way. Like they don’t like us being there. Student 4: I think it’s because they don’t think we’re learning their job but actually it is still interesting to see what they doing. It ends up like they don’t approach us and we don’t approach them.  Helen: I think it’s more our fault though, like I hadn’t approached a nurse until this morning which is my fault and when I spoke to her she was really nice and let me do some set ups with her. It’s more us who has to do that more than they do.</w:t>
            </w:r>
          </w:p>
        </w:tc>
        <w:tc>
          <w:tcPr>
            <w:tcW w:w="2693" w:type="dxa"/>
            <w:hideMark/>
          </w:tcPr>
          <w:p w14:paraId="4C9F4380" w14:textId="77777777" w:rsidR="00EF2405" w:rsidRPr="003726FE" w:rsidRDefault="00EF2405" w:rsidP="00910B01">
            <w:pPr>
              <w:pStyle w:val="quoteboxes"/>
              <w:rPr>
                <w:lang w:val="en-GB"/>
              </w:rPr>
            </w:pPr>
            <w:r w:rsidRPr="003726FE">
              <w:rPr>
                <w:lang w:val="en-GB"/>
              </w:rPr>
              <w:t>G4 - 2: gradually you show that you are enthusiastic and interested they let you do the small things if you’re ok with the small things they let you move onto slightly bigger things. In that sort of way they get you involved slowly and that makes me feel like I can do this, that I’m working up.</w:t>
            </w:r>
          </w:p>
        </w:tc>
        <w:tc>
          <w:tcPr>
            <w:tcW w:w="2694" w:type="dxa"/>
            <w:hideMark/>
          </w:tcPr>
          <w:p w14:paraId="14ED6CD4" w14:textId="77777777" w:rsidR="00EF2405" w:rsidRPr="003726FE" w:rsidRDefault="00EF2405" w:rsidP="00910B01">
            <w:pPr>
              <w:pStyle w:val="quoteboxes"/>
              <w:rPr>
                <w:lang w:val="en-GB"/>
              </w:rPr>
            </w:pPr>
            <w:r w:rsidRPr="003726FE">
              <w:rPr>
                <w:lang w:val="en-GB"/>
              </w:rPr>
              <w:t xml:space="preserve">G6 - 1:  The last ward I was on there was 8 of us which was hard for them and they didn’t like us there because there was too many of us. I was just a complete spare part there. Whereas this ward I feel more welcome and the nursing staff too, there’s two nurse practitioners who are really nice and friendly to us and that’s good. </w:t>
            </w:r>
          </w:p>
        </w:tc>
        <w:tc>
          <w:tcPr>
            <w:tcW w:w="2600" w:type="dxa"/>
            <w:hideMark/>
          </w:tcPr>
          <w:p w14:paraId="7374C6FF" w14:textId="77777777" w:rsidR="00EF2405" w:rsidRPr="003726FE" w:rsidRDefault="00EF2405" w:rsidP="00910B01">
            <w:pPr>
              <w:pStyle w:val="quoteboxes"/>
              <w:rPr>
                <w:lang w:val="en-GB"/>
              </w:rPr>
            </w:pPr>
            <w:r w:rsidRPr="003726FE">
              <w:rPr>
                <w:lang w:val="en-GB"/>
              </w:rPr>
              <w:t>G6 - 1: Sometimes being left and trusted isn’t always good, being left in a supervised manner is good but when they just don’t ask you whether you’re happy to do and leave you then it’s hard. I didn’t necessarily agree to that level of autonomy.</w:t>
            </w:r>
          </w:p>
        </w:tc>
        <w:tc>
          <w:tcPr>
            <w:tcW w:w="2728" w:type="dxa"/>
            <w:hideMark/>
          </w:tcPr>
          <w:p w14:paraId="62031780" w14:textId="77777777" w:rsidR="00EF2405" w:rsidRPr="003726FE" w:rsidRDefault="00EF2405" w:rsidP="00910B01">
            <w:pPr>
              <w:pStyle w:val="quoteboxes"/>
              <w:rPr>
                <w:lang w:val="en-GB"/>
              </w:rPr>
            </w:pPr>
            <w:r w:rsidRPr="003726FE">
              <w:rPr>
                <w:lang w:val="en-GB"/>
              </w:rPr>
              <w:t>G7 - 1: The F1 has asked me if I need mini-CEX’s done and because I’ve helped out on the ward round they ask to help me get those done. It’s almost like an exchange. Trying to be as friendly as possible to them made them be friendly back. I think they like me. It definitely made it like we were part of the team which did make a big difference I think.</w:t>
            </w:r>
          </w:p>
        </w:tc>
      </w:tr>
    </w:tbl>
    <w:p w14:paraId="6064B46B" w14:textId="70C720C4" w:rsidR="00EF2405" w:rsidRPr="003726FE" w:rsidRDefault="00EF2405" w:rsidP="00910B01">
      <w:pPr>
        <w:pStyle w:val="quoteboxes"/>
        <w:rPr>
          <w:lang w:val="en-GB"/>
        </w:rPr>
      </w:pPr>
    </w:p>
    <w:p w14:paraId="367A5DFE" w14:textId="21A1A8F6" w:rsidR="00EF2405" w:rsidRPr="003726FE" w:rsidRDefault="00EF2405" w:rsidP="00910B01">
      <w:pPr>
        <w:pStyle w:val="quoteboxes"/>
        <w:rPr>
          <w:lang w:val="en-GB"/>
        </w:rPr>
      </w:pPr>
      <w:r w:rsidRPr="003726FE">
        <w:rPr>
          <w:lang w:val="en-GB"/>
        </w:rPr>
        <w:br w:type="page"/>
      </w:r>
    </w:p>
    <w:tbl>
      <w:tblPr>
        <w:tblStyle w:val="TableGrid"/>
        <w:tblW w:w="13462" w:type="dxa"/>
        <w:tblLook w:val="04A0" w:firstRow="1" w:lastRow="0" w:firstColumn="1" w:lastColumn="0" w:noHBand="0" w:noVBand="1"/>
      </w:tblPr>
      <w:tblGrid>
        <w:gridCol w:w="1413"/>
        <w:gridCol w:w="1559"/>
        <w:gridCol w:w="1418"/>
        <w:gridCol w:w="1559"/>
        <w:gridCol w:w="1559"/>
        <w:gridCol w:w="2268"/>
        <w:gridCol w:w="1418"/>
        <w:gridCol w:w="2268"/>
      </w:tblGrid>
      <w:tr w:rsidR="00EF2405" w:rsidRPr="003726FE" w14:paraId="0BB857B8" w14:textId="77777777" w:rsidTr="00042504">
        <w:trPr>
          <w:trHeight w:val="315"/>
        </w:trPr>
        <w:tc>
          <w:tcPr>
            <w:tcW w:w="1413" w:type="dxa"/>
          </w:tcPr>
          <w:p w14:paraId="0761FBD7" w14:textId="77777777" w:rsidR="00EF2405" w:rsidRPr="003726FE" w:rsidRDefault="00EF2405" w:rsidP="00910B01">
            <w:pPr>
              <w:pStyle w:val="quoteboxes"/>
              <w:rPr>
                <w:rFonts w:cs="Times New Roman"/>
                <w:bCs/>
                <w:sz w:val="20"/>
                <w:lang w:val="en-GB"/>
              </w:rPr>
            </w:pPr>
          </w:p>
        </w:tc>
        <w:tc>
          <w:tcPr>
            <w:tcW w:w="1559" w:type="dxa"/>
            <w:noWrap/>
            <w:hideMark/>
          </w:tcPr>
          <w:p w14:paraId="481148CD" w14:textId="0474E743" w:rsidR="00EF2405" w:rsidRPr="003726FE" w:rsidRDefault="00EF2405" w:rsidP="00910B01">
            <w:pPr>
              <w:pStyle w:val="quoteboxes"/>
              <w:rPr>
                <w:rFonts w:cs="Times New Roman"/>
                <w:bCs/>
                <w:sz w:val="20"/>
                <w:lang w:val="en-GB"/>
              </w:rPr>
            </w:pPr>
            <w:r w:rsidRPr="003726FE">
              <w:rPr>
                <w:rFonts w:cs="Times New Roman"/>
                <w:bCs/>
                <w:sz w:val="20"/>
                <w:lang w:val="en-GB"/>
              </w:rPr>
              <w:t>E</w:t>
            </w:r>
          </w:p>
        </w:tc>
        <w:tc>
          <w:tcPr>
            <w:tcW w:w="1418" w:type="dxa"/>
            <w:noWrap/>
            <w:hideMark/>
          </w:tcPr>
          <w:p w14:paraId="5A22C8B2" w14:textId="77110246" w:rsidR="00EF2405" w:rsidRPr="003726FE" w:rsidRDefault="00EF2405" w:rsidP="00910B01">
            <w:pPr>
              <w:pStyle w:val="quoteboxes"/>
              <w:rPr>
                <w:rFonts w:cs="Times New Roman"/>
                <w:bCs/>
                <w:sz w:val="20"/>
                <w:lang w:val="en-GB"/>
              </w:rPr>
            </w:pPr>
            <w:r w:rsidRPr="003726FE">
              <w:rPr>
                <w:rFonts w:cs="Times New Roman"/>
                <w:bCs/>
                <w:sz w:val="20"/>
                <w:lang w:val="en-GB"/>
              </w:rPr>
              <w:t>F</w:t>
            </w:r>
          </w:p>
        </w:tc>
        <w:tc>
          <w:tcPr>
            <w:tcW w:w="1559" w:type="dxa"/>
            <w:noWrap/>
            <w:hideMark/>
          </w:tcPr>
          <w:p w14:paraId="037A47E8" w14:textId="762E9938" w:rsidR="00EF2405" w:rsidRPr="003726FE" w:rsidRDefault="00EF2405" w:rsidP="00910B01">
            <w:pPr>
              <w:pStyle w:val="quoteboxes"/>
              <w:rPr>
                <w:rFonts w:cs="Times New Roman"/>
                <w:bCs/>
                <w:sz w:val="20"/>
                <w:lang w:val="en-GB"/>
              </w:rPr>
            </w:pPr>
            <w:r w:rsidRPr="003726FE">
              <w:rPr>
                <w:rFonts w:cs="Times New Roman"/>
                <w:bCs/>
                <w:sz w:val="20"/>
                <w:lang w:val="en-GB"/>
              </w:rPr>
              <w:t>G</w:t>
            </w:r>
          </w:p>
        </w:tc>
        <w:tc>
          <w:tcPr>
            <w:tcW w:w="1559" w:type="dxa"/>
            <w:noWrap/>
            <w:hideMark/>
          </w:tcPr>
          <w:p w14:paraId="052550B3" w14:textId="77B49CBE" w:rsidR="00EF2405" w:rsidRPr="003726FE" w:rsidRDefault="00EF2405" w:rsidP="00910B01">
            <w:pPr>
              <w:pStyle w:val="quoteboxes"/>
              <w:rPr>
                <w:rFonts w:cs="Times New Roman"/>
                <w:bCs/>
                <w:sz w:val="20"/>
                <w:lang w:val="en-GB"/>
              </w:rPr>
            </w:pPr>
            <w:r w:rsidRPr="003726FE">
              <w:rPr>
                <w:rFonts w:cs="Times New Roman"/>
                <w:bCs/>
                <w:sz w:val="20"/>
                <w:lang w:val="en-GB"/>
              </w:rPr>
              <w:t>H</w:t>
            </w:r>
          </w:p>
        </w:tc>
        <w:tc>
          <w:tcPr>
            <w:tcW w:w="2268" w:type="dxa"/>
            <w:noWrap/>
            <w:hideMark/>
          </w:tcPr>
          <w:p w14:paraId="03958619" w14:textId="592DF2C8" w:rsidR="00EF2405" w:rsidRPr="003726FE" w:rsidRDefault="00EF2405" w:rsidP="00910B01">
            <w:pPr>
              <w:pStyle w:val="quoteboxes"/>
              <w:rPr>
                <w:rFonts w:cs="Times New Roman"/>
                <w:bCs/>
                <w:sz w:val="20"/>
                <w:lang w:val="en-GB"/>
              </w:rPr>
            </w:pPr>
            <w:r w:rsidRPr="003726FE">
              <w:rPr>
                <w:rFonts w:cs="Times New Roman"/>
                <w:bCs/>
                <w:sz w:val="20"/>
                <w:lang w:val="en-GB"/>
              </w:rPr>
              <w:t>I</w:t>
            </w:r>
          </w:p>
        </w:tc>
        <w:tc>
          <w:tcPr>
            <w:tcW w:w="1418" w:type="dxa"/>
            <w:noWrap/>
            <w:hideMark/>
          </w:tcPr>
          <w:p w14:paraId="1A4620DC" w14:textId="5560313F" w:rsidR="00EF2405" w:rsidRPr="003726FE" w:rsidRDefault="00EF2405" w:rsidP="00910B01">
            <w:pPr>
              <w:pStyle w:val="quoteboxes"/>
              <w:rPr>
                <w:rFonts w:cs="Times New Roman"/>
                <w:bCs/>
                <w:sz w:val="20"/>
                <w:lang w:val="en-GB"/>
              </w:rPr>
            </w:pPr>
            <w:r w:rsidRPr="003726FE">
              <w:rPr>
                <w:rFonts w:cs="Times New Roman"/>
                <w:bCs/>
                <w:sz w:val="20"/>
                <w:lang w:val="en-GB"/>
              </w:rPr>
              <w:t>J</w:t>
            </w:r>
          </w:p>
        </w:tc>
        <w:tc>
          <w:tcPr>
            <w:tcW w:w="2268" w:type="dxa"/>
            <w:noWrap/>
            <w:hideMark/>
          </w:tcPr>
          <w:p w14:paraId="0F675F1B" w14:textId="5C69F252" w:rsidR="00EF2405" w:rsidRPr="003726FE" w:rsidRDefault="00EF2405" w:rsidP="00910B01">
            <w:pPr>
              <w:pStyle w:val="quoteboxes"/>
              <w:rPr>
                <w:rFonts w:cs="Times New Roman"/>
                <w:bCs/>
                <w:sz w:val="20"/>
                <w:lang w:val="en-GB"/>
              </w:rPr>
            </w:pPr>
            <w:r w:rsidRPr="003726FE">
              <w:rPr>
                <w:rFonts w:cs="Times New Roman"/>
                <w:bCs/>
                <w:sz w:val="20"/>
                <w:lang w:val="en-GB"/>
              </w:rPr>
              <w:t>K</w:t>
            </w:r>
          </w:p>
        </w:tc>
      </w:tr>
      <w:tr w:rsidR="00EF2405" w:rsidRPr="003726FE" w14:paraId="5670E20A" w14:textId="77777777" w:rsidTr="00042504">
        <w:trPr>
          <w:trHeight w:val="4365"/>
        </w:trPr>
        <w:tc>
          <w:tcPr>
            <w:tcW w:w="1413" w:type="dxa"/>
            <w:vAlign w:val="center"/>
          </w:tcPr>
          <w:p w14:paraId="0F2E79CD" w14:textId="261154C1" w:rsidR="00EF2405" w:rsidRPr="003726FE" w:rsidRDefault="00EF2405" w:rsidP="00910B01">
            <w:pPr>
              <w:pStyle w:val="quoteboxes"/>
              <w:rPr>
                <w:rFonts w:cs="Times New Roman"/>
                <w:sz w:val="20"/>
                <w:lang w:val="en-GB"/>
              </w:rPr>
            </w:pPr>
            <w:r w:rsidRPr="003726FE">
              <w:rPr>
                <w:sz w:val="20"/>
                <w:lang w:val="en-GB"/>
              </w:rPr>
              <w:t>3 Recognition and awareness of the team</w:t>
            </w:r>
            <w:r w:rsidRPr="003726FE">
              <w:rPr>
                <w:rFonts w:cs="Times New Roman"/>
                <w:sz w:val="20"/>
                <w:lang w:val="en-GB"/>
              </w:rPr>
              <w:t xml:space="preserve"> </w:t>
            </w:r>
          </w:p>
        </w:tc>
        <w:tc>
          <w:tcPr>
            <w:tcW w:w="1559" w:type="dxa"/>
            <w:hideMark/>
          </w:tcPr>
          <w:p w14:paraId="6A79EDE9" w14:textId="55072BF7" w:rsidR="00EF2405" w:rsidRPr="003726FE" w:rsidRDefault="00EF2405" w:rsidP="00910B01">
            <w:pPr>
              <w:pStyle w:val="quoteboxes"/>
              <w:rPr>
                <w:rFonts w:cs="Times New Roman"/>
                <w:sz w:val="20"/>
                <w:lang w:val="en-GB"/>
              </w:rPr>
            </w:pPr>
            <w:r w:rsidRPr="003726FE">
              <w:rPr>
                <w:rFonts w:cs="Times New Roman"/>
                <w:sz w:val="20"/>
                <w:lang w:val="en-GB"/>
              </w:rPr>
              <w:t>G7 - 1: The F1 has asked me if I need mini-CEX’s done and because I’ve helped out on the ward round they ask to help me get those done. It’s almost like an exchange. Trying to be as friendly as possible to them made them be friendly back. I think they like me. It definitely made it like we were part of the team which did make a big difference I think.</w:t>
            </w:r>
          </w:p>
        </w:tc>
        <w:tc>
          <w:tcPr>
            <w:tcW w:w="1418" w:type="dxa"/>
            <w:hideMark/>
          </w:tcPr>
          <w:p w14:paraId="62A8F8FB" w14:textId="2BFEB15E" w:rsidR="00EF2405" w:rsidRPr="003726FE" w:rsidRDefault="00EF2405" w:rsidP="00910B01">
            <w:pPr>
              <w:pStyle w:val="quoteboxes"/>
              <w:rPr>
                <w:rFonts w:cs="Times New Roman"/>
                <w:sz w:val="20"/>
                <w:lang w:val="en-GB"/>
              </w:rPr>
            </w:pPr>
            <w:r w:rsidRPr="003726FE">
              <w:rPr>
                <w:rFonts w:cs="Times New Roman"/>
                <w:sz w:val="20"/>
                <w:lang w:val="en-GB"/>
              </w:rPr>
              <w:t xml:space="preserve">FG2 - SRLF Student 11: when you go with an F1, my F1 is so run off their feet, I could never ask them to observe me for 20 minutes because they're so busy, </w:t>
            </w:r>
            <w:r w:rsidR="00D531CD" w:rsidRPr="003726FE">
              <w:rPr>
                <w:rFonts w:cs="Times New Roman"/>
                <w:sz w:val="20"/>
                <w:lang w:val="en-GB"/>
              </w:rPr>
              <w:t>it’s</w:t>
            </w:r>
            <w:r w:rsidRPr="003726FE">
              <w:rPr>
                <w:rFonts w:cs="Times New Roman"/>
                <w:sz w:val="20"/>
                <w:lang w:val="en-GB"/>
              </w:rPr>
              <w:t xml:space="preserve"> crazy, I've not really had any sort of feedback in that respect. The only feedback I've got is when we’ve been doing the teaching sessions. It’s so busy.</w:t>
            </w:r>
          </w:p>
        </w:tc>
        <w:tc>
          <w:tcPr>
            <w:tcW w:w="1559" w:type="dxa"/>
            <w:hideMark/>
          </w:tcPr>
          <w:p w14:paraId="0764A043" w14:textId="77777777" w:rsidR="00EF2405" w:rsidRPr="003726FE" w:rsidRDefault="00EF2405" w:rsidP="00910B01">
            <w:pPr>
              <w:pStyle w:val="quoteboxes"/>
              <w:rPr>
                <w:rFonts w:cs="Times New Roman"/>
                <w:sz w:val="20"/>
                <w:lang w:val="en-GB"/>
              </w:rPr>
            </w:pPr>
            <w:r w:rsidRPr="003726FE">
              <w:rPr>
                <w:rFonts w:cs="Times New Roman"/>
                <w:sz w:val="20"/>
                <w:lang w:val="en-GB"/>
              </w:rPr>
              <w:t xml:space="preserve">G5 - 1: yeah it’s just more challenging, confidence to ask. At the start I felt like I was hassling them but at the end of the day they’ve accepted me onto the ward, I won’t learn or become a decent doctor unless I ask and get involved. Part of the opportunity is asking for it. That’s why it’s been such a steep learning curve, we go from sitting in lectures which is so passive to actually having to be professional. </w:t>
            </w:r>
          </w:p>
        </w:tc>
        <w:tc>
          <w:tcPr>
            <w:tcW w:w="1559" w:type="dxa"/>
            <w:hideMark/>
          </w:tcPr>
          <w:p w14:paraId="3A64CD1B" w14:textId="77777777" w:rsidR="00EF2405" w:rsidRPr="003726FE" w:rsidRDefault="00EF2405" w:rsidP="00910B01">
            <w:pPr>
              <w:pStyle w:val="quoteboxes"/>
              <w:rPr>
                <w:rFonts w:cs="Times New Roman"/>
                <w:sz w:val="20"/>
                <w:lang w:val="en-GB"/>
              </w:rPr>
            </w:pPr>
            <w:r w:rsidRPr="003726FE">
              <w:rPr>
                <w:rFonts w:cs="Times New Roman"/>
                <w:sz w:val="20"/>
                <w:lang w:val="en-GB"/>
              </w:rPr>
              <w:t>G2 - 1: they understand what it’s like to be a med student, they’re there if we need help. I’m comfortable going to them as long as they’re not looking too busy. We’ve ran through summaries with them and they’ve signed things off for us and answered questions, they’re happy to help which is nice as someone to go to.</w:t>
            </w:r>
          </w:p>
        </w:tc>
        <w:tc>
          <w:tcPr>
            <w:tcW w:w="2268" w:type="dxa"/>
            <w:hideMark/>
          </w:tcPr>
          <w:p w14:paraId="481D6970" w14:textId="77777777" w:rsidR="00EF2405" w:rsidRPr="003726FE" w:rsidRDefault="00EF2405" w:rsidP="00910B01">
            <w:pPr>
              <w:pStyle w:val="quoteboxes"/>
              <w:rPr>
                <w:rFonts w:cs="Times New Roman"/>
                <w:sz w:val="20"/>
                <w:lang w:val="en-GB"/>
              </w:rPr>
            </w:pPr>
            <w:r w:rsidRPr="003726FE">
              <w:rPr>
                <w:rFonts w:cs="Times New Roman"/>
                <w:sz w:val="20"/>
                <w:lang w:val="en-GB"/>
              </w:rPr>
              <w:t>G1 - 1: it’s both internal and external. If there’s opportunities to do things, patients to examine but I choose not to do it for some reason then that’s down to me. Other times I’ve been on the ward round asking questions and the doctors and nurses are busy and don’t have time for me. If I take a history and want to present it but they can’t observe me then I’ve done what I can. I don’t blame the doctors and nurses, it’s the nature of their work and they prioritise patients over students which is totally fine. If I pass up on an opportunity I can only blame myself. Sometimes there isn’t time or the opportunity to get the feedback but I do what I can.</w:t>
            </w:r>
          </w:p>
        </w:tc>
        <w:tc>
          <w:tcPr>
            <w:tcW w:w="1418" w:type="dxa"/>
            <w:hideMark/>
          </w:tcPr>
          <w:p w14:paraId="2B62C55B" w14:textId="77777777" w:rsidR="00EF2405" w:rsidRPr="003726FE" w:rsidRDefault="00EF2405" w:rsidP="00910B01">
            <w:pPr>
              <w:pStyle w:val="quoteboxes"/>
              <w:rPr>
                <w:rFonts w:cs="Times New Roman"/>
                <w:sz w:val="20"/>
                <w:lang w:val="en-GB"/>
              </w:rPr>
            </w:pPr>
            <w:r w:rsidRPr="003726FE">
              <w:rPr>
                <w:rFonts w:cs="Times New Roman"/>
                <w:sz w:val="20"/>
                <w:lang w:val="en-GB"/>
              </w:rPr>
              <w:t>FG3 - BPF Student 3: it’s quite nice getting it, especially if you do quite well, if you take a history and the junior doctors are there to help. It depends because the consultants are quite busy so they can’t really give you formal feedback because they’ve got a lot to do rather than watch you and give feedback</w:t>
            </w:r>
          </w:p>
        </w:tc>
        <w:tc>
          <w:tcPr>
            <w:tcW w:w="2268" w:type="dxa"/>
            <w:hideMark/>
          </w:tcPr>
          <w:p w14:paraId="0739FB78" w14:textId="77777777" w:rsidR="00EF2405" w:rsidRPr="003726FE" w:rsidRDefault="00EF2405" w:rsidP="00910B01">
            <w:pPr>
              <w:pStyle w:val="quoteboxes"/>
              <w:rPr>
                <w:rFonts w:cs="Times New Roman"/>
                <w:sz w:val="20"/>
                <w:lang w:val="en-GB"/>
              </w:rPr>
            </w:pPr>
            <w:r w:rsidRPr="003726FE">
              <w:rPr>
                <w:rFonts w:cs="Times New Roman"/>
                <w:sz w:val="20"/>
                <w:lang w:val="en-GB"/>
              </w:rPr>
              <w:t>G2 - 2: There’s a couple of bloods I got signed off supervision wise so I was able to do it on my own, it felt like I wasn’t delaying the junior doctors and actually helping them while they do other jobs, better than a normal day. It keeps me busy and feels like I’m actually helping out on the wards. The junior doctors have wanted us to be there especially when there’s only one or two of them on they get us to write in the notes and things. I feel safe to offer as well, I don’t think they like to burden us because they don’t always know what we need to be doing, they’re very attentive though with teaching. They’ve given us freer rein now, there’s a bit more trust. We’ve developed that and they give us more responsibilities on ward rounds and things which speeds things up for them and they appreciate that.</w:t>
            </w:r>
          </w:p>
        </w:tc>
      </w:tr>
    </w:tbl>
    <w:p w14:paraId="0C10A550" w14:textId="0661250B" w:rsidR="001C1A12" w:rsidRPr="003726FE" w:rsidRDefault="001C1A12" w:rsidP="00910B01">
      <w:pPr>
        <w:pStyle w:val="quoteboxes"/>
        <w:rPr>
          <w:lang w:val="en-GB"/>
        </w:rPr>
      </w:pPr>
    </w:p>
    <w:p w14:paraId="57D6CF1E" w14:textId="4BE88E3A" w:rsidR="001C1A12" w:rsidRPr="003726FE" w:rsidRDefault="001C1A12" w:rsidP="00910B01">
      <w:pPr>
        <w:pStyle w:val="quoteboxes"/>
        <w:rPr>
          <w:lang w:val="en-GB"/>
        </w:rPr>
      </w:pPr>
      <w:r w:rsidRPr="003726FE">
        <w:rPr>
          <w:lang w:val="en-GB"/>
        </w:rPr>
        <w:br w:type="page"/>
      </w:r>
    </w:p>
    <w:tbl>
      <w:tblPr>
        <w:tblStyle w:val="TableGrid"/>
        <w:tblW w:w="0" w:type="auto"/>
        <w:jc w:val="center"/>
        <w:tblLook w:val="04A0" w:firstRow="1" w:lastRow="0" w:firstColumn="1" w:lastColumn="0" w:noHBand="0" w:noVBand="1"/>
      </w:tblPr>
      <w:tblGrid>
        <w:gridCol w:w="1564"/>
        <w:gridCol w:w="6086"/>
        <w:gridCol w:w="4394"/>
      </w:tblGrid>
      <w:tr w:rsidR="001C1A12" w:rsidRPr="003726FE" w14:paraId="0157FF86" w14:textId="77777777" w:rsidTr="001C1A12">
        <w:trPr>
          <w:trHeight w:val="315"/>
          <w:jc w:val="center"/>
        </w:trPr>
        <w:tc>
          <w:tcPr>
            <w:tcW w:w="1564" w:type="dxa"/>
            <w:noWrap/>
            <w:hideMark/>
          </w:tcPr>
          <w:p w14:paraId="60C6FDFF" w14:textId="77777777" w:rsidR="001C1A12" w:rsidRPr="003726FE" w:rsidRDefault="001C1A12" w:rsidP="00910B01">
            <w:pPr>
              <w:pStyle w:val="quoteboxes"/>
              <w:rPr>
                <w:lang w:val="en-GB"/>
              </w:rPr>
            </w:pPr>
          </w:p>
        </w:tc>
        <w:tc>
          <w:tcPr>
            <w:tcW w:w="6086" w:type="dxa"/>
            <w:noWrap/>
            <w:hideMark/>
          </w:tcPr>
          <w:p w14:paraId="4D0B083C" w14:textId="393FD1D5" w:rsidR="001C1A12" w:rsidRPr="003726FE" w:rsidRDefault="001C1A12" w:rsidP="00910B01">
            <w:pPr>
              <w:pStyle w:val="quoteboxes"/>
              <w:rPr>
                <w:lang w:val="en-GB"/>
              </w:rPr>
            </w:pPr>
            <w:r w:rsidRPr="003726FE">
              <w:rPr>
                <w:lang w:val="en-GB"/>
              </w:rPr>
              <w:t>L</w:t>
            </w:r>
          </w:p>
        </w:tc>
        <w:tc>
          <w:tcPr>
            <w:tcW w:w="4394" w:type="dxa"/>
            <w:noWrap/>
            <w:hideMark/>
          </w:tcPr>
          <w:p w14:paraId="3B47D584" w14:textId="1E2189FA" w:rsidR="001C1A12" w:rsidRPr="003726FE" w:rsidRDefault="001C1A12" w:rsidP="00910B01">
            <w:pPr>
              <w:pStyle w:val="quoteboxes"/>
              <w:rPr>
                <w:lang w:val="en-GB"/>
              </w:rPr>
            </w:pPr>
            <w:r w:rsidRPr="003726FE">
              <w:rPr>
                <w:lang w:val="en-GB"/>
              </w:rPr>
              <w:t>M</w:t>
            </w:r>
          </w:p>
        </w:tc>
      </w:tr>
      <w:tr w:rsidR="001C1A12" w:rsidRPr="003726FE" w14:paraId="36BC87A4" w14:textId="77777777" w:rsidTr="001C1A12">
        <w:trPr>
          <w:trHeight w:val="2937"/>
          <w:jc w:val="center"/>
        </w:trPr>
        <w:tc>
          <w:tcPr>
            <w:tcW w:w="1564" w:type="dxa"/>
            <w:vAlign w:val="center"/>
            <w:hideMark/>
          </w:tcPr>
          <w:p w14:paraId="27F26397" w14:textId="77777777" w:rsidR="001C1A12" w:rsidRPr="003726FE" w:rsidRDefault="001C1A12" w:rsidP="00910B01">
            <w:pPr>
              <w:pStyle w:val="quoteboxes"/>
              <w:rPr>
                <w:lang w:val="en-GB"/>
              </w:rPr>
            </w:pPr>
            <w:r w:rsidRPr="003726FE">
              <w:rPr>
                <w:lang w:val="en-GB"/>
              </w:rPr>
              <w:t>3 Recognition and awareness of the team</w:t>
            </w:r>
          </w:p>
        </w:tc>
        <w:tc>
          <w:tcPr>
            <w:tcW w:w="6086" w:type="dxa"/>
            <w:hideMark/>
          </w:tcPr>
          <w:p w14:paraId="18E35C45" w14:textId="3FA83A57" w:rsidR="001C1A12" w:rsidRPr="003726FE" w:rsidRDefault="001C1A12" w:rsidP="00910B01">
            <w:pPr>
              <w:pStyle w:val="quoteboxes"/>
              <w:rPr>
                <w:lang w:val="en-GB"/>
              </w:rPr>
            </w:pPr>
            <w:r w:rsidRPr="003726FE">
              <w:rPr>
                <w:lang w:val="en-GB"/>
              </w:rPr>
              <w:t>G7 - 2: They have a common room so we practice examinations with each other and practice histories on each other, there’s quite a few of us in the common room, we all get involved and we are working hard even though we’re not on the ward, that’s the only way we can make good use of our time, it’s all well and good being on the ward doing examinations but we don’t know if we’re doing it right and we don’t know how to take a good history, there’s not an F1 in there analysing us because they’re busy so we can’t expect that. So everyone goes down to the common room and practices</w:t>
            </w:r>
          </w:p>
        </w:tc>
        <w:tc>
          <w:tcPr>
            <w:tcW w:w="4394" w:type="dxa"/>
            <w:hideMark/>
          </w:tcPr>
          <w:p w14:paraId="65577BD3" w14:textId="33D2EBDB" w:rsidR="001C1A12" w:rsidRPr="003726FE" w:rsidRDefault="001C1A12" w:rsidP="00910B01">
            <w:pPr>
              <w:pStyle w:val="quoteboxes"/>
              <w:rPr>
                <w:lang w:val="en-GB"/>
              </w:rPr>
            </w:pPr>
            <w:r w:rsidRPr="003726FE">
              <w:rPr>
                <w:lang w:val="en-GB"/>
              </w:rPr>
              <w:t>FG1 - BPF Student 7: the first time we took blood, they say something that would help next time but the next time you take blood is in four months’ time and I’m not sure how well I’ll remember it even if I do write it down. When you’re there in the moment I might understand but how am I going to remember it in 4 months, I need another opportunity to do it again which no one got because there isn’t enough time.</w:t>
            </w:r>
          </w:p>
        </w:tc>
      </w:tr>
    </w:tbl>
    <w:p w14:paraId="33A51FF0" w14:textId="77777777" w:rsidR="001C1A12" w:rsidRPr="003726FE" w:rsidRDefault="001C1A12" w:rsidP="00910B01">
      <w:pPr>
        <w:pStyle w:val="quoteboxes"/>
        <w:rPr>
          <w:lang w:val="en-GB"/>
        </w:rPr>
      </w:pPr>
    </w:p>
    <w:p w14:paraId="40BA735D" w14:textId="2AC07FD4" w:rsidR="001C1A12" w:rsidRPr="003726FE" w:rsidRDefault="001C1A12" w:rsidP="00910B01">
      <w:pPr>
        <w:pStyle w:val="quoteboxes"/>
        <w:rPr>
          <w:lang w:val="en-GB"/>
        </w:rPr>
      </w:pPr>
      <w:r w:rsidRPr="003726FE">
        <w:rPr>
          <w:lang w:val="en-GB"/>
        </w:rPr>
        <w:tab/>
      </w:r>
    </w:p>
    <w:p w14:paraId="548301B6" w14:textId="27FABA4B" w:rsidR="001C1A12" w:rsidRPr="003726FE" w:rsidRDefault="001C1A12" w:rsidP="00910B01">
      <w:pPr>
        <w:pStyle w:val="quoteboxes"/>
        <w:rPr>
          <w:lang w:val="en-GB"/>
        </w:rPr>
      </w:pPr>
      <w:r w:rsidRPr="003726FE">
        <w:rPr>
          <w:lang w:val="en-GB"/>
        </w:rPr>
        <w:br w:type="page"/>
      </w:r>
      <w:r w:rsidRPr="003726FE">
        <w:rPr>
          <w:lang w:val="en-GB"/>
        </w:rPr>
        <w:lastRenderedPageBreak/>
        <w:tab/>
      </w:r>
    </w:p>
    <w:tbl>
      <w:tblPr>
        <w:tblStyle w:val="TableGrid"/>
        <w:tblpPr w:leftFromText="180" w:rightFromText="180" w:vertAnchor="page" w:horzAnchor="margin" w:tblpY="1606"/>
        <w:tblW w:w="0" w:type="auto"/>
        <w:tblLook w:val="04A0" w:firstRow="1" w:lastRow="0" w:firstColumn="1" w:lastColumn="0" w:noHBand="0" w:noVBand="1"/>
      </w:tblPr>
      <w:tblGrid>
        <w:gridCol w:w="1307"/>
        <w:gridCol w:w="2799"/>
        <w:gridCol w:w="1979"/>
        <w:gridCol w:w="2222"/>
        <w:gridCol w:w="1807"/>
        <w:gridCol w:w="1788"/>
        <w:gridCol w:w="1524"/>
      </w:tblGrid>
      <w:tr w:rsidR="001C1A12" w:rsidRPr="003726FE" w14:paraId="1D279DC3" w14:textId="4E77B946" w:rsidTr="00161436">
        <w:trPr>
          <w:trHeight w:val="315"/>
        </w:trPr>
        <w:tc>
          <w:tcPr>
            <w:tcW w:w="1307" w:type="dxa"/>
            <w:noWrap/>
            <w:hideMark/>
          </w:tcPr>
          <w:p w14:paraId="40E59037" w14:textId="77777777" w:rsidR="001C1A12" w:rsidRPr="003726FE" w:rsidRDefault="001C1A12" w:rsidP="00910B01">
            <w:pPr>
              <w:pStyle w:val="quoteboxes"/>
              <w:rPr>
                <w:lang w:val="en-GB"/>
              </w:rPr>
            </w:pPr>
          </w:p>
        </w:tc>
        <w:tc>
          <w:tcPr>
            <w:tcW w:w="2799" w:type="dxa"/>
            <w:noWrap/>
            <w:hideMark/>
          </w:tcPr>
          <w:p w14:paraId="41DA5370" w14:textId="77777777" w:rsidR="001C1A12" w:rsidRPr="003726FE" w:rsidRDefault="001C1A12" w:rsidP="00910B01">
            <w:pPr>
              <w:pStyle w:val="quoteboxes"/>
              <w:rPr>
                <w:lang w:val="en-GB"/>
              </w:rPr>
            </w:pPr>
            <w:r w:rsidRPr="003726FE">
              <w:rPr>
                <w:lang w:val="en-GB"/>
              </w:rPr>
              <w:t>A</w:t>
            </w:r>
          </w:p>
        </w:tc>
        <w:tc>
          <w:tcPr>
            <w:tcW w:w="1979" w:type="dxa"/>
            <w:noWrap/>
            <w:hideMark/>
          </w:tcPr>
          <w:p w14:paraId="6FBFD823" w14:textId="77777777" w:rsidR="001C1A12" w:rsidRPr="003726FE" w:rsidRDefault="001C1A12" w:rsidP="00910B01">
            <w:pPr>
              <w:pStyle w:val="quoteboxes"/>
              <w:rPr>
                <w:lang w:val="en-GB"/>
              </w:rPr>
            </w:pPr>
            <w:r w:rsidRPr="003726FE">
              <w:rPr>
                <w:lang w:val="en-GB"/>
              </w:rPr>
              <w:t>B</w:t>
            </w:r>
          </w:p>
        </w:tc>
        <w:tc>
          <w:tcPr>
            <w:tcW w:w="2222" w:type="dxa"/>
            <w:noWrap/>
            <w:hideMark/>
          </w:tcPr>
          <w:p w14:paraId="2DD3987F" w14:textId="77777777" w:rsidR="001C1A12" w:rsidRPr="003726FE" w:rsidRDefault="001C1A12" w:rsidP="00910B01">
            <w:pPr>
              <w:pStyle w:val="quoteboxes"/>
              <w:rPr>
                <w:lang w:val="en-GB"/>
              </w:rPr>
            </w:pPr>
            <w:r w:rsidRPr="003726FE">
              <w:rPr>
                <w:lang w:val="en-GB"/>
              </w:rPr>
              <w:t>C</w:t>
            </w:r>
          </w:p>
        </w:tc>
        <w:tc>
          <w:tcPr>
            <w:tcW w:w="1807" w:type="dxa"/>
            <w:noWrap/>
            <w:hideMark/>
          </w:tcPr>
          <w:p w14:paraId="298E1BA0" w14:textId="77777777" w:rsidR="001C1A12" w:rsidRPr="003726FE" w:rsidRDefault="001C1A12" w:rsidP="00910B01">
            <w:pPr>
              <w:pStyle w:val="quoteboxes"/>
              <w:rPr>
                <w:lang w:val="en-GB"/>
              </w:rPr>
            </w:pPr>
            <w:r w:rsidRPr="003726FE">
              <w:rPr>
                <w:lang w:val="en-GB"/>
              </w:rPr>
              <w:t>D</w:t>
            </w:r>
          </w:p>
        </w:tc>
        <w:tc>
          <w:tcPr>
            <w:tcW w:w="1788" w:type="dxa"/>
            <w:noWrap/>
            <w:hideMark/>
          </w:tcPr>
          <w:p w14:paraId="4BC69AA6" w14:textId="77777777" w:rsidR="001C1A12" w:rsidRPr="003726FE" w:rsidRDefault="001C1A12" w:rsidP="00910B01">
            <w:pPr>
              <w:pStyle w:val="quoteboxes"/>
              <w:rPr>
                <w:lang w:val="en-GB"/>
              </w:rPr>
            </w:pPr>
            <w:r w:rsidRPr="003726FE">
              <w:rPr>
                <w:lang w:val="en-GB"/>
              </w:rPr>
              <w:t>E</w:t>
            </w:r>
          </w:p>
        </w:tc>
        <w:tc>
          <w:tcPr>
            <w:tcW w:w="1524" w:type="dxa"/>
          </w:tcPr>
          <w:p w14:paraId="620B80E1" w14:textId="5E5B1025" w:rsidR="001C1A12" w:rsidRPr="003726FE" w:rsidRDefault="001C1A12" w:rsidP="00910B01">
            <w:pPr>
              <w:pStyle w:val="quoteboxes"/>
              <w:rPr>
                <w:lang w:val="en-GB"/>
              </w:rPr>
            </w:pPr>
            <w:r w:rsidRPr="003726FE">
              <w:rPr>
                <w:lang w:val="en-GB"/>
              </w:rPr>
              <w:t>F</w:t>
            </w:r>
          </w:p>
        </w:tc>
      </w:tr>
      <w:tr w:rsidR="001C1A12" w:rsidRPr="003726FE" w14:paraId="3014C5F3" w14:textId="6E5C1865" w:rsidTr="00161436">
        <w:trPr>
          <w:trHeight w:val="4365"/>
        </w:trPr>
        <w:tc>
          <w:tcPr>
            <w:tcW w:w="1307" w:type="dxa"/>
            <w:vAlign w:val="center"/>
            <w:hideMark/>
          </w:tcPr>
          <w:p w14:paraId="13DBF1F2" w14:textId="62AADA23" w:rsidR="001C1A12" w:rsidRPr="003726FE" w:rsidRDefault="001C1A12" w:rsidP="00910B01">
            <w:pPr>
              <w:pStyle w:val="quoteboxes"/>
              <w:rPr>
                <w:lang w:val="en-GB"/>
              </w:rPr>
            </w:pPr>
            <w:r w:rsidRPr="003726FE">
              <w:rPr>
                <w:lang w:val="en-GB"/>
              </w:rPr>
              <w:t>4 Learning priorities (related to perceived ILOs)</w:t>
            </w:r>
          </w:p>
        </w:tc>
        <w:tc>
          <w:tcPr>
            <w:tcW w:w="2799" w:type="dxa"/>
            <w:hideMark/>
          </w:tcPr>
          <w:p w14:paraId="77DD9BEA" w14:textId="4F7F68D3" w:rsidR="001C1A12" w:rsidRPr="003726FE" w:rsidRDefault="001C1A12" w:rsidP="00910B01">
            <w:pPr>
              <w:pStyle w:val="quoteboxes"/>
              <w:rPr>
                <w:lang w:val="en-GB"/>
              </w:rPr>
            </w:pPr>
            <w:r w:rsidRPr="003726FE">
              <w:rPr>
                <w:lang w:val="en-GB"/>
              </w:rPr>
              <w:t>G1 - 2: if I’ve watch a colleague doing an Abdominal exam I’ll listen to the feedback that he gives he and try and incorporate it into mine, that’s a priority, that what I want to take on. If I can incorporate it into my performance then it becomes a part of how I perform them generally. The feedback they give us like “if you have a patient with this sign make sure you do this test” I think that i will do but I don’t need to worry about that just yet. That feedback isn’t quite as important to me as the OSCE relevant feedback. If it’s something that comes up more than once then I’ll flag it as important but if it just comes up once and doesn’t seem directly related to my OSCE I will file it away to think about another time in my mind.</w:t>
            </w:r>
          </w:p>
        </w:tc>
        <w:tc>
          <w:tcPr>
            <w:tcW w:w="1979" w:type="dxa"/>
            <w:hideMark/>
          </w:tcPr>
          <w:p w14:paraId="0BB35965" w14:textId="6EF58C61" w:rsidR="001C1A12" w:rsidRPr="003726FE" w:rsidRDefault="001C1A12" w:rsidP="00910B01">
            <w:pPr>
              <w:pStyle w:val="quoteboxes"/>
              <w:rPr>
                <w:lang w:val="en-GB"/>
              </w:rPr>
            </w:pPr>
            <w:r w:rsidRPr="003726FE">
              <w:rPr>
                <w:lang w:val="en-GB"/>
              </w:rPr>
              <w:t xml:space="preserve">G1 - 2: on this placement it hasn’t happened. In previous placements, there’s been elements of doctors telling me that they do an examination a certain way different from me, and for me it doesn’t </w:t>
            </w:r>
            <w:r w:rsidR="00D531CD" w:rsidRPr="003726FE">
              <w:rPr>
                <w:lang w:val="en-GB"/>
              </w:rPr>
              <w:t>matter</w:t>
            </w:r>
            <w:r w:rsidRPr="003726FE">
              <w:rPr>
                <w:lang w:val="en-GB"/>
              </w:rPr>
              <w:t xml:space="preserve"> because they’re not asking my OSCE, I have to work to the mark scheme that the medical school has given me, so I don’t think that feedback is important, I stick to the med school scheme, at least for now. Everyone has their own way of doing things. </w:t>
            </w:r>
          </w:p>
        </w:tc>
        <w:tc>
          <w:tcPr>
            <w:tcW w:w="2222" w:type="dxa"/>
            <w:hideMark/>
          </w:tcPr>
          <w:p w14:paraId="7A79350E" w14:textId="27E20832" w:rsidR="001C1A12" w:rsidRPr="003726FE" w:rsidRDefault="001C1A12" w:rsidP="00910B01">
            <w:pPr>
              <w:pStyle w:val="quoteboxes"/>
              <w:rPr>
                <w:lang w:val="en-GB"/>
              </w:rPr>
            </w:pPr>
            <w:r w:rsidRPr="003726FE">
              <w:rPr>
                <w:lang w:val="en-GB"/>
              </w:rPr>
              <w:t>Interviewer: Tell me about your learning priorities at the moment. G2 - 2: I’d push more toward experiencing what it’s like to work in the NHS, learning about the common conditions and how it affects the patients. I find it more enjoyable, how each doctor works and what level they’re at. Preparing for exams I feel like I see being able to do through my examination book and practicing it.</w:t>
            </w:r>
          </w:p>
        </w:tc>
        <w:tc>
          <w:tcPr>
            <w:tcW w:w="1807" w:type="dxa"/>
            <w:hideMark/>
          </w:tcPr>
          <w:p w14:paraId="16F5513A" w14:textId="2561324B" w:rsidR="001C1A12" w:rsidRPr="003726FE" w:rsidRDefault="001C1A12" w:rsidP="00910B01">
            <w:pPr>
              <w:pStyle w:val="quoteboxes"/>
              <w:rPr>
                <w:lang w:val="en-GB"/>
              </w:rPr>
            </w:pPr>
            <w:r w:rsidRPr="003726FE">
              <w:rPr>
                <w:lang w:val="en-GB"/>
              </w:rPr>
              <w:t>FG5 - SRLF Student 5: we actually have a consultant on this ward who gives us feedback which seems more relevant for passing our exams and doing examinations with him the med school way but then sometimes we get taught stuff by consultants and it’s not what I need right now but F1’s will be giving much more relevant information which is for the course. It’s valuable.</w:t>
            </w:r>
          </w:p>
        </w:tc>
        <w:tc>
          <w:tcPr>
            <w:tcW w:w="1788" w:type="dxa"/>
            <w:hideMark/>
          </w:tcPr>
          <w:p w14:paraId="5C39CA5A" w14:textId="1CD32FB4" w:rsidR="001C1A12" w:rsidRPr="003726FE" w:rsidRDefault="001C1A12" w:rsidP="00910B01">
            <w:pPr>
              <w:pStyle w:val="quoteboxes"/>
              <w:rPr>
                <w:lang w:val="en-GB"/>
              </w:rPr>
            </w:pPr>
            <w:r w:rsidRPr="003726FE">
              <w:rPr>
                <w:lang w:val="en-GB"/>
              </w:rPr>
              <w:t>G6 - 1: I fall much towards the end of experiencing placements. It stresses me out when I come home because I get back at 4 and they’ve all been back practicing OSCEs together for 3 hours and I panic and think “that’s what I should have been doing!” but I tell myself that its different, I’m not there to get assessed and get a 5, I stick with my guns and enjoy the placement.</w:t>
            </w:r>
          </w:p>
        </w:tc>
        <w:tc>
          <w:tcPr>
            <w:tcW w:w="1524" w:type="dxa"/>
          </w:tcPr>
          <w:p w14:paraId="5E20C0AB" w14:textId="086CDF58" w:rsidR="001C1A12" w:rsidRPr="003726FE" w:rsidRDefault="001C1A12" w:rsidP="00910B01">
            <w:pPr>
              <w:pStyle w:val="quoteboxes"/>
              <w:rPr>
                <w:lang w:val="en-GB"/>
              </w:rPr>
            </w:pPr>
            <w:r w:rsidRPr="003726FE">
              <w:rPr>
                <w:lang w:val="en-GB"/>
              </w:rPr>
              <w:t xml:space="preserve">G6 - 2:  it’s in the back of my mind but not thinking much about future careers, its more about exams and assessments, what’s necessary right now. I’ve been thinking about becoming a doctor more while on placement because </w:t>
            </w:r>
            <w:r w:rsidR="00FC0FFB" w:rsidRPr="003726FE">
              <w:rPr>
                <w:lang w:val="en-GB"/>
              </w:rPr>
              <w:t>it’s</w:t>
            </w:r>
            <w:r w:rsidRPr="003726FE">
              <w:rPr>
                <w:lang w:val="en-GB"/>
              </w:rPr>
              <w:t xml:space="preserve"> more real, before we started placement junior doctor was so far off but now it’s in the back of my mind.</w:t>
            </w:r>
          </w:p>
        </w:tc>
      </w:tr>
    </w:tbl>
    <w:p w14:paraId="045CB070" w14:textId="77777777" w:rsidR="00042504" w:rsidRPr="003726FE" w:rsidRDefault="00042504" w:rsidP="00910B01">
      <w:pPr>
        <w:pStyle w:val="quoteboxes"/>
        <w:rPr>
          <w:b/>
          <w:sz w:val="24"/>
          <w:lang w:val="en-GB"/>
        </w:rPr>
      </w:pPr>
    </w:p>
    <w:p w14:paraId="008571D2" w14:textId="77777777" w:rsidR="00042504" w:rsidRPr="003726FE" w:rsidRDefault="00042504">
      <w:pPr>
        <w:rPr>
          <w:rFonts w:eastAsia="Lucida Sans Unicode" w:cs="Mangal"/>
          <w:b/>
          <w:kern w:val="1"/>
          <w:szCs w:val="24"/>
          <w:lang w:eastAsia="hi-IN" w:bidi="hi-IN"/>
        </w:rPr>
      </w:pPr>
      <w:r w:rsidRPr="003726FE">
        <w:rPr>
          <w:b/>
        </w:rPr>
        <w:br w:type="page"/>
      </w:r>
    </w:p>
    <w:p w14:paraId="113E71AC" w14:textId="6C6DDC21" w:rsidR="001C1A12" w:rsidRPr="003726FE" w:rsidRDefault="004E3161" w:rsidP="00910B01">
      <w:pPr>
        <w:pStyle w:val="quoteboxes"/>
        <w:rPr>
          <w:b/>
          <w:sz w:val="24"/>
          <w:lang w:val="en-GB"/>
        </w:rPr>
      </w:pPr>
      <w:r w:rsidRPr="003726FE">
        <w:rPr>
          <w:b/>
          <w:sz w:val="24"/>
          <w:lang w:val="en-GB"/>
        </w:rPr>
        <w:lastRenderedPageBreak/>
        <w:t>Stage of learning and development factors theme and sub-themes.</w:t>
      </w:r>
    </w:p>
    <w:tbl>
      <w:tblPr>
        <w:tblStyle w:val="TableGrid"/>
        <w:tblW w:w="0" w:type="auto"/>
        <w:tblLook w:val="04A0" w:firstRow="1" w:lastRow="0" w:firstColumn="1" w:lastColumn="0" w:noHBand="0" w:noVBand="1"/>
      </w:tblPr>
      <w:tblGrid>
        <w:gridCol w:w="1117"/>
        <w:gridCol w:w="1991"/>
        <w:gridCol w:w="1563"/>
        <w:gridCol w:w="1561"/>
        <w:gridCol w:w="1701"/>
        <w:gridCol w:w="1985"/>
        <w:gridCol w:w="1701"/>
        <w:gridCol w:w="1807"/>
      </w:tblGrid>
      <w:tr w:rsidR="00042504" w:rsidRPr="003726FE" w14:paraId="34103213" w14:textId="1D28BB10" w:rsidTr="00042504">
        <w:trPr>
          <w:trHeight w:val="315"/>
        </w:trPr>
        <w:tc>
          <w:tcPr>
            <w:tcW w:w="1117" w:type="dxa"/>
            <w:noWrap/>
            <w:hideMark/>
          </w:tcPr>
          <w:p w14:paraId="239B9473" w14:textId="77777777" w:rsidR="00EB09A0" w:rsidRPr="003726FE" w:rsidRDefault="00EB09A0" w:rsidP="00910B01">
            <w:pPr>
              <w:pStyle w:val="quoteboxes"/>
              <w:rPr>
                <w:sz w:val="20"/>
                <w:szCs w:val="22"/>
                <w:lang w:val="en-GB"/>
              </w:rPr>
            </w:pPr>
          </w:p>
        </w:tc>
        <w:tc>
          <w:tcPr>
            <w:tcW w:w="1991" w:type="dxa"/>
            <w:noWrap/>
            <w:hideMark/>
          </w:tcPr>
          <w:p w14:paraId="229AC5C3" w14:textId="71E2327A" w:rsidR="00EB09A0" w:rsidRPr="003726FE" w:rsidRDefault="00EB09A0" w:rsidP="00910B01">
            <w:pPr>
              <w:pStyle w:val="quoteboxes"/>
              <w:rPr>
                <w:sz w:val="20"/>
                <w:szCs w:val="22"/>
                <w:lang w:val="en-GB"/>
              </w:rPr>
            </w:pPr>
            <w:r w:rsidRPr="003726FE">
              <w:rPr>
                <w:sz w:val="20"/>
                <w:szCs w:val="22"/>
                <w:lang w:val="en-GB"/>
              </w:rPr>
              <w:t>G</w:t>
            </w:r>
          </w:p>
        </w:tc>
        <w:tc>
          <w:tcPr>
            <w:tcW w:w="1563" w:type="dxa"/>
            <w:noWrap/>
            <w:hideMark/>
          </w:tcPr>
          <w:p w14:paraId="26A19658" w14:textId="4D4A831F" w:rsidR="00EB09A0" w:rsidRPr="003726FE" w:rsidRDefault="00EB09A0" w:rsidP="00910B01">
            <w:pPr>
              <w:pStyle w:val="quoteboxes"/>
              <w:rPr>
                <w:sz w:val="20"/>
                <w:szCs w:val="22"/>
                <w:lang w:val="en-GB"/>
              </w:rPr>
            </w:pPr>
            <w:r w:rsidRPr="003726FE">
              <w:rPr>
                <w:sz w:val="20"/>
                <w:szCs w:val="22"/>
                <w:lang w:val="en-GB"/>
              </w:rPr>
              <w:t>H</w:t>
            </w:r>
          </w:p>
        </w:tc>
        <w:tc>
          <w:tcPr>
            <w:tcW w:w="1561" w:type="dxa"/>
            <w:noWrap/>
            <w:hideMark/>
          </w:tcPr>
          <w:p w14:paraId="201172E8" w14:textId="7A18C29F" w:rsidR="00EB09A0" w:rsidRPr="003726FE" w:rsidRDefault="00EB09A0" w:rsidP="00910B01">
            <w:pPr>
              <w:pStyle w:val="quoteboxes"/>
              <w:rPr>
                <w:sz w:val="20"/>
                <w:szCs w:val="22"/>
                <w:lang w:val="en-GB"/>
              </w:rPr>
            </w:pPr>
            <w:r w:rsidRPr="003726FE">
              <w:rPr>
                <w:sz w:val="20"/>
                <w:szCs w:val="22"/>
                <w:lang w:val="en-GB"/>
              </w:rPr>
              <w:t>I</w:t>
            </w:r>
          </w:p>
        </w:tc>
        <w:tc>
          <w:tcPr>
            <w:tcW w:w="1701" w:type="dxa"/>
            <w:noWrap/>
            <w:hideMark/>
          </w:tcPr>
          <w:p w14:paraId="5871E5F4" w14:textId="4F69C71A" w:rsidR="00EB09A0" w:rsidRPr="003726FE" w:rsidRDefault="00EB09A0" w:rsidP="00910B01">
            <w:pPr>
              <w:pStyle w:val="quoteboxes"/>
              <w:rPr>
                <w:sz w:val="20"/>
                <w:szCs w:val="22"/>
                <w:lang w:val="en-GB"/>
              </w:rPr>
            </w:pPr>
            <w:r w:rsidRPr="003726FE">
              <w:rPr>
                <w:sz w:val="20"/>
                <w:szCs w:val="22"/>
                <w:lang w:val="en-GB"/>
              </w:rPr>
              <w:t>J</w:t>
            </w:r>
          </w:p>
        </w:tc>
        <w:tc>
          <w:tcPr>
            <w:tcW w:w="1985" w:type="dxa"/>
            <w:noWrap/>
            <w:hideMark/>
          </w:tcPr>
          <w:p w14:paraId="248F99E8" w14:textId="5A67E2B2" w:rsidR="00EB09A0" w:rsidRPr="003726FE" w:rsidRDefault="00EB09A0" w:rsidP="00910B01">
            <w:pPr>
              <w:pStyle w:val="quoteboxes"/>
              <w:rPr>
                <w:sz w:val="20"/>
                <w:szCs w:val="22"/>
                <w:lang w:val="en-GB"/>
              </w:rPr>
            </w:pPr>
            <w:r w:rsidRPr="003726FE">
              <w:rPr>
                <w:sz w:val="20"/>
                <w:szCs w:val="22"/>
                <w:lang w:val="en-GB"/>
              </w:rPr>
              <w:t>K</w:t>
            </w:r>
          </w:p>
        </w:tc>
        <w:tc>
          <w:tcPr>
            <w:tcW w:w="1701" w:type="dxa"/>
          </w:tcPr>
          <w:p w14:paraId="143A7142" w14:textId="5E70A6DF" w:rsidR="00EB09A0" w:rsidRPr="003726FE" w:rsidRDefault="00EB09A0" w:rsidP="00910B01">
            <w:pPr>
              <w:pStyle w:val="quoteboxes"/>
              <w:rPr>
                <w:sz w:val="20"/>
                <w:szCs w:val="22"/>
                <w:lang w:val="en-GB"/>
              </w:rPr>
            </w:pPr>
            <w:r w:rsidRPr="003726FE">
              <w:rPr>
                <w:sz w:val="20"/>
                <w:szCs w:val="22"/>
                <w:lang w:val="en-GB"/>
              </w:rPr>
              <w:t>L</w:t>
            </w:r>
          </w:p>
        </w:tc>
        <w:tc>
          <w:tcPr>
            <w:tcW w:w="1807" w:type="dxa"/>
          </w:tcPr>
          <w:p w14:paraId="3E9D286F" w14:textId="73AB4064" w:rsidR="00EB09A0" w:rsidRPr="003726FE" w:rsidRDefault="00EB09A0" w:rsidP="00910B01">
            <w:pPr>
              <w:pStyle w:val="quoteboxes"/>
              <w:rPr>
                <w:sz w:val="20"/>
                <w:szCs w:val="22"/>
                <w:lang w:val="en-GB"/>
              </w:rPr>
            </w:pPr>
            <w:r w:rsidRPr="003726FE">
              <w:rPr>
                <w:sz w:val="20"/>
                <w:szCs w:val="22"/>
                <w:lang w:val="en-GB"/>
              </w:rPr>
              <w:t>M</w:t>
            </w:r>
          </w:p>
        </w:tc>
      </w:tr>
      <w:tr w:rsidR="00042504" w:rsidRPr="003726FE" w14:paraId="6DDD262C" w14:textId="2E24F913" w:rsidTr="00042504">
        <w:trPr>
          <w:trHeight w:val="4365"/>
        </w:trPr>
        <w:tc>
          <w:tcPr>
            <w:tcW w:w="1117" w:type="dxa"/>
            <w:vAlign w:val="center"/>
            <w:hideMark/>
          </w:tcPr>
          <w:p w14:paraId="6C5DBFBE" w14:textId="408D4DF7" w:rsidR="00EB09A0" w:rsidRPr="003726FE" w:rsidRDefault="00EB09A0" w:rsidP="00910B01">
            <w:pPr>
              <w:pStyle w:val="quoteboxes"/>
              <w:rPr>
                <w:sz w:val="20"/>
                <w:szCs w:val="22"/>
                <w:lang w:val="en-GB"/>
              </w:rPr>
            </w:pPr>
            <w:r w:rsidRPr="003726FE">
              <w:rPr>
                <w:sz w:val="20"/>
                <w:szCs w:val="22"/>
                <w:lang w:val="en-GB"/>
              </w:rPr>
              <w:t>4 Learning priorities (related to perceived ILOs)</w:t>
            </w:r>
          </w:p>
        </w:tc>
        <w:tc>
          <w:tcPr>
            <w:tcW w:w="1991" w:type="dxa"/>
            <w:hideMark/>
          </w:tcPr>
          <w:p w14:paraId="6391C8BE" w14:textId="0BC4C5CF" w:rsidR="00EB09A0" w:rsidRPr="003726FE" w:rsidRDefault="00EB09A0" w:rsidP="00910B01">
            <w:pPr>
              <w:pStyle w:val="quoteboxes"/>
              <w:rPr>
                <w:sz w:val="20"/>
                <w:szCs w:val="22"/>
                <w:lang w:val="en-GB"/>
              </w:rPr>
            </w:pPr>
            <w:r w:rsidRPr="003726FE">
              <w:rPr>
                <w:sz w:val="20"/>
                <w:szCs w:val="22"/>
                <w:lang w:val="en-GB"/>
              </w:rPr>
              <w:t xml:space="preserve">G1 - 1: it varies. Generally I’m more towards the exam end but I wouldn’t say I’m extreme. I’m in the middle but more towards an exam mind-set. At the minute if someone offered me teaching how the NHS works or how to examine someone I’d go for the examination even though in the </w:t>
            </w:r>
            <w:r w:rsidR="00826050">
              <w:rPr>
                <w:sz w:val="20"/>
                <w:szCs w:val="22"/>
                <w:lang w:val="en-GB"/>
              </w:rPr>
              <w:t>longer-term</w:t>
            </w:r>
            <w:r w:rsidRPr="003726FE">
              <w:rPr>
                <w:sz w:val="20"/>
                <w:szCs w:val="22"/>
                <w:lang w:val="en-GB"/>
              </w:rPr>
              <w:t xml:space="preserve"> I’ll be working for the NHS every day, whereas I’ll only be doing certain examinations once a month. I’m swinging towards exam focused. Because I’ve got exams I’m more motivated to find people to examine rather than learn about their conditions.</w:t>
            </w:r>
          </w:p>
        </w:tc>
        <w:tc>
          <w:tcPr>
            <w:tcW w:w="1563" w:type="dxa"/>
            <w:hideMark/>
          </w:tcPr>
          <w:p w14:paraId="6ACF1071" w14:textId="63A97DF7" w:rsidR="00EB09A0" w:rsidRPr="003726FE" w:rsidRDefault="00EB09A0" w:rsidP="00910B01">
            <w:pPr>
              <w:pStyle w:val="quoteboxes"/>
              <w:rPr>
                <w:sz w:val="20"/>
                <w:szCs w:val="22"/>
                <w:lang w:val="en-GB"/>
              </w:rPr>
            </w:pPr>
            <w:r w:rsidRPr="003726FE">
              <w:rPr>
                <w:sz w:val="20"/>
                <w:szCs w:val="22"/>
                <w:lang w:val="en-GB"/>
              </w:rPr>
              <w:t>FG5 - SRLF Student 7: it sounds bad but I associate good feedback with what is going to help us in our exams which sounds bad but we have OSCEs soon. It’s the practical use.</w:t>
            </w:r>
          </w:p>
        </w:tc>
        <w:tc>
          <w:tcPr>
            <w:tcW w:w="1561" w:type="dxa"/>
            <w:hideMark/>
          </w:tcPr>
          <w:p w14:paraId="24B69CB7" w14:textId="78524AC4" w:rsidR="00EB09A0" w:rsidRPr="003726FE" w:rsidRDefault="00EB09A0" w:rsidP="00910B01">
            <w:pPr>
              <w:pStyle w:val="quoteboxes"/>
              <w:rPr>
                <w:sz w:val="20"/>
                <w:szCs w:val="22"/>
                <w:lang w:val="en-GB"/>
              </w:rPr>
            </w:pPr>
            <w:r w:rsidRPr="003726FE">
              <w:rPr>
                <w:sz w:val="20"/>
                <w:szCs w:val="22"/>
                <w:lang w:val="en-GB"/>
              </w:rPr>
              <w:t>G7 - 2: it’s my exams, more than finding out what it’s like to work in a team because the exams are closer in my timeline of things to do, I need to pass my exams before I find out what it’s like to work in a team</w:t>
            </w:r>
          </w:p>
        </w:tc>
        <w:tc>
          <w:tcPr>
            <w:tcW w:w="1701" w:type="dxa"/>
            <w:hideMark/>
          </w:tcPr>
          <w:p w14:paraId="0CA6CE0F" w14:textId="080B307A" w:rsidR="00EB09A0" w:rsidRPr="003726FE" w:rsidRDefault="00EB09A0" w:rsidP="00910B01">
            <w:pPr>
              <w:pStyle w:val="quoteboxes"/>
              <w:rPr>
                <w:sz w:val="20"/>
                <w:szCs w:val="22"/>
                <w:lang w:val="en-GB"/>
              </w:rPr>
            </w:pPr>
            <w:r w:rsidRPr="003726FE">
              <w:rPr>
                <w:sz w:val="20"/>
                <w:szCs w:val="22"/>
                <w:lang w:val="en-GB"/>
              </w:rPr>
              <w:t xml:space="preserve">G7 - 1: yeah at this point I’m more thinking about what will look good in my OSCE to be honest, get past each stage at a time, probably should be thinking about future career stuff but I get very exam driven. </w:t>
            </w:r>
          </w:p>
        </w:tc>
        <w:tc>
          <w:tcPr>
            <w:tcW w:w="1985" w:type="dxa"/>
            <w:hideMark/>
          </w:tcPr>
          <w:p w14:paraId="763BC40D" w14:textId="304F61C2" w:rsidR="00EB09A0" w:rsidRPr="003726FE" w:rsidRDefault="00EB09A0" w:rsidP="00910B01">
            <w:pPr>
              <w:pStyle w:val="quoteboxes"/>
              <w:rPr>
                <w:sz w:val="20"/>
                <w:szCs w:val="22"/>
                <w:lang w:val="en-GB"/>
              </w:rPr>
            </w:pPr>
            <w:r w:rsidRPr="003726FE">
              <w:rPr>
                <w:sz w:val="20"/>
                <w:szCs w:val="22"/>
                <w:lang w:val="en-GB"/>
              </w:rPr>
              <w:t>G8 - 1: yeah, nothing else. Pass my exam. I get the whole thing that you should experience being a doctor and I guess that’s important, but I’ll do that from January because that’s when I’m learning my specialities. These placements aren’t for me to practice being a junior doctor they’re for practicing my histories and examinations. That’s the target. The actual training to be a doctor starts form January. I’ll do that properly when I start in January. I just need to practice for my exam that’s it.</w:t>
            </w:r>
          </w:p>
        </w:tc>
        <w:tc>
          <w:tcPr>
            <w:tcW w:w="1701" w:type="dxa"/>
          </w:tcPr>
          <w:p w14:paraId="25378EDB" w14:textId="7066141C" w:rsidR="00EB09A0" w:rsidRPr="003726FE" w:rsidRDefault="00EB09A0" w:rsidP="00910B01">
            <w:pPr>
              <w:pStyle w:val="quoteboxes"/>
              <w:rPr>
                <w:sz w:val="20"/>
                <w:szCs w:val="22"/>
                <w:lang w:val="en-GB"/>
              </w:rPr>
            </w:pPr>
            <w:r w:rsidRPr="003726FE">
              <w:rPr>
                <w:sz w:val="20"/>
                <w:szCs w:val="22"/>
                <w:lang w:val="en-GB"/>
              </w:rPr>
              <w:t>G2 - 1: The whole point of this is to get used to examining and chatting to patients, other than prepping for OSCE’s, that’s what we’re doing anyway, its practicing for OSCE’s.</w:t>
            </w:r>
          </w:p>
        </w:tc>
        <w:tc>
          <w:tcPr>
            <w:tcW w:w="1807" w:type="dxa"/>
          </w:tcPr>
          <w:p w14:paraId="3993BC4A" w14:textId="77777777" w:rsidR="00EB09A0" w:rsidRPr="003726FE" w:rsidRDefault="00EB09A0" w:rsidP="00910B01">
            <w:pPr>
              <w:pStyle w:val="quoteboxes"/>
              <w:rPr>
                <w:rFonts w:ascii="Calibri" w:hAnsi="Calibri"/>
                <w:color w:val="000000"/>
                <w:sz w:val="20"/>
                <w:lang w:val="en-GB"/>
              </w:rPr>
            </w:pPr>
            <w:r w:rsidRPr="003726FE">
              <w:rPr>
                <w:rFonts w:ascii="Calibri" w:hAnsi="Calibri"/>
                <w:color w:val="000000"/>
                <w:sz w:val="20"/>
                <w:lang w:val="en-GB"/>
              </w:rPr>
              <w:t>FG5 - SRLF Student 7: for me, I tend to categorise it as: practical feedback and exam specific feedback. So sometimes if they say something like “we only do this because of this reason” I think it makes sense for practical reasons but I won’t do it in the exam, I’ll just store it in the back of my head.</w:t>
            </w:r>
          </w:p>
          <w:p w14:paraId="5B742412" w14:textId="77777777" w:rsidR="00EB09A0" w:rsidRPr="003726FE" w:rsidRDefault="00EB09A0" w:rsidP="00910B01">
            <w:pPr>
              <w:pStyle w:val="quoteboxes"/>
              <w:rPr>
                <w:sz w:val="20"/>
                <w:szCs w:val="22"/>
                <w:lang w:val="en-GB"/>
              </w:rPr>
            </w:pPr>
          </w:p>
        </w:tc>
      </w:tr>
    </w:tbl>
    <w:p w14:paraId="27DC65AC" w14:textId="77777777" w:rsidR="001C1A12" w:rsidRPr="003726FE" w:rsidRDefault="001C1A12" w:rsidP="00910B01">
      <w:pPr>
        <w:pStyle w:val="quoteboxes"/>
        <w:rPr>
          <w:lang w:val="en-GB"/>
        </w:rPr>
      </w:pPr>
    </w:p>
    <w:p w14:paraId="6E664189" w14:textId="77777777" w:rsidR="00EB09A0" w:rsidRPr="003726FE" w:rsidRDefault="00EB09A0"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47"/>
        <w:gridCol w:w="1464"/>
        <w:gridCol w:w="2283"/>
        <w:gridCol w:w="1988"/>
        <w:gridCol w:w="1985"/>
        <w:gridCol w:w="1843"/>
        <w:gridCol w:w="2516"/>
      </w:tblGrid>
      <w:tr w:rsidR="00EB09A0" w:rsidRPr="003726FE" w14:paraId="2F77B6EB" w14:textId="073DBCE2" w:rsidTr="00042504">
        <w:trPr>
          <w:trHeight w:val="315"/>
        </w:trPr>
        <w:tc>
          <w:tcPr>
            <w:tcW w:w="1347" w:type="dxa"/>
            <w:noWrap/>
            <w:hideMark/>
          </w:tcPr>
          <w:p w14:paraId="01636B2F" w14:textId="77777777" w:rsidR="00EB09A0" w:rsidRPr="003726FE" w:rsidRDefault="00EB09A0" w:rsidP="00910B01">
            <w:pPr>
              <w:pStyle w:val="quoteboxes"/>
              <w:rPr>
                <w:lang w:val="en-GB"/>
              </w:rPr>
            </w:pPr>
          </w:p>
        </w:tc>
        <w:tc>
          <w:tcPr>
            <w:tcW w:w="1464" w:type="dxa"/>
            <w:noWrap/>
            <w:hideMark/>
          </w:tcPr>
          <w:p w14:paraId="5E13A052" w14:textId="22BC941B" w:rsidR="00EB09A0" w:rsidRPr="003726FE" w:rsidRDefault="00EB09A0" w:rsidP="00910B01">
            <w:pPr>
              <w:pStyle w:val="quoteboxes"/>
              <w:rPr>
                <w:lang w:val="en-GB"/>
              </w:rPr>
            </w:pPr>
            <w:r w:rsidRPr="003726FE">
              <w:rPr>
                <w:lang w:val="en-GB"/>
              </w:rPr>
              <w:t>N</w:t>
            </w:r>
          </w:p>
        </w:tc>
        <w:tc>
          <w:tcPr>
            <w:tcW w:w="2283" w:type="dxa"/>
            <w:noWrap/>
            <w:hideMark/>
          </w:tcPr>
          <w:p w14:paraId="31FA571D" w14:textId="587F31D2" w:rsidR="00EB09A0" w:rsidRPr="003726FE" w:rsidRDefault="00EB09A0" w:rsidP="00910B01">
            <w:pPr>
              <w:pStyle w:val="quoteboxes"/>
              <w:rPr>
                <w:lang w:val="en-GB"/>
              </w:rPr>
            </w:pPr>
            <w:r w:rsidRPr="003726FE">
              <w:rPr>
                <w:lang w:val="en-GB"/>
              </w:rPr>
              <w:t>O</w:t>
            </w:r>
          </w:p>
        </w:tc>
        <w:tc>
          <w:tcPr>
            <w:tcW w:w="1988" w:type="dxa"/>
            <w:noWrap/>
            <w:hideMark/>
          </w:tcPr>
          <w:p w14:paraId="6BECB2FF" w14:textId="7F9BAF94" w:rsidR="00EB09A0" w:rsidRPr="003726FE" w:rsidRDefault="00EB09A0" w:rsidP="00910B01">
            <w:pPr>
              <w:pStyle w:val="quoteboxes"/>
              <w:rPr>
                <w:lang w:val="en-GB"/>
              </w:rPr>
            </w:pPr>
            <w:r w:rsidRPr="003726FE">
              <w:rPr>
                <w:lang w:val="en-GB"/>
              </w:rPr>
              <w:t>P</w:t>
            </w:r>
          </w:p>
        </w:tc>
        <w:tc>
          <w:tcPr>
            <w:tcW w:w="1985" w:type="dxa"/>
            <w:noWrap/>
            <w:hideMark/>
          </w:tcPr>
          <w:p w14:paraId="729BDB11" w14:textId="64640140" w:rsidR="00EB09A0" w:rsidRPr="003726FE" w:rsidRDefault="00EB09A0" w:rsidP="00910B01">
            <w:pPr>
              <w:pStyle w:val="quoteboxes"/>
              <w:rPr>
                <w:lang w:val="en-GB"/>
              </w:rPr>
            </w:pPr>
            <w:r w:rsidRPr="003726FE">
              <w:rPr>
                <w:lang w:val="en-GB"/>
              </w:rPr>
              <w:t>Q</w:t>
            </w:r>
          </w:p>
        </w:tc>
        <w:tc>
          <w:tcPr>
            <w:tcW w:w="1843" w:type="dxa"/>
            <w:noWrap/>
            <w:hideMark/>
          </w:tcPr>
          <w:p w14:paraId="603013E2" w14:textId="32CDFA03" w:rsidR="00EB09A0" w:rsidRPr="003726FE" w:rsidRDefault="00EB09A0" w:rsidP="00910B01">
            <w:pPr>
              <w:pStyle w:val="quoteboxes"/>
              <w:rPr>
                <w:lang w:val="en-GB"/>
              </w:rPr>
            </w:pPr>
            <w:r w:rsidRPr="003726FE">
              <w:rPr>
                <w:lang w:val="en-GB"/>
              </w:rPr>
              <w:t>R</w:t>
            </w:r>
          </w:p>
        </w:tc>
        <w:tc>
          <w:tcPr>
            <w:tcW w:w="2516" w:type="dxa"/>
          </w:tcPr>
          <w:p w14:paraId="6683D782" w14:textId="22FD17E3" w:rsidR="00EB09A0" w:rsidRPr="003726FE" w:rsidRDefault="00EB09A0" w:rsidP="00910B01">
            <w:pPr>
              <w:pStyle w:val="quoteboxes"/>
              <w:rPr>
                <w:lang w:val="en-GB"/>
              </w:rPr>
            </w:pPr>
            <w:r w:rsidRPr="003726FE">
              <w:rPr>
                <w:lang w:val="en-GB"/>
              </w:rPr>
              <w:t>S</w:t>
            </w:r>
          </w:p>
        </w:tc>
      </w:tr>
      <w:tr w:rsidR="00EB09A0" w:rsidRPr="003726FE" w14:paraId="0DE4BD92" w14:textId="6AEF72E9" w:rsidTr="00042504">
        <w:trPr>
          <w:trHeight w:val="4365"/>
        </w:trPr>
        <w:tc>
          <w:tcPr>
            <w:tcW w:w="1347" w:type="dxa"/>
            <w:vAlign w:val="center"/>
            <w:hideMark/>
          </w:tcPr>
          <w:p w14:paraId="1EB12BD7" w14:textId="3A51288F" w:rsidR="00EB09A0" w:rsidRPr="003726FE" w:rsidRDefault="00EB09A0" w:rsidP="00910B01">
            <w:pPr>
              <w:pStyle w:val="quoteboxes"/>
              <w:rPr>
                <w:lang w:val="en-GB"/>
              </w:rPr>
            </w:pPr>
            <w:r w:rsidRPr="003726FE">
              <w:rPr>
                <w:lang w:val="en-GB"/>
              </w:rPr>
              <w:t>4 Learning priorities (related to perceived ILOs)</w:t>
            </w:r>
          </w:p>
        </w:tc>
        <w:tc>
          <w:tcPr>
            <w:tcW w:w="1464" w:type="dxa"/>
            <w:hideMark/>
          </w:tcPr>
          <w:p w14:paraId="0DEBA21D" w14:textId="7798C3B9" w:rsidR="00EB09A0" w:rsidRPr="003726FE" w:rsidRDefault="00EB09A0" w:rsidP="00910B01">
            <w:pPr>
              <w:pStyle w:val="quoteboxes"/>
              <w:rPr>
                <w:lang w:val="en-GB"/>
              </w:rPr>
            </w:pPr>
            <w:r w:rsidRPr="003726FE">
              <w:rPr>
                <w:lang w:val="en-GB"/>
              </w:rPr>
              <w:t>G6 - 1: He spent some time talking to us about brain anatomy, so that was useful but that’s anatomy which is from anatomy which I haven’t looked at recently so he was trying to give us feedback on that but we weren’t… that’s not that useful to me</w:t>
            </w:r>
          </w:p>
        </w:tc>
        <w:tc>
          <w:tcPr>
            <w:tcW w:w="2283" w:type="dxa"/>
            <w:hideMark/>
          </w:tcPr>
          <w:p w14:paraId="23B6DF32" w14:textId="3A998FA9" w:rsidR="00EB09A0" w:rsidRPr="003726FE" w:rsidRDefault="00EB09A0" w:rsidP="00910B01">
            <w:pPr>
              <w:pStyle w:val="quoteboxes"/>
              <w:rPr>
                <w:lang w:val="en-GB"/>
              </w:rPr>
            </w:pPr>
            <w:r w:rsidRPr="003726FE">
              <w:rPr>
                <w:lang w:val="en-GB"/>
              </w:rPr>
              <w:t>G2 - 2: I can definitely take feedback on board for the next day and feedback that will help me in the future. If I’m doing a clinical skills one day I’ll take it on board because I’m doing it more often but some of the feedback about how I interpret a chest x-ray or something, it won’t be something that I do commonly but I’ll keep it in the back of my mind. Whereas if I take a history the feedback will be useful for my OSCE, and I’ll take a similar history tomorrow so I’ll reiterate that more to myself. I always keep it all filed away somewhere.</w:t>
            </w:r>
          </w:p>
        </w:tc>
        <w:tc>
          <w:tcPr>
            <w:tcW w:w="1988" w:type="dxa"/>
            <w:hideMark/>
          </w:tcPr>
          <w:p w14:paraId="399D3E88" w14:textId="30291F30" w:rsidR="00EB09A0" w:rsidRPr="003726FE" w:rsidRDefault="00EB09A0" w:rsidP="00910B01">
            <w:pPr>
              <w:pStyle w:val="quoteboxes"/>
              <w:rPr>
                <w:lang w:val="en-GB"/>
              </w:rPr>
            </w:pPr>
            <w:r w:rsidRPr="003726FE">
              <w:rPr>
                <w:lang w:val="en-GB"/>
              </w:rPr>
              <w:t>G1 - 1: If its good feedback I don’t really listen to it that much, it’s not as constructive. If it’s about improving my skills and I practice it again and it sounds and works better, it is easier, then I take it on board. In terms of knowledge I’ll write the feedback down and look it up. I’m working up to the exams in November, there’s bits that I’m more confident at and bits I need to work on. If I get feedback on something I’m more confident on I’ll listen to it and take in the positives but I’m looking for ways to improve, that’s my priority.</w:t>
            </w:r>
          </w:p>
        </w:tc>
        <w:tc>
          <w:tcPr>
            <w:tcW w:w="1985" w:type="dxa"/>
            <w:hideMark/>
          </w:tcPr>
          <w:p w14:paraId="6074B82D" w14:textId="349E3148" w:rsidR="00EB09A0" w:rsidRPr="003726FE" w:rsidRDefault="00EB09A0" w:rsidP="00910B01">
            <w:pPr>
              <w:pStyle w:val="quoteboxes"/>
              <w:rPr>
                <w:lang w:val="en-GB"/>
              </w:rPr>
            </w:pPr>
            <w:r w:rsidRPr="003726FE">
              <w:rPr>
                <w:lang w:val="en-GB"/>
              </w:rPr>
              <w:t>FG5 - SRLF Student 2: it’s a lot easier to take feedback when you know what you’re supposed to be getting feedback on, we know roughly what we’re supposed to be doing in our OSCE and so we know we’ll be getting exam and practical advice, we know how to take it.</w:t>
            </w:r>
          </w:p>
        </w:tc>
        <w:tc>
          <w:tcPr>
            <w:tcW w:w="1843" w:type="dxa"/>
            <w:hideMark/>
          </w:tcPr>
          <w:p w14:paraId="78CA8F34" w14:textId="33D55D84" w:rsidR="00EB09A0" w:rsidRPr="003726FE" w:rsidRDefault="00EB09A0" w:rsidP="00910B01">
            <w:pPr>
              <w:pStyle w:val="quoteboxes"/>
              <w:rPr>
                <w:lang w:val="en-GB"/>
              </w:rPr>
            </w:pPr>
            <w:r w:rsidRPr="003726FE">
              <w:rPr>
                <w:lang w:val="en-GB"/>
              </w:rPr>
              <w:t xml:space="preserve">G8 - 1: When I go on wards for 5 hours and come back shattered and not being able to practice on patients its makes my confidence low because I’ve wasted time and not learned anything. </w:t>
            </w:r>
          </w:p>
        </w:tc>
        <w:tc>
          <w:tcPr>
            <w:tcW w:w="2516" w:type="dxa"/>
          </w:tcPr>
          <w:p w14:paraId="7F1848EE" w14:textId="62B2F337" w:rsidR="00EB09A0" w:rsidRPr="003726FE" w:rsidRDefault="00EB09A0" w:rsidP="00910B01">
            <w:pPr>
              <w:pStyle w:val="quoteboxes"/>
              <w:rPr>
                <w:lang w:val="en-GB"/>
              </w:rPr>
            </w:pPr>
            <w:r w:rsidRPr="003726FE">
              <w:rPr>
                <w:lang w:val="en-GB"/>
              </w:rPr>
              <w:t xml:space="preserve">G4 - 1: Once we got one of the senior consultant surgeons, he said “come to my office I’ll give you teaching” so we came and he started telling us about surgical procedures which was </w:t>
            </w:r>
            <w:r w:rsidR="00D531CD" w:rsidRPr="003726FE">
              <w:rPr>
                <w:lang w:val="en-GB"/>
              </w:rPr>
              <w:t>really interesting</w:t>
            </w:r>
            <w:r w:rsidRPr="003726FE">
              <w:rPr>
                <w:lang w:val="en-GB"/>
              </w:rPr>
              <w:t>. I’m interested in surgery, it was really cool to hear but then the other people in the room that aren’t interested in surgery it was completely useless for them. When we were going there we were expecting to learn about examinations and things we were going to be assessed on, some people were bitter about it, as an example.</w:t>
            </w:r>
          </w:p>
        </w:tc>
      </w:tr>
    </w:tbl>
    <w:p w14:paraId="2A9C20AA" w14:textId="77777777" w:rsidR="00EB09A0" w:rsidRPr="003726FE" w:rsidRDefault="00EB09A0" w:rsidP="00910B01">
      <w:pPr>
        <w:pStyle w:val="quoteboxes"/>
        <w:rPr>
          <w:lang w:val="en-GB"/>
        </w:rPr>
      </w:pPr>
    </w:p>
    <w:p w14:paraId="3C8954F1" w14:textId="77777777" w:rsidR="00EB09A0" w:rsidRPr="003726FE" w:rsidRDefault="00EB09A0"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87"/>
        <w:gridCol w:w="2727"/>
        <w:gridCol w:w="2981"/>
        <w:gridCol w:w="2858"/>
        <w:gridCol w:w="3473"/>
      </w:tblGrid>
      <w:tr w:rsidR="00EB09A0" w:rsidRPr="003726FE" w14:paraId="54561AC6" w14:textId="77777777" w:rsidTr="00EB09A0">
        <w:trPr>
          <w:trHeight w:val="315"/>
        </w:trPr>
        <w:tc>
          <w:tcPr>
            <w:tcW w:w="1564" w:type="dxa"/>
            <w:noWrap/>
            <w:hideMark/>
          </w:tcPr>
          <w:p w14:paraId="2E83B081" w14:textId="77777777" w:rsidR="00EB09A0" w:rsidRPr="003726FE" w:rsidRDefault="00EB09A0" w:rsidP="00910B01">
            <w:pPr>
              <w:pStyle w:val="quoteboxes"/>
              <w:rPr>
                <w:lang w:val="en-GB"/>
              </w:rPr>
            </w:pPr>
          </w:p>
        </w:tc>
        <w:tc>
          <w:tcPr>
            <w:tcW w:w="3109" w:type="dxa"/>
            <w:noWrap/>
            <w:hideMark/>
          </w:tcPr>
          <w:p w14:paraId="0D171364" w14:textId="6905408A" w:rsidR="00EB09A0" w:rsidRPr="003726FE" w:rsidRDefault="00EB09A0" w:rsidP="00910B01">
            <w:pPr>
              <w:pStyle w:val="quoteboxes"/>
              <w:rPr>
                <w:lang w:val="en-GB"/>
              </w:rPr>
            </w:pPr>
            <w:r w:rsidRPr="003726FE">
              <w:rPr>
                <w:lang w:val="en-GB"/>
              </w:rPr>
              <w:t>T</w:t>
            </w:r>
          </w:p>
        </w:tc>
        <w:tc>
          <w:tcPr>
            <w:tcW w:w="3402" w:type="dxa"/>
            <w:noWrap/>
            <w:hideMark/>
          </w:tcPr>
          <w:p w14:paraId="494FA497" w14:textId="0ACB7374" w:rsidR="00EB09A0" w:rsidRPr="003726FE" w:rsidRDefault="00EB09A0" w:rsidP="00910B01">
            <w:pPr>
              <w:pStyle w:val="quoteboxes"/>
              <w:rPr>
                <w:lang w:val="en-GB"/>
              </w:rPr>
            </w:pPr>
            <w:r w:rsidRPr="003726FE">
              <w:rPr>
                <w:lang w:val="en-GB"/>
              </w:rPr>
              <w:t>U</w:t>
            </w:r>
          </w:p>
        </w:tc>
        <w:tc>
          <w:tcPr>
            <w:tcW w:w="3260" w:type="dxa"/>
            <w:noWrap/>
            <w:hideMark/>
          </w:tcPr>
          <w:p w14:paraId="0F6A16B7" w14:textId="674765E5" w:rsidR="00EB09A0" w:rsidRPr="003726FE" w:rsidRDefault="00EB09A0" w:rsidP="00910B01">
            <w:pPr>
              <w:pStyle w:val="quoteboxes"/>
              <w:rPr>
                <w:lang w:val="en-GB"/>
              </w:rPr>
            </w:pPr>
            <w:r w:rsidRPr="003726FE">
              <w:rPr>
                <w:lang w:val="en-GB"/>
              </w:rPr>
              <w:t>V</w:t>
            </w:r>
          </w:p>
        </w:tc>
        <w:tc>
          <w:tcPr>
            <w:tcW w:w="3969" w:type="dxa"/>
            <w:noWrap/>
            <w:hideMark/>
          </w:tcPr>
          <w:p w14:paraId="73F6267F" w14:textId="272B82CC" w:rsidR="00EB09A0" w:rsidRPr="003726FE" w:rsidRDefault="00EB09A0" w:rsidP="00910B01">
            <w:pPr>
              <w:pStyle w:val="quoteboxes"/>
              <w:rPr>
                <w:lang w:val="en-GB"/>
              </w:rPr>
            </w:pPr>
            <w:r w:rsidRPr="003726FE">
              <w:rPr>
                <w:lang w:val="en-GB"/>
              </w:rPr>
              <w:t>W</w:t>
            </w:r>
          </w:p>
        </w:tc>
      </w:tr>
      <w:tr w:rsidR="00EB09A0" w:rsidRPr="003726FE" w14:paraId="353C7B94" w14:textId="77777777" w:rsidTr="00EB09A0">
        <w:trPr>
          <w:trHeight w:val="3064"/>
        </w:trPr>
        <w:tc>
          <w:tcPr>
            <w:tcW w:w="1564" w:type="dxa"/>
            <w:vAlign w:val="center"/>
            <w:hideMark/>
          </w:tcPr>
          <w:p w14:paraId="064DF081" w14:textId="0E4A657C" w:rsidR="00EB09A0" w:rsidRPr="003726FE" w:rsidRDefault="00EB09A0" w:rsidP="00910B01">
            <w:pPr>
              <w:pStyle w:val="quoteboxes"/>
              <w:rPr>
                <w:lang w:val="en-GB"/>
              </w:rPr>
            </w:pPr>
            <w:r w:rsidRPr="003726FE">
              <w:rPr>
                <w:lang w:val="en-GB"/>
              </w:rPr>
              <w:t>4 Learning priorities (related to perceived ILOs)</w:t>
            </w:r>
          </w:p>
        </w:tc>
        <w:tc>
          <w:tcPr>
            <w:tcW w:w="3109" w:type="dxa"/>
            <w:hideMark/>
          </w:tcPr>
          <w:p w14:paraId="77103EC8" w14:textId="2E54E9CA" w:rsidR="00EB09A0" w:rsidRPr="003726FE" w:rsidRDefault="00EB09A0" w:rsidP="00910B01">
            <w:pPr>
              <w:pStyle w:val="quoteboxes"/>
              <w:rPr>
                <w:lang w:val="en-GB"/>
              </w:rPr>
            </w:pPr>
            <w:r w:rsidRPr="003726FE">
              <w:rPr>
                <w:lang w:val="en-GB"/>
              </w:rPr>
              <w:t>G8 - 1: They don’t know what we’re there for and not asked me, they assume we’re a medical student on oncology to learn oncology and cancer. That’s not the way it is, we’re literally there to practice histories and examinations on patients and that’s it.</w:t>
            </w:r>
          </w:p>
        </w:tc>
        <w:tc>
          <w:tcPr>
            <w:tcW w:w="3402" w:type="dxa"/>
            <w:hideMark/>
          </w:tcPr>
          <w:p w14:paraId="45456828" w14:textId="0A99B3F7" w:rsidR="00EB09A0" w:rsidRPr="003726FE" w:rsidRDefault="00EB09A0" w:rsidP="00910B01">
            <w:pPr>
              <w:pStyle w:val="quoteboxes"/>
              <w:rPr>
                <w:lang w:val="en-GB"/>
              </w:rPr>
            </w:pPr>
            <w:r w:rsidRPr="003726FE">
              <w:rPr>
                <w:lang w:val="en-GB"/>
              </w:rPr>
              <w:t>FG1 - BPF Student 8: I find that the feedback we get isn’t necessarily working towards the end goals which is passing our OSCE and writing up our long cases, the feedback we’re getting is “read up more on this condition” or something, and it’s very unrelated the feedback, and what we see as the identifiable outcomes of the year. It’s misaligned.</w:t>
            </w:r>
          </w:p>
        </w:tc>
        <w:tc>
          <w:tcPr>
            <w:tcW w:w="3260" w:type="dxa"/>
            <w:hideMark/>
          </w:tcPr>
          <w:p w14:paraId="12B996C8" w14:textId="4599CC71" w:rsidR="00EB09A0" w:rsidRPr="003726FE" w:rsidRDefault="00EB09A0" w:rsidP="00910B01">
            <w:pPr>
              <w:pStyle w:val="quoteboxes"/>
              <w:rPr>
                <w:lang w:val="en-GB"/>
              </w:rPr>
            </w:pPr>
            <w:r w:rsidRPr="003726FE">
              <w:rPr>
                <w:lang w:val="en-GB"/>
              </w:rPr>
              <w:t>G8 - 1: I like the freedom I have with going and doing my own thing. I don’t know if I need to be at the ward round but I know I need to be there to get my form signed otherwise I won’t get signed off. It’s too much structure, I have my own objectives to fulfil.</w:t>
            </w:r>
          </w:p>
        </w:tc>
        <w:tc>
          <w:tcPr>
            <w:tcW w:w="3969" w:type="dxa"/>
            <w:hideMark/>
          </w:tcPr>
          <w:p w14:paraId="74DA3EBC" w14:textId="3844F05B" w:rsidR="00EB09A0" w:rsidRPr="003726FE" w:rsidRDefault="00EB09A0" w:rsidP="00910B01">
            <w:pPr>
              <w:pStyle w:val="quoteboxes"/>
              <w:rPr>
                <w:lang w:val="en-GB"/>
              </w:rPr>
            </w:pPr>
            <w:r w:rsidRPr="003726FE">
              <w:rPr>
                <w:lang w:val="en-GB"/>
              </w:rPr>
              <w:t xml:space="preserve">G1 - 2:  the quality of feedback I get is really varied, the consultant that I’m under has a good understanding of the course and what this particular placement is about, other doctors don’t, as a result they don’t really know what to tell me or where to tell me to improve because they don’t know what I’m trying to learn. </w:t>
            </w:r>
          </w:p>
        </w:tc>
      </w:tr>
    </w:tbl>
    <w:p w14:paraId="4016364B" w14:textId="77777777" w:rsidR="00EB09A0" w:rsidRPr="003726FE" w:rsidRDefault="00EB09A0" w:rsidP="00910B01">
      <w:pPr>
        <w:pStyle w:val="quoteboxes"/>
        <w:rPr>
          <w:lang w:val="en-GB"/>
        </w:rPr>
      </w:pPr>
    </w:p>
    <w:p w14:paraId="05FF1063" w14:textId="77777777" w:rsidR="00EB09A0" w:rsidRPr="003726FE" w:rsidRDefault="00EB09A0"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298"/>
        <w:gridCol w:w="1974"/>
        <w:gridCol w:w="1445"/>
        <w:gridCol w:w="1656"/>
        <w:gridCol w:w="1702"/>
        <w:gridCol w:w="1560"/>
        <w:gridCol w:w="2126"/>
        <w:gridCol w:w="1665"/>
      </w:tblGrid>
      <w:tr w:rsidR="00EB09A0" w:rsidRPr="003726FE" w14:paraId="0384320D" w14:textId="36B9E00C" w:rsidTr="00042504">
        <w:trPr>
          <w:trHeight w:val="315"/>
        </w:trPr>
        <w:tc>
          <w:tcPr>
            <w:tcW w:w="1298" w:type="dxa"/>
            <w:noWrap/>
            <w:hideMark/>
          </w:tcPr>
          <w:p w14:paraId="063AF978" w14:textId="77777777" w:rsidR="00EB09A0" w:rsidRPr="003726FE" w:rsidRDefault="00EB09A0" w:rsidP="00910B01">
            <w:pPr>
              <w:pStyle w:val="quoteboxes"/>
              <w:rPr>
                <w:szCs w:val="22"/>
                <w:lang w:val="en-GB"/>
              </w:rPr>
            </w:pPr>
          </w:p>
        </w:tc>
        <w:tc>
          <w:tcPr>
            <w:tcW w:w="1974" w:type="dxa"/>
            <w:noWrap/>
            <w:hideMark/>
          </w:tcPr>
          <w:p w14:paraId="1F81195B" w14:textId="77777777" w:rsidR="00EB09A0" w:rsidRPr="003726FE" w:rsidRDefault="00EB09A0" w:rsidP="00910B01">
            <w:pPr>
              <w:pStyle w:val="quoteboxes"/>
              <w:rPr>
                <w:szCs w:val="22"/>
                <w:lang w:val="en-GB"/>
              </w:rPr>
            </w:pPr>
            <w:r w:rsidRPr="003726FE">
              <w:rPr>
                <w:szCs w:val="22"/>
                <w:lang w:val="en-GB"/>
              </w:rPr>
              <w:t>A</w:t>
            </w:r>
          </w:p>
        </w:tc>
        <w:tc>
          <w:tcPr>
            <w:tcW w:w="1445" w:type="dxa"/>
            <w:noWrap/>
            <w:hideMark/>
          </w:tcPr>
          <w:p w14:paraId="36B68AB5" w14:textId="77777777" w:rsidR="00EB09A0" w:rsidRPr="003726FE" w:rsidRDefault="00EB09A0" w:rsidP="00910B01">
            <w:pPr>
              <w:pStyle w:val="quoteboxes"/>
              <w:rPr>
                <w:szCs w:val="22"/>
                <w:lang w:val="en-GB"/>
              </w:rPr>
            </w:pPr>
            <w:r w:rsidRPr="003726FE">
              <w:rPr>
                <w:szCs w:val="22"/>
                <w:lang w:val="en-GB"/>
              </w:rPr>
              <w:t>B</w:t>
            </w:r>
          </w:p>
        </w:tc>
        <w:tc>
          <w:tcPr>
            <w:tcW w:w="1656" w:type="dxa"/>
            <w:noWrap/>
            <w:hideMark/>
          </w:tcPr>
          <w:p w14:paraId="13F402A5" w14:textId="77777777" w:rsidR="00EB09A0" w:rsidRPr="003726FE" w:rsidRDefault="00EB09A0" w:rsidP="00910B01">
            <w:pPr>
              <w:pStyle w:val="quoteboxes"/>
              <w:rPr>
                <w:szCs w:val="22"/>
                <w:lang w:val="en-GB"/>
              </w:rPr>
            </w:pPr>
            <w:r w:rsidRPr="003726FE">
              <w:rPr>
                <w:szCs w:val="22"/>
                <w:lang w:val="en-GB"/>
              </w:rPr>
              <w:t>C</w:t>
            </w:r>
          </w:p>
        </w:tc>
        <w:tc>
          <w:tcPr>
            <w:tcW w:w="1702" w:type="dxa"/>
            <w:noWrap/>
            <w:hideMark/>
          </w:tcPr>
          <w:p w14:paraId="131632F6" w14:textId="77777777" w:rsidR="00EB09A0" w:rsidRPr="003726FE" w:rsidRDefault="00EB09A0" w:rsidP="00910B01">
            <w:pPr>
              <w:pStyle w:val="quoteboxes"/>
              <w:rPr>
                <w:szCs w:val="22"/>
                <w:lang w:val="en-GB"/>
              </w:rPr>
            </w:pPr>
            <w:r w:rsidRPr="003726FE">
              <w:rPr>
                <w:szCs w:val="22"/>
                <w:lang w:val="en-GB"/>
              </w:rPr>
              <w:t>D</w:t>
            </w:r>
          </w:p>
        </w:tc>
        <w:tc>
          <w:tcPr>
            <w:tcW w:w="1560" w:type="dxa"/>
            <w:noWrap/>
            <w:hideMark/>
          </w:tcPr>
          <w:p w14:paraId="55ADB1A0" w14:textId="77777777" w:rsidR="00EB09A0" w:rsidRPr="003726FE" w:rsidRDefault="00EB09A0" w:rsidP="00910B01">
            <w:pPr>
              <w:pStyle w:val="quoteboxes"/>
              <w:rPr>
                <w:szCs w:val="22"/>
                <w:lang w:val="en-GB"/>
              </w:rPr>
            </w:pPr>
            <w:r w:rsidRPr="003726FE">
              <w:rPr>
                <w:szCs w:val="22"/>
                <w:lang w:val="en-GB"/>
              </w:rPr>
              <w:t>E</w:t>
            </w:r>
          </w:p>
        </w:tc>
        <w:tc>
          <w:tcPr>
            <w:tcW w:w="2126" w:type="dxa"/>
          </w:tcPr>
          <w:p w14:paraId="102A9A0B" w14:textId="27EF6122" w:rsidR="00EB09A0" w:rsidRPr="003726FE" w:rsidRDefault="00EB09A0" w:rsidP="00910B01">
            <w:pPr>
              <w:pStyle w:val="quoteboxes"/>
              <w:rPr>
                <w:szCs w:val="22"/>
                <w:lang w:val="en-GB"/>
              </w:rPr>
            </w:pPr>
            <w:r w:rsidRPr="003726FE">
              <w:rPr>
                <w:szCs w:val="22"/>
                <w:lang w:val="en-GB"/>
              </w:rPr>
              <w:t>F</w:t>
            </w:r>
          </w:p>
        </w:tc>
        <w:tc>
          <w:tcPr>
            <w:tcW w:w="1665" w:type="dxa"/>
          </w:tcPr>
          <w:p w14:paraId="13D50FCB" w14:textId="256E12F2" w:rsidR="00EB09A0" w:rsidRPr="003726FE" w:rsidRDefault="00EB09A0" w:rsidP="00910B01">
            <w:pPr>
              <w:pStyle w:val="quoteboxes"/>
              <w:rPr>
                <w:szCs w:val="22"/>
                <w:lang w:val="en-GB"/>
              </w:rPr>
            </w:pPr>
            <w:r w:rsidRPr="003726FE">
              <w:rPr>
                <w:szCs w:val="22"/>
                <w:lang w:val="en-GB"/>
              </w:rPr>
              <w:t>G</w:t>
            </w:r>
          </w:p>
        </w:tc>
      </w:tr>
      <w:tr w:rsidR="00EB09A0" w:rsidRPr="003726FE" w14:paraId="47050C29" w14:textId="6FCB93A5" w:rsidTr="00042504">
        <w:trPr>
          <w:trHeight w:val="4365"/>
        </w:trPr>
        <w:tc>
          <w:tcPr>
            <w:tcW w:w="1298" w:type="dxa"/>
            <w:vAlign w:val="center"/>
            <w:hideMark/>
          </w:tcPr>
          <w:p w14:paraId="0180D7EC" w14:textId="57940576" w:rsidR="00EB09A0" w:rsidRPr="003726FE" w:rsidRDefault="00EB09A0" w:rsidP="00910B01">
            <w:pPr>
              <w:pStyle w:val="quoteboxes"/>
              <w:rPr>
                <w:szCs w:val="22"/>
                <w:lang w:val="en-GB"/>
              </w:rPr>
            </w:pPr>
            <w:r w:rsidRPr="003726FE">
              <w:rPr>
                <w:szCs w:val="22"/>
                <w:lang w:val="en-GB"/>
              </w:rPr>
              <w:t>5 Personal and professional progression</w:t>
            </w:r>
          </w:p>
        </w:tc>
        <w:tc>
          <w:tcPr>
            <w:tcW w:w="1974" w:type="dxa"/>
            <w:hideMark/>
          </w:tcPr>
          <w:p w14:paraId="46E818E1" w14:textId="64A255BC" w:rsidR="00EB09A0" w:rsidRPr="003726FE" w:rsidRDefault="00EB09A0" w:rsidP="00910B01">
            <w:pPr>
              <w:pStyle w:val="quoteboxes"/>
              <w:rPr>
                <w:szCs w:val="22"/>
                <w:lang w:val="en-GB"/>
              </w:rPr>
            </w:pPr>
            <w:r w:rsidRPr="003726FE">
              <w:rPr>
                <w:szCs w:val="22"/>
                <w:lang w:val="en-GB"/>
              </w:rPr>
              <w:t xml:space="preserve">G2 - 1: the consultant has been in medicine for 30 years plus and they were taught a different way and they have adapted their way of doing it which is all well and good for them but at this stage I should be doing it the med school way. If they said “do it this way instead” I wouldn’t say “no” to them, you have to humour them and ignore them a bit because at this stage I don’t know enough to go off the prescribed way of doing the skills. </w:t>
            </w:r>
          </w:p>
        </w:tc>
        <w:tc>
          <w:tcPr>
            <w:tcW w:w="1445" w:type="dxa"/>
            <w:hideMark/>
          </w:tcPr>
          <w:p w14:paraId="510F46A8" w14:textId="42BFED48" w:rsidR="00EB09A0" w:rsidRPr="003726FE" w:rsidRDefault="00EB09A0" w:rsidP="00910B01">
            <w:pPr>
              <w:pStyle w:val="quoteboxes"/>
              <w:rPr>
                <w:szCs w:val="22"/>
                <w:lang w:val="en-GB"/>
              </w:rPr>
            </w:pPr>
            <w:r w:rsidRPr="003726FE">
              <w:rPr>
                <w:szCs w:val="22"/>
                <w:lang w:val="en-GB"/>
              </w:rPr>
              <w:t>G1 - 2: I notice myself remembering more and more, needing less prompting throughout my examinations, that’s really nice because I can see myself improving, that’s just coming from lots of practice.</w:t>
            </w:r>
          </w:p>
        </w:tc>
        <w:tc>
          <w:tcPr>
            <w:tcW w:w="1656" w:type="dxa"/>
            <w:hideMark/>
          </w:tcPr>
          <w:p w14:paraId="521674F2" w14:textId="57FEB0C8" w:rsidR="00EB09A0" w:rsidRPr="003726FE" w:rsidRDefault="00EB09A0" w:rsidP="00910B01">
            <w:pPr>
              <w:pStyle w:val="quoteboxes"/>
              <w:rPr>
                <w:szCs w:val="22"/>
                <w:lang w:val="en-GB"/>
              </w:rPr>
            </w:pPr>
            <w:r w:rsidRPr="003726FE">
              <w:rPr>
                <w:szCs w:val="22"/>
                <w:lang w:val="en-GB"/>
              </w:rPr>
              <w:t>G2 - 1: we used to go in pairs but I go on my own now because I have the confidence to go to patients and it’s nice to be one on one with patients and less intimidating for them. When we’re on the wards and speaking to them on our own we would meet up to discuss sometimes. It’s easier to do it on your own and you get more out of the patient.</w:t>
            </w:r>
          </w:p>
        </w:tc>
        <w:tc>
          <w:tcPr>
            <w:tcW w:w="1702" w:type="dxa"/>
            <w:hideMark/>
          </w:tcPr>
          <w:p w14:paraId="4291408E" w14:textId="60D0C963" w:rsidR="00EB09A0" w:rsidRPr="003726FE" w:rsidRDefault="00EB09A0" w:rsidP="00910B01">
            <w:pPr>
              <w:pStyle w:val="quoteboxes"/>
              <w:rPr>
                <w:szCs w:val="22"/>
                <w:lang w:val="en-GB"/>
              </w:rPr>
            </w:pPr>
            <w:r w:rsidRPr="003726FE">
              <w:rPr>
                <w:szCs w:val="22"/>
                <w:lang w:val="en-GB"/>
              </w:rPr>
              <w:t>G4 - 2: it makes me feel better, it really does. It makes me feel like “yeah one day I’ll be like that” and that’s good that I’m getting praise from them, I’m moving step by step closer to their level.</w:t>
            </w:r>
          </w:p>
        </w:tc>
        <w:tc>
          <w:tcPr>
            <w:tcW w:w="1560" w:type="dxa"/>
            <w:hideMark/>
          </w:tcPr>
          <w:p w14:paraId="59665CDA" w14:textId="44CAC7E9" w:rsidR="00EB09A0" w:rsidRPr="003726FE" w:rsidRDefault="00EB09A0" w:rsidP="00910B01">
            <w:pPr>
              <w:pStyle w:val="quoteboxes"/>
              <w:rPr>
                <w:szCs w:val="22"/>
                <w:lang w:val="en-GB"/>
              </w:rPr>
            </w:pPr>
            <w:r w:rsidRPr="003726FE">
              <w:rPr>
                <w:szCs w:val="22"/>
                <w:lang w:val="en-GB"/>
              </w:rPr>
              <w:t>FG6 - BPF Student 2: it’s different. The first two years is just “how can I learn this better? How can I understand more things?” but now in our clinical years, it’s more like “how can I function better with the team? How do I be more efficient when I’m working with the team?” how do I help the patient better?” it’s gone from academic to a more holistic professional mind-set.</w:t>
            </w:r>
          </w:p>
        </w:tc>
        <w:tc>
          <w:tcPr>
            <w:tcW w:w="2126" w:type="dxa"/>
          </w:tcPr>
          <w:p w14:paraId="1A03E5E7" w14:textId="32641388" w:rsidR="00EB09A0" w:rsidRPr="003726FE" w:rsidRDefault="00EB09A0" w:rsidP="00910B01">
            <w:pPr>
              <w:pStyle w:val="quoteboxes"/>
              <w:rPr>
                <w:szCs w:val="22"/>
                <w:lang w:val="en-GB"/>
              </w:rPr>
            </w:pPr>
            <w:r w:rsidRPr="003726FE">
              <w:rPr>
                <w:szCs w:val="22"/>
                <w:lang w:val="en-GB"/>
              </w:rPr>
              <w:t>FG1 - BPF Student 7: you just go through the motions over the first couple of years because it’s only lectures, nothing really, revising for exams, nothing new except the information. But now we’re starting to do stuff we’ve never done before like going around the wards and stuff so now it’s getting real. You start to pay attention more and become less passive and more active in your own learning.</w:t>
            </w:r>
            <w:r w:rsidRPr="003726FE">
              <w:rPr>
                <w:szCs w:val="22"/>
                <w:lang w:val="en-GB"/>
              </w:rPr>
              <w:br/>
              <w:t>Student 5: I want to be there every day whereas if I turned up to a lecture I could just sit there and then not listen or be in your own world. Here’ you’ve got to be active every day.</w:t>
            </w:r>
          </w:p>
        </w:tc>
        <w:tc>
          <w:tcPr>
            <w:tcW w:w="1665" w:type="dxa"/>
          </w:tcPr>
          <w:p w14:paraId="6FEC03EB" w14:textId="444E12BC" w:rsidR="00EB09A0" w:rsidRPr="003726FE" w:rsidRDefault="00EB09A0" w:rsidP="00910B01">
            <w:pPr>
              <w:pStyle w:val="quoteboxes"/>
              <w:rPr>
                <w:szCs w:val="22"/>
                <w:lang w:val="en-GB"/>
              </w:rPr>
            </w:pPr>
            <w:r w:rsidRPr="003726FE">
              <w:rPr>
                <w:szCs w:val="22"/>
                <w:lang w:val="en-GB"/>
              </w:rPr>
              <w:t>FG5 - SRLF Student 5: you actually need this feedback at the moment, you really do need it to be a doctor</w:t>
            </w:r>
            <w:r w:rsidRPr="003726FE">
              <w:rPr>
                <w:szCs w:val="22"/>
                <w:lang w:val="en-GB"/>
              </w:rPr>
              <w:br/>
              <w:t>Student 1: yeah you’re happier to accept negative feedback, at the start of medical school you just don’t want people to tell you that you aren’t rubbish</w:t>
            </w:r>
            <w:r w:rsidRPr="003726FE">
              <w:rPr>
                <w:szCs w:val="22"/>
                <w:lang w:val="en-GB"/>
              </w:rPr>
              <w:br/>
              <w:t>Student 4: you need the confidence, but now… we’re all high achievers and we’re not going to be the best anymore but we need feedback to improve.</w:t>
            </w:r>
          </w:p>
        </w:tc>
      </w:tr>
    </w:tbl>
    <w:p w14:paraId="570BD691" w14:textId="77777777" w:rsidR="00EB09A0" w:rsidRPr="003726FE" w:rsidRDefault="00EB09A0" w:rsidP="00910B01">
      <w:pPr>
        <w:pStyle w:val="quoteboxes"/>
        <w:rPr>
          <w:lang w:val="en-GB"/>
        </w:rPr>
      </w:pPr>
    </w:p>
    <w:p w14:paraId="58086297" w14:textId="77777777" w:rsidR="00EB09A0" w:rsidRPr="003726FE" w:rsidRDefault="00EB09A0" w:rsidP="00910B01">
      <w:pPr>
        <w:pStyle w:val="quoteboxes"/>
        <w:rPr>
          <w:lang w:val="en-GB"/>
        </w:rPr>
      </w:pPr>
      <w:r w:rsidRPr="003726FE">
        <w:rPr>
          <w:lang w:val="en-GB"/>
        </w:rPr>
        <w:br w:type="page"/>
      </w:r>
    </w:p>
    <w:tbl>
      <w:tblPr>
        <w:tblStyle w:val="TableGrid"/>
        <w:tblW w:w="13178" w:type="dxa"/>
        <w:tblLook w:val="04A0" w:firstRow="1" w:lastRow="0" w:firstColumn="1" w:lastColumn="0" w:noHBand="0" w:noVBand="1"/>
      </w:tblPr>
      <w:tblGrid>
        <w:gridCol w:w="1564"/>
        <w:gridCol w:w="2826"/>
        <w:gridCol w:w="2976"/>
        <w:gridCol w:w="5812"/>
      </w:tblGrid>
      <w:tr w:rsidR="00EB09A0" w:rsidRPr="003726FE" w14:paraId="09C8BEAD" w14:textId="77777777" w:rsidTr="00042504">
        <w:trPr>
          <w:trHeight w:val="315"/>
        </w:trPr>
        <w:tc>
          <w:tcPr>
            <w:tcW w:w="1564" w:type="dxa"/>
            <w:noWrap/>
            <w:hideMark/>
          </w:tcPr>
          <w:p w14:paraId="72A012C4" w14:textId="77777777" w:rsidR="00EB09A0" w:rsidRPr="003726FE" w:rsidRDefault="00EB09A0" w:rsidP="00910B01">
            <w:pPr>
              <w:pStyle w:val="quoteboxes"/>
              <w:rPr>
                <w:sz w:val="20"/>
                <w:lang w:val="en-GB"/>
              </w:rPr>
            </w:pPr>
          </w:p>
        </w:tc>
        <w:tc>
          <w:tcPr>
            <w:tcW w:w="2826" w:type="dxa"/>
            <w:noWrap/>
            <w:hideMark/>
          </w:tcPr>
          <w:p w14:paraId="01FCD8ED" w14:textId="6C5620D6" w:rsidR="00EB09A0" w:rsidRPr="003726FE" w:rsidRDefault="00EB09A0" w:rsidP="00910B01">
            <w:pPr>
              <w:pStyle w:val="quoteboxes"/>
              <w:rPr>
                <w:sz w:val="20"/>
                <w:lang w:val="en-GB"/>
              </w:rPr>
            </w:pPr>
            <w:r w:rsidRPr="003726FE">
              <w:rPr>
                <w:sz w:val="20"/>
                <w:lang w:val="en-GB"/>
              </w:rPr>
              <w:t>H</w:t>
            </w:r>
          </w:p>
        </w:tc>
        <w:tc>
          <w:tcPr>
            <w:tcW w:w="2976" w:type="dxa"/>
            <w:noWrap/>
            <w:hideMark/>
          </w:tcPr>
          <w:p w14:paraId="5C1AA8FA" w14:textId="2FB469E8" w:rsidR="00EB09A0" w:rsidRPr="003726FE" w:rsidRDefault="00EB09A0" w:rsidP="00910B01">
            <w:pPr>
              <w:pStyle w:val="quoteboxes"/>
              <w:rPr>
                <w:sz w:val="20"/>
                <w:lang w:val="en-GB"/>
              </w:rPr>
            </w:pPr>
            <w:r w:rsidRPr="003726FE">
              <w:rPr>
                <w:sz w:val="20"/>
                <w:lang w:val="en-GB"/>
              </w:rPr>
              <w:t>I</w:t>
            </w:r>
          </w:p>
        </w:tc>
        <w:tc>
          <w:tcPr>
            <w:tcW w:w="5812" w:type="dxa"/>
            <w:noWrap/>
            <w:hideMark/>
          </w:tcPr>
          <w:p w14:paraId="05D17776" w14:textId="054EA3DE" w:rsidR="00EB09A0" w:rsidRPr="003726FE" w:rsidRDefault="00EB09A0" w:rsidP="00910B01">
            <w:pPr>
              <w:pStyle w:val="quoteboxes"/>
              <w:rPr>
                <w:sz w:val="20"/>
                <w:lang w:val="en-GB"/>
              </w:rPr>
            </w:pPr>
            <w:r w:rsidRPr="003726FE">
              <w:rPr>
                <w:sz w:val="20"/>
                <w:lang w:val="en-GB"/>
              </w:rPr>
              <w:t>J</w:t>
            </w:r>
          </w:p>
        </w:tc>
      </w:tr>
      <w:tr w:rsidR="00EB09A0" w:rsidRPr="003726FE" w14:paraId="5D753D8B" w14:textId="77777777" w:rsidTr="00042504">
        <w:trPr>
          <w:trHeight w:val="4365"/>
        </w:trPr>
        <w:tc>
          <w:tcPr>
            <w:tcW w:w="1564" w:type="dxa"/>
            <w:vAlign w:val="center"/>
            <w:hideMark/>
          </w:tcPr>
          <w:p w14:paraId="7547A2B9" w14:textId="6F554322" w:rsidR="00EB09A0" w:rsidRPr="003726FE" w:rsidRDefault="00EB09A0" w:rsidP="00910B01">
            <w:pPr>
              <w:pStyle w:val="quoteboxes"/>
              <w:rPr>
                <w:sz w:val="20"/>
                <w:lang w:val="en-GB"/>
              </w:rPr>
            </w:pPr>
            <w:r w:rsidRPr="003726FE">
              <w:rPr>
                <w:sz w:val="20"/>
                <w:lang w:val="en-GB"/>
              </w:rPr>
              <w:t>5 Personal and professional progression</w:t>
            </w:r>
          </w:p>
        </w:tc>
        <w:tc>
          <w:tcPr>
            <w:tcW w:w="2826" w:type="dxa"/>
            <w:hideMark/>
          </w:tcPr>
          <w:p w14:paraId="583A9608" w14:textId="272ED925" w:rsidR="00EB09A0" w:rsidRPr="003726FE" w:rsidRDefault="00EB09A0" w:rsidP="00910B01">
            <w:pPr>
              <w:pStyle w:val="quoteboxes"/>
              <w:rPr>
                <w:sz w:val="20"/>
                <w:lang w:val="en-GB"/>
              </w:rPr>
            </w:pPr>
            <w:r w:rsidRPr="003726FE">
              <w:rPr>
                <w:sz w:val="20"/>
                <w:lang w:val="en-GB"/>
              </w:rPr>
              <w:t>G8 - 2: I just put it in different places. I’d still take note of their feedback if a consultant tells me to do a specific thing I note it down like I do with everything on placement, I can read those back, I do have to take things with a pinch of salt, have a good idea of what I need to do. Some people get feedback from consultants and think they need to learn ridiculous things from loads of books. Whereas if I know what I need to do I can use the feedback and categorise as something I need to know now or write it down for later.</w:t>
            </w:r>
          </w:p>
        </w:tc>
        <w:tc>
          <w:tcPr>
            <w:tcW w:w="2976" w:type="dxa"/>
            <w:hideMark/>
          </w:tcPr>
          <w:p w14:paraId="5A9A9070" w14:textId="49518EA3" w:rsidR="00EB09A0" w:rsidRPr="003726FE" w:rsidRDefault="00EB09A0" w:rsidP="00910B01">
            <w:pPr>
              <w:pStyle w:val="quoteboxes"/>
              <w:rPr>
                <w:sz w:val="20"/>
                <w:lang w:val="en-GB"/>
              </w:rPr>
            </w:pPr>
            <w:r w:rsidRPr="003726FE">
              <w:rPr>
                <w:sz w:val="20"/>
                <w:lang w:val="en-GB"/>
              </w:rPr>
              <w:t>G4 - 1: During the summer I did the ethics case but now all the submissions are done it’s just preparing for the OSCEs which is a bit of a vague task. There’s no actual concrete way to be able to track my progress really</w:t>
            </w:r>
            <w:r w:rsidR="00AD67A0" w:rsidRPr="003726FE">
              <w:rPr>
                <w:sz w:val="20"/>
                <w:lang w:val="en-GB"/>
              </w:rPr>
              <w:t>.</w:t>
            </w:r>
          </w:p>
        </w:tc>
        <w:tc>
          <w:tcPr>
            <w:tcW w:w="5812" w:type="dxa"/>
            <w:hideMark/>
          </w:tcPr>
          <w:p w14:paraId="76A4093A" w14:textId="59B9D5F2" w:rsidR="00EB09A0" w:rsidRPr="003726FE" w:rsidRDefault="00EB09A0" w:rsidP="00910B01">
            <w:pPr>
              <w:pStyle w:val="quoteboxes"/>
              <w:rPr>
                <w:sz w:val="20"/>
                <w:lang w:val="en-GB"/>
              </w:rPr>
            </w:pPr>
            <w:r w:rsidRPr="003726FE">
              <w:rPr>
                <w:sz w:val="20"/>
                <w:lang w:val="en-GB"/>
              </w:rPr>
              <w:t>G4 - 2: I write down what I see, not just “I took bloods today or whatever” it’s more just if I’ve seen a case that’s interesting or I’ve seen a new procedure or if I’ve been given feedback a different way ill note it down and I think gives me an idea of how I’m progressing in that way</w:t>
            </w:r>
            <w:r w:rsidR="00AD67A0" w:rsidRPr="003726FE">
              <w:rPr>
                <w:sz w:val="20"/>
                <w:lang w:val="en-GB"/>
              </w:rPr>
              <w:t>.</w:t>
            </w:r>
          </w:p>
        </w:tc>
      </w:tr>
    </w:tbl>
    <w:p w14:paraId="3AB4403B" w14:textId="77777777" w:rsidR="00AD67A0" w:rsidRPr="003726FE" w:rsidRDefault="00AD67A0" w:rsidP="00910B01">
      <w:pPr>
        <w:pStyle w:val="quoteboxes"/>
        <w:rPr>
          <w:lang w:val="en-GB"/>
        </w:rPr>
      </w:pPr>
    </w:p>
    <w:p w14:paraId="13AECB7F" w14:textId="77777777" w:rsidR="00AD67A0" w:rsidRPr="003726FE" w:rsidRDefault="00AD67A0" w:rsidP="00910B01">
      <w:pPr>
        <w:pStyle w:val="quoteboxes"/>
        <w:rPr>
          <w:lang w:val="en-GB"/>
        </w:rPr>
      </w:pPr>
      <w:r w:rsidRPr="003726FE">
        <w:rPr>
          <w:lang w:val="en-GB"/>
        </w:rPr>
        <w:br w:type="page"/>
      </w:r>
    </w:p>
    <w:tbl>
      <w:tblPr>
        <w:tblStyle w:val="TableGrid"/>
        <w:tblpPr w:leftFromText="180" w:rightFromText="180" w:horzAnchor="margin" w:tblpY="465"/>
        <w:tblW w:w="0" w:type="auto"/>
        <w:tblLook w:val="04A0" w:firstRow="1" w:lastRow="0" w:firstColumn="1" w:lastColumn="0" w:noHBand="0" w:noVBand="1"/>
      </w:tblPr>
      <w:tblGrid>
        <w:gridCol w:w="1262"/>
        <w:gridCol w:w="1706"/>
        <w:gridCol w:w="1420"/>
        <w:gridCol w:w="1561"/>
        <w:gridCol w:w="1559"/>
        <w:gridCol w:w="2268"/>
        <w:gridCol w:w="1843"/>
        <w:gridCol w:w="1807"/>
      </w:tblGrid>
      <w:tr w:rsidR="00AD67A0" w:rsidRPr="003726FE" w14:paraId="4B4DD685" w14:textId="10D2B53E" w:rsidTr="00042504">
        <w:trPr>
          <w:trHeight w:val="315"/>
        </w:trPr>
        <w:tc>
          <w:tcPr>
            <w:tcW w:w="1262" w:type="dxa"/>
            <w:noWrap/>
            <w:hideMark/>
          </w:tcPr>
          <w:p w14:paraId="6DA90E5C" w14:textId="77777777" w:rsidR="00AD67A0" w:rsidRPr="003726FE" w:rsidRDefault="00AD67A0" w:rsidP="00910B01">
            <w:pPr>
              <w:pStyle w:val="quoteboxes"/>
              <w:rPr>
                <w:sz w:val="20"/>
                <w:lang w:val="en-GB"/>
              </w:rPr>
            </w:pPr>
          </w:p>
        </w:tc>
        <w:tc>
          <w:tcPr>
            <w:tcW w:w="1706" w:type="dxa"/>
            <w:noWrap/>
            <w:hideMark/>
          </w:tcPr>
          <w:p w14:paraId="0998D9B5" w14:textId="77777777" w:rsidR="00AD67A0" w:rsidRPr="003726FE" w:rsidRDefault="00AD67A0" w:rsidP="00910B01">
            <w:pPr>
              <w:pStyle w:val="quoteboxes"/>
              <w:rPr>
                <w:sz w:val="20"/>
                <w:lang w:val="en-GB"/>
              </w:rPr>
            </w:pPr>
            <w:r w:rsidRPr="003726FE">
              <w:rPr>
                <w:sz w:val="20"/>
                <w:lang w:val="en-GB"/>
              </w:rPr>
              <w:t>A</w:t>
            </w:r>
          </w:p>
        </w:tc>
        <w:tc>
          <w:tcPr>
            <w:tcW w:w="1420" w:type="dxa"/>
            <w:noWrap/>
            <w:hideMark/>
          </w:tcPr>
          <w:p w14:paraId="47E4B903" w14:textId="77777777" w:rsidR="00AD67A0" w:rsidRPr="003726FE" w:rsidRDefault="00AD67A0" w:rsidP="00910B01">
            <w:pPr>
              <w:pStyle w:val="quoteboxes"/>
              <w:rPr>
                <w:sz w:val="20"/>
                <w:lang w:val="en-GB"/>
              </w:rPr>
            </w:pPr>
            <w:r w:rsidRPr="003726FE">
              <w:rPr>
                <w:sz w:val="20"/>
                <w:lang w:val="en-GB"/>
              </w:rPr>
              <w:t>B</w:t>
            </w:r>
          </w:p>
        </w:tc>
        <w:tc>
          <w:tcPr>
            <w:tcW w:w="1561" w:type="dxa"/>
            <w:noWrap/>
            <w:hideMark/>
          </w:tcPr>
          <w:p w14:paraId="2C9A9423" w14:textId="77777777" w:rsidR="00AD67A0" w:rsidRPr="003726FE" w:rsidRDefault="00AD67A0" w:rsidP="00910B01">
            <w:pPr>
              <w:pStyle w:val="quoteboxes"/>
              <w:rPr>
                <w:sz w:val="20"/>
                <w:lang w:val="en-GB"/>
              </w:rPr>
            </w:pPr>
            <w:r w:rsidRPr="003726FE">
              <w:rPr>
                <w:sz w:val="20"/>
                <w:lang w:val="en-GB"/>
              </w:rPr>
              <w:t>C</w:t>
            </w:r>
          </w:p>
        </w:tc>
        <w:tc>
          <w:tcPr>
            <w:tcW w:w="1559" w:type="dxa"/>
            <w:noWrap/>
            <w:hideMark/>
          </w:tcPr>
          <w:p w14:paraId="4131D9B5" w14:textId="77777777" w:rsidR="00AD67A0" w:rsidRPr="003726FE" w:rsidRDefault="00AD67A0" w:rsidP="00910B01">
            <w:pPr>
              <w:pStyle w:val="quoteboxes"/>
              <w:rPr>
                <w:sz w:val="20"/>
                <w:lang w:val="en-GB"/>
              </w:rPr>
            </w:pPr>
            <w:r w:rsidRPr="003726FE">
              <w:rPr>
                <w:sz w:val="20"/>
                <w:lang w:val="en-GB"/>
              </w:rPr>
              <w:t>D</w:t>
            </w:r>
          </w:p>
        </w:tc>
        <w:tc>
          <w:tcPr>
            <w:tcW w:w="2268" w:type="dxa"/>
            <w:noWrap/>
            <w:hideMark/>
          </w:tcPr>
          <w:p w14:paraId="3079CA2C" w14:textId="77777777" w:rsidR="00AD67A0" w:rsidRPr="003726FE" w:rsidRDefault="00AD67A0" w:rsidP="00910B01">
            <w:pPr>
              <w:pStyle w:val="quoteboxes"/>
              <w:rPr>
                <w:sz w:val="20"/>
                <w:lang w:val="en-GB"/>
              </w:rPr>
            </w:pPr>
            <w:r w:rsidRPr="003726FE">
              <w:rPr>
                <w:sz w:val="20"/>
                <w:lang w:val="en-GB"/>
              </w:rPr>
              <w:t>E</w:t>
            </w:r>
          </w:p>
        </w:tc>
        <w:tc>
          <w:tcPr>
            <w:tcW w:w="1843" w:type="dxa"/>
          </w:tcPr>
          <w:p w14:paraId="76E1B9BA" w14:textId="4AAF01FE" w:rsidR="00AD67A0" w:rsidRPr="003726FE" w:rsidRDefault="00AD67A0" w:rsidP="00910B01">
            <w:pPr>
              <w:pStyle w:val="quoteboxes"/>
              <w:rPr>
                <w:sz w:val="20"/>
                <w:lang w:val="en-GB"/>
              </w:rPr>
            </w:pPr>
            <w:r w:rsidRPr="003726FE">
              <w:rPr>
                <w:sz w:val="20"/>
                <w:lang w:val="en-GB"/>
              </w:rPr>
              <w:t>F</w:t>
            </w:r>
          </w:p>
        </w:tc>
        <w:tc>
          <w:tcPr>
            <w:tcW w:w="1807" w:type="dxa"/>
          </w:tcPr>
          <w:p w14:paraId="7E7FCF08" w14:textId="36EC46AA" w:rsidR="00AD67A0" w:rsidRPr="003726FE" w:rsidRDefault="00AD67A0" w:rsidP="00910B01">
            <w:pPr>
              <w:pStyle w:val="quoteboxes"/>
              <w:rPr>
                <w:sz w:val="20"/>
                <w:lang w:val="en-GB"/>
              </w:rPr>
            </w:pPr>
            <w:r w:rsidRPr="003726FE">
              <w:rPr>
                <w:sz w:val="20"/>
                <w:lang w:val="en-GB"/>
              </w:rPr>
              <w:t>G</w:t>
            </w:r>
          </w:p>
        </w:tc>
      </w:tr>
      <w:tr w:rsidR="00AD67A0" w:rsidRPr="003726FE" w14:paraId="4E64FC05" w14:textId="08365900" w:rsidTr="00042504">
        <w:trPr>
          <w:trHeight w:val="4365"/>
        </w:trPr>
        <w:tc>
          <w:tcPr>
            <w:tcW w:w="1262" w:type="dxa"/>
            <w:vAlign w:val="center"/>
            <w:hideMark/>
          </w:tcPr>
          <w:p w14:paraId="042B92AC" w14:textId="4B45C869" w:rsidR="00AD67A0" w:rsidRPr="003726FE" w:rsidRDefault="00AD67A0" w:rsidP="00910B01">
            <w:pPr>
              <w:pStyle w:val="quoteboxes"/>
              <w:rPr>
                <w:sz w:val="20"/>
                <w:lang w:val="en-GB"/>
              </w:rPr>
            </w:pPr>
            <w:r w:rsidRPr="003726FE">
              <w:rPr>
                <w:sz w:val="20"/>
                <w:lang w:val="en-GB"/>
              </w:rPr>
              <w:t>6 Supportive</w:t>
            </w:r>
          </w:p>
        </w:tc>
        <w:tc>
          <w:tcPr>
            <w:tcW w:w="1706" w:type="dxa"/>
            <w:hideMark/>
          </w:tcPr>
          <w:p w14:paraId="16A6889C" w14:textId="2812330C" w:rsidR="00AD67A0" w:rsidRPr="003726FE" w:rsidRDefault="00AD67A0" w:rsidP="00910B01">
            <w:pPr>
              <w:pStyle w:val="quoteboxes"/>
              <w:rPr>
                <w:sz w:val="20"/>
                <w:lang w:val="en-GB"/>
              </w:rPr>
            </w:pPr>
            <w:r w:rsidRPr="003726FE">
              <w:rPr>
                <w:sz w:val="20"/>
                <w:lang w:val="en-GB"/>
              </w:rPr>
              <w:t>FG4 - SRLF Student 1: we’ve had a good consultant. He spends time with us everywhere, he goes through patients with us, shows us chest x-rays and asks us questions like “I wouldn’t expect you to know this but can you guess?” that kind of thing Student 2: he’s been amazing. He always encourages you and that you’re part of the team, not a spare part which is different. Student 3: makes you feel valued rather than feeling like a sheep hiding in the corner. Trying to stay out of the way.</w:t>
            </w:r>
          </w:p>
        </w:tc>
        <w:tc>
          <w:tcPr>
            <w:tcW w:w="1420" w:type="dxa"/>
            <w:hideMark/>
          </w:tcPr>
          <w:p w14:paraId="0DD37E06" w14:textId="07C74FF8" w:rsidR="00AD67A0" w:rsidRPr="003726FE" w:rsidRDefault="00AD67A0" w:rsidP="00910B01">
            <w:pPr>
              <w:pStyle w:val="quoteboxes"/>
              <w:rPr>
                <w:sz w:val="20"/>
                <w:lang w:val="en-GB"/>
              </w:rPr>
            </w:pPr>
            <w:r w:rsidRPr="003726FE">
              <w:rPr>
                <w:sz w:val="20"/>
                <w:lang w:val="en-GB"/>
              </w:rPr>
              <w:t xml:space="preserve">G1 - 1: Some people genuinely enjoy teaching and developing people’s knowledge. Some people don’t have time or don’t enjoy it, luckily he does. If we spent these three weeks and didn’t learn a think he wouldn’t lose any sleep but while we’re there we’re keen and he’s keen to teach us. </w:t>
            </w:r>
          </w:p>
        </w:tc>
        <w:tc>
          <w:tcPr>
            <w:tcW w:w="1561" w:type="dxa"/>
            <w:hideMark/>
          </w:tcPr>
          <w:p w14:paraId="05966C3F" w14:textId="0453815D" w:rsidR="00AD67A0" w:rsidRPr="003726FE" w:rsidRDefault="00AD67A0" w:rsidP="00910B01">
            <w:pPr>
              <w:pStyle w:val="quoteboxes"/>
              <w:rPr>
                <w:sz w:val="20"/>
                <w:lang w:val="en-GB"/>
              </w:rPr>
            </w:pPr>
            <w:r w:rsidRPr="003726FE">
              <w:rPr>
                <w:sz w:val="20"/>
                <w:lang w:val="en-GB"/>
              </w:rPr>
              <w:t>G2 - 1: if they’ve spent some time with me and know how I think they can give more personalised feedback rather than generic med school student feedback, that’s always useful, rather than spending 5 minutes on ward round with them or a two hour clinic, they can see how I work and what level I am and what I need to improve upon rather than two questions to ask me and everyone else.</w:t>
            </w:r>
          </w:p>
        </w:tc>
        <w:tc>
          <w:tcPr>
            <w:tcW w:w="1559" w:type="dxa"/>
            <w:hideMark/>
          </w:tcPr>
          <w:p w14:paraId="76C36BF9" w14:textId="12967CF8" w:rsidR="00AD67A0" w:rsidRPr="003726FE" w:rsidRDefault="00AD67A0" w:rsidP="00910B01">
            <w:pPr>
              <w:pStyle w:val="quoteboxes"/>
              <w:rPr>
                <w:sz w:val="20"/>
                <w:lang w:val="en-GB"/>
              </w:rPr>
            </w:pPr>
            <w:r w:rsidRPr="003726FE">
              <w:rPr>
                <w:sz w:val="20"/>
                <w:lang w:val="en-GB"/>
              </w:rPr>
              <w:t xml:space="preserve">G3 - 1: It’s also nice that the lead (consultant), I have a good rapport with him, I can tell it’s better. He reminded me that I always miss a certain bit in my history so he remembered it, it encourages me and makes me a lot more motivated rather than scared which I would be. It makes such a difference, I think all of us feel that. </w:t>
            </w:r>
          </w:p>
        </w:tc>
        <w:tc>
          <w:tcPr>
            <w:tcW w:w="2268" w:type="dxa"/>
            <w:hideMark/>
          </w:tcPr>
          <w:p w14:paraId="42122D69" w14:textId="3244E1B4" w:rsidR="00AD67A0" w:rsidRPr="003726FE" w:rsidRDefault="00AD67A0" w:rsidP="00910B01">
            <w:pPr>
              <w:pStyle w:val="quoteboxes"/>
              <w:rPr>
                <w:sz w:val="20"/>
                <w:lang w:val="en-GB"/>
              </w:rPr>
            </w:pPr>
            <w:r w:rsidRPr="003726FE">
              <w:rPr>
                <w:sz w:val="20"/>
                <w:lang w:val="en-GB"/>
              </w:rPr>
              <w:t>G4 - 1: My F1 that I normally follow wasn’t here because she was sent to Doncaster for a day so there was no one to take care of us. Our group have been lucky to get her because she’s really good and she always finds us and gives us stuff to read about or examines us, she’s really cool. I actually feel like I’m learning something. She’s brilliant she always… I didn’t have to chase her anywhere and ask her to teach me, she would just come and say let’s talk about a topic and we would talk for ages about it then she quizzes us, if we mess it up she’s jokey about it so she’s not putting anyone down. It’s a good relationship, she’s really good. I feel more comfortable going to her if I had a problem.</w:t>
            </w:r>
          </w:p>
        </w:tc>
        <w:tc>
          <w:tcPr>
            <w:tcW w:w="1843" w:type="dxa"/>
          </w:tcPr>
          <w:p w14:paraId="0DE9E1E2" w14:textId="1793854B" w:rsidR="00AD67A0" w:rsidRPr="003726FE" w:rsidRDefault="00AD67A0" w:rsidP="00910B01">
            <w:pPr>
              <w:pStyle w:val="quoteboxes"/>
              <w:rPr>
                <w:sz w:val="20"/>
                <w:lang w:val="en-GB"/>
              </w:rPr>
            </w:pPr>
            <w:r w:rsidRPr="003726FE">
              <w:rPr>
                <w:sz w:val="20"/>
                <w:lang w:val="en-GB"/>
              </w:rPr>
              <w:t>G4 - 2: my relationship with the F1 is good. I think it makes it easier for her to give me feedback because if she didn’t know me that well then she wouldn’t really know my flaws or how to criticise me in a sense. But because we have a good relationship it’s more like it’s informal and formal. She can tell “wait try it this way” or if I ask her for formal feedback on a mini-CEX for example she’s happy to do it, and if she knows me she can tell me the good bits and the bad bits as well which is really good.</w:t>
            </w:r>
          </w:p>
        </w:tc>
        <w:tc>
          <w:tcPr>
            <w:tcW w:w="1807" w:type="dxa"/>
          </w:tcPr>
          <w:p w14:paraId="2801087A" w14:textId="116D4BFD" w:rsidR="00AD67A0" w:rsidRPr="003726FE" w:rsidRDefault="00AD67A0" w:rsidP="00910B01">
            <w:pPr>
              <w:pStyle w:val="quoteboxes"/>
              <w:rPr>
                <w:sz w:val="20"/>
                <w:lang w:val="en-GB"/>
              </w:rPr>
            </w:pPr>
            <w:r w:rsidRPr="003726FE">
              <w:rPr>
                <w:sz w:val="20"/>
                <w:lang w:val="en-GB"/>
              </w:rPr>
              <w:t>G4 FG7 - SRLF Student 1: Our consultant is quite good at pushing us but you wonder what exact part was good so you can focus on certain parts, it also feels like they are listening to you if they do that if they pick up specific points. It had a positive impact on the relationship you have with them because you would hope they will remember those specifics and they can check up on you to see if you’re improving and taking it on board. It feels like I can go back to them for support.</w:t>
            </w:r>
          </w:p>
        </w:tc>
      </w:tr>
    </w:tbl>
    <w:p w14:paraId="21D4ECF5" w14:textId="278215E6" w:rsidR="00AD67A0" w:rsidRPr="003726FE" w:rsidRDefault="004E3161" w:rsidP="00910B01">
      <w:pPr>
        <w:pStyle w:val="quoteboxes"/>
        <w:rPr>
          <w:b/>
          <w:lang w:val="en-GB"/>
        </w:rPr>
      </w:pPr>
      <w:r w:rsidRPr="003726FE">
        <w:rPr>
          <w:b/>
          <w:sz w:val="24"/>
          <w:lang w:val="en-GB"/>
        </w:rPr>
        <w:t>Supervisor factors theme and sub-themes.</w:t>
      </w:r>
      <w:r w:rsidR="00AD67A0" w:rsidRPr="003726FE">
        <w:rPr>
          <w:b/>
          <w:lang w:val="en-GB"/>
        </w:rPr>
        <w:br w:type="page"/>
      </w:r>
    </w:p>
    <w:tbl>
      <w:tblPr>
        <w:tblStyle w:val="TableGrid"/>
        <w:tblW w:w="0" w:type="auto"/>
        <w:tblLook w:val="04A0" w:firstRow="1" w:lastRow="0" w:firstColumn="1" w:lastColumn="0" w:noHBand="0" w:noVBand="1"/>
      </w:tblPr>
      <w:tblGrid>
        <w:gridCol w:w="1488"/>
        <w:gridCol w:w="1674"/>
        <w:gridCol w:w="2064"/>
        <w:gridCol w:w="1571"/>
        <w:gridCol w:w="1987"/>
        <w:gridCol w:w="2268"/>
        <w:gridCol w:w="2374"/>
      </w:tblGrid>
      <w:tr w:rsidR="00AD67A0" w:rsidRPr="003726FE" w14:paraId="20437911" w14:textId="2DF95F33" w:rsidTr="00042504">
        <w:trPr>
          <w:trHeight w:val="315"/>
        </w:trPr>
        <w:tc>
          <w:tcPr>
            <w:tcW w:w="1488" w:type="dxa"/>
            <w:noWrap/>
            <w:hideMark/>
          </w:tcPr>
          <w:p w14:paraId="598C0074" w14:textId="77777777" w:rsidR="00AD67A0" w:rsidRPr="003726FE" w:rsidRDefault="00AD67A0" w:rsidP="00910B01">
            <w:pPr>
              <w:pStyle w:val="quoteboxes"/>
              <w:rPr>
                <w:sz w:val="20"/>
                <w:lang w:val="en-GB"/>
              </w:rPr>
            </w:pPr>
          </w:p>
        </w:tc>
        <w:tc>
          <w:tcPr>
            <w:tcW w:w="1674" w:type="dxa"/>
            <w:noWrap/>
            <w:hideMark/>
          </w:tcPr>
          <w:p w14:paraId="6AFA3D07" w14:textId="2F7D3A32" w:rsidR="00AD67A0" w:rsidRPr="003726FE" w:rsidRDefault="00AD67A0" w:rsidP="00910B01">
            <w:pPr>
              <w:pStyle w:val="quoteboxes"/>
              <w:rPr>
                <w:sz w:val="20"/>
                <w:lang w:val="en-GB"/>
              </w:rPr>
            </w:pPr>
            <w:r w:rsidRPr="003726FE">
              <w:rPr>
                <w:sz w:val="20"/>
                <w:lang w:val="en-GB"/>
              </w:rPr>
              <w:t>H</w:t>
            </w:r>
          </w:p>
        </w:tc>
        <w:tc>
          <w:tcPr>
            <w:tcW w:w="2064" w:type="dxa"/>
            <w:noWrap/>
            <w:hideMark/>
          </w:tcPr>
          <w:p w14:paraId="1D041C0C" w14:textId="7A4392EB" w:rsidR="00AD67A0" w:rsidRPr="003726FE" w:rsidRDefault="00AD67A0" w:rsidP="00910B01">
            <w:pPr>
              <w:pStyle w:val="quoteboxes"/>
              <w:rPr>
                <w:sz w:val="20"/>
                <w:lang w:val="en-GB"/>
              </w:rPr>
            </w:pPr>
            <w:r w:rsidRPr="003726FE">
              <w:rPr>
                <w:sz w:val="20"/>
                <w:lang w:val="en-GB"/>
              </w:rPr>
              <w:t>I</w:t>
            </w:r>
          </w:p>
        </w:tc>
        <w:tc>
          <w:tcPr>
            <w:tcW w:w="1571" w:type="dxa"/>
            <w:noWrap/>
            <w:hideMark/>
          </w:tcPr>
          <w:p w14:paraId="41B4BE6B" w14:textId="742130B7" w:rsidR="00AD67A0" w:rsidRPr="003726FE" w:rsidRDefault="00AD67A0" w:rsidP="00910B01">
            <w:pPr>
              <w:pStyle w:val="quoteboxes"/>
              <w:rPr>
                <w:sz w:val="20"/>
                <w:lang w:val="en-GB"/>
              </w:rPr>
            </w:pPr>
            <w:r w:rsidRPr="003726FE">
              <w:rPr>
                <w:sz w:val="20"/>
                <w:lang w:val="en-GB"/>
              </w:rPr>
              <w:t>J</w:t>
            </w:r>
          </w:p>
        </w:tc>
        <w:tc>
          <w:tcPr>
            <w:tcW w:w="1987" w:type="dxa"/>
            <w:noWrap/>
            <w:hideMark/>
          </w:tcPr>
          <w:p w14:paraId="4DF9E257" w14:textId="7565EDE0" w:rsidR="00AD67A0" w:rsidRPr="003726FE" w:rsidRDefault="00AD67A0" w:rsidP="00910B01">
            <w:pPr>
              <w:pStyle w:val="quoteboxes"/>
              <w:rPr>
                <w:sz w:val="20"/>
                <w:lang w:val="en-GB"/>
              </w:rPr>
            </w:pPr>
            <w:r w:rsidRPr="003726FE">
              <w:rPr>
                <w:sz w:val="20"/>
                <w:lang w:val="en-GB"/>
              </w:rPr>
              <w:t>K</w:t>
            </w:r>
          </w:p>
        </w:tc>
        <w:tc>
          <w:tcPr>
            <w:tcW w:w="2268" w:type="dxa"/>
            <w:noWrap/>
            <w:hideMark/>
          </w:tcPr>
          <w:p w14:paraId="066D0AC9" w14:textId="235A6FB0" w:rsidR="00AD67A0" w:rsidRPr="003726FE" w:rsidRDefault="00AD67A0" w:rsidP="00910B01">
            <w:pPr>
              <w:pStyle w:val="quoteboxes"/>
              <w:rPr>
                <w:sz w:val="20"/>
                <w:lang w:val="en-GB"/>
              </w:rPr>
            </w:pPr>
            <w:r w:rsidRPr="003726FE">
              <w:rPr>
                <w:sz w:val="20"/>
                <w:lang w:val="en-GB"/>
              </w:rPr>
              <w:t>L</w:t>
            </w:r>
          </w:p>
        </w:tc>
        <w:tc>
          <w:tcPr>
            <w:tcW w:w="2374" w:type="dxa"/>
          </w:tcPr>
          <w:p w14:paraId="07526D17" w14:textId="5F7B68BC" w:rsidR="00AD67A0" w:rsidRPr="003726FE" w:rsidRDefault="00AD67A0" w:rsidP="00910B01">
            <w:pPr>
              <w:pStyle w:val="quoteboxes"/>
              <w:rPr>
                <w:sz w:val="20"/>
                <w:lang w:val="en-GB"/>
              </w:rPr>
            </w:pPr>
            <w:r w:rsidRPr="003726FE">
              <w:rPr>
                <w:sz w:val="20"/>
                <w:lang w:val="en-GB"/>
              </w:rPr>
              <w:t>M</w:t>
            </w:r>
          </w:p>
        </w:tc>
      </w:tr>
      <w:tr w:rsidR="00AD67A0" w:rsidRPr="003726FE" w14:paraId="49A82148" w14:textId="0E4C9190" w:rsidTr="00042504">
        <w:trPr>
          <w:trHeight w:val="4365"/>
        </w:trPr>
        <w:tc>
          <w:tcPr>
            <w:tcW w:w="1488" w:type="dxa"/>
            <w:vAlign w:val="center"/>
            <w:hideMark/>
          </w:tcPr>
          <w:p w14:paraId="578855EB" w14:textId="6C42E012" w:rsidR="00AD67A0" w:rsidRPr="003726FE" w:rsidRDefault="00AD67A0" w:rsidP="00910B01">
            <w:pPr>
              <w:pStyle w:val="quoteboxes"/>
              <w:rPr>
                <w:sz w:val="20"/>
                <w:lang w:val="en-GB"/>
              </w:rPr>
            </w:pPr>
            <w:r w:rsidRPr="003726FE">
              <w:rPr>
                <w:sz w:val="20"/>
                <w:lang w:val="en-GB"/>
              </w:rPr>
              <w:t>6 Supportive</w:t>
            </w:r>
          </w:p>
        </w:tc>
        <w:tc>
          <w:tcPr>
            <w:tcW w:w="1674" w:type="dxa"/>
            <w:hideMark/>
          </w:tcPr>
          <w:p w14:paraId="245502EC" w14:textId="5BF1164C" w:rsidR="00AD67A0" w:rsidRPr="003726FE" w:rsidRDefault="00AD67A0" w:rsidP="00910B01">
            <w:pPr>
              <w:pStyle w:val="quoteboxes"/>
              <w:rPr>
                <w:sz w:val="20"/>
                <w:lang w:val="en-GB"/>
              </w:rPr>
            </w:pPr>
            <w:r w:rsidRPr="003726FE">
              <w:rPr>
                <w:sz w:val="20"/>
                <w:lang w:val="en-GB"/>
              </w:rPr>
              <w:t>G5 - 1: Registrars are good too but they don’t know me as well, it’s more general, that’s why I value the F1s more because I spend longer with them and they understand me more. It’s more specific to my skills which helps me build confidence</w:t>
            </w:r>
          </w:p>
        </w:tc>
        <w:tc>
          <w:tcPr>
            <w:tcW w:w="2064" w:type="dxa"/>
            <w:hideMark/>
          </w:tcPr>
          <w:p w14:paraId="6C5DD672" w14:textId="4AF1365A" w:rsidR="00AD67A0" w:rsidRPr="003726FE" w:rsidRDefault="00AD67A0" w:rsidP="00910B01">
            <w:pPr>
              <w:pStyle w:val="quoteboxes"/>
              <w:rPr>
                <w:sz w:val="20"/>
                <w:lang w:val="en-GB"/>
              </w:rPr>
            </w:pPr>
            <w:r w:rsidRPr="003726FE">
              <w:rPr>
                <w:sz w:val="20"/>
                <w:lang w:val="en-GB"/>
              </w:rPr>
              <w:t>G1 FG4 - SRLF Student 1: I think there’s a stigma that there’s a hierarchy that the consultants know everything so you should just accept it what they say, and you always feel like you’re in the way so you don’t ask many questions and what you can improve on but it is important too otherwise we won’t learn. Although we’ve had a good consultant. He spends time with us everywhere, he goes through patients with us, shows us chest x-rays and asks us questions like “I wouldn’t expect you to know this but can you guess?” that kind of thing</w:t>
            </w:r>
          </w:p>
        </w:tc>
        <w:tc>
          <w:tcPr>
            <w:tcW w:w="1571" w:type="dxa"/>
            <w:hideMark/>
          </w:tcPr>
          <w:p w14:paraId="66F8D4E3" w14:textId="22BF053F" w:rsidR="00AD67A0" w:rsidRPr="003726FE" w:rsidRDefault="00AD67A0" w:rsidP="00910B01">
            <w:pPr>
              <w:pStyle w:val="quoteboxes"/>
              <w:rPr>
                <w:sz w:val="20"/>
                <w:lang w:val="en-GB"/>
              </w:rPr>
            </w:pPr>
            <w:r w:rsidRPr="003726FE">
              <w:rPr>
                <w:sz w:val="20"/>
                <w:lang w:val="en-GB"/>
              </w:rPr>
              <w:t xml:space="preserve">G1 - 2: the manner of the consultant was quite harsh, he wasn’t forgiving of things that we didn’t know, he would be brash with us like, “you need to know this”. I got quite embarrassed so I would rather say nothing to him rather than suggest an answer that was wrong. </w:t>
            </w:r>
          </w:p>
        </w:tc>
        <w:tc>
          <w:tcPr>
            <w:tcW w:w="1987" w:type="dxa"/>
            <w:hideMark/>
          </w:tcPr>
          <w:p w14:paraId="730C03DE" w14:textId="1539009B" w:rsidR="00AD67A0" w:rsidRPr="003726FE" w:rsidRDefault="00AD67A0" w:rsidP="00910B01">
            <w:pPr>
              <w:pStyle w:val="quoteboxes"/>
              <w:rPr>
                <w:sz w:val="20"/>
                <w:lang w:val="en-GB"/>
              </w:rPr>
            </w:pPr>
            <w:r w:rsidRPr="003726FE">
              <w:rPr>
                <w:sz w:val="20"/>
                <w:lang w:val="en-GB"/>
              </w:rPr>
              <w:t xml:space="preserve"> G1 FG4 - SRLF Student 1: you end up avoiding them if they’re not accommodating, we had a consultant who asked us to take a history from someone and examine them on the first day so I was a bit nervous about doing that because it had been the first time I’d done it and we were new on the ward, and I thought we didn’t do too badly and he ripped to shreds everything we said, it was quite sarcastic and dismissive and laughing at us if we’d done something wrong. I felt rubbish after that and I’ve avoided him since and not wanted to shadow him, so I’ve chosen other nice doctors because it made me feel rubbish and stupid.</w:t>
            </w:r>
          </w:p>
        </w:tc>
        <w:tc>
          <w:tcPr>
            <w:tcW w:w="2268" w:type="dxa"/>
            <w:hideMark/>
          </w:tcPr>
          <w:p w14:paraId="2EFD6212" w14:textId="46D8EF0F" w:rsidR="00AD67A0" w:rsidRPr="003726FE" w:rsidRDefault="00AD67A0" w:rsidP="00910B01">
            <w:pPr>
              <w:pStyle w:val="quoteboxes"/>
              <w:rPr>
                <w:sz w:val="20"/>
                <w:lang w:val="en-GB"/>
              </w:rPr>
            </w:pPr>
            <w:r w:rsidRPr="003726FE">
              <w:rPr>
                <w:sz w:val="20"/>
                <w:lang w:val="en-GB"/>
              </w:rPr>
              <w:t>G1 FG4 - SRLF Student 3: I think it depends on your initial relationship as well, so we feel really comfortable with our consultant, so if we have what we think is a stupid question I wouldn’t be afraid to ask whereas with another consultant I probably would be, but because we’ve had that time with him and he’s been considerate knowing we’re not going to know everything he wants to explain everything to us, we’re not afraid to ask.</w:t>
            </w:r>
          </w:p>
        </w:tc>
        <w:tc>
          <w:tcPr>
            <w:tcW w:w="2374" w:type="dxa"/>
          </w:tcPr>
          <w:p w14:paraId="42850561" w14:textId="0B57E77F" w:rsidR="00AD67A0" w:rsidRPr="003726FE" w:rsidRDefault="00AD67A0" w:rsidP="00910B01">
            <w:pPr>
              <w:pStyle w:val="quoteboxes"/>
              <w:rPr>
                <w:sz w:val="20"/>
                <w:lang w:val="en-GB"/>
              </w:rPr>
            </w:pPr>
            <w:r w:rsidRPr="003726FE">
              <w:rPr>
                <w:sz w:val="20"/>
                <w:lang w:val="en-GB"/>
              </w:rPr>
              <w:t>G2 - 2: It also depends on my relationship with the junior doctor I’ve been shadowing. This attachment I felt like I was friends with them so it felt relaxed which is really good. I felt like I could present to them. But I feel like I lose a skill when it’s so informal, I become a bit lazy in presenting my history because it feels like a friendly chat, then they’re to really bothered about giving feedback, just to say its fine and have a chat. That can be good because I feel relaxed and able to share and things but there’s definitely a limitation to it, it’s good to have formal feedback because I know I’m getting a good level of anxiousness in that I want to present this well</w:t>
            </w:r>
          </w:p>
        </w:tc>
      </w:tr>
    </w:tbl>
    <w:p w14:paraId="6334C1F4" w14:textId="77777777" w:rsidR="00AD67A0" w:rsidRPr="003726FE" w:rsidRDefault="00AD67A0" w:rsidP="00910B01">
      <w:pPr>
        <w:pStyle w:val="quoteboxes"/>
        <w:rPr>
          <w:lang w:val="en-GB"/>
        </w:rPr>
      </w:pPr>
    </w:p>
    <w:p w14:paraId="2C3DB73D" w14:textId="77777777" w:rsidR="00AD67A0" w:rsidRPr="003726FE" w:rsidRDefault="00AD67A0"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77"/>
        <w:gridCol w:w="2706"/>
        <w:gridCol w:w="2348"/>
        <w:gridCol w:w="2349"/>
        <w:gridCol w:w="2268"/>
        <w:gridCol w:w="2378"/>
      </w:tblGrid>
      <w:tr w:rsidR="00AD67A0" w:rsidRPr="003726FE" w14:paraId="283EE6E2" w14:textId="77777777" w:rsidTr="00617837">
        <w:trPr>
          <w:trHeight w:val="315"/>
        </w:trPr>
        <w:tc>
          <w:tcPr>
            <w:tcW w:w="1564" w:type="dxa"/>
            <w:noWrap/>
            <w:hideMark/>
          </w:tcPr>
          <w:p w14:paraId="1F36CE94" w14:textId="77777777" w:rsidR="00AD67A0" w:rsidRPr="003726FE" w:rsidRDefault="00AD67A0" w:rsidP="00910B01">
            <w:pPr>
              <w:pStyle w:val="quoteboxes"/>
              <w:rPr>
                <w:lang w:val="en-GB"/>
              </w:rPr>
            </w:pPr>
          </w:p>
        </w:tc>
        <w:tc>
          <w:tcPr>
            <w:tcW w:w="3109" w:type="dxa"/>
            <w:noWrap/>
            <w:hideMark/>
          </w:tcPr>
          <w:p w14:paraId="149FC2EF" w14:textId="4CEF4CC6" w:rsidR="00AD67A0" w:rsidRPr="003726FE" w:rsidRDefault="00AD67A0" w:rsidP="00910B01">
            <w:pPr>
              <w:pStyle w:val="quoteboxes"/>
              <w:rPr>
                <w:lang w:val="en-GB"/>
              </w:rPr>
            </w:pPr>
            <w:r w:rsidRPr="003726FE">
              <w:rPr>
                <w:lang w:val="en-GB"/>
              </w:rPr>
              <w:t>N</w:t>
            </w:r>
          </w:p>
        </w:tc>
        <w:tc>
          <w:tcPr>
            <w:tcW w:w="2693" w:type="dxa"/>
            <w:noWrap/>
            <w:hideMark/>
          </w:tcPr>
          <w:p w14:paraId="50060305" w14:textId="10BB0FD8" w:rsidR="00AD67A0" w:rsidRPr="003726FE" w:rsidRDefault="00AD67A0" w:rsidP="00910B01">
            <w:pPr>
              <w:pStyle w:val="quoteboxes"/>
              <w:rPr>
                <w:lang w:val="en-GB"/>
              </w:rPr>
            </w:pPr>
            <w:r w:rsidRPr="003726FE">
              <w:rPr>
                <w:lang w:val="en-GB"/>
              </w:rPr>
              <w:t>O</w:t>
            </w:r>
          </w:p>
        </w:tc>
        <w:tc>
          <w:tcPr>
            <w:tcW w:w="2694" w:type="dxa"/>
            <w:noWrap/>
            <w:hideMark/>
          </w:tcPr>
          <w:p w14:paraId="11AEB980" w14:textId="1AF67358" w:rsidR="00AD67A0" w:rsidRPr="003726FE" w:rsidRDefault="00AD67A0" w:rsidP="00910B01">
            <w:pPr>
              <w:pStyle w:val="quoteboxes"/>
              <w:rPr>
                <w:lang w:val="en-GB"/>
              </w:rPr>
            </w:pPr>
            <w:r w:rsidRPr="003726FE">
              <w:rPr>
                <w:lang w:val="en-GB"/>
              </w:rPr>
              <w:t>P</w:t>
            </w:r>
          </w:p>
        </w:tc>
        <w:tc>
          <w:tcPr>
            <w:tcW w:w="2600" w:type="dxa"/>
            <w:noWrap/>
            <w:hideMark/>
          </w:tcPr>
          <w:p w14:paraId="770F1F71" w14:textId="399586F2" w:rsidR="00AD67A0" w:rsidRPr="003726FE" w:rsidRDefault="00AD67A0" w:rsidP="00910B01">
            <w:pPr>
              <w:pStyle w:val="quoteboxes"/>
              <w:rPr>
                <w:lang w:val="en-GB"/>
              </w:rPr>
            </w:pPr>
            <w:r w:rsidRPr="003726FE">
              <w:rPr>
                <w:lang w:val="en-GB"/>
              </w:rPr>
              <w:t>Q</w:t>
            </w:r>
          </w:p>
        </w:tc>
        <w:tc>
          <w:tcPr>
            <w:tcW w:w="2728" w:type="dxa"/>
            <w:noWrap/>
            <w:hideMark/>
          </w:tcPr>
          <w:p w14:paraId="1A3617E2" w14:textId="58871519" w:rsidR="00AD67A0" w:rsidRPr="003726FE" w:rsidRDefault="00AD67A0" w:rsidP="00910B01">
            <w:pPr>
              <w:pStyle w:val="quoteboxes"/>
              <w:rPr>
                <w:lang w:val="en-GB"/>
              </w:rPr>
            </w:pPr>
            <w:r w:rsidRPr="003726FE">
              <w:rPr>
                <w:lang w:val="en-GB"/>
              </w:rPr>
              <w:t>R</w:t>
            </w:r>
          </w:p>
        </w:tc>
      </w:tr>
      <w:tr w:rsidR="00AD67A0" w:rsidRPr="003726FE" w14:paraId="4773EB64" w14:textId="77777777" w:rsidTr="009F0E25">
        <w:trPr>
          <w:trHeight w:val="4365"/>
        </w:trPr>
        <w:tc>
          <w:tcPr>
            <w:tcW w:w="1564" w:type="dxa"/>
            <w:vAlign w:val="center"/>
            <w:hideMark/>
          </w:tcPr>
          <w:p w14:paraId="102C4545" w14:textId="3D682C01" w:rsidR="00AD67A0" w:rsidRPr="003726FE" w:rsidRDefault="00AD67A0" w:rsidP="00910B01">
            <w:pPr>
              <w:pStyle w:val="quoteboxes"/>
              <w:rPr>
                <w:lang w:val="en-GB"/>
              </w:rPr>
            </w:pPr>
            <w:r w:rsidRPr="003726FE">
              <w:rPr>
                <w:lang w:val="en-GB"/>
              </w:rPr>
              <w:t>6 Supportive</w:t>
            </w:r>
          </w:p>
        </w:tc>
        <w:tc>
          <w:tcPr>
            <w:tcW w:w="3109" w:type="dxa"/>
            <w:hideMark/>
          </w:tcPr>
          <w:p w14:paraId="0D6A2164" w14:textId="409551A2" w:rsidR="00AD67A0" w:rsidRPr="003726FE" w:rsidRDefault="00AD67A0" w:rsidP="00910B01">
            <w:pPr>
              <w:pStyle w:val="quoteboxes"/>
              <w:rPr>
                <w:lang w:val="en-GB"/>
              </w:rPr>
            </w:pPr>
            <w:r w:rsidRPr="003726FE">
              <w:rPr>
                <w:lang w:val="en-GB"/>
              </w:rPr>
              <w:t>G7 - 1: They say good morning when we arrive, on my last placement they didn’t do that. They made a point of saying hello and asking how we were, asked if we wanted a copy of the list. Little things like that make it less daunting to join the ward round and other tasks. Because they’re keener to help me, I’m keener to make myself helpful a few days in a row.</w:t>
            </w:r>
          </w:p>
        </w:tc>
        <w:tc>
          <w:tcPr>
            <w:tcW w:w="2693" w:type="dxa"/>
            <w:hideMark/>
          </w:tcPr>
          <w:p w14:paraId="3B8FAB15" w14:textId="3B69811A" w:rsidR="00AD67A0" w:rsidRPr="003726FE" w:rsidRDefault="00AD67A0" w:rsidP="00910B01">
            <w:pPr>
              <w:pStyle w:val="quoteboxes"/>
              <w:rPr>
                <w:lang w:val="en-GB"/>
              </w:rPr>
            </w:pPr>
            <w:r w:rsidRPr="003726FE">
              <w:rPr>
                <w:lang w:val="en-GB"/>
              </w:rPr>
              <w:t>G1 - 2: a partnership, we would discuss in the morning what we wanted to learn today and who on the team would be best to ask for the teaching, things like that. Whereas on this placement we don’t really communicate with each other very much. In the previous one we used to practice examinations and watched each other do them. I would have had the peer there to remind me at certain points in this examination to do all the steps and give me feedback and encouragement.</w:t>
            </w:r>
          </w:p>
        </w:tc>
        <w:tc>
          <w:tcPr>
            <w:tcW w:w="2694" w:type="dxa"/>
            <w:hideMark/>
          </w:tcPr>
          <w:p w14:paraId="11A30F7C" w14:textId="598AA6B3" w:rsidR="00AD67A0" w:rsidRPr="003726FE" w:rsidRDefault="00AD67A0" w:rsidP="00910B01">
            <w:pPr>
              <w:pStyle w:val="quoteboxes"/>
              <w:rPr>
                <w:lang w:val="en-GB"/>
              </w:rPr>
            </w:pPr>
            <w:r w:rsidRPr="003726FE">
              <w:rPr>
                <w:lang w:val="en-GB"/>
              </w:rPr>
              <w:t xml:space="preserve">G2 - 1: I compare myself to others, there’s a lot of us around and we meet for lunch. We’ll chat and I see where people are at, with friends as well we talk about examinations and things. We chat and I hear that people are revising an hour a night then I know I should be doing that too, it’s informally comparing the work I’m doing to them. I don’t compare myself with others very much it’s just that everyone will get to the same place, it’ll just take them a while and some people focus on bloods this placement and others aren’t. </w:t>
            </w:r>
          </w:p>
        </w:tc>
        <w:tc>
          <w:tcPr>
            <w:tcW w:w="2600" w:type="dxa"/>
            <w:hideMark/>
          </w:tcPr>
          <w:p w14:paraId="3795CD22" w14:textId="3729FC37" w:rsidR="00AD67A0" w:rsidRPr="003726FE" w:rsidRDefault="00AD67A0" w:rsidP="00910B01">
            <w:pPr>
              <w:pStyle w:val="quoteboxes"/>
              <w:rPr>
                <w:lang w:val="en-GB"/>
              </w:rPr>
            </w:pPr>
            <w:r w:rsidRPr="003726FE">
              <w:rPr>
                <w:lang w:val="en-GB"/>
              </w:rPr>
              <w:t>G5 FG3 - BPF Student 1: my consultant was on holiday for the first three days and the first three days were the scariest and I didn’t know what to do. It’s not that I don’t feel welcome but sometimes in the afternoon when the consultants tell us to do our own thing and the junior doctors are just doing paperwork you’re a bit like “what do I do?” you feel cheeky if you go home at 12 but what do you do?</w:t>
            </w:r>
          </w:p>
        </w:tc>
        <w:tc>
          <w:tcPr>
            <w:tcW w:w="2728" w:type="dxa"/>
            <w:hideMark/>
          </w:tcPr>
          <w:p w14:paraId="08EB56F7" w14:textId="60BDA5FE" w:rsidR="00AD67A0" w:rsidRPr="003726FE" w:rsidRDefault="00AD67A0" w:rsidP="00910B01">
            <w:pPr>
              <w:pStyle w:val="quoteboxes"/>
              <w:rPr>
                <w:lang w:val="en-GB"/>
              </w:rPr>
            </w:pPr>
            <w:r w:rsidRPr="003726FE">
              <w:rPr>
                <w:lang w:val="en-GB"/>
              </w:rPr>
              <w:t>G6 FG6 - BPF Student 3: the consultants all knew what we had to do, we had a pack when we first started and that listed everything they expected of us and listed what we could expect from them so there was that mutual agreement that we had to get this long case done, we had to do scrubbing we had to have the opportunity to examine and take histories, do clinical skills on the wards. I think there was a mutual thing that we all knew what was expected.</w:t>
            </w:r>
          </w:p>
        </w:tc>
      </w:tr>
    </w:tbl>
    <w:p w14:paraId="4F661840" w14:textId="77777777" w:rsidR="00AD67A0" w:rsidRPr="003726FE" w:rsidRDefault="00AD67A0" w:rsidP="00910B01">
      <w:pPr>
        <w:pStyle w:val="quoteboxes"/>
        <w:rPr>
          <w:lang w:val="en-GB"/>
        </w:rPr>
      </w:pPr>
    </w:p>
    <w:p w14:paraId="653D3045" w14:textId="77777777" w:rsidR="00AD67A0" w:rsidRPr="003726FE" w:rsidRDefault="00AD67A0" w:rsidP="00910B01">
      <w:pPr>
        <w:pStyle w:val="quoteboxes"/>
        <w:rPr>
          <w:lang w:val="en-GB"/>
        </w:rPr>
      </w:pPr>
      <w:r w:rsidRPr="003726FE">
        <w:rPr>
          <w:lang w:val="en-GB"/>
        </w:rPr>
        <w:br w:type="page"/>
      </w:r>
    </w:p>
    <w:tbl>
      <w:tblPr>
        <w:tblStyle w:val="TableGrid"/>
        <w:tblW w:w="13462" w:type="dxa"/>
        <w:tblLook w:val="04A0" w:firstRow="1" w:lastRow="0" w:firstColumn="1" w:lastColumn="0" w:noHBand="0" w:noVBand="1"/>
      </w:tblPr>
      <w:tblGrid>
        <w:gridCol w:w="1564"/>
        <w:gridCol w:w="2117"/>
        <w:gridCol w:w="5103"/>
        <w:gridCol w:w="2693"/>
        <w:gridCol w:w="1985"/>
      </w:tblGrid>
      <w:tr w:rsidR="00AD67A0" w:rsidRPr="003726FE" w14:paraId="276E9E70" w14:textId="77777777" w:rsidTr="00042504">
        <w:trPr>
          <w:trHeight w:val="315"/>
        </w:trPr>
        <w:tc>
          <w:tcPr>
            <w:tcW w:w="1564" w:type="dxa"/>
            <w:noWrap/>
            <w:hideMark/>
          </w:tcPr>
          <w:p w14:paraId="4D50BA6F" w14:textId="77777777" w:rsidR="00AD67A0" w:rsidRPr="003726FE" w:rsidRDefault="00AD67A0" w:rsidP="00910B01">
            <w:pPr>
              <w:pStyle w:val="quoteboxes"/>
              <w:rPr>
                <w:sz w:val="20"/>
                <w:lang w:val="en-GB"/>
              </w:rPr>
            </w:pPr>
          </w:p>
        </w:tc>
        <w:tc>
          <w:tcPr>
            <w:tcW w:w="2117" w:type="dxa"/>
            <w:noWrap/>
            <w:hideMark/>
          </w:tcPr>
          <w:p w14:paraId="2D0D08EB" w14:textId="10E92843" w:rsidR="00AD67A0" w:rsidRPr="003726FE" w:rsidRDefault="00AD67A0" w:rsidP="00910B01">
            <w:pPr>
              <w:pStyle w:val="quoteboxes"/>
              <w:rPr>
                <w:sz w:val="20"/>
                <w:lang w:val="en-GB"/>
              </w:rPr>
            </w:pPr>
            <w:r w:rsidRPr="003726FE">
              <w:rPr>
                <w:sz w:val="20"/>
                <w:lang w:val="en-GB"/>
              </w:rPr>
              <w:t>S</w:t>
            </w:r>
          </w:p>
        </w:tc>
        <w:tc>
          <w:tcPr>
            <w:tcW w:w="5103" w:type="dxa"/>
            <w:noWrap/>
            <w:hideMark/>
          </w:tcPr>
          <w:p w14:paraId="681BFBFB" w14:textId="126EA79D" w:rsidR="00AD67A0" w:rsidRPr="003726FE" w:rsidRDefault="00AD67A0" w:rsidP="00910B01">
            <w:pPr>
              <w:pStyle w:val="quoteboxes"/>
              <w:rPr>
                <w:sz w:val="20"/>
                <w:lang w:val="en-GB"/>
              </w:rPr>
            </w:pPr>
            <w:r w:rsidRPr="003726FE">
              <w:rPr>
                <w:sz w:val="20"/>
                <w:lang w:val="en-GB"/>
              </w:rPr>
              <w:t>T</w:t>
            </w:r>
          </w:p>
        </w:tc>
        <w:tc>
          <w:tcPr>
            <w:tcW w:w="2693" w:type="dxa"/>
            <w:noWrap/>
            <w:hideMark/>
          </w:tcPr>
          <w:p w14:paraId="149EB982" w14:textId="19CCD2E1" w:rsidR="00AD67A0" w:rsidRPr="003726FE" w:rsidRDefault="00AD67A0" w:rsidP="00910B01">
            <w:pPr>
              <w:pStyle w:val="quoteboxes"/>
              <w:rPr>
                <w:sz w:val="20"/>
                <w:lang w:val="en-GB"/>
              </w:rPr>
            </w:pPr>
            <w:r w:rsidRPr="003726FE">
              <w:rPr>
                <w:sz w:val="20"/>
                <w:lang w:val="en-GB"/>
              </w:rPr>
              <w:t>U</w:t>
            </w:r>
          </w:p>
        </w:tc>
        <w:tc>
          <w:tcPr>
            <w:tcW w:w="1985" w:type="dxa"/>
            <w:noWrap/>
            <w:hideMark/>
          </w:tcPr>
          <w:p w14:paraId="283F643B" w14:textId="0669A840" w:rsidR="00AD67A0" w:rsidRPr="003726FE" w:rsidRDefault="00AD67A0" w:rsidP="00910B01">
            <w:pPr>
              <w:pStyle w:val="quoteboxes"/>
              <w:rPr>
                <w:sz w:val="20"/>
                <w:lang w:val="en-GB"/>
              </w:rPr>
            </w:pPr>
            <w:r w:rsidRPr="003726FE">
              <w:rPr>
                <w:sz w:val="20"/>
                <w:lang w:val="en-GB"/>
              </w:rPr>
              <w:t>V</w:t>
            </w:r>
          </w:p>
        </w:tc>
      </w:tr>
      <w:tr w:rsidR="00AD67A0" w:rsidRPr="003726FE" w14:paraId="17037B0C" w14:textId="77777777" w:rsidTr="00042504">
        <w:trPr>
          <w:trHeight w:val="4365"/>
        </w:trPr>
        <w:tc>
          <w:tcPr>
            <w:tcW w:w="1564" w:type="dxa"/>
            <w:vAlign w:val="center"/>
            <w:hideMark/>
          </w:tcPr>
          <w:p w14:paraId="59C0FF89" w14:textId="5AD0FEF9" w:rsidR="00AD67A0" w:rsidRPr="003726FE" w:rsidRDefault="00AD67A0" w:rsidP="00910B01">
            <w:pPr>
              <w:pStyle w:val="quoteboxes"/>
              <w:rPr>
                <w:sz w:val="20"/>
                <w:lang w:val="en-GB"/>
              </w:rPr>
            </w:pPr>
            <w:r w:rsidRPr="003726FE">
              <w:rPr>
                <w:sz w:val="20"/>
                <w:lang w:val="en-GB"/>
              </w:rPr>
              <w:t>6 Supportive</w:t>
            </w:r>
          </w:p>
        </w:tc>
        <w:tc>
          <w:tcPr>
            <w:tcW w:w="2117" w:type="dxa"/>
            <w:hideMark/>
          </w:tcPr>
          <w:p w14:paraId="5C18043C" w14:textId="28F88245" w:rsidR="00AD67A0" w:rsidRPr="003726FE" w:rsidRDefault="00AD67A0" w:rsidP="00910B01">
            <w:pPr>
              <w:pStyle w:val="quoteboxes"/>
              <w:rPr>
                <w:sz w:val="20"/>
                <w:lang w:val="en-GB"/>
              </w:rPr>
            </w:pPr>
            <w:r w:rsidRPr="003726FE">
              <w:rPr>
                <w:sz w:val="20"/>
                <w:lang w:val="en-GB"/>
              </w:rPr>
              <w:t>G4 FG7 - SRLF Student 8: a lot of F1s come from the medical schools, it would be nice to get a sit down meeting with the care team, I know it’s logistically hard, just to discuss what we’d like to get out of placement and what they’d like to see from us. It’s just got to the stage where they now know what we’re here for and what we’re trying to get out of it. It would be nice to have that mutual understanding from the outset because it’s got up until this stage before they knew.</w:t>
            </w:r>
          </w:p>
        </w:tc>
        <w:tc>
          <w:tcPr>
            <w:tcW w:w="5103" w:type="dxa"/>
            <w:hideMark/>
          </w:tcPr>
          <w:p w14:paraId="206746FE" w14:textId="60AA6369" w:rsidR="00AD67A0" w:rsidRPr="003726FE" w:rsidRDefault="00AD67A0" w:rsidP="00910B01">
            <w:pPr>
              <w:pStyle w:val="quoteboxes"/>
              <w:rPr>
                <w:sz w:val="20"/>
                <w:lang w:val="en-GB"/>
              </w:rPr>
            </w:pPr>
            <w:r w:rsidRPr="003726FE">
              <w:rPr>
                <w:sz w:val="20"/>
                <w:lang w:val="en-GB"/>
              </w:rPr>
              <w:t>G7 - 1: I spent most of my time with one of the registrars in particular and got used to having me there so he put more trust in me and sending me in to see patients and things. It was really good actually, I think it is quite important. Over the course of the placement it was his confidence that I wasn’t going to completely screw it up if he sent me to do something. Also him getting me to do more things, in the first week getting me to write in the notes instead of the F1 or whatever, getting me doing lots of other things like taking bloods and clerking. It made me feel more confident, he’s seen me doing things and thinks I’ve done them well enough that he’s going to send me to go and clerk or something. That meant quite a lot and gave me more confidence, the first couple of times I clerked he was going through the notes quite thoroughly and checking them but the third time he didn’t look and assumed id done it right, maybe a quick read through, he countersigned it then. It meant that when he send me by myself I felt like I could I do it right, it made me put more effort into it. It gave me the confidence to do what I think I should do because it seemed to be working and I have their backing. It definitely made a big difference. On my last placement, it didn’t feel like my supervisor had any confidence in what I was doing so then it made me feel more wobbly about doing anything I guess. With him it reassured me, it makes a big difference.</w:t>
            </w:r>
          </w:p>
        </w:tc>
        <w:tc>
          <w:tcPr>
            <w:tcW w:w="2693" w:type="dxa"/>
            <w:hideMark/>
          </w:tcPr>
          <w:p w14:paraId="351B45E8" w14:textId="5424B262" w:rsidR="00AD67A0" w:rsidRPr="003726FE" w:rsidRDefault="00AD67A0" w:rsidP="00910B01">
            <w:pPr>
              <w:pStyle w:val="quoteboxes"/>
              <w:rPr>
                <w:sz w:val="20"/>
                <w:lang w:val="en-GB"/>
              </w:rPr>
            </w:pPr>
            <w:r w:rsidRPr="003726FE">
              <w:rPr>
                <w:sz w:val="20"/>
                <w:lang w:val="en-GB"/>
              </w:rPr>
              <w:t xml:space="preserve">G1 FG4 - SRLF Student 6: we still need a bit of coddling on the wards because </w:t>
            </w:r>
            <w:r w:rsidR="00D531CD" w:rsidRPr="003726FE">
              <w:rPr>
                <w:sz w:val="20"/>
                <w:lang w:val="en-GB"/>
              </w:rPr>
              <w:t>it’s</w:t>
            </w:r>
            <w:r w:rsidRPr="003726FE">
              <w:rPr>
                <w:sz w:val="20"/>
                <w:lang w:val="en-GB"/>
              </w:rPr>
              <w:t xml:space="preserve"> our first clinical placement and think “nobody cares about me, why am I here?” at the same time I want direction about my learning, so I think now is an important to get attention from the team, because if you don’t you won’t get any support.</w:t>
            </w:r>
          </w:p>
        </w:tc>
        <w:tc>
          <w:tcPr>
            <w:tcW w:w="1985" w:type="dxa"/>
            <w:hideMark/>
          </w:tcPr>
          <w:p w14:paraId="7255A1A1" w14:textId="442667F7" w:rsidR="00AD67A0" w:rsidRPr="003726FE" w:rsidRDefault="00AD67A0" w:rsidP="00910B01">
            <w:pPr>
              <w:pStyle w:val="quoteboxes"/>
              <w:rPr>
                <w:sz w:val="20"/>
                <w:lang w:val="en-GB"/>
              </w:rPr>
            </w:pPr>
            <w:r w:rsidRPr="003726FE">
              <w:rPr>
                <w:sz w:val="20"/>
                <w:lang w:val="en-GB"/>
              </w:rPr>
              <w:t>G2 - 1: some consultants that I get on better with I respect them more especially being on vascular for 6 weeks, you get to see a lot of them and see how they work and how they interact with other people, especially in surgery and how they interact with nurses and others, I do respect some more than others, I appreciate their feedback more than consultants who are a bit rude, it shouldn’t be that way but I do find that I don’t listen their feedback as much because I don’t want to be a doctor like they are. Even then, they’ve got to where they are so I have to take it really.</w:t>
            </w:r>
          </w:p>
        </w:tc>
      </w:tr>
    </w:tbl>
    <w:p w14:paraId="23431ADB" w14:textId="77777777" w:rsidR="00AD67A0" w:rsidRPr="003726FE" w:rsidRDefault="00AD67A0" w:rsidP="00910B01">
      <w:pPr>
        <w:pStyle w:val="quoteboxes"/>
        <w:rPr>
          <w:lang w:val="en-GB"/>
        </w:rPr>
      </w:pPr>
    </w:p>
    <w:p w14:paraId="600B19D7" w14:textId="77777777" w:rsidR="00AD67A0" w:rsidRPr="003726FE" w:rsidRDefault="00AD67A0"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434"/>
        <w:gridCol w:w="1615"/>
        <w:gridCol w:w="1999"/>
        <w:gridCol w:w="1600"/>
        <w:gridCol w:w="1356"/>
        <w:gridCol w:w="2623"/>
        <w:gridCol w:w="1417"/>
        <w:gridCol w:w="1382"/>
      </w:tblGrid>
      <w:tr w:rsidR="00AD67A0" w:rsidRPr="003726FE" w14:paraId="098A3652" w14:textId="2296BB91" w:rsidTr="00042504">
        <w:trPr>
          <w:trHeight w:val="315"/>
        </w:trPr>
        <w:tc>
          <w:tcPr>
            <w:tcW w:w="1434" w:type="dxa"/>
            <w:noWrap/>
            <w:hideMark/>
          </w:tcPr>
          <w:p w14:paraId="53988A3C" w14:textId="77777777" w:rsidR="00AD67A0" w:rsidRPr="003726FE" w:rsidRDefault="00AD67A0" w:rsidP="00910B01">
            <w:pPr>
              <w:pStyle w:val="quoteboxes"/>
              <w:rPr>
                <w:lang w:val="en-GB"/>
              </w:rPr>
            </w:pPr>
          </w:p>
        </w:tc>
        <w:tc>
          <w:tcPr>
            <w:tcW w:w="1615" w:type="dxa"/>
            <w:noWrap/>
            <w:hideMark/>
          </w:tcPr>
          <w:p w14:paraId="1DFBFAE9" w14:textId="77777777" w:rsidR="00AD67A0" w:rsidRPr="003726FE" w:rsidRDefault="00AD67A0" w:rsidP="00910B01">
            <w:pPr>
              <w:pStyle w:val="quoteboxes"/>
              <w:rPr>
                <w:lang w:val="en-GB"/>
              </w:rPr>
            </w:pPr>
            <w:r w:rsidRPr="003726FE">
              <w:rPr>
                <w:lang w:val="en-GB"/>
              </w:rPr>
              <w:t>A</w:t>
            </w:r>
          </w:p>
        </w:tc>
        <w:tc>
          <w:tcPr>
            <w:tcW w:w="1999" w:type="dxa"/>
            <w:noWrap/>
            <w:hideMark/>
          </w:tcPr>
          <w:p w14:paraId="66D591B0" w14:textId="77777777" w:rsidR="00AD67A0" w:rsidRPr="003726FE" w:rsidRDefault="00AD67A0" w:rsidP="00910B01">
            <w:pPr>
              <w:pStyle w:val="quoteboxes"/>
              <w:rPr>
                <w:lang w:val="en-GB"/>
              </w:rPr>
            </w:pPr>
            <w:r w:rsidRPr="003726FE">
              <w:rPr>
                <w:lang w:val="en-GB"/>
              </w:rPr>
              <w:t>B</w:t>
            </w:r>
          </w:p>
        </w:tc>
        <w:tc>
          <w:tcPr>
            <w:tcW w:w="1600" w:type="dxa"/>
            <w:noWrap/>
            <w:hideMark/>
          </w:tcPr>
          <w:p w14:paraId="2A42ECFF" w14:textId="77777777" w:rsidR="00AD67A0" w:rsidRPr="003726FE" w:rsidRDefault="00AD67A0" w:rsidP="00910B01">
            <w:pPr>
              <w:pStyle w:val="quoteboxes"/>
              <w:rPr>
                <w:lang w:val="en-GB"/>
              </w:rPr>
            </w:pPr>
            <w:r w:rsidRPr="003726FE">
              <w:rPr>
                <w:lang w:val="en-GB"/>
              </w:rPr>
              <w:t>C</w:t>
            </w:r>
          </w:p>
        </w:tc>
        <w:tc>
          <w:tcPr>
            <w:tcW w:w="1356" w:type="dxa"/>
            <w:noWrap/>
            <w:hideMark/>
          </w:tcPr>
          <w:p w14:paraId="648AC73B" w14:textId="77777777" w:rsidR="00AD67A0" w:rsidRPr="003726FE" w:rsidRDefault="00AD67A0" w:rsidP="00910B01">
            <w:pPr>
              <w:pStyle w:val="quoteboxes"/>
              <w:rPr>
                <w:lang w:val="en-GB"/>
              </w:rPr>
            </w:pPr>
            <w:r w:rsidRPr="003726FE">
              <w:rPr>
                <w:lang w:val="en-GB"/>
              </w:rPr>
              <w:t>D</w:t>
            </w:r>
          </w:p>
        </w:tc>
        <w:tc>
          <w:tcPr>
            <w:tcW w:w="2623" w:type="dxa"/>
            <w:noWrap/>
            <w:hideMark/>
          </w:tcPr>
          <w:p w14:paraId="3B09FF0C" w14:textId="77777777" w:rsidR="00AD67A0" w:rsidRPr="003726FE" w:rsidRDefault="00AD67A0" w:rsidP="00910B01">
            <w:pPr>
              <w:pStyle w:val="quoteboxes"/>
              <w:rPr>
                <w:lang w:val="en-GB"/>
              </w:rPr>
            </w:pPr>
            <w:r w:rsidRPr="003726FE">
              <w:rPr>
                <w:lang w:val="en-GB"/>
              </w:rPr>
              <w:t>E</w:t>
            </w:r>
          </w:p>
        </w:tc>
        <w:tc>
          <w:tcPr>
            <w:tcW w:w="1417" w:type="dxa"/>
          </w:tcPr>
          <w:p w14:paraId="7239741B" w14:textId="632EFECB" w:rsidR="00AD67A0" w:rsidRPr="003726FE" w:rsidRDefault="005B4152" w:rsidP="00910B01">
            <w:pPr>
              <w:pStyle w:val="quoteboxes"/>
              <w:rPr>
                <w:lang w:val="en-GB"/>
              </w:rPr>
            </w:pPr>
            <w:r w:rsidRPr="003726FE">
              <w:rPr>
                <w:lang w:val="en-GB"/>
              </w:rPr>
              <w:t>F</w:t>
            </w:r>
          </w:p>
        </w:tc>
        <w:tc>
          <w:tcPr>
            <w:tcW w:w="1382" w:type="dxa"/>
          </w:tcPr>
          <w:p w14:paraId="0BA664A6" w14:textId="1CF1A98F" w:rsidR="00AD67A0" w:rsidRPr="003726FE" w:rsidRDefault="005B4152" w:rsidP="00910B01">
            <w:pPr>
              <w:pStyle w:val="quoteboxes"/>
              <w:rPr>
                <w:lang w:val="en-GB"/>
              </w:rPr>
            </w:pPr>
            <w:r w:rsidRPr="003726FE">
              <w:rPr>
                <w:lang w:val="en-GB"/>
              </w:rPr>
              <w:t>G</w:t>
            </w:r>
          </w:p>
        </w:tc>
      </w:tr>
      <w:tr w:rsidR="00AD67A0" w:rsidRPr="003726FE" w14:paraId="2FF0B2F8" w14:textId="096FE5E9" w:rsidTr="00042504">
        <w:trPr>
          <w:trHeight w:val="4365"/>
        </w:trPr>
        <w:tc>
          <w:tcPr>
            <w:tcW w:w="1434" w:type="dxa"/>
            <w:vAlign w:val="center"/>
            <w:hideMark/>
          </w:tcPr>
          <w:p w14:paraId="16529BCB" w14:textId="4299D52A" w:rsidR="00AD67A0" w:rsidRPr="003726FE" w:rsidRDefault="00AD67A0" w:rsidP="00910B01">
            <w:pPr>
              <w:pStyle w:val="quoteboxes"/>
              <w:rPr>
                <w:lang w:val="en-GB"/>
              </w:rPr>
            </w:pPr>
            <w:r w:rsidRPr="003726FE">
              <w:rPr>
                <w:lang w:val="en-GB"/>
              </w:rPr>
              <w:t>7 Credibility</w:t>
            </w:r>
          </w:p>
        </w:tc>
        <w:tc>
          <w:tcPr>
            <w:tcW w:w="1615" w:type="dxa"/>
            <w:hideMark/>
          </w:tcPr>
          <w:p w14:paraId="7A2F7077" w14:textId="22937384" w:rsidR="00AD67A0" w:rsidRPr="003726FE" w:rsidRDefault="00AD67A0" w:rsidP="00910B01">
            <w:pPr>
              <w:pStyle w:val="quoteboxes"/>
              <w:rPr>
                <w:lang w:val="en-GB"/>
              </w:rPr>
            </w:pPr>
            <w:r w:rsidRPr="003726FE">
              <w:rPr>
                <w:lang w:val="en-GB"/>
              </w:rPr>
              <w:t xml:space="preserve">G4 - 2: I take it very seriously when they tell me the feedback, not that I get offended or whatever, its jus the fact that there’s so much I don’t know yet, everything they say to me is like “wow ok this is definitely a way I can do it much better than what I know because I don’t know anything at the moment compared to them” </w:t>
            </w:r>
          </w:p>
        </w:tc>
        <w:tc>
          <w:tcPr>
            <w:tcW w:w="1999" w:type="dxa"/>
            <w:hideMark/>
          </w:tcPr>
          <w:p w14:paraId="08FA8E81" w14:textId="0DC35ED4" w:rsidR="00AD67A0" w:rsidRPr="003726FE" w:rsidRDefault="00AD67A0" w:rsidP="00910B01">
            <w:pPr>
              <w:pStyle w:val="quoteboxes"/>
              <w:rPr>
                <w:lang w:val="en-GB"/>
              </w:rPr>
            </w:pPr>
            <w:r w:rsidRPr="003726FE">
              <w:rPr>
                <w:lang w:val="en-GB"/>
              </w:rPr>
              <w:t>FG1 - BPF Student 5: I feel under pressure if it’s from a consultant, my consultant knows it so much more than we do so I’m like “oh my god”</w:t>
            </w:r>
            <w:r w:rsidRPr="003726FE">
              <w:rPr>
                <w:lang w:val="en-GB"/>
              </w:rPr>
              <w:br/>
              <w:t>Student 9: you take the feedback in the same way but it’s just… you take it just as seriously but you have that pressure. Student 8: You believe them a bit more because they’ve been teaching for longer. Whereas one of us says something I would take it in but I wouldn’t hang on their every word</w:t>
            </w:r>
          </w:p>
        </w:tc>
        <w:tc>
          <w:tcPr>
            <w:tcW w:w="1600" w:type="dxa"/>
            <w:hideMark/>
          </w:tcPr>
          <w:p w14:paraId="0F39955A" w14:textId="1B19B69F" w:rsidR="00AD67A0" w:rsidRPr="003726FE" w:rsidRDefault="00AD67A0" w:rsidP="00910B01">
            <w:pPr>
              <w:pStyle w:val="quoteboxes"/>
              <w:rPr>
                <w:lang w:val="en-GB"/>
              </w:rPr>
            </w:pPr>
            <w:r w:rsidRPr="003726FE">
              <w:rPr>
                <w:lang w:val="en-GB"/>
              </w:rPr>
              <w:t>G4 - 1: It’s definitely more useful if it’s at least F1 or someone who has graduated already. Because they don’t know us they are even more impartial. Sometimes when they’re too senior they bring it to a whole new level, so they get carried away by whatever specialty that they do. Sometimes it’s hard to filter it</w:t>
            </w:r>
          </w:p>
        </w:tc>
        <w:tc>
          <w:tcPr>
            <w:tcW w:w="1356" w:type="dxa"/>
            <w:hideMark/>
          </w:tcPr>
          <w:p w14:paraId="2F2350CC" w14:textId="447FAFCD" w:rsidR="00AD67A0" w:rsidRPr="003726FE" w:rsidRDefault="00AD67A0" w:rsidP="00910B01">
            <w:pPr>
              <w:pStyle w:val="quoteboxes"/>
              <w:rPr>
                <w:lang w:val="en-GB"/>
              </w:rPr>
            </w:pPr>
            <w:r w:rsidRPr="003726FE">
              <w:rPr>
                <w:lang w:val="en-GB"/>
              </w:rPr>
              <w:t>FG6 - BPF Student 3: yeah I think some were more clued up than others because sometimes there would be an expert in that skill doing it, sometimes you’d get an F1 or F2 doing it randomly which isn’t their speciality and they try to give feedback to the best of their ability but it’s not as good as good as an expert in that field.</w:t>
            </w:r>
          </w:p>
        </w:tc>
        <w:tc>
          <w:tcPr>
            <w:tcW w:w="2623" w:type="dxa"/>
            <w:hideMark/>
          </w:tcPr>
          <w:p w14:paraId="78DF774D" w14:textId="71883498" w:rsidR="00AD67A0" w:rsidRPr="003726FE" w:rsidRDefault="00AD67A0" w:rsidP="00910B01">
            <w:pPr>
              <w:pStyle w:val="quoteboxes"/>
              <w:rPr>
                <w:lang w:val="en-GB"/>
              </w:rPr>
            </w:pPr>
            <w:r w:rsidRPr="003726FE">
              <w:rPr>
                <w:lang w:val="en-GB"/>
              </w:rPr>
              <w:t>G7 - 1: a lot of the feedback I get from the registrar is interesting, things like treatment, a lot of it I didn’t know. I think it’s interesting but I don’t need to know that now. In my head I think “thank you for telling me that but whatever” on the flipside you have to filter it out when a peer is watching you and they give you advice on something I have to go home and look up how to do that because I think it’s done one way and they think it’s another, neither of us know. Or I need to go and ask someone. I have to take that into account, if everyone’s telling me different things I have to look it up or ask a fifth year who’s done the OSCE and ask what they did and if they passed. I have to take into account who is giving me feedback.</w:t>
            </w:r>
          </w:p>
        </w:tc>
        <w:tc>
          <w:tcPr>
            <w:tcW w:w="1417" w:type="dxa"/>
          </w:tcPr>
          <w:p w14:paraId="1A4B9CEE" w14:textId="1156A55B" w:rsidR="00AD67A0" w:rsidRPr="003726FE" w:rsidRDefault="00AD67A0" w:rsidP="00910B01">
            <w:pPr>
              <w:pStyle w:val="quoteboxes"/>
              <w:rPr>
                <w:lang w:val="en-GB"/>
              </w:rPr>
            </w:pPr>
            <w:r w:rsidRPr="003726FE">
              <w:rPr>
                <w:lang w:val="en-GB"/>
              </w:rPr>
              <w:t>G7 - 2: When I get it from someone who’s superior to me… I had it from my stroke consultant, I took it on board big time, I don’t know why… it’s terrible that I do just because they’re higher up but it’s true, I take it more on board from them because I’ve been under that pressure and what it feels like to miss something out.</w:t>
            </w:r>
          </w:p>
        </w:tc>
        <w:tc>
          <w:tcPr>
            <w:tcW w:w="1382" w:type="dxa"/>
          </w:tcPr>
          <w:p w14:paraId="24D3D890" w14:textId="44124A88" w:rsidR="00AD67A0" w:rsidRPr="003726FE" w:rsidRDefault="00AD67A0" w:rsidP="00910B01">
            <w:pPr>
              <w:pStyle w:val="quoteboxes"/>
              <w:rPr>
                <w:lang w:val="en-GB"/>
              </w:rPr>
            </w:pPr>
            <w:r w:rsidRPr="003726FE">
              <w:rPr>
                <w:lang w:val="en-GB"/>
              </w:rPr>
              <w:t>G4 - 2: knowing the person and knowing their level for skill helps as well. If they’re not doing it right and they tell me to do it a certain way then I’m going to start questioning whether or not that actually works but so far I haven’t had that problem, I haven’t had to doubt their credibility at all.</w:t>
            </w:r>
          </w:p>
        </w:tc>
      </w:tr>
    </w:tbl>
    <w:p w14:paraId="447857EA" w14:textId="77777777" w:rsidR="005B4152" w:rsidRPr="003726FE" w:rsidRDefault="005B4152" w:rsidP="00910B01">
      <w:pPr>
        <w:pStyle w:val="quoteboxes"/>
        <w:rPr>
          <w:lang w:val="en-GB"/>
        </w:rPr>
      </w:pPr>
    </w:p>
    <w:p w14:paraId="19C401A1" w14:textId="77777777" w:rsidR="005B4152" w:rsidRPr="003726FE" w:rsidRDefault="005B4152"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77"/>
        <w:gridCol w:w="2706"/>
        <w:gridCol w:w="2348"/>
        <w:gridCol w:w="2349"/>
        <w:gridCol w:w="2268"/>
        <w:gridCol w:w="2378"/>
      </w:tblGrid>
      <w:tr w:rsidR="005B4152" w:rsidRPr="003726FE" w14:paraId="315E94F0" w14:textId="77777777" w:rsidTr="00617837">
        <w:trPr>
          <w:trHeight w:val="315"/>
        </w:trPr>
        <w:tc>
          <w:tcPr>
            <w:tcW w:w="1564" w:type="dxa"/>
            <w:noWrap/>
            <w:hideMark/>
          </w:tcPr>
          <w:p w14:paraId="78FE3E8E" w14:textId="77777777" w:rsidR="005B4152" w:rsidRPr="003726FE" w:rsidRDefault="005B4152" w:rsidP="00910B01">
            <w:pPr>
              <w:pStyle w:val="quoteboxes"/>
              <w:rPr>
                <w:lang w:val="en-GB"/>
              </w:rPr>
            </w:pPr>
          </w:p>
        </w:tc>
        <w:tc>
          <w:tcPr>
            <w:tcW w:w="3109" w:type="dxa"/>
            <w:noWrap/>
            <w:hideMark/>
          </w:tcPr>
          <w:p w14:paraId="4CB2D0C9" w14:textId="484C669A" w:rsidR="005B4152" w:rsidRPr="003726FE" w:rsidRDefault="005B4152" w:rsidP="00910B01">
            <w:pPr>
              <w:pStyle w:val="quoteboxes"/>
              <w:rPr>
                <w:lang w:val="en-GB"/>
              </w:rPr>
            </w:pPr>
            <w:r w:rsidRPr="003726FE">
              <w:rPr>
                <w:lang w:val="en-GB"/>
              </w:rPr>
              <w:t>H</w:t>
            </w:r>
          </w:p>
        </w:tc>
        <w:tc>
          <w:tcPr>
            <w:tcW w:w="2693" w:type="dxa"/>
            <w:noWrap/>
            <w:hideMark/>
          </w:tcPr>
          <w:p w14:paraId="03008AF6" w14:textId="1023718B" w:rsidR="005B4152" w:rsidRPr="003726FE" w:rsidRDefault="005B4152" w:rsidP="00910B01">
            <w:pPr>
              <w:pStyle w:val="quoteboxes"/>
              <w:rPr>
                <w:lang w:val="en-GB"/>
              </w:rPr>
            </w:pPr>
            <w:r w:rsidRPr="003726FE">
              <w:rPr>
                <w:lang w:val="en-GB"/>
              </w:rPr>
              <w:t>I</w:t>
            </w:r>
          </w:p>
        </w:tc>
        <w:tc>
          <w:tcPr>
            <w:tcW w:w="2694" w:type="dxa"/>
            <w:noWrap/>
            <w:hideMark/>
          </w:tcPr>
          <w:p w14:paraId="46DFADF9" w14:textId="1496F28C" w:rsidR="005B4152" w:rsidRPr="003726FE" w:rsidRDefault="005B4152" w:rsidP="00910B01">
            <w:pPr>
              <w:pStyle w:val="quoteboxes"/>
              <w:rPr>
                <w:lang w:val="en-GB"/>
              </w:rPr>
            </w:pPr>
            <w:r w:rsidRPr="003726FE">
              <w:rPr>
                <w:lang w:val="en-GB"/>
              </w:rPr>
              <w:t>J</w:t>
            </w:r>
          </w:p>
        </w:tc>
        <w:tc>
          <w:tcPr>
            <w:tcW w:w="2600" w:type="dxa"/>
            <w:noWrap/>
            <w:hideMark/>
          </w:tcPr>
          <w:p w14:paraId="0E22028D" w14:textId="21129900" w:rsidR="005B4152" w:rsidRPr="003726FE" w:rsidRDefault="005B4152" w:rsidP="00910B01">
            <w:pPr>
              <w:pStyle w:val="quoteboxes"/>
              <w:rPr>
                <w:lang w:val="en-GB"/>
              </w:rPr>
            </w:pPr>
            <w:r w:rsidRPr="003726FE">
              <w:rPr>
                <w:lang w:val="en-GB"/>
              </w:rPr>
              <w:t>K</w:t>
            </w:r>
          </w:p>
        </w:tc>
        <w:tc>
          <w:tcPr>
            <w:tcW w:w="2728" w:type="dxa"/>
            <w:noWrap/>
            <w:hideMark/>
          </w:tcPr>
          <w:p w14:paraId="49C8A494" w14:textId="2D6CA482" w:rsidR="005B4152" w:rsidRPr="003726FE" w:rsidRDefault="005B4152" w:rsidP="00910B01">
            <w:pPr>
              <w:pStyle w:val="quoteboxes"/>
              <w:rPr>
                <w:lang w:val="en-GB"/>
              </w:rPr>
            </w:pPr>
            <w:r w:rsidRPr="003726FE">
              <w:rPr>
                <w:lang w:val="en-GB"/>
              </w:rPr>
              <w:t>L</w:t>
            </w:r>
          </w:p>
        </w:tc>
      </w:tr>
      <w:tr w:rsidR="005B4152" w:rsidRPr="003726FE" w14:paraId="20C787EA" w14:textId="77777777" w:rsidTr="005B4152">
        <w:trPr>
          <w:trHeight w:val="4365"/>
        </w:trPr>
        <w:tc>
          <w:tcPr>
            <w:tcW w:w="1564" w:type="dxa"/>
            <w:vAlign w:val="center"/>
            <w:hideMark/>
          </w:tcPr>
          <w:p w14:paraId="1484867E" w14:textId="7286DE53" w:rsidR="005B4152" w:rsidRPr="003726FE" w:rsidRDefault="005B4152" w:rsidP="00910B01">
            <w:pPr>
              <w:pStyle w:val="quoteboxes"/>
              <w:rPr>
                <w:lang w:val="en-GB"/>
              </w:rPr>
            </w:pPr>
            <w:r w:rsidRPr="003726FE">
              <w:rPr>
                <w:lang w:val="en-GB"/>
              </w:rPr>
              <w:t>7 Credibility</w:t>
            </w:r>
          </w:p>
        </w:tc>
        <w:tc>
          <w:tcPr>
            <w:tcW w:w="3109" w:type="dxa"/>
            <w:hideMark/>
          </w:tcPr>
          <w:p w14:paraId="3B28584E" w14:textId="304F028E" w:rsidR="005B4152" w:rsidRPr="003726FE" w:rsidRDefault="005B4152" w:rsidP="00910B01">
            <w:pPr>
              <w:pStyle w:val="quoteboxes"/>
              <w:rPr>
                <w:lang w:val="en-GB"/>
              </w:rPr>
            </w:pPr>
            <w:r w:rsidRPr="003726FE">
              <w:rPr>
                <w:lang w:val="en-GB"/>
              </w:rPr>
              <w:t>FG7 - SRLF Student 4: I hate to say it but I value the consultants feedback more (laughs), just because they’ve been there for a lot longer so they’ve got all that experience, more than ten years’ experience so they know what they’re talking about whereas sometimes the F1’s themselves won’t know what they’re doing.</w:t>
            </w:r>
          </w:p>
        </w:tc>
        <w:tc>
          <w:tcPr>
            <w:tcW w:w="2693" w:type="dxa"/>
            <w:hideMark/>
          </w:tcPr>
          <w:p w14:paraId="15D07B96" w14:textId="6221D7E7" w:rsidR="005B4152" w:rsidRPr="003726FE" w:rsidRDefault="005B4152" w:rsidP="00910B01">
            <w:pPr>
              <w:pStyle w:val="quoteboxes"/>
              <w:rPr>
                <w:lang w:val="en-GB"/>
              </w:rPr>
            </w:pPr>
            <w:r w:rsidRPr="003726FE">
              <w:rPr>
                <w:lang w:val="en-GB"/>
              </w:rPr>
              <w:t xml:space="preserve">G5 - 1: I’m not going to take it personally if an orthopaedic surgeon tells me I need to improve my anatomy because I probably do but if he says I need to improve my communication skills I would think that he’s seen me for five minutes and not with a patient so it’s not got much grounding. It’s difficult because they know more than I do about medicine and I should be taking it and being on board with what they say but it’s difficult when I don’t have a relationship with them. </w:t>
            </w:r>
          </w:p>
        </w:tc>
        <w:tc>
          <w:tcPr>
            <w:tcW w:w="2694" w:type="dxa"/>
            <w:hideMark/>
          </w:tcPr>
          <w:p w14:paraId="7A21D566" w14:textId="47649C59" w:rsidR="005B4152" w:rsidRPr="003726FE" w:rsidRDefault="005B4152" w:rsidP="00910B01">
            <w:pPr>
              <w:pStyle w:val="quoteboxes"/>
              <w:rPr>
                <w:lang w:val="en-GB"/>
              </w:rPr>
            </w:pPr>
            <w:r w:rsidRPr="003726FE">
              <w:rPr>
                <w:lang w:val="en-GB"/>
              </w:rPr>
              <w:t>FG5 - SRLF Student 4: it depends on your relationship with the person as well because… when we were following an F1, we didn’t get on well so I didn’t take the F1’s feedback as much as I would have from someone else because I don’t really agree with how he does things so I don’t want to listen to the criticism which probably isn’t good but that’s how it is.</w:t>
            </w:r>
          </w:p>
        </w:tc>
        <w:tc>
          <w:tcPr>
            <w:tcW w:w="2600" w:type="dxa"/>
            <w:hideMark/>
          </w:tcPr>
          <w:p w14:paraId="7F0494D3" w14:textId="79CEDD97" w:rsidR="005B4152" w:rsidRPr="003726FE" w:rsidRDefault="005B4152" w:rsidP="00910B01">
            <w:pPr>
              <w:pStyle w:val="quoteboxes"/>
              <w:rPr>
                <w:lang w:val="en-GB"/>
              </w:rPr>
            </w:pPr>
            <w:r w:rsidRPr="003726FE">
              <w:rPr>
                <w:lang w:val="en-GB"/>
              </w:rPr>
              <w:t>FG7 - SRLF Student 4: from a personal point of view we go around in twos and take histories and do examinations so it’s good to peer review from that sense but personally I would like the opportunity to go around with consultants because it’s hard to get feedback in that sense so it would be nice to get some more feedback from someone who knows what they’re doing a bit more rather than just from each other because we could both be wrong and not pick up on it during examinations or histories. It helps having each other when there’s no one else</w:t>
            </w:r>
          </w:p>
        </w:tc>
        <w:tc>
          <w:tcPr>
            <w:tcW w:w="2728" w:type="dxa"/>
            <w:hideMark/>
          </w:tcPr>
          <w:p w14:paraId="6DCE5CB5" w14:textId="1017F334" w:rsidR="005B4152" w:rsidRPr="003726FE" w:rsidRDefault="005B4152" w:rsidP="00910B01">
            <w:pPr>
              <w:pStyle w:val="quoteboxes"/>
              <w:rPr>
                <w:lang w:val="en-GB"/>
              </w:rPr>
            </w:pPr>
            <w:r w:rsidRPr="003726FE">
              <w:rPr>
                <w:lang w:val="en-GB"/>
              </w:rPr>
              <w:t>G4 - 1:  I think the peer feedback is not as useful, it’s better if it’s someone senior because we would never criticise someone senior on their feedback. I just accept it, it’s easier to accept it if it’s someone senior rather than a peer.</w:t>
            </w:r>
          </w:p>
        </w:tc>
      </w:tr>
    </w:tbl>
    <w:p w14:paraId="305DA6C4" w14:textId="77777777" w:rsidR="005B4152" w:rsidRPr="003726FE" w:rsidRDefault="005B4152" w:rsidP="00910B01">
      <w:pPr>
        <w:pStyle w:val="quoteboxes"/>
        <w:rPr>
          <w:lang w:val="en-GB"/>
        </w:rPr>
      </w:pPr>
    </w:p>
    <w:p w14:paraId="34B70541" w14:textId="77777777" w:rsidR="005B4152" w:rsidRPr="003726FE" w:rsidRDefault="005B4152"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87"/>
        <w:gridCol w:w="2727"/>
        <w:gridCol w:w="2366"/>
        <w:gridCol w:w="3473"/>
        <w:gridCol w:w="3473"/>
      </w:tblGrid>
      <w:tr w:rsidR="005B4152" w:rsidRPr="003726FE" w14:paraId="4097E642" w14:textId="77777777" w:rsidTr="005B4152">
        <w:trPr>
          <w:trHeight w:val="315"/>
        </w:trPr>
        <w:tc>
          <w:tcPr>
            <w:tcW w:w="1564" w:type="dxa"/>
            <w:noWrap/>
            <w:hideMark/>
          </w:tcPr>
          <w:p w14:paraId="6C516DB2" w14:textId="77777777" w:rsidR="005B4152" w:rsidRPr="003726FE" w:rsidRDefault="005B4152" w:rsidP="00910B01">
            <w:pPr>
              <w:pStyle w:val="quoteboxes"/>
              <w:rPr>
                <w:lang w:val="en-GB"/>
              </w:rPr>
            </w:pPr>
          </w:p>
        </w:tc>
        <w:tc>
          <w:tcPr>
            <w:tcW w:w="3109" w:type="dxa"/>
            <w:noWrap/>
            <w:hideMark/>
          </w:tcPr>
          <w:p w14:paraId="0AEA32C3" w14:textId="23F73075" w:rsidR="005B4152" w:rsidRPr="003726FE" w:rsidRDefault="005B4152" w:rsidP="00910B01">
            <w:pPr>
              <w:pStyle w:val="quoteboxes"/>
              <w:rPr>
                <w:lang w:val="en-GB"/>
              </w:rPr>
            </w:pPr>
            <w:r w:rsidRPr="003726FE">
              <w:rPr>
                <w:lang w:val="en-GB"/>
              </w:rPr>
              <w:t>M</w:t>
            </w:r>
          </w:p>
        </w:tc>
        <w:tc>
          <w:tcPr>
            <w:tcW w:w="2693" w:type="dxa"/>
            <w:noWrap/>
            <w:hideMark/>
          </w:tcPr>
          <w:p w14:paraId="55AA284C" w14:textId="7EE8CD1B" w:rsidR="005B4152" w:rsidRPr="003726FE" w:rsidRDefault="005B4152" w:rsidP="00910B01">
            <w:pPr>
              <w:pStyle w:val="quoteboxes"/>
              <w:rPr>
                <w:lang w:val="en-GB"/>
              </w:rPr>
            </w:pPr>
            <w:r w:rsidRPr="003726FE">
              <w:rPr>
                <w:lang w:val="en-GB"/>
              </w:rPr>
              <w:t>N</w:t>
            </w:r>
          </w:p>
        </w:tc>
        <w:tc>
          <w:tcPr>
            <w:tcW w:w="3969" w:type="dxa"/>
            <w:noWrap/>
            <w:hideMark/>
          </w:tcPr>
          <w:p w14:paraId="7BD8D40E" w14:textId="6CB8D1F9" w:rsidR="005B4152" w:rsidRPr="003726FE" w:rsidRDefault="005B4152" w:rsidP="00910B01">
            <w:pPr>
              <w:pStyle w:val="quoteboxes"/>
              <w:rPr>
                <w:lang w:val="en-GB"/>
              </w:rPr>
            </w:pPr>
            <w:r w:rsidRPr="003726FE">
              <w:rPr>
                <w:lang w:val="en-GB"/>
              </w:rPr>
              <w:t>O</w:t>
            </w:r>
          </w:p>
        </w:tc>
        <w:tc>
          <w:tcPr>
            <w:tcW w:w="3969" w:type="dxa"/>
            <w:noWrap/>
            <w:hideMark/>
          </w:tcPr>
          <w:p w14:paraId="484C253B" w14:textId="30C50497" w:rsidR="005B4152" w:rsidRPr="003726FE" w:rsidRDefault="005B4152" w:rsidP="00910B01">
            <w:pPr>
              <w:pStyle w:val="quoteboxes"/>
              <w:rPr>
                <w:lang w:val="en-GB"/>
              </w:rPr>
            </w:pPr>
            <w:r w:rsidRPr="003726FE">
              <w:rPr>
                <w:lang w:val="en-GB"/>
              </w:rPr>
              <w:t>P</w:t>
            </w:r>
          </w:p>
        </w:tc>
      </w:tr>
      <w:tr w:rsidR="005B4152" w:rsidRPr="003726FE" w14:paraId="51BA2D77" w14:textId="77777777" w:rsidTr="005B4152">
        <w:trPr>
          <w:trHeight w:val="4365"/>
        </w:trPr>
        <w:tc>
          <w:tcPr>
            <w:tcW w:w="1564" w:type="dxa"/>
            <w:vAlign w:val="center"/>
            <w:hideMark/>
          </w:tcPr>
          <w:p w14:paraId="1E693D6F" w14:textId="480A0579" w:rsidR="005B4152" w:rsidRPr="003726FE" w:rsidRDefault="005B4152" w:rsidP="00910B01">
            <w:pPr>
              <w:pStyle w:val="quoteboxes"/>
              <w:rPr>
                <w:lang w:val="en-GB"/>
              </w:rPr>
            </w:pPr>
            <w:r w:rsidRPr="003726FE">
              <w:rPr>
                <w:lang w:val="en-GB"/>
              </w:rPr>
              <w:t>7 Credibility</w:t>
            </w:r>
          </w:p>
        </w:tc>
        <w:tc>
          <w:tcPr>
            <w:tcW w:w="3109" w:type="dxa"/>
            <w:hideMark/>
          </w:tcPr>
          <w:p w14:paraId="46667B6E" w14:textId="551EFD01" w:rsidR="005B4152" w:rsidRPr="003726FE" w:rsidRDefault="005B4152" w:rsidP="00910B01">
            <w:pPr>
              <w:pStyle w:val="quoteboxes"/>
              <w:rPr>
                <w:lang w:val="en-GB"/>
              </w:rPr>
            </w:pPr>
            <w:r w:rsidRPr="003726FE">
              <w:rPr>
                <w:lang w:val="en-GB"/>
              </w:rPr>
              <w:t>G2 - 2:  they’re younger and also they didn’t go to Sheffield either so they didn’t understand as much as a Sheffield graduate what stage I’m at and what I should be doing. Younger people I can build that friendship more with them.</w:t>
            </w:r>
          </w:p>
        </w:tc>
        <w:tc>
          <w:tcPr>
            <w:tcW w:w="2693" w:type="dxa"/>
            <w:hideMark/>
          </w:tcPr>
          <w:p w14:paraId="6499F5F6" w14:textId="20DD01B5" w:rsidR="005B4152" w:rsidRPr="003726FE" w:rsidRDefault="005B4152" w:rsidP="00910B01">
            <w:pPr>
              <w:pStyle w:val="quoteboxes"/>
              <w:rPr>
                <w:lang w:val="en-GB"/>
              </w:rPr>
            </w:pPr>
            <w:r w:rsidRPr="003726FE">
              <w:rPr>
                <w:lang w:val="en-GB"/>
              </w:rPr>
              <w:t>G3 - 2: The junior doctors are on the ward more and they know what it’s like to be a student so they see me looking lost and want to help. It’s reassuring to know that they were in the same position once and now are competent doctors.</w:t>
            </w:r>
          </w:p>
        </w:tc>
        <w:tc>
          <w:tcPr>
            <w:tcW w:w="3969" w:type="dxa"/>
            <w:hideMark/>
          </w:tcPr>
          <w:p w14:paraId="017DD7C1" w14:textId="59973746" w:rsidR="005B4152" w:rsidRPr="003726FE" w:rsidRDefault="005B4152" w:rsidP="00910B01">
            <w:pPr>
              <w:pStyle w:val="quoteboxes"/>
              <w:rPr>
                <w:lang w:val="en-GB"/>
              </w:rPr>
            </w:pPr>
            <w:r w:rsidRPr="003726FE">
              <w:rPr>
                <w:lang w:val="en-GB"/>
              </w:rPr>
              <w:t>G8 - 2: if I can tell that they care about me developing as a doctor I will take note of the feedback. My first consultant was really on-it, the feedback he was giving, you could tell that he really enjoyed teaching people and wanted us to be good doctors whereas some people give feedback just for the sake of giving you feedback [...] I can tell if it’s the kind of feedback where they want to help me or not, if they want to help me then I will take the feedback automatically because it comes across in a positive way.</w:t>
            </w:r>
          </w:p>
        </w:tc>
        <w:tc>
          <w:tcPr>
            <w:tcW w:w="3969" w:type="dxa"/>
            <w:hideMark/>
          </w:tcPr>
          <w:p w14:paraId="53CAC47B" w14:textId="19304CF4" w:rsidR="005B4152" w:rsidRPr="003726FE" w:rsidRDefault="005B4152" w:rsidP="00910B01">
            <w:pPr>
              <w:pStyle w:val="quoteboxes"/>
              <w:rPr>
                <w:lang w:val="en-GB"/>
              </w:rPr>
            </w:pPr>
            <w:r w:rsidRPr="003726FE">
              <w:rPr>
                <w:lang w:val="en-GB"/>
              </w:rPr>
              <w:t>G8 - 2:  if I get F1s who are Sheffield graduates because they know the routine. They know that we need certain forms signing and what we’re supposed to be doing at this stage whereas a lot of the consultants don’t actually know what we need to do or what we’re allowed to do.</w:t>
            </w:r>
          </w:p>
        </w:tc>
      </w:tr>
    </w:tbl>
    <w:p w14:paraId="756C189A" w14:textId="77777777" w:rsidR="005B4152" w:rsidRPr="003726FE" w:rsidRDefault="005B4152" w:rsidP="00910B01">
      <w:pPr>
        <w:pStyle w:val="quoteboxes"/>
        <w:rPr>
          <w:lang w:val="en-GB"/>
        </w:rPr>
      </w:pPr>
    </w:p>
    <w:p w14:paraId="370D9E63" w14:textId="77777777" w:rsidR="005B4152" w:rsidRPr="003726FE" w:rsidRDefault="005B4152" w:rsidP="00910B01">
      <w:pPr>
        <w:pStyle w:val="quoteboxes"/>
        <w:rPr>
          <w:lang w:val="en-GB"/>
        </w:rPr>
      </w:pPr>
      <w:r w:rsidRPr="003726FE">
        <w:rPr>
          <w:lang w:val="en-GB"/>
        </w:rPr>
        <w:br w:type="page"/>
      </w:r>
    </w:p>
    <w:tbl>
      <w:tblPr>
        <w:tblStyle w:val="TableGrid"/>
        <w:tblpPr w:leftFromText="180" w:rightFromText="180" w:horzAnchor="margin" w:tblpY="525"/>
        <w:tblW w:w="0" w:type="auto"/>
        <w:tblLook w:val="04A0" w:firstRow="1" w:lastRow="0" w:firstColumn="1" w:lastColumn="0" w:noHBand="0" w:noVBand="1"/>
      </w:tblPr>
      <w:tblGrid>
        <w:gridCol w:w="1350"/>
        <w:gridCol w:w="2047"/>
        <w:gridCol w:w="1701"/>
        <w:gridCol w:w="1843"/>
        <w:gridCol w:w="1276"/>
        <w:gridCol w:w="1445"/>
        <w:gridCol w:w="1957"/>
        <w:gridCol w:w="1807"/>
      </w:tblGrid>
      <w:tr w:rsidR="005B4152" w:rsidRPr="003726FE" w14:paraId="44A2ED95" w14:textId="53F57079" w:rsidTr="00042504">
        <w:trPr>
          <w:trHeight w:val="315"/>
        </w:trPr>
        <w:tc>
          <w:tcPr>
            <w:tcW w:w="1350" w:type="dxa"/>
            <w:noWrap/>
            <w:hideMark/>
          </w:tcPr>
          <w:p w14:paraId="1779AA21" w14:textId="77777777" w:rsidR="005B4152" w:rsidRPr="003726FE" w:rsidRDefault="005B4152" w:rsidP="00910B01">
            <w:pPr>
              <w:pStyle w:val="quoteboxes"/>
              <w:rPr>
                <w:lang w:val="en-GB"/>
              </w:rPr>
            </w:pPr>
          </w:p>
        </w:tc>
        <w:tc>
          <w:tcPr>
            <w:tcW w:w="2047" w:type="dxa"/>
            <w:noWrap/>
            <w:hideMark/>
          </w:tcPr>
          <w:p w14:paraId="31807002" w14:textId="77777777" w:rsidR="005B4152" w:rsidRPr="003726FE" w:rsidRDefault="005B4152" w:rsidP="00910B01">
            <w:pPr>
              <w:pStyle w:val="quoteboxes"/>
              <w:rPr>
                <w:lang w:val="en-GB"/>
              </w:rPr>
            </w:pPr>
            <w:r w:rsidRPr="003726FE">
              <w:rPr>
                <w:lang w:val="en-GB"/>
              </w:rPr>
              <w:t>A</w:t>
            </w:r>
          </w:p>
        </w:tc>
        <w:tc>
          <w:tcPr>
            <w:tcW w:w="1701" w:type="dxa"/>
            <w:noWrap/>
            <w:hideMark/>
          </w:tcPr>
          <w:p w14:paraId="2755C329" w14:textId="77777777" w:rsidR="005B4152" w:rsidRPr="003726FE" w:rsidRDefault="005B4152" w:rsidP="00910B01">
            <w:pPr>
              <w:pStyle w:val="quoteboxes"/>
              <w:rPr>
                <w:lang w:val="en-GB"/>
              </w:rPr>
            </w:pPr>
            <w:r w:rsidRPr="003726FE">
              <w:rPr>
                <w:lang w:val="en-GB"/>
              </w:rPr>
              <w:t>B</w:t>
            </w:r>
          </w:p>
        </w:tc>
        <w:tc>
          <w:tcPr>
            <w:tcW w:w="1843" w:type="dxa"/>
            <w:noWrap/>
            <w:hideMark/>
          </w:tcPr>
          <w:p w14:paraId="202CCBD8" w14:textId="77777777" w:rsidR="005B4152" w:rsidRPr="003726FE" w:rsidRDefault="005B4152" w:rsidP="00910B01">
            <w:pPr>
              <w:pStyle w:val="quoteboxes"/>
              <w:rPr>
                <w:lang w:val="en-GB"/>
              </w:rPr>
            </w:pPr>
            <w:r w:rsidRPr="003726FE">
              <w:rPr>
                <w:lang w:val="en-GB"/>
              </w:rPr>
              <w:t>C</w:t>
            </w:r>
          </w:p>
        </w:tc>
        <w:tc>
          <w:tcPr>
            <w:tcW w:w="1276" w:type="dxa"/>
            <w:noWrap/>
            <w:hideMark/>
          </w:tcPr>
          <w:p w14:paraId="7194F009" w14:textId="77777777" w:rsidR="005B4152" w:rsidRPr="003726FE" w:rsidRDefault="005B4152" w:rsidP="00910B01">
            <w:pPr>
              <w:pStyle w:val="quoteboxes"/>
              <w:rPr>
                <w:lang w:val="en-GB"/>
              </w:rPr>
            </w:pPr>
            <w:r w:rsidRPr="003726FE">
              <w:rPr>
                <w:lang w:val="en-GB"/>
              </w:rPr>
              <w:t>D</w:t>
            </w:r>
          </w:p>
        </w:tc>
        <w:tc>
          <w:tcPr>
            <w:tcW w:w="1445" w:type="dxa"/>
            <w:noWrap/>
            <w:hideMark/>
          </w:tcPr>
          <w:p w14:paraId="79C98FEA" w14:textId="77777777" w:rsidR="005B4152" w:rsidRPr="003726FE" w:rsidRDefault="005B4152" w:rsidP="00910B01">
            <w:pPr>
              <w:pStyle w:val="quoteboxes"/>
              <w:rPr>
                <w:lang w:val="en-GB"/>
              </w:rPr>
            </w:pPr>
            <w:r w:rsidRPr="003726FE">
              <w:rPr>
                <w:lang w:val="en-GB"/>
              </w:rPr>
              <w:t>E</w:t>
            </w:r>
          </w:p>
        </w:tc>
        <w:tc>
          <w:tcPr>
            <w:tcW w:w="1957" w:type="dxa"/>
          </w:tcPr>
          <w:p w14:paraId="371B18B3" w14:textId="6E0C8571" w:rsidR="005B4152" w:rsidRPr="003726FE" w:rsidRDefault="005B4152" w:rsidP="00910B01">
            <w:pPr>
              <w:pStyle w:val="quoteboxes"/>
              <w:rPr>
                <w:lang w:val="en-GB"/>
              </w:rPr>
            </w:pPr>
            <w:r w:rsidRPr="003726FE">
              <w:rPr>
                <w:lang w:val="en-GB"/>
              </w:rPr>
              <w:t>F</w:t>
            </w:r>
          </w:p>
        </w:tc>
        <w:tc>
          <w:tcPr>
            <w:tcW w:w="1807" w:type="dxa"/>
          </w:tcPr>
          <w:p w14:paraId="09E8A14F" w14:textId="71683935" w:rsidR="005B4152" w:rsidRPr="003726FE" w:rsidRDefault="005B4152" w:rsidP="00910B01">
            <w:pPr>
              <w:pStyle w:val="quoteboxes"/>
              <w:rPr>
                <w:lang w:val="en-GB"/>
              </w:rPr>
            </w:pPr>
            <w:r w:rsidRPr="003726FE">
              <w:rPr>
                <w:lang w:val="en-GB"/>
              </w:rPr>
              <w:t>G</w:t>
            </w:r>
          </w:p>
        </w:tc>
      </w:tr>
      <w:tr w:rsidR="005B4152" w:rsidRPr="003726FE" w14:paraId="7932F136" w14:textId="3C8114E3" w:rsidTr="00042504">
        <w:trPr>
          <w:trHeight w:val="4365"/>
        </w:trPr>
        <w:tc>
          <w:tcPr>
            <w:tcW w:w="1350" w:type="dxa"/>
            <w:vAlign w:val="center"/>
            <w:hideMark/>
          </w:tcPr>
          <w:p w14:paraId="3981446C" w14:textId="2B2F6A61" w:rsidR="005B4152" w:rsidRPr="003726FE" w:rsidRDefault="005B4152" w:rsidP="00910B01">
            <w:pPr>
              <w:pStyle w:val="quoteboxes"/>
              <w:rPr>
                <w:lang w:val="en-GB"/>
              </w:rPr>
            </w:pPr>
            <w:r w:rsidRPr="003726FE">
              <w:rPr>
                <w:lang w:val="en-GB"/>
              </w:rPr>
              <w:t>8 Self-confidence and motivation</w:t>
            </w:r>
          </w:p>
        </w:tc>
        <w:tc>
          <w:tcPr>
            <w:tcW w:w="2047" w:type="dxa"/>
            <w:hideMark/>
          </w:tcPr>
          <w:p w14:paraId="2F2AAE2A" w14:textId="5510C7A1" w:rsidR="005B4152" w:rsidRPr="003726FE" w:rsidRDefault="005B4152" w:rsidP="00910B01">
            <w:pPr>
              <w:pStyle w:val="quoteboxes"/>
              <w:rPr>
                <w:lang w:val="en-GB"/>
              </w:rPr>
            </w:pPr>
            <w:r w:rsidRPr="003726FE">
              <w:rPr>
                <w:lang w:val="en-GB"/>
              </w:rPr>
              <w:t>G1 - 2: Knowing where the right equipment is and getting used to it, it varies between trusts, he just told me to go and do it but I felt confused because I hadn’t done it there before, I’d not done it in a long time either. He seemed a little bit busy and didn’t support me that much so that was nerve-wracking, I did it and I’m sure it was fine but I was worried after that I should check on the patient again to make sure their arm wasn’t bleeding, I was worried I might have damaged them, silly things like that because I didn’t have anyone there to talk me through it.</w:t>
            </w:r>
          </w:p>
        </w:tc>
        <w:tc>
          <w:tcPr>
            <w:tcW w:w="1701" w:type="dxa"/>
            <w:hideMark/>
          </w:tcPr>
          <w:p w14:paraId="13684D50" w14:textId="7FC754C2" w:rsidR="005B4152" w:rsidRPr="003726FE" w:rsidRDefault="005B4152" w:rsidP="00910B01">
            <w:pPr>
              <w:pStyle w:val="quoteboxes"/>
              <w:rPr>
                <w:lang w:val="en-GB"/>
              </w:rPr>
            </w:pPr>
            <w:r w:rsidRPr="003726FE">
              <w:rPr>
                <w:lang w:val="en-GB"/>
              </w:rPr>
              <w:t>FG4 - SRLF Student 5: with it being our first clinical, it’s like our first year in Uni, it’s a big change so it’s quite important to get to know that we’re on the right path because we’ve not done it before and its quite new, I think everyone was quite anxious about talking to patients and it’s the first time so hearing that you’re doing it right or nearly right is quite reassuring, gives you a lot more confidence to come in.</w:t>
            </w:r>
          </w:p>
        </w:tc>
        <w:tc>
          <w:tcPr>
            <w:tcW w:w="1843" w:type="dxa"/>
            <w:hideMark/>
          </w:tcPr>
          <w:p w14:paraId="236AB78D" w14:textId="1D0B9E8C" w:rsidR="005B4152" w:rsidRPr="003726FE" w:rsidRDefault="005B4152" w:rsidP="00910B01">
            <w:pPr>
              <w:pStyle w:val="quoteboxes"/>
              <w:rPr>
                <w:lang w:val="en-GB"/>
              </w:rPr>
            </w:pPr>
            <w:r w:rsidRPr="003726FE">
              <w:rPr>
                <w:lang w:val="en-GB"/>
              </w:rPr>
              <w:t>G2 - 2: Something I find difficult is when I don’t get it right it really knocks my confidence which is difficult. The junior doctors are quite good at reassuring me but I should be mindful that I’m still really early on. I shouldn’t be do hard about it but it can knock me. They encourage you to try again and overcome it. They’ve never given me terrible feedback or anything. They’re still happy to let me have a go, they’ll come over and help too.</w:t>
            </w:r>
          </w:p>
        </w:tc>
        <w:tc>
          <w:tcPr>
            <w:tcW w:w="1276" w:type="dxa"/>
            <w:hideMark/>
          </w:tcPr>
          <w:p w14:paraId="50106C9F" w14:textId="61CE354D" w:rsidR="005B4152" w:rsidRPr="003726FE" w:rsidRDefault="005B4152" w:rsidP="00910B01">
            <w:pPr>
              <w:pStyle w:val="quoteboxes"/>
              <w:rPr>
                <w:lang w:val="en-GB"/>
              </w:rPr>
            </w:pPr>
            <w:r w:rsidRPr="003726FE">
              <w:rPr>
                <w:lang w:val="en-GB"/>
              </w:rPr>
              <w:t xml:space="preserve">G2 - 1: It was interesting thinking back to what I did on the first day and I thought “oh gosh what can I do?” whereas now I know what I can do and I’m more confident, I can speak to patients whereas before I’d ask the consultant if it was ok, and now I know I can and they don’t mind. </w:t>
            </w:r>
          </w:p>
        </w:tc>
        <w:tc>
          <w:tcPr>
            <w:tcW w:w="1445" w:type="dxa"/>
            <w:hideMark/>
          </w:tcPr>
          <w:p w14:paraId="2123E5C8" w14:textId="3EDFC003" w:rsidR="005B4152" w:rsidRPr="003726FE" w:rsidRDefault="005B4152" w:rsidP="00910B01">
            <w:pPr>
              <w:pStyle w:val="quoteboxes"/>
              <w:rPr>
                <w:lang w:val="en-GB"/>
              </w:rPr>
            </w:pPr>
            <w:r w:rsidRPr="003726FE">
              <w:rPr>
                <w:lang w:val="en-GB"/>
              </w:rPr>
              <w:t>G3 - 2: I’ve gotten more confident with patients. Through practice of those history taking and examinations, got more confident with those. Having that prolonged exposure, seeing the doctors talk to patients every morning makes me more confident talking to patients, adopt the doctor’s manner.</w:t>
            </w:r>
          </w:p>
        </w:tc>
        <w:tc>
          <w:tcPr>
            <w:tcW w:w="1957" w:type="dxa"/>
          </w:tcPr>
          <w:p w14:paraId="07D898F0" w14:textId="28D6024A" w:rsidR="005B4152" w:rsidRPr="003726FE" w:rsidRDefault="005B4152" w:rsidP="00910B01">
            <w:pPr>
              <w:pStyle w:val="quoteboxes"/>
              <w:rPr>
                <w:lang w:val="en-GB"/>
              </w:rPr>
            </w:pPr>
            <w:r w:rsidRPr="003726FE">
              <w:rPr>
                <w:lang w:val="en-GB"/>
              </w:rPr>
              <w:t>G4 - 2: my confidence is sort of a bar set for where I am and I can tell from where I started compared to now it was a huge difference as well. I think one of the biggest differences from then to now is not shaking when I’m doing the skills, I notice it now, when I do stuff its more… not natural because I’m still practicing but it’s going on a lot better rather than when I first started I was like “what do I do next, I don’t have any hands…” you know that kind of thing, fumbling around and stuff but it’s a lot better now.</w:t>
            </w:r>
          </w:p>
        </w:tc>
        <w:tc>
          <w:tcPr>
            <w:tcW w:w="1807" w:type="dxa"/>
          </w:tcPr>
          <w:p w14:paraId="3F0B235A" w14:textId="178537CF" w:rsidR="005B4152" w:rsidRPr="003726FE" w:rsidRDefault="005B4152" w:rsidP="00910B01">
            <w:pPr>
              <w:pStyle w:val="quoteboxes"/>
              <w:rPr>
                <w:lang w:val="en-GB"/>
              </w:rPr>
            </w:pPr>
            <w:r w:rsidRPr="003726FE">
              <w:rPr>
                <w:lang w:val="en-GB"/>
              </w:rPr>
              <w:t xml:space="preserve">FG7 - SRLF Student 2: </w:t>
            </w:r>
            <w:r w:rsidR="00D531CD" w:rsidRPr="003726FE">
              <w:rPr>
                <w:lang w:val="en-GB"/>
              </w:rPr>
              <w:t>I’d</w:t>
            </w:r>
            <w:r w:rsidRPr="003726FE">
              <w:rPr>
                <w:lang w:val="en-GB"/>
              </w:rPr>
              <w:t xml:space="preserve"> say our F1 s good, when we are one-on-one with him, like yesterday he asked me to put a cannula in and It was my first one so I asked him to watch me and he did. He took me through it and it worked for me, having someone there to calm me. It was good, after I got confident in it I could do it myself. He’s done that for me in different skills as well, he gets us quite involved and makes us feel part of the team and feel involved.</w:t>
            </w:r>
          </w:p>
        </w:tc>
      </w:tr>
    </w:tbl>
    <w:p w14:paraId="1C084B1B" w14:textId="448ED28D" w:rsidR="005B4152" w:rsidRPr="003726FE" w:rsidRDefault="004E3161" w:rsidP="00910B01">
      <w:pPr>
        <w:pStyle w:val="quoteboxes"/>
        <w:rPr>
          <w:b/>
          <w:sz w:val="24"/>
          <w:lang w:val="en-GB"/>
        </w:rPr>
      </w:pPr>
      <w:r w:rsidRPr="003726FE">
        <w:rPr>
          <w:b/>
          <w:sz w:val="24"/>
          <w:lang w:val="en-GB"/>
        </w:rPr>
        <w:t>Individual learner theme and sub-themes.</w:t>
      </w:r>
    </w:p>
    <w:p w14:paraId="06DE605D" w14:textId="77777777" w:rsidR="005B4152" w:rsidRPr="003726FE" w:rsidRDefault="005B4152"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217"/>
        <w:gridCol w:w="1292"/>
        <w:gridCol w:w="1444"/>
        <w:gridCol w:w="1851"/>
        <w:gridCol w:w="1703"/>
        <w:gridCol w:w="1986"/>
        <w:gridCol w:w="2268"/>
        <w:gridCol w:w="1665"/>
      </w:tblGrid>
      <w:tr w:rsidR="005B4152" w:rsidRPr="003726FE" w14:paraId="4126F7C3" w14:textId="1AA10379" w:rsidTr="00042504">
        <w:trPr>
          <w:trHeight w:val="315"/>
        </w:trPr>
        <w:tc>
          <w:tcPr>
            <w:tcW w:w="1217" w:type="dxa"/>
            <w:noWrap/>
            <w:hideMark/>
          </w:tcPr>
          <w:p w14:paraId="16EF8D78" w14:textId="77777777" w:rsidR="005B4152" w:rsidRPr="003726FE" w:rsidRDefault="005B4152" w:rsidP="00910B01">
            <w:pPr>
              <w:pStyle w:val="quoteboxes"/>
              <w:rPr>
                <w:lang w:val="en-GB"/>
              </w:rPr>
            </w:pPr>
          </w:p>
        </w:tc>
        <w:tc>
          <w:tcPr>
            <w:tcW w:w="1292" w:type="dxa"/>
            <w:noWrap/>
            <w:hideMark/>
          </w:tcPr>
          <w:p w14:paraId="7F12E392" w14:textId="42552151" w:rsidR="005B4152" w:rsidRPr="003726FE" w:rsidRDefault="005B4152" w:rsidP="00910B01">
            <w:pPr>
              <w:pStyle w:val="quoteboxes"/>
              <w:rPr>
                <w:lang w:val="en-GB"/>
              </w:rPr>
            </w:pPr>
            <w:r w:rsidRPr="003726FE">
              <w:rPr>
                <w:lang w:val="en-GB"/>
              </w:rPr>
              <w:t>H</w:t>
            </w:r>
          </w:p>
        </w:tc>
        <w:tc>
          <w:tcPr>
            <w:tcW w:w="1444" w:type="dxa"/>
            <w:noWrap/>
            <w:hideMark/>
          </w:tcPr>
          <w:p w14:paraId="12B153F9" w14:textId="331B54D6" w:rsidR="005B4152" w:rsidRPr="003726FE" w:rsidRDefault="005B4152" w:rsidP="00910B01">
            <w:pPr>
              <w:pStyle w:val="quoteboxes"/>
              <w:rPr>
                <w:lang w:val="en-GB"/>
              </w:rPr>
            </w:pPr>
            <w:r w:rsidRPr="003726FE">
              <w:rPr>
                <w:lang w:val="en-GB"/>
              </w:rPr>
              <w:t>I</w:t>
            </w:r>
          </w:p>
        </w:tc>
        <w:tc>
          <w:tcPr>
            <w:tcW w:w="1851" w:type="dxa"/>
            <w:noWrap/>
            <w:hideMark/>
          </w:tcPr>
          <w:p w14:paraId="37EF3BB8" w14:textId="1E879C09" w:rsidR="005B4152" w:rsidRPr="003726FE" w:rsidRDefault="005B4152" w:rsidP="00910B01">
            <w:pPr>
              <w:pStyle w:val="quoteboxes"/>
              <w:rPr>
                <w:lang w:val="en-GB"/>
              </w:rPr>
            </w:pPr>
            <w:r w:rsidRPr="003726FE">
              <w:rPr>
                <w:lang w:val="en-GB"/>
              </w:rPr>
              <w:t>J</w:t>
            </w:r>
          </w:p>
        </w:tc>
        <w:tc>
          <w:tcPr>
            <w:tcW w:w="1703" w:type="dxa"/>
            <w:noWrap/>
            <w:hideMark/>
          </w:tcPr>
          <w:p w14:paraId="6FD2C786" w14:textId="0390FC72" w:rsidR="005B4152" w:rsidRPr="003726FE" w:rsidRDefault="005B4152" w:rsidP="00910B01">
            <w:pPr>
              <w:pStyle w:val="quoteboxes"/>
              <w:rPr>
                <w:lang w:val="en-GB"/>
              </w:rPr>
            </w:pPr>
            <w:r w:rsidRPr="003726FE">
              <w:rPr>
                <w:lang w:val="en-GB"/>
              </w:rPr>
              <w:t>K</w:t>
            </w:r>
          </w:p>
        </w:tc>
        <w:tc>
          <w:tcPr>
            <w:tcW w:w="1986" w:type="dxa"/>
            <w:noWrap/>
            <w:hideMark/>
          </w:tcPr>
          <w:p w14:paraId="043D5D0A" w14:textId="3B282549" w:rsidR="005B4152" w:rsidRPr="003726FE" w:rsidRDefault="005B4152" w:rsidP="00910B01">
            <w:pPr>
              <w:pStyle w:val="quoteboxes"/>
              <w:rPr>
                <w:lang w:val="en-GB"/>
              </w:rPr>
            </w:pPr>
            <w:r w:rsidRPr="003726FE">
              <w:rPr>
                <w:lang w:val="en-GB"/>
              </w:rPr>
              <w:t>L</w:t>
            </w:r>
          </w:p>
        </w:tc>
        <w:tc>
          <w:tcPr>
            <w:tcW w:w="2268" w:type="dxa"/>
          </w:tcPr>
          <w:p w14:paraId="6D49EAA5" w14:textId="773FE949" w:rsidR="005B4152" w:rsidRPr="003726FE" w:rsidRDefault="005B4152" w:rsidP="00910B01">
            <w:pPr>
              <w:pStyle w:val="quoteboxes"/>
              <w:rPr>
                <w:lang w:val="en-GB"/>
              </w:rPr>
            </w:pPr>
            <w:r w:rsidRPr="003726FE">
              <w:rPr>
                <w:lang w:val="en-GB"/>
              </w:rPr>
              <w:t>M</w:t>
            </w:r>
          </w:p>
        </w:tc>
        <w:tc>
          <w:tcPr>
            <w:tcW w:w="1665" w:type="dxa"/>
          </w:tcPr>
          <w:p w14:paraId="2E0EF520" w14:textId="69E5951F" w:rsidR="005B4152" w:rsidRPr="003726FE" w:rsidRDefault="005B4152" w:rsidP="00910B01">
            <w:pPr>
              <w:pStyle w:val="quoteboxes"/>
              <w:rPr>
                <w:lang w:val="en-GB"/>
              </w:rPr>
            </w:pPr>
            <w:r w:rsidRPr="003726FE">
              <w:rPr>
                <w:lang w:val="en-GB"/>
              </w:rPr>
              <w:t>N</w:t>
            </w:r>
          </w:p>
        </w:tc>
      </w:tr>
      <w:tr w:rsidR="005B4152" w:rsidRPr="003726FE" w14:paraId="37415C76" w14:textId="0EDEA0FF" w:rsidTr="00042504">
        <w:trPr>
          <w:trHeight w:val="4365"/>
        </w:trPr>
        <w:tc>
          <w:tcPr>
            <w:tcW w:w="1217" w:type="dxa"/>
            <w:vAlign w:val="center"/>
            <w:hideMark/>
          </w:tcPr>
          <w:p w14:paraId="0EFBD759" w14:textId="16C34913" w:rsidR="005B4152" w:rsidRPr="003726FE" w:rsidRDefault="005B4152" w:rsidP="00910B01">
            <w:pPr>
              <w:pStyle w:val="quoteboxes"/>
              <w:rPr>
                <w:lang w:val="en-GB"/>
              </w:rPr>
            </w:pPr>
            <w:r w:rsidRPr="003726FE">
              <w:rPr>
                <w:lang w:val="en-GB"/>
              </w:rPr>
              <w:t>8 Self-confidence and motivation</w:t>
            </w:r>
          </w:p>
        </w:tc>
        <w:tc>
          <w:tcPr>
            <w:tcW w:w="1292" w:type="dxa"/>
            <w:hideMark/>
          </w:tcPr>
          <w:p w14:paraId="6E812D32" w14:textId="74398E6C" w:rsidR="005B4152" w:rsidRPr="003726FE" w:rsidRDefault="005B4152" w:rsidP="00910B01">
            <w:pPr>
              <w:pStyle w:val="quoteboxes"/>
              <w:rPr>
                <w:lang w:val="en-GB"/>
              </w:rPr>
            </w:pPr>
            <w:r w:rsidRPr="003726FE">
              <w:rPr>
                <w:lang w:val="en-GB"/>
              </w:rPr>
              <w:t>FG3 - BPF Student 6: when I did a blood the other day I was a bit nervous and I said “is that ok?” because you’re not really going to hurt the patient, you’re going to be fine. I did seek feedback then to get some reassurance and they said it was fine.</w:t>
            </w:r>
          </w:p>
        </w:tc>
        <w:tc>
          <w:tcPr>
            <w:tcW w:w="1444" w:type="dxa"/>
            <w:hideMark/>
          </w:tcPr>
          <w:p w14:paraId="6CAFDC62" w14:textId="5F19A956" w:rsidR="005B4152" w:rsidRPr="003726FE" w:rsidRDefault="005B4152" w:rsidP="00910B01">
            <w:pPr>
              <w:pStyle w:val="quoteboxes"/>
              <w:rPr>
                <w:lang w:val="en-GB"/>
              </w:rPr>
            </w:pPr>
            <w:r w:rsidRPr="003726FE">
              <w:rPr>
                <w:lang w:val="en-GB"/>
              </w:rPr>
              <w:t xml:space="preserve">G7 - 2: They could tell I was a little nervous and they came and helped me examine them, they built up my confidence, they thought that our confidence was something for them to build, when they realised we were confident enough they were happy to let us go on our own. </w:t>
            </w:r>
          </w:p>
        </w:tc>
        <w:tc>
          <w:tcPr>
            <w:tcW w:w="1851" w:type="dxa"/>
            <w:hideMark/>
          </w:tcPr>
          <w:p w14:paraId="31A69A4E" w14:textId="76823BDB" w:rsidR="005B4152" w:rsidRPr="003726FE" w:rsidRDefault="005B4152" w:rsidP="00910B01">
            <w:pPr>
              <w:pStyle w:val="quoteboxes"/>
              <w:rPr>
                <w:lang w:val="en-GB"/>
              </w:rPr>
            </w:pPr>
            <w:r w:rsidRPr="003726FE">
              <w:rPr>
                <w:lang w:val="en-GB"/>
              </w:rPr>
              <w:t xml:space="preserve">FG4 - SRLF Student 1: having someone say “you will be here till 5pm” you wouldn’t be as enthusiastic and you’d be more likely to want to go home whereas we’re free to do what we want it makes me think “I want to go in this morning and I will stay and get a blood done” </w:t>
            </w:r>
            <w:r w:rsidRPr="003726FE">
              <w:rPr>
                <w:lang w:val="en-GB"/>
              </w:rPr>
              <w:br/>
              <w:t>Student 5: yeah you’ve set out what you want to do, you make a choice to sort your day out so you can achieve what you want.</w:t>
            </w:r>
          </w:p>
        </w:tc>
        <w:tc>
          <w:tcPr>
            <w:tcW w:w="1703" w:type="dxa"/>
            <w:hideMark/>
          </w:tcPr>
          <w:p w14:paraId="5F7A822B" w14:textId="7D3F24CF" w:rsidR="005B4152" w:rsidRPr="003726FE" w:rsidRDefault="005B4152" w:rsidP="00910B01">
            <w:pPr>
              <w:pStyle w:val="quoteboxes"/>
              <w:rPr>
                <w:lang w:val="en-GB"/>
              </w:rPr>
            </w:pPr>
            <w:r w:rsidRPr="003726FE">
              <w:rPr>
                <w:lang w:val="en-GB"/>
              </w:rPr>
              <w:t>G2 - 2: Sometimes I can get really bored or tired, not very involved, but when I’m included like that I feel like I have a bit of a role, so I enjoyed doing that on Monday. It gave me some good learning points to reflect upon. It’s more important to work, the days goes quicker and have good fun while getting work done if I’m less structured. I’ve learned that a lot. It’s really beneficial and I’ve enjoyed it much more. I felt more like a medical student.</w:t>
            </w:r>
          </w:p>
        </w:tc>
        <w:tc>
          <w:tcPr>
            <w:tcW w:w="1986" w:type="dxa"/>
            <w:hideMark/>
          </w:tcPr>
          <w:p w14:paraId="79E091AC" w14:textId="7A741AE6" w:rsidR="005B4152" w:rsidRPr="003726FE" w:rsidRDefault="005B4152" w:rsidP="00910B01">
            <w:pPr>
              <w:pStyle w:val="quoteboxes"/>
              <w:rPr>
                <w:lang w:val="en-GB"/>
              </w:rPr>
            </w:pPr>
            <w:r w:rsidRPr="003726FE">
              <w:rPr>
                <w:lang w:val="en-GB"/>
              </w:rPr>
              <w:t>G2 - 1: it can be hard to get motivated and speak to patients because you could just go home and no one will know. It’s not a distraction I guess but I could just go to the library and do work but it isn’t what placement is about. Otherwise I might stand on the ward and chat, which is quite good because you force yourself to do it, otherwise I’d just follow round an F1 which isn’t the point of it. That’s a big thing, trying to motivate yourself when you know you don’t have to turn up.</w:t>
            </w:r>
          </w:p>
        </w:tc>
        <w:tc>
          <w:tcPr>
            <w:tcW w:w="2268" w:type="dxa"/>
          </w:tcPr>
          <w:p w14:paraId="0428977E" w14:textId="5338D394" w:rsidR="005B4152" w:rsidRPr="003726FE" w:rsidRDefault="005B4152" w:rsidP="00910B01">
            <w:pPr>
              <w:pStyle w:val="quoteboxes"/>
              <w:rPr>
                <w:lang w:val="en-GB"/>
              </w:rPr>
            </w:pPr>
            <w:r w:rsidRPr="003726FE">
              <w:rPr>
                <w:lang w:val="en-GB"/>
              </w:rPr>
              <w:t>G6 - 2:  I’ve had better days and it feels better afterwards, making sure I put myself out there and making sure I have a good day. Taking responsibility for it. People won’t come and give me opportunities on a plate, I have to go out of my way and get them for myself.</w:t>
            </w:r>
          </w:p>
        </w:tc>
        <w:tc>
          <w:tcPr>
            <w:tcW w:w="1665" w:type="dxa"/>
          </w:tcPr>
          <w:p w14:paraId="0DD31E59" w14:textId="4619AF81" w:rsidR="005B4152" w:rsidRPr="003726FE" w:rsidRDefault="005B4152" w:rsidP="00910B01">
            <w:pPr>
              <w:pStyle w:val="quoteboxes"/>
              <w:rPr>
                <w:lang w:val="en-GB"/>
              </w:rPr>
            </w:pPr>
            <w:r w:rsidRPr="003726FE">
              <w:rPr>
                <w:lang w:val="en-GB"/>
              </w:rPr>
              <w:t>G7 - 1: They made a point of saying hello and asking how we were, asked if we wanted a copy of the list. Little things like that make it less daunting to join the ward round and other tasks. Because they’re keener to help me, I’m keener to make myself helpful a few days in a row.</w:t>
            </w:r>
          </w:p>
        </w:tc>
      </w:tr>
    </w:tbl>
    <w:p w14:paraId="19FAA09E" w14:textId="77777777" w:rsidR="005B4152" w:rsidRPr="003726FE" w:rsidRDefault="005B4152" w:rsidP="00910B01">
      <w:pPr>
        <w:pStyle w:val="quoteboxes"/>
        <w:rPr>
          <w:lang w:val="en-GB"/>
        </w:rPr>
      </w:pPr>
    </w:p>
    <w:p w14:paraId="2EFC7B79" w14:textId="77777777" w:rsidR="005B4152" w:rsidRPr="003726FE" w:rsidRDefault="005B4152"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77"/>
        <w:gridCol w:w="1975"/>
        <w:gridCol w:w="1860"/>
        <w:gridCol w:w="2470"/>
        <w:gridCol w:w="3366"/>
        <w:gridCol w:w="2378"/>
      </w:tblGrid>
      <w:tr w:rsidR="005B4152" w:rsidRPr="003726FE" w14:paraId="60C7C5E7" w14:textId="77777777" w:rsidTr="005B4152">
        <w:trPr>
          <w:trHeight w:val="315"/>
        </w:trPr>
        <w:tc>
          <w:tcPr>
            <w:tcW w:w="1564" w:type="dxa"/>
            <w:noWrap/>
            <w:hideMark/>
          </w:tcPr>
          <w:p w14:paraId="195354E7" w14:textId="77777777" w:rsidR="005B4152" w:rsidRPr="003726FE" w:rsidRDefault="005B4152" w:rsidP="00910B01">
            <w:pPr>
              <w:pStyle w:val="quoteboxes"/>
              <w:rPr>
                <w:lang w:val="en-GB"/>
              </w:rPr>
            </w:pPr>
          </w:p>
        </w:tc>
        <w:tc>
          <w:tcPr>
            <w:tcW w:w="2259" w:type="dxa"/>
            <w:noWrap/>
            <w:hideMark/>
          </w:tcPr>
          <w:p w14:paraId="2CECF05F" w14:textId="5A90D169" w:rsidR="005B4152" w:rsidRPr="003726FE" w:rsidRDefault="005B4152" w:rsidP="00910B01">
            <w:pPr>
              <w:pStyle w:val="quoteboxes"/>
              <w:rPr>
                <w:lang w:val="en-GB"/>
              </w:rPr>
            </w:pPr>
            <w:r w:rsidRPr="003726FE">
              <w:rPr>
                <w:lang w:val="en-GB"/>
              </w:rPr>
              <w:t>O</w:t>
            </w:r>
          </w:p>
        </w:tc>
        <w:tc>
          <w:tcPr>
            <w:tcW w:w="2126" w:type="dxa"/>
            <w:noWrap/>
            <w:hideMark/>
          </w:tcPr>
          <w:p w14:paraId="18CE26CF" w14:textId="2999995D" w:rsidR="005B4152" w:rsidRPr="003726FE" w:rsidRDefault="005B4152" w:rsidP="00910B01">
            <w:pPr>
              <w:pStyle w:val="quoteboxes"/>
              <w:rPr>
                <w:lang w:val="en-GB"/>
              </w:rPr>
            </w:pPr>
            <w:r w:rsidRPr="003726FE">
              <w:rPr>
                <w:lang w:val="en-GB"/>
              </w:rPr>
              <w:t>P</w:t>
            </w:r>
          </w:p>
        </w:tc>
        <w:tc>
          <w:tcPr>
            <w:tcW w:w="2835" w:type="dxa"/>
            <w:noWrap/>
            <w:hideMark/>
          </w:tcPr>
          <w:p w14:paraId="37B392D0" w14:textId="234FA84B" w:rsidR="005B4152" w:rsidRPr="003726FE" w:rsidRDefault="005B4152" w:rsidP="00910B01">
            <w:pPr>
              <w:pStyle w:val="quoteboxes"/>
              <w:rPr>
                <w:lang w:val="en-GB"/>
              </w:rPr>
            </w:pPr>
            <w:r w:rsidRPr="003726FE">
              <w:rPr>
                <w:lang w:val="en-GB"/>
              </w:rPr>
              <w:t>Q</w:t>
            </w:r>
          </w:p>
        </w:tc>
        <w:tc>
          <w:tcPr>
            <w:tcW w:w="3876" w:type="dxa"/>
            <w:noWrap/>
            <w:hideMark/>
          </w:tcPr>
          <w:p w14:paraId="7F141791" w14:textId="63EEF1B4" w:rsidR="005B4152" w:rsidRPr="003726FE" w:rsidRDefault="005B4152" w:rsidP="00910B01">
            <w:pPr>
              <w:pStyle w:val="quoteboxes"/>
              <w:rPr>
                <w:lang w:val="en-GB"/>
              </w:rPr>
            </w:pPr>
            <w:r w:rsidRPr="003726FE">
              <w:rPr>
                <w:lang w:val="en-GB"/>
              </w:rPr>
              <w:t>R</w:t>
            </w:r>
          </w:p>
        </w:tc>
        <w:tc>
          <w:tcPr>
            <w:tcW w:w="2728" w:type="dxa"/>
            <w:noWrap/>
            <w:hideMark/>
          </w:tcPr>
          <w:p w14:paraId="40D905FE" w14:textId="14C86B29" w:rsidR="005B4152" w:rsidRPr="003726FE" w:rsidRDefault="005B4152" w:rsidP="00910B01">
            <w:pPr>
              <w:pStyle w:val="quoteboxes"/>
              <w:rPr>
                <w:lang w:val="en-GB"/>
              </w:rPr>
            </w:pPr>
            <w:r w:rsidRPr="003726FE">
              <w:rPr>
                <w:lang w:val="en-GB"/>
              </w:rPr>
              <w:t>S</w:t>
            </w:r>
          </w:p>
        </w:tc>
      </w:tr>
      <w:tr w:rsidR="005B4152" w:rsidRPr="003726FE" w14:paraId="634EE648" w14:textId="77777777" w:rsidTr="005B4152">
        <w:trPr>
          <w:trHeight w:val="4365"/>
        </w:trPr>
        <w:tc>
          <w:tcPr>
            <w:tcW w:w="1564" w:type="dxa"/>
            <w:vAlign w:val="center"/>
            <w:hideMark/>
          </w:tcPr>
          <w:p w14:paraId="6B000695" w14:textId="7BE9C976" w:rsidR="005B4152" w:rsidRPr="003726FE" w:rsidRDefault="005B4152" w:rsidP="00910B01">
            <w:pPr>
              <w:pStyle w:val="quoteboxes"/>
              <w:rPr>
                <w:lang w:val="en-GB"/>
              </w:rPr>
            </w:pPr>
            <w:r w:rsidRPr="003726FE">
              <w:rPr>
                <w:lang w:val="en-GB"/>
              </w:rPr>
              <w:t>8 Self-confidence and motivation</w:t>
            </w:r>
          </w:p>
        </w:tc>
        <w:tc>
          <w:tcPr>
            <w:tcW w:w="2259" w:type="dxa"/>
            <w:hideMark/>
          </w:tcPr>
          <w:p w14:paraId="7B096FE5" w14:textId="25823CD0" w:rsidR="005B4152" w:rsidRPr="003726FE" w:rsidRDefault="005B4152" w:rsidP="00910B01">
            <w:pPr>
              <w:pStyle w:val="quoteboxes"/>
              <w:rPr>
                <w:lang w:val="en-GB"/>
              </w:rPr>
            </w:pPr>
            <w:r w:rsidRPr="003726FE">
              <w:rPr>
                <w:lang w:val="en-GB"/>
              </w:rPr>
              <w:t>G8 - 2: Whereas I haven’t seen my consultant on this placement so I’ve done what I need to do. Which is good in a sense because I’ve taken mornings off to do my ethics essay but then it’s also not good because there’s no motivation, no goal or anyone to feedback to so it feels pointless if there’s no achievement.</w:t>
            </w:r>
          </w:p>
        </w:tc>
        <w:tc>
          <w:tcPr>
            <w:tcW w:w="2126" w:type="dxa"/>
            <w:hideMark/>
          </w:tcPr>
          <w:p w14:paraId="3416A871" w14:textId="1063C438" w:rsidR="005B4152" w:rsidRPr="003726FE" w:rsidRDefault="005B4152" w:rsidP="00910B01">
            <w:pPr>
              <w:pStyle w:val="quoteboxes"/>
              <w:rPr>
                <w:lang w:val="en-GB"/>
              </w:rPr>
            </w:pPr>
            <w:r w:rsidRPr="003726FE">
              <w:rPr>
                <w:lang w:val="en-GB"/>
              </w:rPr>
              <w:t>G2 - 2: It’s good to mix it up with other task like histories to keep the days interesting. I can set goals related to each and I feel like I’ve achieved things by the end of the day.</w:t>
            </w:r>
          </w:p>
        </w:tc>
        <w:tc>
          <w:tcPr>
            <w:tcW w:w="2835" w:type="dxa"/>
            <w:hideMark/>
          </w:tcPr>
          <w:p w14:paraId="6448C174" w14:textId="5E6B44DA" w:rsidR="005B4152" w:rsidRPr="003726FE" w:rsidRDefault="005B4152" w:rsidP="00910B01">
            <w:pPr>
              <w:pStyle w:val="quoteboxes"/>
              <w:rPr>
                <w:lang w:val="en-GB"/>
              </w:rPr>
            </w:pPr>
            <w:r w:rsidRPr="003726FE">
              <w:rPr>
                <w:lang w:val="en-GB"/>
              </w:rPr>
              <w:t xml:space="preserve"> G7 - 2: I love being a part of something and feeling like I can help, I love that, that’s why I want to come in, because I want to help them, like mutually beneficial. At Rotherham it feels like they don’t want us there, like we’re in the way, because there’s so many of us as well.</w:t>
            </w:r>
          </w:p>
        </w:tc>
        <w:tc>
          <w:tcPr>
            <w:tcW w:w="3876" w:type="dxa"/>
            <w:hideMark/>
          </w:tcPr>
          <w:p w14:paraId="56326724" w14:textId="543D34FD" w:rsidR="005B4152" w:rsidRPr="003726FE" w:rsidRDefault="005B4152" w:rsidP="00910B01">
            <w:pPr>
              <w:pStyle w:val="quoteboxes"/>
              <w:rPr>
                <w:lang w:val="en-GB"/>
              </w:rPr>
            </w:pPr>
            <w:r w:rsidRPr="003726FE">
              <w:rPr>
                <w:lang w:val="en-GB"/>
              </w:rPr>
              <w:t>G2 - 1: I don’t often look for feedback, I’m quite happy in my own little world. It’s often just them asking questions and asking me to look up certain things, or clerk a patient and present back. They’ll feedback to that. I don’t look for it at all although there are already a lot of opportunities, I get enough so I don’t like to put myself in situations where I get bad feedback, I’m very much happy to get feedback when I need it. It’s quite hard to ask for feedback because I’m of the opinion that med students should be seen and not heard, i try to stay out of everyone’s way, I wouldn’t ask a doctor to watch me present because they’re busy on vascular. With the F1’s maybe, but anyone more senior I wouldn’t. They usually come to me really. With the F1’s I ask for informal feedback, going through presentations and things. They’re open to that.</w:t>
            </w:r>
          </w:p>
        </w:tc>
        <w:tc>
          <w:tcPr>
            <w:tcW w:w="2728" w:type="dxa"/>
            <w:hideMark/>
          </w:tcPr>
          <w:p w14:paraId="66ABAE69" w14:textId="4B26A6ED" w:rsidR="005B4152" w:rsidRPr="003726FE" w:rsidRDefault="005B4152" w:rsidP="00910B01">
            <w:pPr>
              <w:pStyle w:val="quoteboxes"/>
              <w:rPr>
                <w:lang w:val="en-GB"/>
              </w:rPr>
            </w:pPr>
            <w:r w:rsidRPr="003726FE">
              <w:rPr>
                <w:lang w:val="en-GB"/>
              </w:rPr>
              <w:t xml:space="preserve">G5 - 1: yeah it’s just more challenging, confidence to ask. At the start I felt like I was hassling them but at the end of the day they’ve accepted me onto the ward, I won’t learn or become a decent doctor unless I ask and get involved. Part of the opportunity is asking for it. That’s why it’s been such a steep learning curve, we go from sitting in lectures which is so passive to actually having to be professional. </w:t>
            </w:r>
          </w:p>
        </w:tc>
      </w:tr>
    </w:tbl>
    <w:p w14:paraId="62A20E46" w14:textId="77777777" w:rsidR="005B4152" w:rsidRPr="003726FE" w:rsidRDefault="005B4152" w:rsidP="00910B01">
      <w:pPr>
        <w:pStyle w:val="quoteboxes"/>
        <w:rPr>
          <w:lang w:val="en-GB"/>
        </w:rPr>
      </w:pPr>
    </w:p>
    <w:p w14:paraId="73000B5D" w14:textId="77777777" w:rsidR="005B4152" w:rsidRPr="003726FE" w:rsidRDefault="005B4152" w:rsidP="00910B01">
      <w:pPr>
        <w:pStyle w:val="quoteboxes"/>
        <w:rPr>
          <w:lang w:val="en-GB"/>
        </w:rPr>
      </w:pPr>
      <w:r w:rsidRPr="003726FE">
        <w:rPr>
          <w:lang w:val="en-GB"/>
        </w:rPr>
        <w:br w:type="page"/>
      </w:r>
    </w:p>
    <w:tbl>
      <w:tblPr>
        <w:tblStyle w:val="TableGrid"/>
        <w:tblW w:w="13178" w:type="dxa"/>
        <w:tblLook w:val="04A0" w:firstRow="1" w:lastRow="0" w:firstColumn="1" w:lastColumn="0" w:noHBand="0" w:noVBand="1"/>
      </w:tblPr>
      <w:tblGrid>
        <w:gridCol w:w="1564"/>
        <w:gridCol w:w="1833"/>
        <w:gridCol w:w="2410"/>
        <w:gridCol w:w="3260"/>
        <w:gridCol w:w="4111"/>
      </w:tblGrid>
      <w:tr w:rsidR="005B4152" w:rsidRPr="003726FE" w14:paraId="167DDA9B" w14:textId="77777777" w:rsidTr="00042504">
        <w:trPr>
          <w:trHeight w:val="315"/>
        </w:trPr>
        <w:tc>
          <w:tcPr>
            <w:tcW w:w="1564" w:type="dxa"/>
            <w:noWrap/>
            <w:hideMark/>
          </w:tcPr>
          <w:p w14:paraId="42647E4C" w14:textId="77777777" w:rsidR="005B4152" w:rsidRPr="003726FE" w:rsidRDefault="005B4152" w:rsidP="00910B01">
            <w:pPr>
              <w:pStyle w:val="quoteboxes"/>
              <w:rPr>
                <w:sz w:val="20"/>
                <w:lang w:val="en-GB"/>
              </w:rPr>
            </w:pPr>
          </w:p>
        </w:tc>
        <w:tc>
          <w:tcPr>
            <w:tcW w:w="1833" w:type="dxa"/>
            <w:noWrap/>
            <w:hideMark/>
          </w:tcPr>
          <w:p w14:paraId="244E01CD" w14:textId="4C2C636D" w:rsidR="005B4152" w:rsidRPr="003726FE" w:rsidRDefault="005B4152" w:rsidP="00910B01">
            <w:pPr>
              <w:pStyle w:val="quoteboxes"/>
              <w:rPr>
                <w:sz w:val="20"/>
                <w:lang w:val="en-GB"/>
              </w:rPr>
            </w:pPr>
            <w:r w:rsidRPr="003726FE">
              <w:rPr>
                <w:sz w:val="20"/>
                <w:lang w:val="en-GB"/>
              </w:rPr>
              <w:t>T</w:t>
            </w:r>
          </w:p>
        </w:tc>
        <w:tc>
          <w:tcPr>
            <w:tcW w:w="2410" w:type="dxa"/>
            <w:noWrap/>
            <w:hideMark/>
          </w:tcPr>
          <w:p w14:paraId="5FA7E74B" w14:textId="3CAAB0F4" w:rsidR="005B4152" w:rsidRPr="003726FE" w:rsidRDefault="005B4152" w:rsidP="00910B01">
            <w:pPr>
              <w:pStyle w:val="quoteboxes"/>
              <w:rPr>
                <w:sz w:val="20"/>
                <w:lang w:val="en-GB"/>
              </w:rPr>
            </w:pPr>
            <w:r w:rsidRPr="003726FE">
              <w:rPr>
                <w:sz w:val="20"/>
                <w:lang w:val="en-GB"/>
              </w:rPr>
              <w:t>U</w:t>
            </w:r>
          </w:p>
        </w:tc>
        <w:tc>
          <w:tcPr>
            <w:tcW w:w="3260" w:type="dxa"/>
            <w:noWrap/>
            <w:hideMark/>
          </w:tcPr>
          <w:p w14:paraId="47610F92" w14:textId="4525307D" w:rsidR="005B4152" w:rsidRPr="003726FE" w:rsidRDefault="005B4152" w:rsidP="00910B01">
            <w:pPr>
              <w:pStyle w:val="quoteboxes"/>
              <w:rPr>
                <w:sz w:val="20"/>
                <w:lang w:val="en-GB"/>
              </w:rPr>
            </w:pPr>
            <w:r w:rsidRPr="003726FE">
              <w:rPr>
                <w:sz w:val="20"/>
                <w:lang w:val="en-GB"/>
              </w:rPr>
              <w:t>V</w:t>
            </w:r>
          </w:p>
        </w:tc>
        <w:tc>
          <w:tcPr>
            <w:tcW w:w="4111" w:type="dxa"/>
            <w:noWrap/>
            <w:hideMark/>
          </w:tcPr>
          <w:p w14:paraId="719F4062" w14:textId="346CF8A1" w:rsidR="005B4152" w:rsidRPr="003726FE" w:rsidRDefault="005B4152" w:rsidP="00910B01">
            <w:pPr>
              <w:pStyle w:val="quoteboxes"/>
              <w:rPr>
                <w:sz w:val="20"/>
                <w:lang w:val="en-GB"/>
              </w:rPr>
            </w:pPr>
            <w:r w:rsidRPr="003726FE">
              <w:rPr>
                <w:sz w:val="20"/>
                <w:lang w:val="en-GB"/>
              </w:rPr>
              <w:t>W</w:t>
            </w:r>
          </w:p>
        </w:tc>
      </w:tr>
      <w:tr w:rsidR="005B4152" w:rsidRPr="003726FE" w14:paraId="11433844" w14:textId="77777777" w:rsidTr="00042504">
        <w:trPr>
          <w:trHeight w:val="4365"/>
        </w:trPr>
        <w:tc>
          <w:tcPr>
            <w:tcW w:w="1564" w:type="dxa"/>
            <w:vAlign w:val="center"/>
            <w:hideMark/>
          </w:tcPr>
          <w:p w14:paraId="75382AF2" w14:textId="514A0FD4" w:rsidR="005B4152" w:rsidRPr="003726FE" w:rsidRDefault="005B4152" w:rsidP="00910B01">
            <w:pPr>
              <w:pStyle w:val="quoteboxes"/>
              <w:rPr>
                <w:sz w:val="20"/>
                <w:lang w:val="en-GB"/>
              </w:rPr>
            </w:pPr>
            <w:r w:rsidRPr="003726FE">
              <w:rPr>
                <w:sz w:val="20"/>
                <w:lang w:val="en-GB"/>
              </w:rPr>
              <w:t>8 Self-confidence and motivation</w:t>
            </w:r>
          </w:p>
        </w:tc>
        <w:tc>
          <w:tcPr>
            <w:tcW w:w="1833" w:type="dxa"/>
            <w:hideMark/>
          </w:tcPr>
          <w:p w14:paraId="06D4806D" w14:textId="75E3B872" w:rsidR="005B4152" w:rsidRPr="003726FE" w:rsidRDefault="005B4152" w:rsidP="00910B01">
            <w:pPr>
              <w:pStyle w:val="quoteboxes"/>
              <w:rPr>
                <w:sz w:val="20"/>
                <w:lang w:val="en-GB"/>
              </w:rPr>
            </w:pPr>
            <w:r w:rsidRPr="003726FE">
              <w:rPr>
                <w:sz w:val="20"/>
                <w:lang w:val="en-GB"/>
              </w:rPr>
              <w:t>G8 - 2:  I compare myself. I want to learn x amount each week so I look at those goals and try to do them. We also have a book of examinations so i work through that in a sense.</w:t>
            </w:r>
          </w:p>
        </w:tc>
        <w:tc>
          <w:tcPr>
            <w:tcW w:w="2410" w:type="dxa"/>
            <w:hideMark/>
          </w:tcPr>
          <w:p w14:paraId="214F887A" w14:textId="3C27F2F0" w:rsidR="005B4152" w:rsidRPr="003726FE" w:rsidRDefault="005B4152" w:rsidP="00910B01">
            <w:pPr>
              <w:pStyle w:val="quoteboxes"/>
              <w:rPr>
                <w:sz w:val="20"/>
                <w:lang w:val="en-GB"/>
              </w:rPr>
            </w:pPr>
            <w:r w:rsidRPr="003726FE">
              <w:rPr>
                <w:sz w:val="20"/>
                <w:lang w:val="en-GB"/>
              </w:rPr>
              <w:t>G4 - 1: there’s a bias from what patients we choose, we normally go for the ones who are really grumpy we wouldn’t go and do an examination on them. We’d go for friendly looking people and they’re happy with anything because they’re bored they give good feedback on what we did automatically. I wouldn’t deem it too relevant from a patient.</w:t>
            </w:r>
          </w:p>
        </w:tc>
        <w:tc>
          <w:tcPr>
            <w:tcW w:w="3260" w:type="dxa"/>
            <w:hideMark/>
          </w:tcPr>
          <w:p w14:paraId="0333709D" w14:textId="639FAF09" w:rsidR="005B4152" w:rsidRPr="003726FE" w:rsidRDefault="005B4152" w:rsidP="00910B01">
            <w:pPr>
              <w:pStyle w:val="quoteboxes"/>
              <w:rPr>
                <w:sz w:val="20"/>
                <w:lang w:val="en-GB"/>
              </w:rPr>
            </w:pPr>
            <w:r w:rsidRPr="003726FE">
              <w:rPr>
                <w:sz w:val="20"/>
                <w:lang w:val="en-GB"/>
              </w:rPr>
              <w:t>G4 - 2: There was one patient in particular, I took his bloods and I put a cannula in and nobody had done it the first time ever event he phlebotomist couldn’t get his blood on the first attempt but I was lucky enough, it was probably a fluke but I did it the first time and I managed to get what I needed. And he said “wow that’s interesting, none’s ever done it the first time, you were really gentle” so I wasn’t expecting that feedback but it was great and the next time we had to take bloods again I did the same, it gave me a confidence booster, I realised I could do it and that I’m actually ok at doing it, not terrible at it! It’s quite memorable for me.</w:t>
            </w:r>
          </w:p>
        </w:tc>
        <w:tc>
          <w:tcPr>
            <w:tcW w:w="4111" w:type="dxa"/>
            <w:hideMark/>
          </w:tcPr>
          <w:p w14:paraId="6773E4AA" w14:textId="0789F99B" w:rsidR="005B4152" w:rsidRPr="003726FE" w:rsidRDefault="005B4152" w:rsidP="00910B01">
            <w:pPr>
              <w:pStyle w:val="quoteboxes"/>
              <w:rPr>
                <w:sz w:val="20"/>
                <w:lang w:val="en-GB"/>
              </w:rPr>
            </w:pPr>
            <w:r w:rsidRPr="003726FE">
              <w:rPr>
                <w:sz w:val="20"/>
                <w:lang w:val="en-GB"/>
              </w:rPr>
              <w:t xml:space="preserve">FG2 - SRLF Student 14: </w:t>
            </w:r>
            <w:r w:rsidR="00D531CD" w:rsidRPr="003726FE">
              <w:rPr>
                <w:sz w:val="20"/>
                <w:lang w:val="en-GB"/>
              </w:rPr>
              <w:t>it’s</w:t>
            </w:r>
            <w:r w:rsidRPr="003726FE">
              <w:rPr>
                <w:sz w:val="20"/>
                <w:lang w:val="en-GB"/>
              </w:rPr>
              <w:t xml:space="preserve"> hard to approach some of them for feedback, if they’re telling you to help you then that’s fine but when they're just telling you to make you feel bad then you </w:t>
            </w:r>
            <w:r w:rsidR="00D531CD" w:rsidRPr="003726FE">
              <w:rPr>
                <w:sz w:val="20"/>
                <w:lang w:val="en-GB"/>
              </w:rPr>
              <w:t>won’t</w:t>
            </w:r>
            <w:r w:rsidRPr="003726FE">
              <w:rPr>
                <w:sz w:val="20"/>
                <w:lang w:val="en-GB"/>
              </w:rPr>
              <w:t xml:space="preserve"> listen to it.</w:t>
            </w:r>
            <w:r w:rsidRPr="003726FE">
              <w:rPr>
                <w:sz w:val="20"/>
                <w:lang w:val="en-GB"/>
              </w:rPr>
              <w:br/>
              <w:t xml:space="preserve">Student 3: if it is negative and I can tell </w:t>
            </w:r>
            <w:r w:rsidR="00D531CD" w:rsidRPr="003726FE">
              <w:rPr>
                <w:sz w:val="20"/>
                <w:lang w:val="en-GB"/>
              </w:rPr>
              <w:t>it’s</w:t>
            </w:r>
            <w:r w:rsidRPr="003726FE">
              <w:rPr>
                <w:sz w:val="20"/>
                <w:lang w:val="en-GB"/>
              </w:rPr>
              <w:t xml:space="preserve"> not meant to help me move forward, I disregard it.</w:t>
            </w:r>
            <w:r w:rsidRPr="003726FE">
              <w:rPr>
                <w:sz w:val="20"/>
                <w:lang w:val="en-GB"/>
              </w:rPr>
              <w:br/>
              <w:t>Student 4: it knocks your confidence</w:t>
            </w:r>
          </w:p>
        </w:tc>
      </w:tr>
    </w:tbl>
    <w:p w14:paraId="1AF253CE" w14:textId="77777777" w:rsidR="005B4152" w:rsidRPr="003726FE" w:rsidRDefault="005B4152" w:rsidP="00910B01">
      <w:pPr>
        <w:pStyle w:val="quoteboxes"/>
        <w:rPr>
          <w:lang w:val="en-GB"/>
        </w:rPr>
      </w:pPr>
    </w:p>
    <w:p w14:paraId="7250539F" w14:textId="77777777" w:rsidR="005B4152" w:rsidRPr="003726FE" w:rsidRDefault="005B4152"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293"/>
        <w:gridCol w:w="1386"/>
        <w:gridCol w:w="2132"/>
        <w:gridCol w:w="1845"/>
        <w:gridCol w:w="1844"/>
        <w:gridCol w:w="1701"/>
        <w:gridCol w:w="2131"/>
        <w:gridCol w:w="1094"/>
      </w:tblGrid>
      <w:tr w:rsidR="00617837" w:rsidRPr="003726FE" w14:paraId="55B93192" w14:textId="6A88F653" w:rsidTr="00042504">
        <w:trPr>
          <w:trHeight w:val="315"/>
        </w:trPr>
        <w:tc>
          <w:tcPr>
            <w:tcW w:w="1293" w:type="dxa"/>
            <w:noWrap/>
            <w:hideMark/>
          </w:tcPr>
          <w:p w14:paraId="3A343068" w14:textId="77777777" w:rsidR="00617837" w:rsidRPr="003726FE" w:rsidRDefault="00617837" w:rsidP="00910B01">
            <w:pPr>
              <w:pStyle w:val="quoteboxes"/>
              <w:rPr>
                <w:sz w:val="20"/>
                <w:lang w:val="en-GB"/>
              </w:rPr>
            </w:pPr>
          </w:p>
        </w:tc>
        <w:tc>
          <w:tcPr>
            <w:tcW w:w="1386" w:type="dxa"/>
            <w:noWrap/>
            <w:hideMark/>
          </w:tcPr>
          <w:p w14:paraId="7F31D13B" w14:textId="77777777" w:rsidR="00617837" w:rsidRPr="003726FE" w:rsidRDefault="00617837" w:rsidP="00910B01">
            <w:pPr>
              <w:pStyle w:val="quoteboxes"/>
              <w:rPr>
                <w:sz w:val="20"/>
                <w:lang w:val="en-GB"/>
              </w:rPr>
            </w:pPr>
            <w:r w:rsidRPr="003726FE">
              <w:rPr>
                <w:sz w:val="20"/>
                <w:lang w:val="en-GB"/>
              </w:rPr>
              <w:t>A</w:t>
            </w:r>
          </w:p>
        </w:tc>
        <w:tc>
          <w:tcPr>
            <w:tcW w:w="2132" w:type="dxa"/>
            <w:noWrap/>
            <w:hideMark/>
          </w:tcPr>
          <w:p w14:paraId="3534C144" w14:textId="77777777" w:rsidR="00617837" w:rsidRPr="003726FE" w:rsidRDefault="00617837" w:rsidP="00910B01">
            <w:pPr>
              <w:pStyle w:val="quoteboxes"/>
              <w:rPr>
                <w:sz w:val="20"/>
                <w:lang w:val="en-GB"/>
              </w:rPr>
            </w:pPr>
            <w:r w:rsidRPr="003726FE">
              <w:rPr>
                <w:sz w:val="20"/>
                <w:lang w:val="en-GB"/>
              </w:rPr>
              <w:t>B</w:t>
            </w:r>
          </w:p>
        </w:tc>
        <w:tc>
          <w:tcPr>
            <w:tcW w:w="1845" w:type="dxa"/>
            <w:noWrap/>
            <w:hideMark/>
          </w:tcPr>
          <w:p w14:paraId="43E718DB" w14:textId="77777777" w:rsidR="00617837" w:rsidRPr="003726FE" w:rsidRDefault="00617837" w:rsidP="00910B01">
            <w:pPr>
              <w:pStyle w:val="quoteboxes"/>
              <w:rPr>
                <w:sz w:val="20"/>
                <w:lang w:val="en-GB"/>
              </w:rPr>
            </w:pPr>
            <w:r w:rsidRPr="003726FE">
              <w:rPr>
                <w:sz w:val="20"/>
                <w:lang w:val="en-GB"/>
              </w:rPr>
              <w:t>C</w:t>
            </w:r>
          </w:p>
        </w:tc>
        <w:tc>
          <w:tcPr>
            <w:tcW w:w="1844" w:type="dxa"/>
            <w:noWrap/>
            <w:hideMark/>
          </w:tcPr>
          <w:p w14:paraId="13B16A85" w14:textId="77777777" w:rsidR="00617837" w:rsidRPr="003726FE" w:rsidRDefault="00617837" w:rsidP="00910B01">
            <w:pPr>
              <w:pStyle w:val="quoteboxes"/>
              <w:rPr>
                <w:sz w:val="20"/>
                <w:lang w:val="en-GB"/>
              </w:rPr>
            </w:pPr>
            <w:r w:rsidRPr="003726FE">
              <w:rPr>
                <w:sz w:val="20"/>
                <w:lang w:val="en-GB"/>
              </w:rPr>
              <w:t>D</w:t>
            </w:r>
          </w:p>
        </w:tc>
        <w:tc>
          <w:tcPr>
            <w:tcW w:w="1701" w:type="dxa"/>
            <w:noWrap/>
            <w:hideMark/>
          </w:tcPr>
          <w:p w14:paraId="18502571" w14:textId="77777777" w:rsidR="00617837" w:rsidRPr="003726FE" w:rsidRDefault="00617837" w:rsidP="00910B01">
            <w:pPr>
              <w:pStyle w:val="quoteboxes"/>
              <w:rPr>
                <w:sz w:val="20"/>
                <w:lang w:val="en-GB"/>
              </w:rPr>
            </w:pPr>
            <w:r w:rsidRPr="003726FE">
              <w:rPr>
                <w:sz w:val="20"/>
                <w:lang w:val="en-GB"/>
              </w:rPr>
              <w:t>E</w:t>
            </w:r>
          </w:p>
        </w:tc>
        <w:tc>
          <w:tcPr>
            <w:tcW w:w="2131" w:type="dxa"/>
          </w:tcPr>
          <w:p w14:paraId="59AA1EC1" w14:textId="44523147" w:rsidR="00617837" w:rsidRPr="003726FE" w:rsidRDefault="00617837" w:rsidP="00910B01">
            <w:pPr>
              <w:pStyle w:val="quoteboxes"/>
              <w:rPr>
                <w:sz w:val="20"/>
                <w:lang w:val="en-GB"/>
              </w:rPr>
            </w:pPr>
            <w:r w:rsidRPr="003726FE">
              <w:rPr>
                <w:sz w:val="20"/>
                <w:lang w:val="en-GB"/>
              </w:rPr>
              <w:t>F</w:t>
            </w:r>
          </w:p>
        </w:tc>
        <w:tc>
          <w:tcPr>
            <w:tcW w:w="1094" w:type="dxa"/>
          </w:tcPr>
          <w:p w14:paraId="235EC42B" w14:textId="20394072" w:rsidR="00617837" w:rsidRPr="003726FE" w:rsidRDefault="00617837" w:rsidP="00910B01">
            <w:pPr>
              <w:pStyle w:val="quoteboxes"/>
              <w:rPr>
                <w:sz w:val="20"/>
                <w:lang w:val="en-GB"/>
              </w:rPr>
            </w:pPr>
            <w:r w:rsidRPr="003726FE">
              <w:rPr>
                <w:sz w:val="20"/>
                <w:lang w:val="en-GB"/>
              </w:rPr>
              <w:t>G</w:t>
            </w:r>
          </w:p>
        </w:tc>
      </w:tr>
      <w:tr w:rsidR="00617837" w:rsidRPr="003726FE" w14:paraId="75334EA4" w14:textId="05985C53" w:rsidTr="00042504">
        <w:trPr>
          <w:trHeight w:val="4365"/>
        </w:trPr>
        <w:tc>
          <w:tcPr>
            <w:tcW w:w="1293" w:type="dxa"/>
            <w:vAlign w:val="center"/>
            <w:hideMark/>
          </w:tcPr>
          <w:p w14:paraId="3CAF9FDB" w14:textId="0465A6F2" w:rsidR="00617837" w:rsidRPr="003726FE" w:rsidRDefault="00617837" w:rsidP="00910B01">
            <w:pPr>
              <w:pStyle w:val="quoteboxes"/>
              <w:rPr>
                <w:sz w:val="20"/>
                <w:lang w:val="en-GB"/>
              </w:rPr>
            </w:pPr>
            <w:r w:rsidRPr="003726FE">
              <w:rPr>
                <w:sz w:val="20"/>
                <w:lang w:val="en-GB"/>
              </w:rPr>
              <w:t>9 Planning and monitoring</w:t>
            </w:r>
          </w:p>
        </w:tc>
        <w:tc>
          <w:tcPr>
            <w:tcW w:w="1386" w:type="dxa"/>
            <w:hideMark/>
          </w:tcPr>
          <w:p w14:paraId="38946B07" w14:textId="3F386217" w:rsidR="00617837" w:rsidRPr="003726FE" w:rsidRDefault="00617837" w:rsidP="00910B01">
            <w:pPr>
              <w:pStyle w:val="quoteboxes"/>
              <w:rPr>
                <w:sz w:val="20"/>
                <w:lang w:val="en-GB"/>
              </w:rPr>
            </w:pPr>
            <w:r w:rsidRPr="003726FE">
              <w:rPr>
                <w:sz w:val="20"/>
                <w:lang w:val="en-GB"/>
              </w:rPr>
              <w:t>FG4 - SRLF Student 5: when they ask me what I want to know I say “everything really” but then as the week is set out and its begun, we’ve been here a while I know ECGs and I can put them on, so that’s one thing. You pick up on the way you’ve realised what you’re doing.</w:t>
            </w:r>
          </w:p>
        </w:tc>
        <w:tc>
          <w:tcPr>
            <w:tcW w:w="2132" w:type="dxa"/>
            <w:hideMark/>
          </w:tcPr>
          <w:p w14:paraId="30DAB68C" w14:textId="7117E0B9" w:rsidR="00617837" w:rsidRPr="003726FE" w:rsidRDefault="00617837" w:rsidP="00910B01">
            <w:pPr>
              <w:pStyle w:val="quoteboxes"/>
              <w:rPr>
                <w:sz w:val="20"/>
                <w:lang w:val="en-GB"/>
              </w:rPr>
            </w:pPr>
            <w:r w:rsidRPr="003726FE">
              <w:rPr>
                <w:sz w:val="20"/>
                <w:lang w:val="en-GB"/>
              </w:rPr>
              <w:t>G2 - 1: looking back its quite useful having the weeks with Chan because I’ve got six weeks of case studies and I look at the ones in the first week and they’re pretty shocking quality so I can track that, writing up weekly it gets easier as I go on. I used to have a plan, and I used to fill out bits and now I can just write it out, and histories are a lot easier in terms of flow and I remember the questions to ask whereas before I had prompts to remind myself whereas now I just go over with an empty notebook. I can tell from comparing myself from before 6 weeks ago to now, and other people too because I chat to them about placement and hear about how much they’re doing and things.</w:t>
            </w:r>
          </w:p>
        </w:tc>
        <w:tc>
          <w:tcPr>
            <w:tcW w:w="1845" w:type="dxa"/>
            <w:hideMark/>
          </w:tcPr>
          <w:p w14:paraId="5199EBE1" w14:textId="1C253CD6" w:rsidR="00617837" w:rsidRPr="003726FE" w:rsidRDefault="00617837" w:rsidP="00910B01">
            <w:pPr>
              <w:pStyle w:val="quoteboxes"/>
              <w:rPr>
                <w:sz w:val="20"/>
                <w:lang w:val="en-GB"/>
              </w:rPr>
            </w:pPr>
            <w:r w:rsidRPr="003726FE">
              <w:rPr>
                <w:sz w:val="20"/>
                <w:lang w:val="en-GB"/>
              </w:rPr>
              <w:t>FG2 - SRLF Student 11: I would say that we don’t know we’re on track with things.</w:t>
            </w:r>
            <w:r w:rsidRPr="003726FE">
              <w:rPr>
                <w:sz w:val="20"/>
                <w:lang w:val="en-GB"/>
              </w:rPr>
              <w:br/>
              <w:t>(all laugh and agree)</w:t>
            </w:r>
            <w:r w:rsidRPr="003726FE">
              <w:rPr>
                <w:sz w:val="20"/>
                <w:lang w:val="en-GB"/>
              </w:rPr>
              <w:br/>
              <w:t xml:space="preserve">Student 5: </w:t>
            </w:r>
            <w:r w:rsidR="00D531CD" w:rsidRPr="003726FE">
              <w:rPr>
                <w:sz w:val="20"/>
                <w:lang w:val="en-GB"/>
              </w:rPr>
              <w:t>it’s</w:t>
            </w:r>
            <w:r w:rsidRPr="003726FE">
              <w:rPr>
                <w:sz w:val="20"/>
                <w:lang w:val="en-GB"/>
              </w:rPr>
              <w:t xml:space="preserve"> in the back of your mind that you have long case and ethics and the deadline</w:t>
            </w:r>
            <w:r w:rsidRPr="003726FE">
              <w:rPr>
                <w:sz w:val="20"/>
                <w:lang w:val="en-GB"/>
              </w:rPr>
              <w:br/>
              <w:t>Jade: lots of things</w:t>
            </w:r>
            <w:r w:rsidRPr="003726FE">
              <w:rPr>
                <w:sz w:val="20"/>
                <w:lang w:val="en-GB"/>
              </w:rPr>
              <w:br/>
              <w:t xml:space="preserve">Ryan: I still don’t really have a sense of it, </w:t>
            </w:r>
            <w:r w:rsidR="00D531CD" w:rsidRPr="003726FE">
              <w:rPr>
                <w:sz w:val="20"/>
                <w:lang w:val="en-GB"/>
              </w:rPr>
              <w:t>it’s</w:t>
            </w:r>
            <w:r w:rsidRPr="003726FE">
              <w:rPr>
                <w:sz w:val="20"/>
                <w:lang w:val="en-GB"/>
              </w:rPr>
              <w:t xml:space="preserve"> not like when you were learning the content in 2a where you could say that you’ve looked at it and made notes so you know what to do next, whereas on placement, we don’t really have an idea of where we actually are with things or I don’t feel like I do.</w:t>
            </w:r>
          </w:p>
        </w:tc>
        <w:tc>
          <w:tcPr>
            <w:tcW w:w="1844" w:type="dxa"/>
            <w:hideMark/>
          </w:tcPr>
          <w:p w14:paraId="18FAFA78" w14:textId="0DC50231" w:rsidR="00617837" w:rsidRPr="003726FE" w:rsidRDefault="00617837" w:rsidP="00910B01">
            <w:pPr>
              <w:pStyle w:val="quoteboxes"/>
              <w:rPr>
                <w:sz w:val="20"/>
                <w:lang w:val="en-GB"/>
              </w:rPr>
            </w:pPr>
            <w:r w:rsidRPr="003726FE">
              <w:rPr>
                <w:sz w:val="20"/>
                <w:lang w:val="en-GB"/>
              </w:rPr>
              <w:t>FG6 - BPF Student 3: yeah we keep a mental checklist of what tasks we have to check off along the way, definitely, because this is our surgical placement so the things like the scrub form, we need to get those done and the mini-CEX so at the start I went in and needed to get my scrubs done so I got them done a little bit earlier on. I just try to get anything I can signed off, signed off ASAP so that I can enjoy the rest of my placements without thinking of those things again.</w:t>
            </w:r>
          </w:p>
        </w:tc>
        <w:tc>
          <w:tcPr>
            <w:tcW w:w="1701" w:type="dxa"/>
            <w:hideMark/>
          </w:tcPr>
          <w:p w14:paraId="6F679E5D" w14:textId="59F1CBA5" w:rsidR="00617837" w:rsidRPr="003726FE" w:rsidRDefault="00617837" w:rsidP="00910B01">
            <w:pPr>
              <w:pStyle w:val="quoteboxes"/>
              <w:rPr>
                <w:sz w:val="20"/>
                <w:lang w:val="en-GB"/>
              </w:rPr>
            </w:pPr>
            <w:r w:rsidRPr="003726FE">
              <w:rPr>
                <w:sz w:val="20"/>
                <w:lang w:val="en-GB"/>
              </w:rPr>
              <w:t>G8 - 1: I have a contents of things I need to learn, the more ticks are on that page then I know my progress is going well. With regards to forgetting things I understand that there’s a lot to learn, I try and go over it again and again. I’m going to practice some that I did two weeks ago today, I’ve forgotten a few things but practicing will help. The way I monitor that progress is from peer feedback who I’m meeting after this interview.</w:t>
            </w:r>
          </w:p>
        </w:tc>
        <w:tc>
          <w:tcPr>
            <w:tcW w:w="2131" w:type="dxa"/>
          </w:tcPr>
          <w:p w14:paraId="1124D558" w14:textId="2C1E5B79" w:rsidR="00617837" w:rsidRPr="003726FE" w:rsidRDefault="00617837" w:rsidP="00910B01">
            <w:pPr>
              <w:pStyle w:val="quoteboxes"/>
              <w:rPr>
                <w:sz w:val="20"/>
                <w:lang w:val="en-GB"/>
              </w:rPr>
            </w:pPr>
            <w:r w:rsidRPr="003726FE">
              <w:rPr>
                <w:sz w:val="20"/>
                <w:lang w:val="en-GB"/>
              </w:rPr>
              <w:t>FG3 - BPF Student 6: with our notebooks. You never know, if you’re talking to a patient or taking a history, you never know if it’s going to be something you can use to complete coursework or to put on as a case on our e-portfolio or whatever so you just write it down, you never know if the consultant is going to grill you “did you go and see so-and-so? Tell me about them, I’m going to go and do this and you can present it, and then you can have a look back over it, so it’s quite useful to have that sort of record. I don’t write stuff down about how well I thought it went at the time but I would write down if someone gave me really good tips for doing part of an examination, that something I would write down.</w:t>
            </w:r>
          </w:p>
        </w:tc>
        <w:tc>
          <w:tcPr>
            <w:tcW w:w="1094" w:type="dxa"/>
          </w:tcPr>
          <w:p w14:paraId="411A8031" w14:textId="23A80554" w:rsidR="00617837" w:rsidRPr="003726FE" w:rsidRDefault="00617837" w:rsidP="00910B01">
            <w:pPr>
              <w:pStyle w:val="quoteboxes"/>
              <w:rPr>
                <w:sz w:val="20"/>
                <w:lang w:val="en-GB"/>
              </w:rPr>
            </w:pPr>
            <w:r w:rsidRPr="003726FE">
              <w:rPr>
                <w:sz w:val="20"/>
                <w:lang w:val="en-GB"/>
              </w:rPr>
              <w:t>FG1 - BPF  Student 5: I never write anything down.</w:t>
            </w:r>
            <w:r w:rsidRPr="003726FE">
              <w:rPr>
                <w:sz w:val="20"/>
                <w:lang w:val="en-GB"/>
              </w:rPr>
              <w:br/>
              <w:t>Student 8: unless it’s really important</w:t>
            </w:r>
            <w:r w:rsidRPr="003726FE">
              <w:rPr>
                <w:sz w:val="20"/>
                <w:lang w:val="en-GB"/>
              </w:rPr>
              <w:br/>
              <w:t>Student 9:  If I don’t understand the feedback then I would probably do something more about it. That’s the only thing that would make me go and explore it further.</w:t>
            </w:r>
          </w:p>
        </w:tc>
      </w:tr>
    </w:tbl>
    <w:p w14:paraId="6261656F" w14:textId="77777777" w:rsidR="00617837" w:rsidRPr="003726FE" w:rsidRDefault="00617837" w:rsidP="00910B01">
      <w:pPr>
        <w:pStyle w:val="quoteboxes"/>
        <w:rPr>
          <w:lang w:val="en-GB"/>
        </w:rPr>
      </w:pPr>
    </w:p>
    <w:p w14:paraId="590355DB" w14:textId="77777777" w:rsidR="00617837" w:rsidRPr="003726FE" w:rsidRDefault="00617837"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71"/>
        <w:gridCol w:w="1713"/>
        <w:gridCol w:w="1867"/>
        <w:gridCol w:w="1989"/>
        <w:gridCol w:w="1986"/>
        <w:gridCol w:w="1984"/>
        <w:gridCol w:w="1385"/>
        <w:gridCol w:w="1131"/>
      </w:tblGrid>
      <w:tr w:rsidR="00617837" w:rsidRPr="003726FE" w14:paraId="26806B87" w14:textId="2DAAC92C" w:rsidTr="00042504">
        <w:trPr>
          <w:trHeight w:val="315"/>
        </w:trPr>
        <w:tc>
          <w:tcPr>
            <w:tcW w:w="1371" w:type="dxa"/>
            <w:noWrap/>
            <w:hideMark/>
          </w:tcPr>
          <w:p w14:paraId="3D52C73C" w14:textId="77777777" w:rsidR="00617837" w:rsidRPr="003726FE" w:rsidRDefault="00617837" w:rsidP="00910B01">
            <w:pPr>
              <w:pStyle w:val="quoteboxes"/>
              <w:rPr>
                <w:lang w:val="en-GB"/>
              </w:rPr>
            </w:pPr>
          </w:p>
        </w:tc>
        <w:tc>
          <w:tcPr>
            <w:tcW w:w="1713" w:type="dxa"/>
            <w:noWrap/>
            <w:hideMark/>
          </w:tcPr>
          <w:p w14:paraId="2BB22243" w14:textId="77F88DDE" w:rsidR="00617837" w:rsidRPr="003726FE" w:rsidRDefault="00617837" w:rsidP="00910B01">
            <w:pPr>
              <w:pStyle w:val="quoteboxes"/>
              <w:rPr>
                <w:lang w:val="en-GB"/>
              </w:rPr>
            </w:pPr>
            <w:r w:rsidRPr="003726FE">
              <w:rPr>
                <w:lang w:val="en-GB"/>
              </w:rPr>
              <w:t>H</w:t>
            </w:r>
          </w:p>
        </w:tc>
        <w:tc>
          <w:tcPr>
            <w:tcW w:w="1867" w:type="dxa"/>
            <w:noWrap/>
            <w:hideMark/>
          </w:tcPr>
          <w:p w14:paraId="6BD93988" w14:textId="3B8833DB" w:rsidR="00617837" w:rsidRPr="003726FE" w:rsidRDefault="00617837" w:rsidP="00910B01">
            <w:pPr>
              <w:pStyle w:val="quoteboxes"/>
              <w:rPr>
                <w:lang w:val="en-GB"/>
              </w:rPr>
            </w:pPr>
            <w:r w:rsidRPr="003726FE">
              <w:rPr>
                <w:lang w:val="en-GB"/>
              </w:rPr>
              <w:t>I</w:t>
            </w:r>
          </w:p>
        </w:tc>
        <w:tc>
          <w:tcPr>
            <w:tcW w:w="1989" w:type="dxa"/>
            <w:noWrap/>
            <w:hideMark/>
          </w:tcPr>
          <w:p w14:paraId="07810468" w14:textId="1B951A41" w:rsidR="00617837" w:rsidRPr="003726FE" w:rsidRDefault="00617837" w:rsidP="00910B01">
            <w:pPr>
              <w:pStyle w:val="quoteboxes"/>
              <w:rPr>
                <w:lang w:val="en-GB"/>
              </w:rPr>
            </w:pPr>
            <w:r w:rsidRPr="003726FE">
              <w:rPr>
                <w:lang w:val="en-GB"/>
              </w:rPr>
              <w:t>J</w:t>
            </w:r>
          </w:p>
        </w:tc>
        <w:tc>
          <w:tcPr>
            <w:tcW w:w="1986" w:type="dxa"/>
            <w:noWrap/>
            <w:hideMark/>
          </w:tcPr>
          <w:p w14:paraId="7B92AFC4" w14:textId="6AEA27E3" w:rsidR="00617837" w:rsidRPr="003726FE" w:rsidRDefault="00617837" w:rsidP="00910B01">
            <w:pPr>
              <w:pStyle w:val="quoteboxes"/>
              <w:rPr>
                <w:lang w:val="en-GB"/>
              </w:rPr>
            </w:pPr>
            <w:r w:rsidRPr="003726FE">
              <w:rPr>
                <w:lang w:val="en-GB"/>
              </w:rPr>
              <w:t>K</w:t>
            </w:r>
          </w:p>
        </w:tc>
        <w:tc>
          <w:tcPr>
            <w:tcW w:w="1984" w:type="dxa"/>
            <w:noWrap/>
            <w:hideMark/>
          </w:tcPr>
          <w:p w14:paraId="456DF5ED" w14:textId="5A3B0122" w:rsidR="00617837" w:rsidRPr="003726FE" w:rsidRDefault="00617837" w:rsidP="00910B01">
            <w:pPr>
              <w:pStyle w:val="quoteboxes"/>
              <w:rPr>
                <w:lang w:val="en-GB"/>
              </w:rPr>
            </w:pPr>
            <w:r w:rsidRPr="003726FE">
              <w:rPr>
                <w:lang w:val="en-GB"/>
              </w:rPr>
              <w:t>L</w:t>
            </w:r>
          </w:p>
        </w:tc>
        <w:tc>
          <w:tcPr>
            <w:tcW w:w="1385" w:type="dxa"/>
          </w:tcPr>
          <w:p w14:paraId="7DCD5182" w14:textId="24A757F6" w:rsidR="00617837" w:rsidRPr="003726FE" w:rsidRDefault="00617837" w:rsidP="00910B01">
            <w:pPr>
              <w:pStyle w:val="quoteboxes"/>
              <w:rPr>
                <w:lang w:val="en-GB"/>
              </w:rPr>
            </w:pPr>
            <w:r w:rsidRPr="003726FE">
              <w:rPr>
                <w:lang w:val="en-GB"/>
              </w:rPr>
              <w:t>M</w:t>
            </w:r>
          </w:p>
        </w:tc>
        <w:tc>
          <w:tcPr>
            <w:tcW w:w="1131" w:type="dxa"/>
          </w:tcPr>
          <w:p w14:paraId="0BF45782" w14:textId="42E62D57" w:rsidR="00617837" w:rsidRPr="003726FE" w:rsidRDefault="00617837" w:rsidP="00910B01">
            <w:pPr>
              <w:pStyle w:val="quoteboxes"/>
              <w:rPr>
                <w:lang w:val="en-GB"/>
              </w:rPr>
            </w:pPr>
            <w:r w:rsidRPr="003726FE">
              <w:rPr>
                <w:lang w:val="en-GB"/>
              </w:rPr>
              <w:t>N</w:t>
            </w:r>
          </w:p>
        </w:tc>
      </w:tr>
      <w:tr w:rsidR="00617837" w:rsidRPr="003726FE" w14:paraId="4A0D822D" w14:textId="37CDC462" w:rsidTr="00042504">
        <w:trPr>
          <w:trHeight w:val="4365"/>
        </w:trPr>
        <w:tc>
          <w:tcPr>
            <w:tcW w:w="1371" w:type="dxa"/>
            <w:vAlign w:val="center"/>
            <w:hideMark/>
          </w:tcPr>
          <w:p w14:paraId="27A9D922" w14:textId="5A818B0C" w:rsidR="00617837" w:rsidRPr="003726FE" w:rsidRDefault="00617837" w:rsidP="00910B01">
            <w:pPr>
              <w:pStyle w:val="quoteboxes"/>
              <w:rPr>
                <w:lang w:val="en-GB"/>
              </w:rPr>
            </w:pPr>
            <w:r w:rsidRPr="003726FE">
              <w:rPr>
                <w:lang w:val="en-GB"/>
              </w:rPr>
              <w:t>9 Planning and monitoring</w:t>
            </w:r>
          </w:p>
        </w:tc>
        <w:tc>
          <w:tcPr>
            <w:tcW w:w="1713" w:type="dxa"/>
            <w:hideMark/>
          </w:tcPr>
          <w:p w14:paraId="39FBC4F2" w14:textId="32D15153" w:rsidR="00617837" w:rsidRPr="003726FE" w:rsidRDefault="00617837" w:rsidP="00910B01">
            <w:pPr>
              <w:pStyle w:val="quoteboxes"/>
              <w:rPr>
                <w:lang w:val="en-GB"/>
              </w:rPr>
            </w:pPr>
            <w:r w:rsidRPr="003726FE">
              <w:rPr>
                <w:lang w:val="en-GB"/>
              </w:rPr>
              <w:t>G2 - 2: I would find out what the main things are like general surgery is a lot of abdominal stuff, so I would get all my abdominal notes and read them to be familiar with the diseases. It’ll make learning quicker and would be the main way I’d prepare then I’d prepare how to get there and things which makes it less stressful.</w:t>
            </w:r>
          </w:p>
        </w:tc>
        <w:tc>
          <w:tcPr>
            <w:tcW w:w="1867" w:type="dxa"/>
            <w:hideMark/>
          </w:tcPr>
          <w:p w14:paraId="0ABF385B" w14:textId="2329AA8E" w:rsidR="00617837" w:rsidRPr="003726FE" w:rsidRDefault="00617837" w:rsidP="00910B01">
            <w:pPr>
              <w:pStyle w:val="quoteboxes"/>
              <w:rPr>
                <w:lang w:val="en-GB"/>
              </w:rPr>
            </w:pPr>
            <w:r w:rsidRPr="003726FE">
              <w:rPr>
                <w:lang w:val="en-GB"/>
              </w:rPr>
              <w:t>FG3 - BPF Student 1: I googled my consultants so I would know what he would look like so I could confidently go up and say “hi I’m your med student”</w:t>
            </w:r>
            <w:r w:rsidRPr="003726FE">
              <w:rPr>
                <w:lang w:val="en-GB"/>
              </w:rPr>
              <w:br/>
              <w:t>Julia: yeah I did that as well.</w:t>
            </w:r>
            <w:r w:rsidRPr="003726FE">
              <w:rPr>
                <w:lang w:val="en-GB"/>
              </w:rPr>
              <w:br/>
              <w:t>Student 6: I wish I did that</w:t>
            </w:r>
            <w:r w:rsidRPr="003726FE">
              <w:rPr>
                <w:lang w:val="en-GB"/>
              </w:rPr>
              <w:br/>
              <w:t>Sarah: even if you just pass in corridor you can say “that’s him!” as opposed to “is it him?”</w:t>
            </w:r>
          </w:p>
        </w:tc>
        <w:tc>
          <w:tcPr>
            <w:tcW w:w="1989" w:type="dxa"/>
            <w:hideMark/>
          </w:tcPr>
          <w:p w14:paraId="64E1B6A0" w14:textId="1080D56B" w:rsidR="00617837" w:rsidRPr="003726FE" w:rsidRDefault="00617837" w:rsidP="00910B01">
            <w:pPr>
              <w:pStyle w:val="quoteboxes"/>
              <w:rPr>
                <w:lang w:val="en-GB"/>
              </w:rPr>
            </w:pPr>
            <w:r w:rsidRPr="003726FE">
              <w:rPr>
                <w:lang w:val="en-GB"/>
              </w:rPr>
              <w:t xml:space="preserve">G1 - 1: yeah so today I knew we’d come in and do ward round then be with you. So I know there’s not much going on right now so I’ll go back and see what needs doing then do some examinations. I think all the bloods will be done anyway, I play it by ear when I’m there unless someone wants to do something specific. At the start of placement I aim to introduce myself and see what the patients are like on the wards, if there’s good ones to talk to and stuff usually. </w:t>
            </w:r>
          </w:p>
        </w:tc>
        <w:tc>
          <w:tcPr>
            <w:tcW w:w="1986" w:type="dxa"/>
            <w:hideMark/>
          </w:tcPr>
          <w:p w14:paraId="42280179" w14:textId="39881674" w:rsidR="00617837" w:rsidRPr="003726FE" w:rsidRDefault="00617837" w:rsidP="00910B01">
            <w:pPr>
              <w:pStyle w:val="quoteboxes"/>
              <w:rPr>
                <w:lang w:val="en-GB"/>
              </w:rPr>
            </w:pPr>
            <w:r w:rsidRPr="003726FE">
              <w:rPr>
                <w:lang w:val="en-GB"/>
              </w:rPr>
              <w:t>G3 - 1: I planned more at the start to have an understanding because that’s when they ask questions to check we know where we are and more at the end I pick up the questions and answers more. The questions are more things I can’t revise. It’s just procedures or weird things I wouldn’t know to google, things I’d have to ask the consultant myself. I don’t plan then, I just think about it on the day.</w:t>
            </w:r>
          </w:p>
        </w:tc>
        <w:tc>
          <w:tcPr>
            <w:tcW w:w="1984" w:type="dxa"/>
            <w:hideMark/>
          </w:tcPr>
          <w:p w14:paraId="13CD67A3" w14:textId="34D23CE7" w:rsidR="00617837" w:rsidRPr="003726FE" w:rsidRDefault="00617837" w:rsidP="00910B01">
            <w:pPr>
              <w:pStyle w:val="quoteboxes"/>
              <w:rPr>
                <w:lang w:val="en-GB"/>
              </w:rPr>
            </w:pPr>
            <w:r w:rsidRPr="003726FE">
              <w:rPr>
                <w:lang w:val="en-GB"/>
              </w:rPr>
              <w:t>G4 - 2: I’m planning a little bit more day-to-day, when I started I just thought “let’s see how it goes” and go with the flow then after the first few days it’s like “ok this is what the structure is like in the morning and afternoon” so I still don’t set a plan, its more just “if they do this then I might help them out with this job” or do something else instead, I have more options now and I know I’m not wandering around wasting my time. I can’t do that before I have arrived.</w:t>
            </w:r>
          </w:p>
        </w:tc>
        <w:tc>
          <w:tcPr>
            <w:tcW w:w="1385" w:type="dxa"/>
          </w:tcPr>
          <w:p w14:paraId="1075C993" w14:textId="00773ED1" w:rsidR="00617837" w:rsidRPr="003726FE" w:rsidRDefault="00617837" w:rsidP="00910B01">
            <w:pPr>
              <w:pStyle w:val="quoteboxes"/>
              <w:rPr>
                <w:lang w:val="en-GB"/>
              </w:rPr>
            </w:pPr>
            <w:r w:rsidRPr="003726FE">
              <w:rPr>
                <w:lang w:val="en-GB"/>
              </w:rPr>
              <w:t>FG7 - SRLF Student 3: I don’t really set up a plan for it, it’s more of a day to day thing. Like today I might think to get a mini-CEX done if there’s time. We’ve never actually learned any ENT so it was hard to prepare but they made us a little booklet which helped a lot and was useful.</w:t>
            </w:r>
          </w:p>
        </w:tc>
        <w:tc>
          <w:tcPr>
            <w:tcW w:w="1131" w:type="dxa"/>
          </w:tcPr>
          <w:p w14:paraId="6BF3B93E" w14:textId="79B183AE" w:rsidR="00617837" w:rsidRPr="003726FE" w:rsidRDefault="00617837" w:rsidP="00910B01">
            <w:pPr>
              <w:pStyle w:val="quoteboxes"/>
              <w:rPr>
                <w:lang w:val="en-GB"/>
              </w:rPr>
            </w:pPr>
            <w:r w:rsidRPr="003726FE">
              <w:rPr>
                <w:lang w:val="en-GB"/>
              </w:rPr>
              <w:t>G5 - 1: The worst thing is not knowing what I’m doing the next day so it’s nice to know my plan for tomorrow.</w:t>
            </w:r>
          </w:p>
        </w:tc>
      </w:tr>
    </w:tbl>
    <w:p w14:paraId="3FA5FBB9" w14:textId="77777777" w:rsidR="00617837" w:rsidRPr="003726FE" w:rsidRDefault="00617837" w:rsidP="00910B01">
      <w:pPr>
        <w:pStyle w:val="quoteboxes"/>
        <w:rPr>
          <w:lang w:val="en-GB"/>
        </w:rPr>
      </w:pPr>
    </w:p>
    <w:p w14:paraId="473C3829" w14:textId="77777777" w:rsidR="00617837" w:rsidRPr="003726FE" w:rsidRDefault="00617837"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461"/>
        <w:gridCol w:w="1924"/>
        <w:gridCol w:w="1996"/>
        <w:gridCol w:w="1702"/>
        <w:gridCol w:w="1843"/>
        <w:gridCol w:w="2835"/>
        <w:gridCol w:w="1665"/>
      </w:tblGrid>
      <w:tr w:rsidR="00617837" w:rsidRPr="003726FE" w14:paraId="1C858768" w14:textId="2C497FAB" w:rsidTr="00042504">
        <w:trPr>
          <w:trHeight w:val="315"/>
        </w:trPr>
        <w:tc>
          <w:tcPr>
            <w:tcW w:w="1461" w:type="dxa"/>
            <w:noWrap/>
            <w:hideMark/>
          </w:tcPr>
          <w:p w14:paraId="5DDA9759" w14:textId="77777777" w:rsidR="00617837" w:rsidRPr="003726FE" w:rsidRDefault="00617837" w:rsidP="00910B01">
            <w:pPr>
              <w:pStyle w:val="quoteboxes"/>
              <w:rPr>
                <w:lang w:val="en-GB"/>
              </w:rPr>
            </w:pPr>
          </w:p>
        </w:tc>
        <w:tc>
          <w:tcPr>
            <w:tcW w:w="1924" w:type="dxa"/>
            <w:noWrap/>
            <w:hideMark/>
          </w:tcPr>
          <w:p w14:paraId="25ED26AC" w14:textId="06C6A060" w:rsidR="00617837" w:rsidRPr="003726FE" w:rsidRDefault="00617837" w:rsidP="00910B01">
            <w:pPr>
              <w:pStyle w:val="quoteboxes"/>
              <w:rPr>
                <w:lang w:val="en-GB"/>
              </w:rPr>
            </w:pPr>
            <w:r w:rsidRPr="003726FE">
              <w:rPr>
                <w:lang w:val="en-GB"/>
              </w:rPr>
              <w:t>O</w:t>
            </w:r>
          </w:p>
        </w:tc>
        <w:tc>
          <w:tcPr>
            <w:tcW w:w="1996" w:type="dxa"/>
            <w:noWrap/>
            <w:hideMark/>
          </w:tcPr>
          <w:p w14:paraId="15F15932" w14:textId="50799EA8" w:rsidR="00617837" w:rsidRPr="003726FE" w:rsidRDefault="00617837" w:rsidP="00910B01">
            <w:pPr>
              <w:pStyle w:val="quoteboxes"/>
              <w:rPr>
                <w:lang w:val="en-GB"/>
              </w:rPr>
            </w:pPr>
            <w:r w:rsidRPr="003726FE">
              <w:rPr>
                <w:lang w:val="en-GB"/>
              </w:rPr>
              <w:t>P</w:t>
            </w:r>
          </w:p>
        </w:tc>
        <w:tc>
          <w:tcPr>
            <w:tcW w:w="1702" w:type="dxa"/>
            <w:noWrap/>
            <w:hideMark/>
          </w:tcPr>
          <w:p w14:paraId="66F79C4B" w14:textId="7B7AD0D9" w:rsidR="00617837" w:rsidRPr="003726FE" w:rsidRDefault="00617837" w:rsidP="00910B01">
            <w:pPr>
              <w:pStyle w:val="quoteboxes"/>
              <w:rPr>
                <w:lang w:val="en-GB"/>
              </w:rPr>
            </w:pPr>
            <w:r w:rsidRPr="003726FE">
              <w:rPr>
                <w:lang w:val="en-GB"/>
              </w:rPr>
              <w:t>Q</w:t>
            </w:r>
          </w:p>
        </w:tc>
        <w:tc>
          <w:tcPr>
            <w:tcW w:w="1843" w:type="dxa"/>
            <w:noWrap/>
            <w:hideMark/>
          </w:tcPr>
          <w:p w14:paraId="4433CDE0" w14:textId="0AC3127C" w:rsidR="00617837" w:rsidRPr="003726FE" w:rsidRDefault="00617837" w:rsidP="00910B01">
            <w:pPr>
              <w:pStyle w:val="quoteboxes"/>
              <w:rPr>
                <w:lang w:val="en-GB"/>
              </w:rPr>
            </w:pPr>
            <w:r w:rsidRPr="003726FE">
              <w:rPr>
                <w:lang w:val="en-GB"/>
              </w:rPr>
              <w:t>R</w:t>
            </w:r>
          </w:p>
        </w:tc>
        <w:tc>
          <w:tcPr>
            <w:tcW w:w="2835" w:type="dxa"/>
            <w:noWrap/>
            <w:hideMark/>
          </w:tcPr>
          <w:p w14:paraId="126DE20B" w14:textId="02BD6C88" w:rsidR="00617837" w:rsidRPr="003726FE" w:rsidRDefault="00617837" w:rsidP="00910B01">
            <w:pPr>
              <w:pStyle w:val="quoteboxes"/>
              <w:rPr>
                <w:lang w:val="en-GB"/>
              </w:rPr>
            </w:pPr>
            <w:r w:rsidRPr="003726FE">
              <w:rPr>
                <w:lang w:val="en-GB"/>
              </w:rPr>
              <w:t>S</w:t>
            </w:r>
          </w:p>
        </w:tc>
        <w:tc>
          <w:tcPr>
            <w:tcW w:w="1665" w:type="dxa"/>
          </w:tcPr>
          <w:p w14:paraId="1AB38330" w14:textId="37F959E0" w:rsidR="00617837" w:rsidRPr="003726FE" w:rsidRDefault="00617837" w:rsidP="00910B01">
            <w:pPr>
              <w:pStyle w:val="quoteboxes"/>
              <w:rPr>
                <w:lang w:val="en-GB"/>
              </w:rPr>
            </w:pPr>
            <w:r w:rsidRPr="003726FE">
              <w:rPr>
                <w:lang w:val="en-GB"/>
              </w:rPr>
              <w:t>T</w:t>
            </w:r>
          </w:p>
        </w:tc>
      </w:tr>
      <w:tr w:rsidR="00617837" w:rsidRPr="003726FE" w14:paraId="69952044" w14:textId="73BC8786" w:rsidTr="00042504">
        <w:trPr>
          <w:trHeight w:val="4365"/>
        </w:trPr>
        <w:tc>
          <w:tcPr>
            <w:tcW w:w="1461" w:type="dxa"/>
            <w:vAlign w:val="center"/>
            <w:hideMark/>
          </w:tcPr>
          <w:p w14:paraId="49A8583A" w14:textId="185F95C4" w:rsidR="00617837" w:rsidRPr="003726FE" w:rsidRDefault="00617837" w:rsidP="00910B01">
            <w:pPr>
              <w:pStyle w:val="quoteboxes"/>
              <w:rPr>
                <w:lang w:val="en-GB"/>
              </w:rPr>
            </w:pPr>
            <w:r w:rsidRPr="003726FE">
              <w:rPr>
                <w:lang w:val="en-GB"/>
              </w:rPr>
              <w:t>9 Planning and monitoring</w:t>
            </w:r>
          </w:p>
        </w:tc>
        <w:tc>
          <w:tcPr>
            <w:tcW w:w="1924" w:type="dxa"/>
            <w:hideMark/>
          </w:tcPr>
          <w:p w14:paraId="5A4D92CB" w14:textId="2638DF1B" w:rsidR="00617837" w:rsidRPr="003726FE" w:rsidRDefault="00617837" w:rsidP="00910B01">
            <w:pPr>
              <w:pStyle w:val="quoteboxes"/>
              <w:rPr>
                <w:lang w:val="en-GB"/>
              </w:rPr>
            </w:pPr>
            <w:r w:rsidRPr="003726FE">
              <w:rPr>
                <w:lang w:val="en-GB"/>
              </w:rPr>
              <w:t xml:space="preserve">G6 - 2: I find it easier if I just come in with a bit of a plan, usually it’s that I need to do a blood today, I’ve done my clerking’s for the week, nothing to do, my aim was to do bloods, when you plan what you want to do on each day it’s a lot better in that you get more of a range of activities in the week rather than hanging around. </w:t>
            </w:r>
          </w:p>
        </w:tc>
        <w:tc>
          <w:tcPr>
            <w:tcW w:w="1996" w:type="dxa"/>
            <w:hideMark/>
          </w:tcPr>
          <w:p w14:paraId="6D055AE6" w14:textId="6ED3E7AC" w:rsidR="00617837" w:rsidRPr="003726FE" w:rsidRDefault="00617837" w:rsidP="00910B01">
            <w:pPr>
              <w:pStyle w:val="quoteboxes"/>
              <w:rPr>
                <w:lang w:val="en-GB"/>
              </w:rPr>
            </w:pPr>
            <w:r w:rsidRPr="003726FE">
              <w:rPr>
                <w:lang w:val="en-GB"/>
              </w:rPr>
              <w:t>FG5 - SRLF Student 4: I think it’s relevant once you’re on the ward to do pre-reading but if they’d said to me a week before placement “read up on vascular” I wouldn’t have done it because I wouldn’t have understood it until I got onto the ward. I didn’t do any preparation because I didn’t see the point and there was no motivation.</w:t>
            </w:r>
          </w:p>
        </w:tc>
        <w:tc>
          <w:tcPr>
            <w:tcW w:w="1702" w:type="dxa"/>
            <w:hideMark/>
          </w:tcPr>
          <w:p w14:paraId="017D0BA4" w14:textId="4565F71C" w:rsidR="00617837" w:rsidRPr="003726FE" w:rsidRDefault="00617837" w:rsidP="00910B01">
            <w:pPr>
              <w:pStyle w:val="quoteboxes"/>
              <w:rPr>
                <w:lang w:val="en-GB"/>
              </w:rPr>
            </w:pPr>
            <w:r w:rsidRPr="003726FE">
              <w:rPr>
                <w:lang w:val="en-GB"/>
              </w:rPr>
              <w:t>G4 - 2: I would read all of my notes on the specialty. For neurology for example I read up everything I had on it so I knew the terminology and the anatomy enough to be able to figure out what they were talking about. That mainly.  That’s what I usually do.</w:t>
            </w:r>
          </w:p>
        </w:tc>
        <w:tc>
          <w:tcPr>
            <w:tcW w:w="1843" w:type="dxa"/>
            <w:hideMark/>
          </w:tcPr>
          <w:p w14:paraId="35343D37" w14:textId="053F64B6" w:rsidR="00617837" w:rsidRPr="003726FE" w:rsidRDefault="00617837" w:rsidP="00910B01">
            <w:pPr>
              <w:pStyle w:val="quoteboxes"/>
              <w:rPr>
                <w:lang w:val="en-GB"/>
              </w:rPr>
            </w:pPr>
            <w:r w:rsidRPr="003726FE">
              <w:rPr>
                <w:lang w:val="en-GB"/>
              </w:rPr>
              <w:t xml:space="preserve">G7 - 1:  I try to read up on infectious diseases but I find that I’m reading about what bacteria looks like and the life cycle of malaria and I know they won’t ask me on the ward and it’s not what I’ll be seeing. I decided that I’d just wait and see what was going on when I was there. </w:t>
            </w:r>
          </w:p>
        </w:tc>
        <w:tc>
          <w:tcPr>
            <w:tcW w:w="2835" w:type="dxa"/>
            <w:hideMark/>
          </w:tcPr>
          <w:p w14:paraId="301D2805" w14:textId="6C074413" w:rsidR="00617837" w:rsidRPr="003726FE" w:rsidRDefault="00617837" w:rsidP="00910B01">
            <w:pPr>
              <w:pStyle w:val="quoteboxes"/>
              <w:rPr>
                <w:lang w:val="en-GB"/>
              </w:rPr>
            </w:pPr>
            <w:r w:rsidRPr="003726FE">
              <w:rPr>
                <w:lang w:val="en-GB"/>
              </w:rPr>
              <w:t>G2 - 1: I won’t set a goal for clerking two patients and miss the chance to follow the first patient up to Cath lab or something, I’d rather take the teaching opportunities that are there rather than restrict myself.</w:t>
            </w:r>
          </w:p>
        </w:tc>
        <w:tc>
          <w:tcPr>
            <w:tcW w:w="1665" w:type="dxa"/>
          </w:tcPr>
          <w:p w14:paraId="22A81DA3" w14:textId="5667CF06" w:rsidR="00617837" w:rsidRPr="003726FE" w:rsidRDefault="00617837" w:rsidP="00910B01">
            <w:pPr>
              <w:pStyle w:val="quoteboxes"/>
              <w:rPr>
                <w:lang w:val="en-GB"/>
              </w:rPr>
            </w:pPr>
            <w:r w:rsidRPr="003726FE">
              <w:rPr>
                <w:lang w:val="en-GB"/>
              </w:rPr>
              <w:t xml:space="preserve">FG2 - SRLF Student 12: I have an idea of what we want to do each day, I can map it out on my timetable. Because the patients are so variable, you </w:t>
            </w:r>
            <w:r w:rsidR="00D531CD" w:rsidRPr="003726FE">
              <w:rPr>
                <w:lang w:val="en-GB"/>
              </w:rPr>
              <w:t>can’t</w:t>
            </w:r>
            <w:r w:rsidRPr="003726FE">
              <w:rPr>
                <w:lang w:val="en-GB"/>
              </w:rPr>
              <w:t xml:space="preserve"> definitely do what you set out to do in the day, some days are better than others.</w:t>
            </w:r>
            <w:r w:rsidRPr="003726FE">
              <w:rPr>
                <w:lang w:val="en-GB"/>
              </w:rPr>
              <w:br/>
              <w:t>Student 7: we have a mental checklist of the stuff we have to get done over the three weeks as opposed to day-to-day.</w:t>
            </w:r>
          </w:p>
        </w:tc>
      </w:tr>
    </w:tbl>
    <w:p w14:paraId="4CEBA234" w14:textId="77777777" w:rsidR="00617837" w:rsidRPr="003726FE" w:rsidRDefault="00617837" w:rsidP="00910B01">
      <w:pPr>
        <w:pStyle w:val="quoteboxes"/>
        <w:rPr>
          <w:lang w:val="en-GB"/>
        </w:rPr>
      </w:pPr>
    </w:p>
    <w:p w14:paraId="398035EB" w14:textId="77777777" w:rsidR="00617837" w:rsidRPr="003726FE" w:rsidRDefault="00617837" w:rsidP="00910B01">
      <w:pPr>
        <w:pStyle w:val="quoteboxes"/>
        <w:rPr>
          <w:lang w:val="en-GB"/>
        </w:rPr>
      </w:pPr>
      <w:r w:rsidRPr="003726FE">
        <w:rPr>
          <w:lang w:val="en-GB"/>
        </w:rPr>
        <w:br w:type="page"/>
      </w:r>
    </w:p>
    <w:tbl>
      <w:tblPr>
        <w:tblStyle w:val="TableGrid"/>
        <w:tblW w:w="0" w:type="auto"/>
        <w:tblLook w:val="04A0" w:firstRow="1" w:lastRow="0" w:firstColumn="1" w:lastColumn="0" w:noHBand="0" w:noVBand="1"/>
      </w:tblPr>
      <w:tblGrid>
        <w:gridCol w:w="1347"/>
        <w:gridCol w:w="1578"/>
        <w:gridCol w:w="1748"/>
        <w:gridCol w:w="1559"/>
        <w:gridCol w:w="2268"/>
        <w:gridCol w:w="1701"/>
        <w:gridCol w:w="1560"/>
        <w:gridCol w:w="1665"/>
      </w:tblGrid>
      <w:tr w:rsidR="00617837" w:rsidRPr="003726FE" w14:paraId="155A5910" w14:textId="5257278B" w:rsidTr="00042504">
        <w:trPr>
          <w:trHeight w:val="315"/>
        </w:trPr>
        <w:tc>
          <w:tcPr>
            <w:tcW w:w="1347" w:type="dxa"/>
            <w:noWrap/>
            <w:hideMark/>
          </w:tcPr>
          <w:p w14:paraId="48A4F93C" w14:textId="77777777" w:rsidR="00617837" w:rsidRPr="003726FE" w:rsidRDefault="00617837" w:rsidP="00910B01">
            <w:pPr>
              <w:pStyle w:val="quoteboxes"/>
              <w:rPr>
                <w:lang w:val="en-GB"/>
              </w:rPr>
            </w:pPr>
          </w:p>
        </w:tc>
        <w:tc>
          <w:tcPr>
            <w:tcW w:w="1578" w:type="dxa"/>
            <w:noWrap/>
            <w:hideMark/>
          </w:tcPr>
          <w:p w14:paraId="7BFA57F3" w14:textId="77777777" w:rsidR="00617837" w:rsidRPr="003726FE" w:rsidRDefault="00617837" w:rsidP="00910B01">
            <w:pPr>
              <w:pStyle w:val="quoteboxes"/>
              <w:rPr>
                <w:lang w:val="en-GB"/>
              </w:rPr>
            </w:pPr>
            <w:r w:rsidRPr="003726FE">
              <w:rPr>
                <w:lang w:val="en-GB"/>
              </w:rPr>
              <w:t>A</w:t>
            </w:r>
          </w:p>
        </w:tc>
        <w:tc>
          <w:tcPr>
            <w:tcW w:w="1748" w:type="dxa"/>
            <w:noWrap/>
            <w:hideMark/>
          </w:tcPr>
          <w:p w14:paraId="4E0CFE5C" w14:textId="77777777" w:rsidR="00617837" w:rsidRPr="003726FE" w:rsidRDefault="00617837" w:rsidP="00910B01">
            <w:pPr>
              <w:pStyle w:val="quoteboxes"/>
              <w:rPr>
                <w:lang w:val="en-GB"/>
              </w:rPr>
            </w:pPr>
            <w:r w:rsidRPr="003726FE">
              <w:rPr>
                <w:lang w:val="en-GB"/>
              </w:rPr>
              <w:t>B</w:t>
            </w:r>
          </w:p>
        </w:tc>
        <w:tc>
          <w:tcPr>
            <w:tcW w:w="1559" w:type="dxa"/>
            <w:noWrap/>
            <w:hideMark/>
          </w:tcPr>
          <w:p w14:paraId="6386FDA4" w14:textId="77777777" w:rsidR="00617837" w:rsidRPr="003726FE" w:rsidRDefault="00617837" w:rsidP="00910B01">
            <w:pPr>
              <w:pStyle w:val="quoteboxes"/>
              <w:rPr>
                <w:lang w:val="en-GB"/>
              </w:rPr>
            </w:pPr>
            <w:r w:rsidRPr="003726FE">
              <w:rPr>
                <w:lang w:val="en-GB"/>
              </w:rPr>
              <w:t>C</w:t>
            </w:r>
          </w:p>
        </w:tc>
        <w:tc>
          <w:tcPr>
            <w:tcW w:w="2268" w:type="dxa"/>
            <w:noWrap/>
            <w:hideMark/>
          </w:tcPr>
          <w:p w14:paraId="4CBD5DD6" w14:textId="77777777" w:rsidR="00617837" w:rsidRPr="003726FE" w:rsidRDefault="00617837" w:rsidP="00910B01">
            <w:pPr>
              <w:pStyle w:val="quoteboxes"/>
              <w:rPr>
                <w:lang w:val="en-GB"/>
              </w:rPr>
            </w:pPr>
            <w:r w:rsidRPr="003726FE">
              <w:rPr>
                <w:lang w:val="en-GB"/>
              </w:rPr>
              <w:t>D</w:t>
            </w:r>
          </w:p>
        </w:tc>
        <w:tc>
          <w:tcPr>
            <w:tcW w:w="1701" w:type="dxa"/>
            <w:noWrap/>
            <w:hideMark/>
          </w:tcPr>
          <w:p w14:paraId="17C5ABBE" w14:textId="77777777" w:rsidR="00617837" w:rsidRPr="003726FE" w:rsidRDefault="00617837" w:rsidP="00910B01">
            <w:pPr>
              <w:pStyle w:val="quoteboxes"/>
              <w:rPr>
                <w:lang w:val="en-GB"/>
              </w:rPr>
            </w:pPr>
            <w:r w:rsidRPr="003726FE">
              <w:rPr>
                <w:lang w:val="en-GB"/>
              </w:rPr>
              <w:t>E</w:t>
            </w:r>
          </w:p>
        </w:tc>
        <w:tc>
          <w:tcPr>
            <w:tcW w:w="1560" w:type="dxa"/>
          </w:tcPr>
          <w:p w14:paraId="29370754" w14:textId="7F072BED" w:rsidR="00617837" w:rsidRPr="003726FE" w:rsidRDefault="00617837" w:rsidP="00910B01">
            <w:pPr>
              <w:pStyle w:val="quoteboxes"/>
              <w:rPr>
                <w:lang w:val="en-GB"/>
              </w:rPr>
            </w:pPr>
            <w:r w:rsidRPr="003726FE">
              <w:rPr>
                <w:lang w:val="en-GB"/>
              </w:rPr>
              <w:t>F</w:t>
            </w:r>
          </w:p>
        </w:tc>
        <w:tc>
          <w:tcPr>
            <w:tcW w:w="1665" w:type="dxa"/>
          </w:tcPr>
          <w:p w14:paraId="7494D489" w14:textId="512D2925" w:rsidR="00617837" w:rsidRPr="003726FE" w:rsidRDefault="00617837" w:rsidP="00910B01">
            <w:pPr>
              <w:pStyle w:val="quoteboxes"/>
              <w:rPr>
                <w:lang w:val="en-GB"/>
              </w:rPr>
            </w:pPr>
            <w:r w:rsidRPr="003726FE">
              <w:rPr>
                <w:lang w:val="en-GB"/>
              </w:rPr>
              <w:t>G</w:t>
            </w:r>
          </w:p>
        </w:tc>
      </w:tr>
      <w:tr w:rsidR="00617837" w:rsidRPr="003726FE" w14:paraId="49BA2223" w14:textId="0CAA9232" w:rsidTr="00042504">
        <w:trPr>
          <w:trHeight w:val="4365"/>
        </w:trPr>
        <w:tc>
          <w:tcPr>
            <w:tcW w:w="1347" w:type="dxa"/>
            <w:vAlign w:val="center"/>
            <w:hideMark/>
          </w:tcPr>
          <w:p w14:paraId="461787C4" w14:textId="27006F5E" w:rsidR="00617837" w:rsidRPr="003726FE" w:rsidRDefault="00617837" w:rsidP="00910B01">
            <w:pPr>
              <w:pStyle w:val="quoteboxes"/>
              <w:rPr>
                <w:lang w:val="en-GB"/>
              </w:rPr>
            </w:pPr>
            <w:r w:rsidRPr="003726FE">
              <w:rPr>
                <w:lang w:val="en-GB"/>
              </w:rPr>
              <w:t>10 Self-evaluation</w:t>
            </w:r>
          </w:p>
        </w:tc>
        <w:tc>
          <w:tcPr>
            <w:tcW w:w="1578" w:type="dxa"/>
            <w:hideMark/>
          </w:tcPr>
          <w:p w14:paraId="0FC03296" w14:textId="56BD40BD" w:rsidR="00617837" w:rsidRPr="003726FE" w:rsidRDefault="00617837" w:rsidP="00910B01">
            <w:pPr>
              <w:pStyle w:val="quoteboxes"/>
              <w:rPr>
                <w:lang w:val="en-GB"/>
              </w:rPr>
            </w:pPr>
            <w:r w:rsidRPr="003726FE">
              <w:rPr>
                <w:lang w:val="en-GB"/>
              </w:rPr>
              <w:t xml:space="preserve">G1 - 1: not really sure. I know when days have been productive. I don’t really evaluate the whole placement. It’s more of a day to day thing, whether I’ve been productive or not. If I’ve done ward round and there’s nothing to do after then it’s not been productive. Whereas if I’ve spoken to lots of patients, examinations and blood taking and speaking to the F1s about patients then it’s productive. </w:t>
            </w:r>
          </w:p>
        </w:tc>
        <w:tc>
          <w:tcPr>
            <w:tcW w:w="1748" w:type="dxa"/>
            <w:hideMark/>
          </w:tcPr>
          <w:p w14:paraId="5B6169CD" w14:textId="35697976" w:rsidR="00617837" w:rsidRPr="003726FE" w:rsidRDefault="00617837" w:rsidP="00910B01">
            <w:pPr>
              <w:pStyle w:val="quoteboxes"/>
              <w:rPr>
                <w:lang w:val="en-GB"/>
              </w:rPr>
            </w:pPr>
            <w:r w:rsidRPr="003726FE">
              <w:rPr>
                <w:lang w:val="en-GB"/>
              </w:rPr>
              <w:t xml:space="preserve">FG5 - SRLF Student 4: I definitely think with history taking we have evaluated ourselves because at the start we did clerking, it took me like a whole day to do it and it was ridiculous because I was taking 5 hours to do one thing and it’s got so much quicker already. </w:t>
            </w:r>
            <w:r w:rsidRPr="003726FE">
              <w:rPr>
                <w:lang w:val="en-GB"/>
              </w:rPr>
              <w:br/>
              <w:t>Student 2: yeah that’s just practicing isn’t it? I would say you’re forced then evaluate yourself because you’re in such a big group, if other people know stuff you don’t then that in itself is evaluation.</w:t>
            </w:r>
          </w:p>
        </w:tc>
        <w:tc>
          <w:tcPr>
            <w:tcW w:w="1559" w:type="dxa"/>
            <w:hideMark/>
          </w:tcPr>
          <w:p w14:paraId="4324B7FC" w14:textId="2A6585CD" w:rsidR="00617837" w:rsidRPr="003726FE" w:rsidRDefault="00617837" w:rsidP="00910B01">
            <w:pPr>
              <w:pStyle w:val="quoteboxes"/>
              <w:rPr>
                <w:lang w:val="en-GB"/>
              </w:rPr>
            </w:pPr>
            <w:r w:rsidRPr="003726FE">
              <w:rPr>
                <w:lang w:val="en-GB"/>
              </w:rPr>
              <w:t>G3 - 1: usually just how I feel in myself. How confident I feel, how much I enjoyed the placement, if I feel like I’ve actually learned something, learning about how to examine a bump or lesion then I feel it’s been useful because I might not do that again. If I’ve made an impression on the consultant, if they’ve liked me, had some rapport. If i enjoyed it and if I’d want to do it again.</w:t>
            </w:r>
          </w:p>
        </w:tc>
        <w:tc>
          <w:tcPr>
            <w:tcW w:w="2268" w:type="dxa"/>
            <w:hideMark/>
          </w:tcPr>
          <w:p w14:paraId="72B32891" w14:textId="13CACC76" w:rsidR="00617837" w:rsidRPr="003726FE" w:rsidRDefault="00617837" w:rsidP="00910B01">
            <w:pPr>
              <w:pStyle w:val="quoteboxes"/>
              <w:rPr>
                <w:lang w:val="en-GB"/>
              </w:rPr>
            </w:pPr>
            <w:r w:rsidRPr="003726FE">
              <w:rPr>
                <w:lang w:val="en-GB"/>
              </w:rPr>
              <w:t>FG3 - BPF Student 10: sometimes we get constant feedback because if you’ve got someone over you whilst you’re doing something like an examination or a clinical skill it might give you tips and tricks as you’re going through to help you get a hold of it and it’s important to take it on board even if you are trying to concentrate so it’s not something… so it’s not like “now you’re finished its time to start scrutinising you” it’s something you’ve got to take on board while you’re doing it and you’ve got to realise where you’re going wrong yourself as well and be able to self-evaluate and it’s a constant process not just something that’s at the end of the day.</w:t>
            </w:r>
          </w:p>
        </w:tc>
        <w:tc>
          <w:tcPr>
            <w:tcW w:w="1701" w:type="dxa"/>
            <w:hideMark/>
          </w:tcPr>
          <w:p w14:paraId="5E2843B3" w14:textId="66128D2D" w:rsidR="00617837" w:rsidRPr="003726FE" w:rsidRDefault="00617837" w:rsidP="00910B01">
            <w:pPr>
              <w:pStyle w:val="quoteboxes"/>
              <w:rPr>
                <w:lang w:val="en-GB"/>
              </w:rPr>
            </w:pPr>
            <w:r w:rsidRPr="003726FE">
              <w:rPr>
                <w:lang w:val="en-GB"/>
              </w:rPr>
              <w:t>G7 - 2: I don’t know. How i do on my exam I think. I can’t base this placement on how I do in my exam though because I haven’t really learned anything from the placement, I’ve learned things from my friends. Back on my RHH placement I’d base how I’m doing on how well I understand things and how much more involved I am or that I feel more confident. Now I have to base it on examinations because there’s no team to base how well I’m doing in the team.</w:t>
            </w:r>
          </w:p>
        </w:tc>
        <w:tc>
          <w:tcPr>
            <w:tcW w:w="1560" w:type="dxa"/>
          </w:tcPr>
          <w:p w14:paraId="6C16093C" w14:textId="70BEEE08" w:rsidR="00617837" w:rsidRPr="003726FE" w:rsidRDefault="00617837" w:rsidP="00910B01">
            <w:pPr>
              <w:pStyle w:val="quoteboxes"/>
              <w:rPr>
                <w:lang w:val="en-GB"/>
              </w:rPr>
            </w:pPr>
            <w:r w:rsidRPr="003726FE">
              <w:rPr>
                <w:lang w:val="en-GB"/>
              </w:rPr>
              <w:t>G3 - 1: In the moment I just accept it, I can’t say “no” (laughs). Then when I reflect upon it later or if I discuss it with someone else and ask them “have you thought this about me?” or “do you think I’m bad in this area?” then I think about it more. That’s when I decide if they’re right or wrong, sometimes they can be right and sometimes they can be very wrong it just depends what happens when I reflect upon it.</w:t>
            </w:r>
          </w:p>
        </w:tc>
        <w:tc>
          <w:tcPr>
            <w:tcW w:w="1665" w:type="dxa"/>
          </w:tcPr>
          <w:p w14:paraId="06B7368C" w14:textId="67BE9E51" w:rsidR="00617837" w:rsidRPr="003726FE" w:rsidRDefault="00617837" w:rsidP="00910B01">
            <w:pPr>
              <w:pStyle w:val="quoteboxes"/>
              <w:rPr>
                <w:lang w:val="en-GB"/>
              </w:rPr>
            </w:pPr>
            <w:r w:rsidRPr="003726FE">
              <w:rPr>
                <w:lang w:val="en-GB"/>
              </w:rPr>
              <w:t>FG3 - BPF Student 7: you can use it to recognise where you’ve gone wrong along the way rather than having to write it down, you think that history took me an hour, it’s not meant to take an hour, next time I need to make sure I don’t butt into what they’re saying but I shorten the chatter so I can get through it and see someone else. It’s something that we do in our head rather than paper which is probably more useful.</w:t>
            </w:r>
          </w:p>
        </w:tc>
      </w:tr>
    </w:tbl>
    <w:p w14:paraId="2D8674C0" w14:textId="77777777" w:rsidR="00617837" w:rsidRPr="003726FE" w:rsidRDefault="00617837" w:rsidP="00910B01">
      <w:pPr>
        <w:pStyle w:val="quoteboxes"/>
        <w:rPr>
          <w:lang w:val="en-GB"/>
        </w:rPr>
      </w:pPr>
    </w:p>
    <w:p w14:paraId="3508A9EB" w14:textId="1056A0A6" w:rsidR="00617837" w:rsidRPr="003726FE" w:rsidRDefault="00617837" w:rsidP="00910B01">
      <w:pPr>
        <w:pStyle w:val="quoteboxes"/>
        <w:rPr>
          <w:lang w:val="en-GB"/>
        </w:rPr>
      </w:pPr>
    </w:p>
    <w:tbl>
      <w:tblPr>
        <w:tblStyle w:val="TableGrid"/>
        <w:tblW w:w="0" w:type="auto"/>
        <w:tblLook w:val="04A0" w:firstRow="1" w:lastRow="0" w:firstColumn="1" w:lastColumn="0" w:noHBand="0" w:noVBand="1"/>
      </w:tblPr>
      <w:tblGrid>
        <w:gridCol w:w="1447"/>
        <w:gridCol w:w="1950"/>
        <w:gridCol w:w="1283"/>
        <w:gridCol w:w="1552"/>
        <w:gridCol w:w="1560"/>
        <w:gridCol w:w="2693"/>
        <w:gridCol w:w="2941"/>
      </w:tblGrid>
      <w:tr w:rsidR="00617837" w:rsidRPr="003726FE" w14:paraId="6A4E6D9C" w14:textId="4C096029" w:rsidTr="00042504">
        <w:trPr>
          <w:trHeight w:val="315"/>
        </w:trPr>
        <w:tc>
          <w:tcPr>
            <w:tcW w:w="1447" w:type="dxa"/>
            <w:noWrap/>
            <w:hideMark/>
          </w:tcPr>
          <w:p w14:paraId="7A41BB0A" w14:textId="77777777" w:rsidR="00617837" w:rsidRPr="003726FE" w:rsidRDefault="00617837" w:rsidP="00910B01">
            <w:pPr>
              <w:pStyle w:val="quoteboxes"/>
              <w:rPr>
                <w:sz w:val="20"/>
                <w:lang w:val="en-GB"/>
              </w:rPr>
            </w:pPr>
          </w:p>
        </w:tc>
        <w:tc>
          <w:tcPr>
            <w:tcW w:w="1950" w:type="dxa"/>
            <w:noWrap/>
            <w:hideMark/>
          </w:tcPr>
          <w:p w14:paraId="46B16DF0" w14:textId="75F9B5BF" w:rsidR="00617837" w:rsidRPr="003726FE" w:rsidRDefault="00617837" w:rsidP="00910B01">
            <w:pPr>
              <w:pStyle w:val="quoteboxes"/>
              <w:rPr>
                <w:sz w:val="20"/>
                <w:lang w:val="en-GB"/>
              </w:rPr>
            </w:pPr>
            <w:r w:rsidRPr="003726FE">
              <w:rPr>
                <w:sz w:val="20"/>
                <w:lang w:val="en-GB"/>
              </w:rPr>
              <w:t>H</w:t>
            </w:r>
          </w:p>
        </w:tc>
        <w:tc>
          <w:tcPr>
            <w:tcW w:w="1283" w:type="dxa"/>
            <w:noWrap/>
            <w:hideMark/>
          </w:tcPr>
          <w:p w14:paraId="1FD35B0B" w14:textId="2C33621F" w:rsidR="00617837" w:rsidRPr="003726FE" w:rsidRDefault="00617837" w:rsidP="00910B01">
            <w:pPr>
              <w:pStyle w:val="quoteboxes"/>
              <w:rPr>
                <w:sz w:val="20"/>
                <w:lang w:val="en-GB"/>
              </w:rPr>
            </w:pPr>
            <w:r w:rsidRPr="003726FE">
              <w:rPr>
                <w:sz w:val="20"/>
                <w:lang w:val="en-GB"/>
              </w:rPr>
              <w:t>I</w:t>
            </w:r>
          </w:p>
        </w:tc>
        <w:tc>
          <w:tcPr>
            <w:tcW w:w="1552" w:type="dxa"/>
            <w:noWrap/>
            <w:hideMark/>
          </w:tcPr>
          <w:p w14:paraId="0A587A15" w14:textId="4B50E81C" w:rsidR="00617837" w:rsidRPr="003726FE" w:rsidRDefault="00617837" w:rsidP="00910B01">
            <w:pPr>
              <w:pStyle w:val="quoteboxes"/>
              <w:rPr>
                <w:sz w:val="20"/>
                <w:lang w:val="en-GB"/>
              </w:rPr>
            </w:pPr>
            <w:r w:rsidRPr="003726FE">
              <w:rPr>
                <w:sz w:val="20"/>
                <w:lang w:val="en-GB"/>
              </w:rPr>
              <w:t>J</w:t>
            </w:r>
          </w:p>
        </w:tc>
        <w:tc>
          <w:tcPr>
            <w:tcW w:w="1560" w:type="dxa"/>
            <w:noWrap/>
            <w:hideMark/>
          </w:tcPr>
          <w:p w14:paraId="7F503D3C" w14:textId="6BDDBF64" w:rsidR="00617837" w:rsidRPr="003726FE" w:rsidRDefault="00617837" w:rsidP="00910B01">
            <w:pPr>
              <w:pStyle w:val="quoteboxes"/>
              <w:rPr>
                <w:sz w:val="20"/>
                <w:lang w:val="en-GB"/>
              </w:rPr>
            </w:pPr>
            <w:r w:rsidRPr="003726FE">
              <w:rPr>
                <w:sz w:val="20"/>
                <w:lang w:val="en-GB"/>
              </w:rPr>
              <w:t>K</w:t>
            </w:r>
          </w:p>
        </w:tc>
        <w:tc>
          <w:tcPr>
            <w:tcW w:w="2693" w:type="dxa"/>
            <w:noWrap/>
            <w:hideMark/>
          </w:tcPr>
          <w:p w14:paraId="444A1D2F" w14:textId="029B4420" w:rsidR="00617837" w:rsidRPr="003726FE" w:rsidRDefault="00617837" w:rsidP="00910B01">
            <w:pPr>
              <w:pStyle w:val="quoteboxes"/>
              <w:rPr>
                <w:sz w:val="20"/>
                <w:lang w:val="en-GB"/>
              </w:rPr>
            </w:pPr>
            <w:r w:rsidRPr="003726FE">
              <w:rPr>
                <w:sz w:val="20"/>
                <w:lang w:val="en-GB"/>
              </w:rPr>
              <w:t>L</w:t>
            </w:r>
          </w:p>
        </w:tc>
        <w:tc>
          <w:tcPr>
            <w:tcW w:w="2941" w:type="dxa"/>
          </w:tcPr>
          <w:p w14:paraId="1EBAEA34" w14:textId="41B577AB" w:rsidR="00617837" w:rsidRPr="003726FE" w:rsidRDefault="00617837" w:rsidP="00910B01">
            <w:pPr>
              <w:pStyle w:val="quoteboxes"/>
              <w:rPr>
                <w:sz w:val="20"/>
                <w:lang w:val="en-GB"/>
              </w:rPr>
            </w:pPr>
            <w:r w:rsidRPr="003726FE">
              <w:rPr>
                <w:sz w:val="20"/>
                <w:lang w:val="en-GB"/>
              </w:rPr>
              <w:t>M</w:t>
            </w:r>
          </w:p>
        </w:tc>
      </w:tr>
      <w:tr w:rsidR="00617837" w:rsidRPr="003726FE" w14:paraId="090BC24C" w14:textId="03B78730" w:rsidTr="00042504">
        <w:trPr>
          <w:trHeight w:val="4365"/>
        </w:trPr>
        <w:tc>
          <w:tcPr>
            <w:tcW w:w="1447" w:type="dxa"/>
            <w:vAlign w:val="center"/>
            <w:hideMark/>
          </w:tcPr>
          <w:p w14:paraId="5DCFFC32" w14:textId="0F9B290B" w:rsidR="00617837" w:rsidRPr="003726FE" w:rsidRDefault="00617837" w:rsidP="00910B01">
            <w:pPr>
              <w:pStyle w:val="quoteboxes"/>
              <w:rPr>
                <w:sz w:val="20"/>
                <w:lang w:val="en-GB"/>
              </w:rPr>
            </w:pPr>
            <w:r w:rsidRPr="003726FE">
              <w:rPr>
                <w:sz w:val="20"/>
                <w:lang w:val="en-GB"/>
              </w:rPr>
              <w:t>10 Self-evaluation</w:t>
            </w:r>
          </w:p>
        </w:tc>
        <w:tc>
          <w:tcPr>
            <w:tcW w:w="1950" w:type="dxa"/>
            <w:hideMark/>
          </w:tcPr>
          <w:p w14:paraId="0F0AF40B" w14:textId="09C3D99D" w:rsidR="00617837" w:rsidRPr="003726FE" w:rsidRDefault="00617837" w:rsidP="00910B01">
            <w:pPr>
              <w:pStyle w:val="quoteboxes"/>
              <w:rPr>
                <w:sz w:val="20"/>
                <w:lang w:val="en-GB"/>
              </w:rPr>
            </w:pPr>
            <w:r w:rsidRPr="003726FE">
              <w:rPr>
                <w:sz w:val="20"/>
                <w:lang w:val="en-GB"/>
              </w:rPr>
              <w:t xml:space="preserve">FG1 - BPF Student 8: I always come back to my notes. For each phase I do I have a magic book where I write everything because I never know where I’m going to need it and which page it’s on but when it comes to the end of the year I look at my book and then I’ll write things up. If something looks like it’s going to be useful I can be like “oh does anyone know about this” and then I can talk to someone about it. I just write everything down that I want to remember and go from there really. Those notes aren’t about cases they’re about other things, like how to do a certain test for a disease, </w:t>
            </w:r>
            <w:r w:rsidR="00D531CD" w:rsidRPr="003726FE">
              <w:rPr>
                <w:sz w:val="20"/>
                <w:lang w:val="en-GB"/>
              </w:rPr>
              <w:t>it’s</w:t>
            </w:r>
            <w:r w:rsidRPr="003726FE">
              <w:rPr>
                <w:sz w:val="20"/>
                <w:lang w:val="en-GB"/>
              </w:rPr>
              <w:t xml:space="preserve"> nothing to do with my portfolio, it’s for myself.</w:t>
            </w:r>
          </w:p>
        </w:tc>
        <w:tc>
          <w:tcPr>
            <w:tcW w:w="1283" w:type="dxa"/>
            <w:hideMark/>
          </w:tcPr>
          <w:p w14:paraId="3240F05C" w14:textId="1DF215D0" w:rsidR="00617837" w:rsidRPr="003726FE" w:rsidRDefault="00617837" w:rsidP="00910B01">
            <w:pPr>
              <w:pStyle w:val="quoteboxes"/>
              <w:rPr>
                <w:sz w:val="20"/>
                <w:lang w:val="en-GB"/>
              </w:rPr>
            </w:pPr>
            <w:r w:rsidRPr="003726FE">
              <w:rPr>
                <w:sz w:val="20"/>
                <w:lang w:val="en-GB"/>
              </w:rPr>
              <w:t>G1 - 1: When we do examinations and give feedback that’s good from my peer. When I’m doing them on my own I can’t give myself feedback</w:t>
            </w:r>
          </w:p>
        </w:tc>
        <w:tc>
          <w:tcPr>
            <w:tcW w:w="1552" w:type="dxa"/>
            <w:hideMark/>
          </w:tcPr>
          <w:p w14:paraId="0051D344" w14:textId="6B3B8C79" w:rsidR="00617837" w:rsidRPr="003726FE" w:rsidRDefault="00617837" w:rsidP="00910B01">
            <w:pPr>
              <w:pStyle w:val="quoteboxes"/>
              <w:rPr>
                <w:sz w:val="20"/>
                <w:lang w:val="en-GB"/>
              </w:rPr>
            </w:pPr>
            <w:r w:rsidRPr="003726FE">
              <w:rPr>
                <w:sz w:val="20"/>
                <w:lang w:val="en-GB"/>
              </w:rPr>
              <w:t>G5 - 1: I don’t compare what I do to other people on placement because what they might find beneficial I probably wouldn’t. I think its personal to me and also it would stress me out if I did compare myself to others.</w:t>
            </w:r>
          </w:p>
        </w:tc>
        <w:tc>
          <w:tcPr>
            <w:tcW w:w="1560" w:type="dxa"/>
            <w:hideMark/>
          </w:tcPr>
          <w:p w14:paraId="5E228303" w14:textId="6688FBD6" w:rsidR="00617837" w:rsidRPr="003726FE" w:rsidRDefault="00617837" w:rsidP="00910B01">
            <w:pPr>
              <w:pStyle w:val="quoteboxes"/>
              <w:rPr>
                <w:sz w:val="20"/>
                <w:lang w:val="en-GB"/>
              </w:rPr>
            </w:pPr>
            <w:r w:rsidRPr="003726FE">
              <w:rPr>
                <w:sz w:val="20"/>
                <w:lang w:val="en-GB"/>
              </w:rPr>
              <w:t xml:space="preserve">G7 - 2: when I’m in the common room examining on friends the only way I know I have things right or wrong is by that book and by comparing myself to the other students who are doing them too, that snot always good because other people are good at different things, it can knock my confidence if I make direct comparisons. </w:t>
            </w:r>
          </w:p>
        </w:tc>
        <w:tc>
          <w:tcPr>
            <w:tcW w:w="2693" w:type="dxa"/>
            <w:hideMark/>
          </w:tcPr>
          <w:p w14:paraId="6D08E37A" w14:textId="30322094" w:rsidR="00617837" w:rsidRPr="003726FE" w:rsidRDefault="00617837" w:rsidP="00910B01">
            <w:pPr>
              <w:pStyle w:val="quoteboxes"/>
              <w:rPr>
                <w:sz w:val="20"/>
                <w:lang w:val="en-GB"/>
              </w:rPr>
            </w:pPr>
            <w:r w:rsidRPr="003726FE">
              <w:rPr>
                <w:sz w:val="20"/>
                <w:lang w:val="en-GB"/>
              </w:rPr>
              <w:t>G5 - 2:  Maybe when I found a good consultant I should’ve hung out with them a bit more. Just stayed with them, it would’ve got more rapport going but I don’t see them often enough.</w:t>
            </w:r>
          </w:p>
        </w:tc>
        <w:tc>
          <w:tcPr>
            <w:tcW w:w="2941" w:type="dxa"/>
          </w:tcPr>
          <w:p w14:paraId="32C9FC0E" w14:textId="0E188D75" w:rsidR="00617837" w:rsidRPr="003726FE" w:rsidRDefault="00617837" w:rsidP="00910B01">
            <w:pPr>
              <w:pStyle w:val="quoteboxes"/>
              <w:rPr>
                <w:sz w:val="20"/>
                <w:lang w:val="en-GB"/>
              </w:rPr>
            </w:pPr>
            <w:r w:rsidRPr="003726FE">
              <w:rPr>
                <w:sz w:val="20"/>
                <w:lang w:val="en-GB"/>
              </w:rPr>
              <w:t>G4 - 1:  it’s a mix between internal and external stuff. There’s a massive part of this is put down to the people that teach us. There are days where I’m trying to get feedback from people, trying to get taught by someone and after a whole day of asking many people for some knowledge, there’s a day where I met one consultant that was so good that in ten minutes I learned more than in ten hours of the previous day. It’s a lot about the people. Of course we need to show we want to do stuff, if we’re bored in a corner we won’t get anything, some people are luckier than others in who they get.</w:t>
            </w:r>
          </w:p>
        </w:tc>
      </w:tr>
    </w:tbl>
    <w:p w14:paraId="0443D7E7" w14:textId="77777777" w:rsidR="00617837" w:rsidRPr="003726FE" w:rsidRDefault="00617837" w:rsidP="00910B01">
      <w:pPr>
        <w:pStyle w:val="quoteboxes"/>
        <w:rPr>
          <w:lang w:val="en-GB"/>
        </w:rPr>
      </w:pPr>
    </w:p>
    <w:p w14:paraId="5709AA9E" w14:textId="77777777" w:rsidR="00617837" w:rsidRPr="003726FE" w:rsidRDefault="00617837" w:rsidP="00910B01">
      <w:pPr>
        <w:pStyle w:val="quoteboxes"/>
        <w:rPr>
          <w:lang w:val="en-GB"/>
        </w:rPr>
      </w:pPr>
      <w:r w:rsidRPr="003726FE">
        <w:rPr>
          <w:lang w:val="en-GB"/>
        </w:rPr>
        <w:br w:type="page"/>
      </w:r>
    </w:p>
    <w:tbl>
      <w:tblPr>
        <w:tblStyle w:val="TableGrid"/>
        <w:tblW w:w="12895" w:type="dxa"/>
        <w:tblLook w:val="04A0" w:firstRow="1" w:lastRow="0" w:firstColumn="1" w:lastColumn="0" w:noHBand="0" w:noVBand="1"/>
      </w:tblPr>
      <w:tblGrid>
        <w:gridCol w:w="1564"/>
        <w:gridCol w:w="2259"/>
        <w:gridCol w:w="2551"/>
        <w:gridCol w:w="2268"/>
        <w:gridCol w:w="4253"/>
      </w:tblGrid>
      <w:tr w:rsidR="00617837" w:rsidRPr="003726FE" w14:paraId="109461D1" w14:textId="77777777" w:rsidTr="00042504">
        <w:trPr>
          <w:trHeight w:val="315"/>
        </w:trPr>
        <w:tc>
          <w:tcPr>
            <w:tcW w:w="1564" w:type="dxa"/>
            <w:noWrap/>
            <w:hideMark/>
          </w:tcPr>
          <w:p w14:paraId="2B81BA8F" w14:textId="77777777" w:rsidR="00617837" w:rsidRPr="003726FE" w:rsidRDefault="00617837" w:rsidP="00910B01">
            <w:pPr>
              <w:pStyle w:val="quoteboxes"/>
              <w:rPr>
                <w:sz w:val="20"/>
                <w:lang w:val="en-GB"/>
              </w:rPr>
            </w:pPr>
          </w:p>
        </w:tc>
        <w:tc>
          <w:tcPr>
            <w:tcW w:w="2259" w:type="dxa"/>
            <w:noWrap/>
            <w:hideMark/>
          </w:tcPr>
          <w:p w14:paraId="2ADECF9A" w14:textId="2CCA5DC9" w:rsidR="00617837" w:rsidRPr="003726FE" w:rsidRDefault="00617837" w:rsidP="00910B01">
            <w:pPr>
              <w:pStyle w:val="quoteboxes"/>
              <w:rPr>
                <w:sz w:val="20"/>
                <w:lang w:val="en-GB"/>
              </w:rPr>
            </w:pPr>
            <w:r w:rsidRPr="003726FE">
              <w:rPr>
                <w:sz w:val="20"/>
                <w:lang w:val="en-GB"/>
              </w:rPr>
              <w:t>N</w:t>
            </w:r>
          </w:p>
        </w:tc>
        <w:tc>
          <w:tcPr>
            <w:tcW w:w="2551" w:type="dxa"/>
            <w:noWrap/>
            <w:hideMark/>
          </w:tcPr>
          <w:p w14:paraId="40CEFDA5" w14:textId="4F96018D" w:rsidR="00617837" w:rsidRPr="003726FE" w:rsidRDefault="00617837" w:rsidP="00910B01">
            <w:pPr>
              <w:pStyle w:val="quoteboxes"/>
              <w:rPr>
                <w:sz w:val="20"/>
                <w:lang w:val="en-GB"/>
              </w:rPr>
            </w:pPr>
            <w:r w:rsidRPr="003726FE">
              <w:rPr>
                <w:sz w:val="20"/>
                <w:lang w:val="en-GB"/>
              </w:rPr>
              <w:t>O</w:t>
            </w:r>
          </w:p>
        </w:tc>
        <w:tc>
          <w:tcPr>
            <w:tcW w:w="2268" w:type="dxa"/>
            <w:noWrap/>
            <w:hideMark/>
          </w:tcPr>
          <w:p w14:paraId="5FE56D58" w14:textId="7B051CCD" w:rsidR="00617837" w:rsidRPr="003726FE" w:rsidRDefault="00617837" w:rsidP="00910B01">
            <w:pPr>
              <w:pStyle w:val="quoteboxes"/>
              <w:rPr>
                <w:sz w:val="20"/>
                <w:lang w:val="en-GB"/>
              </w:rPr>
            </w:pPr>
            <w:r w:rsidRPr="003726FE">
              <w:rPr>
                <w:sz w:val="20"/>
                <w:lang w:val="en-GB"/>
              </w:rPr>
              <w:t>P</w:t>
            </w:r>
          </w:p>
        </w:tc>
        <w:tc>
          <w:tcPr>
            <w:tcW w:w="4253" w:type="dxa"/>
            <w:noWrap/>
            <w:hideMark/>
          </w:tcPr>
          <w:p w14:paraId="7FA0B0F7" w14:textId="38552F2E" w:rsidR="00617837" w:rsidRPr="003726FE" w:rsidRDefault="00617837" w:rsidP="00910B01">
            <w:pPr>
              <w:pStyle w:val="quoteboxes"/>
              <w:rPr>
                <w:sz w:val="20"/>
                <w:lang w:val="en-GB"/>
              </w:rPr>
            </w:pPr>
            <w:r w:rsidRPr="003726FE">
              <w:rPr>
                <w:sz w:val="20"/>
                <w:lang w:val="en-GB"/>
              </w:rPr>
              <w:t>Q</w:t>
            </w:r>
          </w:p>
        </w:tc>
      </w:tr>
      <w:tr w:rsidR="00617837" w:rsidRPr="003726FE" w14:paraId="55B35E86" w14:textId="77777777" w:rsidTr="00042504">
        <w:trPr>
          <w:trHeight w:val="4365"/>
        </w:trPr>
        <w:tc>
          <w:tcPr>
            <w:tcW w:w="1564" w:type="dxa"/>
            <w:vAlign w:val="center"/>
            <w:hideMark/>
          </w:tcPr>
          <w:p w14:paraId="277937D7" w14:textId="34F8DDB5" w:rsidR="00617837" w:rsidRPr="003726FE" w:rsidRDefault="00617837" w:rsidP="00910B01">
            <w:pPr>
              <w:pStyle w:val="quoteboxes"/>
              <w:rPr>
                <w:sz w:val="20"/>
                <w:lang w:val="en-GB"/>
              </w:rPr>
            </w:pPr>
            <w:r w:rsidRPr="003726FE">
              <w:rPr>
                <w:sz w:val="20"/>
                <w:lang w:val="en-GB"/>
              </w:rPr>
              <w:t>10 Self-evaluation</w:t>
            </w:r>
          </w:p>
        </w:tc>
        <w:tc>
          <w:tcPr>
            <w:tcW w:w="2259" w:type="dxa"/>
            <w:hideMark/>
          </w:tcPr>
          <w:p w14:paraId="705FED52" w14:textId="4FDC8EAF" w:rsidR="00617837" w:rsidRPr="003726FE" w:rsidRDefault="00617837" w:rsidP="00910B01">
            <w:pPr>
              <w:pStyle w:val="quoteboxes"/>
              <w:rPr>
                <w:sz w:val="20"/>
                <w:lang w:val="en-GB"/>
              </w:rPr>
            </w:pPr>
            <w:r w:rsidRPr="003726FE">
              <w:rPr>
                <w:sz w:val="20"/>
                <w:lang w:val="en-GB"/>
              </w:rPr>
              <w:t>FG4 - SRLF Student 2: a good example is the butterfly needle and the blue one, loads of doctors say use the blue on, but I find the butterfly a lot easier but I think that’s just because I’m a novice. So I’m going to ignore the feedback for a little while then I’m going to use the other one later so I guess I will come to my own conclusion about the feedback they give me. I know they’re right but for the minute I’m going to stick with what is working.</w:t>
            </w:r>
          </w:p>
        </w:tc>
        <w:tc>
          <w:tcPr>
            <w:tcW w:w="2551" w:type="dxa"/>
            <w:hideMark/>
          </w:tcPr>
          <w:p w14:paraId="2B20682A" w14:textId="5B5AB361" w:rsidR="00617837" w:rsidRPr="003726FE" w:rsidRDefault="00617837" w:rsidP="00910B01">
            <w:pPr>
              <w:pStyle w:val="quoteboxes"/>
              <w:rPr>
                <w:sz w:val="20"/>
                <w:lang w:val="en-GB"/>
              </w:rPr>
            </w:pPr>
            <w:r w:rsidRPr="003726FE">
              <w:rPr>
                <w:sz w:val="20"/>
                <w:lang w:val="en-GB"/>
              </w:rPr>
              <w:t>G2 - 2: There was three junior doctors on the ward round every day and I developed a relationship with them. One thing I did miss out on is that I got too involved in helping them with their work rather than going to take more histories, I wrote them up but I didn’t present it to them. I was just getting on with helping them. I learned that and it’s something I’ll take on board as my own feedback to myself for my next attachment. I’m feeling a bit insecure about holding them back but I should just use them for my own development instead of being worried about doing their job for them. I know they wouldn’t mind if I asked to present to them or help me with something.</w:t>
            </w:r>
          </w:p>
        </w:tc>
        <w:tc>
          <w:tcPr>
            <w:tcW w:w="2268" w:type="dxa"/>
            <w:hideMark/>
          </w:tcPr>
          <w:p w14:paraId="1548D306" w14:textId="41A067FB" w:rsidR="00617837" w:rsidRPr="003726FE" w:rsidRDefault="00617837" w:rsidP="00910B01">
            <w:pPr>
              <w:pStyle w:val="quoteboxes"/>
              <w:rPr>
                <w:sz w:val="20"/>
                <w:lang w:val="en-GB"/>
              </w:rPr>
            </w:pPr>
            <w:r w:rsidRPr="003726FE">
              <w:rPr>
                <w:sz w:val="20"/>
                <w:lang w:val="en-GB"/>
              </w:rPr>
              <w:t>G8 - 2:  it’s not a specific team of medical people but I ned that feedback as well because I’m working with patients so I need the personal skills as well as the medical skills but it depends what i want the feedback on. I think patient feedback is useful to develop my personal skills and doctor feedback is useful for developing medical skills.</w:t>
            </w:r>
          </w:p>
        </w:tc>
        <w:tc>
          <w:tcPr>
            <w:tcW w:w="4253" w:type="dxa"/>
            <w:hideMark/>
          </w:tcPr>
          <w:p w14:paraId="25D456C3" w14:textId="41C1D68F" w:rsidR="00617837" w:rsidRPr="003726FE" w:rsidRDefault="00617837" w:rsidP="00910B01">
            <w:pPr>
              <w:pStyle w:val="quoteboxes"/>
              <w:rPr>
                <w:sz w:val="20"/>
                <w:lang w:val="en-GB"/>
              </w:rPr>
            </w:pPr>
            <w:r w:rsidRPr="003726FE">
              <w:rPr>
                <w:sz w:val="20"/>
                <w:lang w:val="en-GB"/>
              </w:rPr>
              <w:t>G1 - 1: it’s both internal and external. If there’s opportunities to do things, patients to examine but I choose not to do it for some reason then that’s down to me. Other times I’ve been on the ward round asking questions and the doctors and nurses are busy and don’t have time for me. If I take a history and want to present it but they can’t observe me then I’ve done what I can. I don’t blame the doctors and nurses, it’s the nature of their work and they prioritise patients over students which is totally fine. If I pass up on an opportunity I can only blame myself. Sometimes there isn’t time or the opportunity to get the feedback but I do what I can.</w:t>
            </w:r>
          </w:p>
        </w:tc>
      </w:tr>
    </w:tbl>
    <w:p w14:paraId="540EBD02" w14:textId="39BE5D2F" w:rsidR="00836C8A" w:rsidRPr="003726FE" w:rsidRDefault="001C1A12" w:rsidP="001C1A12">
      <w:pPr>
        <w:tabs>
          <w:tab w:val="left" w:pos="1959"/>
        </w:tabs>
        <w:rPr>
          <w:lang w:eastAsia="hi-IN" w:bidi="hi-IN"/>
        </w:rPr>
        <w:sectPr w:rsidR="00836C8A" w:rsidRPr="003726FE" w:rsidSect="007C73DC">
          <w:type w:val="continuous"/>
          <w:pgSz w:w="16838" w:h="11906" w:orient="landscape"/>
          <w:pgMar w:top="1134" w:right="1134" w:bottom="1134" w:left="2268" w:header="708" w:footer="708" w:gutter="0"/>
          <w:cols w:space="708"/>
          <w:docGrid w:linePitch="360"/>
        </w:sectPr>
      </w:pPr>
      <w:r w:rsidRPr="003726FE">
        <w:rPr>
          <w:lang w:eastAsia="hi-IN" w:bidi="hi-IN"/>
        </w:rPr>
        <w:tab/>
      </w:r>
    </w:p>
    <w:p w14:paraId="0268206E" w14:textId="49DA628F" w:rsidR="00B70F41" w:rsidRPr="003726FE" w:rsidRDefault="00AF7D25" w:rsidP="00B1638D">
      <w:pPr>
        <w:pStyle w:val="Heading2"/>
        <w:rPr>
          <w:lang w:val="en-GB"/>
        </w:rPr>
      </w:pPr>
      <w:bookmarkStart w:id="1018" w:name="_Toc500319500"/>
      <w:r w:rsidRPr="003726FE">
        <w:rPr>
          <w:lang w:val="en-GB"/>
        </w:rPr>
        <w:lastRenderedPageBreak/>
        <w:t>Appendix 2</w:t>
      </w:r>
      <w:r w:rsidR="00713856" w:rsidRPr="003726FE">
        <w:rPr>
          <w:lang w:val="en-GB"/>
        </w:rPr>
        <w:t>9</w:t>
      </w:r>
      <w:r w:rsidRPr="003726FE">
        <w:rPr>
          <w:lang w:val="en-GB"/>
        </w:rPr>
        <w:t xml:space="preserve">. </w:t>
      </w:r>
      <w:r w:rsidR="005031E7" w:rsidRPr="003726FE">
        <w:rPr>
          <w:lang w:val="en-GB"/>
        </w:rPr>
        <w:t xml:space="preserve">Full </w:t>
      </w:r>
      <w:r w:rsidR="00912749" w:rsidRPr="003726FE">
        <w:rPr>
          <w:lang w:val="en-GB"/>
        </w:rPr>
        <w:t xml:space="preserve">Conceptual Models – </w:t>
      </w:r>
      <w:r w:rsidR="005031E7" w:rsidRPr="003726FE">
        <w:rPr>
          <w:lang w:val="en-GB"/>
        </w:rPr>
        <w:t xml:space="preserve">Student </w:t>
      </w:r>
      <w:r w:rsidR="00912749" w:rsidRPr="003726FE">
        <w:rPr>
          <w:lang w:val="en-GB"/>
        </w:rPr>
        <w:t>Focus Groups and Interviews.</w:t>
      </w:r>
      <w:bookmarkEnd w:id="1018"/>
    </w:p>
    <w:p w14:paraId="4A968FB3" w14:textId="77777777" w:rsidR="005031E7" w:rsidRPr="003726FE" w:rsidRDefault="005031E7" w:rsidP="005031E7"/>
    <w:p w14:paraId="0D1394B5" w14:textId="77777777" w:rsidR="005031E7" w:rsidRPr="003726FE" w:rsidRDefault="005031E7" w:rsidP="005031E7"/>
    <w:p w14:paraId="25188171" w14:textId="06A3105C" w:rsidR="005031E7" w:rsidRPr="003726FE" w:rsidRDefault="00920A5A" w:rsidP="00920A5A">
      <w:pPr>
        <w:jc w:val="center"/>
        <w:rPr>
          <w:b/>
        </w:rPr>
      </w:pPr>
      <w:r w:rsidRPr="003726FE">
        <w:rPr>
          <w:b/>
          <w:noProof/>
          <w:sz w:val="32"/>
          <w:lang w:eastAsia="en-GB"/>
        </w:rPr>
        <mc:AlternateContent>
          <mc:Choice Requires="wpg">
            <w:drawing>
              <wp:anchor distT="0" distB="0" distL="114300" distR="114300" simplePos="0" relativeHeight="251972608" behindDoc="0" locked="0" layoutInCell="1" allowOverlap="1" wp14:anchorId="5713F63D" wp14:editId="07CFB17D">
                <wp:simplePos x="0" y="0"/>
                <wp:positionH relativeFrom="column">
                  <wp:posOffset>-152199</wp:posOffset>
                </wp:positionH>
                <wp:positionV relativeFrom="paragraph">
                  <wp:posOffset>615315</wp:posOffset>
                </wp:positionV>
                <wp:extent cx="5347231" cy="6057930"/>
                <wp:effectExtent l="0" t="0" r="25400" b="19050"/>
                <wp:wrapNone/>
                <wp:docPr id="134" name="Group 134"/>
                <wp:cNvGraphicFramePr/>
                <a:graphic xmlns:a="http://schemas.openxmlformats.org/drawingml/2006/main">
                  <a:graphicData uri="http://schemas.microsoft.com/office/word/2010/wordprocessingGroup">
                    <wpg:wgp>
                      <wpg:cNvGrpSpPr/>
                      <wpg:grpSpPr>
                        <a:xfrm>
                          <a:off x="0" y="0"/>
                          <a:ext cx="5347231" cy="6057930"/>
                          <a:chOff x="0" y="-439400"/>
                          <a:chExt cx="6603056" cy="6675649"/>
                        </a:xfrm>
                      </wpg:grpSpPr>
                      <wps:wsp>
                        <wps:cNvPr id="135" name="Flowchart: Alternate Process 135"/>
                        <wps:cNvSpPr/>
                        <wps:spPr>
                          <a:xfrm>
                            <a:off x="2445489" y="1594884"/>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40325" w14:textId="77777777" w:rsidR="00C8402C" w:rsidRPr="00042504" w:rsidRDefault="00C8402C" w:rsidP="005031E7">
                              <w:pPr>
                                <w:jc w:val="center"/>
                                <w:rPr>
                                  <w:color w:val="000000" w:themeColor="text1"/>
                                  <w:sz w:val="20"/>
                                  <w:szCs w:val="20"/>
                                </w:rPr>
                              </w:pPr>
                              <w:r w:rsidRPr="00042504">
                                <w:rPr>
                                  <w:color w:val="000000" w:themeColor="text1"/>
                                  <w:sz w:val="20"/>
                                  <w:szCs w:val="20"/>
                                </w:rPr>
                                <w:t>Workplace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Alternate Process 136"/>
                        <wps:cNvSpPr/>
                        <wps:spPr>
                          <a:xfrm>
                            <a:off x="2445489" y="3252187"/>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2E0E6" w14:textId="77777777" w:rsidR="00C8402C" w:rsidRPr="00042504" w:rsidRDefault="00C8402C" w:rsidP="005031E7">
                              <w:pPr>
                                <w:jc w:val="center"/>
                                <w:rPr>
                                  <w:color w:val="000000" w:themeColor="text1"/>
                                  <w:sz w:val="20"/>
                                  <w:szCs w:val="20"/>
                                </w:rPr>
                              </w:pPr>
                              <w:r w:rsidRPr="00042504">
                                <w:rPr>
                                  <w:color w:val="000000" w:themeColor="text1"/>
                                  <w:sz w:val="20"/>
                                  <w:szCs w:val="20"/>
                                </w:rP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2445095" y="5356774"/>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A15E9" w14:textId="77777777" w:rsidR="00C8402C" w:rsidRPr="00042504" w:rsidRDefault="00C8402C" w:rsidP="005031E7">
                              <w:pPr>
                                <w:jc w:val="center"/>
                                <w:rPr>
                                  <w:color w:val="000000" w:themeColor="text1"/>
                                  <w:sz w:val="20"/>
                                  <w:szCs w:val="20"/>
                                </w:rPr>
                              </w:pPr>
                              <w:r w:rsidRPr="00042504">
                                <w:rPr>
                                  <w:color w:val="000000" w:themeColor="text1"/>
                                  <w:sz w:val="20"/>
                                  <w:szCs w:val="20"/>
                                </w:rPr>
                                <w:t>Recognition and awareness of the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0" y="1594884"/>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79E72" w14:textId="77777777" w:rsidR="00C8402C" w:rsidRPr="00042504" w:rsidRDefault="00C8402C" w:rsidP="005031E7">
                              <w:pPr>
                                <w:jc w:val="center"/>
                                <w:rPr>
                                  <w:color w:val="000000" w:themeColor="text1"/>
                                  <w:sz w:val="20"/>
                                  <w:szCs w:val="20"/>
                                </w:rPr>
                              </w:pPr>
                              <w:r w:rsidRPr="00042504">
                                <w:rPr>
                                  <w:color w:val="000000" w:themeColor="text1"/>
                                  <w:sz w:val="20"/>
                                  <w:szCs w:val="20"/>
                                </w:rPr>
                                <w:t>Confidence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lowchart: Alternate Process 139"/>
                        <wps:cNvSpPr/>
                        <wps:spPr>
                          <a:xfrm>
                            <a:off x="4752754" y="1616149"/>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ECC7B" w14:textId="77777777" w:rsidR="00C8402C" w:rsidRPr="00042504" w:rsidRDefault="00C8402C" w:rsidP="005031E7">
                              <w:pPr>
                                <w:jc w:val="center"/>
                                <w:rPr>
                                  <w:color w:val="000000" w:themeColor="text1"/>
                                  <w:sz w:val="20"/>
                                  <w:szCs w:val="20"/>
                                </w:rPr>
                              </w:pPr>
                              <w:r w:rsidRPr="00042504">
                                <w:rPr>
                                  <w:color w:val="000000" w:themeColor="text1"/>
                                  <w:sz w:val="20"/>
                                  <w:szCs w:val="20"/>
                                </w:rP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lowchart: Alternate Process 140"/>
                        <wps:cNvSpPr/>
                        <wps:spPr>
                          <a:xfrm>
                            <a:off x="4752752" y="-439400"/>
                            <a:ext cx="1759585" cy="87947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61AA" w14:textId="77777777" w:rsidR="00C8402C" w:rsidRPr="00042504" w:rsidRDefault="00C8402C" w:rsidP="005031E7">
                              <w:pPr>
                                <w:jc w:val="center"/>
                                <w:rPr>
                                  <w:color w:val="000000" w:themeColor="text1"/>
                                  <w:sz w:val="20"/>
                                  <w:szCs w:val="20"/>
                                </w:rPr>
                              </w:pPr>
                              <w:r w:rsidRPr="00042504">
                                <w:rPr>
                                  <w:color w:val="000000" w:themeColor="text1"/>
                                  <w:sz w:val="20"/>
                                  <w:szCs w:val="20"/>
                                </w:rPr>
                                <w:t>Characteristics of the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Arrow Connector 146"/>
                        <wps:cNvCnPr>
                          <a:stCxn id="135" idx="2"/>
                          <a:endCxn id="136" idx="0"/>
                        </wps:cNvCnPr>
                        <wps:spPr>
                          <a:xfrm>
                            <a:off x="3325281" y="2474359"/>
                            <a:ext cx="0" cy="777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Straight Arrow Connector 147"/>
                        <wps:cNvCnPr>
                          <a:stCxn id="136" idx="2"/>
                          <a:endCxn id="137" idx="0"/>
                        </wps:cNvCnPr>
                        <wps:spPr>
                          <a:xfrm flipH="1">
                            <a:off x="3324888" y="4131662"/>
                            <a:ext cx="393" cy="1225112"/>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a:stCxn id="135" idx="1"/>
                          <a:endCxn id="138" idx="3"/>
                        </wps:cNvCnPr>
                        <wps:spPr>
                          <a:xfrm flipH="1">
                            <a:off x="1759429" y="2034369"/>
                            <a:ext cx="6858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a:stCxn id="140" idx="2"/>
                          <a:endCxn id="139" idx="0"/>
                        </wps:cNvCnPr>
                        <wps:spPr>
                          <a:xfrm>
                            <a:off x="5632044" y="439985"/>
                            <a:ext cx="2" cy="1175953"/>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154" name="Curved Connector 154"/>
                        <wps:cNvCnPr>
                          <a:stCxn id="139" idx="2"/>
                          <a:endCxn id="137" idx="3"/>
                        </wps:cNvCnPr>
                        <wps:spPr>
                          <a:xfrm rot="5400000">
                            <a:off x="3268170" y="3432134"/>
                            <a:ext cx="3300888" cy="1427867"/>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Text Box 2"/>
                        <wps:cNvSpPr txBox="1">
                          <a:spLocks noChangeArrowheads="1"/>
                        </wps:cNvSpPr>
                        <wps:spPr bwMode="auto">
                          <a:xfrm>
                            <a:off x="4667238" y="594355"/>
                            <a:ext cx="1935818" cy="6056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FDA494" w14:textId="77777777" w:rsidR="00C8402C" w:rsidRPr="004218ED" w:rsidRDefault="00C8402C" w:rsidP="005031E7">
                              <w:pPr>
                                <w:rPr>
                                  <w:sz w:val="18"/>
                                  <w:szCs w:val="20"/>
                                </w:rPr>
                              </w:pPr>
                              <w:r w:rsidRPr="004218ED">
                                <w:rPr>
                                  <w:sz w:val="18"/>
                                  <w:szCs w:val="20"/>
                                </w:rPr>
                                <w:t>BPF: A1, D1, G1, L3, E5</w:t>
                              </w:r>
                            </w:p>
                            <w:p w14:paraId="6B9F89EB" w14:textId="77777777" w:rsidR="00C8402C" w:rsidRPr="004218ED" w:rsidRDefault="00C8402C" w:rsidP="005031E7">
                              <w:pPr>
                                <w:rPr>
                                  <w:sz w:val="18"/>
                                  <w:szCs w:val="20"/>
                                </w:rPr>
                              </w:pPr>
                              <w:r w:rsidRPr="004218ED">
                                <w:rPr>
                                  <w:sz w:val="18"/>
                                  <w:szCs w:val="20"/>
                                </w:rPr>
                                <w:t>SRLF: E1, H1, H2, F2, M2</w:t>
                              </w:r>
                            </w:p>
                          </w:txbxContent>
                        </wps:txbx>
                        <wps:bodyPr rot="0" vert="horz" wrap="square" lIns="91440" tIns="45720" rIns="91440" bIns="45720" anchor="t" anchorCtr="0">
                          <a:noAutofit/>
                        </wps:bodyPr>
                      </wps:wsp>
                      <wps:wsp>
                        <wps:cNvPr id="156" name="Text Box 2"/>
                        <wps:cNvSpPr txBox="1">
                          <a:spLocks noChangeArrowheads="1"/>
                        </wps:cNvSpPr>
                        <wps:spPr bwMode="auto">
                          <a:xfrm>
                            <a:off x="5028202" y="3763884"/>
                            <a:ext cx="1077095" cy="5314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C28A87" w14:textId="77777777" w:rsidR="00C8402C" w:rsidRPr="00042504" w:rsidRDefault="00C8402C" w:rsidP="005031E7">
                              <w:pPr>
                                <w:rPr>
                                  <w:sz w:val="20"/>
                                  <w:szCs w:val="20"/>
                                </w:rPr>
                              </w:pPr>
                              <w:r w:rsidRPr="00042504">
                                <w:rPr>
                                  <w:sz w:val="20"/>
                                  <w:szCs w:val="20"/>
                                </w:rPr>
                                <w:t>BPF: I4, G3</w:t>
                              </w:r>
                            </w:p>
                            <w:p w14:paraId="1C492D85" w14:textId="77777777" w:rsidR="00C8402C" w:rsidRPr="00042504" w:rsidRDefault="00C8402C" w:rsidP="005031E7">
                              <w:pPr>
                                <w:rPr>
                                  <w:sz w:val="20"/>
                                  <w:szCs w:val="20"/>
                                </w:rPr>
                              </w:pPr>
                              <w:r w:rsidRPr="00042504">
                                <w:rPr>
                                  <w:sz w:val="20"/>
                                  <w:szCs w:val="20"/>
                                </w:rPr>
                                <w:t>SRLF: K2</w:t>
                              </w:r>
                            </w:p>
                          </w:txbxContent>
                        </wps:txbx>
                        <wps:bodyPr rot="0" vert="horz" wrap="square" lIns="91440" tIns="45720" rIns="91440" bIns="45720" anchor="t" anchorCtr="0">
                          <a:noAutofit/>
                        </wps:bodyPr>
                      </wps:wsp>
                      <wps:wsp>
                        <wps:cNvPr id="158" name="Text Box 2"/>
                        <wps:cNvSpPr txBox="1">
                          <a:spLocks noChangeArrowheads="1"/>
                        </wps:cNvSpPr>
                        <wps:spPr bwMode="auto">
                          <a:xfrm>
                            <a:off x="2445097" y="4310809"/>
                            <a:ext cx="1737032" cy="63048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71F10EE" w14:textId="77777777" w:rsidR="00C8402C" w:rsidRPr="00042504" w:rsidRDefault="00C8402C" w:rsidP="005031E7">
                              <w:pPr>
                                <w:rPr>
                                  <w:sz w:val="20"/>
                                  <w:szCs w:val="20"/>
                                </w:rPr>
                              </w:pPr>
                              <w:r w:rsidRPr="00042504">
                                <w:rPr>
                                  <w:sz w:val="20"/>
                                  <w:szCs w:val="20"/>
                                </w:rPr>
                                <w:t>BPF: C3, E3, C1, Q8</w:t>
                              </w:r>
                            </w:p>
                            <w:p w14:paraId="6DD93115" w14:textId="77777777" w:rsidR="00C8402C" w:rsidRPr="00042504" w:rsidRDefault="00C8402C" w:rsidP="005031E7">
                              <w:pPr>
                                <w:rPr>
                                  <w:sz w:val="20"/>
                                  <w:szCs w:val="20"/>
                                </w:rPr>
                              </w:pPr>
                              <w:r w:rsidRPr="00042504">
                                <w:rPr>
                                  <w:sz w:val="20"/>
                                  <w:szCs w:val="20"/>
                                </w:rPr>
                                <w:t>SRLF: A6, K3, A3, U6</w:t>
                              </w:r>
                            </w:p>
                          </w:txbxContent>
                        </wps:txbx>
                        <wps:bodyPr rot="0" vert="horz" wrap="square" lIns="91440" tIns="45720" rIns="91440" bIns="45720" anchor="t" anchorCtr="0">
                          <a:noAutofit/>
                        </wps:bodyPr>
                      </wps:wsp>
                      <wps:wsp>
                        <wps:cNvPr id="159" name="Text Box 2"/>
                        <wps:cNvSpPr txBox="1">
                          <a:spLocks noChangeArrowheads="1"/>
                        </wps:cNvSpPr>
                        <wps:spPr bwMode="auto">
                          <a:xfrm>
                            <a:off x="2754715" y="2495544"/>
                            <a:ext cx="1129089" cy="601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E12DB7" w14:textId="77777777" w:rsidR="00C8402C" w:rsidRPr="00042504" w:rsidRDefault="00C8402C" w:rsidP="005031E7">
                              <w:pPr>
                                <w:rPr>
                                  <w:sz w:val="20"/>
                                  <w:szCs w:val="20"/>
                                </w:rPr>
                              </w:pPr>
                              <w:r w:rsidRPr="00042504">
                                <w:rPr>
                                  <w:sz w:val="20"/>
                                  <w:szCs w:val="20"/>
                                </w:rPr>
                                <w:t>BPF: N6</w:t>
                              </w:r>
                            </w:p>
                            <w:p w14:paraId="4EA3C9CE" w14:textId="77777777" w:rsidR="00C8402C" w:rsidRPr="00042504" w:rsidRDefault="00C8402C" w:rsidP="005031E7">
                              <w:pPr>
                                <w:rPr>
                                  <w:sz w:val="20"/>
                                  <w:szCs w:val="20"/>
                                </w:rPr>
                              </w:pPr>
                              <w:r w:rsidRPr="00042504">
                                <w:rPr>
                                  <w:sz w:val="20"/>
                                  <w:szCs w:val="20"/>
                                </w:rPr>
                                <w:t>SRLF: I6, A2</w:t>
                              </w:r>
                            </w:p>
                          </w:txbxContent>
                        </wps:txbx>
                        <wps:bodyPr rot="0" vert="horz" wrap="square" lIns="91440" tIns="45720" rIns="91440" bIns="45720" anchor="t" anchorCtr="0">
                          <a:noAutofit/>
                        </wps:bodyPr>
                      </wps:wsp>
                      <wps:wsp>
                        <wps:cNvPr id="160" name="Text Box 2"/>
                        <wps:cNvSpPr txBox="1">
                          <a:spLocks noChangeArrowheads="1"/>
                        </wps:cNvSpPr>
                        <wps:spPr bwMode="auto">
                          <a:xfrm>
                            <a:off x="1513698" y="1187547"/>
                            <a:ext cx="1240743" cy="305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147602" w14:textId="77777777" w:rsidR="00C8402C" w:rsidRPr="00042504" w:rsidRDefault="00C8402C" w:rsidP="005031E7">
                              <w:pPr>
                                <w:rPr>
                                  <w:sz w:val="20"/>
                                  <w:szCs w:val="20"/>
                                </w:rPr>
                              </w:pPr>
                              <w:r w:rsidRPr="00042504">
                                <w:rPr>
                                  <w:sz w:val="20"/>
                                  <w:szCs w:val="20"/>
                                </w:rPr>
                                <w:t>SRLF: B2, C2</w:t>
                              </w:r>
                            </w:p>
                          </w:txbxContent>
                        </wps:txbx>
                        <wps:bodyPr rot="0" vert="horz" wrap="square" lIns="91440" tIns="45720" rIns="91440" bIns="45720" anchor="t" anchorCtr="0">
                          <a:noAutofit/>
                        </wps:bodyPr>
                      </wps:wsp>
                      <wps:wsp>
                        <wps:cNvPr id="161" name="Curved Connector 161"/>
                        <wps:cNvCnPr>
                          <a:stCxn id="137" idx="1"/>
                          <a:endCxn id="138" idx="2"/>
                        </wps:cNvCnPr>
                        <wps:spPr>
                          <a:xfrm rot="10800000">
                            <a:off x="879793" y="2474360"/>
                            <a:ext cx="1565303" cy="3322153"/>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Text Box 2"/>
                        <wps:cNvSpPr txBox="1">
                          <a:spLocks noChangeArrowheads="1"/>
                        </wps:cNvSpPr>
                        <wps:spPr bwMode="auto">
                          <a:xfrm>
                            <a:off x="602019" y="3814685"/>
                            <a:ext cx="1301783" cy="528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11C9FD" w14:textId="77777777" w:rsidR="00C8402C" w:rsidRPr="00042504" w:rsidRDefault="00C8402C" w:rsidP="005031E7">
                              <w:pPr>
                                <w:rPr>
                                  <w:sz w:val="20"/>
                                  <w:szCs w:val="20"/>
                                </w:rPr>
                              </w:pPr>
                              <w:r w:rsidRPr="00042504">
                                <w:rPr>
                                  <w:sz w:val="20"/>
                                  <w:szCs w:val="20"/>
                                </w:rPr>
                                <w:t>BPF: S8, Q8</w:t>
                              </w:r>
                            </w:p>
                            <w:p w14:paraId="4E7EB4AB" w14:textId="77777777" w:rsidR="00C8402C" w:rsidRPr="00042504" w:rsidRDefault="00C8402C" w:rsidP="005031E7">
                              <w:pPr>
                                <w:rPr>
                                  <w:sz w:val="20"/>
                                  <w:szCs w:val="20"/>
                                </w:rPr>
                              </w:pPr>
                              <w:r w:rsidRPr="00042504">
                                <w:rPr>
                                  <w:sz w:val="20"/>
                                  <w:szCs w:val="20"/>
                                </w:rPr>
                                <w:t>SRLF: K8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13F63D" id="Group 134" o:spid="_x0000_s1510" style="position:absolute;left:0;text-align:left;margin-left:-12pt;margin-top:48.45pt;width:421.05pt;height:477pt;z-index:251972608;mso-width-relative:margin;mso-height-relative:margin" coordorigin=",-439400" coordsize="6603056,66756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">
                <v:shape id="Flowchart: Alternate Process 135" o:spid="_x0000_s1511" type="#_x0000_t176" style="position:absolute;left:2445489;top:1594884;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wKhxAAA&#10;ANwAAAAPAAAAZHJzL2Rvd25yZXYueG1sRE9LSwMxEL4L/ocwBW9utj7qsm1aRBQKHsRW7XXYTHdT&#10;N5O4id3orzeC4G0+vucsVsn24khDMI4VTIsSBHHjtOFWwcv24bwCESKyxt4xKfiiAKvl6ckCa+1G&#10;fqbjJrYih3CoUUEXo6+lDE1HFkPhPHHm9m6wGDMcWqkHHHO47eVFWc6kRcO5oUNPdx0175tPq8A8&#10;ro28v/p4fXq7qQ4749P4zUmps0m6nYOIlOK/+M+91nn+5TX8PpMv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MCocQAAADcAAAADwAAAAAAAAAAAAAAAACXAgAAZHJzL2Rv&#10;d25yZXYueG1sUEsFBgAAAAAEAAQA9QAAAIgDAAAAAA==&#10;" filled="f" strokecolor="black [3213]" strokeweight="1.5pt">
                  <v:textbox>
                    <w:txbxContent>
                      <w:p w14:paraId="4D740325" w14:textId="77777777" w:rsidR="00C8402C" w:rsidRPr="00042504" w:rsidRDefault="00C8402C" w:rsidP="005031E7">
                        <w:pPr>
                          <w:jc w:val="center"/>
                          <w:rPr>
                            <w:color w:val="000000" w:themeColor="text1"/>
                            <w:sz w:val="20"/>
                            <w:szCs w:val="20"/>
                          </w:rPr>
                        </w:pPr>
                        <w:r w:rsidRPr="00042504">
                          <w:rPr>
                            <w:color w:val="000000" w:themeColor="text1"/>
                            <w:sz w:val="20"/>
                            <w:szCs w:val="20"/>
                          </w:rPr>
                          <w:t>Workplace culture</w:t>
                        </w:r>
                      </w:p>
                    </w:txbxContent>
                  </v:textbox>
                </v:shape>
                <v:shape id="Flowchart: Alternate Process 136" o:spid="_x0000_s1512" type="#_x0000_t176" style="position:absolute;left:2445489;top:3252187;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ZzWxAAA&#10;ANwAAAAPAAAAZHJzL2Rvd25yZXYueG1sRE9LS8NAEL4L/odlhN6ajVZqSbsJIgqFHqT10euQHZPV&#10;7GzMbpvVX98VCt7m43vOqoq2E0cavHGs4DrLQRDXThtuFLy+PE0XIHxA1tg5JgU/5KEqLy9WWGg3&#10;8paOu9CIFMK+QAVtCH0hpa9bsugz1xMn7sMNFkOCQyP1gGMKt528yfO5tGg4NbTY00NL9dfuYBWY&#10;zdrIx9vvt+f3u8Xn3vRx/OWo1OQq3i9BBIrhX3x2r3WaP5vD3zPpAlm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Gc1sQAAADcAAAADwAAAAAAAAAAAAAAAACXAgAAZHJzL2Rv&#10;d25yZXYueG1sUEsFBgAAAAAEAAQA9QAAAIgDAAAAAA==&#10;" filled="f" strokecolor="black [3213]" strokeweight="1.5pt">
                  <v:textbox>
                    <w:txbxContent>
                      <w:p w14:paraId="6272E0E6" w14:textId="77777777" w:rsidR="00C8402C" w:rsidRPr="00042504" w:rsidRDefault="00C8402C" w:rsidP="005031E7">
                        <w:pPr>
                          <w:jc w:val="center"/>
                          <w:rPr>
                            <w:color w:val="000000" w:themeColor="text1"/>
                            <w:sz w:val="20"/>
                            <w:szCs w:val="20"/>
                          </w:rPr>
                        </w:pPr>
                        <w:r w:rsidRPr="00042504">
                          <w:rPr>
                            <w:color w:val="000000" w:themeColor="text1"/>
                            <w:sz w:val="20"/>
                            <w:szCs w:val="20"/>
                          </w:rPr>
                          <w:t>Supportive</w:t>
                        </w:r>
                      </w:p>
                    </w:txbxContent>
                  </v:textbox>
                </v:shape>
                <v:shape id="Flowchart: Alternate Process 137" o:spid="_x0000_s1513" type="#_x0000_t176" style="position:absolute;left:2445095;top:5356774;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TlNwwAA&#10;ANwAAAAPAAAAZHJzL2Rvd25yZXYueG1sRE9LawIxEL4X/A9hBG81W5UqW6OUoiD0UOqr12Ez3U27&#10;mayb1I399Y1Q8DYf33Pmy2hrcabWG8cKHoYZCOLCacOlgv1ufT8D4QOyxtoxKbiQh+WidzfHXLuO&#10;3+m8DaVIIexzVFCF0ORS+qIii37oGuLEfbrWYkiwLaVusUvhtpajLHuUFg2nhgobeqmo+N7+WAXm&#10;dWPkanI6vB2ns68P08Tul6NSg358fgIRKIab+N+90Wn+eArXZ9IF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nTlNwwAAANwAAAAPAAAAAAAAAAAAAAAAAJcCAABkcnMvZG93&#10;bnJldi54bWxQSwUGAAAAAAQABAD1AAAAhwMAAAAA&#10;" filled="f" strokecolor="black [3213]" strokeweight="1.5pt">
                  <v:textbox>
                    <w:txbxContent>
                      <w:p w14:paraId="40AA15E9" w14:textId="77777777" w:rsidR="00C8402C" w:rsidRPr="00042504" w:rsidRDefault="00C8402C" w:rsidP="005031E7">
                        <w:pPr>
                          <w:jc w:val="center"/>
                          <w:rPr>
                            <w:color w:val="000000" w:themeColor="text1"/>
                            <w:sz w:val="20"/>
                            <w:szCs w:val="20"/>
                          </w:rPr>
                        </w:pPr>
                        <w:r w:rsidRPr="00042504">
                          <w:rPr>
                            <w:color w:val="000000" w:themeColor="text1"/>
                            <w:sz w:val="20"/>
                            <w:szCs w:val="20"/>
                          </w:rPr>
                          <w:t>Recognition and awareness of the team</w:t>
                        </w:r>
                      </w:p>
                    </w:txbxContent>
                  </v:textbox>
                </v:shape>
                <v:shape id="Flowchart: Alternate Process 138" o:spid="_x0000_s1514" type="#_x0000_t176" style="position:absolute;top:1594884;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q0/xwAA&#10;ANwAAAAPAAAAZHJzL2Rvd25yZXYueG1sRI/NSwMxEMXvgv9DGMGbzfqBLdumRaSFQg9i7cd12Iy7&#10;0c1k3aTd6F/vHARvM7w37/1mtsi+VWfqowts4HZUgCKugnVcG9i9rW4moGJCttgGJgPfFGExv7yY&#10;YWnDwK903qZaSQjHEg00KXWl1rFqyGMchY5YtPfQe0yy9rW2PQ4S7lt9VxSP2qNjaWiwo+eGqs/t&#10;yRtwm7XTy4ev/cthPPk4ui4PP5yNub7KT1NQiXL6N/9dr63g3wutPCMT6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KtP8cAAADcAAAADwAAAAAAAAAAAAAAAACXAgAAZHJz&#10;L2Rvd25yZXYueG1sUEsFBgAAAAAEAAQA9QAAAIsDAAAAAA==&#10;" filled="f" strokecolor="black [3213]" strokeweight="1.5pt">
                  <v:textbox>
                    <w:txbxContent>
                      <w:p w14:paraId="14079E72" w14:textId="77777777" w:rsidR="00C8402C" w:rsidRPr="00042504" w:rsidRDefault="00C8402C" w:rsidP="005031E7">
                        <w:pPr>
                          <w:jc w:val="center"/>
                          <w:rPr>
                            <w:color w:val="000000" w:themeColor="text1"/>
                            <w:sz w:val="20"/>
                            <w:szCs w:val="20"/>
                          </w:rPr>
                        </w:pPr>
                        <w:r w:rsidRPr="00042504">
                          <w:rPr>
                            <w:color w:val="000000" w:themeColor="text1"/>
                            <w:sz w:val="20"/>
                            <w:szCs w:val="20"/>
                          </w:rPr>
                          <w:t>Confidence and motivation</w:t>
                        </w:r>
                      </w:p>
                    </w:txbxContent>
                  </v:textbox>
                </v:shape>
                <v:shape id="Flowchart: Alternate Process 139" o:spid="_x0000_s1515" type="#_x0000_t176" style="position:absolute;left:4752754;top:1616149;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gikxAAA&#10;ANwAAAAPAAAAZHJzL2Rvd25yZXYueG1sRE9LSwMxEL4X/A9hBG9t1iq1rs0uUhQKHop9eR024250&#10;M1k3sRv7601B8DYf33MWZbStOFLvjWMF15MMBHHltOFawW77PJ6D8AFZY+uYFPyQh7K4GC0w127g&#10;VzpuQi1SCPscFTQhdLmUvmrIop+4jjhx7663GBLsa6l7HFK4beU0y2bSouHU0GBHy4aqz823VWBe&#10;VkY+3X7t14e7+ceb6eJw4qjU1WV8fAARKIZ/8Z97pdP8m3s4P5Muk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4IpMQAAADcAAAADwAAAAAAAAAAAAAAAACXAgAAZHJzL2Rv&#10;d25yZXYueG1sUEsFBgAAAAAEAAQA9QAAAIgDAAAAAA==&#10;" filled="f" strokecolor="black [3213]" strokeweight="1.5pt">
                  <v:textbox>
                    <w:txbxContent>
                      <w:p w14:paraId="1F9ECC7B" w14:textId="77777777" w:rsidR="00C8402C" w:rsidRPr="00042504" w:rsidRDefault="00C8402C" w:rsidP="005031E7">
                        <w:pPr>
                          <w:jc w:val="center"/>
                          <w:rPr>
                            <w:color w:val="000000" w:themeColor="text1"/>
                            <w:sz w:val="20"/>
                            <w:szCs w:val="20"/>
                          </w:rPr>
                        </w:pPr>
                        <w:r w:rsidRPr="00042504">
                          <w:rPr>
                            <w:color w:val="000000" w:themeColor="text1"/>
                            <w:sz w:val="20"/>
                            <w:szCs w:val="20"/>
                          </w:rPr>
                          <w:t>Learning priorities</w:t>
                        </w:r>
                      </w:p>
                    </w:txbxContent>
                  </v:textbox>
                </v:shape>
                <v:shape id="Flowchart: Alternate Process 140" o:spid="_x0000_s1516" type="#_x0000_t176" style="position:absolute;left:4752752;top:-439400;width:1759585;height:879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tJExgAA&#10;ANwAAAAPAAAAZHJzL2Rvd25yZXYueG1sRI9BSwMxEIXvgv8hjNCbzSpFy7ZpEbFQ8CBW216HzXQ3&#10;dTPZbtJu9Nc7B8HbDO/Ne9/Ml9m36kJ9dIEN3I0LUMRVsI5rA58fq9spqJiQLbaBycA3RVgurq/m&#10;WNow8DtdNqlWEsKxRANNSl2pdawa8hjHoSMW7RB6j0nWvta2x0HCfavvi+JBe3QsDQ129NxQ9bU5&#10;ewPude30y+S0fds9To971+Xhh7Mxo5v8NAOVKKd/89/12gr+RPDlGZlAL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ctJExgAAANwAAAAPAAAAAAAAAAAAAAAAAJcCAABkcnMv&#10;ZG93bnJldi54bWxQSwUGAAAAAAQABAD1AAAAigMAAAAA&#10;" filled="f" strokecolor="black [3213]" strokeweight="1.5pt">
                  <v:textbox>
                    <w:txbxContent>
                      <w:p w14:paraId="5B0E61AA" w14:textId="77777777" w:rsidR="00C8402C" w:rsidRPr="00042504" w:rsidRDefault="00C8402C" w:rsidP="005031E7">
                        <w:pPr>
                          <w:jc w:val="center"/>
                          <w:rPr>
                            <w:color w:val="000000" w:themeColor="text1"/>
                            <w:sz w:val="20"/>
                            <w:szCs w:val="20"/>
                          </w:rPr>
                        </w:pPr>
                        <w:r w:rsidRPr="00042504">
                          <w:rPr>
                            <w:color w:val="000000" w:themeColor="text1"/>
                            <w:sz w:val="20"/>
                            <w:szCs w:val="20"/>
                          </w:rPr>
                          <w:t>Characteristics of the learning environment</w:t>
                        </w:r>
                      </w:p>
                    </w:txbxContent>
                  </v:textbox>
                </v:shape>
                <v:shape id="Straight Arrow Connector 146" o:spid="_x0000_s1517" type="#_x0000_t32" style="position:absolute;left:3325281;top:2474359;width:0;height:77782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v:shape id="Straight Arrow Connector 147" o:spid="_x0000_s1518" type="#_x0000_t32" style="position:absolute;left:3324888;top:4131662;width:393;height:122511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uz0sMAAADcAAAADwAAAGRycy9kb3ducmV2LnhtbERPyWrDMBC9F/IPYgK5JXJKm8W1HEIh&#10;pYGmkO0+WBPb1Bq5kpLYf18VCr3N462TrTrTiBs5X1tWMJ0kIIgLq2suFZyOm/EChA/IGhvLpKAn&#10;D6t88JBhqu2d93Q7hFLEEPYpKqhCaFMpfVGRQT+xLXHkLtYZDBG6UmqH9xhuGvmYJDNpsObYUGFL&#10;rxUVX4erUfB2TjrZN/3z/sNtcfu52V2+d0ulRsNu/QIiUBf+xX/udx3nP83h95l4gc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rs9LDAAAA3AAAAA8AAAAAAAAAAAAA&#10;AAAAoQIAAGRycy9kb3ducmV2LnhtbFBLBQYAAAAABAAEAPkAAACRAwAAAAA=&#10;" strokecolor="black [3200]" strokeweight="6pt">
                  <v:stroke endarrow="block" joinstyle="miter"/>
                </v:shape>
                <v:shape id="Straight Arrow Connector 148" o:spid="_x0000_s1519" type="#_x0000_t32" style="position:absolute;left:1759429;top:2034369;width:685843;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uWjcUAAADcAAAADwAAAGRycy9kb3ducmV2LnhtbESPQUvDQBCF70L/wzIFL9JubEKV2G0R&#10;RfTaWKTexuyYBLOzIbO28d87B8HbDO/Ne99sdlPozYlG6SI7uF5mYIjr6DtuHBxenxa3YCQhe+wj&#10;k4MfEthtZxcbLH08855OVWqMhrCU6KBNaSitlbqlgLKMA7Fqn3EMmHQdG+tHPGt46O0qy9Y2YMfa&#10;0OJADy3VX9V3cJCnQlb74ngj1XvzceUf81zenp27nE/3d2ASTenf/Hf94hW/UFp9Riew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2uWjcUAAADcAAAADwAAAAAAAAAA&#10;AAAAAAChAgAAZHJzL2Rvd25yZXYueG1sUEsFBgAAAAAEAAQA+QAAAJMDAAAAAA==&#10;" strokecolor="black [3200]" strokeweight=".5pt">
                  <v:stroke endarrow="block" joinstyle="miter"/>
                </v:shape>
                <v:shape id="Straight Arrow Connector 149" o:spid="_x0000_s1520" type="#_x0000_t32" style="position:absolute;left:5632044;top:439985;width:2;height:117595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llScQAAADcAAAADwAAAGRycy9kb3ducmV2LnhtbERPTWvCQBC9C/0PyxR6002L1DZmI1WQ&#10;9iKiKXgds9MkbXY2ZNck+utdQehtHu9zksVgatFR6yrLCp4nEQji3OqKCwXf2Xr8BsJ5ZI21ZVJw&#10;JgeL9GGUYKxtzzvq9r4QIYRdjApK75tYSpeXZNBNbEMcuB/bGvQBtoXULfYh3NTyJYpepcGKQ0OJ&#10;Da1Kyv/2J6NgvXS+P3bZZra9VAd92hx+L8tPpZ4eh485CE+D/xff3V86zJ++w+2ZcIFM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WVJxAAAANwAAAAPAAAAAAAAAAAA&#10;AAAAAKECAABkcnMvZG93bnJldi54bWxQSwUGAAAAAAQABAD5AAAAkgMAAAAA&#10;" strokecolor="black [3200]" strokeweight="6pt">
                  <v:stroke endarrow="block" joinstyle="miter"/>
                </v:shape>
                <v:shape id="Curved Connector 154" o:spid="_x0000_s1521" type="#_x0000_t37" style="position:absolute;left:3268170;top:3432134;width:3300888;height:1427867;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SsQAAADcAAAADwAAAGRycy9kb3ducmV2LnhtbERPTWvCQBC9C/0PyxR6M5uKlhKzSi2J&#10;eCqa9tLbkB2T2OxsyK4m9dd3hYK3ebzPSdejacWFetdYVvAcxSCIS6sbrhR8febTVxDOI2tsLZOC&#10;X3KwXj1MUky0HfhAl8JXIoSwS1BB7X2XSOnKmgy6yHbEgTva3qAPsK+k7nEI4aaVszh+kQYbDg01&#10;dvReU/lTnI2C7TUbD8e91x/febEZtvPTkG2uSj09jm9LEJ5Gfxf/u3c6zF/M4fZMuEC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7D9KxAAAANwAAAAPAAAAAAAAAAAA&#10;AAAAAKECAABkcnMvZG93bnJldi54bWxQSwUGAAAAAAQABAD5AAAAkgMAAAAA&#10;" strokecolor="black [3200]" strokeweight=".5pt">
                  <v:stroke endarrow="block" joinstyle="miter"/>
                </v:shape>
                <v:shape id="_x0000_s1522" type="#_x0000_t202" style="position:absolute;left:4667238;top:594355;width:1935818;height:605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SedwgAA&#10;ANwAAAAPAAAAZHJzL2Rvd25yZXYueG1sRE9La8JAEL4L/odlCt7MpgaLxKzBB4KIl2oPPQ7ZMQnJ&#10;zobsauK/7xYKvc3H95wsH00rntS72rKC9ygGQVxYXXOp4Ot2nK9AOI+ssbVMCl7kIN9MJxmm2g78&#10;Sc+rL0UIYZeigsr7LpXSFRUZdJHtiAN3t71BH2BfSt3jEMJNKxdx/CEN1hwaKuxoX1HRXB9GwTmh&#10;5jsp3cUN911y0vHh0p4PSs3exu0ahKfR/4v/3Ccd5i+X8PtMuEBu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tJ53CAAAA3AAAAA8AAAAAAAAAAAAAAAAAlwIAAGRycy9kb3du&#10;cmV2LnhtbFBLBQYAAAAABAAEAPUAAACGAwAAAAA=&#10;" fillcolor="white [3201]" strokecolor="black [3200]" strokeweight="1pt">
                  <v:textbox>
                    <w:txbxContent>
                      <w:p w14:paraId="26FDA494" w14:textId="77777777" w:rsidR="00C8402C" w:rsidRPr="004218ED" w:rsidRDefault="00C8402C" w:rsidP="005031E7">
                        <w:pPr>
                          <w:rPr>
                            <w:sz w:val="18"/>
                            <w:szCs w:val="20"/>
                          </w:rPr>
                        </w:pPr>
                        <w:r w:rsidRPr="004218ED">
                          <w:rPr>
                            <w:sz w:val="18"/>
                            <w:szCs w:val="20"/>
                          </w:rPr>
                          <w:t>BPF: A1, D1, G1, L3, E5</w:t>
                        </w:r>
                      </w:p>
                      <w:p w14:paraId="6B9F89EB" w14:textId="77777777" w:rsidR="00C8402C" w:rsidRPr="004218ED" w:rsidRDefault="00C8402C" w:rsidP="005031E7">
                        <w:pPr>
                          <w:rPr>
                            <w:sz w:val="18"/>
                            <w:szCs w:val="20"/>
                          </w:rPr>
                        </w:pPr>
                        <w:r w:rsidRPr="004218ED">
                          <w:rPr>
                            <w:sz w:val="18"/>
                            <w:szCs w:val="20"/>
                          </w:rPr>
                          <w:t>SRLF: E1, H1, H2, F2, M2</w:t>
                        </w:r>
                      </w:p>
                    </w:txbxContent>
                  </v:textbox>
                </v:shape>
                <v:shape id="_x0000_s1523" type="#_x0000_t202" style="position:absolute;left:5028202;top:3763884;width:1077095;height:531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nqwgAA&#10;ANwAAAAPAAAAZHJzL2Rvd25yZXYueG1sRE9Ni8IwEL0L/ocwC9403S2WpRpFVwSRXtbdwx6HZmyL&#10;yaQ00dZ/bwRhb/N4n7NcD9aIG3W+cazgfZaAIC6dbrhS8Puzn36C8AFZo3FMCu7kYb0aj5aYa9fz&#10;N91OoRIxhH2OCuoQ2lxKX9Zk0c9cSxy5s+sshgi7SuoO+xhujfxIkkxabDg21NjSV03l5XS1Co4p&#10;Xf7Syhe+P2/Tg052hTnulJq8DZsFiEBD+Be/3Acd588zeD4TL5C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uerCAAAA3AAAAA8AAAAAAAAAAAAAAAAAlwIAAGRycy9kb3du&#10;cmV2LnhtbFBLBQYAAAAABAAEAPUAAACGAwAAAAA=&#10;" fillcolor="white [3201]" strokecolor="black [3200]" strokeweight="1pt">
                  <v:textbox>
                    <w:txbxContent>
                      <w:p w14:paraId="22C28A87" w14:textId="77777777" w:rsidR="00C8402C" w:rsidRPr="00042504" w:rsidRDefault="00C8402C" w:rsidP="005031E7">
                        <w:pPr>
                          <w:rPr>
                            <w:sz w:val="20"/>
                            <w:szCs w:val="20"/>
                          </w:rPr>
                        </w:pPr>
                        <w:r w:rsidRPr="00042504">
                          <w:rPr>
                            <w:sz w:val="20"/>
                            <w:szCs w:val="20"/>
                          </w:rPr>
                          <w:t>BPF: I4, G3</w:t>
                        </w:r>
                      </w:p>
                      <w:p w14:paraId="1C492D85" w14:textId="77777777" w:rsidR="00C8402C" w:rsidRPr="00042504" w:rsidRDefault="00C8402C" w:rsidP="005031E7">
                        <w:pPr>
                          <w:rPr>
                            <w:sz w:val="20"/>
                            <w:szCs w:val="20"/>
                          </w:rPr>
                        </w:pPr>
                        <w:r w:rsidRPr="00042504">
                          <w:rPr>
                            <w:sz w:val="20"/>
                            <w:szCs w:val="20"/>
                          </w:rPr>
                          <w:t>SRLF: K2</w:t>
                        </w:r>
                      </w:p>
                    </w:txbxContent>
                  </v:textbox>
                </v:shape>
                <v:shape id="_x0000_s1524" type="#_x0000_t202" style="position:absolute;left:2445097;top:4310809;width:1737032;height:6304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IgDwwAA&#10;ANwAAAAPAAAAZHJzL2Rvd25yZXYueG1sRI9Bi8JADIXvwv6HIcLedKpFkeoorrIg4kXdwx5DJ7bF&#10;TqZ0Zm3335uD4C3hvbz3ZbXpXa0e1IbKs4HJOAFFnHtbcWHg5/o9WoAKEdli7ZkM/FOAzfpjsMLM&#10;+o7P9LjEQkkIhwwNlDE2mdYhL8lhGPuGWLSbbx1GWdtC2xY7CXe1nibJXDusWBpKbGhXUn6//DkD&#10;x5Tuv2kRTqG7faUHm+xP9XFvzOew3y5BRerj2/y6PljBnwmtPCMT6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7IgDwwAAANwAAAAPAAAAAAAAAAAAAAAAAJcCAABkcnMvZG93&#10;bnJldi54bWxQSwUGAAAAAAQABAD1AAAAhwMAAAAA&#10;" fillcolor="white [3201]" strokecolor="black [3200]" strokeweight="1pt">
                  <v:textbox>
                    <w:txbxContent>
                      <w:p w14:paraId="271F10EE" w14:textId="77777777" w:rsidR="00C8402C" w:rsidRPr="00042504" w:rsidRDefault="00C8402C" w:rsidP="005031E7">
                        <w:pPr>
                          <w:rPr>
                            <w:sz w:val="20"/>
                            <w:szCs w:val="20"/>
                          </w:rPr>
                        </w:pPr>
                        <w:r w:rsidRPr="00042504">
                          <w:rPr>
                            <w:sz w:val="20"/>
                            <w:szCs w:val="20"/>
                          </w:rPr>
                          <w:t>BPF: C3, E3, C1, Q8</w:t>
                        </w:r>
                      </w:p>
                      <w:p w14:paraId="6DD93115" w14:textId="77777777" w:rsidR="00C8402C" w:rsidRPr="00042504" w:rsidRDefault="00C8402C" w:rsidP="005031E7">
                        <w:pPr>
                          <w:rPr>
                            <w:sz w:val="20"/>
                            <w:szCs w:val="20"/>
                          </w:rPr>
                        </w:pPr>
                        <w:r w:rsidRPr="00042504">
                          <w:rPr>
                            <w:sz w:val="20"/>
                            <w:szCs w:val="20"/>
                          </w:rPr>
                          <w:t>SRLF: A6, K3, A3, U6</w:t>
                        </w:r>
                      </w:p>
                    </w:txbxContent>
                  </v:textbox>
                </v:shape>
                <v:shape id="_x0000_s1525" type="#_x0000_t202" style="position:absolute;left:2754715;top:2495544;width:1129089;height:601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C2YwAAA&#10;ANwAAAAPAAAAZHJzL2Rvd25yZXYueG1sRE/LqsIwEN0L/kMYwZ2m3uJFq1H0iiDixsfC5dCMbbGZ&#10;lCba+vdGEO5uDuc582VrSvGk2hWWFYyGEQji1OqCMwWX83YwAeE8ssbSMil4kYPlotuZY6Jtw0d6&#10;nnwmQgi7BBXk3leJlC7NyaAb2oo4cDdbG/QB1pnUNTYh3JTyJ4p+pcGCQ0OOFf3llN5PD6NgH9P9&#10;Gmfu4JrbOt7paHMo9xul+r12NQPhqfX/4q97p8P88RQ+z4QL5O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oC2YwAAAANwAAAAPAAAAAAAAAAAAAAAAAJcCAABkcnMvZG93bnJl&#10;di54bWxQSwUGAAAAAAQABAD1AAAAhAMAAAAA&#10;" fillcolor="white [3201]" strokecolor="black [3200]" strokeweight="1pt">
                  <v:textbox>
                    <w:txbxContent>
                      <w:p w14:paraId="79E12DB7" w14:textId="77777777" w:rsidR="00C8402C" w:rsidRPr="00042504" w:rsidRDefault="00C8402C" w:rsidP="005031E7">
                        <w:pPr>
                          <w:rPr>
                            <w:sz w:val="20"/>
                            <w:szCs w:val="20"/>
                          </w:rPr>
                        </w:pPr>
                        <w:r w:rsidRPr="00042504">
                          <w:rPr>
                            <w:sz w:val="20"/>
                            <w:szCs w:val="20"/>
                          </w:rPr>
                          <w:t>BPF: N6</w:t>
                        </w:r>
                      </w:p>
                      <w:p w14:paraId="4EA3C9CE" w14:textId="77777777" w:rsidR="00C8402C" w:rsidRPr="00042504" w:rsidRDefault="00C8402C" w:rsidP="005031E7">
                        <w:pPr>
                          <w:rPr>
                            <w:sz w:val="20"/>
                            <w:szCs w:val="20"/>
                          </w:rPr>
                        </w:pPr>
                        <w:r w:rsidRPr="00042504">
                          <w:rPr>
                            <w:sz w:val="20"/>
                            <w:szCs w:val="20"/>
                          </w:rPr>
                          <w:t>SRLF: I6, A2</w:t>
                        </w:r>
                      </w:p>
                    </w:txbxContent>
                  </v:textbox>
                </v:shape>
                <v:shape id="_x0000_s1526" type="#_x0000_t202" style="position:absolute;left:1513698;top:1187547;width:1240743;height:305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k64xQAA&#10;ANwAAAAPAAAAZHJzL2Rvd25yZXYueG1sRI9Ba8MwDIXvg/0Ho8Fui7MFwkjrlnZlEEIvy3boUcRq&#10;EhrLIfaa7N9Ph0JvEu/pvU/r7eIGdaUp9J4NvCYpKOLG255bAz/fny/voEJEtjh4JgN/FGC7eXxY&#10;Y2H9zF90rWOrJIRDgQa6GMdC69B05DAkfiQW7ewnh1HWqdV2wlnC3aDf0jTXDnuWhg5H+uioudS/&#10;zkCV0eWUteEY5vM+K216OA7VwZjnp2W3AhVpiXfz7bq0gp8LvjwjE+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2TrjFAAAA3AAAAA8AAAAAAAAAAAAAAAAAlwIAAGRycy9k&#10;b3ducmV2LnhtbFBLBQYAAAAABAAEAPUAAACJAwAAAAA=&#10;" fillcolor="white [3201]" strokecolor="black [3200]" strokeweight="1pt">
                  <v:textbox>
                    <w:txbxContent>
                      <w:p w14:paraId="17147602" w14:textId="77777777" w:rsidR="00C8402C" w:rsidRPr="00042504" w:rsidRDefault="00C8402C" w:rsidP="005031E7">
                        <w:pPr>
                          <w:rPr>
                            <w:sz w:val="20"/>
                            <w:szCs w:val="20"/>
                          </w:rPr>
                        </w:pPr>
                        <w:r w:rsidRPr="00042504">
                          <w:rPr>
                            <w:sz w:val="20"/>
                            <w:szCs w:val="20"/>
                          </w:rPr>
                          <w:t>SRLF: B2, C2</w:t>
                        </w:r>
                      </w:p>
                    </w:txbxContent>
                  </v:textbox>
                </v:shape>
                <v:shape id="Curved Connector 161" o:spid="_x0000_s1527" type="#_x0000_t37" style="position:absolute;left:879793;top:2474360;width:1565303;height:3322153;rotation:18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BqMsMAAADcAAAADwAAAGRycy9kb3ducmV2LnhtbESPQYvCMBCF7wv+hzCCtzVtQV2qUUQQ&#10;RRZBVzyPzdgWm0lJonb//WZB8DbDe9+bN7NFZxrxIOdrywrSYQKCuLC65lLB6Wf9+QXCB2SNjWVS&#10;8EseFvPexwxzbZ98oMcxlCKGsM9RQRVCm0vpi4oM+qFtiaN2tc5giKsrpXb4jOGmkVmSjKXBmuOF&#10;CltaVVTcjncTa+zSyz4r93qyOa/s3aU4+s52Sg363XIKIlAX3uYXvdWRG6fw/0ycQ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QajLDAAAA3AAAAA8AAAAAAAAAAAAA&#10;AAAAoQIAAGRycy9kb3ducmV2LnhtbFBLBQYAAAAABAAEAPkAAACRAwAAAAA=&#10;" strokecolor="black [3200]" strokeweight=".5pt">
                  <v:stroke endarrow="block" joinstyle="miter"/>
                </v:shape>
                <v:shape id="_x0000_s1528" type="#_x0000_t202" style="position:absolute;left:602019;top:3814685;width:1301783;height:528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xxxwAAA&#10;ANwAAAAPAAAAZHJzL2Rvd25yZXYueG1sRE/LqsIwEN0L/kMYwZ2m3uJVqlH0iiDixsfC5dCMbbGZ&#10;lCba+vdGEO5uDuc582VrSvGk2hWWFYyGEQji1OqCMwWX83YwBeE8ssbSMil4kYPlotuZY6Jtw0d6&#10;nnwmQgi7BBXk3leJlC7NyaAb2oo4cDdbG/QB1pnUNTYh3JTyJ4p+pcGCQ0OOFf3llN5PD6NgH9P9&#10;Gmfu4JrbOt7paHMo9xul+r12NQPhqfX/4q97p8P88QQ+z4QL5O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cxxxwAAAANwAAAAPAAAAAAAAAAAAAAAAAJcCAABkcnMvZG93bnJl&#10;di54bWxQSwUGAAAAAAQABAD1AAAAhAMAAAAA&#10;" fillcolor="white [3201]" strokecolor="black [3200]" strokeweight="1pt">
                  <v:textbox>
                    <w:txbxContent>
                      <w:p w14:paraId="1D11C9FD" w14:textId="77777777" w:rsidR="00C8402C" w:rsidRPr="00042504" w:rsidRDefault="00C8402C" w:rsidP="005031E7">
                        <w:pPr>
                          <w:rPr>
                            <w:sz w:val="20"/>
                            <w:szCs w:val="20"/>
                          </w:rPr>
                        </w:pPr>
                        <w:r w:rsidRPr="00042504">
                          <w:rPr>
                            <w:sz w:val="20"/>
                            <w:szCs w:val="20"/>
                          </w:rPr>
                          <w:t>BPF: S8, Q8</w:t>
                        </w:r>
                      </w:p>
                      <w:p w14:paraId="4E7EB4AB" w14:textId="77777777" w:rsidR="00C8402C" w:rsidRPr="00042504" w:rsidRDefault="00C8402C" w:rsidP="005031E7">
                        <w:pPr>
                          <w:rPr>
                            <w:sz w:val="20"/>
                            <w:szCs w:val="20"/>
                          </w:rPr>
                        </w:pPr>
                        <w:r w:rsidRPr="00042504">
                          <w:rPr>
                            <w:sz w:val="20"/>
                            <w:szCs w:val="20"/>
                          </w:rPr>
                          <w:t>SRLF: K8</w:t>
                        </w:r>
                      </w:p>
                    </w:txbxContent>
                  </v:textbox>
                </v:shape>
              </v:group>
            </w:pict>
          </mc:Fallback>
        </mc:AlternateContent>
      </w:r>
      <w:r w:rsidR="005031E7" w:rsidRPr="003726FE">
        <w:rPr>
          <w:b/>
          <w:sz w:val="32"/>
        </w:rPr>
        <w:t xml:space="preserve">Contextual and cultural </w:t>
      </w:r>
      <w:r w:rsidR="005031E7" w:rsidRPr="003726FE">
        <w:rPr>
          <w:b/>
        </w:rPr>
        <w:br w:type="page"/>
      </w:r>
    </w:p>
    <w:p w14:paraId="5732C25A" w14:textId="77777777" w:rsidR="00920A5A" w:rsidRPr="003726FE" w:rsidRDefault="00920A5A" w:rsidP="005031E7">
      <w:pPr>
        <w:sectPr w:rsidR="00920A5A" w:rsidRPr="003726FE" w:rsidSect="007C73DC">
          <w:pgSz w:w="11906" w:h="16838"/>
          <w:pgMar w:top="1134" w:right="1134" w:bottom="1134" w:left="2268" w:header="708" w:footer="708" w:gutter="0"/>
          <w:cols w:space="708"/>
          <w:docGrid w:linePitch="360"/>
        </w:sectPr>
      </w:pPr>
    </w:p>
    <w:p w14:paraId="382A87EB" w14:textId="524AC4A4" w:rsidR="005031E7" w:rsidRPr="003726FE" w:rsidRDefault="005031E7" w:rsidP="00920A5A">
      <w:pPr>
        <w:jc w:val="center"/>
        <w:rPr>
          <w:b/>
        </w:rPr>
      </w:pPr>
      <w:r w:rsidRPr="003726FE">
        <w:rPr>
          <w:b/>
          <w:noProof/>
          <w:sz w:val="32"/>
          <w:lang w:eastAsia="en-GB"/>
        </w:rPr>
        <w:lastRenderedPageBreak/>
        <mc:AlternateContent>
          <mc:Choice Requires="wpg">
            <w:drawing>
              <wp:anchor distT="0" distB="0" distL="114300" distR="114300" simplePos="0" relativeHeight="251973632" behindDoc="0" locked="0" layoutInCell="1" allowOverlap="1" wp14:anchorId="5DCE3DBA" wp14:editId="2FCFB406">
                <wp:simplePos x="0" y="0"/>
                <wp:positionH relativeFrom="column">
                  <wp:posOffset>703426</wp:posOffset>
                </wp:positionH>
                <wp:positionV relativeFrom="paragraph">
                  <wp:posOffset>747395</wp:posOffset>
                </wp:positionV>
                <wp:extent cx="7578086" cy="4832411"/>
                <wp:effectExtent l="0" t="0" r="23495" b="25400"/>
                <wp:wrapNone/>
                <wp:docPr id="162" name="Group 162"/>
                <wp:cNvGraphicFramePr/>
                <a:graphic xmlns:a="http://schemas.openxmlformats.org/drawingml/2006/main">
                  <a:graphicData uri="http://schemas.microsoft.com/office/word/2010/wordprocessingGroup">
                    <wpg:wgp>
                      <wpg:cNvGrpSpPr/>
                      <wpg:grpSpPr>
                        <a:xfrm>
                          <a:off x="0" y="0"/>
                          <a:ext cx="7578086" cy="4832411"/>
                          <a:chOff x="320634" y="180748"/>
                          <a:chExt cx="7578086" cy="4832411"/>
                        </a:xfrm>
                      </wpg:grpSpPr>
                      <wpg:grpSp>
                        <wpg:cNvPr id="164" name="Group 164"/>
                        <wpg:cNvGrpSpPr/>
                        <wpg:grpSpPr>
                          <a:xfrm>
                            <a:off x="320634" y="180748"/>
                            <a:ext cx="7578086" cy="4832411"/>
                            <a:chOff x="320634" y="180748"/>
                            <a:chExt cx="7578086" cy="4832411"/>
                          </a:xfrm>
                        </wpg:grpSpPr>
                        <wps:wsp>
                          <wps:cNvPr id="189" name="Straight Connector 189"/>
                          <wps:cNvCnPr>
                            <a:stCxn id="169" idx="0"/>
                            <a:endCxn id="170" idx="2"/>
                          </wps:cNvCnPr>
                          <wps:spPr>
                            <a:xfrm flipV="1">
                              <a:off x="1241547" y="1083242"/>
                              <a:ext cx="1796298" cy="949211"/>
                            </a:xfrm>
                            <a:prstGeom prst="line">
                              <a:avLst/>
                            </a:prstGeom>
                            <a:ln w="28575"/>
                          </wps:spPr>
                          <wps:style>
                            <a:lnRef idx="1">
                              <a:schemeClr val="dk1"/>
                            </a:lnRef>
                            <a:fillRef idx="0">
                              <a:schemeClr val="dk1"/>
                            </a:fillRef>
                            <a:effectRef idx="0">
                              <a:schemeClr val="dk1"/>
                            </a:effectRef>
                            <a:fontRef idx="minor">
                              <a:schemeClr val="tx1"/>
                            </a:fontRef>
                          </wps:style>
                          <wps:bodyPr/>
                        </wps:wsp>
                        <wpg:grpSp>
                          <wpg:cNvPr id="165" name="Group 165"/>
                          <wpg:cNvGrpSpPr/>
                          <wpg:grpSpPr>
                            <a:xfrm>
                              <a:off x="320634" y="180748"/>
                              <a:ext cx="7578086" cy="4832411"/>
                              <a:chOff x="-689589" y="180754"/>
                              <a:chExt cx="7579300" cy="4832579"/>
                            </a:xfrm>
                          </wpg:grpSpPr>
                          <wps:wsp>
                            <wps:cNvPr id="166" name="Flowchart: Alternate Process 166"/>
                            <wps:cNvSpPr/>
                            <wps:spPr>
                              <a:xfrm>
                                <a:off x="5215242" y="180754"/>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B34F50D" w14:textId="77777777" w:rsidR="00C8402C" w:rsidRDefault="00C8402C" w:rsidP="005031E7">
                                  <w:pPr>
                                    <w:jc w:val="center"/>
                                  </w:pPr>
                                  <w: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Flowchart: Alternate Process 167"/>
                            <wps:cNvSpPr/>
                            <wps:spPr>
                              <a:xfrm>
                                <a:off x="-605861" y="4110808"/>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8DFE05" w14:textId="77777777" w:rsidR="00C8402C" w:rsidRDefault="00C8402C" w:rsidP="005031E7">
                                  <w:pPr>
                                    <w:jc w:val="center"/>
                                  </w:pPr>
                                  <w:r>
                                    <w:t>Planning and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lowchart: Alternate Process 168"/>
                            <wps:cNvSpPr/>
                            <wps:spPr>
                              <a:xfrm>
                                <a:off x="2335640" y="3339914"/>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53B8EBF" w14:textId="77777777" w:rsidR="00C8402C" w:rsidRDefault="00C8402C" w:rsidP="005031E7">
                                  <w:pPr>
                                    <w:jc w:val="center"/>
                                  </w:pPr>
                                  <w: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lowchart: Alternate Process 169"/>
                            <wps:cNvSpPr/>
                            <wps:spPr>
                              <a:xfrm>
                                <a:off x="-605739" y="2032523"/>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A8649C5" w14:textId="77777777" w:rsidR="00C8402C" w:rsidRDefault="00C8402C" w:rsidP="005031E7">
                                  <w:pPr>
                                    <w:jc w:val="center"/>
                                  </w:pPr>
                                  <w: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lowchart: Alternate Process 170"/>
                            <wps:cNvSpPr/>
                            <wps:spPr>
                              <a:xfrm>
                                <a:off x="1190847" y="180754"/>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49B5CC0" w14:textId="77777777" w:rsidR="00C8402C" w:rsidRDefault="00C8402C" w:rsidP="005031E7">
                                  <w:pPr>
                                    <w:jc w:val="center"/>
                                  </w:pPr>
                                  <w:r>
                                    <w:t>Confidence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lowchart: Alternate Process 171"/>
                            <wps:cNvSpPr/>
                            <wps:spPr>
                              <a:xfrm>
                                <a:off x="5215290" y="2065537"/>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97BEBC8" w14:textId="77777777" w:rsidR="00C8402C" w:rsidRDefault="00C8402C" w:rsidP="005031E7">
                                  <w:pPr>
                                    <w:jc w:val="center"/>
                                  </w:pPr>
                                  <w:r>
                                    <w:t>Self-evaluation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Arrow Connector 172"/>
                            <wps:cNvCnPr>
                              <a:stCxn id="168" idx="0"/>
                              <a:endCxn id="170" idx="2"/>
                            </wps:cNvCnPr>
                            <wps:spPr>
                              <a:xfrm flipH="1" flipV="1">
                                <a:off x="2028058" y="1083279"/>
                                <a:ext cx="1144792" cy="225663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173" name="Straight Connector 173"/>
                            <wps:cNvCnPr>
                              <a:stCxn id="171" idx="0"/>
                              <a:endCxn id="166" idx="2"/>
                            </wps:cNvCnPr>
                            <wps:spPr>
                              <a:xfrm flipH="1" flipV="1">
                                <a:off x="6052453" y="1083279"/>
                                <a:ext cx="48" cy="982257"/>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74" name="Straight Connector 174"/>
                            <wps:cNvCnPr>
                              <a:stCxn id="168" idx="3"/>
                              <a:endCxn id="171" idx="2"/>
                            </wps:cNvCnPr>
                            <wps:spPr>
                              <a:xfrm flipV="1">
                                <a:off x="4009670" y="2968027"/>
                                <a:ext cx="2042269" cy="82310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75" name="Straight Arrow Connector 175"/>
                            <wps:cNvCnPr>
                              <a:stCxn id="170" idx="3"/>
                              <a:endCxn id="166" idx="1"/>
                            </wps:cNvCnPr>
                            <wps:spPr>
                              <a:xfrm>
                                <a:off x="2865268" y="632017"/>
                                <a:ext cx="234997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6" name="Straight Arrow Connector 176"/>
                            <wps:cNvCnPr/>
                            <wps:spPr>
                              <a:xfrm>
                                <a:off x="2864972" y="1041969"/>
                                <a:ext cx="2349334" cy="1098256"/>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a:stCxn id="169" idx="2"/>
                              <a:endCxn id="167" idx="0"/>
                            </wps:cNvCnPr>
                            <wps:spPr>
                              <a:xfrm flipH="1">
                                <a:off x="231350" y="2935048"/>
                                <a:ext cx="122" cy="1175760"/>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8" name="Text Box 2"/>
                            <wps:cNvSpPr txBox="1">
                              <a:spLocks noChangeArrowheads="1"/>
                            </wps:cNvSpPr>
                            <wps:spPr bwMode="auto">
                              <a:xfrm>
                                <a:off x="3345150" y="344397"/>
                                <a:ext cx="965974" cy="5086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76D463" w14:textId="77777777" w:rsidR="00C8402C" w:rsidRDefault="00C8402C" w:rsidP="005031E7">
                                  <w:pPr>
                                    <w:rPr>
                                      <w:sz w:val="18"/>
                                      <w:szCs w:val="18"/>
                                    </w:rPr>
                                  </w:pPr>
                                  <w:r w:rsidRPr="00071A11">
                                    <w:rPr>
                                      <w:sz w:val="18"/>
                                      <w:szCs w:val="18"/>
                                    </w:rPr>
                                    <w:t xml:space="preserve">BPF: R4, </w:t>
                                  </w:r>
                                  <w:r>
                                    <w:rPr>
                                      <w:sz w:val="18"/>
                                      <w:szCs w:val="18"/>
                                    </w:rPr>
                                    <w:t>L8</w:t>
                                  </w:r>
                                </w:p>
                                <w:p w14:paraId="64BEBE11" w14:textId="77777777" w:rsidR="00C8402C" w:rsidRPr="00071A11" w:rsidRDefault="00C8402C" w:rsidP="005031E7">
                                  <w:pPr>
                                    <w:rPr>
                                      <w:sz w:val="18"/>
                                      <w:szCs w:val="18"/>
                                    </w:rPr>
                                  </w:pPr>
                                  <w:r w:rsidRPr="00071A11">
                                    <w:rPr>
                                      <w:sz w:val="18"/>
                                      <w:szCs w:val="18"/>
                                    </w:rPr>
                                    <w:t>SRLF: M8, O8</w:t>
                                  </w:r>
                                </w:p>
                                <w:p w14:paraId="048E85CB" w14:textId="77777777" w:rsidR="00C8402C" w:rsidRPr="00071A11" w:rsidRDefault="00C8402C" w:rsidP="005031E7">
                                  <w:pPr>
                                    <w:rPr>
                                      <w:sz w:val="18"/>
                                      <w:szCs w:val="18"/>
                                    </w:rPr>
                                  </w:pPr>
                                </w:p>
                              </w:txbxContent>
                            </wps:txbx>
                            <wps:bodyPr rot="0" vert="horz" wrap="square" lIns="91440" tIns="45720" rIns="91440" bIns="45720" anchor="t" anchorCtr="0">
                              <a:noAutofit/>
                            </wps:bodyPr>
                          </wps:wsp>
                          <wps:wsp>
                            <wps:cNvPr id="180" name="Text Box 2"/>
                            <wps:cNvSpPr txBox="1">
                              <a:spLocks noChangeArrowheads="1"/>
                            </wps:cNvSpPr>
                            <wps:spPr bwMode="auto">
                              <a:xfrm>
                                <a:off x="-689589" y="3274557"/>
                                <a:ext cx="1677474"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AACC85" w14:textId="77777777" w:rsidR="00C8402C" w:rsidRPr="00071A11" w:rsidRDefault="00C8402C" w:rsidP="005031E7">
                                  <w:pPr>
                                    <w:rPr>
                                      <w:sz w:val="18"/>
                                      <w:szCs w:val="18"/>
                                    </w:rPr>
                                  </w:pPr>
                                  <w:r w:rsidRPr="00071A11">
                                    <w:rPr>
                                      <w:sz w:val="18"/>
                                      <w:szCs w:val="18"/>
                                    </w:rPr>
                                    <w:t>BPF: D9</w:t>
                                  </w:r>
                                  <w:r>
                                    <w:rPr>
                                      <w:sz w:val="18"/>
                                      <w:szCs w:val="18"/>
                                    </w:rPr>
                                    <w:t>, T8</w:t>
                                  </w:r>
                                </w:p>
                                <w:p w14:paraId="077509EC" w14:textId="77777777" w:rsidR="00C8402C" w:rsidRPr="00071A11" w:rsidRDefault="00C8402C" w:rsidP="005031E7">
                                  <w:pPr>
                                    <w:rPr>
                                      <w:sz w:val="18"/>
                                      <w:szCs w:val="18"/>
                                    </w:rPr>
                                  </w:pPr>
                                  <w:r w:rsidRPr="00071A11">
                                    <w:rPr>
                                      <w:sz w:val="18"/>
                                      <w:szCs w:val="18"/>
                                    </w:rPr>
                                    <w:t>SRLF: A9, B5, C9, I5, J5</w:t>
                                  </w:r>
                                  <w:r>
                                    <w:rPr>
                                      <w:sz w:val="18"/>
                                      <w:szCs w:val="18"/>
                                    </w:rPr>
                                    <w:t>, T9</w:t>
                                  </w:r>
                                </w:p>
                              </w:txbxContent>
                            </wps:txbx>
                            <wps:bodyPr rot="0" vert="horz" wrap="square" lIns="91440" tIns="45720" rIns="91440" bIns="45720" anchor="t" anchorCtr="0">
                              <a:noAutofit/>
                            </wps:bodyPr>
                          </wps:wsp>
                          <wps:wsp>
                            <wps:cNvPr id="181" name="Text Box 2"/>
                            <wps:cNvSpPr txBox="1">
                              <a:spLocks noChangeArrowheads="1"/>
                            </wps:cNvSpPr>
                            <wps:spPr bwMode="auto">
                              <a:xfrm>
                                <a:off x="1685052" y="1552350"/>
                                <a:ext cx="1263819" cy="6684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985B12D" w14:textId="77777777" w:rsidR="00C8402C" w:rsidRPr="00071A11" w:rsidRDefault="00C8402C" w:rsidP="005031E7">
                                  <w:pPr>
                                    <w:rPr>
                                      <w:sz w:val="18"/>
                                      <w:szCs w:val="18"/>
                                    </w:rPr>
                                  </w:pPr>
                                  <w:r w:rsidRPr="00071A11">
                                    <w:rPr>
                                      <w:sz w:val="18"/>
                                      <w:szCs w:val="18"/>
                                    </w:rPr>
                                    <w:t>BPF: N8, H6</w:t>
                                  </w:r>
                                </w:p>
                                <w:p w14:paraId="38EAD694" w14:textId="77777777" w:rsidR="00C8402C" w:rsidRPr="00071A11" w:rsidRDefault="00C8402C" w:rsidP="005031E7">
                                  <w:pPr>
                                    <w:rPr>
                                      <w:sz w:val="18"/>
                                      <w:szCs w:val="18"/>
                                    </w:rPr>
                                  </w:pPr>
                                  <w:r w:rsidRPr="00071A11">
                                    <w:rPr>
                                      <w:sz w:val="18"/>
                                      <w:szCs w:val="18"/>
                                    </w:rPr>
                                    <w:t>SRLF: A8, C8, G8</w:t>
                                  </w:r>
                                  <w:r>
                                    <w:rPr>
                                      <w:sz w:val="18"/>
                                      <w:szCs w:val="18"/>
                                    </w:rPr>
                                    <w:t>, K6, E6, D6</w:t>
                                  </w:r>
                                </w:p>
                              </w:txbxContent>
                            </wps:txbx>
                            <wps:bodyPr rot="0" vert="horz" wrap="square" lIns="91440" tIns="45720" rIns="91440" bIns="45720" anchor="t" anchorCtr="0">
                              <a:noAutofit/>
                            </wps:bodyPr>
                          </wps:wsp>
                          <wps:wsp>
                            <wps:cNvPr id="183" name="Text Box 2"/>
                            <wps:cNvSpPr txBox="1">
                              <a:spLocks noChangeArrowheads="1"/>
                            </wps:cNvSpPr>
                            <wps:spPr bwMode="auto">
                              <a:xfrm>
                                <a:off x="5345674" y="1238838"/>
                                <a:ext cx="1474651" cy="63854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0A446E1" w14:textId="77777777" w:rsidR="00C8402C" w:rsidRPr="00071A11" w:rsidRDefault="00C8402C" w:rsidP="005031E7">
                                  <w:pPr>
                                    <w:rPr>
                                      <w:sz w:val="18"/>
                                      <w:szCs w:val="18"/>
                                    </w:rPr>
                                  </w:pPr>
                                  <w:r w:rsidRPr="00071A11">
                                    <w:rPr>
                                      <w:sz w:val="18"/>
                                      <w:szCs w:val="18"/>
                                    </w:rPr>
                                    <w:t>BPF: E4</w:t>
                                  </w:r>
                                </w:p>
                                <w:p w14:paraId="19401E00" w14:textId="77777777" w:rsidR="00C8402C" w:rsidRPr="00071A11" w:rsidRDefault="00C8402C" w:rsidP="005031E7">
                                  <w:pPr>
                                    <w:rPr>
                                      <w:sz w:val="18"/>
                                      <w:szCs w:val="18"/>
                                    </w:rPr>
                                  </w:pPr>
                                  <w:r w:rsidRPr="00071A11">
                                    <w:rPr>
                                      <w:sz w:val="18"/>
                                      <w:szCs w:val="18"/>
                                    </w:rPr>
                                    <w:t>SRLF: A10, P4, Q4, W4, O10</w:t>
                                  </w:r>
                                  <w:r>
                                    <w:rPr>
                                      <w:sz w:val="18"/>
                                      <w:szCs w:val="18"/>
                                    </w:rPr>
                                    <w:t>, C4</w:t>
                                  </w:r>
                                </w:p>
                              </w:txbxContent>
                            </wps:txbx>
                            <wps:bodyPr rot="0" vert="horz" wrap="square" lIns="91440" tIns="45720" rIns="91440" bIns="45720" anchor="t" anchorCtr="0">
                              <a:noAutofit/>
                            </wps:bodyPr>
                          </wps:wsp>
                          <wps:wsp>
                            <wps:cNvPr id="184" name="Text Box 2"/>
                            <wps:cNvSpPr txBox="1">
                              <a:spLocks noChangeArrowheads="1"/>
                            </wps:cNvSpPr>
                            <wps:spPr bwMode="auto">
                              <a:xfrm>
                                <a:off x="3220361" y="1339628"/>
                                <a:ext cx="1493536" cy="499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DC6BAF" w14:textId="77777777" w:rsidR="00C8402C" w:rsidRPr="00071A11" w:rsidRDefault="00C8402C" w:rsidP="005031E7">
                                  <w:pPr>
                                    <w:rPr>
                                      <w:sz w:val="18"/>
                                      <w:szCs w:val="18"/>
                                    </w:rPr>
                                  </w:pPr>
                                  <w:r w:rsidRPr="00071A11">
                                    <w:rPr>
                                      <w:sz w:val="18"/>
                                      <w:szCs w:val="18"/>
                                    </w:rPr>
                                    <w:t xml:space="preserve">BPF: </w:t>
                                  </w:r>
                                  <w:r>
                                    <w:rPr>
                                      <w:sz w:val="18"/>
                                      <w:szCs w:val="18"/>
                                    </w:rPr>
                                    <w:t>E10, J10, M8</w:t>
                                  </w:r>
                                </w:p>
                                <w:p w14:paraId="261C0BD1" w14:textId="77777777" w:rsidR="00C8402C" w:rsidRPr="00071A11" w:rsidRDefault="00C8402C" w:rsidP="005031E7">
                                  <w:pPr>
                                    <w:rPr>
                                      <w:sz w:val="18"/>
                                      <w:szCs w:val="18"/>
                                    </w:rPr>
                                  </w:pPr>
                                  <w:r w:rsidRPr="00071A11">
                                    <w:rPr>
                                      <w:sz w:val="18"/>
                                      <w:szCs w:val="18"/>
                                    </w:rPr>
                                    <w:t xml:space="preserve">SRLF: </w:t>
                                  </w:r>
                                  <w:r>
                                    <w:rPr>
                                      <w:sz w:val="18"/>
                                      <w:szCs w:val="18"/>
                                    </w:rPr>
                                    <w:t>C10, D8, F8, E8, V8</w:t>
                                  </w:r>
                                </w:p>
                              </w:txbxContent>
                            </wps:txbx>
                            <wps:bodyPr rot="0" vert="horz" wrap="square" lIns="91440" tIns="45720" rIns="91440" bIns="45720" anchor="t" anchorCtr="0">
                              <a:noAutofit/>
                            </wps:bodyPr>
                          </wps:wsp>
                          <wps:wsp>
                            <wps:cNvPr id="185" name="Text Box 2"/>
                            <wps:cNvSpPr txBox="1">
                              <a:spLocks noChangeArrowheads="1"/>
                            </wps:cNvSpPr>
                            <wps:spPr bwMode="auto">
                              <a:xfrm>
                                <a:off x="4310276" y="3117055"/>
                                <a:ext cx="1330280" cy="543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125D09" w14:textId="77777777" w:rsidR="00C8402C" w:rsidRPr="00071A11" w:rsidRDefault="00C8402C" w:rsidP="005031E7">
                                  <w:pPr>
                                    <w:rPr>
                                      <w:sz w:val="18"/>
                                    </w:rPr>
                                  </w:pPr>
                                  <w:r w:rsidRPr="00071A11">
                                    <w:rPr>
                                      <w:sz w:val="18"/>
                                    </w:rPr>
                                    <w:t xml:space="preserve">BPF: </w:t>
                                  </w:r>
                                  <w:r>
                                    <w:rPr>
                                      <w:sz w:val="18"/>
                                    </w:rPr>
                                    <w:t>L10</w:t>
                                  </w:r>
                                </w:p>
                                <w:p w14:paraId="0D87FC69" w14:textId="77777777" w:rsidR="00C8402C" w:rsidRPr="00071A11" w:rsidRDefault="00C8402C" w:rsidP="005031E7">
                                  <w:pPr>
                                    <w:rPr>
                                      <w:sz w:val="18"/>
                                    </w:rPr>
                                  </w:pPr>
                                  <w:r w:rsidRPr="00071A11">
                                    <w:rPr>
                                      <w:sz w:val="18"/>
                                    </w:rPr>
                                    <w:t xml:space="preserve">SRLF: </w:t>
                                  </w:r>
                                  <w:r>
                                    <w:rPr>
                                      <w:sz w:val="18"/>
                                    </w:rPr>
                                    <w:t>O10, F1, S6, F10</w:t>
                                  </w:r>
                                </w:p>
                              </w:txbxContent>
                            </wps:txbx>
                            <wps:bodyPr rot="0" vert="horz" wrap="square" lIns="91440" tIns="45720" rIns="91440" bIns="45720" anchor="t" anchorCtr="0">
                              <a:noAutofit/>
                            </wps:bodyPr>
                          </wps:wsp>
                          <wps:wsp>
                            <wps:cNvPr id="179" name="Text Box 2"/>
                            <wps:cNvSpPr txBox="1">
                              <a:spLocks noChangeArrowheads="1"/>
                            </wps:cNvSpPr>
                            <wps:spPr bwMode="auto">
                              <a:xfrm>
                                <a:off x="343175" y="1340567"/>
                                <a:ext cx="1211442" cy="498483"/>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14:paraId="69009A67" w14:textId="77777777" w:rsidR="00C8402C" w:rsidRPr="00071A11" w:rsidRDefault="00C8402C" w:rsidP="005031E7">
                                  <w:pPr>
                                    <w:rPr>
                                      <w:sz w:val="18"/>
                                      <w:szCs w:val="18"/>
                                    </w:rPr>
                                  </w:pPr>
                                  <w:r w:rsidRPr="00071A11">
                                    <w:rPr>
                                      <w:sz w:val="18"/>
                                      <w:szCs w:val="18"/>
                                    </w:rPr>
                                    <w:t>BPF: F5, S8, K10</w:t>
                                  </w:r>
                                </w:p>
                                <w:p w14:paraId="57303D6E" w14:textId="77777777" w:rsidR="00C8402C" w:rsidRPr="00071A11" w:rsidRDefault="00C8402C" w:rsidP="005031E7">
                                  <w:pPr>
                                    <w:rPr>
                                      <w:sz w:val="18"/>
                                      <w:szCs w:val="18"/>
                                    </w:rPr>
                                  </w:pPr>
                                  <w:r w:rsidRPr="00071A11">
                                    <w:rPr>
                                      <w:sz w:val="18"/>
                                      <w:szCs w:val="18"/>
                                    </w:rPr>
                                    <w:t>SRLF: F8, N10</w:t>
                                  </w:r>
                                  <w:r>
                                    <w:rPr>
                                      <w:sz w:val="18"/>
                                      <w:szCs w:val="18"/>
                                    </w:rPr>
                                    <w:t>, C5</w:t>
                                  </w:r>
                                </w:p>
                              </w:txbxContent>
                            </wps:txbx>
                            <wps:bodyPr rot="0" vert="horz" wrap="square" lIns="91440" tIns="45720" rIns="91440" bIns="45720" anchor="t" anchorCtr="0">
                              <a:noAutofit/>
                            </wps:bodyPr>
                          </wps:wsp>
                        </wpg:grpSp>
                        <wps:wsp>
                          <wps:cNvPr id="186" name="Straight Arrow Connector 186"/>
                          <wps:cNvCnPr>
                            <a:stCxn id="169" idx="3"/>
                            <a:endCxn id="171" idx="1"/>
                          </wps:cNvCnPr>
                          <wps:spPr>
                            <a:xfrm>
                              <a:off x="2078624" y="2483700"/>
                              <a:ext cx="4145943" cy="33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Straight Connector 187"/>
                          <wps:cNvCnPr/>
                          <wps:spPr>
                            <a:xfrm>
                              <a:off x="2078303" y="2861919"/>
                              <a:ext cx="1341791" cy="500687"/>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Text Box 2"/>
                          <wps:cNvSpPr txBox="1">
                            <a:spLocks noChangeArrowheads="1"/>
                          </wps:cNvSpPr>
                          <wps:spPr bwMode="auto">
                            <a:xfrm>
                              <a:off x="2198284" y="2862918"/>
                              <a:ext cx="945889" cy="49972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B7D26C" w14:textId="77777777" w:rsidR="00C8402C" w:rsidRPr="00071A11" w:rsidRDefault="00C8402C" w:rsidP="005031E7">
                                <w:pPr>
                                  <w:rPr>
                                    <w:sz w:val="18"/>
                                    <w:szCs w:val="18"/>
                                  </w:rPr>
                                </w:pPr>
                                <w:r w:rsidRPr="00071A11">
                                  <w:rPr>
                                    <w:sz w:val="18"/>
                                    <w:szCs w:val="18"/>
                                  </w:rPr>
                                  <w:t xml:space="preserve">BPF: </w:t>
                                </w:r>
                                <w:r>
                                  <w:rPr>
                                    <w:sz w:val="18"/>
                                    <w:szCs w:val="18"/>
                                  </w:rPr>
                                  <w:t>B7, T6</w:t>
                                </w:r>
                              </w:p>
                              <w:p w14:paraId="7F1048F4" w14:textId="77777777" w:rsidR="00C8402C" w:rsidRPr="00071A11" w:rsidRDefault="00C8402C" w:rsidP="005031E7">
                                <w:pPr>
                                  <w:rPr>
                                    <w:sz w:val="18"/>
                                    <w:szCs w:val="18"/>
                                  </w:rPr>
                                </w:pPr>
                                <w:r>
                                  <w:rPr>
                                    <w:sz w:val="18"/>
                                    <w:szCs w:val="18"/>
                                  </w:rPr>
                                  <w:t>SRLF: A7</w:t>
                                </w:r>
                              </w:p>
                            </w:txbxContent>
                          </wps:txbx>
                          <wps:bodyPr rot="0" vert="horz" wrap="square" lIns="91440" tIns="45720" rIns="91440" bIns="45720" anchor="t" anchorCtr="0">
                            <a:noAutofit/>
                          </wps:bodyPr>
                        </wps:wsp>
                      </wpg:grpSp>
                      <wps:wsp>
                        <wps:cNvPr id="163" name="Text Box 2"/>
                        <wps:cNvSpPr txBox="1">
                          <a:spLocks noChangeArrowheads="1"/>
                        </wps:cNvSpPr>
                        <wps:spPr bwMode="auto">
                          <a:xfrm>
                            <a:off x="4185276" y="2351776"/>
                            <a:ext cx="1135270" cy="27644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1EC103" w14:textId="77777777" w:rsidR="00C8402C" w:rsidRPr="00071A11" w:rsidRDefault="00C8402C" w:rsidP="005031E7">
                              <w:pPr>
                                <w:rPr>
                                  <w:sz w:val="18"/>
                                  <w:szCs w:val="18"/>
                                </w:rPr>
                              </w:pPr>
                              <w:r w:rsidRPr="00071A11">
                                <w:rPr>
                                  <w:sz w:val="18"/>
                                  <w:szCs w:val="18"/>
                                </w:rPr>
                                <w:t xml:space="preserve">SRLF: </w:t>
                              </w:r>
                              <w:r>
                                <w:rPr>
                                  <w:sz w:val="18"/>
                                  <w:szCs w:val="18"/>
                                </w:rPr>
                                <w:t>A9, B9, L9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CE3DBA" id="Group 162" o:spid="_x0000_s1529" style="position:absolute;left:0;text-align:left;margin-left:55.4pt;margin-top:58.85pt;width:596.7pt;height:380.5pt;z-index:251973632;mso-width-relative:margin;mso-height-relative:margin" coordorigin="320634,180748" coordsize="7578086,48324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">
                <v:group id="Group 164" o:spid="_x0000_s1530" style="position:absolute;left:320634;top:180748;width:7578086;height:4832411" coordorigin="320634,180748" coordsize="7578086,48324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line id="Straight Connector 189" o:spid="_x0000_s1531" style="position:absolute;flip:y;visibility:visible;mso-wrap-style:square" from="1241547,1083242" to="3037845,2032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y7XcMAAADcAAAADwAAAGRycy9kb3ducmV2LnhtbESPT2sCMRDF70K/Q5iCt5ptFdHVKKVU&#10;2qt/0duwGXeXbiZLEjX66Y1Q8DbDe783b6bzaBpxJudrywreexkI4sLqmksFm/XibQTCB2SNjWVS&#10;cCUP89lLZ4q5thde0nkVSpFC2OeooAqhzaX0RUUGfc+2xEk7WmcwpNWVUju8pHDTyI8sG0qDNacL&#10;Fbb0VVHxtzqZVGPfHhaneL25bDfYfh8j+p8+KtV9jZ8TEIFieJr/6V+duNEYHs+kCeTs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cu13DAAAA3AAAAA8AAAAAAAAAAAAA&#10;AAAAoQIAAGRycy9kb3ducmV2LnhtbFBLBQYAAAAABAAEAPkAAACRAwAAAAA=&#10;" strokecolor="black [3200]" strokeweight="2.25pt">
                    <v:stroke joinstyle="miter"/>
                  </v:line>
                  <v:group id="Group 165" o:spid="_x0000_s1532" style="position:absolute;left:320634;top:180748;width:7578086;height:4832411" coordorigin="-689589,180754" coordsize="7579300,4832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Flowchart: Alternate Process 166" o:spid="_x0000_s1533" type="#_x0000_t176" style="position:absolute;left:5215242;top:180754;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l51xQAA&#10;ANwAAAAPAAAAZHJzL2Rvd25yZXYueG1sRE9NawIxEL0L/ocwQi9Ssxa6yGoU0ZYWaYXaHvQ2bsbN&#10;6maybKJu/30jFLzN433OZNbaSlyo8aVjBcNBAoI4d7rkQsHP9+vjCIQPyBorx6TglzzMpt3OBDPt&#10;rvxFl00oRAxhn6ECE0KdSelzQxb9wNXEkTu4xmKIsCmkbvAaw20ln5IklRZLjg0Ga1oYyk+bs1Ww&#10;eMbRyoTtcf9WLbcvx925//G5Vuqh187HIAK14S7+d7/rOD9N4fZMvE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GXnXFAAAA3AAAAA8AAAAAAAAAAAAAAAAAlwIAAGRycy9k&#10;b3ducmV2LnhtbFBLBQYAAAAABAAEAPUAAACJAwAAAAA=&#10;" fillcolor="white [3201]" strokecolor="black [3213]" strokeweight="1pt">
                      <v:textbox>
                        <w:txbxContent>
                          <w:p w14:paraId="1B34F50D" w14:textId="77777777" w:rsidR="00C8402C" w:rsidRDefault="00C8402C" w:rsidP="005031E7">
                            <w:pPr>
                              <w:jc w:val="center"/>
                            </w:pPr>
                            <w:r>
                              <w:t>Learning priorities</w:t>
                            </w:r>
                          </w:p>
                        </w:txbxContent>
                      </v:textbox>
                    </v:shape>
                    <v:shape id="Flowchart: Alternate Process 167" o:spid="_x0000_s1534" type="#_x0000_t176" style="position:absolute;left:-605861;top:4110808;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vvuxQAA&#10;ANwAAAAPAAAAZHJzL2Rvd25yZXYueG1sRE9NawIxEL0X/A9hhF6kZlvQytYoYlsUsYK2B72Nm3Gz&#10;djNZNlG3/94IQm/zeJ8zHDe2FGeqfeFYwXM3AUGcOV1wruDn+/NpAMIHZI2lY1LwRx7Go9bDEFPt&#10;Lrym8ybkIoawT1GBCaFKpfSZIYu+6yriyB1cbTFEWOdS13iJ4baUL0nSlxYLjg0GK5oayn43J6tg&#10;2sPBwoTtcT8r37cfx92ps/xaKfXYbiZvIAI14V98d891nN9/hdsz8QI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K++7FAAAA3AAAAA8AAAAAAAAAAAAAAAAAlwIAAGRycy9k&#10;b3ducmV2LnhtbFBLBQYAAAAABAAEAPUAAACJAwAAAAA=&#10;" fillcolor="white [3201]" strokecolor="black [3213]" strokeweight="1pt">
                      <v:textbox>
                        <w:txbxContent>
                          <w:p w14:paraId="5F8DFE05" w14:textId="77777777" w:rsidR="00C8402C" w:rsidRDefault="00C8402C" w:rsidP="005031E7">
                            <w:pPr>
                              <w:jc w:val="center"/>
                            </w:pPr>
                            <w:r>
                              <w:t>Planning and monitoring</w:t>
                            </w:r>
                          </w:p>
                        </w:txbxContent>
                      </v:textbox>
                    </v:shape>
                    <v:shape id="Flowchart: Alternate Process 168" o:spid="_x0000_s1535" type="#_x0000_t176" style="position:absolute;left:2335640;top:3339914;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W+cyQAA&#10;ANwAAAAPAAAAZHJzL2Rvd25yZXYueG1sRI9PawJBDMXvhX6HIUIvRWdbqMjqKGKVllIL/jnoLd1J&#10;d9buZJadUbffvjkUekt4L+/9Mpl1vlYXamMV2MDDIANFXARbcWlgv1v1R6BiQrZYByYDPxRhNr29&#10;mWBuw5U3dNmmUkkIxxwNuJSaXOtYOPIYB6EhFu0rtB6TrG2pbYtXCfe1fsyyofZYsTQ4bGjhqPje&#10;nr2BxROO3lw6nD5f6ufD8nQ837+vP4y563XzMahEXfo3/12/WsEfCq08IxPo6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mFW+cyQAAANwAAAAPAAAAAAAAAAAAAAAAAJcCAABk&#10;cnMvZG93bnJldi54bWxQSwUGAAAAAAQABAD1AAAAjQMAAAAA&#10;" fillcolor="white [3201]" strokecolor="black [3213]" strokeweight="1pt">
                      <v:textbox>
                        <w:txbxContent>
                          <w:p w14:paraId="553B8EBF" w14:textId="77777777" w:rsidR="00C8402C" w:rsidRDefault="00C8402C" w:rsidP="005031E7">
                            <w:pPr>
                              <w:jc w:val="center"/>
                            </w:pPr>
                            <w:r>
                              <w:t>Supportive</w:t>
                            </w:r>
                          </w:p>
                        </w:txbxContent>
                      </v:textbox>
                    </v:shape>
                    <v:shape id="Flowchart: Alternate Process 169" o:spid="_x0000_s1536" type="#_x0000_t176" style="position:absolute;left:-605739;top:2032523;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coHxQAA&#10;ANwAAAAPAAAAZHJzL2Rvd25yZXYueG1sRE9NawIxEL0L/ocwQi+i2RYquhpFbEtL0UJtD3obN+Nm&#10;dTNZNlG3/74RBG/zeJ8zmTW2FGeqfeFYwWM/AUGcOV1wruD35603BOEDssbSMSn4Iw+zabs1wVS7&#10;C3/TeR1yEUPYp6jAhFClUvrMkEXfdxVx5PauthgirHOpa7zEcFvKpyQZSIsFxwaDFS0MZcf1ySpY&#10;POPw04TNYfdevmxeD9tTd7n6Uuqh08zHIAI14S6+uT90nD8YwfWZeIG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ZygfFAAAA3AAAAA8AAAAAAAAAAAAAAAAAlwIAAGRycy9k&#10;b3ducmV2LnhtbFBLBQYAAAAABAAEAPUAAACJAwAAAAA=&#10;" fillcolor="white [3201]" strokecolor="black [3213]" strokeweight="1pt">
                      <v:textbox>
                        <w:txbxContent>
                          <w:p w14:paraId="7A8649C5" w14:textId="77777777" w:rsidR="00C8402C" w:rsidRDefault="00C8402C" w:rsidP="005031E7">
                            <w:pPr>
                              <w:jc w:val="center"/>
                            </w:pPr>
                            <w:r>
                              <w:t>Progression</w:t>
                            </w:r>
                          </w:p>
                        </w:txbxContent>
                      </v:textbox>
                    </v:shape>
                    <v:shape id="Flowchart: Alternate Process 170" o:spid="_x0000_s1537" type="#_x0000_t176" style="position:absolute;left:1190847;top:180754;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vVHyQAA&#10;ANwAAAAPAAAAZHJzL2Rvd25yZXYueG1sRI9PTwJBDMXvJn6HSU28GJjVRCQLAzGokRAk4c8Bb3Wn&#10;7izudDY7A6zfnh5MvLV5r+/9Op52vlYnamMV2MB9PwNFXARbcWlgt33rDUHFhGyxDkwGfinCdHJ9&#10;NcbchjOv6bRJpZIQjjkacCk1udaxcOQx9kNDLNp3aD0mWdtS2xbPEu5r/ZBlA+2xYmlw2NDMUfGz&#10;OXoDs0ccLlzaH77e65f96+HzeLf8WBlze9M9j0Al6tK/+e96bgX/SfDlGZlATy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uvVHyQAAANwAAAAPAAAAAAAAAAAAAAAAAJcCAABk&#10;cnMvZG93bnJldi54bWxQSwUGAAAAAAQABAD1AAAAjQMAAAAA&#10;" fillcolor="white [3201]" strokecolor="black [3213]" strokeweight="1pt">
                      <v:textbox>
                        <w:txbxContent>
                          <w:p w14:paraId="149B5CC0" w14:textId="77777777" w:rsidR="00C8402C" w:rsidRDefault="00C8402C" w:rsidP="005031E7">
                            <w:pPr>
                              <w:jc w:val="center"/>
                            </w:pPr>
                            <w:r>
                              <w:t>Confidence and motivation</w:t>
                            </w:r>
                          </w:p>
                        </w:txbxContent>
                      </v:textbox>
                    </v:shape>
                    <v:shape id="Flowchart: Alternate Process 171" o:spid="_x0000_s1538" type="#_x0000_t176" style="position:absolute;left:5215290;top:2065537;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9lDcxQAA&#10;ANwAAAAPAAAAZHJzL2Rvd25yZXYueG1sRE9NawIxEL0L/Q9hCr2IZhWsshqlqKWlaKHqwd6mm+lm&#10;dTNZNlG3/94UBG/zeJ8zmTW2FGeqfeFYQa+bgCDOnC44V7DbvnZGIHxA1lg6JgV/5GE2fWhNMNXu&#10;wl903oRcxBD2KSowIVSplD4zZNF3XUUcuV9XWwwR1rnUNV5iuC1lP0mepcWCY4PBiuaGsuPmZBXM&#10;Bzj6MGF/+HkrF/vl4fvUXq0/lXp6bF7GIAI14S6+ud91nD/swf8z8QI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2UNzFAAAA3AAAAA8AAAAAAAAAAAAAAAAAlwIAAGRycy9k&#10;b3ducmV2LnhtbFBLBQYAAAAABAAEAPUAAACJAwAAAAA=&#10;" fillcolor="white [3201]" strokecolor="black [3213]" strokeweight="1pt">
                      <v:textbox>
                        <w:txbxContent>
                          <w:p w14:paraId="297BEBC8" w14:textId="77777777" w:rsidR="00C8402C" w:rsidRDefault="00C8402C" w:rsidP="005031E7">
                            <w:pPr>
                              <w:jc w:val="center"/>
                            </w:pPr>
                            <w:r>
                              <w:t>Self-evaluation</w:t>
                            </w:r>
                          </w:p>
                        </w:txbxContent>
                      </v:textbox>
                    </v:shape>
                    <v:shape id="Straight Arrow Connector 172" o:spid="_x0000_s1539" type="#_x0000_t32" style="position:absolute;left:2028058;top:1083279;width:1144792;height:225663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KnJMMAAADcAAAADwAAAGRycy9kb3ducmV2LnhtbERP22oCMRB9L/gPYQTfaqKUdlmNUopC&#10;QbD1Sh+nm+nu0s1kSeK6/fumUPBtDuc682VvG9GRD7VjDZOxAkFcOFNzqeF4WN9nIEJENtg4Jg0/&#10;FGC5GNzNMTfuyjvq9rEUKYRDjhqqGNtcylBUZDGMXUucuC/nLcYEfSmNx2sKt42cKvUoLdacGips&#10;6aWi4nt/sRqUb9/rj3NmtqeNmjxk2dt59dlpPRr2zzMQkfp4E/+7X02a/zSFv2fSB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SpyTDAAAA3AAAAA8AAAAAAAAAAAAA&#10;AAAAoQIAAGRycy9kb3ducmV2LnhtbFBLBQYAAAAABAAEAPkAAACRAwAAAAA=&#10;" strokecolor="black [3200]" strokeweight="6pt">
                      <v:stroke endarrow="block" joinstyle="miter"/>
                    </v:shape>
                    <v:line id="Straight Connector 173" o:spid="_x0000_s1540" style="position:absolute;flip:x y;visibility:visible;mso-wrap-style:square" from="6052453,1083279" to="6052501,2065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3i08AAAADcAAAADwAAAGRycy9kb3ducmV2LnhtbERPTYvCMBC9C/6HMAveNF0FV7pGWRVF&#10;vFn1PjRjW2wmsYm2/vvNgrC3ebzPmS87U4snNb6yrOBzlIAgzq2uuFBwPm2HMxA+IGusLZOCF3lY&#10;Lvq9OabatnykZxYKEUPYp6igDMGlUvq8JIN+ZB1x5K62MRgibAqpG2xjuKnlOEmm0mDFsaFER+uS&#10;8lv2MAq0b3Fz3F9nbuVW4T497C63bKzU4KP7+QYRqAv/4rd7r+P8rwn8PRMvkIt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Q94tPAAAAA3AAAAA8AAAAAAAAAAAAAAAAA&#10;oQIAAGRycy9kb3ducmV2LnhtbFBLBQYAAAAABAAEAPkAAACOAwAAAAA=&#10;" strokecolor="black [3200]" strokeweight="6pt">
                      <v:stroke joinstyle="miter"/>
                    </v:line>
                    <v:line id="Straight Connector 174" o:spid="_x0000_s1541" style="position:absolute;flip:y;visibility:visible;mso-wrap-style:square" from="4009670,2968027" to="6051939,379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hk5MMAAADcAAAADwAAAGRycy9kb3ducmV2LnhtbESPT2sCMRDF7wW/Qxiht5rVSpXVKCKV&#10;9upf9DZsxt3FzWRJosZ+elMo9DbDe783b6bzaBpxI+drywr6vQwEcWF1zaWC3Xb1NgbhA7LGxjIp&#10;eJCH+azzMsVc2zuv6bYJpUgh7HNUUIXQ5lL6oiKDvmdb4qSdrTMY0upKqR3eU7hp5CDLPqTBmtOF&#10;CltaVlRcNleTahzb0+oaHz8uOwz3n+eI/usdlXrtxsUERKAY/s1/9LdO3GgIv8+kCeTs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IZOTDAAAA3AAAAA8AAAAAAAAAAAAA&#10;AAAAoQIAAGRycy9kb3ducmV2LnhtbFBLBQYAAAAABAAEAPkAAACRAwAAAAA=&#10;" strokecolor="black [3200]" strokeweight="2.25pt">
                      <v:stroke joinstyle="miter"/>
                    </v:line>
                    <v:shape id="Straight Arrow Connector 175" o:spid="_x0000_s1542" type="#_x0000_t32" style="position:absolute;left:2865268;top:632017;width:234997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xbnsMAAADcAAAADwAAAGRycy9kb3ducmV2LnhtbERPTWvCQBC9C/6HZYReRDcJ1NY0myBC&#10;aU8VbfA8ZMckNDsbstuY+uu7BaG3ebzPyYrJdGKkwbWWFcTrCARxZXXLtYLy83X1DMJ5ZI2dZVLw&#10;Qw6KfD7LMNX2ykcaT74WIYRdigoa7/tUSlc1ZNCtbU8cuIsdDPoAh1rqAa8h3HQyiaKNNNhyaGiw&#10;p31D1dfp2yhIShy7w7I9nm+l/tgm8Vt527BSD4tp9wLC0+T/xXf3uw7znx7h75lwgc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sW57DAAAA3AAAAA8AAAAAAAAAAAAA&#10;AAAAoQIAAGRycy9kb3ducmV2LnhtbFBLBQYAAAAABAAEAPkAAACRAwAAAAA=&#10;" strokecolor="black [3200]" strokeweight=".5pt">
                      <v:stroke startarrow="block" endarrow="block" joinstyle="miter"/>
                    </v:shape>
                    <v:shape id="Straight Arrow Connector 176" o:spid="_x0000_s1543" type="#_x0000_t32" style="position:absolute;left:2864972;top:1041969;width:2349334;height:10982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EJT8MAAADcAAAADwAAAGRycy9kb3ducmV2LnhtbERPS2sCMRC+C/0PYQpeRLO1+GBrFCmI&#10;9iDiq+dhM91s3UyWTXTXf98UBG/z8T1ntmhtKW5U+8KxgrdBAoI4c7rgXMHpuOpPQfiArLF0TAru&#10;5GExf+nMMNWu4T3dDiEXMYR9igpMCFUqpc8MWfQDVxFH7sfVFkOEdS51jU0Mt6UcJslYWiw4Nhis&#10;6NNQdjlcrQI52mtzbXh77LnzdvP1vf69796V6r62yw8QgdrwFD/cGx3nT8bw/0y8Q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BCU/DAAAA3AAAAA8AAAAAAAAAAAAA&#10;AAAAoQIAAGRycy9kb3ducmV2LnhtbFBLBQYAAAAABAAEAPkAAACRAwAAAAA=&#10;" strokecolor="black [3200]" strokeweight="6pt">
                      <v:stroke startarrow="block" endarrow="block" joinstyle="miter"/>
                    </v:shape>
                    <v:shape id="Straight Arrow Connector 177" o:spid="_x0000_s1544" type="#_x0000_t32" style="position:absolute;left:231350;top:2935048;width:122;height:117576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3kyMAAAADcAAAADwAAAGRycy9kb3ducmV2LnhtbERP24rCMBB9X/Afwiz4tqar4KU2igiK&#10;uLCg9QOGZnrBZlKSqPXvjbCwb3M418nWvWnFnZxvLCv4HiUgiAurG64UXPLd1xyED8gaW8uk4Eke&#10;1qvBR4aptg8+0f0cKhFD2KeooA6hS6X0RU0G/ch2xJErrTMYInSV1A4fMdy0cpwkU2mw4dhQY0fb&#10;morr+WYU5Ojs8eeAFebt/ndSLKZ8LY9KDT/7zRJEoD78i//cBx3nz2bwfiZeIF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Ct5MjAAAAA3AAAAA8AAAAAAAAAAAAAAAAA&#10;oQIAAGRycy9kb3ducmV2LnhtbFBLBQYAAAAABAAEAPkAAACOAwAAAAA=&#10;" strokecolor="black [3200]" strokeweight="6pt">
                      <v:stroke startarrow="block" endarrow="block" joinstyle="miter"/>
                    </v:shape>
                    <v:shape id="_x0000_s1545" type="#_x0000_t202" style="position:absolute;left:3345150;top:344397;width:965974;height:508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dRjwwAA&#10;ANwAAAAPAAAAZHJzL2Rvd25yZXYueG1sRI9Bi8JADIXvwv6HIcLedKoFleoorrIg4kXdwx5DJ7bF&#10;TqZ0Zm3335uD4C3hvbz3ZbXpXa0e1IbKs4HJOAFFnHtbcWHg5/o9WoAKEdli7ZkM/FOAzfpjsMLM&#10;+o7P9LjEQkkIhwwNlDE2mdYhL8lhGPuGWLSbbx1GWdtC2xY7CXe1nibJTDusWBpKbGhXUn6//DkD&#10;x5Tuv2kRTqG7faUHm+xP9XFvzOew3y5BRerj2/y6PljBnwutPCMT6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WdRjwwAAANwAAAAPAAAAAAAAAAAAAAAAAJcCAABkcnMvZG93&#10;bnJldi54bWxQSwUGAAAAAAQABAD1AAAAhwMAAAAA&#10;" fillcolor="white [3201]" strokecolor="black [3200]" strokeweight="1pt">
                      <v:textbox>
                        <w:txbxContent>
                          <w:p w14:paraId="3776D463" w14:textId="77777777" w:rsidR="00C8402C" w:rsidRDefault="00C8402C" w:rsidP="005031E7">
                            <w:pPr>
                              <w:rPr>
                                <w:sz w:val="18"/>
                                <w:szCs w:val="18"/>
                              </w:rPr>
                            </w:pPr>
                            <w:r w:rsidRPr="00071A11">
                              <w:rPr>
                                <w:sz w:val="18"/>
                                <w:szCs w:val="18"/>
                              </w:rPr>
                              <w:t xml:space="preserve">BPF: R4, </w:t>
                            </w:r>
                            <w:r>
                              <w:rPr>
                                <w:sz w:val="18"/>
                                <w:szCs w:val="18"/>
                              </w:rPr>
                              <w:t>L8</w:t>
                            </w:r>
                          </w:p>
                          <w:p w14:paraId="64BEBE11" w14:textId="77777777" w:rsidR="00C8402C" w:rsidRPr="00071A11" w:rsidRDefault="00C8402C" w:rsidP="005031E7">
                            <w:pPr>
                              <w:rPr>
                                <w:sz w:val="18"/>
                                <w:szCs w:val="18"/>
                              </w:rPr>
                            </w:pPr>
                            <w:r w:rsidRPr="00071A11">
                              <w:rPr>
                                <w:sz w:val="18"/>
                                <w:szCs w:val="18"/>
                              </w:rPr>
                              <w:t>SRLF: M8, O8</w:t>
                            </w:r>
                          </w:p>
                          <w:p w14:paraId="048E85CB" w14:textId="77777777" w:rsidR="00C8402C" w:rsidRPr="00071A11" w:rsidRDefault="00C8402C" w:rsidP="005031E7">
                            <w:pPr>
                              <w:rPr>
                                <w:sz w:val="18"/>
                                <w:szCs w:val="18"/>
                              </w:rPr>
                            </w:pPr>
                          </w:p>
                        </w:txbxContent>
                      </v:textbox>
                    </v:shape>
                    <v:shape id="_x0000_s1546" type="#_x0000_t202" style="position:absolute;left:-689589;top:3274557;width:1677474;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hCxQAA&#10;ANwAAAAPAAAAZHJzL2Rvd25yZXYueG1sRI/NasNADITvgbzDokBuyTo1lOB6E9qEQDC+NO2hR+GV&#10;f4hXa7zb2H376lDoTWJGM5/y4+x69aAxdJ4N7LYJKOLK244bA58fl80eVIjIFnvPZOCHAhwPy0WO&#10;mfUTv9PjFhslIRwyNNDGOGRah6olh2HrB2LRaj86jLKOjbYjThLuev2UJM/aYcfS0OJAp5aq++3b&#10;GShSun+lTSjDVL+lV5ucy744G7Neza8voCLN8d/8d321gr8XfHlGJtCH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6qELFAAAA3AAAAA8AAAAAAAAAAAAAAAAAlwIAAGRycy9k&#10;b3ducmV2LnhtbFBLBQYAAAAABAAEAPUAAACJAwAAAAA=&#10;" fillcolor="white [3201]" strokecolor="black [3200]" strokeweight="1pt">
                      <v:textbox>
                        <w:txbxContent>
                          <w:p w14:paraId="64AACC85" w14:textId="77777777" w:rsidR="00C8402C" w:rsidRPr="00071A11" w:rsidRDefault="00C8402C" w:rsidP="005031E7">
                            <w:pPr>
                              <w:rPr>
                                <w:sz w:val="18"/>
                                <w:szCs w:val="18"/>
                              </w:rPr>
                            </w:pPr>
                            <w:r w:rsidRPr="00071A11">
                              <w:rPr>
                                <w:sz w:val="18"/>
                                <w:szCs w:val="18"/>
                              </w:rPr>
                              <w:t>BPF: D9</w:t>
                            </w:r>
                            <w:r>
                              <w:rPr>
                                <w:sz w:val="18"/>
                                <w:szCs w:val="18"/>
                              </w:rPr>
                              <w:t>, T8</w:t>
                            </w:r>
                          </w:p>
                          <w:p w14:paraId="077509EC" w14:textId="77777777" w:rsidR="00C8402C" w:rsidRPr="00071A11" w:rsidRDefault="00C8402C" w:rsidP="005031E7">
                            <w:pPr>
                              <w:rPr>
                                <w:sz w:val="18"/>
                                <w:szCs w:val="18"/>
                              </w:rPr>
                            </w:pPr>
                            <w:r w:rsidRPr="00071A11">
                              <w:rPr>
                                <w:sz w:val="18"/>
                                <w:szCs w:val="18"/>
                              </w:rPr>
                              <w:t>SRLF: A9, B5, C9, I5, J5</w:t>
                            </w:r>
                            <w:r>
                              <w:rPr>
                                <w:sz w:val="18"/>
                                <w:szCs w:val="18"/>
                              </w:rPr>
                              <w:t>, T9</w:t>
                            </w:r>
                          </w:p>
                        </w:txbxContent>
                      </v:textbox>
                    </v:shape>
                    <v:shape id="_x0000_s1547" type="#_x0000_t202" style="position:absolute;left:1685052;top:1552350;width:1263819;height:6684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g3ZvgAA&#10;ANwAAAAPAAAAZHJzL2Rvd25yZXYueG1sRE/JCsIwEL0L/kMYwZumWhCpRnFBEPHicvA4NGNbbCal&#10;ibb+vREEb/N468yXrSnFi2pXWFYwGkYgiFOrC84UXC+7wRSE88gaS8uk4E0OlotuZ46Jtg2f6HX2&#10;mQgh7BJUkHtfJVK6NCeDbmgr4sDdbW3QB1hnUtfYhHBTynEUTaTBgkNDjhVtckof56dRcIjpcYsz&#10;d3TNfR3vdbQ9loetUv1eu5qB8NT6v/jn3uswfzqC7zPhAr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7YN2b4AAADcAAAADwAAAAAAAAAAAAAAAACXAgAAZHJzL2Rvd25yZXYu&#10;eG1sUEsFBgAAAAAEAAQA9QAAAIIDAAAAAA==&#10;" fillcolor="white [3201]" strokecolor="black [3200]" strokeweight="1pt">
                      <v:textbox>
                        <w:txbxContent>
                          <w:p w14:paraId="1985B12D" w14:textId="77777777" w:rsidR="00C8402C" w:rsidRPr="00071A11" w:rsidRDefault="00C8402C" w:rsidP="005031E7">
                            <w:pPr>
                              <w:rPr>
                                <w:sz w:val="18"/>
                                <w:szCs w:val="18"/>
                              </w:rPr>
                            </w:pPr>
                            <w:r w:rsidRPr="00071A11">
                              <w:rPr>
                                <w:sz w:val="18"/>
                                <w:szCs w:val="18"/>
                              </w:rPr>
                              <w:t>BPF: N8, H6</w:t>
                            </w:r>
                          </w:p>
                          <w:p w14:paraId="38EAD694" w14:textId="77777777" w:rsidR="00C8402C" w:rsidRPr="00071A11" w:rsidRDefault="00C8402C" w:rsidP="005031E7">
                            <w:pPr>
                              <w:rPr>
                                <w:sz w:val="18"/>
                                <w:szCs w:val="18"/>
                              </w:rPr>
                            </w:pPr>
                            <w:r w:rsidRPr="00071A11">
                              <w:rPr>
                                <w:sz w:val="18"/>
                                <w:szCs w:val="18"/>
                              </w:rPr>
                              <w:t>SRLF: A8, C8, G8</w:t>
                            </w:r>
                            <w:r>
                              <w:rPr>
                                <w:sz w:val="18"/>
                                <w:szCs w:val="18"/>
                              </w:rPr>
                              <w:t>, K6, E6, D6</w:t>
                            </w:r>
                          </w:p>
                        </w:txbxContent>
                      </v:textbox>
                    </v:shape>
                    <v:shape id="_x0000_s1548" type="#_x0000_t202" style="position:absolute;left:5345674;top:1238838;width:1474651;height:6385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DY1vgAA&#10;ANwAAAAPAAAAZHJzL2Rvd25yZXYueG1sRE/JCsIwEL0L/kMYwZumWhCpRnFBEPHicvA4NGNbbCal&#10;ibb+vREEb/N468yXrSnFi2pXWFYwGkYgiFOrC84UXC+7wRSE88gaS8uk4E0OlotuZ46Jtg2f6HX2&#10;mQgh7BJUkHtfJVK6NCeDbmgr4sDdbW3QB1hnUtfYhHBTynEUTaTBgkNDjhVtckof56dRcIjpcYsz&#10;d3TNfR3vdbQ9loetUv1eu5qB8NT6v/jn3uswfxrD95lwgVx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Cg2Nb4AAADcAAAADwAAAAAAAAAAAAAAAACXAgAAZHJzL2Rvd25yZXYu&#10;eG1sUEsFBgAAAAAEAAQA9QAAAIIDAAAAAA==&#10;" fillcolor="white [3201]" strokecolor="black [3200]" strokeweight="1pt">
                      <v:textbox>
                        <w:txbxContent>
                          <w:p w14:paraId="60A446E1" w14:textId="77777777" w:rsidR="00C8402C" w:rsidRPr="00071A11" w:rsidRDefault="00C8402C" w:rsidP="005031E7">
                            <w:pPr>
                              <w:rPr>
                                <w:sz w:val="18"/>
                                <w:szCs w:val="18"/>
                              </w:rPr>
                            </w:pPr>
                            <w:r w:rsidRPr="00071A11">
                              <w:rPr>
                                <w:sz w:val="18"/>
                                <w:szCs w:val="18"/>
                              </w:rPr>
                              <w:t>BPF: E4</w:t>
                            </w:r>
                          </w:p>
                          <w:p w14:paraId="19401E00" w14:textId="77777777" w:rsidR="00C8402C" w:rsidRPr="00071A11" w:rsidRDefault="00C8402C" w:rsidP="005031E7">
                            <w:pPr>
                              <w:rPr>
                                <w:sz w:val="18"/>
                                <w:szCs w:val="18"/>
                              </w:rPr>
                            </w:pPr>
                            <w:r w:rsidRPr="00071A11">
                              <w:rPr>
                                <w:sz w:val="18"/>
                                <w:szCs w:val="18"/>
                              </w:rPr>
                              <w:t>SRLF: A10, P4, Q4, W4, O10</w:t>
                            </w:r>
                            <w:r>
                              <w:rPr>
                                <w:sz w:val="18"/>
                                <w:szCs w:val="18"/>
                              </w:rPr>
                              <w:t>, C4</w:t>
                            </w:r>
                          </w:p>
                        </w:txbxContent>
                      </v:textbox>
                    </v:shape>
                    <v:shape id="_x0000_s1549" type="#_x0000_t202" style="position:absolute;left:3220361;top:1339628;width:1493536;height:499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a5BwQAA&#10;ANwAAAAPAAAAZHJzL2Rvd25yZXYueG1sRE9Li8IwEL4L/ocwgjdNtcsi1VR8IIh4WXcPHodmbEub&#10;SWmirf/eLAje5uN7zmrdm1o8qHWlZQWzaQSCOLO65FzB3+9hsgDhPLLG2jIpeJKDdTocrDDRtuMf&#10;elx8LkIIuwQVFN43iZQuK8igm9qGOHA32xr0Aba51C12IdzUch5F39JgyaGhwIZ2BWXV5W4UnGKq&#10;rnHuzq67beOjjvbn+rRXajzqN0sQnnr/Eb/dRx3mL77g/5lwgUx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8GuQcEAAADcAAAADwAAAAAAAAAAAAAAAACXAgAAZHJzL2Rvd25y&#10;ZXYueG1sUEsFBgAAAAAEAAQA9QAAAIUDAAAAAA==&#10;" fillcolor="white [3201]" strokecolor="black [3200]" strokeweight="1pt">
                      <v:textbox>
                        <w:txbxContent>
                          <w:p w14:paraId="5FDC6BAF" w14:textId="77777777" w:rsidR="00C8402C" w:rsidRPr="00071A11" w:rsidRDefault="00C8402C" w:rsidP="005031E7">
                            <w:pPr>
                              <w:rPr>
                                <w:sz w:val="18"/>
                                <w:szCs w:val="18"/>
                              </w:rPr>
                            </w:pPr>
                            <w:r w:rsidRPr="00071A11">
                              <w:rPr>
                                <w:sz w:val="18"/>
                                <w:szCs w:val="18"/>
                              </w:rPr>
                              <w:t xml:space="preserve">BPF: </w:t>
                            </w:r>
                            <w:r>
                              <w:rPr>
                                <w:sz w:val="18"/>
                                <w:szCs w:val="18"/>
                              </w:rPr>
                              <w:t>E10, J10, M8</w:t>
                            </w:r>
                          </w:p>
                          <w:p w14:paraId="261C0BD1" w14:textId="77777777" w:rsidR="00C8402C" w:rsidRPr="00071A11" w:rsidRDefault="00C8402C" w:rsidP="005031E7">
                            <w:pPr>
                              <w:rPr>
                                <w:sz w:val="18"/>
                                <w:szCs w:val="18"/>
                              </w:rPr>
                            </w:pPr>
                            <w:r w:rsidRPr="00071A11">
                              <w:rPr>
                                <w:sz w:val="18"/>
                                <w:szCs w:val="18"/>
                              </w:rPr>
                              <w:t xml:space="preserve">SRLF: </w:t>
                            </w:r>
                            <w:r>
                              <w:rPr>
                                <w:sz w:val="18"/>
                                <w:szCs w:val="18"/>
                              </w:rPr>
                              <w:t>C10, D8, F8, E8, V8</w:t>
                            </w:r>
                          </w:p>
                        </w:txbxContent>
                      </v:textbox>
                    </v:shape>
                    <v:shape id="_x0000_s1550" type="#_x0000_t202" style="position:absolute;left:4310276;top:3117055;width:1330280;height:54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QvawQAA&#10;ANwAAAAPAAAAZHJzL2Rvd25yZXYueG1sRE9Li8IwEL4L/ocwgjdNtewi1VR8IIh4WXcPHodmbEub&#10;SWmirf/eLAje5uN7zmrdm1o8qHWlZQWzaQSCOLO65FzB3+9hsgDhPLLG2jIpeJKDdTocrDDRtuMf&#10;elx8LkIIuwQVFN43iZQuK8igm9qGOHA32xr0Aba51C12IdzUch5F39JgyaGhwIZ2BWXV5W4UnGKq&#10;rnHuzq67beOjjvbn+rRXajzqN0sQnnr/Eb/dRx3mL77g/5lwgUx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I0L2sEAAADcAAAADwAAAAAAAAAAAAAAAACXAgAAZHJzL2Rvd25y&#10;ZXYueG1sUEsFBgAAAAAEAAQA9QAAAIUDAAAAAA==&#10;" fillcolor="white [3201]" strokecolor="black [3200]" strokeweight="1pt">
                      <v:textbox>
                        <w:txbxContent>
                          <w:p w14:paraId="5A125D09" w14:textId="77777777" w:rsidR="00C8402C" w:rsidRPr="00071A11" w:rsidRDefault="00C8402C" w:rsidP="005031E7">
                            <w:pPr>
                              <w:rPr>
                                <w:sz w:val="18"/>
                              </w:rPr>
                            </w:pPr>
                            <w:r w:rsidRPr="00071A11">
                              <w:rPr>
                                <w:sz w:val="18"/>
                              </w:rPr>
                              <w:t xml:space="preserve">BPF: </w:t>
                            </w:r>
                            <w:r>
                              <w:rPr>
                                <w:sz w:val="18"/>
                              </w:rPr>
                              <w:t>L10</w:t>
                            </w:r>
                          </w:p>
                          <w:p w14:paraId="0D87FC69" w14:textId="77777777" w:rsidR="00C8402C" w:rsidRPr="00071A11" w:rsidRDefault="00C8402C" w:rsidP="005031E7">
                            <w:pPr>
                              <w:rPr>
                                <w:sz w:val="18"/>
                              </w:rPr>
                            </w:pPr>
                            <w:r w:rsidRPr="00071A11">
                              <w:rPr>
                                <w:sz w:val="18"/>
                              </w:rPr>
                              <w:t xml:space="preserve">SRLF: </w:t>
                            </w:r>
                            <w:r>
                              <w:rPr>
                                <w:sz w:val="18"/>
                              </w:rPr>
                              <w:t>O10, F1, S6, F10</w:t>
                            </w:r>
                          </w:p>
                        </w:txbxContent>
                      </v:textbox>
                    </v:shape>
                    <v:shape id="_x0000_s1551" type="#_x0000_t202" style="position:absolute;left:343175;top:1340567;width:1211442;height:498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aDewgAA&#10;ANwAAAAPAAAAZHJzL2Rvd25yZXYueG1sRE9La8JAEL4X/A/LCN7qxh60RtcgQqHUU23reciOm5js&#10;bMhuHvrr3UKht/n4nrPNRluLnlpfOlawmCcgiHOnSzYKvr/enl9B+ICssXZMCm7kIdtNnraYajfw&#10;J/WnYEQMYZ+igiKEJpXS5wVZ9HPXEEfu4lqLIcLWSN3iEMNtLV+SZCktlhwbCmzoUFBenTqroFns&#10;jfm4n8vlfXUxw89wrbrjVanZdNxvQAQaw7/4z/2u4/zVGn6fiRfI3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toN7CAAAA3AAAAA8AAAAAAAAAAAAAAAAAlwIAAGRycy9kb3du&#10;cmV2LnhtbFBLBQYAAAAABAAEAPUAAACGAwAAAAA=&#10;" fillcolor="white [3212]" strokecolor="black [3200]" strokeweight="1pt">
                      <v:textbox>
                        <w:txbxContent>
                          <w:p w14:paraId="69009A67" w14:textId="77777777" w:rsidR="00C8402C" w:rsidRPr="00071A11" w:rsidRDefault="00C8402C" w:rsidP="005031E7">
                            <w:pPr>
                              <w:rPr>
                                <w:sz w:val="18"/>
                                <w:szCs w:val="18"/>
                              </w:rPr>
                            </w:pPr>
                            <w:r w:rsidRPr="00071A11">
                              <w:rPr>
                                <w:sz w:val="18"/>
                                <w:szCs w:val="18"/>
                              </w:rPr>
                              <w:t>BPF: F5, S8, K10</w:t>
                            </w:r>
                          </w:p>
                          <w:p w14:paraId="57303D6E" w14:textId="77777777" w:rsidR="00C8402C" w:rsidRPr="00071A11" w:rsidRDefault="00C8402C" w:rsidP="005031E7">
                            <w:pPr>
                              <w:rPr>
                                <w:sz w:val="18"/>
                                <w:szCs w:val="18"/>
                              </w:rPr>
                            </w:pPr>
                            <w:r w:rsidRPr="00071A11">
                              <w:rPr>
                                <w:sz w:val="18"/>
                                <w:szCs w:val="18"/>
                              </w:rPr>
                              <w:t>SRLF: F8, N10</w:t>
                            </w:r>
                            <w:r>
                              <w:rPr>
                                <w:sz w:val="18"/>
                                <w:szCs w:val="18"/>
                              </w:rPr>
                              <w:t>, C5</w:t>
                            </w:r>
                          </w:p>
                        </w:txbxContent>
                      </v:textbox>
                    </v:shape>
                  </v:group>
                  <v:shape id="Straight Arrow Connector 186" o:spid="_x0000_s1552" type="#_x0000_t32" style="position:absolute;left:2078624;top:2483700;width:4145943;height:330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aw/8IAAADcAAAADwAAAGRycy9kb3ducmV2LnhtbERPTWuDQBC9F/Iflgn01qwNVFLrGqIh&#10;kObWJPQ8uFOVurPqbtT++24h0Ns83uek29m0YqTBNZYVPK8iEMSl1Q1XCq6Xw9MGhPPIGlvLpOCH&#10;HGyzxUOKibYTf9B49pUIIewSVFB73yVSurImg25lO+LAfdnBoA9wqKQecArhppXrKIqlwYZDQ40d&#10;FTWV3+ebUTCh/3zNd1Vf5Pv34/zS9vHlelLqcTnv3kB4mv2/+O4+6jB/E8PfM+ECm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jaw/8IAAADcAAAADwAAAAAAAAAAAAAA&#10;AAChAgAAZHJzL2Rvd25yZXYueG1sUEsFBgAAAAAEAAQA+QAAAJADAAAAAA==&#10;" strokecolor="black [3200]" strokeweight=".5pt">
                    <v:stroke endarrow="block" joinstyle="miter"/>
                  </v:shape>
                  <v:line id="Straight Connector 187" o:spid="_x0000_s1553" style="position:absolute;visibility:visible;mso-wrap-style:square" from="2078303,2861919" to="3420094,336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2jxsMAAADcAAAADwAAAGRycy9kb3ducmV2LnhtbERP32vCMBB+H+x/CDfYy9BUBa2dUUQc&#10;DBy61bDno7m1Zc2lNJnW/94MBN/u4/t5i1VvG3GizteOFYyGCQjiwpmaSwX6+DZIQfiAbLBxTAou&#10;5GG1fHxYYGbcmb/olIdSxBD2GSqoQmgzKX1RkUU/dC1x5H5cZzFE2JXSdHiO4baR4ySZSos1x4YK&#10;W9pUVPzmf1bBTs+/XyaHVGt7zPf4qevt4WOj1PNTv34FEagPd/HN/W7i/HQG/8/EC+Ty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9o8bDAAAA3AAAAA8AAAAAAAAAAAAA&#10;AAAAoQIAAGRycy9kb3ducmV2LnhtbFBLBQYAAAAABAAEAPkAAACRAwAAAAA=&#10;" strokecolor="black [3200]" strokeweight=".5pt">
                    <v:stroke joinstyle="miter"/>
                  </v:line>
                  <v:shape id="_x0000_s1554" type="#_x0000_t202" style="position:absolute;left:2198284;top:2862918;width:945889;height:499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KRExQAA&#10;ANwAAAAPAAAAZHJzL2Rvd25yZXYueG1sRI/NasNADITvgbzDokBuyTo1lOB6E9qEQDC+NO2hR+GV&#10;f4hXa7zb2H376lDoTWJGM5/y4+x69aAxdJ4N7LYJKOLK244bA58fl80eVIjIFnvPZOCHAhwPy0WO&#10;mfUTv9PjFhslIRwyNNDGOGRah6olh2HrB2LRaj86jLKOjbYjThLuev2UJM/aYcfS0OJAp5aq++3b&#10;GShSun+lTSjDVL+lV5ucy744G7Neza8voCLN8d/8d321gr8XWnlGJtCH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MpETFAAAA3AAAAA8AAAAAAAAAAAAAAAAAlwIAAGRycy9k&#10;b3ducmV2LnhtbFBLBQYAAAAABAAEAPUAAACJAwAAAAA=&#10;" fillcolor="white [3201]" strokecolor="black [3200]" strokeweight="1pt">
                    <v:textbox>
                      <w:txbxContent>
                        <w:p w14:paraId="38B7D26C" w14:textId="77777777" w:rsidR="00C8402C" w:rsidRPr="00071A11" w:rsidRDefault="00C8402C" w:rsidP="005031E7">
                          <w:pPr>
                            <w:rPr>
                              <w:sz w:val="18"/>
                              <w:szCs w:val="18"/>
                            </w:rPr>
                          </w:pPr>
                          <w:r w:rsidRPr="00071A11">
                            <w:rPr>
                              <w:sz w:val="18"/>
                              <w:szCs w:val="18"/>
                            </w:rPr>
                            <w:t xml:space="preserve">BPF: </w:t>
                          </w:r>
                          <w:r>
                            <w:rPr>
                              <w:sz w:val="18"/>
                              <w:szCs w:val="18"/>
                            </w:rPr>
                            <w:t>B7, T6</w:t>
                          </w:r>
                        </w:p>
                        <w:p w14:paraId="7F1048F4" w14:textId="77777777" w:rsidR="00C8402C" w:rsidRPr="00071A11" w:rsidRDefault="00C8402C" w:rsidP="005031E7">
                          <w:pPr>
                            <w:rPr>
                              <w:sz w:val="18"/>
                              <w:szCs w:val="18"/>
                            </w:rPr>
                          </w:pPr>
                          <w:r>
                            <w:rPr>
                              <w:sz w:val="18"/>
                              <w:szCs w:val="18"/>
                            </w:rPr>
                            <w:t>SRLF: A7</w:t>
                          </w:r>
                        </w:p>
                      </w:txbxContent>
                    </v:textbox>
                  </v:shape>
                </v:group>
                <v:shape id="_x0000_s1555" type="#_x0000_t202" style="position:absolute;left:4185276;top:2351776;width:1135270;height:276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NDPvgAA&#10;ANwAAAAPAAAAZHJzL2Rvd25yZXYueG1sRE/JCsIwEL0L/kMYwZumWhCpRnFBEPHicvA4NGNbbCal&#10;ibb+vREEb/N468yXrSnFi2pXWFYwGkYgiFOrC84UXC+7wRSE88gaS8uk4E0OlotuZ46Jtg2f6HX2&#10;mQgh7BJUkHtfJVK6NCeDbmgr4sDdbW3QB1hnUtfYhHBTynEUTaTBgkNDjhVtckof56dRcIjpcYsz&#10;d3TNfR3vdbQ9loetUv1eu5qB8NT6v/jn3uswfxLD95lwgVx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4CTQz74AAADcAAAADwAAAAAAAAAAAAAAAACXAgAAZHJzL2Rvd25yZXYu&#10;eG1sUEsFBgAAAAAEAAQA9QAAAIIDAAAAAA==&#10;" fillcolor="white [3201]" strokecolor="black [3200]" strokeweight="1pt">
                  <v:textbox>
                    <w:txbxContent>
                      <w:p w14:paraId="211EC103" w14:textId="77777777" w:rsidR="00C8402C" w:rsidRPr="00071A11" w:rsidRDefault="00C8402C" w:rsidP="005031E7">
                        <w:pPr>
                          <w:rPr>
                            <w:sz w:val="18"/>
                            <w:szCs w:val="18"/>
                          </w:rPr>
                        </w:pPr>
                        <w:r w:rsidRPr="00071A11">
                          <w:rPr>
                            <w:sz w:val="18"/>
                            <w:szCs w:val="18"/>
                          </w:rPr>
                          <w:t xml:space="preserve">SRLF: </w:t>
                        </w:r>
                        <w:r>
                          <w:rPr>
                            <w:sz w:val="18"/>
                            <w:szCs w:val="18"/>
                          </w:rPr>
                          <w:t>A9, B9, L9</w:t>
                        </w:r>
                      </w:p>
                    </w:txbxContent>
                  </v:textbox>
                </v:shape>
              </v:group>
            </w:pict>
          </mc:Fallback>
        </mc:AlternateContent>
      </w:r>
      <w:r w:rsidR="00920A5A" w:rsidRPr="003726FE">
        <w:rPr>
          <w:b/>
          <w:sz w:val="32"/>
        </w:rPr>
        <w:t>Learning behaviours</w:t>
      </w:r>
      <w:r w:rsidRPr="003726FE">
        <w:rPr>
          <w:b/>
        </w:rPr>
        <w:br w:type="page"/>
      </w:r>
    </w:p>
    <w:p w14:paraId="52AD213B" w14:textId="7DD8F9A5" w:rsidR="005031E7" w:rsidRPr="003726FE" w:rsidRDefault="004D0D4B" w:rsidP="004D0D4B">
      <w:pPr>
        <w:jc w:val="center"/>
        <w:rPr>
          <w:b/>
          <w:sz w:val="32"/>
        </w:rPr>
      </w:pPr>
      <w:r w:rsidRPr="003726FE">
        <w:rPr>
          <w:b/>
          <w:sz w:val="32"/>
        </w:rPr>
        <w:lastRenderedPageBreak/>
        <w:t>Feedback behaviours</w:t>
      </w:r>
    </w:p>
    <w:p w14:paraId="56E0ACA0" w14:textId="163F2EAE" w:rsidR="005031E7" w:rsidRPr="003726FE" w:rsidRDefault="004D0D4B" w:rsidP="005031E7">
      <w:r w:rsidRPr="003726FE">
        <w:rPr>
          <w:noProof/>
          <w:lang w:eastAsia="en-GB"/>
        </w:rPr>
        <mc:AlternateContent>
          <mc:Choice Requires="wpg">
            <w:drawing>
              <wp:anchor distT="0" distB="0" distL="114300" distR="114300" simplePos="0" relativeHeight="251976704" behindDoc="0" locked="0" layoutInCell="1" allowOverlap="1" wp14:anchorId="4928D30B" wp14:editId="488CD828">
                <wp:simplePos x="0" y="0"/>
                <wp:positionH relativeFrom="column">
                  <wp:posOffset>109220</wp:posOffset>
                </wp:positionH>
                <wp:positionV relativeFrom="paragraph">
                  <wp:posOffset>162348</wp:posOffset>
                </wp:positionV>
                <wp:extent cx="8267700" cy="5143500"/>
                <wp:effectExtent l="0" t="0" r="19050" b="19050"/>
                <wp:wrapNone/>
                <wp:docPr id="479" name="Group 479"/>
                <wp:cNvGraphicFramePr/>
                <a:graphic xmlns:a="http://schemas.openxmlformats.org/drawingml/2006/main">
                  <a:graphicData uri="http://schemas.microsoft.com/office/word/2010/wordprocessingGroup">
                    <wpg:wgp>
                      <wpg:cNvGrpSpPr/>
                      <wpg:grpSpPr>
                        <a:xfrm>
                          <a:off x="0" y="0"/>
                          <a:ext cx="8267700" cy="5143500"/>
                          <a:chOff x="-724395" y="-326496"/>
                          <a:chExt cx="8755593" cy="5205201"/>
                        </a:xfrm>
                      </wpg:grpSpPr>
                      <wps:wsp>
                        <wps:cNvPr id="190" name="Straight Arrow Connector 190"/>
                        <wps:cNvCnPr>
                          <a:stCxn id="448" idx="2"/>
                          <a:endCxn id="271" idx="0"/>
                        </wps:cNvCnPr>
                        <wps:spPr>
                          <a:xfrm>
                            <a:off x="3484111" y="2671230"/>
                            <a:ext cx="1955829" cy="1305023"/>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191" name="Group 191"/>
                        <wpg:cNvGrpSpPr/>
                        <wpg:grpSpPr>
                          <a:xfrm>
                            <a:off x="-724395" y="-326496"/>
                            <a:ext cx="8755593" cy="5205201"/>
                            <a:chOff x="-724425" y="-326522"/>
                            <a:chExt cx="8755951" cy="5205624"/>
                          </a:xfrm>
                        </wpg:grpSpPr>
                        <wps:wsp>
                          <wps:cNvPr id="478" name="Straight Arrow Connector 478"/>
                          <wps:cNvCnPr>
                            <a:stCxn id="448" idx="1"/>
                            <a:endCxn id="343" idx="3"/>
                          </wps:cNvCnPr>
                          <wps:spPr>
                            <a:xfrm flipH="1">
                              <a:off x="949435" y="2220280"/>
                              <a:ext cx="1697887" cy="6334"/>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g:grpSp>
                          <wpg:cNvPr id="268" name="Group 268"/>
                          <wpg:cNvGrpSpPr/>
                          <wpg:grpSpPr>
                            <a:xfrm>
                              <a:off x="-724425" y="-326522"/>
                              <a:ext cx="8755951" cy="5205624"/>
                              <a:chOff x="-724425" y="-326522"/>
                              <a:chExt cx="8755951" cy="5205624"/>
                            </a:xfrm>
                          </wpg:grpSpPr>
                          <wps:wsp>
                            <wps:cNvPr id="270" name="Flowchart: Alternate Process 270"/>
                            <wps:cNvSpPr/>
                            <wps:spPr>
                              <a:xfrm>
                                <a:off x="6357105" y="1775447"/>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A05F6A0" w14:textId="77777777" w:rsidR="00C8402C" w:rsidRDefault="00C8402C" w:rsidP="005031E7">
                                  <w:pPr>
                                    <w:jc w:val="center"/>
                                  </w:pPr>
                                  <w:r>
                                    <w:t>Credibility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lowchart: Alternate Process 271"/>
                            <wps:cNvSpPr/>
                            <wps:spPr>
                              <a:xfrm>
                                <a:off x="4602951" y="3976576"/>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1699D4A" w14:textId="77777777" w:rsidR="00C8402C" w:rsidRDefault="00C8402C" w:rsidP="005031E7">
                                  <w:pPr>
                                    <w:jc w:val="center"/>
                                  </w:pPr>
                                  <w:r>
                                    <w:t>Learning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lowchart: Alternate Process 294"/>
                            <wps:cNvSpPr/>
                            <wps:spPr>
                              <a:xfrm>
                                <a:off x="1180222" y="3976577"/>
                                <a:ext cx="1674421" cy="90252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379179E" w14:textId="77777777" w:rsidR="00C8402C" w:rsidRDefault="00C8402C" w:rsidP="005031E7">
                                  <w:pPr>
                                    <w:jc w:val="center"/>
                                  </w:pPr>
                                  <w:r>
                                    <w:t>Self-evaluation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Flowchart: Alternate Process 343"/>
                            <wps:cNvSpPr/>
                            <wps:spPr>
                              <a:xfrm>
                                <a:off x="-724425" y="1775447"/>
                                <a:ext cx="1673860" cy="90233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E199CD2" w14:textId="77777777" w:rsidR="00C8402C" w:rsidRDefault="00C8402C" w:rsidP="005031E7">
                                  <w:pPr>
                                    <w:jc w:val="center"/>
                                  </w:pPr>
                                  <w:r>
                                    <w:t>Confidence and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Flowchart: Alternate Process 344"/>
                            <wps:cNvSpPr/>
                            <wps:spPr>
                              <a:xfrm>
                                <a:off x="2649371" y="-326522"/>
                                <a:ext cx="1674421" cy="97964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DC15C99" w14:textId="77777777" w:rsidR="00C8402C" w:rsidRDefault="00C8402C" w:rsidP="005031E7">
                                  <w:pPr>
                                    <w:jc w:val="center"/>
                                  </w:pPr>
                                  <w:r>
                                    <w:t>Contextual, situational, and environmental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Flowchart: Alternate Process 448"/>
                            <wps:cNvSpPr/>
                            <wps:spPr>
                              <a:xfrm>
                                <a:off x="2647323" y="1769113"/>
                                <a:ext cx="1673860" cy="902335"/>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92F9EBA" w14:textId="77777777" w:rsidR="00C8402C" w:rsidRDefault="00C8402C" w:rsidP="005031E7">
                                  <w:pPr>
                                    <w:jc w:val="center"/>
                                  </w:pPr>
                                  <w:r>
                                    <w:t>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Arrow Connector 456"/>
                            <wps:cNvCnPr>
                              <a:stCxn id="343" idx="2"/>
                              <a:endCxn id="294" idx="0"/>
                            </wps:cNvCnPr>
                            <wps:spPr>
                              <a:xfrm>
                                <a:off x="112505" y="2677782"/>
                                <a:ext cx="1904928" cy="129879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4" name="Straight Arrow Connector 464"/>
                            <wps:cNvCnPr>
                              <a:stCxn id="448" idx="3"/>
                              <a:endCxn id="270" idx="1"/>
                            </wps:cNvCnPr>
                            <wps:spPr>
                              <a:xfrm>
                                <a:off x="4321183" y="2220280"/>
                                <a:ext cx="2035921" cy="6429"/>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5" name="Straight Arrow Connector 465"/>
                            <wps:cNvCnPr>
                              <a:stCxn id="344" idx="2"/>
                              <a:endCxn id="448" idx="0"/>
                            </wps:cNvCnPr>
                            <wps:spPr>
                              <a:xfrm flipH="1">
                                <a:off x="3484253" y="653123"/>
                                <a:ext cx="2329" cy="111599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wps:wsp>
                            <wps:cNvPr id="466" name="Straight Arrow Connector 466"/>
                            <wps:cNvCnPr>
                              <a:stCxn id="344" idx="2"/>
                              <a:endCxn id="270" idx="0"/>
                            </wps:cNvCnPr>
                            <wps:spPr>
                              <a:xfrm>
                                <a:off x="3486582" y="653123"/>
                                <a:ext cx="3707733" cy="1122324"/>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467" name="Straight Arrow Connector 467"/>
                            <wps:cNvCnPr>
                              <a:stCxn id="270" idx="2"/>
                              <a:endCxn id="271" idx="0"/>
                            </wps:cNvCnPr>
                            <wps:spPr>
                              <a:xfrm flipH="1">
                                <a:off x="5440162" y="2677972"/>
                                <a:ext cx="1754154" cy="1298605"/>
                              </a:xfrm>
                              <a:prstGeom prst="straightConnector1">
                                <a:avLst/>
                              </a:prstGeom>
                              <a:ln w="762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68" name="Straight Connector 468"/>
                            <wps:cNvCnPr>
                              <a:stCxn id="294" idx="3"/>
                              <a:endCxn id="271" idx="1"/>
                            </wps:cNvCnPr>
                            <wps:spPr>
                              <a:xfrm flipV="1">
                                <a:off x="2854644" y="4427839"/>
                                <a:ext cx="1748307" cy="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9" name="Text Box 2"/>
                            <wps:cNvSpPr txBox="1">
                              <a:spLocks noChangeArrowheads="1"/>
                            </wps:cNvSpPr>
                            <wps:spPr bwMode="auto">
                              <a:xfrm>
                                <a:off x="4870827" y="1064463"/>
                                <a:ext cx="1324003" cy="34243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BADB1A" w14:textId="77777777" w:rsidR="00C8402C" w:rsidRPr="00071A11" w:rsidRDefault="00C8402C" w:rsidP="005031E7">
                                  <w:pPr>
                                    <w:rPr>
                                      <w:sz w:val="18"/>
                                      <w:szCs w:val="18"/>
                                    </w:rPr>
                                  </w:pPr>
                                  <w:r w:rsidRPr="00071A11">
                                    <w:rPr>
                                      <w:sz w:val="18"/>
                                      <w:szCs w:val="18"/>
                                    </w:rPr>
                                    <w:t xml:space="preserve">SRLF: </w:t>
                                  </w:r>
                                  <w:r>
                                    <w:rPr>
                                      <w:sz w:val="18"/>
                                      <w:szCs w:val="18"/>
                                    </w:rPr>
                                    <w:t>M1, G2, H2</w:t>
                                  </w:r>
                                </w:p>
                              </w:txbxContent>
                            </wps:txbx>
                            <wps:bodyPr rot="0" vert="horz" wrap="square" lIns="91440" tIns="45720" rIns="91440" bIns="45720" anchor="t" anchorCtr="0">
                              <a:noAutofit/>
                            </wps:bodyPr>
                          </wps:wsp>
                          <wps:wsp>
                            <wps:cNvPr id="470" name="Text Box 2"/>
                            <wps:cNvSpPr txBox="1">
                              <a:spLocks noChangeArrowheads="1"/>
                            </wps:cNvSpPr>
                            <wps:spPr bwMode="auto">
                              <a:xfrm>
                                <a:off x="2742001" y="924297"/>
                                <a:ext cx="1740118"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E584E4B" w14:textId="77777777" w:rsidR="00C8402C" w:rsidRPr="00071A11" w:rsidRDefault="00C8402C" w:rsidP="005031E7">
                                  <w:pPr>
                                    <w:rPr>
                                      <w:sz w:val="18"/>
                                      <w:szCs w:val="18"/>
                                    </w:rPr>
                                  </w:pPr>
                                  <w:r w:rsidRPr="00071A11">
                                    <w:rPr>
                                      <w:sz w:val="18"/>
                                      <w:szCs w:val="18"/>
                                    </w:rPr>
                                    <w:t xml:space="preserve">BPF: </w:t>
                                  </w:r>
                                  <w:r>
                                    <w:rPr>
                                      <w:sz w:val="18"/>
                                      <w:szCs w:val="18"/>
                                    </w:rPr>
                                    <w:t>J3</w:t>
                                  </w:r>
                                </w:p>
                                <w:p w14:paraId="2CC06286" w14:textId="77777777" w:rsidR="00C8402C" w:rsidRPr="00071A11" w:rsidRDefault="00C8402C" w:rsidP="005031E7">
                                  <w:pPr>
                                    <w:rPr>
                                      <w:sz w:val="18"/>
                                      <w:szCs w:val="18"/>
                                    </w:rPr>
                                  </w:pPr>
                                  <w:r w:rsidRPr="00071A11">
                                    <w:rPr>
                                      <w:sz w:val="18"/>
                                      <w:szCs w:val="18"/>
                                    </w:rPr>
                                    <w:t xml:space="preserve">SRLF: </w:t>
                                  </w:r>
                                  <w:r>
                                    <w:rPr>
                                      <w:sz w:val="18"/>
                                      <w:szCs w:val="18"/>
                                    </w:rPr>
                                    <w:t>I3, I6, F3, L2, M10</w:t>
                                  </w:r>
                                </w:p>
                              </w:txbxContent>
                            </wps:txbx>
                            <wps:bodyPr rot="0" vert="horz" wrap="square" lIns="91440" tIns="45720" rIns="91440" bIns="45720" anchor="t" anchorCtr="0">
                              <a:noAutofit/>
                            </wps:bodyPr>
                          </wps:wsp>
                          <wps:wsp>
                            <wps:cNvPr id="471" name="Text Box 2"/>
                            <wps:cNvSpPr txBox="1">
                              <a:spLocks noChangeArrowheads="1"/>
                            </wps:cNvSpPr>
                            <wps:spPr bwMode="auto">
                              <a:xfrm>
                                <a:off x="4823279" y="1892288"/>
                                <a:ext cx="1052582" cy="69142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151E91" w14:textId="77777777" w:rsidR="00C8402C" w:rsidRPr="00071A11" w:rsidRDefault="00C8402C" w:rsidP="005031E7">
                                  <w:pPr>
                                    <w:rPr>
                                      <w:sz w:val="18"/>
                                      <w:szCs w:val="18"/>
                                    </w:rPr>
                                  </w:pPr>
                                  <w:r w:rsidRPr="00071A11">
                                    <w:rPr>
                                      <w:sz w:val="18"/>
                                      <w:szCs w:val="18"/>
                                    </w:rPr>
                                    <w:t xml:space="preserve">BPF: </w:t>
                                  </w:r>
                                  <w:r>
                                    <w:rPr>
                                      <w:sz w:val="18"/>
                                      <w:szCs w:val="18"/>
                                    </w:rPr>
                                    <w:t>O7</w:t>
                                  </w:r>
                                </w:p>
                                <w:p w14:paraId="2B426071" w14:textId="77777777" w:rsidR="00C8402C" w:rsidRPr="00071A11" w:rsidRDefault="00C8402C" w:rsidP="005031E7">
                                  <w:pPr>
                                    <w:rPr>
                                      <w:sz w:val="18"/>
                                      <w:szCs w:val="18"/>
                                    </w:rPr>
                                  </w:pPr>
                                  <w:r w:rsidRPr="00071A11">
                                    <w:rPr>
                                      <w:sz w:val="18"/>
                                      <w:szCs w:val="18"/>
                                    </w:rPr>
                                    <w:t xml:space="preserve">SRLF: </w:t>
                                  </w:r>
                                  <w:r>
                                    <w:rPr>
                                      <w:sz w:val="18"/>
                                      <w:szCs w:val="18"/>
                                    </w:rPr>
                                    <w:t>F6, I6, V6, G7, J7, L7</w:t>
                                  </w:r>
                                </w:p>
                              </w:txbxContent>
                            </wps:txbx>
                            <wps:bodyPr rot="0" vert="horz" wrap="square" lIns="91440" tIns="45720" rIns="91440" bIns="45720" anchor="t" anchorCtr="0">
                              <a:noAutofit/>
                            </wps:bodyPr>
                          </wps:wsp>
                          <wps:wsp>
                            <wps:cNvPr id="474" name="Text Box 2"/>
                            <wps:cNvSpPr txBox="1">
                              <a:spLocks noChangeArrowheads="1"/>
                            </wps:cNvSpPr>
                            <wps:spPr bwMode="auto">
                              <a:xfrm>
                                <a:off x="689698" y="3093823"/>
                                <a:ext cx="881234"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955DC5" w14:textId="77777777" w:rsidR="00C8402C" w:rsidRPr="00071A11" w:rsidRDefault="00C8402C" w:rsidP="005031E7">
                                  <w:pPr>
                                    <w:rPr>
                                      <w:sz w:val="18"/>
                                      <w:szCs w:val="18"/>
                                    </w:rPr>
                                  </w:pPr>
                                  <w:r w:rsidRPr="00071A11">
                                    <w:rPr>
                                      <w:sz w:val="18"/>
                                      <w:szCs w:val="18"/>
                                    </w:rPr>
                                    <w:t xml:space="preserve">BPF: </w:t>
                                  </w:r>
                                  <w:r>
                                    <w:rPr>
                                      <w:sz w:val="18"/>
                                      <w:szCs w:val="18"/>
                                    </w:rPr>
                                    <w:t>H5</w:t>
                                  </w:r>
                                </w:p>
                                <w:p w14:paraId="6F3B0962" w14:textId="77777777" w:rsidR="00C8402C" w:rsidRPr="00071A11" w:rsidRDefault="00C8402C" w:rsidP="005031E7">
                                  <w:pPr>
                                    <w:rPr>
                                      <w:sz w:val="18"/>
                                      <w:szCs w:val="18"/>
                                    </w:rPr>
                                  </w:pPr>
                                  <w:r w:rsidRPr="00071A11">
                                    <w:rPr>
                                      <w:sz w:val="18"/>
                                      <w:szCs w:val="18"/>
                                    </w:rPr>
                                    <w:t xml:space="preserve">SRLF: </w:t>
                                  </w:r>
                                  <w:r>
                                    <w:rPr>
                                      <w:sz w:val="18"/>
                                      <w:szCs w:val="18"/>
                                    </w:rPr>
                                    <w:t>G</w:t>
                                  </w:r>
                                  <w:r w:rsidRPr="00071A11">
                                    <w:rPr>
                                      <w:sz w:val="18"/>
                                      <w:szCs w:val="18"/>
                                    </w:rPr>
                                    <w:t>5</w:t>
                                  </w:r>
                                </w:p>
                              </w:txbxContent>
                            </wps:txbx>
                            <wps:bodyPr rot="0" vert="horz" wrap="square" lIns="91440" tIns="45720" rIns="91440" bIns="45720" anchor="t" anchorCtr="0">
                              <a:noAutofit/>
                            </wps:bodyPr>
                          </wps:wsp>
                          <wps:wsp>
                            <wps:cNvPr id="475" name="Text Box 2"/>
                            <wps:cNvSpPr txBox="1">
                              <a:spLocks noChangeArrowheads="1"/>
                            </wps:cNvSpPr>
                            <wps:spPr bwMode="auto">
                              <a:xfrm>
                                <a:off x="3249948" y="4199861"/>
                                <a:ext cx="1073476"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D4CFCC" w14:textId="77777777" w:rsidR="00C8402C" w:rsidRPr="00071A11" w:rsidRDefault="00C8402C" w:rsidP="005031E7">
                                  <w:pPr>
                                    <w:rPr>
                                      <w:sz w:val="18"/>
                                      <w:szCs w:val="18"/>
                                    </w:rPr>
                                  </w:pPr>
                                  <w:r w:rsidRPr="00071A11">
                                    <w:rPr>
                                      <w:sz w:val="18"/>
                                      <w:szCs w:val="18"/>
                                    </w:rPr>
                                    <w:t xml:space="preserve">BPF: </w:t>
                                  </w:r>
                                  <w:r>
                                    <w:rPr>
                                      <w:sz w:val="18"/>
                                      <w:szCs w:val="18"/>
                                    </w:rPr>
                                    <w:t>D10</w:t>
                                  </w:r>
                                </w:p>
                                <w:p w14:paraId="123491B0" w14:textId="77777777" w:rsidR="00C8402C" w:rsidRPr="00071A11" w:rsidRDefault="00C8402C" w:rsidP="005031E7">
                                  <w:pPr>
                                    <w:rPr>
                                      <w:sz w:val="18"/>
                                      <w:szCs w:val="18"/>
                                    </w:rPr>
                                  </w:pPr>
                                  <w:r w:rsidRPr="00071A11">
                                    <w:rPr>
                                      <w:sz w:val="18"/>
                                      <w:szCs w:val="18"/>
                                    </w:rPr>
                                    <w:t xml:space="preserve">SRLF: </w:t>
                                  </w:r>
                                  <w:r>
                                    <w:rPr>
                                      <w:sz w:val="18"/>
                                      <w:szCs w:val="18"/>
                                    </w:rPr>
                                    <w:t>P4, Q4</w:t>
                                  </w:r>
                                </w:p>
                              </w:txbxContent>
                            </wps:txbx>
                            <wps:bodyPr rot="0" vert="horz" wrap="square" lIns="91440" tIns="45720" rIns="91440" bIns="45720" anchor="t" anchorCtr="0">
                              <a:noAutofit/>
                            </wps:bodyPr>
                          </wps:wsp>
                          <wps:wsp>
                            <wps:cNvPr id="476" name="Text Box 2"/>
                            <wps:cNvSpPr txBox="1">
                              <a:spLocks noChangeArrowheads="1"/>
                            </wps:cNvSpPr>
                            <wps:spPr bwMode="auto">
                              <a:xfrm>
                                <a:off x="5700939" y="3030383"/>
                                <a:ext cx="1591594"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1C8A06" w14:textId="77777777" w:rsidR="00C8402C" w:rsidRPr="00071A11" w:rsidRDefault="00C8402C" w:rsidP="005031E7">
                                  <w:pPr>
                                    <w:rPr>
                                      <w:sz w:val="18"/>
                                      <w:szCs w:val="18"/>
                                    </w:rPr>
                                  </w:pPr>
                                  <w:r w:rsidRPr="00071A11">
                                    <w:rPr>
                                      <w:sz w:val="18"/>
                                      <w:szCs w:val="18"/>
                                    </w:rPr>
                                    <w:t xml:space="preserve">BPF: </w:t>
                                  </w:r>
                                  <w:r>
                                    <w:rPr>
                                      <w:sz w:val="18"/>
                                      <w:szCs w:val="18"/>
                                    </w:rPr>
                                    <w:t>K1, P7</w:t>
                                  </w:r>
                                </w:p>
                                <w:p w14:paraId="6BE7BA74" w14:textId="77777777" w:rsidR="00C8402C" w:rsidRPr="00071A11" w:rsidRDefault="00C8402C" w:rsidP="005031E7">
                                  <w:pPr>
                                    <w:rPr>
                                      <w:sz w:val="18"/>
                                      <w:szCs w:val="18"/>
                                    </w:rPr>
                                  </w:pPr>
                                  <w:r w:rsidRPr="00071A11">
                                    <w:rPr>
                                      <w:sz w:val="18"/>
                                      <w:szCs w:val="18"/>
                                    </w:rPr>
                                    <w:t xml:space="preserve">SRLF: </w:t>
                                  </w:r>
                                  <w:r>
                                    <w:rPr>
                                      <w:sz w:val="18"/>
                                      <w:szCs w:val="18"/>
                                    </w:rPr>
                                    <w:t>A4, B4, D4, N10</w:t>
                                  </w:r>
                                </w:p>
                              </w:txbxContent>
                            </wps:txbx>
                            <wps:bodyPr rot="0" vert="horz" wrap="square" lIns="91440" tIns="45720" rIns="91440" bIns="45720" anchor="t" anchorCtr="0">
                              <a:noAutofit/>
                            </wps:bodyPr>
                          </wps:wsp>
                          <wps:wsp>
                            <wps:cNvPr id="477" name="Text Box 2"/>
                            <wps:cNvSpPr txBox="1">
                              <a:spLocks noChangeArrowheads="1"/>
                            </wps:cNvSpPr>
                            <wps:spPr bwMode="auto">
                              <a:xfrm>
                                <a:off x="3621434" y="3093823"/>
                                <a:ext cx="1510104" cy="48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A434DAF" w14:textId="77777777" w:rsidR="00C8402C" w:rsidRPr="00071A11" w:rsidRDefault="00C8402C" w:rsidP="005031E7">
                                  <w:pPr>
                                    <w:rPr>
                                      <w:sz w:val="18"/>
                                      <w:szCs w:val="18"/>
                                    </w:rPr>
                                  </w:pPr>
                                  <w:r w:rsidRPr="00071A11">
                                    <w:rPr>
                                      <w:sz w:val="18"/>
                                      <w:szCs w:val="18"/>
                                    </w:rPr>
                                    <w:t xml:space="preserve">BPF: </w:t>
                                  </w:r>
                                  <w:r>
                                    <w:rPr>
                                      <w:sz w:val="18"/>
                                      <w:szCs w:val="18"/>
                                    </w:rPr>
                                    <w:t>H6, P10</w:t>
                                  </w:r>
                                </w:p>
                                <w:p w14:paraId="5307E261" w14:textId="77777777" w:rsidR="00C8402C" w:rsidRPr="00071A11" w:rsidRDefault="00C8402C" w:rsidP="005031E7">
                                  <w:pPr>
                                    <w:rPr>
                                      <w:sz w:val="18"/>
                                      <w:szCs w:val="18"/>
                                    </w:rPr>
                                  </w:pPr>
                                  <w:r w:rsidRPr="00071A11">
                                    <w:rPr>
                                      <w:sz w:val="18"/>
                                      <w:szCs w:val="18"/>
                                    </w:rPr>
                                    <w:t xml:space="preserve">SRLF: </w:t>
                                  </w:r>
                                  <w:r>
                                    <w:rPr>
                                      <w:sz w:val="18"/>
                                      <w:szCs w:val="18"/>
                                    </w:rPr>
                                    <w:t>C6, L1, M6, W4</w:t>
                                  </w:r>
                                </w:p>
                              </w:txbxContent>
                            </wps:txbx>
                            <wps:bodyPr rot="0" vert="horz" wrap="square" lIns="91440" tIns="45720" rIns="91440" bIns="45720" anchor="t" anchorCtr="0">
                              <a:noAutofit/>
                            </wps:bodyPr>
                          </wps:wsp>
                          <wps:wsp>
                            <wps:cNvPr id="473" name="Text Box 2"/>
                            <wps:cNvSpPr txBox="1">
                              <a:spLocks noChangeArrowheads="1"/>
                            </wps:cNvSpPr>
                            <wps:spPr bwMode="auto">
                              <a:xfrm>
                                <a:off x="1371126" y="1775447"/>
                                <a:ext cx="1067089" cy="77710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3E4090" w14:textId="77777777" w:rsidR="00C8402C" w:rsidRPr="00071A11" w:rsidRDefault="00C8402C" w:rsidP="005031E7">
                                  <w:pPr>
                                    <w:rPr>
                                      <w:sz w:val="18"/>
                                      <w:szCs w:val="18"/>
                                    </w:rPr>
                                  </w:pPr>
                                  <w:r w:rsidRPr="00071A11">
                                    <w:rPr>
                                      <w:sz w:val="18"/>
                                      <w:szCs w:val="18"/>
                                    </w:rPr>
                                    <w:t xml:space="preserve">BPF: </w:t>
                                  </w:r>
                                  <w:r>
                                    <w:rPr>
                                      <w:sz w:val="18"/>
                                      <w:szCs w:val="18"/>
                                    </w:rPr>
                                    <w:t>H8, D3, I8</w:t>
                                  </w:r>
                                </w:p>
                                <w:p w14:paraId="4D3FB99D" w14:textId="77777777" w:rsidR="00C8402C" w:rsidRPr="00071A11" w:rsidRDefault="00C8402C" w:rsidP="005031E7">
                                  <w:pPr>
                                    <w:rPr>
                                      <w:sz w:val="18"/>
                                      <w:szCs w:val="18"/>
                                    </w:rPr>
                                  </w:pPr>
                                  <w:r w:rsidRPr="00071A11">
                                    <w:rPr>
                                      <w:sz w:val="18"/>
                                      <w:szCs w:val="18"/>
                                    </w:rPr>
                                    <w:t xml:space="preserve">SRLF: </w:t>
                                  </w:r>
                                  <w:r>
                                    <w:rPr>
                                      <w:sz w:val="18"/>
                                      <w:szCs w:val="18"/>
                                    </w:rPr>
                                    <w:t>B8, C8, W8, B3, D5, L6, G6</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28D30B" id="Group 479" o:spid="_x0000_s1556" style="position:absolute;margin-left:8.6pt;margin-top:12.8pt;width:651pt;height:405pt;z-index:251976704;mso-width-relative:margin;mso-height-relative:margin" coordorigin="-724395,-326496" coordsize="8755593,52052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">
                <v:shape id="Straight Arrow Connector 190" o:spid="_x0000_s1557" type="#_x0000_t32" style="position:absolute;left:3484111;top:2671230;width:1955829;height:130502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pWccAAADcAAAADwAAAGRycy9kb3ducmV2LnhtbESPQUvDQBCF74L/YRmhN7sxRbGx26KF&#10;Qr0UWy2ttyE7ZoPZ2Zhd09Rf7xwEbzO8N+99M1sMvlE9dbEObOBmnIEiLoOtuTLw9rq6vgcVE7LF&#10;JjAZOFOExfzyYoaFDSfeUr9LlZIQjgUacCm1hdaxdOQxjkNLLNpH6DwmWbtK2w5PEu4bnWfZnfZY&#10;szQ4bGnpqPzcfXsDk8P7+bnfH39e7NNmg7cuz76WuTGjq+HxAVSiIf2b/67XVvCngi/PyAR6/g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RWlZxwAAANwAAAAPAAAAAAAA&#10;AAAAAAAAAKECAABkcnMvZG93bnJldi54bWxQSwUGAAAAAAQABAD5AAAAlQMAAAAA&#10;" strokecolor="black [3200]" strokeweight="2.25pt">
                  <v:stroke startarrow="block" endarrow="block" joinstyle="miter"/>
                </v:shape>
                <v:group id="Group 191" o:spid="_x0000_s1558" style="position:absolute;left:-724395;top:-326496;width:8755593;height:5205201" coordorigin="-724425,-326522" coordsize="8755951,5205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Straight Arrow Connector 478" o:spid="_x0000_s1559" type="#_x0000_t32" style="position:absolute;left:949435;top:2220280;width:1697887;height:633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ZOmcEAAADcAAAADwAAAGRycy9kb3ducmV2LnhtbERPW2vCMBR+H/gfwhF8m6nivFSjyMAx&#10;YQre3g/NsS02J12SafvvlwfBx4/vvlg1phJ3cr60rGDQT0AQZ1aXnCs4nzbvUxA+IGusLJOCljys&#10;lp23BabaPvhA92PIRQxhn6KCIoQ6ldJnBRn0fVsTR+5qncEQoculdviI4aaSwyQZS4Mlx4YCa/os&#10;KLsd/4yCr0vSyLZqPw4/bovb/WZ3/d3NlOp1m/UcRKAmvMRP97dWMJrEtfFMPAJ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dk6ZwQAAANwAAAAPAAAAAAAAAAAAAAAA&#10;AKECAABkcnMvZG93bnJldi54bWxQSwUGAAAAAAQABAD5AAAAjwMAAAAA&#10;" strokecolor="black [3200]" strokeweight="6pt">
                    <v:stroke endarrow="block" joinstyle="miter"/>
                  </v:shape>
                  <v:group id="Group 268" o:spid="_x0000_s1560" style="position:absolute;left:-724425;top:-326522;width:8755951;height:5205624" coordorigin="-724425,-326522" coordsize="8755951,5205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shape id="Flowchart: Alternate Process 270" o:spid="_x0000_s1561" type="#_x0000_t176" style="position:absolute;left:6357105;top:1775447;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5Q7xQAA&#10;ANwAAAAPAAAAZHJzL2Rvd25yZXYueG1sRE/LagIxFN0L/YdwC26KZhRqZTRK8YEibcHHQne3k9vJ&#10;2MnNMIk6/XuzKLg8nPd42thSXKn2hWMFvW4CgjhzuuBcwWG/7AxB+ICssXRMCv7Iw3Ty1Bpjqt2N&#10;t3TdhVzEEPYpKjAhVKmUPjNk0XddRRy5H1dbDBHWudQ13mK4LWU/SQbSYsGxwWBFM0PZ7+5iFcxe&#10;cbgx4Xj+XpXz4+J8urx8fH4p1X5u3kcgAjXhIf53r7WC/lucH8/EIyA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flDvFAAAA3AAAAA8AAAAAAAAAAAAAAAAAlwIAAGRycy9k&#10;b3ducmV2LnhtbFBLBQYAAAAABAAEAPUAAACJAwAAAAA=&#10;" fillcolor="white [3201]" strokecolor="black [3213]" strokeweight="1pt">
                      <v:textbox>
                        <w:txbxContent>
                          <w:p w14:paraId="5A05F6A0" w14:textId="77777777" w:rsidR="00C8402C" w:rsidRDefault="00C8402C" w:rsidP="005031E7">
                            <w:pPr>
                              <w:jc w:val="center"/>
                            </w:pPr>
                            <w:r>
                              <w:t>Credibility</w:t>
                            </w:r>
                          </w:p>
                        </w:txbxContent>
                      </v:textbox>
                    </v:shape>
                    <v:shape id="Flowchart: Alternate Process 271" o:spid="_x0000_s1562" type="#_x0000_t176" style="position:absolute;left:4602951;top:3976576;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zGgyAAA&#10;ANwAAAAPAAAAZHJzL2Rvd25yZXYueG1sRI9PawIxFMTvBb9DeIIXqVmFWtkaRfyDpWihtgd7e928&#10;blY3L8sm6vrtG0HocZiZ3zDjaWNLcabaF44V9HsJCOLM6YJzBV+fq8cRCB+QNZaOScGVPEwnrYcx&#10;ptpd+IPOu5CLCGGfogITQpVK6TNDFn3PVcTR+3W1xRBlnUtd4yXCbSkHSTKUFguOCwYrmhvKjruT&#10;VTB/wtGbCfvDz7pc7JeH71N3s31XqtNuZi8gAjXhP3xvv2oFg+c+3M7EIyA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nTMaDIAAAA3AAAAA8AAAAAAAAAAAAAAAAAlwIAAGRy&#10;cy9kb3ducmV2LnhtbFBLBQYAAAAABAAEAPUAAACMAwAAAAA=&#10;" fillcolor="white [3201]" strokecolor="black [3213]" strokeweight="1pt">
                      <v:textbox>
                        <w:txbxContent>
                          <w:p w14:paraId="11699D4A" w14:textId="77777777" w:rsidR="00C8402C" w:rsidRDefault="00C8402C" w:rsidP="005031E7">
                            <w:pPr>
                              <w:jc w:val="center"/>
                            </w:pPr>
                            <w:r>
                              <w:t>Learning priorities</w:t>
                            </w:r>
                          </w:p>
                        </w:txbxContent>
                      </v:textbox>
                    </v:shape>
                    <v:shape id="Flowchart: Alternate Process 294" o:spid="_x0000_s1563" type="#_x0000_t176" style="position:absolute;left:1180222;top:3976577;width:1674421;height:902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HTCyAAA&#10;ANwAAAAPAAAAZHJzL2Rvd25yZXYueG1sRI9BS8NAFITvgv9heUIvYjcGLTV2GyS1KGIFaw/t7Zl9&#10;ZhOzb0N228Z/3xUEj8PMfMPM8sG24kC9rx0ruB4nIIhLp2uuFGw+lldTED4ga2wdk4If8pDPz89m&#10;mGl35Hc6rEMlIoR9hgpMCF0mpS8NWfRj1xFH78v1FkOUfSV1j8cIt61Mk2QiLdYcFwx2VBgqv9d7&#10;q6C4xemLCdvm86ldbB+b3f7ydfWm1OhieLgHEWgI/+G/9rNWkN7dwO+ZeATk/AQ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modMLIAAAA3AAAAA8AAAAAAAAAAAAAAAAAlwIAAGRy&#10;cy9kb3ducmV2LnhtbFBLBQYAAAAABAAEAPUAAACMAwAAAAA=&#10;" fillcolor="white [3201]" strokecolor="black [3213]" strokeweight="1pt">
                      <v:textbox>
                        <w:txbxContent>
                          <w:p w14:paraId="4379179E" w14:textId="77777777" w:rsidR="00C8402C" w:rsidRDefault="00C8402C" w:rsidP="005031E7">
                            <w:pPr>
                              <w:jc w:val="center"/>
                            </w:pPr>
                            <w:r>
                              <w:t>Self-evaluation</w:t>
                            </w:r>
                          </w:p>
                        </w:txbxContent>
                      </v:textbox>
                    </v:shape>
                    <v:shape id="Flowchart: Alternate Process 343" o:spid="_x0000_s1564" type="#_x0000_t176" style="position:absolute;left:-724425;top:1775447;width:1673860;height:902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M9syAAA&#10;ANwAAAAPAAAAZHJzL2Rvd25yZXYueG1sRI9PawIxFMTvBb9DeEIvpWZbtchqlOIfWkotVD3o7XXz&#10;ulndvCybqOu3N0Khx2FmfsOMJo0txYlqXzhW8NRJQBBnThecK9isF48DED4gaywdk4ILeZiMW3cj&#10;TLU78zedViEXEcI+RQUmhCqV0meGLPqOq4ij9+tqiyHKOpe6xnOE21I+J8mLtFhwXDBY0dRQdlgd&#10;rYJpHwcfJmz3P2/lbDvf744Pn8svpe7bzesQRKAm/If/2u9aQbfXhduZeATk+A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7Az2zIAAAA3AAAAA8AAAAAAAAAAAAAAAAAlwIAAGRy&#10;cy9kb3ducmV2LnhtbFBLBQYAAAAABAAEAPUAAACMAwAAAAA=&#10;" fillcolor="white [3201]" strokecolor="black [3213]" strokeweight="1pt">
                      <v:textbox>
                        <w:txbxContent>
                          <w:p w14:paraId="6E199CD2" w14:textId="77777777" w:rsidR="00C8402C" w:rsidRDefault="00C8402C" w:rsidP="005031E7">
                            <w:pPr>
                              <w:jc w:val="center"/>
                            </w:pPr>
                            <w:r>
                              <w:t>Confidence and motivation</w:t>
                            </w:r>
                          </w:p>
                        </w:txbxContent>
                      </v:textbox>
                    </v:shape>
                    <v:shape id="Flowchart: Alternate Process 344" o:spid="_x0000_s1565" type="#_x0000_t176" style="position:absolute;left:2649371;top:-326522;width:1674421;height:979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VcYyQAA&#10;ANwAAAAPAAAAZHJzL2Rvd25yZXYueG1sRI9PS8NAFMTvgt9heYIXsRttlRCzLdI/tIgKVg/x9sw+&#10;s2mzb0N226bfvlsQPA4z8xsmn/S2EXvqfO1Ywd0gAUFcOl1zpeDrc3GbgvABWWPjmBQcycNkfHmR&#10;Y6bdgT9ovw6ViBD2GSowIbSZlL40ZNEPXEscvV/XWQxRdpXUHR4i3DbyPkkepcWa44LBlqaGyu16&#10;ZxVMHzB9MaHY/CybWTHffO9uXt/elbq+6p+fQATqw3/4r73SCoajEZzPxCMgxy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KVcYyQAAANwAAAAPAAAAAAAAAAAAAAAAAJcCAABk&#10;cnMvZG93bnJldi54bWxQSwUGAAAAAAQABAD1AAAAjQMAAAAA&#10;" fillcolor="white [3201]" strokecolor="black [3213]" strokeweight="1pt">
                      <v:textbox>
                        <w:txbxContent>
                          <w:p w14:paraId="4DC15C99" w14:textId="77777777" w:rsidR="00C8402C" w:rsidRDefault="00C8402C" w:rsidP="005031E7">
                            <w:pPr>
                              <w:jc w:val="center"/>
                            </w:pPr>
                            <w:r>
                              <w:t>Contextual, situational, and environmental factors</w:t>
                            </w:r>
                          </w:p>
                        </w:txbxContent>
                      </v:textbox>
                    </v:shape>
                    <v:shape id="Flowchart: Alternate Process 448" o:spid="_x0000_s1566" type="#_x0000_t176" style="position:absolute;left:2647323;top:1769113;width:1673860;height:902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pB4xAAA&#10;ANwAAAAPAAAAZHJzL2Rvd25yZXYueG1sRE9NawIxEL0X/A9hBC9Ssy0qsjWK2EpFWqHqwd7GzbhZ&#10;3UyWTdTtvzcHocfH+x5PG1uKK9W+cKzgpZeAIM6cLjhXsNsunkcgfEDWWDomBX/kYTppPY0x1e7G&#10;P3TdhFzEEPYpKjAhVKmUPjNk0fdcRRy5o6sthgjrXOoabzHclvI1SYbSYsGxwWBFc0PZeXOxCuYD&#10;HK1M2J8On+X7/uP0e+l+fa+V6rSb2RuIQE34Fz/cS62g349r45l4BOTk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6QeMQAAADcAAAADwAAAAAAAAAAAAAAAACXAgAAZHJzL2Rv&#10;d25yZXYueG1sUEsFBgAAAAAEAAQA9QAAAIgDAAAAAA==&#10;" fillcolor="white [3201]" strokecolor="black [3213]" strokeweight="1pt">
                      <v:textbox>
                        <w:txbxContent>
                          <w:p w14:paraId="392F9EBA" w14:textId="77777777" w:rsidR="00C8402C" w:rsidRDefault="00C8402C" w:rsidP="005031E7">
                            <w:pPr>
                              <w:jc w:val="center"/>
                            </w:pPr>
                            <w:r>
                              <w:t>Supportive</w:t>
                            </w:r>
                          </w:p>
                        </w:txbxContent>
                      </v:textbox>
                    </v:shape>
                    <v:shape id="Straight Arrow Connector 456" o:spid="_x0000_s1567" type="#_x0000_t32" style="position:absolute;left:112505;top:2677782;width:1904928;height:129879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U6DcQAAADcAAAADwAAAGRycy9kb3ducmV2LnhtbESPQWvCQBSE7wX/w/IEL0U3hjZodBUR&#10;pD1ZtMHzI/tMgtm3IbvG1F/vCkKPw8x8wyzXvalFR62rLCuYTiIQxLnVFRcKst/deAbCeWSNtWVS&#10;8EcO1qvB2xJTbW98oO7oCxEg7FJUUHrfpFK6vCSDbmIb4uCdbWvQB9kWUrd4C3BTyziKEmmw4rBQ&#10;YkPbkvLL8WoUxBl29c97dTjdM72fx9Ov7J6wUqNhv1mA8NT7//Cr/a0VfHwm8DwTj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ZToNxAAAANwAAAAPAAAAAAAAAAAA&#10;AAAAAKECAABkcnMvZG93bnJldi54bWxQSwUGAAAAAAQABAD5AAAAkgMAAAAA&#10;" strokecolor="black [3200]" strokeweight=".5pt">
                      <v:stroke startarrow="block" endarrow="block" joinstyle="miter"/>
                    </v:shape>
                    <v:shape id="Straight Arrow Connector 464" o:spid="_x0000_s1568" type="#_x0000_t32" style="position:absolute;left:4321183;top:2220280;width:2035921;height:6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H+sYAAADcAAAADwAAAGRycy9kb3ducmV2LnhtbESPT2sCMRTE74LfIbxCL6JZ6x/KahQp&#10;FPUgorY9PzbPzdbNy7KJ7vrtG6HgcZiZ3zDzZWtLcaPaF44VDAcJCOLM6YJzBV+nz/47CB+QNZaO&#10;ScGdPCwX3c4cU+0aPtDtGHIRIexTVGBCqFIpfWbIoh+4ijh6Z1dbDFHWudQ1NhFuS/mWJFNpseC4&#10;YLCiD0PZ5Xi1CuTkoM214d2p5753m+3P+ve+Hyn1+tKuZiACteEZ/m9vtILxdAyPM/E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oB/rGAAAA3AAAAA8AAAAAAAAA&#10;AAAAAAAAoQIAAGRycy9kb3ducmV2LnhtbFBLBQYAAAAABAAEAPkAAACUAwAAAAA=&#10;" strokecolor="black [3200]" strokeweight="6pt">
                      <v:stroke startarrow="block" endarrow="block" joinstyle="miter"/>
                    </v:shape>
                    <v:shape id="Straight Arrow Connector 465" o:spid="_x0000_s1569" type="#_x0000_t32" style="position:absolute;left:3484253;top:653123;width:2329;height:11159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532sUAAADcAAAADwAAAGRycy9kb3ducmV2LnhtbESPW2sCMRSE34X+h3AKfavZioquZqUU&#10;lApV8PZ+2Jy90M3JmqS6+++bQsHHYWa+YZarzjTiRs7XlhW8DRMQxLnVNZcKzqf16wyED8gaG8uk&#10;oCcPq+xpsMRU2zsf6HYMpYgQ9ikqqEJoUyl9XpFBP7QtcfQK6wyGKF0ptcN7hJtGjpJkKg3WHBcq&#10;bOmjovz7+GMUbC5JJ/umnxy+3Ba3+/WuuO7mSr08d+8LEIG68Aj/tz+1gvF0An9n4hGQ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532sUAAADcAAAADwAAAAAAAAAA&#10;AAAAAAChAgAAZHJzL2Rvd25yZXYueG1sUEsFBgAAAAAEAAQA+QAAAJMDAAAAAA==&#10;" strokecolor="black [3200]" strokeweight="6pt">
                      <v:stroke endarrow="block" joinstyle="miter"/>
                    </v:shape>
                    <v:shape id="Straight Arrow Connector 466" o:spid="_x0000_s1570" type="#_x0000_t32" style="position:absolute;left:3486582;top:653123;width:3707733;height:112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DJzMQAAADcAAAADwAAAGRycy9kb3ducmV2LnhtbESPT4vCMBTE78J+h/AWvGm6KkWqUWRh&#10;Qd2Tf9i9Ppu3TbF5KU201U+/EQSPw8z8hpkvO1uJKzW+dKzgY5iAIM6dLrlQcDx8DaYgfEDWWDkm&#10;BTfysFy89eaYadfyjq77UIgIYZ+hAhNCnUnpc0MW/dDVxNH7c43FEGVTSN1gG+G2kqMkSaXFkuOC&#10;wZo+DeXn/cUq2N4nWzlem1Nonf45r6a/9eZ7rFT/vVvNQATqwiv8bK+1gkmawuNMPAJy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UMnMxAAAANwAAAAPAAAAAAAAAAAA&#10;AAAAAKECAABkcnMvZG93bnJldi54bWxQSwUGAAAAAAQABAD5AAAAkgMAAAAA&#10;" strokecolor="black [3200]" strokeweight=".25pt">
                      <v:stroke endarrow="block" joinstyle="miter"/>
                    </v:shape>
                    <v:shape id="Straight Arrow Connector 467" o:spid="_x0000_s1571" type="#_x0000_t32" style="position:absolute;left:5440162;top:2677972;width:1754154;height:129860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rRkcQAAADcAAAADwAAAGRycy9kb3ducmV2LnhtbESP0WrCQBRE34X+w3ILvummVdIaXUMp&#10;tAQLQk0/4JK9JsHs3bC7TdK/dwWhj8PMnGF2+WQ6MZDzrWUFT8sEBHFldcu1gp/yY/EKwgdkjZ1l&#10;UvBHHvL9w2yHmbYjf9NwCrWIEPYZKmhC6DMpfdWQQb+0PXH0ztYZDFG6WmqHY4SbTj4nSSoNthwX&#10;GuzpvaHqcvo1Ckp09vBVYI1l93lcVZuUL+eDUvPH6W0LItAU/sP3dqEVrNMXuJ2JR0Du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GtGRxAAAANwAAAAPAAAAAAAAAAAA&#10;AAAAAKECAABkcnMvZG93bnJldi54bWxQSwUGAAAAAAQABAD5AAAAkgMAAAAA&#10;" strokecolor="black [3200]" strokeweight="6pt">
                      <v:stroke startarrow="block" endarrow="block" joinstyle="miter"/>
                    </v:shape>
                    <v:line id="Straight Connector 468" o:spid="_x0000_s1572" style="position:absolute;flip:y;visibility:visible;mso-wrap-style:square" from="2854644,4427839" to="4602951,4427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eBHsEAAADcAAAADwAAAGRycy9kb3ducmV2LnhtbERPy4rCMBTdC/MP4Q6403SKFKcaiwyI&#10;7obxxbi7NNe22tzUJmr9e7MQXB7Oe5p1phY3al1lWcHXMAJBnFtdcaFgu1kMxiCcR9ZYWyYFD3KQ&#10;zT56U0y1vfMf3da+ECGEXYoKSu+bVEqXl2TQDW1DHLijbQ36ANtC6hbvIdzUMo6iRBqsODSU2NBP&#10;Sfl5fTUK3HeePE7mX17i3XLzK6s9rQ57pfqf3XwCwlPn3+KXe6UVjJKwNpwJR0DO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R4EewQAAANwAAAAPAAAAAAAAAAAAAAAA&#10;AKECAABkcnMvZG93bnJldi54bWxQSwUGAAAAAAQABAD5AAAAjwMAAAAA&#10;" strokecolor="black [3200]" strokeweight=".25pt">
                      <v:stroke joinstyle="miter"/>
                    </v:line>
                    <v:shape id="_x0000_s1573" type="#_x0000_t202" style="position:absolute;left:4870827;top:1064463;width:1324003;height:342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kShxAAA&#10;ANwAAAAPAAAAZHJzL2Rvd25yZXYueG1sRI9Li8JAEITvgv9h6AVvOlkjotmM4gNBxIuPwx6bTOeB&#10;mZ6QGU323+8IC3ssquorKl33phYval1lWcHnJAJBnFldcaHgfjuMFyCcR9ZYWyYFP+RgvRoOUky0&#10;7fhCr6svRICwS1BB6X2TSOmykgy6iW2Ig5fb1qAPsi2kbrELcFPLaRTNpcGKw0KJDe1Kyh7Xp1Fw&#10;iunxHRfu7Lp8Gx91tD/Xp71So49+8wXCU+//w3/to1Ywmy/hfS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JEocQAAADcAAAADwAAAAAAAAAAAAAAAACXAgAAZHJzL2Rv&#10;d25yZXYueG1sUEsFBgAAAAAEAAQA9QAAAIgDAAAAAA==&#10;" fillcolor="white [3201]" strokecolor="black [3200]" strokeweight="1pt">
                      <v:textbox>
                        <w:txbxContent>
                          <w:p w14:paraId="70BADB1A" w14:textId="77777777" w:rsidR="00C8402C" w:rsidRPr="00071A11" w:rsidRDefault="00C8402C" w:rsidP="005031E7">
                            <w:pPr>
                              <w:rPr>
                                <w:sz w:val="18"/>
                                <w:szCs w:val="18"/>
                              </w:rPr>
                            </w:pPr>
                            <w:r w:rsidRPr="00071A11">
                              <w:rPr>
                                <w:sz w:val="18"/>
                                <w:szCs w:val="18"/>
                              </w:rPr>
                              <w:t xml:space="preserve">SRLF: </w:t>
                            </w:r>
                            <w:r>
                              <w:rPr>
                                <w:sz w:val="18"/>
                                <w:szCs w:val="18"/>
                              </w:rPr>
                              <w:t>M1, G2, H2</w:t>
                            </w:r>
                          </w:p>
                        </w:txbxContent>
                      </v:textbox>
                    </v:shape>
                    <v:shape id="_x0000_s1574" type="#_x0000_t202" style="position:absolute;left:2742001;top:924297;width:1740118;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XvhwQAA&#10;ANwAAAAPAAAAZHJzL2Rvd25yZXYueG1sRE9Na8JAEL0L/odlCr3ppo1oiW6CrRRC8KL24HHIjkkw&#10;OxuyWxP/vXsQPD7e9yYbTStu1LvGsoKPeQSCuLS64UrB3+l39gXCeWSNrWVScCcHWTqdbDDRduAD&#10;3Y6+EiGEXYIKau+7REpX1mTQzW1HHLiL7Q36APtK6h6HEG5a+RlFS2mw4dBQY0c/NZXX479RUMR0&#10;PceV27vh8h3nOtrt22Kn1PvbuF2D8DT6l/jpzrWCxSrMD2fCEZDp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74cEAAADcAAAADwAAAAAAAAAAAAAAAACXAgAAZHJzL2Rvd25y&#10;ZXYueG1sUEsFBgAAAAAEAAQA9QAAAIUDAAAAAA==&#10;" fillcolor="white [3201]" strokecolor="black [3200]" strokeweight="1pt">
                      <v:textbox>
                        <w:txbxContent>
                          <w:p w14:paraId="4E584E4B" w14:textId="77777777" w:rsidR="00C8402C" w:rsidRPr="00071A11" w:rsidRDefault="00C8402C" w:rsidP="005031E7">
                            <w:pPr>
                              <w:rPr>
                                <w:sz w:val="18"/>
                                <w:szCs w:val="18"/>
                              </w:rPr>
                            </w:pPr>
                            <w:r w:rsidRPr="00071A11">
                              <w:rPr>
                                <w:sz w:val="18"/>
                                <w:szCs w:val="18"/>
                              </w:rPr>
                              <w:t xml:space="preserve">BPF: </w:t>
                            </w:r>
                            <w:r>
                              <w:rPr>
                                <w:sz w:val="18"/>
                                <w:szCs w:val="18"/>
                              </w:rPr>
                              <w:t>J3</w:t>
                            </w:r>
                          </w:p>
                          <w:p w14:paraId="2CC06286" w14:textId="77777777" w:rsidR="00C8402C" w:rsidRPr="00071A11" w:rsidRDefault="00C8402C" w:rsidP="005031E7">
                            <w:pPr>
                              <w:rPr>
                                <w:sz w:val="18"/>
                                <w:szCs w:val="18"/>
                              </w:rPr>
                            </w:pPr>
                            <w:r w:rsidRPr="00071A11">
                              <w:rPr>
                                <w:sz w:val="18"/>
                                <w:szCs w:val="18"/>
                              </w:rPr>
                              <w:t xml:space="preserve">SRLF: </w:t>
                            </w:r>
                            <w:r>
                              <w:rPr>
                                <w:sz w:val="18"/>
                                <w:szCs w:val="18"/>
                              </w:rPr>
                              <w:t>I3, I6, F3, L2, M10</w:t>
                            </w:r>
                          </w:p>
                        </w:txbxContent>
                      </v:textbox>
                    </v:shape>
                    <v:shape id="_x0000_s1575" type="#_x0000_t202" style="position:absolute;left:4823279;top:1892288;width:1052582;height:691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d56wwAA&#10;ANwAAAAPAAAAZHJzL2Rvd25yZXYueG1sRI/NqsIwFIT3gu8QjuBOU29FpRpFrwgibvxZuDw0x7bY&#10;nJQm2vr25sIFl8PMfMMsVq0pxYtqV1hWMBpGIIhTqwvOFFwvu8EMhPPIGkvLpOBNDlbLbmeBibYN&#10;n+h19pkIEHYJKsi9rxIpXZqTQTe0FXHw7rY26IOsM6lrbALclPIniibSYMFhIceKfnNKH+enUXCI&#10;6XGLM3d0zX0T73W0PZaHrVL9Xrueg/DU+m/4v73XCsbTEfydCUdAL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Dd56wwAAANwAAAAPAAAAAAAAAAAAAAAAAJcCAABkcnMvZG93&#10;bnJldi54bWxQSwUGAAAAAAQABAD1AAAAhwMAAAAA&#10;" fillcolor="white [3201]" strokecolor="black [3200]" strokeweight="1pt">
                      <v:textbox>
                        <w:txbxContent>
                          <w:p w14:paraId="1E151E91" w14:textId="77777777" w:rsidR="00C8402C" w:rsidRPr="00071A11" w:rsidRDefault="00C8402C" w:rsidP="005031E7">
                            <w:pPr>
                              <w:rPr>
                                <w:sz w:val="18"/>
                                <w:szCs w:val="18"/>
                              </w:rPr>
                            </w:pPr>
                            <w:r w:rsidRPr="00071A11">
                              <w:rPr>
                                <w:sz w:val="18"/>
                                <w:szCs w:val="18"/>
                              </w:rPr>
                              <w:t xml:space="preserve">BPF: </w:t>
                            </w:r>
                            <w:r>
                              <w:rPr>
                                <w:sz w:val="18"/>
                                <w:szCs w:val="18"/>
                              </w:rPr>
                              <w:t>O7</w:t>
                            </w:r>
                          </w:p>
                          <w:p w14:paraId="2B426071" w14:textId="77777777" w:rsidR="00C8402C" w:rsidRPr="00071A11" w:rsidRDefault="00C8402C" w:rsidP="005031E7">
                            <w:pPr>
                              <w:rPr>
                                <w:sz w:val="18"/>
                                <w:szCs w:val="18"/>
                              </w:rPr>
                            </w:pPr>
                            <w:r w:rsidRPr="00071A11">
                              <w:rPr>
                                <w:sz w:val="18"/>
                                <w:szCs w:val="18"/>
                              </w:rPr>
                              <w:t xml:space="preserve">SRLF: </w:t>
                            </w:r>
                            <w:r>
                              <w:rPr>
                                <w:sz w:val="18"/>
                                <w:szCs w:val="18"/>
                              </w:rPr>
                              <w:t>F6, I6, V6, G7, J7, L7</w:t>
                            </w:r>
                          </w:p>
                        </w:txbxContent>
                      </v:textbox>
                    </v:shape>
                    <v:shape id="_x0000_s1576" type="#_x0000_t202" style="position:absolute;left:689698;top:3093823;width:881234;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n3ixAAA&#10;ANwAAAAPAAAAZHJzL2Rvd25yZXYueG1sRI9Ba8JAFITvhf6H5Qm91Y2NaImuoW0ohOBF7cHjI/tM&#10;gtm3Ibs18d+7guBxmJlvmHU6mlZcqHeNZQWzaQSCuLS64UrB3+H3/ROE88gaW8uk4EoO0s3ryxoT&#10;bQfe0WXvKxEg7BJUUHvfJVK6siaDbmo74uCdbG/QB9lXUvc4BLhp5UcULaTBhsNCjR391FSe9/9G&#10;QRHT+RhXbuuG03ec6yjbtkWm1Ntk/FqB8DT6Z/jRzrWC+XIO9zPhCMjN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p94sQAAADcAAAADwAAAAAAAAAAAAAAAACXAgAAZHJzL2Rv&#10;d25yZXYueG1sUEsFBgAAAAAEAAQA9QAAAIgDAAAAAA==&#10;" fillcolor="white [3201]" strokecolor="black [3200]" strokeweight="1pt">
                      <v:textbox>
                        <w:txbxContent>
                          <w:p w14:paraId="1A955DC5" w14:textId="77777777" w:rsidR="00C8402C" w:rsidRPr="00071A11" w:rsidRDefault="00C8402C" w:rsidP="005031E7">
                            <w:pPr>
                              <w:rPr>
                                <w:sz w:val="18"/>
                                <w:szCs w:val="18"/>
                              </w:rPr>
                            </w:pPr>
                            <w:r w:rsidRPr="00071A11">
                              <w:rPr>
                                <w:sz w:val="18"/>
                                <w:szCs w:val="18"/>
                              </w:rPr>
                              <w:t xml:space="preserve">BPF: </w:t>
                            </w:r>
                            <w:r>
                              <w:rPr>
                                <w:sz w:val="18"/>
                                <w:szCs w:val="18"/>
                              </w:rPr>
                              <w:t>H5</w:t>
                            </w:r>
                          </w:p>
                          <w:p w14:paraId="6F3B0962" w14:textId="77777777" w:rsidR="00C8402C" w:rsidRPr="00071A11" w:rsidRDefault="00C8402C" w:rsidP="005031E7">
                            <w:pPr>
                              <w:rPr>
                                <w:sz w:val="18"/>
                                <w:szCs w:val="18"/>
                              </w:rPr>
                            </w:pPr>
                            <w:r w:rsidRPr="00071A11">
                              <w:rPr>
                                <w:sz w:val="18"/>
                                <w:szCs w:val="18"/>
                              </w:rPr>
                              <w:t xml:space="preserve">SRLF: </w:t>
                            </w:r>
                            <w:r>
                              <w:rPr>
                                <w:sz w:val="18"/>
                                <w:szCs w:val="18"/>
                              </w:rPr>
                              <w:t>G</w:t>
                            </w:r>
                            <w:r w:rsidRPr="00071A11">
                              <w:rPr>
                                <w:sz w:val="18"/>
                                <w:szCs w:val="18"/>
                              </w:rPr>
                              <w:t>5</w:t>
                            </w:r>
                          </w:p>
                        </w:txbxContent>
                      </v:textbox>
                    </v:shape>
                    <v:shape id="_x0000_s1577" type="#_x0000_t202" style="position:absolute;left:3249948;top:4199861;width:1073476;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th5xAAA&#10;ANwAAAAPAAAAZHJzL2Rvd25yZXYueG1sRI9Pi8IwFMTvC36H8IS9ral2V6UaxT8siHixevD4aJ5t&#10;sXkpTbTdb2+EBY/DzPyGmS87U4kHNa60rGA4iEAQZ1aXnCs4n36/piCcR9ZYWSYFf+Rgueh9zDHR&#10;tuUjPVKfiwBhl6CCwvs6kdJlBRl0A1sTB+9qG4M+yCaXusE2wE0lR1E0lgZLDgsF1rQpKLuld6Ng&#10;H9PtEufu4NrrOt7paHuo9lulPvvdagbCU+ff4f/2Tiv4nvzA60w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bYecQAAADcAAAADwAAAAAAAAAAAAAAAACXAgAAZHJzL2Rv&#10;d25yZXYueG1sUEsFBgAAAAAEAAQA9QAAAIgDAAAAAA==&#10;" fillcolor="white [3201]" strokecolor="black [3200]" strokeweight="1pt">
                      <v:textbox>
                        <w:txbxContent>
                          <w:p w14:paraId="2FD4CFCC" w14:textId="77777777" w:rsidR="00C8402C" w:rsidRPr="00071A11" w:rsidRDefault="00C8402C" w:rsidP="005031E7">
                            <w:pPr>
                              <w:rPr>
                                <w:sz w:val="18"/>
                                <w:szCs w:val="18"/>
                              </w:rPr>
                            </w:pPr>
                            <w:r w:rsidRPr="00071A11">
                              <w:rPr>
                                <w:sz w:val="18"/>
                                <w:szCs w:val="18"/>
                              </w:rPr>
                              <w:t xml:space="preserve">BPF: </w:t>
                            </w:r>
                            <w:r>
                              <w:rPr>
                                <w:sz w:val="18"/>
                                <w:szCs w:val="18"/>
                              </w:rPr>
                              <w:t>D10</w:t>
                            </w:r>
                          </w:p>
                          <w:p w14:paraId="123491B0" w14:textId="77777777" w:rsidR="00C8402C" w:rsidRPr="00071A11" w:rsidRDefault="00C8402C" w:rsidP="005031E7">
                            <w:pPr>
                              <w:rPr>
                                <w:sz w:val="18"/>
                                <w:szCs w:val="18"/>
                              </w:rPr>
                            </w:pPr>
                            <w:r w:rsidRPr="00071A11">
                              <w:rPr>
                                <w:sz w:val="18"/>
                                <w:szCs w:val="18"/>
                              </w:rPr>
                              <w:t xml:space="preserve">SRLF: </w:t>
                            </w:r>
                            <w:r>
                              <w:rPr>
                                <w:sz w:val="18"/>
                                <w:szCs w:val="18"/>
                              </w:rPr>
                              <w:t>P4, Q4</w:t>
                            </w:r>
                          </w:p>
                        </w:txbxContent>
                      </v:textbox>
                    </v:shape>
                    <v:shape id="_x0000_s1578" type="#_x0000_t202" style="position:absolute;left:5700939;top:3030383;width:1591594;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EYOxAAA&#10;ANwAAAAPAAAAZHJzL2Rvd25yZXYueG1sRI9Li8JAEITvgv9h6AVvOlkjKtmM4gNBxIuPwx6bTOeB&#10;mZ6QGU323+8IC3ssquorKl33phYval1lWcHnJAJBnFldcaHgfjuMlyCcR9ZYWyYFP+RgvRoOUky0&#10;7fhCr6svRICwS1BB6X2TSOmykgy6iW2Ig5fb1qAPsi2kbrELcFPLaRTNpcGKw0KJDe1Kyh7Xp1Fw&#10;iunxHRfu7Lp8Gx91tD/Xp71So49+8wXCU+//w3/to1YwW8zhfS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RGDsQAAADcAAAADwAAAAAAAAAAAAAAAACXAgAAZHJzL2Rv&#10;d25yZXYueG1sUEsFBgAAAAAEAAQA9QAAAIgDAAAAAA==&#10;" fillcolor="white [3201]" strokecolor="black [3200]" strokeweight="1pt">
                      <v:textbox>
                        <w:txbxContent>
                          <w:p w14:paraId="121C8A06" w14:textId="77777777" w:rsidR="00C8402C" w:rsidRPr="00071A11" w:rsidRDefault="00C8402C" w:rsidP="005031E7">
                            <w:pPr>
                              <w:rPr>
                                <w:sz w:val="18"/>
                                <w:szCs w:val="18"/>
                              </w:rPr>
                            </w:pPr>
                            <w:r w:rsidRPr="00071A11">
                              <w:rPr>
                                <w:sz w:val="18"/>
                                <w:szCs w:val="18"/>
                              </w:rPr>
                              <w:t xml:space="preserve">BPF: </w:t>
                            </w:r>
                            <w:r>
                              <w:rPr>
                                <w:sz w:val="18"/>
                                <w:szCs w:val="18"/>
                              </w:rPr>
                              <w:t>K1, P7</w:t>
                            </w:r>
                          </w:p>
                          <w:p w14:paraId="6BE7BA74" w14:textId="77777777" w:rsidR="00C8402C" w:rsidRPr="00071A11" w:rsidRDefault="00C8402C" w:rsidP="005031E7">
                            <w:pPr>
                              <w:rPr>
                                <w:sz w:val="18"/>
                                <w:szCs w:val="18"/>
                              </w:rPr>
                            </w:pPr>
                            <w:r w:rsidRPr="00071A11">
                              <w:rPr>
                                <w:sz w:val="18"/>
                                <w:szCs w:val="18"/>
                              </w:rPr>
                              <w:t xml:space="preserve">SRLF: </w:t>
                            </w:r>
                            <w:r>
                              <w:rPr>
                                <w:sz w:val="18"/>
                                <w:szCs w:val="18"/>
                              </w:rPr>
                              <w:t>A4, B4, D4, N10</w:t>
                            </w:r>
                          </w:p>
                        </w:txbxContent>
                      </v:textbox>
                    </v:shape>
                    <v:shape id="_x0000_s1579" type="#_x0000_t202" style="position:absolute;left:3621434;top:3093823;width:1510104;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qOOVwwAA&#10;ANwAAAAPAAAAZHJzL2Rvd25yZXYueG1sRI/NqsIwFIT3gu8QjuBOU29FpRpFrwgibvxZuDw0x7bY&#10;nJQm2vr25sIFl8PMfMMsVq0pxYtqV1hWMBpGIIhTqwvOFFwvu8EMhPPIGkvLpOBNDlbLbmeBibYN&#10;n+h19pkIEHYJKsi9rxIpXZqTQTe0FXHw7rY26IOsM6lrbALclPIniibSYMFhIceKfnNKH+enUXCI&#10;6XGLM3d0zX0T73W0PZaHrVL9Xrueg/DU+m/4v73XCsbTKfydCUdAL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qOOVwwAAANwAAAAPAAAAAAAAAAAAAAAAAJcCAABkcnMvZG93&#10;bnJldi54bWxQSwUGAAAAAAQABAD1AAAAhwMAAAAA&#10;" fillcolor="white [3201]" strokecolor="black [3200]" strokeweight="1pt">
                      <v:textbox>
                        <w:txbxContent>
                          <w:p w14:paraId="0A434DAF" w14:textId="77777777" w:rsidR="00C8402C" w:rsidRPr="00071A11" w:rsidRDefault="00C8402C" w:rsidP="005031E7">
                            <w:pPr>
                              <w:rPr>
                                <w:sz w:val="18"/>
                                <w:szCs w:val="18"/>
                              </w:rPr>
                            </w:pPr>
                            <w:r w:rsidRPr="00071A11">
                              <w:rPr>
                                <w:sz w:val="18"/>
                                <w:szCs w:val="18"/>
                              </w:rPr>
                              <w:t xml:space="preserve">BPF: </w:t>
                            </w:r>
                            <w:r>
                              <w:rPr>
                                <w:sz w:val="18"/>
                                <w:szCs w:val="18"/>
                              </w:rPr>
                              <w:t>H6, P10</w:t>
                            </w:r>
                          </w:p>
                          <w:p w14:paraId="5307E261" w14:textId="77777777" w:rsidR="00C8402C" w:rsidRPr="00071A11" w:rsidRDefault="00C8402C" w:rsidP="005031E7">
                            <w:pPr>
                              <w:rPr>
                                <w:sz w:val="18"/>
                                <w:szCs w:val="18"/>
                              </w:rPr>
                            </w:pPr>
                            <w:r w:rsidRPr="00071A11">
                              <w:rPr>
                                <w:sz w:val="18"/>
                                <w:szCs w:val="18"/>
                              </w:rPr>
                              <w:t xml:space="preserve">SRLF: </w:t>
                            </w:r>
                            <w:r>
                              <w:rPr>
                                <w:sz w:val="18"/>
                                <w:szCs w:val="18"/>
                              </w:rPr>
                              <w:t>C6, L1, M6, W4</w:t>
                            </w:r>
                          </w:p>
                        </w:txbxContent>
                      </v:textbox>
                    </v:shape>
                    <v:shape id="_x0000_s1580" type="#_x0000_t202" style="position:absolute;left:1371126;top:1775447;width:1067089;height:777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WWxQAA&#10;ANwAAAAPAAAAZHJzL2Rvd25yZXYueG1sRI9Ba4NAFITvhf6H5RVyq2tjSYPNRpJIIYiX2h5yfLgv&#10;KnHfiruJ9t93C4Uch5n5htlks+nFjUbXWVbwEsUgiGurO24UfH99PK9BOI+ssbdMCn7IQbZ9fNhg&#10;qu3En3SrfCMChF2KClrvh1RKV7dk0EV2IA7e2Y4GfZBjI/WIU4CbXi7jeCUNdhwWWhzo0FJ9qa5G&#10;QZHQ5ZQ0rnTTeZ8cdZyXfZErtXiad+8gPM3+Hv5vH7WC17cE/s6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T5ZbFAAAA3AAAAA8AAAAAAAAAAAAAAAAAlwIAAGRycy9k&#10;b3ducmV2LnhtbFBLBQYAAAAABAAEAPUAAACJAwAAAAA=&#10;" fillcolor="white [3201]" strokecolor="black [3200]" strokeweight="1pt">
                      <v:textbox>
                        <w:txbxContent>
                          <w:p w14:paraId="763E4090" w14:textId="77777777" w:rsidR="00C8402C" w:rsidRPr="00071A11" w:rsidRDefault="00C8402C" w:rsidP="005031E7">
                            <w:pPr>
                              <w:rPr>
                                <w:sz w:val="18"/>
                                <w:szCs w:val="18"/>
                              </w:rPr>
                            </w:pPr>
                            <w:r w:rsidRPr="00071A11">
                              <w:rPr>
                                <w:sz w:val="18"/>
                                <w:szCs w:val="18"/>
                              </w:rPr>
                              <w:t xml:space="preserve">BPF: </w:t>
                            </w:r>
                            <w:r>
                              <w:rPr>
                                <w:sz w:val="18"/>
                                <w:szCs w:val="18"/>
                              </w:rPr>
                              <w:t>H8, D3, I8</w:t>
                            </w:r>
                          </w:p>
                          <w:p w14:paraId="4D3FB99D" w14:textId="77777777" w:rsidR="00C8402C" w:rsidRPr="00071A11" w:rsidRDefault="00C8402C" w:rsidP="005031E7">
                            <w:pPr>
                              <w:rPr>
                                <w:sz w:val="18"/>
                                <w:szCs w:val="18"/>
                              </w:rPr>
                            </w:pPr>
                            <w:r w:rsidRPr="00071A11">
                              <w:rPr>
                                <w:sz w:val="18"/>
                                <w:szCs w:val="18"/>
                              </w:rPr>
                              <w:t xml:space="preserve">SRLF: </w:t>
                            </w:r>
                            <w:r>
                              <w:rPr>
                                <w:sz w:val="18"/>
                                <w:szCs w:val="18"/>
                              </w:rPr>
                              <w:t>B8, C8, W8, B3, D5, L6, G6</w:t>
                            </w:r>
                          </w:p>
                        </w:txbxContent>
                      </v:textbox>
                    </v:shape>
                  </v:group>
                </v:group>
              </v:group>
            </w:pict>
          </mc:Fallback>
        </mc:AlternateContent>
      </w:r>
    </w:p>
    <w:p w14:paraId="044B47F3" w14:textId="5D36B15D" w:rsidR="005031E7" w:rsidRPr="003726FE" w:rsidRDefault="005031E7" w:rsidP="005031E7"/>
    <w:p w14:paraId="6EDD3B14" w14:textId="26EF56A0" w:rsidR="00FD729E" w:rsidRDefault="00FD729E">
      <w:pPr>
        <w:rPr>
          <w:rFonts w:eastAsia="Lucida Sans Unicode" w:cs="Mangal"/>
          <w:kern w:val="1"/>
          <w:szCs w:val="24"/>
          <w:lang w:eastAsia="hi-IN" w:bidi="hi-IN"/>
        </w:rPr>
      </w:pPr>
      <w:r>
        <w:br w:type="page"/>
      </w:r>
    </w:p>
    <w:p w14:paraId="081016ED" w14:textId="77777777" w:rsidR="00FD729E" w:rsidRDefault="00FD729E" w:rsidP="00AF7D25">
      <w:pPr>
        <w:pStyle w:val="Normal1"/>
        <w:rPr>
          <w:lang w:val="en-GB"/>
        </w:rPr>
        <w:sectPr w:rsidR="00FD729E" w:rsidSect="007C73DC">
          <w:pgSz w:w="16838" w:h="11906" w:orient="landscape"/>
          <w:pgMar w:top="1134" w:right="1134" w:bottom="1134" w:left="2268" w:header="708" w:footer="708" w:gutter="0"/>
          <w:cols w:space="708"/>
          <w:docGrid w:linePitch="360"/>
        </w:sectPr>
      </w:pPr>
    </w:p>
    <w:p w14:paraId="46DB0141" w14:textId="701C41E0" w:rsidR="00AF7D25" w:rsidRPr="00B27F0B" w:rsidRDefault="00FD729E" w:rsidP="00B27F0B">
      <w:pPr>
        <w:pStyle w:val="Heading2"/>
        <w:rPr>
          <w:lang w:val="en-GB"/>
        </w:rPr>
      </w:pPr>
      <w:bookmarkStart w:id="1019" w:name="_Toc500319501"/>
      <w:r w:rsidRPr="00B27F0B">
        <w:rPr>
          <w:lang w:val="en-GB"/>
        </w:rPr>
        <w:lastRenderedPageBreak/>
        <w:t xml:space="preserve">Appendix 30. Selected External </w:t>
      </w:r>
      <w:r w:rsidR="00EB5B25" w:rsidRPr="00B27F0B">
        <w:rPr>
          <w:lang w:val="en-GB"/>
        </w:rPr>
        <w:t>Communications/Publications/Presentations</w:t>
      </w:r>
      <w:bookmarkEnd w:id="1019"/>
    </w:p>
    <w:p w14:paraId="22B5389A" w14:textId="77777777" w:rsidR="00475C24" w:rsidRDefault="00475C24" w:rsidP="00B27F0B">
      <w:pPr>
        <w:pStyle w:val="Normal1"/>
      </w:pPr>
    </w:p>
    <w:p w14:paraId="57CA38AF" w14:textId="3390B9FD" w:rsidR="00475C24" w:rsidRDefault="00475C24" w:rsidP="00B27F0B">
      <w:pPr>
        <w:pStyle w:val="Heading3"/>
      </w:pPr>
      <w:bookmarkStart w:id="1020" w:name="_Toc500319502"/>
      <w:r>
        <w:t>Sheffield AUMPC Seminar</w:t>
      </w:r>
      <w:r w:rsidR="00320687">
        <w:t xml:space="preserve"> June 2017 – to an audience of primary care researchers at Sheffield</w:t>
      </w:r>
      <w:bookmarkEnd w:id="1020"/>
    </w:p>
    <w:p w14:paraId="451C403E" w14:textId="77777777" w:rsidR="00475C24" w:rsidRDefault="00475C24" w:rsidP="00B27F0B">
      <w:pPr>
        <w:pStyle w:val="Normal1"/>
      </w:pPr>
    </w:p>
    <w:p w14:paraId="2EDD2509" w14:textId="2A3ACE48" w:rsidR="00320687" w:rsidRPr="00320687" w:rsidRDefault="00320687" w:rsidP="00320687">
      <w:pPr>
        <w:pStyle w:val="Normal1"/>
        <w:rPr>
          <w:lang w:val="en-GB"/>
        </w:rPr>
      </w:pPr>
      <w:r w:rsidRPr="00320687">
        <w:rPr>
          <w:b/>
          <w:bCs/>
          <w:lang w:val="en-GB"/>
        </w:rPr>
        <w:t>Title: Effective feedback giving? The impact of a training intervention on experienced and novice teachers.</w:t>
      </w:r>
      <w:r w:rsidRPr="00320687">
        <w:rPr>
          <w:lang w:val="en-GB"/>
        </w:rPr>
        <w:br/>
      </w:r>
      <w:r w:rsidRPr="00320687">
        <w:rPr>
          <w:lang w:val="en-GB"/>
        </w:rPr>
        <w:br/>
      </w:r>
      <w:r w:rsidRPr="00320687">
        <w:rPr>
          <w:b/>
          <w:bCs/>
          <w:lang w:val="en-GB"/>
        </w:rPr>
        <w:t>Abstract:</w:t>
      </w:r>
      <w:r w:rsidRPr="00320687">
        <w:rPr>
          <w:lang w:val="en-GB"/>
        </w:rPr>
        <w:br/>
      </w:r>
      <w:r w:rsidRPr="00320687">
        <w:rPr>
          <w:lang w:val="en-GB"/>
        </w:rPr>
        <w:br/>
        <w:t>The synergy between feedback and Self-Regulated Learning (SRL) is considered integral to the development of effective healthcare professionals. However, current literature suggests that SRL strategies are not well supported in teaching sessions with attention given to ‘conventional’ feedback that is predominantly unidirectional in delivery. We used a randomised, structured faculty development intervention to explore the impact of conventional and SRL feedback training upon the practice of novice and experienced teachers.</w:t>
      </w:r>
      <w:r w:rsidRPr="00320687">
        <w:rPr>
          <w:lang w:val="en-GB"/>
        </w:rPr>
        <w:br/>
      </w:r>
      <w:r w:rsidRPr="00320687">
        <w:rPr>
          <w:lang w:val="en-GB"/>
        </w:rPr>
        <w:br/>
        <w:t>Teachers (n=14) received refresher training in best practice techniques, half of the group were randomly allocated to receive additional training in SRL microanalysis to explicitly develop SRL with feedback. The study took place within authentic, structured clinical skills teaching sessions where second year medical students were randomly allocated to receive ‘conventional’ feedback or SRL feedback. Teachers (n=13) participated in semi-structured follow-up interviews thematically analysed using a framework approach.</w:t>
      </w:r>
      <w:r w:rsidRPr="00320687">
        <w:rPr>
          <w:lang w:val="en-GB"/>
        </w:rPr>
        <w:br/>
      </w:r>
      <w:r w:rsidRPr="00320687">
        <w:rPr>
          <w:lang w:val="en-GB"/>
        </w:rPr>
        <w:br/>
        <w:t>Video analysis confirmed teaching techniques incorporated the appropriate feedback approaches. Three themes arose: (1) conceptions of feedback informing teaching practice; (2); factors influencing the feedback encounter (3) dynamic and reflective changes in practice. A conceptual model was developed elucidating the impact of the feedback models on teaching and feedback practices. There were also differences in teaching and feedback conceptions between experiences and novice teachers.</w:t>
      </w:r>
      <w:r>
        <w:rPr>
          <w:lang w:val="en-GB"/>
        </w:rPr>
        <w:t xml:space="preserve"> </w:t>
      </w:r>
      <w:r w:rsidRPr="00320687">
        <w:rPr>
          <w:lang w:val="en-GB"/>
        </w:rPr>
        <w:t>Medical educators adapt teaching practices to explicitly support students’ SRL following a training intervention. Our conceptual model illustrates the importance of the educator’s conceptions of feedback-giving within teaching sessions to change practice.</w:t>
      </w:r>
    </w:p>
    <w:p w14:paraId="74C7791D" w14:textId="03ED63D9" w:rsidR="00475C24" w:rsidRDefault="00475C24" w:rsidP="00B27F0B">
      <w:pPr>
        <w:pStyle w:val="Normal1"/>
      </w:pPr>
      <w:r>
        <w:br w:type="page"/>
      </w:r>
    </w:p>
    <w:p w14:paraId="43A1C73D" w14:textId="77777777" w:rsidR="00EB5B25" w:rsidRPr="00C8402C" w:rsidRDefault="00EB5B25" w:rsidP="00B27F0B"/>
    <w:p w14:paraId="237E4EB7" w14:textId="7651736F" w:rsidR="00EB5B25" w:rsidRDefault="00F32B0B" w:rsidP="00B27F0B">
      <w:pPr>
        <w:pStyle w:val="Heading3"/>
      </w:pPr>
      <w:bookmarkStart w:id="1021" w:name="_Toc500319503"/>
      <w:r>
        <w:t>ASME Researching Medical Education conference November 2016 – Masterclass poster presentation</w:t>
      </w:r>
      <w:bookmarkEnd w:id="1021"/>
    </w:p>
    <w:p w14:paraId="2C52F9D4" w14:textId="30CE69E8" w:rsidR="00475C24" w:rsidRDefault="00475C24" w:rsidP="00F32B0B">
      <w:pPr>
        <w:rPr>
          <w:lang w:eastAsia="hi-IN" w:bidi="hi-IN"/>
        </w:rPr>
      </w:pPr>
      <w:r>
        <w:rPr>
          <w:noProof/>
          <w:lang w:eastAsia="en-GB"/>
        </w:rPr>
        <w:drawing>
          <wp:inline distT="0" distB="0" distL="0" distR="0" wp14:anchorId="2384CD2D" wp14:editId="1DE49825">
            <wp:extent cx="6879567" cy="4870344"/>
            <wp:effectExtent l="0" t="11430" r="0" b="0"/>
            <wp:docPr id="96" name="Picture 96" descr="/Users/billybryan/Desktop/Screen Shot 2017-11-15 at 17.4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illybryan/Desktop/Screen Shot 2017-11-15 at 17.44.23.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rot="5400000">
                      <a:off x="0" y="0"/>
                      <a:ext cx="6879567" cy="4870344"/>
                    </a:xfrm>
                    <a:prstGeom prst="rect">
                      <a:avLst/>
                    </a:prstGeom>
                    <a:noFill/>
                    <a:ln>
                      <a:noFill/>
                    </a:ln>
                  </pic:spPr>
                </pic:pic>
              </a:graphicData>
            </a:graphic>
          </wp:inline>
        </w:drawing>
      </w:r>
    </w:p>
    <w:p w14:paraId="79C1BED9" w14:textId="77777777" w:rsidR="00475C24" w:rsidRDefault="00475C24">
      <w:pPr>
        <w:rPr>
          <w:lang w:eastAsia="hi-IN" w:bidi="hi-IN"/>
        </w:rPr>
      </w:pPr>
      <w:r>
        <w:rPr>
          <w:lang w:eastAsia="hi-IN" w:bidi="hi-IN"/>
        </w:rPr>
        <w:br w:type="page"/>
      </w:r>
    </w:p>
    <w:p w14:paraId="32137DD0" w14:textId="0ED3A5D3" w:rsidR="00F32B0B" w:rsidRDefault="004A624B" w:rsidP="00B27F0B">
      <w:pPr>
        <w:pStyle w:val="Heading3"/>
      </w:pPr>
      <w:bookmarkStart w:id="1022" w:name="_Toc500319504"/>
      <w:r>
        <w:lastRenderedPageBreak/>
        <w:t>Three Minute Thesis competition – University finalist - May 2017</w:t>
      </w:r>
      <w:bookmarkEnd w:id="1022"/>
    </w:p>
    <w:p w14:paraId="421D77C4" w14:textId="77777777" w:rsidR="004A624B" w:rsidRDefault="004A624B" w:rsidP="00B27F0B"/>
    <w:p w14:paraId="7F887397" w14:textId="6B324D2A" w:rsidR="004A624B" w:rsidRDefault="004A624B" w:rsidP="00B27F0B">
      <w:r>
        <w:rPr>
          <w:lang w:eastAsia="hi-IN" w:bidi="hi-IN"/>
        </w:rPr>
        <w:t>Script:</w:t>
      </w:r>
    </w:p>
    <w:p w14:paraId="029BAA0B" w14:textId="77777777" w:rsidR="004A624B" w:rsidRPr="004A624B" w:rsidRDefault="004A624B" w:rsidP="004A624B">
      <w:pPr>
        <w:rPr>
          <w:lang w:eastAsia="hi-IN" w:bidi="hi-IN"/>
        </w:rPr>
      </w:pPr>
      <w:r w:rsidRPr="004A624B">
        <w:rPr>
          <w:lang w:eastAsia="hi-IN" w:bidi="hi-IN"/>
        </w:rPr>
        <w:t xml:space="preserve">I want you to imagine that you are a student doctor on your first day in a new hospital. The Junior doctor who is drowning in work, has asked you to take blood from Mrs. Green in cubicle five. So you gather your equipment, walk over, and pull back the curtain, you’ve never done this on a real person before and your hands are shaking. Mrs. Green sees you coming, she’s turning green as she sees how nervous you are. Nonetheless, you prepare her, tie the tourniquet, look for the vein, take up your needle, and jab her in the arm, you miss, no blood, you try again, you miss, no blood, the vein starts ballooning, you don’t know what to do, no one taught you about this and you have to call the junior doctor, who pushes you aside tells you to go and find something else to do, and returns Mrs. Green to her normal colour. You know you did it wrong but you what don’t know is how you’re going to do it right when you have to do it again maybe in the next hour, partly because the feedback and support wasn’t there. That was a true story from my research. </w:t>
      </w:r>
    </w:p>
    <w:p w14:paraId="28D71661" w14:textId="77777777" w:rsidR="004A624B" w:rsidRPr="004A624B" w:rsidRDefault="004A624B" w:rsidP="004A624B">
      <w:pPr>
        <w:rPr>
          <w:lang w:eastAsia="hi-IN" w:bidi="hi-IN"/>
        </w:rPr>
      </w:pPr>
      <w:r w:rsidRPr="004A624B">
        <w:rPr>
          <w:lang w:eastAsia="hi-IN" w:bidi="hi-IN"/>
        </w:rPr>
        <w:t>My name is Billy Bryan, im studying how I can help medical students survive and succeed through the transition from classroom based medicine to the messy clinical environment which can be extremely rough, leaving students feeling worthless, confused about what they’re supposed to be learning, and a fear of engaging with real patients. We think that although we teach them how to perform the skills manually, we don’t prepare them with mental skills to deal with uncertainty and to build their confidence.</w:t>
      </w:r>
    </w:p>
    <w:p w14:paraId="5E824B6D" w14:textId="77777777" w:rsidR="004A624B" w:rsidRPr="004A624B" w:rsidRDefault="004A624B" w:rsidP="004A624B">
      <w:pPr>
        <w:rPr>
          <w:lang w:eastAsia="hi-IN" w:bidi="hi-IN"/>
        </w:rPr>
      </w:pPr>
      <w:r w:rsidRPr="004A624B">
        <w:rPr>
          <w:lang w:eastAsia="hi-IN" w:bidi="hi-IN"/>
        </w:rPr>
        <w:t>To address this uneasy transition, I developed a new solution: I took teachers, who teach them skills in safe simulated settings, and trained them in a more advanced feedback giving method designed to improve confidence, tackle uncertainty, and to develop independence. When teaching they asked: What’s your plan for finding the right vein? Tell me step by step how you’ll do it? How would you act if it went wrong? We’re having a conversation, and giving feedback on their responses to hone both their physical and mental skills.</w:t>
      </w:r>
    </w:p>
    <w:p w14:paraId="47946A51" w14:textId="77777777" w:rsidR="004A624B" w:rsidRPr="004A624B" w:rsidRDefault="004A624B" w:rsidP="004A624B">
      <w:pPr>
        <w:rPr>
          <w:lang w:eastAsia="hi-IN" w:bidi="hi-IN"/>
        </w:rPr>
      </w:pPr>
      <w:r w:rsidRPr="004A624B">
        <w:rPr>
          <w:lang w:eastAsia="hi-IN" w:bidi="hi-IN"/>
        </w:rPr>
        <w:t>To test this, we did our own version of a clinical trial. We gave this to one half of a normal cohort of students for three months and tested the differences multiple times over a year where they made this transition, we compared them to a ‘business as usual’ cohort. Three things changed for the new feedback group: (1) students on hospital placements are reporting higher levels of confidence. (2) higher levels of independent learning (3) Teachers found that they could build the new method into what they were already doing.</w:t>
      </w:r>
    </w:p>
    <w:p w14:paraId="23BF7779" w14:textId="77777777" w:rsidR="004A624B" w:rsidRPr="004A624B" w:rsidRDefault="004A624B" w:rsidP="004A624B">
      <w:pPr>
        <w:rPr>
          <w:lang w:eastAsia="hi-IN" w:bidi="hi-IN"/>
        </w:rPr>
      </w:pPr>
      <w:r w:rsidRPr="004A624B">
        <w:rPr>
          <w:lang w:eastAsia="hi-IN" w:bidi="hi-IN"/>
        </w:rPr>
        <w:t>These results mean that we’re changing the way doctors are trained in their early years, next we aim to roll this out across the whole course to see what impact we can have. Given the pressures that the healthcare system is under right now, we need to be preparing our students for instability. If you’ve ever needed a doctor, you’ll know that more mindful medics are in all of our best interests.</w:t>
      </w:r>
    </w:p>
    <w:p w14:paraId="30C75C72" w14:textId="30486F3C" w:rsidR="00A07671" w:rsidRDefault="00A07671">
      <w:pPr>
        <w:rPr>
          <w:lang w:eastAsia="hi-IN" w:bidi="hi-IN"/>
        </w:rPr>
      </w:pPr>
      <w:r>
        <w:rPr>
          <w:lang w:eastAsia="hi-IN" w:bidi="hi-IN"/>
        </w:rPr>
        <w:br w:type="page"/>
      </w:r>
    </w:p>
    <w:p w14:paraId="65E00C10" w14:textId="3A7FBA12" w:rsidR="004A624B" w:rsidRDefault="00A07671" w:rsidP="00B27F0B">
      <w:pPr>
        <w:pStyle w:val="Heading3"/>
      </w:pPr>
      <w:bookmarkStart w:id="1023" w:name="_Toc500319505"/>
      <w:r>
        <w:lastRenderedPageBreak/>
        <w:t>Sheffield Hallam University – Institute of Education seminar – December 2016</w:t>
      </w:r>
      <w:bookmarkEnd w:id="1023"/>
    </w:p>
    <w:p w14:paraId="2099773A" w14:textId="77777777" w:rsidR="00A07671" w:rsidRDefault="00A07671" w:rsidP="00B27F0B"/>
    <w:p w14:paraId="596B0173" w14:textId="77777777" w:rsidR="00A07671" w:rsidRDefault="00A07671" w:rsidP="00A07671">
      <w:pPr>
        <w:rPr>
          <w:lang w:eastAsia="hi-IN" w:bidi="hi-IN"/>
        </w:rPr>
      </w:pPr>
      <w:r>
        <w:rPr>
          <w:lang w:eastAsia="hi-IN" w:bidi="hi-IN"/>
        </w:rPr>
        <w:t>Background and Rationale:</w:t>
      </w:r>
    </w:p>
    <w:p w14:paraId="79237E87" w14:textId="77777777" w:rsidR="00A07671" w:rsidRDefault="00A07671" w:rsidP="00A07671">
      <w:pPr>
        <w:rPr>
          <w:lang w:eastAsia="hi-IN" w:bidi="hi-IN"/>
        </w:rPr>
      </w:pPr>
      <w:r>
        <w:rPr>
          <w:lang w:eastAsia="hi-IN" w:bidi="hi-IN"/>
        </w:rPr>
        <w:t>How learners recognise, understand, and implement feedback is a hot topic in medical</w:t>
      </w:r>
    </w:p>
    <w:p w14:paraId="61B9F481" w14:textId="77777777" w:rsidR="00A07671" w:rsidRDefault="00A07671" w:rsidP="00A07671">
      <w:pPr>
        <w:rPr>
          <w:lang w:eastAsia="hi-IN" w:bidi="hi-IN"/>
        </w:rPr>
      </w:pPr>
      <w:r>
        <w:rPr>
          <w:lang w:eastAsia="hi-IN" w:bidi="hi-IN"/>
        </w:rPr>
        <w:t>education - very little is known about what kind of feedback is recognised, understood, and</w:t>
      </w:r>
    </w:p>
    <w:p w14:paraId="35E5F59F" w14:textId="77777777" w:rsidR="00A07671" w:rsidRDefault="00A07671" w:rsidP="00A07671">
      <w:pPr>
        <w:rPr>
          <w:lang w:eastAsia="hi-IN" w:bidi="hi-IN"/>
        </w:rPr>
      </w:pPr>
      <w:r>
        <w:rPr>
          <w:lang w:eastAsia="hi-IN" w:bidi="hi-IN"/>
        </w:rPr>
        <w:t>used. New evidence from multiple fields has suggested that feedback informed by self-</w:t>
      </w:r>
    </w:p>
    <w:p w14:paraId="520C98CC" w14:textId="77777777" w:rsidR="00A07671" w:rsidRDefault="00A07671" w:rsidP="00A07671">
      <w:pPr>
        <w:rPr>
          <w:lang w:eastAsia="hi-IN" w:bidi="hi-IN"/>
        </w:rPr>
      </w:pPr>
      <w:r>
        <w:rPr>
          <w:lang w:eastAsia="hi-IN" w:bidi="hi-IN"/>
        </w:rPr>
        <w:t>regulated learning concepts (SRL) may have more impact on students approaches to learning</w:t>
      </w:r>
    </w:p>
    <w:p w14:paraId="484EA140" w14:textId="77777777" w:rsidR="00A07671" w:rsidRDefault="00A07671" w:rsidP="00A07671">
      <w:pPr>
        <w:rPr>
          <w:lang w:eastAsia="hi-IN" w:bidi="hi-IN"/>
        </w:rPr>
      </w:pPr>
      <w:r>
        <w:rPr>
          <w:lang w:eastAsia="hi-IN" w:bidi="hi-IN"/>
        </w:rPr>
        <w:t>and feedback, but no studies have directly explored this. The purpose of this PhD project is to</w:t>
      </w:r>
    </w:p>
    <w:p w14:paraId="0B8CF79C" w14:textId="77777777" w:rsidR="00A07671" w:rsidRDefault="00A07671" w:rsidP="00A07671">
      <w:pPr>
        <w:rPr>
          <w:lang w:eastAsia="hi-IN" w:bidi="hi-IN"/>
        </w:rPr>
      </w:pPr>
      <w:r>
        <w:rPr>
          <w:lang w:eastAsia="hi-IN" w:bidi="hi-IN"/>
        </w:rPr>
        <w:t>explore the impact of an SRL model to improve feedback impact and learning strategies for</w:t>
      </w:r>
    </w:p>
    <w:p w14:paraId="3A03C99B" w14:textId="77777777" w:rsidR="00A07671" w:rsidRDefault="00A07671" w:rsidP="00A07671">
      <w:pPr>
        <w:rPr>
          <w:lang w:eastAsia="hi-IN" w:bidi="hi-IN"/>
        </w:rPr>
      </w:pPr>
      <w:r>
        <w:rPr>
          <w:lang w:eastAsia="hi-IN" w:bidi="hi-IN"/>
        </w:rPr>
        <w:t>medical undergraduates in clinical skills training. It is hypothesised that undergraduate</w:t>
      </w:r>
    </w:p>
    <w:p w14:paraId="3E5A000C" w14:textId="77777777" w:rsidR="00A07671" w:rsidRDefault="00A07671" w:rsidP="00A07671">
      <w:pPr>
        <w:rPr>
          <w:lang w:eastAsia="hi-IN" w:bidi="hi-IN"/>
        </w:rPr>
      </w:pPr>
      <w:r>
        <w:rPr>
          <w:lang w:eastAsia="hi-IN" w:bidi="hi-IN"/>
        </w:rPr>
        <w:t>medical students improve their learning strategies and feedback recognition by receiving an</w:t>
      </w:r>
    </w:p>
    <w:p w14:paraId="1DC0A3CE" w14:textId="77777777" w:rsidR="00A07671" w:rsidRDefault="00A07671" w:rsidP="00A07671">
      <w:pPr>
        <w:rPr>
          <w:lang w:eastAsia="hi-IN" w:bidi="hi-IN"/>
        </w:rPr>
      </w:pPr>
      <w:r>
        <w:rPr>
          <w:lang w:eastAsia="hi-IN" w:bidi="hi-IN"/>
        </w:rPr>
        <w:t>SRL feedback intervention compared to usual “best practice” feedback.</w:t>
      </w:r>
    </w:p>
    <w:p w14:paraId="0258C857" w14:textId="77777777" w:rsidR="00A07671" w:rsidRDefault="00A07671" w:rsidP="00A07671">
      <w:pPr>
        <w:rPr>
          <w:lang w:eastAsia="hi-IN" w:bidi="hi-IN"/>
        </w:rPr>
      </w:pPr>
      <w:r>
        <w:rPr>
          <w:lang w:eastAsia="hi-IN" w:bidi="hi-IN"/>
        </w:rPr>
        <w:t>Methodology:</w:t>
      </w:r>
    </w:p>
    <w:p w14:paraId="230A756B" w14:textId="77777777" w:rsidR="00A07671" w:rsidRDefault="00A07671" w:rsidP="00A07671">
      <w:pPr>
        <w:rPr>
          <w:lang w:eastAsia="hi-IN" w:bidi="hi-IN"/>
        </w:rPr>
      </w:pPr>
      <w:r>
        <w:rPr>
          <w:lang w:eastAsia="hi-IN" w:bidi="hi-IN"/>
        </w:rPr>
        <w:t>A mixed methods cohort study was conducted in which 171 undergraduate medical students</w:t>
      </w:r>
    </w:p>
    <w:p w14:paraId="63474C1C" w14:textId="77777777" w:rsidR="00A07671" w:rsidRDefault="00A07671" w:rsidP="00A07671">
      <w:pPr>
        <w:rPr>
          <w:lang w:eastAsia="hi-IN" w:bidi="hi-IN"/>
        </w:rPr>
      </w:pPr>
      <w:r>
        <w:rPr>
          <w:lang w:eastAsia="hi-IN" w:bidi="hi-IN"/>
        </w:rPr>
        <w:t>completed two SRL surveys (SSRQ and GSE) before and after random allocation to groups</w:t>
      </w:r>
    </w:p>
    <w:p w14:paraId="413FAE88" w14:textId="77777777" w:rsidR="00A07671" w:rsidRDefault="00A07671" w:rsidP="00A07671">
      <w:pPr>
        <w:rPr>
          <w:lang w:eastAsia="hi-IN" w:bidi="hi-IN"/>
        </w:rPr>
      </w:pPr>
      <w:r>
        <w:rPr>
          <w:lang w:eastAsia="hi-IN" w:bidi="hi-IN"/>
        </w:rPr>
        <w:t>receiving a teaching intervention using either SRL feedback or best practice feedback. The</w:t>
      </w:r>
    </w:p>
    <w:p w14:paraId="43176183" w14:textId="77777777" w:rsidR="00A07671" w:rsidRDefault="00A07671" w:rsidP="00A07671">
      <w:pPr>
        <w:rPr>
          <w:lang w:eastAsia="hi-IN" w:bidi="hi-IN"/>
        </w:rPr>
      </w:pPr>
      <w:r>
        <w:rPr>
          <w:lang w:eastAsia="hi-IN" w:bidi="hi-IN"/>
        </w:rPr>
        <w:t>SRL intervention was delivered by seven clinical skills tutors trained to use a questioning</w:t>
      </w:r>
    </w:p>
    <w:p w14:paraId="7304AAB7" w14:textId="77777777" w:rsidR="00A07671" w:rsidRDefault="00A07671" w:rsidP="00A07671">
      <w:pPr>
        <w:rPr>
          <w:lang w:eastAsia="hi-IN" w:bidi="hi-IN"/>
        </w:rPr>
      </w:pPr>
      <w:r>
        <w:rPr>
          <w:lang w:eastAsia="hi-IN" w:bidi="hi-IN"/>
        </w:rPr>
        <w:t>technique called microanalysis which identified and rectified weak SRL behaviours with</w:t>
      </w:r>
    </w:p>
    <w:p w14:paraId="15161D4D" w14:textId="77777777" w:rsidR="00A07671" w:rsidRDefault="00A07671" w:rsidP="00A07671">
      <w:pPr>
        <w:rPr>
          <w:lang w:eastAsia="hi-IN" w:bidi="hi-IN"/>
        </w:rPr>
      </w:pPr>
      <w:r>
        <w:rPr>
          <w:lang w:eastAsia="hi-IN" w:bidi="hi-IN"/>
        </w:rPr>
        <w:t>targeted feedback. Another seven tutors had refresher training, ensuring use of best practice</w:t>
      </w:r>
    </w:p>
    <w:p w14:paraId="0C6EDF54" w14:textId="77777777" w:rsidR="00A07671" w:rsidRDefault="00A07671" w:rsidP="00A07671">
      <w:pPr>
        <w:rPr>
          <w:lang w:eastAsia="hi-IN" w:bidi="hi-IN"/>
        </w:rPr>
      </w:pPr>
      <w:r>
        <w:rPr>
          <w:lang w:eastAsia="hi-IN" w:bidi="hi-IN"/>
        </w:rPr>
        <w:t>feedback, forming the control group. This study was conducted as part of regular simulated</w:t>
      </w:r>
    </w:p>
    <w:p w14:paraId="147A5084" w14:textId="77777777" w:rsidR="00A07671" w:rsidRDefault="00A07671" w:rsidP="00A07671">
      <w:pPr>
        <w:rPr>
          <w:lang w:eastAsia="hi-IN" w:bidi="hi-IN"/>
        </w:rPr>
      </w:pPr>
      <w:r>
        <w:rPr>
          <w:lang w:eastAsia="hi-IN" w:bidi="hi-IN"/>
        </w:rPr>
        <w:t>clinical skills teaching to explore the impact of both ways of giving feedback in authentic</w:t>
      </w:r>
    </w:p>
    <w:p w14:paraId="336F97DE" w14:textId="77777777" w:rsidR="00A07671" w:rsidRDefault="00A07671" w:rsidP="00A07671">
      <w:pPr>
        <w:rPr>
          <w:lang w:eastAsia="hi-IN" w:bidi="hi-IN"/>
        </w:rPr>
      </w:pPr>
      <w:r>
        <w:rPr>
          <w:lang w:eastAsia="hi-IN" w:bidi="hi-IN"/>
        </w:rPr>
        <w:t>settings. All sessions were videoed and the tutors were interviewed to evaluate the impact on</w:t>
      </w:r>
    </w:p>
    <w:p w14:paraId="5B21F72A" w14:textId="77777777" w:rsidR="00A07671" w:rsidRDefault="00A07671" w:rsidP="00A07671">
      <w:pPr>
        <w:rPr>
          <w:lang w:eastAsia="hi-IN" w:bidi="hi-IN"/>
        </w:rPr>
      </w:pPr>
      <w:r>
        <w:rPr>
          <w:lang w:eastAsia="hi-IN" w:bidi="hi-IN"/>
        </w:rPr>
        <w:t>their teaching.</w:t>
      </w:r>
    </w:p>
    <w:p w14:paraId="4113E617" w14:textId="77777777" w:rsidR="00A07671" w:rsidRDefault="00A07671" w:rsidP="00A07671">
      <w:pPr>
        <w:rPr>
          <w:lang w:eastAsia="hi-IN" w:bidi="hi-IN"/>
        </w:rPr>
      </w:pPr>
      <w:r>
        <w:rPr>
          <w:lang w:eastAsia="hi-IN" w:bidi="hi-IN"/>
        </w:rPr>
        <w:t>Findings:</w:t>
      </w:r>
    </w:p>
    <w:p w14:paraId="336EE669" w14:textId="77777777" w:rsidR="00A07671" w:rsidRDefault="00A07671" w:rsidP="00A07671">
      <w:pPr>
        <w:rPr>
          <w:lang w:eastAsia="hi-IN" w:bidi="hi-IN"/>
        </w:rPr>
      </w:pPr>
      <w:r>
        <w:rPr>
          <w:lang w:eastAsia="hi-IN" w:bidi="hi-IN"/>
        </w:rPr>
        <w:t>Initial findings show that students who received the SRL feedback had significantly higher</w:t>
      </w:r>
    </w:p>
    <w:p w14:paraId="408A0CC2" w14:textId="77777777" w:rsidR="00A07671" w:rsidRDefault="00A07671" w:rsidP="00A07671">
      <w:pPr>
        <w:rPr>
          <w:lang w:eastAsia="hi-IN" w:bidi="hi-IN"/>
        </w:rPr>
      </w:pPr>
      <w:r>
        <w:rPr>
          <w:lang w:eastAsia="hi-IN" w:bidi="hi-IN"/>
        </w:rPr>
        <w:t>levels of SRL and students who received best practice had significantly lower levels of SRL.</w:t>
      </w:r>
    </w:p>
    <w:p w14:paraId="0B183450" w14:textId="77777777" w:rsidR="00A07671" w:rsidRDefault="00A07671" w:rsidP="00A07671">
      <w:pPr>
        <w:rPr>
          <w:lang w:eastAsia="hi-IN" w:bidi="hi-IN"/>
        </w:rPr>
      </w:pPr>
      <w:r>
        <w:rPr>
          <w:lang w:eastAsia="hi-IN" w:bidi="hi-IN"/>
        </w:rPr>
        <w:t>Less experienced tutors made fewer modifications to their allocated feedback model</w:t>
      </w:r>
    </w:p>
    <w:p w14:paraId="3A9B9FA1" w14:textId="77777777" w:rsidR="00A07671" w:rsidRDefault="00A07671" w:rsidP="00A07671">
      <w:pPr>
        <w:rPr>
          <w:lang w:eastAsia="hi-IN" w:bidi="hi-IN"/>
        </w:rPr>
      </w:pPr>
      <w:r>
        <w:rPr>
          <w:lang w:eastAsia="hi-IN" w:bidi="hi-IN"/>
        </w:rPr>
        <w:t>compared to more experienced tutors who adapted their model to their own practice more</w:t>
      </w:r>
    </w:p>
    <w:p w14:paraId="7F47B0A9" w14:textId="77777777" w:rsidR="00A07671" w:rsidRDefault="00A07671" w:rsidP="00A07671">
      <w:pPr>
        <w:rPr>
          <w:lang w:eastAsia="hi-IN" w:bidi="hi-IN"/>
        </w:rPr>
      </w:pPr>
      <w:r>
        <w:rPr>
          <w:lang w:eastAsia="hi-IN" w:bidi="hi-IN"/>
        </w:rPr>
        <w:t>fluidly. Each tutor’s background and conception of feedback significantly affected how they</w:t>
      </w:r>
    </w:p>
    <w:p w14:paraId="7C51470A" w14:textId="77777777" w:rsidR="00A07671" w:rsidRDefault="00A07671" w:rsidP="00A07671">
      <w:pPr>
        <w:rPr>
          <w:lang w:eastAsia="hi-IN" w:bidi="hi-IN"/>
        </w:rPr>
      </w:pPr>
      <w:r>
        <w:rPr>
          <w:lang w:eastAsia="hi-IN" w:bidi="hi-IN"/>
        </w:rPr>
        <w:t>interacted with and delivered feedback in the sessions. Video analysis revealed some</w:t>
      </w:r>
    </w:p>
    <w:p w14:paraId="551F5061" w14:textId="77777777" w:rsidR="00A07671" w:rsidRDefault="00A07671" w:rsidP="00A07671">
      <w:pPr>
        <w:rPr>
          <w:lang w:eastAsia="hi-IN" w:bidi="hi-IN"/>
        </w:rPr>
      </w:pPr>
      <w:r>
        <w:rPr>
          <w:lang w:eastAsia="hi-IN" w:bidi="hi-IN"/>
        </w:rPr>
        <w:lastRenderedPageBreak/>
        <w:t>corroboration and contrasts in how tutors gave feedback using the models over time when</w:t>
      </w:r>
    </w:p>
    <w:p w14:paraId="2D5B7BEC" w14:textId="77777777" w:rsidR="00A07671" w:rsidRDefault="00A07671" w:rsidP="00A07671">
      <w:pPr>
        <w:rPr>
          <w:lang w:eastAsia="hi-IN" w:bidi="hi-IN"/>
        </w:rPr>
      </w:pPr>
      <w:r>
        <w:rPr>
          <w:lang w:eastAsia="hi-IN" w:bidi="hi-IN"/>
        </w:rPr>
        <w:t>compared to their interview accounts.</w:t>
      </w:r>
    </w:p>
    <w:p w14:paraId="29ADC8AE" w14:textId="77777777" w:rsidR="00A07671" w:rsidRDefault="00A07671" w:rsidP="00A07671">
      <w:pPr>
        <w:rPr>
          <w:lang w:eastAsia="hi-IN" w:bidi="hi-IN"/>
        </w:rPr>
      </w:pPr>
      <w:r>
        <w:rPr>
          <w:lang w:eastAsia="hi-IN" w:bidi="hi-IN"/>
        </w:rPr>
        <w:t>Implications and impact:</w:t>
      </w:r>
    </w:p>
    <w:p w14:paraId="0AF87AAE" w14:textId="77777777" w:rsidR="00A07671" w:rsidRDefault="00A07671" w:rsidP="00A07671">
      <w:pPr>
        <w:rPr>
          <w:lang w:eastAsia="hi-IN" w:bidi="hi-IN"/>
        </w:rPr>
      </w:pPr>
      <w:r>
        <w:rPr>
          <w:lang w:eastAsia="hi-IN" w:bidi="hi-IN"/>
        </w:rPr>
        <w:t>Early findings indicate that the SRL feedback delivery model is perceived to be efficacious</w:t>
      </w:r>
    </w:p>
    <w:p w14:paraId="798712EA" w14:textId="77777777" w:rsidR="00A07671" w:rsidRDefault="00A07671" w:rsidP="00A07671">
      <w:pPr>
        <w:rPr>
          <w:lang w:eastAsia="hi-IN" w:bidi="hi-IN"/>
        </w:rPr>
      </w:pPr>
      <w:r>
        <w:rPr>
          <w:lang w:eastAsia="hi-IN" w:bidi="hi-IN"/>
        </w:rPr>
        <w:t>for tutors and effective in improving SRL for students. It is also clear that the background</w:t>
      </w:r>
    </w:p>
    <w:p w14:paraId="4DED9391" w14:textId="77777777" w:rsidR="00A07671" w:rsidRDefault="00A07671" w:rsidP="00A07671">
      <w:pPr>
        <w:rPr>
          <w:lang w:eastAsia="hi-IN" w:bidi="hi-IN"/>
        </w:rPr>
      </w:pPr>
      <w:r>
        <w:rPr>
          <w:lang w:eastAsia="hi-IN" w:bidi="hi-IN"/>
        </w:rPr>
        <w:t>and espoused theory of tutors are major influencers in how they deliver these feedback</w:t>
      </w:r>
    </w:p>
    <w:p w14:paraId="2E43058E" w14:textId="77777777" w:rsidR="00A07671" w:rsidRDefault="00A07671" w:rsidP="00A07671">
      <w:pPr>
        <w:rPr>
          <w:lang w:eastAsia="hi-IN" w:bidi="hi-IN"/>
        </w:rPr>
      </w:pPr>
      <w:r>
        <w:rPr>
          <w:lang w:eastAsia="hi-IN" w:bidi="hi-IN"/>
        </w:rPr>
        <w:t>models. Further qualitative data collection from students will evaluate the impact on</w:t>
      </w:r>
    </w:p>
    <w:p w14:paraId="5C38F74B" w14:textId="77777777" w:rsidR="00A07671" w:rsidRDefault="00A07671" w:rsidP="00A07671">
      <w:pPr>
        <w:rPr>
          <w:lang w:eastAsia="hi-IN" w:bidi="hi-IN"/>
        </w:rPr>
      </w:pPr>
      <w:r>
        <w:rPr>
          <w:lang w:eastAsia="hi-IN" w:bidi="hi-IN"/>
        </w:rPr>
        <w:t>subsequent student learning and performance in clinical practice. The results of this study</w:t>
      </w:r>
    </w:p>
    <w:p w14:paraId="1073E8DE" w14:textId="77777777" w:rsidR="00A07671" w:rsidRDefault="00A07671" w:rsidP="00A07671">
      <w:pPr>
        <w:rPr>
          <w:lang w:eastAsia="hi-IN" w:bidi="hi-IN"/>
        </w:rPr>
      </w:pPr>
      <w:r>
        <w:rPr>
          <w:lang w:eastAsia="hi-IN" w:bidi="hi-IN"/>
        </w:rPr>
        <w:t>may identify short and long-term benefits of combining feedback and SRL and lead to</w:t>
      </w:r>
    </w:p>
    <w:p w14:paraId="511221C0" w14:textId="442AB843" w:rsidR="00757713" w:rsidRDefault="00A07671" w:rsidP="00A07671">
      <w:pPr>
        <w:rPr>
          <w:lang w:eastAsia="hi-IN" w:bidi="hi-IN"/>
        </w:rPr>
      </w:pPr>
      <w:r>
        <w:rPr>
          <w:lang w:eastAsia="hi-IN" w:bidi="hi-IN"/>
        </w:rPr>
        <w:t>creating models of enhancing feedback impact in other areas of medical education.</w:t>
      </w:r>
    </w:p>
    <w:p w14:paraId="35EBB6C9" w14:textId="77777777" w:rsidR="00757713" w:rsidRDefault="00757713">
      <w:pPr>
        <w:rPr>
          <w:lang w:eastAsia="hi-IN" w:bidi="hi-IN"/>
        </w:rPr>
      </w:pPr>
      <w:r>
        <w:rPr>
          <w:lang w:eastAsia="hi-IN" w:bidi="hi-IN"/>
        </w:rPr>
        <w:br w:type="page"/>
      </w:r>
    </w:p>
    <w:p w14:paraId="0E02DFB0" w14:textId="7B0AD439" w:rsidR="00757713" w:rsidRDefault="00757713" w:rsidP="00B27F0B">
      <w:r w:rsidRPr="00757713">
        <w:rPr>
          <w:rFonts w:eastAsiaTheme="majorEastAsia" w:cstheme="majorBidi"/>
          <w:b/>
          <w:i/>
          <w:szCs w:val="24"/>
          <w:lang w:eastAsia="hi-IN" w:bidi="hi-IN"/>
        </w:rPr>
        <w:lastRenderedPageBreak/>
        <w:t>Book Chapter: ‘</w:t>
      </w:r>
      <w:r w:rsidRPr="00757713">
        <w:rPr>
          <w:rFonts w:eastAsiaTheme="majorEastAsia" w:cstheme="majorBidi"/>
          <w:b/>
          <w:bCs/>
          <w:i/>
          <w:szCs w:val="24"/>
          <w:lang w:eastAsia="hi-IN" w:bidi="hi-IN"/>
        </w:rPr>
        <w:t xml:space="preserve">How supervisor feedback enhances self-regulated learning’ in: </w:t>
      </w:r>
      <w:r w:rsidRPr="00757713">
        <w:rPr>
          <w:rFonts w:eastAsiaTheme="majorEastAsia" w:cstheme="majorBidi"/>
          <w:b/>
          <w:i/>
          <w:szCs w:val="24"/>
          <w:lang w:eastAsia="hi-IN" w:bidi="hi-IN"/>
        </w:rPr>
        <w:t>53 Ways to Enhance Researcher Development –</w:t>
      </w:r>
      <w:r w:rsidRPr="00757713">
        <w:rPr>
          <w:rFonts w:eastAsiaTheme="majorEastAsia" w:cstheme="majorBidi"/>
          <w:b/>
          <w:bCs/>
          <w:i/>
          <w:szCs w:val="24"/>
          <w:lang w:eastAsia="hi-IN" w:bidi="hi-IN"/>
        </w:rPr>
        <w:t xml:space="preserve"> June 2017</w:t>
      </w:r>
    </w:p>
    <w:p w14:paraId="46CDBD9E" w14:textId="0E8470C9" w:rsidR="00757713" w:rsidRPr="00C8402C" w:rsidRDefault="00757713" w:rsidP="00B27F0B">
      <w:r w:rsidRPr="00B27F0B">
        <w:rPr>
          <w:noProof/>
          <w:lang w:eastAsia="en-GB"/>
        </w:rPr>
        <w:drawing>
          <wp:inline distT="0" distB="0" distL="0" distR="0" wp14:anchorId="24269F48" wp14:editId="12597FB1">
            <wp:extent cx="6107430" cy="7303770"/>
            <wp:effectExtent l="0" t="0" r="0" b="11430"/>
            <wp:docPr id="97" name="Picture 97" descr="/Users/billybryan/Desktop/Screen Shot 2017-11-15 at 18.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illybryan/Desktop/Screen Shot 2017-11-15 at 18.02.0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07430" cy="7303770"/>
                    </a:xfrm>
                    <a:prstGeom prst="rect">
                      <a:avLst/>
                    </a:prstGeom>
                    <a:noFill/>
                    <a:ln>
                      <a:noFill/>
                    </a:ln>
                  </pic:spPr>
                </pic:pic>
              </a:graphicData>
            </a:graphic>
          </wp:inline>
        </w:drawing>
      </w:r>
    </w:p>
    <w:sectPr w:rsidR="00757713" w:rsidRPr="00C8402C" w:rsidSect="00B27F0B">
      <w:pgSz w:w="11906" w:h="16838"/>
      <w:pgMar w:top="1134" w:right="1134" w:bottom="2268"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9D69696" w14:textId="77777777" w:rsidR="000532E2" w:rsidRDefault="000532E2" w:rsidP="00C50F24">
      <w:pPr>
        <w:spacing w:after="0" w:line="240" w:lineRule="auto"/>
      </w:pPr>
      <w:r>
        <w:separator/>
      </w:r>
    </w:p>
  </w:endnote>
  <w:endnote w:type="continuationSeparator" w:id="0">
    <w:p w14:paraId="40AA51B7" w14:textId="77777777" w:rsidR="000532E2" w:rsidRDefault="000532E2" w:rsidP="00C5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2040503050203030202"/>
    <w:charset w:val="00"/>
    <w:family w:val="auto"/>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TUOS Blake">
    <w:altName w:val="Corbel"/>
    <w:charset w:val="00"/>
    <w:family w:val="swiss"/>
    <w:pitch w:val="variable"/>
    <w:sig w:usb0="8000002F" w:usb1="4000004A" w:usb2="00000000" w:usb3="00000000" w:csb0="00000011" w:csb1="00000000"/>
  </w:font>
  <w:font w:name="VnssbvAdvTT3713a231">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P4DF60E">
    <w:charset w:val="00"/>
    <w:family w:val="auto"/>
    <w:pitch w:val="default"/>
  </w:font>
  <w:font w:name="TUOS Stephenson">
    <w:altName w:val="Rockwell"/>
    <w:charset w:val="00"/>
    <w:family w:val="roman"/>
    <w:pitch w:val="variable"/>
    <w:sig w:usb0="8000002F" w:usb1="4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796734"/>
      <w:docPartObj>
        <w:docPartGallery w:val="Page Numbers (Bottom of Page)"/>
        <w:docPartUnique/>
      </w:docPartObj>
    </w:sdtPr>
    <w:sdtEndPr>
      <w:rPr>
        <w:noProof/>
      </w:rPr>
    </w:sdtEndPr>
    <w:sdtContent>
      <w:p w14:paraId="0DCB006E" w14:textId="7FBDEEB5" w:rsidR="00C8402C" w:rsidRDefault="00C8402C">
        <w:pPr>
          <w:pStyle w:val="Footer"/>
          <w:jc w:val="right"/>
        </w:pPr>
        <w:r>
          <w:fldChar w:fldCharType="begin"/>
        </w:r>
        <w:r>
          <w:instrText xml:space="preserve"> PAGE   \* MERGEFORMAT </w:instrText>
        </w:r>
        <w:r>
          <w:fldChar w:fldCharType="separate"/>
        </w:r>
        <w:r w:rsidR="00B27F0B">
          <w:rPr>
            <w:noProof/>
          </w:rPr>
          <w:t>V</w:t>
        </w:r>
        <w:r>
          <w:rPr>
            <w:noProof/>
          </w:rPr>
          <w:fldChar w:fldCharType="end"/>
        </w:r>
      </w:p>
    </w:sdtContent>
  </w:sdt>
  <w:p w14:paraId="7B123B29" w14:textId="77777777" w:rsidR="00C8402C" w:rsidRDefault="00C840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198664"/>
      <w:docPartObj>
        <w:docPartGallery w:val="Page Numbers (Bottom of Page)"/>
        <w:docPartUnique/>
      </w:docPartObj>
    </w:sdtPr>
    <w:sdtEndPr>
      <w:rPr>
        <w:noProof/>
      </w:rPr>
    </w:sdtEndPr>
    <w:sdtContent>
      <w:p w14:paraId="3288F014" w14:textId="1EF1372D" w:rsidR="00C8402C" w:rsidRDefault="00C8402C">
        <w:pPr>
          <w:pStyle w:val="Footer"/>
          <w:jc w:val="right"/>
        </w:pPr>
        <w:r>
          <w:fldChar w:fldCharType="begin"/>
        </w:r>
        <w:r>
          <w:instrText xml:space="preserve"> PAGE   \* MERGEFORMAT </w:instrText>
        </w:r>
        <w:r>
          <w:fldChar w:fldCharType="separate"/>
        </w:r>
        <w:r w:rsidR="00B27F0B">
          <w:rPr>
            <w:noProof/>
          </w:rPr>
          <w:t>450</w:t>
        </w:r>
        <w:r>
          <w:rPr>
            <w:noProof/>
          </w:rPr>
          <w:fldChar w:fldCharType="end"/>
        </w:r>
      </w:p>
    </w:sdtContent>
  </w:sdt>
  <w:p w14:paraId="672B6E4B" w14:textId="77777777" w:rsidR="00C8402C" w:rsidRDefault="00C8402C"/>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910372"/>
      <w:docPartObj>
        <w:docPartGallery w:val="Page Numbers (Bottom of Page)"/>
        <w:docPartUnique/>
      </w:docPartObj>
    </w:sdtPr>
    <w:sdtEndPr/>
    <w:sdtContent>
      <w:sdt>
        <w:sdtPr>
          <w:id w:val="189352503"/>
          <w:docPartObj>
            <w:docPartGallery w:val="Page Numbers (Top of Page)"/>
            <w:docPartUnique/>
          </w:docPartObj>
        </w:sdtPr>
        <w:sdtEndPr/>
        <w:sdtContent>
          <w:p w14:paraId="058BC480" w14:textId="77777777" w:rsidR="00C8402C" w:rsidRPr="00F04E00" w:rsidRDefault="00C8402C" w:rsidP="001F4885">
            <w:pPr>
              <w:spacing w:line="360" w:lineRule="auto"/>
              <w:rPr>
                <w:rFonts w:ascii="TUOS Blake" w:hAnsi="TUOS Blake"/>
                <w:sz w:val="18"/>
              </w:rPr>
            </w:pPr>
            <w:r w:rsidRPr="00F04E00">
              <w:rPr>
                <w:rFonts w:ascii="TUOS Blake" w:hAnsi="TUOS Blake"/>
                <w:sz w:val="18"/>
              </w:rPr>
              <w:t xml:space="preserve"> </w:t>
            </w:r>
          </w:p>
          <w:p w14:paraId="5DFE0677" w14:textId="77777777" w:rsidR="00C8402C" w:rsidRDefault="00C8402C" w:rsidP="001F4885">
            <w:pPr>
              <w:pStyle w:val="Footer"/>
              <w:jc w:val="right"/>
            </w:pPr>
            <w:r w:rsidRPr="00BD6B73">
              <w:rPr>
                <w:sz w:val="20"/>
              </w:rPr>
              <w:t xml:space="preserve">Page </w:t>
            </w:r>
            <w:r w:rsidRPr="00BD6B73">
              <w:rPr>
                <w:b/>
                <w:bCs/>
                <w:szCs w:val="24"/>
              </w:rPr>
              <w:fldChar w:fldCharType="begin"/>
            </w:r>
            <w:r w:rsidRPr="00BD6B73">
              <w:rPr>
                <w:b/>
                <w:bCs/>
                <w:sz w:val="20"/>
              </w:rPr>
              <w:instrText xml:space="preserve"> PAGE </w:instrText>
            </w:r>
            <w:r w:rsidRPr="00BD6B73">
              <w:rPr>
                <w:b/>
                <w:bCs/>
                <w:szCs w:val="24"/>
              </w:rPr>
              <w:fldChar w:fldCharType="separate"/>
            </w:r>
            <w:r>
              <w:rPr>
                <w:b/>
                <w:bCs/>
                <w:noProof/>
                <w:sz w:val="20"/>
              </w:rPr>
              <w:t>1</w:t>
            </w:r>
            <w:r w:rsidRPr="00BD6B73">
              <w:rPr>
                <w:b/>
                <w:bCs/>
                <w:szCs w:val="24"/>
              </w:rPr>
              <w:fldChar w:fldCharType="end"/>
            </w:r>
            <w:r w:rsidRPr="00BD6B73">
              <w:rPr>
                <w:sz w:val="20"/>
              </w:rPr>
              <w:t xml:space="preserve"> of </w:t>
            </w:r>
            <w:r w:rsidRPr="00BD6B73">
              <w:rPr>
                <w:b/>
                <w:bCs/>
                <w:szCs w:val="24"/>
              </w:rPr>
              <w:fldChar w:fldCharType="begin"/>
            </w:r>
            <w:r w:rsidRPr="00BD6B73">
              <w:rPr>
                <w:b/>
                <w:bCs/>
                <w:sz w:val="20"/>
              </w:rPr>
              <w:instrText xml:space="preserve"> NUMPAGES  </w:instrText>
            </w:r>
            <w:r w:rsidRPr="00BD6B73">
              <w:rPr>
                <w:b/>
                <w:bCs/>
                <w:szCs w:val="24"/>
              </w:rPr>
              <w:fldChar w:fldCharType="separate"/>
            </w:r>
            <w:r>
              <w:rPr>
                <w:b/>
                <w:bCs/>
                <w:noProof/>
                <w:sz w:val="20"/>
              </w:rPr>
              <w:t>454</w:t>
            </w:r>
            <w:r w:rsidRPr="00BD6B73">
              <w:rPr>
                <w:b/>
                <w:bCs/>
                <w:szCs w:val="24"/>
              </w:rPr>
              <w:fldChar w:fldCharType="end"/>
            </w:r>
          </w:p>
        </w:sdtContent>
      </w:sdt>
    </w:sdtContent>
  </w:sdt>
  <w:p w14:paraId="4B88DA04" w14:textId="77777777" w:rsidR="00C8402C" w:rsidRDefault="00C8402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8556B32" w14:textId="77777777" w:rsidR="000532E2" w:rsidRDefault="000532E2" w:rsidP="00C50F24">
      <w:pPr>
        <w:spacing w:after="0" w:line="240" w:lineRule="auto"/>
      </w:pPr>
      <w:r>
        <w:separator/>
      </w:r>
    </w:p>
  </w:footnote>
  <w:footnote w:type="continuationSeparator" w:id="0">
    <w:p w14:paraId="14CAC779" w14:textId="77777777" w:rsidR="000532E2" w:rsidRDefault="000532E2" w:rsidP="00C50F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D2223" w14:textId="77777777" w:rsidR="00C8402C" w:rsidRPr="00BD6B73" w:rsidRDefault="00C8402C" w:rsidP="001F4885">
    <w:pPr>
      <w:pStyle w:val="Header"/>
      <w:rPr>
        <w:sz w:val="20"/>
      </w:rPr>
    </w:pPr>
    <w:r>
      <w:rPr>
        <w:sz w:val="20"/>
      </w:rPr>
      <w:tab/>
      <w:t xml:space="preserve">                                                                                                                                     </w:t>
    </w:r>
    <w:r w:rsidRPr="00BD6B73">
      <w:rPr>
        <w:sz w:val="20"/>
      </w:rPr>
      <w:t>Date:</w:t>
    </w:r>
    <w:r>
      <w:rPr>
        <w:sz w:val="20"/>
      </w:rPr>
      <w:t xml:space="preserve"> 26/09/16</w:t>
    </w:r>
  </w:p>
  <w:p w14:paraId="46875A27" w14:textId="77777777" w:rsidR="00C8402C" w:rsidRDefault="00C8402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Intestazione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992A30"/>
    <w:multiLevelType w:val="hybridMultilevel"/>
    <w:tmpl w:val="683C65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B32D1"/>
    <w:multiLevelType w:val="hybridMultilevel"/>
    <w:tmpl w:val="651EA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756D18"/>
    <w:multiLevelType w:val="hybridMultilevel"/>
    <w:tmpl w:val="2556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76793A"/>
    <w:multiLevelType w:val="hybridMultilevel"/>
    <w:tmpl w:val="C5921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4D2B9A"/>
    <w:multiLevelType w:val="hybridMultilevel"/>
    <w:tmpl w:val="FA2C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251BF0"/>
    <w:multiLevelType w:val="hybridMultilevel"/>
    <w:tmpl w:val="D5D01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6E32AE"/>
    <w:multiLevelType w:val="hybridMultilevel"/>
    <w:tmpl w:val="43F6A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0263CD"/>
    <w:multiLevelType w:val="hybridMultilevel"/>
    <w:tmpl w:val="61B4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F25FA0"/>
    <w:multiLevelType w:val="hybridMultilevel"/>
    <w:tmpl w:val="925A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A14E7"/>
    <w:multiLevelType w:val="hybridMultilevel"/>
    <w:tmpl w:val="36CC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BF13E1"/>
    <w:multiLevelType w:val="multilevel"/>
    <w:tmpl w:val="8800F558"/>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15120CED"/>
    <w:multiLevelType w:val="hybridMultilevel"/>
    <w:tmpl w:val="1556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E96A17"/>
    <w:multiLevelType w:val="hybridMultilevel"/>
    <w:tmpl w:val="EEE2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2251B6"/>
    <w:multiLevelType w:val="hybridMultilevel"/>
    <w:tmpl w:val="FBB4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CA3309"/>
    <w:multiLevelType w:val="hybridMultilevel"/>
    <w:tmpl w:val="435A24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657403"/>
    <w:multiLevelType w:val="hybridMultilevel"/>
    <w:tmpl w:val="DA6625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170C19"/>
    <w:multiLevelType w:val="hybridMultilevel"/>
    <w:tmpl w:val="AE0C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F06749"/>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055E89"/>
    <w:multiLevelType w:val="hybridMultilevel"/>
    <w:tmpl w:val="B8E27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D21027D"/>
    <w:multiLevelType w:val="hybridMultilevel"/>
    <w:tmpl w:val="29F4D100"/>
    <w:lvl w:ilvl="0" w:tplc="A5C648B2">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F3705F"/>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FE9326E"/>
    <w:multiLevelType w:val="hybridMultilevel"/>
    <w:tmpl w:val="CF98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1D0626"/>
    <w:multiLevelType w:val="hybridMultilevel"/>
    <w:tmpl w:val="1BC4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2A23DD4"/>
    <w:multiLevelType w:val="hybridMultilevel"/>
    <w:tmpl w:val="7840BB3A"/>
    <w:lvl w:ilvl="0" w:tplc="7980A798">
      <w:start w:val="1"/>
      <w:numFmt w:val="bullet"/>
      <w:lvlText w:val=""/>
      <w:lvlJc w:val="left"/>
      <w:pPr>
        <w:tabs>
          <w:tab w:val="num" w:pos="60"/>
        </w:tabs>
        <w:ind w:left="627" w:hanging="567"/>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nsid w:val="34060F13"/>
    <w:multiLevelType w:val="hybridMultilevel"/>
    <w:tmpl w:val="1458D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D33FB5"/>
    <w:multiLevelType w:val="hybridMultilevel"/>
    <w:tmpl w:val="8C1A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EC60F3"/>
    <w:multiLevelType w:val="hybridMultilevel"/>
    <w:tmpl w:val="33F6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7D6384"/>
    <w:multiLevelType w:val="hybridMultilevel"/>
    <w:tmpl w:val="F168C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C2D411D"/>
    <w:multiLevelType w:val="hybridMultilevel"/>
    <w:tmpl w:val="4AD415CE"/>
    <w:lvl w:ilvl="0" w:tplc="FF3C680A">
      <w:start w:val="1"/>
      <w:numFmt w:val="bullet"/>
      <w:lvlText w:val=""/>
      <w:lvlJc w:val="left"/>
      <w:pPr>
        <w:ind w:left="360"/>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1" w:tplc="9F168424">
      <w:start w:val="1"/>
      <w:numFmt w:val="bullet"/>
      <w:lvlText w:val="o"/>
      <w:lvlJc w:val="left"/>
      <w:pPr>
        <w:ind w:left="118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2" w:tplc="D5CC6BBA">
      <w:start w:val="1"/>
      <w:numFmt w:val="bullet"/>
      <w:lvlText w:val="▪"/>
      <w:lvlJc w:val="left"/>
      <w:pPr>
        <w:ind w:left="190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3" w:tplc="224E80A8">
      <w:start w:val="1"/>
      <w:numFmt w:val="bullet"/>
      <w:lvlText w:val="•"/>
      <w:lvlJc w:val="left"/>
      <w:pPr>
        <w:ind w:left="262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4" w:tplc="39C838B0">
      <w:start w:val="1"/>
      <w:numFmt w:val="bullet"/>
      <w:lvlText w:val="o"/>
      <w:lvlJc w:val="left"/>
      <w:pPr>
        <w:ind w:left="334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5" w:tplc="3604998E">
      <w:start w:val="1"/>
      <w:numFmt w:val="bullet"/>
      <w:lvlText w:val="▪"/>
      <w:lvlJc w:val="left"/>
      <w:pPr>
        <w:ind w:left="406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6" w:tplc="619039E2">
      <w:start w:val="1"/>
      <w:numFmt w:val="bullet"/>
      <w:lvlText w:val="•"/>
      <w:lvlJc w:val="left"/>
      <w:pPr>
        <w:ind w:left="478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7" w:tplc="F59A9C4E">
      <w:start w:val="1"/>
      <w:numFmt w:val="bullet"/>
      <w:lvlText w:val="o"/>
      <w:lvlJc w:val="left"/>
      <w:pPr>
        <w:ind w:left="550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8" w:tplc="01F2E2BA">
      <w:start w:val="1"/>
      <w:numFmt w:val="bullet"/>
      <w:lvlText w:val="▪"/>
      <w:lvlJc w:val="left"/>
      <w:pPr>
        <w:ind w:left="622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abstractNum>
  <w:abstractNum w:abstractNumId="30">
    <w:nsid w:val="3E9F1054"/>
    <w:multiLevelType w:val="hybridMultilevel"/>
    <w:tmpl w:val="1AFE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951F31"/>
    <w:multiLevelType w:val="hybridMultilevel"/>
    <w:tmpl w:val="BE58E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0D2BA5"/>
    <w:multiLevelType w:val="hybridMultilevel"/>
    <w:tmpl w:val="146CF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9F1C07"/>
    <w:multiLevelType w:val="hybridMultilevel"/>
    <w:tmpl w:val="E80E2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B4143D"/>
    <w:multiLevelType w:val="hybridMultilevel"/>
    <w:tmpl w:val="182CC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6B7765"/>
    <w:multiLevelType w:val="hybridMultilevel"/>
    <w:tmpl w:val="6FF80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A77BCB"/>
    <w:multiLevelType w:val="hybridMultilevel"/>
    <w:tmpl w:val="00762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49D41F8"/>
    <w:multiLevelType w:val="hybridMultilevel"/>
    <w:tmpl w:val="A3D468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7065387"/>
    <w:multiLevelType w:val="hybridMultilevel"/>
    <w:tmpl w:val="4BFA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9A83F2A"/>
    <w:multiLevelType w:val="hybridMultilevel"/>
    <w:tmpl w:val="D4B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C305D5F"/>
    <w:multiLevelType w:val="hybridMultilevel"/>
    <w:tmpl w:val="584A7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CD77FF7"/>
    <w:multiLevelType w:val="hybridMultilevel"/>
    <w:tmpl w:val="0B40F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166500"/>
    <w:multiLevelType w:val="hybridMultilevel"/>
    <w:tmpl w:val="1B5A9524"/>
    <w:lvl w:ilvl="0" w:tplc="94CE3E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2D552AC"/>
    <w:multiLevelType w:val="hybridMultilevel"/>
    <w:tmpl w:val="9A30C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2817FD"/>
    <w:multiLevelType w:val="hybridMultilevel"/>
    <w:tmpl w:val="37C0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5B64261"/>
    <w:multiLevelType w:val="hybridMultilevel"/>
    <w:tmpl w:val="8A12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A824C24"/>
    <w:multiLevelType w:val="hybridMultilevel"/>
    <w:tmpl w:val="A1A2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09963E6"/>
    <w:multiLevelType w:val="hybridMultilevel"/>
    <w:tmpl w:val="18A01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3A13B94"/>
    <w:multiLevelType w:val="hybridMultilevel"/>
    <w:tmpl w:val="96C6C9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4884935"/>
    <w:multiLevelType w:val="hybridMultilevel"/>
    <w:tmpl w:val="6C580B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A8B00D2"/>
    <w:multiLevelType w:val="hybridMultilevel"/>
    <w:tmpl w:val="668C78D2"/>
    <w:lvl w:ilvl="0" w:tplc="96E69EC0">
      <w:start w:val="1"/>
      <w:numFmt w:val="bullet"/>
      <w:lvlText w:val=""/>
      <w:lvlJc w:val="left"/>
      <w:pPr>
        <w:ind w:left="360"/>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1" w:tplc="D170547A">
      <w:start w:val="1"/>
      <w:numFmt w:val="bullet"/>
      <w:lvlText w:val="o"/>
      <w:lvlJc w:val="left"/>
      <w:pPr>
        <w:ind w:left="118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2" w:tplc="31BC5C60">
      <w:start w:val="1"/>
      <w:numFmt w:val="bullet"/>
      <w:lvlText w:val="▪"/>
      <w:lvlJc w:val="left"/>
      <w:pPr>
        <w:ind w:left="190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3" w:tplc="294C9AC4">
      <w:start w:val="1"/>
      <w:numFmt w:val="bullet"/>
      <w:lvlText w:val="•"/>
      <w:lvlJc w:val="left"/>
      <w:pPr>
        <w:ind w:left="262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4" w:tplc="DA1C132A">
      <w:start w:val="1"/>
      <w:numFmt w:val="bullet"/>
      <w:lvlText w:val="o"/>
      <w:lvlJc w:val="left"/>
      <w:pPr>
        <w:ind w:left="334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5" w:tplc="BA5CF87C">
      <w:start w:val="1"/>
      <w:numFmt w:val="bullet"/>
      <w:lvlText w:val="▪"/>
      <w:lvlJc w:val="left"/>
      <w:pPr>
        <w:ind w:left="406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6" w:tplc="69624A10">
      <w:start w:val="1"/>
      <w:numFmt w:val="bullet"/>
      <w:lvlText w:val="•"/>
      <w:lvlJc w:val="left"/>
      <w:pPr>
        <w:ind w:left="478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7" w:tplc="9B8CC306">
      <w:start w:val="1"/>
      <w:numFmt w:val="bullet"/>
      <w:lvlText w:val="o"/>
      <w:lvlJc w:val="left"/>
      <w:pPr>
        <w:ind w:left="550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lvl w:ilvl="8" w:tplc="2F0A0802">
      <w:start w:val="1"/>
      <w:numFmt w:val="bullet"/>
      <w:lvlText w:val="▪"/>
      <w:lvlJc w:val="left"/>
      <w:pPr>
        <w:ind w:left="6221"/>
      </w:pPr>
      <w:rPr>
        <w:rFonts w:ascii="Wingdings" w:eastAsia="Wingdings" w:hAnsi="Wingdings" w:cs="Wingdings"/>
        <w:b w:val="0"/>
        <w:i w:val="0"/>
        <w:strike w:val="0"/>
        <w:dstrike w:val="0"/>
        <w:color w:val="ED7D31"/>
        <w:sz w:val="22"/>
        <w:szCs w:val="22"/>
        <w:u w:val="none" w:color="000000"/>
        <w:bdr w:val="none" w:sz="0" w:space="0" w:color="auto"/>
        <w:shd w:val="clear" w:color="auto" w:fill="auto"/>
        <w:vertAlign w:val="baseline"/>
      </w:rPr>
    </w:lvl>
  </w:abstractNum>
  <w:abstractNum w:abstractNumId="52">
    <w:nsid w:val="7BAB0FA3"/>
    <w:multiLevelType w:val="hybridMultilevel"/>
    <w:tmpl w:val="280A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FE41DE6"/>
    <w:multiLevelType w:val="hybridMultilevel"/>
    <w:tmpl w:val="51B0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20"/>
  </w:num>
  <w:num w:numId="5">
    <w:abstractNumId w:val="37"/>
  </w:num>
  <w:num w:numId="6">
    <w:abstractNumId w:val="50"/>
  </w:num>
  <w:num w:numId="7">
    <w:abstractNumId w:val="45"/>
  </w:num>
  <w:num w:numId="8">
    <w:abstractNumId w:val="14"/>
  </w:num>
  <w:num w:numId="9">
    <w:abstractNumId w:val="52"/>
  </w:num>
  <w:num w:numId="10">
    <w:abstractNumId w:val="3"/>
  </w:num>
  <w:num w:numId="11">
    <w:abstractNumId w:val="46"/>
  </w:num>
  <w:num w:numId="12">
    <w:abstractNumId w:val="10"/>
  </w:num>
  <w:num w:numId="13">
    <w:abstractNumId w:val="27"/>
  </w:num>
  <w:num w:numId="14">
    <w:abstractNumId w:val="17"/>
  </w:num>
  <w:num w:numId="15">
    <w:abstractNumId w:val="30"/>
  </w:num>
  <w:num w:numId="16">
    <w:abstractNumId w:val="12"/>
  </w:num>
  <w:num w:numId="17">
    <w:abstractNumId w:val="15"/>
  </w:num>
  <w:num w:numId="18">
    <w:abstractNumId w:val="9"/>
  </w:num>
  <w:num w:numId="19">
    <w:abstractNumId w:val="42"/>
  </w:num>
  <w:num w:numId="20">
    <w:abstractNumId w:val="2"/>
  </w:num>
  <w:num w:numId="21">
    <w:abstractNumId w:val="26"/>
  </w:num>
  <w:num w:numId="22">
    <w:abstractNumId w:val="22"/>
  </w:num>
  <w:num w:numId="23">
    <w:abstractNumId w:val="47"/>
  </w:num>
  <w:num w:numId="24">
    <w:abstractNumId w:val="31"/>
  </w:num>
  <w:num w:numId="25">
    <w:abstractNumId w:val="16"/>
  </w:num>
  <w:num w:numId="26">
    <w:abstractNumId w:val="19"/>
  </w:num>
  <w:num w:numId="27">
    <w:abstractNumId w:val="48"/>
  </w:num>
  <w:num w:numId="28">
    <w:abstractNumId w:val="4"/>
  </w:num>
  <w:num w:numId="29">
    <w:abstractNumId w:val="32"/>
  </w:num>
  <w:num w:numId="30">
    <w:abstractNumId w:val="43"/>
  </w:num>
  <w:num w:numId="31">
    <w:abstractNumId w:val="8"/>
  </w:num>
  <w:num w:numId="32">
    <w:abstractNumId w:val="5"/>
  </w:num>
  <w:num w:numId="33">
    <w:abstractNumId w:val="33"/>
  </w:num>
  <w:num w:numId="34">
    <w:abstractNumId w:val="34"/>
  </w:num>
  <w:num w:numId="35">
    <w:abstractNumId w:val="7"/>
  </w:num>
  <w:num w:numId="36">
    <w:abstractNumId w:val="35"/>
  </w:num>
  <w:num w:numId="37">
    <w:abstractNumId w:val="25"/>
  </w:num>
  <w:num w:numId="38">
    <w:abstractNumId w:val="36"/>
  </w:num>
  <w:num w:numId="39">
    <w:abstractNumId w:val="44"/>
  </w:num>
  <w:num w:numId="40">
    <w:abstractNumId w:val="49"/>
  </w:num>
  <w:num w:numId="41">
    <w:abstractNumId w:val="13"/>
  </w:num>
  <w:num w:numId="42">
    <w:abstractNumId w:val="6"/>
  </w:num>
  <w:num w:numId="43">
    <w:abstractNumId w:val="28"/>
  </w:num>
  <w:num w:numId="44">
    <w:abstractNumId w:val="24"/>
  </w:num>
  <w:num w:numId="45">
    <w:abstractNumId w:val="39"/>
  </w:num>
  <w:num w:numId="46">
    <w:abstractNumId w:val="41"/>
  </w:num>
  <w:num w:numId="47">
    <w:abstractNumId w:val="38"/>
  </w:num>
  <w:num w:numId="48">
    <w:abstractNumId w:val="21"/>
  </w:num>
  <w:num w:numId="49">
    <w:abstractNumId w:val="18"/>
  </w:num>
  <w:num w:numId="50">
    <w:abstractNumId w:val="51"/>
  </w:num>
  <w:num w:numId="51">
    <w:abstractNumId w:val="29"/>
  </w:num>
  <w:num w:numId="52">
    <w:abstractNumId w:val="23"/>
  </w:num>
  <w:num w:numId="53">
    <w:abstractNumId w:val="40"/>
  </w:num>
  <w:num w:numId="54">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3NDI3MzU2tjQ2tbRQ0lEKTi0uzszPAykwrAUA4VpV+ywAAAA="/>
    <w:docVar w:name="EN.InstantFormat" w:val="&lt;ENInstantFormat&gt;&lt;Enabled&gt;1&lt;/Enabled&gt;&lt;ScanUnformatted&gt;1&lt;/ScanUnformatted&gt;&lt;ScanChanges&gt;1&lt;/ScanChanges&gt;&lt;Suspended&gt;0&lt;/Suspended&gt;&lt;/ENInstantFormat&gt;"/>
    <w:docVar w:name="EN.Layout" w:val="&lt;ENLayout&gt;&lt;Style&gt;Health Ed Behavio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2r2ewea92trkef5dt5arvbzafvpv2za5ft&quot;&gt;My EndNote Library&lt;record-ids&gt;&lt;item&gt;2&lt;/item&gt;&lt;item&gt;3&lt;/item&gt;&lt;item&gt;5&lt;/item&gt;&lt;item&gt;6&lt;/item&gt;&lt;item&gt;7&lt;/item&gt;&lt;item&gt;8&lt;/item&gt;&lt;item&gt;9&lt;/item&gt;&lt;item&gt;11&lt;/item&gt;&lt;item&gt;13&lt;/item&gt;&lt;item&gt;14&lt;/item&gt;&lt;item&gt;15&lt;/item&gt;&lt;item&gt;16&lt;/item&gt;&lt;item&gt;17&lt;/item&gt;&lt;item&gt;18&lt;/item&gt;&lt;item&gt;19&lt;/item&gt;&lt;item&gt;20&lt;/item&gt;&lt;item&gt;22&lt;/item&gt;&lt;item&gt;26&lt;/item&gt;&lt;item&gt;27&lt;/item&gt;&lt;item&gt;30&lt;/item&gt;&lt;item&gt;33&lt;/item&gt;&lt;item&gt;34&lt;/item&gt;&lt;item&gt;35&lt;/item&gt;&lt;item&gt;36&lt;/item&gt;&lt;item&gt;37&lt;/item&gt;&lt;item&gt;38&lt;/item&gt;&lt;item&gt;39&lt;/item&gt;&lt;item&gt;41&lt;/item&gt;&lt;item&gt;42&lt;/item&gt;&lt;item&gt;43&lt;/item&gt;&lt;item&gt;44&lt;/item&gt;&lt;item&gt;49&lt;/item&gt;&lt;item&gt;51&lt;/item&gt;&lt;item&gt;52&lt;/item&gt;&lt;item&gt;53&lt;/item&gt;&lt;item&gt;54&lt;/item&gt;&lt;item&gt;55&lt;/item&gt;&lt;item&gt;56&lt;/item&gt;&lt;item&gt;57&lt;/item&gt;&lt;item&gt;58&lt;/item&gt;&lt;item&gt;59&lt;/item&gt;&lt;item&gt;62&lt;/item&gt;&lt;item&gt;63&lt;/item&gt;&lt;item&gt;64&lt;/item&gt;&lt;item&gt;65&lt;/item&gt;&lt;item&gt;66&lt;/item&gt;&lt;item&gt;67&lt;/item&gt;&lt;item&gt;68&lt;/item&gt;&lt;item&gt;70&lt;/item&gt;&lt;item&gt;71&lt;/item&gt;&lt;item&gt;72&lt;/item&gt;&lt;item&gt;73&lt;/item&gt;&lt;item&gt;74&lt;/item&gt;&lt;item&gt;77&lt;/item&gt;&lt;item&gt;78&lt;/item&gt;&lt;item&gt;81&lt;/item&gt;&lt;item&gt;82&lt;/item&gt;&lt;item&gt;84&lt;/item&gt;&lt;item&gt;85&lt;/item&gt;&lt;item&gt;87&lt;/item&gt;&lt;item&gt;88&lt;/item&gt;&lt;item&gt;90&lt;/item&gt;&lt;item&gt;94&lt;/item&gt;&lt;item&gt;95&lt;/item&gt;&lt;item&gt;96&lt;/item&gt;&lt;item&gt;98&lt;/item&gt;&lt;item&gt;100&lt;/item&gt;&lt;item&gt;101&lt;/item&gt;&lt;item&gt;103&lt;/item&gt;&lt;item&gt;105&lt;/item&gt;&lt;item&gt;106&lt;/item&gt;&lt;item&gt;107&lt;/item&gt;&lt;item&gt;108&lt;/item&gt;&lt;item&gt;109&lt;/item&gt;&lt;item&gt;112&lt;/item&gt;&lt;item&gt;113&lt;/item&gt;&lt;item&gt;114&lt;/item&gt;&lt;item&gt;115&lt;/item&gt;&lt;item&gt;116&lt;/item&gt;&lt;item&gt;119&lt;/item&gt;&lt;item&gt;120&lt;/item&gt;&lt;item&gt;124&lt;/item&gt;&lt;item&gt;126&lt;/item&gt;&lt;item&gt;129&lt;/item&gt;&lt;item&gt;130&lt;/item&gt;&lt;item&gt;131&lt;/item&gt;&lt;item&gt;134&lt;/item&gt;&lt;item&gt;135&lt;/item&gt;&lt;item&gt;136&lt;/item&gt;&lt;item&gt;138&lt;/item&gt;&lt;item&gt;139&lt;/item&gt;&lt;item&gt;140&lt;/item&gt;&lt;item&gt;142&lt;/item&gt;&lt;item&gt;144&lt;/item&gt;&lt;item&gt;146&lt;/item&gt;&lt;item&gt;148&lt;/item&gt;&lt;item&gt;149&lt;/item&gt;&lt;item&gt;151&lt;/item&gt;&lt;item&gt;152&lt;/item&gt;&lt;item&gt;153&lt;/item&gt;&lt;item&gt;156&lt;/item&gt;&lt;item&gt;158&lt;/item&gt;&lt;item&gt;159&lt;/item&gt;&lt;item&gt;160&lt;/item&gt;&lt;item&gt;161&lt;/item&gt;&lt;item&gt;162&lt;/item&gt;&lt;item&gt;163&lt;/item&gt;&lt;item&gt;164&lt;/item&gt;&lt;item&gt;165&lt;/item&gt;&lt;item&gt;167&lt;/item&gt;&lt;item&gt;169&lt;/item&gt;&lt;item&gt;170&lt;/item&gt;&lt;item&gt;172&lt;/item&gt;&lt;item&gt;174&lt;/item&gt;&lt;item&gt;176&lt;/item&gt;&lt;item&gt;177&lt;/item&gt;&lt;item&gt;178&lt;/item&gt;&lt;item&gt;179&lt;/item&gt;&lt;item&gt;180&lt;/item&gt;&lt;item&gt;182&lt;/item&gt;&lt;item&gt;184&lt;/item&gt;&lt;item&gt;185&lt;/item&gt;&lt;item&gt;189&lt;/item&gt;&lt;item&gt;191&lt;/item&gt;&lt;item&gt;192&lt;/item&gt;&lt;item&gt;193&lt;/item&gt;&lt;item&gt;196&lt;/item&gt;&lt;item&gt;198&lt;/item&gt;&lt;item&gt;200&lt;/item&gt;&lt;item&gt;201&lt;/item&gt;&lt;item&gt;203&lt;/item&gt;&lt;item&gt;204&lt;/item&gt;&lt;item&gt;211&lt;/item&gt;&lt;item&gt;212&lt;/item&gt;&lt;item&gt;213&lt;/item&gt;&lt;item&gt;214&lt;/item&gt;&lt;item&gt;215&lt;/item&gt;&lt;item&gt;217&lt;/item&gt;&lt;item&gt;219&lt;/item&gt;&lt;item&gt;223&lt;/item&gt;&lt;item&gt;224&lt;/item&gt;&lt;item&gt;225&lt;/item&gt;&lt;item&gt;227&lt;/item&gt;&lt;item&gt;228&lt;/item&gt;&lt;item&gt;229&lt;/item&gt;&lt;item&gt;233&lt;/item&gt;&lt;item&gt;235&lt;/item&gt;&lt;item&gt;236&lt;/item&gt;&lt;item&gt;237&lt;/item&gt;&lt;item&gt;238&lt;/item&gt;&lt;item&gt;241&lt;/item&gt;&lt;item&gt;242&lt;/item&gt;&lt;item&gt;250&lt;/item&gt;&lt;item&gt;253&lt;/item&gt;&lt;item&gt;254&lt;/item&gt;&lt;item&gt;255&lt;/item&gt;&lt;item&gt;256&lt;/item&gt;&lt;item&gt;258&lt;/item&gt;&lt;item&gt;261&lt;/item&gt;&lt;item&gt;263&lt;/item&gt;&lt;item&gt;264&lt;/item&gt;&lt;item&gt;265&lt;/item&gt;&lt;item&gt;266&lt;/item&gt;&lt;item&gt;267&lt;/item&gt;&lt;item&gt;268&lt;/item&gt;&lt;item&gt;270&lt;/item&gt;&lt;item&gt;271&lt;/item&gt;&lt;item&gt;272&lt;/item&gt;&lt;item&gt;273&lt;/item&gt;&lt;item&gt;275&lt;/item&gt;&lt;item&gt;276&lt;/item&gt;&lt;item&gt;277&lt;/item&gt;&lt;item&gt;278&lt;/item&gt;&lt;item&gt;281&lt;/item&gt;&lt;item&gt;282&lt;/item&gt;&lt;item&gt;284&lt;/item&gt;&lt;item&gt;286&lt;/item&gt;&lt;item&gt;291&lt;/item&gt;&lt;item&gt;294&lt;/item&gt;&lt;item&gt;295&lt;/item&gt;&lt;item&gt;296&lt;/item&gt;&lt;item&gt;302&lt;/item&gt;&lt;item&gt;303&lt;/item&gt;&lt;item&gt;312&lt;/item&gt;&lt;item&gt;313&lt;/item&gt;&lt;item&gt;317&lt;/item&gt;&lt;item&gt;320&lt;/item&gt;&lt;item&gt;323&lt;/item&gt;&lt;item&gt;339&lt;/item&gt;&lt;item&gt;345&lt;/item&gt;&lt;item&gt;346&lt;/item&gt;&lt;item&gt;353&lt;/item&gt;&lt;item&gt;362&lt;/item&gt;&lt;item&gt;369&lt;/item&gt;&lt;item&gt;387&lt;/item&gt;&lt;item&gt;403&lt;/item&gt;&lt;item&gt;405&lt;/item&gt;&lt;item&gt;408&lt;/item&gt;&lt;item&gt;414&lt;/item&gt;&lt;item&gt;420&lt;/item&gt;&lt;item&gt;437&lt;/item&gt;&lt;item&gt;457&lt;/item&gt;&lt;item&gt;459&lt;/item&gt;&lt;item&gt;462&lt;/item&gt;&lt;item&gt;466&lt;/item&gt;&lt;item&gt;467&lt;/item&gt;&lt;item&gt;476&lt;/item&gt;&lt;item&gt;477&lt;/item&gt;&lt;item&gt;479&lt;/item&gt;&lt;item&gt;481&lt;/item&gt;&lt;item&gt;488&lt;/item&gt;&lt;item&gt;492&lt;/item&gt;&lt;item&gt;493&lt;/item&gt;&lt;item&gt;508&lt;/item&gt;&lt;item&gt;511&lt;/item&gt;&lt;item&gt;512&lt;/item&gt;&lt;item&gt;524&lt;/item&gt;&lt;item&gt;525&lt;/item&gt;&lt;item&gt;532&lt;/item&gt;&lt;item&gt;536&lt;/item&gt;&lt;item&gt;539&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1&lt;/item&gt;&lt;item&gt;582&lt;/item&gt;&lt;item&gt;583&lt;/item&gt;&lt;item&gt;584&lt;/item&gt;&lt;item&gt;586&lt;/item&gt;&lt;item&gt;587&lt;/item&gt;&lt;item&gt;588&lt;/item&gt;&lt;item&gt;589&lt;/item&gt;&lt;item&gt;590&lt;/item&gt;&lt;item&gt;591&lt;/item&gt;&lt;item&gt;592&lt;/item&gt;&lt;item&gt;593&lt;/item&gt;&lt;item&gt;594&lt;/item&gt;&lt;item&gt;595&lt;/item&gt;&lt;item&gt;596&lt;/item&gt;&lt;item&gt;598&lt;/item&gt;&lt;item&gt;599&lt;/item&gt;&lt;item&gt;600&lt;/item&gt;&lt;item&gt;601&lt;/item&gt;&lt;item&gt;602&lt;/item&gt;&lt;item&gt;603&lt;/item&gt;&lt;item&gt;604&lt;/item&gt;&lt;item&gt;605&lt;/item&gt;&lt;item&gt;606&lt;/item&gt;&lt;item&gt;610&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60&lt;/item&gt;&lt;item&gt;661&lt;/item&gt;&lt;item&gt;662&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4&lt;/item&gt;&lt;item&gt;686&lt;/item&gt;&lt;item&gt;690&lt;/item&gt;&lt;item&gt;691&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9&lt;/item&gt;&lt;item&gt;730&lt;/item&gt;&lt;item&gt;766&lt;/item&gt;&lt;item&gt;768&lt;/item&gt;&lt;item&gt;772&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31&lt;/item&gt;&lt;item&gt;832&lt;/item&gt;&lt;item&gt;833&lt;/item&gt;&lt;item&gt;834&lt;/item&gt;&lt;item&gt;835&lt;/item&gt;&lt;item&gt;836&lt;/item&gt;&lt;item&gt;837&lt;/item&gt;&lt;item&gt;838&lt;/item&gt;&lt;item&gt;839&lt;/item&gt;&lt;item&gt;840&lt;/item&gt;&lt;item&gt;841&lt;/item&gt;&lt;item&gt;842&lt;/item&gt;&lt;item&gt;855&lt;/item&gt;&lt;item&gt;871&lt;/item&gt;&lt;item&gt;873&lt;/item&gt;&lt;item&gt;874&lt;/item&gt;&lt;item&gt;882&lt;/item&gt;&lt;item&gt;885&lt;/item&gt;&lt;item&gt;889&lt;/item&gt;&lt;item&gt;899&lt;/item&gt;&lt;item&gt;901&lt;/item&gt;&lt;item&gt;902&lt;/item&gt;&lt;item&gt;909&lt;/item&gt;&lt;item&gt;910&lt;/item&gt;&lt;item&gt;911&lt;/item&gt;&lt;item&gt;912&lt;/item&gt;&lt;item&gt;913&lt;/item&gt;&lt;item&gt;914&lt;/item&gt;&lt;item&gt;915&lt;/item&gt;&lt;item&gt;916&lt;/item&gt;&lt;item&gt;917&lt;/item&gt;&lt;item&gt;918&lt;/item&gt;&lt;item&gt;919&lt;/item&gt;&lt;item&gt;921&lt;/item&gt;&lt;item&gt;923&lt;/item&gt;&lt;item&gt;924&lt;/item&gt;&lt;item&gt;925&lt;/item&gt;&lt;item&gt;927&lt;/item&gt;&lt;item&gt;928&lt;/item&gt;&lt;item&gt;929&lt;/item&gt;&lt;item&gt;930&lt;/item&gt;&lt;item&gt;931&lt;/item&gt;&lt;item&gt;932&lt;/item&gt;&lt;item&gt;934&lt;/item&gt;&lt;item&gt;935&lt;/item&gt;&lt;item&gt;936&lt;/item&gt;&lt;item&gt;937&lt;/item&gt;&lt;item&gt;943&lt;/item&gt;&lt;item&gt;944&lt;/item&gt;&lt;item&gt;945&lt;/item&gt;&lt;item&gt;946&lt;/item&gt;&lt;item&gt;947&lt;/item&gt;&lt;item&gt;950&lt;/item&gt;&lt;item&gt;951&lt;/item&gt;&lt;item&gt;952&lt;/item&gt;&lt;item&gt;953&lt;/item&gt;&lt;item&gt;954&lt;/item&gt;&lt;item&gt;955&lt;/item&gt;&lt;item&gt;956&lt;/item&gt;&lt;item&gt;957&lt;/item&gt;&lt;item&gt;958&lt;/item&gt;&lt;item&gt;960&lt;/item&gt;&lt;item&gt;961&lt;/item&gt;&lt;item&gt;962&lt;/item&gt;&lt;item&gt;963&lt;/item&gt;&lt;item&gt;964&lt;/item&gt;&lt;item&gt;965&lt;/item&gt;&lt;item&gt;966&lt;/item&gt;&lt;item&gt;967&lt;/item&gt;&lt;item&gt;968&lt;/item&gt;&lt;item&gt;969&lt;/item&gt;&lt;item&gt;970&lt;/item&gt;&lt;item&gt;971&lt;/item&gt;&lt;item&gt;985&lt;/item&gt;&lt;/record-ids&gt;&lt;/item&gt;&lt;/Libraries&gt;"/>
  </w:docVars>
  <w:rsids>
    <w:rsidRoot w:val="00700831"/>
    <w:rsid w:val="00001C5C"/>
    <w:rsid w:val="00001D80"/>
    <w:rsid w:val="00001EE2"/>
    <w:rsid w:val="0000262D"/>
    <w:rsid w:val="00002D08"/>
    <w:rsid w:val="00003742"/>
    <w:rsid w:val="00004DF6"/>
    <w:rsid w:val="00006950"/>
    <w:rsid w:val="00006A8F"/>
    <w:rsid w:val="00006CCD"/>
    <w:rsid w:val="00007867"/>
    <w:rsid w:val="00007A45"/>
    <w:rsid w:val="0001139B"/>
    <w:rsid w:val="00011568"/>
    <w:rsid w:val="00011B88"/>
    <w:rsid w:val="000120F4"/>
    <w:rsid w:val="00012489"/>
    <w:rsid w:val="00012EAF"/>
    <w:rsid w:val="00013270"/>
    <w:rsid w:val="00013929"/>
    <w:rsid w:val="00013C78"/>
    <w:rsid w:val="00013DDC"/>
    <w:rsid w:val="000143BD"/>
    <w:rsid w:val="00014D16"/>
    <w:rsid w:val="000155D5"/>
    <w:rsid w:val="000169D7"/>
    <w:rsid w:val="00017B23"/>
    <w:rsid w:val="0002008D"/>
    <w:rsid w:val="0002109D"/>
    <w:rsid w:val="00021635"/>
    <w:rsid w:val="000220E4"/>
    <w:rsid w:val="00022D6B"/>
    <w:rsid w:val="0002357A"/>
    <w:rsid w:val="00023D39"/>
    <w:rsid w:val="00024A75"/>
    <w:rsid w:val="00025DA1"/>
    <w:rsid w:val="00026049"/>
    <w:rsid w:val="00026163"/>
    <w:rsid w:val="000269BF"/>
    <w:rsid w:val="00026DA8"/>
    <w:rsid w:val="00027476"/>
    <w:rsid w:val="00030767"/>
    <w:rsid w:val="0003395C"/>
    <w:rsid w:val="00033A09"/>
    <w:rsid w:val="000357D3"/>
    <w:rsid w:val="0003736C"/>
    <w:rsid w:val="00037FD0"/>
    <w:rsid w:val="00040542"/>
    <w:rsid w:val="000413A2"/>
    <w:rsid w:val="000421F0"/>
    <w:rsid w:val="00042504"/>
    <w:rsid w:val="00043365"/>
    <w:rsid w:val="00046DE1"/>
    <w:rsid w:val="000470C2"/>
    <w:rsid w:val="00052D8F"/>
    <w:rsid w:val="000532E2"/>
    <w:rsid w:val="000535B6"/>
    <w:rsid w:val="00055BEA"/>
    <w:rsid w:val="000567C9"/>
    <w:rsid w:val="00060D36"/>
    <w:rsid w:val="00061024"/>
    <w:rsid w:val="00061925"/>
    <w:rsid w:val="00061D8F"/>
    <w:rsid w:val="00062A9C"/>
    <w:rsid w:val="000654C7"/>
    <w:rsid w:val="00065BAB"/>
    <w:rsid w:val="0006645F"/>
    <w:rsid w:val="00066C29"/>
    <w:rsid w:val="00067DE4"/>
    <w:rsid w:val="00070ACE"/>
    <w:rsid w:val="00071A11"/>
    <w:rsid w:val="00071A48"/>
    <w:rsid w:val="00072336"/>
    <w:rsid w:val="00072C2C"/>
    <w:rsid w:val="00073B22"/>
    <w:rsid w:val="00074F8B"/>
    <w:rsid w:val="00077739"/>
    <w:rsid w:val="00077A5B"/>
    <w:rsid w:val="00077B4A"/>
    <w:rsid w:val="000803C9"/>
    <w:rsid w:val="000803FF"/>
    <w:rsid w:val="00082127"/>
    <w:rsid w:val="0008250E"/>
    <w:rsid w:val="0008431D"/>
    <w:rsid w:val="00085A07"/>
    <w:rsid w:val="00086235"/>
    <w:rsid w:val="00086D15"/>
    <w:rsid w:val="00087065"/>
    <w:rsid w:val="00090343"/>
    <w:rsid w:val="00090A7E"/>
    <w:rsid w:val="00090CB4"/>
    <w:rsid w:val="00090E3B"/>
    <w:rsid w:val="00091480"/>
    <w:rsid w:val="00091AD8"/>
    <w:rsid w:val="000920B7"/>
    <w:rsid w:val="000932A9"/>
    <w:rsid w:val="00093EDC"/>
    <w:rsid w:val="0009690A"/>
    <w:rsid w:val="000A0304"/>
    <w:rsid w:val="000A27D4"/>
    <w:rsid w:val="000A34E1"/>
    <w:rsid w:val="000A3B0F"/>
    <w:rsid w:val="000A3CA1"/>
    <w:rsid w:val="000A3CC5"/>
    <w:rsid w:val="000A4F61"/>
    <w:rsid w:val="000A58AA"/>
    <w:rsid w:val="000A5A12"/>
    <w:rsid w:val="000A5CA8"/>
    <w:rsid w:val="000A632F"/>
    <w:rsid w:val="000A651F"/>
    <w:rsid w:val="000A6EBF"/>
    <w:rsid w:val="000A7331"/>
    <w:rsid w:val="000A7534"/>
    <w:rsid w:val="000B0DC7"/>
    <w:rsid w:val="000B0DD8"/>
    <w:rsid w:val="000B1BAA"/>
    <w:rsid w:val="000B1FBC"/>
    <w:rsid w:val="000B2379"/>
    <w:rsid w:val="000B2999"/>
    <w:rsid w:val="000B4460"/>
    <w:rsid w:val="000B492B"/>
    <w:rsid w:val="000B4A06"/>
    <w:rsid w:val="000B53B0"/>
    <w:rsid w:val="000B6309"/>
    <w:rsid w:val="000B725C"/>
    <w:rsid w:val="000B7C1A"/>
    <w:rsid w:val="000C0B58"/>
    <w:rsid w:val="000C13AE"/>
    <w:rsid w:val="000C154A"/>
    <w:rsid w:val="000C20DD"/>
    <w:rsid w:val="000C2987"/>
    <w:rsid w:val="000C5621"/>
    <w:rsid w:val="000C73A0"/>
    <w:rsid w:val="000C766A"/>
    <w:rsid w:val="000D0D1E"/>
    <w:rsid w:val="000D1927"/>
    <w:rsid w:val="000D2871"/>
    <w:rsid w:val="000D2D14"/>
    <w:rsid w:val="000D373C"/>
    <w:rsid w:val="000D3F3E"/>
    <w:rsid w:val="000D4FF2"/>
    <w:rsid w:val="000D6AE1"/>
    <w:rsid w:val="000D6EB5"/>
    <w:rsid w:val="000D7E22"/>
    <w:rsid w:val="000D7F92"/>
    <w:rsid w:val="000E2096"/>
    <w:rsid w:val="000E241D"/>
    <w:rsid w:val="000E2DED"/>
    <w:rsid w:val="000E3899"/>
    <w:rsid w:val="000E4B90"/>
    <w:rsid w:val="000E500C"/>
    <w:rsid w:val="000E57BF"/>
    <w:rsid w:val="000E5857"/>
    <w:rsid w:val="000E6D89"/>
    <w:rsid w:val="000E6F93"/>
    <w:rsid w:val="000E70DA"/>
    <w:rsid w:val="000E7CFD"/>
    <w:rsid w:val="000F06AE"/>
    <w:rsid w:val="000F1506"/>
    <w:rsid w:val="000F3966"/>
    <w:rsid w:val="000F3E1F"/>
    <w:rsid w:val="000F4ABD"/>
    <w:rsid w:val="000F5B89"/>
    <w:rsid w:val="000F60DF"/>
    <w:rsid w:val="001006FD"/>
    <w:rsid w:val="001046E5"/>
    <w:rsid w:val="00106909"/>
    <w:rsid w:val="00107905"/>
    <w:rsid w:val="0011014A"/>
    <w:rsid w:val="00113F15"/>
    <w:rsid w:val="00116770"/>
    <w:rsid w:val="00116BB2"/>
    <w:rsid w:val="00116C36"/>
    <w:rsid w:val="00120014"/>
    <w:rsid w:val="00121234"/>
    <w:rsid w:val="00123360"/>
    <w:rsid w:val="001243FB"/>
    <w:rsid w:val="001246F8"/>
    <w:rsid w:val="00125F28"/>
    <w:rsid w:val="001260FB"/>
    <w:rsid w:val="00126D81"/>
    <w:rsid w:val="001271BC"/>
    <w:rsid w:val="00127E4C"/>
    <w:rsid w:val="00130436"/>
    <w:rsid w:val="001312BF"/>
    <w:rsid w:val="0013214E"/>
    <w:rsid w:val="00132246"/>
    <w:rsid w:val="00133D5B"/>
    <w:rsid w:val="0013476F"/>
    <w:rsid w:val="00135002"/>
    <w:rsid w:val="00136735"/>
    <w:rsid w:val="00136FE6"/>
    <w:rsid w:val="001376BA"/>
    <w:rsid w:val="00140FBA"/>
    <w:rsid w:val="00141E56"/>
    <w:rsid w:val="00143759"/>
    <w:rsid w:val="00145CF6"/>
    <w:rsid w:val="00145D15"/>
    <w:rsid w:val="0015008D"/>
    <w:rsid w:val="0015045A"/>
    <w:rsid w:val="001520C9"/>
    <w:rsid w:val="001529B6"/>
    <w:rsid w:val="0015378B"/>
    <w:rsid w:val="00153FA1"/>
    <w:rsid w:val="00156662"/>
    <w:rsid w:val="00156A9D"/>
    <w:rsid w:val="00156BAF"/>
    <w:rsid w:val="00157BB5"/>
    <w:rsid w:val="00161436"/>
    <w:rsid w:val="00161B1D"/>
    <w:rsid w:val="0016300F"/>
    <w:rsid w:val="00163BA1"/>
    <w:rsid w:val="001641FF"/>
    <w:rsid w:val="00164266"/>
    <w:rsid w:val="00164ABE"/>
    <w:rsid w:val="00164F07"/>
    <w:rsid w:val="00165748"/>
    <w:rsid w:val="0016709A"/>
    <w:rsid w:val="00171DF2"/>
    <w:rsid w:val="00174EA0"/>
    <w:rsid w:val="00176883"/>
    <w:rsid w:val="00177A83"/>
    <w:rsid w:val="0018145E"/>
    <w:rsid w:val="00181B39"/>
    <w:rsid w:val="00181E5F"/>
    <w:rsid w:val="00182065"/>
    <w:rsid w:val="00182109"/>
    <w:rsid w:val="00183709"/>
    <w:rsid w:val="00183CFD"/>
    <w:rsid w:val="00184104"/>
    <w:rsid w:val="00184B8F"/>
    <w:rsid w:val="00184DB9"/>
    <w:rsid w:val="00190CEB"/>
    <w:rsid w:val="00191E09"/>
    <w:rsid w:val="00192E00"/>
    <w:rsid w:val="00194062"/>
    <w:rsid w:val="0019449A"/>
    <w:rsid w:val="00195EA5"/>
    <w:rsid w:val="00196760"/>
    <w:rsid w:val="00196B74"/>
    <w:rsid w:val="00197916"/>
    <w:rsid w:val="001A2548"/>
    <w:rsid w:val="001A2BBE"/>
    <w:rsid w:val="001A2C9C"/>
    <w:rsid w:val="001A38C9"/>
    <w:rsid w:val="001A39A7"/>
    <w:rsid w:val="001A3AA1"/>
    <w:rsid w:val="001A440F"/>
    <w:rsid w:val="001A5B9C"/>
    <w:rsid w:val="001A61B4"/>
    <w:rsid w:val="001A64B6"/>
    <w:rsid w:val="001A6A82"/>
    <w:rsid w:val="001A6E2D"/>
    <w:rsid w:val="001A7226"/>
    <w:rsid w:val="001B07F1"/>
    <w:rsid w:val="001B25A3"/>
    <w:rsid w:val="001B27CF"/>
    <w:rsid w:val="001B2AC6"/>
    <w:rsid w:val="001B45ED"/>
    <w:rsid w:val="001B5E3F"/>
    <w:rsid w:val="001B6BDB"/>
    <w:rsid w:val="001C1066"/>
    <w:rsid w:val="001C1A12"/>
    <w:rsid w:val="001C1A63"/>
    <w:rsid w:val="001C29AC"/>
    <w:rsid w:val="001C3420"/>
    <w:rsid w:val="001C502B"/>
    <w:rsid w:val="001C6826"/>
    <w:rsid w:val="001D1535"/>
    <w:rsid w:val="001D3620"/>
    <w:rsid w:val="001D4448"/>
    <w:rsid w:val="001D4869"/>
    <w:rsid w:val="001D527B"/>
    <w:rsid w:val="001D6618"/>
    <w:rsid w:val="001D6EAB"/>
    <w:rsid w:val="001E0E6E"/>
    <w:rsid w:val="001E1046"/>
    <w:rsid w:val="001E12ED"/>
    <w:rsid w:val="001E1E13"/>
    <w:rsid w:val="001E33ED"/>
    <w:rsid w:val="001E3D2A"/>
    <w:rsid w:val="001E5042"/>
    <w:rsid w:val="001E674B"/>
    <w:rsid w:val="001E67F2"/>
    <w:rsid w:val="001F06D3"/>
    <w:rsid w:val="001F0F9F"/>
    <w:rsid w:val="001F1DCD"/>
    <w:rsid w:val="001F3205"/>
    <w:rsid w:val="001F3F42"/>
    <w:rsid w:val="001F4885"/>
    <w:rsid w:val="001F5220"/>
    <w:rsid w:val="001F781C"/>
    <w:rsid w:val="001F7951"/>
    <w:rsid w:val="001F7BA1"/>
    <w:rsid w:val="001F7FE6"/>
    <w:rsid w:val="00200470"/>
    <w:rsid w:val="00201977"/>
    <w:rsid w:val="002019FC"/>
    <w:rsid w:val="00202F92"/>
    <w:rsid w:val="00203CFE"/>
    <w:rsid w:val="00204AEE"/>
    <w:rsid w:val="00206F5C"/>
    <w:rsid w:val="0021079B"/>
    <w:rsid w:val="00211105"/>
    <w:rsid w:val="002115E3"/>
    <w:rsid w:val="00211ED9"/>
    <w:rsid w:val="002129AB"/>
    <w:rsid w:val="0021380B"/>
    <w:rsid w:val="002143F5"/>
    <w:rsid w:val="0021662A"/>
    <w:rsid w:val="00216A48"/>
    <w:rsid w:val="00216AD2"/>
    <w:rsid w:val="00217339"/>
    <w:rsid w:val="002228EC"/>
    <w:rsid w:val="00223E22"/>
    <w:rsid w:val="00224AF0"/>
    <w:rsid w:val="00226193"/>
    <w:rsid w:val="00226A4B"/>
    <w:rsid w:val="00227323"/>
    <w:rsid w:val="002275CC"/>
    <w:rsid w:val="00230DC4"/>
    <w:rsid w:val="00232187"/>
    <w:rsid w:val="0023407F"/>
    <w:rsid w:val="0023408A"/>
    <w:rsid w:val="00234E4A"/>
    <w:rsid w:val="00236D46"/>
    <w:rsid w:val="002370A7"/>
    <w:rsid w:val="00240502"/>
    <w:rsid w:val="00240F75"/>
    <w:rsid w:val="00241893"/>
    <w:rsid w:val="00242DC4"/>
    <w:rsid w:val="002444E5"/>
    <w:rsid w:val="0024485D"/>
    <w:rsid w:val="002454E9"/>
    <w:rsid w:val="00247131"/>
    <w:rsid w:val="00247FA8"/>
    <w:rsid w:val="00250AEB"/>
    <w:rsid w:val="00254159"/>
    <w:rsid w:val="002545D0"/>
    <w:rsid w:val="00254E18"/>
    <w:rsid w:val="00255EBE"/>
    <w:rsid w:val="00255EDB"/>
    <w:rsid w:val="00261132"/>
    <w:rsid w:val="00262D2D"/>
    <w:rsid w:val="00263826"/>
    <w:rsid w:val="00267873"/>
    <w:rsid w:val="00271885"/>
    <w:rsid w:val="00271F8F"/>
    <w:rsid w:val="00274692"/>
    <w:rsid w:val="00274CE2"/>
    <w:rsid w:val="00281542"/>
    <w:rsid w:val="00282943"/>
    <w:rsid w:val="00282B7A"/>
    <w:rsid w:val="00283713"/>
    <w:rsid w:val="0028392A"/>
    <w:rsid w:val="002849FA"/>
    <w:rsid w:val="002857E3"/>
    <w:rsid w:val="0028675A"/>
    <w:rsid w:val="00287599"/>
    <w:rsid w:val="00291AD2"/>
    <w:rsid w:val="00292B58"/>
    <w:rsid w:val="00293554"/>
    <w:rsid w:val="002A09E1"/>
    <w:rsid w:val="002A0BA1"/>
    <w:rsid w:val="002A1B27"/>
    <w:rsid w:val="002A1C63"/>
    <w:rsid w:val="002A1F15"/>
    <w:rsid w:val="002A3754"/>
    <w:rsid w:val="002A3E9B"/>
    <w:rsid w:val="002A7788"/>
    <w:rsid w:val="002A789A"/>
    <w:rsid w:val="002B0A82"/>
    <w:rsid w:val="002B1852"/>
    <w:rsid w:val="002B2030"/>
    <w:rsid w:val="002B2507"/>
    <w:rsid w:val="002B44DA"/>
    <w:rsid w:val="002B5431"/>
    <w:rsid w:val="002B6170"/>
    <w:rsid w:val="002B77AB"/>
    <w:rsid w:val="002B7BD9"/>
    <w:rsid w:val="002C095F"/>
    <w:rsid w:val="002C455F"/>
    <w:rsid w:val="002C5966"/>
    <w:rsid w:val="002D395A"/>
    <w:rsid w:val="002D41C3"/>
    <w:rsid w:val="002D5128"/>
    <w:rsid w:val="002D5376"/>
    <w:rsid w:val="002D6D50"/>
    <w:rsid w:val="002D6DC1"/>
    <w:rsid w:val="002D6F14"/>
    <w:rsid w:val="002E04A3"/>
    <w:rsid w:val="002E0B6F"/>
    <w:rsid w:val="002E1A52"/>
    <w:rsid w:val="002E1C3C"/>
    <w:rsid w:val="002E282C"/>
    <w:rsid w:val="002E3AD7"/>
    <w:rsid w:val="002E5B8D"/>
    <w:rsid w:val="002E6E35"/>
    <w:rsid w:val="002F0A4C"/>
    <w:rsid w:val="002F0AB9"/>
    <w:rsid w:val="002F0ED4"/>
    <w:rsid w:val="002F10CC"/>
    <w:rsid w:val="002F28F4"/>
    <w:rsid w:val="002F4122"/>
    <w:rsid w:val="002F484F"/>
    <w:rsid w:val="002F4E5C"/>
    <w:rsid w:val="002F655D"/>
    <w:rsid w:val="002F74A2"/>
    <w:rsid w:val="00300CAE"/>
    <w:rsid w:val="00300DB6"/>
    <w:rsid w:val="00304469"/>
    <w:rsid w:val="00305084"/>
    <w:rsid w:val="00310CA6"/>
    <w:rsid w:val="00310CFA"/>
    <w:rsid w:val="00311B29"/>
    <w:rsid w:val="00314450"/>
    <w:rsid w:val="00314C65"/>
    <w:rsid w:val="0031542E"/>
    <w:rsid w:val="003154F2"/>
    <w:rsid w:val="00320687"/>
    <w:rsid w:val="00321851"/>
    <w:rsid w:val="00321E0E"/>
    <w:rsid w:val="0032388B"/>
    <w:rsid w:val="00324E00"/>
    <w:rsid w:val="00326A67"/>
    <w:rsid w:val="00326E89"/>
    <w:rsid w:val="00330034"/>
    <w:rsid w:val="0033070E"/>
    <w:rsid w:val="003318DD"/>
    <w:rsid w:val="00331FBD"/>
    <w:rsid w:val="00332450"/>
    <w:rsid w:val="003327C9"/>
    <w:rsid w:val="00332F07"/>
    <w:rsid w:val="00335093"/>
    <w:rsid w:val="003355AE"/>
    <w:rsid w:val="00341B7E"/>
    <w:rsid w:val="00343B41"/>
    <w:rsid w:val="003441C5"/>
    <w:rsid w:val="00344515"/>
    <w:rsid w:val="00345BB9"/>
    <w:rsid w:val="00346531"/>
    <w:rsid w:val="003478AC"/>
    <w:rsid w:val="003509D5"/>
    <w:rsid w:val="003513D6"/>
    <w:rsid w:val="0035182A"/>
    <w:rsid w:val="00351ED1"/>
    <w:rsid w:val="00354408"/>
    <w:rsid w:val="00354469"/>
    <w:rsid w:val="0035637B"/>
    <w:rsid w:val="00357640"/>
    <w:rsid w:val="00357D07"/>
    <w:rsid w:val="00357EA7"/>
    <w:rsid w:val="00361682"/>
    <w:rsid w:val="00363838"/>
    <w:rsid w:val="00364EC6"/>
    <w:rsid w:val="00364FDE"/>
    <w:rsid w:val="0036517D"/>
    <w:rsid w:val="003668CC"/>
    <w:rsid w:val="00367EA7"/>
    <w:rsid w:val="0037017A"/>
    <w:rsid w:val="00371E31"/>
    <w:rsid w:val="003723B7"/>
    <w:rsid w:val="003726FE"/>
    <w:rsid w:val="003730AD"/>
    <w:rsid w:val="00374149"/>
    <w:rsid w:val="003744E5"/>
    <w:rsid w:val="00374A63"/>
    <w:rsid w:val="0037729E"/>
    <w:rsid w:val="00382238"/>
    <w:rsid w:val="00384091"/>
    <w:rsid w:val="00384390"/>
    <w:rsid w:val="00385184"/>
    <w:rsid w:val="003858F3"/>
    <w:rsid w:val="00386715"/>
    <w:rsid w:val="00387F79"/>
    <w:rsid w:val="0039010B"/>
    <w:rsid w:val="00390287"/>
    <w:rsid w:val="003917BB"/>
    <w:rsid w:val="00392C82"/>
    <w:rsid w:val="003945FF"/>
    <w:rsid w:val="0039477A"/>
    <w:rsid w:val="00394942"/>
    <w:rsid w:val="00394F15"/>
    <w:rsid w:val="00395D09"/>
    <w:rsid w:val="00397116"/>
    <w:rsid w:val="00397586"/>
    <w:rsid w:val="003A0676"/>
    <w:rsid w:val="003A0863"/>
    <w:rsid w:val="003A170D"/>
    <w:rsid w:val="003A1749"/>
    <w:rsid w:val="003A5C8A"/>
    <w:rsid w:val="003A72C7"/>
    <w:rsid w:val="003B0732"/>
    <w:rsid w:val="003B2374"/>
    <w:rsid w:val="003B249B"/>
    <w:rsid w:val="003B2607"/>
    <w:rsid w:val="003B3728"/>
    <w:rsid w:val="003B44AF"/>
    <w:rsid w:val="003B5120"/>
    <w:rsid w:val="003B534A"/>
    <w:rsid w:val="003B6715"/>
    <w:rsid w:val="003B74C5"/>
    <w:rsid w:val="003C2B82"/>
    <w:rsid w:val="003C4105"/>
    <w:rsid w:val="003C52A2"/>
    <w:rsid w:val="003C539E"/>
    <w:rsid w:val="003C6437"/>
    <w:rsid w:val="003C7F44"/>
    <w:rsid w:val="003D22DE"/>
    <w:rsid w:val="003D24DC"/>
    <w:rsid w:val="003D3DCF"/>
    <w:rsid w:val="003D455A"/>
    <w:rsid w:val="003D4CCA"/>
    <w:rsid w:val="003D5BB6"/>
    <w:rsid w:val="003D5DCD"/>
    <w:rsid w:val="003D5FB4"/>
    <w:rsid w:val="003D6516"/>
    <w:rsid w:val="003D655E"/>
    <w:rsid w:val="003D7A25"/>
    <w:rsid w:val="003D7AEC"/>
    <w:rsid w:val="003E04F2"/>
    <w:rsid w:val="003E106D"/>
    <w:rsid w:val="003E1587"/>
    <w:rsid w:val="003E1D2B"/>
    <w:rsid w:val="003E3774"/>
    <w:rsid w:val="003E3991"/>
    <w:rsid w:val="003E3A8C"/>
    <w:rsid w:val="003E4B96"/>
    <w:rsid w:val="003E69F8"/>
    <w:rsid w:val="003F1A1C"/>
    <w:rsid w:val="003F1A31"/>
    <w:rsid w:val="003F1E36"/>
    <w:rsid w:val="003F2549"/>
    <w:rsid w:val="003F2925"/>
    <w:rsid w:val="003F3662"/>
    <w:rsid w:val="003F4F7A"/>
    <w:rsid w:val="003F54B7"/>
    <w:rsid w:val="003F57EF"/>
    <w:rsid w:val="003F6B91"/>
    <w:rsid w:val="003F7656"/>
    <w:rsid w:val="003F7DE6"/>
    <w:rsid w:val="00400C42"/>
    <w:rsid w:val="004010CD"/>
    <w:rsid w:val="0040163D"/>
    <w:rsid w:val="00401D82"/>
    <w:rsid w:val="00402ADD"/>
    <w:rsid w:val="00402AF2"/>
    <w:rsid w:val="00402B44"/>
    <w:rsid w:val="00403EE9"/>
    <w:rsid w:val="00404360"/>
    <w:rsid w:val="00404BA9"/>
    <w:rsid w:val="004056B3"/>
    <w:rsid w:val="00405CB8"/>
    <w:rsid w:val="00406B42"/>
    <w:rsid w:val="00407171"/>
    <w:rsid w:val="0040789B"/>
    <w:rsid w:val="00407CAA"/>
    <w:rsid w:val="004110D6"/>
    <w:rsid w:val="004110DF"/>
    <w:rsid w:val="00411792"/>
    <w:rsid w:val="004119C7"/>
    <w:rsid w:val="00412423"/>
    <w:rsid w:val="00414029"/>
    <w:rsid w:val="004170C5"/>
    <w:rsid w:val="004208F0"/>
    <w:rsid w:val="004218ED"/>
    <w:rsid w:val="00421C1B"/>
    <w:rsid w:val="00421DDA"/>
    <w:rsid w:val="0042250E"/>
    <w:rsid w:val="004258FC"/>
    <w:rsid w:val="00426FCB"/>
    <w:rsid w:val="004303C2"/>
    <w:rsid w:val="00430E81"/>
    <w:rsid w:val="00432003"/>
    <w:rsid w:val="00432787"/>
    <w:rsid w:val="0043333F"/>
    <w:rsid w:val="004343FD"/>
    <w:rsid w:val="00434A93"/>
    <w:rsid w:val="00434E1E"/>
    <w:rsid w:val="00435CF8"/>
    <w:rsid w:val="004379A7"/>
    <w:rsid w:val="00437CF3"/>
    <w:rsid w:val="00437DF2"/>
    <w:rsid w:val="004411FA"/>
    <w:rsid w:val="00441D46"/>
    <w:rsid w:val="00442DBC"/>
    <w:rsid w:val="004444CD"/>
    <w:rsid w:val="004476F6"/>
    <w:rsid w:val="00447ACF"/>
    <w:rsid w:val="00450DBC"/>
    <w:rsid w:val="0045217A"/>
    <w:rsid w:val="00452373"/>
    <w:rsid w:val="00453F7C"/>
    <w:rsid w:val="00454A3D"/>
    <w:rsid w:val="004568F5"/>
    <w:rsid w:val="004572AE"/>
    <w:rsid w:val="00457AC2"/>
    <w:rsid w:val="00457F9D"/>
    <w:rsid w:val="004615F8"/>
    <w:rsid w:val="00461B4F"/>
    <w:rsid w:val="0046564B"/>
    <w:rsid w:val="00467C44"/>
    <w:rsid w:val="0047180F"/>
    <w:rsid w:val="004727A2"/>
    <w:rsid w:val="00472F97"/>
    <w:rsid w:val="00473805"/>
    <w:rsid w:val="00473DB7"/>
    <w:rsid w:val="004740E9"/>
    <w:rsid w:val="00474D83"/>
    <w:rsid w:val="00474DB0"/>
    <w:rsid w:val="00475C24"/>
    <w:rsid w:val="004761E4"/>
    <w:rsid w:val="004765C8"/>
    <w:rsid w:val="00477E60"/>
    <w:rsid w:val="00483531"/>
    <w:rsid w:val="00483DED"/>
    <w:rsid w:val="004841A8"/>
    <w:rsid w:val="004851F8"/>
    <w:rsid w:val="00485831"/>
    <w:rsid w:val="00486B33"/>
    <w:rsid w:val="00486B89"/>
    <w:rsid w:val="00487B66"/>
    <w:rsid w:val="0049047B"/>
    <w:rsid w:val="0049059B"/>
    <w:rsid w:val="00490C48"/>
    <w:rsid w:val="00492E67"/>
    <w:rsid w:val="0049394E"/>
    <w:rsid w:val="00494AB0"/>
    <w:rsid w:val="00495549"/>
    <w:rsid w:val="00495B79"/>
    <w:rsid w:val="0049618F"/>
    <w:rsid w:val="0049687A"/>
    <w:rsid w:val="00496ED2"/>
    <w:rsid w:val="004A06C2"/>
    <w:rsid w:val="004A0E7F"/>
    <w:rsid w:val="004A351A"/>
    <w:rsid w:val="004A36D6"/>
    <w:rsid w:val="004A3DB9"/>
    <w:rsid w:val="004A447E"/>
    <w:rsid w:val="004A624B"/>
    <w:rsid w:val="004A6E9B"/>
    <w:rsid w:val="004A77DF"/>
    <w:rsid w:val="004B0055"/>
    <w:rsid w:val="004B2441"/>
    <w:rsid w:val="004B25E6"/>
    <w:rsid w:val="004B27C7"/>
    <w:rsid w:val="004B2ACE"/>
    <w:rsid w:val="004B4039"/>
    <w:rsid w:val="004B5869"/>
    <w:rsid w:val="004B592B"/>
    <w:rsid w:val="004B6CA4"/>
    <w:rsid w:val="004C0885"/>
    <w:rsid w:val="004C0DFA"/>
    <w:rsid w:val="004C18DE"/>
    <w:rsid w:val="004C2EF5"/>
    <w:rsid w:val="004C53B9"/>
    <w:rsid w:val="004C548D"/>
    <w:rsid w:val="004C5DBE"/>
    <w:rsid w:val="004C6032"/>
    <w:rsid w:val="004C7D29"/>
    <w:rsid w:val="004D0032"/>
    <w:rsid w:val="004D02EE"/>
    <w:rsid w:val="004D0D4B"/>
    <w:rsid w:val="004D151F"/>
    <w:rsid w:val="004D2A4D"/>
    <w:rsid w:val="004D33B4"/>
    <w:rsid w:val="004D3529"/>
    <w:rsid w:val="004D48B1"/>
    <w:rsid w:val="004D57A0"/>
    <w:rsid w:val="004D6ABC"/>
    <w:rsid w:val="004D6CB6"/>
    <w:rsid w:val="004D6EBA"/>
    <w:rsid w:val="004E14F1"/>
    <w:rsid w:val="004E2493"/>
    <w:rsid w:val="004E3161"/>
    <w:rsid w:val="004E3646"/>
    <w:rsid w:val="004E5088"/>
    <w:rsid w:val="004E5202"/>
    <w:rsid w:val="004E5A78"/>
    <w:rsid w:val="004E655D"/>
    <w:rsid w:val="004E662A"/>
    <w:rsid w:val="004E6A61"/>
    <w:rsid w:val="004E781D"/>
    <w:rsid w:val="004F1088"/>
    <w:rsid w:val="004F2565"/>
    <w:rsid w:val="004F2EE7"/>
    <w:rsid w:val="004F3387"/>
    <w:rsid w:val="004F3E13"/>
    <w:rsid w:val="004F4074"/>
    <w:rsid w:val="004F4284"/>
    <w:rsid w:val="004F4570"/>
    <w:rsid w:val="004F5DAB"/>
    <w:rsid w:val="004F6256"/>
    <w:rsid w:val="0050148B"/>
    <w:rsid w:val="00501BC0"/>
    <w:rsid w:val="0050275F"/>
    <w:rsid w:val="00502DEB"/>
    <w:rsid w:val="005031E7"/>
    <w:rsid w:val="005052BF"/>
    <w:rsid w:val="00505701"/>
    <w:rsid w:val="00506678"/>
    <w:rsid w:val="00506759"/>
    <w:rsid w:val="00512175"/>
    <w:rsid w:val="005136FB"/>
    <w:rsid w:val="00513998"/>
    <w:rsid w:val="0051512C"/>
    <w:rsid w:val="0051568B"/>
    <w:rsid w:val="00515A65"/>
    <w:rsid w:val="00516139"/>
    <w:rsid w:val="005173AA"/>
    <w:rsid w:val="00520451"/>
    <w:rsid w:val="00520AC2"/>
    <w:rsid w:val="00521511"/>
    <w:rsid w:val="00521DE8"/>
    <w:rsid w:val="0052217A"/>
    <w:rsid w:val="00524C6D"/>
    <w:rsid w:val="00525706"/>
    <w:rsid w:val="0052774D"/>
    <w:rsid w:val="00531CDB"/>
    <w:rsid w:val="00531CE2"/>
    <w:rsid w:val="00533C9F"/>
    <w:rsid w:val="00536735"/>
    <w:rsid w:val="00537084"/>
    <w:rsid w:val="005375A6"/>
    <w:rsid w:val="0053798D"/>
    <w:rsid w:val="00543646"/>
    <w:rsid w:val="00544848"/>
    <w:rsid w:val="00544E21"/>
    <w:rsid w:val="005450F0"/>
    <w:rsid w:val="00550AAD"/>
    <w:rsid w:val="00550B44"/>
    <w:rsid w:val="0055100A"/>
    <w:rsid w:val="00551C6E"/>
    <w:rsid w:val="005523A7"/>
    <w:rsid w:val="00553156"/>
    <w:rsid w:val="00554562"/>
    <w:rsid w:val="005545FF"/>
    <w:rsid w:val="0055590E"/>
    <w:rsid w:val="00555B76"/>
    <w:rsid w:val="00557206"/>
    <w:rsid w:val="005575E2"/>
    <w:rsid w:val="00560162"/>
    <w:rsid w:val="0056245E"/>
    <w:rsid w:val="00564B5F"/>
    <w:rsid w:val="00565189"/>
    <w:rsid w:val="00566143"/>
    <w:rsid w:val="00567F08"/>
    <w:rsid w:val="00572A34"/>
    <w:rsid w:val="0057311A"/>
    <w:rsid w:val="00573317"/>
    <w:rsid w:val="00573592"/>
    <w:rsid w:val="00573802"/>
    <w:rsid w:val="005749B3"/>
    <w:rsid w:val="00575F1F"/>
    <w:rsid w:val="00576423"/>
    <w:rsid w:val="005765F4"/>
    <w:rsid w:val="00581642"/>
    <w:rsid w:val="005829EC"/>
    <w:rsid w:val="00582D25"/>
    <w:rsid w:val="00583325"/>
    <w:rsid w:val="00583576"/>
    <w:rsid w:val="005835E6"/>
    <w:rsid w:val="005850A3"/>
    <w:rsid w:val="00590020"/>
    <w:rsid w:val="00590178"/>
    <w:rsid w:val="00591977"/>
    <w:rsid w:val="00591E3E"/>
    <w:rsid w:val="00592DA7"/>
    <w:rsid w:val="00592E55"/>
    <w:rsid w:val="00594B5D"/>
    <w:rsid w:val="005953D0"/>
    <w:rsid w:val="005958A1"/>
    <w:rsid w:val="00596F49"/>
    <w:rsid w:val="005978CB"/>
    <w:rsid w:val="005979A5"/>
    <w:rsid w:val="005A04AD"/>
    <w:rsid w:val="005A17CD"/>
    <w:rsid w:val="005A1A00"/>
    <w:rsid w:val="005A3773"/>
    <w:rsid w:val="005A3D29"/>
    <w:rsid w:val="005A7690"/>
    <w:rsid w:val="005B0385"/>
    <w:rsid w:val="005B0CE4"/>
    <w:rsid w:val="005B111D"/>
    <w:rsid w:val="005B1CA7"/>
    <w:rsid w:val="005B3141"/>
    <w:rsid w:val="005B3CA2"/>
    <w:rsid w:val="005B4152"/>
    <w:rsid w:val="005B5349"/>
    <w:rsid w:val="005B59A6"/>
    <w:rsid w:val="005B6118"/>
    <w:rsid w:val="005B66DB"/>
    <w:rsid w:val="005B72F2"/>
    <w:rsid w:val="005B7A02"/>
    <w:rsid w:val="005C0D31"/>
    <w:rsid w:val="005C0E24"/>
    <w:rsid w:val="005C15DF"/>
    <w:rsid w:val="005C1D2B"/>
    <w:rsid w:val="005C1F6D"/>
    <w:rsid w:val="005C46C3"/>
    <w:rsid w:val="005C5F8E"/>
    <w:rsid w:val="005C67ED"/>
    <w:rsid w:val="005C7625"/>
    <w:rsid w:val="005C7C97"/>
    <w:rsid w:val="005D20F7"/>
    <w:rsid w:val="005D3777"/>
    <w:rsid w:val="005D5876"/>
    <w:rsid w:val="005D6D38"/>
    <w:rsid w:val="005D74E5"/>
    <w:rsid w:val="005D7505"/>
    <w:rsid w:val="005D75AC"/>
    <w:rsid w:val="005E07D3"/>
    <w:rsid w:val="005E088F"/>
    <w:rsid w:val="005E1235"/>
    <w:rsid w:val="005E380F"/>
    <w:rsid w:val="005E525C"/>
    <w:rsid w:val="005E5E7A"/>
    <w:rsid w:val="005E5E87"/>
    <w:rsid w:val="005F095D"/>
    <w:rsid w:val="005F217D"/>
    <w:rsid w:val="005F2269"/>
    <w:rsid w:val="005F2ED1"/>
    <w:rsid w:val="005F3A52"/>
    <w:rsid w:val="005F4086"/>
    <w:rsid w:val="005F4B5D"/>
    <w:rsid w:val="005F4BEF"/>
    <w:rsid w:val="005F562E"/>
    <w:rsid w:val="005F594D"/>
    <w:rsid w:val="005F5E65"/>
    <w:rsid w:val="005F718A"/>
    <w:rsid w:val="005F7A82"/>
    <w:rsid w:val="005F7FC0"/>
    <w:rsid w:val="006014EF"/>
    <w:rsid w:val="00602F3E"/>
    <w:rsid w:val="00603781"/>
    <w:rsid w:val="006040AC"/>
    <w:rsid w:val="0060463E"/>
    <w:rsid w:val="00604F9E"/>
    <w:rsid w:val="00605677"/>
    <w:rsid w:val="00605E3D"/>
    <w:rsid w:val="0060631D"/>
    <w:rsid w:val="00606D35"/>
    <w:rsid w:val="006070B5"/>
    <w:rsid w:val="00607782"/>
    <w:rsid w:val="0061015F"/>
    <w:rsid w:val="00611B08"/>
    <w:rsid w:val="00611CFC"/>
    <w:rsid w:val="00612608"/>
    <w:rsid w:val="00612A77"/>
    <w:rsid w:val="00613C09"/>
    <w:rsid w:val="00613C3E"/>
    <w:rsid w:val="0061471D"/>
    <w:rsid w:val="006150DC"/>
    <w:rsid w:val="00615CBC"/>
    <w:rsid w:val="00616B48"/>
    <w:rsid w:val="00617837"/>
    <w:rsid w:val="006200BF"/>
    <w:rsid w:val="00621155"/>
    <w:rsid w:val="00623AB1"/>
    <w:rsid w:val="00624785"/>
    <w:rsid w:val="006265D2"/>
    <w:rsid w:val="006268C9"/>
    <w:rsid w:val="00630166"/>
    <w:rsid w:val="00630F67"/>
    <w:rsid w:val="006312B6"/>
    <w:rsid w:val="0063172F"/>
    <w:rsid w:val="00631A6A"/>
    <w:rsid w:val="00632B0D"/>
    <w:rsid w:val="0063353E"/>
    <w:rsid w:val="00633671"/>
    <w:rsid w:val="00633B0D"/>
    <w:rsid w:val="00634B46"/>
    <w:rsid w:val="00642204"/>
    <w:rsid w:val="00642AB8"/>
    <w:rsid w:val="00643DD7"/>
    <w:rsid w:val="00644329"/>
    <w:rsid w:val="00645AF4"/>
    <w:rsid w:val="006476A1"/>
    <w:rsid w:val="00651811"/>
    <w:rsid w:val="00652754"/>
    <w:rsid w:val="00653CFF"/>
    <w:rsid w:val="0065458B"/>
    <w:rsid w:val="006558C2"/>
    <w:rsid w:val="006573E2"/>
    <w:rsid w:val="0065779E"/>
    <w:rsid w:val="00660FB3"/>
    <w:rsid w:val="0066125A"/>
    <w:rsid w:val="0066150D"/>
    <w:rsid w:val="00662A7F"/>
    <w:rsid w:val="00662CE3"/>
    <w:rsid w:val="006632A0"/>
    <w:rsid w:val="0066444B"/>
    <w:rsid w:val="00666A64"/>
    <w:rsid w:val="00667AA1"/>
    <w:rsid w:val="00670107"/>
    <w:rsid w:val="00673430"/>
    <w:rsid w:val="00675729"/>
    <w:rsid w:val="00676FA3"/>
    <w:rsid w:val="00680181"/>
    <w:rsid w:val="00680B27"/>
    <w:rsid w:val="00682908"/>
    <w:rsid w:val="00682D17"/>
    <w:rsid w:val="0068459B"/>
    <w:rsid w:val="00684AEF"/>
    <w:rsid w:val="00684B75"/>
    <w:rsid w:val="00684C17"/>
    <w:rsid w:val="00685F6C"/>
    <w:rsid w:val="0068680C"/>
    <w:rsid w:val="0068717C"/>
    <w:rsid w:val="006930D6"/>
    <w:rsid w:val="00693CB2"/>
    <w:rsid w:val="006966CF"/>
    <w:rsid w:val="006967C4"/>
    <w:rsid w:val="006974A8"/>
    <w:rsid w:val="00697C08"/>
    <w:rsid w:val="006A0B05"/>
    <w:rsid w:val="006A2611"/>
    <w:rsid w:val="006A30C8"/>
    <w:rsid w:val="006A38B7"/>
    <w:rsid w:val="006A4370"/>
    <w:rsid w:val="006A6017"/>
    <w:rsid w:val="006A75C6"/>
    <w:rsid w:val="006B053B"/>
    <w:rsid w:val="006B1351"/>
    <w:rsid w:val="006B2BEC"/>
    <w:rsid w:val="006B3255"/>
    <w:rsid w:val="006B367E"/>
    <w:rsid w:val="006B4034"/>
    <w:rsid w:val="006B4916"/>
    <w:rsid w:val="006B5E4B"/>
    <w:rsid w:val="006C0A4C"/>
    <w:rsid w:val="006C0AA7"/>
    <w:rsid w:val="006C6076"/>
    <w:rsid w:val="006C6D4D"/>
    <w:rsid w:val="006D0581"/>
    <w:rsid w:val="006D0AD9"/>
    <w:rsid w:val="006D4546"/>
    <w:rsid w:val="006D4602"/>
    <w:rsid w:val="006D4726"/>
    <w:rsid w:val="006D49D2"/>
    <w:rsid w:val="006D5DC5"/>
    <w:rsid w:val="006D6006"/>
    <w:rsid w:val="006D7005"/>
    <w:rsid w:val="006D7158"/>
    <w:rsid w:val="006E0DEF"/>
    <w:rsid w:val="006E101B"/>
    <w:rsid w:val="006E17A4"/>
    <w:rsid w:val="006E2CD3"/>
    <w:rsid w:val="006E2E17"/>
    <w:rsid w:val="006E74BC"/>
    <w:rsid w:val="006F18C7"/>
    <w:rsid w:val="006F2A46"/>
    <w:rsid w:val="006F2AE1"/>
    <w:rsid w:val="006F31B0"/>
    <w:rsid w:val="006F437F"/>
    <w:rsid w:val="006F48CC"/>
    <w:rsid w:val="006F4901"/>
    <w:rsid w:val="006F4E39"/>
    <w:rsid w:val="006F594D"/>
    <w:rsid w:val="006F610B"/>
    <w:rsid w:val="007002D3"/>
    <w:rsid w:val="00700831"/>
    <w:rsid w:val="00700DC5"/>
    <w:rsid w:val="00702D96"/>
    <w:rsid w:val="007038CD"/>
    <w:rsid w:val="00703FC5"/>
    <w:rsid w:val="007040AC"/>
    <w:rsid w:val="007056FA"/>
    <w:rsid w:val="0070586E"/>
    <w:rsid w:val="00705FBC"/>
    <w:rsid w:val="00706A4E"/>
    <w:rsid w:val="00707077"/>
    <w:rsid w:val="00710893"/>
    <w:rsid w:val="00711EE6"/>
    <w:rsid w:val="00712ACD"/>
    <w:rsid w:val="00713856"/>
    <w:rsid w:val="00713C29"/>
    <w:rsid w:val="00713C7D"/>
    <w:rsid w:val="00715ECC"/>
    <w:rsid w:val="00716A98"/>
    <w:rsid w:val="007211C8"/>
    <w:rsid w:val="00721871"/>
    <w:rsid w:val="00721D8E"/>
    <w:rsid w:val="007239A9"/>
    <w:rsid w:val="0072441A"/>
    <w:rsid w:val="00724F5F"/>
    <w:rsid w:val="00725813"/>
    <w:rsid w:val="00725D3C"/>
    <w:rsid w:val="00726960"/>
    <w:rsid w:val="00726C4A"/>
    <w:rsid w:val="00727726"/>
    <w:rsid w:val="00730709"/>
    <w:rsid w:val="00730FDE"/>
    <w:rsid w:val="0073282D"/>
    <w:rsid w:val="00732DEC"/>
    <w:rsid w:val="0073404D"/>
    <w:rsid w:val="00734B5C"/>
    <w:rsid w:val="00736DC4"/>
    <w:rsid w:val="00737902"/>
    <w:rsid w:val="00737ACB"/>
    <w:rsid w:val="00741FA4"/>
    <w:rsid w:val="00742F03"/>
    <w:rsid w:val="00743877"/>
    <w:rsid w:val="007441B9"/>
    <w:rsid w:val="00745621"/>
    <w:rsid w:val="007460D7"/>
    <w:rsid w:val="00746B6C"/>
    <w:rsid w:val="00750DEE"/>
    <w:rsid w:val="00750F7B"/>
    <w:rsid w:val="007513AC"/>
    <w:rsid w:val="007520FA"/>
    <w:rsid w:val="00754B39"/>
    <w:rsid w:val="00755619"/>
    <w:rsid w:val="00755E8F"/>
    <w:rsid w:val="007572DB"/>
    <w:rsid w:val="00757713"/>
    <w:rsid w:val="00761422"/>
    <w:rsid w:val="00762137"/>
    <w:rsid w:val="007621D3"/>
    <w:rsid w:val="007638B6"/>
    <w:rsid w:val="00763BC9"/>
    <w:rsid w:val="00765313"/>
    <w:rsid w:val="00765B02"/>
    <w:rsid w:val="0076694F"/>
    <w:rsid w:val="007669D2"/>
    <w:rsid w:val="00767682"/>
    <w:rsid w:val="0077047C"/>
    <w:rsid w:val="0077113D"/>
    <w:rsid w:val="007712AE"/>
    <w:rsid w:val="00771DA0"/>
    <w:rsid w:val="00772B00"/>
    <w:rsid w:val="00773B73"/>
    <w:rsid w:val="00775C5B"/>
    <w:rsid w:val="00775E80"/>
    <w:rsid w:val="00776CEC"/>
    <w:rsid w:val="00777139"/>
    <w:rsid w:val="00777980"/>
    <w:rsid w:val="00777BD0"/>
    <w:rsid w:val="00781214"/>
    <w:rsid w:val="007819CD"/>
    <w:rsid w:val="00782498"/>
    <w:rsid w:val="00782F33"/>
    <w:rsid w:val="00783606"/>
    <w:rsid w:val="007843FE"/>
    <w:rsid w:val="0078483F"/>
    <w:rsid w:val="00784BFB"/>
    <w:rsid w:val="007858AC"/>
    <w:rsid w:val="00785F30"/>
    <w:rsid w:val="0078618D"/>
    <w:rsid w:val="00787399"/>
    <w:rsid w:val="00787C50"/>
    <w:rsid w:val="00792824"/>
    <w:rsid w:val="00793554"/>
    <w:rsid w:val="00794921"/>
    <w:rsid w:val="00795F7A"/>
    <w:rsid w:val="0079628D"/>
    <w:rsid w:val="00796900"/>
    <w:rsid w:val="00797155"/>
    <w:rsid w:val="007A09BD"/>
    <w:rsid w:val="007A1416"/>
    <w:rsid w:val="007A2267"/>
    <w:rsid w:val="007A22CF"/>
    <w:rsid w:val="007A3574"/>
    <w:rsid w:val="007A4325"/>
    <w:rsid w:val="007A4EDA"/>
    <w:rsid w:val="007A5DAB"/>
    <w:rsid w:val="007A62EF"/>
    <w:rsid w:val="007A665C"/>
    <w:rsid w:val="007A6B16"/>
    <w:rsid w:val="007A7EF3"/>
    <w:rsid w:val="007B0816"/>
    <w:rsid w:val="007B09C5"/>
    <w:rsid w:val="007B25C7"/>
    <w:rsid w:val="007B288E"/>
    <w:rsid w:val="007B2B66"/>
    <w:rsid w:val="007B2F9B"/>
    <w:rsid w:val="007B4F8A"/>
    <w:rsid w:val="007B5D62"/>
    <w:rsid w:val="007C2724"/>
    <w:rsid w:val="007C354A"/>
    <w:rsid w:val="007C43D7"/>
    <w:rsid w:val="007C5035"/>
    <w:rsid w:val="007C5BD0"/>
    <w:rsid w:val="007C7007"/>
    <w:rsid w:val="007C73DC"/>
    <w:rsid w:val="007C77D5"/>
    <w:rsid w:val="007D13B7"/>
    <w:rsid w:val="007D1D1D"/>
    <w:rsid w:val="007D57B9"/>
    <w:rsid w:val="007D58F0"/>
    <w:rsid w:val="007E0D2F"/>
    <w:rsid w:val="007E136D"/>
    <w:rsid w:val="007E1855"/>
    <w:rsid w:val="007E410E"/>
    <w:rsid w:val="007E4F53"/>
    <w:rsid w:val="007E535C"/>
    <w:rsid w:val="007E5BCC"/>
    <w:rsid w:val="007E6A69"/>
    <w:rsid w:val="007E6EDB"/>
    <w:rsid w:val="007F099B"/>
    <w:rsid w:val="007F0B62"/>
    <w:rsid w:val="007F16F2"/>
    <w:rsid w:val="007F3970"/>
    <w:rsid w:val="007F5702"/>
    <w:rsid w:val="007F5B0E"/>
    <w:rsid w:val="007F5D07"/>
    <w:rsid w:val="007F79B9"/>
    <w:rsid w:val="007F7A4B"/>
    <w:rsid w:val="00801568"/>
    <w:rsid w:val="00801F9D"/>
    <w:rsid w:val="00802CB7"/>
    <w:rsid w:val="008031EB"/>
    <w:rsid w:val="00803EBA"/>
    <w:rsid w:val="00805824"/>
    <w:rsid w:val="00810414"/>
    <w:rsid w:val="00810BAD"/>
    <w:rsid w:val="00811A44"/>
    <w:rsid w:val="0081297F"/>
    <w:rsid w:val="00812B45"/>
    <w:rsid w:val="00812B7F"/>
    <w:rsid w:val="008135BD"/>
    <w:rsid w:val="0081428E"/>
    <w:rsid w:val="008145F5"/>
    <w:rsid w:val="00814B26"/>
    <w:rsid w:val="008153E7"/>
    <w:rsid w:val="00815F44"/>
    <w:rsid w:val="00817B7D"/>
    <w:rsid w:val="00822E3B"/>
    <w:rsid w:val="00824286"/>
    <w:rsid w:val="00826050"/>
    <w:rsid w:val="00826C3B"/>
    <w:rsid w:val="0082768A"/>
    <w:rsid w:val="00827801"/>
    <w:rsid w:val="00827A86"/>
    <w:rsid w:val="00831506"/>
    <w:rsid w:val="008317C6"/>
    <w:rsid w:val="00831A16"/>
    <w:rsid w:val="0083478F"/>
    <w:rsid w:val="00835C2A"/>
    <w:rsid w:val="00836C8A"/>
    <w:rsid w:val="00837586"/>
    <w:rsid w:val="0083765D"/>
    <w:rsid w:val="008377E3"/>
    <w:rsid w:val="00840100"/>
    <w:rsid w:val="008405CF"/>
    <w:rsid w:val="00842875"/>
    <w:rsid w:val="008443D6"/>
    <w:rsid w:val="0084451B"/>
    <w:rsid w:val="00845372"/>
    <w:rsid w:val="00846290"/>
    <w:rsid w:val="00846AF8"/>
    <w:rsid w:val="00846E5B"/>
    <w:rsid w:val="00851D7B"/>
    <w:rsid w:val="0085367F"/>
    <w:rsid w:val="00854088"/>
    <w:rsid w:val="0085415E"/>
    <w:rsid w:val="00855442"/>
    <w:rsid w:val="008559CD"/>
    <w:rsid w:val="00855E01"/>
    <w:rsid w:val="00856C50"/>
    <w:rsid w:val="0085704B"/>
    <w:rsid w:val="00857D34"/>
    <w:rsid w:val="008610B9"/>
    <w:rsid w:val="008628B7"/>
    <w:rsid w:val="00862FBE"/>
    <w:rsid w:val="0086424C"/>
    <w:rsid w:val="008662F2"/>
    <w:rsid w:val="00867EA2"/>
    <w:rsid w:val="00873116"/>
    <w:rsid w:val="00874437"/>
    <w:rsid w:val="008753B1"/>
    <w:rsid w:val="00875DA2"/>
    <w:rsid w:val="00876A42"/>
    <w:rsid w:val="0088036B"/>
    <w:rsid w:val="00881450"/>
    <w:rsid w:val="008821D1"/>
    <w:rsid w:val="0088478A"/>
    <w:rsid w:val="00884946"/>
    <w:rsid w:val="00885ABB"/>
    <w:rsid w:val="00885CB3"/>
    <w:rsid w:val="00886BFE"/>
    <w:rsid w:val="0088724D"/>
    <w:rsid w:val="00887325"/>
    <w:rsid w:val="00887A65"/>
    <w:rsid w:val="0089258D"/>
    <w:rsid w:val="00892D3D"/>
    <w:rsid w:val="008936E1"/>
    <w:rsid w:val="00897856"/>
    <w:rsid w:val="00897E61"/>
    <w:rsid w:val="008A033A"/>
    <w:rsid w:val="008A1862"/>
    <w:rsid w:val="008A268B"/>
    <w:rsid w:val="008A2D27"/>
    <w:rsid w:val="008A316B"/>
    <w:rsid w:val="008A4137"/>
    <w:rsid w:val="008A531D"/>
    <w:rsid w:val="008A59FE"/>
    <w:rsid w:val="008A645B"/>
    <w:rsid w:val="008A7D8C"/>
    <w:rsid w:val="008B03E5"/>
    <w:rsid w:val="008B155E"/>
    <w:rsid w:val="008B163C"/>
    <w:rsid w:val="008B33A1"/>
    <w:rsid w:val="008B3752"/>
    <w:rsid w:val="008B39A6"/>
    <w:rsid w:val="008B3B09"/>
    <w:rsid w:val="008B453F"/>
    <w:rsid w:val="008B5A70"/>
    <w:rsid w:val="008B61BE"/>
    <w:rsid w:val="008B7479"/>
    <w:rsid w:val="008C1960"/>
    <w:rsid w:val="008C3B08"/>
    <w:rsid w:val="008C3BE8"/>
    <w:rsid w:val="008C46CD"/>
    <w:rsid w:val="008C56C1"/>
    <w:rsid w:val="008C5FC0"/>
    <w:rsid w:val="008C63D3"/>
    <w:rsid w:val="008C7377"/>
    <w:rsid w:val="008D0F7C"/>
    <w:rsid w:val="008D1B20"/>
    <w:rsid w:val="008D1C34"/>
    <w:rsid w:val="008D2CAD"/>
    <w:rsid w:val="008D34CF"/>
    <w:rsid w:val="008D3B0E"/>
    <w:rsid w:val="008D4599"/>
    <w:rsid w:val="008D5462"/>
    <w:rsid w:val="008D57FD"/>
    <w:rsid w:val="008D5822"/>
    <w:rsid w:val="008D5ADC"/>
    <w:rsid w:val="008D7929"/>
    <w:rsid w:val="008E145F"/>
    <w:rsid w:val="008E14EB"/>
    <w:rsid w:val="008E295C"/>
    <w:rsid w:val="008E358F"/>
    <w:rsid w:val="008E496F"/>
    <w:rsid w:val="008E5116"/>
    <w:rsid w:val="008E5974"/>
    <w:rsid w:val="008E5CB4"/>
    <w:rsid w:val="008E6A23"/>
    <w:rsid w:val="008E7D00"/>
    <w:rsid w:val="008F2848"/>
    <w:rsid w:val="008F37BE"/>
    <w:rsid w:val="008F3BD7"/>
    <w:rsid w:val="008F479D"/>
    <w:rsid w:val="008F51CC"/>
    <w:rsid w:val="008F56C0"/>
    <w:rsid w:val="008F5B7D"/>
    <w:rsid w:val="008F6949"/>
    <w:rsid w:val="0090215D"/>
    <w:rsid w:val="009028A6"/>
    <w:rsid w:val="00903854"/>
    <w:rsid w:val="009040F5"/>
    <w:rsid w:val="009045D2"/>
    <w:rsid w:val="0090578E"/>
    <w:rsid w:val="00905EE6"/>
    <w:rsid w:val="00906C98"/>
    <w:rsid w:val="00907250"/>
    <w:rsid w:val="00907621"/>
    <w:rsid w:val="00907B20"/>
    <w:rsid w:val="00910A25"/>
    <w:rsid w:val="00910B01"/>
    <w:rsid w:val="00910D41"/>
    <w:rsid w:val="00911AB4"/>
    <w:rsid w:val="00912749"/>
    <w:rsid w:val="00912A12"/>
    <w:rsid w:val="00912BC1"/>
    <w:rsid w:val="009131E1"/>
    <w:rsid w:val="009142AA"/>
    <w:rsid w:val="009144F1"/>
    <w:rsid w:val="00914622"/>
    <w:rsid w:val="009157F4"/>
    <w:rsid w:val="00915EB4"/>
    <w:rsid w:val="00915F11"/>
    <w:rsid w:val="0091636B"/>
    <w:rsid w:val="009178B9"/>
    <w:rsid w:val="00920A5A"/>
    <w:rsid w:val="00922A85"/>
    <w:rsid w:val="00923988"/>
    <w:rsid w:val="00923E9D"/>
    <w:rsid w:val="00923F89"/>
    <w:rsid w:val="00924A40"/>
    <w:rsid w:val="0093028F"/>
    <w:rsid w:val="00931810"/>
    <w:rsid w:val="00932221"/>
    <w:rsid w:val="009328AC"/>
    <w:rsid w:val="00934AB0"/>
    <w:rsid w:val="00937006"/>
    <w:rsid w:val="009374D7"/>
    <w:rsid w:val="009402E4"/>
    <w:rsid w:val="00944484"/>
    <w:rsid w:val="0094469E"/>
    <w:rsid w:val="00944C02"/>
    <w:rsid w:val="009451CF"/>
    <w:rsid w:val="00946A04"/>
    <w:rsid w:val="00947A78"/>
    <w:rsid w:val="00947FF1"/>
    <w:rsid w:val="00950528"/>
    <w:rsid w:val="009505A0"/>
    <w:rsid w:val="009528DB"/>
    <w:rsid w:val="00954139"/>
    <w:rsid w:val="009545C2"/>
    <w:rsid w:val="009549FE"/>
    <w:rsid w:val="00957303"/>
    <w:rsid w:val="0096217A"/>
    <w:rsid w:val="00962B4D"/>
    <w:rsid w:val="00963D13"/>
    <w:rsid w:val="00965E1B"/>
    <w:rsid w:val="00966BDA"/>
    <w:rsid w:val="00967265"/>
    <w:rsid w:val="009720D5"/>
    <w:rsid w:val="0097211A"/>
    <w:rsid w:val="00974857"/>
    <w:rsid w:val="00976C20"/>
    <w:rsid w:val="00977DDE"/>
    <w:rsid w:val="009800B9"/>
    <w:rsid w:val="00980502"/>
    <w:rsid w:val="00983491"/>
    <w:rsid w:val="00983ADC"/>
    <w:rsid w:val="00984FE8"/>
    <w:rsid w:val="0098609A"/>
    <w:rsid w:val="0098736F"/>
    <w:rsid w:val="009874C2"/>
    <w:rsid w:val="0098793D"/>
    <w:rsid w:val="00990C0C"/>
    <w:rsid w:val="00991150"/>
    <w:rsid w:val="00991B9B"/>
    <w:rsid w:val="00992120"/>
    <w:rsid w:val="009929CB"/>
    <w:rsid w:val="00993E9A"/>
    <w:rsid w:val="0099584E"/>
    <w:rsid w:val="00995A27"/>
    <w:rsid w:val="00995B8A"/>
    <w:rsid w:val="009A1184"/>
    <w:rsid w:val="009A208A"/>
    <w:rsid w:val="009A3617"/>
    <w:rsid w:val="009A64EA"/>
    <w:rsid w:val="009A76E3"/>
    <w:rsid w:val="009A77FD"/>
    <w:rsid w:val="009B04C0"/>
    <w:rsid w:val="009B290C"/>
    <w:rsid w:val="009B3F51"/>
    <w:rsid w:val="009B5648"/>
    <w:rsid w:val="009B6437"/>
    <w:rsid w:val="009C0F71"/>
    <w:rsid w:val="009C1827"/>
    <w:rsid w:val="009C2746"/>
    <w:rsid w:val="009C46FB"/>
    <w:rsid w:val="009C56B0"/>
    <w:rsid w:val="009C5D71"/>
    <w:rsid w:val="009C6829"/>
    <w:rsid w:val="009C6C1A"/>
    <w:rsid w:val="009D09A3"/>
    <w:rsid w:val="009D0CA2"/>
    <w:rsid w:val="009D1C50"/>
    <w:rsid w:val="009D23A1"/>
    <w:rsid w:val="009D30A3"/>
    <w:rsid w:val="009D397A"/>
    <w:rsid w:val="009D47AD"/>
    <w:rsid w:val="009D6849"/>
    <w:rsid w:val="009D6CAB"/>
    <w:rsid w:val="009E0542"/>
    <w:rsid w:val="009E09BE"/>
    <w:rsid w:val="009E18E7"/>
    <w:rsid w:val="009E62DB"/>
    <w:rsid w:val="009E65D0"/>
    <w:rsid w:val="009E6A57"/>
    <w:rsid w:val="009E6D96"/>
    <w:rsid w:val="009E75BE"/>
    <w:rsid w:val="009E7F5D"/>
    <w:rsid w:val="009F0E25"/>
    <w:rsid w:val="009F1882"/>
    <w:rsid w:val="009F282D"/>
    <w:rsid w:val="009F36AB"/>
    <w:rsid w:val="009F3FDD"/>
    <w:rsid w:val="009F5DBA"/>
    <w:rsid w:val="009F653E"/>
    <w:rsid w:val="009F6B5A"/>
    <w:rsid w:val="00A009EA"/>
    <w:rsid w:val="00A00F6F"/>
    <w:rsid w:val="00A03641"/>
    <w:rsid w:val="00A056B0"/>
    <w:rsid w:val="00A0607E"/>
    <w:rsid w:val="00A0673C"/>
    <w:rsid w:val="00A07671"/>
    <w:rsid w:val="00A1001B"/>
    <w:rsid w:val="00A10990"/>
    <w:rsid w:val="00A10A8D"/>
    <w:rsid w:val="00A118A7"/>
    <w:rsid w:val="00A12396"/>
    <w:rsid w:val="00A13542"/>
    <w:rsid w:val="00A13919"/>
    <w:rsid w:val="00A15432"/>
    <w:rsid w:val="00A15920"/>
    <w:rsid w:val="00A15CA4"/>
    <w:rsid w:val="00A15E70"/>
    <w:rsid w:val="00A16050"/>
    <w:rsid w:val="00A20A3D"/>
    <w:rsid w:val="00A210F8"/>
    <w:rsid w:val="00A2141B"/>
    <w:rsid w:val="00A21507"/>
    <w:rsid w:val="00A226A2"/>
    <w:rsid w:val="00A244C2"/>
    <w:rsid w:val="00A24FB0"/>
    <w:rsid w:val="00A251B8"/>
    <w:rsid w:val="00A25238"/>
    <w:rsid w:val="00A25ADA"/>
    <w:rsid w:val="00A25BFD"/>
    <w:rsid w:val="00A25EE0"/>
    <w:rsid w:val="00A30D11"/>
    <w:rsid w:val="00A3113F"/>
    <w:rsid w:val="00A314C4"/>
    <w:rsid w:val="00A320EA"/>
    <w:rsid w:val="00A32439"/>
    <w:rsid w:val="00A32950"/>
    <w:rsid w:val="00A32CDD"/>
    <w:rsid w:val="00A33AD0"/>
    <w:rsid w:val="00A33B65"/>
    <w:rsid w:val="00A344B2"/>
    <w:rsid w:val="00A36F28"/>
    <w:rsid w:val="00A3705B"/>
    <w:rsid w:val="00A37123"/>
    <w:rsid w:val="00A4037E"/>
    <w:rsid w:val="00A40FC4"/>
    <w:rsid w:val="00A413FE"/>
    <w:rsid w:val="00A42813"/>
    <w:rsid w:val="00A42B29"/>
    <w:rsid w:val="00A432F4"/>
    <w:rsid w:val="00A43456"/>
    <w:rsid w:val="00A444E2"/>
    <w:rsid w:val="00A44504"/>
    <w:rsid w:val="00A4452C"/>
    <w:rsid w:val="00A45AA7"/>
    <w:rsid w:val="00A45B28"/>
    <w:rsid w:val="00A47CA8"/>
    <w:rsid w:val="00A50562"/>
    <w:rsid w:val="00A51257"/>
    <w:rsid w:val="00A52728"/>
    <w:rsid w:val="00A55419"/>
    <w:rsid w:val="00A564D1"/>
    <w:rsid w:val="00A57D3D"/>
    <w:rsid w:val="00A57DF2"/>
    <w:rsid w:val="00A6178B"/>
    <w:rsid w:val="00A617EF"/>
    <w:rsid w:val="00A62029"/>
    <w:rsid w:val="00A62D19"/>
    <w:rsid w:val="00A6338D"/>
    <w:rsid w:val="00A63444"/>
    <w:rsid w:val="00A65165"/>
    <w:rsid w:val="00A65CCA"/>
    <w:rsid w:val="00A6647B"/>
    <w:rsid w:val="00A676FB"/>
    <w:rsid w:val="00A7199B"/>
    <w:rsid w:val="00A71E98"/>
    <w:rsid w:val="00A73085"/>
    <w:rsid w:val="00A73AB3"/>
    <w:rsid w:val="00A74682"/>
    <w:rsid w:val="00A76736"/>
    <w:rsid w:val="00A771E3"/>
    <w:rsid w:val="00A80577"/>
    <w:rsid w:val="00A821AB"/>
    <w:rsid w:val="00A828BB"/>
    <w:rsid w:val="00A82C49"/>
    <w:rsid w:val="00A85C35"/>
    <w:rsid w:val="00A86A82"/>
    <w:rsid w:val="00A874F2"/>
    <w:rsid w:val="00A90199"/>
    <w:rsid w:val="00A916F6"/>
    <w:rsid w:val="00A918A1"/>
    <w:rsid w:val="00A9257E"/>
    <w:rsid w:val="00A92FA9"/>
    <w:rsid w:val="00A93EE8"/>
    <w:rsid w:val="00A94A1C"/>
    <w:rsid w:val="00A957E8"/>
    <w:rsid w:val="00A963CF"/>
    <w:rsid w:val="00A96D07"/>
    <w:rsid w:val="00AA1CE5"/>
    <w:rsid w:val="00AA3E2C"/>
    <w:rsid w:val="00AA5AE1"/>
    <w:rsid w:val="00AA604C"/>
    <w:rsid w:val="00AA7B7E"/>
    <w:rsid w:val="00AB08EF"/>
    <w:rsid w:val="00AB0962"/>
    <w:rsid w:val="00AB11D2"/>
    <w:rsid w:val="00AB1657"/>
    <w:rsid w:val="00AB29FB"/>
    <w:rsid w:val="00AB3726"/>
    <w:rsid w:val="00AB37BF"/>
    <w:rsid w:val="00AB3F74"/>
    <w:rsid w:val="00AB419C"/>
    <w:rsid w:val="00AB4A95"/>
    <w:rsid w:val="00AB534B"/>
    <w:rsid w:val="00AB55D9"/>
    <w:rsid w:val="00AB6CE3"/>
    <w:rsid w:val="00AB6E62"/>
    <w:rsid w:val="00AB73D0"/>
    <w:rsid w:val="00AB763B"/>
    <w:rsid w:val="00AB785E"/>
    <w:rsid w:val="00AC1E46"/>
    <w:rsid w:val="00AC2386"/>
    <w:rsid w:val="00AC2D48"/>
    <w:rsid w:val="00AC2DA0"/>
    <w:rsid w:val="00AC37A1"/>
    <w:rsid w:val="00AC3E57"/>
    <w:rsid w:val="00AC3EF6"/>
    <w:rsid w:val="00AC600C"/>
    <w:rsid w:val="00AC634B"/>
    <w:rsid w:val="00AC6372"/>
    <w:rsid w:val="00AC7D5C"/>
    <w:rsid w:val="00AD0375"/>
    <w:rsid w:val="00AD1083"/>
    <w:rsid w:val="00AD206B"/>
    <w:rsid w:val="00AD32A0"/>
    <w:rsid w:val="00AD3C9F"/>
    <w:rsid w:val="00AD45DC"/>
    <w:rsid w:val="00AD67A0"/>
    <w:rsid w:val="00AD7C1D"/>
    <w:rsid w:val="00AE17C9"/>
    <w:rsid w:val="00AE32F8"/>
    <w:rsid w:val="00AE3E25"/>
    <w:rsid w:val="00AE44CC"/>
    <w:rsid w:val="00AE4999"/>
    <w:rsid w:val="00AE4E15"/>
    <w:rsid w:val="00AE5568"/>
    <w:rsid w:val="00AE6A0A"/>
    <w:rsid w:val="00AE7F33"/>
    <w:rsid w:val="00AF0753"/>
    <w:rsid w:val="00AF0BAF"/>
    <w:rsid w:val="00AF1245"/>
    <w:rsid w:val="00AF2250"/>
    <w:rsid w:val="00AF3057"/>
    <w:rsid w:val="00AF49F7"/>
    <w:rsid w:val="00AF4FFF"/>
    <w:rsid w:val="00AF7BF0"/>
    <w:rsid w:val="00AF7D25"/>
    <w:rsid w:val="00B008D7"/>
    <w:rsid w:val="00B021F6"/>
    <w:rsid w:val="00B02870"/>
    <w:rsid w:val="00B03260"/>
    <w:rsid w:val="00B04B4E"/>
    <w:rsid w:val="00B0564B"/>
    <w:rsid w:val="00B0571B"/>
    <w:rsid w:val="00B063A9"/>
    <w:rsid w:val="00B06A67"/>
    <w:rsid w:val="00B06ADF"/>
    <w:rsid w:val="00B07929"/>
    <w:rsid w:val="00B07B0C"/>
    <w:rsid w:val="00B07B24"/>
    <w:rsid w:val="00B11B08"/>
    <w:rsid w:val="00B12DC7"/>
    <w:rsid w:val="00B13E8C"/>
    <w:rsid w:val="00B1638D"/>
    <w:rsid w:val="00B17AB1"/>
    <w:rsid w:val="00B2170C"/>
    <w:rsid w:val="00B219F5"/>
    <w:rsid w:val="00B22166"/>
    <w:rsid w:val="00B225F1"/>
    <w:rsid w:val="00B22709"/>
    <w:rsid w:val="00B228B2"/>
    <w:rsid w:val="00B22DF5"/>
    <w:rsid w:val="00B23738"/>
    <w:rsid w:val="00B23A07"/>
    <w:rsid w:val="00B24A22"/>
    <w:rsid w:val="00B25339"/>
    <w:rsid w:val="00B255FA"/>
    <w:rsid w:val="00B25F78"/>
    <w:rsid w:val="00B263C4"/>
    <w:rsid w:val="00B265C1"/>
    <w:rsid w:val="00B26D1B"/>
    <w:rsid w:val="00B27A8D"/>
    <w:rsid w:val="00B27F0B"/>
    <w:rsid w:val="00B328BA"/>
    <w:rsid w:val="00B32B31"/>
    <w:rsid w:val="00B345D8"/>
    <w:rsid w:val="00B34746"/>
    <w:rsid w:val="00B35745"/>
    <w:rsid w:val="00B3624D"/>
    <w:rsid w:val="00B36959"/>
    <w:rsid w:val="00B37332"/>
    <w:rsid w:val="00B37C27"/>
    <w:rsid w:val="00B41F3F"/>
    <w:rsid w:val="00B42412"/>
    <w:rsid w:val="00B43CBC"/>
    <w:rsid w:val="00B47CA1"/>
    <w:rsid w:val="00B506FA"/>
    <w:rsid w:val="00B516A9"/>
    <w:rsid w:val="00B51F09"/>
    <w:rsid w:val="00B529F8"/>
    <w:rsid w:val="00B52C46"/>
    <w:rsid w:val="00B52FBE"/>
    <w:rsid w:val="00B5301C"/>
    <w:rsid w:val="00B53F65"/>
    <w:rsid w:val="00B55317"/>
    <w:rsid w:val="00B56453"/>
    <w:rsid w:val="00B56879"/>
    <w:rsid w:val="00B56BB0"/>
    <w:rsid w:val="00B57FE0"/>
    <w:rsid w:val="00B600E2"/>
    <w:rsid w:val="00B60A53"/>
    <w:rsid w:val="00B6196A"/>
    <w:rsid w:val="00B6266A"/>
    <w:rsid w:val="00B647A1"/>
    <w:rsid w:val="00B65387"/>
    <w:rsid w:val="00B70841"/>
    <w:rsid w:val="00B70F41"/>
    <w:rsid w:val="00B711A6"/>
    <w:rsid w:val="00B716CC"/>
    <w:rsid w:val="00B7178A"/>
    <w:rsid w:val="00B72528"/>
    <w:rsid w:val="00B729A2"/>
    <w:rsid w:val="00B736D4"/>
    <w:rsid w:val="00B76881"/>
    <w:rsid w:val="00B76E6D"/>
    <w:rsid w:val="00B771DB"/>
    <w:rsid w:val="00B7786B"/>
    <w:rsid w:val="00B8183A"/>
    <w:rsid w:val="00B825DA"/>
    <w:rsid w:val="00B832F7"/>
    <w:rsid w:val="00B83695"/>
    <w:rsid w:val="00B837A2"/>
    <w:rsid w:val="00B8386D"/>
    <w:rsid w:val="00B83C89"/>
    <w:rsid w:val="00B84316"/>
    <w:rsid w:val="00B85F00"/>
    <w:rsid w:val="00B866C9"/>
    <w:rsid w:val="00B86CF5"/>
    <w:rsid w:val="00B8772B"/>
    <w:rsid w:val="00B92C28"/>
    <w:rsid w:val="00B92C43"/>
    <w:rsid w:val="00B94482"/>
    <w:rsid w:val="00B94579"/>
    <w:rsid w:val="00B963EB"/>
    <w:rsid w:val="00B97993"/>
    <w:rsid w:val="00BA1475"/>
    <w:rsid w:val="00BA2422"/>
    <w:rsid w:val="00BA261E"/>
    <w:rsid w:val="00BA2C12"/>
    <w:rsid w:val="00BA3001"/>
    <w:rsid w:val="00BA4521"/>
    <w:rsid w:val="00BA4BE3"/>
    <w:rsid w:val="00BA5370"/>
    <w:rsid w:val="00BA7264"/>
    <w:rsid w:val="00BA7353"/>
    <w:rsid w:val="00BA78A4"/>
    <w:rsid w:val="00BB000E"/>
    <w:rsid w:val="00BB0300"/>
    <w:rsid w:val="00BB08A1"/>
    <w:rsid w:val="00BB0A31"/>
    <w:rsid w:val="00BB187F"/>
    <w:rsid w:val="00BB1CBE"/>
    <w:rsid w:val="00BB1FA9"/>
    <w:rsid w:val="00BB3A65"/>
    <w:rsid w:val="00BB4151"/>
    <w:rsid w:val="00BB49C7"/>
    <w:rsid w:val="00BB5AB1"/>
    <w:rsid w:val="00BB5D1F"/>
    <w:rsid w:val="00BB631B"/>
    <w:rsid w:val="00BB6331"/>
    <w:rsid w:val="00BB7B9C"/>
    <w:rsid w:val="00BC04F5"/>
    <w:rsid w:val="00BC0E78"/>
    <w:rsid w:val="00BC21A0"/>
    <w:rsid w:val="00BC28A2"/>
    <w:rsid w:val="00BC2EF0"/>
    <w:rsid w:val="00BC343F"/>
    <w:rsid w:val="00BC5187"/>
    <w:rsid w:val="00BC5A94"/>
    <w:rsid w:val="00BC5EB3"/>
    <w:rsid w:val="00BC6A42"/>
    <w:rsid w:val="00BC6E12"/>
    <w:rsid w:val="00BD0F3F"/>
    <w:rsid w:val="00BD1280"/>
    <w:rsid w:val="00BD3D58"/>
    <w:rsid w:val="00BD42AF"/>
    <w:rsid w:val="00BD4979"/>
    <w:rsid w:val="00BD546C"/>
    <w:rsid w:val="00BD69A9"/>
    <w:rsid w:val="00BD6AC2"/>
    <w:rsid w:val="00BE3090"/>
    <w:rsid w:val="00BE650E"/>
    <w:rsid w:val="00BE71D1"/>
    <w:rsid w:val="00BE76B6"/>
    <w:rsid w:val="00BE7E00"/>
    <w:rsid w:val="00BF1E20"/>
    <w:rsid w:val="00BF2833"/>
    <w:rsid w:val="00BF291C"/>
    <w:rsid w:val="00BF3F7A"/>
    <w:rsid w:val="00BF407C"/>
    <w:rsid w:val="00BF5349"/>
    <w:rsid w:val="00BF5391"/>
    <w:rsid w:val="00BF5646"/>
    <w:rsid w:val="00BF5FF1"/>
    <w:rsid w:val="00BF6160"/>
    <w:rsid w:val="00BF6C72"/>
    <w:rsid w:val="00BF6CAE"/>
    <w:rsid w:val="00BF7479"/>
    <w:rsid w:val="00BF765F"/>
    <w:rsid w:val="00C008B3"/>
    <w:rsid w:val="00C00924"/>
    <w:rsid w:val="00C03A4C"/>
    <w:rsid w:val="00C063DD"/>
    <w:rsid w:val="00C065B3"/>
    <w:rsid w:val="00C07179"/>
    <w:rsid w:val="00C13B36"/>
    <w:rsid w:val="00C14EEB"/>
    <w:rsid w:val="00C15036"/>
    <w:rsid w:val="00C1526E"/>
    <w:rsid w:val="00C16363"/>
    <w:rsid w:val="00C17473"/>
    <w:rsid w:val="00C17662"/>
    <w:rsid w:val="00C201EE"/>
    <w:rsid w:val="00C20473"/>
    <w:rsid w:val="00C20E1B"/>
    <w:rsid w:val="00C20F57"/>
    <w:rsid w:val="00C24E5A"/>
    <w:rsid w:val="00C257BE"/>
    <w:rsid w:val="00C264A5"/>
    <w:rsid w:val="00C268DF"/>
    <w:rsid w:val="00C27054"/>
    <w:rsid w:val="00C30A8A"/>
    <w:rsid w:val="00C30EAF"/>
    <w:rsid w:val="00C30ECC"/>
    <w:rsid w:val="00C32C86"/>
    <w:rsid w:val="00C34EA9"/>
    <w:rsid w:val="00C360C1"/>
    <w:rsid w:val="00C37D8A"/>
    <w:rsid w:val="00C40771"/>
    <w:rsid w:val="00C42682"/>
    <w:rsid w:val="00C42D2E"/>
    <w:rsid w:val="00C43AD1"/>
    <w:rsid w:val="00C44213"/>
    <w:rsid w:val="00C4443C"/>
    <w:rsid w:val="00C44F10"/>
    <w:rsid w:val="00C45930"/>
    <w:rsid w:val="00C47051"/>
    <w:rsid w:val="00C47666"/>
    <w:rsid w:val="00C47AB5"/>
    <w:rsid w:val="00C50CE2"/>
    <w:rsid w:val="00C50D7D"/>
    <w:rsid w:val="00C50E54"/>
    <w:rsid w:val="00C50F24"/>
    <w:rsid w:val="00C514FE"/>
    <w:rsid w:val="00C528E1"/>
    <w:rsid w:val="00C5385D"/>
    <w:rsid w:val="00C538B6"/>
    <w:rsid w:val="00C544C7"/>
    <w:rsid w:val="00C55C18"/>
    <w:rsid w:val="00C5683A"/>
    <w:rsid w:val="00C57361"/>
    <w:rsid w:val="00C60245"/>
    <w:rsid w:val="00C60286"/>
    <w:rsid w:val="00C602D7"/>
    <w:rsid w:val="00C6155D"/>
    <w:rsid w:val="00C61BAF"/>
    <w:rsid w:val="00C61D56"/>
    <w:rsid w:val="00C62041"/>
    <w:rsid w:val="00C62279"/>
    <w:rsid w:val="00C62C65"/>
    <w:rsid w:val="00C63772"/>
    <w:rsid w:val="00C6465A"/>
    <w:rsid w:val="00C65F22"/>
    <w:rsid w:val="00C6680C"/>
    <w:rsid w:val="00C67EC9"/>
    <w:rsid w:val="00C71126"/>
    <w:rsid w:val="00C729CD"/>
    <w:rsid w:val="00C74413"/>
    <w:rsid w:val="00C74E5A"/>
    <w:rsid w:val="00C752A1"/>
    <w:rsid w:val="00C75513"/>
    <w:rsid w:val="00C756EC"/>
    <w:rsid w:val="00C775D1"/>
    <w:rsid w:val="00C80203"/>
    <w:rsid w:val="00C808DD"/>
    <w:rsid w:val="00C815C7"/>
    <w:rsid w:val="00C81CB9"/>
    <w:rsid w:val="00C82435"/>
    <w:rsid w:val="00C82BF9"/>
    <w:rsid w:val="00C82CB6"/>
    <w:rsid w:val="00C83378"/>
    <w:rsid w:val="00C83FBB"/>
    <w:rsid w:val="00C8402C"/>
    <w:rsid w:val="00C85E0D"/>
    <w:rsid w:val="00C90150"/>
    <w:rsid w:val="00C90C5D"/>
    <w:rsid w:val="00C9129E"/>
    <w:rsid w:val="00C92E57"/>
    <w:rsid w:val="00C93903"/>
    <w:rsid w:val="00C94B43"/>
    <w:rsid w:val="00C95889"/>
    <w:rsid w:val="00C97346"/>
    <w:rsid w:val="00C9736D"/>
    <w:rsid w:val="00C97E0B"/>
    <w:rsid w:val="00CA0FD8"/>
    <w:rsid w:val="00CA1827"/>
    <w:rsid w:val="00CA187E"/>
    <w:rsid w:val="00CA1FFA"/>
    <w:rsid w:val="00CA3C32"/>
    <w:rsid w:val="00CA4865"/>
    <w:rsid w:val="00CA6423"/>
    <w:rsid w:val="00CB13A5"/>
    <w:rsid w:val="00CB2600"/>
    <w:rsid w:val="00CB26CD"/>
    <w:rsid w:val="00CB29CC"/>
    <w:rsid w:val="00CB33CC"/>
    <w:rsid w:val="00CB3967"/>
    <w:rsid w:val="00CB3C63"/>
    <w:rsid w:val="00CB3F91"/>
    <w:rsid w:val="00CB41D1"/>
    <w:rsid w:val="00CB474F"/>
    <w:rsid w:val="00CB5CBE"/>
    <w:rsid w:val="00CB5E96"/>
    <w:rsid w:val="00CB5FA1"/>
    <w:rsid w:val="00CB6352"/>
    <w:rsid w:val="00CB6374"/>
    <w:rsid w:val="00CB6AEF"/>
    <w:rsid w:val="00CB71D6"/>
    <w:rsid w:val="00CC0EE1"/>
    <w:rsid w:val="00CC119F"/>
    <w:rsid w:val="00CC3E26"/>
    <w:rsid w:val="00CC3ECE"/>
    <w:rsid w:val="00CC568B"/>
    <w:rsid w:val="00CC5DDA"/>
    <w:rsid w:val="00CD0C19"/>
    <w:rsid w:val="00CD0E28"/>
    <w:rsid w:val="00CD2064"/>
    <w:rsid w:val="00CD2DA8"/>
    <w:rsid w:val="00CD2E7E"/>
    <w:rsid w:val="00CD6658"/>
    <w:rsid w:val="00CE265B"/>
    <w:rsid w:val="00CE3704"/>
    <w:rsid w:val="00CE564D"/>
    <w:rsid w:val="00CE6BA1"/>
    <w:rsid w:val="00CE758C"/>
    <w:rsid w:val="00CF0044"/>
    <w:rsid w:val="00CF18BF"/>
    <w:rsid w:val="00CF212C"/>
    <w:rsid w:val="00CF2272"/>
    <w:rsid w:val="00CF733A"/>
    <w:rsid w:val="00D00977"/>
    <w:rsid w:val="00D00B68"/>
    <w:rsid w:val="00D0102F"/>
    <w:rsid w:val="00D017D1"/>
    <w:rsid w:val="00D0195E"/>
    <w:rsid w:val="00D02FE8"/>
    <w:rsid w:val="00D050A5"/>
    <w:rsid w:val="00D0582D"/>
    <w:rsid w:val="00D05FE5"/>
    <w:rsid w:val="00D06061"/>
    <w:rsid w:val="00D12120"/>
    <w:rsid w:val="00D13EA4"/>
    <w:rsid w:val="00D15382"/>
    <w:rsid w:val="00D15861"/>
    <w:rsid w:val="00D15DAE"/>
    <w:rsid w:val="00D16A9B"/>
    <w:rsid w:val="00D17110"/>
    <w:rsid w:val="00D17AF2"/>
    <w:rsid w:val="00D20134"/>
    <w:rsid w:val="00D2013F"/>
    <w:rsid w:val="00D20F78"/>
    <w:rsid w:val="00D21DF1"/>
    <w:rsid w:val="00D24EA3"/>
    <w:rsid w:val="00D25CE9"/>
    <w:rsid w:val="00D26C48"/>
    <w:rsid w:val="00D27500"/>
    <w:rsid w:val="00D278D6"/>
    <w:rsid w:val="00D30D5F"/>
    <w:rsid w:val="00D323B4"/>
    <w:rsid w:val="00D323C8"/>
    <w:rsid w:val="00D326A9"/>
    <w:rsid w:val="00D3369E"/>
    <w:rsid w:val="00D347C9"/>
    <w:rsid w:val="00D351C2"/>
    <w:rsid w:val="00D3663A"/>
    <w:rsid w:val="00D3760F"/>
    <w:rsid w:val="00D37FEB"/>
    <w:rsid w:val="00D4135E"/>
    <w:rsid w:val="00D418CC"/>
    <w:rsid w:val="00D41992"/>
    <w:rsid w:val="00D435EF"/>
    <w:rsid w:val="00D43DDA"/>
    <w:rsid w:val="00D441E3"/>
    <w:rsid w:val="00D45845"/>
    <w:rsid w:val="00D45854"/>
    <w:rsid w:val="00D468F2"/>
    <w:rsid w:val="00D46DC1"/>
    <w:rsid w:val="00D47ACF"/>
    <w:rsid w:val="00D52B13"/>
    <w:rsid w:val="00D531CD"/>
    <w:rsid w:val="00D53F70"/>
    <w:rsid w:val="00D54057"/>
    <w:rsid w:val="00D54983"/>
    <w:rsid w:val="00D552E6"/>
    <w:rsid w:val="00D57CF8"/>
    <w:rsid w:val="00D6142E"/>
    <w:rsid w:val="00D618FD"/>
    <w:rsid w:val="00D62BB9"/>
    <w:rsid w:val="00D62FEF"/>
    <w:rsid w:val="00D63604"/>
    <w:rsid w:val="00D63E07"/>
    <w:rsid w:val="00D64331"/>
    <w:rsid w:val="00D64D7C"/>
    <w:rsid w:val="00D67403"/>
    <w:rsid w:val="00D67F1A"/>
    <w:rsid w:val="00D718ED"/>
    <w:rsid w:val="00D73A0C"/>
    <w:rsid w:val="00D7663D"/>
    <w:rsid w:val="00D76AC1"/>
    <w:rsid w:val="00D802DA"/>
    <w:rsid w:val="00D80DD9"/>
    <w:rsid w:val="00D817F6"/>
    <w:rsid w:val="00D854A3"/>
    <w:rsid w:val="00D85EC1"/>
    <w:rsid w:val="00D86D62"/>
    <w:rsid w:val="00D8739F"/>
    <w:rsid w:val="00D8756D"/>
    <w:rsid w:val="00D9036C"/>
    <w:rsid w:val="00D926D4"/>
    <w:rsid w:val="00D92A02"/>
    <w:rsid w:val="00D942E6"/>
    <w:rsid w:val="00D9523C"/>
    <w:rsid w:val="00D971FD"/>
    <w:rsid w:val="00DA0913"/>
    <w:rsid w:val="00DA0951"/>
    <w:rsid w:val="00DA1B37"/>
    <w:rsid w:val="00DA1DE0"/>
    <w:rsid w:val="00DA2650"/>
    <w:rsid w:val="00DA3374"/>
    <w:rsid w:val="00DA43FE"/>
    <w:rsid w:val="00DA4CF2"/>
    <w:rsid w:val="00DA69B9"/>
    <w:rsid w:val="00DA6E48"/>
    <w:rsid w:val="00DB2145"/>
    <w:rsid w:val="00DB221E"/>
    <w:rsid w:val="00DB3EEA"/>
    <w:rsid w:val="00DB587B"/>
    <w:rsid w:val="00DB6341"/>
    <w:rsid w:val="00DB701D"/>
    <w:rsid w:val="00DB74D4"/>
    <w:rsid w:val="00DB7A1A"/>
    <w:rsid w:val="00DC0625"/>
    <w:rsid w:val="00DC25FC"/>
    <w:rsid w:val="00DC2D68"/>
    <w:rsid w:val="00DC2F30"/>
    <w:rsid w:val="00DC41B2"/>
    <w:rsid w:val="00DC493C"/>
    <w:rsid w:val="00DC6AA4"/>
    <w:rsid w:val="00DC6BDA"/>
    <w:rsid w:val="00DC7804"/>
    <w:rsid w:val="00DD0B00"/>
    <w:rsid w:val="00DD0BBC"/>
    <w:rsid w:val="00DD0E1A"/>
    <w:rsid w:val="00DD1B8F"/>
    <w:rsid w:val="00DD2DEE"/>
    <w:rsid w:val="00DD40A6"/>
    <w:rsid w:val="00DD4612"/>
    <w:rsid w:val="00DD4DFD"/>
    <w:rsid w:val="00DD63EB"/>
    <w:rsid w:val="00DD72D2"/>
    <w:rsid w:val="00DD7C0E"/>
    <w:rsid w:val="00DD7FBD"/>
    <w:rsid w:val="00DE06DC"/>
    <w:rsid w:val="00DE1CFD"/>
    <w:rsid w:val="00DE1FBD"/>
    <w:rsid w:val="00DE2169"/>
    <w:rsid w:val="00DE2E94"/>
    <w:rsid w:val="00DE3D1C"/>
    <w:rsid w:val="00DE48AC"/>
    <w:rsid w:val="00DE6AEB"/>
    <w:rsid w:val="00DF0638"/>
    <w:rsid w:val="00DF0BE7"/>
    <w:rsid w:val="00DF10C6"/>
    <w:rsid w:val="00DF1217"/>
    <w:rsid w:val="00DF187A"/>
    <w:rsid w:val="00DF28A1"/>
    <w:rsid w:val="00DF2C1B"/>
    <w:rsid w:val="00DF2C1D"/>
    <w:rsid w:val="00DF5A55"/>
    <w:rsid w:val="00DF67F6"/>
    <w:rsid w:val="00DF6E08"/>
    <w:rsid w:val="00DF77B1"/>
    <w:rsid w:val="00E005C5"/>
    <w:rsid w:val="00E00698"/>
    <w:rsid w:val="00E009DD"/>
    <w:rsid w:val="00E038E5"/>
    <w:rsid w:val="00E04EC9"/>
    <w:rsid w:val="00E050D1"/>
    <w:rsid w:val="00E05853"/>
    <w:rsid w:val="00E07A7C"/>
    <w:rsid w:val="00E116A3"/>
    <w:rsid w:val="00E11F88"/>
    <w:rsid w:val="00E121C9"/>
    <w:rsid w:val="00E12C97"/>
    <w:rsid w:val="00E12CCA"/>
    <w:rsid w:val="00E15032"/>
    <w:rsid w:val="00E1536C"/>
    <w:rsid w:val="00E15A77"/>
    <w:rsid w:val="00E15C97"/>
    <w:rsid w:val="00E16C77"/>
    <w:rsid w:val="00E170D4"/>
    <w:rsid w:val="00E17B44"/>
    <w:rsid w:val="00E2046B"/>
    <w:rsid w:val="00E20AF1"/>
    <w:rsid w:val="00E215AD"/>
    <w:rsid w:val="00E21E24"/>
    <w:rsid w:val="00E22081"/>
    <w:rsid w:val="00E22A2A"/>
    <w:rsid w:val="00E22B66"/>
    <w:rsid w:val="00E236F6"/>
    <w:rsid w:val="00E23833"/>
    <w:rsid w:val="00E2396F"/>
    <w:rsid w:val="00E23F39"/>
    <w:rsid w:val="00E266F4"/>
    <w:rsid w:val="00E2728D"/>
    <w:rsid w:val="00E30720"/>
    <w:rsid w:val="00E31414"/>
    <w:rsid w:val="00E34247"/>
    <w:rsid w:val="00E34FF1"/>
    <w:rsid w:val="00E35D95"/>
    <w:rsid w:val="00E37B3E"/>
    <w:rsid w:val="00E37B48"/>
    <w:rsid w:val="00E42982"/>
    <w:rsid w:val="00E44881"/>
    <w:rsid w:val="00E4595B"/>
    <w:rsid w:val="00E466FC"/>
    <w:rsid w:val="00E47292"/>
    <w:rsid w:val="00E517B8"/>
    <w:rsid w:val="00E523FC"/>
    <w:rsid w:val="00E52A64"/>
    <w:rsid w:val="00E52DD2"/>
    <w:rsid w:val="00E532F9"/>
    <w:rsid w:val="00E53628"/>
    <w:rsid w:val="00E53935"/>
    <w:rsid w:val="00E55C08"/>
    <w:rsid w:val="00E5606C"/>
    <w:rsid w:val="00E56373"/>
    <w:rsid w:val="00E56768"/>
    <w:rsid w:val="00E5748D"/>
    <w:rsid w:val="00E6070A"/>
    <w:rsid w:val="00E61859"/>
    <w:rsid w:val="00E62BD6"/>
    <w:rsid w:val="00E62D4D"/>
    <w:rsid w:val="00E63B05"/>
    <w:rsid w:val="00E64425"/>
    <w:rsid w:val="00E64544"/>
    <w:rsid w:val="00E6557F"/>
    <w:rsid w:val="00E65DF8"/>
    <w:rsid w:val="00E66DBC"/>
    <w:rsid w:val="00E66E76"/>
    <w:rsid w:val="00E673A6"/>
    <w:rsid w:val="00E67BA6"/>
    <w:rsid w:val="00E67D39"/>
    <w:rsid w:val="00E70459"/>
    <w:rsid w:val="00E71597"/>
    <w:rsid w:val="00E74AC3"/>
    <w:rsid w:val="00E74C06"/>
    <w:rsid w:val="00E76600"/>
    <w:rsid w:val="00E80034"/>
    <w:rsid w:val="00E810B8"/>
    <w:rsid w:val="00E81749"/>
    <w:rsid w:val="00E81AD8"/>
    <w:rsid w:val="00E81F79"/>
    <w:rsid w:val="00E8255C"/>
    <w:rsid w:val="00E85008"/>
    <w:rsid w:val="00E8601B"/>
    <w:rsid w:val="00E911B0"/>
    <w:rsid w:val="00E938C8"/>
    <w:rsid w:val="00E93DB3"/>
    <w:rsid w:val="00E96408"/>
    <w:rsid w:val="00E97E85"/>
    <w:rsid w:val="00EA0D7F"/>
    <w:rsid w:val="00EA13B8"/>
    <w:rsid w:val="00EA37FE"/>
    <w:rsid w:val="00EA4B94"/>
    <w:rsid w:val="00EA51DF"/>
    <w:rsid w:val="00EA693E"/>
    <w:rsid w:val="00EA6C0D"/>
    <w:rsid w:val="00EA6D45"/>
    <w:rsid w:val="00EB09A0"/>
    <w:rsid w:val="00EB1059"/>
    <w:rsid w:val="00EB129C"/>
    <w:rsid w:val="00EB35F6"/>
    <w:rsid w:val="00EB4152"/>
    <w:rsid w:val="00EB423B"/>
    <w:rsid w:val="00EB5B25"/>
    <w:rsid w:val="00EB5B79"/>
    <w:rsid w:val="00EB6578"/>
    <w:rsid w:val="00EB7214"/>
    <w:rsid w:val="00EB7BDB"/>
    <w:rsid w:val="00EB7F2D"/>
    <w:rsid w:val="00EC010E"/>
    <w:rsid w:val="00EC07A2"/>
    <w:rsid w:val="00EC167E"/>
    <w:rsid w:val="00EC2869"/>
    <w:rsid w:val="00EC294C"/>
    <w:rsid w:val="00EC2BC3"/>
    <w:rsid w:val="00EC33C4"/>
    <w:rsid w:val="00EC3A8E"/>
    <w:rsid w:val="00EC4C6E"/>
    <w:rsid w:val="00EC562A"/>
    <w:rsid w:val="00EC5830"/>
    <w:rsid w:val="00EC5D7E"/>
    <w:rsid w:val="00EC60B0"/>
    <w:rsid w:val="00EC63DD"/>
    <w:rsid w:val="00EC6CDD"/>
    <w:rsid w:val="00EC7909"/>
    <w:rsid w:val="00ED02EA"/>
    <w:rsid w:val="00ED1843"/>
    <w:rsid w:val="00ED198C"/>
    <w:rsid w:val="00ED1E3D"/>
    <w:rsid w:val="00ED3E01"/>
    <w:rsid w:val="00ED3F88"/>
    <w:rsid w:val="00ED452B"/>
    <w:rsid w:val="00ED48D4"/>
    <w:rsid w:val="00ED6B83"/>
    <w:rsid w:val="00ED711A"/>
    <w:rsid w:val="00ED74CC"/>
    <w:rsid w:val="00ED770A"/>
    <w:rsid w:val="00ED78C1"/>
    <w:rsid w:val="00EE01D0"/>
    <w:rsid w:val="00EE181E"/>
    <w:rsid w:val="00EE2AEA"/>
    <w:rsid w:val="00EE44E4"/>
    <w:rsid w:val="00EE5777"/>
    <w:rsid w:val="00EE5E4B"/>
    <w:rsid w:val="00EE6892"/>
    <w:rsid w:val="00EE6934"/>
    <w:rsid w:val="00EE6EA9"/>
    <w:rsid w:val="00EE794D"/>
    <w:rsid w:val="00EE7B2E"/>
    <w:rsid w:val="00EF11DC"/>
    <w:rsid w:val="00EF1599"/>
    <w:rsid w:val="00EF1CB9"/>
    <w:rsid w:val="00EF2405"/>
    <w:rsid w:val="00EF281A"/>
    <w:rsid w:val="00EF580B"/>
    <w:rsid w:val="00EF5D49"/>
    <w:rsid w:val="00EF6612"/>
    <w:rsid w:val="00EF6DB5"/>
    <w:rsid w:val="00F006CA"/>
    <w:rsid w:val="00F00A51"/>
    <w:rsid w:val="00F0134E"/>
    <w:rsid w:val="00F01A73"/>
    <w:rsid w:val="00F02B55"/>
    <w:rsid w:val="00F0354B"/>
    <w:rsid w:val="00F03BFF"/>
    <w:rsid w:val="00F0464F"/>
    <w:rsid w:val="00F050D9"/>
    <w:rsid w:val="00F07879"/>
    <w:rsid w:val="00F10A02"/>
    <w:rsid w:val="00F11AFF"/>
    <w:rsid w:val="00F129BD"/>
    <w:rsid w:val="00F13740"/>
    <w:rsid w:val="00F15431"/>
    <w:rsid w:val="00F15A1A"/>
    <w:rsid w:val="00F176D2"/>
    <w:rsid w:val="00F17F73"/>
    <w:rsid w:val="00F20891"/>
    <w:rsid w:val="00F21823"/>
    <w:rsid w:val="00F21ECC"/>
    <w:rsid w:val="00F22ADC"/>
    <w:rsid w:val="00F23CC2"/>
    <w:rsid w:val="00F24ACF"/>
    <w:rsid w:val="00F24FB9"/>
    <w:rsid w:val="00F26287"/>
    <w:rsid w:val="00F271B4"/>
    <w:rsid w:val="00F27613"/>
    <w:rsid w:val="00F3120C"/>
    <w:rsid w:val="00F32B0B"/>
    <w:rsid w:val="00F32C53"/>
    <w:rsid w:val="00F33300"/>
    <w:rsid w:val="00F34BB8"/>
    <w:rsid w:val="00F34ED8"/>
    <w:rsid w:val="00F3592B"/>
    <w:rsid w:val="00F35C06"/>
    <w:rsid w:val="00F36768"/>
    <w:rsid w:val="00F36FB1"/>
    <w:rsid w:val="00F36FFB"/>
    <w:rsid w:val="00F37017"/>
    <w:rsid w:val="00F37B44"/>
    <w:rsid w:val="00F4244E"/>
    <w:rsid w:val="00F435AF"/>
    <w:rsid w:val="00F44C3A"/>
    <w:rsid w:val="00F44F6E"/>
    <w:rsid w:val="00F45EE4"/>
    <w:rsid w:val="00F4751A"/>
    <w:rsid w:val="00F504D9"/>
    <w:rsid w:val="00F51743"/>
    <w:rsid w:val="00F51A44"/>
    <w:rsid w:val="00F5304A"/>
    <w:rsid w:val="00F537BB"/>
    <w:rsid w:val="00F53A2E"/>
    <w:rsid w:val="00F54ACD"/>
    <w:rsid w:val="00F54B26"/>
    <w:rsid w:val="00F554C4"/>
    <w:rsid w:val="00F56B39"/>
    <w:rsid w:val="00F57D42"/>
    <w:rsid w:val="00F611FC"/>
    <w:rsid w:val="00F61928"/>
    <w:rsid w:val="00F62959"/>
    <w:rsid w:val="00F63C0A"/>
    <w:rsid w:val="00F6565B"/>
    <w:rsid w:val="00F65BA5"/>
    <w:rsid w:val="00F6631D"/>
    <w:rsid w:val="00F663D8"/>
    <w:rsid w:val="00F66481"/>
    <w:rsid w:val="00F7307F"/>
    <w:rsid w:val="00F7363F"/>
    <w:rsid w:val="00F73EBE"/>
    <w:rsid w:val="00F74DCA"/>
    <w:rsid w:val="00F75F20"/>
    <w:rsid w:val="00F77756"/>
    <w:rsid w:val="00F778D5"/>
    <w:rsid w:val="00F815FA"/>
    <w:rsid w:val="00F84212"/>
    <w:rsid w:val="00F843F5"/>
    <w:rsid w:val="00F84F19"/>
    <w:rsid w:val="00F861E2"/>
    <w:rsid w:val="00F8648D"/>
    <w:rsid w:val="00F905D5"/>
    <w:rsid w:val="00F90626"/>
    <w:rsid w:val="00F90C75"/>
    <w:rsid w:val="00F93509"/>
    <w:rsid w:val="00F94D4D"/>
    <w:rsid w:val="00F94F8D"/>
    <w:rsid w:val="00F956DB"/>
    <w:rsid w:val="00F96051"/>
    <w:rsid w:val="00FA111F"/>
    <w:rsid w:val="00FA15B8"/>
    <w:rsid w:val="00FA20FA"/>
    <w:rsid w:val="00FA35C6"/>
    <w:rsid w:val="00FA4521"/>
    <w:rsid w:val="00FA534C"/>
    <w:rsid w:val="00FA6018"/>
    <w:rsid w:val="00FB1388"/>
    <w:rsid w:val="00FB2B08"/>
    <w:rsid w:val="00FB6AB3"/>
    <w:rsid w:val="00FC0BE7"/>
    <w:rsid w:val="00FC0FFB"/>
    <w:rsid w:val="00FC1C16"/>
    <w:rsid w:val="00FC1F41"/>
    <w:rsid w:val="00FC27C4"/>
    <w:rsid w:val="00FC3B02"/>
    <w:rsid w:val="00FC40E5"/>
    <w:rsid w:val="00FC4260"/>
    <w:rsid w:val="00FC4E58"/>
    <w:rsid w:val="00FC60FE"/>
    <w:rsid w:val="00FC6407"/>
    <w:rsid w:val="00FC66DF"/>
    <w:rsid w:val="00FC6C2F"/>
    <w:rsid w:val="00FC6E6B"/>
    <w:rsid w:val="00FC6F55"/>
    <w:rsid w:val="00FD09CE"/>
    <w:rsid w:val="00FD0B94"/>
    <w:rsid w:val="00FD0C5E"/>
    <w:rsid w:val="00FD13D6"/>
    <w:rsid w:val="00FD26E1"/>
    <w:rsid w:val="00FD3AFB"/>
    <w:rsid w:val="00FD3B3C"/>
    <w:rsid w:val="00FD4957"/>
    <w:rsid w:val="00FD4B58"/>
    <w:rsid w:val="00FD5859"/>
    <w:rsid w:val="00FD6EA5"/>
    <w:rsid w:val="00FD729E"/>
    <w:rsid w:val="00FD7755"/>
    <w:rsid w:val="00FE06BA"/>
    <w:rsid w:val="00FE1D59"/>
    <w:rsid w:val="00FE2521"/>
    <w:rsid w:val="00FE6C2C"/>
    <w:rsid w:val="00FE6DBF"/>
    <w:rsid w:val="00FE7887"/>
    <w:rsid w:val="00FF21CD"/>
    <w:rsid w:val="00FF2535"/>
    <w:rsid w:val="00FF426B"/>
    <w:rsid w:val="00FF4902"/>
    <w:rsid w:val="00FF507D"/>
    <w:rsid w:val="00FF5984"/>
    <w:rsid w:val="00FF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3F1B8"/>
  <w15:chartTrackingRefBased/>
  <w15:docId w15:val="{D51CE7F8-34FF-4444-A6A2-0DF377A8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E2E94"/>
    <w:rPr>
      <w:rFonts w:ascii="Times New Roman" w:hAnsi="Times New Roman"/>
      <w:sz w:val="24"/>
    </w:rPr>
  </w:style>
  <w:style w:type="paragraph" w:styleId="Heading1">
    <w:name w:val="heading 1"/>
    <w:basedOn w:val="Normal"/>
    <w:next w:val="Normal"/>
    <w:link w:val="Heading1Char"/>
    <w:autoRedefine/>
    <w:uiPriority w:val="9"/>
    <w:qFormat/>
    <w:rsid w:val="00F90626"/>
    <w:pPr>
      <w:keepNext/>
      <w:keepLines/>
      <w:spacing w:before="240" w:after="0" w:line="360" w:lineRule="auto"/>
      <w:outlineLvl w:val="0"/>
    </w:pPr>
    <w:rPr>
      <w:rFonts w:eastAsiaTheme="majorEastAsia" w:cstheme="majorBidi"/>
      <w:b/>
      <w:color w:val="000000" w:themeColor="text1"/>
      <w:sz w:val="32"/>
      <w:szCs w:val="32"/>
    </w:rPr>
  </w:style>
  <w:style w:type="paragraph" w:styleId="Heading2">
    <w:name w:val="heading 2"/>
    <w:basedOn w:val="Normal1"/>
    <w:next w:val="Normal"/>
    <w:link w:val="Heading2Char"/>
    <w:uiPriority w:val="9"/>
    <w:unhideWhenUsed/>
    <w:qFormat/>
    <w:rsid w:val="00B1638D"/>
    <w:pPr>
      <w:tabs>
        <w:tab w:val="left" w:pos="2552"/>
      </w:tabs>
      <w:outlineLvl w:val="1"/>
    </w:pPr>
    <w:rPr>
      <w:b/>
      <w:sz w:val="28"/>
    </w:rPr>
  </w:style>
  <w:style w:type="paragraph" w:styleId="Heading3">
    <w:name w:val="heading 3"/>
    <w:basedOn w:val="Normal"/>
    <w:next w:val="Normal"/>
    <w:link w:val="Heading3Char"/>
    <w:autoRedefine/>
    <w:uiPriority w:val="9"/>
    <w:unhideWhenUsed/>
    <w:qFormat/>
    <w:rsid w:val="00BA4521"/>
    <w:pPr>
      <w:keepNext/>
      <w:keepLines/>
      <w:spacing w:before="40" w:after="0"/>
      <w:outlineLvl w:val="2"/>
    </w:pPr>
    <w:rPr>
      <w:rFonts w:eastAsiaTheme="majorEastAsia" w:cstheme="majorBidi"/>
      <w:b/>
      <w:i/>
      <w:szCs w:val="24"/>
      <w:lang w:eastAsia="hi-IN" w:bidi="hi-IN"/>
    </w:rPr>
  </w:style>
  <w:style w:type="paragraph" w:styleId="Heading4">
    <w:name w:val="heading 4"/>
    <w:basedOn w:val="Normal"/>
    <w:next w:val="Normal"/>
    <w:link w:val="Heading4Char"/>
    <w:unhideWhenUsed/>
    <w:qFormat/>
    <w:rsid w:val="00426FCB"/>
    <w:pPr>
      <w:keepNext/>
      <w:keepLines/>
      <w:spacing w:before="40" w:after="0"/>
      <w:outlineLvl w:val="3"/>
    </w:pPr>
    <w:rPr>
      <w:rFonts w:eastAsiaTheme="majorEastAsia" w:cstheme="majorBidi"/>
      <w:i/>
      <w:iCs/>
    </w:rPr>
  </w:style>
  <w:style w:type="paragraph" w:styleId="Heading5">
    <w:name w:val="heading 5"/>
    <w:basedOn w:val="Normal"/>
    <w:next w:val="Normal"/>
    <w:link w:val="Heading5Char"/>
    <w:autoRedefine/>
    <w:uiPriority w:val="9"/>
    <w:unhideWhenUsed/>
    <w:qFormat/>
    <w:rsid w:val="00AC3EF6"/>
    <w:pPr>
      <w:keepNext/>
      <w:keepLines/>
      <w:spacing w:before="40" w:after="0"/>
      <w:ind w:left="720"/>
      <w:outlineLvl w:val="4"/>
    </w:pPr>
    <w:rPr>
      <w:rFonts w:eastAsiaTheme="majorEastAsia" w:cstheme="majorBidi"/>
      <w:i/>
    </w:rPr>
  </w:style>
  <w:style w:type="paragraph" w:styleId="Heading6">
    <w:name w:val="heading 6"/>
    <w:basedOn w:val="Normal"/>
    <w:next w:val="Normal"/>
    <w:link w:val="Heading6Char"/>
    <w:qFormat/>
    <w:rsid w:val="006C0AA7"/>
    <w:pPr>
      <w:tabs>
        <w:tab w:val="num" w:pos="4320"/>
      </w:tabs>
      <w:spacing w:before="240" w:after="60" w:line="240" w:lineRule="auto"/>
      <w:ind w:left="4320" w:hanging="720"/>
      <w:outlineLvl w:val="5"/>
    </w:pPr>
    <w:rPr>
      <w:rFonts w:eastAsia="Times New Roman" w:cs="Times New Roman"/>
      <w:b/>
      <w:bCs/>
      <w:sz w:val="22"/>
      <w:lang w:val="en-US"/>
    </w:rPr>
  </w:style>
  <w:style w:type="paragraph" w:styleId="Heading7">
    <w:name w:val="heading 7"/>
    <w:basedOn w:val="Normal"/>
    <w:next w:val="Normal"/>
    <w:link w:val="Heading7Char"/>
    <w:uiPriority w:val="9"/>
    <w:semiHidden/>
    <w:unhideWhenUsed/>
    <w:qFormat/>
    <w:rsid w:val="006C0AA7"/>
    <w:pPr>
      <w:tabs>
        <w:tab w:val="num" w:pos="5040"/>
      </w:tabs>
      <w:spacing w:before="240" w:after="60" w:line="240" w:lineRule="auto"/>
      <w:ind w:left="5040" w:hanging="720"/>
      <w:outlineLvl w:val="6"/>
    </w:pPr>
    <w:rPr>
      <w:rFonts w:asciiTheme="minorHAnsi" w:eastAsiaTheme="minorEastAsia" w:hAnsiTheme="minorHAnsi"/>
      <w:szCs w:val="24"/>
      <w:lang w:val="en-US"/>
    </w:rPr>
  </w:style>
  <w:style w:type="paragraph" w:styleId="Heading8">
    <w:name w:val="heading 8"/>
    <w:basedOn w:val="Normal"/>
    <w:next w:val="Normal"/>
    <w:link w:val="Heading8Char"/>
    <w:uiPriority w:val="9"/>
    <w:semiHidden/>
    <w:unhideWhenUsed/>
    <w:qFormat/>
    <w:rsid w:val="006C0AA7"/>
    <w:pPr>
      <w:tabs>
        <w:tab w:val="num" w:pos="5760"/>
      </w:tabs>
      <w:spacing w:before="240" w:after="60" w:line="240" w:lineRule="auto"/>
      <w:ind w:left="5760" w:hanging="720"/>
      <w:outlineLvl w:val="7"/>
    </w:pPr>
    <w:rPr>
      <w:rFonts w:asciiTheme="minorHAnsi" w:eastAsiaTheme="minorEastAsia" w:hAnsiTheme="minorHAnsi"/>
      <w:i/>
      <w:iCs/>
      <w:szCs w:val="24"/>
      <w:lang w:val="en-US"/>
    </w:rPr>
  </w:style>
  <w:style w:type="paragraph" w:styleId="Heading9">
    <w:name w:val="heading 9"/>
    <w:basedOn w:val="Normal"/>
    <w:next w:val="Normal"/>
    <w:link w:val="Heading9Char"/>
    <w:uiPriority w:val="9"/>
    <w:semiHidden/>
    <w:unhideWhenUsed/>
    <w:qFormat/>
    <w:rsid w:val="006C0AA7"/>
    <w:pPr>
      <w:tabs>
        <w:tab w:val="num"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626"/>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177A83"/>
    <w:pPr>
      <w:outlineLvl w:val="9"/>
    </w:pPr>
    <w:rPr>
      <w:lang w:val="en-US"/>
    </w:rPr>
  </w:style>
  <w:style w:type="paragraph" w:styleId="TOC2">
    <w:name w:val="toc 2"/>
    <w:basedOn w:val="Normal"/>
    <w:next w:val="Normal"/>
    <w:autoRedefine/>
    <w:uiPriority w:val="39"/>
    <w:unhideWhenUsed/>
    <w:rsid w:val="00177A8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16BB2"/>
    <w:pPr>
      <w:tabs>
        <w:tab w:val="right" w:leader="dot" w:pos="9605"/>
      </w:tabs>
      <w:spacing w:after="100"/>
    </w:pPr>
    <w:rPr>
      <w:rFonts w:eastAsiaTheme="minorEastAsia" w:cs="Times New Roman"/>
      <w:lang w:val="en-US"/>
    </w:rPr>
  </w:style>
  <w:style w:type="paragraph" w:styleId="TOC3">
    <w:name w:val="toc 3"/>
    <w:basedOn w:val="Normal"/>
    <w:next w:val="Normal"/>
    <w:autoRedefine/>
    <w:uiPriority w:val="39"/>
    <w:unhideWhenUsed/>
    <w:rsid w:val="00177A83"/>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B1638D"/>
    <w:rPr>
      <w:rFonts w:ascii="Times New Roman" w:eastAsia="Lucida Sans Unicode" w:hAnsi="Times New Roman" w:cs="Mangal"/>
      <w:b/>
      <w:kern w:val="1"/>
      <w:sz w:val="28"/>
      <w:szCs w:val="24"/>
      <w:lang w:val="it-IT" w:eastAsia="hi-IN" w:bidi="hi-IN"/>
    </w:rPr>
  </w:style>
  <w:style w:type="character" w:customStyle="1" w:styleId="Heading3Char">
    <w:name w:val="Heading 3 Char"/>
    <w:basedOn w:val="DefaultParagraphFont"/>
    <w:link w:val="Heading3"/>
    <w:uiPriority w:val="9"/>
    <w:rsid w:val="00BA4521"/>
    <w:rPr>
      <w:rFonts w:ascii="Times New Roman" w:eastAsiaTheme="majorEastAsia" w:hAnsi="Times New Roman" w:cstheme="majorBidi"/>
      <w:b/>
      <w:i/>
      <w:sz w:val="24"/>
      <w:szCs w:val="24"/>
      <w:lang w:eastAsia="hi-IN" w:bidi="hi-IN"/>
    </w:rPr>
  </w:style>
  <w:style w:type="character" w:customStyle="1" w:styleId="Heading4Char">
    <w:name w:val="Heading 4 Char"/>
    <w:basedOn w:val="DefaultParagraphFont"/>
    <w:link w:val="Heading4"/>
    <w:rsid w:val="00426FCB"/>
    <w:rPr>
      <w:rFonts w:ascii="Times New Roman" w:eastAsiaTheme="majorEastAsia" w:hAnsi="Times New Roman" w:cstheme="majorBidi"/>
      <w:i/>
      <w:iCs/>
      <w:sz w:val="24"/>
    </w:rPr>
  </w:style>
  <w:style w:type="character" w:styleId="Hyperlink">
    <w:name w:val="Hyperlink"/>
    <w:basedOn w:val="DefaultParagraphFont"/>
    <w:uiPriority w:val="99"/>
    <w:unhideWhenUsed/>
    <w:rsid w:val="00B43CBC"/>
    <w:rPr>
      <w:color w:val="0563C1" w:themeColor="hyperlink"/>
      <w:u w:val="single"/>
    </w:rPr>
  </w:style>
  <w:style w:type="paragraph" w:styleId="ListParagraph">
    <w:name w:val="List Paragraph"/>
    <w:basedOn w:val="Normal"/>
    <w:uiPriority w:val="34"/>
    <w:qFormat/>
    <w:rsid w:val="00F176D2"/>
    <w:pPr>
      <w:ind w:left="720"/>
      <w:contextualSpacing/>
    </w:pPr>
    <w:rPr>
      <w:rFonts w:cs="Arial"/>
    </w:rPr>
  </w:style>
  <w:style w:type="paragraph" w:customStyle="1" w:styleId="Body">
    <w:name w:val="Body"/>
    <w:rsid w:val="00A13542"/>
    <w:pPr>
      <w:pBdr>
        <w:top w:val="nil"/>
        <w:left w:val="nil"/>
        <w:bottom w:val="nil"/>
        <w:right w:val="nil"/>
        <w:between w:val="nil"/>
        <w:bar w:val="nil"/>
      </w:pBdr>
    </w:pPr>
    <w:rPr>
      <w:rFonts w:ascii="Calibri" w:eastAsia="Calibri" w:hAnsi="Calibri" w:cs="Calibri"/>
      <w:color w:val="000000"/>
      <w:u w:color="000000"/>
      <w:bdr w:val="nil"/>
      <w:lang w:eastAsia="en-GB"/>
    </w:rPr>
  </w:style>
  <w:style w:type="numbering" w:customStyle="1" w:styleId="List1">
    <w:name w:val="List 1"/>
    <w:basedOn w:val="NoList"/>
    <w:rsid w:val="00A13542"/>
    <w:pPr>
      <w:numPr>
        <w:numId w:val="1"/>
      </w:numPr>
    </w:pPr>
  </w:style>
  <w:style w:type="character" w:styleId="CommentReference">
    <w:name w:val="annotation reference"/>
    <w:basedOn w:val="DefaultParagraphFont"/>
    <w:uiPriority w:val="99"/>
    <w:semiHidden/>
    <w:unhideWhenUsed/>
    <w:rsid w:val="00DD1B8F"/>
    <w:rPr>
      <w:sz w:val="16"/>
      <w:szCs w:val="16"/>
    </w:rPr>
  </w:style>
  <w:style w:type="paragraph" w:styleId="CommentText">
    <w:name w:val="annotation text"/>
    <w:basedOn w:val="Normal"/>
    <w:link w:val="CommentTextChar"/>
    <w:uiPriority w:val="99"/>
    <w:unhideWhenUsed/>
    <w:rsid w:val="00DD1B8F"/>
    <w:pPr>
      <w:spacing w:line="240" w:lineRule="auto"/>
    </w:pPr>
    <w:rPr>
      <w:rFonts w:cs="Arial"/>
      <w:sz w:val="20"/>
      <w:szCs w:val="20"/>
    </w:rPr>
  </w:style>
  <w:style w:type="character" w:customStyle="1" w:styleId="CommentTextChar">
    <w:name w:val="Comment Text Char"/>
    <w:basedOn w:val="DefaultParagraphFont"/>
    <w:link w:val="CommentText"/>
    <w:uiPriority w:val="99"/>
    <w:rsid w:val="00DD1B8F"/>
    <w:rPr>
      <w:rFonts w:cs="Arial"/>
      <w:sz w:val="20"/>
      <w:szCs w:val="20"/>
    </w:rPr>
  </w:style>
  <w:style w:type="paragraph" w:styleId="BalloonText">
    <w:name w:val="Balloon Text"/>
    <w:basedOn w:val="Normal"/>
    <w:link w:val="BalloonTextChar"/>
    <w:uiPriority w:val="99"/>
    <w:semiHidden/>
    <w:unhideWhenUsed/>
    <w:rsid w:val="00DD1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B8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15F11"/>
    <w:rPr>
      <w:rFonts w:cstheme="minorBidi"/>
      <w:b/>
      <w:bCs/>
    </w:rPr>
  </w:style>
  <w:style w:type="character" w:customStyle="1" w:styleId="CommentSubjectChar">
    <w:name w:val="Comment Subject Char"/>
    <w:basedOn w:val="CommentTextChar"/>
    <w:link w:val="CommentSubject"/>
    <w:uiPriority w:val="99"/>
    <w:semiHidden/>
    <w:rsid w:val="00915F11"/>
    <w:rPr>
      <w:rFonts w:cs="Arial"/>
      <w:b/>
      <w:bCs/>
      <w:sz w:val="20"/>
      <w:szCs w:val="20"/>
    </w:rPr>
  </w:style>
  <w:style w:type="table" w:styleId="TableGrid">
    <w:name w:val="Table Grid"/>
    <w:basedOn w:val="TableNormal"/>
    <w:uiPriority w:val="39"/>
    <w:rsid w:val="00477E6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D47AD"/>
    <w:pPr>
      <w:spacing w:after="0" w:line="240" w:lineRule="auto"/>
    </w:pPr>
  </w:style>
  <w:style w:type="paragraph" w:styleId="Header">
    <w:name w:val="header"/>
    <w:basedOn w:val="Normal"/>
    <w:link w:val="HeaderChar"/>
    <w:unhideWhenUsed/>
    <w:rsid w:val="0099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84E"/>
  </w:style>
  <w:style w:type="paragraph" w:styleId="Footer">
    <w:name w:val="footer"/>
    <w:basedOn w:val="Normal"/>
    <w:link w:val="FooterChar"/>
    <w:uiPriority w:val="99"/>
    <w:unhideWhenUsed/>
    <w:rsid w:val="0099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4E"/>
  </w:style>
  <w:style w:type="paragraph" w:styleId="TOC4">
    <w:name w:val="toc 4"/>
    <w:basedOn w:val="Normal"/>
    <w:next w:val="Normal"/>
    <w:autoRedefine/>
    <w:uiPriority w:val="39"/>
    <w:unhideWhenUsed/>
    <w:rsid w:val="000B2379"/>
    <w:pPr>
      <w:spacing w:after="100"/>
      <w:ind w:left="660"/>
    </w:pPr>
    <w:rPr>
      <w:rFonts w:eastAsiaTheme="minorEastAsia"/>
      <w:lang w:eastAsia="en-GB"/>
    </w:rPr>
  </w:style>
  <w:style w:type="paragraph" w:styleId="TOC5">
    <w:name w:val="toc 5"/>
    <w:basedOn w:val="Normal"/>
    <w:next w:val="Normal"/>
    <w:autoRedefine/>
    <w:uiPriority w:val="39"/>
    <w:unhideWhenUsed/>
    <w:rsid w:val="000B2379"/>
    <w:pPr>
      <w:spacing w:after="100"/>
      <w:ind w:left="880"/>
    </w:pPr>
    <w:rPr>
      <w:rFonts w:eastAsiaTheme="minorEastAsia"/>
      <w:lang w:eastAsia="en-GB"/>
    </w:rPr>
  </w:style>
  <w:style w:type="paragraph" w:styleId="TOC6">
    <w:name w:val="toc 6"/>
    <w:basedOn w:val="Normal"/>
    <w:next w:val="Normal"/>
    <w:autoRedefine/>
    <w:uiPriority w:val="39"/>
    <w:unhideWhenUsed/>
    <w:rsid w:val="000B2379"/>
    <w:pPr>
      <w:spacing w:after="100"/>
      <w:ind w:left="1100"/>
    </w:pPr>
    <w:rPr>
      <w:rFonts w:eastAsiaTheme="minorEastAsia"/>
      <w:lang w:eastAsia="en-GB"/>
    </w:rPr>
  </w:style>
  <w:style w:type="paragraph" w:styleId="TOC7">
    <w:name w:val="toc 7"/>
    <w:basedOn w:val="Normal"/>
    <w:next w:val="Normal"/>
    <w:autoRedefine/>
    <w:uiPriority w:val="39"/>
    <w:unhideWhenUsed/>
    <w:rsid w:val="000B2379"/>
    <w:pPr>
      <w:spacing w:after="100"/>
      <w:ind w:left="1320"/>
    </w:pPr>
    <w:rPr>
      <w:rFonts w:eastAsiaTheme="minorEastAsia"/>
      <w:lang w:eastAsia="en-GB"/>
    </w:rPr>
  </w:style>
  <w:style w:type="paragraph" w:styleId="TOC8">
    <w:name w:val="toc 8"/>
    <w:basedOn w:val="Normal"/>
    <w:next w:val="Normal"/>
    <w:autoRedefine/>
    <w:uiPriority w:val="39"/>
    <w:unhideWhenUsed/>
    <w:rsid w:val="000B2379"/>
    <w:pPr>
      <w:spacing w:after="100"/>
      <w:ind w:left="1540"/>
    </w:pPr>
    <w:rPr>
      <w:rFonts w:eastAsiaTheme="minorEastAsia"/>
      <w:lang w:eastAsia="en-GB"/>
    </w:rPr>
  </w:style>
  <w:style w:type="paragraph" w:styleId="TOC9">
    <w:name w:val="toc 9"/>
    <w:basedOn w:val="Normal"/>
    <w:next w:val="Normal"/>
    <w:autoRedefine/>
    <w:uiPriority w:val="39"/>
    <w:unhideWhenUsed/>
    <w:rsid w:val="000B2379"/>
    <w:pPr>
      <w:spacing w:after="100"/>
      <w:ind w:left="1760"/>
    </w:pPr>
    <w:rPr>
      <w:rFonts w:eastAsiaTheme="minorEastAsia"/>
      <w:lang w:eastAsia="en-GB"/>
    </w:rPr>
  </w:style>
  <w:style w:type="paragraph" w:styleId="BodyText">
    <w:name w:val="Body Text"/>
    <w:basedOn w:val="Normal"/>
    <w:link w:val="BodyTextChar"/>
    <w:uiPriority w:val="99"/>
    <w:unhideWhenUsed/>
    <w:rsid w:val="00DB587B"/>
    <w:pPr>
      <w:spacing w:after="120"/>
    </w:pPr>
  </w:style>
  <w:style w:type="character" w:customStyle="1" w:styleId="BodyTextChar">
    <w:name w:val="Body Text Char"/>
    <w:basedOn w:val="DefaultParagraphFont"/>
    <w:link w:val="BodyText"/>
    <w:uiPriority w:val="99"/>
    <w:rsid w:val="00DB587B"/>
  </w:style>
  <w:style w:type="table" w:styleId="TableGridLight">
    <w:name w:val="Grid Table Light"/>
    <w:basedOn w:val="TableNormal"/>
    <w:uiPriority w:val="40"/>
    <w:rsid w:val="00DB587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DB587B"/>
  </w:style>
  <w:style w:type="character" w:styleId="Emphasis">
    <w:name w:val="Emphasis"/>
    <w:basedOn w:val="DefaultParagraphFont"/>
    <w:uiPriority w:val="20"/>
    <w:qFormat/>
    <w:rsid w:val="00DB587B"/>
    <w:rPr>
      <w:i/>
      <w:iCs/>
    </w:rPr>
  </w:style>
  <w:style w:type="character" w:customStyle="1" w:styleId="stack">
    <w:name w:val="stack"/>
    <w:basedOn w:val="DefaultParagraphFont"/>
    <w:rsid w:val="00DB587B"/>
  </w:style>
  <w:style w:type="character" w:customStyle="1" w:styleId="internalref">
    <w:name w:val="internalref"/>
    <w:basedOn w:val="DefaultParagraphFont"/>
    <w:rsid w:val="00DB587B"/>
  </w:style>
  <w:style w:type="character" w:customStyle="1" w:styleId="ref-lnk">
    <w:name w:val="ref-lnk"/>
    <w:basedOn w:val="DefaultParagraphFont"/>
    <w:rsid w:val="00DB587B"/>
  </w:style>
  <w:style w:type="character" w:customStyle="1" w:styleId="ref-overlay">
    <w:name w:val="ref-overlay"/>
    <w:basedOn w:val="DefaultParagraphFont"/>
    <w:rsid w:val="00DB587B"/>
  </w:style>
  <w:style w:type="character" w:customStyle="1" w:styleId="hlfld-contribauthor">
    <w:name w:val="hlfld-contribauthor"/>
    <w:basedOn w:val="DefaultParagraphFont"/>
    <w:rsid w:val="00DB587B"/>
  </w:style>
  <w:style w:type="character" w:customStyle="1" w:styleId="nlmgiven-names">
    <w:name w:val="nlm_given-names"/>
    <w:basedOn w:val="DefaultParagraphFont"/>
    <w:rsid w:val="00DB587B"/>
  </w:style>
  <w:style w:type="character" w:customStyle="1" w:styleId="nlmarticle-title">
    <w:name w:val="nlm_article-title"/>
    <w:basedOn w:val="DefaultParagraphFont"/>
    <w:rsid w:val="00DB587B"/>
  </w:style>
  <w:style w:type="character" w:customStyle="1" w:styleId="nlmyear">
    <w:name w:val="nlm_year"/>
    <w:basedOn w:val="DefaultParagraphFont"/>
    <w:rsid w:val="00DB587B"/>
  </w:style>
  <w:style w:type="character" w:customStyle="1" w:styleId="nlmfpage">
    <w:name w:val="nlm_fpage"/>
    <w:basedOn w:val="DefaultParagraphFont"/>
    <w:rsid w:val="00DB587B"/>
  </w:style>
  <w:style w:type="character" w:customStyle="1" w:styleId="nlmlpage">
    <w:name w:val="nlm_lpage"/>
    <w:basedOn w:val="DefaultParagraphFont"/>
    <w:rsid w:val="00DB587B"/>
  </w:style>
  <w:style w:type="character" w:customStyle="1" w:styleId="nlmpublisher-name">
    <w:name w:val="nlm_publisher-name"/>
    <w:basedOn w:val="DefaultParagraphFont"/>
    <w:rsid w:val="00DB587B"/>
  </w:style>
  <w:style w:type="character" w:customStyle="1" w:styleId="nlmpublisher-loc">
    <w:name w:val="nlm_publisher-loc"/>
    <w:basedOn w:val="DefaultParagraphFont"/>
    <w:rsid w:val="00DB587B"/>
  </w:style>
  <w:style w:type="paragraph" w:styleId="Date">
    <w:name w:val="Date"/>
    <w:basedOn w:val="Normal"/>
    <w:next w:val="Normal"/>
    <w:link w:val="DateChar"/>
    <w:semiHidden/>
    <w:unhideWhenUsed/>
    <w:rsid w:val="00DB587B"/>
    <w:pPr>
      <w:spacing w:after="0" w:line="240" w:lineRule="auto"/>
    </w:pPr>
    <w:rPr>
      <w:rFonts w:eastAsia="Times New Roman" w:cs="Times New Roman"/>
      <w:szCs w:val="24"/>
      <w:lang w:val="en-US"/>
    </w:rPr>
  </w:style>
  <w:style w:type="character" w:customStyle="1" w:styleId="DateChar">
    <w:name w:val="Date Char"/>
    <w:basedOn w:val="DefaultParagraphFont"/>
    <w:link w:val="Date"/>
    <w:semiHidden/>
    <w:rsid w:val="00DB587B"/>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DB587B"/>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DB587B"/>
    <w:rPr>
      <w:rFonts w:ascii="Calibri" w:hAnsi="Calibri" w:cs="Calibri"/>
      <w:noProof/>
      <w:lang w:val="en-US"/>
    </w:rPr>
  </w:style>
  <w:style w:type="paragraph" w:customStyle="1" w:styleId="EndNoteBibliography">
    <w:name w:val="EndNote Bibliography"/>
    <w:basedOn w:val="Normal"/>
    <w:link w:val="EndNoteBibliographyChar"/>
    <w:rsid w:val="00DB587B"/>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DB587B"/>
    <w:rPr>
      <w:rFonts w:ascii="Calibri" w:hAnsi="Calibri" w:cs="Calibri"/>
      <w:noProof/>
      <w:lang w:val="en-US"/>
    </w:rPr>
  </w:style>
  <w:style w:type="paragraph" w:customStyle="1" w:styleId="Normal1">
    <w:name w:val="Normal1"/>
    <w:qFormat/>
    <w:rsid w:val="00426FCB"/>
    <w:pPr>
      <w:widowControl w:val="0"/>
      <w:suppressAutoHyphens/>
      <w:spacing w:after="0" w:line="360" w:lineRule="auto"/>
    </w:pPr>
    <w:rPr>
      <w:rFonts w:ascii="Times New Roman" w:eastAsia="Lucida Sans Unicode" w:hAnsi="Times New Roman" w:cs="Mangal"/>
      <w:kern w:val="1"/>
      <w:sz w:val="24"/>
      <w:szCs w:val="24"/>
      <w:lang w:val="it-IT" w:eastAsia="hi-IN" w:bidi="hi-IN"/>
    </w:rPr>
  </w:style>
  <w:style w:type="paragraph" w:customStyle="1" w:styleId="Intestazione2">
    <w:name w:val="Intestazione 2"/>
    <w:basedOn w:val="Normal1"/>
    <w:next w:val="Normal"/>
    <w:qFormat/>
    <w:rsid w:val="00DB587B"/>
    <w:pPr>
      <w:keepNext/>
      <w:numPr>
        <w:ilvl w:val="1"/>
        <w:numId w:val="3"/>
      </w:numPr>
      <w:spacing w:before="240" w:after="60"/>
      <w:outlineLvl w:val="1"/>
    </w:pPr>
    <w:rPr>
      <w:rFonts w:ascii="Cambria" w:eastAsia="Times New Roman" w:hAnsi="Cambria" w:cs="Times New Roman"/>
      <w:b/>
      <w:bCs/>
      <w:i/>
      <w:iCs/>
      <w:sz w:val="28"/>
      <w:szCs w:val="28"/>
    </w:rPr>
  </w:style>
  <w:style w:type="character" w:customStyle="1" w:styleId="fontstyle01">
    <w:name w:val="fontstyle01"/>
    <w:basedOn w:val="DefaultParagraphFont"/>
    <w:rsid w:val="00DB587B"/>
    <w:rPr>
      <w:rFonts w:ascii="TimesNewRomanPSMT" w:hAnsi="TimesNewRomanPSMT" w:hint="default"/>
      <w:b w:val="0"/>
      <w:bCs w:val="0"/>
      <w:i w:val="0"/>
      <w:iCs w:val="0"/>
      <w:color w:val="000000"/>
      <w:sz w:val="20"/>
      <w:szCs w:val="20"/>
    </w:rPr>
  </w:style>
  <w:style w:type="character" w:customStyle="1" w:styleId="st">
    <w:name w:val="st"/>
    <w:basedOn w:val="DefaultParagraphFont"/>
    <w:rsid w:val="00DB587B"/>
  </w:style>
  <w:style w:type="character" w:styleId="PlaceholderText">
    <w:name w:val="Placeholder Text"/>
    <w:basedOn w:val="DefaultParagraphFont"/>
    <w:uiPriority w:val="99"/>
    <w:semiHidden/>
    <w:rsid w:val="00DB587B"/>
    <w:rPr>
      <w:color w:val="808080"/>
    </w:rPr>
  </w:style>
  <w:style w:type="paragraph" w:styleId="NormalWeb">
    <w:name w:val="Normal (Web)"/>
    <w:basedOn w:val="Normal"/>
    <w:uiPriority w:val="99"/>
    <w:unhideWhenUsed/>
    <w:rsid w:val="00DB587B"/>
    <w:pPr>
      <w:spacing w:before="100" w:beforeAutospacing="1" w:after="100" w:afterAutospacing="1" w:line="240" w:lineRule="auto"/>
    </w:pPr>
    <w:rPr>
      <w:rFonts w:eastAsia="Times New Roman" w:cs="Times New Roman"/>
      <w:szCs w:val="24"/>
      <w:lang w:eastAsia="en-GB"/>
    </w:rPr>
  </w:style>
  <w:style w:type="character" w:styleId="Strong">
    <w:name w:val="Strong"/>
    <w:basedOn w:val="DefaultParagraphFont"/>
    <w:uiPriority w:val="22"/>
    <w:qFormat/>
    <w:rsid w:val="00DB587B"/>
    <w:rPr>
      <w:b/>
      <w:bCs/>
    </w:rPr>
  </w:style>
  <w:style w:type="paragraph" w:styleId="Caption">
    <w:name w:val="caption"/>
    <w:basedOn w:val="Normal"/>
    <w:next w:val="Normal"/>
    <w:uiPriority w:val="35"/>
    <w:unhideWhenUsed/>
    <w:qFormat/>
    <w:rsid w:val="00426FCB"/>
    <w:pPr>
      <w:spacing w:after="200" w:line="360" w:lineRule="auto"/>
    </w:pPr>
    <w:rPr>
      <w:iCs/>
      <w:szCs w:val="18"/>
    </w:rPr>
  </w:style>
  <w:style w:type="paragraph" w:customStyle="1" w:styleId="Predefinito">
    <w:name w:val="Predefinito"/>
    <w:qFormat/>
    <w:rsid w:val="00CF212C"/>
    <w:pPr>
      <w:widowControl w:val="0"/>
      <w:suppressAutoHyphens/>
      <w:spacing w:after="0" w:line="240" w:lineRule="auto"/>
    </w:pPr>
    <w:rPr>
      <w:rFonts w:ascii="Times New Roman" w:eastAsia="Lucida Sans Unicode" w:hAnsi="Times New Roman" w:cs="Mangal"/>
      <w:kern w:val="1"/>
      <w:sz w:val="24"/>
      <w:szCs w:val="24"/>
      <w:lang w:val="it-IT" w:eastAsia="hi-IN" w:bidi="hi-IN"/>
    </w:rPr>
  </w:style>
  <w:style w:type="character" w:customStyle="1" w:styleId="Heading5Char">
    <w:name w:val="Heading 5 Char"/>
    <w:basedOn w:val="DefaultParagraphFont"/>
    <w:link w:val="Heading5"/>
    <w:uiPriority w:val="9"/>
    <w:rsid w:val="00AC3EF6"/>
    <w:rPr>
      <w:rFonts w:ascii="Times New Roman" w:eastAsiaTheme="majorEastAsia" w:hAnsi="Times New Roman" w:cstheme="majorBidi"/>
      <w:i/>
      <w:sz w:val="24"/>
    </w:rPr>
  </w:style>
  <w:style w:type="paragraph" w:styleId="Quote">
    <w:name w:val="Quote"/>
    <w:basedOn w:val="Normal1"/>
    <w:next w:val="Normal1"/>
    <w:link w:val="QuoteChar"/>
    <w:autoRedefine/>
    <w:uiPriority w:val="29"/>
    <w:qFormat/>
    <w:rsid w:val="0052217A"/>
    <w:pPr>
      <w:spacing w:before="200"/>
      <w:jc w:val="center"/>
    </w:pPr>
    <w:rPr>
      <w:i/>
      <w:iCs/>
      <w:color w:val="000000" w:themeColor="text1"/>
    </w:rPr>
  </w:style>
  <w:style w:type="character" w:customStyle="1" w:styleId="QuoteChar">
    <w:name w:val="Quote Char"/>
    <w:basedOn w:val="DefaultParagraphFont"/>
    <w:link w:val="Quote"/>
    <w:uiPriority w:val="29"/>
    <w:rsid w:val="0052217A"/>
    <w:rPr>
      <w:rFonts w:ascii="Times New Roman" w:eastAsia="Lucida Sans Unicode" w:hAnsi="Times New Roman" w:cs="Mangal"/>
      <w:i/>
      <w:iCs/>
      <w:color w:val="000000" w:themeColor="text1"/>
      <w:kern w:val="1"/>
      <w:sz w:val="24"/>
      <w:szCs w:val="24"/>
      <w:lang w:val="it-IT" w:eastAsia="hi-IN" w:bidi="hi-IN"/>
    </w:rPr>
  </w:style>
  <w:style w:type="character" w:styleId="IntenseReference">
    <w:name w:val="Intense Reference"/>
    <w:basedOn w:val="DefaultParagraphFont"/>
    <w:uiPriority w:val="32"/>
    <w:qFormat/>
    <w:rsid w:val="00CB5CBE"/>
    <w:rPr>
      <w:b/>
      <w:bCs/>
      <w:smallCaps/>
      <w:color w:val="5B9BD5" w:themeColor="accent1"/>
      <w:spacing w:val="5"/>
    </w:rPr>
  </w:style>
  <w:style w:type="paragraph" w:styleId="NoSpacing">
    <w:name w:val="No Spacing"/>
    <w:uiPriority w:val="1"/>
    <w:qFormat/>
    <w:rsid w:val="00C93903"/>
    <w:pPr>
      <w:spacing w:after="0" w:line="240" w:lineRule="auto"/>
    </w:pPr>
    <w:rPr>
      <w:rFonts w:ascii="Times New Roman" w:hAnsi="Times New Roman"/>
      <w:sz w:val="24"/>
    </w:rPr>
  </w:style>
  <w:style w:type="paragraph" w:customStyle="1" w:styleId="Tablelist">
    <w:name w:val="Table list"/>
    <w:basedOn w:val="Normal1"/>
    <w:autoRedefine/>
    <w:qFormat/>
    <w:rsid w:val="00001EE2"/>
  </w:style>
  <w:style w:type="paragraph" w:styleId="TableofFigures">
    <w:name w:val="table of figures"/>
    <w:basedOn w:val="Normal1"/>
    <w:next w:val="Normal"/>
    <w:uiPriority w:val="99"/>
    <w:unhideWhenUsed/>
    <w:rsid w:val="00C94B43"/>
  </w:style>
  <w:style w:type="character" w:customStyle="1" w:styleId="Heading6Char">
    <w:name w:val="Heading 6 Char"/>
    <w:basedOn w:val="DefaultParagraphFont"/>
    <w:link w:val="Heading6"/>
    <w:rsid w:val="006C0AA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6C0AA7"/>
    <w:rPr>
      <w:rFonts w:eastAsiaTheme="minorEastAsia"/>
      <w:sz w:val="24"/>
      <w:szCs w:val="24"/>
      <w:lang w:val="en-US"/>
    </w:rPr>
  </w:style>
  <w:style w:type="character" w:customStyle="1" w:styleId="Heading8Char">
    <w:name w:val="Heading 8 Char"/>
    <w:basedOn w:val="DefaultParagraphFont"/>
    <w:link w:val="Heading8"/>
    <w:uiPriority w:val="9"/>
    <w:semiHidden/>
    <w:rsid w:val="006C0AA7"/>
    <w:rPr>
      <w:rFonts w:eastAsiaTheme="minorEastAsia"/>
      <w:i/>
      <w:iCs/>
      <w:sz w:val="24"/>
      <w:szCs w:val="24"/>
      <w:lang w:val="en-US"/>
    </w:rPr>
  </w:style>
  <w:style w:type="character" w:customStyle="1" w:styleId="Heading9Char">
    <w:name w:val="Heading 9 Char"/>
    <w:basedOn w:val="DefaultParagraphFont"/>
    <w:link w:val="Heading9"/>
    <w:uiPriority w:val="9"/>
    <w:semiHidden/>
    <w:rsid w:val="006C0AA7"/>
    <w:rPr>
      <w:rFonts w:asciiTheme="majorHAnsi" w:eastAsiaTheme="majorEastAsia" w:hAnsiTheme="majorHAnsi" w:cstheme="majorBidi"/>
      <w:lang w:val="en-US"/>
    </w:rPr>
  </w:style>
  <w:style w:type="table" w:customStyle="1" w:styleId="TableGrid0">
    <w:name w:val="TableGrid"/>
    <w:rsid w:val="006C0AA7"/>
    <w:pPr>
      <w:spacing w:after="0" w:line="240" w:lineRule="auto"/>
    </w:pPr>
    <w:rPr>
      <w:rFonts w:eastAsiaTheme="minorEastAsia"/>
      <w:lang w:eastAsia="en-GB"/>
    </w:rPr>
    <w:tblPr>
      <w:tblCellMar>
        <w:top w:w="0" w:type="dxa"/>
        <w:left w:w="0" w:type="dxa"/>
        <w:bottom w:w="0" w:type="dxa"/>
        <w:right w:w="0" w:type="dxa"/>
      </w:tblCellMar>
    </w:tblPr>
  </w:style>
  <w:style w:type="paragraph" w:styleId="BodyText2">
    <w:name w:val="Body Text 2"/>
    <w:basedOn w:val="Normal"/>
    <w:link w:val="BodyText2Char"/>
    <w:rsid w:val="00A32950"/>
    <w:pPr>
      <w:spacing w:after="0" w:line="240" w:lineRule="auto"/>
    </w:pPr>
    <w:rPr>
      <w:rFonts w:eastAsia="Times New Roman" w:cs="Times New Roman"/>
      <w:b/>
      <w:bCs/>
      <w:szCs w:val="24"/>
    </w:rPr>
  </w:style>
  <w:style w:type="character" w:customStyle="1" w:styleId="BodyText2Char">
    <w:name w:val="Body Text 2 Char"/>
    <w:basedOn w:val="DefaultParagraphFont"/>
    <w:link w:val="BodyText2"/>
    <w:rsid w:val="00A32950"/>
    <w:rPr>
      <w:rFonts w:ascii="Times New Roman" w:eastAsia="Times New Roman" w:hAnsi="Times New Roman" w:cs="Times New Roman"/>
      <w:b/>
      <w:bCs/>
      <w:sz w:val="24"/>
      <w:szCs w:val="24"/>
    </w:rPr>
  </w:style>
  <w:style w:type="paragraph" w:customStyle="1" w:styleId="CodebookTitle">
    <w:name w:val="Codebook Title"/>
    <w:rsid w:val="00071A48"/>
    <w:pPr>
      <w:jc w:val="center"/>
    </w:pPr>
    <w:rPr>
      <w:rFonts w:asciiTheme="majorHAnsi" w:eastAsiaTheme="majorEastAsia" w:hAnsiTheme="majorHAnsi" w:cstheme="majorBidi"/>
      <w:color w:val="5B9BD5"/>
      <w:sz w:val="48"/>
      <w:szCs w:val="48"/>
      <w:lang w:val="en-AU" w:eastAsia="ja-JP"/>
    </w:rPr>
  </w:style>
  <w:style w:type="paragraph" w:customStyle="1" w:styleId="FolderName">
    <w:name w:val="Folder Name"/>
    <w:next w:val="FolderDescription"/>
    <w:qFormat/>
    <w:rsid w:val="00071A48"/>
    <w:pPr>
      <w:keepNext/>
      <w:keepLines/>
      <w:spacing w:before="240" w:after="0"/>
      <w:outlineLvl w:val="0"/>
    </w:pPr>
    <w:rPr>
      <w:rFonts w:asciiTheme="majorHAnsi" w:eastAsiaTheme="majorEastAsia" w:hAnsiTheme="majorHAnsi" w:cstheme="majorBidi"/>
      <w:color w:val="2E74B5" w:themeColor="accent1" w:themeShade="BF"/>
      <w:sz w:val="32"/>
      <w:szCs w:val="32"/>
      <w:lang w:val="en-AU" w:eastAsia="ja-JP"/>
    </w:rPr>
  </w:style>
  <w:style w:type="paragraph" w:customStyle="1" w:styleId="FolderDescription">
    <w:name w:val="Folder Description"/>
    <w:basedOn w:val="Normal"/>
    <w:qFormat/>
    <w:rsid w:val="00071A48"/>
    <w:pPr>
      <w:keepNext/>
      <w:keepLines/>
    </w:pPr>
    <w:rPr>
      <w:rFonts w:asciiTheme="majorHAnsi" w:eastAsiaTheme="majorEastAsia" w:hAnsiTheme="majorHAnsi" w:cstheme="majorBidi"/>
      <w:sz w:val="22"/>
      <w:lang w:val="en-AU" w:eastAsia="ja-JP"/>
    </w:rPr>
  </w:style>
  <w:style w:type="paragraph" w:customStyle="1" w:styleId="TableHeader">
    <w:name w:val="Table Header"/>
    <w:rsid w:val="00071A48"/>
    <w:rPr>
      <w:rFonts w:asciiTheme="majorHAnsi" w:eastAsiaTheme="majorEastAsia" w:hAnsiTheme="majorHAnsi" w:cstheme="majorBidi"/>
      <w:color w:val="FFFFFF"/>
      <w:lang w:val="en-AU" w:eastAsia="ja-JP"/>
    </w:rPr>
  </w:style>
  <w:style w:type="paragraph" w:customStyle="1" w:styleId="RightAlign">
    <w:name w:val="Right Align"/>
    <w:basedOn w:val="Normal"/>
    <w:rsid w:val="00071A48"/>
    <w:pPr>
      <w:jc w:val="right"/>
    </w:pPr>
    <w:rPr>
      <w:rFonts w:asciiTheme="minorHAnsi" w:eastAsiaTheme="minorEastAsia" w:cs="Times New Roman"/>
      <w:sz w:val="22"/>
      <w:lang w:val="en-AU" w:eastAsia="ja-JP"/>
    </w:rPr>
  </w:style>
  <w:style w:type="table" w:customStyle="1" w:styleId="NodesTable">
    <w:name w:val="Nodes Table"/>
    <w:rsid w:val="00071A48"/>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character" w:customStyle="1" w:styleId="il">
    <w:name w:val="il"/>
    <w:basedOn w:val="DefaultParagraphFont"/>
    <w:rsid w:val="0045217A"/>
  </w:style>
  <w:style w:type="table" w:styleId="PlainTable5">
    <w:name w:val="Plain Table 5"/>
    <w:basedOn w:val="TableNormal"/>
    <w:uiPriority w:val="45"/>
    <w:rsid w:val="00B079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oteboxes">
    <w:name w:val="quote boxes"/>
    <w:basedOn w:val="Normal1"/>
    <w:qFormat/>
    <w:rsid w:val="00910B01"/>
    <w:pPr>
      <w:spacing w:line="240" w:lineRule="auto"/>
    </w:pPr>
    <w:rPr>
      <w:sz w:val="22"/>
    </w:rPr>
  </w:style>
  <w:style w:type="paragraph" w:styleId="DocumentMap">
    <w:name w:val="Document Map"/>
    <w:basedOn w:val="Normal"/>
    <w:link w:val="DocumentMapChar"/>
    <w:uiPriority w:val="99"/>
    <w:semiHidden/>
    <w:unhideWhenUsed/>
    <w:rsid w:val="00FD729E"/>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FD729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199">
      <w:bodyDiv w:val="1"/>
      <w:marLeft w:val="0"/>
      <w:marRight w:val="0"/>
      <w:marTop w:val="0"/>
      <w:marBottom w:val="0"/>
      <w:divBdr>
        <w:top w:val="none" w:sz="0" w:space="0" w:color="auto"/>
        <w:left w:val="none" w:sz="0" w:space="0" w:color="auto"/>
        <w:bottom w:val="none" w:sz="0" w:space="0" w:color="auto"/>
        <w:right w:val="none" w:sz="0" w:space="0" w:color="auto"/>
      </w:divBdr>
    </w:div>
    <w:div w:id="45616876">
      <w:bodyDiv w:val="1"/>
      <w:marLeft w:val="0"/>
      <w:marRight w:val="0"/>
      <w:marTop w:val="0"/>
      <w:marBottom w:val="0"/>
      <w:divBdr>
        <w:top w:val="none" w:sz="0" w:space="0" w:color="auto"/>
        <w:left w:val="none" w:sz="0" w:space="0" w:color="auto"/>
        <w:bottom w:val="none" w:sz="0" w:space="0" w:color="auto"/>
        <w:right w:val="none" w:sz="0" w:space="0" w:color="auto"/>
      </w:divBdr>
    </w:div>
    <w:div w:id="49693252">
      <w:bodyDiv w:val="1"/>
      <w:marLeft w:val="0"/>
      <w:marRight w:val="0"/>
      <w:marTop w:val="0"/>
      <w:marBottom w:val="0"/>
      <w:divBdr>
        <w:top w:val="none" w:sz="0" w:space="0" w:color="auto"/>
        <w:left w:val="none" w:sz="0" w:space="0" w:color="auto"/>
        <w:bottom w:val="none" w:sz="0" w:space="0" w:color="auto"/>
        <w:right w:val="none" w:sz="0" w:space="0" w:color="auto"/>
      </w:divBdr>
    </w:div>
    <w:div w:id="50812097">
      <w:bodyDiv w:val="1"/>
      <w:marLeft w:val="0"/>
      <w:marRight w:val="0"/>
      <w:marTop w:val="0"/>
      <w:marBottom w:val="0"/>
      <w:divBdr>
        <w:top w:val="none" w:sz="0" w:space="0" w:color="auto"/>
        <w:left w:val="none" w:sz="0" w:space="0" w:color="auto"/>
        <w:bottom w:val="none" w:sz="0" w:space="0" w:color="auto"/>
        <w:right w:val="none" w:sz="0" w:space="0" w:color="auto"/>
      </w:divBdr>
    </w:div>
    <w:div w:id="52656351">
      <w:bodyDiv w:val="1"/>
      <w:marLeft w:val="0"/>
      <w:marRight w:val="0"/>
      <w:marTop w:val="0"/>
      <w:marBottom w:val="0"/>
      <w:divBdr>
        <w:top w:val="none" w:sz="0" w:space="0" w:color="auto"/>
        <w:left w:val="none" w:sz="0" w:space="0" w:color="auto"/>
        <w:bottom w:val="none" w:sz="0" w:space="0" w:color="auto"/>
        <w:right w:val="none" w:sz="0" w:space="0" w:color="auto"/>
      </w:divBdr>
    </w:div>
    <w:div w:id="54209604">
      <w:bodyDiv w:val="1"/>
      <w:marLeft w:val="0"/>
      <w:marRight w:val="0"/>
      <w:marTop w:val="0"/>
      <w:marBottom w:val="0"/>
      <w:divBdr>
        <w:top w:val="none" w:sz="0" w:space="0" w:color="auto"/>
        <w:left w:val="none" w:sz="0" w:space="0" w:color="auto"/>
        <w:bottom w:val="none" w:sz="0" w:space="0" w:color="auto"/>
        <w:right w:val="none" w:sz="0" w:space="0" w:color="auto"/>
      </w:divBdr>
    </w:div>
    <w:div w:id="55706417">
      <w:bodyDiv w:val="1"/>
      <w:marLeft w:val="0"/>
      <w:marRight w:val="0"/>
      <w:marTop w:val="0"/>
      <w:marBottom w:val="0"/>
      <w:divBdr>
        <w:top w:val="none" w:sz="0" w:space="0" w:color="auto"/>
        <w:left w:val="none" w:sz="0" w:space="0" w:color="auto"/>
        <w:bottom w:val="none" w:sz="0" w:space="0" w:color="auto"/>
        <w:right w:val="none" w:sz="0" w:space="0" w:color="auto"/>
      </w:divBdr>
    </w:div>
    <w:div w:id="95096391">
      <w:bodyDiv w:val="1"/>
      <w:marLeft w:val="0"/>
      <w:marRight w:val="0"/>
      <w:marTop w:val="0"/>
      <w:marBottom w:val="0"/>
      <w:divBdr>
        <w:top w:val="none" w:sz="0" w:space="0" w:color="auto"/>
        <w:left w:val="none" w:sz="0" w:space="0" w:color="auto"/>
        <w:bottom w:val="none" w:sz="0" w:space="0" w:color="auto"/>
        <w:right w:val="none" w:sz="0" w:space="0" w:color="auto"/>
      </w:divBdr>
    </w:div>
    <w:div w:id="96214664">
      <w:bodyDiv w:val="1"/>
      <w:marLeft w:val="0"/>
      <w:marRight w:val="0"/>
      <w:marTop w:val="0"/>
      <w:marBottom w:val="0"/>
      <w:divBdr>
        <w:top w:val="none" w:sz="0" w:space="0" w:color="auto"/>
        <w:left w:val="none" w:sz="0" w:space="0" w:color="auto"/>
        <w:bottom w:val="none" w:sz="0" w:space="0" w:color="auto"/>
        <w:right w:val="none" w:sz="0" w:space="0" w:color="auto"/>
      </w:divBdr>
    </w:div>
    <w:div w:id="130488057">
      <w:bodyDiv w:val="1"/>
      <w:marLeft w:val="0"/>
      <w:marRight w:val="0"/>
      <w:marTop w:val="0"/>
      <w:marBottom w:val="0"/>
      <w:divBdr>
        <w:top w:val="none" w:sz="0" w:space="0" w:color="auto"/>
        <w:left w:val="none" w:sz="0" w:space="0" w:color="auto"/>
        <w:bottom w:val="none" w:sz="0" w:space="0" w:color="auto"/>
        <w:right w:val="none" w:sz="0" w:space="0" w:color="auto"/>
      </w:divBdr>
    </w:div>
    <w:div w:id="138616747">
      <w:bodyDiv w:val="1"/>
      <w:marLeft w:val="0"/>
      <w:marRight w:val="0"/>
      <w:marTop w:val="0"/>
      <w:marBottom w:val="0"/>
      <w:divBdr>
        <w:top w:val="none" w:sz="0" w:space="0" w:color="auto"/>
        <w:left w:val="none" w:sz="0" w:space="0" w:color="auto"/>
        <w:bottom w:val="none" w:sz="0" w:space="0" w:color="auto"/>
        <w:right w:val="none" w:sz="0" w:space="0" w:color="auto"/>
      </w:divBdr>
      <w:divsChild>
        <w:div w:id="225117456">
          <w:marLeft w:val="0"/>
          <w:marRight w:val="0"/>
          <w:marTop w:val="0"/>
          <w:marBottom w:val="0"/>
          <w:divBdr>
            <w:top w:val="none" w:sz="0" w:space="0" w:color="auto"/>
            <w:left w:val="none" w:sz="0" w:space="0" w:color="auto"/>
            <w:bottom w:val="none" w:sz="0" w:space="0" w:color="auto"/>
            <w:right w:val="none" w:sz="0" w:space="0" w:color="auto"/>
          </w:divBdr>
        </w:div>
        <w:div w:id="767625178">
          <w:marLeft w:val="0"/>
          <w:marRight w:val="0"/>
          <w:marTop w:val="0"/>
          <w:marBottom w:val="0"/>
          <w:divBdr>
            <w:top w:val="none" w:sz="0" w:space="0" w:color="auto"/>
            <w:left w:val="none" w:sz="0" w:space="0" w:color="auto"/>
            <w:bottom w:val="none" w:sz="0" w:space="0" w:color="auto"/>
            <w:right w:val="none" w:sz="0" w:space="0" w:color="auto"/>
          </w:divBdr>
        </w:div>
        <w:div w:id="834106109">
          <w:marLeft w:val="0"/>
          <w:marRight w:val="0"/>
          <w:marTop w:val="0"/>
          <w:marBottom w:val="0"/>
          <w:divBdr>
            <w:top w:val="none" w:sz="0" w:space="0" w:color="auto"/>
            <w:left w:val="none" w:sz="0" w:space="0" w:color="auto"/>
            <w:bottom w:val="none" w:sz="0" w:space="0" w:color="auto"/>
            <w:right w:val="none" w:sz="0" w:space="0" w:color="auto"/>
          </w:divBdr>
        </w:div>
        <w:div w:id="20908228">
          <w:marLeft w:val="0"/>
          <w:marRight w:val="0"/>
          <w:marTop w:val="0"/>
          <w:marBottom w:val="0"/>
          <w:divBdr>
            <w:top w:val="none" w:sz="0" w:space="0" w:color="auto"/>
            <w:left w:val="none" w:sz="0" w:space="0" w:color="auto"/>
            <w:bottom w:val="none" w:sz="0" w:space="0" w:color="auto"/>
            <w:right w:val="none" w:sz="0" w:space="0" w:color="auto"/>
          </w:divBdr>
        </w:div>
        <w:div w:id="1356927527">
          <w:marLeft w:val="0"/>
          <w:marRight w:val="0"/>
          <w:marTop w:val="0"/>
          <w:marBottom w:val="0"/>
          <w:divBdr>
            <w:top w:val="none" w:sz="0" w:space="0" w:color="auto"/>
            <w:left w:val="none" w:sz="0" w:space="0" w:color="auto"/>
            <w:bottom w:val="none" w:sz="0" w:space="0" w:color="auto"/>
            <w:right w:val="none" w:sz="0" w:space="0" w:color="auto"/>
          </w:divBdr>
        </w:div>
        <w:div w:id="1862081646">
          <w:marLeft w:val="0"/>
          <w:marRight w:val="0"/>
          <w:marTop w:val="0"/>
          <w:marBottom w:val="0"/>
          <w:divBdr>
            <w:top w:val="none" w:sz="0" w:space="0" w:color="auto"/>
            <w:left w:val="none" w:sz="0" w:space="0" w:color="auto"/>
            <w:bottom w:val="none" w:sz="0" w:space="0" w:color="auto"/>
            <w:right w:val="none" w:sz="0" w:space="0" w:color="auto"/>
          </w:divBdr>
        </w:div>
        <w:div w:id="1145439538">
          <w:marLeft w:val="0"/>
          <w:marRight w:val="0"/>
          <w:marTop w:val="0"/>
          <w:marBottom w:val="0"/>
          <w:divBdr>
            <w:top w:val="none" w:sz="0" w:space="0" w:color="auto"/>
            <w:left w:val="none" w:sz="0" w:space="0" w:color="auto"/>
            <w:bottom w:val="none" w:sz="0" w:space="0" w:color="auto"/>
            <w:right w:val="none" w:sz="0" w:space="0" w:color="auto"/>
          </w:divBdr>
        </w:div>
        <w:div w:id="1340934544">
          <w:marLeft w:val="0"/>
          <w:marRight w:val="0"/>
          <w:marTop w:val="0"/>
          <w:marBottom w:val="0"/>
          <w:divBdr>
            <w:top w:val="none" w:sz="0" w:space="0" w:color="auto"/>
            <w:left w:val="none" w:sz="0" w:space="0" w:color="auto"/>
            <w:bottom w:val="none" w:sz="0" w:space="0" w:color="auto"/>
            <w:right w:val="none" w:sz="0" w:space="0" w:color="auto"/>
          </w:divBdr>
        </w:div>
        <w:div w:id="1674337848">
          <w:marLeft w:val="0"/>
          <w:marRight w:val="0"/>
          <w:marTop w:val="0"/>
          <w:marBottom w:val="0"/>
          <w:divBdr>
            <w:top w:val="none" w:sz="0" w:space="0" w:color="auto"/>
            <w:left w:val="none" w:sz="0" w:space="0" w:color="auto"/>
            <w:bottom w:val="none" w:sz="0" w:space="0" w:color="auto"/>
            <w:right w:val="none" w:sz="0" w:space="0" w:color="auto"/>
          </w:divBdr>
        </w:div>
        <w:div w:id="90318364">
          <w:marLeft w:val="0"/>
          <w:marRight w:val="0"/>
          <w:marTop w:val="0"/>
          <w:marBottom w:val="0"/>
          <w:divBdr>
            <w:top w:val="none" w:sz="0" w:space="0" w:color="auto"/>
            <w:left w:val="none" w:sz="0" w:space="0" w:color="auto"/>
            <w:bottom w:val="none" w:sz="0" w:space="0" w:color="auto"/>
            <w:right w:val="none" w:sz="0" w:space="0" w:color="auto"/>
          </w:divBdr>
          <w:divsChild>
            <w:div w:id="1738625617">
              <w:marLeft w:val="0"/>
              <w:marRight w:val="0"/>
              <w:marTop w:val="0"/>
              <w:marBottom w:val="0"/>
              <w:divBdr>
                <w:top w:val="none" w:sz="0" w:space="0" w:color="auto"/>
                <w:left w:val="none" w:sz="0" w:space="0" w:color="auto"/>
                <w:bottom w:val="none" w:sz="0" w:space="0" w:color="auto"/>
                <w:right w:val="none" w:sz="0" w:space="0" w:color="auto"/>
              </w:divBdr>
              <w:divsChild>
                <w:div w:id="1163859235">
                  <w:marLeft w:val="0"/>
                  <w:marRight w:val="0"/>
                  <w:marTop w:val="0"/>
                  <w:marBottom w:val="0"/>
                  <w:divBdr>
                    <w:top w:val="none" w:sz="0" w:space="0" w:color="auto"/>
                    <w:left w:val="none" w:sz="0" w:space="0" w:color="auto"/>
                    <w:bottom w:val="none" w:sz="0" w:space="0" w:color="auto"/>
                    <w:right w:val="none" w:sz="0" w:space="0" w:color="auto"/>
                  </w:divBdr>
                  <w:divsChild>
                    <w:div w:id="1658996492">
                      <w:marLeft w:val="0"/>
                      <w:marRight w:val="0"/>
                      <w:marTop w:val="0"/>
                      <w:marBottom w:val="0"/>
                      <w:divBdr>
                        <w:top w:val="none" w:sz="0" w:space="0" w:color="auto"/>
                        <w:left w:val="none" w:sz="0" w:space="0" w:color="auto"/>
                        <w:bottom w:val="none" w:sz="0" w:space="0" w:color="auto"/>
                        <w:right w:val="none" w:sz="0" w:space="0" w:color="auto"/>
                      </w:divBdr>
                      <w:divsChild>
                        <w:div w:id="1566447306">
                          <w:marLeft w:val="0"/>
                          <w:marRight w:val="0"/>
                          <w:marTop w:val="0"/>
                          <w:marBottom w:val="0"/>
                          <w:divBdr>
                            <w:top w:val="none" w:sz="0" w:space="0" w:color="auto"/>
                            <w:left w:val="none" w:sz="0" w:space="0" w:color="auto"/>
                            <w:bottom w:val="none" w:sz="0" w:space="0" w:color="auto"/>
                            <w:right w:val="none" w:sz="0" w:space="0" w:color="auto"/>
                          </w:divBdr>
                          <w:divsChild>
                            <w:div w:id="729573906">
                              <w:marLeft w:val="0"/>
                              <w:marRight w:val="0"/>
                              <w:marTop w:val="0"/>
                              <w:marBottom w:val="0"/>
                              <w:divBdr>
                                <w:top w:val="none" w:sz="0" w:space="0" w:color="auto"/>
                                <w:left w:val="none" w:sz="0" w:space="0" w:color="auto"/>
                                <w:bottom w:val="none" w:sz="0" w:space="0" w:color="auto"/>
                                <w:right w:val="none" w:sz="0" w:space="0" w:color="auto"/>
                              </w:divBdr>
                              <w:divsChild>
                                <w:div w:id="1785005091">
                                  <w:marLeft w:val="0"/>
                                  <w:marRight w:val="0"/>
                                  <w:marTop w:val="0"/>
                                  <w:marBottom w:val="0"/>
                                  <w:divBdr>
                                    <w:top w:val="none" w:sz="0" w:space="0" w:color="auto"/>
                                    <w:left w:val="none" w:sz="0" w:space="0" w:color="auto"/>
                                    <w:bottom w:val="none" w:sz="0" w:space="0" w:color="auto"/>
                                    <w:right w:val="none" w:sz="0" w:space="0" w:color="auto"/>
                                  </w:divBdr>
                                  <w:divsChild>
                                    <w:div w:id="844635528">
                                      <w:marLeft w:val="0"/>
                                      <w:marRight w:val="0"/>
                                      <w:marTop w:val="0"/>
                                      <w:marBottom w:val="0"/>
                                      <w:divBdr>
                                        <w:top w:val="none" w:sz="0" w:space="0" w:color="auto"/>
                                        <w:left w:val="none" w:sz="0" w:space="0" w:color="auto"/>
                                        <w:bottom w:val="none" w:sz="0" w:space="0" w:color="auto"/>
                                        <w:right w:val="none" w:sz="0" w:space="0" w:color="auto"/>
                                      </w:divBdr>
                                      <w:divsChild>
                                        <w:div w:id="375275569">
                                          <w:marLeft w:val="0"/>
                                          <w:marRight w:val="0"/>
                                          <w:marTop w:val="0"/>
                                          <w:marBottom w:val="0"/>
                                          <w:divBdr>
                                            <w:top w:val="none" w:sz="0" w:space="0" w:color="auto"/>
                                            <w:left w:val="none" w:sz="0" w:space="0" w:color="auto"/>
                                            <w:bottom w:val="none" w:sz="0" w:space="0" w:color="auto"/>
                                            <w:right w:val="none" w:sz="0" w:space="0" w:color="auto"/>
                                          </w:divBdr>
                                          <w:divsChild>
                                            <w:div w:id="431819624">
                                              <w:marLeft w:val="0"/>
                                              <w:marRight w:val="0"/>
                                              <w:marTop w:val="0"/>
                                              <w:marBottom w:val="0"/>
                                              <w:divBdr>
                                                <w:top w:val="none" w:sz="0" w:space="0" w:color="auto"/>
                                                <w:left w:val="none" w:sz="0" w:space="0" w:color="auto"/>
                                                <w:bottom w:val="none" w:sz="0" w:space="0" w:color="auto"/>
                                                <w:right w:val="none" w:sz="0" w:space="0" w:color="auto"/>
                                              </w:divBdr>
                                              <w:divsChild>
                                                <w:div w:id="1770393605">
                                                  <w:marLeft w:val="0"/>
                                                  <w:marRight w:val="0"/>
                                                  <w:marTop w:val="0"/>
                                                  <w:marBottom w:val="0"/>
                                                  <w:divBdr>
                                                    <w:top w:val="none" w:sz="0" w:space="0" w:color="auto"/>
                                                    <w:left w:val="none" w:sz="0" w:space="0" w:color="auto"/>
                                                    <w:bottom w:val="none" w:sz="0" w:space="0" w:color="auto"/>
                                                    <w:right w:val="none" w:sz="0" w:space="0" w:color="auto"/>
                                                  </w:divBdr>
                                                  <w:divsChild>
                                                    <w:div w:id="1320647091">
                                                      <w:marLeft w:val="0"/>
                                                      <w:marRight w:val="0"/>
                                                      <w:marTop w:val="0"/>
                                                      <w:marBottom w:val="0"/>
                                                      <w:divBdr>
                                                        <w:top w:val="none" w:sz="0" w:space="0" w:color="auto"/>
                                                        <w:left w:val="none" w:sz="0" w:space="0" w:color="auto"/>
                                                        <w:bottom w:val="none" w:sz="0" w:space="0" w:color="auto"/>
                                                        <w:right w:val="none" w:sz="0" w:space="0" w:color="auto"/>
                                                      </w:divBdr>
                                                      <w:divsChild>
                                                        <w:div w:id="2140882003">
                                                          <w:marLeft w:val="0"/>
                                                          <w:marRight w:val="0"/>
                                                          <w:marTop w:val="0"/>
                                                          <w:marBottom w:val="0"/>
                                                          <w:divBdr>
                                                            <w:top w:val="none" w:sz="0" w:space="0" w:color="auto"/>
                                                            <w:left w:val="none" w:sz="0" w:space="0" w:color="auto"/>
                                                            <w:bottom w:val="none" w:sz="0" w:space="0" w:color="auto"/>
                                                            <w:right w:val="none" w:sz="0" w:space="0" w:color="auto"/>
                                                          </w:divBdr>
                                                          <w:divsChild>
                                                            <w:div w:id="1112819010">
                                                              <w:marLeft w:val="0"/>
                                                              <w:marRight w:val="0"/>
                                                              <w:marTop w:val="0"/>
                                                              <w:marBottom w:val="0"/>
                                                              <w:divBdr>
                                                                <w:top w:val="none" w:sz="0" w:space="0" w:color="auto"/>
                                                                <w:left w:val="none" w:sz="0" w:space="0" w:color="auto"/>
                                                                <w:bottom w:val="none" w:sz="0" w:space="0" w:color="auto"/>
                                                                <w:right w:val="none" w:sz="0" w:space="0" w:color="auto"/>
                                                              </w:divBdr>
                                                              <w:divsChild>
                                                                <w:div w:id="1600790558">
                                                                  <w:marLeft w:val="0"/>
                                                                  <w:marRight w:val="0"/>
                                                                  <w:marTop w:val="0"/>
                                                                  <w:marBottom w:val="0"/>
                                                                  <w:divBdr>
                                                                    <w:top w:val="none" w:sz="0" w:space="0" w:color="auto"/>
                                                                    <w:left w:val="none" w:sz="0" w:space="0" w:color="auto"/>
                                                                    <w:bottom w:val="none" w:sz="0" w:space="0" w:color="auto"/>
                                                                    <w:right w:val="none" w:sz="0" w:space="0" w:color="auto"/>
                                                                  </w:divBdr>
                                                                  <w:divsChild>
                                                                    <w:div w:id="809445698">
                                                                      <w:marLeft w:val="0"/>
                                                                      <w:marRight w:val="0"/>
                                                                      <w:marTop w:val="0"/>
                                                                      <w:marBottom w:val="0"/>
                                                                      <w:divBdr>
                                                                        <w:top w:val="none" w:sz="0" w:space="0" w:color="auto"/>
                                                                        <w:left w:val="none" w:sz="0" w:space="0" w:color="auto"/>
                                                                        <w:bottom w:val="none" w:sz="0" w:space="0" w:color="auto"/>
                                                                        <w:right w:val="none" w:sz="0" w:space="0" w:color="auto"/>
                                                                      </w:divBdr>
                                                                      <w:divsChild>
                                                                        <w:div w:id="1738431402">
                                                                          <w:marLeft w:val="0"/>
                                                                          <w:marRight w:val="0"/>
                                                                          <w:marTop w:val="0"/>
                                                                          <w:marBottom w:val="0"/>
                                                                          <w:divBdr>
                                                                            <w:top w:val="none" w:sz="0" w:space="0" w:color="auto"/>
                                                                            <w:left w:val="none" w:sz="0" w:space="0" w:color="auto"/>
                                                                            <w:bottom w:val="none" w:sz="0" w:space="0" w:color="auto"/>
                                                                            <w:right w:val="none" w:sz="0" w:space="0" w:color="auto"/>
                                                                          </w:divBdr>
                                                                          <w:divsChild>
                                                                            <w:div w:id="870190450">
                                                                              <w:marLeft w:val="0"/>
                                                                              <w:marRight w:val="0"/>
                                                                              <w:marTop w:val="0"/>
                                                                              <w:marBottom w:val="0"/>
                                                                              <w:divBdr>
                                                                                <w:top w:val="none" w:sz="0" w:space="0" w:color="auto"/>
                                                                                <w:left w:val="none" w:sz="0" w:space="0" w:color="auto"/>
                                                                                <w:bottom w:val="none" w:sz="0" w:space="0" w:color="auto"/>
                                                                                <w:right w:val="none" w:sz="0" w:space="0" w:color="auto"/>
                                                                              </w:divBdr>
                                                                              <w:divsChild>
                                                                                <w:div w:id="1050181562">
                                                                                  <w:marLeft w:val="0"/>
                                                                                  <w:marRight w:val="0"/>
                                                                                  <w:marTop w:val="0"/>
                                                                                  <w:marBottom w:val="0"/>
                                                                                  <w:divBdr>
                                                                                    <w:top w:val="none" w:sz="0" w:space="0" w:color="auto"/>
                                                                                    <w:left w:val="none" w:sz="0" w:space="0" w:color="auto"/>
                                                                                    <w:bottom w:val="none" w:sz="0" w:space="0" w:color="auto"/>
                                                                                    <w:right w:val="none" w:sz="0" w:space="0" w:color="auto"/>
                                                                                  </w:divBdr>
                                                                                  <w:divsChild>
                                                                                    <w:div w:id="1220440500">
                                                                                      <w:marLeft w:val="0"/>
                                                                                      <w:marRight w:val="0"/>
                                                                                      <w:marTop w:val="0"/>
                                                                                      <w:marBottom w:val="0"/>
                                                                                      <w:divBdr>
                                                                                        <w:top w:val="none" w:sz="0" w:space="0" w:color="auto"/>
                                                                                        <w:left w:val="none" w:sz="0" w:space="0" w:color="auto"/>
                                                                                        <w:bottom w:val="none" w:sz="0" w:space="0" w:color="auto"/>
                                                                                        <w:right w:val="none" w:sz="0" w:space="0" w:color="auto"/>
                                                                                      </w:divBdr>
                                                                                      <w:divsChild>
                                                                                        <w:div w:id="513885758">
                                                                                          <w:marLeft w:val="0"/>
                                                                                          <w:marRight w:val="0"/>
                                                                                          <w:marTop w:val="0"/>
                                                                                          <w:marBottom w:val="0"/>
                                                                                          <w:divBdr>
                                                                                            <w:top w:val="none" w:sz="0" w:space="0" w:color="auto"/>
                                                                                            <w:left w:val="none" w:sz="0" w:space="0" w:color="auto"/>
                                                                                            <w:bottom w:val="none" w:sz="0" w:space="0" w:color="auto"/>
                                                                                            <w:right w:val="none" w:sz="0" w:space="0" w:color="auto"/>
                                                                                          </w:divBdr>
                                                                                          <w:divsChild>
                                                                                            <w:div w:id="961614613">
                                                                                              <w:marLeft w:val="0"/>
                                                                                              <w:marRight w:val="0"/>
                                                                                              <w:marTop w:val="0"/>
                                                                                              <w:marBottom w:val="0"/>
                                                                                              <w:divBdr>
                                                                                                <w:top w:val="none" w:sz="0" w:space="0" w:color="auto"/>
                                                                                                <w:left w:val="none" w:sz="0" w:space="0" w:color="auto"/>
                                                                                                <w:bottom w:val="none" w:sz="0" w:space="0" w:color="auto"/>
                                                                                                <w:right w:val="none" w:sz="0" w:space="0" w:color="auto"/>
                                                                                              </w:divBdr>
                                                                                              <w:divsChild>
                                                                                                <w:div w:id="754087178">
                                                                                                  <w:marLeft w:val="0"/>
                                                                                                  <w:marRight w:val="0"/>
                                                                                                  <w:marTop w:val="0"/>
                                                                                                  <w:marBottom w:val="0"/>
                                                                                                  <w:divBdr>
                                                                                                    <w:top w:val="none" w:sz="0" w:space="0" w:color="auto"/>
                                                                                                    <w:left w:val="none" w:sz="0" w:space="0" w:color="auto"/>
                                                                                                    <w:bottom w:val="none" w:sz="0" w:space="0" w:color="auto"/>
                                                                                                    <w:right w:val="none" w:sz="0" w:space="0" w:color="auto"/>
                                                                                                  </w:divBdr>
                                                                                                </w:div>
                                                                                                <w:div w:id="522867217">
                                                                                                  <w:marLeft w:val="0"/>
                                                                                                  <w:marRight w:val="0"/>
                                                                                                  <w:marTop w:val="0"/>
                                                                                                  <w:marBottom w:val="0"/>
                                                                                                  <w:divBdr>
                                                                                                    <w:top w:val="none" w:sz="0" w:space="0" w:color="auto"/>
                                                                                                    <w:left w:val="none" w:sz="0" w:space="0" w:color="auto"/>
                                                                                                    <w:bottom w:val="none" w:sz="0" w:space="0" w:color="auto"/>
                                                                                                    <w:right w:val="none" w:sz="0" w:space="0" w:color="auto"/>
                                                                                                  </w:divBdr>
                                                                                                </w:div>
                                                                                                <w:div w:id="913900042">
                                                                                                  <w:marLeft w:val="0"/>
                                                                                                  <w:marRight w:val="0"/>
                                                                                                  <w:marTop w:val="0"/>
                                                                                                  <w:marBottom w:val="0"/>
                                                                                                  <w:divBdr>
                                                                                                    <w:top w:val="none" w:sz="0" w:space="0" w:color="auto"/>
                                                                                                    <w:left w:val="none" w:sz="0" w:space="0" w:color="auto"/>
                                                                                                    <w:bottom w:val="none" w:sz="0" w:space="0" w:color="auto"/>
                                                                                                    <w:right w:val="none" w:sz="0" w:space="0" w:color="auto"/>
                                                                                                  </w:divBdr>
                                                                                                  <w:divsChild>
                                                                                                    <w:div w:id="1685669572">
                                                                                                      <w:marLeft w:val="0"/>
                                                                                                      <w:marRight w:val="0"/>
                                                                                                      <w:marTop w:val="0"/>
                                                                                                      <w:marBottom w:val="0"/>
                                                                                                      <w:divBdr>
                                                                                                        <w:top w:val="none" w:sz="0" w:space="0" w:color="auto"/>
                                                                                                        <w:left w:val="none" w:sz="0" w:space="0" w:color="auto"/>
                                                                                                        <w:bottom w:val="none" w:sz="0" w:space="0" w:color="auto"/>
                                                                                                        <w:right w:val="none" w:sz="0" w:space="0" w:color="auto"/>
                                                                                                      </w:divBdr>
                                                                                                    </w:div>
                                                                                                    <w:div w:id="334773881">
                                                                                                      <w:marLeft w:val="0"/>
                                                                                                      <w:marRight w:val="0"/>
                                                                                                      <w:marTop w:val="0"/>
                                                                                                      <w:marBottom w:val="0"/>
                                                                                                      <w:divBdr>
                                                                                                        <w:top w:val="none" w:sz="0" w:space="0" w:color="auto"/>
                                                                                                        <w:left w:val="none" w:sz="0" w:space="0" w:color="auto"/>
                                                                                                        <w:bottom w:val="none" w:sz="0" w:space="0" w:color="auto"/>
                                                                                                        <w:right w:val="none" w:sz="0" w:space="0" w:color="auto"/>
                                                                                                      </w:divBdr>
                                                                                                      <w:divsChild>
                                                                                                        <w:div w:id="2034726151">
                                                                                                          <w:marLeft w:val="0"/>
                                                                                                          <w:marRight w:val="0"/>
                                                                                                          <w:marTop w:val="0"/>
                                                                                                          <w:marBottom w:val="0"/>
                                                                                                          <w:divBdr>
                                                                                                            <w:top w:val="none" w:sz="0" w:space="0" w:color="auto"/>
                                                                                                            <w:left w:val="none" w:sz="0" w:space="0" w:color="auto"/>
                                                                                                            <w:bottom w:val="none" w:sz="0" w:space="0" w:color="auto"/>
                                                                                                            <w:right w:val="none" w:sz="0" w:space="0" w:color="auto"/>
                                                                                                          </w:divBdr>
                                                                                                        </w:div>
                                                                                                        <w:div w:id="949778559">
                                                                                                          <w:marLeft w:val="0"/>
                                                                                                          <w:marRight w:val="0"/>
                                                                                                          <w:marTop w:val="0"/>
                                                                                                          <w:marBottom w:val="0"/>
                                                                                                          <w:divBdr>
                                                                                                            <w:top w:val="none" w:sz="0" w:space="0" w:color="auto"/>
                                                                                                            <w:left w:val="none" w:sz="0" w:space="0" w:color="auto"/>
                                                                                                            <w:bottom w:val="none" w:sz="0" w:space="0" w:color="auto"/>
                                                                                                            <w:right w:val="none" w:sz="0" w:space="0" w:color="auto"/>
                                                                                                          </w:divBdr>
                                                                                                        </w:div>
                                                                                                        <w:div w:id="1397044800">
                                                                                                          <w:marLeft w:val="0"/>
                                                                                                          <w:marRight w:val="0"/>
                                                                                                          <w:marTop w:val="0"/>
                                                                                                          <w:marBottom w:val="0"/>
                                                                                                          <w:divBdr>
                                                                                                            <w:top w:val="none" w:sz="0" w:space="0" w:color="auto"/>
                                                                                                            <w:left w:val="none" w:sz="0" w:space="0" w:color="auto"/>
                                                                                                            <w:bottom w:val="none" w:sz="0" w:space="0" w:color="auto"/>
                                                                                                            <w:right w:val="none" w:sz="0" w:space="0" w:color="auto"/>
                                                                                                          </w:divBdr>
                                                                                                        </w:div>
                                                                                                        <w:div w:id="1293169003">
                                                                                                          <w:marLeft w:val="0"/>
                                                                                                          <w:marRight w:val="0"/>
                                                                                                          <w:marTop w:val="0"/>
                                                                                                          <w:marBottom w:val="0"/>
                                                                                                          <w:divBdr>
                                                                                                            <w:top w:val="none" w:sz="0" w:space="0" w:color="auto"/>
                                                                                                            <w:left w:val="none" w:sz="0" w:space="0" w:color="auto"/>
                                                                                                            <w:bottom w:val="none" w:sz="0" w:space="0" w:color="auto"/>
                                                                                                            <w:right w:val="none" w:sz="0" w:space="0" w:color="auto"/>
                                                                                                          </w:divBdr>
                                                                                                        </w:div>
                                                                                                        <w:div w:id="2106612843">
                                                                                                          <w:marLeft w:val="0"/>
                                                                                                          <w:marRight w:val="0"/>
                                                                                                          <w:marTop w:val="0"/>
                                                                                                          <w:marBottom w:val="0"/>
                                                                                                          <w:divBdr>
                                                                                                            <w:top w:val="none" w:sz="0" w:space="0" w:color="auto"/>
                                                                                                            <w:left w:val="none" w:sz="0" w:space="0" w:color="auto"/>
                                                                                                            <w:bottom w:val="none" w:sz="0" w:space="0" w:color="auto"/>
                                                                                                            <w:right w:val="none" w:sz="0" w:space="0" w:color="auto"/>
                                                                                                          </w:divBdr>
                                                                                                        </w:div>
                                                                                                      </w:divsChild>
                                                                                                    </w:div>
                                                                                                    <w:div w:id="1070078537">
                                                                                                      <w:marLeft w:val="0"/>
                                                                                                      <w:marRight w:val="0"/>
                                                                                                      <w:marTop w:val="0"/>
                                                                                                      <w:marBottom w:val="0"/>
                                                                                                      <w:divBdr>
                                                                                                        <w:top w:val="none" w:sz="0" w:space="0" w:color="auto"/>
                                                                                                        <w:left w:val="none" w:sz="0" w:space="0" w:color="auto"/>
                                                                                                        <w:bottom w:val="none" w:sz="0" w:space="0" w:color="auto"/>
                                                                                                        <w:right w:val="none" w:sz="0" w:space="0" w:color="auto"/>
                                                                                                      </w:divBdr>
                                                                                                    </w:div>
                                                                                                    <w:div w:id="20644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47300">
      <w:bodyDiv w:val="1"/>
      <w:marLeft w:val="0"/>
      <w:marRight w:val="0"/>
      <w:marTop w:val="0"/>
      <w:marBottom w:val="0"/>
      <w:divBdr>
        <w:top w:val="none" w:sz="0" w:space="0" w:color="auto"/>
        <w:left w:val="none" w:sz="0" w:space="0" w:color="auto"/>
        <w:bottom w:val="none" w:sz="0" w:space="0" w:color="auto"/>
        <w:right w:val="none" w:sz="0" w:space="0" w:color="auto"/>
      </w:divBdr>
    </w:div>
    <w:div w:id="170947676">
      <w:bodyDiv w:val="1"/>
      <w:marLeft w:val="0"/>
      <w:marRight w:val="0"/>
      <w:marTop w:val="0"/>
      <w:marBottom w:val="0"/>
      <w:divBdr>
        <w:top w:val="none" w:sz="0" w:space="0" w:color="auto"/>
        <w:left w:val="none" w:sz="0" w:space="0" w:color="auto"/>
        <w:bottom w:val="none" w:sz="0" w:space="0" w:color="auto"/>
        <w:right w:val="none" w:sz="0" w:space="0" w:color="auto"/>
      </w:divBdr>
    </w:div>
    <w:div w:id="172841548">
      <w:bodyDiv w:val="1"/>
      <w:marLeft w:val="0"/>
      <w:marRight w:val="0"/>
      <w:marTop w:val="0"/>
      <w:marBottom w:val="0"/>
      <w:divBdr>
        <w:top w:val="none" w:sz="0" w:space="0" w:color="auto"/>
        <w:left w:val="none" w:sz="0" w:space="0" w:color="auto"/>
        <w:bottom w:val="none" w:sz="0" w:space="0" w:color="auto"/>
        <w:right w:val="none" w:sz="0" w:space="0" w:color="auto"/>
      </w:divBdr>
    </w:div>
    <w:div w:id="176820617">
      <w:bodyDiv w:val="1"/>
      <w:marLeft w:val="0"/>
      <w:marRight w:val="0"/>
      <w:marTop w:val="0"/>
      <w:marBottom w:val="0"/>
      <w:divBdr>
        <w:top w:val="none" w:sz="0" w:space="0" w:color="auto"/>
        <w:left w:val="none" w:sz="0" w:space="0" w:color="auto"/>
        <w:bottom w:val="none" w:sz="0" w:space="0" w:color="auto"/>
        <w:right w:val="none" w:sz="0" w:space="0" w:color="auto"/>
      </w:divBdr>
    </w:div>
    <w:div w:id="183322594">
      <w:bodyDiv w:val="1"/>
      <w:marLeft w:val="0"/>
      <w:marRight w:val="0"/>
      <w:marTop w:val="0"/>
      <w:marBottom w:val="0"/>
      <w:divBdr>
        <w:top w:val="none" w:sz="0" w:space="0" w:color="auto"/>
        <w:left w:val="none" w:sz="0" w:space="0" w:color="auto"/>
        <w:bottom w:val="none" w:sz="0" w:space="0" w:color="auto"/>
        <w:right w:val="none" w:sz="0" w:space="0" w:color="auto"/>
      </w:divBdr>
    </w:div>
    <w:div w:id="202715972">
      <w:bodyDiv w:val="1"/>
      <w:marLeft w:val="0"/>
      <w:marRight w:val="0"/>
      <w:marTop w:val="0"/>
      <w:marBottom w:val="0"/>
      <w:divBdr>
        <w:top w:val="none" w:sz="0" w:space="0" w:color="auto"/>
        <w:left w:val="none" w:sz="0" w:space="0" w:color="auto"/>
        <w:bottom w:val="none" w:sz="0" w:space="0" w:color="auto"/>
        <w:right w:val="none" w:sz="0" w:space="0" w:color="auto"/>
      </w:divBdr>
    </w:div>
    <w:div w:id="230504311">
      <w:bodyDiv w:val="1"/>
      <w:marLeft w:val="0"/>
      <w:marRight w:val="0"/>
      <w:marTop w:val="0"/>
      <w:marBottom w:val="0"/>
      <w:divBdr>
        <w:top w:val="none" w:sz="0" w:space="0" w:color="auto"/>
        <w:left w:val="none" w:sz="0" w:space="0" w:color="auto"/>
        <w:bottom w:val="none" w:sz="0" w:space="0" w:color="auto"/>
        <w:right w:val="none" w:sz="0" w:space="0" w:color="auto"/>
      </w:divBdr>
    </w:div>
    <w:div w:id="233902891">
      <w:bodyDiv w:val="1"/>
      <w:marLeft w:val="0"/>
      <w:marRight w:val="0"/>
      <w:marTop w:val="0"/>
      <w:marBottom w:val="0"/>
      <w:divBdr>
        <w:top w:val="none" w:sz="0" w:space="0" w:color="auto"/>
        <w:left w:val="none" w:sz="0" w:space="0" w:color="auto"/>
        <w:bottom w:val="none" w:sz="0" w:space="0" w:color="auto"/>
        <w:right w:val="none" w:sz="0" w:space="0" w:color="auto"/>
      </w:divBdr>
    </w:div>
    <w:div w:id="235482916">
      <w:bodyDiv w:val="1"/>
      <w:marLeft w:val="0"/>
      <w:marRight w:val="0"/>
      <w:marTop w:val="0"/>
      <w:marBottom w:val="0"/>
      <w:divBdr>
        <w:top w:val="none" w:sz="0" w:space="0" w:color="auto"/>
        <w:left w:val="none" w:sz="0" w:space="0" w:color="auto"/>
        <w:bottom w:val="none" w:sz="0" w:space="0" w:color="auto"/>
        <w:right w:val="none" w:sz="0" w:space="0" w:color="auto"/>
      </w:divBdr>
    </w:div>
    <w:div w:id="244536172">
      <w:bodyDiv w:val="1"/>
      <w:marLeft w:val="0"/>
      <w:marRight w:val="0"/>
      <w:marTop w:val="0"/>
      <w:marBottom w:val="0"/>
      <w:divBdr>
        <w:top w:val="none" w:sz="0" w:space="0" w:color="auto"/>
        <w:left w:val="none" w:sz="0" w:space="0" w:color="auto"/>
        <w:bottom w:val="none" w:sz="0" w:space="0" w:color="auto"/>
        <w:right w:val="none" w:sz="0" w:space="0" w:color="auto"/>
      </w:divBdr>
    </w:div>
    <w:div w:id="248658252">
      <w:bodyDiv w:val="1"/>
      <w:marLeft w:val="0"/>
      <w:marRight w:val="0"/>
      <w:marTop w:val="0"/>
      <w:marBottom w:val="0"/>
      <w:divBdr>
        <w:top w:val="none" w:sz="0" w:space="0" w:color="auto"/>
        <w:left w:val="none" w:sz="0" w:space="0" w:color="auto"/>
        <w:bottom w:val="none" w:sz="0" w:space="0" w:color="auto"/>
        <w:right w:val="none" w:sz="0" w:space="0" w:color="auto"/>
      </w:divBdr>
    </w:div>
    <w:div w:id="256715771">
      <w:bodyDiv w:val="1"/>
      <w:marLeft w:val="0"/>
      <w:marRight w:val="0"/>
      <w:marTop w:val="0"/>
      <w:marBottom w:val="0"/>
      <w:divBdr>
        <w:top w:val="none" w:sz="0" w:space="0" w:color="auto"/>
        <w:left w:val="none" w:sz="0" w:space="0" w:color="auto"/>
        <w:bottom w:val="none" w:sz="0" w:space="0" w:color="auto"/>
        <w:right w:val="none" w:sz="0" w:space="0" w:color="auto"/>
      </w:divBdr>
    </w:div>
    <w:div w:id="268663451">
      <w:bodyDiv w:val="1"/>
      <w:marLeft w:val="0"/>
      <w:marRight w:val="0"/>
      <w:marTop w:val="0"/>
      <w:marBottom w:val="0"/>
      <w:divBdr>
        <w:top w:val="none" w:sz="0" w:space="0" w:color="auto"/>
        <w:left w:val="none" w:sz="0" w:space="0" w:color="auto"/>
        <w:bottom w:val="none" w:sz="0" w:space="0" w:color="auto"/>
        <w:right w:val="none" w:sz="0" w:space="0" w:color="auto"/>
      </w:divBdr>
    </w:div>
    <w:div w:id="292714602">
      <w:bodyDiv w:val="1"/>
      <w:marLeft w:val="0"/>
      <w:marRight w:val="0"/>
      <w:marTop w:val="0"/>
      <w:marBottom w:val="0"/>
      <w:divBdr>
        <w:top w:val="none" w:sz="0" w:space="0" w:color="auto"/>
        <w:left w:val="none" w:sz="0" w:space="0" w:color="auto"/>
        <w:bottom w:val="none" w:sz="0" w:space="0" w:color="auto"/>
        <w:right w:val="none" w:sz="0" w:space="0" w:color="auto"/>
      </w:divBdr>
    </w:div>
    <w:div w:id="300816871">
      <w:bodyDiv w:val="1"/>
      <w:marLeft w:val="0"/>
      <w:marRight w:val="0"/>
      <w:marTop w:val="0"/>
      <w:marBottom w:val="0"/>
      <w:divBdr>
        <w:top w:val="none" w:sz="0" w:space="0" w:color="auto"/>
        <w:left w:val="none" w:sz="0" w:space="0" w:color="auto"/>
        <w:bottom w:val="none" w:sz="0" w:space="0" w:color="auto"/>
        <w:right w:val="none" w:sz="0" w:space="0" w:color="auto"/>
      </w:divBdr>
    </w:div>
    <w:div w:id="304235477">
      <w:bodyDiv w:val="1"/>
      <w:marLeft w:val="0"/>
      <w:marRight w:val="0"/>
      <w:marTop w:val="0"/>
      <w:marBottom w:val="0"/>
      <w:divBdr>
        <w:top w:val="none" w:sz="0" w:space="0" w:color="auto"/>
        <w:left w:val="none" w:sz="0" w:space="0" w:color="auto"/>
        <w:bottom w:val="none" w:sz="0" w:space="0" w:color="auto"/>
        <w:right w:val="none" w:sz="0" w:space="0" w:color="auto"/>
      </w:divBdr>
      <w:divsChild>
        <w:div w:id="742025964">
          <w:marLeft w:val="0"/>
          <w:marRight w:val="0"/>
          <w:marTop w:val="0"/>
          <w:marBottom w:val="0"/>
          <w:divBdr>
            <w:top w:val="none" w:sz="0" w:space="0" w:color="auto"/>
            <w:left w:val="none" w:sz="0" w:space="0" w:color="auto"/>
            <w:bottom w:val="none" w:sz="0" w:space="0" w:color="auto"/>
            <w:right w:val="none" w:sz="0" w:space="0" w:color="auto"/>
          </w:divBdr>
        </w:div>
        <w:div w:id="97877190">
          <w:marLeft w:val="0"/>
          <w:marRight w:val="0"/>
          <w:marTop w:val="0"/>
          <w:marBottom w:val="0"/>
          <w:divBdr>
            <w:top w:val="none" w:sz="0" w:space="0" w:color="auto"/>
            <w:left w:val="none" w:sz="0" w:space="0" w:color="auto"/>
            <w:bottom w:val="none" w:sz="0" w:space="0" w:color="auto"/>
            <w:right w:val="none" w:sz="0" w:space="0" w:color="auto"/>
          </w:divBdr>
        </w:div>
        <w:div w:id="1516308174">
          <w:marLeft w:val="0"/>
          <w:marRight w:val="0"/>
          <w:marTop w:val="0"/>
          <w:marBottom w:val="0"/>
          <w:divBdr>
            <w:top w:val="none" w:sz="0" w:space="0" w:color="auto"/>
            <w:left w:val="none" w:sz="0" w:space="0" w:color="auto"/>
            <w:bottom w:val="none" w:sz="0" w:space="0" w:color="auto"/>
            <w:right w:val="none" w:sz="0" w:space="0" w:color="auto"/>
          </w:divBdr>
        </w:div>
        <w:div w:id="360667744">
          <w:marLeft w:val="0"/>
          <w:marRight w:val="0"/>
          <w:marTop w:val="0"/>
          <w:marBottom w:val="0"/>
          <w:divBdr>
            <w:top w:val="none" w:sz="0" w:space="0" w:color="auto"/>
            <w:left w:val="none" w:sz="0" w:space="0" w:color="auto"/>
            <w:bottom w:val="none" w:sz="0" w:space="0" w:color="auto"/>
            <w:right w:val="none" w:sz="0" w:space="0" w:color="auto"/>
          </w:divBdr>
        </w:div>
        <w:div w:id="949169434">
          <w:marLeft w:val="0"/>
          <w:marRight w:val="0"/>
          <w:marTop w:val="0"/>
          <w:marBottom w:val="0"/>
          <w:divBdr>
            <w:top w:val="none" w:sz="0" w:space="0" w:color="auto"/>
            <w:left w:val="none" w:sz="0" w:space="0" w:color="auto"/>
            <w:bottom w:val="none" w:sz="0" w:space="0" w:color="auto"/>
            <w:right w:val="none" w:sz="0" w:space="0" w:color="auto"/>
          </w:divBdr>
        </w:div>
        <w:div w:id="1086729263">
          <w:marLeft w:val="0"/>
          <w:marRight w:val="0"/>
          <w:marTop w:val="0"/>
          <w:marBottom w:val="0"/>
          <w:divBdr>
            <w:top w:val="none" w:sz="0" w:space="0" w:color="auto"/>
            <w:left w:val="none" w:sz="0" w:space="0" w:color="auto"/>
            <w:bottom w:val="none" w:sz="0" w:space="0" w:color="auto"/>
            <w:right w:val="none" w:sz="0" w:space="0" w:color="auto"/>
          </w:divBdr>
        </w:div>
        <w:div w:id="500702324">
          <w:marLeft w:val="0"/>
          <w:marRight w:val="0"/>
          <w:marTop w:val="0"/>
          <w:marBottom w:val="0"/>
          <w:divBdr>
            <w:top w:val="none" w:sz="0" w:space="0" w:color="auto"/>
            <w:left w:val="none" w:sz="0" w:space="0" w:color="auto"/>
            <w:bottom w:val="none" w:sz="0" w:space="0" w:color="auto"/>
            <w:right w:val="none" w:sz="0" w:space="0" w:color="auto"/>
          </w:divBdr>
        </w:div>
        <w:div w:id="698776465">
          <w:marLeft w:val="0"/>
          <w:marRight w:val="0"/>
          <w:marTop w:val="0"/>
          <w:marBottom w:val="0"/>
          <w:divBdr>
            <w:top w:val="none" w:sz="0" w:space="0" w:color="auto"/>
            <w:left w:val="none" w:sz="0" w:space="0" w:color="auto"/>
            <w:bottom w:val="none" w:sz="0" w:space="0" w:color="auto"/>
            <w:right w:val="none" w:sz="0" w:space="0" w:color="auto"/>
          </w:divBdr>
        </w:div>
        <w:div w:id="125709429">
          <w:marLeft w:val="0"/>
          <w:marRight w:val="0"/>
          <w:marTop w:val="0"/>
          <w:marBottom w:val="0"/>
          <w:divBdr>
            <w:top w:val="none" w:sz="0" w:space="0" w:color="auto"/>
            <w:left w:val="none" w:sz="0" w:space="0" w:color="auto"/>
            <w:bottom w:val="none" w:sz="0" w:space="0" w:color="auto"/>
            <w:right w:val="none" w:sz="0" w:space="0" w:color="auto"/>
          </w:divBdr>
        </w:div>
        <w:div w:id="744960668">
          <w:marLeft w:val="0"/>
          <w:marRight w:val="0"/>
          <w:marTop w:val="0"/>
          <w:marBottom w:val="0"/>
          <w:divBdr>
            <w:top w:val="none" w:sz="0" w:space="0" w:color="auto"/>
            <w:left w:val="none" w:sz="0" w:space="0" w:color="auto"/>
            <w:bottom w:val="none" w:sz="0" w:space="0" w:color="auto"/>
            <w:right w:val="none" w:sz="0" w:space="0" w:color="auto"/>
          </w:divBdr>
        </w:div>
        <w:div w:id="602810984">
          <w:marLeft w:val="0"/>
          <w:marRight w:val="0"/>
          <w:marTop w:val="0"/>
          <w:marBottom w:val="0"/>
          <w:divBdr>
            <w:top w:val="none" w:sz="0" w:space="0" w:color="auto"/>
            <w:left w:val="none" w:sz="0" w:space="0" w:color="auto"/>
            <w:bottom w:val="none" w:sz="0" w:space="0" w:color="auto"/>
            <w:right w:val="none" w:sz="0" w:space="0" w:color="auto"/>
          </w:divBdr>
        </w:div>
        <w:div w:id="1704404492">
          <w:marLeft w:val="0"/>
          <w:marRight w:val="0"/>
          <w:marTop w:val="0"/>
          <w:marBottom w:val="0"/>
          <w:divBdr>
            <w:top w:val="none" w:sz="0" w:space="0" w:color="auto"/>
            <w:left w:val="none" w:sz="0" w:space="0" w:color="auto"/>
            <w:bottom w:val="none" w:sz="0" w:space="0" w:color="auto"/>
            <w:right w:val="none" w:sz="0" w:space="0" w:color="auto"/>
          </w:divBdr>
        </w:div>
        <w:div w:id="761683517">
          <w:marLeft w:val="0"/>
          <w:marRight w:val="0"/>
          <w:marTop w:val="0"/>
          <w:marBottom w:val="0"/>
          <w:divBdr>
            <w:top w:val="none" w:sz="0" w:space="0" w:color="auto"/>
            <w:left w:val="none" w:sz="0" w:space="0" w:color="auto"/>
            <w:bottom w:val="none" w:sz="0" w:space="0" w:color="auto"/>
            <w:right w:val="none" w:sz="0" w:space="0" w:color="auto"/>
          </w:divBdr>
        </w:div>
        <w:div w:id="2028481157">
          <w:marLeft w:val="0"/>
          <w:marRight w:val="0"/>
          <w:marTop w:val="0"/>
          <w:marBottom w:val="0"/>
          <w:divBdr>
            <w:top w:val="none" w:sz="0" w:space="0" w:color="auto"/>
            <w:left w:val="none" w:sz="0" w:space="0" w:color="auto"/>
            <w:bottom w:val="none" w:sz="0" w:space="0" w:color="auto"/>
            <w:right w:val="none" w:sz="0" w:space="0" w:color="auto"/>
          </w:divBdr>
        </w:div>
        <w:div w:id="1242838279">
          <w:marLeft w:val="0"/>
          <w:marRight w:val="0"/>
          <w:marTop w:val="0"/>
          <w:marBottom w:val="0"/>
          <w:divBdr>
            <w:top w:val="none" w:sz="0" w:space="0" w:color="auto"/>
            <w:left w:val="none" w:sz="0" w:space="0" w:color="auto"/>
            <w:bottom w:val="none" w:sz="0" w:space="0" w:color="auto"/>
            <w:right w:val="none" w:sz="0" w:space="0" w:color="auto"/>
          </w:divBdr>
        </w:div>
        <w:div w:id="1946570144">
          <w:marLeft w:val="0"/>
          <w:marRight w:val="0"/>
          <w:marTop w:val="0"/>
          <w:marBottom w:val="0"/>
          <w:divBdr>
            <w:top w:val="none" w:sz="0" w:space="0" w:color="auto"/>
            <w:left w:val="none" w:sz="0" w:space="0" w:color="auto"/>
            <w:bottom w:val="none" w:sz="0" w:space="0" w:color="auto"/>
            <w:right w:val="none" w:sz="0" w:space="0" w:color="auto"/>
          </w:divBdr>
          <w:divsChild>
            <w:div w:id="1217082805">
              <w:marLeft w:val="0"/>
              <w:marRight w:val="0"/>
              <w:marTop w:val="0"/>
              <w:marBottom w:val="0"/>
              <w:divBdr>
                <w:top w:val="none" w:sz="0" w:space="0" w:color="auto"/>
                <w:left w:val="none" w:sz="0" w:space="0" w:color="auto"/>
                <w:bottom w:val="none" w:sz="0" w:space="0" w:color="auto"/>
                <w:right w:val="none" w:sz="0" w:space="0" w:color="auto"/>
              </w:divBdr>
              <w:divsChild>
                <w:div w:id="1475442701">
                  <w:marLeft w:val="0"/>
                  <w:marRight w:val="0"/>
                  <w:marTop w:val="0"/>
                  <w:marBottom w:val="0"/>
                  <w:divBdr>
                    <w:top w:val="none" w:sz="0" w:space="0" w:color="auto"/>
                    <w:left w:val="none" w:sz="0" w:space="0" w:color="auto"/>
                    <w:bottom w:val="none" w:sz="0" w:space="0" w:color="auto"/>
                    <w:right w:val="none" w:sz="0" w:space="0" w:color="auto"/>
                  </w:divBdr>
                  <w:divsChild>
                    <w:div w:id="1563250736">
                      <w:marLeft w:val="0"/>
                      <w:marRight w:val="0"/>
                      <w:marTop w:val="0"/>
                      <w:marBottom w:val="0"/>
                      <w:divBdr>
                        <w:top w:val="none" w:sz="0" w:space="0" w:color="auto"/>
                        <w:left w:val="none" w:sz="0" w:space="0" w:color="auto"/>
                        <w:bottom w:val="none" w:sz="0" w:space="0" w:color="auto"/>
                        <w:right w:val="none" w:sz="0" w:space="0" w:color="auto"/>
                      </w:divBdr>
                      <w:divsChild>
                        <w:div w:id="312638288">
                          <w:marLeft w:val="0"/>
                          <w:marRight w:val="0"/>
                          <w:marTop w:val="0"/>
                          <w:marBottom w:val="0"/>
                          <w:divBdr>
                            <w:top w:val="none" w:sz="0" w:space="0" w:color="auto"/>
                            <w:left w:val="none" w:sz="0" w:space="0" w:color="auto"/>
                            <w:bottom w:val="none" w:sz="0" w:space="0" w:color="auto"/>
                            <w:right w:val="none" w:sz="0" w:space="0" w:color="auto"/>
                          </w:divBdr>
                          <w:divsChild>
                            <w:div w:id="152262616">
                              <w:marLeft w:val="0"/>
                              <w:marRight w:val="0"/>
                              <w:marTop w:val="0"/>
                              <w:marBottom w:val="0"/>
                              <w:divBdr>
                                <w:top w:val="none" w:sz="0" w:space="0" w:color="auto"/>
                                <w:left w:val="none" w:sz="0" w:space="0" w:color="auto"/>
                                <w:bottom w:val="none" w:sz="0" w:space="0" w:color="auto"/>
                                <w:right w:val="none" w:sz="0" w:space="0" w:color="auto"/>
                              </w:divBdr>
                              <w:divsChild>
                                <w:div w:id="879365852">
                                  <w:marLeft w:val="0"/>
                                  <w:marRight w:val="0"/>
                                  <w:marTop w:val="0"/>
                                  <w:marBottom w:val="0"/>
                                  <w:divBdr>
                                    <w:top w:val="none" w:sz="0" w:space="0" w:color="auto"/>
                                    <w:left w:val="none" w:sz="0" w:space="0" w:color="auto"/>
                                    <w:bottom w:val="none" w:sz="0" w:space="0" w:color="auto"/>
                                    <w:right w:val="none" w:sz="0" w:space="0" w:color="auto"/>
                                  </w:divBdr>
                                  <w:divsChild>
                                    <w:div w:id="130559988">
                                      <w:marLeft w:val="0"/>
                                      <w:marRight w:val="0"/>
                                      <w:marTop w:val="0"/>
                                      <w:marBottom w:val="0"/>
                                      <w:divBdr>
                                        <w:top w:val="none" w:sz="0" w:space="0" w:color="auto"/>
                                        <w:left w:val="none" w:sz="0" w:space="0" w:color="auto"/>
                                        <w:bottom w:val="none" w:sz="0" w:space="0" w:color="auto"/>
                                        <w:right w:val="none" w:sz="0" w:space="0" w:color="auto"/>
                                      </w:divBdr>
                                      <w:divsChild>
                                        <w:div w:id="1274942489">
                                          <w:marLeft w:val="0"/>
                                          <w:marRight w:val="0"/>
                                          <w:marTop w:val="0"/>
                                          <w:marBottom w:val="0"/>
                                          <w:divBdr>
                                            <w:top w:val="none" w:sz="0" w:space="0" w:color="auto"/>
                                            <w:left w:val="none" w:sz="0" w:space="0" w:color="auto"/>
                                            <w:bottom w:val="none" w:sz="0" w:space="0" w:color="auto"/>
                                            <w:right w:val="none" w:sz="0" w:space="0" w:color="auto"/>
                                          </w:divBdr>
                                          <w:divsChild>
                                            <w:div w:id="1995834660">
                                              <w:marLeft w:val="0"/>
                                              <w:marRight w:val="0"/>
                                              <w:marTop w:val="0"/>
                                              <w:marBottom w:val="0"/>
                                              <w:divBdr>
                                                <w:top w:val="none" w:sz="0" w:space="0" w:color="auto"/>
                                                <w:left w:val="none" w:sz="0" w:space="0" w:color="auto"/>
                                                <w:bottom w:val="none" w:sz="0" w:space="0" w:color="auto"/>
                                                <w:right w:val="none" w:sz="0" w:space="0" w:color="auto"/>
                                              </w:divBdr>
                                              <w:divsChild>
                                                <w:div w:id="1126778271">
                                                  <w:marLeft w:val="0"/>
                                                  <w:marRight w:val="0"/>
                                                  <w:marTop w:val="0"/>
                                                  <w:marBottom w:val="0"/>
                                                  <w:divBdr>
                                                    <w:top w:val="none" w:sz="0" w:space="0" w:color="auto"/>
                                                    <w:left w:val="none" w:sz="0" w:space="0" w:color="auto"/>
                                                    <w:bottom w:val="none" w:sz="0" w:space="0" w:color="auto"/>
                                                    <w:right w:val="none" w:sz="0" w:space="0" w:color="auto"/>
                                                  </w:divBdr>
                                                  <w:divsChild>
                                                    <w:div w:id="1391996986">
                                                      <w:marLeft w:val="0"/>
                                                      <w:marRight w:val="0"/>
                                                      <w:marTop w:val="0"/>
                                                      <w:marBottom w:val="0"/>
                                                      <w:divBdr>
                                                        <w:top w:val="none" w:sz="0" w:space="0" w:color="auto"/>
                                                        <w:left w:val="none" w:sz="0" w:space="0" w:color="auto"/>
                                                        <w:bottom w:val="none" w:sz="0" w:space="0" w:color="auto"/>
                                                        <w:right w:val="none" w:sz="0" w:space="0" w:color="auto"/>
                                                      </w:divBdr>
                                                      <w:divsChild>
                                                        <w:div w:id="1034578520">
                                                          <w:marLeft w:val="0"/>
                                                          <w:marRight w:val="0"/>
                                                          <w:marTop w:val="0"/>
                                                          <w:marBottom w:val="0"/>
                                                          <w:divBdr>
                                                            <w:top w:val="none" w:sz="0" w:space="0" w:color="auto"/>
                                                            <w:left w:val="none" w:sz="0" w:space="0" w:color="auto"/>
                                                            <w:bottom w:val="none" w:sz="0" w:space="0" w:color="auto"/>
                                                            <w:right w:val="none" w:sz="0" w:space="0" w:color="auto"/>
                                                          </w:divBdr>
                                                          <w:divsChild>
                                                            <w:div w:id="1085538899">
                                                              <w:marLeft w:val="0"/>
                                                              <w:marRight w:val="0"/>
                                                              <w:marTop w:val="0"/>
                                                              <w:marBottom w:val="0"/>
                                                              <w:divBdr>
                                                                <w:top w:val="none" w:sz="0" w:space="0" w:color="auto"/>
                                                                <w:left w:val="none" w:sz="0" w:space="0" w:color="auto"/>
                                                                <w:bottom w:val="none" w:sz="0" w:space="0" w:color="auto"/>
                                                                <w:right w:val="none" w:sz="0" w:space="0" w:color="auto"/>
                                                              </w:divBdr>
                                                              <w:divsChild>
                                                                <w:div w:id="831259660">
                                                                  <w:marLeft w:val="0"/>
                                                                  <w:marRight w:val="0"/>
                                                                  <w:marTop w:val="0"/>
                                                                  <w:marBottom w:val="0"/>
                                                                  <w:divBdr>
                                                                    <w:top w:val="none" w:sz="0" w:space="0" w:color="auto"/>
                                                                    <w:left w:val="none" w:sz="0" w:space="0" w:color="auto"/>
                                                                    <w:bottom w:val="none" w:sz="0" w:space="0" w:color="auto"/>
                                                                    <w:right w:val="none" w:sz="0" w:space="0" w:color="auto"/>
                                                                  </w:divBdr>
                                                                  <w:divsChild>
                                                                    <w:div w:id="347828210">
                                                                      <w:marLeft w:val="0"/>
                                                                      <w:marRight w:val="0"/>
                                                                      <w:marTop w:val="0"/>
                                                                      <w:marBottom w:val="0"/>
                                                                      <w:divBdr>
                                                                        <w:top w:val="none" w:sz="0" w:space="0" w:color="auto"/>
                                                                        <w:left w:val="none" w:sz="0" w:space="0" w:color="auto"/>
                                                                        <w:bottom w:val="none" w:sz="0" w:space="0" w:color="auto"/>
                                                                        <w:right w:val="none" w:sz="0" w:space="0" w:color="auto"/>
                                                                      </w:divBdr>
                                                                      <w:divsChild>
                                                                        <w:div w:id="1847550179">
                                                                          <w:marLeft w:val="0"/>
                                                                          <w:marRight w:val="0"/>
                                                                          <w:marTop w:val="0"/>
                                                                          <w:marBottom w:val="0"/>
                                                                          <w:divBdr>
                                                                            <w:top w:val="none" w:sz="0" w:space="0" w:color="auto"/>
                                                                            <w:left w:val="none" w:sz="0" w:space="0" w:color="auto"/>
                                                                            <w:bottom w:val="none" w:sz="0" w:space="0" w:color="auto"/>
                                                                            <w:right w:val="none" w:sz="0" w:space="0" w:color="auto"/>
                                                                          </w:divBdr>
                                                                          <w:divsChild>
                                                                            <w:div w:id="1681397054">
                                                                              <w:marLeft w:val="0"/>
                                                                              <w:marRight w:val="0"/>
                                                                              <w:marTop w:val="0"/>
                                                                              <w:marBottom w:val="0"/>
                                                                              <w:divBdr>
                                                                                <w:top w:val="none" w:sz="0" w:space="0" w:color="auto"/>
                                                                                <w:left w:val="none" w:sz="0" w:space="0" w:color="auto"/>
                                                                                <w:bottom w:val="none" w:sz="0" w:space="0" w:color="auto"/>
                                                                                <w:right w:val="none" w:sz="0" w:space="0" w:color="auto"/>
                                                                              </w:divBdr>
                                                                              <w:divsChild>
                                                                                <w:div w:id="526064010">
                                                                                  <w:marLeft w:val="0"/>
                                                                                  <w:marRight w:val="0"/>
                                                                                  <w:marTop w:val="0"/>
                                                                                  <w:marBottom w:val="0"/>
                                                                                  <w:divBdr>
                                                                                    <w:top w:val="none" w:sz="0" w:space="0" w:color="auto"/>
                                                                                    <w:left w:val="none" w:sz="0" w:space="0" w:color="auto"/>
                                                                                    <w:bottom w:val="none" w:sz="0" w:space="0" w:color="auto"/>
                                                                                    <w:right w:val="none" w:sz="0" w:space="0" w:color="auto"/>
                                                                                  </w:divBdr>
                                                                                  <w:divsChild>
                                                                                    <w:div w:id="122162444">
                                                                                      <w:marLeft w:val="0"/>
                                                                                      <w:marRight w:val="0"/>
                                                                                      <w:marTop w:val="0"/>
                                                                                      <w:marBottom w:val="0"/>
                                                                                      <w:divBdr>
                                                                                        <w:top w:val="none" w:sz="0" w:space="0" w:color="auto"/>
                                                                                        <w:left w:val="none" w:sz="0" w:space="0" w:color="auto"/>
                                                                                        <w:bottom w:val="none" w:sz="0" w:space="0" w:color="auto"/>
                                                                                        <w:right w:val="none" w:sz="0" w:space="0" w:color="auto"/>
                                                                                      </w:divBdr>
                                                                                      <w:divsChild>
                                                                                        <w:div w:id="1027103924">
                                                                                          <w:marLeft w:val="0"/>
                                                                                          <w:marRight w:val="0"/>
                                                                                          <w:marTop w:val="0"/>
                                                                                          <w:marBottom w:val="0"/>
                                                                                          <w:divBdr>
                                                                                            <w:top w:val="none" w:sz="0" w:space="0" w:color="auto"/>
                                                                                            <w:left w:val="none" w:sz="0" w:space="0" w:color="auto"/>
                                                                                            <w:bottom w:val="none" w:sz="0" w:space="0" w:color="auto"/>
                                                                                            <w:right w:val="none" w:sz="0" w:space="0" w:color="auto"/>
                                                                                          </w:divBdr>
                                                                                          <w:divsChild>
                                                                                            <w:div w:id="399787461">
                                                                                              <w:marLeft w:val="0"/>
                                                                                              <w:marRight w:val="0"/>
                                                                                              <w:marTop w:val="0"/>
                                                                                              <w:marBottom w:val="0"/>
                                                                                              <w:divBdr>
                                                                                                <w:top w:val="none" w:sz="0" w:space="0" w:color="auto"/>
                                                                                                <w:left w:val="none" w:sz="0" w:space="0" w:color="auto"/>
                                                                                                <w:bottom w:val="none" w:sz="0" w:space="0" w:color="auto"/>
                                                                                                <w:right w:val="none" w:sz="0" w:space="0" w:color="auto"/>
                                                                                              </w:divBdr>
                                                                                              <w:divsChild>
                                                                                                <w:div w:id="2005622015">
                                                                                                  <w:marLeft w:val="0"/>
                                                                                                  <w:marRight w:val="0"/>
                                                                                                  <w:marTop w:val="0"/>
                                                                                                  <w:marBottom w:val="0"/>
                                                                                                  <w:divBdr>
                                                                                                    <w:top w:val="none" w:sz="0" w:space="0" w:color="auto"/>
                                                                                                    <w:left w:val="none" w:sz="0" w:space="0" w:color="auto"/>
                                                                                                    <w:bottom w:val="none" w:sz="0" w:space="0" w:color="auto"/>
                                                                                                    <w:right w:val="none" w:sz="0" w:space="0" w:color="auto"/>
                                                                                                  </w:divBdr>
                                                                                                </w:div>
                                                                                                <w:div w:id="1330325196">
                                                                                                  <w:marLeft w:val="0"/>
                                                                                                  <w:marRight w:val="0"/>
                                                                                                  <w:marTop w:val="0"/>
                                                                                                  <w:marBottom w:val="0"/>
                                                                                                  <w:divBdr>
                                                                                                    <w:top w:val="none" w:sz="0" w:space="0" w:color="auto"/>
                                                                                                    <w:left w:val="none" w:sz="0" w:space="0" w:color="auto"/>
                                                                                                    <w:bottom w:val="none" w:sz="0" w:space="0" w:color="auto"/>
                                                                                                    <w:right w:val="none" w:sz="0" w:space="0" w:color="auto"/>
                                                                                                  </w:divBdr>
                                                                                                </w:div>
                                                                                                <w:div w:id="562719579">
                                                                                                  <w:marLeft w:val="0"/>
                                                                                                  <w:marRight w:val="0"/>
                                                                                                  <w:marTop w:val="0"/>
                                                                                                  <w:marBottom w:val="0"/>
                                                                                                  <w:divBdr>
                                                                                                    <w:top w:val="none" w:sz="0" w:space="0" w:color="auto"/>
                                                                                                    <w:left w:val="none" w:sz="0" w:space="0" w:color="auto"/>
                                                                                                    <w:bottom w:val="none" w:sz="0" w:space="0" w:color="auto"/>
                                                                                                    <w:right w:val="none" w:sz="0" w:space="0" w:color="auto"/>
                                                                                                  </w:divBdr>
                                                                                                  <w:divsChild>
                                                                                                    <w:div w:id="1625234505">
                                                                                                      <w:marLeft w:val="0"/>
                                                                                                      <w:marRight w:val="0"/>
                                                                                                      <w:marTop w:val="0"/>
                                                                                                      <w:marBottom w:val="0"/>
                                                                                                      <w:divBdr>
                                                                                                        <w:top w:val="none" w:sz="0" w:space="0" w:color="auto"/>
                                                                                                        <w:left w:val="none" w:sz="0" w:space="0" w:color="auto"/>
                                                                                                        <w:bottom w:val="none" w:sz="0" w:space="0" w:color="auto"/>
                                                                                                        <w:right w:val="none" w:sz="0" w:space="0" w:color="auto"/>
                                                                                                      </w:divBdr>
                                                                                                    </w:div>
                                                                                                    <w:div w:id="1438408667">
                                                                                                      <w:marLeft w:val="0"/>
                                                                                                      <w:marRight w:val="0"/>
                                                                                                      <w:marTop w:val="0"/>
                                                                                                      <w:marBottom w:val="0"/>
                                                                                                      <w:divBdr>
                                                                                                        <w:top w:val="none" w:sz="0" w:space="0" w:color="auto"/>
                                                                                                        <w:left w:val="none" w:sz="0" w:space="0" w:color="auto"/>
                                                                                                        <w:bottom w:val="none" w:sz="0" w:space="0" w:color="auto"/>
                                                                                                        <w:right w:val="none" w:sz="0" w:space="0" w:color="auto"/>
                                                                                                      </w:divBdr>
                                                                                                      <w:divsChild>
                                                                                                        <w:div w:id="849831257">
                                                                                                          <w:marLeft w:val="0"/>
                                                                                                          <w:marRight w:val="0"/>
                                                                                                          <w:marTop w:val="0"/>
                                                                                                          <w:marBottom w:val="0"/>
                                                                                                          <w:divBdr>
                                                                                                            <w:top w:val="none" w:sz="0" w:space="0" w:color="auto"/>
                                                                                                            <w:left w:val="none" w:sz="0" w:space="0" w:color="auto"/>
                                                                                                            <w:bottom w:val="none" w:sz="0" w:space="0" w:color="auto"/>
                                                                                                            <w:right w:val="none" w:sz="0" w:space="0" w:color="auto"/>
                                                                                                          </w:divBdr>
                                                                                                        </w:div>
                                                                                                        <w:div w:id="569074364">
                                                                                                          <w:marLeft w:val="0"/>
                                                                                                          <w:marRight w:val="0"/>
                                                                                                          <w:marTop w:val="0"/>
                                                                                                          <w:marBottom w:val="0"/>
                                                                                                          <w:divBdr>
                                                                                                            <w:top w:val="none" w:sz="0" w:space="0" w:color="auto"/>
                                                                                                            <w:left w:val="none" w:sz="0" w:space="0" w:color="auto"/>
                                                                                                            <w:bottom w:val="none" w:sz="0" w:space="0" w:color="auto"/>
                                                                                                            <w:right w:val="none" w:sz="0" w:space="0" w:color="auto"/>
                                                                                                          </w:divBdr>
                                                                                                        </w:div>
                                                                                                        <w:div w:id="1882476397">
                                                                                                          <w:marLeft w:val="0"/>
                                                                                                          <w:marRight w:val="0"/>
                                                                                                          <w:marTop w:val="0"/>
                                                                                                          <w:marBottom w:val="0"/>
                                                                                                          <w:divBdr>
                                                                                                            <w:top w:val="none" w:sz="0" w:space="0" w:color="auto"/>
                                                                                                            <w:left w:val="none" w:sz="0" w:space="0" w:color="auto"/>
                                                                                                            <w:bottom w:val="none" w:sz="0" w:space="0" w:color="auto"/>
                                                                                                            <w:right w:val="none" w:sz="0" w:space="0" w:color="auto"/>
                                                                                                          </w:divBdr>
                                                                                                        </w:div>
                                                                                                        <w:div w:id="640841131">
                                                                                                          <w:marLeft w:val="0"/>
                                                                                                          <w:marRight w:val="0"/>
                                                                                                          <w:marTop w:val="0"/>
                                                                                                          <w:marBottom w:val="0"/>
                                                                                                          <w:divBdr>
                                                                                                            <w:top w:val="none" w:sz="0" w:space="0" w:color="auto"/>
                                                                                                            <w:left w:val="none" w:sz="0" w:space="0" w:color="auto"/>
                                                                                                            <w:bottom w:val="none" w:sz="0" w:space="0" w:color="auto"/>
                                                                                                            <w:right w:val="none" w:sz="0" w:space="0" w:color="auto"/>
                                                                                                          </w:divBdr>
                                                                                                        </w:div>
                                                                                                        <w:div w:id="1082608187">
                                                                                                          <w:marLeft w:val="0"/>
                                                                                                          <w:marRight w:val="0"/>
                                                                                                          <w:marTop w:val="0"/>
                                                                                                          <w:marBottom w:val="0"/>
                                                                                                          <w:divBdr>
                                                                                                            <w:top w:val="none" w:sz="0" w:space="0" w:color="auto"/>
                                                                                                            <w:left w:val="none" w:sz="0" w:space="0" w:color="auto"/>
                                                                                                            <w:bottom w:val="none" w:sz="0" w:space="0" w:color="auto"/>
                                                                                                            <w:right w:val="none" w:sz="0" w:space="0" w:color="auto"/>
                                                                                                          </w:divBdr>
                                                                                                        </w:div>
                                                                                                      </w:divsChild>
                                                                                                    </w:div>
                                                                                                    <w:div w:id="1983150723">
                                                                                                      <w:marLeft w:val="0"/>
                                                                                                      <w:marRight w:val="0"/>
                                                                                                      <w:marTop w:val="0"/>
                                                                                                      <w:marBottom w:val="0"/>
                                                                                                      <w:divBdr>
                                                                                                        <w:top w:val="none" w:sz="0" w:space="0" w:color="auto"/>
                                                                                                        <w:left w:val="none" w:sz="0" w:space="0" w:color="auto"/>
                                                                                                        <w:bottom w:val="none" w:sz="0" w:space="0" w:color="auto"/>
                                                                                                        <w:right w:val="none" w:sz="0" w:space="0" w:color="auto"/>
                                                                                                      </w:divBdr>
                                                                                                    </w:div>
                                                                                                    <w:div w:id="7620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06043">
      <w:bodyDiv w:val="1"/>
      <w:marLeft w:val="0"/>
      <w:marRight w:val="0"/>
      <w:marTop w:val="0"/>
      <w:marBottom w:val="0"/>
      <w:divBdr>
        <w:top w:val="none" w:sz="0" w:space="0" w:color="auto"/>
        <w:left w:val="none" w:sz="0" w:space="0" w:color="auto"/>
        <w:bottom w:val="none" w:sz="0" w:space="0" w:color="auto"/>
        <w:right w:val="none" w:sz="0" w:space="0" w:color="auto"/>
      </w:divBdr>
    </w:div>
    <w:div w:id="311177951">
      <w:bodyDiv w:val="1"/>
      <w:marLeft w:val="0"/>
      <w:marRight w:val="0"/>
      <w:marTop w:val="0"/>
      <w:marBottom w:val="0"/>
      <w:divBdr>
        <w:top w:val="none" w:sz="0" w:space="0" w:color="auto"/>
        <w:left w:val="none" w:sz="0" w:space="0" w:color="auto"/>
        <w:bottom w:val="none" w:sz="0" w:space="0" w:color="auto"/>
        <w:right w:val="none" w:sz="0" w:space="0" w:color="auto"/>
      </w:divBdr>
    </w:div>
    <w:div w:id="316762939">
      <w:bodyDiv w:val="1"/>
      <w:marLeft w:val="0"/>
      <w:marRight w:val="0"/>
      <w:marTop w:val="0"/>
      <w:marBottom w:val="0"/>
      <w:divBdr>
        <w:top w:val="none" w:sz="0" w:space="0" w:color="auto"/>
        <w:left w:val="none" w:sz="0" w:space="0" w:color="auto"/>
        <w:bottom w:val="none" w:sz="0" w:space="0" w:color="auto"/>
        <w:right w:val="none" w:sz="0" w:space="0" w:color="auto"/>
      </w:divBdr>
    </w:div>
    <w:div w:id="317998017">
      <w:bodyDiv w:val="1"/>
      <w:marLeft w:val="0"/>
      <w:marRight w:val="0"/>
      <w:marTop w:val="0"/>
      <w:marBottom w:val="0"/>
      <w:divBdr>
        <w:top w:val="none" w:sz="0" w:space="0" w:color="auto"/>
        <w:left w:val="none" w:sz="0" w:space="0" w:color="auto"/>
        <w:bottom w:val="none" w:sz="0" w:space="0" w:color="auto"/>
        <w:right w:val="none" w:sz="0" w:space="0" w:color="auto"/>
      </w:divBdr>
    </w:div>
    <w:div w:id="319508592">
      <w:bodyDiv w:val="1"/>
      <w:marLeft w:val="0"/>
      <w:marRight w:val="0"/>
      <w:marTop w:val="0"/>
      <w:marBottom w:val="0"/>
      <w:divBdr>
        <w:top w:val="none" w:sz="0" w:space="0" w:color="auto"/>
        <w:left w:val="none" w:sz="0" w:space="0" w:color="auto"/>
        <w:bottom w:val="none" w:sz="0" w:space="0" w:color="auto"/>
        <w:right w:val="none" w:sz="0" w:space="0" w:color="auto"/>
      </w:divBdr>
    </w:div>
    <w:div w:id="352191279">
      <w:bodyDiv w:val="1"/>
      <w:marLeft w:val="0"/>
      <w:marRight w:val="0"/>
      <w:marTop w:val="0"/>
      <w:marBottom w:val="0"/>
      <w:divBdr>
        <w:top w:val="none" w:sz="0" w:space="0" w:color="auto"/>
        <w:left w:val="none" w:sz="0" w:space="0" w:color="auto"/>
        <w:bottom w:val="none" w:sz="0" w:space="0" w:color="auto"/>
        <w:right w:val="none" w:sz="0" w:space="0" w:color="auto"/>
      </w:divBdr>
    </w:div>
    <w:div w:id="357779427">
      <w:bodyDiv w:val="1"/>
      <w:marLeft w:val="0"/>
      <w:marRight w:val="0"/>
      <w:marTop w:val="0"/>
      <w:marBottom w:val="0"/>
      <w:divBdr>
        <w:top w:val="none" w:sz="0" w:space="0" w:color="auto"/>
        <w:left w:val="none" w:sz="0" w:space="0" w:color="auto"/>
        <w:bottom w:val="none" w:sz="0" w:space="0" w:color="auto"/>
        <w:right w:val="none" w:sz="0" w:space="0" w:color="auto"/>
      </w:divBdr>
    </w:div>
    <w:div w:id="364647616">
      <w:bodyDiv w:val="1"/>
      <w:marLeft w:val="0"/>
      <w:marRight w:val="0"/>
      <w:marTop w:val="0"/>
      <w:marBottom w:val="0"/>
      <w:divBdr>
        <w:top w:val="none" w:sz="0" w:space="0" w:color="auto"/>
        <w:left w:val="none" w:sz="0" w:space="0" w:color="auto"/>
        <w:bottom w:val="none" w:sz="0" w:space="0" w:color="auto"/>
        <w:right w:val="none" w:sz="0" w:space="0" w:color="auto"/>
      </w:divBdr>
    </w:div>
    <w:div w:id="365645145">
      <w:bodyDiv w:val="1"/>
      <w:marLeft w:val="0"/>
      <w:marRight w:val="0"/>
      <w:marTop w:val="0"/>
      <w:marBottom w:val="0"/>
      <w:divBdr>
        <w:top w:val="none" w:sz="0" w:space="0" w:color="auto"/>
        <w:left w:val="none" w:sz="0" w:space="0" w:color="auto"/>
        <w:bottom w:val="none" w:sz="0" w:space="0" w:color="auto"/>
        <w:right w:val="none" w:sz="0" w:space="0" w:color="auto"/>
      </w:divBdr>
    </w:div>
    <w:div w:id="398484195">
      <w:bodyDiv w:val="1"/>
      <w:marLeft w:val="0"/>
      <w:marRight w:val="0"/>
      <w:marTop w:val="0"/>
      <w:marBottom w:val="0"/>
      <w:divBdr>
        <w:top w:val="none" w:sz="0" w:space="0" w:color="auto"/>
        <w:left w:val="none" w:sz="0" w:space="0" w:color="auto"/>
        <w:bottom w:val="none" w:sz="0" w:space="0" w:color="auto"/>
        <w:right w:val="none" w:sz="0" w:space="0" w:color="auto"/>
      </w:divBdr>
    </w:div>
    <w:div w:id="411240472">
      <w:bodyDiv w:val="1"/>
      <w:marLeft w:val="0"/>
      <w:marRight w:val="0"/>
      <w:marTop w:val="0"/>
      <w:marBottom w:val="0"/>
      <w:divBdr>
        <w:top w:val="none" w:sz="0" w:space="0" w:color="auto"/>
        <w:left w:val="none" w:sz="0" w:space="0" w:color="auto"/>
        <w:bottom w:val="none" w:sz="0" w:space="0" w:color="auto"/>
        <w:right w:val="none" w:sz="0" w:space="0" w:color="auto"/>
      </w:divBdr>
    </w:div>
    <w:div w:id="441917342">
      <w:bodyDiv w:val="1"/>
      <w:marLeft w:val="0"/>
      <w:marRight w:val="0"/>
      <w:marTop w:val="0"/>
      <w:marBottom w:val="0"/>
      <w:divBdr>
        <w:top w:val="none" w:sz="0" w:space="0" w:color="auto"/>
        <w:left w:val="none" w:sz="0" w:space="0" w:color="auto"/>
        <w:bottom w:val="none" w:sz="0" w:space="0" w:color="auto"/>
        <w:right w:val="none" w:sz="0" w:space="0" w:color="auto"/>
      </w:divBdr>
    </w:div>
    <w:div w:id="452946034">
      <w:bodyDiv w:val="1"/>
      <w:marLeft w:val="0"/>
      <w:marRight w:val="0"/>
      <w:marTop w:val="0"/>
      <w:marBottom w:val="0"/>
      <w:divBdr>
        <w:top w:val="none" w:sz="0" w:space="0" w:color="auto"/>
        <w:left w:val="none" w:sz="0" w:space="0" w:color="auto"/>
        <w:bottom w:val="none" w:sz="0" w:space="0" w:color="auto"/>
        <w:right w:val="none" w:sz="0" w:space="0" w:color="auto"/>
      </w:divBdr>
    </w:div>
    <w:div w:id="456723462">
      <w:bodyDiv w:val="1"/>
      <w:marLeft w:val="0"/>
      <w:marRight w:val="0"/>
      <w:marTop w:val="0"/>
      <w:marBottom w:val="0"/>
      <w:divBdr>
        <w:top w:val="none" w:sz="0" w:space="0" w:color="auto"/>
        <w:left w:val="none" w:sz="0" w:space="0" w:color="auto"/>
        <w:bottom w:val="none" w:sz="0" w:space="0" w:color="auto"/>
        <w:right w:val="none" w:sz="0" w:space="0" w:color="auto"/>
      </w:divBdr>
    </w:div>
    <w:div w:id="459349436">
      <w:bodyDiv w:val="1"/>
      <w:marLeft w:val="0"/>
      <w:marRight w:val="0"/>
      <w:marTop w:val="0"/>
      <w:marBottom w:val="0"/>
      <w:divBdr>
        <w:top w:val="none" w:sz="0" w:space="0" w:color="auto"/>
        <w:left w:val="none" w:sz="0" w:space="0" w:color="auto"/>
        <w:bottom w:val="none" w:sz="0" w:space="0" w:color="auto"/>
        <w:right w:val="none" w:sz="0" w:space="0" w:color="auto"/>
      </w:divBdr>
    </w:div>
    <w:div w:id="467279696">
      <w:bodyDiv w:val="1"/>
      <w:marLeft w:val="0"/>
      <w:marRight w:val="0"/>
      <w:marTop w:val="0"/>
      <w:marBottom w:val="0"/>
      <w:divBdr>
        <w:top w:val="none" w:sz="0" w:space="0" w:color="auto"/>
        <w:left w:val="none" w:sz="0" w:space="0" w:color="auto"/>
        <w:bottom w:val="none" w:sz="0" w:space="0" w:color="auto"/>
        <w:right w:val="none" w:sz="0" w:space="0" w:color="auto"/>
      </w:divBdr>
    </w:div>
    <w:div w:id="473832160">
      <w:bodyDiv w:val="1"/>
      <w:marLeft w:val="0"/>
      <w:marRight w:val="0"/>
      <w:marTop w:val="0"/>
      <w:marBottom w:val="0"/>
      <w:divBdr>
        <w:top w:val="none" w:sz="0" w:space="0" w:color="auto"/>
        <w:left w:val="none" w:sz="0" w:space="0" w:color="auto"/>
        <w:bottom w:val="none" w:sz="0" w:space="0" w:color="auto"/>
        <w:right w:val="none" w:sz="0" w:space="0" w:color="auto"/>
      </w:divBdr>
    </w:div>
    <w:div w:id="476141995">
      <w:bodyDiv w:val="1"/>
      <w:marLeft w:val="0"/>
      <w:marRight w:val="0"/>
      <w:marTop w:val="0"/>
      <w:marBottom w:val="0"/>
      <w:divBdr>
        <w:top w:val="none" w:sz="0" w:space="0" w:color="auto"/>
        <w:left w:val="none" w:sz="0" w:space="0" w:color="auto"/>
        <w:bottom w:val="none" w:sz="0" w:space="0" w:color="auto"/>
        <w:right w:val="none" w:sz="0" w:space="0" w:color="auto"/>
      </w:divBdr>
    </w:div>
    <w:div w:id="476650405">
      <w:bodyDiv w:val="1"/>
      <w:marLeft w:val="0"/>
      <w:marRight w:val="0"/>
      <w:marTop w:val="0"/>
      <w:marBottom w:val="0"/>
      <w:divBdr>
        <w:top w:val="none" w:sz="0" w:space="0" w:color="auto"/>
        <w:left w:val="none" w:sz="0" w:space="0" w:color="auto"/>
        <w:bottom w:val="none" w:sz="0" w:space="0" w:color="auto"/>
        <w:right w:val="none" w:sz="0" w:space="0" w:color="auto"/>
      </w:divBdr>
    </w:div>
    <w:div w:id="479083824">
      <w:bodyDiv w:val="1"/>
      <w:marLeft w:val="0"/>
      <w:marRight w:val="0"/>
      <w:marTop w:val="0"/>
      <w:marBottom w:val="0"/>
      <w:divBdr>
        <w:top w:val="none" w:sz="0" w:space="0" w:color="auto"/>
        <w:left w:val="none" w:sz="0" w:space="0" w:color="auto"/>
        <w:bottom w:val="none" w:sz="0" w:space="0" w:color="auto"/>
        <w:right w:val="none" w:sz="0" w:space="0" w:color="auto"/>
      </w:divBdr>
    </w:div>
    <w:div w:id="482625237">
      <w:bodyDiv w:val="1"/>
      <w:marLeft w:val="0"/>
      <w:marRight w:val="0"/>
      <w:marTop w:val="0"/>
      <w:marBottom w:val="0"/>
      <w:divBdr>
        <w:top w:val="none" w:sz="0" w:space="0" w:color="auto"/>
        <w:left w:val="none" w:sz="0" w:space="0" w:color="auto"/>
        <w:bottom w:val="none" w:sz="0" w:space="0" w:color="auto"/>
        <w:right w:val="none" w:sz="0" w:space="0" w:color="auto"/>
      </w:divBdr>
    </w:div>
    <w:div w:id="499738716">
      <w:bodyDiv w:val="1"/>
      <w:marLeft w:val="0"/>
      <w:marRight w:val="0"/>
      <w:marTop w:val="0"/>
      <w:marBottom w:val="0"/>
      <w:divBdr>
        <w:top w:val="none" w:sz="0" w:space="0" w:color="auto"/>
        <w:left w:val="none" w:sz="0" w:space="0" w:color="auto"/>
        <w:bottom w:val="none" w:sz="0" w:space="0" w:color="auto"/>
        <w:right w:val="none" w:sz="0" w:space="0" w:color="auto"/>
      </w:divBdr>
    </w:div>
    <w:div w:id="505629426">
      <w:bodyDiv w:val="1"/>
      <w:marLeft w:val="0"/>
      <w:marRight w:val="0"/>
      <w:marTop w:val="0"/>
      <w:marBottom w:val="0"/>
      <w:divBdr>
        <w:top w:val="none" w:sz="0" w:space="0" w:color="auto"/>
        <w:left w:val="none" w:sz="0" w:space="0" w:color="auto"/>
        <w:bottom w:val="none" w:sz="0" w:space="0" w:color="auto"/>
        <w:right w:val="none" w:sz="0" w:space="0" w:color="auto"/>
      </w:divBdr>
    </w:div>
    <w:div w:id="515121415">
      <w:bodyDiv w:val="1"/>
      <w:marLeft w:val="0"/>
      <w:marRight w:val="0"/>
      <w:marTop w:val="0"/>
      <w:marBottom w:val="0"/>
      <w:divBdr>
        <w:top w:val="none" w:sz="0" w:space="0" w:color="auto"/>
        <w:left w:val="none" w:sz="0" w:space="0" w:color="auto"/>
        <w:bottom w:val="none" w:sz="0" w:space="0" w:color="auto"/>
        <w:right w:val="none" w:sz="0" w:space="0" w:color="auto"/>
      </w:divBdr>
    </w:div>
    <w:div w:id="527841979">
      <w:bodyDiv w:val="1"/>
      <w:marLeft w:val="0"/>
      <w:marRight w:val="0"/>
      <w:marTop w:val="0"/>
      <w:marBottom w:val="0"/>
      <w:divBdr>
        <w:top w:val="none" w:sz="0" w:space="0" w:color="auto"/>
        <w:left w:val="none" w:sz="0" w:space="0" w:color="auto"/>
        <w:bottom w:val="none" w:sz="0" w:space="0" w:color="auto"/>
        <w:right w:val="none" w:sz="0" w:space="0" w:color="auto"/>
      </w:divBdr>
    </w:div>
    <w:div w:id="542793980">
      <w:bodyDiv w:val="1"/>
      <w:marLeft w:val="0"/>
      <w:marRight w:val="0"/>
      <w:marTop w:val="0"/>
      <w:marBottom w:val="0"/>
      <w:divBdr>
        <w:top w:val="none" w:sz="0" w:space="0" w:color="auto"/>
        <w:left w:val="none" w:sz="0" w:space="0" w:color="auto"/>
        <w:bottom w:val="none" w:sz="0" w:space="0" w:color="auto"/>
        <w:right w:val="none" w:sz="0" w:space="0" w:color="auto"/>
      </w:divBdr>
    </w:div>
    <w:div w:id="543717093">
      <w:bodyDiv w:val="1"/>
      <w:marLeft w:val="0"/>
      <w:marRight w:val="0"/>
      <w:marTop w:val="0"/>
      <w:marBottom w:val="0"/>
      <w:divBdr>
        <w:top w:val="none" w:sz="0" w:space="0" w:color="auto"/>
        <w:left w:val="none" w:sz="0" w:space="0" w:color="auto"/>
        <w:bottom w:val="none" w:sz="0" w:space="0" w:color="auto"/>
        <w:right w:val="none" w:sz="0" w:space="0" w:color="auto"/>
      </w:divBdr>
    </w:div>
    <w:div w:id="544296985">
      <w:bodyDiv w:val="1"/>
      <w:marLeft w:val="0"/>
      <w:marRight w:val="0"/>
      <w:marTop w:val="0"/>
      <w:marBottom w:val="0"/>
      <w:divBdr>
        <w:top w:val="none" w:sz="0" w:space="0" w:color="auto"/>
        <w:left w:val="none" w:sz="0" w:space="0" w:color="auto"/>
        <w:bottom w:val="none" w:sz="0" w:space="0" w:color="auto"/>
        <w:right w:val="none" w:sz="0" w:space="0" w:color="auto"/>
      </w:divBdr>
    </w:div>
    <w:div w:id="546718312">
      <w:bodyDiv w:val="1"/>
      <w:marLeft w:val="0"/>
      <w:marRight w:val="0"/>
      <w:marTop w:val="0"/>
      <w:marBottom w:val="0"/>
      <w:divBdr>
        <w:top w:val="none" w:sz="0" w:space="0" w:color="auto"/>
        <w:left w:val="none" w:sz="0" w:space="0" w:color="auto"/>
        <w:bottom w:val="none" w:sz="0" w:space="0" w:color="auto"/>
        <w:right w:val="none" w:sz="0" w:space="0" w:color="auto"/>
      </w:divBdr>
    </w:div>
    <w:div w:id="567158205">
      <w:bodyDiv w:val="1"/>
      <w:marLeft w:val="0"/>
      <w:marRight w:val="0"/>
      <w:marTop w:val="0"/>
      <w:marBottom w:val="0"/>
      <w:divBdr>
        <w:top w:val="none" w:sz="0" w:space="0" w:color="auto"/>
        <w:left w:val="none" w:sz="0" w:space="0" w:color="auto"/>
        <w:bottom w:val="none" w:sz="0" w:space="0" w:color="auto"/>
        <w:right w:val="none" w:sz="0" w:space="0" w:color="auto"/>
      </w:divBdr>
    </w:div>
    <w:div w:id="581335008">
      <w:bodyDiv w:val="1"/>
      <w:marLeft w:val="0"/>
      <w:marRight w:val="0"/>
      <w:marTop w:val="0"/>
      <w:marBottom w:val="0"/>
      <w:divBdr>
        <w:top w:val="none" w:sz="0" w:space="0" w:color="auto"/>
        <w:left w:val="none" w:sz="0" w:space="0" w:color="auto"/>
        <w:bottom w:val="none" w:sz="0" w:space="0" w:color="auto"/>
        <w:right w:val="none" w:sz="0" w:space="0" w:color="auto"/>
      </w:divBdr>
    </w:div>
    <w:div w:id="585531205">
      <w:bodyDiv w:val="1"/>
      <w:marLeft w:val="0"/>
      <w:marRight w:val="0"/>
      <w:marTop w:val="0"/>
      <w:marBottom w:val="0"/>
      <w:divBdr>
        <w:top w:val="none" w:sz="0" w:space="0" w:color="auto"/>
        <w:left w:val="none" w:sz="0" w:space="0" w:color="auto"/>
        <w:bottom w:val="none" w:sz="0" w:space="0" w:color="auto"/>
        <w:right w:val="none" w:sz="0" w:space="0" w:color="auto"/>
      </w:divBdr>
    </w:div>
    <w:div w:id="588080740">
      <w:bodyDiv w:val="1"/>
      <w:marLeft w:val="0"/>
      <w:marRight w:val="0"/>
      <w:marTop w:val="0"/>
      <w:marBottom w:val="0"/>
      <w:divBdr>
        <w:top w:val="none" w:sz="0" w:space="0" w:color="auto"/>
        <w:left w:val="none" w:sz="0" w:space="0" w:color="auto"/>
        <w:bottom w:val="none" w:sz="0" w:space="0" w:color="auto"/>
        <w:right w:val="none" w:sz="0" w:space="0" w:color="auto"/>
      </w:divBdr>
      <w:divsChild>
        <w:div w:id="41827828">
          <w:marLeft w:val="0"/>
          <w:marRight w:val="0"/>
          <w:marTop w:val="0"/>
          <w:marBottom w:val="0"/>
          <w:divBdr>
            <w:top w:val="none" w:sz="0" w:space="0" w:color="auto"/>
            <w:left w:val="none" w:sz="0" w:space="0" w:color="auto"/>
            <w:bottom w:val="none" w:sz="0" w:space="0" w:color="auto"/>
            <w:right w:val="none" w:sz="0" w:space="0" w:color="auto"/>
          </w:divBdr>
        </w:div>
        <w:div w:id="1110777446">
          <w:marLeft w:val="0"/>
          <w:marRight w:val="0"/>
          <w:marTop w:val="0"/>
          <w:marBottom w:val="0"/>
          <w:divBdr>
            <w:top w:val="none" w:sz="0" w:space="0" w:color="auto"/>
            <w:left w:val="none" w:sz="0" w:space="0" w:color="auto"/>
            <w:bottom w:val="none" w:sz="0" w:space="0" w:color="auto"/>
            <w:right w:val="none" w:sz="0" w:space="0" w:color="auto"/>
          </w:divBdr>
        </w:div>
        <w:div w:id="779027312">
          <w:marLeft w:val="0"/>
          <w:marRight w:val="0"/>
          <w:marTop w:val="0"/>
          <w:marBottom w:val="0"/>
          <w:divBdr>
            <w:top w:val="none" w:sz="0" w:space="0" w:color="auto"/>
            <w:left w:val="none" w:sz="0" w:space="0" w:color="auto"/>
            <w:bottom w:val="none" w:sz="0" w:space="0" w:color="auto"/>
            <w:right w:val="none" w:sz="0" w:space="0" w:color="auto"/>
          </w:divBdr>
        </w:div>
        <w:div w:id="2037271167">
          <w:marLeft w:val="0"/>
          <w:marRight w:val="0"/>
          <w:marTop w:val="0"/>
          <w:marBottom w:val="0"/>
          <w:divBdr>
            <w:top w:val="none" w:sz="0" w:space="0" w:color="auto"/>
            <w:left w:val="none" w:sz="0" w:space="0" w:color="auto"/>
            <w:bottom w:val="none" w:sz="0" w:space="0" w:color="auto"/>
            <w:right w:val="none" w:sz="0" w:space="0" w:color="auto"/>
          </w:divBdr>
        </w:div>
        <w:div w:id="13044651">
          <w:marLeft w:val="0"/>
          <w:marRight w:val="0"/>
          <w:marTop w:val="0"/>
          <w:marBottom w:val="0"/>
          <w:divBdr>
            <w:top w:val="none" w:sz="0" w:space="0" w:color="auto"/>
            <w:left w:val="none" w:sz="0" w:space="0" w:color="auto"/>
            <w:bottom w:val="none" w:sz="0" w:space="0" w:color="auto"/>
            <w:right w:val="none" w:sz="0" w:space="0" w:color="auto"/>
          </w:divBdr>
        </w:div>
      </w:divsChild>
    </w:div>
    <w:div w:id="589896240">
      <w:bodyDiv w:val="1"/>
      <w:marLeft w:val="0"/>
      <w:marRight w:val="0"/>
      <w:marTop w:val="0"/>
      <w:marBottom w:val="0"/>
      <w:divBdr>
        <w:top w:val="none" w:sz="0" w:space="0" w:color="auto"/>
        <w:left w:val="none" w:sz="0" w:space="0" w:color="auto"/>
        <w:bottom w:val="none" w:sz="0" w:space="0" w:color="auto"/>
        <w:right w:val="none" w:sz="0" w:space="0" w:color="auto"/>
      </w:divBdr>
    </w:div>
    <w:div w:id="593168657">
      <w:bodyDiv w:val="1"/>
      <w:marLeft w:val="0"/>
      <w:marRight w:val="0"/>
      <w:marTop w:val="0"/>
      <w:marBottom w:val="0"/>
      <w:divBdr>
        <w:top w:val="none" w:sz="0" w:space="0" w:color="auto"/>
        <w:left w:val="none" w:sz="0" w:space="0" w:color="auto"/>
        <w:bottom w:val="none" w:sz="0" w:space="0" w:color="auto"/>
        <w:right w:val="none" w:sz="0" w:space="0" w:color="auto"/>
      </w:divBdr>
    </w:div>
    <w:div w:id="599487511">
      <w:bodyDiv w:val="1"/>
      <w:marLeft w:val="0"/>
      <w:marRight w:val="0"/>
      <w:marTop w:val="0"/>
      <w:marBottom w:val="0"/>
      <w:divBdr>
        <w:top w:val="none" w:sz="0" w:space="0" w:color="auto"/>
        <w:left w:val="none" w:sz="0" w:space="0" w:color="auto"/>
        <w:bottom w:val="none" w:sz="0" w:space="0" w:color="auto"/>
        <w:right w:val="none" w:sz="0" w:space="0" w:color="auto"/>
      </w:divBdr>
    </w:div>
    <w:div w:id="610404118">
      <w:bodyDiv w:val="1"/>
      <w:marLeft w:val="0"/>
      <w:marRight w:val="0"/>
      <w:marTop w:val="0"/>
      <w:marBottom w:val="0"/>
      <w:divBdr>
        <w:top w:val="none" w:sz="0" w:space="0" w:color="auto"/>
        <w:left w:val="none" w:sz="0" w:space="0" w:color="auto"/>
        <w:bottom w:val="none" w:sz="0" w:space="0" w:color="auto"/>
        <w:right w:val="none" w:sz="0" w:space="0" w:color="auto"/>
      </w:divBdr>
    </w:div>
    <w:div w:id="623073111">
      <w:bodyDiv w:val="1"/>
      <w:marLeft w:val="0"/>
      <w:marRight w:val="0"/>
      <w:marTop w:val="0"/>
      <w:marBottom w:val="0"/>
      <w:divBdr>
        <w:top w:val="none" w:sz="0" w:space="0" w:color="auto"/>
        <w:left w:val="none" w:sz="0" w:space="0" w:color="auto"/>
        <w:bottom w:val="none" w:sz="0" w:space="0" w:color="auto"/>
        <w:right w:val="none" w:sz="0" w:space="0" w:color="auto"/>
      </w:divBdr>
    </w:div>
    <w:div w:id="638607180">
      <w:bodyDiv w:val="1"/>
      <w:marLeft w:val="0"/>
      <w:marRight w:val="0"/>
      <w:marTop w:val="0"/>
      <w:marBottom w:val="0"/>
      <w:divBdr>
        <w:top w:val="none" w:sz="0" w:space="0" w:color="auto"/>
        <w:left w:val="none" w:sz="0" w:space="0" w:color="auto"/>
        <w:bottom w:val="none" w:sz="0" w:space="0" w:color="auto"/>
        <w:right w:val="none" w:sz="0" w:space="0" w:color="auto"/>
      </w:divBdr>
    </w:div>
    <w:div w:id="661661450">
      <w:bodyDiv w:val="1"/>
      <w:marLeft w:val="0"/>
      <w:marRight w:val="0"/>
      <w:marTop w:val="0"/>
      <w:marBottom w:val="0"/>
      <w:divBdr>
        <w:top w:val="none" w:sz="0" w:space="0" w:color="auto"/>
        <w:left w:val="none" w:sz="0" w:space="0" w:color="auto"/>
        <w:bottom w:val="none" w:sz="0" w:space="0" w:color="auto"/>
        <w:right w:val="none" w:sz="0" w:space="0" w:color="auto"/>
      </w:divBdr>
    </w:div>
    <w:div w:id="675305249">
      <w:bodyDiv w:val="1"/>
      <w:marLeft w:val="0"/>
      <w:marRight w:val="0"/>
      <w:marTop w:val="0"/>
      <w:marBottom w:val="0"/>
      <w:divBdr>
        <w:top w:val="none" w:sz="0" w:space="0" w:color="auto"/>
        <w:left w:val="none" w:sz="0" w:space="0" w:color="auto"/>
        <w:bottom w:val="none" w:sz="0" w:space="0" w:color="auto"/>
        <w:right w:val="none" w:sz="0" w:space="0" w:color="auto"/>
      </w:divBdr>
    </w:div>
    <w:div w:id="679235818">
      <w:bodyDiv w:val="1"/>
      <w:marLeft w:val="0"/>
      <w:marRight w:val="0"/>
      <w:marTop w:val="0"/>
      <w:marBottom w:val="0"/>
      <w:divBdr>
        <w:top w:val="none" w:sz="0" w:space="0" w:color="auto"/>
        <w:left w:val="none" w:sz="0" w:space="0" w:color="auto"/>
        <w:bottom w:val="none" w:sz="0" w:space="0" w:color="auto"/>
        <w:right w:val="none" w:sz="0" w:space="0" w:color="auto"/>
      </w:divBdr>
    </w:div>
    <w:div w:id="688260046">
      <w:bodyDiv w:val="1"/>
      <w:marLeft w:val="0"/>
      <w:marRight w:val="0"/>
      <w:marTop w:val="0"/>
      <w:marBottom w:val="0"/>
      <w:divBdr>
        <w:top w:val="none" w:sz="0" w:space="0" w:color="auto"/>
        <w:left w:val="none" w:sz="0" w:space="0" w:color="auto"/>
        <w:bottom w:val="none" w:sz="0" w:space="0" w:color="auto"/>
        <w:right w:val="none" w:sz="0" w:space="0" w:color="auto"/>
      </w:divBdr>
    </w:div>
    <w:div w:id="690187764">
      <w:bodyDiv w:val="1"/>
      <w:marLeft w:val="0"/>
      <w:marRight w:val="0"/>
      <w:marTop w:val="0"/>
      <w:marBottom w:val="0"/>
      <w:divBdr>
        <w:top w:val="none" w:sz="0" w:space="0" w:color="auto"/>
        <w:left w:val="none" w:sz="0" w:space="0" w:color="auto"/>
        <w:bottom w:val="none" w:sz="0" w:space="0" w:color="auto"/>
        <w:right w:val="none" w:sz="0" w:space="0" w:color="auto"/>
      </w:divBdr>
    </w:div>
    <w:div w:id="691296845">
      <w:bodyDiv w:val="1"/>
      <w:marLeft w:val="0"/>
      <w:marRight w:val="0"/>
      <w:marTop w:val="0"/>
      <w:marBottom w:val="0"/>
      <w:divBdr>
        <w:top w:val="none" w:sz="0" w:space="0" w:color="auto"/>
        <w:left w:val="none" w:sz="0" w:space="0" w:color="auto"/>
        <w:bottom w:val="none" w:sz="0" w:space="0" w:color="auto"/>
        <w:right w:val="none" w:sz="0" w:space="0" w:color="auto"/>
      </w:divBdr>
    </w:div>
    <w:div w:id="693191058">
      <w:bodyDiv w:val="1"/>
      <w:marLeft w:val="0"/>
      <w:marRight w:val="0"/>
      <w:marTop w:val="0"/>
      <w:marBottom w:val="0"/>
      <w:divBdr>
        <w:top w:val="none" w:sz="0" w:space="0" w:color="auto"/>
        <w:left w:val="none" w:sz="0" w:space="0" w:color="auto"/>
        <w:bottom w:val="none" w:sz="0" w:space="0" w:color="auto"/>
        <w:right w:val="none" w:sz="0" w:space="0" w:color="auto"/>
      </w:divBdr>
    </w:div>
    <w:div w:id="705715421">
      <w:bodyDiv w:val="1"/>
      <w:marLeft w:val="0"/>
      <w:marRight w:val="0"/>
      <w:marTop w:val="0"/>
      <w:marBottom w:val="0"/>
      <w:divBdr>
        <w:top w:val="none" w:sz="0" w:space="0" w:color="auto"/>
        <w:left w:val="none" w:sz="0" w:space="0" w:color="auto"/>
        <w:bottom w:val="none" w:sz="0" w:space="0" w:color="auto"/>
        <w:right w:val="none" w:sz="0" w:space="0" w:color="auto"/>
      </w:divBdr>
    </w:div>
    <w:div w:id="707217747">
      <w:bodyDiv w:val="1"/>
      <w:marLeft w:val="0"/>
      <w:marRight w:val="0"/>
      <w:marTop w:val="0"/>
      <w:marBottom w:val="0"/>
      <w:divBdr>
        <w:top w:val="none" w:sz="0" w:space="0" w:color="auto"/>
        <w:left w:val="none" w:sz="0" w:space="0" w:color="auto"/>
        <w:bottom w:val="none" w:sz="0" w:space="0" w:color="auto"/>
        <w:right w:val="none" w:sz="0" w:space="0" w:color="auto"/>
      </w:divBdr>
    </w:div>
    <w:div w:id="709106576">
      <w:bodyDiv w:val="1"/>
      <w:marLeft w:val="0"/>
      <w:marRight w:val="0"/>
      <w:marTop w:val="0"/>
      <w:marBottom w:val="0"/>
      <w:divBdr>
        <w:top w:val="none" w:sz="0" w:space="0" w:color="auto"/>
        <w:left w:val="none" w:sz="0" w:space="0" w:color="auto"/>
        <w:bottom w:val="none" w:sz="0" w:space="0" w:color="auto"/>
        <w:right w:val="none" w:sz="0" w:space="0" w:color="auto"/>
      </w:divBdr>
    </w:div>
    <w:div w:id="710151773">
      <w:bodyDiv w:val="1"/>
      <w:marLeft w:val="0"/>
      <w:marRight w:val="0"/>
      <w:marTop w:val="0"/>
      <w:marBottom w:val="0"/>
      <w:divBdr>
        <w:top w:val="none" w:sz="0" w:space="0" w:color="auto"/>
        <w:left w:val="none" w:sz="0" w:space="0" w:color="auto"/>
        <w:bottom w:val="none" w:sz="0" w:space="0" w:color="auto"/>
        <w:right w:val="none" w:sz="0" w:space="0" w:color="auto"/>
      </w:divBdr>
    </w:div>
    <w:div w:id="716512562">
      <w:bodyDiv w:val="1"/>
      <w:marLeft w:val="0"/>
      <w:marRight w:val="0"/>
      <w:marTop w:val="0"/>
      <w:marBottom w:val="0"/>
      <w:divBdr>
        <w:top w:val="none" w:sz="0" w:space="0" w:color="auto"/>
        <w:left w:val="none" w:sz="0" w:space="0" w:color="auto"/>
        <w:bottom w:val="none" w:sz="0" w:space="0" w:color="auto"/>
        <w:right w:val="none" w:sz="0" w:space="0" w:color="auto"/>
      </w:divBdr>
    </w:div>
    <w:div w:id="719015577">
      <w:bodyDiv w:val="1"/>
      <w:marLeft w:val="0"/>
      <w:marRight w:val="0"/>
      <w:marTop w:val="0"/>
      <w:marBottom w:val="0"/>
      <w:divBdr>
        <w:top w:val="none" w:sz="0" w:space="0" w:color="auto"/>
        <w:left w:val="none" w:sz="0" w:space="0" w:color="auto"/>
        <w:bottom w:val="none" w:sz="0" w:space="0" w:color="auto"/>
        <w:right w:val="none" w:sz="0" w:space="0" w:color="auto"/>
      </w:divBdr>
    </w:div>
    <w:div w:id="723407900">
      <w:bodyDiv w:val="1"/>
      <w:marLeft w:val="0"/>
      <w:marRight w:val="0"/>
      <w:marTop w:val="0"/>
      <w:marBottom w:val="0"/>
      <w:divBdr>
        <w:top w:val="none" w:sz="0" w:space="0" w:color="auto"/>
        <w:left w:val="none" w:sz="0" w:space="0" w:color="auto"/>
        <w:bottom w:val="none" w:sz="0" w:space="0" w:color="auto"/>
        <w:right w:val="none" w:sz="0" w:space="0" w:color="auto"/>
      </w:divBdr>
    </w:div>
    <w:div w:id="736318527">
      <w:bodyDiv w:val="1"/>
      <w:marLeft w:val="0"/>
      <w:marRight w:val="0"/>
      <w:marTop w:val="0"/>
      <w:marBottom w:val="0"/>
      <w:divBdr>
        <w:top w:val="none" w:sz="0" w:space="0" w:color="auto"/>
        <w:left w:val="none" w:sz="0" w:space="0" w:color="auto"/>
        <w:bottom w:val="none" w:sz="0" w:space="0" w:color="auto"/>
        <w:right w:val="none" w:sz="0" w:space="0" w:color="auto"/>
      </w:divBdr>
    </w:div>
    <w:div w:id="740056340">
      <w:bodyDiv w:val="1"/>
      <w:marLeft w:val="0"/>
      <w:marRight w:val="0"/>
      <w:marTop w:val="0"/>
      <w:marBottom w:val="0"/>
      <w:divBdr>
        <w:top w:val="none" w:sz="0" w:space="0" w:color="auto"/>
        <w:left w:val="none" w:sz="0" w:space="0" w:color="auto"/>
        <w:bottom w:val="none" w:sz="0" w:space="0" w:color="auto"/>
        <w:right w:val="none" w:sz="0" w:space="0" w:color="auto"/>
      </w:divBdr>
    </w:div>
    <w:div w:id="768237284">
      <w:bodyDiv w:val="1"/>
      <w:marLeft w:val="0"/>
      <w:marRight w:val="0"/>
      <w:marTop w:val="0"/>
      <w:marBottom w:val="0"/>
      <w:divBdr>
        <w:top w:val="none" w:sz="0" w:space="0" w:color="auto"/>
        <w:left w:val="none" w:sz="0" w:space="0" w:color="auto"/>
        <w:bottom w:val="none" w:sz="0" w:space="0" w:color="auto"/>
        <w:right w:val="none" w:sz="0" w:space="0" w:color="auto"/>
      </w:divBdr>
    </w:div>
    <w:div w:id="777722064">
      <w:bodyDiv w:val="1"/>
      <w:marLeft w:val="0"/>
      <w:marRight w:val="0"/>
      <w:marTop w:val="0"/>
      <w:marBottom w:val="0"/>
      <w:divBdr>
        <w:top w:val="none" w:sz="0" w:space="0" w:color="auto"/>
        <w:left w:val="none" w:sz="0" w:space="0" w:color="auto"/>
        <w:bottom w:val="none" w:sz="0" w:space="0" w:color="auto"/>
        <w:right w:val="none" w:sz="0" w:space="0" w:color="auto"/>
      </w:divBdr>
    </w:div>
    <w:div w:id="788205908">
      <w:bodyDiv w:val="1"/>
      <w:marLeft w:val="0"/>
      <w:marRight w:val="0"/>
      <w:marTop w:val="0"/>
      <w:marBottom w:val="0"/>
      <w:divBdr>
        <w:top w:val="none" w:sz="0" w:space="0" w:color="auto"/>
        <w:left w:val="none" w:sz="0" w:space="0" w:color="auto"/>
        <w:bottom w:val="none" w:sz="0" w:space="0" w:color="auto"/>
        <w:right w:val="none" w:sz="0" w:space="0" w:color="auto"/>
      </w:divBdr>
    </w:div>
    <w:div w:id="789057243">
      <w:bodyDiv w:val="1"/>
      <w:marLeft w:val="0"/>
      <w:marRight w:val="0"/>
      <w:marTop w:val="0"/>
      <w:marBottom w:val="0"/>
      <w:divBdr>
        <w:top w:val="none" w:sz="0" w:space="0" w:color="auto"/>
        <w:left w:val="none" w:sz="0" w:space="0" w:color="auto"/>
        <w:bottom w:val="none" w:sz="0" w:space="0" w:color="auto"/>
        <w:right w:val="none" w:sz="0" w:space="0" w:color="auto"/>
      </w:divBdr>
    </w:div>
    <w:div w:id="816410464">
      <w:bodyDiv w:val="1"/>
      <w:marLeft w:val="0"/>
      <w:marRight w:val="0"/>
      <w:marTop w:val="0"/>
      <w:marBottom w:val="0"/>
      <w:divBdr>
        <w:top w:val="none" w:sz="0" w:space="0" w:color="auto"/>
        <w:left w:val="none" w:sz="0" w:space="0" w:color="auto"/>
        <w:bottom w:val="none" w:sz="0" w:space="0" w:color="auto"/>
        <w:right w:val="none" w:sz="0" w:space="0" w:color="auto"/>
      </w:divBdr>
    </w:div>
    <w:div w:id="834105945">
      <w:bodyDiv w:val="1"/>
      <w:marLeft w:val="0"/>
      <w:marRight w:val="0"/>
      <w:marTop w:val="0"/>
      <w:marBottom w:val="0"/>
      <w:divBdr>
        <w:top w:val="none" w:sz="0" w:space="0" w:color="auto"/>
        <w:left w:val="none" w:sz="0" w:space="0" w:color="auto"/>
        <w:bottom w:val="none" w:sz="0" w:space="0" w:color="auto"/>
        <w:right w:val="none" w:sz="0" w:space="0" w:color="auto"/>
      </w:divBdr>
    </w:div>
    <w:div w:id="836116952">
      <w:bodyDiv w:val="1"/>
      <w:marLeft w:val="0"/>
      <w:marRight w:val="0"/>
      <w:marTop w:val="0"/>
      <w:marBottom w:val="0"/>
      <w:divBdr>
        <w:top w:val="none" w:sz="0" w:space="0" w:color="auto"/>
        <w:left w:val="none" w:sz="0" w:space="0" w:color="auto"/>
        <w:bottom w:val="none" w:sz="0" w:space="0" w:color="auto"/>
        <w:right w:val="none" w:sz="0" w:space="0" w:color="auto"/>
      </w:divBdr>
    </w:div>
    <w:div w:id="842553452">
      <w:bodyDiv w:val="1"/>
      <w:marLeft w:val="0"/>
      <w:marRight w:val="0"/>
      <w:marTop w:val="0"/>
      <w:marBottom w:val="0"/>
      <w:divBdr>
        <w:top w:val="none" w:sz="0" w:space="0" w:color="auto"/>
        <w:left w:val="none" w:sz="0" w:space="0" w:color="auto"/>
        <w:bottom w:val="none" w:sz="0" w:space="0" w:color="auto"/>
        <w:right w:val="none" w:sz="0" w:space="0" w:color="auto"/>
      </w:divBdr>
    </w:div>
    <w:div w:id="850992816">
      <w:bodyDiv w:val="1"/>
      <w:marLeft w:val="0"/>
      <w:marRight w:val="0"/>
      <w:marTop w:val="0"/>
      <w:marBottom w:val="0"/>
      <w:divBdr>
        <w:top w:val="none" w:sz="0" w:space="0" w:color="auto"/>
        <w:left w:val="none" w:sz="0" w:space="0" w:color="auto"/>
        <w:bottom w:val="none" w:sz="0" w:space="0" w:color="auto"/>
        <w:right w:val="none" w:sz="0" w:space="0" w:color="auto"/>
      </w:divBdr>
    </w:div>
    <w:div w:id="884826931">
      <w:bodyDiv w:val="1"/>
      <w:marLeft w:val="0"/>
      <w:marRight w:val="0"/>
      <w:marTop w:val="0"/>
      <w:marBottom w:val="0"/>
      <w:divBdr>
        <w:top w:val="none" w:sz="0" w:space="0" w:color="auto"/>
        <w:left w:val="none" w:sz="0" w:space="0" w:color="auto"/>
        <w:bottom w:val="none" w:sz="0" w:space="0" w:color="auto"/>
        <w:right w:val="none" w:sz="0" w:space="0" w:color="auto"/>
      </w:divBdr>
    </w:div>
    <w:div w:id="915744220">
      <w:bodyDiv w:val="1"/>
      <w:marLeft w:val="0"/>
      <w:marRight w:val="0"/>
      <w:marTop w:val="0"/>
      <w:marBottom w:val="0"/>
      <w:divBdr>
        <w:top w:val="none" w:sz="0" w:space="0" w:color="auto"/>
        <w:left w:val="none" w:sz="0" w:space="0" w:color="auto"/>
        <w:bottom w:val="none" w:sz="0" w:space="0" w:color="auto"/>
        <w:right w:val="none" w:sz="0" w:space="0" w:color="auto"/>
      </w:divBdr>
    </w:div>
    <w:div w:id="916942732">
      <w:bodyDiv w:val="1"/>
      <w:marLeft w:val="0"/>
      <w:marRight w:val="0"/>
      <w:marTop w:val="0"/>
      <w:marBottom w:val="0"/>
      <w:divBdr>
        <w:top w:val="none" w:sz="0" w:space="0" w:color="auto"/>
        <w:left w:val="none" w:sz="0" w:space="0" w:color="auto"/>
        <w:bottom w:val="none" w:sz="0" w:space="0" w:color="auto"/>
        <w:right w:val="none" w:sz="0" w:space="0" w:color="auto"/>
      </w:divBdr>
    </w:div>
    <w:div w:id="922759207">
      <w:bodyDiv w:val="1"/>
      <w:marLeft w:val="0"/>
      <w:marRight w:val="0"/>
      <w:marTop w:val="0"/>
      <w:marBottom w:val="0"/>
      <w:divBdr>
        <w:top w:val="none" w:sz="0" w:space="0" w:color="auto"/>
        <w:left w:val="none" w:sz="0" w:space="0" w:color="auto"/>
        <w:bottom w:val="none" w:sz="0" w:space="0" w:color="auto"/>
        <w:right w:val="none" w:sz="0" w:space="0" w:color="auto"/>
      </w:divBdr>
    </w:div>
    <w:div w:id="931355010">
      <w:bodyDiv w:val="1"/>
      <w:marLeft w:val="0"/>
      <w:marRight w:val="0"/>
      <w:marTop w:val="0"/>
      <w:marBottom w:val="0"/>
      <w:divBdr>
        <w:top w:val="none" w:sz="0" w:space="0" w:color="auto"/>
        <w:left w:val="none" w:sz="0" w:space="0" w:color="auto"/>
        <w:bottom w:val="none" w:sz="0" w:space="0" w:color="auto"/>
        <w:right w:val="none" w:sz="0" w:space="0" w:color="auto"/>
      </w:divBdr>
    </w:div>
    <w:div w:id="953748806">
      <w:bodyDiv w:val="1"/>
      <w:marLeft w:val="0"/>
      <w:marRight w:val="0"/>
      <w:marTop w:val="0"/>
      <w:marBottom w:val="0"/>
      <w:divBdr>
        <w:top w:val="none" w:sz="0" w:space="0" w:color="auto"/>
        <w:left w:val="none" w:sz="0" w:space="0" w:color="auto"/>
        <w:bottom w:val="none" w:sz="0" w:space="0" w:color="auto"/>
        <w:right w:val="none" w:sz="0" w:space="0" w:color="auto"/>
      </w:divBdr>
    </w:div>
    <w:div w:id="955285069">
      <w:bodyDiv w:val="1"/>
      <w:marLeft w:val="0"/>
      <w:marRight w:val="0"/>
      <w:marTop w:val="0"/>
      <w:marBottom w:val="0"/>
      <w:divBdr>
        <w:top w:val="none" w:sz="0" w:space="0" w:color="auto"/>
        <w:left w:val="none" w:sz="0" w:space="0" w:color="auto"/>
        <w:bottom w:val="none" w:sz="0" w:space="0" w:color="auto"/>
        <w:right w:val="none" w:sz="0" w:space="0" w:color="auto"/>
      </w:divBdr>
    </w:div>
    <w:div w:id="997343577">
      <w:bodyDiv w:val="1"/>
      <w:marLeft w:val="0"/>
      <w:marRight w:val="0"/>
      <w:marTop w:val="0"/>
      <w:marBottom w:val="0"/>
      <w:divBdr>
        <w:top w:val="none" w:sz="0" w:space="0" w:color="auto"/>
        <w:left w:val="none" w:sz="0" w:space="0" w:color="auto"/>
        <w:bottom w:val="none" w:sz="0" w:space="0" w:color="auto"/>
        <w:right w:val="none" w:sz="0" w:space="0" w:color="auto"/>
      </w:divBdr>
    </w:div>
    <w:div w:id="1001851483">
      <w:bodyDiv w:val="1"/>
      <w:marLeft w:val="0"/>
      <w:marRight w:val="0"/>
      <w:marTop w:val="0"/>
      <w:marBottom w:val="0"/>
      <w:divBdr>
        <w:top w:val="none" w:sz="0" w:space="0" w:color="auto"/>
        <w:left w:val="none" w:sz="0" w:space="0" w:color="auto"/>
        <w:bottom w:val="none" w:sz="0" w:space="0" w:color="auto"/>
        <w:right w:val="none" w:sz="0" w:space="0" w:color="auto"/>
      </w:divBdr>
    </w:div>
    <w:div w:id="1017586767">
      <w:bodyDiv w:val="1"/>
      <w:marLeft w:val="0"/>
      <w:marRight w:val="0"/>
      <w:marTop w:val="0"/>
      <w:marBottom w:val="0"/>
      <w:divBdr>
        <w:top w:val="none" w:sz="0" w:space="0" w:color="auto"/>
        <w:left w:val="none" w:sz="0" w:space="0" w:color="auto"/>
        <w:bottom w:val="none" w:sz="0" w:space="0" w:color="auto"/>
        <w:right w:val="none" w:sz="0" w:space="0" w:color="auto"/>
      </w:divBdr>
    </w:div>
    <w:div w:id="1026831125">
      <w:bodyDiv w:val="1"/>
      <w:marLeft w:val="0"/>
      <w:marRight w:val="0"/>
      <w:marTop w:val="0"/>
      <w:marBottom w:val="0"/>
      <w:divBdr>
        <w:top w:val="none" w:sz="0" w:space="0" w:color="auto"/>
        <w:left w:val="none" w:sz="0" w:space="0" w:color="auto"/>
        <w:bottom w:val="none" w:sz="0" w:space="0" w:color="auto"/>
        <w:right w:val="none" w:sz="0" w:space="0" w:color="auto"/>
      </w:divBdr>
    </w:div>
    <w:div w:id="1030447670">
      <w:bodyDiv w:val="1"/>
      <w:marLeft w:val="0"/>
      <w:marRight w:val="0"/>
      <w:marTop w:val="0"/>
      <w:marBottom w:val="0"/>
      <w:divBdr>
        <w:top w:val="none" w:sz="0" w:space="0" w:color="auto"/>
        <w:left w:val="none" w:sz="0" w:space="0" w:color="auto"/>
        <w:bottom w:val="none" w:sz="0" w:space="0" w:color="auto"/>
        <w:right w:val="none" w:sz="0" w:space="0" w:color="auto"/>
      </w:divBdr>
    </w:div>
    <w:div w:id="1031762486">
      <w:bodyDiv w:val="1"/>
      <w:marLeft w:val="0"/>
      <w:marRight w:val="0"/>
      <w:marTop w:val="0"/>
      <w:marBottom w:val="0"/>
      <w:divBdr>
        <w:top w:val="none" w:sz="0" w:space="0" w:color="auto"/>
        <w:left w:val="none" w:sz="0" w:space="0" w:color="auto"/>
        <w:bottom w:val="none" w:sz="0" w:space="0" w:color="auto"/>
        <w:right w:val="none" w:sz="0" w:space="0" w:color="auto"/>
      </w:divBdr>
    </w:div>
    <w:div w:id="1070300694">
      <w:bodyDiv w:val="1"/>
      <w:marLeft w:val="0"/>
      <w:marRight w:val="0"/>
      <w:marTop w:val="0"/>
      <w:marBottom w:val="0"/>
      <w:divBdr>
        <w:top w:val="none" w:sz="0" w:space="0" w:color="auto"/>
        <w:left w:val="none" w:sz="0" w:space="0" w:color="auto"/>
        <w:bottom w:val="none" w:sz="0" w:space="0" w:color="auto"/>
        <w:right w:val="none" w:sz="0" w:space="0" w:color="auto"/>
      </w:divBdr>
    </w:div>
    <w:div w:id="1107191272">
      <w:bodyDiv w:val="1"/>
      <w:marLeft w:val="0"/>
      <w:marRight w:val="0"/>
      <w:marTop w:val="0"/>
      <w:marBottom w:val="0"/>
      <w:divBdr>
        <w:top w:val="none" w:sz="0" w:space="0" w:color="auto"/>
        <w:left w:val="none" w:sz="0" w:space="0" w:color="auto"/>
        <w:bottom w:val="none" w:sz="0" w:space="0" w:color="auto"/>
        <w:right w:val="none" w:sz="0" w:space="0" w:color="auto"/>
      </w:divBdr>
    </w:div>
    <w:div w:id="1116480611">
      <w:bodyDiv w:val="1"/>
      <w:marLeft w:val="0"/>
      <w:marRight w:val="0"/>
      <w:marTop w:val="0"/>
      <w:marBottom w:val="0"/>
      <w:divBdr>
        <w:top w:val="none" w:sz="0" w:space="0" w:color="auto"/>
        <w:left w:val="none" w:sz="0" w:space="0" w:color="auto"/>
        <w:bottom w:val="none" w:sz="0" w:space="0" w:color="auto"/>
        <w:right w:val="none" w:sz="0" w:space="0" w:color="auto"/>
      </w:divBdr>
    </w:div>
    <w:div w:id="1138692409">
      <w:bodyDiv w:val="1"/>
      <w:marLeft w:val="0"/>
      <w:marRight w:val="0"/>
      <w:marTop w:val="0"/>
      <w:marBottom w:val="0"/>
      <w:divBdr>
        <w:top w:val="none" w:sz="0" w:space="0" w:color="auto"/>
        <w:left w:val="none" w:sz="0" w:space="0" w:color="auto"/>
        <w:bottom w:val="none" w:sz="0" w:space="0" w:color="auto"/>
        <w:right w:val="none" w:sz="0" w:space="0" w:color="auto"/>
      </w:divBdr>
    </w:div>
    <w:div w:id="1145777304">
      <w:bodyDiv w:val="1"/>
      <w:marLeft w:val="0"/>
      <w:marRight w:val="0"/>
      <w:marTop w:val="0"/>
      <w:marBottom w:val="0"/>
      <w:divBdr>
        <w:top w:val="none" w:sz="0" w:space="0" w:color="auto"/>
        <w:left w:val="none" w:sz="0" w:space="0" w:color="auto"/>
        <w:bottom w:val="none" w:sz="0" w:space="0" w:color="auto"/>
        <w:right w:val="none" w:sz="0" w:space="0" w:color="auto"/>
      </w:divBdr>
    </w:div>
    <w:div w:id="1152793885">
      <w:bodyDiv w:val="1"/>
      <w:marLeft w:val="0"/>
      <w:marRight w:val="0"/>
      <w:marTop w:val="0"/>
      <w:marBottom w:val="0"/>
      <w:divBdr>
        <w:top w:val="none" w:sz="0" w:space="0" w:color="auto"/>
        <w:left w:val="none" w:sz="0" w:space="0" w:color="auto"/>
        <w:bottom w:val="none" w:sz="0" w:space="0" w:color="auto"/>
        <w:right w:val="none" w:sz="0" w:space="0" w:color="auto"/>
      </w:divBdr>
    </w:div>
    <w:div w:id="1168909326">
      <w:bodyDiv w:val="1"/>
      <w:marLeft w:val="0"/>
      <w:marRight w:val="0"/>
      <w:marTop w:val="0"/>
      <w:marBottom w:val="0"/>
      <w:divBdr>
        <w:top w:val="none" w:sz="0" w:space="0" w:color="auto"/>
        <w:left w:val="none" w:sz="0" w:space="0" w:color="auto"/>
        <w:bottom w:val="none" w:sz="0" w:space="0" w:color="auto"/>
        <w:right w:val="none" w:sz="0" w:space="0" w:color="auto"/>
      </w:divBdr>
    </w:div>
    <w:div w:id="1172338514">
      <w:bodyDiv w:val="1"/>
      <w:marLeft w:val="0"/>
      <w:marRight w:val="0"/>
      <w:marTop w:val="0"/>
      <w:marBottom w:val="0"/>
      <w:divBdr>
        <w:top w:val="none" w:sz="0" w:space="0" w:color="auto"/>
        <w:left w:val="none" w:sz="0" w:space="0" w:color="auto"/>
        <w:bottom w:val="none" w:sz="0" w:space="0" w:color="auto"/>
        <w:right w:val="none" w:sz="0" w:space="0" w:color="auto"/>
      </w:divBdr>
    </w:div>
    <w:div w:id="1177888597">
      <w:bodyDiv w:val="1"/>
      <w:marLeft w:val="0"/>
      <w:marRight w:val="0"/>
      <w:marTop w:val="0"/>
      <w:marBottom w:val="0"/>
      <w:divBdr>
        <w:top w:val="none" w:sz="0" w:space="0" w:color="auto"/>
        <w:left w:val="none" w:sz="0" w:space="0" w:color="auto"/>
        <w:bottom w:val="none" w:sz="0" w:space="0" w:color="auto"/>
        <w:right w:val="none" w:sz="0" w:space="0" w:color="auto"/>
      </w:divBdr>
    </w:div>
    <w:div w:id="1183396386">
      <w:bodyDiv w:val="1"/>
      <w:marLeft w:val="0"/>
      <w:marRight w:val="0"/>
      <w:marTop w:val="0"/>
      <w:marBottom w:val="0"/>
      <w:divBdr>
        <w:top w:val="none" w:sz="0" w:space="0" w:color="auto"/>
        <w:left w:val="none" w:sz="0" w:space="0" w:color="auto"/>
        <w:bottom w:val="none" w:sz="0" w:space="0" w:color="auto"/>
        <w:right w:val="none" w:sz="0" w:space="0" w:color="auto"/>
      </w:divBdr>
    </w:div>
    <w:div w:id="1219393844">
      <w:bodyDiv w:val="1"/>
      <w:marLeft w:val="0"/>
      <w:marRight w:val="0"/>
      <w:marTop w:val="0"/>
      <w:marBottom w:val="0"/>
      <w:divBdr>
        <w:top w:val="none" w:sz="0" w:space="0" w:color="auto"/>
        <w:left w:val="none" w:sz="0" w:space="0" w:color="auto"/>
        <w:bottom w:val="none" w:sz="0" w:space="0" w:color="auto"/>
        <w:right w:val="none" w:sz="0" w:space="0" w:color="auto"/>
      </w:divBdr>
    </w:div>
    <w:div w:id="1224369484">
      <w:bodyDiv w:val="1"/>
      <w:marLeft w:val="0"/>
      <w:marRight w:val="0"/>
      <w:marTop w:val="0"/>
      <w:marBottom w:val="0"/>
      <w:divBdr>
        <w:top w:val="none" w:sz="0" w:space="0" w:color="auto"/>
        <w:left w:val="none" w:sz="0" w:space="0" w:color="auto"/>
        <w:bottom w:val="none" w:sz="0" w:space="0" w:color="auto"/>
        <w:right w:val="none" w:sz="0" w:space="0" w:color="auto"/>
      </w:divBdr>
      <w:divsChild>
        <w:div w:id="1879507301">
          <w:marLeft w:val="0"/>
          <w:marRight w:val="0"/>
          <w:marTop w:val="0"/>
          <w:marBottom w:val="0"/>
          <w:divBdr>
            <w:top w:val="none" w:sz="0" w:space="0" w:color="auto"/>
            <w:left w:val="none" w:sz="0" w:space="0" w:color="auto"/>
            <w:bottom w:val="none" w:sz="0" w:space="0" w:color="auto"/>
            <w:right w:val="none" w:sz="0" w:space="0" w:color="auto"/>
          </w:divBdr>
        </w:div>
        <w:div w:id="421026182">
          <w:marLeft w:val="0"/>
          <w:marRight w:val="0"/>
          <w:marTop w:val="0"/>
          <w:marBottom w:val="0"/>
          <w:divBdr>
            <w:top w:val="none" w:sz="0" w:space="0" w:color="auto"/>
            <w:left w:val="none" w:sz="0" w:space="0" w:color="auto"/>
            <w:bottom w:val="none" w:sz="0" w:space="0" w:color="auto"/>
            <w:right w:val="none" w:sz="0" w:space="0" w:color="auto"/>
          </w:divBdr>
        </w:div>
        <w:div w:id="2052458538">
          <w:marLeft w:val="0"/>
          <w:marRight w:val="0"/>
          <w:marTop w:val="0"/>
          <w:marBottom w:val="0"/>
          <w:divBdr>
            <w:top w:val="none" w:sz="0" w:space="0" w:color="auto"/>
            <w:left w:val="none" w:sz="0" w:space="0" w:color="auto"/>
            <w:bottom w:val="none" w:sz="0" w:space="0" w:color="auto"/>
            <w:right w:val="none" w:sz="0" w:space="0" w:color="auto"/>
          </w:divBdr>
        </w:div>
        <w:div w:id="1014767055">
          <w:marLeft w:val="0"/>
          <w:marRight w:val="0"/>
          <w:marTop w:val="0"/>
          <w:marBottom w:val="0"/>
          <w:divBdr>
            <w:top w:val="none" w:sz="0" w:space="0" w:color="auto"/>
            <w:left w:val="none" w:sz="0" w:space="0" w:color="auto"/>
            <w:bottom w:val="none" w:sz="0" w:space="0" w:color="auto"/>
            <w:right w:val="none" w:sz="0" w:space="0" w:color="auto"/>
          </w:divBdr>
        </w:div>
        <w:div w:id="249852489">
          <w:marLeft w:val="0"/>
          <w:marRight w:val="0"/>
          <w:marTop w:val="0"/>
          <w:marBottom w:val="0"/>
          <w:divBdr>
            <w:top w:val="none" w:sz="0" w:space="0" w:color="auto"/>
            <w:left w:val="none" w:sz="0" w:space="0" w:color="auto"/>
            <w:bottom w:val="none" w:sz="0" w:space="0" w:color="auto"/>
            <w:right w:val="none" w:sz="0" w:space="0" w:color="auto"/>
          </w:divBdr>
        </w:div>
        <w:div w:id="385644161">
          <w:marLeft w:val="0"/>
          <w:marRight w:val="0"/>
          <w:marTop w:val="0"/>
          <w:marBottom w:val="0"/>
          <w:divBdr>
            <w:top w:val="none" w:sz="0" w:space="0" w:color="auto"/>
            <w:left w:val="none" w:sz="0" w:space="0" w:color="auto"/>
            <w:bottom w:val="none" w:sz="0" w:space="0" w:color="auto"/>
            <w:right w:val="none" w:sz="0" w:space="0" w:color="auto"/>
          </w:divBdr>
        </w:div>
        <w:div w:id="1489706585">
          <w:marLeft w:val="0"/>
          <w:marRight w:val="0"/>
          <w:marTop w:val="0"/>
          <w:marBottom w:val="0"/>
          <w:divBdr>
            <w:top w:val="none" w:sz="0" w:space="0" w:color="auto"/>
            <w:left w:val="none" w:sz="0" w:space="0" w:color="auto"/>
            <w:bottom w:val="none" w:sz="0" w:space="0" w:color="auto"/>
            <w:right w:val="none" w:sz="0" w:space="0" w:color="auto"/>
          </w:divBdr>
        </w:div>
        <w:div w:id="1094085706">
          <w:marLeft w:val="0"/>
          <w:marRight w:val="0"/>
          <w:marTop w:val="0"/>
          <w:marBottom w:val="0"/>
          <w:divBdr>
            <w:top w:val="none" w:sz="0" w:space="0" w:color="auto"/>
            <w:left w:val="none" w:sz="0" w:space="0" w:color="auto"/>
            <w:bottom w:val="none" w:sz="0" w:space="0" w:color="auto"/>
            <w:right w:val="none" w:sz="0" w:space="0" w:color="auto"/>
          </w:divBdr>
        </w:div>
        <w:div w:id="147062907">
          <w:marLeft w:val="0"/>
          <w:marRight w:val="0"/>
          <w:marTop w:val="0"/>
          <w:marBottom w:val="0"/>
          <w:divBdr>
            <w:top w:val="none" w:sz="0" w:space="0" w:color="auto"/>
            <w:left w:val="none" w:sz="0" w:space="0" w:color="auto"/>
            <w:bottom w:val="none" w:sz="0" w:space="0" w:color="auto"/>
            <w:right w:val="none" w:sz="0" w:space="0" w:color="auto"/>
          </w:divBdr>
        </w:div>
        <w:div w:id="12808506">
          <w:marLeft w:val="0"/>
          <w:marRight w:val="0"/>
          <w:marTop w:val="0"/>
          <w:marBottom w:val="0"/>
          <w:divBdr>
            <w:top w:val="none" w:sz="0" w:space="0" w:color="auto"/>
            <w:left w:val="none" w:sz="0" w:space="0" w:color="auto"/>
            <w:bottom w:val="none" w:sz="0" w:space="0" w:color="auto"/>
            <w:right w:val="none" w:sz="0" w:space="0" w:color="auto"/>
          </w:divBdr>
        </w:div>
        <w:div w:id="1513959382">
          <w:marLeft w:val="0"/>
          <w:marRight w:val="0"/>
          <w:marTop w:val="0"/>
          <w:marBottom w:val="0"/>
          <w:divBdr>
            <w:top w:val="none" w:sz="0" w:space="0" w:color="auto"/>
            <w:left w:val="none" w:sz="0" w:space="0" w:color="auto"/>
            <w:bottom w:val="none" w:sz="0" w:space="0" w:color="auto"/>
            <w:right w:val="none" w:sz="0" w:space="0" w:color="auto"/>
          </w:divBdr>
        </w:div>
        <w:div w:id="1236740523">
          <w:marLeft w:val="0"/>
          <w:marRight w:val="0"/>
          <w:marTop w:val="0"/>
          <w:marBottom w:val="0"/>
          <w:divBdr>
            <w:top w:val="none" w:sz="0" w:space="0" w:color="auto"/>
            <w:left w:val="none" w:sz="0" w:space="0" w:color="auto"/>
            <w:bottom w:val="none" w:sz="0" w:space="0" w:color="auto"/>
            <w:right w:val="none" w:sz="0" w:space="0" w:color="auto"/>
          </w:divBdr>
        </w:div>
        <w:div w:id="313799265">
          <w:marLeft w:val="0"/>
          <w:marRight w:val="0"/>
          <w:marTop w:val="0"/>
          <w:marBottom w:val="0"/>
          <w:divBdr>
            <w:top w:val="none" w:sz="0" w:space="0" w:color="auto"/>
            <w:left w:val="none" w:sz="0" w:space="0" w:color="auto"/>
            <w:bottom w:val="none" w:sz="0" w:space="0" w:color="auto"/>
            <w:right w:val="none" w:sz="0" w:space="0" w:color="auto"/>
          </w:divBdr>
        </w:div>
        <w:div w:id="1360204080">
          <w:marLeft w:val="0"/>
          <w:marRight w:val="0"/>
          <w:marTop w:val="0"/>
          <w:marBottom w:val="0"/>
          <w:divBdr>
            <w:top w:val="none" w:sz="0" w:space="0" w:color="auto"/>
            <w:left w:val="none" w:sz="0" w:space="0" w:color="auto"/>
            <w:bottom w:val="none" w:sz="0" w:space="0" w:color="auto"/>
            <w:right w:val="none" w:sz="0" w:space="0" w:color="auto"/>
          </w:divBdr>
        </w:div>
        <w:div w:id="1834223304">
          <w:marLeft w:val="0"/>
          <w:marRight w:val="0"/>
          <w:marTop w:val="0"/>
          <w:marBottom w:val="0"/>
          <w:divBdr>
            <w:top w:val="none" w:sz="0" w:space="0" w:color="auto"/>
            <w:left w:val="none" w:sz="0" w:space="0" w:color="auto"/>
            <w:bottom w:val="none" w:sz="0" w:space="0" w:color="auto"/>
            <w:right w:val="none" w:sz="0" w:space="0" w:color="auto"/>
          </w:divBdr>
        </w:div>
        <w:div w:id="814180689">
          <w:marLeft w:val="0"/>
          <w:marRight w:val="0"/>
          <w:marTop w:val="0"/>
          <w:marBottom w:val="0"/>
          <w:divBdr>
            <w:top w:val="none" w:sz="0" w:space="0" w:color="auto"/>
            <w:left w:val="none" w:sz="0" w:space="0" w:color="auto"/>
            <w:bottom w:val="none" w:sz="0" w:space="0" w:color="auto"/>
            <w:right w:val="none" w:sz="0" w:space="0" w:color="auto"/>
          </w:divBdr>
        </w:div>
        <w:div w:id="1801151345">
          <w:marLeft w:val="0"/>
          <w:marRight w:val="0"/>
          <w:marTop w:val="0"/>
          <w:marBottom w:val="0"/>
          <w:divBdr>
            <w:top w:val="none" w:sz="0" w:space="0" w:color="auto"/>
            <w:left w:val="none" w:sz="0" w:space="0" w:color="auto"/>
            <w:bottom w:val="none" w:sz="0" w:space="0" w:color="auto"/>
            <w:right w:val="none" w:sz="0" w:space="0" w:color="auto"/>
          </w:divBdr>
        </w:div>
        <w:div w:id="93134892">
          <w:marLeft w:val="0"/>
          <w:marRight w:val="0"/>
          <w:marTop w:val="0"/>
          <w:marBottom w:val="0"/>
          <w:divBdr>
            <w:top w:val="none" w:sz="0" w:space="0" w:color="auto"/>
            <w:left w:val="none" w:sz="0" w:space="0" w:color="auto"/>
            <w:bottom w:val="none" w:sz="0" w:space="0" w:color="auto"/>
            <w:right w:val="none" w:sz="0" w:space="0" w:color="auto"/>
          </w:divBdr>
        </w:div>
        <w:div w:id="977370460">
          <w:marLeft w:val="0"/>
          <w:marRight w:val="0"/>
          <w:marTop w:val="0"/>
          <w:marBottom w:val="0"/>
          <w:divBdr>
            <w:top w:val="none" w:sz="0" w:space="0" w:color="auto"/>
            <w:left w:val="none" w:sz="0" w:space="0" w:color="auto"/>
            <w:bottom w:val="none" w:sz="0" w:space="0" w:color="auto"/>
            <w:right w:val="none" w:sz="0" w:space="0" w:color="auto"/>
          </w:divBdr>
        </w:div>
        <w:div w:id="1773359262">
          <w:marLeft w:val="0"/>
          <w:marRight w:val="0"/>
          <w:marTop w:val="0"/>
          <w:marBottom w:val="0"/>
          <w:divBdr>
            <w:top w:val="none" w:sz="0" w:space="0" w:color="auto"/>
            <w:left w:val="none" w:sz="0" w:space="0" w:color="auto"/>
            <w:bottom w:val="none" w:sz="0" w:space="0" w:color="auto"/>
            <w:right w:val="none" w:sz="0" w:space="0" w:color="auto"/>
          </w:divBdr>
        </w:div>
        <w:div w:id="1716390564">
          <w:marLeft w:val="0"/>
          <w:marRight w:val="0"/>
          <w:marTop w:val="0"/>
          <w:marBottom w:val="0"/>
          <w:divBdr>
            <w:top w:val="none" w:sz="0" w:space="0" w:color="auto"/>
            <w:left w:val="none" w:sz="0" w:space="0" w:color="auto"/>
            <w:bottom w:val="none" w:sz="0" w:space="0" w:color="auto"/>
            <w:right w:val="none" w:sz="0" w:space="0" w:color="auto"/>
          </w:divBdr>
          <w:divsChild>
            <w:div w:id="1111315835">
              <w:marLeft w:val="0"/>
              <w:marRight w:val="0"/>
              <w:marTop w:val="0"/>
              <w:marBottom w:val="0"/>
              <w:divBdr>
                <w:top w:val="none" w:sz="0" w:space="0" w:color="auto"/>
                <w:left w:val="none" w:sz="0" w:space="0" w:color="auto"/>
                <w:bottom w:val="none" w:sz="0" w:space="0" w:color="auto"/>
                <w:right w:val="none" w:sz="0" w:space="0" w:color="auto"/>
              </w:divBdr>
              <w:divsChild>
                <w:div w:id="1695039844">
                  <w:marLeft w:val="0"/>
                  <w:marRight w:val="0"/>
                  <w:marTop w:val="0"/>
                  <w:marBottom w:val="0"/>
                  <w:divBdr>
                    <w:top w:val="none" w:sz="0" w:space="0" w:color="auto"/>
                    <w:left w:val="none" w:sz="0" w:space="0" w:color="auto"/>
                    <w:bottom w:val="none" w:sz="0" w:space="0" w:color="auto"/>
                    <w:right w:val="none" w:sz="0" w:space="0" w:color="auto"/>
                  </w:divBdr>
                  <w:divsChild>
                    <w:div w:id="1077744684">
                      <w:marLeft w:val="0"/>
                      <w:marRight w:val="0"/>
                      <w:marTop w:val="0"/>
                      <w:marBottom w:val="0"/>
                      <w:divBdr>
                        <w:top w:val="none" w:sz="0" w:space="0" w:color="auto"/>
                        <w:left w:val="none" w:sz="0" w:space="0" w:color="auto"/>
                        <w:bottom w:val="none" w:sz="0" w:space="0" w:color="auto"/>
                        <w:right w:val="none" w:sz="0" w:space="0" w:color="auto"/>
                      </w:divBdr>
                      <w:divsChild>
                        <w:div w:id="1120225310">
                          <w:marLeft w:val="0"/>
                          <w:marRight w:val="0"/>
                          <w:marTop w:val="0"/>
                          <w:marBottom w:val="0"/>
                          <w:divBdr>
                            <w:top w:val="none" w:sz="0" w:space="0" w:color="auto"/>
                            <w:left w:val="none" w:sz="0" w:space="0" w:color="auto"/>
                            <w:bottom w:val="none" w:sz="0" w:space="0" w:color="auto"/>
                            <w:right w:val="none" w:sz="0" w:space="0" w:color="auto"/>
                          </w:divBdr>
                          <w:divsChild>
                            <w:div w:id="583732420">
                              <w:marLeft w:val="0"/>
                              <w:marRight w:val="0"/>
                              <w:marTop w:val="0"/>
                              <w:marBottom w:val="0"/>
                              <w:divBdr>
                                <w:top w:val="none" w:sz="0" w:space="0" w:color="auto"/>
                                <w:left w:val="none" w:sz="0" w:space="0" w:color="auto"/>
                                <w:bottom w:val="none" w:sz="0" w:space="0" w:color="auto"/>
                                <w:right w:val="none" w:sz="0" w:space="0" w:color="auto"/>
                              </w:divBdr>
                              <w:divsChild>
                                <w:div w:id="1006055682">
                                  <w:marLeft w:val="0"/>
                                  <w:marRight w:val="0"/>
                                  <w:marTop w:val="0"/>
                                  <w:marBottom w:val="0"/>
                                  <w:divBdr>
                                    <w:top w:val="none" w:sz="0" w:space="0" w:color="auto"/>
                                    <w:left w:val="none" w:sz="0" w:space="0" w:color="auto"/>
                                    <w:bottom w:val="none" w:sz="0" w:space="0" w:color="auto"/>
                                    <w:right w:val="none" w:sz="0" w:space="0" w:color="auto"/>
                                  </w:divBdr>
                                  <w:divsChild>
                                    <w:div w:id="1356690546">
                                      <w:marLeft w:val="0"/>
                                      <w:marRight w:val="0"/>
                                      <w:marTop w:val="0"/>
                                      <w:marBottom w:val="0"/>
                                      <w:divBdr>
                                        <w:top w:val="none" w:sz="0" w:space="0" w:color="auto"/>
                                        <w:left w:val="none" w:sz="0" w:space="0" w:color="auto"/>
                                        <w:bottom w:val="none" w:sz="0" w:space="0" w:color="auto"/>
                                        <w:right w:val="none" w:sz="0" w:space="0" w:color="auto"/>
                                      </w:divBdr>
                                    </w:div>
                                    <w:div w:id="1855418214">
                                      <w:marLeft w:val="0"/>
                                      <w:marRight w:val="0"/>
                                      <w:marTop w:val="0"/>
                                      <w:marBottom w:val="0"/>
                                      <w:divBdr>
                                        <w:top w:val="none" w:sz="0" w:space="0" w:color="auto"/>
                                        <w:left w:val="none" w:sz="0" w:space="0" w:color="auto"/>
                                        <w:bottom w:val="none" w:sz="0" w:space="0" w:color="auto"/>
                                        <w:right w:val="none" w:sz="0" w:space="0" w:color="auto"/>
                                      </w:divBdr>
                                    </w:div>
                                    <w:div w:id="10947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632727">
      <w:bodyDiv w:val="1"/>
      <w:marLeft w:val="0"/>
      <w:marRight w:val="0"/>
      <w:marTop w:val="0"/>
      <w:marBottom w:val="0"/>
      <w:divBdr>
        <w:top w:val="none" w:sz="0" w:space="0" w:color="auto"/>
        <w:left w:val="none" w:sz="0" w:space="0" w:color="auto"/>
        <w:bottom w:val="none" w:sz="0" w:space="0" w:color="auto"/>
        <w:right w:val="none" w:sz="0" w:space="0" w:color="auto"/>
      </w:divBdr>
    </w:div>
    <w:div w:id="1277905186">
      <w:bodyDiv w:val="1"/>
      <w:marLeft w:val="0"/>
      <w:marRight w:val="0"/>
      <w:marTop w:val="0"/>
      <w:marBottom w:val="0"/>
      <w:divBdr>
        <w:top w:val="none" w:sz="0" w:space="0" w:color="auto"/>
        <w:left w:val="none" w:sz="0" w:space="0" w:color="auto"/>
        <w:bottom w:val="none" w:sz="0" w:space="0" w:color="auto"/>
        <w:right w:val="none" w:sz="0" w:space="0" w:color="auto"/>
      </w:divBdr>
    </w:div>
    <w:div w:id="1279726468">
      <w:bodyDiv w:val="1"/>
      <w:marLeft w:val="0"/>
      <w:marRight w:val="0"/>
      <w:marTop w:val="0"/>
      <w:marBottom w:val="0"/>
      <w:divBdr>
        <w:top w:val="none" w:sz="0" w:space="0" w:color="auto"/>
        <w:left w:val="none" w:sz="0" w:space="0" w:color="auto"/>
        <w:bottom w:val="none" w:sz="0" w:space="0" w:color="auto"/>
        <w:right w:val="none" w:sz="0" w:space="0" w:color="auto"/>
      </w:divBdr>
    </w:div>
    <w:div w:id="1284339056">
      <w:bodyDiv w:val="1"/>
      <w:marLeft w:val="0"/>
      <w:marRight w:val="0"/>
      <w:marTop w:val="0"/>
      <w:marBottom w:val="0"/>
      <w:divBdr>
        <w:top w:val="none" w:sz="0" w:space="0" w:color="auto"/>
        <w:left w:val="none" w:sz="0" w:space="0" w:color="auto"/>
        <w:bottom w:val="none" w:sz="0" w:space="0" w:color="auto"/>
        <w:right w:val="none" w:sz="0" w:space="0" w:color="auto"/>
      </w:divBdr>
    </w:div>
    <w:div w:id="1310211720">
      <w:bodyDiv w:val="1"/>
      <w:marLeft w:val="0"/>
      <w:marRight w:val="0"/>
      <w:marTop w:val="0"/>
      <w:marBottom w:val="0"/>
      <w:divBdr>
        <w:top w:val="none" w:sz="0" w:space="0" w:color="auto"/>
        <w:left w:val="none" w:sz="0" w:space="0" w:color="auto"/>
        <w:bottom w:val="none" w:sz="0" w:space="0" w:color="auto"/>
        <w:right w:val="none" w:sz="0" w:space="0" w:color="auto"/>
      </w:divBdr>
    </w:div>
    <w:div w:id="1326664852">
      <w:bodyDiv w:val="1"/>
      <w:marLeft w:val="0"/>
      <w:marRight w:val="0"/>
      <w:marTop w:val="0"/>
      <w:marBottom w:val="0"/>
      <w:divBdr>
        <w:top w:val="none" w:sz="0" w:space="0" w:color="auto"/>
        <w:left w:val="none" w:sz="0" w:space="0" w:color="auto"/>
        <w:bottom w:val="none" w:sz="0" w:space="0" w:color="auto"/>
        <w:right w:val="none" w:sz="0" w:space="0" w:color="auto"/>
      </w:divBdr>
    </w:div>
    <w:div w:id="1328021769">
      <w:bodyDiv w:val="1"/>
      <w:marLeft w:val="0"/>
      <w:marRight w:val="0"/>
      <w:marTop w:val="0"/>
      <w:marBottom w:val="0"/>
      <w:divBdr>
        <w:top w:val="none" w:sz="0" w:space="0" w:color="auto"/>
        <w:left w:val="none" w:sz="0" w:space="0" w:color="auto"/>
        <w:bottom w:val="none" w:sz="0" w:space="0" w:color="auto"/>
        <w:right w:val="none" w:sz="0" w:space="0" w:color="auto"/>
      </w:divBdr>
    </w:div>
    <w:div w:id="1332172120">
      <w:bodyDiv w:val="1"/>
      <w:marLeft w:val="0"/>
      <w:marRight w:val="0"/>
      <w:marTop w:val="0"/>
      <w:marBottom w:val="0"/>
      <w:divBdr>
        <w:top w:val="none" w:sz="0" w:space="0" w:color="auto"/>
        <w:left w:val="none" w:sz="0" w:space="0" w:color="auto"/>
        <w:bottom w:val="none" w:sz="0" w:space="0" w:color="auto"/>
        <w:right w:val="none" w:sz="0" w:space="0" w:color="auto"/>
      </w:divBdr>
    </w:div>
    <w:div w:id="1359163361">
      <w:bodyDiv w:val="1"/>
      <w:marLeft w:val="0"/>
      <w:marRight w:val="0"/>
      <w:marTop w:val="0"/>
      <w:marBottom w:val="0"/>
      <w:divBdr>
        <w:top w:val="none" w:sz="0" w:space="0" w:color="auto"/>
        <w:left w:val="none" w:sz="0" w:space="0" w:color="auto"/>
        <w:bottom w:val="none" w:sz="0" w:space="0" w:color="auto"/>
        <w:right w:val="none" w:sz="0" w:space="0" w:color="auto"/>
      </w:divBdr>
    </w:div>
    <w:div w:id="1363282924">
      <w:bodyDiv w:val="1"/>
      <w:marLeft w:val="0"/>
      <w:marRight w:val="0"/>
      <w:marTop w:val="0"/>
      <w:marBottom w:val="0"/>
      <w:divBdr>
        <w:top w:val="none" w:sz="0" w:space="0" w:color="auto"/>
        <w:left w:val="none" w:sz="0" w:space="0" w:color="auto"/>
        <w:bottom w:val="none" w:sz="0" w:space="0" w:color="auto"/>
        <w:right w:val="none" w:sz="0" w:space="0" w:color="auto"/>
      </w:divBdr>
    </w:div>
    <w:div w:id="1374497151">
      <w:bodyDiv w:val="1"/>
      <w:marLeft w:val="0"/>
      <w:marRight w:val="0"/>
      <w:marTop w:val="0"/>
      <w:marBottom w:val="0"/>
      <w:divBdr>
        <w:top w:val="none" w:sz="0" w:space="0" w:color="auto"/>
        <w:left w:val="none" w:sz="0" w:space="0" w:color="auto"/>
        <w:bottom w:val="none" w:sz="0" w:space="0" w:color="auto"/>
        <w:right w:val="none" w:sz="0" w:space="0" w:color="auto"/>
      </w:divBdr>
    </w:div>
    <w:div w:id="1386295518">
      <w:bodyDiv w:val="1"/>
      <w:marLeft w:val="0"/>
      <w:marRight w:val="0"/>
      <w:marTop w:val="0"/>
      <w:marBottom w:val="0"/>
      <w:divBdr>
        <w:top w:val="none" w:sz="0" w:space="0" w:color="auto"/>
        <w:left w:val="none" w:sz="0" w:space="0" w:color="auto"/>
        <w:bottom w:val="none" w:sz="0" w:space="0" w:color="auto"/>
        <w:right w:val="none" w:sz="0" w:space="0" w:color="auto"/>
      </w:divBdr>
    </w:div>
    <w:div w:id="1392576653">
      <w:bodyDiv w:val="1"/>
      <w:marLeft w:val="0"/>
      <w:marRight w:val="0"/>
      <w:marTop w:val="0"/>
      <w:marBottom w:val="0"/>
      <w:divBdr>
        <w:top w:val="none" w:sz="0" w:space="0" w:color="auto"/>
        <w:left w:val="none" w:sz="0" w:space="0" w:color="auto"/>
        <w:bottom w:val="none" w:sz="0" w:space="0" w:color="auto"/>
        <w:right w:val="none" w:sz="0" w:space="0" w:color="auto"/>
      </w:divBdr>
    </w:div>
    <w:div w:id="1399744745">
      <w:bodyDiv w:val="1"/>
      <w:marLeft w:val="0"/>
      <w:marRight w:val="0"/>
      <w:marTop w:val="0"/>
      <w:marBottom w:val="0"/>
      <w:divBdr>
        <w:top w:val="none" w:sz="0" w:space="0" w:color="auto"/>
        <w:left w:val="none" w:sz="0" w:space="0" w:color="auto"/>
        <w:bottom w:val="none" w:sz="0" w:space="0" w:color="auto"/>
        <w:right w:val="none" w:sz="0" w:space="0" w:color="auto"/>
      </w:divBdr>
    </w:div>
    <w:div w:id="1459840989">
      <w:bodyDiv w:val="1"/>
      <w:marLeft w:val="0"/>
      <w:marRight w:val="0"/>
      <w:marTop w:val="0"/>
      <w:marBottom w:val="0"/>
      <w:divBdr>
        <w:top w:val="none" w:sz="0" w:space="0" w:color="auto"/>
        <w:left w:val="none" w:sz="0" w:space="0" w:color="auto"/>
        <w:bottom w:val="none" w:sz="0" w:space="0" w:color="auto"/>
        <w:right w:val="none" w:sz="0" w:space="0" w:color="auto"/>
      </w:divBdr>
    </w:div>
    <w:div w:id="1462382098">
      <w:bodyDiv w:val="1"/>
      <w:marLeft w:val="0"/>
      <w:marRight w:val="0"/>
      <w:marTop w:val="0"/>
      <w:marBottom w:val="0"/>
      <w:divBdr>
        <w:top w:val="none" w:sz="0" w:space="0" w:color="auto"/>
        <w:left w:val="none" w:sz="0" w:space="0" w:color="auto"/>
        <w:bottom w:val="none" w:sz="0" w:space="0" w:color="auto"/>
        <w:right w:val="none" w:sz="0" w:space="0" w:color="auto"/>
      </w:divBdr>
    </w:div>
    <w:div w:id="1463964175">
      <w:bodyDiv w:val="1"/>
      <w:marLeft w:val="0"/>
      <w:marRight w:val="0"/>
      <w:marTop w:val="0"/>
      <w:marBottom w:val="0"/>
      <w:divBdr>
        <w:top w:val="none" w:sz="0" w:space="0" w:color="auto"/>
        <w:left w:val="none" w:sz="0" w:space="0" w:color="auto"/>
        <w:bottom w:val="none" w:sz="0" w:space="0" w:color="auto"/>
        <w:right w:val="none" w:sz="0" w:space="0" w:color="auto"/>
      </w:divBdr>
    </w:div>
    <w:div w:id="1471168842">
      <w:bodyDiv w:val="1"/>
      <w:marLeft w:val="0"/>
      <w:marRight w:val="0"/>
      <w:marTop w:val="0"/>
      <w:marBottom w:val="0"/>
      <w:divBdr>
        <w:top w:val="none" w:sz="0" w:space="0" w:color="auto"/>
        <w:left w:val="none" w:sz="0" w:space="0" w:color="auto"/>
        <w:bottom w:val="none" w:sz="0" w:space="0" w:color="auto"/>
        <w:right w:val="none" w:sz="0" w:space="0" w:color="auto"/>
      </w:divBdr>
    </w:div>
    <w:div w:id="1482773649">
      <w:bodyDiv w:val="1"/>
      <w:marLeft w:val="0"/>
      <w:marRight w:val="0"/>
      <w:marTop w:val="0"/>
      <w:marBottom w:val="0"/>
      <w:divBdr>
        <w:top w:val="none" w:sz="0" w:space="0" w:color="auto"/>
        <w:left w:val="none" w:sz="0" w:space="0" w:color="auto"/>
        <w:bottom w:val="none" w:sz="0" w:space="0" w:color="auto"/>
        <w:right w:val="none" w:sz="0" w:space="0" w:color="auto"/>
      </w:divBdr>
    </w:div>
    <w:div w:id="1495606117">
      <w:bodyDiv w:val="1"/>
      <w:marLeft w:val="0"/>
      <w:marRight w:val="0"/>
      <w:marTop w:val="0"/>
      <w:marBottom w:val="0"/>
      <w:divBdr>
        <w:top w:val="none" w:sz="0" w:space="0" w:color="auto"/>
        <w:left w:val="none" w:sz="0" w:space="0" w:color="auto"/>
        <w:bottom w:val="none" w:sz="0" w:space="0" w:color="auto"/>
        <w:right w:val="none" w:sz="0" w:space="0" w:color="auto"/>
      </w:divBdr>
    </w:div>
    <w:div w:id="1498886531">
      <w:bodyDiv w:val="1"/>
      <w:marLeft w:val="0"/>
      <w:marRight w:val="0"/>
      <w:marTop w:val="0"/>
      <w:marBottom w:val="0"/>
      <w:divBdr>
        <w:top w:val="none" w:sz="0" w:space="0" w:color="auto"/>
        <w:left w:val="none" w:sz="0" w:space="0" w:color="auto"/>
        <w:bottom w:val="none" w:sz="0" w:space="0" w:color="auto"/>
        <w:right w:val="none" w:sz="0" w:space="0" w:color="auto"/>
      </w:divBdr>
    </w:div>
    <w:div w:id="1504856257">
      <w:bodyDiv w:val="1"/>
      <w:marLeft w:val="0"/>
      <w:marRight w:val="0"/>
      <w:marTop w:val="0"/>
      <w:marBottom w:val="0"/>
      <w:divBdr>
        <w:top w:val="none" w:sz="0" w:space="0" w:color="auto"/>
        <w:left w:val="none" w:sz="0" w:space="0" w:color="auto"/>
        <w:bottom w:val="none" w:sz="0" w:space="0" w:color="auto"/>
        <w:right w:val="none" w:sz="0" w:space="0" w:color="auto"/>
      </w:divBdr>
    </w:div>
    <w:div w:id="1515653432">
      <w:bodyDiv w:val="1"/>
      <w:marLeft w:val="0"/>
      <w:marRight w:val="0"/>
      <w:marTop w:val="0"/>
      <w:marBottom w:val="0"/>
      <w:divBdr>
        <w:top w:val="none" w:sz="0" w:space="0" w:color="auto"/>
        <w:left w:val="none" w:sz="0" w:space="0" w:color="auto"/>
        <w:bottom w:val="none" w:sz="0" w:space="0" w:color="auto"/>
        <w:right w:val="none" w:sz="0" w:space="0" w:color="auto"/>
      </w:divBdr>
    </w:div>
    <w:div w:id="1526481474">
      <w:bodyDiv w:val="1"/>
      <w:marLeft w:val="0"/>
      <w:marRight w:val="0"/>
      <w:marTop w:val="0"/>
      <w:marBottom w:val="0"/>
      <w:divBdr>
        <w:top w:val="none" w:sz="0" w:space="0" w:color="auto"/>
        <w:left w:val="none" w:sz="0" w:space="0" w:color="auto"/>
        <w:bottom w:val="none" w:sz="0" w:space="0" w:color="auto"/>
        <w:right w:val="none" w:sz="0" w:space="0" w:color="auto"/>
      </w:divBdr>
    </w:div>
    <w:div w:id="1542355350">
      <w:bodyDiv w:val="1"/>
      <w:marLeft w:val="0"/>
      <w:marRight w:val="0"/>
      <w:marTop w:val="0"/>
      <w:marBottom w:val="0"/>
      <w:divBdr>
        <w:top w:val="none" w:sz="0" w:space="0" w:color="auto"/>
        <w:left w:val="none" w:sz="0" w:space="0" w:color="auto"/>
        <w:bottom w:val="none" w:sz="0" w:space="0" w:color="auto"/>
        <w:right w:val="none" w:sz="0" w:space="0" w:color="auto"/>
      </w:divBdr>
    </w:div>
    <w:div w:id="1549028810">
      <w:bodyDiv w:val="1"/>
      <w:marLeft w:val="0"/>
      <w:marRight w:val="0"/>
      <w:marTop w:val="0"/>
      <w:marBottom w:val="0"/>
      <w:divBdr>
        <w:top w:val="none" w:sz="0" w:space="0" w:color="auto"/>
        <w:left w:val="none" w:sz="0" w:space="0" w:color="auto"/>
        <w:bottom w:val="none" w:sz="0" w:space="0" w:color="auto"/>
        <w:right w:val="none" w:sz="0" w:space="0" w:color="auto"/>
      </w:divBdr>
    </w:div>
    <w:div w:id="1551728254">
      <w:bodyDiv w:val="1"/>
      <w:marLeft w:val="0"/>
      <w:marRight w:val="0"/>
      <w:marTop w:val="0"/>
      <w:marBottom w:val="0"/>
      <w:divBdr>
        <w:top w:val="none" w:sz="0" w:space="0" w:color="auto"/>
        <w:left w:val="none" w:sz="0" w:space="0" w:color="auto"/>
        <w:bottom w:val="none" w:sz="0" w:space="0" w:color="auto"/>
        <w:right w:val="none" w:sz="0" w:space="0" w:color="auto"/>
      </w:divBdr>
    </w:div>
    <w:div w:id="1561600395">
      <w:bodyDiv w:val="1"/>
      <w:marLeft w:val="0"/>
      <w:marRight w:val="0"/>
      <w:marTop w:val="0"/>
      <w:marBottom w:val="0"/>
      <w:divBdr>
        <w:top w:val="none" w:sz="0" w:space="0" w:color="auto"/>
        <w:left w:val="none" w:sz="0" w:space="0" w:color="auto"/>
        <w:bottom w:val="none" w:sz="0" w:space="0" w:color="auto"/>
        <w:right w:val="none" w:sz="0" w:space="0" w:color="auto"/>
      </w:divBdr>
    </w:div>
    <w:div w:id="1589535896">
      <w:bodyDiv w:val="1"/>
      <w:marLeft w:val="0"/>
      <w:marRight w:val="0"/>
      <w:marTop w:val="0"/>
      <w:marBottom w:val="0"/>
      <w:divBdr>
        <w:top w:val="none" w:sz="0" w:space="0" w:color="auto"/>
        <w:left w:val="none" w:sz="0" w:space="0" w:color="auto"/>
        <w:bottom w:val="none" w:sz="0" w:space="0" w:color="auto"/>
        <w:right w:val="none" w:sz="0" w:space="0" w:color="auto"/>
      </w:divBdr>
    </w:div>
    <w:div w:id="1593197795">
      <w:bodyDiv w:val="1"/>
      <w:marLeft w:val="0"/>
      <w:marRight w:val="0"/>
      <w:marTop w:val="0"/>
      <w:marBottom w:val="0"/>
      <w:divBdr>
        <w:top w:val="none" w:sz="0" w:space="0" w:color="auto"/>
        <w:left w:val="none" w:sz="0" w:space="0" w:color="auto"/>
        <w:bottom w:val="none" w:sz="0" w:space="0" w:color="auto"/>
        <w:right w:val="none" w:sz="0" w:space="0" w:color="auto"/>
      </w:divBdr>
    </w:div>
    <w:div w:id="1607077664">
      <w:bodyDiv w:val="1"/>
      <w:marLeft w:val="0"/>
      <w:marRight w:val="0"/>
      <w:marTop w:val="0"/>
      <w:marBottom w:val="0"/>
      <w:divBdr>
        <w:top w:val="none" w:sz="0" w:space="0" w:color="auto"/>
        <w:left w:val="none" w:sz="0" w:space="0" w:color="auto"/>
        <w:bottom w:val="none" w:sz="0" w:space="0" w:color="auto"/>
        <w:right w:val="none" w:sz="0" w:space="0" w:color="auto"/>
      </w:divBdr>
    </w:div>
    <w:div w:id="1621033501">
      <w:bodyDiv w:val="1"/>
      <w:marLeft w:val="0"/>
      <w:marRight w:val="0"/>
      <w:marTop w:val="0"/>
      <w:marBottom w:val="0"/>
      <w:divBdr>
        <w:top w:val="none" w:sz="0" w:space="0" w:color="auto"/>
        <w:left w:val="none" w:sz="0" w:space="0" w:color="auto"/>
        <w:bottom w:val="none" w:sz="0" w:space="0" w:color="auto"/>
        <w:right w:val="none" w:sz="0" w:space="0" w:color="auto"/>
      </w:divBdr>
    </w:div>
    <w:div w:id="1646010850">
      <w:bodyDiv w:val="1"/>
      <w:marLeft w:val="0"/>
      <w:marRight w:val="0"/>
      <w:marTop w:val="0"/>
      <w:marBottom w:val="0"/>
      <w:divBdr>
        <w:top w:val="none" w:sz="0" w:space="0" w:color="auto"/>
        <w:left w:val="none" w:sz="0" w:space="0" w:color="auto"/>
        <w:bottom w:val="none" w:sz="0" w:space="0" w:color="auto"/>
        <w:right w:val="none" w:sz="0" w:space="0" w:color="auto"/>
      </w:divBdr>
    </w:div>
    <w:div w:id="1654522123">
      <w:bodyDiv w:val="1"/>
      <w:marLeft w:val="0"/>
      <w:marRight w:val="0"/>
      <w:marTop w:val="0"/>
      <w:marBottom w:val="0"/>
      <w:divBdr>
        <w:top w:val="none" w:sz="0" w:space="0" w:color="auto"/>
        <w:left w:val="none" w:sz="0" w:space="0" w:color="auto"/>
        <w:bottom w:val="none" w:sz="0" w:space="0" w:color="auto"/>
        <w:right w:val="none" w:sz="0" w:space="0" w:color="auto"/>
      </w:divBdr>
    </w:div>
    <w:div w:id="1657150079">
      <w:bodyDiv w:val="1"/>
      <w:marLeft w:val="0"/>
      <w:marRight w:val="0"/>
      <w:marTop w:val="0"/>
      <w:marBottom w:val="0"/>
      <w:divBdr>
        <w:top w:val="none" w:sz="0" w:space="0" w:color="auto"/>
        <w:left w:val="none" w:sz="0" w:space="0" w:color="auto"/>
        <w:bottom w:val="none" w:sz="0" w:space="0" w:color="auto"/>
        <w:right w:val="none" w:sz="0" w:space="0" w:color="auto"/>
      </w:divBdr>
    </w:div>
    <w:div w:id="1672442829">
      <w:bodyDiv w:val="1"/>
      <w:marLeft w:val="0"/>
      <w:marRight w:val="0"/>
      <w:marTop w:val="0"/>
      <w:marBottom w:val="0"/>
      <w:divBdr>
        <w:top w:val="none" w:sz="0" w:space="0" w:color="auto"/>
        <w:left w:val="none" w:sz="0" w:space="0" w:color="auto"/>
        <w:bottom w:val="none" w:sz="0" w:space="0" w:color="auto"/>
        <w:right w:val="none" w:sz="0" w:space="0" w:color="auto"/>
      </w:divBdr>
    </w:div>
    <w:div w:id="1683511179">
      <w:bodyDiv w:val="1"/>
      <w:marLeft w:val="0"/>
      <w:marRight w:val="0"/>
      <w:marTop w:val="0"/>
      <w:marBottom w:val="0"/>
      <w:divBdr>
        <w:top w:val="none" w:sz="0" w:space="0" w:color="auto"/>
        <w:left w:val="none" w:sz="0" w:space="0" w:color="auto"/>
        <w:bottom w:val="none" w:sz="0" w:space="0" w:color="auto"/>
        <w:right w:val="none" w:sz="0" w:space="0" w:color="auto"/>
      </w:divBdr>
    </w:div>
    <w:div w:id="1688868717">
      <w:bodyDiv w:val="1"/>
      <w:marLeft w:val="0"/>
      <w:marRight w:val="0"/>
      <w:marTop w:val="0"/>
      <w:marBottom w:val="0"/>
      <w:divBdr>
        <w:top w:val="none" w:sz="0" w:space="0" w:color="auto"/>
        <w:left w:val="none" w:sz="0" w:space="0" w:color="auto"/>
        <w:bottom w:val="none" w:sz="0" w:space="0" w:color="auto"/>
        <w:right w:val="none" w:sz="0" w:space="0" w:color="auto"/>
      </w:divBdr>
    </w:div>
    <w:div w:id="1697196622">
      <w:bodyDiv w:val="1"/>
      <w:marLeft w:val="0"/>
      <w:marRight w:val="0"/>
      <w:marTop w:val="0"/>
      <w:marBottom w:val="0"/>
      <w:divBdr>
        <w:top w:val="none" w:sz="0" w:space="0" w:color="auto"/>
        <w:left w:val="none" w:sz="0" w:space="0" w:color="auto"/>
        <w:bottom w:val="none" w:sz="0" w:space="0" w:color="auto"/>
        <w:right w:val="none" w:sz="0" w:space="0" w:color="auto"/>
      </w:divBdr>
    </w:div>
    <w:div w:id="1715734788">
      <w:bodyDiv w:val="1"/>
      <w:marLeft w:val="0"/>
      <w:marRight w:val="0"/>
      <w:marTop w:val="0"/>
      <w:marBottom w:val="0"/>
      <w:divBdr>
        <w:top w:val="none" w:sz="0" w:space="0" w:color="auto"/>
        <w:left w:val="none" w:sz="0" w:space="0" w:color="auto"/>
        <w:bottom w:val="none" w:sz="0" w:space="0" w:color="auto"/>
        <w:right w:val="none" w:sz="0" w:space="0" w:color="auto"/>
      </w:divBdr>
    </w:div>
    <w:div w:id="1731152799">
      <w:bodyDiv w:val="1"/>
      <w:marLeft w:val="0"/>
      <w:marRight w:val="0"/>
      <w:marTop w:val="0"/>
      <w:marBottom w:val="0"/>
      <w:divBdr>
        <w:top w:val="none" w:sz="0" w:space="0" w:color="auto"/>
        <w:left w:val="none" w:sz="0" w:space="0" w:color="auto"/>
        <w:bottom w:val="none" w:sz="0" w:space="0" w:color="auto"/>
        <w:right w:val="none" w:sz="0" w:space="0" w:color="auto"/>
      </w:divBdr>
    </w:div>
    <w:div w:id="1737975730">
      <w:bodyDiv w:val="1"/>
      <w:marLeft w:val="0"/>
      <w:marRight w:val="0"/>
      <w:marTop w:val="0"/>
      <w:marBottom w:val="0"/>
      <w:divBdr>
        <w:top w:val="none" w:sz="0" w:space="0" w:color="auto"/>
        <w:left w:val="none" w:sz="0" w:space="0" w:color="auto"/>
        <w:bottom w:val="none" w:sz="0" w:space="0" w:color="auto"/>
        <w:right w:val="none" w:sz="0" w:space="0" w:color="auto"/>
      </w:divBdr>
    </w:div>
    <w:div w:id="1746680486">
      <w:bodyDiv w:val="1"/>
      <w:marLeft w:val="0"/>
      <w:marRight w:val="0"/>
      <w:marTop w:val="0"/>
      <w:marBottom w:val="0"/>
      <w:divBdr>
        <w:top w:val="none" w:sz="0" w:space="0" w:color="auto"/>
        <w:left w:val="none" w:sz="0" w:space="0" w:color="auto"/>
        <w:bottom w:val="none" w:sz="0" w:space="0" w:color="auto"/>
        <w:right w:val="none" w:sz="0" w:space="0" w:color="auto"/>
      </w:divBdr>
    </w:div>
    <w:div w:id="1750536093">
      <w:bodyDiv w:val="1"/>
      <w:marLeft w:val="0"/>
      <w:marRight w:val="0"/>
      <w:marTop w:val="0"/>
      <w:marBottom w:val="0"/>
      <w:divBdr>
        <w:top w:val="none" w:sz="0" w:space="0" w:color="auto"/>
        <w:left w:val="none" w:sz="0" w:space="0" w:color="auto"/>
        <w:bottom w:val="none" w:sz="0" w:space="0" w:color="auto"/>
        <w:right w:val="none" w:sz="0" w:space="0" w:color="auto"/>
      </w:divBdr>
    </w:div>
    <w:div w:id="1754037692">
      <w:bodyDiv w:val="1"/>
      <w:marLeft w:val="0"/>
      <w:marRight w:val="0"/>
      <w:marTop w:val="0"/>
      <w:marBottom w:val="0"/>
      <w:divBdr>
        <w:top w:val="none" w:sz="0" w:space="0" w:color="auto"/>
        <w:left w:val="none" w:sz="0" w:space="0" w:color="auto"/>
        <w:bottom w:val="none" w:sz="0" w:space="0" w:color="auto"/>
        <w:right w:val="none" w:sz="0" w:space="0" w:color="auto"/>
      </w:divBdr>
    </w:div>
    <w:div w:id="1754086090">
      <w:bodyDiv w:val="1"/>
      <w:marLeft w:val="0"/>
      <w:marRight w:val="0"/>
      <w:marTop w:val="0"/>
      <w:marBottom w:val="0"/>
      <w:divBdr>
        <w:top w:val="none" w:sz="0" w:space="0" w:color="auto"/>
        <w:left w:val="none" w:sz="0" w:space="0" w:color="auto"/>
        <w:bottom w:val="none" w:sz="0" w:space="0" w:color="auto"/>
        <w:right w:val="none" w:sz="0" w:space="0" w:color="auto"/>
      </w:divBdr>
    </w:div>
    <w:div w:id="1756052392">
      <w:bodyDiv w:val="1"/>
      <w:marLeft w:val="0"/>
      <w:marRight w:val="0"/>
      <w:marTop w:val="0"/>
      <w:marBottom w:val="0"/>
      <w:divBdr>
        <w:top w:val="none" w:sz="0" w:space="0" w:color="auto"/>
        <w:left w:val="none" w:sz="0" w:space="0" w:color="auto"/>
        <w:bottom w:val="none" w:sz="0" w:space="0" w:color="auto"/>
        <w:right w:val="none" w:sz="0" w:space="0" w:color="auto"/>
      </w:divBdr>
    </w:div>
    <w:div w:id="1762410394">
      <w:bodyDiv w:val="1"/>
      <w:marLeft w:val="0"/>
      <w:marRight w:val="0"/>
      <w:marTop w:val="0"/>
      <w:marBottom w:val="0"/>
      <w:divBdr>
        <w:top w:val="none" w:sz="0" w:space="0" w:color="auto"/>
        <w:left w:val="none" w:sz="0" w:space="0" w:color="auto"/>
        <w:bottom w:val="none" w:sz="0" w:space="0" w:color="auto"/>
        <w:right w:val="none" w:sz="0" w:space="0" w:color="auto"/>
      </w:divBdr>
    </w:div>
    <w:div w:id="1771779737">
      <w:bodyDiv w:val="1"/>
      <w:marLeft w:val="0"/>
      <w:marRight w:val="0"/>
      <w:marTop w:val="0"/>
      <w:marBottom w:val="0"/>
      <w:divBdr>
        <w:top w:val="none" w:sz="0" w:space="0" w:color="auto"/>
        <w:left w:val="none" w:sz="0" w:space="0" w:color="auto"/>
        <w:bottom w:val="none" w:sz="0" w:space="0" w:color="auto"/>
        <w:right w:val="none" w:sz="0" w:space="0" w:color="auto"/>
      </w:divBdr>
    </w:div>
    <w:div w:id="1778599392">
      <w:bodyDiv w:val="1"/>
      <w:marLeft w:val="0"/>
      <w:marRight w:val="0"/>
      <w:marTop w:val="0"/>
      <w:marBottom w:val="0"/>
      <w:divBdr>
        <w:top w:val="none" w:sz="0" w:space="0" w:color="auto"/>
        <w:left w:val="none" w:sz="0" w:space="0" w:color="auto"/>
        <w:bottom w:val="none" w:sz="0" w:space="0" w:color="auto"/>
        <w:right w:val="none" w:sz="0" w:space="0" w:color="auto"/>
      </w:divBdr>
    </w:div>
    <w:div w:id="1782188117">
      <w:bodyDiv w:val="1"/>
      <w:marLeft w:val="0"/>
      <w:marRight w:val="0"/>
      <w:marTop w:val="0"/>
      <w:marBottom w:val="0"/>
      <w:divBdr>
        <w:top w:val="none" w:sz="0" w:space="0" w:color="auto"/>
        <w:left w:val="none" w:sz="0" w:space="0" w:color="auto"/>
        <w:bottom w:val="none" w:sz="0" w:space="0" w:color="auto"/>
        <w:right w:val="none" w:sz="0" w:space="0" w:color="auto"/>
      </w:divBdr>
    </w:div>
    <w:div w:id="1801918446">
      <w:bodyDiv w:val="1"/>
      <w:marLeft w:val="0"/>
      <w:marRight w:val="0"/>
      <w:marTop w:val="0"/>
      <w:marBottom w:val="0"/>
      <w:divBdr>
        <w:top w:val="none" w:sz="0" w:space="0" w:color="auto"/>
        <w:left w:val="none" w:sz="0" w:space="0" w:color="auto"/>
        <w:bottom w:val="none" w:sz="0" w:space="0" w:color="auto"/>
        <w:right w:val="none" w:sz="0" w:space="0" w:color="auto"/>
      </w:divBdr>
    </w:div>
    <w:div w:id="1802772512">
      <w:bodyDiv w:val="1"/>
      <w:marLeft w:val="0"/>
      <w:marRight w:val="0"/>
      <w:marTop w:val="0"/>
      <w:marBottom w:val="0"/>
      <w:divBdr>
        <w:top w:val="none" w:sz="0" w:space="0" w:color="auto"/>
        <w:left w:val="none" w:sz="0" w:space="0" w:color="auto"/>
        <w:bottom w:val="none" w:sz="0" w:space="0" w:color="auto"/>
        <w:right w:val="none" w:sz="0" w:space="0" w:color="auto"/>
      </w:divBdr>
    </w:div>
    <w:div w:id="1828205791">
      <w:bodyDiv w:val="1"/>
      <w:marLeft w:val="0"/>
      <w:marRight w:val="0"/>
      <w:marTop w:val="0"/>
      <w:marBottom w:val="0"/>
      <w:divBdr>
        <w:top w:val="none" w:sz="0" w:space="0" w:color="auto"/>
        <w:left w:val="none" w:sz="0" w:space="0" w:color="auto"/>
        <w:bottom w:val="none" w:sz="0" w:space="0" w:color="auto"/>
        <w:right w:val="none" w:sz="0" w:space="0" w:color="auto"/>
      </w:divBdr>
    </w:div>
    <w:div w:id="1834836470">
      <w:bodyDiv w:val="1"/>
      <w:marLeft w:val="0"/>
      <w:marRight w:val="0"/>
      <w:marTop w:val="0"/>
      <w:marBottom w:val="0"/>
      <w:divBdr>
        <w:top w:val="none" w:sz="0" w:space="0" w:color="auto"/>
        <w:left w:val="none" w:sz="0" w:space="0" w:color="auto"/>
        <w:bottom w:val="none" w:sz="0" w:space="0" w:color="auto"/>
        <w:right w:val="none" w:sz="0" w:space="0" w:color="auto"/>
      </w:divBdr>
    </w:div>
    <w:div w:id="1848247236">
      <w:bodyDiv w:val="1"/>
      <w:marLeft w:val="0"/>
      <w:marRight w:val="0"/>
      <w:marTop w:val="0"/>
      <w:marBottom w:val="0"/>
      <w:divBdr>
        <w:top w:val="none" w:sz="0" w:space="0" w:color="auto"/>
        <w:left w:val="none" w:sz="0" w:space="0" w:color="auto"/>
        <w:bottom w:val="none" w:sz="0" w:space="0" w:color="auto"/>
        <w:right w:val="none" w:sz="0" w:space="0" w:color="auto"/>
      </w:divBdr>
    </w:div>
    <w:div w:id="1863742769">
      <w:bodyDiv w:val="1"/>
      <w:marLeft w:val="0"/>
      <w:marRight w:val="0"/>
      <w:marTop w:val="0"/>
      <w:marBottom w:val="0"/>
      <w:divBdr>
        <w:top w:val="none" w:sz="0" w:space="0" w:color="auto"/>
        <w:left w:val="none" w:sz="0" w:space="0" w:color="auto"/>
        <w:bottom w:val="none" w:sz="0" w:space="0" w:color="auto"/>
        <w:right w:val="none" w:sz="0" w:space="0" w:color="auto"/>
      </w:divBdr>
    </w:div>
    <w:div w:id="1874031567">
      <w:bodyDiv w:val="1"/>
      <w:marLeft w:val="0"/>
      <w:marRight w:val="0"/>
      <w:marTop w:val="0"/>
      <w:marBottom w:val="0"/>
      <w:divBdr>
        <w:top w:val="none" w:sz="0" w:space="0" w:color="auto"/>
        <w:left w:val="none" w:sz="0" w:space="0" w:color="auto"/>
        <w:bottom w:val="none" w:sz="0" w:space="0" w:color="auto"/>
        <w:right w:val="none" w:sz="0" w:space="0" w:color="auto"/>
      </w:divBdr>
    </w:div>
    <w:div w:id="1887258365">
      <w:bodyDiv w:val="1"/>
      <w:marLeft w:val="0"/>
      <w:marRight w:val="0"/>
      <w:marTop w:val="0"/>
      <w:marBottom w:val="0"/>
      <w:divBdr>
        <w:top w:val="none" w:sz="0" w:space="0" w:color="auto"/>
        <w:left w:val="none" w:sz="0" w:space="0" w:color="auto"/>
        <w:bottom w:val="none" w:sz="0" w:space="0" w:color="auto"/>
        <w:right w:val="none" w:sz="0" w:space="0" w:color="auto"/>
      </w:divBdr>
      <w:divsChild>
        <w:div w:id="800729372">
          <w:marLeft w:val="0"/>
          <w:marRight w:val="225"/>
          <w:marTop w:val="75"/>
          <w:marBottom w:val="0"/>
          <w:divBdr>
            <w:top w:val="none" w:sz="0" w:space="0" w:color="auto"/>
            <w:left w:val="none" w:sz="0" w:space="0" w:color="auto"/>
            <w:bottom w:val="none" w:sz="0" w:space="0" w:color="auto"/>
            <w:right w:val="none" w:sz="0" w:space="0" w:color="auto"/>
          </w:divBdr>
          <w:divsChild>
            <w:div w:id="1505238856">
              <w:marLeft w:val="0"/>
              <w:marRight w:val="0"/>
              <w:marTop w:val="0"/>
              <w:marBottom w:val="0"/>
              <w:divBdr>
                <w:top w:val="none" w:sz="0" w:space="0" w:color="auto"/>
                <w:left w:val="none" w:sz="0" w:space="0" w:color="auto"/>
                <w:bottom w:val="none" w:sz="0" w:space="0" w:color="auto"/>
                <w:right w:val="none" w:sz="0" w:space="0" w:color="auto"/>
              </w:divBdr>
              <w:divsChild>
                <w:div w:id="588582385">
                  <w:marLeft w:val="0"/>
                  <w:marRight w:val="0"/>
                  <w:marTop w:val="0"/>
                  <w:marBottom w:val="0"/>
                  <w:divBdr>
                    <w:top w:val="none" w:sz="0" w:space="0" w:color="auto"/>
                    <w:left w:val="none" w:sz="0" w:space="0" w:color="auto"/>
                    <w:bottom w:val="none" w:sz="0" w:space="0" w:color="auto"/>
                    <w:right w:val="none" w:sz="0" w:space="0" w:color="auto"/>
                  </w:divBdr>
                  <w:divsChild>
                    <w:div w:id="712576770">
                      <w:marLeft w:val="0"/>
                      <w:marRight w:val="0"/>
                      <w:marTop w:val="0"/>
                      <w:marBottom w:val="0"/>
                      <w:divBdr>
                        <w:top w:val="none" w:sz="0" w:space="0" w:color="auto"/>
                        <w:left w:val="none" w:sz="0" w:space="0" w:color="auto"/>
                        <w:bottom w:val="none" w:sz="0" w:space="0" w:color="auto"/>
                        <w:right w:val="none" w:sz="0" w:space="0" w:color="auto"/>
                      </w:divBdr>
                    </w:div>
                    <w:div w:id="1060977691">
                      <w:marLeft w:val="0"/>
                      <w:marRight w:val="0"/>
                      <w:marTop w:val="0"/>
                      <w:marBottom w:val="0"/>
                      <w:divBdr>
                        <w:top w:val="none" w:sz="0" w:space="0" w:color="auto"/>
                        <w:left w:val="none" w:sz="0" w:space="0" w:color="auto"/>
                        <w:bottom w:val="none" w:sz="0" w:space="0" w:color="auto"/>
                        <w:right w:val="none" w:sz="0" w:space="0" w:color="auto"/>
                      </w:divBdr>
                    </w:div>
                    <w:div w:id="1823889238">
                      <w:marLeft w:val="0"/>
                      <w:marRight w:val="0"/>
                      <w:marTop w:val="0"/>
                      <w:marBottom w:val="0"/>
                      <w:divBdr>
                        <w:top w:val="none" w:sz="0" w:space="0" w:color="auto"/>
                        <w:left w:val="none" w:sz="0" w:space="0" w:color="auto"/>
                        <w:bottom w:val="none" w:sz="0" w:space="0" w:color="auto"/>
                        <w:right w:val="none" w:sz="0" w:space="0" w:color="auto"/>
                      </w:divBdr>
                    </w:div>
                    <w:div w:id="802384771">
                      <w:marLeft w:val="0"/>
                      <w:marRight w:val="0"/>
                      <w:marTop w:val="0"/>
                      <w:marBottom w:val="0"/>
                      <w:divBdr>
                        <w:top w:val="none" w:sz="0" w:space="0" w:color="auto"/>
                        <w:left w:val="none" w:sz="0" w:space="0" w:color="auto"/>
                        <w:bottom w:val="none" w:sz="0" w:space="0" w:color="auto"/>
                        <w:right w:val="none" w:sz="0" w:space="0" w:color="auto"/>
                      </w:divBdr>
                    </w:div>
                    <w:div w:id="583296802">
                      <w:marLeft w:val="0"/>
                      <w:marRight w:val="0"/>
                      <w:marTop w:val="0"/>
                      <w:marBottom w:val="0"/>
                      <w:divBdr>
                        <w:top w:val="none" w:sz="0" w:space="0" w:color="auto"/>
                        <w:left w:val="none" w:sz="0" w:space="0" w:color="auto"/>
                        <w:bottom w:val="none" w:sz="0" w:space="0" w:color="auto"/>
                        <w:right w:val="none" w:sz="0" w:space="0" w:color="auto"/>
                      </w:divBdr>
                    </w:div>
                    <w:div w:id="1023751121">
                      <w:marLeft w:val="0"/>
                      <w:marRight w:val="0"/>
                      <w:marTop w:val="0"/>
                      <w:marBottom w:val="0"/>
                      <w:divBdr>
                        <w:top w:val="none" w:sz="0" w:space="0" w:color="auto"/>
                        <w:left w:val="none" w:sz="0" w:space="0" w:color="auto"/>
                        <w:bottom w:val="none" w:sz="0" w:space="0" w:color="auto"/>
                        <w:right w:val="none" w:sz="0" w:space="0" w:color="auto"/>
                      </w:divBdr>
                    </w:div>
                    <w:div w:id="1610625404">
                      <w:marLeft w:val="0"/>
                      <w:marRight w:val="0"/>
                      <w:marTop w:val="0"/>
                      <w:marBottom w:val="0"/>
                      <w:divBdr>
                        <w:top w:val="none" w:sz="0" w:space="0" w:color="auto"/>
                        <w:left w:val="none" w:sz="0" w:space="0" w:color="auto"/>
                        <w:bottom w:val="none" w:sz="0" w:space="0" w:color="auto"/>
                        <w:right w:val="none" w:sz="0" w:space="0" w:color="auto"/>
                      </w:divBdr>
                    </w:div>
                    <w:div w:id="2117358828">
                      <w:marLeft w:val="0"/>
                      <w:marRight w:val="0"/>
                      <w:marTop w:val="0"/>
                      <w:marBottom w:val="0"/>
                      <w:divBdr>
                        <w:top w:val="none" w:sz="0" w:space="0" w:color="auto"/>
                        <w:left w:val="none" w:sz="0" w:space="0" w:color="auto"/>
                        <w:bottom w:val="none" w:sz="0" w:space="0" w:color="auto"/>
                        <w:right w:val="none" w:sz="0" w:space="0" w:color="auto"/>
                      </w:divBdr>
                    </w:div>
                    <w:div w:id="66659326">
                      <w:marLeft w:val="0"/>
                      <w:marRight w:val="0"/>
                      <w:marTop w:val="0"/>
                      <w:marBottom w:val="0"/>
                      <w:divBdr>
                        <w:top w:val="none" w:sz="0" w:space="0" w:color="auto"/>
                        <w:left w:val="none" w:sz="0" w:space="0" w:color="auto"/>
                        <w:bottom w:val="none" w:sz="0" w:space="0" w:color="auto"/>
                        <w:right w:val="none" w:sz="0" w:space="0" w:color="auto"/>
                      </w:divBdr>
                    </w:div>
                    <w:div w:id="1504778409">
                      <w:marLeft w:val="0"/>
                      <w:marRight w:val="0"/>
                      <w:marTop w:val="0"/>
                      <w:marBottom w:val="0"/>
                      <w:divBdr>
                        <w:top w:val="none" w:sz="0" w:space="0" w:color="auto"/>
                        <w:left w:val="none" w:sz="0" w:space="0" w:color="auto"/>
                        <w:bottom w:val="none" w:sz="0" w:space="0" w:color="auto"/>
                        <w:right w:val="none" w:sz="0" w:space="0" w:color="auto"/>
                      </w:divBdr>
                    </w:div>
                    <w:div w:id="496306740">
                      <w:marLeft w:val="0"/>
                      <w:marRight w:val="0"/>
                      <w:marTop w:val="0"/>
                      <w:marBottom w:val="0"/>
                      <w:divBdr>
                        <w:top w:val="none" w:sz="0" w:space="0" w:color="auto"/>
                        <w:left w:val="none" w:sz="0" w:space="0" w:color="auto"/>
                        <w:bottom w:val="none" w:sz="0" w:space="0" w:color="auto"/>
                        <w:right w:val="none" w:sz="0" w:space="0" w:color="auto"/>
                      </w:divBdr>
                    </w:div>
                    <w:div w:id="1692101070">
                      <w:marLeft w:val="0"/>
                      <w:marRight w:val="0"/>
                      <w:marTop w:val="0"/>
                      <w:marBottom w:val="0"/>
                      <w:divBdr>
                        <w:top w:val="none" w:sz="0" w:space="0" w:color="auto"/>
                        <w:left w:val="none" w:sz="0" w:space="0" w:color="auto"/>
                        <w:bottom w:val="none" w:sz="0" w:space="0" w:color="auto"/>
                        <w:right w:val="none" w:sz="0" w:space="0" w:color="auto"/>
                      </w:divBdr>
                    </w:div>
                    <w:div w:id="1122268569">
                      <w:marLeft w:val="0"/>
                      <w:marRight w:val="0"/>
                      <w:marTop w:val="0"/>
                      <w:marBottom w:val="0"/>
                      <w:divBdr>
                        <w:top w:val="none" w:sz="0" w:space="0" w:color="auto"/>
                        <w:left w:val="none" w:sz="0" w:space="0" w:color="auto"/>
                        <w:bottom w:val="none" w:sz="0" w:space="0" w:color="auto"/>
                        <w:right w:val="none" w:sz="0" w:space="0" w:color="auto"/>
                      </w:divBdr>
                      <w:divsChild>
                        <w:div w:id="1627656919">
                          <w:marLeft w:val="0"/>
                          <w:marRight w:val="0"/>
                          <w:marTop w:val="0"/>
                          <w:marBottom w:val="0"/>
                          <w:divBdr>
                            <w:top w:val="none" w:sz="0" w:space="0" w:color="auto"/>
                            <w:left w:val="none" w:sz="0" w:space="0" w:color="auto"/>
                            <w:bottom w:val="none" w:sz="0" w:space="0" w:color="auto"/>
                            <w:right w:val="none" w:sz="0" w:space="0" w:color="auto"/>
                          </w:divBdr>
                          <w:divsChild>
                            <w:div w:id="1286884526">
                              <w:marLeft w:val="0"/>
                              <w:marRight w:val="0"/>
                              <w:marTop w:val="0"/>
                              <w:marBottom w:val="0"/>
                              <w:divBdr>
                                <w:top w:val="none" w:sz="0" w:space="0" w:color="auto"/>
                                <w:left w:val="none" w:sz="0" w:space="0" w:color="auto"/>
                                <w:bottom w:val="none" w:sz="0" w:space="0" w:color="auto"/>
                                <w:right w:val="none" w:sz="0" w:space="0" w:color="auto"/>
                              </w:divBdr>
                              <w:divsChild>
                                <w:div w:id="2013559735">
                                  <w:marLeft w:val="0"/>
                                  <w:marRight w:val="0"/>
                                  <w:marTop w:val="0"/>
                                  <w:marBottom w:val="0"/>
                                  <w:divBdr>
                                    <w:top w:val="none" w:sz="0" w:space="0" w:color="auto"/>
                                    <w:left w:val="none" w:sz="0" w:space="0" w:color="auto"/>
                                    <w:bottom w:val="none" w:sz="0" w:space="0" w:color="auto"/>
                                    <w:right w:val="none" w:sz="0" w:space="0" w:color="auto"/>
                                  </w:divBdr>
                                  <w:divsChild>
                                    <w:div w:id="1682662980">
                                      <w:marLeft w:val="0"/>
                                      <w:marRight w:val="0"/>
                                      <w:marTop w:val="0"/>
                                      <w:marBottom w:val="0"/>
                                      <w:divBdr>
                                        <w:top w:val="none" w:sz="0" w:space="0" w:color="auto"/>
                                        <w:left w:val="none" w:sz="0" w:space="0" w:color="auto"/>
                                        <w:bottom w:val="none" w:sz="0" w:space="0" w:color="auto"/>
                                        <w:right w:val="none" w:sz="0" w:space="0" w:color="auto"/>
                                      </w:divBdr>
                                      <w:divsChild>
                                        <w:div w:id="1401059092">
                                          <w:marLeft w:val="0"/>
                                          <w:marRight w:val="0"/>
                                          <w:marTop w:val="0"/>
                                          <w:marBottom w:val="0"/>
                                          <w:divBdr>
                                            <w:top w:val="none" w:sz="0" w:space="0" w:color="auto"/>
                                            <w:left w:val="none" w:sz="0" w:space="0" w:color="auto"/>
                                            <w:bottom w:val="none" w:sz="0" w:space="0" w:color="auto"/>
                                            <w:right w:val="none" w:sz="0" w:space="0" w:color="auto"/>
                                          </w:divBdr>
                                          <w:divsChild>
                                            <w:div w:id="740173722">
                                              <w:marLeft w:val="0"/>
                                              <w:marRight w:val="0"/>
                                              <w:marTop w:val="0"/>
                                              <w:marBottom w:val="0"/>
                                              <w:divBdr>
                                                <w:top w:val="none" w:sz="0" w:space="0" w:color="auto"/>
                                                <w:left w:val="none" w:sz="0" w:space="0" w:color="auto"/>
                                                <w:bottom w:val="none" w:sz="0" w:space="0" w:color="auto"/>
                                                <w:right w:val="none" w:sz="0" w:space="0" w:color="auto"/>
                                              </w:divBdr>
                                              <w:divsChild>
                                                <w:div w:id="105588163">
                                                  <w:marLeft w:val="0"/>
                                                  <w:marRight w:val="0"/>
                                                  <w:marTop w:val="0"/>
                                                  <w:marBottom w:val="0"/>
                                                  <w:divBdr>
                                                    <w:top w:val="none" w:sz="0" w:space="0" w:color="auto"/>
                                                    <w:left w:val="none" w:sz="0" w:space="0" w:color="auto"/>
                                                    <w:bottom w:val="none" w:sz="0" w:space="0" w:color="auto"/>
                                                    <w:right w:val="none" w:sz="0" w:space="0" w:color="auto"/>
                                                  </w:divBdr>
                                                  <w:divsChild>
                                                    <w:div w:id="1226070232">
                                                      <w:marLeft w:val="0"/>
                                                      <w:marRight w:val="0"/>
                                                      <w:marTop w:val="0"/>
                                                      <w:marBottom w:val="0"/>
                                                      <w:divBdr>
                                                        <w:top w:val="none" w:sz="0" w:space="0" w:color="auto"/>
                                                        <w:left w:val="none" w:sz="0" w:space="0" w:color="auto"/>
                                                        <w:bottom w:val="none" w:sz="0" w:space="0" w:color="auto"/>
                                                        <w:right w:val="none" w:sz="0" w:space="0" w:color="auto"/>
                                                      </w:divBdr>
                                                      <w:divsChild>
                                                        <w:div w:id="1109203541">
                                                          <w:marLeft w:val="0"/>
                                                          <w:marRight w:val="0"/>
                                                          <w:marTop w:val="0"/>
                                                          <w:marBottom w:val="0"/>
                                                          <w:divBdr>
                                                            <w:top w:val="none" w:sz="0" w:space="0" w:color="auto"/>
                                                            <w:left w:val="none" w:sz="0" w:space="0" w:color="auto"/>
                                                            <w:bottom w:val="none" w:sz="0" w:space="0" w:color="auto"/>
                                                            <w:right w:val="none" w:sz="0" w:space="0" w:color="auto"/>
                                                          </w:divBdr>
                                                          <w:divsChild>
                                                            <w:div w:id="2115441594">
                                                              <w:marLeft w:val="0"/>
                                                              <w:marRight w:val="0"/>
                                                              <w:marTop w:val="0"/>
                                                              <w:marBottom w:val="0"/>
                                                              <w:divBdr>
                                                                <w:top w:val="none" w:sz="0" w:space="0" w:color="auto"/>
                                                                <w:left w:val="none" w:sz="0" w:space="0" w:color="auto"/>
                                                                <w:bottom w:val="none" w:sz="0" w:space="0" w:color="auto"/>
                                                                <w:right w:val="none" w:sz="0" w:space="0" w:color="auto"/>
                                                              </w:divBdr>
                                                              <w:divsChild>
                                                                <w:div w:id="132142226">
                                                                  <w:marLeft w:val="0"/>
                                                                  <w:marRight w:val="0"/>
                                                                  <w:marTop w:val="0"/>
                                                                  <w:marBottom w:val="0"/>
                                                                  <w:divBdr>
                                                                    <w:top w:val="none" w:sz="0" w:space="0" w:color="auto"/>
                                                                    <w:left w:val="none" w:sz="0" w:space="0" w:color="auto"/>
                                                                    <w:bottom w:val="none" w:sz="0" w:space="0" w:color="auto"/>
                                                                    <w:right w:val="none" w:sz="0" w:space="0" w:color="auto"/>
                                                                  </w:divBdr>
                                                                  <w:divsChild>
                                                                    <w:div w:id="1581254139">
                                                                      <w:marLeft w:val="0"/>
                                                                      <w:marRight w:val="0"/>
                                                                      <w:marTop w:val="0"/>
                                                                      <w:marBottom w:val="0"/>
                                                                      <w:divBdr>
                                                                        <w:top w:val="none" w:sz="0" w:space="0" w:color="auto"/>
                                                                        <w:left w:val="none" w:sz="0" w:space="0" w:color="auto"/>
                                                                        <w:bottom w:val="none" w:sz="0" w:space="0" w:color="auto"/>
                                                                        <w:right w:val="none" w:sz="0" w:space="0" w:color="auto"/>
                                                                      </w:divBdr>
                                                                      <w:divsChild>
                                                                        <w:div w:id="1434395429">
                                                                          <w:marLeft w:val="0"/>
                                                                          <w:marRight w:val="0"/>
                                                                          <w:marTop w:val="0"/>
                                                                          <w:marBottom w:val="0"/>
                                                                          <w:divBdr>
                                                                            <w:top w:val="none" w:sz="0" w:space="0" w:color="auto"/>
                                                                            <w:left w:val="none" w:sz="0" w:space="0" w:color="auto"/>
                                                                            <w:bottom w:val="none" w:sz="0" w:space="0" w:color="auto"/>
                                                                            <w:right w:val="none" w:sz="0" w:space="0" w:color="auto"/>
                                                                          </w:divBdr>
                                                                          <w:divsChild>
                                                                            <w:div w:id="1241672347">
                                                                              <w:marLeft w:val="0"/>
                                                                              <w:marRight w:val="0"/>
                                                                              <w:marTop w:val="0"/>
                                                                              <w:marBottom w:val="0"/>
                                                                              <w:divBdr>
                                                                                <w:top w:val="none" w:sz="0" w:space="0" w:color="auto"/>
                                                                                <w:left w:val="none" w:sz="0" w:space="0" w:color="auto"/>
                                                                                <w:bottom w:val="none" w:sz="0" w:space="0" w:color="auto"/>
                                                                                <w:right w:val="none" w:sz="0" w:space="0" w:color="auto"/>
                                                                              </w:divBdr>
                                                                              <w:divsChild>
                                                                                <w:div w:id="1940524855">
                                                                                  <w:marLeft w:val="0"/>
                                                                                  <w:marRight w:val="0"/>
                                                                                  <w:marTop w:val="0"/>
                                                                                  <w:marBottom w:val="0"/>
                                                                                  <w:divBdr>
                                                                                    <w:top w:val="none" w:sz="0" w:space="0" w:color="auto"/>
                                                                                    <w:left w:val="none" w:sz="0" w:space="0" w:color="auto"/>
                                                                                    <w:bottom w:val="none" w:sz="0" w:space="0" w:color="auto"/>
                                                                                    <w:right w:val="none" w:sz="0" w:space="0" w:color="auto"/>
                                                                                  </w:divBdr>
                                                                                  <w:divsChild>
                                                                                    <w:div w:id="357702447">
                                                                                      <w:marLeft w:val="0"/>
                                                                                      <w:marRight w:val="0"/>
                                                                                      <w:marTop w:val="0"/>
                                                                                      <w:marBottom w:val="0"/>
                                                                                      <w:divBdr>
                                                                                        <w:top w:val="none" w:sz="0" w:space="0" w:color="auto"/>
                                                                                        <w:left w:val="none" w:sz="0" w:space="0" w:color="auto"/>
                                                                                        <w:bottom w:val="none" w:sz="0" w:space="0" w:color="auto"/>
                                                                                        <w:right w:val="none" w:sz="0" w:space="0" w:color="auto"/>
                                                                                      </w:divBdr>
                                                                                      <w:divsChild>
                                                                                        <w:div w:id="1361122079">
                                                                                          <w:marLeft w:val="0"/>
                                                                                          <w:marRight w:val="0"/>
                                                                                          <w:marTop w:val="0"/>
                                                                                          <w:marBottom w:val="0"/>
                                                                                          <w:divBdr>
                                                                                            <w:top w:val="none" w:sz="0" w:space="0" w:color="auto"/>
                                                                                            <w:left w:val="none" w:sz="0" w:space="0" w:color="auto"/>
                                                                                            <w:bottom w:val="none" w:sz="0" w:space="0" w:color="auto"/>
                                                                                            <w:right w:val="none" w:sz="0" w:space="0" w:color="auto"/>
                                                                                          </w:divBdr>
                                                                                          <w:divsChild>
                                                                                            <w:div w:id="775176311">
                                                                                              <w:marLeft w:val="0"/>
                                                                                              <w:marRight w:val="0"/>
                                                                                              <w:marTop w:val="0"/>
                                                                                              <w:marBottom w:val="0"/>
                                                                                              <w:divBdr>
                                                                                                <w:top w:val="none" w:sz="0" w:space="0" w:color="auto"/>
                                                                                                <w:left w:val="none" w:sz="0" w:space="0" w:color="auto"/>
                                                                                                <w:bottom w:val="none" w:sz="0" w:space="0" w:color="auto"/>
                                                                                                <w:right w:val="none" w:sz="0" w:space="0" w:color="auto"/>
                                                                                              </w:divBdr>
                                                                                            </w:div>
                                                                                            <w:div w:id="708339201">
                                                                                              <w:marLeft w:val="0"/>
                                                                                              <w:marRight w:val="0"/>
                                                                                              <w:marTop w:val="0"/>
                                                                                              <w:marBottom w:val="0"/>
                                                                                              <w:divBdr>
                                                                                                <w:top w:val="none" w:sz="0" w:space="0" w:color="auto"/>
                                                                                                <w:left w:val="none" w:sz="0" w:space="0" w:color="auto"/>
                                                                                                <w:bottom w:val="none" w:sz="0" w:space="0" w:color="auto"/>
                                                                                                <w:right w:val="none" w:sz="0" w:space="0" w:color="auto"/>
                                                                                              </w:divBdr>
                                                                                            </w:div>
                                                                                            <w:div w:id="271136060">
                                                                                              <w:marLeft w:val="0"/>
                                                                                              <w:marRight w:val="0"/>
                                                                                              <w:marTop w:val="0"/>
                                                                                              <w:marBottom w:val="0"/>
                                                                                              <w:divBdr>
                                                                                                <w:top w:val="none" w:sz="0" w:space="0" w:color="auto"/>
                                                                                                <w:left w:val="none" w:sz="0" w:space="0" w:color="auto"/>
                                                                                                <w:bottom w:val="none" w:sz="0" w:space="0" w:color="auto"/>
                                                                                                <w:right w:val="none" w:sz="0" w:space="0" w:color="auto"/>
                                                                                              </w:divBdr>
                                                                                              <w:divsChild>
                                                                                                <w:div w:id="1306861532">
                                                                                                  <w:marLeft w:val="0"/>
                                                                                                  <w:marRight w:val="0"/>
                                                                                                  <w:marTop w:val="0"/>
                                                                                                  <w:marBottom w:val="0"/>
                                                                                                  <w:divBdr>
                                                                                                    <w:top w:val="none" w:sz="0" w:space="0" w:color="auto"/>
                                                                                                    <w:left w:val="none" w:sz="0" w:space="0" w:color="auto"/>
                                                                                                    <w:bottom w:val="none" w:sz="0" w:space="0" w:color="auto"/>
                                                                                                    <w:right w:val="none" w:sz="0" w:space="0" w:color="auto"/>
                                                                                                  </w:divBdr>
                                                                                                </w:div>
                                                                                                <w:div w:id="1601068174">
                                                                                                  <w:marLeft w:val="0"/>
                                                                                                  <w:marRight w:val="0"/>
                                                                                                  <w:marTop w:val="0"/>
                                                                                                  <w:marBottom w:val="0"/>
                                                                                                  <w:divBdr>
                                                                                                    <w:top w:val="none" w:sz="0" w:space="0" w:color="auto"/>
                                                                                                    <w:left w:val="none" w:sz="0" w:space="0" w:color="auto"/>
                                                                                                    <w:bottom w:val="none" w:sz="0" w:space="0" w:color="auto"/>
                                                                                                    <w:right w:val="none" w:sz="0" w:space="0" w:color="auto"/>
                                                                                                  </w:divBdr>
                                                                                                  <w:divsChild>
                                                                                                    <w:div w:id="1048380200">
                                                                                                      <w:marLeft w:val="0"/>
                                                                                                      <w:marRight w:val="0"/>
                                                                                                      <w:marTop w:val="0"/>
                                                                                                      <w:marBottom w:val="0"/>
                                                                                                      <w:divBdr>
                                                                                                        <w:top w:val="none" w:sz="0" w:space="0" w:color="auto"/>
                                                                                                        <w:left w:val="none" w:sz="0" w:space="0" w:color="auto"/>
                                                                                                        <w:bottom w:val="none" w:sz="0" w:space="0" w:color="auto"/>
                                                                                                        <w:right w:val="none" w:sz="0" w:space="0" w:color="auto"/>
                                                                                                      </w:divBdr>
                                                                                                    </w:div>
                                                                                                    <w:div w:id="368336630">
                                                                                                      <w:marLeft w:val="0"/>
                                                                                                      <w:marRight w:val="0"/>
                                                                                                      <w:marTop w:val="0"/>
                                                                                                      <w:marBottom w:val="0"/>
                                                                                                      <w:divBdr>
                                                                                                        <w:top w:val="none" w:sz="0" w:space="0" w:color="auto"/>
                                                                                                        <w:left w:val="none" w:sz="0" w:space="0" w:color="auto"/>
                                                                                                        <w:bottom w:val="none" w:sz="0" w:space="0" w:color="auto"/>
                                                                                                        <w:right w:val="none" w:sz="0" w:space="0" w:color="auto"/>
                                                                                                      </w:divBdr>
                                                                                                    </w:div>
                                                                                                    <w:div w:id="768352080">
                                                                                                      <w:marLeft w:val="0"/>
                                                                                                      <w:marRight w:val="0"/>
                                                                                                      <w:marTop w:val="0"/>
                                                                                                      <w:marBottom w:val="0"/>
                                                                                                      <w:divBdr>
                                                                                                        <w:top w:val="none" w:sz="0" w:space="0" w:color="auto"/>
                                                                                                        <w:left w:val="none" w:sz="0" w:space="0" w:color="auto"/>
                                                                                                        <w:bottom w:val="none" w:sz="0" w:space="0" w:color="auto"/>
                                                                                                        <w:right w:val="none" w:sz="0" w:space="0" w:color="auto"/>
                                                                                                      </w:divBdr>
                                                                                                    </w:div>
                                                                                                  </w:divsChild>
                                                                                                </w:div>
                                                                                                <w:div w:id="1331638504">
                                                                                                  <w:marLeft w:val="0"/>
                                                                                                  <w:marRight w:val="0"/>
                                                                                                  <w:marTop w:val="0"/>
                                                                                                  <w:marBottom w:val="0"/>
                                                                                                  <w:divBdr>
                                                                                                    <w:top w:val="none" w:sz="0" w:space="0" w:color="auto"/>
                                                                                                    <w:left w:val="none" w:sz="0" w:space="0" w:color="auto"/>
                                                                                                    <w:bottom w:val="none" w:sz="0" w:space="0" w:color="auto"/>
                                                                                                    <w:right w:val="none" w:sz="0" w:space="0" w:color="auto"/>
                                                                                                  </w:divBdr>
                                                                                                </w:div>
                                                                                                <w:div w:id="11865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493688">
      <w:bodyDiv w:val="1"/>
      <w:marLeft w:val="0"/>
      <w:marRight w:val="0"/>
      <w:marTop w:val="0"/>
      <w:marBottom w:val="0"/>
      <w:divBdr>
        <w:top w:val="none" w:sz="0" w:space="0" w:color="auto"/>
        <w:left w:val="none" w:sz="0" w:space="0" w:color="auto"/>
        <w:bottom w:val="none" w:sz="0" w:space="0" w:color="auto"/>
        <w:right w:val="none" w:sz="0" w:space="0" w:color="auto"/>
      </w:divBdr>
    </w:div>
    <w:div w:id="1932466579">
      <w:bodyDiv w:val="1"/>
      <w:marLeft w:val="0"/>
      <w:marRight w:val="0"/>
      <w:marTop w:val="0"/>
      <w:marBottom w:val="0"/>
      <w:divBdr>
        <w:top w:val="none" w:sz="0" w:space="0" w:color="auto"/>
        <w:left w:val="none" w:sz="0" w:space="0" w:color="auto"/>
        <w:bottom w:val="none" w:sz="0" w:space="0" w:color="auto"/>
        <w:right w:val="none" w:sz="0" w:space="0" w:color="auto"/>
      </w:divBdr>
    </w:div>
    <w:div w:id="1945337518">
      <w:bodyDiv w:val="1"/>
      <w:marLeft w:val="0"/>
      <w:marRight w:val="0"/>
      <w:marTop w:val="0"/>
      <w:marBottom w:val="0"/>
      <w:divBdr>
        <w:top w:val="none" w:sz="0" w:space="0" w:color="auto"/>
        <w:left w:val="none" w:sz="0" w:space="0" w:color="auto"/>
        <w:bottom w:val="none" w:sz="0" w:space="0" w:color="auto"/>
        <w:right w:val="none" w:sz="0" w:space="0" w:color="auto"/>
      </w:divBdr>
    </w:div>
    <w:div w:id="1967881788">
      <w:bodyDiv w:val="1"/>
      <w:marLeft w:val="0"/>
      <w:marRight w:val="0"/>
      <w:marTop w:val="0"/>
      <w:marBottom w:val="0"/>
      <w:divBdr>
        <w:top w:val="none" w:sz="0" w:space="0" w:color="auto"/>
        <w:left w:val="none" w:sz="0" w:space="0" w:color="auto"/>
        <w:bottom w:val="none" w:sz="0" w:space="0" w:color="auto"/>
        <w:right w:val="none" w:sz="0" w:space="0" w:color="auto"/>
      </w:divBdr>
    </w:div>
    <w:div w:id="1970351918">
      <w:bodyDiv w:val="1"/>
      <w:marLeft w:val="0"/>
      <w:marRight w:val="0"/>
      <w:marTop w:val="0"/>
      <w:marBottom w:val="0"/>
      <w:divBdr>
        <w:top w:val="none" w:sz="0" w:space="0" w:color="auto"/>
        <w:left w:val="none" w:sz="0" w:space="0" w:color="auto"/>
        <w:bottom w:val="none" w:sz="0" w:space="0" w:color="auto"/>
        <w:right w:val="none" w:sz="0" w:space="0" w:color="auto"/>
      </w:divBdr>
    </w:div>
    <w:div w:id="1978753530">
      <w:bodyDiv w:val="1"/>
      <w:marLeft w:val="0"/>
      <w:marRight w:val="0"/>
      <w:marTop w:val="0"/>
      <w:marBottom w:val="0"/>
      <w:divBdr>
        <w:top w:val="none" w:sz="0" w:space="0" w:color="auto"/>
        <w:left w:val="none" w:sz="0" w:space="0" w:color="auto"/>
        <w:bottom w:val="none" w:sz="0" w:space="0" w:color="auto"/>
        <w:right w:val="none" w:sz="0" w:space="0" w:color="auto"/>
      </w:divBdr>
    </w:div>
    <w:div w:id="1984695036">
      <w:bodyDiv w:val="1"/>
      <w:marLeft w:val="0"/>
      <w:marRight w:val="0"/>
      <w:marTop w:val="0"/>
      <w:marBottom w:val="0"/>
      <w:divBdr>
        <w:top w:val="none" w:sz="0" w:space="0" w:color="auto"/>
        <w:left w:val="none" w:sz="0" w:space="0" w:color="auto"/>
        <w:bottom w:val="none" w:sz="0" w:space="0" w:color="auto"/>
        <w:right w:val="none" w:sz="0" w:space="0" w:color="auto"/>
      </w:divBdr>
    </w:div>
    <w:div w:id="1986006581">
      <w:bodyDiv w:val="1"/>
      <w:marLeft w:val="0"/>
      <w:marRight w:val="0"/>
      <w:marTop w:val="0"/>
      <w:marBottom w:val="0"/>
      <w:divBdr>
        <w:top w:val="none" w:sz="0" w:space="0" w:color="auto"/>
        <w:left w:val="none" w:sz="0" w:space="0" w:color="auto"/>
        <w:bottom w:val="none" w:sz="0" w:space="0" w:color="auto"/>
        <w:right w:val="none" w:sz="0" w:space="0" w:color="auto"/>
      </w:divBdr>
    </w:div>
    <w:div w:id="1991664685">
      <w:bodyDiv w:val="1"/>
      <w:marLeft w:val="0"/>
      <w:marRight w:val="0"/>
      <w:marTop w:val="0"/>
      <w:marBottom w:val="0"/>
      <w:divBdr>
        <w:top w:val="none" w:sz="0" w:space="0" w:color="auto"/>
        <w:left w:val="none" w:sz="0" w:space="0" w:color="auto"/>
        <w:bottom w:val="none" w:sz="0" w:space="0" w:color="auto"/>
        <w:right w:val="none" w:sz="0" w:space="0" w:color="auto"/>
      </w:divBdr>
    </w:div>
    <w:div w:id="1995180523">
      <w:bodyDiv w:val="1"/>
      <w:marLeft w:val="0"/>
      <w:marRight w:val="0"/>
      <w:marTop w:val="0"/>
      <w:marBottom w:val="0"/>
      <w:divBdr>
        <w:top w:val="none" w:sz="0" w:space="0" w:color="auto"/>
        <w:left w:val="none" w:sz="0" w:space="0" w:color="auto"/>
        <w:bottom w:val="none" w:sz="0" w:space="0" w:color="auto"/>
        <w:right w:val="none" w:sz="0" w:space="0" w:color="auto"/>
      </w:divBdr>
    </w:div>
    <w:div w:id="2003047929">
      <w:bodyDiv w:val="1"/>
      <w:marLeft w:val="0"/>
      <w:marRight w:val="0"/>
      <w:marTop w:val="0"/>
      <w:marBottom w:val="0"/>
      <w:divBdr>
        <w:top w:val="none" w:sz="0" w:space="0" w:color="auto"/>
        <w:left w:val="none" w:sz="0" w:space="0" w:color="auto"/>
        <w:bottom w:val="none" w:sz="0" w:space="0" w:color="auto"/>
        <w:right w:val="none" w:sz="0" w:space="0" w:color="auto"/>
      </w:divBdr>
    </w:div>
    <w:div w:id="2003923214">
      <w:bodyDiv w:val="1"/>
      <w:marLeft w:val="0"/>
      <w:marRight w:val="0"/>
      <w:marTop w:val="0"/>
      <w:marBottom w:val="0"/>
      <w:divBdr>
        <w:top w:val="none" w:sz="0" w:space="0" w:color="auto"/>
        <w:left w:val="none" w:sz="0" w:space="0" w:color="auto"/>
        <w:bottom w:val="none" w:sz="0" w:space="0" w:color="auto"/>
        <w:right w:val="none" w:sz="0" w:space="0" w:color="auto"/>
      </w:divBdr>
    </w:div>
    <w:div w:id="2036539003">
      <w:bodyDiv w:val="1"/>
      <w:marLeft w:val="0"/>
      <w:marRight w:val="0"/>
      <w:marTop w:val="0"/>
      <w:marBottom w:val="0"/>
      <w:divBdr>
        <w:top w:val="none" w:sz="0" w:space="0" w:color="auto"/>
        <w:left w:val="none" w:sz="0" w:space="0" w:color="auto"/>
        <w:bottom w:val="none" w:sz="0" w:space="0" w:color="auto"/>
        <w:right w:val="none" w:sz="0" w:space="0" w:color="auto"/>
      </w:divBdr>
    </w:div>
    <w:div w:id="2047019659">
      <w:bodyDiv w:val="1"/>
      <w:marLeft w:val="0"/>
      <w:marRight w:val="0"/>
      <w:marTop w:val="0"/>
      <w:marBottom w:val="0"/>
      <w:divBdr>
        <w:top w:val="none" w:sz="0" w:space="0" w:color="auto"/>
        <w:left w:val="none" w:sz="0" w:space="0" w:color="auto"/>
        <w:bottom w:val="none" w:sz="0" w:space="0" w:color="auto"/>
        <w:right w:val="none" w:sz="0" w:space="0" w:color="auto"/>
      </w:divBdr>
    </w:div>
    <w:div w:id="2068802398">
      <w:bodyDiv w:val="1"/>
      <w:marLeft w:val="0"/>
      <w:marRight w:val="0"/>
      <w:marTop w:val="0"/>
      <w:marBottom w:val="0"/>
      <w:divBdr>
        <w:top w:val="none" w:sz="0" w:space="0" w:color="auto"/>
        <w:left w:val="none" w:sz="0" w:space="0" w:color="auto"/>
        <w:bottom w:val="none" w:sz="0" w:space="0" w:color="auto"/>
        <w:right w:val="none" w:sz="0" w:space="0" w:color="auto"/>
      </w:divBdr>
    </w:div>
    <w:div w:id="2082284989">
      <w:bodyDiv w:val="1"/>
      <w:marLeft w:val="0"/>
      <w:marRight w:val="0"/>
      <w:marTop w:val="0"/>
      <w:marBottom w:val="0"/>
      <w:divBdr>
        <w:top w:val="none" w:sz="0" w:space="0" w:color="auto"/>
        <w:left w:val="none" w:sz="0" w:space="0" w:color="auto"/>
        <w:bottom w:val="none" w:sz="0" w:space="0" w:color="auto"/>
        <w:right w:val="none" w:sz="0" w:space="0" w:color="auto"/>
      </w:divBdr>
    </w:div>
    <w:div w:id="2082746911">
      <w:bodyDiv w:val="1"/>
      <w:marLeft w:val="0"/>
      <w:marRight w:val="0"/>
      <w:marTop w:val="0"/>
      <w:marBottom w:val="0"/>
      <w:divBdr>
        <w:top w:val="none" w:sz="0" w:space="0" w:color="auto"/>
        <w:left w:val="none" w:sz="0" w:space="0" w:color="auto"/>
        <w:bottom w:val="none" w:sz="0" w:space="0" w:color="auto"/>
        <w:right w:val="none" w:sz="0" w:space="0" w:color="auto"/>
      </w:divBdr>
    </w:div>
    <w:div w:id="2089185428">
      <w:bodyDiv w:val="1"/>
      <w:marLeft w:val="0"/>
      <w:marRight w:val="0"/>
      <w:marTop w:val="0"/>
      <w:marBottom w:val="0"/>
      <w:divBdr>
        <w:top w:val="none" w:sz="0" w:space="0" w:color="auto"/>
        <w:left w:val="none" w:sz="0" w:space="0" w:color="auto"/>
        <w:bottom w:val="none" w:sz="0" w:space="0" w:color="auto"/>
        <w:right w:val="none" w:sz="0" w:space="0" w:color="auto"/>
      </w:divBdr>
    </w:div>
    <w:div w:id="2111851695">
      <w:bodyDiv w:val="1"/>
      <w:marLeft w:val="0"/>
      <w:marRight w:val="0"/>
      <w:marTop w:val="0"/>
      <w:marBottom w:val="0"/>
      <w:divBdr>
        <w:top w:val="none" w:sz="0" w:space="0" w:color="auto"/>
        <w:left w:val="none" w:sz="0" w:space="0" w:color="auto"/>
        <w:bottom w:val="none" w:sz="0" w:space="0" w:color="auto"/>
        <w:right w:val="none" w:sz="0" w:space="0" w:color="auto"/>
      </w:divBdr>
    </w:div>
    <w:div w:id="2114812876">
      <w:bodyDiv w:val="1"/>
      <w:marLeft w:val="0"/>
      <w:marRight w:val="0"/>
      <w:marTop w:val="0"/>
      <w:marBottom w:val="0"/>
      <w:divBdr>
        <w:top w:val="none" w:sz="0" w:space="0" w:color="auto"/>
        <w:left w:val="none" w:sz="0" w:space="0" w:color="auto"/>
        <w:bottom w:val="none" w:sz="0" w:space="0" w:color="auto"/>
        <w:right w:val="none" w:sz="0" w:space="0" w:color="auto"/>
      </w:divBdr>
    </w:div>
    <w:div w:id="2129544106">
      <w:bodyDiv w:val="1"/>
      <w:marLeft w:val="0"/>
      <w:marRight w:val="0"/>
      <w:marTop w:val="0"/>
      <w:marBottom w:val="0"/>
      <w:divBdr>
        <w:top w:val="none" w:sz="0" w:space="0" w:color="auto"/>
        <w:left w:val="none" w:sz="0" w:space="0" w:color="auto"/>
        <w:bottom w:val="none" w:sz="0" w:space="0" w:color="auto"/>
        <w:right w:val="none" w:sz="0" w:space="0" w:color="auto"/>
      </w:divBdr>
    </w:div>
    <w:div w:id="213570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u.sheffield.ac.uk/make-a-change/how-your-students-union-works/board-of-trustees" TargetMode="External"/><Relationship Id="rId143" Type="http://schemas.openxmlformats.org/officeDocument/2006/relationships/hyperlink" Target="https://www.facebook.com/MedicalPostGraduateSociety" TargetMode="External"/><Relationship Id="rId144" Type="http://schemas.openxmlformats.org/officeDocument/2006/relationships/hyperlink" Target="https://www.facebook.com/SheffPGCommittee/" TargetMode="External"/><Relationship Id="rId145" Type="http://schemas.openxmlformats.org/officeDocument/2006/relationships/hyperlink" Target="https://goo.gl/forms/0SJVDdTI6WscxT4p2" TargetMode="External"/><Relationship Id="rId146" Type="http://schemas.openxmlformats.org/officeDocument/2006/relationships/hyperlink" Target="http://www.shef.ac.uk/aume/postgraduate/currentphdstudents" TargetMode="External"/><Relationship Id="rId147" Type="http://schemas.openxmlformats.org/officeDocument/2006/relationships/hyperlink" Target="http://su.sheffield.ac.uk/make-a-change/how-your-students-union-works/board-of-trustees" TargetMode="External"/><Relationship Id="rId148" Type="http://schemas.openxmlformats.org/officeDocument/2006/relationships/hyperlink" Target="https://www.facebook.com/MedicalPostGraduateSociety" TargetMode="External"/><Relationship Id="rId149" Type="http://schemas.openxmlformats.org/officeDocument/2006/relationships/hyperlink" Target="https://www.facebook.com/SheffPGCommittee/" TargetMode="External"/><Relationship Id="rId40" Type="http://schemas.openxmlformats.org/officeDocument/2006/relationships/diagramQuickStyle" Target="diagrams/quickStyle5.xml"/><Relationship Id="rId41" Type="http://schemas.openxmlformats.org/officeDocument/2006/relationships/diagramColors" Target="diagrams/colors5.xml"/><Relationship Id="rId42" Type="http://schemas.microsoft.com/office/2007/relationships/diagramDrawing" Target="diagrams/drawing5.xml"/><Relationship Id="rId43" Type="http://schemas.openxmlformats.org/officeDocument/2006/relationships/diagramData" Target="diagrams/data6.xml"/><Relationship Id="rId44" Type="http://schemas.openxmlformats.org/officeDocument/2006/relationships/diagramLayout" Target="diagrams/layout6.xml"/><Relationship Id="rId45" Type="http://schemas.openxmlformats.org/officeDocument/2006/relationships/diagramQuickStyle" Target="diagrams/quickStyle6.xml"/><Relationship Id="rId46" Type="http://schemas.openxmlformats.org/officeDocument/2006/relationships/diagramColors" Target="diagrams/colors6.xml"/><Relationship Id="rId47" Type="http://schemas.microsoft.com/office/2007/relationships/diagramDrawing" Target="diagrams/drawing6.xml"/><Relationship Id="rId48" Type="http://schemas.openxmlformats.org/officeDocument/2006/relationships/diagramData" Target="diagrams/data7.xml"/><Relationship Id="rId49" Type="http://schemas.openxmlformats.org/officeDocument/2006/relationships/diagramLayout" Target="diagrams/layout7.xml"/><Relationship Id="rId80" Type="http://schemas.openxmlformats.org/officeDocument/2006/relationships/hyperlink" Target="mailto:d.murdoch-eaton@sheffield.ac.uk" TargetMode="External"/><Relationship Id="rId81" Type="http://schemas.openxmlformats.org/officeDocument/2006/relationships/hyperlink" Target="mailto:bjbryan1@sheffield.ac.uk" TargetMode="External"/><Relationship Id="rId82" Type="http://schemas.openxmlformats.org/officeDocument/2006/relationships/hyperlink" Target="mailto:d.murdoch-eaton@sheffield.ac.uk" TargetMode="External"/><Relationship Id="rId83" Type="http://schemas.openxmlformats.org/officeDocument/2006/relationships/hyperlink" Target="mailto:bjbryan1@sheffield.ac.uk" TargetMode="External"/><Relationship Id="rId84" Type="http://schemas.openxmlformats.org/officeDocument/2006/relationships/hyperlink" Target="mailto:d.murdoch-eaton@sheffield.ac.uk" TargetMode="External"/><Relationship Id="rId85" Type="http://schemas.openxmlformats.org/officeDocument/2006/relationships/image" Target="media/image9.jpg"/><Relationship Id="rId86" Type="http://schemas.openxmlformats.org/officeDocument/2006/relationships/hyperlink" Target="mailto:bjbryan1@sheffield.ac.uk" TargetMode="External"/><Relationship Id="rId87" Type="http://schemas.openxmlformats.org/officeDocument/2006/relationships/hyperlink" Target="mailto:d.murdoch-eaton@sheffield.ac.uk" TargetMode="External"/><Relationship Id="rId88" Type="http://schemas.openxmlformats.org/officeDocument/2006/relationships/image" Target="media/image10.jpg"/><Relationship Id="rId89" Type="http://schemas.openxmlformats.org/officeDocument/2006/relationships/hyperlink" Target="mailto:bjbryan1@sheffield.ac.uk" TargetMode="External"/><Relationship Id="rId110" Type="http://schemas.openxmlformats.org/officeDocument/2006/relationships/footer" Target="footer2.xml"/><Relationship Id="rId111" Type="http://schemas.openxmlformats.org/officeDocument/2006/relationships/header" Target="header1.xml"/><Relationship Id="rId112" Type="http://schemas.openxmlformats.org/officeDocument/2006/relationships/footer" Target="footer3.xml"/><Relationship Id="rId113" Type="http://schemas.openxmlformats.org/officeDocument/2006/relationships/image" Target="media/image30.jpg"/><Relationship Id="rId114" Type="http://schemas.openxmlformats.org/officeDocument/2006/relationships/image" Target="media/image31.jpg"/><Relationship Id="rId115" Type="http://schemas.openxmlformats.org/officeDocument/2006/relationships/image" Target="media/image32.jpg"/><Relationship Id="rId116" Type="http://schemas.openxmlformats.org/officeDocument/2006/relationships/hyperlink" Target="mailto:bjbryan1@sheffield.ac.uk" TargetMode="External"/><Relationship Id="rId117" Type="http://schemas.openxmlformats.org/officeDocument/2006/relationships/hyperlink" Target="mailto:d.murdoch-eaton@sheffield.ac.uk" TargetMode="External"/><Relationship Id="rId118" Type="http://schemas.openxmlformats.org/officeDocument/2006/relationships/hyperlink" Target="mailto:bjbryan1@sheffield.ac.uk" TargetMode="External"/><Relationship Id="rId119" Type="http://schemas.openxmlformats.org/officeDocument/2006/relationships/hyperlink" Target="mailto:d.murdoch-eaton@sheffield.ac.uk" TargetMode="External"/><Relationship Id="rId150" Type="http://schemas.openxmlformats.org/officeDocument/2006/relationships/hyperlink" Target="mailto:bjbryan1@sheffield.ac.uk" TargetMode="External"/><Relationship Id="rId151" Type="http://schemas.openxmlformats.org/officeDocument/2006/relationships/hyperlink" Target="mailto:d.murdoch-eaton@sheffield.ac.uk" TargetMode="External"/><Relationship Id="rId152" Type="http://schemas.openxmlformats.org/officeDocument/2006/relationships/diagramData" Target="diagrams/data9.xml"/><Relationship Id="rId10" Type="http://schemas.openxmlformats.org/officeDocument/2006/relationships/hyperlink" Target="file:////Volumes/Transcend/UoS/PhD/Thesis%20writing/Thesis%20-%20Billy%20Bryan%20-%20revisions%20V1.docx" TargetMode="External"/><Relationship Id="rId11" Type="http://schemas.openxmlformats.org/officeDocument/2006/relationships/hyperlink" Target="file:////Volumes/Transcend/UoS/PhD/Thesis%20writing/Thesis%20-%20Billy%20Bryan%20-%20revisions%20V1.docx" TargetMode="External"/><Relationship Id="rId12" Type="http://schemas.openxmlformats.org/officeDocument/2006/relationships/hyperlink" Target="file:////Volumes/Transcend/UoS/PhD/Thesis%20writing/Thesis%20-%20Billy%20Bryan%20-%20revisions%20V1.docx" TargetMode="External"/><Relationship Id="rId13" Type="http://schemas.openxmlformats.org/officeDocument/2006/relationships/hyperlink" Target="file:////Volumes/Transcend/UoS/PhD/Thesis%20writing/Thesis%20-%20Billy%20Bryan%20-%20revisions%20V1.docx" TargetMode="External"/><Relationship Id="rId14" Type="http://schemas.openxmlformats.org/officeDocument/2006/relationships/hyperlink" Target="file:////Volumes/Transcend/UoS/PhD/Thesis%20writing/Thesis%20-%20Billy%20Bryan%20-%20revisions%20V1.docx" TargetMode="External"/><Relationship Id="rId15" Type="http://schemas.openxmlformats.org/officeDocument/2006/relationships/hyperlink" Target="file:////Volumes/Transcend/UoS/PhD/Thesis%20writing/Thesis%20-%20Billy%20Bryan%20-%20revisions%20V1.docx" TargetMode="External"/><Relationship Id="rId16" Type="http://schemas.openxmlformats.org/officeDocument/2006/relationships/footer" Target="footer1.xml"/><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153" Type="http://schemas.openxmlformats.org/officeDocument/2006/relationships/diagramLayout" Target="diagrams/layout9.xml"/><Relationship Id="rId154" Type="http://schemas.openxmlformats.org/officeDocument/2006/relationships/diagramQuickStyle" Target="diagrams/quickStyle9.xml"/><Relationship Id="rId155" Type="http://schemas.openxmlformats.org/officeDocument/2006/relationships/diagramColors" Target="diagrams/colors9.xml"/><Relationship Id="rId156" Type="http://schemas.microsoft.com/office/2007/relationships/diagramDrawing" Target="diagrams/drawing9.xml"/><Relationship Id="rId157" Type="http://schemas.openxmlformats.org/officeDocument/2006/relationships/diagramData" Target="diagrams/data10.xml"/><Relationship Id="rId158" Type="http://schemas.openxmlformats.org/officeDocument/2006/relationships/diagramLayout" Target="diagrams/layout10.xml"/><Relationship Id="rId159" Type="http://schemas.openxmlformats.org/officeDocument/2006/relationships/diagramQuickStyle" Target="diagrams/quickStyle10.xml"/><Relationship Id="rId50" Type="http://schemas.openxmlformats.org/officeDocument/2006/relationships/diagramQuickStyle" Target="diagrams/quickStyle7.xml"/><Relationship Id="rId51" Type="http://schemas.openxmlformats.org/officeDocument/2006/relationships/diagramColors" Target="diagrams/colors7.xml"/><Relationship Id="rId52" Type="http://schemas.microsoft.com/office/2007/relationships/diagramDrawing" Target="diagrams/drawing7.xml"/><Relationship Id="rId53" Type="http://schemas.openxmlformats.org/officeDocument/2006/relationships/diagramData" Target="diagrams/data8.xml"/><Relationship Id="rId54" Type="http://schemas.openxmlformats.org/officeDocument/2006/relationships/diagramLayout" Target="diagrams/layout8.xml"/><Relationship Id="rId55" Type="http://schemas.openxmlformats.org/officeDocument/2006/relationships/diagramQuickStyle" Target="diagrams/quickStyle8.xml"/><Relationship Id="rId56" Type="http://schemas.openxmlformats.org/officeDocument/2006/relationships/diagramColors" Target="diagrams/colors8.xml"/><Relationship Id="rId57" Type="http://schemas.microsoft.com/office/2007/relationships/diagramDrawing" Target="diagrams/drawing8.xml"/><Relationship Id="rId58" Type="http://schemas.openxmlformats.org/officeDocument/2006/relationships/image" Target="media/image3.png"/><Relationship Id="rId59" Type="http://schemas.openxmlformats.org/officeDocument/2006/relationships/image" Target="media/image4.png"/><Relationship Id="rId90" Type="http://schemas.openxmlformats.org/officeDocument/2006/relationships/hyperlink" Target="mailto:d.murdoch-eaton@sheffield.ac.uk" TargetMode="External"/><Relationship Id="rId91" Type="http://schemas.openxmlformats.org/officeDocument/2006/relationships/image" Target="media/image11.jpeg"/><Relationship Id="rId92" Type="http://schemas.openxmlformats.org/officeDocument/2006/relationships/image" Target="media/image12.jpeg"/><Relationship Id="rId93" Type="http://schemas.openxmlformats.org/officeDocument/2006/relationships/image" Target="media/image13.jpeg"/><Relationship Id="rId94" Type="http://schemas.openxmlformats.org/officeDocument/2006/relationships/image" Target="media/image14.jpeg"/><Relationship Id="rId95" Type="http://schemas.openxmlformats.org/officeDocument/2006/relationships/image" Target="media/image15.jpeg"/><Relationship Id="rId96" Type="http://schemas.openxmlformats.org/officeDocument/2006/relationships/image" Target="media/image16.jpeg"/><Relationship Id="rId97" Type="http://schemas.openxmlformats.org/officeDocument/2006/relationships/image" Target="media/image17.jpeg"/><Relationship Id="rId98" Type="http://schemas.openxmlformats.org/officeDocument/2006/relationships/image" Target="media/image18.jpg"/><Relationship Id="rId99" Type="http://schemas.openxmlformats.org/officeDocument/2006/relationships/image" Target="media/image19.jpg"/><Relationship Id="rId120" Type="http://schemas.openxmlformats.org/officeDocument/2006/relationships/hyperlink" Target="mailto:bjbryan1@sheffield.ac.uk" TargetMode="External"/><Relationship Id="rId121" Type="http://schemas.openxmlformats.org/officeDocument/2006/relationships/hyperlink" Target="mailto:d.murdoch-eaton@sheffield.ac.uk" TargetMode="External"/><Relationship Id="rId122" Type="http://schemas.openxmlformats.org/officeDocument/2006/relationships/image" Target="media/image33.png"/><Relationship Id="rId123" Type="http://schemas.openxmlformats.org/officeDocument/2006/relationships/hyperlink" Target="mailto:paula.blackwell@sheffield.ac.uk" TargetMode="External"/><Relationship Id="rId124" Type="http://schemas.openxmlformats.org/officeDocument/2006/relationships/hyperlink" Target="tel:%2B44%20%280%29114%20226%201426" TargetMode="External"/><Relationship Id="rId125" Type="http://schemas.openxmlformats.org/officeDocument/2006/relationships/hyperlink" Target="tel:%2B44%20%280%29114%20271%203892" TargetMode="External"/><Relationship Id="rId126" Type="http://schemas.openxmlformats.org/officeDocument/2006/relationships/hyperlink" Target="mailto:bjbryan1@sheffield.ac.uk" TargetMode="External"/><Relationship Id="rId127" Type="http://schemas.openxmlformats.org/officeDocument/2006/relationships/hyperlink" Target="mailto:paula.blackwell@sheffield.ac.uk" TargetMode="External"/><Relationship Id="rId128" Type="http://schemas.openxmlformats.org/officeDocument/2006/relationships/hyperlink" Target="http://www.shef.ac.uk/aume/postgraduate/currentphdstudents" TargetMode="External"/><Relationship Id="rId129" Type="http://schemas.openxmlformats.org/officeDocument/2006/relationships/hyperlink" Target="http://su.sheffield.ac.uk/make-a-change/how-your-students-union-works/board-of-trustees" TargetMode="External"/><Relationship Id="rId160" Type="http://schemas.openxmlformats.org/officeDocument/2006/relationships/diagramColors" Target="diagrams/colors10.xml"/><Relationship Id="rId161" Type="http://schemas.microsoft.com/office/2007/relationships/diagramDrawing" Target="diagrams/drawing10.xml"/><Relationship Id="rId162" Type="http://schemas.openxmlformats.org/officeDocument/2006/relationships/image" Target="media/image35.pn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image" Target="media/image2.png"/><Relationship Id="rId28" Type="http://schemas.openxmlformats.org/officeDocument/2006/relationships/diagramData" Target="diagrams/data3.xml"/><Relationship Id="rId29" Type="http://schemas.openxmlformats.org/officeDocument/2006/relationships/diagramLayout" Target="diagrams/layout3.xml"/><Relationship Id="rId163" Type="http://schemas.openxmlformats.org/officeDocument/2006/relationships/image" Target="media/image36.png"/><Relationship Id="rId164" Type="http://schemas.openxmlformats.org/officeDocument/2006/relationships/fontTable" Target="fontTable.xml"/><Relationship Id="rId165" Type="http://schemas.openxmlformats.org/officeDocument/2006/relationships/theme" Target="theme/theme1.xml"/><Relationship Id="rId60" Type="http://schemas.openxmlformats.org/officeDocument/2006/relationships/image" Target="media/image5.png"/><Relationship Id="rId61" Type="http://schemas.openxmlformats.org/officeDocument/2006/relationships/hyperlink" Target="file:///E:\UoS\PhD\Thesis%20writing\www.midss.ie" TargetMode="External"/><Relationship Id="rId62" Type="http://schemas.openxmlformats.org/officeDocument/2006/relationships/hyperlink" Target="http://www-new1.heacademy.ac.uk/assets/was%20York%20-%20delete%20this%20soon/Documents/ourwork/tla/assessment/web0015_rethinking_formative_assessment_in_he.pdf" TargetMode="External"/><Relationship Id="rId63" Type="http://schemas.openxmlformats.org/officeDocument/2006/relationships/image" Target="media/image6.emf"/><Relationship Id="rId64" Type="http://schemas.openxmlformats.org/officeDocument/2006/relationships/image" Target="media/image7.png"/><Relationship Id="rId65" Type="http://schemas.openxmlformats.org/officeDocument/2006/relationships/hyperlink" Target="http://www.cdc.gov/trendstatement/" TargetMode="External"/><Relationship Id="rId66" Type="http://schemas.openxmlformats.org/officeDocument/2006/relationships/hyperlink" Target="http://www.cdc.gov/trendstatement/" TargetMode="External"/><Relationship Id="rId67" Type="http://schemas.openxmlformats.org/officeDocument/2006/relationships/hyperlink" Target="http://www.cdc.gov/trendstatement/" TargetMode="External"/><Relationship Id="rId68" Type="http://schemas.openxmlformats.org/officeDocument/2006/relationships/hyperlink" Target="http://www.cdc.gov/trendstatement/" TargetMode="External"/><Relationship Id="rId69" Type="http://schemas.openxmlformats.org/officeDocument/2006/relationships/hyperlink" Target="http://www.cdc.gov/trendstatement/" TargetMode="External"/><Relationship Id="rId130" Type="http://schemas.openxmlformats.org/officeDocument/2006/relationships/hyperlink" Target="https://www.facebook.com/MedicalPostGraduateSociety" TargetMode="External"/><Relationship Id="rId131" Type="http://schemas.openxmlformats.org/officeDocument/2006/relationships/hyperlink" Target="https://www.facebook.com/SheffPGCommittee/" TargetMode="External"/><Relationship Id="rId132" Type="http://schemas.openxmlformats.org/officeDocument/2006/relationships/hyperlink" Target="http://doodle.com/poll/n9n455nt8a8b82rc" TargetMode="External"/><Relationship Id="rId133" Type="http://schemas.openxmlformats.org/officeDocument/2006/relationships/hyperlink" Target="http://www.shef.ac.uk/aume/postgraduate/currentphdstudents" TargetMode="External"/><Relationship Id="rId134" Type="http://schemas.openxmlformats.org/officeDocument/2006/relationships/hyperlink" Target="http://su.sheffield.ac.uk/make-a-change/how-your-students-union-works/board-of-trustees" TargetMode="External"/><Relationship Id="rId135" Type="http://schemas.openxmlformats.org/officeDocument/2006/relationships/hyperlink" Target="https://www.facebook.com/MedicalPostGraduateSociety" TargetMode="External"/><Relationship Id="rId136" Type="http://schemas.openxmlformats.org/officeDocument/2006/relationships/hyperlink" Target="tel:%2B44%20%280%297507891960" TargetMode="External"/><Relationship Id="rId137" Type="http://schemas.openxmlformats.org/officeDocument/2006/relationships/hyperlink" Target="mailto:bjbryan1@sheffield.ac.uk" TargetMode="External"/><Relationship Id="rId138" Type="http://schemas.openxmlformats.org/officeDocument/2006/relationships/hyperlink" Target="mailto:d.murdoch-eaton@sheffield.ac.uk" TargetMode="External"/><Relationship Id="rId139" Type="http://schemas.openxmlformats.org/officeDocument/2006/relationships/image" Target="media/image34.png"/><Relationship Id="rId30" Type="http://schemas.openxmlformats.org/officeDocument/2006/relationships/diagramQuickStyle" Target="diagrams/quickStyle3.xml"/><Relationship Id="rId31" Type="http://schemas.openxmlformats.org/officeDocument/2006/relationships/diagramColors" Target="diagrams/colors3.xml"/><Relationship Id="rId32" Type="http://schemas.microsoft.com/office/2007/relationships/diagramDrawing" Target="diagrams/drawing3.xml"/><Relationship Id="rId33" Type="http://schemas.openxmlformats.org/officeDocument/2006/relationships/diagramData" Target="diagrams/data4.xml"/><Relationship Id="rId34" Type="http://schemas.openxmlformats.org/officeDocument/2006/relationships/diagramLayout" Target="diagrams/layout4.xml"/><Relationship Id="rId35" Type="http://schemas.openxmlformats.org/officeDocument/2006/relationships/diagramQuickStyle" Target="diagrams/quickStyle4.xml"/><Relationship Id="rId36" Type="http://schemas.openxmlformats.org/officeDocument/2006/relationships/diagramColors" Target="diagrams/colors4.xml"/><Relationship Id="rId37" Type="http://schemas.microsoft.com/office/2007/relationships/diagramDrawing" Target="diagrams/drawing4.xml"/><Relationship Id="rId38" Type="http://schemas.openxmlformats.org/officeDocument/2006/relationships/diagramData" Target="diagrams/data5.xml"/><Relationship Id="rId39" Type="http://schemas.openxmlformats.org/officeDocument/2006/relationships/diagramLayout" Target="diagrams/layout5.xml"/><Relationship Id="rId70" Type="http://schemas.openxmlformats.org/officeDocument/2006/relationships/hyperlink" Target="http://www.cdc.gov/trendstatement/" TargetMode="External"/><Relationship Id="rId71" Type="http://schemas.openxmlformats.org/officeDocument/2006/relationships/hyperlink" Target="http://www.cdc.gov/trendstatement/" TargetMode="External"/><Relationship Id="rId72" Type="http://schemas.openxmlformats.org/officeDocument/2006/relationships/hyperlink" Target="http://www.cdc.gov/trendstatement/" TargetMode="External"/><Relationship Id="rId73" Type="http://schemas.openxmlformats.org/officeDocument/2006/relationships/hyperlink" Target="http://www.cdc.gov/trendstatement/" TargetMode="External"/><Relationship Id="rId74" Type="http://schemas.openxmlformats.org/officeDocument/2006/relationships/hyperlink" Target="http://www.cdc.gov/trendstatement/" TargetMode="External"/><Relationship Id="rId75" Type="http://schemas.openxmlformats.org/officeDocument/2006/relationships/image" Target="media/image8.jpg"/><Relationship Id="rId76" Type="http://schemas.openxmlformats.org/officeDocument/2006/relationships/hyperlink" Target="https://www.shef.ac.uk/ris/other/gov-ethics/ethicspolicy/approval-procedure/review-procedure/changes-made-after-approval" TargetMode="External"/><Relationship Id="rId77" Type="http://schemas.openxmlformats.org/officeDocument/2006/relationships/hyperlink" Target="mailto:bjbryan1@sheffield.ac.uk" TargetMode="External"/><Relationship Id="rId78" Type="http://schemas.openxmlformats.org/officeDocument/2006/relationships/hyperlink" Target="mailto:d.murdoch-eaton@sheffield.ac.uk" TargetMode="External"/><Relationship Id="rId79" Type="http://schemas.openxmlformats.org/officeDocument/2006/relationships/hyperlink" Target="mailto:bjbryan1@sheffield.ac.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20.jpg"/><Relationship Id="rId101" Type="http://schemas.openxmlformats.org/officeDocument/2006/relationships/image" Target="media/image21.jpg"/><Relationship Id="rId102" Type="http://schemas.openxmlformats.org/officeDocument/2006/relationships/image" Target="media/image22.jpg"/><Relationship Id="rId103" Type="http://schemas.openxmlformats.org/officeDocument/2006/relationships/image" Target="media/image23.jpg"/><Relationship Id="rId104" Type="http://schemas.openxmlformats.org/officeDocument/2006/relationships/image" Target="media/image24.jpg"/><Relationship Id="rId105" Type="http://schemas.openxmlformats.org/officeDocument/2006/relationships/image" Target="media/image25.jpg"/><Relationship Id="rId106" Type="http://schemas.openxmlformats.org/officeDocument/2006/relationships/image" Target="media/image26.jpg"/><Relationship Id="rId107" Type="http://schemas.openxmlformats.org/officeDocument/2006/relationships/image" Target="media/image27.jpg"/><Relationship Id="rId108" Type="http://schemas.openxmlformats.org/officeDocument/2006/relationships/image" Target="media/image28.jpg"/><Relationship Id="rId109" Type="http://schemas.openxmlformats.org/officeDocument/2006/relationships/image" Target="media/image29.jp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file:////Volumes/Transcend/UoS/PhD/Thesis%20writing/Thesis%20-%20Billy%20Bryan%20-%20revisions%20V1.docx" TargetMode="External"/><Relationship Id="rId140" Type="http://schemas.openxmlformats.org/officeDocument/2006/relationships/hyperlink" Target="http://doodle.com/poll/d5y2skwtt4izzdyr" TargetMode="External"/><Relationship Id="rId141" Type="http://schemas.openxmlformats.org/officeDocument/2006/relationships/hyperlink" Target="http://www.shef.ac.uk/aume/postgraduate/currentphdstuden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28D3DC-E58F-4B75-BA45-369A78EA5467}"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41E88179-6236-4207-B686-3047050F2D5C}">
      <dgm:prSet phldrT="[Text]"/>
      <dgm:spPr/>
      <dgm:t>
        <a:bodyPr/>
        <a:lstStyle/>
        <a:p>
          <a:r>
            <a:rPr lang="en-GB">
              <a:latin typeface="Times New Roman" charset="0"/>
              <a:ea typeface="Times New Roman" charset="0"/>
              <a:cs typeface="Times New Roman" charset="0"/>
            </a:rPr>
            <a:t>The learner states what they did well.</a:t>
          </a:r>
        </a:p>
      </dgm:t>
    </dgm:pt>
    <dgm:pt modelId="{45EB03B6-3402-4FDE-9D7C-561C88B30B6E}" type="parTrans" cxnId="{028A5341-1EDE-4032-96CE-291FA9D8804D}">
      <dgm:prSet/>
      <dgm:spPr/>
      <dgm:t>
        <a:bodyPr/>
        <a:lstStyle/>
        <a:p>
          <a:endParaRPr lang="en-GB">
            <a:latin typeface="Times New Roman" charset="0"/>
            <a:ea typeface="Times New Roman" charset="0"/>
            <a:cs typeface="Times New Roman" charset="0"/>
          </a:endParaRPr>
        </a:p>
      </dgm:t>
    </dgm:pt>
    <dgm:pt modelId="{5B96611D-768C-4B1F-B5B3-03BBB880A60F}" type="sibTrans" cxnId="{028A5341-1EDE-4032-96CE-291FA9D8804D}">
      <dgm:prSet/>
      <dgm:spPr/>
      <dgm:t>
        <a:bodyPr/>
        <a:lstStyle/>
        <a:p>
          <a:endParaRPr lang="en-GB">
            <a:latin typeface="Times New Roman" charset="0"/>
            <a:ea typeface="Times New Roman" charset="0"/>
            <a:cs typeface="Times New Roman" charset="0"/>
          </a:endParaRPr>
        </a:p>
      </dgm:t>
    </dgm:pt>
    <dgm:pt modelId="{3B324463-9921-4545-BB22-93A3BA48AD12}">
      <dgm:prSet phldrT="[Text]"/>
      <dgm:spPr/>
      <dgm:t>
        <a:bodyPr/>
        <a:lstStyle/>
        <a:p>
          <a:r>
            <a:rPr lang="en-GB">
              <a:latin typeface="Times New Roman" charset="0"/>
              <a:ea typeface="Times New Roman" charset="0"/>
              <a:cs typeface="Times New Roman" charset="0"/>
            </a:rPr>
            <a:t>The observer states what the learner did well.</a:t>
          </a:r>
        </a:p>
      </dgm:t>
    </dgm:pt>
    <dgm:pt modelId="{92F52227-B71F-4797-B853-A6A83F79F804}" type="parTrans" cxnId="{A5480AD4-D859-4F80-BB31-1085E05A61B9}">
      <dgm:prSet/>
      <dgm:spPr/>
      <dgm:t>
        <a:bodyPr/>
        <a:lstStyle/>
        <a:p>
          <a:endParaRPr lang="en-GB">
            <a:latin typeface="Times New Roman" charset="0"/>
            <a:ea typeface="Times New Roman" charset="0"/>
            <a:cs typeface="Times New Roman" charset="0"/>
          </a:endParaRPr>
        </a:p>
      </dgm:t>
    </dgm:pt>
    <dgm:pt modelId="{7F2FF573-6DF9-407A-94A3-748197819872}" type="sibTrans" cxnId="{A5480AD4-D859-4F80-BB31-1085E05A61B9}">
      <dgm:prSet/>
      <dgm:spPr/>
      <dgm:t>
        <a:bodyPr/>
        <a:lstStyle/>
        <a:p>
          <a:endParaRPr lang="en-GB">
            <a:latin typeface="Times New Roman" charset="0"/>
            <a:ea typeface="Times New Roman" charset="0"/>
            <a:cs typeface="Times New Roman" charset="0"/>
          </a:endParaRPr>
        </a:p>
      </dgm:t>
    </dgm:pt>
    <dgm:pt modelId="{F616B25B-7975-4125-87AF-DDCDDB892165}">
      <dgm:prSet phldrT="[Text]"/>
      <dgm:spPr/>
      <dgm:t>
        <a:bodyPr/>
        <a:lstStyle/>
        <a:p>
          <a:r>
            <a:rPr lang="en-GB">
              <a:latin typeface="Times New Roman" charset="0"/>
              <a:ea typeface="Times New Roman" charset="0"/>
              <a:cs typeface="Times New Roman" charset="0"/>
            </a:rPr>
            <a:t>The learner states what could be improved.</a:t>
          </a:r>
        </a:p>
      </dgm:t>
    </dgm:pt>
    <dgm:pt modelId="{56B71FB4-BA6A-410A-8602-E9FADFF244DE}" type="parTrans" cxnId="{9885AD8B-A107-41D1-AF77-B4931870F0DC}">
      <dgm:prSet/>
      <dgm:spPr/>
      <dgm:t>
        <a:bodyPr/>
        <a:lstStyle/>
        <a:p>
          <a:endParaRPr lang="en-GB">
            <a:latin typeface="Times New Roman" charset="0"/>
            <a:ea typeface="Times New Roman" charset="0"/>
            <a:cs typeface="Times New Roman" charset="0"/>
          </a:endParaRPr>
        </a:p>
      </dgm:t>
    </dgm:pt>
    <dgm:pt modelId="{87712B53-4286-4619-9603-0BBE7A4D56A5}" type="sibTrans" cxnId="{9885AD8B-A107-41D1-AF77-B4931870F0DC}">
      <dgm:prSet/>
      <dgm:spPr/>
      <dgm:t>
        <a:bodyPr/>
        <a:lstStyle/>
        <a:p>
          <a:endParaRPr lang="en-GB">
            <a:latin typeface="Times New Roman" charset="0"/>
            <a:ea typeface="Times New Roman" charset="0"/>
            <a:cs typeface="Times New Roman" charset="0"/>
          </a:endParaRPr>
        </a:p>
      </dgm:t>
    </dgm:pt>
    <dgm:pt modelId="{DBDC736C-D586-4B50-8F0B-651380D15F92}">
      <dgm:prSet/>
      <dgm:spPr/>
      <dgm:t>
        <a:bodyPr/>
        <a:lstStyle/>
        <a:p>
          <a:r>
            <a:rPr lang="en-GB">
              <a:latin typeface="Times New Roman" charset="0"/>
              <a:ea typeface="Times New Roman" charset="0"/>
              <a:cs typeface="Times New Roman" charset="0"/>
            </a:rPr>
            <a:t>The observer states what could be improved, and how this might be achieved.</a:t>
          </a:r>
        </a:p>
      </dgm:t>
    </dgm:pt>
    <dgm:pt modelId="{B9938275-FB1E-4A16-9E19-9ACCBD47CEC8}" type="parTrans" cxnId="{DD2D18B0-14CF-4877-8CED-865BDE4FF5A4}">
      <dgm:prSet/>
      <dgm:spPr/>
      <dgm:t>
        <a:bodyPr/>
        <a:lstStyle/>
        <a:p>
          <a:endParaRPr lang="en-GB">
            <a:latin typeface="Times New Roman" charset="0"/>
            <a:ea typeface="Times New Roman" charset="0"/>
            <a:cs typeface="Times New Roman" charset="0"/>
          </a:endParaRPr>
        </a:p>
      </dgm:t>
    </dgm:pt>
    <dgm:pt modelId="{7564395C-D266-4B66-A1FD-92018174E427}" type="sibTrans" cxnId="{DD2D18B0-14CF-4877-8CED-865BDE4FF5A4}">
      <dgm:prSet/>
      <dgm:spPr/>
      <dgm:t>
        <a:bodyPr/>
        <a:lstStyle/>
        <a:p>
          <a:endParaRPr lang="en-GB">
            <a:latin typeface="Times New Roman" charset="0"/>
            <a:ea typeface="Times New Roman" charset="0"/>
            <a:cs typeface="Times New Roman" charset="0"/>
          </a:endParaRPr>
        </a:p>
      </dgm:t>
    </dgm:pt>
    <dgm:pt modelId="{20226245-EFA2-446E-9012-E37FE31C79FB}" type="pres">
      <dgm:prSet presAssocID="{A728D3DC-E58F-4B75-BA45-369A78EA5467}" presName="CompostProcess" presStyleCnt="0">
        <dgm:presLayoutVars>
          <dgm:dir/>
          <dgm:resizeHandles val="exact"/>
        </dgm:presLayoutVars>
      </dgm:prSet>
      <dgm:spPr/>
      <dgm:t>
        <a:bodyPr/>
        <a:lstStyle/>
        <a:p>
          <a:endParaRPr lang="en-GB"/>
        </a:p>
      </dgm:t>
    </dgm:pt>
    <dgm:pt modelId="{344CB75E-C22B-4128-B8FB-A59691427242}" type="pres">
      <dgm:prSet presAssocID="{A728D3DC-E58F-4B75-BA45-369A78EA5467}" presName="arrow" presStyleLbl="bgShp" presStyleIdx="0" presStyleCnt="1"/>
      <dgm:spPr/>
    </dgm:pt>
    <dgm:pt modelId="{83CAE3E2-E155-4840-AC46-5ECB1494C19E}" type="pres">
      <dgm:prSet presAssocID="{A728D3DC-E58F-4B75-BA45-369A78EA5467}" presName="linearProcess" presStyleCnt="0"/>
      <dgm:spPr/>
    </dgm:pt>
    <dgm:pt modelId="{264F17D8-1FA6-4B7D-A549-B638DBC298D4}" type="pres">
      <dgm:prSet presAssocID="{41E88179-6236-4207-B686-3047050F2D5C}" presName="textNode" presStyleLbl="node1" presStyleIdx="0" presStyleCnt="4">
        <dgm:presLayoutVars>
          <dgm:bulletEnabled val="1"/>
        </dgm:presLayoutVars>
      </dgm:prSet>
      <dgm:spPr/>
      <dgm:t>
        <a:bodyPr/>
        <a:lstStyle/>
        <a:p>
          <a:endParaRPr lang="en-GB"/>
        </a:p>
      </dgm:t>
    </dgm:pt>
    <dgm:pt modelId="{8DEC6FA7-FA16-430B-BC86-A6E79BA4F047}" type="pres">
      <dgm:prSet presAssocID="{5B96611D-768C-4B1F-B5B3-03BBB880A60F}" presName="sibTrans" presStyleCnt="0"/>
      <dgm:spPr/>
    </dgm:pt>
    <dgm:pt modelId="{829118B1-DEAF-4875-A1BA-1C0FED553291}" type="pres">
      <dgm:prSet presAssocID="{3B324463-9921-4545-BB22-93A3BA48AD12}" presName="textNode" presStyleLbl="node1" presStyleIdx="1" presStyleCnt="4">
        <dgm:presLayoutVars>
          <dgm:bulletEnabled val="1"/>
        </dgm:presLayoutVars>
      </dgm:prSet>
      <dgm:spPr/>
      <dgm:t>
        <a:bodyPr/>
        <a:lstStyle/>
        <a:p>
          <a:endParaRPr lang="en-GB"/>
        </a:p>
      </dgm:t>
    </dgm:pt>
    <dgm:pt modelId="{F5C01C8A-5DA4-428D-B122-6DFDE4EADAE0}" type="pres">
      <dgm:prSet presAssocID="{7F2FF573-6DF9-407A-94A3-748197819872}" presName="sibTrans" presStyleCnt="0"/>
      <dgm:spPr/>
    </dgm:pt>
    <dgm:pt modelId="{ABBC04BA-FA4F-40A3-B29F-0883A4C0CEB5}" type="pres">
      <dgm:prSet presAssocID="{F616B25B-7975-4125-87AF-DDCDDB892165}" presName="textNode" presStyleLbl="node1" presStyleIdx="2" presStyleCnt="4">
        <dgm:presLayoutVars>
          <dgm:bulletEnabled val="1"/>
        </dgm:presLayoutVars>
      </dgm:prSet>
      <dgm:spPr/>
      <dgm:t>
        <a:bodyPr/>
        <a:lstStyle/>
        <a:p>
          <a:endParaRPr lang="en-GB"/>
        </a:p>
      </dgm:t>
    </dgm:pt>
    <dgm:pt modelId="{854367D9-0D8A-4F2F-8446-395DDD2BC812}" type="pres">
      <dgm:prSet presAssocID="{87712B53-4286-4619-9603-0BBE7A4D56A5}" presName="sibTrans" presStyleCnt="0"/>
      <dgm:spPr/>
    </dgm:pt>
    <dgm:pt modelId="{739B5ABE-A741-4E44-B41B-5837622993EA}" type="pres">
      <dgm:prSet presAssocID="{DBDC736C-D586-4B50-8F0B-651380D15F92}" presName="textNode" presStyleLbl="node1" presStyleIdx="3" presStyleCnt="4">
        <dgm:presLayoutVars>
          <dgm:bulletEnabled val="1"/>
        </dgm:presLayoutVars>
      </dgm:prSet>
      <dgm:spPr/>
      <dgm:t>
        <a:bodyPr/>
        <a:lstStyle/>
        <a:p>
          <a:endParaRPr lang="en-GB"/>
        </a:p>
      </dgm:t>
    </dgm:pt>
  </dgm:ptLst>
  <dgm:cxnLst>
    <dgm:cxn modelId="{60F7FCF1-95A0-0543-9171-7E9B4EB730C2}" type="presOf" srcId="{F616B25B-7975-4125-87AF-DDCDDB892165}" destId="{ABBC04BA-FA4F-40A3-B29F-0883A4C0CEB5}" srcOrd="0" destOrd="0" presId="urn:microsoft.com/office/officeart/2005/8/layout/hProcess9"/>
    <dgm:cxn modelId="{DD2D18B0-14CF-4877-8CED-865BDE4FF5A4}" srcId="{A728D3DC-E58F-4B75-BA45-369A78EA5467}" destId="{DBDC736C-D586-4B50-8F0B-651380D15F92}" srcOrd="3" destOrd="0" parTransId="{B9938275-FB1E-4A16-9E19-9ACCBD47CEC8}" sibTransId="{7564395C-D266-4B66-A1FD-92018174E427}"/>
    <dgm:cxn modelId="{028A5341-1EDE-4032-96CE-291FA9D8804D}" srcId="{A728D3DC-E58F-4B75-BA45-369A78EA5467}" destId="{41E88179-6236-4207-B686-3047050F2D5C}" srcOrd="0" destOrd="0" parTransId="{45EB03B6-3402-4FDE-9D7C-561C88B30B6E}" sibTransId="{5B96611D-768C-4B1F-B5B3-03BBB880A60F}"/>
    <dgm:cxn modelId="{C39ED06B-F8D9-FA44-BBD7-D2AFBEE3D1D8}" type="presOf" srcId="{41E88179-6236-4207-B686-3047050F2D5C}" destId="{264F17D8-1FA6-4B7D-A549-B638DBC298D4}" srcOrd="0" destOrd="0" presId="urn:microsoft.com/office/officeart/2005/8/layout/hProcess9"/>
    <dgm:cxn modelId="{9885AD8B-A107-41D1-AF77-B4931870F0DC}" srcId="{A728D3DC-E58F-4B75-BA45-369A78EA5467}" destId="{F616B25B-7975-4125-87AF-DDCDDB892165}" srcOrd="2" destOrd="0" parTransId="{56B71FB4-BA6A-410A-8602-E9FADFF244DE}" sibTransId="{87712B53-4286-4619-9603-0BBE7A4D56A5}"/>
    <dgm:cxn modelId="{A5480AD4-D859-4F80-BB31-1085E05A61B9}" srcId="{A728D3DC-E58F-4B75-BA45-369A78EA5467}" destId="{3B324463-9921-4545-BB22-93A3BA48AD12}" srcOrd="1" destOrd="0" parTransId="{92F52227-B71F-4797-B853-A6A83F79F804}" sibTransId="{7F2FF573-6DF9-407A-94A3-748197819872}"/>
    <dgm:cxn modelId="{854022D3-4396-BD4B-85B5-8D9C9324649C}" type="presOf" srcId="{A728D3DC-E58F-4B75-BA45-369A78EA5467}" destId="{20226245-EFA2-446E-9012-E37FE31C79FB}" srcOrd="0" destOrd="0" presId="urn:microsoft.com/office/officeart/2005/8/layout/hProcess9"/>
    <dgm:cxn modelId="{151C3E03-C1FA-E347-9496-949154A5093D}" type="presOf" srcId="{DBDC736C-D586-4B50-8F0B-651380D15F92}" destId="{739B5ABE-A741-4E44-B41B-5837622993EA}" srcOrd="0" destOrd="0" presId="urn:microsoft.com/office/officeart/2005/8/layout/hProcess9"/>
    <dgm:cxn modelId="{3DD44D88-925C-234E-AF11-05A4BD14CD9D}" type="presOf" srcId="{3B324463-9921-4545-BB22-93A3BA48AD12}" destId="{829118B1-DEAF-4875-A1BA-1C0FED553291}" srcOrd="0" destOrd="0" presId="urn:microsoft.com/office/officeart/2005/8/layout/hProcess9"/>
    <dgm:cxn modelId="{F444A732-BD10-294F-833B-2C06E7E871B8}" type="presParOf" srcId="{20226245-EFA2-446E-9012-E37FE31C79FB}" destId="{344CB75E-C22B-4128-B8FB-A59691427242}" srcOrd="0" destOrd="0" presId="urn:microsoft.com/office/officeart/2005/8/layout/hProcess9"/>
    <dgm:cxn modelId="{EF615705-1F47-3447-9CA0-51E3C124EE27}" type="presParOf" srcId="{20226245-EFA2-446E-9012-E37FE31C79FB}" destId="{83CAE3E2-E155-4840-AC46-5ECB1494C19E}" srcOrd="1" destOrd="0" presId="urn:microsoft.com/office/officeart/2005/8/layout/hProcess9"/>
    <dgm:cxn modelId="{54753241-D036-0B44-90BB-933DC660A838}" type="presParOf" srcId="{83CAE3E2-E155-4840-AC46-5ECB1494C19E}" destId="{264F17D8-1FA6-4B7D-A549-B638DBC298D4}" srcOrd="0" destOrd="0" presId="urn:microsoft.com/office/officeart/2005/8/layout/hProcess9"/>
    <dgm:cxn modelId="{FEC89AD6-D91F-7743-B4A9-5C341991EE81}" type="presParOf" srcId="{83CAE3E2-E155-4840-AC46-5ECB1494C19E}" destId="{8DEC6FA7-FA16-430B-BC86-A6E79BA4F047}" srcOrd="1" destOrd="0" presId="urn:microsoft.com/office/officeart/2005/8/layout/hProcess9"/>
    <dgm:cxn modelId="{A77760C5-BE00-BB47-951B-2D87F626FBF3}" type="presParOf" srcId="{83CAE3E2-E155-4840-AC46-5ECB1494C19E}" destId="{829118B1-DEAF-4875-A1BA-1C0FED553291}" srcOrd="2" destOrd="0" presId="urn:microsoft.com/office/officeart/2005/8/layout/hProcess9"/>
    <dgm:cxn modelId="{69A97307-1865-BB44-912E-B726A57A7AC2}" type="presParOf" srcId="{83CAE3E2-E155-4840-AC46-5ECB1494C19E}" destId="{F5C01C8A-5DA4-428D-B122-6DFDE4EADAE0}" srcOrd="3" destOrd="0" presId="urn:microsoft.com/office/officeart/2005/8/layout/hProcess9"/>
    <dgm:cxn modelId="{334E7A50-1B71-4C49-8C6F-A52995A3F2E2}" type="presParOf" srcId="{83CAE3E2-E155-4840-AC46-5ECB1494C19E}" destId="{ABBC04BA-FA4F-40A3-B29F-0883A4C0CEB5}" srcOrd="4" destOrd="0" presId="urn:microsoft.com/office/officeart/2005/8/layout/hProcess9"/>
    <dgm:cxn modelId="{79D87E1C-6654-D245-AB3C-4E456B6476C9}" type="presParOf" srcId="{83CAE3E2-E155-4840-AC46-5ECB1494C19E}" destId="{854367D9-0D8A-4F2F-8446-395DDD2BC812}" srcOrd="5" destOrd="0" presId="urn:microsoft.com/office/officeart/2005/8/layout/hProcess9"/>
    <dgm:cxn modelId="{BC1FDB31-7E7D-B141-87A0-711DD9E93AA8}" type="presParOf" srcId="{83CAE3E2-E155-4840-AC46-5ECB1494C19E}" destId="{739B5ABE-A741-4E44-B41B-5837622993EA}" srcOrd="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3516F4F-231F-4B33-BB61-DACD564A122C}" type="doc">
      <dgm:prSet loTypeId="urn:microsoft.com/office/officeart/2009/3/layout/HorizontalOrganizationChart" loCatId="hierarchy" qsTypeId="urn:microsoft.com/office/officeart/2005/8/quickstyle/simple1" qsCatId="simple" csTypeId="urn:microsoft.com/office/officeart/2005/8/colors/colorful1" csCatId="colorful" phldr="1"/>
      <dgm:spPr/>
      <dgm:t>
        <a:bodyPr/>
        <a:lstStyle/>
        <a:p>
          <a:endParaRPr lang="en-GB"/>
        </a:p>
      </dgm:t>
    </dgm:pt>
    <dgm:pt modelId="{A748F44E-ED11-4463-9225-27804B61A87B}">
      <dgm:prSet custT="1"/>
      <dgm:spPr/>
      <dgm:t>
        <a:bodyPr/>
        <a:lstStyle/>
        <a:p>
          <a:r>
            <a:rPr lang="en-GB" sz="1000"/>
            <a:t>Contextual and situational</a:t>
          </a:r>
        </a:p>
      </dgm:t>
    </dgm:pt>
    <dgm:pt modelId="{51267C5F-6CC5-49FF-A8C3-76B3A4FD72AD}" type="parTrans" cxnId="{FF8B518A-8410-4C22-96B8-709695831DB9}">
      <dgm:prSet/>
      <dgm:spPr/>
      <dgm:t>
        <a:bodyPr/>
        <a:lstStyle/>
        <a:p>
          <a:endParaRPr lang="en-GB" sz="1000"/>
        </a:p>
      </dgm:t>
    </dgm:pt>
    <dgm:pt modelId="{758D6402-007A-4FD6-9CBB-70F3604B1204}" type="sibTrans" cxnId="{FF8B518A-8410-4C22-96B8-709695831DB9}">
      <dgm:prSet/>
      <dgm:spPr/>
      <dgm:t>
        <a:bodyPr/>
        <a:lstStyle/>
        <a:p>
          <a:endParaRPr lang="en-GB" sz="1000"/>
        </a:p>
      </dgm:t>
    </dgm:pt>
    <dgm:pt modelId="{8EFA715D-1823-4C99-9DD3-EE1D178DA3A5}">
      <dgm:prSet custT="1"/>
      <dgm:spPr/>
      <dgm:t>
        <a:bodyPr/>
        <a:lstStyle/>
        <a:p>
          <a:r>
            <a:rPr lang="en-GB" sz="1000"/>
            <a:t>Supervisors</a:t>
          </a:r>
        </a:p>
      </dgm:t>
    </dgm:pt>
    <dgm:pt modelId="{36E9AF23-0DFF-4467-97FD-0E5593979C07}" type="parTrans" cxnId="{509EEA72-7843-48FF-83E3-0C55A297405F}">
      <dgm:prSet/>
      <dgm:spPr/>
      <dgm:t>
        <a:bodyPr/>
        <a:lstStyle/>
        <a:p>
          <a:endParaRPr lang="en-GB" sz="1000"/>
        </a:p>
      </dgm:t>
    </dgm:pt>
    <dgm:pt modelId="{A3F2BEEA-242F-4314-BDF0-D0CE9D1ED4A6}" type="sibTrans" cxnId="{509EEA72-7843-48FF-83E3-0C55A297405F}">
      <dgm:prSet/>
      <dgm:spPr/>
      <dgm:t>
        <a:bodyPr/>
        <a:lstStyle/>
        <a:p>
          <a:endParaRPr lang="en-GB" sz="1000"/>
        </a:p>
      </dgm:t>
    </dgm:pt>
    <dgm:pt modelId="{8082A7F2-4B39-44B2-B57D-5DE2F3C21DA8}">
      <dgm:prSet phldrT="[Text]" custT="1"/>
      <dgm:spPr/>
      <dgm:t>
        <a:bodyPr/>
        <a:lstStyle/>
        <a:p>
          <a:r>
            <a:rPr lang="en-GB" sz="1000"/>
            <a:t>Learning priorities</a:t>
          </a:r>
        </a:p>
      </dgm:t>
    </dgm:pt>
    <dgm:pt modelId="{929866C7-FCA7-419C-893B-0D0F255A7A99}" type="parTrans" cxnId="{5A2645FD-7DDE-42E4-A7E4-3A673B0318A1}">
      <dgm:prSet/>
      <dgm:spPr/>
      <dgm:t>
        <a:bodyPr/>
        <a:lstStyle/>
        <a:p>
          <a:endParaRPr lang="en-GB" sz="1000"/>
        </a:p>
      </dgm:t>
    </dgm:pt>
    <dgm:pt modelId="{46252DD3-ED4D-40CE-8577-0835C91A781F}" type="sibTrans" cxnId="{5A2645FD-7DDE-42E4-A7E4-3A673B0318A1}">
      <dgm:prSet/>
      <dgm:spPr/>
      <dgm:t>
        <a:bodyPr/>
        <a:lstStyle/>
        <a:p>
          <a:endParaRPr lang="en-GB" sz="1000"/>
        </a:p>
      </dgm:t>
    </dgm:pt>
    <dgm:pt modelId="{6351F96C-35AC-4F5E-B3B2-CC88858F0EA9}">
      <dgm:prSet custT="1"/>
      <dgm:spPr/>
      <dgm:t>
        <a:bodyPr/>
        <a:lstStyle/>
        <a:p>
          <a:r>
            <a:rPr lang="en-GB" sz="1000"/>
            <a:t>Workplace culture</a:t>
          </a:r>
        </a:p>
      </dgm:t>
    </dgm:pt>
    <dgm:pt modelId="{0C0C9A64-903D-49EA-A2E9-EB30C5E0C3F1}" type="parTrans" cxnId="{EBE0EA78-BE7C-4870-9244-AFB702A4F173}">
      <dgm:prSet/>
      <dgm:spPr/>
      <dgm:t>
        <a:bodyPr/>
        <a:lstStyle/>
        <a:p>
          <a:endParaRPr lang="en-GB" sz="1000"/>
        </a:p>
      </dgm:t>
    </dgm:pt>
    <dgm:pt modelId="{D09B6C20-DAC6-4ABE-8AB0-9E107468AA38}" type="sibTrans" cxnId="{EBE0EA78-BE7C-4870-9244-AFB702A4F173}">
      <dgm:prSet/>
      <dgm:spPr/>
      <dgm:t>
        <a:bodyPr/>
        <a:lstStyle/>
        <a:p>
          <a:endParaRPr lang="en-GB" sz="1000"/>
        </a:p>
      </dgm:t>
    </dgm:pt>
    <dgm:pt modelId="{BDD8254F-F260-42BB-AB14-B93A1F573603}">
      <dgm:prSet custT="1"/>
      <dgm:spPr/>
      <dgm:t>
        <a:bodyPr/>
        <a:lstStyle/>
        <a:p>
          <a:r>
            <a:rPr lang="en-GB" sz="1000"/>
            <a:t>Stage of learning and development</a:t>
          </a:r>
        </a:p>
      </dgm:t>
    </dgm:pt>
    <dgm:pt modelId="{26185E24-99EE-4F2B-BA1B-F8E6BF5FCAEA}" type="parTrans" cxnId="{818345B0-CABB-4138-8486-13A77F7BC6B4}">
      <dgm:prSet/>
      <dgm:spPr/>
      <dgm:t>
        <a:bodyPr/>
        <a:lstStyle/>
        <a:p>
          <a:endParaRPr lang="en-GB" sz="1000"/>
        </a:p>
      </dgm:t>
    </dgm:pt>
    <dgm:pt modelId="{AA14F111-5CBC-444B-AAC8-4F0E0731749C}" type="sibTrans" cxnId="{818345B0-CABB-4138-8486-13A77F7BC6B4}">
      <dgm:prSet/>
      <dgm:spPr/>
      <dgm:t>
        <a:bodyPr/>
        <a:lstStyle/>
        <a:p>
          <a:endParaRPr lang="en-GB" sz="1000"/>
        </a:p>
      </dgm:t>
    </dgm:pt>
    <dgm:pt modelId="{E819FF71-23E1-43EF-9CAB-7E2AE8F5D88F}">
      <dgm:prSet custT="1"/>
      <dgm:spPr/>
      <dgm:t>
        <a:bodyPr/>
        <a:lstStyle/>
        <a:p>
          <a:r>
            <a:rPr lang="en-GB" sz="1000"/>
            <a:t>Nature of the workplace</a:t>
          </a:r>
        </a:p>
      </dgm:t>
    </dgm:pt>
    <dgm:pt modelId="{5B5491FA-3349-476E-84AE-E5E66CD7AF9D}" type="parTrans" cxnId="{BD1F1F5C-AC41-4ED1-BCE4-7F355806E217}">
      <dgm:prSet/>
      <dgm:spPr/>
      <dgm:t>
        <a:bodyPr/>
        <a:lstStyle/>
        <a:p>
          <a:endParaRPr lang="en-GB" sz="1000"/>
        </a:p>
      </dgm:t>
    </dgm:pt>
    <dgm:pt modelId="{C2380AEE-9BA3-421D-8AA8-D00BA03C527B}" type="sibTrans" cxnId="{BD1F1F5C-AC41-4ED1-BCE4-7F355806E217}">
      <dgm:prSet/>
      <dgm:spPr/>
      <dgm:t>
        <a:bodyPr/>
        <a:lstStyle/>
        <a:p>
          <a:endParaRPr lang="en-GB" sz="1000"/>
        </a:p>
      </dgm:t>
    </dgm:pt>
    <dgm:pt modelId="{8AA0CE77-0B74-4969-9DAE-B323A5A0077C}">
      <dgm:prSet custT="1"/>
      <dgm:spPr/>
      <dgm:t>
        <a:bodyPr/>
        <a:lstStyle/>
        <a:p>
          <a:r>
            <a:rPr lang="en-GB" sz="1000"/>
            <a:t>Personal and professional progression</a:t>
          </a:r>
        </a:p>
      </dgm:t>
    </dgm:pt>
    <dgm:pt modelId="{25CB0B19-5D4E-42C0-B8DA-B7171758B3C5}" type="parTrans" cxnId="{583E9CA8-5D9B-43A6-A5ED-7F9397F3FF9D}">
      <dgm:prSet/>
      <dgm:spPr/>
      <dgm:t>
        <a:bodyPr/>
        <a:lstStyle/>
        <a:p>
          <a:endParaRPr lang="en-GB" sz="1000"/>
        </a:p>
      </dgm:t>
    </dgm:pt>
    <dgm:pt modelId="{A14366CA-6AC6-452C-BED2-78C301AE6995}" type="sibTrans" cxnId="{583E9CA8-5D9B-43A6-A5ED-7F9397F3FF9D}">
      <dgm:prSet/>
      <dgm:spPr/>
      <dgm:t>
        <a:bodyPr/>
        <a:lstStyle/>
        <a:p>
          <a:endParaRPr lang="en-GB" sz="1000"/>
        </a:p>
      </dgm:t>
    </dgm:pt>
    <dgm:pt modelId="{CE6E3EE0-199F-4E92-AA69-5283AF2175C7}">
      <dgm:prSet custT="1"/>
      <dgm:spPr/>
      <dgm:t>
        <a:bodyPr/>
        <a:lstStyle/>
        <a:p>
          <a:r>
            <a:rPr lang="en-GB" sz="1000"/>
            <a:t>Individual learner</a:t>
          </a:r>
        </a:p>
      </dgm:t>
    </dgm:pt>
    <dgm:pt modelId="{D1DC90EB-F840-44AA-900C-444832F06F2E}" type="parTrans" cxnId="{8316C6F2-57F3-4D10-8503-00B2DF451A49}">
      <dgm:prSet/>
      <dgm:spPr/>
      <dgm:t>
        <a:bodyPr/>
        <a:lstStyle/>
        <a:p>
          <a:endParaRPr lang="en-GB" sz="1000"/>
        </a:p>
      </dgm:t>
    </dgm:pt>
    <dgm:pt modelId="{4749F6E2-DE57-4E01-BD7B-82224B56880F}" type="sibTrans" cxnId="{8316C6F2-57F3-4D10-8503-00B2DF451A49}">
      <dgm:prSet/>
      <dgm:spPr/>
      <dgm:t>
        <a:bodyPr/>
        <a:lstStyle/>
        <a:p>
          <a:endParaRPr lang="en-GB" sz="1000"/>
        </a:p>
      </dgm:t>
    </dgm:pt>
    <dgm:pt modelId="{04869B90-3CDC-4F42-B930-460433855D89}">
      <dgm:prSet custT="1"/>
      <dgm:spPr/>
      <dgm:t>
        <a:bodyPr/>
        <a:lstStyle/>
        <a:p>
          <a:r>
            <a:rPr lang="en-GB" sz="1000"/>
            <a:t>Perceived relationship</a:t>
          </a:r>
        </a:p>
      </dgm:t>
    </dgm:pt>
    <dgm:pt modelId="{D3147D78-AE9E-4548-938A-3567E84E7E12}" type="parTrans" cxnId="{E1E7C4B4-8131-4686-9276-5338D47A68B3}">
      <dgm:prSet/>
      <dgm:spPr/>
      <dgm:t>
        <a:bodyPr/>
        <a:lstStyle/>
        <a:p>
          <a:endParaRPr lang="en-GB" sz="1000"/>
        </a:p>
      </dgm:t>
    </dgm:pt>
    <dgm:pt modelId="{7D578210-DB95-4AE5-BC43-E2EF004CE632}" type="sibTrans" cxnId="{E1E7C4B4-8131-4686-9276-5338D47A68B3}">
      <dgm:prSet/>
      <dgm:spPr/>
      <dgm:t>
        <a:bodyPr/>
        <a:lstStyle/>
        <a:p>
          <a:endParaRPr lang="en-GB" sz="1000"/>
        </a:p>
      </dgm:t>
    </dgm:pt>
    <dgm:pt modelId="{593CAD76-8C2E-445F-A68C-569B46387685}">
      <dgm:prSet custT="1"/>
      <dgm:spPr/>
      <dgm:t>
        <a:bodyPr/>
        <a:lstStyle/>
        <a:p>
          <a:r>
            <a:rPr lang="en-GB" sz="1000"/>
            <a:t>Credibility</a:t>
          </a:r>
        </a:p>
      </dgm:t>
    </dgm:pt>
    <dgm:pt modelId="{DC69EF87-9F0F-4FDB-B9E3-63C122CD7C90}" type="parTrans" cxnId="{2B6C5E5A-5100-4065-8CE9-AFA9AEBF63A5}">
      <dgm:prSet/>
      <dgm:spPr/>
      <dgm:t>
        <a:bodyPr/>
        <a:lstStyle/>
        <a:p>
          <a:endParaRPr lang="en-GB" sz="1000"/>
        </a:p>
      </dgm:t>
    </dgm:pt>
    <dgm:pt modelId="{AB4D0DFA-2CB1-4FEA-96CD-5E57BFCE0124}" type="sibTrans" cxnId="{2B6C5E5A-5100-4065-8CE9-AFA9AEBF63A5}">
      <dgm:prSet/>
      <dgm:spPr/>
      <dgm:t>
        <a:bodyPr/>
        <a:lstStyle/>
        <a:p>
          <a:endParaRPr lang="en-GB" sz="1000"/>
        </a:p>
      </dgm:t>
    </dgm:pt>
    <dgm:pt modelId="{ACD35DF3-13D1-4353-A6A8-25A12C1C5EC3}">
      <dgm:prSet custT="1"/>
      <dgm:spPr/>
      <dgm:t>
        <a:bodyPr/>
        <a:lstStyle/>
        <a:p>
          <a:r>
            <a:rPr lang="en-GB" sz="1000"/>
            <a:t>Motivational beliefs</a:t>
          </a:r>
        </a:p>
      </dgm:t>
    </dgm:pt>
    <dgm:pt modelId="{C0A005E3-C583-4050-9AF2-9BA4A77B5C6D}" type="parTrans" cxnId="{36079086-D9AC-42F8-A1E7-C67A8CE41596}">
      <dgm:prSet/>
      <dgm:spPr/>
      <dgm:t>
        <a:bodyPr/>
        <a:lstStyle/>
        <a:p>
          <a:endParaRPr lang="en-GB" sz="1000"/>
        </a:p>
      </dgm:t>
    </dgm:pt>
    <dgm:pt modelId="{236FCBD5-3B7A-4B4E-82A9-0042B7116B0A}" type="sibTrans" cxnId="{36079086-D9AC-42F8-A1E7-C67A8CE41596}">
      <dgm:prSet/>
      <dgm:spPr/>
      <dgm:t>
        <a:bodyPr/>
        <a:lstStyle/>
        <a:p>
          <a:endParaRPr lang="en-GB" sz="1000"/>
        </a:p>
      </dgm:t>
    </dgm:pt>
    <dgm:pt modelId="{479E0973-C707-4324-96D9-051C86B001E7}">
      <dgm:prSet custT="1"/>
      <dgm:spPr/>
      <dgm:t>
        <a:bodyPr/>
        <a:lstStyle/>
        <a:p>
          <a:r>
            <a:rPr lang="en-GB" sz="1000"/>
            <a:t>Self-evaluation</a:t>
          </a:r>
        </a:p>
      </dgm:t>
    </dgm:pt>
    <dgm:pt modelId="{384145EA-A543-4322-ACE3-8CD571E7E2F1}" type="parTrans" cxnId="{28AD4C1F-7AB7-489C-96C5-52D947D93586}">
      <dgm:prSet/>
      <dgm:spPr/>
      <dgm:t>
        <a:bodyPr/>
        <a:lstStyle/>
        <a:p>
          <a:endParaRPr lang="en-GB" sz="1000"/>
        </a:p>
      </dgm:t>
    </dgm:pt>
    <dgm:pt modelId="{B775F93C-8F9A-4946-8B5B-5EDF5AEA5053}" type="sibTrans" cxnId="{28AD4C1F-7AB7-489C-96C5-52D947D93586}">
      <dgm:prSet/>
      <dgm:spPr/>
      <dgm:t>
        <a:bodyPr/>
        <a:lstStyle/>
        <a:p>
          <a:endParaRPr lang="en-GB" sz="1000"/>
        </a:p>
      </dgm:t>
    </dgm:pt>
    <dgm:pt modelId="{3255ED5B-27C9-4500-B402-0A6889CCB9CE}">
      <dgm:prSet custT="1"/>
      <dgm:spPr/>
      <dgm:t>
        <a:bodyPr/>
        <a:lstStyle/>
        <a:p>
          <a:r>
            <a:rPr lang="en-GB" sz="1000"/>
            <a:t>Planning and monitoring</a:t>
          </a:r>
        </a:p>
      </dgm:t>
    </dgm:pt>
    <dgm:pt modelId="{48C7BC17-C079-4617-A1E6-8AE5905F636E}" type="parTrans" cxnId="{FC038606-77C5-484E-A51D-D3665BDDE0B8}">
      <dgm:prSet/>
      <dgm:spPr/>
      <dgm:t>
        <a:bodyPr/>
        <a:lstStyle/>
        <a:p>
          <a:endParaRPr lang="en-GB" sz="1000"/>
        </a:p>
      </dgm:t>
    </dgm:pt>
    <dgm:pt modelId="{242864C5-A021-47C6-8AD3-77442FBA0C36}" type="sibTrans" cxnId="{FC038606-77C5-484E-A51D-D3665BDDE0B8}">
      <dgm:prSet/>
      <dgm:spPr/>
      <dgm:t>
        <a:bodyPr/>
        <a:lstStyle/>
        <a:p>
          <a:endParaRPr lang="en-GB" sz="1000"/>
        </a:p>
      </dgm:t>
    </dgm:pt>
    <dgm:pt modelId="{53076996-6BFA-4FCD-B020-882DD4F93500}">
      <dgm:prSet custT="1"/>
      <dgm:spPr/>
      <dgm:t>
        <a:bodyPr/>
        <a:lstStyle/>
        <a:p>
          <a:r>
            <a:rPr lang="en-GB" sz="1000"/>
            <a:t>Perception of staff workload</a:t>
          </a:r>
        </a:p>
      </dgm:t>
    </dgm:pt>
    <dgm:pt modelId="{8F42E262-38DA-43F2-9117-3FE672105C67}" type="parTrans" cxnId="{B3AAE53C-3887-4E32-AFC3-ECD5E2110046}">
      <dgm:prSet/>
      <dgm:spPr/>
      <dgm:t>
        <a:bodyPr/>
        <a:lstStyle/>
        <a:p>
          <a:endParaRPr lang="en-GB" sz="1000"/>
        </a:p>
      </dgm:t>
    </dgm:pt>
    <dgm:pt modelId="{8AEF2900-7103-4A33-A46E-41CEF24C6AC6}" type="sibTrans" cxnId="{B3AAE53C-3887-4E32-AFC3-ECD5E2110046}">
      <dgm:prSet/>
      <dgm:spPr/>
      <dgm:t>
        <a:bodyPr/>
        <a:lstStyle/>
        <a:p>
          <a:endParaRPr lang="en-GB" sz="1000"/>
        </a:p>
      </dgm:t>
    </dgm:pt>
    <dgm:pt modelId="{33B6984A-7821-4FAA-9D77-9D4BD38B0B2E}">
      <dgm:prSet custT="1"/>
      <dgm:spPr/>
      <dgm:t>
        <a:bodyPr/>
        <a:lstStyle/>
        <a:p>
          <a:r>
            <a:rPr lang="en-GB" sz="1000"/>
            <a:t>Role within the team</a:t>
          </a:r>
        </a:p>
      </dgm:t>
    </dgm:pt>
    <dgm:pt modelId="{B20FBA04-1E72-40BA-8885-FB56ECF50BD6}" type="parTrans" cxnId="{61479172-3E9F-4BAA-961A-F0BED57D6BD3}">
      <dgm:prSet/>
      <dgm:spPr/>
      <dgm:t>
        <a:bodyPr/>
        <a:lstStyle/>
        <a:p>
          <a:endParaRPr lang="en-GB" sz="1000"/>
        </a:p>
      </dgm:t>
    </dgm:pt>
    <dgm:pt modelId="{62B8D144-2C1C-4385-91AF-ABC1199D2C04}" type="sibTrans" cxnId="{61479172-3E9F-4BAA-961A-F0BED57D6BD3}">
      <dgm:prSet/>
      <dgm:spPr/>
      <dgm:t>
        <a:bodyPr/>
        <a:lstStyle/>
        <a:p>
          <a:endParaRPr lang="en-GB" sz="1000"/>
        </a:p>
      </dgm:t>
    </dgm:pt>
    <dgm:pt modelId="{31C2583E-7BC1-4CF4-B7E2-3D42769C28D3}">
      <dgm:prSet custT="1"/>
      <dgm:spPr/>
      <dgm:t>
        <a:bodyPr/>
        <a:lstStyle/>
        <a:p>
          <a:r>
            <a:rPr lang="en-GB" sz="1000"/>
            <a:t>ILOs and expectations of placement</a:t>
          </a:r>
        </a:p>
      </dgm:t>
    </dgm:pt>
    <dgm:pt modelId="{0BC2C56C-BC45-4E1B-B1EA-0B04CFF9CC3D}" type="parTrans" cxnId="{F5973C2D-7B2D-406F-89A8-8E5308CE7A25}">
      <dgm:prSet/>
      <dgm:spPr/>
      <dgm:t>
        <a:bodyPr/>
        <a:lstStyle/>
        <a:p>
          <a:endParaRPr lang="en-GB" sz="1000"/>
        </a:p>
      </dgm:t>
    </dgm:pt>
    <dgm:pt modelId="{5C4565A8-5221-4FBF-B041-22A675C18F0E}" type="sibTrans" cxnId="{F5973C2D-7B2D-406F-89A8-8E5308CE7A25}">
      <dgm:prSet/>
      <dgm:spPr/>
      <dgm:t>
        <a:bodyPr/>
        <a:lstStyle/>
        <a:p>
          <a:endParaRPr lang="en-GB" sz="1000"/>
        </a:p>
      </dgm:t>
    </dgm:pt>
    <dgm:pt modelId="{29AA372D-1905-4E58-BD83-C2CD34DA0489}">
      <dgm:prSet custT="1"/>
      <dgm:spPr/>
      <dgm:t>
        <a:bodyPr/>
        <a:lstStyle/>
        <a:p>
          <a:r>
            <a:rPr lang="en-GB" sz="1000"/>
            <a:t>Authenticity</a:t>
          </a:r>
        </a:p>
      </dgm:t>
    </dgm:pt>
    <dgm:pt modelId="{D9F077E2-F00B-4C19-BAD1-650B3D59CF7B}" type="parTrans" cxnId="{AC1BBAB0-2239-4FFB-B35D-61A86187E047}">
      <dgm:prSet/>
      <dgm:spPr/>
      <dgm:t>
        <a:bodyPr/>
        <a:lstStyle/>
        <a:p>
          <a:endParaRPr lang="en-GB" sz="1000"/>
        </a:p>
      </dgm:t>
    </dgm:pt>
    <dgm:pt modelId="{1D1288DD-B7C3-4AB8-A4A9-3EBE317577DC}" type="sibTrans" cxnId="{AC1BBAB0-2239-4FFB-B35D-61A86187E047}">
      <dgm:prSet/>
      <dgm:spPr/>
      <dgm:t>
        <a:bodyPr/>
        <a:lstStyle/>
        <a:p>
          <a:endParaRPr lang="en-GB" sz="1000"/>
        </a:p>
      </dgm:t>
    </dgm:pt>
    <dgm:pt modelId="{85F0F609-123D-43F0-930C-F98954E6966E}" type="pres">
      <dgm:prSet presAssocID="{A3516F4F-231F-4B33-BB61-DACD564A122C}" presName="hierChild1" presStyleCnt="0">
        <dgm:presLayoutVars>
          <dgm:orgChart val="1"/>
          <dgm:chPref val="1"/>
          <dgm:dir/>
          <dgm:animOne val="branch"/>
          <dgm:animLvl val="lvl"/>
          <dgm:resizeHandles/>
        </dgm:presLayoutVars>
      </dgm:prSet>
      <dgm:spPr/>
      <dgm:t>
        <a:bodyPr/>
        <a:lstStyle/>
        <a:p>
          <a:endParaRPr lang="en-GB"/>
        </a:p>
      </dgm:t>
    </dgm:pt>
    <dgm:pt modelId="{E7E170F0-7F39-448A-B29F-839E2A2662DE}" type="pres">
      <dgm:prSet presAssocID="{A748F44E-ED11-4463-9225-27804B61A87B}" presName="hierRoot1" presStyleCnt="0">
        <dgm:presLayoutVars>
          <dgm:hierBranch val="init"/>
        </dgm:presLayoutVars>
      </dgm:prSet>
      <dgm:spPr/>
      <dgm:t>
        <a:bodyPr/>
        <a:lstStyle/>
        <a:p>
          <a:endParaRPr lang="en-GB"/>
        </a:p>
      </dgm:t>
    </dgm:pt>
    <dgm:pt modelId="{F261F0DC-FB2C-4A25-BFA4-B9170635D6C9}" type="pres">
      <dgm:prSet presAssocID="{A748F44E-ED11-4463-9225-27804B61A87B}" presName="rootComposite1" presStyleCnt="0"/>
      <dgm:spPr/>
      <dgm:t>
        <a:bodyPr/>
        <a:lstStyle/>
        <a:p>
          <a:endParaRPr lang="en-GB"/>
        </a:p>
      </dgm:t>
    </dgm:pt>
    <dgm:pt modelId="{7153CB51-B998-423A-B4C0-9E5096FB9448}" type="pres">
      <dgm:prSet presAssocID="{A748F44E-ED11-4463-9225-27804B61A87B}" presName="rootText1" presStyleLbl="node0" presStyleIdx="0" presStyleCnt="4">
        <dgm:presLayoutVars>
          <dgm:chPref val="3"/>
        </dgm:presLayoutVars>
      </dgm:prSet>
      <dgm:spPr/>
      <dgm:t>
        <a:bodyPr/>
        <a:lstStyle/>
        <a:p>
          <a:endParaRPr lang="en-GB"/>
        </a:p>
      </dgm:t>
    </dgm:pt>
    <dgm:pt modelId="{FFDFC743-FB19-4455-AC38-3820A6F7699B}" type="pres">
      <dgm:prSet presAssocID="{A748F44E-ED11-4463-9225-27804B61A87B}" presName="rootConnector1" presStyleLbl="node1" presStyleIdx="0" presStyleCnt="0"/>
      <dgm:spPr/>
      <dgm:t>
        <a:bodyPr/>
        <a:lstStyle/>
        <a:p>
          <a:endParaRPr lang="en-GB"/>
        </a:p>
      </dgm:t>
    </dgm:pt>
    <dgm:pt modelId="{4DA3DF3A-E81D-4A24-ADD4-8A39A74EADF0}" type="pres">
      <dgm:prSet presAssocID="{A748F44E-ED11-4463-9225-27804B61A87B}" presName="hierChild2" presStyleCnt="0"/>
      <dgm:spPr/>
      <dgm:t>
        <a:bodyPr/>
        <a:lstStyle/>
        <a:p>
          <a:endParaRPr lang="en-GB"/>
        </a:p>
      </dgm:t>
    </dgm:pt>
    <dgm:pt modelId="{CBEC414C-CB3E-45A1-99CA-FCD9F0AA8563}" type="pres">
      <dgm:prSet presAssocID="{5B5491FA-3349-476E-84AE-E5E66CD7AF9D}" presName="Name64" presStyleLbl="parChTrans1D2" presStyleIdx="0" presStyleCnt="12"/>
      <dgm:spPr/>
      <dgm:t>
        <a:bodyPr/>
        <a:lstStyle/>
        <a:p>
          <a:endParaRPr lang="en-GB"/>
        </a:p>
      </dgm:t>
    </dgm:pt>
    <dgm:pt modelId="{3F71D6F1-16F3-46B3-94D9-ECA6A4D4E0E8}" type="pres">
      <dgm:prSet presAssocID="{E819FF71-23E1-43EF-9CAB-7E2AE8F5D88F}" presName="hierRoot2" presStyleCnt="0">
        <dgm:presLayoutVars>
          <dgm:hierBranch val="init"/>
        </dgm:presLayoutVars>
      </dgm:prSet>
      <dgm:spPr/>
      <dgm:t>
        <a:bodyPr/>
        <a:lstStyle/>
        <a:p>
          <a:endParaRPr lang="en-GB"/>
        </a:p>
      </dgm:t>
    </dgm:pt>
    <dgm:pt modelId="{9B9F789A-4E03-4091-889B-EB36EF778B36}" type="pres">
      <dgm:prSet presAssocID="{E819FF71-23E1-43EF-9CAB-7E2AE8F5D88F}" presName="rootComposite" presStyleCnt="0"/>
      <dgm:spPr/>
      <dgm:t>
        <a:bodyPr/>
        <a:lstStyle/>
        <a:p>
          <a:endParaRPr lang="en-GB"/>
        </a:p>
      </dgm:t>
    </dgm:pt>
    <dgm:pt modelId="{A90E4103-FEEB-4839-A9BC-4A41836E94E1}" type="pres">
      <dgm:prSet presAssocID="{E819FF71-23E1-43EF-9CAB-7E2AE8F5D88F}" presName="rootText" presStyleLbl="node2" presStyleIdx="0" presStyleCnt="12">
        <dgm:presLayoutVars>
          <dgm:chPref val="3"/>
        </dgm:presLayoutVars>
      </dgm:prSet>
      <dgm:spPr/>
      <dgm:t>
        <a:bodyPr/>
        <a:lstStyle/>
        <a:p>
          <a:endParaRPr lang="en-GB"/>
        </a:p>
      </dgm:t>
    </dgm:pt>
    <dgm:pt modelId="{03B2BA26-D248-4739-A9F3-BA93FA010066}" type="pres">
      <dgm:prSet presAssocID="{E819FF71-23E1-43EF-9CAB-7E2AE8F5D88F}" presName="rootConnector" presStyleLbl="node2" presStyleIdx="0" presStyleCnt="12"/>
      <dgm:spPr/>
      <dgm:t>
        <a:bodyPr/>
        <a:lstStyle/>
        <a:p>
          <a:endParaRPr lang="en-GB"/>
        </a:p>
      </dgm:t>
    </dgm:pt>
    <dgm:pt modelId="{559E759D-96F8-4FF5-A876-191F87400A3F}" type="pres">
      <dgm:prSet presAssocID="{E819FF71-23E1-43EF-9CAB-7E2AE8F5D88F}" presName="hierChild4" presStyleCnt="0"/>
      <dgm:spPr/>
      <dgm:t>
        <a:bodyPr/>
        <a:lstStyle/>
        <a:p>
          <a:endParaRPr lang="en-GB"/>
        </a:p>
      </dgm:t>
    </dgm:pt>
    <dgm:pt modelId="{D37C49D5-6676-4055-A8DA-E5AE27ABDC9E}" type="pres">
      <dgm:prSet presAssocID="{D9F077E2-F00B-4C19-BAD1-650B3D59CF7B}" presName="Name64" presStyleLbl="parChTrans1D3" presStyleIdx="0" presStyleCnt="1"/>
      <dgm:spPr/>
      <dgm:t>
        <a:bodyPr/>
        <a:lstStyle/>
        <a:p>
          <a:endParaRPr lang="en-GB"/>
        </a:p>
      </dgm:t>
    </dgm:pt>
    <dgm:pt modelId="{482B6D64-91F4-4EB2-B417-72802AE8E28E}" type="pres">
      <dgm:prSet presAssocID="{29AA372D-1905-4E58-BD83-C2CD34DA0489}" presName="hierRoot2" presStyleCnt="0">
        <dgm:presLayoutVars>
          <dgm:hierBranch val="init"/>
        </dgm:presLayoutVars>
      </dgm:prSet>
      <dgm:spPr/>
    </dgm:pt>
    <dgm:pt modelId="{FD5203D4-99E4-4CCE-A902-D20F7565F939}" type="pres">
      <dgm:prSet presAssocID="{29AA372D-1905-4E58-BD83-C2CD34DA0489}" presName="rootComposite" presStyleCnt="0"/>
      <dgm:spPr/>
    </dgm:pt>
    <dgm:pt modelId="{E5148943-BC59-4D95-9AA7-80EBA1AA2324}" type="pres">
      <dgm:prSet presAssocID="{29AA372D-1905-4E58-BD83-C2CD34DA0489}" presName="rootText" presStyleLbl="node3" presStyleIdx="0" presStyleCnt="1">
        <dgm:presLayoutVars>
          <dgm:chPref val="3"/>
        </dgm:presLayoutVars>
      </dgm:prSet>
      <dgm:spPr/>
      <dgm:t>
        <a:bodyPr/>
        <a:lstStyle/>
        <a:p>
          <a:endParaRPr lang="en-GB"/>
        </a:p>
      </dgm:t>
    </dgm:pt>
    <dgm:pt modelId="{09F68F31-5C40-446A-ABB9-CF1C4BB06FDB}" type="pres">
      <dgm:prSet presAssocID="{29AA372D-1905-4E58-BD83-C2CD34DA0489}" presName="rootConnector" presStyleLbl="node3" presStyleIdx="0" presStyleCnt="1"/>
      <dgm:spPr/>
      <dgm:t>
        <a:bodyPr/>
        <a:lstStyle/>
        <a:p>
          <a:endParaRPr lang="en-GB"/>
        </a:p>
      </dgm:t>
    </dgm:pt>
    <dgm:pt modelId="{657B3924-BF24-45F6-A94C-3CDC01D60751}" type="pres">
      <dgm:prSet presAssocID="{29AA372D-1905-4E58-BD83-C2CD34DA0489}" presName="hierChild4" presStyleCnt="0"/>
      <dgm:spPr/>
    </dgm:pt>
    <dgm:pt modelId="{1856332A-2DD4-469C-9FA0-F1CEEBF8B1A2}" type="pres">
      <dgm:prSet presAssocID="{29AA372D-1905-4E58-BD83-C2CD34DA0489}" presName="hierChild5" presStyleCnt="0"/>
      <dgm:spPr/>
    </dgm:pt>
    <dgm:pt modelId="{1595F35E-AA79-4C0C-846D-F51C004CF619}" type="pres">
      <dgm:prSet presAssocID="{E819FF71-23E1-43EF-9CAB-7E2AE8F5D88F}" presName="hierChild5" presStyleCnt="0"/>
      <dgm:spPr/>
      <dgm:t>
        <a:bodyPr/>
        <a:lstStyle/>
        <a:p>
          <a:endParaRPr lang="en-GB"/>
        </a:p>
      </dgm:t>
    </dgm:pt>
    <dgm:pt modelId="{504F5715-D4DE-496D-97D8-8AD9E1FE12E6}" type="pres">
      <dgm:prSet presAssocID="{0C0C9A64-903D-49EA-A2E9-EB30C5E0C3F1}" presName="Name64" presStyleLbl="parChTrans1D2" presStyleIdx="1" presStyleCnt="12"/>
      <dgm:spPr/>
      <dgm:t>
        <a:bodyPr/>
        <a:lstStyle/>
        <a:p>
          <a:endParaRPr lang="en-GB"/>
        </a:p>
      </dgm:t>
    </dgm:pt>
    <dgm:pt modelId="{8C1F88E3-E912-453D-A9DD-14ACD525C34F}" type="pres">
      <dgm:prSet presAssocID="{6351F96C-35AC-4F5E-B3B2-CC88858F0EA9}" presName="hierRoot2" presStyleCnt="0">
        <dgm:presLayoutVars>
          <dgm:hierBranch val="init"/>
        </dgm:presLayoutVars>
      </dgm:prSet>
      <dgm:spPr/>
      <dgm:t>
        <a:bodyPr/>
        <a:lstStyle/>
        <a:p>
          <a:endParaRPr lang="en-GB"/>
        </a:p>
      </dgm:t>
    </dgm:pt>
    <dgm:pt modelId="{823CA80B-C9A4-4051-8535-892060C89728}" type="pres">
      <dgm:prSet presAssocID="{6351F96C-35AC-4F5E-B3B2-CC88858F0EA9}" presName="rootComposite" presStyleCnt="0"/>
      <dgm:spPr/>
      <dgm:t>
        <a:bodyPr/>
        <a:lstStyle/>
        <a:p>
          <a:endParaRPr lang="en-GB"/>
        </a:p>
      </dgm:t>
    </dgm:pt>
    <dgm:pt modelId="{18FA3649-2AF0-4B11-AF37-492C7DB351F7}" type="pres">
      <dgm:prSet presAssocID="{6351F96C-35AC-4F5E-B3B2-CC88858F0EA9}" presName="rootText" presStyleLbl="node2" presStyleIdx="1" presStyleCnt="12">
        <dgm:presLayoutVars>
          <dgm:chPref val="3"/>
        </dgm:presLayoutVars>
      </dgm:prSet>
      <dgm:spPr/>
      <dgm:t>
        <a:bodyPr/>
        <a:lstStyle/>
        <a:p>
          <a:endParaRPr lang="en-GB"/>
        </a:p>
      </dgm:t>
    </dgm:pt>
    <dgm:pt modelId="{A1C754E8-BA2C-4594-BBA8-0C43E9369A7C}" type="pres">
      <dgm:prSet presAssocID="{6351F96C-35AC-4F5E-B3B2-CC88858F0EA9}" presName="rootConnector" presStyleLbl="node2" presStyleIdx="1" presStyleCnt="12"/>
      <dgm:spPr/>
      <dgm:t>
        <a:bodyPr/>
        <a:lstStyle/>
        <a:p>
          <a:endParaRPr lang="en-GB"/>
        </a:p>
      </dgm:t>
    </dgm:pt>
    <dgm:pt modelId="{99A7BCEE-D935-4FB6-B7C8-5EF71C465C5A}" type="pres">
      <dgm:prSet presAssocID="{6351F96C-35AC-4F5E-B3B2-CC88858F0EA9}" presName="hierChild4" presStyleCnt="0"/>
      <dgm:spPr/>
      <dgm:t>
        <a:bodyPr/>
        <a:lstStyle/>
        <a:p>
          <a:endParaRPr lang="en-GB"/>
        </a:p>
      </dgm:t>
    </dgm:pt>
    <dgm:pt modelId="{6C4F03A6-28A6-470B-9FFD-05538E6F9E6A}" type="pres">
      <dgm:prSet presAssocID="{6351F96C-35AC-4F5E-B3B2-CC88858F0EA9}" presName="hierChild5" presStyleCnt="0"/>
      <dgm:spPr/>
      <dgm:t>
        <a:bodyPr/>
        <a:lstStyle/>
        <a:p>
          <a:endParaRPr lang="en-GB"/>
        </a:p>
      </dgm:t>
    </dgm:pt>
    <dgm:pt modelId="{1A7FFF24-367A-43A6-98E2-EA6A49E72BB0}" type="pres">
      <dgm:prSet presAssocID="{B20FBA04-1E72-40BA-8885-FB56ECF50BD6}" presName="Name64" presStyleLbl="parChTrans1D2" presStyleIdx="2" presStyleCnt="12"/>
      <dgm:spPr/>
      <dgm:t>
        <a:bodyPr/>
        <a:lstStyle/>
        <a:p>
          <a:endParaRPr lang="en-GB"/>
        </a:p>
      </dgm:t>
    </dgm:pt>
    <dgm:pt modelId="{13932C83-70DC-46EB-8751-8219C07BB358}" type="pres">
      <dgm:prSet presAssocID="{33B6984A-7821-4FAA-9D77-9D4BD38B0B2E}" presName="hierRoot2" presStyleCnt="0">
        <dgm:presLayoutVars>
          <dgm:hierBranch val="init"/>
        </dgm:presLayoutVars>
      </dgm:prSet>
      <dgm:spPr/>
      <dgm:t>
        <a:bodyPr/>
        <a:lstStyle/>
        <a:p>
          <a:endParaRPr lang="en-GB"/>
        </a:p>
      </dgm:t>
    </dgm:pt>
    <dgm:pt modelId="{3F15C68C-23A0-4AD5-938D-7D3E5EE055CA}" type="pres">
      <dgm:prSet presAssocID="{33B6984A-7821-4FAA-9D77-9D4BD38B0B2E}" presName="rootComposite" presStyleCnt="0"/>
      <dgm:spPr/>
      <dgm:t>
        <a:bodyPr/>
        <a:lstStyle/>
        <a:p>
          <a:endParaRPr lang="en-GB"/>
        </a:p>
      </dgm:t>
    </dgm:pt>
    <dgm:pt modelId="{4AC7CFDA-0C30-4871-B2E1-CD79E2B31341}" type="pres">
      <dgm:prSet presAssocID="{33B6984A-7821-4FAA-9D77-9D4BD38B0B2E}" presName="rootText" presStyleLbl="node2" presStyleIdx="2" presStyleCnt="12">
        <dgm:presLayoutVars>
          <dgm:chPref val="3"/>
        </dgm:presLayoutVars>
      </dgm:prSet>
      <dgm:spPr/>
      <dgm:t>
        <a:bodyPr/>
        <a:lstStyle/>
        <a:p>
          <a:endParaRPr lang="en-GB"/>
        </a:p>
      </dgm:t>
    </dgm:pt>
    <dgm:pt modelId="{3686BDF8-A17A-46A2-8EAE-9424FC480AFB}" type="pres">
      <dgm:prSet presAssocID="{33B6984A-7821-4FAA-9D77-9D4BD38B0B2E}" presName="rootConnector" presStyleLbl="node2" presStyleIdx="2" presStyleCnt="12"/>
      <dgm:spPr/>
      <dgm:t>
        <a:bodyPr/>
        <a:lstStyle/>
        <a:p>
          <a:endParaRPr lang="en-GB"/>
        </a:p>
      </dgm:t>
    </dgm:pt>
    <dgm:pt modelId="{0CBEECAE-3C04-41A5-B679-1C98858C127D}" type="pres">
      <dgm:prSet presAssocID="{33B6984A-7821-4FAA-9D77-9D4BD38B0B2E}" presName="hierChild4" presStyleCnt="0"/>
      <dgm:spPr/>
      <dgm:t>
        <a:bodyPr/>
        <a:lstStyle/>
        <a:p>
          <a:endParaRPr lang="en-GB"/>
        </a:p>
      </dgm:t>
    </dgm:pt>
    <dgm:pt modelId="{65D0072C-5599-46EC-8277-442E6A89CE2E}" type="pres">
      <dgm:prSet presAssocID="{33B6984A-7821-4FAA-9D77-9D4BD38B0B2E}" presName="hierChild5" presStyleCnt="0"/>
      <dgm:spPr/>
      <dgm:t>
        <a:bodyPr/>
        <a:lstStyle/>
        <a:p>
          <a:endParaRPr lang="en-GB"/>
        </a:p>
      </dgm:t>
    </dgm:pt>
    <dgm:pt modelId="{F05E51E7-EF90-4046-A4E9-8F5B01FE6E90}" type="pres">
      <dgm:prSet presAssocID="{A748F44E-ED11-4463-9225-27804B61A87B}" presName="hierChild3" presStyleCnt="0"/>
      <dgm:spPr/>
      <dgm:t>
        <a:bodyPr/>
        <a:lstStyle/>
        <a:p>
          <a:endParaRPr lang="en-GB"/>
        </a:p>
      </dgm:t>
    </dgm:pt>
    <dgm:pt modelId="{7E1B6BD9-413A-453B-9433-2A254198A9BF}" type="pres">
      <dgm:prSet presAssocID="{BDD8254F-F260-42BB-AB14-B93A1F573603}" presName="hierRoot1" presStyleCnt="0">
        <dgm:presLayoutVars>
          <dgm:hierBranch val="init"/>
        </dgm:presLayoutVars>
      </dgm:prSet>
      <dgm:spPr/>
      <dgm:t>
        <a:bodyPr/>
        <a:lstStyle/>
        <a:p>
          <a:endParaRPr lang="en-GB"/>
        </a:p>
      </dgm:t>
    </dgm:pt>
    <dgm:pt modelId="{8957E1E5-CBC3-4192-92A4-FE7906DDA1DC}" type="pres">
      <dgm:prSet presAssocID="{BDD8254F-F260-42BB-AB14-B93A1F573603}" presName="rootComposite1" presStyleCnt="0"/>
      <dgm:spPr/>
      <dgm:t>
        <a:bodyPr/>
        <a:lstStyle/>
        <a:p>
          <a:endParaRPr lang="en-GB"/>
        </a:p>
      </dgm:t>
    </dgm:pt>
    <dgm:pt modelId="{A0221534-758E-4AC4-B609-C169E4C779E5}" type="pres">
      <dgm:prSet presAssocID="{BDD8254F-F260-42BB-AB14-B93A1F573603}" presName="rootText1" presStyleLbl="node0" presStyleIdx="1" presStyleCnt="4">
        <dgm:presLayoutVars>
          <dgm:chPref val="3"/>
        </dgm:presLayoutVars>
      </dgm:prSet>
      <dgm:spPr/>
      <dgm:t>
        <a:bodyPr/>
        <a:lstStyle/>
        <a:p>
          <a:endParaRPr lang="en-GB"/>
        </a:p>
      </dgm:t>
    </dgm:pt>
    <dgm:pt modelId="{E6D74E96-17A4-4F07-920C-78A7A3D6D71F}" type="pres">
      <dgm:prSet presAssocID="{BDD8254F-F260-42BB-AB14-B93A1F573603}" presName="rootConnector1" presStyleLbl="node1" presStyleIdx="0" presStyleCnt="0"/>
      <dgm:spPr/>
      <dgm:t>
        <a:bodyPr/>
        <a:lstStyle/>
        <a:p>
          <a:endParaRPr lang="en-GB"/>
        </a:p>
      </dgm:t>
    </dgm:pt>
    <dgm:pt modelId="{6FFC0FE7-7D79-48FE-8189-FEEC06528DDE}" type="pres">
      <dgm:prSet presAssocID="{BDD8254F-F260-42BB-AB14-B93A1F573603}" presName="hierChild2" presStyleCnt="0"/>
      <dgm:spPr/>
      <dgm:t>
        <a:bodyPr/>
        <a:lstStyle/>
        <a:p>
          <a:endParaRPr lang="en-GB"/>
        </a:p>
      </dgm:t>
    </dgm:pt>
    <dgm:pt modelId="{8563764B-84CE-4A48-B980-9DB47AAAD088}" type="pres">
      <dgm:prSet presAssocID="{929866C7-FCA7-419C-893B-0D0F255A7A99}" presName="Name64" presStyleLbl="parChTrans1D2" presStyleIdx="3" presStyleCnt="12"/>
      <dgm:spPr/>
      <dgm:t>
        <a:bodyPr/>
        <a:lstStyle/>
        <a:p>
          <a:endParaRPr lang="en-GB"/>
        </a:p>
      </dgm:t>
    </dgm:pt>
    <dgm:pt modelId="{88CD291E-4263-4072-805F-1010C369CE65}" type="pres">
      <dgm:prSet presAssocID="{8082A7F2-4B39-44B2-B57D-5DE2F3C21DA8}" presName="hierRoot2" presStyleCnt="0">
        <dgm:presLayoutVars>
          <dgm:hierBranch val="init"/>
        </dgm:presLayoutVars>
      </dgm:prSet>
      <dgm:spPr/>
      <dgm:t>
        <a:bodyPr/>
        <a:lstStyle/>
        <a:p>
          <a:endParaRPr lang="en-GB"/>
        </a:p>
      </dgm:t>
    </dgm:pt>
    <dgm:pt modelId="{AB07B703-C0B7-4061-86B1-B8B7A3721F51}" type="pres">
      <dgm:prSet presAssocID="{8082A7F2-4B39-44B2-B57D-5DE2F3C21DA8}" presName="rootComposite" presStyleCnt="0"/>
      <dgm:spPr/>
      <dgm:t>
        <a:bodyPr/>
        <a:lstStyle/>
        <a:p>
          <a:endParaRPr lang="en-GB"/>
        </a:p>
      </dgm:t>
    </dgm:pt>
    <dgm:pt modelId="{6AA62E2A-8C27-495D-861F-F52E10AA77DC}" type="pres">
      <dgm:prSet presAssocID="{8082A7F2-4B39-44B2-B57D-5DE2F3C21DA8}" presName="rootText" presStyleLbl="node2" presStyleIdx="3" presStyleCnt="12">
        <dgm:presLayoutVars>
          <dgm:chPref val="3"/>
        </dgm:presLayoutVars>
      </dgm:prSet>
      <dgm:spPr/>
      <dgm:t>
        <a:bodyPr/>
        <a:lstStyle/>
        <a:p>
          <a:endParaRPr lang="en-GB"/>
        </a:p>
      </dgm:t>
    </dgm:pt>
    <dgm:pt modelId="{23855D1F-BA72-46A9-AD2B-F7656A688C56}" type="pres">
      <dgm:prSet presAssocID="{8082A7F2-4B39-44B2-B57D-5DE2F3C21DA8}" presName="rootConnector" presStyleLbl="node2" presStyleIdx="3" presStyleCnt="12"/>
      <dgm:spPr/>
      <dgm:t>
        <a:bodyPr/>
        <a:lstStyle/>
        <a:p>
          <a:endParaRPr lang="en-GB"/>
        </a:p>
      </dgm:t>
    </dgm:pt>
    <dgm:pt modelId="{23C15B48-2AA2-4FE5-84BE-4978C2FFFADF}" type="pres">
      <dgm:prSet presAssocID="{8082A7F2-4B39-44B2-B57D-5DE2F3C21DA8}" presName="hierChild4" presStyleCnt="0"/>
      <dgm:spPr/>
      <dgm:t>
        <a:bodyPr/>
        <a:lstStyle/>
        <a:p>
          <a:endParaRPr lang="en-GB"/>
        </a:p>
      </dgm:t>
    </dgm:pt>
    <dgm:pt modelId="{5785FFEB-6276-475C-BB65-6D8E444BC2AB}" type="pres">
      <dgm:prSet presAssocID="{8082A7F2-4B39-44B2-B57D-5DE2F3C21DA8}" presName="hierChild5" presStyleCnt="0"/>
      <dgm:spPr/>
      <dgm:t>
        <a:bodyPr/>
        <a:lstStyle/>
        <a:p>
          <a:endParaRPr lang="en-GB"/>
        </a:p>
      </dgm:t>
    </dgm:pt>
    <dgm:pt modelId="{709FBF78-203E-41E1-AF18-8C705D615E08}" type="pres">
      <dgm:prSet presAssocID="{25CB0B19-5D4E-42C0-B8DA-B7171758B3C5}" presName="Name64" presStyleLbl="parChTrans1D2" presStyleIdx="4" presStyleCnt="12"/>
      <dgm:spPr/>
      <dgm:t>
        <a:bodyPr/>
        <a:lstStyle/>
        <a:p>
          <a:endParaRPr lang="en-GB"/>
        </a:p>
      </dgm:t>
    </dgm:pt>
    <dgm:pt modelId="{B7F82CFB-3DF5-4E4B-A78A-6484D94B3271}" type="pres">
      <dgm:prSet presAssocID="{8AA0CE77-0B74-4969-9DAE-B323A5A0077C}" presName="hierRoot2" presStyleCnt="0">
        <dgm:presLayoutVars>
          <dgm:hierBranch val="init"/>
        </dgm:presLayoutVars>
      </dgm:prSet>
      <dgm:spPr/>
      <dgm:t>
        <a:bodyPr/>
        <a:lstStyle/>
        <a:p>
          <a:endParaRPr lang="en-GB"/>
        </a:p>
      </dgm:t>
    </dgm:pt>
    <dgm:pt modelId="{82F9188E-B8F4-4FAF-A394-42A9E6321377}" type="pres">
      <dgm:prSet presAssocID="{8AA0CE77-0B74-4969-9DAE-B323A5A0077C}" presName="rootComposite" presStyleCnt="0"/>
      <dgm:spPr/>
      <dgm:t>
        <a:bodyPr/>
        <a:lstStyle/>
        <a:p>
          <a:endParaRPr lang="en-GB"/>
        </a:p>
      </dgm:t>
    </dgm:pt>
    <dgm:pt modelId="{BFCD994E-DB0D-4C72-B943-92BC23462DCB}" type="pres">
      <dgm:prSet presAssocID="{8AA0CE77-0B74-4969-9DAE-B323A5A0077C}" presName="rootText" presStyleLbl="node2" presStyleIdx="4" presStyleCnt="12">
        <dgm:presLayoutVars>
          <dgm:chPref val="3"/>
        </dgm:presLayoutVars>
      </dgm:prSet>
      <dgm:spPr/>
      <dgm:t>
        <a:bodyPr/>
        <a:lstStyle/>
        <a:p>
          <a:endParaRPr lang="en-GB"/>
        </a:p>
      </dgm:t>
    </dgm:pt>
    <dgm:pt modelId="{D3A2A8BA-E7F6-4296-B004-CB5A4929B0F9}" type="pres">
      <dgm:prSet presAssocID="{8AA0CE77-0B74-4969-9DAE-B323A5A0077C}" presName="rootConnector" presStyleLbl="node2" presStyleIdx="4" presStyleCnt="12"/>
      <dgm:spPr/>
      <dgm:t>
        <a:bodyPr/>
        <a:lstStyle/>
        <a:p>
          <a:endParaRPr lang="en-GB"/>
        </a:p>
      </dgm:t>
    </dgm:pt>
    <dgm:pt modelId="{F52632F8-1BAB-47D6-BA11-ACB8FD699016}" type="pres">
      <dgm:prSet presAssocID="{8AA0CE77-0B74-4969-9DAE-B323A5A0077C}" presName="hierChild4" presStyleCnt="0"/>
      <dgm:spPr/>
      <dgm:t>
        <a:bodyPr/>
        <a:lstStyle/>
        <a:p>
          <a:endParaRPr lang="en-GB"/>
        </a:p>
      </dgm:t>
    </dgm:pt>
    <dgm:pt modelId="{D19611D2-65A5-4FE7-A848-358298996E3E}" type="pres">
      <dgm:prSet presAssocID="{8AA0CE77-0B74-4969-9DAE-B323A5A0077C}" presName="hierChild5" presStyleCnt="0"/>
      <dgm:spPr/>
      <dgm:t>
        <a:bodyPr/>
        <a:lstStyle/>
        <a:p>
          <a:endParaRPr lang="en-GB"/>
        </a:p>
      </dgm:t>
    </dgm:pt>
    <dgm:pt modelId="{B5F2D369-10E8-421C-A470-666F7240610E}" type="pres">
      <dgm:prSet presAssocID="{0BC2C56C-BC45-4E1B-B1EA-0B04CFF9CC3D}" presName="Name64" presStyleLbl="parChTrans1D2" presStyleIdx="5" presStyleCnt="12"/>
      <dgm:spPr/>
      <dgm:t>
        <a:bodyPr/>
        <a:lstStyle/>
        <a:p>
          <a:endParaRPr lang="en-GB"/>
        </a:p>
      </dgm:t>
    </dgm:pt>
    <dgm:pt modelId="{498AED95-C705-417B-A83A-02637E33BCFB}" type="pres">
      <dgm:prSet presAssocID="{31C2583E-7BC1-4CF4-B7E2-3D42769C28D3}" presName="hierRoot2" presStyleCnt="0">
        <dgm:presLayoutVars>
          <dgm:hierBranch val="init"/>
        </dgm:presLayoutVars>
      </dgm:prSet>
      <dgm:spPr/>
      <dgm:t>
        <a:bodyPr/>
        <a:lstStyle/>
        <a:p>
          <a:endParaRPr lang="en-GB"/>
        </a:p>
      </dgm:t>
    </dgm:pt>
    <dgm:pt modelId="{BD4D4B57-EF1D-44B5-934B-9E23064CB9AE}" type="pres">
      <dgm:prSet presAssocID="{31C2583E-7BC1-4CF4-B7E2-3D42769C28D3}" presName="rootComposite" presStyleCnt="0"/>
      <dgm:spPr/>
      <dgm:t>
        <a:bodyPr/>
        <a:lstStyle/>
        <a:p>
          <a:endParaRPr lang="en-GB"/>
        </a:p>
      </dgm:t>
    </dgm:pt>
    <dgm:pt modelId="{4554FDC6-C36B-4848-8FC0-D4A17277810E}" type="pres">
      <dgm:prSet presAssocID="{31C2583E-7BC1-4CF4-B7E2-3D42769C28D3}" presName="rootText" presStyleLbl="node2" presStyleIdx="5" presStyleCnt="12">
        <dgm:presLayoutVars>
          <dgm:chPref val="3"/>
        </dgm:presLayoutVars>
      </dgm:prSet>
      <dgm:spPr/>
      <dgm:t>
        <a:bodyPr/>
        <a:lstStyle/>
        <a:p>
          <a:endParaRPr lang="en-GB"/>
        </a:p>
      </dgm:t>
    </dgm:pt>
    <dgm:pt modelId="{AF68FC54-9EE7-46B3-A10A-2EA03677D98D}" type="pres">
      <dgm:prSet presAssocID="{31C2583E-7BC1-4CF4-B7E2-3D42769C28D3}" presName="rootConnector" presStyleLbl="node2" presStyleIdx="5" presStyleCnt="12"/>
      <dgm:spPr/>
      <dgm:t>
        <a:bodyPr/>
        <a:lstStyle/>
        <a:p>
          <a:endParaRPr lang="en-GB"/>
        </a:p>
      </dgm:t>
    </dgm:pt>
    <dgm:pt modelId="{BE32BB02-2AAF-4C77-A773-4366017C066E}" type="pres">
      <dgm:prSet presAssocID="{31C2583E-7BC1-4CF4-B7E2-3D42769C28D3}" presName="hierChild4" presStyleCnt="0"/>
      <dgm:spPr/>
      <dgm:t>
        <a:bodyPr/>
        <a:lstStyle/>
        <a:p>
          <a:endParaRPr lang="en-GB"/>
        </a:p>
      </dgm:t>
    </dgm:pt>
    <dgm:pt modelId="{D681B8C0-8664-4ACC-91EF-D59A15E8FFDD}" type="pres">
      <dgm:prSet presAssocID="{31C2583E-7BC1-4CF4-B7E2-3D42769C28D3}" presName="hierChild5" presStyleCnt="0"/>
      <dgm:spPr/>
      <dgm:t>
        <a:bodyPr/>
        <a:lstStyle/>
        <a:p>
          <a:endParaRPr lang="en-GB"/>
        </a:p>
      </dgm:t>
    </dgm:pt>
    <dgm:pt modelId="{0608168D-F127-4CE5-9147-EDF71E7DC0F3}" type="pres">
      <dgm:prSet presAssocID="{BDD8254F-F260-42BB-AB14-B93A1F573603}" presName="hierChild3" presStyleCnt="0"/>
      <dgm:spPr/>
      <dgm:t>
        <a:bodyPr/>
        <a:lstStyle/>
        <a:p>
          <a:endParaRPr lang="en-GB"/>
        </a:p>
      </dgm:t>
    </dgm:pt>
    <dgm:pt modelId="{B0A62C8A-E838-4B13-BBF0-FFBEAB2B7AE4}" type="pres">
      <dgm:prSet presAssocID="{8EFA715D-1823-4C99-9DD3-EE1D178DA3A5}" presName="hierRoot1" presStyleCnt="0">
        <dgm:presLayoutVars>
          <dgm:hierBranch val="init"/>
        </dgm:presLayoutVars>
      </dgm:prSet>
      <dgm:spPr/>
      <dgm:t>
        <a:bodyPr/>
        <a:lstStyle/>
        <a:p>
          <a:endParaRPr lang="en-GB"/>
        </a:p>
      </dgm:t>
    </dgm:pt>
    <dgm:pt modelId="{763C086B-EDBD-4C55-B581-6DE21F5D6B42}" type="pres">
      <dgm:prSet presAssocID="{8EFA715D-1823-4C99-9DD3-EE1D178DA3A5}" presName="rootComposite1" presStyleCnt="0"/>
      <dgm:spPr/>
      <dgm:t>
        <a:bodyPr/>
        <a:lstStyle/>
        <a:p>
          <a:endParaRPr lang="en-GB"/>
        </a:p>
      </dgm:t>
    </dgm:pt>
    <dgm:pt modelId="{466C0039-FE30-4D47-8335-FD25D7D99303}" type="pres">
      <dgm:prSet presAssocID="{8EFA715D-1823-4C99-9DD3-EE1D178DA3A5}" presName="rootText1" presStyleLbl="node0" presStyleIdx="2" presStyleCnt="4">
        <dgm:presLayoutVars>
          <dgm:chPref val="3"/>
        </dgm:presLayoutVars>
      </dgm:prSet>
      <dgm:spPr/>
      <dgm:t>
        <a:bodyPr/>
        <a:lstStyle/>
        <a:p>
          <a:endParaRPr lang="en-GB"/>
        </a:p>
      </dgm:t>
    </dgm:pt>
    <dgm:pt modelId="{2CA74A30-1ECC-449F-AAA0-13CFF739B81B}" type="pres">
      <dgm:prSet presAssocID="{8EFA715D-1823-4C99-9DD3-EE1D178DA3A5}" presName="rootConnector1" presStyleLbl="node1" presStyleIdx="0" presStyleCnt="0"/>
      <dgm:spPr/>
      <dgm:t>
        <a:bodyPr/>
        <a:lstStyle/>
        <a:p>
          <a:endParaRPr lang="en-GB"/>
        </a:p>
      </dgm:t>
    </dgm:pt>
    <dgm:pt modelId="{74665B56-3489-4B7B-8C2F-4B391FA5B662}" type="pres">
      <dgm:prSet presAssocID="{8EFA715D-1823-4C99-9DD3-EE1D178DA3A5}" presName="hierChild2" presStyleCnt="0"/>
      <dgm:spPr/>
      <dgm:t>
        <a:bodyPr/>
        <a:lstStyle/>
        <a:p>
          <a:endParaRPr lang="en-GB"/>
        </a:p>
      </dgm:t>
    </dgm:pt>
    <dgm:pt modelId="{136F2B2E-67BB-4DEB-9034-A485A9ECD8BD}" type="pres">
      <dgm:prSet presAssocID="{D3147D78-AE9E-4548-938A-3567E84E7E12}" presName="Name64" presStyleLbl="parChTrans1D2" presStyleIdx="6" presStyleCnt="12"/>
      <dgm:spPr/>
      <dgm:t>
        <a:bodyPr/>
        <a:lstStyle/>
        <a:p>
          <a:endParaRPr lang="en-GB"/>
        </a:p>
      </dgm:t>
    </dgm:pt>
    <dgm:pt modelId="{30C3F9F2-B651-4CA2-9EB5-0BF326BE4FE7}" type="pres">
      <dgm:prSet presAssocID="{04869B90-3CDC-4F42-B930-460433855D89}" presName="hierRoot2" presStyleCnt="0">
        <dgm:presLayoutVars>
          <dgm:hierBranch val="init"/>
        </dgm:presLayoutVars>
      </dgm:prSet>
      <dgm:spPr/>
      <dgm:t>
        <a:bodyPr/>
        <a:lstStyle/>
        <a:p>
          <a:endParaRPr lang="en-GB"/>
        </a:p>
      </dgm:t>
    </dgm:pt>
    <dgm:pt modelId="{A601D0E0-DBBE-480F-914C-1C909BC4F8E9}" type="pres">
      <dgm:prSet presAssocID="{04869B90-3CDC-4F42-B930-460433855D89}" presName="rootComposite" presStyleCnt="0"/>
      <dgm:spPr/>
      <dgm:t>
        <a:bodyPr/>
        <a:lstStyle/>
        <a:p>
          <a:endParaRPr lang="en-GB"/>
        </a:p>
      </dgm:t>
    </dgm:pt>
    <dgm:pt modelId="{D0285795-9A68-4830-902F-8045D6C11644}" type="pres">
      <dgm:prSet presAssocID="{04869B90-3CDC-4F42-B930-460433855D89}" presName="rootText" presStyleLbl="node2" presStyleIdx="6" presStyleCnt="12">
        <dgm:presLayoutVars>
          <dgm:chPref val="3"/>
        </dgm:presLayoutVars>
      </dgm:prSet>
      <dgm:spPr/>
      <dgm:t>
        <a:bodyPr/>
        <a:lstStyle/>
        <a:p>
          <a:endParaRPr lang="en-GB"/>
        </a:p>
      </dgm:t>
    </dgm:pt>
    <dgm:pt modelId="{B411987C-29F5-4DF9-AB76-53A5F00486CB}" type="pres">
      <dgm:prSet presAssocID="{04869B90-3CDC-4F42-B930-460433855D89}" presName="rootConnector" presStyleLbl="node2" presStyleIdx="6" presStyleCnt="12"/>
      <dgm:spPr/>
      <dgm:t>
        <a:bodyPr/>
        <a:lstStyle/>
        <a:p>
          <a:endParaRPr lang="en-GB"/>
        </a:p>
      </dgm:t>
    </dgm:pt>
    <dgm:pt modelId="{7121B790-71BF-40A1-81BE-43C60E423C1B}" type="pres">
      <dgm:prSet presAssocID="{04869B90-3CDC-4F42-B930-460433855D89}" presName="hierChild4" presStyleCnt="0"/>
      <dgm:spPr/>
      <dgm:t>
        <a:bodyPr/>
        <a:lstStyle/>
        <a:p>
          <a:endParaRPr lang="en-GB"/>
        </a:p>
      </dgm:t>
    </dgm:pt>
    <dgm:pt modelId="{B900B662-2AF7-41A8-9E09-902343429BFD}" type="pres">
      <dgm:prSet presAssocID="{04869B90-3CDC-4F42-B930-460433855D89}" presName="hierChild5" presStyleCnt="0"/>
      <dgm:spPr/>
      <dgm:t>
        <a:bodyPr/>
        <a:lstStyle/>
        <a:p>
          <a:endParaRPr lang="en-GB"/>
        </a:p>
      </dgm:t>
    </dgm:pt>
    <dgm:pt modelId="{253E3678-FDF8-4C21-B98F-415CE0369EF4}" type="pres">
      <dgm:prSet presAssocID="{DC69EF87-9F0F-4FDB-B9E3-63C122CD7C90}" presName="Name64" presStyleLbl="parChTrans1D2" presStyleIdx="7" presStyleCnt="12"/>
      <dgm:spPr/>
      <dgm:t>
        <a:bodyPr/>
        <a:lstStyle/>
        <a:p>
          <a:endParaRPr lang="en-GB"/>
        </a:p>
      </dgm:t>
    </dgm:pt>
    <dgm:pt modelId="{5FAA615B-DC16-4348-82D2-C9373C3C4F78}" type="pres">
      <dgm:prSet presAssocID="{593CAD76-8C2E-445F-A68C-569B46387685}" presName="hierRoot2" presStyleCnt="0">
        <dgm:presLayoutVars>
          <dgm:hierBranch val="init"/>
        </dgm:presLayoutVars>
      </dgm:prSet>
      <dgm:spPr/>
      <dgm:t>
        <a:bodyPr/>
        <a:lstStyle/>
        <a:p>
          <a:endParaRPr lang="en-GB"/>
        </a:p>
      </dgm:t>
    </dgm:pt>
    <dgm:pt modelId="{84ABA69B-377A-4BEA-8BF7-13A5D4F8F3C9}" type="pres">
      <dgm:prSet presAssocID="{593CAD76-8C2E-445F-A68C-569B46387685}" presName="rootComposite" presStyleCnt="0"/>
      <dgm:spPr/>
      <dgm:t>
        <a:bodyPr/>
        <a:lstStyle/>
        <a:p>
          <a:endParaRPr lang="en-GB"/>
        </a:p>
      </dgm:t>
    </dgm:pt>
    <dgm:pt modelId="{1670844D-F97E-402F-93A8-C359DFA529D0}" type="pres">
      <dgm:prSet presAssocID="{593CAD76-8C2E-445F-A68C-569B46387685}" presName="rootText" presStyleLbl="node2" presStyleIdx="7" presStyleCnt="12">
        <dgm:presLayoutVars>
          <dgm:chPref val="3"/>
        </dgm:presLayoutVars>
      </dgm:prSet>
      <dgm:spPr/>
      <dgm:t>
        <a:bodyPr/>
        <a:lstStyle/>
        <a:p>
          <a:endParaRPr lang="en-GB"/>
        </a:p>
      </dgm:t>
    </dgm:pt>
    <dgm:pt modelId="{ECB118C9-00BE-48D7-90B9-4B3420B41CD9}" type="pres">
      <dgm:prSet presAssocID="{593CAD76-8C2E-445F-A68C-569B46387685}" presName="rootConnector" presStyleLbl="node2" presStyleIdx="7" presStyleCnt="12"/>
      <dgm:spPr/>
      <dgm:t>
        <a:bodyPr/>
        <a:lstStyle/>
        <a:p>
          <a:endParaRPr lang="en-GB"/>
        </a:p>
      </dgm:t>
    </dgm:pt>
    <dgm:pt modelId="{5EC014FB-2752-45FC-B4FB-BC682DB0DF55}" type="pres">
      <dgm:prSet presAssocID="{593CAD76-8C2E-445F-A68C-569B46387685}" presName="hierChild4" presStyleCnt="0"/>
      <dgm:spPr/>
      <dgm:t>
        <a:bodyPr/>
        <a:lstStyle/>
        <a:p>
          <a:endParaRPr lang="en-GB"/>
        </a:p>
      </dgm:t>
    </dgm:pt>
    <dgm:pt modelId="{D02FB056-A174-4D5C-9C73-95B0EC7AA2FF}" type="pres">
      <dgm:prSet presAssocID="{593CAD76-8C2E-445F-A68C-569B46387685}" presName="hierChild5" presStyleCnt="0"/>
      <dgm:spPr/>
      <dgm:t>
        <a:bodyPr/>
        <a:lstStyle/>
        <a:p>
          <a:endParaRPr lang="en-GB"/>
        </a:p>
      </dgm:t>
    </dgm:pt>
    <dgm:pt modelId="{F8EC3B1E-A9B8-4FB8-A11C-2039A281B58E}" type="pres">
      <dgm:prSet presAssocID="{8F42E262-38DA-43F2-9117-3FE672105C67}" presName="Name64" presStyleLbl="parChTrans1D2" presStyleIdx="8" presStyleCnt="12"/>
      <dgm:spPr/>
      <dgm:t>
        <a:bodyPr/>
        <a:lstStyle/>
        <a:p>
          <a:endParaRPr lang="en-GB"/>
        </a:p>
      </dgm:t>
    </dgm:pt>
    <dgm:pt modelId="{CEF1A4F8-AADA-4C26-A834-83F9646D7BC3}" type="pres">
      <dgm:prSet presAssocID="{53076996-6BFA-4FCD-B020-882DD4F93500}" presName="hierRoot2" presStyleCnt="0">
        <dgm:presLayoutVars>
          <dgm:hierBranch val="init"/>
        </dgm:presLayoutVars>
      </dgm:prSet>
      <dgm:spPr/>
      <dgm:t>
        <a:bodyPr/>
        <a:lstStyle/>
        <a:p>
          <a:endParaRPr lang="en-GB"/>
        </a:p>
      </dgm:t>
    </dgm:pt>
    <dgm:pt modelId="{6A92947D-DA64-45E9-AE22-BCA8C4400D7C}" type="pres">
      <dgm:prSet presAssocID="{53076996-6BFA-4FCD-B020-882DD4F93500}" presName="rootComposite" presStyleCnt="0"/>
      <dgm:spPr/>
      <dgm:t>
        <a:bodyPr/>
        <a:lstStyle/>
        <a:p>
          <a:endParaRPr lang="en-GB"/>
        </a:p>
      </dgm:t>
    </dgm:pt>
    <dgm:pt modelId="{E428E084-A439-4806-8E07-16103A28398B}" type="pres">
      <dgm:prSet presAssocID="{53076996-6BFA-4FCD-B020-882DD4F93500}" presName="rootText" presStyleLbl="node2" presStyleIdx="8" presStyleCnt="12">
        <dgm:presLayoutVars>
          <dgm:chPref val="3"/>
        </dgm:presLayoutVars>
      </dgm:prSet>
      <dgm:spPr/>
      <dgm:t>
        <a:bodyPr/>
        <a:lstStyle/>
        <a:p>
          <a:endParaRPr lang="en-GB"/>
        </a:p>
      </dgm:t>
    </dgm:pt>
    <dgm:pt modelId="{714595F7-23ED-4963-857D-6695EA903CEE}" type="pres">
      <dgm:prSet presAssocID="{53076996-6BFA-4FCD-B020-882DD4F93500}" presName="rootConnector" presStyleLbl="node2" presStyleIdx="8" presStyleCnt="12"/>
      <dgm:spPr/>
      <dgm:t>
        <a:bodyPr/>
        <a:lstStyle/>
        <a:p>
          <a:endParaRPr lang="en-GB"/>
        </a:p>
      </dgm:t>
    </dgm:pt>
    <dgm:pt modelId="{A2D7B519-29CE-4674-9E83-2AFFE1A12A95}" type="pres">
      <dgm:prSet presAssocID="{53076996-6BFA-4FCD-B020-882DD4F93500}" presName="hierChild4" presStyleCnt="0"/>
      <dgm:spPr/>
      <dgm:t>
        <a:bodyPr/>
        <a:lstStyle/>
        <a:p>
          <a:endParaRPr lang="en-GB"/>
        </a:p>
      </dgm:t>
    </dgm:pt>
    <dgm:pt modelId="{0E2CF08D-2DBB-4A16-81A5-CA3DF4B10868}" type="pres">
      <dgm:prSet presAssocID="{53076996-6BFA-4FCD-B020-882DD4F93500}" presName="hierChild5" presStyleCnt="0"/>
      <dgm:spPr/>
      <dgm:t>
        <a:bodyPr/>
        <a:lstStyle/>
        <a:p>
          <a:endParaRPr lang="en-GB"/>
        </a:p>
      </dgm:t>
    </dgm:pt>
    <dgm:pt modelId="{181C138C-F966-48EC-919C-3332BCE3E2B5}" type="pres">
      <dgm:prSet presAssocID="{8EFA715D-1823-4C99-9DD3-EE1D178DA3A5}" presName="hierChild3" presStyleCnt="0"/>
      <dgm:spPr/>
      <dgm:t>
        <a:bodyPr/>
        <a:lstStyle/>
        <a:p>
          <a:endParaRPr lang="en-GB"/>
        </a:p>
      </dgm:t>
    </dgm:pt>
    <dgm:pt modelId="{EB28645F-E7E1-4719-9DF6-5EB285A57CAF}" type="pres">
      <dgm:prSet presAssocID="{CE6E3EE0-199F-4E92-AA69-5283AF2175C7}" presName="hierRoot1" presStyleCnt="0">
        <dgm:presLayoutVars>
          <dgm:hierBranch val="init"/>
        </dgm:presLayoutVars>
      </dgm:prSet>
      <dgm:spPr/>
      <dgm:t>
        <a:bodyPr/>
        <a:lstStyle/>
        <a:p>
          <a:endParaRPr lang="en-GB"/>
        </a:p>
      </dgm:t>
    </dgm:pt>
    <dgm:pt modelId="{1EE6366B-817C-48AA-80CB-BCAEEC65629C}" type="pres">
      <dgm:prSet presAssocID="{CE6E3EE0-199F-4E92-AA69-5283AF2175C7}" presName="rootComposite1" presStyleCnt="0"/>
      <dgm:spPr/>
      <dgm:t>
        <a:bodyPr/>
        <a:lstStyle/>
        <a:p>
          <a:endParaRPr lang="en-GB"/>
        </a:p>
      </dgm:t>
    </dgm:pt>
    <dgm:pt modelId="{8CB44B07-2348-41C4-8E99-ABA0B7F58AEE}" type="pres">
      <dgm:prSet presAssocID="{CE6E3EE0-199F-4E92-AA69-5283AF2175C7}" presName="rootText1" presStyleLbl="node0" presStyleIdx="3" presStyleCnt="4">
        <dgm:presLayoutVars>
          <dgm:chPref val="3"/>
        </dgm:presLayoutVars>
      </dgm:prSet>
      <dgm:spPr/>
      <dgm:t>
        <a:bodyPr/>
        <a:lstStyle/>
        <a:p>
          <a:endParaRPr lang="en-GB"/>
        </a:p>
      </dgm:t>
    </dgm:pt>
    <dgm:pt modelId="{94FE4CDE-642E-4732-9815-18728803FAD2}" type="pres">
      <dgm:prSet presAssocID="{CE6E3EE0-199F-4E92-AA69-5283AF2175C7}" presName="rootConnector1" presStyleLbl="node1" presStyleIdx="0" presStyleCnt="0"/>
      <dgm:spPr/>
      <dgm:t>
        <a:bodyPr/>
        <a:lstStyle/>
        <a:p>
          <a:endParaRPr lang="en-GB"/>
        </a:p>
      </dgm:t>
    </dgm:pt>
    <dgm:pt modelId="{B255F193-DCF0-468C-88A1-73CBAA7FA4E3}" type="pres">
      <dgm:prSet presAssocID="{CE6E3EE0-199F-4E92-AA69-5283AF2175C7}" presName="hierChild2" presStyleCnt="0"/>
      <dgm:spPr/>
      <dgm:t>
        <a:bodyPr/>
        <a:lstStyle/>
        <a:p>
          <a:endParaRPr lang="en-GB"/>
        </a:p>
      </dgm:t>
    </dgm:pt>
    <dgm:pt modelId="{DEF900BF-79F2-4345-A449-EBE90F87A58B}" type="pres">
      <dgm:prSet presAssocID="{C0A005E3-C583-4050-9AF2-9BA4A77B5C6D}" presName="Name64" presStyleLbl="parChTrans1D2" presStyleIdx="9" presStyleCnt="12"/>
      <dgm:spPr/>
      <dgm:t>
        <a:bodyPr/>
        <a:lstStyle/>
        <a:p>
          <a:endParaRPr lang="en-GB"/>
        </a:p>
      </dgm:t>
    </dgm:pt>
    <dgm:pt modelId="{D7961190-5826-4070-965C-66711A2B1B59}" type="pres">
      <dgm:prSet presAssocID="{ACD35DF3-13D1-4353-A6A8-25A12C1C5EC3}" presName="hierRoot2" presStyleCnt="0">
        <dgm:presLayoutVars>
          <dgm:hierBranch val="init"/>
        </dgm:presLayoutVars>
      </dgm:prSet>
      <dgm:spPr/>
      <dgm:t>
        <a:bodyPr/>
        <a:lstStyle/>
        <a:p>
          <a:endParaRPr lang="en-GB"/>
        </a:p>
      </dgm:t>
    </dgm:pt>
    <dgm:pt modelId="{380807EB-3105-4A4D-AD8E-A43971B895BC}" type="pres">
      <dgm:prSet presAssocID="{ACD35DF3-13D1-4353-A6A8-25A12C1C5EC3}" presName="rootComposite" presStyleCnt="0"/>
      <dgm:spPr/>
      <dgm:t>
        <a:bodyPr/>
        <a:lstStyle/>
        <a:p>
          <a:endParaRPr lang="en-GB"/>
        </a:p>
      </dgm:t>
    </dgm:pt>
    <dgm:pt modelId="{98945378-A21B-4280-80CB-A676109851FB}" type="pres">
      <dgm:prSet presAssocID="{ACD35DF3-13D1-4353-A6A8-25A12C1C5EC3}" presName="rootText" presStyleLbl="node2" presStyleIdx="9" presStyleCnt="12">
        <dgm:presLayoutVars>
          <dgm:chPref val="3"/>
        </dgm:presLayoutVars>
      </dgm:prSet>
      <dgm:spPr/>
      <dgm:t>
        <a:bodyPr/>
        <a:lstStyle/>
        <a:p>
          <a:endParaRPr lang="en-GB"/>
        </a:p>
      </dgm:t>
    </dgm:pt>
    <dgm:pt modelId="{2A06C30F-5AF7-4545-81D9-6B1C232AFA00}" type="pres">
      <dgm:prSet presAssocID="{ACD35DF3-13D1-4353-A6A8-25A12C1C5EC3}" presName="rootConnector" presStyleLbl="node2" presStyleIdx="9" presStyleCnt="12"/>
      <dgm:spPr/>
      <dgm:t>
        <a:bodyPr/>
        <a:lstStyle/>
        <a:p>
          <a:endParaRPr lang="en-GB"/>
        </a:p>
      </dgm:t>
    </dgm:pt>
    <dgm:pt modelId="{C6BE3C6D-B936-48D5-8601-471AF653DC80}" type="pres">
      <dgm:prSet presAssocID="{ACD35DF3-13D1-4353-A6A8-25A12C1C5EC3}" presName="hierChild4" presStyleCnt="0"/>
      <dgm:spPr/>
      <dgm:t>
        <a:bodyPr/>
        <a:lstStyle/>
        <a:p>
          <a:endParaRPr lang="en-GB"/>
        </a:p>
      </dgm:t>
    </dgm:pt>
    <dgm:pt modelId="{FE3D7033-C911-45FA-A028-1FA9B324B6D2}" type="pres">
      <dgm:prSet presAssocID="{ACD35DF3-13D1-4353-A6A8-25A12C1C5EC3}" presName="hierChild5" presStyleCnt="0"/>
      <dgm:spPr/>
      <dgm:t>
        <a:bodyPr/>
        <a:lstStyle/>
        <a:p>
          <a:endParaRPr lang="en-GB"/>
        </a:p>
      </dgm:t>
    </dgm:pt>
    <dgm:pt modelId="{0FDCB297-A5A3-46E2-B6FC-377DF77C79DC}" type="pres">
      <dgm:prSet presAssocID="{48C7BC17-C079-4617-A1E6-8AE5905F636E}" presName="Name64" presStyleLbl="parChTrans1D2" presStyleIdx="10" presStyleCnt="12"/>
      <dgm:spPr/>
      <dgm:t>
        <a:bodyPr/>
        <a:lstStyle/>
        <a:p>
          <a:endParaRPr lang="en-GB"/>
        </a:p>
      </dgm:t>
    </dgm:pt>
    <dgm:pt modelId="{5A1989DD-6CF5-414F-ACDC-3E1DDB7FD441}" type="pres">
      <dgm:prSet presAssocID="{3255ED5B-27C9-4500-B402-0A6889CCB9CE}" presName="hierRoot2" presStyleCnt="0">
        <dgm:presLayoutVars>
          <dgm:hierBranch val="init"/>
        </dgm:presLayoutVars>
      </dgm:prSet>
      <dgm:spPr/>
      <dgm:t>
        <a:bodyPr/>
        <a:lstStyle/>
        <a:p>
          <a:endParaRPr lang="en-GB"/>
        </a:p>
      </dgm:t>
    </dgm:pt>
    <dgm:pt modelId="{AE0E906B-E240-470F-81B2-871DC6A752C2}" type="pres">
      <dgm:prSet presAssocID="{3255ED5B-27C9-4500-B402-0A6889CCB9CE}" presName="rootComposite" presStyleCnt="0"/>
      <dgm:spPr/>
      <dgm:t>
        <a:bodyPr/>
        <a:lstStyle/>
        <a:p>
          <a:endParaRPr lang="en-GB"/>
        </a:p>
      </dgm:t>
    </dgm:pt>
    <dgm:pt modelId="{24AC995D-2AFF-4E2F-952C-36FC2E97479E}" type="pres">
      <dgm:prSet presAssocID="{3255ED5B-27C9-4500-B402-0A6889CCB9CE}" presName="rootText" presStyleLbl="node2" presStyleIdx="10" presStyleCnt="12">
        <dgm:presLayoutVars>
          <dgm:chPref val="3"/>
        </dgm:presLayoutVars>
      </dgm:prSet>
      <dgm:spPr/>
      <dgm:t>
        <a:bodyPr/>
        <a:lstStyle/>
        <a:p>
          <a:endParaRPr lang="en-GB"/>
        </a:p>
      </dgm:t>
    </dgm:pt>
    <dgm:pt modelId="{D8B7D98D-F1C0-4FF6-B77A-6D5CDB22B6C7}" type="pres">
      <dgm:prSet presAssocID="{3255ED5B-27C9-4500-B402-0A6889CCB9CE}" presName="rootConnector" presStyleLbl="node2" presStyleIdx="10" presStyleCnt="12"/>
      <dgm:spPr/>
      <dgm:t>
        <a:bodyPr/>
        <a:lstStyle/>
        <a:p>
          <a:endParaRPr lang="en-GB"/>
        </a:p>
      </dgm:t>
    </dgm:pt>
    <dgm:pt modelId="{7DA59E1E-D6BC-4789-B71B-8CD12F7CAF2E}" type="pres">
      <dgm:prSet presAssocID="{3255ED5B-27C9-4500-B402-0A6889CCB9CE}" presName="hierChild4" presStyleCnt="0"/>
      <dgm:spPr/>
      <dgm:t>
        <a:bodyPr/>
        <a:lstStyle/>
        <a:p>
          <a:endParaRPr lang="en-GB"/>
        </a:p>
      </dgm:t>
    </dgm:pt>
    <dgm:pt modelId="{001ADE7C-AE6A-41D1-875E-BC74CE07B7FB}" type="pres">
      <dgm:prSet presAssocID="{3255ED5B-27C9-4500-B402-0A6889CCB9CE}" presName="hierChild5" presStyleCnt="0"/>
      <dgm:spPr/>
      <dgm:t>
        <a:bodyPr/>
        <a:lstStyle/>
        <a:p>
          <a:endParaRPr lang="en-GB"/>
        </a:p>
      </dgm:t>
    </dgm:pt>
    <dgm:pt modelId="{C5E4A43A-4C64-479C-A73F-1B744FCCC1E7}" type="pres">
      <dgm:prSet presAssocID="{384145EA-A543-4322-ACE3-8CD571E7E2F1}" presName="Name64" presStyleLbl="parChTrans1D2" presStyleIdx="11" presStyleCnt="12"/>
      <dgm:spPr/>
      <dgm:t>
        <a:bodyPr/>
        <a:lstStyle/>
        <a:p>
          <a:endParaRPr lang="en-GB"/>
        </a:p>
      </dgm:t>
    </dgm:pt>
    <dgm:pt modelId="{06F46E09-D26D-495B-961E-BE6C50452264}" type="pres">
      <dgm:prSet presAssocID="{479E0973-C707-4324-96D9-051C86B001E7}" presName="hierRoot2" presStyleCnt="0">
        <dgm:presLayoutVars>
          <dgm:hierBranch val="init"/>
        </dgm:presLayoutVars>
      </dgm:prSet>
      <dgm:spPr/>
      <dgm:t>
        <a:bodyPr/>
        <a:lstStyle/>
        <a:p>
          <a:endParaRPr lang="en-GB"/>
        </a:p>
      </dgm:t>
    </dgm:pt>
    <dgm:pt modelId="{52749EAE-D1A5-46E0-A887-B8BCAC5A86A6}" type="pres">
      <dgm:prSet presAssocID="{479E0973-C707-4324-96D9-051C86B001E7}" presName="rootComposite" presStyleCnt="0"/>
      <dgm:spPr/>
      <dgm:t>
        <a:bodyPr/>
        <a:lstStyle/>
        <a:p>
          <a:endParaRPr lang="en-GB"/>
        </a:p>
      </dgm:t>
    </dgm:pt>
    <dgm:pt modelId="{2BFDDE3E-6B5B-44E7-A9C6-AB953461AC9B}" type="pres">
      <dgm:prSet presAssocID="{479E0973-C707-4324-96D9-051C86B001E7}" presName="rootText" presStyleLbl="node2" presStyleIdx="11" presStyleCnt="12">
        <dgm:presLayoutVars>
          <dgm:chPref val="3"/>
        </dgm:presLayoutVars>
      </dgm:prSet>
      <dgm:spPr/>
      <dgm:t>
        <a:bodyPr/>
        <a:lstStyle/>
        <a:p>
          <a:endParaRPr lang="en-GB"/>
        </a:p>
      </dgm:t>
    </dgm:pt>
    <dgm:pt modelId="{11B3544C-7D83-4340-A550-520493D88422}" type="pres">
      <dgm:prSet presAssocID="{479E0973-C707-4324-96D9-051C86B001E7}" presName="rootConnector" presStyleLbl="node2" presStyleIdx="11" presStyleCnt="12"/>
      <dgm:spPr/>
      <dgm:t>
        <a:bodyPr/>
        <a:lstStyle/>
        <a:p>
          <a:endParaRPr lang="en-GB"/>
        </a:p>
      </dgm:t>
    </dgm:pt>
    <dgm:pt modelId="{38B136BE-382C-4F21-B698-BE3A1CB2C0FF}" type="pres">
      <dgm:prSet presAssocID="{479E0973-C707-4324-96D9-051C86B001E7}" presName="hierChild4" presStyleCnt="0"/>
      <dgm:spPr/>
      <dgm:t>
        <a:bodyPr/>
        <a:lstStyle/>
        <a:p>
          <a:endParaRPr lang="en-GB"/>
        </a:p>
      </dgm:t>
    </dgm:pt>
    <dgm:pt modelId="{6B6D3E19-B651-4BB4-8075-11FF9779FED3}" type="pres">
      <dgm:prSet presAssocID="{479E0973-C707-4324-96D9-051C86B001E7}" presName="hierChild5" presStyleCnt="0"/>
      <dgm:spPr/>
      <dgm:t>
        <a:bodyPr/>
        <a:lstStyle/>
        <a:p>
          <a:endParaRPr lang="en-GB"/>
        </a:p>
      </dgm:t>
    </dgm:pt>
    <dgm:pt modelId="{7C354D48-C037-4106-998A-9DE8F18DB639}" type="pres">
      <dgm:prSet presAssocID="{CE6E3EE0-199F-4E92-AA69-5283AF2175C7}" presName="hierChild3" presStyleCnt="0"/>
      <dgm:spPr/>
      <dgm:t>
        <a:bodyPr/>
        <a:lstStyle/>
        <a:p>
          <a:endParaRPr lang="en-GB"/>
        </a:p>
      </dgm:t>
    </dgm:pt>
  </dgm:ptLst>
  <dgm:cxnLst>
    <dgm:cxn modelId="{575FD848-B888-8B48-82B1-88189851E0EF}" type="presOf" srcId="{BDD8254F-F260-42BB-AB14-B93A1F573603}" destId="{A0221534-758E-4AC4-B609-C169E4C779E5}" srcOrd="0" destOrd="0" presId="urn:microsoft.com/office/officeart/2009/3/layout/HorizontalOrganizationChart"/>
    <dgm:cxn modelId="{54C91CD0-6553-CE4D-89C5-0F5C82702145}" type="presOf" srcId="{8EFA715D-1823-4C99-9DD3-EE1D178DA3A5}" destId="{466C0039-FE30-4D47-8335-FD25D7D99303}" srcOrd="0" destOrd="0" presId="urn:microsoft.com/office/officeart/2009/3/layout/HorizontalOrganizationChart"/>
    <dgm:cxn modelId="{94F9D9CE-8990-8D44-B021-7157954DA3DA}" type="presOf" srcId="{ACD35DF3-13D1-4353-A6A8-25A12C1C5EC3}" destId="{98945378-A21B-4280-80CB-A676109851FB}" srcOrd="0" destOrd="0" presId="urn:microsoft.com/office/officeart/2009/3/layout/HorizontalOrganizationChart"/>
    <dgm:cxn modelId="{43D9BC49-6899-8E41-AF44-A06CA16EC585}" type="presOf" srcId="{593CAD76-8C2E-445F-A68C-569B46387685}" destId="{ECB118C9-00BE-48D7-90B9-4B3420B41CD9}" srcOrd="1" destOrd="0" presId="urn:microsoft.com/office/officeart/2009/3/layout/HorizontalOrganizationChart"/>
    <dgm:cxn modelId="{F7FB210A-D018-D549-A29C-59D538B6357A}" type="presOf" srcId="{B20FBA04-1E72-40BA-8885-FB56ECF50BD6}" destId="{1A7FFF24-367A-43A6-98E2-EA6A49E72BB0}" srcOrd="0" destOrd="0" presId="urn:microsoft.com/office/officeart/2009/3/layout/HorizontalOrganizationChart"/>
    <dgm:cxn modelId="{3ADC8234-736E-1149-92B2-B9147FE8A86E}" type="presOf" srcId="{25CB0B19-5D4E-42C0-B8DA-B7171758B3C5}" destId="{709FBF78-203E-41E1-AF18-8C705D615E08}" srcOrd="0" destOrd="0" presId="urn:microsoft.com/office/officeart/2009/3/layout/HorizontalOrganizationChart"/>
    <dgm:cxn modelId="{0D13F63D-8DCE-C643-8885-F371D034E564}" type="presOf" srcId="{04869B90-3CDC-4F42-B930-460433855D89}" destId="{B411987C-29F5-4DF9-AB76-53A5F00486CB}" srcOrd="1" destOrd="0" presId="urn:microsoft.com/office/officeart/2009/3/layout/HorizontalOrganizationChart"/>
    <dgm:cxn modelId="{8316C6F2-57F3-4D10-8503-00B2DF451A49}" srcId="{A3516F4F-231F-4B33-BB61-DACD564A122C}" destId="{CE6E3EE0-199F-4E92-AA69-5283AF2175C7}" srcOrd="3" destOrd="0" parTransId="{D1DC90EB-F840-44AA-900C-444832F06F2E}" sibTransId="{4749F6E2-DE57-4E01-BD7B-82224B56880F}"/>
    <dgm:cxn modelId="{AC3A6232-BAFC-9B4A-B495-C0EF821E2235}" type="presOf" srcId="{0C0C9A64-903D-49EA-A2E9-EB30C5E0C3F1}" destId="{504F5715-D4DE-496D-97D8-8AD9E1FE12E6}" srcOrd="0" destOrd="0" presId="urn:microsoft.com/office/officeart/2009/3/layout/HorizontalOrganizationChart"/>
    <dgm:cxn modelId="{CBA92F55-C734-4549-8408-6455663DF626}" type="presOf" srcId="{CE6E3EE0-199F-4E92-AA69-5283AF2175C7}" destId="{94FE4CDE-642E-4732-9815-18728803FAD2}" srcOrd="1" destOrd="0" presId="urn:microsoft.com/office/officeart/2009/3/layout/HorizontalOrganizationChart"/>
    <dgm:cxn modelId="{65E5385F-7D54-A74B-939F-4412420D484E}" type="presOf" srcId="{C0A005E3-C583-4050-9AF2-9BA4A77B5C6D}" destId="{DEF900BF-79F2-4345-A449-EBE90F87A58B}" srcOrd="0" destOrd="0" presId="urn:microsoft.com/office/officeart/2009/3/layout/HorizontalOrganizationChart"/>
    <dgm:cxn modelId="{3B092337-A427-EC40-90B5-89C5BC2D216E}" type="presOf" srcId="{BDD8254F-F260-42BB-AB14-B93A1F573603}" destId="{E6D74E96-17A4-4F07-920C-78A7A3D6D71F}" srcOrd="1" destOrd="0" presId="urn:microsoft.com/office/officeart/2009/3/layout/HorizontalOrganizationChart"/>
    <dgm:cxn modelId="{8840D5C7-D7BB-5F4A-A7EB-3D083DEAC2BE}" type="presOf" srcId="{48C7BC17-C079-4617-A1E6-8AE5905F636E}" destId="{0FDCB297-A5A3-46E2-B6FC-377DF77C79DC}" srcOrd="0" destOrd="0" presId="urn:microsoft.com/office/officeart/2009/3/layout/HorizontalOrganizationChart"/>
    <dgm:cxn modelId="{F5973C2D-7B2D-406F-89A8-8E5308CE7A25}" srcId="{BDD8254F-F260-42BB-AB14-B93A1F573603}" destId="{31C2583E-7BC1-4CF4-B7E2-3D42769C28D3}" srcOrd="2" destOrd="0" parTransId="{0BC2C56C-BC45-4E1B-B1EA-0B04CFF9CC3D}" sibTransId="{5C4565A8-5221-4FBF-B041-22A675C18F0E}"/>
    <dgm:cxn modelId="{2B6C5E5A-5100-4065-8CE9-AFA9AEBF63A5}" srcId="{8EFA715D-1823-4C99-9DD3-EE1D178DA3A5}" destId="{593CAD76-8C2E-445F-A68C-569B46387685}" srcOrd="1" destOrd="0" parTransId="{DC69EF87-9F0F-4FDB-B9E3-63C122CD7C90}" sibTransId="{AB4D0DFA-2CB1-4FEA-96CD-5E57BFCE0124}"/>
    <dgm:cxn modelId="{FACB24AC-9D45-AF48-BA4A-293E4F92098E}" type="presOf" srcId="{33B6984A-7821-4FAA-9D77-9D4BD38B0B2E}" destId="{4AC7CFDA-0C30-4871-B2E1-CD79E2B31341}" srcOrd="0" destOrd="0" presId="urn:microsoft.com/office/officeart/2009/3/layout/HorizontalOrganizationChart"/>
    <dgm:cxn modelId="{26821B04-A0CC-0A49-BD04-F24E0B12D56E}" type="presOf" srcId="{593CAD76-8C2E-445F-A68C-569B46387685}" destId="{1670844D-F97E-402F-93A8-C359DFA529D0}" srcOrd="0" destOrd="0" presId="urn:microsoft.com/office/officeart/2009/3/layout/HorizontalOrganizationChart"/>
    <dgm:cxn modelId="{509EEA72-7843-48FF-83E3-0C55A297405F}" srcId="{A3516F4F-231F-4B33-BB61-DACD564A122C}" destId="{8EFA715D-1823-4C99-9DD3-EE1D178DA3A5}" srcOrd="2" destOrd="0" parTransId="{36E9AF23-0DFF-4467-97FD-0E5593979C07}" sibTransId="{A3F2BEEA-242F-4314-BDF0-D0CE9D1ED4A6}"/>
    <dgm:cxn modelId="{B762284B-F1D1-8D46-B58E-49377890FFFF}" type="presOf" srcId="{3255ED5B-27C9-4500-B402-0A6889CCB9CE}" destId="{D8B7D98D-F1C0-4FF6-B77A-6D5CDB22B6C7}" srcOrd="1" destOrd="0" presId="urn:microsoft.com/office/officeart/2009/3/layout/HorizontalOrganizationChart"/>
    <dgm:cxn modelId="{36079086-D9AC-42F8-A1E7-C67A8CE41596}" srcId="{CE6E3EE0-199F-4E92-AA69-5283AF2175C7}" destId="{ACD35DF3-13D1-4353-A6A8-25A12C1C5EC3}" srcOrd="0" destOrd="0" parTransId="{C0A005E3-C583-4050-9AF2-9BA4A77B5C6D}" sibTransId="{236FCBD5-3B7A-4B4E-82A9-0042B7116B0A}"/>
    <dgm:cxn modelId="{583E9CA8-5D9B-43A6-A5ED-7F9397F3FF9D}" srcId="{BDD8254F-F260-42BB-AB14-B93A1F573603}" destId="{8AA0CE77-0B74-4969-9DAE-B323A5A0077C}" srcOrd="1" destOrd="0" parTransId="{25CB0B19-5D4E-42C0-B8DA-B7171758B3C5}" sibTransId="{A14366CA-6AC6-452C-BED2-78C301AE6995}"/>
    <dgm:cxn modelId="{FC038606-77C5-484E-A51D-D3665BDDE0B8}" srcId="{CE6E3EE0-199F-4E92-AA69-5283AF2175C7}" destId="{3255ED5B-27C9-4500-B402-0A6889CCB9CE}" srcOrd="1" destOrd="0" parTransId="{48C7BC17-C079-4617-A1E6-8AE5905F636E}" sibTransId="{242864C5-A021-47C6-8AD3-77442FBA0C36}"/>
    <dgm:cxn modelId="{C3317235-6406-AC40-8EEF-19997F233AF0}" type="presOf" srcId="{6351F96C-35AC-4F5E-B3B2-CC88858F0EA9}" destId="{A1C754E8-BA2C-4594-BBA8-0C43E9369A7C}" srcOrd="1" destOrd="0" presId="urn:microsoft.com/office/officeart/2009/3/layout/HorizontalOrganizationChart"/>
    <dgm:cxn modelId="{E5765594-9439-DA4F-B91C-6B1E0D476515}" type="presOf" srcId="{3255ED5B-27C9-4500-B402-0A6889CCB9CE}" destId="{24AC995D-2AFF-4E2F-952C-36FC2E97479E}" srcOrd="0" destOrd="0" presId="urn:microsoft.com/office/officeart/2009/3/layout/HorizontalOrganizationChart"/>
    <dgm:cxn modelId="{8301124D-3384-DE49-8AA6-572D9CB78F09}" type="presOf" srcId="{8AA0CE77-0B74-4969-9DAE-B323A5A0077C}" destId="{D3A2A8BA-E7F6-4296-B004-CB5A4929B0F9}" srcOrd="1" destOrd="0" presId="urn:microsoft.com/office/officeart/2009/3/layout/HorizontalOrganizationChart"/>
    <dgm:cxn modelId="{B007F596-E2FE-F34D-9C0D-617F6E80EE68}" type="presOf" srcId="{479E0973-C707-4324-96D9-051C86B001E7}" destId="{2BFDDE3E-6B5B-44E7-A9C6-AB953461AC9B}" srcOrd="0" destOrd="0" presId="urn:microsoft.com/office/officeart/2009/3/layout/HorizontalOrganizationChart"/>
    <dgm:cxn modelId="{AC1BBAB0-2239-4FFB-B35D-61A86187E047}" srcId="{E819FF71-23E1-43EF-9CAB-7E2AE8F5D88F}" destId="{29AA372D-1905-4E58-BD83-C2CD34DA0489}" srcOrd="0" destOrd="0" parTransId="{D9F077E2-F00B-4C19-BAD1-650B3D59CF7B}" sibTransId="{1D1288DD-B7C3-4AB8-A4A9-3EBE317577DC}"/>
    <dgm:cxn modelId="{CDEBE18C-FA61-014D-8142-9811C399C8BF}" type="presOf" srcId="{8082A7F2-4B39-44B2-B57D-5DE2F3C21DA8}" destId="{23855D1F-BA72-46A9-AD2B-F7656A688C56}" srcOrd="1" destOrd="0" presId="urn:microsoft.com/office/officeart/2009/3/layout/HorizontalOrganizationChart"/>
    <dgm:cxn modelId="{FF8B518A-8410-4C22-96B8-709695831DB9}" srcId="{A3516F4F-231F-4B33-BB61-DACD564A122C}" destId="{A748F44E-ED11-4463-9225-27804B61A87B}" srcOrd="0" destOrd="0" parTransId="{51267C5F-6CC5-49FF-A8C3-76B3A4FD72AD}" sibTransId="{758D6402-007A-4FD6-9CBB-70F3604B1204}"/>
    <dgm:cxn modelId="{A4410A28-C62D-7F45-ABF3-43CFFF50AA79}" type="presOf" srcId="{D9F077E2-F00B-4C19-BAD1-650B3D59CF7B}" destId="{D37C49D5-6676-4055-A8DA-E5AE27ABDC9E}" srcOrd="0" destOrd="0" presId="urn:microsoft.com/office/officeart/2009/3/layout/HorizontalOrganizationChart"/>
    <dgm:cxn modelId="{78C7723B-DF7A-1547-85E6-7B22D119DEAF}" type="presOf" srcId="{A748F44E-ED11-4463-9225-27804B61A87B}" destId="{7153CB51-B998-423A-B4C0-9E5096FB9448}" srcOrd="0" destOrd="0" presId="urn:microsoft.com/office/officeart/2009/3/layout/HorizontalOrganizationChart"/>
    <dgm:cxn modelId="{E1E7C4B4-8131-4686-9276-5338D47A68B3}" srcId="{8EFA715D-1823-4C99-9DD3-EE1D178DA3A5}" destId="{04869B90-3CDC-4F42-B930-460433855D89}" srcOrd="0" destOrd="0" parTransId="{D3147D78-AE9E-4548-938A-3567E84E7E12}" sibTransId="{7D578210-DB95-4AE5-BC43-E2EF004CE632}"/>
    <dgm:cxn modelId="{DAD23F02-BD92-F949-9A61-EA40ABBFE554}" type="presOf" srcId="{8AA0CE77-0B74-4969-9DAE-B323A5A0077C}" destId="{BFCD994E-DB0D-4C72-B943-92BC23462DCB}" srcOrd="0" destOrd="0" presId="urn:microsoft.com/office/officeart/2009/3/layout/HorizontalOrganizationChart"/>
    <dgm:cxn modelId="{AC9FB370-BE53-CC44-9F95-EF27D6427FEF}" type="presOf" srcId="{31C2583E-7BC1-4CF4-B7E2-3D42769C28D3}" destId="{AF68FC54-9EE7-46B3-A10A-2EA03677D98D}" srcOrd="1" destOrd="0" presId="urn:microsoft.com/office/officeart/2009/3/layout/HorizontalOrganizationChart"/>
    <dgm:cxn modelId="{5F36294A-94B9-DE4B-BA8F-22DAB6D77B1C}" type="presOf" srcId="{53076996-6BFA-4FCD-B020-882DD4F93500}" destId="{714595F7-23ED-4963-857D-6695EA903CEE}" srcOrd="1" destOrd="0" presId="urn:microsoft.com/office/officeart/2009/3/layout/HorizontalOrganizationChart"/>
    <dgm:cxn modelId="{A90052DE-AF41-6748-B17B-39D90ADAF8A9}" type="presOf" srcId="{CE6E3EE0-199F-4E92-AA69-5283AF2175C7}" destId="{8CB44B07-2348-41C4-8E99-ABA0B7F58AEE}" srcOrd="0" destOrd="0" presId="urn:microsoft.com/office/officeart/2009/3/layout/HorizontalOrganizationChart"/>
    <dgm:cxn modelId="{A7D61B21-E3F0-CE4E-9986-77BAF5717282}" type="presOf" srcId="{53076996-6BFA-4FCD-B020-882DD4F93500}" destId="{E428E084-A439-4806-8E07-16103A28398B}" srcOrd="0" destOrd="0" presId="urn:microsoft.com/office/officeart/2009/3/layout/HorizontalOrganizationChart"/>
    <dgm:cxn modelId="{8A293397-DAD3-1C48-9C05-7E792FF14F4C}" type="presOf" srcId="{6351F96C-35AC-4F5E-B3B2-CC88858F0EA9}" destId="{18FA3649-2AF0-4B11-AF37-492C7DB351F7}" srcOrd="0" destOrd="0" presId="urn:microsoft.com/office/officeart/2009/3/layout/HorizontalOrganizationChart"/>
    <dgm:cxn modelId="{8175748F-08EA-6F45-8F78-2CE0C01B5252}" type="presOf" srcId="{ACD35DF3-13D1-4353-A6A8-25A12C1C5EC3}" destId="{2A06C30F-5AF7-4545-81D9-6B1C232AFA00}" srcOrd="1" destOrd="0" presId="urn:microsoft.com/office/officeart/2009/3/layout/HorizontalOrganizationChart"/>
    <dgm:cxn modelId="{7A3725E1-8B06-8C48-9E67-C54DBEDCD6D7}" type="presOf" srcId="{31C2583E-7BC1-4CF4-B7E2-3D42769C28D3}" destId="{4554FDC6-C36B-4848-8FC0-D4A17277810E}" srcOrd="0" destOrd="0" presId="urn:microsoft.com/office/officeart/2009/3/layout/HorizontalOrganizationChart"/>
    <dgm:cxn modelId="{A75F36BC-8834-E148-A460-926A6B4A0767}" type="presOf" srcId="{E819FF71-23E1-43EF-9CAB-7E2AE8F5D88F}" destId="{A90E4103-FEEB-4839-A9BC-4A41836E94E1}" srcOrd="0" destOrd="0" presId="urn:microsoft.com/office/officeart/2009/3/layout/HorizontalOrganizationChart"/>
    <dgm:cxn modelId="{25663AC4-6AB2-294F-B6E2-F8D295248451}" type="presOf" srcId="{8EFA715D-1823-4C99-9DD3-EE1D178DA3A5}" destId="{2CA74A30-1ECC-449F-AAA0-13CFF739B81B}" srcOrd="1" destOrd="0" presId="urn:microsoft.com/office/officeart/2009/3/layout/HorizontalOrganizationChart"/>
    <dgm:cxn modelId="{9449CA7F-C6A1-E040-84A2-2E6852A3A1E1}" type="presOf" srcId="{29AA372D-1905-4E58-BD83-C2CD34DA0489}" destId="{E5148943-BC59-4D95-9AA7-80EBA1AA2324}" srcOrd="0" destOrd="0" presId="urn:microsoft.com/office/officeart/2009/3/layout/HorizontalOrganizationChart"/>
    <dgm:cxn modelId="{BD1F1F5C-AC41-4ED1-BCE4-7F355806E217}" srcId="{A748F44E-ED11-4463-9225-27804B61A87B}" destId="{E819FF71-23E1-43EF-9CAB-7E2AE8F5D88F}" srcOrd="0" destOrd="0" parTransId="{5B5491FA-3349-476E-84AE-E5E66CD7AF9D}" sibTransId="{C2380AEE-9BA3-421D-8AA8-D00BA03C527B}"/>
    <dgm:cxn modelId="{B11C8F28-E4BC-7345-B095-7F94B4F49FA5}" type="presOf" srcId="{A3516F4F-231F-4B33-BB61-DACD564A122C}" destId="{85F0F609-123D-43F0-930C-F98954E6966E}" srcOrd="0" destOrd="0" presId="urn:microsoft.com/office/officeart/2009/3/layout/HorizontalOrganizationChart"/>
    <dgm:cxn modelId="{FA99A360-44F7-B148-807C-7A27C12752C2}" type="presOf" srcId="{A748F44E-ED11-4463-9225-27804B61A87B}" destId="{FFDFC743-FB19-4455-AC38-3820A6F7699B}" srcOrd="1" destOrd="0" presId="urn:microsoft.com/office/officeart/2009/3/layout/HorizontalOrganizationChart"/>
    <dgm:cxn modelId="{DF9D8FAB-5689-DB42-9460-7F4AA0AF476C}" type="presOf" srcId="{0BC2C56C-BC45-4E1B-B1EA-0B04CFF9CC3D}" destId="{B5F2D369-10E8-421C-A470-666F7240610E}" srcOrd="0" destOrd="0" presId="urn:microsoft.com/office/officeart/2009/3/layout/HorizontalOrganizationChart"/>
    <dgm:cxn modelId="{6B382A8C-B882-CC4E-A8DC-EEB69373B8F2}" type="presOf" srcId="{479E0973-C707-4324-96D9-051C86B001E7}" destId="{11B3544C-7D83-4340-A550-520493D88422}" srcOrd="1" destOrd="0" presId="urn:microsoft.com/office/officeart/2009/3/layout/HorizontalOrganizationChart"/>
    <dgm:cxn modelId="{5A997B6E-EC25-F14F-BA02-2A85D22074EF}" type="presOf" srcId="{5B5491FA-3349-476E-84AE-E5E66CD7AF9D}" destId="{CBEC414C-CB3E-45A1-99CA-FCD9F0AA8563}" srcOrd="0" destOrd="0" presId="urn:microsoft.com/office/officeart/2009/3/layout/HorizontalOrganizationChart"/>
    <dgm:cxn modelId="{1BFAA2F6-6319-6E48-8CB2-EEF1615B3E7D}" type="presOf" srcId="{8F42E262-38DA-43F2-9117-3FE672105C67}" destId="{F8EC3B1E-A9B8-4FB8-A11C-2039A281B58E}" srcOrd="0" destOrd="0" presId="urn:microsoft.com/office/officeart/2009/3/layout/HorizontalOrganizationChart"/>
    <dgm:cxn modelId="{818345B0-CABB-4138-8486-13A77F7BC6B4}" srcId="{A3516F4F-231F-4B33-BB61-DACD564A122C}" destId="{BDD8254F-F260-42BB-AB14-B93A1F573603}" srcOrd="1" destOrd="0" parTransId="{26185E24-99EE-4F2B-BA1B-F8E6BF5FCAEA}" sibTransId="{AA14F111-5CBC-444B-AAC8-4F0E0731749C}"/>
    <dgm:cxn modelId="{BDB0A7CA-863A-4349-9143-69A32B6262BA}" type="presOf" srcId="{8082A7F2-4B39-44B2-B57D-5DE2F3C21DA8}" destId="{6AA62E2A-8C27-495D-861F-F52E10AA77DC}" srcOrd="0" destOrd="0" presId="urn:microsoft.com/office/officeart/2009/3/layout/HorizontalOrganizationChart"/>
    <dgm:cxn modelId="{B963B526-987F-DD47-95DD-BB2CD9B8036D}" type="presOf" srcId="{33B6984A-7821-4FAA-9D77-9D4BD38B0B2E}" destId="{3686BDF8-A17A-46A2-8EAE-9424FC480AFB}" srcOrd="1" destOrd="0" presId="urn:microsoft.com/office/officeart/2009/3/layout/HorizontalOrganizationChart"/>
    <dgm:cxn modelId="{8685DDB5-590E-2045-ABB4-47EE4573D617}" type="presOf" srcId="{384145EA-A543-4322-ACE3-8CD571E7E2F1}" destId="{C5E4A43A-4C64-479C-A73F-1B744FCCC1E7}" srcOrd="0" destOrd="0" presId="urn:microsoft.com/office/officeart/2009/3/layout/HorizontalOrganizationChart"/>
    <dgm:cxn modelId="{B3AAE53C-3887-4E32-AFC3-ECD5E2110046}" srcId="{8EFA715D-1823-4C99-9DD3-EE1D178DA3A5}" destId="{53076996-6BFA-4FCD-B020-882DD4F93500}" srcOrd="2" destOrd="0" parTransId="{8F42E262-38DA-43F2-9117-3FE672105C67}" sibTransId="{8AEF2900-7103-4A33-A46E-41CEF24C6AC6}"/>
    <dgm:cxn modelId="{5F6350C1-645D-1F49-8961-1EAB41A86898}" type="presOf" srcId="{29AA372D-1905-4E58-BD83-C2CD34DA0489}" destId="{09F68F31-5C40-446A-ABB9-CF1C4BB06FDB}" srcOrd="1" destOrd="0" presId="urn:microsoft.com/office/officeart/2009/3/layout/HorizontalOrganizationChart"/>
    <dgm:cxn modelId="{E047C2AA-09FC-D444-AF2F-4A7DB690B174}" type="presOf" srcId="{E819FF71-23E1-43EF-9CAB-7E2AE8F5D88F}" destId="{03B2BA26-D248-4739-A9F3-BA93FA010066}" srcOrd="1" destOrd="0" presId="urn:microsoft.com/office/officeart/2009/3/layout/HorizontalOrganizationChart"/>
    <dgm:cxn modelId="{439127D0-3C34-3949-A46A-AC53B26B92F4}" type="presOf" srcId="{D3147D78-AE9E-4548-938A-3567E84E7E12}" destId="{136F2B2E-67BB-4DEB-9034-A485A9ECD8BD}" srcOrd="0" destOrd="0" presId="urn:microsoft.com/office/officeart/2009/3/layout/HorizontalOrganizationChart"/>
    <dgm:cxn modelId="{5A2645FD-7DDE-42E4-A7E4-3A673B0318A1}" srcId="{BDD8254F-F260-42BB-AB14-B93A1F573603}" destId="{8082A7F2-4B39-44B2-B57D-5DE2F3C21DA8}" srcOrd="0" destOrd="0" parTransId="{929866C7-FCA7-419C-893B-0D0F255A7A99}" sibTransId="{46252DD3-ED4D-40CE-8577-0835C91A781F}"/>
    <dgm:cxn modelId="{28AD4C1F-7AB7-489C-96C5-52D947D93586}" srcId="{CE6E3EE0-199F-4E92-AA69-5283AF2175C7}" destId="{479E0973-C707-4324-96D9-051C86B001E7}" srcOrd="2" destOrd="0" parTransId="{384145EA-A543-4322-ACE3-8CD571E7E2F1}" sibTransId="{B775F93C-8F9A-4946-8B5B-5EDF5AEA5053}"/>
    <dgm:cxn modelId="{66211A9D-4526-D44E-9FE5-BBEF7A6AA131}" type="presOf" srcId="{929866C7-FCA7-419C-893B-0D0F255A7A99}" destId="{8563764B-84CE-4A48-B980-9DB47AAAD088}" srcOrd="0" destOrd="0" presId="urn:microsoft.com/office/officeart/2009/3/layout/HorizontalOrganizationChart"/>
    <dgm:cxn modelId="{EBE0EA78-BE7C-4870-9244-AFB702A4F173}" srcId="{A748F44E-ED11-4463-9225-27804B61A87B}" destId="{6351F96C-35AC-4F5E-B3B2-CC88858F0EA9}" srcOrd="1" destOrd="0" parTransId="{0C0C9A64-903D-49EA-A2E9-EB30C5E0C3F1}" sibTransId="{D09B6C20-DAC6-4ABE-8AB0-9E107468AA38}"/>
    <dgm:cxn modelId="{E18BA138-AA49-E647-A52B-852403BC1317}" type="presOf" srcId="{DC69EF87-9F0F-4FDB-B9E3-63C122CD7C90}" destId="{253E3678-FDF8-4C21-B98F-415CE0369EF4}" srcOrd="0" destOrd="0" presId="urn:microsoft.com/office/officeart/2009/3/layout/HorizontalOrganizationChart"/>
    <dgm:cxn modelId="{61479172-3E9F-4BAA-961A-F0BED57D6BD3}" srcId="{A748F44E-ED11-4463-9225-27804B61A87B}" destId="{33B6984A-7821-4FAA-9D77-9D4BD38B0B2E}" srcOrd="2" destOrd="0" parTransId="{B20FBA04-1E72-40BA-8885-FB56ECF50BD6}" sibTransId="{62B8D144-2C1C-4385-91AF-ABC1199D2C04}"/>
    <dgm:cxn modelId="{B683816F-2F09-A24F-9636-871C20272EDB}" type="presOf" srcId="{04869B90-3CDC-4F42-B930-460433855D89}" destId="{D0285795-9A68-4830-902F-8045D6C11644}" srcOrd="0" destOrd="0" presId="urn:microsoft.com/office/officeart/2009/3/layout/HorizontalOrganizationChart"/>
    <dgm:cxn modelId="{1083C282-69A0-CB4D-B42A-D70539C64185}" type="presParOf" srcId="{85F0F609-123D-43F0-930C-F98954E6966E}" destId="{E7E170F0-7F39-448A-B29F-839E2A2662DE}" srcOrd="0" destOrd="0" presId="urn:microsoft.com/office/officeart/2009/3/layout/HorizontalOrganizationChart"/>
    <dgm:cxn modelId="{936B86CE-39DA-D740-A7EC-B3DC4E0811E9}" type="presParOf" srcId="{E7E170F0-7F39-448A-B29F-839E2A2662DE}" destId="{F261F0DC-FB2C-4A25-BFA4-B9170635D6C9}" srcOrd="0" destOrd="0" presId="urn:microsoft.com/office/officeart/2009/3/layout/HorizontalOrganizationChart"/>
    <dgm:cxn modelId="{FE148DD8-DCCE-F74F-AE90-EC5285AB3043}" type="presParOf" srcId="{F261F0DC-FB2C-4A25-BFA4-B9170635D6C9}" destId="{7153CB51-B998-423A-B4C0-9E5096FB9448}" srcOrd="0" destOrd="0" presId="urn:microsoft.com/office/officeart/2009/3/layout/HorizontalOrganizationChart"/>
    <dgm:cxn modelId="{69DCF5CF-5D40-6C4F-B913-6B65B92E32CB}" type="presParOf" srcId="{F261F0DC-FB2C-4A25-BFA4-B9170635D6C9}" destId="{FFDFC743-FB19-4455-AC38-3820A6F7699B}" srcOrd="1" destOrd="0" presId="urn:microsoft.com/office/officeart/2009/3/layout/HorizontalOrganizationChart"/>
    <dgm:cxn modelId="{2975656E-447C-DB42-8736-A8F466599414}" type="presParOf" srcId="{E7E170F0-7F39-448A-B29F-839E2A2662DE}" destId="{4DA3DF3A-E81D-4A24-ADD4-8A39A74EADF0}" srcOrd="1" destOrd="0" presId="urn:microsoft.com/office/officeart/2009/3/layout/HorizontalOrganizationChart"/>
    <dgm:cxn modelId="{997A36DB-97EA-7545-B0DA-A1EDB8A3EEC3}" type="presParOf" srcId="{4DA3DF3A-E81D-4A24-ADD4-8A39A74EADF0}" destId="{CBEC414C-CB3E-45A1-99CA-FCD9F0AA8563}" srcOrd="0" destOrd="0" presId="urn:microsoft.com/office/officeart/2009/3/layout/HorizontalOrganizationChart"/>
    <dgm:cxn modelId="{DA0CFB2A-2CC4-7B44-A8D0-6DB8B431A7F5}" type="presParOf" srcId="{4DA3DF3A-E81D-4A24-ADD4-8A39A74EADF0}" destId="{3F71D6F1-16F3-46B3-94D9-ECA6A4D4E0E8}" srcOrd="1" destOrd="0" presId="urn:microsoft.com/office/officeart/2009/3/layout/HorizontalOrganizationChart"/>
    <dgm:cxn modelId="{54AECFB9-EC93-FF48-9850-76A09F4CC07A}" type="presParOf" srcId="{3F71D6F1-16F3-46B3-94D9-ECA6A4D4E0E8}" destId="{9B9F789A-4E03-4091-889B-EB36EF778B36}" srcOrd="0" destOrd="0" presId="urn:microsoft.com/office/officeart/2009/3/layout/HorizontalOrganizationChart"/>
    <dgm:cxn modelId="{A2063BD4-70CF-FC40-B905-AF83D40483BD}" type="presParOf" srcId="{9B9F789A-4E03-4091-889B-EB36EF778B36}" destId="{A90E4103-FEEB-4839-A9BC-4A41836E94E1}" srcOrd="0" destOrd="0" presId="urn:microsoft.com/office/officeart/2009/3/layout/HorizontalOrganizationChart"/>
    <dgm:cxn modelId="{5EABF08B-C762-B349-B707-AD84731BCBC9}" type="presParOf" srcId="{9B9F789A-4E03-4091-889B-EB36EF778B36}" destId="{03B2BA26-D248-4739-A9F3-BA93FA010066}" srcOrd="1" destOrd="0" presId="urn:microsoft.com/office/officeart/2009/3/layout/HorizontalOrganizationChart"/>
    <dgm:cxn modelId="{0F9E3659-7360-F947-8123-8C1B61D694ED}" type="presParOf" srcId="{3F71D6F1-16F3-46B3-94D9-ECA6A4D4E0E8}" destId="{559E759D-96F8-4FF5-A876-191F87400A3F}" srcOrd="1" destOrd="0" presId="urn:microsoft.com/office/officeart/2009/3/layout/HorizontalOrganizationChart"/>
    <dgm:cxn modelId="{99CFF293-0932-8342-8BBF-89BC612979EF}" type="presParOf" srcId="{559E759D-96F8-4FF5-A876-191F87400A3F}" destId="{D37C49D5-6676-4055-A8DA-E5AE27ABDC9E}" srcOrd="0" destOrd="0" presId="urn:microsoft.com/office/officeart/2009/3/layout/HorizontalOrganizationChart"/>
    <dgm:cxn modelId="{E5FC7531-DC10-1046-AF66-34416A192A06}" type="presParOf" srcId="{559E759D-96F8-4FF5-A876-191F87400A3F}" destId="{482B6D64-91F4-4EB2-B417-72802AE8E28E}" srcOrd="1" destOrd="0" presId="urn:microsoft.com/office/officeart/2009/3/layout/HorizontalOrganizationChart"/>
    <dgm:cxn modelId="{F2BF41B4-0F2E-0E43-8C65-776C72098999}" type="presParOf" srcId="{482B6D64-91F4-4EB2-B417-72802AE8E28E}" destId="{FD5203D4-99E4-4CCE-A902-D20F7565F939}" srcOrd="0" destOrd="0" presId="urn:microsoft.com/office/officeart/2009/3/layout/HorizontalOrganizationChart"/>
    <dgm:cxn modelId="{084709A7-C264-5F42-A2E6-1CE264A7D409}" type="presParOf" srcId="{FD5203D4-99E4-4CCE-A902-D20F7565F939}" destId="{E5148943-BC59-4D95-9AA7-80EBA1AA2324}" srcOrd="0" destOrd="0" presId="urn:microsoft.com/office/officeart/2009/3/layout/HorizontalOrganizationChart"/>
    <dgm:cxn modelId="{E7E224CB-8907-1F4E-A3B8-1187D0E28E19}" type="presParOf" srcId="{FD5203D4-99E4-4CCE-A902-D20F7565F939}" destId="{09F68F31-5C40-446A-ABB9-CF1C4BB06FDB}" srcOrd="1" destOrd="0" presId="urn:microsoft.com/office/officeart/2009/3/layout/HorizontalOrganizationChart"/>
    <dgm:cxn modelId="{83BD44F4-E559-6F45-922E-BB013A7F56AC}" type="presParOf" srcId="{482B6D64-91F4-4EB2-B417-72802AE8E28E}" destId="{657B3924-BF24-45F6-A94C-3CDC01D60751}" srcOrd="1" destOrd="0" presId="urn:microsoft.com/office/officeart/2009/3/layout/HorizontalOrganizationChart"/>
    <dgm:cxn modelId="{2EE1003F-4CF6-F044-A141-3FC95BD78651}" type="presParOf" srcId="{482B6D64-91F4-4EB2-B417-72802AE8E28E}" destId="{1856332A-2DD4-469C-9FA0-F1CEEBF8B1A2}" srcOrd="2" destOrd="0" presId="urn:microsoft.com/office/officeart/2009/3/layout/HorizontalOrganizationChart"/>
    <dgm:cxn modelId="{5FC254AF-3945-AE4C-98D6-02FE89718496}" type="presParOf" srcId="{3F71D6F1-16F3-46B3-94D9-ECA6A4D4E0E8}" destId="{1595F35E-AA79-4C0C-846D-F51C004CF619}" srcOrd="2" destOrd="0" presId="urn:microsoft.com/office/officeart/2009/3/layout/HorizontalOrganizationChart"/>
    <dgm:cxn modelId="{F33EFCAE-CF69-6E4A-92FF-62DE51B8B9E1}" type="presParOf" srcId="{4DA3DF3A-E81D-4A24-ADD4-8A39A74EADF0}" destId="{504F5715-D4DE-496D-97D8-8AD9E1FE12E6}" srcOrd="2" destOrd="0" presId="urn:microsoft.com/office/officeart/2009/3/layout/HorizontalOrganizationChart"/>
    <dgm:cxn modelId="{86147125-42AD-054E-80EB-D345E5C88847}" type="presParOf" srcId="{4DA3DF3A-E81D-4A24-ADD4-8A39A74EADF0}" destId="{8C1F88E3-E912-453D-A9DD-14ACD525C34F}" srcOrd="3" destOrd="0" presId="urn:microsoft.com/office/officeart/2009/3/layout/HorizontalOrganizationChart"/>
    <dgm:cxn modelId="{941965F9-5F77-CB4D-8FC1-A15B2CF8ED3D}" type="presParOf" srcId="{8C1F88E3-E912-453D-A9DD-14ACD525C34F}" destId="{823CA80B-C9A4-4051-8535-892060C89728}" srcOrd="0" destOrd="0" presId="urn:microsoft.com/office/officeart/2009/3/layout/HorizontalOrganizationChart"/>
    <dgm:cxn modelId="{289D47CF-62A5-864B-8650-1AC6A1228470}" type="presParOf" srcId="{823CA80B-C9A4-4051-8535-892060C89728}" destId="{18FA3649-2AF0-4B11-AF37-492C7DB351F7}" srcOrd="0" destOrd="0" presId="urn:microsoft.com/office/officeart/2009/3/layout/HorizontalOrganizationChart"/>
    <dgm:cxn modelId="{8A44D7AA-9FAD-E44D-9D55-33743131FBC3}" type="presParOf" srcId="{823CA80B-C9A4-4051-8535-892060C89728}" destId="{A1C754E8-BA2C-4594-BBA8-0C43E9369A7C}" srcOrd="1" destOrd="0" presId="urn:microsoft.com/office/officeart/2009/3/layout/HorizontalOrganizationChart"/>
    <dgm:cxn modelId="{003D439F-76DB-CB47-86D0-62C0CAFA0154}" type="presParOf" srcId="{8C1F88E3-E912-453D-A9DD-14ACD525C34F}" destId="{99A7BCEE-D935-4FB6-B7C8-5EF71C465C5A}" srcOrd="1" destOrd="0" presId="urn:microsoft.com/office/officeart/2009/3/layout/HorizontalOrganizationChart"/>
    <dgm:cxn modelId="{3294F02E-8666-0B4C-9466-4E8D7B3B964A}" type="presParOf" srcId="{8C1F88E3-E912-453D-A9DD-14ACD525C34F}" destId="{6C4F03A6-28A6-470B-9FFD-05538E6F9E6A}" srcOrd="2" destOrd="0" presId="urn:microsoft.com/office/officeart/2009/3/layout/HorizontalOrganizationChart"/>
    <dgm:cxn modelId="{CA4094AE-A975-2640-A295-ABD222F3ACCD}" type="presParOf" srcId="{4DA3DF3A-E81D-4A24-ADD4-8A39A74EADF0}" destId="{1A7FFF24-367A-43A6-98E2-EA6A49E72BB0}" srcOrd="4" destOrd="0" presId="urn:microsoft.com/office/officeart/2009/3/layout/HorizontalOrganizationChart"/>
    <dgm:cxn modelId="{3E19CB2B-0B74-B848-A285-3568D3D14BDE}" type="presParOf" srcId="{4DA3DF3A-E81D-4A24-ADD4-8A39A74EADF0}" destId="{13932C83-70DC-46EB-8751-8219C07BB358}" srcOrd="5" destOrd="0" presId="urn:microsoft.com/office/officeart/2009/3/layout/HorizontalOrganizationChart"/>
    <dgm:cxn modelId="{CFDA5F27-C1CB-AD46-883A-18A9791FB5CB}" type="presParOf" srcId="{13932C83-70DC-46EB-8751-8219C07BB358}" destId="{3F15C68C-23A0-4AD5-938D-7D3E5EE055CA}" srcOrd="0" destOrd="0" presId="urn:microsoft.com/office/officeart/2009/3/layout/HorizontalOrganizationChart"/>
    <dgm:cxn modelId="{1A39DE10-BEE0-5340-A6BE-8E9BE7FE189C}" type="presParOf" srcId="{3F15C68C-23A0-4AD5-938D-7D3E5EE055CA}" destId="{4AC7CFDA-0C30-4871-B2E1-CD79E2B31341}" srcOrd="0" destOrd="0" presId="urn:microsoft.com/office/officeart/2009/3/layout/HorizontalOrganizationChart"/>
    <dgm:cxn modelId="{F216C012-DF3D-534A-B59D-93AC14433945}" type="presParOf" srcId="{3F15C68C-23A0-4AD5-938D-7D3E5EE055CA}" destId="{3686BDF8-A17A-46A2-8EAE-9424FC480AFB}" srcOrd="1" destOrd="0" presId="urn:microsoft.com/office/officeart/2009/3/layout/HorizontalOrganizationChart"/>
    <dgm:cxn modelId="{DE935A0A-7A8D-9E48-9804-B75094DE76AF}" type="presParOf" srcId="{13932C83-70DC-46EB-8751-8219C07BB358}" destId="{0CBEECAE-3C04-41A5-B679-1C98858C127D}" srcOrd="1" destOrd="0" presId="urn:microsoft.com/office/officeart/2009/3/layout/HorizontalOrganizationChart"/>
    <dgm:cxn modelId="{2827F5DA-BC0F-6B49-B840-F5FBEE779CA1}" type="presParOf" srcId="{13932C83-70DC-46EB-8751-8219C07BB358}" destId="{65D0072C-5599-46EC-8277-442E6A89CE2E}" srcOrd="2" destOrd="0" presId="urn:microsoft.com/office/officeart/2009/3/layout/HorizontalOrganizationChart"/>
    <dgm:cxn modelId="{3770D7A6-C349-DC4F-8002-534AE3F7D7A4}" type="presParOf" srcId="{E7E170F0-7F39-448A-B29F-839E2A2662DE}" destId="{F05E51E7-EF90-4046-A4E9-8F5B01FE6E90}" srcOrd="2" destOrd="0" presId="urn:microsoft.com/office/officeart/2009/3/layout/HorizontalOrganizationChart"/>
    <dgm:cxn modelId="{44275528-3667-6C4C-8BFD-32FDBF2E09C3}" type="presParOf" srcId="{85F0F609-123D-43F0-930C-F98954E6966E}" destId="{7E1B6BD9-413A-453B-9433-2A254198A9BF}" srcOrd="1" destOrd="0" presId="urn:microsoft.com/office/officeart/2009/3/layout/HorizontalOrganizationChart"/>
    <dgm:cxn modelId="{8C7A931B-D004-8E4C-AE8E-13DE990244FC}" type="presParOf" srcId="{7E1B6BD9-413A-453B-9433-2A254198A9BF}" destId="{8957E1E5-CBC3-4192-92A4-FE7906DDA1DC}" srcOrd="0" destOrd="0" presId="urn:microsoft.com/office/officeart/2009/3/layout/HorizontalOrganizationChart"/>
    <dgm:cxn modelId="{042845D0-DB7C-CB49-9B71-4AC655E85B70}" type="presParOf" srcId="{8957E1E5-CBC3-4192-92A4-FE7906DDA1DC}" destId="{A0221534-758E-4AC4-B609-C169E4C779E5}" srcOrd="0" destOrd="0" presId="urn:microsoft.com/office/officeart/2009/3/layout/HorizontalOrganizationChart"/>
    <dgm:cxn modelId="{1A0D455C-110D-024A-B2D3-4FFD6CB6C7D4}" type="presParOf" srcId="{8957E1E5-CBC3-4192-92A4-FE7906DDA1DC}" destId="{E6D74E96-17A4-4F07-920C-78A7A3D6D71F}" srcOrd="1" destOrd="0" presId="urn:microsoft.com/office/officeart/2009/3/layout/HorizontalOrganizationChart"/>
    <dgm:cxn modelId="{3588E17F-0F34-9944-B662-3EEBB8A4FE6F}" type="presParOf" srcId="{7E1B6BD9-413A-453B-9433-2A254198A9BF}" destId="{6FFC0FE7-7D79-48FE-8189-FEEC06528DDE}" srcOrd="1" destOrd="0" presId="urn:microsoft.com/office/officeart/2009/3/layout/HorizontalOrganizationChart"/>
    <dgm:cxn modelId="{EE3393E5-D6D8-F744-AAE7-0A1433EF4DD3}" type="presParOf" srcId="{6FFC0FE7-7D79-48FE-8189-FEEC06528DDE}" destId="{8563764B-84CE-4A48-B980-9DB47AAAD088}" srcOrd="0" destOrd="0" presId="urn:microsoft.com/office/officeart/2009/3/layout/HorizontalOrganizationChart"/>
    <dgm:cxn modelId="{9A9EF53A-6FCE-994F-B8AB-A91AB9FAF39E}" type="presParOf" srcId="{6FFC0FE7-7D79-48FE-8189-FEEC06528DDE}" destId="{88CD291E-4263-4072-805F-1010C369CE65}" srcOrd="1" destOrd="0" presId="urn:microsoft.com/office/officeart/2009/3/layout/HorizontalOrganizationChart"/>
    <dgm:cxn modelId="{01A4AC09-0950-B445-A145-DEA33691F849}" type="presParOf" srcId="{88CD291E-4263-4072-805F-1010C369CE65}" destId="{AB07B703-C0B7-4061-86B1-B8B7A3721F51}" srcOrd="0" destOrd="0" presId="urn:microsoft.com/office/officeart/2009/3/layout/HorizontalOrganizationChart"/>
    <dgm:cxn modelId="{97FBAA93-443A-7A45-B845-E97497206E39}" type="presParOf" srcId="{AB07B703-C0B7-4061-86B1-B8B7A3721F51}" destId="{6AA62E2A-8C27-495D-861F-F52E10AA77DC}" srcOrd="0" destOrd="0" presId="urn:microsoft.com/office/officeart/2009/3/layout/HorizontalOrganizationChart"/>
    <dgm:cxn modelId="{51345041-F1D4-4949-A4F0-D08FA821B664}" type="presParOf" srcId="{AB07B703-C0B7-4061-86B1-B8B7A3721F51}" destId="{23855D1F-BA72-46A9-AD2B-F7656A688C56}" srcOrd="1" destOrd="0" presId="urn:microsoft.com/office/officeart/2009/3/layout/HorizontalOrganizationChart"/>
    <dgm:cxn modelId="{703C6C42-0216-194F-8B04-E33A41978098}" type="presParOf" srcId="{88CD291E-4263-4072-805F-1010C369CE65}" destId="{23C15B48-2AA2-4FE5-84BE-4978C2FFFADF}" srcOrd="1" destOrd="0" presId="urn:microsoft.com/office/officeart/2009/3/layout/HorizontalOrganizationChart"/>
    <dgm:cxn modelId="{FC638477-3C97-3343-AB4C-96CFDAFA94E3}" type="presParOf" srcId="{88CD291E-4263-4072-805F-1010C369CE65}" destId="{5785FFEB-6276-475C-BB65-6D8E444BC2AB}" srcOrd="2" destOrd="0" presId="urn:microsoft.com/office/officeart/2009/3/layout/HorizontalOrganizationChart"/>
    <dgm:cxn modelId="{76E7ACC3-90EA-EC45-BEB3-7817213AAFF5}" type="presParOf" srcId="{6FFC0FE7-7D79-48FE-8189-FEEC06528DDE}" destId="{709FBF78-203E-41E1-AF18-8C705D615E08}" srcOrd="2" destOrd="0" presId="urn:microsoft.com/office/officeart/2009/3/layout/HorizontalOrganizationChart"/>
    <dgm:cxn modelId="{A889FF47-42BA-7E44-AC39-8A31B2DEE1A6}" type="presParOf" srcId="{6FFC0FE7-7D79-48FE-8189-FEEC06528DDE}" destId="{B7F82CFB-3DF5-4E4B-A78A-6484D94B3271}" srcOrd="3" destOrd="0" presId="urn:microsoft.com/office/officeart/2009/3/layout/HorizontalOrganizationChart"/>
    <dgm:cxn modelId="{DBD00EF7-174E-5B43-BA5A-1F61E2794AAA}" type="presParOf" srcId="{B7F82CFB-3DF5-4E4B-A78A-6484D94B3271}" destId="{82F9188E-B8F4-4FAF-A394-42A9E6321377}" srcOrd="0" destOrd="0" presId="urn:microsoft.com/office/officeart/2009/3/layout/HorizontalOrganizationChart"/>
    <dgm:cxn modelId="{7731F111-702F-1B4D-BD20-13D5B294FBAC}" type="presParOf" srcId="{82F9188E-B8F4-4FAF-A394-42A9E6321377}" destId="{BFCD994E-DB0D-4C72-B943-92BC23462DCB}" srcOrd="0" destOrd="0" presId="urn:microsoft.com/office/officeart/2009/3/layout/HorizontalOrganizationChart"/>
    <dgm:cxn modelId="{6E79993D-5B64-2849-A7E6-4BAA1CE68D69}" type="presParOf" srcId="{82F9188E-B8F4-4FAF-A394-42A9E6321377}" destId="{D3A2A8BA-E7F6-4296-B004-CB5A4929B0F9}" srcOrd="1" destOrd="0" presId="urn:microsoft.com/office/officeart/2009/3/layout/HorizontalOrganizationChart"/>
    <dgm:cxn modelId="{8644958A-B1A3-7C4D-91AF-2DDEA0C47612}" type="presParOf" srcId="{B7F82CFB-3DF5-4E4B-A78A-6484D94B3271}" destId="{F52632F8-1BAB-47D6-BA11-ACB8FD699016}" srcOrd="1" destOrd="0" presId="urn:microsoft.com/office/officeart/2009/3/layout/HorizontalOrganizationChart"/>
    <dgm:cxn modelId="{A5A977AD-6EE8-F74A-AFC1-B9BF8EA65FA5}" type="presParOf" srcId="{B7F82CFB-3DF5-4E4B-A78A-6484D94B3271}" destId="{D19611D2-65A5-4FE7-A848-358298996E3E}" srcOrd="2" destOrd="0" presId="urn:microsoft.com/office/officeart/2009/3/layout/HorizontalOrganizationChart"/>
    <dgm:cxn modelId="{30677207-CACC-2446-8CBD-C4CA4FF40E52}" type="presParOf" srcId="{6FFC0FE7-7D79-48FE-8189-FEEC06528DDE}" destId="{B5F2D369-10E8-421C-A470-666F7240610E}" srcOrd="4" destOrd="0" presId="urn:microsoft.com/office/officeart/2009/3/layout/HorizontalOrganizationChart"/>
    <dgm:cxn modelId="{4D49BD59-00A9-FA4D-8937-BD28A01345CD}" type="presParOf" srcId="{6FFC0FE7-7D79-48FE-8189-FEEC06528DDE}" destId="{498AED95-C705-417B-A83A-02637E33BCFB}" srcOrd="5" destOrd="0" presId="urn:microsoft.com/office/officeart/2009/3/layout/HorizontalOrganizationChart"/>
    <dgm:cxn modelId="{6A43F4C8-7C13-7049-83CA-7D1B48CE4B69}" type="presParOf" srcId="{498AED95-C705-417B-A83A-02637E33BCFB}" destId="{BD4D4B57-EF1D-44B5-934B-9E23064CB9AE}" srcOrd="0" destOrd="0" presId="urn:microsoft.com/office/officeart/2009/3/layout/HorizontalOrganizationChart"/>
    <dgm:cxn modelId="{8D28769D-CE62-6143-9499-0E668753C01A}" type="presParOf" srcId="{BD4D4B57-EF1D-44B5-934B-9E23064CB9AE}" destId="{4554FDC6-C36B-4848-8FC0-D4A17277810E}" srcOrd="0" destOrd="0" presId="urn:microsoft.com/office/officeart/2009/3/layout/HorizontalOrganizationChart"/>
    <dgm:cxn modelId="{9FB35106-7C89-5845-BFE7-C6403B4B2C6D}" type="presParOf" srcId="{BD4D4B57-EF1D-44B5-934B-9E23064CB9AE}" destId="{AF68FC54-9EE7-46B3-A10A-2EA03677D98D}" srcOrd="1" destOrd="0" presId="urn:microsoft.com/office/officeart/2009/3/layout/HorizontalOrganizationChart"/>
    <dgm:cxn modelId="{4CFCD173-AFFE-9243-A54A-DC9B635511FC}" type="presParOf" srcId="{498AED95-C705-417B-A83A-02637E33BCFB}" destId="{BE32BB02-2AAF-4C77-A773-4366017C066E}" srcOrd="1" destOrd="0" presId="urn:microsoft.com/office/officeart/2009/3/layout/HorizontalOrganizationChart"/>
    <dgm:cxn modelId="{0F31A4ED-2FFF-0E4D-A6B3-4DE45742DAEF}" type="presParOf" srcId="{498AED95-C705-417B-A83A-02637E33BCFB}" destId="{D681B8C0-8664-4ACC-91EF-D59A15E8FFDD}" srcOrd="2" destOrd="0" presId="urn:microsoft.com/office/officeart/2009/3/layout/HorizontalOrganizationChart"/>
    <dgm:cxn modelId="{AAC1B642-1EFD-FC42-89EB-8BC7BD0FD25A}" type="presParOf" srcId="{7E1B6BD9-413A-453B-9433-2A254198A9BF}" destId="{0608168D-F127-4CE5-9147-EDF71E7DC0F3}" srcOrd="2" destOrd="0" presId="urn:microsoft.com/office/officeart/2009/3/layout/HorizontalOrganizationChart"/>
    <dgm:cxn modelId="{84285C0D-C2F5-D745-8177-CBC41E9D07F1}" type="presParOf" srcId="{85F0F609-123D-43F0-930C-F98954E6966E}" destId="{B0A62C8A-E838-4B13-BBF0-FFBEAB2B7AE4}" srcOrd="2" destOrd="0" presId="urn:microsoft.com/office/officeart/2009/3/layout/HorizontalOrganizationChart"/>
    <dgm:cxn modelId="{60DDE6DF-C5AC-2845-9D9E-83607E5088BD}" type="presParOf" srcId="{B0A62C8A-E838-4B13-BBF0-FFBEAB2B7AE4}" destId="{763C086B-EDBD-4C55-B581-6DE21F5D6B42}" srcOrd="0" destOrd="0" presId="urn:microsoft.com/office/officeart/2009/3/layout/HorizontalOrganizationChart"/>
    <dgm:cxn modelId="{CD0FBE12-59BA-6848-B643-B910F21BE8F7}" type="presParOf" srcId="{763C086B-EDBD-4C55-B581-6DE21F5D6B42}" destId="{466C0039-FE30-4D47-8335-FD25D7D99303}" srcOrd="0" destOrd="0" presId="urn:microsoft.com/office/officeart/2009/3/layout/HorizontalOrganizationChart"/>
    <dgm:cxn modelId="{8248A898-0A77-1F49-B4E4-10FD6C67407B}" type="presParOf" srcId="{763C086B-EDBD-4C55-B581-6DE21F5D6B42}" destId="{2CA74A30-1ECC-449F-AAA0-13CFF739B81B}" srcOrd="1" destOrd="0" presId="urn:microsoft.com/office/officeart/2009/3/layout/HorizontalOrganizationChart"/>
    <dgm:cxn modelId="{DFEB2094-AA0B-3344-A1D5-600A19A6E905}" type="presParOf" srcId="{B0A62C8A-E838-4B13-BBF0-FFBEAB2B7AE4}" destId="{74665B56-3489-4B7B-8C2F-4B391FA5B662}" srcOrd="1" destOrd="0" presId="urn:microsoft.com/office/officeart/2009/3/layout/HorizontalOrganizationChart"/>
    <dgm:cxn modelId="{0830CF5C-125E-1242-86B4-9CBF401D7AB2}" type="presParOf" srcId="{74665B56-3489-4B7B-8C2F-4B391FA5B662}" destId="{136F2B2E-67BB-4DEB-9034-A485A9ECD8BD}" srcOrd="0" destOrd="0" presId="urn:microsoft.com/office/officeart/2009/3/layout/HorizontalOrganizationChart"/>
    <dgm:cxn modelId="{670D3369-8C59-C149-9C55-163CDFF11A8A}" type="presParOf" srcId="{74665B56-3489-4B7B-8C2F-4B391FA5B662}" destId="{30C3F9F2-B651-4CA2-9EB5-0BF326BE4FE7}" srcOrd="1" destOrd="0" presId="urn:microsoft.com/office/officeart/2009/3/layout/HorizontalOrganizationChart"/>
    <dgm:cxn modelId="{5A529142-C5DB-5643-91F0-D90FC9363954}" type="presParOf" srcId="{30C3F9F2-B651-4CA2-9EB5-0BF326BE4FE7}" destId="{A601D0E0-DBBE-480F-914C-1C909BC4F8E9}" srcOrd="0" destOrd="0" presId="urn:microsoft.com/office/officeart/2009/3/layout/HorizontalOrganizationChart"/>
    <dgm:cxn modelId="{0227FD3D-CE42-B949-8F2F-8D8DA7B3EDF1}" type="presParOf" srcId="{A601D0E0-DBBE-480F-914C-1C909BC4F8E9}" destId="{D0285795-9A68-4830-902F-8045D6C11644}" srcOrd="0" destOrd="0" presId="urn:microsoft.com/office/officeart/2009/3/layout/HorizontalOrganizationChart"/>
    <dgm:cxn modelId="{4D8FF82A-6BA1-1F42-BE68-DA548D2419E7}" type="presParOf" srcId="{A601D0E0-DBBE-480F-914C-1C909BC4F8E9}" destId="{B411987C-29F5-4DF9-AB76-53A5F00486CB}" srcOrd="1" destOrd="0" presId="urn:microsoft.com/office/officeart/2009/3/layout/HorizontalOrganizationChart"/>
    <dgm:cxn modelId="{216335EC-6CC2-474A-80E6-DD94E5E38956}" type="presParOf" srcId="{30C3F9F2-B651-4CA2-9EB5-0BF326BE4FE7}" destId="{7121B790-71BF-40A1-81BE-43C60E423C1B}" srcOrd="1" destOrd="0" presId="urn:microsoft.com/office/officeart/2009/3/layout/HorizontalOrganizationChart"/>
    <dgm:cxn modelId="{F923D239-B7C9-8C45-81D1-4F76A95B6731}" type="presParOf" srcId="{30C3F9F2-B651-4CA2-9EB5-0BF326BE4FE7}" destId="{B900B662-2AF7-41A8-9E09-902343429BFD}" srcOrd="2" destOrd="0" presId="urn:microsoft.com/office/officeart/2009/3/layout/HorizontalOrganizationChart"/>
    <dgm:cxn modelId="{B53055A8-D0B7-084D-89C7-D59B47E83DDF}" type="presParOf" srcId="{74665B56-3489-4B7B-8C2F-4B391FA5B662}" destId="{253E3678-FDF8-4C21-B98F-415CE0369EF4}" srcOrd="2" destOrd="0" presId="urn:microsoft.com/office/officeart/2009/3/layout/HorizontalOrganizationChart"/>
    <dgm:cxn modelId="{FACB2546-A2FD-6640-8A0B-99C5A43B8060}" type="presParOf" srcId="{74665B56-3489-4B7B-8C2F-4B391FA5B662}" destId="{5FAA615B-DC16-4348-82D2-C9373C3C4F78}" srcOrd="3" destOrd="0" presId="urn:microsoft.com/office/officeart/2009/3/layout/HorizontalOrganizationChart"/>
    <dgm:cxn modelId="{B22F0D58-127C-CB44-BB95-391CF435EEA0}" type="presParOf" srcId="{5FAA615B-DC16-4348-82D2-C9373C3C4F78}" destId="{84ABA69B-377A-4BEA-8BF7-13A5D4F8F3C9}" srcOrd="0" destOrd="0" presId="urn:microsoft.com/office/officeart/2009/3/layout/HorizontalOrganizationChart"/>
    <dgm:cxn modelId="{A6D09C53-3E73-F742-A712-5BA00A23FFC5}" type="presParOf" srcId="{84ABA69B-377A-4BEA-8BF7-13A5D4F8F3C9}" destId="{1670844D-F97E-402F-93A8-C359DFA529D0}" srcOrd="0" destOrd="0" presId="urn:microsoft.com/office/officeart/2009/3/layout/HorizontalOrganizationChart"/>
    <dgm:cxn modelId="{E3B88448-5E31-EE4B-A2E0-4347BA46AC61}" type="presParOf" srcId="{84ABA69B-377A-4BEA-8BF7-13A5D4F8F3C9}" destId="{ECB118C9-00BE-48D7-90B9-4B3420B41CD9}" srcOrd="1" destOrd="0" presId="urn:microsoft.com/office/officeart/2009/3/layout/HorizontalOrganizationChart"/>
    <dgm:cxn modelId="{CB99B687-3C5A-CB40-A400-B0B3D622CDEA}" type="presParOf" srcId="{5FAA615B-DC16-4348-82D2-C9373C3C4F78}" destId="{5EC014FB-2752-45FC-B4FB-BC682DB0DF55}" srcOrd="1" destOrd="0" presId="urn:microsoft.com/office/officeart/2009/3/layout/HorizontalOrganizationChart"/>
    <dgm:cxn modelId="{67E64CAC-5B90-B340-B7A8-FA7E3E66379C}" type="presParOf" srcId="{5FAA615B-DC16-4348-82D2-C9373C3C4F78}" destId="{D02FB056-A174-4D5C-9C73-95B0EC7AA2FF}" srcOrd="2" destOrd="0" presId="urn:microsoft.com/office/officeart/2009/3/layout/HorizontalOrganizationChart"/>
    <dgm:cxn modelId="{5FA02A35-F63D-2641-850A-D8D924D46772}" type="presParOf" srcId="{74665B56-3489-4B7B-8C2F-4B391FA5B662}" destId="{F8EC3B1E-A9B8-4FB8-A11C-2039A281B58E}" srcOrd="4" destOrd="0" presId="urn:microsoft.com/office/officeart/2009/3/layout/HorizontalOrganizationChart"/>
    <dgm:cxn modelId="{48DE90C0-BFF2-6846-84CC-036D9857BDB2}" type="presParOf" srcId="{74665B56-3489-4B7B-8C2F-4B391FA5B662}" destId="{CEF1A4F8-AADA-4C26-A834-83F9646D7BC3}" srcOrd="5" destOrd="0" presId="urn:microsoft.com/office/officeart/2009/3/layout/HorizontalOrganizationChart"/>
    <dgm:cxn modelId="{54D97380-9F31-2443-91C3-4DDC6A1E9C9A}" type="presParOf" srcId="{CEF1A4F8-AADA-4C26-A834-83F9646D7BC3}" destId="{6A92947D-DA64-45E9-AE22-BCA8C4400D7C}" srcOrd="0" destOrd="0" presId="urn:microsoft.com/office/officeart/2009/3/layout/HorizontalOrganizationChart"/>
    <dgm:cxn modelId="{4A1C2A7E-103D-2C4D-86BB-4686B7C7DB2A}" type="presParOf" srcId="{6A92947D-DA64-45E9-AE22-BCA8C4400D7C}" destId="{E428E084-A439-4806-8E07-16103A28398B}" srcOrd="0" destOrd="0" presId="urn:microsoft.com/office/officeart/2009/3/layout/HorizontalOrganizationChart"/>
    <dgm:cxn modelId="{1C8618A7-E6E6-A64E-9955-F6D42F5AB38E}" type="presParOf" srcId="{6A92947D-DA64-45E9-AE22-BCA8C4400D7C}" destId="{714595F7-23ED-4963-857D-6695EA903CEE}" srcOrd="1" destOrd="0" presId="urn:microsoft.com/office/officeart/2009/3/layout/HorizontalOrganizationChart"/>
    <dgm:cxn modelId="{B63E795A-3A30-664F-9FFF-F9FF2A600E46}" type="presParOf" srcId="{CEF1A4F8-AADA-4C26-A834-83F9646D7BC3}" destId="{A2D7B519-29CE-4674-9E83-2AFFE1A12A95}" srcOrd="1" destOrd="0" presId="urn:microsoft.com/office/officeart/2009/3/layout/HorizontalOrganizationChart"/>
    <dgm:cxn modelId="{079CDC81-9069-DA47-95DE-42CD9E92BFE2}" type="presParOf" srcId="{CEF1A4F8-AADA-4C26-A834-83F9646D7BC3}" destId="{0E2CF08D-2DBB-4A16-81A5-CA3DF4B10868}" srcOrd="2" destOrd="0" presId="urn:microsoft.com/office/officeart/2009/3/layout/HorizontalOrganizationChart"/>
    <dgm:cxn modelId="{F44E3C69-3D5A-F845-8EB6-645F991963A1}" type="presParOf" srcId="{B0A62C8A-E838-4B13-BBF0-FFBEAB2B7AE4}" destId="{181C138C-F966-48EC-919C-3332BCE3E2B5}" srcOrd="2" destOrd="0" presId="urn:microsoft.com/office/officeart/2009/3/layout/HorizontalOrganizationChart"/>
    <dgm:cxn modelId="{E9AC7974-9410-C342-9BE9-1FADF70D6C63}" type="presParOf" srcId="{85F0F609-123D-43F0-930C-F98954E6966E}" destId="{EB28645F-E7E1-4719-9DF6-5EB285A57CAF}" srcOrd="3" destOrd="0" presId="urn:microsoft.com/office/officeart/2009/3/layout/HorizontalOrganizationChart"/>
    <dgm:cxn modelId="{48223FF4-EA94-C145-8DFF-DE1B16A2AB8D}" type="presParOf" srcId="{EB28645F-E7E1-4719-9DF6-5EB285A57CAF}" destId="{1EE6366B-817C-48AA-80CB-BCAEEC65629C}" srcOrd="0" destOrd="0" presId="urn:microsoft.com/office/officeart/2009/3/layout/HorizontalOrganizationChart"/>
    <dgm:cxn modelId="{461BA3C4-0ACF-A44A-AC44-AD38618B4FFE}" type="presParOf" srcId="{1EE6366B-817C-48AA-80CB-BCAEEC65629C}" destId="{8CB44B07-2348-41C4-8E99-ABA0B7F58AEE}" srcOrd="0" destOrd="0" presId="urn:microsoft.com/office/officeart/2009/3/layout/HorizontalOrganizationChart"/>
    <dgm:cxn modelId="{C5254F3A-79BF-2D46-8AB1-AF24FCDB636F}" type="presParOf" srcId="{1EE6366B-817C-48AA-80CB-BCAEEC65629C}" destId="{94FE4CDE-642E-4732-9815-18728803FAD2}" srcOrd="1" destOrd="0" presId="urn:microsoft.com/office/officeart/2009/3/layout/HorizontalOrganizationChart"/>
    <dgm:cxn modelId="{B4A2E7DC-C1EA-EB46-A6CA-6D52D8E6DC5A}" type="presParOf" srcId="{EB28645F-E7E1-4719-9DF6-5EB285A57CAF}" destId="{B255F193-DCF0-468C-88A1-73CBAA7FA4E3}" srcOrd="1" destOrd="0" presId="urn:microsoft.com/office/officeart/2009/3/layout/HorizontalOrganizationChart"/>
    <dgm:cxn modelId="{64BD553B-3FD6-FC49-A6F2-67EF91211C15}" type="presParOf" srcId="{B255F193-DCF0-468C-88A1-73CBAA7FA4E3}" destId="{DEF900BF-79F2-4345-A449-EBE90F87A58B}" srcOrd="0" destOrd="0" presId="urn:microsoft.com/office/officeart/2009/3/layout/HorizontalOrganizationChart"/>
    <dgm:cxn modelId="{7F01BC14-3465-784A-BBFF-84538A169262}" type="presParOf" srcId="{B255F193-DCF0-468C-88A1-73CBAA7FA4E3}" destId="{D7961190-5826-4070-965C-66711A2B1B59}" srcOrd="1" destOrd="0" presId="urn:microsoft.com/office/officeart/2009/3/layout/HorizontalOrganizationChart"/>
    <dgm:cxn modelId="{22CCA41E-C9C3-E74D-B8CC-2D8A58582CF8}" type="presParOf" srcId="{D7961190-5826-4070-965C-66711A2B1B59}" destId="{380807EB-3105-4A4D-AD8E-A43971B895BC}" srcOrd="0" destOrd="0" presId="urn:microsoft.com/office/officeart/2009/3/layout/HorizontalOrganizationChart"/>
    <dgm:cxn modelId="{5DF9F1E0-2619-084B-8ACD-A824E79035F5}" type="presParOf" srcId="{380807EB-3105-4A4D-AD8E-A43971B895BC}" destId="{98945378-A21B-4280-80CB-A676109851FB}" srcOrd="0" destOrd="0" presId="urn:microsoft.com/office/officeart/2009/3/layout/HorizontalOrganizationChart"/>
    <dgm:cxn modelId="{27EB1AE1-6E93-7745-BB69-0FB4800351BC}" type="presParOf" srcId="{380807EB-3105-4A4D-AD8E-A43971B895BC}" destId="{2A06C30F-5AF7-4545-81D9-6B1C232AFA00}" srcOrd="1" destOrd="0" presId="urn:microsoft.com/office/officeart/2009/3/layout/HorizontalOrganizationChart"/>
    <dgm:cxn modelId="{D10252C6-395D-EF44-88B2-683DFB69A8FD}" type="presParOf" srcId="{D7961190-5826-4070-965C-66711A2B1B59}" destId="{C6BE3C6D-B936-48D5-8601-471AF653DC80}" srcOrd="1" destOrd="0" presId="urn:microsoft.com/office/officeart/2009/3/layout/HorizontalOrganizationChart"/>
    <dgm:cxn modelId="{D4B3B669-49C2-CE4F-9C52-2DA46831E268}" type="presParOf" srcId="{D7961190-5826-4070-965C-66711A2B1B59}" destId="{FE3D7033-C911-45FA-A028-1FA9B324B6D2}" srcOrd="2" destOrd="0" presId="urn:microsoft.com/office/officeart/2009/3/layout/HorizontalOrganizationChart"/>
    <dgm:cxn modelId="{000C6A58-51B8-4042-8C98-1F76C71DC1B7}" type="presParOf" srcId="{B255F193-DCF0-468C-88A1-73CBAA7FA4E3}" destId="{0FDCB297-A5A3-46E2-B6FC-377DF77C79DC}" srcOrd="2" destOrd="0" presId="urn:microsoft.com/office/officeart/2009/3/layout/HorizontalOrganizationChart"/>
    <dgm:cxn modelId="{90F3CF23-B46E-8046-BCC5-B318F99D08D9}" type="presParOf" srcId="{B255F193-DCF0-468C-88A1-73CBAA7FA4E3}" destId="{5A1989DD-6CF5-414F-ACDC-3E1DDB7FD441}" srcOrd="3" destOrd="0" presId="urn:microsoft.com/office/officeart/2009/3/layout/HorizontalOrganizationChart"/>
    <dgm:cxn modelId="{D7CFBE2C-4DDE-C04B-B568-565AFD07AB49}" type="presParOf" srcId="{5A1989DD-6CF5-414F-ACDC-3E1DDB7FD441}" destId="{AE0E906B-E240-470F-81B2-871DC6A752C2}" srcOrd="0" destOrd="0" presId="urn:microsoft.com/office/officeart/2009/3/layout/HorizontalOrganizationChart"/>
    <dgm:cxn modelId="{CB5B9C99-E40B-464E-8267-8C5975308227}" type="presParOf" srcId="{AE0E906B-E240-470F-81B2-871DC6A752C2}" destId="{24AC995D-2AFF-4E2F-952C-36FC2E97479E}" srcOrd="0" destOrd="0" presId="urn:microsoft.com/office/officeart/2009/3/layout/HorizontalOrganizationChart"/>
    <dgm:cxn modelId="{6E28E28E-4088-EE4B-8DE1-23D231BBFB25}" type="presParOf" srcId="{AE0E906B-E240-470F-81B2-871DC6A752C2}" destId="{D8B7D98D-F1C0-4FF6-B77A-6D5CDB22B6C7}" srcOrd="1" destOrd="0" presId="urn:microsoft.com/office/officeart/2009/3/layout/HorizontalOrganizationChart"/>
    <dgm:cxn modelId="{6754BCED-6F9C-524E-9F9B-6683556BED71}" type="presParOf" srcId="{5A1989DD-6CF5-414F-ACDC-3E1DDB7FD441}" destId="{7DA59E1E-D6BC-4789-B71B-8CD12F7CAF2E}" srcOrd="1" destOrd="0" presId="urn:microsoft.com/office/officeart/2009/3/layout/HorizontalOrganizationChart"/>
    <dgm:cxn modelId="{E89D4C5C-5B82-7144-A44B-BE8EA29E105E}" type="presParOf" srcId="{5A1989DD-6CF5-414F-ACDC-3E1DDB7FD441}" destId="{001ADE7C-AE6A-41D1-875E-BC74CE07B7FB}" srcOrd="2" destOrd="0" presId="urn:microsoft.com/office/officeart/2009/3/layout/HorizontalOrganizationChart"/>
    <dgm:cxn modelId="{C0CB4816-5F98-E14F-B9BC-71EA3AC60A4A}" type="presParOf" srcId="{B255F193-DCF0-468C-88A1-73CBAA7FA4E3}" destId="{C5E4A43A-4C64-479C-A73F-1B744FCCC1E7}" srcOrd="4" destOrd="0" presId="urn:microsoft.com/office/officeart/2009/3/layout/HorizontalOrganizationChart"/>
    <dgm:cxn modelId="{340105AD-2F1A-8F4D-BD96-DE5BDAE1115F}" type="presParOf" srcId="{B255F193-DCF0-468C-88A1-73CBAA7FA4E3}" destId="{06F46E09-D26D-495B-961E-BE6C50452264}" srcOrd="5" destOrd="0" presId="urn:microsoft.com/office/officeart/2009/3/layout/HorizontalOrganizationChart"/>
    <dgm:cxn modelId="{6D9DAD62-DD65-7E45-8C11-76EB526A0354}" type="presParOf" srcId="{06F46E09-D26D-495B-961E-BE6C50452264}" destId="{52749EAE-D1A5-46E0-A887-B8BCAC5A86A6}" srcOrd="0" destOrd="0" presId="urn:microsoft.com/office/officeart/2009/3/layout/HorizontalOrganizationChart"/>
    <dgm:cxn modelId="{42BAEA29-6AD8-974F-A058-F3713922526E}" type="presParOf" srcId="{52749EAE-D1A5-46E0-A887-B8BCAC5A86A6}" destId="{2BFDDE3E-6B5B-44E7-A9C6-AB953461AC9B}" srcOrd="0" destOrd="0" presId="urn:microsoft.com/office/officeart/2009/3/layout/HorizontalOrganizationChart"/>
    <dgm:cxn modelId="{B4487374-9628-D344-B1CE-2981A1CA2B33}" type="presParOf" srcId="{52749EAE-D1A5-46E0-A887-B8BCAC5A86A6}" destId="{11B3544C-7D83-4340-A550-520493D88422}" srcOrd="1" destOrd="0" presId="urn:microsoft.com/office/officeart/2009/3/layout/HorizontalOrganizationChart"/>
    <dgm:cxn modelId="{AFB5D593-6A91-3745-96C3-3E873E552099}" type="presParOf" srcId="{06F46E09-D26D-495B-961E-BE6C50452264}" destId="{38B136BE-382C-4F21-B698-BE3A1CB2C0FF}" srcOrd="1" destOrd="0" presId="urn:microsoft.com/office/officeart/2009/3/layout/HorizontalOrganizationChart"/>
    <dgm:cxn modelId="{ACB5071F-51DB-6C43-8DBB-188010B600D2}" type="presParOf" srcId="{06F46E09-D26D-495B-961E-BE6C50452264}" destId="{6B6D3E19-B651-4BB4-8075-11FF9779FED3}" srcOrd="2" destOrd="0" presId="urn:microsoft.com/office/officeart/2009/3/layout/HorizontalOrganizationChart"/>
    <dgm:cxn modelId="{959D7EAF-582F-5B48-9E1E-9373B555271E}" type="presParOf" srcId="{EB28645F-E7E1-4719-9DF6-5EB285A57CAF}" destId="{7C354D48-C037-4106-998A-9DE8F18DB639}" srcOrd="2" destOrd="0" presId="urn:microsoft.com/office/officeart/2009/3/layout/HorizontalOrganizationChart"/>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90AF87-5B27-489E-950E-1A9CB3CD6A1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A1B966AA-5059-4073-81E7-6AAB1C46E0CF}">
      <dgm:prSet phldrT="[Text]"/>
      <dgm:spPr/>
      <dgm:t>
        <a:bodyPr/>
        <a:lstStyle/>
        <a:p>
          <a:r>
            <a:rPr lang="en-GB">
              <a:latin typeface="Times New Roman" panose="02020603050405020304" pitchFamily="18" charset="0"/>
              <a:cs typeface="Times New Roman" panose="02020603050405020304" pitchFamily="18" charset="0"/>
            </a:rPr>
            <a:t>SRL Theory</a:t>
          </a:r>
        </a:p>
      </dgm:t>
    </dgm:pt>
    <dgm:pt modelId="{D773190B-62C3-4D4D-AA55-E656F43E3766}" type="parTrans" cxnId="{188E6651-DB11-4B2D-B1DF-703097AABFEE}">
      <dgm:prSet/>
      <dgm:spPr/>
      <dgm:t>
        <a:bodyPr/>
        <a:lstStyle/>
        <a:p>
          <a:endParaRPr lang="en-GB">
            <a:latin typeface="Times New Roman" panose="02020603050405020304" pitchFamily="18" charset="0"/>
            <a:cs typeface="Times New Roman" panose="02020603050405020304" pitchFamily="18" charset="0"/>
          </a:endParaRPr>
        </a:p>
      </dgm:t>
    </dgm:pt>
    <dgm:pt modelId="{496592EF-F78F-428D-94B9-7699972E4BD7}" type="sibTrans" cxnId="{188E6651-DB11-4B2D-B1DF-703097AABFEE}">
      <dgm:prSet/>
      <dgm:spPr/>
      <dgm:t>
        <a:bodyPr/>
        <a:lstStyle/>
        <a:p>
          <a:endParaRPr lang="en-GB">
            <a:latin typeface="Times New Roman" panose="02020603050405020304" pitchFamily="18" charset="0"/>
            <a:cs typeface="Times New Roman" panose="02020603050405020304" pitchFamily="18" charset="0"/>
          </a:endParaRPr>
        </a:p>
      </dgm:t>
    </dgm:pt>
    <dgm:pt modelId="{06857BBF-693E-4161-82E7-058EE9AA21A8}">
      <dgm:prSet phldrT="[Text]" custT="1"/>
      <dgm:spPr/>
      <dgm:t>
        <a:bodyPr/>
        <a:lstStyle/>
        <a:p>
          <a:r>
            <a:rPr lang="en-GB" sz="1200">
              <a:latin typeface="Times New Roman" panose="02020603050405020304" pitchFamily="18" charset="0"/>
              <a:cs typeface="Times New Roman" panose="02020603050405020304" pitchFamily="18" charset="0"/>
            </a:rPr>
            <a:t>Cyclical feedback loop</a:t>
          </a:r>
        </a:p>
      </dgm:t>
    </dgm:pt>
    <dgm:pt modelId="{77F0A116-355A-4A35-A364-4DF5CCD88E1F}" type="parTrans" cxnId="{745C9F0A-78D0-41EF-9AAA-E560AC1BEA79}">
      <dgm:prSet/>
      <dgm:spPr/>
      <dgm:t>
        <a:bodyPr/>
        <a:lstStyle/>
        <a:p>
          <a:endParaRPr lang="en-GB">
            <a:latin typeface="Times New Roman" panose="02020603050405020304" pitchFamily="18" charset="0"/>
            <a:cs typeface="Times New Roman" panose="02020603050405020304" pitchFamily="18" charset="0"/>
          </a:endParaRPr>
        </a:p>
      </dgm:t>
    </dgm:pt>
    <dgm:pt modelId="{788110F1-EDD0-4196-AEB6-99E616E80712}" type="sibTrans" cxnId="{745C9F0A-78D0-41EF-9AAA-E560AC1BEA79}">
      <dgm:prSet/>
      <dgm:spPr/>
      <dgm:t>
        <a:bodyPr/>
        <a:lstStyle/>
        <a:p>
          <a:endParaRPr lang="en-GB">
            <a:latin typeface="Times New Roman" panose="02020603050405020304" pitchFamily="18" charset="0"/>
            <a:cs typeface="Times New Roman" panose="02020603050405020304" pitchFamily="18" charset="0"/>
          </a:endParaRPr>
        </a:p>
      </dgm:t>
    </dgm:pt>
    <dgm:pt modelId="{52899B11-B28E-47F2-A38C-C96FC6CD84C0}">
      <dgm:prSet phldrT="[Text]" custT="1"/>
      <dgm:spPr/>
      <dgm:t>
        <a:bodyPr/>
        <a:lstStyle/>
        <a:p>
          <a:r>
            <a:rPr lang="en-GB" sz="1200">
              <a:latin typeface="Times New Roman" panose="02020603050405020304" pitchFamily="18" charset="0"/>
              <a:cs typeface="Times New Roman" panose="02020603050405020304" pitchFamily="18" charset="0"/>
            </a:rPr>
            <a:t>Self-monitoring</a:t>
          </a:r>
        </a:p>
      </dgm:t>
    </dgm:pt>
    <dgm:pt modelId="{69BD3467-FEDD-4D2A-BFAE-56C03B8B35FE}" type="parTrans" cxnId="{DC7A1AD7-761B-4267-AE63-B174A8D809A7}">
      <dgm:prSet/>
      <dgm:spPr/>
      <dgm:t>
        <a:bodyPr/>
        <a:lstStyle/>
        <a:p>
          <a:endParaRPr lang="en-GB">
            <a:latin typeface="Times New Roman" panose="02020603050405020304" pitchFamily="18" charset="0"/>
            <a:cs typeface="Times New Roman" panose="02020603050405020304" pitchFamily="18" charset="0"/>
          </a:endParaRPr>
        </a:p>
      </dgm:t>
    </dgm:pt>
    <dgm:pt modelId="{B4BEA937-AEA4-464A-800C-BB02369F50E4}" type="sibTrans" cxnId="{DC7A1AD7-761B-4267-AE63-B174A8D809A7}">
      <dgm:prSet/>
      <dgm:spPr/>
      <dgm:t>
        <a:bodyPr/>
        <a:lstStyle/>
        <a:p>
          <a:endParaRPr lang="en-GB">
            <a:latin typeface="Times New Roman" panose="02020603050405020304" pitchFamily="18" charset="0"/>
            <a:cs typeface="Times New Roman" panose="02020603050405020304" pitchFamily="18" charset="0"/>
          </a:endParaRPr>
        </a:p>
      </dgm:t>
    </dgm:pt>
    <dgm:pt modelId="{480B0D51-547A-489C-B1A2-FF6A90774B1A}">
      <dgm:prSet phldrT="[Text]" custT="1"/>
      <dgm:spPr/>
      <dgm:t>
        <a:bodyPr/>
        <a:lstStyle/>
        <a:p>
          <a:r>
            <a:rPr lang="en-GB" sz="1200">
              <a:latin typeface="Times New Roman" panose="02020603050405020304" pitchFamily="18" charset="0"/>
              <a:cs typeface="Times New Roman" panose="02020603050405020304" pitchFamily="18" charset="0"/>
            </a:rPr>
            <a:t>Goal directed behaviour</a:t>
          </a:r>
        </a:p>
      </dgm:t>
    </dgm:pt>
    <dgm:pt modelId="{0A655AA6-7B0D-48D3-B8EE-6EB2961E3CC7}" type="parTrans" cxnId="{16F04B97-6310-4CDB-A428-95719B0F5713}">
      <dgm:prSet/>
      <dgm:spPr/>
      <dgm:t>
        <a:bodyPr/>
        <a:lstStyle/>
        <a:p>
          <a:endParaRPr lang="en-GB">
            <a:latin typeface="Times New Roman" panose="02020603050405020304" pitchFamily="18" charset="0"/>
            <a:cs typeface="Times New Roman" panose="02020603050405020304" pitchFamily="18" charset="0"/>
          </a:endParaRPr>
        </a:p>
      </dgm:t>
    </dgm:pt>
    <dgm:pt modelId="{B3A2358E-7FDD-46AE-A396-7D955C69DF10}" type="sibTrans" cxnId="{16F04B97-6310-4CDB-A428-95719B0F5713}">
      <dgm:prSet/>
      <dgm:spPr/>
      <dgm:t>
        <a:bodyPr/>
        <a:lstStyle/>
        <a:p>
          <a:endParaRPr lang="en-GB">
            <a:latin typeface="Times New Roman" panose="02020603050405020304" pitchFamily="18" charset="0"/>
            <a:cs typeface="Times New Roman" panose="02020603050405020304" pitchFamily="18" charset="0"/>
          </a:endParaRPr>
        </a:p>
      </dgm:t>
    </dgm:pt>
    <dgm:pt modelId="{F766900F-30FB-493D-A60A-4BDC2174B87B}">
      <dgm:prSet phldrT="[Text]" custT="1"/>
      <dgm:spPr/>
      <dgm:t>
        <a:bodyPr/>
        <a:lstStyle/>
        <a:p>
          <a:r>
            <a:rPr lang="en-GB" sz="1200">
              <a:latin typeface="Times New Roman" panose="02020603050405020304" pitchFamily="18" charset="0"/>
              <a:cs typeface="Times New Roman" panose="02020603050405020304" pitchFamily="18" charset="0"/>
            </a:rPr>
            <a:t>Motivation</a:t>
          </a:r>
        </a:p>
      </dgm:t>
    </dgm:pt>
    <dgm:pt modelId="{B0386744-B4E9-44AC-B946-2BE480B08CC6}" type="parTrans" cxnId="{B80005ED-4C4B-4FFC-B9A7-A54320EDE39F}">
      <dgm:prSet/>
      <dgm:spPr/>
      <dgm:t>
        <a:bodyPr/>
        <a:lstStyle/>
        <a:p>
          <a:endParaRPr lang="en-GB">
            <a:latin typeface="Times New Roman" panose="02020603050405020304" pitchFamily="18" charset="0"/>
            <a:cs typeface="Times New Roman" panose="02020603050405020304" pitchFamily="18" charset="0"/>
          </a:endParaRPr>
        </a:p>
      </dgm:t>
    </dgm:pt>
    <dgm:pt modelId="{A7E237B1-2FD8-4988-B36C-DE9A8A9D689C}" type="sibTrans" cxnId="{B80005ED-4C4B-4FFC-B9A7-A54320EDE39F}">
      <dgm:prSet/>
      <dgm:spPr/>
      <dgm:t>
        <a:bodyPr/>
        <a:lstStyle/>
        <a:p>
          <a:endParaRPr lang="en-GB">
            <a:latin typeface="Times New Roman" panose="02020603050405020304" pitchFamily="18" charset="0"/>
            <a:cs typeface="Times New Roman" panose="02020603050405020304" pitchFamily="18" charset="0"/>
          </a:endParaRPr>
        </a:p>
      </dgm:t>
    </dgm:pt>
    <dgm:pt modelId="{EE1B5A4F-1804-4B91-9031-8EB4CF45712B}" type="pres">
      <dgm:prSet presAssocID="{4390AF87-5B27-489E-950E-1A9CB3CD6A1C}" presName="Name0" presStyleCnt="0">
        <dgm:presLayoutVars>
          <dgm:chMax val="1"/>
          <dgm:dir/>
          <dgm:animLvl val="ctr"/>
          <dgm:resizeHandles val="exact"/>
        </dgm:presLayoutVars>
      </dgm:prSet>
      <dgm:spPr/>
      <dgm:t>
        <a:bodyPr/>
        <a:lstStyle/>
        <a:p>
          <a:endParaRPr lang="en-GB"/>
        </a:p>
      </dgm:t>
    </dgm:pt>
    <dgm:pt modelId="{484BCABE-A9DC-44F4-91C6-1E5B21FD0430}" type="pres">
      <dgm:prSet presAssocID="{A1B966AA-5059-4073-81E7-6AAB1C46E0CF}" presName="centerShape" presStyleLbl="node0" presStyleIdx="0" presStyleCnt="1"/>
      <dgm:spPr/>
      <dgm:t>
        <a:bodyPr/>
        <a:lstStyle/>
        <a:p>
          <a:endParaRPr lang="en-GB"/>
        </a:p>
      </dgm:t>
    </dgm:pt>
    <dgm:pt modelId="{204EF7C6-CC98-4C53-A39D-39C73E07F5A2}" type="pres">
      <dgm:prSet presAssocID="{06857BBF-693E-4161-82E7-058EE9AA21A8}" presName="node" presStyleLbl="node1" presStyleIdx="0" presStyleCnt="4" custScaleX="126262" custScaleY="112175">
        <dgm:presLayoutVars>
          <dgm:bulletEnabled val="1"/>
        </dgm:presLayoutVars>
      </dgm:prSet>
      <dgm:spPr/>
      <dgm:t>
        <a:bodyPr/>
        <a:lstStyle/>
        <a:p>
          <a:endParaRPr lang="en-GB"/>
        </a:p>
      </dgm:t>
    </dgm:pt>
    <dgm:pt modelId="{0197B764-1592-4570-BFA1-AD34E6CEAB11}" type="pres">
      <dgm:prSet presAssocID="{06857BBF-693E-4161-82E7-058EE9AA21A8}" presName="dummy" presStyleCnt="0"/>
      <dgm:spPr/>
    </dgm:pt>
    <dgm:pt modelId="{341ABB9B-FC82-47C1-8FCB-B149877B263B}" type="pres">
      <dgm:prSet presAssocID="{788110F1-EDD0-4196-AEB6-99E616E80712}" presName="sibTrans" presStyleLbl="sibTrans2D1" presStyleIdx="0" presStyleCnt="4"/>
      <dgm:spPr/>
      <dgm:t>
        <a:bodyPr/>
        <a:lstStyle/>
        <a:p>
          <a:endParaRPr lang="en-GB"/>
        </a:p>
      </dgm:t>
    </dgm:pt>
    <dgm:pt modelId="{9540A55A-6AE5-452A-8267-746FF77B10B6}" type="pres">
      <dgm:prSet presAssocID="{52899B11-B28E-47F2-A38C-C96FC6CD84C0}" presName="node" presStyleLbl="node1" presStyleIdx="1" presStyleCnt="4" custScaleX="126262" custScaleY="112175">
        <dgm:presLayoutVars>
          <dgm:bulletEnabled val="1"/>
        </dgm:presLayoutVars>
      </dgm:prSet>
      <dgm:spPr/>
      <dgm:t>
        <a:bodyPr/>
        <a:lstStyle/>
        <a:p>
          <a:endParaRPr lang="en-GB"/>
        </a:p>
      </dgm:t>
    </dgm:pt>
    <dgm:pt modelId="{4611AC37-1D39-4CCB-9EFB-D3B57B3EB395}" type="pres">
      <dgm:prSet presAssocID="{52899B11-B28E-47F2-A38C-C96FC6CD84C0}" presName="dummy" presStyleCnt="0"/>
      <dgm:spPr/>
    </dgm:pt>
    <dgm:pt modelId="{8C5C20FA-CE6A-4A2E-B5C3-3A2A4C851E7B}" type="pres">
      <dgm:prSet presAssocID="{B4BEA937-AEA4-464A-800C-BB02369F50E4}" presName="sibTrans" presStyleLbl="sibTrans2D1" presStyleIdx="1" presStyleCnt="4"/>
      <dgm:spPr/>
      <dgm:t>
        <a:bodyPr/>
        <a:lstStyle/>
        <a:p>
          <a:endParaRPr lang="en-GB"/>
        </a:p>
      </dgm:t>
    </dgm:pt>
    <dgm:pt modelId="{ACE6084C-EDBD-4621-9810-90DF8400CBE1}" type="pres">
      <dgm:prSet presAssocID="{480B0D51-547A-489C-B1A2-FF6A90774B1A}" presName="node" presStyleLbl="node1" presStyleIdx="2" presStyleCnt="4" custScaleX="126262" custScaleY="112175">
        <dgm:presLayoutVars>
          <dgm:bulletEnabled val="1"/>
        </dgm:presLayoutVars>
      </dgm:prSet>
      <dgm:spPr/>
      <dgm:t>
        <a:bodyPr/>
        <a:lstStyle/>
        <a:p>
          <a:endParaRPr lang="en-GB"/>
        </a:p>
      </dgm:t>
    </dgm:pt>
    <dgm:pt modelId="{AAEBA038-E52E-44AB-9804-DE28108C76F3}" type="pres">
      <dgm:prSet presAssocID="{480B0D51-547A-489C-B1A2-FF6A90774B1A}" presName="dummy" presStyleCnt="0"/>
      <dgm:spPr/>
    </dgm:pt>
    <dgm:pt modelId="{68CBCD79-DACA-459D-8DB8-58C7CC4E16D3}" type="pres">
      <dgm:prSet presAssocID="{B3A2358E-7FDD-46AE-A396-7D955C69DF10}" presName="sibTrans" presStyleLbl="sibTrans2D1" presStyleIdx="2" presStyleCnt="4"/>
      <dgm:spPr/>
      <dgm:t>
        <a:bodyPr/>
        <a:lstStyle/>
        <a:p>
          <a:endParaRPr lang="en-GB"/>
        </a:p>
      </dgm:t>
    </dgm:pt>
    <dgm:pt modelId="{D2D40AB3-2D6B-4F13-B920-FFB38D3E54C0}" type="pres">
      <dgm:prSet presAssocID="{F766900F-30FB-493D-A60A-4BDC2174B87B}" presName="node" presStyleLbl="node1" presStyleIdx="3" presStyleCnt="4" custScaleX="126262" custScaleY="112175">
        <dgm:presLayoutVars>
          <dgm:bulletEnabled val="1"/>
        </dgm:presLayoutVars>
      </dgm:prSet>
      <dgm:spPr/>
      <dgm:t>
        <a:bodyPr/>
        <a:lstStyle/>
        <a:p>
          <a:endParaRPr lang="en-GB"/>
        </a:p>
      </dgm:t>
    </dgm:pt>
    <dgm:pt modelId="{06402132-26E2-4815-AD70-1C4B668EC506}" type="pres">
      <dgm:prSet presAssocID="{F766900F-30FB-493D-A60A-4BDC2174B87B}" presName="dummy" presStyleCnt="0"/>
      <dgm:spPr/>
    </dgm:pt>
    <dgm:pt modelId="{E5194334-E271-464A-B7BF-821C7FBC1EE5}" type="pres">
      <dgm:prSet presAssocID="{A7E237B1-2FD8-4988-B36C-DE9A8A9D689C}" presName="sibTrans" presStyleLbl="sibTrans2D1" presStyleIdx="3" presStyleCnt="4"/>
      <dgm:spPr/>
      <dgm:t>
        <a:bodyPr/>
        <a:lstStyle/>
        <a:p>
          <a:endParaRPr lang="en-GB"/>
        </a:p>
      </dgm:t>
    </dgm:pt>
  </dgm:ptLst>
  <dgm:cxnLst>
    <dgm:cxn modelId="{BDFB21E8-3B52-9B44-A2FA-6B6B15038C2E}" type="presOf" srcId="{52899B11-B28E-47F2-A38C-C96FC6CD84C0}" destId="{9540A55A-6AE5-452A-8267-746FF77B10B6}" srcOrd="0" destOrd="0" presId="urn:microsoft.com/office/officeart/2005/8/layout/radial6"/>
    <dgm:cxn modelId="{B80005ED-4C4B-4FFC-B9A7-A54320EDE39F}" srcId="{A1B966AA-5059-4073-81E7-6AAB1C46E0CF}" destId="{F766900F-30FB-493D-A60A-4BDC2174B87B}" srcOrd="3" destOrd="0" parTransId="{B0386744-B4E9-44AC-B946-2BE480B08CC6}" sibTransId="{A7E237B1-2FD8-4988-B36C-DE9A8A9D689C}"/>
    <dgm:cxn modelId="{B1E15586-72DE-B84A-862F-3BE670609B1F}" type="presOf" srcId="{A7E237B1-2FD8-4988-B36C-DE9A8A9D689C}" destId="{E5194334-E271-464A-B7BF-821C7FBC1EE5}" srcOrd="0" destOrd="0" presId="urn:microsoft.com/office/officeart/2005/8/layout/radial6"/>
    <dgm:cxn modelId="{DC7A1AD7-761B-4267-AE63-B174A8D809A7}" srcId="{A1B966AA-5059-4073-81E7-6AAB1C46E0CF}" destId="{52899B11-B28E-47F2-A38C-C96FC6CD84C0}" srcOrd="1" destOrd="0" parTransId="{69BD3467-FEDD-4D2A-BFAE-56C03B8B35FE}" sibTransId="{B4BEA937-AEA4-464A-800C-BB02369F50E4}"/>
    <dgm:cxn modelId="{10D4CE2E-8CDB-3344-8D7A-E7FEFC7F4776}" type="presOf" srcId="{B3A2358E-7FDD-46AE-A396-7D955C69DF10}" destId="{68CBCD79-DACA-459D-8DB8-58C7CC4E16D3}" srcOrd="0" destOrd="0" presId="urn:microsoft.com/office/officeart/2005/8/layout/radial6"/>
    <dgm:cxn modelId="{16F04B97-6310-4CDB-A428-95719B0F5713}" srcId="{A1B966AA-5059-4073-81E7-6AAB1C46E0CF}" destId="{480B0D51-547A-489C-B1A2-FF6A90774B1A}" srcOrd="2" destOrd="0" parTransId="{0A655AA6-7B0D-48D3-B8EE-6EB2961E3CC7}" sibTransId="{B3A2358E-7FDD-46AE-A396-7D955C69DF10}"/>
    <dgm:cxn modelId="{0212F6E8-A198-6647-AE3D-9637A62AAC8F}" type="presOf" srcId="{A1B966AA-5059-4073-81E7-6AAB1C46E0CF}" destId="{484BCABE-A9DC-44F4-91C6-1E5B21FD0430}" srcOrd="0" destOrd="0" presId="urn:microsoft.com/office/officeart/2005/8/layout/radial6"/>
    <dgm:cxn modelId="{E435740F-5AC1-5D46-AC49-E21433BE0E45}" type="presOf" srcId="{788110F1-EDD0-4196-AEB6-99E616E80712}" destId="{341ABB9B-FC82-47C1-8FCB-B149877B263B}" srcOrd="0" destOrd="0" presId="urn:microsoft.com/office/officeart/2005/8/layout/radial6"/>
    <dgm:cxn modelId="{75ECA328-4195-E148-BBE4-0EF4250F4626}" type="presOf" srcId="{B4BEA937-AEA4-464A-800C-BB02369F50E4}" destId="{8C5C20FA-CE6A-4A2E-B5C3-3A2A4C851E7B}" srcOrd="0" destOrd="0" presId="urn:microsoft.com/office/officeart/2005/8/layout/radial6"/>
    <dgm:cxn modelId="{6AAC6805-6A39-B940-A2E6-8F33C53EEC03}" type="presOf" srcId="{F766900F-30FB-493D-A60A-4BDC2174B87B}" destId="{D2D40AB3-2D6B-4F13-B920-FFB38D3E54C0}" srcOrd="0" destOrd="0" presId="urn:microsoft.com/office/officeart/2005/8/layout/radial6"/>
    <dgm:cxn modelId="{63B32E15-37A9-D14B-B873-9E509A5F6D23}" type="presOf" srcId="{4390AF87-5B27-489E-950E-1A9CB3CD6A1C}" destId="{EE1B5A4F-1804-4B91-9031-8EB4CF45712B}" srcOrd="0" destOrd="0" presId="urn:microsoft.com/office/officeart/2005/8/layout/radial6"/>
    <dgm:cxn modelId="{1EEFB7EF-FAEC-2A4E-8052-1FD3A005915A}" type="presOf" srcId="{480B0D51-547A-489C-B1A2-FF6A90774B1A}" destId="{ACE6084C-EDBD-4621-9810-90DF8400CBE1}" srcOrd="0" destOrd="0" presId="urn:microsoft.com/office/officeart/2005/8/layout/radial6"/>
    <dgm:cxn modelId="{745C9F0A-78D0-41EF-9AAA-E560AC1BEA79}" srcId="{A1B966AA-5059-4073-81E7-6AAB1C46E0CF}" destId="{06857BBF-693E-4161-82E7-058EE9AA21A8}" srcOrd="0" destOrd="0" parTransId="{77F0A116-355A-4A35-A364-4DF5CCD88E1F}" sibTransId="{788110F1-EDD0-4196-AEB6-99E616E80712}"/>
    <dgm:cxn modelId="{518C68A0-8D4E-3F41-947D-DF7556E0AC31}" type="presOf" srcId="{06857BBF-693E-4161-82E7-058EE9AA21A8}" destId="{204EF7C6-CC98-4C53-A39D-39C73E07F5A2}" srcOrd="0" destOrd="0" presId="urn:microsoft.com/office/officeart/2005/8/layout/radial6"/>
    <dgm:cxn modelId="{188E6651-DB11-4B2D-B1DF-703097AABFEE}" srcId="{4390AF87-5B27-489E-950E-1A9CB3CD6A1C}" destId="{A1B966AA-5059-4073-81E7-6AAB1C46E0CF}" srcOrd="0" destOrd="0" parTransId="{D773190B-62C3-4D4D-AA55-E656F43E3766}" sibTransId="{496592EF-F78F-428D-94B9-7699972E4BD7}"/>
    <dgm:cxn modelId="{CDD801F8-970C-9943-865B-B5F9D4582E84}" type="presParOf" srcId="{EE1B5A4F-1804-4B91-9031-8EB4CF45712B}" destId="{484BCABE-A9DC-44F4-91C6-1E5B21FD0430}" srcOrd="0" destOrd="0" presId="urn:microsoft.com/office/officeart/2005/8/layout/radial6"/>
    <dgm:cxn modelId="{BCFEA643-D62E-FF47-862B-DE343C739074}" type="presParOf" srcId="{EE1B5A4F-1804-4B91-9031-8EB4CF45712B}" destId="{204EF7C6-CC98-4C53-A39D-39C73E07F5A2}" srcOrd="1" destOrd="0" presId="urn:microsoft.com/office/officeart/2005/8/layout/radial6"/>
    <dgm:cxn modelId="{720B0ADD-5084-EE4B-A2B6-57278E3888AA}" type="presParOf" srcId="{EE1B5A4F-1804-4B91-9031-8EB4CF45712B}" destId="{0197B764-1592-4570-BFA1-AD34E6CEAB11}" srcOrd="2" destOrd="0" presId="urn:microsoft.com/office/officeart/2005/8/layout/radial6"/>
    <dgm:cxn modelId="{63AA246D-3C34-9A44-BDE3-0E78E7C3384E}" type="presParOf" srcId="{EE1B5A4F-1804-4B91-9031-8EB4CF45712B}" destId="{341ABB9B-FC82-47C1-8FCB-B149877B263B}" srcOrd="3" destOrd="0" presId="urn:microsoft.com/office/officeart/2005/8/layout/radial6"/>
    <dgm:cxn modelId="{056B41D6-FDCB-D14A-BBC9-F7BFA60EF242}" type="presParOf" srcId="{EE1B5A4F-1804-4B91-9031-8EB4CF45712B}" destId="{9540A55A-6AE5-452A-8267-746FF77B10B6}" srcOrd="4" destOrd="0" presId="urn:microsoft.com/office/officeart/2005/8/layout/radial6"/>
    <dgm:cxn modelId="{892A56DE-4EA1-6F4A-B1CB-25954C418C6C}" type="presParOf" srcId="{EE1B5A4F-1804-4B91-9031-8EB4CF45712B}" destId="{4611AC37-1D39-4CCB-9EFB-D3B57B3EB395}" srcOrd="5" destOrd="0" presId="urn:microsoft.com/office/officeart/2005/8/layout/radial6"/>
    <dgm:cxn modelId="{79BAC659-97C3-C24A-88DC-3C99DA8536F3}" type="presParOf" srcId="{EE1B5A4F-1804-4B91-9031-8EB4CF45712B}" destId="{8C5C20FA-CE6A-4A2E-B5C3-3A2A4C851E7B}" srcOrd="6" destOrd="0" presId="urn:microsoft.com/office/officeart/2005/8/layout/radial6"/>
    <dgm:cxn modelId="{E3053FD7-6C59-1E40-B972-C344B433D0EE}" type="presParOf" srcId="{EE1B5A4F-1804-4B91-9031-8EB4CF45712B}" destId="{ACE6084C-EDBD-4621-9810-90DF8400CBE1}" srcOrd="7" destOrd="0" presId="urn:microsoft.com/office/officeart/2005/8/layout/radial6"/>
    <dgm:cxn modelId="{C58C2B23-7A8E-4A41-B5B7-D95AF5864A1F}" type="presParOf" srcId="{EE1B5A4F-1804-4B91-9031-8EB4CF45712B}" destId="{AAEBA038-E52E-44AB-9804-DE28108C76F3}" srcOrd="8" destOrd="0" presId="urn:microsoft.com/office/officeart/2005/8/layout/radial6"/>
    <dgm:cxn modelId="{ACB583CD-0639-734E-A3B2-0149494D83A0}" type="presParOf" srcId="{EE1B5A4F-1804-4B91-9031-8EB4CF45712B}" destId="{68CBCD79-DACA-459D-8DB8-58C7CC4E16D3}" srcOrd="9" destOrd="0" presId="urn:microsoft.com/office/officeart/2005/8/layout/radial6"/>
    <dgm:cxn modelId="{505AF705-C916-6246-A847-E2F7CEFCC510}" type="presParOf" srcId="{EE1B5A4F-1804-4B91-9031-8EB4CF45712B}" destId="{D2D40AB3-2D6B-4F13-B920-FFB38D3E54C0}" srcOrd="10" destOrd="0" presId="urn:microsoft.com/office/officeart/2005/8/layout/radial6"/>
    <dgm:cxn modelId="{3B6DF258-097E-8246-9097-2CA27E2C1A80}" type="presParOf" srcId="{EE1B5A4F-1804-4B91-9031-8EB4CF45712B}" destId="{06402132-26E2-4815-AD70-1C4B668EC506}" srcOrd="11" destOrd="0" presId="urn:microsoft.com/office/officeart/2005/8/layout/radial6"/>
    <dgm:cxn modelId="{A20190C4-67CE-314F-A78B-94D373025BA7}" type="presParOf" srcId="{EE1B5A4F-1804-4B91-9031-8EB4CF45712B}" destId="{E5194334-E271-464A-B7BF-821C7FBC1EE5}" srcOrd="12"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98D5F7-7EAE-44A5-9AE6-881D502DAB5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80D64B54-86B8-47C3-A574-6693376A4155}">
      <dgm:prSet phldrT="[Text]"/>
      <dgm:spPr/>
      <dgm:t>
        <a:bodyPr/>
        <a:lstStyle/>
        <a:p>
          <a:pPr algn="ctr"/>
          <a:r>
            <a:rPr lang="en-GB" b="1">
              <a:latin typeface="Times New Roman" panose="02020603050405020304" pitchFamily="18" charset="0"/>
              <a:cs typeface="Times New Roman" panose="02020603050405020304" pitchFamily="18" charset="0"/>
            </a:rPr>
            <a:t>Paradigm worldview</a:t>
          </a:r>
        </a:p>
        <a:p>
          <a:pPr algn="ctr"/>
          <a:r>
            <a:rPr lang="en-GB">
              <a:latin typeface="Times New Roman" panose="02020603050405020304" pitchFamily="18" charset="0"/>
              <a:cs typeface="Times New Roman" panose="02020603050405020304" pitchFamily="18" charset="0"/>
            </a:rPr>
            <a:t>Pragmatism</a:t>
          </a:r>
        </a:p>
      </dgm:t>
    </dgm:pt>
    <dgm:pt modelId="{0F635029-F4A5-437E-B8DF-B3AE04910062}" type="parTrans" cxnId="{3BE0397B-6655-4498-A901-D70BC47A9B11}">
      <dgm:prSet/>
      <dgm:spPr/>
      <dgm:t>
        <a:bodyPr/>
        <a:lstStyle/>
        <a:p>
          <a:pPr algn="ctr"/>
          <a:endParaRPr lang="en-GB"/>
        </a:p>
      </dgm:t>
    </dgm:pt>
    <dgm:pt modelId="{E4B7682D-F0F6-45C7-9E0B-F3B24050669F}" type="sibTrans" cxnId="{3BE0397B-6655-4498-A901-D70BC47A9B11}">
      <dgm:prSet/>
      <dgm:spPr/>
      <dgm:t>
        <a:bodyPr/>
        <a:lstStyle/>
        <a:p>
          <a:pPr algn="ctr"/>
          <a:endParaRPr lang="en-GB"/>
        </a:p>
      </dgm:t>
    </dgm:pt>
    <dgm:pt modelId="{75524713-252D-4960-AFF1-B2E2BACC1975}">
      <dgm:prSet phldrT="[Text]"/>
      <dgm:spPr/>
      <dgm:t>
        <a:bodyPr/>
        <a:lstStyle/>
        <a:p>
          <a:pPr algn="ctr"/>
          <a:r>
            <a:rPr lang="en-GB" b="1">
              <a:latin typeface="Times New Roman" panose="02020603050405020304" pitchFamily="18" charset="0"/>
              <a:cs typeface="Times New Roman" panose="02020603050405020304" pitchFamily="18" charset="0"/>
            </a:rPr>
            <a:t>Theoretical lens</a:t>
          </a:r>
        </a:p>
        <a:p>
          <a:pPr algn="ctr"/>
          <a:r>
            <a:rPr lang="en-GB">
              <a:latin typeface="Times New Roman" panose="02020603050405020304" pitchFamily="18" charset="0"/>
              <a:cs typeface="Times New Roman" panose="02020603050405020304" pitchFamily="18" charset="0"/>
            </a:rPr>
            <a:t>Self-regulated learning theory</a:t>
          </a:r>
        </a:p>
      </dgm:t>
    </dgm:pt>
    <dgm:pt modelId="{8B5E9CD9-E0A0-484A-8214-04BA0B12C39D}" type="parTrans" cxnId="{0C1FDF1C-A7CB-4E5B-BD68-C333B4FCB84B}">
      <dgm:prSet/>
      <dgm:spPr/>
      <dgm:t>
        <a:bodyPr/>
        <a:lstStyle/>
        <a:p>
          <a:pPr algn="ctr"/>
          <a:endParaRPr lang="en-GB"/>
        </a:p>
      </dgm:t>
    </dgm:pt>
    <dgm:pt modelId="{508B4318-0215-40A7-8B1E-BFA0B5889B4F}" type="sibTrans" cxnId="{0C1FDF1C-A7CB-4E5B-BD68-C333B4FCB84B}">
      <dgm:prSet/>
      <dgm:spPr/>
      <dgm:t>
        <a:bodyPr/>
        <a:lstStyle/>
        <a:p>
          <a:pPr algn="ctr"/>
          <a:endParaRPr lang="en-GB"/>
        </a:p>
      </dgm:t>
    </dgm:pt>
    <dgm:pt modelId="{A57A14C0-2ACE-4C6D-B36C-97FA25F0CB0D}">
      <dgm:prSet phldrT="[Text]"/>
      <dgm:spPr/>
      <dgm:t>
        <a:bodyPr/>
        <a:lstStyle/>
        <a:p>
          <a:pPr algn="ctr"/>
          <a:r>
            <a:rPr lang="en-GB" b="1">
              <a:latin typeface="Times New Roman" panose="02020603050405020304" pitchFamily="18" charset="0"/>
              <a:cs typeface="Times New Roman" panose="02020603050405020304" pitchFamily="18" charset="0"/>
            </a:rPr>
            <a:t>Methodological approach</a:t>
          </a:r>
        </a:p>
        <a:p>
          <a:pPr algn="ctr"/>
          <a:r>
            <a:rPr lang="en-GB">
              <a:latin typeface="Times New Roman" panose="02020603050405020304" pitchFamily="18" charset="0"/>
              <a:cs typeface="Times New Roman" panose="02020603050405020304" pitchFamily="18" charset="0"/>
            </a:rPr>
            <a:t>Mixed methodology</a:t>
          </a:r>
        </a:p>
      </dgm:t>
    </dgm:pt>
    <dgm:pt modelId="{48E3AA2A-813C-435E-8B8E-0FD31C03AFA2}" type="parTrans" cxnId="{60E2895D-5FAD-43E1-AE98-2851DE69A031}">
      <dgm:prSet/>
      <dgm:spPr/>
      <dgm:t>
        <a:bodyPr/>
        <a:lstStyle/>
        <a:p>
          <a:pPr algn="ctr"/>
          <a:endParaRPr lang="en-GB"/>
        </a:p>
      </dgm:t>
    </dgm:pt>
    <dgm:pt modelId="{192EF2D1-986C-49AF-BB0F-0F20F870AC81}" type="sibTrans" cxnId="{60E2895D-5FAD-43E1-AE98-2851DE69A031}">
      <dgm:prSet/>
      <dgm:spPr/>
      <dgm:t>
        <a:bodyPr/>
        <a:lstStyle/>
        <a:p>
          <a:pPr algn="ctr"/>
          <a:endParaRPr lang="en-GB"/>
        </a:p>
      </dgm:t>
    </dgm:pt>
    <dgm:pt modelId="{93D02DCC-4C43-4AAD-BD71-5A4C4D1BBF23}">
      <dgm:prSet phldrT="[Text]"/>
      <dgm:spPr/>
      <dgm:t>
        <a:bodyPr/>
        <a:lstStyle/>
        <a:p>
          <a:pPr algn="ctr"/>
          <a:r>
            <a:rPr lang="en-GB" b="1">
              <a:latin typeface="Times New Roman" panose="02020603050405020304" pitchFamily="18" charset="0"/>
              <a:cs typeface="Times New Roman" panose="02020603050405020304" pitchFamily="18" charset="0"/>
            </a:rPr>
            <a:t>Methods of data generation</a:t>
          </a:r>
        </a:p>
        <a:p>
          <a:pPr algn="ctr"/>
          <a:r>
            <a:rPr lang="en-GB">
              <a:latin typeface="Times New Roman" panose="02020603050405020304" pitchFamily="18" charset="0"/>
              <a:cs typeface="Times New Roman" panose="02020603050405020304" pitchFamily="18" charset="0"/>
            </a:rPr>
            <a:t>Surveys, interviews, and focus groups</a:t>
          </a:r>
        </a:p>
      </dgm:t>
    </dgm:pt>
    <dgm:pt modelId="{989048E1-326E-4879-BAFA-BF4CB65C0B8D}" type="parTrans" cxnId="{F8B35EEC-7FDC-4A2D-87E1-26ED0EA08662}">
      <dgm:prSet/>
      <dgm:spPr/>
      <dgm:t>
        <a:bodyPr/>
        <a:lstStyle/>
        <a:p>
          <a:pPr algn="ctr"/>
          <a:endParaRPr lang="en-GB"/>
        </a:p>
      </dgm:t>
    </dgm:pt>
    <dgm:pt modelId="{23251C61-EE00-4F04-8821-4F3AACD7C839}" type="sibTrans" cxnId="{F8B35EEC-7FDC-4A2D-87E1-26ED0EA08662}">
      <dgm:prSet/>
      <dgm:spPr/>
      <dgm:t>
        <a:bodyPr/>
        <a:lstStyle/>
        <a:p>
          <a:pPr algn="ctr"/>
          <a:endParaRPr lang="en-GB"/>
        </a:p>
      </dgm:t>
    </dgm:pt>
    <dgm:pt modelId="{7D7016A3-346D-47E0-9195-1961313286F4}" type="pres">
      <dgm:prSet presAssocID="{BA98D5F7-7EAE-44A5-9AE6-881D502DAB57}" presName="outerComposite" presStyleCnt="0">
        <dgm:presLayoutVars>
          <dgm:chMax val="5"/>
          <dgm:dir/>
          <dgm:resizeHandles val="exact"/>
        </dgm:presLayoutVars>
      </dgm:prSet>
      <dgm:spPr/>
      <dgm:t>
        <a:bodyPr/>
        <a:lstStyle/>
        <a:p>
          <a:endParaRPr lang="en-GB"/>
        </a:p>
      </dgm:t>
    </dgm:pt>
    <dgm:pt modelId="{24DE72CD-A37F-41D4-B2F6-E4D35E703A8C}" type="pres">
      <dgm:prSet presAssocID="{BA98D5F7-7EAE-44A5-9AE6-881D502DAB57}" presName="dummyMaxCanvas" presStyleCnt="0">
        <dgm:presLayoutVars/>
      </dgm:prSet>
      <dgm:spPr/>
    </dgm:pt>
    <dgm:pt modelId="{16380C72-3796-4B2F-8BBC-739955A200D1}" type="pres">
      <dgm:prSet presAssocID="{BA98D5F7-7EAE-44A5-9AE6-881D502DAB57}" presName="FourNodes_1" presStyleLbl="node1" presStyleIdx="0" presStyleCnt="4">
        <dgm:presLayoutVars>
          <dgm:bulletEnabled val="1"/>
        </dgm:presLayoutVars>
      </dgm:prSet>
      <dgm:spPr/>
      <dgm:t>
        <a:bodyPr/>
        <a:lstStyle/>
        <a:p>
          <a:endParaRPr lang="en-GB"/>
        </a:p>
      </dgm:t>
    </dgm:pt>
    <dgm:pt modelId="{DB796C33-229F-45A7-8976-5FB369BFF0B7}" type="pres">
      <dgm:prSet presAssocID="{BA98D5F7-7EAE-44A5-9AE6-881D502DAB57}" presName="FourNodes_2" presStyleLbl="node1" presStyleIdx="1" presStyleCnt="4">
        <dgm:presLayoutVars>
          <dgm:bulletEnabled val="1"/>
        </dgm:presLayoutVars>
      </dgm:prSet>
      <dgm:spPr/>
      <dgm:t>
        <a:bodyPr/>
        <a:lstStyle/>
        <a:p>
          <a:endParaRPr lang="en-GB"/>
        </a:p>
      </dgm:t>
    </dgm:pt>
    <dgm:pt modelId="{6D862A75-32D3-45C2-9C3E-65CEBD847899}" type="pres">
      <dgm:prSet presAssocID="{BA98D5F7-7EAE-44A5-9AE6-881D502DAB57}" presName="FourNodes_3" presStyleLbl="node1" presStyleIdx="2" presStyleCnt="4">
        <dgm:presLayoutVars>
          <dgm:bulletEnabled val="1"/>
        </dgm:presLayoutVars>
      </dgm:prSet>
      <dgm:spPr/>
      <dgm:t>
        <a:bodyPr/>
        <a:lstStyle/>
        <a:p>
          <a:endParaRPr lang="en-GB"/>
        </a:p>
      </dgm:t>
    </dgm:pt>
    <dgm:pt modelId="{F4698915-57A5-456F-B979-14B6226D06A4}" type="pres">
      <dgm:prSet presAssocID="{BA98D5F7-7EAE-44A5-9AE6-881D502DAB57}" presName="FourNodes_4" presStyleLbl="node1" presStyleIdx="3" presStyleCnt="4" custScaleX="100173">
        <dgm:presLayoutVars>
          <dgm:bulletEnabled val="1"/>
        </dgm:presLayoutVars>
      </dgm:prSet>
      <dgm:spPr/>
      <dgm:t>
        <a:bodyPr/>
        <a:lstStyle/>
        <a:p>
          <a:endParaRPr lang="en-GB"/>
        </a:p>
      </dgm:t>
    </dgm:pt>
    <dgm:pt modelId="{523AC4A3-BCFB-41CF-A5E7-63CBE9A24CE9}" type="pres">
      <dgm:prSet presAssocID="{BA98D5F7-7EAE-44A5-9AE6-881D502DAB57}" presName="FourConn_1-2" presStyleLbl="fgAccFollowNode1" presStyleIdx="0" presStyleCnt="3">
        <dgm:presLayoutVars>
          <dgm:bulletEnabled val="1"/>
        </dgm:presLayoutVars>
      </dgm:prSet>
      <dgm:spPr/>
      <dgm:t>
        <a:bodyPr/>
        <a:lstStyle/>
        <a:p>
          <a:endParaRPr lang="en-GB"/>
        </a:p>
      </dgm:t>
    </dgm:pt>
    <dgm:pt modelId="{C039122D-8A62-45FA-A44C-F4670CEAE89F}" type="pres">
      <dgm:prSet presAssocID="{BA98D5F7-7EAE-44A5-9AE6-881D502DAB57}" presName="FourConn_2-3" presStyleLbl="fgAccFollowNode1" presStyleIdx="1" presStyleCnt="3">
        <dgm:presLayoutVars>
          <dgm:bulletEnabled val="1"/>
        </dgm:presLayoutVars>
      </dgm:prSet>
      <dgm:spPr/>
      <dgm:t>
        <a:bodyPr/>
        <a:lstStyle/>
        <a:p>
          <a:endParaRPr lang="en-GB"/>
        </a:p>
      </dgm:t>
    </dgm:pt>
    <dgm:pt modelId="{4C9C2B47-3532-4F61-AD47-6C30D143DCF0}" type="pres">
      <dgm:prSet presAssocID="{BA98D5F7-7EAE-44A5-9AE6-881D502DAB57}" presName="FourConn_3-4" presStyleLbl="fgAccFollowNode1" presStyleIdx="2" presStyleCnt="3">
        <dgm:presLayoutVars>
          <dgm:bulletEnabled val="1"/>
        </dgm:presLayoutVars>
      </dgm:prSet>
      <dgm:spPr/>
      <dgm:t>
        <a:bodyPr/>
        <a:lstStyle/>
        <a:p>
          <a:endParaRPr lang="en-GB"/>
        </a:p>
      </dgm:t>
    </dgm:pt>
    <dgm:pt modelId="{37F42614-1A94-4B29-B8B7-F65353579ABD}" type="pres">
      <dgm:prSet presAssocID="{BA98D5F7-7EAE-44A5-9AE6-881D502DAB57}" presName="FourNodes_1_text" presStyleLbl="node1" presStyleIdx="3" presStyleCnt="4">
        <dgm:presLayoutVars>
          <dgm:bulletEnabled val="1"/>
        </dgm:presLayoutVars>
      </dgm:prSet>
      <dgm:spPr/>
      <dgm:t>
        <a:bodyPr/>
        <a:lstStyle/>
        <a:p>
          <a:endParaRPr lang="en-GB"/>
        </a:p>
      </dgm:t>
    </dgm:pt>
    <dgm:pt modelId="{086456C2-3DE9-4696-8281-3ADF5165648C}" type="pres">
      <dgm:prSet presAssocID="{BA98D5F7-7EAE-44A5-9AE6-881D502DAB57}" presName="FourNodes_2_text" presStyleLbl="node1" presStyleIdx="3" presStyleCnt="4">
        <dgm:presLayoutVars>
          <dgm:bulletEnabled val="1"/>
        </dgm:presLayoutVars>
      </dgm:prSet>
      <dgm:spPr/>
      <dgm:t>
        <a:bodyPr/>
        <a:lstStyle/>
        <a:p>
          <a:endParaRPr lang="en-GB"/>
        </a:p>
      </dgm:t>
    </dgm:pt>
    <dgm:pt modelId="{DAF8B2CC-9931-4FDA-87AE-DC91C82E8B0A}" type="pres">
      <dgm:prSet presAssocID="{BA98D5F7-7EAE-44A5-9AE6-881D502DAB57}" presName="FourNodes_3_text" presStyleLbl="node1" presStyleIdx="3" presStyleCnt="4">
        <dgm:presLayoutVars>
          <dgm:bulletEnabled val="1"/>
        </dgm:presLayoutVars>
      </dgm:prSet>
      <dgm:spPr/>
      <dgm:t>
        <a:bodyPr/>
        <a:lstStyle/>
        <a:p>
          <a:endParaRPr lang="en-GB"/>
        </a:p>
      </dgm:t>
    </dgm:pt>
    <dgm:pt modelId="{7FBB59B1-7A88-464F-AFFB-82DFA3B0DDE3}" type="pres">
      <dgm:prSet presAssocID="{BA98D5F7-7EAE-44A5-9AE6-881D502DAB57}" presName="FourNodes_4_text" presStyleLbl="node1" presStyleIdx="3" presStyleCnt="4">
        <dgm:presLayoutVars>
          <dgm:bulletEnabled val="1"/>
        </dgm:presLayoutVars>
      </dgm:prSet>
      <dgm:spPr/>
      <dgm:t>
        <a:bodyPr/>
        <a:lstStyle/>
        <a:p>
          <a:endParaRPr lang="en-GB"/>
        </a:p>
      </dgm:t>
    </dgm:pt>
  </dgm:ptLst>
  <dgm:cxnLst>
    <dgm:cxn modelId="{391E6F80-DB68-B448-8756-D94F426CAFB4}" type="presOf" srcId="{80D64B54-86B8-47C3-A574-6693376A4155}" destId="{37F42614-1A94-4B29-B8B7-F65353579ABD}" srcOrd="1" destOrd="0" presId="urn:microsoft.com/office/officeart/2005/8/layout/vProcess5"/>
    <dgm:cxn modelId="{760C9A2C-0DB5-5F49-9B76-1F94DA237605}" type="presOf" srcId="{BA98D5F7-7EAE-44A5-9AE6-881D502DAB57}" destId="{7D7016A3-346D-47E0-9195-1961313286F4}" srcOrd="0" destOrd="0" presId="urn:microsoft.com/office/officeart/2005/8/layout/vProcess5"/>
    <dgm:cxn modelId="{5D77A554-0F65-A24D-8CF9-D998CE737786}" type="presOf" srcId="{75524713-252D-4960-AFF1-B2E2BACC1975}" destId="{086456C2-3DE9-4696-8281-3ADF5165648C}" srcOrd="1" destOrd="0" presId="urn:microsoft.com/office/officeart/2005/8/layout/vProcess5"/>
    <dgm:cxn modelId="{3BE0397B-6655-4498-A901-D70BC47A9B11}" srcId="{BA98D5F7-7EAE-44A5-9AE6-881D502DAB57}" destId="{80D64B54-86B8-47C3-A574-6693376A4155}" srcOrd="0" destOrd="0" parTransId="{0F635029-F4A5-437E-B8DF-B3AE04910062}" sibTransId="{E4B7682D-F0F6-45C7-9E0B-F3B24050669F}"/>
    <dgm:cxn modelId="{6E4119CF-FD8A-5F4C-87E3-C399DAC00FE8}" type="presOf" srcId="{192EF2D1-986C-49AF-BB0F-0F20F870AC81}" destId="{4C9C2B47-3532-4F61-AD47-6C30D143DCF0}" srcOrd="0" destOrd="0" presId="urn:microsoft.com/office/officeart/2005/8/layout/vProcess5"/>
    <dgm:cxn modelId="{852A0C75-C70F-C045-8AB7-76E3F4EF563A}" type="presOf" srcId="{80D64B54-86B8-47C3-A574-6693376A4155}" destId="{16380C72-3796-4B2F-8BBC-739955A200D1}" srcOrd="0" destOrd="0" presId="urn:microsoft.com/office/officeart/2005/8/layout/vProcess5"/>
    <dgm:cxn modelId="{977BE7FA-D42C-D044-BDF8-2230C245A08A}" type="presOf" srcId="{93D02DCC-4C43-4AAD-BD71-5A4C4D1BBF23}" destId="{7FBB59B1-7A88-464F-AFFB-82DFA3B0DDE3}" srcOrd="1" destOrd="0" presId="urn:microsoft.com/office/officeart/2005/8/layout/vProcess5"/>
    <dgm:cxn modelId="{3EBAF380-CE1C-3044-AAC4-7EE94DEA50C3}" type="presOf" srcId="{A57A14C0-2ACE-4C6D-B36C-97FA25F0CB0D}" destId="{DAF8B2CC-9931-4FDA-87AE-DC91C82E8B0A}" srcOrd="1" destOrd="0" presId="urn:microsoft.com/office/officeart/2005/8/layout/vProcess5"/>
    <dgm:cxn modelId="{798A8FF9-3C24-074D-9718-202A352A4826}" type="presOf" srcId="{75524713-252D-4960-AFF1-B2E2BACC1975}" destId="{DB796C33-229F-45A7-8976-5FB369BFF0B7}" srcOrd="0" destOrd="0" presId="urn:microsoft.com/office/officeart/2005/8/layout/vProcess5"/>
    <dgm:cxn modelId="{323DFE7F-E8D0-B841-95BA-DFF717A8BACC}" type="presOf" srcId="{E4B7682D-F0F6-45C7-9E0B-F3B24050669F}" destId="{523AC4A3-BCFB-41CF-A5E7-63CBE9A24CE9}" srcOrd="0" destOrd="0" presId="urn:microsoft.com/office/officeart/2005/8/layout/vProcess5"/>
    <dgm:cxn modelId="{C0E6F793-2A2B-BF4F-98A6-297D0F57E706}" type="presOf" srcId="{508B4318-0215-40A7-8B1E-BFA0B5889B4F}" destId="{C039122D-8A62-45FA-A44C-F4670CEAE89F}" srcOrd="0" destOrd="0" presId="urn:microsoft.com/office/officeart/2005/8/layout/vProcess5"/>
    <dgm:cxn modelId="{F8B35EEC-7FDC-4A2D-87E1-26ED0EA08662}" srcId="{BA98D5F7-7EAE-44A5-9AE6-881D502DAB57}" destId="{93D02DCC-4C43-4AAD-BD71-5A4C4D1BBF23}" srcOrd="3" destOrd="0" parTransId="{989048E1-326E-4879-BAFA-BF4CB65C0B8D}" sibTransId="{23251C61-EE00-4F04-8821-4F3AACD7C839}"/>
    <dgm:cxn modelId="{85A7B898-F5FE-6348-8359-17A5DC15697A}" type="presOf" srcId="{A57A14C0-2ACE-4C6D-B36C-97FA25F0CB0D}" destId="{6D862A75-32D3-45C2-9C3E-65CEBD847899}" srcOrd="0" destOrd="0" presId="urn:microsoft.com/office/officeart/2005/8/layout/vProcess5"/>
    <dgm:cxn modelId="{55C21110-9FF7-ED46-A93B-E9E864C964D6}" type="presOf" srcId="{93D02DCC-4C43-4AAD-BD71-5A4C4D1BBF23}" destId="{F4698915-57A5-456F-B979-14B6226D06A4}" srcOrd="0" destOrd="0" presId="urn:microsoft.com/office/officeart/2005/8/layout/vProcess5"/>
    <dgm:cxn modelId="{0C1FDF1C-A7CB-4E5B-BD68-C333B4FCB84B}" srcId="{BA98D5F7-7EAE-44A5-9AE6-881D502DAB57}" destId="{75524713-252D-4960-AFF1-B2E2BACC1975}" srcOrd="1" destOrd="0" parTransId="{8B5E9CD9-E0A0-484A-8214-04BA0B12C39D}" sibTransId="{508B4318-0215-40A7-8B1E-BFA0B5889B4F}"/>
    <dgm:cxn modelId="{60E2895D-5FAD-43E1-AE98-2851DE69A031}" srcId="{BA98D5F7-7EAE-44A5-9AE6-881D502DAB57}" destId="{A57A14C0-2ACE-4C6D-B36C-97FA25F0CB0D}" srcOrd="2" destOrd="0" parTransId="{48E3AA2A-813C-435E-8B8E-0FD31C03AFA2}" sibTransId="{192EF2D1-986C-49AF-BB0F-0F20F870AC81}"/>
    <dgm:cxn modelId="{1FFFD695-C35D-284E-9E94-FF707730C9BC}" type="presParOf" srcId="{7D7016A3-346D-47E0-9195-1961313286F4}" destId="{24DE72CD-A37F-41D4-B2F6-E4D35E703A8C}" srcOrd="0" destOrd="0" presId="urn:microsoft.com/office/officeart/2005/8/layout/vProcess5"/>
    <dgm:cxn modelId="{622C55D8-C395-3C4F-990A-DB8143819FD0}" type="presParOf" srcId="{7D7016A3-346D-47E0-9195-1961313286F4}" destId="{16380C72-3796-4B2F-8BBC-739955A200D1}" srcOrd="1" destOrd="0" presId="urn:microsoft.com/office/officeart/2005/8/layout/vProcess5"/>
    <dgm:cxn modelId="{3511D820-9FE7-0E42-A017-E49B51782940}" type="presParOf" srcId="{7D7016A3-346D-47E0-9195-1961313286F4}" destId="{DB796C33-229F-45A7-8976-5FB369BFF0B7}" srcOrd="2" destOrd="0" presId="urn:microsoft.com/office/officeart/2005/8/layout/vProcess5"/>
    <dgm:cxn modelId="{80E84C27-E8CE-AC4B-9468-8B3B0D850A39}" type="presParOf" srcId="{7D7016A3-346D-47E0-9195-1961313286F4}" destId="{6D862A75-32D3-45C2-9C3E-65CEBD847899}" srcOrd="3" destOrd="0" presId="urn:microsoft.com/office/officeart/2005/8/layout/vProcess5"/>
    <dgm:cxn modelId="{3DCE5DBE-4F49-F74C-8878-98F8EFADE477}" type="presParOf" srcId="{7D7016A3-346D-47E0-9195-1961313286F4}" destId="{F4698915-57A5-456F-B979-14B6226D06A4}" srcOrd="4" destOrd="0" presId="urn:microsoft.com/office/officeart/2005/8/layout/vProcess5"/>
    <dgm:cxn modelId="{4B8604C5-A50D-2947-A7AD-96B4BB7F7B83}" type="presParOf" srcId="{7D7016A3-346D-47E0-9195-1961313286F4}" destId="{523AC4A3-BCFB-41CF-A5E7-63CBE9A24CE9}" srcOrd="5" destOrd="0" presId="urn:microsoft.com/office/officeart/2005/8/layout/vProcess5"/>
    <dgm:cxn modelId="{F4F04150-D36A-E441-8190-01FBC1E7B778}" type="presParOf" srcId="{7D7016A3-346D-47E0-9195-1961313286F4}" destId="{C039122D-8A62-45FA-A44C-F4670CEAE89F}" srcOrd="6" destOrd="0" presId="urn:microsoft.com/office/officeart/2005/8/layout/vProcess5"/>
    <dgm:cxn modelId="{59EC86E1-580F-4C47-92C3-452FA2C23A44}" type="presParOf" srcId="{7D7016A3-346D-47E0-9195-1961313286F4}" destId="{4C9C2B47-3532-4F61-AD47-6C30D143DCF0}" srcOrd="7" destOrd="0" presId="urn:microsoft.com/office/officeart/2005/8/layout/vProcess5"/>
    <dgm:cxn modelId="{0CDCFF21-6175-1A48-8C0C-79CA0A69B465}" type="presParOf" srcId="{7D7016A3-346D-47E0-9195-1961313286F4}" destId="{37F42614-1A94-4B29-B8B7-F65353579ABD}" srcOrd="8" destOrd="0" presId="urn:microsoft.com/office/officeart/2005/8/layout/vProcess5"/>
    <dgm:cxn modelId="{87DBDC77-3750-1B49-8080-C0FAA1446564}" type="presParOf" srcId="{7D7016A3-346D-47E0-9195-1961313286F4}" destId="{086456C2-3DE9-4696-8281-3ADF5165648C}" srcOrd="9" destOrd="0" presId="urn:microsoft.com/office/officeart/2005/8/layout/vProcess5"/>
    <dgm:cxn modelId="{DAA26DEA-21CE-DB4D-BACE-51C0A41B09A2}" type="presParOf" srcId="{7D7016A3-346D-47E0-9195-1961313286F4}" destId="{DAF8B2CC-9931-4FDA-87AE-DC91C82E8B0A}" srcOrd="10" destOrd="0" presId="urn:microsoft.com/office/officeart/2005/8/layout/vProcess5"/>
    <dgm:cxn modelId="{5281FB03-A244-F241-BDA7-4E79DAF1249A}" type="presParOf" srcId="{7D7016A3-346D-47E0-9195-1961313286F4}" destId="{7FBB59B1-7A88-464F-AFFB-82DFA3B0DDE3}" srcOrd="11"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883ED7-F014-44CC-B449-AA8AB623EFE1}" type="doc">
      <dgm:prSet loTypeId="urn:microsoft.com/office/officeart/2005/8/layout/process4" loCatId="process" qsTypeId="urn:microsoft.com/office/officeart/2005/8/quickstyle/simple1" qsCatId="simple" csTypeId="urn:microsoft.com/office/officeart/2005/8/colors/accent1_2" csCatId="accent1" phldr="1"/>
      <dgm:spPr/>
    </dgm:pt>
    <dgm:pt modelId="{D18125EE-B582-430C-98FB-FAE43E6913D5}">
      <dgm:prSet phldrT="[Text]" custT="1"/>
      <dgm:spPr/>
      <dgm:t>
        <a:bodyPr/>
        <a:lstStyle/>
        <a:p>
          <a:r>
            <a:rPr lang="en-GB" sz="1400">
              <a:latin typeface="Times New Roman" panose="02020603050405020304" pitchFamily="18" charset="0"/>
              <a:cs typeface="Times New Roman" panose="02020603050405020304" pitchFamily="18" charset="0"/>
            </a:rPr>
            <a:t>Initial themes/concepts</a:t>
          </a:r>
        </a:p>
      </dgm:t>
    </dgm:pt>
    <dgm:pt modelId="{D36F855E-C4F5-49DF-9F3A-CCE9659C9DA5}" type="parTrans" cxnId="{AA3C9D14-DDEA-42F9-91FF-85EF89C5C045}">
      <dgm:prSet/>
      <dgm:spPr/>
      <dgm:t>
        <a:bodyPr/>
        <a:lstStyle/>
        <a:p>
          <a:endParaRPr lang="en-GB" sz="1600">
            <a:latin typeface="Times New Roman" panose="02020603050405020304" pitchFamily="18" charset="0"/>
            <a:cs typeface="Times New Roman" panose="02020603050405020304" pitchFamily="18" charset="0"/>
          </a:endParaRPr>
        </a:p>
      </dgm:t>
    </dgm:pt>
    <dgm:pt modelId="{D2E2E040-7717-4E79-A686-C5B9696A71C6}" type="sibTrans" cxnId="{AA3C9D14-DDEA-42F9-91FF-85EF89C5C045}">
      <dgm:prSet/>
      <dgm:spPr/>
      <dgm:t>
        <a:bodyPr/>
        <a:lstStyle/>
        <a:p>
          <a:endParaRPr lang="en-GB" sz="1600">
            <a:latin typeface="Times New Roman" panose="02020603050405020304" pitchFamily="18" charset="0"/>
            <a:cs typeface="Times New Roman" panose="02020603050405020304" pitchFamily="18" charset="0"/>
          </a:endParaRPr>
        </a:p>
      </dgm:t>
    </dgm:pt>
    <dgm:pt modelId="{7AA5B7A6-0259-47F7-96E4-C721BA704635}">
      <dgm:prSet phldrT="[Text]" custT="1"/>
      <dgm:spPr/>
      <dgm:t>
        <a:bodyPr/>
        <a:lstStyle/>
        <a:p>
          <a:r>
            <a:rPr lang="en-GB" sz="1400">
              <a:latin typeface="Times New Roman" panose="02020603050405020304" pitchFamily="18" charset="0"/>
              <a:cs typeface="Times New Roman" panose="02020603050405020304" pitchFamily="18" charset="0"/>
            </a:rPr>
            <a:t>Conceptual framework/coding index</a:t>
          </a:r>
        </a:p>
      </dgm:t>
    </dgm:pt>
    <dgm:pt modelId="{306428AF-2C0F-4A97-9CBC-FE904C71CD97}" type="parTrans" cxnId="{6E2B2A5C-93FA-493B-B00E-28E06E024AD4}">
      <dgm:prSet/>
      <dgm:spPr/>
      <dgm:t>
        <a:bodyPr/>
        <a:lstStyle/>
        <a:p>
          <a:endParaRPr lang="en-GB" sz="1600">
            <a:latin typeface="Times New Roman" panose="02020603050405020304" pitchFamily="18" charset="0"/>
            <a:cs typeface="Times New Roman" panose="02020603050405020304" pitchFamily="18" charset="0"/>
          </a:endParaRPr>
        </a:p>
      </dgm:t>
    </dgm:pt>
    <dgm:pt modelId="{5A550980-19B5-46B7-9D4B-BCA0D89401A1}" type="sibTrans" cxnId="{6E2B2A5C-93FA-493B-B00E-28E06E024AD4}">
      <dgm:prSet/>
      <dgm:spPr/>
      <dgm:t>
        <a:bodyPr/>
        <a:lstStyle/>
        <a:p>
          <a:endParaRPr lang="en-GB" sz="1600">
            <a:latin typeface="Times New Roman" panose="02020603050405020304" pitchFamily="18" charset="0"/>
            <a:cs typeface="Times New Roman" panose="02020603050405020304" pitchFamily="18" charset="0"/>
          </a:endParaRPr>
        </a:p>
      </dgm:t>
    </dgm:pt>
    <dgm:pt modelId="{87067B4D-7423-416D-9D2F-B0A32EA47B76}">
      <dgm:prSet phldrT="[Text]" custT="1"/>
      <dgm:spPr/>
      <dgm:t>
        <a:bodyPr/>
        <a:lstStyle/>
        <a:p>
          <a:r>
            <a:rPr lang="en-GB" sz="1400">
              <a:latin typeface="Times New Roman" panose="02020603050405020304" pitchFamily="18" charset="0"/>
              <a:cs typeface="Times New Roman" panose="02020603050405020304" pitchFamily="18" charset="0"/>
            </a:rPr>
            <a:t>Data coding</a:t>
          </a:r>
        </a:p>
      </dgm:t>
    </dgm:pt>
    <dgm:pt modelId="{F078A704-33F0-4860-81B9-51C2E9F800C8}" type="parTrans" cxnId="{8A97CBBD-D458-4280-B788-ADDC9666FA1B}">
      <dgm:prSet/>
      <dgm:spPr/>
      <dgm:t>
        <a:bodyPr/>
        <a:lstStyle/>
        <a:p>
          <a:endParaRPr lang="en-GB" sz="1600">
            <a:latin typeface="Times New Roman" panose="02020603050405020304" pitchFamily="18" charset="0"/>
            <a:cs typeface="Times New Roman" panose="02020603050405020304" pitchFamily="18" charset="0"/>
          </a:endParaRPr>
        </a:p>
      </dgm:t>
    </dgm:pt>
    <dgm:pt modelId="{1E6DE92D-67A2-4D94-A954-F755616A0CCF}" type="sibTrans" cxnId="{8A97CBBD-D458-4280-B788-ADDC9666FA1B}">
      <dgm:prSet/>
      <dgm:spPr/>
      <dgm:t>
        <a:bodyPr/>
        <a:lstStyle/>
        <a:p>
          <a:endParaRPr lang="en-GB" sz="1600">
            <a:latin typeface="Times New Roman" panose="02020603050405020304" pitchFamily="18" charset="0"/>
            <a:cs typeface="Times New Roman" panose="02020603050405020304" pitchFamily="18" charset="0"/>
          </a:endParaRPr>
        </a:p>
      </dgm:t>
    </dgm:pt>
    <dgm:pt modelId="{0E15D390-0A96-4D01-B62E-925F1FC29078}">
      <dgm:prSet custT="1"/>
      <dgm:spPr/>
      <dgm:t>
        <a:bodyPr/>
        <a:lstStyle/>
        <a:p>
          <a:r>
            <a:rPr lang="en-GB" sz="1400">
              <a:latin typeface="Times New Roman" panose="02020603050405020304" pitchFamily="18" charset="0"/>
              <a:cs typeface="Times New Roman" panose="02020603050405020304" pitchFamily="18" charset="0"/>
            </a:rPr>
            <a:t>Thematic chart analysis</a:t>
          </a:r>
        </a:p>
      </dgm:t>
    </dgm:pt>
    <dgm:pt modelId="{22CA8B9D-4B9D-4FFE-8B95-1621CA61559D}" type="parTrans" cxnId="{DADFD367-8BC8-4348-ACBC-35BBA92D0162}">
      <dgm:prSet/>
      <dgm:spPr/>
      <dgm:t>
        <a:bodyPr/>
        <a:lstStyle/>
        <a:p>
          <a:endParaRPr lang="en-GB" sz="1600">
            <a:latin typeface="Times New Roman" panose="02020603050405020304" pitchFamily="18" charset="0"/>
            <a:cs typeface="Times New Roman" panose="02020603050405020304" pitchFamily="18" charset="0"/>
          </a:endParaRPr>
        </a:p>
      </dgm:t>
    </dgm:pt>
    <dgm:pt modelId="{705C6292-8E74-4947-AD07-5FEBB2B458C7}" type="sibTrans" cxnId="{DADFD367-8BC8-4348-ACBC-35BBA92D0162}">
      <dgm:prSet/>
      <dgm:spPr/>
      <dgm:t>
        <a:bodyPr/>
        <a:lstStyle/>
        <a:p>
          <a:endParaRPr lang="en-GB" sz="1600">
            <a:latin typeface="Times New Roman" panose="02020603050405020304" pitchFamily="18" charset="0"/>
            <a:cs typeface="Times New Roman" panose="02020603050405020304" pitchFamily="18" charset="0"/>
          </a:endParaRPr>
        </a:p>
      </dgm:t>
    </dgm:pt>
    <dgm:pt modelId="{83293428-CA9B-43F6-B1FB-94E2438753A2}">
      <dgm:prSet custT="1"/>
      <dgm:spPr/>
      <dgm:t>
        <a:bodyPr/>
        <a:lstStyle/>
        <a:p>
          <a:r>
            <a:rPr lang="en-GB" sz="1400">
              <a:latin typeface="Times New Roman" panose="02020603050405020304" pitchFamily="18" charset="0"/>
              <a:cs typeface="Times New Roman" panose="02020603050405020304" pitchFamily="18" charset="0"/>
            </a:rPr>
            <a:t>Explanation of key concepts/themes</a:t>
          </a:r>
        </a:p>
      </dgm:t>
    </dgm:pt>
    <dgm:pt modelId="{2FB53B13-540D-405C-9E86-A4FBCE8F5BCE}" type="parTrans" cxnId="{D33FB29C-8901-4829-B4E5-76901E384E71}">
      <dgm:prSet/>
      <dgm:spPr/>
      <dgm:t>
        <a:bodyPr/>
        <a:lstStyle/>
        <a:p>
          <a:endParaRPr lang="en-GB" sz="1600">
            <a:latin typeface="Times New Roman" panose="02020603050405020304" pitchFamily="18" charset="0"/>
            <a:cs typeface="Times New Roman" panose="02020603050405020304" pitchFamily="18" charset="0"/>
          </a:endParaRPr>
        </a:p>
      </dgm:t>
    </dgm:pt>
    <dgm:pt modelId="{AA570127-1661-4507-B9F2-30101EF0BE62}" type="sibTrans" cxnId="{D33FB29C-8901-4829-B4E5-76901E384E71}">
      <dgm:prSet/>
      <dgm:spPr/>
      <dgm:t>
        <a:bodyPr/>
        <a:lstStyle/>
        <a:p>
          <a:endParaRPr lang="en-GB" sz="1600">
            <a:latin typeface="Times New Roman" panose="02020603050405020304" pitchFamily="18" charset="0"/>
            <a:cs typeface="Times New Roman" panose="02020603050405020304" pitchFamily="18" charset="0"/>
          </a:endParaRPr>
        </a:p>
      </dgm:t>
    </dgm:pt>
    <dgm:pt modelId="{25638FD5-66AB-4452-A97E-7EFA6BFB39BA}" type="pres">
      <dgm:prSet presAssocID="{72883ED7-F014-44CC-B449-AA8AB623EFE1}" presName="Name0" presStyleCnt="0">
        <dgm:presLayoutVars>
          <dgm:dir/>
          <dgm:animLvl val="lvl"/>
          <dgm:resizeHandles val="exact"/>
        </dgm:presLayoutVars>
      </dgm:prSet>
      <dgm:spPr/>
    </dgm:pt>
    <dgm:pt modelId="{0C7BE515-7F31-4700-A3B5-853C604B0389}" type="pres">
      <dgm:prSet presAssocID="{83293428-CA9B-43F6-B1FB-94E2438753A2}" presName="boxAndChildren" presStyleCnt="0"/>
      <dgm:spPr/>
    </dgm:pt>
    <dgm:pt modelId="{99224E9F-F2EE-4404-86D0-6E37D4D6AEA0}" type="pres">
      <dgm:prSet presAssocID="{83293428-CA9B-43F6-B1FB-94E2438753A2}" presName="parentTextBox" presStyleLbl="node1" presStyleIdx="0" presStyleCnt="5"/>
      <dgm:spPr/>
      <dgm:t>
        <a:bodyPr/>
        <a:lstStyle/>
        <a:p>
          <a:endParaRPr lang="en-GB"/>
        </a:p>
      </dgm:t>
    </dgm:pt>
    <dgm:pt modelId="{82AC2EFF-689F-4C70-A784-676603BFB9F0}" type="pres">
      <dgm:prSet presAssocID="{705C6292-8E74-4947-AD07-5FEBB2B458C7}" presName="sp" presStyleCnt="0"/>
      <dgm:spPr/>
    </dgm:pt>
    <dgm:pt modelId="{3C7781DB-7FA2-45D7-BE20-43D6B2A3CBAA}" type="pres">
      <dgm:prSet presAssocID="{0E15D390-0A96-4D01-B62E-925F1FC29078}" presName="arrowAndChildren" presStyleCnt="0"/>
      <dgm:spPr/>
    </dgm:pt>
    <dgm:pt modelId="{01DE0F86-F466-495F-A355-8AEC74763233}" type="pres">
      <dgm:prSet presAssocID="{0E15D390-0A96-4D01-B62E-925F1FC29078}" presName="parentTextArrow" presStyleLbl="node1" presStyleIdx="1" presStyleCnt="5"/>
      <dgm:spPr/>
      <dgm:t>
        <a:bodyPr/>
        <a:lstStyle/>
        <a:p>
          <a:endParaRPr lang="en-GB"/>
        </a:p>
      </dgm:t>
    </dgm:pt>
    <dgm:pt modelId="{FE49C5F9-DC65-4D72-A600-26D011B09A85}" type="pres">
      <dgm:prSet presAssocID="{1E6DE92D-67A2-4D94-A954-F755616A0CCF}" presName="sp" presStyleCnt="0"/>
      <dgm:spPr/>
    </dgm:pt>
    <dgm:pt modelId="{0F47AA70-3426-4E15-8993-021B97F9F9F1}" type="pres">
      <dgm:prSet presAssocID="{87067B4D-7423-416D-9D2F-B0A32EA47B76}" presName="arrowAndChildren" presStyleCnt="0"/>
      <dgm:spPr/>
    </dgm:pt>
    <dgm:pt modelId="{1631108E-87EF-4BE6-90F8-AB2F69566461}" type="pres">
      <dgm:prSet presAssocID="{87067B4D-7423-416D-9D2F-B0A32EA47B76}" presName="parentTextArrow" presStyleLbl="node1" presStyleIdx="2" presStyleCnt="5"/>
      <dgm:spPr/>
      <dgm:t>
        <a:bodyPr/>
        <a:lstStyle/>
        <a:p>
          <a:endParaRPr lang="en-GB"/>
        </a:p>
      </dgm:t>
    </dgm:pt>
    <dgm:pt modelId="{D155A300-07C9-4C05-B97D-326DDF4495A2}" type="pres">
      <dgm:prSet presAssocID="{5A550980-19B5-46B7-9D4B-BCA0D89401A1}" presName="sp" presStyleCnt="0"/>
      <dgm:spPr/>
    </dgm:pt>
    <dgm:pt modelId="{E4433FA9-C353-4022-B099-E34A848440AD}" type="pres">
      <dgm:prSet presAssocID="{7AA5B7A6-0259-47F7-96E4-C721BA704635}" presName="arrowAndChildren" presStyleCnt="0"/>
      <dgm:spPr/>
    </dgm:pt>
    <dgm:pt modelId="{6809986F-C6FC-4A39-B48C-19024DCAD097}" type="pres">
      <dgm:prSet presAssocID="{7AA5B7A6-0259-47F7-96E4-C721BA704635}" presName="parentTextArrow" presStyleLbl="node1" presStyleIdx="3" presStyleCnt="5"/>
      <dgm:spPr/>
      <dgm:t>
        <a:bodyPr/>
        <a:lstStyle/>
        <a:p>
          <a:endParaRPr lang="en-GB"/>
        </a:p>
      </dgm:t>
    </dgm:pt>
    <dgm:pt modelId="{6961FB9D-6E11-4CCF-920F-E59E04F28810}" type="pres">
      <dgm:prSet presAssocID="{D2E2E040-7717-4E79-A686-C5B9696A71C6}" presName="sp" presStyleCnt="0"/>
      <dgm:spPr/>
    </dgm:pt>
    <dgm:pt modelId="{9F0BE27D-A667-4246-B6F5-57A7EE58C8AD}" type="pres">
      <dgm:prSet presAssocID="{D18125EE-B582-430C-98FB-FAE43E6913D5}" presName="arrowAndChildren" presStyleCnt="0"/>
      <dgm:spPr/>
    </dgm:pt>
    <dgm:pt modelId="{F7E8048E-DA0D-4838-8DD7-DE684960A8FB}" type="pres">
      <dgm:prSet presAssocID="{D18125EE-B582-430C-98FB-FAE43E6913D5}" presName="parentTextArrow" presStyleLbl="node1" presStyleIdx="4" presStyleCnt="5"/>
      <dgm:spPr/>
      <dgm:t>
        <a:bodyPr/>
        <a:lstStyle/>
        <a:p>
          <a:endParaRPr lang="en-GB"/>
        </a:p>
      </dgm:t>
    </dgm:pt>
  </dgm:ptLst>
  <dgm:cxnLst>
    <dgm:cxn modelId="{6EDFEDA3-57BE-F846-AB6B-07E2D8091325}" type="presOf" srcId="{0E15D390-0A96-4D01-B62E-925F1FC29078}" destId="{01DE0F86-F466-495F-A355-8AEC74763233}" srcOrd="0" destOrd="0" presId="urn:microsoft.com/office/officeart/2005/8/layout/process4"/>
    <dgm:cxn modelId="{AA3C9D14-DDEA-42F9-91FF-85EF89C5C045}" srcId="{72883ED7-F014-44CC-B449-AA8AB623EFE1}" destId="{D18125EE-B582-430C-98FB-FAE43E6913D5}" srcOrd="0" destOrd="0" parTransId="{D36F855E-C4F5-49DF-9F3A-CCE9659C9DA5}" sibTransId="{D2E2E040-7717-4E79-A686-C5B9696A71C6}"/>
    <dgm:cxn modelId="{72C09515-226C-4E48-A8AD-277BC58B5F00}" type="presOf" srcId="{87067B4D-7423-416D-9D2F-B0A32EA47B76}" destId="{1631108E-87EF-4BE6-90F8-AB2F69566461}" srcOrd="0" destOrd="0" presId="urn:microsoft.com/office/officeart/2005/8/layout/process4"/>
    <dgm:cxn modelId="{8A97CBBD-D458-4280-B788-ADDC9666FA1B}" srcId="{72883ED7-F014-44CC-B449-AA8AB623EFE1}" destId="{87067B4D-7423-416D-9D2F-B0A32EA47B76}" srcOrd="2" destOrd="0" parTransId="{F078A704-33F0-4860-81B9-51C2E9F800C8}" sibTransId="{1E6DE92D-67A2-4D94-A954-F755616A0CCF}"/>
    <dgm:cxn modelId="{FFD6A74A-CA65-2241-AF74-3E619E7ACC87}" type="presOf" srcId="{D18125EE-B582-430C-98FB-FAE43E6913D5}" destId="{F7E8048E-DA0D-4838-8DD7-DE684960A8FB}" srcOrd="0" destOrd="0" presId="urn:microsoft.com/office/officeart/2005/8/layout/process4"/>
    <dgm:cxn modelId="{67B64121-5C13-904E-8C39-A0E4D5143A05}" type="presOf" srcId="{83293428-CA9B-43F6-B1FB-94E2438753A2}" destId="{99224E9F-F2EE-4404-86D0-6E37D4D6AEA0}" srcOrd="0" destOrd="0" presId="urn:microsoft.com/office/officeart/2005/8/layout/process4"/>
    <dgm:cxn modelId="{7AA0E5AE-A528-A243-BD69-4F3EEB6C4E18}" type="presOf" srcId="{7AA5B7A6-0259-47F7-96E4-C721BA704635}" destId="{6809986F-C6FC-4A39-B48C-19024DCAD097}" srcOrd="0" destOrd="0" presId="urn:microsoft.com/office/officeart/2005/8/layout/process4"/>
    <dgm:cxn modelId="{6E2B2A5C-93FA-493B-B00E-28E06E024AD4}" srcId="{72883ED7-F014-44CC-B449-AA8AB623EFE1}" destId="{7AA5B7A6-0259-47F7-96E4-C721BA704635}" srcOrd="1" destOrd="0" parTransId="{306428AF-2C0F-4A97-9CBC-FE904C71CD97}" sibTransId="{5A550980-19B5-46B7-9D4B-BCA0D89401A1}"/>
    <dgm:cxn modelId="{DADFD367-8BC8-4348-ACBC-35BBA92D0162}" srcId="{72883ED7-F014-44CC-B449-AA8AB623EFE1}" destId="{0E15D390-0A96-4D01-B62E-925F1FC29078}" srcOrd="3" destOrd="0" parTransId="{22CA8B9D-4B9D-4FFE-8B95-1621CA61559D}" sibTransId="{705C6292-8E74-4947-AD07-5FEBB2B458C7}"/>
    <dgm:cxn modelId="{0C90256A-0ABD-5448-9C4D-921E90EC67AF}" type="presOf" srcId="{72883ED7-F014-44CC-B449-AA8AB623EFE1}" destId="{25638FD5-66AB-4452-A97E-7EFA6BFB39BA}" srcOrd="0" destOrd="0" presId="urn:microsoft.com/office/officeart/2005/8/layout/process4"/>
    <dgm:cxn modelId="{D33FB29C-8901-4829-B4E5-76901E384E71}" srcId="{72883ED7-F014-44CC-B449-AA8AB623EFE1}" destId="{83293428-CA9B-43F6-B1FB-94E2438753A2}" srcOrd="4" destOrd="0" parTransId="{2FB53B13-540D-405C-9E86-A4FBCE8F5BCE}" sibTransId="{AA570127-1661-4507-B9F2-30101EF0BE62}"/>
    <dgm:cxn modelId="{5305C2F8-F644-2947-9A70-FF2ABD3F6526}" type="presParOf" srcId="{25638FD5-66AB-4452-A97E-7EFA6BFB39BA}" destId="{0C7BE515-7F31-4700-A3B5-853C604B0389}" srcOrd="0" destOrd="0" presId="urn:microsoft.com/office/officeart/2005/8/layout/process4"/>
    <dgm:cxn modelId="{999D4DD7-ACC3-4A47-A2B5-F3481B6F8FD3}" type="presParOf" srcId="{0C7BE515-7F31-4700-A3B5-853C604B0389}" destId="{99224E9F-F2EE-4404-86D0-6E37D4D6AEA0}" srcOrd="0" destOrd="0" presId="urn:microsoft.com/office/officeart/2005/8/layout/process4"/>
    <dgm:cxn modelId="{98E05A02-F417-5649-A6A1-86F799EF780E}" type="presParOf" srcId="{25638FD5-66AB-4452-A97E-7EFA6BFB39BA}" destId="{82AC2EFF-689F-4C70-A784-676603BFB9F0}" srcOrd="1" destOrd="0" presId="urn:microsoft.com/office/officeart/2005/8/layout/process4"/>
    <dgm:cxn modelId="{76973EC7-BB99-914A-9C2A-92E11D1B1EA0}" type="presParOf" srcId="{25638FD5-66AB-4452-A97E-7EFA6BFB39BA}" destId="{3C7781DB-7FA2-45D7-BE20-43D6B2A3CBAA}" srcOrd="2" destOrd="0" presId="urn:microsoft.com/office/officeart/2005/8/layout/process4"/>
    <dgm:cxn modelId="{6AEAD048-0AF5-354F-A20E-61BA79B0E392}" type="presParOf" srcId="{3C7781DB-7FA2-45D7-BE20-43D6B2A3CBAA}" destId="{01DE0F86-F466-495F-A355-8AEC74763233}" srcOrd="0" destOrd="0" presId="urn:microsoft.com/office/officeart/2005/8/layout/process4"/>
    <dgm:cxn modelId="{54A1E042-CA81-294E-BE16-800B5F8928E5}" type="presParOf" srcId="{25638FD5-66AB-4452-A97E-7EFA6BFB39BA}" destId="{FE49C5F9-DC65-4D72-A600-26D011B09A85}" srcOrd="3" destOrd="0" presId="urn:microsoft.com/office/officeart/2005/8/layout/process4"/>
    <dgm:cxn modelId="{F9B1CC19-260E-8B4C-8129-9397216B29FA}" type="presParOf" srcId="{25638FD5-66AB-4452-A97E-7EFA6BFB39BA}" destId="{0F47AA70-3426-4E15-8993-021B97F9F9F1}" srcOrd="4" destOrd="0" presId="urn:microsoft.com/office/officeart/2005/8/layout/process4"/>
    <dgm:cxn modelId="{E1EF137D-3073-F645-BF89-51BBD71FB24E}" type="presParOf" srcId="{0F47AA70-3426-4E15-8993-021B97F9F9F1}" destId="{1631108E-87EF-4BE6-90F8-AB2F69566461}" srcOrd="0" destOrd="0" presId="urn:microsoft.com/office/officeart/2005/8/layout/process4"/>
    <dgm:cxn modelId="{D509B157-4B27-904D-9624-9B57F490FF1F}" type="presParOf" srcId="{25638FD5-66AB-4452-A97E-7EFA6BFB39BA}" destId="{D155A300-07C9-4C05-B97D-326DDF4495A2}" srcOrd="5" destOrd="0" presId="urn:microsoft.com/office/officeart/2005/8/layout/process4"/>
    <dgm:cxn modelId="{B2BA830B-EAC7-604A-ABF4-A4A3D7B361D1}" type="presParOf" srcId="{25638FD5-66AB-4452-A97E-7EFA6BFB39BA}" destId="{E4433FA9-C353-4022-B099-E34A848440AD}" srcOrd="6" destOrd="0" presId="urn:microsoft.com/office/officeart/2005/8/layout/process4"/>
    <dgm:cxn modelId="{6882D335-CD46-894E-BD7E-CA629503FC1E}" type="presParOf" srcId="{E4433FA9-C353-4022-B099-E34A848440AD}" destId="{6809986F-C6FC-4A39-B48C-19024DCAD097}" srcOrd="0" destOrd="0" presId="urn:microsoft.com/office/officeart/2005/8/layout/process4"/>
    <dgm:cxn modelId="{7D99E23E-EFB9-7D40-A864-42A431E4017F}" type="presParOf" srcId="{25638FD5-66AB-4452-A97E-7EFA6BFB39BA}" destId="{6961FB9D-6E11-4CCF-920F-E59E04F28810}" srcOrd="7" destOrd="0" presId="urn:microsoft.com/office/officeart/2005/8/layout/process4"/>
    <dgm:cxn modelId="{C5587CBE-ACC9-D04F-9BD8-95F3CE6AB833}" type="presParOf" srcId="{25638FD5-66AB-4452-A97E-7EFA6BFB39BA}" destId="{9F0BE27D-A667-4246-B6F5-57A7EE58C8AD}" srcOrd="8" destOrd="0" presId="urn:microsoft.com/office/officeart/2005/8/layout/process4"/>
    <dgm:cxn modelId="{2E6F6005-09CC-C04E-9328-77F8C0BD500D}" type="presParOf" srcId="{9F0BE27D-A667-4246-B6F5-57A7EE58C8AD}" destId="{F7E8048E-DA0D-4838-8DD7-DE684960A8FB}" srcOrd="0"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E80359-5155-4D5D-9226-841ECE326DD2}"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EEA22D28-54E9-4801-9E39-0AEE1F3EE78B}">
      <dgm:prSet phldrT="[Text]" custT="1"/>
      <dgm:spPr/>
      <dgm:t>
        <a:bodyPr/>
        <a:lstStyle/>
        <a:p>
          <a:r>
            <a:rPr lang="en-GB" sz="1200" b="1">
              <a:latin typeface="Times New Roman" panose="02020603050405020304" pitchFamily="18" charset="0"/>
              <a:cs typeface="Times New Roman" panose="02020603050405020304" pitchFamily="18" charset="0"/>
            </a:rPr>
            <a:t>Before</a:t>
          </a:r>
        </a:p>
      </dgm:t>
    </dgm:pt>
    <dgm:pt modelId="{1776EC3B-4EAF-42EB-9B5D-E4B6429E2D69}" type="parTrans" cxnId="{4D234C24-E3C4-47CD-B697-D14D5ADBC8B4}">
      <dgm:prSet/>
      <dgm:spPr/>
      <dgm:t>
        <a:bodyPr/>
        <a:lstStyle/>
        <a:p>
          <a:endParaRPr lang="en-GB" sz="1200">
            <a:latin typeface="Times New Roman" panose="02020603050405020304" pitchFamily="18" charset="0"/>
            <a:cs typeface="Times New Roman" panose="02020603050405020304" pitchFamily="18" charset="0"/>
          </a:endParaRPr>
        </a:p>
      </dgm:t>
    </dgm:pt>
    <dgm:pt modelId="{11186700-B879-47A0-911D-41270BA2A18A}" type="sibTrans" cxnId="{4D234C24-E3C4-47CD-B697-D14D5ADBC8B4}">
      <dgm:prSet/>
      <dgm:spPr/>
      <dgm:t>
        <a:bodyPr/>
        <a:lstStyle/>
        <a:p>
          <a:endParaRPr lang="en-GB" sz="1200">
            <a:latin typeface="Times New Roman" panose="02020603050405020304" pitchFamily="18" charset="0"/>
            <a:cs typeface="Times New Roman" panose="02020603050405020304" pitchFamily="18" charset="0"/>
          </a:endParaRPr>
        </a:p>
      </dgm:t>
    </dgm:pt>
    <dgm:pt modelId="{BA3F1D4E-F435-40D5-86CA-3D8AEEC991E7}">
      <dgm:prSet phldrT="[Text]" custT="1"/>
      <dgm:spPr/>
      <dgm:t>
        <a:bodyPr/>
        <a:lstStyle/>
        <a:p>
          <a:pPr algn="ctr"/>
          <a:r>
            <a:rPr lang="en-GB" sz="1200">
              <a:latin typeface="Times New Roman" panose="02020603050405020304" pitchFamily="18" charset="0"/>
              <a:cs typeface="Times New Roman" panose="02020603050405020304" pitchFamily="18" charset="0"/>
            </a:rPr>
            <a:t>Self-efficacy</a:t>
          </a:r>
        </a:p>
      </dgm:t>
    </dgm:pt>
    <dgm:pt modelId="{E3E49EE9-666B-412E-98CC-6196FCD29E75}" type="parTrans" cxnId="{B3D28E56-5DF7-444B-942C-A9E248B8AE04}">
      <dgm:prSet/>
      <dgm:spPr/>
      <dgm:t>
        <a:bodyPr/>
        <a:lstStyle/>
        <a:p>
          <a:endParaRPr lang="en-GB" sz="1200">
            <a:latin typeface="Times New Roman" panose="02020603050405020304" pitchFamily="18" charset="0"/>
            <a:cs typeface="Times New Roman" panose="02020603050405020304" pitchFamily="18" charset="0"/>
          </a:endParaRPr>
        </a:p>
      </dgm:t>
    </dgm:pt>
    <dgm:pt modelId="{04E0AC57-F780-4603-980C-0DD9488DCD3F}" type="sibTrans" cxnId="{B3D28E56-5DF7-444B-942C-A9E248B8AE04}">
      <dgm:prSet/>
      <dgm:spPr/>
      <dgm:t>
        <a:bodyPr/>
        <a:lstStyle/>
        <a:p>
          <a:endParaRPr lang="en-GB" sz="1200">
            <a:latin typeface="Times New Roman" panose="02020603050405020304" pitchFamily="18" charset="0"/>
            <a:cs typeface="Times New Roman" panose="02020603050405020304" pitchFamily="18" charset="0"/>
          </a:endParaRPr>
        </a:p>
      </dgm:t>
    </dgm:pt>
    <dgm:pt modelId="{945E4A6D-DCD0-40C0-969D-A282D3BC66CB}">
      <dgm:prSet phldrT="[Text]" custT="1"/>
      <dgm:spPr/>
      <dgm:t>
        <a:bodyPr/>
        <a:lstStyle/>
        <a:p>
          <a:pPr algn="ctr"/>
          <a:r>
            <a:rPr lang="en-GB" sz="1200">
              <a:latin typeface="Times New Roman" panose="02020603050405020304" pitchFamily="18" charset="0"/>
              <a:cs typeface="Times New Roman" panose="02020603050405020304" pitchFamily="18" charset="0"/>
            </a:rPr>
            <a:t>Strategic planning</a:t>
          </a:r>
        </a:p>
      </dgm:t>
    </dgm:pt>
    <dgm:pt modelId="{FC19F0E3-B6D2-4F50-9BB2-074CC448B811}" type="parTrans" cxnId="{964B4351-4A63-41A1-8BB1-B3B7A0AB7AFB}">
      <dgm:prSet/>
      <dgm:spPr/>
      <dgm:t>
        <a:bodyPr/>
        <a:lstStyle/>
        <a:p>
          <a:endParaRPr lang="en-GB" sz="1200">
            <a:latin typeface="Times New Roman" panose="02020603050405020304" pitchFamily="18" charset="0"/>
            <a:cs typeface="Times New Roman" panose="02020603050405020304" pitchFamily="18" charset="0"/>
          </a:endParaRPr>
        </a:p>
      </dgm:t>
    </dgm:pt>
    <dgm:pt modelId="{BF9F50A4-B2B7-4A59-A575-B3FE23DB7A3E}" type="sibTrans" cxnId="{964B4351-4A63-41A1-8BB1-B3B7A0AB7AFB}">
      <dgm:prSet/>
      <dgm:spPr/>
      <dgm:t>
        <a:bodyPr/>
        <a:lstStyle/>
        <a:p>
          <a:endParaRPr lang="en-GB" sz="1200">
            <a:latin typeface="Times New Roman" panose="02020603050405020304" pitchFamily="18" charset="0"/>
            <a:cs typeface="Times New Roman" panose="02020603050405020304" pitchFamily="18" charset="0"/>
          </a:endParaRPr>
        </a:p>
      </dgm:t>
    </dgm:pt>
    <dgm:pt modelId="{0B7A4E34-868A-4F3F-811A-EA35AAB705DC}">
      <dgm:prSet phldrT="[Text]" custT="1"/>
      <dgm:spPr/>
      <dgm:t>
        <a:bodyPr/>
        <a:lstStyle/>
        <a:p>
          <a:r>
            <a:rPr lang="en-GB" sz="1200" b="1">
              <a:latin typeface="Times New Roman" panose="02020603050405020304" pitchFamily="18" charset="0"/>
              <a:cs typeface="Times New Roman" panose="02020603050405020304" pitchFamily="18" charset="0"/>
            </a:rPr>
            <a:t>During</a:t>
          </a:r>
        </a:p>
      </dgm:t>
    </dgm:pt>
    <dgm:pt modelId="{8AFDA79A-B931-4504-ADA6-8A2D7BC34A75}" type="parTrans" cxnId="{ABBF79E1-E0E5-4E74-A04A-633C265F393A}">
      <dgm:prSet/>
      <dgm:spPr/>
      <dgm:t>
        <a:bodyPr/>
        <a:lstStyle/>
        <a:p>
          <a:endParaRPr lang="en-GB" sz="1200">
            <a:latin typeface="Times New Roman" panose="02020603050405020304" pitchFamily="18" charset="0"/>
            <a:cs typeface="Times New Roman" panose="02020603050405020304" pitchFamily="18" charset="0"/>
          </a:endParaRPr>
        </a:p>
      </dgm:t>
    </dgm:pt>
    <dgm:pt modelId="{84F24700-C963-46EB-8614-4F7ECB8224C0}" type="sibTrans" cxnId="{ABBF79E1-E0E5-4E74-A04A-633C265F393A}">
      <dgm:prSet/>
      <dgm:spPr/>
      <dgm:t>
        <a:bodyPr/>
        <a:lstStyle/>
        <a:p>
          <a:endParaRPr lang="en-GB" sz="1200">
            <a:latin typeface="Times New Roman" panose="02020603050405020304" pitchFamily="18" charset="0"/>
            <a:cs typeface="Times New Roman" panose="02020603050405020304" pitchFamily="18" charset="0"/>
          </a:endParaRPr>
        </a:p>
      </dgm:t>
    </dgm:pt>
    <dgm:pt modelId="{944D2317-DC17-4387-BA6C-C20608745D90}">
      <dgm:prSet phldrT="[Text]" custT="1"/>
      <dgm:spPr/>
      <dgm:t>
        <a:bodyPr/>
        <a:lstStyle/>
        <a:p>
          <a:pPr algn="ctr"/>
          <a:r>
            <a:rPr lang="en-GB" sz="1200">
              <a:latin typeface="Times New Roman" panose="02020603050405020304" pitchFamily="18" charset="0"/>
              <a:cs typeface="Times New Roman" panose="02020603050405020304" pitchFamily="18" charset="0"/>
            </a:rPr>
            <a:t>Metacognitive monitoring</a:t>
          </a:r>
        </a:p>
      </dgm:t>
    </dgm:pt>
    <dgm:pt modelId="{E78897BB-1AFB-40B0-83DD-182E8A5D06E3}" type="parTrans" cxnId="{BB70078F-4540-4B02-8BD2-7042C131650A}">
      <dgm:prSet/>
      <dgm:spPr/>
      <dgm:t>
        <a:bodyPr/>
        <a:lstStyle/>
        <a:p>
          <a:endParaRPr lang="en-GB" sz="1200">
            <a:latin typeface="Times New Roman" panose="02020603050405020304" pitchFamily="18" charset="0"/>
            <a:cs typeface="Times New Roman" panose="02020603050405020304" pitchFamily="18" charset="0"/>
          </a:endParaRPr>
        </a:p>
      </dgm:t>
    </dgm:pt>
    <dgm:pt modelId="{6495984D-F402-493F-A251-BA187A538C75}" type="sibTrans" cxnId="{BB70078F-4540-4B02-8BD2-7042C131650A}">
      <dgm:prSet/>
      <dgm:spPr/>
      <dgm:t>
        <a:bodyPr/>
        <a:lstStyle/>
        <a:p>
          <a:endParaRPr lang="en-GB" sz="1200">
            <a:latin typeface="Times New Roman" panose="02020603050405020304" pitchFamily="18" charset="0"/>
            <a:cs typeface="Times New Roman" panose="02020603050405020304" pitchFamily="18" charset="0"/>
          </a:endParaRPr>
        </a:p>
      </dgm:t>
    </dgm:pt>
    <dgm:pt modelId="{9CFE1F77-F964-46E5-9F2D-33C97FB8D289}">
      <dgm:prSet phldrT="[Text]" custT="1"/>
      <dgm:spPr/>
      <dgm:t>
        <a:bodyPr/>
        <a:lstStyle/>
        <a:p>
          <a:r>
            <a:rPr lang="en-GB" sz="1200" b="1">
              <a:latin typeface="Times New Roman" panose="02020603050405020304" pitchFamily="18" charset="0"/>
              <a:cs typeface="Times New Roman" panose="02020603050405020304" pitchFamily="18" charset="0"/>
            </a:rPr>
            <a:t>After</a:t>
          </a:r>
        </a:p>
      </dgm:t>
    </dgm:pt>
    <dgm:pt modelId="{0F9E9E6C-756C-4EF1-A505-3181F9861509}" type="parTrans" cxnId="{257F99D8-5771-4E99-AC65-6A6EA89F9A6F}">
      <dgm:prSet/>
      <dgm:spPr/>
      <dgm:t>
        <a:bodyPr/>
        <a:lstStyle/>
        <a:p>
          <a:endParaRPr lang="en-GB" sz="1200">
            <a:latin typeface="Times New Roman" panose="02020603050405020304" pitchFamily="18" charset="0"/>
            <a:cs typeface="Times New Roman" panose="02020603050405020304" pitchFamily="18" charset="0"/>
          </a:endParaRPr>
        </a:p>
      </dgm:t>
    </dgm:pt>
    <dgm:pt modelId="{DBE39BB7-4E11-4E0B-BD02-4CD0AC665FED}" type="sibTrans" cxnId="{257F99D8-5771-4E99-AC65-6A6EA89F9A6F}">
      <dgm:prSet/>
      <dgm:spPr/>
      <dgm:t>
        <a:bodyPr/>
        <a:lstStyle/>
        <a:p>
          <a:endParaRPr lang="en-GB" sz="1200">
            <a:latin typeface="Times New Roman" panose="02020603050405020304" pitchFamily="18" charset="0"/>
            <a:cs typeface="Times New Roman" panose="02020603050405020304" pitchFamily="18" charset="0"/>
          </a:endParaRPr>
        </a:p>
      </dgm:t>
    </dgm:pt>
    <dgm:pt modelId="{AC3DD39F-297D-459E-A8B5-9ACB5480E3DE}">
      <dgm:prSet phldrT="[Text]" custT="1"/>
      <dgm:spPr/>
      <dgm:t>
        <a:bodyPr/>
        <a:lstStyle/>
        <a:p>
          <a:pPr algn="ctr"/>
          <a:r>
            <a:rPr lang="en-GB" sz="1200">
              <a:latin typeface="Times New Roman" panose="02020603050405020304" pitchFamily="18" charset="0"/>
              <a:cs typeface="Times New Roman" panose="02020603050405020304" pitchFamily="18" charset="0"/>
            </a:rPr>
            <a:t>Adaptive inferences</a:t>
          </a:r>
        </a:p>
      </dgm:t>
    </dgm:pt>
    <dgm:pt modelId="{874AEAAC-B5E7-43C6-A39A-81F194C596C5}" type="parTrans" cxnId="{F90EE180-6B16-42AA-9A9F-08C944A52C99}">
      <dgm:prSet/>
      <dgm:spPr/>
      <dgm:t>
        <a:bodyPr/>
        <a:lstStyle/>
        <a:p>
          <a:endParaRPr lang="en-GB" sz="1200">
            <a:latin typeface="Times New Roman" panose="02020603050405020304" pitchFamily="18" charset="0"/>
            <a:cs typeface="Times New Roman" panose="02020603050405020304" pitchFamily="18" charset="0"/>
          </a:endParaRPr>
        </a:p>
      </dgm:t>
    </dgm:pt>
    <dgm:pt modelId="{F4218ED6-FEAD-4735-8624-4BD763308AC7}" type="sibTrans" cxnId="{F90EE180-6B16-42AA-9A9F-08C944A52C99}">
      <dgm:prSet/>
      <dgm:spPr/>
      <dgm:t>
        <a:bodyPr/>
        <a:lstStyle/>
        <a:p>
          <a:endParaRPr lang="en-GB" sz="1200">
            <a:latin typeface="Times New Roman" panose="02020603050405020304" pitchFamily="18" charset="0"/>
            <a:cs typeface="Times New Roman" panose="02020603050405020304" pitchFamily="18" charset="0"/>
          </a:endParaRPr>
        </a:p>
      </dgm:t>
    </dgm:pt>
    <dgm:pt modelId="{10B3ADCC-684F-44C9-8FE3-A65FDC6A3976}">
      <dgm:prSet phldrT="[Text]" custT="1"/>
      <dgm:spPr/>
      <dgm:t>
        <a:bodyPr/>
        <a:lstStyle/>
        <a:p>
          <a:pPr algn="ctr"/>
          <a:r>
            <a:rPr lang="en-GB" sz="1200">
              <a:latin typeface="Times New Roman" panose="02020603050405020304" pitchFamily="18" charset="0"/>
              <a:cs typeface="Times New Roman" panose="02020603050405020304" pitchFamily="18" charset="0"/>
            </a:rPr>
            <a:t>Goal setting</a:t>
          </a:r>
        </a:p>
      </dgm:t>
    </dgm:pt>
    <dgm:pt modelId="{6A574E66-D5E3-4DD8-B21C-22920C3856DA}" type="parTrans" cxnId="{1985EB1C-F7EF-42D0-9F84-FA0B21224008}">
      <dgm:prSet/>
      <dgm:spPr/>
      <dgm:t>
        <a:bodyPr/>
        <a:lstStyle/>
        <a:p>
          <a:endParaRPr lang="en-GB" sz="1200">
            <a:latin typeface="Times New Roman" panose="02020603050405020304" pitchFamily="18" charset="0"/>
            <a:cs typeface="Times New Roman" panose="02020603050405020304" pitchFamily="18" charset="0"/>
          </a:endParaRPr>
        </a:p>
      </dgm:t>
    </dgm:pt>
    <dgm:pt modelId="{005B22EB-9F27-4375-AD15-7E61A0B2F8E3}" type="sibTrans" cxnId="{1985EB1C-F7EF-42D0-9F84-FA0B21224008}">
      <dgm:prSet/>
      <dgm:spPr/>
      <dgm:t>
        <a:bodyPr/>
        <a:lstStyle/>
        <a:p>
          <a:endParaRPr lang="en-GB" sz="1200">
            <a:latin typeface="Times New Roman" panose="02020603050405020304" pitchFamily="18" charset="0"/>
            <a:cs typeface="Times New Roman" panose="02020603050405020304" pitchFamily="18" charset="0"/>
          </a:endParaRPr>
        </a:p>
      </dgm:t>
    </dgm:pt>
    <dgm:pt modelId="{F45717DA-7AD7-4EFE-B4DF-851B41DACDCC}">
      <dgm:prSet phldrT="[Text]" custT="1"/>
      <dgm:spPr/>
      <dgm:t>
        <a:bodyPr/>
        <a:lstStyle/>
        <a:p>
          <a:pPr algn="ctr"/>
          <a:r>
            <a:rPr lang="en-GB" sz="1200">
              <a:latin typeface="Times New Roman" panose="02020603050405020304" pitchFamily="18" charset="0"/>
              <a:cs typeface="Times New Roman" panose="02020603050405020304" pitchFamily="18" charset="0"/>
            </a:rPr>
            <a:t>Situational awareness</a:t>
          </a:r>
        </a:p>
      </dgm:t>
    </dgm:pt>
    <dgm:pt modelId="{50C2B7B3-8BAB-4BF0-A26C-516531FCE5BB}" type="parTrans" cxnId="{6A0A157C-A755-4815-99BB-43C7EB8DD5B8}">
      <dgm:prSet/>
      <dgm:spPr/>
      <dgm:t>
        <a:bodyPr/>
        <a:lstStyle/>
        <a:p>
          <a:endParaRPr lang="en-GB" sz="1200">
            <a:latin typeface="Times New Roman" panose="02020603050405020304" pitchFamily="18" charset="0"/>
            <a:cs typeface="Times New Roman" panose="02020603050405020304" pitchFamily="18" charset="0"/>
          </a:endParaRPr>
        </a:p>
      </dgm:t>
    </dgm:pt>
    <dgm:pt modelId="{D80F2241-76F8-4C46-BBB6-BC6B705E0D3B}" type="sibTrans" cxnId="{6A0A157C-A755-4815-99BB-43C7EB8DD5B8}">
      <dgm:prSet/>
      <dgm:spPr/>
      <dgm:t>
        <a:bodyPr/>
        <a:lstStyle/>
        <a:p>
          <a:endParaRPr lang="en-GB" sz="1200">
            <a:latin typeface="Times New Roman" panose="02020603050405020304" pitchFamily="18" charset="0"/>
            <a:cs typeface="Times New Roman" panose="02020603050405020304" pitchFamily="18" charset="0"/>
          </a:endParaRPr>
        </a:p>
      </dgm:t>
    </dgm:pt>
    <dgm:pt modelId="{1EA7F1E5-2304-4EBA-B191-C5EA8DA63296}">
      <dgm:prSet phldrT="[Text]" custT="1"/>
      <dgm:spPr/>
      <dgm:t>
        <a:bodyPr/>
        <a:lstStyle/>
        <a:p>
          <a:pPr algn="ctr"/>
          <a:r>
            <a:rPr lang="en-GB" sz="1200">
              <a:latin typeface="Times New Roman" panose="02020603050405020304" pitchFamily="18" charset="0"/>
              <a:cs typeface="Times New Roman" panose="02020603050405020304" pitchFamily="18" charset="0"/>
            </a:rPr>
            <a:t>Attributional beliefs</a:t>
          </a:r>
        </a:p>
      </dgm:t>
    </dgm:pt>
    <dgm:pt modelId="{242CA465-3F4F-49B4-950E-033B8633104C}" type="parTrans" cxnId="{DCEDB2EF-F92C-41D3-A06D-FBC38DF0E792}">
      <dgm:prSet/>
      <dgm:spPr/>
      <dgm:t>
        <a:bodyPr/>
        <a:lstStyle/>
        <a:p>
          <a:endParaRPr lang="en-GB" sz="1200">
            <a:latin typeface="Times New Roman" panose="02020603050405020304" pitchFamily="18" charset="0"/>
            <a:cs typeface="Times New Roman" panose="02020603050405020304" pitchFamily="18" charset="0"/>
          </a:endParaRPr>
        </a:p>
      </dgm:t>
    </dgm:pt>
    <dgm:pt modelId="{7F6E2402-238B-488B-B7CC-62A4D2A9E50D}" type="sibTrans" cxnId="{DCEDB2EF-F92C-41D3-A06D-FBC38DF0E792}">
      <dgm:prSet/>
      <dgm:spPr/>
      <dgm:t>
        <a:bodyPr/>
        <a:lstStyle/>
        <a:p>
          <a:endParaRPr lang="en-GB" sz="1200">
            <a:latin typeface="Times New Roman" panose="02020603050405020304" pitchFamily="18" charset="0"/>
            <a:cs typeface="Times New Roman" panose="02020603050405020304" pitchFamily="18" charset="0"/>
          </a:endParaRPr>
        </a:p>
      </dgm:t>
    </dgm:pt>
    <dgm:pt modelId="{D96FFAF2-7619-475E-9AD2-163A561E6956}" type="pres">
      <dgm:prSet presAssocID="{07E80359-5155-4D5D-9226-841ECE326DD2}" presName="Name0" presStyleCnt="0">
        <dgm:presLayoutVars>
          <dgm:chPref val="3"/>
          <dgm:dir/>
          <dgm:animLvl val="lvl"/>
          <dgm:resizeHandles/>
        </dgm:presLayoutVars>
      </dgm:prSet>
      <dgm:spPr/>
      <dgm:t>
        <a:bodyPr/>
        <a:lstStyle/>
        <a:p>
          <a:endParaRPr lang="en-GB"/>
        </a:p>
      </dgm:t>
    </dgm:pt>
    <dgm:pt modelId="{60C769E3-210F-4203-9B8E-0E0B9CB9E9CB}" type="pres">
      <dgm:prSet presAssocID="{EEA22D28-54E9-4801-9E39-0AEE1F3EE78B}" presName="horFlow" presStyleCnt="0"/>
      <dgm:spPr/>
    </dgm:pt>
    <dgm:pt modelId="{E90B2AD8-21D2-4CF9-ADF8-A85D61ADDA0A}" type="pres">
      <dgm:prSet presAssocID="{EEA22D28-54E9-4801-9E39-0AEE1F3EE78B}" presName="bigChev" presStyleLbl="node1" presStyleIdx="0" presStyleCnt="3"/>
      <dgm:spPr/>
      <dgm:t>
        <a:bodyPr/>
        <a:lstStyle/>
        <a:p>
          <a:endParaRPr lang="en-GB"/>
        </a:p>
      </dgm:t>
    </dgm:pt>
    <dgm:pt modelId="{B3A457CD-64EB-4243-B898-F25F605B122B}" type="pres">
      <dgm:prSet presAssocID="{E3E49EE9-666B-412E-98CC-6196FCD29E75}" presName="parTrans" presStyleCnt="0"/>
      <dgm:spPr/>
    </dgm:pt>
    <dgm:pt modelId="{D3D24D79-164E-4A5F-98A8-26503BE630AF}" type="pres">
      <dgm:prSet presAssocID="{BA3F1D4E-F435-40D5-86CA-3D8AEEC991E7}" presName="node" presStyleLbl="alignAccFollowNode1" presStyleIdx="0" presStyleCnt="7">
        <dgm:presLayoutVars>
          <dgm:bulletEnabled val="1"/>
        </dgm:presLayoutVars>
      </dgm:prSet>
      <dgm:spPr/>
      <dgm:t>
        <a:bodyPr/>
        <a:lstStyle/>
        <a:p>
          <a:endParaRPr lang="en-GB"/>
        </a:p>
      </dgm:t>
    </dgm:pt>
    <dgm:pt modelId="{27DC654E-53D4-41E5-9F64-4BB569FB7A36}" type="pres">
      <dgm:prSet presAssocID="{04E0AC57-F780-4603-980C-0DD9488DCD3F}" presName="sibTrans" presStyleCnt="0"/>
      <dgm:spPr/>
    </dgm:pt>
    <dgm:pt modelId="{ADC2AC76-704A-44B4-8D22-B7F30B2464C1}" type="pres">
      <dgm:prSet presAssocID="{10B3ADCC-684F-44C9-8FE3-A65FDC6A3976}" presName="node" presStyleLbl="alignAccFollowNode1" presStyleIdx="1" presStyleCnt="7">
        <dgm:presLayoutVars>
          <dgm:bulletEnabled val="1"/>
        </dgm:presLayoutVars>
      </dgm:prSet>
      <dgm:spPr/>
      <dgm:t>
        <a:bodyPr/>
        <a:lstStyle/>
        <a:p>
          <a:endParaRPr lang="en-GB"/>
        </a:p>
      </dgm:t>
    </dgm:pt>
    <dgm:pt modelId="{EA06DA5A-6230-4ED2-B434-0A5B997609A6}" type="pres">
      <dgm:prSet presAssocID="{005B22EB-9F27-4375-AD15-7E61A0B2F8E3}" presName="sibTrans" presStyleCnt="0"/>
      <dgm:spPr/>
    </dgm:pt>
    <dgm:pt modelId="{58D6972C-05D9-46BF-A009-E7F2E3988656}" type="pres">
      <dgm:prSet presAssocID="{F45717DA-7AD7-4EFE-B4DF-851B41DACDCC}" presName="node" presStyleLbl="alignAccFollowNode1" presStyleIdx="2" presStyleCnt="7" custScaleX="112870">
        <dgm:presLayoutVars>
          <dgm:bulletEnabled val="1"/>
        </dgm:presLayoutVars>
      </dgm:prSet>
      <dgm:spPr/>
      <dgm:t>
        <a:bodyPr/>
        <a:lstStyle/>
        <a:p>
          <a:endParaRPr lang="en-GB"/>
        </a:p>
      </dgm:t>
    </dgm:pt>
    <dgm:pt modelId="{7247C6DA-573B-4C74-8E98-A7AA6385F719}" type="pres">
      <dgm:prSet presAssocID="{D80F2241-76F8-4C46-BBB6-BC6B705E0D3B}" presName="sibTrans" presStyleCnt="0"/>
      <dgm:spPr/>
    </dgm:pt>
    <dgm:pt modelId="{40EEE473-CE4C-4890-BAC5-28AC3C45D587}" type="pres">
      <dgm:prSet presAssocID="{945E4A6D-DCD0-40C0-969D-A282D3BC66CB}" presName="node" presStyleLbl="alignAccFollowNode1" presStyleIdx="3" presStyleCnt="7">
        <dgm:presLayoutVars>
          <dgm:bulletEnabled val="1"/>
        </dgm:presLayoutVars>
      </dgm:prSet>
      <dgm:spPr/>
      <dgm:t>
        <a:bodyPr/>
        <a:lstStyle/>
        <a:p>
          <a:endParaRPr lang="en-GB"/>
        </a:p>
      </dgm:t>
    </dgm:pt>
    <dgm:pt modelId="{E8FD9563-CDF8-4F66-9575-EB9360E66E88}" type="pres">
      <dgm:prSet presAssocID="{EEA22D28-54E9-4801-9E39-0AEE1F3EE78B}" presName="vSp" presStyleCnt="0"/>
      <dgm:spPr/>
    </dgm:pt>
    <dgm:pt modelId="{41C38214-77D2-46D3-80A6-2A6D2D6849EC}" type="pres">
      <dgm:prSet presAssocID="{0B7A4E34-868A-4F3F-811A-EA35AAB705DC}" presName="horFlow" presStyleCnt="0"/>
      <dgm:spPr/>
    </dgm:pt>
    <dgm:pt modelId="{D11E0790-0A70-4F02-A09E-D419A0DF0098}" type="pres">
      <dgm:prSet presAssocID="{0B7A4E34-868A-4F3F-811A-EA35AAB705DC}" presName="bigChev" presStyleLbl="node1" presStyleIdx="1" presStyleCnt="3"/>
      <dgm:spPr/>
      <dgm:t>
        <a:bodyPr/>
        <a:lstStyle/>
        <a:p>
          <a:endParaRPr lang="en-GB"/>
        </a:p>
      </dgm:t>
    </dgm:pt>
    <dgm:pt modelId="{DF0239C9-138E-4948-9F39-BAD7F5FE4FD7}" type="pres">
      <dgm:prSet presAssocID="{E78897BB-1AFB-40B0-83DD-182E8A5D06E3}" presName="parTrans" presStyleCnt="0"/>
      <dgm:spPr/>
    </dgm:pt>
    <dgm:pt modelId="{E025BA38-EC93-425D-9E29-6A03F823AC23}" type="pres">
      <dgm:prSet presAssocID="{944D2317-DC17-4387-BA6C-C20608745D90}" presName="node" presStyleLbl="alignAccFollowNode1" presStyleIdx="4" presStyleCnt="7" custScaleX="135800">
        <dgm:presLayoutVars>
          <dgm:bulletEnabled val="1"/>
        </dgm:presLayoutVars>
      </dgm:prSet>
      <dgm:spPr/>
      <dgm:t>
        <a:bodyPr/>
        <a:lstStyle/>
        <a:p>
          <a:endParaRPr lang="en-GB"/>
        </a:p>
      </dgm:t>
    </dgm:pt>
    <dgm:pt modelId="{D9AE5686-4D98-4C68-A96F-945C31E9FC95}" type="pres">
      <dgm:prSet presAssocID="{0B7A4E34-868A-4F3F-811A-EA35AAB705DC}" presName="vSp" presStyleCnt="0"/>
      <dgm:spPr/>
    </dgm:pt>
    <dgm:pt modelId="{06D0AF14-D9BD-4B84-B845-5B0E655C8BCF}" type="pres">
      <dgm:prSet presAssocID="{9CFE1F77-F964-46E5-9F2D-33C97FB8D289}" presName="horFlow" presStyleCnt="0"/>
      <dgm:spPr/>
    </dgm:pt>
    <dgm:pt modelId="{FF18B32B-DB46-4A44-AB68-CCD378C4C27F}" type="pres">
      <dgm:prSet presAssocID="{9CFE1F77-F964-46E5-9F2D-33C97FB8D289}" presName="bigChev" presStyleLbl="node1" presStyleIdx="2" presStyleCnt="3"/>
      <dgm:spPr/>
      <dgm:t>
        <a:bodyPr/>
        <a:lstStyle/>
        <a:p>
          <a:endParaRPr lang="en-GB"/>
        </a:p>
      </dgm:t>
    </dgm:pt>
    <dgm:pt modelId="{2A8F9D24-25DE-4778-8CAA-D63CABD485B2}" type="pres">
      <dgm:prSet presAssocID="{874AEAAC-B5E7-43C6-A39A-81F194C596C5}" presName="parTrans" presStyleCnt="0"/>
      <dgm:spPr/>
    </dgm:pt>
    <dgm:pt modelId="{D6692EA7-09FB-4291-9842-9FD3E3B5083B}" type="pres">
      <dgm:prSet presAssocID="{AC3DD39F-297D-459E-A8B5-9ACB5480E3DE}" presName="node" presStyleLbl="alignAccFollowNode1" presStyleIdx="5" presStyleCnt="7" custScaleX="108374">
        <dgm:presLayoutVars>
          <dgm:bulletEnabled val="1"/>
        </dgm:presLayoutVars>
      </dgm:prSet>
      <dgm:spPr/>
      <dgm:t>
        <a:bodyPr/>
        <a:lstStyle/>
        <a:p>
          <a:endParaRPr lang="en-GB"/>
        </a:p>
      </dgm:t>
    </dgm:pt>
    <dgm:pt modelId="{7C6F37C1-027D-496D-8212-956741ADDD3A}" type="pres">
      <dgm:prSet presAssocID="{F4218ED6-FEAD-4735-8624-4BD763308AC7}" presName="sibTrans" presStyleCnt="0"/>
      <dgm:spPr/>
    </dgm:pt>
    <dgm:pt modelId="{53BD64BA-5C3C-4D58-9EA6-DF7585F23EB6}" type="pres">
      <dgm:prSet presAssocID="{1EA7F1E5-2304-4EBA-B191-C5EA8DA63296}" presName="node" presStyleLbl="alignAccFollowNode1" presStyleIdx="6" presStyleCnt="7" custScaleX="112935">
        <dgm:presLayoutVars>
          <dgm:bulletEnabled val="1"/>
        </dgm:presLayoutVars>
      </dgm:prSet>
      <dgm:spPr/>
      <dgm:t>
        <a:bodyPr/>
        <a:lstStyle/>
        <a:p>
          <a:endParaRPr lang="en-GB"/>
        </a:p>
      </dgm:t>
    </dgm:pt>
  </dgm:ptLst>
  <dgm:cxnLst>
    <dgm:cxn modelId="{58D0AA62-905A-094D-A3D8-90C9EF80F949}" type="presOf" srcId="{944D2317-DC17-4387-BA6C-C20608745D90}" destId="{E025BA38-EC93-425D-9E29-6A03F823AC23}" srcOrd="0" destOrd="0" presId="urn:microsoft.com/office/officeart/2005/8/layout/lProcess3"/>
    <dgm:cxn modelId="{4D234C24-E3C4-47CD-B697-D14D5ADBC8B4}" srcId="{07E80359-5155-4D5D-9226-841ECE326DD2}" destId="{EEA22D28-54E9-4801-9E39-0AEE1F3EE78B}" srcOrd="0" destOrd="0" parTransId="{1776EC3B-4EAF-42EB-9B5D-E4B6429E2D69}" sibTransId="{11186700-B879-47A0-911D-41270BA2A18A}"/>
    <dgm:cxn modelId="{C06958A4-4194-FE4E-8461-A40AED44BF9E}" type="presOf" srcId="{F45717DA-7AD7-4EFE-B4DF-851B41DACDCC}" destId="{58D6972C-05D9-46BF-A009-E7F2E3988656}" srcOrd="0" destOrd="0" presId="urn:microsoft.com/office/officeart/2005/8/layout/lProcess3"/>
    <dgm:cxn modelId="{442874BD-E16A-084B-8914-2D837DC56EF1}" type="presOf" srcId="{BA3F1D4E-F435-40D5-86CA-3D8AEEC991E7}" destId="{D3D24D79-164E-4A5F-98A8-26503BE630AF}" srcOrd="0" destOrd="0" presId="urn:microsoft.com/office/officeart/2005/8/layout/lProcess3"/>
    <dgm:cxn modelId="{BF23A96C-A9C3-FA44-BF60-3F1D12F82B4A}" type="presOf" srcId="{1EA7F1E5-2304-4EBA-B191-C5EA8DA63296}" destId="{53BD64BA-5C3C-4D58-9EA6-DF7585F23EB6}" srcOrd="0" destOrd="0" presId="urn:microsoft.com/office/officeart/2005/8/layout/lProcess3"/>
    <dgm:cxn modelId="{B3D28E56-5DF7-444B-942C-A9E248B8AE04}" srcId="{EEA22D28-54E9-4801-9E39-0AEE1F3EE78B}" destId="{BA3F1D4E-F435-40D5-86CA-3D8AEEC991E7}" srcOrd="0" destOrd="0" parTransId="{E3E49EE9-666B-412E-98CC-6196FCD29E75}" sibTransId="{04E0AC57-F780-4603-980C-0DD9488DCD3F}"/>
    <dgm:cxn modelId="{BB70078F-4540-4B02-8BD2-7042C131650A}" srcId="{0B7A4E34-868A-4F3F-811A-EA35AAB705DC}" destId="{944D2317-DC17-4387-BA6C-C20608745D90}" srcOrd="0" destOrd="0" parTransId="{E78897BB-1AFB-40B0-83DD-182E8A5D06E3}" sibTransId="{6495984D-F402-493F-A251-BA187A538C75}"/>
    <dgm:cxn modelId="{1985EB1C-F7EF-42D0-9F84-FA0B21224008}" srcId="{EEA22D28-54E9-4801-9E39-0AEE1F3EE78B}" destId="{10B3ADCC-684F-44C9-8FE3-A65FDC6A3976}" srcOrd="1" destOrd="0" parTransId="{6A574E66-D5E3-4DD8-B21C-22920C3856DA}" sibTransId="{005B22EB-9F27-4375-AD15-7E61A0B2F8E3}"/>
    <dgm:cxn modelId="{AD8D7A60-E03B-6340-9CED-A96E2F7AEF66}" type="presOf" srcId="{10B3ADCC-684F-44C9-8FE3-A65FDC6A3976}" destId="{ADC2AC76-704A-44B4-8D22-B7F30B2464C1}" srcOrd="0" destOrd="0" presId="urn:microsoft.com/office/officeart/2005/8/layout/lProcess3"/>
    <dgm:cxn modelId="{172851F3-4AEE-E84E-BFDB-7F742C581207}" type="presOf" srcId="{AC3DD39F-297D-459E-A8B5-9ACB5480E3DE}" destId="{D6692EA7-09FB-4291-9842-9FD3E3B5083B}" srcOrd="0" destOrd="0" presId="urn:microsoft.com/office/officeart/2005/8/layout/lProcess3"/>
    <dgm:cxn modelId="{C012E411-2541-854F-AE05-A8A3637A3CC3}" type="presOf" srcId="{945E4A6D-DCD0-40C0-969D-A282D3BC66CB}" destId="{40EEE473-CE4C-4890-BAC5-28AC3C45D587}" srcOrd="0" destOrd="0" presId="urn:microsoft.com/office/officeart/2005/8/layout/lProcess3"/>
    <dgm:cxn modelId="{964B4351-4A63-41A1-8BB1-B3B7A0AB7AFB}" srcId="{EEA22D28-54E9-4801-9E39-0AEE1F3EE78B}" destId="{945E4A6D-DCD0-40C0-969D-A282D3BC66CB}" srcOrd="3" destOrd="0" parTransId="{FC19F0E3-B6D2-4F50-9BB2-074CC448B811}" sibTransId="{BF9F50A4-B2B7-4A59-A575-B3FE23DB7A3E}"/>
    <dgm:cxn modelId="{257F99D8-5771-4E99-AC65-6A6EA89F9A6F}" srcId="{07E80359-5155-4D5D-9226-841ECE326DD2}" destId="{9CFE1F77-F964-46E5-9F2D-33C97FB8D289}" srcOrd="2" destOrd="0" parTransId="{0F9E9E6C-756C-4EF1-A505-3181F9861509}" sibTransId="{DBE39BB7-4E11-4E0B-BD02-4CD0AC665FED}"/>
    <dgm:cxn modelId="{27AFE525-5436-7640-BE9E-033A2288B13B}" type="presOf" srcId="{EEA22D28-54E9-4801-9E39-0AEE1F3EE78B}" destId="{E90B2AD8-21D2-4CF9-ADF8-A85D61ADDA0A}" srcOrd="0" destOrd="0" presId="urn:microsoft.com/office/officeart/2005/8/layout/lProcess3"/>
    <dgm:cxn modelId="{6BAEB5DA-2855-E544-A2C8-8404D13AD79C}" type="presOf" srcId="{9CFE1F77-F964-46E5-9F2D-33C97FB8D289}" destId="{FF18B32B-DB46-4A44-AB68-CCD378C4C27F}" srcOrd="0" destOrd="0" presId="urn:microsoft.com/office/officeart/2005/8/layout/lProcess3"/>
    <dgm:cxn modelId="{ABBF79E1-E0E5-4E74-A04A-633C265F393A}" srcId="{07E80359-5155-4D5D-9226-841ECE326DD2}" destId="{0B7A4E34-868A-4F3F-811A-EA35AAB705DC}" srcOrd="1" destOrd="0" parTransId="{8AFDA79A-B931-4504-ADA6-8A2D7BC34A75}" sibTransId="{84F24700-C963-46EB-8614-4F7ECB8224C0}"/>
    <dgm:cxn modelId="{6A0A157C-A755-4815-99BB-43C7EB8DD5B8}" srcId="{EEA22D28-54E9-4801-9E39-0AEE1F3EE78B}" destId="{F45717DA-7AD7-4EFE-B4DF-851B41DACDCC}" srcOrd="2" destOrd="0" parTransId="{50C2B7B3-8BAB-4BF0-A26C-516531FCE5BB}" sibTransId="{D80F2241-76F8-4C46-BBB6-BC6B705E0D3B}"/>
    <dgm:cxn modelId="{F90EE180-6B16-42AA-9A9F-08C944A52C99}" srcId="{9CFE1F77-F964-46E5-9F2D-33C97FB8D289}" destId="{AC3DD39F-297D-459E-A8B5-9ACB5480E3DE}" srcOrd="0" destOrd="0" parTransId="{874AEAAC-B5E7-43C6-A39A-81F194C596C5}" sibTransId="{F4218ED6-FEAD-4735-8624-4BD763308AC7}"/>
    <dgm:cxn modelId="{DCEDB2EF-F92C-41D3-A06D-FBC38DF0E792}" srcId="{9CFE1F77-F964-46E5-9F2D-33C97FB8D289}" destId="{1EA7F1E5-2304-4EBA-B191-C5EA8DA63296}" srcOrd="1" destOrd="0" parTransId="{242CA465-3F4F-49B4-950E-033B8633104C}" sibTransId="{7F6E2402-238B-488B-B7CC-62A4D2A9E50D}"/>
    <dgm:cxn modelId="{7FC8BE8A-9607-6E48-85FA-D198D6BA6F32}" type="presOf" srcId="{07E80359-5155-4D5D-9226-841ECE326DD2}" destId="{D96FFAF2-7619-475E-9AD2-163A561E6956}" srcOrd="0" destOrd="0" presId="urn:microsoft.com/office/officeart/2005/8/layout/lProcess3"/>
    <dgm:cxn modelId="{1472D391-3DF0-FE4B-92C2-8A99F4C0960E}" type="presOf" srcId="{0B7A4E34-868A-4F3F-811A-EA35AAB705DC}" destId="{D11E0790-0A70-4F02-A09E-D419A0DF0098}" srcOrd="0" destOrd="0" presId="urn:microsoft.com/office/officeart/2005/8/layout/lProcess3"/>
    <dgm:cxn modelId="{8B8FD70B-979B-8145-858F-6F09557E7D2B}" type="presParOf" srcId="{D96FFAF2-7619-475E-9AD2-163A561E6956}" destId="{60C769E3-210F-4203-9B8E-0E0B9CB9E9CB}" srcOrd="0" destOrd="0" presId="urn:microsoft.com/office/officeart/2005/8/layout/lProcess3"/>
    <dgm:cxn modelId="{5D8CDB66-C25A-1148-BCFD-39C99A48643D}" type="presParOf" srcId="{60C769E3-210F-4203-9B8E-0E0B9CB9E9CB}" destId="{E90B2AD8-21D2-4CF9-ADF8-A85D61ADDA0A}" srcOrd="0" destOrd="0" presId="urn:microsoft.com/office/officeart/2005/8/layout/lProcess3"/>
    <dgm:cxn modelId="{2A06A09D-CC86-9C44-8E43-CC4B57EE8B30}" type="presParOf" srcId="{60C769E3-210F-4203-9B8E-0E0B9CB9E9CB}" destId="{B3A457CD-64EB-4243-B898-F25F605B122B}" srcOrd="1" destOrd="0" presId="urn:microsoft.com/office/officeart/2005/8/layout/lProcess3"/>
    <dgm:cxn modelId="{27356A58-3C80-904A-BAFF-A6FFF3BA2C7E}" type="presParOf" srcId="{60C769E3-210F-4203-9B8E-0E0B9CB9E9CB}" destId="{D3D24D79-164E-4A5F-98A8-26503BE630AF}" srcOrd="2" destOrd="0" presId="urn:microsoft.com/office/officeart/2005/8/layout/lProcess3"/>
    <dgm:cxn modelId="{5E3A2FB1-6D73-0C43-885E-BE80AFF8337B}" type="presParOf" srcId="{60C769E3-210F-4203-9B8E-0E0B9CB9E9CB}" destId="{27DC654E-53D4-41E5-9F64-4BB569FB7A36}" srcOrd="3" destOrd="0" presId="urn:microsoft.com/office/officeart/2005/8/layout/lProcess3"/>
    <dgm:cxn modelId="{E8A92505-AE33-B649-940C-9C123279744C}" type="presParOf" srcId="{60C769E3-210F-4203-9B8E-0E0B9CB9E9CB}" destId="{ADC2AC76-704A-44B4-8D22-B7F30B2464C1}" srcOrd="4" destOrd="0" presId="urn:microsoft.com/office/officeart/2005/8/layout/lProcess3"/>
    <dgm:cxn modelId="{40B03767-F41A-A04F-BC98-2E0DAB9C307C}" type="presParOf" srcId="{60C769E3-210F-4203-9B8E-0E0B9CB9E9CB}" destId="{EA06DA5A-6230-4ED2-B434-0A5B997609A6}" srcOrd="5" destOrd="0" presId="urn:microsoft.com/office/officeart/2005/8/layout/lProcess3"/>
    <dgm:cxn modelId="{7FDC4A1E-EE08-3146-A3DC-7E856D7E7C35}" type="presParOf" srcId="{60C769E3-210F-4203-9B8E-0E0B9CB9E9CB}" destId="{58D6972C-05D9-46BF-A009-E7F2E3988656}" srcOrd="6" destOrd="0" presId="urn:microsoft.com/office/officeart/2005/8/layout/lProcess3"/>
    <dgm:cxn modelId="{F5FCCD9D-E966-C84B-9BB0-DEA46E2B1266}" type="presParOf" srcId="{60C769E3-210F-4203-9B8E-0E0B9CB9E9CB}" destId="{7247C6DA-573B-4C74-8E98-A7AA6385F719}" srcOrd="7" destOrd="0" presId="urn:microsoft.com/office/officeart/2005/8/layout/lProcess3"/>
    <dgm:cxn modelId="{5EC83933-6BFE-654C-A6EC-8EE463EB4CAC}" type="presParOf" srcId="{60C769E3-210F-4203-9B8E-0E0B9CB9E9CB}" destId="{40EEE473-CE4C-4890-BAC5-28AC3C45D587}" srcOrd="8" destOrd="0" presId="urn:microsoft.com/office/officeart/2005/8/layout/lProcess3"/>
    <dgm:cxn modelId="{60F532EF-F1B8-A44B-BC27-F5E512B3D721}" type="presParOf" srcId="{D96FFAF2-7619-475E-9AD2-163A561E6956}" destId="{E8FD9563-CDF8-4F66-9575-EB9360E66E88}" srcOrd="1" destOrd="0" presId="urn:microsoft.com/office/officeart/2005/8/layout/lProcess3"/>
    <dgm:cxn modelId="{5F659495-A0E4-DD48-8A50-DFBC6917C223}" type="presParOf" srcId="{D96FFAF2-7619-475E-9AD2-163A561E6956}" destId="{41C38214-77D2-46D3-80A6-2A6D2D6849EC}" srcOrd="2" destOrd="0" presId="urn:microsoft.com/office/officeart/2005/8/layout/lProcess3"/>
    <dgm:cxn modelId="{967E698B-E3D8-EB4C-9F78-FFA25CB921E0}" type="presParOf" srcId="{41C38214-77D2-46D3-80A6-2A6D2D6849EC}" destId="{D11E0790-0A70-4F02-A09E-D419A0DF0098}" srcOrd="0" destOrd="0" presId="urn:microsoft.com/office/officeart/2005/8/layout/lProcess3"/>
    <dgm:cxn modelId="{D8B0BA8C-7387-5543-BAFD-6DBC85681C3D}" type="presParOf" srcId="{41C38214-77D2-46D3-80A6-2A6D2D6849EC}" destId="{DF0239C9-138E-4948-9F39-BAD7F5FE4FD7}" srcOrd="1" destOrd="0" presId="urn:microsoft.com/office/officeart/2005/8/layout/lProcess3"/>
    <dgm:cxn modelId="{6DD1A0D1-1A58-9546-93A3-763F009BBAD8}" type="presParOf" srcId="{41C38214-77D2-46D3-80A6-2A6D2D6849EC}" destId="{E025BA38-EC93-425D-9E29-6A03F823AC23}" srcOrd="2" destOrd="0" presId="urn:microsoft.com/office/officeart/2005/8/layout/lProcess3"/>
    <dgm:cxn modelId="{40023DAA-5999-F942-9C00-9D93B7508924}" type="presParOf" srcId="{D96FFAF2-7619-475E-9AD2-163A561E6956}" destId="{D9AE5686-4D98-4C68-A96F-945C31E9FC95}" srcOrd="3" destOrd="0" presId="urn:microsoft.com/office/officeart/2005/8/layout/lProcess3"/>
    <dgm:cxn modelId="{91E2C74D-C125-B742-B763-1D4EAD9BDD17}" type="presParOf" srcId="{D96FFAF2-7619-475E-9AD2-163A561E6956}" destId="{06D0AF14-D9BD-4B84-B845-5B0E655C8BCF}" srcOrd="4" destOrd="0" presId="urn:microsoft.com/office/officeart/2005/8/layout/lProcess3"/>
    <dgm:cxn modelId="{EA44CFAB-C712-3C49-AFAE-67290B578351}" type="presParOf" srcId="{06D0AF14-D9BD-4B84-B845-5B0E655C8BCF}" destId="{FF18B32B-DB46-4A44-AB68-CCD378C4C27F}" srcOrd="0" destOrd="0" presId="urn:microsoft.com/office/officeart/2005/8/layout/lProcess3"/>
    <dgm:cxn modelId="{2DEA5624-39A4-314D-942B-AF423AB9CEAA}" type="presParOf" srcId="{06D0AF14-D9BD-4B84-B845-5B0E655C8BCF}" destId="{2A8F9D24-25DE-4778-8CAA-D63CABD485B2}" srcOrd="1" destOrd="0" presId="urn:microsoft.com/office/officeart/2005/8/layout/lProcess3"/>
    <dgm:cxn modelId="{355C6B88-9B4F-F742-ACA4-36B864A0063C}" type="presParOf" srcId="{06D0AF14-D9BD-4B84-B845-5B0E655C8BCF}" destId="{D6692EA7-09FB-4291-9842-9FD3E3B5083B}" srcOrd="2" destOrd="0" presId="urn:microsoft.com/office/officeart/2005/8/layout/lProcess3"/>
    <dgm:cxn modelId="{2A52E5FF-E43E-7C41-B369-B45E8EF9AF63}" type="presParOf" srcId="{06D0AF14-D9BD-4B84-B845-5B0E655C8BCF}" destId="{7C6F37C1-027D-496D-8212-956741ADDD3A}" srcOrd="3" destOrd="0" presId="urn:microsoft.com/office/officeart/2005/8/layout/lProcess3"/>
    <dgm:cxn modelId="{BB60DD25-912F-9447-8653-757872F22B4E}" type="presParOf" srcId="{06D0AF14-D9BD-4B84-B845-5B0E655C8BCF}" destId="{53BD64BA-5C3C-4D58-9EA6-DF7585F23EB6}" srcOrd="4" destOrd="0" presId="urn:microsoft.com/office/officeart/2005/8/layout/l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DA8355-4E52-4490-8EBE-B85BEC5ABE4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E2150D2D-210E-416A-8C74-8467F8BAADE9}">
      <dgm:prSet phldrT="[Text]"/>
      <dgm:spPr/>
      <dgm:t>
        <a:bodyPr/>
        <a:lstStyle/>
        <a:p>
          <a:pPr algn="ctr"/>
          <a:r>
            <a:rPr lang="en-GB">
              <a:latin typeface="Times New Roman" panose="02020603050405020304" pitchFamily="18" charset="0"/>
              <a:cs typeface="Times New Roman" panose="02020603050405020304" pitchFamily="18" charset="0"/>
            </a:rPr>
            <a:t>Conceptualisations informing practice</a:t>
          </a:r>
        </a:p>
      </dgm:t>
    </dgm:pt>
    <dgm:pt modelId="{A008792E-731C-4753-AD71-F449BED82F94}" type="parTrans" cxnId="{7C45C00F-5479-48BD-A8B1-E566F1E10656}">
      <dgm:prSet/>
      <dgm:spPr/>
      <dgm:t>
        <a:bodyPr/>
        <a:lstStyle/>
        <a:p>
          <a:pPr algn="ctr"/>
          <a:endParaRPr lang="en-GB"/>
        </a:p>
      </dgm:t>
    </dgm:pt>
    <dgm:pt modelId="{884203F6-DFD4-445E-AE3A-DA47AE57A728}" type="sibTrans" cxnId="{7C45C00F-5479-48BD-A8B1-E566F1E10656}">
      <dgm:prSet/>
      <dgm:spPr/>
      <dgm:t>
        <a:bodyPr/>
        <a:lstStyle/>
        <a:p>
          <a:pPr algn="ctr"/>
          <a:endParaRPr lang="en-GB"/>
        </a:p>
      </dgm:t>
    </dgm:pt>
    <dgm:pt modelId="{89405BB5-3878-4691-A3AD-C28397327E83}">
      <dgm:prSet phldrT="[Text]" custT="1"/>
      <dgm:spPr/>
      <dgm:t>
        <a:bodyPr/>
        <a:lstStyle/>
        <a:p>
          <a:pPr algn="ctr"/>
          <a:r>
            <a:rPr lang="en-GB" sz="1200">
              <a:latin typeface="Times New Roman" panose="02020603050405020304" pitchFamily="18" charset="0"/>
              <a:cs typeface="Times New Roman" panose="02020603050405020304" pitchFamily="18" charset="0"/>
            </a:rPr>
            <a:t>Working background</a:t>
          </a:r>
        </a:p>
      </dgm:t>
    </dgm:pt>
    <dgm:pt modelId="{30BDBF16-F676-4DA9-A561-C0C532EB252B}" type="parTrans" cxnId="{76B8EC94-C03E-4022-B6CF-7D5B3EE0C9FE}">
      <dgm:prSet/>
      <dgm:spPr/>
      <dgm:t>
        <a:bodyPr/>
        <a:lstStyle/>
        <a:p>
          <a:pPr algn="ctr"/>
          <a:endParaRPr lang="en-GB"/>
        </a:p>
      </dgm:t>
    </dgm:pt>
    <dgm:pt modelId="{7841D0F6-F36D-4690-91AE-47E17A9C03E8}" type="sibTrans" cxnId="{76B8EC94-C03E-4022-B6CF-7D5B3EE0C9FE}">
      <dgm:prSet/>
      <dgm:spPr/>
      <dgm:t>
        <a:bodyPr/>
        <a:lstStyle/>
        <a:p>
          <a:pPr algn="ctr"/>
          <a:endParaRPr lang="en-GB"/>
        </a:p>
      </dgm:t>
    </dgm:pt>
    <dgm:pt modelId="{A79D94C3-1DD0-443D-B058-35C955C537A6}">
      <dgm:prSet phldrT="[Text]" custT="1"/>
      <dgm:spPr/>
      <dgm:t>
        <a:bodyPr/>
        <a:lstStyle/>
        <a:p>
          <a:pPr algn="ctr"/>
          <a:r>
            <a:rPr lang="en-GB" sz="1200">
              <a:latin typeface="Times New Roman" panose="02020603050405020304" pitchFamily="18" charset="0"/>
              <a:cs typeface="Times New Roman" panose="02020603050405020304" pitchFamily="18" charset="0"/>
            </a:rPr>
            <a:t>Educational background</a:t>
          </a:r>
        </a:p>
      </dgm:t>
    </dgm:pt>
    <dgm:pt modelId="{27827289-0BAB-4E55-A852-9240C723844D}" type="parTrans" cxnId="{51D0CA60-310E-4D59-9AEE-C3786A0212B9}">
      <dgm:prSet/>
      <dgm:spPr/>
      <dgm:t>
        <a:bodyPr/>
        <a:lstStyle/>
        <a:p>
          <a:pPr algn="ctr"/>
          <a:endParaRPr lang="en-GB"/>
        </a:p>
      </dgm:t>
    </dgm:pt>
    <dgm:pt modelId="{1C017210-B7B2-4891-B45D-BFB01A045B16}" type="sibTrans" cxnId="{51D0CA60-310E-4D59-9AEE-C3786A0212B9}">
      <dgm:prSet/>
      <dgm:spPr/>
      <dgm:t>
        <a:bodyPr/>
        <a:lstStyle/>
        <a:p>
          <a:pPr algn="ctr"/>
          <a:endParaRPr lang="en-GB"/>
        </a:p>
      </dgm:t>
    </dgm:pt>
    <dgm:pt modelId="{C667F0DB-55F4-4BEB-AFC7-075329A88ABB}">
      <dgm:prSet phldrT="[Text]" custT="1"/>
      <dgm:spPr/>
      <dgm:t>
        <a:bodyPr/>
        <a:lstStyle/>
        <a:p>
          <a:pPr algn="ctr"/>
          <a:r>
            <a:rPr lang="en-GB" sz="1200">
              <a:latin typeface="Times New Roman" panose="02020603050405020304" pitchFamily="18" charset="0"/>
              <a:cs typeface="Times New Roman" panose="02020603050405020304" pitchFamily="18" charset="0"/>
            </a:rPr>
            <a:t>Teaching experiences</a:t>
          </a:r>
        </a:p>
      </dgm:t>
    </dgm:pt>
    <dgm:pt modelId="{48396021-269E-41D1-B811-352A9FCDAEEA}" type="parTrans" cxnId="{B890D60F-BE16-4F56-8B4B-6910004374C9}">
      <dgm:prSet/>
      <dgm:spPr/>
      <dgm:t>
        <a:bodyPr/>
        <a:lstStyle/>
        <a:p>
          <a:pPr algn="ctr"/>
          <a:endParaRPr lang="en-GB"/>
        </a:p>
      </dgm:t>
    </dgm:pt>
    <dgm:pt modelId="{DD4AAB78-6C10-4AF0-A408-0E36E4B2BEBC}" type="sibTrans" cxnId="{B890D60F-BE16-4F56-8B4B-6910004374C9}">
      <dgm:prSet/>
      <dgm:spPr/>
      <dgm:t>
        <a:bodyPr/>
        <a:lstStyle/>
        <a:p>
          <a:pPr algn="ctr"/>
          <a:endParaRPr lang="en-GB"/>
        </a:p>
      </dgm:t>
    </dgm:pt>
    <dgm:pt modelId="{0CDA34B4-084D-4DBA-A568-CB48B13DD1D0}">
      <dgm:prSet custT="1"/>
      <dgm:spPr/>
      <dgm:t>
        <a:bodyPr/>
        <a:lstStyle/>
        <a:p>
          <a:pPr algn="ctr"/>
          <a:r>
            <a:rPr lang="en-GB" sz="1200">
              <a:latin typeface="Times New Roman" panose="02020603050405020304" pitchFamily="18" charset="0"/>
              <a:cs typeface="Times New Roman" panose="02020603050405020304" pitchFamily="18" charset="0"/>
            </a:rPr>
            <a:t>Personal view of feedback</a:t>
          </a:r>
        </a:p>
      </dgm:t>
    </dgm:pt>
    <dgm:pt modelId="{C2403A25-8D7B-402E-AC16-C0B4B0187F8A}" type="parTrans" cxnId="{2EFB8E9A-BD01-40C4-ACBE-074DCA67B4BC}">
      <dgm:prSet/>
      <dgm:spPr/>
      <dgm:t>
        <a:bodyPr/>
        <a:lstStyle/>
        <a:p>
          <a:pPr algn="ctr"/>
          <a:endParaRPr lang="en-GB"/>
        </a:p>
      </dgm:t>
    </dgm:pt>
    <dgm:pt modelId="{4BE28FBE-46FC-42C7-B716-794972E3B2A9}" type="sibTrans" cxnId="{2EFB8E9A-BD01-40C4-ACBE-074DCA67B4BC}">
      <dgm:prSet/>
      <dgm:spPr/>
      <dgm:t>
        <a:bodyPr/>
        <a:lstStyle/>
        <a:p>
          <a:pPr algn="ctr"/>
          <a:endParaRPr lang="en-GB"/>
        </a:p>
      </dgm:t>
    </dgm:pt>
    <dgm:pt modelId="{69B67A53-9930-4267-A502-5831129FB4B3}" type="pres">
      <dgm:prSet presAssocID="{8EDA8355-4E52-4490-8EBE-B85BEC5ABE49}" presName="cycle" presStyleCnt="0">
        <dgm:presLayoutVars>
          <dgm:chMax val="1"/>
          <dgm:dir/>
          <dgm:animLvl val="ctr"/>
          <dgm:resizeHandles val="exact"/>
        </dgm:presLayoutVars>
      </dgm:prSet>
      <dgm:spPr/>
      <dgm:t>
        <a:bodyPr/>
        <a:lstStyle/>
        <a:p>
          <a:endParaRPr lang="en-GB"/>
        </a:p>
      </dgm:t>
    </dgm:pt>
    <dgm:pt modelId="{7DACA34A-5D6E-44DA-8C50-6E8D756C17B1}" type="pres">
      <dgm:prSet presAssocID="{E2150D2D-210E-416A-8C74-8467F8BAADE9}" presName="centerShape" presStyleLbl="node0" presStyleIdx="0" presStyleCnt="1"/>
      <dgm:spPr/>
      <dgm:t>
        <a:bodyPr/>
        <a:lstStyle/>
        <a:p>
          <a:endParaRPr lang="en-GB"/>
        </a:p>
      </dgm:t>
    </dgm:pt>
    <dgm:pt modelId="{30B90A83-352F-4FE0-BAA9-98191C466888}" type="pres">
      <dgm:prSet presAssocID="{30BDBF16-F676-4DA9-A561-C0C532EB252B}" presName="parTrans" presStyleLbl="bgSibTrans2D1" presStyleIdx="0" presStyleCnt="4"/>
      <dgm:spPr/>
      <dgm:t>
        <a:bodyPr/>
        <a:lstStyle/>
        <a:p>
          <a:endParaRPr lang="en-GB"/>
        </a:p>
      </dgm:t>
    </dgm:pt>
    <dgm:pt modelId="{9CB0B648-60B9-4B1B-95CE-147ED44CD050}" type="pres">
      <dgm:prSet presAssocID="{89405BB5-3878-4691-A3AD-C28397327E83}" presName="node" presStyleLbl="node1" presStyleIdx="0" presStyleCnt="4">
        <dgm:presLayoutVars>
          <dgm:bulletEnabled val="1"/>
        </dgm:presLayoutVars>
      </dgm:prSet>
      <dgm:spPr/>
      <dgm:t>
        <a:bodyPr/>
        <a:lstStyle/>
        <a:p>
          <a:endParaRPr lang="en-GB"/>
        </a:p>
      </dgm:t>
    </dgm:pt>
    <dgm:pt modelId="{784F87BE-D7F1-4EE3-AAC9-4E64FF36C162}" type="pres">
      <dgm:prSet presAssocID="{27827289-0BAB-4E55-A852-9240C723844D}" presName="parTrans" presStyleLbl="bgSibTrans2D1" presStyleIdx="1" presStyleCnt="4"/>
      <dgm:spPr/>
      <dgm:t>
        <a:bodyPr/>
        <a:lstStyle/>
        <a:p>
          <a:endParaRPr lang="en-GB"/>
        </a:p>
      </dgm:t>
    </dgm:pt>
    <dgm:pt modelId="{8EA33511-F060-4CAA-AD74-0AADD3C79A39}" type="pres">
      <dgm:prSet presAssocID="{A79D94C3-1DD0-443D-B058-35C955C537A6}" presName="node" presStyleLbl="node1" presStyleIdx="1" presStyleCnt="4">
        <dgm:presLayoutVars>
          <dgm:bulletEnabled val="1"/>
        </dgm:presLayoutVars>
      </dgm:prSet>
      <dgm:spPr/>
      <dgm:t>
        <a:bodyPr/>
        <a:lstStyle/>
        <a:p>
          <a:endParaRPr lang="en-GB"/>
        </a:p>
      </dgm:t>
    </dgm:pt>
    <dgm:pt modelId="{7E7D3BC6-0EAD-4661-9927-15DB14D6ADBD}" type="pres">
      <dgm:prSet presAssocID="{48396021-269E-41D1-B811-352A9FCDAEEA}" presName="parTrans" presStyleLbl="bgSibTrans2D1" presStyleIdx="2" presStyleCnt="4"/>
      <dgm:spPr/>
      <dgm:t>
        <a:bodyPr/>
        <a:lstStyle/>
        <a:p>
          <a:endParaRPr lang="en-GB"/>
        </a:p>
      </dgm:t>
    </dgm:pt>
    <dgm:pt modelId="{F70EE024-D459-4997-A761-7CE922F93EE5}" type="pres">
      <dgm:prSet presAssocID="{C667F0DB-55F4-4BEB-AFC7-075329A88ABB}" presName="node" presStyleLbl="node1" presStyleIdx="2" presStyleCnt="4">
        <dgm:presLayoutVars>
          <dgm:bulletEnabled val="1"/>
        </dgm:presLayoutVars>
      </dgm:prSet>
      <dgm:spPr/>
      <dgm:t>
        <a:bodyPr/>
        <a:lstStyle/>
        <a:p>
          <a:endParaRPr lang="en-GB"/>
        </a:p>
      </dgm:t>
    </dgm:pt>
    <dgm:pt modelId="{192DB485-3AE5-4CED-9C24-05F4B7A9CD35}" type="pres">
      <dgm:prSet presAssocID="{C2403A25-8D7B-402E-AC16-C0B4B0187F8A}" presName="parTrans" presStyleLbl="bgSibTrans2D1" presStyleIdx="3" presStyleCnt="4"/>
      <dgm:spPr/>
      <dgm:t>
        <a:bodyPr/>
        <a:lstStyle/>
        <a:p>
          <a:endParaRPr lang="en-GB"/>
        </a:p>
      </dgm:t>
    </dgm:pt>
    <dgm:pt modelId="{F772F973-9684-4994-A0F4-E60D67F7C24C}" type="pres">
      <dgm:prSet presAssocID="{0CDA34B4-084D-4DBA-A568-CB48B13DD1D0}" presName="node" presStyleLbl="node1" presStyleIdx="3" presStyleCnt="4">
        <dgm:presLayoutVars>
          <dgm:bulletEnabled val="1"/>
        </dgm:presLayoutVars>
      </dgm:prSet>
      <dgm:spPr/>
      <dgm:t>
        <a:bodyPr/>
        <a:lstStyle/>
        <a:p>
          <a:endParaRPr lang="en-GB"/>
        </a:p>
      </dgm:t>
    </dgm:pt>
  </dgm:ptLst>
  <dgm:cxnLst>
    <dgm:cxn modelId="{15C6BE8C-1129-C542-B9C5-7CFF9698FDF0}" type="presOf" srcId="{E2150D2D-210E-416A-8C74-8467F8BAADE9}" destId="{7DACA34A-5D6E-44DA-8C50-6E8D756C17B1}" srcOrd="0" destOrd="0" presId="urn:microsoft.com/office/officeart/2005/8/layout/radial4"/>
    <dgm:cxn modelId="{B890D60F-BE16-4F56-8B4B-6910004374C9}" srcId="{E2150D2D-210E-416A-8C74-8467F8BAADE9}" destId="{C667F0DB-55F4-4BEB-AFC7-075329A88ABB}" srcOrd="2" destOrd="0" parTransId="{48396021-269E-41D1-B811-352A9FCDAEEA}" sibTransId="{DD4AAB78-6C10-4AF0-A408-0E36E4B2BEBC}"/>
    <dgm:cxn modelId="{51D0CA60-310E-4D59-9AEE-C3786A0212B9}" srcId="{E2150D2D-210E-416A-8C74-8467F8BAADE9}" destId="{A79D94C3-1DD0-443D-B058-35C955C537A6}" srcOrd="1" destOrd="0" parTransId="{27827289-0BAB-4E55-A852-9240C723844D}" sibTransId="{1C017210-B7B2-4891-B45D-BFB01A045B16}"/>
    <dgm:cxn modelId="{A10088CD-84D9-E640-B427-201B41F77A81}" type="presOf" srcId="{0CDA34B4-084D-4DBA-A568-CB48B13DD1D0}" destId="{F772F973-9684-4994-A0F4-E60D67F7C24C}" srcOrd="0" destOrd="0" presId="urn:microsoft.com/office/officeart/2005/8/layout/radial4"/>
    <dgm:cxn modelId="{832F9B8B-944A-AF49-8EA7-FAB84C275A28}" type="presOf" srcId="{89405BB5-3878-4691-A3AD-C28397327E83}" destId="{9CB0B648-60B9-4B1B-95CE-147ED44CD050}" srcOrd="0" destOrd="0" presId="urn:microsoft.com/office/officeart/2005/8/layout/radial4"/>
    <dgm:cxn modelId="{94D106BD-A4A1-CE46-B955-900024D8EC8E}" type="presOf" srcId="{48396021-269E-41D1-B811-352A9FCDAEEA}" destId="{7E7D3BC6-0EAD-4661-9927-15DB14D6ADBD}" srcOrd="0" destOrd="0" presId="urn:microsoft.com/office/officeart/2005/8/layout/radial4"/>
    <dgm:cxn modelId="{74501F67-B88B-C440-B1A0-B849FC458603}" type="presOf" srcId="{30BDBF16-F676-4DA9-A561-C0C532EB252B}" destId="{30B90A83-352F-4FE0-BAA9-98191C466888}" srcOrd="0" destOrd="0" presId="urn:microsoft.com/office/officeart/2005/8/layout/radial4"/>
    <dgm:cxn modelId="{3D3E0091-FA41-1C40-80A9-2B4C5CADD476}" type="presOf" srcId="{C2403A25-8D7B-402E-AC16-C0B4B0187F8A}" destId="{192DB485-3AE5-4CED-9C24-05F4B7A9CD35}" srcOrd="0" destOrd="0" presId="urn:microsoft.com/office/officeart/2005/8/layout/radial4"/>
    <dgm:cxn modelId="{7C45C00F-5479-48BD-A8B1-E566F1E10656}" srcId="{8EDA8355-4E52-4490-8EBE-B85BEC5ABE49}" destId="{E2150D2D-210E-416A-8C74-8467F8BAADE9}" srcOrd="0" destOrd="0" parTransId="{A008792E-731C-4753-AD71-F449BED82F94}" sibTransId="{884203F6-DFD4-445E-AE3A-DA47AE57A728}"/>
    <dgm:cxn modelId="{63C127A2-A3D0-1A4A-8E1D-87FD1D48381F}" type="presOf" srcId="{27827289-0BAB-4E55-A852-9240C723844D}" destId="{784F87BE-D7F1-4EE3-AAC9-4E64FF36C162}" srcOrd="0" destOrd="0" presId="urn:microsoft.com/office/officeart/2005/8/layout/radial4"/>
    <dgm:cxn modelId="{2EFB8E9A-BD01-40C4-ACBE-074DCA67B4BC}" srcId="{E2150D2D-210E-416A-8C74-8467F8BAADE9}" destId="{0CDA34B4-084D-4DBA-A568-CB48B13DD1D0}" srcOrd="3" destOrd="0" parTransId="{C2403A25-8D7B-402E-AC16-C0B4B0187F8A}" sibTransId="{4BE28FBE-46FC-42C7-B716-794972E3B2A9}"/>
    <dgm:cxn modelId="{B876F560-0476-B949-A2FB-8EEDBF55CC4A}" type="presOf" srcId="{C667F0DB-55F4-4BEB-AFC7-075329A88ABB}" destId="{F70EE024-D459-4997-A761-7CE922F93EE5}" srcOrd="0" destOrd="0" presId="urn:microsoft.com/office/officeart/2005/8/layout/radial4"/>
    <dgm:cxn modelId="{04A6A92E-4D76-FD40-9AC1-B4ACAE93DBC0}" type="presOf" srcId="{A79D94C3-1DD0-443D-B058-35C955C537A6}" destId="{8EA33511-F060-4CAA-AD74-0AADD3C79A39}" srcOrd="0" destOrd="0" presId="urn:microsoft.com/office/officeart/2005/8/layout/radial4"/>
    <dgm:cxn modelId="{76B8EC94-C03E-4022-B6CF-7D5B3EE0C9FE}" srcId="{E2150D2D-210E-416A-8C74-8467F8BAADE9}" destId="{89405BB5-3878-4691-A3AD-C28397327E83}" srcOrd="0" destOrd="0" parTransId="{30BDBF16-F676-4DA9-A561-C0C532EB252B}" sibTransId="{7841D0F6-F36D-4690-91AE-47E17A9C03E8}"/>
    <dgm:cxn modelId="{9D8DB83C-97E3-E444-A120-4FDBB54D8BC2}" type="presOf" srcId="{8EDA8355-4E52-4490-8EBE-B85BEC5ABE49}" destId="{69B67A53-9930-4267-A502-5831129FB4B3}" srcOrd="0" destOrd="0" presId="urn:microsoft.com/office/officeart/2005/8/layout/radial4"/>
    <dgm:cxn modelId="{75BF2DFD-F4C6-BB43-88D1-EF6E129EEAE0}" type="presParOf" srcId="{69B67A53-9930-4267-A502-5831129FB4B3}" destId="{7DACA34A-5D6E-44DA-8C50-6E8D756C17B1}" srcOrd="0" destOrd="0" presId="urn:microsoft.com/office/officeart/2005/8/layout/radial4"/>
    <dgm:cxn modelId="{9B1FB2E0-31AD-BC4E-AEF5-86CE40C27FF2}" type="presParOf" srcId="{69B67A53-9930-4267-A502-5831129FB4B3}" destId="{30B90A83-352F-4FE0-BAA9-98191C466888}" srcOrd="1" destOrd="0" presId="urn:microsoft.com/office/officeart/2005/8/layout/radial4"/>
    <dgm:cxn modelId="{20A8EE8D-EBEC-8740-BF28-10B4E162CBAD}" type="presParOf" srcId="{69B67A53-9930-4267-A502-5831129FB4B3}" destId="{9CB0B648-60B9-4B1B-95CE-147ED44CD050}" srcOrd="2" destOrd="0" presId="urn:microsoft.com/office/officeart/2005/8/layout/radial4"/>
    <dgm:cxn modelId="{5F830862-0157-7844-B3B4-0D0B91DD4D51}" type="presParOf" srcId="{69B67A53-9930-4267-A502-5831129FB4B3}" destId="{784F87BE-D7F1-4EE3-AAC9-4E64FF36C162}" srcOrd="3" destOrd="0" presId="urn:microsoft.com/office/officeart/2005/8/layout/radial4"/>
    <dgm:cxn modelId="{D28CE314-57A9-A845-AD54-E9B894EA816C}" type="presParOf" srcId="{69B67A53-9930-4267-A502-5831129FB4B3}" destId="{8EA33511-F060-4CAA-AD74-0AADD3C79A39}" srcOrd="4" destOrd="0" presId="urn:microsoft.com/office/officeart/2005/8/layout/radial4"/>
    <dgm:cxn modelId="{8D9D5866-9864-1244-9EDC-E8ACF199DDBD}" type="presParOf" srcId="{69B67A53-9930-4267-A502-5831129FB4B3}" destId="{7E7D3BC6-0EAD-4661-9927-15DB14D6ADBD}" srcOrd="5" destOrd="0" presId="urn:microsoft.com/office/officeart/2005/8/layout/radial4"/>
    <dgm:cxn modelId="{D99EC272-C4BF-3647-884E-0C785C4EB510}" type="presParOf" srcId="{69B67A53-9930-4267-A502-5831129FB4B3}" destId="{F70EE024-D459-4997-A761-7CE922F93EE5}" srcOrd="6" destOrd="0" presId="urn:microsoft.com/office/officeart/2005/8/layout/radial4"/>
    <dgm:cxn modelId="{4E8E3F0D-DE19-6B4F-B3AF-CBAAE3E3FC1A}" type="presParOf" srcId="{69B67A53-9930-4267-A502-5831129FB4B3}" destId="{192DB485-3AE5-4CED-9C24-05F4B7A9CD35}" srcOrd="7" destOrd="0" presId="urn:microsoft.com/office/officeart/2005/8/layout/radial4"/>
    <dgm:cxn modelId="{260E8BD7-7590-DE4E-979C-564335BF3ADF}" type="presParOf" srcId="{69B67A53-9930-4267-A502-5831129FB4B3}" destId="{F772F973-9684-4994-A0F4-E60D67F7C24C}" srcOrd="8" destOrd="0" presId="urn:microsoft.com/office/officeart/2005/8/layout/radial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5EB3CE-6A65-433C-B947-7A20F0DE8D4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53FE8F65-986D-491D-B8D5-3E830922A880}">
      <dgm:prSet phldrT="[Text]"/>
      <dgm:spPr/>
      <dgm:t>
        <a:bodyPr/>
        <a:lstStyle/>
        <a:p>
          <a:r>
            <a:rPr lang="en-GB" i="0">
              <a:latin typeface="Times New Roman" panose="02020603050405020304" pitchFamily="18" charset="0"/>
              <a:cs typeface="Times New Roman" panose="02020603050405020304" pitchFamily="18" charset="0"/>
            </a:rPr>
            <a:t>Factors influencing the feedback encounter</a:t>
          </a:r>
        </a:p>
      </dgm:t>
    </dgm:pt>
    <dgm:pt modelId="{A4E48618-E12E-4D9E-B03E-91DC80A90E15}" type="parTrans" cxnId="{41E7B694-8042-4586-AFE4-A00C3D9ECBC1}">
      <dgm:prSet/>
      <dgm:spPr/>
      <dgm:t>
        <a:bodyPr/>
        <a:lstStyle/>
        <a:p>
          <a:endParaRPr lang="en-GB"/>
        </a:p>
      </dgm:t>
    </dgm:pt>
    <dgm:pt modelId="{F13B1AD5-6E95-4DFC-87A6-615250621EEE}" type="sibTrans" cxnId="{41E7B694-8042-4586-AFE4-A00C3D9ECBC1}">
      <dgm:prSet/>
      <dgm:spPr/>
      <dgm:t>
        <a:bodyPr/>
        <a:lstStyle/>
        <a:p>
          <a:endParaRPr lang="en-GB"/>
        </a:p>
      </dgm:t>
    </dgm:pt>
    <dgm:pt modelId="{E5CB8F2B-C24D-4575-A422-9432439AAF28}">
      <dgm:prSet phldrT="[Text]"/>
      <dgm:spPr/>
      <dgm:t>
        <a:bodyPr/>
        <a:lstStyle/>
        <a:p>
          <a:r>
            <a:rPr lang="en-GB">
              <a:latin typeface="Times New Roman" panose="02020603050405020304" pitchFamily="18" charset="0"/>
              <a:cs typeface="Times New Roman" panose="02020603050405020304" pitchFamily="18" charset="0"/>
            </a:rPr>
            <a:t>Assessment of student learning needs/priorities</a:t>
          </a:r>
        </a:p>
      </dgm:t>
    </dgm:pt>
    <dgm:pt modelId="{16A64B28-5F05-47A7-B8B5-47A010480D71}" type="parTrans" cxnId="{9C27EEE8-E16B-449C-8CD8-691F968E5CDA}">
      <dgm:prSet/>
      <dgm:spPr/>
      <dgm:t>
        <a:bodyPr/>
        <a:lstStyle/>
        <a:p>
          <a:endParaRPr lang="en-GB"/>
        </a:p>
      </dgm:t>
    </dgm:pt>
    <dgm:pt modelId="{4B93AF3D-C859-47F9-BFD9-58D159000971}" type="sibTrans" cxnId="{9C27EEE8-E16B-449C-8CD8-691F968E5CDA}">
      <dgm:prSet/>
      <dgm:spPr/>
      <dgm:t>
        <a:bodyPr/>
        <a:lstStyle/>
        <a:p>
          <a:endParaRPr lang="en-GB"/>
        </a:p>
      </dgm:t>
    </dgm:pt>
    <dgm:pt modelId="{30C66BA5-0217-453D-941D-64FE16C8B638}">
      <dgm:prSet phldrT="[Text]"/>
      <dgm:spPr/>
      <dgm:t>
        <a:bodyPr/>
        <a:lstStyle/>
        <a:p>
          <a:r>
            <a:rPr lang="en-GB">
              <a:latin typeface="Times New Roman" panose="02020603050405020304" pitchFamily="18" charset="0"/>
              <a:cs typeface="Times New Roman" panose="02020603050405020304" pitchFamily="18" charset="0"/>
            </a:rPr>
            <a:t>Situational/contextual factors</a:t>
          </a:r>
        </a:p>
      </dgm:t>
    </dgm:pt>
    <dgm:pt modelId="{37FC31BE-F620-420D-A1C2-9052EF71269B}" type="parTrans" cxnId="{86DB1B3E-71C9-43DA-B739-3D78D36F70EC}">
      <dgm:prSet/>
      <dgm:spPr/>
      <dgm:t>
        <a:bodyPr/>
        <a:lstStyle/>
        <a:p>
          <a:endParaRPr lang="en-GB"/>
        </a:p>
      </dgm:t>
    </dgm:pt>
    <dgm:pt modelId="{20B64250-8C36-4F2E-B66D-074889345E1D}" type="sibTrans" cxnId="{86DB1B3E-71C9-43DA-B739-3D78D36F70EC}">
      <dgm:prSet/>
      <dgm:spPr/>
      <dgm:t>
        <a:bodyPr/>
        <a:lstStyle/>
        <a:p>
          <a:endParaRPr lang="en-GB"/>
        </a:p>
      </dgm:t>
    </dgm:pt>
    <dgm:pt modelId="{57BD5943-41B2-474E-AF69-89719D81D651}">
      <dgm:prSet/>
      <dgm:spPr/>
      <dgm:t>
        <a:bodyPr/>
        <a:lstStyle/>
        <a:p>
          <a:r>
            <a:rPr lang="en-GB">
              <a:latin typeface="Times New Roman" panose="02020603050405020304" pitchFamily="18" charset="0"/>
              <a:cs typeface="Times New Roman" panose="02020603050405020304" pitchFamily="18" charset="0"/>
            </a:rPr>
            <a:t>Feedback giving and perceived response</a:t>
          </a:r>
        </a:p>
      </dgm:t>
    </dgm:pt>
    <dgm:pt modelId="{94D0330C-4325-42DC-874C-AC8062A23608}" type="parTrans" cxnId="{9F6CA1E1-2D7E-4494-92DD-0F8B134647E4}">
      <dgm:prSet/>
      <dgm:spPr/>
      <dgm:t>
        <a:bodyPr/>
        <a:lstStyle/>
        <a:p>
          <a:endParaRPr lang="en-GB"/>
        </a:p>
      </dgm:t>
    </dgm:pt>
    <dgm:pt modelId="{27F5E23E-C38A-4285-8C4A-5E243D210DF9}" type="sibTrans" cxnId="{9F6CA1E1-2D7E-4494-92DD-0F8B134647E4}">
      <dgm:prSet/>
      <dgm:spPr/>
      <dgm:t>
        <a:bodyPr/>
        <a:lstStyle/>
        <a:p>
          <a:endParaRPr lang="en-GB"/>
        </a:p>
      </dgm:t>
    </dgm:pt>
    <dgm:pt modelId="{192E8A55-A632-4998-B57A-E346C29D412E}">
      <dgm:prSet/>
      <dgm:spPr/>
      <dgm:t>
        <a:bodyPr/>
        <a:lstStyle/>
        <a:p>
          <a:r>
            <a:rPr lang="en-GB">
              <a:latin typeface="Times New Roman" panose="02020603050405020304" pitchFamily="18" charset="0"/>
              <a:cs typeface="Times New Roman" panose="02020603050405020304" pitchFamily="18" charset="0"/>
            </a:rPr>
            <a:t>Formulation of the feedback message</a:t>
          </a:r>
        </a:p>
      </dgm:t>
    </dgm:pt>
    <dgm:pt modelId="{634575F0-A9AC-4E26-A4C0-7C1AE146027B}" type="parTrans" cxnId="{8B929CAC-55B3-4BAB-B306-D21EF659854E}">
      <dgm:prSet/>
      <dgm:spPr/>
      <dgm:t>
        <a:bodyPr/>
        <a:lstStyle/>
        <a:p>
          <a:endParaRPr lang="en-GB"/>
        </a:p>
      </dgm:t>
    </dgm:pt>
    <dgm:pt modelId="{8B9A365C-3310-4718-9488-B22CFD18F2DB}" type="sibTrans" cxnId="{8B929CAC-55B3-4BAB-B306-D21EF659854E}">
      <dgm:prSet/>
      <dgm:spPr/>
      <dgm:t>
        <a:bodyPr/>
        <a:lstStyle/>
        <a:p>
          <a:endParaRPr lang="en-GB"/>
        </a:p>
      </dgm:t>
    </dgm:pt>
    <dgm:pt modelId="{2B78AA47-FD4D-4220-BFF1-AF97ACD3EEDB}" type="pres">
      <dgm:prSet presAssocID="{F85EB3CE-6A65-433C-B947-7A20F0DE8D4A}" presName="cycle" presStyleCnt="0">
        <dgm:presLayoutVars>
          <dgm:chMax val="1"/>
          <dgm:dir/>
          <dgm:animLvl val="ctr"/>
          <dgm:resizeHandles val="exact"/>
        </dgm:presLayoutVars>
      </dgm:prSet>
      <dgm:spPr/>
      <dgm:t>
        <a:bodyPr/>
        <a:lstStyle/>
        <a:p>
          <a:endParaRPr lang="en-GB"/>
        </a:p>
      </dgm:t>
    </dgm:pt>
    <dgm:pt modelId="{58E8C425-EFBF-42C1-AA60-44B4A572F2BB}" type="pres">
      <dgm:prSet presAssocID="{53FE8F65-986D-491D-B8D5-3E830922A880}" presName="centerShape" presStyleLbl="node0" presStyleIdx="0" presStyleCnt="1"/>
      <dgm:spPr/>
      <dgm:t>
        <a:bodyPr/>
        <a:lstStyle/>
        <a:p>
          <a:endParaRPr lang="en-GB"/>
        </a:p>
      </dgm:t>
    </dgm:pt>
    <dgm:pt modelId="{F9B7B5C5-B8A6-411C-AF02-7DB60EB16CCD}" type="pres">
      <dgm:prSet presAssocID="{16A64B28-5F05-47A7-B8B5-47A010480D71}" presName="parTrans" presStyleLbl="bgSibTrans2D1" presStyleIdx="0" presStyleCnt="4"/>
      <dgm:spPr/>
      <dgm:t>
        <a:bodyPr/>
        <a:lstStyle/>
        <a:p>
          <a:endParaRPr lang="en-GB"/>
        </a:p>
      </dgm:t>
    </dgm:pt>
    <dgm:pt modelId="{EEFA8882-0A9B-4B12-9F23-66971B90A930}" type="pres">
      <dgm:prSet presAssocID="{E5CB8F2B-C24D-4575-A422-9432439AAF28}" presName="node" presStyleLbl="node1" presStyleIdx="0" presStyleCnt="4">
        <dgm:presLayoutVars>
          <dgm:bulletEnabled val="1"/>
        </dgm:presLayoutVars>
      </dgm:prSet>
      <dgm:spPr/>
      <dgm:t>
        <a:bodyPr/>
        <a:lstStyle/>
        <a:p>
          <a:endParaRPr lang="en-GB"/>
        </a:p>
      </dgm:t>
    </dgm:pt>
    <dgm:pt modelId="{3DC4FEF1-8F46-42D1-9E2B-8261B9173244}" type="pres">
      <dgm:prSet presAssocID="{634575F0-A9AC-4E26-A4C0-7C1AE146027B}" presName="parTrans" presStyleLbl="bgSibTrans2D1" presStyleIdx="1" presStyleCnt="4"/>
      <dgm:spPr/>
      <dgm:t>
        <a:bodyPr/>
        <a:lstStyle/>
        <a:p>
          <a:endParaRPr lang="en-GB"/>
        </a:p>
      </dgm:t>
    </dgm:pt>
    <dgm:pt modelId="{9650E338-ED0D-4F5A-A481-671C11760AD7}" type="pres">
      <dgm:prSet presAssocID="{192E8A55-A632-4998-B57A-E346C29D412E}" presName="node" presStyleLbl="node1" presStyleIdx="1" presStyleCnt="4">
        <dgm:presLayoutVars>
          <dgm:bulletEnabled val="1"/>
        </dgm:presLayoutVars>
      </dgm:prSet>
      <dgm:spPr/>
      <dgm:t>
        <a:bodyPr/>
        <a:lstStyle/>
        <a:p>
          <a:endParaRPr lang="en-GB"/>
        </a:p>
      </dgm:t>
    </dgm:pt>
    <dgm:pt modelId="{8FE4DA06-9203-4227-B7B2-5BE4AFFCB088}" type="pres">
      <dgm:prSet presAssocID="{94D0330C-4325-42DC-874C-AC8062A23608}" presName="parTrans" presStyleLbl="bgSibTrans2D1" presStyleIdx="2" presStyleCnt="4"/>
      <dgm:spPr/>
      <dgm:t>
        <a:bodyPr/>
        <a:lstStyle/>
        <a:p>
          <a:endParaRPr lang="en-GB"/>
        </a:p>
      </dgm:t>
    </dgm:pt>
    <dgm:pt modelId="{73F8018E-FC98-4D6C-B383-9CAE122693F7}" type="pres">
      <dgm:prSet presAssocID="{57BD5943-41B2-474E-AF69-89719D81D651}" presName="node" presStyleLbl="node1" presStyleIdx="2" presStyleCnt="4">
        <dgm:presLayoutVars>
          <dgm:bulletEnabled val="1"/>
        </dgm:presLayoutVars>
      </dgm:prSet>
      <dgm:spPr/>
      <dgm:t>
        <a:bodyPr/>
        <a:lstStyle/>
        <a:p>
          <a:endParaRPr lang="en-GB"/>
        </a:p>
      </dgm:t>
    </dgm:pt>
    <dgm:pt modelId="{56544C19-9A8E-4D40-B5A1-B1A8B3347B81}" type="pres">
      <dgm:prSet presAssocID="{37FC31BE-F620-420D-A1C2-9052EF71269B}" presName="parTrans" presStyleLbl="bgSibTrans2D1" presStyleIdx="3" presStyleCnt="4"/>
      <dgm:spPr/>
      <dgm:t>
        <a:bodyPr/>
        <a:lstStyle/>
        <a:p>
          <a:endParaRPr lang="en-GB"/>
        </a:p>
      </dgm:t>
    </dgm:pt>
    <dgm:pt modelId="{F61B1954-14CB-415D-8CF0-0687F8CC77F4}" type="pres">
      <dgm:prSet presAssocID="{30C66BA5-0217-453D-941D-64FE16C8B638}" presName="node" presStyleLbl="node1" presStyleIdx="3" presStyleCnt="4">
        <dgm:presLayoutVars>
          <dgm:bulletEnabled val="1"/>
        </dgm:presLayoutVars>
      </dgm:prSet>
      <dgm:spPr/>
      <dgm:t>
        <a:bodyPr/>
        <a:lstStyle/>
        <a:p>
          <a:endParaRPr lang="en-GB"/>
        </a:p>
      </dgm:t>
    </dgm:pt>
  </dgm:ptLst>
  <dgm:cxnLst>
    <dgm:cxn modelId="{86DB1B3E-71C9-43DA-B739-3D78D36F70EC}" srcId="{53FE8F65-986D-491D-B8D5-3E830922A880}" destId="{30C66BA5-0217-453D-941D-64FE16C8B638}" srcOrd="3" destOrd="0" parTransId="{37FC31BE-F620-420D-A1C2-9052EF71269B}" sibTransId="{20B64250-8C36-4F2E-B66D-074889345E1D}"/>
    <dgm:cxn modelId="{30452DF8-D755-4F43-99B1-B1F91C99E7C4}" type="presOf" srcId="{192E8A55-A632-4998-B57A-E346C29D412E}" destId="{9650E338-ED0D-4F5A-A481-671C11760AD7}" srcOrd="0" destOrd="0" presId="urn:microsoft.com/office/officeart/2005/8/layout/radial4"/>
    <dgm:cxn modelId="{A691D0B0-1546-0F40-9188-8F33476317A5}" type="presOf" srcId="{94D0330C-4325-42DC-874C-AC8062A23608}" destId="{8FE4DA06-9203-4227-B7B2-5BE4AFFCB088}" srcOrd="0" destOrd="0" presId="urn:microsoft.com/office/officeart/2005/8/layout/radial4"/>
    <dgm:cxn modelId="{E54F47EF-80C6-A242-96A3-F9FE5643E202}" type="presOf" srcId="{37FC31BE-F620-420D-A1C2-9052EF71269B}" destId="{56544C19-9A8E-4D40-B5A1-B1A8B3347B81}" srcOrd="0" destOrd="0" presId="urn:microsoft.com/office/officeart/2005/8/layout/radial4"/>
    <dgm:cxn modelId="{D664021C-C12B-0746-91C1-704F190828D0}" type="presOf" srcId="{57BD5943-41B2-474E-AF69-89719D81D651}" destId="{73F8018E-FC98-4D6C-B383-9CAE122693F7}" srcOrd="0" destOrd="0" presId="urn:microsoft.com/office/officeart/2005/8/layout/radial4"/>
    <dgm:cxn modelId="{05E071DD-FCC3-BD4D-BB9F-8C9A09A33C90}" type="presOf" srcId="{53FE8F65-986D-491D-B8D5-3E830922A880}" destId="{58E8C425-EFBF-42C1-AA60-44B4A572F2BB}" srcOrd="0" destOrd="0" presId="urn:microsoft.com/office/officeart/2005/8/layout/radial4"/>
    <dgm:cxn modelId="{A2D685E7-D2B8-1D47-8470-C3FF662EDE55}" type="presOf" srcId="{16A64B28-5F05-47A7-B8B5-47A010480D71}" destId="{F9B7B5C5-B8A6-411C-AF02-7DB60EB16CCD}" srcOrd="0" destOrd="0" presId="urn:microsoft.com/office/officeart/2005/8/layout/radial4"/>
    <dgm:cxn modelId="{B15944F8-4991-654B-8C5D-CE56DA38658A}" type="presOf" srcId="{F85EB3CE-6A65-433C-B947-7A20F0DE8D4A}" destId="{2B78AA47-FD4D-4220-BFF1-AF97ACD3EEDB}" srcOrd="0" destOrd="0" presId="urn:microsoft.com/office/officeart/2005/8/layout/radial4"/>
    <dgm:cxn modelId="{39C2DE94-2F50-9C44-829A-8847BFE2A735}" type="presOf" srcId="{E5CB8F2B-C24D-4575-A422-9432439AAF28}" destId="{EEFA8882-0A9B-4B12-9F23-66971B90A930}" srcOrd="0" destOrd="0" presId="urn:microsoft.com/office/officeart/2005/8/layout/radial4"/>
    <dgm:cxn modelId="{ED2210AB-C421-3A44-A748-F02BC22415F9}" type="presOf" srcId="{634575F0-A9AC-4E26-A4C0-7C1AE146027B}" destId="{3DC4FEF1-8F46-42D1-9E2B-8261B9173244}" srcOrd="0" destOrd="0" presId="urn:microsoft.com/office/officeart/2005/8/layout/radial4"/>
    <dgm:cxn modelId="{FDC8F446-1D11-2542-8231-B6B8CF025286}" type="presOf" srcId="{30C66BA5-0217-453D-941D-64FE16C8B638}" destId="{F61B1954-14CB-415D-8CF0-0687F8CC77F4}" srcOrd="0" destOrd="0" presId="urn:microsoft.com/office/officeart/2005/8/layout/radial4"/>
    <dgm:cxn modelId="{9C27EEE8-E16B-449C-8CD8-691F968E5CDA}" srcId="{53FE8F65-986D-491D-B8D5-3E830922A880}" destId="{E5CB8F2B-C24D-4575-A422-9432439AAF28}" srcOrd="0" destOrd="0" parTransId="{16A64B28-5F05-47A7-B8B5-47A010480D71}" sibTransId="{4B93AF3D-C859-47F9-BFD9-58D159000971}"/>
    <dgm:cxn modelId="{41E7B694-8042-4586-AFE4-A00C3D9ECBC1}" srcId="{F85EB3CE-6A65-433C-B947-7A20F0DE8D4A}" destId="{53FE8F65-986D-491D-B8D5-3E830922A880}" srcOrd="0" destOrd="0" parTransId="{A4E48618-E12E-4D9E-B03E-91DC80A90E15}" sibTransId="{F13B1AD5-6E95-4DFC-87A6-615250621EEE}"/>
    <dgm:cxn modelId="{9F6CA1E1-2D7E-4494-92DD-0F8B134647E4}" srcId="{53FE8F65-986D-491D-B8D5-3E830922A880}" destId="{57BD5943-41B2-474E-AF69-89719D81D651}" srcOrd="2" destOrd="0" parTransId="{94D0330C-4325-42DC-874C-AC8062A23608}" sibTransId="{27F5E23E-C38A-4285-8C4A-5E243D210DF9}"/>
    <dgm:cxn modelId="{8B929CAC-55B3-4BAB-B306-D21EF659854E}" srcId="{53FE8F65-986D-491D-B8D5-3E830922A880}" destId="{192E8A55-A632-4998-B57A-E346C29D412E}" srcOrd="1" destOrd="0" parTransId="{634575F0-A9AC-4E26-A4C0-7C1AE146027B}" sibTransId="{8B9A365C-3310-4718-9488-B22CFD18F2DB}"/>
    <dgm:cxn modelId="{66E0BA3C-1470-D74C-8EB6-02F92829B46A}" type="presParOf" srcId="{2B78AA47-FD4D-4220-BFF1-AF97ACD3EEDB}" destId="{58E8C425-EFBF-42C1-AA60-44B4A572F2BB}" srcOrd="0" destOrd="0" presId="urn:microsoft.com/office/officeart/2005/8/layout/radial4"/>
    <dgm:cxn modelId="{3858165D-5969-A144-875E-EA7E1F842867}" type="presParOf" srcId="{2B78AA47-FD4D-4220-BFF1-AF97ACD3EEDB}" destId="{F9B7B5C5-B8A6-411C-AF02-7DB60EB16CCD}" srcOrd="1" destOrd="0" presId="urn:microsoft.com/office/officeart/2005/8/layout/radial4"/>
    <dgm:cxn modelId="{339D47DF-66BC-8A45-A79D-9610A2E83348}" type="presParOf" srcId="{2B78AA47-FD4D-4220-BFF1-AF97ACD3EEDB}" destId="{EEFA8882-0A9B-4B12-9F23-66971B90A930}" srcOrd="2" destOrd="0" presId="urn:microsoft.com/office/officeart/2005/8/layout/radial4"/>
    <dgm:cxn modelId="{0A170C3B-5D1C-574C-9704-77BA3151132F}" type="presParOf" srcId="{2B78AA47-FD4D-4220-BFF1-AF97ACD3EEDB}" destId="{3DC4FEF1-8F46-42D1-9E2B-8261B9173244}" srcOrd="3" destOrd="0" presId="urn:microsoft.com/office/officeart/2005/8/layout/radial4"/>
    <dgm:cxn modelId="{11F2AB80-60AF-9241-B081-7E1312F42A43}" type="presParOf" srcId="{2B78AA47-FD4D-4220-BFF1-AF97ACD3EEDB}" destId="{9650E338-ED0D-4F5A-A481-671C11760AD7}" srcOrd="4" destOrd="0" presId="urn:microsoft.com/office/officeart/2005/8/layout/radial4"/>
    <dgm:cxn modelId="{46D72C33-8AFA-B24F-BC29-B5A008146810}" type="presParOf" srcId="{2B78AA47-FD4D-4220-BFF1-AF97ACD3EEDB}" destId="{8FE4DA06-9203-4227-B7B2-5BE4AFFCB088}" srcOrd="5" destOrd="0" presId="urn:microsoft.com/office/officeart/2005/8/layout/radial4"/>
    <dgm:cxn modelId="{3AE9FDB1-4BCF-8F4E-8ED6-AFCC8CE326A0}" type="presParOf" srcId="{2B78AA47-FD4D-4220-BFF1-AF97ACD3EEDB}" destId="{73F8018E-FC98-4D6C-B383-9CAE122693F7}" srcOrd="6" destOrd="0" presId="urn:microsoft.com/office/officeart/2005/8/layout/radial4"/>
    <dgm:cxn modelId="{7F2F35DB-F7AB-6B43-90E9-D273AF38D5EA}" type="presParOf" srcId="{2B78AA47-FD4D-4220-BFF1-AF97ACD3EEDB}" destId="{56544C19-9A8E-4D40-B5A1-B1A8B3347B81}" srcOrd="7" destOrd="0" presId="urn:microsoft.com/office/officeart/2005/8/layout/radial4"/>
    <dgm:cxn modelId="{337EB90F-23FB-CE4D-BC11-BF9D05D48241}" type="presParOf" srcId="{2B78AA47-FD4D-4220-BFF1-AF97ACD3EEDB}" destId="{F61B1954-14CB-415D-8CF0-0687F8CC77F4}" srcOrd="8" destOrd="0" presId="urn:microsoft.com/office/officeart/2005/8/layout/radial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181CCD-60E7-4259-9A88-69A7D16D4826}"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FC4D3A23-83EB-4730-9819-E65F970F156C}">
      <dgm:prSet phldrT="[Text]"/>
      <dgm:spPr/>
      <dgm:t>
        <a:bodyPr/>
        <a:lstStyle/>
        <a:p>
          <a:r>
            <a:rPr lang="en-GB">
              <a:latin typeface="Times New Roman" panose="02020603050405020304" pitchFamily="18" charset="0"/>
              <a:cs typeface="Times New Roman" panose="02020603050405020304" pitchFamily="18" charset="0"/>
            </a:rPr>
            <a:t>Dynamic adjustment and reflective change</a:t>
          </a:r>
        </a:p>
      </dgm:t>
    </dgm:pt>
    <dgm:pt modelId="{6959BEDB-5313-4B92-BD28-68D46ED5397C}" type="parTrans" cxnId="{6EC52062-2E3C-46B3-8897-9F9A698FA0DF}">
      <dgm:prSet/>
      <dgm:spPr/>
      <dgm:t>
        <a:bodyPr/>
        <a:lstStyle/>
        <a:p>
          <a:endParaRPr lang="en-GB"/>
        </a:p>
      </dgm:t>
    </dgm:pt>
    <dgm:pt modelId="{9739681E-AA69-48E0-A05D-232B0F3B2758}" type="sibTrans" cxnId="{6EC52062-2E3C-46B3-8897-9F9A698FA0DF}">
      <dgm:prSet/>
      <dgm:spPr/>
      <dgm:t>
        <a:bodyPr/>
        <a:lstStyle/>
        <a:p>
          <a:endParaRPr lang="en-GB"/>
        </a:p>
      </dgm:t>
    </dgm:pt>
    <dgm:pt modelId="{B6453F2F-79FF-414C-987F-1973DFCB7E75}">
      <dgm:prSet phldrT="[Text]" custT="1"/>
      <dgm:spPr/>
      <dgm:t>
        <a:bodyPr/>
        <a:lstStyle/>
        <a:p>
          <a:r>
            <a:rPr lang="en-GB" sz="1600">
              <a:latin typeface="Times New Roman" panose="02020603050405020304" pitchFamily="18" charset="0"/>
              <a:cs typeface="Times New Roman" panose="02020603050405020304" pitchFamily="18" charset="0"/>
            </a:rPr>
            <a:t>Real-time changes to feedback model</a:t>
          </a:r>
        </a:p>
      </dgm:t>
    </dgm:pt>
    <dgm:pt modelId="{BF26FC66-B449-4920-AD46-6DDDCA34AF91}" type="parTrans" cxnId="{4D19B6DA-230A-4F45-B24F-70E61DF35BF3}">
      <dgm:prSet/>
      <dgm:spPr/>
      <dgm:t>
        <a:bodyPr/>
        <a:lstStyle/>
        <a:p>
          <a:endParaRPr lang="en-GB"/>
        </a:p>
      </dgm:t>
    </dgm:pt>
    <dgm:pt modelId="{2109F047-4EA5-406F-B1CE-403892B53CDC}" type="sibTrans" cxnId="{4D19B6DA-230A-4F45-B24F-70E61DF35BF3}">
      <dgm:prSet/>
      <dgm:spPr/>
      <dgm:t>
        <a:bodyPr/>
        <a:lstStyle/>
        <a:p>
          <a:endParaRPr lang="en-GB"/>
        </a:p>
      </dgm:t>
    </dgm:pt>
    <dgm:pt modelId="{3D2A2193-7CDA-4AEF-A30D-CD98ED19E4AB}">
      <dgm:prSet phldrT="[Text]" custT="1"/>
      <dgm:spPr/>
      <dgm:t>
        <a:bodyPr/>
        <a:lstStyle/>
        <a:p>
          <a:r>
            <a:rPr lang="en-GB" sz="1600">
              <a:latin typeface="Times New Roman" panose="02020603050405020304" pitchFamily="18" charset="0"/>
              <a:cs typeface="Times New Roman" panose="02020603050405020304" pitchFamily="18" charset="0"/>
            </a:rPr>
            <a:t>Integration into teaching practice</a:t>
          </a:r>
        </a:p>
      </dgm:t>
    </dgm:pt>
    <dgm:pt modelId="{445F146B-6C11-4611-8D20-96B847B18DA6}" type="parTrans" cxnId="{21A47F2C-EA88-451B-AE61-AAF5A33AFFC3}">
      <dgm:prSet/>
      <dgm:spPr/>
      <dgm:t>
        <a:bodyPr/>
        <a:lstStyle/>
        <a:p>
          <a:endParaRPr lang="en-GB"/>
        </a:p>
      </dgm:t>
    </dgm:pt>
    <dgm:pt modelId="{28835BE1-610D-4D32-8E8A-A08EB1DE58A6}" type="sibTrans" cxnId="{21A47F2C-EA88-451B-AE61-AAF5A33AFFC3}">
      <dgm:prSet/>
      <dgm:spPr/>
      <dgm:t>
        <a:bodyPr/>
        <a:lstStyle/>
        <a:p>
          <a:endParaRPr lang="en-GB"/>
        </a:p>
      </dgm:t>
    </dgm:pt>
    <dgm:pt modelId="{D6A83E10-EB3D-4513-A1C8-EA44E1F596F8}" type="pres">
      <dgm:prSet presAssocID="{3D181CCD-60E7-4259-9A88-69A7D16D4826}" presName="cycle" presStyleCnt="0">
        <dgm:presLayoutVars>
          <dgm:chMax val="1"/>
          <dgm:dir/>
          <dgm:animLvl val="ctr"/>
          <dgm:resizeHandles val="exact"/>
        </dgm:presLayoutVars>
      </dgm:prSet>
      <dgm:spPr/>
      <dgm:t>
        <a:bodyPr/>
        <a:lstStyle/>
        <a:p>
          <a:endParaRPr lang="en-GB"/>
        </a:p>
      </dgm:t>
    </dgm:pt>
    <dgm:pt modelId="{FDF28CCC-E415-494D-AC53-7C6186B33B18}" type="pres">
      <dgm:prSet presAssocID="{FC4D3A23-83EB-4730-9819-E65F970F156C}" presName="centerShape" presStyleLbl="node0" presStyleIdx="0" presStyleCnt="1"/>
      <dgm:spPr/>
      <dgm:t>
        <a:bodyPr/>
        <a:lstStyle/>
        <a:p>
          <a:endParaRPr lang="en-GB"/>
        </a:p>
      </dgm:t>
    </dgm:pt>
    <dgm:pt modelId="{62D1B411-1760-4F61-82ED-B3463952FA1B}" type="pres">
      <dgm:prSet presAssocID="{BF26FC66-B449-4920-AD46-6DDDCA34AF91}" presName="parTrans" presStyleLbl="bgSibTrans2D1" presStyleIdx="0" presStyleCnt="2"/>
      <dgm:spPr/>
      <dgm:t>
        <a:bodyPr/>
        <a:lstStyle/>
        <a:p>
          <a:endParaRPr lang="en-GB"/>
        </a:p>
      </dgm:t>
    </dgm:pt>
    <dgm:pt modelId="{597A824E-430E-4A9C-8BA3-D94D0A23054E}" type="pres">
      <dgm:prSet presAssocID="{B6453F2F-79FF-414C-987F-1973DFCB7E75}" presName="node" presStyleLbl="node1" presStyleIdx="0" presStyleCnt="2">
        <dgm:presLayoutVars>
          <dgm:bulletEnabled val="1"/>
        </dgm:presLayoutVars>
      </dgm:prSet>
      <dgm:spPr/>
      <dgm:t>
        <a:bodyPr/>
        <a:lstStyle/>
        <a:p>
          <a:endParaRPr lang="en-GB"/>
        </a:p>
      </dgm:t>
    </dgm:pt>
    <dgm:pt modelId="{BC60C142-F5AF-4534-BB44-90365C8682EF}" type="pres">
      <dgm:prSet presAssocID="{445F146B-6C11-4611-8D20-96B847B18DA6}" presName="parTrans" presStyleLbl="bgSibTrans2D1" presStyleIdx="1" presStyleCnt="2"/>
      <dgm:spPr/>
      <dgm:t>
        <a:bodyPr/>
        <a:lstStyle/>
        <a:p>
          <a:endParaRPr lang="en-GB"/>
        </a:p>
      </dgm:t>
    </dgm:pt>
    <dgm:pt modelId="{C05C86A6-2DA5-447A-9238-8C126EA96FF7}" type="pres">
      <dgm:prSet presAssocID="{3D2A2193-7CDA-4AEF-A30D-CD98ED19E4AB}" presName="node" presStyleLbl="node1" presStyleIdx="1" presStyleCnt="2">
        <dgm:presLayoutVars>
          <dgm:bulletEnabled val="1"/>
        </dgm:presLayoutVars>
      </dgm:prSet>
      <dgm:spPr/>
      <dgm:t>
        <a:bodyPr/>
        <a:lstStyle/>
        <a:p>
          <a:endParaRPr lang="en-GB"/>
        </a:p>
      </dgm:t>
    </dgm:pt>
  </dgm:ptLst>
  <dgm:cxnLst>
    <dgm:cxn modelId="{8C1634DA-A96D-FE43-ABE8-BEFD7D42CE1A}" type="presOf" srcId="{3D181CCD-60E7-4259-9A88-69A7D16D4826}" destId="{D6A83E10-EB3D-4513-A1C8-EA44E1F596F8}" srcOrd="0" destOrd="0" presId="urn:microsoft.com/office/officeart/2005/8/layout/radial4"/>
    <dgm:cxn modelId="{6EC52062-2E3C-46B3-8897-9F9A698FA0DF}" srcId="{3D181CCD-60E7-4259-9A88-69A7D16D4826}" destId="{FC4D3A23-83EB-4730-9819-E65F970F156C}" srcOrd="0" destOrd="0" parTransId="{6959BEDB-5313-4B92-BD28-68D46ED5397C}" sibTransId="{9739681E-AA69-48E0-A05D-232B0F3B2758}"/>
    <dgm:cxn modelId="{0079FD19-F930-DB4E-B1D0-2A5D8160C7F3}" type="presOf" srcId="{3D2A2193-7CDA-4AEF-A30D-CD98ED19E4AB}" destId="{C05C86A6-2DA5-447A-9238-8C126EA96FF7}" srcOrd="0" destOrd="0" presId="urn:microsoft.com/office/officeart/2005/8/layout/radial4"/>
    <dgm:cxn modelId="{9FB6C05F-F1F4-CD4E-8B4D-42AA0D7153DA}" type="presOf" srcId="{445F146B-6C11-4611-8D20-96B847B18DA6}" destId="{BC60C142-F5AF-4534-BB44-90365C8682EF}" srcOrd="0" destOrd="0" presId="urn:microsoft.com/office/officeart/2005/8/layout/radial4"/>
    <dgm:cxn modelId="{21A47F2C-EA88-451B-AE61-AAF5A33AFFC3}" srcId="{FC4D3A23-83EB-4730-9819-E65F970F156C}" destId="{3D2A2193-7CDA-4AEF-A30D-CD98ED19E4AB}" srcOrd="1" destOrd="0" parTransId="{445F146B-6C11-4611-8D20-96B847B18DA6}" sibTransId="{28835BE1-610D-4D32-8E8A-A08EB1DE58A6}"/>
    <dgm:cxn modelId="{1805923C-6FEE-8E4E-B8E6-55D84A53307E}" type="presOf" srcId="{FC4D3A23-83EB-4730-9819-E65F970F156C}" destId="{FDF28CCC-E415-494D-AC53-7C6186B33B18}" srcOrd="0" destOrd="0" presId="urn:microsoft.com/office/officeart/2005/8/layout/radial4"/>
    <dgm:cxn modelId="{3E85522C-6C2B-5E4D-BA60-CAD16E568754}" type="presOf" srcId="{BF26FC66-B449-4920-AD46-6DDDCA34AF91}" destId="{62D1B411-1760-4F61-82ED-B3463952FA1B}" srcOrd="0" destOrd="0" presId="urn:microsoft.com/office/officeart/2005/8/layout/radial4"/>
    <dgm:cxn modelId="{4D19B6DA-230A-4F45-B24F-70E61DF35BF3}" srcId="{FC4D3A23-83EB-4730-9819-E65F970F156C}" destId="{B6453F2F-79FF-414C-987F-1973DFCB7E75}" srcOrd="0" destOrd="0" parTransId="{BF26FC66-B449-4920-AD46-6DDDCA34AF91}" sibTransId="{2109F047-4EA5-406F-B1CE-403892B53CDC}"/>
    <dgm:cxn modelId="{0057E991-6DE0-1444-8CD0-2140FAC3A737}" type="presOf" srcId="{B6453F2F-79FF-414C-987F-1973DFCB7E75}" destId="{597A824E-430E-4A9C-8BA3-D94D0A23054E}" srcOrd="0" destOrd="0" presId="urn:microsoft.com/office/officeart/2005/8/layout/radial4"/>
    <dgm:cxn modelId="{94BFB8E5-1DBD-2A47-A1E7-5478C8D439FC}" type="presParOf" srcId="{D6A83E10-EB3D-4513-A1C8-EA44E1F596F8}" destId="{FDF28CCC-E415-494D-AC53-7C6186B33B18}" srcOrd="0" destOrd="0" presId="urn:microsoft.com/office/officeart/2005/8/layout/radial4"/>
    <dgm:cxn modelId="{D8AE76CF-DE6B-E342-915F-BA7F51742A8C}" type="presParOf" srcId="{D6A83E10-EB3D-4513-A1C8-EA44E1F596F8}" destId="{62D1B411-1760-4F61-82ED-B3463952FA1B}" srcOrd="1" destOrd="0" presId="urn:microsoft.com/office/officeart/2005/8/layout/radial4"/>
    <dgm:cxn modelId="{21E2212B-D18B-5E4D-807D-08FCE8BD6B57}" type="presParOf" srcId="{D6A83E10-EB3D-4513-A1C8-EA44E1F596F8}" destId="{597A824E-430E-4A9C-8BA3-D94D0A23054E}" srcOrd="2" destOrd="0" presId="urn:microsoft.com/office/officeart/2005/8/layout/radial4"/>
    <dgm:cxn modelId="{EA3733A6-3A54-294E-8949-9E029E749E56}" type="presParOf" srcId="{D6A83E10-EB3D-4513-A1C8-EA44E1F596F8}" destId="{BC60C142-F5AF-4534-BB44-90365C8682EF}" srcOrd="3" destOrd="0" presId="urn:microsoft.com/office/officeart/2005/8/layout/radial4"/>
    <dgm:cxn modelId="{E993CA95-9DA7-4E49-BEB5-872EF51A964B}" type="presParOf" srcId="{D6A83E10-EB3D-4513-A1C8-EA44E1F596F8}" destId="{C05C86A6-2DA5-447A-9238-8C126EA96FF7}" srcOrd="4" destOrd="0" presId="urn:microsoft.com/office/officeart/2005/8/layout/radial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3516F4F-231F-4B33-BB61-DACD564A122C}" type="doc">
      <dgm:prSet loTypeId="urn:microsoft.com/office/officeart/2009/3/layout/HorizontalOrganizationChart" loCatId="hierarchy" qsTypeId="urn:microsoft.com/office/officeart/2005/8/quickstyle/simple1" qsCatId="simple" csTypeId="urn:microsoft.com/office/officeart/2005/8/colors/colorful4" csCatId="colorful" phldr="1"/>
      <dgm:spPr/>
      <dgm:t>
        <a:bodyPr/>
        <a:lstStyle/>
        <a:p>
          <a:endParaRPr lang="en-GB"/>
        </a:p>
      </dgm:t>
    </dgm:pt>
    <dgm:pt modelId="{A748F44E-ED11-4463-9225-27804B61A87B}">
      <dgm:prSet custT="1"/>
      <dgm:spPr>
        <a:solidFill>
          <a:srgbClr val="00B050"/>
        </a:solidFill>
      </dgm:spPr>
      <dgm:t>
        <a:bodyPr/>
        <a:lstStyle/>
        <a:p>
          <a:r>
            <a:rPr lang="en-GB" sz="1000"/>
            <a:t>Supervisory relationships</a:t>
          </a:r>
        </a:p>
      </dgm:t>
    </dgm:pt>
    <dgm:pt modelId="{51267C5F-6CC5-49FF-A8C3-76B3A4FD72AD}" type="parTrans" cxnId="{FF8B518A-8410-4C22-96B8-709695831DB9}">
      <dgm:prSet/>
      <dgm:spPr/>
      <dgm:t>
        <a:bodyPr/>
        <a:lstStyle/>
        <a:p>
          <a:endParaRPr lang="en-GB" sz="1000"/>
        </a:p>
      </dgm:t>
    </dgm:pt>
    <dgm:pt modelId="{758D6402-007A-4FD6-9CBB-70F3604B1204}" type="sibTrans" cxnId="{FF8B518A-8410-4C22-96B8-709695831DB9}">
      <dgm:prSet/>
      <dgm:spPr/>
      <dgm:t>
        <a:bodyPr/>
        <a:lstStyle/>
        <a:p>
          <a:endParaRPr lang="en-GB" sz="1000"/>
        </a:p>
      </dgm:t>
    </dgm:pt>
    <dgm:pt modelId="{8EFA715D-1823-4C99-9DD3-EE1D178DA3A5}">
      <dgm:prSet custT="1"/>
      <dgm:spPr/>
      <dgm:t>
        <a:bodyPr/>
        <a:lstStyle/>
        <a:p>
          <a:r>
            <a:rPr lang="en-GB" sz="1000"/>
            <a:t>Contextual and personal factors</a:t>
          </a:r>
        </a:p>
      </dgm:t>
    </dgm:pt>
    <dgm:pt modelId="{36E9AF23-0DFF-4467-97FD-0E5593979C07}" type="parTrans" cxnId="{509EEA72-7843-48FF-83E3-0C55A297405F}">
      <dgm:prSet/>
      <dgm:spPr/>
      <dgm:t>
        <a:bodyPr/>
        <a:lstStyle/>
        <a:p>
          <a:endParaRPr lang="en-GB" sz="1000"/>
        </a:p>
      </dgm:t>
    </dgm:pt>
    <dgm:pt modelId="{A3F2BEEA-242F-4314-BDF0-D0CE9D1ED4A6}" type="sibTrans" cxnId="{509EEA72-7843-48FF-83E3-0C55A297405F}">
      <dgm:prSet/>
      <dgm:spPr/>
      <dgm:t>
        <a:bodyPr/>
        <a:lstStyle/>
        <a:p>
          <a:endParaRPr lang="en-GB" sz="1000"/>
        </a:p>
      </dgm:t>
    </dgm:pt>
    <dgm:pt modelId="{8082A7F2-4B39-44B2-B57D-5DE2F3C21DA8}">
      <dgm:prSet phldrT="[Text]" custT="1"/>
      <dgm:spPr/>
      <dgm:t>
        <a:bodyPr/>
        <a:lstStyle/>
        <a:p>
          <a:r>
            <a:rPr lang="en-GB" sz="1000"/>
            <a:t>Learning priorities</a:t>
          </a:r>
        </a:p>
      </dgm:t>
    </dgm:pt>
    <dgm:pt modelId="{929866C7-FCA7-419C-893B-0D0F255A7A99}" type="parTrans" cxnId="{5A2645FD-7DDE-42E4-A7E4-3A673B0318A1}">
      <dgm:prSet/>
      <dgm:spPr/>
      <dgm:t>
        <a:bodyPr/>
        <a:lstStyle/>
        <a:p>
          <a:endParaRPr lang="en-GB" sz="1000"/>
        </a:p>
      </dgm:t>
    </dgm:pt>
    <dgm:pt modelId="{46252DD3-ED4D-40CE-8577-0835C91A781F}" type="sibTrans" cxnId="{5A2645FD-7DDE-42E4-A7E4-3A673B0318A1}">
      <dgm:prSet/>
      <dgm:spPr/>
      <dgm:t>
        <a:bodyPr/>
        <a:lstStyle/>
        <a:p>
          <a:endParaRPr lang="en-GB" sz="1000"/>
        </a:p>
      </dgm:t>
    </dgm:pt>
    <dgm:pt modelId="{6EC7A5FF-C966-4BE7-B53D-D5FACC9BCC8B}">
      <dgm:prSet custT="1"/>
      <dgm:spPr/>
      <dgm:t>
        <a:bodyPr/>
        <a:lstStyle/>
        <a:p>
          <a:r>
            <a:rPr lang="en-GB" sz="1000"/>
            <a:t>Feedback source</a:t>
          </a:r>
        </a:p>
      </dgm:t>
    </dgm:pt>
    <dgm:pt modelId="{EFD52A26-5355-4AA7-9D5A-E565A8EF7F42}" type="parTrans" cxnId="{5A33A133-1C74-4387-A75C-0CBF6528C406}">
      <dgm:prSet/>
      <dgm:spPr/>
      <dgm:t>
        <a:bodyPr/>
        <a:lstStyle/>
        <a:p>
          <a:endParaRPr lang="en-GB" sz="1000"/>
        </a:p>
      </dgm:t>
    </dgm:pt>
    <dgm:pt modelId="{1A8FDA97-BFAE-4144-AB0E-E0D6B1873213}" type="sibTrans" cxnId="{5A33A133-1C74-4387-A75C-0CBF6528C406}">
      <dgm:prSet/>
      <dgm:spPr/>
      <dgm:t>
        <a:bodyPr/>
        <a:lstStyle/>
        <a:p>
          <a:endParaRPr lang="en-GB" sz="1000"/>
        </a:p>
      </dgm:t>
    </dgm:pt>
    <dgm:pt modelId="{6351F96C-35AC-4F5E-B3B2-CC88858F0EA9}">
      <dgm:prSet custT="1"/>
      <dgm:spPr>
        <a:solidFill>
          <a:srgbClr val="0070C0"/>
        </a:solidFill>
      </dgm:spPr>
      <dgm:t>
        <a:bodyPr/>
        <a:lstStyle/>
        <a:p>
          <a:r>
            <a:rPr lang="en-GB" sz="1000"/>
            <a:t>Impact upon behaviours</a:t>
          </a:r>
        </a:p>
      </dgm:t>
    </dgm:pt>
    <dgm:pt modelId="{0C0C9A64-903D-49EA-A2E9-EB30C5E0C3F1}" type="parTrans" cxnId="{EBE0EA78-BE7C-4870-9244-AFB702A4F173}">
      <dgm:prSet/>
      <dgm:spPr/>
      <dgm:t>
        <a:bodyPr/>
        <a:lstStyle/>
        <a:p>
          <a:endParaRPr lang="en-GB" sz="1000"/>
        </a:p>
      </dgm:t>
    </dgm:pt>
    <dgm:pt modelId="{D09B6C20-DAC6-4ABE-8AB0-9E107468AA38}" type="sibTrans" cxnId="{EBE0EA78-BE7C-4870-9244-AFB702A4F173}">
      <dgm:prSet/>
      <dgm:spPr/>
      <dgm:t>
        <a:bodyPr/>
        <a:lstStyle/>
        <a:p>
          <a:endParaRPr lang="en-GB" sz="1000"/>
        </a:p>
      </dgm:t>
    </dgm:pt>
    <dgm:pt modelId="{BDD8254F-F260-42BB-AB14-B93A1F573603}">
      <dgm:prSet custT="1"/>
      <dgm:spPr>
        <a:solidFill>
          <a:srgbClr val="00B0F0"/>
        </a:solidFill>
      </dgm:spPr>
      <dgm:t>
        <a:bodyPr/>
        <a:lstStyle/>
        <a:p>
          <a:r>
            <a:rPr lang="en-GB" sz="1000"/>
            <a:t>Filtering feedback for acceptance or rejection</a:t>
          </a:r>
        </a:p>
      </dgm:t>
    </dgm:pt>
    <dgm:pt modelId="{26185E24-99EE-4F2B-BA1B-F8E6BF5FCAEA}" type="parTrans" cxnId="{818345B0-CABB-4138-8486-13A77F7BC6B4}">
      <dgm:prSet/>
      <dgm:spPr/>
      <dgm:t>
        <a:bodyPr/>
        <a:lstStyle/>
        <a:p>
          <a:endParaRPr lang="en-GB" sz="1000"/>
        </a:p>
      </dgm:t>
    </dgm:pt>
    <dgm:pt modelId="{AA14F111-5CBC-444B-AAC8-4F0E0731749C}" type="sibTrans" cxnId="{818345B0-CABB-4138-8486-13A77F7BC6B4}">
      <dgm:prSet/>
      <dgm:spPr/>
      <dgm:t>
        <a:bodyPr/>
        <a:lstStyle/>
        <a:p>
          <a:endParaRPr lang="en-GB" sz="1000"/>
        </a:p>
      </dgm:t>
    </dgm:pt>
    <dgm:pt modelId="{E819FF71-23E1-43EF-9CAB-7E2AE8F5D88F}">
      <dgm:prSet custT="1"/>
      <dgm:spPr/>
      <dgm:t>
        <a:bodyPr/>
        <a:lstStyle/>
        <a:p>
          <a:r>
            <a:rPr lang="en-GB" sz="1000"/>
            <a:t>Strength of educational alliance</a:t>
          </a:r>
        </a:p>
      </dgm:t>
    </dgm:pt>
    <dgm:pt modelId="{5B5491FA-3349-476E-84AE-E5E66CD7AF9D}" type="parTrans" cxnId="{BD1F1F5C-AC41-4ED1-BCE4-7F355806E217}">
      <dgm:prSet/>
      <dgm:spPr/>
      <dgm:t>
        <a:bodyPr/>
        <a:lstStyle/>
        <a:p>
          <a:endParaRPr lang="en-GB" sz="1000"/>
        </a:p>
      </dgm:t>
    </dgm:pt>
    <dgm:pt modelId="{C2380AEE-9BA3-421D-8AA8-D00BA03C527B}" type="sibTrans" cxnId="{BD1F1F5C-AC41-4ED1-BCE4-7F355806E217}">
      <dgm:prSet/>
      <dgm:spPr/>
      <dgm:t>
        <a:bodyPr/>
        <a:lstStyle/>
        <a:p>
          <a:endParaRPr lang="en-GB" sz="1000"/>
        </a:p>
      </dgm:t>
    </dgm:pt>
    <dgm:pt modelId="{8AA0CE77-0B74-4969-9DAE-B323A5A0077C}">
      <dgm:prSet custT="1"/>
      <dgm:spPr/>
      <dgm:t>
        <a:bodyPr/>
        <a:lstStyle/>
        <a:p>
          <a:r>
            <a:rPr lang="en-GB" sz="1000"/>
            <a:t>Categorisation</a:t>
          </a:r>
        </a:p>
      </dgm:t>
    </dgm:pt>
    <dgm:pt modelId="{25CB0B19-5D4E-42C0-B8DA-B7171758B3C5}" type="parTrans" cxnId="{583E9CA8-5D9B-43A6-A5ED-7F9397F3FF9D}">
      <dgm:prSet/>
      <dgm:spPr/>
      <dgm:t>
        <a:bodyPr/>
        <a:lstStyle/>
        <a:p>
          <a:endParaRPr lang="en-GB" sz="1000"/>
        </a:p>
      </dgm:t>
    </dgm:pt>
    <dgm:pt modelId="{A14366CA-6AC6-452C-BED2-78C301AE6995}" type="sibTrans" cxnId="{583E9CA8-5D9B-43A6-A5ED-7F9397F3FF9D}">
      <dgm:prSet/>
      <dgm:spPr/>
      <dgm:t>
        <a:bodyPr/>
        <a:lstStyle/>
        <a:p>
          <a:endParaRPr lang="en-GB" sz="1000"/>
        </a:p>
      </dgm:t>
    </dgm:pt>
    <dgm:pt modelId="{CE6E3EE0-199F-4E92-AA69-5283AF2175C7}">
      <dgm:prSet custT="1"/>
      <dgm:spPr/>
      <dgm:t>
        <a:bodyPr/>
        <a:lstStyle/>
        <a:p>
          <a:r>
            <a:rPr lang="en-GB" sz="1000"/>
            <a:t>SRL behaviours</a:t>
          </a:r>
        </a:p>
      </dgm:t>
    </dgm:pt>
    <dgm:pt modelId="{D1DC90EB-F840-44AA-900C-444832F06F2E}" type="parTrans" cxnId="{8316C6F2-57F3-4D10-8503-00B2DF451A49}">
      <dgm:prSet/>
      <dgm:spPr/>
      <dgm:t>
        <a:bodyPr/>
        <a:lstStyle/>
        <a:p>
          <a:endParaRPr lang="en-GB" sz="1000"/>
        </a:p>
      </dgm:t>
    </dgm:pt>
    <dgm:pt modelId="{4749F6E2-DE57-4E01-BD7B-82224B56880F}" type="sibTrans" cxnId="{8316C6F2-57F3-4D10-8503-00B2DF451A49}">
      <dgm:prSet/>
      <dgm:spPr/>
      <dgm:t>
        <a:bodyPr/>
        <a:lstStyle/>
        <a:p>
          <a:endParaRPr lang="en-GB" sz="1000"/>
        </a:p>
      </dgm:t>
    </dgm:pt>
    <dgm:pt modelId="{04869B90-3CDC-4F42-B930-460433855D89}">
      <dgm:prSet custT="1"/>
      <dgm:spPr/>
      <dgm:t>
        <a:bodyPr/>
        <a:lstStyle/>
        <a:p>
          <a:r>
            <a:rPr lang="en-GB" sz="1000"/>
            <a:t>Workplace culture</a:t>
          </a:r>
        </a:p>
      </dgm:t>
    </dgm:pt>
    <dgm:pt modelId="{D3147D78-AE9E-4548-938A-3567E84E7E12}" type="parTrans" cxnId="{E1E7C4B4-8131-4686-9276-5338D47A68B3}">
      <dgm:prSet/>
      <dgm:spPr/>
      <dgm:t>
        <a:bodyPr/>
        <a:lstStyle/>
        <a:p>
          <a:endParaRPr lang="en-GB" sz="1000"/>
        </a:p>
      </dgm:t>
    </dgm:pt>
    <dgm:pt modelId="{7D578210-DB95-4AE5-BC43-E2EF004CE632}" type="sibTrans" cxnId="{E1E7C4B4-8131-4686-9276-5338D47A68B3}">
      <dgm:prSet/>
      <dgm:spPr/>
      <dgm:t>
        <a:bodyPr/>
        <a:lstStyle/>
        <a:p>
          <a:endParaRPr lang="en-GB" sz="1000"/>
        </a:p>
      </dgm:t>
    </dgm:pt>
    <dgm:pt modelId="{593CAD76-8C2E-445F-A68C-569B46387685}">
      <dgm:prSet custT="1"/>
      <dgm:spPr/>
      <dgm:t>
        <a:bodyPr/>
        <a:lstStyle/>
        <a:p>
          <a:r>
            <a:rPr lang="en-GB" sz="1000"/>
            <a:t>Personal progression</a:t>
          </a:r>
        </a:p>
      </dgm:t>
    </dgm:pt>
    <dgm:pt modelId="{DC69EF87-9F0F-4FDB-B9E3-63C122CD7C90}" type="parTrans" cxnId="{2B6C5E5A-5100-4065-8CE9-AFA9AEBF63A5}">
      <dgm:prSet/>
      <dgm:spPr/>
      <dgm:t>
        <a:bodyPr/>
        <a:lstStyle/>
        <a:p>
          <a:endParaRPr lang="en-GB" sz="1000"/>
        </a:p>
      </dgm:t>
    </dgm:pt>
    <dgm:pt modelId="{AB4D0DFA-2CB1-4FEA-96CD-5E57BFCE0124}" type="sibTrans" cxnId="{2B6C5E5A-5100-4065-8CE9-AFA9AEBF63A5}">
      <dgm:prSet/>
      <dgm:spPr/>
      <dgm:t>
        <a:bodyPr/>
        <a:lstStyle/>
        <a:p>
          <a:endParaRPr lang="en-GB" sz="1000"/>
        </a:p>
      </dgm:t>
    </dgm:pt>
    <dgm:pt modelId="{FED80948-1C09-4389-8DC7-AD65963C2D36}">
      <dgm:prSet custT="1"/>
      <dgm:spPr/>
      <dgm:t>
        <a:bodyPr/>
        <a:lstStyle/>
        <a:p>
          <a:r>
            <a:rPr lang="en-GB" sz="1000"/>
            <a:t>Multisource</a:t>
          </a:r>
        </a:p>
      </dgm:t>
    </dgm:pt>
    <dgm:pt modelId="{79C3A40A-9584-4E9A-B7FB-AA42278DAE65}" type="parTrans" cxnId="{5875312D-9F90-4BA9-98AA-93EB8ACFD7E2}">
      <dgm:prSet/>
      <dgm:spPr/>
      <dgm:t>
        <a:bodyPr/>
        <a:lstStyle/>
        <a:p>
          <a:endParaRPr lang="en-GB" sz="1000"/>
        </a:p>
      </dgm:t>
    </dgm:pt>
    <dgm:pt modelId="{6E1F09CD-6757-42E9-849E-0D938DF56E0B}" type="sibTrans" cxnId="{5875312D-9F90-4BA9-98AA-93EB8ACFD7E2}">
      <dgm:prSet/>
      <dgm:spPr/>
      <dgm:t>
        <a:bodyPr/>
        <a:lstStyle/>
        <a:p>
          <a:endParaRPr lang="en-GB" sz="1000"/>
        </a:p>
      </dgm:t>
    </dgm:pt>
    <dgm:pt modelId="{24866992-F45D-48F9-84D6-D3B96C9D74B5}">
      <dgm:prSet custT="1"/>
      <dgm:spPr/>
      <dgm:t>
        <a:bodyPr/>
        <a:lstStyle/>
        <a:p>
          <a:r>
            <a:rPr lang="en-GB" sz="1000"/>
            <a:t>Credibility judgement</a:t>
          </a:r>
        </a:p>
      </dgm:t>
    </dgm:pt>
    <dgm:pt modelId="{13EDBF33-9FEF-425A-899E-920A740E0E73}" type="parTrans" cxnId="{CB2C7F09-049A-4AEB-A40B-3DA37D0B630C}">
      <dgm:prSet/>
      <dgm:spPr/>
      <dgm:t>
        <a:bodyPr/>
        <a:lstStyle/>
        <a:p>
          <a:endParaRPr lang="en-GB" sz="1000"/>
        </a:p>
      </dgm:t>
    </dgm:pt>
    <dgm:pt modelId="{73CA6C17-2F1A-4DB9-91B5-25409CF7D683}" type="sibTrans" cxnId="{CB2C7F09-049A-4AEB-A40B-3DA37D0B630C}">
      <dgm:prSet/>
      <dgm:spPr/>
      <dgm:t>
        <a:bodyPr/>
        <a:lstStyle/>
        <a:p>
          <a:endParaRPr lang="en-GB" sz="1000"/>
        </a:p>
      </dgm:t>
    </dgm:pt>
    <dgm:pt modelId="{ACD35DF3-13D1-4353-A6A8-25A12C1C5EC3}">
      <dgm:prSet custT="1"/>
      <dgm:spPr/>
      <dgm:t>
        <a:bodyPr/>
        <a:lstStyle/>
        <a:p>
          <a:r>
            <a:rPr lang="en-GB" sz="1000"/>
            <a:t>Motivational beliefs</a:t>
          </a:r>
        </a:p>
      </dgm:t>
    </dgm:pt>
    <dgm:pt modelId="{C0A005E3-C583-4050-9AF2-9BA4A77B5C6D}" type="parTrans" cxnId="{36079086-D9AC-42F8-A1E7-C67A8CE41596}">
      <dgm:prSet/>
      <dgm:spPr/>
      <dgm:t>
        <a:bodyPr/>
        <a:lstStyle/>
        <a:p>
          <a:endParaRPr lang="en-GB" sz="1000"/>
        </a:p>
      </dgm:t>
    </dgm:pt>
    <dgm:pt modelId="{236FCBD5-3B7A-4B4E-82A9-0042B7116B0A}" type="sibTrans" cxnId="{36079086-D9AC-42F8-A1E7-C67A8CE41596}">
      <dgm:prSet/>
      <dgm:spPr/>
      <dgm:t>
        <a:bodyPr/>
        <a:lstStyle/>
        <a:p>
          <a:endParaRPr lang="en-GB" sz="1000"/>
        </a:p>
      </dgm:t>
    </dgm:pt>
    <dgm:pt modelId="{479E0973-C707-4324-96D9-051C86B001E7}">
      <dgm:prSet custT="1"/>
      <dgm:spPr/>
      <dgm:t>
        <a:bodyPr/>
        <a:lstStyle/>
        <a:p>
          <a:r>
            <a:rPr lang="en-GB" sz="1000"/>
            <a:t>Self-evaluation</a:t>
          </a:r>
        </a:p>
      </dgm:t>
    </dgm:pt>
    <dgm:pt modelId="{384145EA-A543-4322-ACE3-8CD571E7E2F1}" type="parTrans" cxnId="{28AD4C1F-7AB7-489C-96C5-52D947D93586}">
      <dgm:prSet/>
      <dgm:spPr/>
      <dgm:t>
        <a:bodyPr/>
        <a:lstStyle/>
        <a:p>
          <a:endParaRPr lang="en-GB" sz="1000"/>
        </a:p>
      </dgm:t>
    </dgm:pt>
    <dgm:pt modelId="{B775F93C-8F9A-4946-8B5B-5EDF5AEA5053}" type="sibTrans" cxnId="{28AD4C1F-7AB7-489C-96C5-52D947D93586}">
      <dgm:prSet/>
      <dgm:spPr/>
      <dgm:t>
        <a:bodyPr/>
        <a:lstStyle/>
        <a:p>
          <a:endParaRPr lang="en-GB" sz="1000"/>
        </a:p>
      </dgm:t>
    </dgm:pt>
    <dgm:pt modelId="{3255ED5B-27C9-4500-B402-0A6889CCB9CE}">
      <dgm:prSet custT="1"/>
      <dgm:spPr/>
      <dgm:t>
        <a:bodyPr/>
        <a:lstStyle/>
        <a:p>
          <a:r>
            <a:rPr lang="en-GB" sz="1000"/>
            <a:t>Planning and monitoring</a:t>
          </a:r>
        </a:p>
      </dgm:t>
    </dgm:pt>
    <dgm:pt modelId="{48C7BC17-C079-4617-A1E6-8AE5905F636E}" type="parTrans" cxnId="{FC038606-77C5-484E-A51D-D3665BDDE0B8}">
      <dgm:prSet/>
      <dgm:spPr/>
      <dgm:t>
        <a:bodyPr/>
        <a:lstStyle/>
        <a:p>
          <a:endParaRPr lang="en-GB" sz="1000"/>
        </a:p>
      </dgm:t>
    </dgm:pt>
    <dgm:pt modelId="{242864C5-A021-47C6-8AD3-77442FBA0C36}" type="sibTrans" cxnId="{FC038606-77C5-484E-A51D-D3665BDDE0B8}">
      <dgm:prSet/>
      <dgm:spPr/>
      <dgm:t>
        <a:bodyPr/>
        <a:lstStyle/>
        <a:p>
          <a:endParaRPr lang="en-GB" sz="1000"/>
        </a:p>
      </dgm:t>
    </dgm:pt>
    <dgm:pt modelId="{53076996-6BFA-4FCD-B020-882DD4F93500}">
      <dgm:prSet custT="1"/>
      <dgm:spPr/>
      <dgm:t>
        <a:bodyPr/>
        <a:lstStyle/>
        <a:p>
          <a:r>
            <a:rPr lang="en-GB" sz="1000"/>
            <a:t>Maturation</a:t>
          </a:r>
        </a:p>
      </dgm:t>
    </dgm:pt>
    <dgm:pt modelId="{8F42E262-38DA-43F2-9117-3FE672105C67}" type="parTrans" cxnId="{B3AAE53C-3887-4E32-AFC3-ECD5E2110046}">
      <dgm:prSet/>
      <dgm:spPr/>
      <dgm:t>
        <a:bodyPr/>
        <a:lstStyle/>
        <a:p>
          <a:endParaRPr lang="en-GB" sz="1000"/>
        </a:p>
      </dgm:t>
    </dgm:pt>
    <dgm:pt modelId="{8AEF2900-7103-4A33-A46E-41CEF24C6AC6}" type="sibTrans" cxnId="{B3AAE53C-3887-4E32-AFC3-ECD5E2110046}">
      <dgm:prSet/>
      <dgm:spPr/>
      <dgm:t>
        <a:bodyPr/>
        <a:lstStyle/>
        <a:p>
          <a:endParaRPr lang="en-GB" sz="1000"/>
        </a:p>
      </dgm:t>
    </dgm:pt>
    <dgm:pt modelId="{C2FBBC90-3443-42DD-B77C-534A4F31F5CA}">
      <dgm:prSet custT="1"/>
      <dgm:spPr/>
      <dgm:t>
        <a:bodyPr/>
        <a:lstStyle/>
        <a:p>
          <a:r>
            <a:rPr lang="en-GB" sz="1000"/>
            <a:t>Critical evaluation of feedback message</a:t>
          </a:r>
        </a:p>
      </dgm:t>
    </dgm:pt>
    <dgm:pt modelId="{CD605BD6-0256-4A9C-9633-73FD8AECF24C}" type="parTrans" cxnId="{DF3A45B4-3B8F-4AD9-8BC1-368D08F94998}">
      <dgm:prSet/>
      <dgm:spPr/>
      <dgm:t>
        <a:bodyPr/>
        <a:lstStyle/>
        <a:p>
          <a:endParaRPr lang="en-GB" sz="1000"/>
        </a:p>
      </dgm:t>
    </dgm:pt>
    <dgm:pt modelId="{26505E32-CBAD-40FA-BB78-A305D8C937FC}" type="sibTrans" cxnId="{DF3A45B4-3B8F-4AD9-8BC1-368D08F94998}">
      <dgm:prSet/>
      <dgm:spPr/>
      <dgm:t>
        <a:bodyPr/>
        <a:lstStyle/>
        <a:p>
          <a:endParaRPr lang="en-GB" sz="1000"/>
        </a:p>
      </dgm:t>
    </dgm:pt>
    <dgm:pt modelId="{D4398396-4515-45F4-91BD-4482C28F9556}">
      <dgm:prSet custT="1"/>
      <dgm:spPr/>
      <dgm:t>
        <a:bodyPr/>
        <a:lstStyle/>
        <a:p>
          <a:r>
            <a:rPr lang="en-GB" sz="1000"/>
            <a:t>Mutual understanding and comfort</a:t>
          </a:r>
        </a:p>
      </dgm:t>
    </dgm:pt>
    <dgm:pt modelId="{F0D36050-B283-475C-A840-44A754F53ED7}" type="parTrans" cxnId="{E5B909B1-75E1-4CC2-8099-AA2005B65AD6}">
      <dgm:prSet/>
      <dgm:spPr/>
      <dgm:t>
        <a:bodyPr/>
        <a:lstStyle/>
        <a:p>
          <a:endParaRPr lang="en-GB" sz="1000"/>
        </a:p>
      </dgm:t>
    </dgm:pt>
    <dgm:pt modelId="{C309A442-5A30-4AAB-9516-82B2546B109C}" type="sibTrans" cxnId="{E5B909B1-75E1-4CC2-8099-AA2005B65AD6}">
      <dgm:prSet/>
      <dgm:spPr/>
      <dgm:t>
        <a:bodyPr/>
        <a:lstStyle/>
        <a:p>
          <a:endParaRPr lang="en-GB" sz="1000"/>
        </a:p>
      </dgm:t>
    </dgm:pt>
    <dgm:pt modelId="{DE6EDF78-AD7E-4344-82B6-EA1829BABB24}">
      <dgm:prSet custT="1"/>
      <dgm:spPr/>
      <dgm:t>
        <a:bodyPr/>
        <a:lstStyle/>
        <a:p>
          <a:r>
            <a:rPr lang="en-GB" sz="1000"/>
            <a:t>Simulated vs. authentic</a:t>
          </a:r>
        </a:p>
      </dgm:t>
    </dgm:pt>
    <dgm:pt modelId="{4301925A-C934-4CF6-80BB-7B088657DCDD}" type="parTrans" cxnId="{FC9C878A-5EC6-4F47-90F1-6A84CB22CACA}">
      <dgm:prSet/>
      <dgm:spPr/>
      <dgm:t>
        <a:bodyPr/>
        <a:lstStyle/>
        <a:p>
          <a:endParaRPr lang="en-GB" sz="1000"/>
        </a:p>
      </dgm:t>
    </dgm:pt>
    <dgm:pt modelId="{CA7EF2FB-9B40-4484-9C83-EBC1342F758A}" type="sibTrans" cxnId="{FC9C878A-5EC6-4F47-90F1-6A84CB22CACA}">
      <dgm:prSet/>
      <dgm:spPr/>
      <dgm:t>
        <a:bodyPr/>
        <a:lstStyle/>
        <a:p>
          <a:endParaRPr lang="en-GB" sz="1000"/>
        </a:p>
      </dgm:t>
    </dgm:pt>
    <dgm:pt modelId="{85F0F609-123D-43F0-930C-F98954E6966E}" type="pres">
      <dgm:prSet presAssocID="{A3516F4F-231F-4B33-BB61-DACD564A122C}" presName="hierChild1" presStyleCnt="0">
        <dgm:presLayoutVars>
          <dgm:orgChart val="1"/>
          <dgm:chPref val="1"/>
          <dgm:dir/>
          <dgm:animOne val="branch"/>
          <dgm:animLvl val="lvl"/>
          <dgm:resizeHandles/>
        </dgm:presLayoutVars>
      </dgm:prSet>
      <dgm:spPr/>
      <dgm:t>
        <a:bodyPr/>
        <a:lstStyle/>
        <a:p>
          <a:endParaRPr lang="en-GB"/>
        </a:p>
      </dgm:t>
    </dgm:pt>
    <dgm:pt modelId="{E7E170F0-7F39-448A-B29F-839E2A2662DE}" type="pres">
      <dgm:prSet presAssocID="{A748F44E-ED11-4463-9225-27804B61A87B}" presName="hierRoot1" presStyleCnt="0">
        <dgm:presLayoutVars>
          <dgm:hierBranch val="init"/>
        </dgm:presLayoutVars>
      </dgm:prSet>
      <dgm:spPr/>
    </dgm:pt>
    <dgm:pt modelId="{F261F0DC-FB2C-4A25-BFA4-B9170635D6C9}" type="pres">
      <dgm:prSet presAssocID="{A748F44E-ED11-4463-9225-27804B61A87B}" presName="rootComposite1" presStyleCnt="0"/>
      <dgm:spPr/>
    </dgm:pt>
    <dgm:pt modelId="{7153CB51-B998-423A-B4C0-9E5096FB9448}" type="pres">
      <dgm:prSet presAssocID="{A748F44E-ED11-4463-9225-27804B61A87B}" presName="rootText1" presStyleLbl="node0" presStyleIdx="0" presStyleCnt="3">
        <dgm:presLayoutVars>
          <dgm:chPref val="3"/>
        </dgm:presLayoutVars>
      </dgm:prSet>
      <dgm:spPr/>
      <dgm:t>
        <a:bodyPr/>
        <a:lstStyle/>
        <a:p>
          <a:endParaRPr lang="en-GB"/>
        </a:p>
      </dgm:t>
    </dgm:pt>
    <dgm:pt modelId="{FFDFC743-FB19-4455-AC38-3820A6F7699B}" type="pres">
      <dgm:prSet presAssocID="{A748F44E-ED11-4463-9225-27804B61A87B}" presName="rootConnector1" presStyleLbl="node1" presStyleIdx="0" presStyleCnt="0"/>
      <dgm:spPr/>
      <dgm:t>
        <a:bodyPr/>
        <a:lstStyle/>
        <a:p>
          <a:endParaRPr lang="en-GB"/>
        </a:p>
      </dgm:t>
    </dgm:pt>
    <dgm:pt modelId="{4DA3DF3A-E81D-4A24-ADD4-8A39A74EADF0}" type="pres">
      <dgm:prSet presAssocID="{A748F44E-ED11-4463-9225-27804B61A87B}" presName="hierChild2" presStyleCnt="0"/>
      <dgm:spPr/>
    </dgm:pt>
    <dgm:pt modelId="{CBEC414C-CB3E-45A1-99CA-FCD9F0AA8563}" type="pres">
      <dgm:prSet presAssocID="{5B5491FA-3349-476E-84AE-E5E66CD7AF9D}" presName="Name64" presStyleLbl="parChTrans1D2" presStyleIdx="0" presStyleCnt="8"/>
      <dgm:spPr/>
      <dgm:t>
        <a:bodyPr/>
        <a:lstStyle/>
        <a:p>
          <a:endParaRPr lang="en-GB"/>
        </a:p>
      </dgm:t>
    </dgm:pt>
    <dgm:pt modelId="{3F71D6F1-16F3-46B3-94D9-ECA6A4D4E0E8}" type="pres">
      <dgm:prSet presAssocID="{E819FF71-23E1-43EF-9CAB-7E2AE8F5D88F}" presName="hierRoot2" presStyleCnt="0">
        <dgm:presLayoutVars>
          <dgm:hierBranch val="init"/>
        </dgm:presLayoutVars>
      </dgm:prSet>
      <dgm:spPr/>
    </dgm:pt>
    <dgm:pt modelId="{9B9F789A-4E03-4091-889B-EB36EF778B36}" type="pres">
      <dgm:prSet presAssocID="{E819FF71-23E1-43EF-9CAB-7E2AE8F5D88F}" presName="rootComposite" presStyleCnt="0"/>
      <dgm:spPr/>
    </dgm:pt>
    <dgm:pt modelId="{A90E4103-FEEB-4839-A9BC-4A41836E94E1}" type="pres">
      <dgm:prSet presAssocID="{E819FF71-23E1-43EF-9CAB-7E2AE8F5D88F}" presName="rootText" presStyleLbl="node2" presStyleIdx="0" presStyleCnt="8">
        <dgm:presLayoutVars>
          <dgm:chPref val="3"/>
        </dgm:presLayoutVars>
      </dgm:prSet>
      <dgm:spPr/>
      <dgm:t>
        <a:bodyPr/>
        <a:lstStyle/>
        <a:p>
          <a:endParaRPr lang="en-GB"/>
        </a:p>
      </dgm:t>
    </dgm:pt>
    <dgm:pt modelId="{03B2BA26-D248-4739-A9F3-BA93FA010066}" type="pres">
      <dgm:prSet presAssocID="{E819FF71-23E1-43EF-9CAB-7E2AE8F5D88F}" presName="rootConnector" presStyleLbl="node2" presStyleIdx="0" presStyleCnt="8"/>
      <dgm:spPr/>
      <dgm:t>
        <a:bodyPr/>
        <a:lstStyle/>
        <a:p>
          <a:endParaRPr lang="en-GB"/>
        </a:p>
      </dgm:t>
    </dgm:pt>
    <dgm:pt modelId="{559E759D-96F8-4FF5-A876-191F87400A3F}" type="pres">
      <dgm:prSet presAssocID="{E819FF71-23E1-43EF-9CAB-7E2AE8F5D88F}" presName="hierChild4" presStyleCnt="0"/>
      <dgm:spPr/>
    </dgm:pt>
    <dgm:pt modelId="{5E573260-C35A-4EDD-BBE8-887B0EE40603}" type="pres">
      <dgm:prSet presAssocID="{F0D36050-B283-475C-A840-44A754F53ED7}" presName="Name64" presStyleLbl="parChTrans1D3" presStyleIdx="0" presStyleCnt="9"/>
      <dgm:spPr/>
      <dgm:t>
        <a:bodyPr/>
        <a:lstStyle/>
        <a:p>
          <a:endParaRPr lang="en-GB"/>
        </a:p>
      </dgm:t>
    </dgm:pt>
    <dgm:pt modelId="{1D4483E4-C345-42C6-8183-F244718CA783}" type="pres">
      <dgm:prSet presAssocID="{D4398396-4515-45F4-91BD-4482C28F9556}" presName="hierRoot2" presStyleCnt="0">
        <dgm:presLayoutVars>
          <dgm:hierBranch val="init"/>
        </dgm:presLayoutVars>
      </dgm:prSet>
      <dgm:spPr/>
    </dgm:pt>
    <dgm:pt modelId="{7A334DEC-F3B6-4868-A46E-84A37D2F61A7}" type="pres">
      <dgm:prSet presAssocID="{D4398396-4515-45F4-91BD-4482C28F9556}" presName="rootComposite" presStyleCnt="0"/>
      <dgm:spPr/>
    </dgm:pt>
    <dgm:pt modelId="{772CDA1C-A768-4141-BC7D-F2CBB29774FA}" type="pres">
      <dgm:prSet presAssocID="{D4398396-4515-45F4-91BD-4482C28F9556}" presName="rootText" presStyleLbl="node3" presStyleIdx="0" presStyleCnt="9">
        <dgm:presLayoutVars>
          <dgm:chPref val="3"/>
        </dgm:presLayoutVars>
      </dgm:prSet>
      <dgm:spPr/>
      <dgm:t>
        <a:bodyPr/>
        <a:lstStyle/>
        <a:p>
          <a:endParaRPr lang="en-GB"/>
        </a:p>
      </dgm:t>
    </dgm:pt>
    <dgm:pt modelId="{8B2BB631-3CA6-4C05-80C1-E61440E26FFB}" type="pres">
      <dgm:prSet presAssocID="{D4398396-4515-45F4-91BD-4482C28F9556}" presName="rootConnector" presStyleLbl="node3" presStyleIdx="0" presStyleCnt="9"/>
      <dgm:spPr/>
      <dgm:t>
        <a:bodyPr/>
        <a:lstStyle/>
        <a:p>
          <a:endParaRPr lang="en-GB"/>
        </a:p>
      </dgm:t>
    </dgm:pt>
    <dgm:pt modelId="{E2AF1077-C28C-4A2D-9AA1-BFAD2E7FF912}" type="pres">
      <dgm:prSet presAssocID="{D4398396-4515-45F4-91BD-4482C28F9556}" presName="hierChild4" presStyleCnt="0"/>
      <dgm:spPr/>
    </dgm:pt>
    <dgm:pt modelId="{AC7769EE-38A4-4DD3-939C-DD8D4D96D81B}" type="pres">
      <dgm:prSet presAssocID="{D4398396-4515-45F4-91BD-4482C28F9556}" presName="hierChild5" presStyleCnt="0"/>
      <dgm:spPr/>
    </dgm:pt>
    <dgm:pt modelId="{1595F35E-AA79-4C0C-846D-F51C004CF619}" type="pres">
      <dgm:prSet presAssocID="{E819FF71-23E1-43EF-9CAB-7E2AE8F5D88F}" presName="hierChild5" presStyleCnt="0"/>
      <dgm:spPr/>
    </dgm:pt>
    <dgm:pt modelId="{504F5715-D4DE-496D-97D8-8AD9E1FE12E6}" type="pres">
      <dgm:prSet presAssocID="{0C0C9A64-903D-49EA-A2E9-EB30C5E0C3F1}" presName="Name64" presStyleLbl="parChTrans1D2" presStyleIdx="1" presStyleCnt="8"/>
      <dgm:spPr/>
      <dgm:t>
        <a:bodyPr/>
        <a:lstStyle/>
        <a:p>
          <a:endParaRPr lang="en-GB"/>
        </a:p>
      </dgm:t>
    </dgm:pt>
    <dgm:pt modelId="{8C1F88E3-E912-453D-A9DD-14ACD525C34F}" type="pres">
      <dgm:prSet presAssocID="{6351F96C-35AC-4F5E-B3B2-CC88858F0EA9}" presName="hierRoot2" presStyleCnt="0">
        <dgm:presLayoutVars>
          <dgm:hierBranch val="init"/>
        </dgm:presLayoutVars>
      </dgm:prSet>
      <dgm:spPr/>
    </dgm:pt>
    <dgm:pt modelId="{823CA80B-C9A4-4051-8535-892060C89728}" type="pres">
      <dgm:prSet presAssocID="{6351F96C-35AC-4F5E-B3B2-CC88858F0EA9}" presName="rootComposite" presStyleCnt="0"/>
      <dgm:spPr/>
    </dgm:pt>
    <dgm:pt modelId="{18FA3649-2AF0-4B11-AF37-492C7DB351F7}" type="pres">
      <dgm:prSet presAssocID="{6351F96C-35AC-4F5E-B3B2-CC88858F0EA9}" presName="rootText" presStyleLbl="node2" presStyleIdx="1" presStyleCnt="8">
        <dgm:presLayoutVars>
          <dgm:chPref val="3"/>
        </dgm:presLayoutVars>
      </dgm:prSet>
      <dgm:spPr/>
      <dgm:t>
        <a:bodyPr/>
        <a:lstStyle/>
        <a:p>
          <a:endParaRPr lang="en-GB"/>
        </a:p>
      </dgm:t>
    </dgm:pt>
    <dgm:pt modelId="{A1C754E8-BA2C-4594-BBA8-0C43E9369A7C}" type="pres">
      <dgm:prSet presAssocID="{6351F96C-35AC-4F5E-B3B2-CC88858F0EA9}" presName="rootConnector" presStyleLbl="node2" presStyleIdx="1" presStyleCnt="8"/>
      <dgm:spPr/>
      <dgm:t>
        <a:bodyPr/>
        <a:lstStyle/>
        <a:p>
          <a:endParaRPr lang="en-GB"/>
        </a:p>
      </dgm:t>
    </dgm:pt>
    <dgm:pt modelId="{99A7BCEE-D935-4FB6-B7C8-5EF71C465C5A}" type="pres">
      <dgm:prSet presAssocID="{6351F96C-35AC-4F5E-B3B2-CC88858F0EA9}" presName="hierChild4" presStyleCnt="0"/>
      <dgm:spPr/>
    </dgm:pt>
    <dgm:pt modelId="{6C4F03A6-28A6-470B-9FFD-05538E6F9E6A}" type="pres">
      <dgm:prSet presAssocID="{6351F96C-35AC-4F5E-B3B2-CC88858F0EA9}" presName="hierChild5" presStyleCnt="0"/>
      <dgm:spPr/>
    </dgm:pt>
    <dgm:pt modelId="{F05E51E7-EF90-4046-A4E9-8F5B01FE6E90}" type="pres">
      <dgm:prSet presAssocID="{A748F44E-ED11-4463-9225-27804B61A87B}" presName="hierChild3" presStyleCnt="0"/>
      <dgm:spPr/>
    </dgm:pt>
    <dgm:pt modelId="{7E1B6BD9-413A-453B-9433-2A254198A9BF}" type="pres">
      <dgm:prSet presAssocID="{BDD8254F-F260-42BB-AB14-B93A1F573603}" presName="hierRoot1" presStyleCnt="0">
        <dgm:presLayoutVars>
          <dgm:hierBranch val="init"/>
        </dgm:presLayoutVars>
      </dgm:prSet>
      <dgm:spPr/>
    </dgm:pt>
    <dgm:pt modelId="{8957E1E5-CBC3-4192-92A4-FE7906DDA1DC}" type="pres">
      <dgm:prSet presAssocID="{BDD8254F-F260-42BB-AB14-B93A1F573603}" presName="rootComposite1" presStyleCnt="0"/>
      <dgm:spPr/>
    </dgm:pt>
    <dgm:pt modelId="{A0221534-758E-4AC4-B609-C169E4C779E5}" type="pres">
      <dgm:prSet presAssocID="{BDD8254F-F260-42BB-AB14-B93A1F573603}" presName="rootText1" presStyleLbl="node0" presStyleIdx="1" presStyleCnt="3">
        <dgm:presLayoutVars>
          <dgm:chPref val="3"/>
        </dgm:presLayoutVars>
      </dgm:prSet>
      <dgm:spPr/>
      <dgm:t>
        <a:bodyPr/>
        <a:lstStyle/>
        <a:p>
          <a:endParaRPr lang="en-GB"/>
        </a:p>
      </dgm:t>
    </dgm:pt>
    <dgm:pt modelId="{E6D74E96-17A4-4F07-920C-78A7A3D6D71F}" type="pres">
      <dgm:prSet presAssocID="{BDD8254F-F260-42BB-AB14-B93A1F573603}" presName="rootConnector1" presStyleLbl="node1" presStyleIdx="0" presStyleCnt="0"/>
      <dgm:spPr/>
      <dgm:t>
        <a:bodyPr/>
        <a:lstStyle/>
        <a:p>
          <a:endParaRPr lang="en-GB"/>
        </a:p>
      </dgm:t>
    </dgm:pt>
    <dgm:pt modelId="{6FFC0FE7-7D79-48FE-8189-FEEC06528DDE}" type="pres">
      <dgm:prSet presAssocID="{BDD8254F-F260-42BB-AB14-B93A1F573603}" presName="hierChild2" presStyleCnt="0"/>
      <dgm:spPr/>
    </dgm:pt>
    <dgm:pt modelId="{660D74BE-5D83-408E-AA3B-8D8520145E5E}" type="pres">
      <dgm:prSet presAssocID="{EFD52A26-5355-4AA7-9D5A-E565A8EF7F42}" presName="Name64" presStyleLbl="parChTrans1D2" presStyleIdx="2" presStyleCnt="8"/>
      <dgm:spPr/>
      <dgm:t>
        <a:bodyPr/>
        <a:lstStyle/>
        <a:p>
          <a:endParaRPr lang="en-GB"/>
        </a:p>
      </dgm:t>
    </dgm:pt>
    <dgm:pt modelId="{97DCF304-2B72-4919-AD88-62AB2CE71605}" type="pres">
      <dgm:prSet presAssocID="{6EC7A5FF-C966-4BE7-B53D-D5FACC9BCC8B}" presName="hierRoot2" presStyleCnt="0">
        <dgm:presLayoutVars>
          <dgm:hierBranch val="init"/>
        </dgm:presLayoutVars>
      </dgm:prSet>
      <dgm:spPr/>
    </dgm:pt>
    <dgm:pt modelId="{7681F45D-B0C4-4203-A007-2F0622936CC0}" type="pres">
      <dgm:prSet presAssocID="{6EC7A5FF-C966-4BE7-B53D-D5FACC9BCC8B}" presName="rootComposite" presStyleCnt="0"/>
      <dgm:spPr/>
    </dgm:pt>
    <dgm:pt modelId="{F559B4EC-5262-472C-85F7-1770A34AA63B}" type="pres">
      <dgm:prSet presAssocID="{6EC7A5FF-C966-4BE7-B53D-D5FACC9BCC8B}" presName="rootText" presStyleLbl="node2" presStyleIdx="2" presStyleCnt="8">
        <dgm:presLayoutVars>
          <dgm:chPref val="3"/>
        </dgm:presLayoutVars>
      </dgm:prSet>
      <dgm:spPr/>
      <dgm:t>
        <a:bodyPr/>
        <a:lstStyle/>
        <a:p>
          <a:endParaRPr lang="en-GB"/>
        </a:p>
      </dgm:t>
    </dgm:pt>
    <dgm:pt modelId="{C95AC2EA-20FD-4CDD-9394-AA134450274E}" type="pres">
      <dgm:prSet presAssocID="{6EC7A5FF-C966-4BE7-B53D-D5FACC9BCC8B}" presName="rootConnector" presStyleLbl="node2" presStyleIdx="2" presStyleCnt="8"/>
      <dgm:spPr/>
      <dgm:t>
        <a:bodyPr/>
        <a:lstStyle/>
        <a:p>
          <a:endParaRPr lang="en-GB"/>
        </a:p>
      </dgm:t>
    </dgm:pt>
    <dgm:pt modelId="{87BA005C-051A-4D0B-A9F7-D3020839FE2A}" type="pres">
      <dgm:prSet presAssocID="{6EC7A5FF-C966-4BE7-B53D-D5FACC9BCC8B}" presName="hierChild4" presStyleCnt="0"/>
      <dgm:spPr/>
    </dgm:pt>
    <dgm:pt modelId="{61CB4561-867D-45F8-8FF6-456FC6660A93}" type="pres">
      <dgm:prSet presAssocID="{79C3A40A-9584-4E9A-B7FB-AA42278DAE65}" presName="Name64" presStyleLbl="parChTrans1D3" presStyleIdx="1" presStyleCnt="9"/>
      <dgm:spPr/>
      <dgm:t>
        <a:bodyPr/>
        <a:lstStyle/>
        <a:p>
          <a:endParaRPr lang="en-GB"/>
        </a:p>
      </dgm:t>
    </dgm:pt>
    <dgm:pt modelId="{B5CDC231-DFEB-4C28-B607-0C78AE891237}" type="pres">
      <dgm:prSet presAssocID="{FED80948-1C09-4389-8DC7-AD65963C2D36}" presName="hierRoot2" presStyleCnt="0">
        <dgm:presLayoutVars>
          <dgm:hierBranch val="init"/>
        </dgm:presLayoutVars>
      </dgm:prSet>
      <dgm:spPr/>
    </dgm:pt>
    <dgm:pt modelId="{F1FBD5F3-85B5-4BD9-A1F7-2E9B801D3A6E}" type="pres">
      <dgm:prSet presAssocID="{FED80948-1C09-4389-8DC7-AD65963C2D36}" presName="rootComposite" presStyleCnt="0"/>
      <dgm:spPr/>
    </dgm:pt>
    <dgm:pt modelId="{0579BEC7-C8E3-4A06-BC7E-6250B576FFDF}" type="pres">
      <dgm:prSet presAssocID="{FED80948-1C09-4389-8DC7-AD65963C2D36}" presName="rootText" presStyleLbl="node3" presStyleIdx="1" presStyleCnt="9">
        <dgm:presLayoutVars>
          <dgm:chPref val="3"/>
        </dgm:presLayoutVars>
      </dgm:prSet>
      <dgm:spPr/>
      <dgm:t>
        <a:bodyPr/>
        <a:lstStyle/>
        <a:p>
          <a:endParaRPr lang="en-GB"/>
        </a:p>
      </dgm:t>
    </dgm:pt>
    <dgm:pt modelId="{A6103CAA-9590-4A71-875A-295AEEF842F0}" type="pres">
      <dgm:prSet presAssocID="{FED80948-1C09-4389-8DC7-AD65963C2D36}" presName="rootConnector" presStyleLbl="node3" presStyleIdx="1" presStyleCnt="9"/>
      <dgm:spPr/>
      <dgm:t>
        <a:bodyPr/>
        <a:lstStyle/>
        <a:p>
          <a:endParaRPr lang="en-GB"/>
        </a:p>
      </dgm:t>
    </dgm:pt>
    <dgm:pt modelId="{55A67CFE-109F-4DAE-A06D-9D31D6CB8614}" type="pres">
      <dgm:prSet presAssocID="{FED80948-1C09-4389-8DC7-AD65963C2D36}" presName="hierChild4" presStyleCnt="0"/>
      <dgm:spPr/>
    </dgm:pt>
    <dgm:pt modelId="{0D1F1C37-5972-4677-8D4A-BEF0AB535253}" type="pres">
      <dgm:prSet presAssocID="{FED80948-1C09-4389-8DC7-AD65963C2D36}" presName="hierChild5" presStyleCnt="0"/>
      <dgm:spPr/>
    </dgm:pt>
    <dgm:pt modelId="{09DADDDC-105C-4765-80E2-CF3890C7101F}" type="pres">
      <dgm:prSet presAssocID="{13EDBF33-9FEF-425A-899E-920A740E0E73}" presName="Name64" presStyleLbl="parChTrans1D3" presStyleIdx="2" presStyleCnt="9"/>
      <dgm:spPr/>
      <dgm:t>
        <a:bodyPr/>
        <a:lstStyle/>
        <a:p>
          <a:endParaRPr lang="en-GB"/>
        </a:p>
      </dgm:t>
    </dgm:pt>
    <dgm:pt modelId="{783523CE-C630-4E2A-8E94-F05E2FFDF73B}" type="pres">
      <dgm:prSet presAssocID="{24866992-F45D-48F9-84D6-D3B96C9D74B5}" presName="hierRoot2" presStyleCnt="0">
        <dgm:presLayoutVars>
          <dgm:hierBranch val="init"/>
        </dgm:presLayoutVars>
      </dgm:prSet>
      <dgm:spPr/>
    </dgm:pt>
    <dgm:pt modelId="{BE511426-B469-4D0D-B3F3-4C6A53A181A4}" type="pres">
      <dgm:prSet presAssocID="{24866992-F45D-48F9-84D6-D3B96C9D74B5}" presName="rootComposite" presStyleCnt="0"/>
      <dgm:spPr/>
    </dgm:pt>
    <dgm:pt modelId="{1CA9F88D-25E6-454C-A6C3-C1EBF4D7D39B}" type="pres">
      <dgm:prSet presAssocID="{24866992-F45D-48F9-84D6-D3B96C9D74B5}" presName="rootText" presStyleLbl="node3" presStyleIdx="2" presStyleCnt="9">
        <dgm:presLayoutVars>
          <dgm:chPref val="3"/>
        </dgm:presLayoutVars>
      </dgm:prSet>
      <dgm:spPr/>
      <dgm:t>
        <a:bodyPr/>
        <a:lstStyle/>
        <a:p>
          <a:endParaRPr lang="en-GB"/>
        </a:p>
      </dgm:t>
    </dgm:pt>
    <dgm:pt modelId="{F4DC70DD-94DA-4CE0-BAF5-51CFA531310E}" type="pres">
      <dgm:prSet presAssocID="{24866992-F45D-48F9-84D6-D3B96C9D74B5}" presName="rootConnector" presStyleLbl="node3" presStyleIdx="2" presStyleCnt="9"/>
      <dgm:spPr/>
      <dgm:t>
        <a:bodyPr/>
        <a:lstStyle/>
        <a:p>
          <a:endParaRPr lang="en-GB"/>
        </a:p>
      </dgm:t>
    </dgm:pt>
    <dgm:pt modelId="{D584400C-4B47-4E36-8C5D-51BBC1E8F637}" type="pres">
      <dgm:prSet presAssocID="{24866992-F45D-48F9-84D6-D3B96C9D74B5}" presName="hierChild4" presStyleCnt="0"/>
      <dgm:spPr/>
    </dgm:pt>
    <dgm:pt modelId="{7405B38D-0182-4947-977B-781788E76509}" type="pres">
      <dgm:prSet presAssocID="{24866992-F45D-48F9-84D6-D3B96C9D74B5}" presName="hierChild5" presStyleCnt="0"/>
      <dgm:spPr/>
    </dgm:pt>
    <dgm:pt modelId="{8833B46E-78B7-4001-B5A1-C60D0D10D9D9}" type="pres">
      <dgm:prSet presAssocID="{6EC7A5FF-C966-4BE7-B53D-D5FACC9BCC8B}" presName="hierChild5" presStyleCnt="0"/>
      <dgm:spPr/>
    </dgm:pt>
    <dgm:pt modelId="{8563764B-84CE-4A48-B980-9DB47AAAD088}" type="pres">
      <dgm:prSet presAssocID="{929866C7-FCA7-419C-893B-0D0F255A7A99}" presName="Name64" presStyleLbl="parChTrans1D2" presStyleIdx="3" presStyleCnt="8"/>
      <dgm:spPr/>
      <dgm:t>
        <a:bodyPr/>
        <a:lstStyle/>
        <a:p>
          <a:endParaRPr lang="en-GB"/>
        </a:p>
      </dgm:t>
    </dgm:pt>
    <dgm:pt modelId="{88CD291E-4263-4072-805F-1010C369CE65}" type="pres">
      <dgm:prSet presAssocID="{8082A7F2-4B39-44B2-B57D-5DE2F3C21DA8}" presName="hierRoot2" presStyleCnt="0">
        <dgm:presLayoutVars>
          <dgm:hierBranch val="init"/>
        </dgm:presLayoutVars>
      </dgm:prSet>
      <dgm:spPr/>
    </dgm:pt>
    <dgm:pt modelId="{AB07B703-C0B7-4061-86B1-B8B7A3721F51}" type="pres">
      <dgm:prSet presAssocID="{8082A7F2-4B39-44B2-B57D-5DE2F3C21DA8}" presName="rootComposite" presStyleCnt="0"/>
      <dgm:spPr/>
    </dgm:pt>
    <dgm:pt modelId="{6AA62E2A-8C27-495D-861F-F52E10AA77DC}" type="pres">
      <dgm:prSet presAssocID="{8082A7F2-4B39-44B2-B57D-5DE2F3C21DA8}" presName="rootText" presStyleLbl="node2" presStyleIdx="3" presStyleCnt="8">
        <dgm:presLayoutVars>
          <dgm:chPref val="3"/>
        </dgm:presLayoutVars>
      </dgm:prSet>
      <dgm:spPr/>
      <dgm:t>
        <a:bodyPr/>
        <a:lstStyle/>
        <a:p>
          <a:endParaRPr lang="en-GB"/>
        </a:p>
      </dgm:t>
    </dgm:pt>
    <dgm:pt modelId="{23855D1F-BA72-46A9-AD2B-F7656A688C56}" type="pres">
      <dgm:prSet presAssocID="{8082A7F2-4B39-44B2-B57D-5DE2F3C21DA8}" presName="rootConnector" presStyleLbl="node2" presStyleIdx="3" presStyleCnt="8"/>
      <dgm:spPr/>
      <dgm:t>
        <a:bodyPr/>
        <a:lstStyle/>
        <a:p>
          <a:endParaRPr lang="en-GB"/>
        </a:p>
      </dgm:t>
    </dgm:pt>
    <dgm:pt modelId="{23C15B48-2AA2-4FE5-84BE-4978C2FFFADF}" type="pres">
      <dgm:prSet presAssocID="{8082A7F2-4B39-44B2-B57D-5DE2F3C21DA8}" presName="hierChild4" presStyleCnt="0"/>
      <dgm:spPr/>
    </dgm:pt>
    <dgm:pt modelId="{5785FFEB-6276-475C-BB65-6D8E444BC2AB}" type="pres">
      <dgm:prSet presAssocID="{8082A7F2-4B39-44B2-B57D-5DE2F3C21DA8}" presName="hierChild5" presStyleCnt="0"/>
      <dgm:spPr/>
    </dgm:pt>
    <dgm:pt modelId="{709FBF78-203E-41E1-AF18-8C705D615E08}" type="pres">
      <dgm:prSet presAssocID="{25CB0B19-5D4E-42C0-B8DA-B7171758B3C5}" presName="Name64" presStyleLbl="parChTrans1D2" presStyleIdx="4" presStyleCnt="8"/>
      <dgm:spPr/>
      <dgm:t>
        <a:bodyPr/>
        <a:lstStyle/>
        <a:p>
          <a:endParaRPr lang="en-GB"/>
        </a:p>
      </dgm:t>
    </dgm:pt>
    <dgm:pt modelId="{B7F82CFB-3DF5-4E4B-A78A-6484D94B3271}" type="pres">
      <dgm:prSet presAssocID="{8AA0CE77-0B74-4969-9DAE-B323A5A0077C}" presName="hierRoot2" presStyleCnt="0">
        <dgm:presLayoutVars>
          <dgm:hierBranch val="init"/>
        </dgm:presLayoutVars>
      </dgm:prSet>
      <dgm:spPr/>
    </dgm:pt>
    <dgm:pt modelId="{82F9188E-B8F4-4FAF-A394-42A9E6321377}" type="pres">
      <dgm:prSet presAssocID="{8AA0CE77-0B74-4969-9DAE-B323A5A0077C}" presName="rootComposite" presStyleCnt="0"/>
      <dgm:spPr/>
    </dgm:pt>
    <dgm:pt modelId="{BFCD994E-DB0D-4C72-B943-92BC23462DCB}" type="pres">
      <dgm:prSet presAssocID="{8AA0CE77-0B74-4969-9DAE-B323A5A0077C}" presName="rootText" presStyleLbl="node2" presStyleIdx="4" presStyleCnt="8">
        <dgm:presLayoutVars>
          <dgm:chPref val="3"/>
        </dgm:presLayoutVars>
      </dgm:prSet>
      <dgm:spPr/>
      <dgm:t>
        <a:bodyPr/>
        <a:lstStyle/>
        <a:p>
          <a:endParaRPr lang="en-GB"/>
        </a:p>
      </dgm:t>
    </dgm:pt>
    <dgm:pt modelId="{D3A2A8BA-E7F6-4296-B004-CB5A4929B0F9}" type="pres">
      <dgm:prSet presAssocID="{8AA0CE77-0B74-4969-9DAE-B323A5A0077C}" presName="rootConnector" presStyleLbl="node2" presStyleIdx="4" presStyleCnt="8"/>
      <dgm:spPr/>
      <dgm:t>
        <a:bodyPr/>
        <a:lstStyle/>
        <a:p>
          <a:endParaRPr lang="en-GB"/>
        </a:p>
      </dgm:t>
    </dgm:pt>
    <dgm:pt modelId="{F52632F8-1BAB-47D6-BA11-ACB8FD699016}" type="pres">
      <dgm:prSet presAssocID="{8AA0CE77-0B74-4969-9DAE-B323A5A0077C}" presName="hierChild4" presStyleCnt="0"/>
      <dgm:spPr/>
    </dgm:pt>
    <dgm:pt modelId="{3C01A6FD-4B83-4E95-9552-A394122C750D}" type="pres">
      <dgm:prSet presAssocID="{CD605BD6-0256-4A9C-9633-73FD8AECF24C}" presName="Name64" presStyleLbl="parChTrans1D3" presStyleIdx="3" presStyleCnt="9"/>
      <dgm:spPr/>
      <dgm:t>
        <a:bodyPr/>
        <a:lstStyle/>
        <a:p>
          <a:endParaRPr lang="en-GB"/>
        </a:p>
      </dgm:t>
    </dgm:pt>
    <dgm:pt modelId="{B90B33CA-4B7C-4324-B63D-907F051F1246}" type="pres">
      <dgm:prSet presAssocID="{C2FBBC90-3443-42DD-B77C-534A4F31F5CA}" presName="hierRoot2" presStyleCnt="0">
        <dgm:presLayoutVars>
          <dgm:hierBranch val="init"/>
        </dgm:presLayoutVars>
      </dgm:prSet>
      <dgm:spPr/>
    </dgm:pt>
    <dgm:pt modelId="{996F90E0-C449-4B04-8BB5-F51B6B4544C5}" type="pres">
      <dgm:prSet presAssocID="{C2FBBC90-3443-42DD-B77C-534A4F31F5CA}" presName="rootComposite" presStyleCnt="0"/>
      <dgm:spPr/>
    </dgm:pt>
    <dgm:pt modelId="{9CD8F3B9-B717-470A-B7BB-750D7CD26F5D}" type="pres">
      <dgm:prSet presAssocID="{C2FBBC90-3443-42DD-B77C-534A4F31F5CA}" presName="rootText" presStyleLbl="node3" presStyleIdx="3" presStyleCnt="9">
        <dgm:presLayoutVars>
          <dgm:chPref val="3"/>
        </dgm:presLayoutVars>
      </dgm:prSet>
      <dgm:spPr/>
      <dgm:t>
        <a:bodyPr/>
        <a:lstStyle/>
        <a:p>
          <a:endParaRPr lang="en-GB"/>
        </a:p>
      </dgm:t>
    </dgm:pt>
    <dgm:pt modelId="{FAD1165A-C333-4B54-A37B-C25922087445}" type="pres">
      <dgm:prSet presAssocID="{C2FBBC90-3443-42DD-B77C-534A4F31F5CA}" presName="rootConnector" presStyleLbl="node3" presStyleIdx="3" presStyleCnt="9"/>
      <dgm:spPr/>
      <dgm:t>
        <a:bodyPr/>
        <a:lstStyle/>
        <a:p>
          <a:endParaRPr lang="en-GB"/>
        </a:p>
      </dgm:t>
    </dgm:pt>
    <dgm:pt modelId="{406AD299-61B2-45B7-9D71-C1725BC37F70}" type="pres">
      <dgm:prSet presAssocID="{C2FBBC90-3443-42DD-B77C-534A4F31F5CA}" presName="hierChild4" presStyleCnt="0"/>
      <dgm:spPr/>
    </dgm:pt>
    <dgm:pt modelId="{04A74D73-413B-4B6A-B09A-5380DB40C498}" type="pres">
      <dgm:prSet presAssocID="{C2FBBC90-3443-42DD-B77C-534A4F31F5CA}" presName="hierChild5" presStyleCnt="0"/>
      <dgm:spPr/>
    </dgm:pt>
    <dgm:pt modelId="{D19611D2-65A5-4FE7-A848-358298996E3E}" type="pres">
      <dgm:prSet presAssocID="{8AA0CE77-0B74-4969-9DAE-B323A5A0077C}" presName="hierChild5" presStyleCnt="0"/>
      <dgm:spPr/>
    </dgm:pt>
    <dgm:pt modelId="{0608168D-F127-4CE5-9147-EDF71E7DC0F3}" type="pres">
      <dgm:prSet presAssocID="{BDD8254F-F260-42BB-AB14-B93A1F573603}" presName="hierChild3" presStyleCnt="0"/>
      <dgm:spPr/>
    </dgm:pt>
    <dgm:pt modelId="{B0A62C8A-E838-4B13-BBF0-FFBEAB2B7AE4}" type="pres">
      <dgm:prSet presAssocID="{8EFA715D-1823-4C99-9DD3-EE1D178DA3A5}" presName="hierRoot1" presStyleCnt="0">
        <dgm:presLayoutVars>
          <dgm:hierBranch val="init"/>
        </dgm:presLayoutVars>
      </dgm:prSet>
      <dgm:spPr/>
    </dgm:pt>
    <dgm:pt modelId="{763C086B-EDBD-4C55-B581-6DE21F5D6B42}" type="pres">
      <dgm:prSet presAssocID="{8EFA715D-1823-4C99-9DD3-EE1D178DA3A5}" presName="rootComposite1" presStyleCnt="0"/>
      <dgm:spPr/>
    </dgm:pt>
    <dgm:pt modelId="{466C0039-FE30-4D47-8335-FD25D7D99303}" type="pres">
      <dgm:prSet presAssocID="{8EFA715D-1823-4C99-9DD3-EE1D178DA3A5}" presName="rootText1" presStyleLbl="node0" presStyleIdx="2" presStyleCnt="3">
        <dgm:presLayoutVars>
          <dgm:chPref val="3"/>
        </dgm:presLayoutVars>
      </dgm:prSet>
      <dgm:spPr/>
      <dgm:t>
        <a:bodyPr/>
        <a:lstStyle/>
        <a:p>
          <a:endParaRPr lang="en-GB"/>
        </a:p>
      </dgm:t>
    </dgm:pt>
    <dgm:pt modelId="{2CA74A30-1ECC-449F-AAA0-13CFF739B81B}" type="pres">
      <dgm:prSet presAssocID="{8EFA715D-1823-4C99-9DD3-EE1D178DA3A5}" presName="rootConnector1" presStyleLbl="node1" presStyleIdx="0" presStyleCnt="0"/>
      <dgm:spPr/>
      <dgm:t>
        <a:bodyPr/>
        <a:lstStyle/>
        <a:p>
          <a:endParaRPr lang="en-GB"/>
        </a:p>
      </dgm:t>
    </dgm:pt>
    <dgm:pt modelId="{74665B56-3489-4B7B-8C2F-4B391FA5B662}" type="pres">
      <dgm:prSet presAssocID="{8EFA715D-1823-4C99-9DD3-EE1D178DA3A5}" presName="hierChild2" presStyleCnt="0"/>
      <dgm:spPr/>
    </dgm:pt>
    <dgm:pt modelId="{136F2B2E-67BB-4DEB-9034-A485A9ECD8BD}" type="pres">
      <dgm:prSet presAssocID="{D3147D78-AE9E-4548-938A-3567E84E7E12}" presName="Name64" presStyleLbl="parChTrans1D2" presStyleIdx="5" presStyleCnt="8"/>
      <dgm:spPr/>
      <dgm:t>
        <a:bodyPr/>
        <a:lstStyle/>
        <a:p>
          <a:endParaRPr lang="en-GB"/>
        </a:p>
      </dgm:t>
    </dgm:pt>
    <dgm:pt modelId="{30C3F9F2-B651-4CA2-9EB5-0BF326BE4FE7}" type="pres">
      <dgm:prSet presAssocID="{04869B90-3CDC-4F42-B930-460433855D89}" presName="hierRoot2" presStyleCnt="0">
        <dgm:presLayoutVars>
          <dgm:hierBranch val="init"/>
        </dgm:presLayoutVars>
      </dgm:prSet>
      <dgm:spPr/>
    </dgm:pt>
    <dgm:pt modelId="{A601D0E0-DBBE-480F-914C-1C909BC4F8E9}" type="pres">
      <dgm:prSet presAssocID="{04869B90-3CDC-4F42-B930-460433855D89}" presName="rootComposite" presStyleCnt="0"/>
      <dgm:spPr/>
    </dgm:pt>
    <dgm:pt modelId="{D0285795-9A68-4830-902F-8045D6C11644}" type="pres">
      <dgm:prSet presAssocID="{04869B90-3CDC-4F42-B930-460433855D89}" presName="rootText" presStyleLbl="node2" presStyleIdx="5" presStyleCnt="8">
        <dgm:presLayoutVars>
          <dgm:chPref val="3"/>
        </dgm:presLayoutVars>
      </dgm:prSet>
      <dgm:spPr/>
      <dgm:t>
        <a:bodyPr/>
        <a:lstStyle/>
        <a:p>
          <a:endParaRPr lang="en-GB"/>
        </a:p>
      </dgm:t>
    </dgm:pt>
    <dgm:pt modelId="{B411987C-29F5-4DF9-AB76-53A5F00486CB}" type="pres">
      <dgm:prSet presAssocID="{04869B90-3CDC-4F42-B930-460433855D89}" presName="rootConnector" presStyleLbl="node2" presStyleIdx="5" presStyleCnt="8"/>
      <dgm:spPr/>
      <dgm:t>
        <a:bodyPr/>
        <a:lstStyle/>
        <a:p>
          <a:endParaRPr lang="en-GB"/>
        </a:p>
      </dgm:t>
    </dgm:pt>
    <dgm:pt modelId="{7121B790-71BF-40A1-81BE-43C60E423C1B}" type="pres">
      <dgm:prSet presAssocID="{04869B90-3CDC-4F42-B930-460433855D89}" presName="hierChild4" presStyleCnt="0"/>
      <dgm:spPr/>
    </dgm:pt>
    <dgm:pt modelId="{F36ADDB7-2A63-4E08-8A43-292A8EED025E}" type="pres">
      <dgm:prSet presAssocID="{4301925A-C934-4CF6-80BB-7B088657DCDD}" presName="Name64" presStyleLbl="parChTrans1D3" presStyleIdx="4" presStyleCnt="9"/>
      <dgm:spPr/>
      <dgm:t>
        <a:bodyPr/>
        <a:lstStyle/>
        <a:p>
          <a:endParaRPr lang="en-GB"/>
        </a:p>
      </dgm:t>
    </dgm:pt>
    <dgm:pt modelId="{685EEAAD-C048-4577-B98F-EBC1012A368F}" type="pres">
      <dgm:prSet presAssocID="{DE6EDF78-AD7E-4344-82B6-EA1829BABB24}" presName="hierRoot2" presStyleCnt="0">
        <dgm:presLayoutVars>
          <dgm:hierBranch val="init"/>
        </dgm:presLayoutVars>
      </dgm:prSet>
      <dgm:spPr/>
    </dgm:pt>
    <dgm:pt modelId="{5530E93B-F2E3-4A35-BFF6-8516346FA155}" type="pres">
      <dgm:prSet presAssocID="{DE6EDF78-AD7E-4344-82B6-EA1829BABB24}" presName="rootComposite" presStyleCnt="0"/>
      <dgm:spPr/>
    </dgm:pt>
    <dgm:pt modelId="{2E5FAA95-1B06-4FB9-9EE2-DC74C020667D}" type="pres">
      <dgm:prSet presAssocID="{DE6EDF78-AD7E-4344-82B6-EA1829BABB24}" presName="rootText" presStyleLbl="node3" presStyleIdx="4" presStyleCnt="9">
        <dgm:presLayoutVars>
          <dgm:chPref val="3"/>
        </dgm:presLayoutVars>
      </dgm:prSet>
      <dgm:spPr/>
      <dgm:t>
        <a:bodyPr/>
        <a:lstStyle/>
        <a:p>
          <a:endParaRPr lang="en-GB"/>
        </a:p>
      </dgm:t>
    </dgm:pt>
    <dgm:pt modelId="{C7A80EE0-973B-448F-9E43-675AB7C76F68}" type="pres">
      <dgm:prSet presAssocID="{DE6EDF78-AD7E-4344-82B6-EA1829BABB24}" presName="rootConnector" presStyleLbl="node3" presStyleIdx="4" presStyleCnt="9"/>
      <dgm:spPr/>
      <dgm:t>
        <a:bodyPr/>
        <a:lstStyle/>
        <a:p>
          <a:endParaRPr lang="en-GB"/>
        </a:p>
      </dgm:t>
    </dgm:pt>
    <dgm:pt modelId="{32DDEB15-0D37-474C-99A5-AF04F86A22EB}" type="pres">
      <dgm:prSet presAssocID="{DE6EDF78-AD7E-4344-82B6-EA1829BABB24}" presName="hierChild4" presStyleCnt="0"/>
      <dgm:spPr/>
    </dgm:pt>
    <dgm:pt modelId="{AC42E298-DB55-4009-B27A-100F2670CA79}" type="pres">
      <dgm:prSet presAssocID="{DE6EDF78-AD7E-4344-82B6-EA1829BABB24}" presName="hierChild5" presStyleCnt="0"/>
      <dgm:spPr/>
    </dgm:pt>
    <dgm:pt modelId="{B900B662-2AF7-41A8-9E09-902343429BFD}" type="pres">
      <dgm:prSet presAssocID="{04869B90-3CDC-4F42-B930-460433855D89}" presName="hierChild5" presStyleCnt="0"/>
      <dgm:spPr/>
    </dgm:pt>
    <dgm:pt modelId="{253E3678-FDF8-4C21-B98F-415CE0369EF4}" type="pres">
      <dgm:prSet presAssocID="{DC69EF87-9F0F-4FDB-B9E3-63C122CD7C90}" presName="Name64" presStyleLbl="parChTrans1D2" presStyleIdx="6" presStyleCnt="8"/>
      <dgm:spPr/>
      <dgm:t>
        <a:bodyPr/>
        <a:lstStyle/>
        <a:p>
          <a:endParaRPr lang="en-GB"/>
        </a:p>
      </dgm:t>
    </dgm:pt>
    <dgm:pt modelId="{5FAA615B-DC16-4348-82D2-C9373C3C4F78}" type="pres">
      <dgm:prSet presAssocID="{593CAD76-8C2E-445F-A68C-569B46387685}" presName="hierRoot2" presStyleCnt="0">
        <dgm:presLayoutVars>
          <dgm:hierBranch val="init"/>
        </dgm:presLayoutVars>
      </dgm:prSet>
      <dgm:spPr/>
    </dgm:pt>
    <dgm:pt modelId="{84ABA69B-377A-4BEA-8BF7-13A5D4F8F3C9}" type="pres">
      <dgm:prSet presAssocID="{593CAD76-8C2E-445F-A68C-569B46387685}" presName="rootComposite" presStyleCnt="0"/>
      <dgm:spPr/>
    </dgm:pt>
    <dgm:pt modelId="{1670844D-F97E-402F-93A8-C359DFA529D0}" type="pres">
      <dgm:prSet presAssocID="{593CAD76-8C2E-445F-A68C-569B46387685}" presName="rootText" presStyleLbl="node2" presStyleIdx="6" presStyleCnt="8">
        <dgm:presLayoutVars>
          <dgm:chPref val="3"/>
        </dgm:presLayoutVars>
      </dgm:prSet>
      <dgm:spPr/>
      <dgm:t>
        <a:bodyPr/>
        <a:lstStyle/>
        <a:p>
          <a:endParaRPr lang="en-GB"/>
        </a:p>
      </dgm:t>
    </dgm:pt>
    <dgm:pt modelId="{ECB118C9-00BE-48D7-90B9-4B3420B41CD9}" type="pres">
      <dgm:prSet presAssocID="{593CAD76-8C2E-445F-A68C-569B46387685}" presName="rootConnector" presStyleLbl="node2" presStyleIdx="6" presStyleCnt="8"/>
      <dgm:spPr/>
      <dgm:t>
        <a:bodyPr/>
        <a:lstStyle/>
        <a:p>
          <a:endParaRPr lang="en-GB"/>
        </a:p>
      </dgm:t>
    </dgm:pt>
    <dgm:pt modelId="{5EC014FB-2752-45FC-B4FB-BC682DB0DF55}" type="pres">
      <dgm:prSet presAssocID="{593CAD76-8C2E-445F-A68C-569B46387685}" presName="hierChild4" presStyleCnt="0"/>
      <dgm:spPr/>
    </dgm:pt>
    <dgm:pt modelId="{F8EC3B1E-A9B8-4FB8-A11C-2039A281B58E}" type="pres">
      <dgm:prSet presAssocID="{8F42E262-38DA-43F2-9117-3FE672105C67}" presName="Name64" presStyleLbl="parChTrans1D3" presStyleIdx="5" presStyleCnt="9"/>
      <dgm:spPr/>
      <dgm:t>
        <a:bodyPr/>
        <a:lstStyle/>
        <a:p>
          <a:endParaRPr lang="en-GB"/>
        </a:p>
      </dgm:t>
    </dgm:pt>
    <dgm:pt modelId="{CEF1A4F8-AADA-4C26-A834-83F9646D7BC3}" type="pres">
      <dgm:prSet presAssocID="{53076996-6BFA-4FCD-B020-882DD4F93500}" presName="hierRoot2" presStyleCnt="0">
        <dgm:presLayoutVars>
          <dgm:hierBranch val="init"/>
        </dgm:presLayoutVars>
      </dgm:prSet>
      <dgm:spPr/>
    </dgm:pt>
    <dgm:pt modelId="{6A92947D-DA64-45E9-AE22-BCA8C4400D7C}" type="pres">
      <dgm:prSet presAssocID="{53076996-6BFA-4FCD-B020-882DD4F93500}" presName="rootComposite" presStyleCnt="0"/>
      <dgm:spPr/>
    </dgm:pt>
    <dgm:pt modelId="{E428E084-A439-4806-8E07-16103A28398B}" type="pres">
      <dgm:prSet presAssocID="{53076996-6BFA-4FCD-B020-882DD4F93500}" presName="rootText" presStyleLbl="node3" presStyleIdx="5" presStyleCnt="9">
        <dgm:presLayoutVars>
          <dgm:chPref val="3"/>
        </dgm:presLayoutVars>
      </dgm:prSet>
      <dgm:spPr/>
      <dgm:t>
        <a:bodyPr/>
        <a:lstStyle/>
        <a:p>
          <a:endParaRPr lang="en-GB"/>
        </a:p>
      </dgm:t>
    </dgm:pt>
    <dgm:pt modelId="{714595F7-23ED-4963-857D-6695EA903CEE}" type="pres">
      <dgm:prSet presAssocID="{53076996-6BFA-4FCD-B020-882DD4F93500}" presName="rootConnector" presStyleLbl="node3" presStyleIdx="5" presStyleCnt="9"/>
      <dgm:spPr/>
      <dgm:t>
        <a:bodyPr/>
        <a:lstStyle/>
        <a:p>
          <a:endParaRPr lang="en-GB"/>
        </a:p>
      </dgm:t>
    </dgm:pt>
    <dgm:pt modelId="{A2D7B519-29CE-4674-9E83-2AFFE1A12A95}" type="pres">
      <dgm:prSet presAssocID="{53076996-6BFA-4FCD-B020-882DD4F93500}" presName="hierChild4" presStyleCnt="0"/>
      <dgm:spPr/>
    </dgm:pt>
    <dgm:pt modelId="{0E2CF08D-2DBB-4A16-81A5-CA3DF4B10868}" type="pres">
      <dgm:prSet presAssocID="{53076996-6BFA-4FCD-B020-882DD4F93500}" presName="hierChild5" presStyleCnt="0"/>
      <dgm:spPr/>
    </dgm:pt>
    <dgm:pt modelId="{D02FB056-A174-4D5C-9C73-95B0EC7AA2FF}" type="pres">
      <dgm:prSet presAssocID="{593CAD76-8C2E-445F-A68C-569B46387685}" presName="hierChild5" presStyleCnt="0"/>
      <dgm:spPr/>
    </dgm:pt>
    <dgm:pt modelId="{1019D53B-4C42-4554-8D24-B44876DBC9D2}" type="pres">
      <dgm:prSet presAssocID="{D1DC90EB-F840-44AA-900C-444832F06F2E}" presName="Name64" presStyleLbl="parChTrans1D2" presStyleIdx="7" presStyleCnt="8"/>
      <dgm:spPr/>
      <dgm:t>
        <a:bodyPr/>
        <a:lstStyle/>
        <a:p>
          <a:endParaRPr lang="en-GB"/>
        </a:p>
      </dgm:t>
    </dgm:pt>
    <dgm:pt modelId="{CD5D1BA6-354D-40C2-9355-C42FED06C5F5}" type="pres">
      <dgm:prSet presAssocID="{CE6E3EE0-199F-4E92-AA69-5283AF2175C7}" presName="hierRoot2" presStyleCnt="0">
        <dgm:presLayoutVars>
          <dgm:hierBranch val="init"/>
        </dgm:presLayoutVars>
      </dgm:prSet>
      <dgm:spPr/>
    </dgm:pt>
    <dgm:pt modelId="{D796F90F-6B1C-4826-964B-9E1BE5D8A6AF}" type="pres">
      <dgm:prSet presAssocID="{CE6E3EE0-199F-4E92-AA69-5283AF2175C7}" presName="rootComposite" presStyleCnt="0"/>
      <dgm:spPr/>
    </dgm:pt>
    <dgm:pt modelId="{3A0DD6C7-651B-4C5E-AD41-BC80511AF8EC}" type="pres">
      <dgm:prSet presAssocID="{CE6E3EE0-199F-4E92-AA69-5283AF2175C7}" presName="rootText" presStyleLbl="node2" presStyleIdx="7" presStyleCnt="8">
        <dgm:presLayoutVars>
          <dgm:chPref val="3"/>
        </dgm:presLayoutVars>
      </dgm:prSet>
      <dgm:spPr/>
      <dgm:t>
        <a:bodyPr/>
        <a:lstStyle/>
        <a:p>
          <a:endParaRPr lang="en-GB"/>
        </a:p>
      </dgm:t>
    </dgm:pt>
    <dgm:pt modelId="{96479697-D92D-4A72-8D4E-0E2240CE7034}" type="pres">
      <dgm:prSet presAssocID="{CE6E3EE0-199F-4E92-AA69-5283AF2175C7}" presName="rootConnector" presStyleLbl="node2" presStyleIdx="7" presStyleCnt="8"/>
      <dgm:spPr/>
      <dgm:t>
        <a:bodyPr/>
        <a:lstStyle/>
        <a:p>
          <a:endParaRPr lang="en-GB"/>
        </a:p>
      </dgm:t>
    </dgm:pt>
    <dgm:pt modelId="{4F162216-FA16-4B5B-B393-906F0A02277A}" type="pres">
      <dgm:prSet presAssocID="{CE6E3EE0-199F-4E92-AA69-5283AF2175C7}" presName="hierChild4" presStyleCnt="0"/>
      <dgm:spPr/>
    </dgm:pt>
    <dgm:pt modelId="{DEF900BF-79F2-4345-A449-EBE90F87A58B}" type="pres">
      <dgm:prSet presAssocID="{C0A005E3-C583-4050-9AF2-9BA4A77B5C6D}" presName="Name64" presStyleLbl="parChTrans1D3" presStyleIdx="6" presStyleCnt="9"/>
      <dgm:spPr/>
      <dgm:t>
        <a:bodyPr/>
        <a:lstStyle/>
        <a:p>
          <a:endParaRPr lang="en-GB"/>
        </a:p>
      </dgm:t>
    </dgm:pt>
    <dgm:pt modelId="{D7961190-5826-4070-965C-66711A2B1B59}" type="pres">
      <dgm:prSet presAssocID="{ACD35DF3-13D1-4353-A6A8-25A12C1C5EC3}" presName="hierRoot2" presStyleCnt="0">
        <dgm:presLayoutVars>
          <dgm:hierBranch val="init"/>
        </dgm:presLayoutVars>
      </dgm:prSet>
      <dgm:spPr/>
    </dgm:pt>
    <dgm:pt modelId="{380807EB-3105-4A4D-AD8E-A43971B895BC}" type="pres">
      <dgm:prSet presAssocID="{ACD35DF3-13D1-4353-A6A8-25A12C1C5EC3}" presName="rootComposite" presStyleCnt="0"/>
      <dgm:spPr/>
    </dgm:pt>
    <dgm:pt modelId="{98945378-A21B-4280-80CB-A676109851FB}" type="pres">
      <dgm:prSet presAssocID="{ACD35DF3-13D1-4353-A6A8-25A12C1C5EC3}" presName="rootText" presStyleLbl="node3" presStyleIdx="6" presStyleCnt="9">
        <dgm:presLayoutVars>
          <dgm:chPref val="3"/>
        </dgm:presLayoutVars>
      </dgm:prSet>
      <dgm:spPr/>
      <dgm:t>
        <a:bodyPr/>
        <a:lstStyle/>
        <a:p>
          <a:endParaRPr lang="en-GB"/>
        </a:p>
      </dgm:t>
    </dgm:pt>
    <dgm:pt modelId="{2A06C30F-5AF7-4545-81D9-6B1C232AFA00}" type="pres">
      <dgm:prSet presAssocID="{ACD35DF3-13D1-4353-A6A8-25A12C1C5EC3}" presName="rootConnector" presStyleLbl="node3" presStyleIdx="6" presStyleCnt="9"/>
      <dgm:spPr/>
      <dgm:t>
        <a:bodyPr/>
        <a:lstStyle/>
        <a:p>
          <a:endParaRPr lang="en-GB"/>
        </a:p>
      </dgm:t>
    </dgm:pt>
    <dgm:pt modelId="{C6BE3C6D-B936-48D5-8601-471AF653DC80}" type="pres">
      <dgm:prSet presAssocID="{ACD35DF3-13D1-4353-A6A8-25A12C1C5EC3}" presName="hierChild4" presStyleCnt="0"/>
      <dgm:spPr/>
    </dgm:pt>
    <dgm:pt modelId="{FE3D7033-C911-45FA-A028-1FA9B324B6D2}" type="pres">
      <dgm:prSet presAssocID="{ACD35DF3-13D1-4353-A6A8-25A12C1C5EC3}" presName="hierChild5" presStyleCnt="0"/>
      <dgm:spPr/>
    </dgm:pt>
    <dgm:pt modelId="{0FDCB297-A5A3-46E2-B6FC-377DF77C79DC}" type="pres">
      <dgm:prSet presAssocID="{48C7BC17-C079-4617-A1E6-8AE5905F636E}" presName="Name64" presStyleLbl="parChTrans1D3" presStyleIdx="7" presStyleCnt="9"/>
      <dgm:spPr/>
      <dgm:t>
        <a:bodyPr/>
        <a:lstStyle/>
        <a:p>
          <a:endParaRPr lang="en-GB"/>
        </a:p>
      </dgm:t>
    </dgm:pt>
    <dgm:pt modelId="{5A1989DD-6CF5-414F-ACDC-3E1DDB7FD441}" type="pres">
      <dgm:prSet presAssocID="{3255ED5B-27C9-4500-B402-0A6889CCB9CE}" presName="hierRoot2" presStyleCnt="0">
        <dgm:presLayoutVars>
          <dgm:hierBranch val="init"/>
        </dgm:presLayoutVars>
      </dgm:prSet>
      <dgm:spPr/>
    </dgm:pt>
    <dgm:pt modelId="{AE0E906B-E240-470F-81B2-871DC6A752C2}" type="pres">
      <dgm:prSet presAssocID="{3255ED5B-27C9-4500-B402-0A6889CCB9CE}" presName="rootComposite" presStyleCnt="0"/>
      <dgm:spPr/>
    </dgm:pt>
    <dgm:pt modelId="{24AC995D-2AFF-4E2F-952C-36FC2E97479E}" type="pres">
      <dgm:prSet presAssocID="{3255ED5B-27C9-4500-B402-0A6889CCB9CE}" presName="rootText" presStyleLbl="node3" presStyleIdx="7" presStyleCnt="9">
        <dgm:presLayoutVars>
          <dgm:chPref val="3"/>
        </dgm:presLayoutVars>
      </dgm:prSet>
      <dgm:spPr/>
      <dgm:t>
        <a:bodyPr/>
        <a:lstStyle/>
        <a:p>
          <a:endParaRPr lang="en-GB"/>
        </a:p>
      </dgm:t>
    </dgm:pt>
    <dgm:pt modelId="{D8B7D98D-F1C0-4FF6-B77A-6D5CDB22B6C7}" type="pres">
      <dgm:prSet presAssocID="{3255ED5B-27C9-4500-B402-0A6889CCB9CE}" presName="rootConnector" presStyleLbl="node3" presStyleIdx="7" presStyleCnt="9"/>
      <dgm:spPr/>
      <dgm:t>
        <a:bodyPr/>
        <a:lstStyle/>
        <a:p>
          <a:endParaRPr lang="en-GB"/>
        </a:p>
      </dgm:t>
    </dgm:pt>
    <dgm:pt modelId="{7DA59E1E-D6BC-4789-B71B-8CD12F7CAF2E}" type="pres">
      <dgm:prSet presAssocID="{3255ED5B-27C9-4500-B402-0A6889CCB9CE}" presName="hierChild4" presStyleCnt="0"/>
      <dgm:spPr/>
    </dgm:pt>
    <dgm:pt modelId="{001ADE7C-AE6A-41D1-875E-BC74CE07B7FB}" type="pres">
      <dgm:prSet presAssocID="{3255ED5B-27C9-4500-B402-0A6889CCB9CE}" presName="hierChild5" presStyleCnt="0"/>
      <dgm:spPr/>
    </dgm:pt>
    <dgm:pt modelId="{C5E4A43A-4C64-479C-A73F-1B744FCCC1E7}" type="pres">
      <dgm:prSet presAssocID="{384145EA-A543-4322-ACE3-8CD571E7E2F1}" presName="Name64" presStyleLbl="parChTrans1D3" presStyleIdx="8" presStyleCnt="9"/>
      <dgm:spPr/>
      <dgm:t>
        <a:bodyPr/>
        <a:lstStyle/>
        <a:p>
          <a:endParaRPr lang="en-GB"/>
        </a:p>
      </dgm:t>
    </dgm:pt>
    <dgm:pt modelId="{06F46E09-D26D-495B-961E-BE6C50452264}" type="pres">
      <dgm:prSet presAssocID="{479E0973-C707-4324-96D9-051C86B001E7}" presName="hierRoot2" presStyleCnt="0">
        <dgm:presLayoutVars>
          <dgm:hierBranch val="init"/>
        </dgm:presLayoutVars>
      </dgm:prSet>
      <dgm:spPr/>
    </dgm:pt>
    <dgm:pt modelId="{52749EAE-D1A5-46E0-A887-B8BCAC5A86A6}" type="pres">
      <dgm:prSet presAssocID="{479E0973-C707-4324-96D9-051C86B001E7}" presName="rootComposite" presStyleCnt="0"/>
      <dgm:spPr/>
    </dgm:pt>
    <dgm:pt modelId="{2BFDDE3E-6B5B-44E7-A9C6-AB953461AC9B}" type="pres">
      <dgm:prSet presAssocID="{479E0973-C707-4324-96D9-051C86B001E7}" presName="rootText" presStyleLbl="node3" presStyleIdx="8" presStyleCnt="9">
        <dgm:presLayoutVars>
          <dgm:chPref val="3"/>
        </dgm:presLayoutVars>
      </dgm:prSet>
      <dgm:spPr/>
      <dgm:t>
        <a:bodyPr/>
        <a:lstStyle/>
        <a:p>
          <a:endParaRPr lang="en-GB"/>
        </a:p>
      </dgm:t>
    </dgm:pt>
    <dgm:pt modelId="{11B3544C-7D83-4340-A550-520493D88422}" type="pres">
      <dgm:prSet presAssocID="{479E0973-C707-4324-96D9-051C86B001E7}" presName="rootConnector" presStyleLbl="node3" presStyleIdx="8" presStyleCnt="9"/>
      <dgm:spPr/>
      <dgm:t>
        <a:bodyPr/>
        <a:lstStyle/>
        <a:p>
          <a:endParaRPr lang="en-GB"/>
        </a:p>
      </dgm:t>
    </dgm:pt>
    <dgm:pt modelId="{38B136BE-382C-4F21-B698-BE3A1CB2C0FF}" type="pres">
      <dgm:prSet presAssocID="{479E0973-C707-4324-96D9-051C86B001E7}" presName="hierChild4" presStyleCnt="0"/>
      <dgm:spPr/>
    </dgm:pt>
    <dgm:pt modelId="{6B6D3E19-B651-4BB4-8075-11FF9779FED3}" type="pres">
      <dgm:prSet presAssocID="{479E0973-C707-4324-96D9-051C86B001E7}" presName="hierChild5" presStyleCnt="0"/>
      <dgm:spPr/>
    </dgm:pt>
    <dgm:pt modelId="{09F51E56-9F58-4ABF-A74B-2CBA817FB3C3}" type="pres">
      <dgm:prSet presAssocID="{CE6E3EE0-199F-4E92-AA69-5283AF2175C7}" presName="hierChild5" presStyleCnt="0"/>
      <dgm:spPr/>
    </dgm:pt>
    <dgm:pt modelId="{181C138C-F966-48EC-919C-3332BCE3E2B5}" type="pres">
      <dgm:prSet presAssocID="{8EFA715D-1823-4C99-9DD3-EE1D178DA3A5}" presName="hierChild3" presStyleCnt="0"/>
      <dgm:spPr/>
    </dgm:pt>
  </dgm:ptLst>
  <dgm:cxnLst>
    <dgm:cxn modelId="{5A2645FD-7DDE-42E4-A7E4-3A673B0318A1}" srcId="{BDD8254F-F260-42BB-AB14-B93A1F573603}" destId="{8082A7F2-4B39-44B2-B57D-5DE2F3C21DA8}" srcOrd="1" destOrd="0" parTransId="{929866C7-FCA7-419C-893B-0D0F255A7A99}" sibTransId="{46252DD3-ED4D-40CE-8577-0835C91A781F}"/>
    <dgm:cxn modelId="{DD2F2FCE-F1B7-5740-B6D0-257EF8D52070}" type="presOf" srcId="{CE6E3EE0-199F-4E92-AA69-5283AF2175C7}" destId="{96479697-D92D-4A72-8D4E-0E2240CE7034}" srcOrd="1" destOrd="0" presId="urn:microsoft.com/office/officeart/2009/3/layout/HorizontalOrganizationChart"/>
    <dgm:cxn modelId="{54938F85-C0BA-4846-BEEA-4AC4CD5A3132}" type="presOf" srcId="{479E0973-C707-4324-96D9-051C86B001E7}" destId="{2BFDDE3E-6B5B-44E7-A9C6-AB953461AC9B}" srcOrd="0" destOrd="0" presId="urn:microsoft.com/office/officeart/2009/3/layout/HorizontalOrganizationChart"/>
    <dgm:cxn modelId="{EBE0EA78-BE7C-4870-9244-AFB702A4F173}" srcId="{A748F44E-ED11-4463-9225-27804B61A87B}" destId="{6351F96C-35AC-4F5E-B3B2-CC88858F0EA9}" srcOrd="1" destOrd="0" parTransId="{0C0C9A64-903D-49EA-A2E9-EB30C5E0C3F1}" sibTransId="{D09B6C20-DAC6-4ABE-8AB0-9E107468AA38}"/>
    <dgm:cxn modelId="{F054C5ED-3E3A-A147-86FF-4755FEDE79D9}" type="presOf" srcId="{E819FF71-23E1-43EF-9CAB-7E2AE8F5D88F}" destId="{A90E4103-FEEB-4839-A9BC-4A41836E94E1}" srcOrd="0" destOrd="0" presId="urn:microsoft.com/office/officeart/2009/3/layout/HorizontalOrganizationChart"/>
    <dgm:cxn modelId="{28AD4C1F-7AB7-489C-96C5-52D947D93586}" srcId="{CE6E3EE0-199F-4E92-AA69-5283AF2175C7}" destId="{479E0973-C707-4324-96D9-051C86B001E7}" srcOrd="2" destOrd="0" parTransId="{384145EA-A543-4322-ACE3-8CD571E7E2F1}" sibTransId="{B775F93C-8F9A-4946-8B5B-5EDF5AEA5053}"/>
    <dgm:cxn modelId="{AFFC8483-22AC-2642-92B1-DE98D3FCDC74}" type="presOf" srcId="{25CB0B19-5D4E-42C0-B8DA-B7171758B3C5}" destId="{709FBF78-203E-41E1-AF18-8C705D615E08}" srcOrd="0" destOrd="0" presId="urn:microsoft.com/office/officeart/2009/3/layout/HorizontalOrganizationChart"/>
    <dgm:cxn modelId="{63AE3FC0-6D7F-4C42-ADAF-6B8FA80E9EA7}" type="presOf" srcId="{13EDBF33-9FEF-425A-899E-920A740E0E73}" destId="{09DADDDC-105C-4765-80E2-CF3890C7101F}" srcOrd="0" destOrd="0" presId="urn:microsoft.com/office/officeart/2009/3/layout/HorizontalOrganizationChart"/>
    <dgm:cxn modelId="{8CF70867-BE82-BC4F-8FF4-30AE3D120E72}" type="presOf" srcId="{FED80948-1C09-4389-8DC7-AD65963C2D36}" destId="{0579BEC7-C8E3-4A06-BC7E-6250B576FFDF}" srcOrd="0" destOrd="0" presId="urn:microsoft.com/office/officeart/2009/3/layout/HorizontalOrganizationChart"/>
    <dgm:cxn modelId="{8316C6F2-57F3-4D10-8503-00B2DF451A49}" srcId="{8EFA715D-1823-4C99-9DD3-EE1D178DA3A5}" destId="{CE6E3EE0-199F-4E92-AA69-5283AF2175C7}" srcOrd="2" destOrd="0" parTransId="{D1DC90EB-F840-44AA-900C-444832F06F2E}" sibTransId="{4749F6E2-DE57-4E01-BD7B-82224B56880F}"/>
    <dgm:cxn modelId="{FB329EFF-26EE-FC48-B55F-513F94A659C4}" type="presOf" srcId="{A748F44E-ED11-4463-9225-27804B61A87B}" destId="{7153CB51-B998-423A-B4C0-9E5096FB9448}" srcOrd="0" destOrd="0" presId="urn:microsoft.com/office/officeart/2009/3/layout/HorizontalOrganizationChart"/>
    <dgm:cxn modelId="{FF8B518A-8410-4C22-96B8-709695831DB9}" srcId="{A3516F4F-231F-4B33-BB61-DACD564A122C}" destId="{A748F44E-ED11-4463-9225-27804B61A87B}" srcOrd="0" destOrd="0" parTransId="{51267C5F-6CC5-49FF-A8C3-76B3A4FD72AD}" sibTransId="{758D6402-007A-4FD6-9CBB-70F3604B1204}"/>
    <dgm:cxn modelId="{45707C7C-F062-344A-8B61-B8C325968ABC}" type="presOf" srcId="{53076996-6BFA-4FCD-B020-882DD4F93500}" destId="{714595F7-23ED-4963-857D-6695EA903CEE}" srcOrd="1" destOrd="0" presId="urn:microsoft.com/office/officeart/2009/3/layout/HorizontalOrganizationChart"/>
    <dgm:cxn modelId="{0BF1E4AD-B6E9-E140-91DC-2272106732C7}" type="presOf" srcId="{479E0973-C707-4324-96D9-051C86B001E7}" destId="{11B3544C-7D83-4340-A550-520493D88422}" srcOrd="1" destOrd="0" presId="urn:microsoft.com/office/officeart/2009/3/layout/HorizontalOrganizationChart"/>
    <dgm:cxn modelId="{37248FF3-6770-1243-9176-B93A54FF5215}" type="presOf" srcId="{8F42E262-38DA-43F2-9117-3FE672105C67}" destId="{F8EC3B1E-A9B8-4FB8-A11C-2039A281B58E}" srcOrd="0" destOrd="0" presId="urn:microsoft.com/office/officeart/2009/3/layout/HorizontalOrganizationChart"/>
    <dgm:cxn modelId="{B5298C19-6CD7-6A49-8ACC-D4C0580ABDDD}" type="presOf" srcId="{ACD35DF3-13D1-4353-A6A8-25A12C1C5EC3}" destId="{2A06C30F-5AF7-4545-81D9-6B1C232AFA00}" srcOrd="1" destOrd="0" presId="urn:microsoft.com/office/officeart/2009/3/layout/HorizontalOrganizationChart"/>
    <dgm:cxn modelId="{5E35C99C-201E-B94C-91C3-1FAF6AE49B6E}" type="presOf" srcId="{8AA0CE77-0B74-4969-9DAE-B323A5A0077C}" destId="{D3A2A8BA-E7F6-4296-B004-CB5A4929B0F9}" srcOrd="1" destOrd="0" presId="urn:microsoft.com/office/officeart/2009/3/layout/HorizontalOrganizationChart"/>
    <dgm:cxn modelId="{5A33A133-1C74-4387-A75C-0CBF6528C406}" srcId="{BDD8254F-F260-42BB-AB14-B93A1F573603}" destId="{6EC7A5FF-C966-4BE7-B53D-D5FACC9BCC8B}" srcOrd="0" destOrd="0" parTransId="{EFD52A26-5355-4AA7-9D5A-E565A8EF7F42}" sibTransId="{1A8FDA97-BFAE-4144-AB0E-E0D6B1873213}"/>
    <dgm:cxn modelId="{FC038606-77C5-484E-A51D-D3665BDDE0B8}" srcId="{CE6E3EE0-199F-4E92-AA69-5283AF2175C7}" destId="{3255ED5B-27C9-4500-B402-0A6889CCB9CE}" srcOrd="1" destOrd="0" parTransId="{48C7BC17-C079-4617-A1E6-8AE5905F636E}" sibTransId="{242864C5-A021-47C6-8AD3-77442FBA0C36}"/>
    <dgm:cxn modelId="{511E159E-9DB1-E34A-90A6-0B2F0063D3D0}" type="presOf" srcId="{04869B90-3CDC-4F42-B930-460433855D89}" destId="{B411987C-29F5-4DF9-AB76-53A5F00486CB}" srcOrd="1" destOrd="0" presId="urn:microsoft.com/office/officeart/2009/3/layout/HorizontalOrganizationChart"/>
    <dgm:cxn modelId="{CB2C7F09-049A-4AEB-A40B-3DA37D0B630C}" srcId="{6EC7A5FF-C966-4BE7-B53D-D5FACC9BCC8B}" destId="{24866992-F45D-48F9-84D6-D3B96C9D74B5}" srcOrd="1" destOrd="0" parTransId="{13EDBF33-9FEF-425A-899E-920A740E0E73}" sibTransId="{73CA6C17-2F1A-4DB9-91B5-25409CF7D683}"/>
    <dgm:cxn modelId="{818345B0-CABB-4138-8486-13A77F7BC6B4}" srcId="{A3516F4F-231F-4B33-BB61-DACD564A122C}" destId="{BDD8254F-F260-42BB-AB14-B93A1F573603}" srcOrd="1" destOrd="0" parTransId="{26185E24-99EE-4F2B-BA1B-F8E6BF5FCAEA}" sibTransId="{AA14F111-5CBC-444B-AAC8-4F0E0731749C}"/>
    <dgm:cxn modelId="{BB9676C0-834F-A04A-B9C6-A971A9ACD18F}" type="presOf" srcId="{C0A005E3-C583-4050-9AF2-9BA4A77B5C6D}" destId="{DEF900BF-79F2-4345-A449-EBE90F87A58B}" srcOrd="0" destOrd="0" presId="urn:microsoft.com/office/officeart/2009/3/layout/HorizontalOrganizationChart"/>
    <dgm:cxn modelId="{01086892-D9F4-984E-AC77-AA00988E9475}" type="presOf" srcId="{DE6EDF78-AD7E-4344-82B6-EA1829BABB24}" destId="{2E5FAA95-1B06-4FB9-9EE2-DC74C020667D}" srcOrd="0" destOrd="0" presId="urn:microsoft.com/office/officeart/2009/3/layout/HorizontalOrganizationChart"/>
    <dgm:cxn modelId="{C3D22771-48A3-834F-807D-2B9F184F7891}" type="presOf" srcId="{CE6E3EE0-199F-4E92-AA69-5283AF2175C7}" destId="{3A0DD6C7-651B-4C5E-AD41-BC80511AF8EC}" srcOrd="0" destOrd="0" presId="urn:microsoft.com/office/officeart/2009/3/layout/HorizontalOrganizationChart"/>
    <dgm:cxn modelId="{11991C53-23B0-DF41-AAE2-49B698013086}" type="presOf" srcId="{4301925A-C934-4CF6-80BB-7B088657DCDD}" destId="{F36ADDB7-2A63-4E08-8A43-292A8EED025E}" srcOrd="0" destOrd="0" presId="urn:microsoft.com/office/officeart/2009/3/layout/HorizontalOrganizationChart"/>
    <dgm:cxn modelId="{8C02C4B0-223A-C34D-BB04-484FA3302210}" type="presOf" srcId="{24866992-F45D-48F9-84D6-D3B96C9D74B5}" destId="{F4DC70DD-94DA-4CE0-BAF5-51CFA531310E}" srcOrd="1" destOrd="0" presId="urn:microsoft.com/office/officeart/2009/3/layout/HorizontalOrganizationChart"/>
    <dgm:cxn modelId="{83C4BCB0-63A4-5B43-9F70-85B9679DC4BE}" type="presOf" srcId="{0C0C9A64-903D-49EA-A2E9-EB30C5E0C3F1}" destId="{504F5715-D4DE-496D-97D8-8AD9E1FE12E6}" srcOrd="0" destOrd="0" presId="urn:microsoft.com/office/officeart/2009/3/layout/HorizontalOrganizationChart"/>
    <dgm:cxn modelId="{36079086-D9AC-42F8-A1E7-C67A8CE41596}" srcId="{CE6E3EE0-199F-4E92-AA69-5283AF2175C7}" destId="{ACD35DF3-13D1-4353-A6A8-25A12C1C5EC3}" srcOrd="0" destOrd="0" parTransId="{C0A005E3-C583-4050-9AF2-9BA4A77B5C6D}" sibTransId="{236FCBD5-3B7A-4B4E-82A9-0042B7116B0A}"/>
    <dgm:cxn modelId="{079992DE-F818-0D4B-AF5B-A102A69D5F48}" type="presOf" srcId="{8EFA715D-1823-4C99-9DD3-EE1D178DA3A5}" destId="{466C0039-FE30-4D47-8335-FD25D7D99303}" srcOrd="0" destOrd="0" presId="urn:microsoft.com/office/officeart/2009/3/layout/HorizontalOrganizationChart"/>
    <dgm:cxn modelId="{86D7E0AF-C430-7A4A-B470-9C6C743D3A92}" type="presOf" srcId="{D4398396-4515-45F4-91BD-4482C28F9556}" destId="{8B2BB631-3CA6-4C05-80C1-E61440E26FFB}" srcOrd="1" destOrd="0" presId="urn:microsoft.com/office/officeart/2009/3/layout/HorizontalOrganizationChart"/>
    <dgm:cxn modelId="{6C385BBB-E9A7-294E-9BC3-D03822E90812}" type="presOf" srcId="{8082A7F2-4B39-44B2-B57D-5DE2F3C21DA8}" destId="{23855D1F-BA72-46A9-AD2B-F7656A688C56}" srcOrd="1" destOrd="0" presId="urn:microsoft.com/office/officeart/2009/3/layout/HorizontalOrganizationChart"/>
    <dgm:cxn modelId="{D6242B2B-92FD-E046-920E-03100D19A030}" type="presOf" srcId="{929866C7-FCA7-419C-893B-0D0F255A7A99}" destId="{8563764B-84CE-4A48-B980-9DB47AAAD088}" srcOrd="0" destOrd="0" presId="urn:microsoft.com/office/officeart/2009/3/layout/HorizontalOrganizationChart"/>
    <dgm:cxn modelId="{56A60900-75B2-AA4D-9D72-B494A15F0B1E}" type="presOf" srcId="{6EC7A5FF-C966-4BE7-B53D-D5FACC9BCC8B}" destId="{C95AC2EA-20FD-4CDD-9394-AA134450274E}" srcOrd="1" destOrd="0" presId="urn:microsoft.com/office/officeart/2009/3/layout/HorizontalOrganizationChart"/>
    <dgm:cxn modelId="{E48E720B-3312-4344-8530-427C96B2C326}" type="presOf" srcId="{6351F96C-35AC-4F5E-B3B2-CC88858F0EA9}" destId="{A1C754E8-BA2C-4594-BBA8-0C43E9369A7C}" srcOrd="1" destOrd="0" presId="urn:microsoft.com/office/officeart/2009/3/layout/HorizontalOrganizationChart"/>
    <dgm:cxn modelId="{FC9C878A-5EC6-4F47-90F1-6A84CB22CACA}" srcId="{04869B90-3CDC-4F42-B930-460433855D89}" destId="{DE6EDF78-AD7E-4344-82B6-EA1829BABB24}" srcOrd="0" destOrd="0" parTransId="{4301925A-C934-4CF6-80BB-7B088657DCDD}" sibTransId="{CA7EF2FB-9B40-4484-9C83-EBC1342F758A}"/>
    <dgm:cxn modelId="{D8996F03-92F2-0947-8787-A90A728EBC7E}" type="presOf" srcId="{D3147D78-AE9E-4548-938A-3567E84E7E12}" destId="{136F2B2E-67BB-4DEB-9034-A485A9ECD8BD}" srcOrd="0" destOrd="0" presId="urn:microsoft.com/office/officeart/2009/3/layout/HorizontalOrganizationChart"/>
    <dgm:cxn modelId="{9D6422E1-D6AC-6443-9A30-F61CD14479D3}" type="presOf" srcId="{8082A7F2-4B39-44B2-B57D-5DE2F3C21DA8}" destId="{6AA62E2A-8C27-495D-861F-F52E10AA77DC}" srcOrd="0" destOrd="0" presId="urn:microsoft.com/office/officeart/2009/3/layout/HorizontalOrganizationChart"/>
    <dgm:cxn modelId="{B3AAE53C-3887-4E32-AFC3-ECD5E2110046}" srcId="{593CAD76-8C2E-445F-A68C-569B46387685}" destId="{53076996-6BFA-4FCD-B020-882DD4F93500}" srcOrd="0" destOrd="0" parTransId="{8F42E262-38DA-43F2-9117-3FE672105C67}" sibTransId="{8AEF2900-7103-4A33-A46E-41CEF24C6AC6}"/>
    <dgm:cxn modelId="{7424E2EC-0BB7-A24E-8782-E99D0BC85ABC}" type="presOf" srcId="{DC69EF87-9F0F-4FDB-B9E3-63C122CD7C90}" destId="{253E3678-FDF8-4C21-B98F-415CE0369EF4}" srcOrd="0" destOrd="0" presId="urn:microsoft.com/office/officeart/2009/3/layout/HorizontalOrganizationChart"/>
    <dgm:cxn modelId="{6BFED29E-A312-4549-9E79-290B0D0195FC}" type="presOf" srcId="{D1DC90EB-F840-44AA-900C-444832F06F2E}" destId="{1019D53B-4C42-4554-8D24-B44876DBC9D2}" srcOrd="0" destOrd="0" presId="urn:microsoft.com/office/officeart/2009/3/layout/HorizontalOrganizationChart"/>
    <dgm:cxn modelId="{22B06EF2-7628-E447-BBDE-3EA55D118E91}" type="presOf" srcId="{A748F44E-ED11-4463-9225-27804B61A87B}" destId="{FFDFC743-FB19-4455-AC38-3820A6F7699B}" srcOrd="1" destOrd="0" presId="urn:microsoft.com/office/officeart/2009/3/layout/HorizontalOrganizationChart"/>
    <dgm:cxn modelId="{A8AB923C-7C0D-574E-8B86-25A28B6B4519}" type="presOf" srcId="{BDD8254F-F260-42BB-AB14-B93A1F573603}" destId="{E6D74E96-17A4-4F07-920C-78A7A3D6D71F}" srcOrd="1" destOrd="0" presId="urn:microsoft.com/office/officeart/2009/3/layout/HorizontalOrganizationChart"/>
    <dgm:cxn modelId="{281EDE54-E1D3-4F4E-8FEC-EAB759328911}" type="presOf" srcId="{EFD52A26-5355-4AA7-9D5A-E565A8EF7F42}" destId="{660D74BE-5D83-408E-AA3B-8D8520145E5E}" srcOrd="0" destOrd="0" presId="urn:microsoft.com/office/officeart/2009/3/layout/HorizontalOrganizationChart"/>
    <dgm:cxn modelId="{5875312D-9F90-4BA9-98AA-93EB8ACFD7E2}" srcId="{6EC7A5FF-C966-4BE7-B53D-D5FACC9BCC8B}" destId="{FED80948-1C09-4389-8DC7-AD65963C2D36}" srcOrd="0" destOrd="0" parTransId="{79C3A40A-9584-4E9A-B7FB-AA42278DAE65}" sibTransId="{6E1F09CD-6757-42E9-849E-0D938DF56E0B}"/>
    <dgm:cxn modelId="{39E3EAD7-D8B5-8A4F-A820-9AF94C1629EF}" type="presOf" srcId="{6EC7A5FF-C966-4BE7-B53D-D5FACC9BCC8B}" destId="{F559B4EC-5262-472C-85F7-1770A34AA63B}" srcOrd="0" destOrd="0" presId="urn:microsoft.com/office/officeart/2009/3/layout/HorizontalOrganizationChart"/>
    <dgm:cxn modelId="{4E1649C4-6CEA-DB43-8BC6-0658B72DDB0D}" type="presOf" srcId="{DE6EDF78-AD7E-4344-82B6-EA1829BABB24}" destId="{C7A80EE0-973B-448F-9E43-675AB7C76F68}" srcOrd="1" destOrd="0" presId="urn:microsoft.com/office/officeart/2009/3/layout/HorizontalOrganizationChart"/>
    <dgm:cxn modelId="{6C69B9F5-5CA0-2D4D-A1D1-0AAB7ACA36C7}" type="presOf" srcId="{FED80948-1C09-4389-8DC7-AD65963C2D36}" destId="{A6103CAA-9590-4A71-875A-295AEEF842F0}" srcOrd="1" destOrd="0" presId="urn:microsoft.com/office/officeart/2009/3/layout/HorizontalOrganizationChart"/>
    <dgm:cxn modelId="{5E8D1A45-D946-F640-B07C-3F1473C4597B}" type="presOf" srcId="{ACD35DF3-13D1-4353-A6A8-25A12C1C5EC3}" destId="{98945378-A21B-4280-80CB-A676109851FB}" srcOrd="0" destOrd="0" presId="urn:microsoft.com/office/officeart/2009/3/layout/HorizontalOrganizationChart"/>
    <dgm:cxn modelId="{C7F8B65A-D5D8-6C49-830A-88B475B20C10}" type="presOf" srcId="{593CAD76-8C2E-445F-A68C-569B46387685}" destId="{1670844D-F97E-402F-93A8-C359DFA529D0}" srcOrd="0" destOrd="0" presId="urn:microsoft.com/office/officeart/2009/3/layout/HorizontalOrganizationChart"/>
    <dgm:cxn modelId="{F73CE596-8763-D344-88EB-F6D2D29B2E30}" type="presOf" srcId="{5B5491FA-3349-476E-84AE-E5E66CD7AF9D}" destId="{CBEC414C-CB3E-45A1-99CA-FCD9F0AA8563}" srcOrd="0" destOrd="0" presId="urn:microsoft.com/office/officeart/2009/3/layout/HorizontalOrganizationChart"/>
    <dgm:cxn modelId="{509EEA72-7843-48FF-83E3-0C55A297405F}" srcId="{A3516F4F-231F-4B33-BB61-DACD564A122C}" destId="{8EFA715D-1823-4C99-9DD3-EE1D178DA3A5}" srcOrd="2" destOrd="0" parTransId="{36E9AF23-0DFF-4467-97FD-0E5593979C07}" sibTransId="{A3F2BEEA-242F-4314-BDF0-D0CE9D1ED4A6}"/>
    <dgm:cxn modelId="{2B6C5E5A-5100-4065-8CE9-AFA9AEBF63A5}" srcId="{8EFA715D-1823-4C99-9DD3-EE1D178DA3A5}" destId="{593CAD76-8C2E-445F-A68C-569B46387685}" srcOrd="1" destOrd="0" parTransId="{DC69EF87-9F0F-4FDB-B9E3-63C122CD7C90}" sibTransId="{AB4D0DFA-2CB1-4FEA-96CD-5E57BFCE0124}"/>
    <dgm:cxn modelId="{4DE14A0C-A8E0-8F44-A230-8B49200E933F}" type="presOf" srcId="{3255ED5B-27C9-4500-B402-0A6889CCB9CE}" destId="{24AC995D-2AFF-4E2F-952C-36FC2E97479E}" srcOrd="0" destOrd="0" presId="urn:microsoft.com/office/officeart/2009/3/layout/HorizontalOrganizationChart"/>
    <dgm:cxn modelId="{AF1F96CF-1880-9E4C-A8CE-5961A0BC3663}" type="presOf" srcId="{6351F96C-35AC-4F5E-B3B2-CC88858F0EA9}" destId="{18FA3649-2AF0-4B11-AF37-492C7DB351F7}" srcOrd="0" destOrd="0" presId="urn:microsoft.com/office/officeart/2009/3/layout/HorizontalOrganizationChart"/>
    <dgm:cxn modelId="{74D91C4E-ABA8-8345-B5FC-F414C59E2F32}" type="presOf" srcId="{A3516F4F-231F-4B33-BB61-DACD564A122C}" destId="{85F0F609-123D-43F0-930C-F98954E6966E}" srcOrd="0" destOrd="0" presId="urn:microsoft.com/office/officeart/2009/3/layout/HorizontalOrganizationChart"/>
    <dgm:cxn modelId="{4526C832-D873-2E44-8B59-D50F75333525}" type="presOf" srcId="{8EFA715D-1823-4C99-9DD3-EE1D178DA3A5}" destId="{2CA74A30-1ECC-449F-AAA0-13CFF739B81B}" srcOrd="1" destOrd="0" presId="urn:microsoft.com/office/officeart/2009/3/layout/HorizontalOrganizationChart"/>
    <dgm:cxn modelId="{DF3A45B4-3B8F-4AD9-8BC1-368D08F94998}" srcId="{8AA0CE77-0B74-4969-9DAE-B323A5A0077C}" destId="{C2FBBC90-3443-42DD-B77C-534A4F31F5CA}" srcOrd="0" destOrd="0" parTransId="{CD605BD6-0256-4A9C-9633-73FD8AECF24C}" sibTransId="{26505E32-CBAD-40FA-BB78-A305D8C937FC}"/>
    <dgm:cxn modelId="{E04150AE-AB93-5C48-BB6D-B1DD43563A8E}" type="presOf" srcId="{CD605BD6-0256-4A9C-9633-73FD8AECF24C}" destId="{3C01A6FD-4B83-4E95-9552-A394122C750D}" srcOrd="0" destOrd="0" presId="urn:microsoft.com/office/officeart/2009/3/layout/HorizontalOrganizationChart"/>
    <dgm:cxn modelId="{583E9CA8-5D9B-43A6-A5ED-7F9397F3FF9D}" srcId="{BDD8254F-F260-42BB-AB14-B93A1F573603}" destId="{8AA0CE77-0B74-4969-9DAE-B323A5A0077C}" srcOrd="2" destOrd="0" parTransId="{25CB0B19-5D4E-42C0-B8DA-B7171758B3C5}" sibTransId="{A14366CA-6AC6-452C-BED2-78C301AE6995}"/>
    <dgm:cxn modelId="{DBBF6E37-443A-4F4C-84FD-3DE1FE33B845}" type="presOf" srcId="{D4398396-4515-45F4-91BD-4482C28F9556}" destId="{772CDA1C-A768-4141-BC7D-F2CBB29774FA}" srcOrd="0" destOrd="0" presId="urn:microsoft.com/office/officeart/2009/3/layout/HorizontalOrganizationChart"/>
    <dgm:cxn modelId="{2B92F577-20B9-E142-BFD5-495E3318FF09}" type="presOf" srcId="{384145EA-A543-4322-ACE3-8CD571E7E2F1}" destId="{C5E4A43A-4C64-479C-A73F-1B744FCCC1E7}" srcOrd="0" destOrd="0" presId="urn:microsoft.com/office/officeart/2009/3/layout/HorizontalOrganizationChart"/>
    <dgm:cxn modelId="{2F1B7FC6-9E30-C24C-983A-6E512C07C79F}" type="presOf" srcId="{E819FF71-23E1-43EF-9CAB-7E2AE8F5D88F}" destId="{03B2BA26-D248-4739-A9F3-BA93FA010066}" srcOrd="1" destOrd="0" presId="urn:microsoft.com/office/officeart/2009/3/layout/HorizontalOrganizationChart"/>
    <dgm:cxn modelId="{FD4F8DF9-8F20-CE47-972F-58D0ACB1B36F}" type="presOf" srcId="{53076996-6BFA-4FCD-B020-882DD4F93500}" destId="{E428E084-A439-4806-8E07-16103A28398B}" srcOrd="0" destOrd="0" presId="urn:microsoft.com/office/officeart/2009/3/layout/HorizontalOrganizationChart"/>
    <dgm:cxn modelId="{2873F045-0EC5-C148-AB01-C38B5824B4F7}" type="presOf" srcId="{C2FBBC90-3443-42DD-B77C-534A4F31F5CA}" destId="{FAD1165A-C333-4B54-A37B-C25922087445}" srcOrd="1" destOrd="0" presId="urn:microsoft.com/office/officeart/2009/3/layout/HorizontalOrganizationChart"/>
    <dgm:cxn modelId="{174B12B3-B281-604D-B8A8-148A7876CD6A}" type="presOf" srcId="{48C7BC17-C079-4617-A1E6-8AE5905F636E}" destId="{0FDCB297-A5A3-46E2-B6FC-377DF77C79DC}" srcOrd="0" destOrd="0" presId="urn:microsoft.com/office/officeart/2009/3/layout/HorizontalOrganizationChart"/>
    <dgm:cxn modelId="{A9129779-05EA-AB48-A900-0C0FC621AC59}" type="presOf" srcId="{BDD8254F-F260-42BB-AB14-B93A1F573603}" destId="{A0221534-758E-4AC4-B609-C169E4C779E5}" srcOrd="0" destOrd="0" presId="urn:microsoft.com/office/officeart/2009/3/layout/HorizontalOrganizationChart"/>
    <dgm:cxn modelId="{FD662D76-3907-7549-8B17-80D92E1E768A}" type="presOf" srcId="{79C3A40A-9584-4E9A-B7FB-AA42278DAE65}" destId="{61CB4561-867D-45F8-8FF6-456FC6660A93}" srcOrd="0" destOrd="0" presId="urn:microsoft.com/office/officeart/2009/3/layout/HorizontalOrganizationChart"/>
    <dgm:cxn modelId="{F984398C-5AFB-2B45-9909-B9A3C6370ECC}" type="presOf" srcId="{593CAD76-8C2E-445F-A68C-569B46387685}" destId="{ECB118C9-00BE-48D7-90B9-4B3420B41CD9}" srcOrd="1" destOrd="0" presId="urn:microsoft.com/office/officeart/2009/3/layout/HorizontalOrganizationChart"/>
    <dgm:cxn modelId="{BD1F1F5C-AC41-4ED1-BCE4-7F355806E217}" srcId="{A748F44E-ED11-4463-9225-27804B61A87B}" destId="{E819FF71-23E1-43EF-9CAB-7E2AE8F5D88F}" srcOrd="0" destOrd="0" parTransId="{5B5491FA-3349-476E-84AE-E5E66CD7AF9D}" sibTransId="{C2380AEE-9BA3-421D-8AA8-D00BA03C527B}"/>
    <dgm:cxn modelId="{5D2F5DE5-70BE-F240-8B66-171086448A58}" type="presOf" srcId="{3255ED5B-27C9-4500-B402-0A6889CCB9CE}" destId="{D8B7D98D-F1C0-4FF6-B77A-6D5CDB22B6C7}" srcOrd="1" destOrd="0" presId="urn:microsoft.com/office/officeart/2009/3/layout/HorizontalOrganizationChart"/>
    <dgm:cxn modelId="{E5B909B1-75E1-4CC2-8099-AA2005B65AD6}" srcId="{E819FF71-23E1-43EF-9CAB-7E2AE8F5D88F}" destId="{D4398396-4515-45F4-91BD-4482C28F9556}" srcOrd="0" destOrd="0" parTransId="{F0D36050-B283-475C-A840-44A754F53ED7}" sibTransId="{C309A442-5A30-4AAB-9516-82B2546B109C}"/>
    <dgm:cxn modelId="{4B9886C0-5ECF-B947-9353-193171B80B8E}" type="presOf" srcId="{F0D36050-B283-475C-A840-44A754F53ED7}" destId="{5E573260-C35A-4EDD-BBE8-887B0EE40603}" srcOrd="0" destOrd="0" presId="urn:microsoft.com/office/officeart/2009/3/layout/HorizontalOrganizationChart"/>
    <dgm:cxn modelId="{3DA0967E-7844-5846-BE8F-4879BF36CC71}" type="presOf" srcId="{C2FBBC90-3443-42DD-B77C-534A4F31F5CA}" destId="{9CD8F3B9-B717-470A-B7BB-750D7CD26F5D}" srcOrd="0" destOrd="0" presId="urn:microsoft.com/office/officeart/2009/3/layout/HorizontalOrganizationChart"/>
    <dgm:cxn modelId="{75E21F7F-1563-3642-A0FD-2F0E11B4753A}" type="presOf" srcId="{04869B90-3CDC-4F42-B930-460433855D89}" destId="{D0285795-9A68-4830-902F-8045D6C11644}" srcOrd="0" destOrd="0" presId="urn:microsoft.com/office/officeart/2009/3/layout/HorizontalOrganizationChart"/>
    <dgm:cxn modelId="{10AC3981-EB96-A749-9572-2CCF7D54113F}" type="presOf" srcId="{8AA0CE77-0B74-4969-9DAE-B323A5A0077C}" destId="{BFCD994E-DB0D-4C72-B943-92BC23462DCB}" srcOrd="0" destOrd="0" presId="urn:microsoft.com/office/officeart/2009/3/layout/HorizontalOrganizationChart"/>
    <dgm:cxn modelId="{5D8A8A5A-8AA4-BB45-A06D-9B4249D934BD}" type="presOf" srcId="{24866992-F45D-48F9-84D6-D3B96C9D74B5}" destId="{1CA9F88D-25E6-454C-A6C3-C1EBF4D7D39B}" srcOrd="0" destOrd="0" presId="urn:microsoft.com/office/officeart/2009/3/layout/HorizontalOrganizationChart"/>
    <dgm:cxn modelId="{E1E7C4B4-8131-4686-9276-5338D47A68B3}" srcId="{8EFA715D-1823-4C99-9DD3-EE1D178DA3A5}" destId="{04869B90-3CDC-4F42-B930-460433855D89}" srcOrd="0" destOrd="0" parTransId="{D3147D78-AE9E-4548-938A-3567E84E7E12}" sibTransId="{7D578210-DB95-4AE5-BC43-E2EF004CE632}"/>
    <dgm:cxn modelId="{44B06075-6441-2440-B392-749AFAD91017}" type="presParOf" srcId="{85F0F609-123D-43F0-930C-F98954E6966E}" destId="{E7E170F0-7F39-448A-B29F-839E2A2662DE}" srcOrd="0" destOrd="0" presId="urn:microsoft.com/office/officeart/2009/3/layout/HorizontalOrganizationChart"/>
    <dgm:cxn modelId="{8819230E-83BF-3245-9D3B-0B30096F879D}" type="presParOf" srcId="{E7E170F0-7F39-448A-B29F-839E2A2662DE}" destId="{F261F0DC-FB2C-4A25-BFA4-B9170635D6C9}" srcOrd="0" destOrd="0" presId="urn:microsoft.com/office/officeart/2009/3/layout/HorizontalOrganizationChart"/>
    <dgm:cxn modelId="{ECD60A05-9F15-1D4F-8F54-CF737D0A3F9E}" type="presParOf" srcId="{F261F0DC-FB2C-4A25-BFA4-B9170635D6C9}" destId="{7153CB51-B998-423A-B4C0-9E5096FB9448}" srcOrd="0" destOrd="0" presId="urn:microsoft.com/office/officeart/2009/3/layout/HorizontalOrganizationChart"/>
    <dgm:cxn modelId="{33473AC7-8947-3746-92BB-547913215B84}" type="presParOf" srcId="{F261F0DC-FB2C-4A25-BFA4-B9170635D6C9}" destId="{FFDFC743-FB19-4455-AC38-3820A6F7699B}" srcOrd="1" destOrd="0" presId="urn:microsoft.com/office/officeart/2009/3/layout/HorizontalOrganizationChart"/>
    <dgm:cxn modelId="{7B6BDA85-EC9F-D941-BA59-CA48BDEC5EF8}" type="presParOf" srcId="{E7E170F0-7F39-448A-B29F-839E2A2662DE}" destId="{4DA3DF3A-E81D-4A24-ADD4-8A39A74EADF0}" srcOrd="1" destOrd="0" presId="urn:microsoft.com/office/officeart/2009/3/layout/HorizontalOrganizationChart"/>
    <dgm:cxn modelId="{3F2469AF-08E7-464D-8D18-356B1633EFD2}" type="presParOf" srcId="{4DA3DF3A-E81D-4A24-ADD4-8A39A74EADF0}" destId="{CBEC414C-CB3E-45A1-99CA-FCD9F0AA8563}" srcOrd="0" destOrd="0" presId="urn:microsoft.com/office/officeart/2009/3/layout/HorizontalOrganizationChart"/>
    <dgm:cxn modelId="{44C70365-0AAE-0A44-AE0A-9F6853CE0AFE}" type="presParOf" srcId="{4DA3DF3A-E81D-4A24-ADD4-8A39A74EADF0}" destId="{3F71D6F1-16F3-46B3-94D9-ECA6A4D4E0E8}" srcOrd="1" destOrd="0" presId="urn:microsoft.com/office/officeart/2009/3/layout/HorizontalOrganizationChart"/>
    <dgm:cxn modelId="{8F070816-4FCF-EC4E-9197-C4B5C612E70B}" type="presParOf" srcId="{3F71D6F1-16F3-46B3-94D9-ECA6A4D4E0E8}" destId="{9B9F789A-4E03-4091-889B-EB36EF778B36}" srcOrd="0" destOrd="0" presId="urn:microsoft.com/office/officeart/2009/3/layout/HorizontalOrganizationChart"/>
    <dgm:cxn modelId="{77C22626-1927-CA44-B8E2-CD3869E05259}" type="presParOf" srcId="{9B9F789A-4E03-4091-889B-EB36EF778B36}" destId="{A90E4103-FEEB-4839-A9BC-4A41836E94E1}" srcOrd="0" destOrd="0" presId="urn:microsoft.com/office/officeart/2009/3/layout/HorizontalOrganizationChart"/>
    <dgm:cxn modelId="{3B1A602C-DE23-BA4A-9011-1B0589FDBFEE}" type="presParOf" srcId="{9B9F789A-4E03-4091-889B-EB36EF778B36}" destId="{03B2BA26-D248-4739-A9F3-BA93FA010066}" srcOrd="1" destOrd="0" presId="urn:microsoft.com/office/officeart/2009/3/layout/HorizontalOrganizationChart"/>
    <dgm:cxn modelId="{31B071FE-83B6-BD49-A7BF-8EAC9B1F3625}" type="presParOf" srcId="{3F71D6F1-16F3-46B3-94D9-ECA6A4D4E0E8}" destId="{559E759D-96F8-4FF5-A876-191F87400A3F}" srcOrd="1" destOrd="0" presId="urn:microsoft.com/office/officeart/2009/3/layout/HorizontalOrganizationChart"/>
    <dgm:cxn modelId="{1468B5A6-9DBA-2C40-BFF2-6A447CA165B1}" type="presParOf" srcId="{559E759D-96F8-4FF5-A876-191F87400A3F}" destId="{5E573260-C35A-4EDD-BBE8-887B0EE40603}" srcOrd="0" destOrd="0" presId="urn:microsoft.com/office/officeart/2009/3/layout/HorizontalOrganizationChart"/>
    <dgm:cxn modelId="{1088F93B-C47F-1F43-8E5C-78E547C364F3}" type="presParOf" srcId="{559E759D-96F8-4FF5-A876-191F87400A3F}" destId="{1D4483E4-C345-42C6-8183-F244718CA783}" srcOrd="1" destOrd="0" presId="urn:microsoft.com/office/officeart/2009/3/layout/HorizontalOrganizationChart"/>
    <dgm:cxn modelId="{3D501402-9CF4-A142-90AE-87923672385A}" type="presParOf" srcId="{1D4483E4-C345-42C6-8183-F244718CA783}" destId="{7A334DEC-F3B6-4868-A46E-84A37D2F61A7}" srcOrd="0" destOrd="0" presId="urn:microsoft.com/office/officeart/2009/3/layout/HorizontalOrganizationChart"/>
    <dgm:cxn modelId="{60AF79F4-D728-3946-AC8A-AD50015D1829}" type="presParOf" srcId="{7A334DEC-F3B6-4868-A46E-84A37D2F61A7}" destId="{772CDA1C-A768-4141-BC7D-F2CBB29774FA}" srcOrd="0" destOrd="0" presId="urn:microsoft.com/office/officeart/2009/3/layout/HorizontalOrganizationChart"/>
    <dgm:cxn modelId="{70A1499D-1212-8B4D-8AFA-A8ACF399BB8E}" type="presParOf" srcId="{7A334DEC-F3B6-4868-A46E-84A37D2F61A7}" destId="{8B2BB631-3CA6-4C05-80C1-E61440E26FFB}" srcOrd="1" destOrd="0" presId="urn:microsoft.com/office/officeart/2009/3/layout/HorizontalOrganizationChart"/>
    <dgm:cxn modelId="{EE097DCF-7D16-8541-8912-AA68897DB19A}" type="presParOf" srcId="{1D4483E4-C345-42C6-8183-F244718CA783}" destId="{E2AF1077-C28C-4A2D-9AA1-BFAD2E7FF912}" srcOrd="1" destOrd="0" presId="urn:microsoft.com/office/officeart/2009/3/layout/HorizontalOrganizationChart"/>
    <dgm:cxn modelId="{FF5B3DEF-7360-3E41-BFAA-5D62FE103BC3}" type="presParOf" srcId="{1D4483E4-C345-42C6-8183-F244718CA783}" destId="{AC7769EE-38A4-4DD3-939C-DD8D4D96D81B}" srcOrd="2" destOrd="0" presId="urn:microsoft.com/office/officeart/2009/3/layout/HorizontalOrganizationChart"/>
    <dgm:cxn modelId="{42850161-3CA9-AD4E-BFC4-6B314DEFEC90}" type="presParOf" srcId="{3F71D6F1-16F3-46B3-94D9-ECA6A4D4E0E8}" destId="{1595F35E-AA79-4C0C-846D-F51C004CF619}" srcOrd="2" destOrd="0" presId="urn:microsoft.com/office/officeart/2009/3/layout/HorizontalOrganizationChart"/>
    <dgm:cxn modelId="{B205BB71-B1BC-8F47-AA00-186DDDC141AD}" type="presParOf" srcId="{4DA3DF3A-E81D-4A24-ADD4-8A39A74EADF0}" destId="{504F5715-D4DE-496D-97D8-8AD9E1FE12E6}" srcOrd="2" destOrd="0" presId="urn:microsoft.com/office/officeart/2009/3/layout/HorizontalOrganizationChart"/>
    <dgm:cxn modelId="{087CA9A7-DFB0-364A-905E-BE1C684AD1A5}" type="presParOf" srcId="{4DA3DF3A-E81D-4A24-ADD4-8A39A74EADF0}" destId="{8C1F88E3-E912-453D-A9DD-14ACD525C34F}" srcOrd="3" destOrd="0" presId="urn:microsoft.com/office/officeart/2009/3/layout/HorizontalOrganizationChart"/>
    <dgm:cxn modelId="{2CBDD1A2-00EF-CB4B-8EB2-90E6B8AC6148}" type="presParOf" srcId="{8C1F88E3-E912-453D-A9DD-14ACD525C34F}" destId="{823CA80B-C9A4-4051-8535-892060C89728}" srcOrd="0" destOrd="0" presId="urn:microsoft.com/office/officeart/2009/3/layout/HorizontalOrganizationChart"/>
    <dgm:cxn modelId="{32CFEB85-EE7E-0D4E-BA8D-9C98D1E8E606}" type="presParOf" srcId="{823CA80B-C9A4-4051-8535-892060C89728}" destId="{18FA3649-2AF0-4B11-AF37-492C7DB351F7}" srcOrd="0" destOrd="0" presId="urn:microsoft.com/office/officeart/2009/3/layout/HorizontalOrganizationChart"/>
    <dgm:cxn modelId="{5F7A5CE6-9AD9-1447-A50C-A4744E095D57}" type="presParOf" srcId="{823CA80B-C9A4-4051-8535-892060C89728}" destId="{A1C754E8-BA2C-4594-BBA8-0C43E9369A7C}" srcOrd="1" destOrd="0" presId="urn:microsoft.com/office/officeart/2009/3/layout/HorizontalOrganizationChart"/>
    <dgm:cxn modelId="{F40DDA46-1C15-C249-9CB3-8B83D68567F0}" type="presParOf" srcId="{8C1F88E3-E912-453D-A9DD-14ACD525C34F}" destId="{99A7BCEE-D935-4FB6-B7C8-5EF71C465C5A}" srcOrd="1" destOrd="0" presId="urn:microsoft.com/office/officeart/2009/3/layout/HorizontalOrganizationChart"/>
    <dgm:cxn modelId="{C0BF9E34-56F7-F94E-9E1A-9675B2243C6D}" type="presParOf" srcId="{8C1F88E3-E912-453D-A9DD-14ACD525C34F}" destId="{6C4F03A6-28A6-470B-9FFD-05538E6F9E6A}" srcOrd="2" destOrd="0" presId="urn:microsoft.com/office/officeart/2009/3/layout/HorizontalOrganizationChart"/>
    <dgm:cxn modelId="{9588F674-BB4F-DB4A-A93F-C137BAA8D573}" type="presParOf" srcId="{E7E170F0-7F39-448A-B29F-839E2A2662DE}" destId="{F05E51E7-EF90-4046-A4E9-8F5B01FE6E90}" srcOrd="2" destOrd="0" presId="urn:microsoft.com/office/officeart/2009/3/layout/HorizontalOrganizationChart"/>
    <dgm:cxn modelId="{F230283A-1AB1-BF46-8B1F-62A5FE020955}" type="presParOf" srcId="{85F0F609-123D-43F0-930C-F98954E6966E}" destId="{7E1B6BD9-413A-453B-9433-2A254198A9BF}" srcOrd="1" destOrd="0" presId="urn:microsoft.com/office/officeart/2009/3/layout/HorizontalOrganizationChart"/>
    <dgm:cxn modelId="{B226EB3C-BD59-F146-B3A6-AEA812EDE56F}" type="presParOf" srcId="{7E1B6BD9-413A-453B-9433-2A254198A9BF}" destId="{8957E1E5-CBC3-4192-92A4-FE7906DDA1DC}" srcOrd="0" destOrd="0" presId="urn:microsoft.com/office/officeart/2009/3/layout/HorizontalOrganizationChart"/>
    <dgm:cxn modelId="{2B7E5D05-D5AE-0449-9694-594404C4B56E}" type="presParOf" srcId="{8957E1E5-CBC3-4192-92A4-FE7906DDA1DC}" destId="{A0221534-758E-4AC4-B609-C169E4C779E5}" srcOrd="0" destOrd="0" presId="urn:microsoft.com/office/officeart/2009/3/layout/HorizontalOrganizationChart"/>
    <dgm:cxn modelId="{13EC64B5-1950-964C-954F-CDF343F48358}" type="presParOf" srcId="{8957E1E5-CBC3-4192-92A4-FE7906DDA1DC}" destId="{E6D74E96-17A4-4F07-920C-78A7A3D6D71F}" srcOrd="1" destOrd="0" presId="urn:microsoft.com/office/officeart/2009/3/layout/HorizontalOrganizationChart"/>
    <dgm:cxn modelId="{87BB8380-0776-C844-BA64-5DE8F8FBB6EA}" type="presParOf" srcId="{7E1B6BD9-413A-453B-9433-2A254198A9BF}" destId="{6FFC0FE7-7D79-48FE-8189-FEEC06528DDE}" srcOrd="1" destOrd="0" presId="urn:microsoft.com/office/officeart/2009/3/layout/HorizontalOrganizationChart"/>
    <dgm:cxn modelId="{1FFC18C6-DBC1-7C4B-BB21-D977AB791D73}" type="presParOf" srcId="{6FFC0FE7-7D79-48FE-8189-FEEC06528DDE}" destId="{660D74BE-5D83-408E-AA3B-8D8520145E5E}" srcOrd="0" destOrd="0" presId="urn:microsoft.com/office/officeart/2009/3/layout/HorizontalOrganizationChart"/>
    <dgm:cxn modelId="{C220858D-CDB9-174F-992C-22CF6EE1BCAB}" type="presParOf" srcId="{6FFC0FE7-7D79-48FE-8189-FEEC06528DDE}" destId="{97DCF304-2B72-4919-AD88-62AB2CE71605}" srcOrd="1" destOrd="0" presId="urn:microsoft.com/office/officeart/2009/3/layout/HorizontalOrganizationChart"/>
    <dgm:cxn modelId="{1DFC6A90-C22B-3A46-B3C4-9F1FAD2B0925}" type="presParOf" srcId="{97DCF304-2B72-4919-AD88-62AB2CE71605}" destId="{7681F45D-B0C4-4203-A007-2F0622936CC0}" srcOrd="0" destOrd="0" presId="urn:microsoft.com/office/officeart/2009/3/layout/HorizontalOrganizationChart"/>
    <dgm:cxn modelId="{568CD39A-2B65-7C47-AE19-3CC699A56578}" type="presParOf" srcId="{7681F45D-B0C4-4203-A007-2F0622936CC0}" destId="{F559B4EC-5262-472C-85F7-1770A34AA63B}" srcOrd="0" destOrd="0" presId="urn:microsoft.com/office/officeart/2009/3/layout/HorizontalOrganizationChart"/>
    <dgm:cxn modelId="{A39A6F09-3ABE-8040-8BA4-062C8667B545}" type="presParOf" srcId="{7681F45D-B0C4-4203-A007-2F0622936CC0}" destId="{C95AC2EA-20FD-4CDD-9394-AA134450274E}" srcOrd="1" destOrd="0" presId="urn:microsoft.com/office/officeart/2009/3/layout/HorizontalOrganizationChart"/>
    <dgm:cxn modelId="{1AD00E8C-4E4B-B44D-ACC9-0617B2CB1443}" type="presParOf" srcId="{97DCF304-2B72-4919-AD88-62AB2CE71605}" destId="{87BA005C-051A-4D0B-A9F7-D3020839FE2A}" srcOrd="1" destOrd="0" presId="urn:microsoft.com/office/officeart/2009/3/layout/HorizontalOrganizationChart"/>
    <dgm:cxn modelId="{78CE4C38-EEB0-1443-88B6-271C80D4AE3C}" type="presParOf" srcId="{87BA005C-051A-4D0B-A9F7-D3020839FE2A}" destId="{61CB4561-867D-45F8-8FF6-456FC6660A93}" srcOrd="0" destOrd="0" presId="urn:microsoft.com/office/officeart/2009/3/layout/HorizontalOrganizationChart"/>
    <dgm:cxn modelId="{5C4DB855-9AAA-C64C-8475-E336974182B1}" type="presParOf" srcId="{87BA005C-051A-4D0B-A9F7-D3020839FE2A}" destId="{B5CDC231-DFEB-4C28-B607-0C78AE891237}" srcOrd="1" destOrd="0" presId="urn:microsoft.com/office/officeart/2009/3/layout/HorizontalOrganizationChart"/>
    <dgm:cxn modelId="{E0A792DE-3827-F842-AEB2-39C25A7DE3A7}" type="presParOf" srcId="{B5CDC231-DFEB-4C28-B607-0C78AE891237}" destId="{F1FBD5F3-85B5-4BD9-A1F7-2E9B801D3A6E}" srcOrd="0" destOrd="0" presId="urn:microsoft.com/office/officeart/2009/3/layout/HorizontalOrganizationChart"/>
    <dgm:cxn modelId="{4B79AA55-0DDB-764A-B08A-481D63FBE020}" type="presParOf" srcId="{F1FBD5F3-85B5-4BD9-A1F7-2E9B801D3A6E}" destId="{0579BEC7-C8E3-4A06-BC7E-6250B576FFDF}" srcOrd="0" destOrd="0" presId="urn:microsoft.com/office/officeart/2009/3/layout/HorizontalOrganizationChart"/>
    <dgm:cxn modelId="{E33611EB-DE11-1143-8D04-83AF93AD02D4}" type="presParOf" srcId="{F1FBD5F3-85B5-4BD9-A1F7-2E9B801D3A6E}" destId="{A6103CAA-9590-4A71-875A-295AEEF842F0}" srcOrd="1" destOrd="0" presId="urn:microsoft.com/office/officeart/2009/3/layout/HorizontalOrganizationChart"/>
    <dgm:cxn modelId="{D400426A-BA9D-A742-B5E7-41087E9DAF74}" type="presParOf" srcId="{B5CDC231-DFEB-4C28-B607-0C78AE891237}" destId="{55A67CFE-109F-4DAE-A06D-9D31D6CB8614}" srcOrd="1" destOrd="0" presId="urn:microsoft.com/office/officeart/2009/3/layout/HorizontalOrganizationChart"/>
    <dgm:cxn modelId="{4C1F575C-6514-8B48-82C2-5901C587BEB5}" type="presParOf" srcId="{B5CDC231-DFEB-4C28-B607-0C78AE891237}" destId="{0D1F1C37-5972-4677-8D4A-BEF0AB535253}" srcOrd="2" destOrd="0" presId="urn:microsoft.com/office/officeart/2009/3/layout/HorizontalOrganizationChart"/>
    <dgm:cxn modelId="{90B12710-8BFB-BB44-A3F9-5009A0E6C276}" type="presParOf" srcId="{87BA005C-051A-4D0B-A9F7-D3020839FE2A}" destId="{09DADDDC-105C-4765-80E2-CF3890C7101F}" srcOrd="2" destOrd="0" presId="urn:microsoft.com/office/officeart/2009/3/layout/HorizontalOrganizationChart"/>
    <dgm:cxn modelId="{23981B32-46EA-D74B-89F3-61CBC70817F1}" type="presParOf" srcId="{87BA005C-051A-4D0B-A9F7-D3020839FE2A}" destId="{783523CE-C630-4E2A-8E94-F05E2FFDF73B}" srcOrd="3" destOrd="0" presId="urn:microsoft.com/office/officeart/2009/3/layout/HorizontalOrganizationChart"/>
    <dgm:cxn modelId="{5CAF6531-A682-0941-948B-B11B630ACF8D}" type="presParOf" srcId="{783523CE-C630-4E2A-8E94-F05E2FFDF73B}" destId="{BE511426-B469-4D0D-B3F3-4C6A53A181A4}" srcOrd="0" destOrd="0" presId="urn:microsoft.com/office/officeart/2009/3/layout/HorizontalOrganizationChart"/>
    <dgm:cxn modelId="{5DBF9C0F-D789-BB48-9AFA-F37518E679B3}" type="presParOf" srcId="{BE511426-B469-4D0D-B3F3-4C6A53A181A4}" destId="{1CA9F88D-25E6-454C-A6C3-C1EBF4D7D39B}" srcOrd="0" destOrd="0" presId="urn:microsoft.com/office/officeart/2009/3/layout/HorizontalOrganizationChart"/>
    <dgm:cxn modelId="{E2B2AAF6-F499-2F4B-B0F0-B9DA71C6AF6A}" type="presParOf" srcId="{BE511426-B469-4D0D-B3F3-4C6A53A181A4}" destId="{F4DC70DD-94DA-4CE0-BAF5-51CFA531310E}" srcOrd="1" destOrd="0" presId="urn:microsoft.com/office/officeart/2009/3/layout/HorizontalOrganizationChart"/>
    <dgm:cxn modelId="{8BBC3850-CAE8-BB4F-8FA1-98BA3D610D4C}" type="presParOf" srcId="{783523CE-C630-4E2A-8E94-F05E2FFDF73B}" destId="{D584400C-4B47-4E36-8C5D-51BBC1E8F637}" srcOrd="1" destOrd="0" presId="urn:microsoft.com/office/officeart/2009/3/layout/HorizontalOrganizationChart"/>
    <dgm:cxn modelId="{865CC36D-5F74-0747-B8BA-AB9120D975EB}" type="presParOf" srcId="{783523CE-C630-4E2A-8E94-F05E2FFDF73B}" destId="{7405B38D-0182-4947-977B-781788E76509}" srcOrd="2" destOrd="0" presId="urn:microsoft.com/office/officeart/2009/3/layout/HorizontalOrganizationChart"/>
    <dgm:cxn modelId="{00109BA2-4A26-0D47-ACC5-DF6D83D26934}" type="presParOf" srcId="{97DCF304-2B72-4919-AD88-62AB2CE71605}" destId="{8833B46E-78B7-4001-B5A1-C60D0D10D9D9}" srcOrd="2" destOrd="0" presId="urn:microsoft.com/office/officeart/2009/3/layout/HorizontalOrganizationChart"/>
    <dgm:cxn modelId="{A9520BD0-7C9B-9147-BCD4-3DBC4B989EFB}" type="presParOf" srcId="{6FFC0FE7-7D79-48FE-8189-FEEC06528DDE}" destId="{8563764B-84CE-4A48-B980-9DB47AAAD088}" srcOrd="2" destOrd="0" presId="urn:microsoft.com/office/officeart/2009/3/layout/HorizontalOrganizationChart"/>
    <dgm:cxn modelId="{11BE2230-FF9D-614D-807D-59162B0D5A0B}" type="presParOf" srcId="{6FFC0FE7-7D79-48FE-8189-FEEC06528DDE}" destId="{88CD291E-4263-4072-805F-1010C369CE65}" srcOrd="3" destOrd="0" presId="urn:microsoft.com/office/officeart/2009/3/layout/HorizontalOrganizationChart"/>
    <dgm:cxn modelId="{884615C9-0D2F-E94C-B1C5-35E899FF4BFA}" type="presParOf" srcId="{88CD291E-4263-4072-805F-1010C369CE65}" destId="{AB07B703-C0B7-4061-86B1-B8B7A3721F51}" srcOrd="0" destOrd="0" presId="urn:microsoft.com/office/officeart/2009/3/layout/HorizontalOrganizationChart"/>
    <dgm:cxn modelId="{D24F4419-AD2E-0540-8C9C-C89E21C1A195}" type="presParOf" srcId="{AB07B703-C0B7-4061-86B1-B8B7A3721F51}" destId="{6AA62E2A-8C27-495D-861F-F52E10AA77DC}" srcOrd="0" destOrd="0" presId="urn:microsoft.com/office/officeart/2009/3/layout/HorizontalOrganizationChart"/>
    <dgm:cxn modelId="{5C6BDEBD-EDE4-C545-A533-7B93E1F4A6D3}" type="presParOf" srcId="{AB07B703-C0B7-4061-86B1-B8B7A3721F51}" destId="{23855D1F-BA72-46A9-AD2B-F7656A688C56}" srcOrd="1" destOrd="0" presId="urn:microsoft.com/office/officeart/2009/3/layout/HorizontalOrganizationChart"/>
    <dgm:cxn modelId="{8CC5871B-2AD8-B44B-B180-F981A21933E6}" type="presParOf" srcId="{88CD291E-4263-4072-805F-1010C369CE65}" destId="{23C15B48-2AA2-4FE5-84BE-4978C2FFFADF}" srcOrd="1" destOrd="0" presId="urn:microsoft.com/office/officeart/2009/3/layout/HorizontalOrganizationChart"/>
    <dgm:cxn modelId="{B169218E-5FD9-B34C-B721-229AAA30CDA4}" type="presParOf" srcId="{88CD291E-4263-4072-805F-1010C369CE65}" destId="{5785FFEB-6276-475C-BB65-6D8E444BC2AB}" srcOrd="2" destOrd="0" presId="urn:microsoft.com/office/officeart/2009/3/layout/HorizontalOrganizationChart"/>
    <dgm:cxn modelId="{52C37A00-718B-3C49-93C4-5173A5B76878}" type="presParOf" srcId="{6FFC0FE7-7D79-48FE-8189-FEEC06528DDE}" destId="{709FBF78-203E-41E1-AF18-8C705D615E08}" srcOrd="4" destOrd="0" presId="urn:microsoft.com/office/officeart/2009/3/layout/HorizontalOrganizationChart"/>
    <dgm:cxn modelId="{F1BCFE02-D7AA-C245-9F0C-F55E89D44AA2}" type="presParOf" srcId="{6FFC0FE7-7D79-48FE-8189-FEEC06528DDE}" destId="{B7F82CFB-3DF5-4E4B-A78A-6484D94B3271}" srcOrd="5" destOrd="0" presId="urn:microsoft.com/office/officeart/2009/3/layout/HorizontalOrganizationChart"/>
    <dgm:cxn modelId="{9306B12D-4D69-4747-9E12-14B06FF560E0}" type="presParOf" srcId="{B7F82CFB-3DF5-4E4B-A78A-6484D94B3271}" destId="{82F9188E-B8F4-4FAF-A394-42A9E6321377}" srcOrd="0" destOrd="0" presId="urn:microsoft.com/office/officeart/2009/3/layout/HorizontalOrganizationChart"/>
    <dgm:cxn modelId="{67D0E874-29A0-5D41-9787-034A6FB93D81}" type="presParOf" srcId="{82F9188E-B8F4-4FAF-A394-42A9E6321377}" destId="{BFCD994E-DB0D-4C72-B943-92BC23462DCB}" srcOrd="0" destOrd="0" presId="urn:microsoft.com/office/officeart/2009/3/layout/HorizontalOrganizationChart"/>
    <dgm:cxn modelId="{476CC73D-F752-3644-AF64-1DED43A3908E}" type="presParOf" srcId="{82F9188E-B8F4-4FAF-A394-42A9E6321377}" destId="{D3A2A8BA-E7F6-4296-B004-CB5A4929B0F9}" srcOrd="1" destOrd="0" presId="urn:microsoft.com/office/officeart/2009/3/layout/HorizontalOrganizationChart"/>
    <dgm:cxn modelId="{AD5C7D89-F9FF-EE44-8E69-0443EF71094B}" type="presParOf" srcId="{B7F82CFB-3DF5-4E4B-A78A-6484D94B3271}" destId="{F52632F8-1BAB-47D6-BA11-ACB8FD699016}" srcOrd="1" destOrd="0" presId="urn:microsoft.com/office/officeart/2009/3/layout/HorizontalOrganizationChart"/>
    <dgm:cxn modelId="{F83DE472-7300-4942-8616-9CA9B99F1926}" type="presParOf" srcId="{F52632F8-1BAB-47D6-BA11-ACB8FD699016}" destId="{3C01A6FD-4B83-4E95-9552-A394122C750D}" srcOrd="0" destOrd="0" presId="urn:microsoft.com/office/officeart/2009/3/layout/HorizontalOrganizationChart"/>
    <dgm:cxn modelId="{72262A1E-626E-2E44-9B38-9DF2F65FA53E}" type="presParOf" srcId="{F52632F8-1BAB-47D6-BA11-ACB8FD699016}" destId="{B90B33CA-4B7C-4324-B63D-907F051F1246}" srcOrd="1" destOrd="0" presId="urn:microsoft.com/office/officeart/2009/3/layout/HorizontalOrganizationChart"/>
    <dgm:cxn modelId="{4BE0AF94-0F4D-CC4A-B7A4-81A9F59535A2}" type="presParOf" srcId="{B90B33CA-4B7C-4324-B63D-907F051F1246}" destId="{996F90E0-C449-4B04-8BB5-F51B6B4544C5}" srcOrd="0" destOrd="0" presId="urn:microsoft.com/office/officeart/2009/3/layout/HorizontalOrganizationChart"/>
    <dgm:cxn modelId="{49B41EB4-7CA1-5B48-B8F5-F51B04F4DA79}" type="presParOf" srcId="{996F90E0-C449-4B04-8BB5-F51B6B4544C5}" destId="{9CD8F3B9-B717-470A-B7BB-750D7CD26F5D}" srcOrd="0" destOrd="0" presId="urn:microsoft.com/office/officeart/2009/3/layout/HorizontalOrganizationChart"/>
    <dgm:cxn modelId="{2B6EFCAD-54C8-B94F-AFA9-950A7530CA78}" type="presParOf" srcId="{996F90E0-C449-4B04-8BB5-F51B6B4544C5}" destId="{FAD1165A-C333-4B54-A37B-C25922087445}" srcOrd="1" destOrd="0" presId="urn:microsoft.com/office/officeart/2009/3/layout/HorizontalOrganizationChart"/>
    <dgm:cxn modelId="{2A3C3FC7-7167-A14D-A478-73F2BD4CB25C}" type="presParOf" srcId="{B90B33CA-4B7C-4324-B63D-907F051F1246}" destId="{406AD299-61B2-45B7-9D71-C1725BC37F70}" srcOrd="1" destOrd="0" presId="urn:microsoft.com/office/officeart/2009/3/layout/HorizontalOrganizationChart"/>
    <dgm:cxn modelId="{D63F1D0F-3BA3-0347-A107-7CEF8DC59444}" type="presParOf" srcId="{B90B33CA-4B7C-4324-B63D-907F051F1246}" destId="{04A74D73-413B-4B6A-B09A-5380DB40C498}" srcOrd="2" destOrd="0" presId="urn:microsoft.com/office/officeart/2009/3/layout/HorizontalOrganizationChart"/>
    <dgm:cxn modelId="{36A3C47F-3543-1A43-A2F0-2568139AAAF2}" type="presParOf" srcId="{B7F82CFB-3DF5-4E4B-A78A-6484D94B3271}" destId="{D19611D2-65A5-4FE7-A848-358298996E3E}" srcOrd="2" destOrd="0" presId="urn:microsoft.com/office/officeart/2009/3/layout/HorizontalOrganizationChart"/>
    <dgm:cxn modelId="{FBAC0B8E-6DA3-124F-9B3C-5D1F6F3E2974}" type="presParOf" srcId="{7E1B6BD9-413A-453B-9433-2A254198A9BF}" destId="{0608168D-F127-4CE5-9147-EDF71E7DC0F3}" srcOrd="2" destOrd="0" presId="urn:microsoft.com/office/officeart/2009/3/layout/HorizontalOrganizationChart"/>
    <dgm:cxn modelId="{D28ED085-9DB2-574E-9C27-50B08ECD5895}" type="presParOf" srcId="{85F0F609-123D-43F0-930C-F98954E6966E}" destId="{B0A62C8A-E838-4B13-BBF0-FFBEAB2B7AE4}" srcOrd="2" destOrd="0" presId="urn:microsoft.com/office/officeart/2009/3/layout/HorizontalOrganizationChart"/>
    <dgm:cxn modelId="{7F30CE03-F7B8-7D43-BF07-B571DF198CBD}" type="presParOf" srcId="{B0A62C8A-E838-4B13-BBF0-FFBEAB2B7AE4}" destId="{763C086B-EDBD-4C55-B581-6DE21F5D6B42}" srcOrd="0" destOrd="0" presId="urn:microsoft.com/office/officeart/2009/3/layout/HorizontalOrganizationChart"/>
    <dgm:cxn modelId="{27D9B5FF-89F7-2E49-A8EF-C57ECB8F2B16}" type="presParOf" srcId="{763C086B-EDBD-4C55-B581-6DE21F5D6B42}" destId="{466C0039-FE30-4D47-8335-FD25D7D99303}" srcOrd="0" destOrd="0" presId="urn:microsoft.com/office/officeart/2009/3/layout/HorizontalOrganizationChart"/>
    <dgm:cxn modelId="{0C6B44F0-1C97-EA40-A997-B678B701BBF7}" type="presParOf" srcId="{763C086B-EDBD-4C55-B581-6DE21F5D6B42}" destId="{2CA74A30-1ECC-449F-AAA0-13CFF739B81B}" srcOrd="1" destOrd="0" presId="urn:microsoft.com/office/officeart/2009/3/layout/HorizontalOrganizationChart"/>
    <dgm:cxn modelId="{F9B0B83E-587D-6F40-A6CD-7B08E7B7F2E2}" type="presParOf" srcId="{B0A62C8A-E838-4B13-BBF0-FFBEAB2B7AE4}" destId="{74665B56-3489-4B7B-8C2F-4B391FA5B662}" srcOrd="1" destOrd="0" presId="urn:microsoft.com/office/officeart/2009/3/layout/HorizontalOrganizationChart"/>
    <dgm:cxn modelId="{1CD20FBD-A6A0-F74F-9612-FAF36FE4C7E4}" type="presParOf" srcId="{74665B56-3489-4B7B-8C2F-4B391FA5B662}" destId="{136F2B2E-67BB-4DEB-9034-A485A9ECD8BD}" srcOrd="0" destOrd="0" presId="urn:microsoft.com/office/officeart/2009/3/layout/HorizontalOrganizationChart"/>
    <dgm:cxn modelId="{F8E6AF9B-509E-B74D-BF7F-9B9C753A910E}" type="presParOf" srcId="{74665B56-3489-4B7B-8C2F-4B391FA5B662}" destId="{30C3F9F2-B651-4CA2-9EB5-0BF326BE4FE7}" srcOrd="1" destOrd="0" presId="urn:microsoft.com/office/officeart/2009/3/layout/HorizontalOrganizationChart"/>
    <dgm:cxn modelId="{B1F2D655-6687-4C46-AD99-6AB28265FDDB}" type="presParOf" srcId="{30C3F9F2-B651-4CA2-9EB5-0BF326BE4FE7}" destId="{A601D0E0-DBBE-480F-914C-1C909BC4F8E9}" srcOrd="0" destOrd="0" presId="urn:microsoft.com/office/officeart/2009/3/layout/HorizontalOrganizationChart"/>
    <dgm:cxn modelId="{2F65EED6-C26C-484D-96BB-7E8AD254B990}" type="presParOf" srcId="{A601D0E0-DBBE-480F-914C-1C909BC4F8E9}" destId="{D0285795-9A68-4830-902F-8045D6C11644}" srcOrd="0" destOrd="0" presId="urn:microsoft.com/office/officeart/2009/3/layout/HorizontalOrganizationChart"/>
    <dgm:cxn modelId="{13BAE3C9-54F1-E449-9592-7369D9F414BA}" type="presParOf" srcId="{A601D0E0-DBBE-480F-914C-1C909BC4F8E9}" destId="{B411987C-29F5-4DF9-AB76-53A5F00486CB}" srcOrd="1" destOrd="0" presId="urn:microsoft.com/office/officeart/2009/3/layout/HorizontalOrganizationChart"/>
    <dgm:cxn modelId="{A77F7180-9E5D-5B40-B3E5-F41370374A19}" type="presParOf" srcId="{30C3F9F2-B651-4CA2-9EB5-0BF326BE4FE7}" destId="{7121B790-71BF-40A1-81BE-43C60E423C1B}" srcOrd="1" destOrd="0" presId="urn:microsoft.com/office/officeart/2009/3/layout/HorizontalOrganizationChart"/>
    <dgm:cxn modelId="{13405CED-8E78-E444-A4D9-CDFEBED9C62F}" type="presParOf" srcId="{7121B790-71BF-40A1-81BE-43C60E423C1B}" destId="{F36ADDB7-2A63-4E08-8A43-292A8EED025E}" srcOrd="0" destOrd="0" presId="urn:microsoft.com/office/officeart/2009/3/layout/HorizontalOrganizationChart"/>
    <dgm:cxn modelId="{CD873EF2-2E6A-EB4E-A91F-A0A8B0BB4170}" type="presParOf" srcId="{7121B790-71BF-40A1-81BE-43C60E423C1B}" destId="{685EEAAD-C048-4577-B98F-EBC1012A368F}" srcOrd="1" destOrd="0" presId="urn:microsoft.com/office/officeart/2009/3/layout/HorizontalOrganizationChart"/>
    <dgm:cxn modelId="{DC028215-01F7-1946-B1E5-037E221A7616}" type="presParOf" srcId="{685EEAAD-C048-4577-B98F-EBC1012A368F}" destId="{5530E93B-F2E3-4A35-BFF6-8516346FA155}" srcOrd="0" destOrd="0" presId="urn:microsoft.com/office/officeart/2009/3/layout/HorizontalOrganizationChart"/>
    <dgm:cxn modelId="{7B3F7664-8118-DC40-A4C2-24D408CE457D}" type="presParOf" srcId="{5530E93B-F2E3-4A35-BFF6-8516346FA155}" destId="{2E5FAA95-1B06-4FB9-9EE2-DC74C020667D}" srcOrd="0" destOrd="0" presId="urn:microsoft.com/office/officeart/2009/3/layout/HorizontalOrganizationChart"/>
    <dgm:cxn modelId="{7339D39F-7EED-4B4C-9ED2-FF75F850238F}" type="presParOf" srcId="{5530E93B-F2E3-4A35-BFF6-8516346FA155}" destId="{C7A80EE0-973B-448F-9E43-675AB7C76F68}" srcOrd="1" destOrd="0" presId="urn:microsoft.com/office/officeart/2009/3/layout/HorizontalOrganizationChart"/>
    <dgm:cxn modelId="{B96E42AC-CEAD-F447-B224-56A3806F6D55}" type="presParOf" srcId="{685EEAAD-C048-4577-B98F-EBC1012A368F}" destId="{32DDEB15-0D37-474C-99A5-AF04F86A22EB}" srcOrd="1" destOrd="0" presId="urn:microsoft.com/office/officeart/2009/3/layout/HorizontalOrganizationChart"/>
    <dgm:cxn modelId="{B56E7289-F41F-1A49-A7AC-EFF38089019E}" type="presParOf" srcId="{685EEAAD-C048-4577-B98F-EBC1012A368F}" destId="{AC42E298-DB55-4009-B27A-100F2670CA79}" srcOrd="2" destOrd="0" presId="urn:microsoft.com/office/officeart/2009/3/layout/HorizontalOrganizationChart"/>
    <dgm:cxn modelId="{BFA01940-5535-BF42-90BD-8FBF80D6BA98}" type="presParOf" srcId="{30C3F9F2-B651-4CA2-9EB5-0BF326BE4FE7}" destId="{B900B662-2AF7-41A8-9E09-902343429BFD}" srcOrd="2" destOrd="0" presId="urn:microsoft.com/office/officeart/2009/3/layout/HorizontalOrganizationChart"/>
    <dgm:cxn modelId="{5320109F-AB64-7A44-BA95-DF88F35C8B0B}" type="presParOf" srcId="{74665B56-3489-4B7B-8C2F-4B391FA5B662}" destId="{253E3678-FDF8-4C21-B98F-415CE0369EF4}" srcOrd="2" destOrd="0" presId="urn:microsoft.com/office/officeart/2009/3/layout/HorizontalOrganizationChart"/>
    <dgm:cxn modelId="{B2CB05BC-1986-514C-84A3-F45A88031A1F}" type="presParOf" srcId="{74665B56-3489-4B7B-8C2F-4B391FA5B662}" destId="{5FAA615B-DC16-4348-82D2-C9373C3C4F78}" srcOrd="3" destOrd="0" presId="urn:microsoft.com/office/officeart/2009/3/layout/HorizontalOrganizationChart"/>
    <dgm:cxn modelId="{B8A3820E-F8DC-1746-8E62-271E8D65A179}" type="presParOf" srcId="{5FAA615B-DC16-4348-82D2-C9373C3C4F78}" destId="{84ABA69B-377A-4BEA-8BF7-13A5D4F8F3C9}" srcOrd="0" destOrd="0" presId="urn:microsoft.com/office/officeart/2009/3/layout/HorizontalOrganizationChart"/>
    <dgm:cxn modelId="{0484B62C-DEDA-EF42-AF82-328C057BC7BE}" type="presParOf" srcId="{84ABA69B-377A-4BEA-8BF7-13A5D4F8F3C9}" destId="{1670844D-F97E-402F-93A8-C359DFA529D0}" srcOrd="0" destOrd="0" presId="urn:microsoft.com/office/officeart/2009/3/layout/HorizontalOrganizationChart"/>
    <dgm:cxn modelId="{9E9A05EA-A830-604F-8822-643117EA6E00}" type="presParOf" srcId="{84ABA69B-377A-4BEA-8BF7-13A5D4F8F3C9}" destId="{ECB118C9-00BE-48D7-90B9-4B3420B41CD9}" srcOrd="1" destOrd="0" presId="urn:microsoft.com/office/officeart/2009/3/layout/HorizontalOrganizationChart"/>
    <dgm:cxn modelId="{8E58F288-CDF7-E24D-A480-4B42BCAA8758}" type="presParOf" srcId="{5FAA615B-DC16-4348-82D2-C9373C3C4F78}" destId="{5EC014FB-2752-45FC-B4FB-BC682DB0DF55}" srcOrd="1" destOrd="0" presId="urn:microsoft.com/office/officeart/2009/3/layout/HorizontalOrganizationChart"/>
    <dgm:cxn modelId="{1E9C7D83-62D3-6046-871A-FD404FF7DD6B}" type="presParOf" srcId="{5EC014FB-2752-45FC-B4FB-BC682DB0DF55}" destId="{F8EC3B1E-A9B8-4FB8-A11C-2039A281B58E}" srcOrd="0" destOrd="0" presId="urn:microsoft.com/office/officeart/2009/3/layout/HorizontalOrganizationChart"/>
    <dgm:cxn modelId="{2A3B1E96-5785-3A41-92D6-5EDD47251C82}" type="presParOf" srcId="{5EC014FB-2752-45FC-B4FB-BC682DB0DF55}" destId="{CEF1A4F8-AADA-4C26-A834-83F9646D7BC3}" srcOrd="1" destOrd="0" presId="urn:microsoft.com/office/officeart/2009/3/layout/HorizontalOrganizationChart"/>
    <dgm:cxn modelId="{D80BBD39-187E-D141-B3B5-F4D32BC9BDD4}" type="presParOf" srcId="{CEF1A4F8-AADA-4C26-A834-83F9646D7BC3}" destId="{6A92947D-DA64-45E9-AE22-BCA8C4400D7C}" srcOrd="0" destOrd="0" presId="urn:microsoft.com/office/officeart/2009/3/layout/HorizontalOrganizationChart"/>
    <dgm:cxn modelId="{A3D9EBCC-9279-AE4D-80F8-81498C9CD0C3}" type="presParOf" srcId="{6A92947D-DA64-45E9-AE22-BCA8C4400D7C}" destId="{E428E084-A439-4806-8E07-16103A28398B}" srcOrd="0" destOrd="0" presId="urn:microsoft.com/office/officeart/2009/3/layout/HorizontalOrganizationChart"/>
    <dgm:cxn modelId="{C1906FF0-A72D-994B-B926-75FF492FCC28}" type="presParOf" srcId="{6A92947D-DA64-45E9-AE22-BCA8C4400D7C}" destId="{714595F7-23ED-4963-857D-6695EA903CEE}" srcOrd="1" destOrd="0" presId="urn:microsoft.com/office/officeart/2009/3/layout/HorizontalOrganizationChart"/>
    <dgm:cxn modelId="{0FD9E1E3-C676-0E4A-8923-FE43F99B40F0}" type="presParOf" srcId="{CEF1A4F8-AADA-4C26-A834-83F9646D7BC3}" destId="{A2D7B519-29CE-4674-9E83-2AFFE1A12A95}" srcOrd="1" destOrd="0" presId="urn:microsoft.com/office/officeart/2009/3/layout/HorizontalOrganizationChart"/>
    <dgm:cxn modelId="{D3FDD794-C5AE-DC47-95D0-5E9EB0D709BB}" type="presParOf" srcId="{CEF1A4F8-AADA-4C26-A834-83F9646D7BC3}" destId="{0E2CF08D-2DBB-4A16-81A5-CA3DF4B10868}" srcOrd="2" destOrd="0" presId="urn:microsoft.com/office/officeart/2009/3/layout/HorizontalOrganizationChart"/>
    <dgm:cxn modelId="{2122A3C5-BB10-A04C-BBFA-645D2AB33FAE}" type="presParOf" srcId="{5FAA615B-DC16-4348-82D2-C9373C3C4F78}" destId="{D02FB056-A174-4D5C-9C73-95B0EC7AA2FF}" srcOrd="2" destOrd="0" presId="urn:microsoft.com/office/officeart/2009/3/layout/HorizontalOrganizationChart"/>
    <dgm:cxn modelId="{286D358E-3C90-EA43-88CF-42442E878300}" type="presParOf" srcId="{74665B56-3489-4B7B-8C2F-4B391FA5B662}" destId="{1019D53B-4C42-4554-8D24-B44876DBC9D2}" srcOrd="4" destOrd="0" presId="urn:microsoft.com/office/officeart/2009/3/layout/HorizontalOrganizationChart"/>
    <dgm:cxn modelId="{4DECCA7A-2800-604E-90BB-793FD48FF9BB}" type="presParOf" srcId="{74665B56-3489-4B7B-8C2F-4B391FA5B662}" destId="{CD5D1BA6-354D-40C2-9355-C42FED06C5F5}" srcOrd="5" destOrd="0" presId="urn:microsoft.com/office/officeart/2009/3/layout/HorizontalOrganizationChart"/>
    <dgm:cxn modelId="{9F9CF13A-01B5-A542-99D5-8525788F910C}" type="presParOf" srcId="{CD5D1BA6-354D-40C2-9355-C42FED06C5F5}" destId="{D796F90F-6B1C-4826-964B-9E1BE5D8A6AF}" srcOrd="0" destOrd="0" presId="urn:microsoft.com/office/officeart/2009/3/layout/HorizontalOrganizationChart"/>
    <dgm:cxn modelId="{A6E10420-26D1-D54A-8356-834332618319}" type="presParOf" srcId="{D796F90F-6B1C-4826-964B-9E1BE5D8A6AF}" destId="{3A0DD6C7-651B-4C5E-AD41-BC80511AF8EC}" srcOrd="0" destOrd="0" presId="urn:microsoft.com/office/officeart/2009/3/layout/HorizontalOrganizationChart"/>
    <dgm:cxn modelId="{38B4EE58-F380-5B40-B05E-1B8D081E6982}" type="presParOf" srcId="{D796F90F-6B1C-4826-964B-9E1BE5D8A6AF}" destId="{96479697-D92D-4A72-8D4E-0E2240CE7034}" srcOrd="1" destOrd="0" presId="urn:microsoft.com/office/officeart/2009/3/layout/HorizontalOrganizationChart"/>
    <dgm:cxn modelId="{686F5D73-F944-9E45-864F-2291874AD7C6}" type="presParOf" srcId="{CD5D1BA6-354D-40C2-9355-C42FED06C5F5}" destId="{4F162216-FA16-4B5B-B393-906F0A02277A}" srcOrd="1" destOrd="0" presId="urn:microsoft.com/office/officeart/2009/3/layout/HorizontalOrganizationChart"/>
    <dgm:cxn modelId="{6ABDAA9E-924C-DE4A-BEA3-06ED9402CD7F}" type="presParOf" srcId="{4F162216-FA16-4B5B-B393-906F0A02277A}" destId="{DEF900BF-79F2-4345-A449-EBE90F87A58B}" srcOrd="0" destOrd="0" presId="urn:microsoft.com/office/officeart/2009/3/layout/HorizontalOrganizationChart"/>
    <dgm:cxn modelId="{94A8589E-D11D-FF42-93C3-04BF517D2760}" type="presParOf" srcId="{4F162216-FA16-4B5B-B393-906F0A02277A}" destId="{D7961190-5826-4070-965C-66711A2B1B59}" srcOrd="1" destOrd="0" presId="urn:microsoft.com/office/officeart/2009/3/layout/HorizontalOrganizationChart"/>
    <dgm:cxn modelId="{32E315A6-209A-9E48-B2D0-C3579747885C}" type="presParOf" srcId="{D7961190-5826-4070-965C-66711A2B1B59}" destId="{380807EB-3105-4A4D-AD8E-A43971B895BC}" srcOrd="0" destOrd="0" presId="urn:microsoft.com/office/officeart/2009/3/layout/HorizontalOrganizationChart"/>
    <dgm:cxn modelId="{02BA28C1-3074-BE4D-A8CD-7131BB943DD4}" type="presParOf" srcId="{380807EB-3105-4A4D-AD8E-A43971B895BC}" destId="{98945378-A21B-4280-80CB-A676109851FB}" srcOrd="0" destOrd="0" presId="urn:microsoft.com/office/officeart/2009/3/layout/HorizontalOrganizationChart"/>
    <dgm:cxn modelId="{110D2896-3012-0548-B24A-D3AE43DE7D91}" type="presParOf" srcId="{380807EB-3105-4A4D-AD8E-A43971B895BC}" destId="{2A06C30F-5AF7-4545-81D9-6B1C232AFA00}" srcOrd="1" destOrd="0" presId="urn:microsoft.com/office/officeart/2009/3/layout/HorizontalOrganizationChart"/>
    <dgm:cxn modelId="{15E780CE-21DE-3944-8304-18D8F4C05B98}" type="presParOf" srcId="{D7961190-5826-4070-965C-66711A2B1B59}" destId="{C6BE3C6D-B936-48D5-8601-471AF653DC80}" srcOrd="1" destOrd="0" presId="urn:microsoft.com/office/officeart/2009/3/layout/HorizontalOrganizationChart"/>
    <dgm:cxn modelId="{A1F9675A-4C73-2044-B147-D08F0A7AC5BD}" type="presParOf" srcId="{D7961190-5826-4070-965C-66711A2B1B59}" destId="{FE3D7033-C911-45FA-A028-1FA9B324B6D2}" srcOrd="2" destOrd="0" presId="urn:microsoft.com/office/officeart/2009/3/layout/HorizontalOrganizationChart"/>
    <dgm:cxn modelId="{543BA3A7-A2BC-DB43-A51B-D3B6F86DA6E3}" type="presParOf" srcId="{4F162216-FA16-4B5B-B393-906F0A02277A}" destId="{0FDCB297-A5A3-46E2-B6FC-377DF77C79DC}" srcOrd="2" destOrd="0" presId="urn:microsoft.com/office/officeart/2009/3/layout/HorizontalOrganizationChart"/>
    <dgm:cxn modelId="{79598F80-E772-9446-A36C-40A79162C1F5}" type="presParOf" srcId="{4F162216-FA16-4B5B-B393-906F0A02277A}" destId="{5A1989DD-6CF5-414F-ACDC-3E1DDB7FD441}" srcOrd="3" destOrd="0" presId="urn:microsoft.com/office/officeart/2009/3/layout/HorizontalOrganizationChart"/>
    <dgm:cxn modelId="{E2BBF872-182D-DD40-960C-73678A9F8FD7}" type="presParOf" srcId="{5A1989DD-6CF5-414F-ACDC-3E1DDB7FD441}" destId="{AE0E906B-E240-470F-81B2-871DC6A752C2}" srcOrd="0" destOrd="0" presId="urn:microsoft.com/office/officeart/2009/3/layout/HorizontalOrganizationChart"/>
    <dgm:cxn modelId="{5E485DD7-32A1-8D41-B0CF-D2216E36F4AA}" type="presParOf" srcId="{AE0E906B-E240-470F-81B2-871DC6A752C2}" destId="{24AC995D-2AFF-4E2F-952C-36FC2E97479E}" srcOrd="0" destOrd="0" presId="urn:microsoft.com/office/officeart/2009/3/layout/HorizontalOrganizationChart"/>
    <dgm:cxn modelId="{197FF46E-E5C0-6E46-83C8-A00AB407B5DB}" type="presParOf" srcId="{AE0E906B-E240-470F-81B2-871DC6A752C2}" destId="{D8B7D98D-F1C0-4FF6-B77A-6D5CDB22B6C7}" srcOrd="1" destOrd="0" presId="urn:microsoft.com/office/officeart/2009/3/layout/HorizontalOrganizationChart"/>
    <dgm:cxn modelId="{88D7B1CD-DBAC-2D40-9F9D-FD9E5BBF0FF6}" type="presParOf" srcId="{5A1989DD-6CF5-414F-ACDC-3E1DDB7FD441}" destId="{7DA59E1E-D6BC-4789-B71B-8CD12F7CAF2E}" srcOrd="1" destOrd="0" presId="urn:microsoft.com/office/officeart/2009/3/layout/HorizontalOrganizationChart"/>
    <dgm:cxn modelId="{F055DD3F-EC7D-E147-972F-1CC19504FE87}" type="presParOf" srcId="{5A1989DD-6CF5-414F-ACDC-3E1DDB7FD441}" destId="{001ADE7C-AE6A-41D1-875E-BC74CE07B7FB}" srcOrd="2" destOrd="0" presId="urn:microsoft.com/office/officeart/2009/3/layout/HorizontalOrganizationChart"/>
    <dgm:cxn modelId="{098893E2-CCB3-1D4A-9965-00E1AD39CFB5}" type="presParOf" srcId="{4F162216-FA16-4B5B-B393-906F0A02277A}" destId="{C5E4A43A-4C64-479C-A73F-1B744FCCC1E7}" srcOrd="4" destOrd="0" presId="urn:microsoft.com/office/officeart/2009/3/layout/HorizontalOrganizationChart"/>
    <dgm:cxn modelId="{0DC1B3C2-3473-4E4E-BDFF-41370815B08B}" type="presParOf" srcId="{4F162216-FA16-4B5B-B393-906F0A02277A}" destId="{06F46E09-D26D-495B-961E-BE6C50452264}" srcOrd="5" destOrd="0" presId="urn:microsoft.com/office/officeart/2009/3/layout/HorizontalOrganizationChart"/>
    <dgm:cxn modelId="{E3219D45-5C3F-C644-8EE0-56AC4760BD72}" type="presParOf" srcId="{06F46E09-D26D-495B-961E-BE6C50452264}" destId="{52749EAE-D1A5-46E0-A887-B8BCAC5A86A6}" srcOrd="0" destOrd="0" presId="urn:microsoft.com/office/officeart/2009/3/layout/HorizontalOrganizationChart"/>
    <dgm:cxn modelId="{5B88B6D3-4A16-C945-B605-B30717CDF555}" type="presParOf" srcId="{52749EAE-D1A5-46E0-A887-B8BCAC5A86A6}" destId="{2BFDDE3E-6B5B-44E7-A9C6-AB953461AC9B}" srcOrd="0" destOrd="0" presId="urn:microsoft.com/office/officeart/2009/3/layout/HorizontalOrganizationChart"/>
    <dgm:cxn modelId="{510A8072-C1DC-024B-B35F-5C809D98371D}" type="presParOf" srcId="{52749EAE-D1A5-46E0-A887-B8BCAC5A86A6}" destId="{11B3544C-7D83-4340-A550-520493D88422}" srcOrd="1" destOrd="0" presId="urn:microsoft.com/office/officeart/2009/3/layout/HorizontalOrganizationChart"/>
    <dgm:cxn modelId="{B37CC650-4BE8-314F-BAB2-4AA2976EB6CC}" type="presParOf" srcId="{06F46E09-D26D-495B-961E-BE6C50452264}" destId="{38B136BE-382C-4F21-B698-BE3A1CB2C0FF}" srcOrd="1" destOrd="0" presId="urn:microsoft.com/office/officeart/2009/3/layout/HorizontalOrganizationChart"/>
    <dgm:cxn modelId="{E71B85CC-2557-AE49-882D-ECCE14711FC6}" type="presParOf" srcId="{06F46E09-D26D-495B-961E-BE6C50452264}" destId="{6B6D3E19-B651-4BB4-8075-11FF9779FED3}" srcOrd="2" destOrd="0" presId="urn:microsoft.com/office/officeart/2009/3/layout/HorizontalOrganizationChart"/>
    <dgm:cxn modelId="{A3D241EA-9BB9-2B4B-8208-B5EFD343993D}" type="presParOf" srcId="{CD5D1BA6-354D-40C2-9355-C42FED06C5F5}" destId="{09F51E56-9F58-4ABF-A74B-2CBA817FB3C3}" srcOrd="2" destOrd="0" presId="urn:microsoft.com/office/officeart/2009/3/layout/HorizontalOrganizationChart"/>
    <dgm:cxn modelId="{079B0B25-C3D9-1B41-9932-797F93C2700D}" type="presParOf" srcId="{B0A62C8A-E838-4B13-BBF0-FFBEAB2B7AE4}" destId="{181C138C-F966-48EC-919C-3332BCE3E2B5}" srcOrd="2" destOrd="0" presId="urn:microsoft.com/office/officeart/2009/3/layout/HorizontalOrganizationChart"/>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CB75E-C22B-4128-B8FB-A59691427242}">
      <dsp:nvSpPr>
        <dsp:cNvPr id="0" name=""/>
        <dsp:cNvSpPr/>
      </dsp:nvSpPr>
      <dsp:spPr>
        <a:xfrm>
          <a:off x="403717" y="0"/>
          <a:ext cx="4575460" cy="237363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64F17D8-1FA6-4B7D-A549-B638DBC298D4}">
      <dsp:nvSpPr>
        <dsp:cNvPr id="0" name=""/>
        <dsp:cNvSpPr/>
      </dsp:nvSpPr>
      <dsp:spPr>
        <a:xfrm>
          <a:off x="2694" y="712089"/>
          <a:ext cx="1295784" cy="9494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Times New Roman" charset="0"/>
              <a:ea typeface="Times New Roman" charset="0"/>
              <a:cs typeface="Times New Roman" charset="0"/>
            </a:rPr>
            <a:t>The learner states what they did well.</a:t>
          </a:r>
        </a:p>
      </dsp:txBody>
      <dsp:txXfrm>
        <a:off x="49042" y="758437"/>
        <a:ext cx="1203088" cy="856756"/>
      </dsp:txXfrm>
    </dsp:sp>
    <dsp:sp modelId="{829118B1-DEAF-4875-A1BA-1C0FED553291}">
      <dsp:nvSpPr>
        <dsp:cNvPr id="0" name=""/>
        <dsp:cNvSpPr/>
      </dsp:nvSpPr>
      <dsp:spPr>
        <a:xfrm>
          <a:off x="1363268" y="712089"/>
          <a:ext cx="1295784" cy="9494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Times New Roman" charset="0"/>
              <a:ea typeface="Times New Roman" charset="0"/>
              <a:cs typeface="Times New Roman" charset="0"/>
            </a:rPr>
            <a:t>The observer states what the learner did well.</a:t>
          </a:r>
        </a:p>
      </dsp:txBody>
      <dsp:txXfrm>
        <a:off x="1409616" y="758437"/>
        <a:ext cx="1203088" cy="856756"/>
      </dsp:txXfrm>
    </dsp:sp>
    <dsp:sp modelId="{ABBC04BA-FA4F-40A3-B29F-0883A4C0CEB5}">
      <dsp:nvSpPr>
        <dsp:cNvPr id="0" name=""/>
        <dsp:cNvSpPr/>
      </dsp:nvSpPr>
      <dsp:spPr>
        <a:xfrm>
          <a:off x="2723842" y="712089"/>
          <a:ext cx="1295784" cy="9494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Times New Roman" charset="0"/>
              <a:ea typeface="Times New Roman" charset="0"/>
              <a:cs typeface="Times New Roman" charset="0"/>
            </a:rPr>
            <a:t>The learner states what could be improved.</a:t>
          </a:r>
        </a:p>
      </dsp:txBody>
      <dsp:txXfrm>
        <a:off x="2770190" y="758437"/>
        <a:ext cx="1203088" cy="856756"/>
      </dsp:txXfrm>
    </dsp:sp>
    <dsp:sp modelId="{739B5ABE-A741-4E44-B41B-5837622993EA}">
      <dsp:nvSpPr>
        <dsp:cNvPr id="0" name=""/>
        <dsp:cNvSpPr/>
      </dsp:nvSpPr>
      <dsp:spPr>
        <a:xfrm>
          <a:off x="4084416" y="712089"/>
          <a:ext cx="1295784" cy="9494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Times New Roman" charset="0"/>
              <a:ea typeface="Times New Roman" charset="0"/>
              <a:cs typeface="Times New Roman" charset="0"/>
            </a:rPr>
            <a:t>The observer states what could be improved, and how this might be achieved.</a:t>
          </a:r>
        </a:p>
      </dsp:txBody>
      <dsp:txXfrm>
        <a:off x="4130764" y="758437"/>
        <a:ext cx="1203088" cy="8567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4A43A-4C64-479C-A73F-1B744FCCC1E7}">
      <dsp:nvSpPr>
        <dsp:cNvPr id="0" name=""/>
        <dsp:cNvSpPr/>
      </dsp:nvSpPr>
      <dsp:spPr>
        <a:xfrm>
          <a:off x="1592083" y="7020459"/>
          <a:ext cx="315192" cy="677663"/>
        </a:xfrm>
        <a:custGeom>
          <a:avLst/>
          <a:gdLst/>
          <a:ahLst/>
          <a:cxnLst/>
          <a:rect l="0" t="0" r="0" b="0"/>
          <a:pathLst>
            <a:path>
              <a:moveTo>
                <a:pt x="0" y="0"/>
              </a:moveTo>
              <a:lnTo>
                <a:pt x="157596" y="0"/>
              </a:lnTo>
              <a:lnTo>
                <a:pt x="157596" y="677663"/>
              </a:lnTo>
              <a:lnTo>
                <a:pt x="315192" y="67766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CB297-A5A3-46E2-B6FC-377DF77C79DC}">
      <dsp:nvSpPr>
        <dsp:cNvPr id="0" name=""/>
        <dsp:cNvSpPr/>
      </dsp:nvSpPr>
      <dsp:spPr>
        <a:xfrm>
          <a:off x="1592083" y="6974739"/>
          <a:ext cx="315192" cy="91440"/>
        </a:xfrm>
        <a:custGeom>
          <a:avLst/>
          <a:gdLst/>
          <a:ahLst/>
          <a:cxnLst/>
          <a:rect l="0" t="0" r="0" b="0"/>
          <a:pathLst>
            <a:path>
              <a:moveTo>
                <a:pt x="0" y="45720"/>
              </a:moveTo>
              <a:lnTo>
                <a:pt x="315192"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900BF-79F2-4345-A449-EBE90F87A58B}">
      <dsp:nvSpPr>
        <dsp:cNvPr id="0" name=""/>
        <dsp:cNvSpPr/>
      </dsp:nvSpPr>
      <dsp:spPr>
        <a:xfrm>
          <a:off x="1592083" y="6342795"/>
          <a:ext cx="315192" cy="677663"/>
        </a:xfrm>
        <a:custGeom>
          <a:avLst/>
          <a:gdLst/>
          <a:ahLst/>
          <a:cxnLst/>
          <a:rect l="0" t="0" r="0" b="0"/>
          <a:pathLst>
            <a:path>
              <a:moveTo>
                <a:pt x="0" y="677663"/>
              </a:moveTo>
              <a:lnTo>
                <a:pt x="157596" y="677663"/>
              </a:lnTo>
              <a:lnTo>
                <a:pt x="157596" y="0"/>
              </a:lnTo>
              <a:lnTo>
                <a:pt x="3151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C3B1E-A9B8-4FB8-A11C-2039A281B58E}">
      <dsp:nvSpPr>
        <dsp:cNvPr id="0" name=""/>
        <dsp:cNvSpPr/>
      </dsp:nvSpPr>
      <dsp:spPr>
        <a:xfrm>
          <a:off x="1592083" y="4987468"/>
          <a:ext cx="315192" cy="677663"/>
        </a:xfrm>
        <a:custGeom>
          <a:avLst/>
          <a:gdLst/>
          <a:ahLst/>
          <a:cxnLst/>
          <a:rect l="0" t="0" r="0" b="0"/>
          <a:pathLst>
            <a:path>
              <a:moveTo>
                <a:pt x="0" y="0"/>
              </a:moveTo>
              <a:lnTo>
                <a:pt x="157596" y="0"/>
              </a:lnTo>
              <a:lnTo>
                <a:pt x="157596" y="677663"/>
              </a:lnTo>
              <a:lnTo>
                <a:pt x="315192" y="67766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E3678-FDF8-4C21-B98F-415CE0369EF4}">
      <dsp:nvSpPr>
        <dsp:cNvPr id="0" name=""/>
        <dsp:cNvSpPr/>
      </dsp:nvSpPr>
      <dsp:spPr>
        <a:xfrm>
          <a:off x="1592083" y="4941748"/>
          <a:ext cx="315192" cy="91440"/>
        </a:xfrm>
        <a:custGeom>
          <a:avLst/>
          <a:gdLst/>
          <a:ahLst/>
          <a:cxnLst/>
          <a:rect l="0" t="0" r="0" b="0"/>
          <a:pathLst>
            <a:path>
              <a:moveTo>
                <a:pt x="0" y="45720"/>
              </a:moveTo>
              <a:lnTo>
                <a:pt x="315192"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6F2B2E-67BB-4DEB-9034-A485A9ECD8BD}">
      <dsp:nvSpPr>
        <dsp:cNvPr id="0" name=""/>
        <dsp:cNvSpPr/>
      </dsp:nvSpPr>
      <dsp:spPr>
        <a:xfrm>
          <a:off x="1592083" y="4309804"/>
          <a:ext cx="315192" cy="677663"/>
        </a:xfrm>
        <a:custGeom>
          <a:avLst/>
          <a:gdLst/>
          <a:ahLst/>
          <a:cxnLst/>
          <a:rect l="0" t="0" r="0" b="0"/>
          <a:pathLst>
            <a:path>
              <a:moveTo>
                <a:pt x="0" y="677663"/>
              </a:moveTo>
              <a:lnTo>
                <a:pt x="157596" y="677663"/>
              </a:lnTo>
              <a:lnTo>
                <a:pt x="157596" y="0"/>
              </a:lnTo>
              <a:lnTo>
                <a:pt x="3151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F2D369-10E8-421C-A470-666F7240610E}">
      <dsp:nvSpPr>
        <dsp:cNvPr id="0" name=""/>
        <dsp:cNvSpPr/>
      </dsp:nvSpPr>
      <dsp:spPr>
        <a:xfrm>
          <a:off x="1592083" y="2954476"/>
          <a:ext cx="315192" cy="677663"/>
        </a:xfrm>
        <a:custGeom>
          <a:avLst/>
          <a:gdLst/>
          <a:ahLst/>
          <a:cxnLst/>
          <a:rect l="0" t="0" r="0" b="0"/>
          <a:pathLst>
            <a:path>
              <a:moveTo>
                <a:pt x="0" y="0"/>
              </a:moveTo>
              <a:lnTo>
                <a:pt x="157596" y="0"/>
              </a:lnTo>
              <a:lnTo>
                <a:pt x="157596" y="677663"/>
              </a:lnTo>
              <a:lnTo>
                <a:pt x="315192" y="67766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9FBF78-203E-41E1-AF18-8C705D615E08}">
      <dsp:nvSpPr>
        <dsp:cNvPr id="0" name=""/>
        <dsp:cNvSpPr/>
      </dsp:nvSpPr>
      <dsp:spPr>
        <a:xfrm>
          <a:off x="1592083" y="2908756"/>
          <a:ext cx="315192" cy="91440"/>
        </a:xfrm>
        <a:custGeom>
          <a:avLst/>
          <a:gdLst/>
          <a:ahLst/>
          <a:cxnLst/>
          <a:rect l="0" t="0" r="0" b="0"/>
          <a:pathLst>
            <a:path>
              <a:moveTo>
                <a:pt x="0" y="45720"/>
              </a:moveTo>
              <a:lnTo>
                <a:pt x="315192"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3764B-84CE-4A48-B980-9DB47AAAD088}">
      <dsp:nvSpPr>
        <dsp:cNvPr id="0" name=""/>
        <dsp:cNvSpPr/>
      </dsp:nvSpPr>
      <dsp:spPr>
        <a:xfrm>
          <a:off x="1592083" y="2276812"/>
          <a:ext cx="315192" cy="677663"/>
        </a:xfrm>
        <a:custGeom>
          <a:avLst/>
          <a:gdLst/>
          <a:ahLst/>
          <a:cxnLst/>
          <a:rect l="0" t="0" r="0" b="0"/>
          <a:pathLst>
            <a:path>
              <a:moveTo>
                <a:pt x="0" y="677663"/>
              </a:moveTo>
              <a:lnTo>
                <a:pt x="157596" y="677663"/>
              </a:lnTo>
              <a:lnTo>
                <a:pt x="157596" y="0"/>
              </a:lnTo>
              <a:lnTo>
                <a:pt x="3151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FFF24-367A-43A6-98E2-EA6A49E72BB0}">
      <dsp:nvSpPr>
        <dsp:cNvPr id="0" name=""/>
        <dsp:cNvSpPr/>
      </dsp:nvSpPr>
      <dsp:spPr>
        <a:xfrm>
          <a:off x="1592083" y="921485"/>
          <a:ext cx="315192" cy="677663"/>
        </a:xfrm>
        <a:custGeom>
          <a:avLst/>
          <a:gdLst/>
          <a:ahLst/>
          <a:cxnLst/>
          <a:rect l="0" t="0" r="0" b="0"/>
          <a:pathLst>
            <a:path>
              <a:moveTo>
                <a:pt x="0" y="0"/>
              </a:moveTo>
              <a:lnTo>
                <a:pt x="157596" y="0"/>
              </a:lnTo>
              <a:lnTo>
                <a:pt x="157596" y="677663"/>
              </a:lnTo>
              <a:lnTo>
                <a:pt x="315192" y="67766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F5715-D4DE-496D-97D8-8AD9E1FE12E6}">
      <dsp:nvSpPr>
        <dsp:cNvPr id="0" name=""/>
        <dsp:cNvSpPr/>
      </dsp:nvSpPr>
      <dsp:spPr>
        <a:xfrm>
          <a:off x="1592083" y="875765"/>
          <a:ext cx="315192" cy="91440"/>
        </a:xfrm>
        <a:custGeom>
          <a:avLst/>
          <a:gdLst/>
          <a:ahLst/>
          <a:cxnLst/>
          <a:rect l="0" t="0" r="0" b="0"/>
          <a:pathLst>
            <a:path>
              <a:moveTo>
                <a:pt x="0" y="45720"/>
              </a:moveTo>
              <a:lnTo>
                <a:pt x="315192"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7C49D5-6676-4055-A8DA-E5AE27ABDC9E}">
      <dsp:nvSpPr>
        <dsp:cNvPr id="0" name=""/>
        <dsp:cNvSpPr/>
      </dsp:nvSpPr>
      <dsp:spPr>
        <a:xfrm>
          <a:off x="3483238" y="198101"/>
          <a:ext cx="315192" cy="91440"/>
        </a:xfrm>
        <a:custGeom>
          <a:avLst/>
          <a:gdLst/>
          <a:ahLst/>
          <a:cxnLst/>
          <a:rect l="0" t="0" r="0" b="0"/>
          <a:pathLst>
            <a:path>
              <a:moveTo>
                <a:pt x="0" y="45720"/>
              </a:moveTo>
              <a:lnTo>
                <a:pt x="315192"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C414C-CB3E-45A1-99CA-FCD9F0AA8563}">
      <dsp:nvSpPr>
        <dsp:cNvPr id="0" name=""/>
        <dsp:cNvSpPr/>
      </dsp:nvSpPr>
      <dsp:spPr>
        <a:xfrm>
          <a:off x="1592083" y="243821"/>
          <a:ext cx="315192" cy="677663"/>
        </a:xfrm>
        <a:custGeom>
          <a:avLst/>
          <a:gdLst/>
          <a:ahLst/>
          <a:cxnLst/>
          <a:rect l="0" t="0" r="0" b="0"/>
          <a:pathLst>
            <a:path>
              <a:moveTo>
                <a:pt x="0" y="677663"/>
              </a:moveTo>
              <a:lnTo>
                <a:pt x="157596" y="677663"/>
              </a:lnTo>
              <a:lnTo>
                <a:pt x="157596" y="0"/>
              </a:lnTo>
              <a:lnTo>
                <a:pt x="3151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53CB51-B998-423A-B4C0-9E5096FB9448}">
      <dsp:nvSpPr>
        <dsp:cNvPr id="0" name=""/>
        <dsp:cNvSpPr/>
      </dsp:nvSpPr>
      <dsp:spPr>
        <a:xfrm>
          <a:off x="16121" y="681151"/>
          <a:ext cx="1575962" cy="48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Contextual and situational</a:t>
          </a:r>
        </a:p>
      </dsp:txBody>
      <dsp:txXfrm>
        <a:off x="16121" y="681151"/>
        <a:ext cx="1575962" cy="480668"/>
      </dsp:txXfrm>
    </dsp:sp>
    <dsp:sp modelId="{A90E4103-FEEB-4839-A9BC-4A41836E94E1}">
      <dsp:nvSpPr>
        <dsp:cNvPr id="0" name=""/>
        <dsp:cNvSpPr/>
      </dsp:nvSpPr>
      <dsp:spPr>
        <a:xfrm>
          <a:off x="1907276" y="3487"/>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Nature of the workplace</a:t>
          </a:r>
        </a:p>
      </dsp:txBody>
      <dsp:txXfrm>
        <a:off x="1907276" y="3487"/>
        <a:ext cx="1575962" cy="480668"/>
      </dsp:txXfrm>
    </dsp:sp>
    <dsp:sp modelId="{E5148943-BC59-4D95-9AA7-80EBA1AA2324}">
      <dsp:nvSpPr>
        <dsp:cNvPr id="0" name=""/>
        <dsp:cNvSpPr/>
      </dsp:nvSpPr>
      <dsp:spPr>
        <a:xfrm>
          <a:off x="3798431" y="3487"/>
          <a:ext cx="1575962" cy="48066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Authenticity</a:t>
          </a:r>
        </a:p>
      </dsp:txBody>
      <dsp:txXfrm>
        <a:off x="3798431" y="3487"/>
        <a:ext cx="1575962" cy="480668"/>
      </dsp:txXfrm>
    </dsp:sp>
    <dsp:sp modelId="{18FA3649-2AF0-4B11-AF37-492C7DB351F7}">
      <dsp:nvSpPr>
        <dsp:cNvPr id="0" name=""/>
        <dsp:cNvSpPr/>
      </dsp:nvSpPr>
      <dsp:spPr>
        <a:xfrm>
          <a:off x="1907276" y="681151"/>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Workplace culture</a:t>
          </a:r>
        </a:p>
      </dsp:txBody>
      <dsp:txXfrm>
        <a:off x="1907276" y="681151"/>
        <a:ext cx="1575962" cy="480668"/>
      </dsp:txXfrm>
    </dsp:sp>
    <dsp:sp modelId="{4AC7CFDA-0C30-4871-B2E1-CD79E2B31341}">
      <dsp:nvSpPr>
        <dsp:cNvPr id="0" name=""/>
        <dsp:cNvSpPr/>
      </dsp:nvSpPr>
      <dsp:spPr>
        <a:xfrm>
          <a:off x="1907276" y="1358814"/>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Role within the team</a:t>
          </a:r>
        </a:p>
      </dsp:txBody>
      <dsp:txXfrm>
        <a:off x="1907276" y="1358814"/>
        <a:ext cx="1575962" cy="480668"/>
      </dsp:txXfrm>
    </dsp:sp>
    <dsp:sp modelId="{A0221534-758E-4AC4-B609-C169E4C779E5}">
      <dsp:nvSpPr>
        <dsp:cNvPr id="0" name=""/>
        <dsp:cNvSpPr/>
      </dsp:nvSpPr>
      <dsp:spPr>
        <a:xfrm>
          <a:off x="16121" y="2714142"/>
          <a:ext cx="1575962" cy="48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Stage of learning and development</a:t>
          </a:r>
        </a:p>
      </dsp:txBody>
      <dsp:txXfrm>
        <a:off x="16121" y="2714142"/>
        <a:ext cx="1575962" cy="480668"/>
      </dsp:txXfrm>
    </dsp:sp>
    <dsp:sp modelId="{6AA62E2A-8C27-495D-861F-F52E10AA77DC}">
      <dsp:nvSpPr>
        <dsp:cNvPr id="0" name=""/>
        <dsp:cNvSpPr/>
      </dsp:nvSpPr>
      <dsp:spPr>
        <a:xfrm>
          <a:off x="1907276" y="2036478"/>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Learning priorities</a:t>
          </a:r>
        </a:p>
      </dsp:txBody>
      <dsp:txXfrm>
        <a:off x="1907276" y="2036478"/>
        <a:ext cx="1575962" cy="480668"/>
      </dsp:txXfrm>
    </dsp:sp>
    <dsp:sp modelId="{BFCD994E-DB0D-4C72-B943-92BC23462DCB}">
      <dsp:nvSpPr>
        <dsp:cNvPr id="0" name=""/>
        <dsp:cNvSpPr/>
      </dsp:nvSpPr>
      <dsp:spPr>
        <a:xfrm>
          <a:off x="1907276" y="2714142"/>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Personal and professional progression</a:t>
          </a:r>
        </a:p>
      </dsp:txBody>
      <dsp:txXfrm>
        <a:off x="1907276" y="2714142"/>
        <a:ext cx="1575962" cy="480668"/>
      </dsp:txXfrm>
    </dsp:sp>
    <dsp:sp modelId="{4554FDC6-C36B-4848-8FC0-D4A17277810E}">
      <dsp:nvSpPr>
        <dsp:cNvPr id="0" name=""/>
        <dsp:cNvSpPr/>
      </dsp:nvSpPr>
      <dsp:spPr>
        <a:xfrm>
          <a:off x="1907276" y="3391806"/>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ILOs and expectations of placement</a:t>
          </a:r>
        </a:p>
      </dsp:txBody>
      <dsp:txXfrm>
        <a:off x="1907276" y="3391806"/>
        <a:ext cx="1575962" cy="480668"/>
      </dsp:txXfrm>
    </dsp:sp>
    <dsp:sp modelId="{466C0039-FE30-4D47-8335-FD25D7D99303}">
      <dsp:nvSpPr>
        <dsp:cNvPr id="0" name=""/>
        <dsp:cNvSpPr/>
      </dsp:nvSpPr>
      <dsp:spPr>
        <a:xfrm>
          <a:off x="16121" y="4747133"/>
          <a:ext cx="1575962" cy="48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Supervisors</a:t>
          </a:r>
        </a:p>
      </dsp:txBody>
      <dsp:txXfrm>
        <a:off x="16121" y="4747133"/>
        <a:ext cx="1575962" cy="480668"/>
      </dsp:txXfrm>
    </dsp:sp>
    <dsp:sp modelId="{D0285795-9A68-4830-902F-8045D6C11644}">
      <dsp:nvSpPr>
        <dsp:cNvPr id="0" name=""/>
        <dsp:cNvSpPr/>
      </dsp:nvSpPr>
      <dsp:spPr>
        <a:xfrm>
          <a:off x="1907276" y="4069470"/>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Perceived relationship</a:t>
          </a:r>
        </a:p>
      </dsp:txBody>
      <dsp:txXfrm>
        <a:off x="1907276" y="4069470"/>
        <a:ext cx="1575962" cy="480668"/>
      </dsp:txXfrm>
    </dsp:sp>
    <dsp:sp modelId="{1670844D-F97E-402F-93A8-C359DFA529D0}">
      <dsp:nvSpPr>
        <dsp:cNvPr id="0" name=""/>
        <dsp:cNvSpPr/>
      </dsp:nvSpPr>
      <dsp:spPr>
        <a:xfrm>
          <a:off x="1907276" y="4747133"/>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Credibility</a:t>
          </a:r>
        </a:p>
      </dsp:txBody>
      <dsp:txXfrm>
        <a:off x="1907276" y="4747133"/>
        <a:ext cx="1575962" cy="480668"/>
      </dsp:txXfrm>
    </dsp:sp>
    <dsp:sp modelId="{E428E084-A439-4806-8E07-16103A28398B}">
      <dsp:nvSpPr>
        <dsp:cNvPr id="0" name=""/>
        <dsp:cNvSpPr/>
      </dsp:nvSpPr>
      <dsp:spPr>
        <a:xfrm>
          <a:off x="1907276" y="5424797"/>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Perception of staff workload</a:t>
          </a:r>
        </a:p>
      </dsp:txBody>
      <dsp:txXfrm>
        <a:off x="1907276" y="5424797"/>
        <a:ext cx="1575962" cy="480668"/>
      </dsp:txXfrm>
    </dsp:sp>
    <dsp:sp modelId="{8CB44B07-2348-41C4-8E99-ABA0B7F58AEE}">
      <dsp:nvSpPr>
        <dsp:cNvPr id="0" name=""/>
        <dsp:cNvSpPr/>
      </dsp:nvSpPr>
      <dsp:spPr>
        <a:xfrm>
          <a:off x="16121" y="6780125"/>
          <a:ext cx="1575962" cy="48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Individual learner</a:t>
          </a:r>
        </a:p>
      </dsp:txBody>
      <dsp:txXfrm>
        <a:off x="16121" y="6780125"/>
        <a:ext cx="1575962" cy="480668"/>
      </dsp:txXfrm>
    </dsp:sp>
    <dsp:sp modelId="{98945378-A21B-4280-80CB-A676109851FB}">
      <dsp:nvSpPr>
        <dsp:cNvPr id="0" name=""/>
        <dsp:cNvSpPr/>
      </dsp:nvSpPr>
      <dsp:spPr>
        <a:xfrm>
          <a:off x="1907276" y="6102461"/>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Motivational beliefs</a:t>
          </a:r>
        </a:p>
      </dsp:txBody>
      <dsp:txXfrm>
        <a:off x="1907276" y="6102461"/>
        <a:ext cx="1575962" cy="480668"/>
      </dsp:txXfrm>
    </dsp:sp>
    <dsp:sp modelId="{24AC995D-2AFF-4E2F-952C-36FC2E97479E}">
      <dsp:nvSpPr>
        <dsp:cNvPr id="0" name=""/>
        <dsp:cNvSpPr/>
      </dsp:nvSpPr>
      <dsp:spPr>
        <a:xfrm>
          <a:off x="1907276" y="6780125"/>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Planning and monitoring</a:t>
          </a:r>
        </a:p>
      </dsp:txBody>
      <dsp:txXfrm>
        <a:off x="1907276" y="6780125"/>
        <a:ext cx="1575962" cy="480668"/>
      </dsp:txXfrm>
    </dsp:sp>
    <dsp:sp modelId="{2BFDDE3E-6B5B-44E7-A9C6-AB953461AC9B}">
      <dsp:nvSpPr>
        <dsp:cNvPr id="0" name=""/>
        <dsp:cNvSpPr/>
      </dsp:nvSpPr>
      <dsp:spPr>
        <a:xfrm>
          <a:off x="1907276" y="7457789"/>
          <a:ext cx="1575962" cy="4806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Self-evaluation</a:t>
          </a:r>
        </a:p>
      </dsp:txBody>
      <dsp:txXfrm>
        <a:off x="1907276" y="7457789"/>
        <a:ext cx="1575962" cy="480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94334-E271-464A-B7BF-821C7FBC1EE5}">
      <dsp:nvSpPr>
        <dsp:cNvPr id="0" name=""/>
        <dsp:cNvSpPr/>
      </dsp:nvSpPr>
      <dsp:spPr>
        <a:xfrm>
          <a:off x="1292927" y="414405"/>
          <a:ext cx="2762114" cy="2762114"/>
        </a:xfrm>
        <a:prstGeom prst="blockArc">
          <a:avLst>
            <a:gd name="adj1" fmla="val 108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CBCD79-DACA-459D-8DB8-58C7CC4E16D3}">
      <dsp:nvSpPr>
        <dsp:cNvPr id="0" name=""/>
        <dsp:cNvSpPr/>
      </dsp:nvSpPr>
      <dsp:spPr>
        <a:xfrm>
          <a:off x="1292927" y="414405"/>
          <a:ext cx="2762114" cy="2762114"/>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5C20FA-CE6A-4A2E-B5C3-3A2A4C851E7B}">
      <dsp:nvSpPr>
        <dsp:cNvPr id="0" name=""/>
        <dsp:cNvSpPr/>
      </dsp:nvSpPr>
      <dsp:spPr>
        <a:xfrm>
          <a:off x="1292927" y="414405"/>
          <a:ext cx="2762114" cy="2762114"/>
        </a:xfrm>
        <a:prstGeom prst="blockArc">
          <a:avLst>
            <a:gd name="adj1" fmla="val 0"/>
            <a:gd name="adj2" fmla="val 54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1ABB9B-FC82-47C1-8FCB-B149877B263B}">
      <dsp:nvSpPr>
        <dsp:cNvPr id="0" name=""/>
        <dsp:cNvSpPr/>
      </dsp:nvSpPr>
      <dsp:spPr>
        <a:xfrm>
          <a:off x="1292927" y="414405"/>
          <a:ext cx="2762114" cy="2762114"/>
        </a:xfrm>
        <a:prstGeom prst="blockArc">
          <a:avLst>
            <a:gd name="adj1" fmla="val 16200000"/>
            <a:gd name="adj2" fmla="val 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4BCABE-A9DC-44F4-91C6-1E5B21FD0430}">
      <dsp:nvSpPr>
        <dsp:cNvPr id="0" name=""/>
        <dsp:cNvSpPr/>
      </dsp:nvSpPr>
      <dsp:spPr>
        <a:xfrm>
          <a:off x="2038130" y="1159607"/>
          <a:ext cx="1271709" cy="12717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latin typeface="Times New Roman" panose="02020603050405020304" pitchFamily="18" charset="0"/>
              <a:cs typeface="Times New Roman" panose="02020603050405020304" pitchFamily="18" charset="0"/>
            </a:rPr>
            <a:t>SRL Theory</a:t>
          </a:r>
        </a:p>
      </dsp:txBody>
      <dsp:txXfrm>
        <a:off x="2224367" y="1345844"/>
        <a:ext cx="899235" cy="899235"/>
      </dsp:txXfrm>
    </dsp:sp>
    <dsp:sp modelId="{204EF7C6-CC98-4C53-A39D-39C73E07F5A2}">
      <dsp:nvSpPr>
        <dsp:cNvPr id="0" name=""/>
        <dsp:cNvSpPr/>
      </dsp:nvSpPr>
      <dsp:spPr>
        <a:xfrm>
          <a:off x="2111994" y="-52836"/>
          <a:ext cx="1123980" cy="9985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Cyclical feedback loop</a:t>
          </a:r>
        </a:p>
      </dsp:txBody>
      <dsp:txXfrm>
        <a:off x="2276597" y="93402"/>
        <a:ext cx="794774" cy="706102"/>
      </dsp:txXfrm>
    </dsp:sp>
    <dsp:sp modelId="{9540A55A-6AE5-452A-8267-746FF77B10B6}">
      <dsp:nvSpPr>
        <dsp:cNvPr id="0" name=""/>
        <dsp:cNvSpPr/>
      </dsp:nvSpPr>
      <dsp:spPr>
        <a:xfrm>
          <a:off x="3461005" y="1296173"/>
          <a:ext cx="1123980" cy="9985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Self-monitoring</a:t>
          </a:r>
        </a:p>
      </dsp:txBody>
      <dsp:txXfrm>
        <a:off x="3625608" y="1442411"/>
        <a:ext cx="794774" cy="706102"/>
      </dsp:txXfrm>
    </dsp:sp>
    <dsp:sp modelId="{ACE6084C-EDBD-4621-9810-90DF8400CBE1}">
      <dsp:nvSpPr>
        <dsp:cNvPr id="0" name=""/>
        <dsp:cNvSpPr/>
      </dsp:nvSpPr>
      <dsp:spPr>
        <a:xfrm>
          <a:off x="2111994" y="2645183"/>
          <a:ext cx="1123980" cy="9985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Goal directed behaviour</a:t>
          </a:r>
        </a:p>
      </dsp:txBody>
      <dsp:txXfrm>
        <a:off x="2276597" y="2791421"/>
        <a:ext cx="794774" cy="706102"/>
      </dsp:txXfrm>
    </dsp:sp>
    <dsp:sp modelId="{D2D40AB3-2D6B-4F13-B920-FFB38D3E54C0}">
      <dsp:nvSpPr>
        <dsp:cNvPr id="0" name=""/>
        <dsp:cNvSpPr/>
      </dsp:nvSpPr>
      <dsp:spPr>
        <a:xfrm>
          <a:off x="762984" y="1296173"/>
          <a:ext cx="1123980" cy="9985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Motivation</a:t>
          </a:r>
        </a:p>
      </dsp:txBody>
      <dsp:txXfrm>
        <a:off x="927587" y="1442411"/>
        <a:ext cx="794774" cy="7061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80C72-3796-4B2F-8BBC-739955A200D1}">
      <dsp:nvSpPr>
        <dsp:cNvPr id="0" name=""/>
        <dsp:cNvSpPr/>
      </dsp:nvSpPr>
      <dsp:spPr>
        <a:xfrm>
          <a:off x="-1705" y="0"/>
          <a:ext cx="39427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latin typeface="Times New Roman" panose="02020603050405020304" pitchFamily="18" charset="0"/>
              <a:cs typeface="Times New Roman" panose="02020603050405020304" pitchFamily="18" charset="0"/>
            </a:rPr>
            <a:t>Paradigm worldview</a:t>
          </a:r>
        </a:p>
        <a:p>
          <a:pPr lvl="0" algn="ctr" defTabSz="666750">
            <a:lnSpc>
              <a:spcPct val="90000"/>
            </a:lnSpc>
            <a:spcBef>
              <a:spcPct val="0"/>
            </a:spcBef>
            <a:spcAft>
              <a:spcPct val="35000"/>
            </a:spcAft>
          </a:pPr>
          <a:r>
            <a:rPr lang="en-GB" sz="1500" kern="1200">
              <a:latin typeface="Times New Roman" panose="02020603050405020304" pitchFamily="18" charset="0"/>
              <a:cs typeface="Times New Roman" panose="02020603050405020304" pitchFamily="18" charset="0"/>
            </a:rPr>
            <a:t>Pragmatism</a:t>
          </a:r>
        </a:p>
      </dsp:txBody>
      <dsp:txXfrm>
        <a:off x="18917" y="20622"/>
        <a:ext cx="3123458" cy="662844"/>
      </dsp:txXfrm>
    </dsp:sp>
    <dsp:sp modelId="{DB796C33-229F-45A7-8976-5FB369BFF0B7}">
      <dsp:nvSpPr>
        <dsp:cNvPr id="0" name=""/>
        <dsp:cNvSpPr/>
      </dsp:nvSpPr>
      <dsp:spPr>
        <a:xfrm>
          <a:off x="328497" y="832104"/>
          <a:ext cx="39427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latin typeface="Times New Roman" panose="02020603050405020304" pitchFamily="18" charset="0"/>
              <a:cs typeface="Times New Roman" panose="02020603050405020304" pitchFamily="18" charset="0"/>
            </a:rPr>
            <a:t>Theoretical lens</a:t>
          </a:r>
        </a:p>
        <a:p>
          <a:pPr lvl="0" algn="ctr" defTabSz="666750">
            <a:lnSpc>
              <a:spcPct val="90000"/>
            </a:lnSpc>
            <a:spcBef>
              <a:spcPct val="0"/>
            </a:spcBef>
            <a:spcAft>
              <a:spcPct val="35000"/>
            </a:spcAft>
          </a:pPr>
          <a:r>
            <a:rPr lang="en-GB" sz="1500" kern="1200">
              <a:latin typeface="Times New Roman" panose="02020603050405020304" pitchFamily="18" charset="0"/>
              <a:cs typeface="Times New Roman" panose="02020603050405020304" pitchFamily="18" charset="0"/>
            </a:rPr>
            <a:t>Self-regulated learning theory</a:t>
          </a:r>
        </a:p>
      </dsp:txBody>
      <dsp:txXfrm>
        <a:off x="349119" y="852726"/>
        <a:ext cx="3113615" cy="662844"/>
      </dsp:txXfrm>
    </dsp:sp>
    <dsp:sp modelId="{6D862A75-32D3-45C2-9C3E-65CEBD847899}">
      <dsp:nvSpPr>
        <dsp:cNvPr id="0" name=""/>
        <dsp:cNvSpPr/>
      </dsp:nvSpPr>
      <dsp:spPr>
        <a:xfrm>
          <a:off x="653771" y="1664208"/>
          <a:ext cx="39427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latin typeface="Times New Roman" panose="02020603050405020304" pitchFamily="18" charset="0"/>
              <a:cs typeface="Times New Roman" panose="02020603050405020304" pitchFamily="18" charset="0"/>
            </a:rPr>
            <a:t>Methodological approach</a:t>
          </a:r>
        </a:p>
        <a:p>
          <a:pPr lvl="0" algn="ctr" defTabSz="666750">
            <a:lnSpc>
              <a:spcPct val="90000"/>
            </a:lnSpc>
            <a:spcBef>
              <a:spcPct val="0"/>
            </a:spcBef>
            <a:spcAft>
              <a:spcPct val="35000"/>
            </a:spcAft>
          </a:pPr>
          <a:r>
            <a:rPr lang="en-GB" sz="1500" kern="1200">
              <a:latin typeface="Times New Roman" panose="02020603050405020304" pitchFamily="18" charset="0"/>
              <a:cs typeface="Times New Roman" panose="02020603050405020304" pitchFamily="18" charset="0"/>
            </a:rPr>
            <a:t>Mixed methodology</a:t>
          </a:r>
        </a:p>
      </dsp:txBody>
      <dsp:txXfrm>
        <a:off x="674393" y="1684830"/>
        <a:ext cx="3118544" cy="662844"/>
      </dsp:txXfrm>
    </dsp:sp>
    <dsp:sp modelId="{F4698915-57A5-456F-B979-14B6226D06A4}">
      <dsp:nvSpPr>
        <dsp:cNvPr id="0" name=""/>
        <dsp:cNvSpPr/>
      </dsp:nvSpPr>
      <dsp:spPr>
        <a:xfrm>
          <a:off x="980564" y="2496312"/>
          <a:ext cx="394954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latin typeface="Times New Roman" panose="02020603050405020304" pitchFamily="18" charset="0"/>
              <a:cs typeface="Times New Roman" panose="02020603050405020304" pitchFamily="18" charset="0"/>
            </a:rPr>
            <a:t>Methods of data generation</a:t>
          </a:r>
        </a:p>
        <a:p>
          <a:pPr lvl="0" algn="ctr" defTabSz="666750">
            <a:lnSpc>
              <a:spcPct val="90000"/>
            </a:lnSpc>
            <a:spcBef>
              <a:spcPct val="0"/>
            </a:spcBef>
            <a:spcAft>
              <a:spcPct val="35000"/>
            </a:spcAft>
          </a:pPr>
          <a:r>
            <a:rPr lang="en-GB" sz="1500" kern="1200">
              <a:latin typeface="Times New Roman" panose="02020603050405020304" pitchFamily="18" charset="0"/>
              <a:cs typeface="Times New Roman" panose="02020603050405020304" pitchFamily="18" charset="0"/>
            </a:rPr>
            <a:t>Surveys, interviews, and focus groups</a:t>
          </a:r>
        </a:p>
      </dsp:txBody>
      <dsp:txXfrm>
        <a:off x="1001186" y="2516934"/>
        <a:ext cx="3119073" cy="662844"/>
      </dsp:txXfrm>
    </dsp:sp>
    <dsp:sp modelId="{523AC4A3-BCFB-41CF-A5E7-63CBE9A24CE9}">
      <dsp:nvSpPr>
        <dsp:cNvPr id="0" name=""/>
        <dsp:cNvSpPr/>
      </dsp:nvSpPr>
      <dsp:spPr>
        <a:xfrm>
          <a:off x="3483357" y="539267"/>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GB" sz="2000" kern="1200"/>
        </a:p>
      </dsp:txBody>
      <dsp:txXfrm>
        <a:off x="3586330" y="539267"/>
        <a:ext cx="251711" cy="344387"/>
      </dsp:txXfrm>
    </dsp:sp>
    <dsp:sp modelId="{C039122D-8A62-45FA-A44C-F4670CEAE89F}">
      <dsp:nvSpPr>
        <dsp:cNvPr id="0" name=""/>
        <dsp:cNvSpPr/>
      </dsp:nvSpPr>
      <dsp:spPr>
        <a:xfrm>
          <a:off x="3813560" y="1371371"/>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GB" sz="2000" kern="1200"/>
        </a:p>
      </dsp:txBody>
      <dsp:txXfrm>
        <a:off x="3916533" y="1371371"/>
        <a:ext cx="251711" cy="344387"/>
      </dsp:txXfrm>
    </dsp:sp>
    <dsp:sp modelId="{4C9C2B47-3532-4F61-AD47-6C30D143DCF0}">
      <dsp:nvSpPr>
        <dsp:cNvPr id="0" name=""/>
        <dsp:cNvSpPr/>
      </dsp:nvSpPr>
      <dsp:spPr>
        <a:xfrm>
          <a:off x="4138834" y="2203475"/>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GB" sz="2000" kern="1200"/>
        </a:p>
      </dsp:txBody>
      <dsp:txXfrm>
        <a:off x="4241807" y="2203475"/>
        <a:ext cx="251711" cy="3443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24E9F-F2EE-4404-86D0-6E37D4D6AEA0}">
      <dsp:nvSpPr>
        <dsp:cNvPr id="0" name=""/>
        <dsp:cNvSpPr/>
      </dsp:nvSpPr>
      <dsp:spPr>
        <a:xfrm>
          <a:off x="0" y="2686419"/>
          <a:ext cx="4220210" cy="4407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Explanation of key concepts/themes</a:t>
          </a:r>
        </a:p>
      </dsp:txBody>
      <dsp:txXfrm>
        <a:off x="0" y="2686419"/>
        <a:ext cx="4220210" cy="440729"/>
      </dsp:txXfrm>
    </dsp:sp>
    <dsp:sp modelId="{01DE0F86-F466-495F-A355-8AEC74763233}">
      <dsp:nvSpPr>
        <dsp:cNvPr id="0" name=""/>
        <dsp:cNvSpPr/>
      </dsp:nvSpPr>
      <dsp:spPr>
        <a:xfrm rot="10800000">
          <a:off x="0" y="2015188"/>
          <a:ext cx="4220210" cy="67784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Thematic chart analysis</a:t>
          </a:r>
        </a:p>
      </dsp:txBody>
      <dsp:txXfrm rot="10800000">
        <a:off x="0" y="2015188"/>
        <a:ext cx="4220210" cy="440441"/>
      </dsp:txXfrm>
    </dsp:sp>
    <dsp:sp modelId="{1631108E-87EF-4BE6-90F8-AB2F69566461}">
      <dsp:nvSpPr>
        <dsp:cNvPr id="0" name=""/>
        <dsp:cNvSpPr/>
      </dsp:nvSpPr>
      <dsp:spPr>
        <a:xfrm rot="10800000">
          <a:off x="0" y="1343957"/>
          <a:ext cx="4220210" cy="67784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Data coding</a:t>
          </a:r>
        </a:p>
      </dsp:txBody>
      <dsp:txXfrm rot="10800000">
        <a:off x="0" y="1343957"/>
        <a:ext cx="4220210" cy="440441"/>
      </dsp:txXfrm>
    </dsp:sp>
    <dsp:sp modelId="{6809986F-C6FC-4A39-B48C-19024DCAD097}">
      <dsp:nvSpPr>
        <dsp:cNvPr id="0" name=""/>
        <dsp:cNvSpPr/>
      </dsp:nvSpPr>
      <dsp:spPr>
        <a:xfrm rot="10800000">
          <a:off x="0" y="672726"/>
          <a:ext cx="4220210" cy="67784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Conceptual framework/coding index</a:t>
          </a:r>
        </a:p>
      </dsp:txBody>
      <dsp:txXfrm rot="10800000">
        <a:off x="0" y="672726"/>
        <a:ext cx="4220210" cy="440441"/>
      </dsp:txXfrm>
    </dsp:sp>
    <dsp:sp modelId="{F7E8048E-DA0D-4838-8DD7-DE684960A8FB}">
      <dsp:nvSpPr>
        <dsp:cNvPr id="0" name=""/>
        <dsp:cNvSpPr/>
      </dsp:nvSpPr>
      <dsp:spPr>
        <a:xfrm rot="10800000">
          <a:off x="0" y="1495"/>
          <a:ext cx="4220210" cy="67784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cs typeface="Times New Roman" panose="02020603050405020304" pitchFamily="18" charset="0"/>
            </a:rPr>
            <a:t>Initial themes/concepts</a:t>
          </a:r>
        </a:p>
      </dsp:txBody>
      <dsp:txXfrm rot="10800000">
        <a:off x="0" y="1495"/>
        <a:ext cx="4220210" cy="4404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0B2AD8-21D2-4CF9-ADF8-A85D61ADDA0A}">
      <dsp:nvSpPr>
        <dsp:cNvPr id="0" name=""/>
        <dsp:cNvSpPr/>
      </dsp:nvSpPr>
      <dsp:spPr>
        <a:xfrm>
          <a:off x="3540" y="328383"/>
          <a:ext cx="1299873" cy="51994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Before</a:t>
          </a:r>
        </a:p>
      </dsp:txBody>
      <dsp:txXfrm>
        <a:off x="263515" y="328383"/>
        <a:ext cx="779924" cy="519949"/>
      </dsp:txXfrm>
    </dsp:sp>
    <dsp:sp modelId="{D3D24D79-164E-4A5F-98A8-26503BE630AF}">
      <dsp:nvSpPr>
        <dsp:cNvPr id="0" name=""/>
        <dsp:cNvSpPr/>
      </dsp:nvSpPr>
      <dsp:spPr>
        <a:xfrm>
          <a:off x="1134429" y="372578"/>
          <a:ext cx="1078894"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Self-efficacy</a:t>
          </a:r>
        </a:p>
      </dsp:txBody>
      <dsp:txXfrm>
        <a:off x="1350208" y="372578"/>
        <a:ext cx="647337" cy="431557"/>
      </dsp:txXfrm>
    </dsp:sp>
    <dsp:sp modelId="{ADC2AC76-704A-44B4-8D22-B7F30B2464C1}">
      <dsp:nvSpPr>
        <dsp:cNvPr id="0" name=""/>
        <dsp:cNvSpPr/>
      </dsp:nvSpPr>
      <dsp:spPr>
        <a:xfrm>
          <a:off x="2062279" y="372578"/>
          <a:ext cx="1078894"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Goal setting</a:t>
          </a:r>
        </a:p>
      </dsp:txBody>
      <dsp:txXfrm>
        <a:off x="2278058" y="372578"/>
        <a:ext cx="647337" cy="431557"/>
      </dsp:txXfrm>
    </dsp:sp>
    <dsp:sp modelId="{58D6972C-05D9-46BF-A009-E7F2E3988656}">
      <dsp:nvSpPr>
        <dsp:cNvPr id="0" name=""/>
        <dsp:cNvSpPr/>
      </dsp:nvSpPr>
      <dsp:spPr>
        <a:xfrm>
          <a:off x="2990128" y="372578"/>
          <a:ext cx="1217748"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Situational awareness</a:t>
          </a:r>
        </a:p>
      </dsp:txBody>
      <dsp:txXfrm>
        <a:off x="3205907" y="372578"/>
        <a:ext cx="786191" cy="431557"/>
      </dsp:txXfrm>
    </dsp:sp>
    <dsp:sp modelId="{40EEE473-CE4C-4890-BAC5-28AC3C45D587}">
      <dsp:nvSpPr>
        <dsp:cNvPr id="0" name=""/>
        <dsp:cNvSpPr/>
      </dsp:nvSpPr>
      <dsp:spPr>
        <a:xfrm>
          <a:off x="4056832" y="372578"/>
          <a:ext cx="1078894"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Strategic planning</a:t>
          </a:r>
        </a:p>
      </dsp:txBody>
      <dsp:txXfrm>
        <a:off x="4272611" y="372578"/>
        <a:ext cx="647337" cy="431557"/>
      </dsp:txXfrm>
    </dsp:sp>
    <dsp:sp modelId="{D11E0790-0A70-4F02-A09E-D419A0DF0098}">
      <dsp:nvSpPr>
        <dsp:cNvPr id="0" name=""/>
        <dsp:cNvSpPr/>
      </dsp:nvSpPr>
      <dsp:spPr>
        <a:xfrm>
          <a:off x="3540" y="921125"/>
          <a:ext cx="1299873" cy="51994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During</a:t>
          </a:r>
        </a:p>
      </dsp:txBody>
      <dsp:txXfrm>
        <a:off x="263515" y="921125"/>
        <a:ext cx="779924" cy="519949"/>
      </dsp:txXfrm>
    </dsp:sp>
    <dsp:sp modelId="{E025BA38-EC93-425D-9E29-6A03F823AC23}">
      <dsp:nvSpPr>
        <dsp:cNvPr id="0" name=""/>
        <dsp:cNvSpPr/>
      </dsp:nvSpPr>
      <dsp:spPr>
        <a:xfrm>
          <a:off x="1134429" y="965321"/>
          <a:ext cx="1465139"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Metacognitive monitoring</a:t>
          </a:r>
        </a:p>
      </dsp:txBody>
      <dsp:txXfrm>
        <a:off x="1350208" y="965321"/>
        <a:ext cx="1033582" cy="431557"/>
      </dsp:txXfrm>
    </dsp:sp>
    <dsp:sp modelId="{FF18B32B-DB46-4A44-AB68-CCD378C4C27F}">
      <dsp:nvSpPr>
        <dsp:cNvPr id="0" name=""/>
        <dsp:cNvSpPr/>
      </dsp:nvSpPr>
      <dsp:spPr>
        <a:xfrm>
          <a:off x="3540" y="1513867"/>
          <a:ext cx="1299873" cy="51994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After</a:t>
          </a:r>
        </a:p>
      </dsp:txBody>
      <dsp:txXfrm>
        <a:off x="263515" y="1513867"/>
        <a:ext cx="779924" cy="519949"/>
      </dsp:txXfrm>
    </dsp:sp>
    <dsp:sp modelId="{D6692EA7-09FB-4291-9842-9FD3E3B5083B}">
      <dsp:nvSpPr>
        <dsp:cNvPr id="0" name=""/>
        <dsp:cNvSpPr/>
      </dsp:nvSpPr>
      <dsp:spPr>
        <a:xfrm>
          <a:off x="1134429" y="1558063"/>
          <a:ext cx="1169241"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Adaptive inferences</a:t>
          </a:r>
        </a:p>
      </dsp:txBody>
      <dsp:txXfrm>
        <a:off x="1350208" y="1558063"/>
        <a:ext cx="737684" cy="431557"/>
      </dsp:txXfrm>
    </dsp:sp>
    <dsp:sp modelId="{53BD64BA-5C3C-4D58-9EA6-DF7585F23EB6}">
      <dsp:nvSpPr>
        <dsp:cNvPr id="0" name=""/>
        <dsp:cNvSpPr/>
      </dsp:nvSpPr>
      <dsp:spPr>
        <a:xfrm>
          <a:off x="2152625" y="1558063"/>
          <a:ext cx="1218449" cy="431557"/>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Attributional beliefs</a:t>
          </a:r>
        </a:p>
      </dsp:txBody>
      <dsp:txXfrm>
        <a:off x="2368404" y="1558063"/>
        <a:ext cx="786892" cy="4315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CA34A-5D6E-44DA-8C50-6E8D756C17B1}">
      <dsp:nvSpPr>
        <dsp:cNvPr id="0" name=""/>
        <dsp:cNvSpPr/>
      </dsp:nvSpPr>
      <dsp:spPr>
        <a:xfrm>
          <a:off x="1979126" y="1725583"/>
          <a:ext cx="1464011" cy="14640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Times New Roman" panose="02020603050405020304" pitchFamily="18" charset="0"/>
              <a:cs typeface="Times New Roman" panose="02020603050405020304" pitchFamily="18" charset="0"/>
            </a:rPr>
            <a:t>Conceptualisations informing practice</a:t>
          </a:r>
        </a:p>
      </dsp:txBody>
      <dsp:txXfrm>
        <a:off x="2193525" y="1939982"/>
        <a:ext cx="1035213" cy="1035213"/>
      </dsp:txXfrm>
    </dsp:sp>
    <dsp:sp modelId="{30B90A83-352F-4FE0-BAA9-98191C466888}">
      <dsp:nvSpPr>
        <dsp:cNvPr id="0" name=""/>
        <dsp:cNvSpPr/>
      </dsp:nvSpPr>
      <dsp:spPr>
        <a:xfrm rot="11700000">
          <a:off x="674518" y="1874668"/>
          <a:ext cx="1279421" cy="41724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B0B648-60B9-4B1B-95CE-147ED44CD050}">
      <dsp:nvSpPr>
        <dsp:cNvPr id="0" name=""/>
        <dsp:cNvSpPr/>
      </dsp:nvSpPr>
      <dsp:spPr>
        <a:xfrm>
          <a:off x="910" y="1361396"/>
          <a:ext cx="1390810" cy="11126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Working background</a:t>
          </a:r>
        </a:p>
      </dsp:txBody>
      <dsp:txXfrm>
        <a:off x="33498" y="1393984"/>
        <a:ext cx="1325634" cy="1047472"/>
      </dsp:txXfrm>
    </dsp:sp>
    <dsp:sp modelId="{784F87BE-D7F1-4EE3-AAC9-4E64FF36C162}">
      <dsp:nvSpPr>
        <dsp:cNvPr id="0" name=""/>
        <dsp:cNvSpPr/>
      </dsp:nvSpPr>
      <dsp:spPr>
        <a:xfrm rot="14700000">
          <a:off x="1460239" y="938282"/>
          <a:ext cx="1279421" cy="41724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A33511-F060-4CAA-AD74-0AADD3C79A39}">
      <dsp:nvSpPr>
        <dsp:cNvPr id="0" name=""/>
        <dsp:cNvSpPr/>
      </dsp:nvSpPr>
      <dsp:spPr>
        <a:xfrm>
          <a:off x="1134191" y="10805"/>
          <a:ext cx="1390810" cy="11126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Educational background</a:t>
          </a:r>
        </a:p>
      </dsp:txBody>
      <dsp:txXfrm>
        <a:off x="1166779" y="43393"/>
        <a:ext cx="1325634" cy="1047472"/>
      </dsp:txXfrm>
    </dsp:sp>
    <dsp:sp modelId="{7E7D3BC6-0EAD-4661-9927-15DB14D6ADBD}">
      <dsp:nvSpPr>
        <dsp:cNvPr id="0" name=""/>
        <dsp:cNvSpPr/>
      </dsp:nvSpPr>
      <dsp:spPr>
        <a:xfrm rot="17700000">
          <a:off x="2682603" y="938282"/>
          <a:ext cx="1279421" cy="41724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0EE024-D459-4997-A761-7CE922F93EE5}">
      <dsp:nvSpPr>
        <dsp:cNvPr id="0" name=""/>
        <dsp:cNvSpPr/>
      </dsp:nvSpPr>
      <dsp:spPr>
        <a:xfrm>
          <a:off x="2897262" y="10805"/>
          <a:ext cx="1390810" cy="11126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Teaching experiences</a:t>
          </a:r>
        </a:p>
      </dsp:txBody>
      <dsp:txXfrm>
        <a:off x="2929850" y="43393"/>
        <a:ext cx="1325634" cy="1047472"/>
      </dsp:txXfrm>
    </dsp:sp>
    <dsp:sp modelId="{192DB485-3AE5-4CED-9C24-05F4B7A9CD35}">
      <dsp:nvSpPr>
        <dsp:cNvPr id="0" name=""/>
        <dsp:cNvSpPr/>
      </dsp:nvSpPr>
      <dsp:spPr>
        <a:xfrm rot="20700000">
          <a:off x="3468324" y="1874668"/>
          <a:ext cx="1279421" cy="41724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72F973-9684-4994-A0F4-E60D67F7C24C}">
      <dsp:nvSpPr>
        <dsp:cNvPr id="0" name=""/>
        <dsp:cNvSpPr/>
      </dsp:nvSpPr>
      <dsp:spPr>
        <a:xfrm>
          <a:off x="4030543" y="1361396"/>
          <a:ext cx="1390810" cy="11126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Personal view of feedback</a:t>
          </a:r>
        </a:p>
      </dsp:txBody>
      <dsp:txXfrm>
        <a:off x="4063131" y="1393984"/>
        <a:ext cx="1325634" cy="10474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8C425-EFBF-42C1-AA60-44B4A572F2BB}">
      <dsp:nvSpPr>
        <dsp:cNvPr id="0" name=""/>
        <dsp:cNvSpPr/>
      </dsp:nvSpPr>
      <dsp:spPr>
        <a:xfrm>
          <a:off x="1932539" y="1722631"/>
          <a:ext cx="1429550" cy="14295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i="0" kern="1200">
              <a:latin typeface="Times New Roman" panose="02020603050405020304" pitchFamily="18" charset="0"/>
              <a:cs typeface="Times New Roman" panose="02020603050405020304" pitchFamily="18" charset="0"/>
            </a:rPr>
            <a:t>Factors influencing the feedback encounter</a:t>
          </a:r>
        </a:p>
      </dsp:txBody>
      <dsp:txXfrm>
        <a:off x="2141892" y="1931984"/>
        <a:ext cx="1010844" cy="1010844"/>
      </dsp:txXfrm>
    </dsp:sp>
    <dsp:sp modelId="{F9B7B5C5-B8A6-411C-AF02-7DB60EB16CCD}">
      <dsp:nvSpPr>
        <dsp:cNvPr id="0" name=""/>
        <dsp:cNvSpPr/>
      </dsp:nvSpPr>
      <dsp:spPr>
        <a:xfrm rot="11700000">
          <a:off x="658641" y="1868207"/>
          <a:ext cx="1249305" cy="40742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FA8882-0A9B-4B12-9F23-66971B90A930}">
      <dsp:nvSpPr>
        <dsp:cNvPr id="0" name=""/>
        <dsp:cNvSpPr/>
      </dsp:nvSpPr>
      <dsp:spPr>
        <a:xfrm>
          <a:off x="889" y="1367017"/>
          <a:ext cx="1358072" cy="1086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Assessment of student learning needs/priorities</a:t>
          </a:r>
        </a:p>
      </dsp:txBody>
      <dsp:txXfrm>
        <a:off x="32710" y="1398838"/>
        <a:ext cx="1294430" cy="1022816"/>
      </dsp:txXfrm>
    </dsp:sp>
    <dsp:sp modelId="{3DC4FEF1-8F46-42D1-9E2B-8261B9173244}">
      <dsp:nvSpPr>
        <dsp:cNvPr id="0" name=""/>
        <dsp:cNvSpPr/>
      </dsp:nvSpPr>
      <dsp:spPr>
        <a:xfrm rot="14700000">
          <a:off x="1425866" y="953863"/>
          <a:ext cx="1249305" cy="40742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50E338-ED0D-4F5A-A481-671C11760AD7}">
      <dsp:nvSpPr>
        <dsp:cNvPr id="0" name=""/>
        <dsp:cNvSpPr/>
      </dsp:nvSpPr>
      <dsp:spPr>
        <a:xfrm>
          <a:off x="1107493" y="48218"/>
          <a:ext cx="1358072" cy="1086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Formulation of the feedback message</a:t>
          </a:r>
        </a:p>
      </dsp:txBody>
      <dsp:txXfrm>
        <a:off x="1139314" y="80039"/>
        <a:ext cx="1294430" cy="1022816"/>
      </dsp:txXfrm>
    </dsp:sp>
    <dsp:sp modelId="{8FE4DA06-9203-4227-B7B2-5BE4AFFCB088}">
      <dsp:nvSpPr>
        <dsp:cNvPr id="0" name=""/>
        <dsp:cNvSpPr/>
      </dsp:nvSpPr>
      <dsp:spPr>
        <a:xfrm rot="17700000">
          <a:off x="2619457" y="953863"/>
          <a:ext cx="1249305" cy="40742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F8018E-FC98-4D6C-B383-9CAE122693F7}">
      <dsp:nvSpPr>
        <dsp:cNvPr id="0" name=""/>
        <dsp:cNvSpPr/>
      </dsp:nvSpPr>
      <dsp:spPr>
        <a:xfrm>
          <a:off x="2829063" y="48218"/>
          <a:ext cx="1358072" cy="1086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Feedback giving and perceived response</a:t>
          </a:r>
        </a:p>
      </dsp:txBody>
      <dsp:txXfrm>
        <a:off x="2860884" y="80039"/>
        <a:ext cx="1294430" cy="1022816"/>
      </dsp:txXfrm>
    </dsp:sp>
    <dsp:sp modelId="{56544C19-9A8E-4D40-B5A1-B1A8B3347B81}">
      <dsp:nvSpPr>
        <dsp:cNvPr id="0" name=""/>
        <dsp:cNvSpPr/>
      </dsp:nvSpPr>
      <dsp:spPr>
        <a:xfrm rot="20700000">
          <a:off x="3386683" y="1868207"/>
          <a:ext cx="1249305" cy="40742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1B1954-14CB-415D-8CF0-0687F8CC77F4}">
      <dsp:nvSpPr>
        <dsp:cNvPr id="0" name=""/>
        <dsp:cNvSpPr/>
      </dsp:nvSpPr>
      <dsp:spPr>
        <a:xfrm>
          <a:off x="3935668" y="1367017"/>
          <a:ext cx="1358072" cy="1086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Situational/contextual factors</a:t>
          </a:r>
        </a:p>
      </dsp:txBody>
      <dsp:txXfrm>
        <a:off x="3967489" y="1398838"/>
        <a:ext cx="1294430" cy="10228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28CCC-E415-494D-AC53-7C6186B33B18}">
      <dsp:nvSpPr>
        <dsp:cNvPr id="0" name=""/>
        <dsp:cNvSpPr/>
      </dsp:nvSpPr>
      <dsp:spPr>
        <a:xfrm>
          <a:off x="1800891" y="1314336"/>
          <a:ext cx="1661096" cy="16610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latin typeface="Times New Roman" panose="02020603050405020304" pitchFamily="18" charset="0"/>
              <a:cs typeface="Times New Roman" panose="02020603050405020304" pitchFamily="18" charset="0"/>
            </a:rPr>
            <a:t>Dynamic adjustment and reflective change</a:t>
          </a:r>
        </a:p>
      </dsp:txBody>
      <dsp:txXfrm>
        <a:off x="2044153" y="1557598"/>
        <a:ext cx="1174572" cy="1174572"/>
      </dsp:txXfrm>
    </dsp:sp>
    <dsp:sp modelId="{62D1B411-1760-4F61-82ED-B3463952FA1B}">
      <dsp:nvSpPr>
        <dsp:cNvPr id="0" name=""/>
        <dsp:cNvSpPr/>
      </dsp:nvSpPr>
      <dsp:spPr>
        <a:xfrm rot="12900000">
          <a:off x="668963" y="1002962"/>
          <a:ext cx="1339388" cy="4734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7A824E-430E-4A9C-8BA3-D94D0A23054E}">
      <dsp:nvSpPr>
        <dsp:cNvPr id="0" name=""/>
        <dsp:cNvSpPr/>
      </dsp:nvSpPr>
      <dsp:spPr>
        <a:xfrm>
          <a:off x="1055" y="224331"/>
          <a:ext cx="1578041" cy="1262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GB" sz="1600" kern="1200">
              <a:latin typeface="Times New Roman" panose="02020603050405020304" pitchFamily="18" charset="0"/>
              <a:cs typeface="Times New Roman" panose="02020603050405020304" pitchFamily="18" charset="0"/>
            </a:rPr>
            <a:t>Real-time changes to feedback model</a:t>
          </a:r>
        </a:p>
      </dsp:txBody>
      <dsp:txXfrm>
        <a:off x="38030" y="261306"/>
        <a:ext cx="1504091" cy="1188483"/>
      </dsp:txXfrm>
    </dsp:sp>
    <dsp:sp modelId="{BC60C142-F5AF-4534-BB44-90365C8682EF}">
      <dsp:nvSpPr>
        <dsp:cNvPr id="0" name=""/>
        <dsp:cNvSpPr/>
      </dsp:nvSpPr>
      <dsp:spPr>
        <a:xfrm rot="19500000">
          <a:off x="3254528" y="1002962"/>
          <a:ext cx="1339388" cy="47341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5C86A6-2DA5-447A-9238-8C126EA96FF7}">
      <dsp:nvSpPr>
        <dsp:cNvPr id="0" name=""/>
        <dsp:cNvSpPr/>
      </dsp:nvSpPr>
      <dsp:spPr>
        <a:xfrm>
          <a:off x="3683782" y="224331"/>
          <a:ext cx="1578041" cy="1262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GB" sz="1600" kern="1200">
              <a:latin typeface="Times New Roman" panose="02020603050405020304" pitchFamily="18" charset="0"/>
              <a:cs typeface="Times New Roman" panose="02020603050405020304" pitchFamily="18" charset="0"/>
            </a:rPr>
            <a:t>Integration into teaching practice</a:t>
          </a:r>
        </a:p>
      </dsp:txBody>
      <dsp:txXfrm>
        <a:off x="3720757" y="261306"/>
        <a:ext cx="1504091" cy="118848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4A43A-4C64-479C-A73F-1B744FCCC1E7}">
      <dsp:nvSpPr>
        <dsp:cNvPr id="0" name=""/>
        <dsp:cNvSpPr/>
      </dsp:nvSpPr>
      <dsp:spPr>
        <a:xfrm>
          <a:off x="3652496" y="6358224"/>
          <a:ext cx="331841" cy="713459"/>
        </a:xfrm>
        <a:custGeom>
          <a:avLst/>
          <a:gdLst/>
          <a:ahLst/>
          <a:cxnLst/>
          <a:rect l="0" t="0" r="0" b="0"/>
          <a:pathLst>
            <a:path>
              <a:moveTo>
                <a:pt x="0" y="0"/>
              </a:moveTo>
              <a:lnTo>
                <a:pt x="165920" y="0"/>
              </a:lnTo>
              <a:lnTo>
                <a:pt x="165920" y="713459"/>
              </a:lnTo>
              <a:lnTo>
                <a:pt x="331841" y="7134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CB297-A5A3-46E2-B6FC-377DF77C79DC}">
      <dsp:nvSpPr>
        <dsp:cNvPr id="0" name=""/>
        <dsp:cNvSpPr/>
      </dsp:nvSpPr>
      <dsp:spPr>
        <a:xfrm>
          <a:off x="3652496" y="6312504"/>
          <a:ext cx="331841" cy="91440"/>
        </a:xfrm>
        <a:custGeom>
          <a:avLst/>
          <a:gdLst/>
          <a:ahLst/>
          <a:cxnLst/>
          <a:rect l="0" t="0" r="0" b="0"/>
          <a:pathLst>
            <a:path>
              <a:moveTo>
                <a:pt x="0" y="45720"/>
              </a:moveTo>
              <a:lnTo>
                <a:pt x="3318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900BF-79F2-4345-A449-EBE90F87A58B}">
      <dsp:nvSpPr>
        <dsp:cNvPr id="0" name=""/>
        <dsp:cNvSpPr/>
      </dsp:nvSpPr>
      <dsp:spPr>
        <a:xfrm>
          <a:off x="3652496" y="5644765"/>
          <a:ext cx="331841" cy="713459"/>
        </a:xfrm>
        <a:custGeom>
          <a:avLst/>
          <a:gdLst/>
          <a:ahLst/>
          <a:cxnLst/>
          <a:rect l="0" t="0" r="0" b="0"/>
          <a:pathLst>
            <a:path>
              <a:moveTo>
                <a:pt x="0" y="713459"/>
              </a:moveTo>
              <a:lnTo>
                <a:pt x="165920" y="713459"/>
              </a:lnTo>
              <a:lnTo>
                <a:pt x="165920" y="0"/>
              </a:lnTo>
              <a:lnTo>
                <a:pt x="33184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9D53B-4C42-4554-8D24-B44876DBC9D2}">
      <dsp:nvSpPr>
        <dsp:cNvPr id="0" name=""/>
        <dsp:cNvSpPr/>
      </dsp:nvSpPr>
      <dsp:spPr>
        <a:xfrm>
          <a:off x="1661447" y="5288035"/>
          <a:ext cx="331841" cy="1070188"/>
        </a:xfrm>
        <a:custGeom>
          <a:avLst/>
          <a:gdLst/>
          <a:ahLst/>
          <a:cxnLst/>
          <a:rect l="0" t="0" r="0" b="0"/>
          <a:pathLst>
            <a:path>
              <a:moveTo>
                <a:pt x="0" y="0"/>
              </a:moveTo>
              <a:lnTo>
                <a:pt x="165920" y="0"/>
              </a:lnTo>
              <a:lnTo>
                <a:pt x="165920" y="1070188"/>
              </a:lnTo>
              <a:lnTo>
                <a:pt x="331841" y="1070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C3B1E-A9B8-4FB8-A11C-2039A281B58E}">
      <dsp:nvSpPr>
        <dsp:cNvPr id="0" name=""/>
        <dsp:cNvSpPr/>
      </dsp:nvSpPr>
      <dsp:spPr>
        <a:xfrm>
          <a:off x="3652496" y="4885586"/>
          <a:ext cx="331841" cy="91440"/>
        </a:xfrm>
        <a:custGeom>
          <a:avLst/>
          <a:gdLst/>
          <a:ahLst/>
          <a:cxnLst/>
          <a:rect l="0" t="0" r="0" b="0"/>
          <a:pathLst>
            <a:path>
              <a:moveTo>
                <a:pt x="0" y="45720"/>
              </a:moveTo>
              <a:lnTo>
                <a:pt x="3318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E3678-FDF8-4C21-B98F-415CE0369EF4}">
      <dsp:nvSpPr>
        <dsp:cNvPr id="0" name=""/>
        <dsp:cNvSpPr/>
      </dsp:nvSpPr>
      <dsp:spPr>
        <a:xfrm>
          <a:off x="1661447" y="4931306"/>
          <a:ext cx="331841" cy="356729"/>
        </a:xfrm>
        <a:custGeom>
          <a:avLst/>
          <a:gdLst/>
          <a:ahLst/>
          <a:cxnLst/>
          <a:rect l="0" t="0" r="0" b="0"/>
          <a:pathLst>
            <a:path>
              <a:moveTo>
                <a:pt x="0" y="356729"/>
              </a:moveTo>
              <a:lnTo>
                <a:pt x="165920" y="356729"/>
              </a:lnTo>
              <a:lnTo>
                <a:pt x="165920" y="0"/>
              </a:lnTo>
              <a:lnTo>
                <a:pt x="3318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6ADDB7-2A63-4E08-8A43-292A8EED025E}">
      <dsp:nvSpPr>
        <dsp:cNvPr id="0" name=""/>
        <dsp:cNvSpPr/>
      </dsp:nvSpPr>
      <dsp:spPr>
        <a:xfrm>
          <a:off x="3652496" y="4172127"/>
          <a:ext cx="331841" cy="91440"/>
        </a:xfrm>
        <a:custGeom>
          <a:avLst/>
          <a:gdLst/>
          <a:ahLst/>
          <a:cxnLst/>
          <a:rect l="0" t="0" r="0" b="0"/>
          <a:pathLst>
            <a:path>
              <a:moveTo>
                <a:pt x="0" y="45720"/>
              </a:moveTo>
              <a:lnTo>
                <a:pt x="3318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6F2B2E-67BB-4DEB-9034-A485A9ECD8BD}">
      <dsp:nvSpPr>
        <dsp:cNvPr id="0" name=""/>
        <dsp:cNvSpPr/>
      </dsp:nvSpPr>
      <dsp:spPr>
        <a:xfrm>
          <a:off x="1661447" y="4217847"/>
          <a:ext cx="331841" cy="1070188"/>
        </a:xfrm>
        <a:custGeom>
          <a:avLst/>
          <a:gdLst/>
          <a:ahLst/>
          <a:cxnLst/>
          <a:rect l="0" t="0" r="0" b="0"/>
          <a:pathLst>
            <a:path>
              <a:moveTo>
                <a:pt x="0" y="1070188"/>
              </a:moveTo>
              <a:lnTo>
                <a:pt x="165920" y="1070188"/>
              </a:lnTo>
              <a:lnTo>
                <a:pt x="165920" y="0"/>
              </a:lnTo>
              <a:lnTo>
                <a:pt x="3318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01A6FD-4B83-4E95-9552-A394122C750D}">
      <dsp:nvSpPr>
        <dsp:cNvPr id="0" name=""/>
        <dsp:cNvSpPr/>
      </dsp:nvSpPr>
      <dsp:spPr>
        <a:xfrm>
          <a:off x="3652496" y="3458667"/>
          <a:ext cx="331841" cy="91440"/>
        </a:xfrm>
        <a:custGeom>
          <a:avLst/>
          <a:gdLst/>
          <a:ahLst/>
          <a:cxnLst/>
          <a:rect l="0" t="0" r="0" b="0"/>
          <a:pathLst>
            <a:path>
              <a:moveTo>
                <a:pt x="0" y="45720"/>
              </a:moveTo>
              <a:lnTo>
                <a:pt x="3318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9FBF78-203E-41E1-AF18-8C705D615E08}">
      <dsp:nvSpPr>
        <dsp:cNvPr id="0" name=""/>
        <dsp:cNvSpPr/>
      </dsp:nvSpPr>
      <dsp:spPr>
        <a:xfrm>
          <a:off x="1661447" y="2790928"/>
          <a:ext cx="331841" cy="713459"/>
        </a:xfrm>
        <a:custGeom>
          <a:avLst/>
          <a:gdLst/>
          <a:ahLst/>
          <a:cxnLst/>
          <a:rect l="0" t="0" r="0" b="0"/>
          <a:pathLst>
            <a:path>
              <a:moveTo>
                <a:pt x="0" y="0"/>
              </a:moveTo>
              <a:lnTo>
                <a:pt x="165920" y="0"/>
              </a:lnTo>
              <a:lnTo>
                <a:pt x="165920" y="713459"/>
              </a:lnTo>
              <a:lnTo>
                <a:pt x="331841" y="7134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3764B-84CE-4A48-B980-9DB47AAAD088}">
      <dsp:nvSpPr>
        <dsp:cNvPr id="0" name=""/>
        <dsp:cNvSpPr/>
      </dsp:nvSpPr>
      <dsp:spPr>
        <a:xfrm>
          <a:off x="1661447" y="2745208"/>
          <a:ext cx="331841" cy="91440"/>
        </a:xfrm>
        <a:custGeom>
          <a:avLst/>
          <a:gdLst/>
          <a:ahLst/>
          <a:cxnLst/>
          <a:rect l="0" t="0" r="0" b="0"/>
          <a:pathLst>
            <a:path>
              <a:moveTo>
                <a:pt x="0" y="45720"/>
              </a:moveTo>
              <a:lnTo>
                <a:pt x="33184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ADDDC-105C-4765-80E2-CF3890C7101F}">
      <dsp:nvSpPr>
        <dsp:cNvPr id="0" name=""/>
        <dsp:cNvSpPr/>
      </dsp:nvSpPr>
      <dsp:spPr>
        <a:xfrm>
          <a:off x="3652496" y="2077469"/>
          <a:ext cx="331841" cy="356729"/>
        </a:xfrm>
        <a:custGeom>
          <a:avLst/>
          <a:gdLst/>
          <a:ahLst/>
          <a:cxnLst/>
          <a:rect l="0" t="0" r="0" b="0"/>
          <a:pathLst>
            <a:path>
              <a:moveTo>
                <a:pt x="0" y="0"/>
              </a:moveTo>
              <a:lnTo>
                <a:pt x="165920" y="0"/>
              </a:lnTo>
              <a:lnTo>
                <a:pt x="165920" y="356729"/>
              </a:lnTo>
              <a:lnTo>
                <a:pt x="331841" y="3567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B4561-867D-45F8-8FF6-456FC6660A93}">
      <dsp:nvSpPr>
        <dsp:cNvPr id="0" name=""/>
        <dsp:cNvSpPr/>
      </dsp:nvSpPr>
      <dsp:spPr>
        <a:xfrm>
          <a:off x="3652496" y="1720739"/>
          <a:ext cx="331841" cy="356729"/>
        </a:xfrm>
        <a:custGeom>
          <a:avLst/>
          <a:gdLst/>
          <a:ahLst/>
          <a:cxnLst/>
          <a:rect l="0" t="0" r="0" b="0"/>
          <a:pathLst>
            <a:path>
              <a:moveTo>
                <a:pt x="0" y="356729"/>
              </a:moveTo>
              <a:lnTo>
                <a:pt x="165920" y="356729"/>
              </a:lnTo>
              <a:lnTo>
                <a:pt x="165920" y="0"/>
              </a:lnTo>
              <a:lnTo>
                <a:pt x="33184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0D74BE-5D83-408E-AA3B-8D8520145E5E}">
      <dsp:nvSpPr>
        <dsp:cNvPr id="0" name=""/>
        <dsp:cNvSpPr/>
      </dsp:nvSpPr>
      <dsp:spPr>
        <a:xfrm>
          <a:off x="1661447" y="2077469"/>
          <a:ext cx="331841" cy="713459"/>
        </a:xfrm>
        <a:custGeom>
          <a:avLst/>
          <a:gdLst/>
          <a:ahLst/>
          <a:cxnLst/>
          <a:rect l="0" t="0" r="0" b="0"/>
          <a:pathLst>
            <a:path>
              <a:moveTo>
                <a:pt x="0" y="713459"/>
              </a:moveTo>
              <a:lnTo>
                <a:pt x="165920" y="713459"/>
              </a:lnTo>
              <a:lnTo>
                <a:pt x="165920" y="0"/>
              </a:lnTo>
              <a:lnTo>
                <a:pt x="3318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F5715-D4DE-496D-97D8-8AD9E1FE12E6}">
      <dsp:nvSpPr>
        <dsp:cNvPr id="0" name=""/>
        <dsp:cNvSpPr/>
      </dsp:nvSpPr>
      <dsp:spPr>
        <a:xfrm>
          <a:off x="1661447" y="1007280"/>
          <a:ext cx="331841" cy="356729"/>
        </a:xfrm>
        <a:custGeom>
          <a:avLst/>
          <a:gdLst/>
          <a:ahLst/>
          <a:cxnLst/>
          <a:rect l="0" t="0" r="0" b="0"/>
          <a:pathLst>
            <a:path>
              <a:moveTo>
                <a:pt x="0" y="0"/>
              </a:moveTo>
              <a:lnTo>
                <a:pt x="165920" y="0"/>
              </a:lnTo>
              <a:lnTo>
                <a:pt x="165920" y="356729"/>
              </a:lnTo>
              <a:lnTo>
                <a:pt x="331841" y="3567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73260-C35A-4EDD-BBE8-887B0EE40603}">
      <dsp:nvSpPr>
        <dsp:cNvPr id="0" name=""/>
        <dsp:cNvSpPr/>
      </dsp:nvSpPr>
      <dsp:spPr>
        <a:xfrm>
          <a:off x="3652496" y="604831"/>
          <a:ext cx="331841" cy="91440"/>
        </a:xfrm>
        <a:custGeom>
          <a:avLst/>
          <a:gdLst/>
          <a:ahLst/>
          <a:cxnLst/>
          <a:rect l="0" t="0" r="0" b="0"/>
          <a:pathLst>
            <a:path>
              <a:moveTo>
                <a:pt x="0" y="45720"/>
              </a:moveTo>
              <a:lnTo>
                <a:pt x="3318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C414C-CB3E-45A1-99CA-FCD9F0AA8563}">
      <dsp:nvSpPr>
        <dsp:cNvPr id="0" name=""/>
        <dsp:cNvSpPr/>
      </dsp:nvSpPr>
      <dsp:spPr>
        <a:xfrm>
          <a:off x="1661447" y="650551"/>
          <a:ext cx="331841" cy="356729"/>
        </a:xfrm>
        <a:custGeom>
          <a:avLst/>
          <a:gdLst/>
          <a:ahLst/>
          <a:cxnLst/>
          <a:rect l="0" t="0" r="0" b="0"/>
          <a:pathLst>
            <a:path>
              <a:moveTo>
                <a:pt x="0" y="356729"/>
              </a:moveTo>
              <a:lnTo>
                <a:pt x="165920" y="356729"/>
              </a:lnTo>
              <a:lnTo>
                <a:pt x="165920" y="0"/>
              </a:lnTo>
              <a:lnTo>
                <a:pt x="3318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53CB51-B998-423A-B4C0-9E5096FB9448}">
      <dsp:nvSpPr>
        <dsp:cNvPr id="0" name=""/>
        <dsp:cNvSpPr/>
      </dsp:nvSpPr>
      <dsp:spPr>
        <a:xfrm>
          <a:off x="2239" y="754251"/>
          <a:ext cx="1659207" cy="506058"/>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Supervisory relationships</a:t>
          </a:r>
        </a:p>
      </dsp:txBody>
      <dsp:txXfrm>
        <a:off x="2239" y="754251"/>
        <a:ext cx="1659207" cy="506058"/>
      </dsp:txXfrm>
    </dsp:sp>
    <dsp:sp modelId="{A90E4103-FEEB-4839-A9BC-4A41836E94E1}">
      <dsp:nvSpPr>
        <dsp:cNvPr id="0" name=""/>
        <dsp:cNvSpPr/>
      </dsp:nvSpPr>
      <dsp:spPr>
        <a:xfrm>
          <a:off x="1993288" y="397521"/>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Strength of educational alliance</a:t>
          </a:r>
        </a:p>
      </dsp:txBody>
      <dsp:txXfrm>
        <a:off x="1993288" y="397521"/>
        <a:ext cx="1659207" cy="506058"/>
      </dsp:txXfrm>
    </dsp:sp>
    <dsp:sp modelId="{772CDA1C-A768-4141-BC7D-F2CBB29774FA}">
      <dsp:nvSpPr>
        <dsp:cNvPr id="0" name=""/>
        <dsp:cNvSpPr/>
      </dsp:nvSpPr>
      <dsp:spPr>
        <a:xfrm>
          <a:off x="3984337" y="397521"/>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Mutual understanding and comfort</a:t>
          </a:r>
        </a:p>
      </dsp:txBody>
      <dsp:txXfrm>
        <a:off x="3984337" y="397521"/>
        <a:ext cx="1659207" cy="506058"/>
      </dsp:txXfrm>
    </dsp:sp>
    <dsp:sp modelId="{18FA3649-2AF0-4B11-AF37-492C7DB351F7}">
      <dsp:nvSpPr>
        <dsp:cNvPr id="0" name=""/>
        <dsp:cNvSpPr/>
      </dsp:nvSpPr>
      <dsp:spPr>
        <a:xfrm>
          <a:off x="1993288" y="1110981"/>
          <a:ext cx="1659207" cy="506058"/>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Impact upon behaviours</a:t>
          </a:r>
        </a:p>
      </dsp:txBody>
      <dsp:txXfrm>
        <a:off x="1993288" y="1110981"/>
        <a:ext cx="1659207" cy="506058"/>
      </dsp:txXfrm>
    </dsp:sp>
    <dsp:sp modelId="{A0221534-758E-4AC4-B609-C169E4C779E5}">
      <dsp:nvSpPr>
        <dsp:cNvPr id="0" name=""/>
        <dsp:cNvSpPr/>
      </dsp:nvSpPr>
      <dsp:spPr>
        <a:xfrm>
          <a:off x="2239" y="2537899"/>
          <a:ext cx="1659207" cy="506058"/>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Filtering feedback for acceptance or rejection</a:t>
          </a:r>
        </a:p>
      </dsp:txBody>
      <dsp:txXfrm>
        <a:off x="2239" y="2537899"/>
        <a:ext cx="1659207" cy="506058"/>
      </dsp:txXfrm>
    </dsp:sp>
    <dsp:sp modelId="{F559B4EC-5262-472C-85F7-1770A34AA63B}">
      <dsp:nvSpPr>
        <dsp:cNvPr id="0" name=""/>
        <dsp:cNvSpPr/>
      </dsp:nvSpPr>
      <dsp:spPr>
        <a:xfrm>
          <a:off x="1993288" y="1824440"/>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Feedback source</a:t>
          </a:r>
        </a:p>
      </dsp:txBody>
      <dsp:txXfrm>
        <a:off x="1993288" y="1824440"/>
        <a:ext cx="1659207" cy="506058"/>
      </dsp:txXfrm>
    </dsp:sp>
    <dsp:sp modelId="{0579BEC7-C8E3-4A06-BC7E-6250B576FFDF}">
      <dsp:nvSpPr>
        <dsp:cNvPr id="0" name=""/>
        <dsp:cNvSpPr/>
      </dsp:nvSpPr>
      <dsp:spPr>
        <a:xfrm>
          <a:off x="3984337" y="1467710"/>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Multisource</a:t>
          </a:r>
        </a:p>
      </dsp:txBody>
      <dsp:txXfrm>
        <a:off x="3984337" y="1467710"/>
        <a:ext cx="1659207" cy="506058"/>
      </dsp:txXfrm>
    </dsp:sp>
    <dsp:sp modelId="{1CA9F88D-25E6-454C-A6C3-C1EBF4D7D39B}">
      <dsp:nvSpPr>
        <dsp:cNvPr id="0" name=""/>
        <dsp:cNvSpPr/>
      </dsp:nvSpPr>
      <dsp:spPr>
        <a:xfrm>
          <a:off x="3984337" y="2181169"/>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Credibility judgement</a:t>
          </a:r>
        </a:p>
      </dsp:txBody>
      <dsp:txXfrm>
        <a:off x="3984337" y="2181169"/>
        <a:ext cx="1659207" cy="506058"/>
      </dsp:txXfrm>
    </dsp:sp>
    <dsp:sp modelId="{6AA62E2A-8C27-495D-861F-F52E10AA77DC}">
      <dsp:nvSpPr>
        <dsp:cNvPr id="0" name=""/>
        <dsp:cNvSpPr/>
      </dsp:nvSpPr>
      <dsp:spPr>
        <a:xfrm>
          <a:off x="1993288" y="2537899"/>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Learning priorities</a:t>
          </a:r>
        </a:p>
      </dsp:txBody>
      <dsp:txXfrm>
        <a:off x="1993288" y="2537899"/>
        <a:ext cx="1659207" cy="506058"/>
      </dsp:txXfrm>
    </dsp:sp>
    <dsp:sp modelId="{BFCD994E-DB0D-4C72-B943-92BC23462DCB}">
      <dsp:nvSpPr>
        <dsp:cNvPr id="0" name=""/>
        <dsp:cNvSpPr/>
      </dsp:nvSpPr>
      <dsp:spPr>
        <a:xfrm>
          <a:off x="1993288" y="3251358"/>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Categorisation</a:t>
          </a:r>
        </a:p>
      </dsp:txBody>
      <dsp:txXfrm>
        <a:off x="1993288" y="3251358"/>
        <a:ext cx="1659207" cy="506058"/>
      </dsp:txXfrm>
    </dsp:sp>
    <dsp:sp modelId="{9CD8F3B9-B717-470A-B7BB-750D7CD26F5D}">
      <dsp:nvSpPr>
        <dsp:cNvPr id="0" name=""/>
        <dsp:cNvSpPr/>
      </dsp:nvSpPr>
      <dsp:spPr>
        <a:xfrm>
          <a:off x="3984337" y="3251358"/>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Critical evaluation of feedback message</a:t>
          </a:r>
        </a:p>
      </dsp:txBody>
      <dsp:txXfrm>
        <a:off x="3984337" y="3251358"/>
        <a:ext cx="1659207" cy="506058"/>
      </dsp:txXfrm>
    </dsp:sp>
    <dsp:sp modelId="{466C0039-FE30-4D47-8335-FD25D7D99303}">
      <dsp:nvSpPr>
        <dsp:cNvPr id="0" name=""/>
        <dsp:cNvSpPr/>
      </dsp:nvSpPr>
      <dsp:spPr>
        <a:xfrm>
          <a:off x="2239" y="5035006"/>
          <a:ext cx="1659207" cy="50605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Contextual and personal factors</a:t>
          </a:r>
        </a:p>
      </dsp:txBody>
      <dsp:txXfrm>
        <a:off x="2239" y="5035006"/>
        <a:ext cx="1659207" cy="506058"/>
      </dsp:txXfrm>
    </dsp:sp>
    <dsp:sp modelId="{D0285795-9A68-4830-902F-8045D6C11644}">
      <dsp:nvSpPr>
        <dsp:cNvPr id="0" name=""/>
        <dsp:cNvSpPr/>
      </dsp:nvSpPr>
      <dsp:spPr>
        <a:xfrm>
          <a:off x="1993288" y="3964817"/>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Workplace culture</a:t>
          </a:r>
        </a:p>
      </dsp:txBody>
      <dsp:txXfrm>
        <a:off x="1993288" y="3964817"/>
        <a:ext cx="1659207" cy="506058"/>
      </dsp:txXfrm>
    </dsp:sp>
    <dsp:sp modelId="{2E5FAA95-1B06-4FB9-9EE2-DC74C020667D}">
      <dsp:nvSpPr>
        <dsp:cNvPr id="0" name=""/>
        <dsp:cNvSpPr/>
      </dsp:nvSpPr>
      <dsp:spPr>
        <a:xfrm>
          <a:off x="3984337" y="3964817"/>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Simulated vs. authentic</a:t>
          </a:r>
        </a:p>
      </dsp:txBody>
      <dsp:txXfrm>
        <a:off x="3984337" y="3964817"/>
        <a:ext cx="1659207" cy="506058"/>
      </dsp:txXfrm>
    </dsp:sp>
    <dsp:sp modelId="{1670844D-F97E-402F-93A8-C359DFA529D0}">
      <dsp:nvSpPr>
        <dsp:cNvPr id="0" name=""/>
        <dsp:cNvSpPr/>
      </dsp:nvSpPr>
      <dsp:spPr>
        <a:xfrm>
          <a:off x="1993288" y="4678277"/>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Personal progression</a:t>
          </a:r>
        </a:p>
      </dsp:txBody>
      <dsp:txXfrm>
        <a:off x="1993288" y="4678277"/>
        <a:ext cx="1659207" cy="506058"/>
      </dsp:txXfrm>
    </dsp:sp>
    <dsp:sp modelId="{E428E084-A439-4806-8E07-16103A28398B}">
      <dsp:nvSpPr>
        <dsp:cNvPr id="0" name=""/>
        <dsp:cNvSpPr/>
      </dsp:nvSpPr>
      <dsp:spPr>
        <a:xfrm>
          <a:off x="3984337" y="4678277"/>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Maturation</a:t>
          </a:r>
        </a:p>
      </dsp:txBody>
      <dsp:txXfrm>
        <a:off x="3984337" y="4678277"/>
        <a:ext cx="1659207" cy="506058"/>
      </dsp:txXfrm>
    </dsp:sp>
    <dsp:sp modelId="{3A0DD6C7-651B-4C5E-AD41-BC80511AF8EC}">
      <dsp:nvSpPr>
        <dsp:cNvPr id="0" name=""/>
        <dsp:cNvSpPr/>
      </dsp:nvSpPr>
      <dsp:spPr>
        <a:xfrm>
          <a:off x="1993288" y="6105195"/>
          <a:ext cx="1659207" cy="5060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SRL behaviours</a:t>
          </a:r>
        </a:p>
      </dsp:txBody>
      <dsp:txXfrm>
        <a:off x="1993288" y="6105195"/>
        <a:ext cx="1659207" cy="506058"/>
      </dsp:txXfrm>
    </dsp:sp>
    <dsp:sp modelId="{98945378-A21B-4280-80CB-A676109851FB}">
      <dsp:nvSpPr>
        <dsp:cNvPr id="0" name=""/>
        <dsp:cNvSpPr/>
      </dsp:nvSpPr>
      <dsp:spPr>
        <a:xfrm>
          <a:off x="3984337" y="5391736"/>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Motivational beliefs</a:t>
          </a:r>
        </a:p>
      </dsp:txBody>
      <dsp:txXfrm>
        <a:off x="3984337" y="5391736"/>
        <a:ext cx="1659207" cy="506058"/>
      </dsp:txXfrm>
    </dsp:sp>
    <dsp:sp modelId="{24AC995D-2AFF-4E2F-952C-36FC2E97479E}">
      <dsp:nvSpPr>
        <dsp:cNvPr id="0" name=""/>
        <dsp:cNvSpPr/>
      </dsp:nvSpPr>
      <dsp:spPr>
        <a:xfrm>
          <a:off x="3984337" y="6105195"/>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Planning and monitoring</a:t>
          </a:r>
        </a:p>
      </dsp:txBody>
      <dsp:txXfrm>
        <a:off x="3984337" y="6105195"/>
        <a:ext cx="1659207" cy="506058"/>
      </dsp:txXfrm>
    </dsp:sp>
    <dsp:sp modelId="{2BFDDE3E-6B5B-44E7-A9C6-AB953461AC9B}">
      <dsp:nvSpPr>
        <dsp:cNvPr id="0" name=""/>
        <dsp:cNvSpPr/>
      </dsp:nvSpPr>
      <dsp:spPr>
        <a:xfrm>
          <a:off x="3984337" y="6818654"/>
          <a:ext cx="1659207" cy="50605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Self-evaluation</a:t>
          </a:r>
        </a:p>
      </dsp:txBody>
      <dsp:txXfrm>
        <a:off x="3984337" y="6818654"/>
        <a:ext cx="1659207" cy="50605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FBB09-4DC5-A246-A1F8-730A886F3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470</Pages>
  <Words>257849</Words>
  <Characters>1358865</Characters>
  <Application>Microsoft Macintosh Word</Application>
  <DocSecurity>0</DocSecurity>
  <Lines>42464</Lines>
  <Paragraphs>13585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1603129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Bryan</dc:creator>
  <cp:keywords/>
  <dc:description/>
  <cp:lastModifiedBy>Billy Bryan</cp:lastModifiedBy>
  <cp:revision>2</cp:revision>
  <cp:lastPrinted>2017-08-03T13:53:00Z</cp:lastPrinted>
  <dcterms:created xsi:type="dcterms:W3CDTF">2017-12-06T10:30:00Z</dcterms:created>
  <dcterms:modified xsi:type="dcterms:W3CDTF">2017-12-06T10:30:00Z</dcterms:modified>
  <cp:category/>
</cp:coreProperties>
</file>